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DC0149" w:rsidRPr="00DB58B5" w14:paraId="7F3B657D" w14:textId="77777777" w:rsidTr="009D5F1A">
        <w:trPr>
          <w:trHeight w:hRule="exact" w:val="851"/>
        </w:trPr>
        <w:tc>
          <w:tcPr>
            <w:tcW w:w="1276" w:type="dxa"/>
            <w:tcBorders>
              <w:bottom w:val="single" w:sz="4" w:space="0" w:color="auto"/>
            </w:tcBorders>
          </w:tcPr>
          <w:p w14:paraId="63287575" w14:textId="77777777" w:rsidR="00DC0149" w:rsidRPr="00DB58B5" w:rsidRDefault="00DC0149" w:rsidP="00F22197"/>
        </w:tc>
        <w:tc>
          <w:tcPr>
            <w:tcW w:w="2268" w:type="dxa"/>
            <w:tcBorders>
              <w:bottom w:val="single" w:sz="4" w:space="0" w:color="auto"/>
            </w:tcBorders>
            <w:vAlign w:val="bottom"/>
          </w:tcPr>
          <w:p w14:paraId="222EF4CE" w14:textId="77777777" w:rsidR="00DC0149" w:rsidRPr="00DB58B5" w:rsidRDefault="00DC0149" w:rsidP="009D5F1A">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7E723A81" w14:textId="57B94A21" w:rsidR="00DC0149" w:rsidRPr="009103ED" w:rsidRDefault="009103ED" w:rsidP="009103ED">
            <w:pPr>
              <w:jc w:val="right"/>
            </w:pPr>
            <w:r w:rsidRPr="009103ED">
              <w:rPr>
                <w:sz w:val="40"/>
              </w:rPr>
              <w:t>CERD</w:t>
            </w:r>
            <w:r>
              <w:t>/C/BEL/CO/20-22</w:t>
            </w:r>
          </w:p>
        </w:tc>
      </w:tr>
      <w:tr w:rsidR="00DC0149" w:rsidRPr="00DB58B5" w14:paraId="5298AA20" w14:textId="77777777" w:rsidTr="009D5F1A">
        <w:trPr>
          <w:trHeight w:hRule="exact" w:val="2835"/>
        </w:trPr>
        <w:tc>
          <w:tcPr>
            <w:tcW w:w="1276" w:type="dxa"/>
            <w:tcBorders>
              <w:top w:val="single" w:sz="4" w:space="0" w:color="auto"/>
              <w:bottom w:val="single" w:sz="12" w:space="0" w:color="auto"/>
            </w:tcBorders>
          </w:tcPr>
          <w:p w14:paraId="24B16BB7" w14:textId="77777777" w:rsidR="00DC0149" w:rsidRPr="00DB58B5" w:rsidRDefault="00DC0149" w:rsidP="009D5F1A">
            <w:pPr>
              <w:spacing w:before="120"/>
              <w:jc w:val="center"/>
            </w:pPr>
            <w:r>
              <w:rPr>
                <w:noProof/>
                <w:lang w:val="en-GB" w:eastAsia="en-GB"/>
              </w:rPr>
              <w:drawing>
                <wp:inline distT="0" distB="0" distL="0" distR="0" wp14:anchorId="766474A1" wp14:editId="06DB2E84">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57E1655" w14:textId="77777777" w:rsidR="00DC0149" w:rsidRPr="00740562" w:rsidRDefault="00DC0149" w:rsidP="009D5F1A">
            <w:pPr>
              <w:spacing w:before="120" w:line="380" w:lineRule="exact"/>
              <w:rPr>
                <w:b/>
                <w:sz w:val="40"/>
                <w:szCs w:val="40"/>
              </w:rPr>
            </w:pPr>
            <w:r>
              <w:rPr>
                <w:b/>
                <w:sz w:val="34"/>
                <w:szCs w:val="34"/>
              </w:rPr>
              <w:t>Convention internationale sur</w:t>
            </w:r>
            <w:r>
              <w:rPr>
                <w:b/>
                <w:sz w:val="34"/>
                <w:szCs w:val="34"/>
              </w:rPr>
              <w:br/>
              <w:t>l’élimination de toutes les formes</w:t>
            </w:r>
            <w:r>
              <w:rPr>
                <w:b/>
                <w:sz w:val="34"/>
                <w:szCs w:val="34"/>
              </w:rPr>
              <w:br/>
              <w:t>de discrimination raciale</w:t>
            </w:r>
          </w:p>
        </w:tc>
        <w:tc>
          <w:tcPr>
            <w:tcW w:w="2835" w:type="dxa"/>
            <w:tcBorders>
              <w:top w:val="single" w:sz="4" w:space="0" w:color="auto"/>
              <w:bottom w:val="single" w:sz="12" w:space="0" w:color="auto"/>
            </w:tcBorders>
          </w:tcPr>
          <w:p w14:paraId="58F05E89" w14:textId="77777777" w:rsidR="00DC0149" w:rsidRDefault="00F22197" w:rsidP="009D5F1A">
            <w:pPr>
              <w:spacing w:before="240"/>
            </w:pPr>
            <w:r>
              <w:t>Distr. générale</w:t>
            </w:r>
          </w:p>
          <w:p w14:paraId="0839087C" w14:textId="02C647E2" w:rsidR="00F22197" w:rsidRDefault="00E84B03" w:rsidP="00F22197">
            <w:pPr>
              <w:spacing w:line="240" w:lineRule="exact"/>
            </w:pPr>
            <w:r>
              <w:t>21</w:t>
            </w:r>
            <w:r w:rsidR="00F22197">
              <w:t xml:space="preserve"> mai 2021</w:t>
            </w:r>
          </w:p>
          <w:p w14:paraId="6E746DAA" w14:textId="57B0033A" w:rsidR="00F22197" w:rsidRDefault="00F22197" w:rsidP="00F22197">
            <w:pPr>
              <w:spacing w:line="240" w:lineRule="exact"/>
            </w:pPr>
          </w:p>
          <w:p w14:paraId="112BA654" w14:textId="2BD99D96" w:rsidR="00F22197" w:rsidRPr="00DB58B5" w:rsidRDefault="00F22197" w:rsidP="00F22197">
            <w:pPr>
              <w:spacing w:line="240" w:lineRule="exact"/>
            </w:pPr>
            <w:r>
              <w:t>Original : français</w:t>
            </w:r>
          </w:p>
        </w:tc>
      </w:tr>
    </w:tbl>
    <w:p w14:paraId="45C35DA6" w14:textId="77777777" w:rsidR="00623CA8" w:rsidRDefault="00623CA8" w:rsidP="00623CA8">
      <w:pPr>
        <w:spacing w:before="120"/>
        <w:rPr>
          <w:b/>
          <w:sz w:val="24"/>
          <w:szCs w:val="24"/>
        </w:rPr>
      </w:pPr>
      <w:r w:rsidRPr="00C56102">
        <w:rPr>
          <w:b/>
          <w:sz w:val="24"/>
          <w:szCs w:val="24"/>
        </w:rPr>
        <w:t>Comité pour l’élimination de la discrimination raciale</w:t>
      </w:r>
    </w:p>
    <w:p w14:paraId="57FEF1EF" w14:textId="77777777" w:rsidR="00E31503" w:rsidRDefault="00E31503" w:rsidP="00650A99">
      <w:pPr>
        <w:pStyle w:val="HChG"/>
      </w:pPr>
      <w:bookmarkStart w:id="0" w:name="_Hlk72481734"/>
      <w:r>
        <w:tab/>
      </w:r>
      <w:r>
        <w:tab/>
        <w:t>Observations finales concernant le rapport de la Belgique valant vingtième à vingt-deuxième rapports périodiques</w:t>
      </w:r>
      <w:r w:rsidRPr="00650A99">
        <w:rPr>
          <w:b w:val="0"/>
          <w:sz w:val="20"/>
          <w:szCs w:val="14"/>
        </w:rPr>
        <w:footnoteReference w:customMarkFollows="1" w:id="2"/>
        <w:t>*</w:t>
      </w:r>
    </w:p>
    <w:p w14:paraId="6A9455A2" w14:textId="205846D2" w:rsidR="00E31503" w:rsidRPr="00836FC9" w:rsidRDefault="00650A99" w:rsidP="00650A99">
      <w:pPr>
        <w:pStyle w:val="SingleTxtG"/>
      </w:pPr>
      <w:r>
        <w:t>1.</w:t>
      </w:r>
      <w:r>
        <w:tab/>
      </w:r>
      <w:r w:rsidR="00E31503" w:rsidRPr="00836FC9">
        <w:t>Le Comité a examiné le rapport de la Belgique valant vingtième à vingt-deuxième rapports périodiques</w:t>
      </w:r>
      <w:r w:rsidR="00E31503" w:rsidRPr="006D5218">
        <w:rPr>
          <w:rStyle w:val="Appelnotedebasdep"/>
        </w:rPr>
        <w:footnoteReference w:id="3"/>
      </w:r>
      <w:r w:rsidR="00E31503" w:rsidRPr="00836FC9">
        <w:t xml:space="preserve"> à ses 2814</w:t>
      </w:r>
      <w:r w:rsidR="00E31503" w:rsidRPr="00836FC9">
        <w:rPr>
          <w:vertAlign w:val="superscript"/>
        </w:rPr>
        <w:t>e</w:t>
      </w:r>
      <w:r w:rsidR="00E31503" w:rsidRPr="00836FC9">
        <w:t xml:space="preserve"> et 2815</w:t>
      </w:r>
      <w:r w:rsidR="00E31503" w:rsidRPr="00836FC9">
        <w:rPr>
          <w:vertAlign w:val="superscript"/>
        </w:rPr>
        <w:t>e</w:t>
      </w:r>
      <w:r>
        <w:t> </w:t>
      </w:r>
      <w:r w:rsidR="00E31503" w:rsidRPr="00836FC9">
        <w:t>séances</w:t>
      </w:r>
      <w:r w:rsidR="00E31503" w:rsidRPr="006D5218">
        <w:rPr>
          <w:rStyle w:val="Appelnotedebasdep"/>
        </w:rPr>
        <w:footnoteReference w:id="4"/>
      </w:r>
      <w:r w:rsidR="00E31503" w:rsidRPr="00836FC9">
        <w:t>, tenues en format virtuel en raison de la pandémie de maladie à coronavirus (COVID-19), le</w:t>
      </w:r>
      <w:r w:rsidR="00E31503">
        <w:t>s</w:t>
      </w:r>
      <w:r w:rsidR="00E31503" w:rsidRPr="00836FC9">
        <w:t xml:space="preserve"> 20 et 21</w:t>
      </w:r>
      <w:r>
        <w:t> </w:t>
      </w:r>
      <w:r w:rsidR="00E31503" w:rsidRPr="00836FC9">
        <w:t>avril 2021. À sa 282</w:t>
      </w:r>
      <w:r w:rsidR="00E31503">
        <w:t>1</w:t>
      </w:r>
      <w:r w:rsidR="00E31503" w:rsidRPr="00836FC9">
        <w:rPr>
          <w:vertAlign w:val="superscript"/>
        </w:rPr>
        <w:t>e</w:t>
      </w:r>
      <w:r>
        <w:t> </w:t>
      </w:r>
      <w:r w:rsidR="00E31503" w:rsidRPr="00836FC9">
        <w:t xml:space="preserve">séance, le </w:t>
      </w:r>
      <w:r w:rsidR="00917D71" w:rsidRPr="00836FC9">
        <w:t>2</w:t>
      </w:r>
      <w:r w:rsidR="00917D71">
        <w:t>9 </w:t>
      </w:r>
      <w:r w:rsidR="00E31503" w:rsidRPr="00836FC9">
        <w:t>avril 2021, il a adopté les présentes observations finales.</w:t>
      </w:r>
    </w:p>
    <w:p w14:paraId="57A612B3" w14:textId="77777777" w:rsidR="00E31503" w:rsidRDefault="00E31503" w:rsidP="00650A99">
      <w:pPr>
        <w:pStyle w:val="H1G"/>
      </w:pPr>
      <w:r>
        <w:tab/>
        <w:t>A.</w:t>
      </w:r>
      <w:r>
        <w:tab/>
        <w:t xml:space="preserve">Introduction </w:t>
      </w:r>
    </w:p>
    <w:p w14:paraId="1928379E" w14:textId="7800025F" w:rsidR="00E31503" w:rsidRDefault="00650A99" w:rsidP="00650A99">
      <w:pPr>
        <w:pStyle w:val="SingleTxtG"/>
      </w:pPr>
      <w:r>
        <w:t>2.</w:t>
      </w:r>
      <w:r>
        <w:tab/>
      </w:r>
      <w:r w:rsidR="00E31503" w:rsidRPr="005348D6">
        <w:t>Le Comité</w:t>
      </w:r>
      <w:r w:rsidR="00E31503" w:rsidRPr="009E79E2">
        <w:t xml:space="preserve"> </w:t>
      </w:r>
      <w:r w:rsidR="00E31503">
        <w:t xml:space="preserve">accueille avec satisfaction </w:t>
      </w:r>
      <w:r w:rsidR="00E31503" w:rsidRPr="00D86A49">
        <w:t xml:space="preserve">le rapport </w:t>
      </w:r>
      <w:r w:rsidR="00E31503">
        <w:t xml:space="preserve">de </w:t>
      </w:r>
      <w:r w:rsidR="00E31503" w:rsidRPr="00F039E1">
        <w:rPr>
          <w:bCs/>
          <w:lang w:val="fr-CA"/>
        </w:rPr>
        <w:t>l</w:t>
      </w:r>
      <w:r w:rsidR="00E31503">
        <w:rPr>
          <w:bCs/>
          <w:lang w:val="fr-CA"/>
        </w:rPr>
        <w:t>’</w:t>
      </w:r>
      <w:r w:rsidR="00E31503" w:rsidRPr="00F039E1">
        <w:rPr>
          <w:bCs/>
          <w:lang w:val="fr-CA"/>
        </w:rPr>
        <w:t xml:space="preserve">État partie </w:t>
      </w:r>
      <w:r w:rsidR="00E31503" w:rsidRPr="00D86A49">
        <w:t>valant vingtième à vingt-deuxième rapports périodiques</w:t>
      </w:r>
      <w:r w:rsidR="00E31503">
        <w:t xml:space="preserve">. </w:t>
      </w:r>
      <w:r w:rsidR="00E31503">
        <w:rPr>
          <w:bCs/>
        </w:rPr>
        <w:t>Le Comité</w:t>
      </w:r>
      <w:r w:rsidR="00E31503" w:rsidRPr="00F039E1">
        <w:rPr>
          <w:bCs/>
          <w:lang w:val="fr-CA"/>
        </w:rPr>
        <w:t xml:space="preserve"> </w:t>
      </w:r>
      <w:r w:rsidR="00E31503">
        <w:rPr>
          <w:bCs/>
          <w:lang w:val="fr-CA"/>
        </w:rPr>
        <w:t xml:space="preserve">apprécie l’acceptation par </w:t>
      </w:r>
      <w:r w:rsidR="00E31503" w:rsidRPr="00F039E1">
        <w:rPr>
          <w:bCs/>
          <w:lang w:val="fr-CA"/>
        </w:rPr>
        <w:t>l</w:t>
      </w:r>
      <w:r w:rsidR="00E31503">
        <w:rPr>
          <w:bCs/>
          <w:lang w:val="fr-CA"/>
        </w:rPr>
        <w:t>’</w:t>
      </w:r>
      <w:r w:rsidR="00E31503" w:rsidRPr="00F039E1">
        <w:rPr>
          <w:bCs/>
          <w:lang w:val="fr-CA"/>
        </w:rPr>
        <w:t xml:space="preserve">État partie </w:t>
      </w:r>
      <w:r w:rsidR="00E31503">
        <w:t xml:space="preserve">de </w:t>
      </w:r>
      <w:r w:rsidR="00E31503" w:rsidRPr="00592F5B">
        <w:t>mener le dialogue en format virtu</w:t>
      </w:r>
      <w:r w:rsidR="00E31503">
        <w:t>el en raison de la pandémie de COVID</w:t>
      </w:r>
      <w:r w:rsidR="00E31503" w:rsidRPr="00592F5B">
        <w:t>-19</w:t>
      </w:r>
      <w:r w:rsidR="00E31503">
        <w:t xml:space="preserve">. </w:t>
      </w:r>
      <w:r w:rsidR="00E31503" w:rsidRPr="00CE5852">
        <w:t>Il se félicite du dialogue franc et constructif qu</w:t>
      </w:r>
      <w:r w:rsidR="00E31503">
        <w:t>’</w:t>
      </w:r>
      <w:r w:rsidR="00E31503" w:rsidRPr="00CE5852">
        <w:t>il a eu avec la délégation</w:t>
      </w:r>
      <w:r w:rsidR="00E31503">
        <w:t xml:space="preserve"> </w:t>
      </w:r>
      <w:r w:rsidR="00E31503" w:rsidRPr="00CE5852">
        <w:t>de l</w:t>
      </w:r>
      <w:r w:rsidR="00E31503">
        <w:t>’</w:t>
      </w:r>
      <w:r w:rsidR="00E31503" w:rsidRPr="00CE5852">
        <w:t>État partie. Il remercie la délégation pour les informations qu</w:t>
      </w:r>
      <w:r w:rsidR="00E31503">
        <w:t>’</w:t>
      </w:r>
      <w:r w:rsidR="00E31503" w:rsidRPr="00CE5852">
        <w:t>elle lui a fournies lors de l</w:t>
      </w:r>
      <w:r w:rsidR="00E31503">
        <w:t>’</w:t>
      </w:r>
      <w:r w:rsidR="00E31503" w:rsidRPr="00CE5852">
        <w:t>examen du rapport, en réponse aux questions posées par les membres du Comité, et pour les renseignements complémentaires qu</w:t>
      </w:r>
      <w:r w:rsidR="00E31503">
        <w:t>’</w:t>
      </w:r>
      <w:r w:rsidR="00E31503" w:rsidRPr="00CE5852">
        <w:t>elle lui a communiqués après le dialogue.</w:t>
      </w:r>
    </w:p>
    <w:p w14:paraId="36EA7307" w14:textId="77777777" w:rsidR="00E31503" w:rsidRDefault="00E31503" w:rsidP="00650A99">
      <w:pPr>
        <w:pStyle w:val="H1G"/>
      </w:pPr>
      <w:r>
        <w:tab/>
        <w:t>B.</w:t>
      </w:r>
      <w:r>
        <w:tab/>
        <w:t xml:space="preserve">Aspects positifs </w:t>
      </w:r>
    </w:p>
    <w:p w14:paraId="5B4BAA15" w14:textId="3A0A7C6C" w:rsidR="00E31503" w:rsidRDefault="00650A99" w:rsidP="00650A99">
      <w:pPr>
        <w:pStyle w:val="SingleTxtG"/>
        <w:keepNext/>
      </w:pPr>
      <w:r>
        <w:t>3.</w:t>
      </w:r>
      <w:r>
        <w:tab/>
      </w:r>
      <w:r w:rsidR="00E31503" w:rsidRPr="005348D6">
        <w:t>Le Comité</w:t>
      </w:r>
      <w:r w:rsidR="00E31503">
        <w:t xml:space="preserve"> note avec satisfaction que l’État partie a ratifié les instruments internationaux relatifs aux droits de l’homme suivants, ou y a adhéré : </w:t>
      </w:r>
    </w:p>
    <w:p w14:paraId="00C8DFF8" w14:textId="778CA667" w:rsidR="00E31503" w:rsidRDefault="00650A99" w:rsidP="00650A99">
      <w:pPr>
        <w:pStyle w:val="SingleTxtG"/>
        <w:ind w:firstLine="567"/>
      </w:pPr>
      <w:r>
        <w:t>a)</w:t>
      </w:r>
      <w:r>
        <w:tab/>
      </w:r>
      <w:r w:rsidR="00E31503">
        <w:t xml:space="preserve">Le </w:t>
      </w:r>
      <w:r w:rsidR="00E31503" w:rsidRPr="00647DCF">
        <w:t xml:space="preserve">Protocole facultatif se rapportant au Pacte </w:t>
      </w:r>
      <w:r w:rsidR="00E31503">
        <w:t>i</w:t>
      </w:r>
      <w:r w:rsidR="00E31503" w:rsidRPr="00647DCF">
        <w:t xml:space="preserve">nternational relatif aux </w:t>
      </w:r>
      <w:r w:rsidR="00E31503">
        <w:t>d</w:t>
      </w:r>
      <w:r w:rsidR="00E31503" w:rsidRPr="00647DCF">
        <w:t xml:space="preserve">roits </w:t>
      </w:r>
      <w:r w:rsidR="00E31503">
        <w:t>é</w:t>
      </w:r>
      <w:r w:rsidR="00E31503" w:rsidRPr="00647DCF">
        <w:t xml:space="preserve">conomiques, </w:t>
      </w:r>
      <w:r w:rsidR="00E31503">
        <w:t>s</w:t>
      </w:r>
      <w:r w:rsidR="00E31503" w:rsidRPr="00647DCF">
        <w:t xml:space="preserve">ociaux et </w:t>
      </w:r>
      <w:r w:rsidR="00E31503">
        <w:t>c</w:t>
      </w:r>
      <w:r w:rsidR="00E31503" w:rsidRPr="00647DCF">
        <w:t>ulturels</w:t>
      </w:r>
      <w:r w:rsidR="00E31503">
        <w:t>, le 20</w:t>
      </w:r>
      <w:r>
        <w:t> </w:t>
      </w:r>
      <w:r w:rsidR="00E31503">
        <w:t>mai 2014 ;</w:t>
      </w:r>
    </w:p>
    <w:p w14:paraId="3544D5A2" w14:textId="645DB5B6" w:rsidR="00E31503" w:rsidRDefault="00650A99" w:rsidP="00650A99">
      <w:pPr>
        <w:pStyle w:val="SingleTxtG"/>
        <w:ind w:firstLine="567"/>
      </w:pPr>
      <w:r>
        <w:t>b)</w:t>
      </w:r>
      <w:r>
        <w:tab/>
      </w:r>
      <w:r w:rsidR="00E31503">
        <w:t>Le Protocole facultatif à la Convention relative aux droits de l’enfant établissant une procédure de présentation de communications, le 30</w:t>
      </w:r>
      <w:r>
        <w:t> </w:t>
      </w:r>
      <w:r w:rsidR="00E31503">
        <w:t>mai 2014 ;</w:t>
      </w:r>
    </w:p>
    <w:p w14:paraId="2CC46598" w14:textId="5389AB21" w:rsidR="00E31503" w:rsidRDefault="00650A99" w:rsidP="00650A99">
      <w:pPr>
        <w:pStyle w:val="SingleTxtG"/>
        <w:ind w:firstLine="567"/>
      </w:pPr>
      <w:r>
        <w:t>c)</w:t>
      </w:r>
      <w:r>
        <w:tab/>
      </w:r>
      <w:r w:rsidR="00E31503">
        <w:t>La Convention</w:t>
      </w:r>
      <w:r w:rsidR="00E31503" w:rsidRPr="00044119">
        <w:t xml:space="preserve"> sur la réduction des cas d</w:t>
      </w:r>
      <w:r w:rsidR="00E31503">
        <w:t>’</w:t>
      </w:r>
      <w:r w:rsidR="00E31503" w:rsidRPr="00044119">
        <w:t>apatridie</w:t>
      </w:r>
      <w:r w:rsidR="00E31503">
        <w:t xml:space="preserve"> de 1961, le 1</w:t>
      </w:r>
      <w:r w:rsidR="00E31503" w:rsidRPr="00086624">
        <w:rPr>
          <w:vertAlign w:val="superscript"/>
        </w:rPr>
        <w:t>er</w:t>
      </w:r>
      <w:r w:rsidR="00E31503">
        <w:t> juillet 2014.</w:t>
      </w:r>
    </w:p>
    <w:p w14:paraId="057A50FA" w14:textId="75A1AED1" w:rsidR="00E31503" w:rsidRDefault="00650A99" w:rsidP="00650A99">
      <w:pPr>
        <w:pStyle w:val="SingleTxtG"/>
        <w:keepNext/>
      </w:pPr>
      <w:r>
        <w:t>4.</w:t>
      </w:r>
      <w:r>
        <w:tab/>
      </w:r>
      <w:r w:rsidR="00E31503" w:rsidRPr="005348D6">
        <w:t>Le Comité</w:t>
      </w:r>
      <w:r w:rsidR="00E31503" w:rsidRPr="009E79E2">
        <w:t xml:space="preserve"> </w:t>
      </w:r>
      <w:r w:rsidR="00E31503">
        <w:t>salue en outre les</w:t>
      </w:r>
      <w:r w:rsidR="00E31503" w:rsidRPr="00453B13">
        <w:t xml:space="preserve"> mesures législatives, institutionnelles et politique</w:t>
      </w:r>
      <w:r w:rsidR="00E31503">
        <w:t>s</w:t>
      </w:r>
      <w:r w:rsidR="00E31503" w:rsidRPr="00453B13">
        <w:t xml:space="preserve"> ci</w:t>
      </w:r>
      <w:r w:rsidR="00917D71">
        <w:noBreakHyphen/>
      </w:r>
      <w:r w:rsidR="00E31503" w:rsidRPr="00453B13">
        <w:t>après</w:t>
      </w:r>
      <w:r w:rsidR="00E31503">
        <w:t xml:space="preserve"> prises par l’État partie </w:t>
      </w:r>
      <w:r w:rsidR="00E31503" w:rsidRPr="00453B13">
        <w:t>:</w:t>
      </w:r>
    </w:p>
    <w:p w14:paraId="40812CFF" w14:textId="78E9B5C3" w:rsidR="00E31503" w:rsidRDefault="00650A99" w:rsidP="00650A99">
      <w:pPr>
        <w:pStyle w:val="SingleTxtG"/>
        <w:ind w:firstLine="567"/>
        <w:rPr>
          <w:lang w:eastAsia="en-GB"/>
        </w:rPr>
      </w:pPr>
      <w:r>
        <w:rPr>
          <w:lang w:eastAsia="en-GB"/>
        </w:rPr>
        <w:t>a)</w:t>
      </w:r>
      <w:r>
        <w:rPr>
          <w:lang w:eastAsia="en-GB"/>
        </w:rPr>
        <w:tab/>
      </w:r>
      <w:r w:rsidR="00E31503">
        <w:rPr>
          <w:lang w:eastAsia="en-GB"/>
        </w:rPr>
        <w:t>La loi n</w:t>
      </w:r>
      <w:r w:rsidR="00E31503" w:rsidRPr="00086624">
        <w:rPr>
          <w:vertAlign w:val="superscript"/>
          <w:lang w:eastAsia="en-GB"/>
        </w:rPr>
        <w:t>o</w:t>
      </w:r>
      <w:r w:rsidR="00E31503">
        <w:rPr>
          <w:lang w:eastAsia="en-GB"/>
        </w:rPr>
        <w:t> 2018200516 du 15</w:t>
      </w:r>
      <w:r>
        <w:rPr>
          <w:lang w:eastAsia="en-GB"/>
        </w:rPr>
        <w:t> </w:t>
      </w:r>
      <w:r w:rsidR="00E31503">
        <w:rPr>
          <w:lang w:eastAsia="en-GB"/>
        </w:rPr>
        <w:t xml:space="preserve">janvier 2018 portant des dispositions diverses en matière d’emploi, qui a introduit dans le Code pénal social la possibilité pour les inspecteurs sociaux d’effectuer des tests de situation dans le contexte de la discrimination sur le lieu de travail ; </w:t>
      </w:r>
    </w:p>
    <w:p w14:paraId="36A80E3D" w14:textId="36F89C50" w:rsidR="00E31503" w:rsidRDefault="00650A99" w:rsidP="00650A99">
      <w:pPr>
        <w:pStyle w:val="SingleTxtG"/>
        <w:ind w:firstLine="567"/>
        <w:rPr>
          <w:lang w:eastAsia="en-GB"/>
        </w:rPr>
      </w:pPr>
      <w:r>
        <w:lastRenderedPageBreak/>
        <w:t>b)</w:t>
      </w:r>
      <w:r>
        <w:tab/>
      </w:r>
      <w:r w:rsidR="00E31503">
        <w:t>L</w:t>
      </w:r>
      <w:r w:rsidR="00E31503" w:rsidRPr="00453B13">
        <w:rPr>
          <w:lang w:eastAsia="en-GB"/>
        </w:rPr>
        <w:t xml:space="preserve">a loi </w:t>
      </w:r>
      <w:r w:rsidR="00E31503">
        <w:rPr>
          <w:lang w:eastAsia="en-GB"/>
        </w:rPr>
        <w:t>n</w:t>
      </w:r>
      <w:r w:rsidR="00E31503" w:rsidRPr="00390B46">
        <w:rPr>
          <w:vertAlign w:val="superscript"/>
          <w:lang w:eastAsia="en-GB"/>
        </w:rPr>
        <w:t>o</w:t>
      </w:r>
      <w:r w:rsidR="00E31503">
        <w:rPr>
          <w:lang w:eastAsia="en-GB"/>
        </w:rPr>
        <w:t> 2019012931 du 12</w:t>
      </w:r>
      <w:r>
        <w:rPr>
          <w:lang w:eastAsia="en-GB"/>
        </w:rPr>
        <w:t> </w:t>
      </w:r>
      <w:r w:rsidR="00E31503">
        <w:rPr>
          <w:lang w:eastAsia="en-GB"/>
        </w:rPr>
        <w:t>mai 2019 portant création d’un institut fédéral pour la protection et la promotion des droits humains ;</w:t>
      </w:r>
    </w:p>
    <w:p w14:paraId="683702FD" w14:textId="4DEC8BE3" w:rsidR="00E31503" w:rsidRDefault="00650A99" w:rsidP="00650A99">
      <w:pPr>
        <w:pStyle w:val="SingleTxtG"/>
        <w:ind w:firstLine="567"/>
        <w:rPr>
          <w:lang w:eastAsia="en-GB"/>
        </w:rPr>
      </w:pPr>
      <w:r>
        <w:rPr>
          <w:lang w:eastAsia="en-GB"/>
        </w:rPr>
        <w:t>c)</w:t>
      </w:r>
      <w:r>
        <w:rPr>
          <w:lang w:eastAsia="en-GB"/>
        </w:rPr>
        <w:tab/>
      </w:r>
      <w:r w:rsidR="00E31503">
        <w:rPr>
          <w:lang w:eastAsia="en-GB"/>
        </w:rPr>
        <w:t>L</w:t>
      </w:r>
      <w:r w:rsidR="00E31503">
        <w:t xml:space="preserve">’arrêté royal </w:t>
      </w:r>
      <w:r w:rsidR="00E31503">
        <w:rPr>
          <w:lang w:eastAsia="en-GB"/>
        </w:rPr>
        <w:t>n</w:t>
      </w:r>
      <w:r w:rsidR="00E31503" w:rsidRPr="00390B46">
        <w:rPr>
          <w:vertAlign w:val="superscript"/>
          <w:lang w:eastAsia="en-GB"/>
        </w:rPr>
        <w:t>o</w:t>
      </w:r>
      <w:r w:rsidR="00E31503">
        <w:rPr>
          <w:lang w:eastAsia="en-GB"/>
        </w:rPr>
        <w:t xml:space="preserve"> 2019200431 </w:t>
      </w:r>
      <w:r w:rsidR="00E31503">
        <w:t>du 11</w:t>
      </w:r>
      <w:r>
        <w:t> </w:t>
      </w:r>
      <w:r w:rsidR="00E31503">
        <w:t xml:space="preserve">février 2019 fixant les conditions de l’action positive (mesures spéciales) qu’un employeur du secteur privé peut mener à l’égard des groupes à risque. </w:t>
      </w:r>
    </w:p>
    <w:p w14:paraId="217A9308" w14:textId="77777777" w:rsidR="00E31503" w:rsidRPr="0001290C" w:rsidRDefault="00E31503" w:rsidP="00397859">
      <w:pPr>
        <w:pStyle w:val="H1G"/>
        <w:rPr>
          <w:color w:val="000000"/>
          <w:lang w:eastAsia="en-GB"/>
        </w:rPr>
      </w:pPr>
      <w:r>
        <w:tab/>
        <w:t>C.</w:t>
      </w:r>
      <w:r>
        <w:tab/>
        <w:t xml:space="preserve">Préoccupations et recommandations </w:t>
      </w:r>
    </w:p>
    <w:p w14:paraId="76675BB1" w14:textId="77777777" w:rsidR="00E31503" w:rsidRDefault="00E31503" w:rsidP="00397859">
      <w:pPr>
        <w:pStyle w:val="H23G"/>
      </w:pPr>
      <w:r>
        <w:tab/>
      </w:r>
      <w:r>
        <w:tab/>
        <w:t>Collecte de données</w:t>
      </w:r>
    </w:p>
    <w:p w14:paraId="76358192" w14:textId="0D152189" w:rsidR="00E31503" w:rsidRDefault="00650A99" w:rsidP="00650A99">
      <w:pPr>
        <w:pStyle w:val="SingleTxtG"/>
      </w:pPr>
      <w:r>
        <w:t>5.</w:t>
      </w:r>
      <w:r>
        <w:tab/>
      </w:r>
      <w:r w:rsidR="00E31503" w:rsidRPr="00984BB3">
        <w:t>Le Comité</w:t>
      </w:r>
      <w:r w:rsidR="00E31503" w:rsidRPr="00C93481">
        <w:t xml:space="preserve"> </w:t>
      </w:r>
      <w:r w:rsidR="00E31503">
        <w:t xml:space="preserve">prend note des </w:t>
      </w:r>
      <w:r w:rsidR="00E31503" w:rsidRPr="00137862">
        <w:t>informations fourni</w:t>
      </w:r>
      <w:r w:rsidR="00E31503">
        <w:t>e</w:t>
      </w:r>
      <w:r w:rsidR="00E31503" w:rsidRPr="00137862">
        <w:t>s par l</w:t>
      </w:r>
      <w:r w:rsidR="00E31503">
        <w:t>’</w:t>
      </w:r>
      <w:r w:rsidR="00E31503" w:rsidRPr="00137862">
        <w:t>État partie sur la question de la collecte des données</w:t>
      </w:r>
      <w:r w:rsidR="00E31503">
        <w:t xml:space="preserve">, mais </w:t>
      </w:r>
      <w:r w:rsidR="00E31503" w:rsidRPr="00137862">
        <w:t>il</w:t>
      </w:r>
      <w:r w:rsidR="00E31503">
        <w:t xml:space="preserve"> est préoccupé par la législation nationale relative à la </w:t>
      </w:r>
      <w:r w:rsidR="00E31503" w:rsidRPr="000921DE">
        <w:t>collecte</w:t>
      </w:r>
      <w:r w:rsidR="00E31503">
        <w:t xml:space="preserve"> des</w:t>
      </w:r>
      <w:r w:rsidR="00E31503" w:rsidRPr="00FA26B2">
        <w:t xml:space="preserve"> données à caractère personnel </w:t>
      </w:r>
      <w:r w:rsidR="00E31503">
        <w:t xml:space="preserve">révélant </w:t>
      </w:r>
      <w:r w:rsidR="00E31503" w:rsidRPr="00FA26B2">
        <w:t>l</w:t>
      </w:r>
      <w:r w:rsidR="00E31503">
        <w:t>’</w:t>
      </w:r>
      <w:r w:rsidR="00E31503" w:rsidRPr="00FA26B2">
        <w:t>origine raciale ou ethnique</w:t>
      </w:r>
      <w:r w:rsidR="00E31503">
        <w:t>, qui entraîne l’absence de données ventilées complètes et permet difficilement d’évaluer dans quelle mesure l’</w:t>
      </w:r>
      <w:r w:rsidR="00E31503" w:rsidRPr="00627F11">
        <w:rPr>
          <w:lang w:val="fr-FR"/>
        </w:rPr>
        <w:t>É</w:t>
      </w:r>
      <w:r w:rsidR="00E31503">
        <w:t>tat partie s’acquitte des obligations que lui impose la Convention. Il regrette que l’État partie n’ait pas</w:t>
      </w:r>
      <w:r w:rsidR="00E31503" w:rsidRPr="00627F11">
        <w:rPr>
          <w:lang w:val="fr-FR"/>
        </w:rPr>
        <w:t xml:space="preserve"> développé </w:t>
      </w:r>
      <w:r w:rsidR="00E31503">
        <w:rPr>
          <w:lang w:val="fr-FR"/>
        </w:rPr>
        <w:t xml:space="preserve">suffisamment </w:t>
      </w:r>
      <w:r w:rsidR="00E31503" w:rsidRPr="00627F11">
        <w:rPr>
          <w:lang w:val="fr-FR"/>
        </w:rPr>
        <w:t>de critères adaptés et précis permettant de produire des statistiques fiables sur la compos</w:t>
      </w:r>
      <w:r w:rsidR="00E31503">
        <w:rPr>
          <w:lang w:val="fr-FR"/>
        </w:rPr>
        <w:t xml:space="preserve">ition ethnique de sa population </w:t>
      </w:r>
      <w:r w:rsidR="00E31503">
        <w:t>(art. 1</w:t>
      </w:r>
      <w:r w:rsidR="00E31503" w:rsidRPr="00086624">
        <w:rPr>
          <w:vertAlign w:val="superscript"/>
        </w:rPr>
        <w:t>er</w:t>
      </w:r>
      <w:r w:rsidR="00E31503">
        <w:t xml:space="preserve">). </w:t>
      </w:r>
    </w:p>
    <w:p w14:paraId="7DB8AA02" w14:textId="4E401D9B" w:rsidR="00E31503" w:rsidRPr="00A6330A" w:rsidRDefault="00650A99" w:rsidP="00650A99">
      <w:pPr>
        <w:pStyle w:val="SingleTxtG"/>
      </w:pPr>
      <w:r>
        <w:rPr>
          <w:bCs/>
        </w:rPr>
        <w:t>6.</w:t>
      </w:r>
      <w:r>
        <w:rPr>
          <w:bCs/>
        </w:rPr>
        <w:tab/>
      </w:r>
      <w:r w:rsidR="00E31503">
        <w:rPr>
          <w:b/>
        </w:rPr>
        <w:t>Rappelant l’importance des données pour repérer la discrimination raciale et lutter contre celle-ci efficacement, l</w:t>
      </w:r>
      <w:r w:rsidR="00E31503" w:rsidRPr="00C93481">
        <w:rPr>
          <w:b/>
          <w:bCs/>
          <w:lang w:val="fr-FR"/>
        </w:rPr>
        <w:t xml:space="preserve">e Comité </w:t>
      </w:r>
      <w:r w:rsidR="00E31503">
        <w:rPr>
          <w:b/>
          <w:bCs/>
          <w:lang w:val="fr-FR"/>
        </w:rPr>
        <w:t xml:space="preserve">prend note des plans annoncés devant aboutir en 2021 et </w:t>
      </w:r>
      <w:r w:rsidR="00E31503" w:rsidRPr="00A6330A">
        <w:rPr>
          <w:b/>
          <w:bCs/>
          <w:lang w:val="fr-FR"/>
        </w:rPr>
        <w:t>recommande à l</w:t>
      </w:r>
      <w:r w:rsidR="00E31503">
        <w:rPr>
          <w:b/>
          <w:bCs/>
          <w:lang w:val="fr-FR"/>
        </w:rPr>
        <w:t>’</w:t>
      </w:r>
      <w:r w:rsidR="00E31503" w:rsidRPr="00A6330A">
        <w:rPr>
          <w:b/>
          <w:bCs/>
          <w:lang w:val="fr-FR"/>
        </w:rPr>
        <w:t>État partie de s</w:t>
      </w:r>
      <w:r w:rsidR="00E31503">
        <w:rPr>
          <w:b/>
          <w:bCs/>
          <w:lang w:val="fr-FR"/>
        </w:rPr>
        <w:t>’</w:t>
      </w:r>
      <w:r w:rsidR="00E31503" w:rsidRPr="00A6330A">
        <w:rPr>
          <w:b/>
          <w:bCs/>
          <w:lang w:val="fr-FR"/>
        </w:rPr>
        <w:t>efforcer de concevoir des outils qui lui permettront d</w:t>
      </w:r>
      <w:r w:rsidR="00E31503">
        <w:rPr>
          <w:b/>
          <w:bCs/>
          <w:lang w:val="fr-FR"/>
        </w:rPr>
        <w:t>’</w:t>
      </w:r>
      <w:r w:rsidR="00E31503" w:rsidRPr="00A6330A">
        <w:rPr>
          <w:b/>
          <w:bCs/>
          <w:lang w:val="fr-FR"/>
        </w:rPr>
        <w:t>obtenir une vue d</w:t>
      </w:r>
      <w:r w:rsidR="00E31503">
        <w:rPr>
          <w:b/>
          <w:bCs/>
          <w:lang w:val="fr-FR"/>
        </w:rPr>
        <w:t>’</w:t>
      </w:r>
      <w:r w:rsidR="00E31503" w:rsidRPr="00A6330A">
        <w:rPr>
          <w:b/>
          <w:bCs/>
          <w:lang w:val="fr-FR"/>
        </w:rPr>
        <w:t xml:space="preserve">ensemble </w:t>
      </w:r>
      <w:r w:rsidR="00E31503" w:rsidRPr="00A6330A">
        <w:rPr>
          <w:b/>
          <w:bCs/>
        </w:rPr>
        <w:t>de l</w:t>
      </w:r>
      <w:r w:rsidR="00E31503">
        <w:rPr>
          <w:b/>
          <w:bCs/>
        </w:rPr>
        <w:t xml:space="preserve">a composition de sa population. </w:t>
      </w:r>
      <w:r w:rsidR="00E31503" w:rsidRPr="00A6330A">
        <w:rPr>
          <w:b/>
          <w:bCs/>
        </w:rPr>
        <w:t>À ce propos, l</w:t>
      </w:r>
      <w:r w:rsidR="00E31503">
        <w:rPr>
          <w:b/>
          <w:bCs/>
        </w:rPr>
        <w:t>’</w:t>
      </w:r>
      <w:r w:rsidR="00E31503" w:rsidRPr="00A6330A">
        <w:rPr>
          <w:b/>
          <w:bCs/>
        </w:rPr>
        <w:t>État partie devrait fournir des renseignements sur toute information sur l</w:t>
      </w:r>
      <w:r w:rsidR="00E31503">
        <w:rPr>
          <w:b/>
          <w:bCs/>
        </w:rPr>
        <w:t>’</w:t>
      </w:r>
      <w:r w:rsidR="00E31503" w:rsidRPr="00A6330A">
        <w:rPr>
          <w:b/>
          <w:bCs/>
        </w:rPr>
        <w:t>ascendance ou l</w:t>
      </w:r>
      <w:r w:rsidR="00E31503">
        <w:rPr>
          <w:b/>
          <w:bCs/>
        </w:rPr>
        <w:t>’</w:t>
      </w:r>
      <w:r w:rsidR="00E31503" w:rsidRPr="00A6330A">
        <w:rPr>
          <w:b/>
          <w:bCs/>
        </w:rPr>
        <w:t>origine nationale ou ethnique découlant d</w:t>
      </w:r>
      <w:r w:rsidR="00E31503">
        <w:rPr>
          <w:b/>
          <w:bCs/>
        </w:rPr>
        <w:t>’</w:t>
      </w:r>
      <w:r w:rsidR="00E31503" w:rsidRPr="00A6330A">
        <w:rPr>
          <w:b/>
          <w:bCs/>
        </w:rPr>
        <w:t>enquêtes sociales</w:t>
      </w:r>
      <w:r w:rsidR="00E31503">
        <w:rPr>
          <w:b/>
          <w:bCs/>
        </w:rPr>
        <w:t xml:space="preserve"> ainsi que sur</w:t>
      </w:r>
      <w:r w:rsidR="00E31503" w:rsidRPr="00A6330A">
        <w:rPr>
          <w:b/>
          <w:bCs/>
        </w:rPr>
        <w:t xml:space="preserve"> les langues maternelles, les langues couramment parlées ou tout autre indic</w:t>
      </w:r>
      <w:r w:rsidR="00E31503">
        <w:rPr>
          <w:b/>
          <w:bCs/>
        </w:rPr>
        <w:t>ateur de la diversité ethnique</w:t>
      </w:r>
      <w:r w:rsidR="00E31503" w:rsidRPr="00A6330A">
        <w:rPr>
          <w:b/>
          <w:bCs/>
        </w:rPr>
        <w:t xml:space="preserve">. </w:t>
      </w:r>
      <w:r w:rsidR="00E31503">
        <w:rPr>
          <w:b/>
          <w:bCs/>
        </w:rPr>
        <w:t xml:space="preserve">Les données devraient être chiffrées et fournir </w:t>
      </w:r>
      <w:r w:rsidR="00E31503" w:rsidRPr="00A6330A">
        <w:rPr>
          <w:b/>
          <w:bCs/>
        </w:rPr>
        <w:t>une description qualitative des caractéristiques ethniques de la population</w:t>
      </w:r>
      <w:r w:rsidR="00E31503" w:rsidRPr="0007366A">
        <w:rPr>
          <w:b/>
          <w:bCs/>
        </w:rPr>
        <w:t xml:space="preserve"> </w:t>
      </w:r>
      <w:r w:rsidR="00E31503" w:rsidRPr="00A6330A">
        <w:rPr>
          <w:b/>
          <w:bCs/>
        </w:rPr>
        <w:t>recueillie</w:t>
      </w:r>
      <w:r w:rsidR="00E31503">
        <w:rPr>
          <w:b/>
          <w:bCs/>
        </w:rPr>
        <w:t>s</w:t>
      </w:r>
      <w:r w:rsidR="00E31503" w:rsidRPr="00A6330A">
        <w:rPr>
          <w:b/>
          <w:bCs/>
        </w:rPr>
        <w:t xml:space="preserve"> </w:t>
      </w:r>
      <w:r w:rsidR="00E31503" w:rsidRPr="006A039F">
        <w:rPr>
          <w:b/>
          <w:bCs/>
        </w:rPr>
        <w:t>à titre volontaire et anonyme</w:t>
      </w:r>
      <w:r w:rsidR="00E31503" w:rsidRPr="00A6330A">
        <w:rPr>
          <w:b/>
          <w:bCs/>
        </w:rPr>
        <w:t xml:space="preserve"> et sur la base du principe de l</w:t>
      </w:r>
      <w:r w:rsidR="00E31503">
        <w:rPr>
          <w:b/>
          <w:bCs/>
        </w:rPr>
        <w:t>’</w:t>
      </w:r>
      <w:r w:rsidR="00E31503" w:rsidRPr="00A6330A">
        <w:rPr>
          <w:b/>
          <w:bCs/>
        </w:rPr>
        <w:t>auto-identification.</w:t>
      </w:r>
    </w:p>
    <w:p w14:paraId="305F0531" w14:textId="77777777" w:rsidR="00E31503" w:rsidRPr="00A83D9C" w:rsidRDefault="00E31503" w:rsidP="00397859">
      <w:pPr>
        <w:pStyle w:val="H23G"/>
      </w:pPr>
      <w:r w:rsidRPr="00A83D9C">
        <w:tab/>
      </w:r>
      <w:r w:rsidRPr="00A83D9C">
        <w:tab/>
        <w:t>Institution nationale des droits de l</w:t>
      </w:r>
      <w:r>
        <w:t>’</w:t>
      </w:r>
      <w:r w:rsidRPr="00A83D9C">
        <w:t xml:space="preserve">homme </w:t>
      </w:r>
    </w:p>
    <w:p w14:paraId="4856E305" w14:textId="3A6CD4F3" w:rsidR="00E31503" w:rsidRPr="00917D71" w:rsidRDefault="00650A99" w:rsidP="00650A99">
      <w:pPr>
        <w:pStyle w:val="SingleTxtG"/>
      </w:pPr>
      <w:r>
        <w:t>7.</w:t>
      </w:r>
      <w:r>
        <w:tab/>
      </w:r>
      <w:r w:rsidR="00E31503" w:rsidRPr="00E311E7">
        <w:t>Tout</w:t>
      </w:r>
      <w:r w:rsidR="00E31503" w:rsidRPr="00C93481">
        <w:t xml:space="preserve"> en prenant note</w:t>
      </w:r>
      <w:r w:rsidR="00E31503">
        <w:t xml:space="preserve"> de</w:t>
      </w:r>
      <w:r w:rsidR="00E31503" w:rsidRPr="00173948">
        <w:t xml:space="preserve"> la création </w:t>
      </w:r>
      <w:r w:rsidR="00E31503">
        <w:t xml:space="preserve">de </w:t>
      </w:r>
      <w:r w:rsidR="00E31503">
        <w:rPr>
          <w:lang w:eastAsia="en-GB"/>
        </w:rPr>
        <w:t xml:space="preserve">l’Institut fédéral pour la protection et la promotion des </w:t>
      </w:r>
      <w:r w:rsidR="00E31503" w:rsidRPr="00453B13">
        <w:rPr>
          <w:lang w:eastAsia="en-GB"/>
        </w:rPr>
        <w:t xml:space="preserve">droits </w:t>
      </w:r>
      <w:r w:rsidR="00E31503">
        <w:rPr>
          <w:lang w:eastAsia="en-GB"/>
        </w:rPr>
        <w:t xml:space="preserve">humains, </w:t>
      </w:r>
      <w:r w:rsidR="00E31503">
        <w:t xml:space="preserve">le Comité est préoccupé du fait qu’actuellement, l’Institut a un mandat limité, ne couvrant que les droits fondamentaux qui relèvent de la compétence fédérale. Il s’inquiète, en outre, de ce que l’Institut ne puisse pas examiner les questions traitées par des institutions sectorielles pour la promotion et la protection des droits de l’homme ainsi que de l’absence d’un protocole de collaboration avec lesdites institutions. Par ailleurs, le Comité </w:t>
      </w:r>
      <w:r w:rsidR="00E31503" w:rsidRPr="00917D71">
        <w:t>est préoccupé par le fait que l’Institut</w:t>
      </w:r>
      <w:r w:rsidR="00E31503" w:rsidRPr="00397859">
        <w:t xml:space="preserve"> </w:t>
      </w:r>
      <w:r w:rsidR="00E31503" w:rsidRPr="00917D71">
        <w:t>n’a pas de mandat pour recevoir et traiter des plaintes individuelles (art. 2).</w:t>
      </w:r>
    </w:p>
    <w:p w14:paraId="485015D3" w14:textId="56BC8189" w:rsidR="00E31503" w:rsidRPr="00A46E5E" w:rsidRDefault="00650A99" w:rsidP="00650A99">
      <w:pPr>
        <w:pStyle w:val="SingleTxtG"/>
        <w:rPr>
          <w:b/>
        </w:rPr>
      </w:pPr>
      <w:r>
        <w:rPr>
          <w:bCs/>
        </w:rPr>
        <w:t>8.</w:t>
      </w:r>
      <w:r>
        <w:rPr>
          <w:bCs/>
        </w:rPr>
        <w:tab/>
      </w:r>
      <w:r w:rsidR="00E31503" w:rsidRPr="00B63C06">
        <w:rPr>
          <w:b/>
        </w:rPr>
        <w:t>Le Comité</w:t>
      </w:r>
      <w:r w:rsidR="00E31503" w:rsidRPr="00A46E5E">
        <w:rPr>
          <w:b/>
        </w:rPr>
        <w:t xml:space="preserve"> recommande à l</w:t>
      </w:r>
      <w:r w:rsidR="00E31503">
        <w:rPr>
          <w:b/>
        </w:rPr>
        <w:t>’</w:t>
      </w:r>
      <w:r w:rsidR="00E31503" w:rsidRPr="00A46E5E">
        <w:rPr>
          <w:b/>
        </w:rPr>
        <w:t>État partie</w:t>
      </w:r>
      <w:r w:rsidR="00917D71">
        <w:rPr>
          <w:b/>
        </w:rPr>
        <w:t xml:space="preserve"> </w:t>
      </w:r>
      <w:r w:rsidR="00E31503" w:rsidRPr="00A46E5E">
        <w:rPr>
          <w:b/>
        </w:rPr>
        <w:t>d</w:t>
      </w:r>
      <w:r w:rsidR="00E31503">
        <w:rPr>
          <w:b/>
        </w:rPr>
        <w:t>’</w:t>
      </w:r>
      <w:r w:rsidR="00E31503" w:rsidRPr="00A46E5E">
        <w:rPr>
          <w:b/>
        </w:rPr>
        <w:t>adopter les mesures nécessaires, en consultation avec la société civile et les autres parties prenantes, pour rendre l</w:t>
      </w:r>
      <w:r w:rsidR="00E31503">
        <w:rPr>
          <w:b/>
        </w:rPr>
        <w:t>’</w:t>
      </w:r>
      <w:r w:rsidR="00E31503" w:rsidRPr="00A46E5E">
        <w:rPr>
          <w:b/>
        </w:rPr>
        <w:t>Institut fédéral pour la protection et la promotion des droits humains</w:t>
      </w:r>
      <w:r w:rsidR="00E31503" w:rsidRPr="00A46E5E" w:rsidDel="00E4532B">
        <w:rPr>
          <w:b/>
        </w:rPr>
        <w:t xml:space="preserve"> </w:t>
      </w:r>
      <w:r w:rsidR="00E31503" w:rsidRPr="00A46E5E">
        <w:rPr>
          <w:b/>
        </w:rPr>
        <w:t xml:space="preserve">pleinement conforme aux </w:t>
      </w:r>
      <w:r w:rsidR="00E31503" w:rsidRPr="00E72E83">
        <w:rPr>
          <w:b/>
        </w:rPr>
        <w:t>Principes concernant le statut des institutions nationales pour la promotion et la protection des droits de l</w:t>
      </w:r>
      <w:r w:rsidR="00E31503">
        <w:rPr>
          <w:b/>
        </w:rPr>
        <w:t>’</w:t>
      </w:r>
      <w:r w:rsidR="00E31503" w:rsidRPr="00E72E83">
        <w:rPr>
          <w:b/>
        </w:rPr>
        <w:t>homm</w:t>
      </w:r>
      <w:r w:rsidR="00E31503">
        <w:rPr>
          <w:b/>
        </w:rPr>
        <w:t>e</w:t>
      </w:r>
      <w:r w:rsidR="00E31503" w:rsidRPr="00A46E5E">
        <w:rPr>
          <w:b/>
        </w:rPr>
        <w:t xml:space="preserve"> </w:t>
      </w:r>
      <w:r w:rsidR="00E31503">
        <w:rPr>
          <w:b/>
        </w:rPr>
        <w:t>(</w:t>
      </w:r>
      <w:r w:rsidR="00E31503" w:rsidRPr="00A46E5E">
        <w:rPr>
          <w:b/>
        </w:rPr>
        <w:t>Principes de Paris</w:t>
      </w:r>
      <w:r w:rsidR="00E31503">
        <w:rPr>
          <w:b/>
        </w:rPr>
        <w:t>)</w:t>
      </w:r>
      <w:r w:rsidR="00E31503" w:rsidRPr="00A46E5E">
        <w:rPr>
          <w:b/>
        </w:rPr>
        <w:t>, notamment en veillant à ce que son mandat couvre l</w:t>
      </w:r>
      <w:r w:rsidR="00E31503">
        <w:rPr>
          <w:b/>
        </w:rPr>
        <w:t>’</w:t>
      </w:r>
      <w:r w:rsidR="00E31503" w:rsidRPr="00A46E5E">
        <w:rPr>
          <w:b/>
        </w:rPr>
        <w:t>ensemble des droits de l</w:t>
      </w:r>
      <w:r w:rsidR="00E31503">
        <w:rPr>
          <w:b/>
        </w:rPr>
        <w:t>’</w:t>
      </w:r>
      <w:r w:rsidR="00E31503" w:rsidRPr="00A46E5E">
        <w:rPr>
          <w:b/>
        </w:rPr>
        <w:t>homme pour tout le territoire de l</w:t>
      </w:r>
      <w:r w:rsidR="00E31503">
        <w:rPr>
          <w:b/>
        </w:rPr>
        <w:t>’</w:t>
      </w:r>
      <w:r w:rsidR="00E31503" w:rsidRPr="00A46E5E">
        <w:rPr>
          <w:b/>
        </w:rPr>
        <w:t>État partie, y compris le</w:t>
      </w:r>
      <w:r w:rsidR="00E31503">
        <w:rPr>
          <w:b/>
        </w:rPr>
        <w:t>s</w:t>
      </w:r>
      <w:r w:rsidR="00E31503" w:rsidRPr="00A46E5E">
        <w:rPr>
          <w:b/>
        </w:rPr>
        <w:t xml:space="preserve"> niveau</w:t>
      </w:r>
      <w:r w:rsidR="00E31503">
        <w:rPr>
          <w:b/>
        </w:rPr>
        <w:t>x</w:t>
      </w:r>
      <w:r w:rsidR="00E31503" w:rsidRPr="00A46E5E">
        <w:rPr>
          <w:b/>
        </w:rPr>
        <w:t xml:space="preserve"> fédéral et régional</w:t>
      </w:r>
      <w:r w:rsidR="00E31503">
        <w:rPr>
          <w:b/>
        </w:rPr>
        <w:t>. Il lui recommande également d</w:t>
      </w:r>
      <w:r w:rsidR="00E31503" w:rsidRPr="00A46E5E">
        <w:rPr>
          <w:b/>
        </w:rPr>
        <w:t>e confier à l</w:t>
      </w:r>
      <w:r w:rsidR="00E31503">
        <w:rPr>
          <w:b/>
        </w:rPr>
        <w:t>’</w:t>
      </w:r>
      <w:r w:rsidR="00E31503" w:rsidRPr="00A46E5E">
        <w:rPr>
          <w:b/>
        </w:rPr>
        <w:t xml:space="preserve">Institut le mandat de recevoir et </w:t>
      </w:r>
      <w:r w:rsidR="00E31503">
        <w:rPr>
          <w:b/>
        </w:rPr>
        <w:t xml:space="preserve">de </w:t>
      </w:r>
      <w:r w:rsidR="00E31503" w:rsidRPr="00A46E5E">
        <w:rPr>
          <w:b/>
        </w:rPr>
        <w:t>traiter les plaintes individuelles</w:t>
      </w:r>
      <w:r w:rsidR="00E31503">
        <w:rPr>
          <w:b/>
        </w:rPr>
        <w:t xml:space="preserve">, y compris les cas de discrimination linguistique concernant les minorités, </w:t>
      </w:r>
      <w:r w:rsidR="00E31503" w:rsidRPr="00A46E5E">
        <w:rPr>
          <w:b/>
        </w:rPr>
        <w:t xml:space="preserve">et </w:t>
      </w:r>
      <w:r w:rsidR="00E31503">
        <w:rPr>
          <w:b/>
        </w:rPr>
        <w:t xml:space="preserve">de </w:t>
      </w:r>
      <w:r w:rsidR="00E31503" w:rsidRPr="00A46E5E">
        <w:rPr>
          <w:b/>
        </w:rPr>
        <w:t>lui allouer les ressources humaines et financières suffisantes pour lui permettre</w:t>
      </w:r>
      <w:r w:rsidR="00E31503">
        <w:rPr>
          <w:b/>
        </w:rPr>
        <w:t xml:space="preserve"> de s’acquitter de ses mandats.</w:t>
      </w:r>
    </w:p>
    <w:p w14:paraId="436225C8" w14:textId="77777777" w:rsidR="00E31503" w:rsidRPr="006B62E2" w:rsidRDefault="00E31503" w:rsidP="00397859">
      <w:pPr>
        <w:pStyle w:val="H23G"/>
      </w:pPr>
      <w:r>
        <w:tab/>
      </w:r>
      <w:r>
        <w:tab/>
      </w:r>
      <w:r w:rsidRPr="006B62E2">
        <w:t>Cadre institutionnel</w:t>
      </w:r>
    </w:p>
    <w:p w14:paraId="2750333D" w14:textId="310D7883" w:rsidR="00E31503" w:rsidRPr="007E1E43" w:rsidRDefault="00650A99" w:rsidP="00650A99">
      <w:pPr>
        <w:pStyle w:val="SingleTxtG"/>
        <w:rPr>
          <w:lang w:val="fr-FR"/>
        </w:rPr>
      </w:pPr>
      <w:r>
        <w:t>9.</w:t>
      </w:r>
      <w:r>
        <w:tab/>
      </w:r>
      <w:r w:rsidR="00E31503" w:rsidRPr="005047F0">
        <w:t>Le Comité</w:t>
      </w:r>
      <w:r w:rsidR="00E31503" w:rsidRPr="00C93481">
        <w:t xml:space="preserve"> </w:t>
      </w:r>
      <w:r w:rsidR="00E31503" w:rsidRPr="007E1E43">
        <w:t xml:space="preserve">prend note </w:t>
      </w:r>
      <w:r w:rsidR="00E31503">
        <w:t xml:space="preserve">des activités d’Unia dans les domaines de la </w:t>
      </w:r>
      <w:r w:rsidR="00E31503" w:rsidRPr="007E1E43">
        <w:t xml:space="preserve">lutte contre la discrimination et </w:t>
      </w:r>
      <w:r w:rsidR="00E31503">
        <w:t xml:space="preserve">de </w:t>
      </w:r>
      <w:r w:rsidR="00E31503" w:rsidRPr="007E1E43">
        <w:t>l</w:t>
      </w:r>
      <w:r w:rsidR="00E31503">
        <w:t>’</w:t>
      </w:r>
      <w:r w:rsidR="00E31503" w:rsidRPr="007E1E43">
        <w:t xml:space="preserve">égalité des chances en </w:t>
      </w:r>
      <w:r w:rsidR="00E31503">
        <w:t xml:space="preserve">Belgique, y compris la discrimination raciale. Néanmoins, il reste préoccupé par la décision du gouvernement flamand de se retirer en 2023 de l’Accord de coopération réglant la création et le fonctionnement d’Unia, conclu entre l’État fédéral, les communautés et les régions, dans le but de créer sa propre institution de lutte contre la discrimination en Flandre. Le Comité est préoccupé par le fait qu’un tel retrait </w:t>
      </w:r>
      <w:r w:rsidR="00E31503">
        <w:lastRenderedPageBreak/>
        <w:t xml:space="preserve">entraînerait une perte des ressources d’Unia ainsi qu’une complexification additionnelle du système de promotion et de protection des droits de l’homme de la Belgique, et serait finalement préjudiciable à l’évolution de la mise en œuvre de la Convention dans l’ordre juridique interne (art. 2). </w:t>
      </w:r>
    </w:p>
    <w:p w14:paraId="4ACA6CDF" w14:textId="46E8D037" w:rsidR="00E31503" w:rsidRPr="00C93481" w:rsidRDefault="00650A99" w:rsidP="00650A99">
      <w:pPr>
        <w:pStyle w:val="SingleTxtG"/>
        <w:rPr>
          <w:b/>
          <w:lang w:val="fr-FR"/>
        </w:rPr>
      </w:pPr>
      <w:r>
        <w:rPr>
          <w:bCs/>
          <w:lang w:val="fr-FR"/>
        </w:rPr>
        <w:t>10.</w:t>
      </w:r>
      <w:r>
        <w:rPr>
          <w:bCs/>
          <w:lang w:val="fr-FR"/>
        </w:rPr>
        <w:tab/>
      </w:r>
      <w:r w:rsidR="00E31503" w:rsidRPr="008C3157">
        <w:rPr>
          <w:b/>
          <w:lang w:val="fr-FR"/>
        </w:rPr>
        <w:t>Le Comité</w:t>
      </w:r>
      <w:r w:rsidR="00E31503" w:rsidRPr="00C93481">
        <w:rPr>
          <w:b/>
          <w:lang w:val="fr-FR"/>
        </w:rPr>
        <w:t xml:space="preserve"> recommande à l</w:t>
      </w:r>
      <w:r w:rsidR="00E31503">
        <w:rPr>
          <w:b/>
          <w:lang w:val="fr-FR"/>
        </w:rPr>
        <w:t>’</w:t>
      </w:r>
      <w:r w:rsidR="00E31503" w:rsidRPr="00C93481">
        <w:rPr>
          <w:b/>
          <w:lang w:val="fr-FR"/>
        </w:rPr>
        <w:t>État partie de</w:t>
      </w:r>
      <w:r w:rsidR="00E31503">
        <w:rPr>
          <w:b/>
          <w:lang w:val="fr-FR"/>
        </w:rPr>
        <w:t xml:space="preserve"> </w:t>
      </w:r>
      <w:r w:rsidR="00E31503" w:rsidRPr="008C3157">
        <w:rPr>
          <w:b/>
          <w:lang w:val="fr-FR"/>
        </w:rPr>
        <w:t>s</w:t>
      </w:r>
      <w:r w:rsidR="00E31503">
        <w:rPr>
          <w:b/>
          <w:lang w:val="fr-FR"/>
        </w:rPr>
        <w:t>’</w:t>
      </w:r>
      <w:r w:rsidR="00E31503" w:rsidRPr="008C3157">
        <w:rPr>
          <w:b/>
          <w:lang w:val="fr-FR"/>
        </w:rPr>
        <w:t xml:space="preserve">assurer </w:t>
      </w:r>
      <w:r w:rsidR="00E31503">
        <w:rPr>
          <w:b/>
          <w:lang w:val="fr-FR"/>
        </w:rPr>
        <w:t>de la consolidation et du renforcement du</w:t>
      </w:r>
      <w:r w:rsidR="00E31503" w:rsidRPr="00C93481">
        <w:rPr>
          <w:b/>
          <w:lang w:val="fr-FR"/>
        </w:rPr>
        <w:t xml:space="preserve"> travail d</w:t>
      </w:r>
      <w:r w:rsidR="00E31503">
        <w:rPr>
          <w:b/>
          <w:lang w:val="fr-FR"/>
        </w:rPr>
        <w:t>’</w:t>
      </w:r>
      <w:r w:rsidR="00E31503" w:rsidRPr="00C93481">
        <w:rPr>
          <w:b/>
          <w:lang w:val="fr-FR"/>
        </w:rPr>
        <w:t>U</w:t>
      </w:r>
      <w:r w:rsidR="00E31503">
        <w:rPr>
          <w:b/>
          <w:lang w:val="fr-FR"/>
        </w:rPr>
        <w:t>nia</w:t>
      </w:r>
      <w:r w:rsidR="00E31503" w:rsidRPr="00C93481">
        <w:rPr>
          <w:b/>
          <w:lang w:val="fr-FR"/>
        </w:rPr>
        <w:t xml:space="preserve"> comme institution interfédérale dans le domaine de la lutte contre la discrimination, y compris la discrimination raciale.</w:t>
      </w:r>
    </w:p>
    <w:p w14:paraId="52BF8C50" w14:textId="77777777" w:rsidR="00E31503" w:rsidRPr="000B2722" w:rsidRDefault="00E31503" w:rsidP="00397859">
      <w:pPr>
        <w:pStyle w:val="H23G"/>
      </w:pPr>
      <w:r>
        <w:tab/>
      </w:r>
      <w:r>
        <w:tab/>
      </w:r>
      <w:r w:rsidRPr="000B2722">
        <w:t>Plan d</w:t>
      </w:r>
      <w:r>
        <w:t>’</w:t>
      </w:r>
      <w:r w:rsidRPr="000B2722">
        <w:t xml:space="preserve">action </w:t>
      </w:r>
      <w:r>
        <w:t>de lutte contre le racisme</w:t>
      </w:r>
    </w:p>
    <w:p w14:paraId="1976C915" w14:textId="18C2371E" w:rsidR="00E31503" w:rsidRDefault="00650A99" w:rsidP="00650A99">
      <w:pPr>
        <w:pStyle w:val="SingleTxtG"/>
      </w:pPr>
      <w:r>
        <w:t>11.</w:t>
      </w:r>
      <w:r>
        <w:tab/>
      </w:r>
      <w:r w:rsidR="00E31503" w:rsidRPr="00733917">
        <w:t>Tout en prenant</w:t>
      </w:r>
      <w:r w:rsidR="00E31503">
        <w:t xml:space="preserve"> note de la création d’une conférence interministérielle contre le racisme qui a adopté en </w:t>
      </w:r>
      <w:r>
        <w:t xml:space="preserve">septembre </w:t>
      </w:r>
      <w:r w:rsidR="00E31503">
        <w:t xml:space="preserve">2020 une note de démarrage </w:t>
      </w:r>
      <w:r w:rsidR="00E31503" w:rsidRPr="004A6730">
        <w:rPr>
          <w:rFonts w:cstheme="minorHAnsi"/>
          <w:color w:val="000000"/>
          <w:lang w:val="fr-FR"/>
        </w:rPr>
        <w:t>établi</w:t>
      </w:r>
      <w:r w:rsidR="00E31503">
        <w:rPr>
          <w:rFonts w:cstheme="minorHAnsi"/>
          <w:color w:val="000000"/>
          <w:lang w:val="fr-FR"/>
        </w:rPr>
        <w:t>ssan</w:t>
      </w:r>
      <w:r w:rsidR="00E31503" w:rsidRPr="004A6730">
        <w:rPr>
          <w:rFonts w:cstheme="minorHAnsi"/>
          <w:color w:val="000000"/>
          <w:lang w:val="fr-FR"/>
        </w:rPr>
        <w:t>t les lignes directrices du plan d</w:t>
      </w:r>
      <w:r w:rsidR="00E31503">
        <w:rPr>
          <w:rFonts w:cstheme="minorHAnsi"/>
          <w:color w:val="000000"/>
          <w:lang w:val="fr-FR"/>
        </w:rPr>
        <w:t>’</w:t>
      </w:r>
      <w:r w:rsidR="00E31503" w:rsidRPr="004A6730">
        <w:rPr>
          <w:rFonts w:cstheme="minorHAnsi"/>
          <w:color w:val="000000"/>
          <w:lang w:val="fr-FR"/>
        </w:rPr>
        <w:t>action</w:t>
      </w:r>
      <w:r w:rsidR="00E31503">
        <w:t>, le Comité</w:t>
      </w:r>
      <w:r w:rsidR="00E31503" w:rsidRPr="004B2245">
        <w:t xml:space="preserve"> </w:t>
      </w:r>
      <w:r w:rsidR="00E31503">
        <w:t>est préoccupé</w:t>
      </w:r>
      <w:r w:rsidR="00E31503" w:rsidRPr="00722D80">
        <w:t xml:space="preserve"> </w:t>
      </w:r>
      <w:r w:rsidR="00E31503">
        <w:t xml:space="preserve">par le fait </w:t>
      </w:r>
      <w:r w:rsidR="00E31503" w:rsidRPr="00722D80">
        <w:t>que</w:t>
      </w:r>
      <w:r w:rsidR="00E31503">
        <w:t xml:space="preserve"> l’État partie n’a pas encore adopté de plan </w:t>
      </w:r>
      <w:r w:rsidR="00E31503" w:rsidRPr="00E8536B">
        <w:t>d</w:t>
      </w:r>
      <w:r w:rsidR="00E31503">
        <w:t>’</w:t>
      </w:r>
      <w:r w:rsidR="00E31503" w:rsidRPr="00E8536B">
        <w:t xml:space="preserve">action national </w:t>
      </w:r>
      <w:r w:rsidR="00E31503">
        <w:t>ou interfédéral contre le racisme</w:t>
      </w:r>
      <w:r w:rsidR="00E31503" w:rsidRPr="00722D80">
        <w:t xml:space="preserve">, malgré </w:t>
      </w:r>
      <w:r w:rsidR="00E31503">
        <w:t xml:space="preserve">la </w:t>
      </w:r>
      <w:r w:rsidR="00E31503" w:rsidRPr="00722D80">
        <w:t>recommandation</w:t>
      </w:r>
      <w:r w:rsidR="00E31503">
        <w:t xml:space="preserve"> effectuée dans ses précédentes observations finales</w:t>
      </w:r>
      <w:r w:rsidR="00E31503" w:rsidRPr="006D5218">
        <w:rPr>
          <w:rStyle w:val="Appelnotedebasdep"/>
        </w:rPr>
        <w:footnoteReference w:id="5"/>
      </w:r>
      <w:r w:rsidR="00E31503">
        <w:t xml:space="preserve"> (art. 2). </w:t>
      </w:r>
    </w:p>
    <w:p w14:paraId="7D0CF34E" w14:textId="2530B6A3" w:rsidR="00E31503" w:rsidRPr="003E2D8C" w:rsidRDefault="00650A99" w:rsidP="00650A99">
      <w:pPr>
        <w:pStyle w:val="SingleTxtG"/>
      </w:pPr>
      <w:r>
        <w:rPr>
          <w:bCs/>
        </w:rPr>
        <w:t>12.</w:t>
      </w:r>
      <w:r>
        <w:rPr>
          <w:bCs/>
        </w:rPr>
        <w:tab/>
      </w:r>
      <w:r w:rsidR="00E31503" w:rsidRPr="00733917">
        <w:rPr>
          <w:b/>
        </w:rPr>
        <w:t>Le Comité</w:t>
      </w:r>
      <w:r w:rsidR="00E31503">
        <w:rPr>
          <w:b/>
        </w:rPr>
        <w:t xml:space="preserve"> recommande à l’État partie d’adopter un </w:t>
      </w:r>
      <w:r w:rsidR="00E31503" w:rsidRPr="000E766B">
        <w:rPr>
          <w:b/>
        </w:rPr>
        <w:t>plan d</w:t>
      </w:r>
      <w:r w:rsidR="00E31503">
        <w:rPr>
          <w:b/>
        </w:rPr>
        <w:t>’</w:t>
      </w:r>
      <w:r w:rsidR="00E31503" w:rsidRPr="000E766B">
        <w:rPr>
          <w:b/>
        </w:rPr>
        <w:t>action national de lutte contre le racisme</w:t>
      </w:r>
      <w:r w:rsidR="00E31503">
        <w:rPr>
          <w:b/>
        </w:rPr>
        <w:t xml:space="preserve"> en assurant une</w:t>
      </w:r>
      <w:r w:rsidR="00E31503" w:rsidRPr="000E766B">
        <w:rPr>
          <w:b/>
        </w:rPr>
        <w:t xml:space="preserve"> </w:t>
      </w:r>
      <w:r w:rsidR="00E31503">
        <w:rPr>
          <w:b/>
        </w:rPr>
        <w:t xml:space="preserve">plus ample </w:t>
      </w:r>
      <w:r w:rsidR="00E31503" w:rsidRPr="000E766B">
        <w:rPr>
          <w:b/>
        </w:rPr>
        <w:t xml:space="preserve">participation des acteurs de la société civile concernés et de </w:t>
      </w:r>
      <w:r w:rsidR="00E31503" w:rsidRPr="004E6868">
        <w:rPr>
          <w:b/>
        </w:rPr>
        <w:t>représentants</w:t>
      </w:r>
      <w:r w:rsidR="00E31503" w:rsidRPr="000E766B">
        <w:rPr>
          <w:b/>
        </w:rPr>
        <w:t xml:space="preserve"> de groupes protégés par la Convention dans l</w:t>
      </w:r>
      <w:r w:rsidR="00E31503">
        <w:rPr>
          <w:b/>
        </w:rPr>
        <w:t>’</w:t>
      </w:r>
      <w:r w:rsidR="00E31503" w:rsidRPr="000E766B">
        <w:rPr>
          <w:b/>
        </w:rPr>
        <w:t>élaboration</w:t>
      </w:r>
      <w:r w:rsidR="00E31503">
        <w:rPr>
          <w:b/>
        </w:rPr>
        <w:t xml:space="preserve"> dudit plan. Il lui recommande également</w:t>
      </w:r>
      <w:r w:rsidR="00E31503" w:rsidRPr="000E766B">
        <w:rPr>
          <w:b/>
        </w:rPr>
        <w:t xml:space="preserve"> </w:t>
      </w:r>
      <w:r w:rsidR="00E31503">
        <w:rPr>
          <w:b/>
        </w:rPr>
        <w:t xml:space="preserve">de mettre en place un </w:t>
      </w:r>
      <w:r w:rsidR="00E31503" w:rsidRPr="000E766B">
        <w:rPr>
          <w:b/>
        </w:rPr>
        <w:t xml:space="preserve">organe de suivi </w:t>
      </w:r>
      <w:r w:rsidR="00E31503">
        <w:rPr>
          <w:b/>
        </w:rPr>
        <w:t xml:space="preserve">de la mise en œuvre </w:t>
      </w:r>
      <w:r w:rsidR="00E31503" w:rsidRPr="000E766B">
        <w:rPr>
          <w:b/>
        </w:rPr>
        <w:t>dudit</w:t>
      </w:r>
      <w:r w:rsidR="00E31503">
        <w:rPr>
          <w:b/>
        </w:rPr>
        <w:t xml:space="preserve"> plan. </w:t>
      </w:r>
      <w:r w:rsidR="00E31503" w:rsidRPr="000E766B">
        <w:rPr>
          <w:b/>
        </w:rPr>
        <w:t xml:space="preserve">Le Comité recommande </w:t>
      </w:r>
      <w:r w:rsidR="00E31503">
        <w:rPr>
          <w:b/>
        </w:rPr>
        <w:t>enfin</w:t>
      </w:r>
      <w:r w:rsidR="00E31503" w:rsidRPr="000E766B">
        <w:rPr>
          <w:b/>
        </w:rPr>
        <w:t xml:space="preserve"> que </w:t>
      </w:r>
      <w:r w:rsidR="00E31503">
        <w:rPr>
          <w:b/>
        </w:rPr>
        <w:t>c</w:t>
      </w:r>
      <w:r w:rsidR="00E31503" w:rsidRPr="000E766B">
        <w:rPr>
          <w:b/>
        </w:rPr>
        <w:t xml:space="preserve">e plan </w:t>
      </w:r>
      <w:r w:rsidR="00E31503">
        <w:rPr>
          <w:b/>
        </w:rPr>
        <w:t>intègre la</w:t>
      </w:r>
      <w:r w:rsidR="00E31503" w:rsidRPr="000E766B">
        <w:rPr>
          <w:b/>
          <w:lang w:val="fr-FR"/>
        </w:rPr>
        <w:t xml:space="preserve"> dimension structurelle de la discrimination raciale, </w:t>
      </w:r>
      <w:r w:rsidR="00E31503">
        <w:rPr>
          <w:b/>
          <w:lang w:val="fr-FR"/>
        </w:rPr>
        <w:t>d</w:t>
      </w:r>
      <w:r w:rsidR="00E31503" w:rsidRPr="000E766B">
        <w:rPr>
          <w:b/>
          <w:lang w:val="fr-FR"/>
        </w:rPr>
        <w:t>es objectifs mesurables</w:t>
      </w:r>
      <w:r w:rsidR="00E31503">
        <w:rPr>
          <w:b/>
          <w:lang w:val="fr-FR"/>
        </w:rPr>
        <w:t xml:space="preserve"> et dotés d’un terme fixé, et que soient allouées les</w:t>
      </w:r>
      <w:r w:rsidR="00E31503" w:rsidRPr="000E766B">
        <w:rPr>
          <w:b/>
        </w:rPr>
        <w:t xml:space="preserve"> ressources suffisantes pour </w:t>
      </w:r>
      <w:r w:rsidR="00E31503">
        <w:rPr>
          <w:b/>
        </w:rPr>
        <w:t xml:space="preserve">sa mise en œuvre effective. </w:t>
      </w:r>
    </w:p>
    <w:p w14:paraId="74DEFEE1" w14:textId="77777777" w:rsidR="00E31503" w:rsidRDefault="00E31503" w:rsidP="00397859">
      <w:pPr>
        <w:pStyle w:val="H23G"/>
      </w:pPr>
      <w:r>
        <w:tab/>
      </w:r>
      <w:r>
        <w:tab/>
        <w:t xml:space="preserve">Violences policières </w:t>
      </w:r>
      <w:r w:rsidRPr="00733917">
        <w:t>à caractère raciste</w:t>
      </w:r>
    </w:p>
    <w:p w14:paraId="29E4EE35" w14:textId="6DDE5549" w:rsidR="00E31503" w:rsidRPr="00B63FF6" w:rsidRDefault="00650A99" w:rsidP="00650A99">
      <w:pPr>
        <w:pStyle w:val="SingleTxtG"/>
        <w:rPr>
          <w:b/>
        </w:rPr>
      </w:pPr>
      <w:r>
        <w:rPr>
          <w:lang w:val="fr-FR"/>
        </w:rPr>
        <w:t>13.</w:t>
      </w:r>
      <w:r>
        <w:rPr>
          <w:lang w:val="fr-FR"/>
        </w:rPr>
        <w:tab/>
      </w:r>
      <w:r w:rsidR="00E31503" w:rsidRPr="00733917">
        <w:rPr>
          <w:lang w:val="fr-FR"/>
        </w:rPr>
        <w:t>Le Comité</w:t>
      </w:r>
      <w:r w:rsidR="00E31503" w:rsidRPr="00D7661E">
        <w:rPr>
          <w:lang w:val="fr-FR"/>
        </w:rPr>
        <w:t xml:space="preserve"> </w:t>
      </w:r>
      <w:r w:rsidR="00E31503" w:rsidRPr="00625A7C">
        <w:rPr>
          <w:lang w:val="fr-FR"/>
        </w:rPr>
        <w:t xml:space="preserve">est préoccupé par </w:t>
      </w:r>
      <w:r w:rsidR="00E31503">
        <w:rPr>
          <w:lang w:val="fr-FR"/>
        </w:rPr>
        <w:t xml:space="preserve">les </w:t>
      </w:r>
      <w:r w:rsidR="00E31503" w:rsidRPr="00625A7C">
        <w:rPr>
          <w:lang w:val="fr-FR"/>
        </w:rPr>
        <w:t xml:space="preserve">allégations de décès en détention ou </w:t>
      </w:r>
      <w:r w:rsidR="00E31503">
        <w:rPr>
          <w:lang w:val="fr-FR"/>
        </w:rPr>
        <w:t xml:space="preserve">par </w:t>
      </w:r>
      <w:r w:rsidR="00E31503" w:rsidRPr="00625A7C">
        <w:rPr>
          <w:lang w:val="fr-FR"/>
        </w:rPr>
        <w:t xml:space="preserve">suite </w:t>
      </w:r>
      <w:r w:rsidR="00E31503">
        <w:rPr>
          <w:lang w:val="fr-FR"/>
        </w:rPr>
        <w:t>d’</w:t>
      </w:r>
      <w:r w:rsidR="00E31503" w:rsidRPr="00625A7C">
        <w:rPr>
          <w:lang w:val="fr-FR"/>
        </w:rPr>
        <w:t xml:space="preserve">une intervention de la police ainsi que de violence et de mauvais traitements infligés par des policiers à des personnes appartenant à des minorités ethniques, </w:t>
      </w:r>
      <w:r w:rsidR="00E31503">
        <w:rPr>
          <w:lang w:val="fr-FR"/>
        </w:rPr>
        <w:t xml:space="preserve">des </w:t>
      </w:r>
      <w:r w:rsidR="00E31503" w:rsidRPr="00625A7C">
        <w:rPr>
          <w:lang w:val="fr-FR"/>
        </w:rPr>
        <w:t xml:space="preserve">migrants et </w:t>
      </w:r>
      <w:r w:rsidR="00E31503">
        <w:rPr>
          <w:lang w:val="fr-FR"/>
        </w:rPr>
        <w:t xml:space="preserve">des </w:t>
      </w:r>
      <w:r w:rsidR="00E31503" w:rsidRPr="00625A7C">
        <w:rPr>
          <w:lang w:val="fr-FR"/>
        </w:rPr>
        <w:t>demandeurs d</w:t>
      </w:r>
      <w:r w:rsidR="00E31503">
        <w:rPr>
          <w:lang w:val="fr-FR"/>
        </w:rPr>
        <w:t>’</w:t>
      </w:r>
      <w:r w:rsidR="00E31503" w:rsidRPr="00625A7C">
        <w:rPr>
          <w:lang w:val="fr-FR"/>
        </w:rPr>
        <w:t>asile</w:t>
      </w:r>
      <w:r w:rsidR="00E31503">
        <w:rPr>
          <w:lang w:val="fr-FR"/>
        </w:rPr>
        <w:t>. Le Comité est également préoccupé par les informations selon lesquelles cette violence et ces mauvais traitements</w:t>
      </w:r>
      <w:r w:rsidR="00E31503" w:rsidRPr="00625A7C">
        <w:rPr>
          <w:lang w:val="fr-FR"/>
        </w:rPr>
        <w:t xml:space="preserve"> serai</w:t>
      </w:r>
      <w:r w:rsidR="00E31503">
        <w:rPr>
          <w:lang w:val="fr-FR"/>
        </w:rPr>
        <w:t>ent</w:t>
      </w:r>
      <w:r w:rsidR="00E31503" w:rsidRPr="00625A7C">
        <w:rPr>
          <w:lang w:val="fr-FR"/>
        </w:rPr>
        <w:t xml:space="preserve"> intensifié</w:t>
      </w:r>
      <w:r w:rsidR="00E31503">
        <w:rPr>
          <w:lang w:val="fr-FR"/>
        </w:rPr>
        <w:t>s</w:t>
      </w:r>
      <w:r w:rsidR="00E31503" w:rsidRPr="00625A7C">
        <w:rPr>
          <w:lang w:val="fr-FR"/>
        </w:rPr>
        <w:t xml:space="preserve"> dans le contexte du contrôle des mesures de confinement </w:t>
      </w:r>
      <w:r w:rsidR="00E31503">
        <w:rPr>
          <w:lang w:val="fr-FR"/>
        </w:rPr>
        <w:t>relatives à la pandémie</w:t>
      </w:r>
      <w:r w:rsidR="00E31503" w:rsidRPr="00625A7C">
        <w:rPr>
          <w:lang w:val="fr-FR"/>
        </w:rPr>
        <w:t xml:space="preserve"> </w:t>
      </w:r>
      <w:r w:rsidR="00E31503">
        <w:rPr>
          <w:lang w:val="fr-FR"/>
        </w:rPr>
        <w:t xml:space="preserve">de </w:t>
      </w:r>
      <w:r w:rsidR="00E31503" w:rsidRPr="00625A7C">
        <w:rPr>
          <w:lang w:val="fr-FR"/>
        </w:rPr>
        <w:t>COVID-19</w:t>
      </w:r>
      <w:r w:rsidR="00E31503">
        <w:rPr>
          <w:lang w:val="fr-FR"/>
        </w:rPr>
        <w:t>,</w:t>
      </w:r>
      <w:r w:rsidR="00E31503" w:rsidRPr="00625A7C">
        <w:rPr>
          <w:lang w:val="fr-FR"/>
        </w:rPr>
        <w:t xml:space="preserve"> et lors des </w:t>
      </w:r>
      <w:r w:rsidR="00E31503">
        <w:rPr>
          <w:lang w:val="fr-FR"/>
        </w:rPr>
        <w:t xml:space="preserve">récentes </w:t>
      </w:r>
      <w:r w:rsidR="00E31503" w:rsidRPr="00625A7C">
        <w:rPr>
          <w:lang w:val="fr-FR"/>
        </w:rPr>
        <w:t>manifestations antiracisme</w:t>
      </w:r>
      <w:r w:rsidR="00E31503">
        <w:rPr>
          <w:lang w:val="fr-FR"/>
        </w:rPr>
        <w:t xml:space="preserve"> ayant eu lieu dans l’État partie.</w:t>
      </w:r>
      <w:r w:rsidR="00E31503" w:rsidRPr="00625A7C">
        <w:rPr>
          <w:lang w:val="fr-FR"/>
        </w:rPr>
        <w:t xml:space="preserve"> </w:t>
      </w:r>
      <w:r w:rsidR="00E31503">
        <w:rPr>
          <w:lang w:val="fr-FR"/>
        </w:rPr>
        <w:t>En outre, le Comité est préoccupé</w:t>
      </w:r>
      <w:r w:rsidR="00E31503" w:rsidRPr="00625A7C">
        <w:rPr>
          <w:lang w:val="fr-FR"/>
        </w:rPr>
        <w:t xml:space="preserve"> par l</w:t>
      </w:r>
      <w:r w:rsidR="00E31503">
        <w:rPr>
          <w:lang w:val="fr-FR"/>
        </w:rPr>
        <w:t>e</w:t>
      </w:r>
      <w:r w:rsidR="00E31503" w:rsidRPr="00625A7C">
        <w:rPr>
          <w:lang w:val="fr-FR"/>
        </w:rPr>
        <w:t xml:space="preserve"> manque de données complètes à cet égard</w:t>
      </w:r>
      <w:r w:rsidR="00E31503">
        <w:rPr>
          <w:lang w:val="fr-FR"/>
        </w:rPr>
        <w:t xml:space="preserve"> et s’inquiète</w:t>
      </w:r>
      <w:r w:rsidR="00E31503" w:rsidRPr="00FA140A">
        <w:t xml:space="preserve"> </w:t>
      </w:r>
      <w:r w:rsidR="00E31503">
        <w:t xml:space="preserve">aussi </w:t>
      </w:r>
      <w:r w:rsidR="00E31503" w:rsidRPr="00FA140A">
        <w:t xml:space="preserve">des informations fournies </w:t>
      </w:r>
      <w:r w:rsidR="00E31503">
        <w:t xml:space="preserve">dans le rapport de </w:t>
      </w:r>
      <w:r w:rsidR="00E31503" w:rsidRPr="00FA140A">
        <w:t>l</w:t>
      </w:r>
      <w:r w:rsidR="00E31503">
        <w:t>’</w:t>
      </w:r>
      <w:r w:rsidR="00E31503" w:rsidRPr="00FA140A">
        <w:t>État partie selon lesquelles aucune condamnation n</w:t>
      </w:r>
      <w:r w:rsidR="00E31503">
        <w:t>’</w:t>
      </w:r>
      <w:r w:rsidR="00E31503" w:rsidRPr="00FA140A">
        <w:t xml:space="preserve">a été prononcée pour des faits de </w:t>
      </w:r>
      <w:r w:rsidR="00E31503">
        <w:t xml:space="preserve">racisme à l’encontre d’un policier, d’après </w:t>
      </w:r>
      <w:r w:rsidR="00E31503" w:rsidRPr="00FA140A">
        <w:t>les données à la disposition du Comité permanent de contrôle des se</w:t>
      </w:r>
      <w:r w:rsidR="00E31503">
        <w:t xml:space="preserve">rvices de police pour la période allant de 2014 à 2017. Par ailleurs, le Comité est préoccupé du fait que les cas de violences policières à caractère raciste </w:t>
      </w:r>
      <w:r w:rsidR="00E31503" w:rsidRPr="00625A7C">
        <w:rPr>
          <w:lang w:val="fr-FR"/>
        </w:rPr>
        <w:t xml:space="preserve">sont </w:t>
      </w:r>
      <w:r w:rsidR="00E31503">
        <w:rPr>
          <w:lang w:val="fr-FR"/>
        </w:rPr>
        <w:t>traités</w:t>
      </w:r>
      <w:r w:rsidR="00E31503" w:rsidRPr="00625A7C">
        <w:rPr>
          <w:lang w:val="fr-FR"/>
        </w:rPr>
        <w:t xml:space="preserve"> comme des problèmes isolés</w:t>
      </w:r>
      <w:r w:rsidR="00E31503">
        <w:rPr>
          <w:lang w:val="fr-FR"/>
        </w:rPr>
        <w:t>,</w:t>
      </w:r>
      <w:r w:rsidR="00E31503" w:rsidRPr="00625A7C">
        <w:rPr>
          <w:lang w:val="fr-FR"/>
        </w:rPr>
        <w:t xml:space="preserve"> et</w:t>
      </w:r>
      <w:r w:rsidR="00E31503">
        <w:rPr>
          <w:lang w:val="fr-FR"/>
        </w:rPr>
        <w:t xml:space="preserve"> non</w:t>
      </w:r>
      <w:r w:rsidR="00E31503" w:rsidRPr="00625A7C">
        <w:rPr>
          <w:lang w:val="fr-FR"/>
        </w:rPr>
        <w:t xml:space="preserve"> suivant une approche cohérente et systématique pou</w:t>
      </w:r>
      <w:r w:rsidR="00E31503">
        <w:rPr>
          <w:lang w:val="fr-FR"/>
        </w:rPr>
        <w:t>r faire face à une situation qui</w:t>
      </w:r>
      <w:r w:rsidR="00E31503" w:rsidRPr="00625A7C">
        <w:rPr>
          <w:lang w:val="fr-FR"/>
        </w:rPr>
        <w:t xml:space="preserve"> porte à croire à la présence d</w:t>
      </w:r>
      <w:r w:rsidR="00E31503">
        <w:rPr>
          <w:lang w:val="fr-FR"/>
        </w:rPr>
        <w:t>’</w:t>
      </w:r>
      <w:r w:rsidR="00E31503" w:rsidRPr="00625A7C">
        <w:rPr>
          <w:lang w:val="fr-FR"/>
        </w:rPr>
        <w:t>un défi de di</w:t>
      </w:r>
      <w:r w:rsidR="00E31503">
        <w:rPr>
          <w:lang w:val="fr-FR"/>
        </w:rPr>
        <w:t>scrimination structurelle (art. </w:t>
      </w:r>
      <w:r w:rsidR="00E31503" w:rsidRPr="00625A7C">
        <w:rPr>
          <w:lang w:val="fr-FR"/>
        </w:rPr>
        <w:t>2</w:t>
      </w:r>
      <w:r w:rsidR="00E31503">
        <w:rPr>
          <w:lang w:val="fr-FR"/>
        </w:rPr>
        <w:t>, 4</w:t>
      </w:r>
      <w:r w:rsidR="00E31503" w:rsidRPr="00625A7C">
        <w:rPr>
          <w:lang w:val="fr-FR"/>
        </w:rPr>
        <w:t xml:space="preserve"> et</w:t>
      </w:r>
      <w:r>
        <w:rPr>
          <w:lang w:val="fr-FR"/>
        </w:rPr>
        <w:t xml:space="preserve"> </w:t>
      </w:r>
      <w:r w:rsidR="00E31503" w:rsidRPr="00625A7C">
        <w:rPr>
          <w:lang w:val="fr-FR"/>
        </w:rPr>
        <w:t>6).</w:t>
      </w:r>
    </w:p>
    <w:p w14:paraId="4E933375" w14:textId="4BF66532" w:rsidR="00E31503" w:rsidRPr="00D671EC" w:rsidRDefault="00650A99" w:rsidP="00397859">
      <w:pPr>
        <w:pStyle w:val="SingleTxtG"/>
        <w:keepNext/>
        <w:rPr>
          <w:b/>
          <w:lang w:val="fr-FR"/>
        </w:rPr>
      </w:pPr>
      <w:r>
        <w:rPr>
          <w:lang w:val="fr-FR"/>
        </w:rPr>
        <w:t>14.</w:t>
      </w:r>
      <w:r>
        <w:rPr>
          <w:lang w:val="fr-FR"/>
        </w:rPr>
        <w:tab/>
      </w:r>
      <w:r w:rsidR="00E31503" w:rsidRPr="00B34D68">
        <w:rPr>
          <w:b/>
          <w:bCs/>
          <w:lang w:val="fr-FR"/>
        </w:rPr>
        <w:t>Le Comité recommande à l</w:t>
      </w:r>
      <w:r w:rsidR="00E31503">
        <w:rPr>
          <w:b/>
          <w:bCs/>
          <w:lang w:val="fr-FR"/>
        </w:rPr>
        <w:t>’</w:t>
      </w:r>
      <w:r w:rsidR="00E31503" w:rsidRPr="00B34D68">
        <w:rPr>
          <w:b/>
          <w:bCs/>
          <w:lang w:val="fr-FR"/>
        </w:rPr>
        <w:t>État partie</w:t>
      </w:r>
      <w:r w:rsidR="00E31503">
        <w:rPr>
          <w:b/>
          <w:bCs/>
          <w:lang w:val="fr-FR"/>
        </w:rPr>
        <w:t> :</w:t>
      </w:r>
    </w:p>
    <w:p w14:paraId="0029DEEF" w14:textId="057AD339" w:rsidR="00E31503" w:rsidRPr="00086624" w:rsidRDefault="00650A99" w:rsidP="00397859">
      <w:pPr>
        <w:pStyle w:val="SingleTxtG"/>
        <w:ind w:firstLine="567"/>
        <w:rPr>
          <w:b/>
          <w:lang w:val="fr-FR"/>
        </w:rPr>
      </w:pPr>
      <w:r>
        <w:rPr>
          <w:b/>
          <w:bCs/>
          <w:lang w:val="fr-FR"/>
        </w:rPr>
        <w:t>a)</w:t>
      </w:r>
      <w:r>
        <w:rPr>
          <w:b/>
          <w:bCs/>
          <w:lang w:val="fr-FR"/>
        </w:rPr>
        <w:tab/>
      </w:r>
      <w:r w:rsidR="00E31503">
        <w:rPr>
          <w:b/>
          <w:bCs/>
          <w:lang w:val="fr-FR"/>
        </w:rPr>
        <w:t>D</w:t>
      </w:r>
      <w:r w:rsidR="00E31503" w:rsidRPr="00B34D68">
        <w:rPr>
          <w:b/>
          <w:lang w:val="fr-FR"/>
        </w:rPr>
        <w:t xml:space="preserve">e prendre des mesures pour garantir que des enquêtes </w:t>
      </w:r>
      <w:r w:rsidR="00E31503">
        <w:rPr>
          <w:b/>
          <w:lang w:val="fr-FR"/>
        </w:rPr>
        <w:t>promptes</w:t>
      </w:r>
      <w:r w:rsidR="00E31503" w:rsidRPr="00B34D68">
        <w:rPr>
          <w:b/>
          <w:lang w:val="fr-FR"/>
        </w:rPr>
        <w:t xml:space="preserve">, </w:t>
      </w:r>
      <w:r w:rsidR="00E31503">
        <w:rPr>
          <w:b/>
          <w:lang w:val="fr-FR"/>
        </w:rPr>
        <w:t>complètes</w:t>
      </w:r>
      <w:r w:rsidR="00E31503" w:rsidRPr="00B34D68">
        <w:rPr>
          <w:b/>
          <w:lang w:val="fr-FR"/>
        </w:rPr>
        <w:t xml:space="preserve"> et impartiales sont menées sur tous les cas d</w:t>
      </w:r>
      <w:r w:rsidR="00E31503">
        <w:rPr>
          <w:b/>
          <w:lang w:val="fr-FR"/>
        </w:rPr>
        <w:t>’</w:t>
      </w:r>
      <w:r w:rsidR="00E31503" w:rsidRPr="00B34D68">
        <w:rPr>
          <w:b/>
          <w:lang w:val="fr-FR"/>
        </w:rPr>
        <w:t>incidents racistes</w:t>
      </w:r>
      <w:r w:rsidR="00E31503">
        <w:rPr>
          <w:b/>
          <w:lang w:val="fr-FR"/>
        </w:rPr>
        <w:t xml:space="preserve"> </w:t>
      </w:r>
      <w:r w:rsidR="00E31503" w:rsidRPr="00B766BD">
        <w:rPr>
          <w:b/>
          <w:lang w:val="fr-FR"/>
        </w:rPr>
        <w:t>infligé</w:t>
      </w:r>
      <w:r w:rsidR="00E31503">
        <w:rPr>
          <w:b/>
          <w:lang w:val="fr-FR"/>
        </w:rPr>
        <w:t>s par d</w:t>
      </w:r>
      <w:r w:rsidR="00E31503" w:rsidRPr="00B766BD">
        <w:rPr>
          <w:b/>
          <w:lang w:val="fr-FR"/>
        </w:rPr>
        <w:t xml:space="preserve">es </w:t>
      </w:r>
      <w:r w:rsidR="00E31503" w:rsidRPr="004E6868">
        <w:rPr>
          <w:b/>
          <w:lang w:val="fr-FR"/>
        </w:rPr>
        <w:t>policiers</w:t>
      </w:r>
      <w:r w:rsidR="00E31503">
        <w:rPr>
          <w:b/>
          <w:lang w:val="fr-FR"/>
        </w:rPr>
        <w:t xml:space="preserve"> ou impliquant des policiers,</w:t>
      </w:r>
      <w:r w:rsidR="00E31503" w:rsidRPr="00B34D68">
        <w:rPr>
          <w:b/>
          <w:lang w:val="fr-FR"/>
        </w:rPr>
        <w:t xml:space="preserve"> de s</w:t>
      </w:r>
      <w:r w:rsidR="00E31503">
        <w:rPr>
          <w:b/>
          <w:lang w:val="fr-FR"/>
        </w:rPr>
        <w:t>’</w:t>
      </w:r>
      <w:r w:rsidR="00E31503" w:rsidRPr="00B34D68">
        <w:rPr>
          <w:b/>
          <w:lang w:val="fr-FR"/>
        </w:rPr>
        <w:t xml:space="preserve">assurer que les </w:t>
      </w:r>
      <w:r w:rsidR="00E31503" w:rsidRPr="00B34D68">
        <w:rPr>
          <w:b/>
          <w:bCs/>
        </w:rPr>
        <w:t>responsables de ces actes sont poursuivis et sanctionnés de manière appropriée, et d</w:t>
      </w:r>
      <w:r w:rsidR="00E31503">
        <w:rPr>
          <w:b/>
          <w:bCs/>
        </w:rPr>
        <w:t>’</w:t>
      </w:r>
      <w:r w:rsidR="00E31503" w:rsidRPr="00B34D68">
        <w:rPr>
          <w:b/>
          <w:bCs/>
        </w:rPr>
        <w:t>offrir une réparation adéquate aux victimes</w:t>
      </w:r>
      <w:r w:rsidR="00E31503">
        <w:rPr>
          <w:b/>
          <w:bCs/>
        </w:rPr>
        <w:t> ;</w:t>
      </w:r>
    </w:p>
    <w:p w14:paraId="615A189D" w14:textId="03A2F1D1" w:rsidR="00E31503" w:rsidRDefault="00650A99" w:rsidP="00397859">
      <w:pPr>
        <w:pStyle w:val="SingleTxtG"/>
        <w:ind w:firstLine="567"/>
        <w:rPr>
          <w:b/>
          <w:lang w:val="fr-FR"/>
        </w:rPr>
      </w:pPr>
      <w:r>
        <w:rPr>
          <w:b/>
          <w:bCs/>
          <w:lang w:val="fr-FR"/>
        </w:rPr>
        <w:t>b)</w:t>
      </w:r>
      <w:r>
        <w:rPr>
          <w:b/>
          <w:bCs/>
          <w:lang w:val="fr-FR"/>
        </w:rPr>
        <w:tab/>
      </w:r>
      <w:r w:rsidR="00E31503">
        <w:rPr>
          <w:b/>
          <w:bCs/>
          <w:lang w:val="fr-FR"/>
        </w:rPr>
        <w:t>D</w:t>
      </w:r>
      <w:r w:rsidR="00E31503">
        <w:rPr>
          <w:b/>
          <w:bCs/>
        </w:rPr>
        <w:t>’</w:t>
      </w:r>
      <w:r w:rsidR="00E31503" w:rsidRPr="00B34D68">
        <w:rPr>
          <w:b/>
          <w:bCs/>
        </w:rPr>
        <w:t>améliorer son système de collecte des données et d</w:t>
      </w:r>
      <w:r w:rsidR="00E31503">
        <w:rPr>
          <w:b/>
          <w:bCs/>
        </w:rPr>
        <w:t>’</w:t>
      </w:r>
      <w:r w:rsidR="00E31503" w:rsidRPr="00B34D68">
        <w:rPr>
          <w:b/>
          <w:bCs/>
        </w:rPr>
        <w:t xml:space="preserve">enregistrement des plaintes relatives aux violences policières </w:t>
      </w:r>
      <w:r w:rsidR="00E31503">
        <w:rPr>
          <w:b/>
          <w:bCs/>
        </w:rPr>
        <w:t>à</w:t>
      </w:r>
      <w:r w:rsidR="00E31503" w:rsidRPr="00B34D68">
        <w:rPr>
          <w:b/>
          <w:bCs/>
        </w:rPr>
        <w:t xml:space="preserve"> caractère raciste, en employant des indicateurs adaptés qui permettent d</w:t>
      </w:r>
      <w:r w:rsidR="00E31503">
        <w:rPr>
          <w:b/>
          <w:bCs/>
        </w:rPr>
        <w:t>’</w:t>
      </w:r>
      <w:r w:rsidR="00E31503" w:rsidRPr="00B34D68">
        <w:rPr>
          <w:b/>
          <w:bCs/>
        </w:rPr>
        <w:t>identifier l</w:t>
      </w:r>
      <w:r w:rsidR="00E31503">
        <w:rPr>
          <w:b/>
          <w:bCs/>
        </w:rPr>
        <w:t>’</w:t>
      </w:r>
      <w:r w:rsidR="00E31503" w:rsidRPr="00B34D68">
        <w:rPr>
          <w:b/>
          <w:bCs/>
        </w:rPr>
        <w:t>ascendance ou l</w:t>
      </w:r>
      <w:r w:rsidR="00E31503">
        <w:rPr>
          <w:b/>
          <w:bCs/>
        </w:rPr>
        <w:t>’</w:t>
      </w:r>
      <w:r w:rsidR="00E31503" w:rsidRPr="00B34D68">
        <w:rPr>
          <w:b/>
          <w:bCs/>
        </w:rPr>
        <w:t>origine nationale ou ethnique des victimes</w:t>
      </w:r>
      <w:r w:rsidR="00E31503">
        <w:rPr>
          <w:b/>
          <w:bCs/>
        </w:rPr>
        <w:t> ;</w:t>
      </w:r>
    </w:p>
    <w:p w14:paraId="586F3C2A" w14:textId="1D238A29" w:rsidR="00E31503" w:rsidRDefault="00650A99" w:rsidP="00397859">
      <w:pPr>
        <w:pStyle w:val="SingleTxtG"/>
        <w:ind w:firstLine="567"/>
        <w:rPr>
          <w:b/>
          <w:lang w:val="fr-FR"/>
        </w:rPr>
      </w:pPr>
      <w:r>
        <w:rPr>
          <w:b/>
          <w:lang w:val="fr-FR"/>
        </w:rPr>
        <w:t>c)</w:t>
      </w:r>
      <w:r>
        <w:rPr>
          <w:b/>
          <w:lang w:val="fr-FR"/>
        </w:rPr>
        <w:tab/>
      </w:r>
      <w:r w:rsidR="00E31503">
        <w:rPr>
          <w:b/>
          <w:lang w:val="fr-FR"/>
        </w:rPr>
        <w:t>D</w:t>
      </w:r>
      <w:r w:rsidR="00E31503" w:rsidRPr="00B34D68">
        <w:rPr>
          <w:b/>
          <w:lang w:val="fr-FR"/>
        </w:rPr>
        <w:t xml:space="preserve">e promouvoir la diversité ethnique au sein de la police et </w:t>
      </w:r>
      <w:r w:rsidR="00E31503">
        <w:rPr>
          <w:b/>
          <w:lang w:val="fr-FR"/>
        </w:rPr>
        <w:t xml:space="preserve">de </w:t>
      </w:r>
      <w:r w:rsidR="00E31503" w:rsidRPr="00B34D68">
        <w:rPr>
          <w:b/>
          <w:lang w:val="fr-FR"/>
        </w:rPr>
        <w:t xml:space="preserve">renforcer les mesures </w:t>
      </w:r>
      <w:r w:rsidR="00E31503">
        <w:rPr>
          <w:b/>
          <w:lang w:val="fr-FR"/>
        </w:rPr>
        <w:t xml:space="preserve">prises </w:t>
      </w:r>
      <w:r w:rsidR="00E31503" w:rsidRPr="00B34D68">
        <w:rPr>
          <w:b/>
          <w:lang w:val="fr-FR"/>
        </w:rPr>
        <w:t>pour prévenir les actes de racisme entre policiers</w:t>
      </w:r>
      <w:r w:rsidR="00E31503">
        <w:rPr>
          <w:b/>
          <w:lang w:val="fr-FR"/>
        </w:rPr>
        <w:t>, enquêter sur de tels actes et les sanctionner ;</w:t>
      </w:r>
    </w:p>
    <w:p w14:paraId="3E640C85" w14:textId="5D6F54F5" w:rsidR="00E31503" w:rsidRPr="00B34D68" w:rsidRDefault="00650A99" w:rsidP="00397859">
      <w:pPr>
        <w:pStyle w:val="SingleTxtG"/>
        <w:keepNext/>
        <w:keepLines/>
        <w:ind w:firstLine="567"/>
        <w:rPr>
          <w:b/>
          <w:lang w:val="fr-FR"/>
        </w:rPr>
      </w:pPr>
      <w:r>
        <w:rPr>
          <w:b/>
          <w:lang w:val="fr-FR"/>
        </w:rPr>
        <w:lastRenderedPageBreak/>
        <w:t>d)</w:t>
      </w:r>
      <w:r>
        <w:rPr>
          <w:b/>
          <w:lang w:val="fr-FR"/>
        </w:rPr>
        <w:tab/>
      </w:r>
      <w:r w:rsidR="00E31503">
        <w:rPr>
          <w:b/>
          <w:lang w:val="fr-FR"/>
        </w:rPr>
        <w:t>D</w:t>
      </w:r>
      <w:r w:rsidR="00E31503" w:rsidRPr="00B34D68">
        <w:rPr>
          <w:b/>
          <w:lang w:val="fr-FR"/>
        </w:rPr>
        <w:t xml:space="preserve">e réaliser une enquête intégrale visant à </w:t>
      </w:r>
      <w:r w:rsidR="00E31503">
        <w:rPr>
          <w:b/>
          <w:lang w:val="fr-FR"/>
        </w:rPr>
        <w:t xml:space="preserve">rationaliser </w:t>
      </w:r>
      <w:r w:rsidR="00E31503" w:rsidRPr="00B34D68">
        <w:rPr>
          <w:b/>
          <w:lang w:val="fr-FR"/>
        </w:rPr>
        <w:t xml:space="preserve">et </w:t>
      </w:r>
      <w:r w:rsidR="00E31503">
        <w:rPr>
          <w:b/>
          <w:lang w:val="fr-FR"/>
        </w:rPr>
        <w:t xml:space="preserve">à </w:t>
      </w:r>
      <w:r w:rsidR="00E31503" w:rsidRPr="00B34D68">
        <w:rPr>
          <w:b/>
          <w:lang w:val="fr-FR"/>
        </w:rPr>
        <w:t xml:space="preserve">renforcer les procédures et mécanismes de </w:t>
      </w:r>
      <w:r w:rsidR="00E31503">
        <w:rPr>
          <w:b/>
          <w:lang w:val="fr-FR"/>
        </w:rPr>
        <w:t>contrôle des services de police,</w:t>
      </w:r>
      <w:r w:rsidR="00E31503" w:rsidRPr="00B34D68">
        <w:rPr>
          <w:b/>
          <w:lang w:val="fr-FR"/>
        </w:rPr>
        <w:t xml:space="preserve"> et d</w:t>
      </w:r>
      <w:r w:rsidR="00E31503">
        <w:rPr>
          <w:b/>
          <w:lang w:val="fr-FR"/>
        </w:rPr>
        <w:t>’</w:t>
      </w:r>
      <w:r w:rsidR="00E31503" w:rsidRPr="00B34D68">
        <w:rPr>
          <w:b/>
          <w:lang w:val="fr-FR"/>
        </w:rPr>
        <w:t xml:space="preserve">intégrer une approche cohérente et systématique </w:t>
      </w:r>
      <w:r w:rsidR="00E31503">
        <w:rPr>
          <w:b/>
          <w:lang w:val="fr-FR"/>
        </w:rPr>
        <w:t>prenant en compte la</w:t>
      </w:r>
      <w:r w:rsidR="00E31503" w:rsidRPr="00B34D68">
        <w:rPr>
          <w:b/>
          <w:lang w:val="fr-FR"/>
        </w:rPr>
        <w:t xml:space="preserve"> dimension structurelle</w:t>
      </w:r>
      <w:r w:rsidR="00E31503">
        <w:rPr>
          <w:b/>
          <w:lang w:val="fr-FR"/>
        </w:rPr>
        <w:t xml:space="preserve"> des incidents à caractère raciste. </w:t>
      </w:r>
    </w:p>
    <w:p w14:paraId="1F412E6C" w14:textId="77777777" w:rsidR="00E31503" w:rsidRDefault="00E31503" w:rsidP="00397859">
      <w:pPr>
        <w:pStyle w:val="H23G"/>
      </w:pPr>
      <w:r>
        <w:tab/>
      </w:r>
      <w:r>
        <w:tab/>
      </w:r>
      <w:r w:rsidRPr="00CF5D30">
        <w:t>Profilage racial</w:t>
      </w:r>
    </w:p>
    <w:p w14:paraId="229EB27D" w14:textId="77781950" w:rsidR="00E31503" w:rsidRPr="00B63FF6" w:rsidRDefault="00650A99" w:rsidP="00650A99">
      <w:pPr>
        <w:pStyle w:val="SingleTxtG"/>
      </w:pPr>
      <w:r>
        <w:t>15.</w:t>
      </w:r>
      <w:r>
        <w:tab/>
      </w:r>
      <w:r w:rsidR="00E31503" w:rsidRPr="00CB5119">
        <w:t>Le Comité</w:t>
      </w:r>
      <w:r w:rsidR="00E31503" w:rsidRPr="00FA140A">
        <w:t xml:space="preserve"> est préoccupé du fait que le profilage racial par la police continue d</w:t>
      </w:r>
      <w:r w:rsidR="00E31503">
        <w:t>’</w:t>
      </w:r>
      <w:r w:rsidR="00E31503" w:rsidRPr="00FA140A">
        <w:t>être un problème persist</w:t>
      </w:r>
      <w:r w:rsidR="00E31503">
        <w:t>a</w:t>
      </w:r>
      <w:r w:rsidR="00E31503" w:rsidRPr="00FA140A">
        <w:t>nt dans l</w:t>
      </w:r>
      <w:r w:rsidR="00E31503">
        <w:t>’</w:t>
      </w:r>
      <w:r w:rsidR="00E31503" w:rsidRPr="00FA140A">
        <w:t>État partie</w:t>
      </w:r>
      <w:r w:rsidR="00E31503">
        <w:t xml:space="preserve"> et </w:t>
      </w:r>
      <w:r w:rsidR="00E31503" w:rsidRPr="00FA140A">
        <w:t>qu</w:t>
      </w:r>
      <w:r w:rsidR="00E31503">
        <w:t>’</w:t>
      </w:r>
      <w:r w:rsidR="00E31503" w:rsidRPr="00FA140A">
        <w:t>il n</w:t>
      </w:r>
      <w:r w:rsidR="00E31503">
        <w:t>’</w:t>
      </w:r>
      <w:r w:rsidR="00E31503" w:rsidRPr="00FA140A">
        <w:t>existe aucune loi interdisant explicitement le profilage racial</w:t>
      </w:r>
      <w:r w:rsidR="00E31503">
        <w:t xml:space="preserve">. </w:t>
      </w:r>
      <w:r w:rsidR="00E31503" w:rsidRPr="00CB5119">
        <w:t xml:space="preserve">Le Comité est également préoccupé </w:t>
      </w:r>
      <w:r w:rsidR="00E31503">
        <w:t>par l’existence d’</w:t>
      </w:r>
      <w:r w:rsidR="00E31503" w:rsidRPr="00CB5119">
        <w:t>un risque d</w:t>
      </w:r>
      <w:r w:rsidR="00E31503">
        <w:t>’</w:t>
      </w:r>
      <w:r w:rsidR="00E31503" w:rsidRPr="00CB5119">
        <w:t>abus dans la pratique fondée sur l</w:t>
      </w:r>
      <w:r w:rsidR="00E31503">
        <w:t>’</w:t>
      </w:r>
      <w:r w:rsidR="00E31503" w:rsidRPr="00CB5119">
        <w:t xml:space="preserve">interprétation </w:t>
      </w:r>
      <w:r w:rsidR="00E31503">
        <w:t>du terme « motifs raisonnables » employé dans la loi n</w:t>
      </w:r>
      <w:r w:rsidR="00E31503" w:rsidRPr="00086624">
        <w:rPr>
          <w:vertAlign w:val="superscript"/>
        </w:rPr>
        <w:t>o</w:t>
      </w:r>
      <w:r w:rsidR="00E31503">
        <w:t> 1992000606 du 5 août</w:t>
      </w:r>
      <w:r>
        <w:t xml:space="preserve"> </w:t>
      </w:r>
      <w:r w:rsidR="00E31503">
        <w:t xml:space="preserve">1992 sur la fonction de police, en ce qui concerne les compétences des policiers pour effectuer un contrôle d’identité. </w:t>
      </w:r>
      <w:r w:rsidR="00E31503" w:rsidRPr="00CB5119">
        <w:t>Enfin,</w:t>
      </w:r>
      <w:r w:rsidR="00E31503">
        <w:t xml:space="preserve"> </w:t>
      </w:r>
      <w:r w:rsidR="00E31503">
        <w:rPr>
          <w:lang w:val="fr-FR"/>
        </w:rPr>
        <w:t xml:space="preserve">le Comité est </w:t>
      </w:r>
      <w:r w:rsidR="00E31503" w:rsidRPr="00FD4A11">
        <w:rPr>
          <w:lang w:val="fr-FR"/>
        </w:rPr>
        <w:t>préoccupé par le manque de données exhaustives, ventilées par appartenance ethnique ou origine nationale, sur les personnes visées par les contrôles d</w:t>
      </w:r>
      <w:r w:rsidR="00E31503">
        <w:rPr>
          <w:lang w:val="fr-FR"/>
        </w:rPr>
        <w:t>’</w:t>
      </w:r>
      <w:r w:rsidR="00E31503" w:rsidRPr="00FD4A11">
        <w:rPr>
          <w:lang w:val="fr-FR"/>
        </w:rPr>
        <w:t xml:space="preserve">identité et victimes du profilage </w:t>
      </w:r>
      <w:r w:rsidR="00E31503">
        <w:rPr>
          <w:lang w:val="fr-FR"/>
        </w:rPr>
        <w:t xml:space="preserve">racial ou </w:t>
      </w:r>
      <w:r w:rsidR="00E31503" w:rsidRPr="00FD4A11">
        <w:rPr>
          <w:lang w:val="fr-FR"/>
        </w:rPr>
        <w:t>ethnique</w:t>
      </w:r>
      <w:r w:rsidR="00E31503">
        <w:rPr>
          <w:lang w:val="fr-FR"/>
        </w:rPr>
        <w:t xml:space="preserve"> </w:t>
      </w:r>
      <w:r w:rsidR="00E31503" w:rsidRPr="00FD4A11">
        <w:rPr>
          <w:lang w:val="fr-FR"/>
        </w:rPr>
        <w:t>(art.</w:t>
      </w:r>
      <w:r w:rsidR="00E31503">
        <w:rPr>
          <w:lang w:val="fr-FR"/>
        </w:rPr>
        <w:t> </w:t>
      </w:r>
      <w:r w:rsidR="00E31503" w:rsidRPr="00FD4A11">
        <w:rPr>
          <w:lang w:val="fr-FR"/>
        </w:rPr>
        <w:t>2, 4 et 5).</w:t>
      </w:r>
    </w:p>
    <w:p w14:paraId="3D32234D" w14:textId="098C9B13" w:rsidR="00E31503" w:rsidRPr="00706C08" w:rsidRDefault="00650A99" w:rsidP="00397859">
      <w:pPr>
        <w:pStyle w:val="SingleTxtG"/>
        <w:keepNext/>
      </w:pPr>
      <w:r>
        <w:rPr>
          <w:lang w:val="fr-FR"/>
        </w:rPr>
        <w:t>16.</w:t>
      </w:r>
      <w:r>
        <w:rPr>
          <w:lang w:val="fr-FR"/>
        </w:rPr>
        <w:tab/>
      </w:r>
      <w:r w:rsidR="00E31503" w:rsidRPr="00CB5119">
        <w:rPr>
          <w:b/>
          <w:bCs/>
          <w:lang w:val="fr-FR"/>
        </w:rPr>
        <w:t>Rappelant sa</w:t>
      </w:r>
      <w:r w:rsidR="00E31503" w:rsidRPr="004B2245">
        <w:rPr>
          <w:b/>
          <w:bCs/>
          <w:lang w:val="fr-FR"/>
        </w:rPr>
        <w:t xml:space="preserve"> </w:t>
      </w:r>
      <w:r w:rsidR="00E31503" w:rsidRPr="002F2D26">
        <w:rPr>
          <w:b/>
          <w:bCs/>
          <w:lang w:val="fr-FR"/>
        </w:rPr>
        <w:t xml:space="preserve">recommandation générale </w:t>
      </w:r>
      <w:r w:rsidRPr="002F2D26">
        <w:rPr>
          <w:b/>
          <w:bCs/>
          <w:lang w:val="fr-FR"/>
        </w:rPr>
        <w:t>n</w:t>
      </w:r>
      <w:r w:rsidRPr="00086624">
        <w:rPr>
          <w:b/>
          <w:bCs/>
          <w:vertAlign w:val="superscript"/>
          <w:lang w:val="fr-FR"/>
        </w:rPr>
        <w:t>o</w:t>
      </w:r>
      <w:r>
        <w:rPr>
          <w:b/>
          <w:bCs/>
          <w:lang w:val="fr-FR"/>
        </w:rPr>
        <w:t> </w:t>
      </w:r>
      <w:r w:rsidR="00E31503" w:rsidRPr="002F2D26">
        <w:rPr>
          <w:b/>
          <w:bCs/>
          <w:lang w:val="fr-FR"/>
        </w:rPr>
        <w:t xml:space="preserve">36 (2020) </w:t>
      </w:r>
      <w:r w:rsidR="00E31503">
        <w:rPr>
          <w:b/>
          <w:bCs/>
          <w:lang w:val="fr-FR"/>
        </w:rPr>
        <w:t>sur</w:t>
      </w:r>
      <w:r w:rsidR="00E31503" w:rsidRPr="002F2D26">
        <w:rPr>
          <w:b/>
          <w:bCs/>
          <w:lang w:val="fr-FR"/>
        </w:rPr>
        <w:t xml:space="preserve"> la prévention et l</w:t>
      </w:r>
      <w:r w:rsidR="00E31503">
        <w:rPr>
          <w:b/>
          <w:bCs/>
          <w:lang w:val="fr-FR"/>
        </w:rPr>
        <w:t>’</w:t>
      </w:r>
      <w:r w:rsidR="00E31503" w:rsidRPr="002F2D26">
        <w:rPr>
          <w:b/>
          <w:bCs/>
          <w:lang w:val="fr-FR"/>
        </w:rPr>
        <w:t>élimination du recours au profilage racial par les représentants de la loi, le Comité prie instamment l</w:t>
      </w:r>
      <w:r w:rsidR="00E31503">
        <w:rPr>
          <w:b/>
          <w:bCs/>
          <w:lang w:val="fr-FR"/>
        </w:rPr>
        <w:t>’</w:t>
      </w:r>
      <w:r w:rsidR="00E31503" w:rsidRPr="002F2D26">
        <w:rPr>
          <w:b/>
          <w:bCs/>
          <w:lang w:val="fr-FR"/>
        </w:rPr>
        <w:t>État partie de redoubler d</w:t>
      </w:r>
      <w:r w:rsidR="00E31503">
        <w:rPr>
          <w:b/>
          <w:bCs/>
          <w:lang w:val="fr-FR"/>
        </w:rPr>
        <w:t>’</w:t>
      </w:r>
      <w:r w:rsidR="00E31503" w:rsidRPr="002F2D26">
        <w:rPr>
          <w:b/>
          <w:bCs/>
          <w:lang w:val="fr-FR"/>
        </w:rPr>
        <w:t>efforts pour lutter efficacement contre toute pratique des forces de l</w:t>
      </w:r>
      <w:r w:rsidR="00E31503">
        <w:rPr>
          <w:b/>
          <w:bCs/>
          <w:lang w:val="fr-FR"/>
        </w:rPr>
        <w:t>’</w:t>
      </w:r>
      <w:r w:rsidR="00E31503" w:rsidRPr="002F2D26">
        <w:rPr>
          <w:b/>
          <w:bCs/>
          <w:lang w:val="fr-FR"/>
        </w:rPr>
        <w:t xml:space="preserve">ordre qui reposerait sur le profilage racial et y mettre fin, </w:t>
      </w:r>
      <w:r w:rsidR="00E31503">
        <w:rPr>
          <w:b/>
          <w:bCs/>
          <w:lang w:val="fr-FR"/>
        </w:rPr>
        <w:t xml:space="preserve">et </w:t>
      </w:r>
      <w:r w:rsidR="00E31503" w:rsidRPr="002F2D26">
        <w:rPr>
          <w:b/>
          <w:bCs/>
          <w:lang w:val="fr-FR"/>
        </w:rPr>
        <w:t>notamment</w:t>
      </w:r>
      <w:r w:rsidR="00E31503">
        <w:rPr>
          <w:b/>
          <w:bCs/>
          <w:lang w:val="fr-FR"/>
        </w:rPr>
        <w:t> </w:t>
      </w:r>
      <w:r w:rsidR="00E31503" w:rsidRPr="002F2D26">
        <w:rPr>
          <w:b/>
          <w:bCs/>
          <w:lang w:val="fr-FR"/>
        </w:rPr>
        <w:t xml:space="preserve">: </w:t>
      </w:r>
    </w:p>
    <w:p w14:paraId="47811C29" w14:textId="306D82AF" w:rsidR="00E31503" w:rsidRPr="004E6868" w:rsidRDefault="00650A99" w:rsidP="00397859">
      <w:pPr>
        <w:pStyle w:val="SingleTxtG"/>
        <w:ind w:firstLine="567"/>
        <w:rPr>
          <w:b/>
        </w:rPr>
      </w:pPr>
      <w:r>
        <w:rPr>
          <w:b/>
        </w:rPr>
        <w:t>a)</w:t>
      </w:r>
      <w:r>
        <w:rPr>
          <w:b/>
        </w:rPr>
        <w:tab/>
      </w:r>
      <w:r w:rsidR="00E31503" w:rsidRPr="004E6868">
        <w:rPr>
          <w:b/>
        </w:rPr>
        <w:t>D</w:t>
      </w:r>
      <w:r w:rsidR="00E31503">
        <w:rPr>
          <w:b/>
        </w:rPr>
        <w:t>’</w:t>
      </w:r>
      <w:r w:rsidR="00E31503" w:rsidRPr="004E6868">
        <w:rPr>
          <w:b/>
        </w:rPr>
        <w:t xml:space="preserve">inclure dans sa législation une interdiction explicite du profilage racial se basant sur la recommandation générale </w:t>
      </w:r>
      <w:r w:rsidRPr="004E6868">
        <w:rPr>
          <w:b/>
        </w:rPr>
        <w:t>n</w:t>
      </w:r>
      <w:r w:rsidRPr="00086624">
        <w:rPr>
          <w:b/>
          <w:vertAlign w:val="superscript"/>
        </w:rPr>
        <w:t>o</w:t>
      </w:r>
      <w:r>
        <w:rPr>
          <w:b/>
        </w:rPr>
        <w:t> </w:t>
      </w:r>
      <w:r w:rsidR="00E31503" w:rsidRPr="004E6868">
        <w:rPr>
          <w:b/>
        </w:rPr>
        <w:t>36 (2020) du Comité</w:t>
      </w:r>
      <w:r w:rsidR="00E31503">
        <w:rPr>
          <w:b/>
        </w:rPr>
        <w:t> </w:t>
      </w:r>
      <w:r w:rsidR="00E31503" w:rsidRPr="004E6868">
        <w:rPr>
          <w:b/>
        </w:rPr>
        <w:t>;</w:t>
      </w:r>
    </w:p>
    <w:p w14:paraId="3F222CE8" w14:textId="6150DF8C" w:rsidR="00E31503" w:rsidRPr="004E6868" w:rsidRDefault="00650A99" w:rsidP="00397859">
      <w:pPr>
        <w:pStyle w:val="SingleTxtG"/>
        <w:ind w:firstLine="567"/>
        <w:rPr>
          <w:b/>
        </w:rPr>
      </w:pPr>
      <w:r>
        <w:rPr>
          <w:b/>
        </w:rPr>
        <w:t>b)</w:t>
      </w:r>
      <w:r>
        <w:rPr>
          <w:b/>
        </w:rPr>
        <w:tab/>
      </w:r>
      <w:r w:rsidR="00E31503" w:rsidRPr="004E6868">
        <w:rPr>
          <w:b/>
        </w:rPr>
        <w:t>D</w:t>
      </w:r>
      <w:r w:rsidR="00E31503">
        <w:rPr>
          <w:b/>
        </w:rPr>
        <w:t>’</w:t>
      </w:r>
      <w:r w:rsidR="00E31503" w:rsidRPr="004E6868">
        <w:rPr>
          <w:b/>
        </w:rPr>
        <w:t>accélérer le processus d</w:t>
      </w:r>
      <w:r w:rsidR="00E31503">
        <w:rPr>
          <w:b/>
        </w:rPr>
        <w:t>’</w:t>
      </w:r>
      <w:r w:rsidR="00E31503" w:rsidRPr="004E6868">
        <w:rPr>
          <w:b/>
        </w:rPr>
        <w:t>élaboration et d</w:t>
      </w:r>
      <w:r w:rsidR="00E31503">
        <w:rPr>
          <w:b/>
        </w:rPr>
        <w:t>’</w:t>
      </w:r>
      <w:r w:rsidR="00E31503" w:rsidRPr="004E6868">
        <w:rPr>
          <w:b/>
        </w:rPr>
        <w:t>adoption du plan d</w:t>
      </w:r>
      <w:r w:rsidR="00E31503">
        <w:rPr>
          <w:b/>
        </w:rPr>
        <w:t>’</w:t>
      </w:r>
      <w:r w:rsidR="00E31503" w:rsidRPr="004E6868">
        <w:rPr>
          <w:b/>
        </w:rPr>
        <w:t>action pour lutter contre le profilage racial ou ethnique</w:t>
      </w:r>
      <w:r w:rsidR="00E31503">
        <w:rPr>
          <w:b/>
        </w:rPr>
        <w:t>,</w:t>
      </w:r>
      <w:r w:rsidR="00E31503" w:rsidRPr="004E6868">
        <w:rPr>
          <w:b/>
        </w:rPr>
        <w:t xml:space="preserve"> et des lignes directrices précises ou </w:t>
      </w:r>
      <w:r w:rsidR="00E31503">
        <w:rPr>
          <w:b/>
        </w:rPr>
        <w:t xml:space="preserve">des </w:t>
      </w:r>
      <w:r w:rsidR="00E31503" w:rsidRPr="004E6868">
        <w:rPr>
          <w:b/>
        </w:rPr>
        <w:t>consignes détaillées concernant les contrôles d</w:t>
      </w:r>
      <w:r w:rsidR="00E31503">
        <w:rPr>
          <w:b/>
        </w:rPr>
        <w:t>’</w:t>
      </w:r>
      <w:r w:rsidR="00E31503" w:rsidRPr="004E6868">
        <w:rPr>
          <w:b/>
        </w:rPr>
        <w:t>identité afin d</w:t>
      </w:r>
      <w:r w:rsidR="00E31503">
        <w:rPr>
          <w:b/>
        </w:rPr>
        <w:t>’</w:t>
      </w:r>
      <w:r w:rsidR="00E31503" w:rsidRPr="004E6868">
        <w:rPr>
          <w:b/>
        </w:rPr>
        <w:t xml:space="preserve">empêcher le profilage racial, en collaboration avec les populations les plus susceptibles </w:t>
      </w:r>
      <w:r w:rsidR="00E31503">
        <w:rPr>
          <w:b/>
        </w:rPr>
        <w:t>d’être soumises au</w:t>
      </w:r>
      <w:r w:rsidR="00E31503" w:rsidRPr="004E6868">
        <w:rPr>
          <w:b/>
        </w:rPr>
        <w:t xml:space="preserve"> profilage racial</w:t>
      </w:r>
      <w:r w:rsidR="00E31503">
        <w:rPr>
          <w:b/>
        </w:rPr>
        <w:t> </w:t>
      </w:r>
      <w:r w:rsidR="00E31503" w:rsidRPr="004E6868">
        <w:rPr>
          <w:b/>
        </w:rPr>
        <w:t>;</w:t>
      </w:r>
    </w:p>
    <w:p w14:paraId="1D219C39" w14:textId="3CD811A7" w:rsidR="00E31503" w:rsidRPr="004E6868" w:rsidRDefault="00650A99" w:rsidP="00397859">
      <w:pPr>
        <w:pStyle w:val="SingleTxtG"/>
        <w:ind w:firstLine="567"/>
        <w:rPr>
          <w:b/>
        </w:rPr>
      </w:pPr>
      <w:r>
        <w:rPr>
          <w:b/>
        </w:rPr>
        <w:t>c)</w:t>
      </w:r>
      <w:r>
        <w:rPr>
          <w:b/>
        </w:rPr>
        <w:tab/>
      </w:r>
      <w:r w:rsidR="00E31503" w:rsidRPr="004E6868">
        <w:rPr>
          <w:b/>
        </w:rPr>
        <w:t>De collecter des données ventilées sur les plaintes liées au profilage racial, de les publier régulièrement et de les faire figurer dans son prochain rapport périodique</w:t>
      </w:r>
      <w:r w:rsidR="00E31503">
        <w:rPr>
          <w:b/>
        </w:rPr>
        <w:t> </w:t>
      </w:r>
      <w:r w:rsidR="00E31503" w:rsidRPr="004E6868">
        <w:rPr>
          <w:b/>
        </w:rPr>
        <w:t>;</w:t>
      </w:r>
    </w:p>
    <w:p w14:paraId="2D72E550" w14:textId="607F59DE" w:rsidR="00E31503" w:rsidRPr="004E6868" w:rsidRDefault="00650A99" w:rsidP="00397859">
      <w:pPr>
        <w:pStyle w:val="SingleTxtG"/>
        <w:ind w:firstLine="567"/>
        <w:rPr>
          <w:b/>
        </w:rPr>
      </w:pPr>
      <w:r>
        <w:rPr>
          <w:b/>
        </w:rPr>
        <w:t>d)</w:t>
      </w:r>
      <w:r>
        <w:rPr>
          <w:b/>
        </w:rPr>
        <w:tab/>
      </w:r>
      <w:r w:rsidR="00E31503" w:rsidRPr="004E6868">
        <w:rPr>
          <w:b/>
        </w:rPr>
        <w:t>De mettre en place un système indépendant de traitement des plaintes liées au profilage racial</w:t>
      </w:r>
      <w:r w:rsidR="00E31503">
        <w:rPr>
          <w:b/>
        </w:rPr>
        <w:t> </w:t>
      </w:r>
      <w:r w:rsidR="00E31503" w:rsidRPr="004E6868">
        <w:rPr>
          <w:b/>
        </w:rPr>
        <w:t>;</w:t>
      </w:r>
    </w:p>
    <w:p w14:paraId="2BD40727" w14:textId="3D5CD41A" w:rsidR="00E31503" w:rsidRPr="004E6868" w:rsidRDefault="00650A99" w:rsidP="00397859">
      <w:pPr>
        <w:pStyle w:val="SingleTxtG"/>
        <w:ind w:firstLine="567"/>
        <w:rPr>
          <w:b/>
        </w:rPr>
      </w:pPr>
      <w:r>
        <w:rPr>
          <w:b/>
        </w:rPr>
        <w:t>e)</w:t>
      </w:r>
      <w:r>
        <w:rPr>
          <w:b/>
        </w:rPr>
        <w:tab/>
      </w:r>
      <w:r w:rsidR="00E31503" w:rsidRPr="004E6868">
        <w:rPr>
          <w:b/>
        </w:rPr>
        <w:t xml:space="preserve">De </w:t>
      </w:r>
      <w:r w:rsidR="00E31503">
        <w:rPr>
          <w:b/>
        </w:rPr>
        <w:t>recourir</w:t>
      </w:r>
      <w:r w:rsidR="00E31503" w:rsidRPr="004E6868">
        <w:rPr>
          <w:b/>
        </w:rPr>
        <w:t xml:space="preserve"> aux formulaires précisant les raisons du contrôle ou </w:t>
      </w:r>
      <w:r w:rsidR="00E31503">
        <w:rPr>
          <w:b/>
        </w:rPr>
        <w:t xml:space="preserve">de toute </w:t>
      </w:r>
      <w:r w:rsidR="00E31503" w:rsidRPr="004E6868">
        <w:rPr>
          <w:b/>
        </w:rPr>
        <w:t xml:space="preserve">autre opération policière et </w:t>
      </w:r>
      <w:r w:rsidR="00E31503">
        <w:rPr>
          <w:b/>
        </w:rPr>
        <w:t xml:space="preserve">d’informer sur </w:t>
      </w:r>
      <w:r w:rsidR="00E31503" w:rsidRPr="004E6868">
        <w:rPr>
          <w:b/>
        </w:rPr>
        <w:t>les recours disponibles pour les victimes</w:t>
      </w:r>
      <w:r w:rsidR="00E31503">
        <w:rPr>
          <w:b/>
        </w:rPr>
        <w:t> </w:t>
      </w:r>
      <w:r w:rsidR="00E31503" w:rsidRPr="004E6868">
        <w:rPr>
          <w:b/>
        </w:rPr>
        <w:t>;</w:t>
      </w:r>
    </w:p>
    <w:p w14:paraId="00233BE3" w14:textId="15598A68" w:rsidR="00E31503" w:rsidRDefault="00650A99" w:rsidP="00397859">
      <w:pPr>
        <w:pStyle w:val="SingleTxtG"/>
        <w:ind w:firstLine="567"/>
      </w:pPr>
      <w:r>
        <w:rPr>
          <w:b/>
        </w:rPr>
        <w:t>f)</w:t>
      </w:r>
      <w:r>
        <w:rPr>
          <w:b/>
        </w:rPr>
        <w:tab/>
      </w:r>
      <w:r w:rsidR="00E31503" w:rsidRPr="004E6868">
        <w:rPr>
          <w:b/>
        </w:rPr>
        <w:t xml:space="preserve">De renforcer les programmes de formation des </w:t>
      </w:r>
      <w:r w:rsidR="00E31503">
        <w:rPr>
          <w:b/>
        </w:rPr>
        <w:t xml:space="preserve">fonctionnaires </w:t>
      </w:r>
      <w:r w:rsidR="00E31503" w:rsidRPr="004E6868">
        <w:rPr>
          <w:b/>
        </w:rPr>
        <w:t xml:space="preserve">de police sur le profilage racial en </w:t>
      </w:r>
      <w:r w:rsidR="00E31503">
        <w:rPr>
          <w:b/>
        </w:rPr>
        <w:t>prenant</w:t>
      </w:r>
      <w:r w:rsidR="00E31503" w:rsidRPr="004E6868">
        <w:rPr>
          <w:b/>
        </w:rPr>
        <w:t xml:space="preserve"> en compte la recommandation générale </w:t>
      </w:r>
      <w:r w:rsidRPr="004E6868">
        <w:rPr>
          <w:b/>
        </w:rPr>
        <w:t>n</w:t>
      </w:r>
      <w:r w:rsidRPr="00086624">
        <w:rPr>
          <w:b/>
          <w:vertAlign w:val="superscript"/>
        </w:rPr>
        <w:t>o</w:t>
      </w:r>
      <w:r>
        <w:rPr>
          <w:b/>
        </w:rPr>
        <w:t> </w:t>
      </w:r>
      <w:r w:rsidR="00E31503" w:rsidRPr="004E6868">
        <w:rPr>
          <w:b/>
        </w:rPr>
        <w:t>36 (2020) du Comité.</w:t>
      </w:r>
      <w:r w:rsidR="00E31503" w:rsidRPr="002F2D26">
        <w:t xml:space="preserve"> </w:t>
      </w:r>
    </w:p>
    <w:p w14:paraId="62BD2956" w14:textId="77777777" w:rsidR="00E31503" w:rsidRPr="00CF5D30" w:rsidRDefault="00E31503" w:rsidP="00397859">
      <w:pPr>
        <w:pStyle w:val="H23G"/>
      </w:pPr>
      <w:r>
        <w:tab/>
      </w:r>
      <w:r>
        <w:tab/>
        <w:t xml:space="preserve">Crimes et discours de </w:t>
      </w:r>
      <w:r w:rsidRPr="00CF5D30">
        <w:t xml:space="preserve">haine </w:t>
      </w:r>
      <w:r>
        <w:t>à caractère raciste</w:t>
      </w:r>
    </w:p>
    <w:p w14:paraId="0DE7B917" w14:textId="271F8602" w:rsidR="00E31503" w:rsidRDefault="00650A99" w:rsidP="00650A99">
      <w:pPr>
        <w:pStyle w:val="SingleTxtG"/>
        <w:rPr>
          <w:lang w:val="fr-FR"/>
        </w:rPr>
      </w:pPr>
      <w:r>
        <w:rPr>
          <w:lang w:val="fr-FR"/>
        </w:rPr>
        <w:t>17.</w:t>
      </w:r>
      <w:r>
        <w:rPr>
          <w:lang w:val="fr-FR"/>
        </w:rPr>
        <w:tab/>
      </w:r>
      <w:r w:rsidR="00E31503" w:rsidRPr="00501410">
        <w:rPr>
          <w:lang w:val="fr-FR"/>
        </w:rPr>
        <w:t>Le Comité</w:t>
      </w:r>
      <w:r w:rsidR="00E31503" w:rsidRPr="004B2245">
        <w:rPr>
          <w:lang w:val="fr-FR"/>
        </w:rPr>
        <w:t xml:space="preserve"> </w:t>
      </w:r>
      <w:r w:rsidR="00E31503" w:rsidRPr="000E7130">
        <w:rPr>
          <w:lang w:val="fr-FR"/>
        </w:rPr>
        <w:t>est préoccupé par l</w:t>
      </w:r>
      <w:r w:rsidR="00E31503">
        <w:rPr>
          <w:lang w:val="fr-FR"/>
        </w:rPr>
        <w:t>’</w:t>
      </w:r>
      <w:r w:rsidR="00E31503" w:rsidRPr="000E7130">
        <w:rPr>
          <w:lang w:val="fr-FR"/>
        </w:rPr>
        <w:t>absence de données</w:t>
      </w:r>
      <w:r w:rsidR="00E31503">
        <w:rPr>
          <w:lang w:val="fr-FR"/>
        </w:rPr>
        <w:t xml:space="preserve"> </w:t>
      </w:r>
      <w:r w:rsidR="00E31503" w:rsidRPr="00501410">
        <w:rPr>
          <w:lang w:val="fr-FR"/>
        </w:rPr>
        <w:t>ventilées</w:t>
      </w:r>
      <w:r w:rsidR="00E31503" w:rsidRPr="000E7130">
        <w:rPr>
          <w:lang w:val="fr-FR"/>
        </w:rPr>
        <w:t xml:space="preserve"> concernant les crimes et le discours de haine à caractère raciste</w:t>
      </w:r>
      <w:r w:rsidR="00E31503">
        <w:rPr>
          <w:lang w:val="fr-FR"/>
        </w:rPr>
        <w:t>,</w:t>
      </w:r>
      <w:r w:rsidR="00E31503" w:rsidRPr="000E7130">
        <w:rPr>
          <w:lang w:val="fr-FR"/>
        </w:rPr>
        <w:t xml:space="preserve"> et </w:t>
      </w:r>
      <w:r w:rsidR="00E31503">
        <w:rPr>
          <w:lang w:val="fr-FR"/>
        </w:rPr>
        <w:t xml:space="preserve">par le </w:t>
      </w:r>
      <w:r w:rsidR="00E31503" w:rsidRPr="000E7130">
        <w:rPr>
          <w:lang w:val="fr-FR"/>
        </w:rPr>
        <w:t>fait qu</w:t>
      </w:r>
      <w:r w:rsidR="00E31503">
        <w:rPr>
          <w:lang w:val="fr-FR"/>
        </w:rPr>
        <w:t>’</w:t>
      </w:r>
      <w:r w:rsidR="00E31503" w:rsidRPr="000E7130">
        <w:rPr>
          <w:lang w:val="fr-FR"/>
        </w:rPr>
        <w:t>actuellement</w:t>
      </w:r>
      <w:r w:rsidR="00E31503">
        <w:rPr>
          <w:lang w:val="fr-FR"/>
        </w:rPr>
        <w:t>,</w:t>
      </w:r>
      <w:r w:rsidR="00E31503" w:rsidRPr="000E7130">
        <w:rPr>
          <w:lang w:val="fr-FR"/>
        </w:rPr>
        <w:t xml:space="preserve"> le système d</w:t>
      </w:r>
      <w:r w:rsidR="00E31503">
        <w:rPr>
          <w:lang w:val="fr-FR"/>
        </w:rPr>
        <w:t>’</w:t>
      </w:r>
      <w:r w:rsidR="00E31503" w:rsidRPr="000E7130">
        <w:rPr>
          <w:lang w:val="fr-FR"/>
        </w:rPr>
        <w:t xml:space="preserve">enregistrement </w:t>
      </w:r>
      <w:r w:rsidR="00E31503">
        <w:rPr>
          <w:lang w:val="fr-FR"/>
        </w:rPr>
        <w:t xml:space="preserve">existant </w:t>
      </w:r>
      <w:r w:rsidR="00E31503" w:rsidRPr="000E7130">
        <w:rPr>
          <w:lang w:val="fr-FR"/>
        </w:rPr>
        <w:t>d</w:t>
      </w:r>
      <w:r w:rsidR="00E31503">
        <w:rPr>
          <w:lang w:val="fr-FR"/>
        </w:rPr>
        <w:t>ans</w:t>
      </w:r>
      <w:r w:rsidR="00E31503" w:rsidRPr="000E7130">
        <w:rPr>
          <w:lang w:val="fr-FR"/>
        </w:rPr>
        <w:t xml:space="preserve"> l</w:t>
      </w:r>
      <w:r w:rsidR="00E31503">
        <w:rPr>
          <w:lang w:val="fr-FR"/>
        </w:rPr>
        <w:t>’</w:t>
      </w:r>
      <w:r w:rsidR="00E31503" w:rsidRPr="000E7130">
        <w:rPr>
          <w:lang w:val="fr-FR"/>
        </w:rPr>
        <w:t>État partie ne permet pas de les distinguer ni d</w:t>
      </w:r>
      <w:r w:rsidR="00E31503">
        <w:rPr>
          <w:lang w:val="fr-FR"/>
        </w:rPr>
        <w:t>’</w:t>
      </w:r>
      <w:r w:rsidR="00E31503" w:rsidRPr="000E7130">
        <w:rPr>
          <w:lang w:val="fr-FR"/>
        </w:rPr>
        <w:t xml:space="preserve">identifier des cas spécifiques de haine ethnoreligieuse </w:t>
      </w:r>
      <w:r w:rsidR="00E31503">
        <w:rPr>
          <w:lang w:val="fr-FR"/>
        </w:rPr>
        <w:t>comme</w:t>
      </w:r>
      <w:r w:rsidR="00E31503" w:rsidRPr="000E7130">
        <w:rPr>
          <w:lang w:val="fr-FR"/>
        </w:rPr>
        <w:t xml:space="preserve"> </w:t>
      </w:r>
      <w:r w:rsidR="00E31503">
        <w:rPr>
          <w:lang w:val="fr-FR"/>
        </w:rPr>
        <w:t>l’</w:t>
      </w:r>
      <w:r w:rsidR="00E31503" w:rsidRPr="000E7130">
        <w:rPr>
          <w:lang w:val="fr-FR"/>
        </w:rPr>
        <w:t xml:space="preserve">antisémitisme, </w:t>
      </w:r>
      <w:r w:rsidR="00E31503">
        <w:rPr>
          <w:lang w:val="fr-FR"/>
        </w:rPr>
        <w:t>l’</w:t>
      </w:r>
      <w:r w:rsidR="00E31503" w:rsidRPr="000E7130">
        <w:rPr>
          <w:lang w:val="fr-FR"/>
        </w:rPr>
        <w:t xml:space="preserve">islamophobie, </w:t>
      </w:r>
      <w:r w:rsidR="00E31503">
        <w:rPr>
          <w:lang w:val="fr-FR"/>
        </w:rPr>
        <w:t>l’</w:t>
      </w:r>
      <w:r w:rsidR="00E31503" w:rsidRPr="000E7130">
        <w:rPr>
          <w:lang w:val="fr-FR"/>
        </w:rPr>
        <w:t xml:space="preserve">antitsiganisme, </w:t>
      </w:r>
      <w:r w:rsidR="00E31503">
        <w:rPr>
          <w:lang w:val="fr-FR"/>
        </w:rPr>
        <w:t>l’</w:t>
      </w:r>
      <w:r w:rsidR="00E31503" w:rsidRPr="000E7130">
        <w:rPr>
          <w:lang w:val="fr-FR"/>
        </w:rPr>
        <w:t xml:space="preserve">afrophobie ou </w:t>
      </w:r>
      <w:r w:rsidR="00E31503">
        <w:rPr>
          <w:lang w:val="fr-FR"/>
        </w:rPr>
        <w:t>la haine envers les personnes d’origine asiatique. L</w:t>
      </w:r>
      <w:r w:rsidR="00E31503" w:rsidRPr="000E7130">
        <w:rPr>
          <w:lang w:val="fr-FR"/>
        </w:rPr>
        <w:t xml:space="preserve">e Comité est préoccupé </w:t>
      </w:r>
      <w:r w:rsidR="00E31503">
        <w:rPr>
          <w:lang w:val="fr-FR"/>
        </w:rPr>
        <w:t>également par le</w:t>
      </w:r>
      <w:r w:rsidR="00E31503" w:rsidRPr="000E7130">
        <w:rPr>
          <w:lang w:val="fr-FR"/>
        </w:rPr>
        <w:t xml:space="preserve"> fait que la plus grande proportion de crimes </w:t>
      </w:r>
      <w:r w:rsidR="00E31503">
        <w:rPr>
          <w:lang w:val="fr-FR"/>
        </w:rPr>
        <w:t xml:space="preserve">et délits </w:t>
      </w:r>
      <w:r w:rsidR="00E31503" w:rsidRPr="000E7130">
        <w:rPr>
          <w:lang w:val="fr-FR"/>
        </w:rPr>
        <w:t>d</w:t>
      </w:r>
      <w:r w:rsidR="00E31503">
        <w:rPr>
          <w:lang w:val="fr-FR"/>
        </w:rPr>
        <w:t xml:space="preserve">e </w:t>
      </w:r>
      <w:r w:rsidR="00E31503" w:rsidRPr="000E7130">
        <w:rPr>
          <w:lang w:val="fr-FR"/>
        </w:rPr>
        <w:t xml:space="preserve">haine </w:t>
      </w:r>
      <w:r w:rsidR="00E31503">
        <w:rPr>
          <w:lang w:val="fr-FR"/>
        </w:rPr>
        <w:t xml:space="preserve">raciste </w:t>
      </w:r>
      <w:r w:rsidR="00E31503" w:rsidRPr="000E7130">
        <w:rPr>
          <w:lang w:val="fr-FR"/>
        </w:rPr>
        <w:t>dans l</w:t>
      </w:r>
      <w:r w:rsidR="00E31503">
        <w:rPr>
          <w:lang w:val="fr-FR"/>
        </w:rPr>
        <w:t>’</w:t>
      </w:r>
      <w:r w:rsidR="00E31503" w:rsidRPr="000E7130">
        <w:rPr>
          <w:lang w:val="fr-FR"/>
        </w:rPr>
        <w:t>État partie</w:t>
      </w:r>
      <w:r w:rsidR="00E31503">
        <w:rPr>
          <w:lang w:val="fr-FR"/>
        </w:rPr>
        <w:t xml:space="preserve"> présente un </w:t>
      </w:r>
      <w:r w:rsidR="00E31503" w:rsidRPr="000E7130">
        <w:rPr>
          <w:lang w:val="fr-FR"/>
        </w:rPr>
        <w:t>caractère raciste</w:t>
      </w:r>
      <w:r w:rsidR="00E31503">
        <w:rPr>
          <w:lang w:val="fr-FR"/>
        </w:rPr>
        <w:t xml:space="preserve"> et </w:t>
      </w:r>
      <w:r w:rsidR="00E31503" w:rsidRPr="000E7130">
        <w:rPr>
          <w:lang w:val="fr-FR"/>
        </w:rPr>
        <w:t>ethnoreligieu</w:t>
      </w:r>
      <w:r w:rsidR="00E31503">
        <w:rPr>
          <w:lang w:val="fr-FR"/>
        </w:rPr>
        <w:t>x (art</w:t>
      </w:r>
      <w:r>
        <w:rPr>
          <w:lang w:val="fr-FR"/>
        </w:rPr>
        <w:t>. </w:t>
      </w:r>
      <w:r w:rsidR="00E31503">
        <w:rPr>
          <w:lang w:val="fr-FR"/>
        </w:rPr>
        <w:t xml:space="preserve">4). </w:t>
      </w:r>
    </w:p>
    <w:p w14:paraId="0DB457FD" w14:textId="15D3122E" w:rsidR="00E31503" w:rsidRPr="000E7130" w:rsidRDefault="00650A99" w:rsidP="00650A99">
      <w:pPr>
        <w:pStyle w:val="SingleTxtG"/>
        <w:rPr>
          <w:lang w:val="fr-FR"/>
        </w:rPr>
      </w:pPr>
      <w:r>
        <w:rPr>
          <w:lang w:val="fr-FR"/>
        </w:rPr>
        <w:t>18.</w:t>
      </w:r>
      <w:r>
        <w:rPr>
          <w:lang w:val="fr-FR"/>
        </w:rPr>
        <w:tab/>
      </w:r>
      <w:r w:rsidR="00E31503" w:rsidRPr="00501410">
        <w:rPr>
          <w:lang w:val="fr-FR"/>
        </w:rPr>
        <w:t>Le Comité</w:t>
      </w:r>
      <w:r w:rsidR="00E31503">
        <w:rPr>
          <w:lang w:val="fr-FR"/>
        </w:rPr>
        <w:t xml:space="preserve"> </w:t>
      </w:r>
      <w:r w:rsidR="00E31503" w:rsidRPr="000E7130">
        <w:rPr>
          <w:lang w:val="fr-FR"/>
        </w:rPr>
        <w:t>est</w:t>
      </w:r>
      <w:r w:rsidR="00E31503">
        <w:rPr>
          <w:lang w:val="fr-FR"/>
        </w:rPr>
        <w:t xml:space="preserve"> </w:t>
      </w:r>
      <w:r w:rsidR="00E31503" w:rsidRPr="000E7130">
        <w:rPr>
          <w:lang w:val="fr-FR"/>
        </w:rPr>
        <w:t>préoccupé par les nombreuses infractions motivées par la haine</w:t>
      </w:r>
      <w:r w:rsidR="00E31503">
        <w:rPr>
          <w:lang w:val="fr-FR"/>
        </w:rPr>
        <w:t xml:space="preserve"> raciale</w:t>
      </w:r>
      <w:r w:rsidR="00E31503" w:rsidRPr="000E7130">
        <w:rPr>
          <w:lang w:val="fr-FR"/>
        </w:rPr>
        <w:t xml:space="preserve"> </w:t>
      </w:r>
      <w:r w:rsidR="00E31503" w:rsidRPr="00DC6B83">
        <w:t>signalées</w:t>
      </w:r>
      <w:r w:rsidR="00E31503" w:rsidRPr="000E7130">
        <w:rPr>
          <w:lang w:val="fr-FR"/>
        </w:rPr>
        <w:t xml:space="preserve"> depuis le début de la pandémie de COVID-19, visant particulièrement les personnes d</w:t>
      </w:r>
      <w:r w:rsidR="00E31503">
        <w:rPr>
          <w:lang w:val="fr-FR"/>
        </w:rPr>
        <w:t>’</w:t>
      </w:r>
      <w:r w:rsidR="00E31503" w:rsidRPr="000E7130">
        <w:rPr>
          <w:lang w:val="fr-FR"/>
        </w:rPr>
        <w:t xml:space="preserve">origine asiatique. Le Comité </w:t>
      </w:r>
      <w:r w:rsidR="00E31503">
        <w:rPr>
          <w:lang w:val="fr-FR"/>
        </w:rPr>
        <w:t>est</w:t>
      </w:r>
      <w:r w:rsidR="00E31503" w:rsidRPr="000E7130">
        <w:rPr>
          <w:lang w:val="fr-FR"/>
        </w:rPr>
        <w:t xml:space="preserve"> également </w:t>
      </w:r>
      <w:r w:rsidR="00E31503">
        <w:rPr>
          <w:lang w:val="fr-FR"/>
        </w:rPr>
        <w:t xml:space="preserve">préoccupé </w:t>
      </w:r>
      <w:r w:rsidR="00E31503" w:rsidRPr="000E7130">
        <w:rPr>
          <w:lang w:val="fr-FR"/>
        </w:rPr>
        <w:t>par le nombre croissant de signalements de discours d</w:t>
      </w:r>
      <w:r w:rsidR="00E31503">
        <w:rPr>
          <w:lang w:val="fr-FR"/>
        </w:rPr>
        <w:t xml:space="preserve">e </w:t>
      </w:r>
      <w:r w:rsidR="00E31503" w:rsidRPr="000E7130">
        <w:rPr>
          <w:lang w:val="fr-FR"/>
        </w:rPr>
        <w:t>haine raciale</w:t>
      </w:r>
      <w:r w:rsidR="00E31503">
        <w:rPr>
          <w:lang w:val="fr-FR"/>
        </w:rPr>
        <w:t>, notamment à caractère antisémite et islamophobe,</w:t>
      </w:r>
      <w:r w:rsidR="00E31503" w:rsidRPr="000E7130">
        <w:rPr>
          <w:lang w:val="fr-FR"/>
        </w:rPr>
        <w:t xml:space="preserve"> et par le durcissement de langage sur </w:t>
      </w:r>
      <w:r w:rsidR="00E31503">
        <w:rPr>
          <w:lang w:val="fr-FR"/>
        </w:rPr>
        <w:t xml:space="preserve">Internet et </w:t>
      </w:r>
      <w:r w:rsidR="00E31503" w:rsidRPr="000E7130">
        <w:rPr>
          <w:lang w:val="fr-FR"/>
        </w:rPr>
        <w:t xml:space="preserve">les réseaux sociaux, notamment envers </w:t>
      </w:r>
      <w:r w:rsidR="00E31503">
        <w:rPr>
          <w:lang w:val="fr-FR"/>
        </w:rPr>
        <w:t>les migrants, réfugi</w:t>
      </w:r>
      <w:r w:rsidR="00E31503" w:rsidRPr="000E7130">
        <w:rPr>
          <w:lang w:val="fr-FR"/>
        </w:rPr>
        <w:t>és</w:t>
      </w:r>
      <w:r w:rsidR="00E31503">
        <w:rPr>
          <w:lang w:val="fr-FR"/>
        </w:rPr>
        <w:t xml:space="preserve"> et demandeurs d’asile (art. 4).</w:t>
      </w:r>
    </w:p>
    <w:p w14:paraId="5AA033F7" w14:textId="47D665B5" w:rsidR="00E31503" w:rsidRPr="004B2245" w:rsidRDefault="00650A99" w:rsidP="00397859">
      <w:pPr>
        <w:pStyle w:val="SingleTxtG"/>
        <w:keepNext/>
      </w:pPr>
      <w:r>
        <w:rPr>
          <w:lang w:val="fr-FR"/>
        </w:rPr>
        <w:lastRenderedPageBreak/>
        <w:t>19.</w:t>
      </w:r>
      <w:r>
        <w:rPr>
          <w:lang w:val="fr-FR"/>
        </w:rPr>
        <w:tab/>
      </w:r>
      <w:r w:rsidR="00E31503">
        <w:rPr>
          <w:b/>
          <w:bCs/>
          <w:lang w:val="fr-FR"/>
        </w:rPr>
        <w:t xml:space="preserve">Le Comité </w:t>
      </w:r>
      <w:r w:rsidR="00E31503" w:rsidRPr="00724797">
        <w:rPr>
          <w:b/>
          <w:bCs/>
          <w:lang w:val="fr-FR"/>
        </w:rPr>
        <w:t>recommande à l</w:t>
      </w:r>
      <w:r w:rsidR="00E31503">
        <w:rPr>
          <w:b/>
          <w:bCs/>
          <w:lang w:val="fr-FR"/>
        </w:rPr>
        <w:t>’</w:t>
      </w:r>
      <w:r w:rsidR="00E31503" w:rsidRPr="00724797">
        <w:rPr>
          <w:b/>
          <w:bCs/>
          <w:lang w:val="fr-FR"/>
        </w:rPr>
        <w:t>État partie</w:t>
      </w:r>
      <w:r w:rsidR="00E31503">
        <w:rPr>
          <w:b/>
          <w:bCs/>
          <w:lang w:val="fr-FR"/>
        </w:rPr>
        <w:t> </w:t>
      </w:r>
      <w:r w:rsidR="00E31503" w:rsidRPr="00724797">
        <w:rPr>
          <w:b/>
          <w:bCs/>
          <w:lang w:val="fr-FR"/>
        </w:rPr>
        <w:t xml:space="preserve">: </w:t>
      </w:r>
    </w:p>
    <w:p w14:paraId="4EF66744" w14:textId="5A931597" w:rsidR="00E31503" w:rsidRPr="004E6868" w:rsidRDefault="00650A99" w:rsidP="00397859">
      <w:pPr>
        <w:pStyle w:val="SingleTxtG"/>
        <w:ind w:firstLine="567"/>
        <w:rPr>
          <w:b/>
          <w:lang w:val="fr-FR"/>
        </w:rPr>
      </w:pPr>
      <w:r>
        <w:rPr>
          <w:b/>
          <w:lang w:val="fr-FR"/>
        </w:rPr>
        <w:t>a)</w:t>
      </w:r>
      <w:r>
        <w:rPr>
          <w:b/>
          <w:lang w:val="fr-FR"/>
        </w:rPr>
        <w:tab/>
      </w:r>
      <w:r w:rsidR="00E31503" w:rsidRPr="004E6868">
        <w:rPr>
          <w:b/>
          <w:lang w:val="fr-FR"/>
        </w:rPr>
        <w:t>D</w:t>
      </w:r>
      <w:r w:rsidR="00E31503">
        <w:rPr>
          <w:b/>
          <w:lang w:val="fr-FR"/>
        </w:rPr>
        <w:t>’</w:t>
      </w:r>
      <w:r w:rsidR="00E31503" w:rsidRPr="004E6868">
        <w:rPr>
          <w:b/>
          <w:lang w:val="fr-FR"/>
        </w:rPr>
        <w:t xml:space="preserve">adopter sans tarder les réformes visant à </w:t>
      </w:r>
      <w:r w:rsidR="00E31503" w:rsidRPr="004E6868">
        <w:rPr>
          <w:b/>
        </w:rPr>
        <w:t>améliorer les systèmes d</w:t>
      </w:r>
      <w:r w:rsidR="00E31503">
        <w:rPr>
          <w:b/>
        </w:rPr>
        <w:t>’</w:t>
      </w:r>
      <w:r w:rsidR="00E31503" w:rsidRPr="004E6868">
        <w:rPr>
          <w:b/>
        </w:rPr>
        <w:t xml:space="preserve">enregistrement des crimes et des discours de haine à caractère raciste </w:t>
      </w:r>
      <w:r w:rsidR="00E31503">
        <w:rPr>
          <w:b/>
        </w:rPr>
        <w:t>ainsi que</w:t>
      </w:r>
      <w:r w:rsidR="00E31503" w:rsidRPr="004E6868">
        <w:rPr>
          <w:b/>
        </w:rPr>
        <w:t xml:space="preserve"> de collecte de données, en facilitant l</w:t>
      </w:r>
      <w:r w:rsidR="00E31503">
        <w:rPr>
          <w:b/>
        </w:rPr>
        <w:t>’</w:t>
      </w:r>
      <w:r w:rsidR="00E31503" w:rsidRPr="004E6868">
        <w:rPr>
          <w:b/>
        </w:rPr>
        <w:t>identification des cas spécifiques de haine ethnoreligieuse et autres cas à motivation intersection</w:t>
      </w:r>
      <w:r w:rsidR="00E31503">
        <w:rPr>
          <w:b/>
        </w:rPr>
        <w:t>n</w:t>
      </w:r>
      <w:r w:rsidR="00E31503" w:rsidRPr="004E6868">
        <w:rPr>
          <w:b/>
        </w:rPr>
        <w:t>elle</w:t>
      </w:r>
      <w:r w:rsidR="00E31503">
        <w:rPr>
          <w:b/>
        </w:rPr>
        <w:t> </w:t>
      </w:r>
      <w:r w:rsidR="00E31503" w:rsidRPr="004E6868">
        <w:rPr>
          <w:b/>
          <w:lang w:val="fr-FR"/>
        </w:rPr>
        <w:t>;</w:t>
      </w:r>
    </w:p>
    <w:p w14:paraId="5DE4820E" w14:textId="5573D191" w:rsidR="00E31503" w:rsidRPr="004E6868" w:rsidRDefault="00650A99" w:rsidP="00397859">
      <w:pPr>
        <w:pStyle w:val="SingleTxtG"/>
        <w:ind w:firstLine="567"/>
        <w:rPr>
          <w:b/>
          <w:lang w:val="fr-FR"/>
        </w:rPr>
      </w:pPr>
      <w:r>
        <w:rPr>
          <w:b/>
          <w:lang w:val="fr-FR"/>
        </w:rPr>
        <w:t>b)</w:t>
      </w:r>
      <w:r>
        <w:rPr>
          <w:b/>
          <w:lang w:val="fr-FR"/>
        </w:rPr>
        <w:tab/>
      </w:r>
      <w:r w:rsidR="00E31503" w:rsidRPr="004E6868">
        <w:rPr>
          <w:b/>
          <w:lang w:val="fr-FR"/>
        </w:rPr>
        <w:t xml:space="preserve">De prendre toutes les mesures nécessaires pour prévenir les </w:t>
      </w:r>
      <w:r w:rsidR="00E31503" w:rsidRPr="004E6868">
        <w:rPr>
          <w:b/>
        </w:rPr>
        <w:t>crimes et discours de haine à caractère raciste</w:t>
      </w:r>
      <w:r w:rsidR="00E31503">
        <w:rPr>
          <w:b/>
        </w:rPr>
        <w:t>,</w:t>
      </w:r>
      <w:r w:rsidR="00E31503" w:rsidRPr="004E6868">
        <w:rPr>
          <w:b/>
          <w:lang w:val="fr-FR"/>
        </w:rPr>
        <w:t xml:space="preserve"> lutter fermement contre</w:t>
      </w:r>
      <w:r w:rsidR="00E31503">
        <w:rPr>
          <w:b/>
          <w:lang w:val="fr-FR"/>
        </w:rPr>
        <w:t xml:space="preserve"> ceux-ci</w:t>
      </w:r>
      <w:r w:rsidR="00E31503" w:rsidRPr="004E6868">
        <w:rPr>
          <w:b/>
        </w:rPr>
        <w:t xml:space="preserve"> et protéger les groupes les plus exposés à la discrimination raciale, y compris dans le contexte de la pandémie de COVID-19</w:t>
      </w:r>
      <w:r w:rsidR="00E31503">
        <w:rPr>
          <w:b/>
        </w:rPr>
        <w:t> </w:t>
      </w:r>
      <w:r w:rsidR="00E31503" w:rsidRPr="004E6868">
        <w:rPr>
          <w:b/>
        </w:rPr>
        <w:t>;</w:t>
      </w:r>
    </w:p>
    <w:p w14:paraId="225E3193" w14:textId="3656E82A" w:rsidR="00E31503" w:rsidRPr="004E6868" w:rsidRDefault="00650A99" w:rsidP="00397859">
      <w:pPr>
        <w:pStyle w:val="SingleTxtG"/>
        <w:ind w:firstLine="567"/>
        <w:rPr>
          <w:b/>
          <w:lang w:val="fr-FR"/>
        </w:rPr>
      </w:pPr>
      <w:r>
        <w:rPr>
          <w:b/>
          <w:lang w:val="fr-FR"/>
        </w:rPr>
        <w:t>c)</w:t>
      </w:r>
      <w:r>
        <w:rPr>
          <w:b/>
          <w:lang w:val="fr-FR"/>
        </w:rPr>
        <w:tab/>
      </w:r>
      <w:r w:rsidR="00E31503" w:rsidRPr="004E6868">
        <w:rPr>
          <w:b/>
          <w:lang w:val="fr-FR"/>
        </w:rPr>
        <w:t>De faire en sorte que les crimes et discours de haine à caractère raciste fassent l</w:t>
      </w:r>
      <w:r w:rsidR="00E31503">
        <w:rPr>
          <w:b/>
          <w:lang w:val="fr-FR"/>
        </w:rPr>
        <w:t>’</w:t>
      </w:r>
      <w:r w:rsidR="00E31503" w:rsidRPr="004E6868">
        <w:rPr>
          <w:b/>
          <w:lang w:val="fr-FR"/>
        </w:rPr>
        <w:t>objet d</w:t>
      </w:r>
      <w:r w:rsidR="00E31503">
        <w:rPr>
          <w:b/>
          <w:lang w:val="fr-FR"/>
        </w:rPr>
        <w:t>’</w:t>
      </w:r>
      <w:r w:rsidR="00E31503" w:rsidRPr="004E6868">
        <w:rPr>
          <w:b/>
          <w:lang w:val="fr-FR"/>
        </w:rPr>
        <w:t>enquêtes approfondies et de poursuites, que leurs auteurs soient punis de manière appropriée et que les victimes disposent de recours utiles et des réparations adéquates</w:t>
      </w:r>
      <w:r w:rsidR="00E31503">
        <w:rPr>
          <w:b/>
          <w:lang w:val="fr-FR"/>
        </w:rPr>
        <w:t>, et de</w:t>
      </w:r>
      <w:r w:rsidR="00E31503" w:rsidRPr="004E6868">
        <w:rPr>
          <w:b/>
          <w:lang w:val="fr-FR"/>
        </w:rPr>
        <w:t xml:space="preserve"> fournir dans son prochain rapport périodique des informations détaillées sur les enquêtes, poursuites et condamnations à ce sujet</w:t>
      </w:r>
      <w:r w:rsidR="00E31503">
        <w:rPr>
          <w:b/>
          <w:lang w:val="fr-FR"/>
        </w:rPr>
        <w:t> </w:t>
      </w:r>
      <w:r w:rsidR="00E31503" w:rsidRPr="004E6868">
        <w:rPr>
          <w:b/>
          <w:lang w:val="fr-FR"/>
        </w:rPr>
        <w:t xml:space="preserve">; </w:t>
      </w:r>
    </w:p>
    <w:p w14:paraId="12A089C1" w14:textId="6CFC0EA5" w:rsidR="00E31503" w:rsidRPr="004E6868" w:rsidRDefault="00650A99" w:rsidP="00397859">
      <w:pPr>
        <w:pStyle w:val="SingleTxtG"/>
        <w:ind w:firstLine="567"/>
        <w:rPr>
          <w:b/>
          <w:lang w:val="fr-FR"/>
        </w:rPr>
      </w:pPr>
      <w:r>
        <w:rPr>
          <w:b/>
          <w:lang w:val="fr-FR"/>
        </w:rPr>
        <w:t>d)</w:t>
      </w:r>
      <w:r>
        <w:rPr>
          <w:b/>
          <w:lang w:val="fr-FR"/>
        </w:rPr>
        <w:tab/>
      </w:r>
      <w:r w:rsidR="00E31503" w:rsidRPr="004E6868">
        <w:rPr>
          <w:b/>
          <w:lang w:val="fr-FR"/>
        </w:rPr>
        <w:t>D</w:t>
      </w:r>
      <w:r w:rsidR="00E31503">
        <w:rPr>
          <w:b/>
          <w:lang w:val="fr-FR"/>
        </w:rPr>
        <w:t>’</w:t>
      </w:r>
      <w:r w:rsidR="00E31503" w:rsidRPr="004E6868">
        <w:rPr>
          <w:b/>
          <w:lang w:val="fr-FR"/>
        </w:rPr>
        <w:t xml:space="preserve">évaluer et </w:t>
      </w:r>
      <w:r w:rsidR="00E31503">
        <w:rPr>
          <w:b/>
          <w:lang w:val="fr-FR"/>
        </w:rPr>
        <w:t xml:space="preserve">de </w:t>
      </w:r>
      <w:r w:rsidR="00E31503" w:rsidRPr="004E6868">
        <w:rPr>
          <w:b/>
          <w:lang w:val="fr-FR"/>
        </w:rPr>
        <w:t>poursuivre ses campagnes ciblées de sensibilisation afin de combattre les crimes et discours de haine à caractère raciste, de lutter contre les préjugés et les sentiments négatifs à l</w:t>
      </w:r>
      <w:r w:rsidR="00E31503">
        <w:rPr>
          <w:b/>
          <w:lang w:val="fr-FR"/>
        </w:rPr>
        <w:t>’</w:t>
      </w:r>
      <w:r w:rsidR="00E31503" w:rsidRPr="004E6868">
        <w:rPr>
          <w:b/>
          <w:lang w:val="fr-FR"/>
        </w:rPr>
        <w:t>égard des minorités ethnoreligieuses, des migrants, des réfugiés et des demandeurs d</w:t>
      </w:r>
      <w:r w:rsidR="00E31503">
        <w:rPr>
          <w:b/>
          <w:lang w:val="fr-FR"/>
        </w:rPr>
        <w:t>’</w:t>
      </w:r>
      <w:r w:rsidR="00E31503" w:rsidRPr="004E6868">
        <w:rPr>
          <w:b/>
          <w:lang w:val="fr-FR"/>
        </w:rPr>
        <w:t>asile, et de promouvoir la tolérance et la c</w:t>
      </w:r>
      <w:r w:rsidR="00E31503">
        <w:rPr>
          <w:b/>
          <w:lang w:val="fr-FR"/>
        </w:rPr>
        <w:t>ompréhension envers ces groupes </w:t>
      </w:r>
      <w:r w:rsidR="00E31503" w:rsidRPr="004E6868">
        <w:rPr>
          <w:b/>
          <w:lang w:val="fr-FR"/>
        </w:rPr>
        <w:t xml:space="preserve">; </w:t>
      </w:r>
    </w:p>
    <w:p w14:paraId="33D1712E" w14:textId="5AE33A65" w:rsidR="00E31503" w:rsidRPr="0078499B" w:rsidRDefault="00650A99" w:rsidP="00397859">
      <w:pPr>
        <w:pStyle w:val="SingleTxtG"/>
        <w:ind w:firstLine="567"/>
        <w:rPr>
          <w:lang w:val="fr-FR"/>
        </w:rPr>
      </w:pPr>
      <w:r>
        <w:rPr>
          <w:b/>
          <w:lang w:val="fr-FR"/>
        </w:rPr>
        <w:t>e)</w:t>
      </w:r>
      <w:r>
        <w:rPr>
          <w:b/>
          <w:lang w:val="fr-FR"/>
        </w:rPr>
        <w:tab/>
      </w:r>
      <w:r w:rsidR="00E31503" w:rsidRPr="004E6868">
        <w:rPr>
          <w:b/>
          <w:lang w:val="fr-FR"/>
        </w:rPr>
        <w:t xml:space="preserve">De poursuivre ses efforts pour </w:t>
      </w:r>
      <w:r w:rsidR="00E31503">
        <w:rPr>
          <w:b/>
          <w:lang w:val="fr-FR"/>
        </w:rPr>
        <w:t>surveiller</w:t>
      </w:r>
      <w:r w:rsidR="00E31503" w:rsidRPr="004E6868">
        <w:rPr>
          <w:b/>
          <w:lang w:val="fr-FR"/>
        </w:rPr>
        <w:t xml:space="preserve"> la prolifération des discours de haine raciale sur Internet et les médias sociaux, en étroite coopération avec les fournisseurs d</w:t>
      </w:r>
      <w:r w:rsidR="00E31503">
        <w:rPr>
          <w:b/>
          <w:lang w:val="fr-FR"/>
        </w:rPr>
        <w:t>’</w:t>
      </w:r>
      <w:r w:rsidR="00E31503" w:rsidRPr="004E6868">
        <w:rPr>
          <w:b/>
          <w:lang w:val="fr-FR"/>
        </w:rPr>
        <w:t>accès à Internet, les plateformes de réseaux sociaux et les populations les plus concernées par les discours de haine raciale.</w:t>
      </w:r>
    </w:p>
    <w:p w14:paraId="04EFB0CE" w14:textId="77777777" w:rsidR="00E31503" w:rsidRDefault="00E31503" w:rsidP="00397859">
      <w:pPr>
        <w:pStyle w:val="H23G"/>
      </w:pPr>
      <w:r>
        <w:rPr>
          <w:lang w:val="fr-FR"/>
        </w:rPr>
        <w:tab/>
      </w:r>
      <w:r>
        <w:rPr>
          <w:lang w:val="fr-FR"/>
        </w:rPr>
        <w:tab/>
      </w:r>
      <w:r w:rsidRPr="00DB52C8">
        <w:t xml:space="preserve">Interdiction des organisations incitant </w:t>
      </w:r>
      <w:r>
        <w:t xml:space="preserve">à </w:t>
      </w:r>
      <w:r w:rsidRPr="00DB52C8">
        <w:t>la discrimination raciale</w:t>
      </w:r>
    </w:p>
    <w:p w14:paraId="7A5E8010" w14:textId="2A8E23ED" w:rsidR="00E31503" w:rsidRDefault="00650A99" w:rsidP="00650A99">
      <w:pPr>
        <w:pStyle w:val="SingleTxtG"/>
      </w:pPr>
      <w:r>
        <w:t>20.</w:t>
      </w:r>
      <w:r>
        <w:tab/>
      </w:r>
      <w:r w:rsidR="00E31503" w:rsidRPr="00DB52C8">
        <w:t>Tout en notant les informations fournies par l</w:t>
      </w:r>
      <w:r w:rsidR="00E31503">
        <w:t>’État</w:t>
      </w:r>
      <w:r w:rsidR="00E31503" w:rsidRPr="00DB52C8">
        <w:t xml:space="preserve"> partie, le Comité est préoccupé par le fait que la législation belge ne contient toujours pas de dispositions visant à déclarer illégale</w:t>
      </w:r>
      <w:r w:rsidR="00E31503">
        <w:t>s</w:t>
      </w:r>
      <w:r w:rsidR="00E31503" w:rsidRPr="00DB52C8">
        <w:t xml:space="preserve"> les organisations qui incitent à la discrimination raciale, </w:t>
      </w:r>
      <w:r w:rsidR="00E31503" w:rsidRPr="004E6868">
        <w:t>comme le Com</w:t>
      </w:r>
      <w:r w:rsidR="00E31503">
        <w:t>i</w:t>
      </w:r>
      <w:r w:rsidR="00E31503" w:rsidRPr="004E6868">
        <w:t xml:space="preserve">té </w:t>
      </w:r>
      <w:r w:rsidR="00E31503">
        <w:t xml:space="preserve">le </w:t>
      </w:r>
      <w:r w:rsidR="00E31503" w:rsidRPr="004E6868">
        <w:t>lui</w:t>
      </w:r>
      <w:r w:rsidR="00E31503" w:rsidRPr="00DB52C8">
        <w:t xml:space="preserve"> avait </w:t>
      </w:r>
      <w:r w:rsidR="00E31503">
        <w:t xml:space="preserve">pourtant </w:t>
      </w:r>
      <w:r w:rsidR="00E31503" w:rsidRPr="00DB52C8">
        <w:t xml:space="preserve">recommandé </w:t>
      </w:r>
      <w:r w:rsidR="00E31503">
        <w:t>au paragraphe 6 de</w:t>
      </w:r>
      <w:r w:rsidR="00E31503" w:rsidRPr="00DB52C8">
        <w:t xml:space="preserve"> ses précédentes observations finales. Il est aussi préoccupé par le fait que la législation ne contient pas de disposition permettant d</w:t>
      </w:r>
      <w:r w:rsidR="00E31503">
        <w:t>’</w:t>
      </w:r>
      <w:r w:rsidR="00E31503" w:rsidRPr="00DB52C8">
        <w:t xml:space="preserve">interdire </w:t>
      </w:r>
      <w:r w:rsidR="00E31503">
        <w:t xml:space="preserve">les </w:t>
      </w:r>
      <w:r w:rsidR="00E31503" w:rsidRPr="001F5039">
        <w:t>parti</w:t>
      </w:r>
      <w:r w:rsidR="00E31503">
        <w:t>s</w:t>
      </w:r>
      <w:r w:rsidR="00E31503" w:rsidRPr="001F5039">
        <w:t xml:space="preserve"> liberticide</w:t>
      </w:r>
      <w:r w:rsidR="00E31503">
        <w:t>s ou</w:t>
      </w:r>
      <w:r w:rsidR="00E31503" w:rsidRPr="00DB52C8">
        <w:t xml:space="preserve"> </w:t>
      </w:r>
      <w:r w:rsidR="00E31503">
        <w:t xml:space="preserve">les organisations de fait qui encouragent la discrimination raciale </w:t>
      </w:r>
      <w:r w:rsidR="00E31503" w:rsidRPr="00DB52C8">
        <w:t>(art.</w:t>
      </w:r>
      <w:r w:rsidR="00E31503">
        <w:t> </w:t>
      </w:r>
      <w:r w:rsidR="00E31503" w:rsidRPr="00DB52C8">
        <w:t xml:space="preserve">4). </w:t>
      </w:r>
    </w:p>
    <w:p w14:paraId="1663CC9E" w14:textId="5F3B706A" w:rsidR="00E31503" w:rsidRPr="001F6482" w:rsidRDefault="00650A99" w:rsidP="00650A99">
      <w:pPr>
        <w:pStyle w:val="SingleTxtG"/>
        <w:rPr>
          <w:b/>
        </w:rPr>
      </w:pPr>
      <w:r>
        <w:rPr>
          <w:bCs/>
        </w:rPr>
        <w:t>21.</w:t>
      </w:r>
      <w:r>
        <w:rPr>
          <w:bCs/>
        </w:rPr>
        <w:tab/>
      </w:r>
      <w:r w:rsidR="00E31503" w:rsidRPr="001F6482">
        <w:rPr>
          <w:b/>
        </w:rPr>
        <w:t>Le Comité réitère sa précédente recommandation à l</w:t>
      </w:r>
      <w:r w:rsidR="00E31503">
        <w:rPr>
          <w:b/>
        </w:rPr>
        <w:t>’État</w:t>
      </w:r>
      <w:r w:rsidR="00E31503" w:rsidRPr="001F6482">
        <w:rPr>
          <w:b/>
        </w:rPr>
        <w:t xml:space="preserve"> partie de modifier sa législation afin de déclarer illégales et </w:t>
      </w:r>
      <w:r w:rsidR="00E31503">
        <w:rPr>
          <w:b/>
        </w:rPr>
        <w:t>d’</w:t>
      </w:r>
      <w:r w:rsidR="00E31503" w:rsidRPr="001F6482">
        <w:rPr>
          <w:b/>
        </w:rPr>
        <w:t>interdire les organisations qui incitent à la discrimination raciale. Il lui recommande également d</w:t>
      </w:r>
      <w:r w:rsidR="00E31503">
        <w:rPr>
          <w:b/>
        </w:rPr>
        <w:t>’</w:t>
      </w:r>
      <w:r w:rsidR="00E31503" w:rsidRPr="001F6482">
        <w:rPr>
          <w:b/>
        </w:rPr>
        <w:t>envisager d</w:t>
      </w:r>
      <w:r w:rsidR="00E31503">
        <w:rPr>
          <w:b/>
        </w:rPr>
        <w:t>’</w:t>
      </w:r>
      <w:r w:rsidR="00E31503" w:rsidRPr="001F6482">
        <w:rPr>
          <w:b/>
        </w:rPr>
        <w:t>inclure dans sa législation une disposition qui permet d</w:t>
      </w:r>
      <w:r w:rsidR="00E31503">
        <w:rPr>
          <w:b/>
        </w:rPr>
        <w:t>’</w:t>
      </w:r>
      <w:r w:rsidR="00E31503" w:rsidRPr="001F6482">
        <w:rPr>
          <w:b/>
        </w:rPr>
        <w:t>interdire les partis liberticides.</w:t>
      </w:r>
      <w:r w:rsidR="00E31503">
        <w:rPr>
          <w:b/>
        </w:rPr>
        <w:t xml:space="preserve"> </w:t>
      </w:r>
    </w:p>
    <w:p w14:paraId="0DAD84F8" w14:textId="77777777" w:rsidR="00E31503" w:rsidRPr="001F6482" w:rsidRDefault="00E31503" w:rsidP="00397859">
      <w:pPr>
        <w:pStyle w:val="H23G"/>
      </w:pPr>
      <w:r>
        <w:tab/>
      </w:r>
      <w:r>
        <w:tab/>
      </w:r>
      <w:r w:rsidRPr="001F6482">
        <w:t>Situation des Roms et des gens du voyage</w:t>
      </w:r>
    </w:p>
    <w:p w14:paraId="54D2E114" w14:textId="1EA67FCD" w:rsidR="00E31503" w:rsidRDefault="00650A99" w:rsidP="00397859">
      <w:pPr>
        <w:pStyle w:val="SingleTxtG"/>
        <w:keepNext/>
      </w:pPr>
      <w:r>
        <w:t>22.</w:t>
      </w:r>
      <w:r>
        <w:tab/>
      </w:r>
      <w:r w:rsidR="00E31503" w:rsidRPr="001F6482">
        <w:t>Tout en notant les informations fournies par l</w:t>
      </w:r>
      <w:r w:rsidR="00E31503">
        <w:t>’État</w:t>
      </w:r>
      <w:r w:rsidR="00E31503" w:rsidRPr="001F6482">
        <w:t xml:space="preserve"> partie sur les mesures prises afin d</w:t>
      </w:r>
      <w:r w:rsidR="00E31503">
        <w:t>’</w:t>
      </w:r>
      <w:r w:rsidR="00E31503" w:rsidRPr="001F6482">
        <w:t>améliorer la situation des Roms dans divers domaines de la vie, ainsi que la reconnaissance de la caravane comme type de logement, le Comité reste préoccupé par</w:t>
      </w:r>
      <w:r w:rsidR="00E31503">
        <w:t> </w:t>
      </w:r>
      <w:r w:rsidR="00E31503" w:rsidRPr="001F6482">
        <w:t>:</w:t>
      </w:r>
    </w:p>
    <w:p w14:paraId="3911A4F1" w14:textId="5664CCEB" w:rsidR="00E31503" w:rsidRPr="00286730" w:rsidRDefault="00650A99" w:rsidP="00397859">
      <w:pPr>
        <w:pStyle w:val="SingleTxtG"/>
        <w:ind w:firstLine="567"/>
      </w:pPr>
      <w:r>
        <w:t>a)</w:t>
      </w:r>
      <w:r>
        <w:tab/>
      </w:r>
      <w:r w:rsidR="00E31503" w:rsidRPr="00286730">
        <w:t>La persistance de l</w:t>
      </w:r>
      <w:r w:rsidR="00E31503">
        <w:t>’</w:t>
      </w:r>
      <w:r w:rsidR="00E31503" w:rsidRPr="00286730">
        <w:t xml:space="preserve">exclusion sociale et la pauvreté que subissent les Roms et les gens </w:t>
      </w:r>
      <w:r w:rsidR="00E31503">
        <w:t>du</w:t>
      </w:r>
      <w:r w:rsidR="00E31503" w:rsidRPr="00286730">
        <w:t xml:space="preserve"> voyage, en particulier les enfants</w:t>
      </w:r>
      <w:r w:rsidR="00E31503">
        <w:t> </w:t>
      </w:r>
      <w:r w:rsidR="00E31503" w:rsidRPr="00286730">
        <w:t>;</w:t>
      </w:r>
    </w:p>
    <w:p w14:paraId="74F181DF" w14:textId="236C75FF" w:rsidR="00E31503" w:rsidRPr="00286730" w:rsidRDefault="00650A99" w:rsidP="00397859">
      <w:pPr>
        <w:pStyle w:val="SingleTxtG"/>
        <w:ind w:firstLine="567"/>
      </w:pPr>
      <w:r>
        <w:t>b)</w:t>
      </w:r>
      <w:r>
        <w:tab/>
      </w:r>
      <w:r w:rsidR="00E31503" w:rsidRPr="00286730">
        <w:t xml:space="preserve">Le taux de chômage élevé parmi les Roms et les gens </w:t>
      </w:r>
      <w:r w:rsidR="00E31503">
        <w:t>du</w:t>
      </w:r>
      <w:r w:rsidR="00E31503" w:rsidRPr="00286730">
        <w:t xml:space="preserve"> voyage par rapport au reste de la population, en particulier chez les femmes</w:t>
      </w:r>
      <w:r w:rsidR="00E31503">
        <w:t> </w:t>
      </w:r>
      <w:r w:rsidR="00E31503" w:rsidRPr="00286730">
        <w:t>;</w:t>
      </w:r>
    </w:p>
    <w:p w14:paraId="70103D6C" w14:textId="1E400C14" w:rsidR="00E31503" w:rsidRPr="00286730" w:rsidRDefault="00650A99" w:rsidP="00397859">
      <w:pPr>
        <w:pStyle w:val="SingleTxtG"/>
        <w:ind w:firstLine="567"/>
      </w:pPr>
      <w:r>
        <w:t>c)</w:t>
      </w:r>
      <w:r>
        <w:tab/>
      </w:r>
      <w:r w:rsidR="00E31503" w:rsidRPr="00286730">
        <w:t xml:space="preserve">Le faible taux de couverture des Roms et des gens </w:t>
      </w:r>
      <w:r w:rsidR="00E31503">
        <w:t>du</w:t>
      </w:r>
      <w:r w:rsidR="00E31503" w:rsidRPr="00286730">
        <w:t xml:space="preserve"> voyage par l</w:t>
      </w:r>
      <w:r w:rsidR="00E31503">
        <w:t>’</w:t>
      </w:r>
      <w:r w:rsidR="00E31503" w:rsidRPr="00286730">
        <w:t>assurance maladie</w:t>
      </w:r>
      <w:r w:rsidR="00E31503">
        <w:t>,</w:t>
      </w:r>
      <w:r w:rsidR="00E31503" w:rsidRPr="00286730">
        <w:t xml:space="preserve"> et </w:t>
      </w:r>
      <w:r w:rsidR="00E31503">
        <w:t>le</w:t>
      </w:r>
      <w:r w:rsidR="00E31503" w:rsidRPr="00286730">
        <w:t xml:space="preserve"> fait que leur espérance de vie e</w:t>
      </w:r>
      <w:r w:rsidR="00E31503">
        <w:t>s</w:t>
      </w:r>
      <w:r w:rsidR="00E31503" w:rsidRPr="00286730">
        <w:t>t nettement inférieur</w:t>
      </w:r>
      <w:r w:rsidR="00E31503">
        <w:t>e</w:t>
      </w:r>
      <w:r w:rsidR="00E31503" w:rsidRPr="00286730">
        <w:t xml:space="preserve"> à </w:t>
      </w:r>
      <w:r w:rsidR="00E31503">
        <w:t xml:space="preserve">celle de </w:t>
      </w:r>
      <w:r w:rsidR="00E31503" w:rsidRPr="00286730">
        <w:t>la population belge en général</w:t>
      </w:r>
      <w:r w:rsidR="00E31503">
        <w:t> </w:t>
      </w:r>
      <w:r w:rsidR="00E31503" w:rsidRPr="00286730">
        <w:t>;</w:t>
      </w:r>
    </w:p>
    <w:p w14:paraId="3A114A5A" w14:textId="1C6BA722" w:rsidR="00E31503" w:rsidRPr="00286730" w:rsidRDefault="00650A99" w:rsidP="00397859">
      <w:pPr>
        <w:pStyle w:val="SingleTxtG"/>
        <w:ind w:firstLine="567"/>
      </w:pPr>
      <w:r>
        <w:t>d)</w:t>
      </w:r>
      <w:r>
        <w:tab/>
      </w:r>
      <w:r w:rsidR="00E31503" w:rsidRPr="00286730">
        <w:t>Le nombre insuffisant de sites de transit et d</w:t>
      </w:r>
      <w:r w:rsidR="00E31503">
        <w:t>’</w:t>
      </w:r>
      <w:r w:rsidR="00E31503" w:rsidRPr="00286730">
        <w:t xml:space="preserve">emplacements résidentiels pour les gens </w:t>
      </w:r>
      <w:r w:rsidR="00E31503">
        <w:t>du</w:t>
      </w:r>
      <w:r w:rsidR="00E31503" w:rsidRPr="00286730">
        <w:t xml:space="preserve"> voyage, et les expulsions auxquelles ils sont exposés</w:t>
      </w:r>
      <w:r w:rsidR="00E31503">
        <w:t> </w:t>
      </w:r>
      <w:r w:rsidR="00E31503" w:rsidRPr="00286730">
        <w:t>;</w:t>
      </w:r>
    </w:p>
    <w:p w14:paraId="445E2ABF" w14:textId="0DB0A552" w:rsidR="00E31503" w:rsidRDefault="00650A99" w:rsidP="00397859">
      <w:pPr>
        <w:pStyle w:val="SingleTxtG"/>
        <w:ind w:firstLine="567"/>
      </w:pPr>
      <w:r>
        <w:t>e)</w:t>
      </w:r>
      <w:r>
        <w:tab/>
      </w:r>
      <w:r w:rsidR="00E31503" w:rsidRPr="00286730">
        <w:t>L</w:t>
      </w:r>
      <w:r w:rsidR="00E31503">
        <w:t>’</w:t>
      </w:r>
      <w:r w:rsidR="00E31503" w:rsidRPr="00286730">
        <w:t xml:space="preserve">impact négatif de la pandémie </w:t>
      </w:r>
      <w:r w:rsidR="00E31503">
        <w:t>de</w:t>
      </w:r>
      <w:r w:rsidR="00E31503" w:rsidRPr="00286730">
        <w:t xml:space="preserve"> COVID-19 dans la jouissance déjà précaire des droits économiques, sociaux et culturels des Roms et des gens </w:t>
      </w:r>
      <w:r w:rsidR="00E31503">
        <w:t>du</w:t>
      </w:r>
      <w:r w:rsidR="00E31503" w:rsidRPr="00286730">
        <w:t xml:space="preserve"> voyage (art.</w:t>
      </w:r>
      <w:r w:rsidR="00E31503">
        <w:t> </w:t>
      </w:r>
      <w:r w:rsidR="00E31503" w:rsidRPr="00286730">
        <w:t>5).</w:t>
      </w:r>
    </w:p>
    <w:p w14:paraId="6B9AC93C" w14:textId="7F64C67A" w:rsidR="00E31503" w:rsidRPr="00E43188" w:rsidRDefault="00650A99" w:rsidP="00397859">
      <w:pPr>
        <w:pStyle w:val="SingleTxtG"/>
        <w:keepNext/>
        <w:rPr>
          <w:b/>
        </w:rPr>
      </w:pPr>
      <w:r>
        <w:rPr>
          <w:bCs/>
        </w:rPr>
        <w:lastRenderedPageBreak/>
        <w:t>23.</w:t>
      </w:r>
      <w:r>
        <w:rPr>
          <w:bCs/>
        </w:rPr>
        <w:tab/>
      </w:r>
      <w:r w:rsidR="00E31503" w:rsidRPr="007D4FA6">
        <w:rPr>
          <w:b/>
        </w:rPr>
        <w:t>Rappelant</w:t>
      </w:r>
      <w:r w:rsidR="00E31503" w:rsidRPr="00E43188">
        <w:rPr>
          <w:b/>
        </w:rPr>
        <w:t xml:space="preserve"> sa </w:t>
      </w:r>
      <w:r w:rsidR="00E31503">
        <w:rPr>
          <w:b/>
        </w:rPr>
        <w:t>r</w:t>
      </w:r>
      <w:r w:rsidR="00E31503" w:rsidRPr="00E43188">
        <w:rPr>
          <w:b/>
        </w:rPr>
        <w:t>ecommandation générale n</w:t>
      </w:r>
      <w:r w:rsidRPr="00397859">
        <w:rPr>
          <w:b/>
          <w:vertAlign w:val="superscript"/>
        </w:rPr>
        <w:t>o</w:t>
      </w:r>
      <w:r>
        <w:rPr>
          <w:b/>
        </w:rPr>
        <w:t> </w:t>
      </w:r>
      <w:r w:rsidR="00E31503" w:rsidRPr="00E43188">
        <w:rPr>
          <w:b/>
        </w:rPr>
        <w:t>27 (2000) sur la discrimination à l</w:t>
      </w:r>
      <w:r w:rsidR="00E31503">
        <w:rPr>
          <w:b/>
        </w:rPr>
        <w:t>’</w:t>
      </w:r>
      <w:r w:rsidR="00E31503" w:rsidRPr="00E43188">
        <w:rPr>
          <w:b/>
        </w:rPr>
        <w:t>égard des Roms, le Comité recommande à l</w:t>
      </w:r>
      <w:r w:rsidR="00E31503">
        <w:rPr>
          <w:b/>
        </w:rPr>
        <w:t>’</w:t>
      </w:r>
      <w:r w:rsidR="00E31503" w:rsidRPr="00E43188">
        <w:rPr>
          <w:b/>
        </w:rPr>
        <w:t>État partie</w:t>
      </w:r>
      <w:r w:rsidR="00E31503">
        <w:rPr>
          <w:b/>
        </w:rPr>
        <w:t> </w:t>
      </w:r>
      <w:r w:rsidR="00E31503" w:rsidRPr="00E43188">
        <w:rPr>
          <w:b/>
        </w:rPr>
        <w:t>:</w:t>
      </w:r>
    </w:p>
    <w:p w14:paraId="2C26F98F" w14:textId="13FF8C03" w:rsidR="00E31503" w:rsidRPr="00286730" w:rsidRDefault="00650A99" w:rsidP="00397859">
      <w:pPr>
        <w:pStyle w:val="SingleTxtG"/>
        <w:ind w:firstLine="567"/>
        <w:rPr>
          <w:b/>
        </w:rPr>
      </w:pPr>
      <w:r>
        <w:rPr>
          <w:b/>
        </w:rPr>
        <w:t>a)</w:t>
      </w:r>
      <w:r>
        <w:rPr>
          <w:b/>
        </w:rPr>
        <w:tab/>
      </w:r>
      <w:r w:rsidR="00E31503" w:rsidRPr="00286730">
        <w:rPr>
          <w:b/>
        </w:rPr>
        <w:t>D</w:t>
      </w:r>
      <w:r w:rsidR="00E31503">
        <w:rPr>
          <w:b/>
        </w:rPr>
        <w:t>’</w:t>
      </w:r>
      <w:r w:rsidR="00E31503" w:rsidRPr="00286730">
        <w:rPr>
          <w:b/>
        </w:rPr>
        <w:t xml:space="preserve">adopter </w:t>
      </w:r>
      <w:r w:rsidR="00E31503">
        <w:rPr>
          <w:b/>
        </w:rPr>
        <w:t>une</w:t>
      </w:r>
      <w:r w:rsidR="00E31503" w:rsidRPr="00286730">
        <w:rPr>
          <w:b/>
        </w:rPr>
        <w:t xml:space="preserve"> nouvelle </w:t>
      </w:r>
      <w:r w:rsidR="00E31503">
        <w:rPr>
          <w:b/>
        </w:rPr>
        <w:t>s</w:t>
      </w:r>
      <w:r w:rsidR="00E31503" w:rsidRPr="00286730">
        <w:rPr>
          <w:b/>
        </w:rPr>
        <w:t>tratégie d</w:t>
      </w:r>
      <w:r w:rsidR="00E31503">
        <w:rPr>
          <w:b/>
        </w:rPr>
        <w:t>’</w:t>
      </w:r>
      <w:r w:rsidR="00E31503" w:rsidRPr="00286730">
        <w:rPr>
          <w:b/>
        </w:rPr>
        <w:t xml:space="preserve">intégration des Roms, en garantissant une pleine participation de la communauté rom dans son élaboration, </w:t>
      </w:r>
      <w:r w:rsidR="00E31503">
        <w:rPr>
          <w:b/>
        </w:rPr>
        <w:t>d’</w:t>
      </w:r>
      <w:r w:rsidR="00E31503" w:rsidRPr="00286730">
        <w:rPr>
          <w:b/>
        </w:rPr>
        <w:t xml:space="preserve">allouer les ressources financières nécessaires à sa mise en œuvre et </w:t>
      </w:r>
      <w:r w:rsidR="00E31503">
        <w:rPr>
          <w:b/>
        </w:rPr>
        <w:t>d’</w:t>
      </w:r>
      <w:r w:rsidR="00E31503" w:rsidRPr="00286730">
        <w:rPr>
          <w:b/>
        </w:rPr>
        <w:t>établir un mécanisme de suivi</w:t>
      </w:r>
      <w:r w:rsidR="00E31503">
        <w:rPr>
          <w:b/>
        </w:rPr>
        <w:t xml:space="preserve"> de cette stratégie </w:t>
      </w:r>
      <w:r w:rsidR="00E31503" w:rsidRPr="00286730">
        <w:rPr>
          <w:b/>
        </w:rPr>
        <w:t xml:space="preserve">; </w:t>
      </w:r>
    </w:p>
    <w:p w14:paraId="6E40B90A" w14:textId="581F28A9" w:rsidR="00E31503" w:rsidRPr="00286730" w:rsidRDefault="00650A99" w:rsidP="00397859">
      <w:pPr>
        <w:pStyle w:val="SingleTxtG"/>
        <w:ind w:firstLine="567"/>
        <w:rPr>
          <w:b/>
        </w:rPr>
      </w:pPr>
      <w:r>
        <w:rPr>
          <w:b/>
        </w:rPr>
        <w:t>b)</w:t>
      </w:r>
      <w:r>
        <w:rPr>
          <w:b/>
        </w:rPr>
        <w:tab/>
      </w:r>
      <w:r w:rsidR="00E31503" w:rsidRPr="00286730">
        <w:rPr>
          <w:b/>
        </w:rPr>
        <w:t xml:space="preserve">De prendre des mesures efficaces pour combattre la pauvreté parmi les Roms et les gens </w:t>
      </w:r>
      <w:r w:rsidR="00E31503">
        <w:rPr>
          <w:b/>
        </w:rPr>
        <w:t>du</w:t>
      </w:r>
      <w:r w:rsidR="00E31503" w:rsidRPr="00286730">
        <w:rPr>
          <w:b/>
        </w:rPr>
        <w:t xml:space="preserve"> voyage, avec une attention particulière </w:t>
      </w:r>
      <w:r w:rsidR="00E31503">
        <w:rPr>
          <w:b/>
        </w:rPr>
        <w:t xml:space="preserve">portée </w:t>
      </w:r>
      <w:r w:rsidR="00E31503" w:rsidRPr="00286730">
        <w:rPr>
          <w:b/>
        </w:rPr>
        <w:t xml:space="preserve">aux enfants, </w:t>
      </w:r>
      <w:r w:rsidRPr="00286730">
        <w:rPr>
          <w:b/>
        </w:rPr>
        <w:t>y</w:t>
      </w:r>
      <w:r>
        <w:rPr>
          <w:b/>
        </w:rPr>
        <w:t> </w:t>
      </w:r>
      <w:r w:rsidR="00E31503" w:rsidRPr="00286730">
        <w:rPr>
          <w:b/>
        </w:rPr>
        <w:t>compris dans le cadre du Plan fédéral de lutte contre la pauvreté</w:t>
      </w:r>
      <w:r w:rsidR="00E31503">
        <w:rPr>
          <w:b/>
        </w:rPr>
        <w:t> </w:t>
      </w:r>
      <w:r w:rsidR="00E31503" w:rsidRPr="00286730">
        <w:rPr>
          <w:b/>
        </w:rPr>
        <w:t>;</w:t>
      </w:r>
    </w:p>
    <w:p w14:paraId="4407A985" w14:textId="6132FED8" w:rsidR="00E31503" w:rsidRPr="00286730" w:rsidRDefault="00650A99" w:rsidP="00397859">
      <w:pPr>
        <w:pStyle w:val="SingleTxtG"/>
        <w:ind w:firstLine="567"/>
        <w:rPr>
          <w:b/>
        </w:rPr>
      </w:pPr>
      <w:r>
        <w:rPr>
          <w:b/>
        </w:rPr>
        <w:t>c)</w:t>
      </w:r>
      <w:r>
        <w:rPr>
          <w:b/>
        </w:rPr>
        <w:tab/>
      </w:r>
      <w:r w:rsidR="00E31503" w:rsidRPr="00286730">
        <w:rPr>
          <w:b/>
        </w:rPr>
        <w:t>De poursuivre les efforts facilitant l</w:t>
      </w:r>
      <w:r w:rsidR="00E31503">
        <w:rPr>
          <w:b/>
        </w:rPr>
        <w:t>’</w:t>
      </w:r>
      <w:r w:rsidR="00E31503" w:rsidRPr="00286730">
        <w:rPr>
          <w:b/>
        </w:rPr>
        <w:t xml:space="preserve">accès des Roms et des gens </w:t>
      </w:r>
      <w:r w:rsidR="00E31503">
        <w:rPr>
          <w:b/>
        </w:rPr>
        <w:t>du</w:t>
      </w:r>
      <w:r w:rsidR="00E31503" w:rsidRPr="00286730">
        <w:rPr>
          <w:b/>
        </w:rPr>
        <w:t xml:space="preserve"> voyage, en particulier les femmes, au marché de l</w:t>
      </w:r>
      <w:r w:rsidR="00E31503">
        <w:rPr>
          <w:b/>
        </w:rPr>
        <w:t>’</w:t>
      </w:r>
      <w:r w:rsidR="00E31503" w:rsidRPr="00286730">
        <w:rPr>
          <w:b/>
        </w:rPr>
        <w:t>emploi</w:t>
      </w:r>
      <w:r w:rsidR="00E31503">
        <w:rPr>
          <w:b/>
        </w:rPr>
        <w:t> </w:t>
      </w:r>
      <w:r w:rsidR="00E31503" w:rsidRPr="00286730">
        <w:rPr>
          <w:b/>
        </w:rPr>
        <w:t>;</w:t>
      </w:r>
    </w:p>
    <w:p w14:paraId="74FF3AF0" w14:textId="1F0C0032" w:rsidR="00E31503" w:rsidRPr="00286730" w:rsidRDefault="00650A99" w:rsidP="00397859">
      <w:pPr>
        <w:pStyle w:val="SingleTxtG"/>
        <w:ind w:firstLine="567"/>
        <w:rPr>
          <w:b/>
        </w:rPr>
      </w:pPr>
      <w:r>
        <w:rPr>
          <w:b/>
        </w:rPr>
        <w:t>d)</w:t>
      </w:r>
      <w:r>
        <w:rPr>
          <w:b/>
        </w:rPr>
        <w:tab/>
      </w:r>
      <w:r w:rsidR="00E31503" w:rsidRPr="00286730">
        <w:rPr>
          <w:b/>
        </w:rPr>
        <w:t xml:space="preserve">De veiller à ce que les Roms et les gens </w:t>
      </w:r>
      <w:r w:rsidR="00E31503">
        <w:rPr>
          <w:b/>
        </w:rPr>
        <w:t>du</w:t>
      </w:r>
      <w:r w:rsidR="00E31503" w:rsidRPr="00286730">
        <w:rPr>
          <w:b/>
        </w:rPr>
        <w:t xml:space="preserve"> voyage aient pleinement et librement accès aux soins de santé sans discrimination</w:t>
      </w:r>
      <w:r w:rsidR="00E31503">
        <w:rPr>
          <w:b/>
        </w:rPr>
        <w:t> </w:t>
      </w:r>
      <w:r w:rsidR="00E31503" w:rsidRPr="00286730">
        <w:rPr>
          <w:b/>
        </w:rPr>
        <w:t>;</w:t>
      </w:r>
    </w:p>
    <w:p w14:paraId="7E851167" w14:textId="7677B302" w:rsidR="00E31503" w:rsidRPr="00286730" w:rsidRDefault="00650A99" w:rsidP="00397859">
      <w:pPr>
        <w:pStyle w:val="SingleTxtG"/>
        <w:ind w:firstLine="567"/>
        <w:rPr>
          <w:b/>
        </w:rPr>
      </w:pPr>
      <w:r>
        <w:rPr>
          <w:b/>
        </w:rPr>
        <w:t>e)</w:t>
      </w:r>
      <w:r>
        <w:rPr>
          <w:b/>
        </w:rPr>
        <w:tab/>
      </w:r>
      <w:r w:rsidR="00E31503" w:rsidRPr="00286730">
        <w:rPr>
          <w:b/>
        </w:rPr>
        <w:t>D</w:t>
      </w:r>
      <w:r w:rsidR="00E31503">
        <w:rPr>
          <w:b/>
        </w:rPr>
        <w:t>’</w:t>
      </w:r>
      <w:r w:rsidR="00E31503" w:rsidRPr="00286730">
        <w:rPr>
          <w:b/>
        </w:rPr>
        <w:t>augmenter le nombre de sites de transit et d</w:t>
      </w:r>
      <w:r w:rsidR="00E31503">
        <w:rPr>
          <w:b/>
        </w:rPr>
        <w:t>’</w:t>
      </w:r>
      <w:r w:rsidR="00E31503" w:rsidRPr="00286730">
        <w:rPr>
          <w:b/>
        </w:rPr>
        <w:t xml:space="preserve">emplacements résidentiels pour les gens </w:t>
      </w:r>
      <w:r w:rsidR="00E31503">
        <w:rPr>
          <w:b/>
        </w:rPr>
        <w:t>du</w:t>
      </w:r>
      <w:r w:rsidR="00E31503" w:rsidRPr="00286730">
        <w:rPr>
          <w:b/>
        </w:rPr>
        <w:t xml:space="preserve"> voyage et de mettre fin aux expulsions auxquelles ils sont exposés</w:t>
      </w:r>
      <w:r w:rsidR="00E31503">
        <w:rPr>
          <w:b/>
        </w:rPr>
        <w:t> </w:t>
      </w:r>
      <w:r w:rsidR="00E31503" w:rsidRPr="00286730">
        <w:rPr>
          <w:b/>
        </w:rPr>
        <w:t>;</w:t>
      </w:r>
    </w:p>
    <w:p w14:paraId="51F9A550" w14:textId="116A0D5A" w:rsidR="00E31503" w:rsidRPr="00E43188" w:rsidRDefault="00650A99" w:rsidP="00397859">
      <w:pPr>
        <w:pStyle w:val="SingleTxtG"/>
        <w:ind w:firstLine="567"/>
      </w:pPr>
      <w:r>
        <w:rPr>
          <w:b/>
        </w:rPr>
        <w:t>f)</w:t>
      </w:r>
      <w:r>
        <w:rPr>
          <w:b/>
        </w:rPr>
        <w:tab/>
      </w:r>
      <w:r w:rsidR="00E31503" w:rsidRPr="00286730">
        <w:rPr>
          <w:b/>
        </w:rPr>
        <w:t xml:space="preserve">De développer et </w:t>
      </w:r>
      <w:r w:rsidR="00E31503">
        <w:rPr>
          <w:b/>
        </w:rPr>
        <w:t xml:space="preserve">de </w:t>
      </w:r>
      <w:r w:rsidR="00E31503" w:rsidRPr="00286730">
        <w:rPr>
          <w:b/>
        </w:rPr>
        <w:t>mettre en œuvre</w:t>
      </w:r>
      <w:r w:rsidR="00E31503">
        <w:rPr>
          <w:b/>
        </w:rPr>
        <w:t>,</w:t>
      </w:r>
      <w:r w:rsidR="00E31503" w:rsidRPr="00286730">
        <w:rPr>
          <w:b/>
        </w:rPr>
        <w:t xml:space="preserve"> à tous les niveaux de pouvoir, des stratégies spécifiques pour atténuer les effets socioéconomiques de la pandémie de COVID-19 sur les Roms et les gens de voyage, en garantissant la participation de ces groupes dans l</w:t>
      </w:r>
      <w:r w:rsidR="00E31503">
        <w:rPr>
          <w:b/>
        </w:rPr>
        <w:t>’</w:t>
      </w:r>
      <w:r w:rsidR="00E31503" w:rsidRPr="00286730">
        <w:rPr>
          <w:b/>
        </w:rPr>
        <w:t>élaboration, la mise en œuvre et le suivi desdites stratégies.</w:t>
      </w:r>
    </w:p>
    <w:p w14:paraId="7147C281" w14:textId="77777777" w:rsidR="00E31503" w:rsidRPr="00D66C02" w:rsidRDefault="00E31503" w:rsidP="00397859">
      <w:pPr>
        <w:pStyle w:val="H23G"/>
        <w:rPr>
          <w:lang w:val="fr-FR"/>
        </w:rPr>
      </w:pPr>
      <w:r>
        <w:tab/>
      </w:r>
      <w:r>
        <w:tab/>
      </w:r>
      <w:r>
        <w:rPr>
          <w:lang w:val="fr-FR"/>
        </w:rPr>
        <w:t>Situation des personnes d’ascendance africaine</w:t>
      </w:r>
    </w:p>
    <w:p w14:paraId="68FDC3E6" w14:textId="264D964F" w:rsidR="00E31503" w:rsidRDefault="00650A99" w:rsidP="00397859">
      <w:pPr>
        <w:pStyle w:val="SingleTxtG"/>
        <w:keepNext/>
      </w:pPr>
      <w:r>
        <w:t>24.</w:t>
      </w:r>
      <w:r>
        <w:tab/>
      </w:r>
      <w:r w:rsidR="00E31503" w:rsidRPr="003F354A">
        <w:t>Le Comité</w:t>
      </w:r>
      <w:r w:rsidR="00E31503">
        <w:t xml:space="preserve"> regrette que l’État partie n’ait pas fourni d’informations sur les mesures visant spécifiquement les personnes d’ascendance africaine, et est préoccupé par les informations indiquant que les personnes d’ascendance africaine :</w:t>
      </w:r>
    </w:p>
    <w:p w14:paraId="6A514444" w14:textId="3859F270" w:rsidR="00E31503" w:rsidRDefault="00650A99" w:rsidP="00397859">
      <w:pPr>
        <w:pStyle w:val="SingleTxtG"/>
        <w:ind w:firstLine="567"/>
      </w:pPr>
      <w:r>
        <w:t>a)</w:t>
      </w:r>
      <w:r>
        <w:tab/>
      </w:r>
      <w:r w:rsidR="00E31503">
        <w:t>Accusent un taux de chômage et de déclassement élevé ;</w:t>
      </w:r>
    </w:p>
    <w:p w14:paraId="4AB4CC41" w14:textId="0A4293C0" w:rsidR="00E31503" w:rsidRDefault="00650A99" w:rsidP="00397859">
      <w:pPr>
        <w:pStyle w:val="SingleTxtG"/>
        <w:ind w:firstLine="567"/>
      </w:pPr>
      <w:r>
        <w:t>b)</w:t>
      </w:r>
      <w:r>
        <w:tab/>
      </w:r>
      <w:r w:rsidR="00E31503">
        <w:t xml:space="preserve">Sont très fortement touchées par la discrimination raciale, principalement dans les domaines de l’emploi, du logement et de l’éducation, ainsi que par la xénophobie et l’intolérance qui y est associée, et sont souvent confrontées à une discrimination multiple fondée sur la race, la couleur, le sexe, l’orientation sexuelle et les croyances religieuses ; </w:t>
      </w:r>
    </w:p>
    <w:p w14:paraId="150CB481" w14:textId="02931C2D" w:rsidR="00E31503" w:rsidRDefault="00650A99" w:rsidP="00397859">
      <w:pPr>
        <w:pStyle w:val="SingleTxtG"/>
        <w:ind w:firstLine="567"/>
      </w:pPr>
      <w:r>
        <w:t>c)</w:t>
      </w:r>
      <w:r>
        <w:tab/>
      </w:r>
      <w:r w:rsidR="00E31503">
        <w:t xml:space="preserve">Ne sont pas </w:t>
      </w:r>
      <w:r w:rsidR="00E31503" w:rsidRPr="00A279E5">
        <w:t>suffisamment</w:t>
      </w:r>
      <w:r w:rsidR="00E31503">
        <w:t xml:space="preserve"> représentées dans les services de l’administration publique, les médias, l’espace culturel et le milieu scientifique et universitaire (art. 5).</w:t>
      </w:r>
    </w:p>
    <w:p w14:paraId="23757901" w14:textId="3E67BC6D" w:rsidR="00E31503" w:rsidRPr="00953125" w:rsidRDefault="00650A99" w:rsidP="00397859">
      <w:pPr>
        <w:pStyle w:val="SingleTxtG"/>
        <w:keepNext/>
        <w:rPr>
          <w:b/>
        </w:rPr>
      </w:pPr>
      <w:r>
        <w:rPr>
          <w:bCs/>
        </w:rPr>
        <w:t>25.</w:t>
      </w:r>
      <w:r>
        <w:rPr>
          <w:bCs/>
        </w:rPr>
        <w:tab/>
      </w:r>
      <w:r w:rsidR="00E31503" w:rsidRPr="00C464D8">
        <w:rPr>
          <w:b/>
        </w:rPr>
        <w:t>Rappelant</w:t>
      </w:r>
      <w:r w:rsidR="00E31503" w:rsidRPr="00953125">
        <w:rPr>
          <w:b/>
        </w:rPr>
        <w:t xml:space="preserve"> sa recommandation générale n</w:t>
      </w:r>
      <w:r w:rsidR="00CA4521" w:rsidRPr="00397859">
        <w:rPr>
          <w:b/>
          <w:vertAlign w:val="superscript"/>
        </w:rPr>
        <w:t>o</w:t>
      </w:r>
      <w:r w:rsidR="00CA4521">
        <w:rPr>
          <w:b/>
        </w:rPr>
        <w:t> </w:t>
      </w:r>
      <w:r w:rsidR="00E31503" w:rsidRPr="00953125">
        <w:rPr>
          <w:b/>
        </w:rPr>
        <w:t>34</w:t>
      </w:r>
      <w:r w:rsidR="00E31503">
        <w:rPr>
          <w:b/>
        </w:rPr>
        <w:t xml:space="preserve"> (2011)</w:t>
      </w:r>
      <w:r w:rsidR="00E31503" w:rsidRPr="00953125">
        <w:rPr>
          <w:b/>
        </w:rPr>
        <w:t xml:space="preserve"> sur la discrimination raciale à l</w:t>
      </w:r>
      <w:r w:rsidR="00E31503">
        <w:rPr>
          <w:b/>
        </w:rPr>
        <w:t>’</w:t>
      </w:r>
      <w:r w:rsidR="00E31503" w:rsidRPr="00953125">
        <w:rPr>
          <w:b/>
        </w:rPr>
        <w:t>égard des personnes d</w:t>
      </w:r>
      <w:r w:rsidR="00E31503">
        <w:rPr>
          <w:b/>
        </w:rPr>
        <w:t>’</w:t>
      </w:r>
      <w:r w:rsidR="00E31503" w:rsidRPr="00953125">
        <w:rPr>
          <w:b/>
        </w:rPr>
        <w:t>ascendance africaine, le Comité recommande à l</w:t>
      </w:r>
      <w:r w:rsidR="00E31503">
        <w:rPr>
          <w:b/>
        </w:rPr>
        <w:t>’</w:t>
      </w:r>
      <w:r w:rsidR="00E31503" w:rsidRPr="00953125">
        <w:rPr>
          <w:b/>
        </w:rPr>
        <w:t>État partie</w:t>
      </w:r>
      <w:r w:rsidR="00E31503">
        <w:rPr>
          <w:b/>
        </w:rPr>
        <w:t> </w:t>
      </w:r>
      <w:r w:rsidR="00E31503" w:rsidRPr="00953125">
        <w:rPr>
          <w:b/>
        </w:rPr>
        <w:t>:</w:t>
      </w:r>
    </w:p>
    <w:p w14:paraId="6CAFE16B" w14:textId="493A67C3" w:rsidR="00E31503" w:rsidRPr="00286730" w:rsidRDefault="00650A99" w:rsidP="00397859">
      <w:pPr>
        <w:pStyle w:val="SingleTxtG"/>
        <w:ind w:firstLine="567"/>
        <w:rPr>
          <w:b/>
        </w:rPr>
      </w:pPr>
      <w:r>
        <w:rPr>
          <w:b/>
        </w:rPr>
        <w:t>a)</w:t>
      </w:r>
      <w:r>
        <w:rPr>
          <w:b/>
        </w:rPr>
        <w:tab/>
      </w:r>
      <w:r w:rsidR="00E31503">
        <w:rPr>
          <w:b/>
        </w:rPr>
        <w:t>D’a</w:t>
      </w:r>
      <w:r w:rsidR="00E31503" w:rsidRPr="00286730">
        <w:rPr>
          <w:b/>
        </w:rPr>
        <w:t>dopter une stratégie nationale pour l</w:t>
      </w:r>
      <w:r w:rsidR="00E31503">
        <w:rPr>
          <w:b/>
        </w:rPr>
        <w:t>’</w:t>
      </w:r>
      <w:r w:rsidR="00E31503" w:rsidRPr="00286730">
        <w:rPr>
          <w:b/>
        </w:rPr>
        <w:t>inclusion des personnes d</w:t>
      </w:r>
      <w:r w:rsidR="00E31503">
        <w:rPr>
          <w:b/>
        </w:rPr>
        <w:t>’</w:t>
      </w:r>
      <w:r w:rsidR="00E31503" w:rsidRPr="00286730">
        <w:rPr>
          <w:b/>
        </w:rPr>
        <w:t>ascendance africaine et de créer une plateforme nationale à cet égard, en partenariat avec les personnes d</w:t>
      </w:r>
      <w:r w:rsidR="00E31503">
        <w:rPr>
          <w:b/>
        </w:rPr>
        <w:t>’</w:t>
      </w:r>
      <w:r w:rsidR="00E31503" w:rsidRPr="00286730">
        <w:rPr>
          <w:b/>
        </w:rPr>
        <w:t>ascendance africaine</w:t>
      </w:r>
      <w:r w:rsidR="00E31503">
        <w:rPr>
          <w:b/>
        </w:rPr>
        <w:t> </w:t>
      </w:r>
      <w:r w:rsidR="00E31503" w:rsidRPr="00286730">
        <w:rPr>
          <w:b/>
        </w:rPr>
        <w:t>;</w:t>
      </w:r>
    </w:p>
    <w:p w14:paraId="3267BFB5" w14:textId="1EAF123E" w:rsidR="00E31503" w:rsidRPr="00286730" w:rsidRDefault="00650A99" w:rsidP="00397859">
      <w:pPr>
        <w:pStyle w:val="SingleTxtG"/>
        <w:ind w:firstLine="567"/>
        <w:rPr>
          <w:b/>
        </w:rPr>
      </w:pPr>
      <w:r>
        <w:rPr>
          <w:b/>
        </w:rPr>
        <w:t>b)</w:t>
      </w:r>
      <w:r>
        <w:rPr>
          <w:b/>
        </w:rPr>
        <w:tab/>
      </w:r>
      <w:r w:rsidR="00E31503">
        <w:rPr>
          <w:b/>
        </w:rPr>
        <w:t>De p</w:t>
      </w:r>
      <w:r w:rsidR="00E31503" w:rsidRPr="00286730">
        <w:rPr>
          <w:b/>
        </w:rPr>
        <w:t>rendre des mesures efficaces, y compris des mesures spéciales, pour lutter contre toutes les formes de discrimination à l</w:t>
      </w:r>
      <w:r w:rsidR="00E31503">
        <w:rPr>
          <w:b/>
        </w:rPr>
        <w:t>’</w:t>
      </w:r>
      <w:r w:rsidR="00E31503" w:rsidRPr="00286730">
        <w:rPr>
          <w:b/>
        </w:rPr>
        <w:t>égard des personnes d</w:t>
      </w:r>
      <w:r w:rsidR="00E31503">
        <w:rPr>
          <w:b/>
        </w:rPr>
        <w:t>’</w:t>
      </w:r>
      <w:r w:rsidR="00E31503" w:rsidRPr="00286730">
        <w:rPr>
          <w:b/>
        </w:rPr>
        <w:t>ascendance africaine, en particulier dans les secteurs de l</w:t>
      </w:r>
      <w:r w:rsidR="00E31503">
        <w:rPr>
          <w:b/>
        </w:rPr>
        <w:t>’</w:t>
      </w:r>
      <w:r w:rsidR="00E31503" w:rsidRPr="00286730">
        <w:rPr>
          <w:b/>
        </w:rPr>
        <w:t>emploi, du</w:t>
      </w:r>
      <w:r w:rsidR="00E31503" w:rsidRPr="00086624">
        <w:rPr>
          <w:b/>
        </w:rPr>
        <w:t xml:space="preserve"> </w:t>
      </w:r>
      <w:r w:rsidR="00E31503" w:rsidRPr="00286730">
        <w:rPr>
          <w:b/>
        </w:rPr>
        <w:t>logement et de l</w:t>
      </w:r>
      <w:r w:rsidR="00E31503">
        <w:rPr>
          <w:b/>
        </w:rPr>
        <w:t>’</w:t>
      </w:r>
      <w:r w:rsidR="00E31503" w:rsidRPr="00286730">
        <w:rPr>
          <w:b/>
        </w:rPr>
        <w:t>éducation, en portant une attention particulière à la discrimination multiple à laquelle ces personnes sont exposées</w:t>
      </w:r>
      <w:r w:rsidR="00E31503">
        <w:rPr>
          <w:b/>
        </w:rPr>
        <w:t> </w:t>
      </w:r>
      <w:r w:rsidR="00E31503" w:rsidRPr="00286730">
        <w:rPr>
          <w:b/>
        </w:rPr>
        <w:t>;</w:t>
      </w:r>
    </w:p>
    <w:p w14:paraId="513243B7" w14:textId="45C2D8F2" w:rsidR="00E31503" w:rsidRPr="00286730" w:rsidRDefault="00650A99" w:rsidP="00397859">
      <w:pPr>
        <w:pStyle w:val="SingleTxtG"/>
        <w:ind w:firstLine="567"/>
        <w:rPr>
          <w:b/>
        </w:rPr>
      </w:pPr>
      <w:r>
        <w:rPr>
          <w:b/>
        </w:rPr>
        <w:t>c)</w:t>
      </w:r>
      <w:r>
        <w:rPr>
          <w:b/>
        </w:rPr>
        <w:tab/>
      </w:r>
      <w:r w:rsidR="00E31503">
        <w:rPr>
          <w:b/>
        </w:rPr>
        <w:t>De p</w:t>
      </w:r>
      <w:r w:rsidR="00E31503" w:rsidRPr="00286730">
        <w:rPr>
          <w:b/>
        </w:rPr>
        <w:t>rendre des mesures efficaces pour accro</w:t>
      </w:r>
      <w:r w:rsidR="00E31503">
        <w:rPr>
          <w:b/>
        </w:rPr>
        <w:t>î</w:t>
      </w:r>
      <w:r w:rsidR="00E31503" w:rsidRPr="00286730">
        <w:rPr>
          <w:b/>
        </w:rPr>
        <w:t>tre la représentation des personnes d</w:t>
      </w:r>
      <w:r w:rsidR="00E31503">
        <w:rPr>
          <w:b/>
        </w:rPr>
        <w:t>’</w:t>
      </w:r>
      <w:r w:rsidR="00E31503" w:rsidRPr="00286730">
        <w:rPr>
          <w:b/>
        </w:rPr>
        <w:t>ascendance africaine dans les services de l</w:t>
      </w:r>
      <w:r w:rsidR="00E31503">
        <w:rPr>
          <w:b/>
        </w:rPr>
        <w:t>’</w:t>
      </w:r>
      <w:r w:rsidR="00E31503" w:rsidRPr="00286730">
        <w:rPr>
          <w:b/>
        </w:rPr>
        <w:t xml:space="preserve">administration publique, les médias, </w:t>
      </w:r>
      <w:r w:rsidR="00E31503">
        <w:rPr>
          <w:b/>
        </w:rPr>
        <w:t>l’</w:t>
      </w:r>
      <w:r w:rsidR="00E31503" w:rsidRPr="00286730">
        <w:rPr>
          <w:b/>
        </w:rPr>
        <w:t xml:space="preserve">espace culturel et </w:t>
      </w:r>
      <w:r w:rsidR="00E31503">
        <w:rPr>
          <w:b/>
        </w:rPr>
        <w:t>le milieu scientifique et universitaire</w:t>
      </w:r>
      <w:r w:rsidR="00E31503" w:rsidRPr="00286730">
        <w:rPr>
          <w:b/>
        </w:rPr>
        <w:t>.</w:t>
      </w:r>
    </w:p>
    <w:p w14:paraId="105CAFD4" w14:textId="3D5B9CC1" w:rsidR="00E31503" w:rsidRPr="00D66C02" w:rsidRDefault="00E31503" w:rsidP="00397859">
      <w:pPr>
        <w:pStyle w:val="H23G"/>
        <w:rPr>
          <w:lang w:val="fr-FR"/>
        </w:rPr>
      </w:pPr>
      <w:r>
        <w:rPr>
          <w:lang w:val="fr-FR"/>
        </w:rPr>
        <w:lastRenderedPageBreak/>
        <w:tab/>
      </w:r>
      <w:r>
        <w:rPr>
          <w:lang w:val="fr-FR"/>
        </w:rPr>
        <w:tab/>
        <w:t xml:space="preserve">Situation des non-ressortissants, notamment les migrants, réfugiés, </w:t>
      </w:r>
      <w:r w:rsidR="00650A99">
        <w:rPr>
          <w:lang w:val="fr-FR"/>
        </w:rPr>
        <w:br/>
      </w:r>
      <w:r>
        <w:rPr>
          <w:lang w:val="fr-FR"/>
        </w:rPr>
        <w:t>demandeurs d’asile et apatrides</w:t>
      </w:r>
    </w:p>
    <w:p w14:paraId="4ED22484" w14:textId="37D51FA7" w:rsidR="00E31503" w:rsidRDefault="00650A99" w:rsidP="00397859">
      <w:pPr>
        <w:pStyle w:val="SingleTxtG"/>
        <w:keepNext/>
      </w:pPr>
      <w:r>
        <w:t>26.</w:t>
      </w:r>
      <w:r>
        <w:tab/>
      </w:r>
      <w:r w:rsidR="00E31503" w:rsidRPr="00831186">
        <w:t>Le Comité</w:t>
      </w:r>
      <w:r w:rsidR="00E31503">
        <w:t xml:space="preserve"> prend note des mesures adoptées par l’État partie pour faciliter l’exercice des droits économiques, sociaux et culturels des migrants, des réfugiés, des demandeurs d’asile et des apatrides. Le Comité demeure toutefois préoccupé par :</w:t>
      </w:r>
    </w:p>
    <w:p w14:paraId="6ECFC73F" w14:textId="70C3B846" w:rsidR="00E31503" w:rsidRPr="00286730" w:rsidRDefault="00A174AB" w:rsidP="00397859">
      <w:pPr>
        <w:pStyle w:val="SingleTxtG"/>
        <w:ind w:firstLine="567"/>
      </w:pPr>
      <w:r>
        <w:t>a)</w:t>
      </w:r>
      <w:r>
        <w:tab/>
      </w:r>
      <w:r w:rsidR="00E31503" w:rsidRPr="00286730">
        <w:t>Les informations selon lesquelles les non-ressortissants sont surreprésentés dans le milieu carcéral</w:t>
      </w:r>
      <w:r w:rsidR="00E31503" w:rsidRPr="00397859">
        <w:t xml:space="preserve"> </w:t>
      </w:r>
      <w:r w:rsidR="00E31503" w:rsidRPr="00286730">
        <w:t>et l</w:t>
      </w:r>
      <w:r w:rsidR="00E31503">
        <w:t>’</w:t>
      </w:r>
      <w:r w:rsidR="00E31503" w:rsidRPr="00286730">
        <w:t xml:space="preserve">absence de données fiables sur </w:t>
      </w:r>
      <w:r w:rsidR="00E31503">
        <w:t>leur origine nationale ou ethnique</w:t>
      </w:r>
      <w:r w:rsidR="00E31503" w:rsidRPr="00286730">
        <w:t>, notamment en ce qui concerne le taux et la durée d</w:t>
      </w:r>
      <w:r w:rsidR="00E31503">
        <w:t>’</w:t>
      </w:r>
      <w:r w:rsidR="00E31503" w:rsidRPr="00286730">
        <w:t>incarcération</w:t>
      </w:r>
      <w:r w:rsidR="00E31503">
        <w:t> </w:t>
      </w:r>
      <w:r w:rsidR="00E31503" w:rsidRPr="00286730">
        <w:t>;</w:t>
      </w:r>
      <w:r w:rsidR="00E31503">
        <w:t xml:space="preserve"> </w:t>
      </w:r>
    </w:p>
    <w:p w14:paraId="341BC049" w14:textId="5571ED86" w:rsidR="00E31503" w:rsidRPr="00286730" w:rsidRDefault="00A174AB" w:rsidP="00397859">
      <w:pPr>
        <w:pStyle w:val="SingleTxtG"/>
        <w:ind w:firstLine="567"/>
      </w:pPr>
      <w:r>
        <w:t>b)</w:t>
      </w:r>
      <w:r>
        <w:tab/>
      </w:r>
      <w:r w:rsidR="00E31503" w:rsidRPr="00286730">
        <w:t>Le risque d</w:t>
      </w:r>
      <w:r w:rsidR="00E31503">
        <w:t>’</w:t>
      </w:r>
      <w:r w:rsidR="00E31503" w:rsidRPr="00286730">
        <w:t xml:space="preserve">expulsion que subiraient les </w:t>
      </w:r>
      <w:r w:rsidR="00E31503" w:rsidRPr="00397859">
        <w:t xml:space="preserve">migrants en séjour irrégulier </w:t>
      </w:r>
      <w:r w:rsidR="00E31503" w:rsidRPr="00286730">
        <w:t>lors de l</w:t>
      </w:r>
      <w:r w:rsidR="00E31503">
        <w:t>’</w:t>
      </w:r>
      <w:r w:rsidR="00E31503" w:rsidRPr="00286730">
        <w:t>exercice de certains droits fondamentaux tels que l</w:t>
      </w:r>
      <w:r w:rsidR="00E31503">
        <w:t>’</w:t>
      </w:r>
      <w:r w:rsidR="00E31503" w:rsidRPr="00286730">
        <w:t>éducation des mineurs, les soins de santé</w:t>
      </w:r>
      <w:r w:rsidR="00E31503">
        <w:t xml:space="preserve"> et</w:t>
      </w:r>
      <w:r w:rsidR="00E31503" w:rsidRPr="00286730">
        <w:t xml:space="preserve"> </w:t>
      </w:r>
      <w:r w:rsidR="00E31503">
        <w:t>l’accès au</w:t>
      </w:r>
      <w:r w:rsidR="00E31503" w:rsidRPr="00286730">
        <w:t xml:space="preserve"> logement</w:t>
      </w:r>
      <w:r w:rsidR="00E31503">
        <w:t>,</w:t>
      </w:r>
      <w:r w:rsidR="00E31503" w:rsidRPr="00286730">
        <w:t xml:space="preserve"> ou lors du signalement d</w:t>
      </w:r>
      <w:r w:rsidR="00E31503">
        <w:t>’</w:t>
      </w:r>
      <w:r w:rsidR="00E31503" w:rsidRPr="00286730">
        <w:t>une infraction à la police</w:t>
      </w:r>
      <w:r w:rsidR="00E31503">
        <w:t> </w:t>
      </w:r>
      <w:r w:rsidR="00E31503" w:rsidRPr="00286730">
        <w:t>;</w:t>
      </w:r>
    </w:p>
    <w:p w14:paraId="27AC88DD" w14:textId="5CA73C86" w:rsidR="00E31503" w:rsidRPr="00286730" w:rsidRDefault="00A174AB" w:rsidP="00397859">
      <w:pPr>
        <w:pStyle w:val="SingleTxtG"/>
        <w:ind w:firstLine="567"/>
      </w:pPr>
      <w:r>
        <w:t>c)</w:t>
      </w:r>
      <w:r>
        <w:tab/>
      </w:r>
      <w:r w:rsidR="00E31503" w:rsidRPr="00286730">
        <w:t xml:space="preserve">La discrimination et les nombreux obstacles que les ressortissants de </w:t>
      </w:r>
      <w:r w:rsidR="00E31503">
        <w:t>pays situés</w:t>
      </w:r>
      <w:r w:rsidR="00E31503" w:rsidRPr="00286730">
        <w:t xml:space="preserve"> </w:t>
      </w:r>
      <w:r w:rsidR="00E31503">
        <w:t>en de</w:t>
      </w:r>
      <w:r w:rsidR="00E31503" w:rsidRPr="00286730">
        <w:t xml:space="preserve">hors </w:t>
      </w:r>
      <w:r w:rsidR="00E31503">
        <w:t>de l’</w:t>
      </w:r>
      <w:r w:rsidR="00E31503" w:rsidRPr="00286730">
        <w:t>Union européenne rencontrent pour intégrer le marché du travail et accéder à un logement, en particulier les femmes</w:t>
      </w:r>
      <w:r w:rsidR="00E31503">
        <w:t> </w:t>
      </w:r>
      <w:r w:rsidR="00E31503" w:rsidRPr="00286730">
        <w:t>;</w:t>
      </w:r>
    </w:p>
    <w:p w14:paraId="210B3FAF" w14:textId="52FE3F5B" w:rsidR="00E31503" w:rsidRPr="00286730" w:rsidRDefault="00A174AB" w:rsidP="00397859">
      <w:pPr>
        <w:pStyle w:val="SingleTxtG"/>
        <w:ind w:firstLine="567"/>
      </w:pPr>
      <w:r>
        <w:t>d)</w:t>
      </w:r>
      <w:r>
        <w:tab/>
      </w:r>
      <w:r w:rsidR="00E31503" w:rsidRPr="00286730">
        <w:t xml:space="preserve">Les </w:t>
      </w:r>
      <w:r w:rsidR="00E31503" w:rsidRPr="00397859">
        <w:t>procédures complexes, variables et coûteuses que doivent suivre les personnes en séjour irrégulier en vue d’obtenir une aide médicale d’urgence ;</w:t>
      </w:r>
    </w:p>
    <w:p w14:paraId="4796D54B" w14:textId="2F8944CF" w:rsidR="00E31503" w:rsidRPr="00D67DAC" w:rsidRDefault="00A174AB" w:rsidP="00397859">
      <w:pPr>
        <w:pStyle w:val="SingleTxtG"/>
        <w:ind w:firstLine="567"/>
      </w:pPr>
      <w:r>
        <w:t>e)</w:t>
      </w:r>
      <w:r>
        <w:tab/>
      </w:r>
      <w:r w:rsidR="00E31503" w:rsidRPr="00286730">
        <w:t>L</w:t>
      </w:r>
      <w:r w:rsidR="00E31503">
        <w:t>’</w:t>
      </w:r>
      <w:r w:rsidR="00E31503" w:rsidRPr="00286730">
        <w:t xml:space="preserve">impact négatif de la pandémie </w:t>
      </w:r>
      <w:r w:rsidR="00E31503">
        <w:t>de</w:t>
      </w:r>
      <w:r w:rsidR="00E31503" w:rsidRPr="00286730">
        <w:t xml:space="preserve"> COVID-19 dans la jouissance des droits économiques, sociaux et culturels des migrants, </w:t>
      </w:r>
      <w:r w:rsidR="00E31503">
        <w:t xml:space="preserve">des </w:t>
      </w:r>
      <w:r w:rsidR="00E31503" w:rsidRPr="00286730">
        <w:t xml:space="preserve">réfugiés, </w:t>
      </w:r>
      <w:r w:rsidR="00E31503">
        <w:t xml:space="preserve">des </w:t>
      </w:r>
      <w:r w:rsidR="00E31503" w:rsidRPr="00286730">
        <w:t>demandeurs d</w:t>
      </w:r>
      <w:r w:rsidR="00E31503">
        <w:t>’</w:t>
      </w:r>
      <w:r w:rsidR="00E31503" w:rsidRPr="00286730">
        <w:t xml:space="preserve">asile et </w:t>
      </w:r>
      <w:r w:rsidR="00E31503">
        <w:t xml:space="preserve">des </w:t>
      </w:r>
      <w:r w:rsidR="00E31503" w:rsidRPr="00286730">
        <w:t xml:space="preserve">apatrides </w:t>
      </w:r>
      <w:r w:rsidR="00E31503">
        <w:rPr>
          <w:lang w:val="fr-FR"/>
        </w:rPr>
        <w:t>(art. </w:t>
      </w:r>
      <w:r w:rsidR="00E31503" w:rsidRPr="00286730">
        <w:rPr>
          <w:lang w:val="fr-FR"/>
        </w:rPr>
        <w:t>5).</w:t>
      </w:r>
      <w:r w:rsidR="00E31503">
        <w:rPr>
          <w:lang w:val="fr-FR"/>
        </w:rPr>
        <w:t xml:space="preserve"> </w:t>
      </w:r>
    </w:p>
    <w:p w14:paraId="00818B59" w14:textId="4B1118E5" w:rsidR="00E31503" w:rsidRPr="00131A12" w:rsidRDefault="00A174AB" w:rsidP="00397859">
      <w:pPr>
        <w:pStyle w:val="SingleTxtG"/>
        <w:keepNext/>
        <w:rPr>
          <w:b/>
        </w:rPr>
      </w:pPr>
      <w:r>
        <w:rPr>
          <w:bCs/>
        </w:rPr>
        <w:t>27.</w:t>
      </w:r>
      <w:r>
        <w:rPr>
          <w:bCs/>
        </w:rPr>
        <w:tab/>
      </w:r>
      <w:r w:rsidR="00E31503" w:rsidRPr="00131A12">
        <w:rPr>
          <w:b/>
        </w:rPr>
        <w:t>Le Comité recommande à l</w:t>
      </w:r>
      <w:r w:rsidR="00E31503">
        <w:rPr>
          <w:b/>
        </w:rPr>
        <w:t>’</w:t>
      </w:r>
      <w:r w:rsidR="00E31503" w:rsidRPr="00131A12">
        <w:rPr>
          <w:b/>
        </w:rPr>
        <w:t>État partie</w:t>
      </w:r>
      <w:r w:rsidR="00E31503">
        <w:rPr>
          <w:b/>
        </w:rPr>
        <w:t> </w:t>
      </w:r>
      <w:r w:rsidR="00E31503" w:rsidRPr="00131A12">
        <w:rPr>
          <w:b/>
        </w:rPr>
        <w:t>:</w:t>
      </w:r>
    </w:p>
    <w:p w14:paraId="04CB746E" w14:textId="3D591943" w:rsidR="00E31503" w:rsidRPr="00286730" w:rsidRDefault="00A174AB" w:rsidP="00397859">
      <w:pPr>
        <w:pStyle w:val="SingleTxtG"/>
        <w:ind w:firstLine="567"/>
        <w:rPr>
          <w:b/>
        </w:rPr>
      </w:pPr>
      <w:r>
        <w:rPr>
          <w:b/>
        </w:rPr>
        <w:t>a)</w:t>
      </w:r>
      <w:r>
        <w:rPr>
          <w:b/>
        </w:rPr>
        <w:tab/>
      </w:r>
      <w:r w:rsidR="00E31503" w:rsidRPr="00286730">
        <w:rPr>
          <w:b/>
        </w:rPr>
        <w:t>De développer des indicateurs fiables afin de déterminer dans quelle mesure les non-ressortissants sont surreprésentés dans le milieu carcéral</w:t>
      </w:r>
      <w:r w:rsidR="00E31503">
        <w:rPr>
          <w:b/>
        </w:rPr>
        <w:t>,</w:t>
      </w:r>
      <w:r w:rsidR="00E31503" w:rsidRPr="00286730">
        <w:rPr>
          <w:b/>
        </w:rPr>
        <w:t xml:space="preserve"> afin de pouvoir évaluer la situation et prendre des mesures nécessaires pour remédier à tout problème à cet égard</w:t>
      </w:r>
      <w:r w:rsidR="00E31503">
        <w:rPr>
          <w:b/>
        </w:rPr>
        <w:t> </w:t>
      </w:r>
      <w:r w:rsidR="00E31503" w:rsidRPr="00286730">
        <w:rPr>
          <w:b/>
        </w:rPr>
        <w:t>;</w:t>
      </w:r>
    </w:p>
    <w:p w14:paraId="0C3E620D" w14:textId="6BA635FC" w:rsidR="00E31503" w:rsidRPr="00286730" w:rsidRDefault="00A174AB" w:rsidP="00397859">
      <w:pPr>
        <w:pStyle w:val="SingleTxtG"/>
        <w:ind w:firstLine="567"/>
        <w:rPr>
          <w:b/>
        </w:rPr>
      </w:pPr>
      <w:r>
        <w:rPr>
          <w:b/>
        </w:rPr>
        <w:t>b)</w:t>
      </w:r>
      <w:r>
        <w:rPr>
          <w:b/>
        </w:rPr>
        <w:tab/>
      </w:r>
      <w:r w:rsidR="00E31503" w:rsidRPr="00286730">
        <w:rPr>
          <w:b/>
        </w:rPr>
        <w:t xml:space="preserve">De prendre les mesures nécessaires pour garantir dans la pratique que les migrants en séjour irrégulier </w:t>
      </w:r>
      <w:r w:rsidR="00E31503">
        <w:rPr>
          <w:b/>
        </w:rPr>
        <w:t>peuvent</w:t>
      </w:r>
      <w:r w:rsidR="00E31503" w:rsidRPr="00286730">
        <w:rPr>
          <w:b/>
        </w:rPr>
        <w:t xml:space="preserve"> avoir un accès effectif et sans discrimination à l</w:t>
      </w:r>
      <w:r w:rsidR="00E31503">
        <w:rPr>
          <w:b/>
        </w:rPr>
        <w:t>’</w:t>
      </w:r>
      <w:r w:rsidR="00E31503" w:rsidRPr="00286730">
        <w:rPr>
          <w:b/>
          <w:lang w:val="fr-FR"/>
        </w:rPr>
        <w:t>aide médicale d</w:t>
      </w:r>
      <w:r w:rsidR="00E31503">
        <w:rPr>
          <w:b/>
          <w:lang w:val="fr-FR"/>
        </w:rPr>
        <w:t>’</w:t>
      </w:r>
      <w:r w:rsidR="00E31503" w:rsidRPr="00286730">
        <w:rPr>
          <w:b/>
          <w:lang w:val="fr-FR"/>
        </w:rPr>
        <w:t xml:space="preserve">urgence, </w:t>
      </w:r>
      <w:r w:rsidR="00E31503" w:rsidRPr="00286730">
        <w:rPr>
          <w:b/>
        </w:rPr>
        <w:t>à l</w:t>
      </w:r>
      <w:r w:rsidR="00E31503">
        <w:rPr>
          <w:b/>
        </w:rPr>
        <w:t>’</w:t>
      </w:r>
      <w:r w:rsidR="00E31503" w:rsidRPr="00286730">
        <w:rPr>
          <w:b/>
        </w:rPr>
        <w:t>éducation, à la santé</w:t>
      </w:r>
      <w:r w:rsidR="00E31503">
        <w:rPr>
          <w:b/>
        </w:rPr>
        <w:t xml:space="preserve"> et</w:t>
      </w:r>
      <w:r w:rsidR="00E31503" w:rsidRPr="00286730">
        <w:rPr>
          <w:b/>
        </w:rPr>
        <w:t xml:space="preserve"> au logement</w:t>
      </w:r>
      <w:r w:rsidR="00E31503">
        <w:rPr>
          <w:b/>
        </w:rPr>
        <w:t>,</w:t>
      </w:r>
      <w:r w:rsidR="00E31503" w:rsidRPr="00286730">
        <w:rPr>
          <w:b/>
        </w:rPr>
        <w:t xml:space="preserve"> et porter plainte sans risque d</w:t>
      </w:r>
      <w:r w:rsidR="00E31503">
        <w:rPr>
          <w:b/>
        </w:rPr>
        <w:t>’</w:t>
      </w:r>
      <w:r w:rsidR="00E31503" w:rsidRPr="00286730">
        <w:rPr>
          <w:b/>
        </w:rPr>
        <w:t>arrestation et d</w:t>
      </w:r>
      <w:r w:rsidR="00E31503">
        <w:rPr>
          <w:b/>
        </w:rPr>
        <w:t>’</w:t>
      </w:r>
      <w:r w:rsidR="00E31503" w:rsidRPr="00286730">
        <w:rPr>
          <w:b/>
        </w:rPr>
        <w:t>éloignement forcé</w:t>
      </w:r>
      <w:r w:rsidR="00E31503">
        <w:rPr>
          <w:b/>
        </w:rPr>
        <w:t> </w:t>
      </w:r>
      <w:r w:rsidR="00E31503" w:rsidRPr="00286730">
        <w:rPr>
          <w:b/>
        </w:rPr>
        <w:t>;</w:t>
      </w:r>
    </w:p>
    <w:p w14:paraId="504453A3" w14:textId="208E4254" w:rsidR="00E31503" w:rsidRPr="00286730" w:rsidRDefault="00A174AB" w:rsidP="00397859">
      <w:pPr>
        <w:pStyle w:val="SingleTxtG"/>
        <w:ind w:firstLine="567"/>
        <w:rPr>
          <w:b/>
        </w:rPr>
      </w:pPr>
      <w:r>
        <w:rPr>
          <w:b/>
        </w:rPr>
        <w:t>c)</w:t>
      </w:r>
      <w:r>
        <w:rPr>
          <w:b/>
        </w:rPr>
        <w:tab/>
      </w:r>
      <w:r w:rsidR="00E31503">
        <w:rPr>
          <w:b/>
        </w:rPr>
        <w:t>De v</w:t>
      </w:r>
      <w:r w:rsidR="00E31503" w:rsidRPr="00286730">
        <w:rPr>
          <w:b/>
        </w:rPr>
        <w:t xml:space="preserve">eiller à ce que les ressortissants </w:t>
      </w:r>
      <w:r w:rsidR="00E31503">
        <w:rPr>
          <w:b/>
        </w:rPr>
        <w:t>de pays situés en de</w:t>
      </w:r>
      <w:r w:rsidR="00E31503" w:rsidRPr="00286730">
        <w:rPr>
          <w:b/>
        </w:rPr>
        <w:t xml:space="preserve">hors </w:t>
      </w:r>
      <w:r w:rsidR="00E31503">
        <w:rPr>
          <w:b/>
        </w:rPr>
        <w:t>de l’</w:t>
      </w:r>
      <w:r w:rsidR="00E31503" w:rsidRPr="00286730">
        <w:rPr>
          <w:b/>
        </w:rPr>
        <w:t>Union européenne puissent accéder au marché de travail et au logement sans discrimination du fait de leur nationalité ou origine</w:t>
      </w:r>
      <w:r w:rsidR="00E31503">
        <w:rPr>
          <w:b/>
        </w:rPr>
        <w:t> </w:t>
      </w:r>
      <w:r w:rsidR="00E31503" w:rsidRPr="00286730">
        <w:rPr>
          <w:b/>
        </w:rPr>
        <w:t xml:space="preserve">; </w:t>
      </w:r>
    </w:p>
    <w:p w14:paraId="684976A6" w14:textId="3B8E9965" w:rsidR="00E31503" w:rsidRPr="00D67DAC" w:rsidRDefault="00A174AB" w:rsidP="00397859">
      <w:pPr>
        <w:pStyle w:val="SingleTxtG"/>
        <w:ind w:firstLine="567"/>
      </w:pPr>
      <w:r>
        <w:rPr>
          <w:b/>
        </w:rPr>
        <w:t>d)</w:t>
      </w:r>
      <w:r>
        <w:rPr>
          <w:b/>
        </w:rPr>
        <w:tab/>
      </w:r>
      <w:r w:rsidR="00E31503" w:rsidRPr="00286730">
        <w:rPr>
          <w:b/>
        </w:rPr>
        <w:t xml:space="preserve">De développer et </w:t>
      </w:r>
      <w:r w:rsidR="00E31503">
        <w:rPr>
          <w:b/>
        </w:rPr>
        <w:t xml:space="preserve">de </w:t>
      </w:r>
      <w:r w:rsidR="00E31503" w:rsidRPr="00286730">
        <w:rPr>
          <w:b/>
        </w:rPr>
        <w:t>mettre en œuvre des stratégies spécifiques pour atténuer les effets socioéconomiques de la pandémie de COVID-19 sur les migrants, réfugiés, demandeurs d</w:t>
      </w:r>
      <w:r w:rsidR="00E31503">
        <w:rPr>
          <w:b/>
        </w:rPr>
        <w:t>’</w:t>
      </w:r>
      <w:r w:rsidR="00E31503" w:rsidRPr="00286730">
        <w:rPr>
          <w:b/>
        </w:rPr>
        <w:t>asile et apatrides.</w:t>
      </w:r>
    </w:p>
    <w:p w14:paraId="6559B9EF" w14:textId="77777777" w:rsidR="00E31503" w:rsidRPr="00D66C02" w:rsidRDefault="00E31503" w:rsidP="00397859">
      <w:pPr>
        <w:pStyle w:val="H23G"/>
        <w:rPr>
          <w:lang w:val="fr-FR"/>
        </w:rPr>
      </w:pPr>
      <w:r>
        <w:rPr>
          <w:lang w:val="fr-FR"/>
        </w:rPr>
        <w:tab/>
      </w:r>
      <w:r>
        <w:rPr>
          <w:lang w:val="fr-FR"/>
        </w:rPr>
        <w:tab/>
        <w:t>Traite des personnes</w:t>
      </w:r>
    </w:p>
    <w:p w14:paraId="3E3EFACA" w14:textId="181C1659" w:rsidR="00E31503" w:rsidRPr="0011438F" w:rsidRDefault="00A174AB" w:rsidP="00650A99">
      <w:pPr>
        <w:pStyle w:val="SingleTxtG"/>
        <w:rPr>
          <w:lang w:val="fr-FR"/>
        </w:rPr>
      </w:pPr>
      <w:r>
        <w:t>28.</w:t>
      </w:r>
      <w:r>
        <w:tab/>
      </w:r>
      <w:r w:rsidR="00E31503" w:rsidRPr="0011438F">
        <w:t>Le Comité est préoccupé par la persistance de la traite d</w:t>
      </w:r>
      <w:r w:rsidR="00E31503">
        <w:t>’</w:t>
      </w:r>
      <w:r w:rsidR="00E31503" w:rsidRPr="0011438F">
        <w:t>êtres humains dans l</w:t>
      </w:r>
      <w:r w:rsidR="00E31503">
        <w:t>’</w:t>
      </w:r>
      <w:r w:rsidR="00E31503" w:rsidRPr="0011438F">
        <w:t>État partie et par l</w:t>
      </w:r>
      <w:r w:rsidR="00E31503">
        <w:t>’</w:t>
      </w:r>
      <w:r w:rsidR="00E31503" w:rsidRPr="0011438F">
        <w:t>augmentation notable</w:t>
      </w:r>
      <w:r w:rsidR="00E31503">
        <w:t>,</w:t>
      </w:r>
      <w:r w:rsidR="00E31503" w:rsidRPr="0011438F">
        <w:t xml:space="preserve"> </w:t>
      </w:r>
      <w:r w:rsidR="00E31503">
        <w:t>ces</w:t>
      </w:r>
      <w:r w:rsidR="00E31503" w:rsidRPr="0011438F">
        <w:t xml:space="preserve"> dernières années</w:t>
      </w:r>
      <w:r w:rsidR="00E31503">
        <w:t>,</w:t>
      </w:r>
      <w:r w:rsidR="00E31503" w:rsidRPr="0011438F">
        <w:t xml:space="preserve"> du nombre de cas de traite classés sans suite par les parquets. Le Comité est aussi préoccupé par l</w:t>
      </w:r>
      <w:r w:rsidR="00E31503">
        <w:t>’</w:t>
      </w:r>
      <w:r w:rsidR="00E31503" w:rsidRPr="0011438F">
        <w:t xml:space="preserve">insuffisance de </w:t>
      </w:r>
      <w:r w:rsidR="00E31503" w:rsidRPr="0011438F">
        <w:rPr>
          <w:lang w:val="fr-FR"/>
        </w:rPr>
        <w:t>moyens financiers et humains pour lutter efficacement contre la traite d</w:t>
      </w:r>
      <w:r w:rsidR="00E31503">
        <w:rPr>
          <w:lang w:val="fr-FR"/>
        </w:rPr>
        <w:t>’</w:t>
      </w:r>
      <w:r w:rsidR="00E31503" w:rsidRPr="0011438F">
        <w:rPr>
          <w:lang w:val="fr-FR"/>
        </w:rPr>
        <w:t>êtres humains, y compris pour détecter ces cas et protéger les victimes (art.</w:t>
      </w:r>
      <w:r w:rsidR="00E31503">
        <w:rPr>
          <w:lang w:val="fr-FR"/>
        </w:rPr>
        <w:t> </w:t>
      </w:r>
      <w:r w:rsidR="00E31503" w:rsidRPr="0011438F">
        <w:rPr>
          <w:lang w:val="fr-FR"/>
        </w:rPr>
        <w:t>5).</w:t>
      </w:r>
    </w:p>
    <w:p w14:paraId="1127DF9E" w14:textId="7F353E54" w:rsidR="00E31503" w:rsidRDefault="00A174AB" w:rsidP="00397859">
      <w:pPr>
        <w:pStyle w:val="SingleTxtG"/>
        <w:keepNext/>
        <w:rPr>
          <w:b/>
        </w:rPr>
      </w:pPr>
      <w:r>
        <w:rPr>
          <w:bCs/>
        </w:rPr>
        <w:t>29.</w:t>
      </w:r>
      <w:r>
        <w:rPr>
          <w:bCs/>
        </w:rPr>
        <w:tab/>
      </w:r>
      <w:r w:rsidR="00E31503" w:rsidRPr="0011438F">
        <w:rPr>
          <w:b/>
        </w:rPr>
        <w:t>Le Comité</w:t>
      </w:r>
      <w:r w:rsidR="00E31503" w:rsidRPr="00FE472A">
        <w:rPr>
          <w:b/>
        </w:rPr>
        <w:t xml:space="preserve"> recommande à l</w:t>
      </w:r>
      <w:r w:rsidR="00E31503">
        <w:rPr>
          <w:b/>
        </w:rPr>
        <w:t>’</w:t>
      </w:r>
      <w:r w:rsidR="00E31503" w:rsidRPr="00FE472A">
        <w:rPr>
          <w:b/>
        </w:rPr>
        <w:t>État partie</w:t>
      </w:r>
      <w:r w:rsidR="00E31503">
        <w:rPr>
          <w:b/>
        </w:rPr>
        <w:t> :</w:t>
      </w:r>
      <w:r w:rsidR="00E31503" w:rsidRPr="00FE472A">
        <w:rPr>
          <w:b/>
        </w:rPr>
        <w:t xml:space="preserve"> </w:t>
      </w:r>
    </w:p>
    <w:p w14:paraId="41BA67C5" w14:textId="2CB4840E" w:rsidR="00E31503" w:rsidRPr="00286730" w:rsidRDefault="00A174AB" w:rsidP="00397859">
      <w:pPr>
        <w:pStyle w:val="SingleTxtG"/>
        <w:ind w:firstLine="567"/>
        <w:rPr>
          <w:b/>
        </w:rPr>
      </w:pPr>
      <w:r>
        <w:rPr>
          <w:b/>
        </w:rPr>
        <w:t>a)</w:t>
      </w:r>
      <w:r>
        <w:rPr>
          <w:b/>
        </w:rPr>
        <w:tab/>
      </w:r>
      <w:r w:rsidR="00E31503" w:rsidRPr="00286730">
        <w:rPr>
          <w:b/>
        </w:rPr>
        <w:t>D</w:t>
      </w:r>
      <w:r w:rsidR="00E31503">
        <w:rPr>
          <w:b/>
        </w:rPr>
        <w:t>’</w:t>
      </w:r>
      <w:r w:rsidR="00E31503" w:rsidRPr="00286730">
        <w:rPr>
          <w:b/>
        </w:rPr>
        <w:t xml:space="preserve">adopter le </w:t>
      </w:r>
      <w:r w:rsidR="00E31503">
        <w:rPr>
          <w:b/>
        </w:rPr>
        <w:t>p</w:t>
      </w:r>
      <w:r w:rsidR="00E31503" w:rsidRPr="00286730">
        <w:rPr>
          <w:b/>
        </w:rPr>
        <w:t>lan d</w:t>
      </w:r>
      <w:r w:rsidR="00E31503">
        <w:rPr>
          <w:b/>
        </w:rPr>
        <w:t>’</w:t>
      </w:r>
      <w:r w:rsidR="00E31503" w:rsidRPr="00286730">
        <w:rPr>
          <w:b/>
        </w:rPr>
        <w:t>action de lutte contre la traite d</w:t>
      </w:r>
      <w:r w:rsidR="00E31503">
        <w:rPr>
          <w:b/>
        </w:rPr>
        <w:t>’</w:t>
      </w:r>
      <w:r w:rsidR="00E31503" w:rsidRPr="00286730">
        <w:rPr>
          <w:b/>
        </w:rPr>
        <w:t>êtres humains 2021</w:t>
      </w:r>
      <w:r>
        <w:rPr>
          <w:b/>
        </w:rPr>
        <w:noBreakHyphen/>
      </w:r>
      <w:r w:rsidR="00E31503" w:rsidRPr="00286730">
        <w:rPr>
          <w:b/>
        </w:rPr>
        <w:t>2025 en cours d</w:t>
      </w:r>
      <w:r w:rsidR="00E31503">
        <w:rPr>
          <w:b/>
        </w:rPr>
        <w:t>’</w:t>
      </w:r>
      <w:r w:rsidR="00E31503" w:rsidRPr="00286730">
        <w:rPr>
          <w:b/>
        </w:rPr>
        <w:t>élaboration</w:t>
      </w:r>
      <w:r w:rsidR="00E31503">
        <w:rPr>
          <w:b/>
        </w:rPr>
        <w:t> </w:t>
      </w:r>
      <w:r w:rsidR="00E31503" w:rsidRPr="00286730">
        <w:rPr>
          <w:b/>
        </w:rPr>
        <w:t>;</w:t>
      </w:r>
    </w:p>
    <w:p w14:paraId="272BD353" w14:textId="275B8D63" w:rsidR="00E31503" w:rsidRPr="00286730" w:rsidRDefault="00A174AB" w:rsidP="00397859">
      <w:pPr>
        <w:pStyle w:val="SingleTxtG"/>
        <w:ind w:firstLine="567"/>
        <w:rPr>
          <w:b/>
        </w:rPr>
      </w:pPr>
      <w:r>
        <w:rPr>
          <w:b/>
        </w:rPr>
        <w:t>b)</w:t>
      </w:r>
      <w:r>
        <w:rPr>
          <w:b/>
        </w:rPr>
        <w:tab/>
      </w:r>
      <w:r w:rsidR="00E31503" w:rsidRPr="00286730">
        <w:rPr>
          <w:b/>
        </w:rPr>
        <w:t xml:space="preserve">De renforcer les mesures </w:t>
      </w:r>
      <w:r w:rsidR="00E31503">
        <w:rPr>
          <w:b/>
        </w:rPr>
        <w:t>destinées à</w:t>
      </w:r>
      <w:r w:rsidR="00E31503" w:rsidRPr="00286730">
        <w:rPr>
          <w:b/>
        </w:rPr>
        <w:t xml:space="preserve"> prévenir</w:t>
      </w:r>
      <w:r w:rsidR="00E31503">
        <w:rPr>
          <w:b/>
        </w:rPr>
        <w:t xml:space="preserve"> la traite d’êtres humains</w:t>
      </w:r>
      <w:r w:rsidR="00E31503" w:rsidRPr="00286730">
        <w:rPr>
          <w:b/>
        </w:rPr>
        <w:t xml:space="preserve">, </w:t>
      </w:r>
      <w:r w:rsidR="00E31503">
        <w:rPr>
          <w:b/>
        </w:rPr>
        <w:t xml:space="preserve">à </w:t>
      </w:r>
      <w:r w:rsidR="00E31503" w:rsidRPr="00286730">
        <w:rPr>
          <w:b/>
        </w:rPr>
        <w:t>enquêter</w:t>
      </w:r>
      <w:r w:rsidR="00E31503">
        <w:rPr>
          <w:b/>
        </w:rPr>
        <w:t xml:space="preserve"> sur les cas de traite,</w:t>
      </w:r>
      <w:r w:rsidR="00E31503" w:rsidRPr="00286730">
        <w:rPr>
          <w:b/>
        </w:rPr>
        <w:t xml:space="preserve"> </w:t>
      </w:r>
      <w:r w:rsidR="00E31503">
        <w:rPr>
          <w:b/>
        </w:rPr>
        <w:t>à en</w:t>
      </w:r>
      <w:r w:rsidR="00E31503" w:rsidRPr="00286730">
        <w:rPr>
          <w:b/>
        </w:rPr>
        <w:t xml:space="preserve"> sanctionner les responsables et </w:t>
      </w:r>
      <w:r w:rsidR="00E31503">
        <w:rPr>
          <w:b/>
        </w:rPr>
        <w:t xml:space="preserve">à </w:t>
      </w:r>
      <w:r w:rsidR="00E31503" w:rsidRPr="00286730">
        <w:rPr>
          <w:b/>
        </w:rPr>
        <w:t>offrir une protection adéquate aux victimes</w:t>
      </w:r>
      <w:r w:rsidR="00E31503">
        <w:rPr>
          <w:b/>
        </w:rPr>
        <w:t> </w:t>
      </w:r>
      <w:r w:rsidR="00E31503" w:rsidRPr="00286730">
        <w:rPr>
          <w:b/>
        </w:rPr>
        <w:t>;</w:t>
      </w:r>
    </w:p>
    <w:p w14:paraId="5756DA10" w14:textId="4C657C4F" w:rsidR="00E31503" w:rsidRPr="00FE472A" w:rsidRDefault="00A174AB" w:rsidP="00397859">
      <w:pPr>
        <w:pStyle w:val="SingleTxtG"/>
        <w:ind w:firstLine="567"/>
      </w:pPr>
      <w:r>
        <w:rPr>
          <w:b/>
        </w:rPr>
        <w:t>c)</w:t>
      </w:r>
      <w:r>
        <w:rPr>
          <w:b/>
        </w:rPr>
        <w:tab/>
      </w:r>
      <w:r w:rsidR="00E31503" w:rsidRPr="00286730">
        <w:rPr>
          <w:b/>
        </w:rPr>
        <w:t>D</w:t>
      </w:r>
      <w:r w:rsidR="00E31503">
        <w:rPr>
          <w:b/>
        </w:rPr>
        <w:t>’</w:t>
      </w:r>
      <w:r w:rsidR="00E31503" w:rsidRPr="00286730">
        <w:rPr>
          <w:b/>
        </w:rPr>
        <w:t xml:space="preserve">allouer </w:t>
      </w:r>
      <w:r w:rsidR="00E31503">
        <w:rPr>
          <w:b/>
        </w:rPr>
        <w:t>des</w:t>
      </w:r>
      <w:r w:rsidR="00E31503" w:rsidRPr="00286730">
        <w:rPr>
          <w:b/>
        </w:rPr>
        <w:t xml:space="preserve"> ressources </w:t>
      </w:r>
      <w:r w:rsidR="00E31503">
        <w:rPr>
          <w:b/>
        </w:rPr>
        <w:t>financières</w:t>
      </w:r>
      <w:r w:rsidR="00E31503" w:rsidRPr="00286730">
        <w:rPr>
          <w:b/>
        </w:rPr>
        <w:t xml:space="preserve"> et humain</w:t>
      </w:r>
      <w:r w:rsidR="00E31503">
        <w:rPr>
          <w:b/>
        </w:rPr>
        <w:t>e</w:t>
      </w:r>
      <w:r w:rsidR="00E31503" w:rsidRPr="00286730">
        <w:rPr>
          <w:b/>
        </w:rPr>
        <w:t>s suffisant</w:t>
      </w:r>
      <w:r w:rsidR="00E31503">
        <w:rPr>
          <w:b/>
        </w:rPr>
        <w:t>e</w:t>
      </w:r>
      <w:r w:rsidR="00E31503" w:rsidRPr="00286730">
        <w:rPr>
          <w:b/>
        </w:rPr>
        <w:t xml:space="preserve">s et </w:t>
      </w:r>
      <w:r w:rsidR="00E31503">
        <w:rPr>
          <w:b/>
        </w:rPr>
        <w:t>régulières</w:t>
      </w:r>
      <w:r w:rsidR="00E31503" w:rsidRPr="00286730">
        <w:rPr>
          <w:b/>
        </w:rPr>
        <w:t xml:space="preserve"> pour les acteurs de première ligne, les procureurs, les magistrats et les centres d</w:t>
      </w:r>
      <w:r w:rsidR="00E31503">
        <w:rPr>
          <w:b/>
        </w:rPr>
        <w:t>’</w:t>
      </w:r>
      <w:r w:rsidR="00E31503" w:rsidRPr="00286730">
        <w:rPr>
          <w:b/>
        </w:rPr>
        <w:t>accueil spécialisés pour les victimes de traite.</w:t>
      </w:r>
    </w:p>
    <w:p w14:paraId="39F87985" w14:textId="77777777" w:rsidR="00E31503" w:rsidRPr="00D66C02" w:rsidRDefault="00E31503" w:rsidP="00397859">
      <w:pPr>
        <w:pStyle w:val="H23G"/>
        <w:rPr>
          <w:lang w:val="fr-FR"/>
        </w:rPr>
      </w:pPr>
      <w:r>
        <w:lastRenderedPageBreak/>
        <w:tab/>
      </w:r>
      <w:r>
        <w:tab/>
      </w:r>
      <w:r>
        <w:rPr>
          <w:lang w:val="fr-FR"/>
        </w:rPr>
        <w:t>Éducation aux droits de l’homme pour lutter contre les préjugés et l’intolérance</w:t>
      </w:r>
    </w:p>
    <w:p w14:paraId="0C5AB7C4" w14:textId="7260C31C" w:rsidR="00E31503" w:rsidRDefault="00A174AB" w:rsidP="00650A99">
      <w:pPr>
        <w:pStyle w:val="SingleTxtG"/>
      </w:pPr>
      <w:r>
        <w:t>30.</w:t>
      </w:r>
      <w:r>
        <w:tab/>
      </w:r>
      <w:r w:rsidR="00E31503" w:rsidRPr="0073777A">
        <w:t>Le Comité</w:t>
      </w:r>
      <w:r w:rsidR="00E31503" w:rsidRPr="003964A0">
        <w:t xml:space="preserve"> </w:t>
      </w:r>
      <w:r w:rsidR="00E31503">
        <w:t xml:space="preserve">est préoccupé par le fait que les législations et politiques d’éducation aux droits de l’homme, notamment en ce qui concerne la discrimination raciale, ne sont pas </w:t>
      </w:r>
      <w:r w:rsidR="00E31503" w:rsidRPr="00286730">
        <w:t>suffisantes pour lutter contre le racisme et l</w:t>
      </w:r>
      <w:r w:rsidR="00E31503">
        <w:t>’</w:t>
      </w:r>
      <w:r w:rsidR="00E31503" w:rsidRPr="00286730">
        <w:t>intolérance modernes et pour renforcer et garantir la coexistence pacifique. Le Comité relève aussi la préoccupation du Groupe de travail d</w:t>
      </w:r>
      <w:r w:rsidR="00E31503">
        <w:t>’</w:t>
      </w:r>
      <w:r w:rsidR="00E31503" w:rsidRPr="00286730">
        <w:t>experts sur les personnes</w:t>
      </w:r>
      <w:r w:rsidR="00E31503">
        <w:t xml:space="preserve"> d’ascendance africaine, selon lequel les programmes de l’enseignement primaire et secondaire n’accordent pas une place suffisante à l’histoire de la colonisation ou à l’histoire et aux contributions des personnes d’ascendance africaine en Belgique</w:t>
      </w:r>
      <w:r w:rsidR="00E31503" w:rsidRPr="006D5218">
        <w:rPr>
          <w:rStyle w:val="Appelnotedebasdep"/>
        </w:rPr>
        <w:footnoteReference w:id="6"/>
      </w:r>
      <w:r w:rsidR="00E31503">
        <w:t xml:space="preserve"> (art. 7).</w:t>
      </w:r>
    </w:p>
    <w:p w14:paraId="0F488285" w14:textId="076F3DB2" w:rsidR="00E31503" w:rsidRDefault="00A174AB" w:rsidP="00650A99">
      <w:pPr>
        <w:pStyle w:val="SingleTxtG"/>
        <w:rPr>
          <w:b/>
        </w:rPr>
      </w:pPr>
      <w:r>
        <w:rPr>
          <w:bCs/>
        </w:rPr>
        <w:t>31.</w:t>
      </w:r>
      <w:r>
        <w:rPr>
          <w:bCs/>
        </w:rPr>
        <w:tab/>
      </w:r>
      <w:r w:rsidR="00E31503" w:rsidRPr="009B2374">
        <w:rPr>
          <w:b/>
        </w:rPr>
        <w:t>Le Comité</w:t>
      </w:r>
      <w:r w:rsidR="00E31503" w:rsidRPr="007E544C">
        <w:rPr>
          <w:b/>
        </w:rPr>
        <w:t xml:space="preserve"> recommande à l</w:t>
      </w:r>
      <w:r w:rsidR="00E31503">
        <w:rPr>
          <w:b/>
        </w:rPr>
        <w:t>’</w:t>
      </w:r>
      <w:r w:rsidR="00E31503" w:rsidRPr="007E544C">
        <w:rPr>
          <w:b/>
        </w:rPr>
        <w:t xml:space="preserve">État partie de </w:t>
      </w:r>
      <w:r w:rsidR="00E31503">
        <w:rPr>
          <w:b/>
        </w:rPr>
        <w:t>redoubler</w:t>
      </w:r>
      <w:r w:rsidR="00E31503" w:rsidRPr="007E544C">
        <w:rPr>
          <w:b/>
        </w:rPr>
        <w:t xml:space="preserve"> d</w:t>
      </w:r>
      <w:r w:rsidR="00E31503">
        <w:rPr>
          <w:b/>
        </w:rPr>
        <w:t>’</w:t>
      </w:r>
      <w:r w:rsidR="00E31503" w:rsidRPr="007E544C">
        <w:rPr>
          <w:b/>
        </w:rPr>
        <w:t>efforts afin que l</w:t>
      </w:r>
      <w:r w:rsidR="00E31503">
        <w:rPr>
          <w:b/>
        </w:rPr>
        <w:t>’</w:t>
      </w:r>
      <w:r w:rsidR="00E31503" w:rsidRPr="007E544C">
        <w:rPr>
          <w:b/>
        </w:rPr>
        <w:t xml:space="preserve">éducation aux droits </w:t>
      </w:r>
      <w:r w:rsidR="00E31503">
        <w:rPr>
          <w:b/>
        </w:rPr>
        <w:t>de l’homme</w:t>
      </w:r>
      <w:r w:rsidR="00E31503" w:rsidRPr="007E544C">
        <w:rPr>
          <w:b/>
        </w:rPr>
        <w:t>, la lutte contre le racisme et la discrimination ainsi que le respect de la diversité et la promotion de l</w:t>
      </w:r>
      <w:r w:rsidR="00E31503">
        <w:rPr>
          <w:b/>
        </w:rPr>
        <w:t>’</w:t>
      </w:r>
      <w:r w:rsidR="00E31503" w:rsidRPr="007E544C">
        <w:rPr>
          <w:b/>
        </w:rPr>
        <w:t xml:space="preserve">égalité de traitement </w:t>
      </w:r>
      <w:r w:rsidR="00E31503" w:rsidRPr="00286730">
        <w:rPr>
          <w:b/>
        </w:rPr>
        <w:t>soient conçus avec la participation des communautés touchées et inclus dans</w:t>
      </w:r>
      <w:r w:rsidR="00E31503" w:rsidRPr="007E544C">
        <w:rPr>
          <w:b/>
        </w:rPr>
        <w:t xml:space="preserve"> les programmes d</w:t>
      </w:r>
      <w:r w:rsidR="00E31503">
        <w:rPr>
          <w:b/>
        </w:rPr>
        <w:t>’</w:t>
      </w:r>
      <w:r w:rsidR="00E31503" w:rsidRPr="007E544C">
        <w:rPr>
          <w:b/>
        </w:rPr>
        <w:t xml:space="preserve">étude à tous les niveaux scolaires. Il recommande </w:t>
      </w:r>
      <w:r w:rsidR="00E31503">
        <w:rPr>
          <w:b/>
        </w:rPr>
        <w:t xml:space="preserve">aussi à l’État partie </w:t>
      </w:r>
      <w:r w:rsidR="00E31503" w:rsidRPr="007E544C">
        <w:rPr>
          <w:b/>
        </w:rPr>
        <w:t>d</w:t>
      </w:r>
      <w:r w:rsidR="00E31503">
        <w:rPr>
          <w:b/>
        </w:rPr>
        <w:t xml:space="preserve">’évaluer </w:t>
      </w:r>
      <w:r w:rsidR="00E31503" w:rsidRPr="007E544C">
        <w:rPr>
          <w:b/>
        </w:rPr>
        <w:t>périodiquement le contenu des programmes d</w:t>
      </w:r>
      <w:r w:rsidR="00E31503">
        <w:rPr>
          <w:b/>
        </w:rPr>
        <w:t>’</w:t>
      </w:r>
      <w:r w:rsidR="00E31503" w:rsidRPr="007E544C">
        <w:rPr>
          <w:b/>
        </w:rPr>
        <w:t>enseignement lié à l</w:t>
      </w:r>
      <w:r w:rsidR="00E31503">
        <w:rPr>
          <w:b/>
        </w:rPr>
        <w:t>’</w:t>
      </w:r>
      <w:r w:rsidR="00E31503" w:rsidRPr="007E544C">
        <w:rPr>
          <w:b/>
        </w:rPr>
        <w:t>histoire de la colonisation en partenariat avec toutes les parties prenantes concernées, y compris la communauté des personnes d</w:t>
      </w:r>
      <w:r w:rsidR="00E31503">
        <w:rPr>
          <w:b/>
        </w:rPr>
        <w:t>’</w:t>
      </w:r>
      <w:r w:rsidR="00E31503" w:rsidRPr="007E544C">
        <w:rPr>
          <w:b/>
        </w:rPr>
        <w:t xml:space="preserve">ascendance africaine. </w:t>
      </w:r>
    </w:p>
    <w:p w14:paraId="6BC3D126" w14:textId="77777777" w:rsidR="00E31503" w:rsidRDefault="00E31503" w:rsidP="00397859">
      <w:pPr>
        <w:pStyle w:val="H1G"/>
      </w:pPr>
      <w:r>
        <w:tab/>
        <w:t>D.</w:t>
      </w:r>
      <w:r>
        <w:tab/>
        <w:t xml:space="preserve">Autres recommandations </w:t>
      </w:r>
    </w:p>
    <w:p w14:paraId="523B9EC8" w14:textId="77777777" w:rsidR="00E31503" w:rsidRDefault="00E31503" w:rsidP="00397859">
      <w:pPr>
        <w:pStyle w:val="H23G"/>
      </w:pPr>
      <w:r>
        <w:tab/>
      </w:r>
      <w:r>
        <w:tab/>
        <w:t>Ratification d’autres instruments</w:t>
      </w:r>
    </w:p>
    <w:p w14:paraId="544741C9" w14:textId="472D64E6" w:rsidR="00E31503" w:rsidRPr="00D728C4" w:rsidRDefault="00A174AB" w:rsidP="00650A99">
      <w:pPr>
        <w:pStyle w:val="SingleTxtG"/>
      </w:pPr>
      <w:r>
        <w:rPr>
          <w:bCs/>
        </w:rPr>
        <w:t>32.</w:t>
      </w:r>
      <w:r>
        <w:rPr>
          <w:bCs/>
        </w:rPr>
        <w:tab/>
      </w:r>
      <w:r w:rsidR="00E31503" w:rsidRPr="00AF7ABE">
        <w:rPr>
          <w:b/>
        </w:rPr>
        <w:t>Compte tenu du caractère indivisible de tous les droits de l</w:t>
      </w:r>
      <w:r w:rsidR="00E31503">
        <w:rPr>
          <w:b/>
        </w:rPr>
        <w:t>’</w:t>
      </w:r>
      <w:r w:rsidR="00E31503" w:rsidRPr="00AF7ABE">
        <w:rPr>
          <w:b/>
        </w:rPr>
        <w:t>homme, le Comité encourage l</w:t>
      </w:r>
      <w:r w:rsidR="00E31503">
        <w:rPr>
          <w:b/>
        </w:rPr>
        <w:t>’</w:t>
      </w:r>
      <w:r w:rsidR="00E31503" w:rsidRPr="00AF7ABE">
        <w:rPr>
          <w:b/>
        </w:rPr>
        <w:t>État partie à envisager de ratifier les instruments internationaux relatifs aux droits de l</w:t>
      </w:r>
      <w:r w:rsidR="00E31503">
        <w:rPr>
          <w:b/>
        </w:rPr>
        <w:t>’</w:t>
      </w:r>
      <w:r w:rsidR="00E31503" w:rsidRPr="00AF7ABE">
        <w:rPr>
          <w:b/>
        </w:rPr>
        <w:t>homme auxquels il n</w:t>
      </w:r>
      <w:r w:rsidR="00E31503">
        <w:rPr>
          <w:b/>
        </w:rPr>
        <w:t>’</w:t>
      </w:r>
      <w:r w:rsidR="00E31503" w:rsidRPr="00AF7ABE">
        <w:rPr>
          <w:b/>
        </w:rPr>
        <w:t>est pas encore partie, en particulier ceux dont les dispositions intéressent directement les communautés qui peuvent faire l</w:t>
      </w:r>
      <w:r w:rsidR="00E31503">
        <w:rPr>
          <w:b/>
        </w:rPr>
        <w:t>’</w:t>
      </w:r>
      <w:r w:rsidR="00E31503" w:rsidRPr="00AF7ABE">
        <w:rPr>
          <w:b/>
        </w:rPr>
        <w:t>objet de discrimination raciale, comme la Convention internationale sur</w:t>
      </w:r>
      <w:r w:rsidR="00E31503" w:rsidRPr="00D671EC">
        <w:rPr>
          <w:b/>
        </w:rPr>
        <w:t xml:space="preserve"> la protection des droits de tous les travailleurs migrants et des membres de leur famille. Le Comité encourage au</w:t>
      </w:r>
      <w:r w:rsidR="00E31503" w:rsidRPr="008F266E">
        <w:rPr>
          <w:b/>
        </w:rPr>
        <w:t>ssi l</w:t>
      </w:r>
      <w:r w:rsidR="00E31503">
        <w:rPr>
          <w:b/>
        </w:rPr>
        <w:t>’</w:t>
      </w:r>
      <w:r w:rsidR="00E31503" w:rsidRPr="008F266E">
        <w:rPr>
          <w:b/>
        </w:rPr>
        <w:t xml:space="preserve">État partie </w:t>
      </w:r>
      <w:r w:rsidR="00E31503">
        <w:rPr>
          <w:b/>
        </w:rPr>
        <w:t xml:space="preserve">à </w:t>
      </w:r>
      <w:r w:rsidR="00E31503" w:rsidRPr="008F266E">
        <w:rPr>
          <w:b/>
        </w:rPr>
        <w:t>envisager de ratifier le Protocole facultatif se rapportant à la Convention contre la torture et autres peines ou traitements cruels, inhumains ou dégradants</w:t>
      </w:r>
      <w:r w:rsidR="00E31503">
        <w:rPr>
          <w:b/>
          <w:bCs/>
        </w:rPr>
        <w:t>.</w:t>
      </w:r>
    </w:p>
    <w:p w14:paraId="4CB3A1C6" w14:textId="77777777" w:rsidR="00E31503" w:rsidRDefault="00E31503" w:rsidP="00397859">
      <w:pPr>
        <w:pStyle w:val="H23G"/>
      </w:pPr>
      <w:r>
        <w:tab/>
      </w:r>
      <w:r>
        <w:tab/>
      </w:r>
      <w:r>
        <w:tab/>
        <w:t>Suite donnée à la Déclaration et au Programme d’action de Durban</w:t>
      </w:r>
    </w:p>
    <w:p w14:paraId="2251F608" w14:textId="243ADA7D" w:rsidR="00E31503" w:rsidRDefault="00A174AB" w:rsidP="00650A99">
      <w:pPr>
        <w:pStyle w:val="SingleTxtG"/>
        <w:rPr>
          <w:b/>
          <w:bCs/>
        </w:rPr>
      </w:pPr>
      <w:r>
        <w:t>33.</w:t>
      </w:r>
      <w:r>
        <w:tab/>
      </w:r>
      <w:r w:rsidR="00E31503" w:rsidRPr="000B574F">
        <w:rPr>
          <w:b/>
          <w:bCs/>
        </w:rPr>
        <w:t xml:space="preserve">À la lumière </w:t>
      </w:r>
      <w:r w:rsidR="00E31503">
        <w:rPr>
          <w:b/>
          <w:bCs/>
        </w:rPr>
        <w:t>de sa recommandation générale n</w:t>
      </w:r>
      <w:r w:rsidR="00E31503" w:rsidRPr="00B72D53">
        <w:rPr>
          <w:b/>
          <w:bCs/>
          <w:vertAlign w:val="superscript"/>
        </w:rPr>
        <w:t>o</w:t>
      </w:r>
      <w:r w:rsidR="00E31503">
        <w:rPr>
          <w:b/>
          <w:bCs/>
        </w:rPr>
        <w:t> 33</w:t>
      </w:r>
      <w:r>
        <w:rPr>
          <w:b/>
          <w:bCs/>
        </w:rPr>
        <w:t xml:space="preserve"> </w:t>
      </w:r>
      <w:r w:rsidR="00E31503">
        <w:rPr>
          <w:b/>
          <w:bCs/>
        </w:rPr>
        <w:t>(2009) concernant le suivi de la Conférence d’examen de Durban, le Comité recommande à l’État partie de donner effet à la Déclaration et au Programme d’action de Durban, adoptés en septembre 2001 par la Conférence mondiale contre le racisme, la discrimination raciale, la xénophobie et l’intolérance qui y est associée, en tenant compte du document final de la Conférence d’examen de Durban, tenue à Genève en avril 2009, quand il applique la Convention. Le Comité demande à l’État partie d’inclure dans son prochain rapport périodique des renseignements précis sur les plans d’action qu’il aura adoptés et les autres mesures qu’il aura prises pour mettre en œuvre la Déclaration et le Programme d’action de Durban au niveau national.</w:t>
      </w:r>
    </w:p>
    <w:p w14:paraId="3D586739" w14:textId="77777777" w:rsidR="00E31503" w:rsidRDefault="00E31503" w:rsidP="00397859">
      <w:pPr>
        <w:pStyle w:val="H23G"/>
      </w:pPr>
      <w:r>
        <w:tab/>
      </w:r>
      <w:r>
        <w:tab/>
        <w:t xml:space="preserve">Décennie internationale des personnes d’ascendance africaine </w:t>
      </w:r>
    </w:p>
    <w:p w14:paraId="037CD924" w14:textId="5CCD388B" w:rsidR="00E31503" w:rsidRDefault="00A174AB" w:rsidP="00650A99">
      <w:pPr>
        <w:pStyle w:val="SingleTxtG"/>
        <w:rPr>
          <w:lang w:eastAsia="en-GB"/>
        </w:rPr>
      </w:pPr>
      <w:r>
        <w:rPr>
          <w:lang w:eastAsia="en-GB"/>
        </w:rPr>
        <w:t>34.</w:t>
      </w:r>
      <w:r>
        <w:rPr>
          <w:lang w:eastAsia="en-GB"/>
        </w:rPr>
        <w:tab/>
      </w:r>
      <w:r w:rsidR="00E31503" w:rsidRPr="000B574F">
        <w:rPr>
          <w:b/>
          <w:bCs/>
          <w:lang w:eastAsia="en-GB"/>
        </w:rPr>
        <w:t xml:space="preserve">À la lumière </w:t>
      </w:r>
      <w:r w:rsidR="00E31503">
        <w:rPr>
          <w:b/>
          <w:bCs/>
          <w:lang w:eastAsia="en-GB"/>
        </w:rPr>
        <w:t xml:space="preserve">de la résolution 68/237 de l’Assemblée générale proclamant la Décennie internationale des personnes d’ascendance africaine pour 2015-2024 et de la résolution 69/16 sur le programme d’activités de la Décennie, le Comité recommande à l’État partie d’élaborer et de mettre en œuvre un programme adapté de mesures et de politiques </w:t>
      </w:r>
      <w:r w:rsidR="00E31503" w:rsidRPr="00D9520B">
        <w:rPr>
          <w:b/>
          <w:bCs/>
          <w:lang w:eastAsia="en-GB"/>
        </w:rPr>
        <w:t>en collaboration avec des organisations et des personnes d</w:t>
      </w:r>
      <w:r w:rsidR="00E31503">
        <w:rPr>
          <w:b/>
          <w:bCs/>
          <w:lang w:eastAsia="en-GB"/>
        </w:rPr>
        <w:t>’</w:t>
      </w:r>
      <w:r w:rsidR="00E31503" w:rsidRPr="00D9520B">
        <w:rPr>
          <w:b/>
          <w:bCs/>
          <w:lang w:eastAsia="en-GB"/>
        </w:rPr>
        <w:t xml:space="preserve">ascendance africaine. </w:t>
      </w:r>
      <w:r w:rsidR="00E31503">
        <w:rPr>
          <w:b/>
          <w:bCs/>
          <w:lang w:eastAsia="en-GB"/>
        </w:rPr>
        <w:t>Le Comité demande à l’État partie d’inclure dans son prochain rapport périodique des renseignements précis sur les mesures concrètes qu’il aura adoptées dans ce cadre, compte tenu de sa recommandation générale n</w:t>
      </w:r>
      <w:r w:rsidR="00E31503" w:rsidRPr="00B72D53">
        <w:rPr>
          <w:b/>
          <w:bCs/>
          <w:vertAlign w:val="superscript"/>
          <w:lang w:eastAsia="en-GB"/>
        </w:rPr>
        <w:t>o</w:t>
      </w:r>
      <w:r w:rsidR="00E31503">
        <w:rPr>
          <w:b/>
          <w:bCs/>
          <w:lang w:eastAsia="en-GB"/>
        </w:rPr>
        <w:t> 34 (2011) sur la discrimination raciale à l’égard des personnes d’ascendance africaine.</w:t>
      </w:r>
    </w:p>
    <w:p w14:paraId="67A2EEFA" w14:textId="77777777" w:rsidR="00E31503" w:rsidRDefault="00E31503" w:rsidP="00397859">
      <w:pPr>
        <w:pStyle w:val="H23G"/>
      </w:pPr>
      <w:r>
        <w:lastRenderedPageBreak/>
        <w:tab/>
      </w:r>
      <w:r>
        <w:tab/>
        <w:t>Consultations avec la société civile</w:t>
      </w:r>
    </w:p>
    <w:p w14:paraId="70B6CFCC" w14:textId="2109D84F" w:rsidR="00E31503" w:rsidRDefault="00A174AB" w:rsidP="00650A99">
      <w:pPr>
        <w:pStyle w:val="SingleTxtG"/>
      </w:pPr>
      <w:r>
        <w:t>35.</w:t>
      </w:r>
      <w:r>
        <w:tab/>
      </w:r>
      <w:r w:rsidR="00E31503" w:rsidRPr="000B574F">
        <w:rPr>
          <w:b/>
          <w:bCs/>
        </w:rPr>
        <w:t xml:space="preserve">Le Comité recommande </w:t>
      </w:r>
      <w:r w:rsidR="00E31503">
        <w:rPr>
          <w:b/>
          <w:bCs/>
        </w:rPr>
        <w:t>à l’État partie de poursuivre et d’élargir le dialogue avec les organisations de la société civile qui travaillent dans le domaine de la protection des droits de l’homme, en particulier celles qui luttent contre la discrimination raciale, dans le cadre de l’élaboration du prochain rapport périodique et du suivi des présentes observations finales.</w:t>
      </w:r>
    </w:p>
    <w:p w14:paraId="304EC34A" w14:textId="77777777" w:rsidR="00E31503" w:rsidRDefault="00E31503" w:rsidP="00397859">
      <w:pPr>
        <w:pStyle w:val="H23G"/>
      </w:pPr>
      <w:r>
        <w:tab/>
      </w:r>
      <w:r>
        <w:tab/>
        <w:t>Diffusion d’information</w:t>
      </w:r>
    </w:p>
    <w:p w14:paraId="58A6C33A" w14:textId="252F9969" w:rsidR="00E31503" w:rsidRPr="002F3B91" w:rsidRDefault="00A174AB" w:rsidP="00650A99">
      <w:pPr>
        <w:pStyle w:val="SingleTxtG"/>
        <w:rPr>
          <w:b/>
          <w:bCs/>
        </w:rPr>
      </w:pPr>
      <w:r>
        <w:t>36.</w:t>
      </w:r>
      <w:r>
        <w:tab/>
      </w:r>
      <w:r w:rsidR="00E31503" w:rsidRPr="00C15278">
        <w:rPr>
          <w:b/>
          <w:bCs/>
        </w:rPr>
        <w:t xml:space="preserve">Le Comité </w:t>
      </w:r>
      <w:r w:rsidR="00E31503" w:rsidRPr="002F3B91">
        <w:rPr>
          <w:b/>
          <w:bCs/>
        </w:rPr>
        <w:t>recommande à l</w:t>
      </w:r>
      <w:r w:rsidR="00E31503">
        <w:rPr>
          <w:b/>
          <w:bCs/>
        </w:rPr>
        <w:t>’</w:t>
      </w:r>
      <w:r w:rsidR="00E31503" w:rsidRPr="002F3B91">
        <w:rPr>
          <w:b/>
          <w:bCs/>
        </w:rPr>
        <w:t>État partie de mettre ses rapports à la disposition du public dès leur soumission et de diffuser également les observations finale</w:t>
      </w:r>
      <w:r w:rsidR="00E31503">
        <w:rPr>
          <w:b/>
          <w:bCs/>
        </w:rPr>
        <w:t xml:space="preserve">s du Comité qui s’y rapportent </w:t>
      </w:r>
      <w:r w:rsidR="00E31503" w:rsidRPr="002F3B91">
        <w:rPr>
          <w:b/>
          <w:bCs/>
        </w:rPr>
        <w:t>auprès de tous les organes de l</w:t>
      </w:r>
      <w:r w:rsidR="00E31503">
        <w:rPr>
          <w:b/>
          <w:bCs/>
        </w:rPr>
        <w:t>’</w:t>
      </w:r>
      <w:r w:rsidR="00E31503" w:rsidRPr="002F3B91">
        <w:rPr>
          <w:b/>
          <w:bCs/>
        </w:rPr>
        <w:t xml:space="preserve">État chargés de la mise en œuvre de la Convention, </w:t>
      </w:r>
      <w:r w:rsidR="00E31503" w:rsidRPr="001357D8">
        <w:rPr>
          <w:b/>
          <w:bCs/>
        </w:rPr>
        <w:t xml:space="preserve">y compris les </w:t>
      </w:r>
      <w:r w:rsidR="00E31503">
        <w:rPr>
          <w:b/>
          <w:bCs/>
        </w:rPr>
        <w:t>c</w:t>
      </w:r>
      <w:r w:rsidR="00E31503" w:rsidRPr="001357D8">
        <w:rPr>
          <w:b/>
          <w:bCs/>
        </w:rPr>
        <w:t xml:space="preserve">ommunautés et </w:t>
      </w:r>
      <w:r w:rsidR="00E31503">
        <w:rPr>
          <w:b/>
          <w:bCs/>
        </w:rPr>
        <w:t>r</w:t>
      </w:r>
      <w:r w:rsidR="00E31503" w:rsidRPr="001357D8">
        <w:rPr>
          <w:b/>
          <w:bCs/>
        </w:rPr>
        <w:t>égions,</w:t>
      </w:r>
      <w:r w:rsidR="00E31503">
        <w:rPr>
          <w:b/>
          <w:bCs/>
        </w:rPr>
        <w:t xml:space="preserve"> ainsi que </w:t>
      </w:r>
      <w:r w:rsidR="00E31503" w:rsidRPr="002F3B91">
        <w:rPr>
          <w:b/>
          <w:bCs/>
        </w:rPr>
        <w:t xml:space="preserve">de les publier sur le site Web du </w:t>
      </w:r>
      <w:r w:rsidR="00E31503">
        <w:rPr>
          <w:b/>
          <w:bCs/>
        </w:rPr>
        <w:t>Service public fédéral A</w:t>
      </w:r>
      <w:r w:rsidR="00E31503" w:rsidRPr="002F3B91">
        <w:rPr>
          <w:b/>
          <w:bCs/>
        </w:rPr>
        <w:t xml:space="preserve">ffaires </w:t>
      </w:r>
      <w:r w:rsidR="00E31503">
        <w:rPr>
          <w:b/>
          <w:bCs/>
        </w:rPr>
        <w:t>é</w:t>
      </w:r>
      <w:r w:rsidR="00E31503" w:rsidRPr="002F3B91">
        <w:rPr>
          <w:b/>
          <w:bCs/>
        </w:rPr>
        <w:t>trangères</w:t>
      </w:r>
      <w:r w:rsidR="00E31503">
        <w:rPr>
          <w:b/>
          <w:bCs/>
        </w:rPr>
        <w:t>, Commerce extérieur et Coopération au développement</w:t>
      </w:r>
      <w:r w:rsidR="00E31503" w:rsidRPr="002F3B91">
        <w:rPr>
          <w:b/>
          <w:bCs/>
        </w:rPr>
        <w:t xml:space="preserve"> dans les langues officielles et les autres langues couramment utilisées, selon qu</w:t>
      </w:r>
      <w:r w:rsidR="00E31503">
        <w:rPr>
          <w:b/>
          <w:bCs/>
        </w:rPr>
        <w:t>’</w:t>
      </w:r>
      <w:r w:rsidR="00E31503" w:rsidRPr="002F3B91">
        <w:rPr>
          <w:b/>
          <w:bCs/>
        </w:rPr>
        <w:t>il conviendra.</w:t>
      </w:r>
    </w:p>
    <w:p w14:paraId="109C5DA4" w14:textId="77777777" w:rsidR="00E31503" w:rsidRDefault="00E31503" w:rsidP="00397859">
      <w:pPr>
        <w:pStyle w:val="H23G"/>
      </w:pPr>
      <w:r>
        <w:tab/>
      </w:r>
      <w:r>
        <w:tab/>
        <w:t>Suite donnée aux présentes observations finales</w:t>
      </w:r>
    </w:p>
    <w:p w14:paraId="59C120B0" w14:textId="361A79E7" w:rsidR="00E31503" w:rsidRPr="00E303ED" w:rsidRDefault="00A174AB" w:rsidP="00650A99">
      <w:pPr>
        <w:pStyle w:val="SingleTxtG"/>
      </w:pPr>
      <w:r>
        <w:t>37.</w:t>
      </w:r>
      <w:r>
        <w:tab/>
      </w:r>
      <w:r w:rsidR="00E31503" w:rsidRPr="00E303ED">
        <w:rPr>
          <w:b/>
          <w:bCs/>
        </w:rPr>
        <w:t xml:space="preserve">Conformément au </w:t>
      </w:r>
      <w:r w:rsidRPr="00E303ED">
        <w:rPr>
          <w:b/>
          <w:bCs/>
        </w:rPr>
        <w:t>paragraphe</w:t>
      </w:r>
      <w:r>
        <w:rPr>
          <w:b/>
          <w:bCs/>
        </w:rPr>
        <w:t> </w:t>
      </w:r>
      <w:r w:rsidR="00E31503" w:rsidRPr="00E303ED">
        <w:rPr>
          <w:b/>
          <w:bCs/>
        </w:rPr>
        <w:t>1 de l</w:t>
      </w:r>
      <w:r w:rsidR="00E31503">
        <w:rPr>
          <w:b/>
          <w:bCs/>
        </w:rPr>
        <w:t>’</w:t>
      </w:r>
      <w:r w:rsidR="00E31503" w:rsidRPr="00E303ED">
        <w:rPr>
          <w:b/>
          <w:bCs/>
        </w:rPr>
        <w:t>article</w:t>
      </w:r>
      <w:r w:rsidR="00E31503">
        <w:rPr>
          <w:b/>
          <w:bCs/>
        </w:rPr>
        <w:t> </w:t>
      </w:r>
      <w:r w:rsidR="00E31503" w:rsidRPr="00E303ED">
        <w:rPr>
          <w:b/>
          <w:bCs/>
        </w:rPr>
        <w:t xml:space="preserve">9 de la Convention et à </w:t>
      </w:r>
      <w:r w:rsidRPr="00E303ED">
        <w:rPr>
          <w:b/>
          <w:bCs/>
        </w:rPr>
        <w:t>l</w:t>
      </w:r>
      <w:r>
        <w:rPr>
          <w:b/>
          <w:bCs/>
        </w:rPr>
        <w:t>’</w:t>
      </w:r>
      <w:r w:rsidRPr="00E303ED">
        <w:rPr>
          <w:b/>
          <w:bCs/>
        </w:rPr>
        <w:t>article</w:t>
      </w:r>
      <w:r>
        <w:rPr>
          <w:b/>
          <w:bCs/>
        </w:rPr>
        <w:t> </w:t>
      </w:r>
      <w:r w:rsidR="00E31503" w:rsidRPr="00E303ED">
        <w:rPr>
          <w:b/>
          <w:bCs/>
        </w:rPr>
        <w:t>65 de son règlement intérieur, le Comité demande à l</w:t>
      </w:r>
      <w:r w:rsidR="00E31503">
        <w:rPr>
          <w:b/>
          <w:bCs/>
        </w:rPr>
        <w:t>’</w:t>
      </w:r>
      <w:r w:rsidR="00E31503" w:rsidRPr="00E303ED">
        <w:rPr>
          <w:b/>
          <w:bCs/>
        </w:rPr>
        <w:t>État partie de fournir, dans un délai d</w:t>
      </w:r>
      <w:r w:rsidR="00E31503">
        <w:rPr>
          <w:b/>
          <w:bCs/>
        </w:rPr>
        <w:t>’</w:t>
      </w:r>
      <w:r w:rsidR="00E31503" w:rsidRPr="00E303ED">
        <w:rPr>
          <w:b/>
          <w:bCs/>
        </w:rPr>
        <w:t>un an à compter de l</w:t>
      </w:r>
      <w:r w:rsidR="00E31503">
        <w:rPr>
          <w:b/>
          <w:bCs/>
        </w:rPr>
        <w:t>’</w:t>
      </w:r>
      <w:r w:rsidR="00E31503" w:rsidRPr="00E303ED">
        <w:rPr>
          <w:b/>
          <w:bCs/>
        </w:rPr>
        <w:t>adoption des présentes observations finales, des renseignements sur la suite qu</w:t>
      </w:r>
      <w:r w:rsidR="00E31503">
        <w:rPr>
          <w:b/>
          <w:bCs/>
        </w:rPr>
        <w:t>’</w:t>
      </w:r>
      <w:r w:rsidR="00E31503" w:rsidRPr="00E303ED">
        <w:rPr>
          <w:b/>
          <w:bCs/>
        </w:rPr>
        <w:t xml:space="preserve">il aura donnée aux recommandations figurant dans les </w:t>
      </w:r>
      <w:r w:rsidRPr="00E303ED">
        <w:rPr>
          <w:b/>
          <w:bCs/>
        </w:rPr>
        <w:t>paragraphes</w:t>
      </w:r>
      <w:r>
        <w:rPr>
          <w:b/>
          <w:bCs/>
        </w:rPr>
        <w:t> </w:t>
      </w:r>
      <w:r w:rsidR="00E31503" w:rsidRPr="00E303ED">
        <w:rPr>
          <w:b/>
          <w:bCs/>
        </w:rPr>
        <w:t>6</w:t>
      </w:r>
      <w:r w:rsidR="00E31503">
        <w:rPr>
          <w:b/>
          <w:bCs/>
        </w:rPr>
        <w:t xml:space="preserve"> (collecte des données)</w:t>
      </w:r>
      <w:r w:rsidR="00E31503" w:rsidRPr="00E303ED">
        <w:rPr>
          <w:b/>
          <w:bCs/>
        </w:rPr>
        <w:t>, 8</w:t>
      </w:r>
      <w:r w:rsidR="00E31503">
        <w:rPr>
          <w:b/>
          <w:bCs/>
        </w:rPr>
        <w:t xml:space="preserve"> (institution nationale des droits de l’homme)</w:t>
      </w:r>
      <w:r w:rsidR="00E31503" w:rsidRPr="00E303ED">
        <w:rPr>
          <w:b/>
          <w:bCs/>
        </w:rPr>
        <w:t xml:space="preserve">, </w:t>
      </w:r>
      <w:r w:rsidR="00E31503">
        <w:rPr>
          <w:b/>
          <w:bCs/>
        </w:rPr>
        <w:t>et</w:t>
      </w:r>
      <w:r w:rsidR="00E31503" w:rsidRPr="00E303ED">
        <w:rPr>
          <w:b/>
          <w:bCs/>
        </w:rPr>
        <w:t xml:space="preserve"> </w:t>
      </w:r>
      <w:r w:rsidRPr="00E303ED">
        <w:rPr>
          <w:b/>
          <w:bCs/>
        </w:rPr>
        <w:t>14</w:t>
      </w:r>
      <w:r>
        <w:rPr>
          <w:b/>
          <w:bCs/>
        </w:rPr>
        <w:t> </w:t>
      </w:r>
      <w:r w:rsidR="00E31503" w:rsidRPr="00E303ED">
        <w:rPr>
          <w:b/>
          <w:bCs/>
        </w:rPr>
        <w:t>a</w:t>
      </w:r>
      <w:r w:rsidR="00E31503">
        <w:rPr>
          <w:b/>
          <w:bCs/>
        </w:rPr>
        <w:t>)</w:t>
      </w:r>
      <w:r w:rsidR="00E31503" w:rsidRPr="00E303ED">
        <w:rPr>
          <w:b/>
          <w:bCs/>
        </w:rPr>
        <w:t xml:space="preserve"> et b</w:t>
      </w:r>
      <w:r w:rsidR="00E31503">
        <w:rPr>
          <w:b/>
          <w:bCs/>
        </w:rPr>
        <w:t>) (violences policières) ci-dessus.</w:t>
      </w:r>
    </w:p>
    <w:p w14:paraId="610FDE0C" w14:textId="77777777" w:rsidR="00E31503" w:rsidRDefault="00E31503" w:rsidP="00397859">
      <w:pPr>
        <w:pStyle w:val="H23G"/>
      </w:pPr>
      <w:r>
        <w:tab/>
      </w:r>
      <w:r>
        <w:tab/>
        <w:t>Paragraphes d’importance particulière</w:t>
      </w:r>
    </w:p>
    <w:p w14:paraId="38C65198" w14:textId="33414FB6" w:rsidR="00E31503" w:rsidRDefault="00A174AB" w:rsidP="00650A99">
      <w:pPr>
        <w:pStyle w:val="SingleTxtG"/>
        <w:rPr>
          <w:b/>
          <w:bCs/>
        </w:rPr>
      </w:pPr>
      <w:r>
        <w:t>38.</w:t>
      </w:r>
      <w:r>
        <w:tab/>
      </w:r>
      <w:r w:rsidR="00E31503">
        <w:rPr>
          <w:b/>
          <w:bCs/>
        </w:rPr>
        <w:t xml:space="preserve">Le Comité souhaite appeler l’attention de l’État partie sur l’importance particulière des recommandations figurant dans les </w:t>
      </w:r>
      <w:r w:rsidRPr="00DD5699">
        <w:rPr>
          <w:b/>
          <w:bCs/>
        </w:rPr>
        <w:t>paragraphes</w:t>
      </w:r>
      <w:r>
        <w:rPr>
          <w:b/>
          <w:bCs/>
          <w:lang w:val="fr-FR"/>
        </w:rPr>
        <w:t> </w:t>
      </w:r>
      <w:r w:rsidR="00E31503" w:rsidRPr="00DD5699">
        <w:rPr>
          <w:b/>
          <w:bCs/>
        </w:rPr>
        <w:t>16</w:t>
      </w:r>
      <w:r w:rsidR="00E31503">
        <w:rPr>
          <w:b/>
          <w:bCs/>
        </w:rPr>
        <w:t xml:space="preserve"> (profilage racial)</w:t>
      </w:r>
      <w:r w:rsidR="00E31503" w:rsidRPr="00DD5699">
        <w:rPr>
          <w:b/>
          <w:bCs/>
        </w:rPr>
        <w:t>, 19</w:t>
      </w:r>
      <w:r w:rsidR="00E31503">
        <w:rPr>
          <w:b/>
          <w:bCs/>
        </w:rPr>
        <w:t xml:space="preserve"> (crimes et discours de haine à caractère raciste)</w:t>
      </w:r>
      <w:r w:rsidR="00E31503" w:rsidRPr="00DD5699">
        <w:rPr>
          <w:b/>
          <w:bCs/>
        </w:rPr>
        <w:t xml:space="preserve">, </w:t>
      </w:r>
      <w:r w:rsidRPr="00DD5699">
        <w:rPr>
          <w:b/>
          <w:bCs/>
        </w:rPr>
        <w:t>23</w:t>
      </w:r>
      <w:r>
        <w:rPr>
          <w:b/>
          <w:bCs/>
        </w:rPr>
        <w:t> </w:t>
      </w:r>
      <w:r w:rsidR="00E31503" w:rsidRPr="00DD5699">
        <w:rPr>
          <w:b/>
          <w:bCs/>
        </w:rPr>
        <w:t>f)</w:t>
      </w:r>
      <w:r w:rsidR="00E31503">
        <w:rPr>
          <w:b/>
          <w:bCs/>
        </w:rPr>
        <w:t xml:space="preserve"> (effets de la pandémie de COVID-19 sur les Roms et gens du voyage)</w:t>
      </w:r>
      <w:r w:rsidR="00E31503" w:rsidRPr="00086624">
        <w:rPr>
          <w:b/>
          <w:bCs/>
        </w:rPr>
        <w:t xml:space="preserve">, </w:t>
      </w:r>
      <w:r w:rsidR="00E31503" w:rsidRPr="00DD5699">
        <w:rPr>
          <w:b/>
          <w:bCs/>
        </w:rPr>
        <w:t xml:space="preserve">et </w:t>
      </w:r>
      <w:r w:rsidRPr="00DD5699">
        <w:rPr>
          <w:b/>
          <w:bCs/>
        </w:rPr>
        <w:t>27</w:t>
      </w:r>
      <w:r>
        <w:rPr>
          <w:b/>
          <w:bCs/>
        </w:rPr>
        <w:t> </w:t>
      </w:r>
      <w:r w:rsidR="00E31503" w:rsidRPr="00DD5699">
        <w:rPr>
          <w:b/>
          <w:bCs/>
        </w:rPr>
        <w:t>d)</w:t>
      </w:r>
      <w:r w:rsidR="00E31503">
        <w:rPr>
          <w:b/>
          <w:bCs/>
        </w:rPr>
        <w:t xml:space="preserve"> (effets de la pandémie de COVID</w:t>
      </w:r>
      <w:r>
        <w:rPr>
          <w:b/>
          <w:bCs/>
        </w:rPr>
        <w:noBreakHyphen/>
      </w:r>
      <w:r w:rsidR="00E31503">
        <w:rPr>
          <w:b/>
          <w:bCs/>
        </w:rPr>
        <w:t>19 sur les migrants, réfugiés, demandeurs d’asile et apatrides) ci-dessus</w:t>
      </w:r>
      <w:r w:rsidR="00E31503" w:rsidRPr="00086624">
        <w:rPr>
          <w:b/>
          <w:bCs/>
        </w:rPr>
        <w:t xml:space="preserve">, </w:t>
      </w:r>
      <w:r w:rsidR="00E31503" w:rsidRPr="00DD5699">
        <w:rPr>
          <w:b/>
          <w:bCs/>
        </w:rPr>
        <w:t xml:space="preserve">et lui demande de faire figurer dans son prochain rapport périodique </w:t>
      </w:r>
      <w:r w:rsidR="00E31503">
        <w:rPr>
          <w:b/>
          <w:bCs/>
        </w:rPr>
        <w:t>des renseignements détaillés sur les mesures concrètes qu’il aura prises pour y donner suite.</w:t>
      </w:r>
    </w:p>
    <w:p w14:paraId="2B3508E4" w14:textId="77777777" w:rsidR="00E31503" w:rsidRDefault="00E31503" w:rsidP="00397859">
      <w:pPr>
        <w:pStyle w:val="H23G"/>
      </w:pPr>
      <w:r>
        <w:tab/>
      </w:r>
      <w:r>
        <w:tab/>
        <w:t>Élaboration du prochain rapport périodique</w:t>
      </w:r>
    </w:p>
    <w:p w14:paraId="2CA2D00C" w14:textId="5217D2ED" w:rsidR="00E31503" w:rsidRDefault="00A174AB" w:rsidP="00650A99">
      <w:pPr>
        <w:pStyle w:val="SingleTxtG"/>
        <w:rPr>
          <w:b/>
          <w:bCs/>
        </w:rPr>
      </w:pPr>
      <w:r>
        <w:t>39.</w:t>
      </w:r>
      <w:r>
        <w:tab/>
      </w:r>
      <w:r w:rsidR="00E31503" w:rsidRPr="00DD5699">
        <w:rPr>
          <w:b/>
          <w:bCs/>
        </w:rPr>
        <w:t>Le Comité recommande à l</w:t>
      </w:r>
      <w:r w:rsidR="00E31503">
        <w:rPr>
          <w:b/>
          <w:bCs/>
        </w:rPr>
        <w:t>’</w:t>
      </w:r>
      <w:r w:rsidR="00E31503" w:rsidRPr="00DD5699">
        <w:rPr>
          <w:b/>
          <w:bCs/>
        </w:rPr>
        <w:t xml:space="preserve">État partie de soumettre son rapport valant </w:t>
      </w:r>
      <w:r w:rsidR="00E31503" w:rsidRPr="00086624">
        <w:rPr>
          <w:b/>
          <w:bCs/>
        </w:rPr>
        <w:t>vingt</w:t>
      </w:r>
      <w:r w:rsidR="00F0639D">
        <w:rPr>
          <w:b/>
          <w:bCs/>
        </w:rPr>
        <w:noBreakHyphen/>
      </w:r>
      <w:r w:rsidR="00E31503" w:rsidRPr="00086624">
        <w:rPr>
          <w:b/>
          <w:bCs/>
        </w:rPr>
        <w:t>troisième</w:t>
      </w:r>
      <w:r w:rsidR="00E31503" w:rsidRPr="00DD5699">
        <w:rPr>
          <w:b/>
          <w:bCs/>
        </w:rPr>
        <w:t xml:space="preserve"> à </w:t>
      </w:r>
      <w:r w:rsidR="00E31503" w:rsidRPr="00086624">
        <w:rPr>
          <w:b/>
          <w:bCs/>
        </w:rPr>
        <w:t>vingt-cinquième</w:t>
      </w:r>
      <w:r w:rsidR="00E31503" w:rsidRPr="00DD5699">
        <w:rPr>
          <w:b/>
          <w:bCs/>
        </w:rPr>
        <w:t xml:space="preserve"> rapports périodiques d</w:t>
      </w:r>
      <w:r w:rsidR="00E31503">
        <w:rPr>
          <w:b/>
          <w:bCs/>
        </w:rPr>
        <w:t>’</w:t>
      </w:r>
      <w:r w:rsidR="00E31503" w:rsidRPr="00DD5699">
        <w:rPr>
          <w:b/>
          <w:bCs/>
        </w:rPr>
        <w:t xml:space="preserve">ici au </w:t>
      </w:r>
      <w:r w:rsidRPr="00086624">
        <w:rPr>
          <w:b/>
          <w:bCs/>
        </w:rPr>
        <w:t>6</w:t>
      </w:r>
      <w:r>
        <w:rPr>
          <w:b/>
          <w:bCs/>
        </w:rPr>
        <w:t> </w:t>
      </w:r>
      <w:r w:rsidR="00E31503" w:rsidRPr="00086624">
        <w:rPr>
          <w:b/>
          <w:bCs/>
        </w:rPr>
        <w:t>septembre 2024</w:t>
      </w:r>
      <w:r w:rsidR="00E31503" w:rsidRPr="00DD5699">
        <w:rPr>
          <w:b/>
          <w:bCs/>
        </w:rPr>
        <w:t xml:space="preserve">, </w:t>
      </w:r>
      <w:r w:rsidR="00E31503">
        <w:rPr>
          <w:b/>
          <w:bCs/>
        </w:rPr>
        <w:t>en tenant compte des directives pour l’établissement du document se rapportant spécifiquement à la Convention adoptées par le Comité à sa soixante et onzième session</w:t>
      </w:r>
      <w:r w:rsidR="00E31503" w:rsidRPr="006D5218">
        <w:rPr>
          <w:rStyle w:val="Appelnotedebasdep"/>
        </w:rPr>
        <w:footnoteReference w:id="7"/>
      </w:r>
      <w:r w:rsidR="00E31503">
        <w:rPr>
          <w:b/>
          <w:bCs/>
        </w:rPr>
        <w:t xml:space="preserve"> et en traitant de tous les points soulevés dans les présentes observations finales.</w:t>
      </w:r>
      <w:r w:rsidR="00E31503">
        <w:rPr>
          <w:sz w:val="24"/>
          <w:szCs w:val="24"/>
        </w:rPr>
        <w:t xml:space="preserve"> </w:t>
      </w:r>
      <w:r w:rsidR="00E31503">
        <w:rPr>
          <w:b/>
          <w:bCs/>
          <w:lang w:eastAsia="en-GB"/>
        </w:rPr>
        <w:t xml:space="preserve">À </w:t>
      </w:r>
      <w:r w:rsidR="00E31503">
        <w:rPr>
          <w:b/>
          <w:bCs/>
        </w:rPr>
        <w:t>la lumière de la résolution 68/268 de l’Assemblée générale, le Comité demande instamment à l’État partie de respecter la limite de 21</w:t>
      </w:r>
      <w:r>
        <w:rPr>
          <w:b/>
          <w:bCs/>
        </w:rPr>
        <w:t> 200 </w:t>
      </w:r>
      <w:r w:rsidR="00E31503">
        <w:rPr>
          <w:b/>
          <w:bCs/>
        </w:rPr>
        <w:t>mots fixée pour les rapports périodiques.</w:t>
      </w:r>
      <w:r>
        <w:rPr>
          <w:b/>
          <w:bCs/>
        </w:rPr>
        <w:t xml:space="preserve"> </w:t>
      </w:r>
    </w:p>
    <w:p w14:paraId="4E541197" w14:textId="0514E29C" w:rsidR="00A174AB" w:rsidRPr="00397859" w:rsidRDefault="00A174AB" w:rsidP="00397859">
      <w:pPr>
        <w:pStyle w:val="SingleTxtG"/>
        <w:spacing w:before="240" w:after="0"/>
        <w:jc w:val="center"/>
        <w:rPr>
          <w:u w:val="single"/>
        </w:rPr>
      </w:pPr>
      <w:r>
        <w:rPr>
          <w:u w:val="single"/>
        </w:rPr>
        <w:tab/>
      </w:r>
      <w:r>
        <w:rPr>
          <w:u w:val="single"/>
        </w:rPr>
        <w:tab/>
      </w:r>
      <w:r>
        <w:rPr>
          <w:u w:val="single"/>
        </w:rPr>
        <w:tab/>
      </w:r>
    </w:p>
    <w:bookmarkEnd w:id="0"/>
    <w:p w14:paraId="07AA7606" w14:textId="77777777" w:rsidR="00F22197" w:rsidRDefault="00F22197" w:rsidP="00650A99">
      <w:pPr>
        <w:pStyle w:val="SingleTxtG"/>
      </w:pPr>
    </w:p>
    <w:sectPr w:rsidR="00F22197" w:rsidSect="00F22197">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F20625" w14:textId="77777777" w:rsidR="00696163" w:rsidRDefault="00696163" w:rsidP="00F95C08">
      <w:pPr>
        <w:spacing w:line="240" w:lineRule="auto"/>
      </w:pPr>
    </w:p>
  </w:endnote>
  <w:endnote w:type="continuationSeparator" w:id="0">
    <w:p w14:paraId="4E69B51E" w14:textId="77777777" w:rsidR="00696163" w:rsidRPr="00AC3823" w:rsidRDefault="00696163" w:rsidP="00AC3823">
      <w:pPr>
        <w:pStyle w:val="Pieddepage"/>
      </w:pPr>
    </w:p>
  </w:endnote>
  <w:endnote w:type="continuationNotice" w:id="1">
    <w:p w14:paraId="2D9B9180" w14:textId="77777777" w:rsidR="00696163" w:rsidRDefault="0069616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C2F7DD" w14:textId="663B44A4" w:rsidR="00650A99" w:rsidRPr="00F22197" w:rsidRDefault="00650A99" w:rsidP="00F22197">
    <w:pPr>
      <w:pStyle w:val="Pieddepage"/>
      <w:tabs>
        <w:tab w:val="right" w:pos="9638"/>
      </w:tabs>
    </w:pPr>
    <w:r w:rsidRPr="00F22197">
      <w:rPr>
        <w:b/>
        <w:sz w:val="18"/>
      </w:rPr>
      <w:fldChar w:fldCharType="begin"/>
    </w:r>
    <w:r w:rsidRPr="00F22197">
      <w:rPr>
        <w:b/>
        <w:sz w:val="18"/>
      </w:rPr>
      <w:instrText xml:space="preserve"> PAGE  \* MERGEFORMAT </w:instrText>
    </w:r>
    <w:r w:rsidRPr="00F22197">
      <w:rPr>
        <w:b/>
        <w:sz w:val="18"/>
      </w:rPr>
      <w:fldChar w:fldCharType="separate"/>
    </w:r>
    <w:r w:rsidR="00CF530C">
      <w:rPr>
        <w:b/>
        <w:noProof/>
        <w:sz w:val="18"/>
      </w:rPr>
      <w:t>2</w:t>
    </w:r>
    <w:r w:rsidRPr="00F22197">
      <w:rPr>
        <w:b/>
        <w:sz w:val="18"/>
      </w:rPr>
      <w:fldChar w:fldCharType="end"/>
    </w:r>
    <w:r>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6805D4" w14:textId="456D5C0D" w:rsidR="00650A99" w:rsidRPr="00F22197" w:rsidRDefault="00650A99" w:rsidP="00F22197">
    <w:pPr>
      <w:pStyle w:val="Pieddepage"/>
      <w:tabs>
        <w:tab w:val="right" w:pos="9638"/>
      </w:tabs>
      <w:rPr>
        <w:b/>
        <w:sz w:val="18"/>
      </w:rPr>
    </w:pPr>
    <w:r>
      <w:tab/>
    </w:r>
    <w:r w:rsidRPr="00F22197">
      <w:rPr>
        <w:b/>
        <w:sz w:val="18"/>
      </w:rPr>
      <w:fldChar w:fldCharType="begin"/>
    </w:r>
    <w:r w:rsidRPr="00F22197">
      <w:rPr>
        <w:b/>
        <w:sz w:val="18"/>
      </w:rPr>
      <w:instrText xml:space="preserve"> PAGE  \* MERGEFORMAT </w:instrText>
    </w:r>
    <w:r w:rsidRPr="00F22197">
      <w:rPr>
        <w:b/>
        <w:sz w:val="18"/>
      </w:rPr>
      <w:fldChar w:fldCharType="separate"/>
    </w:r>
    <w:r w:rsidR="00CF530C">
      <w:rPr>
        <w:b/>
        <w:noProof/>
        <w:sz w:val="18"/>
      </w:rPr>
      <w:t>9</w:t>
    </w:r>
    <w:r w:rsidRPr="00F2219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781B71" w14:textId="77052A4F" w:rsidR="009103ED" w:rsidRPr="009103ED" w:rsidRDefault="009103ED" w:rsidP="009103ED">
    <w:pPr>
      <w:pStyle w:val="Pieddepage"/>
      <w:tabs>
        <w:tab w:val="left" w:pos="6520"/>
        <w:tab w:val="right" w:pos="9638"/>
      </w:tabs>
      <w:spacing w:before="120"/>
      <w:rPr>
        <w:sz w:val="20"/>
      </w:rPr>
    </w:pPr>
    <w:r>
      <w:rPr>
        <w:sz w:val="20"/>
      </w:rPr>
      <w:t>GE.21-06711  (F)</w:t>
    </w:r>
    <w:bookmarkStart w:id="1" w:name="_GoBack"/>
    <w:bookmarkEnd w:id="1"/>
    <w:r>
      <w:rPr>
        <w:sz w:val="20"/>
      </w:rPr>
      <w:tab/>
    </w:r>
    <w:r w:rsidRPr="009103ED">
      <w:rPr>
        <w:noProof/>
        <w:sz w:val="20"/>
        <w:lang w:eastAsia="fr-CH"/>
      </w:rPr>
      <w:drawing>
        <wp:inline distT="0" distB="0" distL="0" distR="0" wp14:anchorId="05AD6202" wp14:editId="67959C60">
          <wp:extent cx="1105200" cy="234000"/>
          <wp:effectExtent l="0" t="0" r="0" b="0"/>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inline>
      </w:drawing>
    </w:r>
    <w:r>
      <w:rPr>
        <w:sz w:val="20"/>
      </w:rPr>
      <w:tab/>
    </w:r>
    <w:r>
      <w:rPr>
        <w:noProof/>
        <w:sz w:val="20"/>
      </w:rPr>
      <w:drawing>
        <wp:inline distT="0" distB="0" distL="0" distR="0" wp14:anchorId="2512F4A6" wp14:editId="7FD4252D">
          <wp:extent cx="564515" cy="564515"/>
          <wp:effectExtent l="0" t="0" r="6985" b="698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4515" cy="56451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FE2382" w14:textId="77777777" w:rsidR="00696163" w:rsidRPr="00AC3823" w:rsidRDefault="00696163" w:rsidP="00AC3823">
      <w:pPr>
        <w:pStyle w:val="Pieddepage"/>
        <w:tabs>
          <w:tab w:val="right" w:pos="2155"/>
        </w:tabs>
        <w:spacing w:after="80" w:line="240" w:lineRule="atLeast"/>
        <w:ind w:left="680"/>
        <w:rPr>
          <w:u w:val="single"/>
        </w:rPr>
      </w:pPr>
      <w:r>
        <w:rPr>
          <w:u w:val="single"/>
        </w:rPr>
        <w:tab/>
      </w:r>
    </w:p>
  </w:footnote>
  <w:footnote w:type="continuationSeparator" w:id="0">
    <w:p w14:paraId="15DD768B" w14:textId="77777777" w:rsidR="00696163" w:rsidRPr="00AC3823" w:rsidRDefault="00696163" w:rsidP="00AC3823">
      <w:pPr>
        <w:pStyle w:val="Pieddepage"/>
        <w:tabs>
          <w:tab w:val="right" w:pos="2155"/>
        </w:tabs>
        <w:spacing w:after="80" w:line="240" w:lineRule="atLeast"/>
        <w:ind w:left="680"/>
        <w:rPr>
          <w:u w:val="single"/>
        </w:rPr>
      </w:pPr>
      <w:r>
        <w:rPr>
          <w:u w:val="single"/>
        </w:rPr>
        <w:tab/>
      </w:r>
    </w:p>
  </w:footnote>
  <w:footnote w:type="continuationNotice" w:id="1">
    <w:p w14:paraId="293B2729" w14:textId="77777777" w:rsidR="00696163" w:rsidRPr="00AC3823" w:rsidRDefault="00696163">
      <w:pPr>
        <w:spacing w:line="240" w:lineRule="auto"/>
        <w:rPr>
          <w:sz w:val="2"/>
          <w:szCs w:val="2"/>
        </w:rPr>
      </w:pPr>
    </w:p>
  </w:footnote>
  <w:footnote w:id="2">
    <w:p w14:paraId="2752C58F" w14:textId="13171891" w:rsidR="00650A99" w:rsidRPr="00821AA4" w:rsidRDefault="00650A99" w:rsidP="00E31503">
      <w:pPr>
        <w:pStyle w:val="Notedebasdepage"/>
        <w:rPr>
          <w:lang w:val="fr-FR"/>
        </w:rPr>
      </w:pPr>
      <w:r>
        <w:rPr>
          <w:rStyle w:val="Appelnotedebasdep"/>
        </w:rPr>
        <w:tab/>
      </w:r>
      <w:r w:rsidRPr="00821AA4">
        <w:rPr>
          <w:rStyle w:val="Appelnotedebasdep"/>
          <w:sz w:val="20"/>
          <w:vertAlign w:val="baseline"/>
        </w:rPr>
        <w:t>*</w:t>
      </w:r>
      <w:r>
        <w:rPr>
          <w:rStyle w:val="Appelnotedebasdep"/>
          <w:sz w:val="20"/>
          <w:vertAlign w:val="baseline"/>
        </w:rPr>
        <w:tab/>
      </w:r>
      <w:r w:rsidRPr="00A6472D">
        <w:t>Adoptées par le Comité à sa 103</w:t>
      </w:r>
      <w:r w:rsidRPr="00A6472D">
        <w:rPr>
          <w:vertAlign w:val="superscript"/>
        </w:rPr>
        <w:t>e</w:t>
      </w:r>
      <w:r>
        <w:t> </w:t>
      </w:r>
      <w:r w:rsidRPr="00A6472D">
        <w:t>session (19-30</w:t>
      </w:r>
      <w:r>
        <w:t> </w:t>
      </w:r>
      <w:r w:rsidRPr="00A6472D">
        <w:t>avril 2021).</w:t>
      </w:r>
    </w:p>
  </w:footnote>
  <w:footnote w:id="3">
    <w:p w14:paraId="2D71D438" w14:textId="77777777" w:rsidR="00650A99" w:rsidRPr="00086624" w:rsidRDefault="00650A99" w:rsidP="00E31503">
      <w:pPr>
        <w:pStyle w:val="Notedebasdepage"/>
        <w:rPr>
          <w:lang w:val="fr-CA"/>
        </w:rPr>
      </w:pPr>
      <w:r>
        <w:tab/>
      </w:r>
      <w:r w:rsidRPr="006D5218">
        <w:rPr>
          <w:rStyle w:val="Appelnotedebasdep"/>
        </w:rPr>
        <w:footnoteRef/>
      </w:r>
      <w:r>
        <w:tab/>
      </w:r>
      <w:r w:rsidRPr="00836FC9">
        <w:t>CERD/C/BEL/20-22</w:t>
      </w:r>
      <w:r>
        <w:t>.</w:t>
      </w:r>
    </w:p>
  </w:footnote>
  <w:footnote w:id="4">
    <w:p w14:paraId="02E736F3" w14:textId="77777777" w:rsidR="00650A99" w:rsidRPr="00086624" w:rsidRDefault="00650A99" w:rsidP="00E31503">
      <w:pPr>
        <w:pStyle w:val="Notedebasdepage"/>
        <w:rPr>
          <w:lang w:val="fr-CA"/>
        </w:rPr>
      </w:pPr>
      <w:r>
        <w:tab/>
      </w:r>
      <w:r w:rsidRPr="006D5218">
        <w:rPr>
          <w:rStyle w:val="Appelnotedebasdep"/>
        </w:rPr>
        <w:footnoteRef/>
      </w:r>
      <w:r>
        <w:tab/>
        <w:t xml:space="preserve">Voir </w:t>
      </w:r>
      <w:r w:rsidRPr="00836FC9">
        <w:t>CERD/C/SR.2814 et 2815</w:t>
      </w:r>
      <w:r>
        <w:t>.</w:t>
      </w:r>
    </w:p>
  </w:footnote>
  <w:footnote w:id="5">
    <w:p w14:paraId="7B33AA24" w14:textId="77777777" w:rsidR="00650A99" w:rsidRPr="00086624" w:rsidRDefault="00650A99" w:rsidP="00E31503">
      <w:pPr>
        <w:pStyle w:val="Notedebasdepage"/>
        <w:rPr>
          <w:lang w:val="en-US"/>
        </w:rPr>
      </w:pPr>
      <w:r>
        <w:tab/>
      </w:r>
      <w:r w:rsidRPr="006D5218">
        <w:rPr>
          <w:rStyle w:val="Appelnotedebasdep"/>
        </w:rPr>
        <w:footnoteRef/>
      </w:r>
      <w:r w:rsidRPr="00086624">
        <w:rPr>
          <w:lang w:val="en-US"/>
        </w:rPr>
        <w:tab/>
        <w:t>CERD/C/BEL/CO/16-19, par. 6.</w:t>
      </w:r>
    </w:p>
  </w:footnote>
  <w:footnote w:id="6">
    <w:p w14:paraId="08132B2F" w14:textId="77777777" w:rsidR="00650A99" w:rsidRPr="00086624" w:rsidRDefault="00650A99" w:rsidP="00E31503">
      <w:pPr>
        <w:pStyle w:val="Notedebasdepage"/>
        <w:rPr>
          <w:lang w:val="fr-CA"/>
        </w:rPr>
      </w:pPr>
      <w:r w:rsidRPr="00086624">
        <w:rPr>
          <w:lang w:val="en-US"/>
        </w:rPr>
        <w:tab/>
      </w:r>
      <w:r w:rsidRPr="006D5218">
        <w:rPr>
          <w:rStyle w:val="Appelnotedebasdep"/>
        </w:rPr>
        <w:footnoteRef/>
      </w:r>
      <w:r>
        <w:tab/>
        <w:t xml:space="preserve">A/HRC/42/59/Add.1, par. 27. </w:t>
      </w:r>
    </w:p>
  </w:footnote>
  <w:footnote w:id="7">
    <w:p w14:paraId="626C571B" w14:textId="77777777" w:rsidR="00650A99" w:rsidRPr="00086624" w:rsidRDefault="00650A99" w:rsidP="00E31503">
      <w:pPr>
        <w:pStyle w:val="Notedebasdepage"/>
        <w:rPr>
          <w:lang w:val="fr-CA"/>
        </w:rPr>
      </w:pPr>
      <w:r>
        <w:tab/>
      </w:r>
      <w:r w:rsidRPr="006D5218">
        <w:rPr>
          <w:rStyle w:val="Appelnotedebasdep"/>
        </w:rPr>
        <w:footnoteRef/>
      </w:r>
      <w:r>
        <w:tab/>
      </w:r>
      <w:r w:rsidRPr="00086624">
        <w:t>CERD/C/2007/1</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AD4644" w14:textId="5AEDD4BF" w:rsidR="00650A99" w:rsidRPr="00F22197" w:rsidRDefault="0045359F">
    <w:pPr>
      <w:pStyle w:val="En-tte"/>
    </w:pPr>
    <w:r>
      <w:fldChar w:fldCharType="begin"/>
    </w:r>
    <w:r>
      <w:instrText xml:space="preserve"> TITLE  \* MERGEFORMAT </w:instrText>
    </w:r>
    <w:r>
      <w:fldChar w:fldCharType="separate"/>
    </w:r>
    <w:r>
      <w:t>CERD/C/BEL/CO/20-22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80B4D2" w14:textId="4A7DE7A9" w:rsidR="00650A99" w:rsidRPr="00F22197" w:rsidRDefault="0045359F" w:rsidP="00F22197">
    <w:pPr>
      <w:pStyle w:val="En-tte"/>
      <w:jc w:val="right"/>
    </w:pPr>
    <w:r>
      <w:fldChar w:fldCharType="begin"/>
    </w:r>
    <w:r>
      <w:instrText xml:space="preserve"> TITLE  \* MERGEFORMAT </w:instrText>
    </w:r>
    <w:r>
      <w:fldChar w:fldCharType="separate"/>
    </w:r>
    <w:r>
      <w:t>CERD/C/BEL/CO/20-22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B9327E"/>
    <w:multiLevelType w:val="hybridMultilevel"/>
    <w:tmpl w:val="96DA9332"/>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1" w15:restartNumberingAfterBreak="0">
    <w:nsid w:val="033A745E"/>
    <w:multiLevelType w:val="hybridMultilevel"/>
    <w:tmpl w:val="F378F286"/>
    <w:lvl w:ilvl="0" w:tplc="A90EE9FA">
      <w:start w:val="1"/>
      <w:numFmt w:val="lowerLetter"/>
      <w:lvlText w:val="%1)"/>
      <w:lvlJc w:val="left"/>
      <w:pPr>
        <w:ind w:left="1854" w:hanging="360"/>
      </w:pPr>
      <w:rPr>
        <w:b/>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2" w15:restartNumberingAfterBreak="0">
    <w:nsid w:val="0807200F"/>
    <w:multiLevelType w:val="hybridMultilevel"/>
    <w:tmpl w:val="D01AEA84"/>
    <w:lvl w:ilvl="0" w:tplc="6792CFC4">
      <w:start w:val="1"/>
      <w:numFmt w:val="lowerLetter"/>
      <w:lvlText w:val="%1)"/>
      <w:lvlJc w:val="left"/>
      <w:pPr>
        <w:ind w:left="1854" w:hanging="360"/>
      </w:pPr>
      <w:rPr>
        <w:b/>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3" w15:restartNumberingAfterBreak="0">
    <w:nsid w:val="09F82676"/>
    <w:multiLevelType w:val="hybridMultilevel"/>
    <w:tmpl w:val="2B9EBF7A"/>
    <w:lvl w:ilvl="0" w:tplc="890863E2">
      <w:numFmt w:val="bullet"/>
      <w:lvlText w:val="-"/>
      <w:lvlJc w:val="left"/>
      <w:pPr>
        <w:ind w:left="1494" w:hanging="360"/>
      </w:pPr>
      <w:rPr>
        <w:rFonts w:ascii="Times New Roman" w:eastAsiaTheme="minorHAnsi"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4" w15:restartNumberingAfterBreak="0">
    <w:nsid w:val="0D954887"/>
    <w:multiLevelType w:val="hybridMultilevel"/>
    <w:tmpl w:val="B34CE6D4"/>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15:restartNumberingAfterBreak="0">
    <w:nsid w:val="117D09E2"/>
    <w:multiLevelType w:val="hybridMultilevel"/>
    <w:tmpl w:val="AE64BAE0"/>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6" w15:restartNumberingAfterBreak="0">
    <w:nsid w:val="14832BED"/>
    <w:multiLevelType w:val="hybridMultilevel"/>
    <w:tmpl w:val="DEE6C7EC"/>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7" w15:restartNumberingAfterBreak="0">
    <w:nsid w:val="14D8452D"/>
    <w:multiLevelType w:val="hybridMultilevel"/>
    <w:tmpl w:val="3AFE90FE"/>
    <w:lvl w:ilvl="0" w:tplc="08090017">
      <w:start w:val="1"/>
      <w:numFmt w:val="lowerLetter"/>
      <w:lvlText w:val="%1)"/>
      <w:lvlJc w:val="left"/>
      <w:pPr>
        <w:ind w:left="1904" w:hanging="360"/>
      </w:pPr>
    </w:lvl>
    <w:lvl w:ilvl="1" w:tplc="08090019" w:tentative="1">
      <w:start w:val="1"/>
      <w:numFmt w:val="lowerLetter"/>
      <w:lvlText w:val="%2."/>
      <w:lvlJc w:val="left"/>
      <w:pPr>
        <w:ind w:left="2624" w:hanging="360"/>
      </w:pPr>
    </w:lvl>
    <w:lvl w:ilvl="2" w:tplc="0809001B" w:tentative="1">
      <w:start w:val="1"/>
      <w:numFmt w:val="lowerRoman"/>
      <w:lvlText w:val="%3."/>
      <w:lvlJc w:val="right"/>
      <w:pPr>
        <w:ind w:left="3344" w:hanging="180"/>
      </w:pPr>
    </w:lvl>
    <w:lvl w:ilvl="3" w:tplc="0809000F" w:tentative="1">
      <w:start w:val="1"/>
      <w:numFmt w:val="decimal"/>
      <w:lvlText w:val="%4."/>
      <w:lvlJc w:val="left"/>
      <w:pPr>
        <w:ind w:left="4064" w:hanging="360"/>
      </w:pPr>
    </w:lvl>
    <w:lvl w:ilvl="4" w:tplc="08090019" w:tentative="1">
      <w:start w:val="1"/>
      <w:numFmt w:val="lowerLetter"/>
      <w:lvlText w:val="%5."/>
      <w:lvlJc w:val="left"/>
      <w:pPr>
        <w:ind w:left="4784" w:hanging="360"/>
      </w:pPr>
    </w:lvl>
    <w:lvl w:ilvl="5" w:tplc="0809001B" w:tentative="1">
      <w:start w:val="1"/>
      <w:numFmt w:val="lowerRoman"/>
      <w:lvlText w:val="%6."/>
      <w:lvlJc w:val="right"/>
      <w:pPr>
        <w:ind w:left="5504" w:hanging="180"/>
      </w:pPr>
    </w:lvl>
    <w:lvl w:ilvl="6" w:tplc="0809000F" w:tentative="1">
      <w:start w:val="1"/>
      <w:numFmt w:val="decimal"/>
      <w:lvlText w:val="%7."/>
      <w:lvlJc w:val="left"/>
      <w:pPr>
        <w:ind w:left="6224" w:hanging="360"/>
      </w:pPr>
    </w:lvl>
    <w:lvl w:ilvl="7" w:tplc="08090019" w:tentative="1">
      <w:start w:val="1"/>
      <w:numFmt w:val="lowerLetter"/>
      <w:lvlText w:val="%8."/>
      <w:lvlJc w:val="left"/>
      <w:pPr>
        <w:ind w:left="6944" w:hanging="360"/>
      </w:pPr>
    </w:lvl>
    <w:lvl w:ilvl="8" w:tplc="0809001B" w:tentative="1">
      <w:start w:val="1"/>
      <w:numFmt w:val="lowerRoman"/>
      <w:lvlText w:val="%9."/>
      <w:lvlJc w:val="right"/>
      <w:pPr>
        <w:ind w:left="7664" w:hanging="180"/>
      </w:pPr>
    </w:lvl>
  </w:abstractNum>
  <w:abstractNum w:abstractNumId="18" w15:restartNumberingAfterBreak="0">
    <w:nsid w:val="1AF14822"/>
    <w:multiLevelType w:val="hybridMultilevel"/>
    <w:tmpl w:val="02A4976A"/>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9" w15:restartNumberingAfterBreak="0">
    <w:nsid w:val="1F2335E2"/>
    <w:multiLevelType w:val="hybridMultilevel"/>
    <w:tmpl w:val="B40A68B0"/>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0" w15:restartNumberingAfterBreak="0">
    <w:nsid w:val="1F426EE1"/>
    <w:multiLevelType w:val="hybridMultilevel"/>
    <w:tmpl w:val="E0BE584A"/>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1" w15:restartNumberingAfterBreak="0">
    <w:nsid w:val="23923E87"/>
    <w:multiLevelType w:val="hybridMultilevel"/>
    <w:tmpl w:val="FCD4E88A"/>
    <w:lvl w:ilvl="0" w:tplc="B4081B68">
      <w:start w:val="1"/>
      <w:numFmt w:val="decimal"/>
      <w:lvlText w:val="%1."/>
      <w:lvlJc w:val="left"/>
      <w:pPr>
        <w:ind w:left="2629" w:hanging="360"/>
      </w:pPr>
      <w:rPr>
        <w:b w:val="0"/>
        <w:lang w:val="fr-FR"/>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2" w15:restartNumberingAfterBreak="0">
    <w:nsid w:val="25695F9F"/>
    <w:multiLevelType w:val="hybridMultilevel"/>
    <w:tmpl w:val="AFE0995E"/>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3" w15:restartNumberingAfterBreak="0">
    <w:nsid w:val="32ED7E37"/>
    <w:multiLevelType w:val="hybridMultilevel"/>
    <w:tmpl w:val="B14E8D0A"/>
    <w:lvl w:ilvl="0" w:tplc="403C8DEA">
      <w:start w:val="1"/>
      <w:numFmt w:val="lowerLetter"/>
      <w:lvlText w:val="%1)"/>
      <w:lvlJc w:val="left"/>
      <w:pPr>
        <w:ind w:left="1854" w:hanging="360"/>
      </w:pPr>
      <w:rPr>
        <w:b/>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4" w15:restartNumberingAfterBreak="0">
    <w:nsid w:val="35011E9A"/>
    <w:multiLevelType w:val="hybridMultilevel"/>
    <w:tmpl w:val="E864C734"/>
    <w:lvl w:ilvl="0" w:tplc="A9F22D22">
      <w:start w:val="1"/>
      <w:numFmt w:val="lowerLetter"/>
      <w:lvlText w:val="%1)"/>
      <w:lvlJc w:val="left"/>
      <w:pPr>
        <w:ind w:left="1854" w:hanging="360"/>
      </w:pPr>
      <w:rPr>
        <w:b/>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5" w15:restartNumberingAfterBreak="0">
    <w:nsid w:val="3ACF4EB2"/>
    <w:multiLevelType w:val="hybridMultilevel"/>
    <w:tmpl w:val="6D84B90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6" w15:restartNumberingAfterBreak="0">
    <w:nsid w:val="3D227340"/>
    <w:multiLevelType w:val="hybridMultilevel"/>
    <w:tmpl w:val="49CEF47E"/>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7" w15:restartNumberingAfterBreak="0">
    <w:nsid w:val="3ECE2409"/>
    <w:multiLevelType w:val="hybridMultilevel"/>
    <w:tmpl w:val="2CC4B274"/>
    <w:lvl w:ilvl="0" w:tplc="08090017">
      <w:start w:val="1"/>
      <w:numFmt w:val="lowerLetter"/>
      <w:lvlText w:val="%1)"/>
      <w:lvlJc w:val="left"/>
      <w:pPr>
        <w:ind w:left="2061" w:hanging="360"/>
      </w:p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28" w15:restartNumberingAfterBreak="0">
    <w:nsid w:val="3ED65FB6"/>
    <w:multiLevelType w:val="hybridMultilevel"/>
    <w:tmpl w:val="C99E642E"/>
    <w:lvl w:ilvl="0" w:tplc="B686AD44">
      <w:start w:val="1"/>
      <w:numFmt w:val="lowerLetter"/>
      <w:lvlText w:val="%1)"/>
      <w:lvlJc w:val="left"/>
      <w:pPr>
        <w:ind w:left="1854" w:hanging="360"/>
      </w:pPr>
      <w:rPr>
        <w:b/>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9" w15:restartNumberingAfterBreak="0">
    <w:nsid w:val="57E1104B"/>
    <w:multiLevelType w:val="hybridMultilevel"/>
    <w:tmpl w:val="8C065322"/>
    <w:lvl w:ilvl="0" w:tplc="08090017">
      <w:start w:val="1"/>
      <w:numFmt w:val="lowerLetter"/>
      <w:lvlText w:val="%1)"/>
      <w:lvlJc w:val="left"/>
      <w:pPr>
        <w:ind w:left="1494" w:hanging="360"/>
      </w:p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0" w15:restartNumberingAfterBreak="0">
    <w:nsid w:val="581D0B22"/>
    <w:multiLevelType w:val="hybridMultilevel"/>
    <w:tmpl w:val="6C9E6FF6"/>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1" w15:restartNumberingAfterBreak="0">
    <w:nsid w:val="58311FD3"/>
    <w:multiLevelType w:val="hybridMultilevel"/>
    <w:tmpl w:val="31A4D03C"/>
    <w:lvl w:ilvl="0" w:tplc="08090017">
      <w:start w:val="1"/>
      <w:numFmt w:val="lowerLetter"/>
      <w:lvlText w:val="%1)"/>
      <w:lvlJc w:val="left"/>
      <w:pPr>
        <w:ind w:left="1907" w:hanging="360"/>
      </w:pPr>
    </w:lvl>
    <w:lvl w:ilvl="1" w:tplc="08090019" w:tentative="1">
      <w:start w:val="1"/>
      <w:numFmt w:val="lowerLetter"/>
      <w:lvlText w:val="%2."/>
      <w:lvlJc w:val="left"/>
      <w:pPr>
        <w:ind w:left="2627" w:hanging="360"/>
      </w:pPr>
    </w:lvl>
    <w:lvl w:ilvl="2" w:tplc="0809001B" w:tentative="1">
      <w:start w:val="1"/>
      <w:numFmt w:val="lowerRoman"/>
      <w:lvlText w:val="%3."/>
      <w:lvlJc w:val="right"/>
      <w:pPr>
        <w:ind w:left="3347" w:hanging="180"/>
      </w:pPr>
    </w:lvl>
    <w:lvl w:ilvl="3" w:tplc="0809000F" w:tentative="1">
      <w:start w:val="1"/>
      <w:numFmt w:val="decimal"/>
      <w:lvlText w:val="%4."/>
      <w:lvlJc w:val="left"/>
      <w:pPr>
        <w:ind w:left="4067" w:hanging="360"/>
      </w:pPr>
    </w:lvl>
    <w:lvl w:ilvl="4" w:tplc="08090019" w:tentative="1">
      <w:start w:val="1"/>
      <w:numFmt w:val="lowerLetter"/>
      <w:lvlText w:val="%5."/>
      <w:lvlJc w:val="left"/>
      <w:pPr>
        <w:ind w:left="4787" w:hanging="360"/>
      </w:pPr>
    </w:lvl>
    <w:lvl w:ilvl="5" w:tplc="0809001B" w:tentative="1">
      <w:start w:val="1"/>
      <w:numFmt w:val="lowerRoman"/>
      <w:lvlText w:val="%6."/>
      <w:lvlJc w:val="right"/>
      <w:pPr>
        <w:ind w:left="5507" w:hanging="180"/>
      </w:pPr>
    </w:lvl>
    <w:lvl w:ilvl="6" w:tplc="0809000F" w:tentative="1">
      <w:start w:val="1"/>
      <w:numFmt w:val="decimal"/>
      <w:lvlText w:val="%7."/>
      <w:lvlJc w:val="left"/>
      <w:pPr>
        <w:ind w:left="6227" w:hanging="360"/>
      </w:pPr>
    </w:lvl>
    <w:lvl w:ilvl="7" w:tplc="08090019" w:tentative="1">
      <w:start w:val="1"/>
      <w:numFmt w:val="lowerLetter"/>
      <w:lvlText w:val="%8."/>
      <w:lvlJc w:val="left"/>
      <w:pPr>
        <w:ind w:left="6947" w:hanging="360"/>
      </w:pPr>
    </w:lvl>
    <w:lvl w:ilvl="8" w:tplc="0809001B" w:tentative="1">
      <w:start w:val="1"/>
      <w:numFmt w:val="lowerRoman"/>
      <w:lvlText w:val="%9."/>
      <w:lvlJc w:val="right"/>
      <w:pPr>
        <w:ind w:left="7667" w:hanging="180"/>
      </w:pPr>
    </w:lvl>
  </w:abstractNum>
  <w:abstractNum w:abstractNumId="32" w15:restartNumberingAfterBreak="0">
    <w:nsid w:val="616245FE"/>
    <w:multiLevelType w:val="hybridMultilevel"/>
    <w:tmpl w:val="FCD4E88A"/>
    <w:lvl w:ilvl="0" w:tplc="B4081B68">
      <w:start w:val="1"/>
      <w:numFmt w:val="decimal"/>
      <w:lvlText w:val="%1."/>
      <w:lvlJc w:val="left"/>
      <w:pPr>
        <w:ind w:left="2629" w:hanging="360"/>
      </w:pPr>
      <w:rPr>
        <w:b w:val="0"/>
        <w:lang w:val="fr-FR"/>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3" w15:restartNumberingAfterBreak="0">
    <w:nsid w:val="62D012DC"/>
    <w:multiLevelType w:val="hybridMultilevel"/>
    <w:tmpl w:val="6220CA3A"/>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4" w15:restartNumberingAfterBreak="0">
    <w:nsid w:val="631614D3"/>
    <w:multiLevelType w:val="hybridMultilevel"/>
    <w:tmpl w:val="404E7942"/>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5" w15:restartNumberingAfterBreak="0">
    <w:nsid w:val="689E49A0"/>
    <w:multiLevelType w:val="hybridMultilevel"/>
    <w:tmpl w:val="608433B8"/>
    <w:lvl w:ilvl="0" w:tplc="7F4E3374">
      <w:start w:val="1"/>
      <w:numFmt w:val="lowerLetter"/>
      <w:lvlText w:val="%1)"/>
      <w:lvlJc w:val="left"/>
      <w:pPr>
        <w:ind w:left="2271" w:hanging="570"/>
      </w:pPr>
      <w:rPr>
        <w:rFonts w:hint="default"/>
        <w:color w:val="000000"/>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36" w15:restartNumberingAfterBreak="0">
    <w:nsid w:val="68AD07B2"/>
    <w:multiLevelType w:val="hybridMultilevel"/>
    <w:tmpl w:val="631A52E4"/>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7" w15:restartNumberingAfterBreak="0">
    <w:nsid w:val="70C16884"/>
    <w:multiLevelType w:val="hybridMultilevel"/>
    <w:tmpl w:val="BD3A11F2"/>
    <w:lvl w:ilvl="0" w:tplc="08090017">
      <w:start w:val="1"/>
      <w:numFmt w:val="lowerLetter"/>
      <w:lvlText w:val="%1)"/>
      <w:lvlJc w:val="left"/>
      <w:pPr>
        <w:ind w:left="2061" w:hanging="360"/>
      </w:p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38" w15:restartNumberingAfterBreak="0">
    <w:nsid w:val="710F2D9E"/>
    <w:multiLevelType w:val="hybridMultilevel"/>
    <w:tmpl w:val="A9025FEC"/>
    <w:lvl w:ilvl="0" w:tplc="4816DCAE">
      <w:start w:val="1"/>
      <w:numFmt w:val="lowerLetter"/>
      <w:lvlText w:val="%1)"/>
      <w:lvlJc w:val="left"/>
      <w:pPr>
        <w:ind w:left="2271" w:hanging="57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39" w15:restartNumberingAfterBreak="0">
    <w:nsid w:val="76F27F87"/>
    <w:multiLevelType w:val="hybridMultilevel"/>
    <w:tmpl w:val="65782A60"/>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0" w15:restartNumberingAfterBreak="0">
    <w:nsid w:val="7D87666D"/>
    <w:multiLevelType w:val="hybridMultilevel"/>
    <w:tmpl w:val="400C9DC0"/>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1" w15:restartNumberingAfterBreak="0">
    <w:nsid w:val="7F096188"/>
    <w:multiLevelType w:val="hybridMultilevel"/>
    <w:tmpl w:val="D3BED0F4"/>
    <w:lvl w:ilvl="0" w:tplc="08090017">
      <w:start w:val="1"/>
      <w:numFmt w:val="lowerLetter"/>
      <w:lvlText w:val="%1)"/>
      <w:lvlJc w:val="left"/>
      <w:pPr>
        <w:ind w:left="2061" w:hanging="360"/>
      </w:p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num w:numId="1">
    <w:abstractNumId w:val="36"/>
  </w:num>
  <w:num w:numId="2">
    <w:abstractNumId w:val="25"/>
  </w:num>
  <w:num w:numId="3">
    <w:abstractNumId w:val="14"/>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36"/>
  </w:num>
  <w:num w:numId="15">
    <w:abstractNumId w:val="25"/>
  </w:num>
  <w:num w:numId="16">
    <w:abstractNumId w:val="14"/>
  </w:num>
  <w:num w:numId="17">
    <w:abstractNumId w:val="32"/>
  </w:num>
  <w:num w:numId="18">
    <w:abstractNumId w:val="38"/>
  </w:num>
  <w:num w:numId="19">
    <w:abstractNumId w:val="35"/>
  </w:num>
  <w:num w:numId="20">
    <w:abstractNumId w:val="23"/>
  </w:num>
  <w:num w:numId="21">
    <w:abstractNumId w:val="12"/>
  </w:num>
  <w:num w:numId="22">
    <w:abstractNumId w:val="10"/>
  </w:num>
  <w:num w:numId="23">
    <w:abstractNumId w:val="24"/>
  </w:num>
  <w:num w:numId="24">
    <w:abstractNumId w:val="33"/>
  </w:num>
  <w:num w:numId="25">
    <w:abstractNumId w:val="30"/>
  </w:num>
  <w:num w:numId="26">
    <w:abstractNumId w:val="39"/>
  </w:num>
  <w:num w:numId="27">
    <w:abstractNumId w:val="28"/>
  </w:num>
  <w:num w:numId="28">
    <w:abstractNumId w:val="11"/>
  </w:num>
  <w:num w:numId="29">
    <w:abstractNumId w:val="29"/>
  </w:num>
  <w:num w:numId="30">
    <w:abstractNumId w:val="37"/>
  </w:num>
  <w:num w:numId="31">
    <w:abstractNumId w:val="16"/>
  </w:num>
  <w:num w:numId="32">
    <w:abstractNumId w:val="27"/>
  </w:num>
  <w:num w:numId="33">
    <w:abstractNumId w:val="19"/>
  </w:num>
  <w:num w:numId="34">
    <w:abstractNumId w:val="41"/>
  </w:num>
  <w:num w:numId="35">
    <w:abstractNumId w:val="40"/>
  </w:num>
  <w:num w:numId="36">
    <w:abstractNumId w:val="31"/>
  </w:num>
  <w:num w:numId="37">
    <w:abstractNumId w:val="34"/>
  </w:num>
  <w:num w:numId="38">
    <w:abstractNumId w:val="20"/>
  </w:num>
  <w:num w:numId="39">
    <w:abstractNumId w:val="13"/>
  </w:num>
  <w:num w:numId="40">
    <w:abstractNumId w:val="17"/>
  </w:num>
  <w:num w:numId="41">
    <w:abstractNumId w:val="15"/>
  </w:num>
  <w:num w:numId="42">
    <w:abstractNumId w:val="18"/>
  </w:num>
  <w:num w:numId="43">
    <w:abstractNumId w:val="26"/>
  </w:num>
  <w:num w:numId="44">
    <w:abstractNumId w:val="22"/>
  </w:num>
  <w:num w:numId="4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attachedTemplate r:id="rId1"/>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20E9"/>
    <w:rsid w:val="00017F94"/>
    <w:rsid w:val="00023842"/>
    <w:rsid w:val="000334F9"/>
    <w:rsid w:val="0007796D"/>
    <w:rsid w:val="00086EB0"/>
    <w:rsid w:val="000B7790"/>
    <w:rsid w:val="000D281A"/>
    <w:rsid w:val="00111F2F"/>
    <w:rsid w:val="0014365E"/>
    <w:rsid w:val="00166190"/>
    <w:rsid w:val="00176178"/>
    <w:rsid w:val="001F525A"/>
    <w:rsid w:val="00215BEC"/>
    <w:rsid w:val="00223272"/>
    <w:rsid w:val="0024779E"/>
    <w:rsid w:val="00262657"/>
    <w:rsid w:val="002B4A9C"/>
    <w:rsid w:val="0035616B"/>
    <w:rsid w:val="00397859"/>
    <w:rsid w:val="003E18C1"/>
    <w:rsid w:val="00446FE5"/>
    <w:rsid w:val="00452396"/>
    <w:rsid w:val="0045359F"/>
    <w:rsid w:val="004F094E"/>
    <w:rsid w:val="004F6D48"/>
    <w:rsid w:val="005505B7"/>
    <w:rsid w:val="00573BE5"/>
    <w:rsid w:val="00586ED3"/>
    <w:rsid w:val="00596AA9"/>
    <w:rsid w:val="00623CA8"/>
    <w:rsid w:val="00632436"/>
    <w:rsid w:val="00650A99"/>
    <w:rsid w:val="00696163"/>
    <w:rsid w:val="006E0451"/>
    <w:rsid w:val="007118D8"/>
    <w:rsid w:val="00712E6E"/>
    <w:rsid w:val="0071601D"/>
    <w:rsid w:val="007518F2"/>
    <w:rsid w:val="00780585"/>
    <w:rsid w:val="00783E9F"/>
    <w:rsid w:val="007A62E6"/>
    <w:rsid w:val="0080684C"/>
    <w:rsid w:val="00871C75"/>
    <w:rsid w:val="008776DC"/>
    <w:rsid w:val="00891642"/>
    <w:rsid w:val="008920E9"/>
    <w:rsid w:val="009103ED"/>
    <w:rsid w:val="00917D71"/>
    <w:rsid w:val="009705C8"/>
    <w:rsid w:val="00984B29"/>
    <w:rsid w:val="009D5F1A"/>
    <w:rsid w:val="00A174AB"/>
    <w:rsid w:val="00A30353"/>
    <w:rsid w:val="00AC3823"/>
    <w:rsid w:val="00AE323C"/>
    <w:rsid w:val="00B00181"/>
    <w:rsid w:val="00B15640"/>
    <w:rsid w:val="00B166CF"/>
    <w:rsid w:val="00B765F7"/>
    <w:rsid w:val="00BA0CA9"/>
    <w:rsid w:val="00BB0B66"/>
    <w:rsid w:val="00C02897"/>
    <w:rsid w:val="00C30D5A"/>
    <w:rsid w:val="00CA4521"/>
    <w:rsid w:val="00CC3D1C"/>
    <w:rsid w:val="00CE6A59"/>
    <w:rsid w:val="00CF530C"/>
    <w:rsid w:val="00D3439C"/>
    <w:rsid w:val="00D708BD"/>
    <w:rsid w:val="00DB1831"/>
    <w:rsid w:val="00DC0149"/>
    <w:rsid w:val="00DD3BFD"/>
    <w:rsid w:val="00DF6678"/>
    <w:rsid w:val="00E31503"/>
    <w:rsid w:val="00E449A2"/>
    <w:rsid w:val="00E84B03"/>
    <w:rsid w:val="00ED4A97"/>
    <w:rsid w:val="00F0639D"/>
    <w:rsid w:val="00F22197"/>
    <w:rsid w:val="00F23D8A"/>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E3899AE"/>
  <w15:docId w15:val="{89DDA9D6-8EA6-42F7-AAFF-35673A309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094E"/>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4F094E"/>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4F094E"/>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4F094E"/>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4F094E"/>
    <w:pPr>
      <w:spacing w:line="240" w:lineRule="auto"/>
    </w:pPr>
    <w:rPr>
      <w:sz w:val="16"/>
    </w:rPr>
  </w:style>
  <w:style w:type="character" w:customStyle="1" w:styleId="PieddepageCar">
    <w:name w:val="Pied de page Car"/>
    <w:aliases w:val="3_G Car"/>
    <w:basedOn w:val="Policepardfaut"/>
    <w:link w:val="Pieddepage"/>
    <w:rsid w:val="004F094E"/>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F094E"/>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4F094E"/>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4F094E"/>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link w:val="H23GChar"/>
    <w:qFormat/>
    <w:rsid w:val="004F094E"/>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4F094E"/>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4F094E"/>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4F094E"/>
    <w:pPr>
      <w:tabs>
        <w:tab w:val="left" w:pos="1701"/>
        <w:tab w:val="left" w:pos="2268"/>
        <w:tab w:val="left" w:pos="2835"/>
      </w:tabs>
      <w:spacing w:after="120"/>
      <w:ind w:left="1134" w:right="1134"/>
      <w:jc w:val="both"/>
    </w:pPr>
  </w:style>
  <w:style w:type="paragraph" w:customStyle="1" w:styleId="SLG">
    <w:name w:val="__S_L_G"/>
    <w:basedOn w:val="Normal"/>
    <w:next w:val="Normal"/>
    <w:rsid w:val="004F094E"/>
    <w:pPr>
      <w:keepNext/>
      <w:keepLines/>
      <w:spacing w:before="240" w:after="240" w:line="580" w:lineRule="exact"/>
      <w:ind w:left="1134" w:right="1134"/>
    </w:pPr>
    <w:rPr>
      <w:b/>
      <w:sz w:val="56"/>
    </w:rPr>
  </w:style>
  <w:style w:type="paragraph" w:customStyle="1" w:styleId="SMG">
    <w:name w:val="__S_M_G"/>
    <w:basedOn w:val="Normal"/>
    <w:next w:val="Normal"/>
    <w:rsid w:val="004F094E"/>
    <w:pPr>
      <w:keepNext/>
      <w:keepLines/>
      <w:spacing w:before="240" w:after="240" w:line="420" w:lineRule="exact"/>
      <w:ind w:left="1134" w:right="1134"/>
    </w:pPr>
    <w:rPr>
      <w:b/>
      <w:sz w:val="40"/>
    </w:rPr>
  </w:style>
  <w:style w:type="paragraph" w:customStyle="1" w:styleId="SSG">
    <w:name w:val="__S_S_G"/>
    <w:basedOn w:val="Normal"/>
    <w:next w:val="Normal"/>
    <w:rsid w:val="004F094E"/>
    <w:pPr>
      <w:keepNext/>
      <w:keepLines/>
      <w:spacing w:before="240" w:after="240" w:line="300" w:lineRule="exact"/>
      <w:ind w:left="1134" w:right="1134"/>
    </w:pPr>
    <w:rPr>
      <w:b/>
      <w:sz w:val="28"/>
    </w:rPr>
  </w:style>
  <w:style w:type="paragraph" w:customStyle="1" w:styleId="XLargeG">
    <w:name w:val="__XLarge_G"/>
    <w:basedOn w:val="Normal"/>
    <w:next w:val="Normal"/>
    <w:rsid w:val="004F094E"/>
    <w:pPr>
      <w:keepNext/>
      <w:keepLines/>
      <w:spacing w:before="240" w:after="240" w:line="420" w:lineRule="exact"/>
      <w:ind w:left="1134" w:right="1134"/>
    </w:pPr>
    <w:rPr>
      <w:b/>
      <w:sz w:val="40"/>
    </w:rPr>
  </w:style>
  <w:style w:type="paragraph" w:customStyle="1" w:styleId="Bullet1G">
    <w:name w:val="_Bullet 1_G"/>
    <w:basedOn w:val="Normal"/>
    <w:qFormat/>
    <w:rsid w:val="004F094E"/>
    <w:pPr>
      <w:numPr>
        <w:numId w:val="14"/>
      </w:numPr>
      <w:spacing w:after="120"/>
      <w:ind w:right="1134"/>
      <w:jc w:val="both"/>
    </w:pPr>
  </w:style>
  <w:style w:type="paragraph" w:customStyle="1" w:styleId="Bullet2G">
    <w:name w:val="_Bullet 2_G"/>
    <w:basedOn w:val="Normal"/>
    <w:qFormat/>
    <w:rsid w:val="004F094E"/>
    <w:pPr>
      <w:numPr>
        <w:numId w:val="15"/>
      </w:numPr>
      <w:spacing w:after="120"/>
      <w:ind w:right="1134"/>
      <w:jc w:val="both"/>
    </w:pPr>
  </w:style>
  <w:style w:type="paragraph" w:customStyle="1" w:styleId="ParNoG">
    <w:name w:val="_ParNo_G"/>
    <w:basedOn w:val="Normal"/>
    <w:qFormat/>
    <w:rsid w:val="004F094E"/>
    <w:pPr>
      <w:numPr>
        <w:numId w:val="16"/>
      </w:numPr>
      <w:tabs>
        <w:tab w:val="left" w:pos="1701"/>
        <w:tab w:val="left" w:pos="2268"/>
        <w:tab w:val="left" w:pos="2835"/>
      </w:tabs>
      <w:spacing w:after="120"/>
      <w:ind w:right="1134"/>
      <w:jc w:val="both"/>
    </w:pPr>
  </w:style>
  <w:style w:type="character" w:styleId="Appelnotedebasdep">
    <w:name w:val="footnote reference"/>
    <w:aliases w:val="4_G"/>
    <w:basedOn w:val="Policepardfaut"/>
    <w:qFormat/>
    <w:rsid w:val="004F094E"/>
    <w:rPr>
      <w:rFonts w:ascii="Times New Roman" w:hAnsi="Times New Roman"/>
      <w:sz w:val="18"/>
      <w:vertAlign w:val="superscript"/>
      <w:lang w:val="fr-CH"/>
    </w:rPr>
  </w:style>
  <w:style w:type="character" w:styleId="Appeldenotedefin">
    <w:name w:val="endnote reference"/>
    <w:aliases w:val="1_G"/>
    <w:basedOn w:val="Appelnotedebasdep"/>
    <w:qFormat/>
    <w:rsid w:val="004F094E"/>
    <w:rPr>
      <w:rFonts w:ascii="Times New Roman" w:hAnsi="Times New Roman"/>
      <w:sz w:val="18"/>
      <w:vertAlign w:val="superscript"/>
      <w:lang w:val="fr-CH"/>
    </w:rPr>
  </w:style>
  <w:style w:type="table" w:styleId="Grilledutableau">
    <w:name w:val="Table Grid"/>
    <w:basedOn w:val="TableauNormal"/>
    <w:rsid w:val="004F094E"/>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4F094E"/>
    <w:rPr>
      <w:color w:val="0000FF"/>
      <w:u w:val="none"/>
    </w:rPr>
  </w:style>
  <w:style w:type="character" w:styleId="Lienhypertextesuivivisit">
    <w:name w:val="FollowedHyperlink"/>
    <w:basedOn w:val="Policepardfaut"/>
    <w:unhideWhenUsed/>
    <w:rsid w:val="004F094E"/>
    <w:rPr>
      <w:color w:val="0000FF"/>
      <w:u w:val="none"/>
    </w:rPr>
  </w:style>
  <w:style w:type="paragraph" w:styleId="Notedebasdepage">
    <w:name w:val="footnote text"/>
    <w:aliases w:val="5_G"/>
    <w:basedOn w:val="Normal"/>
    <w:link w:val="NotedebasdepageCar"/>
    <w:qFormat/>
    <w:rsid w:val="004F094E"/>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4F094E"/>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4F094E"/>
  </w:style>
  <w:style w:type="character" w:customStyle="1" w:styleId="NotedefinCar">
    <w:name w:val="Note de fin Car"/>
    <w:aliases w:val="2_G Car"/>
    <w:basedOn w:val="Policepardfaut"/>
    <w:link w:val="Notedefin"/>
    <w:rsid w:val="004F094E"/>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4F094E"/>
    <w:rPr>
      <w:rFonts w:ascii="Times New Roman" w:hAnsi="Times New Roman"/>
      <w:b/>
      <w:sz w:val="18"/>
      <w:lang w:val="fr-CH"/>
    </w:rPr>
  </w:style>
  <w:style w:type="character" w:customStyle="1" w:styleId="Titre1Car">
    <w:name w:val="Titre 1 Car"/>
    <w:aliases w:val="Table_G Car"/>
    <w:basedOn w:val="Policepardfaut"/>
    <w:link w:val="Titre1"/>
    <w:rsid w:val="004F094E"/>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DC014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C0149"/>
    <w:rPr>
      <w:rFonts w:ascii="Tahoma" w:hAnsi="Tahoma" w:cs="Tahoma"/>
      <w:sz w:val="16"/>
      <w:szCs w:val="16"/>
      <w:lang w:eastAsia="en-US"/>
    </w:rPr>
  </w:style>
  <w:style w:type="character" w:customStyle="1" w:styleId="HChGChar">
    <w:name w:val="_ H _Ch_G Char"/>
    <w:link w:val="HChG"/>
    <w:rsid w:val="00780585"/>
    <w:rPr>
      <w:rFonts w:ascii="Times New Roman" w:eastAsiaTheme="minorHAnsi" w:hAnsi="Times New Roman" w:cs="Times New Roman"/>
      <w:b/>
      <w:sz w:val="28"/>
      <w:szCs w:val="20"/>
      <w:lang w:eastAsia="en-US"/>
    </w:rPr>
  </w:style>
  <w:style w:type="character" w:customStyle="1" w:styleId="SingleTxtGChar">
    <w:name w:val="_ Single Txt_G Char"/>
    <w:link w:val="SingleTxtG"/>
    <w:locked/>
    <w:rsid w:val="00780585"/>
    <w:rPr>
      <w:rFonts w:ascii="Times New Roman" w:eastAsiaTheme="minorHAnsi" w:hAnsi="Times New Roman" w:cs="Times New Roman"/>
      <w:sz w:val="20"/>
      <w:szCs w:val="20"/>
      <w:lang w:eastAsia="en-US"/>
    </w:rPr>
  </w:style>
  <w:style w:type="character" w:customStyle="1" w:styleId="H1GChar">
    <w:name w:val="_ H_1_G Char"/>
    <w:link w:val="H1G"/>
    <w:locked/>
    <w:rsid w:val="00E31503"/>
    <w:rPr>
      <w:rFonts w:ascii="Times New Roman" w:eastAsiaTheme="minorHAnsi" w:hAnsi="Times New Roman" w:cs="Times New Roman"/>
      <w:b/>
      <w:sz w:val="24"/>
      <w:szCs w:val="20"/>
      <w:lang w:eastAsia="en-US"/>
    </w:rPr>
  </w:style>
  <w:style w:type="character" w:customStyle="1" w:styleId="H23GChar">
    <w:name w:val="_ H_2/3_G Char"/>
    <w:link w:val="H23G"/>
    <w:locked/>
    <w:rsid w:val="00E31503"/>
    <w:rPr>
      <w:rFonts w:ascii="Times New Roman" w:eastAsiaTheme="minorHAnsi" w:hAnsi="Times New Roman" w:cs="Times New Roman"/>
      <w:b/>
      <w:sz w:val="20"/>
      <w:szCs w:val="20"/>
      <w:lang w:eastAsia="en-US"/>
    </w:rPr>
  </w:style>
  <w:style w:type="paragraph" w:styleId="Paragraphedeliste">
    <w:name w:val="List Paragraph"/>
    <w:basedOn w:val="Normal"/>
    <w:uiPriority w:val="34"/>
    <w:semiHidden/>
    <w:qFormat/>
    <w:rsid w:val="00E31503"/>
    <w:pPr>
      <w:ind w:left="720"/>
      <w:contextualSpacing/>
    </w:pPr>
  </w:style>
  <w:style w:type="paragraph" w:customStyle="1" w:styleId="Default">
    <w:name w:val="Default"/>
    <w:rsid w:val="00E31503"/>
    <w:pPr>
      <w:autoSpaceDE w:val="0"/>
      <w:autoSpaceDN w:val="0"/>
      <w:adjustRightInd w:val="0"/>
      <w:spacing w:after="0" w:line="240" w:lineRule="auto"/>
    </w:pPr>
    <w:rPr>
      <w:rFonts w:ascii="Times New Roman" w:eastAsiaTheme="minorHAnsi" w:hAnsi="Times New Roman" w:cs="Times New Roman"/>
      <w:color w:val="000000"/>
      <w:sz w:val="24"/>
      <w:szCs w:val="24"/>
      <w:lang w:val="en-GB" w:eastAsia="en-US"/>
    </w:rPr>
  </w:style>
  <w:style w:type="character" w:styleId="Marquedecommentaire">
    <w:name w:val="annotation reference"/>
    <w:basedOn w:val="Policepardfaut"/>
    <w:uiPriority w:val="99"/>
    <w:semiHidden/>
    <w:unhideWhenUsed/>
    <w:rsid w:val="00E31503"/>
    <w:rPr>
      <w:sz w:val="16"/>
      <w:szCs w:val="16"/>
    </w:rPr>
  </w:style>
  <w:style w:type="paragraph" w:styleId="Commentaire">
    <w:name w:val="annotation text"/>
    <w:basedOn w:val="Normal"/>
    <w:link w:val="CommentaireCar"/>
    <w:uiPriority w:val="99"/>
    <w:semiHidden/>
    <w:unhideWhenUsed/>
    <w:rsid w:val="00E31503"/>
    <w:pPr>
      <w:spacing w:line="240" w:lineRule="auto"/>
    </w:pPr>
  </w:style>
  <w:style w:type="character" w:customStyle="1" w:styleId="CommentaireCar">
    <w:name w:val="Commentaire Car"/>
    <w:basedOn w:val="Policepardfaut"/>
    <w:link w:val="Commentaire"/>
    <w:uiPriority w:val="99"/>
    <w:semiHidden/>
    <w:rsid w:val="00E31503"/>
    <w:rPr>
      <w:rFonts w:ascii="Times New Roman" w:eastAsiaTheme="minorHAnsi" w:hAnsi="Times New Roman" w:cs="Times New Roman"/>
      <w:sz w:val="20"/>
      <w:szCs w:val="20"/>
      <w:lang w:eastAsia="en-US"/>
    </w:rPr>
  </w:style>
  <w:style w:type="paragraph" w:styleId="Objetducommentaire">
    <w:name w:val="annotation subject"/>
    <w:basedOn w:val="Commentaire"/>
    <w:next w:val="Commentaire"/>
    <w:link w:val="ObjetducommentaireCar"/>
    <w:uiPriority w:val="99"/>
    <w:semiHidden/>
    <w:unhideWhenUsed/>
    <w:rsid w:val="00E31503"/>
    <w:rPr>
      <w:b/>
      <w:bCs/>
    </w:rPr>
  </w:style>
  <w:style w:type="character" w:customStyle="1" w:styleId="ObjetducommentaireCar">
    <w:name w:val="Objet du commentaire Car"/>
    <w:basedOn w:val="CommentaireCar"/>
    <w:link w:val="Objetducommentaire"/>
    <w:uiPriority w:val="99"/>
    <w:semiHidden/>
    <w:rsid w:val="00E31503"/>
    <w:rPr>
      <w:rFonts w:ascii="Times New Roman" w:eastAsiaTheme="minorHAnsi" w:hAnsi="Times New Roman" w:cs="Times New Roman"/>
      <w:b/>
      <w:bCs/>
      <w:sz w:val="20"/>
      <w:szCs w:val="20"/>
      <w:lang w:eastAsia="en-US"/>
    </w:rPr>
  </w:style>
  <w:style w:type="paragraph" w:styleId="Rvision">
    <w:name w:val="Revision"/>
    <w:hidden/>
    <w:uiPriority w:val="99"/>
    <w:semiHidden/>
    <w:rsid w:val="00E31503"/>
    <w:pPr>
      <w:spacing w:after="0" w:line="240" w:lineRule="auto"/>
    </w:pPr>
    <w:rPr>
      <w:rFonts w:ascii="Times New Roman" w:eastAsiaTheme="minorHAnsi" w:hAnsi="Times New Roman" w:cs="Times New Roman"/>
      <w:sz w:val="20"/>
      <w:szCs w:val="20"/>
      <w:lang w:eastAsia="en-US"/>
    </w:rPr>
  </w:style>
  <w:style w:type="character" w:customStyle="1" w:styleId="Mentionnonrsolue1">
    <w:name w:val="Mention non résolue1"/>
    <w:basedOn w:val="Policepardfaut"/>
    <w:uiPriority w:val="99"/>
    <w:semiHidden/>
    <w:unhideWhenUsed/>
    <w:rsid w:val="00E315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E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CERD.dotm</Template>
  <TotalTime>1</TotalTime>
  <Pages>9</Pages>
  <Words>4721</Words>
  <Characters>25971</Characters>
  <Application>Microsoft Office Word</Application>
  <DocSecurity>0</DocSecurity>
  <Lines>425</Lines>
  <Paragraphs>144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CERD/C/BEL/CO/20-22</vt:lpstr>
      <vt:lpstr>CERD/C/BEL/CO/20-22</vt:lpstr>
    </vt:vector>
  </TitlesOfParts>
  <Company>DCM</Company>
  <LinksUpToDate>false</LinksUpToDate>
  <CharactersWithSpaces>30548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CERD/C/BEL/CO/20-22</dc:title>
  <dc:subject/>
  <dc:creator>Christine CHAUTAGNAT</dc:creator>
  <cp:keywords/>
  <cp:lastModifiedBy>Maud Dariche</cp:lastModifiedBy>
  <cp:revision>3</cp:revision>
  <cp:lastPrinted>2021-05-21T14:17:00Z</cp:lastPrinted>
  <dcterms:created xsi:type="dcterms:W3CDTF">2021-05-21T14:17:00Z</dcterms:created>
  <dcterms:modified xsi:type="dcterms:W3CDTF">2021-05-21T14:17:00Z</dcterms:modified>
</cp:coreProperties>
</file>