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75C85" w:rsidRPr="00BA6590">
        <w:trPr>
          <w:cantSplit/>
          <w:trHeight w:hRule="exact" w:val="851"/>
        </w:trPr>
        <w:tc>
          <w:tcPr>
            <w:tcW w:w="1276" w:type="dxa"/>
            <w:tcBorders>
              <w:bottom w:val="single" w:sz="4" w:space="0" w:color="auto"/>
            </w:tcBorders>
            <w:vAlign w:val="bottom"/>
          </w:tcPr>
          <w:p w:rsidR="00575C85" w:rsidRPr="00BA6590" w:rsidRDefault="00575C85" w:rsidP="00C503E8">
            <w:pPr>
              <w:pStyle w:val="SingleTxtG"/>
              <w:ind w:left="0" w:right="0"/>
              <w:rPr>
                <w:lang w:val="en-GB"/>
              </w:rPr>
            </w:pPr>
          </w:p>
        </w:tc>
        <w:tc>
          <w:tcPr>
            <w:tcW w:w="2268" w:type="dxa"/>
            <w:tcBorders>
              <w:bottom w:val="single" w:sz="4" w:space="0" w:color="auto"/>
            </w:tcBorders>
            <w:vAlign w:val="bottom"/>
          </w:tcPr>
          <w:p w:rsidR="00575C85" w:rsidRPr="00BA6590" w:rsidRDefault="00575C85" w:rsidP="00575C85">
            <w:pPr>
              <w:spacing w:after="80" w:line="300" w:lineRule="exact"/>
              <w:rPr>
                <w:b/>
                <w:sz w:val="24"/>
                <w:szCs w:val="24"/>
                <w:lang w:val="en-GB"/>
              </w:rPr>
            </w:pPr>
            <w:r w:rsidRPr="00BA6590">
              <w:rPr>
                <w:sz w:val="28"/>
                <w:szCs w:val="28"/>
                <w:lang w:val="en-GB"/>
              </w:rPr>
              <w:t>United Nations</w:t>
            </w:r>
          </w:p>
        </w:tc>
        <w:tc>
          <w:tcPr>
            <w:tcW w:w="6095" w:type="dxa"/>
            <w:gridSpan w:val="2"/>
            <w:tcBorders>
              <w:bottom w:val="single" w:sz="4" w:space="0" w:color="auto"/>
            </w:tcBorders>
            <w:vAlign w:val="bottom"/>
          </w:tcPr>
          <w:p w:rsidR="00575C85" w:rsidRPr="00BA6590" w:rsidRDefault="00575C85" w:rsidP="00575C85">
            <w:pPr>
              <w:suppressAutoHyphens w:val="0"/>
              <w:spacing w:after="20"/>
              <w:jc w:val="right"/>
              <w:rPr>
                <w:lang w:val="en-GB"/>
              </w:rPr>
            </w:pPr>
            <w:r w:rsidRPr="00BA6590">
              <w:rPr>
                <w:sz w:val="40"/>
                <w:lang w:val="en-GB"/>
              </w:rPr>
              <w:t>CERD</w:t>
            </w:r>
            <w:r w:rsidRPr="00BA6590">
              <w:rPr>
                <w:lang w:val="en-GB"/>
              </w:rPr>
              <w:t>/C/BEL/16-19</w:t>
            </w:r>
          </w:p>
        </w:tc>
      </w:tr>
      <w:tr w:rsidR="00575C85" w:rsidRPr="00BA6590">
        <w:trPr>
          <w:cantSplit/>
          <w:trHeight w:hRule="exact" w:val="2835"/>
        </w:trPr>
        <w:tc>
          <w:tcPr>
            <w:tcW w:w="1276" w:type="dxa"/>
            <w:tcBorders>
              <w:top w:val="single" w:sz="4" w:space="0" w:color="auto"/>
              <w:bottom w:val="single" w:sz="12" w:space="0" w:color="auto"/>
            </w:tcBorders>
          </w:tcPr>
          <w:p w:rsidR="00575C85" w:rsidRPr="00BA6590" w:rsidRDefault="00575C85" w:rsidP="00575C85">
            <w:pPr>
              <w:spacing w:before="120"/>
              <w:jc w:val="center"/>
              <w:rPr>
                <w:lang w:val="en-GB"/>
              </w:rPr>
            </w:pPr>
            <w:r w:rsidRPr="00BA6590">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75C85" w:rsidRPr="00BA6590" w:rsidRDefault="00575C85" w:rsidP="00D66B01">
            <w:pPr>
              <w:spacing w:before="120" w:line="380" w:lineRule="exact"/>
              <w:rPr>
                <w:lang w:val="en-GB"/>
              </w:rPr>
            </w:pPr>
            <w:r w:rsidRPr="00BA6590">
              <w:rPr>
                <w:b/>
                <w:sz w:val="34"/>
                <w:szCs w:val="40"/>
                <w:lang w:val="en-GB"/>
              </w:rPr>
              <w:t>International Convention on</w:t>
            </w:r>
            <w:r w:rsidRPr="00BA6590">
              <w:rPr>
                <w:b/>
                <w:sz w:val="34"/>
                <w:szCs w:val="40"/>
                <w:lang w:val="en-GB"/>
              </w:rPr>
              <w:br/>
              <w:t>the Elimination of All Forms</w:t>
            </w:r>
            <w:r w:rsidRPr="00BA6590">
              <w:rPr>
                <w:b/>
                <w:sz w:val="34"/>
                <w:szCs w:val="40"/>
                <w:lang w:val="en-GB"/>
              </w:rPr>
              <w:br/>
              <w:t>of Racial Discrimination</w:t>
            </w:r>
          </w:p>
        </w:tc>
        <w:tc>
          <w:tcPr>
            <w:tcW w:w="2835" w:type="dxa"/>
            <w:tcBorders>
              <w:top w:val="single" w:sz="4" w:space="0" w:color="auto"/>
              <w:bottom w:val="single" w:sz="12" w:space="0" w:color="auto"/>
            </w:tcBorders>
          </w:tcPr>
          <w:p w:rsidR="00575C85" w:rsidRPr="00BA6590" w:rsidRDefault="00575C85" w:rsidP="00575C85">
            <w:pPr>
              <w:suppressAutoHyphens w:val="0"/>
              <w:spacing w:before="240" w:line="240" w:lineRule="exact"/>
              <w:rPr>
                <w:lang w:val="en-GB"/>
              </w:rPr>
            </w:pPr>
            <w:r w:rsidRPr="00BA6590">
              <w:rPr>
                <w:lang w:val="en-GB"/>
              </w:rPr>
              <w:t>Distr.: General</w:t>
            </w:r>
          </w:p>
          <w:p w:rsidR="00575C85" w:rsidRPr="00BA6590" w:rsidRDefault="006229D6" w:rsidP="00575C85">
            <w:pPr>
              <w:suppressAutoHyphens w:val="0"/>
              <w:rPr>
                <w:lang w:val="en-GB"/>
              </w:rPr>
            </w:pPr>
            <w:r w:rsidRPr="00BA6590">
              <w:rPr>
                <w:lang w:val="en-GB"/>
              </w:rPr>
              <w:t>27 May</w:t>
            </w:r>
            <w:r w:rsidR="00575C85" w:rsidRPr="00BA6590">
              <w:rPr>
                <w:lang w:val="en-GB"/>
              </w:rPr>
              <w:t xml:space="preserve"> 2013</w:t>
            </w:r>
          </w:p>
          <w:p w:rsidR="00575C85" w:rsidRPr="00BA6590" w:rsidRDefault="00575C85" w:rsidP="00575C85">
            <w:pPr>
              <w:suppressAutoHyphens w:val="0"/>
              <w:rPr>
                <w:lang w:val="en-GB"/>
              </w:rPr>
            </w:pPr>
            <w:r w:rsidRPr="00BA6590">
              <w:rPr>
                <w:lang w:val="en-GB"/>
              </w:rPr>
              <w:t>English</w:t>
            </w:r>
          </w:p>
          <w:p w:rsidR="00575C85" w:rsidRPr="00BA6590" w:rsidRDefault="00575C85" w:rsidP="00575C85">
            <w:pPr>
              <w:suppressAutoHyphens w:val="0"/>
              <w:rPr>
                <w:lang w:val="en-GB"/>
              </w:rPr>
            </w:pPr>
            <w:r w:rsidRPr="00BA6590">
              <w:rPr>
                <w:lang w:val="en-GB"/>
              </w:rPr>
              <w:t>Original: French</w:t>
            </w:r>
          </w:p>
        </w:tc>
      </w:tr>
    </w:tbl>
    <w:p w:rsidR="00575C85" w:rsidRPr="00BA6590" w:rsidRDefault="00575C85" w:rsidP="00575C85">
      <w:pPr>
        <w:spacing w:before="120"/>
        <w:rPr>
          <w:b/>
          <w:sz w:val="24"/>
          <w:lang w:val="en-GB"/>
        </w:rPr>
      </w:pPr>
      <w:r w:rsidRPr="00BA6590">
        <w:rPr>
          <w:b/>
          <w:sz w:val="24"/>
          <w:lang w:val="en-GB"/>
        </w:rPr>
        <w:t>Committee on the Elimination of Racial Discrimination</w:t>
      </w:r>
    </w:p>
    <w:p w:rsidR="00575C85" w:rsidRPr="00BA6590" w:rsidRDefault="00575C85" w:rsidP="00575C85">
      <w:pPr>
        <w:pStyle w:val="HMG"/>
        <w:rPr>
          <w:lang w:val="en-GB"/>
        </w:rPr>
      </w:pPr>
      <w:r w:rsidRPr="00BA6590">
        <w:rPr>
          <w:lang w:val="en-GB"/>
        </w:rPr>
        <w:tab/>
      </w:r>
      <w:r w:rsidRPr="00BA6590">
        <w:rPr>
          <w:lang w:val="en-GB"/>
        </w:rPr>
        <w:tab/>
        <w:t>Consideration of reports submitted by States parties under article 9 of the Convention</w:t>
      </w:r>
    </w:p>
    <w:p w:rsidR="00575C85" w:rsidRPr="00BA6590" w:rsidRDefault="00575C85" w:rsidP="00575C85">
      <w:pPr>
        <w:pStyle w:val="HChG"/>
        <w:rPr>
          <w:lang w:val="en-GB"/>
        </w:rPr>
      </w:pPr>
      <w:r w:rsidRPr="00BA6590">
        <w:rPr>
          <w:lang w:val="en-GB"/>
        </w:rPr>
        <w:tab/>
      </w:r>
      <w:r w:rsidRPr="00BA6590">
        <w:rPr>
          <w:lang w:val="en-GB"/>
        </w:rPr>
        <w:tab/>
        <w:t xml:space="preserve">Sixteenth to nineteenth periodic reports of States parties </w:t>
      </w:r>
      <w:r w:rsidR="00363A3C" w:rsidRPr="00BA6590">
        <w:rPr>
          <w:lang w:val="en-GB"/>
        </w:rPr>
        <w:br/>
      </w:r>
      <w:r w:rsidRPr="00BA6590">
        <w:rPr>
          <w:lang w:val="en-GB"/>
        </w:rPr>
        <w:t>due in 2012</w:t>
      </w:r>
    </w:p>
    <w:p w:rsidR="00575C85" w:rsidRPr="00BA6590" w:rsidRDefault="00575C85" w:rsidP="00575C85">
      <w:pPr>
        <w:pStyle w:val="HMG"/>
        <w:rPr>
          <w:b w:val="0"/>
          <w:sz w:val="20"/>
          <w:lang w:val="en-GB"/>
        </w:rPr>
      </w:pPr>
      <w:r w:rsidRPr="00BA6590">
        <w:rPr>
          <w:lang w:val="en-GB"/>
        </w:rPr>
        <w:tab/>
      </w:r>
      <w:r w:rsidRPr="00BA6590">
        <w:rPr>
          <w:lang w:val="en-GB"/>
        </w:rPr>
        <w:tab/>
        <w:t>Belgium</w:t>
      </w:r>
      <w:r w:rsidRPr="00BA6590">
        <w:rPr>
          <w:rStyle w:val="FootnoteReference"/>
          <w:b w:val="0"/>
          <w:sz w:val="20"/>
          <w:vertAlign w:val="baseline"/>
          <w:lang w:val="en-GB"/>
        </w:rPr>
        <w:footnoteReference w:customMarkFollows="1" w:id="2"/>
        <w:t>*</w:t>
      </w:r>
      <w:r w:rsidRPr="00BA6590">
        <w:rPr>
          <w:sz w:val="20"/>
          <w:lang w:val="en-GB"/>
        </w:rPr>
        <w:t>,</w:t>
      </w:r>
      <w:r w:rsidRPr="00BA6590">
        <w:rPr>
          <w:lang w:val="en-GB"/>
        </w:rPr>
        <w:t xml:space="preserve"> </w:t>
      </w:r>
      <w:r w:rsidRPr="00BA6590">
        <w:rPr>
          <w:rStyle w:val="FootnoteReference"/>
          <w:b w:val="0"/>
          <w:sz w:val="20"/>
          <w:vertAlign w:val="baseline"/>
          <w:lang w:val="en-GB"/>
        </w:rPr>
        <w:footnoteReference w:customMarkFollows="1" w:id="3"/>
        <w:t>**</w:t>
      </w:r>
    </w:p>
    <w:p w:rsidR="00575C85" w:rsidRPr="00BA6590" w:rsidRDefault="00575C85" w:rsidP="00575C85">
      <w:pPr>
        <w:pStyle w:val="SingleTxtG"/>
        <w:jc w:val="right"/>
        <w:rPr>
          <w:lang w:val="en-GB"/>
        </w:rPr>
      </w:pPr>
      <w:r w:rsidRPr="00BA6590">
        <w:rPr>
          <w:lang w:val="en-GB"/>
        </w:rPr>
        <w:t>[2 October 2012]</w:t>
      </w:r>
    </w:p>
    <w:p w:rsidR="00310300" w:rsidRPr="00BA6590" w:rsidRDefault="008E60A8" w:rsidP="00363A3C">
      <w:pPr>
        <w:spacing w:after="120"/>
        <w:rPr>
          <w:sz w:val="28"/>
          <w:lang w:val="en-GB"/>
        </w:rPr>
      </w:pPr>
      <w:r w:rsidRPr="00BA6590">
        <w:rPr>
          <w:lang w:val="en-GB"/>
        </w:rPr>
        <w:br w:type="page"/>
      </w:r>
      <w:r w:rsidR="004072A7" w:rsidRPr="00BA6590">
        <w:rPr>
          <w:sz w:val="28"/>
          <w:lang w:val="en-GB"/>
        </w:rPr>
        <w:t>Content</w:t>
      </w:r>
      <w:r w:rsidR="00310300" w:rsidRPr="00BA6590">
        <w:rPr>
          <w:sz w:val="28"/>
          <w:lang w:val="en-GB"/>
        </w:rPr>
        <w:t>s</w:t>
      </w:r>
    </w:p>
    <w:p w:rsidR="00310300" w:rsidRPr="00BA6590" w:rsidRDefault="001B0404" w:rsidP="00310300">
      <w:pPr>
        <w:tabs>
          <w:tab w:val="right" w:pos="8929"/>
          <w:tab w:val="right" w:pos="9638"/>
        </w:tabs>
        <w:spacing w:after="120"/>
        <w:ind w:left="283"/>
        <w:rPr>
          <w:lang w:val="en-GB"/>
        </w:rPr>
      </w:pPr>
      <w:r w:rsidRPr="00BA6590">
        <w:rPr>
          <w:i/>
          <w:sz w:val="18"/>
          <w:lang w:val="en-GB"/>
        </w:rPr>
        <w:tab/>
        <w:t>Paragraph</w:t>
      </w:r>
      <w:r w:rsidR="00310300" w:rsidRPr="00BA6590">
        <w:rPr>
          <w:i/>
          <w:sz w:val="18"/>
          <w:lang w:val="en-GB"/>
        </w:rPr>
        <w:tab/>
        <w:t>Page</w:t>
      </w:r>
    </w:p>
    <w:p w:rsidR="00EB6E2C" w:rsidRPr="00BA6590" w:rsidRDefault="00BD5996"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Pr="00BA6590">
        <w:rPr>
          <w:lang w:val="en-GB"/>
        </w:rPr>
        <w:tab/>
      </w:r>
      <w:r w:rsidR="00310300" w:rsidRPr="00BA6590">
        <w:rPr>
          <w:lang w:val="en-GB"/>
        </w:rPr>
        <w:t>Introduction</w:t>
      </w:r>
      <w:r w:rsidR="00310300" w:rsidRPr="00BA6590">
        <w:rPr>
          <w:lang w:val="en-GB"/>
        </w:rPr>
        <w:tab/>
      </w:r>
      <w:r w:rsidR="00310300" w:rsidRPr="00BA6590">
        <w:rPr>
          <w:lang w:val="en-GB"/>
        </w:rPr>
        <w:tab/>
        <w:t>1–</w:t>
      </w:r>
      <w:r w:rsidR="00437A11" w:rsidRPr="00BA6590">
        <w:rPr>
          <w:lang w:val="en-GB"/>
        </w:rPr>
        <w:t>10</w:t>
      </w:r>
      <w:r w:rsidR="00310300" w:rsidRPr="00BA6590">
        <w:rPr>
          <w:lang w:val="en-GB"/>
        </w:rPr>
        <w:tab/>
      </w:r>
      <w:r w:rsidR="00E17AD5">
        <w:rPr>
          <w:lang w:val="en-GB"/>
        </w:rPr>
        <w:t>4</w:t>
      </w:r>
    </w:p>
    <w:p w:rsidR="00EB6E2C" w:rsidRPr="00BA6590" w:rsidRDefault="00EB6E2C"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D31747" w:rsidRPr="00BA6590">
        <w:rPr>
          <w:lang w:val="en-GB"/>
        </w:rPr>
        <w:tab/>
      </w:r>
      <w:r w:rsidR="00437A11" w:rsidRPr="00BA6590">
        <w:rPr>
          <w:lang w:val="en-GB"/>
        </w:rPr>
        <w:t>Article 1</w:t>
      </w:r>
      <w:r w:rsidR="005A4280" w:rsidRPr="00BA6590">
        <w:rPr>
          <w:lang w:val="en-GB"/>
        </w:rPr>
        <w:t>: D</w:t>
      </w:r>
      <w:r w:rsidR="00EC1BD0" w:rsidRPr="00BA6590">
        <w:rPr>
          <w:lang w:val="en-GB"/>
        </w:rPr>
        <w:t>e</w:t>
      </w:r>
      <w:r w:rsidR="00437A11" w:rsidRPr="00BA6590">
        <w:rPr>
          <w:lang w:val="en-GB"/>
        </w:rPr>
        <w:t>finition</w:t>
      </w:r>
      <w:r w:rsidR="005A4280" w:rsidRPr="00BA6590">
        <w:rPr>
          <w:lang w:val="en-GB"/>
        </w:rPr>
        <w:t xml:space="preserve"> </w:t>
      </w:r>
      <w:r w:rsidR="00EC1BD0" w:rsidRPr="00BA6590">
        <w:rPr>
          <w:lang w:val="en-GB"/>
        </w:rPr>
        <w:t>of</w:t>
      </w:r>
      <w:r w:rsidR="00437A11" w:rsidRPr="00BA6590">
        <w:rPr>
          <w:lang w:val="en-GB"/>
        </w:rPr>
        <w:t xml:space="preserve"> discrimination</w:t>
      </w:r>
      <w:r w:rsidR="00310300" w:rsidRPr="00BA6590">
        <w:rPr>
          <w:lang w:val="en-GB"/>
        </w:rPr>
        <w:tab/>
      </w:r>
      <w:r w:rsidR="00310300" w:rsidRPr="00BA6590">
        <w:rPr>
          <w:lang w:val="en-GB"/>
        </w:rPr>
        <w:tab/>
      </w:r>
      <w:r w:rsidR="00F07915" w:rsidRPr="00BA6590">
        <w:rPr>
          <w:lang w:val="en-GB"/>
        </w:rPr>
        <w:t>11</w:t>
      </w:r>
      <w:r w:rsidR="00310300" w:rsidRPr="00BA6590">
        <w:rPr>
          <w:lang w:val="en-GB"/>
        </w:rPr>
        <w:t>–</w:t>
      </w:r>
      <w:r w:rsidR="00F07915" w:rsidRPr="00BA6590">
        <w:rPr>
          <w:lang w:val="en-GB"/>
        </w:rPr>
        <w:t>25</w:t>
      </w:r>
      <w:r w:rsidR="00F07915" w:rsidRPr="00BA6590">
        <w:rPr>
          <w:lang w:val="en-GB"/>
        </w:rPr>
        <w:tab/>
      </w:r>
      <w:r w:rsidR="00E17AD5">
        <w:rPr>
          <w:lang w:val="en-GB"/>
        </w:rPr>
        <w:t>5</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ind w:left="1559" w:hanging="1559"/>
        <w:rPr>
          <w:lang w:val="en-GB"/>
        </w:rPr>
      </w:pPr>
      <w:r w:rsidRPr="00BA6590">
        <w:rPr>
          <w:lang w:val="en-GB"/>
        </w:rPr>
        <w:tab/>
      </w:r>
      <w:r w:rsidR="00EB6E2C" w:rsidRPr="00BA6590">
        <w:rPr>
          <w:lang w:val="en-GB"/>
        </w:rPr>
        <w:tab/>
      </w:r>
      <w:r w:rsidR="00437A11" w:rsidRPr="00BA6590">
        <w:rPr>
          <w:lang w:val="en-GB"/>
        </w:rPr>
        <w:t>A.</w:t>
      </w:r>
      <w:r w:rsidR="00437A11" w:rsidRPr="00BA6590">
        <w:rPr>
          <w:lang w:val="en-GB"/>
        </w:rPr>
        <w:tab/>
      </w:r>
      <w:r w:rsidR="00EC1BD0" w:rsidRPr="00BA6590">
        <w:rPr>
          <w:lang w:val="en-GB"/>
        </w:rPr>
        <w:t xml:space="preserve">A new definition of discrimination, designed to create consistency and </w:t>
      </w:r>
      <w:r w:rsidRPr="00BA6590">
        <w:rPr>
          <w:lang w:val="en-GB"/>
        </w:rPr>
        <w:br/>
      </w:r>
      <w:r w:rsidR="00EC1BD0" w:rsidRPr="00BA6590">
        <w:rPr>
          <w:lang w:val="en-GB"/>
        </w:rPr>
        <w:t xml:space="preserve">homogeneity in the legislation establishing a federal framework in the area </w:t>
      </w:r>
      <w:r w:rsidRPr="00BA6590">
        <w:rPr>
          <w:lang w:val="en-GB"/>
        </w:rPr>
        <w:br/>
      </w:r>
      <w:r w:rsidR="00EC1BD0" w:rsidRPr="00BA6590">
        <w:rPr>
          <w:lang w:val="en-GB"/>
        </w:rPr>
        <w:t>of equal treatment</w:t>
      </w:r>
      <w:r w:rsidR="00EB6E2C" w:rsidRPr="00BA6590">
        <w:rPr>
          <w:lang w:val="en-GB"/>
        </w:rPr>
        <w:tab/>
      </w:r>
      <w:r w:rsidR="00437A11" w:rsidRPr="00BA6590">
        <w:rPr>
          <w:lang w:val="en-GB"/>
        </w:rPr>
        <w:tab/>
      </w:r>
      <w:r w:rsidR="00FE5C30" w:rsidRPr="00BA6590">
        <w:rPr>
          <w:lang w:val="en-GB"/>
        </w:rPr>
        <w:t>11</w:t>
      </w:r>
      <w:r w:rsidR="00437A11" w:rsidRPr="00BA6590">
        <w:rPr>
          <w:lang w:val="en-GB"/>
        </w:rPr>
        <w:t>–</w:t>
      </w:r>
      <w:r w:rsidR="00FE5C30" w:rsidRPr="00BA6590">
        <w:rPr>
          <w:lang w:val="en-GB"/>
        </w:rPr>
        <w:t>14</w:t>
      </w:r>
      <w:r w:rsidR="00437A11" w:rsidRPr="00BA6590">
        <w:rPr>
          <w:lang w:val="en-GB"/>
        </w:rPr>
        <w:tab/>
      </w:r>
      <w:r w:rsidR="00E17AD5">
        <w:rPr>
          <w:lang w:val="en-GB"/>
        </w:rPr>
        <w:t>5</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437A11" w:rsidRPr="00BA6590">
        <w:rPr>
          <w:lang w:val="en-GB"/>
        </w:rPr>
        <w:t>B.</w:t>
      </w:r>
      <w:r w:rsidR="00437A11" w:rsidRPr="00BA6590">
        <w:rPr>
          <w:lang w:val="en-GB"/>
        </w:rPr>
        <w:tab/>
      </w:r>
      <w:r w:rsidR="00EC1BD0" w:rsidRPr="00BA6590">
        <w:rPr>
          <w:lang w:val="en-GB"/>
        </w:rPr>
        <w:t>De</w:t>
      </w:r>
      <w:r w:rsidR="00F07915" w:rsidRPr="00BA6590">
        <w:rPr>
          <w:lang w:val="en-GB"/>
        </w:rPr>
        <w:t>finitions</w:t>
      </w:r>
      <w:r w:rsidR="00F07915" w:rsidRPr="00BA6590">
        <w:rPr>
          <w:lang w:val="en-GB"/>
        </w:rPr>
        <w:tab/>
      </w:r>
      <w:r w:rsidR="00F07915" w:rsidRPr="00BA6590">
        <w:rPr>
          <w:lang w:val="en-GB"/>
        </w:rPr>
        <w:tab/>
      </w:r>
      <w:r w:rsidR="00FE5C30" w:rsidRPr="00BA6590">
        <w:rPr>
          <w:lang w:val="en-GB"/>
        </w:rPr>
        <w:t>15–25</w:t>
      </w:r>
      <w:r w:rsidR="00FE5C30" w:rsidRPr="00BA6590">
        <w:rPr>
          <w:lang w:val="en-GB"/>
        </w:rPr>
        <w:tab/>
      </w:r>
      <w:r w:rsidR="00E17AD5">
        <w:rPr>
          <w:lang w:val="en-GB"/>
        </w:rPr>
        <w:t>6</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EC1BD0" w:rsidRPr="00BA6590">
        <w:rPr>
          <w:lang w:val="en-GB"/>
        </w:rPr>
        <w:t>Article 2: Policies to combat racism</w:t>
      </w:r>
      <w:r w:rsidR="00310300" w:rsidRPr="00BA6590">
        <w:rPr>
          <w:lang w:val="en-GB"/>
        </w:rPr>
        <w:tab/>
      </w:r>
      <w:r w:rsidR="00310300" w:rsidRPr="00BA6590">
        <w:rPr>
          <w:lang w:val="en-GB"/>
        </w:rPr>
        <w:tab/>
      </w:r>
      <w:r w:rsidR="008E6D3E" w:rsidRPr="00BA6590">
        <w:rPr>
          <w:lang w:val="en-GB"/>
        </w:rPr>
        <w:t>26</w:t>
      </w:r>
      <w:r w:rsidR="00310300" w:rsidRPr="00BA6590">
        <w:rPr>
          <w:lang w:val="en-GB"/>
        </w:rPr>
        <w:t>–</w:t>
      </w:r>
      <w:r w:rsidR="008E6D3E" w:rsidRPr="00BA6590">
        <w:rPr>
          <w:lang w:val="en-GB"/>
        </w:rPr>
        <w:t>125</w:t>
      </w:r>
      <w:r w:rsidR="00310300" w:rsidRPr="00BA6590">
        <w:rPr>
          <w:lang w:val="en-GB"/>
        </w:rPr>
        <w:tab/>
      </w:r>
      <w:r w:rsidR="00E17AD5">
        <w:rPr>
          <w:lang w:val="en-GB"/>
        </w:rPr>
        <w:t>7</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F07915" w:rsidRPr="00BA6590">
        <w:rPr>
          <w:lang w:val="en-GB"/>
        </w:rPr>
        <w:t>A.</w:t>
      </w:r>
      <w:r w:rsidR="00F07915" w:rsidRPr="00BA6590">
        <w:rPr>
          <w:lang w:val="en-GB"/>
        </w:rPr>
        <w:tab/>
      </w:r>
      <w:r w:rsidR="00EC1BD0" w:rsidRPr="00BA6590">
        <w:rPr>
          <w:lang w:val="en-GB"/>
        </w:rPr>
        <w:t>International commitments</w:t>
      </w:r>
      <w:r w:rsidR="008E6D3E" w:rsidRPr="00BA6590">
        <w:rPr>
          <w:lang w:val="en-GB"/>
        </w:rPr>
        <w:tab/>
      </w:r>
      <w:r w:rsidR="008E6D3E" w:rsidRPr="00BA6590">
        <w:rPr>
          <w:lang w:val="en-GB"/>
        </w:rPr>
        <w:tab/>
        <w:t>26–28</w:t>
      </w:r>
      <w:r w:rsidR="00310300" w:rsidRPr="00BA6590">
        <w:rPr>
          <w:lang w:val="en-GB"/>
        </w:rPr>
        <w:tab/>
      </w:r>
      <w:r w:rsidR="00E17AD5">
        <w:rPr>
          <w:lang w:val="en-GB"/>
        </w:rPr>
        <w:t>7</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F07915" w:rsidRPr="00BA6590">
        <w:rPr>
          <w:lang w:val="en-GB"/>
        </w:rPr>
        <w:t>B.</w:t>
      </w:r>
      <w:r w:rsidR="00F07915" w:rsidRPr="00BA6590">
        <w:rPr>
          <w:lang w:val="en-GB"/>
        </w:rPr>
        <w:tab/>
      </w:r>
      <w:r w:rsidR="00EC1BD0" w:rsidRPr="00BA6590">
        <w:rPr>
          <w:lang w:val="en-GB"/>
        </w:rPr>
        <w:t>Constitutional and legislative amendments and developments</w:t>
      </w:r>
      <w:r w:rsidR="00F07915" w:rsidRPr="00BA6590">
        <w:rPr>
          <w:lang w:val="en-GB"/>
        </w:rPr>
        <w:tab/>
      </w:r>
      <w:r w:rsidR="00F07915" w:rsidRPr="00BA6590">
        <w:rPr>
          <w:lang w:val="en-GB"/>
        </w:rPr>
        <w:tab/>
      </w:r>
      <w:r w:rsidR="00250402" w:rsidRPr="00BA6590">
        <w:rPr>
          <w:lang w:val="en-GB"/>
        </w:rPr>
        <w:t>2</w:t>
      </w:r>
      <w:r w:rsidR="008E6D3E" w:rsidRPr="00BA6590">
        <w:rPr>
          <w:lang w:val="en-GB"/>
        </w:rPr>
        <w:t>9</w:t>
      </w:r>
      <w:r w:rsidR="00250402" w:rsidRPr="00BA6590">
        <w:rPr>
          <w:lang w:val="en-GB"/>
        </w:rPr>
        <w:t>–</w:t>
      </w:r>
      <w:r w:rsidR="008E6D3E" w:rsidRPr="00BA6590">
        <w:rPr>
          <w:lang w:val="en-GB"/>
        </w:rPr>
        <w:t>42</w:t>
      </w:r>
      <w:r w:rsidR="00250402" w:rsidRPr="00BA6590">
        <w:rPr>
          <w:lang w:val="en-GB"/>
        </w:rPr>
        <w:tab/>
      </w:r>
      <w:r w:rsidR="00E6208B">
        <w:rPr>
          <w:lang w:val="en-GB"/>
        </w:rPr>
        <w:t>8</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ind w:left="1984" w:hanging="1984"/>
        <w:rPr>
          <w:lang w:val="en-GB"/>
        </w:rPr>
      </w:pPr>
      <w:r w:rsidRPr="00BA6590">
        <w:rPr>
          <w:lang w:val="en-GB"/>
        </w:rPr>
        <w:tab/>
      </w:r>
      <w:r w:rsidR="00EB6E2C" w:rsidRPr="00BA6590">
        <w:rPr>
          <w:lang w:val="en-GB"/>
        </w:rPr>
        <w:tab/>
      </w:r>
      <w:r w:rsidR="00310300" w:rsidRPr="00BA6590">
        <w:rPr>
          <w:lang w:val="en-GB"/>
        </w:rPr>
        <w:tab/>
      </w:r>
      <w:r w:rsidR="00F07915" w:rsidRPr="00BA6590">
        <w:rPr>
          <w:lang w:val="en-GB"/>
        </w:rPr>
        <w:t>1</w:t>
      </w:r>
      <w:r w:rsidR="00310300" w:rsidRPr="00BA6590">
        <w:rPr>
          <w:lang w:val="en-GB"/>
        </w:rPr>
        <w:t>.</w:t>
      </w:r>
      <w:r w:rsidR="00310300" w:rsidRPr="00BA6590">
        <w:rPr>
          <w:lang w:val="en-GB"/>
        </w:rPr>
        <w:tab/>
      </w:r>
      <w:r w:rsidR="00EC1BD0" w:rsidRPr="00BA6590">
        <w:rPr>
          <w:lang w:val="en-GB"/>
        </w:rPr>
        <w:t xml:space="preserve">Strengthening federal, community and regional legislation on equal </w:t>
      </w:r>
      <w:r w:rsidRPr="00BA6590">
        <w:rPr>
          <w:lang w:val="en-GB"/>
        </w:rPr>
        <w:br/>
      </w:r>
      <w:r w:rsidR="00EC1BD0" w:rsidRPr="00BA6590">
        <w:rPr>
          <w:lang w:val="en-GB"/>
        </w:rPr>
        <w:t>treatment</w:t>
      </w:r>
      <w:r w:rsidRPr="00BA6590">
        <w:rPr>
          <w:lang w:val="en-GB"/>
        </w:rPr>
        <w:tab/>
      </w:r>
      <w:r w:rsidR="00EC1BD0" w:rsidRPr="00BA6590">
        <w:rPr>
          <w:lang w:val="en-GB"/>
        </w:rPr>
        <w:tab/>
      </w:r>
      <w:r w:rsidR="008E6D3E" w:rsidRPr="00BA6590">
        <w:rPr>
          <w:lang w:val="en-GB"/>
        </w:rPr>
        <w:t>29–35</w:t>
      </w:r>
      <w:r w:rsidR="00310300" w:rsidRPr="00BA6590">
        <w:rPr>
          <w:lang w:val="en-GB"/>
        </w:rPr>
        <w:tab/>
      </w:r>
      <w:r w:rsidR="00E6208B">
        <w:rPr>
          <w:lang w:val="en-GB"/>
        </w:rPr>
        <w:t>8</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310300" w:rsidRPr="00BA6590">
        <w:rPr>
          <w:lang w:val="en-GB"/>
        </w:rPr>
        <w:tab/>
      </w:r>
      <w:r w:rsidR="00F07915" w:rsidRPr="00BA6590">
        <w:rPr>
          <w:lang w:val="en-GB"/>
        </w:rPr>
        <w:t>2</w:t>
      </w:r>
      <w:r w:rsidR="00310300" w:rsidRPr="00BA6590">
        <w:rPr>
          <w:lang w:val="en-GB"/>
        </w:rPr>
        <w:t>.</w:t>
      </w:r>
      <w:r w:rsidR="00310300" w:rsidRPr="00BA6590">
        <w:rPr>
          <w:lang w:val="en-GB"/>
        </w:rPr>
        <w:tab/>
      </w:r>
      <w:r w:rsidR="00EC1BD0" w:rsidRPr="00BA6590">
        <w:rPr>
          <w:lang w:val="en-GB"/>
        </w:rPr>
        <w:t>Deprivation or suspension of certain civic and political rights</w:t>
      </w:r>
      <w:r w:rsidR="00310300" w:rsidRPr="00BA6590">
        <w:rPr>
          <w:lang w:val="en-GB"/>
        </w:rPr>
        <w:tab/>
      </w:r>
      <w:r w:rsidR="00310300" w:rsidRPr="00BA6590">
        <w:rPr>
          <w:lang w:val="en-GB"/>
        </w:rPr>
        <w:tab/>
      </w:r>
      <w:r w:rsidR="008E6D3E" w:rsidRPr="00BA6590">
        <w:rPr>
          <w:lang w:val="en-GB"/>
        </w:rPr>
        <w:t>36–39</w:t>
      </w:r>
      <w:r w:rsidR="00310300" w:rsidRPr="00BA6590">
        <w:rPr>
          <w:lang w:val="en-GB"/>
        </w:rPr>
        <w:tab/>
      </w:r>
      <w:r w:rsidR="00E6208B">
        <w:rPr>
          <w:lang w:val="en-GB"/>
        </w:rPr>
        <w:t>10</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310300" w:rsidRPr="00BA6590">
        <w:rPr>
          <w:lang w:val="en-GB"/>
        </w:rPr>
        <w:tab/>
      </w:r>
      <w:r w:rsidR="00F07915" w:rsidRPr="00BA6590">
        <w:rPr>
          <w:lang w:val="en-GB"/>
        </w:rPr>
        <w:t>3</w:t>
      </w:r>
      <w:r w:rsidR="00310300" w:rsidRPr="00BA6590">
        <w:rPr>
          <w:lang w:val="en-GB"/>
        </w:rPr>
        <w:t>.</w:t>
      </w:r>
      <w:r w:rsidR="00310300" w:rsidRPr="00BA6590">
        <w:rPr>
          <w:lang w:val="en-GB"/>
        </w:rPr>
        <w:tab/>
      </w:r>
      <w:r w:rsidR="00EC1BD0" w:rsidRPr="00BA6590">
        <w:rPr>
          <w:lang w:val="en-GB"/>
        </w:rPr>
        <w:t>Punishment of racist violence by courts of law</w:t>
      </w:r>
      <w:r w:rsidR="00310300" w:rsidRPr="00BA6590">
        <w:rPr>
          <w:lang w:val="en-GB"/>
        </w:rPr>
        <w:tab/>
      </w:r>
      <w:r w:rsidR="00310300" w:rsidRPr="00BA6590">
        <w:rPr>
          <w:lang w:val="en-GB"/>
        </w:rPr>
        <w:tab/>
      </w:r>
      <w:r w:rsidR="008C18F0" w:rsidRPr="00BA6590">
        <w:rPr>
          <w:lang w:val="en-GB"/>
        </w:rPr>
        <w:t>40</w:t>
      </w:r>
      <w:r w:rsidR="00310300" w:rsidRPr="00BA6590">
        <w:rPr>
          <w:lang w:val="en-GB"/>
        </w:rPr>
        <w:t>–</w:t>
      </w:r>
      <w:r w:rsidR="008C18F0" w:rsidRPr="00BA6590">
        <w:rPr>
          <w:lang w:val="en-GB"/>
        </w:rPr>
        <w:t>42</w:t>
      </w:r>
      <w:r w:rsidR="00310300" w:rsidRPr="00BA6590">
        <w:rPr>
          <w:lang w:val="en-GB"/>
        </w:rPr>
        <w:tab/>
      </w:r>
      <w:r w:rsidR="00E6208B">
        <w:rPr>
          <w:lang w:val="en-GB"/>
        </w:rPr>
        <w:t>11</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F07915" w:rsidRPr="00BA6590">
        <w:rPr>
          <w:lang w:val="en-GB"/>
        </w:rPr>
        <w:t>C</w:t>
      </w:r>
      <w:r w:rsidR="00310300" w:rsidRPr="00BA6590">
        <w:rPr>
          <w:lang w:val="en-GB"/>
        </w:rPr>
        <w:t>.</w:t>
      </w:r>
      <w:r w:rsidR="00310300" w:rsidRPr="00BA6590">
        <w:rPr>
          <w:lang w:val="en-GB"/>
        </w:rPr>
        <w:tab/>
      </w:r>
      <w:r w:rsidR="00EC1BD0" w:rsidRPr="00BA6590">
        <w:rPr>
          <w:lang w:val="en-GB"/>
        </w:rPr>
        <w:t>Other</w:t>
      </w:r>
      <w:r w:rsidR="00F07915" w:rsidRPr="00BA6590">
        <w:rPr>
          <w:lang w:val="en-GB"/>
        </w:rPr>
        <w:t xml:space="preserve"> me</w:t>
      </w:r>
      <w:r w:rsidR="00EC1BD0" w:rsidRPr="00BA6590">
        <w:rPr>
          <w:lang w:val="en-GB"/>
        </w:rPr>
        <w:t>a</w:t>
      </w:r>
      <w:r w:rsidR="00F07915" w:rsidRPr="00BA6590">
        <w:rPr>
          <w:lang w:val="en-GB"/>
        </w:rPr>
        <w:t>sures</w:t>
      </w:r>
      <w:r w:rsidR="00310300" w:rsidRPr="00BA6590">
        <w:rPr>
          <w:lang w:val="en-GB"/>
        </w:rPr>
        <w:tab/>
      </w:r>
      <w:r w:rsidR="00310300" w:rsidRPr="00BA6590">
        <w:rPr>
          <w:lang w:val="en-GB"/>
        </w:rPr>
        <w:tab/>
        <w:t>4</w:t>
      </w:r>
      <w:r w:rsidR="008C18F0" w:rsidRPr="00BA6590">
        <w:rPr>
          <w:lang w:val="en-GB"/>
        </w:rPr>
        <w:t>3</w:t>
      </w:r>
      <w:r w:rsidR="00310300" w:rsidRPr="00BA6590">
        <w:rPr>
          <w:lang w:val="en-GB"/>
        </w:rPr>
        <w:t>–</w:t>
      </w:r>
      <w:r w:rsidR="008C18F0" w:rsidRPr="00BA6590">
        <w:rPr>
          <w:lang w:val="en-GB"/>
        </w:rPr>
        <w:t>125</w:t>
      </w:r>
      <w:r w:rsidR="00310300" w:rsidRPr="00BA6590">
        <w:rPr>
          <w:lang w:val="en-GB"/>
        </w:rPr>
        <w:tab/>
      </w:r>
      <w:r w:rsidR="00E6208B">
        <w:rPr>
          <w:lang w:val="en-GB"/>
        </w:rPr>
        <w:t>11</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DF2507" w:rsidRPr="00BA6590">
        <w:rPr>
          <w:lang w:val="en-GB"/>
        </w:rPr>
        <w:tab/>
        <w:t>1.</w:t>
      </w:r>
      <w:r w:rsidR="00DF2507" w:rsidRPr="00BA6590">
        <w:rPr>
          <w:lang w:val="en-GB"/>
        </w:rPr>
        <w:tab/>
      </w:r>
      <w:r w:rsidR="00EC1BD0" w:rsidRPr="00BA6590">
        <w:rPr>
          <w:lang w:val="en-GB"/>
        </w:rPr>
        <w:t>Promoting awareness in target groups</w:t>
      </w:r>
      <w:r w:rsidR="00E6208B">
        <w:rPr>
          <w:lang w:val="en-GB"/>
        </w:rPr>
        <w:tab/>
      </w:r>
      <w:r w:rsidR="00E6208B">
        <w:rPr>
          <w:lang w:val="en-GB"/>
        </w:rPr>
        <w:tab/>
        <w:t>43–48</w:t>
      </w:r>
      <w:r w:rsidR="00E6208B">
        <w:rPr>
          <w:lang w:val="en-GB"/>
        </w:rPr>
        <w:tab/>
        <w:t>11</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DF2507" w:rsidRPr="00BA6590">
        <w:rPr>
          <w:lang w:val="en-GB"/>
        </w:rPr>
        <w:tab/>
        <w:t>2.</w:t>
      </w:r>
      <w:r w:rsidR="00DF2507" w:rsidRPr="00BA6590">
        <w:rPr>
          <w:lang w:val="en-GB"/>
        </w:rPr>
        <w:tab/>
      </w:r>
      <w:r w:rsidR="00EC1BD0" w:rsidRPr="00BA6590">
        <w:rPr>
          <w:lang w:val="en-GB"/>
        </w:rPr>
        <w:t>Programmes and policies for integration</w:t>
      </w:r>
      <w:r w:rsidR="00AD4A7E" w:rsidRPr="00BA6590">
        <w:rPr>
          <w:lang w:val="en-GB"/>
        </w:rPr>
        <w:tab/>
      </w:r>
      <w:r w:rsidR="00AD4A7E" w:rsidRPr="00BA6590">
        <w:rPr>
          <w:lang w:val="en-GB"/>
        </w:rPr>
        <w:tab/>
        <w:t>49–113</w:t>
      </w:r>
      <w:r w:rsidR="00AD4A7E" w:rsidRPr="00BA6590">
        <w:rPr>
          <w:lang w:val="en-GB"/>
        </w:rPr>
        <w:tab/>
        <w:t>1</w:t>
      </w:r>
      <w:r w:rsidR="00E6208B">
        <w:rPr>
          <w:lang w:val="en-GB"/>
        </w:rPr>
        <w:t>2</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DF2507" w:rsidRPr="00BA6590">
        <w:rPr>
          <w:lang w:val="en-GB"/>
        </w:rPr>
        <w:tab/>
        <w:t>3.</w:t>
      </w:r>
      <w:r w:rsidR="00DF2507" w:rsidRPr="00BA6590">
        <w:rPr>
          <w:lang w:val="en-GB"/>
        </w:rPr>
        <w:tab/>
      </w:r>
      <w:r w:rsidR="00EC1BD0" w:rsidRPr="00BA6590">
        <w:rPr>
          <w:lang w:val="en-GB"/>
        </w:rPr>
        <w:t>Combating racism on the Internet</w:t>
      </w:r>
      <w:r w:rsidR="00AD4A7E" w:rsidRPr="00BA6590">
        <w:rPr>
          <w:lang w:val="en-GB"/>
        </w:rPr>
        <w:tab/>
      </w:r>
      <w:r w:rsidR="00AD4A7E" w:rsidRPr="00BA6590">
        <w:rPr>
          <w:lang w:val="en-GB"/>
        </w:rPr>
        <w:tab/>
        <w:t>114–116</w:t>
      </w:r>
      <w:r w:rsidR="00AD4A7E" w:rsidRPr="00BA6590">
        <w:rPr>
          <w:lang w:val="en-GB"/>
        </w:rPr>
        <w:tab/>
        <w:t>2</w:t>
      </w:r>
      <w:r w:rsidR="00E6208B">
        <w:rPr>
          <w:lang w:val="en-GB"/>
        </w:rPr>
        <w:t>2</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DF2507" w:rsidRPr="00BA6590">
        <w:rPr>
          <w:lang w:val="en-GB"/>
        </w:rPr>
        <w:tab/>
        <w:t>4.</w:t>
      </w:r>
      <w:r w:rsidR="00DF2507" w:rsidRPr="00BA6590">
        <w:rPr>
          <w:lang w:val="en-GB"/>
        </w:rPr>
        <w:tab/>
      </w:r>
      <w:r w:rsidR="00EC1BD0" w:rsidRPr="00BA6590">
        <w:rPr>
          <w:lang w:val="en-GB"/>
        </w:rPr>
        <w:t>Combating anti-Semitism and Islamophobia</w:t>
      </w:r>
      <w:r w:rsidR="00AD4A7E" w:rsidRPr="00BA6590">
        <w:rPr>
          <w:lang w:val="en-GB"/>
        </w:rPr>
        <w:tab/>
      </w:r>
      <w:r w:rsidR="00AD4A7E" w:rsidRPr="00BA6590">
        <w:rPr>
          <w:lang w:val="en-GB"/>
        </w:rPr>
        <w:tab/>
        <w:t>117–</w:t>
      </w:r>
      <w:r w:rsidR="00DF6930" w:rsidRPr="00BA6590">
        <w:rPr>
          <w:lang w:val="en-GB"/>
        </w:rPr>
        <w:t>125</w:t>
      </w:r>
      <w:r w:rsidR="00E6208B">
        <w:rPr>
          <w:lang w:val="en-GB"/>
        </w:rPr>
        <w:tab/>
        <w:t>22</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310300" w:rsidRPr="00BA6590">
        <w:rPr>
          <w:lang w:val="en-GB"/>
        </w:rPr>
        <w:t xml:space="preserve">Article 3: </w:t>
      </w:r>
      <w:r w:rsidR="00EC1BD0" w:rsidRPr="00BA6590">
        <w:rPr>
          <w:lang w:val="en-GB"/>
        </w:rPr>
        <w:t>Condemnation of racial segregation and apartheid</w:t>
      </w:r>
      <w:r w:rsidR="00310300" w:rsidRPr="00BA6590">
        <w:rPr>
          <w:lang w:val="en-GB"/>
        </w:rPr>
        <w:tab/>
      </w:r>
      <w:r w:rsidR="00310300" w:rsidRPr="00BA6590">
        <w:rPr>
          <w:lang w:val="en-GB"/>
        </w:rPr>
        <w:tab/>
      </w:r>
      <w:r w:rsidR="008C18F0" w:rsidRPr="00BA6590">
        <w:rPr>
          <w:lang w:val="en-GB"/>
        </w:rPr>
        <w:t>126</w:t>
      </w:r>
      <w:r w:rsidR="00310300" w:rsidRPr="00BA6590">
        <w:rPr>
          <w:lang w:val="en-GB"/>
        </w:rPr>
        <w:t>–</w:t>
      </w:r>
      <w:r w:rsidR="008C18F0" w:rsidRPr="00BA6590">
        <w:rPr>
          <w:lang w:val="en-GB"/>
        </w:rPr>
        <w:t>129</w:t>
      </w:r>
      <w:r w:rsidR="00310300" w:rsidRPr="00BA6590">
        <w:rPr>
          <w:lang w:val="en-GB"/>
        </w:rPr>
        <w:tab/>
      </w:r>
      <w:r w:rsidR="008C18F0" w:rsidRPr="00BA6590">
        <w:rPr>
          <w:lang w:val="en-GB"/>
        </w:rPr>
        <w:t>2</w:t>
      </w:r>
      <w:r w:rsidR="00E6208B">
        <w:rPr>
          <w:lang w:val="en-GB"/>
        </w:rPr>
        <w:t>3</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310300" w:rsidRPr="00BA6590">
        <w:rPr>
          <w:lang w:val="en-GB"/>
        </w:rPr>
        <w:t xml:space="preserve">Article 4: </w:t>
      </w:r>
      <w:r w:rsidR="00EC1BD0" w:rsidRPr="00BA6590">
        <w:rPr>
          <w:lang w:val="en-GB"/>
        </w:rPr>
        <w:t>Condemnation of all racist propaganda and organizations</w:t>
      </w:r>
      <w:r w:rsidR="00310300" w:rsidRPr="00BA6590">
        <w:rPr>
          <w:lang w:val="en-GB"/>
        </w:rPr>
        <w:tab/>
      </w:r>
      <w:r w:rsidR="00310300" w:rsidRPr="00BA6590">
        <w:rPr>
          <w:lang w:val="en-GB"/>
        </w:rPr>
        <w:tab/>
      </w:r>
      <w:r w:rsidR="008C18F0" w:rsidRPr="00BA6590">
        <w:rPr>
          <w:lang w:val="en-GB"/>
        </w:rPr>
        <w:t>130</w:t>
      </w:r>
      <w:r w:rsidR="00310300" w:rsidRPr="00BA6590">
        <w:rPr>
          <w:lang w:val="en-GB"/>
        </w:rPr>
        <w:t>–</w:t>
      </w:r>
      <w:r w:rsidR="008C18F0" w:rsidRPr="00BA6590">
        <w:rPr>
          <w:lang w:val="en-GB"/>
        </w:rPr>
        <w:t>1</w:t>
      </w:r>
      <w:r w:rsidR="00310300" w:rsidRPr="00BA6590">
        <w:rPr>
          <w:lang w:val="en-GB"/>
        </w:rPr>
        <w:t>3</w:t>
      </w:r>
      <w:r w:rsidR="008C18F0" w:rsidRPr="00BA6590">
        <w:rPr>
          <w:lang w:val="en-GB"/>
        </w:rPr>
        <w:t>7</w:t>
      </w:r>
      <w:r w:rsidR="00310300" w:rsidRPr="00BA6590">
        <w:rPr>
          <w:lang w:val="en-GB"/>
        </w:rPr>
        <w:tab/>
      </w:r>
      <w:r w:rsidR="00E6208B">
        <w:rPr>
          <w:lang w:val="en-GB"/>
        </w:rPr>
        <w:t>24</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ind w:left="1559" w:hanging="1559"/>
        <w:rPr>
          <w:lang w:val="en-GB"/>
        </w:rPr>
      </w:pPr>
      <w:r w:rsidRPr="00BA6590">
        <w:rPr>
          <w:lang w:val="en-GB"/>
        </w:rPr>
        <w:tab/>
      </w:r>
      <w:r w:rsidR="00EB6E2C" w:rsidRPr="00BA6590">
        <w:rPr>
          <w:lang w:val="en-GB"/>
        </w:rPr>
        <w:tab/>
      </w:r>
      <w:r w:rsidR="00250402" w:rsidRPr="00BA6590">
        <w:rPr>
          <w:lang w:val="en-GB"/>
        </w:rPr>
        <w:t>A.</w:t>
      </w:r>
      <w:r w:rsidR="00250402" w:rsidRPr="00BA6590">
        <w:rPr>
          <w:lang w:val="en-GB"/>
        </w:rPr>
        <w:tab/>
      </w:r>
      <w:r w:rsidR="00EC1BD0" w:rsidRPr="00BA6590">
        <w:rPr>
          <w:lang w:val="en-GB"/>
        </w:rPr>
        <w:t xml:space="preserve">Prohibition of all organizations which promote and incite racial </w:t>
      </w:r>
      <w:r w:rsidRPr="00BA6590">
        <w:rPr>
          <w:lang w:val="en-GB"/>
        </w:rPr>
        <w:br/>
      </w:r>
      <w:r w:rsidR="00EC1BD0" w:rsidRPr="00BA6590">
        <w:rPr>
          <w:lang w:val="en-GB"/>
        </w:rPr>
        <w:t>discrimination</w:t>
      </w:r>
      <w:r w:rsidR="00250402" w:rsidRPr="00BA6590">
        <w:rPr>
          <w:lang w:val="en-GB"/>
        </w:rPr>
        <w:tab/>
      </w:r>
      <w:r w:rsidR="00EB6E2C" w:rsidRPr="00BA6590">
        <w:rPr>
          <w:lang w:val="en-GB"/>
        </w:rPr>
        <w:tab/>
      </w:r>
      <w:r w:rsidR="008C18F0" w:rsidRPr="00BA6590">
        <w:rPr>
          <w:lang w:val="en-GB"/>
        </w:rPr>
        <w:t>130</w:t>
      </w:r>
      <w:r w:rsidR="00250402" w:rsidRPr="00BA6590">
        <w:rPr>
          <w:lang w:val="en-GB"/>
        </w:rPr>
        <w:t>–</w:t>
      </w:r>
      <w:r w:rsidR="008C18F0" w:rsidRPr="00BA6590">
        <w:rPr>
          <w:lang w:val="en-GB"/>
        </w:rPr>
        <w:t>133</w:t>
      </w:r>
      <w:r w:rsidR="00250402" w:rsidRPr="00BA6590">
        <w:rPr>
          <w:lang w:val="en-GB"/>
        </w:rPr>
        <w:tab/>
      </w:r>
      <w:r w:rsidR="008C18F0" w:rsidRPr="00BA6590">
        <w:rPr>
          <w:lang w:val="en-GB"/>
        </w:rPr>
        <w:t>2</w:t>
      </w:r>
      <w:r w:rsidR="00E6208B">
        <w:rPr>
          <w:lang w:val="en-GB"/>
        </w:rPr>
        <w:t>4</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250402" w:rsidRPr="00BA6590">
        <w:rPr>
          <w:lang w:val="en-GB"/>
        </w:rPr>
        <w:t>B.</w:t>
      </w:r>
      <w:r w:rsidR="00250402" w:rsidRPr="00BA6590">
        <w:rPr>
          <w:lang w:val="en-GB"/>
        </w:rPr>
        <w:tab/>
      </w:r>
      <w:r w:rsidR="00EC1BD0" w:rsidRPr="00BA6590">
        <w:rPr>
          <w:lang w:val="en-GB"/>
        </w:rPr>
        <w:t>Funding of parties which threaten freedom – Vlaams Belang</w:t>
      </w:r>
      <w:r w:rsidR="00250402" w:rsidRPr="00BA6590">
        <w:rPr>
          <w:lang w:val="en-GB"/>
        </w:rPr>
        <w:tab/>
      </w:r>
      <w:r w:rsidR="00250402" w:rsidRPr="00BA6590">
        <w:rPr>
          <w:lang w:val="en-GB"/>
        </w:rPr>
        <w:tab/>
      </w:r>
      <w:r w:rsidR="008C18F0" w:rsidRPr="00BA6590">
        <w:rPr>
          <w:lang w:val="en-GB"/>
        </w:rPr>
        <w:t>134</w:t>
      </w:r>
      <w:r w:rsidR="00250402" w:rsidRPr="00BA6590">
        <w:rPr>
          <w:lang w:val="en-GB"/>
        </w:rPr>
        <w:t>–</w:t>
      </w:r>
      <w:r w:rsidR="008C18F0" w:rsidRPr="00BA6590">
        <w:rPr>
          <w:lang w:val="en-GB"/>
        </w:rPr>
        <w:t>137</w:t>
      </w:r>
      <w:r w:rsidR="00250402" w:rsidRPr="00BA6590">
        <w:rPr>
          <w:lang w:val="en-GB"/>
        </w:rPr>
        <w:tab/>
      </w:r>
      <w:r w:rsidR="008C18F0" w:rsidRPr="00BA6590">
        <w:rPr>
          <w:lang w:val="en-GB"/>
        </w:rPr>
        <w:t>2</w:t>
      </w:r>
      <w:r w:rsidR="00E6208B">
        <w:rPr>
          <w:lang w:val="en-GB"/>
        </w:rPr>
        <w:t>4</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47127A" w:rsidRPr="00BA6590">
        <w:rPr>
          <w:lang w:val="en-GB"/>
        </w:rPr>
        <w:t xml:space="preserve">Article 5: </w:t>
      </w:r>
      <w:r w:rsidR="00EC1BD0" w:rsidRPr="00BA6590">
        <w:rPr>
          <w:lang w:val="en-GB"/>
        </w:rPr>
        <w:t>Prohibition of discrimination in all its forms</w:t>
      </w:r>
      <w:r w:rsidR="0047127A" w:rsidRPr="00BA6590">
        <w:rPr>
          <w:lang w:val="en-GB"/>
        </w:rPr>
        <w:tab/>
      </w:r>
      <w:r w:rsidR="0047127A" w:rsidRPr="00BA6590">
        <w:rPr>
          <w:lang w:val="en-GB"/>
        </w:rPr>
        <w:tab/>
      </w:r>
      <w:r w:rsidR="008C18F0" w:rsidRPr="00BA6590">
        <w:rPr>
          <w:lang w:val="en-GB"/>
        </w:rPr>
        <w:t>138</w:t>
      </w:r>
      <w:r w:rsidR="0047127A" w:rsidRPr="00BA6590">
        <w:rPr>
          <w:lang w:val="en-GB"/>
        </w:rPr>
        <w:t>–</w:t>
      </w:r>
      <w:r w:rsidR="008C18F0" w:rsidRPr="00BA6590">
        <w:rPr>
          <w:lang w:val="en-GB"/>
        </w:rPr>
        <w:t>282</w:t>
      </w:r>
      <w:r w:rsidR="0047127A" w:rsidRPr="00BA6590">
        <w:rPr>
          <w:lang w:val="en-GB"/>
        </w:rPr>
        <w:tab/>
      </w:r>
      <w:r w:rsidR="008C18F0" w:rsidRPr="00BA6590">
        <w:rPr>
          <w:lang w:val="en-GB"/>
        </w:rPr>
        <w:t>2</w:t>
      </w:r>
      <w:r w:rsidR="00E6208B">
        <w:rPr>
          <w:lang w:val="en-GB"/>
        </w:rPr>
        <w:t>5</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250402" w:rsidRPr="00BA6590">
        <w:rPr>
          <w:lang w:val="en-GB"/>
        </w:rPr>
        <w:t>A.</w:t>
      </w:r>
      <w:r w:rsidR="00250402" w:rsidRPr="00BA6590">
        <w:rPr>
          <w:lang w:val="en-GB"/>
        </w:rPr>
        <w:tab/>
      </w:r>
      <w:r w:rsidR="00816D2A" w:rsidRPr="00BA6590">
        <w:rPr>
          <w:lang w:val="en-GB"/>
        </w:rPr>
        <w:t>Updating of provisions relating to certain foreigners living in Belgium</w:t>
      </w:r>
      <w:r w:rsidR="00250402" w:rsidRPr="00BA6590">
        <w:rPr>
          <w:lang w:val="en-GB"/>
        </w:rPr>
        <w:tab/>
      </w:r>
      <w:r w:rsidR="00250402" w:rsidRPr="00BA6590">
        <w:rPr>
          <w:lang w:val="en-GB"/>
        </w:rPr>
        <w:tab/>
      </w:r>
      <w:r w:rsidR="008C18F0" w:rsidRPr="00BA6590">
        <w:rPr>
          <w:lang w:val="en-GB"/>
        </w:rPr>
        <w:t>138</w:t>
      </w:r>
      <w:r w:rsidR="00250402" w:rsidRPr="00BA6590">
        <w:rPr>
          <w:lang w:val="en-GB"/>
        </w:rPr>
        <w:t>–1</w:t>
      </w:r>
      <w:r w:rsidR="008C18F0" w:rsidRPr="00BA6590">
        <w:rPr>
          <w:lang w:val="en-GB"/>
        </w:rPr>
        <w:t>89</w:t>
      </w:r>
      <w:r w:rsidR="00250402" w:rsidRPr="00BA6590">
        <w:rPr>
          <w:lang w:val="en-GB"/>
        </w:rPr>
        <w:tab/>
      </w:r>
      <w:r w:rsidR="008C18F0" w:rsidRPr="00BA6590">
        <w:rPr>
          <w:lang w:val="en-GB"/>
        </w:rPr>
        <w:t>2</w:t>
      </w:r>
      <w:r w:rsidR="00E6208B">
        <w:rPr>
          <w:lang w:val="en-GB"/>
        </w:rPr>
        <w:t>5</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730FD4" w:rsidRPr="00BA6590">
        <w:rPr>
          <w:lang w:val="en-GB"/>
        </w:rPr>
        <w:tab/>
        <w:t>1.</w:t>
      </w:r>
      <w:r w:rsidR="00730FD4" w:rsidRPr="00BA6590">
        <w:rPr>
          <w:lang w:val="en-GB"/>
        </w:rPr>
        <w:tab/>
      </w:r>
      <w:r w:rsidR="00816D2A" w:rsidRPr="00BA6590">
        <w:rPr>
          <w:lang w:val="en-GB"/>
        </w:rPr>
        <w:t>Procedure before the Aliens Litigation Council</w:t>
      </w:r>
      <w:r w:rsidR="00E6208B">
        <w:rPr>
          <w:lang w:val="en-GB"/>
        </w:rPr>
        <w:tab/>
      </w:r>
      <w:r w:rsidR="00E6208B">
        <w:rPr>
          <w:lang w:val="en-GB"/>
        </w:rPr>
        <w:tab/>
        <w:t>138–140</w:t>
      </w:r>
      <w:r w:rsidR="00E6208B">
        <w:rPr>
          <w:lang w:val="en-GB"/>
        </w:rPr>
        <w:tab/>
        <w:t>25</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816D2A" w:rsidRPr="00BA6590">
        <w:rPr>
          <w:lang w:val="en-GB"/>
        </w:rPr>
        <w:tab/>
        <w:t>2.</w:t>
      </w:r>
      <w:r w:rsidR="00816D2A" w:rsidRPr="00BA6590">
        <w:rPr>
          <w:lang w:val="en-GB"/>
        </w:rPr>
        <w:tab/>
        <w:t>Asylum</w:t>
      </w:r>
      <w:r w:rsidR="00E6208B">
        <w:rPr>
          <w:lang w:val="en-GB"/>
        </w:rPr>
        <w:tab/>
      </w:r>
      <w:r w:rsidR="00E6208B">
        <w:rPr>
          <w:lang w:val="en-GB"/>
        </w:rPr>
        <w:tab/>
        <w:t>141–147</w:t>
      </w:r>
      <w:r w:rsidR="00E6208B">
        <w:rPr>
          <w:lang w:val="en-GB"/>
        </w:rPr>
        <w:tab/>
        <w:t>26</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730FD4" w:rsidRPr="00BA6590">
        <w:rPr>
          <w:lang w:val="en-GB"/>
        </w:rPr>
        <w:tab/>
        <w:t>3.</w:t>
      </w:r>
      <w:r w:rsidR="00730FD4" w:rsidRPr="00BA6590">
        <w:rPr>
          <w:lang w:val="en-GB"/>
        </w:rPr>
        <w:tab/>
      </w:r>
      <w:r w:rsidR="00816D2A" w:rsidRPr="00BA6590">
        <w:rPr>
          <w:lang w:val="en-GB"/>
        </w:rPr>
        <w:t>Reception</w:t>
      </w:r>
      <w:r w:rsidR="00730FD4" w:rsidRPr="00BA6590">
        <w:rPr>
          <w:lang w:val="en-GB"/>
        </w:rPr>
        <w:tab/>
      </w:r>
      <w:r w:rsidR="00730FD4" w:rsidRPr="00BA6590">
        <w:rPr>
          <w:lang w:val="en-GB"/>
        </w:rPr>
        <w:tab/>
        <w:t>148–</w:t>
      </w:r>
      <w:r w:rsidR="00F50F30" w:rsidRPr="00BA6590">
        <w:rPr>
          <w:lang w:val="en-GB"/>
        </w:rPr>
        <w:t>151</w:t>
      </w:r>
      <w:r w:rsidR="00E6208B">
        <w:rPr>
          <w:lang w:val="en-GB"/>
        </w:rPr>
        <w:tab/>
        <w:t>27</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730FD4" w:rsidRPr="00BA6590">
        <w:rPr>
          <w:lang w:val="en-GB"/>
        </w:rPr>
        <w:tab/>
        <w:t>4.</w:t>
      </w:r>
      <w:r w:rsidR="00730FD4" w:rsidRPr="00BA6590">
        <w:rPr>
          <w:lang w:val="en-GB"/>
        </w:rPr>
        <w:tab/>
      </w:r>
      <w:r w:rsidR="00816D2A" w:rsidRPr="00BA6590">
        <w:rPr>
          <w:lang w:val="en-GB"/>
        </w:rPr>
        <w:t>Entry and residence</w:t>
      </w:r>
      <w:r w:rsidR="00730FD4" w:rsidRPr="00BA6590">
        <w:rPr>
          <w:lang w:val="en-GB"/>
        </w:rPr>
        <w:tab/>
      </w:r>
      <w:r w:rsidR="00730FD4" w:rsidRPr="00BA6590">
        <w:rPr>
          <w:lang w:val="en-GB"/>
        </w:rPr>
        <w:tab/>
      </w:r>
      <w:r w:rsidR="00F50F30" w:rsidRPr="00BA6590">
        <w:rPr>
          <w:lang w:val="en-GB"/>
        </w:rPr>
        <w:t>152</w:t>
      </w:r>
      <w:r w:rsidR="00730FD4" w:rsidRPr="00BA6590">
        <w:rPr>
          <w:lang w:val="en-GB"/>
        </w:rPr>
        <w:t>–</w:t>
      </w:r>
      <w:r w:rsidR="00F50F30" w:rsidRPr="00BA6590">
        <w:rPr>
          <w:lang w:val="en-GB"/>
        </w:rPr>
        <w:t>159</w:t>
      </w:r>
      <w:r w:rsidR="00F50F30" w:rsidRPr="00BA6590">
        <w:rPr>
          <w:lang w:val="en-GB"/>
        </w:rPr>
        <w:tab/>
      </w:r>
      <w:r w:rsidR="00E6208B">
        <w:rPr>
          <w:lang w:val="en-GB"/>
        </w:rPr>
        <w:t>28</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730FD4" w:rsidRPr="00BA6590">
        <w:rPr>
          <w:lang w:val="en-GB"/>
        </w:rPr>
        <w:tab/>
        <w:t>5.</w:t>
      </w:r>
      <w:r w:rsidR="00730FD4" w:rsidRPr="00BA6590">
        <w:rPr>
          <w:lang w:val="en-GB"/>
        </w:rPr>
        <w:tab/>
      </w:r>
      <w:r w:rsidR="00F50F30" w:rsidRPr="00BA6590">
        <w:rPr>
          <w:lang w:val="en-GB"/>
        </w:rPr>
        <w:t>E</w:t>
      </w:r>
      <w:r w:rsidR="00816D2A" w:rsidRPr="00BA6590">
        <w:rPr>
          <w:lang w:val="en-GB"/>
        </w:rPr>
        <w:t>xpulsion</w:t>
      </w:r>
      <w:r w:rsidR="00730FD4" w:rsidRPr="00BA6590">
        <w:rPr>
          <w:lang w:val="en-GB"/>
        </w:rPr>
        <w:tab/>
      </w:r>
      <w:r w:rsidR="00730FD4" w:rsidRPr="00BA6590">
        <w:rPr>
          <w:lang w:val="en-GB"/>
        </w:rPr>
        <w:tab/>
      </w:r>
      <w:r w:rsidR="00F50F30" w:rsidRPr="00BA6590">
        <w:rPr>
          <w:lang w:val="en-GB"/>
        </w:rPr>
        <w:t>160</w:t>
      </w:r>
      <w:r w:rsidR="00730FD4" w:rsidRPr="00BA6590">
        <w:rPr>
          <w:lang w:val="en-GB"/>
        </w:rPr>
        <w:t>–</w:t>
      </w:r>
      <w:r w:rsidR="00F50F30" w:rsidRPr="00BA6590">
        <w:rPr>
          <w:lang w:val="en-GB"/>
        </w:rPr>
        <w:t>169</w:t>
      </w:r>
      <w:r w:rsidR="00730FD4" w:rsidRPr="00BA6590">
        <w:rPr>
          <w:lang w:val="en-GB"/>
        </w:rPr>
        <w:tab/>
      </w:r>
      <w:r w:rsidR="00E6208B">
        <w:rPr>
          <w:lang w:val="en-GB"/>
        </w:rPr>
        <w:t>29</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730FD4" w:rsidRPr="00BA6590">
        <w:rPr>
          <w:lang w:val="en-GB"/>
        </w:rPr>
        <w:tab/>
        <w:t>6.</w:t>
      </w:r>
      <w:r w:rsidR="00730FD4" w:rsidRPr="00BA6590">
        <w:rPr>
          <w:lang w:val="en-GB"/>
        </w:rPr>
        <w:tab/>
      </w:r>
      <w:r w:rsidR="00816D2A" w:rsidRPr="00BA6590">
        <w:rPr>
          <w:lang w:val="en-GB"/>
        </w:rPr>
        <w:t>Family reunification</w:t>
      </w:r>
      <w:r w:rsidR="00730FD4" w:rsidRPr="00BA6590">
        <w:rPr>
          <w:lang w:val="en-GB"/>
        </w:rPr>
        <w:tab/>
      </w:r>
      <w:r w:rsidR="00730FD4" w:rsidRPr="00BA6590">
        <w:rPr>
          <w:lang w:val="en-GB"/>
        </w:rPr>
        <w:tab/>
      </w:r>
      <w:r w:rsidR="00F50F30" w:rsidRPr="00BA6590">
        <w:rPr>
          <w:lang w:val="en-GB"/>
        </w:rPr>
        <w:t>170</w:t>
      </w:r>
      <w:r w:rsidR="00730FD4" w:rsidRPr="00BA6590">
        <w:rPr>
          <w:lang w:val="en-GB"/>
        </w:rPr>
        <w:t>–</w:t>
      </w:r>
      <w:r w:rsidR="00F50F30" w:rsidRPr="00BA6590">
        <w:rPr>
          <w:lang w:val="en-GB"/>
        </w:rPr>
        <w:t>173</w:t>
      </w:r>
      <w:r w:rsidR="00730FD4" w:rsidRPr="00BA6590">
        <w:rPr>
          <w:lang w:val="en-GB"/>
        </w:rPr>
        <w:tab/>
      </w:r>
      <w:r w:rsidR="00E6208B">
        <w:rPr>
          <w:lang w:val="en-GB"/>
        </w:rPr>
        <w:t>31</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730FD4" w:rsidRPr="00BA6590">
        <w:rPr>
          <w:lang w:val="en-GB"/>
        </w:rPr>
        <w:tab/>
        <w:t>7.</w:t>
      </w:r>
      <w:r w:rsidR="00730FD4" w:rsidRPr="00BA6590">
        <w:rPr>
          <w:lang w:val="en-GB"/>
        </w:rPr>
        <w:tab/>
      </w:r>
      <w:r w:rsidR="00816D2A" w:rsidRPr="00BA6590">
        <w:rPr>
          <w:lang w:val="en-GB"/>
        </w:rPr>
        <w:t>Unaccompanied foreign minors</w:t>
      </w:r>
      <w:r w:rsidR="00730FD4" w:rsidRPr="00BA6590">
        <w:rPr>
          <w:lang w:val="en-GB"/>
        </w:rPr>
        <w:tab/>
      </w:r>
      <w:r w:rsidR="00730FD4" w:rsidRPr="00BA6590">
        <w:rPr>
          <w:lang w:val="en-GB"/>
        </w:rPr>
        <w:tab/>
      </w:r>
      <w:r w:rsidR="00AD655A" w:rsidRPr="00BA6590">
        <w:rPr>
          <w:lang w:val="en-GB"/>
        </w:rPr>
        <w:t>174</w:t>
      </w:r>
      <w:r w:rsidR="00730FD4" w:rsidRPr="00BA6590">
        <w:rPr>
          <w:lang w:val="en-GB"/>
        </w:rPr>
        <w:t>–</w:t>
      </w:r>
      <w:r w:rsidR="00AD655A" w:rsidRPr="00BA6590">
        <w:rPr>
          <w:lang w:val="en-GB"/>
        </w:rPr>
        <w:t>178</w:t>
      </w:r>
      <w:r w:rsidR="00730FD4" w:rsidRPr="00BA6590">
        <w:rPr>
          <w:lang w:val="en-GB"/>
        </w:rPr>
        <w:tab/>
      </w:r>
      <w:r w:rsidR="00E6208B">
        <w:rPr>
          <w:lang w:val="en-GB"/>
        </w:rPr>
        <w:t>32</w:t>
      </w:r>
    </w:p>
    <w:p w:rsidR="00EB6E2C" w:rsidRPr="00BA6590" w:rsidRDefault="00D31747" w:rsidP="00950D14">
      <w:pPr>
        <w:tabs>
          <w:tab w:val="right" w:pos="850"/>
          <w:tab w:val="left" w:pos="1134"/>
          <w:tab w:val="left" w:pos="1559"/>
          <w:tab w:val="left" w:pos="1984"/>
          <w:tab w:val="left" w:leader="dot" w:pos="7654"/>
          <w:tab w:val="right" w:pos="8929"/>
          <w:tab w:val="right" w:pos="9638"/>
        </w:tabs>
        <w:suppressAutoHyphens w:val="0"/>
        <w:spacing w:after="114"/>
        <w:ind w:left="1984" w:hanging="1984"/>
        <w:rPr>
          <w:lang w:val="en-GB"/>
        </w:rPr>
      </w:pPr>
      <w:r w:rsidRPr="00BA6590">
        <w:rPr>
          <w:lang w:val="en-GB"/>
        </w:rPr>
        <w:tab/>
      </w:r>
      <w:r w:rsidR="00EB6E2C" w:rsidRPr="00BA6590">
        <w:rPr>
          <w:lang w:val="en-GB"/>
        </w:rPr>
        <w:tab/>
      </w:r>
      <w:r w:rsidR="00730FD4" w:rsidRPr="00BA6590">
        <w:rPr>
          <w:lang w:val="en-GB"/>
        </w:rPr>
        <w:tab/>
        <w:t>8.</w:t>
      </w:r>
      <w:r w:rsidR="00730FD4" w:rsidRPr="00BA6590">
        <w:rPr>
          <w:lang w:val="en-GB"/>
        </w:rPr>
        <w:tab/>
      </w:r>
      <w:r w:rsidR="00816D2A" w:rsidRPr="00BA6590">
        <w:rPr>
          <w:lang w:val="en-GB"/>
        </w:rPr>
        <w:t xml:space="preserve">Strengthening of provisions to combat trafficking in and smuggling </w:t>
      </w:r>
      <w:r w:rsidR="00944C51">
        <w:rPr>
          <w:lang w:val="en-GB"/>
        </w:rPr>
        <w:br/>
      </w:r>
      <w:r w:rsidR="00816D2A" w:rsidRPr="00BA6590">
        <w:rPr>
          <w:lang w:val="en-GB"/>
        </w:rPr>
        <w:t>of human beings</w:t>
      </w:r>
      <w:r w:rsidR="00816D2A" w:rsidRPr="00BA6590">
        <w:rPr>
          <w:lang w:val="en-GB"/>
        </w:rPr>
        <w:tab/>
      </w:r>
      <w:r w:rsidR="00EB6E2C" w:rsidRPr="00BA6590">
        <w:rPr>
          <w:lang w:val="en-GB"/>
        </w:rPr>
        <w:tab/>
      </w:r>
      <w:r w:rsidR="00AD655A" w:rsidRPr="00BA6590">
        <w:rPr>
          <w:lang w:val="en-GB"/>
        </w:rPr>
        <w:t>179</w:t>
      </w:r>
      <w:r w:rsidR="00730FD4" w:rsidRPr="00BA6590">
        <w:rPr>
          <w:lang w:val="en-GB"/>
        </w:rPr>
        <w:t>–</w:t>
      </w:r>
      <w:r w:rsidR="00AD655A" w:rsidRPr="00BA6590">
        <w:rPr>
          <w:lang w:val="en-GB"/>
        </w:rPr>
        <w:t>189</w:t>
      </w:r>
      <w:r w:rsidR="00730FD4" w:rsidRPr="00BA6590">
        <w:rPr>
          <w:lang w:val="en-GB"/>
        </w:rPr>
        <w:tab/>
      </w:r>
      <w:r w:rsidR="00E6208B">
        <w:rPr>
          <w:lang w:val="en-GB"/>
        </w:rPr>
        <w:t>33</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250402" w:rsidRPr="00BA6590">
        <w:rPr>
          <w:lang w:val="en-GB"/>
        </w:rPr>
        <w:t>B.</w:t>
      </w:r>
      <w:r w:rsidR="00250402" w:rsidRPr="00BA6590">
        <w:rPr>
          <w:lang w:val="en-GB"/>
        </w:rPr>
        <w:tab/>
      </w:r>
      <w:r w:rsidR="00816D2A" w:rsidRPr="00BA6590">
        <w:rPr>
          <w:lang w:val="en-GB"/>
        </w:rPr>
        <w:t>Legislative provisions on acquisition of Belgian nationality</w:t>
      </w:r>
      <w:r w:rsidR="00250402" w:rsidRPr="00BA6590">
        <w:rPr>
          <w:lang w:val="en-GB"/>
        </w:rPr>
        <w:tab/>
      </w:r>
      <w:r w:rsidR="00250402" w:rsidRPr="00BA6590">
        <w:rPr>
          <w:lang w:val="en-GB"/>
        </w:rPr>
        <w:tab/>
      </w:r>
      <w:r w:rsidR="008C18F0" w:rsidRPr="00BA6590">
        <w:rPr>
          <w:lang w:val="en-GB"/>
        </w:rPr>
        <w:t>190</w:t>
      </w:r>
      <w:r w:rsidR="00250402" w:rsidRPr="00BA6590">
        <w:rPr>
          <w:lang w:val="en-GB"/>
        </w:rPr>
        <w:t>–</w:t>
      </w:r>
      <w:r w:rsidR="008C18F0" w:rsidRPr="00BA6590">
        <w:rPr>
          <w:lang w:val="en-GB"/>
        </w:rPr>
        <w:t>195</w:t>
      </w:r>
      <w:r w:rsidR="00250402" w:rsidRPr="00BA6590">
        <w:rPr>
          <w:lang w:val="en-GB"/>
        </w:rPr>
        <w:tab/>
      </w:r>
      <w:r w:rsidR="008C18F0" w:rsidRPr="00BA6590">
        <w:rPr>
          <w:lang w:val="en-GB"/>
        </w:rPr>
        <w:t>3</w:t>
      </w:r>
      <w:r w:rsidR="00E6208B">
        <w:rPr>
          <w:lang w:val="en-GB"/>
        </w:rPr>
        <w:t>5</w:t>
      </w:r>
    </w:p>
    <w:p w:rsidR="00EB6E2C" w:rsidRPr="00BA6590" w:rsidRDefault="00EB6E2C"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950D14" w:rsidRPr="00BA6590">
        <w:rPr>
          <w:lang w:val="en-GB"/>
        </w:rPr>
        <w:tab/>
      </w:r>
      <w:r w:rsidR="00250402" w:rsidRPr="00BA6590">
        <w:rPr>
          <w:lang w:val="en-GB"/>
        </w:rPr>
        <w:t>C.</w:t>
      </w:r>
      <w:r w:rsidR="00250402" w:rsidRPr="00BA6590">
        <w:rPr>
          <w:lang w:val="en-GB"/>
        </w:rPr>
        <w:tab/>
      </w:r>
      <w:r w:rsidR="00816D2A" w:rsidRPr="00BA6590">
        <w:rPr>
          <w:lang w:val="en-GB"/>
        </w:rPr>
        <w:t>Right to marriage and choice of spouse</w:t>
      </w:r>
      <w:r w:rsidR="00250402" w:rsidRPr="00BA6590">
        <w:rPr>
          <w:lang w:val="en-GB"/>
        </w:rPr>
        <w:tab/>
      </w:r>
      <w:r w:rsidR="00250402" w:rsidRPr="00BA6590">
        <w:rPr>
          <w:lang w:val="en-GB"/>
        </w:rPr>
        <w:tab/>
        <w:t>1</w:t>
      </w:r>
      <w:r w:rsidR="008C18F0" w:rsidRPr="00BA6590">
        <w:rPr>
          <w:lang w:val="en-GB"/>
        </w:rPr>
        <w:t>96</w:t>
      </w:r>
      <w:r w:rsidR="00250402" w:rsidRPr="00BA6590">
        <w:rPr>
          <w:lang w:val="en-GB"/>
        </w:rPr>
        <w:t>–</w:t>
      </w:r>
      <w:r w:rsidR="008C18F0" w:rsidRPr="00BA6590">
        <w:rPr>
          <w:lang w:val="en-GB"/>
        </w:rPr>
        <w:t>2</w:t>
      </w:r>
      <w:r w:rsidR="00250402" w:rsidRPr="00BA6590">
        <w:rPr>
          <w:lang w:val="en-GB"/>
        </w:rPr>
        <w:t>0</w:t>
      </w:r>
      <w:r w:rsidR="008C18F0" w:rsidRPr="00BA6590">
        <w:rPr>
          <w:lang w:val="en-GB"/>
        </w:rPr>
        <w:t>3</w:t>
      </w:r>
      <w:r w:rsidR="00250402" w:rsidRPr="00BA6590">
        <w:rPr>
          <w:lang w:val="en-GB"/>
        </w:rPr>
        <w:tab/>
      </w:r>
      <w:r w:rsidR="008C18F0" w:rsidRPr="00BA6590">
        <w:rPr>
          <w:lang w:val="en-GB"/>
        </w:rPr>
        <w:t>3</w:t>
      </w:r>
      <w:r w:rsidR="00E6208B">
        <w:rPr>
          <w:lang w:val="en-GB"/>
        </w:rPr>
        <w:t>6</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250402" w:rsidRPr="00BA6590">
        <w:rPr>
          <w:lang w:val="en-GB"/>
        </w:rPr>
        <w:t>D.</w:t>
      </w:r>
      <w:r w:rsidR="00250402" w:rsidRPr="00BA6590">
        <w:rPr>
          <w:lang w:val="en-GB"/>
        </w:rPr>
        <w:tab/>
      </w:r>
      <w:r w:rsidR="00816D2A" w:rsidRPr="00BA6590">
        <w:rPr>
          <w:lang w:val="en-GB"/>
        </w:rPr>
        <w:t>Participation of non-Belgian nationals in elections</w:t>
      </w:r>
      <w:r w:rsidR="00250402" w:rsidRPr="00BA6590">
        <w:rPr>
          <w:lang w:val="en-GB"/>
        </w:rPr>
        <w:tab/>
      </w:r>
      <w:r w:rsidR="00250402" w:rsidRPr="00BA6590">
        <w:rPr>
          <w:lang w:val="en-GB"/>
        </w:rPr>
        <w:tab/>
        <w:t>2</w:t>
      </w:r>
      <w:r w:rsidR="008C18F0" w:rsidRPr="00BA6590">
        <w:rPr>
          <w:lang w:val="en-GB"/>
        </w:rPr>
        <w:t>04</w:t>
      </w:r>
      <w:r w:rsidR="00250402" w:rsidRPr="00BA6590">
        <w:rPr>
          <w:lang w:val="en-GB"/>
        </w:rPr>
        <w:t>–</w:t>
      </w:r>
      <w:r w:rsidR="008C18F0" w:rsidRPr="00BA6590">
        <w:rPr>
          <w:lang w:val="en-GB"/>
        </w:rPr>
        <w:t>206</w:t>
      </w:r>
      <w:r w:rsidR="00250402" w:rsidRPr="00BA6590">
        <w:rPr>
          <w:lang w:val="en-GB"/>
        </w:rPr>
        <w:tab/>
      </w:r>
      <w:r w:rsidR="00E6208B">
        <w:rPr>
          <w:lang w:val="en-GB"/>
        </w:rPr>
        <w:t>37</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250402" w:rsidRPr="00BA6590">
        <w:rPr>
          <w:lang w:val="en-GB"/>
        </w:rPr>
        <w:t>E.</w:t>
      </w:r>
      <w:r w:rsidR="00250402" w:rsidRPr="00BA6590">
        <w:rPr>
          <w:lang w:val="en-GB"/>
        </w:rPr>
        <w:tab/>
      </w:r>
      <w:r w:rsidR="00816D2A" w:rsidRPr="00BA6590">
        <w:rPr>
          <w:lang w:val="en-GB"/>
        </w:rPr>
        <w:t>Right to freedom of thought, conscience and religion</w:t>
      </w:r>
      <w:r w:rsidR="00250402" w:rsidRPr="00BA6590">
        <w:rPr>
          <w:lang w:val="en-GB"/>
        </w:rPr>
        <w:tab/>
      </w:r>
      <w:r w:rsidR="00250402" w:rsidRPr="00BA6590">
        <w:rPr>
          <w:lang w:val="en-GB"/>
        </w:rPr>
        <w:tab/>
      </w:r>
      <w:r w:rsidR="008C18F0" w:rsidRPr="00BA6590">
        <w:rPr>
          <w:lang w:val="en-GB"/>
        </w:rPr>
        <w:t>207</w:t>
      </w:r>
      <w:r w:rsidR="00250402" w:rsidRPr="00BA6590">
        <w:rPr>
          <w:lang w:val="en-GB"/>
        </w:rPr>
        <w:t>–</w:t>
      </w:r>
      <w:r w:rsidR="008C18F0" w:rsidRPr="00BA6590">
        <w:rPr>
          <w:lang w:val="en-GB"/>
        </w:rPr>
        <w:t>2</w:t>
      </w:r>
      <w:r w:rsidR="00250402" w:rsidRPr="00BA6590">
        <w:rPr>
          <w:lang w:val="en-GB"/>
        </w:rPr>
        <w:t>10</w:t>
      </w:r>
      <w:r w:rsidR="00250402" w:rsidRPr="00BA6590">
        <w:rPr>
          <w:lang w:val="en-GB"/>
        </w:rPr>
        <w:tab/>
      </w:r>
      <w:r w:rsidR="00E6208B">
        <w:rPr>
          <w:lang w:val="en-GB"/>
        </w:rPr>
        <w:t>37</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250402" w:rsidRPr="00BA6590">
        <w:rPr>
          <w:lang w:val="en-GB"/>
        </w:rPr>
        <w:t>F.</w:t>
      </w:r>
      <w:r w:rsidR="00250402" w:rsidRPr="00BA6590">
        <w:rPr>
          <w:lang w:val="en-GB"/>
        </w:rPr>
        <w:tab/>
      </w:r>
      <w:r w:rsidR="00816D2A" w:rsidRPr="00BA6590">
        <w:rPr>
          <w:lang w:val="en-GB"/>
        </w:rPr>
        <w:t>Employment and labour</w:t>
      </w:r>
      <w:r w:rsidR="00250402" w:rsidRPr="00BA6590">
        <w:rPr>
          <w:lang w:val="en-GB"/>
        </w:rPr>
        <w:tab/>
      </w:r>
      <w:r w:rsidR="00250402" w:rsidRPr="00BA6590">
        <w:rPr>
          <w:lang w:val="en-GB"/>
        </w:rPr>
        <w:tab/>
      </w:r>
      <w:r w:rsidR="008C18F0" w:rsidRPr="00BA6590">
        <w:rPr>
          <w:lang w:val="en-GB"/>
        </w:rPr>
        <w:t>211</w:t>
      </w:r>
      <w:r w:rsidR="00250402" w:rsidRPr="00BA6590">
        <w:rPr>
          <w:lang w:val="en-GB"/>
        </w:rPr>
        <w:t>–</w:t>
      </w:r>
      <w:r w:rsidR="008C18F0" w:rsidRPr="00BA6590">
        <w:rPr>
          <w:lang w:val="en-GB"/>
        </w:rPr>
        <w:t>2</w:t>
      </w:r>
      <w:r w:rsidR="00250402" w:rsidRPr="00BA6590">
        <w:rPr>
          <w:lang w:val="en-GB"/>
        </w:rPr>
        <w:t>69</w:t>
      </w:r>
      <w:r w:rsidR="00250402" w:rsidRPr="00BA6590">
        <w:rPr>
          <w:lang w:val="en-GB"/>
        </w:rPr>
        <w:tab/>
      </w:r>
      <w:r w:rsidR="00E6208B">
        <w:rPr>
          <w:lang w:val="en-GB"/>
        </w:rPr>
        <w:t>38</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250402" w:rsidRPr="00BA6590">
        <w:rPr>
          <w:lang w:val="en-GB"/>
        </w:rPr>
        <w:tab/>
        <w:t>1.</w:t>
      </w:r>
      <w:r w:rsidR="00250402" w:rsidRPr="00BA6590">
        <w:rPr>
          <w:lang w:val="en-GB"/>
        </w:rPr>
        <w:tab/>
      </w:r>
      <w:r w:rsidR="00816D2A" w:rsidRPr="00BA6590">
        <w:rPr>
          <w:lang w:val="en-GB"/>
        </w:rPr>
        <w:t>Federal level</w:t>
      </w:r>
      <w:r w:rsidR="00250402" w:rsidRPr="00BA6590">
        <w:rPr>
          <w:lang w:val="en-GB"/>
        </w:rPr>
        <w:tab/>
      </w:r>
      <w:r w:rsidR="00250402" w:rsidRPr="00BA6590">
        <w:rPr>
          <w:lang w:val="en-GB"/>
        </w:rPr>
        <w:tab/>
      </w:r>
      <w:r w:rsidR="00BC3615" w:rsidRPr="00BA6590">
        <w:rPr>
          <w:lang w:val="en-GB"/>
        </w:rPr>
        <w:t>211–242</w:t>
      </w:r>
      <w:r w:rsidR="00250402" w:rsidRPr="00BA6590">
        <w:rPr>
          <w:lang w:val="en-GB"/>
        </w:rPr>
        <w:tab/>
      </w:r>
      <w:r w:rsidR="00E6208B">
        <w:rPr>
          <w:lang w:val="en-GB"/>
        </w:rPr>
        <w:t>38</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250402" w:rsidRPr="00BA6590">
        <w:rPr>
          <w:lang w:val="en-GB"/>
        </w:rPr>
        <w:tab/>
        <w:t>2.</w:t>
      </w:r>
      <w:r w:rsidR="00250402" w:rsidRPr="00BA6590">
        <w:rPr>
          <w:lang w:val="en-GB"/>
        </w:rPr>
        <w:tab/>
      </w:r>
      <w:r w:rsidR="00816D2A" w:rsidRPr="00BA6590">
        <w:rPr>
          <w:lang w:val="en-GB"/>
        </w:rPr>
        <w:t>Walloon re</w:t>
      </w:r>
      <w:r w:rsidR="00250402" w:rsidRPr="00BA6590">
        <w:rPr>
          <w:lang w:val="en-GB"/>
        </w:rPr>
        <w:t>gion</w:t>
      </w:r>
      <w:r w:rsidR="00250402" w:rsidRPr="00BA6590">
        <w:rPr>
          <w:lang w:val="en-GB"/>
        </w:rPr>
        <w:tab/>
      </w:r>
      <w:r w:rsidR="00250402" w:rsidRPr="00BA6590">
        <w:rPr>
          <w:lang w:val="en-GB"/>
        </w:rPr>
        <w:tab/>
      </w:r>
      <w:r w:rsidR="00BC3615" w:rsidRPr="00BA6590">
        <w:rPr>
          <w:lang w:val="en-GB"/>
        </w:rPr>
        <w:t>243–250</w:t>
      </w:r>
      <w:r w:rsidR="00250402" w:rsidRPr="00BA6590">
        <w:rPr>
          <w:lang w:val="en-GB"/>
        </w:rPr>
        <w:tab/>
      </w:r>
      <w:r w:rsidR="00E6208B">
        <w:rPr>
          <w:lang w:val="en-GB"/>
        </w:rPr>
        <w:t>42</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816D2A" w:rsidRPr="00BA6590">
        <w:rPr>
          <w:lang w:val="en-GB"/>
        </w:rPr>
        <w:tab/>
        <w:t>3.</w:t>
      </w:r>
      <w:r w:rsidR="00816D2A" w:rsidRPr="00BA6590">
        <w:rPr>
          <w:lang w:val="en-GB"/>
        </w:rPr>
        <w:tab/>
        <w:t>Bruss</w:t>
      </w:r>
      <w:r w:rsidR="00250402" w:rsidRPr="00BA6590">
        <w:rPr>
          <w:lang w:val="en-GB"/>
        </w:rPr>
        <w:t>el</w:t>
      </w:r>
      <w:r w:rsidR="00816D2A" w:rsidRPr="00BA6590">
        <w:rPr>
          <w:lang w:val="en-GB"/>
        </w:rPr>
        <w:t>s-Capital Region</w:t>
      </w:r>
      <w:r w:rsidR="00250402" w:rsidRPr="00BA6590">
        <w:rPr>
          <w:lang w:val="en-GB"/>
        </w:rPr>
        <w:tab/>
      </w:r>
      <w:r w:rsidR="00250402" w:rsidRPr="00BA6590">
        <w:rPr>
          <w:lang w:val="en-GB"/>
        </w:rPr>
        <w:tab/>
      </w:r>
      <w:r w:rsidR="00BC3615" w:rsidRPr="00BA6590">
        <w:rPr>
          <w:lang w:val="en-GB"/>
        </w:rPr>
        <w:t>251–252</w:t>
      </w:r>
      <w:r w:rsidR="00250402" w:rsidRPr="00BA6590">
        <w:rPr>
          <w:lang w:val="en-GB"/>
        </w:rPr>
        <w:tab/>
      </w:r>
      <w:r w:rsidR="00E6208B">
        <w:rPr>
          <w:lang w:val="en-GB"/>
        </w:rPr>
        <w:t>43</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250402" w:rsidRPr="00BA6590">
        <w:rPr>
          <w:lang w:val="en-GB"/>
        </w:rPr>
        <w:tab/>
        <w:t>4.</w:t>
      </w:r>
      <w:r w:rsidR="00250402" w:rsidRPr="00BA6590">
        <w:rPr>
          <w:lang w:val="en-GB"/>
        </w:rPr>
        <w:tab/>
      </w:r>
      <w:r w:rsidR="00816D2A" w:rsidRPr="00BA6590">
        <w:rPr>
          <w:lang w:val="en-GB"/>
        </w:rPr>
        <w:t xml:space="preserve">Flemish </w:t>
      </w:r>
      <w:r w:rsidR="00250402" w:rsidRPr="00BA6590">
        <w:rPr>
          <w:lang w:val="en-GB"/>
        </w:rPr>
        <w:t>Commun</w:t>
      </w:r>
      <w:r w:rsidR="00816D2A" w:rsidRPr="00BA6590">
        <w:rPr>
          <w:lang w:val="en-GB"/>
        </w:rPr>
        <w:t>ity</w:t>
      </w:r>
      <w:r w:rsidR="00250402" w:rsidRPr="00BA6590">
        <w:rPr>
          <w:lang w:val="en-GB"/>
        </w:rPr>
        <w:tab/>
      </w:r>
      <w:r w:rsidR="00250402" w:rsidRPr="00BA6590">
        <w:rPr>
          <w:lang w:val="en-GB"/>
        </w:rPr>
        <w:tab/>
      </w:r>
      <w:r w:rsidR="00BC3615" w:rsidRPr="00BA6590">
        <w:rPr>
          <w:lang w:val="en-GB"/>
        </w:rPr>
        <w:t>253–266</w:t>
      </w:r>
      <w:r w:rsidR="00250402" w:rsidRPr="00BA6590">
        <w:rPr>
          <w:lang w:val="en-GB"/>
        </w:rPr>
        <w:tab/>
      </w:r>
      <w:r w:rsidR="00E6208B">
        <w:rPr>
          <w:lang w:val="en-GB"/>
        </w:rPr>
        <w:t>43</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250402" w:rsidRPr="00BA6590">
        <w:rPr>
          <w:lang w:val="en-GB"/>
        </w:rPr>
        <w:tab/>
        <w:t>5.</w:t>
      </w:r>
      <w:r w:rsidR="00250402" w:rsidRPr="00BA6590">
        <w:rPr>
          <w:lang w:val="en-GB"/>
        </w:rPr>
        <w:tab/>
      </w:r>
      <w:r w:rsidR="00816D2A" w:rsidRPr="00BA6590">
        <w:rPr>
          <w:lang w:val="en-GB"/>
        </w:rPr>
        <w:t>Convictions for racial discrimination in employment</w:t>
      </w:r>
      <w:r w:rsidR="00250402" w:rsidRPr="00BA6590">
        <w:rPr>
          <w:lang w:val="en-GB"/>
        </w:rPr>
        <w:tab/>
      </w:r>
      <w:r w:rsidR="00250402" w:rsidRPr="00BA6590">
        <w:rPr>
          <w:lang w:val="en-GB"/>
        </w:rPr>
        <w:tab/>
      </w:r>
      <w:r w:rsidR="00BC3615" w:rsidRPr="00BA6590">
        <w:rPr>
          <w:lang w:val="en-GB"/>
        </w:rPr>
        <w:t>267–269</w:t>
      </w:r>
      <w:r w:rsidR="00250402" w:rsidRPr="00BA6590">
        <w:rPr>
          <w:lang w:val="en-GB"/>
        </w:rPr>
        <w:tab/>
      </w:r>
      <w:r w:rsidR="00E6208B">
        <w:rPr>
          <w:lang w:val="en-GB"/>
        </w:rPr>
        <w:t>46</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250402" w:rsidRPr="00BA6590">
        <w:rPr>
          <w:lang w:val="en-GB"/>
        </w:rPr>
        <w:t>G.</w:t>
      </w:r>
      <w:r w:rsidR="00250402" w:rsidRPr="00BA6590">
        <w:rPr>
          <w:lang w:val="en-GB"/>
        </w:rPr>
        <w:tab/>
      </w:r>
      <w:r w:rsidR="00816D2A" w:rsidRPr="00BA6590">
        <w:rPr>
          <w:lang w:val="en-GB"/>
        </w:rPr>
        <w:t>Non-discrimination in the exercise of the right to housing</w:t>
      </w:r>
      <w:r w:rsidR="00250402" w:rsidRPr="00BA6590">
        <w:rPr>
          <w:lang w:val="en-GB"/>
        </w:rPr>
        <w:tab/>
      </w:r>
      <w:r w:rsidR="00250402" w:rsidRPr="00BA6590">
        <w:rPr>
          <w:lang w:val="en-GB"/>
        </w:rPr>
        <w:tab/>
      </w:r>
      <w:r w:rsidR="00BC3615" w:rsidRPr="00BA6590">
        <w:rPr>
          <w:lang w:val="en-GB"/>
        </w:rPr>
        <w:t>270</w:t>
      </w:r>
      <w:r w:rsidR="00250402" w:rsidRPr="00BA6590">
        <w:rPr>
          <w:lang w:val="en-GB"/>
        </w:rPr>
        <w:t>–</w:t>
      </w:r>
      <w:r w:rsidR="00BC3615" w:rsidRPr="00BA6590">
        <w:rPr>
          <w:lang w:val="en-GB"/>
        </w:rPr>
        <w:t>282</w:t>
      </w:r>
      <w:r w:rsidR="00250402" w:rsidRPr="00BA6590">
        <w:rPr>
          <w:lang w:val="en-GB"/>
        </w:rPr>
        <w:tab/>
      </w:r>
      <w:r w:rsidR="00E6208B">
        <w:rPr>
          <w:lang w:val="en-GB"/>
        </w:rPr>
        <w:t>46</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0A0E37" w:rsidRPr="00BA6590">
        <w:rPr>
          <w:lang w:val="en-GB"/>
        </w:rPr>
        <w:tab/>
        <w:t>1.</w:t>
      </w:r>
      <w:r w:rsidR="000A0E37" w:rsidRPr="00BA6590">
        <w:rPr>
          <w:lang w:val="en-GB"/>
        </w:rPr>
        <w:tab/>
      </w:r>
      <w:r w:rsidR="00816D2A" w:rsidRPr="00BA6590">
        <w:rPr>
          <w:lang w:val="en-GB"/>
        </w:rPr>
        <w:t>Walloon region</w:t>
      </w:r>
      <w:r w:rsidR="000A0E37" w:rsidRPr="00BA6590">
        <w:rPr>
          <w:lang w:val="en-GB"/>
        </w:rPr>
        <w:tab/>
      </w:r>
      <w:r w:rsidR="000A0E37" w:rsidRPr="00BA6590">
        <w:rPr>
          <w:lang w:val="en-GB"/>
        </w:rPr>
        <w:tab/>
      </w:r>
      <w:r w:rsidR="008353E5" w:rsidRPr="00BA6590">
        <w:rPr>
          <w:lang w:val="en-GB"/>
        </w:rPr>
        <w:t>270–274</w:t>
      </w:r>
      <w:r w:rsidR="000A0E37" w:rsidRPr="00BA6590">
        <w:rPr>
          <w:lang w:val="en-GB"/>
        </w:rPr>
        <w:tab/>
      </w:r>
      <w:r w:rsidR="00E6208B">
        <w:rPr>
          <w:lang w:val="en-GB"/>
        </w:rPr>
        <w:t>46</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0A0E37" w:rsidRPr="00BA6590">
        <w:rPr>
          <w:lang w:val="en-GB"/>
        </w:rPr>
        <w:tab/>
        <w:t>2.</w:t>
      </w:r>
      <w:r w:rsidR="000A0E37" w:rsidRPr="00BA6590">
        <w:rPr>
          <w:lang w:val="en-GB"/>
        </w:rPr>
        <w:tab/>
      </w:r>
      <w:r w:rsidR="00816D2A" w:rsidRPr="00BA6590">
        <w:rPr>
          <w:lang w:val="en-GB"/>
        </w:rPr>
        <w:t>Brussels-Capital Region</w:t>
      </w:r>
      <w:r w:rsidR="000A0E37" w:rsidRPr="00BA6590">
        <w:rPr>
          <w:lang w:val="en-GB"/>
        </w:rPr>
        <w:tab/>
      </w:r>
      <w:r w:rsidR="000A0E37" w:rsidRPr="00BA6590">
        <w:rPr>
          <w:lang w:val="en-GB"/>
        </w:rPr>
        <w:tab/>
      </w:r>
      <w:r w:rsidR="008353E5" w:rsidRPr="00BA6590">
        <w:rPr>
          <w:lang w:val="en-GB"/>
        </w:rPr>
        <w:t>275–276</w:t>
      </w:r>
      <w:r w:rsidR="000A0E37" w:rsidRPr="00BA6590">
        <w:rPr>
          <w:lang w:val="en-GB"/>
        </w:rPr>
        <w:tab/>
      </w:r>
      <w:r w:rsidR="00E6208B">
        <w:rPr>
          <w:lang w:val="en-GB"/>
        </w:rPr>
        <w:t>46</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0A0E37" w:rsidRPr="00BA6590">
        <w:rPr>
          <w:lang w:val="en-GB"/>
        </w:rPr>
        <w:tab/>
        <w:t>3.</w:t>
      </w:r>
      <w:r w:rsidR="000A0E37" w:rsidRPr="00BA6590">
        <w:rPr>
          <w:lang w:val="en-GB"/>
        </w:rPr>
        <w:tab/>
      </w:r>
      <w:r w:rsidR="00816D2A" w:rsidRPr="00BA6590">
        <w:rPr>
          <w:lang w:val="en-GB"/>
        </w:rPr>
        <w:t>Flemish Community</w:t>
      </w:r>
      <w:r w:rsidR="000A0E37" w:rsidRPr="00BA6590">
        <w:rPr>
          <w:lang w:val="en-GB"/>
        </w:rPr>
        <w:tab/>
      </w:r>
      <w:r w:rsidR="000A0E37" w:rsidRPr="00BA6590">
        <w:rPr>
          <w:lang w:val="en-GB"/>
        </w:rPr>
        <w:tab/>
      </w:r>
      <w:r w:rsidR="008353E5" w:rsidRPr="00BA6590">
        <w:rPr>
          <w:lang w:val="en-GB"/>
        </w:rPr>
        <w:t>277</w:t>
      </w:r>
      <w:r w:rsidR="000A0E37" w:rsidRPr="00BA6590">
        <w:rPr>
          <w:lang w:val="en-GB"/>
        </w:rPr>
        <w:t>–</w:t>
      </w:r>
      <w:r w:rsidR="008353E5" w:rsidRPr="00BA6590">
        <w:rPr>
          <w:lang w:val="en-GB"/>
        </w:rPr>
        <w:t>2</w:t>
      </w:r>
      <w:r w:rsidR="000A0E37" w:rsidRPr="00BA6590">
        <w:rPr>
          <w:lang w:val="en-GB"/>
        </w:rPr>
        <w:t>8</w:t>
      </w:r>
      <w:r w:rsidR="008353E5" w:rsidRPr="00BA6590">
        <w:rPr>
          <w:lang w:val="en-GB"/>
        </w:rPr>
        <w:t>1</w:t>
      </w:r>
      <w:r w:rsidR="000A0E37" w:rsidRPr="00BA6590">
        <w:rPr>
          <w:lang w:val="en-GB"/>
        </w:rPr>
        <w:tab/>
      </w:r>
      <w:r w:rsidR="00072127">
        <w:rPr>
          <w:lang w:val="en-GB"/>
        </w:rPr>
        <w:t>47</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ind w:left="1984" w:hanging="1984"/>
        <w:rPr>
          <w:lang w:val="en-GB"/>
        </w:rPr>
      </w:pPr>
      <w:r w:rsidRPr="00BA6590">
        <w:rPr>
          <w:lang w:val="en-GB"/>
        </w:rPr>
        <w:tab/>
      </w:r>
      <w:r w:rsidR="00EB6E2C" w:rsidRPr="00BA6590">
        <w:rPr>
          <w:lang w:val="en-GB"/>
        </w:rPr>
        <w:tab/>
      </w:r>
      <w:r w:rsidR="000A0E37" w:rsidRPr="00BA6590">
        <w:rPr>
          <w:lang w:val="en-GB"/>
        </w:rPr>
        <w:tab/>
        <w:t>4.</w:t>
      </w:r>
      <w:r w:rsidR="000A0E37" w:rsidRPr="00BA6590">
        <w:rPr>
          <w:lang w:val="en-GB"/>
        </w:rPr>
        <w:tab/>
      </w:r>
      <w:r w:rsidR="00816D2A" w:rsidRPr="00BA6590">
        <w:rPr>
          <w:lang w:val="en-GB"/>
        </w:rPr>
        <w:t xml:space="preserve">Penalization of racial discrimination in the exercise of the right to </w:t>
      </w:r>
      <w:r w:rsidRPr="00BA6590">
        <w:rPr>
          <w:lang w:val="en-GB"/>
        </w:rPr>
        <w:br/>
      </w:r>
      <w:r w:rsidR="00816D2A" w:rsidRPr="00BA6590">
        <w:rPr>
          <w:lang w:val="en-GB"/>
        </w:rPr>
        <w:t>housing</w:t>
      </w:r>
      <w:r w:rsidR="000A0E37" w:rsidRPr="00BA6590">
        <w:rPr>
          <w:lang w:val="en-GB"/>
        </w:rPr>
        <w:tab/>
      </w:r>
      <w:r w:rsidR="00EB6E2C" w:rsidRPr="00BA6590">
        <w:rPr>
          <w:lang w:val="en-GB"/>
        </w:rPr>
        <w:tab/>
      </w:r>
      <w:r w:rsidR="008353E5" w:rsidRPr="00BA6590">
        <w:rPr>
          <w:lang w:val="en-GB"/>
        </w:rPr>
        <w:t>282</w:t>
      </w:r>
      <w:r w:rsidR="000A0E37" w:rsidRPr="00BA6590">
        <w:rPr>
          <w:lang w:val="en-GB"/>
        </w:rPr>
        <w:tab/>
      </w:r>
      <w:r w:rsidR="00072127">
        <w:rPr>
          <w:lang w:val="en-GB"/>
        </w:rPr>
        <w:t>47</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0A0E37" w:rsidRPr="00BA6590">
        <w:rPr>
          <w:lang w:val="en-GB"/>
        </w:rPr>
        <w:t xml:space="preserve">Article 6: </w:t>
      </w:r>
      <w:r w:rsidR="00816D2A" w:rsidRPr="00BA6590">
        <w:rPr>
          <w:lang w:val="en-GB"/>
        </w:rPr>
        <w:t>Remedies and judicial action on complaints</w:t>
      </w:r>
      <w:r w:rsidR="000A0E37" w:rsidRPr="00BA6590">
        <w:rPr>
          <w:lang w:val="en-GB"/>
        </w:rPr>
        <w:tab/>
      </w:r>
      <w:r w:rsidR="000A0E37" w:rsidRPr="00BA6590">
        <w:rPr>
          <w:lang w:val="en-GB"/>
        </w:rPr>
        <w:tab/>
        <w:t>28</w:t>
      </w:r>
      <w:r w:rsidR="008353E5" w:rsidRPr="00BA6590">
        <w:rPr>
          <w:lang w:val="en-GB"/>
        </w:rPr>
        <w:t>3</w:t>
      </w:r>
      <w:r w:rsidR="000A0E37" w:rsidRPr="00BA6590">
        <w:rPr>
          <w:lang w:val="en-GB"/>
        </w:rPr>
        <w:t>–3</w:t>
      </w:r>
      <w:r w:rsidR="008353E5" w:rsidRPr="00BA6590">
        <w:rPr>
          <w:lang w:val="en-GB"/>
        </w:rPr>
        <w:t>10</w:t>
      </w:r>
      <w:r w:rsidR="000A0E37" w:rsidRPr="00BA6590">
        <w:rPr>
          <w:lang w:val="en-GB"/>
        </w:rPr>
        <w:tab/>
      </w:r>
      <w:r w:rsidR="00072127">
        <w:rPr>
          <w:lang w:val="en-GB"/>
        </w:rPr>
        <w:t>48</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ind w:left="1559" w:hanging="1559"/>
        <w:rPr>
          <w:lang w:val="en-GB"/>
        </w:rPr>
      </w:pPr>
      <w:r w:rsidRPr="00BA6590">
        <w:rPr>
          <w:lang w:val="en-GB"/>
        </w:rPr>
        <w:tab/>
      </w:r>
      <w:r w:rsidR="00EB6E2C" w:rsidRPr="00BA6590">
        <w:rPr>
          <w:lang w:val="en-GB"/>
        </w:rPr>
        <w:tab/>
      </w:r>
      <w:r w:rsidR="000A0E37" w:rsidRPr="00BA6590">
        <w:rPr>
          <w:lang w:val="en-GB"/>
        </w:rPr>
        <w:t>A.</w:t>
      </w:r>
      <w:r w:rsidR="000A0E37" w:rsidRPr="00BA6590">
        <w:rPr>
          <w:lang w:val="en-GB"/>
        </w:rPr>
        <w:tab/>
      </w:r>
      <w:r w:rsidR="00816D2A" w:rsidRPr="00BA6590">
        <w:rPr>
          <w:lang w:val="en-GB"/>
        </w:rPr>
        <w:t xml:space="preserve">Measures to improve the implementation of criminal-law provisions </w:t>
      </w:r>
      <w:r w:rsidRPr="00BA6590">
        <w:rPr>
          <w:lang w:val="en-GB"/>
        </w:rPr>
        <w:br/>
      </w:r>
      <w:r w:rsidR="00816D2A" w:rsidRPr="00BA6590">
        <w:rPr>
          <w:lang w:val="en-GB"/>
        </w:rPr>
        <w:t>against racism</w:t>
      </w:r>
      <w:r w:rsidRPr="00BA6590">
        <w:rPr>
          <w:lang w:val="en-GB"/>
        </w:rPr>
        <w:tab/>
      </w:r>
      <w:r w:rsidR="000A0E37" w:rsidRPr="00BA6590">
        <w:rPr>
          <w:lang w:val="en-GB"/>
        </w:rPr>
        <w:tab/>
      </w:r>
      <w:r w:rsidR="008353E5" w:rsidRPr="00BA6590">
        <w:rPr>
          <w:lang w:val="en-GB"/>
        </w:rPr>
        <w:t>283</w:t>
      </w:r>
      <w:r w:rsidR="000A0E37" w:rsidRPr="00BA6590">
        <w:rPr>
          <w:lang w:val="en-GB"/>
        </w:rPr>
        <w:t>–</w:t>
      </w:r>
      <w:r w:rsidR="008353E5" w:rsidRPr="00BA6590">
        <w:rPr>
          <w:lang w:val="en-GB"/>
        </w:rPr>
        <w:t>287</w:t>
      </w:r>
      <w:r w:rsidR="000A0E37" w:rsidRPr="00BA6590">
        <w:rPr>
          <w:lang w:val="en-GB"/>
        </w:rPr>
        <w:tab/>
      </w:r>
      <w:r w:rsidR="00072127">
        <w:rPr>
          <w:lang w:val="en-GB"/>
        </w:rPr>
        <w:t>48</w:t>
      </w:r>
    </w:p>
    <w:p w:rsidR="000A0E37"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0A0E37" w:rsidRPr="00BA6590">
        <w:rPr>
          <w:lang w:val="en-GB"/>
        </w:rPr>
        <w:t>B.</w:t>
      </w:r>
      <w:r w:rsidR="000A0E37" w:rsidRPr="00BA6590">
        <w:rPr>
          <w:lang w:val="en-GB"/>
        </w:rPr>
        <w:tab/>
      </w:r>
      <w:r w:rsidR="00E8240E" w:rsidRPr="00BA6590">
        <w:rPr>
          <w:lang w:val="en-GB"/>
        </w:rPr>
        <w:t>Statistical data</w:t>
      </w:r>
      <w:r w:rsidR="000A0E37" w:rsidRPr="00BA6590">
        <w:rPr>
          <w:lang w:val="en-GB"/>
        </w:rPr>
        <w:tab/>
      </w:r>
      <w:r w:rsidR="000A0E37" w:rsidRPr="00BA6590">
        <w:rPr>
          <w:lang w:val="en-GB"/>
        </w:rPr>
        <w:tab/>
        <w:t>2</w:t>
      </w:r>
      <w:r w:rsidR="008353E5" w:rsidRPr="00BA6590">
        <w:rPr>
          <w:lang w:val="en-GB"/>
        </w:rPr>
        <w:t>88</w:t>
      </w:r>
      <w:r w:rsidR="000A0E37" w:rsidRPr="00BA6590">
        <w:rPr>
          <w:lang w:val="en-GB"/>
        </w:rPr>
        <w:t>–</w:t>
      </w:r>
      <w:r w:rsidR="008353E5" w:rsidRPr="00BA6590">
        <w:rPr>
          <w:lang w:val="en-GB"/>
        </w:rPr>
        <w:t>310</w:t>
      </w:r>
      <w:r w:rsidR="000A0E37" w:rsidRPr="00BA6590">
        <w:rPr>
          <w:lang w:val="en-GB"/>
        </w:rPr>
        <w:tab/>
      </w:r>
      <w:r w:rsidR="00072127">
        <w:rPr>
          <w:lang w:val="en-GB"/>
        </w:rPr>
        <w:t>48</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ind w:left="1134" w:hanging="1134"/>
        <w:rPr>
          <w:lang w:val="en-GB"/>
        </w:rPr>
      </w:pPr>
      <w:r w:rsidRPr="00BA6590">
        <w:rPr>
          <w:lang w:val="en-GB"/>
        </w:rPr>
        <w:tab/>
      </w:r>
      <w:r w:rsidRPr="00BA6590">
        <w:rPr>
          <w:lang w:val="en-GB"/>
        </w:rPr>
        <w:tab/>
      </w:r>
      <w:r w:rsidR="000A0E37" w:rsidRPr="00BA6590">
        <w:rPr>
          <w:lang w:val="en-GB"/>
        </w:rPr>
        <w:t xml:space="preserve">Article 7: </w:t>
      </w:r>
      <w:r w:rsidR="00E8240E" w:rsidRPr="00BA6590">
        <w:rPr>
          <w:lang w:val="en-GB"/>
        </w:rPr>
        <w:t xml:space="preserve">Non-discrimination in the fields of teaching, education, culture and </w:t>
      </w:r>
      <w:r w:rsidRPr="00BA6590">
        <w:rPr>
          <w:lang w:val="en-GB"/>
        </w:rPr>
        <w:br/>
      </w:r>
      <w:r w:rsidR="00E8240E" w:rsidRPr="00BA6590">
        <w:rPr>
          <w:lang w:val="en-GB"/>
        </w:rPr>
        <w:t>information</w:t>
      </w:r>
      <w:r w:rsidR="00EB6E2C" w:rsidRPr="00BA6590">
        <w:rPr>
          <w:lang w:val="en-GB"/>
        </w:rPr>
        <w:tab/>
      </w:r>
      <w:r w:rsidR="00E8240E" w:rsidRPr="00BA6590">
        <w:rPr>
          <w:lang w:val="en-GB"/>
        </w:rPr>
        <w:tab/>
      </w:r>
      <w:r w:rsidR="00417290" w:rsidRPr="00BA6590">
        <w:rPr>
          <w:lang w:val="en-GB"/>
        </w:rPr>
        <w:t>311</w:t>
      </w:r>
      <w:r w:rsidR="000A0E37" w:rsidRPr="00BA6590">
        <w:rPr>
          <w:lang w:val="en-GB"/>
        </w:rPr>
        <w:t>–</w:t>
      </w:r>
      <w:r w:rsidR="00417290" w:rsidRPr="00BA6590">
        <w:rPr>
          <w:lang w:val="en-GB"/>
        </w:rPr>
        <w:t>3</w:t>
      </w:r>
      <w:r w:rsidR="000A0E37" w:rsidRPr="00BA6590">
        <w:rPr>
          <w:lang w:val="en-GB"/>
        </w:rPr>
        <w:t>3</w:t>
      </w:r>
      <w:r w:rsidR="00417290" w:rsidRPr="00BA6590">
        <w:rPr>
          <w:lang w:val="en-GB"/>
        </w:rPr>
        <w:t>8</w:t>
      </w:r>
      <w:r w:rsidR="000A0E37" w:rsidRPr="00BA6590">
        <w:rPr>
          <w:lang w:val="en-GB"/>
        </w:rPr>
        <w:tab/>
      </w:r>
      <w:r w:rsidR="00072127">
        <w:rPr>
          <w:lang w:val="en-GB"/>
        </w:rPr>
        <w:t>5</w:t>
      </w:r>
      <w:r w:rsidR="0007515B">
        <w:rPr>
          <w:lang w:val="en-GB"/>
        </w:rPr>
        <w:t>2</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0A0E37" w:rsidRPr="00BA6590">
        <w:rPr>
          <w:lang w:val="en-GB"/>
        </w:rPr>
        <w:t>A.</w:t>
      </w:r>
      <w:r w:rsidR="000A0E37" w:rsidRPr="00BA6590">
        <w:rPr>
          <w:lang w:val="en-GB"/>
        </w:rPr>
        <w:tab/>
      </w:r>
      <w:r w:rsidR="00E8240E" w:rsidRPr="00BA6590">
        <w:rPr>
          <w:lang w:val="en-GB"/>
        </w:rPr>
        <w:t xml:space="preserve">Flemish </w:t>
      </w:r>
      <w:r w:rsidR="000A0E37" w:rsidRPr="00BA6590">
        <w:rPr>
          <w:lang w:val="en-GB"/>
        </w:rPr>
        <w:t>Commun</w:t>
      </w:r>
      <w:r w:rsidR="00E8240E" w:rsidRPr="00BA6590">
        <w:rPr>
          <w:lang w:val="en-GB"/>
        </w:rPr>
        <w:t>ity</w:t>
      </w:r>
      <w:r w:rsidR="000A0E37" w:rsidRPr="00BA6590">
        <w:rPr>
          <w:lang w:val="en-GB"/>
        </w:rPr>
        <w:tab/>
      </w:r>
      <w:r w:rsidR="000A0E37" w:rsidRPr="00BA6590">
        <w:rPr>
          <w:lang w:val="en-GB"/>
        </w:rPr>
        <w:tab/>
      </w:r>
      <w:r w:rsidR="00417290" w:rsidRPr="00BA6590">
        <w:rPr>
          <w:lang w:val="en-GB"/>
        </w:rPr>
        <w:t>31</w:t>
      </w:r>
      <w:r w:rsidR="000A0E37" w:rsidRPr="00BA6590">
        <w:rPr>
          <w:lang w:val="en-GB"/>
        </w:rPr>
        <w:t>1–</w:t>
      </w:r>
      <w:r w:rsidR="00417290" w:rsidRPr="00BA6590">
        <w:rPr>
          <w:lang w:val="en-GB"/>
        </w:rPr>
        <w:t>327</w:t>
      </w:r>
      <w:r w:rsidR="000A0E37" w:rsidRPr="00BA6590">
        <w:rPr>
          <w:lang w:val="en-GB"/>
        </w:rPr>
        <w:tab/>
      </w:r>
      <w:r w:rsidR="0007515B">
        <w:rPr>
          <w:lang w:val="en-GB"/>
        </w:rPr>
        <w:t>52</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ind w:left="1984" w:hanging="1984"/>
        <w:rPr>
          <w:lang w:val="en-GB"/>
        </w:rPr>
      </w:pPr>
      <w:r w:rsidRPr="00BA6590">
        <w:rPr>
          <w:lang w:val="en-GB"/>
        </w:rPr>
        <w:tab/>
      </w:r>
      <w:r w:rsidR="00EB6E2C" w:rsidRPr="00BA6590">
        <w:rPr>
          <w:lang w:val="en-GB"/>
        </w:rPr>
        <w:tab/>
      </w:r>
      <w:r w:rsidR="000A0E37" w:rsidRPr="00BA6590">
        <w:rPr>
          <w:lang w:val="en-GB"/>
        </w:rPr>
        <w:tab/>
        <w:t>1.</w:t>
      </w:r>
      <w:r w:rsidR="000A0E37" w:rsidRPr="00BA6590">
        <w:rPr>
          <w:lang w:val="en-GB"/>
        </w:rPr>
        <w:tab/>
      </w:r>
      <w:r w:rsidR="00E8240E" w:rsidRPr="00BA6590">
        <w:rPr>
          <w:lang w:val="en-GB"/>
        </w:rPr>
        <w:t xml:space="preserve">Recent policy developments in the Flemish Community in combating </w:t>
      </w:r>
      <w:r w:rsidRPr="00BA6590">
        <w:rPr>
          <w:lang w:val="en-GB"/>
        </w:rPr>
        <w:br/>
      </w:r>
      <w:r w:rsidR="00E8240E" w:rsidRPr="00BA6590">
        <w:rPr>
          <w:lang w:val="en-GB"/>
        </w:rPr>
        <w:t>discrimination in the area of education</w:t>
      </w:r>
      <w:r w:rsidR="000A0E37" w:rsidRPr="00BA6590">
        <w:rPr>
          <w:lang w:val="en-GB"/>
        </w:rPr>
        <w:tab/>
      </w:r>
      <w:r w:rsidR="000A0E37" w:rsidRPr="00BA6590">
        <w:rPr>
          <w:lang w:val="en-GB"/>
        </w:rPr>
        <w:tab/>
        <w:t>3</w:t>
      </w:r>
      <w:r w:rsidR="00417290" w:rsidRPr="00BA6590">
        <w:rPr>
          <w:lang w:val="en-GB"/>
        </w:rPr>
        <w:t>11–319</w:t>
      </w:r>
      <w:r w:rsidR="000A0E37" w:rsidRPr="00BA6590">
        <w:rPr>
          <w:lang w:val="en-GB"/>
        </w:rPr>
        <w:tab/>
      </w:r>
      <w:r w:rsidR="00417290" w:rsidRPr="00BA6590">
        <w:rPr>
          <w:lang w:val="en-GB"/>
        </w:rPr>
        <w:t>5</w:t>
      </w:r>
      <w:r w:rsidR="0007515B">
        <w:rPr>
          <w:lang w:val="en-GB"/>
        </w:rPr>
        <w:t>2</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0A0E37" w:rsidRPr="00BA6590">
        <w:rPr>
          <w:lang w:val="en-GB"/>
        </w:rPr>
        <w:tab/>
        <w:t>2.</w:t>
      </w:r>
      <w:r w:rsidR="000A0E37" w:rsidRPr="00BA6590">
        <w:rPr>
          <w:lang w:val="en-GB"/>
        </w:rPr>
        <w:tab/>
      </w:r>
      <w:r w:rsidR="00E8240E" w:rsidRPr="00BA6590">
        <w:rPr>
          <w:lang w:val="en-GB"/>
        </w:rPr>
        <w:t>Inclusive policy towards target groups</w:t>
      </w:r>
      <w:r w:rsidR="000A0E37" w:rsidRPr="00BA6590">
        <w:rPr>
          <w:lang w:val="en-GB"/>
        </w:rPr>
        <w:tab/>
      </w:r>
      <w:r w:rsidR="000A0E37" w:rsidRPr="00BA6590">
        <w:rPr>
          <w:lang w:val="en-GB"/>
        </w:rPr>
        <w:tab/>
        <w:t>3</w:t>
      </w:r>
      <w:r w:rsidR="00417290" w:rsidRPr="00BA6590">
        <w:rPr>
          <w:lang w:val="en-GB"/>
        </w:rPr>
        <w:t>20–323</w:t>
      </w:r>
      <w:r w:rsidR="000A0E37" w:rsidRPr="00BA6590">
        <w:rPr>
          <w:lang w:val="en-GB"/>
        </w:rPr>
        <w:tab/>
      </w:r>
      <w:r w:rsidR="0007515B">
        <w:rPr>
          <w:lang w:val="en-GB"/>
        </w:rPr>
        <w:t>53</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0A0E37" w:rsidRPr="00BA6590">
        <w:rPr>
          <w:lang w:val="en-GB"/>
        </w:rPr>
        <w:tab/>
        <w:t>3.</w:t>
      </w:r>
      <w:r w:rsidR="000A0E37" w:rsidRPr="00BA6590">
        <w:rPr>
          <w:lang w:val="en-GB"/>
        </w:rPr>
        <w:tab/>
      </w:r>
      <w:r w:rsidR="00E8240E" w:rsidRPr="00BA6590">
        <w:rPr>
          <w:lang w:val="en-GB"/>
        </w:rPr>
        <w:t>Wearing of symbols of belief</w:t>
      </w:r>
      <w:r w:rsidR="000A0E37" w:rsidRPr="00BA6590">
        <w:rPr>
          <w:lang w:val="en-GB"/>
        </w:rPr>
        <w:tab/>
      </w:r>
      <w:r w:rsidR="000A0E37" w:rsidRPr="00BA6590">
        <w:rPr>
          <w:lang w:val="en-GB"/>
        </w:rPr>
        <w:tab/>
        <w:t>3</w:t>
      </w:r>
      <w:r w:rsidR="00417290" w:rsidRPr="00BA6590">
        <w:rPr>
          <w:lang w:val="en-GB"/>
        </w:rPr>
        <w:t>24</w:t>
      </w:r>
      <w:r w:rsidR="000A0E37" w:rsidRPr="00BA6590">
        <w:rPr>
          <w:lang w:val="en-GB"/>
        </w:rPr>
        <w:tab/>
      </w:r>
      <w:r w:rsidR="00417290" w:rsidRPr="00BA6590">
        <w:rPr>
          <w:lang w:val="en-GB"/>
        </w:rPr>
        <w:t>5</w:t>
      </w:r>
      <w:r w:rsidR="0007515B">
        <w:rPr>
          <w:lang w:val="en-GB"/>
        </w:rPr>
        <w:t>3</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ind w:left="1984" w:hanging="1984"/>
        <w:rPr>
          <w:lang w:val="en-GB"/>
        </w:rPr>
      </w:pPr>
      <w:r w:rsidRPr="00BA6590">
        <w:rPr>
          <w:lang w:val="en-GB"/>
        </w:rPr>
        <w:tab/>
      </w:r>
      <w:r w:rsidR="00EB6E2C" w:rsidRPr="00BA6590">
        <w:rPr>
          <w:lang w:val="en-GB"/>
        </w:rPr>
        <w:tab/>
      </w:r>
      <w:r w:rsidR="000A0E37" w:rsidRPr="00BA6590">
        <w:rPr>
          <w:lang w:val="en-GB"/>
        </w:rPr>
        <w:tab/>
        <w:t>4.</w:t>
      </w:r>
      <w:r w:rsidR="000A0E37" w:rsidRPr="00BA6590">
        <w:rPr>
          <w:lang w:val="en-GB"/>
        </w:rPr>
        <w:tab/>
      </w:r>
      <w:r w:rsidR="00E8240E" w:rsidRPr="00BA6590">
        <w:rPr>
          <w:lang w:val="en-GB"/>
        </w:rPr>
        <w:t xml:space="preserve">Training and awareness programmes on issues covered by the </w:t>
      </w:r>
      <w:r w:rsidRPr="00BA6590">
        <w:rPr>
          <w:lang w:val="en-GB"/>
        </w:rPr>
        <w:br/>
      </w:r>
      <w:r w:rsidR="00E8240E" w:rsidRPr="00BA6590">
        <w:rPr>
          <w:lang w:val="en-GB"/>
        </w:rPr>
        <w:t>Convention</w:t>
      </w:r>
      <w:r w:rsidR="000A0E37" w:rsidRPr="00BA6590">
        <w:rPr>
          <w:lang w:val="en-GB"/>
        </w:rPr>
        <w:tab/>
      </w:r>
      <w:r w:rsidR="00EB6E2C" w:rsidRPr="00BA6590">
        <w:rPr>
          <w:lang w:val="en-GB"/>
        </w:rPr>
        <w:tab/>
      </w:r>
      <w:r w:rsidR="00417290" w:rsidRPr="00BA6590">
        <w:rPr>
          <w:lang w:val="en-GB"/>
        </w:rPr>
        <w:t>325–327</w:t>
      </w:r>
      <w:r w:rsidR="000A0E37" w:rsidRPr="00BA6590">
        <w:rPr>
          <w:lang w:val="en-GB"/>
        </w:rPr>
        <w:tab/>
      </w:r>
      <w:r w:rsidR="00417290" w:rsidRPr="00BA6590">
        <w:rPr>
          <w:lang w:val="en-GB"/>
        </w:rPr>
        <w:t>5</w:t>
      </w:r>
      <w:r w:rsidR="0007515B">
        <w:rPr>
          <w:lang w:val="en-GB"/>
        </w:rPr>
        <w:t>4</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AC1830" w:rsidRPr="00BA6590">
        <w:rPr>
          <w:lang w:val="en-GB"/>
        </w:rPr>
        <w:t>B.</w:t>
      </w:r>
      <w:r w:rsidR="00AC1830" w:rsidRPr="00BA6590">
        <w:rPr>
          <w:lang w:val="en-GB"/>
        </w:rPr>
        <w:tab/>
      </w:r>
      <w:r w:rsidR="00E8240E" w:rsidRPr="00BA6590">
        <w:rPr>
          <w:lang w:val="en-GB"/>
        </w:rPr>
        <w:t xml:space="preserve">French </w:t>
      </w:r>
      <w:r w:rsidR="00AC1830" w:rsidRPr="00BA6590">
        <w:rPr>
          <w:lang w:val="en-GB"/>
        </w:rPr>
        <w:t>Commun</w:t>
      </w:r>
      <w:r w:rsidR="00E8240E" w:rsidRPr="00BA6590">
        <w:rPr>
          <w:lang w:val="en-GB"/>
        </w:rPr>
        <w:t>ity</w:t>
      </w:r>
      <w:r w:rsidR="00AC1830" w:rsidRPr="00BA6590">
        <w:rPr>
          <w:lang w:val="en-GB"/>
        </w:rPr>
        <w:tab/>
      </w:r>
      <w:r w:rsidR="00AC1830" w:rsidRPr="00BA6590">
        <w:rPr>
          <w:lang w:val="en-GB"/>
        </w:rPr>
        <w:tab/>
      </w:r>
      <w:r w:rsidR="00417290" w:rsidRPr="00BA6590">
        <w:rPr>
          <w:lang w:val="en-GB"/>
        </w:rPr>
        <w:t>328</w:t>
      </w:r>
      <w:r w:rsidR="00AC1830" w:rsidRPr="00BA6590">
        <w:rPr>
          <w:lang w:val="en-GB"/>
        </w:rPr>
        <w:t>–</w:t>
      </w:r>
      <w:r w:rsidR="00417290" w:rsidRPr="00BA6590">
        <w:rPr>
          <w:lang w:val="en-GB"/>
        </w:rPr>
        <w:t>338</w:t>
      </w:r>
      <w:r w:rsidR="00AC1830" w:rsidRPr="00BA6590">
        <w:rPr>
          <w:lang w:val="en-GB"/>
        </w:rPr>
        <w:tab/>
      </w:r>
      <w:r w:rsidR="00417290" w:rsidRPr="00BA6590">
        <w:rPr>
          <w:lang w:val="en-GB"/>
        </w:rPr>
        <w:t>5</w:t>
      </w:r>
      <w:r w:rsidR="0007515B">
        <w:rPr>
          <w:lang w:val="en-GB"/>
        </w:rPr>
        <w:t>4</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AC1830" w:rsidRPr="00BA6590">
        <w:rPr>
          <w:lang w:val="en-GB"/>
        </w:rPr>
        <w:tab/>
        <w:t>1.</w:t>
      </w:r>
      <w:r w:rsidR="00AC1830" w:rsidRPr="00BA6590">
        <w:rPr>
          <w:lang w:val="en-GB"/>
        </w:rPr>
        <w:tab/>
      </w:r>
      <w:r w:rsidR="00E8240E" w:rsidRPr="00BA6590">
        <w:rPr>
          <w:lang w:val="en-GB"/>
        </w:rPr>
        <w:t>New decrees in the area of education</w:t>
      </w:r>
      <w:r w:rsidR="00AC1830" w:rsidRPr="00BA6590">
        <w:rPr>
          <w:lang w:val="en-GB"/>
        </w:rPr>
        <w:tab/>
      </w:r>
      <w:r w:rsidR="00AC1830" w:rsidRPr="00BA6590">
        <w:rPr>
          <w:lang w:val="en-GB"/>
        </w:rPr>
        <w:tab/>
      </w:r>
      <w:r w:rsidR="00417290" w:rsidRPr="00BA6590">
        <w:rPr>
          <w:lang w:val="en-GB"/>
        </w:rPr>
        <w:t>328–331</w:t>
      </w:r>
      <w:r w:rsidR="00AC1830" w:rsidRPr="00BA6590">
        <w:rPr>
          <w:lang w:val="en-GB"/>
        </w:rPr>
        <w:tab/>
      </w:r>
      <w:r w:rsidR="00417290" w:rsidRPr="00BA6590">
        <w:rPr>
          <w:lang w:val="en-GB"/>
        </w:rPr>
        <w:t>5</w:t>
      </w:r>
      <w:r w:rsidR="0007515B">
        <w:rPr>
          <w:lang w:val="en-GB"/>
        </w:rPr>
        <w:t>4</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AC1830" w:rsidRPr="00BA6590">
        <w:rPr>
          <w:lang w:val="en-GB"/>
        </w:rPr>
        <w:tab/>
        <w:t>2.</w:t>
      </w:r>
      <w:r w:rsidR="00AC1830" w:rsidRPr="00BA6590">
        <w:rPr>
          <w:lang w:val="en-GB"/>
        </w:rPr>
        <w:tab/>
      </w:r>
      <w:r w:rsidR="00E8240E" w:rsidRPr="00BA6590">
        <w:rPr>
          <w:lang w:val="en-GB"/>
        </w:rPr>
        <w:t>Raising awareness among actors in education</w:t>
      </w:r>
      <w:r w:rsidR="00AC1830" w:rsidRPr="00BA6590">
        <w:rPr>
          <w:lang w:val="en-GB"/>
        </w:rPr>
        <w:tab/>
      </w:r>
      <w:r w:rsidR="00AC1830" w:rsidRPr="00BA6590">
        <w:rPr>
          <w:lang w:val="en-GB"/>
        </w:rPr>
        <w:tab/>
      </w:r>
      <w:r w:rsidR="00417290" w:rsidRPr="00BA6590">
        <w:rPr>
          <w:lang w:val="en-GB"/>
        </w:rPr>
        <w:t>332–335</w:t>
      </w:r>
      <w:r w:rsidR="00AC1830" w:rsidRPr="00BA6590">
        <w:rPr>
          <w:lang w:val="en-GB"/>
        </w:rPr>
        <w:tab/>
      </w:r>
      <w:r w:rsidR="0007515B">
        <w:rPr>
          <w:lang w:val="en-GB"/>
        </w:rPr>
        <w:t>55</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AC1830" w:rsidRPr="00BA6590">
        <w:rPr>
          <w:lang w:val="en-GB"/>
        </w:rPr>
        <w:tab/>
        <w:t>3.</w:t>
      </w:r>
      <w:r w:rsidR="00AC1830" w:rsidRPr="00BA6590">
        <w:rPr>
          <w:lang w:val="en-GB"/>
        </w:rPr>
        <w:tab/>
      </w:r>
      <w:r w:rsidR="004E02AE" w:rsidRPr="00BA6590">
        <w:rPr>
          <w:lang w:val="en-GB"/>
        </w:rPr>
        <w:t>Opinions and recommendations in the area of education</w:t>
      </w:r>
      <w:r w:rsidR="00AC1830" w:rsidRPr="00BA6590">
        <w:rPr>
          <w:lang w:val="en-GB"/>
        </w:rPr>
        <w:tab/>
      </w:r>
      <w:r w:rsidR="00AC1830" w:rsidRPr="00BA6590">
        <w:rPr>
          <w:lang w:val="en-GB"/>
        </w:rPr>
        <w:tab/>
      </w:r>
      <w:r w:rsidR="00417290" w:rsidRPr="00BA6590">
        <w:rPr>
          <w:lang w:val="en-GB"/>
        </w:rPr>
        <w:t>3</w:t>
      </w:r>
      <w:r w:rsidR="00AC1830" w:rsidRPr="00BA6590">
        <w:rPr>
          <w:lang w:val="en-GB"/>
        </w:rPr>
        <w:t>36–3</w:t>
      </w:r>
      <w:r w:rsidR="00417290" w:rsidRPr="00BA6590">
        <w:rPr>
          <w:lang w:val="en-GB"/>
        </w:rPr>
        <w:t>37</w:t>
      </w:r>
      <w:r w:rsidR="00AC1830" w:rsidRPr="00BA6590">
        <w:rPr>
          <w:lang w:val="en-GB"/>
        </w:rPr>
        <w:tab/>
      </w:r>
      <w:r w:rsidR="0007515B">
        <w:rPr>
          <w:lang w:val="en-GB"/>
        </w:rPr>
        <w:t>56</w:t>
      </w:r>
    </w:p>
    <w:p w:rsidR="00EB6E2C" w:rsidRPr="00BA6590" w:rsidRDefault="00950D14" w:rsidP="00950D14">
      <w:pPr>
        <w:tabs>
          <w:tab w:val="right" w:pos="850"/>
          <w:tab w:val="left" w:pos="1134"/>
          <w:tab w:val="left" w:pos="1559"/>
          <w:tab w:val="left" w:pos="1984"/>
          <w:tab w:val="left" w:leader="dot" w:pos="7654"/>
          <w:tab w:val="right" w:pos="8929"/>
          <w:tab w:val="right" w:pos="9638"/>
        </w:tabs>
        <w:suppressAutoHyphens w:val="0"/>
        <w:spacing w:after="114"/>
        <w:rPr>
          <w:lang w:val="en-GB"/>
        </w:rPr>
      </w:pPr>
      <w:r w:rsidRPr="00BA6590">
        <w:rPr>
          <w:lang w:val="en-GB"/>
        </w:rPr>
        <w:tab/>
      </w:r>
      <w:r w:rsidR="00EB6E2C" w:rsidRPr="00BA6590">
        <w:rPr>
          <w:lang w:val="en-GB"/>
        </w:rPr>
        <w:tab/>
      </w:r>
      <w:r w:rsidR="00AC1830" w:rsidRPr="00BA6590">
        <w:rPr>
          <w:lang w:val="en-GB"/>
        </w:rPr>
        <w:tab/>
        <w:t>4.</w:t>
      </w:r>
      <w:r w:rsidR="00AC1830" w:rsidRPr="00BA6590">
        <w:rPr>
          <w:lang w:val="en-GB"/>
        </w:rPr>
        <w:tab/>
      </w:r>
      <w:r w:rsidR="004E02AE" w:rsidRPr="00BA6590">
        <w:rPr>
          <w:lang w:val="en-GB"/>
        </w:rPr>
        <w:t>Plan of Action for Equality and Diversity in the Audiovisual Media</w:t>
      </w:r>
      <w:r w:rsidR="00EB6E2C" w:rsidRPr="00BA6590">
        <w:rPr>
          <w:lang w:val="en-GB"/>
        </w:rPr>
        <w:tab/>
      </w:r>
      <w:r w:rsidR="00AC1830" w:rsidRPr="00BA6590">
        <w:rPr>
          <w:lang w:val="en-GB"/>
        </w:rPr>
        <w:tab/>
      </w:r>
      <w:r w:rsidR="00417290" w:rsidRPr="00BA6590">
        <w:rPr>
          <w:lang w:val="en-GB"/>
        </w:rPr>
        <w:t>338</w:t>
      </w:r>
      <w:r w:rsidR="00E0737B" w:rsidRPr="00BA6590">
        <w:rPr>
          <w:lang w:val="en-GB"/>
        </w:rPr>
        <w:tab/>
      </w:r>
      <w:r w:rsidR="0007515B">
        <w:rPr>
          <w:lang w:val="en-GB"/>
        </w:rPr>
        <w:t>56</w:t>
      </w:r>
    </w:p>
    <w:p w:rsidR="00EB6E2C" w:rsidRPr="00BA6590" w:rsidRDefault="00950D14" w:rsidP="00950D14">
      <w:pPr>
        <w:tabs>
          <w:tab w:val="right" w:pos="850"/>
          <w:tab w:val="left" w:pos="1134"/>
          <w:tab w:val="left" w:pos="1559"/>
          <w:tab w:val="left" w:pos="1984"/>
          <w:tab w:val="left" w:leader="dot" w:pos="7654"/>
          <w:tab w:val="right" w:pos="8929"/>
          <w:tab w:val="right" w:pos="9638"/>
        </w:tabs>
        <w:spacing w:after="114"/>
        <w:ind w:left="1134" w:hanging="1134"/>
        <w:rPr>
          <w:lang w:val="en-GB"/>
        </w:rPr>
      </w:pPr>
      <w:r w:rsidRPr="00BA6590">
        <w:rPr>
          <w:lang w:val="en-GB"/>
        </w:rPr>
        <w:tab/>
      </w:r>
      <w:r w:rsidR="00EB6E2C" w:rsidRPr="00BA6590">
        <w:rPr>
          <w:lang w:val="en-GB"/>
        </w:rPr>
        <w:tab/>
      </w:r>
      <w:r w:rsidR="0007515B" w:rsidRPr="00BA6590">
        <w:rPr>
          <w:lang w:val="en-GB"/>
        </w:rPr>
        <w:t xml:space="preserve">Replies to the Committee’s concluding observations and recommendations in </w:t>
      </w:r>
      <w:r w:rsidR="0007515B">
        <w:rPr>
          <w:lang w:val="en-GB"/>
        </w:rPr>
        <w:br/>
      </w:r>
      <w:r w:rsidR="0007515B" w:rsidRPr="00BA6590">
        <w:rPr>
          <w:lang w:val="en-GB"/>
        </w:rPr>
        <w:t>relation to the previous report (CERD/C/BEL/CO/15)</w:t>
      </w:r>
      <w:r w:rsidR="00E0737B" w:rsidRPr="00BA6590">
        <w:rPr>
          <w:lang w:val="en-GB"/>
        </w:rPr>
        <w:tab/>
      </w:r>
      <w:r w:rsidR="00E0737B" w:rsidRPr="00BA6590">
        <w:rPr>
          <w:lang w:val="en-GB"/>
        </w:rPr>
        <w:tab/>
        <w:t>3</w:t>
      </w:r>
      <w:r w:rsidR="00417290" w:rsidRPr="00BA6590">
        <w:rPr>
          <w:lang w:val="en-GB"/>
        </w:rPr>
        <w:t>39</w:t>
      </w:r>
      <w:r w:rsidR="00E0737B" w:rsidRPr="00BA6590">
        <w:rPr>
          <w:lang w:val="en-GB"/>
        </w:rPr>
        <w:t>–38</w:t>
      </w:r>
      <w:r w:rsidR="00C1674A" w:rsidRPr="00BA6590">
        <w:rPr>
          <w:lang w:val="en-GB"/>
        </w:rPr>
        <w:t>1</w:t>
      </w:r>
      <w:r w:rsidR="00E0737B" w:rsidRPr="00BA6590">
        <w:rPr>
          <w:lang w:val="en-GB"/>
        </w:rPr>
        <w:tab/>
      </w:r>
      <w:r w:rsidR="0007515B">
        <w:rPr>
          <w:lang w:val="en-GB"/>
        </w:rPr>
        <w:t>56</w:t>
      </w:r>
    </w:p>
    <w:p w:rsidR="00ED343D" w:rsidRPr="00BA6590" w:rsidRDefault="00EB6E2C" w:rsidP="00950D14">
      <w:pPr>
        <w:tabs>
          <w:tab w:val="right" w:pos="850"/>
          <w:tab w:val="left" w:pos="1134"/>
          <w:tab w:val="right" w:leader="dot" w:pos="8929"/>
          <w:tab w:val="right" w:pos="9638"/>
        </w:tabs>
        <w:spacing w:after="114"/>
        <w:rPr>
          <w:lang w:val="en-GB"/>
        </w:rPr>
      </w:pPr>
      <w:r w:rsidRPr="00BA6590">
        <w:rPr>
          <w:lang w:val="en-GB"/>
        </w:rPr>
        <w:tab/>
      </w:r>
      <w:r w:rsidR="00950D14" w:rsidRPr="00BA6590">
        <w:rPr>
          <w:lang w:val="en-GB"/>
        </w:rPr>
        <w:tab/>
      </w:r>
      <w:r w:rsidR="004E02AE" w:rsidRPr="00BA6590">
        <w:rPr>
          <w:lang w:val="en-GB"/>
        </w:rPr>
        <w:t>List of</w:t>
      </w:r>
      <w:r w:rsidR="00ED343D" w:rsidRPr="00BA6590">
        <w:rPr>
          <w:lang w:val="en-GB"/>
        </w:rPr>
        <w:t xml:space="preserve"> annexes</w:t>
      </w:r>
      <w:r w:rsidR="00424B04" w:rsidRPr="00BA6590">
        <w:rPr>
          <w:rStyle w:val="FootnoteReference"/>
          <w:sz w:val="20"/>
          <w:vertAlign w:val="baseline"/>
          <w:lang w:val="en-GB"/>
        </w:rPr>
        <w:footnoteReference w:customMarkFollows="1" w:id="4"/>
        <w:sym w:font="Symbol" w:char="F02A"/>
      </w:r>
      <w:r w:rsidR="00424B04" w:rsidRPr="00BA6590">
        <w:rPr>
          <w:rStyle w:val="FootnoteReference"/>
          <w:sz w:val="20"/>
          <w:vertAlign w:val="baseline"/>
          <w:lang w:val="en-GB"/>
        </w:rPr>
        <w:sym w:font="Symbol" w:char="F02A"/>
      </w:r>
      <w:r w:rsidR="00424B04" w:rsidRPr="00BA6590">
        <w:rPr>
          <w:rStyle w:val="FootnoteReference"/>
          <w:sz w:val="20"/>
          <w:vertAlign w:val="baseline"/>
          <w:lang w:val="en-GB"/>
        </w:rPr>
        <w:sym w:font="Symbol" w:char="F02A"/>
      </w:r>
      <w:r w:rsidR="00ED343D" w:rsidRPr="00BA6590">
        <w:rPr>
          <w:lang w:val="en-GB"/>
        </w:rPr>
        <w:tab/>
      </w:r>
      <w:r w:rsidRPr="00BA6590">
        <w:rPr>
          <w:lang w:val="en-GB"/>
        </w:rPr>
        <w:tab/>
      </w:r>
      <w:r w:rsidR="0007515B">
        <w:rPr>
          <w:lang w:val="en-GB"/>
        </w:rPr>
        <w:t>66</w:t>
      </w:r>
    </w:p>
    <w:p w:rsidR="00FD4BC3" w:rsidRPr="00BA6590" w:rsidRDefault="00310300" w:rsidP="00D31747">
      <w:pPr>
        <w:pStyle w:val="HChG"/>
        <w:rPr>
          <w:lang w:val="en-GB"/>
        </w:rPr>
      </w:pPr>
      <w:r w:rsidRPr="00BA6590">
        <w:rPr>
          <w:lang w:val="en-GB"/>
        </w:rPr>
        <w:br w:type="page"/>
      </w:r>
      <w:r w:rsidR="00FD4BC3" w:rsidRPr="00BA6590">
        <w:rPr>
          <w:lang w:val="en-GB"/>
        </w:rPr>
        <w:tab/>
      </w:r>
      <w:r w:rsidR="00E760B7" w:rsidRPr="00BA6590">
        <w:rPr>
          <w:lang w:val="en-GB"/>
        </w:rPr>
        <w:tab/>
      </w:r>
      <w:r w:rsidR="00FD4BC3" w:rsidRPr="00BA6590">
        <w:rPr>
          <w:lang w:val="en-GB"/>
        </w:rPr>
        <w:t>Introduction</w:t>
      </w:r>
    </w:p>
    <w:p w:rsidR="00FD4BC3" w:rsidRPr="00BA6590" w:rsidRDefault="00FD4BC3" w:rsidP="00D07C1B">
      <w:pPr>
        <w:pStyle w:val="SingleTxtG"/>
        <w:rPr>
          <w:lang w:val="en-GB"/>
        </w:rPr>
      </w:pPr>
      <w:r w:rsidRPr="00BA6590">
        <w:rPr>
          <w:lang w:val="en-GB"/>
        </w:rPr>
        <w:t>1.</w:t>
      </w:r>
      <w:r w:rsidRPr="00BA6590">
        <w:rPr>
          <w:lang w:val="en-GB"/>
        </w:rPr>
        <w:tab/>
      </w:r>
      <w:r w:rsidR="00307147" w:rsidRPr="00BA6590">
        <w:rPr>
          <w:lang w:val="en-GB"/>
        </w:rPr>
        <w:t xml:space="preserve">Pursuant to article 9, paragraph 1, of the International Convention on the Elimination of All Forms of Racial Discrimination (hereinafter referred to as </w:t>
      </w:r>
      <w:r w:rsidR="001E7F89" w:rsidRPr="00BA6590">
        <w:rPr>
          <w:lang w:val="en-GB"/>
        </w:rPr>
        <w:t>“</w:t>
      </w:r>
      <w:r w:rsidR="00307147" w:rsidRPr="00BA6590">
        <w:rPr>
          <w:lang w:val="en-GB"/>
        </w:rPr>
        <w:t>the</w:t>
      </w:r>
      <w:r w:rsidR="00A216FB" w:rsidRPr="00BA6590">
        <w:rPr>
          <w:lang w:val="en-GB"/>
        </w:rPr>
        <w:t> </w:t>
      </w:r>
      <w:r w:rsidR="00307147" w:rsidRPr="00BA6590">
        <w:rPr>
          <w:lang w:val="en-GB"/>
        </w:rPr>
        <w:t>Convention</w:t>
      </w:r>
      <w:r w:rsidR="001E7F89" w:rsidRPr="00BA6590">
        <w:rPr>
          <w:lang w:val="en-GB"/>
        </w:rPr>
        <w:t>”</w:t>
      </w:r>
      <w:r w:rsidR="00307147" w:rsidRPr="00BA6590">
        <w:rPr>
          <w:lang w:val="en-GB"/>
        </w:rPr>
        <w:t>), Belgium has prepared a new report on th</w:t>
      </w:r>
      <w:r w:rsidR="00D567B7" w:rsidRPr="00BA6590">
        <w:rPr>
          <w:lang w:val="en-GB"/>
        </w:rPr>
        <w:t>e legislative, administrative and</w:t>
      </w:r>
      <w:r w:rsidR="00307147" w:rsidRPr="00BA6590">
        <w:rPr>
          <w:lang w:val="en-GB"/>
        </w:rPr>
        <w:t xml:space="preserve"> other measures which give effect within the country to the international </w:t>
      </w:r>
      <w:r w:rsidR="00D567B7" w:rsidRPr="00BA6590">
        <w:rPr>
          <w:lang w:val="en-GB"/>
        </w:rPr>
        <w:t>obligations</w:t>
      </w:r>
      <w:r w:rsidR="00307147" w:rsidRPr="00BA6590">
        <w:rPr>
          <w:lang w:val="en-GB"/>
        </w:rPr>
        <w:t xml:space="preserve"> resulting from the ratification of the Convention. </w:t>
      </w:r>
    </w:p>
    <w:p w:rsidR="00FD4BC3" w:rsidRPr="00BA6590" w:rsidRDefault="00FD4BC3" w:rsidP="00FD4BC3">
      <w:pPr>
        <w:pStyle w:val="SingleTxtG"/>
        <w:rPr>
          <w:lang w:val="en-GB"/>
        </w:rPr>
      </w:pPr>
      <w:r w:rsidRPr="00BA6590">
        <w:rPr>
          <w:lang w:val="en-GB"/>
        </w:rPr>
        <w:t>2.</w:t>
      </w:r>
      <w:r w:rsidRPr="00BA6590">
        <w:rPr>
          <w:lang w:val="en-GB"/>
        </w:rPr>
        <w:tab/>
      </w:r>
      <w:r w:rsidR="00E13BD7" w:rsidRPr="00BA6590">
        <w:rPr>
          <w:lang w:val="en-GB"/>
        </w:rPr>
        <w:t xml:space="preserve">The fourteenth and fifteenth periodic reports of Belgium, presented as a single document, were </w:t>
      </w:r>
      <w:r w:rsidR="00816F73" w:rsidRPr="00BA6590">
        <w:rPr>
          <w:lang w:val="en-GB"/>
        </w:rPr>
        <w:t>considered</w:t>
      </w:r>
      <w:r w:rsidR="00E13BD7" w:rsidRPr="00BA6590">
        <w:rPr>
          <w:lang w:val="en-GB"/>
        </w:rPr>
        <w:t xml:space="preserve"> </w:t>
      </w:r>
      <w:r w:rsidR="00816F73" w:rsidRPr="00BA6590">
        <w:rPr>
          <w:lang w:val="en-GB"/>
        </w:rPr>
        <w:t>at meetings of the Committee</w:t>
      </w:r>
      <w:r w:rsidR="00E13BD7" w:rsidRPr="00BA6590">
        <w:rPr>
          <w:lang w:val="en-GB"/>
        </w:rPr>
        <w:t xml:space="preserve"> on </w:t>
      </w:r>
      <w:r w:rsidRPr="00BA6590">
        <w:rPr>
          <w:lang w:val="en-GB"/>
        </w:rPr>
        <w:t xml:space="preserve">25 </w:t>
      </w:r>
      <w:r w:rsidR="00E13BD7" w:rsidRPr="00BA6590">
        <w:rPr>
          <w:lang w:val="en-GB"/>
        </w:rPr>
        <w:t>and</w:t>
      </w:r>
      <w:r w:rsidRPr="00BA6590">
        <w:rPr>
          <w:lang w:val="en-GB"/>
        </w:rPr>
        <w:t xml:space="preserve"> 26</w:t>
      </w:r>
      <w:r w:rsidR="00E13BD7" w:rsidRPr="00BA6590">
        <w:rPr>
          <w:lang w:val="en-GB"/>
        </w:rPr>
        <w:t xml:space="preserve"> February</w:t>
      </w:r>
      <w:r w:rsidRPr="00BA6590">
        <w:rPr>
          <w:lang w:val="en-GB"/>
        </w:rPr>
        <w:t xml:space="preserve"> 2008.</w:t>
      </w:r>
      <w:r w:rsidR="00E13BD7" w:rsidRPr="00BA6590">
        <w:rPr>
          <w:lang w:val="en-GB"/>
        </w:rPr>
        <w:t xml:space="preserve"> The Concluding </w:t>
      </w:r>
      <w:r w:rsidR="008662C8" w:rsidRPr="00BA6590">
        <w:rPr>
          <w:lang w:val="en-GB"/>
        </w:rPr>
        <w:t>O</w:t>
      </w:r>
      <w:r w:rsidR="00E13BD7" w:rsidRPr="00BA6590">
        <w:rPr>
          <w:lang w:val="en-GB"/>
        </w:rPr>
        <w:t xml:space="preserve">bservations of the Committee in relation to that report were officially published on </w:t>
      </w:r>
      <w:r w:rsidRPr="00BA6590">
        <w:rPr>
          <w:lang w:val="en-GB"/>
        </w:rPr>
        <w:t xml:space="preserve">11 </w:t>
      </w:r>
      <w:r w:rsidR="00E13BD7" w:rsidRPr="00BA6590">
        <w:rPr>
          <w:lang w:val="en-GB"/>
        </w:rPr>
        <w:t>April</w:t>
      </w:r>
      <w:r w:rsidRPr="00BA6590">
        <w:rPr>
          <w:lang w:val="en-GB"/>
        </w:rPr>
        <w:t xml:space="preserve"> 2008.</w:t>
      </w:r>
    </w:p>
    <w:p w:rsidR="00FD4BC3" w:rsidRPr="00BA6590" w:rsidRDefault="00FD4BC3" w:rsidP="002409EB">
      <w:pPr>
        <w:pStyle w:val="SingleTxtG"/>
        <w:rPr>
          <w:lang w:val="en-GB"/>
        </w:rPr>
      </w:pPr>
      <w:r w:rsidRPr="00BA6590">
        <w:rPr>
          <w:lang w:val="en-GB"/>
        </w:rPr>
        <w:t>3.</w:t>
      </w:r>
      <w:r w:rsidRPr="00BA6590">
        <w:rPr>
          <w:lang w:val="en-GB"/>
        </w:rPr>
        <w:tab/>
      </w:r>
      <w:r w:rsidR="00C85DCB" w:rsidRPr="00BA6590">
        <w:rPr>
          <w:lang w:val="en-GB"/>
        </w:rPr>
        <w:t xml:space="preserve">On 1 April 2009, </w:t>
      </w:r>
      <w:r w:rsidR="00D567B7" w:rsidRPr="00BA6590">
        <w:rPr>
          <w:lang w:val="en-GB"/>
        </w:rPr>
        <w:t>in response</w:t>
      </w:r>
      <w:r w:rsidR="00A84329" w:rsidRPr="00BA6590">
        <w:rPr>
          <w:lang w:val="en-GB"/>
        </w:rPr>
        <w:t xml:space="preserve"> to parag</w:t>
      </w:r>
      <w:r w:rsidR="008662C8" w:rsidRPr="00BA6590">
        <w:rPr>
          <w:lang w:val="en-GB"/>
        </w:rPr>
        <w:t>raph 30 of the C</w:t>
      </w:r>
      <w:r w:rsidR="00A84329" w:rsidRPr="00BA6590">
        <w:rPr>
          <w:lang w:val="en-GB"/>
        </w:rPr>
        <w:t xml:space="preserve">oncluding </w:t>
      </w:r>
      <w:r w:rsidR="008662C8" w:rsidRPr="00BA6590">
        <w:rPr>
          <w:lang w:val="en-GB"/>
        </w:rPr>
        <w:t>O</w:t>
      </w:r>
      <w:r w:rsidR="005F042E" w:rsidRPr="00BA6590">
        <w:rPr>
          <w:lang w:val="en-GB"/>
        </w:rPr>
        <w:t>bservations</w:t>
      </w:r>
      <w:r w:rsidR="00A84329" w:rsidRPr="00BA6590">
        <w:rPr>
          <w:lang w:val="en-GB"/>
        </w:rPr>
        <w:t xml:space="preserve"> of the Committee (CERD/C/BEL/CO/15), </w:t>
      </w:r>
      <w:r w:rsidR="00C85DCB" w:rsidRPr="00BA6590">
        <w:rPr>
          <w:lang w:val="en-GB"/>
        </w:rPr>
        <w:t>Belgium provided additional information on its response to the concerns mentioned in paragraphs 10, 14, 16 and</w:t>
      </w:r>
      <w:r w:rsidRPr="00BA6590">
        <w:rPr>
          <w:lang w:val="en-GB"/>
        </w:rPr>
        <w:t xml:space="preserve"> 22</w:t>
      </w:r>
      <w:r w:rsidR="00D567B7" w:rsidRPr="00BA6590">
        <w:rPr>
          <w:lang w:val="en-GB"/>
        </w:rPr>
        <w:t xml:space="preserve"> (CERD/C/BEL/CO/15/Add.1)</w:t>
      </w:r>
      <w:r w:rsidRPr="00BA6590">
        <w:rPr>
          <w:lang w:val="en-GB"/>
        </w:rPr>
        <w:t>.</w:t>
      </w:r>
    </w:p>
    <w:p w:rsidR="00FD4BC3" w:rsidRPr="00BA6590" w:rsidRDefault="00FD4BC3" w:rsidP="00FD4BC3">
      <w:pPr>
        <w:pStyle w:val="SingleTxtG"/>
        <w:rPr>
          <w:lang w:val="en-GB"/>
        </w:rPr>
      </w:pPr>
      <w:r w:rsidRPr="00BA6590">
        <w:rPr>
          <w:lang w:val="en-GB"/>
        </w:rPr>
        <w:t>4.</w:t>
      </w:r>
      <w:r w:rsidRPr="00BA6590">
        <w:rPr>
          <w:lang w:val="en-GB"/>
        </w:rPr>
        <w:tab/>
      </w:r>
      <w:r w:rsidR="002810CD" w:rsidRPr="00BA6590">
        <w:rPr>
          <w:lang w:val="en-GB"/>
        </w:rPr>
        <w:t xml:space="preserve">The present document submitted to the Committee on the Elimination of Racial Discrimination responds to paragraph 31 of the aforementioned </w:t>
      </w:r>
      <w:r w:rsidR="008662C8" w:rsidRPr="00BA6590">
        <w:rPr>
          <w:lang w:val="en-GB"/>
        </w:rPr>
        <w:t>Concluding Observations</w:t>
      </w:r>
      <w:r w:rsidR="002810CD" w:rsidRPr="00BA6590">
        <w:rPr>
          <w:lang w:val="en-GB"/>
        </w:rPr>
        <w:t xml:space="preserve">, which recommended that Belgium should submit its sixteenth to nineteenth periodic reports as a single document, </w:t>
      </w:r>
      <w:r w:rsidR="00D567B7" w:rsidRPr="00BA6590">
        <w:rPr>
          <w:lang w:val="en-GB"/>
        </w:rPr>
        <w:t>in the form</w:t>
      </w:r>
      <w:r w:rsidR="002810CD" w:rsidRPr="00BA6590">
        <w:rPr>
          <w:lang w:val="en-GB"/>
        </w:rPr>
        <w:t xml:space="preserve"> of an update to the previous report and re</w:t>
      </w:r>
      <w:r w:rsidR="00D567B7" w:rsidRPr="00BA6590">
        <w:rPr>
          <w:lang w:val="en-GB"/>
        </w:rPr>
        <w:t>spond</w:t>
      </w:r>
      <w:r w:rsidR="002810CD" w:rsidRPr="00BA6590">
        <w:rPr>
          <w:lang w:val="en-GB"/>
        </w:rPr>
        <w:t xml:space="preserve">ing to the issues raised in those </w:t>
      </w:r>
      <w:r w:rsidR="008662C8" w:rsidRPr="00BA6590">
        <w:rPr>
          <w:lang w:val="en-GB"/>
        </w:rPr>
        <w:t>Concluding Observations</w:t>
      </w:r>
      <w:r w:rsidR="002810CD" w:rsidRPr="00BA6590">
        <w:rPr>
          <w:lang w:val="en-GB"/>
        </w:rPr>
        <w:t xml:space="preserve"> adopted by the Committee on 5 March</w:t>
      </w:r>
      <w:r w:rsidRPr="00BA6590">
        <w:rPr>
          <w:lang w:val="en-GB"/>
        </w:rPr>
        <w:t xml:space="preserve"> 2008.</w:t>
      </w:r>
      <w:r w:rsidR="00224099" w:rsidRPr="00BA6590">
        <w:rPr>
          <w:lang w:val="en-GB"/>
        </w:rPr>
        <w:t xml:space="preserve"> </w:t>
      </w:r>
    </w:p>
    <w:p w:rsidR="00FD4BC3" w:rsidRPr="00BA6590" w:rsidRDefault="00FD4BC3" w:rsidP="00BA355C">
      <w:pPr>
        <w:pStyle w:val="SingleTxtG"/>
        <w:rPr>
          <w:lang w:val="en-GB"/>
        </w:rPr>
      </w:pPr>
      <w:r w:rsidRPr="00BA6590">
        <w:rPr>
          <w:lang w:val="en-GB"/>
        </w:rPr>
        <w:t>5.</w:t>
      </w:r>
      <w:r w:rsidRPr="00BA6590">
        <w:rPr>
          <w:lang w:val="en-GB"/>
        </w:rPr>
        <w:tab/>
      </w:r>
      <w:r w:rsidR="00115ED4" w:rsidRPr="00BA6590">
        <w:rPr>
          <w:lang w:val="en-GB"/>
        </w:rPr>
        <w:t xml:space="preserve">The present report endeavours to provide detailed responses to those comments, which are contained in </w:t>
      </w:r>
      <w:r w:rsidR="00816F73" w:rsidRPr="00BA6590">
        <w:rPr>
          <w:lang w:val="en-GB"/>
        </w:rPr>
        <w:t>Section</w:t>
      </w:r>
      <w:r w:rsidR="00115ED4" w:rsidRPr="00BA6590">
        <w:rPr>
          <w:lang w:val="en-GB"/>
        </w:rPr>
        <w:t xml:space="preserve"> C of document </w:t>
      </w:r>
      <w:r w:rsidRPr="00BA6590">
        <w:rPr>
          <w:lang w:val="en-GB"/>
        </w:rPr>
        <w:t>CERD/C/BEL/CO/15</w:t>
      </w:r>
      <w:r w:rsidR="00115ED4" w:rsidRPr="00BA6590">
        <w:rPr>
          <w:lang w:val="en-GB"/>
        </w:rPr>
        <w:t xml:space="preserve">, entitled </w:t>
      </w:r>
      <w:r w:rsidR="00A216FB" w:rsidRPr="00BA6590">
        <w:rPr>
          <w:lang w:val="en-GB"/>
        </w:rPr>
        <w:t>“</w:t>
      </w:r>
      <w:r w:rsidR="00115ED4" w:rsidRPr="00BA6590">
        <w:rPr>
          <w:lang w:val="en-GB"/>
        </w:rPr>
        <w:t>specific concerns and recomme</w:t>
      </w:r>
      <w:r w:rsidRPr="00BA6590">
        <w:rPr>
          <w:lang w:val="en-GB"/>
        </w:rPr>
        <w:t>ndations</w:t>
      </w:r>
      <w:r w:rsidR="00A216FB" w:rsidRPr="00BA6590">
        <w:rPr>
          <w:lang w:val="en-GB"/>
        </w:rPr>
        <w:t>”</w:t>
      </w:r>
      <w:r w:rsidRPr="00BA6590">
        <w:rPr>
          <w:lang w:val="en-GB"/>
        </w:rPr>
        <w:t>.</w:t>
      </w:r>
    </w:p>
    <w:p w:rsidR="00FD4BC3" w:rsidRPr="00BA6590" w:rsidRDefault="00FD4BC3" w:rsidP="00FD4BC3">
      <w:pPr>
        <w:pStyle w:val="SingleTxtG"/>
        <w:rPr>
          <w:lang w:val="en-GB"/>
        </w:rPr>
      </w:pPr>
      <w:r w:rsidRPr="00BA6590">
        <w:rPr>
          <w:lang w:val="en-GB"/>
        </w:rPr>
        <w:t>6.</w:t>
      </w:r>
      <w:r w:rsidRPr="00BA6590">
        <w:rPr>
          <w:lang w:val="en-GB"/>
        </w:rPr>
        <w:tab/>
      </w:r>
      <w:r w:rsidR="00115ED4" w:rsidRPr="00BA6590">
        <w:rPr>
          <w:lang w:val="en-GB"/>
        </w:rPr>
        <w:t xml:space="preserve">Replies to those comments are included in this report. </w:t>
      </w:r>
    </w:p>
    <w:p w:rsidR="00FD4BC3" w:rsidRPr="00BA6590" w:rsidRDefault="00FD4BC3" w:rsidP="00B46282">
      <w:pPr>
        <w:pStyle w:val="SingleTxtG"/>
        <w:rPr>
          <w:lang w:val="en-GB"/>
        </w:rPr>
      </w:pPr>
      <w:r w:rsidRPr="00BA6590">
        <w:rPr>
          <w:lang w:val="en-GB"/>
        </w:rPr>
        <w:t>7.</w:t>
      </w:r>
      <w:r w:rsidRPr="00BA6590">
        <w:rPr>
          <w:lang w:val="en-GB"/>
        </w:rPr>
        <w:tab/>
      </w:r>
      <w:r w:rsidR="00115ED4" w:rsidRPr="00BA6590">
        <w:rPr>
          <w:lang w:val="en-GB"/>
        </w:rPr>
        <w:t xml:space="preserve">Belgium takes this opportunity to reiterate the importance it attaches to the work of United Nations treaty monitoring bodies and to emphasize the significance of their contributions to the protection and promotion of human rights. </w:t>
      </w:r>
    </w:p>
    <w:p w:rsidR="00FD4BC3" w:rsidRPr="00BA6590" w:rsidRDefault="00FD4BC3" w:rsidP="00B46282">
      <w:pPr>
        <w:pStyle w:val="SingleTxtG"/>
        <w:rPr>
          <w:lang w:val="en-GB"/>
        </w:rPr>
      </w:pPr>
      <w:r w:rsidRPr="00BA6590">
        <w:rPr>
          <w:lang w:val="en-GB"/>
        </w:rPr>
        <w:t>8.</w:t>
      </w:r>
      <w:r w:rsidRPr="00BA6590">
        <w:rPr>
          <w:lang w:val="en-GB"/>
        </w:rPr>
        <w:tab/>
      </w:r>
      <w:r w:rsidR="005636CE" w:rsidRPr="00BA6590">
        <w:rPr>
          <w:lang w:val="en-GB"/>
        </w:rPr>
        <w:t xml:space="preserve">That support </w:t>
      </w:r>
      <w:r w:rsidR="00D567B7" w:rsidRPr="00BA6590">
        <w:rPr>
          <w:lang w:val="en-GB"/>
        </w:rPr>
        <w:t>wa</w:t>
      </w:r>
      <w:r w:rsidR="005636CE" w:rsidRPr="00BA6590">
        <w:rPr>
          <w:lang w:val="en-GB"/>
        </w:rPr>
        <w:t>s reflected in the submission in 2012 of three country reports relating to the Convention against Torture and Other Cruel, Inhuman or Degrading Treatment or Punishment</w:t>
      </w:r>
      <w:r w:rsidRPr="00BA6590">
        <w:rPr>
          <w:lang w:val="en-GB"/>
        </w:rPr>
        <w:t xml:space="preserve">, </w:t>
      </w:r>
      <w:r w:rsidR="005636CE" w:rsidRPr="00BA6590">
        <w:rPr>
          <w:lang w:val="en-GB"/>
        </w:rPr>
        <w:t>the</w:t>
      </w:r>
      <w:r w:rsidRPr="00BA6590">
        <w:rPr>
          <w:lang w:val="en-GB"/>
        </w:rPr>
        <w:t xml:space="preserve"> </w:t>
      </w:r>
      <w:r w:rsidR="005636CE" w:rsidRPr="00BA6590">
        <w:rPr>
          <w:lang w:val="en-GB"/>
        </w:rPr>
        <w:t>International Convention on the Elimination of All Forms of Racial Discrimination</w:t>
      </w:r>
      <w:r w:rsidRPr="00BA6590">
        <w:rPr>
          <w:lang w:val="en-GB"/>
        </w:rPr>
        <w:t xml:space="preserve"> </w:t>
      </w:r>
      <w:r w:rsidR="005636CE" w:rsidRPr="00BA6590">
        <w:rPr>
          <w:lang w:val="en-GB"/>
        </w:rPr>
        <w:t>and the Convention on the Elimination of All Forms of Discrimination against Women</w:t>
      </w:r>
      <w:r w:rsidRPr="00BA6590">
        <w:rPr>
          <w:lang w:val="en-GB"/>
        </w:rPr>
        <w:t>.</w:t>
      </w:r>
    </w:p>
    <w:p w:rsidR="00FD4BC3" w:rsidRPr="00BA6590" w:rsidRDefault="00FD4BC3" w:rsidP="00BA355C">
      <w:pPr>
        <w:pStyle w:val="SingleTxtG"/>
        <w:rPr>
          <w:lang w:val="en-GB"/>
        </w:rPr>
      </w:pPr>
      <w:r w:rsidRPr="00BA6590">
        <w:rPr>
          <w:lang w:val="en-GB"/>
        </w:rPr>
        <w:t>9.</w:t>
      </w:r>
      <w:r w:rsidRPr="00BA6590">
        <w:rPr>
          <w:lang w:val="en-GB"/>
        </w:rPr>
        <w:tab/>
      </w:r>
      <w:r w:rsidR="00D4303D" w:rsidRPr="00BA6590">
        <w:rPr>
          <w:lang w:val="en-GB"/>
        </w:rPr>
        <w:t xml:space="preserve">During the second half of 2010, when Belgium held the Presidency of the Council of the European Union, it organized a number of conferences which demonstrated its attachment to human rights. These included the </w:t>
      </w:r>
      <w:r w:rsidRPr="00BA6590">
        <w:rPr>
          <w:lang w:val="en-GB"/>
        </w:rPr>
        <w:t>Equality Summit</w:t>
      </w:r>
      <w:r w:rsidR="00D4303D" w:rsidRPr="00BA6590">
        <w:rPr>
          <w:lang w:val="en-GB"/>
        </w:rPr>
        <w:t xml:space="preserve">, on combating discrimination and promoting equal opportunities in the field of employment </w:t>
      </w:r>
      <w:r w:rsidRPr="00BA6590">
        <w:rPr>
          <w:lang w:val="en-GB"/>
        </w:rPr>
        <w:t>(15</w:t>
      </w:r>
      <w:r w:rsidR="00C503E8" w:rsidRPr="00BA6590">
        <w:rPr>
          <w:szCs w:val="24"/>
          <w:lang w:val="en-GB"/>
        </w:rPr>
        <w:t>–</w:t>
      </w:r>
      <w:r w:rsidRPr="00BA6590">
        <w:rPr>
          <w:lang w:val="en-GB"/>
        </w:rPr>
        <w:t xml:space="preserve">16 </w:t>
      </w:r>
      <w:r w:rsidR="00D4303D" w:rsidRPr="00BA6590">
        <w:rPr>
          <w:lang w:val="en-GB"/>
        </w:rPr>
        <w:t>N</w:t>
      </w:r>
      <w:r w:rsidRPr="00BA6590">
        <w:rPr>
          <w:lang w:val="en-GB"/>
        </w:rPr>
        <w:t>ovemb</w:t>
      </w:r>
      <w:r w:rsidR="00D4303D" w:rsidRPr="00BA6590">
        <w:rPr>
          <w:lang w:val="en-GB"/>
        </w:rPr>
        <w:t>e</w:t>
      </w:r>
      <w:r w:rsidRPr="00BA6590">
        <w:rPr>
          <w:lang w:val="en-GB"/>
        </w:rPr>
        <w:t>r 2010)</w:t>
      </w:r>
      <w:r w:rsidR="00D4303D" w:rsidRPr="00BA6590">
        <w:rPr>
          <w:lang w:val="en-GB"/>
        </w:rPr>
        <w:t xml:space="preserve"> and the Expert Conference on European Integration Modules (15</w:t>
      </w:r>
      <w:r w:rsidR="00C503E8" w:rsidRPr="00BA6590">
        <w:rPr>
          <w:szCs w:val="24"/>
          <w:lang w:val="en-GB"/>
        </w:rPr>
        <w:t>–</w:t>
      </w:r>
      <w:r w:rsidR="00D4303D" w:rsidRPr="00BA6590">
        <w:rPr>
          <w:lang w:val="en-GB"/>
        </w:rPr>
        <w:t>16 December 2010). The</w:t>
      </w:r>
      <w:r w:rsidRPr="00BA6590">
        <w:rPr>
          <w:lang w:val="en-GB"/>
        </w:rPr>
        <w:t xml:space="preserve"> </w:t>
      </w:r>
      <w:r w:rsidR="00D4303D" w:rsidRPr="00BA6590">
        <w:rPr>
          <w:lang w:val="en-GB"/>
        </w:rPr>
        <w:t>Brussels-Capital Region also took the opportunity to organize, from 10 to 25 November 2010, the</w:t>
      </w:r>
      <w:r w:rsidRPr="00BA6590">
        <w:rPr>
          <w:lang w:val="en-GB"/>
        </w:rPr>
        <w:t xml:space="preserve"> </w:t>
      </w:r>
      <w:r w:rsidRPr="00BA6590">
        <w:rPr>
          <w:i/>
          <w:lang w:val="en-GB"/>
        </w:rPr>
        <w:t>Quinzaine de l’égalité des chances et de la diversité</w:t>
      </w:r>
      <w:r w:rsidR="00D4303D" w:rsidRPr="00BA6590">
        <w:rPr>
          <w:lang w:val="en-GB"/>
        </w:rPr>
        <w:t xml:space="preserve"> (</w:t>
      </w:r>
      <w:r w:rsidR="002133AE" w:rsidRPr="00BA6590">
        <w:rPr>
          <w:lang w:val="en-GB"/>
        </w:rPr>
        <w:t>two weeks for equal opportunities and diversity</w:t>
      </w:r>
      <w:r w:rsidR="00D4303D" w:rsidRPr="00BA6590">
        <w:rPr>
          <w:lang w:val="en-GB"/>
        </w:rPr>
        <w:t>).</w:t>
      </w:r>
      <w:r w:rsidRPr="00BA6590">
        <w:rPr>
          <w:lang w:val="en-GB"/>
        </w:rPr>
        <w:t xml:space="preserve"> </w:t>
      </w:r>
      <w:r w:rsidR="00D4303D" w:rsidRPr="00BA6590">
        <w:rPr>
          <w:lang w:val="en-GB"/>
        </w:rPr>
        <w:t xml:space="preserve">In light of its very positive outcome, this initiative was repeated in </w:t>
      </w:r>
      <w:r w:rsidRPr="00BA6590">
        <w:rPr>
          <w:lang w:val="en-GB"/>
        </w:rPr>
        <w:t xml:space="preserve">2011 </w:t>
      </w:r>
      <w:r w:rsidR="00D4303D" w:rsidRPr="00BA6590">
        <w:rPr>
          <w:lang w:val="en-GB"/>
        </w:rPr>
        <w:t>and</w:t>
      </w:r>
      <w:r w:rsidRPr="00BA6590">
        <w:rPr>
          <w:lang w:val="en-GB"/>
        </w:rPr>
        <w:t xml:space="preserve"> 2012.</w:t>
      </w:r>
    </w:p>
    <w:p w:rsidR="00FD4BC3" w:rsidRPr="00BA6590" w:rsidRDefault="00FD4BC3" w:rsidP="00723E1B">
      <w:pPr>
        <w:pStyle w:val="SingleTxtG"/>
        <w:rPr>
          <w:lang w:val="en-GB"/>
        </w:rPr>
      </w:pPr>
      <w:r w:rsidRPr="00BA6590">
        <w:rPr>
          <w:lang w:val="en-GB"/>
        </w:rPr>
        <w:t>10.</w:t>
      </w:r>
      <w:r w:rsidRPr="00BA6590">
        <w:rPr>
          <w:lang w:val="en-GB"/>
        </w:rPr>
        <w:tab/>
      </w:r>
      <w:r w:rsidR="002133AE" w:rsidRPr="00BA6590">
        <w:rPr>
          <w:lang w:val="en-GB"/>
        </w:rPr>
        <w:t>Although various initiatives have been implemented by the different entities making up the country (see below), Belgium has not yet adopted a national plan of action against racism as</w:t>
      </w:r>
      <w:r w:rsidRPr="00BA6590">
        <w:rPr>
          <w:lang w:val="en-GB"/>
        </w:rPr>
        <w:t xml:space="preserve"> </w:t>
      </w:r>
      <w:r w:rsidR="002133AE" w:rsidRPr="00BA6590">
        <w:rPr>
          <w:lang w:val="en-GB"/>
        </w:rPr>
        <w:t>called for by the Durban Declaration and Programme of Action adopted at the</w:t>
      </w:r>
      <w:r w:rsidRPr="00BA6590">
        <w:rPr>
          <w:lang w:val="en-GB"/>
        </w:rPr>
        <w:t xml:space="preserve"> </w:t>
      </w:r>
      <w:r w:rsidR="002133AE" w:rsidRPr="00BA6590">
        <w:rPr>
          <w:lang w:val="en-GB"/>
        </w:rPr>
        <w:t>World Conference against Racism, Racial Discrimination, Xenophobia and Related Intolerance</w:t>
      </w:r>
      <w:r w:rsidR="00723E1B" w:rsidRPr="00BA6590" w:rsidDel="00723E1B">
        <w:rPr>
          <w:lang w:val="en-GB"/>
        </w:rPr>
        <w:t xml:space="preserve"> </w:t>
      </w:r>
      <w:r w:rsidRPr="00BA6590">
        <w:rPr>
          <w:lang w:val="en-GB"/>
        </w:rPr>
        <w:t>(Durban</w:t>
      </w:r>
      <w:r w:rsidR="00723E1B" w:rsidRPr="00BA6590">
        <w:rPr>
          <w:lang w:val="en-GB"/>
        </w:rPr>
        <w:t>,</w:t>
      </w:r>
      <w:r w:rsidRPr="00BA6590">
        <w:rPr>
          <w:lang w:val="en-GB"/>
        </w:rPr>
        <w:t xml:space="preserve"> 2001)</w:t>
      </w:r>
      <w:r w:rsidR="002133AE" w:rsidRPr="00BA6590">
        <w:rPr>
          <w:lang w:val="en-GB"/>
        </w:rPr>
        <w:t xml:space="preserve"> and the outcome document of the Durban Review Conference</w:t>
      </w:r>
      <w:r w:rsidR="003A719B" w:rsidRPr="00BA6590">
        <w:rPr>
          <w:lang w:val="en-GB"/>
        </w:rPr>
        <w:t xml:space="preserve"> </w:t>
      </w:r>
      <w:r w:rsidR="002133AE" w:rsidRPr="00BA6590">
        <w:rPr>
          <w:lang w:val="en-GB"/>
        </w:rPr>
        <w:t>held in</w:t>
      </w:r>
      <w:r w:rsidRPr="00BA6590">
        <w:rPr>
          <w:lang w:val="en-GB"/>
        </w:rPr>
        <w:t xml:space="preserve"> 2009</w:t>
      </w:r>
      <w:r w:rsidR="003A719B" w:rsidRPr="00BA6590">
        <w:rPr>
          <w:lang w:val="en-GB"/>
        </w:rPr>
        <w:t xml:space="preserve"> (</w:t>
      </w:r>
      <w:r w:rsidR="00A216FB" w:rsidRPr="00BA6590">
        <w:rPr>
          <w:lang w:val="en-GB"/>
        </w:rPr>
        <w:t>“</w:t>
      </w:r>
      <w:r w:rsidR="003A719B" w:rsidRPr="00BA6590">
        <w:rPr>
          <w:lang w:val="en-GB"/>
        </w:rPr>
        <w:t>Durban II</w:t>
      </w:r>
      <w:r w:rsidR="00A216FB" w:rsidRPr="00BA6590">
        <w:rPr>
          <w:lang w:val="en-GB"/>
        </w:rPr>
        <w:t>”</w:t>
      </w:r>
      <w:r w:rsidR="003A719B" w:rsidRPr="00BA6590">
        <w:rPr>
          <w:lang w:val="en-GB"/>
        </w:rPr>
        <w:t>)</w:t>
      </w:r>
      <w:r w:rsidRPr="00BA6590">
        <w:rPr>
          <w:lang w:val="en-GB"/>
        </w:rPr>
        <w:t>.</w:t>
      </w:r>
      <w:r w:rsidR="00FB55E3" w:rsidRPr="00BA6590">
        <w:rPr>
          <w:lang w:val="en-GB"/>
        </w:rPr>
        <w:t xml:space="preserve"> Discussions between the federal Government and the country</w:t>
      </w:r>
      <w:r w:rsidR="00A216FB" w:rsidRPr="00BA6590">
        <w:rPr>
          <w:lang w:val="en-GB"/>
        </w:rPr>
        <w:t>’</w:t>
      </w:r>
      <w:r w:rsidR="00FB55E3" w:rsidRPr="00BA6590">
        <w:rPr>
          <w:lang w:val="en-GB"/>
        </w:rPr>
        <w:t xml:space="preserve">s </w:t>
      </w:r>
      <w:r w:rsidR="008E267D" w:rsidRPr="00BA6590">
        <w:rPr>
          <w:lang w:val="en-GB"/>
        </w:rPr>
        <w:t>Regions and C</w:t>
      </w:r>
      <w:r w:rsidR="00FB55E3" w:rsidRPr="00BA6590">
        <w:rPr>
          <w:lang w:val="en-GB"/>
        </w:rPr>
        <w:t xml:space="preserve">ommunities with a view to adopting such a plan took place until 2007, coordinated by the </w:t>
      </w:r>
      <w:r w:rsidR="004B472D" w:rsidRPr="00BA6590">
        <w:rPr>
          <w:lang w:val="en-GB"/>
        </w:rPr>
        <w:t>Centre for Equal Opportunities and Action</w:t>
      </w:r>
      <w:r w:rsidR="00FB55E3" w:rsidRPr="00BA6590">
        <w:rPr>
          <w:lang w:val="en-GB"/>
        </w:rPr>
        <w:t xml:space="preserve"> to Combat Racism</w:t>
      </w:r>
      <w:r w:rsidRPr="00BA6590">
        <w:rPr>
          <w:lang w:val="en-GB"/>
        </w:rPr>
        <w:t>.</w:t>
      </w:r>
      <w:r w:rsidR="00FB55E3" w:rsidRPr="00BA6590">
        <w:rPr>
          <w:lang w:val="en-GB"/>
        </w:rPr>
        <w:t xml:space="preserve"> Those discussions were terminated as a result of the various elections which followed (federal in June 2007, regional in June 2009 and federal in June 2010) and the lengthy negotiations for the for</w:t>
      </w:r>
      <w:r w:rsidR="003A719B" w:rsidRPr="00BA6590">
        <w:rPr>
          <w:lang w:val="en-GB"/>
        </w:rPr>
        <w:t>mation of a federal government which followed the 2007 and 2010 elections</w:t>
      </w:r>
      <w:r w:rsidR="00FB55E3" w:rsidRPr="00BA6590">
        <w:rPr>
          <w:lang w:val="en-GB"/>
        </w:rPr>
        <w:t>.</w:t>
      </w:r>
      <w:r w:rsidR="001F3CAB" w:rsidRPr="00BA6590">
        <w:rPr>
          <w:lang w:val="en-GB"/>
        </w:rPr>
        <w:t xml:space="preserve"> </w:t>
      </w:r>
    </w:p>
    <w:p w:rsidR="00D07C1B" w:rsidRPr="00BA6590" w:rsidRDefault="00ED2368" w:rsidP="00825F6A">
      <w:pPr>
        <w:pStyle w:val="HChG"/>
        <w:rPr>
          <w:lang w:val="en-GB"/>
        </w:rPr>
      </w:pPr>
      <w:r w:rsidRPr="00BA6590">
        <w:rPr>
          <w:lang w:val="en-GB"/>
        </w:rPr>
        <w:tab/>
      </w:r>
      <w:r w:rsidRPr="00BA6590">
        <w:rPr>
          <w:lang w:val="en-GB"/>
        </w:rPr>
        <w:tab/>
      </w:r>
      <w:r w:rsidR="00D07C1B" w:rsidRPr="00BA6590">
        <w:rPr>
          <w:lang w:val="en-GB"/>
        </w:rPr>
        <w:t>Article 1</w:t>
      </w:r>
      <w:r w:rsidR="00950D14" w:rsidRPr="00BA6590">
        <w:rPr>
          <w:lang w:val="en-GB"/>
        </w:rPr>
        <w:br/>
      </w:r>
      <w:r w:rsidR="006765C2" w:rsidRPr="00BA6590">
        <w:rPr>
          <w:lang w:val="en-GB"/>
        </w:rPr>
        <w:t>Definition of</w:t>
      </w:r>
      <w:r w:rsidR="00D07C1B" w:rsidRPr="00BA6590">
        <w:rPr>
          <w:lang w:val="en-GB"/>
        </w:rPr>
        <w:t xml:space="preserve"> discrimination</w:t>
      </w:r>
    </w:p>
    <w:p w:rsidR="00D07C1B" w:rsidRPr="00BA6590" w:rsidRDefault="00D07C1B" w:rsidP="00950D14">
      <w:pPr>
        <w:pStyle w:val="H1G"/>
        <w:rPr>
          <w:lang w:val="en-GB"/>
        </w:rPr>
      </w:pPr>
      <w:r w:rsidRPr="00BA6590">
        <w:rPr>
          <w:lang w:val="en-GB"/>
        </w:rPr>
        <w:tab/>
      </w:r>
      <w:r w:rsidR="002E3562" w:rsidRPr="00BA6590">
        <w:rPr>
          <w:lang w:val="en-GB"/>
        </w:rPr>
        <w:t>A</w:t>
      </w:r>
      <w:r w:rsidRPr="00BA6590">
        <w:rPr>
          <w:lang w:val="en-GB"/>
        </w:rPr>
        <w:t>.</w:t>
      </w:r>
      <w:r w:rsidRPr="00BA6590">
        <w:rPr>
          <w:lang w:val="en-GB"/>
        </w:rPr>
        <w:tab/>
      </w:r>
      <w:r w:rsidR="00C52D94" w:rsidRPr="00BA6590">
        <w:rPr>
          <w:lang w:val="en-GB"/>
        </w:rPr>
        <w:t>A new</w:t>
      </w:r>
      <w:r w:rsidRPr="00BA6590">
        <w:rPr>
          <w:lang w:val="en-GB"/>
        </w:rPr>
        <w:t xml:space="preserve"> </w:t>
      </w:r>
      <w:r w:rsidR="00C52D94" w:rsidRPr="00BA6590">
        <w:rPr>
          <w:lang w:val="en-GB"/>
        </w:rPr>
        <w:t>definition</w:t>
      </w:r>
      <w:r w:rsidRPr="00BA6590">
        <w:rPr>
          <w:lang w:val="en-GB"/>
        </w:rPr>
        <w:t xml:space="preserve"> </w:t>
      </w:r>
      <w:r w:rsidR="00C52D94" w:rsidRPr="00BA6590">
        <w:rPr>
          <w:lang w:val="en-GB"/>
        </w:rPr>
        <w:t>of</w:t>
      </w:r>
      <w:r w:rsidRPr="00BA6590">
        <w:rPr>
          <w:lang w:val="en-GB"/>
        </w:rPr>
        <w:t xml:space="preserve"> discrimination</w:t>
      </w:r>
      <w:r w:rsidR="00C52D94" w:rsidRPr="00BA6590">
        <w:rPr>
          <w:lang w:val="en-GB"/>
        </w:rPr>
        <w:t xml:space="preserve">, designed to create consistency </w:t>
      </w:r>
      <w:r w:rsidR="00950D14" w:rsidRPr="00BA6590">
        <w:rPr>
          <w:lang w:val="en-GB"/>
        </w:rPr>
        <w:br/>
      </w:r>
      <w:r w:rsidR="00C52D94" w:rsidRPr="00BA6590">
        <w:rPr>
          <w:lang w:val="en-GB"/>
        </w:rPr>
        <w:t xml:space="preserve">and homogeneity in the legislation </w:t>
      </w:r>
      <w:r w:rsidR="008B69EB" w:rsidRPr="00BA6590">
        <w:rPr>
          <w:lang w:val="en-GB"/>
        </w:rPr>
        <w:t>establish</w:t>
      </w:r>
      <w:r w:rsidR="00C52D94" w:rsidRPr="00BA6590">
        <w:rPr>
          <w:lang w:val="en-GB"/>
        </w:rPr>
        <w:t xml:space="preserve">ing a federal framework </w:t>
      </w:r>
      <w:r w:rsidR="00950D14" w:rsidRPr="00BA6590">
        <w:rPr>
          <w:lang w:val="en-GB"/>
        </w:rPr>
        <w:br/>
      </w:r>
      <w:r w:rsidR="00C52D94" w:rsidRPr="00BA6590">
        <w:rPr>
          <w:lang w:val="en-GB"/>
        </w:rPr>
        <w:t>in the area of equal treatment</w:t>
      </w:r>
    </w:p>
    <w:p w:rsidR="00D07C1B" w:rsidRPr="00BA6590" w:rsidRDefault="00D07C1B" w:rsidP="00D07C1B">
      <w:pPr>
        <w:pStyle w:val="SingleTxtG"/>
        <w:rPr>
          <w:lang w:val="en-GB"/>
        </w:rPr>
      </w:pPr>
      <w:r w:rsidRPr="00BA6590">
        <w:rPr>
          <w:lang w:val="en-GB"/>
        </w:rPr>
        <w:t>11.</w:t>
      </w:r>
      <w:r w:rsidRPr="00BA6590">
        <w:rPr>
          <w:lang w:val="en-GB"/>
        </w:rPr>
        <w:tab/>
      </w:r>
      <w:r w:rsidR="00C52D94" w:rsidRPr="00BA6590">
        <w:rPr>
          <w:lang w:val="en-GB"/>
        </w:rPr>
        <w:t>In 2007, significant changes were made to the legislation creating a federal framework in the area of equal treatment and action against discrimination, which is discussed further later in this report</w:t>
      </w:r>
      <w:r w:rsidR="003A719B" w:rsidRPr="00BA6590">
        <w:rPr>
          <w:lang w:val="en-GB"/>
        </w:rPr>
        <w:t>. T</w:t>
      </w:r>
      <w:r w:rsidR="00C52D94" w:rsidRPr="00BA6590">
        <w:rPr>
          <w:lang w:val="en-GB"/>
        </w:rPr>
        <w:t>he following three laws were enacted</w:t>
      </w:r>
      <w:r w:rsidR="00ED343D" w:rsidRPr="00BA6590">
        <w:rPr>
          <w:lang w:val="en-GB"/>
        </w:rPr>
        <w:t>:</w:t>
      </w:r>
    </w:p>
    <w:p w:rsidR="00D07C1B" w:rsidRPr="00BA6590" w:rsidRDefault="00950D14" w:rsidP="00D07C1B">
      <w:pPr>
        <w:pStyle w:val="Bullet1G"/>
        <w:rPr>
          <w:lang w:val="en-GB"/>
        </w:rPr>
      </w:pPr>
      <w:r w:rsidRPr="00BA6590">
        <w:rPr>
          <w:lang w:val="en-GB"/>
        </w:rPr>
        <w:t xml:space="preserve">The </w:t>
      </w:r>
      <w:r w:rsidR="008B69EB" w:rsidRPr="00BA6590">
        <w:rPr>
          <w:lang w:val="en-GB"/>
        </w:rPr>
        <w:t>Act</w:t>
      </w:r>
      <w:r w:rsidR="0060064D" w:rsidRPr="00BA6590">
        <w:rPr>
          <w:lang w:val="en-GB"/>
        </w:rPr>
        <w:t xml:space="preserve"> of 30 July 1981</w:t>
      </w:r>
      <w:r w:rsidR="003E4735" w:rsidRPr="00BA6590">
        <w:rPr>
          <w:lang w:val="en-GB"/>
        </w:rPr>
        <w:t>,</w:t>
      </w:r>
      <w:r w:rsidR="002420F6" w:rsidRPr="00BA6590">
        <w:rPr>
          <w:lang w:val="en-GB"/>
        </w:rPr>
        <w:t xml:space="preserve"> penalizing certain actions inspired by racism and xenophobia</w:t>
      </w:r>
      <w:r w:rsidR="0060064D" w:rsidRPr="00BA6590">
        <w:rPr>
          <w:lang w:val="en-GB"/>
        </w:rPr>
        <w:t>,</w:t>
      </w:r>
      <w:r w:rsidR="002420F6" w:rsidRPr="00BA6590">
        <w:rPr>
          <w:lang w:val="en-GB"/>
        </w:rPr>
        <w:t xml:space="preserve"> as</w:t>
      </w:r>
      <w:r w:rsidR="0060064D" w:rsidRPr="00BA6590">
        <w:rPr>
          <w:lang w:val="en-GB"/>
        </w:rPr>
        <w:t xml:space="preserve"> amended by the </w:t>
      </w:r>
      <w:r w:rsidR="007B1A40" w:rsidRPr="00BA6590">
        <w:rPr>
          <w:lang w:val="en-GB"/>
        </w:rPr>
        <w:t xml:space="preserve">Act </w:t>
      </w:r>
      <w:r w:rsidR="0060064D" w:rsidRPr="00BA6590">
        <w:rPr>
          <w:lang w:val="en-GB"/>
        </w:rPr>
        <w:t xml:space="preserve">of 10 May </w:t>
      </w:r>
      <w:r w:rsidR="00D07C1B" w:rsidRPr="00BA6590">
        <w:rPr>
          <w:lang w:val="en-GB"/>
        </w:rPr>
        <w:t>2007 (</w:t>
      </w:r>
      <w:r w:rsidR="00E808BB" w:rsidRPr="00BA6590">
        <w:rPr>
          <w:i/>
          <w:lang w:val="en-GB"/>
        </w:rPr>
        <w:t>Moniteur belge</w:t>
      </w:r>
      <w:r w:rsidR="00E808BB" w:rsidRPr="00BA6590">
        <w:rPr>
          <w:lang w:val="en-GB"/>
        </w:rPr>
        <w:t xml:space="preserve"> (Belgian </w:t>
      </w:r>
      <w:r w:rsidR="002420F6" w:rsidRPr="00BA6590">
        <w:rPr>
          <w:lang w:val="en-GB"/>
        </w:rPr>
        <w:t>Official Gazette</w:t>
      </w:r>
      <w:r w:rsidR="00E808BB" w:rsidRPr="00BA6590">
        <w:rPr>
          <w:lang w:val="en-GB"/>
        </w:rPr>
        <w:t>)</w:t>
      </w:r>
      <w:r w:rsidR="00D07C1B" w:rsidRPr="00BA6590">
        <w:rPr>
          <w:lang w:val="en-GB"/>
        </w:rPr>
        <w:t xml:space="preserve">, 30 </w:t>
      </w:r>
      <w:r w:rsidR="0060064D" w:rsidRPr="00BA6590">
        <w:rPr>
          <w:lang w:val="en-GB"/>
        </w:rPr>
        <w:t>May</w:t>
      </w:r>
      <w:r w:rsidR="00D07C1B" w:rsidRPr="00BA6590">
        <w:rPr>
          <w:lang w:val="en-GB"/>
        </w:rPr>
        <w:t xml:space="preserve"> 2007)</w:t>
      </w:r>
      <w:r w:rsidR="00BF26B1" w:rsidRPr="00BA6590">
        <w:rPr>
          <w:lang w:val="en-GB"/>
        </w:rPr>
        <w:t>;</w:t>
      </w:r>
    </w:p>
    <w:p w:rsidR="00D07C1B" w:rsidRPr="00BA6590" w:rsidRDefault="00950D14" w:rsidP="00D07C1B">
      <w:pPr>
        <w:pStyle w:val="Bullet1G"/>
        <w:rPr>
          <w:lang w:val="en-GB"/>
        </w:rPr>
      </w:pPr>
      <w:r w:rsidRPr="00BA6590">
        <w:rPr>
          <w:lang w:val="en-GB"/>
        </w:rPr>
        <w:t xml:space="preserve">The </w:t>
      </w:r>
      <w:r w:rsidR="008B69EB" w:rsidRPr="00BA6590">
        <w:rPr>
          <w:lang w:val="en-GB"/>
        </w:rPr>
        <w:t>Act</w:t>
      </w:r>
      <w:r w:rsidR="00206542" w:rsidRPr="00BA6590">
        <w:rPr>
          <w:lang w:val="en-GB"/>
        </w:rPr>
        <w:t xml:space="preserve"> of 10 May</w:t>
      </w:r>
      <w:r w:rsidR="00D07C1B" w:rsidRPr="00BA6590">
        <w:rPr>
          <w:lang w:val="en-GB"/>
        </w:rPr>
        <w:t xml:space="preserve"> 2007</w:t>
      </w:r>
      <w:r w:rsidR="003E4735" w:rsidRPr="00BA6590">
        <w:rPr>
          <w:lang w:val="en-GB"/>
        </w:rPr>
        <w:t>, penalizing certain forms of discrimination</w:t>
      </w:r>
      <w:r w:rsidR="00D07C1B" w:rsidRPr="00BA6590">
        <w:rPr>
          <w:lang w:val="en-GB"/>
        </w:rPr>
        <w:t xml:space="preserve"> (</w:t>
      </w:r>
      <w:r w:rsidR="002420F6" w:rsidRPr="00BA6590">
        <w:rPr>
          <w:i/>
          <w:lang w:val="en-GB"/>
        </w:rPr>
        <w:t>Moniteur belge</w:t>
      </w:r>
      <w:r w:rsidR="00D07C1B" w:rsidRPr="00BA6590">
        <w:rPr>
          <w:lang w:val="en-GB"/>
        </w:rPr>
        <w:t xml:space="preserve">, 30 </w:t>
      </w:r>
      <w:r w:rsidR="00206542" w:rsidRPr="00BA6590">
        <w:rPr>
          <w:lang w:val="en-GB"/>
        </w:rPr>
        <w:t>May</w:t>
      </w:r>
      <w:r w:rsidR="00D07C1B" w:rsidRPr="00BA6590">
        <w:rPr>
          <w:lang w:val="en-GB"/>
        </w:rPr>
        <w:t xml:space="preserve"> 2007)</w:t>
      </w:r>
      <w:r w:rsidR="00BF26B1" w:rsidRPr="00BA6590">
        <w:rPr>
          <w:lang w:val="en-GB"/>
        </w:rPr>
        <w:t>;</w:t>
      </w:r>
      <w:r w:rsidRPr="00BA6590">
        <w:rPr>
          <w:lang w:val="en-GB"/>
        </w:rPr>
        <w:t xml:space="preserve"> and</w:t>
      </w:r>
    </w:p>
    <w:p w:rsidR="00D07C1B" w:rsidRPr="00BA6590" w:rsidRDefault="00950D14" w:rsidP="00D07C1B">
      <w:pPr>
        <w:pStyle w:val="Bullet1G"/>
        <w:rPr>
          <w:lang w:val="en-GB"/>
        </w:rPr>
      </w:pPr>
      <w:r w:rsidRPr="00BA6590">
        <w:rPr>
          <w:lang w:val="en-GB"/>
        </w:rPr>
        <w:t xml:space="preserve">The </w:t>
      </w:r>
      <w:r w:rsidR="008B69EB" w:rsidRPr="00BA6590">
        <w:rPr>
          <w:lang w:val="en-GB"/>
        </w:rPr>
        <w:t>Act of 10 May 2007</w:t>
      </w:r>
      <w:r w:rsidR="003E4735" w:rsidRPr="00BA6590">
        <w:rPr>
          <w:lang w:val="en-GB"/>
        </w:rPr>
        <w:t>, on gender discrimination</w:t>
      </w:r>
      <w:r w:rsidR="008B69EB" w:rsidRPr="00BA6590">
        <w:rPr>
          <w:lang w:val="en-GB"/>
        </w:rPr>
        <w:t xml:space="preserve"> </w:t>
      </w:r>
      <w:r w:rsidR="00D07C1B" w:rsidRPr="00BA6590">
        <w:rPr>
          <w:lang w:val="en-GB"/>
        </w:rPr>
        <w:t>(</w:t>
      </w:r>
      <w:r w:rsidR="002420F6" w:rsidRPr="00BA6590">
        <w:rPr>
          <w:i/>
          <w:lang w:val="en-GB"/>
        </w:rPr>
        <w:t>Moniteur belge</w:t>
      </w:r>
      <w:r w:rsidR="00D07C1B" w:rsidRPr="00BA6590">
        <w:rPr>
          <w:lang w:val="en-GB"/>
        </w:rPr>
        <w:t xml:space="preserve">, 30 </w:t>
      </w:r>
      <w:r w:rsidR="008B69EB" w:rsidRPr="00BA6590">
        <w:rPr>
          <w:lang w:val="en-GB"/>
        </w:rPr>
        <w:t>May</w:t>
      </w:r>
      <w:r w:rsidR="00D07C1B" w:rsidRPr="00BA6590">
        <w:rPr>
          <w:lang w:val="en-GB"/>
        </w:rPr>
        <w:t xml:space="preserve"> 2007).</w:t>
      </w:r>
    </w:p>
    <w:p w:rsidR="00D07C1B" w:rsidRPr="00BA6590" w:rsidRDefault="00D07C1B" w:rsidP="00D07C1B">
      <w:pPr>
        <w:pStyle w:val="SingleTxtG"/>
        <w:rPr>
          <w:lang w:val="en-GB"/>
        </w:rPr>
      </w:pPr>
      <w:r w:rsidRPr="00BA6590">
        <w:rPr>
          <w:lang w:val="en-GB"/>
        </w:rPr>
        <w:t>12.</w:t>
      </w:r>
      <w:r w:rsidRPr="00BA6590">
        <w:rPr>
          <w:lang w:val="en-GB"/>
        </w:rPr>
        <w:tab/>
      </w:r>
      <w:r w:rsidR="00023CFF" w:rsidRPr="00BA6590">
        <w:rPr>
          <w:lang w:val="en-GB"/>
        </w:rPr>
        <w:t xml:space="preserve">Those changes entailed a new definition of racial </w:t>
      </w:r>
      <w:r w:rsidRPr="00BA6590">
        <w:rPr>
          <w:lang w:val="en-GB"/>
        </w:rPr>
        <w:t>discrimination</w:t>
      </w:r>
      <w:r w:rsidR="00023CFF" w:rsidRPr="00BA6590">
        <w:rPr>
          <w:lang w:val="en-GB"/>
        </w:rPr>
        <w:t xml:space="preserve"> in relation to that which had been embodied in previous legislation and which had been modelled on article 1 of the Convention. The legislators chose to provide a consistent definition of </w:t>
      </w:r>
      <w:r w:rsidRPr="00BA6590">
        <w:rPr>
          <w:lang w:val="en-GB"/>
        </w:rPr>
        <w:t>discrimination</w:t>
      </w:r>
      <w:r w:rsidR="00023CFF" w:rsidRPr="00BA6590">
        <w:rPr>
          <w:lang w:val="en-GB"/>
        </w:rPr>
        <w:t xml:space="preserve"> regardless of </w:t>
      </w:r>
      <w:r w:rsidR="003A719B" w:rsidRPr="00BA6590">
        <w:rPr>
          <w:lang w:val="en-GB"/>
        </w:rPr>
        <w:t xml:space="preserve">the </w:t>
      </w:r>
      <w:r w:rsidR="00023CFF" w:rsidRPr="00BA6590">
        <w:rPr>
          <w:lang w:val="en-GB"/>
        </w:rPr>
        <w:t>category</w:t>
      </w:r>
      <w:r w:rsidR="003A719B" w:rsidRPr="00BA6590">
        <w:rPr>
          <w:lang w:val="en-GB"/>
        </w:rPr>
        <w:t xml:space="preserve"> to be protected</w:t>
      </w:r>
      <w:r w:rsidR="00023CFF" w:rsidRPr="00BA6590">
        <w:rPr>
          <w:lang w:val="en-GB"/>
        </w:rPr>
        <w:t xml:space="preserve"> </w:t>
      </w:r>
      <w:r w:rsidRPr="00BA6590">
        <w:rPr>
          <w:lang w:val="en-GB"/>
        </w:rPr>
        <w:t>(</w:t>
      </w:r>
      <w:r w:rsidR="00B053D7" w:rsidRPr="00BA6590">
        <w:rPr>
          <w:lang w:val="en-GB"/>
        </w:rPr>
        <w:t>such as gender, age, sexual orientation, disability or religious or philosophical beliefs</w:t>
      </w:r>
      <w:r w:rsidRPr="00BA6590">
        <w:rPr>
          <w:lang w:val="en-GB"/>
        </w:rPr>
        <w:t>),</w:t>
      </w:r>
      <w:r w:rsidR="00B053D7" w:rsidRPr="00BA6590">
        <w:rPr>
          <w:lang w:val="en-GB"/>
        </w:rPr>
        <w:t xml:space="preserve"> transposing the following European Union directives:</w:t>
      </w:r>
    </w:p>
    <w:p w:rsidR="00D07C1B" w:rsidRPr="00BA6590" w:rsidRDefault="00B053D7" w:rsidP="00D07C1B">
      <w:pPr>
        <w:pStyle w:val="Bullet1G"/>
        <w:rPr>
          <w:lang w:val="en-GB"/>
        </w:rPr>
      </w:pPr>
      <w:r w:rsidRPr="00BA6590">
        <w:rPr>
          <w:lang w:val="en-GB"/>
        </w:rPr>
        <w:t>Council Directive 2000/43/EC of 29 June 2000 implementing the principle of equal treatment between persons irrespec</w:t>
      </w:r>
      <w:r w:rsidR="00BF26B1" w:rsidRPr="00BA6590">
        <w:rPr>
          <w:lang w:val="en-GB"/>
        </w:rPr>
        <w:t>tive of racial or ethnic origin;</w:t>
      </w:r>
      <w:r w:rsidRPr="00BA6590">
        <w:rPr>
          <w:lang w:val="en-GB"/>
        </w:rPr>
        <w:t xml:space="preserve"> </w:t>
      </w:r>
    </w:p>
    <w:p w:rsidR="00D07C1B" w:rsidRPr="00BA6590" w:rsidRDefault="00B053D7" w:rsidP="00D07C1B">
      <w:pPr>
        <w:pStyle w:val="Bullet1G"/>
        <w:rPr>
          <w:lang w:val="en-GB"/>
        </w:rPr>
      </w:pPr>
      <w:r w:rsidRPr="00BA6590">
        <w:rPr>
          <w:lang w:val="en-GB"/>
        </w:rPr>
        <w:t>Council Directive 2000/78/EC of 27 November 2000 establishing a general framework for equal treatme</w:t>
      </w:r>
      <w:r w:rsidR="00BF26B1" w:rsidRPr="00BA6590">
        <w:rPr>
          <w:lang w:val="en-GB"/>
        </w:rPr>
        <w:t>nt in employment and occupation;</w:t>
      </w:r>
      <w:r w:rsidRPr="00BA6590">
        <w:rPr>
          <w:lang w:val="en-GB"/>
        </w:rPr>
        <w:t xml:space="preserve"> and </w:t>
      </w:r>
    </w:p>
    <w:p w:rsidR="00D07C1B" w:rsidRPr="00BA6590" w:rsidRDefault="003E4735" w:rsidP="00B053D7">
      <w:pPr>
        <w:pStyle w:val="Bullet1G"/>
        <w:rPr>
          <w:lang w:val="en-GB"/>
        </w:rPr>
      </w:pPr>
      <w:r w:rsidRPr="00BA6590">
        <w:rPr>
          <w:lang w:val="en-GB"/>
        </w:rPr>
        <w:t xml:space="preserve">Directive </w:t>
      </w:r>
      <w:r w:rsidR="00D07C1B" w:rsidRPr="00BA6590">
        <w:rPr>
          <w:lang w:val="en-GB"/>
        </w:rPr>
        <w:t>2006/54</w:t>
      </w:r>
      <w:r w:rsidR="004722FA" w:rsidRPr="00BA6590">
        <w:rPr>
          <w:lang w:val="en-GB"/>
        </w:rPr>
        <w:t>/EC</w:t>
      </w:r>
      <w:r w:rsidR="00B053D7" w:rsidRPr="00BA6590">
        <w:rPr>
          <w:lang w:val="en-GB"/>
        </w:rPr>
        <w:t xml:space="preserve"> of the European Parliament and of the Council, of 5 July</w:t>
      </w:r>
      <w:r w:rsidR="00D07C1B" w:rsidRPr="00BA6590">
        <w:rPr>
          <w:lang w:val="en-GB"/>
        </w:rPr>
        <w:t xml:space="preserve"> 2006, </w:t>
      </w:r>
      <w:r w:rsidR="00B053D7" w:rsidRPr="00BA6590">
        <w:rPr>
          <w:lang w:val="en-GB"/>
        </w:rPr>
        <w:t xml:space="preserve">on the implementation of the principle of equal opportunities and equal treatment of men and women in matters of employment and occupation. </w:t>
      </w:r>
    </w:p>
    <w:p w:rsidR="00D07C1B" w:rsidRPr="00BA6590" w:rsidRDefault="00D07C1B" w:rsidP="00D07C1B">
      <w:pPr>
        <w:pStyle w:val="SingleTxtG"/>
        <w:rPr>
          <w:lang w:val="en-GB"/>
        </w:rPr>
      </w:pPr>
      <w:r w:rsidRPr="00BA6590">
        <w:rPr>
          <w:lang w:val="en-GB"/>
        </w:rPr>
        <w:t>13.</w:t>
      </w:r>
      <w:r w:rsidRPr="00BA6590">
        <w:rPr>
          <w:lang w:val="en-GB"/>
        </w:rPr>
        <w:tab/>
      </w:r>
      <w:r w:rsidR="006A2D91" w:rsidRPr="00BA6590">
        <w:rPr>
          <w:lang w:val="en-GB"/>
        </w:rPr>
        <w:t>Not all differences in treatment constitute discrimination</w:t>
      </w:r>
      <w:r w:rsidR="003A719B" w:rsidRPr="00BA6590">
        <w:rPr>
          <w:lang w:val="en-GB"/>
        </w:rPr>
        <w:t>; o</w:t>
      </w:r>
      <w:r w:rsidR="006A2D91" w:rsidRPr="00BA6590">
        <w:rPr>
          <w:lang w:val="en-GB"/>
        </w:rPr>
        <w:t xml:space="preserve">nly those which cannot be justified in accordance with legal standards constitute illegal discrimination. Regarding racial discrimination, the requirements for such justification are particularly strict in comparison with other protected categories (see below). </w:t>
      </w:r>
    </w:p>
    <w:p w:rsidR="00D07C1B" w:rsidRPr="00BA6590" w:rsidRDefault="00D07C1B" w:rsidP="00D07C1B">
      <w:pPr>
        <w:pStyle w:val="SingleTxtG"/>
        <w:rPr>
          <w:lang w:val="en-GB"/>
        </w:rPr>
      </w:pPr>
      <w:r w:rsidRPr="00BA6590">
        <w:rPr>
          <w:lang w:val="en-GB"/>
        </w:rPr>
        <w:t>14.</w:t>
      </w:r>
      <w:r w:rsidRPr="00BA6590">
        <w:rPr>
          <w:lang w:val="en-GB"/>
        </w:rPr>
        <w:tab/>
      </w:r>
      <w:r w:rsidR="008E267D" w:rsidRPr="00BA6590">
        <w:rPr>
          <w:lang w:val="en-GB"/>
        </w:rPr>
        <w:t>The</w:t>
      </w:r>
      <w:r w:rsidR="005F5CBC" w:rsidRPr="00BA6590">
        <w:rPr>
          <w:lang w:val="en-GB"/>
        </w:rPr>
        <w:t xml:space="preserve"> d</w:t>
      </w:r>
      <w:r w:rsidR="008E267D" w:rsidRPr="00BA6590">
        <w:rPr>
          <w:lang w:val="en-GB"/>
        </w:rPr>
        <w:t>e</w:t>
      </w:r>
      <w:r w:rsidR="005F5CBC" w:rsidRPr="00BA6590">
        <w:rPr>
          <w:lang w:val="en-GB"/>
        </w:rPr>
        <w:t>finitions</w:t>
      </w:r>
      <w:r w:rsidR="008E267D" w:rsidRPr="00BA6590">
        <w:rPr>
          <w:lang w:val="en-GB"/>
        </w:rPr>
        <w:t xml:space="preserve"> used in legislative instruments adopted by the</w:t>
      </w:r>
      <w:r w:rsidR="005F5CBC" w:rsidRPr="00BA6590">
        <w:rPr>
          <w:lang w:val="en-GB"/>
        </w:rPr>
        <w:t xml:space="preserve"> </w:t>
      </w:r>
      <w:r w:rsidR="008E267D" w:rsidRPr="00BA6590">
        <w:rPr>
          <w:lang w:val="en-GB"/>
        </w:rPr>
        <w:t>Regions and Communities</w:t>
      </w:r>
      <w:r w:rsidR="005F5CBC" w:rsidRPr="00BA6590">
        <w:rPr>
          <w:lang w:val="en-GB"/>
        </w:rPr>
        <w:t xml:space="preserve"> (</w:t>
      </w:r>
      <w:r w:rsidR="008E267D" w:rsidRPr="00BA6590">
        <w:rPr>
          <w:lang w:val="en-GB"/>
        </w:rPr>
        <w:t>decrees and orders</w:t>
      </w:r>
      <w:r w:rsidR="008E267D" w:rsidRPr="00BA6590">
        <w:rPr>
          <w:rStyle w:val="FootnoteReference"/>
          <w:lang w:val="en-GB"/>
        </w:rPr>
        <w:footnoteReference w:id="5"/>
      </w:r>
      <w:r w:rsidR="008E267D" w:rsidRPr="00BA6590">
        <w:rPr>
          <w:lang w:val="en-GB"/>
        </w:rPr>
        <w:t xml:space="preserve">), in order to </w:t>
      </w:r>
      <w:r w:rsidR="00816F73" w:rsidRPr="00BA6590">
        <w:rPr>
          <w:lang w:val="en-GB"/>
        </w:rPr>
        <w:t>incorporate</w:t>
      </w:r>
      <w:r w:rsidR="008E267D" w:rsidRPr="00BA6590">
        <w:rPr>
          <w:lang w:val="en-GB"/>
        </w:rPr>
        <w:t xml:space="preserve"> the provisions of the aforementioned European Union directives</w:t>
      </w:r>
      <w:r w:rsidR="003A719B" w:rsidRPr="00BA6590">
        <w:rPr>
          <w:lang w:val="en-GB"/>
        </w:rPr>
        <w:t xml:space="preserve"> </w:t>
      </w:r>
      <w:r w:rsidR="00816F73" w:rsidRPr="00BA6590">
        <w:rPr>
          <w:lang w:val="en-GB"/>
        </w:rPr>
        <w:t xml:space="preserve">into national law </w:t>
      </w:r>
      <w:r w:rsidR="003A719B" w:rsidRPr="00BA6590">
        <w:rPr>
          <w:lang w:val="en-GB"/>
        </w:rPr>
        <w:t>in areas which come under their authority</w:t>
      </w:r>
      <w:r w:rsidR="008E267D" w:rsidRPr="00BA6590">
        <w:rPr>
          <w:lang w:val="en-GB"/>
        </w:rPr>
        <w:t xml:space="preserve">, are similar to those contained in federal legislation and should therefore not create any disparities in the </w:t>
      </w:r>
      <w:r w:rsidR="001B5371" w:rsidRPr="00BA6590">
        <w:rPr>
          <w:lang w:val="en-GB"/>
        </w:rPr>
        <w:t>understanding of discrimination in general and racial discrimination in particular.</w:t>
      </w:r>
    </w:p>
    <w:p w:rsidR="00D07C1B" w:rsidRPr="00BA6590" w:rsidRDefault="001B5371" w:rsidP="00D07C1B">
      <w:pPr>
        <w:pStyle w:val="H1G"/>
        <w:rPr>
          <w:lang w:val="en-GB"/>
        </w:rPr>
      </w:pPr>
      <w:r w:rsidRPr="00BA6590">
        <w:rPr>
          <w:lang w:val="en-GB"/>
        </w:rPr>
        <w:tab/>
        <w:t>B.</w:t>
      </w:r>
      <w:r w:rsidRPr="00BA6590">
        <w:rPr>
          <w:lang w:val="en-GB"/>
        </w:rPr>
        <w:tab/>
        <w:t>De</w:t>
      </w:r>
      <w:r w:rsidR="00D07C1B" w:rsidRPr="00BA6590">
        <w:rPr>
          <w:lang w:val="en-GB"/>
        </w:rPr>
        <w:t>finitions</w:t>
      </w:r>
    </w:p>
    <w:p w:rsidR="00D07C1B" w:rsidRPr="00BA6590" w:rsidRDefault="00D07C1B" w:rsidP="00D07C1B">
      <w:pPr>
        <w:pStyle w:val="SingleTxtG"/>
        <w:rPr>
          <w:lang w:val="en-GB"/>
        </w:rPr>
      </w:pPr>
      <w:r w:rsidRPr="00BA6590">
        <w:rPr>
          <w:lang w:val="en-GB"/>
        </w:rPr>
        <w:t>15.</w:t>
      </w:r>
      <w:r w:rsidRPr="00BA6590">
        <w:rPr>
          <w:lang w:val="en-GB"/>
        </w:rPr>
        <w:tab/>
      </w:r>
      <w:r w:rsidR="00F623DC" w:rsidRPr="00BA6590">
        <w:rPr>
          <w:lang w:val="en-GB"/>
        </w:rPr>
        <w:t>D</w:t>
      </w:r>
      <w:r w:rsidRPr="00BA6590">
        <w:rPr>
          <w:lang w:val="en-GB"/>
        </w:rPr>
        <w:t>iscrimination</w:t>
      </w:r>
      <w:r w:rsidR="00F623DC" w:rsidRPr="00BA6590">
        <w:rPr>
          <w:lang w:val="en-GB"/>
        </w:rPr>
        <w:t xml:space="preserve"> may be direct or indirect, and includes harassment and incitement to discriminate</w:t>
      </w:r>
      <w:r w:rsidRPr="00BA6590">
        <w:rPr>
          <w:lang w:val="en-GB"/>
        </w:rPr>
        <w:t>.</w:t>
      </w:r>
    </w:p>
    <w:p w:rsidR="00D07C1B" w:rsidRPr="00BA6590" w:rsidRDefault="0025386E" w:rsidP="00D319DE">
      <w:pPr>
        <w:pStyle w:val="H23G"/>
        <w:rPr>
          <w:lang w:val="en-GB"/>
        </w:rPr>
      </w:pPr>
      <w:r w:rsidRPr="00BA6590">
        <w:rPr>
          <w:lang w:val="en-GB"/>
        </w:rPr>
        <w:tab/>
      </w:r>
      <w:r w:rsidRPr="00BA6590">
        <w:rPr>
          <w:lang w:val="en-GB"/>
        </w:rPr>
        <w:tab/>
        <w:t>Direct</w:t>
      </w:r>
      <w:r w:rsidR="00D319DE" w:rsidRPr="00BA6590">
        <w:rPr>
          <w:lang w:val="en-GB"/>
        </w:rPr>
        <w:t xml:space="preserve"> discrimination</w:t>
      </w:r>
    </w:p>
    <w:p w:rsidR="00D07C1B" w:rsidRPr="00BA6590" w:rsidRDefault="00D07C1B" w:rsidP="00BA355C">
      <w:pPr>
        <w:pStyle w:val="SingleTxtG"/>
        <w:rPr>
          <w:lang w:val="en-GB"/>
        </w:rPr>
      </w:pPr>
      <w:r w:rsidRPr="00BA6590">
        <w:rPr>
          <w:lang w:val="en-GB"/>
        </w:rPr>
        <w:t>16.</w:t>
      </w:r>
      <w:r w:rsidRPr="00BA6590">
        <w:rPr>
          <w:lang w:val="en-GB"/>
        </w:rPr>
        <w:tab/>
      </w:r>
      <w:r w:rsidR="0025386E" w:rsidRPr="00BA6590">
        <w:rPr>
          <w:lang w:val="en-GB"/>
        </w:rPr>
        <w:t>Direct</w:t>
      </w:r>
      <w:r w:rsidRPr="00BA6590">
        <w:rPr>
          <w:lang w:val="en-GB"/>
        </w:rPr>
        <w:t xml:space="preserve"> discrimination</w:t>
      </w:r>
      <w:r w:rsidR="0025386E" w:rsidRPr="00BA6590">
        <w:rPr>
          <w:lang w:val="en-GB"/>
        </w:rPr>
        <w:t xml:space="preserve"> is defined as any direct distinction</w:t>
      </w:r>
      <w:r w:rsidR="006D62F3" w:rsidRPr="00BA6590">
        <w:rPr>
          <w:lang w:val="en-GB"/>
        </w:rPr>
        <w:t xml:space="preserve"> which is</w:t>
      </w:r>
      <w:r w:rsidR="00EB0ACD" w:rsidRPr="00BA6590">
        <w:rPr>
          <w:lang w:val="en-GB"/>
        </w:rPr>
        <w:t xml:space="preserve"> based on any of the</w:t>
      </w:r>
      <w:r w:rsidR="0025386E" w:rsidRPr="00BA6590">
        <w:rPr>
          <w:lang w:val="en-GB"/>
        </w:rPr>
        <w:t xml:space="preserve"> criteria for protection</w:t>
      </w:r>
      <w:r w:rsidR="006D62F3" w:rsidRPr="00BA6590">
        <w:rPr>
          <w:lang w:val="en-GB"/>
        </w:rPr>
        <w:t xml:space="preserve"> and</w:t>
      </w:r>
      <w:r w:rsidR="00580E71" w:rsidRPr="00BA6590">
        <w:rPr>
          <w:lang w:val="en-GB"/>
        </w:rPr>
        <w:t xml:space="preserve"> which</w:t>
      </w:r>
      <w:r w:rsidR="00EB0ACD" w:rsidRPr="00BA6590">
        <w:rPr>
          <w:lang w:val="en-GB"/>
        </w:rPr>
        <w:t xml:space="preserve"> cannot be justified in accordance with any of the three federal laws. Direct distinction is defined as the situation which arises when, on the basis of one of the </w:t>
      </w:r>
      <w:r w:rsidR="0025386E" w:rsidRPr="00BA6590">
        <w:rPr>
          <w:lang w:val="en-GB"/>
        </w:rPr>
        <w:t>criteria for protection</w:t>
      </w:r>
      <w:r w:rsidRPr="00BA6590">
        <w:rPr>
          <w:lang w:val="en-GB"/>
        </w:rPr>
        <w:t>,</w:t>
      </w:r>
      <w:r w:rsidR="00EB0ACD" w:rsidRPr="00BA6590">
        <w:rPr>
          <w:lang w:val="en-GB"/>
        </w:rPr>
        <w:t xml:space="preserve"> one person is treated less favourably than another is, has been or would be in a comparable situation.</w:t>
      </w:r>
      <w:r w:rsidR="00816F73" w:rsidRPr="00BA6590">
        <w:rPr>
          <w:lang w:val="en-GB"/>
        </w:rPr>
        <w:t xml:space="preserve"> </w:t>
      </w:r>
    </w:p>
    <w:p w:rsidR="00D07C1B" w:rsidRPr="00BA6590" w:rsidRDefault="00D07C1B" w:rsidP="00D07C1B">
      <w:pPr>
        <w:pStyle w:val="SingleTxtG"/>
        <w:rPr>
          <w:lang w:val="en-GB"/>
        </w:rPr>
      </w:pPr>
      <w:r w:rsidRPr="00BA6590">
        <w:rPr>
          <w:lang w:val="en-GB"/>
        </w:rPr>
        <w:t>17.</w:t>
      </w:r>
      <w:r w:rsidRPr="00BA6590">
        <w:rPr>
          <w:lang w:val="en-GB"/>
        </w:rPr>
        <w:tab/>
      </w:r>
      <w:r w:rsidR="00EB0ACD" w:rsidRPr="00BA6590">
        <w:rPr>
          <w:lang w:val="en-GB"/>
        </w:rPr>
        <w:t>In principle, the concept of direct discrimination comprises no element of intent. Nonetheless, when the victim chooses to bring the case to the criminal courts, it must be proved that the person responsible for the discrimination has consciously sought the discriminatory result</w:t>
      </w:r>
      <w:r w:rsidRPr="00BA6590">
        <w:rPr>
          <w:lang w:val="en-GB"/>
        </w:rPr>
        <w:t xml:space="preserve"> (</w:t>
      </w:r>
      <w:r w:rsidR="00EB0ACD" w:rsidRPr="00BA6590">
        <w:rPr>
          <w:lang w:val="en-GB"/>
        </w:rPr>
        <w:t>special intent</w:t>
      </w:r>
      <w:r w:rsidRPr="00BA6590">
        <w:rPr>
          <w:lang w:val="en-GB"/>
        </w:rPr>
        <w:t>).</w:t>
      </w:r>
    </w:p>
    <w:p w:rsidR="00D07C1B" w:rsidRPr="00BA6590" w:rsidRDefault="00D07C1B" w:rsidP="00D07C1B">
      <w:pPr>
        <w:pStyle w:val="SingleTxtG"/>
        <w:rPr>
          <w:lang w:val="en-GB"/>
        </w:rPr>
      </w:pPr>
      <w:r w:rsidRPr="00BA6590">
        <w:rPr>
          <w:lang w:val="en-GB"/>
        </w:rPr>
        <w:t>18.</w:t>
      </w:r>
      <w:r w:rsidRPr="00BA6590">
        <w:rPr>
          <w:lang w:val="en-GB"/>
        </w:rPr>
        <w:tab/>
      </w:r>
      <w:r w:rsidR="00EB0ACD" w:rsidRPr="00BA6590">
        <w:rPr>
          <w:lang w:val="en-GB"/>
        </w:rPr>
        <w:t>The Act</w:t>
      </w:r>
      <w:r w:rsidR="003E4735" w:rsidRPr="00BA6590">
        <w:rPr>
          <w:lang w:val="en-GB"/>
        </w:rPr>
        <w:t xml:space="preserve"> of 30 July 1981</w:t>
      </w:r>
      <w:r w:rsidR="00EB0ACD" w:rsidRPr="00BA6590">
        <w:rPr>
          <w:lang w:val="en-GB"/>
        </w:rPr>
        <w:t xml:space="preserve"> provides that, outside the area of employment, no direct distinction based on presum</w:t>
      </w:r>
      <w:r w:rsidR="00764270" w:rsidRPr="00BA6590">
        <w:rPr>
          <w:lang w:val="en-GB"/>
        </w:rPr>
        <w:t>ed race, skin colour, parentage or</w:t>
      </w:r>
      <w:r w:rsidR="00EB0ACD" w:rsidRPr="00BA6590">
        <w:rPr>
          <w:lang w:val="en-GB"/>
        </w:rPr>
        <w:t xml:space="preserve"> national or ethnic origin can ever be justified. Only the criterion of nationality allows for objective justifications</w:t>
      </w:r>
      <w:r w:rsidRPr="00BA6590">
        <w:rPr>
          <w:lang w:val="en-GB"/>
        </w:rPr>
        <w:t>,</w:t>
      </w:r>
      <w:r w:rsidR="00EB0ACD" w:rsidRPr="00BA6590">
        <w:rPr>
          <w:lang w:val="en-GB"/>
        </w:rPr>
        <w:t xml:space="preserve"> provided that they are motivated by a legitimate goal and that the means for attaining that goal are appropriate and necessary. </w:t>
      </w:r>
    </w:p>
    <w:p w:rsidR="00D07C1B" w:rsidRPr="00BA6590" w:rsidRDefault="00D07C1B" w:rsidP="00BA355C">
      <w:pPr>
        <w:pStyle w:val="SingleTxtG"/>
        <w:rPr>
          <w:lang w:val="en-GB"/>
        </w:rPr>
      </w:pPr>
      <w:r w:rsidRPr="00BA6590">
        <w:rPr>
          <w:lang w:val="en-GB"/>
        </w:rPr>
        <w:t>19.</w:t>
      </w:r>
      <w:r w:rsidRPr="00BA6590">
        <w:rPr>
          <w:lang w:val="en-GB"/>
        </w:rPr>
        <w:tab/>
      </w:r>
      <w:r w:rsidR="00EB0ACD" w:rsidRPr="00BA6590">
        <w:rPr>
          <w:lang w:val="en-GB"/>
        </w:rPr>
        <w:t>In the area of labour relations, th</w:t>
      </w:r>
      <w:r w:rsidR="003E4735" w:rsidRPr="00BA6590">
        <w:rPr>
          <w:lang w:val="en-GB"/>
        </w:rPr>
        <w:t>at same</w:t>
      </w:r>
      <w:r w:rsidR="00EB0ACD" w:rsidRPr="00BA6590">
        <w:rPr>
          <w:lang w:val="en-GB"/>
        </w:rPr>
        <w:t xml:space="preserve"> Act specifies that a direct distinction based on one of the aforementioned four criteria may not be prohibited if it is motivated by an essential and decisive requirement</w:t>
      </w:r>
      <w:r w:rsidRPr="00BA6590">
        <w:rPr>
          <w:lang w:val="en-GB"/>
        </w:rPr>
        <w:t>,</w:t>
      </w:r>
      <w:r w:rsidR="00EB0ACD" w:rsidRPr="00BA6590">
        <w:rPr>
          <w:lang w:val="en-GB"/>
        </w:rPr>
        <w:t xml:space="preserve"> which must be interpreted strictly according to the law and treated as an exception to the general prohibition of d</w:t>
      </w:r>
      <w:r w:rsidRPr="00BA6590">
        <w:rPr>
          <w:lang w:val="en-GB"/>
        </w:rPr>
        <w:t>iscrimination.</w:t>
      </w:r>
      <w:r w:rsidR="00EB0ACD" w:rsidRPr="00BA6590">
        <w:rPr>
          <w:rStyle w:val="FootnoteReference"/>
          <w:lang w:val="en-GB"/>
        </w:rPr>
        <w:footnoteReference w:id="6"/>
      </w:r>
    </w:p>
    <w:p w:rsidR="00D07C1B" w:rsidRPr="00BA6590" w:rsidRDefault="00D07C1B" w:rsidP="00D07C1B">
      <w:pPr>
        <w:pStyle w:val="H23G"/>
        <w:rPr>
          <w:lang w:val="en-GB"/>
        </w:rPr>
      </w:pPr>
      <w:r w:rsidRPr="00BA6590">
        <w:rPr>
          <w:lang w:val="en-GB"/>
        </w:rPr>
        <w:tab/>
      </w:r>
      <w:r w:rsidRPr="00BA6590">
        <w:rPr>
          <w:lang w:val="en-GB"/>
        </w:rPr>
        <w:tab/>
      </w:r>
      <w:r w:rsidR="00BF2560" w:rsidRPr="00BA6590">
        <w:rPr>
          <w:lang w:val="en-GB"/>
        </w:rPr>
        <w:t>I</w:t>
      </w:r>
      <w:r w:rsidR="009745DC" w:rsidRPr="00BA6590">
        <w:rPr>
          <w:lang w:val="en-GB"/>
        </w:rPr>
        <w:t>ndirect discrimination</w:t>
      </w:r>
    </w:p>
    <w:p w:rsidR="00D07C1B" w:rsidRPr="00BA6590" w:rsidRDefault="00D07C1B" w:rsidP="00BA355C">
      <w:pPr>
        <w:pStyle w:val="SingleTxtG"/>
        <w:rPr>
          <w:lang w:val="en-GB"/>
        </w:rPr>
      </w:pPr>
      <w:r w:rsidRPr="00BA6590">
        <w:rPr>
          <w:lang w:val="en-GB"/>
        </w:rPr>
        <w:t>20.</w:t>
      </w:r>
      <w:r w:rsidRPr="00BA6590">
        <w:rPr>
          <w:lang w:val="en-GB"/>
        </w:rPr>
        <w:tab/>
      </w:r>
      <w:r w:rsidR="00E76C48" w:rsidRPr="00BA6590">
        <w:rPr>
          <w:lang w:val="en-GB"/>
        </w:rPr>
        <w:t>I</w:t>
      </w:r>
      <w:r w:rsidR="009745DC" w:rsidRPr="00BA6590">
        <w:rPr>
          <w:lang w:val="en-GB"/>
        </w:rPr>
        <w:t>ndirect discrimination</w:t>
      </w:r>
      <w:r w:rsidR="00E76C48" w:rsidRPr="00BA6590">
        <w:rPr>
          <w:lang w:val="en-GB"/>
        </w:rPr>
        <w:t xml:space="preserve"> is also prohibited; it is defined as any </w:t>
      </w:r>
      <w:r w:rsidR="00A216FB" w:rsidRPr="00BA6590">
        <w:rPr>
          <w:lang w:val="en-GB"/>
        </w:rPr>
        <w:t>“</w:t>
      </w:r>
      <w:r w:rsidR="00E76C48" w:rsidRPr="00BA6590">
        <w:rPr>
          <w:lang w:val="en-GB"/>
        </w:rPr>
        <w:t xml:space="preserve">indirect </w:t>
      </w:r>
      <w:r w:rsidRPr="00BA6590">
        <w:rPr>
          <w:lang w:val="en-GB"/>
        </w:rPr>
        <w:t>distinction</w:t>
      </w:r>
      <w:r w:rsidR="00E76C48" w:rsidRPr="00BA6590">
        <w:rPr>
          <w:lang w:val="en-GB"/>
        </w:rPr>
        <w:t xml:space="preserve"> </w:t>
      </w:r>
      <w:r w:rsidR="006D62F3" w:rsidRPr="00BA6590">
        <w:rPr>
          <w:lang w:val="en-GB"/>
        </w:rPr>
        <w:t xml:space="preserve">which is </w:t>
      </w:r>
      <w:r w:rsidR="00E76C48" w:rsidRPr="00BA6590">
        <w:rPr>
          <w:lang w:val="en-GB"/>
        </w:rPr>
        <w:t xml:space="preserve">based on one of the </w:t>
      </w:r>
      <w:r w:rsidR="0025386E" w:rsidRPr="00BA6590">
        <w:rPr>
          <w:lang w:val="en-GB"/>
        </w:rPr>
        <w:t>criteria for protection</w:t>
      </w:r>
      <w:r w:rsidR="00E76C48" w:rsidRPr="00BA6590">
        <w:rPr>
          <w:lang w:val="en-GB"/>
        </w:rPr>
        <w:t xml:space="preserve"> </w:t>
      </w:r>
      <w:r w:rsidR="006D62F3" w:rsidRPr="00BA6590">
        <w:rPr>
          <w:lang w:val="en-GB"/>
        </w:rPr>
        <w:t>and</w:t>
      </w:r>
      <w:r w:rsidR="00E76C48" w:rsidRPr="00BA6590">
        <w:rPr>
          <w:lang w:val="en-GB"/>
        </w:rPr>
        <w:t xml:space="preserve"> cannot be justified</w:t>
      </w:r>
      <w:r w:rsidR="00A216FB" w:rsidRPr="00BA6590">
        <w:rPr>
          <w:lang w:val="en-GB"/>
        </w:rPr>
        <w:t>”</w:t>
      </w:r>
      <w:r w:rsidR="00E76C48" w:rsidRPr="00BA6590">
        <w:rPr>
          <w:lang w:val="en-GB"/>
        </w:rPr>
        <w:t xml:space="preserve"> in accordance w</w:t>
      </w:r>
      <w:r w:rsidR="003A719B" w:rsidRPr="00BA6590">
        <w:rPr>
          <w:lang w:val="en-GB"/>
        </w:rPr>
        <w:t xml:space="preserve">ith any of the three federal Acts. </w:t>
      </w:r>
      <w:r w:rsidR="00A216FB" w:rsidRPr="00BA6590">
        <w:rPr>
          <w:lang w:val="en-GB"/>
        </w:rPr>
        <w:t>“</w:t>
      </w:r>
      <w:r w:rsidR="003A719B" w:rsidRPr="00BA6590">
        <w:rPr>
          <w:lang w:val="en-GB"/>
        </w:rPr>
        <w:t>I</w:t>
      </w:r>
      <w:r w:rsidR="00E76C48" w:rsidRPr="00BA6590">
        <w:rPr>
          <w:lang w:val="en-GB"/>
        </w:rPr>
        <w:t xml:space="preserve">ndirect </w:t>
      </w:r>
      <w:r w:rsidRPr="00BA6590">
        <w:rPr>
          <w:lang w:val="en-GB"/>
        </w:rPr>
        <w:t>distinction</w:t>
      </w:r>
      <w:r w:rsidR="00A216FB" w:rsidRPr="00BA6590">
        <w:rPr>
          <w:lang w:val="en-GB"/>
        </w:rPr>
        <w:t>”</w:t>
      </w:r>
      <w:r w:rsidR="003A719B" w:rsidRPr="00BA6590">
        <w:rPr>
          <w:lang w:val="en-GB"/>
        </w:rPr>
        <w:t xml:space="preserve"> is intended to denote</w:t>
      </w:r>
      <w:r w:rsidR="00E76C48" w:rsidRPr="00BA6590">
        <w:rPr>
          <w:lang w:val="en-GB"/>
        </w:rPr>
        <w:t xml:space="preserve"> a situation which arises when an apparently neutral provision, criterion or practice is likely to cause, in relation to other persons, a particular disadvantage for a person</w:t>
      </w:r>
      <w:r w:rsidR="006D62F3" w:rsidRPr="00BA6590">
        <w:rPr>
          <w:lang w:val="en-GB"/>
        </w:rPr>
        <w:t xml:space="preserve"> belonging to </w:t>
      </w:r>
      <w:r w:rsidR="00E76C48" w:rsidRPr="00BA6590">
        <w:rPr>
          <w:lang w:val="en-GB"/>
        </w:rPr>
        <w:t xml:space="preserve">one of the </w:t>
      </w:r>
      <w:r w:rsidR="003A719B" w:rsidRPr="00BA6590">
        <w:rPr>
          <w:lang w:val="en-GB"/>
        </w:rPr>
        <w:t>protected categori</w:t>
      </w:r>
      <w:r w:rsidR="006D62F3" w:rsidRPr="00BA6590">
        <w:rPr>
          <w:lang w:val="en-GB"/>
        </w:rPr>
        <w:t>es</w:t>
      </w:r>
      <w:r w:rsidRPr="00BA6590">
        <w:rPr>
          <w:lang w:val="en-GB"/>
        </w:rPr>
        <w:t>.</w:t>
      </w:r>
      <w:r w:rsidR="00731F08" w:rsidRPr="00BA6590">
        <w:rPr>
          <w:lang w:val="en-GB"/>
        </w:rPr>
        <w:t xml:space="preserve"> </w:t>
      </w:r>
    </w:p>
    <w:p w:rsidR="00D07C1B" w:rsidRPr="00BA6590" w:rsidRDefault="00D07C1B" w:rsidP="00D07C1B">
      <w:pPr>
        <w:pStyle w:val="SingleTxtG"/>
        <w:rPr>
          <w:lang w:val="en-GB"/>
        </w:rPr>
      </w:pPr>
      <w:r w:rsidRPr="00BA6590">
        <w:rPr>
          <w:lang w:val="en-GB"/>
        </w:rPr>
        <w:t>21.</w:t>
      </w:r>
      <w:r w:rsidRPr="00BA6590">
        <w:rPr>
          <w:lang w:val="en-GB"/>
        </w:rPr>
        <w:tab/>
      </w:r>
      <w:r w:rsidR="00E76C48" w:rsidRPr="00BA6590">
        <w:rPr>
          <w:lang w:val="en-GB"/>
        </w:rPr>
        <w:t xml:space="preserve">Here again, the concept comprises no element of intent. Nonetheless, when it is applied in the context of a criminal procedure, intent to discriminate must be proven. It should be noted that indirect </w:t>
      </w:r>
      <w:r w:rsidRPr="00BA6590">
        <w:rPr>
          <w:lang w:val="en-GB"/>
        </w:rPr>
        <w:t>distinctions</w:t>
      </w:r>
      <w:r w:rsidR="00E76C48" w:rsidRPr="00BA6590">
        <w:rPr>
          <w:lang w:val="en-GB"/>
        </w:rPr>
        <w:t xml:space="preserve"> may always be justified provided that they are objectively warranted by a legitimate goal and that the means for attaining that goal are appropriate and necessary. </w:t>
      </w:r>
    </w:p>
    <w:p w:rsidR="00D07C1B" w:rsidRPr="00BA6590" w:rsidRDefault="00D07C1B" w:rsidP="00D07C1B">
      <w:pPr>
        <w:pStyle w:val="H23G"/>
        <w:rPr>
          <w:lang w:val="en-GB"/>
        </w:rPr>
      </w:pPr>
      <w:r w:rsidRPr="00BA6590">
        <w:rPr>
          <w:lang w:val="en-GB"/>
        </w:rPr>
        <w:tab/>
      </w:r>
      <w:r w:rsidRPr="00BA6590">
        <w:rPr>
          <w:lang w:val="en-GB"/>
        </w:rPr>
        <w:tab/>
      </w:r>
      <w:r w:rsidR="00A7149D" w:rsidRPr="00BA6590">
        <w:rPr>
          <w:lang w:val="en-GB"/>
        </w:rPr>
        <w:t>Harassment</w:t>
      </w:r>
    </w:p>
    <w:p w:rsidR="00D07C1B" w:rsidRPr="00BA6590" w:rsidRDefault="00ED2368" w:rsidP="00BA355C">
      <w:pPr>
        <w:pStyle w:val="SingleTxtG"/>
        <w:rPr>
          <w:lang w:val="en-GB"/>
        </w:rPr>
      </w:pPr>
      <w:r w:rsidRPr="00BA6590">
        <w:rPr>
          <w:lang w:val="en-GB"/>
        </w:rPr>
        <w:t>22.</w:t>
      </w:r>
      <w:r w:rsidRPr="00BA6590">
        <w:rPr>
          <w:lang w:val="en-GB"/>
        </w:rPr>
        <w:tab/>
      </w:r>
      <w:r w:rsidR="00EB1467" w:rsidRPr="00BA6590">
        <w:rPr>
          <w:lang w:val="en-GB"/>
        </w:rPr>
        <w:t>Harassment, when based on one of the legally protected</w:t>
      </w:r>
      <w:r w:rsidR="00D07C1B" w:rsidRPr="00BA6590">
        <w:rPr>
          <w:lang w:val="en-GB"/>
        </w:rPr>
        <w:t xml:space="preserve"> </w:t>
      </w:r>
      <w:r w:rsidR="0025386E" w:rsidRPr="00BA6590">
        <w:rPr>
          <w:lang w:val="en-GB"/>
        </w:rPr>
        <w:t>criteria</w:t>
      </w:r>
      <w:r w:rsidR="00EB1467" w:rsidRPr="00BA6590">
        <w:rPr>
          <w:lang w:val="en-GB"/>
        </w:rPr>
        <w:t>, is considered as prohibited behaviour and treated</w:t>
      </w:r>
      <w:r w:rsidR="002D4941" w:rsidRPr="00BA6590">
        <w:rPr>
          <w:lang w:val="en-GB"/>
        </w:rPr>
        <w:t xml:space="preserve"> </w:t>
      </w:r>
      <w:r w:rsidR="00EB1467" w:rsidRPr="00BA6590">
        <w:rPr>
          <w:lang w:val="en-GB"/>
        </w:rPr>
        <w:t>as such.</w:t>
      </w:r>
      <w:r w:rsidR="00135BE0" w:rsidRPr="00BA6590">
        <w:rPr>
          <w:lang w:val="en-GB"/>
        </w:rPr>
        <w:t xml:space="preserve"> The law defines it as undesirable behaviour linked to one of the</w:t>
      </w:r>
      <w:r w:rsidR="00D07C1B" w:rsidRPr="00BA6590">
        <w:rPr>
          <w:lang w:val="en-GB"/>
        </w:rPr>
        <w:t xml:space="preserve"> </w:t>
      </w:r>
      <w:r w:rsidR="003A719B" w:rsidRPr="00BA6590">
        <w:rPr>
          <w:lang w:val="en-GB"/>
        </w:rPr>
        <w:t>protected criteria</w:t>
      </w:r>
      <w:r w:rsidR="00135BE0" w:rsidRPr="00BA6590">
        <w:rPr>
          <w:lang w:val="en-GB"/>
        </w:rPr>
        <w:t xml:space="preserve"> with the intent or result of </w:t>
      </w:r>
      <w:r w:rsidR="006D62F3" w:rsidRPr="00BA6590">
        <w:rPr>
          <w:lang w:val="en-GB"/>
        </w:rPr>
        <w:t>violating the dignity of the person and creating an intimidating, hostile, degrading, humiliating or offensive environment.</w:t>
      </w:r>
    </w:p>
    <w:p w:rsidR="00D07C1B" w:rsidRPr="00BA6590" w:rsidRDefault="00ED2368" w:rsidP="00D07C1B">
      <w:pPr>
        <w:pStyle w:val="SingleTxtG"/>
        <w:rPr>
          <w:lang w:val="en-GB"/>
        </w:rPr>
      </w:pPr>
      <w:r w:rsidRPr="00BA6590">
        <w:rPr>
          <w:lang w:val="en-GB"/>
        </w:rPr>
        <w:t>23.</w:t>
      </w:r>
      <w:r w:rsidRPr="00BA6590">
        <w:rPr>
          <w:lang w:val="en-GB"/>
        </w:rPr>
        <w:tab/>
      </w:r>
      <w:r w:rsidR="006D62F3" w:rsidRPr="00BA6590">
        <w:rPr>
          <w:lang w:val="en-GB"/>
        </w:rPr>
        <w:t xml:space="preserve">Unlike </w:t>
      </w:r>
      <w:r w:rsidR="00D07C1B" w:rsidRPr="00BA6590">
        <w:rPr>
          <w:lang w:val="en-GB"/>
        </w:rPr>
        <w:t>distinctions</w:t>
      </w:r>
      <w:r w:rsidR="006D62F3" w:rsidRPr="00BA6590">
        <w:rPr>
          <w:lang w:val="en-GB"/>
        </w:rPr>
        <w:t xml:space="preserve"> in treatment, which are not necessarily discrimination, harassment may not be justified and can</w:t>
      </w:r>
      <w:r w:rsidR="003A719B" w:rsidRPr="00BA6590">
        <w:rPr>
          <w:lang w:val="en-GB"/>
        </w:rPr>
        <w:t>not</w:t>
      </w:r>
      <w:r w:rsidR="006D62F3" w:rsidRPr="00BA6590">
        <w:rPr>
          <w:lang w:val="en-GB"/>
        </w:rPr>
        <w:t xml:space="preserve"> be considered </w:t>
      </w:r>
      <w:r w:rsidR="003A719B" w:rsidRPr="00BA6590">
        <w:rPr>
          <w:lang w:val="en-GB"/>
        </w:rPr>
        <w:t>otherwise than</w:t>
      </w:r>
      <w:r w:rsidR="006D62F3" w:rsidRPr="00BA6590">
        <w:rPr>
          <w:lang w:val="en-GB"/>
        </w:rPr>
        <w:t xml:space="preserve"> as intentional behaviour. </w:t>
      </w:r>
    </w:p>
    <w:p w:rsidR="00D07C1B" w:rsidRPr="00BA6590" w:rsidRDefault="00ED2368" w:rsidP="00ED2368">
      <w:pPr>
        <w:pStyle w:val="H23G"/>
        <w:rPr>
          <w:lang w:val="en-GB"/>
        </w:rPr>
      </w:pPr>
      <w:r w:rsidRPr="00BA6590">
        <w:rPr>
          <w:lang w:val="en-GB"/>
        </w:rPr>
        <w:tab/>
      </w:r>
      <w:r w:rsidRPr="00BA6590">
        <w:rPr>
          <w:lang w:val="en-GB"/>
        </w:rPr>
        <w:tab/>
      </w:r>
      <w:r w:rsidR="006D62F3" w:rsidRPr="00BA6590">
        <w:rPr>
          <w:lang w:val="en-GB"/>
        </w:rPr>
        <w:t>I</w:t>
      </w:r>
      <w:r w:rsidR="00F623DC" w:rsidRPr="00BA6590">
        <w:rPr>
          <w:lang w:val="en-GB"/>
        </w:rPr>
        <w:t>ncitement to discriminate</w:t>
      </w:r>
    </w:p>
    <w:p w:rsidR="00D07C1B" w:rsidRPr="00BA6590" w:rsidRDefault="00ED2368" w:rsidP="00BA355C">
      <w:pPr>
        <w:pStyle w:val="SingleTxtG"/>
        <w:rPr>
          <w:lang w:val="en-GB"/>
        </w:rPr>
      </w:pPr>
      <w:r w:rsidRPr="00BA6590">
        <w:rPr>
          <w:lang w:val="en-GB"/>
        </w:rPr>
        <w:t>24.</w:t>
      </w:r>
      <w:r w:rsidRPr="00BA6590">
        <w:rPr>
          <w:lang w:val="en-GB"/>
        </w:rPr>
        <w:tab/>
      </w:r>
      <w:r w:rsidR="006D62F3" w:rsidRPr="00BA6590">
        <w:rPr>
          <w:lang w:val="en-GB"/>
        </w:rPr>
        <w:t>I</w:t>
      </w:r>
      <w:r w:rsidR="00F623DC" w:rsidRPr="00BA6590">
        <w:rPr>
          <w:lang w:val="en-GB"/>
        </w:rPr>
        <w:t>ncitement to discriminate</w:t>
      </w:r>
      <w:r w:rsidR="006D62F3" w:rsidRPr="00BA6590">
        <w:rPr>
          <w:lang w:val="en-GB"/>
        </w:rPr>
        <w:t xml:space="preserve"> is defined as any behaviour which incites any person to discriminate, on the basis of one of the </w:t>
      </w:r>
      <w:r w:rsidR="003A719B" w:rsidRPr="00BA6590">
        <w:rPr>
          <w:lang w:val="en-GB"/>
        </w:rPr>
        <w:t xml:space="preserve">protected </w:t>
      </w:r>
      <w:r w:rsidR="0025386E" w:rsidRPr="00BA6590">
        <w:rPr>
          <w:lang w:val="en-GB"/>
        </w:rPr>
        <w:t>criteria</w:t>
      </w:r>
      <w:r w:rsidR="00D07C1B" w:rsidRPr="00BA6590">
        <w:rPr>
          <w:lang w:val="en-GB"/>
        </w:rPr>
        <w:t>,</w:t>
      </w:r>
      <w:r w:rsidR="006D62F3" w:rsidRPr="00BA6590">
        <w:rPr>
          <w:lang w:val="en-GB"/>
        </w:rPr>
        <w:t xml:space="preserve"> against a person, group or community or one of their members. </w:t>
      </w:r>
    </w:p>
    <w:p w:rsidR="00D07C1B" w:rsidRPr="00BA6590" w:rsidRDefault="00ED2368" w:rsidP="00D07C1B">
      <w:pPr>
        <w:pStyle w:val="SingleTxtG"/>
        <w:rPr>
          <w:lang w:val="en-GB"/>
        </w:rPr>
      </w:pPr>
      <w:r w:rsidRPr="00BA6590">
        <w:rPr>
          <w:lang w:val="en-GB"/>
        </w:rPr>
        <w:t>25.</w:t>
      </w:r>
      <w:r w:rsidRPr="00BA6590">
        <w:rPr>
          <w:lang w:val="en-GB"/>
        </w:rPr>
        <w:tab/>
      </w:r>
      <w:r w:rsidR="005F51A4" w:rsidRPr="00BA6590">
        <w:rPr>
          <w:lang w:val="en-GB"/>
        </w:rPr>
        <w:t>Construing such incitement as discrimination is justified by the legislators</w:t>
      </w:r>
      <w:r w:rsidR="00A216FB" w:rsidRPr="00BA6590">
        <w:rPr>
          <w:lang w:val="en-GB"/>
        </w:rPr>
        <w:t>’</w:t>
      </w:r>
      <w:r w:rsidR="005F51A4" w:rsidRPr="00BA6590">
        <w:rPr>
          <w:lang w:val="en-GB"/>
        </w:rPr>
        <w:t xml:space="preserve"> desire to prevent certain persons from evading the prohibition of discrimination through the use of intermediaries. Such behaviour, which is punished by the criminal and civil law separately from the discrimination itself, requires an element of intent in the criminal law. It can be applied even if the incitement has not brought about actual discrimination. </w:t>
      </w:r>
    </w:p>
    <w:p w:rsidR="00ED2368" w:rsidRPr="00BA6590" w:rsidRDefault="00ED2368" w:rsidP="00ED2368">
      <w:pPr>
        <w:pStyle w:val="HChG"/>
        <w:rPr>
          <w:lang w:val="en-GB"/>
        </w:rPr>
      </w:pPr>
      <w:r w:rsidRPr="00BA6590">
        <w:rPr>
          <w:lang w:val="en-GB"/>
        </w:rPr>
        <w:tab/>
      </w:r>
      <w:r w:rsidRPr="00BA6590">
        <w:rPr>
          <w:lang w:val="en-GB"/>
        </w:rPr>
        <w:tab/>
        <w:t>Article 2</w:t>
      </w:r>
      <w:r w:rsidR="00D319DE" w:rsidRPr="00BA6590">
        <w:rPr>
          <w:lang w:val="en-GB"/>
        </w:rPr>
        <w:br/>
      </w:r>
      <w:r w:rsidRPr="00BA6590">
        <w:rPr>
          <w:lang w:val="en-GB"/>
        </w:rPr>
        <w:t>Poli</w:t>
      </w:r>
      <w:r w:rsidR="002F72D9" w:rsidRPr="00BA6590">
        <w:rPr>
          <w:lang w:val="en-GB"/>
        </w:rPr>
        <w:t>cies</w:t>
      </w:r>
      <w:r w:rsidR="005F51A4" w:rsidRPr="00BA6590">
        <w:rPr>
          <w:lang w:val="en-GB"/>
        </w:rPr>
        <w:t xml:space="preserve"> to combat racism</w:t>
      </w:r>
    </w:p>
    <w:p w:rsidR="00ED2368" w:rsidRPr="00BA6590" w:rsidRDefault="00ED2368" w:rsidP="00ED2368">
      <w:pPr>
        <w:pStyle w:val="H1G"/>
        <w:rPr>
          <w:lang w:val="en-GB"/>
        </w:rPr>
      </w:pPr>
      <w:r w:rsidRPr="00BA6590">
        <w:rPr>
          <w:lang w:val="en-GB"/>
        </w:rPr>
        <w:tab/>
        <w:t>A.</w:t>
      </w:r>
      <w:r w:rsidRPr="00BA6590">
        <w:rPr>
          <w:lang w:val="en-GB"/>
        </w:rPr>
        <w:tab/>
      </w:r>
      <w:r w:rsidR="002F72D9" w:rsidRPr="00BA6590">
        <w:rPr>
          <w:lang w:val="en-GB"/>
        </w:rPr>
        <w:t>International commit</w:t>
      </w:r>
      <w:r w:rsidR="005F51A4" w:rsidRPr="00BA6590">
        <w:rPr>
          <w:lang w:val="en-GB"/>
        </w:rPr>
        <w:t>ments</w:t>
      </w:r>
    </w:p>
    <w:p w:rsidR="00ED2368" w:rsidRPr="00BA6590" w:rsidRDefault="00ED2368" w:rsidP="00ED2368">
      <w:pPr>
        <w:pStyle w:val="SingleTxtG"/>
        <w:rPr>
          <w:lang w:val="en-GB"/>
        </w:rPr>
      </w:pPr>
      <w:r w:rsidRPr="00BA6590">
        <w:rPr>
          <w:lang w:val="en-GB"/>
        </w:rPr>
        <w:t>26.</w:t>
      </w:r>
      <w:r w:rsidRPr="00BA6590">
        <w:rPr>
          <w:lang w:val="en-GB"/>
        </w:rPr>
        <w:tab/>
      </w:r>
      <w:r w:rsidR="005F51A4" w:rsidRPr="00BA6590">
        <w:rPr>
          <w:lang w:val="en-GB"/>
        </w:rPr>
        <w:t>Since 2006, Belgium has ratified the following instruments</w:t>
      </w:r>
      <w:r w:rsidRPr="00BA6590">
        <w:rPr>
          <w:lang w:val="en-GB"/>
        </w:rPr>
        <w:t>:</w:t>
      </w:r>
    </w:p>
    <w:p w:rsidR="00ED2368" w:rsidRPr="00BA6590" w:rsidRDefault="00575C6C" w:rsidP="00ED2368">
      <w:pPr>
        <w:pStyle w:val="Bullet1G"/>
        <w:rPr>
          <w:lang w:val="en-GB"/>
        </w:rPr>
      </w:pPr>
      <w:r w:rsidRPr="00BA6590">
        <w:rPr>
          <w:lang w:val="en-GB"/>
        </w:rPr>
        <w:t>The Protocol amending the European Convention on the Suppression of Terrorism</w:t>
      </w:r>
      <w:r w:rsidR="00ED2368" w:rsidRPr="00BA6590">
        <w:rPr>
          <w:lang w:val="en-GB"/>
        </w:rPr>
        <w:t xml:space="preserve"> (</w:t>
      </w:r>
      <w:r w:rsidR="003A719B" w:rsidRPr="00BA6590">
        <w:rPr>
          <w:lang w:val="en-GB"/>
        </w:rPr>
        <w:t xml:space="preserve">ratified on </w:t>
      </w:r>
      <w:r w:rsidR="00ED2368" w:rsidRPr="00BA6590">
        <w:rPr>
          <w:lang w:val="en-GB"/>
        </w:rPr>
        <w:t xml:space="preserve">16 </w:t>
      </w:r>
      <w:r w:rsidRPr="00BA6590">
        <w:rPr>
          <w:lang w:val="en-GB"/>
        </w:rPr>
        <w:t>Augus</w:t>
      </w:r>
      <w:r w:rsidR="00ED2368" w:rsidRPr="00BA6590">
        <w:rPr>
          <w:lang w:val="en-GB"/>
        </w:rPr>
        <w:t>t 2007)</w:t>
      </w:r>
      <w:r w:rsidR="00BF26B1" w:rsidRPr="00BA6590">
        <w:rPr>
          <w:lang w:val="en-GB"/>
        </w:rPr>
        <w:t>;</w:t>
      </w:r>
    </w:p>
    <w:p w:rsidR="00ED2368" w:rsidRPr="00BA6590" w:rsidRDefault="00575C6C" w:rsidP="00ED2368">
      <w:pPr>
        <w:pStyle w:val="Bullet1G"/>
        <w:rPr>
          <w:lang w:val="en-GB"/>
        </w:rPr>
      </w:pPr>
      <w:r w:rsidRPr="00BA6590">
        <w:rPr>
          <w:lang w:val="en-GB"/>
        </w:rPr>
        <w:t xml:space="preserve">The Additional Protocol to the Criminal Law Convention on Corruption </w:t>
      </w:r>
      <w:r w:rsidR="00BA4EBD">
        <w:rPr>
          <w:lang w:val="en-GB"/>
        </w:rPr>
        <w:t>(26 </w:t>
      </w:r>
      <w:r w:rsidRPr="00BA6590">
        <w:rPr>
          <w:lang w:val="en-GB"/>
        </w:rPr>
        <w:t>February</w:t>
      </w:r>
      <w:r w:rsidR="00ED2368" w:rsidRPr="00BA6590">
        <w:rPr>
          <w:lang w:val="en-GB"/>
        </w:rPr>
        <w:t xml:space="preserve"> 2009)</w:t>
      </w:r>
      <w:r w:rsidR="00BF26B1" w:rsidRPr="00BA6590">
        <w:rPr>
          <w:lang w:val="en-GB"/>
        </w:rPr>
        <w:t>;</w:t>
      </w:r>
    </w:p>
    <w:p w:rsidR="00ED2368" w:rsidRPr="00BA6590" w:rsidRDefault="00575C6C" w:rsidP="00ED2368">
      <w:pPr>
        <w:pStyle w:val="Bullet1G"/>
        <w:rPr>
          <w:lang w:val="en-GB"/>
        </w:rPr>
      </w:pPr>
      <w:r w:rsidRPr="00BA6590">
        <w:rPr>
          <w:lang w:val="en-GB"/>
        </w:rPr>
        <w:t>The Council of Europe Convention on Action against Trafficking in Human Beings</w:t>
      </w:r>
      <w:r w:rsidR="00ED2368" w:rsidRPr="00BA6590">
        <w:rPr>
          <w:lang w:val="en-GB"/>
        </w:rPr>
        <w:t xml:space="preserve"> (27 </w:t>
      </w:r>
      <w:r w:rsidRPr="00BA6590">
        <w:rPr>
          <w:lang w:val="en-GB"/>
        </w:rPr>
        <w:t>Apr</w:t>
      </w:r>
      <w:r w:rsidR="00ED2368" w:rsidRPr="00BA6590">
        <w:rPr>
          <w:lang w:val="en-GB"/>
        </w:rPr>
        <w:t>il 2009)</w:t>
      </w:r>
      <w:r w:rsidR="00BF26B1" w:rsidRPr="00BA6590">
        <w:rPr>
          <w:lang w:val="en-GB"/>
        </w:rPr>
        <w:t>;</w:t>
      </w:r>
    </w:p>
    <w:p w:rsidR="00ED2368" w:rsidRPr="00BA6590" w:rsidRDefault="00575C6C" w:rsidP="001F550A">
      <w:pPr>
        <w:pStyle w:val="Bullet1G"/>
        <w:rPr>
          <w:lang w:val="en-GB"/>
        </w:rPr>
      </w:pPr>
      <w:r w:rsidRPr="00BA6590">
        <w:rPr>
          <w:lang w:val="en-GB"/>
        </w:rPr>
        <w:t xml:space="preserve">The Convention on the Rights of Persons with Disabilities </w:t>
      </w:r>
      <w:r w:rsidR="00ED2368" w:rsidRPr="00BA6590">
        <w:rPr>
          <w:lang w:val="en-GB"/>
        </w:rPr>
        <w:t>(2</w:t>
      </w:r>
      <w:r w:rsidRPr="00BA6590">
        <w:rPr>
          <w:lang w:val="en-GB"/>
        </w:rPr>
        <w:t xml:space="preserve"> July</w:t>
      </w:r>
      <w:r w:rsidR="00ED2368" w:rsidRPr="00BA6590">
        <w:rPr>
          <w:lang w:val="en-GB"/>
        </w:rPr>
        <w:t xml:space="preserve"> 2009)</w:t>
      </w:r>
      <w:r w:rsidR="00BF26B1" w:rsidRPr="00BA6590">
        <w:rPr>
          <w:lang w:val="en-GB"/>
        </w:rPr>
        <w:t>;</w:t>
      </w:r>
    </w:p>
    <w:p w:rsidR="00ED2368" w:rsidRPr="00BA6590" w:rsidRDefault="00575C6C" w:rsidP="00ED2368">
      <w:pPr>
        <w:pStyle w:val="Bullet1G"/>
        <w:rPr>
          <w:lang w:val="en-GB"/>
        </w:rPr>
      </w:pPr>
      <w:r w:rsidRPr="00BA6590">
        <w:rPr>
          <w:lang w:val="en-GB"/>
        </w:rPr>
        <w:t>The Optional Protocol to the</w:t>
      </w:r>
      <w:r w:rsidR="00ED2368" w:rsidRPr="00BA6590">
        <w:rPr>
          <w:lang w:val="en-GB"/>
        </w:rPr>
        <w:t xml:space="preserve"> </w:t>
      </w:r>
      <w:r w:rsidRPr="00BA6590">
        <w:rPr>
          <w:lang w:val="en-GB"/>
        </w:rPr>
        <w:t>Convention on the Rights of Persons with Disabilities</w:t>
      </w:r>
      <w:r w:rsidR="00ED2368" w:rsidRPr="00BA6590">
        <w:rPr>
          <w:lang w:val="en-GB"/>
        </w:rPr>
        <w:t xml:space="preserve"> (2 </w:t>
      </w:r>
      <w:r w:rsidRPr="00BA6590">
        <w:rPr>
          <w:lang w:val="en-GB"/>
        </w:rPr>
        <w:t>July</w:t>
      </w:r>
      <w:r w:rsidR="00ED2368" w:rsidRPr="00BA6590">
        <w:rPr>
          <w:lang w:val="en-GB"/>
        </w:rPr>
        <w:t xml:space="preserve"> 2009)</w:t>
      </w:r>
      <w:r w:rsidR="00BF26B1" w:rsidRPr="00BA6590">
        <w:rPr>
          <w:lang w:val="en-GB"/>
        </w:rPr>
        <w:t>;</w:t>
      </w:r>
    </w:p>
    <w:p w:rsidR="00ED2368" w:rsidRPr="00BA6590" w:rsidRDefault="00DC18EF" w:rsidP="001F550A">
      <w:pPr>
        <w:pStyle w:val="Bullet1G"/>
        <w:rPr>
          <w:lang w:val="en-GB"/>
        </w:rPr>
      </w:pPr>
      <w:r w:rsidRPr="00BA6590">
        <w:rPr>
          <w:lang w:val="en-GB"/>
        </w:rPr>
        <w:t>International Labour Organization (</w:t>
      </w:r>
      <w:r w:rsidR="00575C6C" w:rsidRPr="00BA6590">
        <w:rPr>
          <w:lang w:val="en-GB"/>
        </w:rPr>
        <w:t>ILO</w:t>
      </w:r>
      <w:r w:rsidRPr="00BA6590">
        <w:rPr>
          <w:lang w:val="en-GB"/>
        </w:rPr>
        <w:t>)</w:t>
      </w:r>
      <w:r w:rsidR="00575C6C" w:rsidRPr="00BA6590">
        <w:rPr>
          <w:lang w:val="en-GB"/>
        </w:rPr>
        <w:t xml:space="preserve"> </w:t>
      </w:r>
      <w:r w:rsidR="00ED2368" w:rsidRPr="00BA6590">
        <w:rPr>
          <w:lang w:val="en-GB"/>
        </w:rPr>
        <w:t xml:space="preserve">Convention </w:t>
      </w:r>
      <w:r w:rsidR="003A719B" w:rsidRPr="00BA6590">
        <w:rPr>
          <w:lang w:val="en-GB"/>
        </w:rPr>
        <w:t>N</w:t>
      </w:r>
      <w:r w:rsidR="00575C6C" w:rsidRPr="00BA6590">
        <w:rPr>
          <w:lang w:val="en-GB"/>
        </w:rPr>
        <w:t>o.</w:t>
      </w:r>
      <w:r w:rsidR="00ED2368" w:rsidRPr="00BA6590">
        <w:rPr>
          <w:lang w:val="en-GB"/>
        </w:rPr>
        <w:t xml:space="preserve"> 155 </w:t>
      </w:r>
      <w:r w:rsidR="00575C6C" w:rsidRPr="00BA6590">
        <w:rPr>
          <w:lang w:val="en-GB"/>
        </w:rPr>
        <w:t>concerning Occupational Safety and Health and the Working Environment</w:t>
      </w:r>
      <w:r w:rsidR="00ED2368" w:rsidRPr="00BA6590">
        <w:rPr>
          <w:lang w:val="en-GB"/>
        </w:rPr>
        <w:t>, 1981 (28</w:t>
      </w:r>
      <w:r w:rsidR="00575C6C" w:rsidRPr="00BA6590">
        <w:rPr>
          <w:lang w:val="en-GB"/>
        </w:rPr>
        <w:t xml:space="preserve"> February</w:t>
      </w:r>
      <w:r w:rsidR="00ED2368" w:rsidRPr="00BA6590">
        <w:rPr>
          <w:lang w:val="en-GB"/>
        </w:rPr>
        <w:t xml:space="preserve"> 2011)</w:t>
      </w:r>
      <w:r w:rsidR="00BF26B1" w:rsidRPr="00BA6590">
        <w:rPr>
          <w:lang w:val="en-GB"/>
        </w:rPr>
        <w:t>;</w:t>
      </w:r>
    </w:p>
    <w:p w:rsidR="00ED2368" w:rsidRPr="00BA6590" w:rsidRDefault="00575C6C" w:rsidP="001F550A">
      <w:pPr>
        <w:pStyle w:val="Bullet1G"/>
        <w:rPr>
          <w:lang w:val="en-GB"/>
        </w:rPr>
      </w:pPr>
      <w:r w:rsidRPr="00BA6590">
        <w:rPr>
          <w:lang w:val="en-GB"/>
        </w:rPr>
        <w:t xml:space="preserve">ILO Convention </w:t>
      </w:r>
      <w:r w:rsidR="003A719B" w:rsidRPr="00BA6590">
        <w:rPr>
          <w:lang w:val="en-GB"/>
        </w:rPr>
        <w:t>N</w:t>
      </w:r>
      <w:r w:rsidRPr="00BA6590">
        <w:rPr>
          <w:lang w:val="en-GB"/>
        </w:rPr>
        <w:t>o.</w:t>
      </w:r>
      <w:r w:rsidR="00ED2368" w:rsidRPr="00BA6590">
        <w:rPr>
          <w:lang w:val="en-GB"/>
        </w:rPr>
        <w:t xml:space="preserve"> 161 </w:t>
      </w:r>
      <w:r w:rsidRPr="00BA6590">
        <w:rPr>
          <w:lang w:val="en-GB"/>
        </w:rPr>
        <w:t>concerning Occupational Health Services</w:t>
      </w:r>
      <w:r w:rsidR="00ED2368" w:rsidRPr="00BA6590">
        <w:rPr>
          <w:lang w:val="en-GB"/>
        </w:rPr>
        <w:t>, 1985 (28</w:t>
      </w:r>
      <w:r w:rsidR="00D754B6">
        <w:rPr>
          <w:lang w:val="en-GB"/>
        </w:rPr>
        <w:t> </w:t>
      </w:r>
      <w:r w:rsidRPr="00BA6590">
        <w:rPr>
          <w:lang w:val="en-GB"/>
        </w:rPr>
        <w:t>February</w:t>
      </w:r>
      <w:r w:rsidR="00ED2368" w:rsidRPr="00BA6590">
        <w:rPr>
          <w:lang w:val="en-GB"/>
        </w:rPr>
        <w:t xml:space="preserve"> 2011)</w:t>
      </w:r>
      <w:r w:rsidR="00BF26B1" w:rsidRPr="00BA6590">
        <w:rPr>
          <w:lang w:val="en-GB"/>
        </w:rPr>
        <w:t>;</w:t>
      </w:r>
    </w:p>
    <w:p w:rsidR="00ED2368" w:rsidRPr="00BA6590" w:rsidRDefault="00575C6C" w:rsidP="00ED2368">
      <w:pPr>
        <w:pStyle w:val="Bullet1G"/>
        <w:rPr>
          <w:lang w:val="en-GB"/>
        </w:rPr>
      </w:pPr>
      <w:r w:rsidRPr="00BA6590">
        <w:rPr>
          <w:lang w:val="en-GB"/>
        </w:rPr>
        <w:t>The</w:t>
      </w:r>
      <w:r w:rsidR="00ED2368" w:rsidRPr="00BA6590">
        <w:rPr>
          <w:lang w:val="en-GB"/>
        </w:rPr>
        <w:t xml:space="preserve"> </w:t>
      </w:r>
      <w:r w:rsidRPr="00BA6590">
        <w:rPr>
          <w:lang w:val="en-GB"/>
        </w:rPr>
        <w:t>International Convention for the Protection of All Persons from Enforced Disappearance (2 June</w:t>
      </w:r>
      <w:r w:rsidR="00ED2368" w:rsidRPr="00BA6590">
        <w:rPr>
          <w:lang w:val="en-GB"/>
        </w:rPr>
        <w:t xml:space="preserve"> 2011)</w:t>
      </w:r>
      <w:r w:rsidR="00BF26B1" w:rsidRPr="00BA6590">
        <w:rPr>
          <w:lang w:val="en-GB"/>
        </w:rPr>
        <w:t>;</w:t>
      </w:r>
    </w:p>
    <w:p w:rsidR="00ED2368" w:rsidRPr="00BA6590" w:rsidRDefault="00575C6C" w:rsidP="00ED2368">
      <w:pPr>
        <w:pStyle w:val="Bullet1G"/>
        <w:rPr>
          <w:lang w:val="en-GB"/>
        </w:rPr>
      </w:pPr>
      <w:r w:rsidRPr="00BA6590">
        <w:rPr>
          <w:lang w:val="en-GB"/>
        </w:rPr>
        <w:t>ILO Convention</w:t>
      </w:r>
      <w:r w:rsidR="00ED2368" w:rsidRPr="00BA6590">
        <w:rPr>
          <w:lang w:val="en-GB"/>
        </w:rPr>
        <w:t xml:space="preserve"> </w:t>
      </w:r>
      <w:r w:rsidR="003A719B" w:rsidRPr="00BA6590">
        <w:rPr>
          <w:lang w:val="en-GB"/>
        </w:rPr>
        <w:t>N</w:t>
      </w:r>
      <w:r w:rsidRPr="00BA6590">
        <w:rPr>
          <w:lang w:val="en-GB"/>
        </w:rPr>
        <w:t>o.</w:t>
      </w:r>
      <w:r w:rsidR="00ED2368" w:rsidRPr="00BA6590">
        <w:rPr>
          <w:lang w:val="en-GB"/>
        </w:rPr>
        <w:t xml:space="preserve"> 150 </w:t>
      </w:r>
      <w:r w:rsidR="00962FBF" w:rsidRPr="00BA6590">
        <w:rPr>
          <w:lang w:val="en-GB"/>
        </w:rPr>
        <w:t>concerning Labour Administration: Role, Functions and Organisation</w:t>
      </w:r>
      <w:r w:rsidR="00ED2368" w:rsidRPr="00BA6590">
        <w:rPr>
          <w:lang w:val="en-GB"/>
        </w:rPr>
        <w:t xml:space="preserve">, 1978 (21 </w:t>
      </w:r>
      <w:r w:rsidR="00962FBF" w:rsidRPr="00BA6590">
        <w:rPr>
          <w:lang w:val="en-GB"/>
        </w:rPr>
        <w:t>October</w:t>
      </w:r>
      <w:r w:rsidR="00ED2368" w:rsidRPr="00BA6590">
        <w:rPr>
          <w:lang w:val="en-GB"/>
        </w:rPr>
        <w:t xml:space="preserve"> 2011)</w:t>
      </w:r>
      <w:r w:rsidR="00BF26B1" w:rsidRPr="00BA6590">
        <w:rPr>
          <w:lang w:val="en-GB"/>
        </w:rPr>
        <w:t>;</w:t>
      </w:r>
    </w:p>
    <w:p w:rsidR="00ED2368" w:rsidRPr="00BA6590" w:rsidRDefault="00575C6C" w:rsidP="00ED1B08">
      <w:pPr>
        <w:pStyle w:val="Bullet1G"/>
        <w:rPr>
          <w:lang w:val="en-GB"/>
        </w:rPr>
      </w:pPr>
      <w:r w:rsidRPr="00BA6590">
        <w:rPr>
          <w:lang w:val="en-GB"/>
        </w:rPr>
        <w:t>ILO Convention</w:t>
      </w:r>
      <w:r w:rsidR="00ED1B08" w:rsidRPr="00BA6590">
        <w:rPr>
          <w:lang w:val="en-GB"/>
        </w:rPr>
        <w:t xml:space="preserve"> </w:t>
      </w:r>
      <w:r w:rsidR="003A719B" w:rsidRPr="00BA6590">
        <w:rPr>
          <w:lang w:val="en-GB"/>
        </w:rPr>
        <w:t>No.</w:t>
      </w:r>
      <w:r w:rsidR="00ED2368" w:rsidRPr="00BA6590">
        <w:rPr>
          <w:lang w:val="en-GB"/>
        </w:rPr>
        <w:t xml:space="preserve"> 168 </w:t>
      </w:r>
      <w:r w:rsidR="00962FBF" w:rsidRPr="00BA6590">
        <w:rPr>
          <w:lang w:val="en-GB"/>
        </w:rPr>
        <w:t xml:space="preserve">concerning Employment Promotion and Protection against Unemployment, </w:t>
      </w:r>
      <w:r w:rsidR="00ED2368" w:rsidRPr="00BA6590">
        <w:rPr>
          <w:lang w:val="en-GB"/>
        </w:rPr>
        <w:t xml:space="preserve">1988 (21 </w:t>
      </w:r>
      <w:r w:rsidR="00962FBF" w:rsidRPr="00BA6590">
        <w:rPr>
          <w:lang w:val="en-GB"/>
        </w:rPr>
        <w:t>October</w:t>
      </w:r>
      <w:r w:rsidR="00ED2368" w:rsidRPr="00BA6590">
        <w:rPr>
          <w:lang w:val="en-GB"/>
        </w:rPr>
        <w:t xml:space="preserve"> 2011)</w:t>
      </w:r>
      <w:r w:rsidR="00BF26B1" w:rsidRPr="00BA6590">
        <w:rPr>
          <w:lang w:val="en-GB"/>
        </w:rPr>
        <w:t>;</w:t>
      </w:r>
    </w:p>
    <w:p w:rsidR="00ED2368" w:rsidRPr="00BA6590" w:rsidRDefault="00962FBF" w:rsidP="00ED1B08">
      <w:pPr>
        <w:pStyle w:val="Bullet1G"/>
        <w:rPr>
          <w:lang w:val="en-GB"/>
        </w:rPr>
      </w:pPr>
      <w:r w:rsidRPr="00BA6590">
        <w:rPr>
          <w:lang w:val="en-GB"/>
        </w:rPr>
        <w:t>Protocol</w:t>
      </w:r>
      <w:r w:rsidR="00ED2368" w:rsidRPr="00BA6590">
        <w:rPr>
          <w:lang w:val="en-GB"/>
        </w:rPr>
        <w:t xml:space="preserve"> </w:t>
      </w:r>
      <w:r w:rsidR="00DC18EF" w:rsidRPr="00BA6590">
        <w:rPr>
          <w:lang w:val="en-GB"/>
        </w:rPr>
        <w:t>No</w:t>
      </w:r>
      <w:r w:rsidRPr="00BA6590">
        <w:rPr>
          <w:lang w:val="en-GB"/>
        </w:rPr>
        <w:t>.</w:t>
      </w:r>
      <w:r w:rsidR="00ED2368" w:rsidRPr="00BA6590">
        <w:rPr>
          <w:lang w:val="en-GB"/>
        </w:rPr>
        <w:t xml:space="preserve"> 7 </w:t>
      </w:r>
      <w:r w:rsidRPr="00BA6590">
        <w:rPr>
          <w:lang w:val="en-GB"/>
        </w:rPr>
        <w:t>to the</w:t>
      </w:r>
      <w:r w:rsidR="00ED2368" w:rsidRPr="00BA6590">
        <w:rPr>
          <w:lang w:val="en-GB"/>
        </w:rPr>
        <w:t xml:space="preserve"> </w:t>
      </w:r>
      <w:r w:rsidRPr="00BA6590">
        <w:rPr>
          <w:lang w:val="en-GB"/>
        </w:rPr>
        <w:t xml:space="preserve">European Convention for the Protection of Human Rights and Fundamental Freedoms </w:t>
      </w:r>
      <w:r w:rsidR="00ED2368" w:rsidRPr="00BA6590">
        <w:rPr>
          <w:lang w:val="en-GB"/>
        </w:rPr>
        <w:t xml:space="preserve">(13 </w:t>
      </w:r>
      <w:r w:rsidRPr="00BA6590">
        <w:rPr>
          <w:lang w:val="en-GB"/>
        </w:rPr>
        <w:t>Ap</w:t>
      </w:r>
      <w:r w:rsidR="00ED2368" w:rsidRPr="00BA6590">
        <w:rPr>
          <w:lang w:val="en-GB"/>
        </w:rPr>
        <w:t>ril 2012)</w:t>
      </w:r>
      <w:r w:rsidR="00BF26B1" w:rsidRPr="00BA6590">
        <w:rPr>
          <w:lang w:val="en-GB"/>
        </w:rPr>
        <w:t>.</w:t>
      </w:r>
    </w:p>
    <w:p w:rsidR="00ED2368" w:rsidRPr="00BA6590" w:rsidRDefault="00ED2368" w:rsidP="00ED2368">
      <w:pPr>
        <w:pStyle w:val="SingleTxtG"/>
        <w:rPr>
          <w:lang w:val="en-GB"/>
        </w:rPr>
      </w:pPr>
      <w:r w:rsidRPr="00BA6590">
        <w:rPr>
          <w:lang w:val="en-GB"/>
        </w:rPr>
        <w:t>27.</w:t>
      </w:r>
      <w:r w:rsidRPr="00BA6590">
        <w:rPr>
          <w:lang w:val="en-GB"/>
        </w:rPr>
        <w:tab/>
      </w:r>
      <w:r w:rsidR="00962FBF" w:rsidRPr="00BA6590">
        <w:rPr>
          <w:lang w:val="en-GB"/>
        </w:rPr>
        <w:t>Belgium has recently signed</w:t>
      </w:r>
      <w:r w:rsidRPr="00BA6590">
        <w:rPr>
          <w:lang w:val="en-GB"/>
        </w:rPr>
        <w:t>:</w:t>
      </w:r>
    </w:p>
    <w:p w:rsidR="00ED2368" w:rsidRPr="00BA6590" w:rsidRDefault="00962FBF" w:rsidP="00ED2368">
      <w:pPr>
        <w:pStyle w:val="Bullet1G"/>
        <w:rPr>
          <w:lang w:val="en-GB"/>
        </w:rPr>
      </w:pPr>
      <w:r w:rsidRPr="00BA6590">
        <w:rPr>
          <w:lang w:val="en-GB"/>
        </w:rPr>
        <w:t xml:space="preserve">The Council of Europe Convention on the Prevention of Terrorism </w:t>
      </w:r>
      <w:r w:rsidR="00ED2368" w:rsidRPr="00BA6590">
        <w:rPr>
          <w:lang w:val="en-GB"/>
        </w:rPr>
        <w:t xml:space="preserve">(19 </w:t>
      </w:r>
      <w:r w:rsidRPr="00BA6590">
        <w:rPr>
          <w:lang w:val="en-GB"/>
        </w:rPr>
        <w:t>January</w:t>
      </w:r>
      <w:r w:rsidR="00ED2368" w:rsidRPr="00BA6590">
        <w:rPr>
          <w:lang w:val="en-GB"/>
        </w:rPr>
        <w:t xml:space="preserve"> 2006)</w:t>
      </w:r>
      <w:r w:rsidR="00BF26B1" w:rsidRPr="00BA6590">
        <w:rPr>
          <w:lang w:val="en-GB"/>
        </w:rPr>
        <w:t>;</w:t>
      </w:r>
    </w:p>
    <w:p w:rsidR="00ED2368" w:rsidRPr="00BA6590" w:rsidRDefault="00962FBF" w:rsidP="00ED2368">
      <w:pPr>
        <w:pStyle w:val="Bullet1G"/>
        <w:rPr>
          <w:lang w:val="en-GB"/>
        </w:rPr>
      </w:pPr>
      <w:r w:rsidRPr="00BA6590">
        <w:rPr>
          <w:lang w:val="en-GB"/>
        </w:rPr>
        <w:t>The</w:t>
      </w:r>
      <w:r w:rsidR="00ED2368" w:rsidRPr="00BA6590">
        <w:rPr>
          <w:lang w:val="en-GB"/>
        </w:rPr>
        <w:t xml:space="preserve"> </w:t>
      </w:r>
      <w:r w:rsidRPr="00BA6590">
        <w:rPr>
          <w:lang w:val="en-GB"/>
        </w:rPr>
        <w:t>Council of Europe Convention on the Protection of Children against Sexual Exploitation and Sexual Abuse</w:t>
      </w:r>
      <w:r w:rsidR="00ED2368" w:rsidRPr="00BA6590">
        <w:rPr>
          <w:lang w:val="en-GB"/>
        </w:rPr>
        <w:t xml:space="preserve"> (25 </w:t>
      </w:r>
      <w:r w:rsidRPr="00BA6590">
        <w:rPr>
          <w:lang w:val="en-GB"/>
        </w:rPr>
        <w:t>October</w:t>
      </w:r>
      <w:r w:rsidR="00ED2368" w:rsidRPr="00BA6590">
        <w:rPr>
          <w:lang w:val="en-GB"/>
        </w:rPr>
        <w:t xml:space="preserve"> 2007)</w:t>
      </w:r>
      <w:r w:rsidR="00BF26B1" w:rsidRPr="00BA6590">
        <w:rPr>
          <w:lang w:val="en-GB"/>
        </w:rPr>
        <w:t>;</w:t>
      </w:r>
    </w:p>
    <w:p w:rsidR="00ED2368" w:rsidRPr="00BA6590" w:rsidRDefault="00962FBF" w:rsidP="00ED2368">
      <w:pPr>
        <w:pStyle w:val="Bullet1G"/>
        <w:rPr>
          <w:lang w:val="en-GB"/>
        </w:rPr>
      </w:pPr>
      <w:r w:rsidRPr="00BA6590">
        <w:rPr>
          <w:lang w:val="en-GB"/>
        </w:rPr>
        <w:t xml:space="preserve">The European Convention on the Adoption of Children (Revised) </w:t>
      </w:r>
      <w:r w:rsidR="00ED2368" w:rsidRPr="00BA6590">
        <w:rPr>
          <w:lang w:val="en-GB"/>
        </w:rPr>
        <w:t xml:space="preserve">(1 </w:t>
      </w:r>
      <w:r w:rsidRPr="00BA6590">
        <w:rPr>
          <w:lang w:val="en-GB"/>
        </w:rPr>
        <w:t>December</w:t>
      </w:r>
      <w:r w:rsidR="00ED2368" w:rsidRPr="00BA6590">
        <w:rPr>
          <w:lang w:val="en-GB"/>
        </w:rPr>
        <w:t xml:space="preserve"> 2008)</w:t>
      </w:r>
      <w:r w:rsidR="00BF26B1" w:rsidRPr="00BA6590">
        <w:rPr>
          <w:lang w:val="en-GB"/>
        </w:rPr>
        <w:t>;</w:t>
      </w:r>
    </w:p>
    <w:p w:rsidR="00ED2368" w:rsidRPr="00BA6590" w:rsidRDefault="00962FBF" w:rsidP="00ED2368">
      <w:pPr>
        <w:pStyle w:val="Bullet1G"/>
        <w:rPr>
          <w:lang w:val="en-GB"/>
        </w:rPr>
      </w:pPr>
      <w:r w:rsidRPr="00BA6590">
        <w:rPr>
          <w:lang w:val="en-GB"/>
        </w:rPr>
        <w:t>The Optional Protocol to the</w:t>
      </w:r>
      <w:r w:rsidR="00ED2368" w:rsidRPr="00BA6590">
        <w:rPr>
          <w:lang w:val="en-GB"/>
        </w:rPr>
        <w:t xml:space="preserve"> </w:t>
      </w:r>
      <w:r w:rsidRPr="00BA6590">
        <w:rPr>
          <w:lang w:val="en-GB"/>
        </w:rPr>
        <w:t xml:space="preserve">International Covenant on Economic, Social and Cultural Rights </w:t>
      </w:r>
      <w:r w:rsidR="00ED2368" w:rsidRPr="00BA6590">
        <w:rPr>
          <w:lang w:val="en-GB"/>
        </w:rPr>
        <w:t xml:space="preserve">(24 </w:t>
      </w:r>
      <w:r w:rsidRPr="00BA6590">
        <w:rPr>
          <w:lang w:val="en-GB"/>
        </w:rPr>
        <w:t>September</w:t>
      </w:r>
      <w:r w:rsidR="00ED2368" w:rsidRPr="00BA6590">
        <w:rPr>
          <w:lang w:val="en-GB"/>
        </w:rPr>
        <w:t xml:space="preserve"> 2009)</w:t>
      </w:r>
      <w:r w:rsidR="00BF26B1" w:rsidRPr="00BA6590">
        <w:rPr>
          <w:lang w:val="en-GB"/>
        </w:rPr>
        <w:t>;</w:t>
      </w:r>
    </w:p>
    <w:p w:rsidR="00ED2368" w:rsidRPr="00BA6590" w:rsidRDefault="00962FBF" w:rsidP="00ED2368">
      <w:pPr>
        <w:pStyle w:val="Bullet1G"/>
        <w:rPr>
          <w:lang w:val="en-GB"/>
        </w:rPr>
      </w:pPr>
      <w:r w:rsidRPr="00BA6590">
        <w:rPr>
          <w:lang w:val="en-GB"/>
        </w:rPr>
        <w:t>The Additional Protocol to the</w:t>
      </w:r>
      <w:r w:rsidR="00ED2368" w:rsidRPr="00BA6590">
        <w:rPr>
          <w:lang w:val="en-GB"/>
        </w:rPr>
        <w:t xml:space="preserve"> </w:t>
      </w:r>
      <w:r w:rsidRPr="00BA6590">
        <w:rPr>
          <w:lang w:val="en-GB"/>
        </w:rPr>
        <w:t>European Charter of Local Self-Government</w:t>
      </w:r>
      <w:r w:rsidR="00ED2368" w:rsidRPr="00BA6590">
        <w:rPr>
          <w:lang w:val="en-GB"/>
        </w:rPr>
        <w:t xml:space="preserve"> </w:t>
      </w:r>
      <w:r w:rsidRPr="00BA6590">
        <w:rPr>
          <w:lang w:val="en-GB"/>
        </w:rPr>
        <w:t>on the right to participate in the affairs of a local authority</w:t>
      </w:r>
      <w:r w:rsidR="00ED2368" w:rsidRPr="00BA6590">
        <w:rPr>
          <w:lang w:val="en-GB"/>
        </w:rPr>
        <w:t xml:space="preserve"> (16 </w:t>
      </w:r>
      <w:r w:rsidR="002F281A" w:rsidRPr="00BA6590">
        <w:rPr>
          <w:lang w:val="en-GB"/>
        </w:rPr>
        <w:t>November</w:t>
      </w:r>
      <w:r w:rsidR="00ED2368" w:rsidRPr="00BA6590">
        <w:rPr>
          <w:lang w:val="en-GB"/>
        </w:rPr>
        <w:t xml:space="preserve"> 2009)</w:t>
      </w:r>
      <w:r w:rsidR="00BF26B1" w:rsidRPr="00BA6590">
        <w:rPr>
          <w:lang w:val="en-GB"/>
        </w:rPr>
        <w:t>;</w:t>
      </w:r>
    </w:p>
    <w:p w:rsidR="00ED2368" w:rsidRPr="00BA6590" w:rsidRDefault="002F281A" w:rsidP="00ED2368">
      <w:pPr>
        <w:pStyle w:val="Bullet1G"/>
        <w:rPr>
          <w:lang w:val="en-GB"/>
        </w:rPr>
      </w:pPr>
      <w:r w:rsidRPr="00BA6590">
        <w:rPr>
          <w:lang w:val="en-GB"/>
        </w:rPr>
        <w:t>The</w:t>
      </w:r>
      <w:r w:rsidR="00ED2368" w:rsidRPr="00BA6590">
        <w:rPr>
          <w:lang w:val="en-GB"/>
        </w:rPr>
        <w:t xml:space="preserve"> </w:t>
      </w:r>
      <w:r w:rsidRPr="00BA6590">
        <w:rPr>
          <w:lang w:val="en-GB"/>
        </w:rPr>
        <w:t xml:space="preserve">Optional Protocol to the Convention on the Rights of the Child on a communications procedure </w:t>
      </w:r>
      <w:r w:rsidR="00ED2368" w:rsidRPr="00BA6590">
        <w:rPr>
          <w:lang w:val="en-GB"/>
        </w:rPr>
        <w:t xml:space="preserve">(28 </w:t>
      </w:r>
      <w:r w:rsidRPr="00BA6590">
        <w:rPr>
          <w:lang w:val="en-GB"/>
        </w:rPr>
        <w:t>February</w:t>
      </w:r>
      <w:r w:rsidR="00ED2368" w:rsidRPr="00BA6590">
        <w:rPr>
          <w:lang w:val="en-GB"/>
        </w:rPr>
        <w:t xml:space="preserve"> 2012)</w:t>
      </w:r>
      <w:r w:rsidR="00BF26B1" w:rsidRPr="00BA6590">
        <w:rPr>
          <w:lang w:val="en-GB"/>
        </w:rPr>
        <w:t>;</w:t>
      </w:r>
    </w:p>
    <w:p w:rsidR="00ED2368" w:rsidRPr="00BA6590" w:rsidRDefault="002F281A" w:rsidP="00ED2368">
      <w:pPr>
        <w:pStyle w:val="Bullet1G"/>
        <w:rPr>
          <w:lang w:val="en-GB"/>
        </w:rPr>
      </w:pPr>
      <w:r w:rsidRPr="00BA6590">
        <w:rPr>
          <w:lang w:val="en-GB"/>
        </w:rPr>
        <w:t>The</w:t>
      </w:r>
      <w:r w:rsidR="00ED2368" w:rsidRPr="00BA6590">
        <w:rPr>
          <w:lang w:val="en-GB"/>
        </w:rPr>
        <w:t xml:space="preserve"> </w:t>
      </w:r>
      <w:r w:rsidRPr="00BA6590">
        <w:rPr>
          <w:lang w:val="en-GB"/>
        </w:rPr>
        <w:t>Council of Europe Convention on preventing and combating violence against women and domestic violence (11 September</w:t>
      </w:r>
      <w:r w:rsidR="00ED2368" w:rsidRPr="00BA6590">
        <w:rPr>
          <w:lang w:val="en-GB"/>
        </w:rPr>
        <w:t xml:space="preserve"> 2012)</w:t>
      </w:r>
      <w:r w:rsidR="00BF26B1" w:rsidRPr="00BA6590">
        <w:rPr>
          <w:lang w:val="en-GB"/>
        </w:rPr>
        <w:t>.</w:t>
      </w:r>
    </w:p>
    <w:p w:rsidR="00ED2368" w:rsidRPr="00BA6590" w:rsidRDefault="00ED2368" w:rsidP="00ED2368">
      <w:pPr>
        <w:pStyle w:val="SingleTxtG"/>
        <w:rPr>
          <w:lang w:val="en-GB"/>
        </w:rPr>
      </w:pPr>
      <w:r w:rsidRPr="00BA6590">
        <w:rPr>
          <w:lang w:val="en-GB"/>
        </w:rPr>
        <w:t>28.</w:t>
      </w:r>
      <w:r w:rsidRPr="00BA6590">
        <w:rPr>
          <w:lang w:val="en-GB"/>
        </w:rPr>
        <w:tab/>
      </w:r>
      <w:r w:rsidR="002F281A" w:rsidRPr="00BA6590">
        <w:rPr>
          <w:lang w:val="en-GB"/>
        </w:rPr>
        <w:t xml:space="preserve">For most of the conventions and protocols that have been signed by Belgium, the parliamentary assent procedures necessary for their ratification are being finalized. </w:t>
      </w:r>
    </w:p>
    <w:p w:rsidR="005F5CBC" w:rsidRPr="00BA6590" w:rsidRDefault="005F5CBC" w:rsidP="005F5CBC">
      <w:pPr>
        <w:pStyle w:val="H1G"/>
        <w:rPr>
          <w:lang w:val="en-GB"/>
        </w:rPr>
      </w:pPr>
      <w:r w:rsidRPr="00BA6590">
        <w:rPr>
          <w:lang w:val="en-GB"/>
        </w:rPr>
        <w:tab/>
        <w:t>B.</w:t>
      </w:r>
      <w:r w:rsidRPr="00BA6590">
        <w:rPr>
          <w:lang w:val="en-GB"/>
        </w:rPr>
        <w:tab/>
      </w:r>
      <w:r w:rsidR="002F72D9" w:rsidRPr="00BA6590">
        <w:rPr>
          <w:lang w:val="en-GB"/>
        </w:rPr>
        <w:t>C</w:t>
      </w:r>
      <w:r w:rsidR="00291398" w:rsidRPr="00BA6590">
        <w:rPr>
          <w:lang w:val="en-GB"/>
        </w:rPr>
        <w:t xml:space="preserve">onstitutional </w:t>
      </w:r>
      <w:r w:rsidR="002F72D9" w:rsidRPr="00BA6590">
        <w:rPr>
          <w:lang w:val="en-GB"/>
        </w:rPr>
        <w:t>and legislative amendments and developments</w:t>
      </w:r>
    </w:p>
    <w:p w:rsidR="005F5CBC" w:rsidRPr="00BA6590" w:rsidRDefault="005F5CBC" w:rsidP="005F5CBC">
      <w:pPr>
        <w:pStyle w:val="H23G"/>
        <w:rPr>
          <w:lang w:val="en-GB"/>
        </w:rPr>
      </w:pPr>
      <w:r w:rsidRPr="00BA6590">
        <w:rPr>
          <w:lang w:val="en-GB"/>
        </w:rPr>
        <w:tab/>
        <w:t>1</w:t>
      </w:r>
      <w:r w:rsidR="002E3562" w:rsidRPr="00BA6590">
        <w:rPr>
          <w:lang w:val="en-GB"/>
        </w:rPr>
        <w:t>.</w:t>
      </w:r>
      <w:r w:rsidRPr="00BA6590">
        <w:rPr>
          <w:lang w:val="en-GB"/>
        </w:rPr>
        <w:tab/>
      </w:r>
      <w:r w:rsidR="00291398" w:rsidRPr="00BA6590">
        <w:rPr>
          <w:lang w:val="en-GB"/>
        </w:rPr>
        <w:t>Strengthening federal, community and regional</w:t>
      </w:r>
      <w:r w:rsidR="00E17AD5">
        <w:rPr>
          <w:lang w:val="en-GB"/>
        </w:rPr>
        <w:t xml:space="preserve"> legislation on equal treatment</w:t>
      </w:r>
    </w:p>
    <w:p w:rsidR="005F5CBC" w:rsidRPr="00BA6590" w:rsidRDefault="005F5CBC" w:rsidP="002E3562">
      <w:pPr>
        <w:pStyle w:val="H4G"/>
        <w:rPr>
          <w:lang w:val="en-GB"/>
        </w:rPr>
      </w:pPr>
      <w:r w:rsidRPr="00BA6590">
        <w:rPr>
          <w:lang w:val="en-GB"/>
        </w:rPr>
        <w:tab/>
      </w:r>
      <w:r w:rsidRPr="00BA6590">
        <w:rPr>
          <w:lang w:val="en-GB"/>
        </w:rPr>
        <w:tab/>
      </w:r>
      <w:r w:rsidR="00291398" w:rsidRPr="00BA6590">
        <w:rPr>
          <w:lang w:val="en-GB"/>
        </w:rPr>
        <w:t>The background to reform</w:t>
      </w:r>
    </w:p>
    <w:p w:rsidR="005F5CBC" w:rsidRPr="00BA6590" w:rsidRDefault="005F5CBC" w:rsidP="005F5CBC">
      <w:pPr>
        <w:pStyle w:val="SingleTxtG"/>
        <w:rPr>
          <w:lang w:val="en-GB"/>
        </w:rPr>
      </w:pPr>
      <w:r w:rsidRPr="00BA6590">
        <w:rPr>
          <w:lang w:val="en-GB"/>
        </w:rPr>
        <w:t>29.</w:t>
      </w:r>
      <w:r w:rsidRPr="00BA6590">
        <w:rPr>
          <w:lang w:val="en-GB"/>
        </w:rPr>
        <w:tab/>
      </w:r>
      <w:r w:rsidR="00DA5A4D" w:rsidRPr="00BA6590">
        <w:rPr>
          <w:lang w:val="en-GB"/>
        </w:rPr>
        <w:t>In 2007, Belgium undertook an overhaul of its legislative arsenal in order to comply with recommendations formulated by the European Commission regarding the transposition of the aforementioned three Directives.</w:t>
      </w:r>
      <w:r w:rsidR="004B158E" w:rsidRPr="00BA6590">
        <w:rPr>
          <w:rStyle w:val="FootnoteReference"/>
          <w:lang w:val="en-GB"/>
        </w:rPr>
        <w:footnoteReference w:id="7"/>
      </w:r>
    </w:p>
    <w:p w:rsidR="004B158E" w:rsidRPr="00BA6590" w:rsidRDefault="004B158E" w:rsidP="00ED1B08">
      <w:pPr>
        <w:pStyle w:val="SingleTxtG"/>
        <w:rPr>
          <w:lang w:val="en-GB"/>
        </w:rPr>
      </w:pPr>
      <w:r w:rsidRPr="00BA6590">
        <w:rPr>
          <w:lang w:val="en-GB"/>
        </w:rPr>
        <w:t>30.</w:t>
      </w:r>
      <w:r w:rsidRPr="00BA6590">
        <w:rPr>
          <w:lang w:val="en-GB"/>
        </w:rPr>
        <w:tab/>
      </w:r>
      <w:r w:rsidR="00DA5A4D" w:rsidRPr="00BA6590">
        <w:rPr>
          <w:lang w:val="en-GB"/>
        </w:rPr>
        <w:t>The overhaul of the Act</w:t>
      </w:r>
      <w:r w:rsidR="003E4735" w:rsidRPr="00BA6590">
        <w:rPr>
          <w:lang w:val="en-GB"/>
        </w:rPr>
        <w:t xml:space="preserve"> of 30 July 1981 (on racism)</w:t>
      </w:r>
      <w:r w:rsidR="00DA5A4D" w:rsidRPr="00BA6590">
        <w:rPr>
          <w:lang w:val="en-GB"/>
        </w:rPr>
        <w:t xml:space="preserve">, as amended in </w:t>
      </w:r>
      <w:r w:rsidRPr="00BA6590">
        <w:rPr>
          <w:lang w:val="en-GB"/>
        </w:rPr>
        <w:t>2003,</w:t>
      </w:r>
      <w:r w:rsidR="00DA5A4D" w:rsidRPr="00BA6590">
        <w:rPr>
          <w:lang w:val="en-GB"/>
        </w:rPr>
        <w:t xml:space="preserve"> and the Act of </w:t>
      </w:r>
      <w:r w:rsidRPr="00BA6590">
        <w:rPr>
          <w:lang w:val="en-GB"/>
        </w:rPr>
        <w:t>25</w:t>
      </w:r>
      <w:r w:rsidR="00DA5A4D" w:rsidRPr="00BA6590">
        <w:rPr>
          <w:lang w:val="en-GB"/>
        </w:rPr>
        <w:t xml:space="preserve"> February</w:t>
      </w:r>
      <w:r w:rsidRPr="00BA6590">
        <w:rPr>
          <w:lang w:val="en-GB"/>
        </w:rPr>
        <w:t xml:space="preserve"> 2003</w:t>
      </w:r>
      <w:r w:rsidR="003E4735" w:rsidRPr="00BA6590">
        <w:rPr>
          <w:lang w:val="en-GB"/>
        </w:rPr>
        <w:t xml:space="preserve"> (anti-discrimination)</w:t>
      </w:r>
      <w:r w:rsidR="00DA5A4D" w:rsidRPr="00BA6590">
        <w:rPr>
          <w:lang w:val="en-GB"/>
        </w:rPr>
        <w:t xml:space="preserve"> was motivated by the consequences of an annulment decision by the Constitutional Court which had made </w:t>
      </w:r>
      <w:r w:rsidR="00AA0798" w:rsidRPr="00BA6590">
        <w:rPr>
          <w:lang w:val="en-GB"/>
        </w:rPr>
        <w:t xml:space="preserve">them </w:t>
      </w:r>
      <w:r w:rsidR="00DA5A4D" w:rsidRPr="00BA6590">
        <w:rPr>
          <w:lang w:val="en-GB"/>
        </w:rPr>
        <w:t>difficult to implement.</w:t>
      </w:r>
      <w:r w:rsidRPr="00BA6590">
        <w:rPr>
          <w:rStyle w:val="FootnoteReference"/>
          <w:lang w:val="en-GB"/>
        </w:rPr>
        <w:footnoteReference w:id="8"/>
      </w:r>
      <w:r w:rsidR="001F3CAB" w:rsidRPr="00BA6590">
        <w:rPr>
          <w:lang w:val="en-GB"/>
        </w:rPr>
        <w:t xml:space="preserve"> </w:t>
      </w:r>
      <w:r w:rsidR="00DA5A4D" w:rsidRPr="00BA6590">
        <w:rPr>
          <w:lang w:val="en-GB"/>
        </w:rPr>
        <w:t xml:space="preserve">The Court had decided that all victims of discrimination were not given equal treatment because some motives were reprehensible from the criminal law viewpoint whereas others were </w:t>
      </w:r>
      <w:r w:rsidR="001D77E4" w:rsidRPr="00BA6590">
        <w:rPr>
          <w:lang w:val="en-GB"/>
        </w:rPr>
        <w:t>punished</w:t>
      </w:r>
      <w:r w:rsidR="00DA5A4D" w:rsidRPr="00BA6590">
        <w:rPr>
          <w:lang w:val="en-GB"/>
        </w:rPr>
        <w:t xml:space="preserve"> only by the civil law. </w:t>
      </w:r>
      <w:r w:rsidR="006911BE" w:rsidRPr="00BA6590">
        <w:rPr>
          <w:lang w:val="en-GB"/>
        </w:rPr>
        <w:t xml:space="preserve">It </w:t>
      </w:r>
      <w:r w:rsidR="00AA0798" w:rsidRPr="00BA6590">
        <w:rPr>
          <w:lang w:val="en-GB"/>
        </w:rPr>
        <w:t>had further</w:t>
      </w:r>
      <w:r w:rsidR="006911BE" w:rsidRPr="00BA6590">
        <w:rPr>
          <w:lang w:val="en-GB"/>
        </w:rPr>
        <w:t xml:space="preserve"> decided that it was inappropriate to exclude certain motives, such as language or trade-union membership, from the scope</w:t>
      </w:r>
      <w:r w:rsidR="00CB0C5E" w:rsidRPr="00BA6590">
        <w:rPr>
          <w:lang w:val="en-GB"/>
        </w:rPr>
        <w:t xml:space="preserve"> of the anti-discrimination law and, consequently, had struck down the restrictive list of discrimination criteria. This had led to some legal uncertainties which needed to be remedied by new legislation.</w:t>
      </w:r>
      <w:r w:rsidR="001F3CAB" w:rsidRPr="00BA6590">
        <w:rPr>
          <w:lang w:val="en-GB"/>
        </w:rPr>
        <w:t xml:space="preserve"> </w:t>
      </w:r>
    </w:p>
    <w:p w:rsidR="004B158E" w:rsidRPr="00BA6590" w:rsidRDefault="00E75495" w:rsidP="00BA355C">
      <w:pPr>
        <w:pStyle w:val="SingleTxtG"/>
        <w:rPr>
          <w:lang w:val="en-GB"/>
        </w:rPr>
      </w:pPr>
      <w:r w:rsidRPr="00BA6590">
        <w:rPr>
          <w:lang w:val="en-GB"/>
        </w:rPr>
        <w:t>31.</w:t>
      </w:r>
      <w:r w:rsidRPr="00BA6590">
        <w:rPr>
          <w:lang w:val="en-GB"/>
        </w:rPr>
        <w:tab/>
      </w:r>
      <w:r w:rsidR="00CB0C5E" w:rsidRPr="00BA6590">
        <w:rPr>
          <w:lang w:val="en-GB"/>
        </w:rPr>
        <w:t xml:space="preserve">The need for more effective federal laws to combat discrimination and reduce the disparities between its various forms ultimately convinced the legislators that such a reform was desirable. Steps were then taken to harmonize the concepts used, the material scope of the legislation, the criminal-law dimension and the civil and procedural aspects. This also had the advantage of permitting the various laws to evolve </w:t>
      </w:r>
      <w:r w:rsidR="00A216FB" w:rsidRPr="00BA6590">
        <w:rPr>
          <w:lang w:val="en-GB"/>
        </w:rPr>
        <w:t>“</w:t>
      </w:r>
      <w:r w:rsidR="00CB0C5E" w:rsidRPr="00BA6590">
        <w:rPr>
          <w:lang w:val="en-GB"/>
        </w:rPr>
        <w:t>symbiotically</w:t>
      </w:r>
      <w:r w:rsidR="00A216FB" w:rsidRPr="00BA6590">
        <w:rPr>
          <w:lang w:val="en-GB"/>
        </w:rPr>
        <w:t>”</w:t>
      </w:r>
      <w:r w:rsidR="00CB0C5E" w:rsidRPr="00BA6590">
        <w:rPr>
          <w:lang w:val="en-GB"/>
        </w:rPr>
        <w:t>.</w:t>
      </w:r>
      <w:r w:rsidR="000F5649" w:rsidRPr="00BA6590">
        <w:rPr>
          <w:lang w:val="en-GB"/>
        </w:rPr>
        <w:t xml:space="preserve"> </w:t>
      </w:r>
    </w:p>
    <w:p w:rsidR="004B158E" w:rsidRPr="00BA6590" w:rsidRDefault="00E75495" w:rsidP="002E3562">
      <w:pPr>
        <w:pStyle w:val="H4G"/>
        <w:rPr>
          <w:lang w:val="en-GB"/>
        </w:rPr>
      </w:pPr>
      <w:r w:rsidRPr="00BA6590">
        <w:rPr>
          <w:lang w:val="en-GB"/>
        </w:rPr>
        <w:tab/>
      </w:r>
      <w:r w:rsidRPr="00BA6590">
        <w:rPr>
          <w:lang w:val="en-GB"/>
        </w:rPr>
        <w:tab/>
      </w:r>
      <w:r w:rsidR="00CB0C5E" w:rsidRPr="00BA6590">
        <w:rPr>
          <w:lang w:val="en-GB"/>
        </w:rPr>
        <w:t>Three new laws and new</w:t>
      </w:r>
      <w:r w:rsidR="004B158E" w:rsidRPr="00BA6590">
        <w:rPr>
          <w:lang w:val="en-GB"/>
        </w:rPr>
        <w:t xml:space="preserve"> </w:t>
      </w:r>
      <w:r w:rsidR="0025386E" w:rsidRPr="00BA6590">
        <w:rPr>
          <w:lang w:val="en-GB"/>
        </w:rPr>
        <w:t>criteria for protection</w:t>
      </w:r>
    </w:p>
    <w:p w:rsidR="004B158E" w:rsidRPr="00BA6590" w:rsidRDefault="00E75495" w:rsidP="00E75495">
      <w:pPr>
        <w:pStyle w:val="SingleTxtG"/>
        <w:rPr>
          <w:lang w:val="en-GB"/>
        </w:rPr>
      </w:pPr>
      <w:r w:rsidRPr="00BA6590">
        <w:rPr>
          <w:lang w:val="en-GB"/>
        </w:rPr>
        <w:t>32.</w:t>
      </w:r>
      <w:r w:rsidRPr="00BA6590">
        <w:rPr>
          <w:lang w:val="en-GB"/>
        </w:rPr>
        <w:tab/>
      </w:r>
      <w:r w:rsidR="00764270" w:rsidRPr="00BA6590">
        <w:rPr>
          <w:lang w:val="en-GB"/>
        </w:rPr>
        <w:t xml:space="preserve">The </w:t>
      </w:r>
      <w:r w:rsidR="007B1A40" w:rsidRPr="00BA6590">
        <w:rPr>
          <w:lang w:val="en-GB"/>
        </w:rPr>
        <w:t>Act</w:t>
      </w:r>
      <w:r w:rsidR="003E4735" w:rsidRPr="00BA6590">
        <w:rPr>
          <w:lang w:val="en-GB"/>
        </w:rPr>
        <w:t xml:space="preserve"> of 10 May 2007</w:t>
      </w:r>
      <w:r w:rsidR="007B1A40" w:rsidRPr="00BA6590">
        <w:rPr>
          <w:lang w:val="en-GB"/>
        </w:rPr>
        <w:t>,</w:t>
      </w:r>
      <w:r w:rsidR="00764270" w:rsidRPr="00BA6590">
        <w:rPr>
          <w:lang w:val="en-GB"/>
        </w:rPr>
        <w:t xml:space="preserve"> amending the Act</w:t>
      </w:r>
      <w:r w:rsidR="003E4735" w:rsidRPr="00BA6590">
        <w:rPr>
          <w:lang w:val="en-GB"/>
        </w:rPr>
        <w:t xml:space="preserve"> of 30 July 1981</w:t>
      </w:r>
      <w:r w:rsidR="007B1A40" w:rsidRPr="00BA6590">
        <w:rPr>
          <w:lang w:val="en-GB"/>
        </w:rPr>
        <w:t>,</w:t>
      </w:r>
      <w:r w:rsidR="00764270" w:rsidRPr="00BA6590">
        <w:rPr>
          <w:lang w:val="en-GB"/>
        </w:rPr>
        <w:t xml:space="preserve"> </w:t>
      </w:r>
      <w:r w:rsidR="00816F73" w:rsidRPr="00BA6590">
        <w:rPr>
          <w:lang w:val="en-GB"/>
        </w:rPr>
        <w:t>incorporat</w:t>
      </w:r>
      <w:r w:rsidR="00764270" w:rsidRPr="00BA6590">
        <w:rPr>
          <w:lang w:val="en-GB"/>
        </w:rPr>
        <w:t xml:space="preserve">ed Council Directive 2000/43/EC </w:t>
      </w:r>
      <w:r w:rsidR="00BE5D98" w:rsidRPr="00BA6590">
        <w:rPr>
          <w:lang w:val="en-GB"/>
        </w:rPr>
        <w:t xml:space="preserve">into Belgian law </w:t>
      </w:r>
      <w:r w:rsidR="00764270" w:rsidRPr="00BA6590">
        <w:rPr>
          <w:lang w:val="en-GB"/>
        </w:rPr>
        <w:t xml:space="preserve">and set up a general framework, </w:t>
      </w:r>
      <w:r w:rsidR="000F5649" w:rsidRPr="00BA6590">
        <w:rPr>
          <w:lang w:val="en-GB"/>
        </w:rPr>
        <w:t>in relation to certain areas of economic activity</w:t>
      </w:r>
      <w:r w:rsidR="002C0108" w:rsidRPr="00BA6590">
        <w:rPr>
          <w:lang w:val="en-GB"/>
        </w:rPr>
        <w:t>,</w:t>
      </w:r>
      <w:r w:rsidR="000F5649" w:rsidRPr="00BA6590">
        <w:rPr>
          <w:rStyle w:val="FootnoteReference"/>
          <w:lang w:val="en-GB"/>
        </w:rPr>
        <w:footnoteReference w:id="9"/>
      </w:r>
      <w:r w:rsidR="004B158E" w:rsidRPr="00BA6590">
        <w:rPr>
          <w:lang w:val="en-GB"/>
        </w:rPr>
        <w:t xml:space="preserve"> </w:t>
      </w:r>
      <w:r w:rsidR="000F5649" w:rsidRPr="00BA6590">
        <w:rPr>
          <w:lang w:val="en-GB"/>
        </w:rPr>
        <w:t>to combat discrimination based on nationality, presumed race, skin colour, parentage or national or ethnic origin</w:t>
      </w:r>
      <w:r w:rsidR="004B158E" w:rsidRPr="00BA6590">
        <w:rPr>
          <w:lang w:val="en-GB"/>
        </w:rPr>
        <w:t>.</w:t>
      </w:r>
      <w:r w:rsidR="000F5649" w:rsidRPr="00BA6590">
        <w:rPr>
          <w:lang w:val="en-GB"/>
        </w:rPr>
        <w:t xml:space="preserve"> Nationality was added to the list of criteria in </w:t>
      </w:r>
      <w:r w:rsidR="004B158E" w:rsidRPr="00BA6590">
        <w:rPr>
          <w:lang w:val="en-GB"/>
        </w:rPr>
        <w:t>2007</w:t>
      </w:r>
      <w:r w:rsidR="000F5649" w:rsidRPr="00BA6590">
        <w:rPr>
          <w:lang w:val="en-GB"/>
        </w:rPr>
        <w:t xml:space="preserve">. </w:t>
      </w:r>
    </w:p>
    <w:p w:rsidR="004B158E" w:rsidRPr="00BA6590" w:rsidRDefault="00E75495" w:rsidP="00E75495">
      <w:pPr>
        <w:pStyle w:val="SingleTxtG"/>
        <w:rPr>
          <w:lang w:val="en-GB"/>
        </w:rPr>
      </w:pPr>
      <w:r w:rsidRPr="00BA6590">
        <w:rPr>
          <w:lang w:val="en-GB"/>
        </w:rPr>
        <w:t>33.</w:t>
      </w:r>
      <w:r w:rsidRPr="00BA6590">
        <w:rPr>
          <w:lang w:val="en-GB"/>
        </w:rPr>
        <w:tab/>
      </w:r>
      <w:r w:rsidR="00FA3B62" w:rsidRPr="00BA6590">
        <w:rPr>
          <w:lang w:val="en-GB"/>
        </w:rPr>
        <w:t xml:space="preserve">Two other Acts were adopted on </w:t>
      </w:r>
      <w:r w:rsidR="004B158E" w:rsidRPr="00BA6590">
        <w:rPr>
          <w:lang w:val="en-GB"/>
        </w:rPr>
        <w:t xml:space="preserve">10 </w:t>
      </w:r>
      <w:r w:rsidR="00FA3B62" w:rsidRPr="00BA6590">
        <w:rPr>
          <w:lang w:val="en-GB"/>
        </w:rPr>
        <w:t>May</w:t>
      </w:r>
      <w:r w:rsidR="004B158E" w:rsidRPr="00BA6590">
        <w:rPr>
          <w:lang w:val="en-GB"/>
        </w:rPr>
        <w:t xml:space="preserve"> 2007 (</w:t>
      </w:r>
      <w:r w:rsidR="00FA3B62" w:rsidRPr="00BA6590">
        <w:rPr>
          <w:lang w:val="en-GB"/>
        </w:rPr>
        <w:t>see above</w:t>
      </w:r>
      <w:r w:rsidR="004B158E" w:rsidRPr="00BA6590">
        <w:rPr>
          <w:lang w:val="en-GB"/>
        </w:rPr>
        <w:t>),</w:t>
      </w:r>
      <w:r w:rsidR="00FA3B62" w:rsidRPr="00BA6590">
        <w:rPr>
          <w:lang w:val="en-GB"/>
        </w:rPr>
        <w:t xml:space="preserve"> one to combat gender discrimination</w:t>
      </w:r>
      <w:r w:rsidR="004B158E" w:rsidRPr="00BA6590">
        <w:rPr>
          <w:lang w:val="en-GB"/>
        </w:rPr>
        <w:t>,</w:t>
      </w:r>
      <w:r w:rsidR="00FA3B62" w:rsidRPr="00BA6590">
        <w:rPr>
          <w:lang w:val="en-GB"/>
        </w:rPr>
        <w:t xml:space="preserve"> the other against </w:t>
      </w:r>
      <w:r w:rsidR="004B158E" w:rsidRPr="00BA6590">
        <w:rPr>
          <w:lang w:val="en-GB"/>
        </w:rPr>
        <w:t xml:space="preserve">discrimination </w:t>
      </w:r>
      <w:r w:rsidR="00FA3B62" w:rsidRPr="00BA6590">
        <w:rPr>
          <w:lang w:val="en-GB"/>
        </w:rPr>
        <w:t>i</w:t>
      </w:r>
      <w:r w:rsidR="004B158E" w:rsidRPr="00BA6590">
        <w:rPr>
          <w:lang w:val="en-GB"/>
        </w:rPr>
        <w:t xml:space="preserve">n </w:t>
      </w:r>
      <w:r w:rsidR="00FA3B62" w:rsidRPr="00BA6590">
        <w:rPr>
          <w:lang w:val="en-GB"/>
        </w:rPr>
        <w:t xml:space="preserve">general and listing </w:t>
      </w:r>
      <w:r w:rsidR="004B158E" w:rsidRPr="00BA6590">
        <w:rPr>
          <w:lang w:val="en-GB"/>
        </w:rPr>
        <w:t xml:space="preserve">14 </w:t>
      </w:r>
      <w:r w:rsidR="0025386E" w:rsidRPr="00BA6590">
        <w:rPr>
          <w:lang w:val="en-GB"/>
        </w:rPr>
        <w:t>criteria for protection</w:t>
      </w:r>
      <w:r w:rsidR="004B158E" w:rsidRPr="00BA6590">
        <w:rPr>
          <w:lang w:val="en-GB"/>
        </w:rPr>
        <w:t xml:space="preserve"> </w:t>
      </w:r>
      <w:r w:rsidR="00FA3B62" w:rsidRPr="00BA6590">
        <w:rPr>
          <w:lang w:val="en-GB"/>
        </w:rPr>
        <w:t>such as religious and philosophical beliefs, age, disability and sexual orientation</w:t>
      </w:r>
      <w:r w:rsidR="004B158E" w:rsidRPr="00BA6590">
        <w:rPr>
          <w:lang w:val="en-GB"/>
        </w:rPr>
        <w:t>.</w:t>
      </w:r>
    </w:p>
    <w:p w:rsidR="004B158E" w:rsidRPr="00BA6590" w:rsidRDefault="00E75495" w:rsidP="002E3562">
      <w:pPr>
        <w:pStyle w:val="H4G"/>
        <w:rPr>
          <w:lang w:val="en-GB"/>
        </w:rPr>
      </w:pPr>
      <w:r w:rsidRPr="00BA6590">
        <w:rPr>
          <w:lang w:val="en-GB"/>
        </w:rPr>
        <w:tab/>
      </w:r>
      <w:r w:rsidRPr="00BA6590">
        <w:rPr>
          <w:lang w:val="en-GB"/>
        </w:rPr>
        <w:tab/>
      </w:r>
      <w:r w:rsidR="004B158E" w:rsidRPr="00BA6590">
        <w:rPr>
          <w:lang w:val="en-GB"/>
        </w:rPr>
        <w:t>Innovations</w:t>
      </w:r>
      <w:r w:rsidR="00E57DB8" w:rsidRPr="00BA6590">
        <w:rPr>
          <w:lang w:val="en-GB"/>
        </w:rPr>
        <w:t xml:space="preserve"> introduced by the reform: improved protection for the victims and </w:t>
      </w:r>
      <w:r w:rsidR="00D319DE" w:rsidRPr="00BA6590">
        <w:rPr>
          <w:lang w:val="en-GB"/>
        </w:rPr>
        <w:br/>
      </w:r>
      <w:r w:rsidR="00E57DB8" w:rsidRPr="00BA6590">
        <w:rPr>
          <w:lang w:val="en-GB"/>
        </w:rPr>
        <w:t>witnesses of an act of racial discrimination</w:t>
      </w:r>
    </w:p>
    <w:p w:rsidR="004B158E" w:rsidRPr="00BA6590" w:rsidRDefault="00E75495" w:rsidP="00E75495">
      <w:pPr>
        <w:pStyle w:val="SingleTxtG"/>
        <w:rPr>
          <w:lang w:val="en-GB"/>
        </w:rPr>
      </w:pPr>
      <w:r w:rsidRPr="00BA6590">
        <w:rPr>
          <w:lang w:val="en-GB"/>
        </w:rPr>
        <w:t>34.</w:t>
      </w:r>
      <w:r w:rsidRPr="00BA6590">
        <w:rPr>
          <w:lang w:val="en-GB"/>
        </w:rPr>
        <w:tab/>
      </w:r>
      <w:r w:rsidR="00BD3611" w:rsidRPr="00BA6590">
        <w:rPr>
          <w:lang w:val="en-GB"/>
        </w:rPr>
        <w:t xml:space="preserve">The innovations introduced by the legislative reform are listed below. They relate mainly to penalties and the improvement of civil procedures protecting the victims of acts of discrimination. </w:t>
      </w:r>
    </w:p>
    <w:p w:rsidR="004B158E" w:rsidRPr="00BA6590" w:rsidRDefault="00BD3611" w:rsidP="00E75495">
      <w:pPr>
        <w:pStyle w:val="Bullet1G"/>
        <w:rPr>
          <w:lang w:val="en-GB"/>
        </w:rPr>
      </w:pPr>
      <w:r w:rsidRPr="00BA6590">
        <w:rPr>
          <w:lang w:val="en-GB"/>
        </w:rPr>
        <w:t>The protection of victims from reprisals, which is intended to be applicable both in labour relations and elsewhere, has been extended to the witnesses of discr</w:t>
      </w:r>
      <w:r w:rsidR="00AA0798" w:rsidRPr="00BA6590">
        <w:rPr>
          <w:lang w:val="en-GB"/>
        </w:rPr>
        <w:t>iminatory acts</w:t>
      </w:r>
      <w:r w:rsidRPr="00BA6590">
        <w:rPr>
          <w:lang w:val="en-GB"/>
        </w:rPr>
        <w:t xml:space="preserve"> whereas it had previously been limited to plaintiffs.</w:t>
      </w:r>
    </w:p>
    <w:p w:rsidR="004B158E" w:rsidRPr="00BA6590" w:rsidRDefault="00BD3611" w:rsidP="00E75495">
      <w:pPr>
        <w:pStyle w:val="Bullet1G"/>
        <w:rPr>
          <w:lang w:val="en-GB"/>
        </w:rPr>
      </w:pPr>
      <w:r w:rsidRPr="00BA6590">
        <w:rPr>
          <w:lang w:val="en-GB"/>
        </w:rPr>
        <w:t xml:space="preserve">Stronger penalties have been introduced for employers who fail to comply with a judicial decision or judgement issued following an application for an injunction </w:t>
      </w:r>
      <w:r w:rsidR="004B158E" w:rsidRPr="00BA6590">
        <w:rPr>
          <w:lang w:val="en-GB"/>
        </w:rPr>
        <w:t>(</w:t>
      </w:r>
      <w:r w:rsidRPr="00BA6590">
        <w:rPr>
          <w:lang w:val="en-GB"/>
        </w:rPr>
        <w:t xml:space="preserve">civil </w:t>
      </w:r>
      <w:r w:rsidR="004B158E" w:rsidRPr="00BA6590">
        <w:rPr>
          <w:lang w:val="en-GB"/>
        </w:rPr>
        <w:t>proc</w:t>
      </w:r>
      <w:r w:rsidRPr="00BA6590">
        <w:rPr>
          <w:lang w:val="en-GB"/>
        </w:rPr>
        <w:t>e</w:t>
      </w:r>
      <w:r w:rsidR="004B158E" w:rsidRPr="00BA6590">
        <w:rPr>
          <w:lang w:val="en-GB"/>
        </w:rPr>
        <w:t>dure).</w:t>
      </w:r>
      <w:r w:rsidRPr="00BA6590">
        <w:rPr>
          <w:lang w:val="en-GB"/>
        </w:rPr>
        <w:t xml:space="preserve"> </w:t>
      </w:r>
      <w:r w:rsidR="00C5087C" w:rsidRPr="00BA6590">
        <w:rPr>
          <w:lang w:val="en-GB"/>
        </w:rPr>
        <w:t xml:space="preserve">These </w:t>
      </w:r>
      <w:r w:rsidR="00A20722" w:rsidRPr="00BA6590">
        <w:rPr>
          <w:lang w:val="en-GB"/>
        </w:rPr>
        <w:t>can be</w:t>
      </w:r>
      <w:r w:rsidR="00C5087C" w:rsidRPr="00BA6590">
        <w:rPr>
          <w:lang w:val="en-GB"/>
        </w:rPr>
        <w:t xml:space="preserve"> a term of imprisonment of one month to one year and a file of</w:t>
      </w:r>
      <w:r w:rsidR="00A20722" w:rsidRPr="00BA6590">
        <w:rPr>
          <w:lang w:val="en-GB"/>
        </w:rPr>
        <w:t xml:space="preserve"> €50 to €1,000.</w:t>
      </w:r>
    </w:p>
    <w:p w:rsidR="004B158E" w:rsidRPr="00BA6590" w:rsidRDefault="00A20722" w:rsidP="00E75495">
      <w:pPr>
        <w:pStyle w:val="Bullet1G"/>
        <w:rPr>
          <w:lang w:val="en-GB"/>
        </w:rPr>
      </w:pPr>
      <w:r w:rsidRPr="00BA6590">
        <w:rPr>
          <w:lang w:val="en-GB"/>
        </w:rPr>
        <w:t xml:space="preserve">The plaintiff can now receive fixed-rate compensation for the moral damage suffered in case of discrimination. This compensation may be applied for following an injunction action, whereas formerly proceedings on the merits would have been needed. This possibility provides for a considerable saving in terms of court proceedings and also offers an effective way for the victim to be compensated. </w:t>
      </w:r>
    </w:p>
    <w:p w:rsidR="004B158E" w:rsidRPr="00BA6590" w:rsidRDefault="001A2231" w:rsidP="00A1625D">
      <w:pPr>
        <w:pStyle w:val="Bullet1G"/>
        <w:rPr>
          <w:lang w:val="en-GB"/>
        </w:rPr>
      </w:pPr>
      <w:r w:rsidRPr="00BA6590">
        <w:rPr>
          <w:lang w:val="en-GB"/>
        </w:rPr>
        <w:t xml:space="preserve">The invalidity of clauses contrary to the </w:t>
      </w:r>
      <w:r w:rsidR="003E4735" w:rsidRPr="00BA6590">
        <w:rPr>
          <w:lang w:val="en-GB"/>
        </w:rPr>
        <w:t>Acts of</w:t>
      </w:r>
      <w:r w:rsidRPr="00BA6590">
        <w:rPr>
          <w:lang w:val="en-GB"/>
        </w:rPr>
        <w:t xml:space="preserve"> </w:t>
      </w:r>
      <w:r w:rsidR="004B158E" w:rsidRPr="00BA6590">
        <w:rPr>
          <w:lang w:val="en-GB"/>
        </w:rPr>
        <w:t xml:space="preserve">10 </w:t>
      </w:r>
      <w:r w:rsidRPr="00BA6590">
        <w:rPr>
          <w:lang w:val="en-GB"/>
        </w:rPr>
        <w:t>May</w:t>
      </w:r>
      <w:r w:rsidR="004B158E" w:rsidRPr="00BA6590">
        <w:rPr>
          <w:lang w:val="en-GB"/>
        </w:rPr>
        <w:t xml:space="preserve"> 2007</w:t>
      </w:r>
      <w:r w:rsidR="00AA0798" w:rsidRPr="00BA6590">
        <w:rPr>
          <w:lang w:val="en-GB"/>
        </w:rPr>
        <w:t xml:space="preserve"> </w:t>
      </w:r>
      <w:r w:rsidRPr="00BA6590">
        <w:rPr>
          <w:lang w:val="en-GB"/>
        </w:rPr>
        <w:t>has been extended to provisions other than those of an employment contract</w:t>
      </w:r>
      <w:r w:rsidR="004B158E" w:rsidRPr="00BA6590">
        <w:rPr>
          <w:lang w:val="en-GB"/>
        </w:rPr>
        <w:t xml:space="preserve"> (</w:t>
      </w:r>
      <w:r w:rsidRPr="00BA6590">
        <w:rPr>
          <w:lang w:val="en-GB"/>
        </w:rPr>
        <w:t>for example, provisions contained in labour regulations or in a collective employment agreement</w:t>
      </w:r>
      <w:r w:rsidR="004B158E" w:rsidRPr="00BA6590">
        <w:rPr>
          <w:lang w:val="en-GB"/>
        </w:rPr>
        <w:t>).</w:t>
      </w:r>
    </w:p>
    <w:p w:rsidR="004B158E" w:rsidRPr="00BA6590" w:rsidRDefault="001A2231" w:rsidP="00A1625D">
      <w:pPr>
        <w:pStyle w:val="Bullet1G"/>
        <w:rPr>
          <w:lang w:val="en-GB"/>
        </w:rPr>
      </w:pPr>
      <w:r w:rsidRPr="00BA6590">
        <w:rPr>
          <w:lang w:val="en-GB"/>
        </w:rPr>
        <w:t xml:space="preserve">New mechanisms for proof of discrimination have been introduced, such as the recurrence of a situation. The law provides a more comprehensive definition of the principle of the shifting burden of proof </w:t>
      </w:r>
      <w:r w:rsidR="00385939" w:rsidRPr="00BA6590">
        <w:rPr>
          <w:lang w:val="en-GB"/>
        </w:rPr>
        <w:t>and sets a permanent framework for a judge to presume the existence of discrimination, thereby placing part of the burden of proof upon the defendant.</w:t>
      </w:r>
      <w:r w:rsidR="00A1625D" w:rsidRPr="00BA6590">
        <w:rPr>
          <w:rStyle w:val="FootnoteReference"/>
          <w:lang w:val="en-GB"/>
        </w:rPr>
        <w:footnoteReference w:id="10"/>
      </w:r>
    </w:p>
    <w:p w:rsidR="004B158E" w:rsidRPr="00BA6590" w:rsidRDefault="00385939" w:rsidP="00A1625D">
      <w:pPr>
        <w:pStyle w:val="Bullet1G"/>
        <w:rPr>
          <w:lang w:val="en-GB"/>
        </w:rPr>
      </w:pPr>
      <w:r w:rsidRPr="00BA6590">
        <w:rPr>
          <w:lang w:val="en-GB"/>
        </w:rPr>
        <w:t>The amended law retains the existing offence of incitement to hatred, discrimination or violence towards a person or group. It also confirms the provisions of 2003 which introduced an abject motive (aggravating circumstances) in relation to a series of criminal offences.</w:t>
      </w:r>
      <w:r w:rsidR="001F3CAB" w:rsidRPr="00BA6590">
        <w:rPr>
          <w:lang w:val="en-GB"/>
        </w:rPr>
        <w:t xml:space="preserve"> </w:t>
      </w:r>
    </w:p>
    <w:p w:rsidR="004B158E" w:rsidRPr="00BA6590" w:rsidRDefault="00385939" w:rsidP="00A1625D">
      <w:pPr>
        <w:pStyle w:val="Bullet1G"/>
        <w:rPr>
          <w:lang w:val="en-GB"/>
        </w:rPr>
      </w:pPr>
      <w:r w:rsidRPr="00BA6590">
        <w:rPr>
          <w:lang w:val="en-GB"/>
        </w:rPr>
        <w:t>The Act</w:t>
      </w:r>
      <w:r w:rsidR="00777A66" w:rsidRPr="00BA6590">
        <w:rPr>
          <w:lang w:val="en-GB"/>
        </w:rPr>
        <w:t xml:space="preserve"> of 30 July 1981</w:t>
      </w:r>
      <w:r w:rsidRPr="00BA6590">
        <w:rPr>
          <w:lang w:val="en-GB"/>
        </w:rPr>
        <w:t xml:space="preserve"> </w:t>
      </w:r>
      <w:r w:rsidR="00777A66" w:rsidRPr="00BA6590">
        <w:rPr>
          <w:lang w:val="en-GB"/>
        </w:rPr>
        <w:t>(</w:t>
      </w:r>
      <w:r w:rsidRPr="00BA6590">
        <w:rPr>
          <w:lang w:val="en-GB"/>
        </w:rPr>
        <w:t xml:space="preserve">as amended by the </w:t>
      </w:r>
      <w:r w:rsidR="007B1A40" w:rsidRPr="00BA6590">
        <w:rPr>
          <w:lang w:val="en-GB"/>
        </w:rPr>
        <w:t>Act</w:t>
      </w:r>
      <w:r w:rsidR="00777A66" w:rsidRPr="00BA6590">
        <w:rPr>
          <w:lang w:val="en-GB"/>
        </w:rPr>
        <w:t xml:space="preserve"> of 10 May 2007)</w:t>
      </w:r>
      <w:r w:rsidRPr="00BA6590">
        <w:rPr>
          <w:lang w:val="en-GB"/>
        </w:rPr>
        <w:t xml:space="preserve"> also contains specific provisions not contained in the other t</w:t>
      </w:r>
      <w:r w:rsidR="00C503E8" w:rsidRPr="00BA6590">
        <w:rPr>
          <w:lang w:val="en-GB"/>
        </w:rPr>
        <w:t>wo anti-discrimination Acts (on </w:t>
      </w:r>
      <w:r w:rsidRPr="00BA6590">
        <w:rPr>
          <w:lang w:val="en-GB"/>
        </w:rPr>
        <w:t>gender and general discrimination), pursuant to the Convention</w:t>
      </w:r>
      <w:r w:rsidR="004B158E" w:rsidRPr="00BA6590">
        <w:rPr>
          <w:lang w:val="en-GB"/>
        </w:rPr>
        <w:t>:</w:t>
      </w:r>
    </w:p>
    <w:p w:rsidR="004B158E" w:rsidRPr="00BA6590" w:rsidRDefault="00385939" w:rsidP="00A1625D">
      <w:pPr>
        <w:pStyle w:val="Bullet2G"/>
        <w:rPr>
          <w:lang w:val="en-GB"/>
        </w:rPr>
      </w:pPr>
      <w:r w:rsidRPr="00BA6590">
        <w:rPr>
          <w:lang w:val="en-GB"/>
        </w:rPr>
        <w:t>A</w:t>
      </w:r>
      <w:r w:rsidR="004B158E" w:rsidRPr="00BA6590">
        <w:rPr>
          <w:lang w:val="en-GB"/>
        </w:rPr>
        <w:t>rticle 21</w:t>
      </w:r>
      <w:r w:rsidRPr="00BA6590">
        <w:rPr>
          <w:lang w:val="en-GB"/>
        </w:rPr>
        <w:t xml:space="preserve"> penalizes the dissemination of ideas based on racial superiority or hatred. This offence, reflecting article 4 of the Convention, requires the existence of special intent and is punished by a term of imprisonment of one month to one year an</w:t>
      </w:r>
      <w:r w:rsidR="00AA0798" w:rsidRPr="00BA6590">
        <w:rPr>
          <w:lang w:val="en-GB"/>
        </w:rPr>
        <w:t>d/or a fin</w:t>
      </w:r>
      <w:r w:rsidRPr="00BA6590">
        <w:rPr>
          <w:lang w:val="en-GB"/>
        </w:rPr>
        <w:t xml:space="preserve">e of €50 to €1,000. </w:t>
      </w:r>
      <w:r w:rsidR="00B128B9" w:rsidRPr="00BA6590">
        <w:rPr>
          <w:lang w:val="en-GB"/>
        </w:rPr>
        <w:t xml:space="preserve">The appeal brought against this article by </w:t>
      </w:r>
      <w:r w:rsidR="004B158E" w:rsidRPr="00BA6590">
        <w:rPr>
          <w:lang w:val="en-GB"/>
        </w:rPr>
        <w:t xml:space="preserve">Vlaams Belang </w:t>
      </w:r>
      <w:r w:rsidR="00B128B9" w:rsidRPr="00BA6590">
        <w:rPr>
          <w:lang w:val="en-GB"/>
        </w:rPr>
        <w:t>for violation of the freedom of expression was rejected by the Constitutional Court.</w:t>
      </w:r>
      <w:r w:rsidR="00A1625D" w:rsidRPr="00BA6590">
        <w:rPr>
          <w:rStyle w:val="FootnoteReference"/>
          <w:lang w:val="en-GB"/>
        </w:rPr>
        <w:footnoteReference w:id="11"/>
      </w:r>
    </w:p>
    <w:p w:rsidR="004B158E" w:rsidRPr="00BA6590" w:rsidRDefault="00B128B9" w:rsidP="00A1625D">
      <w:pPr>
        <w:pStyle w:val="Bullet2G"/>
        <w:rPr>
          <w:lang w:val="en-GB"/>
        </w:rPr>
      </w:pPr>
      <w:r w:rsidRPr="00BA6590">
        <w:rPr>
          <w:lang w:val="en-GB"/>
        </w:rPr>
        <w:t>A</w:t>
      </w:r>
      <w:r w:rsidR="004B158E" w:rsidRPr="00BA6590">
        <w:rPr>
          <w:lang w:val="en-GB"/>
        </w:rPr>
        <w:t>rticle 22</w:t>
      </w:r>
      <w:r w:rsidRPr="00BA6590">
        <w:rPr>
          <w:lang w:val="en-GB"/>
        </w:rPr>
        <w:t xml:space="preserve"> punishes any person belonging to a group or association which manifestly and repeatedly advocates racial discrimination or segregation. </w:t>
      </w:r>
    </w:p>
    <w:p w:rsidR="004B158E" w:rsidRPr="00BA6590" w:rsidRDefault="00B128B9" w:rsidP="00A1625D">
      <w:pPr>
        <w:pStyle w:val="Bullet2G"/>
        <w:rPr>
          <w:lang w:val="en-GB"/>
        </w:rPr>
      </w:pPr>
      <w:r w:rsidRPr="00BA6590">
        <w:rPr>
          <w:lang w:val="en-GB"/>
        </w:rPr>
        <w:t>A</w:t>
      </w:r>
      <w:r w:rsidR="004B158E" w:rsidRPr="00BA6590">
        <w:rPr>
          <w:lang w:val="en-GB"/>
        </w:rPr>
        <w:t>rticle 24</w:t>
      </w:r>
      <w:r w:rsidRPr="00BA6590">
        <w:rPr>
          <w:lang w:val="en-GB"/>
        </w:rPr>
        <w:t xml:space="preserve"> </w:t>
      </w:r>
      <w:r w:rsidR="00F35A29" w:rsidRPr="00BA6590">
        <w:rPr>
          <w:lang w:val="en-GB"/>
        </w:rPr>
        <w:t>adds to the civil-law arsenal with criminal penalties for racial discrimination in goods and services</w:t>
      </w:r>
      <w:r w:rsidR="004B158E" w:rsidRPr="00BA6590">
        <w:rPr>
          <w:lang w:val="en-GB"/>
        </w:rPr>
        <w:t xml:space="preserve"> (</w:t>
      </w:r>
      <w:r w:rsidR="00F35A29" w:rsidRPr="00BA6590">
        <w:rPr>
          <w:lang w:val="en-GB"/>
        </w:rPr>
        <w:t>such as housing, hotels and catering</w:t>
      </w:r>
      <w:r w:rsidR="00AA0798" w:rsidRPr="00BA6590">
        <w:rPr>
          <w:lang w:val="en-GB"/>
        </w:rPr>
        <w:t xml:space="preserve"> and</w:t>
      </w:r>
      <w:r w:rsidR="004B158E" w:rsidRPr="00BA6590">
        <w:rPr>
          <w:lang w:val="en-GB"/>
        </w:rPr>
        <w:t xml:space="preserve"> transport</w:t>
      </w:r>
      <w:r w:rsidR="00F35A29" w:rsidRPr="00BA6590">
        <w:rPr>
          <w:lang w:val="en-GB"/>
        </w:rPr>
        <w:t>) and in employment</w:t>
      </w:r>
      <w:r w:rsidR="004B158E" w:rsidRPr="00BA6590">
        <w:rPr>
          <w:lang w:val="en-GB"/>
        </w:rPr>
        <w:t>.</w:t>
      </w:r>
    </w:p>
    <w:p w:rsidR="00A1625D" w:rsidRPr="00BA6590" w:rsidRDefault="00A1625D" w:rsidP="002E3562">
      <w:pPr>
        <w:pStyle w:val="H4G"/>
        <w:rPr>
          <w:lang w:val="en-GB"/>
        </w:rPr>
      </w:pPr>
      <w:r w:rsidRPr="00BA6590">
        <w:rPr>
          <w:lang w:val="en-GB"/>
        </w:rPr>
        <w:tab/>
      </w:r>
      <w:r w:rsidRPr="00BA6590">
        <w:rPr>
          <w:lang w:val="en-GB"/>
        </w:rPr>
        <w:tab/>
      </w:r>
      <w:r w:rsidR="00F82A36" w:rsidRPr="00BA6590">
        <w:rPr>
          <w:lang w:val="en-GB"/>
        </w:rPr>
        <w:t>Regional and Community-level i</w:t>
      </w:r>
      <w:r w:rsidRPr="00BA6590">
        <w:rPr>
          <w:lang w:val="en-GB"/>
        </w:rPr>
        <w:t>nitiatives</w:t>
      </w:r>
    </w:p>
    <w:p w:rsidR="00333E83" w:rsidRPr="00BA6590" w:rsidRDefault="00333E83" w:rsidP="00D0674A">
      <w:pPr>
        <w:pStyle w:val="SingleTxtG"/>
        <w:rPr>
          <w:lang w:val="en-GB"/>
        </w:rPr>
      </w:pPr>
      <w:r w:rsidRPr="00BA6590">
        <w:rPr>
          <w:lang w:val="en-GB"/>
        </w:rPr>
        <w:t>35.</w:t>
      </w:r>
      <w:r w:rsidRPr="00BA6590">
        <w:rPr>
          <w:lang w:val="en-GB"/>
        </w:rPr>
        <w:tab/>
      </w:r>
      <w:r w:rsidR="00F82A36" w:rsidRPr="00BA6590">
        <w:rPr>
          <w:lang w:val="en-GB"/>
        </w:rPr>
        <w:t>The</w:t>
      </w:r>
      <w:r w:rsidRPr="00BA6590">
        <w:rPr>
          <w:lang w:val="en-GB"/>
        </w:rPr>
        <w:t xml:space="preserve"> </w:t>
      </w:r>
      <w:r w:rsidR="008E267D" w:rsidRPr="00BA6590">
        <w:rPr>
          <w:lang w:val="en-GB"/>
        </w:rPr>
        <w:t>Regions and Communities</w:t>
      </w:r>
      <w:r w:rsidR="00F82A36" w:rsidRPr="00BA6590">
        <w:rPr>
          <w:lang w:val="en-GB"/>
        </w:rPr>
        <w:t xml:space="preserve"> </w:t>
      </w:r>
      <w:r w:rsidR="00210434" w:rsidRPr="00BA6590">
        <w:rPr>
          <w:lang w:val="en-GB"/>
        </w:rPr>
        <w:t xml:space="preserve">have also </w:t>
      </w:r>
      <w:r w:rsidR="00816F73" w:rsidRPr="00BA6590">
        <w:rPr>
          <w:lang w:val="en-GB"/>
        </w:rPr>
        <w:t>incorporat</w:t>
      </w:r>
      <w:r w:rsidR="00210434" w:rsidRPr="00BA6590">
        <w:rPr>
          <w:lang w:val="en-GB"/>
        </w:rPr>
        <w:t>ed the aforementioned European Directives</w:t>
      </w:r>
      <w:r w:rsidR="00816F73" w:rsidRPr="00BA6590">
        <w:rPr>
          <w:lang w:val="en-GB"/>
        </w:rPr>
        <w:t xml:space="preserve"> into their own laws</w:t>
      </w:r>
      <w:r w:rsidR="00EF77AA" w:rsidRPr="00BA6590">
        <w:rPr>
          <w:lang w:val="en-GB"/>
        </w:rPr>
        <w:t>,</w:t>
      </w:r>
      <w:r w:rsidR="00210434" w:rsidRPr="00BA6590">
        <w:rPr>
          <w:lang w:val="en-GB"/>
        </w:rPr>
        <w:t xml:space="preserve"> adopt</w:t>
      </w:r>
      <w:r w:rsidR="00EF77AA" w:rsidRPr="00BA6590">
        <w:rPr>
          <w:lang w:val="en-GB"/>
        </w:rPr>
        <w:t>ing</w:t>
      </w:r>
      <w:r w:rsidR="00210434" w:rsidRPr="00BA6590">
        <w:rPr>
          <w:lang w:val="en-GB"/>
        </w:rPr>
        <w:t xml:space="preserve"> </w:t>
      </w:r>
      <w:r w:rsidR="008E267D" w:rsidRPr="00BA6590">
        <w:rPr>
          <w:lang w:val="en-GB"/>
        </w:rPr>
        <w:t>decrees and orders</w:t>
      </w:r>
      <w:r w:rsidR="00210434" w:rsidRPr="00BA6590">
        <w:rPr>
          <w:lang w:val="en-GB"/>
        </w:rPr>
        <w:t xml:space="preserve"> in the areas falling within their authority. In the interest of consistency, the provisions adopted</w:t>
      </w:r>
      <w:r w:rsidR="00EF77AA" w:rsidRPr="00BA6590">
        <w:rPr>
          <w:lang w:val="en-GB"/>
        </w:rPr>
        <w:t xml:space="preserve"> by the various legislative bodies</w:t>
      </w:r>
      <w:r w:rsidR="00210434" w:rsidRPr="00BA6590">
        <w:rPr>
          <w:lang w:val="en-GB"/>
        </w:rPr>
        <w:t xml:space="preserve"> are very similar. A l</w:t>
      </w:r>
      <w:r w:rsidR="003F3EB6" w:rsidRPr="00BA6590">
        <w:rPr>
          <w:lang w:val="en-GB"/>
        </w:rPr>
        <w:t xml:space="preserve">ist of these instruments is </w:t>
      </w:r>
      <w:r w:rsidR="00DD697A" w:rsidRPr="00BA6590">
        <w:rPr>
          <w:lang w:val="en-GB"/>
        </w:rPr>
        <w:t>provided in paragraph 179</w:t>
      </w:r>
      <w:r w:rsidR="003F3EB6" w:rsidRPr="00BA6590">
        <w:rPr>
          <w:lang w:val="en-GB"/>
        </w:rPr>
        <w:t xml:space="preserve"> of the core document. </w:t>
      </w:r>
    </w:p>
    <w:p w:rsidR="00333E83" w:rsidRPr="00BA6590" w:rsidRDefault="00333E83" w:rsidP="00333E83">
      <w:pPr>
        <w:pStyle w:val="H23G"/>
        <w:rPr>
          <w:lang w:val="en-GB"/>
        </w:rPr>
      </w:pPr>
      <w:r w:rsidRPr="00BA6590">
        <w:rPr>
          <w:lang w:val="en-GB"/>
        </w:rPr>
        <w:tab/>
        <w:t>2.</w:t>
      </w:r>
      <w:r w:rsidRPr="00BA6590">
        <w:rPr>
          <w:lang w:val="en-GB"/>
        </w:rPr>
        <w:tab/>
      </w:r>
      <w:r w:rsidR="003F3EB6" w:rsidRPr="00BA6590">
        <w:rPr>
          <w:lang w:val="en-GB"/>
        </w:rPr>
        <w:t xml:space="preserve">Deprivation or suspension of certain </w:t>
      </w:r>
      <w:r w:rsidR="002D4941" w:rsidRPr="00BA6590">
        <w:rPr>
          <w:lang w:val="en-GB"/>
        </w:rPr>
        <w:t>civic and</w:t>
      </w:r>
      <w:r w:rsidR="003F3EB6" w:rsidRPr="00BA6590">
        <w:rPr>
          <w:lang w:val="en-GB"/>
        </w:rPr>
        <w:t xml:space="preserve"> political rights</w:t>
      </w:r>
    </w:p>
    <w:p w:rsidR="00333E83" w:rsidRPr="00BA6590" w:rsidRDefault="00333E83" w:rsidP="00333E83">
      <w:pPr>
        <w:pStyle w:val="SingleTxtG"/>
        <w:rPr>
          <w:lang w:val="en-GB"/>
        </w:rPr>
      </w:pPr>
      <w:r w:rsidRPr="00BA6590">
        <w:rPr>
          <w:lang w:val="en-GB"/>
        </w:rPr>
        <w:t>36.</w:t>
      </w:r>
      <w:r w:rsidRPr="00BA6590">
        <w:rPr>
          <w:lang w:val="en-GB"/>
        </w:rPr>
        <w:tab/>
      </w:r>
      <w:r w:rsidR="003F3EB6" w:rsidRPr="00BA6590">
        <w:rPr>
          <w:lang w:val="en-GB"/>
        </w:rPr>
        <w:t xml:space="preserve">Belgian courts have continued to make use of the authority, provided for in </w:t>
      </w:r>
      <w:r w:rsidR="00CC63EF" w:rsidRPr="00BA6590">
        <w:rPr>
          <w:lang w:val="en-GB"/>
        </w:rPr>
        <w:t>legislation enacted in</w:t>
      </w:r>
      <w:r w:rsidR="003F3EB6" w:rsidRPr="00BA6590">
        <w:rPr>
          <w:lang w:val="en-GB"/>
        </w:rPr>
        <w:t xml:space="preserve"> May</w:t>
      </w:r>
      <w:r w:rsidRPr="00BA6590">
        <w:rPr>
          <w:lang w:val="en-GB"/>
        </w:rPr>
        <w:t xml:space="preserve"> 2009,</w:t>
      </w:r>
      <w:r w:rsidR="003F3EB6" w:rsidRPr="00BA6590">
        <w:rPr>
          <w:lang w:val="en-GB"/>
        </w:rPr>
        <w:t xml:space="preserve"> to deprive those </w:t>
      </w:r>
      <w:r w:rsidR="002F0BE7" w:rsidRPr="00BA6590">
        <w:rPr>
          <w:lang w:val="en-GB"/>
        </w:rPr>
        <w:t>contravening</w:t>
      </w:r>
      <w:r w:rsidR="003F3EB6" w:rsidRPr="00BA6590">
        <w:rPr>
          <w:lang w:val="en-GB"/>
        </w:rPr>
        <w:t xml:space="preserve"> anti-racism legislation of their </w:t>
      </w:r>
      <w:r w:rsidR="002D4941" w:rsidRPr="00BA6590">
        <w:rPr>
          <w:lang w:val="en-GB"/>
        </w:rPr>
        <w:t>civic and</w:t>
      </w:r>
      <w:r w:rsidR="003F3EB6" w:rsidRPr="00BA6590">
        <w:rPr>
          <w:lang w:val="en-GB"/>
        </w:rPr>
        <w:t xml:space="preserve"> political rights. </w:t>
      </w:r>
    </w:p>
    <w:p w:rsidR="00333E83" w:rsidRPr="00BA6590" w:rsidRDefault="00333E83" w:rsidP="00CA270D">
      <w:pPr>
        <w:pStyle w:val="SingleTxtG"/>
        <w:rPr>
          <w:lang w:val="en-GB"/>
        </w:rPr>
      </w:pPr>
      <w:r w:rsidRPr="00BA6590">
        <w:rPr>
          <w:lang w:val="en-GB"/>
        </w:rPr>
        <w:t>37.</w:t>
      </w:r>
      <w:r w:rsidRPr="00BA6590">
        <w:rPr>
          <w:lang w:val="en-GB"/>
        </w:rPr>
        <w:tab/>
      </w:r>
      <w:r w:rsidR="003F3EB6" w:rsidRPr="00BA6590">
        <w:rPr>
          <w:lang w:val="en-GB"/>
        </w:rPr>
        <w:t>An example of this is the decision of the</w:t>
      </w:r>
      <w:r w:rsidR="00792EB7" w:rsidRPr="00BA6590">
        <w:rPr>
          <w:lang w:val="en-GB"/>
        </w:rPr>
        <w:t xml:space="preserve"> criminal court of Termonde, dated 4 </w:t>
      </w:r>
      <w:r w:rsidR="004C0053" w:rsidRPr="00BA6590">
        <w:rPr>
          <w:lang w:val="en-GB"/>
        </w:rPr>
        <w:t>June</w:t>
      </w:r>
      <w:r w:rsidR="00792EB7" w:rsidRPr="00BA6590">
        <w:rPr>
          <w:lang w:val="en-GB"/>
        </w:rPr>
        <w:t xml:space="preserve"> </w:t>
      </w:r>
      <w:r w:rsidRPr="00BA6590">
        <w:rPr>
          <w:lang w:val="en-GB"/>
        </w:rPr>
        <w:t>2012</w:t>
      </w:r>
      <w:r w:rsidR="00792EB7" w:rsidRPr="00BA6590">
        <w:rPr>
          <w:lang w:val="en-GB"/>
        </w:rPr>
        <w:t>, to convict two members of Vlaams Belang of having offended against the Act</w:t>
      </w:r>
      <w:r w:rsidR="00777A66" w:rsidRPr="00BA6590">
        <w:rPr>
          <w:lang w:val="en-GB"/>
        </w:rPr>
        <w:t xml:space="preserve"> of 30 July 1981</w:t>
      </w:r>
      <w:r w:rsidR="00792EB7" w:rsidRPr="00BA6590">
        <w:rPr>
          <w:lang w:val="en-GB"/>
        </w:rPr>
        <w:t xml:space="preserve">, as amended by the </w:t>
      </w:r>
      <w:r w:rsidR="00CC63EF" w:rsidRPr="00BA6590">
        <w:rPr>
          <w:lang w:val="en-GB"/>
        </w:rPr>
        <w:t>Act</w:t>
      </w:r>
      <w:r w:rsidR="00777A66" w:rsidRPr="00BA6590">
        <w:rPr>
          <w:lang w:val="en-GB"/>
        </w:rPr>
        <w:t xml:space="preserve"> of 10 May 2007</w:t>
      </w:r>
      <w:r w:rsidR="00792EB7" w:rsidRPr="00BA6590">
        <w:rPr>
          <w:lang w:val="en-GB"/>
        </w:rPr>
        <w:t xml:space="preserve">. Following the destruction of a number of tombstones in a cemetery in </w:t>
      </w:r>
      <w:r w:rsidRPr="00BA6590">
        <w:rPr>
          <w:lang w:val="en-GB"/>
        </w:rPr>
        <w:t>Sint-Niklaas,</w:t>
      </w:r>
      <w:r w:rsidR="00792EB7" w:rsidRPr="00BA6590">
        <w:rPr>
          <w:lang w:val="en-GB"/>
        </w:rPr>
        <w:t xml:space="preserve"> the two offenders had falsely blamed the desecration on young immigrants, in an article in the local Vlaams Belang publication, referring to their </w:t>
      </w:r>
      <w:r w:rsidR="00A216FB" w:rsidRPr="00BA6590">
        <w:rPr>
          <w:lang w:val="en-GB"/>
        </w:rPr>
        <w:t>“</w:t>
      </w:r>
      <w:r w:rsidR="00792EB7" w:rsidRPr="00BA6590">
        <w:rPr>
          <w:lang w:val="en-GB"/>
        </w:rPr>
        <w:t>deviant culture</w:t>
      </w:r>
      <w:r w:rsidR="00A216FB" w:rsidRPr="00BA6590">
        <w:rPr>
          <w:lang w:val="en-GB"/>
        </w:rPr>
        <w:t>”</w:t>
      </w:r>
      <w:r w:rsidR="00792EB7" w:rsidRPr="00BA6590">
        <w:rPr>
          <w:lang w:val="en-GB"/>
        </w:rPr>
        <w:t>. One of the offenders was sentenced to four months</w:t>
      </w:r>
      <w:r w:rsidR="00A216FB" w:rsidRPr="00BA6590">
        <w:rPr>
          <w:lang w:val="en-GB"/>
        </w:rPr>
        <w:t>’</w:t>
      </w:r>
      <w:r w:rsidR="00792EB7" w:rsidRPr="00BA6590">
        <w:rPr>
          <w:lang w:val="en-GB"/>
        </w:rPr>
        <w:t xml:space="preserve"> imprisonment, suspended for three years, and a fine of €</w:t>
      </w:r>
      <w:r w:rsidRPr="00BA6590">
        <w:rPr>
          <w:lang w:val="en-GB"/>
        </w:rPr>
        <w:t>1</w:t>
      </w:r>
      <w:r w:rsidR="00282771">
        <w:rPr>
          <w:lang w:val="en-GB"/>
        </w:rPr>
        <w:t>,</w:t>
      </w:r>
      <w:r w:rsidRPr="00BA6590">
        <w:rPr>
          <w:lang w:val="en-GB"/>
        </w:rPr>
        <w:t>375.</w:t>
      </w:r>
      <w:r w:rsidR="00792EB7" w:rsidRPr="00BA6590">
        <w:rPr>
          <w:lang w:val="en-GB"/>
        </w:rPr>
        <w:t xml:space="preserve"> </w:t>
      </w:r>
      <w:r w:rsidR="002D4941" w:rsidRPr="00BA6590">
        <w:rPr>
          <w:lang w:val="en-GB"/>
        </w:rPr>
        <w:t xml:space="preserve">As an accessory penalty, his civic and political rights were suspended for </w:t>
      </w:r>
      <w:r w:rsidR="00282771">
        <w:rPr>
          <w:lang w:val="en-GB"/>
        </w:rPr>
        <w:t xml:space="preserve">ten </w:t>
      </w:r>
      <w:r w:rsidR="002D4941" w:rsidRPr="00BA6590">
        <w:rPr>
          <w:lang w:val="en-GB"/>
        </w:rPr>
        <w:t xml:space="preserve">years. </w:t>
      </w:r>
    </w:p>
    <w:p w:rsidR="00333E83" w:rsidRPr="00BA6590" w:rsidRDefault="00333E83" w:rsidP="00333E83">
      <w:pPr>
        <w:pStyle w:val="SingleTxtG"/>
        <w:rPr>
          <w:lang w:val="en-GB"/>
        </w:rPr>
      </w:pPr>
      <w:r w:rsidRPr="00BA6590">
        <w:rPr>
          <w:lang w:val="en-GB"/>
        </w:rPr>
        <w:t>38.</w:t>
      </w:r>
      <w:r w:rsidRPr="00BA6590">
        <w:rPr>
          <w:lang w:val="en-GB"/>
        </w:rPr>
        <w:tab/>
      </w:r>
      <w:r w:rsidR="005623B4" w:rsidRPr="00BA6590">
        <w:rPr>
          <w:lang w:val="en-GB"/>
        </w:rPr>
        <w:t>A proposal</w:t>
      </w:r>
      <w:r w:rsidR="00911431" w:rsidRPr="00BA6590">
        <w:rPr>
          <w:lang w:val="en-GB"/>
        </w:rPr>
        <w:t xml:space="preserve"> currently before Parliament would</w:t>
      </w:r>
      <w:r w:rsidR="005623B4" w:rsidRPr="00BA6590">
        <w:rPr>
          <w:lang w:val="en-GB"/>
        </w:rPr>
        <w:t xml:space="preserve"> make the suspension of political rights an automatic accessory penalty for all offences against the Act</w:t>
      </w:r>
      <w:r w:rsidR="00777A66" w:rsidRPr="00BA6590">
        <w:rPr>
          <w:lang w:val="en-GB"/>
        </w:rPr>
        <w:t xml:space="preserve"> of 30 July 1981</w:t>
      </w:r>
      <w:r w:rsidRPr="00BA6590">
        <w:rPr>
          <w:lang w:val="en-GB"/>
        </w:rPr>
        <w:t>,</w:t>
      </w:r>
      <w:r w:rsidR="005623B4" w:rsidRPr="00BA6590">
        <w:rPr>
          <w:lang w:val="en-GB"/>
        </w:rPr>
        <w:t xml:space="preserve"> the Act of </w:t>
      </w:r>
      <w:r w:rsidRPr="00BA6590">
        <w:rPr>
          <w:lang w:val="en-GB"/>
        </w:rPr>
        <w:t xml:space="preserve">23 </w:t>
      </w:r>
      <w:r w:rsidR="005623B4" w:rsidRPr="00BA6590">
        <w:rPr>
          <w:lang w:val="en-GB"/>
        </w:rPr>
        <w:t>M</w:t>
      </w:r>
      <w:r w:rsidRPr="00BA6590">
        <w:rPr>
          <w:lang w:val="en-GB"/>
        </w:rPr>
        <w:t>ar</w:t>
      </w:r>
      <w:r w:rsidR="005623B4" w:rsidRPr="00BA6590">
        <w:rPr>
          <w:lang w:val="en-GB"/>
        </w:rPr>
        <w:t>ch</w:t>
      </w:r>
      <w:r w:rsidRPr="00BA6590">
        <w:rPr>
          <w:lang w:val="en-GB"/>
        </w:rPr>
        <w:t xml:space="preserve"> 1995</w:t>
      </w:r>
      <w:r w:rsidR="005623B4" w:rsidRPr="00BA6590">
        <w:rPr>
          <w:lang w:val="en-GB"/>
        </w:rPr>
        <w:t xml:space="preserve"> </w:t>
      </w:r>
      <w:r w:rsidR="00CC63EF" w:rsidRPr="00BA6590">
        <w:rPr>
          <w:lang w:val="en-GB"/>
        </w:rPr>
        <w:t>(</w:t>
      </w:r>
      <w:r w:rsidR="005623B4" w:rsidRPr="00BA6590">
        <w:rPr>
          <w:lang w:val="en-GB"/>
        </w:rPr>
        <w:t xml:space="preserve">penalizing the denial, minimization, justification or approval of the genocide perpetrated by the national-socialist regime in Germany during the second world war) </w:t>
      </w:r>
      <w:r w:rsidR="00911431" w:rsidRPr="00BA6590">
        <w:rPr>
          <w:lang w:val="en-GB"/>
        </w:rPr>
        <w:t>and the Act</w:t>
      </w:r>
      <w:r w:rsidR="00777A66" w:rsidRPr="00BA6590">
        <w:rPr>
          <w:lang w:val="en-GB"/>
        </w:rPr>
        <w:t xml:space="preserve"> of 10 May 2007 penalizing certain forms of discrimination</w:t>
      </w:r>
      <w:r w:rsidR="00911431" w:rsidRPr="00BA6590">
        <w:rPr>
          <w:lang w:val="en-GB"/>
        </w:rPr>
        <w:t xml:space="preserve">. The proposed legislative measures mentioned in the previous report were not adopted. </w:t>
      </w:r>
    </w:p>
    <w:p w:rsidR="00333E83" w:rsidRPr="00BA6590" w:rsidRDefault="00333E83" w:rsidP="00333E83">
      <w:pPr>
        <w:pStyle w:val="SingleTxtG"/>
        <w:rPr>
          <w:lang w:val="en-GB"/>
        </w:rPr>
      </w:pPr>
      <w:r w:rsidRPr="00BA6590">
        <w:rPr>
          <w:lang w:val="en-GB"/>
        </w:rPr>
        <w:t>39.</w:t>
      </w:r>
      <w:r w:rsidRPr="00BA6590">
        <w:rPr>
          <w:lang w:val="en-GB"/>
        </w:rPr>
        <w:tab/>
      </w:r>
      <w:r w:rsidR="00617E8D" w:rsidRPr="00BA6590">
        <w:rPr>
          <w:lang w:val="en-GB"/>
        </w:rPr>
        <w:t>A number of provisions in electoral law entail automatic ineligibility for persons convicted of the offences described in the Act</w:t>
      </w:r>
      <w:r w:rsidR="00777A66" w:rsidRPr="00BA6590">
        <w:rPr>
          <w:lang w:val="en-GB"/>
        </w:rPr>
        <w:t xml:space="preserve"> of 30 July 1981</w:t>
      </w:r>
      <w:r w:rsidRPr="00BA6590">
        <w:rPr>
          <w:lang w:val="en-GB"/>
        </w:rPr>
        <w:t xml:space="preserve"> </w:t>
      </w:r>
      <w:r w:rsidR="00617E8D" w:rsidRPr="00BA6590">
        <w:rPr>
          <w:lang w:val="en-GB"/>
        </w:rPr>
        <w:t>and the</w:t>
      </w:r>
      <w:r w:rsidRPr="00BA6590">
        <w:rPr>
          <w:lang w:val="en-GB"/>
        </w:rPr>
        <w:t xml:space="preserve"> </w:t>
      </w:r>
      <w:r w:rsidR="00617E8D" w:rsidRPr="00BA6590">
        <w:rPr>
          <w:lang w:val="en-GB"/>
        </w:rPr>
        <w:t>Act</w:t>
      </w:r>
      <w:r w:rsidR="00777A66" w:rsidRPr="00BA6590">
        <w:rPr>
          <w:lang w:val="en-GB"/>
        </w:rPr>
        <w:t xml:space="preserve"> of 23 March 1995</w:t>
      </w:r>
      <w:r w:rsidRPr="00BA6590">
        <w:rPr>
          <w:lang w:val="en-GB"/>
        </w:rPr>
        <w:t>.</w:t>
      </w:r>
      <w:r w:rsidR="00617E8D" w:rsidRPr="00BA6590">
        <w:rPr>
          <w:lang w:val="en-GB"/>
        </w:rPr>
        <w:t xml:space="preserve"> </w:t>
      </w:r>
      <w:r w:rsidR="004C0053" w:rsidRPr="00BA6590">
        <w:rPr>
          <w:lang w:val="en-GB"/>
        </w:rPr>
        <w:t xml:space="preserve">This is true of the Walloon code on local democracy and decentralization, which provides that those convicted of such acts are ineligible for election to the municipal council, the provincial council or the sectoral council for 18 years following their conviction. </w:t>
      </w:r>
    </w:p>
    <w:p w:rsidR="00333E83" w:rsidRPr="00BA6590" w:rsidRDefault="00333E83" w:rsidP="00333E83">
      <w:pPr>
        <w:pStyle w:val="H23G"/>
        <w:rPr>
          <w:lang w:val="en-GB"/>
        </w:rPr>
      </w:pPr>
      <w:r w:rsidRPr="00BA6590">
        <w:rPr>
          <w:lang w:val="en-GB"/>
        </w:rPr>
        <w:tab/>
        <w:t>3.</w:t>
      </w:r>
      <w:r w:rsidRPr="00BA6590">
        <w:rPr>
          <w:lang w:val="en-GB"/>
        </w:rPr>
        <w:tab/>
      </w:r>
      <w:r w:rsidR="00F252DB" w:rsidRPr="00BA6590">
        <w:rPr>
          <w:lang w:val="en-GB"/>
        </w:rPr>
        <w:t>Punishment of racist violence by courts of law</w:t>
      </w:r>
    </w:p>
    <w:p w:rsidR="00333E83" w:rsidRPr="00BA6590" w:rsidRDefault="00333E83" w:rsidP="00333E83">
      <w:pPr>
        <w:pStyle w:val="SingleTxtG"/>
        <w:rPr>
          <w:lang w:val="en-GB"/>
        </w:rPr>
      </w:pPr>
      <w:r w:rsidRPr="00BA6590">
        <w:rPr>
          <w:lang w:val="en-GB"/>
        </w:rPr>
        <w:t>40.</w:t>
      </w:r>
      <w:r w:rsidRPr="00BA6590">
        <w:rPr>
          <w:lang w:val="en-GB"/>
        </w:rPr>
        <w:tab/>
      </w:r>
      <w:r w:rsidR="00F252DB" w:rsidRPr="00BA6590">
        <w:rPr>
          <w:lang w:val="en-GB"/>
        </w:rPr>
        <w:t>Since the new anti-discrimination legislation entered into force, the Belgian courts have mentioned racist motivation in a number of their decisions.</w:t>
      </w:r>
      <w:r w:rsidR="00422D4F" w:rsidRPr="00BA6590">
        <w:rPr>
          <w:rStyle w:val="FootnoteReference"/>
          <w:lang w:val="en-GB"/>
        </w:rPr>
        <w:footnoteReference w:id="12"/>
      </w:r>
      <w:r w:rsidRPr="00BA6590">
        <w:rPr>
          <w:lang w:val="en-GB"/>
        </w:rPr>
        <w:t xml:space="preserve"> </w:t>
      </w:r>
    </w:p>
    <w:p w:rsidR="00333E83" w:rsidRPr="00BA6590" w:rsidRDefault="00333E83" w:rsidP="00BA355C">
      <w:pPr>
        <w:pStyle w:val="SingleTxtG"/>
        <w:rPr>
          <w:lang w:val="en-GB"/>
        </w:rPr>
      </w:pPr>
      <w:r w:rsidRPr="00BA6590">
        <w:rPr>
          <w:lang w:val="en-GB"/>
        </w:rPr>
        <w:t>41.</w:t>
      </w:r>
      <w:r w:rsidRPr="00BA6590">
        <w:rPr>
          <w:lang w:val="en-GB"/>
        </w:rPr>
        <w:tab/>
      </w:r>
      <w:r w:rsidR="00F252DB" w:rsidRPr="00BA6590">
        <w:rPr>
          <w:lang w:val="en-GB"/>
        </w:rPr>
        <w:t>On</w:t>
      </w:r>
      <w:r w:rsidRPr="00BA6590">
        <w:rPr>
          <w:lang w:val="en-GB"/>
        </w:rPr>
        <w:t xml:space="preserve"> 12 </w:t>
      </w:r>
      <w:r w:rsidR="00F252DB" w:rsidRPr="00BA6590">
        <w:rPr>
          <w:lang w:val="en-GB"/>
        </w:rPr>
        <w:t>October</w:t>
      </w:r>
      <w:r w:rsidRPr="00BA6590">
        <w:rPr>
          <w:lang w:val="en-GB"/>
        </w:rPr>
        <w:t xml:space="preserve"> 2007, Hans Van Themsche, </w:t>
      </w:r>
      <w:r w:rsidR="00F252DB" w:rsidRPr="00BA6590">
        <w:rPr>
          <w:lang w:val="en-GB"/>
        </w:rPr>
        <w:t xml:space="preserve">aged </w:t>
      </w:r>
      <w:r w:rsidRPr="00BA6590">
        <w:rPr>
          <w:lang w:val="en-GB"/>
        </w:rPr>
        <w:t>19,</w:t>
      </w:r>
      <w:r w:rsidR="00F252DB" w:rsidRPr="00BA6590">
        <w:rPr>
          <w:lang w:val="en-GB"/>
        </w:rPr>
        <w:t xml:space="preserve"> received a life sentence from the </w:t>
      </w:r>
      <w:r w:rsidRPr="00BA6590">
        <w:rPr>
          <w:i/>
          <w:lang w:val="en-GB"/>
        </w:rPr>
        <w:t>Cour d</w:t>
      </w:r>
      <w:r w:rsidR="00A216FB" w:rsidRPr="00BA6590">
        <w:rPr>
          <w:i/>
          <w:lang w:val="en-GB"/>
        </w:rPr>
        <w:t>’</w:t>
      </w:r>
      <w:r w:rsidRPr="00BA6590">
        <w:rPr>
          <w:i/>
          <w:lang w:val="en-GB"/>
        </w:rPr>
        <w:t>assises</w:t>
      </w:r>
      <w:r w:rsidR="004C0053" w:rsidRPr="00BA6590">
        <w:rPr>
          <w:i/>
          <w:lang w:val="en-GB"/>
        </w:rPr>
        <w:t xml:space="preserve"> </w:t>
      </w:r>
      <w:r w:rsidR="004C0053" w:rsidRPr="00BA6590">
        <w:rPr>
          <w:lang w:val="en-GB"/>
        </w:rPr>
        <w:t>(criminal court)</w:t>
      </w:r>
      <w:r w:rsidRPr="00BA6590">
        <w:rPr>
          <w:lang w:val="en-GB"/>
        </w:rPr>
        <w:t xml:space="preserve"> </w:t>
      </w:r>
      <w:r w:rsidR="00F252DB" w:rsidRPr="00BA6590">
        <w:rPr>
          <w:lang w:val="en-GB"/>
        </w:rPr>
        <w:t xml:space="preserve">of Antwerp. In 2006, </w:t>
      </w:r>
      <w:r w:rsidR="00EF77AA" w:rsidRPr="00BA6590">
        <w:rPr>
          <w:lang w:val="en-GB"/>
        </w:rPr>
        <w:t xml:space="preserve">in the streets of Antwerp, </w:t>
      </w:r>
      <w:r w:rsidR="00E91B8C">
        <w:rPr>
          <w:lang w:val="en-GB"/>
        </w:rPr>
        <w:t xml:space="preserve">he had shot dead a 2 </w:t>
      </w:r>
      <w:r w:rsidR="00F252DB" w:rsidRPr="00BA6590">
        <w:rPr>
          <w:lang w:val="en-GB"/>
        </w:rPr>
        <w:t>year-old girl and her Malian wet nurse and attempted to kill a Turkish woman</w:t>
      </w:r>
      <w:r w:rsidR="00EF77AA" w:rsidRPr="00BA6590">
        <w:rPr>
          <w:lang w:val="en-GB"/>
        </w:rPr>
        <w:t>,</w:t>
      </w:r>
      <w:r w:rsidR="00F252DB" w:rsidRPr="00BA6590">
        <w:rPr>
          <w:lang w:val="en-GB"/>
        </w:rPr>
        <w:t xml:space="preserve"> with the </w:t>
      </w:r>
      <w:r w:rsidR="00EF77AA" w:rsidRPr="00BA6590">
        <w:rPr>
          <w:lang w:val="en-GB"/>
        </w:rPr>
        <w:t>avowe</w:t>
      </w:r>
      <w:r w:rsidR="00F252DB" w:rsidRPr="00BA6590">
        <w:rPr>
          <w:lang w:val="en-GB"/>
        </w:rPr>
        <w:t xml:space="preserve">d intention of killing as many foreigners as possible. The aggravating circumstance of racism was </w:t>
      </w:r>
      <w:r w:rsidR="00E34857" w:rsidRPr="00BA6590">
        <w:rPr>
          <w:lang w:val="en-GB"/>
        </w:rPr>
        <w:t xml:space="preserve">taken into account by the court. </w:t>
      </w:r>
    </w:p>
    <w:p w:rsidR="005A778F" w:rsidRPr="00BA6590" w:rsidRDefault="005A778F" w:rsidP="00333E83">
      <w:pPr>
        <w:pStyle w:val="SingleTxtG"/>
        <w:rPr>
          <w:lang w:val="en-GB"/>
        </w:rPr>
      </w:pPr>
      <w:r w:rsidRPr="00BA6590">
        <w:rPr>
          <w:lang w:val="en-GB"/>
        </w:rPr>
        <w:t>42.</w:t>
      </w:r>
      <w:r w:rsidRPr="00BA6590">
        <w:rPr>
          <w:lang w:val="en-GB"/>
        </w:rPr>
        <w:tab/>
      </w:r>
      <w:r w:rsidR="00AA2F52" w:rsidRPr="00BA6590">
        <w:rPr>
          <w:lang w:val="en-GB"/>
        </w:rPr>
        <w:t xml:space="preserve">In its decision of </w:t>
      </w:r>
      <w:r w:rsidRPr="00BA6590">
        <w:rPr>
          <w:lang w:val="en-GB"/>
        </w:rPr>
        <w:t xml:space="preserve">14 </w:t>
      </w:r>
      <w:r w:rsidR="00AA2F52" w:rsidRPr="00BA6590">
        <w:rPr>
          <w:lang w:val="en-GB"/>
        </w:rPr>
        <w:t>M</w:t>
      </w:r>
      <w:r w:rsidRPr="00BA6590">
        <w:rPr>
          <w:lang w:val="en-GB"/>
        </w:rPr>
        <w:t>ar</w:t>
      </w:r>
      <w:r w:rsidR="00AA2F52" w:rsidRPr="00BA6590">
        <w:rPr>
          <w:lang w:val="en-GB"/>
        </w:rPr>
        <w:t>ch</w:t>
      </w:r>
      <w:r w:rsidRPr="00BA6590">
        <w:rPr>
          <w:lang w:val="en-GB"/>
        </w:rPr>
        <w:t xml:space="preserve"> 2008,</w:t>
      </w:r>
      <w:r w:rsidR="00AA2F52" w:rsidRPr="00BA6590">
        <w:rPr>
          <w:lang w:val="en-GB"/>
        </w:rPr>
        <w:t xml:space="preserve"> the </w:t>
      </w:r>
      <w:r w:rsidRPr="00BA6590">
        <w:rPr>
          <w:i/>
          <w:lang w:val="en-GB"/>
        </w:rPr>
        <w:t>Cour d</w:t>
      </w:r>
      <w:r w:rsidR="00A216FB" w:rsidRPr="00BA6590">
        <w:rPr>
          <w:i/>
          <w:lang w:val="en-GB"/>
        </w:rPr>
        <w:t>’</w:t>
      </w:r>
      <w:r w:rsidRPr="00BA6590">
        <w:rPr>
          <w:i/>
          <w:lang w:val="en-GB"/>
        </w:rPr>
        <w:t>assises</w:t>
      </w:r>
      <w:r w:rsidRPr="00BA6590">
        <w:rPr>
          <w:lang w:val="en-GB"/>
        </w:rPr>
        <w:t xml:space="preserve"> </w:t>
      </w:r>
      <w:r w:rsidR="00AA2F52" w:rsidRPr="00BA6590">
        <w:rPr>
          <w:lang w:val="en-GB"/>
        </w:rPr>
        <w:t>of</w:t>
      </w:r>
      <w:r w:rsidRPr="00BA6590">
        <w:rPr>
          <w:lang w:val="en-GB"/>
        </w:rPr>
        <w:t xml:space="preserve"> Hainaut</w:t>
      </w:r>
      <w:r w:rsidR="00AA2F52" w:rsidRPr="00BA6590">
        <w:rPr>
          <w:lang w:val="en-GB"/>
        </w:rPr>
        <w:t xml:space="preserve"> convicted three young men of attempted murder after they had, as an act of vengeance, thrown a Molotov cocktail at black prostitutes in the </w:t>
      </w:r>
      <w:r w:rsidRPr="00BA6590">
        <w:rPr>
          <w:lang w:val="en-GB"/>
        </w:rPr>
        <w:t>Charleroi</w:t>
      </w:r>
      <w:r w:rsidR="00AA2F52" w:rsidRPr="00BA6590">
        <w:rPr>
          <w:lang w:val="en-GB"/>
        </w:rPr>
        <w:t xml:space="preserve"> area</w:t>
      </w:r>
      <w:r w:rsidRPr="00BA6590">
        <w:rPr>
          <w:lang w:val="en-GB"/>
        </w:rPr>
        <w:t>.</w:t>
      </w:r>
      <w:r w:rsidR="00AA2F52" w:rsidRPr="00BA6590">
        <w:rPr>
          <w:lang w:val="en-GB"/>
        </w:rPr>
        <w:t xml:space="preserve"> The court sentenced the attackers to 15, 18 and 20 years</w:t>
      </w:r>
      <w:r w:rsidR="00A216FB" w:rsidRPr="00BA6590">
        <w:rPr>
          <w:lang w:val="en-GB"/>
        </w:rPr>
        <w:t>’</w:t>
      </w:r>
      <w:r w:rsidR="00AA2F52" w:rsidRPr="00BA6590">
        <w:rPr>
          <w:lang w:val="en-GB"/>
        </w:rPr>
        <w:t xml:space="preserve"> imprisonment respectively. </w:t>
      </w:r>
    </w:p>
    <w:p w:rsidR="005A778F" w:rsidRPr="00BA6590" w:rsidRDefault="005A778F" w:rsidP="005A778F">
      <w:pPr>
        <w:pStyle w:val="H1G"/>
        <w:rPr>
          <w:lang w:val="en-GB"/>
        </w:rPr>
      </w:pPr>
      <w:r w:rsidRPr="00BA6590">
        <w:rPr>
          <w:lang w:val="en-GB"/>
        </w:rPr>
        <w:tab/>
        <w:t>C.</w:t>
      </w:r>
      <w:r w:rsidRPr="00BA6590">
        <w:rPr>
          <w:lang w:val="en-GB"/>
        </w:rPr>
        <w:tab/>
      </w:r>
      <w:r w:rsidR="00AA2F52" w:rsidRPr="00BA6590">
        <w:rPr>
          <w:lang w:val="en-GB"/>
        </w:rPr>
        <w:t>Other</w:t>
      </w:r>
      <w:r w:rsidRPr="00BA6590">
        <w:rPr>
          <w:lang w:val="en-GB"/>
        </w:rPr>
        <w:t xml:space="preserve"> me</w:t>
      </w:r>
      <w:r w:rsidR="00AA2F52" w:rsidRPr="00BA6590">
        <w:rPr>
          <w:lang w:val="en-GB"/>
        </w:rPr>
        <w:t>a</w:t>
      </w:r>
      <w:r w:rsidRPr="00BA6590">
        <w:rPr>
          <w:lang w:val="en-GB"/>
        </w:rPr>
        <w:t>sures</w:t>
      </w:r>
    </w:p>
    <w:p w:rsidR="00782829" w:rsidRPr="00BA6590" w:rsidRDefault="00422D4F" w:rsidP="00422D4F">
      <w:pPr>
        <w:pStyle w:val="H23G"/>
        <w:rPr>
          <w:lang w:val="en-GB"/>
        </w:rPr>
      </w:pPr>
      <w:r w:rsidRPr="00BA6590">
        <w:rPr>
          <w:lang w:val="en-GB"/>
        </w:rPr>
        <w:tab/>
      </w:r>
      <w:r w:rsidR="00782829" w:rsidRPr="00BA6590">
        <w:rPr>
          <w:lang w:val="en-GB"/>
        </w:rPr>
        <w:t>1</w:t>
      </w:r>
      <w:r w:rsidRPr="00BA6590">
        <w:rPr>
          <w:lang w:val="en-GB"/>
        </w:rPr>
        <w:t>.</w:t>
      </w:r>
      <w:r w:rsidRPr="00BA6590">
        <w:rPr>
          <w:lang w:val="en-GB"/>
        </w:rPr>
        <w:tab/>
      </w:r>
      <w:r w:rsidR="00AA2F52" w:rsidRPr="00BA6590">
        <w:rPr>
          <w:lang w:val="en-GB"/>
        </w:rPr>
        <w:t>Promoting awareness in target groups</w:t>
      </w:r>
    </w:p>
    <w:p w:rsidR="00782829" w:rsidRPr="00BA6590" w:rsidRDefault="00422D4F" w:rsidP="00422D4F">
      <w:pPr>
        <w:pStyle w:val="H4G"/>
        <w:rPr>
          <w:lang w:val="en-GB"/>
        </w:rPr>
      </w:pPr>
      <w:r w:rsidRPr="00BA6590">
        <w:rPr>
          <w:lang w:val="en-GB"/>
        </w:rPr>
        <w:tab/>
      </w:r>
      <w:r w:rsidRPr="00BA6590">
        <w:rPr>
          <w:lang w:val="en-GB"/>
        </w:rPr>
        <w:tab/>
      </w:r>
      <w:r w:rsidR="00AA2F52" w:rsidRPr="00BA6590">
        <w:rPr>
          <w:lang w:val="en-GB"/>
        </w:rPr>
        <w:t>Actions to promote awareness among judges and prosecutors</w:t>
      </w:r>
    </w:p>
    <w:p w:rsidR="00782829" w:rsidRPr="00BA6590" w:rsidRDefault="00782829" w:rsidP="00782829">
      <w:pPr>
        <w:pStyle w:val="SingleTxtG"/>
        <w:rPr>
          <w:lang w:val="en-GB"/>
        </w:rPr>
      </w:pPr>
      <w:r w:rsidRPr="00BA6590">
        <w:rPr>
          <w:lang w:val="en-GB"/>
        </w:rPr>
        <w:t>43.</w:t>
      </w:r>
      <w:r w:rsidRPr="00BA6590">
        <w:rPr>
          <w:lang w:val="en-GB"/>
        </w:rPr>
        <w:tab/>
      </w:r>
      <w:r w:rsidR="00870C7C" w:rsidRPr="00BA6590">
        <w:rPr>
          <w:lang w:val="en-GB"/>
        </w:rPr>
        <w:t>The</w:t>
      </w:r>
      <w:r w:rsidR="004C0053" w:rsidRPr="00BA6590">
        <w:rPr>
          <w:i/>
          <w:lang w:val="en-GB"/>
        </w:rPr>
        <w:t xml:space="preserve"> </w:t>
      </w:r>
      <w:r w:rsidR="00870C7C" w:rsidRPr="00BA6590">
        <w:rPr>
          <w:lang w:val="en-GB"/>
        </w:rPr>
        <w:t>Judicial Training Institute</w:t>
      </w:r>
      <w:r w:rsidR="00EF77AA" w:rsidRPr="00BA6590">
        <w:rPr>
          <w:lang w:val="en-GB"/>
        </w:rPr>
        <w:t xml:space="preserve"> </w:t>
      </w:r>
      <w:r w:rsidR="00777A66" w:rsidRPr="00BA6590">
        <w:rPr>
          <w:lang w:val="en-GB"/>
        </w:rPr>
        <w:t xml:space="preserve">was created under the </w:t>
      </w:r>
      <w:r w:rsidR="00870C7C" w:rsidRPr="00BA6590">
        <w:rPr>
          <w:lang w:val="en-GB"/>
        </w:rPr>
        <w:t xml:space="preserve">Act </w:t>
      </w:r>
      <w:r w:rsidR="00EF77AA" w:rsidRPr="00BA6590">
        <w:rPr>
          <w:lang w:val="en-GB"/>
        </w:rPr>
        <w:t>of</w:t>
      </w:r>
      <w:r w:rsidR="00870C7C" w:rsidRPr="00BA6590">
        <w:rPr>
          <w:lang w:val="en-GB"/>
        </w:rPr>
        <w:t xml:space="preserve"> </w:t>
      </w:r>
      <w:r w:rsidRPr="00BA6590">
        <w:rPr>
          <w:lang w:val="en-GB"/>
        </w:rPr>
        <w:t xml:space="preserve">31 </w:t>
      </w:r>
      <w:r w:rsidR="00870C7C" w:rsidRPr="00BA6590">
        <w:rPr>
          <w:lang w:val="en-GB"/>
        </w:rPr>
        <w:t>January</w:t>
      </w:r>
      <w:r w:rsidRPr="00BA6590">
        <w:rPr>
          <w:lang w:val="en-GB"/>
        </w:rPr>
        <w:t xml:space="preserve"> 2007</w:t>
      </w:r>
      <w:r w:rsidR="00777A66" w:rsidRPr="00BA6590">
        <w:rPr>
          <w:lang w:val="en-GB"/>
        </w:rPr>
        <w:t>; this</w:t>
      </w:r>
      <w:r w:rsidR="00EF77AA" w:rsidRPr="00BA6590">
        <w:rPr>
          <w:lang w:val="en-GB"/>
        </w:rPr>
        <w:t xml:space="preserve"> established an</w:t>
      </w:r>
      <w:r w:rsidR="00870C7C" w:rsidRPr="00BA6590">
        <w:rPr>
          <w:lang w:val="en-GB"/>
        </w:rPr>
        <w:t xml:space="preserve"> independent federal body responsible for designing and implementing the integrated policy for the development and training of judges and other officials in the judicial system in order to promote high-quality justice. </w:t>
      </w:r>
    </w:p>
    <w:p w:rsidR="00782829" w:rsidRPr="00BA6590" w:rsidRDefault="00782829" w:rsidP="00782829">
      <w:pPr>
        <w:pStyle w:val="SingleTxtG"/>
        <w:rPr>
          <w:lang w:val="en-GB"/>
        </w:rPr>
      </w:pPr>
      <w:r w:rsidRPr="00BA6590">
        <w:rPr>
          <w:lang w:val="en-GB"/>
        </w:rPr>
        <w:t>44.</w:t>
      </w:r>
      <w:r w:rsidRPr="00BA6590">
        <w:rPr>
          <w:lang w:val="en-GB"/>
        </w:rPr>
        <w:tab/>
      </w:r>
      <w:r w:rsidR="00870C7C" w:rsidRPr="00BA6590">
        <w:rPr>
          <w:lang w:val="en-GB"/>
        </w:rPr>
        <w:t xml:space="preserve">During the period covered by this report, the Institute organized a number of training days </w:t>
      </w:r>
      <w:r w:rsidRPr="00BA6590">
        <w:rPr>
          <w:lang w:val="en-GB"/>
        </w:rPr>
        <w:t>(</w:t>
      </w:r>
      <w:r w:rsidR="00870C7C" w:rsidRPr="00BA6590">
        <w:rPr>
          <w:lang w:val="en-GB"/>
        </w:rPr>
        <w:t>one i</w:t>
      </w:r>
      <w:r w:rsidRPr="00BA6590">
        <w:rPr>
          <w:lang w:val="en-GB"/>
        </w:rPr>
        <w:t xml:space="preserve">n 2007 </w:t>
      </w:r>
      <w:r w:rsidR="00870C7C" w:rsidRPr="00BA6590">
        <w:rPr>
          <w:lang w:val="en-GB"/>
        </w:rPr>
        <w:t xml:space="preserve">and two sessions of two days each in </w:t>
      </w:r>
      <w:r w:rsidRPr="00BA6590">
        <w:rPr>
          <w:lang w:val="en-GB"/>
        </w:rPr>
        <w:t xml:space="preserve">2008 </w:t>
      </w:r>
      <w:r w:rsidR="00870C7C" w:rsidRPr="00BA6590">
        <w:rPr>
          <w:lang w:val="en-GB"/>
        </w:rPr>
        <w:t>and</w:t>
      </w:r>
      <w:r w:rsidRPr="00BA6590">
        <w:rPr>
          <w:lang w:val="en-GB"/>
        </w:rPr>
        <w:t xml:space="preserve"> 2012)</w:t>
      </w:r>
      <w:r w:rsidR="00870C7C" w:rsidRPr="00BA6590">
        <w:rPr>
          <w:lang w:val="en-GB"/>
        </w:rPr>
        <w:t xml:space="preserve"> devoted to combating various forms of discrimination, including racial discrimination</w:t>
      </w:r>
      <w:r w:rsidRPr="00BA6590">
        <w:rPr>
          <w:lang w:val="en-GB"/>
        </w:rPr>
        <w:t>.</w:t>
      </w:r>
    </w:p>
    <w:p w:rsidR="00782829" w:rsidRPr="00BA6590" w:rsidRDefault="00782829" w:rsidP="00782829">
      <w:pPr>
        <w:pStyle w:val="SingleTxtG"/>
        <w:rPr>
          <w:lang w:val="en-GB"/>
        </w:rPr>
      </w:pPr>
      <w:r w:rsidRPr="00BA6590">
        <w:rPr>
          <w:lang w:val="en-GB"/>
        </w:rPr>
        <w:t>45.</w:t>
      </w:r>
      <w:r w:rsidRPr="00BA6590">
        <w:rPr>
          <w:lang w:val="en-GB"/>
        </w:rPr>
        <w:tab/>
      </w:r>
      <w:r w:rsidR="0077417C" w:rsidRPr="00BA6590">
        <w:rPr>
          <w:lang w:val="en-GB"/>
        </w:rPr>
        <w:t>This training activity is designed for judges</w:t>
      </w:r>
      <w:r w:rsidRPr="00BA6590">
        <w:rPr>
          <w:lang w:val="en-GB"/>
        </w:rPr>
        <w:t xml:space="preserve">, </w:t>
      </w:r>
      <w:r w:rsidR="0077417C" w:rsidRPr="00BA6590">
        <w:rPr>
          <w:lang w:val="en-GB"/>
        </w:rPr>
        <w:t>judicial trainees</w:t>
      </w:r>
      <w:r w:rsidRPr="00BA6590">
        <w:rPr>
          <w:lang w:val="en-GB"/>
        </w:rPr>
        <w:t>,</w:t>
      </w:r>
      <w:r w:rsidR="0077417C" w:rsidRPr="00BA6590">
        <w:rPr>
          <w:lang w:val="en-GB"/>
        </w:rPr>
        <w:t xml:space="preserve"> legal clerks and prosecution lawyers, clerks of the court and judicial assistants. The purpose is to make participants aware of the various instruments provided by the legislators and the guiding principles for dealing with the challenge represented by the emergence in Belgian society of the concept of </w:t>
      </w:r>
      <w:r w:rsidR="00A216FB" w:rsidRPr="00BA6590">
        <w:rPr>
          <w:lang w:val="en-GB"/>
        </w:rPr>
        <w:t>“</w:t>
      </w:r>
      <w:r w:rsidR="0077417C" w:rsidRPr="00BA6590">
        <w:rPr>
          <w:lang w:val="en-GB"/>
        </w:rPr>
        <w:t>otherness in diversity</w:t>
      </w:r>
      <w:r w:rsidR="00A216FB" w:rsidRPr="00BA6590">
        <w:rPr>
          <w:lang w:val="en-GB"/>
        </w:rPr>
        <w:t>”</w:t>
      </w:r>
      <w:r w:rsidR="0077417C" w:rsidRPr="00BA6590">
        <w:rPr>
          <w:lang w:val="en-GB"/>
        </w:rPr>
        <w:t xml:space="preserve">, aiming to ensure equality for all in all aspects of society. </w:t>
      </w:r>
    </w:p>
    <w:p w:rsidR="00782829" w:rsidRPr="00BA6590" w:rsidRDefault="00422D4F" w:rsidP="00422D4F">
      <w:pPr>
        <w:pStyle w:val="H4G"/>
        <w:rPr>
          <w:lang w:val="en-GB"/>
        </w:rPr>
      </w:pPr>
      <w:r w:rsidRPr="00BA6590">
        <w:rPr>
          <w:lang w:val="en-GB"/>
        </w:rPr>
        <w:tab/>
      </w:r>
      <w:r w:rsidRPr="00BA6590">
        <w:rPr>
          <w:lang w:val="en-GB"/>
        </w:rPr>
        <w:tab/>
      </w:r>
      <w:r w:rsidR="00755FAA" w:rsidRPr="00BA6590">
        <w:rPr>
          <w:lang w:val="en-GB"/>
        </w:rPr>
        <w:t>Awareness and training for police officers and prison staff</w:t>
      </w:r>
    </w:p>
    <w:p w:rsidR="00782829" w:rsidRPr="00BA6590" w:rsidRDefault="00782829" w:rsidP="00782829">
      <w:pPr>
        <w:pStyle w:val="SingleTxtG"/>
        <w:rPr>
          <w:lang w:val="en-GB"/>
        </w:rPr>
      </w:pPr>
      <w:r w:rsidRPr="00BA6590">
        <w:rPr>
          <w:lang w:val="en-GB"/>
        </w:rPr>
        <w:t>46.</w:t>
      </w:r>
      <w:r w:rsidRPr="00BA6590">
        <w:rPr>
          <w:lang w:val="en-GB"/>
        </w:rPr>
        <w:tab/>
      </w:r>
      <w:r w:rsidR="00087132" w:rsidRPr="00BA6590">
        <w:rPr>
          <w:lang w:val="en-GB"/>
        </w:rPr>
        <w:t>R</w:t>
      </w:r>
      <w:r w:rsidRPr="00BA6590">
        <w:rPr>
          <w:lang w:val="en-GB"/>
        </w:rPr>
        <w:t>espect</w:t>
      </w:r>
      <w:r w:rsidR="00087132" w:rsidRPr="00BA6590">
        <w:rPr>
          <w:lang w:val="en-GB"/>
        </w:rPr>
        <w:t xml:space="preserve"> for human rights (including the general principle of non-discrimination) is the central theme of the training of all police officers throughout their careers</w:t>
      </w:r>
      <w:r w:rsidR="00EF77AA" w:rsidRPr="00BA6590">
        <w:rPr>
          <w:lang w:val="en-GB"/>
        </w:rPr>
        <w:t>, where t</w:t>
      </w:r>
      <w:r w:rsidR="002B5C73" w:rsidRPr="00BA6590">
        <w:rPr>
          <w:lang w:val="en-GB"/>
        </w:rPr>
        <w:t xml:space="preserve">hey learn the national and international </w:t>
      </w:r>
      <w:r w:rsidR="00EF77AA" w:rsidRPr="00BA6590">
        <w:rPr>
          <w:lang w:val="en-GB"/>
        </w:rPr>
        <w:t>legal frameworks</w:t>
      </w:r>
      <w:r w:rsidR="002B5C73" w:rsidRPr="00BA6590">
        <w:rPr>
          <w:lang w:val="en-GB"/>
        </w:rPr>
        <w:t xml:space="preserve"> which will guide all their actions. All this training is regulated and subject to a continuous process of evaluation and improvement.</w:t>
      </w:r>
      <w:r w:rsidR="00030286" w:rsidRPr="00BA6590">
        <w:rPr>
          <w:lang w:val="en-GB"/>
        </w:rPr>
        <w:t xml:space="preserve"> During their basic training they are specifically taught how to intervene </w:t>
      </w:r>
      <w:r w:rsidR="00EC6A3E" w:rsidRPr="00BA6590">
        <w:rPr>
          <w:lang w:val="en-GB"/>
        </w:rPr>
        <w:t xml:space="preserve">in </w:t>
      </w:r>
      <w:r w:rsidR="00030286" w:rsidRPr="00BA6590">
        <w:rPr>
          <w:lang w:val="en-GB"/>
        </w:rPr>
        <w:t>and</w:t>
      </w:r>
      <w:r w:rsidR="00EC6A3E" w:rsidRPr="00BA6590">
        <w:rPr>
          <w:lang w:val="en-GB"/>
        </w:rPr>
        <w:t xml:space="preserve"> report on </w:t>
      </w:r>
      <w:r w:rsidR="00030286" w:rsidRPr="00BA6590">
        <w:rPr>
          <w:lang w:val="en-GB"/>
        </w:rPr>
        <w:t xml:space="preserve">offences against </w:t>
      </w:r>
      <w:r w:rsidRPr="00BA6590">
        <w:rPr>
          <w:lang w:val="en-GB"/>
        </w:rPr>
        <w:t>anti-discrimination</w:t>
      </w:r>
      <w:r w:rsidR="00030286" w:rsidRPr="00BA6590">
        <w:rPr>
          <w:lang w:val="en-GB"/>
        </w:rPr>
        <w:t xml:space="preserve"> and anti-racism laws.</w:t>
      </w:r>
      <w:r w:rsidR="005558E9" w:rsidRPr="00BA6590">
        <w:rPr>
          <w:lang w:val="en-GB"/>
        </w:rPr>
        <w:t xml:space="preserve"> Continuing training is also given in relation to the legal framework and the application of the law. Police officers are also trained in managing diversity and intercultural dialogue. Under an agreement between the </w:t>
      </w:r>
      <w:r w:rsidR="004B472D" w:rsidRPr="00BA6590">
        <w:rPr>
          <w:lang w:val="en-GB"/>
        </w:rPr>
        <w:t>Centre for Equal Opportunities and Action</w:t>
      </w:r>
      <w:r w:rsidR="005558E9" w:rsidRPr="00BA6590">
        <w:rPr>
          <w:lang w:val="en-GB"/>
        </w:rPr>
        <w:t xml:space="preserve"> to Combat Racism and the Federal Police, the Centre provides many training courses to the police and joint activities are conducted </w:t>
      </w:r>
      <w:r w:rsidRPr="00BA6590">
        <w:rPr>
          <w:lang w:val="en-GB"/>
        </w:rPr>
        <w:t>(</w:t>
      </w:r>
      <w:r w:rsidR="005558E9" w:rsidRPr="00BA6590">
        <w:rPr>
          <w:lang w:val="en-GB"/>
        </w:rPr>
        <w:t xml:space="preserve">Activity report </w:t>
      </w:r>
      <w:r w:rsidRPr="00BA6590">
        <w:rPr>
          <w:lang w:val="en-GB"/>
        </w:rPr>
        <w:t>2011, annex I).</w:t>
      </w:r>
    </w:p>
    <w:p w:rsidR="00782829" w:rsidRPr="00BA6590" w:rsidRDefault="00782829" w:rsidP="003057DC">
      <w:pPr>
        <w:pStyle w:val="SingleTxtG"/>
        <w:rPr>
          <w:lang w:val="en-GB"/>
        </w:rPr>
      </w:pPr>
      <w:r w:rsidRPr="00BA6590">
        <w:rPr>
          <w:lang w:val="en-GB"/>
        </w:rPr>
        <w:t>47.</w:t>
      </w:r>
      <w:r w:rsidRPr="00BA6590">
        <w:rPr>
          <w:lang w:val="en-GB"/>
        </w:rPr>
        <w:tab/>
      </w:r>
      <w:r w:rsidR="00FA2B02" w:rsidRPr="00BA6590">
        <w:rPr>
          <w:lang w:val="en-GB"/>
        </w:rPr>
        <w:t>The training of prison staff, including those working in federal centres for minors and psychiatric patients, has a strong human-rights orientation. It includes 17 hours</w:t>
      </w:r>
      <w:r w:rsidR="00A216FB" w:rsidRPr="00BA6590">
        <w:rPr>
          <w:lang w:val="en-GB"/>
        </w:rPr>
        <w:t>’</w:t>
      </w:r>
      <w:r w:rsidR="00FA2B02" w:rsidRPr="00BA6590">
        <w:rPr>
          <w:lang w:val="en-GB"/>
        </w:rPr>
        <w:t xml:space="preserve"> initial instruction in ethics, of which six hours are spent on theory, three on case studies and eight on studying high-risk relationships. The initial training also includes a 14-hour module on the internal status of detainees. This expressly covers the European Convention on Human Rights</w:t>
      </w:r>
      <w:r w:rsidRPr="00BA6590">
        <w:rPr>
          <w:lang w:val="en-GB"/>
        </w:rPr>
        <w:t xml:space="preserve"> </w:t>
      </w:r>
      <w:r w:rsidR="003057DC" w:rsidRPr="00BA6590">
        <w:rPr>
          <w:lang w:val="en-GB"/>
        </w:rPr>
        <w:t>and the</w:t>
      </w:r>
      <w:r w:rsidRPr="00BA6590">
        <w:rPr>
          <w:lang w:val="en-GB"/>
        </w:rPr>
        <w:t xml:space="preserve"> </w:t>
      </w:r>
      <w:r w:rsidR="003057DC" w:rsidRPr="00BA6590">
        <w:rPr>
          <w:lang w:val="en-GB"/>
        </w:rPr>
        <w:t>European Convention for the Prevention of Torture and Inhuman or Degrading Treatment or Punishment</w:t>
      </w:r>
      <w:r w:rsidRPr="00BA6590">
        <w:rPr>
          <w:lang w:val="en-GB"/>
        </w:rPr>
        <w:t xml:space="preserve">, </w:t>
      </w:r>
      <w:r w:rsidR="003057DC" w:rsidRPr="00BA6590">
        <w:rPr>
          <w:lang w:val="en-GB"/>
        </w:rPr>
        <w:t>the standards developed by the</w:t>
      </w:r>
      <w:r w:rsidRPr="00BA6590">
        <w:rPr>
          <w:lang w:val="en-GB"/>
        </w:rPr>
        <w:t xml:space="preserve"> </w:t>
      </w:r>
      <w:r w:rsidR="003057DC" w:rsidRPr="00BA6590">
        <w:rPr>
          <w:lang w:val="en-GB"/>
        </w:rPr>
        <w:t xml:space="preserve">European Committee for the </w:t>
      </w:r>
      <w:r w:rsidR="00EF77AA" w:rsidRPr="00BA6590">
        <w:rPr>
          <w:lang w:val="en-GB"/>
        </w:rPr>
        <w:t>P</w:t>
      </w:r>
      <w:r w:rsidR="003057DC" w:rsidRPr="00BA6590">
        <w:rPr>
          <w:lang w:val="en-GB"/>
        </w:rPr>
        <w:t xml:space="preserve">revention of </w:t>
      </w:r>
      <w:r w:rsidR="00EF77AA" w:rsidRPr="00BA6590">
        <w:rPr>
          <w:lang w:val="en-GB"/>
        </w:rPr>
        <w:t>T</w:t>
      </w:r>
      <w:r w:rsidR="003057DC" w:rsidRPr="00BA6590">
        <w:rPr>
          <w:lang w:val="en-GB"/>
        </w:rPr>
        <w:t xml:space="preserve">orture and </w:t>
      </w:r>
      <w:r w:rsidR="00EF77AA" w:rsidRPr="00BA6590">
        <w:rPr>
          <w:lang w:val="en-GB"/>
        </w:rPr>
        <w:t>I</w:t>
      </w:r>
      <w:r w:rsidR="003057DC" w:rsidRPr="00BA6590">
        <w:rPr>
          <w:lang w:val="en-GB"/>
        </w:rPr>
        <w:t xml:space="preserve">nhuman or </w:t>
      </w:r>
      <w:r w:rsidR="00EF77AA" w:rsidRPr="00BA6590">
        <w:rPr>
          <w:lang w:val="en-GB"/>
        </w:rPr>
        <w:t>D</w:t>
      </w:r>
      <w:r w:rsidR="003057DC" w:rsidRPr="00BA6590">
        <w:rPr>
          <w:lang w:val="en-GB"/>
        </w:rPr>
        <w:t xml:space="preserve">egrading </w:t>
      </w:r>
      <w:r w:rsidR="00EF77AA" w:rsidRPr="00BA6590">
        <w:rPr>
          <w:lang w:val="en-GB"/>
        </w:rPr>
        <w:t>Treatment or P</w:t>
      </w:r>
      <w:r w:rsidR="003057DC" w:rsidRPr="00BA6590">
        <w:rPr>
          <w:lang w:val="en-GB"/>
        </w:rPr>
        <w:t>unishment (CPT)</w:t>
      </w:r>
      <w:r w:rsidRPr="00BA6590">
        <w:rPr>
          <w:lang w:val="en-GB"/>
        </w:rPr>
        <w:t xml:space="preserve"> </w:t>
      </w:r>
      <w:r w:rsidR="003057DC" w:rsidRPr="00BA6590">
        <w:rPr>
          <w:lang w:val="en-GB"/>
        </w:rPr>
        <w:t>and the</w:t>
      </w:r>
      <w:r w:rsidRPr="00BA6590">
        <w:rPr>
          <w:lang w:val="en-GB"/>
        </w:rPr>
        <w:t xml:space="preserve"> </w:t>
      </w:r>
      <w:r w:rsidR="003057DC" w:rsidRPr="00BA6590">
        <w:rPr>
          <w:lang w:val="en-GB"/>
        </w:rPr>
        <w:t>European Prison Rules</w:t>
      </w:r>
      <w:r w:rsidRPr="00BA6590">
        <w:rPr>
          <w:lang w:val="en-GB"/>
        </w:rPr>
        <w:t>.</w:t>
      </w:r>
      <w:r w:rsidR="003057DC" w:rsidRPr="00BA6590">
        <w:rPr>
          <w:lang w:val="en-GB"/>
        </w:rPr>
        <w:t xml:space="preserve"> In addition to the compulsory initial training, specific courses are available to prison staff throughout their careers. </w:t>
      </w:r>
    </w:p>
    <w:p w:rsidR="00782829" w:rsidRPr="00BA6590" w:rsidRDefault="00422D4F" w:rsidP="00422D4F">
      <w:pPr>
        <w:pStyle w:val="H4G"/>
        <w:rPr>
          <w:lang w:val="en-GB"/>
        </w:rPr>
      </w:pPr>
      <w:r w:rsidRPr="00BA6590">
        <w:rPr>
          <w:lang w:val="en-GB"/>
        </w:rPr>
        <w:tab/>
      </w:r>
      <w:r w:rsidRPr="00BA6590">
        <w:rPr>
          <w:lang w:val="en-GB"/>
        </w:rPr>
        <w:tab/>
      </w:r>
      <w:r w:rsidR="003057DC" w:rsidRPr="00BA6590">
        <w:rPr>
          <w:lang w:val="en-GB"/>
        </w:rPr>
        <w:t xml:space="preserve">Other awareness-raising activities of the </w:t>
      </w:r>
      <w:r w:rsidR="00CC6476" w:rsidRPr="00BA6590">
        <w:rPr>
          <w:lang w:val="en-GB"/>
        </w:rPr>
        <w:t>various</w:t>
      </w:r>
      <w:r w:rsidR="003057DC" w:rsidRPr="00BA6590">
        <w:rPr>
          <w:lang w:val="en-GB"/>
        </w:rPr>
        <w:t xml:space="preserve"> authorities</w:t>
      </w:r>
    </w:p>
    <w:p w:rsidR="00782829" w:rsidRPr="00BA6590" w:rsidRDefault="00782829" w:rsidP="00782829">
      <w:pPr>
        <w:pStyle w:val="SingleTxtG"/>
        <w:rPr>
          <w:lang w:val="en-GB"/>
        </w:rPr>
      </w:pPr>
      <w:r w:rsidRPr="00BA6590">
        <w:rPr>
          <w:lang w:val="en-GB"/>
        </w:rPr>
        <w:t>48.</w:t>
      </w:r>
      <w:r w:rsidRPr="00BA6590">
        <w:rPr>
          <w:lang w:val="en-GB"/>
        </w:rPr>
        <w:tab/>
      </w:r>
      <w:r w:rsidR="003057DC" w:rsidRPr="00BA6590">
        <w:rPr>
          <w:lang w:val="en-GB"/>
        </w:rPr>
        <w:t>Many activities have been conducted by the State, the Communities and the Regions</w:t>
      </w:r>
      <w:r w:rsidR="0063241B" w:rsidRPr="00BA6590">
        <w:rPr>
          <w:lang w:val="en-GB"/>
        </w:rPr>
        <w:t xml:space="preserve"> to promote diversity.</w:t>
      </w:r>
      <w:r w:rsidR="00CC6476" w:rsidRPr="00BA6590">
        <w:rPr>
          <w:lang w:val="en-GB"/>
        </w:rPr>
        <w:t xml:space="preserve"> C</w:t>
      </w:r>
      <w:r w:rsidR="0063241B" w:rsidRPr="00BA6590">
        <w:rPr>
          <w:lang w:val="en-GB"/>
        </w:rPr>
        <w:t>ombating racism and racial discrimination plays an important part</w:t>
      </w:r>
      <w:r w:rsidR="00CC6476" w:rsidRPr="00BA6590">
        <w:rPr>
          <w:lang w:val="en-GB"/>
        </w:rPr>
        <w:t xml:space="preserve"> in this context</w:t>
      </w:r>
      <w:r w:rsidR="0063241B" w:rsidRPr="00BA6590">
        <w:rPr>
          <w:lang w:val="en-GB"/>
        </w:rPr>
        <w:t xml:space="preserve">. Information campaigns on new </w:t>
      </w:r>
      <w:r w:rsidR="008E267D" w:rsidRPr="00BA6590">
        <w:rPr>
          <w:lang w:val="en-GB"/>
        </w:rPr>
        <w:t>legislative instruments</w:t>
      </w:r>
      <w:r w:rsidR="0063241B" w:rsidRPr="00BA6590">
        <w:rPr>
          <w:lang w:val="en-GB"/>
        </w:rPr>
        <w:t xml:space="preserve"> have also been organized, and a list of these events is attached to this document</w:t>
      </w:r>
      <w:r w:rsidRPr="00BA6590">
        <w:rPr>
          <w:lang w:val="en-GB"/>
        </w:rPr>
        <w:t xml:space="preserve"> (annex II)</w:t>
      </w:r>
      <w:r w:rsidR="0054009B" w:rsidRPr="00BA6590">
        <w:rPr>
          <w:lang w:val="en-GB"/>
        </w:rPr>
        <w:t>.</w:t>
      </w:r>
    </w:p>
    <w:p w:rsidR="00782829" w:rsidRPr="00BA6590" w:rsidRDefault="00422D4F" w:rsidP="00723E1B">
      <w:pPr>
        <w:pStyle w:val="H23G"/>
        <w:rPr>
          <w:lang w:val="en-GB"/>
        </w:rPr>
      </w:pPr>
      <w:r w:rsidRPr="00BA6590">
        <w:rPr>
          <w:lang w:val="en-GB"/>
        </w:rPr>
        <w:tab/>
      </w:r>
      <w:r w:rsidR="00782829" w:rsidRPr="00BA6590">
        <w:rPr>
          <w:lang w:val="en-GB"/>
        </w:rPr>
        <w:t>2</w:t>
      </w:r>
      <w:r w:rsidRPr="00BA6590">
        <w:rPr>
          <w:lang w:val="en-GB"/>
        </w:rPr>
        <w:t>.</w:t>
      </w:r>
      <w:r w:rsidRPr="00BA6590">
        <w:rPr>
          <w:lang w:val="en-GB"/>
        </w:rPr>
        <w:tab/>
      </w:r>
      <w:r w:rsidR="00782829" w:rsidRPr="00BA6590">
        <w:rPr>
          <w:lang w:val="en-GB"/>
        </w:rPr>
        <w:t>Programmes</w:t>
      </w:r>
      <w:r w:rsidR="0063241B" w:rsidRPr="00BA6590">
        <w:rPr>
          <w:lang w:val="en-GB"/>
        </w:rPr>
        <w:t xml:space="preserve"> and policies for integration</w:t>
      </w:r>
    </w:p>
    <w:p w:rsidR="00782829" w:rsidRPr="00BA6590" w:rsidRDefault="00422D4F" w:rsidP="00723E1B">
      <w:pPr>
        <w:pStyle w:val="H4G"/>
        <w:rPr>
          <w:lang w:val="en-GB"/>
        </w:rPr>
      </w:pPr>
      <w:r w:rsidRPr="00BA6590">
        <w:rPr>
          <w:lang w:val="en-GB"/>
        </w:rPr>
        <w:tab/>
      </w:r>
      <w:r w:rsidR="0063241B" w:rsidRPr="00BA6590">
        <w:rPr>
          <w:lang w:val="en-GB"/>
        </w:rPr>
        <w:t>(</w:t>
      </w:r>
      <w:r w:rsidRPr="00BA6590">
        <w:rPr>
          <w:lang w:val="en-GB"/>
        </w:rPr>
        <w:t>a)</w:t>
      </w:r>
      <w:r w:rsidRPr="00BA6590">
        <w:rPr>
          <w:lang w:val="en-GB"/>
        </w:rPr>
        <w:tab/>
      </w:r>
      <w:r w:rsidR="0063241B" w:rsidRPr="00BA6590">
        <w:rPr>
          <w:lang w:val="en-GB"/>
        </w:rPr>
        <w:t xml:space="preserve">The </w:t>
      </w:r>
      <w:r w:rsidR="00782829" w:rsidRPr="00BA6590">
        <w:rPr>
          <w:lang w:val="en-GB"/>
        </w:rPr>
        <w:t>Rom</w:t>
      </w:r>
      <w:r w:rsidR="0063241B" w:rsidRPr="00BA6590">
        <w:rPr>
          <w:lang w:val="en-GB"/>
        </w:rPr>
        <w:t>a and Travellers</w:t>
      </w:r>
      <w:r w:rsidR="008E05E9" w:rsidRPr="00BA6590">
        <w:rPr>
          <w:rStyle w:val="FootnoteReference"/>
          <w:i w:val="0"/>
          <w:lang w:val="en-GB"/>
        </w:rPr>
        <w:footnoteReference w:id="13"/>
      </w:r>
    </w:p>
    <w:p w:rsidR="00782829" w:rsidRPr="00BA6590" w:rsidRDefault="00422D4F" w:rsidP="00422D4F">
      <w:pPr>
        <w:pStyle w:val="H56G"/>
        <w:rPr>
          <w:lang w:val="en-GB"/>
        </w:rPr>
      </w:pPr>
      <w:r w:rsidRPr="00BA6590">
        <w:rPr>
          <w:lang w:val="en-GB"/>
        </w:rPr>
        <w:tab/>
      </w:r>
      <w:r w:rsidR="0063241B" w:rsidRPr="00BA6590">
        <w:rPr>
          <w:lang w:val="en-GB"/>
        </w:rPr>
        <w:t>(</w:t>
      </w:r>
      <w:r w:rsidRPr="00BA6590">
        <w:rPr>
          <w:lang w:val="en-GB"/>
        </w:rPr>
        <w:t>i)</w:t>
      </w:r>
      <w:r w:rsidRPr="00BA6590">
        <w:rPr>
          <w:lang w:val="en-GB"/>
        </w:rPr>
        <w:tab/>
      </w:r>
      <w:r w:rsidR="0063241B" w:rsidRPr="00BA6590">
        <w:rPr>
          <w:lang w:val="en-GB"/>
        </w:rPr>
        <w:t>National strateg</w:t>
      </w:r>
      <w:r w:rsidR="00280E21" w:rsidRPr="00BA6590">
        <w:rPr>
          <w:lang w:val="en-GB"/>
        </w:rPr>
        <w:t>y</w:t>
      </w:r>
      <w:r w:rsidR="0063241B" w:rsidRPr="00BA6590">
        <w:rPr>
          <w:lang w:val="en-GB"/>
        </w:rPr>
        <w:t xml:space="preserve"> </w:t>
      </w:r>
      <w:r w:rsidR="00D319DE" w:rsidRPr="00BA6590">
        <w:rPr>
          <w:lang w:val="en-GB"/>
        </w:rPr>
        <w:t>for the integration of the Roma</w:t>
      </w:r>
    </w:p>
    <w:p w:rsidR="00782829" w:rsidRPr="00BA6590" w:rsidRDefault="00782829" w:rsidP="00210CC5">
      <w:pPr>
        <w:pStyle w:val="SingleTxtG"/>
        <w:rPr>
          <w:lang w:val="en-GB"/>
        </w:rPr>
      </w:pPr>
      <w:r w:rsidRPr="00BA6590">
        <w:rPr>
          <w:lang w:val="en-GB"/>
        </w:rPr>
        <w:t>49.</w:t>
      </w:r>
      <w:r w:rsidRPr="00BA6590">
        <w:rPr>
          <w:lang w:val="en-GB"/>
        </w:rPr>
        <w:tab/>
      </w:r>
      <w:r w:rsidR="0063241B" w:rsidRPr="00BA6590">
        <w:rPr>
          <w:lang w:val="en-GB"/>
        </w:rPr>
        <w:t>The Council of Europe estimates that there are 30,000 Roma people in the country</w:t>
      </w:r>
      <w:r w:rsidR="00A216FB" w:rsidRPr="00BA6590">
        <w:rPr>
          <w:lang w:val="en-GB"/>
        </w:rPr>
        <w:t>’</w:t>
      </w:r>
      <w:r w:rsidR="0063241B" w:rsidRPr="00BA6590">
        <w:rPr>
          <w:lang w:val="en-GB"/>
        </w:rPr>
        <w:t xml:space="preserve">s territory, or </w:t>
      </w:r>
      <w:r w:rsidRPr="00BA6590">
        <w:rPr>
          <w:lang w:val="en-GB"/>
        </w:rPr>
        <w:t>0</w:t>
      </w:r>
      <w:r w:rsidR="0063241B" w:rsidRPr="00BA6590">
        <w:rPr>
          <w:lang w:val="en-GB"/>
        </w:rPr>
        <w:t>.</w:t>
      </w:r>
      <w:r w:rsidRPr="00BA6590">
        <w:rPr>
          <w:lang w:val="en-GB"/>
        </w:rPr>
        <w:t>29</w:t>
      </w:r>
      <w:r w:rsidR="00A86EE6" w:rsidRPr="00BA6590">
        <w:rPr>
          <w:lang w:val="en-GB"/>
        </w:rPr>
        <w:t xml:space="preserve"> per cent</w:t>
      </w:r>
      <w:r w:rsidRPr="00BA6590">
        <w:rPr>
          <w:lang w:val="en-GB"/>
        </w:rPr>
        <w:t xml:space="preserve"> </w:t>
      </w:r>
      <w:r w:rsidR="0063241B" w:rsidRPr="00BA6590">
        <w:rPr>
          <w:lang w:val="en-GB"/>
        </w:rPr>
        <w:t>of the</w:t>
      </w:r>
      <w:r w:rsidRPr="00BA6590">
        <w:rPr>
          <w:lang w:val="en-GB"/>
        </w:rPr>
        <w:t xml:space="preserve"> population.</w:t>
      </w:r>
    </w:p>
    <w:p w:rsidR="00782829" w:rsidRPr="00BA6590" w:rsidRDefault="00782829" w:rsidP="00BA355C">
      <w:pPr>
        <w:pStyle w:val="SingleTxtG"/>
        <w:rPr>
          <w:lang w:val="en-GB"/>
        </w:rPr>
      </w:pPr>
      <w:r w:rsidRPr="00BA6590">
        <w:rPr>
          <w:lang w:val="en-GB"/>
        </w:rPr>
        <w:t>50.</w:t>
      </w:r>
      <w:r w:rsidRPr="00BA6590">
        <w:rPr>
          <w:lang w:val="en-GB"/>
        </w:rPr>
        <w:tab/>
      </w:r>
      <w:r w:rsidR="0063241B" w:rsidRPr="00BA6590">
        <w:rPr>
          <w:lang w:val="en-GB"/>
        </w:rPr>
        <w:t>In March 2012, responding to a European Comm</w:t>
      </w:r>
      <w:r w:rsidR="00CC6476" w:rsidRPr="00BA6590">
        <w:rPr>
          <w:lang w:val="en-GB"/>
        </w:rPr>
        <w:t xml:space="preserve">ission communication entitled </w:t>
      </w:r>
      <w:r w:rsidR="00A216FB" w:rsidRPr="00BA6590">
        <w:rPr>
          <w:lang w:val="en-GB"/>
        </w:rPr>
        <w:t>“An </w:t>
      </w:r>
      <w:r w:rsidR="0063241B" w:rsidRPr="00BA6590">
        <w:rPr>
          <w:lang w:val="en-GB"/>
        </w:rPr>
        <w:t>EU Framework for National Roma Integration Strategies up to 2020</w:t>
      </w:r>
      <w:r w:rsidR="00A216FB" w:rsidRPr="00BA6590">
        <w:rPr>
          <w:lang w:val="en-GB"/>
        </w:rPr>
        <w:t>”</w:t>
      </w:r>
      <w:r w:rsidR="0063241B" w:rsidRPr="00BA6590">
        <w:rPr>
          <w:lang w:val="en-GB"/>
        </w:rPr>
        <w:t>,</w:t>
      </w:r>
      <w:r w:rsidR="008E05E9" w:rsidRPr="00BA6590">
        <w:rPr>
          <w:rStyle w:val="FootnoteReference"/>
          <w:lang w:val="en-GB"/>
        </w:rPr>
        <w:footnoteReference w:id="14"/>
      </w:r>
      <w:r w:rsidRPr="00BA6590">
        <w:rPr>
          <w:lang w:val="en-GB"/>
        </w:rPr>
        <w:t xml:space="preserve"> </w:t>
      </w:r>
      <w:r w:rsidR="0063241B" w:rsidRPr="00BA6590">
        <w:rPr>
          <w:lang w:val="en-GB"/>
        </w:rPr>
        <w:t xml:space="preserve">Belgium adopted a </w:t>
      </w:r>
      <w:r w:rsidR="00A86EE6" w:rsidRPr="00BA6590">
        <w:rPr>
          <w:lang w:val="en-GB"/>
        </w:rPr>
        <w:t>n</w:t>
      </w:r>
      <w:r w:rsidR="0063241B" w:rsidRPr="00BA6590">
        <w:rPr>
          <w:lang w:val="en-GB"/>
        </w:rPr>
        <w:t xml:space="preserve">ational Roma </w:t>
      </w:r>
      <w:r w:rsidR="00A86EE6" w:rsidRPr="00BA6590">
        <w:rPr>
          <w:lang w:val="en-GB"/>
        </w:rPr>
        <w:t>i</w:t>
      </w:r>
      <w:r w:rsidR="0063241B" w:rsidRPr="00BA6590">
        <w:rPr>
          <w:lang w:val="en-GB"/>
        </w:rPr>
        <w:t xml:space="preserve">ntegration </w:t>
      </w:r>
      <w:r w:rsidR="00A86EE6" w:rsidRPr="00BA6590">
        <w:rPr>
          <w:lang w:val="en-GB"/>
        </w:rPr>
        <w:t>s</w:t>
      </w:r>
      <w:r w:rsidR="0063241B" w:rsidRPr="00BA6590">
        <w:rPr>
          <w:lang w:val="en-GB"/>
        </w:rPr>
        <w:t>trategy (annex</w:t>
      </w:r>
      <w:r w:rsidRPr="00BA6590">
        <w:rPr>
          <w:lang w:val="en-GB"/>
        </w:rPr>
        <w:t xml:space="preserve"> III).</w:t>
      </w:r>
      <w:r w:rsidR="00682D17" w:rsidRPr="00BA6590">
        <w:rPr>
          <w:lang w:val="en-GB"/>
        </w:rPr>
        <w:t xml:space="preserve"> In this framework document, which sets out issues and goals for the integration of the Roma people in Belgium, the federal, community and regional authorities freely develop measures in </w:t>
      </w:r>
      <w:r w:rsidR="00694330" w:rsidRPr="00BA6590">
        <w:rPr>
          <w:lang w:val="en-GB"/>
        </w:rPr>
        <w:t>their areas of competency</w:t>
      </w:r>
      <w:r w:rsidR="00682D17" w:rsidRPr="00BA6590">
        <w:rPr>
          <w:lang w:val="en-GB"/>
        </w:rPr>
        <w:t>.</w:t>
      </w:r>
      <w:r w:rsidR="001F3CAB" w:rsidRPr="00BA6590">
        <w:rPr>
          <w:lang w:val="en-GB"/>
        </w:rPr>
        <w:t xml:space="preserve"> </w:t>
      </w:r>
    </w:p>
    <w:p w:rsidR="00782829" w:rsidRPr="00BA6590" w:rsidRDefault="00782829" w:rsidP="00782829">
      <w:pPr>
        <w:pStyle w:val="SingleTxtG"/>
        <w:rPr>
          <w:lang w:val="en-GB"/>
        </w:rPr>
      </w:pPr>
      <w:r w:rsidRPr="00BA6590">
        <w:rPr>
          <w:lang w:val="en-GB"/>
        </w:rPr>
        <w:t>51.</w:t>
      </w:r>
      <w:r w:rsidRPr="00BA6590">
        <w:rPr>
          <w:lang w:val="en-GB"/>
        </w:rPr>
        <w:tab/>
      </w:r>
      <w:r w:rsidR="00682D17" w:rsidRPr="00BA6590">
        <w:rPr>
          <w:lang w:val="en-GB"/>
        </w:rPr>
        <w:t xml:space="preserve">The framework covers the various political </w:t>
      </w:r>
      <w:r w:rsidR="0049045C" w:rsidRPr="00BA6590">
        <w:rPr>
          <w:lang w:val="en-GB"/>
        </w:rPr>
        <w:t xml:space="preserve">fields in which progress can be made towards social and economic integration for the Roma people, such as combating discrimination, employment, education, housing and access to health care. </w:t>
      </w:r>
      <w:r w:rsidR="00694330" w:rsidRPr="00BA6590">
        <w:rPr>
          <w:lang w:val="en-GB"/>
        </w:rPr>
        <w:t>Aside from these four main areas, particular attention is also given to more cross-cutting goals such as the Roma people</w:t>
      </w:r>
      <w:r w:rsidR="00A216FB" w:rsidRPr="00BA6590">
        <w:rPr>
          <w:lang w:val="en-GB"/>
        </w:rPr>
        <w:t>’</w:t>
      </w:r>
      <w:r w:rsidR="00694330" w:rsidRPr="00BA6590">
        <w:rPr>
          <w:lang w:val="en-GB"/>
        </w:rPr>
        <w:t xml:space="preserve">s participation in society. </w:t>
      </w:r>
    </w:p>
    <w:p w:rsidR="00782829" w:rsidRPr="00BA6590" w:rsidRDefault="00782829" w:rsidP="00210CC5">
      <w:pPr>
        <w:pStyle w:val="SingleTxtG"/>
        <w:rPr>
          <w:lang w:val="en-GB"/>
        </w:rPr>
      </w:pPr>
      <w:r w:rsidRPr="00BA6590">
        <w:rPr>
          <w:lang w:val="en-GB"/>
        </w:rPr>
        <w:t>52.</w:t>
      </w:r>
      <w:r w:rsidRPr="00BA6590">
        <w:rPr>
          <w:lang w:val="en-GB"/>
        </w:rPr>
        <w:tab/>
      </w:r>
      <w:r w:rsidR="008947F9" w:rsidRPr="00BA6590">
        <w:rPr>
          <w:lang w:val="en-GB"/>
        </w:rPr>
        <w:t xml:space="preserve">To coordinate the policies of the various entities, a working group was established on </w:t>
      </w:r>
      <w:r w:rsidRPr="00BA6590">
        <w:rPr>
          <w:lang w:val="en-GB"/>
        </w:rPr>
        <w:t>21</w:t>
      </w:r>
      <w:r w:rsidR="008947F9" w:rsidRPr="00BA6590">
        <w:rPr>
          <w:lang w:val="en-GB"/>
        </w:rPr>
        <w:t xml:space="preserve"> March</w:t>
      </w:r>
      <w:r w:rsidRPr="00BA6590">
        <w:rPr>
          <w:lang w:val="en-GB"/>
        </w:rPr>
        <w:t xml:space="preserve"> 2011</w:t>
      </w:r>
      <w:r w:rsidR="008947F9" w:rsidRPr="00BA6590">
        <w:rPr>
          <w:lang w:val="en-GB"/>
        </w:rPr>
        <w:t>, comprising representatives of the country</w:t>
      </w:r>
      <w:r w:rsidR="00A216FB" w:rsidRPr="00BA6590">
        <w:rPr>
          <w:lang w:val="en-GB"/>
        </w:rPr>
        <w:t>’</w:t>
      </w:r>
      <w:r w:rsidR="008947F9" w:rsidRPr="00BA6590">
        <w:rPr>
          <w:lang w:val="en-GB"/>
        </w:rPr>
        <w:t xml:space="preserve">s various governmental authorities (federal, regional and community) and representatives of cities and communes and of bodies which represent the Roma or collaborate with them. </w:t>
      </w:r>
    </w:p>
    <w:p w:rsidR="00782829" w:rsidRPr="00BA6590" w:rsidRDefault="00782829" w:rsidP="00782829">
      <w:pPr>
        <w:pStyle w:val="SingleTxtG"/>
        <w:rPr>
          <w:lang w:val="en-GB"/>
        </w:rPr>
      </w:pPr>
      <w:r w:rsidRPr="00BA6590">
        <w:rPr>
          <w:lang w:val="en-GB"/>
        </w:rPr>
        <w:t>53.</w:t>
      </w:r>
      <w:r w:rsidRPr="00BA6590">
        <w:rPr>
          <w:lang w:val="en-GB"/>
        </w:rPr>
        <w:tab/>
      </w:r>
      <w:r w:rsidR="0069443F" w:rsidRPr="00BA6590">
        <w:rPr>
          <w:lang w:val="en-GB"/>
        </w:rPr>
        <w:t>At the federal</w:t>
      </w:r>
      <w:r w:rsidR="00A86EE6" w:rsidRPr="00BA6590">
        <w:rPr>
          <w:lang w:val="en-GB"/>
        </w:rPr>
        <w:t xml:space="preserve"> level, a Roma and Travellers</w:t>
      </w:r>
      <w:r w:rsidR="00A216FB" w:rsidRPr="00BA6590">
        <w:rPr>
          <w:lang w:val="en-GB"/>
        </w:rPr>
        <w:t>’</w:t>
      </w:r>
      <w:r w:rsidR="00A86EE6" w:rsidRPr="00BA6590">
        <w:rPr>
          <w:lang w:val="en-GB"/>
        </w:rPr>
        <w:t xml:space="preserve"> c</w:t>
      </w:r>
      <w:r w:rsidR="0069443F" w:rsidRPr="00BA6590">
        <w:rPr>
          <w:lang w:val="en-GB"/>
        </w:rPr>
        <w:t xml:space="preserve">ouncil has been established to promote </w:t>
      </w:r>
      <w:r w:rsidR="00CC6476" w:rsidRPr="00BA6590">
        <w:rPr>
          <w:lang w:val="en-GB"/>
        </w:rPr>
        <w:t xml:space="preserve">equal opportunities and </w:t>
      </w:r>
      <w:r w:rsidR="0069443F" w:rsidRPr="00BA6590">
        <w:rPr>
          <w:lang w:val="en-GB"/>
        </w:rPr>
        <w:t xml:space="preserve">involvement in national politics. </w:t>
      </w:r>
    </w:p>
    <w:p w:rsidR="00782829" w:rsidRPr="00BA6590" w:rsidRDefault="00782829" w:rsidP="00782829">
      <w:pPr>
        <w:pStyle w:val="SingleTxtG"/>
        <w:rPr>
          <w:lang w:val="en-GB"/>
        </w:rPr>
      </w:pPr>
      <w:r w:rsidRPr="00BA6590">
        <w:rPr>
          <w:lang w:val="en-GB"/>
        </w:rPr>
        <w:t>54.</w:t>
      </w:r>
      <w:r w:rsidRPr="00BA6590">
        <w:rPr>
          <w:lang w:val="en-GB"/>
        </w:rPr>
        <w:tab/>
      </w:r>
      <w:r w:rsidR="006E73EA" w:rsidRPr="00BA6590">
        <w:rPr>
          <w:lang w:val="en-GB"/>
        </w:rPr>
        <w:t xml:space="preserve">A </w:t>
      </w:r>
      <w:r w:rsidR="00CC6476" w:rsidRPr="00BA6590">
        <w:rPr>
          <w:lang w:val="en-GB"/>
        </w:rPr>
        <w:t>local authorities</w:t>
      </w:r>
      <w:r w:rsidR="00A216FB" w:rsidRPr="00BA6590">
        <w:rPr>
          <w:lang w:val="en-GB"/>
        </w:rPr>
        <w:t>’</w:t>
      </w:r>
      <w:r w:rsidR="00CC6476" w:rsidRPr="00BA6590">
        <w:rPr>
          <w:lang w:val="en-GB"/>
        </w:rPr>
        <w:t xml:space="preserve"> </w:t>
      </w:r>
      <w:r w:rsidR="006E73EA" w:rsidRPr="00BA6590">
        <w:rPr>
          <w:lang w:val="en-GB"/>
        </w:rPr>
        <w:t xml:space="preserve">guide to organizing temporary residence for Travellers has been published by the </w:t>
      </w:r>
      <w:r w:rsidR="004B472D" w:rsidRPr="00BA6590">
        <w:rPr>
          <w:lang w:val="en-GB"/>
        </w:rPr>
        <w:t>Centre for Equal Opportunities and Action</w:t>
      </w:r>
      <w:r w:rsidR="006E73EA" w:rsidRPr="00BA6590">
        <w:rPr>
          <w:lang w:val="en-GB"/>
        </w:rPr>
        <w:t xml:space="preserve"> to Combat Racism </w:t>
      </w:r>
      <w:r w:rsidRPr="00BA6590">
        <w:rPr>
          <w:lang w:val="en-GB"/>
        </w:rPr>
        <w:t>(annex IV).</w:t>
      </w:r>
    </w:p>
    <w:p w:rsidR="00782829" w:rsidRPr="00BA6590" w:rsidRDefault="005333BD" w:rsidP="005333BD">
      <w:pPr>
        <w:pStyle w:val="H56G"/>
        <w:rPr>
          <w:lang w:val="en-GB"/>
        </w:rPr>
      </w:pPr>
      <w:r w:rsidRPr="00BA6590">
        <w:rPr>
          <w:lang w:val="en-GB"/>
        </w:rPr>
        <w:tab/>
      </w:r>
      <w:r w:rsidR="00DF1F62" w:rsidRPr="00BA6590">
        <w:rPr>
          <w:lang w:val="en-GB"/>
        </w:rPr>
        <w:t>(</w:t>
      </w:r>
      <w:r w:rsidRPr="00BA6590">
        <w:rPr>
          <w:lang w:val="en-GB"/>
        </w:rPr>
        <w:t>ii)</w:t>
      </w:r>
      <w:r w:rsidRPr="00BA6590">
        <w:rPr>
          <w:lang w:val="en-GB"/>
        </w:rPr>
        <w:tab/>
      </w:r>
      <w:r w:rsidR="006E73EA" w:rsidRPr="00BA6590">
        <w:rPr>
          <w:lang w:val="en-GB"/>
        </w:rPr>
        <w:t>Policies implemented at the regional level</w:t>
      </w:r>
    </w:p>
    <w:p w:rsidR="00782829" w:rsidRPr="00BA6590" w:rsidRDefault="00782829" w:rsidP="00D319DE">
      <w:pPr>
        <w:pStyle w:val="SingleTxtG"/>
        <w:jc w:val="left"/>
        <w:rPr>
          <w:b/>
          <w:lang w:val="en-GB"/>
        </w:rPr>
      </w:pPr>
      <w:r w:rsidRPr="00BA6590">
        <w:rPr>
          <w:b/>
          <w:lang w:val="en-GB"/>
        </w:rPr>
        <w:t>Wallo</w:t>
      </w:r>
      <w:r w:rsidR="006E73EA" w:rsidRPr="00BA6590">
        <w:rPr>
          <w:b/>
          <w:lang w:val="en-GB"/>
        </w:rPr>
        <w:t>o</w:t>
      </w:r>
      <w:r w:rsidRPr="00BA6590">
        <w:rPr>
          <w:b/>
          <w:lang w:val="en-GB"/>
        </w:rPr>
        <w:t>n</w:t>
      </w:r>
      <w:r w:rsidR="006E73EA" w:rsidRPr="00BA6590">
        <w:rPr>
          <w:b/>
          <w:lang w:val="en-GB"/>
        </w:rPr>
        <w:t xml:space="preserve"> Region</w:t>
      </w:r>
    </w:p>
    <w:p w:rsidR="00782829" w:rsidRPr="00BA6590" w:rsidRDefault="00782829" w:rsidP="00782829">
      <w:pPr>
        <w:pStyle w:val="SingleTxtG"/>
        <w:rPr>
          <w:lang w:val="en-GB"/>
        </w:rPr>
      </w:pPr>
      <w:r w:rsidRPr="00BA6590">
        <w:rPr>
          <w:lang w:val="en-GB"/>
        </w:rPr>
        <w:t>55.</w:t>
      </w:r>
      <w:r w:rsidRPr="00BA6590">
        <w:rPr>
          <w:lang w:val="en-GB"/>
        </w:rPr>
        <w:tab/>
      </w:r>
      <w:r w:rsidR="006E73EA" w:rsidRPr="00BA6590">
        <w:rPr>
          <w:lang w:val="en-GB"/>
        </w:rPr>
        <w:t>There have been a number of activities designed to improve coordinated provisions for Travellers in the Walloon Region. A specific working group comprising representatives</w:t>
      </w:r>
      <w:r w:rsidR="00CC6476" w:rsidRPr="00BA6590">
        <w:rPr>
          <w:lang w:val="en-GB"/>
        </w:rPr>
        <w:t xml:space="preserve"> of all the ministerial offices</w:t>
      </w:r>
      <w:r w:rsidR="006E73EA" w:rsidRPr="00BA6590">
        <w:rPr>
          <w:lang w:val="en-GB"/>
        </w:rPr>
        <w:t xml:space="preserve"> has launched a pilot scheme</w:t>
      </w:r>
      <w:r w:rsidR="00CC6476" w:rsidRPr="00BA6590">
        <w:rPr>
          <w:lang w:val="en-GB"/>
        </w:rPr>
        <w:t xml:space="preserve"> for that purpose</w:t>
      </w:r>
      <w:r w:rsidR="006E73EA" w:rsidRPr="00BA6590">
        <w:rPr>
          <w:lang w:val="en-GB"/>
        </w:rPr>
        <w:t xml:space="preserve"> with seven Walloon communes. An agreement and a project have been </w:t>
      </w:r>
      <w:r w:rsidR="00CC6476" w:rsidRPr="00BA6590">
        <w:rPr>
          <w:lang w:val="en-GB"/>
        </w:rPr>
        <w:t>concluded to enable</w:t>
      </w:r>
      <w:r w:rsidR="006E73EA" w:rsidRPr="00BA6590">
        <w:rPr>
          <w:lang w:val="en-GB"/>
        </w:rPr>
        <w:t xml:space="preserve"> communes to participate fully in the proposed mechanism, which relates both to the organization of residence for the Travellers and the purchase and development of sites. It should be noted that grants for the purchase and development of sites are not limited to the seven communes involved; they are available to all communes wishing to receive them. The objective of this pilot scheme, which is being assessed by the working group, is to create tools </w:t>
      </w:r>
      <w:r w:rsidR="00B121F2" w:rsidRPr="00BA6590">
        <w:rPr>
          <w:lang w:val="en-GB"/>
        </w:rPr>
        <w:t xml:space="preserve">to </w:t>
      </w:r>
      <w:r w:rsidR="00CC6476" w:rsidRPr="00BA6590">
        <w:rPr>
          <w:lang w:val="en-GB"/>
        </w:rPr>
        <w:t>help</w:t>
      </w:r>
      <w:r w:rsidR="006E73EA" w:rsidRPr="00BA6590">
        <w:rPr>
          <w:lang w:val="en-GB"/>
        </w:rPr>
        <w:t xml:space="preserve"> communes </w:t>
      </w:r>
      <w:r w:rsidR="00B121F2" w:rsidRPr="00BA6590">
        <w:rPr>
          <w:lang w:val="en-GB"/>
        </w:rPr>
        <w:t xml:space="preserve">to respond better to demand for such services. In addition to other activities, it is also involved in preparatory discussions for the drafting of a decree on coordinated provisions for Travellers. </w:t>
      </w:r>
    </w:p>
    <w:p w:rsidR="00782829" w:rsidRPr="00BA6590" w:rsidRDefault="00782829" w:rsidP="00210CC5">
      <w:pPr>
        <w:pStyle w:val="SingleTxtG"/>
        <w:rPr>
          <w:lang w:val="en-GB"/>
        </w:rPr>
      </w:pPr>
      <w:r w:rsidRPr="00BA6590">
        <w:rPr>
          <w:lang w:val="en-GB"/>
        </w:rPr>
        <w:t>56.</w:t>
      </w:r>
      <w:r w:rsidRPr="00BA6590">
        <w:rPr>
          <w:lang w:val="en-GB"/>
        </w:rPr>
        <w:tab/>
      </w:r>
      <w:r w:rsidR="00812D78" w:rsidRPr="00BA6590">
        <w:rPr>
          <w:lang w:val="en-GB"/>
        </w:rPr>
        <w:t>Every year, t</w:t>
      </w:r>
      <w:r w:rsidR="00B06588" w:rsidRPr="00BA6590">
        <w:rPr>
          <w:lang w:val="en-GB"/>
        </w:rPr>
        <w:t>he</w:t>
      </w:r>
      <w:r w:rsidRPr="00BA6590">
        <w:rPr>
          <w:lang w:val="en-GB"/>
        </w:rPr>
        <w:t xml:space="preserve"> </w:t>
      </w:r>
      <w:r w:rsidR="00B06588" w:rsidRPr="00BA6590">
        <w:rPr>
          <w:lang w:val="en-GB"/>
        </w:rPr>
        <w:t>Walloon Region spends approximately €21 million on promoting access to fundamental rights at the local level</w:t>
      </w:r>
      <w:r w:rsidR="00A86EE6" w:rsidRPr="00BA6590">
        <w:rPr>
          <w:lang w:val="en-GB"/>
        </w:rPr>
        <w:t xml:space="preserve"> through s</w:t>
      </w:r>
      <w:r w:rsidR="00812D78" w:rsidRPr="00BA6590">
        <w:rPr>
          <w:lang w:val="en-GB"/>
        </w:rPr>
        <w:t xml:space="preserve">ocial </w:t>
      </w:r>
      <w:r w:rsidR="00A86EE6" w:rsidRPr="00BA6590">
        <w:rPr>
          <w:lang w:val="en-GB"/>
        </w:rPr>
        <w:t>c</w:t>
      </w:r>
      <w:r w:rsidR="00812D78" w:rsidRPr="00BA6590">
        <w:rPr>
          <w:lang w:val="en-GB"/>
        </w:rPr>
        <w:t xml:space="preserve">ohesion </w:t>
      </w:r>
      <w:r w:rsidR="00A86EE6" w:rsidRPr="00BA6590">
        <w:rPr>
          <w:lang w:val="en-GB"/>
        </w:rPr>
        <w:t>p</w:t>
      </w:r>
      <w:r w:rsidR="00812D78" w:rsidRPr="00BA6590">
        <w:rPr>
          <w:lang w:val="en-GB"/>
        </w:rPr>
        <w:t xml:space="preserve">lans conducted by 147 communes (out of the total of 253 French-speaking communes). Through these </w:t>
      </w:r>
      <w:r w:rsidR="00A86EE6" w:rsidRPr="00BA6590">
        <w:rPr>
          <w:lang w:val="en-GB"/>
        </w:rPr>
        <w:t>p</w:t>
      </w:r>
      <w:r w:rsidR="00812D78" w:rsidRPr="00BA6590">
        <w:rPr>
          <w:lang w:val="en-GB"/>
        </w:rPr>
        <w:t xml:space="preserve">lans, the communes engage in activities to provide for Travellers in their territory. </w:t>
      </w:r>
    </w:p>
    <w:p w:rsidR="00782829" w:rsidRPr="00BA6590" w:rsidRDefault="00782829" w:rsidP="00210CC5">
      <w:pPr>
        <w:pStyle w:val="SingleTxtG"/>
        <w:rPr>
          <w:lang w:val="en-GB"/>
        </w:rPr>
      </w:pPr>
      <w:r w:rsidRPr="00BA6590">
        <w:rPr>
          <w:lang w:val="en-GB"/>
        </w:rPr>
        <w:t>57.</w:t>
      </w:r>
      <w:r w:rsidRPr="00BA6590">
        <w:rPr>
          <w:lang w:val="en-GB"/>
        </w:rPr>
        <w:tab/>
      </w:r>
      <w:r w:rsidR="00812D78" w:rsidRPr="00BA6590">
        <w:rPr>
          <w:lang w:val="en-GB"/>
        </w:rPr>
        <w:t xml:space="preserve">Action has also been taken to improve awareness among key actors. </w:t>
      </w:r>
      <w:r w:rsidR="002E312D" w:rsidRPr="00BA6590">
        <w:rPr>
          <w:lang w:val="en-GB"/>
        </w:rPr>
        <w:t xml:space="preserve">Communes, </w:t>
      </w:r>
      <w:r w:rsidR="00A86EE6" w:rsidRPr="00BA6590">
        <w:rPr>
          <w:lang w:val="en-GB"/>
        </w:rPr>
        <w:t>p</w:t>
      </w:r>
      <w:r w:rsidR="002E312D" w:rsidRPr="00BA6590">
        <w:rPr>
          <w:lang w:val="en-GB"/>
        </w:rPr>
        <w:t xml:space="preserve">ublic </w:t>
      </w:r>
      <w:r w:rsidR="00A86EE6" w:rsidRPr="00BA6590">
        <w:rPr>
          <w:lang w:val="en-GB"/>
        </w:rPr>
        <w:t>s</w:t>
      </w:r>
      <w:r w:rsidR="002E312D" w:rsidRPr="00BA6590">
        <w:rPr>
          <w:lang w:val="en-GB"/>
        </w:rPr>
        <w:t xml:space="preserve">ocial </w:t>
      </w:r>
      <w:r w:rsidR="00A86EE6" w:rsidRPr="00BA6590">
        <w:rPr>
          <w:lang w:val="en-GB"/>
        </w:rPr>
        <w:t>s</w:t>
      </w:r>
      <w:r w:rsidR="002E312D" w:rsidRPr="00BA6590">
        <w:rPr>
          <w:lang w:val="en-GB"/>
        </w:rPr>
        <w:t xml:space="preserve">ervices </w:t>
      </w:r>
      <w:r w:rsidR="00A86EE6" w:rsidRPr="00BA6590">
        <w:rPr>
          <w:lang w:val="en-GB"/>
        </w:rPr>
        <w:t>c</w:t>
      </w:r>
      <w:r w:rsidR="002E312D" w:rsidRPr="00BA6590">
        <w:rPr>
          <w:lang w:val="en-GB"/>
        </w:rPr>
        <w:t>entres</w:t>
      </w:r>
      <w:r w:rsidRPr="00BA6590">
        <w:rPr>
          <w:lang w:val="en-GB"/>
        </w:rPr>
        <w:t>,</w:t>
      </w:r>
      <w:r w:rsidR="002E312D" w:rsidRPr="00BA6590">
        <w:rPr>
          <w:lang w:val="en-GB"/>
        </w:rPr>
        <w:t xml:space="preserve"> provinces and police z</w:t>
      </w:r>
      <w:r w:rsidR="00CC6476" w:rsidRPr="00BA6590">
        <w:rPr>
          <w:lang w:val="en-GB"/>
        </w:rPr>
        <w:t>ones have received a letter (</w:t>
      </w:r>
      <w:r w:rsidR="002E312D" w:rsidRPr="00BA6590">
        <w:rPr>
          <w:lang w:val="en-GB"/>
        </w:rPr>
        <w:t>signed by the ministers responsible for local authorit</w:t>
      </w:r>
      <w:r w:rsidR="0051578C" w:rsidRPr="00BA6590">
        <w:rPr>
          <w:lang w:val="en-GB"/>
        </w:rPr>
        <w:t>i</w:t>
      </w:r>
      <w:r w:rsidR="002E312D" w:rsidRPr="00BA6590">
        <w:rPr>
          <w:lang w:val="en-GB"/>
        </w:rPr>
        <w:t xml:space="preserve">es and social action) recommending a number of common-sense measures to be taken in order to facilitate and harmonize relations between the communes, Travellers and the sedentary population. A practical guide to the </w:t>
      </w:r>
      <w:r w:rsidR="00CC6476" w:rsidRPr="00BA6590">
        <w:rPr>
          <w:lang w:val="en-GB"/>
        </w:rPr>
        <w:t>management</w:t>
      </w:r>
      <w:r w:rsidR="002E312D" w:rsidRPr="00BA6590">
        <w:rPr>
          <w:lang w:val="en-GB"/>
        </w:rPr>
        <w:t xml:space="preserve"> of </w:t>
      </w:r>
      <w:r w:rsidR="003D0859" w:rsidRPr="00BA6590">
        <w:rPr>
          <w:lang w:val="en-GB"/>
        </w:rPr>
        <w:t>Travellers</w:t>
      </w:r>
      <w:r w:rsidR="00A216FB" w:rsidRPr="00BA6590">
        <w:rPr>
          <w:lang w:val="en-GB"/>
        </w:rPr>
        <w:t>’</w:t>
      </w:r>
      <w:r w:rsidR="003D0859" w:rsidRPr="00BA6590">
        <w:rPr>
          <w:lang w:val="en-GB"/>
        </w:rPr>
        <w:t xml:space="preserve"> temporary stays in the Walloon Region</w:t>
      </w:r>
      <w:r w:rsidR="0051578C" w:rsidRPr="00BA6590">
        <w:rPr>
          <w:lang w:val="en-GB"/>
        </w:rPr>
        <w:t xml:space="preserve"> has been produced</w:t>
      </w:r>
      <w:r w:rsidR="003D0859" w:rsidRPr="00BA6590">
        <w:rPr>
          <w:lang w:val="en-GB"/>
        </w:rPr>
        <w:t xml:space="preserve">, published by the </w:t>
      </w:r>
      <w:r w:rsidR="0051578C" w:rsidRPr="00BA6590">
        <w:rPr>
          <w:lang w:val="en-GB"/>
        </w:rPr>
        <w:t xml:space="preserve">Interdepartmental Directorate of Social Cohesion of the </w:t>
      </w:r>
      <w:r w:rsidR="00F21548" w:rsidRPr="00BA6590">
        <w:rPr>
          <w:lang w:val="en-GB"/>
        </w:rPr>
        <w:t>government</w:t>
      </w:r>
      <w:r w:rsidR="0051578C" w:rsidRPr="00BA6590">
        <w:rPr>
          <w:lang w:val="en-GB"/>
        </w:rPr>
        <w:t xml:space="preserve"> of the Walloon region and drafted jointly with </w:t>
      </w:r>
      <w:r w:rsidR="00CC6476" w:rsidRPr="00BA6590">
        <w:rPr>
          <w:lang w:val="en-GB"/>
        </w:rPr>
        <w:t>its</w:t>
      </w:r>
      <w:r w:rsidR="00A86EE6" w:rsidRPr="00BA6590">
        <w:rPr>
          <w:lang w:val="en-GB"/>
        </w:rPr>
        <w:t xml:space="preserve"> mediation c</w:t>
      </w:r>
      <w:r w:rsidR="0051578C" w:rsidRPr="00BA6590">
        <w:rPr>
          <w:lang w:val="en-GB"/>
        </w:rPr>
        <w:t>entre for Travellers. The</w:t>
      </w:r>
      <w:r w:rsidRPr="00BA6590">
        <w:rPr>
          <w:lang w:val="en-GB"/>
        </w:rPr>
        <w:t xml:space="preserve"> </w:t>
      </w:r>
      <w:r w:rsidR="00B06588" w:rsidRPr="00BA6590">
        <w:rPr>
          <w:lang w:val="en-GB"/>
        </w:rPr>
        <w:t>Region</w:t>
      </w:r>
      <w:r w:rsidR="0051578C" w:rsidRPr="00BA6590">
        <w:rPr>
          <w:lang w:val="en-GB"/>
        </w:rPr>
        <w:t xml:space="preserve"> has shown its support for the Centre </w:t>
      </w:r>
      <w:r w:rsidR="00DC18EF" w:rsidRPr="00BA6590">
        <w:rPr>
          <w:lang w:val="en-GB"/>
        </w:rPr>
        <w:t>—</w:t>
      </w:r>
      <w:r w:rsidR="00F21548" w:rsidRPr="00BA6590">
        <w:rPr>
          <w:lang w:val="en-GB"/>
        </w:rPr>
        <w:t xml:space="preserve"> </w:t>
      </w:r>
      <w:r w:rsidR="0051578C" w:rsidRPr="00BA6590">
        <w:rPr>
          <w:lang w:val="en-GB"/>
        </w:rPr>
        <w:t xml:space="preserve">whose work includes informing and supporting the public authorities in </w:t>
      </w:r>
      <w:r w:rsidR="00CC6476" w:rsidRPr="00BA6590">
        <w:rPr>
          <w:lang w:val="en-GB"/>
        </w:rPr>
        <w:t>managing Travellers</w:t>
      </w:r>
      <w:r w:rsidR="00A216FB" w:rsidRPr="00BA6590">
        <w:rPr>
          <w:lang w:val="en-GB"/>
        </w:rPr>
        <w:t>’</w:t>
      </w:r>
      <w:r w:rsidR="00CC6476" w:rsidRPr="00BA6590">
        <w:rPr>
          <w:lang w:val="en-GB"/>
        </w:rPr>
        <w:t xml:space="preserve"> temporary residence </w:t>
      </w:r>
      <w:r w:rsidR="0051578C" w:rsidRPr="00BA6590">
        <w:rPr>
          <w:lang w:val="en-GB"/>
        </w:rPr>
        <w:t>and providing an interface between communes, Travellers and the sedentary population</w:t>
      </w:r>
      <w:r w:rsidR="00F21548" w:rsidRPr="00BA6590">
        <w:rPr>
          <w:lang w:val="en-GB"/>
        </w:rPr>
        <w:t xml:space="preserve"> </w:t>
      </w:r>
      <w:r w:rsidR="00DC18EF" w:rsidRPr="00BA6590">
        <w:rPr>
          <w:lang w:val="en-GB"/>
        </w:rPr>
        <w:t>—</w:t>
      </w:r>
      <w:r w:rsidR="0051578C" w:rsidRPr="00BA6590">
        <w:rPr>
          <w:lang w:val="en-GB"/>
        </w:rPr>
        <w:t xml:space="preserve"> by concluding a multi-year agreement. </w:t>
      </w:r>
    </w:p>
    <w:p w:rsidR="00782829" w:rsidRPr="00BA6590" w:rsidRDefault="00782829" w:rsidP="00782829">
      <w:pPr>
        <w:pStyle w:val="SingleTxtG"/>
        <w:rPr>
          <w:lang w:val="en-GB"/>
        </w:rPr>
      </w:pPr>
      <w:r w:rsidRPr="00BA6590">
        <w:rPr>
          <w:lang w:val="en-GB"/>
        </w:rPr>
        <w:t>58.</w:t>
      </w:r>
      <w:r w:rsidRPr="00BA6590">
        <w:rPr>
          <w:lang w:val="en-GB"/>
        </w:rPr>
        <w:tab/>
      </w:r>
      <w:r w:rsidR="0051578C" w:rsidRPr="00BA6590">
        <w:rPr>
          <w:lang w:val="en-GB"/>
        </w:rPr>
        <w:t>Lastly, an inventory</w:t>
      </w:r>
      <w:r w:rsidR="00526C21" w:rsidRPr="00BA6590">
        <w:rPr>
          <w:lang w:val="en-GB"/>
        </w:rPr>
        <w:t xml:space="preserve"> has recently been prepared, listing</w:t>
      </w:r>
      <w:r w:rsidR="0051578C" w:rsidRPr="00BA6590">
        <w:rPr>
          <w:lang w:val="en-GB"/>
        </w:rPr>
        <w:t xml:space="preserve"> sites which can be made available to local authorities </w:t>
      </w:r>
      <w:r w:rsidR="00526C21" w:rsidRPr="00BA6590">
        <w:rPr>
          <w:lang w:val="en-GB"/>
        </w:rPr>
        <w:t>for major assemblies of Travellers (about 200 caravans)</w:t>
      </w:r>
      <w:r w:rsidR="00CC6476" w:rsidRPr="00BA6590">
        <w:rPr>
          <w:lang w:val="en-GB"/>
        </w:rPr>
        <w:t>.</w:t>
      </w:r>
    </w:p>
    <w:p w:rsidR="00782829" w:rsidRPr="00BA6590" w:rsidRDefault="00526C21" w:rsidP="00D319DE">
      <w:pPr>
        <w:pStyle w:val="SingleTxtG"/>
        <w:jc w:val="left"/>
        <w:rPr>
          <w:b/>
          <w:lang w:val="en-GB"/>
        </w:rPr>
      </w:pPr>
      <w:r w:rsidRPr="00BA6590">
        <w:rPr>
          <w:b/>
          <w:lang w:val="en-GB"/>
        </w:rPr>
        <w:t>Brussels-Capital Re</w:t>
      </w:r>
      <w:r w:rsidR="005333BD" w:rsidRPr="00BA6590">
        <w:rPr>
          <w:b/>
          <w:lang w:val="en-GB"/>
        </w:rPr>
        <w:t>gion</w:t>
      </w:r>
    </w:p>
    <w:p w:rsidR="00782829" w:rsidRPr="00BA6590" w:rsidRDefault="00782829" w:rsidP="002409EB">
      <w:pPr>
        <w:pStyle w:val="SingleTxtG"/>
        <w:rPr>
          <w:lang w:val="en-GB"/>
        </w:rPr>
      </w:pPr>
      <w:r w:rsidRPr="00BA6590">
        <w:rPr>
          <w:lang w:val="en-GB"/>
        </w:rPr>
        <w:t>59.</w:t>
      </w:r>
      <w:r w:rsidRPr="00BA6590">
        <w:rPr>
          <w:lang w:val="en-GB"/>
        </w:rPr>
        <w:tab/>
      </w:r>
      <w:r w:rsidR="0083244E" w:rsidRPr="00BA6590">
        <w:rPr>
          <w:lang w:val="en-GB"/>
        </w:rPr>
        <w:t xml:space="preserve">The Order </w:t>
      </w:r>
      <w:r w:rsidR="00CC6476" w:rsidRPr="00BA6590">
        <w:rPr>
          <w:lang w:val="en-GB"/>
        </w:rPr>
        <w:t>of</w:t>
      </w:r>
      <w:r w:rsidR="0083244E" w:rsidRPr="00BA6590">
        <w:rPr>
          <w:lang w:val="en-GB"/>
        </w:rPr>
        <w:t xml:space="preserve"> </w:t>
      </w:r>
      <w:r w:rsidRPr="00BA6590">
        <w:rPr>
          <w:lang w:val="en-GB"/>
        </w:rPr>
        <w:t>1</w:t>
      </w:r>
      <w:r w:rsidR="0083244E" w:rsidRPr="00BA6590">
        <w:rPr>
          <w:lang w:val="en-GB"/>
        </w:rPr>
        <w:t xml:space="preserve"> March</w:t>
      </w:r>
      <w:r w:rsidRPr="00BA6590">
        <w:rPr>
          <w:lang w:val="en-GB"/>
        </w:rPr>
        <w:t xml:space="preserve"> 2012</w:t>
      </w:r>
      <w:r w:rsidR="0083244E" w:rsidRPr="00BA6590">
        <w:rPr>
          <w:lang w:val="en-GB"/>
        </w:rPr>
        <w:t xml:space="preserve"> amending the Housing Code recognizes wheeled dwellings as bona fide housing. The President of the National Association of Travellers was consulted during the drafting of that legislative text. </w:t>
      </w:r>
    </w:p>
    <w:p w:rsidR="00782829" w:rsidRPr="00BA6590" w:rsidRDefault="00782829" w:rsidP="00782829">
      <w:pPr>
        <w:pStyle w:val="SingleTxtG"/>
        <w:rPr>
          <w:lang w:val="en-GB"/>
        </w:rPr>
      </w:pPr>
      <w:r w:rsidRPr="00BA6590">
        <w:rPr>
          <w:lang w:val="en-GB"/>
        </w:rPr>
        <w:t>60.</w:t>
      </w:r>
      <w:r w:rsidR="004E090E" w:rsidRPr="00BA6590">
        <w:rPr>
          <w:lang w:val="en-GB"/>
        </w:rPr>
        <w:tab/>
      </w:r>
      <w:r w:rsidR="0083244E" w:rsidRPr="00BA6590">
        <w:rPr>
          <w:lang w:val="en-GB"/>
        </w:rPr>
        <w:t>The Brussels-Capital Region was also actively involved in the work of the Roma and Travellers</w:t>
      </w:r>
      <w:r w:rsidR="00A216FB" w:rsidRPr="00BA6590">
        <w:rPr>
          <w:lang w:val="en-GB"/>
        </w:rPr>
        <w:t>’</w:t>
      </w:r>
      <w:r w:rsidR="0083244E" w:rsidRPr="00BA6590">
        <w:rPr>
          <w:lang w:val="en-GB"/>
        </w:rPr>
        <w:t xml:space="preserve"> Council</w:t>
      </w:r>
      <w:r w:rsidRPr="00BA6590">
        <w:rPr>
          <w:lang w:val="en-GB"/>
        </w:rPr>
        <w:t xml:space="preserve">. </w:t>
      </w:r>
      <w:r w:rsidR="0083244E" w:rsidRPr="00BA6590">
        <w:rPr>
          <w:lang w:val="en-GB"/>
        </w:rPr>
        <w:t xml:space="preserve">It has also included the issue of providing for Travellers among the priorities of the Regional Development Plan. </w:t>
      </w:r>
    </w:p>
    <w:p w:rsidR="00782829" w:rsidRPr="00BA6590" w:rsidRDefault="0083244E" w:rsidP="00D319DE">
      <w:pPr>
        <w:pStyle w:val="SingleTxtG"/>
        <w:jc w:val="left"/>
        <w:rPr>
          <w:b/>
          <w:lang w:val="en-GB"/>
        </w:rPr>
      </w:pPr>
      <w:r w:rsidRPr="00BA6590">
        <w:rPr>
          <w:b/>
          <w:lang w:val="en-GB"/>
        </w:rPr>
        <w:t>Flemish Community</w:t>
      </w:r>
    </w:p>
    <w:p w:rsidR="00782829" w:rsidRPr="00BA6590" w:rsidRDefault="00782829" w:rsidP="002409EB">
      <w:pPr>
        <w:pStyle w:val="SingleTxtG"/>
        <w:rPr>
          <w:lang w:val="en-GB"/>
        </w:rPr>
      </w:pPr>
      <w:r w:rsidRPr="00BA6590">
        <w:rPr>
          <w:lang w:val="en-GB"/>
        </w:rPr>
        <w:t>61.</w:t>
      </w:r>
      <w:r w:rsidRPr="00BA6590">
        <w:rPr>
          <w:lang w:val="en-GB"/>
        </w:rPr>
        <w:tab/>
      </w:r>
      <w:r w:rsidR="00CC6476" w:rsidRPr="00BA6590">
        <w:rPr>
          <w:lang w:val="en-GB"/>
        </w:rPr>
        <w:t>In recent years</w:t>
      </w:r>
      <w:r w:rsidR="00F619C0" w:rsidRPr="00BA6590">
        <w:rPr>
          <w:lang w:val="en-GB"/>
        </w:rPr>
        <w:t xml:space="preserve"> there has been a sharp rise in immigration from Central and Eastern European countries. This growth is mainly due to the opening on 1 May</w:t>
      </w:r>
      <w:r w:rsidRPr="00BA6590">
        <w:rPr>
          <w:lang w:val="en-GB"/>
        </w:rPr>
        <w:t xml:space="preserve"> 2009</w:t>
      </w:r>
      <w:r w:rsidR="00F619C0" w:rsidRPr="00BA6590">
        <w:rPr>
          <w:lang w:val="en-GB"/>
        </w:rPr>
        <w:t xml:space="preserve"> of the labour market to a number of those countries. The new immigrants include a specific group: the Roma people. </w:t>
      </w:r>
    </w:p>
    <w:p w:rsidR="00782829" w:rsidRPr="00BA6590" w:rsidRDefault="00782829" w:rsidP="00782829">
      <w:pPr>
        <w:pStyle w:val="SingleTxtG"/>
        <w:rPr>
          <w:lang w:val="en-GB"/>
        </w:rPr>
      </w:pPr>
      <w:r w:rsidRPr="00BA6590">
        <w:rPr>
          <w:lang w:val="en-GB"/>
        </w:rPr>
        <w:t>62.</w:t>
      </w:r>
      <w:r w:rsidRPr="00BA6590">
        <w:rPr>
          <w:lang w:val="en-GB"/>
        </w:rPr>
        <w:tab/>
      </w:r>
      <w:r w:rsidR="00F619C0" w:rsidRPr="00BA6590">
        <w:rPr>
          <w:lang w:val="en-GB"/>
        </w:rPr>
        <w:t xml:space="preserve">Virtually all Flemish cities and communes are home to migrants from Central and Eastern Europe </w:t>
      </w:r>
      <w:r w:rsidRPr="00BA6590">
        <w:rPr>
          <w:lang w:val="en-GB"/>
        </w:rPr>
        <w:t>(</w:t>
      </w:r>
      <w:r w:rsidR="00F619C0" w:rsidRPr="00BA6590">
        <w:rPr>
          <w:lang w:val="en-GB"/>
        </w:rPr>
        <w:t>for data, see annex</w:t>
      </w:r>
      <w:r w:rsidRPr="00BA6590">
        <w:rPr>
          <w:lang w:val="en-GB"/>
        </w:rPr>
        <w:t xml:space="preserve"> III, p</w:t>
      </w:r>
      <w:r w:rsidR="00F619C0" w:rsidRPr="00BA6590">
        <w:rPr>
          <w:lang w:val="en-GB"/>
        </w:rPr>
        <w:t>.</w:t>
      </w:r>
      <w:r w:rsidRPr="00BA6590">
        <w:rPr>
          <w:lang w:val="en-GB"/>
        </w:rPr>
        <w:t xml:space="preserve"> 9).</w:t>
      </w:r>
      <w:r w:rsidR="00CC6476" w:rsidRPr="00BA6590">
        <w:rPr>
          <w:lang w:val="en-GB"/>
        </w:rPr>
        <w:t xml:space="preserve"> This</w:t>
      </w:r>
      <w:r w:rsidR="00F619C0" w:rsidRPr="00BA6590">
        <w:rPr>
          <w:lang w:val="en-GB"/>
        </w:rPr>
        <w:t xml:space="preserve"> immigration, particularly that of the Roma, raises </w:t>
      </w:r>
      <w:r w:rsidR="00781DBA" w:rsidRPr="00BA6590">
        <w:rPr>
          <w:lang w:val="en-GB"/>
        </w:rPr>
        <w:t>significant challenges</w:t>
      </w:r>
      <w:r w:rsidR="00F619C0" w:rsidRPr="00BA6590">
        <w:rPr>
          <w:lang w:val="en-GB"/>
        </w:rPr>
        <w:t xml:space="preserve"> in the areas of education, employment, housing, civic integration, well-being, discrimination and participation in society</w:t>
      </w:r>
      <w:r w:rsidR="00781DBA" w:rsidRPr="00BA6590">
        <w:rPr>
          <w:lang w:val="en-GB"/>
        </w:rPr>
        <w:t xml:space="preserve">, particularly for municipalities. </w:t>
      </w:r>
    </w:p>
    <w:p w:rsidR="00782829" w:rsidRPr="00BA6590" w:rsidRDefault="00782829" w:rsidP="00BA355C">
      <w:pPr>
        <w:pStyle w:val="SingleTxtG"/>
        <w:rPr>
          <w:lang w:val="en-GB"/>
        </w:rPr>
      </w:pPr>
      <w:r w:rsidRPr="00BA6590">
        <w:rPr>
          <w:lang w:val="en-GB"/>
        </w:rPr>
        <w:t>63.</w:t>
      </w:r>
      <w:r w:rsidRPr="00BA6590">
        <w:rPr>
          <w:lang w:val="en-GB"/>
        </w:rPr>
        <w:tab/>
      </w:r>
      <w:r w:rsidR="00E87D0C" w:rsidRPr="00BA6590">
        <w:rPr>
          <w:lang w:val="en-GB"/>
        </w:rPr>
        <w:t xml:space="preserve">In </w:t>
      </w:r>
      <w:r w:rsidR="00117EE6" w:rsidRPr="00BA6590">
        <w:rPr>
          <w:lang w:val="en-GB"/>
        </w:rPr>
        <w:t>2012,</w:t>
      </w:r>
      <w:r w:rsidR="00781DBA" w:rsidRPr="00BA6590">
        <w:rPr>
          <w:lang w:val="en-GB"/>
        </w:rPr>
        <w:t xml:space="preserve"> the Flemish authorities launched a plan of action entitled </w:t>
      </w:r>
      <w:r w:rsidR="00A216FB" w:rsidRPr="00BA6590">
        <w:rPr>
          <w:lang w:val="en-GB"/>
        </w:rPr>
        <w:t>“</w:t>
      </w:r>
      <w:r w:rsidR="00781DBA" w:rsidRPr="00BA6590">
        <w:rPr>
          <w:lang w:val="en-GB"/>
        </w:rPr>
        <w:t>Migrants from Central and Eastern Europe</w:t>
      </w:r>
      <w:r w:rsidR="00A216FB" w:rsidRPr="00BA6590">
        <w:rPr>
          <w:lang w:val="en-GB"/>
        </w:rPr>
        <w:t>”</w:t>
      </w:r>
      <w:r w:rsidR="00E87D0C" w:rsidRPr="00BA6590">
        <w:rPr>
          <w:lang w:val="en-GB"/>
        </w:rPr>
        <w:t xml:space="preserve"> to give a coordinated response to these challenges and improve the integration of the Roma explicitly but not exclusively,</w:t>
      </w:r>
      <w:r w:rsidR="00117EE6" w:rsidRPr="00BA6590">
        <w:rPr>
          <w:lang w:val="en-GB"/>
        </w:rPr>
        <w:t xml:space="preserve">. This </w:t>
      </w:r>
      <w:r w:rsidR="00781DBA" w:rsidRPr="00BA6590">
        <w:rPr>
          <w:lang w:val="en-GB"/>
        </w:rPr>
        <w:t>involves</w:t>
      </w:r>
      <w:r w:rsidR="00117EE6" w:rsidRPr="00BA6590">
        <w:rPr>
          <w:lang w:val="en-GB"/>
        </w:rPr>
        <w:t xml:space="preserve"> a coordinated policy </w:t>
      </w:r>
      <w:r w:rsidR="00781DBA" w:rsidRPr="00BA6590">
        <w:rPr>
          <w:lang w:val="en-GB"/>
        </w:rPr>
        <w:t>towards</w:t>
      </w:r>
      <w:r w:rsidR="00117EE6" w:rsidRPr="00BA6590">
        <w:rPr>
          <w:lang w:val="en-GB"/>
        </w:rPr>
        <w:t xml:space="preserve"> migrants and provides for actions</w:t>
      </w:r>
      <w:r w:rsidR="00781DBA" w:rsidRPr="00BA6590">
        <w:rPr>
          <w:lang w:val="en-GB"/>
        </w:rPr>
        <w:t>, when needed,</w:t>
      </w:r>
      <w:r w:rsidR="00117EE6" w:rsidRPr="00BA6590">
        <w:rPr>
          <w:lang w:val="en-GB"/>
        </w:rPr>
        <w:t xml:space="preserve"> specifically target</w:t>
      </w:r>
      <w:r w:rsidR="00781DBA" w:rsidRPr="00BA6590">
        <w:rPr>
          <w:lang w:val="en-GB"/>
        </w:rPr>
        <w:t>ing</w:t>
      </w:r>
      <w:r w:rsidR="00117EE6" w:rsidRPr="00BA6590">
        <w:rPr>
          <w:lang w:val="en-GB"/>
        </w:rPr>
        <w:t xml:space="preserve"> the Roma in the areas of education, employment and housing. </w:t>
      </w:r>
    </w:p>
    <w:p w:rsidR="00782829" w:rsidRPr="00BA6590" w:rsidRDefault="00782829" w:rsidP="00BA355C">
      <w:pPr>
        <w:pStyle w:val="SingleTxtG"/>
        <w:rPr>
          <w:lang w:val="en-GB"/>
        </w:rPr>
      </w:pPr>
      <w:r w:rsidRPr="00BA6590">
        <w:rPr>
          <w:lang w:val="en-GB"/>
        </w:rPr>
        <w:t>64.</w:t>
      </w:r>
      <w:r w:rsidRPr="00BA6590">
        <w:rPr>
          <w:lang w:val="en-GB"/>
        </w:rPr>
        <w:tab/>
      </w:r>
      <w:r w:rsidR="00117EE6" w:rsidRPr="00BA6590">
        <w:rPr>
          <w:lang w:val="en-GB"/>
        </w:rPr>
        <w:t xml:space="preserve">The social situation of Travellers </w:t>
      </w:r>
      <w:r w:rsidRPr="00BA6590">
        <w:rPr>
          <w:lang w:val="en-GB"/>
        </w:rPr>
        <w:t>(</w:t>
      </w:r>
      <w:r w:rsidR="002F72B5" w:rsidRPr="00BA6590">
        <w:rPr>
          <w:lang w:val="en-GB"/>
        </w:rPr>
        <w:t>Roma, Sinti and Manush</w:t>
      </w:r>
      <w:r w:rsidRPr="00BA6590">
        <w:rPr>
          <w:lang w:val="en-GB"/>
        </w:rPr>
        <w:t xml:space="preserve">) </w:t>
      </w:r>
      <w:r w:rsidR="002F72B5" w:rsidRPr="00BA6590">
        <w:rPr>
          <w:lang w:val="en-GB"/>
        </w:rPr>
        <w:t xml:space="preserve">in Flanders remains very precarious. </w:t>
      </w:r>
      <w:r w:rsidR="008B0195" w:rsidRPr="00BA6590">
        <w:rPr>
          <w:lang w:val="en-GB"/>
        </w:rPr>
        <w:t xml:space="preserve">Several studies have shown that many Travellers are disadvantaged in the areas of education, employment, participation and health care </w:t>
      </w:r>
      <w:r w:rsidR="00781DBA" w:rsidRPr="00BA6590">
        <w:rPr>
          <w:lang w:val="en-GB"/>
        </w:rPr>
        <w:t>and also</w:t>
      </w:r>
      <w:r w:rsidR="008B0195" w:rsidRPr="00BA6590">
        <w:rPr>
          <w:lang w:val="en-GB"/>
        </w:rPr>
        <w:t xml:space="preserve"> in terms of their image. In 2011, figures collected by the Migration and Integration Crossroads showed that in Flanders and the Brussels-Capital Region,</w:t>
      </w:r>
      <w:r w:rsidR="001F3CAB" w:rsidRPr="00BA6590">
        <w:rPr>
          <w:lang w:val="en-GB"/>
        </w:rPr>
        <w:t xml:space="preserve"> </w:t>
      </w:r>
      <w:r w:rsidRPr="00BA6590">
        <w:rPr>
          <w:lang w:val="en-GB"/>
        </w:rPr>
        <w:t>967</w:t>
      </w:r>
      <w:r w:rsidR="008B0195" w:rsidRPr="00BA6590">
        <w:rPr>
          <w:lang w:val="en-GB"/>
        </w:rPr>
        <w:t xml:space="preserve"> families of Travellers were resident in caravans. It was estimated that 1,000 of them travelled </w:t>
      </w:r>
      <w:r w:rsidR="00922AA7" w:rsidRPr="00BA6590">
        <w:rPr>
          <w:lang w:val="en-GB"/>
        </w:rPr>
        <w:t>around</w:t>
      </w:r>
      <w:r w:rsidR="008B0195" w:rsidRPr="00BA6590">
        <w:rPr>
          <w:lang w:val="en-GB"/>
        </w:rPr>
        <w:t xml:space="preserve"> Flanders every year, mostly in spring and summer. </w:t>
      </w:r>
    </w:p>
    <w:p w:rsidR="00782829" w:rsidRPr="00BA6590" w:rsidRDefault="00782829" w:rsidP="004E090E">
      <w:pPr>
        <w:pStyle w:val="SingleTxtG"/>
        <w:rPr>
          <w:lang w:val="en-GB"/>
        </w:rPr>
      </w:pPr>
      <w:r w:rsidRPr="00BA6590">
        <w:rPr>
          <w:lang w:val="en-GB"/>
        </w:rPr>
        <w:t>65.</w:t>
      </w:r>
      <w:r w:rsidRPr="00BA6590">
        <w:rPr>
          <w:lang w:val="en-GB"/>
        </w:rPr>
        <w:tab/>
      </w:r>
      <w:r w:rsidR="00922AA7" w:rsidRPr="00BA6590">
        <w:rPr>
          <w:lang w:val="en-GB"/>
        </w:rPr>
        <w:t>In order to improve Travellers</w:t>
      </w:r>
      <w:r w:rsidR="00A216FB" w:rsidRPr="00BA6590">
        <w:rPr>
          <w:lang w:val="en-GB"/>
        </w:rPr>
        <w:t>’</w:t>
      </w:r>
      <w:r w:rsidR="00922AA7" w:rsidRPr="00BA6590">
        <w:rPr>
          <w:lang w:val="en-GB"/>
        </w:rPr>
        <w:t xml:space="preserve"> habitats, </w:t>
      </w:r>
      <w:r w:rsidR="00816F73" w:rsidRPr="00BA6590">
        <w:rPr>
          <w:lang w:val="en-GB"/>
        </w:rPr>
        <w:t>the Flemish authorities provide</w:t>
      </w:r>
      <w:r w:rsidR="00922AA7" w:rsidRPr="00BA6590">
        <w:rPr>
          <w:lang w:val="en-GB"/>
        </w:rPr>
        <w:t xml:space="preserve"> a 90</w:t>
      </w:r>
      <w:r w:rsidR="00A86EE6" w:rsidRPr="00BA6590">
        <w:rPr>
          <w:lang w:val="en-GB"/>
        </w:rPr>
        <w:t xml:space="preserve"> per cent</w:t>
      </w:r>
      <w:r w:rsidR="00922AA7" w:rsidRPr="00BA6590">
        <w:rPr>
          <w:lang w:val="en-GB"/>
        </w:rPr>
        <w:t xml:space="preserve"> subsidy for the development, extension, acquisition and renovation of public sites for residential caravans and public transit sites. To ensure good conditions for the temporary residence of nomadic communities of Travellers, provincial governors have been tasked, in circular No. </w:t>
      </w:r>
      <w:r w:rsidRPr="00BA6590">
        <w:rPr>
          <w:lang w:val="en-GB"/>
        </w:rPr>
        <w:t>BB2010/05,</w:t>
      </w:r>
      <w:r w:rsidR="00781DBA" w:rsidRPr="00BA6590">
        <w:rPr>
          <w:lang w:val="en-GB"/>
        </w:rPr>
        <w:t xml:space="preserve"> with providing</w:t>
      </w:r>
      <w:r w:rsidR="00922AA7" w:rsidRPr="00BA6590">
        <w:rPr>
          <w:lang w:val="en-GB"/>
        </w:rPr>
        <w:t xml:space="preserve"> proper coordination, and communes</w:t>
      </w:r>
      <w:r w:rsidR="00781DBA" w:rsidRPr="00BA6590">
        <w:rPr>
          <w:lang w:val="en-GB"/>
        </w:rPr>
        <w:t xml:space="preserve"> are expected </w:t>
      </w:r>
      <w:r w:rsidR="00922AA7" w:rsidRPr="00BA6590">
        <w:rPr>
          <w:lang w:val="en-GB"/>
        </w:rPr>
        <w:t xml:space="preserve">to work proactively to provide spaces for temporary residence (ad hoc </w:t>
      </w:r>
      <w:r w:rsidR="00781DBA" w:rsidRPr="00BA6590">
        <w:rPr>
          <w:lang w:val="en-GB"/>
        </w:rPr>
        <w:t>camp</w:t>
      </w:r>
      <w:r w:rsidR="00922AA7" w:rsidRPr="00BA6590">
        <w:rPr>
          <w:lang w:val="en-GB"/>
        </w:rPr>
        <w:t>sites) for those communities. The Flemish Caravans Committee</w:t>
      </w:r>
      <w:r w:rsidR="00781DBA" w:rsidRPr="00BA6590">
        <w:rPr>
          <w:lang w:val="en-GB"/>
        </w:rPr>
        <w:t>, which</w:t>
      </w:r>
      <w:r w:rsidR="00922AA7" w:rsidRPr="00BA6590">
        <w:rPr>
          <w:lang w:val="en-GB"/>
        </w:rPr>
        <w:t xml:space="preserve"> meets regularly</w:t>
      </w:r>
      <w:r w:rsidR="00781DBA" w:rsidRPr="00BA6590">
        <w:rPr>
          <w:lang w:val="en-GB"/>
        </w:rPr>
        <w:t>,</w:t>
      </w:r>
      <w:r w:rsidR="00922AA7" w:rsidRPr="00BA6590">
        <w:rPr>
          <w:lang w:val="en-GB"/>
        </w:rPr>
        <w:t xml:space="preserve"> takes initiatives, coordinates and advises the relevant Ministers in relation to the development of </w:t>
      </w:r>
      <w:r w:rsidR="00E6639F" w:rsidRPr="00BA6590">
        <w:rPr>
          <w:lang w:val="en-GB"/>
        </w:rPr>
        <w:t xml:space="preserve">sustainable and well-adapted </w:t>
      </w:r>
      <w:r w:rsidR="00922AA7" w:rsidRPr="00BA6590">
        <w:rPr>
          <w:lang w:val="en-GB"/>
        </w:rPr>
        <w:t>sites</w:t>
      </w:r>
      <w:r w:rsidR="00E6639F" w:rsidRPr="00BA6590">
        <w:rPr>
          <w:lang w:val="en-GB"/>
        </w:rPr>
        <w:t xml:space="preserve"> for Travellers. </w:t>
      </w:r>
    </w:p>
    <w:p w:rsidR="00782829" w:rsidRPr="00BA6590" w:rsidRDefault="00782829" w:rsidP="00BA355C">
      <w:pPr>
        <w:pStyle w:val="SingleTxtG"/>
        <w:rPr>
          <w:lang w:val="en-GB"/>
        </w:rPr>
      </w:pPr>
      <w:r w:rsidRPr="00BA6590">
        <w:rPr>
          <w:lang w:val="en-GB"/>
        </w:rPr>
        <w:t>66.</w:t>
      </w:r>
      <w:r w:rsidRPr="00BA6590">
        <w:rPr>
          <w:lang w:val="en-GB"/>
        </w:rPr>
        <w:tab/>
      </w:r>
      <w:r w:rsidR="00DF1F62" w:rsidRPr="00BA6590">
        <w:rPr>
          <w:lang w:val="en-GB"/>
        </w:rPr>
        <w:t>To support those responsible for initiatives for the acquisition, development, renovation or extension of campsites, the Flemish authorities h</w:t>
      </w:r>
      <w:r w:rsidR="00781DBA" w:rsidRPr="00BA6590">
        <w:rPr>
          <w:lang w:val="en-GB"/>
        </w:rPr>
        <w:t xml:space="preserve">ave produced a manual entitled </w:t>
      </w:r>
      <w:r w:rsidRPr="00BA6590">
        <w:rPr>
          <w:i/>
          <w:lang w:val="en-GB"/>
        </w:rPr>
        <w:t>Wonen op wielen</w:t>
      </w:r>
      <w:r w:rsidRPr="00BA6590">
        <w:rPr>
          <w:lang w:val="en-GB"/>
        </w:rPr>
        <w:t xml:space="preserve"> (</w:t>
      </w:r>
      <w:r w:rsidR="007D5816" w:rsidRPr="00BA6590">
        <w:rPr>
          <w:lang w:val="en-GB"/>
        </w:rPr>
        <w:t>Living on Wheels</w:t>
      </w:r>
      <w:r w:rsidRPr="00BA6590">
        <w:rPr>
          <w:lang w:val="en-GB"/>
        </w:rPr>
        <w:t>).</w:t>
      </w:r>
      <w:r w:rsidR="00DF1F62" w:rsidRPr="00BA6590">
        <w:rPr>
          <w:lang w:val="en-GB"/>
        </w:rPr>
        <w:t xml:space="preserve"> It was fully revised in </w:t>
      </w:r>
      <w:r w:rsidRPr="00BA6590">
        <w:rPr>
          <w:lang w:val="en-GB"/>
        </w:rPr>
        <w:t>2010</w:t>
      </w:r>
      <w:r w:rsidR="00DF1F62" w:rsidRPr="00BA6590">
        <w:rPr>
          <w:lang w:val="en-GB"/>
        </w:rPr>
        <w:t xml:space="preserve"> and updated on the basis of experiences in the development and management of such campsites. </w:t>
      </w:r>
    </w:p>
    <w:p w:rsidR="00782829" w:rsidRPr="00BA6590" w:rsidRDefault="00782829" w:rsidP="00782829">
      <w:pPr>
        <w:pStyle w:val="SingleTxtG"/>
        <w:rPr>
          <w:lang w:val="en-GB"/>
        </w:rPr>
      </w:pPr>
      <w:r w:rsidRPr="00BA6590">
        <w:rPr>
          <w:lang w:val="en-GB"/>
        </w:rPr>
        <w:t>67.</w:t>
      </w:r>
      <w:r w:rsidRPr="00BA6590">
        <w:rPr>
          <w:lang w:val="en-GB"/>
        </w:rPr>
        <w:tab/>
      </w:r>
      <w:r w:rsidR="00DF1F62" w:rsidRPr="00BA6590">
        <w:rPr>
          <w:lang w:val="en-GB"/>
        </w:rPr>
        <w:t>While seeking to improve Travellers</w:t>
      </w:r>
      <w:r w:rsidR="00A216FB" w:rsidRPr="00BA6590">
        <w:rPr>
          <w:lang w:val="en-GB"/>
        </w:rPr>
        <w:t>’</w:t>
      </w:r>
      <w:r w:rsidR="00DF1F62" w:rsidRPr="00BA6590">
        <w:rPr>
          <w:lang w:val="en-GB"/>
        </w:rPr>
        <w:t xml:space="preserve"> housing situat</w:t>
      </w:r>
      <w:r w:rsidR="00781DBA" w:rsidRPr="00BA6590">
        <w:rPr>
          <w:lang w:val="en-GB"/>
        </w:rPr>
        <w:t>ions, the Flemish authorities are</w:t>
      </w:r>
      <w:r w:rsidR="00DF1F62" w:rsidRPr="00BA6590">
        <w:rPr>
          <w:lang w:val="en-GB"/>
        </w:rPr>
        <w:t xml:space="preserve"> also involved in actions in other policy areas. To improve those communities</w:t>
      </w:r>
      <w:r w:rsidR="00A216FB" w:rsidRPr="00BA6590">
        <w:rPr>
          <w:lang w:val="en-GB"/>
        </w:rPr>
        <w:t>’</w:t>
      </w:r>
      <w:r w:rsidR="00DF1F62" w:rsidRPr="00BA6590">
        <w:rPr>
          <w:lang w:val="en-GB"/>
        </w:rPr>
        <w:t xml:space="preserve"> social status and integration, there are currently activities in the areas of employment, education, housing, integration and well-being. These activities are included and monitored in the framework of the strategic plan for Travellers which is currently being prepared. </w:t>
      </w:r>
    </w:p>
    <w:p w:rsidR="00782829" w:rsidRPr="00BA6590" w:rsidRDefault="00E858F5" w:rsidP="00E858F5">
      <w:pPr>
        <w:pStyle w:val="H4G"/>
        <w:rPr>
          <w:lang w:val="en-GB"/>
        </w:rPr>
      </w:pPr>
      <w:r w:rsidRPr="00BA6590">
        <w:rPr>
          <w:lang w:val="en-GB"/>
        </w:rPr>
        <w:tab/>
      </w:r>
      <w:r w:rsidR="00DF1F62" w:rsidRPr="00BA6590">
        <w:rPr>
          <w:lang w:val="en-GB"/>
        </w:rPr>
        <w:t>(</w:t>
      </w:r>
      <w:r w:rsidRPr="00BA6590">
        <w:rPr>
          <w:lang w:val="en-GB"/>
        </w:rPr>
        <w:t>b)</w:t>
      </w:r>
      <w:r w:rsidRPr="00BA6590">
        <w:rPr>
          <w:lang w:val="en-GB"/>
        </w:rPr>
        <w:tab/>
      </w:r>
      <w:r w:rsidR="00DF1F62" w:rsidRPr="00BA6590">
        <w:rPr>
          <w:lang w:val="en-GB"/>
        </w:rPr>
        <w:t>Integration policy in the Walloon Region</w:t>
      </w:r>
    </w:p>
    <w:p w:rsidR="00782829" w:rsidRPr="00BA6590" w:rsidRDefault="00E858F5" w:rsidP="00723E1B">
      <w:pPr>
        <w:pStyle w:val="H56G"/>
        <w:rPr>
          <w:lang w:val="en-GB"/>
        </w:rPr>
      </w:pPr>
      <w:r w:rsidRPr="00BA6590">
        <w:rPr>
          <w:lang w:val="en-GB"/>
        </w:rPr>
        <w:tab/>
      </w:r>
      <w:r w:rsidRPr="00BA6590">
        <w:rPr>
          <w:lang w:val="en-GB"/>
        </w:rPr>
        <w:tab/>
      </w:r>
      <w:r w:rsidR="00DF1F62" w:rsidRPr="00BA6590">
        <w:rPr>
          <w:lang w:val="en-GB"/>
        </w:rPr>
        <w:t>The Global Plan for Equal Opportunities</w:t>
      </w:r>
    </w:p>
    <w:p w:rsidR="00782829" w:rsidRPr="00BA6590" w:rsidRDefault="00782829" w:rsidP="00782829">
      <w:pPr>
        <w:pStyle w:val="SingleTxtG"/>
        <w:rPr>
          <w:lang w:val="en-GB"/>
        </w:rPr>
      </w:pPr>
      <w:r w:rsidRPr="00BA6590">
        <w:rPr>
          <w:lang w:val="en-GB"/>
        </w:rPr>
        <w:t>68.</w:t>
      </w:r>
      <w:r w:rsidRPr="00BA6590">
        <w:rPr>
          <w:lang w:val="en-GB"/>
        </w:rPr>
        <w:tab/>
      </w:r>
      <w:r w:rsidR="00AC0AA0" w:rsidRPr="00BA6590">
        <w:rPr>
          <w:lang w:val="en-GB"/>
        </w:rPr>
        <w:t xml:space="preserve">On </w:t>
      </w:r>
      <w:r w:rsidRPr="00BA6590">
        <w:rPr>
          <w:lang w:val="en-GB"/>
        </w:rPr>
        <w:t xml:space="preserve">24 </w:t>
      </w:r>
      <w:r w:rsidR="00AC0AA0" w:rsidRPr="00BA6590">
        <w:rPr>
          <w:lang w:val="en-GB"/>
        </w:rPr>
        <w:t>February</w:t>
      </w:r>
      <w:r w:rsidRPr="00BA6590">
        <w:rPr>
          <w:lang w:val="en-GB"/>
        </w:rPr>
        <w:t xml:space="preserve"> 2011,</w:t>
      </w:r>
      <w:r w:rsidR="00AC0AA0" w:rsidRPr="00BA6590">
        <w:rPr>
          <w:lang w:val="en-GB"/>
        </w:rPr>
        <w:t xml:space="preserve"> the Walloon </w:t>
      </w:r>
      <w:r w:rsidR="00F21548" w:rsidRPr="00BA6590">
        <w:rPr>
          <w:lang w:val="en-GB"/>
        </w:rPr>
        <w:t>government</w:t>
      </w:r>
      <w:r w:rsidR="00AC0AA0" w:rsidRPr="00BA6590">
        <w:rPr>
          <w:lang w:val="en-GB"/>
        </w:rPr>
        <w:t xml:space="preserve"> adopted the first Walloon Equality Plan, whose main objective is to</w:t>
      </w:r>
      <w:r w:rsidR="00463E9E" w:rsidRPr="00BA6590">
        <w:rPr>
          <w:lang w:val="en-GB"/>
        </w:rPr>
        <w:t xml:space="preserve"> combat various types of discrimination and draw attention to similarities between certain </w:t>
      </w:r>
      <w:r w:rsidR="00781DBA" w:rsidRPr="00BA6590">
        <w:rPr>
          <w:lang w:val="en-GB"/>
        </w:rPr>
        <w:t>form</w:t>
      </w:r>
      <w:r w:rsidR="00463E9E" w:rsidRPr="00BA6590">
        <w:rPr>
          <w:lang w:val="en-GB"/>
        </w:rPr>
        <w:t>s of exclusion.</w:t>
      </w:r>
      <w:r w:rsidR="001F3CAB" w:rsidRPr="00BA6590">
        <w:rPr>
          <w:lang w:val="en-GB"/>
        </w:rPr>
        <w:t xml:space="preserve"> </w:t>
      </w:r>
    </w:p>
    <w:p w:rsidR="00782829" w:rsidRPr="00BA6590" w:rsidRDefault="00782829" w:rsidP="00782829">
      <w:pPr>
        <w:pStyle w:val="SingleTxtG"/>
        <w:rPr>
          <w:lang w:val="en-GB"/>
        </w:rPr>
      </w:pPr>
      <w:r w:rsidRPr="00BA6590">
        <w:rPr>
          <w:lang w:val="en-GB"/>
        </w:rPr>
        <w:t>69.</w:t>
      </w:r>
      <w:r w:rsidRPr="00BA6590">
        <w:rPr>
          <w:lang w:val="en-GB"/>
        </w:rPr>
        <w:tab/>
      </w:r>
      <w:r w:rsidR="00D0493F" w:rsidRPr="00BA6590">
        <w:rPr>
          <w:lang w:val="en-GB"/>
        </w:rPr>
        <w:t xml:space="preserve">The Plan comprises specific cross-cutting measures </w:t>
      </w:r>
      <w:r w:rsidR="00781DBA" w:rsidRPr="00BA6590">
        <w:rPr>
          <w:lang w:val="en-GB"/>
        </w:rPr>
        <w:t>targeting</w:t>
      </w:r>
      <w:r w:rsidR="00D0493F" w:rsidRPr="00BA6590">
        <w:rPr>
          <w:lang w:val="en-GB"/>
        </w:rPr>
        <w:t xml:space="preserve"> the various groups protected from discrimination, such as women, gays and lesbians, persons with disabilities and </w:t>
      </w:r>
      <w:r w:rsidR="00DB302C" w:rsidRPr="00BA6590">
        <w:rPr>
          <w:lang w:val="en-GB"/>
        </w:rPr>
        <w:t>foreign nationals</w:t>
      </w:r>
      <w:r w:rsidR="00294EC3" w:rsidRPr="00BA6590">
        <w:rPr>
          <w:lang w:val="en-GB"/>
        </w:rPr>
        <w:t xml:space="preserve"> and persons</w:t>
      </w:r>
      <w:r w:rsidR="00D0493F" w:rsidRPr="00BA6590">
        <w:rPr>
          <w:lang w:val="en-GB"/>
        </w:rPr>
        <w:t xml:space="preserve"> of foreign origin</w:t>
      </w:r>
      <w:r w:rsidRPr="00BA6590">
        <w:rPr>
          <w:lang w:val="en-GB"/>
        </w:rPr>
        <w:t xml:space="preserve">. </w:t>
      </w:r>
      <w:r w:rsidR="00D0493F" w:rsidRPr="00BA6590">
        <w:rPr>
          <w:lang w:val="en-GB"/>
        </w:rPr>
        <w:t xml:space="preserve">It also includes </w:t>
      </w:r>
      <w:r w:rsidR="00781DBA" w:rsidRPr="00BA6590">
        <w:rPr>
          <w:lang w:val="en-GB"/>
        </w:rPr>
        <w:t xml:space="preserve">sectoral </w:t>
      </w:r>
      <w:r w:rsidR="00D0493F" w:rsidRPr="00BA6590">
        <w:rPr>
          <w:lang w:val="en-GB"/>
        </w:rPr>
        <w:t>measures in the areas of employment, training, housing</w:t>
      </w:r>
      <w:r w:rsidRPr="00BA6590">
        <w:rPr>
          <w:lang w:val="en-GB"/>
        </w:rPr>
        <w:t xml:space="preserve">, </w:t>
      </w:r>
      <w:r w:rsidR="00D0493F" w:rsidRPr="00BA6590">
        <w:rPr>
          <w:lang w:val="en-GB"/>
        </w:rPr>
        <w:t>balancing work and personal life</w:t>
      </w:r>
      <w:r w:rsidRPr="00BA6590">
        <w:rPr>
          <w:lang w:val="en-GB"/>
        </w:rPr>
        <w:t xml:space="preserve">, </w:t>
      </w:r>
      <w:r w:rsidR="00D0493F" w:rsidRPr="00BA6590">
        <w:rPr>
          <w:lang w:val="en-GB"/>
        </w:rPr>
        <w:t xml:space="preserve">economics and agriculture. </w:t>
      </w:r>
    </w:p>
    <w:p w:rsidR="00782829" w:rsidRPr="00BA6590" w:rsidRDefault="00782829" w:rsidP="004E090E">
      <w:pPr>
        <w:pStyle w:val="SingleTxtG"/>
        <w:rPr>
          <w:lang w:val="en-GB"/>
        </w:rPr>
      </w:pPr>
      <w:r w:rsidRPr="00BA6590">
        <w:rPr>
          <w:lang w:val="en-GB"/>
        </w:rPr>
        <w:t>70.</w:t>
      </w:r>
      <w:r w:rsidRPr="00BA6590">
        <w:rPr>
          <w:lang w:val="en-GB"/>
        </w:rPr>
        <w:tab/>
      </w:r>
      <w:r w:rsidR="00D0493F" w:rsidRPr="00BA6590">
        <w:rPr>
          <w:lang w:val="en-GB"/>
        </w:rPr>
        <w:t>A working group has been created to follow up the Plan. In 2012, the Minister responsible for equal opportunities</w:t>
      </w:r>
      <w:r w:rsidR="00294EC3" w:rsidRPr="00BA6590">
        <w:rPr>
          <w:lang w:val="en-GB"/>
        </w:rPr>
        <w:t xml:space="preserve"> presented initial government measures to implement it, including a plan for diversity and equality among public servants in the Walloon Region and a decree creating global plans for equality in state-owned enterprises, particularly targeting people of immigrant origin. </w:t>
      </w:r>
    </w:p>
    <w:p w:rsidR="00782829" w:rsidRPr="00BA6590" w:rsidRDefault="00E858F5" w:rsidP="00E858F5">
      <w:pPr>
        <w:pStyle w:val="H56G"/>
        <w:rPr>
          <w:lang w:val="en-GB"/>
        </w:rPr>
      </w:pPr>
      <w:r w:rsidRPr="00BA6590">
        <w:rPr>
          <w:lang w:val="en-GB"/>
        </w:rPr>
        <w:tab/>
      </w:r>
      <w:r w:rsidRPr="00BA6590">
        <w:rPr>
          <w:lang w:val="en-GB"/>
        </w:rPr>
        <w:tab/>
      </w:r>
      <w:r w:rsidR="00294EC3" w:rsidRPr="00BA6590">
        <w:rPr>
          <w:lang w:val="en-GB"/>
        </w:rPr>
        <w:t xml:space="preserve">Decree of </w:t>
      </w:r>
      <w:r w:rsidR="00782829" w:rsidRPr="00BA6590">
        <w:rPr>
          <w:lang w:val="en-GB"/>
        </w:rPr>
        <w:t xml:space="preserve">4 </w:t>
      </w:r>
      <w:r w:rsidR="00294EC3" w:rsidRPr="00BA6590">
        <w:rPr>
          <w:lang w:val="en-GB"/>
        </w:rPr>
        <w:t>July</w:t>
      </w:r>
      <w:r w:rsidR="00782829" w:rsidRPr="00BA6590">
        <w:rPr>
          <w:lang w:val="en-GB"/>
        </w:rPr>
        <w:t xml:space="preserve"> 1996</w:t>
      </w:r>
      <w:r w:rsidR="00294EC3" w:rsidRPr="00BA6590">
        <w:rPr>
          <w:lang w:val="en-GB"/>
        </w:rPr>
        <w:t xml:space="preserve"> amended by the decree of </w:t>
      </w:r>
      <w:r w:rsidR="00782829" w:rsidRPr="00BA6590">
        <w:rPr>
          <w:lang w:val="en-GB"/>
        </w:rPr>
        <w:t xml:space="preserve">30 </w:t>
      </w:r>
      <w:r w:rsidR="00294EC3" w:rsidRPr="00BA6590">
        <w:rPr>
          <w:lang w:val="en-GB"/>
        </w:rPr>
        <w:t>April</w:t>
      </w:r>
      <w:r w:rsidR="00782829" w:rsidRPr="00BA6590">
        <w:rPr>
          <w:lang w:val="en-GB"/>
        </w:rPr>
        <w:t xml:space="preserve"> 2009</w:t>
      </w:r>
    </w:p>
    <w:p w:rsidR="00782829" w:rsidRPr="00BA6590" w:rsidRDefault="00782829" w:rsidP="00782829">
      <w:pPr>
        <w:pStyle w:val="SingleTxtG"/>
        <w:rPr>
          <w:lang w:val="en-GB"/>
        </w:rPr>
      </w:pPr>
      <w:r w:rsidRPr="00BA6590">
        <w:rPr>
          <w:lang w:val="en-GB"/>
        </w:rPr>
        <w:t>71.</w:t>
      </w:r>
      <w:r w:rsidRPr="00BA6590">
        <w:rPr>
          <w:lang w:val="en-GB"/>
        </w:rPr>
        <w:tab/>
      </w:r>
      <w:r w:rsidR="00294EC3" w:rsidRPr="00BA6590">
        <w:rPr>
          <w:lang w:val="en-GB"/>
        </w:rPr>
        <w:t>Integration policies in the Walloon Region</w:t>
      </w:r>
      <w:r w:rsidR="00F56010" w:rsidRPr="00BA6590">
        <w:rPr>
          <w:lang w:val="en-GB"/>
        </w:rPr>
        <w:t xml:space="preserve"> are implemented in the framework of the decree of </w:t>
      </w:r>
      <w:r w:rsidRPr="00BA6590">
        <w:rPr>
          <w:lang w:val="en-GB"/>
        </w:rPr>
        <w:t xml:space="preserve">4 </w:t>
      </w:r>
      <w:r w:rsidR="00F56010" w:rsidRPr="00BA6590">
        <w:rPr>
          <w:lang w:val="en-GB"/>
        </w:rPr>
        <w:t>July</w:t>
      </w:r>
      <w:r w:rsidRPr="00BA6590">
        <w:rPr>
          <w:lang w:val="en-GB"/>
        </w:rPr>
        <w:t xml:space="preserve"> 1996</w:t>
      </w:r>
      <w:r w:rsidR="00F56010" w:rsidRPr="00BA6590">
        <w:rPr>
          <w:lang w:val="en-GB"/>
        </w:rPr>
        <w:t xml:space="preserve"> on the integration of foreign</w:t>
      </w:r>
      <w:r w:rsidR="00DB302C" w:rsidRPr="00BA6590">
        <w:rPr>
          <w:lang w:val="en-GB"/>
        </w:rPr>
        <w:t xml:space="preserve"> nationals</w:t>
      </w:r>
      <w:r w:rsidR="00F56010" w:rsidRPr="00BA6590">
        <w:rPr>
          <w:lang w:val="en-GB"/>
        </w:rPr>
        <w:t xml:space="preserve"> and persons of foreign origin</w:t>
      </w:r>
      <w:r w:rsidRPr="00BA6590">
        <w:rPr>
          <w:lang w:val="en-GB"/>
        </w:rPr>
        <w:t>.</w:t>
      </w:r>
      <w:r w:rsidR="00F56010" w:rsidRPr="00BA6590">
        <w:rPr>
          <w:lang w:val="en-GB"/>
        </w:rPr>
        <w:t xml:space="preserve"> That decree was recently amended by the decree of </w:t>
      </w:r>
      <w:r w:rsidRPr="00BA6590">
        <w:rPr>
          <w:lang w:val="en-GB"/>
        </w:rPr>
        <w:t xml:space="preserve">30 </w:t>
      </w:r>
      <w:r w:rsidR="00F56010" w:rsidRPr="00BA6590">
        <w:rPr>
          <w:lang w:val="en-GB"/>
        </w:rPr>
        <w:t>April</w:t>
      </w:r>
      <w:r w:rsidRPr="00BA6590">
        <w:rPr>
          <w:lang w:val="en-GB"/>
        </w:rPr>
        <w:t xml:space="preserve"> 2009 </w:t>
      </w:r>
      <w:r w:rsidR="00F56010" w:rsidRPr="00BA6590">
        <w:rPr>
          <w:lang w:val="en-GB"/>
        </w:rPr>
        <w:t>in order to</w:t>
      </w:r>
      <w:r w:rsidRPr="00BA6590">
        <w:rPr>
          <w:lang w:val="en-GB"/>
        </w:rPr>
        <w:t>:</w:t>
      </w:r>
    </w:p>
    <w:p w:rsidR="00782829" w:rsidRPr="00BA6590" w:rsidRDefault="00D319DE" w:rsidP="004E090E">
      <w:pPr>
        <w:pStyle w:val="Bullet1G"/>
        <w:rPr>
          <w:lang w:val="en-GB"/>
        </w:rPr>
      </w:pPr>
      <w:r w:rsidRPr="00BA6590">
        <w:rPr>
          <w:lang w:val="en-GB"/>
        </w:rPr>
        <w:t xml:space="preserve">Adapt </w:t>
      </w:r>
      <w:r w:rsidR="00F56010" w:rsidRPr="00BA6590">
        <w:rPr>
          <w:lang w:val="en-GB"/>
        </w:rPr>
        <w:t xml:space="preserve">to changes in </w:t>
      </w:r>
      <w:r w:rsidR="00781DBA" w:rsidRPr="00BA6590">
        <w:rPr>
          <w:lang w:val="en-GB"/>
        </w:rPr>
        <w:t xml:space="preserve">integration </w:t>
      </w:r>
      <w:r w:rsidR="00F56010" w:rsidRPr="00BA6590">
        <w:rPr>
          <w:lang w:val="en-GB"/>
        </w:rPr>
        <w:t>target groups and in their needs</w:t>
      </w:r>
      <w:r w:rsidR="004E090E" w:rsidRPr="00BA6590">
        <w:rPr>
          <w:lang w:val="en-GB"/>
        </w:rPr>
        <w:t>;</w:t>
      </w:r>
    </w:p>
    <w:p w:rsidR="00782829" w:rsidRPr="00BA6590" w:rsidRDefault="00D319DE" w:rsidP="00FC2619">
      <w:pPr>
        <w:pStyle w:val="Bullet1G"/>
        <w:rPr>
          <w:lang w:val="en-GB"/>
        </w:rPr>
      </w:pPr>
      <w:r w:rsidRPr="00BA6590">
        <w:rPr>
          <w:lang w:val="en-GB"/>
        </w:rPr>
        <w:t xml:space="preserve">Specify </w:t>
      </w:r>
      <w:r w:rsidR="00F56010" w:rsidRPr="00BA6590">
        <w:rPr>
          <w:lang w:val="en-GB"/>
        </w:rPr>
        <w:t xml:space="preserve">the </w:t>
      </w:r>
      <w:r w:rsidR="00C66683" w:rsidRPr="00BA6590">
        <w:rPr>
          <w:lang w:val="en-GB"/>
        </w:rPr>
        <w:t>responsibilitie</w:t>
      </w:r>
      <w:r w:rsidR="00F56010" w:rsidRPr="00BA6590">
        <w:rPr>
          <w:lang w:val="en-GB"/>
        </w:rPr>
        <w:t xml:space="preserve">s of </w:t>
      </w:r>
      <w:r w:rsidR="00C66683" w:rsidRPr="00BA6590">
        <w:rPr>
          <w:lang w:val="en-GB"/>
        </w:rPr>
        <w:t>r</w:t>
      </w:r>
      <w:r w:rsidR="00F56010" w:rsidRPr="00BA6590">
        <w:rPr>
          <w:lang w:val="en-GB"/>
        </w:rPr>
        <w:t xml:space="preserve">egional </w:t>
      </w:r>
      <w:r w:rsidR="00C66683" w:rsidRPr="00BA6590">
        <w:rPr>
          <w:lang w:val="en-GB"/>
        </w:rPr>
        <w:t>i</w:t>
      </w:r>
      <w:r w:rsidR="00F56010" w:rsidRPr="00BA6590">
        <w:rPr>
          <w:lang w:val="en-GB"/>
        </w:rPr>
        <w:t xml:space="preserve">ntegration </w:t>
      </w:r>
      <w:r w:rsidR="00C66683" w:rsidRPr="00BA6590">
        <w:rPr>
          <w:lang w:val="en-GB"/>
        </w:rPr>
        <w:t>c</w:t>
      </w:r>
      <w:r w:rsidR="00F56010" w:rsidRPr="00BA6590">
        <w:rPr>
          <w:lang w:val="en-GB"/>
        </w:rPr>
        <w:t>entres;</w:t>
      </w:r>
      <w:r w:rsidR="00333920" w:rsidRPr="00BA6590">
        <w:rPr>
          <w:rStyle w:val="FootnoteReference"/>
          <w:lang w:val="en-GB"/>
        </w:rPr>
        <w:footnoteReference w:id="15"/>
      </w:r>
    </w:p>
    <w:p w:rsidR="00782829" w:rsidRPr="00BA6590" w:rsidRDefault="00D319DE" w:rsidP="00FC2619">
      <w:pPr>
        <w:pStyle w:val="Bullet1G"/>
        <w:rPr>
          <w:lang w:val="en-GB"/>
        </w:rPr>
      </w:pPr>
      <w:r w:rsidRPr="00BA6590">
        <w:rPr>
          <w:lang w:val="en-GB"/>
        </w:rPr>
        <w:t xml:space="preserve">Approve </w:t>
      </w:r>
      <w:r w:rsidR="00F56010" w:rsidRPr="00BA6590">
        <w:rPr>
          <w:lang w:val="en-GB"/>
        </w:rPr>
        <w:t>and subsidize local social development initiatives</w:t>
      </w:r>
      <w:r w:rsidR="004E090E" w:rsidRPr="00BA6590">
        <w:rPr>
          <w:lang w:val="en-GB"/>
        </w:rPr>
        <w:t>;</w:t>
      </w:r>
    </w:p>
    <w:p w:rsidR="00782829" w:rsidRPr="00BA6590" w:rsidRDefault="00D319DE" w:rsidP="00FC2619">
      <w:pPr>
        <w:pStyle w:val="Bullet1G"/>
        <w:rPr>
          <w:lang w:val="en-GB"/>
        </w:rPr>
      </w:pPr>
      <w:r w:rsidRPr="00BA6590">
        <w:rPr>
          <w:lang w:val="en-GB"/>
        </w:rPr>
        <w:t xml:space="preserve">Take </w:t>
      </w:r>
      <w:r w:rsidR="00F56010" w:rsidRPr="00BA6590">
        <w:rPr>
          <w:lang w:val="en-GB"/>
        </w:rPr>
        <w:t xml:space="preserve">into account European </w:t>
      </w:r>
      <w:r w:rsidR="00C66683" w:rsidRPr="00BA6590">
        <w:rPr>
          <w:lang w:val="en-GB"/>
        </w:rPr>
        <w:t>d</w:t>
      </w:r>
      <w:r w:rsidR="00F56010" w:rsidRPr="00BA6590">
        <w:rPr>
          <w:lang w:val="en-GB"/>
        </w:rPr>
        <w:t>irectives and recommendations</w:t>
      </w:r>
      <w:r w:rsidR="004E090E" w:rsidRPr="00BA6590">
        <w:rPr>
          <w:lang w:val="en-GB"/>
        </w:rPr>
        <w:t>;</w:t>
      </w:r>
      <w:r w:rsidR="00F56010" w:rsidRPr="00BA6590">
        <w:rPr>
          <w:lang w:val="en-GB"/>
        </w:rPr>
        <w:t xml:space="preserve"> and</w:t>
      </w:r>
    </w:p>
    <w:p w:rsidR="00782829" w:rsidRPr="00BA6590" w:rsidRDefault="00D319DE" w:rsidP="00FC2619">
      <w:pPr>
        <w:pStyle w:val="Bullet1G"/>
        <w:rPr>
          <w:lang w:val="en-GB"/>
        </w:rPr>
      </w:pPr>
      <w:r w:rsidRPr="00BA6590">
        <w:rPr>
          <w:lang w:val="en-GB"/>
        </w:rPr>
        <w:t xml:space="preserve">Specify </w:t>
      </w:r>
      <w:r w:rsidR="00F56010" w:rsidRPr="00BA6590">
        <w:rPr>
          <w:lang w:val="en-GB"/>
        </w:rPr>
        <w:t>those goals of Walloon policy which are of a cross-cutting nature</w:t>
      </w:r>
      <w:r w:rsidR="00782829" w:rsidRPr="00BA6590">
        <w:rPr>
          <w:lang w:val="en-GB"/>
        </w:rPr>
        <w:t>.</w:t>
      </w:r>
    </w:p>
    <w:p w:rsidR="00782829" w:rsidRPr="00BA6590" w:rsidRDefault="00782829" w:rsidP="00043DF2">
      <w:pPr>
        <w:pStyle w:val="SingleTxtG"/>
        <w:rPr>
          <w:lang w:val="en-GB"/>
        </w:rPr>
      </w:pPr>
      <w:r w:rsidRPr="00BA6590">
        <w:rPr>
          <w:lang w:val="en-GB"/>
        </w:rPr>
        <w:t>72.</w:t>
      </w:r>
      <w:r w:rsidRPr="00BA6590">
        <w:rPr>
          <w:lang w:val="en-GB"/>
        </w:rPr>
        <w:tab/>
      </w:r>
      <w:r w:rsidR="00BF28AC" w:rsidRPr="00BA6590">
        <w:rPr>
          <w:lang w:val="en-GB"/>
        </w:rPr>
        <w:t>The decree explicitly calls for subsidizing local social development initiatives for the integration of migrants. To that end, a call for project proposals is issued yearly</w:t>
      </w:r>
      <w:r w:rsidR="00AB2458" w:rsidRPr="00BA6590">
        <w:rPr>
          <w:lang w:val="en-GB"/>
        </w:rPr>
        <w:t xml:space="preserve">, </w:t>
      </w:r>
      <w:r w:rsidR="00BF28AC" w:rsidRPr="00BA6590">
        <w:rPr>
          <w:lang w:val="en-GB"/>
        </w:rPr>
        <w:t>formally target</w:t>
      </w:r>
      <w:r w:rsidR="00AB2458" w:rsidRPr="00BA6590">
        <w:rPr>
          <w:lang w:val="en-GB"/>
        </w:rPr>
        <w:t>ing</w:t>
      </w:r>
      <w:r w:rsidR="00BF28AC" w:rsidRPr="00BA6590">
        <w:rPr>
          <w:lang w:val="en-GB"/>
        </w:rPr>
        <w:t xml:space="preserve"> recent arrivals as the priority group. In </w:t>
      </w:r>
      <w:r w:rsidRPr="00BA6590">
        <w:rPr>
          <w:lang w:val="en-GB"/>
        </w:rPr>
        <w:t>2010, 110</w:t>
      </w:r>
      <w:r w:rsidR="00BF28AC" w:rsidRPr="00BA6590">
        <w:rPr>
          <w:lang w:val="en-GB"/>
        </w:rPr>
        <w:t xml:space="preserve"> associations were supported in the framework of th</w:t>
      </w:r>
      <w:r w:rsidR="002F1846" w:rsidRPr="00BA6590">
        <w:rPr>
          <w:lang w:val="en-GB"/>
        </w:rPr>
        <w:t>e call</w:t>
      </w:r>
      <w:r w:rsidR="00BF28AC" w:rsidRPr="00BA6590">
        <w:rPr>
          <w:lang w:val="en-GB"/>
        </w:rPr>
        <w:t xml:space="preserve"> for proposals</w:t>
      </w:r>
      <w:r w:rsidR="002F1846" w:rsidRPr="00BA6590">
        <w:rPr>
          <w:lang w:val="en-GB"/>
        </w:rPr>
        <w:t xml:space="preserve"> and </w:t>
      </w:r>
      <w:r w:rsidRPr="00BA6590">
        <w:rPr>
          <w:lang w:val="en-GB"/>
        </w:rPr>
        <w:t>163</w:t>
      </w:r>
      <w:r w:rsidR="00BF28AC" w:rsidRPr="00BA6590">
        <w:rPr>
          <w:lang w:val="en-GB"/>
        </w:rPr>
        <w:t xml:space="preserve"> applications for support were </w:t>
      </w:r>
      <w:r w:rsidR="002F1846" w:rsidRPr="00BA6590">
        <w:rPr>
          <w:lang w:val="en-GB"/>
        </w:rPr>
        <w:t>receiv</w:t>
      </w:r>
      <w:r w:rsidR="00BF28AC" w:rsidRPr="00BA6590">
        <w:rPr>
          <w:lang w:val="en-GB"/>
        </w:rPr>
        <w:t>ed</w:t>
      </w:r>
      <w:r w:rsidR="002F1846" w:rsidRPr="00BA6590">
        <w:rPr>
          <w:lang w:val="en-GB"/>
        </w:rPr>
        <w:t xml:space="preserve"> in 2011</w:t>
      </w:r>
      <w:r w:rsidR="00BF28AC" w:rsidRPr="00BA6590">
        <w:rPr>
          <w:lang w:val="en-GB"/>
        </w:rPr>
        <w:t>; for example, the following activities were developed</w:t>
      </w:r>
      <w:r w:rsidRPr="00BA6590">
        <w:rPr>
          <w:lang w:val="en-GB"/>
        </w:rPr>
        <w:t>:</w:t>
      </w:r>
    </w:p>
    <w:p w:rsidR="00333920" w:rsidRPr="00BA6590" w:rsidRDefault="0021611B" w:rsidP="00333920">
      <w:pPr>
        <w:pStyle w:val="Bullet1G"/>
        <w:rPr>
          <w:lang w:val="en-GB"/>
        </w:rPr>
      </w:pPr>
      <w:r w:rsidRPr="00BA6590">
        <w:rPr>
          <w:lang w:val="en-GB"/>
        </w:rPr>
        <w:t xml:space="preserve">Actions </w:t>
      </w:r>
      <w:r w:rsidR="00BF28AC" w:rsidRPr="00BA6590">
        <w:rPr>
          <w:lang w:val="en-GB"/>
        </w:rPr>
        <w:t>or mechanisms for reception, administrative and social assistance, information and translation</w:t>
      </w:r>
      <w:r w:rsidR="00043DF2" w:rsidRPr="00BA6590">
        <w:rPr>
          <w:lang w:val="en-GB"/>
        </w:rPr>
        <w:t>;</w:t>
      </w:r>
    </w:p>
    <w:p w:rsidR="00333920" w:rsidRPr="00BA6590" w:rsidRDefault="0021611B" w:rsidP="00333920">
      <w:pPr>
        <w:pStyle w:val="Bullet1G"/>
        <w:rPr>
          <w:lang w:val="en-GB"/>
        </w:rPr>
      </w:pPr>
      <w:r w:rsidRPr="00BA6590">
        <w:rPr>
          <w:lang w:val="en-GB"/>
        </w:rPr>
        <w:t xml:space="preserve">Literacy </w:t>
      </w:r>
      <w:r w:rsidR="00BF28AC" w:rsidRPr="00BA6590">
        <w:rPr>
          <w:lang w:val="en-GB"/>
        </w:rPr>
        <w:t>initiatives for a target group consisting mostly of foreign nationa</w:t>
      </w:r>
      <w:r w:rsidR="00AB2458" w:rsidRPr="00BA6590">
        <w:rPr>
          <w:lang w:val="en-GB"/>
        </w:rPr>
        <w:t>ls or persons of foreign origin and</w:t>
      </w:r>
      <w:r w:rsidR="00BF28AC" w:rsidRPr="00BA6590">
        <w:rPr>
          <w:lang w:val="en-GB"/>
        </w:rPr>
        <w:t xml:space="preserve"> specific lessons in French as a second language</w:t>
      </w:r>
      <w:r w:rsidR="00043DF2" w:rsidRPr="00BA6590">
        <w:rPr>
          <w:lang w:val="en-GB"/>
        </w:rPr>
        <w:t>;</w:t>
      </w:r>
    </w:p>
    <w:p w:rsidR="00333920" w:rsidRPr="00BA6590" w:rsidRDefault="0021611B" w:rsidP="00333920">
      <w:pPr>
        <w:pStyle w:val="Bullet1G"/>
        <w:rPr>
          <w:lang w:val="en-GB"/>
        </w:rPr>
      </w:pPr>
      <w:r w:rsidRPr="00BA6590">
        <w:rPr>
          <w:lang w:val="en-GB"/>
        </w:rPr>
        <w:t xml:space="preserve">As </w:t>
      </w:r>
      <w:r w:rsidR="00BF28AC" w:rsidRPr="00BA6590">
        <w:rPr>
          <w:lang w:val="en-GB"/>
        </w:rPr>
        <w:t>a preventive measure, activities to provide help with homework, remedial teaching and language refresher courses</w:t>
      </w:r>
      <w:r w:rsidR="00043DF2" w:rsidRPr="00BA6590">
        <w:rPr>
          <w:lang w:val="en-GB"/>
        </w:rPr>
        <w:t>;</w:t>
      </w:r>
      <w:r w:rsidR="007A1F05" w:rsidRPr="00BA6590">
        <w:rPr>
          <w:lang w:val="en-GB"/>
        </w:rPr>
        <w:t xml:space="preserve"> and</w:t>
      </w:r>
    </w:p>
    <w:p w:rsidR="00333920" w:rsidRPr="00BA6590" w:rsidRDefault="0021611B" w:rsidP="00333920">
      <w:pPr>
        <w:pStyle w:val="Bullet1G"/>
        <w:rPr>
          <w:lang w:val="en-GB"/>
        </w:rPr>
      </w:pPr>
      <w:r w:rsidRPr="00BA6590">
        <w:rPr>
          <w:lang w:val="en-GB"/>
        </w:rPr>
        <w:t xml:space="preserve">From </w:t>
      </w:r>
      <w:r w:rsidR="007A1F05" w:rsidRPr="00BA6590">
        <w:rPr>
          <w:lang w:val="en-GB"/>
        </w:rPr>
        <w:t>time to time</w:t>
      </w:r>
      <w:r w:rsidR="002F1846" w:rsidRPr="00BA6590">
        <w:rPr>
          <w:lang w:val="en-GB"/>
        </w:rPr>
        <w:t>, activities</w:t>
      </w:r>
      <w:r w:rsidR="00BF28AC" w:rsidRPr="00BA6590">
        <w:rPr>
          <w:lang w:val="en-GB"/>
        </w:rPr>
        <w:t xml:space="preserve"> to improve knowledge of the host country, mutual awareness</w:t>
      </w:r>
      <w:r w:rsidR="007A1F05" w:rsidRPr="00BA6590">
        <w:rPr>
          <w:lang w:val="en-GB"/>
        </w:rPr>
        <w:t xml:space="preserve"> and coexistence between people of different origins (cross-cultural interaction, non-violent communication), familiarization with the language or culture of the country of origin</w:t>
      </w:r>
      <w:r w:rsidR="002F1846" w:rsidRPr="00BA6590">
        <w:rPr>
          <w:lang w:val="en-GB"/>
        </w:rPr>
        <w:t xml:space="preserve"> and</w:t>
      </w:r>
      <w:r w:rsidR="007A1F05" w:rsidRPr="00BA6590">
        <w:rPr>
          <w:lang w:val="en-GB"/>
        </w:rPr>
        <w:t xml:space="preserve"> leadership and awareness-raising activities</w:t>
      </w:r>
      <w:r w:rsidR="002F1846" w:rsidRPr="00BA6590">
        <w:rPr>
          <w:lang w:val="en-GB"/>
        </w:rPr>
        <w:t xml:space="preserve"> developed from time to time through</w:t>
      </w:r>
      <w:r w:rsidR="007A1F05" w:rsidRPr="00BA6590">
        <w:rPr>
          <w:lang w:val="en-GB"/>
        </w:rPr>
        <w:t xml:space="preserve"> (cross-)cultural weeks, days, campaigns and publications. </w:t>
      </w:r>
    </w:p>
    <w:p w:rsidR="006C0B4D" w:rsidRPr="00BA6590" w:rsidRDefault="00E363B2" w:rsidP="00E363B2">
      <w:pPr>
        <w:pStyle w:val="H56G"/>
        <w:rPr>
          <w:lang w:val="en-GB"/>
        </w:rPr>
      </w:pPr>
      <w:r w:rsidRPr="00BA6590">
        <w:rPr>
          <w:lang w:val="en-GB"/>
        </w:rPr>
        <w:tab/>
      </w:r>
      <w:r w:rsidRPr="00BA6590">
        <w:rPr>
          <w:lang w:val="en-GB"/>
        </w:rPr>
        <w:tab/>
      </w:r>
      <w:r w:rsidR="00911EB3" w:rsidRPr="00BA6590">
        <w:rPr>
          <w:lang w:val="en-GB"/>
        </w:rPr>
        <w:t xml:space="preserve">Reception and integration of recent arrivals in the Walloon and Brussels-Capital </w:t>
      </w:r>
      <w:r w:rsidR="0021611B" w:rsidRPr="00BA6590">
        <w:rPr>
          <w:lang w:val="en-GB"/>
        </w:rPr>
        <w:br/>
      </w:r>
      <w:r w:rsidR="00911EB3" w:rsidRPr="00BA6590">
        <w:rPr>
          <w:lang w:val="en-GB"/>
        </w:rPr>
        <w:t>Regions</w:t>
      </w:r>
    </w:p>
    <w:p w:rsidR="006C0B4D" w:rsidRPr="00BA6590" w:rsidRDefault="006C0B4D" w:rsidP="006C0B4D">
      <w:pPr>
        <w:pStyle w:val="SingleTxtG"/>
        <w:rPr>
          <w:lang w:val="en-GB"/>
        </w:rPr>
      </w:pPr>
      <w:r w:rsidRPr="00BA6590">
        <w:rPr>
          <w:lang w:val="en-GB"/>
        </w:rPr>
        <w:t>73.</w:t>
      </w:r>
      <w:r w:rsidRPr="00BA6590">
        <w:rPr>
          <w:lang w:val="en-GB"/>
        </w:rPr>
        <w:tab/>
      </w:r>
      <w:r w:rsidR="00911EB3" w:rsidRPr="00BA6590">
        <w:rPr>
          <w:lang w:val="en-GB"/>
        </w:rPr>
        <w:t xml:space="preserve">On </w:t>
      </w:r>
      <w:r w:rsidRPr="00BA6590">
        <w:rPr>
          <w:lang w:val="en-GB"/>
        </w:rPr>
        <w:t xml:space="preserve">12 </w:t>
      </w:r>
      <w:r w:rsidR="00911EB3" w:rsidRPr="00BA6590">
        <w:rPr>
          <w:lang w:val="en-GB"/>
        </w:rPr>
        <w:t>May</w:t>
      </w:r>
      <w:r w:rsidRPr="00BA6590">
        <w:rPr>
          <w:lang w:val="en-GB"/>
        </w:rPr>
        <w:t xml:space="preserve"> 2011,</w:t>
      </w:r>
      <w:r w:rsidR="00911EB3" w:rsidRPr="00BA6590">
        <w:rPr>
          <w:lang w:val="en-GB"/>
        </w:rPr>
        <w:t xml:space="preserve"> the Board of the French Community </w:t>
      </w:r>
      <w:r w:rsidRPr="00BA6590">
        <w:rPr>
          <w:lang w:val="en-GB"/>
        </w:rPr>
        <w:t>Commission</w:t>
      </w:r>
      <w:r w:rsidR="00911EB3" w:rsidRPr="00BA6590">
        <w:rPr>
          <w:lang w:val="en-GB"/>
        </w:rPr>
        <w:t xml:space="preserve"> of the Brussels</w:t>
      </w:r>
      <w:r w:rsidR="00D94C5A" w:rsidRPr="00BA6590">
        <w:rPr>
          <w:lang w:val="en-GB"/>
        </w:rPr>
        <w:noBreakHyphen/>
      </w:r>
      <w:r w:rsidR="00911EB3" w:rsidRPr="00BA6590">
        <w:rPr>
          <w:lang w:val="en-GB"/>
        </w:rPr>
        <w:t>Capital Region</w:t>
      </w:r>
      <w:r w:rsidRPr="00BA6590">
        <w:rPr>
          <w:lang w:val="en-GB"/>
        </w:rPr>
        <w:t xml:space="preserve"> (COCOF),</w:t>
      </w:r>
      <w:r w:rsidR="00911EB3" w:rsidRPr="00BA6590">
        <w:rPr>
          <w:lang w:val="en-GB"/>
        </w:rPr>
        <w:t xml:space="preserve"> </w:t>
      </w:r>
      <w:r w:rsidR="00A56D8B" w:rsidRPr="00BA6590">
        <w:rPr>
          <w:lang w:val="en-GB"/>
        </w:rPr>
        <w:t xml:space="preserve">the </w:t>
      </w:r>
      <w:r w:rsidR="00F21548" w:rsidRPr="00BA6590">
        <w:rPr>
          <w:lang w:val="en-GB"/>
        </w:rPr>
        <w:t>government</w:t>
      </w:r>
      <w:r w:rsidR="00A56D8B" w:rsidRPr="00BA6590">
        <w:rPr>
          <w:lang w:val="en-GB"/>
        </w:rPr>
        <w:t xml:space="preserve"> of</w:t>
      </w:r>
      <w:r w:rsidRPr="00BA6590">
        <w:rPr>
          <w:lang w:val="en-GB"/>
        </w:rPr>
        <w:t xml:space="preserve"> </w:t>
      </w:r>
      <w:r w:rsidR="00A56D8B" w:rsidRPr="00BA6590">
        <w:rPr>
          <w:lang w:val="en-GB"/>
        </w:rPr>
        <w:t>the Wallonia-Brussels Federation</w:t>
      </w:r>
      <w:r w:rsidRPr="00BA6590">
        <w:rPr>
          <w:lang w:val="en-GB"/>
        </w:rPr>
        <w:t xml:space="preserve"> (</w:t>
      </w:r>
      <w:r w:rsidR="00A56D8B" w:rsidRPr="00BA6590">
        <w:rPr>
          <w:lang w:val="en-GB"/>
        </w:rPr>
        <w:t>the French Community</w:t>
      </w:r>
      <w:r w:rsidRPr="00BA6590">
        <w:rPr>
          <w:lang w:val="en-GB"/>
        </w:rPr>
        <w:t>)</w:t>
      </w:r>
      <w:r w:rsidR="00A56D8B" w:rsidRPr="00BA6590">
        <w:rPr>
          <w:lang w:val="en-GB"/>
        </w:rPr>
        <w:t xml:space="preserve"> and the </w:t>
      </w:r>
      <w:r w:rsidR="00F21548" w:rsidRPr="00BA6590">
        <w:rPr>
          <w:lang w:val="en-GB"/>
        </w:rPr>
        <w:t>government</w:t>
      </w:r>
      <w:r w:rsidR="00A56D8B" w:rsidRPr="00BA6590">
        <w:rPr>
          <w:lang w:val="en-GB"/>
        </w:rPr>
        <w:t xml:space="preserve"> of the Walloon Region agreed to jointly organize and establish</w:t>
      </w:r>
      <w:r w:rsidR="00035700" w:rsidRPr="00BA6590">
        <w:rPr>
          <w:lang w:val="en-GB"/>
        </w:rPr>
        <w:t xml:space="preserve"> a genuine reception and integration programme for recent arrivals </w:t>
      </w:r>
      <w:r w:rsidR="002F1846" w:rsidRPr="00BA6590">
        <w:rPr>
          <w:lang w:val="en-GB"/>
        </w:rPr>
        <w:t xml:space="preserve">at the local level </w:t>
      </w:r>
      <w:r w:rsidR="00035700" w:rsidRPr="00BA6590">
        <w:rPr>
          <w:lang w:val="en-GB"/>
        </w:rPr>
        <w:t xml:space="preserve">to provide them with the support and information they need in order to live fully independent lives. </w:t>
      </w:r>
    </w:p>
    <w:p w:rsidR="006C0B4D" w:rsidRPr="00BA6590" w:rsidRDefault="006C0B4D" w:rsidP="006C0B4D">
      <w:pPr>
        <w:pStyle w:val="SingleTxtG"/>
        <w:rPr>
          <w:lang w:val="en-GB"/>
        </w:rPr>
      </w:pPr>
      <w:r w:rsidRPr="00BA6590">
        <w:rPr>
          <w:lang w:val="en-GB"/>
        </w:rPr>
        <w:t>74.</w:t>
      </w:r>
      <w:r w:rsidRPr="00BA6590">
        <w:rPr>
          <w:lang w:val="en-GB"/>
        </w:rPr>
        <w:tab/>
      </w:r>
      <w:r w:rsidR="00035700" w:rsidRPr="00BA6590">
        <w:rPr>
          <w:lang w:val="en-GB"/>
        </w:rPr>
        <w:t xml:space="preserve">To preserve and strengthen that coherent approach, a more formal common framework was established between the three governments through a memorandum of understanding whose main characteristics are described below. They fix common benchmarks for the creation of support mechanisms for the reception programme, with modalities to be set by the </w:t>
      </w:r>
      <w:r w:rsidR="00C66683" w:rsidRPr="00BA6590">
        <w:rPr>
          <w:lang w:val="en-GB"/>
        </w:rPr>
        <w:t>g</w:t>
      </w:r>
      <w:r w:rsidR="00035700" w:rsidRPr="00BA6590">
        <w:rPr>
          <w:lang w:val="en-GB"/>
        </w:rPr>
        <w:t xml:space="preserve">overnment of the Walloon Region and the Board of COCOF. </w:t>
      </w:r>
    </w:p>
    <w:p w:rsidR="006C0B4D" w:rsidRPr="00BA6590" w:rsidRDefault="006C0B4D" w:rsidP="006C0B4D">
      <w:pPr>
        <w:pStyle w:val="SingleTxtG"/>
        <w:rPr>
          <w:lang w:val="en-GB"/>
        </w:rPr>
      </w:pPr>
      <w:r w:rsidRPr="00BA6590">
        <w:rPr>
          <w:lang w:val="en-GB"/>
        </w:rPr>
        <w:t>75.</w:t>
      </w:r>
      <w:r w:rsidRPr="00BA6590">
        <w:rPr>
          <w:lang w:val="en-GB"/>
        </w:rPr>
        <w:tab/>
      </w:r>
      <w:r w:rsidR="00035700" w:rsidRPr="00BA6590">
        <w:rPr>
          <w:lang w:val="en-GB"/>
        </w:rPr>
        <w:t>The reception programme, which h</w:t>
      </w:r>
      <w:r w:rsidR="002F1846" w:rsidRPr="00BA6590">
        <w:rPr>
          <w:lang w:val="en-GB"/>
        </w:rPr>
        <w:t>as not yet been launched, will:</w:t>
      </w:r>
      <w:r w:rsidR="00035700" w:rsidRPr="00BA6590">
        <w:rPr>
          <w:lang w:val="en-GB"/>
        </w:rPr>
        <w:t xml:space="preserve"> </w:t>
      </w:r>
    </w:p>
    <w:p w:rsidR="006C0B4D" w:rsidRPr="00BA6590" w:rsidRDefault="0021611B" w:rsidP="006C0B4D">
      <w:pPr>
        <w:pStyle w:val="Bullet1G"/>
        <w:rPr>
          <w:lang w:val="en-GB"/>
        </w:rPr>
      </w:pPr>
      <w:r w:rsidRPr="00BA6590">
        <w:rPr>
          <w:lang w:val="en-GB"/>
        </w:rPr>
        <w:t xml:space="preserve">Be </w:t>
      </w:r>
      <w:r w:rsidR="00035700" w:rsidRPr="00BA6590">
        <w:rPr>
          <w:lang w:val="en-GB"/>
        </w:rPr>
        <w:t>designed for new migrants</w:t>
      </w:r>
      <w:r w:rsidR="00043DF2" w:rsidRPr="00BA6590">
        <w:rPr>
          <w:lang w:val="en-GB"/>
        </w:rPr>
        <w:t>;</w:t>
      </w:r>
    </w:p>
    <w:p w:rsidR="006C0B4D" w:rsidRPr="00BA6590" w:rsidRDefault="0021611B" w:rsidP="006C0B4D">
      <w:pPr>
        <w:pStyle w:val="Bullet1G"/>
        <w:rPr>
          <w:lang w:val="en-GB"/>
        </w:rPr>
      </w:pPr>
      <w:r w:rsidRPr="00BA6590">
        <w:rPr>
          <w:lang w:val="en-GB"/>
        </w:rPr>
        <w:t xml:space="preserve">Combine </w:t>
      </w:r>
      <w:r w:rsidR="00035700" w:rsidRPr="00BA6590">
        <w:rPr>
          <w:lang w:val="en-GB"/>
        </w:rPr>
        <w:t>at least three elements: French as a Foreign Language (FFL) or literacy, citizenship and socio</w:t>
      </w:r>
      <w:r w:rsidR="00627CC2" w:rsidRPr="00BA6590">
        <w:rPr>
          <w:lang w:val="en-GB"/>
        </w:rPr>
        <w:t>-</w:t>
      </w:r>
      <w:r w:rsidR="00035700" w:rsidRPr="00BA6590">
        <w:rPr>
          <w:lang w:val="en-GB"/>
        </w:rPr>
        <w:t>professional guidance</w:t>
      </w:r>
      <w:r w:rsidR="00043DF2" w:rsidRPr="00BA6590">
        <w:rPr>
          <w:lang w:val="en-GB"/>
        </w:rPr>
        <w:t>;</w:t>
      </w:r>
    </w:p>
    <w:p w:rsidR="006C0B4D" w:rsidRPr="00BA6590" w:rsidRDefault="0021611B" w:rsidP="006C0B4D">
      <w:pPr>
        <w:pStyle w:val="Bullet1G"/>
        <w:rPr>
          <w:lang w:val="en-GB"/>
        </w:rPr>
      </w:pPr>
      <w:r w:rsidRPr="00BA6590">
        <w:rPr>
          <w:lang w:val="en-GB"/>
        </w:rPr>
        <w:t xml:space="preserve">Be </w:t>
      </w:r>
      <w:r w:rsidR="00035700" w:rsidRPr="00BA6590">
        <w:rPr>
          <w:lang w:val="en-GB"/>
        </w:rPr>
        <w:t>voluntary</w:t>
      </w:r>
      <w:r w:rsidR="00043DF2" w:rsidRPr="00BA6590">
        <w:rPr>
          <w:lang w:val="en-GB"/>
        </w:rPr>
        <w:t>;</w:t>
      </w:r>
    </w:p>
    <w:p w:rsidR="006C0B4D" w:rsidRPr="00BA6590" w:rsidRDefault="0021611B" w:rsidP="006C0B4D">
      <w:pPr>
        <w:pStyle w:val="Bullet1G"/>
        <w:rPr>
          <w:lang w:val="en-GB"/>
        </w:rPr>
      </w:pPr>
      <w:r w:rsidRPr="00BA6590">
        <w:rPr>
          <w:lang w:val="en-GB"/>
        </w:rPr>
        <w:t xml:space="preserve">Be </w:t>
      </w:r>
      <w:r w:rsidR="00035700" w:rsidRPr="00BA6590">
        <w:rPr>
          <w:lang w:val="en-GB"/>
        </w:rPr>
        <w:t>offered at the local level</w:t>
      </w:r>
      <w:r w:rsidR="00043DF2" w:rsidRPr="00BA6590">
        <w:rPr>
          <w:lang w:val="en-GB"/>
        </w:rPr>
        <w:t>;</w:t>
      </w:r>
    </w:p>
    <w:p w:rsidR="006C0B4D" w:rsidRPr="00BA6590" w:rsidRDefault="0021611B" w:rsidP="006C0B4D">
      <w:pPr>
        <w:pStyle w:val="Bullet1G"/>
        <w:rPr>
          <w:lang w:val="en-GB"/>
        </w:rPr>
      </w:pPr>
      <w:r w:rsidRPr="00BA6590">
        <w:rPr>
          <w:lang w:val="en-GB"/>
        </w:rPr>
        <w:t xml:space="preserve">Emphasize </w:t>
      </w:r>
      <w:r w:rsidR="00035700" w:rsidRPr="00BA6590">
        <w:rPr>
          <w:lang w:val="en-GB"/>
        </w:rPr>
        <w:t>the use of existing initiatives and bodies</w:t>
      </w:r>
      <w:r w:rsidR="00043DF2" w:rsidRPr="00BA6590">
        <w:rPr>
          <w:lang w:val="en-GB"/>
        </w:rPr>
        <w:t>;</w:t>
      </w:r>
    </w:p>
    <w:p w:rsidR="006C0B4D" w:rsidRPr="00BA6590" w:rsidRDefault="0021611B" w:rsidP="006C0B4D">
      <w:pPr>
        <w:pStyle w:val="Bullet1G"/>
        <w:rPr>
          <w:lang w:val="en-GB"/>
        </w:rPr>
      </w:pPr>
      <w:r w:rsidRPr="00BA6590">
        <w:rPr>
          <w:lang w:val="en-GB"/>
        </w:rPr>
        <w:t xml:space="preserve">Be </w:t>
      </w:r>
      <w:r w:rsidR="00035700" w:rsidRPr="00BA6590">
        <w:rPr>
          <w:lang w:val="en-GB"/>
        </w:rPr>
        <w:t>organized jointly by the Walloon Region, the French Community Commission and the Wallonia-Brussels Federation</w:t>
      </w:r>
      <w:r w:rsidR="006C0B4D" w:rsidRPr="00BA6590">
        <w:rPr>
          <w:lang w:val="en-GB"/>
        </w:rPr>
        <w:t>.</w:t>
      </w:r>
    </w:p>
    <w:p w:rsidR="00E363B2" w:rsidRPr="00BA6590" w:rsidRDefault="00DA32D1" w:rsidP="0021611B">
      <w:pPr>
        <w:pStyle w:val="SingleTxtG"/>
        <w:jc w:val="left"/>
        <w:rPr>
          <w:b/>
          <w:lang w:val="en-GB"/>
        </w:rPr>
      </w:pPr>
      <w:r w:rsidRPr="00BA6590">
        <w:rPr>
          <w:b/>
          <w:lang w:val="en-GB"/>
        </w:rPr>
        <w:t>Target population</w:t>
      </w:r>
    </w:p>
    <w:p w:rsidR="00E363B2" w:rsidRPr="00BA6590" w:rsidRDefault="00E363B2" w:rsidP="00E363B2">
      <w:pPr>
        <w:pStyle w:val="SingleTxtG"/>
        <w:rPr>
          <w:lang w:val="en-GB"/>
        </w:rPr>
      </w:pPr>
      <w:r w:rsidRPr="00BA6590">
        <w:rPr>
          <w:lang w:val="en-GB"/>
        </w:rPr>
        <w:t>76.</w:t>
      </w:r>
      <w:r w:rsidRPr="00BA6590">
        <w:rPr>
          <w:lang w:val="en-GB"/>
        </w:rPr>
        <w:tab/>
      </w:r>
      <w:r w:rsidR="00DA32D1" w:rsidRPr="00BA6590">
        <w:rPr>
          <w:lang w:val="en-GB"/>
        </w:rPr>
        <w:t>The beneficiaries of the reception programme will be foreign nationals who have arr</w:t>
      </w:r>
      <w:r w:rsidR="002F1846" w:rsidRPr="00BA6590">
        <w:rPr>
          <w:lang w:val="en-GB"/>
        </w:rPr>
        <w:t>ived recently and have not been staying</w:t>
      </w:r>
      <w:r w:rsidR="00DA32D1" w:rsidRPr="00BA6590">
        <w:rPr>
          <w:lang w:val="en-GB"/>
        </w:rPr>
        <w:t xml:space="preserve"> in Belgium without a permanent residence document for over three years.</w:t>
      </w:r>
    </w:p>
    <w:p w:rsidR="00E363B2" w:rsidRPr="00BA6590" w:rsidRDefault="00E363B2" w:rsidP="00043DF2">
      <w:pPr>
        <w:pStyle w:val="SingleTxtG"/>
        <w:rPr>
          <w:lang w:val="en-GB"/>
        </w:rPr>
      </w:pPr>
      <w:r w:rsidRPr="00BA6590">
        <w:rPr>
          <w:lang w:val="en-GB"/>
        </w:rPr>
        <w:t>77.</w:t>
      </w:r>
      <w:r w:rsidRPr="00BA6590">
        <w:rPr>
          <w:lang w:val="en-GB"/>
        </w:rPr>
        <w:tab/>
      </w:r>
      <w:r w:rsidR="00DA32D1" w:rsidRPr="00BA6590">
        <w:rPr>
          <w:lang w:val="en-GB"/>
        </w:rPr>
        <w:t xml:space="preserve">Reception programmes focus particularly on foreign nationals </w:t>
      </w:r>
      <w:r w:rsidR="002F1846" w:rsidRPr="00BA6590">
        <w:rPr>
          <w:lang w:val="en-GB"/>
        </w:rPr>
        <w:t>—</w:t>
      </w:r>
      <w:r w:rsidR="00961148" w:rsidRPr="00BA6590">
        <w:rPr>
          <w:lang w:val="en-GB"/>
        </w:rPr>
        <w:t xml:space="preserve"> </w:t>
      </w:r>
      <w:r w:rsidR="00DA32D1" w:rsidRPr="00BA6590">
        <w:rPr>
          <w:lang w:val="en-GB"/>
        </w:rPr>
        <w:t>in the context of an employment contract, a family reunification or a period of study</w:t>
      </w:r>
      <w:r w:rsidR="00961148" w:rsidRPr="00BA6590">
        <w:rPr>
          <w:lang w:val="en-GB"/>
        </w:rPr>
        <w:t xml:space="preserve"> </w:t>
      </w:r>
      <w:r w:rsidR="00761EF8" w:rsidRPr="00BA6590">
        <w:rPr>
          <w:lang w:val="en-GB"/>
        </w:rPr>
        <w:t>— and</w:t>
      </w:r>
      <w:r w:rsidR="00DA32D1" w:rsidRPr="00BA6590">
        <w:rPr>
          <w:lang w:val="en-GB"/>
        </w:rPr>
        <w:t xml:space="preserve"> </w:t>
      </w:r>
      <w:r w:rsidR="004F4861" w:rsidRPr="00BA6590">
        <w:rPr>
          <w:lang w:val="en-GB"/>
        </w:rPr>
        <w:t>asylum seeker</w:t>
      </w:r>
      <w:r w:rsidR="00DA32D1" w:rsidRPr="00BA6590">
        <w:rPr>
          <w:lang w:val="en-GB"/>
        </w:rPr>
        <w:t xml:space="preserve">s, refugees, unaccompanied minors and applicants for residence documents. </w:t>
      </w:r>
    </w:p>
    <w:p w:rsidR="00E363B2" w:rsidRPr="00BA6590" w:rsidRDefault="00DA32D1" w:rsidP="0021611B">
      <w:pPr>
        <w:pStyle w:val="SingleTxtG"/>
        <w:keepNext/>
        <w:jc w:val="left"/>
        <w:rPr>
          <w:b/>
          <w:lang w:val="en-GB"/>
        </w:rPr>
      </w:pPr>
      <w:r w:rsidRPr="00BA6590">
        <w:rPr>
          <w:b/>
          <w:lang w:val="en-GB"/>
        </w:rPr>
        <w:t>Structure of the reception programme</w:t>
      </w:r>
    </w:p>
    <w:p w:rsidR="00E363B2" w:rsidRPr="00BA6590" w:rsidRDefault="00E363B2" w:rsidP="00E363B2">
      <w:pPr>
        <w:pStyle w:val="SingleTxtG"/>
        <w:rPr>
          <w:lang w:val="en-GB"/>
        </w:rPr>
      </w:pPr>
      <w:r w:rsidRPr="00BA6590">
        <w:rPr>
          <w:lang w:val="en-GB"/>
        </w:rPr>
        <w:t>78.</w:t>
      </w:r>
      <w:r w:rsidRPr="00BA6590">
        <w:rPr>
          <w:lang w:val="en-GB"/>
        </w:rPr>
        <w:tab/>
      </w:r>
      <w:r w:rsidR="00DB738C" w:rsidRPr="00BA6590">
        <w:rPr>
          <w:lang w:val="en-GB"/>
        </w:rPr>
        <w:t>The reception policy encourages the structuring of the process, which must include a coherent supply of services, and at least</w:t>
      </w:r>
      <w:r w:rsidRPr="00BA6590">
        <w:rPr>
          <w:lang w:val="en-GB"/>
        </w:rPr>
        <w:t>:</w:t>
      </w:r>
    </w:p>
    <w:p w:rsidR="00E363B2" w:rsidRPr="00BA6590" w:rsidRDefault="00DB738C" w:rsidP="00E363B2">
      <w:pPr>
        <w:pStyle w:val="Bullet1G"/>
        <w:rPr>
          <w:lang w:val="en-GB"/>
        </w:rPr>
      </w:pPr>
      <w:r w:rsidRPr="00BA6590">
        <w:rPr>
          <w:lang w:val="en-GB"/>
        </w:rPr>
        <w:t>Personalized social assistance, particularly in the administrative field, general guidance and housing support</w:t>
      </w:r>
      <w:r w:rsidR="003E6A61" w:rsidRPr="00BA6590">
        <w:rPr>
          <w:lang w:val="en-GB"/>
        </w:rPr>
        <w:t>;</w:t>
      </w:r>
    </w:p>
    <w:p w:rsidR="00E363B2" w:rsidRPr="00BA6590" w:rsidRDefault="00DB738C" w:rsidP="00E363B2">
      <w:pPr>
        <w:pStyle w:val="Bullet1G"/>
        <w:rPr>
          <w:lang w:val="en-GB"/>
        </w:rPr>
      </w:pPr>
      <w:r w:rsidRPr="00BA6590">
        <w:rPr>
          <w:lang w:val="en-GB"/>
        </w:rPr>
        <w:t>A placement test to determine each person</w:t>
      </w:r>
      <w:r w:rsidR="00A216FB" w:rsidRPr="00BA6590">
        <w:rPr>
          <w:lang w:val="en-GB"/>
        </w:rPr>
        <w:t>’</w:t>
      </w:r>
      <w:r w:rsidRPr="00BA6590">
        <w:rPr>
          <w:lang w:val="en-GB"/>
        </w:rPr>
        <w:t xml:space="preserve">s </w:t>
      </w:r>
      <w:r w:rsidR="00627CC2" w:rsidRPr="00BA6590">
        <w:rPr>
          <w:lang w:val="en-GB"/>
        </w:rPr>
        <w:t xml:space="preserve">basic skills and </w:t>
      </w:r>
      <w:r w:rsidRPr="00BA6590">
        <w:rPr>
          <w:lang w:val="en-GB"/>
        </w:rPr>
        <w:t>knowledge of the French language</w:t>
      </w:r>
      <w:r w:rsidR="00627CC2" w:rsidRPr="00BA6590">
        <w:rPr>
          <w:lang w:val="en-GB"/>
        </w:rPr>
        <w:t>, and help in enrolling in an appropriate French language course or a lite</w:t>
      </w:r>
      <w:r w:rsidR="00761EF8" w:rsidRPr="00BA6590">
        <w:rPr>
          <w:lang w:val="en-GB"/>
        </w:rPr>
        <w:t>racy and French language course</w:t>
      </w:r>
      <w:r w:rsidR="003E6A61" w:rsidRPr="00BA6590">
        <w:rPr>
          <w:lang w:val="en-GB"/>
        </w:rPr>
        <w:t>;</w:t>
      </w:r>
      <w:r w:rsidRPr="00BA6590">
        <w:rPr>
          <w:lang w:val="en-GB"/>
        </w:rPr>
        <w:t xml:space="preserve"> </w:t>
      </w:r>
    </w:p>
    <w:p w:rsidR="00E363B2" w:rsidRPr="00BA6590" w:rsidRDefault="00627CC2" w:rsidP="00E363B2">
      <w:pPr>
        <w:pStyle w:val="Bullet1G"/>
        <w:rPr>
          <w:lang w:val="en-GB"/>
        </w:rPr>
      </w:pPr>
      <w:r w:rsidRPr="00BA6590">
        <w:rPr>
          <w:lang w:val="en-GB"/>
        </w:rPr>
        <w:t>Initiation into citizenship and practical life in Belgium, with a cross-cultural approach</w:t>
      </w:r>
      <w:r w:rsidR="003E6A61" w:rsidRPr="00BA6590">
        <w:rPr>
          <w:lang w:val="en-GB"/>
        </w:rPr>
        <w:t>;</w:t>
      </w:r>
    </w:p>
    <w:p w:rsidR="00E363B2" w:rsidRPr="00BA6590" w:rsidRDefault="00034DA1" w:rsidP="00E363B2">
      <w:pPr>
        <w:pStyle w:val="Bullet1G"/>
        <w:rPr>
          <w:lang w:val="en-GB"/>
        </w:rPr>
      </w:pPr>
      <w:r w:rsidRPr="00BA6590">
        <w:rPr>
          <w:lang w:val="en-GB"/>
        </w:rPr>
        <w:t>A professional skills assessment and guidance towards the integration mechanisms which are best adapted to the individual</w:t>
      </w:r>
      <w:r w:rsidR="00A216FB" w:rsidRPr="00BA6590">
        <w:rPr>
          <w:lang w:val="en-GB"/>
        </w:rPr>
        <w:t>’</w:t>
      </w:r>
      <w:r w:rsidRPr="00BA6590">
        <w:rPr>
          <w:lang w:val="en-GB"/>
        </w:rPr>
        <w:t>s situation</w:t>
      </w:r>
      <w:r w:rsidR="003E6A61" w:rsidRPr="00BA6590">
        <w:rPr>
          <w:lang w:val="en-GB"/>
        </w:rPr>
        <w:t>;</w:t>
      </w:r>
    </w:p>
    <w:p w:rsidR="00E363B2" w:rsidRPr="00BA6590" w:rsidRDefault="00034DA1" w:rsidP="00E363B2">
      <w:pPr>
        <w:pStyle w:val="Bullet1G"/>
        <w:rPr>
          <w:lang w:val="en-GB"/>
        </w:rPr>
      </w:pPr>
      <w:r w:rsidRPr="00BA6590">
        <w:rPr>
          <w:lang w:val="en-GB"/>
        </w:rPr>
        <w:t>Appropriate information on school enrolment for children</w:t>
      </w:r>
      <w:r w:rsidR="00526ADC" w:rsidRPr="00BA6590">
        <w:rPr>
          <w:lang w:val="en-GB"/>
        </w:rPr>
        <w:t>,</w:t>
      </w:r>
      <w:r w:rsidRPr="00BA6590">
        <w:rPr>
          <w:lang w:val="en-GB"/>
        </w:rPr>
        <w:t xml:space="preserve"> the duties of parents and their role as partners in children</w:t>
      </w:r>
      <w:r w:rsidR="00A216FB" w:rsidRPr="00BA6590">
        <w:rPr>
          <w:lang w:val="en-GB"/>
        </w:rPr>
        <w:t>’</w:t>
      </w:r>
      <w:r w:rsidRPr="00BA6590">
        <w:rPr>
          <w:lang w:val="en-GB"/>
        </w:rPr>
        <w:t>s education,</w:t>
      </w:r>
      <w:r w:rsidR="00526ADC" w:rsidRPr="00BA6590">
        <w:rPr>
          <w:lang w:val="en-GB"/>
        </w:rPr>
        <w:t xml:space="preserve"> as well as</w:t>
      </w:r>
      <w:r w:rsidRPr="00BA6590">
        <w:rPr>
          <w:lang w:val="en-GB"/>
        </w:rPr>
        <w:t xml:space="preserve"> local initiatives to promote</w:t>
      </w:r>
      <w:r w:rsidR="00526ADC" w:rsidRPr="00BA6590">
        <w:rPr>
          <w:lang w:val="en-GB"/>
        </w:rPr>
        <w:t>,</w:t>
      </w:r>
      <w:r w:rsidRPr="00BA6590">
        <w:rPr>
          <w:lang w:val="en-GB"/>
        </w:rPr>
        <w:t xml:space="preserve"> </w:t>
      </w:r>
      <w:r w:rsidR="00526ADC" w:rsidRPr="00BA6590">
        <w:rPr>
          <w:lang w:val="en-GB"/>
        </w:rPr>
        <w:t>for the children of recently-</w:t>
      </w:r>
      <w:r w:rsidRPr="00BA6590">
        <w:rPr>
          <w:lang w:val="en-GB"/>
        </w:rPr>
        <w:t>arrived migrants</w:t>
      </w:r>
      <w:r w:rsidR="00526ADC" w:rsidRPr="00BA6590">
        <w:rPr>
          <w:lang w:val="en-GB"/>
        </w:rPr>
        <w:t>, educational integration and involvement in extracurricular activities</w:t>
      </w:r>
      <w:r w:rsidR="003E6A61" w:rsidRPr="00BA6590">
        <w:rPr>
          <w:lang w:val="en-GB"/>
        </w:rPr>
        <w:t>;</w:t>
      </w:r>
    </w:p>
    <w:p w:rsidR="00E363B2" w:rsidRPr="00BA6590" w:rsidRDefault="00526ADC" w:rsidP="00E363B2">
      <w:pPr>
        <w:pStyle w:val="Bullet1G"/>
        <w:rPr>
          <w:lang w:val="en-GB"/>
        </w:rPr>
      </w:pPr>
      <w:r w:rsidRPr="00BA6590">
        <w:rPr>
          <w:lang w:val="en-GB"/>
        </w:rPr>
        <w:t xml:space="preserve">Promoting awareness of local social and cultural life. </w:t>
      </w:r>
    </w:p>
    <w:p w:rsidR="00E363B2" w:rsidRPr="00BA6590" w:rsidRDefault="00526ADC" w:rsidP="0021611B">
      <w:pPr>
        <w:pStyle w:val="SingleTxtG"/>
        <w:jc w:val="left"/>
        <w:rPr>
          <w:b/>
          <w:lang w:val="en-GB"/>
        </w:rPr>
      </w:pPr>
      <w:r w:rsidRPr="00BA6590">
        <w:rPr>
          <w:b/>
          <w:lang w:val="en-GB"/>
        </w:rPr>
        <w:t>Actors in the reception policy</w:t>
      </w:r>
      <w:r w:rsidR="00E363B2" w:rsidRPr="00BA6590">
        <w:rPr>
          <w:b/>
          <w:lang w:val="en-GB"/>
        </w:rPr>
        <w:t xml:space="preserve"> </w:t>
      </w:r>
      <w:r w:rsidRPr="00BA6590">
        <w:rPr>
          <w:b/>
          <w:lang w:val="en-GB"/>
        </w:rPr>
        <w:t>the Walloon and Brussels-Capital Regions</w:t>
      </w:r>
    </w:p>
    <w:p w:rsidR="00E363B2" w:rsidRPr="00BA6590" w:rsidRDefault="00E363B2" w:rsidP="00E363B2">
      <w:pPr>
        <w:pStyle w:val="SingleTxtG"/>
        <w:rPr>
          <w:lang w:val="en-GB"/>
        </w:rPr>
      </w:pPr>
      <w:r w:rsidRPr="00BA6590">
        <w:rPr>
          <w:lang w:val="en-GB"/>
        </w:rPr>
        <w:t>79.</w:t>
      </w:r>
      <w:r w:rsidRPr="00BA6590">
        <w:rPr>
          <w:lang w:val="en-GB"/>
        </w:rPr>
        <w:tab/>
      </w:r>
      <w:r w:rsidR="00526ADC" w:rsidRPr="00BA6590">
        <w:rPr>
          <w:lang w:val="en-GB"/>
        </w:rPr>
        <w:t>The actors in the reception policy include</w:t>
      </w:r>
      <w:r w:rsidRPr="00BA6590">
        <w:rPr>
          <w:lang w:val="en-GB"/>
        </w:rPr>
        <w:t>:</w:t>
      </w:r>
    </w:p>
    <w:p w:rsidR="00E363B2" w:rsidRPr="00BA6590" w:rsidRDefault="00526ADC" w:rsidP="006A370B">
      <w:pPr>
        <w:pStyle w:val="Bullet1G"/>
        <w:rPr>
          <w:lang w:val="en-GB"/>
        </w:rPr>
      </w:pPr>
      <w:r w:rsidRPr="00BA6590">
        <w:rPr>
          <w:lang w:val="en-GB"/>
        </w:rPr>
        <w:t xml:space="preserve">Regional </w:t>
      </w:r>
      <w:r w:rsidR="00C66683" w:rsidRPr="00BA6590">
        <w:rPr>
          <w:lang w:val="en-GB"/>
        </w:rPr>
        <w:t>i</w:t>
      </w:r>
      <w:r w:rsidRPr="00BA6590">
        <w:rPr>
          <w:lang w:val="en-GB"/>
        </w:rPr>
        <w:t xml:space="preserve">ntegration </w:t>
      </w:r>
      <w:r w:rsidR="00C66683" w:rsidRPr="00BA6590">
        <w:rPr>
          <w:lang w:val="en-GB"/>
        </w:rPr>
        <w:t>c</w:t>
      </w:r>
      <w:r w:rsidRPr="00BA6590">
        <w:rPr>
          <w:lang w:val="en-GB"/>
        </w:rPr>
        <w:t>entres (Walloon Region only)</w:t>
      </w:r>
      <w:r w:rsidR="003E6A61" w:rsidRPr="00BA6590">
        <w:rPr>
          <w:lang w:val="en-GB"/>
        </w:rPr>
        <w:t>;</w:t>
      </w:r>
    </w:p>
    <w:p w:rsidR="00E363B2" w:rsidRPr="00BA6590" w:rsidRDefault="00526ADC" w:rsidP="006A370B">
      <w:pPr>
        <w:pStyle w:val="Bullet1G"/>
        <w:rPr>
          <w:lang w:val="en-GB"/>
        </w:rPr>
      </w:pPr>
      <w:r w:rsidRPr="00BA6590">
        <w:rPr>
          <w:lang w:val="en-GB"/>
        </w:rPr>
        <w:t>The c</w:t>
      </w:r>
      <w:r w:rsidR="00E363B2" w:rsidRPr="00BA6590">
        <w:rPr>
          <w:lang w:val="en-GB"/>
        </w:rPr>
        <w:t>ommunes</w:t>
      </w:r>
      <w:r w:rsidRPr="00BA6590">
        <w:rPr>
          <w:lang w:val="en-GB"/>
        </w:rPr>
        <w:t xml:space="preserve"> and</w:t>
      </w:r>
      <w:r w:rsidR="00E363B2" w:rsidRPr="00BA6590">
        <w:rPr>
          <w:lang w:val="en-GB"/>
        </w:rPr>
        <w:t xml:space="preserve"> </w:t>
      </w:r>
      <w:r w:rsidR="00C66683" w:rsidRPr="00BA6590">
        <w:rPr>
          <w:lang w:val="en-GB"/>
        </w:rPr>
        <w:t>p</w:t>
      </w:r>
      <w:r w:rsidRPr="00BA6590">
        <w:rPr>
          <w:lang w:val="en-GB"/>
        </w:rPr>
        <w:t xml:space="preserve">ublic </w:t>
      </w:r>
      <w:r w:rsidR="00C66683" w:rsidRPr="00BA6590">
        <w:rPr>
          <w:lang w:val="en-GB"/>
        </w:rPr>
        <w:t>s</w:t>
      </w:r>
      <w:r w:rsidRPr="00BA6590">
        <w:rPr>
          <w:lang w:val="en-GB"/>
        </w:rPr>
        <w:t xml:space="preserve">ocial </w:t>
      </w:r>
      <w:r w:rsidR="00C66683" w:rsidRPr="00BA6590">
        <w:rPr>
          <w:lang w:val="en-GB"/>
        </w:rPr>
        <w:t>services c</w:t>
      </w:r>
      <w:r w:rsidRPr="00BA6590">
        <w:rPr>
          <w:lang w:val="en-GB"/>
        </w:rPr>
        <w:t>entres</w:t>
      </w:r>
      <w:r w:rsidR="003E6A61" w:rsidRPr="00BA6590">
        <w:rPr>
          <w:lang w:val="en-GB"/>
        </w:rPr>
        <w:t>;</w:t>
      </w:r>
      <w:r w:rsidRPr="00BA6590">
        <w:rPr>
          <w:lang w:val="en-GB"/>
        </w:rPr>
        <w:t xml:space="preserve"> </w:t>
      </w:r>
    </w:p>
    <w:p w:rsidR="00E363B2" w:rsidRPr="00BA6590" w:rsidRDefault="00526ADC" w:rsidP="006A370B">
      <w:pPr>
        <w:pStyle w:val="Bullet1G"/>
        <w:rPr>
          <w:lang w:val="en-GB"/>
        </w:rPr>
      </w:pPr>
      <w:r w:rsidRPr="00BA6590">
        <w:rPr>
          <w:lang w:val="en-GB"/>
        </w:rPr>
        <w:t>Training services developed by the government authorities or by associations</w:t>
      </w:r>
      <w:r w:rsidR="00E363B2" w:rsidRPr="00BA6590">
        <w:rPr>
          <w:lang w:val="en-GB"/>
        </w:rPr>
        <w:t xml:space="preserve"> (</w:t>
      </w:r>
      <w:r w:rsidR="00F17D7B" w:rsidRPr="00BA6590">
        <w:rPr>
          <w:lang w:val="en-GB"/>
        </w:rPr>
        <w:t xml:space="preserve">such as </w:t>
      </w:r>
      <w:r w:rsidR="00907915" w:rsidRPr="00BA6590">
        <w:rPr>
          <w:lang w:val="en-GB"/>
        </w:rPr>
        <w:t>socio-professional</w:t>
      </w:r>
      <w:r w:rsidRPr="00BA6590">
        <w:rPr>
          <w:lang w:val="en-GB"/>
        </w:rPr>
        <w:t xml:space="preserve"> integration</w:t>
      </w:r>
      <w:r w:rsidR="00E363B2" w:rsidRPr="00BA6590">
        <w:rPr>
          <w:lang w:val="en-GB"/>
        </w:rPr>
        <w:t xml:space="preserve">, </w:t>
      </w:r>
      <w:r w:rsidRPr="00BA6590">
        <w:rPr>
          <w:lang w:val="en-GB"/>
        </w:rPr>
        <w:t>on-the-job training</w:t>
      </w:r>
      <w:r w:rsidR="00F17D7B" w:rsidRPr="00BA6590">
        <w:rPr>
          <w:lang w:val="en-GB"/>
        </w:rPr>
        <w:t xml:space="preserve"> and</w:t>
      </w:r>
      <w:r w:rsidRPr="00BA6590">
        <w:rPr>
          <w:lang w:val="en-GB"/>
        </w:rPr>
        <w:t xml:space="preserve"> social development</w:t>
      </w:r>
      <w:r w:rsidR="00E363B2" w:rsidRPr="00BA6590">
        <w:rPr>
          <w:lang w:val="en-GB"/>
        </w:rPr>
        <w:t>),</w:t>
      </w:r>
      <w:r w:rsidR="005C5AD6" w:rsidRPr="00BA6590">
        <w:rPr>
          <w:lang w:val="en-GB"/>
        </w:rPr>
        <w:t xml:space="preserve"> personal services in the psychological, medical and social spheres</w:t>
      </w:r>
      <w:r w:rsidR="00E363B2" w:rsidRPr="00BA6590">
        <w:rPr>
          <w:lang w:val="en-GB"/>
        </w:rPr>
        <w:t xml:space="preserve"> (</w:t>
      </w:r>
      <w:r w:rsidR="005C5AD6" w:rsidRPr="00BA6590">
        <w:rPr>
          <w:lang w:val="en-GB"/>
        </w:rPr>
        <w:t>social services</w:t>
      </w:r>
      <w:r w:rsidR="00E363B2" w:rsidRPr="00BA6590">
        <w:rPr>
          <w:lang w:val="en-GB"/>
        </w:rPr>
        <w:t>,</w:t>
      </w:r>
      <w:r w:rsidR="005C5AD6" w:rsidRPr="00BA6590">
        <w:rPr>
          <w:lang w:val="en-GB"/>
        </w:rPr>
        <w:t xml:space="preserve"> health centres</w:t>
      </w:r>
      <w:r w:rsidR="00E363B2" w:rsidRPr="00BA6590">
        <w:rPr>
          <w:lang w:val="en-GB"/>
        </w:rPr>
        <w:t>),</w:t>
      </w:r>
      <w:r w:rsidR="005C5AD6" w:rsidRPr="00BA6590">
        <w:rPr>
          <w:lang w:val="en-GB"/>
        </w:rPr>
        <w:t xml:space="preserve"> </w:t>
      </w:r>
      <w:r w:rsidR="00E363B2" w:rsidRPr="00BA6590">
        <w:rPr>
          <w:lang w:val="en-GB"/>
        </w:rPr>
        <w:t>participation</w:t>
      </w:r>
      <w:r w:rsidR="005C5AD6" w:rsidRPr="00BA6590">
        <w:rPr>
          <w:lang w:val="en-GB"/>
        </w:rPr>
        <w:t xml:space="preserve"> in cultural and social life</w:t>
      </w:r>
      <w:r w:rsidR="00E363B2" w:rsidRPr="00BA6590">
        <w:rPr>
          <w:lang w:val="en-GB"/>
        </w:rPr>
        <w:t xml:space="preserve"> (</w:t>
      </w:r>
      <w:r w:rsidR="005C5AD6" w:rsidRPr="00BA6590">
        <w:rPr>
          <w:lang w:val="en-GB"/>
        </w:rPr>
        <w:t>such as continuing education</w:t>
      </w:r>
      <w:r w:rsidR="00E363B2" w:rsidRPr="00BA6590">
        <w:rPr>
          <w:lang w:val="en-GB"/>
        </w:rPr>
        <w:t>),</w:t>
      </w:r>
      <w:r w:rsidR="005C5AD6" w:rsidRPr="00BA6590">
        <w:rPr>
          <w:lang w:val="en-GB"/>
        </w:rPr>
        <w:t xml:space="preserve"> assistance for young people in the social, cultural and educational fields</w:t>
      </w:r>
      <w:r w:rsidR="00E363B2" w:rsidRPr="00BA6590">
        <w:rPr>
          <w:lang w:val="en-GB"/>
        </w:rPr>
        <w:t xml:space="preserve"> (</w:t>
      </w:r>
      <w:r w:rsidR="005C5AD6" w:rsidRPr="00BA6590">
        <w:rPr>
          <w:lang w:val="en-GB"/>
        </w:rPr>
        <w:t>such as learning support</w:t>
      </w:r>
      <w:r w:rsidR="00E363B2" w:rsidRPr="00BA6590">
        <w:rPr>
          <w:lang w:val="en-GB"/>
        </w:rPr>
        <w:t>)</w:t>
      </w:r>
      <w:r w:rsidR="005C5AD6" w:rsidRPr="00BA6590">
        <w:rPr>
          <w:lang w:val="en-GB"/>
        </w:rPr>
        <w:t xml:space="preserve"> and educational opportunities such as bridging classes.</w:t>
      </w:r>
      <w:r w:rsidR="001F3CAB" w:rsidRPr="00BA6590">
        <w:rPr>
          <w:lang w:val="en-GB"/>
        </w:rPr>
        <w:t xml:space="preserve"> </w:t>
      </w:r>
    </w:p>
    <w:p w:rsidR="00E363B2" w:rsidRPr="00BA6590" w:rsidRDefault="00E363B2" w:rsidP="00E363B2">
      <w:pPr>
        <w:pStyle w:val="SingleTxtG"/>
        <w:rPr>
          <w:lang w:val="en-GB"/>
        </w:rPr>
      </w:pPr>
      <w:r w:rsidRPr="00BA6590">
        <w:rPr>
          <w:lang w:val="en-GB"/>
        </w:rPr>
        <w:t>80.</w:t>
      </w:r>
      <w:r w:rsidRPr="00BA6590">
        <w:rPr>
          <w:lang w:val="en-GB"/>
        </w:rPr>
        <w:tab/>
      </w:r>
      <w:r w:rsidR="00F17D7B" w:rsidRPr="00BA6590">
        <w:rPr>
          <w:lang w:val="en-GB"/>
        </w:rPr>
        <w:t>A guidance note giving greater detail on aspects of the reception process for newly</w:t>
      </w:r>
      <w:r w:rsidR="00D94C5A" w:rsidRPr="00BA6590">
        <w:rPr>
          <w:lang w:val="en-GB"/>
        </w:rPr>
        <w:noBreakHyphen/>
      </w:r>
      <w:r w:rsidR="00F17D7B" w:rsidRPr="00BA6590">
        <w:rPr>
          <w:lang w:val="en-GB"/>
        </w:rPr>
        <w:t>arrived migrants in the Walloon Region is annexed to this document (annex V, pp.</w:t>
      </w:r>
      <w:r w:rsidR="00D94C5A" w:rsidRPr="00BA6590">
        <w:rPr>
          <w:lang w:val="en-GB"/>
        </w:rPr>
        <w:t> </w:t>
      </w:r>
      <w:r w:rsidRPr="00BA6590">
        <w:rPr>
          <w:lang w:val="en-GB"/>
        </w:rPr>
        <w:t>42</w:t>
      </w:r>
      <w:r w:rsidR="00D94C5A" w:rsidRPr="00BA6590">
        <w:rPr>
          <w:szCs w:val="24"/>
          <w:lang w:val="en-GB"/>
        </w:rPr>
        <w:t>–</w:t>
      </w:r>
      <w:r w:rsidRPr="00BA6590">
        <w:rPr>
          <w:lang w:val="en-GB"/>
        </w:rPr>
        <w:t>50).</w:t>
      </w:r>
    </w:p>
    <w:p w:rsidR="000038B6" w:rsidRPr="00BA6590" w:rsidRDefault="000038B6" w:rsidP="000038B6">
      <w:pPr>
        <w:pStyle w:val="H4G"/>
        <w:rPr>
          <w:lang w:val="en-GB"/>
        </w:rPr>
      </w:pPr>
      <w:r w:rsidRPr="00BA6590">
        <w:rPr>
          <w:lang w:val="en-GB"/>
        </w:rPr>
        <w:tab/>
      </w:r>
      <w:r w:rsidR="00F17D7B" w:rsidRPr="00BA6590">
        <w:rPr>
          <w:lang w:val="en-GB"/>
        </w:rPr>
        <w:t>(</w:t>
      </w:r>
      <w:r w:rsidRPr="00BA6590">
        <w:rPr>
          <w:lang w:val="en-GB"/>
        </w:rPr>
        <w:t>c)</w:t>
      </w:r>
      <w:r w:rsidRPr="00BA6590">
        <w:rPr>
          <w:lang w:val="en-GB"/>
        </w:rPr>
        <w:tab/>
      </w:r>
      <w:r w:rsidR="00F17D7B" w:rsidRPr="00BA6590">
        <w:rPr>
          <w:lang w:val="en-GB"/>
        </w:rPr>
        <w:t>I</w:t>
      </w:r>
      <w:r w:rsidRPr="00BA6590">
        <w:rPr>
          <w:lang w:val="en-GB"/>
        </w:rPr>
        <w:t>nt</w:t>
      </w:r>
      <w:r w:rsidR="00F17D7B" w:rsidRPr="00BA6590">
        <w:rPr>
          <w:lang w:val="en-GB"/>
        </w:rPr>
        <w:t>e</w:t>
      </w:r>
      <w:r w:rsidRPr="00BA6590">
        <w:rPr>
          <w:lang w:val="en-GB"/>
        </w:rPr>
        <w:t>gration</w:t>
      </w:r>
      <w:r w:rsidR="00F17D7B" w:rsidRPr="00BA6590">
        <w:rPr>
          <w:lang w:val="en-GB"/>
        </w:rPr>
        <w:t xml:space="preserve"> policy</w:t>
      </w:r>
      <w:r w:rsidRPr="00BA6590">
        <w:rPr>
          <w:lang w:val="en-GB"/>
        </w:rPr>
        <w:t xml:space="preserve"> </w:t>
      </w:r>
      <w:r w:rsidR="00F17D7B" w:rsidRPr="00BA6590">
        <w:rPr>
          <w:lang w:val="en-GB"/>
        </w:rPr>
        <w:t>of the French Community Commission</w:t>
      </w:r>
      <w:r w:rsidR="00D94C5A" w:rsidRPr="00BA6590">
        <w:rPr>
          <w:lang w:val="en-GB"/>
        </w:rPr>
        <w:t xml:space="preserve"> of the Brussels-Capital </w:t>
      </w:r>
      <w:r w:rsidR="0021611B" w:rsidRPr="00BA6590">
        <w:rPr>
          <w:lang w:val="en-GB"/>
        </w:rPr>
        <w:br/>
      </w:r>
      <w:r w:rsidR="00D94C5A" w:rsidRPr="00BA6590">
        <w:rPr>
          <w:lang w:val="en-GB"/>
        </w:rPr>
        <w:t>Region</w:t>
      </w:r>
    </w:p>
    <w:p w:rsidR="003B02C2" w:rsidRPr="00BA6590" w:rsidRDefault="003B02C2" w:rsidP="003B02C2">
      <w:pPr>
        <w:pStyle w:val="SingleTxtG"/>
        <w:rPr>
          <w:lang w:val="en-GB"/>
        </w:rPr>
      </w:pPr>
      <w:r w:rsidRPr="00BA6590">
        <w:rPr>
          <w:lang w:val="en-GB"/>
        </w:rPr>
        <w:t>81.</w:t>
      </w:r>
      <w:r w:rsidRPr="00BA6590">
        <w:rPr>
          <w:lang w:val="en-GB"/>
        </w:rPr>
        <w:tab/>
      </w:r>
      <w:r w:rsidR="00F17D7B" w:rsidRPr="00BA6590">
        <w:rPr>
          <w:lang w:val="en-GB"/>
        </w:rPr>
        <w:t>On 13 May 2004, the French Community Commission of the Brussels-Capital Region adopted a decree</w:t>
      </w:r>
      <w:r w:rsidR="00EA49B5" w:rsidRPr="00BA6590">
        <w:rPr>
          <w:lang w:val="en-GB"/>
        </w:rPr>
        <w:t xml:space="preserve"> relating to a social cohesion programme.</w:t>
      </w:r>
      <w:r w:rsidR="00B33BB8" w:rsidRPr="00BA6590">
        <w:rPr>
          <w:rStyle w:val="FootnoteReference"/>
          <w:lang w:val="en-GB"/>
        </w:rPr>
        <w:footnoteReference w:id="16"/>
      </w:r>
      <w:r w:rsidRPr="00BA6590">
        <w:rPr>
          <w:lang w:val="en-GB"/>
        </w:rPr>
        <w:t xml:space="preserve"> </w:t>
      </w:r>
      <w:r w:rsidR="00EA49B5" w:rsidRPr="00BA6590">
        <w:rPr>
          <w:lang w:val="en-GB"/>
        </w:rPr>
        <w:t xml:space="preserve">Under the programme, </w:t>
      </w:r>
      <w:r w:rsidR="006F5D82" w:rsidRPr="00BA6590">
        <w:rPr>
          <w:lang w:val="en-GB"/>
        </w:rPr>
        <w:t xml:space="preserve">coexistence </w:t>
      </w:r>
      <w:r w:rsidR="00EA49B5" w:rsidRPr="00BA6590">
        <w:rPr>
          <w:lang w:val="en-GB"/>
        </w:rPr>
        <w:t>initiatives are to be</w:t>
      </w:r>
      <w:r w:rsidR="006F5D82" w:rsidRPr="00BA6590">
        <w:rPr>
          <w:lang w:val="en-GB"/>
        </w:rPr>
        <w:t xml:space="preserve"> promoted by the Commission in partnership with communes and over 270 local associations active in disadvantaged Brussels neighbourhoods. The latter have been listed in 13 communes selected on the basis of the social problems present in their populations and</w:t>
      </w:r>
      <w:r w:rsidR="00761EF8" w:rsidRPr="00BA6590">
        <w:rPr>
          <w:lang w:val="en-GB"/>
        </w:rPr>
        <w:t xml:space="preserve"> in</w:t>
      </w:r>
      <w:r w:rsidR="006F5D82" w:rsidRPr="00BA6590">
        <w:rPr>
          <w:lang w:val="en-GB"/>
        </w:rPr>
        <w:t xml:space="preserve"> priority areas defined by the Regional Development Plan. </w:t>
      </w:r>
    </w:p>
    <w:p w:rsidR="003B02C2" w:rsidRPr="00BA6590" w:rsidRDefault="003B02C2" w:rsidP="003B02C2">
      <w:pPr>
        <w:pStyle w:val="SingleTxtG"/>
        <w:rPr>
          <w:lang w:val="en-GB"/>
        </w:rPr>
      </w:pPr>
      <w:r w:rsidRPr="00BA6590">
        <w:rPr>
          <w:lang w:val="en-GB"/>
        </w:rPr>
        <w:t>82.</w:t>
      </w:r>
      <w:r w:rsidRPr="00BA6590">
        <w:rPr>
          <w:lang w:val="en-GB"/>
        </w:rPr>
        <w:tab/>
      </w:r>
      <w:r w:rsidR="006F5D82" w:rsidRPr="00BA6590">
        <w:rPr>
          <w:lang w:val="en-GB"/>
        </w:rPr>
        <w:t>In addition to contracts for the 13 communes, the decree provides for the funding of projects having a regiona</w:t>
      </w:r>
      <w:r w:rsidR="00761EF8" w:rsidRPr="00BA6590">
        <w:rPr>
          <w:lang w:val="en-GB"/>
        </w:rPr>
        <w:t xml:space="preserve">l or intercommunal scope and </w:t>
      </w:r>
      <w:r w:rsidR="006F5D82" w:rsidRPr="00BA6590">
        <w:rPr>
          <w:lang w:val="en-GB"/>
        </w:rPr>
        <w:t xml:space="preserve">projects which are not </w:t>
      </w:r>
      <w:r w:rsidR="00761EF8" w:rsidRPr="00BA6590">
        <w:rPr>
          <w:lang w:val="en-GB"/>
        </w:rPr>
        <w:t>included in</w:t>
      </w:r>
      <w:r w:rsidR="006F5D82" w:rsidRPr="00BA6590">
        <w:rPr>
          <w:lang w:val="en-GB"/>
        </w:rPr>
        <w:t xml:space="preserve"> communal contract</w:t>
      </w:r>
      <w:r w:rsidR="00761EF8" w:rsidRPr="00BA6590">
        <w:rPr>
          <w:lang w:val="en-GB"/>
        </w:rPr>
        <w:t>s</w:t>
      </w:r>
      <w:r w:rsidR="006F5D82" w:rsidRPr="00BA6590">
        <w:rPr>
          <w:lang w:val="en-GB"/>
        </w:rPr>
        <w:t>.</w:t>
      </w:r>
      <w:r w:rsidR="001F3CAB" w:rsidRPr="00BA6590">
        <w:rPr>
          <w:lang w:val="en-GB"/>
        </w:rPr>
        <w:t xml:space="preserve"> </w:t>
      </w:r>
    </w:p>
    <w:p w:rsidR="003B02C2" w:rsidRPr="00BA6590" w:rsidRDefault="003B02C2" w:rsidP="003B02C2">
      <w:pPr>
        <w:pStyle w:val="SingleTxtG"/>
        <w:rPr>
          <w:lang w:val="en-GB"/>
        </w:rPr>
      </w:pPr>
      <w:r w:rsidRPr="00BA6590">
        <w:rPr>
          <w:lang w:val="en-GB"/>
        </w:rPr>
        <w:t>83.</w:t>
      </w:r>
      <w:r w:rsidRPr="00BA6590">
        <w:rPr>
          <w:lang w:val="en-GB"/>
        </w:rPr>
        <w:tab/>
      </w:r>
      <w:r w:rsidR="006F5D82" w:rsidRPr="00BA6590">
        <w:rPr>
          <w:lang w:val="en-GB"/>
        </w:rPr>
        <w:t>In setting priorities for Brussels in the second five-year period (</w:t>
      </w:r>
      <w:r w:rsidRPr="00BA6590">
        <w:rPr>
          <w:lang w:val="en-GB"/>
        </w:rPr>
        <w:t>2011</w:t>
      </w:r>
      <w:r w:rsidR="00D94C5A" w:rsidRPr="00BA6590">
        <w:rPr>
          <w:szCs w:val="24"/>
          <w:lang w:val="en-GB"/>
        </w:rPr>
        <w:t>–</w:t>
      </w:r>
      <w:r w:rsidRPr="00BA6590">
        <w:rPr>
          <w:lang w:val="en-GB"/>
        </w:rPr>
        <w:t>2015</w:t>
      </w:r>
      <w:r w:rsidR="006F5D82" w:rsidRPr="00BA6590">
        <w:rPr>
          <w:lang w:val="en-GB"/>
        </w:rPr>
        <w:t>)</w:t>
      </w:r>
      <w:r w:rsidRPr="00BA6590">
        <w:rPr>
          <w:lang w:val="en-GB"/>
        </w:rPr>
        <w:t xml:space="preserve">, </w:t>
      </w:r>
      <w:r w:rsidR="006F5D82" w:rsidRPr="00BA6590">
        <w:rPr>
          <w:lang w:val="en-GB"/>
        </w:rPr>
        <w:t>the Board of the</w:t>
      </w:r>
      <w:r w:rsidRPr="00BA6590">
        <w:rPr>
          <w:lang w:val="en-GB"/>
        </w:rPr>
        <w:t xml:space="preserve"> </w:t>
      </w:r>
      <w:r w:rsidR="006F5D82" w:rsidRPr="00BA6590">
        <w:rPr>
          <w:lang w:val="en-GB"/>
        </w:rPr>
        <w:t>French Community Commission</w:t>
      </w:r>
      <w:r w:rsidR="00C84907" w:rsidRPr="00BA6590">
        <w:rPr>
          <w:lang w:val="en-GB"/>
        </w:rPr>
        <w:t xml:space="preserve"> took account of assessments conducted by the</w:t>
      </w:r>
      <w:r w:rsidR="00603FEF" w:rsidRPr="00BA6590">
        <w:rPr>
          <w:lang w:val="en-GB"/>
        </w:rPr>
        <w:t xml:space="preserve"> Regional Centre for the Promotion of Social Cohesion</w:t>
      </w:r>
      <w:r w:rsidRPr="00BA6590">
        <w:rPr>
          <w:lang w:val="en-GB"/>
        </w:rPr>
        <w:t xml:space="preserve"> </w:t>
      </w:r>
      <w:r w:rsidR="00603FEF" w:rsidRPr="00BA6590">
        <w:rPr>
          <w:lang w:val="en-GB"/>
        </w:rPr>
        <w:t>and statistical data assembled by the Environmental and Land Management Institute</w:t>
      </w:r>
      <w:r w:rsidRPr="00BA6590">
        <w:rPr>
          <w:lang w:val="en-GB"/>
        </w:rPr>
        <w:t xml:space="preserve"> </w:t>
      </w:r>
      <w:r w:rsidR="00603FEF" w:rsidRPr="00BA6590">
        <w:rPr>
          <w:lang w:val="en-GB"/>
        </w:rPr>
        <w:t>and the Health and Social Observatory</w:t>
      </w:r>
      <w:r w:rsidRPr="00BA6590">
        <w:rPr>
          <w:lang w:val="en-GB"/>
        </w:rPr>
        <w:t>, relati</w:t>
      </w:r>
      <w:r w:rsidR="00603FEF" w:rsidRPr="00BA6590">
        <w:rPr>
          <w:lang w:val="en-GB"/>
        </w:rPr>
        <w:t>ng to problems and needs in Brussels neighbourhoods. The following are three priority areas for the five-year contracts</w:t>
      </w:r>
      <w:r w:rsidRPr="00BA6590">
        <w:rPr>
          <w:lang w:val="en-GB"/>
        </w:rPr>
        <w:t xml:space="preserve"> </w:t>
      </w:r>
      <w:r w:rsidR="00603FEF" w:rsidRPr="00BA6590">
        <w:rPr>
          <w:lang w:val="en-GB"/>
        </w:rPr>
        <w:t>(</w:t>
      </w:r>
      <w:r w:rsidRPr="00BA6590">
        <w:rPr>
          <w:lang w:val="en-GB"/>
        </w:rPr>
        <w:t>2011</w:t>
      </w:r>
      <w:r w:rsidR="00D94C5A" w:rsidRPr="00BA6590">
        <w:rPr>
          <w:szCs w:val="24"/>
          <w:lang w:val="en-GB"/>
        </w:rPr>
        <w:t>–</w:t>
      </w:r>
      <w:r w:rsidRPr="00BA6590">
        <w:rPr>
          <w:lang w:val="en-GB"/>
        </w:rPr>
        <w:t>2015</w:t>
      </w:r>
      <w:r w:rsidR="00603FEF" w:rsidRPr="00BA6590">
        <w:rPr>
          <w:lang w:val="en-GB"/>
        </w:rPr>
        <w:t>)</w:t>
      </w:r>
      <w:r w:rsidRPr="00BA6590">
        <w:rPr>
          <w:lang w:val="en-GB"/>
        </w:rPr>
        <w:t>:</w:t>
      </w:r>
    </w:p>
    <w:p w:rsidR="003B02C2" w:rsidRPr="00BA6590" w:rsidRDefault="00603FEF" w:rsidP="003B02C2">
      <w:pPr>
        <w:pStyle w:val="Bullet1G"/>
        <w:rPr>
          <w:lang w:val="en-GB"/>
        </w:rPr>
      </w:pPr>
      <w:r w:rsidRPr="00BA6590">
        <w:rPr>
          <w:lang w:val="en-GB"/>
        </w:rPr>
        <w:t>Support and assistance</w:t>
      </w:r>
      <w:r w:rsidR="000D2969" w:rsidRPr="00BA6590">
        <w:rPr>
          <w:lang w:val="en-GB"/>
        </w:rPr>
        <w:t xml:space="preserve"> for school students</w:t>
      </w:r>
      <w:r w:rsidR="003E6A61" w:rsidRPr="00BA6590">
        <w:rPr>
          <w:lang w:val="en-GB"/>
        </w:rPr>
        <w:t>;</w:t>
      </w:r>
    </w:p>
    <w:p w:rsidR="003B02C2" w:rsidRPr="00BA6590" w:rsidRDefault="000D2969" w:rsidP="003B02C2">
      <w:pPr>
        <w:pStyle w:val="Bullet1G"/>
        <w:rPr>
          <w:lang w:val="en-GB"/>
        </w:rPr>
      </w:pPr>
      <w:r w:rsidRPr="00BA6590">
        <w:rPr>
          <w:lang w:val="en-GB"/>
        </w:rPr>
        <w:t>Literacy and French-language teaching for adults having little or no education</w:t>
      </w:r>
      <w:r w:rsidR="003E6A61" w:rsidRPr="00BA6590">
        <w:rPr>
          <w:lang w:val="en-GB"/>
        </w:rPr>
        <w:t>;</w:t>
      </w:r>
    </w:p>
    <w:p w:rsidR="003B02C2" w:rsidRPr="00BA6590" w:rsidRDefault="000D2969" w:rsidP="003B02C2">
      <w:pPr>
        <w:pStyle w:val="Bullet1G"/>
        <w:rPr>
          <w:lang w:val="en-GB"/>
        </w:rPr>
      </w:pPr>
      <w:r w:rsidRPr="00BA6590">
        <w:rPr>
          <w:lang w:val="en-GB"/>
        </w:rPr>
        <w:t>Reception and assistance for new arrivals</w:t>
      </w:r>
      <w:r w:rsidR="003B02C2" w:rsidRPr="00BA6590">
        <w:rPr>
          <w:lang w:val="en-GB"/>
        </w:rPr>
        <w:t>.</w:t>
      </w:r>
    </w:p>
    <w:p w:rsidR="003B02C2" w:rsidRPr="00BA6590" w:rsidRDefault="003B02C2" w:rsidP="003B02C2">
      <w:pPr>
        <w:pStyle w:val="SingleTxtG"/>
        <w:rPr>
          <w:lang w:val="en-GB"/>
        </w:rPr>
      </w:pPr>
      <w:r w:rsidRPr="00BA6590">
        <w:rPr>
          <w:lang w:val="en-GB"/>
        </w:rPr>
        <w:t>84.</w:t>
      </w:r>
      <w:r w:rsidRPr="00BA6590">
        <w:rPr>
          <w:lang w:val="en-GB"/>
        </w:rPr>
        <w:tab/>
      </w:r>
      <w:r w:rsidR="000D2969" w:rsidRPr="00BA6590">
        <w:rPr>
          <w:lang w:val="en-GB"/>
        </w:rPr>
        <w:t xml:space="preserve">In addition to that specific legislation, the </w:t>
      </w:r>
      <w:r w:rsidR="006F5D82" w:rsidRPr="00BA6590">
        <w:rPr>
          <w:lang w:val="en-GB"/>
        </w:rPr>
        <w:t>French Community Commission</w:t>
      </w:r>
      <w:r w:rsidR="000D2969" w:rsidRPr="00BA6590">
        <w:rPr>
          <w:lang w:val="en-GB"/>
        </w:rPr>
        <w:t xml:space="preserve"> prohibits all discrimination based on ethnic origin or any other grounds in all its legislation relating to health and assistance. </w:t>
      </w:r>
    </w:p>
    <w:p w:rsidR="000038B6" w:rsidRPr="00BA6590" w:rsidRDefault="003B02C2" w:rsidP="003B02C2">
      <w:pPr>
        <w:pStyle w:val="H4G"/>
        <w:rPr>
          <w:lang w:val="en-GB"/>
        </w:rPr>
      </w:pPr>
      <w:r w:rsidRPr="00BA6590">
        <w:rPr>
          <w:lang w:val="en-GB"/>
        </w:rPr>
        <w:tab/>
      </w:r>
      <w:r w:rsidR="00C84907" w:rsidRPr="00BA6590">
        <w:rPr>
          <w:lang w:val="en-GB"/>
        </w:rPr>
        <w:t>(</w:t>
      </w:r>
      <w:r w:rsidRPr="00BA6590">
        <w:rPr>
          <w:lang w:val="en-GB"/>
        </w:rPr>
        <w:t>d)</w:t>
      </w:r>
      <w:r w:rsidRPr="00BA6590">
        <w:rPr>
          <w:lang w:val="en-GB"/>
        </w:rPr>
        <w:tab/>
      </w:r>
      <w:r w:rsidR="000D2969" w:rsidRPr="00BA6590">
        <w:rPr>
          <w:lang w:val="en-GB"/>
        </w:rPr>
        <w:t>Flemish integration policy</w:t>
      </w:r>
      <w:r w:rsidR="00B33BB8" w:rsidRPr="00BA6590">
        <w:rPr>
          <w:rStyle w:val="FootnoteReference"/>
          <w:i w:val="0"/>
          <w:lang w:val="en-GB"/>
        </w:rPr>
        <w:footnoteReference w:id="17"/>
      </w:r>
    </w:p>
    <w:p w:rsidR="003B02C2" w:rsidRPr="00BA6590" w:rsidRDefault="003B02C2" w:rsidP="003B02C2">
      <w:pPr>
        <w:pStyle w:val="H56G"/>
        <w:rPr>
          <w:lang w:val="en-GB"/>
        </w:rPr>
      </w:pPr>
      <w:r w:rsidRPr="00BA6590">
        <w:rPr>
          <w:lang w:val="en-GB"/>
        </w:rPr>
        <w:tab/>
      </w:r>
      <w:r w:rsidR="00C84907" w:rsidRPr="00BA6590">
        <w:rPr>
          <w:lang w:val="en-GB"/>
        </w:rPr>
        <w:t>(</w:t>
      </w:r>
      <w:r w:rsidRPr="00BA6590">
        <w:rPr>
          <w:lang w:val="en-GB"/>
        </w:rPr>
        <w:t>i)</w:t>
      </w:r>
      <w:r w:rsidRPr="00BA6590">
        <w:rPr>
          <w:lang w:val="en-GB"/>
        </w:rPr>
        <w:tab/>
      </w:r>
      <w:r w:rsidR="0021611B" w:rsidRPr="00BA6590">
        <w:rPr>
          <w:lang w:val="en-GB"/>
        </w:rPr>
        <w:t>Integration policy</w:t>
      </w:r>
    </w:p>
    <w:p w:rsidR="003B02C2" w:rsidRPr="00BA6590" w:rsidRDefault="003B02C2" w:rsidP="003B02C2">
      <w:pPr>
        <w:pStyle w:val="SingleTxtG"/>
        <w:rPr>
          <w:lang w:val="en-GB"/>
        </w:rPr>
      </w:pPr>
      <w:r w:rsidRPr="00BA6590">
        <w:rPr>
          <w:lang w:val="en-GB"/>
        </w:rPr>
        <w:t>85.</w:t>
      </w:r>
      <w:r w:rsidRPr="00BA6590">
        <w:rPr>
          <w:lang w:val="en-GB"/>
        </w:rPr>
        <w:tab/>
      </w:r>
      <w:r w:rsidR="000D2969" w:rsidRPr="00BA6590">
        <w:rPr>
          <w:lang w:val="en-GB"/>
        </w:rPr>
        <w:t xml:space="preserve">Integration policy in the Flemish Region is </w:t>
      </w:r>
      <w:r w:rsidR="00761EF8" w:rsidRPr="00BA6590">
        <w:rPr>
          <w:lang w:val="en-GB"/>
        </w:rPr>
        <w:t>gover</w:t>
      </w:r>
      <w:r w:rsidR="007D523C" w:rsidRPr="00BA6590">
        <w:rPr>
          <w:lang w:val="en-GB"/>
        </w:rPr>
        <w:t xml:space="preserve">ned by the decree of </w:t>
      </w:r>
      <w:r w:rsidRPr="00BA6590">
        <w:rPr>
          <w:lang w:val="en-GB"/>
        </w:rPr>
        <w:t xml:space="preserve">28 </w:t>
      </w:r>
      <w:r w:rsidR="007D523C" w:rsidRPr="00BA6590">
        <w:rPr>
          <w:lang w:val="en-GB"/>
        </w:rPr>
        <w:t>April</w:t>
      </w:r>
      <w:r w:rsidRPr="00BA6590">
        <w:rPr>
          <w:lang w:val="en-GB"/>
        </w:rPr>
        <w:t xml:space="preserve"> 1998</w:t>
      </w:r>
      <w:r w:rsidR="007D523C" w:rsidRPr="00BA6590">
        <w:rPr>
          <w:lang w:val="en-GB"/>
        </w:rPr>
        <w:t xml:space="preserve"> as amended by the decree of </w:t>
      </w:r>
      <w:r w:rsidRPr="00BA6590">
        <w:rPr>
          <w:lang w:val="en-GB"/>
        </w:rPr>
        <w:t xml:space="preserve">30 </w:t>
      </w:r>
      <w:r w:rsidR="007D523C" w:rsidRPr="00BA6590">
        <w:rPr>
          <w:lang w:val="en-GB"/>
        </w:rPr>
        <w:t>April</w:t>
      </w:r>
      <w:r w:rsidRPr="00BA6590">
        <w:rPr>
          <w:lang w:val="en-GB"/>
        </w:rPr>
        <w:t xml:space="preserve"> 2009.</w:t>
      </w:r>
      <w:r w:rsidR="007D523C" w:rsidRPr="00BA6590">
        <w:rPr>
          <w:lang w:val="en-GB"/>
        </w:rPr>
        <w:t xml:space="preserve"> These instruments provide for the creation of an integration policy </w:t>
      </w:r>
      <w:r w:rsidRPr="00BA6590">
        <w:rPr>
          <w:lang w:val="en-GB"/>
        </w:rPr>
        <w:t>commission</w:t>
      </w:r>
      <w:r w:rsidR="007D523C" w:rsidRPr="00BA6590">
        <w:rPr>
          <w:lang w:val="en-GB"/>
        </w:rPr>
        <w:t xml:space="preserve"> which is responsible for organizing inclusive, cross</w:t>
      </w:r>
      <w:r w:rsidR="00D94C5A" w:rsidRPr="00BA6590">
        <w:rPr>
          <w:lang w:val="en-GB"/>
        </w:rPr>
        <w:noBreakHyphen/>
      </w:r>
      <w:r w:rsidR="007D523C" w:rsidRPr="00BA6590">
        <w:rPr>
          <w:lang w:val="en-GB"/>
        </w:rPr>
        <w:t xml:space="preserve">cutting integration policy through the establishment of a strategic </w:t>
      </w:r>
      <w:r w:rsidR="00031B50" w:rsidRPr="00BA6590">
        <w:rPr>
          <w:lang w:val="en-GB"/>
        </w:rPr>
        <w:t xml:space="preserve">plan to anticipate new challenges and developments relevant to that policy. </w:t>
      </w:r>
    </w:p>
    <w:p w:rsidR="003B02C2" w:rsidRPr="00BA6590" w:rsidRDefault="003B02C2" w:rsidP="00BA355C">
      <w:pPr>
        <w:pStyle w:val="SingleTxtG"/>
        <w:rPr>
          <w:lang w:val="en-GB"/>
        </w:rPr>
      </w:pPr>
      <w:r w:rsidRPr="00BA6590">
        <w:rPr>
          <w:lang w:val="en-GB"/>
        </w:rPr>
        <w:t>86.</w:t>
      </w:r>
      <w:r w:rsidRPr="00BA6590">
        <w:rPr>
          <w:lang w:val="en-GB"/>
        </w:rPr>
        <w:tab/>
      </w:r>
      <w:r w:rsidR="00031B50" w:rsidRPr="00BA6590">
        <w:rPr>
          <w:lang w:val="en-GB"/>
        </w:rPr>
        <w:t xml:space="preserve">Flemish integration policy relates to society as a whole. All people, regardless of their origins and social status, should participate in a society in which individuals from different backgrounds can coexist and cooperate. The idea of </w:t>
      </w:r>
      <w:r w:rsidR="00A216FB" w:rsidRPr="00BA6590">
        <w:rPr>
          <w:lang w:val="en-GB"/>
        </w:rPr>
        <w:t>“</w:t>
      </w:r>
      <w:r w:rsidR="00031B50" w:rsidRPr="00BA6590">
        <w:rPr>
          <w:lang w:val="en-GB"/>
        </w:rPr>
        <w:t>active citizenship shared by all</w:t>
      </w:r>
      <w:r w:rsidR="00A216FB" w:rsidRPr="00BA6590">
        <w:rPr>
          <w:lang w:val="en-GB"/>
        </w:rPr>
        <w:t>”</w:t>
      </w:r>
      <w:r w:rsidR="00031B50" w:rsidRPr="00BA6590">
        <w:rPr>
          <w:lang w:val="en-GB"/>
        </w:rPr>
        <w:t xml:space="preserve"> is vitally important. In that framework, two categories of people receive particular attention: those who are </w:t>
      </w:r>
      <w:r w:rsidR="00761EF8" w:rsidRPr="00BA6590">
        <w:rPr>
          <w:lang w:val="en-GB"/>
        </w:rPr>
        <w:t xml:space="preserve">legal, long-term </w:t>
      </w:r>
      <w:r w:rsidR="00031B50" w:rsidRPr="00BA6590">
        <w:rPr>
          <w:lang w:val="en-GB"/>
        </w:rPr>
        <w:t>resident</w:t>
      </w:r>
      <w:r w:rsidR="00761EF8" w:rsidRPr="00BA6590">
        <w:rPr>
          <w:lang w:val="en-GB"/>
        </w:rPr>
        <w:t>s</w:t>
      </w:r>
      <w:r w:rsidR="00031B50" w:rsidRPr="00BA6590">
        <w:rPr>
          <w:lang w:val="en-GB"/>
        </w:rPr>
        <w:t xml:space="preserve"> </w:t>
      </w:r>
      <w:r w:rsidR="00761EF8" w:rsidRPr="00BA6590">
        <w:rPr>
          <w:lang w:val="en-GB"/>
        </w:rPr>
        <w:t>of</w:t>
      </w:r>
      <w:r w:rsidR="00031B50" w:rsidRPr="00BA6590">
        <w:rPr>
          <w:lang w:val="en-GB"/>
        </w:rPr>
        <w:t xml:space="preserve"> Belgium and </w:t>
      </w:r>
      <w:r w:rsidR="00761EF8" w:rsidRPr="00BA6590">
        <w:rPr>
          <w:lang w:val="en-GB"/>
        </w:rPr>
        <w:t xml:space="preserve">who </w:t>
      </w:r>
      <w:r w:rsidR="00031B50" w:rsidRPr="00BA6590">
        <w:rPr>
          <w:lang w:val="en-GB"/>
        </w:rPr>
        <w:t>were not Belgian nationals at birth</w:t>
      </w:r>
      <w:r w:rsidR="00761EF8" w:rsidRPr="00BA6590">
        <w:rPr>
          <w:lang w:val="en-GB"/>
        </w:rPr>
        <w:t>,</w:t>
      </w:r>
      <w:r w:rsidR="00031B50" w:rsidRPr="00BA6590">
        <w:rPr>
          <w:lang w:val="en-GB"/>
        </w:rPr>
        <w:t xml:space="preserve"> or at least one of whose parents was not a Belgian national at birth, particularly those who are in a clearly disadvantaged situation, and persons living legally in Belgium and who live or have lived in a caravan, or whose parents live or have lived in a caravan, except for </w:t>
      </w:r>
      <w:r w:rsidR="009A3D69" w:rsidRPr="00BA6590">
        <w:rPr>
          <w:lang w:val="en-GB"/>
        </w:rPr>
        <w:t xml:space="preserve">residents of </w:t>
      </w:r>
      <w:r w:rsidR="00031B50" w:rsidRPr="00BA6590">
        <w:rPr>
          <w:lang w:val="en-GB"/>
        </w:rPr>
        <w:t>campsite</w:t>
      </w:r>
      <w:r w:rsidR="009A3D69" w:rsidRPr="00BA6590">
        <w:rPr>
          <w:lang w:val="en-GB"/>
        </w:rPr>
        <w:t>s</w:t>
      </w:r>
      <w:r w:rsidR="00031B50" w:rsidRPr="00BA6590">
        <w:rPr>
          <w:lang w:val="en-GB"/>
        </w:rPr>
        <w:t xml:space="preserve"> </w:t>
      </w:r>
      <w:r w:rsidR="009A3D69" w:rsidRPr="00BA6590">
        <w:rPr>
          <w:lang w:val="en-GB"/>
        </w:rPr>
        <w:t>or areas for weekend stays</w:t>
      </w:r>
      <w:r w:rsidR="00031B50" w:rsidRPr="00BA6590">
        <w:rPr>
          <w:lang w:val="en-GB"/>
        </w:rPr>
        <w:t xml:space="preserve">. </w:t>
      </w:r>
    </w:p>
    <w:p w:rsidR="003B02C2" w:rsidRPr="00BA6590" w:rsidRDefault="003B02C2" w:rsidP="003B02C2">
      <w:pPr>
        <w:pStyle w:val="SingleTxtG"/>
        <w:rPr>
          <w:lang w:val="en-GB"/>
        </w:rPr>
      </w:pPr>
      <w:r w:rsidRPr="00BA6590">
        <w:rPr>
          <w:lang w:val="en-GB"/>
        </w:rPr>
        <w:t>87.</w:t>
      </w:r>
      <w:r w:rsidRPr="00BA6590">
        <w:rPr>
          <w:lang w:val="en-GB"/>
        </w:rPr>
        <w:tab/>
      </w:r>
      <w:r w:rsidR="009A3D69" w:rsidRPr="00BA6590">
        <w:rPr>
          <w:lang w:val="en-GB"/>
        </w:rPr>
        <w:t>Flemish integration policy is three-dimensional, covering proportionate participation, accessibility and coexistence with diversity.</w:t>
      </w:r>
    </w:p>
    <w:p w:rsidR="007F11D7" w:rsidRPr="00BA6590" w:rsidRDefault="009A3D69" w:rsidP="007F11D7">
      <w:pPr>
        <w:pStyle w:val="Bullet1G"/>
        <w:rPr>
          <w:lang w:val="en-GB"/>
        </w:rPr>
      </w:pPr>
      <w:r w:rsidRPr="00BA6590">
        <w:rPr>
          <w:lang w:val="en-GB"/>
        </w:rPr>
        <w:t>Proportionate participation is to be achieved by strengthening specific categories of people defined in the integration decree. This emancipation policy requires concerted action with the people concerned, but the latter also need to take their responsibilities, take part in the development of society and be consulted on the subject.</w:t>
      </w:r>
    </w:p>
    <w:p w:rsidR="007F11D7" w:rsidRPr="00BA6590" w:rsidRDefault="00227714" w:rsidP="007F11D7">
      <w:pPr>
        <w:pStyle w:val="Bullet1G"/>
        <w:rPr>
          <w:lang w:val="en-GB"/>
        </w:rPr>
      </w:pPr>
      <w:r w:rsidRPr="00BA6590">
        <w:rPr>
          <w:lang w:val="en-GB"/>
        </w:rPr>
        <w:t xml:space="preserve">Accessibility relates to the provision of suitable services and assistance through regular organizations and facilities. The attention given to specific categories of people as defined in the integration decree is part of a wider policy of integration and of provision of quality services to all citizens. </w:t>
      </w:r>
    </w:p>
    <w:p w:rsidR="007F11D7" w:rsidRPr="00BA6590" w:rsidRDefault="00DC77F9" w:rsidP="00BA355C">
      <w:pPr>
        <w:pStyle w:val="Bullet1G"/>
        <w:rPr>
          <w:lang w:val="en-GB"/>
        </w:rPr>
      </w:pPr>
      <w:r w:rsidRPr="00BA6590">
        <w:rPr>
          <w:lang w:val="en-GB"/>
        </w:rPr>
        <w:t xml:space="preserve">In seeking to ensure coexistence with diversity, the integration policy seeks to promote openness and mutual respect between individuals and contacts between people </w:t>
      </w:r>
      <w:r w:rsidR="00454F79" w:rsidRPr="00BA6590">
        <w:rPr>
          <w:lang w:val="en-GB"/>
        </w:rPr>
        <w:t>of differing origins. Targeting</w:t>
      </w:r>
      <w:r w:rsidRPr="00BA6590">
        <w:rPr>
          <w:lang w:val="en-GB"/>
        </w:rPr>
        <w:t xml:space="preserve"> society as a whole</w:t>
      </w:r>
      <w:r w:rsidR="00454F79" w:rsidRPr="00BA6590">
        <w:rPr>
          <w:lang w:val="en-GB"/>
        </w:rPr>
        <w:t>,</w:t>
      </w:r>
      <w:r w:rsidRPr="00BA6590">
        <w:rPr>
          <w:lang w:val="en-GB"/>
        </w:rPr>
        <w:t xml:space="preserve"> </w:t>
      </w:r>
      <w:r w:rsidR="00454F79" w:rsidRPr="00BA6590">
        <w:rPr>
          <w:lang w:val="en-GB"/>
        </w:rPr>
        <w:t>it aims to broaden the base for a diversified society. Coexistence with diversity is the responsibility of all citizens, a responsibility which should be accepted and put into practice with their cooperation.</w:t>
      </w:r>
      <w:r w:rsidR="00227714" w:rsidRPr="00BA6590">
        <w:rPr>
          <w:lang w:val="en-GB"/>
        </w:rPr>
        <w:t xml:space="preserve"> </w:t>
      </w:r>
    </w:p>
    <w:p w:rsidR="007F11D7" w:rsidRPr="00BA6590" w:rsidRDefault="007F11D7" w:rsidP="007F11D7">
      <w:pPr>
        <w:pStyle w:val="SingleTxtG"/>
        <w:rPr>
          <w:lang w:val="en-GB"/>
        </w:rPr>
      </w:pPr>
      <w:r w:rsidRPr="00BA6590">
        <w:rPr>
          <w:lang w:val="en-GB"/>
        </w:rPr>
        <w:t>88.</w:t>
      </w:r>
      <w:r w:rsidRPr="00BA6590">
        <w:rPr>
          <w:lang w:val="en-GB"/>
        </w:rPr>
        <w:tab/>
      </w:r>
      <w:r w:rsidR="00454F79" w:rsidRPr="00BA6590">
        <w:rPr>
          <w:lang w:val="en-GB"/>
        </w:rPr>
        <w:t xml:space="preserve">The three dimensions of the integration policy demand efforts to improve equality of treatment and combat discrimination based on birth, philosophical beliefs or convictions, language, nationality, presumed race, skin colour or national or ethnic origin or ancestry. To that end, measures must be taken in response to cases of unequal treatment or discrimination and citizens who are the victims of such practices must be empowered to defend their rights. </w:t>
      </w:r>
    </w:p>
    <w:p w:rsidR="007F11D7" w:rsidRPr="00BA6590" w:rsidRDefault="007F11D7" w:rsidP="007F11D7">
      <w:pPr>
        <w:pStyle w:val="SingleTxtG"/>
        <w:rPr>
          <w:lang w:val="en-GB"/>
        </w:rPr>
      </w:pPr>
      <w:r w:rsidRPr="00BA6590">
        <w:rPr>
          <w:lang w:val="en-GB"/>
        </w:rPr>
        <w:t>89.</w:t>
      </w:r>
      <w:r w:rsidRPr="00BA6590">
        <w:rPr>
          <w:lang w:val="en-GB"/>
        </w:rPr>
        <w:tab/>
      </w:r>
      <w:r w:rsidR="00454F79" w:rsidRPr="00BA6590">
        <w:rPr>
          <w:lang w:val="en-GB"/>
        </w:rPr>
        <w:t xml:space="preserve">The Flemish </w:t>
      </w:r>
      <w:r w:rsidR="00F21548" w:rsidRPr="00BA6590">
        <w:rPr>
          <w:lang w:val="en-GB"/>
        </w:rPr>
        <w:t>government</w:t>
      </w:r>
      <w:r w:rsidR="00454F79" w:rsidRPr="00BA6590">
        <w:rPr>
          <w:lang w:val="en-GB"/>
        </w:rPr>
        <w:t xml:space="preserve"> allocates €19 million per year to integration policy.</w:t>
      </w:r>
    </w:p>
    <w:p w:rsidR="00596870" w:rsidRPr="00BA6590" w:rsidRDefault="007F11D7" w:rsidP="007F11D7">
      <w:pPr>
        <w:pStyle w:val="SingleTxtG"/>
        <w:rPr>
          <w:lang w:val="en-GB"/>
        </w:rPr>
      </w:pPr>
      <w:r w:rsidRPr="00BA6590">
        <w:rPr>
          <w:lang w:val="en-GB"/>
        </w:rPr>
        <w:t>90.</w:t>
      </w:r>
      <w:r w:rsidRPr="00BA6590">
        <w:rPr>
          <w:lang w:val="en-GB"/>
        </w:rPr>
        <w:tab/>
      </w:r>
      <w:r w:rsidR="00E02A4E" w:rsidRPr="00BA6590">
        <w:rPr>
          <w:lang w:val="en-GB"/>
        </w:rPr>
        <w:t xml:space="preserve">Local authorities also play an important part. Cities and communes wishing to receive an integration grant must develop local three-dimensional integration policies. </w:t>
      </w:r>
    </w:p>
    <w:p w:rsidR="006D2CAA" w:rsidRPr="00BA6590" w:rsidRDefault="007F730D" w:rsidP="007F730D">
      <w:pPr>
        <w:pStyle w:val="H56G"/>
        <w:rPr>
          <w:lang w:val="en-GB"/>
        </w:rPr>
      </w:pPr>
      <w:r w:rsidRPr="00BA6590">
        <w:rPr>
          <w:lang w:val="en-GB"/>
        </w:rPr>
        <w:tab/>
      </w:r>
      <w:r w:rsidRPr="00BA6590">
        <w:rPr>
          <w:lang w:val="en-GB"/>
        </w:rPr>
        <w:tab/>
      </w:r>
      <w:r w:rsidR="00D054F0" w:rsidRPr="00BA6590">
        <w:rPr>
          <w:lang w:val="en-GB"/>
        </w:rPr>
        <w:t xml:space="preserve">Reception of </w:t>
      </w:r>
      <w:r w:rsidR="00DD1CE5" w:rsidRPr="00BA6590">
        <w:rPr>
          <w:lang w:val="en-GB"/>
        </w:rPr>
        <w:t>irregular</w:t>
      </w:r>
      <w:r w:rsidR="00D054F0" w:rsidRPr="00BA6590">
        <w:rPr>
          <w:lang w:val="en-GB"/>
        </w:rPr>
        <w:t xml:space="preserve"> migra</w:t>
      </w:r>
      <w:r w:rsidR="0021611B" w:rsidRPr="00BA6590">
        <w:rPr>
          <w:lang w:val="en-GB"/>
        </w:rPr>
        <w:t>nts</w:t>
      </w:r>
    </w:p>
    <w:p w:rsidR="006D2CAA" w:rsidRPr="00BA6590" w:rsidRDefault="006D2CAA" w:rsidP="006D2CAA">
      <w:pPr>
        <w:pStyle w:val="SingleTxtG"/>
        <w:rPr>
          <w:lang w:val="en-GB"/>
        </w:rPr>
      </w:pPr>
      <w:r w:rsidRPr="00BA6590">
        <w:rPr>
          <w:lang w:val="en-GB"/>
        </w:rPr>
        <w:t>91.</w:t>
      </w:r>
      <w:r w:rsidRPr="00BA6590">
        <w:rPr>
          <w:lang w:val="en-GB"/>
        </w:rPr>
        <w:tab/>
      </w:r>
      <w:r w:rsidR="00D054F0" w:rsidRPr="00BA6590">
        <w:rPr>
          <w:lang w:val="en-GB"/>
        </w:rPr>
        <w:t>The decree on Flemish integration policy also relates to foreign nationals whose residence in Belgium is illegal and who request help or reception because of their precarious situations. This aspect of the decree focuses on human assistance, mostly provided in the areas of health care and education and emphasizing guidance towards the making of judicious choices for the future, particularly by providing information on voluntary return programmes.</w:t>
      </w:r>
      <w:r w:rsidR="003E6A61" w:rsidRPr="00BA6590">
        <w:rPr>
          <w:lang w:val="en-GB"/>
        </w:rPr>
        <w:t xml:space="preserve"> </w:t>
      </w:r>
    </w:p>
    <w:p w:rsidR="006D2CAA" w:rsidRPr="00BA6590" w:rsidRDefault="006D2CAA" w:rsidP="0021611B">
      <w:pPr>
        <w:pStyle w:val="H56G"/>
        <w:rPr>
          <w:lang w:val="en-GB"/>
        </w:rPr>
      </w:pPr>
      <w:r w:rsidRPr="00BA6590">
        <w:rPr>
          <w:lang w:val="en-GB"/>
        </w:rPr>
        <w:tab/>
      </w:r>
      <w:r w:rsidR="00E02A4E" w:rsidRPr="00BA6590">
        <w:rPr>
          <w:lang w:val="en-GB"/>
        </w:rPr>
        <w:t>(</w:t>
      </w:r>
      <w:r w:rsidRPr="00BA6590">
        <w:rPr>
          <w:lang w:val="en-GB"/>
        </w:rPr>
        <w:t>ii)</w:t>
      </w:r>
      <w:r w:rsidRPr="00BA6590">
        <w:rPr>
          <w:lang w:val="en-GB"/>
        </w:rPr>
        <w:tab/>
      </w:r>
      <w:r w:rsidR="00D054F0" w:rsidRPr="00BA6590">
        <w:rPr>
          <w:lang w:val="en-GB"/>
        </w:rPr>
        <w:t>Civic integration policy</w:t>
      </w:r>
      <w:r w:rsidRPr="00BA6590">
        <w:rPr>
          <w:rStyle w:val="FootnoteReference"/>
          <w:lang w:val="en-GB"/>
        </w:rPr>
        <w:footnoteReference w:id="18"/>
      </w:r>
    </w:p>
    <w:p w:rsidR="006D2CAA" w:rsidRPr="00BA6590" w:rsidRDefault="007F730D" w:rsidP="0021611B">
      <w:pPr>
        <w:pStyle w:val="H56G"/>
        <w:rPr>
          <w:lang w:val="en-GB"/>
        </w:rPr>
      </w:pPr>
      <w:r w:rsidRPr="00BA6590">
        <w:rPr>
          <w:lang w:val="en-GB"/>
        </w:rPr>
        <w:tab/>
      </w:r>
      <w:r w:rsidRPr="00BA6590">
        <w:rPr>
          <w:lang w:val="en-GB"/>
        </w:rPr>
        <w:tab/>
      </w:r>
      <w:r w:rsidR="00D054F0" w:rsidRPr="00BA6590">
        <w:rPr>
          <w:lang w:val="en-GB"/>
        </w:rPr>
        <w:t xml:space="preserve">Amendment of the Decree on Civic Integration of </w:t>
      </w:r>
      <w:r w:rsidR="006D2CAA" w:rsidRPr="00BA6590">
        <w:rPr>
          <w:lang w:val="en-GB"/>
        </w:rPr>
        <w:t xml:space="preserve">28 </w:t>
      </w:r>
      <w:r w:rsidR="00D054F0" w:rsidRPr="00BA6590">
        <w:rPr>
          <w:lang w:val="en-GB"/>
        </w:rPr>
        <w:t>February</w:t>
      </w:r>
      <w:r w:rsidR="006D2CAA" w:rsidRPr="00BA6590">
        <w:rPr>
          <w:lang w:val="en-GB"/>
        </w:rPr>
        <w:t xml:space="preserve"> 2003</w:t>
      </w:r>
    </w:p>
    <w:p w:rsidR="006D2CAA" w:rsidRPr="00BA6590" w:rsidRDefault="006D2CAA" w:rsidP="002409EB">
      <w:pPr>
        <w:pStyle w:val="SingleTxtG"/>
        <w:rPr>
          <w:lang w:val="en-GB"/>
        </w:rPr>
      </w:pPr>
      <w:r w:rsidRPr="00BA6590">
        <w:rPr>
          <w:lang w:val="en-GB"/>
        </w:rPr>
        <w:t>92.</w:t>
      </w:r>
      <w:r w:rsidRPr="00BA6590">
        <w:rPr>
          <w:lang w:val="en-GB"/>
        </w:rPr>
        <w:tab/>
      </w:r>
      <w:r w:rsidR="0092732C" w:rsidRPr="00BA6590">
        <w:rPr>
          <w:lang w:val="en-GB"/>
        </w:rPr>
        <w:t xml:space="preserve">The Decree on Civic Integration of 28 February 2003 has been amended three times, by the decrees of </w:t>
      </w:r>
      <w:r w:rsidRPr="00BA6590">
        <w:rPr>
          <w:lang w:val="en-GB"/>
        </w:rPr>
        <w:t xml:space="preserve">14 </w:t>
      </w:r>
      <w:r w:rsidR="00E906CF" w:rsidRPr="00BA6590">
        <w:rPr>
          <w:lang w:val="en-GB"/>
        </w:rPr>
        <w:t>July</w:t>
      </w:r>
      <w:r w:rsidRPr="00BA6590">
        <w:rPr>
          <w:lang w:val="en-GB"/>
        </w:rPr>
        <w:t xml:space="preserve"> 2006, </w:t>
      </w:r>
      <w:r w:rsidR="002409EB" w:rsidRPr="00BA6590">
        <w:rPr>
          <w:lang w:val="en-GB"/>
        </w:rPr>
        <w:t>1</w:t>
      </w:r>
      <w:r w:rsidR="00E906CF" w:rsidRPr="00BA6590">
        <w:rPr>
          <w:lang w:val="en-GB"/>
        </w:rPr>
        <w:t xml:space="preserve"> February</w:t>
      </w:r>
      <w:r w:rsidRPr="00BA6590">
        <w:rPr>
          <w:lang w:val="en-GB"/>
        </w:rPr>
        <w:t xml:space="preserve"> 2008 </w:t>
      </w:r>
      <w:r w:rsidR="00E906CF" w:rsidRPr="00BA6590">
        <w:rPr>
          <w:lang w:val="en-GB"/>
        </w:rPr>
        <w:t>and</w:t>
      </w:r>
      <w:r w:rsidRPr="00BA6590">
        <w:rPr>
          <w:lang w:val="en-GB"/>
        </w:rPr>
        <w:t xml:space="preserve"> 17 </w:t>
      </w:r>
      <w:r w:rsidR="00E906CF" w:rsidRPr="00BA6590">
        <w:rPr>
          <w:lang w:val="en-GB"/>
        </w:rPr>
        <w:t>February</w:t>
      </w:r>
      <w:r w:rsidRPr="00BA6590">
        <w:rPr>
          <w:lang w:val="en-GB"/>
        </w:rPr>
        <w:t xml:space="preserve"> 2012.</w:t>
      </w:r>
    </w:p>
    <w:p w:rsidR="006D2CAA" w:rsidRPr="00BA6590" w:rsidRDefault="006D2CAA" w:rsidP="006D2CAA">
      <w:pPr>
        <w:pStyle w:val="SingleTxtG"/>
        <w:rPr>
          <w:lang w:val="en-GB"/>
        </w:rPr>
      </w:pPr>
      <w:r w:rsidRPr="00BA6590">
        <w:rPr>
          <w:lang w:val="en-GB"/>
        </w:rPr>
        <w:t>93.</w:t>
      </w:r>
      <w:r w:rsidRPr="00BA6590">
        <w:rPr>
          <w:lang w:val="en-GB"/>
        </w:rPr>
        <w:tab/>
      </w:r>
      <w:r w:rsidR="002720A4" w:rsidRPr="00BA6590">
        <w:rPr>
          <w:lang w:val="en-GB"/>
        </w:rPr>
        <w:t xml:space="preserve">The primary goal of the decree of </w:t>
      </w:r>
      <w:r w:rsidRPr="00BA6590">
        <w:rPr>
          <w:lang w:val="en-GB"/>
        </w:rPr>
        <w:t xml:space="preserve">14 </w:t>
      </w:r>
      <w:r w:rsidR="002720A4" w:rsidRPr="00BA6590">
        <w:rPr>
          <w:lang w:val="en-GB"/>
        </w:rPr>
        <w:t>July</w:t>
      </w:r>
      <w:r w:rsidRPr="00BA6590">
        <w:rPr>
          <w:lang w:val="en-GB"/>
        </w:rPr>
        <w:t xml:space="preserve"> 2006</w:t>
      </w:r>
      <w:r w:rsidR="002720A4" w:rsidRPr="00BA6590">
        <w:rPr>
          <w:lang w:val="en-GB"/>
        </w:rPr>
        <w:t xml:space="preserve"> was to better define the target group of the Flemish civic integration policy </w:t>
      </w:r>
      <w:r w:rsidRPr="00BA6590">
        <w:rPr>
          <w:lang w:val="en-GB"/>
        </w:rPr>
        <w:t>(</w:t>
      </w:r>
      <w:r w:rsidR="00761EF8" w:rsidRPr="00BA6590">
        <w:rPr>
          <w:lang w:val="en-GB"/>
        </w:rPr>
        <w:t xml:space="preserve">which is </w:t>
      </w:r>
      <w:r w:rsidR="002720A4" w:rsidRPr="00BA6590">
        <w:rPr>
          <w:lang w:val="en-GB"/>
        </w:rPr>
        <w:t>obligatory</w:t>
      </w:r>
      <w:r w:rsidRPr="00BA6590">
        <w:rPr>
          <w:lang w:val="en-GB"/>
        </w:rPr>
        <w:t>)</w:t>
      </w:r>
      <w:r w:rsidR="002720A4" w:rsidRPr="00BA6590">
        <w:rPr>
          <w:lang w:val="en-GB"/>
        </w:rPr>
        <w:t xml:space="preserve"> and set up a more effective penalty mechanism, the administrative fine procedure.</w:t>
      </w:r>
    </w:p>
    <w:p w:rsidR="006D2CAA" w:rsidRPr="00BA6590" w:rsidRDefault="006D2CAA" w:rsidP="002409EB">
      <w:pPr>
        <w:pStyle w:val="SingleTxtG"/>
        <w:rPr>
          <w:lang w:val="en-GB"/>
        </w:rPr>
      </w:pPr>
      <w:r w:rsidRPr="00BA6590">
        <w:rPr>
          <w:lang w:val="en-GB"/>
        </w:rPr>
        <w:t>94.</w:t>
      </w:r>
      <w:r w:rsidRPr="00BA6590">
        <w:rPr>
          <w:lang w:val="en-GB"/>
        </w:rPr>
        <w:tab/>
      </w:r>
      <w:r w:rsidR="002720A4" w:rsidRPr="00BA6590">
        <w:rPr>
          <w:lang w:val="en-GB"/>
        </w:rPr>
        <w:t>The decree of 1 Februar</w:t>
      </w:r>
      <w:r w:rsidR="00260DC1" w:rsidRPr="00BA6590">
        <w:rPr>
          <w:lang w:val="en-GB"/>
        </w:rPr>
        <w:t>y</w:t>
      </w:r>
      <w:r w:rsidRPr="00BA6590">
        <w:rPr>
          <w:lang w:val="en-GB"/>
        </w:rPr>
        <w:t xml:space="preserve"> 2008</w:t>
      </w:r>
      <w:r w:rsidR="002720A4" w:rsidRPr="00BA6590">
        <w:rPr>
          <w:lang w:val="en-GB"/>
        </w:rPr>
        <w:t xml:space="preserve"> brings the target group into line with new federal residence regulations. </w:t>
      </w:r>
      <w:r w:rsidR="00260DC1" w:rsidRPr="00BA6590">
        <w:rPr>
          <w:lang w:val="en-GB"/>
        </w:rPr>
        <w:t>Among other things, t</w:t>
      </w:r>
      <w:r w:rsidR="002720A4" w:rsidRPr="00BA6590">
        <w:rPr>
          <w:lang w:val="en-GB"/>
        </w:rPr>
        <w:t xml:space="preserve">he decree </w:t>
      </w:r>
      <w:r w:rsidR="00260DC1" w:rsidRPr="00BA6590">
        <w:rPr>
          <w:lang w:val="en-GB"/>
        </w:rPr>
        <w:t xml:space="preserve">creates an obligation for </w:t>
      </w:r>
      <w:r w:rsidR="004F4861" w:rsidRPr="00BA6590">
        <w:rPr>
          <w:lang w:val="en-GB"/>
        </w:rPr>
        <w:t>asylum seeker</w:t>
      </w:r>
      <w:r w:rsidR="00260DC1" w:rsidRPr="00BA6590">
        <w:rPr>
          <w:lang w:val="en-GB"/>
        </w:rPr>
        <w:t xml:space="preserve">s to take a social orientation course if their asylum procedure lasts longer than four months. When that period expires they become eligible for other parts of the civic integration procedure. </w:t>
      </w:r>
    </w:p>
    <w:p w:rsidR="006D2CAA" w:rsidRPr="00BA6590" w:rsidRDefault="006D2CAA" w:rsidP="006D2CAA">
      <w:pPr>
        <w:pStyle w:val="SingleTxtG"/>
        <w:rPr>
          <w:lang w:val="en-GB"/>
        </w:rPr>
      </w:pPr>
      <w:r w:rsidRPr="00BA6590">
        <w:rPr>
          <w:lang w:val="en-GB"/>
        </w:rPr>
        <w:t>95.</w:t>
      </w:r>
      <w:r w:rsidRPr="00BA6590">
        <w:rPr>
          <w:lang w:val="en-GB"/>
        </w:rPr>
        <w:tab/>
      </w:r>
      <w:r w:rsidR="00260DC1" w:rsidRPr="00BA6590">
        <w:rPr>
          <w:lang w:val="en-GB"/>
        </w:rPr>
        <w:t xml:space="preserve">The provisions for </w:t>
      </w:r>
      <w:r w:rsidR="004F4861" w:rsidRPr="00BA6590">
        <w:rPr>
          <w:lang w:val="en-GB"/>
        </w:rPr>
        <w:t>asylum seeker</w:t>
      </w:r>
      <w:r w:rsidR="00260DC1" w:rsidRPr="00BA6590">
        <w:rPr>
          <w:lang w:val="en-GB"/>
        </w:rPr>
        <w:t xml:space="preserve">s were further amended by the decree of </w:t>
      </w:r>
      <w:r w:rsidRPr="00BA6590">
        <w:rPr>
          <w:lang w:val="en-GB"/>
        </w:rPr>
        <w:t xml:space="preserve">17 </w:t>
      </w:r>
      <w:r w:rsidR="00260DC1" w:rsidRPr="00BA6590">
        <w:rPr>
          <w:lang w:val="en-GB"/>
        </w:rPr>
        <w:t>February</w:t>
      </w:r>
      <w:r w:rsidRPr="00BA6590">
        <w:rPr>
          <w:lang w:val="en-GB"/>
        </w:rPr>
        <w:t xml:space="preserve"> 2012,</w:t>
      </w:r>
      <w:r w:rsidR="00260DC1" w:rsidRPr="00BA6590">
        <w:rPr>
          <w:lang w:val="en-GB"/>
        </w:rPr>
        <w:t xml:space="preserve"> which abolishes compulsory priority civic integration for th</w:t>
      </w:r>
      <w:r w:rsidR="00761EF8" w:rsidRPr="00BA6590">
        <w:rPr>
          <w:lang w:val="en-GB"/>
        </w:rPr>
        <w:t>em</w:t>
      </w:r>
      <w:r w:rsidR="00260DC1" w:rsidRPr="00BA6590">
        <w:rPr>
          <w:lang w:val="en-GB"/>
        </w:rPr>
        <w:t xml:space="preserve">; </w:t>
      </w:r>
      <w:r w:rsidR="00761EF8" w:rsidRPr="00BA6590">
        <w:rPr>
          <w:lang w:val="en-GB"/>
        </w:rPr>
        <w:t>nonetheless</w:t>
      </w:r>
      <w:r w:rsidR="00260DC1" w:rsidRPr="00BA6590">
        <w:rPr>
          <w:lang w:val="en-GB"/>
        </w:rPr>
        <w:t>,</w:t>
      </w:r>
      <w:r w:rsidR="00761EF8" w:rsidRPr="00BA6590">
        <w:rPr>
          <w:lang w:val="en-GB"/>
        </w:rPr>
        <w:t xml:space="preserve"> they</w:t>
      </w:r>
      <w:r w:rsidR="00260DC1" w:rsidRPr="00BA6590">
        <w:rPr>
          <w:lang w:val="en-GB"/>
        </w:rPr>
        <w:t xml:space="preserve"> retain the right to integration in Flanders and Brussels following the fourth month of the asylum procedure. </w:t>
      </w:r>
    </w:p>
    <w:p w:rsidR="006D2CAA" w:rsidRPr="00BA6590" w:rsidRDefault="00FB19D3" w:rsidP="00FB19D3">
      <w:pPr>
        <w:pStyle w:val="H56G"/>
        <w:rPr>
          <w:lang w:val="en-GB"/>
        </w:rPr>
      </w:pPr>
      <w:r w:rsidRPr="00BA6590">
        <w:rPr>
          <w:lang w:val="en-GB"/>
        </w:rPr>
        <w:tab/>
      </w:r>
      <w:r w:rsidRPr="00BA6590">
        <w:rPr>
          <w:lang w:val="en-GB"/>
        </w:rPr>
        <w:tab/>
      </w:r>
      <w:r w:rsidR="00260DC1" w:rsidRPr="00BA6590">
        <w:rPr>
          <w:lang w:val="en-GB"/>
        </w:rPr>
        <w:t>Targets of the civic integration policy</w:t>
      </w:r>
    </w:p>
    <w:p w:rsidR="006D2CAA" w:rsidRPr="00BA6590" w:rsidRDefault="0052469D" w:rsidP="0052469D">
      <w:pPr>
        <w:pStyle w:val="H56G"/>
        <w:rPr>
          <w:lang w:val="en-GB"/>
        </w:rPr>
      </w:pPr>
      <w:r w:rsidRPr="00BA6590">
        <w:rPr>
          <w:lang w:val="en-GB"/>
        </w:rPr>
        <w:tab/>
      </w:r>
      <w:r w:rsidRPr="00BA6590">
        <w:rPr>
          <w:lang w:val="en-GB"/>
        </w:rPr>
        <w:tab/>
      </w:r>
      <w:r w:rsidR="00260DC1" w:rsidRPr="00BA6590">
        <w:rPr>
          <w:lang w:val="en-GB"/>
        </w:rPr>
        <w:t>(</w:t>
      </w:r>
      <w:r w:rsidR="001A5260" w:rsidRPr="00BA6590">
        <w:rPr>
          <w:lang w:val="en-GB"/>
        </w:rPr>
        <w:t>a)</w:t>
      </w:r>
      <w:r w:rsidR="001A5260" w:rsidRPr="00BA6590">
        <w:rPr>
          <w:lang w:val="en-GB"/>
        </w:rPr>
        <w:tab/>
      </w:r>
      <w:r w:rsidR="00260DC1" w:rsidRPr="00BA6590">
        <w:rPr>
          <w:lang w:val="en-GB"/>
        </w:rPr>
        <w:t>Target group of the civic integration policy</w:t>
      </w:r>
    </w:p>
    <w:p w:rsidR="006D2CAA" w:rsidRPr="00BA6590" w:rsidRDefault="006D2CAA" w:rsidP="000F0FFB">
      <w:pPr>
        <w:pStyle w:val="SingleTxtG"/>
        <w:rPr>
          <w:lang w:val="en-GB"/>
        </w:rPr>
      </w:pPr>
      <w:r w:rsidRPr="00BA6590">
        <w:rPr>
          <w:lang w:val="en-GB"/>
        </w:rPr>
        <w:t>96.</w:t>
      </w:r>
      <w:r w:rsidRPr="00BA6590">
        <w:rPr>
          <w:lang w:val="en-GB"/>
        </w:rPr>
        <w:tab/>
      </w:r>
      <w:r w:rsidR="00260DC1" w:rsidRPr="00BA6590">
        <w:rPr>
          <w:lang w:val="en-GB"/>
        </w:rPr>
        <w:t xml:space="preserve">The target group of the civic integration policy comprises foreign nationals aged 18 and over who arrive for the purpose of settling in Flanders or Brussels in the long term and are included in the National Register. Any Belgian national aged 18 and over born outside Belgium, at least one of whose parents was born outside Belgium, also belongs to this group. </w:t>
      </w:r>
    </w:p>
    <w:p w:rsidR="006D2CAA" w:rsidRPr="00BA6590" w:rsidRDefault="006D2CAA" w:rsidP="0027541F">
      <w:pPr>
        <w:pStyle w:val="SingleTxtG"/>
        <w:rPr>
          <w:lang w:val="en-GB"/>
        </w:rPr>
      </w:pPr>
      <w:r w:rsidRPr="00BA6590">
        <w:rPr>
          <w:lang w:val="en-GB"/>
        </w:rPr>
        <w:t>97.</w:t>
      </w:r>
      <w:r w:rsidRPr="00BA6590">
        <w:rPr>
          <w:lang w:val="en-GB"/>
        </w:rPr>
        <w:tab/>
      </w:r>
      <w:r w:rsidR="00260DC1" w:rsidRPr="00BA6590">
        <w:rPr>
          <w:lang w:val="en-GB"/>
        </w:rPr>
        <w:t>Foreign nationals temporarily resident in Flanders or Brussels</w:t>
      </w:r>
      <w:r w:rsidR="006C6EF4" w:rsidRPr="00BA6590">
        <w:rPr>
          <w:lang w:val="en-GB"/>
        </w:rPr>
        <w:t xml:space="preserve"> are not included and are not entitled to the civic integration programme. This group comprises, in practical terms, certain migrant workers and non-European students. </w:t>
      </w:r>
      <w:r w:rsidR="004F4861" w:rsidRPr="00BA6590">
        <w:rPr>
          <w:lang w:val="en-GB"/>
        </w:rPr>
        <w:t>Asylum seeker</w:t>
      </w:r>
      <w:r w:rsidR="006C6EF4" w:rsidRPr="00BA6590">
        <w:rPr>
          <w:lang w:val="en-GB"/>
        </w:rPr>
        <w:t xml:space="preserve">s whose asylum applications have been submitted fewer than four months earlier are also excluded. </w:t>
      </w:r>
    </w:p>
    <w:p w:rsidR="006D2CAA" w:rsidRPr="00BA6590" w:rsidRDefault="0052469D" w:rsidP="0052469D">
      <w:pPr>
        <w:pStyle w:val="H56G"/>
        <w:rPr>
          <w:lang w:val="en-GB"/>
        </w:rPr>
      </w:pPr>
      <w:r w:rsidRPr="00BA6590">
        <w:rPr>
          <w:lang w:val="en-GB"/>
        </w:rPr>
        <w:tab/>
      </w:r>
      <w:r w:rsidRPr="00BA6590">
        <w:rPr>
          <w:lang w:val="en-GB"/>
        </w:rPr>
        <w:tab/>
      </w:r>
      <w:r w:rsidR="00761EF8" w:rsidRPr="00BA6590">
        <w:rPr>
          <w:lang w:val="en-GB"/>
        </w:rPr>
        <w:t>(</w:t>
      </w:r>
      <w:r w:rsidR="001A5260" w:rsidRPr="00BA6590">
        <w:rPr>
          <w:lang w:val="en-GB"/>
        </w:rPr>
        <w:t>b)</w:t>
      </w:r>
      <w:r w:rsidR="001A5260" w:rsidRPr="00BA6590">
        <w:rPr>
          <w:lang w:val="en-GB"/>
        </w:rPr>
        <w:tab/>
      </w:r>
      <w:r w:rsidR="006C6EF4" w:rsidRPr="00BA6590">
        <w:rPr>
          <w:lang w:val="en-GB"/>
        </w:rPr>
        <w:t>Duty of civic integration</w:t>
      </w:r>
    </w:p>
    <w:p w:rsidR="006D2CAA" w:rsidRPr="00BA6590" w:rsidRDefault="006D2CAA" w:rsidP="006D2CAA">
      <w:pPr>
        <w:pStyle w:val="SingleTxtG"/>
        <w:rPr>
          <w:lang w:val="en-GB"/>
        </w:rPr>
      </w:pPr>
      <w:r w:rsidRPr="00BA6590">
        <w:rPr>
          <w:lang w:val="en-GB"/>
        </w:rPr>
        <w:t>98.</w:t>
      </w:r>
      <w:r w:rsidRPr="00BA6590">
        <w:rPr>
          <w:lang w:val="en-GB"/>
        </w:rPr>
        <w:tab/>
      </w:r>
      <w:r w:rsidR="004F292F" w:rsidRPr="00BA6590">
        <w:rPr>
          <w:lang w:val="en-GB"/>
        </w:rPr>
        <w:t xml:space="preserve">Persons in </w:t>
      </w:r>
      <w:r w:rsidR="00761EF8" w:rsidRPr="00BA6590">
        <w:rPr>
          <w:lang w:val="en-GB"/>
        </w:rPr>
        <w:t>two</w:t>
      </w:r>
      <w:r w:rsidR="004F292F" w:rsidRPr="00BA6590">
        <w:rPr>
          <w:lang w:val="en-GB"/>
        </w:rPr>
        <w:t xml:space="preserve"> categories are required to follow a</w:t>
      </w:r>
      <w:r w:rsidRPr="00BA6590">
        <w:rPr>
          <w:lang w:val="en-GB"/>
        </w:rPr>
        <w:t xml:space="preserve"> </w:t>
      </w:r>
      <w:r w:rsidR="006C6EF4" w:rsidRPr="00BA6590">
        <w:rPr>
          <w:lang w:val="en-GB"/>
        </w:rPr>
        <w:t>civic integration programme</w:t>
      </w:r>
      <w:r w:rsidR="00761EF8" w:rsidRPr="00BA6590">
        <w:rPr>
          <w:lang w:val="en-GB"/>
        </w:rPr>
        <w:t xml:space="preserve">: </w:t>
      </w:r>
      <w:r w:rsidR="00AB0AA1" w:rsidRPr="00BA6590">
        <w:rPr>
          <w:lang w:val="en-GB"/>
        </w:rPr>
        <w:t xml:space="preserve">first, persons who have migrated to Belgium recently and settled in Flanders and, second, ministers of religion officiating in a local church or religious community recognized by the Flemish </w:t>
      </w:r>
      <w:r w:rsidR="00F21548" w:rsidRPr="00BA6590">
        <w:rPr>
          <w:lang w:val="en-GB"/>
        </w:rPr>
        <w:t>government</w:t>
      </w:r>
      <w:r w:rsidR="00AB0AA1" w:rsidRPr="00BA6590">
        <w:rPr>
          <w:lang w:val="en-GB"/>
        </w:rPr>
        <w:t xml:space="preserve">. </w:t>
      </w:r>
    </w:p>
    <w:p w:rsidR="006D2CAA" w:rsidRPr="00BA6590" w:rsidRDefault="006D2CAA" w:rsidP="006D2CAA">
      <w:pPr>
        <w:pStyle w:val="SingleTxtG"/>
        <w:rPr>
          <w:lang w:val="en-GB"/>
        </w:rPr>
      </w:pPr>
      <w:r w:rsidRPr="00BA6590">
        <w:rPr>
          <w:lang w:val="en-GB"/>
        </w:rPr>
        <w:t>99.</w:t>
      </w:r>
      <w:r w:rsidRPr="00BA6590">
        <w:rPr>
          <w:lang w:val="en-GB"/>
        </w:rPr>
        <w:tab/>
      </w:r>
      <w:r w:rsidR="00AB0AA1" w:rsidRPr="00BA6590">
        <w:rPr>
          <w:lang w:val="en-GB"/>
        </w:rPr>
        <w:t>The duty of civic integration is not applicable in Brussels. Citizens of a member State of the European Union, of the European economic area or of Switzerland</w:t>
      </w:r>
      <w:r w:rsidR="00C66683" w:rsidRPr="00BA6590">
        <w:rPr>
          <w:lang w:val="en-GB"/>
        </w:rPr>
        <w:t>, as well as</w:t>
      </w:r>
      <w:r w:rsidR="00AB0AA1" w:rsidRPr="00BA6590">
        <w:rPr>
          <w:lang w:val="en-GB"/>
        </w:rPr>
        <w:t xml:space="preserve"> the members of their families</w:t>
      </w:r>
      <w:r w:rsidR="00C66683" w:rsidRPr="00BA6590">
        <w:rPr>
          <w:lang w:val="en-GB"/>
        </w:rPr>
        <w:t>,</w:t>
      </w:r>
      <w:r w:rsidR="00AB0AA1" w:rsidRPr="00BA6590">
        <w:rPr>
          <w:lang w:val="en-GB"/>
        </w:rPr>
        <w:t xml:space="preserve"> are exempted from that duty. That exemption does not apply to family members of Belgian nationals or to recent arrivals holding Belgian nationality who have recently settled in Flanders. </w:t>
      </w:r>
    </w:p>
    <w:p w:rsidR="006D2CAA" w:rsidRPr="00BA6590" w:rsidRDefault="006D2CAA" w:rsidP="002409EB">
      <w:pPr>
        <w:pStyle w:val="SingleTxtG"/>
        <w:rPr>
          <w:lang w:val="en-GB"/>
        </w:rPr>
      </w:pPr>
      <w:r w:rsidRPr="00BA6590">
        <w:rPr>
          <w:lang w:val="en-GB"/>
        </w:rPr>
        <w:t>100.</w:t>
      </w:r>
      <w:r w:rsidRPr="00BA6590">
        <w:rPr>
          <w:lang w:val="en-GB"/>
        </w:rPr>
        <w:tab/>
      </w:r>
      <w:r w:rsidR="00AB0AA1" w:rsidRPr="00BA6590">
        <w:rPr>
          <w:lang w:val="en-GB"/>
        </w:rPr>
        <w:t>As of 1 March</w:t>
      </w:r>
      <w:r w:rsidRPr="00BA6590">
        <w:rPr>
          <w:lang w:val="en-GB"/>
        </w:rPr>
        <w:t xml:space="preserve"> 2009,</w:t>
      </w:r>
      <w:r w:rsidR="00AB0AA1" w:rsidRPr="00BA6590">
        <w:rPr>
          <w:lang w:val="en-GB"/>
        </w:rPr>
        <w:t xml:space="preserve"> recent arrivals to whom that duty applies but who fail to fulfil it and those having rights who do not comply with their civic integration contracts may be subject to an administrative fine. The system of administrative fines is not applicable in the Brussels-Capital Region. </w:t>
      </w:r>
    </w:p>
    <w:p w:rsidR="006D2CAA" w:rsidRPr="00BA6590" w:rsidRDefault="001A5260" w:rsidP="001A5260">
      <w:pPr>
        <w:pStyle w:val="H56G"/>
        <w:rPr>
          <w:lang w:val="en-GB"/>
        </w:rPr>
      </w:pPr>
      <w:r w:rsidRPr="00BA6590">
        <w:rPr>
          <w:lang w:val="en-GB"/>
        </w:rPr>
        <w:tab/>
      </w:r>
      <w:r w:rsidRPr="00BA6590">
        <w:rPr>
          <w:lang w:val="en-GB"/>
        </w:rPr>
        <w:tab/>
      </w:r>
      <w:r w:rsidR="00593AEC" w:rsidRPr="00BA6590">
        <w:rPr>
          <w:lang w:val="en-GB"/>
        </w:rPr>
        <w:t>C</w:t>
      </w:r>
      <w:r w:rsidR="006C6EF4" w:rsidRPr="00BA6590">
        <w:rPr>
          <w:lang w:val="en-GB"/>
        </w:rPr>
        <w:t>ivic integration programme</w:t>
      </w:r>
    </w:p>
    <w:p w:rsidR="006D2CAA" w:rsidRPr="00BA6590" w:rsidRDefault="00593AEC" w:rsidP="006D2CAA">
      <w:pPr>
        <w:pStyle w:val="SingleTxtG"/>
        <w:rPr>
          <w:lang w:val="en-GB"/>
        </w:rPr>
      </w:pPr>
      <w:r w:rsidRPr="00BA6590">
        <w:rPr>
          <w:lang w:val="en-GB"/>
        </w:rPr>
        <w:t>101.</w:t>
      </w:r>
      <w:r w:rsidRPr="00BA6590">
        <w:rPr>
          <w:lang w:val="en-GB"/>
        </w:rPr>
        <w:tab/>
        <w:t>Th</w:t>
      </w:r>
      <w:r w:rsidR="006D2CAA" w:rsidRPr="00BA6590">
        <w:rPr>
          <w:lang w:val="en-GB"/>
        </w:rPr>
        <w:t xml:space="preserve">e </w:t>
      </w:r>
      <w:r w:rsidR="006C6EF4" w:rsidRPr="00BA6590">
        <w:rPr>
          <w:lang w:val="en-GB"/>
        </w:rPr>
        <w:t>civic integration programme</w:t>
      </w:r>
      <w:r w:rsidRPr="00BA6590">
        <w:rPr>
          <w:lang w:val="en-GB"/>
        </w:rPr>
        <w:t xml:space="preserve"> provides new citizens with a springboard by enabling them to acquire knowledge and develop their skills. </w:t>
      </w:r>
    </w:p>
    <w:p w:rsidR="006D2CAA" w:rsidRPr="00BA6590" w:rsidRDefault="006D2CAA" w:rsidP="006D2CAA">
      <w:pPr>
        <w:pStyle w:val="SingleTxtG"/>
        <w:rPr>
          <w:lang w:val="en-GB"/>
        </w:rPr>
      </w:pPr>
      <w:r w:rsidRPr="00BA6590">
        <w:rPr>
          <w:lang w:val="en-GB"/>
        </w:rPr>
        <w:t>102.</w:t>
      </w:r>
      <w:r w:rsidRPr="00BA6590">
        <w:rPr>
          <w:lang w:val="en-GB"/>
        </w:rPr>
        <w:tab/>
      </w:r>
      <w:r w:rsidR="00593AEC" w:rsidRPr="00BA6590">
        <w:rPr>
          <w:lang w:val="en-GB"/>
        </w:rPr>
        <w:t>Th</w:t>
      </w:r>
      <w:r w:rsidRPr="00BA6590">
        <w:rPr>
          <w:lang w:val="en-GB"/>
        </w:rPr>
        <w:t xml:space="preserve">e </w:t>
      </w:r>
      <w:r w:rsidR="00593AEC" w:rsidRPr="00BA6590">
        <w:rPr>
          <w:lang w:val="en-GB"/>
        </w:rPr>
        <w:t xml:space="preserve">primary </w:t>
      </w:r>
      <w:r w:rsidR="006C6EF4" w:rsidRPr="00BA6590">
        <w:rPr>
          <w:lang w:val="en-GB"/>
        </w:rPr>
        <w:t>civic integration programme</w:t>
      </w:r>
      <w:r w:rsidR="00593AEC" w:rsidRPr="00BA6590">
        <w:rPr>
          <w:lang w:val="en-GB"/>
        </w:rPr>
        <w:t xml:space="preserve"> is organized by the reception office and comprises a training programme supported by personalized individual support for new arrivals, which includes</w:t>
      </w:r>
      <w:r w:rsidRPr="00BA6590">
        <w:rPr>
          <w:lang w:val="en-GB"/>
        </w:rPr>
        <w:t>:</w:t>
      </w:r>
    </w:p>
    <w:p w:rsidR="006D2CAA" w:rsidRPr="00BA6590" w:rsidRDefault="00593AEC" w:rsidP="0027541F">
      <w:pPr>
        <w:pStyle w:val="Bullet1G"/>
        <w:rPr>
          <w:lang w:val="en-GB"/>
        </w:rPr>
      </w:pPr>
      <w:r w:rsidRPr="00BA6590">
        <w:rPr>
          <w:lang w:val="en-GB"/>
        </w:rPr>
        <w:t>Dutch-language lessons</w:t>
      </w:r>
      <w:r w:rsidR="0027541F" w:rsidRPr="00BA6590">
        <w:rPr>
          <w:lang w:val="en-GB"/>
        </w:rPr>
        <w:t>;</w:t>
      </w:r>
    </w:p>
    <w:p w:rsidR="006D2CAA" w:rsidRPr="00BA6590" w:rsidRDefault="00593AEC" w:rsidP="001A5260">
      <w:pPr>
        <w:pStyle w:val="Bullet1G"/>
        <w:rPr>
          <w:lang w:val="en-GB"/>
        </w:rPr>
      </w:pPr>
      <w:r w:rsidRPr="00BA6590">
        <w:rPr>
          <w:lang w:val="en-GB"/>
        </w:rPr>
        <w:t>Career guidance</w:t>
      </w:r>
      <w:r w:rsidR="0027541F" w:rsidRPr="00BA6590">
        <w:rPr>
          <w:lang w:val="en-GB"/>
        </w:rPr>
        <w:t>;</w:t>
      </w:r>
    </w:p>
    <w:p w:rsidR="006D2CAA" w:rsidRPr="00BA6590" w:rsidRDefault="00593AEC" w:rsidP="001A5260">
      <w:pPr>
        <w:pStyle w:val="Bullet1G"/>
        <w:rPr>
          <w:lang w:val="en-GB"/>
        </w:rPr>
      </w:pPr>
      <w:r w:rsidRPr="00BA6590">
        <w:rPr>
          <w:lang w:val="en-GB"/>
        </w:rPr>
        <w:t>Social orientation</w:t>
      </w:r>
      <w:r w:rsidR="0027541F" w:rsidRPr="00BA6590">
        <w:rPr>
          <w:lang w:val="en-GB"/>
        </w:rPr>
        <w:t>.</w:t>
      </w:r>
    </w:p>
    <w:p w:rsidR="006D2CAA" w:rsidRPr="00BA6590" w:rsidRDefault="006D2CAA" w:rsidP="006D2CAA">
      <w:pPr>
        <w:pStyle w:val="SingleTxtG"/>
        <w:rPr>
          <w:lang w:val="en-GB"/>
        </w:rPr>
      </w:pPr>
      <w:r w:rsidRPr="00BA6590">
        <w:rPr>
          <w:lang w:val="en-GB"/>
        </w:rPr>
        <w:t>103.</w:t>
      </w:r>
      <w:r w:rsidRPr="00BA6590">
        <w:rPr>
          <w:lang w:val="en-GB"/>
        </w:rPr>
        <w:tab/>
      </w:r>
      <w:r w:rsidR="00593AEC" w:rsidRPr="00BA6590">
        <w:rPr>
          <w:lang w:val="en-GB"/>
        </w:rPr>
        <w:t>Th</w:t>
      </w:r>
      <w:r w:rsidRPr="00BA6590">
        <w:rPr>
          <w:lang w:val="en-GB"/>
        </w:rPr>
        <w:t xml:space="preserve">e </w:t>
      </w:r>
      <w:r w:rsidR="006C6EF4" w:rsidRPr="00BA6590">
        <w:rPr>
          <w:lang w:val="en-GB"/>
        </w:rPr>
        <w:t>civic integration programme</w:t>
      </w:r>
      <w:r w:rsidR="00593AEC" w:rsidRPr="00BA6590">
        <w:rPr>
          <w:lang w:val="en-GB"/>
        </w:rPr>
        <w:t xml:space="preserve"> is set out in a civic integration contract, </w:t>
      </w:r>
      <w:r w:rsidR="00893B69" w:rsidRPr="00BA6590">
        <w:rPr>
          <w:lang w:val="en-GB"/>
        </w:rPr>
        <w:t>specifying</w:t>
      </w:r>
      <w:r w:rsidR="00593AEC" w:rsidRPr="00BA6590">
        <w:rPr>
          <w:lang w:val="en-GB"/>
        </w:rPr>
        <w:t xml:space="preserve"> the components of the training programme to be followed by the newly-arrived migrant and the time and place of the lessons. To that end, the reception office takes account as much as possible of the new arrivals</w:t>
      </w:r>
      <w:r w:rsidR="00A216FB" w:rsidRPr="00BA6590">
        <w:rPr>
          <w:lang w:val="en-GB"/>
        </w:rPr>
        <w:t>’</w:t>
      </w:r>
      <w:r w:rsidR="00593AEC" w:rsidRPr="00BA6590">
        <w:rPr>
          <w:lang w:val="en-GB"/>
        </w:rPr>
        <w:t xml:space="preserve"> learning needs and their desires, the views of the </w:t>
      </w:r>
      <w:r w:rsidRPr="00BA6590">
        <w:rPr>
          <w:i/>
          <w:lang w:val="en-GB"/>
        </w:rPr>
        <w:t>Huis van het Nederlands</w:t>
      </w:r>
      <w:r w:rsidRPr="00BA6590">
        <w:rPr>
          <w:lang w:val="en-GB"/>
        </w:rPr>
        <w:t xml:space="preserve"> (</w:t>
      </w:r>
      <w:r w:rsidR="00593AEC" w:rsidRPr="00BA6590">
        <w:rPr>
          <w:lang w:val="en-GB"/>
        </w:rPr>
        <w:t>Dutch Language House) and</w:t>
      </w:r>
      <w:r w:rsidRPr="00BA6590">
        <w:rPr>
          <w:lang w:val="en-GB"/>
        </w:rPr>
        <w:t>,</w:t>
      </w:r>
      <w:r w:rsidR="00593AEC" w:rsidRPr="00BA6590">
        <w:rPr>
          <w:lang w:val="en-GB"/>
        </w:rPr>
        <w:t xml:space="preserve"> where appropriate, those of the Flemish Job</w:t>
      </w:r>
      <w:r w:rsidR="00D94C5A" w:rsidRPr="00BA6590">
        <w:rPr>
          <w:lang w:val="en-GB"/>
        </w:rPr>
        <w:noBreakHyphen/>
      </w:r>
      <w:r w:rsidR="00593AEC" w:rsidRPr="00BA6590">
        <w:rPr>
          <w:lang w:val="en-GB"/>
        </w:rPr>
        <w:t>seekers</w:t>
      </w:r>
      <w:r w:rsidR="00A216FB" w:rsidRPr="00BA6590">
        <w:rPr>
          <w:lang w:val="en-GB"/>
        </w:rPr>
        <w:t>’</w:t>
      </w:r>
      <w:r w:rsidR="00593AEC" w:rsidRPr="00BA6590">
        <w:rPr>
          <w:lang w:val="en-GB"/>
        </w:rPr>
        <w:t xml:space="preserve"> Service</w:t>
      </w:r>
      <w:r w:rsidRPr="00BA6590">
        <w:rPr>
          <w:lang w:val="en-GB"/>
        </w:rPr>
        <w:t>.</w:t>
      </w:r>
      <w:r w:rsidR="00593AEC" w:rsidRPr="00BA6590">
        <w:rPr>
          <w:lang w:val="en-GB"/>
        </w:rPr>
        <w:t xml:space="preserve"> Other bodies are also closely involved in the programme. Adult education centres, basic education centres and university language centres offer courses in Dutch as a second language. </w:t>
      </w:r>
      <w:r w:rsidR="00042A86" w:rsidRPr="00BA6590">
        <w:rPr>
          <w:lang w:val="en-GB"/>
        </w:rPr>
        <w:t>C</w:t>
      </w:r>
      <w:r w:rsidR="00593AEC" w:rsidRPr="00BA6590">
        <w:rPr>
          <w:lang w:val="en-GB"/>
        </w:rPr>
        <w:t>ommunes,</w:t>
      </w:r>
      <w:r w:rsidRPr="00BA6590">
        <w:rPr>
          <w:lang w:val="en-GB"/>
        </w:rPr>
        <w:t xml:space="preserve"> </w:t>
      </w:r>
      <w:r w:rsidR="00C66683" w:rsidRPr="00BA6590">
        <w:rPr>
          <w:lang w:val="en-GB"/>
        </w:rPr>
        <w:t>public social s</w:t>
      </w:r>
      <w:r w:rsidR="00042A86" w:rsidRPr="00BA6590">
        <w:rPr>
          <w:lang w:val="en-GB"/>
        </w:rPr>
        <w:t xml:space="preserve">ervices </w:t>
      </w:r>
      <w:r w:rsidR="00C66683" w:rsidRPr="00BA6590">
        <w:rPr>
          <w:lang w:val="en-GB"/>
        </w:rPr>
        <w:t>c</w:t>
      </w:r>
      <w:r w:rsidR="00042A86" w:rsidRPr="00BA6590">
        <w:rPr>
          <w:lang w:val="en-GB"/>
        </w:rPr>
        <w:t>entres</w:t>
      </w:r>
      <w:r w:rsidRPr="00BA6590">
        <w:rPr>
          <w:lang w:val="en-GB"/>
        </w:rPr>
        <w:t xml:space="preserve">, </w:t>
      </w:r>
      <w:r w:rsidR="00042A86" w:rsidRPr="00BA6590">
        <w:rPr>
          <w:lang w:val="en-GB"/>
        </w:rPr>
        <w:t xml:space="preserve">the Internal Administration </w:t>
      </w:r>
      <w:r w:rsidR="00884109" w:rsidRPr="00BA6590">
        <w:rPr>
          <w:lang w:val="en-GB"/>
        </w:rPr>
        <w:t xml:space="preserve">Agency </w:t>
      </w:r>
      <w:r w:rsidR="00042A86" w:rsidRPr="00BA6590">
        <w:rPr>
          <w:lang w:val="en-GB"/>
        </w:rPr>
        <w:t>and providers of social housing are also legally obliged to inform new arrivals of their rights and obligations in terms of civic integration</w:t>
      </w:r>
      <w:r w:rsidRPr="00BA6590">
        <w:rPr>
          <w:lang w:val="en-GB"/>
        </w:rPr>
        <w:t>.</w:t>
      </w:r>
    </w:p>
    <w:p w:rsidR="006D2CAA" w:rsidRPr="00BA6590" w:rsidRDefault="006D2CAA" w:rsidP="001A5260">
      <w:pPr>
        <w:pStyle w:val="SingleTxtG"/>
        <w:rPr>
          <w:lang w:val="en-GB"/>
        </w:rPr>
      </w:pPr>
      <w:r w:rsidRPr="00BA6590">
        <w:rPr>
          <w:lang w:val="en-GB"/>
        </w:rPr>
        <w:t>104.</w:t>
      </w:r>
      <w:r w:rsidRPr="00BA6590">
        <w:rPr>
          <w:lang w:val="en-GB"/>
        </w:rPr>
        <w:tab/>
      </w:r>
      <w:r w:rsidR="00042A86" w:rsidRPr="00BA6590">
        <w:rPr>
          <w:lang w:val="en-GB"/>
        </w:rPr>
        <w:t>To sign a civic integration contract is to undertake to follow the training programme regularly</w:t>
      </w:r>
      <w:r w:rsidR="00893B69" w:rsidRPr="00BA6590">
        <w:rPr>
          <w:lang w:val="en-GB"/>
        </w:rPr>
        <w:t>;</w:t>
      </w:r>
      <w:r w:rsidR="00042A86" w:rsidRPr="00BA6590">
        <w:rPr>
          <w:lang w:val="en-GB"/>
        </w:rPr>
        <w:t xml:space="preserve"> </w:t>
      </w:r>
      <w:r w:rsidR="00893B69" w:rsidRPr="00BA6590">
        <w:rPr>
          <w:lang w:val="en-GB"/>
        </w:rPr>
        <w:t>t</w:t>
      </w:r>
      <w:r w:rsidR="00042A86" w:rsidRPr="00BA6590">
        <w:rPr>
          <w:lang w:val="en-GB"/>
        </w:rPr>
        <w:t xml:space="preserve">his means that the </w:t>
      </w:r>
      <w:r w:rsidR="00BA252D" w:rsidRPr="00BA6590">
        <w:rPr>
          <w:lang w:val="en-GB"/>
        </w:rPr>
        <w:t>newly-arrived</w:t>
      </w:r>
      <w:r w:rsidR="00042A86" w:rsidRPr="00BA6590">
        <w:rPr>
          <w:lang w:val="en-GB"/>
        </w:rPr>
        <w:t xml:space="preserve"> migrant must attend at least 80</w:t>
      </w:r>
      <w:r w:rsidR="00A86EE6" w:rsidRPr="00BA6590">
        <w:rPr>
          <w:lang w:val="en-GB"/>
        </w:rPr>
        <w:t xml:space="preserve"> per cent</w:t>
      </w:r>
      <w:r w:rsidR="00042A86" w:rsidRPr="00BA6590">
        <w:rPr>
          <w:lang w:val="en-GB"/>
        </w:rPr>
        <w:t xml:space="preserve"> of the lessons provided in the programme. When the primary </w:t>
      </w:r>
      <w:r w:rsidR="006C6EF4" w:rsidRPr="00BA6590">
        <w:rPr>
          <w:lang w:val="en-GB"/>
        </w:rPr>
        <w:t>civic integration programme</w:t>
      </w:r>
      <w:r w:rsidR="00042A86" w:rsidRPr="00BA6590">
        <w:rPr>
          <w:lang w:val="en-GB"/>
        </w:rPr>
        <w:t xml:space="preserve"> is completed, the migrant receives a civic integration certificate. </w:t>
      </w:r>
    </w:p>
    <w:p w:rsidR="006D2CAA" w:rsidRPr="00BA6590" w:rsidRDefault="0052469D" w:rsidP="0052469D">
      <w:pPr>
        <w:pStyle w:val="H56G"/>
        <w:rPr>
          <w:lang w:val="en-GB"/>
        </w:rPr>
      </w:pPr>
      <w:r w:rsidRPr="00BA6590">
        <w:rPr>
          <w:lang w:val="en-GB"/>
        </w:rPr>
        <w:tab/>
      </w:r>
      <w:r w:rsidRPr="00BA6590">
        <w:rPr>
          <w:lang w:val="en-GB"/>
        </w:rPr>
        <w:tab/>
      </w:r>
      <w:r w:rsidR="0021611B" w:rsidRPr="00BA6590">
        <w:rPr>
          <w:lang w:val="en-GB"/>
        </w:rPr>
        <w:t>(</w:t>
      </w:r>
      <w:r w:rsidR="001A5260" w:rsidRPr="00BA6590">
        <w:rPr>
          <w:lang w:val="en-GB"/>
        </w:rPr>
        <w:t>a)</w:t>
      </w:r>
      <w:r w:rsidR="001A5260" w:rsidRPr="00BA6590">
        <w:rPr>
          <w:lang w:val="en-GB"/>
        </w:rPr>
        <w:tab/>
      </w:r>
      <w:r w:rsidR="00042A86" w:rsidRPr="00BA6590">
        <w:rPr>
          <w:lang w:val="en-GB"/>
        </w:rPr>
        <w:t>Social orientation course</w:t>
      </w:r>
    </w:p>
    <w:p w:rsidR="006D2CAA" w:rsidRPr="00BA6590" w:rsidRDefault="006D2CAA" w:rsidP="006D2CAA">
      <w:pPr>
        <w:pStyle w:val="SingleTxtG"/>
        <w:rPr>
          <w:lang w:val="en-GB"/>
        </w:rPr>
      </w:pPr>
      <w:r w:rsidRPr="00BA6590">
        <w:rPr>
          <w:lang w:val="en-GB"/>
        </w:rPr>
        <w:t>105.</w:t>
      </w:r>
      <w:r w:rsidRPr="00BA6590">
        <w:rPr>
          <w:lang w:val="en-GB"/>
        </w:rPr>
        <w:tab/>
      </w:r>
      <w:r w:rsidR="00042A86" w:rsidRPr="00BA6590">
        <w:rPr>
          <w:lang w:val="en-GB"/>
        </w:rPr>
        <w:t xml:space="preserve">During the social orientation course, </w:t>
      </w:r>
      <w:r w:rsidR="00BA252D" w:rsidRPr="00BA6590">
        <w:rPr>
          <w:lang w:val="en-GB"/>
        </w:rPr>
        <w:t>newly-arrived</w:t>
      </w:r>
      <w:r w:rsidR="00042A86" w:rsidRPr="00BA6590">
        <w:rPr>
          <w:lang w:val="en-GB"/>
        </w:rPr>
        <w:t xml:space="preserve"> migrants learn the values and standards of Flemish and Belgian society. The course includes practical items such as how to use public transport, where to obtain medical help and what reception and education facilities are available for children. It always takes as its starting point the new arrivals</w:t>
      </w:r>
      <w:r w:rsidR="00A216FB" w:rsidRPr="00BA6590">
        <w:rPr>
          <w:lang w:val="en-GB"/>
        </w:rPr>
        <w:t>’</w:t>
      </w:r>
      <w:r w:rsidR="00042A86" w:rsidRPr="00BA6590">
        <w:rPr>
          <w:lang w:val="en-GB"/>
        </w:rPr>
        <w:t xml:space="preserve"> existing knowledge and learning needs. Participants acquire the necessary skills and knowledge to make an active contribution to society. </w:t>
      </w:r>
    </w:p>
    <w:p w:rsidR="006D2CAA" w:rsidRPr="00BA6590" w:rsidRDefault="006D2CAA" w:rsidP="006D2CAA">
      <w:pPr>
        <w:pStyle w:val="SingleTxtG"/>
        <w:rPr>
          <w:lang w:val="en-GB"/>
        </w:rPr>
      </w:pPr>
      <w:r w:rsidRPr="00BA6590">
        <w:rPr>
          <w:lang w:val="en-GB"/>
        </w:rPr>
        <w:t>106.</w:t>
      </w:r>
      <w:r w:rsidRPr="00BA6590">
        <w:rPr>
          <w:lang w:val="en-GB"/>
        </w:rPr>
        <w:tab/>
      </w:r>
      <w:r w:rsidR="00F83BC4" w:rsidRPr="00BA6590">
        <w:rPr>
          <w:lang w:val="en-GB"/>
        </w:rPr>
        <w:t xml:space="preserve">The social orientation course, which is provided by the reception office, normally comprises 60 teaching hours. The </w:t>
      </w:r>
      <w:r w:rsidR="00BA252D" w:rsidRPr="00BA6590">
        <w:rPr>
          <w:lang w:val="en-GB"/>
        </w:rPr>
        <w:t>newly-arrived</w:t>
      </w:r>
      <w:r w:rsidR="00F83BC4" w:rsidRPr="00BA6590">
        <w:rPr>
          <w:lang w:val="en-GB"/>
        </w:rPr>
        <w:t xml:space="preserve"> migrants may receive the teaching in their mother tongues or a contact language. </w:t>
      </w:r>
    </w:p>
    <w:p w:rsidR="006D2CAA" w:rsidRPr="00BA6590" w:rsidRDefault="0052469D" w:rsidP="0052469D">
      <w:pPr>
        <w:pStyle w:val="H56G"/>
        <w:rPr>
          <w:lang w:val="en-GB"/>
        </w:rPr>
      </w:pPr>
      <w:r w:rsidRPr="00BA6590">
        <w:rPr>
          <w:lang w:val="en-GB"/>
        </w:rPr>
        <w:tab/>
      </w:r>
      <w:r w:rsidRPr="00BA6590">
        <w:rPr>
          <w:lang w:val="en-GB"/>
        </w:rPr>
        <w:tab/>
      </w:r>
      <w:r w:rsidR="00F83BC4" w:rsidRPr="00BA6590">
        <w:rPr>
          <w:lang w:val="en-GB"/>
        </w:rPr>
        <w:t>(</w:t>
      </w:r>
      <w:r w:rsidR="001A5260" w:rsidRPr="00BA6590">
        <w:rPr>
          <w:lang w:val="en-GB"/>
        </w:rPr>
        <w:t>b)</w:t>
      </w:r>
      <w:r w:rsidR="006D2CAA" w:rsidRPr="00BA6590">
        <w:rPr>
          <w:lang w:val="en-GB"/>
        </w:rPr>
        <w:tab/>
      </w:r>
      <w:r w:rsidR="00F83BC4" w:rsidRPr="00BA6590">
        <w:rPr>
          <w:lang w:val="en-GB"/>
        </w:rPr>
        <w:t>Career guidance</w:t>
      </w:r>
    </w:p>
    <w:p w:rsidR="006D2CAA" w:rsidRPr="00BA6590" w:rsidRDefault="006D2CAA" w:rsidP="006D2CAA">
      <w:pPr>
        <w:pStyle w:val="SingleTxtG"/>
        <w:rPr>
          <w:lang w:val="en-GB"/>
        </w:rPr>
      </w:pPr>
      <w:r w:rsidRPr="00BA6590">
        <w:rPr>
          <w:lang w:val="en-GB"/>
        </w:rPr>
        <w:t>107.</w:t>
      </w:r>
      <w:r w:rsidRPr="00BA6590">
        <w:rPr>
          <w:lang w:val="en-GB"/>
        </w:rPr>
        <w:tab/>
      </w:r>
      <w:r w:rsidR="00F83BC4" w:rsidRPr="00BA6590">
        <w:rPr>
          <w:lang w:val="en-GB"/>
        </w:rPr>
        <w:t xml:space="preserve">Career guidance is intended to help </w:t>
      </w:r>
      <w:r w:rsidR="00BA252D" w:rsidRPr="00BA6590">
        <w:rPr>
          <w:lang w:val="en-GB"/>
        </w:rPr>
        <w:t>newly-arrived</w:t>
      </w:r>
      <w:r w:rsidR="00F83BC4" w:rsidRPr="00BA6590">
        <w:rPr>
          <w:lang w:val="en-GB"/>
        </w:rPr>
        <w:t xml:space="preserve"> migrants to make career choices on the basis of their wishes and experience and their existing qualifications. </w:t>
      </w:r>
    </w:p>
    <w:p w:rsidR="006D2CAA" w:rsidRPr="00BA6590" w:rsidRDefault="006D2CAA" w:rsidP="006D2CAA">
      <w:pPr>
        <w:pStyle w:val="SingleTxtG"/>
        <w:rPr>
          <w:lang w:val="en-GB"/>
        </w:rPr>
      </w:pPr>
      <w:r w:rsidRPr="00BA6590">
        <w:rPr>
          <w:lang w:val="en-GB"/>
        </w:rPr>
        <w:t>108.</w:t>
      </w:r>
      <w:r w:rsidRPr="00BA6590">
        <w:rPr>
          <w:lang w:val="en-GB"/>
        </w:rPr>
        <w:tab/>
      </w:r>
      <w:r w:rsidR="00F83BC4" w:rsidRPr="00BA6590">
        <w:rPr>
          <w:lang w:val="en-GB"/>
        </w:rPr>
        <w:t>Three types of career guidance are provided</w:t>
      </w:r>
      <w:r w:rsidRPr="00BA6590">
        <w:rPr>
          <w:lang w:val="en-GB"/>
        </w:rPr>
        <w:t>:</w:t>
      </w:r>
    </w:p>
    <w:p w:rsidR="006D2CAA" w:rsidRPr="00BA6590" w:rsidRDefault="00F83BC4" w:rsidP="0027541F">
      <w:pPr>
        <w:pStyle w:val="Bullet1G"/>
        <w:rPr>
          <w:lang w:val="en-GB"/>
        </w:rPr>
      </w:pPr>
      <w:r w:rsidRPr="00BA6590">
        <w:rPr>
          <w:lang w:val="en-GB"/>
        </w:rPr>
        <w:t xml:space="preserve">New arrivals having </w:t>
      </w:r>
      <w:r w:rsidR="00A216FB" w:rsidRPr="00BA6590">
        <w:rPr>
          <w:lang w:val="en-GB"/>
        </w:rPr>
        <w:t>“</w:t>
      </w:r>
      <w:r w:rsidRPr="00BA6590">
        <w:rPr>
          <w:lang w:val="en-GB"/>
        </w:rPr>
        <w:t>professional p</w:t>
      </w:r>
      <w:r w:rsidR="00BA252D" w:rsidRPr="00BA6590">
        <w:rPr>
          <w:lang w:val="en-GB"/>
        </w:rPr>
        <w:t>rospects</w:t>
      </w:r>
      <w:r w:rsidR="00A216FB" w:rsidRPr="00BA6590">
        <w:rPr>
          <w:lang w:val="en-GB"/>
        </w:rPr>
        <w:t>”</w:t>
      </w:r>
      <w:r w:rsidRPr="00BA6590">
        <w:rPr>
          <w:lang w:val="en-GB"/>
        </w:rPr>
        <w:t xml:space="preserve"> can be assisted in their job-seeking</w:t>
      </w:r>
      <w:r w:rsidR="00734B98" w:rsidRPr="00BA6590">
        <w:rPr>
          <w:lang w:val="en-GB"/>
        </w:rPr>
        <w:t xml:space="preserve"> activities or in the creation of an independent enterprise</w:t>
      </w:r>
      <w:r w:rsidR="0027541F" w:rsidRPr="00BA6590">
        <w:rPr>
          <w:lang w:val="en-GB"/>
        </w:rPr>
        <w:t>;</w:t>
      </w:r>
    </w:p>
    <w:p w:rsidR="006D2CAA" w:rsidRPr="00BA6590" w:rsidRDefault="00BA252D" w:rsidP="00BA355C">
      <w:pPr>
        <w:pStyle w:val="Bullet1G"/>
        <w:rPr>
          <w:lang w:val="en-GB"/>
        </w:rPr>
      </w:pPr>
      <w:r w:rsidRPr="00BA6590">
        <w:rPr>
          <w:lang w:val="en-GB"/>
        </w:rPr>
        <w:t xml:space="preserve">Those having </w:t>
      </w:r>
      <w:r w:rsidR="00A216FB" w:rsidRPr="00BA6590">
        <w:rPr>
          <w:lang w:val="en-GB"/>
        </w:rPr>
        <w:t>“</w:t>
      </w:r>
      <w:r w:rsidR="00734B98" w:rsidRPr="00BA6590">
        <w:rPr>
          <w:lang w:val="en-GB"/>
        </w:rPr>
        <w:t>educational p</w:t>
      </w:r>
      <w:r w:rsidRPr="00BA6590">
        <w:rPr>
          <w:lang w:val="en-GB"/>
        </w:rPr>
        <w:t>rospects</w:t>
      </w:r>
      <w:r w:rsidR="00A216FB" w:rsidRPr="00BA6590">
        <w:rPr>
          <w:lang w:val="en-GB"/>
        </w:rPr>
        <w:t>”</w:t>
      </w:r>
      <w:r w:rsidR="00734B98" w:rsidRPr="00BA6590">
        <w:rPr>
          <w:lang w:val="en-GB"/>
        </w:rPr>
        <w:t xml:space="preserve"> are assisted in their studies</w:t>
      </w:r>
      <w:r w:rsidR="0027541F" w:rsidRPr="00BA6590">
        <w:rPr>
          <w:lang w:val="en-GB"/>
        </w:rPr>
        <w:t>;</w:t>
      </w:r>
    </w:p>
    <w:p w:rsidR="006D2CAA" w:rsidRPr="00BA6590" w:rsidRDefault="00734B98" w:rsidP="00BA355C">
      <w:pPr>
        <w:pStyle w:val="Bullet1G"/>
        <w:rPr>
          <w:lang w:val="en-GB"/>
        </w:rPr>
      </w:pPr>
      <w:r w:rsidRPr="00BA6590">
        <w:rPr>
          <w:lang w:val="en-GB"/>
        </w:rPr>
        <w:t xml:space="preserve">All new arrivals have </w:t>
      </w:r>
      <w:r w:rsidR="00A216FB" w:rsidRPr="00BA6590">
        <w:rPr>
          <w:lang w:val="en-GB"/>
        </w:rPr>
        <w:t>“</w:t>
      </w:r>
      <w:r w:rsidRPr="00BA6590">
        <w:rPr>
          <w:lang w:val="en-GB"/>
        </w:rPr>
        <w:t>social p</w:t>
      </w:r>
      <w:r w:rsidR="00BA252D" w:rsidRPr="00BA6590">
        <w:rPr>
          <w:lang w:val="en-GB"/>
        </w:rPr>
        <w:t>rospect</w:t>
      </w:r>
      <w:r w:rsidRPr="00BA6590">
        <w:rPr>
          <w:lang w:val="en-GB"/>
        </w:rPr>
        <w:t>s</w:t>
      </w:r>
      <w:r w:rsidR="00A216FB" w:rsidRPr="00BA6590">
        <w:rPr>
          <w:lang w:val="en-GB"/>
        </w:rPr>
        <w:t>”</w:t>
      </w:r>
      <w:r w:rsidRPr="00BA6590">
        <w:rPr>
          <w:lang w:val="en-GB"/>
        </w:rPr>
        <w:t xml:space="preserve"> and receive assistance to enjoy sociocultural activities, community volunteering and recreational facilities. </w:t>
      </w:r>
    </w:p>
    <w:p w:rsidR="006D2CAA" w:rsidRPr="00BA6590" w:rsidRDefault="006D2CAA" w:rsidP="006D2CAA">
      <w:pPr>
        <w:pStyle w:val="SingleTxtG"/>
        <w:rPr>
          <w:lang w:val="en-GB"/>
        </w:rPr>
      </w:pPr>
      <w:r w:rsidRPr="00BA6590">
        <w:rPr>
          <w:lang w:val="en-GB"/>
        </w:rPr>
        <w:t>109.</w:t>
      </w:r>
      <w:r w:rsidRPr="00BA6590">
        <w:rPr>
          <w:lang w:val="en-GB"/>
        </w:rPr>
        <w:tab/>
      </w:r>
      <w:r w:rsidR="00734B98" w:rsidRPr="00BA6590">
        <w:rPr>
          <w:lang w:val="en-GB"/>
        </w:rPr>
        <w:t>Reception offices in Flanders receive help from the Flemish Job-seekers</w:t>
      </w:r>
      <w:r w:rsidR="00A216FB" w:rsidRPr="00BA6590">
        <w:rPr>
          <w:lang w:val="en-GB"/>
        </w:rPr>
        <w:t>’</w:t>
      </w:r>
      <w:r w:rsidR="00734B98" w:rsidRPr="00BA6590">
        <w:rPr>
          <w:lang w:val="en-GB"/>
        </w:rPr>
        <w:t xml:space="preserve"> Service in providing career g</w:t>
      </w:r>
      <w:r w:rsidR="00BA252D" w:rsidRPr="00BA6590">
        <w:rPr>
          <w:lang w:val="en-GB"/>
        </w:rPr>
        <w:t>uidance to new arrivals having</w:t>
      </w:r>
      <w:r w:rsidR="00734B98" w:rsidRPr="00BA6590">
        <w:rPr>
          <w:lang w:val="en-GB"/>
        </w:rPr>
        <w:t xml:space="preserve"> professional p</w:t>
      </w:r>
      <w:r w:rsidR="00BA252D" w:rsidRPr="00BA6590">
        <w:rPr>
          <w:lang w:val="en-GB"/>
        </w:rPr>
        <w:t>rospects</w:t>
      </w:r>
      <w:r w:rsidR="00734B98" w:rsidRPr="00BA6590">
        <w:rPr>
          <w:lang w:val="en-GB"/>
        </w:rPr>
        <w:t xml:space="preserve">. However, they themselves provide the other types of assistance. The Brussels reception office offers all three types of guidance. </w:t>
      </w:r>
    </w:p>
    <w:p w:rsidR="006D2CAA" w:rsidRPr="00BA6590" w:rsidRDefault="0052469D" w:rsidP="0052469D">
      <w:pPr>
        <w:pStyle w:val="H56G"/>
        <w:rPr>
          <w:lang w:val="en-GB"/>
        </w:rPr>
      </w:pPr>
      <w:r w:rsidRPr="00BA6590">
        <w:rPr>
          <w:lang w:val="en-GB"/>
        </w:rPr>
        <w:tab/>
      </w:r>
      <w:r w:rsidRPr="00BA6590">
        <w:rPr>
          <w:lang w:val="en-GB"/>
        </w:rPr>
        <w:tab/>
      </w:r>
      <w:r w:rsidR="00F83BC4" w:rsidRPr="00BA6590">
        <w:rPr>
          <w:lang w:val="en-GB"/>
        </w:rPr>
        <w:t>(</w:t>
      </w:r>
      <w:r w:rsidR="001A5260" w:rsidRPr="00BA6590">
        <w:rPr>
          <w:lang w:val="en-GB"/>
        </w:rPr>
        <w:t>c)</w:t>
      </w:r>
      <w:r w:rsidR="006D2CAA" w:rsidRPr="00BA6590">
        <w:rPr>
          <w:lang w:val="en-GB"/>
        </w:rPr>
        <w:tab/>
      </w:r>
      <w:r w:rsidR="00734B98" w:rsidRPr="00BA6590">
        <w:rPr>
          <w:lang w:val="en-GB"/>
        </w:rPr>
        <w:t>Provision of a personal guide</w:t>
      </w:r>
    </w:p>
    <w:p w:rsidR="006D2CAA" w:rsidRPr="00BA6590" w:rsidRDefault="006D2CAA" w:rsidP="006D2CAA">
      <w:pPr>
        <w:pStyle w:val="SingleTxtG"/>
        <w:rPr>
          <w:lang w:val="en-GB"/>
        </w:rPr>
      </w:pPr>
      <w:r w:rsidRPr="00BA6590">
        <w:rPr>
          <w:lang w:val="en-GB"/>
        </w:rPr>
        <w:t>110.</w:t>
      </w:r>
      <w:r w:rsidRPr="00BA6590">
        <w:rPr>
          <w:lang w:val="en-GB"/>
        </w:rPr>
        <w:tab/>
      </w:r>
      <w:r w:rsidR="00F86CC2" w:rsidRPr="00BA6590">
        <w:rPr>
          <w:lang w:val="en-GB"/>
        </w:rPr>
        <w:t xml:space="preserve">Each new arrival is provided with a personal guide who assists him or her with the </w:t>
      </w:r>
      <w:r w:rsidR="006C6EF4" w:rsidRPr="00BA6590">
        <w:rPr>
          <w:lang w:val="en-GB"/>
        </w:rPr>
        <w:t>civic integration programme</w:t>
      </w:r>
      <w:r w:rsidR="00F86CC2" w:rsidRPr="00BA6590">
        <w:rPr>
          <w:lang w:val="en-GB"/>
        </w:rPr>
        <w:t>, taking into account the person</w:t>
      </w:r>
      <w:r w:rsidR="00A216FB" w:rsidRPr="00BA6590">
        <w:rPr>
          <w:lang w:val="en-GB"/>
        </w:rPr>
        <w:t>’</w:t>
      </w:r>
      <w:r w:rsidR="00F86CC2" w:rsidRPr="00BA6590">
        <w:rPr>
          <w:lang w:val="en-GB"/>
        </w:rPr>
        <w:t xml:space="preserve">s professional and family situation; language is not an obstacle. </w:t>
      </w:r>
    </w:p>
    <w:p w:rsidR="006D2CAA" w:rsidRPr="00BA6590" w:rsidRDefault="006D2CAA" w:rsidP="006D2CAA">
      <w:pPr>
        <w:pStyle w:val="SingleTxtG"/>
        <w:rPr>
          <w:lang w:val="en-GB"/>
        </w:rPr>
      </w:pPr>
      <w:r w:rsidRPr="00BA6590">
        <w:rPr>
          <w:lang w:val="en-GB"/>
        </w:rPr>
        <w:t>111.</w:t>
      </w:r>
      <w:r w:rsidRPr="00BA6590">
        <w:rPr>
          <w:lang w:val="en-GB"/>
        </w:rPr>
        <w:tab/>
      </w:r>
      <w:r w:rsidR="00F86CC2" w:rsidRPr="00BA6590">
        <w:rPr>
          <w:lang w:val="en-GB"/>
        </w:rPr>
        <w:t xml:space="preserve">The personal guide is responsible for administrative monitoring of the </w:t>
      </w:r>
      <w:r w:rsidR="006C6EF4" w:rsidRPr="00BA6590">
        <w:rPr>
          <w:lang w:val="en-GB"/>
        </w:rPr>
        <w:t>civic integration programme</w:t>
      </w:r>
      <w:r w:rsidRPr="00BA6590">
        <w:rPr>
          <w:lang w:val="en-GB"/>
        </w:rPr>
        <w:t>.</w:t>
      </w:r>
      <w:r w:rsidR="006214DC" w:rsidRPr="00BA6590">
        <w:rPr>
          <w:lang w:val="en-GB"/>
        </w:rPr>
        <w:t xml:space="preserve"> He or she will reorient the migrant to the </w:t>
      </w:r>
      <w:r w:rsidR="00F86CC2" w:rsidRPr="00BA6590">
        <w:rPr>
          <w:lang w:val="en-GB"/>
        </w:rPr>
        <w:t>Dutch Language House</w:t>
      </w:r>
      <w:r w:rsidRPr="00BA6590">
        <w:rPr>
          <w:lang w:val="en-GB"/>
        </w:rPr>
        <w:t xml:space="preserve"> </w:t>
      </w:r>
      <w:r w:rsidR="00BA252D" w:rsidRPr="00BA6590">
        <w:rPr>
          <w:lang w:val="en-GB"/>
        </w:rPr>
        <w:t>and</w:t>
      </w:r>
      <w:r w:rsidR="006214DC" w:rsidRPr="00BA6590">
        <w:rPr>
          <w:lang w:val="en-GB"/>
        </w:rPr>
        <w:t xml:space="preserve"> the</w:t>
      </w:r>
      <w:r w:rsidRPr="00BA6590">
        <w:rPr>
          <w:lang w:val="en-GB"/>
        </w:rPr>
        <w:t xml:space="preserve"> </w:t>
      </w:r>
      <w:r w:rsidR="00F86CC2" w:rsidRPr="00BA6590">
        <w:rPr>
          <w:lang w:val="en-GB"/>
        </w:rPr>
        <w:t>Flemish Job-seekers</w:t>
      </w:r>
      <w:r w:rsidR="00A216FB" w:rsidRPr="00BA6590">
        <w:rPr>
          <w:lang w:val="en-GB"/>
        </w:rPr>
        <w:t>’</w:t>
      </w:r>
      <w:r w:rsidR="00F86CC2" w:rsidRPr="00BA6590">
        <w:rPr>
          <w:lang w:val="en-GB"/>
        </w:rPr>
        <w:t xml:space="preserve"> Service</w:t>
      </w:r>
      <w:r w:rsidR="006214DC" w:rsidRPr="00BA6590">
        <w:rPr>
          <w:lang w:val="en-GB"/>
        </w:rPr>
        <w:t xml:space="preserve"> or </w:t>
      </w:r>
      <w:r w:rsidRPr="00BA6590">
        <w:rPr>
          <w:lang w:val="en-GB"/>
        </w:rPr>
        <w:t xml:space="preserve">Actiris </w:t>
      </w:r>
      <w:r w:rsidR="006214DC" w:rsidRPr="00BA6590">
        <w:rPr>
          <w:lang w:val="en-GB"/>
        </w:rPr>
        <w:t>in</w:t>
      </w:r>
      <w:r w:rsidRPr="00BA6590">
        <w:rPr>
          <w:lang w:val="en-GB"/>
        </w:rPr>
        <w:t xml:space="preserve"> Bru</w:t>
      </w:r>
      <w:r w:rsidR="006214DC" w:rsidRPr="00BA6590">
        <w:rPr>
          <w:lang w:val="en-GB"/>
        </w:rPr>
        <w:t>ssel</w:t>
      </w:r>
      <w:r w:rsidRPr="00BA6590">
        <w:rPr>
          <w:lang w:val="en-GB"/>
        </w:rPr>
        <w:t>s</w:t>
      </w:r>
      <w:r w:rsidR="006214DC" w:rsidRPr="00BA6590">
        <w:rPr>
          <w:lang w:val="en-GB"/>
        </w:rPr>
        <w:t xml:space="preserve">, when necessary, and will draw up the civic integration contract and monitor the attendance of the new arrival during the training programme. He or she is </w:t>
      </w:r>
      <w:r w:rsidR="00B42018" w:rsidRPr="00BA6590">
        <w:rPr>
          <w:lang w:val="en-GB"/>
        </w:rPr>
        <w:t>primarily a trusted</w:t>
      </w:r>
      <w:r w:rsidR="006214DC" w:rsidRPr="00BA6590">
        <w:rPr>
          <w:lang w:val="en-GB"/>
        </w:rPr>
        <w:t xml:space="preserve"> person who can be approached by the migrant in relation to a variety of issues. For example, he or she may offer assistance in obtaining recognition of diploma equivalency or in finding an appropriate school for the migrant</w:t>
      </w:r>
      <w:r w:rsidR="00A216FB" w:rsidRPr="00BA6590">
        <w:rPr>
          <w:lang w:val="en-GB"/>
        </w:rPr>
        <w:t>’</w:t>
      </w:r>
      <w:r w:rsidR="006214DC" w:rsidRPr="00BA6590">
        <w:rPr>
          <w:lang w:val="en-GB"/>
        </w:rPr>
        <w:t xml:space="preserve">s children, a lawyer, a psychologist or suitable housing. </w:t>
      </w:r>
    </w:p>
    <w:p w:rsidR="006D2CAA" w:rsidRPr="00BA6590" w:rsidRDefault="006D2CAA" w:rsidP="006D2CAA">
      <w:pPr>
        <w:pStyle w:val="SingleTxtG"/>
        <w:rPr>
          <w:lang w:val="en-GB"/>
        </w:rPr>
      </w:pPr>
      <w:r w:rsidRPr="00BA6590">
        <w:rPr>
          <w:lang w:val="en-GB"/>
        </w:rPr>
        <w:t>112.</w:t>
      </w:r>
      <w:r w:rsidRPr="00BA6590">
        <w:rPr>
          <w:lang w:val="en-GB"/>
        </w:rPr>
        <w:tab/>
      </w:r>
      <w:r w:rsidR="00AA593C" w:rsidRPr="00BA6590">
        <w:rPr>
          <w:lang w:val="en-GB"/>
        </w:rPr>
        <w:t>It is, however, important that the new arrival should personally seek solutions for the issues on which he or she is requesting help. Since the personal guide knows the migrant</w:t>
      </w:r>
      <w:r w:rsidR="00A216FB" w:rsidRPr="00BA6590">
        <w:rPr>
          <w:lang w:val="en-GB"/>
        </w:rPr>
        <w:t>’</w:t>
      </w:r>
      <w:r w:rsidR="00AA593C" w:rsidRPr="00BA6590">
        <w:rPr>
          <w:lang w:val="en-GB"/>
        </w:rPr>
        <w:t>s basic skills, aptitudes and network, the help provided will diminish in the course of the programme and become unnecessary when it has been completed.</w:t>
      </w:r>
      <w:r w:rsidR="001F3CAB" w:rsidRPr="00BA6590">
        <w:rPr>
          <w:lang w:val="en-GB"/>
        </w:rPr>
        <w:t xml:space="preserve"> </w:t>
      </w:r>
    </w:p>
    <w:p w:rsidR="006D2CAA" w:rsidRPr="00BA6590" w:rsidRDefault="0052469D" w:rsidP="0052469D">
      <w:pPr>
        <w:pStyle w:val="H56G"/>
        <w:rPr>
          <w:lang w:val="en-GB"/>
        </w:rPr>
      </w:pPr>
      <w:r w:rsidRPr="00BA6590">
        <w:rPr>
          <w:lang w:val="en-GB"/>
        </w:rPr>
        <w:tab/>
      </w:r>
      <w:r w:rsidRPr="00BA6590">
        <w:rPr>
          <w:lang w:val="en-GB"/>
        </w:rPr>
        <w:tab/>
      </w:r>
      <w:r w:rsidR="00AA593C" w:rsidRPr="00BA6590">
        <w:rPr>
          <w:lang w:val="en-GB"/>
        </w:rPr>
        <w:t>(</w:t>
      </w:r>
      <w:r w:rsidR="004B211F" w:rsidRPr="00BA6590">
        <w:rPr>
          <w:lang w:val="en-GB"/>
        </w:rPr>
        <w:t>d)</w:t>
      </w:r>
      <w:r w:rsidR="00AA593C" w:rsidRPr="00BA6590">
        <w:rPr>
          <w:lang w:val="en-GB"/>
        </w:rPr>
        <w:tab/>
        <w:t>Secondary</w:t>
      </w:r>
      <w:r w:rsidR="006D2CAA" w:rsidRPr="00BA6590">
        <w:rPr>
          <w:lang w:val="en-GB"/>
        </w:rPr>
        <w:t xml:space="preserve"> </w:t>
      </w:r>
      <w:r w:rsidR="006C6EF4" w:rsidRPr="00BA6590">
        <w:rPr>
          <w:lang w:val="en-GB"/>
        </w:rPr>
        <w:t>civic integration programme</w:t>
      </w:r>
    </w:p>
    <w:p w:rsidR="006D2CAA" w:rsidRPr="00BA6590" w:rsidRDefault="006D2CAA" w:rsidP="006D2CAA">
      <w:pPr>
        <w:pStyle w:val="SingleTxtG"/>
        <w:rPr>
          <w:lang w:val="en-GB"/>
        </w:rPr>
      </w:pPr>
      <w:r w:rsidRPr="00BA6590">
        <w:rPr>
          <w:lang w:val="en-GB"/>
        </w:rPr>
        <w:t>113.</w:t>
      </w:r>
      <w:r w:rsidR="004E090E" w:rsidRPr="00BA6590">
        <w:rPr>
          <w:lang w:val="en-GB"/>
        </w:rPr>
        <w:tab/>
      </w:r>
      <w:r w:rsidR="00B42018" w:rsidRPr="00BA6590">
        <w:rPr>
          <w:lang w:val="en-GB"/>
        </w:rPr>
        <w:t>After receiving the civic integration certificate</w:t>
      </w:r>
      <w:r w:rsidRPr="00BA6590">
        <w:rPr>
          <w:lang w:val="en-GB"/>
        </w:rPr>
        <w:t>,</w:t>
      </w:r>
      <w:r w:rsidR="00B42018" w:rsidRPr="00BA6590">
        <w:rPr>
          <w:lang w:val="en-GB"/>
        </w:rPr>
        <w:t xml:space="preserve"> recently-arrived migrants can join the secondary </w:t>
      </w:r>
      <w:r w:rsidR="006C6EF4" w:rsidRPr="00BA6590">
        <w:rPr>
          <w:lang w:val="en-GB"/>
        </w:rPr>
        <w:t>civic integration programme</w:t>
      </w:r>
      <w:r w:rsidRPr="00BA6590">
        <w:rPr>
          <w:lang w:val="en-GB"/>
        </w:rPr>
        <w:t>.</w:t>
      </w:r>
      <w:r w:rsidR="00B42018" w:rsidRPr="00BA6590">
        <w:rPr>
          <w:lang w:val="en-GB"/>
        </w:rPr>
        <w:t xml:space="preserve"> This is organized by the regular authorities and enable the migrants to </w:t>
      </w:r>
      <w:r w:rsidR="007529DF" w:rsidRPr="00BA6590">
        <w:rPr>
          <w:lang w:val="en-GB"/>
        </w:rPr>
        <w:t>put into practice the choices they have made as a result of the skills and knowledge</w:t>
      </w:r>
      <w:r w:rsidR="00885E92" w:rsidRPr="00BA6590">
        <w:rPr>
          <w:lang w:val="en-GB"/>
        </w:rPr>
        <w:t xml:space="preserve"> acquired during the primary </w:t>
      </w:r>
      <w:r w:rsidR="006C6EF4" w:rsidRPr="00BA6590">
        <w:rPr>
          <w:lang w:val="en-GB"/>
        </w:rPr>
        <w:t>civic integration programme</w:t>
      </w:r>
      <w:r w:rsidRPr="00BA6590">
        <w:rPr>
          <w:lang w:val="en-GB"/>
        </w:rPr>
        <w:t>.</w:t>
      </w:r>
      <w:r w:rsidR="00885E92" w:rsidRPr="00BA6590">
        <w:rPr>
          <w:lang w:val="en-GB"/>
        </w:rPr>
        <w:t xml:space="preserve"> This enables them to obtain training, either vocational or in an independent </w:t>
      </w:r>
      <w:r w:rsidR="00884109" w:rsidRPr="00BA6590">
        <w:rPr>
          <w:lang w:val="en-GB"/>
        </w:rPr>
        <w:t>business</w:t>
      </w:r>
      <w:r w:rsidRPr="00BA6590">
        <w:rPr>
          <w:lang w:val="en-GB"/>
        </w:rPr>
        <w:t>.</w:t>
      </w:r>
      <w:r w:rsidR="00885E92" w:rsidRPr="00BA6590">
        <w:rPr>
          <w:lang w:val="en-GB"/>
        </w:rPr>
        <w:t xml:space="preserve"> Furthermore, they are offered additional courses in Dutch as a foreign language and study other subjects.</w:t>
      </w:r>
    </w:p>
    <w:p w:rsidR="006D2CAA" w:rsidRPr="00BA6590" w:rsidRDefault="004B211F" w:rsidP="004B211F">
      <w:pPr>
        <w:pStyle w:val="H23G"/>
        <w:rPr>
          <w:lang w:val="en-GB"/>
        </w:rPr>
      </w:pPr>
      <w:r w:rsidRPr="00BA6590">
        <w:rPr>
          <w:lang w:val="en-GB"/>
        </w:rPr>
        <w:tab/>
      </w:r>
      <w:r w:rsidR="006D2CAA" w:rsidRPr="00BA6590">
        <w:rPr>
          <w:lang w:val="en-GB"/>
        </w:rPr>
        <w:t>3</w:t>
      </w:r>
      <w:r w:rsidRPr="00BA6590">
        <w:rPr>
          <w:lang w:val="en-GB"/>
        </w:rPr>
        <w:t>.</w:t>
      </w:r>
      <w:r w:rsidRPr="00BA6590">
        <w:rPr>
          <w:lang w:val="en-GB"/>
        </w:rPr>
        <w:tab/>
      </w:r>
      <w:r w:rsidR="00885E92" w:rsidRPr="00BA6590">
        <w:rPr>
          <w:lang w:val="en-GB"/>
        </w:rPr>
        <w:t xml:space="preserve">Combating racism on the </w:t>
      </w:r>
      <w:r w:rsidR="001E7126" w:rsidRPr="00BA6590">
        <w:rPr>
          <w:lang w:val="en-GB"/>
        </w:rPr>
        <w:t>Internet</w:t>
      </w:r>
    </w:p>
    <w:p w:rsidR="006D2CAA" w:rsidRPr="00BA6590" w:rsidRDefault="006D2CAA" w:rsidP="006D2CAA">
      <w:pPr>
        <w:pStyle w:val="SingleTxtG"/>
        <w:rPr>
          <w:lang w:val="en-GB"/>
        </w:rPr>
      </w:pPr>
      <w:r w:rsidRPr="00BA6590">
        <w:rPr>
          <w:lang w:val="en-GB"/>
        </w:rPr>
        <w:t>114.</w:t>
      </w:r>
      <w:r w:rsidR="004E090E" w:rsidRPr="00BA6590">
        <w:rPr>
          <w:lang w:val="en-GB"/>
        </w:rPr>
        <w:tab/>
      </w:r>
      <w:r w:rsidR="00612BCC" w:rsidRPr="00BA6590">
        <w:rPr>
          <w:lang w:val="en-GB"/>
        </w:rPr>
        <w:t xml:space="preserve">Since </w:t>
      </w:r>
      <w:r w:rsidRPr="00BA6590">
        <w:rPr>
          <w:lang w:val="en-GB"/>
        </w:rPr>
        <w:t>2005,</w:t>
      </w:r>
      <w:r w:rsidR="00612BCC" w:rsidRPr="00BA6590">
        <w:rPr>
          <w:lang w:val="en-GB"/>
        </w:rPr>
        <w:t xml:space="preserve"> the</w:t>
      </w:r>
      <w:r w:rsidRPr="00BA6590">
        <w:rPr>
          <w:lang w:val="en-GB"/>
        </w:rPr>
        <w:t xml:space="preserve"> </w:t>
      </w:r>
      <w:r w:rsidR="00612BCC" w:rsidRPr="00BA6590">
        <w:rPr>
          <w:lang w:val="en-GB"/>
        </w:rPr>
        <w:t>Centre for Equal Opportunity</w:t>
      </w:r>
      <w:r w:rsidR="001E7126" w:rsidRPr="00BA6590">
        <w:rPr>
          <w:lang w:val="en-GB"/>
        </w:rPr>
        <w:t xml:space="preserve"> has devoted resources to combating racism on the Internet. Two staff members have been recruited</w:t>
      </w:r>
      <w:r w:rsidR="00BA1129" w:rsidRPr="00BA6590">
        <w:rPr>
          <w:lang w:val="en-GB"/>
        </w:rPr>
        <w:t xml:space="preserve"> to devise a method to fight against the phenomenon and analyse reports of such behaviour.</w:t>
      </w:r>
    </w:p>
    <w:p w:rsidR="006D2CAA" w:rsidRPr="00BA6590" w:rsidRDefault="006D2CAA" w:rsidP="006D2CAA">
      <w:pPr>
        <w:pStyle w:val="SingleTxtG"/>
        <w:rPr>
          <w:lang w:val="en-GB"/>
        </w:rPr>
      </w:pPr>
      <w:r w:rsidRPr="00BA6590">
        <w:rPr>
          <w:lang w:val="en-GB"/>
        </w:rPr>
        <w:t>115.</w:t>
      </w:r>
      <w:r w:rsidRPr="00BA6590">
        <w:rPr>
          <w:lang w:val="en-GB"/>
        </w:rPr>
        <w:tab/>
      </w:r>
      <w:r w:rsidR="00BA1129" w:rsidRPr="00BA6590">
        <w:rPr>
          <w:lang w:val="en-GB"/>
        </w:rPr>
        <w:t xml:space="preserve">The strategy involves proposing an appropriate reaction depending on the type of </w:t>
      </w:r>
      <w:r w:rsidR="00A216FB" w:rsidRPr="00BA6590">
        <w:rPr>
          <w:lang w:val="en-GB"/>
        </w:rPr>
        <w:t>“</w:t>
      </w:r>
      <w:r w:rsidR="00BA1129" w:rsidRPr="00BA6590">
        <w:rPr>
          <w:lang w:val="en-GB"/>
        </w:rPr>
        <w:t>cyberhate</w:t>
      </w:r>
      <w:r w:rsidR="00A216FB" w:rsidRPr="00BA6590">
        <w:rPr>
          <w:lang w:val="en-GB"/>
        </w:rPr>
        <w:t>”</w:t>
      </w:r>
      <w:r w:rsidR="00BA1129" w:rsidRPr="00BA6590">
        <w:rPr>
          <w:lang w:val="en-GB"/>
        </w:rPr>
        <w:t xml:space="preserve"> phenomenon (</w:t>
      </w:r>
      <w:r w:rsidRPr="00BA6590">
        <w:rPr>
          <w:lang w:val="en-GB"/>
        </w:rPr>
        <w:t>blogs, forums,</w:t>
      </w:r>
      <w:r w:rsidR="00BA1129" w:rsidRPr="00BA6590">
        <w:rPr>
          <w:lang w:val="en-GB"/>
        </w:rPr>
        <w:t xml:space="preserve"> social networks, spam e-mails</w:t>
      </w:r>
      <w:r w:rsidRPr="00BA6590">
        <w:rPr>
          <w:lang w:val="en-GB"/>
        </w:rPr>
        <w:t>).</w:t>
      </w:r>
      <w:r w:rsidR="00BA1129" w:rsidRPr="00BA6590">
        <w:rPr>
          <w:lang w:val="en-GB"/>
        </w:rPr>
        <w:t xml:space="preserve"> Particular attention is also given to promoting awareness of and sharing information about the authors of racist comments and the persons who have reported them. Prosecutions may </w:t>
      </w:r>
      <w:r w:rsidR="00E50989" w:rsidRPr="00BA6590">
        <w:rPr>
          <w:lang w:val="en-GB"/>
        </w:rPr>
        <w:t>follow</w:t>
      </w:r>
      <w:r w:rsidR="00BA1129" w:rsidRPr="00BA6590">
        <w:rPr>
          <w:lang w:val="en-GB"/>
        </w:rPr>
        <w:t xml:space="preserve"> if the seriousness of the offences warrants them. </w:t>
      </w:r>
    </w:p>
    <w:p w:rsidR="006D2CAA" w:rsidRPr="00BA6590" w:rsidRDefault="006D2CAA" w:rsidP="006D2CAA">
      <w:pPr>
        <w:pStyle w:val="SingleTxtG"/>
        <w:rPr>
          <w:lang w:val="en-GB"/>
        </w:rPr>
      </w:pPr>
      <w:r w:rsidRPr="00BA6590">
        <w:rPr>
          <w:lang w:val="en-GB"/>
        </w:rPr>
        <w:t>116.</w:t>
      </w:r>
      <w:r w:rsidR="004E090E" w:rsidRPr="00BA6590">
        <w:rPr>
          <w:lang w:val="en-GB"/>
        </w:rPr>
        <w:tab/>
      </w:r>
      <w:r w:rsidR="00E50989" w:rsidRPr="00BA6590">
        <w:rPr>
          <w:lang w:val="en-GB"/>
        </w:rPr>
        <w:t xml:space="preserve">A seminar on this subject, held on </w:t>
      </w:r>
      <w:r w:rsidRPr="00BA6590">
        <w:rPr>
          <w:lang w:val="en-GB"/>
        </w:rPr>
        <w:t>2</w:t>
      </w:r>
      <w:r w:rsidR="00E50989" w:rsidRPr="00BA6590">
        <w:rPr>
          <w:lang w:val="en-GB"/>
        </w:rPr>
        <w:t>9 O</w:t>
      </w:r>
      <w:r w:rsidRPr="00BA6590">
        <w:rPr>
          <w:lang w:val="en-GB"/>
        </w:rPr>
        <w:t>ctob</w:t>
      </w:r>
      <w:r w:rsidR="00E50989" w:rsidRPr="00BA6590">
        <w:rPr>
          <w:lang w:val="en-GB"/>
        </w:rPr>
        <w:t>er</w:t>
      </w:r>
      <w:r w:rsidRPr="00BA6590">
        <w:rPr>
          <w:lang w:val="en-GB"/>
        </w:rPr>
        <w:t xml:space="preserve"> 2009</w:t>
      </w:r>
      <w:r w:rsidR="00E50989" w:rsidRPr="00BA6590">
        <w:rPr>
          <w:lang w:val="en-GB"/>
        </w:rPr>
        <w:t xml:space="preserve">, led to the production of an information </w:t>
      </w:r>
      <w:r w:rsidR="00BA252D" w:rsidRPr="00BA6590">
        <w:rPr>
          <w:lang w:val="en-GB"/>
        </w:rPr>
        <w:t>pamphlet</w:t>
      </w:r>
      <w:r w:rsidR="00E50989" w:rsidRPr="00BA6590">
        <w:rPr>
          <w:lang w:val="en-GB"/>
        </w:rPr>
        <w:t xml:space="preserve"> illustrating that strategy and providing citizens with tools for reacting to the growth of Internet hate speech</w:t>
      </w:r>
      <w:r w:rsidRPr="00BA6590">
        <w:rPr>
          <w:lang w:val="en-GB"/>
        </w:rPr>
        <w:t xml:space="preserve"> (</w:t>
      </w:r>
      <w:r w:rsidR="00E50989" w:rsidRPr="00BA6590">
        <w:rPr>
          <w:lang w:val="en-GB"/>
        </w:rPr>
        <w:t>see</w:t>
      </w:r>
      <w:r w:rsidRPr="00BA6590">
        <w:rPr>
          <w:lang w:val="en-GB"/>
        </w:rPr>
        <w:t xml:space="preserve"> annex VI).</w:t>
      </w:r>
    </w:p>
    <w:p w:rsidR="006D2CAA" w:rsidRPr="00BA6590" w:rsidRDefault="004B211F" w:rsidP="004B211F">
      <w:pPr>
        <w:pStyle w:val="H23G"/>
        <w:rPr>
          <w:lang w:val="en-GB"/>
        </w:rPr>
      </w:pPr>
      <w:r w:rsidRPr="00BA6590">
        <w:rPr>
          <w:lang w:val="en-GB"/>
        </w:rPr>
        <w:tab/>
        <w:t>4.</w:t>
      </w:r>
      <w:r w:rsidRPr="00BA6590">
        <w:rPr>
          <w:lang w:val="en-GB"/>
        </w:rPr>
        <w:tab/>
      </w:r>
      <w:r w:rsidR="00D95518" w:rsidRPr="00BA6590">
        <w:rPr>
          <w:lang w:val="en-GB"/>
        </w:rPr>
        <w:t xml:space="preserve">Combating </w:t>
      </w:r>
      <w:r w:rsidR="00884109" w:rsidRPr="00BA6590">
        <w:rPr>
          <w:lang w:val="en-GB"/>
        </w:rPr>
        <w:t>anti-Semitism</w:t>
      </w:r>
      <w:r w:rsidR="00D95518" w:rsidRPr="00BA6590">
        <w:rPr>
          <w:lang w:val="en-GB"/>
        </w:rPr>
        <w:t xml:space="preserve"> and Islamophobia</w:t>
      </w:r>
    </w:p>
    <w:p w:rsidR="006D2CAA" w:rsidRPr="00BA6590" w:rsidRDefault="004B211F" w:rsidP="004B211F">
      <w:pPr>
        <w:pStyle w:val="H4G"/>
        <w:rPr>
          <w:lang w:val="en-GB"/>
        </w:rPr>
      </w:pPr>
      <w:r w:rsidRPr="00BA6590">
        <w:rPr>
          <w:lang w:val="en-GB"/>
        </w:rPr>
        <w:tab/>
      </w:r>
      <w:r w:rsidRPr="00BA6590">
        <w:rPr>
          <w:lang w:val="en-GB"/>
        </w:rPr>
        <w:tab/>
      </w:r>
      <w:r w:rsidR="00D95518" w:rsidRPr="00BA6590">
        <w:rPr>
          <w:lang w:val="en-GB"/>
        </w:rPr>
        <w:t xml:space="preserve">Watchdog unit against </w:t>
      </w:r>
      <w:r w:rsidR="00884109" w:rsidRPr="00BA6590">
        <w:rPr>
          <w:lang w:val="en-GB"/>
        </w:rPr>
        <w:t>anti-Semitism</w:t>
      </w:r>
    </w:p>
    <w:p w:rsidR="006D2CAA" w:rsidRPr="00BA6590" w:rsidRDefault="006D2CAA" w:rsidP="006D2CAA">
      <w:pPr>
        <w:pStyle w:val="SingleTxtG"/>
        <w:rPr>
          <w:lang w:val="en-GB"/>
        </w:rPr>
      </w:pPr>
      <w:r w:rsidRPr="00BA6590">
        <w:rPr>
          <w:lang w:val="en-GB"/>
        </w:rPr>
        <w:t>117.</w:t>
      </w:r>
      <w:r w:rsidRPr="00BA6590">
        <w:rPr>
          <w:lang w:val="en-GB"/>
        </w:rPr>
        <w:tab/>
      </w:r>
      <w:r w:rsidR="00E03BB8" w:rsidRPr="00BA6590">
        <w:rPr>
          <w:lang w:val="en-GB"/>
        </w:rPr>
        <w:t>Between</w:t>
      </w:r>
      <w:r w:rsidRPr="00BA6590">
        <w:rPr>
          <w:lang w:val="en-GB"/>
        </w:rPr>
        <w:t xml:space="preserve"> 2006 </w:t>
      </w:r>
      <w:r w:rsidR="00E03BB8" w:rsidRPr="00BA6590">
        <w:rPr>
          <w:lang w:val="en-GB"/>
        </w:rPr>
        <w:t>and</w:t>
      </w:r>
      <w:r w:rsidRPr="00BA6590">
        <w:rPr>
          <w:lang w:val="en-GB"/>
        </w:rPr>
        <w:t xml:space="preserve"> 2012,</w:t>
      </w:r>
      <w:r w:rsidR="00E03BB8" w:rsidRPr="00BA6590">
        <w:rPr>
          <w:lang w:val="en-GB"/>
        </w:rPr>
        <w:t xml:space="preserve"> the leadership and secretariat of the watchdog unit were provided by the </w:t>
      </w:r>
      <w:r w:rsidR="004B472D" w:rsidRPr="00BA6590">
        <w:rPr>
          <w:lang w:val="en-GB"/>
        </w:rPr>
        <w:t>Centre for Equal Opportunities and Action</w:t>
      </w:r>
      <w:r w:rsidR="006E73EA" w:rsidRPr="00BA6590">
        <w:rPr>
          <w:lang w:val="en-GB"/>
        </w:rPr>
        <w:t xml:space="preserve"> to Combat Racism</w:t>
      </w:r>
      <w:r w:rsidRPr="00BA6590">
        <w:rPr>
          <w:lang w:val="en-GB"/>
        </w:rPr>
        <w:t xml:space="preserve">. </w:t>
      </w:r>
      <w:r w:rsidR="00E03BB8" w:rsidRPr="00BA6590">
        <w:rPr>
          <w:lang w:val="en-GB"/>
        </w:rPr>
        <w:t>The unit comprised representatives of the Ministries of Justice, the Interior and Equal Opportunities and of the Jewish community</w:t>
      </w:r>
      <w:r w:rsidRPr="00BA6590">
        <w:rPr>
          <w:lang w:val="en-GB"/>
        </w:rPr>
        <w:t>.</w:t>
      </w:r>
    </w:p>
    <w:p w:rsidR="006D2CAA" w:rsidRPr="00BA6590" w:rsidRDefault="006D2CAA" w:rsidP="0027541F">
      <w:pPr>
        <w:pStyle w:val="SingleTxtG"/>
        <w:rPr>
          <w:lang w:val="en-GB"/>
        </w:rPr>
      </w:pPr>
      <w:r w:rsidRPr="00BA6590">
        <w:rPr>
          <w:lang w:val="en-GB"/>
        </w:rPr>
        <w:t>118.</w:t>
      </w:r>
      <w:r w:rsidRPr="00BA6590">
        <w:rPr>
          <w:lang w:val="en-GB"/>
        </w:rPr>
        <w:tab/>
      </w:r>
      <w:r w:rsidR="00E03BB8" w:rsidRPr="00BA6590">
        <w:rPr>
          <w:lang w:val="en-GB"/>
        </w:rPr>
        <w:t xml:space="preserve">When the new federal Government had taken office in </w:t>
      </w:r>
      <w:r w:rsidRPr="00BA6590">
        <w:rPr>
          <w:lang w:val="en-GB"/>
        </w:rPr>
        <w:t>2012,</w:t>
      </w:r>
      <w:r w:rsidR="002E7D13" w:rsidRPr="00BA6590">
        <w:rPr>
          <w:lang w:val="en-GB"/>
        </w:rPr>
        <w:t xml:space="preserve"> the Minister of the Interior entered into various discussions with the representatives of Jewish organizations in Belgium. The Council of Ministers then decided to strengthen the watchdog unit through increased involvement by the ministers concerned. It was decided that the unit</w:t>
      </w:r>
      <w:r w:rsidR="00A216FB" w:rsidRPr="00BA6590">
        <w:rPr>
          <w:lang w:val="en-GB"/>
        </w:rPr>
        <w:t>’</w:t>
      </w:r>
      <w:r w:rsidR="002E7D13" w:rsidRPr="00BA6590">
        <w:rPr>
          <w:lang w:val="en-GB"/>
        </w:rPr>
        <w:t xml:space="preserve">s meetings would be chaired alternately by representatives of the Ministries </w:t>
      </w:r>
      <w:r w:rsidR="002341D9" w:rsidRPr="00BA6590">
        <w:rPr>
          <w:lang w:val="en-GB"/>
        </w:rPr>
        <w:t xml:space="preserve">of the Interior and Justice. Senior representatives </w:t>
      </w:r>
      <w:r w:rsidR="00BA252D" w:rsidRPr="00BA6590">
        <w:rPr>
          <w:lang w:val="en-GB"/>
        </w:rPr>
        <w:t>of</w:t>
      </w:r>
      <w:r w:rsidR="002341D9" w:rsidRPr="00BA6590">
        <w:rPr>
          <w:lang w:val="en-GB"/>
        </w:rPr>
        <w:t xml:space="preserve"> public prosecutors</w:t>
      </w:r>
      <w:r w:rsidR="00A216FB" w:rsidRPr="00BA6590">
        <w:rPr>
          <w:lang w:val="en-GB"/>
        </w:rPr>
        <w:t>’</w:t>
      </w:r>
      <w:r w:rsidR="002341D9" w:rsidRPr="00BA6590">
        <w:rPr>
          <w:lang w:val="en-GB"/>
        </w:rPr>
        <w:t xml:space="preserve"> offices would also be involved, as would police chiefs from cities having sizeable Jewish communities. The Centre would continue to provide the secretariat. </w:t>
      </w:r>
    </w:p>
    <w:p w:rsidR="006D2CAA" w:rsidRPr="00BA6590" w:rsidRDefault="006D2CAA" w:rsidP="006D2CAA">
      <w:pPr>
        <w:pStyle w:val="SingleTxtG"/>
        <w:rPr>
          <w:lang w:val="en-GB"/>
        </w:rPr>
      </w:pPr>
      <w:r w:rsidRPr="00BA6590">
        <w:rPr>
          <w:lang w:val="en-GB"/>
        </w:rPr>
        <w:t>119.</w:t>
      </w:r>
      <w:r w:rsidRPr="00BA6590">
        <w:rPr>
          <w:lang w:val="en-GB"/>
        </w:rPr>
        <w:tab/>
      </w:r>
      <w:r w:rsidR="002341D9" w:rsidRPr="00BA6590">
        <w:rPr>
          <w:lang w:val="en-GB"/>
        </w:rPr>
        <w:t>Two major areas are under consideration with a view to improving effectiveness</w:t>
      </w:r>
      <w:r w:rsidRPr="00BA6590">
        <w:rPr>
          <w:lang w:val="en-GB"/>
        </w:rPr>
        <w:t>:</w:t>
      </w:r>
    </w:p>
    <w:p w:rsidR="006D2CAA" w:rsidRPr="00BA6590" w:rsidRDefault="002341D9" w:rsidP="004B211F">
      <w:pPr>
        <w:pStyle w:val="Bullet1G"/>
        <w:rPr>
          <w:lang w:val="en-GB"/>
        </w:rPr>
      </w:pPr>
      <w:r w:rsidRPr="00BA6590">
        <w:rPr>
          <w:lang w:val="en-GB"/>
        </w:rPr>
        <w:t>Strengthening security measures around schools and places of worship through improved coordination between police forces and internal security services</w:t>
      </w:r>
      <w:r w:rsidR="0027541F" w:rsidRPr="00BA6590">
        <w:rPr>
          <w:lang w:val="en-GB"/>
        </w:rPr>
        <w:t>;</w:t>
      </w:r>
    </w:p>
    <w:p w:rsidR="006D2CAA" w:rsidRPr="00BA6590" w:rsidRDefault="002341D9" w:rsidP="004B211F">
      <w:pPr>
        <w:pStyle w:val="Bullet1G"/>
        <w:rPr>
          <w:lang w:val="en-GB"/>
        </w:rPr>
      </w:pPr>
      <w:r w:rsidRPr="00BA6590">
        <w:rPr>
          <w:lang w:val="en-GB"/>
        </w:rPr>
        <w:t xml:space="preserve">Encouraging the victims of </w:t>
      </w:r>
      <w:r w:rsidR="00884109" w:rsidRPr="00BA6590">
        <w:rPr>
          <w:lang w:val="en-GB"/>
        </w:rPr>
        <w:t>anti-Semitic</w:t>
      </w:r>
      <w:r w:rsidRPr="00BA6590">
        <w:rPr>
          <w:lang w:val="en-GB"/>
        </w:rPr>
        <w:t xml:space="preserve"> behaviour to make formal complaints and, in parallel, improve the reception of victims at local police stations and the preparation of police reports, by appointing contact police officers and prosecutors for incidents of racism and </w:t>
      </w:r>
      <w:r w:rsidR="00884109" w:rsidRPr="00BA6590">
        <w:rPr>
          <w:lang w:val="en-GB"/>
        </w:rPr>
        <w:t>anti-Semitism</w:t>
      </w:r>
      <w:r w:rsidRPr="00BA6590">
        <w:rPr>
          <w:lang w:val="en-GB"/>
        </w:rPr>
        <w:t xml:space="preserve">. </w:t>
      </w:r>
    </w:p>
    <w:p w:rsidR="006D2CAA" w:rsidRPr="00BA6590" w:rsidRDefault="006D2CAA" w:rsidP="006D2CAA">
      <w:pPr>
        <w:pStyle w:val="SingleTxtG"/>
        <w:rPr>
          <w:lang w:val="en-GB"/>
        </w:rPr>
      </w:pPr>
      <w:r w:rsidRPr="00BA6590">
        <w:rPr>
          <w:lang w:val="en-GB"/>
        </w:rPr>
        <w:t>120.</w:t>
      </w:r>
      <w:r w:rsidR="004E090E" w:rsidRPr="00BA6590">
        <w:rPr>
          <w:lang w:val="en-GB"/>
        </w:rPr>
        <w:tab/>
      </w:r>
      <w:r w:rsidR="002341D9" w:rsidRPr="00BA6590">
        <w:rPr>
          <w:lang w:val="en-GB"/>
        </w:rPr>
        <w:t xml:space="preserve">Data are collected by the Centre, which works closely with a voluntary organization, www.antisémitisme.be, </w:t>
      </w:r>
      <w:r w:rsidR="009B2524" w:rsidRPr="00BA6590">
        <w:rPr>
          <w:lang w:val="en-GB"/>
        </w:rPr>
        <w:t xml:space="preserve">to assemble information on such incidents. </w:t>
      </w:r>
    </w:p>
    <w:p w:rsidR="006D2CAA" w:rsidRPr="00BA6590" w:rsidRDefault="006D2CAA" w:rsidP="006D2CAA">
      <w:pPr>
        <w:pStyle w:val="SingleTxtG"/>
        <w:rPr>
          <w:lang w:val="en-GB"/>
        </w:rPr>
      </w:pPr>
      <w:r w:rsidRPr="00BA6590">
        <w:rPr>
          <w:lang w:val="en-GB"/>
        </w:rPr>
        <w:t>121.</w:t>
      </w:r>
      <w:r w:rsidR="004E090E" w:rsidRPr="00BA6590">
        <w:rPr>
          <w:lang w:val="en-GB"/>
        </w:rPr>
        <w:tab/>
      </w:r>
      <w:r w:rsidR="009B2524" w:rsidRPr="00BA6590">
        <w:rPr>
          <w:lang w:val="en-GB"/>
        </w:rPr>
        <w:t xml:space="preserve">The reported instances of </w:t>
      </w:r>
      <w:r w:rsidR="00884109" w:rsidRPr="00BA6590">
        <w:rPr>
          <w:lang w:val="en-GB"/>
        </w:rPr>
        <w:t>anti-Semitism</w:t>
      </w:r>
      <w:r w:rsidR="009B2524" w:rsidRPr="00BA6590">
        <w:rPr>
          <w:lang w:val="en-GB"/>
        </w:rPr>
        <w:t xml:space="preserve"> include death threats and holocaust denial. Other incidents in recent years have included verbal and physical aggression against both adults and children, particularly in Brussels and Antwerp. Synagogues and private property belonging to Jews have also been vandalized. </w:t>
      </w:r>
    </w:p>
    <w:p w:rsidR="006D2CAA" w:rsidRPr="00BA6590" w:rsidRDefault="006D2CAA" w:rsidP="0027541F">
      <w:pPr>
        <w:pStyle w:val="SingleTxtG"/>
        <w:rPr>
          <w:lang w:val="en-GB"/>
        </w:rPr>
      </w:pPr>
      <w:r w:rsidRPr="00BA6590">
        <w:rPr>
          <w:lang w:val="en-GB"/>
        </w:rPr>
        <w:t>122.</w:t>
      </w:r>
      <w:r w:rsidR="004E090E" w:rsidRPr="00BA6590">
        <w:rPr>
          <w:lang w:val="en-GB"/>
        </w:rPr>
        <w:tab/>
      </w:r>
      <w:r w:rsidR="009B2524" w:rsidRPr="00BA6590">
        <w:rPr>
          <w:lang w:val="en-GB"/>
        </w:rPr>
        <w:t xml:space="preserve">The numbers of cases </w:t>
      </w:r>
      <w:r w:rsidR="00BA252D" w:rsidRPr="00BA6590">
        <w:rPr>
          <w:lang w:val="en-GB"/>
        </w:rPr>
        <w:t>and</w:t>
      </w:r>
      <w:r w:rsidR="009B2524" w:rsidRPr="00BA6590">
        <w:rPr>
          <w:lang w:val="en-GB"/>
        </w:rPr>
        <w:t xml:space="preserve"> reports have been relatively steady in the past six years, at around 60 per year. There were, however, increases in </w:t>
      </w:r>
      <w:r w:rsidRPr="00BA6590">
        <w:rPr>
          <w:lang w:val="en-GB"/>
        </w:rPr>
        <w:t>2009</w:t>
      </w:r>
      <w:r w:rsidR="009B2524" w:rsidRPr="00BA6590">
        <w:rPr>
          <w:lang w:val="en-GB"/>
        </w:rPr>
        <w:t xml:space="preserve"> (over 100 incidents)</w:t>
      </w:r>
      <w:r w:rsidRPr="00BA6590">
        <w:rPr>
          <w:lang w:val="en-GB"/>
        </w:rPr>
        <w:t xml:space="preserve"> </w:t>
      </w:r>
      <w:r w:rsidR="009B2524" w:rsidRPr="00BA6590">
        <w:rPr>
          <w:lang w:val="en-GB"/>
        </w:rPr>
        <w:t>and</w:t>
      </w:r>
      <w:r w:rsidRPr="00BA6590">
        <w:rPr>
          <w:lang w:val="en-GB"/>
        </w:rPr>
        <w:t xml:space="preserve"> 2011</w:t>
      </w:r>
      <w:r w:rsidR="009B2524" w:rsidRPr="00BA6590">
        <w:rPr>
          <w:lang w:val="en-GB"/>
        </w:rPr>
        <w:t xml:space="preserve"> (82).</w:t>
      </w:r>
      <w:r w:rsidR="004A7917" w:rsidRPr="00BA6590">
        <w:rPr>
          <w:rStyle w:val="FootnoteReference"/>
          <w:lang w:val="en-GB"/>
        </w:rPr>
        <w:footnoteReference w:id="19"/>
      </w:r>
      <w:r w:rsidRPr="00BA6590">
        <w:rPr>
          <w:lang w:val="en-GB"/>
        </w:rPr>
        <w:t xml:space="preserve"> </w:t>
      </w:r>
      <w:r w:rsidR="00E878C4" w:rsidRPr="00BA6590">
        <w:rPr>
          <w:lang w:val="en-GB"/>
        </w:rPr>
        <w:t xml:space="preserve">Furthermore, the upward trend in </w:t>
      </w:r>
      <w:r w:rsidR="00884109" w:rsidRPr="00BA6590">
        <w:rPr>
          <w:lang w:val="en-GB"/>
        </w:rPr>
        <w:t>anti-Semitism</w:t>
      </w:r>
      <w:r w:rsidR="00E878C4" w:rsidRPr="00BA6590">
        <w:rPr>
          <w:lang w:val="en-GB"/>
        </w:rPr>
        <w:t xml:space="preserve"> on the Internet since 2006 was confirmed in the years that followed (see statistics in annex VII, tables 1 to 3).</w:t>
      </w:r>
    </w:p>
    <w:p w:rsidR="006D2CAA" w:rsidRPr="00BA6590" w:rsidRDefault="004B211F" w:rsidP="004B211F">
      <w:pPr>
        <w:pStyle w:val="H4G"/>
        <w:rPr>
          <w:lang w:val="en-GB"/>
        </w:rPr>
      </w:pPr>
      <w:r w:rsidRPr="00BA6590">
        <w:rPr>
          <w:lang w:val="en-GB"/>
        </w:rPr>
        <w:tab/>
      </w:r>
      <w:r w:rsidRPr="00BA6590">
        <w:rPr>
          <w:lang w:val="en-GB"/>
        </w:rPr>
        <w:tab/>
      </w:r>
      <w:r w:rsidR="00E878C4" w:rsidRPr="00BA6590">
        <w:rPr>
          <w:lang w:val="en-GB"/>
        </w:rPr>
        <w:t>Combating Islamophobia</w:t>
      </w:r>
    </w:p>
    <w:p w:rsidR="006D2CAA" w:rsidRPr="00BA6590" w:rsidRDefault="006D2CAA" w:rsidP="006D2CAA">
      <w:pPr>
        <w:pStyle w:val="SingleTxtG"/>
        <w:rPr>
          <w:lang w:val="en-GB"/>
        </w:rPr>
      </w:pPr>
      <w:r w:rsidRPr="00BA6590">
        <w:rPr>
          <w:lang w:val="en-GB"/>
        </w:rPr>
        <w:t>123.</w:t>
      </w:r>
      <w:r w:rsidR="004E090E" w:rsidRPr="00BA6590">
        <w:rPr>
          <w:lang w:val="en-GB"/>
        </w:rPr>
        <w:tab/>
      </w:r>
      <w:r w:rsidR="00E878C4" w:rsidRPr="00BA6590">
        <w:rPr>
          <w:lang w:val="en-GB"/>
        </w:rPr>
        <w:t xml:space="preserve">Intolerance on grounds of cultural and religious differences has grown steadily in recent years. The societal debate on integration often focuses on Islam and the widespread tendency to conflate terrorists and religious extremists with the Muslim population as a whole. </w:t>
      </w:r>
    </w:p>
    <w:p w:rsidR="006D2CAA" w:rsidRPr="00BA6590" w:rsidRDefault="006D2CAA" w:rsidP="006D2CAA">
      <w:pPr>
        <w:pStyle w:val="SingleTxtG"/>
        <w:rPr>
          <w:lang w:val="en-GB"/>
        </w:rPr>
      </w:pPr>
      <w:r w:rsidRPr="00BA6590">
        <w:rPr>
          <w:lang w:val="en-GB"/>
        </w:rPr>
        <w:t>124.</w:t>
      </w:r>
      <w:r w:rsidR="004E090E" w:rsidRPr="00BA6590">
        <w:rPr>
          <w:lang w:val="en-GB"/>
        </w:rPr>
        <w:tab/>
      </w:r>
      <w:r w:rsidR="00E878C4" w:rsidRPr="00BA6590">
        <w:rPr>
          <w:lang w:val="en-GB"/>
        </w:rPr>
        <w:t xml:space="preserve">Until </w:t>
      </w:r>
      <w:r w:rsidRPr="00BA6590">
        <w:rPr>
          <w:lang w:val="en-GB"/>
        </w:rPr>
        <w:t>2009</w:t>
      </w:r>
      <w:r w:rsidR="00E878C4" w:rsidRPr="00BA6590">
        <w:rPr>
          <w:lang w:val="en-GB"/>
        </w:rPr>
        <w:t xml:space="preserve"> it was hard to assess the scale of this phenomenon because of a shortage of data. Since then, the</w:t>
      </w:r>
      <w:r w:rsidR="00743B57" w:rsidRPr="00BA6590">
        <w:rPr>
          <w:lang w:val="en-GB"/>
        </w:rPr>
        <w:t xml:space="preserve"> annual reports of the</w:t>
      </w:r>
      <w:r w:rsidR="00E878C4" w:rsidRPr="00BA6590">
        <w:rPr>
          <w:lang w:val="en-GB"/>
        </w:rPr>
        <w:t xml:space="preserve"> </w:t>
      </w:r>
      <w:r w:rsidR="004B472D" w:rsidRPr="00BA6590">
        <w:rPr>
          <w:lang w:val="en-GB"/>
        </w:rPr>
        <w:t>Centre for Equal Opportunities and Action</w:t>
      </w:r>
      <w:r w:rsidR="006E73EA" w:rsidRPr="00BA6590">
        <w:rPr>
          <w:lang w:val="en-GB"/>
        </w:rPr>
        <w:t xml:space="preserve"> to Combat Racism</w:t>
      </w:r>
      <w:r w:rsidR="00E878C4" w:rsidRPr="00BA6590">
        <w:rPr>
          <w:lang w:val="en-GB"/>
        </w:rPr>
        <w:t xml:space="preserve"> </w:t>
      </w:r>
      <w:r w:rsidR="00743B57" w:rsidRPr="00BA6590">
        <w:rPr>
          <w:lang w:val="en-GB"/>
        </w:rPr>
        <w:t>have provided estimates of the numbers of Islamophobic acts or utterances, using the following frame of reference</w:t>
      </w:r>
      <w:r w:rsidRPr="00BA6590">
        <w:rPr>
          <w:lang w:val="en-GB"/>
        </w:rPr>
        <w:t xml:space="preserve"> (</w:t>
      </w:r>
      <w:r w:rsidR="00743B57" w:rsidRPr="00BA6590">
        <w:rPr>
          <w:lang w:val="en-GB"/>
        </w:rPr>
        <w:t xml:space="preserve">see </w:t>
      </w:r>
      <w:r w:rsidR="00BA252D" w:rsidRPr="00BA6590">
        <w:rPr>
          <w:lang w:val="en-GB"/>
        </w:rPr>
        <w:t xml:space="preserve">annex VIII, </w:t>
      </w:r>
      <w:r w:rsidR="00D94C5A" w:rsidRPr="00BA6590">
        <w:rPr>
          <w:lang w:val="en-GB"/>
        </w:rPr>
        <w:t xml:space="preserve">pp. </w:t>
      </w:r>
      <w:r w:rsidR="00743B57" w:rsidRPr="00BA6590">
        <w:rPr>
          <w:lang w:val="en-GB"/>
        </w:rPr>
        <w:t>56</w:t>
      </w:r>
      <w:r w:rsidR="00D94C5A" w:rsidRPr="00BA6590">
        <w:rPr>
          <w:szCs w:val="24"/>
          <w:lang w:val="en-GB"/>
        </w:rPr>
        <w:t>–</w:t>
      </w:r>
      <w:r w:rsidR="00743B57" w:rsidRPr="00BA6590">
        <w:rPr>
          <w:lang w:val="en-GB"/>
        </w:rPr>
        <w:t>60 of the Centre</w:t>
      </w:r>
      <w:r w:rsidR="00A216FB" w:rsidRPr="00BA6590">
        <w:rPr>
          <w:lang w:val="en-GB"/>
        </w:rPr>
        <w:t>’</w:t>
      </w:r>
      <w:r w:rsidR="00743B57" w:rsidRPr="00BA6590">
        <w:rPr>
          <w:lang w:val="en-GB"/>
        </w:rPr>
        <w:t>s annual report</w:t>
      </w:r>
      <w:r w:rsidR="00087791" w:rsidRPr="00BA6590">
        <w:rPr>
          <w:lang w:val="en-GB"/>
        </w:rPr>
        <w:t>,</w:t>
      </w:r>
      <w:r w:rsidR="00743B57" w:rsidRPr="00BA6590">
        <w:rPr>
          <w:lang w:val="en-GB"/>
        </w:rPr>
        <w:t xml:space="preserve"> </w:t>
      </w:r>
      <w:r w:rsidR="00A216FB" w:rsidRPr="00BA6590">
        <w:rPr>
          <w:lang w:val="en-GB"/>
        </w:rPr>
        <w:t>“</w:t>
      </w:r>
      <w:r w:rsidRPr="00BA6590">
        <w:rPr>
          <w:lang w:val="en-GB"/>
        </w:rPr>
        <w:t>Discrimination 2008</w:t>
      </w:r>
      <w:r w:rsidR="00A216FB" w:rsidRPr="00BA6590">
        <w:rPr>
          <w:lang w:val="en-GB"/>
        </w:rPr>
        <w:t>”</w:t>
      </w:r>
      <w:r w:rsidRPr="00BA6590">
        <w:rPr>
          <w:lang w:val="en-GB"/>
        </w:rPr>
        <w:t>):</w:t>
      </w:r>
    </w:p>
    <w:p w:rsidR="006D2CAA" w:rsidRPr="00BA6590" w:rsidRDefault="00743B57" w:rsidP="004B211F">
      <w:pPr>
        <w:pStyle w:val="Bullet1G"/>
        <w:rPr>
          <w:lang w:val="en-GB"/>
        </w:rPr>
      </w:pPr>
      <w:r w:rsidRPr="00BA6590">
        <w:rPr>
          <w:lang w:val="en-GB"/>
        </w:rPr>
        <w:t>Islamophobic acts or utterances</w:t>
      </w:r>
      <w:r w:rsidR="006D2CAA" w:rsidRPr="00BA6590">
        <w:rPr>
          <w:lang w:val="en-GB"/>
        </w:rPr>
        <w:t xml:space="preserve"> punis</w:t>
      </w:r>
      <w:r w:rsidRPr="00BA6590">
        <w:rPr>
          <w:lang w:val="en-GB"/>
        </w:rPr>
        <w:t>hable under the</w:t>
      </w:r>
      <w:r w:rsidR="006D2CAA" w:rsidRPr="00BA6590">
        <w:rPr>
          <w:lang w:val="en-GB"/>
        </w:rPr>
        <w:t xml:space="preserve"> </w:t>
      </w:r>
      <w:r w:rsidR="00C60F91" w:rsidRPr="00BA6590">
        <w:rPr>
          <w:lang w:val="en-GB"/>
        </w:rPr>
        <w:t>Act</w:t>
      </w:r>
      <w:r w:rsidR="00E878C4" w:rsidRPr="00BA6590">
        <w:rPr>
          <w:lang w:val="en-GB"/>
        </w:rPr>
        <w:t xml:space="preserve"> of 10 May 2007</w:t>
      </w:r>
      <w:r w:rsidR="00C60F91" w:rsidRPr="00BA6590">
        <w:rPr>
          <w:lang w:val="en-GB"/>
        </w:rPr>
        <w:t xml:space="preserve"> penalizing certain forms of discrimination</w:t>
      </w:r>
      <w:r w:rsidR="0027541F" w:rsidRPr="00BA6590">
        <w:rPr>
          <w:lang w:val="en-GB"/>
        </w:rPr>
        <w:t>;</w:t>
      </w:r>
    </w:p>
    <w:p w:rsidR="006D2CAA" w:rsidRPr="00BA6590" w:rsidRDefault="00743B57" w:rsidP="004B211F">
      <w:pPr>
        <w:pStyle w:val="Bullet1G"/>
        <w:rPr>
          <w:lang w:val="en-GB"/>
        </w:rPr>
      </w:pPr>
      <w:r w:rsidRPr="00BA6590">
        <w:rPr>
          <w:lang w:val="en-GB"/>
        </w:rPr>
        <w:t>Islamophobic acts or utterances which are not</w:t>
      </w:r>
      <w:r w:rsidR="006D2CAA" w:rsidRPr="00BA6590">
        <w:rPr>
          <w:lang w:val="en-GB"/>
        </w:rPr>
        <w:t xml:space="preserve"> </w:t>
      </w:r>
      <w:r w:rsidRPr="00BA6590">
        <w:rPr>
          <w:lang w:val="en-GB"/>
        </w:rPr>
        <w:t xml:space="preserve">covered by </w:t>
      </w:r>
      <w:r w:rsidR="00C60F91" w:rsidRPr="00BA6590">
        <w:rPr>
          <w:lang w:val="en-GB"/>
        </w:rPr>
        <w:t xml:space="preserve">that same </w:t>
      </w:r>
      <w:r w:rsidR="00E878C4" w:rsidRPr="00BA6590">
        <w:rPr>
          <w:lang w:val="en-GB"/>
        </w:rPr>
        <w:t>Act</w:t>
      </w:r>
      <w:r w:rsidR="0027541F" w:rsidRPr="00BA6590">
        <w:rPr>
          <w:lang w:val="en-GB"/>
        </w:rPr>
        <w:t>;</w:t>
      </w:r>
    </w:p>
    <w:p w:rsidR="006D2CAA" w:rsidRPr="00BA6590" w:rsidRDefault="00743B57" w:rsidP="004B211F">
      <w:pPr>
        <w:pStyle w:val="Bullet1G"/>
        <w:rPr>
          <w:lang w:val="en-GB"/>
        </w:rPr>
      </w:pPr>
      <w:r w:rsidRPr="00BA6590">
        <w:rPr>
          <w:lang w:val="en-GB"/>
        </w:rPr>
        <w:t>Non-Islamophobic acts or utterances</w:t>
      </w:r>
      <w:r w:rsidR="0027541F" w:rsidRPr="00BA6590">
        <w:rPr>
          <w:lang w:val="en-GB"/>
        </w:rPr>
        <w:t>.</w:t>
      </w:r>
    </w:p>
    <w:p w:rsidR="006D2CAA" w:rsidRPr="00BA6590" w:rsidRDefault="006D2CAA" w:rsidP="006D2CAA">
      <w:pPr>
        <w:pStyle w:val="SingleTxtG"/>
        <w:rPr>
          <w:lang w:val="en-GB"/>
        </w:rPr>
      </w:pPr>
      <w:r w:rsidRPr="00BA6590">
        <w:rPr>
          <w:lang w:val="en-GB"/>
        </w:rPr>
        <w:t>125.</w:t>
      </w:r>
      <w:r w:rsidRPr="00BA6590">
        <w:rPr>
          <w:lang w:val="en-GB"/>
        </w:rPr>
        <w:tab/>
      </w:r>
      <w:r w:rsidR="00C16204" w:rsidRPr="00BA6590">
        <w:rPr>
          <w:lang w:val="en-GB"/>
        </w:rPr>
        <w:t xml:space="preserve">In the past three years, 490 cases have been opened in response to Islamophobic sentiment </w:t>
      </w:r>
      <w:r w:rsidRPr="00BA6590">
        <w:rPr>
          <w:lang w:val="en-GB"/>
        </w:rPr>
        <w:t xml:space="preserve">(164 </w:t>
      </w:r>
      <w:r w:rsidR="00C16204" w:rsidRPr="00BA6590">
        <w:rPr>
          <w:lang w:val="en-GB"/>
        </w:rPr>
        <w:t>in 2011, 139 i</w:t>
      </w:r>
      <w:r w:rsidRPr="00BA6590">
        <w:rPr>
          <w:lang w:val="en-GB"/>
        </w:rPr>
        <w:t xml:space="preserve">n 2010 </w:t>
      </w:r>
      <w:r w:rsidR="00C16204" w:rsidRPr="00BA6590">
        <w:rPr>
          <w:lang w:val="en-GB"/>
        </w:rPr>
        <w:t>and</w:t>
      </w:r>
      <w:r w:rsidRPr="00BA6590">
        <w:rPr>
          <w:lang w:val="en-GB"/>
        </w:rPr>
        <w:t xml:space="preserve"> 187 </w:t>
      </w:r>
      <w:r w:rsidR="00C16204" w:rsidRPr="00BA6590">
        <w:rPr>
          <w:lang w:val="en-GB"/>
        </w:rPr>
        <w:t>i</w:t>
      </w:r>
      <w:r w:rsidRPr="00BA6590">
        <w:rPr>
          <w:lang w:val="en-GB"/>
        </w:rPr>
        <w:t>n 2009)</w:t>
      </w:r>
      <w:r w:rsidR="00C16204" w:rsidRPr="00BA6590">
        <w:rPr>
          <w:lang w:val="en-GB"/>
        </w:rPr>
        <w:t xml:space="preserve">. Many of them relate to comments posted on the Internet; others concern incidents in the workplace or issues of coexistence caused by Islamophobia </w:t>
      </w:r>
      <w:r w:rsidRPr="00BA6590">
        <w:rPr>
          <w:lang w:val="en-GB"/>
        </w:rPr>
        <w:t>(</w:t>
      </w:r>
      <w:r w:rsidR="00C16204" w:rsidRPr="00BA6590">
        <w:rPr>
          <w:lang w:val="en-GB"/>
        </w:rPr>
        <w:t xml:space="preserve">see figures in </w:t>
      </w:r>
      <w:r w:rsidRPr="00BA6590">
        <w:rPr>
          <w:lang w:val="en-GB"/>
        </w:rPr>
        <w:t>annex VII, table 4).</w:t>
      </w:r>
    </w:p>
    <w:p w:rsidR="004A7917" w:rsidRPr="00BA6590" w:rsidRDefault="00C16204" w:rsidP="006411D2">
      <w:pPr>
        <w:pStyle w:val="HChG"/>
        <w:rPr>
          <w:lang w:val="en-GB"/>
        </w:rPr>
      </w:pPr>
      <w:r w:rsidRPr="00BA6590">
        <w:rPr>
          <w:lang w:val="en-GB"/>
        </w:rPr>
        <w:tab/>
      </w:r>
      <w:r w:rsidRPr="00BA6590">
        <w:rPr>
          <w:lang w:val="en-GB"/>
        </w:rPr>
        <w:tab/>
        <w:t>Article 3</w:t>
      </w:r>
      <w:r w:rsidR="0021611B" w:rsidRPr="00BA6590">
        <w:rPr>
          <w:lang w:val="en-GB"/>
        </w:rPr>
        <w:br/>
      </w:r>
      <w:r w:rsidRPr="00BA6590">
        <w:rPr>
          <w:lang w:val="en-GB"/>
        </w:rPr>
        <w:t>Conde</w:t>
      </w:r>
      <w:r w:rsidR="006411D2" w:rsidRPr="00BA6590">
        <w:rPr>
          <w:lang w:val="en-GB"/>
        </w:rPr>
        <w:t>mnation</w:t>
      </w:r>
      <w:r w:rsidRPr="00BA6590">
        <w:rPr>
          <w:lang w:val="en-GB"/>
        </w:rPr>
        <w:t xml:space="preserve"> of racial</w:t>
      </w:r>
      <w:r w:rsidR="006411D2" w:rsidRPr="00BA6590">
        <w:rPr>
          <w:lang w:val="en-GB"/>
        </w:rPr>
        <w:t xml:space="preserve"> </w:t>
      </w:r>
      <w:r w:rsidRPr="00BA6590">
        <w:rPr>
          <w:lang w:val="en-GB"/>
        </w:rPr>
        <w:t>se</w:t>
      </w:r>
      <w:r w:rsidR="006411D2" w:rsidRPr="00BA6590">
        <w:rPr>
          <w:lang w:val="en-GB"/>
        </w:rPr>
        <w:t>gr</w:t>
      </w:r>
      <w:r w:rsidRPr="00BA6590">
        <w:rPr>
          <w:lang w:val="en-GB"/>
        </w:rPr>
        <w:t>e</w:t>
      </w:r>
      <w:r w:rsidR="006411D2" w:rsidRPr="00BA6590">
        <w:rPr>
          <w:lang w:val="en-GB"/>
        </w:rPr>
        <w:t>gation</w:t>
      </w:r>
      <w:r w:rsidRPr="00BA6590">
        <w:rPr>
          <w:lang w:val="en-GB"/>
        </w:rPr>
        <w:t xml:space="preserve"> and </w:t>
      </w:r>
      <w:r w:rsidR="006411D2" w:rsidRPr="00BA6590">
        <w:rPr>
          <w:lang w:val="en-GB"/>
        </w:rPr>
        <w:t>apartheid</w:t>
      </w:r>
    </w:p>
    <w:p w:rsidR="006411D2" w:rsidRPr="00BA6590" w:rsidRDefault="006411D2" w:rsidP="006411D2">
      <w:pPr>
        <w:pStyle w:val="SingleTxtG"/>
        <w:rPr>
          <w:lang w:val="en-GB"/>
        </w:rPr>
      </w:pPr>
      <w:r w:rsidRPr="00BA6590">
        <w:rPr>
          <w:lang w:val="en-GB"/>
        </w:rPr>
        <w:t>126.</w:t>
      </w:r>
      <w:r w:rsidRPr="00BA6590">
        <w:rPr>
          <w:lang w:val="en-GB"/>
        </w:rPr>
        <w:tab/>
      </w:r>
      <w:r w:rsidR="00C16204" w:rsidRPr="00BA6590">
        <w:rPr>
          <w:lang w:val="en-GB"/>
        </w:rPr>
        <w:t xml:space="preserve">There is no mechanism of racial segregation or apartheid in Belgium; nonetheless, Belgium strongly condemns such practices. </w:t>
      </w:r>
    </w:p>
    <w:p w:rsidR="006411D2" w:rsidRPr="00BA6590" w:rsidRDefault="006411D2" w:rsidP="006411D2">
      <w:pPr>
        <w:pStyle w:val="SingleTxtG"/>
        <w:rPr>
          <w:lang w:val="en-GB"/>
        </w:rPr>
      </w:pPr>
      <w:r w:rsidRPr="00BA6590">
        <w:rPr>
          <w:lang w:val="en-GB"/>
        </w:rPr>
        <w:t>127.</w:t>
      </w:r>
      <w:r w:rsidRPr="00BA6590">
        <w:rPr>
          <w:lang w:val="en-GB"/>
        </w:rPr>
        <w:tab/>
      </w:r>
      <w:r w:rsidR="00664ECE" w:rsidRPr="00BA6590">
        <w:rPr>
          <w:lang w:val="en-GB"/>
        </w:rPr>
        <w:t xml:space="preserve">Apartheid is considered as a crime against humanity when it is committed as part of a widespread or systematic attack directed against any civilian population, with knowledge of the attack. </w:t>
      </w:r>
      <w:r w:rsidR="00BA252D" w:rsidRPr="00BA6590">
        <w:rPr>
          <w:lang w:val="en-GB"/>
        </w:rPr>
        <w:t>Whether committed in wartime or peacetime, t</w:t>
      </w:r>
      <w:r w:rsidR="00664ECE" w:rsidRPr="00BA6590">
        <w:rPr>
          <w:lang w:val="en-GB"/>
        </w:rPr>
        <w:t xml:space="preserve">his crime is punishable by a life sentence </w:t>
      </w:r>
      <w:r w:rsidRPr="00BA6590">
        <w:rPr>
          <w:lang w:val="en-GB"/>
        </w:rPr>
        <w:t>(article 136</w:t>
      </w:r>
      <w:r w:rsidR="00A55151" w:rsidRPr="00BA6590">
        <w:rPr>
          <w:lang w:val="en-GB"/>
        </w:rPr>
        <w:t xml:space="preserve"> </w:t>
      </w:r>
      <w:r w:rsidRPr="00BA6590">
        <w:rPr>
          <w:i/>
          <w:iCs/>
          <w:lang w:val="en-GB"/>
        </w:rPr>
        <w:t>ter</w:t>
      </w:r>
      <w:r w:rsidRPr="00BA6590">
        <w:rPr>
          <w:lang w:val="en-GB"/>
        </w:rPr>
        <w:t xml:space="preserve"> </w:t>
      </w:r>
      <w:r w:rsidR="00664ECE" w:rsidRPr="00BA6590">
        <w:rPr>
          <w:lang w:val="en-GB"/>
        </w:rPr>
        <w:t>of</w:t>
      </w:r>
      <w:r w:rsidRPr="00BA6590">
        <w:rPr>
          <w:lang w:val="en-GB"/>
        </w:rPr>
        <w:t xml:space="preserve"> Tit</w:t>
      </w:r>
      <w:r w:rsidR="00664ECE" w:rsidRPr="00BA6590">
        <w:rPr>
          <w:lang w:val="en-GB"/>
        </w:rPr>
        <w:t>l</w:t>
      </w:r>
      <w:r w:rsidRPr="00BA6590">
        <w:rPr>
          <w:lang w:val="en-GB"/>
        </w:rPr>
        <w:t>e 1</w:t>
      </w:r>
      <w:r w:rsidR="00A55151" w:rsidRPr="00BA6590">
        <w:rPr>
          <w:lang w:val="en-GB"/>
        </w:rPr>
        <w:t xml:space="preserve"> </w:t>
      </w:r>
      <w:r w:rsidRPr="00BA6590">
        <w:rPr>
          <w:i/>
          <w:iCs/>
          <w:lang w:val="en-GB"/>
        </w:rPr>
        <w:t>bis</w:t>
      </w:r>
      <w:r w:rsidR="00664ECE" w:rsidRPr="00BA6590">
        <w:rPr>
          <w:lang w:val="en-GB"/>
        </w:rPr>
        <w:t xml:space="preserve"> of the Criminal</w:t>
      </w:r>
      <w:r w:rsidRPr="00BA6590">
        <w:rPr>
          <w:lang w:val="en-GB"/>
        </w:rPr>
        <w:t xml:space="preserve"> Code).</w:t>
      </w:r>
    </w:p>
    <w:p w:rsidR="006411D2" w:rsidRPr="00BA6590" w:rsidRDefault="006411D2" w:rsidP="00D645AE">
      <w:pPr>
        <w:pStyle w:val="SingleTxtG"/>
        <w:rPr>
          <w:lang w:val="en-GB"/>
        </w:rPr>
      </w:pPr>
      <w:r w:rsidRPr="00BA6590">
        <w:rPr>
          <w:lang w:val="en-GB"/>
        </w:rPr>
        <w:t>128.</w:t>
      </w:r>
      <w:r w:rsidRPr="00BA6590">
        <w:rPr>
          <w:lang w:val="en-GB"/>
        </w:rPr>
        <w:tab/>
      </w:r>
      <w:r w:rsidR="00664ECE" w:rsidRPr="00BA6590">
        <w:rPr>
          <w:lang w:val="en-GB"/>
        </w:rPr>
        <w:t xml:space="preserve">Committing the practices of apartheid or other inhuman and degrading practices based on racial discrimination and involving outrages upon personal dignity is considered as a crime under international law when it takes place in the circumstances set out in the Geneva Conventions of </w:t>
      </w:r>
      <w:r w:rsidRPr="00BA6590">
        <w:rPr>
          <w:lang w:val="en-GB"/>
        </w:rPr>
        <w:t xml:space="preserve">12 </w:t>
      </w:r>
      <w:r w:rsidR="00664ECE" w:rsidRPr="00BA6590">
        <w:rPr>
          <w:lang w:val="en-GB"/>
        </w:rPr>
        <w:t>August</w:t>
      </w:r>
      <w:r w:rsidRPr="00BA6590">
        <w:rPr>
          <w:lang w:val="en-GB"/>
        </w:rPr>
        <w:t xml:space="preserve"> 1949 (</w:t>
      </w:r>
      <w:r w:rsidR="00664ECE" w:rsidRPr="00BA6590">
        <w:rPr>
          <w:lang w:val="en-GB"/>
        </w:rPr>
        <w:t xml:space="preserve">and their additional </w:t>
      </w:r>
      <w:r w:rsidR="00D645AE" w:rsidRPr="00BA6590">
        <w:rPr>
          <w:lang w:val="en-GB"/>
        </w:rPr>
        <w:t>P</w:t>
      </w:r>
      <w:r w:rsidR="00664ECE" w:rsidRPr="00BA6590">
        <w:rPr>
          <w:lang w:val="en-GB"/>
        </w:rPr>
        <w:t>rotocol</w:t>
      </w:r>
      <w:r w:rsidRPr="00BA6590">
        <w:rPr>
          <w:lang w:val="en-GB"/>
        </w:rPr>
        <w:t>s)</w:t>
      </w:r>
      <w:r w:rsidR="00664ECE" w:rsidRPr="00BA6590">
        <w:rPr>
          <w:lang w:val="en-GB"/>
        </w:rPr>
        <w:t xml:space="preserve"> and the Rome Statute of the International Criminal Court. This offence is punishable by a prison sentence of </w:t>
      </w:r>
      <w:r w:rsidRPr="00BA6590">
        <w:rPr>
          <w:lang w:val="en-GB"/>
        </w:rPr>
        <w:t xml:space="preserve">10 </w:t>
      </w:r>
      <w:r w:rsidR="00664ECE" w:rsidRPr="00BA6590">
        <w:rPr>
          <w:lang w:val="en-GB"/>
        </w:rPr>
        <w:t>to</w:t>
      </w:r>
      <w:r w:rsidRPr="00BA6590">
        <w:rPr>
          <w:lang w:val="en-GB"/>
        </w:rPr>
        <w:t xml:space="preserve"> 15 </w:t>
      </w:r>
      <w:r w:rsidR="00664ECE" w:rsidRPr="00BA6590">
        <w:rPr>
          <w:lang w:val="en-GB"/>
        </w:rPr>
        <w:t>years</w:t>
      </w:r>
      <w:r w:rsidRPr="00BA6590">
        <w:rPr>
          <w:lang w:val="en-GB"/>
        </w:rPr>
        <w:t>,</w:t>
      </w:r>
      <w:r w:rsidR="00664ECE" w:rsidRPr="00BA6590">
        <w:rPr>
          <w:lang w:val="en-GB"/>
        </w:rPr>
        <w:t xml:space="preserve"> subject to the application of more severe </w:t>
      </w:r>
      <w:r w:rsidR="00BA252D" w:rsidRPr="00BA6590">
        <w:rPr>
          <w:lang w:val="en-GB"/>
        </w:rPr>
        <w:t>penalties for</w:t>
      </w:r>
      <w:r w:rsidR="00664ECE" w:rsidRPr="00BA6590">
        <w:rPr>
          <w:lang w:val="en-GB"/>
        </w:rPr>
        <w:t xml:space="preserve"> grave outrages upon personal dignity</w:t>
      </w:r>
      <w:r w:rsidRPr="00BA6590">
        <w:rPr>
          <w:lang w:val="en-GB"/>
        </w:rPr>
        <w:t xml:space="preserve"> (article 136 </w:t>
      </w:r>
      <w:r w:rsidRPr="00BA6590">
        <w:rPr>
          <w:i/>
          <w:iCs/>
          <w:lang w:val="en-GB"/>
        </w:rPr>
        <w:t>quater</w:t>
      </w:r>
      <w:r w:rsidRPr="00BA6590">
        <w:rPr>
          <w:lang w:val="en-GB"/>
        </w:rPr>
        <w:t xml:space="preserve"> </w:t>
      </w:r>
      <w:r w:rsidR="00664ECE" w:rsidRPr="00BA6590">
        <w:rPr>
          <w:lang w:val="en-GB"/>
        </w:rPr>
        <w:t>of</w:t>
      </w:r>
      <w:r w:rsidRPr="00BA6590">
        <w:rPr>
          <w:lang w:val="en-GB"/>
        </w:rPr>
        <w:t xml:space="preserve"> Tit</w:t>
      </w:r>
      <w:r w:rsidR="00664ECE" w:rsidRPr="00BA6590">
        <w:rPr>
          <w:lang w:val="en-GB"/>
        </w:rPr>
        <w:t>l</w:t>
      </w:r>
      <w:r w:rsidRPr="00BA6590">
        <w:rPr>
          <w:lang w:val="en-GB"/>
        </w:rPr>
        <w:t>e 1</w:t>
      </w:r>
      <w:r w:rsidR="00A55151" w:rsidRPr="00BA6590">
        <w:rPr>
          <w:lang w:val="en-GB"/>
        </w:rPr>
        <w:t xml:space="preserve"> </w:t>
      </w:r>
      <w:r w:rsidRPr="00BA6590">
        <w:rPr>
          <w:i/>
          <w:iCs/>
          <w:lang w:val="en-GB"/>
        </w:rPr>
        <w:t>bis</w:t>
      </w:r>
      <w:r w:rsidRPr="00BA6590">
        <w:rPr>
          <w:lang w:val="en-GB"/>
        </w:rPr>
        <w:t xml:space="preserve"> </w:t>
      </w:r>
      <w:r w:rsidR="00664ECE" w:rsidRPr="00BA6590">
        <w:rPr>
          <w:lang w:val="en-GB"/>
        </w:rPr>
        <w:t>of the Criminal Code</w:t>
      </w:r>
      <w:r w:rsidRPr="00BA6590">
        <w:rPr>
          <w:lang w:val="en-GB"/>
        </w:rPr>
        <w:t>).</w:t>
      </w:r>
    </w:p>
    <w:p w:rsidR="006411D2" w:rsidRPr="00BA6590" w:rsidRDefault="006411D2" w:rsidP="00D645AE">
      <w:pPr>
        <w:pStyle w:val="SingleTxtG"/>
        <w:rPr>
          <w:lang w:val="en-GB"/>
        </w:rPr>
      </w:pPr>
      <w:r w:rsidRPr="00BA6590">
        <w:rPr>
          <w:lang w:val="en-GB"/>
        </w:rPr>
        <w:t>129.</w:t>
      </w:r>
      <w:r w:rsidRPr="00BA6590">
        <w:rPr>
          <w:lang w:val="en-GB"/>
        </w:rPr>
        <w:tab/>
      </w:r>
      <w:r w:rsidR="002F72D9" w:rsidRPr="00BA6590">
        <w:rPr>
          <w:lang w:val="en-GB"/>
        </w:rPr>
        <w:t xml:space="preserve">Furthermore, article </w:t>
      </w:r>
      <w:r w:rsidRPr="00BA6590">
        <w:rPr>
          <w:lang w:val="en-GB"/>
        </w:rPr>
        <w:t>22</w:t>
      </w:r>
      <w:r w:rsidR="002F72D9" w:rsidRPr="00BA6590">
        <w:rPr>
          <w:lang w:val="en-GB"/>
        </w:rPr>
        <w:t xml:space="preserve"> of the Act of 30 July 1981, amended by the </w:t>
      </w:r>
      <w:r w:rsidR="007B1A40" w:rsidRPr="00BA6590">
        <w:rPr>
          <w:lang w:val="en-GB"/>
        </w:rPr>
        <w:t>Act</w:t>
      </w:r>
      <w:r w:rsidR="00C60F91" w:rsidRPr="00BA6590">
        <w:rPr>
          <w:lang w:val="en-GB"/>
        </w:rPr>
        <w:t xml:space="preserve"> of 10 May 2007</w:t>
      </w:r>
      <w:r w:rsidRPr="00BA6590">
        <w:rPr>
          <w:lang w:val="en-GB"/>
        </w:rPr>
        <w:t>,</w:t>
      </w:r>
      <w:r w:rsidR="002F72D9" w:rsidRPr="00BA6590">
        <w:rPr>
          <w:lang w:val="en-GB"/>
        </w:rPr>
        <w:t xml:space="preserve"> punishes any person belonging to a group or association which manifestly and repeatedly advocates racial discrimination or segregation</w:t>
      </w:r>
      <w:r w:rsidRPr="00BA6590">
        <w:rPr>
          <w:lang w:val="en-GB"/>
        </w:rPr>
        <w:t xml:space="preserve"> (</w:t>
      </w:r>
      <w:r w:rsidR="002F72D9" w:rsidRPr="00BA6590">
        <w:rPr>
          <w:lang w:val="en-GB"/>
        </w:rPr>
        <w:t>see above</w:t>
      </w:r>
      <w:r w:rsidRPr="00BA6590">
        <w:rPr>
          <w:lang w:val="en-GB"/>
        </w:rPr>
        <w:t>).</w:t>
      </w:r>
    </w:p>
    <w:p w:rsidR="00E17643" w:rsidRPr="00BA6590" w:rsidRDefault="00E17643" w:rsidP="00E17643">
      <w:pPr>
        <w:pStyle w:val="HChG"/>
        <w:rPr>
          <w:lang w:val="en-GB"/>
        </w:rPr>
      </w:pPr>
      <w:r w:rsidRPr="00BA6590">
        <w:rPr>
          <w:lang w:val="en-GB"/>
        </w:rPr>
        <w:tab/>
      </w:r>
      <w:r w:rsidRPr="00BA6590">
        <w:rPr>
          <w:lang w:val="en-GB"/>
        </w:rPr>
        <w:tab/>
        <w:t>Article 4</w:t>
      </w:r>
      <w:r w:rsidR="0021611B" w:rsidRPr="00BA6590">
        <w:rPr>
          <w:lang w:val="en-GB"/>
        </w:rPr>
        <w:br/>
      </w:r>
      <w:r w:rsidRPr="00BA6590">
        <w:rPr>
          <w:lang w:val="en-GB"/>
        </w:rPr>
        <w:t>Cond</w:t>
      </w:r>
      <w:r w:rsidR="002F72D9" w:rsidRPr="00BA6590">
        <w:rPr>
          <w:lang w:val="en-GB"/>
        </w:rPr>
        <w:t>e</w:t>
      </w:r>
      <w:r w:rsidRPr="00BA6590">
        <w:rPr>
          <w:lang w:val="en-GB"/>
        </w:rPr>
        <w:t>mnation</w:t>
      </w:r>
      <w:r w:rsidR="002F72D9" w:rsidRPr="00BA6590">
        <w:rPr>
          <w:lang w:val="en-GB"/>
        </w:rPr>
        <w:t xml:space="preserve"> of all racist propaganda and organizations</w:t>
      </w:r>
    </w:p>
    <w:p w:rsidR="00E17643" w:rsidRPr="00BA6590" w:rsidRDefault="00E17643" w:rsidP="00E17643">
      <w:pPr>
        <w:pStyle w:val="H1G"/>
        <w:rPr>
          <w:lang w:val="en-GB"/>
        </w:rPr>
      </w:pPr>
      <w:r w:rsidRPr="00BA6590">
        <w:rPr>
          <w:lang w:val="en-GB"/>
        </w:rPr>
        <w:tab/>
        <w:t>A.</w:t>
      </w:r>
      <w:r w:rsidRPr="00BA6590">
        <w:rPr>
          <w:lang w:val="en-GB"/>
        </w:rPr>
        <w:tab/>
      </w:r>
      <w:r w:rsidR="002F72D9" w:rsidRPr="00BA6590">
        <w:rPr>
          <w:lang w:val="en-GB"/>
        </w:rPr>
        <w:t>Prohibiti</w:t>
      </w:r>
      <w:r w:rsidR="00B96C42" w:rsidRPr="00BA6590">
        <w:rPr>
          <w:lang w:val="en-GB"/>
        </w:rPr>
        <w:t>on of all organizations which promote and incite</w:t>
      </w:r>
      <w:r w:rsidR="002F72D9" w:rsidRPr="00BA6590">
        <w:rPr>
          <w:lang w:val="en-GB"/>
        </w:rPr>
        <w:t xml:space="preserve"> racial discrimination </w:t>
      </w:r>
    </w:p>
    <w:p w:rsidR="00E17643" w:rsidRPr="00BA6590" w:rsidRDefault="00E17643" w:rsidP="00E17643">
      <w:pPr>
        <w:pStyle w:val="SingleTxtG"/>
        <w:rPr>
          <w:lang w:val="en-GB"/>
        </w:rPr>
      </w:pPr>
      <w:r w:rsidRPr="00BA6590">
        <w:rPr>
          <w:lang w:val="en-GB"/>
        </w:rPr>
        <w:t>130.</w:t>
      </w:r>
      <w:r w:rsidRPr="00BA6590">
        <w:rPr>
          <w:lang w:val="en-GB"/>
        </w:rPr>
        <w:tab/>
      </w:r>
      <w:r w:rsidR="00B96C42" w:rsidRPr="00BA6590">
        <w:rPr>
          <w:lang w:val="en-GB"/>
        </w:rPr>
        <w:t xml:space="preserve">Combating organizations which incite discrimination and penalizing their members have always been priorities for Belgium. There have been many relevant decisions in that regard, including the following. </w:t>
      </w:r>
    </w:p>
    <w:p w:rsidR="00E17643" w:rsidRPr="00BA6590" w:rsidRDefault="00E17643" w:rsidP="00E17643">
      <w:pPr>
        <w:pStyle w:val="SingleTxtG"/>
        <w:rPr>
          <w:lang w:val="en-GB"/>
        </w:rPr>
      </w:pPr>
      <w:r w:rsidRPr="00BA6590">
        <w:rPr>
          <w:lang w:val="en-GB"/>
        </w:rPr>
        <w:t>131.</w:t>
      </w:r>
      <w:r w:rsidRPr="00BA6590">
        <w:rPr>
          <w:lang w:val="en-GB"/>
        </w:rPr>
        <w:tab/>
      </w:r>
      <w:r w:rsidR="00B96C42" w:rsidRPr="00BA6590">
        <w:rPr>
          <w:lang w:val="en-GB"/>
        </w:rPr>
        <w:t xml:space="preserve">On </w:t>
      </w:r>
      <w:r w:rsidRPr="00BA6590">
        <w:rPr>
          <w:lang w:val="en-GB"/>
        </w:rPr>
        <w:t xml:space="preserve">9 </w:t>
      </w:r>
      <w:r w:rsidR="00B96C42" w:rsidRPr="00BA6590">
        <w:rPr>
          <w:lang w:val="en-GB"/>
        </w:rPr>
        <w:t>March</w:t>
      </w:r>
      <w:r w:rsidRPr="00BA6590">
        <w:rPr>
          <w:lang w:val="en-GB"/>
        </w:rPr>
        <w:t xml:space="preserve"> 2011, </w:t>
      </w:r>
      <w:r w:rsidR="00B96C42" w:rsidRPr="00BA6590">
        <w:rPr>
          <w:lang w:val="en-GB"/>
        </w:rPr>
        <w:t xml:space="preserve">three members of the group </w:t>
      </w:r>
      <w:r w:rsidRPr="00BA6590">
        <w:rPr>
          <w:lang w:val="en-GB"/>
        </w:rPr>
        <w:t>Blood and Honour Vlaanderen,</w:t>
      </w:r>
      <w:r w:rsidR="00B96C42" w:rsidRPr="00BA6590">
        <w:rPr>
          <w:lang w:val="en-GB"/>
        </w:rPr>
        <w:t xml:space="preserve"> known for its organization of neo-Nazi concerts, were sentenced to three months</w:t>
      </w:r>
      <w:r w:rsidR="00A216FB" w:rsidRPr="00BA6590">
        <w:rPr>
          <w:lang w:val="en-GB"/>
        </w:rPr>
        <w:t>’</w:t>
      </w:r>
      <w:r w:rsidR="00B96C42" w:rsidRPr="00BA6590">
        <w:rPr>
          <w:lang w:val="en-GB"/>
        </w:rPr>
        <w:t xml:space="preserve"> imprisonment, suspended for two of them, by the criminal court of </w:t>
      </w:r>
      <w:r w:rsidRPr="00BA6590">
        <w:rPr>
          <w:lang w:val="en-GB"/>
        </w:rPr>
        <w:t>Veurne.</w:t>
      </w:r>
    </w:p>
    <w:p w:rsidR="00E17643" w:rsidRPr="00BA6590" w:rsidRDefault="00E17643" w:rsidP="00E17643">
      <w:pPr>
        <w:pStyle w:val="SingleTxtG"/>
        <w:rPr>
          <w:lang w:val="en-GB"/>
        </w:rPr>
      </w:pPr>
      <w:r w:rsidRPr="00BA6590">
        <w:rPr>
          <w:lang w:val="en-GB"/>
        </w:rPr>
        <w:t>132.</w:t>
      </w:r>
      <w:r w:rsidRPr="00BA6590">
        <w:rPr>
          <w:lang w:val="en-GB"/>
        </w:rPr>
        <w:tab/>
      </w:r>
      <w:r w:rsidR="00B96C42" w:rsidRPr="00BA6590">
        <w:rPr>
          <w:lang w:val="en-GB"/>
        </w:rPr>
        <w:t xml:space="preserve">On </w:t>
      </w:r>
      <w:r w:rsidRPr="00BA6590">
        <w:rPr>
          <w:lang w:val="en-GB"/>
        </w:rPr>
        <w:t xml:space="preserve">10 </w:t>
      </w:r>
      <w:r w:rsidR="00B96C42" w:rsidRPr="00BA6590">
        <w:rPr>
          <w:lang w:val="en-GB"/>
        </w:rPr>
        <w:t>February</w:t>
      </w:r>
      <w:r w:rsidRPr="00BA6590">
        <w:rPr>
          <w:lang w:val="en-GB"/>
        </w:rPr>
        <w:t xml:space="preserve"> 2012,</w:t>
      </w:r>
      <w:r w:rsidR="00B96C42" w:rsidRPr="00BA6590">
        <w:rPr>
          <w:lang w:val="en-GB"/>
        </w:rPr>
        <w:t xml:space="preserve"> the spokesman of the radical Islamic movement </w:t>
      </w:r>
      <w:r w:rsidRPr="00BA6590">
        <w:rPr>
          <w:lang w:val="en-GB"/>
        </w:rPr>
        <w:t>Sharia4Belgium,</w:t>
      </w:r>
      <w:r w:rsidR="00B96C42" w:rsidRPr="00BA6590">
        <w:rPr>
          <w:lang w:val="en-GB"/>
        </w:rPr>
        <w:t xml:space="preserve"> prosecuted for incitement to hatred and violence towards non-Muslims, was sentenced in absentia</w:t>
      </w:r>
      <w:r w:rsidR="00F55CF4" w:rsidRPr="00BA6590">
        <w:rPr>
          <w:lang w:val="en-GB"/>
        </w:rPr>
        <w:t xml:space="preserve"> to two years</w:t>
      </w:r>
      <w:r w:rsidR="00A216FB" w:rsidRPr="00BA6590">
        <w:rPr>
          <w:lang w:val="en-GB"/>
        </w:rPr>
        <w:t>’</w:t>
      </w:r>
      <w:r w:rsidR="00F55CF4" w:rsidRPr="00BA6590">
        <w:rPr>
          <w:lang w:val="en-GB"/>
        </w:rPr>
        <w:t xml:space="preserve"> imprisonment</w:t>
      </w:r>
      <w:r w:rsidR="00FE2B4F" w:rsidRPr="00BA6590">
        <w:rPr>
          <w:lang w:val="en-GB"/>
        </w:rPr>
        <w:t xml:space="preserve"> and a fine of €550 by the criminal court of Antwerp.</w:t>
      </w:r>
      <w:r w:rsidR="00484988" w:rsidRPr="00BA6590">
        <w:rPr>
          <w:lang w:val="en-GB"/>
        </w:rPr>
        <w:t xml:space="preserve"> The verdict was confirmed on </w:t>
      </w:r>
      <w:r w:rsidRPr="00BA6590">
        <w:rPr>
          <w:lang w:val="en-GB"/>
        </w:rPr>
        <w:t xml:space="preserve">30 </w:t>
      </w:r>
      <w:r w:rsidR="00484988" w:rsidRPr="00BA6590">
        <w:rPr>
          <w:lang w:val="en-GB"/>
        </w:rPr>
        <w:t>March</w:t>
      </w:r>
      <w:r w:rsidRPr="00BA6590">
        <w:rPr>
          <w:lang w:val="en-GB"/>
        </w:rPr>
        <w:t xml:space="preserve"> 2012</w:t>
      </w:r>
      <w:r w:rsidR="00484988" w:rsidRPr="00BA6590">
        <w:rPr>
          <w:lang w:val="en-GB"/>
        </w:rPr>
        <w:t xml:space="preserve">, although the sentence was slightly reduced. The movement wishes to </w:t>
      </w:r>
      <w:r w:rsidR="00BA252D" w:rsidRPr="00BA6590">
        <w:rPr>
          <w:lang w:val="en-GB"/>
        </w:rPr>
        <w:t>establish</w:t>
      </w:r>
      <w:r w:rsidR="00484988" w:rsidRPr="00BA6590">
        <w:rPr>
          <w:lang w:val="en-GB"/>
        </w:rPr>
        <w:t xml:space="preserve"> sharia law in Europe and is well known in Belgium. Its spokesman has also been the subject of other prosecutions and convictions for similar activities. </w:t>
      </w:r>
    </w:p>
    <w:p w:rsidR="00E17643" w:rsidRPr="00BA6590" w:rsidRDefault="00E17643" w:rsidP="00E17643">
      <w:pPr>
        <w:pStyle w:val="SingleTxtG"/>
        <w:rPr>
          <w:lang w:val="en-GB"/>
        </w:rPr>
      </w:pPr>
      <w:r w:rsidRPr="00BA6590">
        <w:rPr>
          <w:lang w:val="en-GB"/>
        </w:rPr>
        <w:t>133.</w:t>
      </w:r>
      <w:r w:rsidRPr="00BA6590">
        <w:rPr>
          <w:lang w:val="en-GB"/>
        </w:rPr>
        <w:tab/>
      </w:r>
      <w:r w:rsidR="00016329" w:rsidRPr="00BA6590">
        <w:rPr>
          <w:lang w:val="en-GB"/>
        </w:rPr>
        <w:t>A number of draft laws relating to the banning of undemocratic groups are currently before Parliament. This issue has recently received particular attention</w:t>
      </w:r>
      <w:r w:rsidR="00484988" w:rsidRPr="00BA6590">
        <w:rPr>
          <w:lang w:val="en-GB"/>
        </w:rPr>
        <w:t xml:space="preserve"> </w:t>
      </w:r>
      <w:r w:rsidR="00016329" w:rsidRPr="00BA6590">
        <w:rPr>
          <w:lang w:val="en-GB"/>
        </w:rPr>
        <w:t>from the Government following the trouble generated by Sharia4Belgium in M</w:t>
      </w:r>
      <w:r w:rsidRPr="00BA6590">
        <w:rPr>
          <w:lang w:val="en-GB"/>
        </w:rPr>
        <w:t>a</w:t>
      </w:r>
      <w:r w:rsidR="00016329" w:rsidRPr="00BA6590">
        <w:rPr>
          <w:lang w:val="en-GB"/>
        </w:rPr>
        <w:t>y</w:t>
      </w:r>
      <w:r w:rsidRPr="00BA6590">
        <w:rPr>
          <w:lang w:val="en-GB"/>
        </w:rPr>
        <w:t xml:space="preserve"> 2012.</w:t>
      </w:r>
      <w:r w:rsidR="00016329" w:rsidRPr="00BA6590">
        <w:rPr>
          <w:lang w:val="en-GB"/>
        </w:rPr>
        <w:t xml:space="preserve"> The proposed laws, submitted in </w:t>
      </w:r>
      <w:r w:rsidRPr="00BA6590">
        <w:rPr>
          <w:lang w:val="en-GB"/>
        </w:rPr>
        <w:t xml:space="preserve">2010 </w:t>
      </w:r>
      <w:r w:rsidR="00016329" w:rsidRPr="00BA6590">
        <w:rPr>
          <w:lang w:val="en-GB"/>
        </w:rPr>
        <w:t>and</w:t>
      </w:r>
      <w:r w:rsidRPr="00BA6590">
        <w:rPr>
          <w:lang w:val="en-GB"/>
        </w:rPr>
        <w:t xml:space="preserve"> 2011,</w:t>
      </w:r>
      <w:r w:rsidR="00016329" w:rsidRPr="00BA6590">
        <w:rPr>
          <w:lang w:val="en-GB"/>
        </w:rPr>
        <w:t xml:space="preserve"> aim to combat neo-Nazism but are also intended to tackle other radical phenomena.</w:t>
      </w:r>
    </w:p>
    <w:p w:rsidR="00E17643" w:rsidRPr="00BA6590" w:rsidRDefault="007E0E99" w:rsidP="007E0E99">
      <w:pPr>
        <w:pStyle w:val="H1G"/>
        <w:rPr>
          <w:lang w:val="en-GB"/>
        </w:rPr>
      </w:pPr>
      <w:r w:rsidRPr="00BA6590">
        <w:rPr>
          <w:lang w:val="en-GB"/>
        </w:rPr>
        <w:tab/>
      </w:r>
      <w:r w:rsidR="00E17643" w:rsidRPr="00BA6590">
        <w:rPr>
          <w:lang w:val="en-GB"/>
        </w:rPr>
        <w:t>B.</w:t>
      </w:r>
      <w:r w:rsidR="00E17643" w:rsidRPr="00BA6590">
        <w:rPr>
          <w:lang w:val="en-GB"/>
        </w:rPr>
        <w:tab/>
      </w:r>
      <w:r w:rsidR="004C0E7E" w:rsidRPr="00BA6590">
        <w:rPr>
          <w:lang w:val="en-GB"/>
        </w:rPr>
        <w:t xml:space="preserve">Funding of parties which threaten freedom – </w:t>
      </w:r>
      <w:r w:rsidR="00E17643" w:rsidRPr="00BA6590">
        <w:rPr>
          <w:lang w:val="en-GB"/>
        </w:rPr>
        <w:t>Vlaams Belang</w:t>
      </w:r>
    </w:p>
    <w:p w:rsidR="00E17643" w:rsidRPr="00BA6590" w:rsidRDefault="00E17643" w:rsidP="00E17643">
      <w:pPr>
        <w:pStyle w:val="SingleTxtG"/>
        <w:rPr>
          <w:lang w:val="en-GB"/>
        </w:rPr>
      </w:pPr>
      <w:r w:rsidRPr="00BA6590">
        <w:rPr>
          <w:lang w:val="en-GB"/>
        </w:rPr>
        <w:t>134.</w:t>
      </w:r>
      <w:r w:rsidRPr="00BA6590">
        <w:rPr>
          <w:lang w:val="en-GB"/>
        </w:rPr>
        <w:tab/>
      </w:r>
      <w:r w:rsidR="004C0E7E" w:rsidRPr="00BA6590">
        <w:rPr>
          <w:lang w:val="en-GB"/>
        </w:rPr>
        <w:t xml:space="preserve">As the Committee noted in its recommendations, a submission based on article 15 </w:t>
      </w:r>
      <w:r w:rsidR="004C0E7E" w:rsidRPr="00BA6590">
        <w:rPr>
          <w:i/>
          <w:iCs/>
          <w:lang w:val="en-GB"/>
        </w:rPr>
        <w:t>ter</w:t>
      </w:r>
      <w:r w:rsidR="004C0E7E" w:rsidRPr="00BA6590">
        <w:rPr>
          <w:lang w:val="en-GB"/>
        </w:rPr>
        <w:t xml:space="preserve"> of the </w:t>
      </w:r>
      <w:r w:rsidR="00A216FB" w:rsidRPr="00BA6590">
        <w:rPr>
          <w:lang w:val="en-GB"/>
        </w:rPr>
        <w:t>“</w:t>
      </w:r>
      <w:r w:rsidR="00CC63EF" w:rsidRPr="00BA6590">
        <w:rPr>
          <w:lang w:val="en-GB"/>
        </w:rPr>
        <w:t>draining law</w:t>
      </w:r>
      <w:r w:rsidR="00A216FB" w:rsidRPr="00BA6590">
        <w:rPr>
          <w:lang w:val="en-GB"/>
        </w:rPr>
        <w:t>”</w:t>
      </w:r>
      <w:r w:rsidR="00CC63EF" w:rsidRPr="00BA6590">
        <w:rPr>
          <w:lang w:val="en-GB"/>
        </w:rPr>
        <w:t xml:space="preserve"> </w:t>
      </w:r>
      <w:r w:rsidR="00CC63EF" w:rsidRPr="00BA6590">
        <w:rPr>
          <w:i/>
          <w:lang w:val="en-GB"/>
        </w:rPr>
        <w:t>(droogleggingswet)</w:t>
      </w:r>
      <w:r w:rsidR="004C0E7E" w:rsidRPr="00BA6590">
        <w:rPr>
          <w:lang w:val="en-GB"/>
        </w:rPr>
        <w:t xml:space="preserve"> of </w:t>
      </w:r>
      <w:r w:rsidRPr="00BA6590">
        <w:rPr>
          <w:lang w:val="en-GB"/>
        </w:rPr>
        <w:t xml:space="preserve">4 </w:t>
      </w:r>
      <w:r w:rsidR="004C0E7E" w:rsidRPr="00BA6590">
        <w:rPr>
          <w:lang w:val="en-GB"/>
        </w:rPr>
        <w:t>July</w:t>
      </w:r>
      <w:r w:rsidRPr="00BA6590">
        <w:rPr>
          <w:lang w:val="en-GB"/>
        </w:rPr>
        <w:t xml:space="preserve"> 1989</w:t>
      </w:r>
      <w:r w:rsidR="00BA252D" w:rsidRPr="00BA6590">
        <w:rPr>
          <w:lang w:val="en-GB"/>
        </w:rPr>
        <w:t xml:space="preserve"> was submitted to the Council of State on 17 May 2006</w:t>
      </w:r>
      <w:r w:rsidR="004C0E7E" w:rsidRPr="00BA6590">
        <w:rPr>
          <w:lang w:val="en-GB"/>
        </w:rPr>
        <w:t xml:space="preserve">, seeking to remove the State funding allocated to </w:t>
      </w:r>
      <w:r w:rsidRPr="00BA6590">
        <w:rPr>
          <w:lang w:val="en-GB"/>
        </w:rPr>
        <w:t>Vlaams Belang</w:t>
      </w:r>
      <w:r w:rsidR="004C0E7E" w:rsidRPr="00BA6590">
        <w:rPr>
          <w:lang w:val="en-GB"/>
        </w:rPr>
        <w:t xml:space="preserve">. </w:t>
      </w:r>
      <w:r w:rsidR="00BA252D" w:rsidRPr="00BA6590">
        <w:rPr>
          <w:lang w:val="en-GB"/>
        </w:rPr>
        <w:t>The latter</w:t>
      </w:r>
      <w:r w:rsidR="004C0E7E" w:rsidRPr="00BA6590">
        <w:rPr>
          <w:lang w:val="en-GB"/>
        </w:rPr>
        <w:t xml:space="preserve"> was blamed for expressions of hostility towards fundamental rights on many websites belonging to the movement, its components and its agents, from which it had not distanced itself. </w:t>
      </w:r>
    </w:p>
    <w:p w:rsidR="00E17643" w:rsidRPr="00BA6590" w:rsidRDefault="00E17643" w:rsidP="00D645AE">
      <w:pPr>
        <w:pStyle w:val="SingleTxtG"/>
        <w:rPr>
          <w:lang w:val="en-GB"/>
        </w:rPr>
      </w:pPr>
      <w:r w:rsidRPr="00BA6590">
        <w:rPr>
          <w:lang w:val="en-GB"/>
        </w:rPr>
        <w:t>135.</w:t>
      </w:r>
      <w:r w:rsidRPr="00BA6590">
        <w:rPr>
          <w:lang w:val="en-GB"/>
        </w:rPr>
        <w:tab/>
      </w:r>
      <w:r w:rsidR="004C0E7E" w:rsidRPr="00BA6590">
        <w:rPr>
          <w:lang w:val="en-GB"/>
        </w:rPr>
        <w:t xml:space="preserve">At the request of </w:t>
      </w:r>
      <w:r w:rsidRPr="00BA6590">
        <w:rPr>
          <w:lang w:val="en-GB"/>
        </w:rPr>
        <w:t>Vlaams Belang,</w:t>
      </w:r>
      <w:r w:rsidR="004C0E7E" w:rsidRPr="00BA6590">
        <w:rPr>
          <w:lang w:val="en-GB"/>
        </w:rPr>
        <w:t xml:space="preserve"> </w:t>
      </w:r>
      <w:r w:rsidR="00B9030A" w:rsidRPr="00BA6590">
        <w:rPr>
          <w:lang w:val="en-GB"/>
        </w:rPr>
        <w:t xml:space="preserve">the Constitutional Court considered a number of requests for preliminary rulings relating to the compatibility of the aforementioned article 15 with freedom of expression and freedom of assembly and association. </w:t>
      </w:r>
      <w:r w:rsidR="00432228" w:rsidRPr="00BA6590">
        <w:rPr>
          <w:lang w:val="en-GB"/>
        </w:rPr>
        <w:t>The Court confirmed</w:t>
      </w:r>
      <w:r w:rsidR="00B33E92" w:rsidRPr="00BA6590">
        <w:rPr>
          <w:rStyle w:val="FootnoteReference"/>
          <w:lang w:val="en-GB"/>
        </w:rPr>
        <w:footnoteReference w:id="20"/>
      </w:r>
      <w:r w:rsidRPr="00BA6590">
        <w:rPr>
          <w:lang w:val="en-GB"/>
        </w:rPr>
        <w:t xml:space="preserve"> </w:t>
      </w:r>
      <w:r w:rsidR="00432228" w:rsidRPr="00BA6590">
        <w:rPr>
          <w:lang w:val="en-GB"/>
        </w:rPr>
        <w:t xml:space="preserve">that article 15 could not be judged to be contrary to those liberties provided that it was interpreted in the manner set out in its decision </w:t>
      </w:r>
      <w:r w:rsidR="00DC18EF" w:rsidRPr="00BA6590">
        <w:rPr>
          <w:lang w:val="en-GB"/>
        </w:rPr>
        <w:t>No</w:t>
      </w:r>
      <w:r w:rsidR="00432228" w:rsidRPr="00BA6590">
        <w:rPr>
          <w:lang w:val="en-GB"/>
        </w:rPr>
        <w:t xml:space="preserve">. </w:t>
      </w:r>
      <w:r w:rsidRPr="00BA6590">
        <w:rPr>
          <w:lang w:val="en-GB"/>
        </w:rPr>
        <w:t xml:space="preserve">10/2001 </w:t>
      </w:r>
      <w:r w:rsidR="00432228" w:rsidRPr="00BA6590">
        <w:rPr>
          <w:lang w:val="en-GB"/>
        </w:rPr>
        <w:t>of</w:t>
      </w:r>
      <w:r w:rsidRPr="00BA6590">
        <w:rPr>
          <w:lang w:val="en-GB"/>
        </w:rPr>
        <w:t xml:space="preserve"> 7 </w:t>
      </w:r>
      <w:r w:rsidR="00432228" w:rsidRPr="00BA6590">
        <w:rPr>
          <w:lang w:val="en-GB"/>
        </w:rPr>
        <w:t>February</w:t>
      </w:r>
      <w:r w:rsidRPr="00BA6590">
        <w:rPr>
          <w:lang w:val="en-GB"/>
        </w:rPr>
        <w:t xml:space="preserve"> 2001,</w:t>
      </w:r>
      <w:r w:rsidR="00432228" w:rsidRPr="00BA6590">
        <w:rPr>
          <w:lang w:val="en-GB"/>
        </w:rPr>
        <w:t xml:space="preserve"> in which it had clarified the concept of </w:t>
      </w:r>
      <w:r w:rsidR="00A216FB" w:rsidRPr="00BA6590">
        <w:rPr>
          <w:lang w:val="en-GB"/>
        </w:rPr>
        <w:t>“</w:t>
      </w:r>
      <w:r w:rsidR="00432228" w:rsidRPr="00BA6590">
        <w:rPr>
          <w:lang w:val="en-GB"/>
        </w:rPr>
        <w:t>hostility</w:t>
      </w:r>
      <w:r w:rsidR="00A216FB" w:rsidRPr="00BA6590">
        <w:rPr>
          <w:lang w:val="en-GB"/>
        </w:rPr>
        <w:t>”</w:t>
      </w:r>
      <w:r w:rsidRPr="00BA6590">
        <w:rPr>
          <w:lang w:val="en-GB"/>
        </w:rPr>
        <w:t xml:space="preserve"> (</w:t>
      </w:r>
      <w:r w:rsidR="00432228" w:rsidRPr="00BA6590">
        <w:rPr>
          <w:lang w:val="en-GB"/>
        </w:rPr>
        <w:t xml:space="preserve">as used in </w:t>
      </w:r>
      <w:r w:rsidRPr="00BA6590">
        <w:rPr>
          <w:lang w:val="en-GB"/>
        </w:rPr>
        <w:t xml:space="preserve">article 15 </w:t>
      </w:r>
      <w:r w:rsidRPr="00BA6590">
        <w:rPr>
          <w:i/>
          <w:iCs/>
          <w:lang w:val="en-GB"/>
        </w:rPr>
        <w:t>ter</w:t>
      </w:r>
      <w:r w:rsidRPr="00BA6590">
        <w:rPr>
          <w:lang w:val="en-GB"/>
        </w:rPr>
        <w:t>),</w:t>
      </w:r>
      <w:r w:rsidR="00432228" w:rsidRPr="00BA6590">
        <w:rPr>
          <w:lang w:val="en-GB"/>
        </w:rPr>
        <w:t xml:space="preserve"> which could only be understood as manifest incitement to violate a current legal rule </w:t>
      </w:r>
      <w:r w:rsidRPr="00BA6590">
        <w:rPr>
          <w:lang w:val="en-GB"/>
        </w:rPr>
        <w:t>(</w:t>
      </w:r>
      <w:r w:rsidR="00432228" w:rsidRPr="00BA6590">
        <w:rPr>
          <w:lang w:val="en-GB"/>
        </w:rPr>
        <w:t>for example, incitement to commit acts of violence and to oppose the philosophy of the European Convention on Human Rights and its protocols and the rules mentioned therein</w:t>
      </w:r>
      <w:r w:rsidRPr="00BA6590">
        <w:rPr>
          <w:lang w:val="en-GB"/>
        </w:rPr>
        <w:t>).</w:t>
      </w:r>
    </w:p>
    <w:p w:rsidR="00E17643" w:rsidRPr="00BA6590" w:rsidRDefault="00E17643" w:rsidP="00D645AE">
      <w:pPr>
        <w:pStyle w:val="SingleTxtG"/>
        <w:rPr>
          <w:lang w:val="en-GB"/>
        </w:rPr>
      </w:pPr>
      <w:r w:rsidRPr="00BA6590">
        <w:rPr>
          <w:lang w:val="en-GB"/>
        </w:rPr>
        <w:t>136.</w:t>
      </w:r>
      <w:r w:rsidRPr="00BA6590">
        <w:rPr>
          <w:lang w:val="en-GB"/>
        </w:rPr>
        <w:tab/>
      </w:r>
      <w:r w:rsidR="00432228" w:rsidRPr="00BA6590">
        <w:rPr>
          <w:lang w:val="en-GB"/>
        </w:rPr>
        <w:t xml:space="preserve">Consequently, it is not the expression of an opinion which must be taken into consideration for the application of </w:t>
      </w:r>
      <w:r w:rsidRPr="00BA6590">
        <w:rPr>
          <w:lang w:val="en-GB"/>
        </w:rPr>
        <w:t>article 15</w:t>
      </w:r>
      <w:r w:rsidR="00A55151" w:rsidRPr="00BA6590">
        <w:rPr>
          <w:lang w:val="en-GB"/>
        </w:rPr>
        <w:t xml:space="preserve"> </w:t>
      </w:r>
      <w:r w:rsidRPr="00BA6590">
        <w:rPr>
          <w:i/>
          <w:iCs/>
          <w:lang w:val="en-GB"/>
        </w:rPr>
        <w:t>ter</w:t>
      </w:r>
      <w:r w:rsidRPr="00BA6590">
        <w:rPr>
          <w:lang w:val="en-GB"/>
        </w:rPr>
        <w:t xml:space="preserve"> </w:t>
      </w:r>
      <w:r w:rsidR="00432228" w:rsidRPr="00BA6590">
        <w:rPr>
          <w:lang w:val="en-GB"/>
        </w:rPr>
        <w:t xml:space="preserve">but the </w:t>
      </w:r>
      <w:r w:rsidR="002F5CD1" w:rsidRPr="00BA6590">
        <w:rPr>
          <w:lang w:val="en-GB"/>
        </w:rPr>
        <w:t>consequences of</w:t>
      </w:r>
      <w:r w:rsidR="00432228" w:rsidRPr="00BA6590">
        <w:rPr>
          <w:lang w:val="en-GB"/>
        </w:rPr>
        <w:t xml:space="preserve"> that expression. The question of whether an opinion undeniably incites people to violate one of the essential principles of democracy must therefore be considered a</w:t>
      </w:r>
      <w:r w:rsidR="00206BBF" w:rsidRPr="00BA6590">
        <w:rPr>
          <w:lang w:val="en-GB"/>
        </w:rPr>
        <w:t>ccording to its contents and</w:t>
      </w:r>
      <w:r w:rsidR="00432228" w:rsidRPr="00BA6590">
        <w:rPr>
          <w:lang w:val="en-GB"/>
        </w:rPr>
        <w:t xml:space="preserve"> context. </w:t>
      </w:r>
      <w:r w:rsidR="00206BBF" w:rsidRPr="00BA6590">
        <w:rPr>
          <w:lang w:val="en-GB"/>
        </w:rPr>
        <w:t>There is also a requirement to</w:t>
      </w:r>
      <w:r w:rsidR="00432228" w:rsidRPr="00BA6590">
        <w:rPr>
          <w:lang w:val="en-GB"/>
        </w:rPr>
        <w:t xml:space="preserve"> demonstrate the existence of a specific hostile moral element, necessarily entailing the presence of strong feelings and thoughts of rejection, hatred and ill will.</w:t>
      </w:r>
    </w:p>
    <w:p w:rsidR="00E17643" w:rsidRPr="00BA6590" w:rsidRDefault="00E17643" w:rsidP="00BA355C">
      <w:pPr>
        <w:pStyle w:val="SingleTxtG"/>
        <w:rPr>
          <w:lang w:val="en-GB"/>
        </w:rPr>
      </w:pPr>
      <w:r w:rsidRPr="00BA6590">
        <w:rPr>
          <w:lang w:val="en-GB"/>
        </w:rPr>
        <w:t>137.</w:t>
      </w:r>
      <w:r w:rsidRPr="00BA6590">
        <w:rPr>
          <w:lang w:val="en-GB"/>
        </w:rPr>
        <w:tab/>
      </w:r>
      <w:r w:rsidR="00C100A7" w:rsidRPr="00BA6590">
        <w:rPr>
          <w:lang w:val="en-GB"/>
        </w:rPr>
        <w:t>In light of these principles, the Council of State</w:t>
      </w:r>
      <w:r w:rsidRPr="00BA6590">
        <w:rPr>
          <w:lang w:val="en-GB"/>
        </w:rPr>
        <w:t xml:space="preserve"> </w:t>
      </w:r>
      <w:r w:rsidR="00C100A7" w:rsidRPr="00BA6590">
        <w:rPr>
          <w:lang w:val="en-GB"/>
        </w:rPr>
        <w:t>described the ideas expressed as acerbic and contentious and recognized that they were likely to arouse animosity between certain parts of society and ultimately to contribute to polarization and a climate of intolerance.</w:t>
      </w:r>
      <w:r w:rsidR="00BA252D" w:rsidRPr="00BA6590">
        <w:rPr>
          <w:rStyle w:val="FootnoteReference"/>
          <w:lang w:val="en-GB"/>
        </w:rPr>
        <w:footnoteReference w:id="21"/>
      </w:r>
      <w:r w:rsidR="00C100A7" w:rsidRPr="00BA6590">
        <w:rPr>
          <w:lang w:val="en-GB"/>
        </w:rPr>
        <w:t xml:space="preserve"> Nonetheless, although it judged that those ideas were frankly worrying and likely to offend and be hurtful, </w:t>
      </w:r>
      <w:r w:rsidR="002F5CD1" w:rsidRPr="00BA6590">
        <w:rPr>
          <w:lang w:val="en-GB"/>
        </w:rPr>
        <w:t xml:space="preserve">it did not consider that they </w:t>
      </w:r>
      <w:r w:rsidR="00A216FB" w:rsidRPr="00BA6590">
        <w:rPr>
          <w:lang w:val="en-GB"/>
        </w:rPr>
        <w:t>“</w:t>
      </w:r>
      <w:r w:rsidR="002F5CD1" w:rsidRPr="00BA6590">
        <w:rPr>
          <w:lang w:val="en-GB"/>
        </w:rPr>
        <w:t>incited</w:t>
      </w:r>
      <w:r w:rsidR="00A216FB" w:rsidRPr="00BA6590">
        <w:rPr>
          <w:lang w:val="en-GB"/>
        </w:rPr>
        <w:t>”</w:t>
      </w:r>
      <w:r w:rsidR="002F5CD1" w:rsidRPr="00BA6590">
        <w:rPr>
          <w:lang w:val="en-GB"/>
        </w:rPr>
        <w:t xml:space="preserve"> violation of a current legal rule in the strict sense in which that verb must be understood. The party, therefore, did not lose its State funding.</w:t>
      </w:r>
      <w:r w:rsidR="001F3CAB" w:rsidRPr="00BA6590">
        <w:rPr>
          <w:lang w:val="en-GB"/>
        </w:rPr>
        <w:t xml:space="preserve"> </w:t>
      </w:r>
    </w:p>
    <w:p w:rsidR="007E0E99" w:rsidRPr="00BA6590" w:rsidRDefault="00E50B98" w:rsidP="00E50B98">
      <w:pPr>
        <w:pStyle w:val="HChG"/>
        <w:rPr>
          <w:lang w:val="en-GB"/>
        </w:rPr>
      </w:pPr>
      <w:r w:rsidRPr="00BA6590">
        <w:rPr>
          <w:lang w:val="en-GB"/>
        </w:rPr>
        <w:tab/>
      </w:r>
      <w:r w:rsidRPr="00BA6590">
        <w:rPr>
          <w:lang w:val="en-GB"/>
        </w:rPr>
        <w:tab/>
        <w:t>Article 5</w:t>
      </w:r>
      <w:r w:rsidR="0021611B" w:rsidRPr="00BA6590">
        <w:rPr>
          <w:lang w:val="en-GB"/>
        </w:rPr>
        <w:br/>
      </w:r>
      <w:r w:rsidR="002F72D9" w:rsidRPr="00BA6590">
        <w:rPr>
          <w:lang w:val="en-GB"/>
        </w:rPr>
        <w:t>Prohibition of discrimination in all its forms</w:t>
      </w:r>
    </w:p>
    <w:p w:rsidR="00E50B98" w:rsidRPr="00BA6590" w:rsidRDefault="00E50B98" w:rsidP="00F55CF4">
      <w:pPr>
        <w:pStyle w:val="H1G"/>
        <w:rPr>
          <w:lang w:val="en-GB"/>
        </w:rPr>
      </w:pPr>
      <w:r w:rsidRPr="00BA6590">
        <w:rPr>
          <w:lang w:val="en-GB"/>
        </w:rPr>
        <w:tab/>
        <w:t>A.</w:t>
      </w:r>
      <w:r w:rsidRPr="00BA6590">
        <w:rPr>
          <w:lang w:val="en-GB"/>
        </w:rPr>
        <w:tab/>
      </w:r>
      <w:r w:rsidR="00F55CF4" w:rsidRPr="00BA6590">
        <w:rPr>
          <w:lang w:val="en-GB"/>
        </w:rPr>
        <w:t>Updating of provisions relating to certain foreigners living in Belgium</w:t>
      </w:r>
    </w:p>
    <w:p w:rsidR="00E50B98" w:rsidRPr="00BA6590" w:rsidRDefault="00E50B98" w:rsidP="00E50B98">
      <w:pPr>
        <w:pStyle w:val="H23G"/>
        <w:rPr>
          <w:lang w:val="en-GB"/>
        </w:rPr>
      </w:pPr>
      <w:r w:rsidRPr="00BA6590">
        <w:rPr>
          <w:lang w:val="en-GB"/>
        </w:rPr>
        <w:tab/>
        <w:t>1.</w:t>
      </w:r>
      <w:r w:rsidRPr="00BA6590">
        <w:rPr>
          <w:lang w:val="en-GB"/>
        </w:rPr>
        <w:tab/>
      </w:r>
      <w:r w:rsidR="00206BBF" w:rsidRPr="00BA6590">
        <w:rPr>
          <w:lang w:val="en-GB"/>
        </w:rPr>
        <w:t>Procedure before the</w:t>
      </w:r>
      <w:r w:rsidRPr="00BA6590">
        <w:rPr>
          <w:lang w:val="en-GB"/>
        </w:rPr>
        <w:t xml:space="preserve"> </w:t>
      </w:r>
      <w:r w:rsidR="00206BBF" w:rsidRPr="00BA6590">
        <w:rPr>
          <w:lang w:val="en-GB"/>
        </w:rPr>
        <w:t>Aliens Litigation Council</w:t>
      </w:r>
    </w:p>
    <w:p w:rsidR="00E50B98" w:rsidRPr="00BA6590" w:rsidRDefault="00E50B98" w:rsidP="00E50B98">
      <w:pPr>
        <w:pStyle w:val="H4G"/>
        <w:rPr>
          <w:lang w:val="en-GB"/>
        </w:rPr>
      </w:pPr>
      <w:r w:rsidRPr="00BA6590">
        <w:rPr>
          <w:lang w:val="en-GB"/>
        </w:rPr>
        <w:tab/>
      </w:r>
      <w:r w:rsidRPr="00BA6590">
        <w:rPr>
          <w:lang w:val="en-GB"/>
        </w:rPr>
        <w:tab/>
      </w:r>
      <w:r w:rsidR="00206BBF" w:rsidRPr="00BA6590">
        <w:rPr>
          <w:lang w:val="en-GB"/>
        </w:rPr>
        <w:t xml:space="preserve">Act of </w:t>
      </w:r>
      <w:r w:rsidRPr="00BA6590">
        <w:rPr>
          <w:lang w:val="en-GB"/>
        </w:rPr>
        <w:t xml:space="preserve">15 </w:t>
      </w:r>
      <w:r w:rsidR="00206BBF" w:rsidRPr="00BA6590">
        <w:rPr>
          <w:lang w:val="en-GB"/>
        </w:rPr>
        <w:t>S</w:t>
      </w:r>
      <w:r w:rsidRPr="00BA6590">
        <w:rPr>
          <w:lang w:val="en-GB"/>
        </w:rPr>
        <w:t>eptemb</w:t>
      </w:r>
      <w:r w:rsidR="00206BBF" w:rsidRPr="00BA6590">
        <w:rPr>
          <w:lang w:val="en-GB"/>
        </w:rPr>
        <w:t>er</w:t>
      </w:r>
      <w:r w:rsidRPr="00BA6590">
        <w:rPr>
          <w:lang w:val="en-GB"/>
        </w:rPr>
        <w:t xml:space="preserve"> 2006</w:t>
      </w:r>
      <w:r w:rsidR="00206BBF" w:rsidRPr="00BA6590">
        <w:rPr>
          <w:lang w:val="en-GB"/>
        </w:rPr>
        <w:t>,</w:t>
      </w:r>
      <w:r w:rsidR="00C60F91" w:rsidRPr="00BA6590">
        <w:rPr>
          <w:lang w:val="en-GB"/>
        </w:rPr>
        <w:t xml:space="preserve"> reforming the Council of State and</w:t>
      </w:r>
      <w:r w:rsidR="00206BBF" w:rsidRPr="00BA6590">
        <w:rPr>
          <w:lang w:val="en-GB"/>
        </w:rPr>
        <w:t xml:space="preserve"> creating an</w:t>
      </w:r>
      <w:r w:rsidRPr="00BA6590">
        <w:rPr>
          <w:lang w:val="en-GB"/>
        </w:rPr>
        <w:t xml:space="preserve"> </w:t>
      </w:r>
      <w:r w:rsidR="00206BBF" w:rsidRPr="00BA6590">
        <w:rPr>
          <w:lang w:val="en-GB"/>
        </w:rPr>
        <w:t xml:space="preserve">Aliens </w:t>
      </w:r>
      <w:r w:rsidR="0021611B" w:rsidRPr="00BA6590">
        <w:rPr>
          <w:lang w:val="en-GB"/>
        </w:rPr>
        <w:br/>
      </w:r>
      <w:r w:rsidR="00206BBF" w:rsidRPr="00BA6590">
        <w:rPr>
          <w:lang w:val="en-GB"/>
        </w:rPr>
        <w:t>Litigation Council</w:t>
      </w:r>
      <w:r w:rsidRPr="00BA6590">
        <w:rPr>
          <w:lang w:val="en-GB"/>
        </w:rPr>
        <w:t xml:space="preserve"> (</w:t>
      </w:r>
      <w:r w:rsidR="002420F6" w:rsidRPr="00BA6590">
        <w:rPr>
          <w:lang w:val="en-GB"/>
        </w:rPr>
        <w:t>Moniteur belge</w:t>
      </w:r>
      <w:r w:rsidRPr="00BA6590">
        <w:rPr>
          <w:lang w:val="en-GB"/>
        </w:rPr>
        <w:t xml:space="preserve">, 6 </w:t>
      </w:r>
      <w:r w:rsidR="00206BBF" w:rsidRPr="00BA6590">
        <w:rPr>
          <w:lang w:val="en-GB"/>
        </w:rPr>
        <w:t>October</w:t>
      </w:r>
      <w:r w:rsidRPr="00BA6590">
        <w:rPr>
          <w:lang w:val="en-GB"/>
        </w:rPr>
        <w:t xml:space="preserve"> 2006)</w:t>
      </w:r>
    </w:p>
    <w:p w:rsidR="00E50B98" w:rsidRPr="00BA6590" w:rsidRDefault="00E50B98" w:rsidP="00E50B98">
      <w:pPr>
        <w:pStyle w:val="SingleTxtG"/>
        <w:rPr>
          <w:lang w:val="en-GB"/>
        </w:rPr>
      </w:pPr>
      <w:r w:rsidRPr="00BA6590">
        <w:rPr>
          <w:lang w:val="en-GB"/>
        </w:rPr>
        <w:t>138.</w:t>
      </w:r>
      <w:r w:rsidRPr="00BA6590">
        <w:rPr>
          <w:lang w:val="en-GB"/>
        </w:rPr>
        <w:tab/>
      </w:r>
      <w:r w:rsidR="00206BBF" w:rsidRPr="00BA6590">
        <w:rPr>
          <w:lang w:val="en-GB"/>
        </w:rPr>
        <w:t>This Act, setting out a number of measures to absorb and control the backlog of cases before the Council of State, provides for the latter to concentrate on its two central tasks</w:t>
      </w:r>
      <w:r w:rsidR="00F211BF" w:rsidRPr="00BA6590">
        <w:rPr>
          <w:lang w:val="en-GB"/>
        </w:rPr>
        <w:t xml:space="preserve">, namely its advisory and </w:t>
      </w:r>
      <w:r w:rsidR="009C436C" w:rsidRPr="00BA6590">
        <w:rPr>
          <w:lang w:val="en-GB"/>
        </w:rPr>
        <w:t>jurisdictional functions</w:t>
      </w:r>
      <w:r w:rsidR="00206BBF" w:rsidRPr="00BA6590">
        <w:rPr>
          <w:lang w:val="en-GB"/>
        </w:rPr>
        <w:t>.</w:t>
      </w:r>
      <w:r w:rsidR="009C436C" w:rsidRPr="00BA6590">
        <w:rPr>
          <w:lang w:val="en-GB"/>
        </w:rPr>
        <w:t xml:space="preserve"> Certain non-jurisdictional tasks which had still been carried out by its administrative section were abolished. The Council</w:t>
      </w:r>
      <w:r w:rsidR="00A216FB" w:rsidRPr="00BA6590">
        <w:rPr>
          <w:lang w:val="en-GB"/>
        </w:rPr>
        <w:t>’</w:t>
      </w:r>
      <w:r w:rsidR="009C436C" w:rsidRPr="00BA6590">
        <w:rPr>
          <w:lang w:val="en-GB"/>
        </w:rPr>
        <w:t xml:space="preserve">s power to decide cases relating to individual decisions affecting foreign nationals was reallocated to a new </w:t>
      </w:r>
      <w:r w:rsidR="00206BBF" w:rsidRPr="00BA6590">
        <w:rPr>
          <w:lang w:val="en-GB"/>
        </w:rPr>
        <w:t>Aliens Litigation Council</w:t>
      </w:r>
      <w:r w:rsidR="009C436C" w:rsidRPr="00BA6590">
        <w:rPr>
          <w:lang w:val="en-GB"/>
        </w:rPr>
        <w:t>, which also took over all the tasks of the Permanent Refugee Appeals Commission</w:t>
      </w:r>
      <w:r w:rsidRPr="00BA6590">
        <w:rPr>
          <w:lang w:val="en-GB"/>
        </w:rPr>
        <w:t>.</w:t>
      </w:r>
    </w:p>
    <w:p w:rsidR="00E50B98" w:rsidRPr="00BA6590" w:rsidRDefault="00E50B98" w:rsidP="00E50B98">
      <w:pPr>
        <w:pStyle w:val="H4G"/>
        <w:rPr>
          <w:lang w:val="en-GB"/>
        </w:rPr>
      </w:pPr>
      <w:r w:rsidRPr="00BA6590">
        <w:rPr>
          <w:lang w:val="en-GB"/>
        </w:rPr>
        <w:tab/>
      </w:r>
      <w:r w:rsidRPr="00BA6590">
        <w:rPr>
          <w:lang w:val="en-GB"/>
        </w:rPr>
        <w:tab/>
      </w:r>
      <w:r w:rsidR="009C436C" w:rsidRPr="00BA6590">
        <w:rPr>
          <w:lang w:val="en-GB"/>
        </w:rPr>
        <w:t xml:space="preserve">Act of </w:t>
      </w:r>
      <w:r w:rsidRPr="00BA6590">
        <w:rPr>
          <w:lang w:val="en-GB"/>
        </w:rPr>
        <w:t xml:space="preserve">23 </w:t>
      </w:r>
      <w:r w:rsidR="009C436C" w:rsidRPr="00BA6590">
        <w:rPr>
          <w:lang w:val="en-GB"/>
        </w:rPr>
        <w:t>December</w:t>
      </w:r>
      <w:r w:rsidRPr="00BA6590">
        <w:rPr>
          <w:lang w:val="en-GB"/>
        </w:rPr>
        <w:t xml:space="preserve"> 2009</w:t>
      </w:r>
      <w:r w:rsidR="00C60F91" w:rsidRPr="00BA6590">
        <w:rPr>
          <w:lang w:val="en-GB"/>
        </w:rPr>
        <w:t xml:space="preserve"> containing various provisions relating to migration and </w:t>
      </w:r>
      <w:r w:rsidR="0021611B" w:rsidRPr="00BA6590">
        <w:rPr>
          <w:lang w:val="en-GB"/>
        </w:rPr>
        <w:br/>
      </w:r>
      <w:r w:rsidR="00C60F91" w:rsidRPr="00BA6590">
        <w:rPr>
          <w:lang w:val="en-GB"/>
        </w:rPr>
        <w:t>asylum</w:t>
      </w:r>
      <w:r w:rsidRPr="00BA6590">
        <w:rPr>
          <w:lang w:val="en-GB"/>
        </w:rPr>
        <w:t xml:space="preserve"> (</w:t>
      </w:r>
      <w:r w:rsidR="002420F6" w:rsidRPr="00BA6590">
        <w:rPr>
          <w:lang w:val="en-GB"/>
        </w:rPr>
        <w:t>Moniteur belge</w:t>
      </w:r>
      <w:r w:rsidRPr="00BA6590">
        <w:rPr>
          <w:lang w:val="en-GB"/>
        </w:rPr>
        <w:t xml:space="preserve">, 31 </w:t>
      </w:r>
      <w:r w:rsidR="009C436C" w:rsidRPr="00BA6590">
        <w:rPr>
          <w:lang w:val="en-GB"/>
        </w:rPr>
        <w:t>December</w:t>
      </w:r>
      <w:r w:rsidRPr="00BA6590">
        <w:rPr>
          <w:lang w:val="en-GB"/>
        </w:rPr>
        <w:t xml:space="preserve"> 2009)</w:t>
      </w:r>
    </w:p>
    <w:p w:rsidR="00E50B98" w:rsidRPr="00BA6590" w:rsidRDefault="00E50B98" w:rsidP="00E50B98">
      <w:pPr>
        <w:pStyle w:val="SingleTxtG"/>
        <w:rPr>
          <w:lang w:val="en-GB"/>
        </w:rPr>
      </w:pPr>
      <w:r w:rsidRPr="00BA6590">
        <w:rPr>
          <w:lang w:val="en-GB"/>
        </w:rPr>
        <w:t>139.</w:t>
      </w:r>
      <w:r w:rsidRPr="00BA6590">
        <w:rPr>
          <w:lang w:val="en-GB"/>
        </w:rPr>
        <w:tab/>
      </w:r>
      <w:r w:rsidR="009C436C" w:rsidRPr="00BA6590">
        <w:rPr>
          <w:lang w:val="en-GB"/>
        </w:rPr>
        <w:t xml:space="preserve">The purpose of this Act was to abolish the distinction between the 8-day and 15-day deadlines </w:t>
      </w:r>
      <w:r w:rsidR="003C37F4" w:rsidRPr="00BA6590">
        <w:rPr>
          <w:lang w:val="en-GB"/>
        </w:rPr>
        <w:t xml:space="preserve">which had existed in full remedy actions, setting the deadline at 15 days, and temporarily to increase the number of judges available to the </w:t>
      </w:r>
      <w:r w:rsidR="00206BBF" w:rsidRPr="00BA6590">
        <w:rPr>
          <w:lang w:val="en-GB"/>
        </w:rPr>
        <w:t>Aliens Litigation Council</w:t>
      </w:r>
      <w:r w:rsidRPr="00BA6590">
        <w:rPr>
          <w:lang w:val="en-GB"/>
        </w:rPr>
        <w:t>.</w:t>
      </w:r>
    </w:p>
    <w:p w:rsidR="00E50B98" w:rsidRPr="00BA6590" w:rsidRDefault="00E50B98" w:rsidP="00E50B98">
      <w:pPr>
        <w:pStyle w:val="H4G"/>
        <w:rPr>
          <w:lang w:val="en-GB"/>
        </w:rPr>
      </w:pPr>
      <w:r w:rsidRPr="00BA6590">
        <w:rPr>
          <w:lang w:val="en-GB"/>
        </w:rPr>
        <w:tab/>
      </w:r>
      <w:r w:rsidRPr="00BA6590">
        <w:rPr>
          <w:lang w:val="en-GB"/>
        </w:rPr>
        <w:tab/>
      </w:r>
      <w:r w:rsidR="003C37F4" w:rsidRPr="00BA6590">
        <w:rPr>
          <w:lang w:val="en-GB"/>
        </w:rPr>
        <w:t xml:space="preserve">Act of </w:t>
      </w:r>
      <w:r w:rsidRPr="00BA6590">
        <w:rPr>
          <w:lang w:val="en-GB"/>
        </w:rPr>
        <w:t xml:space="preserve">29 </w:t>
      </w:r>
      <w:r w:rsidR="003C37F4" w:rsidRPr="00BA6590">
        <w:rPr>
          <w:lang w:val="en-GB"/>
        </w:rPr>
        <w:t>December</w:t>
      </w:r>
      <w:r w:rsidRPr="00BA6590">
        <w:rPr>
          <w:lang w:val="en-GB"/>
        </w:rPr>
        <w:t xml:space="preserve"> 2010</w:t>
      </w:r>
      <w:r w:rsidR="00C60F91" w:rsidRPr="00BA6590">
        <w:rPr>
          <w:lang w:val="en-GB"/>
        </w:rPr>
        <w:t xml:space="preserve"> containing various provisions</w:t>
      </w:r>
      <w:r w:rsidRPr="00BA6590">
        <w:rPr>
          <w:lang w:val="en-GB"/>
        </w:rPr>
        <w:t xml:space="preserve"> (</w:t>
      </w:r>
      <w:r w:rsidR="002420F6" w:rsidRPr="00BA6590">
        <w:rPr>
          <w:lang w:val="en-GB"/>
        </w:rPr>
        <w:t>Moniteur belge</w:t>
      </w:r>
      <w:r w:rsidRPr="00BA6590">
        <w:rPr>
          <w:lang w:val="en-GB"/>
        </w:rPr>
        <w:t xml:space="preserve">, </w:t>
      </w:r>
      <w:r w:rsidR="0021611B" w:rsidRPr="00BA6590">
        <w:rPr>
          <w:lang w:val="en-GB"/>
        </w:rPr>
        <w:br/>
      </w:r>
      <w:r w:rsidRPr="00BA6590">
        <w:rPr>
          <w:lang w:val="en-GB"/>
        </w:rPr>
        <w:t xml:space="preserve">31 </w:t>
      </w:r>
      <w:r w:rsidR="003C37F4" w:rsidRPr="00BA6590">
        <w:rPr>
          <w:lang w:val="en-GB"/>
        </w:rPr>
        <w:t>December</w:t>
      </w:r>
      <w:r w:rsidRPr="00BA6590">
        <w:rPr>
          <w:lang w:val="en-GB"/>
        </w:rPr>
        <w:t xml:space="preserve"> 2010)</w:t>
      </w:r>
    </w:p>
    <w:p w:rsidR="00E50B98" w:rsidRPr="00BA6590" w:rsidRDefault="00E50B98" w:rsidP="00E50B98">
      <w:pPr>
        <w:pStyle w:val="SingleTxtG"/>
        <w:rPr>
          <w:lang w:val="en-GB"/>
        </w:rPr>
      </w:pPr>
      <w:r w:rsidRPr="00BA6590">
        <w:rPr>
          <w:lang w:val="en-GB"/>
        </w:rPr>
        <w:t>140.</w:t>
      </w:r>
      <w:r w:rsidR="004E090E" w:rsidRPr="00BA6590">
        <w:rPr>
          <w:lang w:val="en-GB"/>
        </w:rPr>
        <w:tab/>
      </w:r>
      <w:r w:rsidR="003C37F4" w:rsidRPr="00BA6590">
        <w:rPr>
          <w:lang w:val="en-GB"/>
        </w:rPr>
        <w:t xml:space="preserve">This Act modified certain procedural provisions of the Aliens Litigation Council in order to simplify them. For example, notifications could be sent by ordinary registered letter. </w:t>
      </w:r>
    </w:p>
    <w:p w:rsidR="00E50B98" w:rsidRPr="00BA6590" w:rsidRDefault="003C37F4" w:rsidP="00E50B98">
      <w:pPr>
        <w:pStyle w:val="H23G"/>
        <w:rPr>
          <w:lang w:val="en-GB"/>
        </w:rPr>
      </w:pPr>
      <w:r w:rsidRPr="00BA6590">
        <w:rPr>
          <w:lang w:val="en-GB"/>
        </w:rPr>
        <w:tab/>
        <w:t>2.</w:t>
      </w:r>
      <w:r w:rsidRPr="00BA6590">
        <w:rPr>
          <w:lang w:val="en-GB"/>
        </w:rPr>
        <w:tab/>
        <w:t>Asylum</w:t>
      </w:r>
    </w:p>
    <w:p w:rsidR="00E50B98" w:rsidRPr="00BA6590" w:rsidRDefault="00E50B98" w:rsidP="00E50B98">
      <w:pPr>
        <w:pStyle w:val="H4G"/>
        <w:rPr>
          <w:lang w:val="en-GB"/>
        </w:rPr>
      </w:pPr>
      <w:r w:rsidRPr="00BA6590">
        <w:rPr>
          <w:lang w:val="en-GB"/>
        </w:rPr>
        <w:tab/>
      </w:r>
      <w:r w:rsidRPr="00BA6590">
        <w:rPr>
          <w:lang w:val="en-GB"/>
        </w:rPr>
        <w:tab/>
      </w:r>
      <w:r w:rsidR="003C37F4" w:rsidRPr="00BA6590">
        <w:rPr>
          <w:lang w:val="en-GB"/>
        </w:rPr>
        <w:t xml:space="preserve">Act of </w:t>
      </w:r>
      <w:r w:rsidRPr="00BA6590">
        <w:rPr>
          <w:lang w:val="en-GB"/>
        </w:rPr>
        <w:t xml:space="preserve">15 </w:t>
      </w:r>
      <w:r w:rsidR="003C37F4" w:rsidRPr="00BA6590">
        <w:rPr>
          <w:lang w:val="en-GB"/>
        </w:rPr>
        <w:t>September</w:t>
      </w:r>
      <w:r w:rsidRPr="00BA6590">
        <w:rPr>
          <w:lang w:val="en-GB"/>
        </w:rPr>
        <w:t xml:space="preserve"> 2006</w:t>
      </w:r>
      <w:r w:rsidR="00C60F91" w:rsidRPr="00BA6590">
        <w:rPr>
          <w:lang w:val="en-GB"/>
        </w:rPr>
        <w:t xml:space="preserve"> </w:t>
      </w:r>
      <w:r w:rsidR="003C37F4" w:rsidRPr="00BA6590">
        <w:rPr>
          <w:lang w:val="en-GB"/>
        </w:rPr>
        <w:t>amending the Act of 15 December 1980</w:t>
      </w:r>
      <w:r w:rsidR="00C60F91" w:rsidRPr="00BA6590">
        <w:rPr>
          <w:lang w:val="en-GB"/>
        </w:rPr>
        <w:t xml:space="preserve"> on the entry, </w:t>
      </w:r>
      <w:r w:rsidR="0021611B" w:rsidRPr="00BA6590">
        <w:rPr>
          <w:lang w:val="en-GB"/>
        </w:rPr>
        <w:br/>
      </w:r>
      <w:r w:rsidR="00C60F91" w:rsidRPr="00BA6590">
        <w:rPr>
          <w:lang w:val="en-GB"/>
        </w:rPr>
        <w:t>residence, settlement and expulsion of foreign nationals</w:t>
      </w:r>
      <w:r w:rsidR="00096FE0" w:rsidRPr="00BA6590">
        <w:rPr>
          <w:rStyle w:val="FootnoteReference"/>
          <w:i w:val="0"/>
          <w:lang w:val="en-GB"/>
        </w:rPr>
        <w:footnoteReference w:id="22"/>
      </w:r>
      <w:r w:rsidRPr="00BA6590">
        <w:rPr>
          <w:lang w:val="en-GB"/>
        </w:rPr>
        <w:t xml:space="preserve"> (</w:t>
      </w:r>
      <w:r w:rsidR="002420F6" w:rsidRPr="00BA6590">
        <w:rPr>
          <w:lang w:val="en-GB"/>
        </w:rPr>
        <w:t>Moniteur belge</w:t>
      </w:r>
      <w:r w:rsidRPr="00BA6590">
        <w:rPr>
          <w:lang w:val="en-GB"/>
        </w:rPr>
        <w:t xml:space="preserve">, </w:t>
      </w:r>
      <w:r w:rsidR="0021611B" w:rsidRPr="00BA6590">
        <w:rPr>
          <w:lang w:val="en-GB"/>
        </w:rPr>
        <w:br/>
      </w:r>
      <w:r w:rsidRPr="00BA6590">
        <w:rPr>
          <w:lang w:val="en-GB"/>
        </w:rPr>
        <w:t xml:space="preserve">6 </w:t>
      </w:r>
      <w:r w:rsidR="003C37F4" w:rsidRPr="00BA6590">
        <w:rPr>
          <w:lang w:val="en-GB"/>
        </w:rPr>
        <w:t>October</w:t>
      </w:r>
      <w:r w:rsidRPr="00BA6590">
        <w:rPr>
          <w:lang w:val="en-GB"/>
        </w:rPr>
        <w:t xml:space="preserve"> 2006)</w:t>
      </w:r>
    </w:p>
    <w:p w:rsidR="00E50B98" w:rsidRPr="00BA6590" w:rsidRDefault="00E50B98" w:rsidP="00E50B98">
      <w:pPr>
        <w:pStyle w:val="SingleTxtG"/>
        <w:rPr>
          <w:lang w:val="en-GB"/>
        </w:rPr>
      </w:pPr>
      <w:r w:rsidRPr="00BA6590">
        <w:rPr>
          <w:lang w:val="en-GB"/>
        </w:rPr>
        <w:t>141.</w:t>
      </w:r>
      <w:r w:rsidRPr="00BA6590">
        <w:rPr>
          <w:lang w:val="en-GB"/>
        </w:rPr>
        <w:tab/>
      </w:r>
      <w:r w:rsidR="003C37F4" w:rsidRPr="00BA6590">
        <w:rPr>
          <w:lang w:val="en-GB"/>
        </w:rPr>
        <w:t xml:space="preserve">The purpose of this Act was to simplify asylum </w:t>
      </w:r>
      <w:r w:rsidR="00884109" w:rsidRPr="00BA6590">
        <w:rPr>
          <w:lang w:val="en-GB"/>
        </w:rPr>
        <w:t>procedures</w:t>
      </w:r>
      <w:r w:rsidR="003C37F4" w:rsidRPr="00BA6590">
        <w:rPr>
          <w:lang w:val="en-GB"/>
        </w:rPr>
        <w:t>. The starting point was the abolition of the distinction</w:t>
      </w:r>
      <w:r w:rsidR="00626A99" w:rsidRPr="00BA6590">
        <w:rPr>
          <w:lang w:val="en-GB"/>
        </w:rPr>
        <w:t xml:space="preserve"> between admissibility and the merits of the asylum request and of the corresponding procedural stages to be conducted by different legal bodies. The General Commissioner for Refugees and Stateless Persons </w:t>
      </w:r>
      <w:r w:rsidRPr="00BA6590">
        <w:rPr>
          <w:lang w:val="en-GB"/>
        </w:rPr>
        <w:t>(CGRA)</w:t>
      </w:r>
      <w:r w:rsidR="00163B55" w:rsidRPr="00BA6590">
        <w:rPr>
          <w:lang w:val="en-GB"/>
        </w:rPr>
        <w:t xml:space="preserve"> would decide whether a foreign national should be considered as a refugee or given subsidiary protection status. Any negative decision by the </w:t>
      </w:r>
      <w:r w:rsidRPr="00BA6590">
        <w:rPr>
          <w:lang w:val="en-GB"/>
        </w:rPr>
        <w:t>CGRA</w:t>
      </w:r>
      <w:r w:rsidR="00163B55" w:rsidRPr="00BA6590">
        <w:rPr>
          <w:lang w:val="en-GB"/>
        </w:rPr>
        <w:t xml:space="preserve"> could be subject to a </w:t>
      </w:r>
      <w:r w:rsidR="00B71103" w:rsidRPr="00BA6590">
        <w:rPr>
          <w:lang w:val="en-GB"/>
        </w:rPr>
        <w:t>full jurisdiction</w:t>
      </w:r>
      <w:r w:rsidR="00163B55" w:rsidRPr="00BA6590">
        <w:rPr>
          <w:lang w:val="en-GB"/>
        </w:rPr>
        <w:t xml:space="preserve"> appeal</w:t>
      </w:r>
      <w:r w:rsidR="001019A5" w:rsidRPr="00BA6590">
        <w:rPr>
          <w:lang w:val="en-GB"/>
        </w:rPr>
        <w:t xml:space="preserve"> </w:t>
      </w:r>
      <w:r w:rsidR="00163B55" w:rsidRPr="00BA6590">
        <w:rPr>
          <w:lang w:val="en-GB"/>
        </w:rPr>
        <w:t>to the</w:t>
      </w:r>
      <w:r w:rsidRPr="00BA6590">
        <w:rPr>
          <w:lang w:val="en-GB"/>
        </w:rPr>
        <w:t xml:space="preserve"> </w:t>
      </w:r>
      <w:r w:rsidR="00163B55" w:rsidRPr="00BA6590">
        <w:rPr>
          <w:lang w:val="en-GB"/>
        </w:rPr>
        <w:t>Aliens Litigation Council</w:t>
      </w:r>
      <w:r w:rsidRPr="00BA6590">
        <w:rPr>
          <w:lang w:val="en-GB"/>
        </w:rPr>
        <w:t>,</w:t>
      </w:r>
      <w:r w:rsidR="00163B55" w:rsidRPr="00BA6590">
        <w:rPr>
          <w:lang w:val="en-GB"/>
        </w:rPr>
        <w:t xml:space="preserve"> which could confirm, cancel or amend its decision</w:t>
      </w:r>
      <w:r w:rsidRPr="00BA6590">
        <w:rPr>
          <w:lang w:val="en-GB"/>
        </w:rPr>
        <w:t>,</w:t>
      </w:r>
      <w:r w:rsidR="00163B55" w:rsidRPr="00BA6590">
        <w:rPr>
          <w:lang w:val="en-GB"/>
        </w:rPr>
        <w:t xml:space="preserve"> in which case the case would be returned to the CGRA.</w:t>
      </w:r>
      <w:r w:rsidR="007A716B" w:rsidRPr="00BA6590">
        <w:rPr>
          <w:lang w:val="en-GB"/>
        </w:rPr>
        <w:t xml:space="preserve"> A decision of the Aliens Litigation Council could be appealed to the Council of State; however, that appeal could be successful only if procedural requirements had been infringed or if the decision was voided owing to procedural </w:t>
      </w:r>
      <w:r w:rsidR="00884109" w:rsidRPr="00BA6590">
        <w:rPr>
          <w:lang w:val="en-GB"/>
        </w:rPr>
        <w:t>irregularities</w:t>
      </w:r>
      <w:r w:rsidR="007A716B" w:rsidRPr="00BA6590">
        <w:rPr>
          <w:lang w:val="en-GB"/>
        </w:rPr>
        <w:t xml:space="preserve">. </w:t>
      </w:r>
    </w:p>
    <w:p w:rsidR="00E50B98" w:rsidRPr="00BA6590" w:rsidRDefault="00E50B98" w:rsidP="00772058">
      <w:pPr>
        <w:pStyle w:val="SingleTxtG"/>
        <w:rPr>
          <w:lang w:val="en-GB"/>
        </w:rPr>
      </w:pPr>
      <w:r w:rsidRPr="00BA6590">
        <w:rPr>
          <w:lang w:val="en-GB"/>
        </w:rPr>
        <w:t>142.</w:t>
      </w:r>
      <w:r w:rsidRPr="00BA6590">
        <w:rPr>
          <w:lang w:val="en-GB"/>
        </w:rPr>
        <w:tab/>
      </w:r>
      <w:r w:rsidR="007A716B" w:rsidRPr="00BA6590">
        <w:rPr>
          <w:lang w:val="en-GB"/>
        </w:rPr>
        <w:t xml:space="preserve">The Act also </w:t>
      </w:r>
      <w:r w:rsidR="00816F73" w:rsidRPr="00BA6590">
        <w:rPr>
          <w:lang w:val="en-GB"/>
        </w:rPr>
        <w:t>incorporated into national law</w:t>
      </w:r>
      <w:r w:rsidR="007A716B" w:rsidRPr="00BA6590">
        <w:rPr>
          <w:lang w:val="en-GB"/>
        </w:rPr>
        <w:t xml:space="preserve"> Council Directive </w:t>
      </w:r>
      <w:r w:rsidRPr="00BA6590">
        <w:rPr>
          <w:lang w:val="en-GB"/>
        </w:rPr>
        <w:t>2004/83</w:t>
      </w:r>
      <w:r w:rsidR="004722FA" w:rsidRPr="00BA6590">
        <w:rPr>
          <w:lang w:val="en-GB"/>
        </w:rPr>
        <w:t>/EC</w:t>
      </w:r>
      <w:r w:rsidRPr="00BA6590">
        <w:rPr>
          <w:lang w:val="en-GB"/>
        </w:rPr>
        <w:t xml:space="preserve"> </w:t>
      </w:r>
      <w:r w:rsidR="007A716B" w:rsidRPr="00BA6590">
        <w:rPr>
          <w:lang w:val="en-GB"/>
        </w:rPr>
        <w:t xml:space="preserve">of </w:t>
      </w:r>
      <w:r w:rsidRPr="00BA6590">
        <w:rPr>
          <w:lang w:val="en-GB"/>
        </w:rPr>
        <w:t>29</w:t>
      </w:r>
      <w:r w:rsidR="007A716B" w:rsidRPr="00BA6590">
        <w:rPr>
          <w:lang w:val="en-GB"/>
        </w:rPr>
        <w:t xml:space="preserve"> April </w:t>
      </w:r>
      <w:r w:rsidRPr="00BA6590">
        <w:rPr>
          <w:lang w:val="en-GB"/>
        </w:rPr>
        <w:t>2004</w:t>
      </w:r>
      <w:r w:rsidR="00772058" w:rsidRPr="00BA6590">
        <w:rPr>
          <w:lang w:val="en-GB"/>
        </w:rPr>
        <w:t>, on minimum standards for the qualification and status of third country nationals or stateless persons as refugees or as persons who otherwise need international protection</w:t>
      </w:r>
      <w:r w:rsidR="00BA252D" w:rsidRPr="00BA6590">
        <w:rPr>
          <w:lang w:val="en-GB"/>
        </w:rPr>
        <w:t>,</w:t>
      </w:r>
      <w:r w:rsidR="00772058" w:rsidRPr="00BA6590">
        <w:rPr>
          <w:lang w:val="en-GB"/>
        </w:rPr>
        <w:t xml:space="preserve"> and</w:t>
      </w:r>
      <w:r w:rsidR="00BA252D" w:rsidRPr="00BA6590">
        <w:rPr>
          <w:lang w:val="en-GB"/>
        </w:rPr>
        <w:t xml:space="preserve"> on</w:t>
      </w:r>
      <w:r w:rsidR="00772058" w:rsidRPr="00BA6590">
        <w:rPr>
          <w:lang w:val="en-GB"/>
        </w:rPr>
        <w:t xml:space="preserve"> the content of the protection granted</w:t>
      </w:r>
      <w:r w:rsidRPr="00BA6590">
        <w:rPr>
          <w:lang w:val="en-GB"/>
        </w:rPr>
        <w:t>.</w:t>
      </w:r>
      <w:r w:rsidR="00772058" w:rsidRPr="00BA6590">
        <w:rPr>
          <w:lang w:val="en-GB"/>
        </w:rPr>
        <w:t xml:space="preserve"> The Directive required a subsidiary protection status, from which </w:t>
      </w:r>
      <w:r w:rsidR="004F4861" w:rsidRPr="00BA6590">
        <w:rPr>
          <w:lang w:val="en-GB"/>
        </w:rPr>
        <w:t>asylum seeker</w:t>
      </w:r>
      <w:r w:rsidR="00772058" w:rsidRPr="00BA6590">
        <w:rPr>
          <w:lang w:val="en-GB"/>
        </w:rPr>
        <w:t xml:space="preserve">s could benefit as an alternative to refugee status. In that framework, a specific procedure was introduced to authorize residence for gravely ill foreign nationals. </w:t>
      </w:r>
    </w:p>
    <w:p w:rsidR="00E50B98" w:rsidRPr="00BA6590" w:rsidRDefault="00E50B98" w:rsidP="00E50B98">
      <w:pPr>
        <w:pStyle w:val="H4G"/>
        <w:rPr>
          <w:lang w:val="en-GB"/>
        </w:rPr>
      </w:pPr>
      <w:r w:rsidRPr="00BA6590">
        <w:rPr>
          <w:lang w:val="en-GB"/>
        </w:rPr>
        <w:tab/>
      </w:r>
      <w:r w:rsidRPr="00BA6590">
        <w:rPr>
          <w:lang w:val="en-GB"/>
        </w:rPr>
        <w:tab/>
      </w:r>
      <w:r w:rsidR="00772058" w:rsidRPr="00BA6590">
        <w:rPr>
          <w:lang w:val="en-GB"/>
        </w:rPr>
        <w:t xml:space="preserve">Act of </w:t>
      </w:r>
      <w:r w:rsidRPr="00BA6590">
        <w:rPr>
          <w:lang w:val="en-GB"/>
        </w:rPr>
        <w:t xml:space="preserve">22 </w:t>
      </w:r>
      <w:r w:rsidR="00772058" w:rsidRPr="00BA6590">
        <w:rPr>
          <w:lang w:val="en-GB"/>
        </w:rPr>
        <w:t>December</w:t>
      </w:r>
      <w:r w:rsidRPr="00BA6590">
        <w:rPr>
          <w:lang w:val="en-GB"/>
        </w:rPr>
        <w:t xml:space="preserve"> 2008</w:t>
      </w:r>
      <w:r w:rsidR="00C60F91" w:rsidRPr="00BA6590">
        <w:rPr>
          <w:lang w:val="en-GB"/>
        </w:rPr>
        <w:t xml:space="preserve"> containing various provisions</w:t>
      </w:r>
      <w:r w:rsidRPr="00BA6590">
        <w:rPr>
          <w:lang w:val="en-GB"/>
        </w:rPr>
        <w:t xml:space="preserve"> (</w:t>
      </w:r>
      <w:r w:rsidR="002420F6" w:rsidRPr="00BA6590">
        <w:rPr>
          <w:lang w:val="en-GB"/>
        </w:rPr>
        <w:t>Moniteur belge</w:t>
      </w:r>
      <w:r w:rsidRPr="00BA6590">
        <w:rPr>
          <w:lang w:val="en-GB"/>
        </w:rPr>
        <w:t xml:space="preserve">, </w:t>
      </w:r>
      <w:r w:rsidR="00B752EE">
        <w:rPr>
          <w:lang w:val="en-GB"/>
        </w:rPr>
        <w:br/>
      </w:r>
      <w:r w:rsidRPr="00BA6590">
        <w:rPr>
          <w:lang w:val="en-GB"/>
        </w:rPr>
        <w:t xml:space="preserve">29 </w:t>
      </w:r>
      <w:r w:rsidR="00772058" w:rsidRPr="00BA6590">
        <w:rPr>
          <w:lang w:val="en-GB"/>
        </w:rPr>
        <w:t>December</w:t>
      </w:r>
      <w:r w:rsidRPr="00BA6590">
        <w:rPr>
          <w:lang w:val="en-GB"/>
        </w:rPr>
        <w:t xml:space="preserve"> 2008)</w:t>
      </w:r>
      <w:r w:rsidR="00C60F91" w:rsidRPr="00BA6590">
        <w:rPr>
          <w:lang w:val="en-GB"/>
        </w:rPr>
        <w:t>,</w:t>
      </w:r>
      <w:r w:rsidRPr="00BA6590">
        <w:rPr>
          <w:lang w:val="en-GB"/>
        </w:rPr>
        <w:t xml:space="preserve"> </w:t>
      </w:r>
      <w:r w:rsidR="00772058" w:rsidRPr="00BA6590">
        <w:rPr>
          <w:lang w:val="en-GB"/>
        </w:rPr>
        <w:t xml:space="preserve">amending articles </w:t>
      </w:r>
      <w:r w:rsidRPr="00BA6590">
        <w:rPr>
          <w:lang w:val="en-GB"/>
        </w:rPr>
        <w:t xml:space="preserve">51/8 </w:t>
      </w:r>
      <w:r w:rsidR="00772058" w:rsidRPr="00BA6590">
        <w:rPr>
          <w:lang w:val="en-GB"/>
        </w:rPr>
        <w:t>and</w:t>
      </w:r>
      <w:r w:rsidRPr="00BA6590">
        <w:rPr>
          <w:lang w:val="en-GB"/>
        </w:rPr>
        <w:t xml:space="preserve"> 52 </w:t>
      </w:r>
      <w:r w:rsidR="00772058" w:rsidRPr="00BA6590">
        <w:rPr>
          <w:lang w:val="en-GB"/>
        </w:rPr>
        <w:t xml:space="preserve">of the Act of </w:t>
      </w:r>
      <w:r w:rsidRPr="00BA6590">
        <w:rPr>
          <w:lang w:val="en-GB"/>
        </w:rPr>
        <w:t xml:space="preserve">15 </w:t>
      </w:r>
      <w:r w:rsidR="00772058" w:rsidRPr="00BA6590">
        <w:rPr>
          <w:lang w:val="en-GB"/>
        </w:rPr>
        <w:t>December</w:t>
      </w:r>
      <w:r w:rsidRPr="00BA6590">
        <w:rPr>
          <w:lang w:val="en-GB"/>
        </w:rPr>
        <w:t xml:space="preserve"> </w:t>
      </w:r>
      <w:r w:rsidR="00B752EE">
        <w:rPr>
          <w:lang w:val="en-GB"/>
        </w:rPr>
        <w:br/>
      </w:r>
      <w:r w:rsidRPr="00BA6590">
        <w:rPr>
          <w:lang w:val="en-GB"/>
        </w:rPr>
        <w:t>1980</w:t>
      </w:r>
      <w:r w:rsidR="00C60F91" w:rsidRPr="00BA6590">
        <w:rPr>
          <w:lang w:val="en-GB"/>
        </w:rPr>
        <w:t xml:space="preserve"> on asylum requests and recognition of refugee status</w:t>
      </w:r>
    </w:p>
    <w:p w:rsidR="00E50B98" w:rsidRPr="00BA6590" w:rsidRDefault="00E50B98" w:rsidP="00E50B98">
      <w:pPr>
        <w:pStyle w:val="SingleTxtG"/>
        <w:rPr>
          <w:lang w:val="en-GB"/>
        </w:rPr>
      </w:pPr>
      <w:r w:rsidRPr="00BA6590">
        <w:rPr>
          <w:lang w:val="en-GB"/>
        </w:rPr>
        <w:t>143.</w:t>
      </w:r>
      <w:r w:rsidRPr="00BA6590">
        <w:rPr>
          <w:lang w:val="en-GB"/>
        </w:rPr>
        <w:tab/>
      </w:r>
      <w:r w:rsidR="00C60F91" w:rsidRPr="00BA6590">
        <w:rPr>
          <w:lang w:val="en-GB"/>
        </w:rPr>
        <w:t>This Act, amending</w:t>
      </w:r>
      <w:r w:rsidR="00772058" w:rsidRPr="00BA6590">
        <w:rPr>
          <w:lang w:val="en-GB"/>
        </w:rPr>
        <w:t xml:space="preserve"> articles 51/8 and 52 of the Act of 15 December 1980, provides that the </w:t>
      </w:r>
      <w:r w:rsidR="00901A76" w:rsidRPr="00BA6590">
        <w:rPr>
          <w:lang w:val="en-GB"/>
        </w:rPr>
        <w:t>Minister or his or her representative</w:t>
      </w:r>
      <w:r w:rsidR="00772058" w:rsidRPr="00BA6590">
        <w:rPr>
          <w:lang w:val="en-GB"/>
        </w:rPr>
        <w:t xml:space="preserve"> may decide not to take an asylum request into account if the foreign national who has previously made the same request fails to provide additional evidence</w:t>
      </w:r>
      <w:r w:rsidR="00DF2120" w:rsidRPr="00BA6590">
        <w:rPr>
          <w:lang w:val="en-GB"/>
        </w:rPr>
        <w:t xml:space="preserve"> to show that there are serious indications of well-justified fear that he or she will be persecuted</w:t>
      </w:r>
      <w:r w:rsidR="00772058" w:rsidRPr="00BA6590">
        <w:rPr>
          <w:lang w:val="en-GB"/>
        </w:rPr>
        <w:t xml:space="preserve"> </w:t>
      </w:r>
      <w:r w:rsidR="00DF2120" w:rsidRPr="00BA6590">
        <w:rPr>
          <w:lang w:val="en-GB"/>
        </w:rPr>
        <w:t xml:space="preserve">in the terms of the Geneva Convention, as defined in article </w:t>
      </w:r>
      <w:r w:rsidRPr="00BA6590">
        <w:rPr>
          <w:lang w:val="en-GB"/>
        </w:rPr>
        <w:t>48/3</w:t>
      </w:r>
      <w:r w:rsidR="00DF2120" w:rsidRPr="00BA6590">
        <w:rPr>
          <w:lang w:val="en-GB"/>
        </w:rPr>
        <w:t xml:space="preserve">, or that the applicant would face a real risk of suffering serious harm as defined in </w:t>
      </w:r>
      <w:r w:rsidRPr="00BA6590">
        <w:rPr>
          <w:lang w:val="en-GB"/>
        </w:rPr>
        <w:t>article 48/4.</w:t>
      </w:r>
      <w:r w:rsidR="00DF2120" w:rsidRPr="00BA6590">
        <w:rPr>
          <w:lang w:val="en-GB"/>
        </w:rPr>
        <w:t xml:space="preserve"> The additional evidence must relate to events or situations which have arisen since the final phase of the procedure during which the applicant could have produced it. </w:t>
      </w:r>
    </w:p>
    <w:p w:rsidR="00E50B98" w:rsidRPr="00BA6590" w:rsidRDefault="00E50B98" w:rsidP="002409EB">
      <w:pPr>
        <w:pStyle w:val="SingleTxtG"/>
        <w:rPr>
          <w:lang w:val="en-GB"/>
        </w:rPr>
      </w:pPr>
      <w:r w:rsidRPr="00BA6590">
        <w:rPr>
          <w:lang w:val="en-GB"/>
        </w:rPr>
        <w:t>144.</w:t>
      </w:r>
      <w:r w:rsidRPr="00BA6590">
        <w:rPr>
          <w:lang w:val="en-GB"/>
        </w:rPr>
        <w:tab/>
      </w:r>
      <w:r w:rsidR="00DF2120" w:rsidRPr="00BA6590">
        <w:rPr>
          <w:lang w:val="en-GB"/>
        </w:rPr>
        <w:t xml:space="preserve">The </w:t>
      </w:r>
      <w:r w:rsidRPr="00BA6590">
        <w:rPr>
          <w:lang w:val="en-GB"/>
        </w:rPr>
        <w:t>CGRA</w:t>
      </w:r>
      <w:r w:rsidR="00DF2120" w:rsidRPr="00BA6590">
        <w:rPr>
          <w:lang w:val="en-GB"/>
        </w:rPr>
        <w:t xml:space="preserve"> may also decide not to award refugee status or subsidiary protection status to a foreign national if the latter </w:t>
      </w:r>
      <w:r w:rsidR="00C963D5" w:rsidRPr="00BA6590">
        <w:rPr>
          <w:lang w:val="en-GB"/>
        </w:rPr>
        <w:t>lodges</w:t>
      </w:r>
      <w:r w:rsidR="00DF2120" w:rsidRPr="00BA6590">
        <w:rPr>
          <w:lang w:val="en-GB"/>
        </w:rPr>
        <w:t xml:space="preserve"> an application for asylum at the frontier and the application is manifestly based on motives unrelated to asylum. This may be because the application is fraudulent or because it </w:t>
      </w:r>
      <w:r w:rsidR="00BA252D" w:rsidRPr="00BA6590">
        <w:rPr>
          <w:lang w:val="en-GB"/>
        </w:rPr>
        <w:t>complies</w:t>
      </w:r>
      <w:r w:rsidR="00DF2120" w:rsidRPr="00BA6590">
        <w:rPr>
          <w:lang w:val="en-GB"/>
        </w:rPr>
        <w:t xml:space="preserve"> </w:t>
      </w:r>
      <w:r w:rsidR="00BA252D" w:rsidRPr="00BA6590">
        <w:rPr>
          <w:lang w:val="en-GB"/>
        </w:rPr>
        <w:t>n</w:t>
      </w:r>
      <w:r w:rsidR="00DF2120" w:rsidRPr="00BA6590">
        <w:rPr>
          <w:lang w:val="en-GB"/>
        </w:rPr>
        <w:t xml:space="preserve">either with the criteria provided for in </w:t>
      </w:r>
      <w:r w:rsidRPr="00BA6590">
        <w:rPr>
          <w:lang w:val="en-GB"/>
        </w:rPr>
        <w:t xml:space="preserve">article </w:t>
      </w:r>
      <w:r w:rsidR="002409EB" w:rsidRPr="00BA6590">
        <w:rPr>
          <w:lang w:val="en-GB"/>
        </w:rPr>
        <w:t>1</w:t>
      </w:r>
      <w:r w:rsidRPr="00BA6590">
        <w:rPr>
          <w:lang w:val="en-GB"/>
        </w:rPr>
        <w:t xml:space="preserve"> A (2)</w:t>
      </w:r>
      <w:r w:rsidR="00DF2120" w:rsidRPr="00BA6590">
        <w:rPr>
          <w:lang w:val="en-GB"/>
        </w:rPr>
        <w:t xml:space="preserve"> of the Geneva Convention as determined in article 48/3 </w:t>
      </w:r>
      <w:r w:rsidR="00BA252D" w:rsidRPr="00BA6590">
        <w:rPr>
          <w:lang w:val="en-GB"/>
        </w:rPr>
        <w:t>n</w:t>
      </w:r>
      <w:r w:rsidR="00DF2120" w:rsidRPr="00BA6590">
        <w:rPr>
          <w:lang w:val="en-GB"/>
        </w:rPr>
        <w:t xml:space="preserve">or with the criteria for subsidiary protection as provided for in </w:t>
      </w:r>
      <w:r w:rsidRPr="00BA6590">
        <w:rPr>
          <w:lang w:val="en-GB"/>
        </w:rPr>
        <w:t>article 48/4</w:t>
      </w:r>
      <w:r w:rsidR="00D220A7" w:rsidRPr="00BA6590">
        <w:rPr>
          <w:lang w:val="en-GB"/>
        </w:rPr>
        <w:t xml:space="preserve">. </w:t>
      </w:r>
    </w:p>
    <w:p w:rsidR="00E50B98" w:rsidRPr="00BA6590" w:rsidRDefault="00E50B98" w:rsidP="00E50B98">
      <w:pPr>
        <w:pStyle w:val="H4G"/>
        <w:rPr>
          <w:lang w:val="en-GB"/>
        </w:rPr>
      </w:pPr>
      <w:r w:rsidRPr="00BA6590">
        <w:rPr>
          <w:lang w:val="en-GB"/>
        </w:rPr>
        <w:tab/>
      </w:r>
      <w:r w:rsidRPr="00BA6590">
        <w:rPr>
          <w:lang w:val="en-GB"/>
        </w:rPr>
        <w:tab/>
      </w:r>
      <w:r w:rsidR="00560201" w:rsidRPr="00BA6590">
        <w:rPr>
          <w:lang w:val="en-GB"/>
        </w:rPr>
        <w:t xml:space="preserve">Act of </w:t>
      </w:r>
      <w:r w:rsidRPr="00BA6590">
        <w:rPr>
          <w:lang w:val="en-GB"/>
        </w:rPr>
        <w:t xml:space="preserve">28 </w:t>
      </w:r>
      <w:r w:rsidR="00560201" w:rsidRPr="00BA6590">
        <w:rPr>
          <w:lang w:val="en-GB"/>
        </w:rPr>
        <w:t>April</w:t>
      </w:r>
      <w:r w:rsidRPr="00BA6590">
        <w:rPr>
          <w:lang w:val="en-GB"/>
        </w:rPr>
        <w:t xml:space="preserve"> 2010</w:t>
      </w:r>
      <w:r w:rsidR="00C60F91" w:rsidRPr="00BA6590">
        <w:rPr>
          <w:lang w:val="en-GB"/>
        </w:rPr>
        <w:t xml:space="preserve"> containing various provisions</w:t>
      </w:r>
      <w:r w:rsidRPr="00BA6590">
        <w:rPr>
          <w:lang w:val="en-GB"/>
        </w:rPr>
        <w:t xml:space="preserve"> (</w:t>
      </w:r>
      <w:r w:rsidR="002420F6" w:rsidRPr="00BA6590">
        <w:rPr>
          <w:lang w:val="en-GB"/>
        </w:rPr>
        <w:t>Moniteur belge</w:t>
      </w:r>
      <w:r w:rsidRPr="00BA6590">
        <w:rPr>
          <w:lang w:val="en-GB"/>
        </w:rPr>
        <w:t xml:space="preserve">, 10 </w:t>
      </w:r>
      <w:r w:rsidR="00560201" w:rsidRPr="00BA6590">
        <w:rPr>
          <w:lang w:val="en-GB"/>
        </w:rPr>
        <w:t>May</w:t>
      </w:r>
      <w:r w:rsidRPr="00BA6590">
        <w:rPr>
          <w:lang w:val="en-GB"/>
        </w:rPr>
        <w:t xml:space="preserve"> 2010)</w:t>
      </w:r>
    </w:p>
    <w:p w:rsidR="00E50B98" w:rsidRPr="00BA6590" w:rsidRDefault="00E50B98" w:rsidP="00E50B98">
      <w:pPr>
        <w:pStyle w:val="SingleTxtG"/>
        <w:rPr>
          <w:lang w:val="en-GB"/>
        </w:rPr>
      </w:pPr>
      <w:r w:rsidRPr="00BA6590">
        <w:rPr>
          <w:lang w:val="en-GB"/>
        </w:rPr>
        <w:t>145.</w:t>
      </w:r>
      <w:r w:rsidRPr="00BA6590">
        <w:rPr>
          <w:lang w:val="en-GB"/>
        </w:rPr>
        <w:tab/>
      </w:r>
      <w:r w:rsidR="00560201" w:rsidRPr="00BA6590">
        <w:rPr>
          <w:lang w:val="en-GB"/>
        </w:rPr>
        <w:t xml:space="preserve">This Act adds </w:t>
      </w:r>
      <w:r w:rsidRPr="00BA6590">
        <w:rPr>
          <w:lang w:val="en-GB"/>
        </w:rPr>
        <w:t>articles 57/7</w:t>
      </w:r>
      <w:r w:rsidR="00834782" w:rsidRPr="00BA6590">
        <w:rPr>
          <w:lang w:val="en-GB"/>
        </w:rPr>
        <w:t xml:space="preserve"> </w:t>
      </w:r>
      <w:r w:rsidRPr="00BA6590">
        <w:rPr>
          <w:i/>
          <w:iCs/>
          <w:lang w:val="en-GB"/>
        </w:rPr>
        <w:t>bis</w:t>
      </w:r>
      <w:r w:rsidRPr="00BA6590">
        <w:rPr>
          <w:lang w:val="en-GB"/>
        </w:rPr>
        <w:t xml:space="preserve"> </w:t>
      </w:r>
      <w:r w:rsidR="00560201" w:rsidRPr="00BA6590">
        <w:rPr>
          <w:lang w:val="en-GB"/>
        </w:rPr>
        <w:t>and</w:t>
      </w:r>
      <w:r w:rsidRPr="00BA6590">
        <w:rPr>
          <w:lang w:val="en-GB"/>
        </w:rPr>
        <w:t xml:space="preserve"> 57/7 </w:t>
      </w:r>
      <w:r w:rsidRPr="00BA6590">
        <w:rPr>
          <w:i/>
          <w:iCs/>
          <w:lang w:val="en-GB"/>
        </w:rPr>
        <w:t>ter</w:t>
      </w:r>
      <w:r w:rsidRPr="00BA6590">
        <w:rPr>
          <w:lang w:val="en-GB"/>
        </w:rPr>
        <w:t xml:space="preserve"> </w:t>
      </w:r>
      <w:r w:rsidR="00560201" w:rsidRPr="00BA6590">
        <w:rPr>
          <w:lang w:val="en-GB"/>
        </w:rPr>
        <w:t xml:space="preserve">to the </w:t>
      </w:r>
      <w:r w:rsidR="00604511" w:rsidRPr="00BA6590">
        <w:rPr>
          <w:lang w:val="en-GB"/>
        </w:rPr>
        <w:t>Act</w:t>
      </w:r>
      <w:r w:rsidR="00C60F91" w:rsidRPr="00BA6590">
        <w:rPr>
          <w:lang w:val="en-GB"/>
        </w:rPr>
        <w:t xml:space="preserve"> of 15 December 1980</w:t>
      </w:r>
      <w:r w:rsidR="00560201" w:rsidRPr="00BA6590">
        <w:rPr>
          <w:lang w:val="en-GB"/>
        </w:rPr>
        <w:t xml:space="preserve">. The changes relate to assessment by the CGRA of the persecution or serious harm suffered by the </w:t>
      </w:r>
      <w:r w:rsidR="004F4861" w:rsidRPr="00BA6590">
        <w:rPr>
          <w:lang w:val="en-GB"/>
        </w:rPr>
        <w:t>asylum seeker</w:t>
      </w:r>
      <w:r w:rsidR="00560201" w:rsidRPr="00BA6590">
        <w:rPr>
          <w:lang w:val="en-GB"/>
        </w:rPr>
        <w:t xml:space="preserve">. </w:t>
      </w:r>
    </w:p>
    <w:p w:rsidR="00E50B98" w:rsidRPr="00BA6590" w:rsidRDefault="00E50B98" w:rsidP="00E50B98">
      <w:pPr>
        <w:pStyle w:val="H4G"/>
        <w:rPr>
          <w:lang w:val="en-GB"/>
        </w:rPr>
      </w:pPr>
      <w:r w:rsidRPr="00BA6590">
        <w:rPr>
          <w:lang w:val="en-GB"/>
        </w:rPr>
        <w:tab/>
      </w:r>
      <w:r w:rsidRPr="00BA6590">
        <w:rPr>
          <w:lang w:val="en-GB"/>
        </w:rPr>
        <w:tab/>
      </w:r>
      <w:r w:rsidR="00560201" w:rsidRPr="00BA6590">
        <w:rPr>
          <w:lang w:val="en-GB"/>
        </w:rPr>
        <w:t xml:space="preserve">Act of </w:t>
      </w:r>
      <w:r w:rsidRPr="00BA6590">
        <w:rPr>
          <w:lang w:val="en-GB"/>
        </w:rPr>
        <w:t xml:space="preserve">19 </w:t>
      </w:r>
      <w:r w:rsidR="00560201" w:rsidRPr="00BA6590">
        <w:rPr>
          <w:lang w:val="en-GB"/>
        </w:rPr>
        <w:t>January</w:t>
      </w:r>
      <w:r w:rsidRPr="00BA6590">
        <w:rPr>
          <w:lang w:val="en-GB"/>
        </w:rPr>
        <w:t xml:space="preserve"> 2012</w:t>
      </w:r>
      <w:r w:rsidR="00C60F91" w:rsidRPr="00BA6590">
        <w:rPr>
          <w:lang w:val="en-GB"/>
        </w:rPr>
        <w:t>,</w:t>
      </w:r>
      <w:r w:rsidRPr="00BA6590">
        <w:rPr>
          <w:lang w:val="en-GB"/>
        </w:rPr>
        <w:t xml:space="preserve"> </w:t>
      </w:r>
      <w:r w:rsidR="00560201" w:rsidRPr="00BA6590">
        <w:rPr>
          <w:lang w:val="en-GB"/>
        </w:rPr>
        <w:t xml:space="preserve">amending the </w:t>
      </w:r>
      <w:r w:rsidR="00604511" w:rsidRPr="00BA6590">
        <w:rPr>
          <w:lang w:val="en-GB"/>
        </w:rPr>
        <w:t>Act</w:t>
      </w:r>
      <w:r w:rsidR="00C60F91" w:rsidRPr="00BA6590">
        <w:rPr>
          <w:lang w:val="en-GB"/>
        </w:rPr>
        <w:t xml:space="preserve"> of 15 December 1980</w:t>
      </w:r>
      <w:r w:rsidRPr="00BA6590">
        <w:rPr>
          <w:lang w:val="en-GB"/>
        </w:rPr>
        <w:t xml:space="preserve"> (</w:t>
      </w:r>
      <w:r w:rsidR="002420F6" w:rsidRPr="00BA6590">
        <w:rPr>
          <w:lang w:val="en-GB"/>
        </w:rPr>
        <w:t>Moniteur belge</w:t>
      </w:r>
      <w:r w:rsidRPr="00BA6590">
        <w:rPr>
          <w:lang w:val="en-GB"/>
        </w:rPr>
        <w:t xml:space="preserve">, </w:t>
      </w:r>
      <w:r w:rsidR="0021611B" w:rsidRPr="00BA6590">
        <w:rPr>
          <w:lang w:val="en-GB"/>
        </w:rPr>
        <w:br/>
      </w:r>
      <w:r w:rsidRPr="00BA6590">
        <w:rPr>
          <w:lang w:val="en-GB"/>
        </w:rPr>
        <w:t xml:space="preserve">17 </w:t>
      </w:r>
      <w:r w:rsidR="00560201" w:rsidRPr="00BA6590">
        <w:rPr>
          <w:lang w:val="en-GB"/>
        </w:rPr>
        <w:t>February</w:t>
      </w:r>
      <w:r w:rsidRPr="00BA6590">
        <w:rPr>
          <w:lang w:val="en-GB"/>
        </w:rPr>
        <w:t xml:space="preserve"> 2012)</w:t>
      </w:r>
    </w:p>
    <w:p w:rsidR="00E50B98" w:rsidRPr="00BA6590" w:rsidRDefault="00E50B98" w:rsidP="00E50B98">
      <w:pPr>
        <w:pStyle w:val="SingleTxtG"/>
        <w:rPr>
          <w:lang w:val="en-GB"/>
        </w:rPr>
      </w:pPr>
      <w:r w:rsidRPr="00BA6590">
        <w:rPr>
          <w:lang w:val="en-GB"/>
        </w:rPr>
        <w:t>146.</w:t>
      </w:r>
      <w:r w:rsidRPr="00BA6590">
        <w:rPr>
          <w:lang w:val="en-GB"/>
        </w:rPr>
        <w:tab/>
      </w:r>
      <w:r w:rsidR="00560201" w:rsidRPr="00BA6590">
        <w:rPr>
          <w:lang w:val="en-GB"/>
        </w:rPr>
        <w:t>A list of safe countries of origin was drawn up in 2011.</w:t>
      </w:r>
      <w:r w:rsidR="000B0A40" w:rsidRPr="00BA6590">
        <w:rPr>
          <w:rStyle w:val="FootnoteReference"/>
          <w:lang w:val="en-GB"/>
        </w:rPr>
        <w:footnoteReference w:id="23"/>
      </w:r>
      <w:r w:rsidRPr="00BA6590">
        <w:rPr>
          <w:lang w:val="en-GB"/>
        </w:rPr>
        <w:t xml:space="preserve"> </w:t>
      </w:r>
      <w:r w:rsidR="00560201" w:rsidRPr="00BA6590">
        <w:rPr>
          <w:lang w:val="en-GB"/>
        </w:rPr>
        <w:t xml:space="preserve">Such a list is adopted at least once yearly by a Royal Decree discussed in the Council of Ministers. </w:t>
      </w:r>
    </w:p>
    <w:p w:rsidR="00E50B98" w:rsidRPr="00BA6590" w:rsidRDefault="00E50B98" w:rsidP="00E50B98">
      <w:pPr>
        <w:pStyle w:val="SingleTxtG"/>
        <w:rPr>
          <w:lang w:val="en-GB"/>
        </w:rPr>
      </w:pPr>
      <w:r w:rsidRPr="00BA6590">
        <w:rPr>
          <w:lang w:val="en-GB"/>
        </w:rPr>
        <w:t>147.</w:t>
      </w:r>
      <w:r w:rsidRPr="00BA6590">
        <w:rPr>
          <w:lang w:val="en-GB"/>
        </w:rPr>
        <w:tab/>
      </w:r>
      <w:r w:rsidR="00560201" w:rsidRPr="00BA6590">
        <w:rPr>
          <w:lang w:val="en-GB"/>
        </w:rPr>
        <w:t xml:space="preserve">The new article </w:t>
      </w:r>
      <w:r w:rsidRPr="00BA6590">
        <w:rPr>
          <w:lang w:val="en-GB"/>
        </w:rPr>
        <w:t xml:space="preserve">57/6/1 </w:t>
      </w:r>
      <w:r w:rsidR="00560201" w:rsidRPr="00BA6590">
        <w:rPr>
          <w:lang w:val="en-GB"/>
        </w:rPr>
        <w:t>of</w:t>
      </w:r>
      <w:r w:rsidRPr="00BA6590">
        <w:rPr>
          <w:lang w:val="en-GB"/>
        </w:rPr>
        <w:t xml:space="preserve"> </w:t>
      </w:r>
      <w:r w:rsidR="00560201" w:rsidRPr="00BA6590">
        <w:rPr>
          <w:lang w:val="en-GB"/>
        </w:rPr>
        <w:t xml:space="preserve">the </w:t>
      </w:r>
      <w:r w:rsidR="00604511" w:rsidRPr="00BA6590">
        <w:rPr>
          <w:lang w:val="en-GB"/>
        </w:rPr>
        <w:t>Act</w:t>
      </w:r>
      <w:r w:rsidR="00C60F91" w:rsidRPr="00BA6590">
        <w:rPr>
          <w:lang w:val="en-GB"/>
        </w:rPr>
        <w:t xml:space="preserve"> of 15 December 1980</w:t>
      </w:r>
      <w:r w:rsidR="00560201" w:rsidRPr="00BA6590">
        <w:rPr>
          <w:lang w:val="en-GB"/>
        </w:rPr>
        <w:t xml:space="preserve"> empowers the CGRA</w:t>
      </w:r>
      <w:r w:rsidRPr="00BA6590">
        <w:rPr>
          <w:lang w:val="en-GB"/>
        </w:rPr>
        <w:t xml:space="preserve"> </w:t>
      </w:r>
      <w:r w:rsidR="00560201" w:rsidRPr="00BA6590">
        <w:rPr>
          <w:lang w:val="en-GB"/>
        </w:rPr>
        <w:t>to disregard an international protection application from a national of one of the countries listed as safe unless it is clear from the applicant</w:t>
      </w:r>
      <w:r w:rsidR="00A216FB" w:rsidRPr="00BA6590">
        <w:rPr>
          <w:lang w:val="en-GB"/>
        </w:rPr>
        <w:t>’</w:t>
      </w:r>
      <w:r w:rsidR="00560201" w:rsidRPr="00BA6590">
        <w:rPr>
          <w:lang w:val="en-GB"/>
        </w:rPr>
        <w:t xml:space="preserve">s evidence that there is a well-founded fear that he will be persecuted or good reasons to believe that he is at genuine risk of suffering serious harm. The </w:t>
      </w:r>
      <w:r w:rsidRPr="00BA6590">
        <w:rPr>
          <w:lang w:val="en-GB"/>
        </w:rPr>
        <w:t>CGRA</w:t>
      </w:r>
      <w:r w:rsidR="00560201" w:rsidRPr="00BA6590">
        <w:rPr>
          <w:lang w:val="en-GB"/>
        </w:rPr>
        <w:t xml:space="preserve"> has 15 days in which to reach a decision</w:t>
      </w:r>
      <w:r w:rsidR="00332C85" w:rsidRPr="00BA6590">
        <w:rPr>
          <w:lang w:val="en-GB"/>
        </w:rPr>
        <w:t xml:space="preserve"> and the Aliens Litigation Council has two months to process any appeal against that decision. </w:t>
      </w:r>
    </w:p>
    <w:p w:rsidR="00E50B98" w:rsidRPr="00BA6590" w:rsidRDefault="00E50B98" w:rsidP="00E50B98">
      <w:pPr>
        <w:pStyle w:val="H23G"/>
        <w:rPr>
          <w:lang w:val="en-GB"/>
        </w:rPr>
      </w:pPr>
      <w:r w:rsidRPr="00BA6590">
        <w:rPr>
          <w:lang w:val="en-GB"/>
        </w:rPr>
        <w:tab/>
        <w:t>3.</w:t>
      </w:r>
      <w:r w:rsidRPr="00BA6590">
        <w:rPr>
          <w:lang w:val="en-GB"/>
        </w:rPr>
        <w:tab/>
      </w:r>
      <w:r w:rsidR="00332C85" w:rsidRPr="00BA6590">
        <w:rPr>
          <w:lang w:val="en-GB"/>
        </w:rPr>
        <w:t>Reception</w:t>
      </w:r>
    </w:p>
    <w:p w:rsidR="00E50B98" w:rsidRPr="00BA6590" w:rsidRDefault="00E50B98" w:rsidP="00E50B98">
      <w:pPr>
        <w:pStyle w:val="H4G"/>
        <w:rPr>
          <w:lang w:val="en-GB"/>
        </w:rPr>
      </w:pPr>
      <w:r w:rsidRPr="00BA6590">
        <w:rPr>
          <w:lang w:val="en-GB"/>
        </w:rPr>
        <w:tab/>
      </w:r>
      <w:r w:rsidRPr="00BA6590">
        <w:rPr>
          <w:lang w:val="en-GB"/>
        </w:rPr>
        <w:tab/>
      </w:r>
      <w:r w:rsidR="00643311" w:rsidRPr="00BA6590">
        <w:rPr>
          <w:lang w:val="en-GB"/>
        </w:rPr>
        <w:t xml:space="preserve">Act of </w:t>
      </w:r>
      <w:r w:rsidRPr="00BA6590">
        <w:rPr>
          <w:lang w:val="en-GB"/>
        </w:rPr>
        <w:t xml:space="preserve">12 </w:t>
      </w:r>
      <w:r w:rsidR="00643311" w:rsidRPr="00BA6590">
        <w:rPr>
          <w:lang w:val="en-GB"/>
        </w:rPr>
        <w:t>January</w:t>
      </w:r>
      <w:r w:rsidRPr="00BA6590">
        <w:rPr>
          <w:lang w:val="en-GB"/>
        </w:rPr>
        <w:t xml:space="preserve"> 2007</w:t>
      </w:r>
      <w:r w:rsidR="003A1F7C" w:rsidRPr="00BA6590">
        <w:rPr>
          <w:lang w:val="en-GB"/>
        </w:rPr>
        <w:t xml:space="preserve"> on the reception of asylum seekers and certain other </w:t>
      </w:r>
      <w:r w:rsidR="0021611B" w:rsidRPr="00BA6590">
        <w:rPr>
          <w:lang w:val="en-GB"/>
        </w:rPr>
        <w:br/>
      </w:r>
      <w:r w:rsidR="003A1F7C" w:rsidRPr="00BA6590">
        <w:rPr>
          <w:lang w:val="en-GB"/>
        </w:rPr>
        <w:t>categories of foreign nationals</w:t>
      </w:r>
      <w:r w:rsidR="00643311" w:rsidRPr="00BA6590">
        <w:rPr>
          <w:lang w:val="en-GB"/>
        </w:rPr>
        <w:t xml:space="preserve"> (</w:t>
      </w:r>
      <w:r w:rsidR="002420F6" w:rsidRPr="00BA6590">
        <w:rPr>
          <w:lang w:val="en-GB"/>
        </w:rPr>
        <w:t>Moniteur belge</w:t>
      </w:r>
      <w:r w:rsidR="00643311" w:rsidRPr="00BA6590">
        <w:rPr>
          <w:lang w:val="en-GB"/>
        </w:rPr>
        <w:t>, 7 May</w:t>
      </w:r>
      <w:r w:rsidRPr="00BA6590">
        <w:rPr>
          <w:lang w:val="en-GB"/>
        </w:rPr>
        <w:t xml:space="preserve"> 2007)</w:t>
      </w:r>
    </w:p>
    <w:p w:rsidR="00E50B98" w:rsidRPr="00BA6590" w:rsidRDefault="00E50B98" w:rsidP="002409EB">
      <w:pPr>
        <w:pStyle w:val="SingleTxtG"/>
        <w:rPr>
          <w:lang w:val="en-GB"/>
        </w:rPr>
      </w:pPr>
      <w:r w:rsidRPr="00BA6590">
        <w:rPr>
          <w:lang w:val="en-GB"/>
        </w:rPr>
        <w:t>148.</w:t>
      </w:r>
      <w:r w:rsidRPr="00BA6590">
        <w:rPr>
          <w:lang w:val="en-GB"/>
        </w:rPr>
        <w:tab/>
      </w:r>
      <w:r w:rsidR="00643311" w:rsidRPr="00BA6590">
        <w:rPr>
          <w:lang w:val="en-GB"/>
        </w:rPr>
        <w:t>This Ac</w:t>
      </w:r>
      <w:r w:rsidR="00BA252D" w:rsidRPr="00BA6590">
        <w:rPr>
          <w:lang w:val="en-GB"/>
        </w:rPr>
        <w:t xml:space="preserve">t partially </w:t>
      </w:r>
      <w:r w:rsidR="00816F73" w:rsidRPr="00BA6590">
        <w:rPr>
          <w:lang w:val="en-GB"/>
        </w:rPr>
        <w:t>incorporat</w:t>
      </w:r>
      <w:r w:rsidR="00BA252D" w:rsidRPr="00BA6590">
        <w:rPr>
          <w:lang w:val="en-GB"/>
        </w:rPr>
        <w:t>ed</w:t>
      </w:r>
      <w:r w:rsidR="00643311" w:rsidRPr="00BA6590">
        <w:rPr>
          <w:lang w:val="en-GB"/>
        </w:rPr>
        <w:t xml:space="preserve"> Council Directive </w:t>
      </w:r>
      <w:r w:rsidRPr="00BA6590">
        <w:rPr>
          <w:lang w:val="en-GB"/>
        </w:rPr>
        <w:t>2003/9</w:t>
      </w:r>
      <w:r w:rsidR="004722FA" w:rsidRPr="00BA6590">
        <w:rPr>
          <w:lang w:val="en-GB"/>
        </w:rPr>
        <w:t>/EC</w:t>
      </w:r>
      <w:r w:rsidRPr="00BA6590">
        <w:rPr>
          <w:lang w:val="en-GB"/>
        </w:rPr>
        <w:t xml:space="preserve"> </w:t>
      </w:r>
      <w:r w:rsidR="00643311" w:rsidRPr="00BA6590">
        <w:rPr>
          <w:lang w:val="en-GB"/>
        </w:rPr>
        <w:t>of</w:t>
      </w:r>
      <w:r w:rsidRPr="00BA6590">
        <w:rPr>
          <w:lang w:val="en-GB"/>
        </w:rPr>
        <w:t xml:space="preserve"> 27 </w:t>
      </w:r>
      <w:r w:rsidR="00643311" w:rsidRPr="00BA6590">
        <w:rPr>
          <w:lang w:val="en-GB"/>
        </w:rPr>
        <w:t>January</w:t>
      </w:r>
      <w:r w:rsidRPr="00BA6590">
        <w:rPr>
          <w:lang w:val="en-GB"/>
        </w:rPr>
        <w:t xml:space="preserve"> 2003</w:t>
      </w:r>
      <w:r w:rsidR="00C66683" w:rsidRPr="00BA6590">
        <w:rPr>
          <w:lang w:val="en-GB"/>
        </w:rPr>
        <w:t>, on m</w:t>
      </w:r>
      <w:r w:rsidR="00643311" w:rsidRPr="00BA6590">
        <w:rPr>
          <w:lang w:val="en-GB"/>
        </w:rPr>
        <w:t xml:space="preserve">inimum standards on the reception of applicants for asylum in </w:t>
      </w:r>
      <w:r w:rsidR="00816F73" w:rsidRPr="00BA6590">
        <w:rPr>
          <w:lang w:val="en-GB"/>
        </w:rPr>
        <w:t>member State</w:t>
      </w:r>
      <w:r w:rsidR="00643311" w:rsidRPr="00BA6590">
        <w:rPr>
          <w:lang w:val="en-GB"/>
        </w:rPr>
        <w:t>s</w:t>
      </w:r>
      <w:r w:rsidR="00816F73" w:rsidRPr="00BA6590">
        <w:rPr>
          <w:lang w:val="en-GB"/>
        </w:rPr>
        <w:t>, into national law</w:t>
      </w:r>
      <w:r w:rsidRPr="00BA6590">
        <w:rPr>
          <w:lang w:val="en-GB"/>
        </w:rPr>
        <w:t>.</w:t>
      </w:r>
      <w:r w:rsidR="00643311" w:rsidRPr="00BA6590">
        <w:rPr>
          <w:lang w:val="en-GB"/>
        </w:rPr>
        <w:t xml:space="preserve"> It repealed article 54, </w:t>
      </w:r>
      <w:r w:rsidRPr="00BA6590">
        <w:rPr>
          <w:lang w:val="en-GB"/>
        </w:rPr>
        <w:t xml:space="preserve">paragraphs </w:t>
      </w:r>
      <w:r w:rsidR="002409EB" w:rsidRPr="00BA6590">
        <w:rPr>
          <w:lang w:val="en-GB"/>
        </w:rPr>
        <w:t>1</w:t>
      </w:r>
      <w:r w:rsidR="00643311" w:rsidRPr="00BA6590">
        <w:rPr>
          <w:lang w:val="en-GB"/>
        </w:rPr>
        <w:t xml:space="preserve"> and</w:t>
      </w:r>
      <w:r w:rsidRPr="00BA6590">
        <w:rPr>
          <w:lang w:val="en-GB"/>
        </w:rPr>
        <w:t xml:space="preserve"> 3</w:t>
      </w:r>
      <w:r w:rsidR="00643311" w:rsidRPr="00BA6590">
        <w:rPr>
          <w:lang w:val="en-GB"/>
        </w:rPr>
        <w:t xml:space="preserve">, of the </w:t>
      </w:r>
      <w:r w:rsidR="00604511" w:rsidRPr="00BA6590">
        <w:rPr>
          <w:lang w:val="en-GB"/>
        </w:rPr>
        <w:t>Act</w:t>
      </w:r>
      <w:r w:rsidR="003A1F7C" w:rsidRPr="00BA6590">
        <w:rPr>
          <w:lang w:val="en-GB"/>
        </w:rPr>
        <w:t xml:space="preserve"> of 15 December 1980</w:t>
      </w:r>
      <w:r w:rsidR="00643311" w:rsidRPr="00BA6590">
        <w:rPr>
          <w:lang w:val="en-GB"/>
        </w:rPr>
        <w:t xml:space="preserve">, specifying that the Federal Agency for the Reception of </w:t>
      </w:r>
      <w:r w:rsidR="004F4861" w:rsidRPr="00BA6590">
        <w:rPr>
          <w:lang w:val="en-GB"/>
        </w:rPr>
        <w:t xml:space="preserve">Asylum </w:t>
      </w:r>
      <w:r w:rsidR="00C963D5" w:rsidRPr="00BA6590">
        <w:rPr>
          <w:lang w:val="en-GB"/>
        </w:rPr>
        <w:t>S</w:t>
      </w:r>
      <w:r w:rsidR="004F4861" w:rsidRPr="00BA6590">
        <w:rPr>
          <w:lang w:val="en-GB"/>
        </w:rPr>
        <w:t>eeker</w:t>
      </w:r>
      <w:r w:rsidR="00643311" w:rsidRPr="00BA6590">
        <w:rPr>
          <w:lang w:val="en-GB"/>
        </w:rPr>
        <w:t>s</w:t>
      </w:r>
      <w:r w:rsidRPr="00BA6590">
        <w:rPr>
          <w:lang w:val="en-GB"/>
        </w:rPr>
        <w:t xml:space="preserve"> (Fedasil)</w:t>
      </w:r>
      <w:r w:rsidR="00643311" w:rsidRPr="00BA6590">
        <w:rPr>
          <w:lang w:val="en-GB"/>
        </w:rPr>
        <w:t xml:space="preserve"> was the competent authority for designating a compulsory place for any </w:t>
      </w:r>
      <w:r w:rsidR="004F4861" w:rsidRPr="00BA6590">
        <w:rPr>
          <w:lang w:val="en-GB"/>
        </w:rPr>
        <w:t>asylum seeker</w:t>
      </w:r>
      <w:r w:rsidR="00643311" w:rsidRPr="00BA6590">
        <w:rPr>
          <w:lang w:val="en-GB"/>
        </w:rPr>
        <w:t xml:space="preserve">, whether he or she had applied for refugee status under the Geneva Convention or for subsidiary protection status. </w:t>
      </w:r>
    </w:p>
    <w:p w:rsidR="00E50B98" w:rsidRPr="00BA6590" w:rsidRDefault="00E50B98" w:rsidP="00BA355C">
      <w:pPr>
        <w:pStyle w:val="SingleTxtG"/>
        <w:rPr>
          <w:lang w:val="en-GB"/>
        </w:rPr>
      </w:pPr>
      <w:r w:rsidRPr="00BA6590">
        <w:rPr>
          <w:lang w:val="en-GB"/>
        </w:rPr>
        <w:t>149.</w:t>
      </w:r>
      <w:r w:rsidRPr="00BA6590">
        <w:rPr>
          <w:lang w:val="en-GB"/>
        </w:rPr>
        <w:tab/>
      </w:r>
      <w:r w:rsidR="00547223" w:rsidRPr="00BA6590">
        <w:rPr>
          <w:lang w:val="en-GB"/>
        </w:rPr>
        <w:t xml:space="preserve">Under article 3 of the Act, any applicant for asylum is entitled to reception which will enable him to live in accordance with human dignity. Reception means the material assistance provided pursuant to the present Act or the social assistance provided by </w:t>
      </w:r>
      <w:r w:rsidR="00C66683" w:rsidRPr="00BA6590">
        <w:rPr>
          <w:lang w:val="en-GB"/>
        </w:rPr>
        <w:t>public social services centres</w:t>
      </w:r>
      <w:r w:rsidR="00547223" w:rsidRPr="00BA6590">
        <w:rPr>
          <w:lang w:val="en-GB"/>
        </w:rPr>
        <w:t xml:space="preserve"> in accordance with the Organic Law of </w:t>
      </w:r>
      <w:r w:rsidRPr="00BA6590">
        <w:rPr>
          <w:lang w:val="en-GB"/>
        </w:rPr>
        <w:t xml:space="preserve">8 </w:t>
      </w:r>
      <w:r w:rsidR="00547223" w:rsidRPr="00BA6590">
        <w:rPr>
          <w:lang w:val="en-GB"/>
        </w:rPr>
        <w:t>July</w:t>
      </w:r>
      <w:r w:rsidRPr="00BA6590">
        <w:rPr>
          <w:lang w:val="en-GB"/>
        </w:rPr>
        <w:t xml:space="preserve"> 1976</w:t>
      </w:r>
      <w:r w:rsidR="003A1F7C" w:rsidRPr="00BA6590">
        <w:rPr>
          <w:lang w:val="en-GB"/>
        </w:rPr>
        <w:t xml:space="preserve"> on public social services centres</w:t>
      </w:r>
      <w:r w:rsidR="00547223" w:rsidRPr="00BA6590">
        <w:rPr>
          <w:lang w:val="en-GB"/>
        </w:rPr>
        <w:t>.</w:t>
      </w:r>
    </w:p>
    <w:p w:rsidR="00E50B98" w:rsidRPr="00BA6590" w:rsidRDefault="00E50B98" w:rsidP="00E50B98">
      <w:pPr>
        <w:pStyle w:val="H4G"/>
        <w:rPr>
          <w:lang w:val="en-GB"/>
        </w:rPr>
      </w:pPr>
      <w:r w:rsidRPr="00BA6590">
        <w:rPr>
          <w:lang w:val="en-GB"/>
        </w:rPr>
        <w:tab/>
      </w:r>
      <w:r w:rsidR="004E090E" w:rsidRPr="00BA6590">
        <w:rPr>
          <w:lang w:val="en-GB"/>
        </w:rPr>
        <w:tab/>
      </w:r>
      <w:r w:rsidR="006E015B" w:rsidRPr="00BA6590">
        <w:rPr>
          <w:lang w:val="en-GB"/>
        </w:rPr>
        <w:t>R</w:t>
      </w:r>
      <w:r w:rsidR="00A053FE" w:rsidRPr="00BA6590">
        <w:rPr>
          <w:lang w:val="en-GB"/>
        </w:rPr>
        <w:t>oyal O</w:t>
      </w:r>
      <w:r w:rsidR="006E015B" w:rsidRPr="00BA6590">
        <w:rPr>
          <w:lang w:val="en-GB"/>
        </w:rPr>
        <w:t xml:space="preserve">rder of </w:t>
      </w:r>
      <w:r w:rsidRPr="00BA6590">
        <w:rPr>
          <w:lang w:val="en-GB"/>
        </w:rPr>
        <w:t xml:space="preserve">22 </w:t>
      </w:r>
      <w:r w:rsidR="006E015B" w:rsidRPr="00BA6590">
        <w:rPr>
          <w:lang w:val="en-GB"/>
        </w:rPr>
        <w:t>December</w:t>
      </w:r>
      <w:r w:rsidRPr="00BA6590">
        <w:rPr>
          <w:lang w:val="en-GB"/>
        </w:rPr>
        <w:t xml:space="preserve"> 2009</w:t>
      </w:r>
      <w:r w:rsidR="006E015B" w:rsidRPr="00BA6590">
        <w:rPr>
          <w:lang w:val="en-GB"/>
        </w:rPr>
        <w:t xml:space="preserve"> amending article </w:t>
      </w:r>
      <w:r w:rsidRPr="00BA6590">
        <w:rPr>
          <w:lang w:val="en-GB"/>
        </w:rPr>
        <w:t xml:space="preserve">17 </w:t>
      </w:r>
      <w:r w:rsidR="006E015B" w:rsidRPr="00BA6590">
        <w:rPr>
          <w:lang w:val="en-GB"/>
        </w:rPr>
        <w:t xml:space="preserve">of the </w:t>
      </w:r>
      <w:r w:rsidR="00A053FE" w:rsidRPr="00BA6590">
        <w:rPr>
          <w:lang w:val="en-GB"/>
        </w:rPr>
        <w:t>R</w:t>
      </w:r>
      <w:r w:rsidR="006E015B" w:rsidRPr="00BA6590">
        <w:rPr>
          <w:lang w:val="en-GB"/>
        </w:rPr>
        <w:t xml:space="preserve">oyal </w:t>
      </w:r>
      <w:r w:rsidR="00A053FE" w:rsidRPr="00BA6590">
        <w:rPr>
          <w:lang w:val="en-GB"/>
        </w:rPr>
        <w:t>O</w:t>
      </w:r>
      <w:r w:rsidR="006E015B" w:rsidRPr="00BA6590">
        <w:rPr>
          <w:lang w:val="en-GB"/>
        </w:rPr>
        <w:t>rder of</w:t>
      </w:r>
      <w:r w:rsidRPr="00BA6590">
        <w:rPr>
          <w:lang w:val="en-GB"/>
        </w:rPr>
        <w:t xml:space="preserve"> 9 </w:t>
      </w:r>
      <w:r w:rsidR="006E015B" w:rsidRPr="00BA6590">
        <w:rPr>
          <w:lang w:val="en-GB"/>
        </w:rPr>
        <w:t>June</w:t>
      </w:r>
      <w:r w:rsidRPr="00BA6590">
        <w:rPr>
          <w:lang w:val="en-GB"/>
        </w:rPr>
        <w:t xml:space="preserve"> </w:t>
      </w:r>
      <w:r w:rsidR="0021611B" w:rsidRPr="00BA6590">
        <w:rPr>
          <w:lang w:val="en-GB"/>
        </w:rPr>
        <w:br/>
      </w:r>
      <w:r w:rsidRPr="00BA6590">
        <w:rPr>
          <w:lang w:val="en-GB"/>
        </w:rPr>
        <w:t xml:space="preserve">2009 </w:t>
      </w:r>
      <w:r w:rsidR="006E015B" w:rsidRPr="00BA6590">
        <w:rPr>
          <w:lang w:val="en-GB"/>
        </w:rPr>
        <w:t xml:space="preserve">implementing the Act of </w:t>
      </w:r>
      <w:r w:rsidRPr="00BA6590">
        <w:rPr>
          <w:lang w:val="en-GB"/>
        </w:rPr>
        <w:t xml:space="preserve">30 </w:t>
      </w:r>
      <w:r w:rsidR="006E015B" w:rsidRPr="00BA6590">
        <w:rPr>
          <w:lang w:val="en-GB"/>
        </w:rPr>
        <w:t>April</w:t>
      </w:r>
      <w:r w:rsidRPr="00BA6590">
        <w:rPr>
          <w:lang w:val="en-GB"/>
        </w:rPr>
        <w:t xml:space="preserve"> 1999</w:t>
      </w:r>
      <w:r w:rsidR="003A1F7C" w:rsidRPr="00BA6590">
        <w:rPr>
          <w:lang w:val="en-GB"/>
        </w:rPr>
        <w:t xml:space="preserve"> on the employment of foreign workers</w:t>
      </w:r>
      <w:r w:rsidRPr="00BA6590">
        <w:rPr>
          <w:lang w:val="en-GB"/>
        </w:rPr>
        <w:t xml:space="preserve"> (</w:t>
      </w:r>
      <w:r w:rsidR="002420F6" w:rsidRPr="00BA6590">
        <w:rPr>
          <w:lang w:val="en-GB"/>
        </w:rPr>
        <w:t>Moniteur belge</w:t>
      </w:r>
      <w:r w:rsidRPr="00BA6590">
        <w:rPr>
          <w:lang w:val="en-GB"/>
        </w:rPr>
        <w:t xml:space="preserve">, 12 </w:t>
      </w:r>
      <w:r w:rsidR="006E015B" w:rsidRPr="00BA6590">
        <w:rPr>
          <w:lang w:val="en-GB"/>
        </w:rPr>
        <w:t>January</w:t>
      </w:r>
      <w:r w:rsidRPr="00BA6590">
        <w:rPr>
          <w:lang w:val="en-GB"/>
        </w:rPr>
        <w:t xml:space="preserve"> 2010)</w:t>
      </w:r>
    </w:p>
    <w:p w:rsidR="00E50B98" w:rsidRPr="00BA6590" w:rsidRDefault="00E50B98" w:rsidP="00E50B98">
      <w:pPr>
        <w:pStyle w:val="SingleTxtG"/>
        <w:rPr>
          <w:lang w:val="en-GB"/>
        </w:rPr>
      </w:pPr>
      <w:r w:rsidRPr="00BA6590">
        <w:rPr>
          <w:lang w:val="en-GB"/>
        </w:rPr>
        <w:t>150.</w:t>
      </w:r>
      <w:r w:rsidR="004E090E" w:rsidRPr="00BA6590">
        <w:rPr>
          <w:lang w:val="en-GB"/>
        </w:rPr>
        <w:tab/>
      </w:r>
      <w:r w:rsidR="006E015B" w:rsidRPr="00BA6590">
        <w:rPr>
          <w:lang w:val="en-GB"/>
        </w:rPr>
        <w:t xml:space="preserve">This </w:t>
      </w:r>
      <w:r w:rsidR="00A053FE" w:rsidRPr="00BA6590">
        <w:rPr>
          <w:lang w:val="en-GB"/>
        </w:rPr>
        <w:t>Royal O</w:t>
      </w:r>
      <w:r w:rsidR="006E015B" w:rsidRPr="00BA6590">
        <w:rPr>
          <w:lang w:val="en-GB"/>
        </w:rPr>
        <w:t xml:space="preserve">rder allows access to the labour market </w:t>
      </w:r>
      <w:r w:rsidRPr="00BA6590">
        <w:rPr>
          <w:lang w:val="en-GB"/>
        </w:rPr>
        <w:t>(</w:t>
      </w:r>
      <w:r w:rsidR="006E015B" w:rsidRPr="00BA6590">
        <w:rPr>
          <w:lang w:val="en-GB"/>
        </w:rPr>
        <w:t>with a category C work permit</w:t>
      </w:r>
      <w:r w:rsidRPr="00BA6590">
        <w:rPr>
          <w:lang w:val="en-GB"/>
        </w:rPr>
        <w:t>)</w:t>
      </w:r>
      <w:r w:rsidR="006E015B" w:rsidRPr="00BA6590">
        <w:rPr>
          <w:lang w:val="en-GB"/>
        </w:rPr>
        <w:t xml:space="preserve"> for </w:t>
      </w:r>
      <w:r w:rsidR="004F4861" w:rsidRPr="00BA6590">
        <w:rPr>
          <w:lang w:val="en-GB"/>
        </w:rPr>
        <w:t>asylum seeker</w:t>
      </w:r>
      <w:r w:rsidR="006E015B" w:rsidRPr="00BA6590">
        <w:rPr>
          <w:lang w:val="en-GB"/>
        </w:rPr>
        <w:t xml:space="preserve">s whose application has received no response for six months. </w:t>
      </w:r>
    </w:p>
    <w:p w:rsidR="00E50B98" w:rsidRPr="00BA6590" w:rsidRDefault="00E50B98" w:rsidP="00E50B98">
      <w:pPr>
        <w:pStyle w:val="H4G"/>
        <w:rPr>
          <w:lang w:val="en-GB"/>
        </w:rPr>
      </w:pPr>
      <w:r w:rsidRPr="00BA6590">
        <w:rPr>
          <w:lang w:val="en-GB"/>
        </w:rPr>
        <w:tab/>
      </w:r>
      <w:r w:rsidRPr="00BA6590">
        <w:rPr>
          <w:lang w:val="en-GB"/>
        </w:rPr>
        <w:tab/>
      </w:r>
      <w:r w:rsidR="006E015B" w:rsidRPr="00BA6590">
        <w:rPr>
          <w:lang w:val="en-GB"/>
        </w:rPr>
        <w:t>Act</w:t>
      </w:r>
      <w:r w:rsidR="003A1F7C" w:rsidRPr="00BA6590">
        <w:rPr>
          <w:lang w:val="en-GB"/>
        </w:rPr>
        <w:t xml:space="preserve"> of 19 January 2012</w:t>
      </w:r>
      <w:r w:rsidR="006E015B" w:rsidRPr="00BA6590">
        <w:rPr>
          <w:lang w:val="en-GB"/>
        </w:rPr>
        <w:t xml:space="preserve"> amending the legislation on the reception of </w:t>
      </w:r>
      <w:r w:rsidR="004F4861" w:rsidRPr="00BA6590">
        <w:rPr>
          <w:lang w:val="en-GB"/>
        </w:rPr>
        <w:t>asylum seeker</w:t>
      </w:r>
      <w:r w:rsidR="006E015B" w:rsidRPr="00BA6590">
        <w:rPr>
          <w:lang w:val="en-GB"/>
        </w:rPr>
        <w:t xml:space="preserve">s </w:t>
      </w:r>
      <w:r w:rsidR="00834782" w:rsidRPr="00BA6590">
        <w:rPr>
          <w:lang w:val="en-GB"/>
        </w:rPr>
        <w:t>(</w:t>
      </w:r>
      <w:r w:rsidR="002420F6" w:rsidRPr="00BA6590">
        <w:rPr>
          <w:lang w:val="en-GB"/>
        </w:rPr>
        <w:t>Moniteur belge</w:t>
      </w:r>
      <w:r w:rsidR="00834782" w:rsidRPr="00BA6590">
        <w:rPr>
          <w:lang w:val="en-GB"/>
        </w:rPr>
        <w:t xml:space="preserve">, 17 </w:t>
      </w:r>
      <w:r w:rsidR="006E015B" w:rsidRPr="00BA6590">
        <w:rPr>
          <w:lang w:val="en-GB"/>
        </w:rPr>
        <w:t>February</w:t>
      </w:r>
      <w:r w:rsidR="00834782" w:rsidRPr="00BA6590">
        <w:rPr>
          <w:lang w:val="en-GB"/>
        </w:rPr>
        <w:t xml:space="preserve"> 2012)</w:t>
      </w:r>
    </w:p>
    <w:p w:rsidR="00E50B98" w:rsidRPr="00BA6590" w:rsidRDefault="00E50B98" w:rsidP="00E50B98">
      <w:pPr>
        <w:pStyle w:val="SingleTxtG"/>
        <w:rPr>
          <w:lang w:val="en-GB"/>
        </w:rPr>
      </w:pPr>
      <w:r w:rsidRPr="00BA6590">
        <w:rPr>
          <w:lang w:val="en-GB"/>
        </w:rPr>
        <w:t>151.</w:t>
      </w:r>
      <w:r w:rsidRPr="00BA6590">
        <w:rPr>
          <w:lang w:val="en-GB"/>
        </w:rPr>
        <w:tab/>
      </w:r>
      <w:r w:rsidR="006E015B" w:rsidRPr="00BA6590">
        <w:rPr>
          <w:lang w:val="en-GB"/>
        </w:rPr>
        <w:t xml:space="preserve">On </w:t>
      </w:r>
      <w:r w:rsidRPr="00BA6590">
        <w:rPr>
          <w:lang w:val="en-GB"/>
        </w:rPr>
        <w:t xml:space="preserve">27 </w:t>
      </w:r>
      <w:r w:rsidR="006E015B" w:rsidRPr="00BA6590">
        <w:rPr>
          <w:lang w:val="en-GB"/>
        </w:rPr>
        <w:t>October</w:t>
      </w:r>
      <w:r w:rsidRPr="00BA6590">
        <w:rPr>
          <w:lang w:val="en-GB"/>
        </w:rPr>
        <w:t xml:space="preserve"> 2011,</w:t>
      </w:r>
      <w:r w:rsidR="006E015B" w:rsidRPr="00BA6590">
        <w:rPr>
          <w:lang w:val="en-GB"/>
        </w:rPr>
        <w:t xml:space="preserve"> Parliament approved a</w:t>
      </w:r>
      <w:r w:rsidR="00BA252D" w:rsidRPr="00BA6590">
        <w:rPr>
          <w:lang w:val="en-GB"/>
        </w:rPr>
        <w:t>n</w:t>
      </w:r>
      <w:r w:rsidR="006E015B" w:rsidRPr="00BA6590">
        <w:rPr>
          <w:lang w:val="en-GB"/>
        </w:rPr>
        <w:t xml:space="preserve"> Act intended to resolve </w:t>
      </w:r>
      <w:r w:rsidR="00BA252D" w:rsidRPr="00BA6590">
        <w:rPr>
          <w:lang w:val="en-GB"/>
        </w:rPr>
        <w:t>the employment crisis. It amended</w:t>
      </w:r>
      <w:r w:rsidR="006E015B" w:rsidRPr="00BA6590">
        <w:rPr>
          <w:lang w:val="en-GB"/>
        </w:rPr>
        <w:t xml:space="preserve"> the law on reception and </w:t>
      </w:r>
      <w:r w:rsidR="00C66683" w:rsidRPr="00BA6590">
        <w:rPr>
          <w:lang w:val="en-GB"/>
        </w:rPr>
        <w:t>public social services centres</w:t>
      </w:r>
      <w:r w:rsidR="006E015B" w:rsidRPr="00BA6590">
        <w:rPr>
          <w:lang w:val="en-GB"/>
        </w:rPr>
        <w:t>, comprising the following changes</w:t>
      </w:r>
      <w:r w:rsidR="00ED343D" w:rsidRPr="00BA6590">
        <w:rPr>
          <w:lang w:val="en-GB"/>
        </w:rPr>
        <w:t>:</w:t>
      </w:r>
    </w:p>
    <w:p w:rsidR="00E50B98" w:rsidRPr="00BA6590" w:rsidRDefault="006E015B" w:rsidP="00E50B98">
      <w:pPr>
        <w:pStyle w:val="Bullet1G"/>
        <w:rPr>
          <w:lang w:val="en-GB"/>
        </w:rPr>
      </w:pPr>
      <w:r w:rsidRPr="00BA6590">
        <w:rPr>
          <w:lang w:val="en-GB"/>
        </w:rPr>
        <w:t xml:space="preserve">The right to reception </w:t>
      </w:r>
      <w:r w:rsidR="00E50B98" w:rsidRPr="00BA6590">
        <w:rPr>
          <w:lang w:val="en-GB"/>
        </w:rPr>
        <w:t>(</w:t>
      </w:r>
      <w:r w:rsidRPr="00BA6590">
        <w:rPr>
          <w:lang w:val="en-GB"/>
        </w:rPr>
        <w:t>or to social assistance</w:t>
      </w:r>
      <w:r w:rsidR="00E50B98" w:rsidRPr="00BA6590">
        <w:rPr>
          <w:lang w:val="en-GB"/>
        </w:rPr>
        <w:t>)</w:t>
      </w:r>
      <w:r w:rsidRPr="00BA6590">
        <w:rPr>
          <w:lang w:val="en-GB"/>
        </w:rPr>
        <w:t xml:space="preserve"> is restricted to the first asylum application. Nonetheless, in case of multiple applications, reception is allowed following the transfer of the file to</w:t>
      </w:r>
      <w:r w:rsidR="00A053FE" w:rsidRPr="00BA6590">
        <w:rPr>
          <w:lang w:val="en-GB"/>
        </w:rPr>
        <w:t xml:space="preserve"> the CGRA. Pending that transfer, only medical assistance continues to be provided by </w:t>
      </w:r>
      <w:r w:rsidR="00E50B98" w:rsidRPr="00BA6590">
        <w:rPr>
          <w:lang w:val="en-GB"/>
        </w:rPr>
        <w:t>Fedasil.</w:t>
      </w:r>
    </w:p>
    <w:p w:rsidR="00E50B98" w:rsidRPr="00BA6590" w:rsidRDefault="00A053FE" w:rsidP="00E50B98">
      <w:pPr>
        <w:pStyle w:val="Bullet1G"/>
        <w:rPr>
          <w:lang w:val="en-GB"/>
        </w:rPr>
      </w:pPr>
      <w:r w:rsidRPr="00BA6590">
        <w:rPr>
          <w:lang w:val="en-GB"/>
        </w:rPr>
        <w:t>The right to reception is not granted to</w:t>
      </w:r>
      <w:r w:rsidR="00E50B98" w:rsidRPr="00BA6590">
        <w:rPr>
          <w:lang w:val="en-GB"/>
        </w:rPr>
        <w:t>:</w:t>
      </w:r>
    </w:p>
    <w:p w:rsidR="00E50B98" w:rsidRPr="00BA6590" w:rsidRDefault="00D17339" w:rsidP="00D17339">
      <w:pPr>
        <w:pStyle w:val="Bullet2G"/>
        <w:rPr>
          <w:lang w:val="en-GB"/>
        </w:rPr>
      </w:pPr>
      <w:r w:rsidRPr="00BA6590">
        <w:rPr>
          <w:lang w:val="en-GB"/>
        </w:rPr>
        <w:t xml:space="preserve">Persons </w:t>
      </w:r>
      <w:r w:rsidR="00A053FE" w:rsidRPr="00BA6590">
        <w:rPr>
          <w:lang w:val="en-GB"/>
        </w:rPr>
        <w:t>who do not use</w:t>
      </w:r>
      <w:r w:rsidR="007E1D78" w:rsidRPr="00BA6590">
        <w:rPr>
          <w:lang w:val="en-GB"/>
        </w:rPr>
        <w:t xml:space="preserve"> or have ceased to</w:t>
      </w:r>
      <w:r w:rsidR="00A053FE" w:rsidRPr="00BA6590">
        <w:rPr>
          <w:lang w:val="en-GB"/>
        </w:rPr>
        <w:t xml:space="preserve"> use the reception place </w:t>
      </w:r>
      <w:r w:rsidR="00BA252D" w:rsidRPr="00BA6590">
        <w:rPr>
          <w:lang w:val="en-GB"/>
        </w:rPr>
        <w:t>allocated</w:t>
      </w:r>
      <w:r w:rsidR="00A053FE" w:rsidRPr="00BA6590">
        <w:rPr>
          <w:lang w:val="en-GB"/>
        </w:rPr>
        <w:t xml:space="preserve"> to them</w:t>
      </w:r>
      <w:r w:rsidRPr="00BA6590">
        <w:rPr>
          <w:lang w:val="en-GB"/>
        </w:rPr>
        <w:t>.</w:t>
      </w:r>
    </w:p>
    <w:p w:rsidR="00E50B98" w:rsidRPr="00BA6590" w:rsidRDefault="00D17339" w:rsidP="00D17339">
      <w:pPr>
        <w:pStyle w:val="Bullet2G"/>
        <w:rPr>
          <w:lang w:val="en-GB"/>
        </w:rPr>
      </w:pPr>
      <w:r w:rsidRPr="00BA6590">
        <w:rPr>
          <w:lang w:val="en-GB"/>
        </w:rPr>
        <w:t xml:space="preserve">Asylum </w:t>
      </w:r>
      <w:r w:rsidR="00A053FE" w:rsidRPr="00BA6590">
        <w:rPr>
          <w:lang w:val="en-GB"/>
        </w:rPr>
        <w:t>applicants having sufficient income</w:t>
      </w:r>
      <w:r w:rsidR="00E50B98" w:rsidRPr="00BA6590">
        <w:rPr>
          <w:lang w:val="en-GB"/>
        </w:rPr>
        <w:t xml:space="preserve"> (</w:t>
      </w:r>
      <w:r w:rsidR="00A053FE" w:rsidRPr="00BA6590">
        <w:rPr>
          <w:lang w:val="en-GB"/>
        </w:rPr>
        <w:t xml:space="preserve">the amount of the social integration allowance for </w:t>
      </w:r>
      <w:r w:rsidR="00172174" w:rsidRPr="00BA6590">
        <w:rPr>
          <w:lang w:val="en-GB"/>
        </w:rPr>
        <w:t>claima</w:t>
      </w:r>
      <w:r w:rsidR="00A053FE" w:rsidRPr="00BA6590">
        <w:rPr>
          <w:lang w:val="en-GB"/>
        </w:rPr>
        <w:t>nts with dependants</w:t>
      </w:r>
      <w:r w:rsidR="00E50B98" w:rsidRPr="00BA6590">
        <w:rPr>
          <w:lang w:val="en-GB"/>
        </w:rPr>
        <w:t xml:space="preserve">). </w:t>
      </w:r>
      <w:r w:rsidR="00172174" w:rsidRPr="00BA6590">
        <w:rPr>
          <w:lang w:val="en-GB"/>
        </w:rPr>
        <w:t>In such cases, only medical assistance continues to be provided by Fedasil.</w:t>
      </w:r>
    </w:p>
    <w:p w:rsidR="00E50B98" w:rsidRPr="00BA6590" w:rsidRDefault="00172174" w:rsidP="00E50B98">
      <w:pPr>
        <w:pStyle w:val="Bullet1G"/>
        <w:rPr>
          <w:lang w:val="en-GB"/>
        </w:rPr>
      </w:pPr>
      <w:r w:rsidRPr="00BA6590">
        <w:rPr>
          <w:lang w:val="en-GB"/>
        </w:rPr>
        <w:t>There is no longer an automatic right to reception while an appeal to the Aliens Litigation Council is pending or for foreign nationals</w:t>
      </w:r>
      <w:r w:rsidR="00D30F09" w:rsidRPr="00BA6590">
        <w:rPr>
          <w:lang w:val="en-GB"/>
        </w:rPr>
        <w:t xml:space="preserve"> who have signed a voluntary return agreement. In these two ca</w:t>
      </w:r>
      <w:r w:rsidR="009810B6" w:rsidRPr="00BA6590">
        <w:rPr>
          <w:lang w:val="en-GB"/>
        </w:rPr>
        <w:t>ses, the right to reception will end</w:t>
      </w:r>
      <w:r w:rsidR="00D30F09" w:rsidRPr="00BA6590">
        <w:rPr>
          <w:lang w:val="en-GB"/>
        </w:rPr>
        <w:t xml:space="preserve"> when the deadline of the </w:t>
      </w:r>
      <w:r w:rsidR="009810B6" w:rsidRPr="00BA6590">
        <w:rPr>
          <w:lang w:val="en-GB"/>
        </w:rPr>
        <w:t>order to leave Belgian territory (communicated to the asylum applicant) expires.</w:t>
      </w:r>
      <w:r w:rsidRPr="00BA6590">
        <w:rPr>
          <w:lang w:val="en-GB"/>
        </w:rPr>
        <w:t xml:space="preserve"> </w:t>
      </w:r>
    </w:p>
    <w:p w:rsidR="00E50B98" w:rsidRPr="00BA6590" w:rsidRDefault="009810B6" w:rsidP="00E50B98">
      <w:pPr>
        <w:pStyle w:val="Bullet1G"/>
        <w:rPr>
          <w:lang w:val="en-GB"/>
        </w:rPr>
      </w:pPr>
      <w:r w:rsidRPr="00BA6590">
        <w:rPr>
          <w:lang w:val="en-GB"/>
        </w:rPr>
        <w:t xml:space="preserve">The right to reception is no longer granted during an appeal to the Council of State. </w:t>
      </w:r>
    </w:p>
    <w:p w:rsidR="00E50B98" w:rsidRPr="00BA6590" w:rsidRDefault="00E50B98" w:rsidP="00E50B98">
      <w:pPr>
        <w:pStyle w:val="H23G"/>
        <w:rPr>
          <w:lang w:val="en-GB"/>
        </w:rPr>
      </w:pPr>
      <w:r w:rsidRPr="00BA6590">
        <w:rPr>
          <w:lang w:val="en-GB"/>
        </w:rPr>
        <w:tab/>
        <w:t>4.</w:t>
      </w:r>
      <w:r w:rsidRPr="00BA6590">
        <w:rPr>
          <w:lang w:val="en-GB"/>
        </w:rPr>
        <w:tab/>
      </w:r>
      <w:r w:rsidR="00D704F8" w:rsidRPr="00BA6590">
        <w:rPr>
          <w:lang w:val="en-GB"/>
        </w:rPr>
        <w:t>Entry and residence</w:t>
      </w:r>
    </w:p>
    <w:p w:rsidR="00E50B98" w:rsidRPr="00BA6590" w:rsidRDefault="00F11603" w:rsidP="00F1634B">
      <w:pPr>
        <w:pStyle w:val="H4G"/>
        <w:rPr>
          <w:lang w:val="en-GB"/>
        </w:rPr>
      </w:pPr>
      <w:r w:rsidRPr="00BA6590">
        <w:rPr>
          <w:lang w:val="en-GB"/>
        </w:rPr>
        <w:tab/>
      </w:r>
      <w:r w:rsidR="00E50B98" w:rsidRPr="00BA6590">
        <w:rPr>
          <w:lang w:val="en-GB"/>
        </w:rPr>
        <w:tab/>
      </w:r>
      <w:r w:rsidR="00F1634B" w:rsidRPr="00BA6590">
        <w:rPr>
          <w:lang w:val="en-GB"/>
        </w:rPr>
        <w:t xml:space="preserve">Act of </w:t>
      </w:r>
      <w:r w:rsidR="00834782" w:rsidRPr="00BA6590">
        <w:rPr>
          <w:lang w:val="en-GB"/>
        </w:rPr>
        <w:t xml:space="preserve">21 </w:t>
      </w:r>
      <w:r w:rsidR="00F1634B" w:rsidRPr="00BA6590">
        <w:rPr>
          <w:lang w:val="en-GB"/>
        </w:rPr>
        <w:t>April</w:t>
      </w:r>
      <w:r w:rsidR="00834782" w:rsidRPr="00BA6590">
        <w:rPr>
          <w:lang w:val="en-GB"/>
        </w:rPr>
        <w:t xml:space="preserve"> 2007</w:t>
      </w:r>
      <w:r w:rsidR="00DA2929" w:rsidRPr="00BA6590">
        <w:rPr>
          <w:lang w:val="en-GB"/>
        </w:rPr>
        <w:t>,</w:t>
      </w:r>
      <w:r w:rsidR="00F1634B" w:rsidRPr="00BA6590">
        <w:rPr>
          <w:lang w:val="en-GB"/>
        </w:rPr>
        <w:t xml:space="preserve"> amending the </w:t>
      </w:r>
      <w:r w:rsidR="00604511" w:rsidRPr="00BA6590">
        <w:rPr>
          <w:lang w:val="en-GB"/>
        </w:rPr>
        <w:t>Act</w:t>
      </w:r>
      <w:r w:rsidR="003A1F7C" w:rsidRPr="00BA6590">
        <w:rPr>
          <w:lang w:val="en-GB"/>
        </w:rPr>
        <w:t xml:space="preserve"> of 15 December 1980</w:t>
      </w:r>
      <w:r w:rsidR="00DA2929" w:rsidRPr="00BA6590">
        <w:rPr>
          <w:lang w:val="en-GB"/>
        </w:rPr>
        <w:t>,</w:t>
      </w:r>
      <w:r w:rsidR="000E0FAD" w:rsidRPr="00BA6590">
        <w:rPr>
          <w:lang w:val="en-GB"/>
        </w:rPr>
        <w:t xml:space="preserve"> </w:t>
      </w:r>
      <w:r w:rsidR="00F1634B" w:rsidRPr="00BA6590">
        <w:rPr>
          <w:lang w:val="en-GB"/>
        </w:rPr>
        <w:t>introduc</w:t>
      </w:r>
      <w:r w:rsidR="000E0FAD" w:rsidRPr="00BA6590">
        <w:rPr>
          <w:lang w:val="en-GB"/>
        </w:rPr>
        <w:t>ing</w:t>
      </w:r>
      <w:r w:rsidR="00F1634B" w:rsidRPr="00BA6590">
        <w:rPr>
          <w:lang w:val="en-GB"/>
        </w:rPr>
        <w:t xml:space="preserve"> a specific procedure for admitting third-country nationals for the purposes of scientific </w:t>
      </w:r>
      <w:r w:rsidR="00D17339" w:rsidRPr="00BA6590">
        <w:rPr>
          <w:lang w:val="en-GB"/>
        </w:rPr>
        <w:br/>
      </w:r>
      <w:r w:rsidR="00F1634B" w:rsidRPr="00BA6590">
        <w:rPr>
          <w:lang w:val="en-GB"/>
        </w:rPr>
        <w:t>research</w:t>
      </w:r>
      <w:r w:rsidR="00834782" w:rsidRPr="00BA6590">
        <w:rPr>
          <w:lang w:val="en-GB"/>
        </w:rPr>
        <w:t xml:space="preserve"> (</w:t>
      </w:r>
      <w:r w:rsidR="002420F6" w:rsidRPr="00BA6590">
        <w:rPr>
          <w:lang w:val="en-GB"/>
        </w:rPr>
        <w:t>Moniteur belge</w:t>
      </w:r>
      <w:r w:rsidR="00834782" w:rsidRPr="00BA6590">
        <w:rPr>
          <w:lang w:val="en-GB"/>
        </w:rPr>
        <w:t xml:space="preserve">, 26 </w:t>
      </w:r>
      <w:r w:rsidR="00F1634B" w:rsidRPr="00BA6590">
        <w:rPr>
          <w:lang w:val="en-GB"/>
        </w:rPr>
        <w:t>April</w:t>
      </w:r>
      <w:r w:rsidR="00834782" w:rsidRPr="00BA6590">
        <w:rPr>
          <w:lang w:val="en-GB"/>
        </w:rPr>
        <w:t xml:space="preserve"> 2007)</w:t>
      </w:r>
    </w:p>
    <w:p w:rsidR="00E50B98" w:rsidRPr="00BA6590" w:rsidRDefault="00E50B98" w:rsidP="00F1634B">
      <w:pPr>
        <w:pStyle w:val="SingleTxtG"/>
        <w:rPr>
          <w:lang w:val="en-GB"/>
        </w:rPr>
      </w:pPr>
      <w:r w:rsidRPr="00BA6590">
        <w:rPr>
          <w:lang w:val="en-GB"/>
        </w:rPr>
        <w:t>152.</w:t>
      </w:r>
      <w:r w:rsidRPr="00BA6590">
        <w:rPr>
          <w:lang w:val="en-GB"/>
        </w:rPr>
        <w:tab/>
      </w:r>
      <w:r w:rsidR="00DA2929" w:rsidRPr="00BA6590">
        <w:rPr>
          <w:lang w:val="en-GB"/>
        </w:rPr>
        <w:t xml:space="preserve">This Act partly </w:t>
      </w:r>
      <w:r w:rsidR="00816F73" w:rsidRPr="00BA6590">
        <w:rPr>
          <w:lang w:val="en-GB"/>
        </w:rPr>
        <w:t>incorporates into national law</w:t>
      </w:r>
      <w:r w:rsidR="00DA2929" w:rsidRPr="00BA6590">
        <w:rPr>
          <w:lang w:val="en-GB"/>
        </w:rPr>
        <w:t xml:space="preserve"> Directive 2005/71</w:t>
      </w:r>
      <w:r w:rsidR="004722FA" w:rsidRPr="00BA6590">
        <w:rPr>
          <w:lang w:val="en-GB"/>
        </w:rPr>
        <w:t>/EC</w:t>
      </w:r>
      <w:r w:rsidR="00DA2929" w:rsidRPr="00BA6590">
        <w:rPr>
          <w:lang w:val="en-GB"/>
        </w:rPr>
        <w:t xml:space="preserve"> of</w:t>
      </w:r>
      <w:r w:rsidRPr="00BA6590">
        <w:rPr>
          <w:lang w:val="en-GB"/>
        </w:rPr>
        <w:t xml:space="preserve"> 12 </w:t>
      </w:r>
      <w:r w:rsidR="00DA2929" w:rsidRPr="00BA6590">
        <w:rPr>
          <w:lang w:val="en-GB"/>
        </w:rPr>
        <w:t>October</w:t>
      </w:r>
      <w:r w:rsidRPr="00BA6590">
        <w:rPr>
          <w:lang w:val="en-GB"/>
        </w:rPr>
        <w:t xml:space="preserve"> 2005 </w:t>
      </w:r>
      <w:r w:rsidR="00F1634B" w:rsidRPr="00BA6590">
        <w:rPr>
          <w:lang w:val="en-GB"/>
        </w:rPr>
        <w:t>on a specific procedure for admitting third-country nationals for the purposes of scientific research</w:t>
      </w:r>
      <w:r w:rsidRPr="00BA6590">
        <w:rPr>
          <w:lang w:val="en-GB"/>
        </w:rPr>
        <w:t xml:space="preserve">. </w:t>
      </w:r>
      <w:r w:rsidR="00DA2929" w:rsidRPr="00BA6590">
        <w:rPr>
          <w:lang w:val="en-GB"/>
        </w:rPr>
        <w:t xml:space="preserve">The </w:t>
      </w:r>
      <w:r w:rsidR="00231488" w:rsidRPr="00BA6590">
        <w:rPr>
          <w:lang w:val="en-GB"/>
        </w:rPr>
        <w:t xml:space="preserve">purpose of that </w:t>
      </w:r>
      <w:r w:rsidR="00DA2929" w:rsidRPr="00BA6590">
        <w:rPr>
          <w:lang w:val="en-GB"/>
        </w:rPr>
        <w:t>Directive</w:t>
      </w:r>
      <w:r w:rsidR="00231488" w:rsidRPr="00BA6590">
        <w:rPr>
          <w:lang w:val="en-GB"/>
        </w:rPr>
        <w:t xml:space="preserve"> is to promote the admission and mobility of third-country nationals for stays exceeding three months</w:t>
      </w:r>
      <w:r w:rsidR="00BA252D" w:rsidRPr="00BA6590">
        <w:rPr>
          <w:lang w:val="en-GB"/>
        </w:rPr>
        <w:t xml:space="preserve"> for research purposes</w:t>
      </w:r>
      <w:r w:rsidR="00231488" w:rsidRPr="00BA6590">
        <w:rPr>
          <w:lang w:val="en-GB"/>
        </w:rPr>
        <w:t xml:space="preserve">, to make the Community more attractive for researchers from all over the world and promote its position as an international centre of research. </w:t>
      </w:r>
    </w:p>
    <w:p w:rsidR="00E50B98" w:rsidRPr="00BA6590" w:rsidRDefault="00F11603" w:rsidP="00F11603">
      <w:pPr>
        <w:pStyle w:val="H4G"/>
        <w:rPr>
          <w:lang w:val="en-GB"/>
        </w:rPr>
      </w:pPr>
      <w:r w:rsidRPr="00BA6590">
        <w:rPr>
          <w:lang w:val="en-GB"/>
        </w:rPr>
        <w:tab/>
      </w:r>
      <w:r w:rsidR="00E50B98" w:rsidRPr="00BA6590">
        <w:rPr>
          <w:lang w:val="en-GB"/>
        </w:rPr>
        <w:tab/>
      </w:r>
      <w:r w:rsidR="00231488" w:rsidRPr="00BA6590">
        <w:rPr>
          <w:lang w:val="en-GB"/>
        </w:rPr>
        <w:t xml:space="preserve">Act of </w:t>
      </w:r>
      <w:r w:rsidR="00E50B98" w:rsidRPr="00BA6590">
        <w:rPr>
          <w:lang w:val="en-GB"/>
        </w:rPr>
        <w:t xml:space="preserve">25 </w:t>
      </w:r>
      <w:r w:rsidR="00231488" w:rsidRPr="00BA6590">
        <w:rPr>
          <w:lang w:val="en-GB"/>
        </w:rPr>
        <w:t>April</w:t>
      </w:r>
      <w:r w:rsidR="00E50B98" w:rsidRPr="00BA6590">
        <w:rPr>
          <w:lang w:val="en-GB"/>
        </w:rPr>
        <w:t xml:space="preserve"> 2007</w:t>
      </w:r>
      <w:r w:rsidR="00231488" w:rsidRPr="00BA6590">
        <w:rPr>
          <w:lang w:val="en-GB"/>
        </w:rPr>
        <w:t xml:space="preserve">, amending the </w:t>
      </w:r>
      <w:r w:rsidR="00604511" w:rsidRPr="00BA6590">
        <w:rPr>
          <w:lang w:val="en-GB"/>
        </w:rPr>
        <w:t>Act</w:t>
      </w:r>
      <w:r w:rsidR="003A1F7C" w:rsidRPr="00BA6590">
        <w:rPr>
          <w:lang w:val="en-GB"/>
        </w:rPr>
        <w:t xml:space="preserve"> of 15 December 1980</w:t>
      </w:r>
      <w:r w:rsidR="0032578F" w:rsidRPr="00BA6590">
        <w:rPr>
          <w:lang w:val="en-GB"/>
        </w:rPr>
        <w:t>,</w:t>
      </w:r>
      <w:r w:rsidR="00A25F4D" w:rsidRPr="00BA6590">
        <w:rPr>
          <w:lang w:val="en-GB"/>
        </w:rPr>
        <w:t xml:space="preserve"> on conditions for</w:t>
      </w:r>
      <w:r w:rsidR="00231488" w:rsidRPr="00BA6590">
        <w:rPr>
          <w:lang w:val="en-GB"/>
        </w:rPr>
        <w:t xml:space="preserve"> </w:t>
      </w:r>
      <w:r w:rsidR="00D17339" w:rsidRPr="00BA6590">
        <w:rPr>
          <w:lang w:val="en-GB"/>
        </w:rPr>
        <w:br/>
      </w:r>
      <w:r w:rsidR="00231488" w:rsidRPr="00BA6590">
        <w:rPr>
          <w:lang w:val="en-GB"/>
        </w:rPr>
        <w:t xml:space="preserve">granting and removing long-term resident status and on the residence of EU nationals </w:t>
      </w:r>
      <w:r w:rsidR="00D17339" w:rsidRPr="00BA6590">
        <w:rPr>
          <w:lang w:val="en-GB"/>
        </w:rPr>
        <w:br/>
      </w:r>
      <w:r w:rsidR="00231488" w:rsidRPr="00BA6590">
        <w:rPr>
          <w:lang w:val="en-GB"/>
        </w:rPr>
        <w:t xml:space="preserve">and family members of Belgian nationals </w:t>
      </w:r>
      <w:r w:rsidR="00E50B98" w:rsidRPr="00BA6590">
        <w:rPr>
          <w:lang w:val="en-GB"/>
        </w:rPr>
        <w:t>(</w:t>
      </w:r>
      <w:r w:rsidR="002420F6" w:rsidRPr="00BA6590">
        <w:rPr>
          <w:lang w:val="en-GB"/>
        </w:rPr>
        <w:t>Moniteur belge</w:t>
      </w:r>
      <w:r w:rsidR="00E50B98" w:rsidRPr="00BA6590">
        <w:rPr>
          <w:lang w:val="en-GB"/>
        </w:rPr>
        <w:t xml:space="preserve">,10 </w:t>
      </w:r>
      <w:r w:rsidR="00231488" w:rsidRPr="00BA6590">
        <w:rPr>
          <w:lang w:val="en-GB"/>
        </w:rPr>
        <w:t>May</w:t>
      </w:r>
      <w:r w:rsidR="00E50B98" w:rsidRPr="00BA6590">
        <w:rPr>
          <w:lang w:val="en-GB"/>
        </w:rPr>
        <w:t xml:space="preserve"> 2007)</w:t>
      </w:r>
    </w:p>
    <w:p w:rsidR="00E50B98" w:rsidRPr="00BA6590" w:rsidRDefault="00E50B98" w:rsidP="00F1634B">
      <w:pPr>
        <w:pStyle w:val="SingleTxtG"/>
        <w:rPr>
          <w:lang w:val="en-GB"/>
        </w:rPr>
      </w:pPr>
      <w:r w:rsidRPr="00BA6590">
        <w:rPr>
          <w:lang w:val="en-GB"/>
        </w:rPr>
        <w:t>153.</w:t>
      </w:r>
      <w:r w:rsidRPr="00BA6590">
        <w:rPr>
          <w:lang w:val="en-GB"/>
        </w:rPr>
        <w:tab/>
      </w:r>
      <w:r w:rsidR="00E374E1" w:rsidRPr="00BA6590">
        <w:rPr>
          <w:lang w:val="en-GB"/>
        </w:rPr>
        <w:t xml:space="preserve">This Act </w:t>
      </w:r>
      <w:r w:rsidR="00816F73" w:rsidRPr="00BA6590">
        <w:rPr>
          <w:lang w:val="en-GB"/>
        </w:rPr>
        <w:t>incorporates into national law</w:t>
      </w:r>
      <w:r w:rsidR="00E374E1" w:rsidRPr="00BA6590">
        <w:rPr>
          <w:lang w:val="en-GB"/>
        </w:rPr>
        <w:t>, among other things:</w:t>
      </w:r>
      <w:r w:rsidRPr="00BA6590">
        <w:rPr>
          <w:lang w:val="en-GB"/>
        </w:rPr>
        <w:t xml:space="preserve"> </w:t>
      </w:r>
      <w:r w:rsidR="00E374E1" w:rsidRPr="00BA6590">
        <w:rPr>
          <w:lang w:val="en-GB"/>
        </w:rPr>
        <w:t xml:space="preserve">the provisions relating to entry, residence and departure of Directive </w:t>
      </w:r>
      <w:r w:rsidRPr="00BA6590">
        <w:rPr>
          <w:lang w:val="en-GB"/>
        </w:rPr>
        <w:t>2003/109</w:t>
      </w:r>
      <w:r w:rsidR="004722FA" w:rsidRPr="00BA6590">
        <w:rPr>
          <w:lang w:val="en-GB"/>
        </w:rPr>
        <w:t>/EC</w:t>
      </w:r>
      <w:r w:rsidRPr="00BA6590">
        <w:rPr>
          <w:lang w:val="en-GB"/>
        </w:rPr>
        <w:t xml:space="preserve"> </w:t>
      </w:r>
      <w:r w:rsidR="00E374E1" w:rsidRPr="00BA6590">
        <w:rPr>
          <w:lang w:val="en-GB"/>
        </w:rPr>
        <w:t>of</w:t>
      </w:r>
      <w:r w:rsidRPr="00BA6590">
        <w:rPr>
          <w:lang w:val="en-GB"/>
        </w:rPr>
        <w:t xml:space="preserve"> 25 </w:t>
      </w:r>
      <w:r w:rsidR="00E374E1" w:rsidRPr="00BA6590">
        <w:rPr>
          <w:lang w:val="en-GB"/>
        </w:rPr>
        <w:t>November</w:t>
      </w:r>
      <w:r w:rsidRPr="00BA6590">
        <w:rPr>
          <w:lang w:val="en-GB"/>
        </w:rPr>
        <w:t xml:space="preserve"> 2003 </w:t>
      </w:r>
      <w:r w:rsidR="00E374E1" w:rsidRPr="00BA6590">
        <w:rPr>
          <w:lang w:val="en-GB"/>
        </w:rPr>
        <w:t>on</w:t>
      </w:r>
      <w:r w:rsidR="00F1634B" w:rsidRPr="00BA6590">
        <w:rPr>
          <w:lang w:val="en-GB"/>
        </w:rPr>
        <w:t xml:space="preserve"> the status of third-country nationals who are long-term residents</w:t>
      </w:r>
      <w:r w:rsidR="00F2743E" w:rsidRPr="00BA6590">
        <w:rPr>
          <w:lang w:val="en-GB"/>
        </w:rPr>
        <w:t xml:space="preserve"> and of D</w:t>
      </w:r>
      <w:r w:rsidRPr="00BA6590">
        <w:rPr>
          <w:lang w:val="en-GB"/>
        </w:rPr>
        <w:t>irective 2004/38</w:t>
      </w:r>
      <w:r w:rsidR="004722FA" w:rsidRPr="00BA6590">
        <w:rPr>
          <w:lang w:val="en-GB"/>
        </w:rPr>
        <w:t>/EC</w:t>
      </w:r>
      <w:r w:rsidRPr="00BA6590">
        <w:rPr>
          <w:lang w:val="en-GB"/>
        </w:rPr>
        <w:t xml:space="preserve"> </w:t>
      </w:r>
      <w:r w:rsidR="00F2743E" w:rsidRPr="00BA6590">
        <w:rPr>
          <w:lang w:val="en-GB"/>
        </w:rPr>
        <w:t xml:space="preserve">of </w:t>
      </w:r>
      <w:r w:rsidRPr="00BA6590">
        <w:rPr>
          <w:lang w:val="en-GB"/>
        </w:rPr>
        <w:t>29</w:t>
      </w:r>
      <w:r w:rsidR="00F2743E" w:rsidRPr="00BA6590">
        <w:rPr>
          <w:lang w:val="en-GB"/>
        </w:rPr>
        <w:t xml:space="preserve"> Ap</w:t>
      </w:r>
      <w:r w:rsidRPr="00BA6590">
        <w:rPr>
          <w:lang w:val="en-GB"/>
        </w:rPr>
        <w:t xml:space="preserve">ril 2004 </w:t>
      </w:r>
      <w:r w:rsidR="00F1634B" w:rsidRPr="00BA6590">
        <w:rPr>
          <w:lang w:val="en-GB"/>
        </w:rPr>
        <w:t xml:space="preserve">on the right of </w:t>
      </w:r>
      <w:r w:rsidR="00901A76" w:rsidRPr="00BA6590">
        <w:rPr>
          <w:lang w:val="en-GB"/>
        </w:rPr>
        <w:t xml:space="preserve">EU </w:t>
      </w:r>
      <w:r w:rsidR="00F1634B" w:rsidRPr="00BA6590">
        <w:rPr>
          <w:lang w:val="en-GB"/>
        </w:rPr>
        <w:t xml:space="preserve">citizens and their family members to move and reside freely within the territory of the </w:t>
      </w:r>
      <w:r w:rsidR="00816F73" w:rsidRPr="00BA6590">
        <w:rPr>
          <w:lang w:val="en-GB"/>
        </w:rPr>
        <w:t>member State</w:t>
      </w:r>
      <w:r w:rsidR="00F1634B" w:rsidRPr="00BA6590">
        <w:rPr>
          <w:lang w:val="en-GB"/>
        </w:rPr>
        <w:t>s</w:t>
      </w:r>
      <w:r w:rsidR="00F2743E" w:rsidRPr="00BA6590">
        <w:rPr>
          <w:lang w:val="en-GB"/>
        </w:rPr>
        <w:t>.</w:t>
      </w:r>
      <w:r w:rsidR="00A25F4D" w:rsidRPr="00BA6590">
        <w:rPr>
          <w:rStyle w:val="FootnoteReference"/>
          <w:lang w:val="en-GB"/>
        </w:rPr>
        <w:footnoteReference w:id="24"/>
      </w:r>
    </w:p>
    <w:p w:rsidR="00E50B98" w:rsidRPr="00BA6590" w:rsidRDefault="00E50B98" w:rsidP="00E50B98">
      <w:pPr>
        <w:pStyle w:val="SingleTxtG"/>
        <w:rPr>
          <w:lang w:val="en-GB"/>
        </w:rPr>
      </w:pPr>
      <w:r w:rsidRPr="00BA6590">
        <w:rPr>
          <w:lang w:val="en-GB"/>
        </w:rPr>
        <w:t>154.</w:t>
      </w:r>
      <w:r w:rsidRPr="00BA6590">
        <w:rPr>
          <w:lang w:val="en-GB"/>
        </w:rPr>
        <w:tab/>
      </w:r>
      <w:r w:rsidR="00F2743E" w:rsidRPr="00BA6590">
        <w:rPr>
          <w:lang w:val="en-GB"/>
        </w:rPr>
        <w:t xml:space="preserve">It provides conditions for the granting and withdrawal of long-term resident status </w:t>
      </w:r>
      <w:r w:rsidR="008C0569" w:rsidRPr="00BA6590">
        <w:rPr>
          <w:lang w:val="en-GB"/>
        </w:rPr>
        <w:t xml:space="preserve">for third-country nationals </w:t>
      </w:r>
      <w:r w:rsidR="00884109" w:rsidRPr="00BA6590">
        <w:rPr>
          <w:lang w:val="en-GB"/>
        </w:rPr>
        <w:t>staying</w:t>
      </w:r>
      <w:r w:rsidR="008C0569" w:rsidRPr="00BA6590">
        <w:rPr>
          <w:lang w:val="en-GB"/>
        </w:rPr>
        <w:t xml:space="preserve"> legally in Belgian territory and conditions for holders of that status in another </w:t>
      </w:r>
      <w:r w:rsidR="00816F73" w:rsidRPr="00BA6590">
        <w:rPr>
          <w:lang w:val="en-GB"/>
        </w:rPr>
        <w:t>member State</w:t>
      </w:r>
      <w:r w:rsidR="008C0569" w:rsidRPr="00BA6590">
        <w:rPr>
          <w:lang w:val="en-GB"/>
        </w:rPr>
        <w:t xml:space="preserve"> staying in Belgium. </w:t>
      </w:r>
    </w:p>
    <w:p w:rsidR="00E50B98" w:rsidRPr="00BA6590" w:rsidRDefault="00E50B98" w:rsidP="0026592D">
      <w:pPr>
        <w:pStyle w:val="SingleTxtG"/>
        <w:rPr>
          <w:lang w:val="en-GB"/>
        </w:rPr>
      </w:pPr>
      <w:r w:rsidRPr="00BA6590">
        <w:rPr>
          <w:lang w:val="en-GB"/>
        </w:rPr>
        <w:t>155.</w:t>
      </w:r>
      <w:r w:rsidRPr="00BA6590">
        <w:rPr>
          <w:lang w:val="en-GB"/>
        </w:rPr>
        <w:tab/>
      </w:r>
      <w:r w:rsidR="008C0569" w:rsidRPr="00BA6590">
        <w:rPr>
          <w:lang w:val="en-GB"/>
        </w:rPr>
        <w:t>It also amends regulations on residence for citizens of the Union and their family members</w:t>
      </w:r>
      <w:r w:rsidRPr="00BA6590">
        <w:rPr>
          <w:lang w:val="en-GB"/>
        </w:rPr>
        <w:t>.</w:t>
      </w:r>
      <w:r w:rsidR="008C0569" w:rsidRPr="00BA6590">
        <w:rPr>
          <w:lang w:val="en-GB"/>
        </w:rPr>
        <w:t xml:space="preserve"> Residence for the family members of Belgian nationals is also reformed.</w:t>
      </w:r>
    </w:p>
    <w:p w:rsidR="00E50B98" w:rsidRPr="00BA6590" w:rsidRDefault="00E50B98" w:rsidP="00E50B98">
      <w:pPr>
        <w:pStyle w:val="H4G"/>
        <w:rPr>
          <w:lang w:val="en-GB"/>
        </w:rPr>
      </w:pPr>
      <w:r w:rsidRPr="00BA6590">
        <w:rPr>
          <w:lang w:val="en-GB"/>
        </w:rPr>
        <w:tab/>
      </w:r>
      <w:r w:rsidRPr="00BA6590">
        <w:rPr>
          <w:lang w:val="en-GB"/>
        </w:rPr>
        <w:tab/>
      </w:r>
      <w:r w:rsidR="00DF41BF" w:rsidRPr="00BA6590">
        <w:rPr>
          <w:lang w:val="en-GB"/>
        </w:rPr>
        <w:t xml:space="preserve">Act of </w:t>
      </w:r>
      <w:r w:rsidRPr="00BA6590">
        <w:rPr>
          <w:lang w:val="en-GB"/>
        </w:rPr>
        <w:t xml:space="preserve">7 </w:t>
      </w:r>
      <w:r w:rsidR="00DF41BF" w:rsidRPr="00BA6590">
        <w:rPr>
          <w:lang w:val="en-GB"/>
        </w:rPr>
        <w:t>June</w:t>
      </w:r>
      <w:r w:rsidRPr="00BA6590">
        <w:rPr>
          <w:lang w:val="en-GB"/>
        </w:rPr>
        <w:t xml:space="preserve"> 2009</w:t>
      </w:r>
      <w:r w:rsidR="00DF41BF" w:rsidRPr="00BA6590">
        <w:rPr>
          <w:lang w:val="en-GB"/>
        </w:rPr>
        <w:t xml:space="preserve">, amending the </w:t>
      </w:r>
      <w:r w:rsidR="00604511" w:rsidRPr="00BA6590">
        <w:rPr>
          <w:lang w:val="en-GB"/>
        </w:rPr>
        <w:t>Act</w:t>
      </w:r>
      <w:r w:rsidR="003A1F7C" w:rsidRPr="00BA6590">
        <w:rPr>
          <w:lang w:val="en-GB"/>
        </w:rPr>
        <w:t xml:space="preserve"> of 15 December 1980</w:t>
      </w:r>
      <w:r w:rsidR="0032578F" w:rsidRPr="00BA6590">
        <w:rPr>
          <w:lang w:val="en-GB"/>
        </w:rPr>
        <w:t>,</w:t>
      </w:r>
      <w:r w:rsidRPr="00BA6590">
        <w:rPr>
          <w:lang w:val="en-GB"/>
        </w:rPr>
        <w:t xml:space="preserve"> </w:t>
      </w:r>
      <w:r w:rsidR="00DF41BF" w:rsidRPr="00BA6590">
        <w:rPr>
          <w:lang w:val="en-GB"/>
        </w:rPr>
        <w:t>on medical opinion</w:t>
      </w:r>
      <w:r w:rsidRPr="00BA6590">
        <w:rPr>
          <w:lang w:val="en-GB"/>
        </w:rPr>
        <w:t xml:space="preserve"> </w:t>
      </w:r>
      <w:r w:rsidR="00D17339" w:rsidRPr="00BA6590">
        <w:rPr>
          <w:lang w:val="en-GB"/>
        </w:rPr>
        <w:br/>
      </w:r>
      <w:r w:rsidRPr="00BA6590">
        <w:rPr>
          <w:lang w:val="en-GB"/>
        </w:rPr>
        <w:t>(</w:t>
      </w:r>
      <w:r w:rsidR="002420F6" w:rsidRPr="00BA6590">
        <w:rPr>
          <w:lang w:val="en-GB"/>
        </w:rPr>
        <w:t>Moniteur belge</w:t>
      </w:r>
      <w:r w:rsidRPr="00BA6590">
        <w:rPr>
          <w:lang w:val="en-GB"/>
        </w:rPr>
        <w:t xml:space="preserve">, 3 </w:t>
      </w:r>
      <w:r w:rsidR="00DF41BF" w:rsidRPr="00BA6590">
        <w:rPr>
          <w:lang w:val="en-GB"/>
        </w:rPr>
        <w:t>August</w:t>
      </w:r>
      <w:r w:rsidRPr="00BA6590">
        <w:rPr>
          <w:lang w:val="en-GB"/>
        </w:rPr>
        <w:t xml:space="preserve"> 2009)</w:t>
      </w:r>
    </w:p>
    <w:p w:rsidR="00E50B98" w:rsidRPr="00BA6590" w:rsidRDefault="00E50B98" w:rsidP="00E50B98">
      <w:pPr>
        <w:pStyle w:val="SingleTxtG"/>
        <w:rPr>
          <w:lang w:val="en-GB"/>
        </w:rPr>
      </w:pPr>
      <w:r w:rsidRPr="00BA6590">
        <w:rPr>
          <w:lang w:val="en-GB"/>
        </w:rPr>
        <w:t>156.</w:t>
      </w:r>
      <w:r w:rsidRPr="00BA6590">
        <w:rPr>
          <w:lang w:val="en-GB"/>
        </w:rPr>
        <w:tab/>
      </w:r>
      <w:r w:rsidR="00DF41BF" w:rsidRPr="00BA6590">
        <w:rPr>
          <w:lang w:val="en-GB"/>
        </w:rPr>
        <w:t xml:space="preserve">This Act enables doctors who are not public employees to submit an opinion </w:t>
      </w:r>
      <w:r w:rsidR="00901A76" w:rsidRPr="00BA6590">
        <w:rPr>
          <w:lang w:val="en-GB"/>
        </w:rPr>
        <w:t>under</w:t>
      </w:r>
      <w:r w:rsidR="00DF41BF" w:rsidRPr="00BA6590">
        <w:rPr>
          <w:lang w:val="en-GB"/>
        </w:rPr>
        <w:t xml:space="preserve"> the </w:t>
      </w:r>
      <w:r w:rsidR="009F3344" w:rsidRPr="00BA6590">
        <w:rPr>
          <w:lang w:val="en-GB"/>
        </w:rPr>
        <w:t xml:space="preserve">procedure for </w:t>
      </w:r>
      <w:r w:rsidR="00DF41BF" w:rsidRPr="00BA6590">
        <w:rPr>
          <w:lang w:val="en-GB"/>
        </w:rPr>
        <w:t xml:space="preserve">residence authorization </w:t>
      </w:r>
      <w:r w:rsidR="009F3344" w:rsidRPr="00BA6590">
        <w:rPr>
          <w:lang w:val="en-GB"/>
        </w:rPr>
        <w:t>on medical grounds</w:t>
      </w:r>
      <w:r w:rsidR="00DF41BF" w:rsidRPr="00BA6590">
        <w:rPr>
          <w:lang w:val="en-GB"/>
        </w:rPr>
        <w:t xml:space="preserve"> when that opinion cannot be provided by a doctor who is a public servant, either because the position is vacant or because the doctor is overworked. </w:t>
      </w:r>
    </w:p>
    <w:p w:rsidR="00E50B98" w:rsidRPr="00BA6590" w:rsidRDefault="00F11603" w:rsidP="00F11603">
      <w:pPr>
        <w:pStyle w:val="H4G"/>
        <w:rPr>
          <w:lang w:val="en-GB"/>
        </w:rPr>
      </w:pPr>
      <w:r w:rsidRPr="00BA6590">
        <w:rPr>
          <w:lang w:val="en-GB"/>
        </w:rPr>
        <w:tab/>
      </w:r>
      <w:r w:rsidR="00E50B98" w:rsidRPr="00BA6590">
        <w:rPr>
          <w:lang w:val="en-GB"/>
        </w:rPr>
        <w:tab/>
      </w:r>
      <w:r w:rsidR="00DF41BF" w:rsidRPr="00BA6590">
        <w:rPr>
          <w:lang w:val="en-GB"/>
        </w:rPr>
        <w:t xml:space="preserve">Act of </w:t>
      </w:r>
      <w:r w:rsidR="00E50B98" w:rsidRPr="00BA6590">
        <w:rPr>
          <w:lang w:val="en-GB"/>
        </w:rPr>
        <w:t xml:space="preserve">29 </w:t>
      </w:r>
      <w:r w:rsidR="00DF41BF" w:rsidRPr="00BA6590">
        <w:rPr>
          <w:lang w:val="en-GB"/>
        </w:rPr>
        <w:t>December</w:t>
      </w:r>
      <w:r w:rsidR="00E50B98" w:rsidRPr="00BA6590">
        <w:rPr>
          <w:lang w:val="en-GB"/>
        </w:rPr>
        <w:t xml:space="preserve"> 2010</w:t>
      </w:r>
      <w:r w:rsidR="009F3344" w:rsidRPr="00BA6590">
        <w:rPr>
          <w:lang w:val="en-GB"/>
        </w:rPr>
        <w:t xml:space="preserve"> introducing various modifications to the procedure for </w:t>
      </w:r>
      <w:r w:rsidR="00D17339" w:rsidRPr="00BA6590">
        <w:rPr>
          <w:lang w:val="en-GB"/>
        </w:rPr>
        <w:br/>
      </w:r>
      <w:r w:rsidR="009F3344" w:rsidRPr="00BA6590">
        <w:rPr>
          <w:lang w:val="en-GB"/>
        </w:rPr>
        <w:t xml:space="preserve">residence authorization on medical grounds </w:t>
      </w:r>
      <w:r w:rsidR="00E50B98" w:rsidRPr="00BA6590">
        <w:rPr>
          <w:lang w:val="en-GB"/>
        </w:rPr>
        <w:t>(</w:t>
      </w:r>
      <w:r w:rsidR="002420F6" w:rsidRPr="00BA6590">
        <w:rPr>
          <w:lang w:val="en-GB"/>
        </w:rPr>
        <w:t>Moniteur belge</w:t>
      </w:r>
      <w:r w:rsidR="00E50B98" w:rsidRPr="00BA6590">
        <w:rPr>
          <w:lang w:val="en-GB"/>
        </w:rPr>
        <w:t xml:space="preserve">, 31 </w:t>
      </w:r>
      <w:r w:rsidR="009F3344" w:rsidRPr="00BA6590">
        <w:rPr>
          <w:lang w:val="en-GB"/>
        </w:rPr>
        <w:t>December</w:t>
      </w:r>
      <w:r w:rsidR="00E50B98" w:rsidRPr="00BA6590">
        <w:rPr>
          <w:lang w:val="en-GB"/>
        </w:rPr>
        <w:t xml:space="preserve"> 2010)</w:t>
      </w:r>
    </w:p>
    <w:p w:rsidR="00E50B98" w:rsidRPr="00BA6590" w:rsidRDefault="00E50B98" w:rsidP="00834782">
      <w:pPr>
        <w:pStyle w:val="SingleTxtG"/>
        <w:rPr>
          <w:lang w:val="en-GB"/>
        </w:rPr>
      </w:pPr>
      <w:r w:rsidRPr="00BA6590">
        <w:rPr>
          <w:lang w:val="en-GB"/>
        </w:rPr>
        <w:t>157.</w:t>
      </w:r>
      <w:r w:rsidRPr="00BA6590">
        <w:rPr>
          <w:lang w:val="en-GB"/>
        </w:rPr>
        <w:tab/>
      </w:r>
      <w:r w:rsidR="009F3344" w:rsidRPr="00BA6590">
        <w:rPr>
          <w:lang w:val="en-GB"/>
        </w:rPr>
        <w:t>This Act modifies provisions for the application of article</w:t>
      </w:r>
      <w:r w:rsidRPr="00BA6590">
        <w:rPr>
          <w:lang w:val="en-GB"/>
        </w:rPr>
        <w:t xml:space="preserve"> 9 </w:t>
      </w:r>
      <w:r w:rsidRPr="00BA6590">
        <w:rPr>
          <w:i/>
          <w:iCs/>
          <w:lang w:val="en-GB"/>
        </w:rPr>
        <w:t>ter</w:t>
      </w:r>
      <w:r w:rsidRPr="00BA6590">
        <w:rPr>
          <w:lang w:val="en-GB"/>
        </w:rPr>
        <w:t xml:space="preserve"> </w:t>
      </w:r>
      <w:r w:rsidR="009F3344" w:rsidRPr="00BA6590">
        <w:rPr>
          <w:lang w:val="en-GB"/>
        </w:rPr>
        <w:t xml:space="preserve">of the </w:t>
      </w:r>
      <w:r w:rsidR="00604511" w:rsidRPr="00BA6590">
        <w:rPr>
          <w:lang w:val="en-GB"/>
        </w:rPr>
        <w:t>Act</w:t>
      </w:r>
      <w:r w:rsidR="003A1F7C" w:rsidRPr="00BA6590">
        <w:rPr>
          <w:lang w:val="en-GB"/>
        </w:rPr>
        <w:t xml:space="preserve"> of 15 December 1980</w:t>
      </w:r>
      <w:r w:rsidRPr="00BA6590">
        <w:rPr>
          <w:lang w:val="en-GB"/>
        </w:rPr>
        <w:t>.</w:t>
      </w:r>
      <w:r w:rsidR="009F3344" w:rsidRPr="00BA6590">
        <w:rPr>
          <w:lang w:val="en-GB"/>
        </w:rPr>
        <w:t xml:space="preserve"> It arose out of a decision of the Constitutional Court, dated </w:t>
      </w:r>
      <w:r w:rsidRPr="00BA6590">
        <w:rPr>
          <w:lang w:val="en-GB"/>
        </w:rPr>
        <w:t>26</w:t>
      </w:r>
      <w:r w:rsidR="009F3344" w:rsidRPr="00BA6590">
        <w:rPr>
          <w:lang w:val="en-GB"/>
        </w:rPr>
        <w:t xml:space="preserve"> November</w:t>
      </w:r>
      <w:r w:rsidRPr="00BA6590">
        <w:rPr>
          <w:lang w:val="en-GB"/>
        </w:rPr>
        <w:t xml:space="preserve"> 2009</w:t>
      </w:r>
      <w:r w:rsidR="009F3344" w:rsidRPr="00BA6590">
        <w:rPr>
          <w:lang w:val="en-GB"/>
        </w:rPr>
        <w:t>.</w:t>
      </w:r>
      <w:r w:rsidR="00BD4047" w:rsidRPr="00BA6590">
        <w:rPr>
          <w:rStyle w:val="FootnoteReference"/>
          <w:lang w:val="en-GB"/>
        </w:rPr>
        <w:footnoteReference w:id="25"/>
      </w:r>
      <w:r w:rsidRPr="00BA6590">
        <w:rPr>
          <w:lang w:val="en-GB"/>
        </w:rPr>
        <w:t xml:space="preserve"> </w:t>
      </w:r>
      <w:r w:rsidR="009F3344" w:rsidRPr="00BA6590">
        <w:rPr>
          <w:lang w:val="en-GB"/>
        </w:rPr>
        <w:t>This related to differences</w:t>
      </w:r>
      <w:r w:rsidR="00F32C5E" w:rsidRPr="00BA6590">
        <w:rPr>
          <w:lang w:val="en-GB"/>
        </w:rPr>
        <w:t xml:space="preserve"> in treatment</w:t>
      </w:r>
      <w:r w:rsidR="009F3344" w:rsidRPr="00BA6590">
        <w:rPr>
          <w:lang w:val="en-GB"/>
        </w:rPr>
        <w:t>, which were judged to be unconstitutional, between the conditions of</w:t>
      </w:r>
      <w:r w:rsidRPr="00BA6590">
        <w:rPr>
          <w:lang w:val="en-GB"/>
        </w:rPr>
        <w:t xml:space="preserve"> </w:t>
      </w:r>
      <w:r w:rsidR="009F3344" w:rsidRPr="00BA6590">
        <w:rPr>
          <w:lang w:val="en-GB"/>
        </w:rPr>
        <w:t>admissibility of an application for subsidiary protection status on medical grounds and those of a simila</w:t>
      </w:r>
      <w:r w:rsidR="00B347B7" w:rsidRPr="00BA6590">
        <w:rPr>
          <w:lang w:val="en-GB"/>
        </w:rPr>
        <w:t>r application on</w:t>
      </w:r>
      <w:r w:rsidR="009F3344" w:rsidRPr="00BA6590">
        <w:rPr>
          <w:lang w:val="en-GB"/>
        </w:rPr>
        <w:t xml:space="preserve"> non-medical grounds</w:t>
      </w:r>
      <w:r w:rsidR="00B347B7" w:rsidRPr="00BA6590">
        <w:rPr>
          <w:lang w:val="en-GB"/>
        </w:rPr>
        <w:t>. The amended article</w:t>
      </w:r>
      <w:r w:rsidR="009F3344" w:rsidRPr="00BA6590">
        <w:rPr>
          <w:lang w:val="en-GB"/>
        </w:rPr>
        <w:t xml:space="preserve"> </w:t>
      </w:r>
      <w:r w:rsidRPr="00BA6590">
        <w:rPr>
          <w:lang w:val="en-GB"/>
        </w:rPr>
        <w:t>9</w:t>
      </w:r>
      <w:r w:rsidR="00B347B7" w:rsidRPr="00BA6590">
        <w:rPr>
          <w:lang w:val="en-GB"/>
        </w:rPr>
        <w:t xml:space="preserve"> </w:t>
      </w:r>
      <w:r w:rsidRPr="00BA6590">
        <w:rPr>
          <w:i/>
          <w:iCs/>
          <w:lang w:val="en-GB"/>
        </w:rPr>
        <w:t>ter</w:t>
      </w:r>
      <w:r w:rsidRPr="00BA6590">
        <w:rPr>
          <w:lang w:val="en-GB"/>
        </w:rPr>
        <w:t xml:space="preserve"> </w:t>
      </w:r>
      <w:r w:rsidR="00B347B7" w:rsidRPr="00BA6590">
        <w:rPr>
          <w:lang w:val="en-GB"/>
        </w:rPr>
        <w:t xml:space="preserve">provides for an adapted approach to determining identity reliably in such situations. </w:t>
      </w:r>
    </w:p>
    <w:p w:rsidR="00E50B98" w:rsidRPr="00BA6590" w:rsidRDefault="00E50B98" w:rsidP="00E50B98">
      <w:pPr>
        <w:pStyle w:val="SingleTxtG"/>
        <w:rPr>
          <w:lang w:val="en-GB"/>
        </w:rPr>
      </w:pPr>
      <w:r w:rsidRPr="00BA6590">
        <w:rPr>
          <w:lang w:val="en-GB"/>
        </w:rPr>
        <w:t>158.</w:t>
      </w:r>
      <w:r w:rsidRPr="00BA6590">
        <w:rPr>
          <w:lang w:val="en-GB"/>
        </w:rPr>
        <w:tab/>
      </w:r>
      <w:r w:rsidR="00B347B7" w:rsidRPr="00BA6590">
        <w:rPr>
          <w:lang w:val="en-GB"/>
        </w:rPr>
        <w:t>The legislators have also modified a number of other elements relating to the admissibility stage</w:t>
      </w:r>
      <w:r w:rsidRPr="00BA6590">
        <w:rPr>
          <w:lang w:val="en-GB"/>
        </w:rPr>
        <w:t>:</w:t>
      </w:r>
    </w:p>
    <w:p w:rsidR="00E50B98" w:rsidRPr="00BA6590" w:rsidRDefault="00B347B7" w:rsidP="00BD4047">
      <w:pPr>
        <w:pStyle w:val="Bullet1G"/>
        <w:rPr>
          <w:lang w:val="en-GB"/>
        </w:rPr>
      </w:pPr>
      <w:r w:rsidRPr="00BA6590">
        <w:rPr>
          <w:lang w:val="en-GB"/>
        </w:rPr>
        <w:t xml:space="preserve">An application is admissible when it is signed by the </w:t>
      </w:r>
      <w:r w:rsidR="00901A76" w:rsidRPr="00BA6590">
        <w:rPr>
          <w:lang w:val="en-GB"/>
        </w:rPr>
        <w:t>Minister or his or her representative</w:t>
      </w:r>
      <w:r w:rsidRPr="00BA6590">
        <w:rPr>
          <w:lang w:val="en-GB"/>
        </w:rPr>
        <w:t xml:space="preserve"> and includes the address of the applicant</w:t>
      </w:r>
      <w:r w:rsidR="00A216FB" w:rsidRPr="00BA6590">
        <w:rPr>
          <w:lang w:val="en-GB"/>
        </w:rPr>
        <w:t>’</w:t>
      </w:r>
      <w:r w:rsidRPr="00BA6590">
        <w:rPr>
          <w:lang w:val="en-GB"/>
        </w:rPr>
        <w:t>s actual place of residence in Belgium</w:t>
      </w:r>
      <w:r w:rsidR="00D17339" w:rsidRPr="00BA6590">
        <w:rPr>
          <w:lang w:val="en-GB"/>
        </w:rPr>
        <w:t>.</w:t>
      </w:r>
    </w:p>
    <w:p w:rsidR="00E50B98" w:rsidRPr="00BA6590" w:rsidRDefault="00B347B7" w:rsidP="00BD4047">
      <w:pPr>
        <w:pStyle w:val="Bullet1G"/>
        <w:rPr>
          <w:lang w:val="en-GB"/>
        </w:rPr>
      </w:pPr>
      <w:r w:rsidRPr="00BA6590">
        <w:rPr>
          <w:lang w:val="en-GB"/>
        </w:rPr>
        <w:t>The applicant must prove his medical condition in accordance with legal provisions, by means of a standard medical certificate. The latter must list the medical condition, its level of seriousness and the treatment required</w:t>
      </w:r>
      <w:r w:rsidR="00D17339" w:rsidRPr="00BA6590">
        <w:rPr>
          <w:lang w:val="en-GB"/>
        </w:rPr>
        <w:t>.</w:t>
      </w:r>
    </w:p>
    <w:p w:rsidR="00E50B98" w:rsidRPr="00BA6590" w:rsidRDefault="00B347B7" w:rsidP="00BD4047">
      <w:pPr>
        <w:pStyle w:val="Bullet1G"/>
        <w:rPr>
          <w:lang w:val="en-GB"/>
        </w:rPr>
      </w:pPr>
      <w:r w:rsidRPr="00BA6590">
        <w:rPr>
          <w:lang w:val="en-GB"/>
        </w:rPr>
        <w:t xml:space="preserve">Lastly, </w:t>
      </w:r>
      <w:r w:rsidR="00816F73" w:rsidRPr="00BA6590">
        <w:rPr>
          <w:lang w:val="en-GB"/>
        </w:rPr>
        <w:t>Immigration Office</w:t>
      </w:r>
      <w:r w:rsidRPr="00BA6590">
        <w:rPr>
          <w:lang w:val="en-GB"/>
        </w:rPr>
        <w:t xml:space="preserve"> staff are bound by the rules of professional secrecy in relation to their access to medical information in t</w:t>
      </w:r>
      <w:r w:rsidR="00A01778" w:rsidRPr="00BA6590">
        <w:rPr>
          <w:lang w:val="en-GB"/>
        </w:rPr>
        <w:t>he performance of their duties.</w:t>
      </w:r>
    </w:p>
    <w:p w:rsidR="00E50B98" w:rsidRPr="00BA6590" w:rsidRDefault="00BD4047" w:rsidP="00BD4047">
      <w:pPr>
        <w:pStyle w:val="H4G"/>
        <w:rPr>
          <w:lang w:val="en-GB"/>
        </w:rPr>
      </w:pPr>
      <w:r w:rsidRPr="00BA6590">
        <w:rPr>
          <w:lang w:val="en-GB"/>
        </w:rPr>
        <w:tab/>
      </w:r>
      <w:r w:rsidR="00E50B98" w:rsidRPr="00BA6590">
        <w:rPr>
          <w:lang w:val="en-GB"/>
        </w:rPr>
        <w:tab/>
      </w:r>
      <w:r w:rsidR="008A3792" w:rsidRPr="00BA6590">
        <w:rPr>
          <w:lang w:val="en-GB"/>
        </w:rPr>
        <w:t xml:space="preserve">Act of </w:t>
      </w:r>
      <w:r w:rsidR="00E50B98" w:rsidRPr="00BA6590">
        <w:rPr>
          <w:lang w:val="en-GB"/>
        </w:rPr>
        <w:t xml:space="preserve">8 </w:t>
      </w:r>
      <w:r w:rsidR="008A3792" w:rsidRPr="00BA6590">
        <w:rPr>
          <w:lang w:val="en-GB"/>
        </w:rPr>
        <w:t>January</w:t>
      </w:r>
      <w:r w:rsidR="00E50B98" w:rsidRPr="00BA6590">
        <w:rPr>
          <w:lang w:val="en-GB"/>
        </w:rPr>
        <w:t xml:space="preserve"> 2012</w:t>
      </w:r>
      <w:r w:rsidR="008A3792" w:rsidRPr="00BA6590">
        <w:rPr>
          <w:lang w:val="en-GB"/>
        </w:rPr>
        <w:t>, amending article 9</w:t>
      </w:r>
      <w:r w:rsidR="00E50B98" w:rsidRPr="00BA6590">
        <w:rPr>
          <w:lang w:val="en-GB"/>
        </w:rPr>
        <w:t xml:space="preserve"> ter </w:t>
      </w:r>
      <w:r w:rsidR="008A3792" w:rsidRPr="00BA6590">
        <w:rPr>
          <w:lang w:val="en-GB"/>
        </w:rPr>
        <w:t xml:space="preserve">of the </w:t>
      </w:r>
      <w:r w:rsidR="003A1F7C" w:rsidRPr="00BA6590">
        <w:rPr>
          <w:lang w:val="en-GB"/>
        </w:rPr>
        <w:t>Act of 15 December 1980</w:t>
      </w:r>
      <w:r w:rsidR="008A3792" w:rsidRPr="00BA6590">
        <w:rPr>
          <w:lang w:val="en-GB"/>
        </w:rPr>
        <w:t xml:space="preserve"> </w:t>
      </w:r>
      <w:r w:rsidR="00A01778" w:rsidRPr="00BA6590">
        <w:rPr>
          <w:lang w:val="en-GB"/>
        </w:rPr>
        <w:br/>
      </w:r>
      <w:r w:rsidR="00E50B98" w:rsidRPr="00BA6590">
        <w:rPr>
          <w:lang w:val="en-GB"/>
        </w:rPr>
        <w:t>(</w:t>
      </w:r>
      <w:r w:rsidR="002420F6" w:rsidRPr="00BA6590">
        <w:rPr>
          <w:lang w:val="en-GB"/>
        </w:rPr>
        <w:t>Moniteur belge</w:t>
      </w:r>
      <w:r w:rsidR="00E50B98" w:rsidRPr="00BA6590">
        <w:rPr>
          <w:lang w:val="en-GB"/>
        </w:rPr>
        <w:t xml:space="preserve">, 6 </w:t>
      </w:r>
      <w:r w:rsidR="008A3792" w:rsidRPr="00BA6590">
        <w:rPr>
          <w:lang w:val="en-GB"/>
        </w:rPr>
        <w:t>February</w:t>
      </w:r>
      <w:r w:rsidR="00E50B98" w:rsidRPr="00BA6590">
        <w:rPr>
          <w:lang w:val="en-GB"/>
        </w:rPr>
        <w:t xml:space="preserve"> 2012)</w:t>
      </w:r>
    </w:p>
    <w:p w:rsidR="00E50B98" w:rsidRPr="00BA6590" w:rsidRDefault="00E50B98" w:rsidP="00E50B98">
      <w:pPr>
        <w:pStyle w:val="SingleTxtG"/>
        <w:rPr>
          <w:lang w:val="en-GB"/>
        </w:rPr>
      </w:pPr>
      <w:r w:rsidRPr="00BA6590">
        <w:rPr>
          <w:lang w:val="en-GB"/>
        </w:rPr>
        <w:t>159.</w:t>
      </w:r>
      <w:r w:rsidRPr="00BA6590">
        <w:rPr>
          <w:lang w:val="en-GB"/>
        </w:rPr>
        <w:tab/>
      </w:r>
      <w:r w:rsidR="008A3792" w:rsidRPr="00BA6590">
        <w:rPr>
          <w:lang w:val="en-GB"/>
        </w:rPr>
        <w:t xml:space="preserve">This Act modifies the procedure provided for in </w:t>
      </w:r>
      <w:r w:rsidRPr="00BA6590">
        <w:rPr>
          <w:lang w:val="en-GB"/>
        </w:rPr>
        <w:t xml:space="preserve">article 9 </w:t>
      </w:r>
      <w:r w:rsidRPr="00BA6590">
        <w:rPr>
          <w:i/>
          <w:iCs/>
          <w:lang w:val="en-GB"/>
        </w:rPr>
        <w:t>ter</w:t>
      </w:r>
      <w:r w:rsidRPr="00BA6590">
        <w:rPr>
          <w:lang w:val="en-GB"/>
        </w:rPr>
        <w:t xml:space="preserve"> </w:t>
      </w:r>
      <w:r w:rsidR="008A3792" w:rsidRPr="00BA6590">
        <w:rPr>
          <w:lang w:val="en-GB"/>
        </w:rPr>
        <w:t xml:space="preserve">of the </w:t>
      </w:r>
      <w:r w:rsidR="003A1F7C" w:rsidRPr="00BA6590">
        <w:rPr>
          <w:lang w:val="en-GB"/>
        </w:rPr>
        <w:t>Act of 15 December 1980</w:t>
      </w:r>
      <w:r w:rsidR="008A3792" w:rsidRPr="00BA6590">
        <w:rPr>
          <w:lang w:val="en-GB"/>
        </w:rPr>
        <w:t>, to enable seriously ill foreign nationals to obtain residence authorization if their departure would have an unacceptable humanitarian impact. It is also intended to restrict any abuse of this procedure.</w:t>
      </w:r>
      <w:r w:rsidR="00BD4047" w:rsidRPr="00BA6590">
        <w:rPr>
          <w:rStyle w:val="FootnoteReference"/>
          <w:lang w:val="en-GB"/>
        </w:rPr>
        <w:footnoteReference w:id="26"/>
      </w:r>
    </w:p>
    <w:p w:rsidR="00E50B98" w:rsidRPr="00BA6590" w:rsidRDefault="00BD4047" w:rsidP="00BD4047">
      <w:pPr>
        <w:pStyle w:val="H23G"/>
        <w:rPr>
          <w:lang w:val="en-GB"/>
        </w:rPr>
      </w:pPr>
      <w:r w:rsidRPr="00BA6590">
        <w:rPr>
          <w:lang w:val="en-GB"/>
        </w:rPr>
        <w:tab/>
      </w:r>
      <w:r w:rsidR="00E50B98" w:rsidRPr="00BA6590">
        <w:rPr>
          <w:lang w:val="en-GB"/>
        </w:rPr>
        <w:t>5.</w:t>
      </w:r>
      <w:r w:rsidR="00E50B98" w:rsidRPr="00BA6590">
        <w:rPr>
          <w:lang w:val="en-GB"/>
        </w:rPr>
        <w:tab/>
      </w:r>
      <w:r w:rsidR="00901A76" w:rsidRPr="00BA6590">
        <w:rPr>
          <w:lang w:val="en-GB"/>
        </w:rPr>
        <w:t>Expulsion</w:t>
      </w:r>
    </w:p>
    <w:p w:rsidR="00E50B98" w:rsidRPr="00BA6590" w:rsidRDefault="00BD4047" w:rsidP="00BD4047">
      <w:pPr>
        <w:pStyle w:val="H4G"/>
        <w:rPr>
          <w:lang w:val="en-GB"/>
        </w:rPr>
      </w:pPr>
      <w:r w:rsidRPr="00BA6590">
        <w:rPr>
          <w:lang w:val="en-GB"/>
        </w:rPr>
        <w:tab/>
      </w:r>
      <w:r w:rsidRPr="00BA6590">
        <w:rPr>
          <w:lang w:val="en-GB"/>
        </w:rPr>
        <w:tab/>
      </w:r>
      <w:r w:rsidR="008A3792" w:rsidRPr="00BA6590">
        <w:rPr>
          <w:lang w:val="en-GB"/>
        </w:rPr>
        <w:t xml:space="preserve">Act of </w:t>
      </w:r>
      <w:r w:rsidR="00E50B98" w:rsidRPr="00BA6590">
        <w:rPr>
          <w:lang w:val="en-GB"/>
        </w:rPr>
        <w:t xml:space="preserve">6 </w:t>
      </w:r>
      <w:r w:rsidR="008A3792" w:rsidRPr="00BA6590">
        <w:rPr>
          <w:lang w:val="en-GB"/>
        </w:rPr>
        <w:t>May</w:t>
      </w:r>
      <w:r w:rsidR="00E50B98" w:rsidRPr="00BA6590">
        <w:rPr>
          <w:lang w:val="en-GB"/>
        </w:rPr>
        <w:t xml:space="preserve"> 2009</w:t>
      </w:r>
      <w:r w:rsidR="008A3792" w:rsidRPr="00BA6590">
        <w:rPr>
          <w:lang w:val="en-GB"/>
        </w:rPr>
        <w:t xml:space="preserve"> </w:t>
      </w:r>
      <w:r w:rsidR="003A1F7C" w:rsidRPr="00BA6590">
        <w:rPr>
          <w:lang w:val="en-GB"/>
        </w:rPr>
        <w:t xml:space="preserve">containing various provisions on asylum and immigration </w:t>
      </w:r>
      <w:r w:rsidR="00A01778" w:rsidRPr="00BA6590">
        <w:rPr>
          <w:lang w:val="en-GB"/>
        </w:rPr>
        <w:br/>
      </w:r>
      <w:r w:rsidR="00834782" w:rsidRPr="00BA6590">
        <w:rPr>
          <w:lang w:val="en-GB"/>
        </w:rPr>
        <w:t>(</w:t>
      </w:r>
      <w:r w:rsidR="002420F6" w:rsidRPr="00BA6590">
        <w:rPr>
          <w:lang w:val="en-GB"/>
        </w:rPr>
        <w:t>Moniteur belge</w:t>
      </w:r>
      <w:r w:rsidR="00E50B98" w:rsidRPr="00BA6590">
        <w:rPr>
          <w:lang w:val="en-GB"/>
        </w:rPr>
        <w:t xml:space="preserve">, 19 </w:t>
      </w:r>
      <w:r w:rsidR="008A3792" w:rsidRPr="00BA6590">
        <w:rPr>
          <w:lang w:val="en-GB"/>
        </w:rPr>
        <w:t>May</w:t>
      </w:r>
      <w:r w:rsidR="00E50B98" w:rsidRPr="00BA6590">
        <w:rPr>
          <w:lang w:val="en-GB"/>
        </w:rPr>
        <w:t xml:space="preserve"> 2009)</w:t>
      </w:r>
    </w:p>
    <w:p w:rsidR="00E50B98" w:rsidRPr="00BA6590" w:rsidRDefault="00E50B98" w:rsidP="00EE42B4">
      <w:pPr>
        <w:pStyle w:val="SingleTxtG"/>
        <w:rPr>
          <w:lang w:val="en-GB"/>
        </w:rPr>
      </w:pPr>
      <w:r w:rsidRPr="00BA6590">
        <w:rPr>
          <w:lang w:val="en-GB"/>
        </w:rPr>
        <w:t>160.</w:t>
      </w:r>
      <w:r w:rsidRPr="00BA6590">
        <w:rPr>
          <w:lang w:val="en-GB"/>
        </w:rPr>
        <w:tab/>
      </w:r>
      <w:r w:rsidR="00033F29" w:rsidRPr="00BA6590">
        <w:rPr>
          <w:lang w:val="en-GB"/>
        </w:rPr>
        <w:t xml:space="preserve">This Act amends article 39/82, paragraph </w:t>
      </w:r>
      <w:r w:rsidRPr="00BA6590">
        <w:rPr>
          <w:lang w:val="en-GB"/>
        </w:rPr>
        <w:t>4</w:t>
      </w:r>
      <w:r w:rsidR="00033F29" w:rsidRPr="00BA6590">
        <w:rPr>
          <w:lang w:val="en-GB"/>
        </w:rPr>
        <w:t>.2, and</w:t>
      </w:r>
      <w:r w:rsidRPr="00BA6590">
        <w:rPr>
          <w:lang w:val="en-GB"/>
        </w:rPr>
        <w:t xml:space="preserve"> </w:t>
      </w:r>
      <w:r w:rsidR="00033F29" w:rsidRPr="00BA6590">
        <w:rPr>
          <w:lang w:val="en-GB"/>
        </w:rPr>
        <w:t xml:space="preserve">article </w:t>
      </w:r>
      <w:r w:rsidRPr="00BA6590">
        <w:rPr>
          <w:lang w:val="en-GB"/>
        </w:rPr>
        <w:t>39/83</w:t>
      </w:r>
      <w:r w:rsidR="00033F29" w:rsidRPr="00BA6590">
        <w:rPr>
          <w:lang w:val="en-GB"/>
        </w:rPr>
        <w:t xml:space="preserve"> of the</w:t>
      </w:r>
      <w:r w:rsidR="003A1F7C" w:rsidRPr="00BA6590">
        <w:rPr>
          <w:lang w:val="en-GB"/>
        </w:rPr>
        <w:t xml:space="preserve"> Act of 15 December 1980</w:t>
      </w:r>
      <w:r w:rsidRPr="00BA6590">
        <w:rPr>
          <w:lang w:val="en-GB"/>
        </w:rPr>
        <w:t>.</w:t>
      </w:r>
    </w:p>
    <w:p w:rsidR="00E50B98" w:rsidRPr="00BA6590" w:rsidRDefault="00E50B98" w:rsidP="00D9671B">
      <w:pPr>
        <w:pStyle w:val="SingleTxtG"/>
        <w:rPr>
          <w:lang w:val="en-GB"/>
        </w:rPr>
      </w:pPr>
      <w:r w:rsidRPr="00BA6590">
        <w:rPr>
          <w:lang w:val="en-GB"/>
        </w:rPr>
        <w:t>161.</w:t>
      </w:r>
      <w:r w:rsidRPr="00BA6590">
        <w:rPr>
          <w:lang w:val="en-GB"/>
        </w:rPr>
        <w:tab/>
      </w:r>
      <w:r w:rsidR="00033F29" w:rsidRPr="00BA6590">
        <w:rPr>
          <w:lang w:val="en-GB"/>
        </w:rPr>
        <w:t xml:space="preserve">Pursuant to </w:t>
      </w:r>
      <w:r w:rsidRPr="00BA6590">
        <w:rPr>
          <w:lang w:val="en-GB"/>
        </w:rPr>
        <w:t>article 39/83</w:t>
      </w:r>
      <w:r w:rsidR="00033F29" w:rsidRPr="00BA6590">
        <w:rPr>
          <w:lang w:val="en-GB"/>
        </w:rPr>
        <w:t xml:space="preserve"> of the same Act, unless the person concerned consents to it, an expulsion </w:t>
      </w:r>
      <w:r w:rsidR="00D704F8" w:rsidRPr="00BA6590">
        <w:rPr>
          <w:lang w:val="en-GB"/>
        </w:rPr>
        <w:t>or return</w:t>
      </w:r>
      <w:r w:rsidR="00033F29" w:rsidRPr="00BA6590">
        <w:rPr>
          <w:lang w:val="en-GB"/>
        </w:rPr>
        <w:t xml:space="preserve"> measure affecting the foreign national shall not be enforced sooner than five days following the notification of the measure; that period is to include no fewer than three working days. This replaces the 24-hour period previously provided for. In practice, however, if the foreign national </w:t>
      </w:r>
      <w:r w:rsidR="0043043F" w:rsidRPr="00BA6590">
        <w:rPr>
          <w:lang w:val="en-GB"/>
        </w:rPr>
        <w:t xml:space="preserve">lodges his or her emergency appeal within </w:t>
      </w:r>
      <w:r w:rsidRPr="00BA6590">
        <w:rPr>
          <w:lang w:val="en-GB"/>
        </w:rPr>
        <w:t xml:space="preserve">15 </w:t>
      </w:r>
      <w:r w:rsidR="0043043F" w:rsidRPr="00BA6590">
        <w:rPr>
          <w:lang w:val="en-GB"/>
        </w:rPr>
        <w:t>days</w:t>
      </w:r>
      <w:r w:rsidRPr="00BA6590">
        <w:rPr>
          <w:lang w:val="en-GB"/>
        </w:rPr>
        <w:t xml:space="preserve"> (</w:t>
      </w:r>
      <w:r w:rsidR="0043043F" w:rsidRPr="00BA6590">
        <w:rPr>
          <w:lang w:val="en-GB"/>
        </w:rPr>
        <w:t>in case of detention</w:t>
      </w:r>
      <w:r w:rsidRPr="00BA6590">
        <w:rPr>
          <w:lang w:val="en-GB"/>
        </w:rPr>
        <w:t>)</w:t>
      </w:r>
      <w:r w:rsidR="0043043F" w:rsidRPr="00BA6590">
        <w:rPr>
          <w:lang w:val="en-GB"/>
        </w:rPr>
        <w:t xml:space="preserve"> against the notification of its de</w:t>
      </w:r>
      <w:r w:rsidRPr="00BA6590">
        <w:rPr>
          <w:lang w:val="en-GB"/>
        </w:rPr>
        <w:t>cision</w:t>
      </w:r>
      <w:r w:rsidR="0043043F" w:rsidRPr="00BA6590">
        <w:rPr>
          <w:lang w:val="en-GB"/>
        </w:rPr>
        <w:t xml:space="preserve">, the Aliens Litigation Council may issue an order preventing the expulsion until it issues its decision. The Minister has, however, appealed for this jurisprudence to be overruled by the Council of State. While that appeal does not automatically result in the suspension of the procedure, if a suspension request is attached to it and if an expulsion decision is taken subsequently, an application for temporary suspensory measures may be made. </w:t>
      </w:r>
      <w:r w:rsidR="00D704F8" w:rsidRPr="00BA6590">
        <w:rPr>
          <w:lang w:val="en-GB"/>
        </w:rPr>
        <w:t>Any v</w:t>
      </w:r>
      <w:r w:rsidR="0043043F" w:rsidRPr="00BA6590">
        <w:rPr>
          <w:lang w:val="en-GB"/>
        </w:rPr>
        <w:t xml:space="preserve">iolation of article </w:t>
      </w:r>
      <w:r w:rsidRPr="00BA6590">
        <w:rPr>
          <w:lang w:val="en-GB"/>
        </w:rPr>
        <w:t>3</w:t>
      </w:r>
      <w:r w:rsidR="0043043F" w:rsidRPr="00BA6590">
        <w:rPr>
          <w:lang w:val="en-GB"/>
        </w:rPr>
        <w:t xml:space="preserve"> of the </w:t>
      </w:r>
      <w:r w:rsidR="00FA2B02" w:rsidRPr="00BA6590">
        <w:rPr>
          <w:lang w:val="en-GB"/>
        </w:rPr>
        <w:t>European Convention on Human Rights</w:t>
      </w:r>
      <w:r w:rsidR="00D704F8" w:rsidRPr="00BA6590">
        <w:rPr>
          <w:lang w:val="en-GB"/>
        </w:rPr>
        <w:t xml:space="preserve"> is considered by the Aliens Litigation Council</w:t>
      </w:r>
      <w:r w:rsidRPr="00BA6590">
        <w:rPr>
          <w:lang w:val="en-GB"/>
        </w:rPr>
        <w:t>,</w:t>
      </w:r>
      <w:r w:rsidR="00D704F8" w:rsidRPr="00BA6590">
        <w:rPr>
          <w:lang w:val="en-GB"/>
        </w:rPr>
        <w:t xml:space="preserve"> including cases of emergency appeal</w:t>
      </w:r>
      <w:r w:rsidRPr="00BA6590">
        <w:rPr>
          <w:lang w:val="en-GB"/>
        </w:rPr>
        <w:t xml:space="preserve"> (</w:t>
      </w:r>
      <w:r w:rsidR="00D704F8" w:rsidRPr="00BA6590">
        <w:rPr>
          <w:lang w:val="en-GB"/>
        </w:rPr>
        <w:t>except for instances of belated appeal, for example</w:t>
      </w:r>
      <w:r w:rsidRPr="00BA6590">
        <w:rPr>
          <w:lang w:val="en-GB"/>
        </w:rPr>
        <w:t>).</w:t>
      </w:r>
    </w:p>
    <w:p w:rsidR="00E50B98" w:rsidRPr="00BA6590" w:rsidRDefault="00F21B3C" w:rsidP="00F21B3C">
      <w:pPr>
        <w:pStyle w:val="H4G"/>
        <w:rPr>
          <w:lang w:val="en-GB"/>
        </w:rPr>
      </w:pPr>
      <w:r w:rsidRPr="00BA6590">
        <w:rPr>
          <w:lang w:val="en-GB"/>
        </w:rPr>
        <w:tab/>
      </w:r>
      <w:r w:rsidR="00E50B98" w:rsidRPr="00BA6590">
        <w:rPr>
          <w:lang w:val="en-GB"/>
        </w:rPr>
        <w:tab/>
      </w:r>
      <w:r w:rsidR="00D704F8" w:rsidRPr="00BA6590">
        <w:rPr>
          <w:lang w:val="en-GB"/>
        </w:rPr>
        <w:t xml:space="preserve">Act of </w:t>
      </w:r>
      <w:r w:rsidR="00E50B98" w:rsidRPr="00BA6590">
        <w:rPr>
          <w:lang w:val="en-GB"/>
        </w:rPr>
        <w:t xml:space="preserve">19 </w:t>
      </w:r>
      <w:r w:rsidR="00D704F8" w:rsidRPr="00BA6590">
        <w:rPr>
          <w:lang w:val="en-GB"/>
        </w:rPr>
        <w:t>January</w:t>
      </w:r>
      <w:r w:rsidR="00E50B98" w:rsidRPr="00BA6590">
        <w:rPr>
          <w:lang w:val="en-GB"/>
        </w:rPr>
        <w:t xml:space="preserve"> 2012</w:t>
      </w:r>
      <w:r w:rsidR="00D704F8" w:rsidRPr="00BA6590">
        <w:rPr>
          <w:lang w:val="en-GB"/>
        </w:rPr>
        <w:t xml:space="preserve">, amending the </w:t>
      </w:r>
      <w:r w:rsidR="00EE6F22" w:rsidRPr="00BA6590">
        <w:rPr>
          <w:lang w:val="en-GB"/>
        </w:rPr>
        <w:t>Act</w:t>
      </w:r>
      <w:r w:rsidR="003A1F7C" w:rsidRPr="00BA6590">
        <w:rPr>
          <w:lang w:val="en-GB"/>
        </w:rPr>
        <w:t xml:space="preserve"> of 15 December 1980</w:t>
      </w:r>
      <w:r w:rsidR="00E50B98" w:rsidRPr="00BA6590">
        <w:rPr>
          <w:lang w:val="en-GB"/>
        </w:rPr>
        <w:t xml:space="preserve"> </w:t>
      </w:r>
      <w:r w:rsidR="00834782" w:rsidRPr="00BA6590">
        <w:rPr>
          <w:lang w:val="en-GB"/>
        </w:rPr>
        <w:t>(</w:t>
      </w:r>
      <w:r w:rsidR="002420F6" w:rsidRPr="00BA6590">
        <w:rPr>
          <w:lang w:val="en-GB"/>
        </w:rPr>
        <w:t>Moniteur belge</w:t>
      </w:r>
      <w:r w:rsidR="00E50B98" w:rsidRPr="00BA6590">
        <w:rPr>
          <w:lang w:val="en-GB"/>
        </w:rPr>
        <w:t xml:space="preserve">, </w:t>
      </w:r>
      <w:r w:rsidR="00A01778" w:rsidRPr="00BA6590">
        <w:rPr>
          <w:lang w:val="en-GB"/>
        </w:rPr>
        <w:br/>
      </w:r>
      <w:r w:rsidR="00E50B98" w:rsidRPr="00BA6590">
        <w:rPr>
          <w:lang w:val="en-GB"/>
        </w:rPr>
        <w:t xml:space="preserve">17 </w:t>
      </w:r>
      <w:r w:rsidR="00D704F8" w:rsidRPr="00BA6590">
        <w:rPr>
          <w:lang w:val="en-GB"/>
        </w:rPr>
        <w:t>February</w:t>
      </w:r>
      <w:r w:rsidR="00E50B98" w:rsidRPr="00BA6590">
        <w:rPr>
          <w:lang w:val="en-GB"/>
        </w:rPr>
        <w:t xml:space="preserve"> 2012) </w:t>
      </w:r>
    </w:p>
    <w:p w:rsidR="00E50B98" w:rsidRPr="00BA6590" w:rsidRDefault="00E50B98" w:rsidP="00DE259A">
      <w:pPr>
        <w:pStyle w:val="SingleTxtG"/>
        <w:rPr>
          <w:lang w:val="en-GB"/>
        </w:rPr>
      </w:pPr>
      <w:r w:rsidRPr="00BA6590">
        <w:rPr>
          <w:lang w:val="en-GB"/>
        </w:rPr>
        <w:t>162.</w:t>
      </w:r>
      <w:r w:rsidRPr="00BA6590">
        <w:rPr>
          <w:lang w:val="en-GB"/>
        </w:rPr>
        <w:tab/>
      </w:r>
      <w:r w:rsidR="00DE259A" w:rsidRPr="00BA6590">
        <w:rPr>
          <w:lang w:val="en-GB"/>
        </w:rPr>
        <w:t xml:space="preserve">This Act partly </w:t>
      </w:r>
      <w:r w:rsidR="00816F73" w:rsidRPr="00BA6590">
        <w:rPr>
          <w:lang w:val="en-GB"/>
        </w:rPr>
        <w:t>incorporates into national law</w:t>
      </w:r>
      <w:r w:rsidR="00DE259A" w:rsidRPr="00BA6590">
        <w:rPr>
          <w:lang w:val="en-GB"/>
        </w:rPr>
        <w:t xml:space="preserve"> Directive </w:t>
      </w:r>
      <w:r w:rsidR="004722FA" w:rsidRPr="00BA6590">
        <w:rPr>
          <w:lang w:val="en-GB"/>
        </w:rPr>
        <w:t>2008/115/</w:t>
      </w:r>
      <w:r w:rsidR="00711283" w:rsidRPr="00BA6590">
        <w:rPr>
          <w:lang w:val="en-GB"/>
        </w:rPr>
        <w:t>E</w:t>
      </w:r>
      <w:r w:rsidR="004722FA" w:rsidRPr="00BA6590">
        <w:rPr>
          <w:lang w:val="en-GB"/>
        </w:rPr>
        <w:t>C of the European Parliament and of the Council</w:t>
      </w:r>
      <w:r w:rsidRPr="00BA6590">
        <w:rPr>
          <w:lang w:val="en-GB"/>
        </w:rPr>
        <w:t xml:space="preserve"> </w:t>
      </w:r>
      <w:r w:rsidR="004722FA" w:rsidRPr="00BA6590">
        <w:rPr>
          <w:lang w:val="en-GB"/>
        </w:rPr>
        <w:t>(</w:t>
      </w:r>
      <w:r w:rsidRPr="00BA6590">
        <w:rPr>
          <w:lang w:val="en-GB"/>
        </w:rPr>
        <w:t xml:space="preserve">16 </w:t>
      </w:r>
      <w:r w:rsidR="00DE259A" w:rsidRPr="00BA6590">
        <w:rPr>
          <w:lang w:val="en-GB"/>
        </w:rPr>
        <w:t>December</w:t>
      </w:r>
      <w:r w:rsidRPr="00BA6590">
        <w:rPr>
          <w:lang w:val="en-GB"/>
        </w:rPr>
        <w:t xml:space="preserve"> 2008</w:t>
      </w:r>
      <w:r w:rsidR="004722FA" w:rsidRPr="00BA6590">
        <w:rPr>
          <w:lang w:val="en-GB"/>
        </w:rPr>
        <w:t>)</w:t>
      </w:r>
      <w:r w:rsidRPr="00BA6590">
        <w:rPr>
          <w:lang w:val="en-GB"/>
        </w:rPr>
        <w:t xml:space="preserve"> </w:t>
      </w:r>
      <w:r w:rsidR="00DE259A" w:rsidRPr="00BA6590">
        <w:rPr>
          <w:lang w:val="en-GB"/>
        </w:rPr>
        <w:t xml:space="preserve">on common standards and procedures in </w:t>
      </w:r>
      <w:r w:rsidR="00816F73" w:rsidRPr="00BA6590">
        <w:rPr>
          <w:lang w:val="en-GB"/>
        </w:rPr>
        <w:t>member State</w:t>
      </w:r>
      <w:r w:rsidR="00DE259A" w:rsidRPr="00BA6590">
        <w:rPr>
          <w:lang w:val="en-GB"/>
        </w:rPr>
        <w:t xml:space="preserve">s for returning </w:t>
      </w:r>
      <w:r w:rsidR="00800938" w:rsidRPr="00BA6590">
        <w:rPr>
          <w:lang w:val="en-GB"/>
        </w:rPr>
        <w:t xml:space="preserve">third-country nationals staying in the country </w:t>
      </w:r>
      <w:r w:rsidR="00DE259A" w:rsidRPr="00BA6590">
        <w:rPr>
          <w:lang w:val="en-GB"/>
        </w:rPr>
        <w:t xml:space="preserve">illegally and article </w:t>
      </w:r>
      <w:r w:rsidRPr="00BA6590">
        <w:rPr>
          <w:lang w:val="en-GB"/>
        </w:rPr>
        <w:t>23</w:t>
      </w:r>
      <w:r w:rsidR="00DE259A" w:rsidRPr="00BA6590">
        <w:rPr>
          <w:lang w:val="en-GB"/>
        </w:rPr>
        <w:t>, paragraph</w:t>
      </w:r>
      <w:r w:rsidRPr="00BA6590">
        <w:rPr>
          <w:lang w:val="en-GB"/>
        </w:rPr>
        <w:t xml:space="preserve"> 4</w:t>
      </w:r>
      <w:r w:rsidR="00DE259A" w:rsidRPr="00BA6590">
        <w:rPr>
          <w:lang w:val="en-GB"/>
        </w:rPr>
        <w:t>(</w:t>
      </w:r>
      <w:r w:rsidRPr="00BA6590">
        <w:rPr>
          <w:lang w:val="en-GB"/>
        </w:rPr>
        <w:t>c)</w:t>
      </w:r>
      <w:r w:rsidR="00DE259A" w:rsidRPr="00BA6590">
        <w:rPr>
          <w:lang w:val="en-GB"/>
        </w:rPr>
        <w:t>(</w:t>
      </w:r>
      <w:r w:rsidRPr="00BA6590">
        <w:rPr>
          <w:lang w:val="en-GB"/>
        </w:rPr>
        <w:t xml:space="preserve">i), </w:t>
      </w:r>
      <w:r w:rsidR="00901A76" w:rsidRPr="00BA6590">
        <w:rPr>
          <w:lang w:val="en-GB"/>
        </w:rPr>
        <w:t xml:space="preserve">and articles </w:t>
      </w:r>
      <w:r w:rsidRPr="00BA6590">
        <w:rPr>
          <w:lang w:val="en-GB"/>
        </w:rPr>
        <w:t xml:space="preserve">30 </w:t>
      </w:r>
      <w:r w:rsidR="00901A76" w:rsidRPr="00BA6590">
        <w:rPr>
          <w:lang w:val="en-GB"/>
        </w:rPr>
        <w:t xml:space="preserve">and </w:t>
      </w:r>
      <w:r w:rsidRPr="00BA6590">
        <w:rPr>
          <w:lang w:val="en-GB"/>
        </w:rPr>
        <w:t xml:space="preserve">31 </w:t>
      </w:r>
      <w:r w:rsidR="00DE259A" w:rsidRPr="00BA6590">
        <w:rPr>
          <w:lang w:val="en-GB"/>
        </w:rPr>
        <w:t>of</w:t>
      </w:r>
      <w:r w:rsidRPr="00BA6590">
        <w:rPr>
          <w:lang w:val="en-GB"/>
        </w:rPr>
        <w:t xml:space="preserve"> </w:t>
      </w:r>
      <w:r w:rsidR="00BC32BE" w:rsidRPr="00BA6590">
        <w:rPr>
          <w:lang w:val="en-GB"/>
        </w:rPr>
        <w:t>directive</w:t>
      </w:r>
      <w:r w:rsidRPr="00BA6590">
        <w:rPr>
          <w:lang w:val="en-GB"/>
        </w:rPr>
        <w:t xml:space="preserve"> 2005/85</w:t>
      </w:r>
      <w:r w:rsidR="004722FA" w:rsidRPr="00BA6590">
        <w:rPr>
          <w:lang w:val="en-GB"/>
        </w:rPr>
        <w:t>/EC</w:t>
      </w:r>
      <w:r w:rsidRPr="00BA6590">
        <w:rPr>
          <w:lang w:val="en-GB"/>
        </w:rPr>
        <w:t xml:space="preserve"> </w:t>
      </w:r>
      <w:r w:rsidR="00DE259A" w:rsidRPr="00BA6590">
        <w:rPr>
          <w:lang w:val="en-GB"/>
        </w:rPr>
        <w:t>of</w:t>
      </w:r>
      <w:r w:rsidR="00834782" w:rsidRPr="00BA6590">
        <w:rPr>
          <w:lang w:val="en-GB"/>
        </w:rPr>
        <w:t xml:space="preserve"> </w:t>
      </w:r>
      <w:r w:rsidR="002409EB" w:rsidRPr="00BA6590">
        <w:rPr>
          <w:lang w:val="en-GB"/>
        </w:rPr>
        <w:t>1</w:t>
      </w:r>
      <w:r w:rsidR="00DE259A" w:rsidRPr="00BA6590">
        <w:rPr>
          <w:vertAlign w:val="superscript"/>
          <w:lang w:val="en-GB"/>
        </w:rPr>
        <w:t xml:space="preserve"> </w:t>
      </w:r>
      <w:r w:rsidR="00DE259A" w:rsidRPr="00BA6590">
        <w:rPr>
          <w:lang w:val="en-GB"/>
        </w:rPr>
        <w:t>December</w:t>
      </w:r>
      <w:r w:rsidRPr="00BA6590">
        <w:rPr>
          <w:lang w:val="en-GB"/>
        </w:rPr>
        <w:t xml:space="preserve"> 2005 </w:t>
      </w:r>
      <w:r w:rsidR="00DE259A" w:rsidRPr="00BA6590">
        <w:rPr>
          <w:lang w:val="en-GB"/>
        </w:rPr>
        <w:t xml:space="preserve">on minimum standards on procedures in </w:t>
      </w:r>
      <w:r w:rsidR="00816F73" w:rsidRPr="00BA6590">
        <w:rPr>
          <w:lang w:val="en-GB"/>
        </w:rPr>
        <w:t>member State</w:t>
      </w:r>
      <w:r w:rsidR="00DE259A" w:rsidRPr="00BA6590">
        <w:rPr>
          <w:lang w:val="en-GB"/>
        </w:rPr>
        <w:t>s for granting and withdrawing refugee status</w:t>
      </w:r>
      <w:r w:rsidRPr="00BA6590">
        <w:rPr>
          <w:lang w:val="en-GB"/>
        </w:rPr>
        <w:t>.</w:t>
      </w:r>
    </w:p>
    <w:p w:rsidR="00E50B98" w:rsidRPr="00BA6590" w:rsidRDefault="00E50B98" w:rsidP="00BA355C">
      <w:pPr>
        <w:pStyle w:val="SingleTxtG"/>
        <w:rPr>
          <w:lang w:val="en-GB"/>
        </w:rPr>
      </w:pPr>
      <w:r w:rsidRPr="00BA6590">
        <w:rPr>
          <w:lang w:val="en-GB"/>
        </w:rPr>
        <w:t>163.</w:t>
      </w:r>
      <w:r w:rsidRPr="00BA6590">
        <w:rPr>
          <w:lang w:val="en-GB"/>
        </w:rPr>
        <w:tab/>
      </w:r>
      <w:r w:rsidR="007E4538" w:rsidRPr="00BA6590">
        <w:rPr>
          <w:lang w:val="en-GB"/>
        </w:rPr>
        <w:t xml:space="preserve">It modifies regulations in relation to the expulsion and detention of foreign nationals residing in the country without authorization. The law aims to promote voluntary return, but without compromising the effectiveness of return procedures. Thus, the </w:t>
      </w:r>
      <w:r w:rsidR="00901A76" w:rsidRPr="00BA6590">
        <w:rPr>
          <w:lang w:val="en-GB"/>
        </w:rPr>
        <w:t>grace</w:t>
      </w:r>
      <w:r w:rsidR="007E4538" w:rsidRPr="00BA6590">
        <w:rPr>
          <w:lang w:val="en-GB"/>
        </w:rPr>
        <w:t xml:space="preserve"> period granted to foreign nationals receiving an order to leave Belgian territory is, in principle, increased to </w:t>
      </w:r>
      <w:r w:rsidRPr="00BA6590">
        <w:rPr>
          <w:lang w:val="en-GB"/>
        </w:rPr>
        <w:t xml:space="preserve">30 </w:t>
      </w:r>
      <w:r w:rsidR="007E4538" w:rsidRPr="00BA6590">
        <w:rPr>
          <w:lang w:val="en-GB"/>
        </w:rPr>
        <w:t>day</w:t>
      </w:r>
      <w:r w:rsidRPr="00BA6590">
        <w:rPr>
          <w:lang w:val="en-GB"/>
        </w:rPr>
        <w:t>s.</w:t>
      </w:r>
      <w:r w:rsidR="007E4538" w:rsidRPr="00BA6590">
        <w:rPr>
          <w:lang w:val="en-GB"/>
        </w:rPr>
        <w:t xml:space="preserve"> The purpose of this is to enable the person concerned to use the allotted time in order to organize his or her voluntary return. </w:t>
      </w:r>
      <w:r w:rsidR="000539DC" w:rsidRPr="00BA6590">
        <w:rPr>
          <w:lang w:val="en-GB"/>
        </w:rPr>
        <w:t xml:space="preserve">The </w:t>
      </w:r>
      <w:r w:rsidR="00901A76" w:rsidRPr="00BA6590">
        <w:rPr>
          <w:lang w:val="en-GB"/>
        </w:rPr>
        <w:t>grace</w:t>
      </w:r>
      <w:r w:rsidR="000539DC" w:rsidRPr="00BA6590">
        <w:rPr>
          <w:lang w:val="en-GB"/>
        </w:rPr>
        <w:t xml:space="preserve"> period can, however, be reduced to seven days in certain cases; it may be even shorter or even be denied. The latter is true, for example, when the person presents a </w:t>
      </w:r>
      <w:r w:rsidR="007E4538" w:rsidRPr="00BA6590">
        <w:rPr>
          <w:lang w:val="en-GB"/>
        </w:rPr>
        <w:t>flight risk</w:t>
      </w:r>
      <w:r w:rsidRPr="00BA6590">
        <w:rPr>
          <w:lang w:val="en-GB"/>
        </w:rPr>
        <w:t>,</w:t>
      </w:r>
      <w:r w:rsidR="00901A76" w:rsidRPr="00BA6590">
        <w:rPr>
          <w:lang w:val="en-GB"/>
        </w:rPr>
        <w:t xml:space="preserve"> that is,</w:t>
      </w:r>
      <w:r w:rsidR="000539DC" w:rsidRPr="00BA6590">
        <w:rPr>
          <w:lang w:val="en-GB"/>
        </w:rPr>
        <w:t xml:space="preserve"> a real and present likelihood of </w:t>
      </w:r>
      <w:r w:rsidR="007E4538" w:rsidRPr="00BA6590">
        <w:rPr>
          <w:lang w:val="en-GB"/>
        </w:rPr>
        <w:t>evading the authorities</w:t>
      </w:r>
      <w:r w:rsidRPr="00BA6590">
        <w:rPr>
          <w:lang w:val="en-GB"/>
        </w:rPr>
        <w:t xml:space="preserve">. </w:t>
      </w:r>
    </w:p>
    <w:p w:rsidR="00E50B98" w:rsidRPr="00BA6590" w:rsidRDefault="00E50B98" w:rsidP="00AB6785">
      <w:pPr>
        <w:pStyle w:val="SingleTxtG"/>
        <w:rPr>
          <w:lang w:val="en-GB"/>
        </w:rPr>
      </w:pPr>
      <w:r w:rsidRPr="00BA6590">
        <w:rPr>
          <w:lang w:val="en-GB"/>
        </w:rPr>
        <w:t>164.</w:t>
      </w:r>
      <w:r w:rsidRPr="00BA6590">
        <w:rPr>
          <w:lang w:val="en-GB"/>
        </w:rPr>
        <w:tab/>
      </w:r>
      <w:r w:rsidR="00CC7383" w:rsidRPr="00BA6590">
        <w:rPr>
          <w:lang w:val="en-GB"/>
        </w:rPr>
        <w:t>If voluntary return cannot be achieved within the allotted period or if individual circumstances warrant it, the deadline may be extended. The foreign national who fails to comply with the allocated voluntary departure date or to whom no such date has been allocated will receive a ban on entry to the territory of the European Union. Belgium has chosen to set a maximum duration of thr</w:t>
      </w:r>
      <w:r w:rsidR="00DF2ACC" w:rsidRPr="00BA6590">
        <w:rPr>
          <w:lang w:val="en-GB"/>
        </w:rPr>
        <w:t>ee years for such entry bans; this is raised to</w:t>
      </w:r>
      <w:r w:rsidR="00CC7383" w:rsidRPr="00BA6590">
        <w:rPr>
          <w:lang w:val="en-GB"/>
        </w:rPr>
        <w:t xml:space="preserve"> five years in case of </w:t>
      </w:r>
      <w:r w:rsidR="00DF2ACC" w:rsidRPr="00BA6590">
        <w:rPr>
          <w:lang w:val="en-GB"/>
        </w:rPr>
        <w:t xml:space="preserve">deception, and even higher if there has been a serious threat to public order or national security. If the foreign national can demonstrate a justification related to study or employment, he or she may have access to a procedure for lifting the ban once two thirds of its duration has passed. The </w:t>
      </w:r>
      <w:r w:rsidR="006C7706" w:rsidRPr="00BA6590">
        <w:rPr>
          <w:lang w:val="en-GB"/>
        </w:rPr>
        <w:t xml:space="preserve">Minister </w:t>
      </w:r>
      <w:r w:rsidR="00EA21F9" w:rsidRPr="00BA6590">
        <w:rPr>
          <w:lang w:val="en-GB"/>
        </w:rPr>
        <w:t>or his or her</w:t>
      </w:r>
      <w:r w:rsidR="006C7706" w:rsidRPr="00BA6590">
        <w:rPr>
          <w:lang w:val="en-GB"/>
        </w:rPr>
        <w:t xml:space="preserve"> representative</w:t>
      </w:r>
      <w:r w:rsidR="00DF2ACC" w:rsidRPr="00BA6590">
        <w:rPr>
          <w:lang w:val="en-GB"/>
        </w:rPr>
        <w:t xml:space="preserve"> may also lift the ban at any time for humanitarian reasons. </w:t>
      </w:r>
    </w:p>
    <w:p w:rsidR="00E50B98" w:rsidRPr="00BA6590" w:rsidRDefault="00F21B3C" w:rsidP="00F21B3C">
      <w:pPr>
        <w:pStyle w:val="H4G"/>
        <w:rPr>
          <w:lang w:val="en-GB"/>
        </w:rPr>
      </w:pPr>
      <w:r w:rsidRPr="00BA6590">
        <w:rPr>
          <w:lang w:val="en-GB"/>
        </w:rPr>
        <w:tab/>
      </w:r>
      <w:r w:rsidR="00E50B98" w:rsidRPr="00BA6590">
        <w:rPr>
          <w:lang w:val="en-GB"/>
        </w:rPr>
        <w:tab/>
      </w:r>
      <w:r w:rsidR="003F5E21" w:rsidRPr="00BA6590">
        <w:rPr>
          <w:lang w:val="en-GB"/>
        </w:rPr>
        <w:t xml:space="preserve">Act of </w:t>
      </w:r>
      <w:r w:rsidR="00E50B98" w:rsidRPr="00BA6590">
        <w:rPr>
          <w:lang w:val="en-GB"/>
        </w:rPr>
        <w:t xml:space="preserve">15 </w:t>
      </w:r>
      <w:r w:rsidR="003F5E21" w:rsidRPr="00BA6590">
        <w:rPr>
          <w:lang w:val="en-GB"/>
        </w:rPr>
        <w:t>March</w:t>
      </w:r>
      <w:r w:rsidR="00E50B98" w:rsidRPr="00BA6590">
        <w:rPr>
          <w:lang w:val="en-GB"/>
        </w:rPr>
        <w:t xml:space="preserve"> 2012</w:t>
      </w:r>
      <w:r w:rsidR="0032578F" w:rsidRPr="00BA6590">
        <w:rPr>
          <w:lang w:val="en-GB"/>
        </w:rPr>
        <w:t>,</w:t>
      </w:r>
      <w:r w:rsidR="003F5E21" w:rsidRPr="00BA6590">
        <w:rPr>
          <w:lang w:val="en-GB"/>
        </w:rPr>
        <w:t xml:space="preserve"> amending the </w:t>
      </w:r>
      <w:r w:rsidR="00EE6F22" w:rsidRPr="00BA6590">
        <w:rPr>
          <w:lang w:val="en-GB"/>
        </w:rPr>
        <w:t>Act</w:t>
      </w:r>
      <w:r w:rsidR="003A1F7C" w:rsidRPr="00BA6590">
        <w:rPr>
          <w:lang w:val="en-GB"/>
        </w:rPr>
        <w:t xml:space="preserve"> of 15 December 1980</w:t>
      </w:r>
      <w:r w:rsidR="003F5E21" w:rsidRPr="00BA6590">
        <w:rPr>
          <w:lang w:val="en-GB"/>
        </w:rPr>
        <w:t xml:space="preserve"> and the Act of 17 May</w:t>
      </w:r>
      <w:r w:rsidR="00E50B98" w:rsidRPr="00BA6590">
        <w:rPr>
          <w:lang w:val="en-GB"/>
        </w:rPr>
        <w:t xml:space="preserve"> </w:t>
      </w:r>
      <w:r w:rsidR="00A01778" w:rsidRPr="00BA6590">
        <w:rPr>
          <w:lang w:val="en-GB"/>
        </w:rPr>
        <w:br/>
      </w:r>
      <w:r w:rsidR="00E50B98" w:rsidRPr="00BA6590">
        <w:rPr>
          <w:lang w:val="en-GB"/>
        </w:rPr>
        <w:t>2006</w:t>
      </w:r>
      <w:r w:rsidR="0032578F" w:rsidRPr="00BA6590">
        <w:rPr>
          <w:lang w:val="en-GB"/>
        </w:rPr>
        <w:t>,</w:t>
      </w:r>
      <w:r w:rsidR="003F5E21" w:rsidRPr="00BA6590">
        <w:rPr>
          <w:lang w:val="en-GB"/>
        </w:rPr>
        <w:t xml:space="preserve"> concerning the </w:t>
      </w:r>
      <w:r w:rsidR="003A6078" w:rsidRPr="00BA6590">
        <w:rPr>
          <w:lang w:val="en-GB"/>
        </w:rPr>
        <w:t xml:space="preserve">external </w:t>
      </w:r>
      <w:r w:rsidR="003F5E21" w:rsidRPr="00BA6590">
        <w:rPr>
          <w:lang w:val="en-GB"/>
        </w:rPr>
        <w:t>legal status of</w:t>
      </w:r>
      <w:r w:rsidR="003A6078" w:rsidRPr="00BA6590">
        <w:rPr>
          <w:lang w:val="en-GB"/>
        </w:rPr>
        <w:t xml:space="preserve"> persons sentenced to a period of </w:t>
      </w:r>
      <w:r w:rsidR="00A01778" w:rsidRPr="00BA6590">
        <w:rPr>
          <w:lang w:val="en-GB"/>
        </w:rPr>
        <w:br/>
      </w:r>
      <w:r w:rsidR="003A6078" w:rsidRPr="00BA6590">
        <w:rPr>
          <w:lang w:val="en-GB"/>
        </w:rPr>
        <w:t>imprisonment and victims</w:t>
      </w:r>
      <w:r w:rsidR="00A216FB" w:rsidRPr="00BA6590">
        <w:rPr>
          <w:lang w:val="en-GB"/>
        </w:rPr>
        <w:t>’</w:t>
      </w:r>
      <w:r w:rsidR="003A6078" w:rsidRPr="00BA6590">
        <w:rPr>
          <w:lang w:val="en-GB"/>
        </w:rPr>
        <w:t xml:space="preserve"> rights in </w:t>
      </w:r>
      <w:r w:rsidR="00901A76" w:rsidRPr="00BA6590">
        <w:rPr>
          <w:lang w:val="en-GB"/>
        </w:rPr>
        <w:t xml:space="preserve">enforcement </w:t>
      </w:r>
      <w:r w:rsidR="003A6078" w:rsidRPr="00BA6590">
        <w:rPr>
          <w:lang w:val="en-GB"/>
        </w:rPr>
        <w:t>procedures</w:t>
      </w:r>
      <w:r w:rsidR="00E50B98" w:rsidRPr="00BA6590">
        <w:rPr>
          <w:lang w:val="en-GB"/>
        </w:rPr>
        <w:t xml:space="preserve"> (</w:t>
      </w:r>
      <w:r w:rsidR="002420F6" w:rsidRPr="00BA6590">
        <w:rPr>
          <w:lang w:val="en-GB"/>
        </w:rPr>
        <w:t>Moniteur belge</w:t>
      </w:r>
      <w:r w:rsidR="00E50B98" w:rsidRPr="00BA6590">
        <w:rPr>
          <w:lang w:val="en-GB"/>
        </w:rPr>
        <w:t xml:space="preserve">, </w:t>
      </w:r>
      <w:r w:rsidR="00A01778" w:rsidRPr="00BA6590">
        <w:rPr>
          <w:lang w:val="en-GB"/>
        </w:rPr>
        <w:br/>
      </w:r>
      <w:r w:rsidR="00E50B98" w:rsidRPr="00BA6590">
        <w:rPr>
          <w:lang w:val="en-GB"/>
        </w:rPr>
        <w:t xml:space="preserve">30 </w:t>
      </w:r>
      <w:r w:rsidR="003A6078" w:rsidRPr="00BA6590">
        <w:rPr>
          <w:lang w:val="en-GB"/>
        </w:rPr>
        <w:t>March</w:t>
      </w:r>
      <w:r w:rsidR="00E50B98" w:rsidRPr="00BA6590">
        <w:rPr>
          <w:lang w:val="en-GB"/>
        </w:rPr>
        <w:t xml:space="preserve"> 2012)</w:t>
      </w:r>
    </w:p>
    <w:p w:rsidR="00E50B98" w:rsidRPr="00BA6590" w:rsidRDefault="00E50B98" w:rsidP="00AB6785">
      <w:pPr>
        <w:pStyle w:val="SingleTxtG"/>
        <w:rPr>
          <w:lang w:val="en-GB"/>
        </w:rPr>
      </w:pPr>
      <w:r w:rsidRPr="00BA6590">
        <w:rPr>
          <w:lang w:val="en-GB"/>
        </w:rPr>
        <w:t>165.</w:t>
      </w:r>
      <w:r w:rsidRPr="00BA6590">
        <w:rPr>
          <w:lang w:val="en-GB"/>
        </w:rPr>
        <w:tab/>
      </w:r>
      <w:r w:rsidR="003A6078" w:rsidRPr="00BA6590">
        <w:rPr>
          <w:lang w:val="en-GB"/>
        </w:rPr>
        <w:t>This Act provides a legal framework for the transfer of foreign nationals having served their sentences to a</w:t>
      </w:r>
      <w:r w:rsidRPr="00BA6590">
        <w:rPr>
          <w:lang w:val="en-GB"/>
        </w:rPr>
        <w:t xml:space="preserve"> </w:t>
      </w:r>
      <w:r w:rsidR="003A6078" w:rsidRPr="00BA6590">
        <w:rPr>
          <w:lang w:val="en-GB"/>
        </w:rPr>
        <w:t xml:space="preserve">detention centre for deportation or for them to be deported directly from prison. Under the amended version of the </w:t>
      </w:r>
      <w:r w:rsidR="00285E61" w:rsidRPr="00BA6590">
        <w:rPr>
          <w:lang w:val="en-GB"/>
        </w:rPr>
        <w:t xml:space="preserve">Foreign Nationals </w:t>
      </w:r>
      <w:r w:rsidR="003A6078" w:rsidRPr="00BA6590">
        <w:rPr>
          <w:lang w:val="en-GB"/>
        </w:rPr>
        <w:t xml:space="preserve">Act of </w:t>
      </w:r>
      <w:r w:rsidRPr="00BA6590">
        <w:rPr>
          <w:lang w:val="en-GB"/>
        </w:rPr>
        <w:t xml:space="preserve">17 </w:t>
      </w:r>
      <w:r w:rsidR="003F5E21" w:rsidRPr="00BA6590">
        <w:rPr>
          <w:lang w:val="en-GB"/>
        </w:rPr>
        <w:t>May</w:t>
      </w:r>
      <w:r w:rsidRPr="00BA6590">
        <w:rPr>
          <w:lang w:val="en-GB"/>
        </w:rPr>
        <w:t xml:space="preserve"> 2006,</w:t>
      </w:r>
      <w:r w:rsidR="003A6078" w:rsidRPr="00BA6590">
        <w:rPr>
          <w:lang w:val="en-GB"/>
        </w:rPr>
        <w:t xml:space="preserve"> </w:t>
      </w:r>
      <w:r w:rsidR="006A7025" w:rsidRPr="00BA6590">
        <w:rPr>
          <w:lang w:val="en-GB"/>
        </w:rPr>
        <w:t xml:space="preserve">they may be released from prison two months before the end of their sentences </w:t>
      </w:r>
      <w:r w:rsidR="00901A76" w:rsidRPr="00BA6590">
        <w:rPr>
          <w:lang w:val="en-GB"/>
        </w:rPr>
        <w:t>in order to be deported</w:t>
      </w:r>
      <w:r w:rsidR="006A7025" w:rsidRPr="00BA6590">
        <w:rPr>
          <w:lang w:val="en-GB"/>
        </w:rPr>
        <w:t xml:space="preserve">. Thus, they may be repatriated or transferred to a </w:t>
      </w:r>
      <w:r w:rsidR="003A6078" w:rsidRPr="00BA6590">
        <w:rPr>
          <w:lang w:val="en-GB"/>
        </w:rPr>
        <w:t>detention centre</w:t>
      </w:r>
      <w:r w:rsidR="006A7025" w:rsidRPr="00BA6590">
        <w:rPr>
          <w:lang w:val="en-GB"/>
        </w:rPr>
        <w:t xml:space="preserve"> no more than two months before the expiry of their sentences. </w:t>
      </w:r>
    </w:p>
    <w:p w:rsidR="00E50B98" w:rsidRPr="00BA6590" w:rsidRDefault="00F21B3C" w:rsidP="00F21B3C">
      <w:pPr>
        <w:pStyle w:val="H4G"/>
        <w:rPr>
          <w:lang w:val="en-GB"/>
        </w:rPr>
      </w:pPr>
      <w:r w:rsidRPr="00BA6590">
        <w:rPr>
          <w:lang w:val="en-GB"/>
        </w:rPr>
        <w:tab/>
      </w:r>
      <w:r w:rsidR="00E50B98" w:rsidRPr="00BA6590">
        <w:rPr>
          <w:lang w:val="en-GB"/>
        </w:rPr>
        <w:tab/>
      </w:r>
      <w:r w:rsidR="006A7025" w:rsidRPr="00BA6590">
        <w:rPr>
          <w:lang w:val="en-GB"/>
        </w:rPr>
        <w:t xml:space="preserve">Act of </w:t>
      </w:r>
      <w:r w:rsidR="00E50B98" w:rsidRPr="00BA6590">
        <w:rPr>
          <w:lang w:val="en-GB"/>
        </w:rPr>
        <w:t xml:space="preserve">22 </w:t>
      </w:r>
      <w:r w:rsidR="003A6078" w:rsidRPr="00BA6590">
        <w:rPr>
          <w:lang w:val="en-GB"/>
        </w:rPr>
        <w:t>April</w:t>
      </w:r>
      <w:r w:rsidR="00E50B98" w:rsidRPr="00BA6590">
        <w:rPr>
          <w:lang w:val="en-GB"/>
        </w:rPr>
        <w:t xml:space="preserve"> 2012</w:t>
      </w:r>
      <w:r w:rsidR="0032578F" w:rsidRPr="00BA6590">
        <w:rPr>
          <w:lang w:val="en-GB"/>
        </w:rPr>
        <w:t>,</w:t>
      </w:r>
      <w:r w:rsidR="006A7025" w:rsidRPr="00BA6590">
        <w:rPr>
          <w:lang w:val="en-GB"/>
        </w:rPr>
        <w:t xml:space="preserve"> amending the Act</w:t>
      </w:r>
      <w:r w:rsidR="003A1F7C" w:rsidRPr="00BA6590">
        <w:rPr>
          <w:lang w:val="en-GB"/>
        </w:rPr>
        <w:t xml:space="preserve"> of 15 December 1980</w:t>
      </w:r>
      <w:r w:rsidR="006A7025" w:rsidRPr="00BA6590">
        <w:rPr>
          <w:lang w:val="en-GB"/>
        </w:rPr>
        <w:t xml:space="preserve"> and the</w:t>
      </w:r>
      <w:r w:rsidR="00285E61" w:rsidRPr="00BA6590">
        <w:rPr>
          <w:lang w:val="en-GB"/>
        </w:rPr>
        <w:t xml:space="preserve"> </w:t>
      </w:r>
      <w:r w:rsidR="006A7025" w:rsidRPr="00BA6590">
        <w:rPr>
          <w:lang w:val="en-GB"/>
        </w:rPr>
        <w:t xml:space="preserve">Act of </w:t>
      </w:r>
      <w:r w:rsidR="00A01778" w:rsidRPr="00BA6590">
        <w:rPr>
          <w:lang w:val="en-GB"/>
        </w:rPr>
        <w:br/>
      </w:r>
      <w:r w:rsidR="00E50B98" w:rsidRPr="00BA6590">
        <w:rPr>
          <w:lang w:val="en-GB"/>
        </w:rPr>
        <w:t xml:space="preserve">12 </w:t>
      </w:r>
      <w:r w:rsidR="003F5E21" w:rsidRPr="00BA6590">
        <w:rPr>
          <w:lang w:val="en-GB"/>
        </w:rPr>
        <w:t>January</w:t>
      </w:r>
      <w:r w:rsidR="00E50B98" w:rsidRPr="00BA6590">
        <w:rPr>
          <w:lang w:val="en-GB"/>
        </w:rPr>
        <w:t xml:space="preserve"> 2007</w:t>
      </w:r>
      <w:r w:rsidR="0032578F" w:rsidRPr="00BA6590">
        <w:rPr>
          <w:lang w:val="en-GB"/>
        </w:rPr>
        <w:t>,</w:t>
      </w:r>
      <w:r w:rsidR="006A7025" w:rsidRPr="00BA6590">
        <w:rPr>
          <w:lang w:val="en-GB"/>
        </w:rPr>
        <w:t xml:space="preserve"> on the reception of applicants for asylum and certain other </w:t>
      </w:r>
      <w:r w:rsidR="00A01778" w:rsidRPr="00BA6590">
        <w:rPr>
          <w:lang w:val="en-GB"/>
        </w:rPr>
        <w:br/>
      </w:r>
      <w:r w:rsidR="006A7025" w:rsidRPr="00BA6590">
        <w:rPr>
          <w:lang w:val="en-GB"/>
        </w:rPr>
        <w:t>categories of foreign nationals</w:t>
      </w:r>
      <w:r w:rsidR="00E50B98" w:rsidRPr="00BA6590">
        <w:rPr>
          <w:lang w:val="en-GB"/>
        </w:rPr>
        <w:t xml:space="preserve"> (</w:t>
      </w:r>
      <w:r w:rsidR="002420F6" w:rsidRPr="00BA6590">
        <w:rPr>
          <w:lang w:val="en-GB"/>
        </w:rPr>
        <w:t>Moniteur belge</w:t>
      </w:r>
      <w:r w:rsidR="00E50B98" w:rsidRPr="00BA6590">
        <w:rPr>
          <w:lang w:val="en-GB"/>
        </w:rPr>
        <w:t xml:space="preserve">, 30 </w:t>
      </w:r>
      <w:r w:rsidR="003F5E21" w:rsidRPr="00BA6590">
        <w:rPr>
          <w:lang w:val="en-GB"/>
        </w:rPr>
        <w:t>May</w:t>
      </w:r>
      <w:r w:rsidR="00E50B98" w:rsidRPr="00BA6590">
        <w:rPr>
          <w:lang w:val="en-GB"/>
        </w:rPr>
        <w:t xml:space="preserve"> 2012)</w:t>
      </w:r>
    </w:p>
    <w:p w:rsidR="00E50B98" w:rsidRPr="00BA6590" w:rsidRDefault="00E50B98" w:rsidP="00E50B98">
      <w:pPr>
        <w:pStyle w:val="SingleTxtG"/>
        <w:rPr>
          <w:lang w:val="en-GB"/>
        </w:rPr>
      </w:pPr>
      <w:r w:rsidRPr="00BA6590">
        <w:rPr>
          <w:lang w:val="en-GB"/>
        </w:rPr>
        <w:t>166.</w:t>
      </w:r>
      <w:r w:rsidRPr="00BA6590">
        <w:rPr>
          <w:lang w:val="en-GB"/>
        </w:rPr>
        <w:tab/>
      </w:r>
      <w:r w:rsidR="006A7025" w:rsidRPr="00BA6590">
        <w:rPr>
          <w:lang w:val="en-GB"/>
        </w:rPr>
        <w:t xml:space="preserve">This Act authorizes the </w:t>
      </w:r>
      <w:r w:rsidR="006C7706" w:rsidRPr="00BA6590">
        <w:rPr>
          <w:lang w:val="en-GB"/>
        </w:rPr>
        <w:t xml:space="preserve">Minister </w:t>
      </w:r>
      <w:r w:rsidR="00EA21F9" w:rsidRPr="00BA6590">
        <w:rPr>
          <w:lang w:val="en-GB"/>
        </w:rPr>
        <w:t>or his or her</w:t>
      </w:r>
      <w:r w:rsidR="006C7706" w:rsidRPr="00BA6590">
        <w:rPr>
          <w:lang w:val="en-GB"/>
        </w:rPr>
        <w:t xml:space="preserve"> representative</w:t>
      </w:r>
      <w:r w:rsidR="006A7025" w:rsidRPr="00BA6590">
        <w:rPr>
          <w:lang w:val="en-GB"/>
        </w:rPr>
        <w:t xml:space="preserve"> to designate a detention centre for </w:t>
      </w:r>
      <w:r w:rsidR="004F4861" w:rsidRPr="00BA6590">
        <w:rPr>
          <w:lang w:val="en-GB"/>
        </w:rPr>
        <w:t>asylum seeker</w:t>
      </w:r>
      <w:r w:rsidR="006A7025" w:rsidRPr="00BA6590">
        <w:rPr>
          <w:lang w:val="en-GB"/>
        </w:rPr>
        <w:t xml:space="preserve">s and their family members who have received final decisions on their asylum applications. This formulation is applicable to both applicants having </w:t>
      </w:r>
      <w:r w:rsidR="00901A76" w:rsidRPr="00BA6590">
        <w:rPr>
          <w:lang w:val="en-GB"/>
        </w:rPr>
        <w:t>lodged</w:t>
      </w:r>
      <w:r w:rsidR="006A7025" w:rsidRPr="00BA6590">
        <w:rPr>
          <w:lang w:val="en-GB"/>
        </w:rPr>
        <w:t xml:space="preserve"> asylum </w:t>
      </w:r>
      <w:r w:rsidR="00901A76" w:rsidRPr="00BA6590">
        <w:rPr>
          <w:lang w:val="en-GB"/>
        </w:rPr>
        <w:t>applications</w:t>
      </w:r>
      <w:r w:rsidR="006A7025" w:rsidRPr="00BA6590">
        <w:rPr>
          <w:lang w:val="en-GB"/>
        </w:rPr>
        <w:t xml:space="preserve"> in Belgium and those whose applications have been declared inadmissible. During their stay in the detention centre,</w:t>
      </w:r>
      <w:r w:rsidR="00D31B1C" w:rsidRPr="00BA6590">
        <w:rPr>
          <w:lang w:val="en-GB"/>
        </w:rPr>
        <w:t xml:space="preserve"> </w:t>
      </w:r>
      <w:r w:rsidR="006A7025" w:rsidRPr="00BA6590">
        <w:rPr>
          <w:lang w:val="en-GB"/>
        </w:rPr>
        <w:t>foreign nationals</w:t>
      </w:r>
      <w:r w:rsidR="00D31B1C" w:rsidRPr="00BA6590">
        <w:rPr>
          <w:lang w:val="en-GB"/>
        </w:rPr>
        <w:t xml:space="preserve"> </w:t>
      </w:r>
      <w:r w:rsidR="00901A76" w:rsidRPr="00BA6590">
        <w:rPr>
          <w:lang w:val="en-GB"/>
        </w:rPr>
        <w:t xml:space="preserve">are assisted by government officials </w:t>
      </w:r>
      <w:r w:rsidR="00D31B1C" w:rsidRPr="00BA6590">
        <w:rPr>
          <w:lang w:val="en-GB"/>
        </w:rPr>
        <w:t xml:space="preserve">to </w:t>
      </w:r>
      <w:r w:rsidR="00A01778" w:rsidRPr="00BA6590">
        <w:rPr>
          <w:lang w:val="en-GB"/>
        </w:rPr>
        <w:t>prepare for their repatriation.</w:t>
      </w:r>
    </w:p>
    <w:p w:rsidR="00E50B98" w:rsidRPr="00BA6590" w:rsidRDefault="00F21B3C" w:rsidP="00F21B3C">
      <w:pPr>
        <w:pStyle w:val="H4G"/>
        <w:rPr>
          <w:lang w:val="en-GB"/>
        </w:rPr>
      </w:pPr>
      <w:r w:rsidRPr="00BA6590">
        <w:rPr>
          <w:lang w:val="en-GB"/>
        </w:rPr>
        <w:tab/>
      </w:r>
      <w:r w:rsidR="00E50B98" w:rsidRPr="00BA6590">
        <w:rPr>
          <w:lang w:val="en-GB"/>
        </w:rPr>
        <w:tab/>
      </w:r>
      <w:r w:rsidR="00D31B1C" w:rsidRPr="00BA6590">
        <w:rPr>
          <w:lang w:val="en-GB"/>
        </w:rPr>
        <w:t xml:space="preserve">Circular of </w:t>
      </w:r>
      <w:r w:rsidR="00E50B98" w:rsidRPr="00BA6590">
        <w:rPr>
          <w:lang w:val="en-GB"/>
        </w:rPr>
        <w:t xml:space="preserve">10 </w:t>
      </w:r>
      <w:r w:rsidR="003F5E21" w:rsidRPr="00BA6590">
        <w:rPr>
          <w:lang w:val="en-GB"/>
        </w:rPr>
        <w:t>June</w:t>
      </w:r>
      <w:r w:rsidR="00E50B98" w:rsidRPr="00BA6590">
        <w:rPr>
          <w:lang w:val="en-GB"/>
        </w:rPr>
        <w:t xml:space="preserve"> 2011</w:t>
      </w:r>
      <w:r w:rsidR="00D31B1C" w:rsidRPr="00BA6590">
        <w:rPr>
          <w:lang w:val="en-GB"/>
        </w:rPr>
        <w:t xml:space="preserve"> relating to the authority of the </w:t>
      </w:r>
      <w:r w:rsidR="00901A76" w:rsidRPr="00BA6590">
        <w:rPr>
          <w:lang w:val="en-GB"/>
        </w:rPr>
        <w:t>bourgmestre</w:t>
      </w:r>
      <w:r w:rsidR="00D31B1C" w:rsidRPr="00BA6590">
        <w:rPr>
          <w:lang w:val="en-GB"/>
        </w:rPr>
        <w:t xml:space="preserve"> in the </w:t>
      </w:r>
      <w:r w:rsidR="00A01778" w:rsidRPr="00BA6590">
        <w:rPr>
          <w:lang w:val="en-GB"/>
        </w:rPr>
        <w:br/>
      </w:r>
      <w:r w:rsidR="00D31B1C" w:rsidRPr="00BA6590">
        <w:rPr>
          <w:lang w:val="en-GB"/>
        </w:rPr>
        <w:t xml:space="preserve">deportation of a third-state national </w:t>
      </w:r>
      <w:r w:rsidR="00E50B98" w:rsidRPr="00BA6590">
        <w:rPr>
          <w:lang w:val="en-GB"/>
        </w:rPr>
        <w:t>(</w:t>
      </w:r>
      <w:r w:rsidR="002420F6" w:rsidRPr="00BA6590">
        <w:rPr>
          <w:lang w:val="en-GB"/>
        </w:rPr>
        <w:t>Moniteur belge</w:t>
      </w:r>
      <w:r w:rsidR="00E50B98" w:rsidRPr="00BA6590">
        <w:rPr>
          <w:lang w:val="en-GB"/>
        </w:rPr>
        <w:t xml:space="preserve">, 16 </w:t>
      </w:r>
      <w:r w:rsidR="003F5E21" w:rsidRPr="00BA6590">
        <w:rPr>
          <w:lang w:val="en-GB"/>
        </w:rPr>
        <w:t>June</w:t>
      </w:r>
      <w:r w:rsidR="00E50B98" w:rsidRPr="00BA6590">
        <w:rPr>
          <w:lang w:val="en-GB"/>
        </w:rPr>
        <w:t xml:space="preserve"> 2011)</w:t>
      </w:r>
    </w:p>
    <w:p w:rsidR="00E50B98" w:rsidRPr="00BA6590" w:rsidRDefault="00E50B98" w:rsidP="00AB6785">
      <w:pPr>
        <w:pStyle w:val="SingleTxtG"/>
        <w:rPr>
          <w:lang w:val="en-GB"/>
        </w:rPr>
      </w:pPr>
      <w:r w:rsidRPr="00BA6590">
        <w:rPr>
          <w:lang w:val="en-GB"/>
        </w:rPr>
        <w:t>167.</w:t>
      </w:r>
      <w:r w:rsidRPr="00BA6590">
        <w:rPr>
          <w:lang w:val="en-GB"/>
        </w:rPr>
        <w:tab/>
      </w:r>
      <w:r w:rsidR="00800938" w:rsidRPr="00BA6590">
        <w:rPr>
          <w:lang w:val="en-GB"/>
        </w:rPr>
        <w:t xml:space="preserve">On </w:t>
      </w:r>
      <w:r w:rsidRPr="00BA6590">
        <w:rPr>
          <w:lang w:val="en-GB"/>
        </w:rPr>
        <w:t xml:space="preserve">10 </w:t>
      </w:r>
      <w:r w:rsidR="003F5E21" w:rsidRPr="00BA6590">
        <w:rPr>
          <w:lang w:val="en-GB"/>
        </w:rPr>
        <w:t>June</w:t>
      </w:r>
      <w:r w:rsidRPr="00BA6590">
        <w:rPr>
          <w:lang w:val="en-GB"/>
        </w:rPr>
        <w:t xml:space="preserve"> 2011,</w:t>
      </w:r>
      <w:r w:rsidR="00800938" w:rsidRPr="00BA6590">
        <w:rPr>
          <w:lang w:val="en-GB"/>
        </w:rPr>
        <w:t xml:space="preserve"> the Secretary of State for Migration and Asylum Policy </w:t>
      </w:r>
      <w:r w:rsidR="00901A76" w:rsidRPr="00BA6590">
        <w:rPr>
          <w:lang w:val="en-GB"/>
        </w:rPr>
        <w:t>issued</w:t>
      </w:r>
      <w:r w:rsidR="00800938" w:rsidRPr="00BA6590">
        <w:rPr>
          <w:lang w:val="en-GB"/>
        </w:rPr>
        <w:t xml:space="preserve"> a circular to clarify the role of communes in the deportation of third-State nationals and the returns management policy of the Belgian State. </w:t>
      </w:r>
    </w:p>
    <w:p w:rsidR="00E50B98" w:rsidRPr="00BA6590" w:rsidRDefault="00E50B98" w:rsidP="00E50B98">
      <w:pPr>
        <w:pStyle w:val="SingleTxtG"/>
        <w:rPr>
          <w:lang w:val="en-GB"/>
        </w:rPr>
      </w:pPr>
      <w:r w:rsidRPr="00BA6590">
        <w:rPr>
          <w:lang w:val="en-GB"/>
        </w:rPr>
        <w:t>168.</w:t>
      </w:r>
      <w:r w:rsidRPr="00BA6590">
        <w:rPr>
          <w:lang w:val="en-GB"/>
        </w:rPr>
        <w:tab/>
      </w:r>
      <w:r w:rsidR="00800938" w:rsidRPr="00BA6590">
        <w:rPr>
          <w:lang w:val="en-GB"/>
        </w:rPr>
        <w:t>The purpose of the circular is to achieve effective execution of expulsion orders while initially encouraging voluntary returns by foreign nationals staying in the country illegally</w:t>
      </w:r>
      <w:r w:rsidRPr="00BA6590">
        <w:rPr>
          <w:lang w:val="en-GB"/>
        </w:rPr>
        <w:t>.</w:t>
      </w:r>
      <w:r w:rsidR="00800938" w:rsidRPr="00BA6590">
        <w:rPr>
          <w:lang w:val="en-GB"/>
        </w:rPr>
        <w:t xml:space="preserve"> The system</w:t>
      </w:r>
      <w:r w:rsidR="00A216FB" w:rsidRPr="00BA6590">
        <w:rPr>
          <w:lang w:val="en-GB"/>
        </w:rPr>
        <w:t>’</w:t>
      </w:r>
      <w:r w:rsidR="00800938" w:rsidRPr="00BA6590">
        <w:rPr>
          <w:lang w:val="en-GB"/>
        </w:rPr>
        <w:t xml:space="preserve">s effectiveness depends on proper collaboration among all the authorities concerned. </w:t>
      </w:r>
    </w:p>
    <w:p w:rsidR="00E50B98" w:rsidRPr="00BA6590" w:rsidRDefault="00E50B98" w:rsidP="00E50B98">
      <w:pPr>
        <w:pStyle w:val="SingleTxtG"/>
        <w:rPr>
          <w:lang w:val="en-GB"/>
        </w:rPr>
      </w:pPr>
      <w:r w:rsidRPr="00BA6590">
        <w:rPr>
          <w:lang w:val="en-GB"/>
        </w:rPr>
        <w:t>169.</w:t>
      </w:r>
      <w:r w:rsidRPr="00BA6590">
        <w:rPr>
          <w:lang w:val="en-GB"/>
        </w:rPr>
        <w:tab/>
      </w:r>
      <w:r w:rsidR="002F4F1E" w:rsidRPr="00BA6590">
        <w:rPr>
          <w:lang w:val="en-GB"/>
        </w:rPr>
        <w:t xml:space="preserve">In this framework, the SEFOR </w:t>
      </w:r>
      <w:r w:rsidR="001779EE" w:rsidRPr="00BA6590">
        <w:rPr>
          <w:lang w:val="en-GB"/>
        </w:rPr>
        <w:t xml:space="preserve">Bureau, partly funded by the </w:t>
      </w:r>
      <w:r w:rsidR="002F4F1E" w:rsidRPr="00BA6590">
        <w:rPr>
          <w:lang w:val="en-GB"/>
        </w:rPr>
        <w:t>European Return Fund</w:t>
      </w:r>
      <w:r w:rsidRPr="00BA6590">
        <w:rPr>
          <w:lang w:val="en-GB"/>
        </w:rPr>
        <w:t>,</w:t>
      </w:r>
      <w:r w:rsidR="001779EE" w:rsidRPr="00BA6590">
        <w:rPr>
          <w:lang w:val="en-GB"/>
        </w:rPr>
        <w:t xml:space="preserve"> was established in May 2011 as part of the </w:t>
      </w:r>
      <w:r w:rsidR="00816F73" w:rsidRPr="00BA6590">
        <w:rPr>
          <w:lang w:val="en-GB"/>
        </w:rPr>
        <w:t>Immigration Office</w:t>
      </w:r>
      <w:r w:rsidR="001779EE" w:rsidRPr="00BA6590">
        <w:rPr>
          <w:lang w:val="en-GB"/>
        </w:rPr>
        <w:t xml:space="preserve">. Its task is to promote voluntary return, to train actors and </w:t>
      </w:r>
      <w:r w:rsidR="006072EC" w:rsidRPr="00BA6590">
        <w:rPr>
          <w:lang w:val="en-GB"/>
        </w:rPr>
        <w:t>raise</w:t>
      </w:r>
      <w:r w:rsidR="001779EE" w:rsidRPr="00BA6590">
        <w:rPr>
          <w:lang w:val="en-GB"/>
        </w:rPr>
        <w:t xml:space="preserve"> their awareness </w:t>
      </w:r>
      <w:r w:rsidR="006072EC" w:rsidRPr="00BA6590">
        <w:rPr>
          <w:lang w:val="en-GB"/>
        </w:rPr>
        <w:t>regarding</w:t>
      </w:r>
      <w:r w:rsidR="001779EE" w:rsidRPr="00BA6590">
        <w:rPr>
          <w:lang w:val="en-GB"/>
        </w:rPr>
        <w:t xml:space="preserve"> the application of the new circular and to monitor its correct implementation. </w:t>
      </w:r>
    </w:p>
    <w:p w:rsidR="00E50B98" w:rsidRPr="00BA6590" w:rsidRDefault="00F21B3C" w:rsidP="00F21B3C">
      <w:pPr>
        <w:pStyle w:val="H23G"/>
        <w:rPr>
          <w:lang w:val="en-GB"/>
        </w:rPr>
      </w:pPr>
      <w:r w:rsidRPr="00BA6590">
        <w:rPr>
          <w:lang w:val="en-GB"/>
        </w:rPr>
        <w:tab/>
      </w:r>
      <w:r w:rsidR="00E50B98" w:rsidRPr="00BA6590">
        <w:rPr>
          <w:lang w:val="en-GB"/>
        </w:rPr>
        <w:t>6.</w:t>
      </w:r>
      <w:r w:rsidR="00E50B98" w:rsidRPr="00BA6590">
        <w:rPr>
          <w:lang w:val="en-GB"/>
        </w:rPr>
        <w:tab/>
      </w:r>
      <w:r w:rsidR="001779EE" w:rsidRPr="00BA6590">
        <w:rPr>
          <w:lang w:val="en-GB"/>
        </w:rPr>
        <w:t>Family reunification</w:t>
      </w:r>
    </w:p>
    <w:p w:rsidR="00E50B98" w:rsidRPr="00BA6590" w:rsidRDefault="00E979F6" w:rsidP="00E979F6">
      <w:pPr>
        <w:pStyle w:val="H4G"/>
        <w:rPr>
          <w:lang w:val="en-GB"/>
        </w:rPr>
      </w:pPr>
      <w:r w:rsidRPr="00BA6590">
        <w:rPr>
          <w:lang w:val="en-GB"/>
        </w:rPr>
        <w:tab/>
      </w:r>
      <w:r w:rsidR="00E50B98" w:rsidRPr="00BA6590">
        <w:rPr>
          <w:lang w:val="en-GB"/>
        </w:rPr>
        <w:tab/>
      </w:r>
      <w:r w:rsidR="001779EE" w:rsidRPr="00BA6590">
        <w:rPr>
          <w:lang w:val="en-GB"/>
        </w:rPr>
        <w:t xml:space="preserve">Act of </w:t>
      </w:r>
      <w:r w:rsidR="00E50B98" w:rsidRPr="00BA6590">
        <w:rPr>
          <w:lang w:val="en-GB"/>
        </w:rPr>
        <w:t xml:space="preserve">15 </w:t>
      </w:r>
      <w:r w:rsidR="003F5E21" w:rsidRPr="00BA6590">
        <w:rPr>
          <w:lang w:val="en-GB"/>
        </w:rPr>
        <w:t>September</w:t>
      </w:r>
      <w:r w:rsidR="00E50B98" w:rsidRPr="00BA6590">
        <w:rPr>
          <w:lang w:val="en-GB"/>
        </w:rPr>
        <w:t xml:space="preserve"> 2006</w:t>
      </w:r>
      <w:r w:rsidR="003A1F7C" w:rsidRPr="00BA6590">
        <w:rPr>
          <w:lang w:val="en-GB"/>
        </w:rPr>
        <w:t>,</w:t>
      </w:r>
      <w:r w:rsidR="001779EE" w:rsidRPr="00BA6590">
        <w:rPr>
          <w:lang w:val="en-GB"/>
        </w:rPr>
        <w:t xml:space="preserve"> amending the </w:t>
      </w:r>
      <w:r w:rsidR="00EE6F22" w:rsidRPr="00BA6590">
        <w:rPr>
          <w:lang w:val="en-GB"/>
        </w:rPr>
        <w:t>Act</w:t>
      </w:r>
      <w:r w:rsidR="003A1F7C" w:rsidRPr="00BA6590">
        <w:rPr>
          <w:lang w:val="en-GB"/>
        </w:rPr>
        <w:t xml:space="preserve"> of 15 December 1980</w:t>
      </w:r>
      <w:r w:rsidR="00E50B98" w:rsidRPr="00BA6590">
        <w:rPr>
          <w:lang w:val="en-GB"/>
        </w:rPr>
        <w:t xml:space="preserve"> (</w:t>
      </w:r>
      <w:r w:rsidR="001779EE" w:rsidRPr="00BA6590">
        <w:rPr>
          <w:lang w:val="en-GB"/>
        </w:rPr>
        <w:t>see above</w:t>
      </w:r>
      <w:r w:rsidR="00E50B98" w:rsidRPr="00BA6590">
        <w:rPr>
          <w:lang w:val="en-GB"/>
        </w:rPr>
        <w:t>)</w:t>
      </w:r>
    </w:p>
    <w:p w:rsidR="00E50B98" w:rsidRPr="00BA6590" w:rsidRDefault="00E50B98" w:rsidP="00E50B98">
      <w:pPr>
        <w:pStyle w:val="SingleTxtG"/>
        <w:rPr>
          <w:lang w:val="en-GB"/>
        </w:rPr>
      </w:pPr>
      <w:r w:rsidRPr="00BA6590">
        <w:rPr>
          <w:lang w:val="en-GB"/>
        </w:rPr>
        <w:t>170.</w:t>
      </w:r>
      <w:r w:rsidRPr="00BA6590">
        <w:rPr>
          <w:lang w:val="en-GB"/>
        </w:rPr>
        <w:tab/>
      </w:r>
      <w:r w:rsidR="001779EE" w:rsidRPr="00BA6590">
        <w:rPr>
          <w:lang w:val="en-GB"/>
        </w:rPr>
        <w:t xml:space="preserve">This Act modifies the provisions of the </w:t>
      </w:r>
      <w:r w:rsidR="00EE6F22" w:rsidRPr="00BA6590">
        <w:rPr>
          <w:lang w:val="en-GB"/>
        </w:rPr>
        <w:t>Act</w:t>
      </w:r>
      <w:r w:rsidR="003A1F7C" w:rsidRPr="00BA6590">
        <w:rPr>
          <w:lang w:val="en-GB"/>
        </w:rPr>
        <w:t xml:space="preserve"> of 15 December 1980</w:t>
      </w:r>
      <w:r w:rsidR="001779EE" w:rsidRPr="00BA6590">
        <w:rPr>
          <w:lang w:val="en-GB"/>
        </w:rPr>
        <w:t xml:space="preserve"> concerning reunification for the families of </w:t>
      </w:r>
      <w:r w:rsidR="006D4351" w:rsidRPr="00BA6590">
        <w:rPr>
          <w:lang w:val="en-GB"/>
        </w:rPr>
        <w:t xml:space="preserve">non-EU </w:t>
      </w:r>
      <w:r w:rsidR="001779EE" w:rsidRPr="00BA6590">
        <w:rPr>
          <w:lang w:val="en-GB"/>
        </w:rPr>
        <w:t>nationals. This change responds to the adoption by the Council of the European Union of Di</w:t>
      </w:r>
      <w:r w:rsidRPr="00BA6590">
        <w:rPr>
          <w:lang w:val="en-GB"/>
        </w:rPr>
        <w:t>rective 2003/86</w:t>
      </w:r>
      <w:r w:rsidR="004722FA" w:rsidRPr="00BA6590">
        <w:rPr>
          <w:lang w:val="en-GB"/>
        </w:rPr>
        <w:t>/EC</w:t>
      </w:r>
      <w:r w:rsidRPr="00BA6590">
        <w:rPr>
          <w:lang w:val="en-GB"/>
        </w:rPr>
        <w:t xml:space="preserve"> </w:t>
      </w:r>
      <w:r w:rsidR="001779EE" w:rsidRPr="00BA6590">
        <w:rPr>
          <w:lang w:val="en-GB"/>
        </w:rPr>
        <w:t xml:space="preserve">of 22 September 2003 on the right to family reunification. </w:t>
      </w:r>
    </w:p>
    <w:p w:rsidR="00E50B98" w:rsidRPr="00BA6590" w:rsidRDefault="00E979F6" w:rsidP="00E979F6">
      <w:pPr>
        <w:pStyle w:val="H4G"/>
        <w:rPr>
          <w:lang w:val="en-GB"/>
        </w:rPr>
      </w:pPr>
      <w:r w:rsidRPr="00BA6590">
        <w:rPr>
          <w:lang w:val="en-GB"/>
        </w:rPr>
        <w:tab/>
      </w:r>
      <w:r w:rsidR="00E50B98" w:rsidRPr="00BA6590">
        <w:rPr>
          <w:lang w:val="en-GB"/>
        </w:rPr>
        <w:tab/>
      </w:r>
      <w:r w:rsidR="001779EE" w:rsidRPr="00BA6590">
        <w:rPr>
          <w:lang w:val="en-GB"/>
        </w:rPr>
        <w:t xml:space="preserve">Act of </w:t>
      </w:r>
      <w:r w:rsidR="00E50B98" w:rsidRPr="00BA6590">
        <w:rPr>
          <w:lang w:val="en-GB"/>
        </w:rPr>
        <w:t xml:space="preserve">8 </w:t>
      </w:r>
      <w:r w:rsidR="003F5E21" w:rsidRPr="00BA6590">
        <w:rPr>
          <w:lang w:val="en-GB"/>
        </w:rPr>
        <w:t>March</w:t>
      </w:r>
      <w:r w:rsidR="00E50B98" w:rsidRPr="00BA6590">
        <w:rPr>
          <w:lang w:val="en-GB"/>
        </w:rPr>
        <w:t xml:space="preserve"> 2009</w:t>
      </w:r>
      <w:r w:rsidR="0032578F" w:rsidRPr="00BA6590">
        <w:rPr>
          <w:lang w:val="en-GB"/>
        </w:rPr>
        <w:t>,</w:t>
      </w:r>
      <w:r w:rsidR="00E20F23" w:rsidRPr="00BA6590">
        <w:rPr>
          <w:lang w:val="en-GB"/>
        </w:rPr>
        <w:t xml:space="preserve"> amending article </w:t>
      </w:r>
      <w:r w:rsidR="00834782" w:rsidRPr="00BA6590">
        <w:rPr>
          <w:lang w:val="en-GB"/>
        </w:rPr>
        <w:t xml:space="preserve">12 </w:t>
      </w:r>
      <w:r w:rsidR="00834782" w:rsidRPr="00BA6590">
        <w:rPr>
          <w:i w:val="0"/>
          <w:lang w:val="en-GB"/>
        </w:rPr>
        <w:t>bis</w:t>
      </w:r>
      <w:r w:rsidR="00E50B98" w:rsidRPr="00BA6590">
        <w:rPr>
          <w:lang w:val="en-GB"/>
        </w:rPr>
        <w:t xml:space="preserve"> </w:t>
      </w:r>
      <w:r w:rsidR="00E20F23" w:rsidRPr="00BA6590">
        <w:rPr>
          <w:lang w:val="en-GB"/>
        </w:rPr>
        <w:t>of the</w:t>
      </w:r>
      <w:r w:rsidR="00E50B98" w:rsidRPr="00BA6590">
        <w:rPr>
          <w:lang w:val="en-GB"/>
        </w:rPr>
        <w:t xml:space="preserve"> </w:t>
      </w:r>
      <w:r w:rsidR="00EE6F22" w:rsidRPr="00BA6590">
        <w:rPr>
          <w:lang w:val="en-GB"/>
        </w:rPr>
        <w:t>Act</w:t>
      </w:r>
      <w:r w:rsidR="003A1F7C" w:rsidRPr="00BA6590">
        <w:rPr>
          <w:lang w:val="en-GB"/>
        </w:rPr>
        <w:t xml:space="preserve"> of 15 December 1980</w:t>
      </w:r>
      <w:r w:rsidR="0032578F" w:rsidRPr="00BA6590">
        <w:rPr>
          <w:lang w:val="en-GB"/>
        </w:rPr>
        <w:t>,</w:t>
      </w:r>
      <w:r w:rsidR="00E50B98" w:rsidRPr="00BA6590">
        <w:rPr>
          <w:lang w:val="en-GB"/>
        </w:rPr>
        <w:t xml:space="preserve"> </w:t>
      </w:r>
      <w:r w:rsidR="00E20F23" w:rsidRPr="00BA6590">
        <w:rPr>
          <w:lang w:val="en-GB"/>
        </w:rPr>
        <w:t xml:space="preserve">on </w:t>
      </w:r>
      <w:r w:rsidR="00A01778" w:rsidRPr="00BA6590">
        <w:rPr>
          <w:lang w:val="en-GB"/>
        </w:rPr>
        <w:br/>
      </w:r>
      <w:r w:rsidR="00E20F23" w:rsidRPr="00BA6590">
        <w:rPr>
          <w:lang w:val="en-GB"/>
        </w:rPr>
        <w:t xml:space="preserve">proof of </w:t>
      </w:r>
      <w:r w:rsidR="00884109" w:rsidRPr="00BA6590">
        <w:rPr>
          <w:lang w:val="en-GB"/>
        </w:rPr>
        <w:t>relationship</w:t>
      </w:r>
      <w:r w:rsidR="00E20F23" w:rsidRPr="00BA6590">
        <w:rPr>
          <w:lang w:val="en-GB"/>
        </w:rPr>
        <w:t xml:space="preserve"> </w:t>
      </w:r>
      <w:r w:rsidR="00834782" w:rsidRPr="00BA6590">
        <w:rPr>
          <w:lang w:val="en-GB"/>
        </w:rPr>
        <w:t>(</w:t>
      </w:r>
      <w:r w:rsidR="002420F6" w:rsidRPr="00BA6590">
        <w:rPr>
          <w:lang w:val="en-GB"/>
        </w:rPr>
        <w:t>Moniteur belge</w:t>
      </w:r>
      <w:r w:rsidR="00E50B98" w:rsidRPr="00BA6590">
        <w:rPr>
          <w:lang w:val="en-GB"/>
        </w:rPr>
        <w:t xml:space="preserve">, 2 </w:t>
      </w:r>
      <w:r w:rsidR="003F5E21" w:rsidRPr="00BA6590">
        <w:rPr>
          <w:lang w:val="en-GB"/>
        </w:rPr>
        <w:t>July</w:t>
      </w:r>
      <w:r w:rsidR="00E50B98" w:rsidRPr="00BA6590">
        <w:rPr>
          <w:lang w:val="en-GB"/>
        </w:rPr>
        <w:t xml:space="preserve"> 2009)</w:t>
      </w:r>
    </w:p>
    <w:p w:rsidR="00E50B98" w:rsidRPr="00BA6590" w:rsidRDefault="00E50B98" w:rsidP="00E50B98">
      <w:pPr>
        <w:pStyle w:val="SingleTxtG"/>
        <w:rPr>
          <w:lang w:val="en-GB"/>
        </w:rPr>
      </w:pPr>
      <w:r w:rsidRPr="00BA6590">
        <w:rPr>
          <w:lang w:val="en-GB"/>
        </w:rPr>
        <w:t>171.</w:t>
      </w:r>
      <w:r w:rsidRPr="00BA6590">
        <w:rPr>
          <w:lang w:val="en-GB"/>
        </w:rPr>
        <w:tab/>
      </w:r>
      <w:r w:rsidR="00E20F23" w:rsidRPr="00BA6590">
        <w:rPr>
          <w:lang w:val="en-GB"/>
        </w:rPr>
        <w:t xml:space="preserve">Under this Act, where a foreign national proves unable to demonstrate a claimed relationship by blood or marriage by means of official documents, </w:t>
      </w:r>
      <w:r w:rsidR="006D4351" w:rsidRPr="00BA6590">
        <w:rPr>
          <w:lang w:val="en-GB"/>
        </w:rPr>
        <w:t xml:space="preserve">other forms of proof may be accepted </w:t>
      </w:r>
      <w:r w:rsidR="00E20F23" w:rsidRPr="00BA6590">
        <w:rPr>
          <w:lang w:val="en-GB"/>
        </w:rPr>
        <w:t xml:space="preserve">in accordance with </w:t>
      </w:r>
      <w:r w:rsidRPr="00BA6590">
        <w:rPr>
          <w:lang w:val="en-GB"/>
        </w:rPr>
        <w:t>article 30</w:t>
      </w:r>
      <w:r w:rsidR="00E20F23" w:rsidRPr="00BA6590">
        <w:rPr>
          <w:lang w:val="en-GB"/>
        </w:rPr>
        <w:t xml:space="preserve"> of the Act of </w:t>
      </w:r>
      <w:r w:rsidRPr="00BA6590">
        <w:rPr>
          <w:lang w:val="en-GB"/>
        </w:rPr>
        <w:t xml:space="preserve">16 </w:t>
      </w:r>
      <w:r w:rsidR="003F5E21" w:rsidRPr="00BA6590">
        <w:rPr>
          <w:lang w:val="en-GB"/>
        </w:rPr>
        <w:t>July</w:t>
      </w:r>
      <w:r w:rsidRPr="00BA6590">
        <w:rPr>
          <w:lang w:val="en-GB"/>
        </w:rPr>
        <w:t xml:space="preserve"> 2004 </w:t>
      </w:r>
      <w:r w:rsidR="00E20F23" w:rsidRPr="00BA6590">
        <w:rPr>
          <w:lang w:val="en-GB"/>
        </w:rPr>
        <w:t>implementing the</w:t>
      </w:r>
      <w:r w:rsidRPr="00BA6590">
        <w:rPr>
          <w:lang w:val="en-GB"/>
        </w:rPr>
        <w:t xml:space="preserve"> </w:t>
      </w:r>
      <w:r w:rsidR="00E20F23" w:rsidRPr="00BA6590">
        <w:rPr>
          <w:lang w:val="en-GB"/>
        </w:rPr>
        <w:t xml:space="preserve">Code of Private International Law or with international conventions on the same subject. Failing that, the </w:t>
      </w:r>
      <w:r w:rsidR="006C7706" w:rsidRPr="00BA6590">
        <w:rPr>
          <w:lang w:val="en-GB"/>
        </w:rPr>
        <w:t xml:space="preserve">Minister </w:t>
      </w:r>
      <w:r w:rsidR="00EA21F9" w:rsidRPr="00BA6590">
        <w:rPr>
          <w:lang w:val="en-GB"/>
        </w:rPr>
        <w:t>or his or her</w:t>
      </w:r>
      <w:r w:rsidR="006C7706" w:rsidRPr="00BA6590">
        <w:rPr>
          <w:lang w:val="en-GB"/>
        </w:rPr>
        <w:t xml:space="preserve"> representative</w:t>
      </w:r>
      <w:r w:rsidR="00E20F23" w:rsidRPr="00BA6590">
        <w:rPr>
          <w:lang w:val="en-GB"/>
        </w:rPr>
        <w:t xml:space="preserve"> may </w:t>
      </w:r>
      <w:r w:rsidR="00900275" w:rsidRPr="00BA6590">
        <w:rPr>
          <w:lang w:val="en-GB"/>
        </w:rPr>
        <w:t xml:space="preserve">conduct </w:t>
      </w:r>
      <w:r w:rsidR="00E20F23" w:rsidRPr="00BA6590">
        <w:rPr>
          <w:lang w:val="en-GB"/>
        </w:rPr>
        <w:t>interview</w:t>
      </w:r>
      <w:r w:rsidR="00900275" w:rsidRPr="00BA6590">
        <w:rPr>
          <w:lang w:val="en-GB"/>
        </w:rPr>
        <w:t>s with</w:t>
      </w:r>
      <w:r w:rsidR="00E20F23" w:rsidRPr="00BA6590">
        <w:rPr>
          <w:lang w:val="en-GB"/>
        </w:rPr>
        <w:t xml:space="preserve"> the </w:t>
      </w:r>
      <w:r w:rsidR="00900275" w:rsidRPr="00BA6590">
        <w:rPr>
          <w:lang w:val="en-GB"/>
        </w:rPr>
        <w:t xml:space="preserve">arriving </w:t>
      </w:r>
      <w:r w:rsidR="00E20F23" w:rsidRPr="00BA6590">
        <w:rPr>
          <w:lang w:val="en-GB"/>
        </w:rPr>
        <w:t>foreign national</w:t>
      </w:r>
      <w:r w:rsidR="00900275" w:rsidRPr="00BA6590">
        <w:rPr>
          <w:lang w:val="en-GB"/>
        </w:rPr>
        <w:t xml:space="preserve"> and the foreign national with whom he or she is being reunited</w:t>
      </w:r>
      <w:r w:rsidR="006D4351" w:rsidRPr="00BA6590">
        <w:rPr>
          <w:lang w:val="en-GB"/>
        </w:rPr>
        <w:t>, may</w:t>
      </w:r>
      <w:r w:rsidR="00900275" w:rsidRPr="00BA6590">
        <w:rPr>
          <w:lang w:val="en-GB"/>
        </w:rPr>
        <w:t xml:space="preserve"> conduct any investigation which is considered necessary and, where appropriate, may propose further analysis. </w:t>
      </w:r>
    </w:p>
    <w:p w:rsidR="00E50B98" w:rsidRPr="00BA6590" w:rsidRDefault="00E979F6" w:rsidP="00E979F6">
      <w:pPr>
        <w:pStyle w:val="H4G"/>
        <w:rPr>
          <w:lang w:val="en-GB"/>
        </w:rPr>
      </w:pPr>
      <w:r w:rsidRPr="00BA6590">
        <w:rPr>
          <w:lang w:val="en-GB"/>
        </w:rPr>
        <w:tab/>
      </w:r>
      <w:r w:rsidR="00E50B98" w:rsidRPr="00BA6590">
        <w:rPr>
          <w:lang w:val="en-GB"/>
        </w:rPr>
        <w:tab/>
      </w:r>
      <w:r w:rsidR="001779EE" w:rsidRPr="00BA6590">
        <w:rPr>
          <w:lang w:val="en-GB"/>
        </w:rPr>
        <w:t>Act of</w:t>
      </w:r>
      <w:r w:rsidR="00E50B98" w:rsidRPr="00BA6590">
        <w:rPr>
          <w:lang w:val="en-GB"/>
        </w:rPr>
        <w:t xml:space="preserve"> 8 </w:t>
      </w:r>
      <w:r w:rsidR="003F5E21" w:rsidRPr="00BA6590">
        <w:rPr>
          <w:lang w:val="en-GB"/>
        </w:rPr>
        <w:t>July</w:t>
      </w:r>
      <w:r w:rsidR="00E50B98" w:rsidRPr="00BA6590">
        <w:rPr>
          <w:lang w:val="en-GB"/>
        </w:rPr>
        <w:t xml:space="preserve"> 2011</w:t>
      </w:r>
      <w:r w:rsidR="0032578F" w:rsidRPr="00BA6590">
        <w:rPr>
          <w:lang w:val="en-GB"/>
        </w:rPr>
        <w:t>,</w:t>
      </w:r>
      <w:r w:rsidR="00E50B98" w:rsidRPr="00BA6590">
        <w:rPr>
          <w:lang w:val="en-GB"/>
        </w:rPr>
        <w:t xml:space="preserve"> </w:t>
      </w:r>
      <w:r w:rsidR="00900275" w:rsidRPr="00BA6590">
        <w:rPr>
          <w:lang w:val="en-GB"/>
        </w:rPr>
        <w:t>amending the</w:t>
      </w:r>
      <w:r w:rsidR="00E50B98" w:rsidRPr="00BA6590">
        <w:rPr>
          <w:lang w:val="en-GB"/>
        </w:rPr>
        <w:t xml:space="preserve"> </w:t>
      </w:r>
      <w:r w:rsidR="00EE6F22" w:rsidRPr="00BA6590">
        <w:rPr>
          <w:lang w:val="en-GB"/>
        </w:rPr>
        <w:t>Act</w:t>
      </w:r>
      <w:r w:rsidR="003A1F7C" w:rsidRPr="00BA6590">
        <w:rPr>
          <w:lang w:val="en-GB"/>
        </w:rPr>
        <w:t xml:space="preserve"> of 15 December 1980</w:t>
      </w:r>
      <w:r w:rsidR="0032578F" w:rsidRPr="00BA6590">
        <w:rPr>
          <w:lang w:val="en-GB"/>
        </w:rPr>
        <w:t>,</w:t>
      </w:r>
      <w:r w:rsidR="00E50B98" w:rsidRPr="00BA6590">
        <w:rPr>
          <w:lang w:val="en-GB"/>
        </w:rPr>
        <w:t xml:space="preserve"> </w:t>
      </w:r>
      <w:r w:rsidR="00900275" w:rsidRPr="00BA6590">
        <w:rPr>
          <w:lang w:val="en-GB"/>
        </w:rPr>
        <w:t xml:space="preserve">on the conditions of </w:t>
      </w:r>
      <w:r w:rsidR="00A01778" w:rsidRPr="00BA6590">
        <w:rPr>
          <w:lang w:val="en-GB"/>
        </w:rPr>
        <w:br/>
      </w:r>
      <w:r w:rsidR="00900275" w:rsidRPr="00BA6590">
        <w:rPr>
          <w:lang w:val="en-GB"/>
        </w:rPr>
        <w:t>family reunification</w:t>
      </w:r>
      <w:r w:rsidR="00E50B98" w:rsidRPr="00BA6590">
        <w:rPr>
          <w:lang w:val="en-GB"/>
        </w:rPr>
        <w:t xml:space="preserve"> (</w:t>
      </w:r>
      <w:r w:rsidR="002420F6" w:rsidRPr="00BA6590">
        <w:rPr>
          <w:lang w:val="en-GB"/>
        </w:rPr>
        <w:t>Moniteur belge</w:t>
      </w:r>
      <w:r w:rsidR="00E50B98" w:rsidRPr="00BA6590">
        <w:rPr>
          <w:lang w:val="en-GB"/>
        </w:rPr>
        <w:t xml:space="preserve">, 12 </w:t>
      </w:r>
      <w:r w:rsidR="003F5E21" w:rsidRPr="00BA6590">
        <w:rPr>
          <w:lang w:val="en-GB"/>
        </w:rPr>
        <w:t>September</w:t>
      </w:r>
      <w:r w:rsidR="00E50B98" w:rsidRPr="00BA6590">
        <w:rPr>
          <w:lang w:val="en-GB"/>
        </w:rPr>
        <w:t xml:space="preserve"> 2011)</w:t>
      </w:r>
    </w:p>
    <w:p w:rsidR="00E50B98" w:rsidRPr="00BA6590" w:rsidRDefault="00E50B98" w:rsidP="00E50B98">
      <w:pPr>
        <w:pStyle w:val="SingleTxtG"/>
        <w:rPr>
          <w:lang w:val="en-GB"/>
        </w:rPr>
      </w:pPr>
      <w:r w:rsidRPr="00BA6590">
        <w:rPr>
          <w:lang w:val="en-GB"/>
        </w:rPr>
        <w:t>172.</w:t>
      </w:r>
      <w:r w:rsidRPr="00BA6590">
        <w:rPr>
          <w:lang w:val="en-GB"/>
        </w:rPr>
        <w:tab/>
      </w:r>
      <w:r w:rsidR="006072EC" w:rsidRPr="00BA6590">
        <w:rPr>
          <w:lang w:val="en-GB"/>
        </w:rPr>
        <w:t xml:space="preserve">This Act modifies the family reunification procedure for third-State nationals in order to prevent abuses. It also introduces a change regarding the right to family reunification for Belgian nationals. </w:t>
      </w:r>
    </w:p>
    <w:p w:rsidR="00E50B98" w:rsidRPr="00BA6590" w:rsidRDefault="00E979F6" w:rsidP="00E979F6">
      <w:pPr>
        <w:pStyle w:val="H4G"/>
        <w:rPr>
          <w:lang w:val="en-GB"/>
        </w:rPr>
      </w:pPr>
      <w:r w:rsidRPr="00BA6590">
        <w:rPr>
          <w:lang w:val="en-GB"/>
        </w:rPr>
        <w:tab/>
      </w:r>
      <w:r w:rsidR="00E50B98" w:rsidRPr="00BA6590">
        <w:rPr>
          <w:lang w:val="en-GB"/>
        </w:rPr>
        <w:tab/>
      </w:r>
      <w:r w:rsidR="001779EE" w:rsidRPr="00BA6590">
        <w:rPr>
          <w:lang w:val="en-GB"/>
        </w:rPr>
        <w:t>Act of</w:t>
      </w:r>
      <w:r w:rsidR="00E50B98" w:rsidRPr="00BA6590">
        <w:rPr>
          <w:lang w:val="en-GB"/>
        </w:rPr>
        <w:t xml:space="preserve"> 26 </w:t>
      </w:r>
      <w:r w:rsidR="003F5E21" w:rsidRPr="00BA6590">
        <w:rPr>
          <w:lang w:val="en-GB"/>
        </w:rPr>
        <w:t>November</w:t>
      </w:r>
      <w:r w:rsidR="00E50B98" w:rsidRPr="00BA6590">
        <w:rPr>
          <w:lang w:val="en-GB"/>
        </w:rPr>
        <w:t xml:space="preserve"> 2011 </w:t>
      </w:r>
      <w:r w:rsidR="006072EC" w:rsidRPr="00BA6590">
        <w:rPr>
          <w:lang w:val="en-GB"/>
        </w:rPr>
        <w:t xml:space="preserve">modifying and complementing the Criminal Code, to </w:t>
      </w:r>
      <w:r w:rsidR="00A01778" w:rsidRPr="00BA6590">
        <w:rPr>
          <w:lang w:val="en-GB"/>
        </w:rPr>
        <w:br/>
      </w:r>
      <w:r w:rsidR="006D4351" w:rsidRPr="00BA6590">
        <w:rPr>
          <w:lang w:val="en-GB"/>
        </w:rPr>
        <w:t>penalize</w:t>
      </w:r>
      <w:r w:rsidR="006072EC" w:rsidRPr="00BA6590">
        <w:rPr>
          <w:lang w:val="en-GB"/>
        </w:rPr>
        <w:t xml:space="preserve"> the abuse of vulnerable persons and extend their protection from </w:t>
      </w:r>
      <w:r w:rsidR="00A01778" w:rsidRPr="00BA6590">
        <w:rPr>
          <w:lang w:val="en-GB"/>
        </w:rPr>
        <w:br/>
      </w:r>
      <w:r w:rsidR="006072EC" w:rsidRPr="00BA6590">
        <w:rPr>
          <w:lang w:val="en-GB"/>
        </w:rPr>
        <w:t>ill-treatment</w:t>
      </w:r>
      <w:r w:rsidR="00E50B98" w:rsidRPr="00BA6590">
        <w:rPr>
          <w:lang w:val="en-GB"/>
        </w:rPr>
        <w:t xml:space="preserve"> </w:t>
      </w:r>
      <w:r w:rsidR="00834782" w:rsidRPr="00BA6590">
        <w:rPr>
          <w:lang w:val="en-GB"/>
        </w:rPr>
        <w:t>(</w:t>
      </w:r>
      <w:r w:rsidR="002420F6" w:rsidRPr="00BA6590">
        <w:rPr>
          <w:lang w:val="en-GB"/>
        </w:rPr>
        <w:t>Moniteur belge</w:t>
      </w:r>
      <w:r w:rsidR="00E50B98" w:rsidRPr="00BA6590">
        <w:rPr>
          <w:lang w:val="en-GB"/>
        </w:rPr>
        <w:t xml:space="preserve">, 23 </w:t>
      </w:r>
      <w:r w:rsidR="003F5E21" w:rsidRPr="00BA6590">
        <w:rPr>
          <w:lang w:val="en-GB"/>
        </w:rPr>
        <w:t>January</w:t>
      </w:r>
      <w:r w:rsidR="00E50B98" w:rsidRPr="00BA6590">
        <w:rPr>
          <w:lang w:val="en-GB"/>
        </w:rPr>
        <w:t xml:space="preserve"> 2012)</w:t>
      </w:r>
    </w:p>
    <w:p w:rsidR="00E50B98" w:rsidRPr="00BA6590" w:rsidRDefault="00E50B98" w:rsidP="00A5534A">
      <w:pPr>
        <w:pStyle w:val="SingleTxtG"/>
        <w:rPr>
          <w:lang w:val="en-GB"/>
        </w:rPr>
      </w:pPr>
      <w:r w:rsidRPr="00BA6590">
        <w:rPr>
          <w:lang w:val="en-GB"/>
        </w:rPr>
        <w:t>173.</w:t>
      </w:r>
      <w:r w:rsidRPr="00BA6590">
        <w:rPr>
          <w:lang w:val="en-GB"/>
        </w:rPr>
        <w:tab/>
      </w:r>
      <w:r w:rsidR="006072EC" w:rsidRPr="00BA6590">
        <w:rPr>
          <w:lang w:val="en-GB"/>
        </w:rPr>
        <w:t xml:space="preserve">This Act amends </w:t>
      </w:r>
      <w:r w:rsidRPr="00BA6590">
        <w:rPr>
          <w:lang w:val="en-GB"/>
        </w:rPr>
        <w:t xml:space="preserve">article 77 </w:t>
      </w:r>
      <w:r w:rsidRPr="00BA6590">
        <w:rPr>
          <w:i/>
          <w:iCs/>
          <w:lang w:val="en-GB"/>
        </w:rPr>
        <w:t>quater</w:t>
      </w:r>
      <w:r w:rsidRPr="00BA6590">
        <w:rPr>
          <w:lang w:val="en-GB"/>
        </w:rPr>
        <w:t xml:space="preserve"> </w:t>
      </w:r>
      <w:r w:rsidR="006072EC" w:rsidRPr="00BA6590">
        <w:rPr>
          <w:lang w:val="en-GB"/>
        </w:rPr>
        <w:t xml:space="preserve">of the </w:t>
      </w:r>
      <w:r w:rsidR="00EE6F22" w:rsidRPr="00BA6590">
        <w:rPr>
          <w:lang w:val="en-GB"/>
        </w:rPr>
        <w:t>Act</w:t>
      </w:r>
      <w:r w:rsidR="00BB5528" w:rsidRPr="00BA6590">
        <w:rPr>
          <w:lang w:val="en-GB"/>
        </w:rPr>
        <w:t xml:space="preserve"> of 15 December 1980</w:t>
      </w:r>
      <w:r w:rsidR="006072EC" w:rsidRPr="00BA6590">
        <w:rPr>
          <w:lang w:val="en-GB"/>
        </w:rPr>
        <w:t xml:space="preserve">, incriminating all abuse of the vulnerable situations of persons as a result of illegal or precarious administrative status, a precarious social situation, age, pregnancy, sickness, infirmity or physical or mental deficiency. </w:t>
      </w:r>
    </w:p>
    <w:p w:rsidR="00E50B98" w:rsidRPr="00BA6590" w:rsidRDefault="00E979F6" w:rsidP="00760B5A">
      <w:pPr>
        <w:pStyle w:val="H23G"/>
        <w:rPr>
          <w:lang w:val="en-GB"/>
        </w:rPr>
      </w:pPr>
      <w:r w:rsidRPr="00BA6590">
        <w:rPr>
          <w:lang w:val="en-GB"/>
        </w:rPr>
        <w:tab/>
      </w:r>
      <w:r w:rsidR="00760B5A" w:rsidRPr="00BA6590">
        <w:rPr>
          <w:lang w:val="en-GB"/>
        </w:rPr>
        <w:t>7</w:t>
      </w:r>
      <w:r w:rsidR="00E50B98" w:rsidRPr="00BA6590">
        <w:rPr>
          <w:lang w:val="en-GB"/>
        </w:rPr>
        <w:t>.</w:t>
      </w:r>
      <w:r w:rsidR="00E50B98" w:rsidRPr="00BA6590">
        <w:rPr>
          <w:lang w:val="en-GB"/>
        </w:rPr>
        <w:tab/>
      </w:r>
      <w:r w:rsidR="00F076DE" w:rsidRPr="00BA6590">
        <w:rPr>
          <w:lang w:val="en-GB"/>
        </w:rPr>
        <w:t>Unaccompanied foreign minors</w:t>
      </w:r>
    </w:p>
    <w:p w:rsidR="00E50B98" w:rsidRPr="00BA6590" w:rsidRDefault="00E979F6" w:rsidP="00E979F6">
      <w:pPr>
        <w:pStyle w:val="H4G"/>
        <w:rPr>
          <w:lang w:val="en-GB"/>
        </w:rPr>
      </w:pPr>
      <w:r w:rsidRPr="00BA6590">
        <w:rPr>
          <w:lang w:val="en-GB"/>
        </w:rPr>
        <w:tab/>
      </w:r>
      <w:r w:rsidR="00E50B98" w:rsidRPr="00BA6590">
        <w:rPr>
          <w:lang w:val="en-GB"/>
        </w:rPr>
        <w:tab/>
      </w:r>
      <w:r w:rsidR="001779EE" w:rsidRPr="00BA6590">
        <w:rPr>
          <w:lang w:val="en-GB"/>
        </w:rPr>
        <w:t>Act of</w:t>
      </w:r>
      <w:r w:rsidR="00E50B98" w:rsidRPr="00BA6590">
        <w:rPr>
          <w:lang w:val="en-GB"/>
        </w:rPr>
        <w:t xml:space="preserve"> 12 </w:t>
      </w:r>
      <w:r w:rsidR="003F5E21" w:rsidRPr="00BA6590">
        <w:rPr>
          <w:lang w:val="en-GB"/>
        </w:rPr>
        <w:t>September</w:t>
      </w:r>
      <w:r w:rsidR="00E50B98" w:rsidRPr="00BA6590">
        <w:rPr>
          <w:lang w:val="en-GB"/>
        </w:rPr>
        <w:t xml:space="preserve"> 2011</w:t>
      </w:r>
      <w:r w:rsidR="0032578F" w:rsidRPr="00BA6590">
        <w:rPr>
          <w:lang w:val="en-GB"/>
        </w:rPr>
        <w:t>,</w:t>
      </w:r>
      <w:r w:rsidR="00E50B98" w:rsidRPr="00BA6590">
        <w:rPr>
          <w:lang w:val="en-GB"/>
        </w:rPr>
        <w:t xml:space="preserve"> </w:t>
      </w:r>
      <w:r w:rsidR="00F076DE" w:rsidRPr="00BA6590">
        <w:rPr>
          <w:lang w:val="en-GB"/>
        </w:rPr>
        <w:t>amending the</w:t>
      </w:r>
      <w:r w:rsidR="00E50B98" w:rsidRPr="00BA6590">
        <w:rPr>
          <w:lang w:val="en-GB"/>
        </w:rPr>
        <w:t xml:space="preserve"> </w:t>
      </w:r>
      <w:r w:rsidR="00EE6F22" w:rsidRPr="00BA6590">
        <w:rPr>
          <w:lang w:val="en-GB"/>
        </w:rPr>
        <w:t>Act</w:t>
      </w:r>
      <w:r w:rsidR="00BB5528" w:rsidRPr="00BA6590">
        <w:rPr>
          <w:lang w:val="en-GB"/>
        </w:rPr>
        <w:t xml:space="preserve"> of 15 December 1980</w:t>
      </w:r>
      <w:r w:rsidR="0032578F" w:rsidRPr="00BA6590">
        <w:rPr>
          <w:lang w:val="en-GB"/>
        </w:rPr>
        <w:t>, on</w:t>
      </w:r>
      <w:r w:rsidR="00F076DE" w:rsidRPr="00BA6590">
        <w:rPr>
          <w:lang w:val="en-GB"/>
        </w:rPr>
        <w:t xml:space="preserve"> the award of temporary residence permits to unaccompanied foreign minors</w:t>
      </w:r>
      <w:r w:rsidR="00E50B98" w:rsidRPr="00BA6590">
        <w:rPr>
          <w:lang w:val="en-GB"/>
        </w:rPr>
        <w:t xml:space="preserve"> (</w:t>
      </w:r>
      <w:r w:rsidR="002420F6" w:rsidRPr="00BA6590">
        <w:rPr>
          <w:lang w:val="en-GB"/>
        </w:rPr>
        <w:t>Moniteur belge</w:t>
      </w:r>
      <w:r w:rsidR="00E50B98" w:rsidRPr="00BA6590">
        <w:rPr>
          <w:lang w:val="en-GB"/>
        </w:rPr>
        <w:t xml:space="preserve">, </w:t>
      </w:r>
      <w:r w:rsidR="00A01778" w:rsidRPr="00BA6590">
        <w:rPr>
          <w:lang w:val="en-GB"/>
        </w:rPr>
        <w:br/>
      </w:r>
      <w:r w:rsidR="00E50B98" w:rsidRPr="00BA6590">
        <w:rPr>
          <w:lang w:val="en-GB"/>
        </w:rPr>
        <w:t xml:space="preserve">28 </w:t>
      </w:r>
      <w:r w:rsidR="003F5E21" w:rsidRPr="00BA6590">
        <w:rPr>
          <w:lang w:val="en-GB"/>
        </w:rPr>
        <w:t>November</w:t>
      </w:r>
      <w:r w:rsidR="00E50B98" w:rsidRPr="00BA6590">
        <w:rPr>
          <w:lang w:val="en-GB"/>
        </w:rPr>
        <w:t xml:space="preserve"> 2011)</w:t>
      </w:r>
      <w:r w:rsidR="0032578F" w:rsidRPr="00BA6590">
        <w:rPr>
          <w:lang w:val="en-GB"/>
        </w:rPr>
        <w:t xml:space="preserve">, and </w:t>
      </w:r>
      <w:r w:rsidR="00F076DE" w:rsidRPr="00BA6590">
        <w:rPr>
          <w:lang w:val="en-GB"/>
        </w:rPr>
        <w:t xml:space="preserve">Royal Order of </w:t>
      </w:r>
      <w:r w:rsidR="00E50B98" w:rsidRPr="00BA6590">
        <w:rPr>
          <w:lang w:val="en-GB"/>
        </w:rPr>
        <w:t xml:space="preserve">7 </w:t>
      </w:r>
      <w:r w:rsidR="003F5E21" w:rsidRPr="00BA6590">
        <w:rPr>
          <w:lang w:val="en-GB"/>
        </w:rPr>
        <w:t>November</w:t>
      </w:r>
      <w:r w:rsidR="00E50B98" w:rsidRPr="00BA6590">
        <w:rPr>
          <w:lang w:val="en-GB"/>
        </w:rPr>
        <w:t xml:space="preserve"> 2011 (</w:t>
      </w:r>
      <w:r w:rsidR="002420F6" w:rsidRPr="00BA6590">
        <w:rPr>
          <w:lang w:val="en-GB"/>
        </w:rPr>
        <w:t>Moniteur belge</w:t>
      </w:r>
      <w:r w:rsidR="00E50B98" w:rsidRPr="00BA6590">
        <w:rPr>
          <w:lang w:val="en-GB"/>
        </w:rPr>
        <w:t xml:space="preserve">, </w:t>
      </w:r>
      <w:r w:rsidR="00A01778" w:rsidRPr="00BA6590">
        <w:rPr>
          <w:lang w:val="en-GB"/>
        </w:rPr>
        <w:br/>
      </w:r>
      <w:r w:rsidR="00E50B98" w:rsidRPr="00BA6590">
        <w:rPr>
          <w:lang w:val="en-GB"/>
        </w:rPr>
        <w:t xml:space="preserve">28 </w:t>
      </w:r>
      <w:r w:rsidR="003F5E21" w:rsidRPr="00BA6590">
        <w:rPr>
          <w:lang w:val="en-GB"/>
        </w:rPr>
        <w:t>November</w:t>
      </w:r>
      <w:r w:rsidR="00E50B98" w:rsidRPr="00BA6590">
        <w:rPr>
          <w:lang w:val="en-GB"/>
        </w:rPr>
        <w:t xml:space="preserve"> 2011)</w:t>
      </w:r>
    </w:p>
    <w:p w:rsidR="00E50B98" w:rsidRPr="00BA6590" w:rsidRDefault="00E50B98" w:rsidP="00E50B98">
      <w:pPr>
        <w:pStyle w:val="SingleTxtG"/>
        <w:rPr>
          <w:lang w:val="en-GB"/>
        </w:rPr>
      </w:pPr>
      <w:r w:rsidRPr="00BA6590">
        <w:rPr>
          <w:lang w:val="en-GB"/>
        </w:rPr>
        <w:t>174.</w:t>
      </w:r>
      <w:r w:rsidRPr="00BA6590">
        <w:rPr>
          <w:lang w:val="en-GB"/>
        </w:rPr>
        <w:tab/>
      </w:r>
      <w:r w:rsidR="00F076DE" w:rsidRPr="00BA6590">
        <w:rPr>
          <w:lang w:val="en-GB"/>
        </w:rPr>
        <w:t>Specific residence rules for unaccompanied foreign minors are now enshrined in the law. These provisions are contained in article 61</w:t>
      </w:r>
      <w:r w:rsidR="006D4351" w:rsidRPr="00BA6590">
        <w:rPr>
          <w:lang w:val="en-GB"/>
        </w:rPr>
        <w:t xml:space="preserve"> (</w:t>
      </w:r>
      <w:r w:rsidR="00F076DE" w:rsidRPr="00BA6590">
        <w:rPr>
          <w:lang w:val="en-GB"/>
        </w:rPr>
        <w:t>14</w:t>
      </w:r>
      <w:r w:rsidR="006D4351" w:rsidRPr="00BA6590">
        <w:rPr>
          <w:lang w:val="en-GB"/>
        </w:rPr>
        <w:t xml:space="preserve"> to </w:t>
      </w:r>
      <w:r w:rsidRPr="00BA6590">
        <w:rPr>
          <w:lang w:val="en-GB"/>
        </w:rPr>
        <w:t>25</w:t>
      </w:r>
      <w:r w:rsidR="006D4351" w:rsidRPr="00BA6590">
        <w:rPr>
          <w:lang w:val="en-GB"/>
        </w:rPr>
        <w:t>)</w:t>
      </w:r>
      <w:r w:rsidRPr="00BA6590">
        <w:rPr>
          <w:lang w:val="en-GB"/>
        </w:rPr>
        <w:t xml:space="preserve"> (</w:t>
      </w:r>
      <w:r w:rsidR="00F076DE" w:rsidRPr="00BA6590">
        <w:rPr>
          <w:lang w:val="en-GB"/>
        </w:rPr>
        <w:t>Act</w:t>
      </w:r>
      <w:r w:rsidR="00BB5528" w:rsidRPr="00BA6590">
        <w:rPr>
          <w:lang w:val="en-GB"/>
        </w:rPr>
        <w:t xml:space="preserve"> of 12 September 2011</w:t>
      </w:r>
      <w:r w:rsidRPr="00BA6590">
        <w:rPr>
          <w:lang w:val="en-GB"/>
        </w:rPr>
        <w:t xml:space="preserve">) </w:t>
      </w:r>
      <w:r w:rsidR="00F076DE" w:rsidRPr="00BA6590">
        <w:rPr>
          <w:lang w:val="en-GB"/>
        </w:rPr>
        <w:t xml:space="preserve">of the </w:t>
      </w:r>
      <w:r w:rsidR="00BB5528" w:rsidRPr="00BA6590">
        <w:rPr>
          <w:lang w:val="en-GB"/>
        </w:rPr>
        <w:t>Act of 15 December 1980</w:t>
      </w:r>
      <w:r w:rsidRPr="00BA6590">
        <w:rPr>
          <w:lang w:val="en-GB"/>
        </w:rPr>
        <w:t xml:space="preserve"> </w:t>
      </w:r>
      <w:r w:rsidR="00F076DE" w:rsidRPr="00BA6590">
        <w:rPr>
          <w:lang w:val="en-GB"/>
        </w:rPr>
        <w:t>and</w:t>
      </w:r>
      <w:r w:rsidRPr="00BA6590">
        <w:rPr>
          <w:lang w:val="en-GB"/>
        </w:rPr>
        <w:t xml:space="preserve"> article 110 </w:t>
      </w:r>
      <w:r w:rsidRPr="00BA6590">
        <w:rPr>
          <w:i/>
          <w:iCs/>
          <w:lang w:val="en-GB"/>
        </w:rPr>
        <w:t>sexies</w:t>
      </w:r>
      <w:r w:rsidRPr="00BA6590">
        <w:rPr>
          <w:lang w:val="en-GB"/>
        </w:rPr>
        <w:t xml:space="preserve"> </w:t>
      </w:r>
      <w:r w:rsidR="00F076DE" w:rsidRPr="00BA6590">
        <w:rPr>
          <w:lang w:val="en-GB"/>
        </w:rPr>
        <w:t>to</w:t>
      </w:r>
      <w:r w:rsidRPr="00BA6590">
        <w:rPr>
          <w:lang w:val="en-GB"/>
        </w:rPr>
        <w:t xml:space="preserve"> </w:t>
      </w:r>
      <w:r w:rsidRPr="00BA6590">
        <w:rPr>
          <w:i/>
          <w:iCs/>
          <w:lang w:val="en-GB"/>
        </w:rPr>
        <w:t>undecies</w:t>
      </w:r>
      <w:r w:rsidRPr="00BA6590">
        <w:rPr>
          <w:lang w:val="en-GB"/>
        </w:rPr>
        <w:t xml:space="preserve"> (</w:t>
      </w:r>
      <w:r w:rsidR="00F076DE" w:rsidRPr="00BA6590">
        <w:rPr>
          <w:lang w:val="en-GB"/>
        </w:rPr>
        <w:t>Royal Order of</w:t>
      </w:r>
      <w:r w:rsidRPr="00BA6590">
        <w:rPr>
          <w:lang w:val="en-GB"/>
        </w:rPr>
        <w:t xml:space="preserve"> 7 </w:t>
      </w:r>
      <w:r w:rsidR="003F5E21" w:rsidRPr="00BA6590">
        <w:rPr>
          <w:lang w:val="en-GB"/>
        </w:rPr>
        <w:t>November</w:t>
      </w:r>
      <w:r w:rsidRPr="00BA6590">
        <w:rPr>
          <w:lang w:val="en-GB"/>
        </w:rPr>
        <w:t xml:space="preserve"> 2011)</w:t>
      </w:r>
      <w:r w:rsidR="00F076DE" w:rsidRPr="00BA6590">
        <w:rPr>
          <w:lang w:val="en-GB"/>
        </w:rPr>
        <w:t xml:space="preserve"> of its implementing Order of </w:t>
      </w:r>
      <w:r w:rsidRPr="00BA6590">
        <w:rPr>
          <w:lang w:val="en-GB"/>
        </w:rPr>
        <w:t xml:space="preserve">8 </w:t>
      </w:r>
      <w:r w:rsidR="003F5E21" w:rsidRPr="00BA6590">
        <w:rPr>
          <w:lang w:val="en-GB"/>
        </w:rPr>
        <w:t>October</w:t>
      </w:r>
      <w:r w:rsidRPr="00BA6590">
        <w:rPr>
          <w:lang w:val="en-GB"/>
        </w:rPr>
        <w:t xml:space="preserve"> 1981.</w:t>
      </w:r>
      <w:r w:rsidR="00F076DE" w:rsidRPr="00BA6590">
        <w:rPr>
          <w:lang w:val="en-GB"/>
        </w:rPr>
        <w:t xml:space="preserve"> Formerly, they were contained in the Ministerial Circular of</w:t>
      </w:r>
      <w:r w:rsidRPr="00BA6590">
        <w:rPr>
          <w:lang w:val="en-GB"/>
        </w:rPr>
        <w:t xml:space="preserve"> 15 </w:t>
      </w:r>
      <w:r w:rsidR="003F5E21" w:rsidRPr="00BA6590">
        <w:rPr>
          <w:lang w:val="en-GB"/>
        </w:rPr>
        <w:t>September</w:t>
      </w:r>
      <w:r w:rsidRPr="00BA6590">
        <w:rPr>
          <w:lang w:val="en-GB"/>
        </w:rPr>
        <w:t xml:space="preserve"> 2005,</w:t>
      </w:r>
      <w:r w:rsidR="00F076DE" w:rsidRPr="00BA6590">
        <w:rPr>
          <w:lang w:val="en-GB"/>
        </w:rPr>
        <w:t xml:space="preserve"> </w:t>
      </w:r>
      <w:r w:rsidR="006D4351" w:rsidRPr="00BA6590">
        <w:rPr>
          <w:lang w:val="en-GB"/>
        </w:rPr>
        <w:t xml:space="preserve">which was </w:t>
      </w:r>
      <w:r w:rsidR="00F076DE" w:rsidRPr="00BA6590">
        <w:rPr>
          <w:lang w:val="en-GB"/>
        </w:rPr>
        <w:t xml:space="preserve">cancelled on </w:t>
      </w:r>
      <w:r w:rsidRPr="00BA6590">
        <w:rPr>
          <w:lang w:val="en-GB"/>
        </w:rPr>
        <w:t xml:space="preserve">14 </w:t>
      </w:r>
      <w:r w:rsidR="003F5E21" w:rsidRPr="00BA6590">
        <w:rPr>
          <w:lang w:val="en-GB"/>
        </w:rPr>
        <w:t>November</w:t>
      </w:r>
      <w:r w:rsidRPr="00BA6590">
        <w:rPr>
          <w:lang w:val="en-GB"/>
        </w:rPr>
        <w:t xml:space="preserve"> 2011.</w:t>
      </w:r>
    </w:p>
    <w:p w:rsidR="00E50B98" w:rsidRPr="00BA6590" w:rsidRDefault="00E50B98" w:rsidP="00E50B98">
      <w:pPr>
        <w:pStyle w:val="SingleTxtG"/>
        <w:rPr>
          <w:lang w:val="en-GB"/>
        </w:rPr>
      </w:pPr>
      <w:r w:rsidRPr="00BA6590">
        <w:rPr>
          <w:lang w:val="en-GB"/>
        </w:rPr>
        <w:t>175.</w:t>
      </w:r>
      <w:r w:rsidRPr="00BA6590">
        <w:rPr>
          <w:lang w:val="en-GB"/>
        </w:rPr>
        <w:tab/>
      </w:r>
      <w:r w:rsidR="0056058E" w:rsidRPr="00BA6590">
        <w:rPr>
          <w:lang w:val="en-GB"/>
        </w:rPr>
        <w:t>The residence application is submitted by the guardian of the unaccompanied foreign minor. Subsequently, during the consideration of the application, the minor is interviewed in the presence of his or her guardian and, where necessary, of an interpreter. Two significant new elements have been introduced:</w:t>
      </w:r>
    </w:p>
    <w:p w:rsidR="00E50B98" w:rsidRPr="00BA6590" w:rsidRDefault="00A01778" w:rsidP="00A5534A">
      <w:pPr>
        <w:pStyle w:val="Bullet1G"/>
        <w:rPr>
          <w:lang w:val="en-GB"/>
        </w:rPr>
      </w:pPr>
      <w:r w:rsidRPr="00BA6590">
        <w:rPr>
          <w:lang w:val="en-GB"/>
        </w:rPr>
        <w:t xml:space="preserve">The </w:t>
      </w:r>
      <w:r w:rsidR="0056058E" w:rsidRPr="00BA6590">
        <w:rPr>
          <w:lang w:val="en-GB"/>
        </w:rPr>
        <w:t>presence at the interview of the minor</w:t>
      </w:r>
      <w:r w:rsidR="00A216FB" w:rsidRPr="00BA6590">
        <w:rPr>
          <w:lang w:val="en-GB"/>
        </w:rPr>
        <w:t>’</w:t>
      </w:r>
      <w:r w:rsidR="0056058E" w:rsidRPr="00BA6590">
        <w:rPr>
          <w:lang w:val="en-GB"/>
        </w:rPr>
        <w:t>s legal representative if the minor requests it</w:t>
      </w:r>
      <w:r w:rsidR="00A5534A" w:rsidRPr="00BA6590">
        <w:rPr>
          <w:lang w:val="en-GB"/>
        </w:rPr>
        <w:t>;</w:t>
      </w:r>
    </w:p>
    <w:p w:rsidR="00E50B98" w:rsidRPr="00BA6590" w:rsidRDefault="00A01778" w:rsidP="00E979F6">
      <w:pPr>
        <w:pStyle w:val="Bullet1G"/>
        <w:rPr>
          <w:lang w:val="en-GB"/>
        </w:rPr>
      </w:pPr>
      <w:r w:rsidRPr="00BA6590">
        <w:rPr>
          <w:lang w:val="en-GB"/>
        </w:rPr>
        <w:t xml:space="preserve">The </w:t>
      </w:r>
      <w:r w:rsidR="006D4351" w:rsidRPr="00BA6590">
        <w:rPr>
          <w:lang w:val="en-GB"/>
        </w:rPr>
        <w:t>production</w:t>
      </w:r>
      <w:r w:rsidR="0056058E" w:rsidRPr="00BA6590">
        <w:rPr>
          <w:lang w:val="en-GB"/>
        </w:rPr>
        <w:t xml:space="preserve"> of a written </w:t>
      </w:r>
      <w:r w:rsidR="006D4351" w:rsidRPr="00BA6590">
        <w:rPr>
          <w:lang w:val="en-GB"/>
        </w:rPr>
        <w:t>record</w:t>
      </w:r>
      <w:r w:rsidR="0056058E" w:rsidRPr="00BA6590">
        <w:rPr>
          <w:lang w:val="en-GB"/>
        </w:rPr>
        <w:t xml:space="preserve"> of the interview</w:t>
      </w:r>
      <w:r w:rsidRPr="00BA6590">
        <w:rPr>
          <w:lang w:val="en-GB"/>
        </w:rPr>
        <w:t>.</w:t>
      </w:r>
    </w:p>
    <w:p w:rsidR="00E50B98" w:rsidRPr="00BA6590" w:rsidRDefault="00E50B98" w:rsidP="00E50B98">
      <w:pPr>
        <w:pStyle w:val="SingleTxtG"/>
        <w:rPr>
          <w:lang w:val="en-GB"/>
        </w:rPr>
      </w:pPr>
      <w:r w:rsidRPr="00BA6590">
        <w:rPr>
          <w:lang w:val="en-GB"/>
        </w:rPr>
        <w:t>176.</w:t>
      </w:r>
      <w:r w:rsidRPr="00BA6590">
        <w:rPr>
          <w:lang w:val="en-GB"/>
        </w:rPr>
        <w:tab/>
      </w:r>
      <w:r w:rsidR="00336CD3" w:rsidRPr="00BA6590">
        <w:rPr>
          <w:lang w:val="en-GB"/>
        </w:rPr>
        <w:t xml:space="preserve">The purpose of the residence application and the consideration by the </w:t>
      </w:r>
      <w:r w:rsidR="00816F73" w:rsidRPr="00BA6590">
        <w:rPr>
          <w:lang w:val="en-GB"/>
        </w:rPr>
        <w:t>Immigration Office</w:t>
      </w:r>
      <w:r w:rsidR="00336CD3" w:rsidRPr="00BA6590">
        <w:rPr>
          <w:lang w:val="en-GB"/>
        </w:rPr>
        <w:t xml:space="preserve"> is to determine a durable solution for the minor, which may be one of the following: </w:t>
      </w:r>
    </w:p>
    <w:p w:rsidR="00E50B98" w:rsidRPr="00BA6590" w:rsidRDefault="00A01778" w:rsidP="00E979F6">
      <w:pPr>
        <w:pStyle w:val="Bullet1G"/>
        <w:rPr>
          <w:lang w:val="en-GB"/>
        </w:rPr>
      </w:pPr>
      <w:r w:rsidRPr="00BA6590">
        <w:rPr>
          <w:lang w:val="en-GB"/>
        </w:rPr>
        <w:t xml:space="preserve">Family </w:t>
      </w:r>
      <w:r w:rsidR="00336CD3" w:rsidRPr="00BA6590">
        <w:rPr>
          <w:lang w:val="en-GB"/>
        </w:rPr>
        <w:t>reunification in the country where the parents are residing legally</w:t>
      </w:r>
      <w:r w:rsidR="00A5534A" w:rsidRPr="00BA6590">
        <w:rPr>
          <w:lang w:val="en-GB"/>
        </w:rPr>
        <w:t>;</w:t>
      </w:r>
    </w:p>
    <w:p w:rsidR="00E50B98" w:rsidRPr="00BA6590" w:rsidRDefault="00A01778" w:rsidP="00E979F6">
      <w:pPr>
        <w:pStyle w:val="Bullet1G"/>
        <w:rPr>
          <w:lang w:val="en-GB"/>
        </w:rPr>
      </w:pPr>
      <w:r w:rsidRPr="00BA6590">
        <w:rPr>
          <w:lang w:val="en-GB"/>
        </w:rPr>
        <w:t xml:space="preserve">Return </w:t>
      </w:r>
      <w:r w:rsidR="00336CD3" w:rsidRPr="00BA6590">
        <w:rPr>
          <w:lang w:val="en-GB"/>
        </w:rPr>
        <w:t>to the country of origin or to the country where the minor is authorized to reside</w:t>
      </w:r>
      <w:r w:rsidR="006D4351" w:rsidRPr="00BA6590">
        <w:rPr>
          <w:lang w:val="en-GB"/>
        </w:rPr>
        <w:t>, subject to</w:t>
      </w:r>
      <w:r w:rsidR="00336CD3" w:rsidRPr="00BA6590">
        <w:rPr>
          <w:lang w:val="en-GB"/>
        </w:rPr>
        <w:t xml:space="preserve"> appropriate assurances of reception</w:t>
      </w:r>
      <w:r w:rsidR="006D4351" w:rsidRPr="00BA6590">
        <w:rPr>
          <w:lang w:val="en-GB"/>
        </w:rPr>
        <w:t xml:space="preserve"> and care</w:t>
      </w:r>
      <w:r w:rsidR="00A5534A" w:rsidRPr="00BA6590">
        <w:rPr>
          <w:lang w:val="en-GB"/>
        </w:rPr>
        <w:t>;</w:t>
      </w:r>
    </w:p>
    <w:p w:rsidR="00E50B98" w:rsidRPr="00BA6590" w:rsidRDefault="00A01778" w:rsidP="00E979F6">
      <w:pPr>
        <w:pStyle w:val="Bullet1G"/>
        <w:rPr>
          <w:lang w:val="en-GB"/>
        </w:rPr>
      </w:pPr>
      <w:r w:rsidRPr="00BA6590">
        <w:rPr>
          <w:lang w:val="en-GB"/>
        </w:rPr>
        <w:t xml:space="preserve">Authorization </w:t>
      </w:r>
      <w:r w:rsidR="00336CD3" w:rsidRPr="00BA6590">
        <w:rPr>
          <w:lang w:val="en-GB"/>
        </w:rPr>
        <w:t>to reside in Belgium</w:t>
      </w:r>
      <w:r w:rsidR="00A5534A" w:rsidRPr="00BA6590">
        <w:rPr>
          <w:lang w:val="en-GB"/>
        </w:rPr>
        <w:t>;</w:t>
      </w:r>
      <w:r w:rsidR="00336CD3" w:rsidRPr="00BA6590">
        <w:rPr>
          <w:lang w:val="en-GB"/>
        </w:rPr>
        <w:t xml:space="preserve"> or</w:t>
      </w:r>
    </w:p>
    <w:p w:rsidR="00E50B98" w:rsidRPr="00BA6590" w:rsidRDefault="00A01778" w:rsidP="00A5534A">
      <w:pPr>
        <w:pStyle w:val="Bullet1G"/>
        <w:rPr>
          <w:lang w:val="en-GB"/>
        </w:rPr>
      </w:pPr>
      <w:r w:rsidRPr="00BA6590">
        <w:rPr>
          <w:lang w:val="en-GB"/>
        </w:rPr>
        <w:t xml:space="preserve">Prohibition </w:t>
      </w:r>
      <w:r w:rsidR="00336CD3" w:rsidRPr="00BA6590">
        <w:rPr>
          <w:lang w:val="en-GB"/>
        </w:rPr>
        <w:t xml:space="preserve">of the detention of minors in closed centres. </w:t>
      </w:r>
    </w:p>
    <w:p w:rsidR="00E50B98" w:rsidRPr="00BA6590" w:rsidRDefault="00E50B98" w:rsidP="00A5534A">
      <w:pPr>
        <w:pStyle w:val="SingleTxtG"/>
        <w:rPr>
          <w:lang w:val="en-GB"/>
        </w:rPr>
      </w:pPr>
      <w:r w:rsidRPr="00BA6590">
        <w:rPr>
          <w:lang w:val="en-GB"/>
        </w:rPr>
        <w:t>177.</w:t>
      </w:r>
      <w:r w:rsidRPr="00BA6590">
        <w:rPr>
          <w:lang w:val="en-GB"/>
        </w:rPr>
        <w:tab/>
      </w:r>
      <w:r w:rsidR="00336CD3" w:rsidRPr="00BA6590">
        <w:rPr>
          <w:lang w:val="en-GB"/>
        </w:rPr>
        <w:t>A</w:t>
      </w:r>
      <w:r w:rsidRPr="00BA6590">
        <w:rPr>
          <w:lang w:val="en-GB"/>
        </w:rPr>
        <w:t>rticle 74/19 (</w:t>
      </w:r>
      <w:r w:rsidR="00336CD3" w:rsidRPr="00BA6590">
        <w:rPr>
          <w:lang w:val="en-GB"/>
        </w:rPr>
        <w:t>Act</w:t>
      </w:r>
      <w:r w:rsidR="00236121" w:rsidRPr="00BA6590">
        <w:rPr>
          <w:lang w:val="en-GB"/>
        </w:rPr>
        <w:t xml:space="preserve"> of 19 January 2012</w:t>
      </w:r>
      <w:r w:rsidR="00336CD3" w:rsidRPr="00BA6590">
        <w:rPr>
          <w:lang w:val="en-GB"/>
        </w:rPr>
        <w:t>, see above</w:t>
      </w:r>
      <w:r w:rsidRPr="00BA6590">
        <w:rPr>
          <w:lang w:val="en-GB"/>
        </w:rPr>
        <w:t>)</w:t>
      </w:r>
      <w:r w:rsidR="00336CD3" w:rsidRPr="00BA6590">
        <w:rPr>
          <w:lang w:val="en-GB"/>
        </w:rPr>
        <w:t xml:space="preserve"> of the </w:t>
      </w:r>
      <w:r w:rsidR="00EE6F22" w:rsidRPr="00BA6590">
        <w:rPr>
          <w:lang w:val="en-GB"/>
        </w:rPr>
        <w:t>Act</w:t>
      </w:r>
      <w:r w:rsidR="00236121" w:rsidRPr="00BA6590">
        <w:rPr>
          <w:lang w:val="en-GB"/>
        </w:rPr>
        <w:t xml:space="preserve"> of 15 December 1980</w:t>
      </w:r>
      <w:r w:rsidR="00336CD3" w:rsidRPr="00BA6590">
        <w:rPr>
          <w:lang w:val="en-GB"/>
        </w:rPr>
        <w:t xml:space="preserve"> states that unaccompanied foreign minors may not be held in facilities as described in </w:t>
      </w:r>
      <w:r w:rsidRPr="00BA6590">
        <w:rPr>
          <w:lang w:val="en-GB"/>
        </w:rPr>
        <w:t>article</w:t>
      </w:r>
      <w:r w:rsidR="00336CD3" w:rsidRPr="00BA6590">
        <w:rPr>
          <w:lang w:val="en-GB"/>
        </w:rPr>
        <w:t xml:space="preserve"> 74</w:t>
      </w:r>
      <w:r w:rsidR="00E37731" w:rsidRPr="00BA6590">
        <w:rPr>
          <w:lang w:val="en-GB"/>
        </w:rPr>
        <w:t xml:space="preserve"> (</w:t>
      </w:r>
      <w:r w:rsidR="00336CD3" w:rsidRPr="00BA6590">
        <w:rPr>
          <w:lang w:val="en-GB"/>
        </w:rPr>
        <w:t>8</w:t>
      </w:r>
      <w:r w:rsidR="00E37731" w:rsidRPr="00BA6590">
        <w:rPr>
          <w:lang w:val="en-GB"/>
        </w:rPr>
        <w:t>)</w:t>
      </w:r>
      <w:r w:rsidRPr="00BA6590">
        <w:rPr>
          <w:lang w:val="en-GB"/>
        </w:rPr>
        <w:t xml:space="preserve">, </w:t>
      </w:r>
      <w:r w:rsidR="00336CD3" w:rsidRPr="00BA6590">
        <w:rPr>
          <w:lang w:val="en-GB"/>
        </w:rPr>
        <w:t xml:space="preserve">paragraph </w:t>
      </w:r>
      <w:r w:rsidRPr="00BA6590">
        <w:rPr>
          <w:lang w:val="en-GB"/>
        </w:rPr>
        <w:t>2</w:t>
      </w:r>
      <w:r w:rsidR="00336CD3" w:rsidRPr="00BA6590">
        <w:rPr>
          <w:lang w:val="en-GB"/>
        </w:rPr>
        <w:t xml:space="preserve">. This confirms the practice in place since </w:t>
      </w:r>
      <w:r w:rsidR="003F5E21" w:rsidRPr="00BA6590">
        <w:rPr>
          <w:lang w:val="en-GB"/>
        </w:rPr>
        <w:t>April</w:t>
      </w:r>
      <w:r w:rsidRPr="00BA6590">
        <w:rPr>
          <w:lang w:val="en-GB"/>
        </w:rPr>
        <w:t xml:space="preserve"> 2007</w:t>
      </w:r>
      <w:r w:rsidR="00336CD3" w:rsidRPr="00BA6590">
        <w:rPr>
          <w:lang w:val="en-GB"/>
        </w:rPr>
        <w:t xml:space="preserve"> of not placing them in de</w:t>
      </w:r>
      <w:r w:rsidRPr="00BA6590">
        <w:rPr>
          <w:lang w:val="en-GB"/>
        </w:rPr>
        <w:t>tention.</w:t>
      </w:r>
    </w:p>
    <w:p w:rsidR="00E50B98" w:rsidRPr="00BA6590" w:rsidRDefault="00E50B98" w:rsidP="00E50B98">
      <w:pPr>
        <w:pStyle w:val="SingleTxtG"/>
        <w:rPr>
          <w:lang w:val="en-GB"/>
        </w:rPr>
      </w:pPr>
      <w:r w:rsidRPr="00BA6590">
        <w:rPr>
          <w:lang w:val="en-GB"/>
        </w:rPr>
        <w:t>178.</w:t>
      </w:r>
      <w:r w:rsidRPr="00BA6590">
        <w:rPr>
          <w:lang w:val="en-GB"/>
        </w:rPr>
        <w:tab/>
      </w:r>
      <w:r w:rsidR="00336CD3" w:rsidRPr="00BA6590">
        <w:rPr>
          <w:lang w:val="en-GB"/>
        </w:rPr>
        <w:t>A</w:t>
      </w:r>
      <w:r w:rsidRPr="00BA6590">
        <w:rPr>
          <w:lang w:val="en-GB"/>
        </w:rPr>
        <w:t>rticle 74/16</w:t>
      </w:r>
      <w:r w:rsidR="00336CD3" w:rsidRPr="00BA6590">
        <w:rPr>
          <w:lang w:val="en-GB"/>
        </w:rPr>
        <w:t xml:space="preserve"> of the </w:t>
      </w:r>
      <w:r w:rsidR="00236121" w:rsidRPr="00BA6590">
        <w:rPr>
          <w:lang w:val="en-GB"/>
        </w:rPr>
        <w:t xml:space="preserve">Act of 15 December 1980 </w:t>
      </w:r>
      <w:r w:rsidR="00336CD3" w:rsidRPr="00BA6590">
        <w:rPr>
          <w:lang w:val="en-GB"/>
        </w:rPr>
        <w:t xml:space="preserve">states that an unaccompanied foreign minor may be deported if the </w:t>
      </w:r>
      <w:r w:rsidR="00816F73" w:rsidRPr="00BA6590">
        <w:rPr>
          <w:lang w:val="en-GB"/>
        </w:rPr>
        <w:t>Immigration Office</w:t>
      </w:r>
      <w:r w:rsidR="00336CD3" w:rsidRPr="00BA6590">
        <w:rPr>
          <w:lang w:val="en-GB"/>
        </w:rPr>
        <w:t xml:space="preserve"> has verified that there are guarantees of reception and assistance for him or her in the country of origin or a country where he or she is authorized to reside. Before deciding to deport the minor, the </w:t>
      </w:r>
      <w:r w:rsidR="006C7706" w:rsidRPr="00BA6590">
        <w:rPr>
          <w:lang w:val="en-GB"/>
        </w:rPr>
        <w:t xml:space="preserve">Minister </w:t>
      </w:r>
      <w:r w:rsidR="00EA21F9" w:rsidRPr="00BA6590">
        <w:rPr>
          <w:lang w:val="en-GB"/>
        </w:rPr>
        <w:t>or his or her</w:t>
      </w:r>
      <w:r w:rsidR="006C7706" w:rsidRPr="00BA6590">
        <w:rPr>
          <w:lang w:val="en-GB"/>
        </w:rPr>
        <w:t xml:space="preserve"> representative</w:t>
      </w:r>
      <w:r w:rsidR="00336CD3" w:rsidRPr="00BA6590">
        <w:rPr>
          <w:lang w:val="en-GB"/>
        </w:rPr>
        <w:t xml:space="preserve"> takes into account any durable solution proposed by the guardian and the best interests of the child. </w:t>
      </w:r>
    </w:p>
    <w:p w:rsidR="00E50B98" w:rsidRPr="00BA6590" w:rsidRDefault="00E979F6" w:rsidP="00760B5A">
      <w:pPr>
        <w:pStyle w:val="H23G"/>
        <w:rPr>
          <w:lang w:val="en-GB"/>
        </w:rPr>
      </w:pPr>
      <w:r w:rsidRPr="00BA6590">
        <w:rPr>
          <w:lang w:val="en-GB"/>
        </w:rPr>
        <w:tab/>
      </w:r>
      <w:r w:rsidR="00760B5A" w:rsidRPr="00BA6590">
        <w:rPr>
          <w:lang w:val="en-GB"/>
        </w:rPr>
        <w:t>8</w:t>
      </w:r>
      <w:r w:rsidR="00E50B98" w:rsidRPr="00BA6590">
        <w:rPr>
          <w:lang w:val="en-GB"/>
        </w:rPr>
        <w:t>.</w:t>
      </w:r>
      <w:r w:rsidR="00E50B98" w:rsidRPr="00BA6590">
        <w:rPr>
          <w:lang w:val="en-GB"/>
        </w:rPr>
        <w:tab/>
      </w:r>
      <w:r w:rsidR="00FF1F57" w:rsidRPr="00BA6590">
        <w:rPr>
          <w:lang w:val="en-GB"/>
        </w:rPr>
        <w:t>Strengthening of provisions to combat trafficking in</w:t>
      </w:r>
      <w:r w:rsidR="001C0B51" w:rsidRPr="00BA6590">
        <w:rPr>
          <w:lang w:val="en-GB"/>
        </w:rPr>
        <w:t xml:space="preserve"> and smuggling of</w:t>
      </w:r>
      <w:r w:rsidR="00FF1F57" w:rsidRPr="00BA6590">
        <w:rPr>
          <w:lang w:val="en-GB"/>
        </w:rPr>
        <w:t xml:space="preserve"> human </w:t>
      </w:r>
      <w:r w:rsidR="00E6208B">
        <w:rPr>
          <w:lang w:val="en-GB"/>
        </w:rPr>
        <w:br/>
      </w:r>
      <w:r w:rsidR="00FF1F57" w:rsidRPr="00BA6590">
        <w:rPr>
          <w:lang w:val="en-GB"/>
        </w:rPr>
        <w:t>beings</w:t>
      </w:r>
    </w:p>
    <w:p w:rsidR="00E50B98" w:rsidRPr="00BA6590" w:rsidRDefault="00E979F6" w:rsidP="00E979F6">
      <w:pPr>
        <w:pStyle w:val="H4G"/>
        <w:rPr>
          <w:lang w:val="en-GB"/>
        </w:rPr>
      </w:pPr>
      <w:r w:rsidRPr="00BA6590">
        <w:rPr>
          <w:lang w:val="en-GB"/>
        </w:rPr>
        <w:tab/>
      </w:r>
      <w:r w:rsidR="00E50B98" w:rsidRPr="00BA6590">
        <w:rPr>
          <w:lang w:val="en-GB"/>
        </w:rPr>
        <w:tab/>
      </w:r>
      <w:r w:rsidR="00FF1F57" w:rsidRPr="00BA6590">
        <w:rPr>
          <w:lang w:val="en-GB"/>
        </w:rPr>
        <w:t>N</w:t>
      </w:r>
      <w:r w:rsidR="00E50B98" w:rsidRPr="00BA6590">
        <w:rPr>
          <w:lang w:val="en-GB"/>
        </w:rPr>
        <w:t>ational</w:t>
      </w:r>
      <w:r w:rsidR="00A01778" w:rsidRPr="00BA6590">
        <w:rPr>
          <w:lang w:val="en-GB"/>
        </w:rPr>
        <w:t xml:space="preserve"> Action Plan</w:t>
      </w:r>
    </w:p>
    <w:p w:rsidR="00E50B98" w:rsidRPr="00BA6590" w:rsidRDefault="00E50B98" w:rsidP="00A5534A">
      <w:pPr>
        <w:pStyle w:val="SingleTxtG"/>
        <w:rPr>
          <w:lang w:val="en-GB"/>
        </w:rPr>
      </w:pPr>
      <w:r w:rsidRPr="00BA6590">
        <w:rPr>
          <w:lang w:val="en-GB"/>
        </w:rPr>
        <w:t>179.</w:t>
      </w:r>
      <w:r w:rsidRPr="00BA6590">
        <w:rPr>
          <w:lang w:val="en-GB"/>
        </w:rPr>
        <w:tab/>
      </w:r>
      <w:r w:rsidR="000F112F" w:rsidRPr="00BA6590">
        <w:rPr>
          <w:lang w:val="en-GB"/>
        </w:rPr>
        <w:t>I</w:t>
      </w:r>
      <w:r w:rsidRPr="00BA6590">
        <w:rPr>
          <w:lang w:val="en-GB"/>
        </w:rPr>
        <w:t>n 2008,</w:t>
      </w:r>
      <w:r w:rsidR="000F112F" w:rsidRPr="00BA6590">
        <w:rPr>
          <w:lang w:val="en-GB"/>
        </w:rPr>
        <w:t xml:space="preserve"> a National Action</w:t>
      </w:r>
      <w:r w:rsidRPr="00BA6590">
        <w:rPr>
          <w:lang w:val="en-GB"/>
        </w:rPr>
        <w:t xml:space="preserve"> Plan </w:t>
      </w:r>
      <w:r w:rsidR="000F112F" w:rsidRPr="00BA6590">
        <w:rPr>
          <w:lang w:val="en-GB"/>
        </w:rPr>
        <w:t>for 2008</w:t>
      </w:r>
      <w:r w:rsidR="00D94C5A" w:rsidRPr="00BA6590">
        <w:rPr>
          <w:szCs w:val="24"/>
          <w:lang w:val="en-GB"/>
        </w:rPr>
        <w:t>–</w:t>
      </w:r>
      <w:r w:rsidR="000F112F" w:rsidRPr="00BA6590">
        <w:rPr>
          <w:lang w:val="en-GB"/>
        </w:rPr>
        <w:t>2012 was adopted in order to propose possible legislative and regulatory changes and measures to promote awareness and for improved prevention, punishment of traffickers and proper protection for victims</w:t>
      </w:r>
      <w:r w:rsidR="00845B0C" w:rsidRPr="00BA6590">
        <w:rPr>
          <w:lang w:val="en-GB"/>
        </w:rPr>
        <w:t>, with specific measures targeting minors. The Plan also tackles issues of coordination, information-gathering and policy evaluation. A new Plan of Action for 2012</w:t>
      </w:r>
      <w:r w:rsidR="00D94C5A" w:rsidRPr="00BA6590">
        <w:rPr>
          <w:szCs w:val="24"/>
          <w:lang w:val="en-GB"/>
        </w:rPr>
        <w:t>–</w:t>
      </w:r>
      <w:r w:rsidR="00845B0C" w:rsidRPr="00BA6590">
        <w:rPr>
          <w:lang w:val="en-GB"/>
        </w:rPr>
        <w:t xml:space="preserve">2014 has been drawn up by the office of the Interdepartmental Coordination Unit for the Prevention of Trafficking. Among other things, the new Plan is based on the establishment of </w:t>
      </w:r>
      <w:r w:rsidR="0043123F" w:rsidRPr="00BA6590">
        <w:rPr>
          <w:lang w:val="en-GB"/>
        </w:rPr>
        <w:t>a scoreboard reflecting the degree of implementation of the previous Action</w:t>
      </w:r>
      <w:r w:rsidR="00A635DE" w:rsidRPr="00BA6590">
        <w:rPr>
          <w:lang w:val="en-GB"/>
        </w:rPr>
        <w:t xml:space="preserve"> Plan</w:t>
      </w:r>
      <w:r w:rsidR="0043123F" w:rsidRPr="00BA6590">
        <w:rPr>
          <w:lang w:val="en-GB"/>
        </w:rPr>
        <w:t xml:space="preserve">, on current issues and on opinions expressed by the competent departments. It was submitted to the Council of Ministers on </w:t>
      </w:r>
      <w:r w:rsidRPr="00BA6590">
        <w:rPr>
          <w:lang w:val="en-GB"/>
        </w:rPr>
        <w:t xml:space="preserve">22 </w:t>
      </w:r>
      <w:r w:rsidR="003F5E21" w:rsidRPr="00BA6590">
        <w:rPr>
          <w:lang w:val="en-GB"/>
        </w:rPr>
        <w:t>June</w:t>
      </w:r>
      <w:r w:rsidRPr="00BA6590">
        <w:rPr>
          <w:lang w:val="en-GB"/>
        </w:rPr>
        <w:t xml:space="preserve"> 2012.</w:t>
      </w:r>
      <w:r w:rsidR="0043123F" w:rsidRPr="00BA6590">
        <w:rPr>
          <w:lang w:val="en-GB"/>
        </w:rPr>
        <w:t xml:space="preserve"> The Coordination Unit is now in charge of its execution. Also, in the </w:t>
      </w:r>
      <w:r w:rsidR="001C0B51" w:rsidRPr="00BA6590">
        <w:rPr>
          <w:lang w:val="en-GB"/>
        </w:rPr>
        <w:t>National Security Plan</w:t>
      </w:r>
      <w:r w:rsidR="0043123F" w:rsidRPr="00BA6590">
        <w:rPr>
          <w:lang w:val="en-GB"/>
        </w:rPr>
        <w:t xml:space="preserve"> </w:t>
      </w:r>
      <w:r w:rsidR="001C0B51" w:rsidRPr="00BA6590">
        <w:rPr>
          <w:lang w:val="en-GB"/>
        </w:rPr>
        <w:t xml:space="preserve">for </w:t>
      </w:r>
      <w:r w:rsidRPr="00BA6590">
        <w:rPr>
          <w:lang w:val="en-GB"/>
        </w:rPr>
        <w:t>2012</w:t>
      </w:r>
      <w:r w:rsidR="00D94C5A" w:rsidRPr="00BA6590">
        <w:rPr>
          <w:szCs w:val="24"/>
          <w:lang w:val="en-GB"/>
        </w:rPr>
        <w:t>–</w:t>
      </w:r>
      <w:r w:rsidRPr="00BA6590">
        <w:rPr>
          <w:lang w:val="en-GB"/>
        </w:rPr>
        <w:t>2015,</w:t>
      </w:r>
      <w:r w:rsidR="001C0B51" w:rsidRPr="00BA6590">
        <w:rPr>
          <w:lang w:val="en-GB"/>
        </w:rPr>
        <w:t xml:space="preserve"> trafficking in and smuggling of humans once again appear on the priority list of 10 criminal phenomena to be dealt with. </w:t>
      </w:r>
    </w:p>
    <w:p w:rsidR="00E50B98" w:rsidRPr="00BA6590" w:rsidRDefault="00E979F6" w:rsidP="00E979F6">
      <w:pPr>
        <w:pStyle w:val="H4G"/>
        <w:rPr>
          <w:lang w:val="en-GB"/>
        </w:rPr>
      </w:pPr>
      <w:r w:rsidRPr="00BA6590">
        <w:rPr>
          <w:lang w:val="en-GB"/>
        </w:rPr>
        <w:tab/>
      </w:r>
      <w:r w:rsidR="00E50B98" w:rsidRPr="00BA6590">
        <w:rPr>
          <w:lang w:val="en-GB"/>
        </w:rPr>
        <w:tab/>
      </w:r>
      <w:r w:rsidR="00744DE0" w:rsidRPr="00BA6590">
        <w:rPr>
          <w:lang w:val="en-GB"/>
        </w:rPr>
        <w:t>Circulars designed to combat all forms of trafficking in and smuggling of humans</w:t>
      </w:r>
    </w:p>
    <w:p w:rsidR="00E50B98" w:rsidRPr="00BA6590" w:rsidRDefault="00E50B98" w:rsidP="00E50B98">
      <w:pPr>
        <w:pStyle w:val="SingleTxtG"/>
        <w:rPr>
          <w:lang w:val="en-GB"/>
        </w:rPr>
      </w:pPr>
      <w:r w:rsidRPr="00BA6590">
        <w:rPr>
          <w:lang w:val="en-GB"/>
        </w:rPr>
        <w:t>180.</w:t>
      </w:r>
      <w:r w:rsidRPr="00BA6590">
        <w:rPr>
          <w:lang w:val="en-GB"/>
        </w:rPr>
        <w:tab/>
      </w:r>
      <w:r w:rsidR="00744DE0" w:rsidRPr="00BA6590">
        <w:rPr>
          <w:lang w:val="en-GB"/>
        </w:rPr>
        <w:t xml:space="preserve">Directive </w:t>
      </w:r>
      <w:r w:rsidRPr="00BA6590">
        <w:rPr>
          <w:lang w:val="en-GB"/>
        </w:rPr>
        <w:t>COL 01/2007</w:t>
      </w:r>
      <w:r w:rsidR="00744DE0" w:rsidRPr="00BA6590">
        <w:rPr>
          <w:lang w:val="en-GB"/>
        </w:rPr>
        <w:t xml:space="preserve"> by the Minister of Justice, </w:t>
      </w:r>
      <w:r w:rsidR="00E37731" w:rsidRPr="00BA6590">
        <w:rPr>
          <w:lang w:val="en-GB"/>
        </w:rPr>
        <w:t>the</w:t>
      </w:r>
      <w:r w:rsidR="00744DE0" w:rsidRPr="00BA6590">
        <w:rPr>
          <w:lang w:val="en-GB"/>
        </w:rPr>
        <w:t xml:space="preserve"> purpose</w:t>
      </w:r>
      <w:r w:rsidR="00E37731" w:rsidRPr="00BA6590">
        <w:rPr>
          <w:lang w:val="en-GB"/>
        </w:rPr>
        <w:t xml:space="preserve"> of which</w:t>
      </w:r>
      <w:r w:rsidR="00744DE0" w:rsidRPr="00BA6590">
        <w:rPr>
          <w:lang w:val="en-GB"/>
        </w:rPr>
        <w:t xml:space="preserve"> is to combat all forms of trafficking, created specialized judges</w:t>
      </w:r>
      <w:r w:rsidR="00A216FB" w:rsidRPr="00BA6590">
        <w:rPr>
          <w:lang w:val="en-GB"/>
        </w:rPr>
        <w:t>’</w:t>
      </w:r>
      <w:r w:rsidR="00744DE0" w:rsidRPr="00BA6590">
        <w:rPr>
          <w:lang w:val="en-GB"/>
        </w:rPr>
        <w:t xml:space="preserve"> positions in all judicial districts</w:t>
      </w:r>
      <w:r w:rsidR="004F61D2" w:rsidRPr="00BA6590">
        <w:rPr>
          <w:lang w:val="en-GB"/>
        </w:rPr>
        <w:t xml:space="preserve"> (in both public prosecutors</w:t>
      </w:r>
      <w:r w:rsidR="00A216FB" w:rsidRPr="00BA6590">
        <w:rPr>
          <w:lang w:val="en-GB"/>
        </w:rPr>
        <w:t>’</w:t>
      </w:r>
      <w:r w:rsidR="004F61D2" w:rsidRPr="00BA6590">
        <w:rPr>
          <w:lang w:val="en-GB"/>
        </w:rPr>
        <w:t xml:space="preserve"> offices and the labour inspectorate). Local coordination meetings between actors involved on the ground are held regularly. Directive </w:t>
      </w:r>
      <w:r w:rsidRPr="00BA6590">
        <w:rPr>
          <w:lang w:val="en-GB"/>
        </w:rPr>
        <w:t>COL 01/2007</w:t>
      </w:r>
      <w:r w:rsidR="004F61D2" w:rsidRPr="00BA6590">
        <w:rPr>
          <w:lang w:val="en-GB"/>
        </w:rPr>
        <w:t xml:space="preserve"> includes a list of </w:t>
      </w:r>
      <w:r w:rsidRPr="00BA6590">
        <w:rPr>
          <w:lang w:val="en-GB"/>
        </w:rPr>
        <w:t>70</w:t>
      </w:r>
      <w:r w:rsidR="004F61D2" w:rsidRPr="00BA6590">
        <w:rPr>
          <w:lang w:val="en-GB"/>
        </w:rPr>
        <w:t xml:space="preserve"> trafficking</w:t>
      </w:r>
      <w:r w:rsidRPr="00BA6590">
        <w:rPr>
          <w:lang w:val="en-GB"/>
        </w:rPr>
        <w:t xml:space="preserve"> indicat</w:t>
      </w:r>
      <w:r w:rsidR="004F61D2" w:rsidRPr="00BA6590">
        <w:rPr>
          <w:lang w:val="en-GB"/>
        </w:rPr>
        <w:t>o</w:t>
      </w:r>
      <w:r w:rsidRPr="00BA6590">
        <w:rPr>
          <w:lang w:val="en-GB"/>
        </w:rPr>
        <w:t>rs</w:t>
      </w:r>
      <w:r w:rsidR="004F61D2" w:rsidRPr="00BA6590">
        <w:rPr>
          <w:lang w:val="en-GB"/>
        </w:rPr>
        <w:t xml:space="preserve"> to facilitate the identification of such situations. There is also a common circular on human trafficking for the Ministries of Justice and the Interior, the office of the Secretary of State for Migration and Asylum Policy and the College of Public Prosecutors </w:t>
      </w:r>
      <w:r w:rsidRPr="00BA6590">
        <w:rPr>
          <w:lang w:val="en-GB"/>
        </w:rPr>
        <w:t>(COL 4/2011)</w:t>
      </w:r>
      <w:r w:rsidR="004F61D2" w:rsidRPr="00BA6590">
        <w:rPr>
          <w:lang w:val="en-GB"/>
        </w:rPr>
        <w:t xml:space="preserve"> and a circular of the College of Public Prosecutors on assistance for </w:t>
      </w:r>
      <w:r w:rsidR="00DD1CE5" w:rsidRPr="00BA6590">
        <w:rPr>
          <w:lang w:val="en-GB"/>
        </w:rPr>
        <w:t>irregular</w:t>
      </w:r>
      <w:r w:rsidR="004F61D2" w:rsidRPr="00BA6590">
        <w:rPr>
          <w:lang w:val="en-GB"/>
        </w:rPr>
        <w:t xml:space="preserve"> immigrants</w:t>
      </w:r>
      <w:r w:rsidRPr="00BA6590">
        <w:rPr>
          <w:lang w:val="en-GB"/>
        </w:rPr>
        <w:t xml:space="preserve"> (COL 10/2010). </w:t>
      </w:r>
    </w:p>
    <w:p w:rsidR="00E50B98" w:rsidRPr="00BA6590" w:rsidRDefault="00E979F6" w:rsidP="00E979F6">
      <w:pPr>
        <w:pStyle w:val="H4G"/>
        <w:rPr>
          <w:lang w:val="en-GB"/>
        </w:rPr>
      </w:pPr>
      <w:r w:rsidRPr="00BA6590">
        <w:rPr>
          <w:lang w:val="en-GB"/>
        </w:rPr>
        <w:tab/>
      </w:r>
      <w:r w:rsidR="00E50B98" w:rsidRPr="00BA6590">
        <w:rPr>
          <w:lang w:val="en-GB"/>
        </w:rPr>
        <w:tab/>
      </w:r>
      <w:r w:rsidR="004F61D2" w:rsidRPr="00BA6590">
        <w:rPr>
          <w:lang w:val="en-GB"/>
        </w:rPr>
        <w:t>Victim p</w:t>
      </w:r>
      <w:r w:rsidR="00E50B98" w:rsidRPr="00BA6590">
        <w:rPr>
          <w:lang w:val="en-GB"/>
        </w:rPr>
        <w:t>rotection</w:t>
      </w:r>
    </w:p>
    <w:p w:rsidR="00E50B98" w:rsidRPr="00BA6590" w:rsidRDefault="00E50B98" w:rsidP="0003588F">
      <w:pPr>
        <w:pStyle w:val="SingleTxtG"/>
        <w:rPr>
          <w:lang w:val="en-GB"/>
        </w:rPr>
      </w:pPr>
      <w:r w:rsidRPr="00BA6590">
        <w:rPr>
          <w:lang w:val="en-GB"/>
        </w:rPr>
        <w:t>181.</w:t>
      </w:r>
      <w:r w:rsidRPr="00BA6590">
        <w:rPr>
          <w:lang w:val="en-GB"/>
        </w:rPr>
        <w:tab/>
      </w:r>
      <w:r w:rsidR="00656022" w:rsidRPr="00BA6590">
        <w:rPr>
          <w:lang w:val="en-GB"/>
        </w:rPr>
        <w:t>The integrated protection system is organized by the circular of</w:t>
      </w:r>
      <w:r w:rsidRPr="00BA6590">
        <w:rPr>
          <w:lang w:val="en-GB"/>
        </w:rPr>
        <w:t xml:space="preserve"> 26 </w:t>
      </w:r>
      <w:r w:rsidR="003F5E21" w:rsidRPr="00BA6590">
        <w:rPr>
          <w:lang w:val="en-GB"/>
        </w:rPr>
        <w:t>September</w:t>
      </w:r>
      <w:r w:rsidRPr="00BA6590">
        <w:rPr>
          <w:lang w:val="en-GB"/>
        </w:rPr>
        <w:t xml:space="preserve"> 2008</w:t>
      </w:r>
      <w:r w:rsidR="00656022" w:rsidRPr="00BA6590">
        <w:rPr>
          <w:lang w:val="en-GB"/>
        </w:rPr>
        <w:t xml:space="preserve"> on the </w:t>
      </w:r>
      <w:r w:rsidRPr="00BA6590">
        <w:rPr>
          <w:lang w:val="en-GB"/>
        </w:rPr>
        <w:t>introduction</w:t>
      </w:r>
      <w:r w:rsidR="00656022" w:rsidRPr="00BA6590">
        <w:rPr>
          <w:lang w:val="en-GB"/>
        </w:rPr>
        <w:t xml:space="preserve"> of multidisciplinary cooperation for the victims of smuggling and/or of certain aggravated forms of trafficking. It defines procedures for identifying cases </w:t>
      </w:r>
      <w:r w:rsidRPr="00BA6590">
        <w:rPr>
          <w:lang w:val="en-GB"/>
        </w:rPr>
        <w:t>(</w:t>
      </w:r>
      <w:r w:rsidR="00656022" w:rsidRPr="00BA6590">
        <w:rPr>
          <w:lang w:val="en-GB"/>
        </w:rPr>
        <w:t>using the</w:t>
      </w:r>
      <w:r w:rsidRPr="00BA6590">
        <w:rPr>
          <w:lang w:val="en-GB"/>
        </w:rPr>
        <w:t xml:space="preserve"> indicat</w:t>
      </w:r>
      <w:r w:rsidR="00656022" w:rsidRPr="00BA6590">
        <w:rPr>
          <w:lang w:val="en-GB"/>
        </w:rPr>
        <w:t>o</w:t>
      </w:r>
      <w:r w:rsidRPr="00BA6590">
        <w:rPr>
          <w:lang w:val="en-GB"/>
        </w:rPr>
        <w:t>rs</w:t>
      </w:r>
      <w:r w:rsidR="00656022" w:rsidRPr="00BA6590">
        <w:rPr>
          <w:lang w:val="en-GB"/>
        </w:rPr>
        <w:t xml:space="preserve"> of </w:t>
      </w:r>
      <w:r w:rsidR="0003588F" w:rsidRPr="00BA6590">
        <w:rPr>
          <w:lang w:val="en-GB"/>
        </w:rPr>
        <w:t xml:space="preserve">circular </w:t>
      </w:r>
      <w:r w:rsidR="00E37731" w:rsidRPr="00BA6590">
        <w:rPr>
          <w:lang w:val="en-GB"/>
        </w:rPr>
        <w:t>COL 01/2007) and</w:t>
      </w:r>
      <w:r w:rsidR="00656022" w:rsidRPr="00BA6590">
        <w:rPr>
          <w:lang w:val="en-GB"/>
        </w:rPr>
        <w:t xml:space="preserve"> referring </w:t>
      </w:r>
      <w:r w:rsidR="00E37731" w:rsidRPr="00BA6590">
        <w:rPr>
          <w:lang w:val="en-GB"/>
        </w:rPr>
        <w:t>them</w:t>
      </w:r>
      <w:r w:rsidR="00194B98" w:rsidRPr="00BA6590">
        <w:rPr>
          <w:lang w:val="en-GB"/>
        </w:rPr>
        <w:t xml:space="preserve"> to the courts and </w:t>
      </w:r>
      <w:r w:rsidR="00E37731" w:rsidRPr="00BA6590">
        <w:rPr>
          <w:lang w:val="en-GB"/>
        </w:rPr>
        <w:t xml:space="preserve">for </w:t>
      </w:r>
      <w:r w:rsidR="00BE3BF3" w:rsidRPr="00BA6590">
        <w:rPr>
          <w:lang w:val="en-GB"/>
        </w:rPr>
        <w:t>reception of and assistance to</w:t>
      </w:r>
      <w:r w:rsidR="00194B98" w:rsidRPr="00BA6590">
        <w:rPr>
          <w:lang w:val="en-GB"/>
        </w:rPr>
        <w:t xml:space="preserve"> potential victims. It also provides a reminder of the conditions to be met in order to benefit from the status of victim: (</w:t>
      </w:r>
      <w:r w:rsidRPr="00BA6590">
        <w:rPr>
          <w:lang w:val="en-GB"/>
        </w:rPr>
        <w:t>1)</w:t>
      </w:r>
      <w:r w:rsidR="00194B98" w:rsidRPr="00BA6590">
        <w:rPr>
          <w:lang w:val="en-GB"/>
        </w:rPr>
        <w:t xml:space="preserve"> cutting off all contact with the alleged traffickers; (</w:t>
      </w:r>
      <w:r w:rsidRPr="00BA6590">
        <w:rPr>
          <w:lang w:val="en-GB"/>
        </w:rPr>
        <w:t>2)</w:t>
      </w:r>
      <w:r w:rsidR="00194B98" w:rsidRPr="00BA6590">
        <w:rPr>
          <w:lang w:val="en-GB"/>
        </w:rPr>
        <w:t xml:space="preserve"> accepting assistance from a specialized centre; and (</w:t>
      </w:r>
      <w:r w:rsidRPr="00BA6590">
        <w:rPr>
          <w:lang w:val="en-GB"/>
        </w:rPr>
        <w:t>3)</w:t>
      </w:r>
      <w:r w:rsidR="00194B98" w:rsidRPr="00BA6590">
        <w:rPr>
          <w:lang w:val="en-GB"/>
        </w:rPr>
        <w:t xml:space="preserve"> cooperating with the judicial authorities.</w:t>
      </w:r>
      <w:r w:rsidR="00BE3BF3" w:rsidRPr="00BA6590">
        <w:rPr>
          <w:lang w:val="en-GB"/>
        </w:rPr>
        <w:t xml:space="preserve"> </w:t>
      </w:r>
      <w:r w:rsidR="00C46146" w:rsidRPr="00BA6590">
        <w:rPr>
          <w:lang w:val="en-GB"/>
        </w:rPr>
        <w:t xml:space="preserve">It should be noted that the Act of </w:t>
      </w:r>
      <w:r w:rsidRPr="00BA6590">
        <w:rPr>
          <w:lang w:val="en-GB"/>
        </w:rPr>
        <w:t xml:space="preserve">15 </w:t>
      </w:r>
      <w:r w:rsidR="003F5E21" w:rsidRPr="00BA6590">
        <w:rPr>
          <w:lang w:val="en-GB"/>
        </w:rPr>
        <w:t>September</w:t>
      </w:r>
      <w:r w:rsidRPr="00BA6590">
        <w:rPr>
          <w:lang w:val="en-GB"/>
        </w:rPr>
        <w:t xml:space="preserve"> 2006,</w:t>
      </w:r>
      <w:r w:rsidR="00C46146" w:rsidRPr="00BA6590">
        <w:rPr>
          <w:lang w:val="en-GB"/>
        </w:rPr>
        <w:t xml:space="preserve"> which </w:t>
      </w:r>
      <w:r w:rsidR="00816F73" w:rsidRPr="00BA6590">
        <w:rPr>
          <w:lang w:val="en-GB"/>
        </w:rPr>
        <w:t>incorporates</w:t>
      </w:r>
      <w:r w:rsidR="00C46146" w:rsidRPr="00BA6590">
        <w:rPr>
          <w:lang w:val="en-GB"/>
        </w:rPr>
        <w:t xml:space="preserve"> D</w:t>
      </w:r>
      <w:r w:rsidRPr="00BA6590">
        <w:rPr>
          <w:lang w:val="en-GB"/>
        </w:rPr>
        <w:t>irective 2004/81</w:t>
      </w:r>
      <w:r w:rsidR="004722FA" w:rsidRPr="00BA6590">
        <w:rPr>
          <w:lang w:val="en-GB"/>
        </w:rPr>
        <w:t>/EC</w:t>
      </w:r>
      <w:r w:rsidRPr="00BA6590">
        <w:rPr>
          <w:lang w:val="en-GB"/>
        </w:rPr>
        <w:t xml:space="preserve"> </w:t>
      </w:r>
      <w:r w:rsidR="00C46146" w:rsidRPr="00BA6590">
        <w:rPr>
          <w:lang w:val="en-GB"/>
        </w:rPr>
        <w:t>of</w:t>
      </w:r>
      <w:r w:rsidRPr="00BA6590">
        <w:rPr>
          <w:lang w:val="en-GB"/>
        </w:rPr>
        <w:t xml:space="preserve"> 29</w:t>
      </w:r>
      <w:r w:rsidR="00C46146" w:rsidRPr="00BA6590">
        <w:rPr>
          <w:lang w:val="en-GB"/>
        </w:rPr>
        <w:t xml:space="preserve"> </w:t>
      </w:r>
      <w:r w:rsidR="003F5E21" w:rsidRPr="00BA6590">
        <w:rPr>
          <w:lang w:val="en-GB"/>
        </w:rPr>
        <w:t>April</w:t>
      </w:r>
      <w:r w:rsidRPr="00BA6590">
        <w:rPr>
          <w:lang w:val="en-GB"/>
        </w:rPr>
        <w:t xml:space="preserve"> 2004</w:t>
      </w:r>
      <w:r w:rsidR="00816F73" w:rsidRPr="00BA6590">
        <w:rPr>
          <w:lang w:val="en-GB"/>
        </w:rPr>
        <w:t xml:space="preserve"> into national law</w:t>
      </w:r>
      <w:r w:rsidR="00C46146" w:rsidRPr="00BA6590">
        <w:rPr>
          <w:lang w:val="en-GB"/>
        </w:rPr>
        <w:t xml:space="preserve"> and aims to strengthen the prevention of </w:t>
      </w:r>
      <w:r w:rsidRPr="00BA6590">
        <w:rPr>
          <w:lang w:val="en-GB"/>
        </w:rPr>
        <w:t>clandestine</w:t>
      </w:r>
      <w:r w:rsidR="00C46146" w:rsidRPr="00BA6590">
        <w:rPr>
          <w:lang w:val="en-GB"/>
        </w:rPr>
        <w:t xml:space="preserve"> immigration</w:t>
      </w:r>
      <w:r w:rsidRPr="00BA6590">
        <w:rPr>
          <w:lang w:val="en-GB"/>
        </w:rPr>
        <w:t>,</w:t>
      </w:r>
      <w:r w:rsidR="00C46146" w:rsidRPr="00BA6590">
        <w:rPr>
          <w:lang w:val="en-GB"/>
        </w:rPr>
        <w:t xml:space="preserve"> provides for residence permits to be issued to </w:t>
      </w:r>
      <w:r w:rsidR="00141C3B" w:rsidRPr="00BA6590">
        <w:rPr>
          <w:lang w:val="en-GB"/>
        </w:rPr>
        <w:t>trafficked</w:t>
      </w:r>
      <w:r w:rsidR="00C46146" w:rsidRPr="00BA6590">
        <w:rPr>
          <w:lang w:val="en-GB"/>
        </w:rPr>
        <w:t xml:space="preserve"> victims who cooperate with the competent authorities against the alleged offenders in such cases. Belgium has also decided to extend this system to the victims of certain aggravated forms of human trafficking. </w:t>
      </w:r>
    </w:p>
    <w:p w:rsidR="00E50B98" w:rsidRPr="00BA6590" w:rsidRDefault="00E50B98" w:rsidP="00E50B98">
      <w:pPr>
        <w:pStyle w:val="SingleTxtG"/>
        <w:rPr>
          <w:lang w:val="en-GB"/>
        </w:rPr>
      </w:pPr>
      <w:r w:rsidRPr="00BA6590">
        <w:rPr>
          <w:lang w:val="en-GB"/>
        </w:rPr>
        <w:t>182.</w:t>
      </w:r>
      <w:r w:rsidRPr="00BA6590">
        <w:rPr>
          <w:lang w:val="en-GB"/>
        </w:rPr>
        <w:tab/>
      </w:r>
      <w:r w:rsidR="00E85FA4" w:rsidRPr="00BA6590">
        <w:rPr>
          <w:lang w:val="en-GB"/>
        </w:rPr>
        <w:t xml:space="preserve">The circular of </w:t>
      </w:r>
      <w:r w:rsidRPr="00BA6590">
        <w:rPr>
          <w:lang w:val="en-GB"/>
        </w:rPr>
        <w:t xml:space="preserve">26 </w:t>
      </w:r>
      <w:r w:rsidR="003F5E21" w:rsidRPr="00BA6590">
        <w:rPr>
          <w:lang w:val="en-GB"/>
        </w:rPr>
        <w:t>September</w:t>
      </w:r>
      <w:r w:rsidRPr="00BA6590">
        <w:rPr>
          <w:lang w:val="en-GB"/>
        </w:rPr>
        <w:t xml:space="preserve"> 2008</w:t>
      </w:r>
      <w:r w:rsidR="00E85FA4" w:rsidRPr="00BA6590">
        <w:rPr>
          <w:lang w:val="en-GB"/>
        </w:rPr>
        <w:t xml:space="preserve"> also specifies the role of each actor at the various stages of the procedure: police and inspectorate services, the</w:t>
      </w:r>
      <w:r w:rsidRPr="00BA6590">
        <w:rPr>
          <w:lang w:val="en-GB"/>
        </w:rPr>
        <w:t xml:space="preserve"> </w:t>
      </w:r>
      <w:r w:rsidR="00816F73" w:rsidRPr="00BA6590">
        <w:rPr>
          <w:lang w:val="en-GB"/>
        </w:rPr>
        <w:t>Immigration Office</w:t>
      </w:r>
      <w:r w:rsidRPr="00BA6590">
        <w:rPr>
          <w:lang w:val="en-GB"/>
        </w:rPr>
        <w:t xml:space="preserve">, </w:t>
      </w:r>
      <w:r w:rsidR="00E85FA4" w:rsidRPr="00BA6590">
        <w:rPr>
          <w:lang w:val="en-GB"/>
        </w:rPr>
        <w:t xml:space="preserve">specialized reception </w:t>
      </w:r>
      <w:r w:rsidRPr="00BA6590">
        <w:rPr>
          <w:lang w:val="en-GB"/>
        </w:rPr>
        <w:t xml:space="preserve">centres </w:t>
      </w:r>
      <w:r w:rsidR="00E85FA4" w:rsidRPr="00BA6590">
        <w:rPr>
          <w:lang w:val="en-GB"/>
        </w:rPr>
        <w:t>and judges. It also creates specific directives for unaccompanied foreign minors who are potential victims</w:t>
      </w:r>
      <w:r w:rsidR="00141C3B" w:rsidRPr="00BA6590">
        <w:rPr>
          <w:lang w:val="en-GB"/>
        </w:rPr>
        <w:t xml:space="preserve"> of trafficking</w:t>
      </w:r>
      <w:r w:rsidR="00E85FA4" w:rsidRPr="00BA6590">
        <w:rPr>
          <w:lang w:val="en-GB"/>
        </w:rPr>
        <w:t xml:space="preserve"> (appointment of a guardian, assistance for the minor and cooperation by the competent authorities) and for </w:t>
      </w:r>
      <w:r w:rsidR="00141C3B" w:rsidRPr="00BA6590">
        <w:rPr>
          <w:lang w:val="en-GB"/>
        </w:rPr>
        <w:t>trafficked</w:t>
      </w:r>
      <w:r w:rsidR="00E85FA4" w:rsidRPr="00BA6590">
        <w:rPr>
          <w:lang w:val="en-GB"/>
        </w:rPr>
        <w:t xml:space="preserve"> victims working for diplomatic staff </w:t>
      </w:r>
      <w:r w:rsidR="00141C3B" w:rsidRPr="00BA6590">
        <w:rPr>
          <w:lang w:val="en-GB"/>
        </w:rPr>
        <w:t xml:space="preserve">in service jobs </w:t>
      </w:r>
      <w:r w:rsidR="00E85FA4" w:rsidRPr="00BA6590">
        <w:rPr>
          <w:lang w:val="en-GB"/>
        </w:rPr>
        <w:t>(special identity card, interview with a member of the Protocol and Security Service, and so on).</w:t>
      </w:r>
    </w:p>
    <w:p w:rsidR="00E50B98" w:rsidRPr="00BA6590" w:rsidRDefault="00E50B98" w:rsidP="00E50B98">
      <w:pPr>
        <w:pStyle w:val="SingleTxtG"/>
        <w:rPr>
          <w:lang w:val="en-GB"/>
        </w:rPr>
      </w:pPr>
      <w:r w:rsidRPr="00BA6590">
        <w:rPr>
          <w:lang w:val="en-GB"/>
        </w:rPr>
        <w:t>183.</w:t>
      </w:r>
      <w:r w:rsidR="004E090E" w:rsidRPr="00BA6590">
        <w:rPr>
          <w:lang w:val="en-GB"/>
        </w:rPr>
        <w:tab/>
      </w:r>
      <w:r w:rsidR="005B58FB" w:rsidRPr="00BA6590">
        <w:rPr>
          <w:lang w:val="en-GB"/>
        </w:rPr>
        <w:t>This circular was evaluated in 2011 and each recommendation was reviewed to ensure that its implementation was entrusted to the competent department</w:t>
      </w:r>
      <w:r w:rsidR="00E37731" w:rsidRPr="00BA6590">
        <w:rPr>
          <w:lang w:val="en-GB"/>
        </w:rPr>
        <w:t>; t</w:t>
      </w:r>
      <w:r w:rsidR="005B58FB" w:rsidRPr="00BA6590">
        <w:rPr>
          <w:lang w:val="en-GB"/>
        </w:rPr>
        <w:t xml:space="preserve">he results were taken into account in preparing the new Action Plan. It has been considered necessary to follow a particular method in respect of minors, and a specific evaluation for them is currently under way. </w:t>
      </w:r>
    </w:p>
    <w:p w:rsidR="00E50B98" w:rsidRPr="00BA6590" w:rsidRDefault="00E50B98" w:rsidP="0003588F">
      <w:pPr>
        <w:pStyle w:val="SingleTxtG"/>
        <w:rPr>
          <w:lang w:val="en-GB"/>
        </w:rPr>
      </w:pPr>
      <w:r w:rsidRPr="00BA6590">
        <w:rPr>
          <w:lang w:val="en-GB"/>
        </w:rPr>
        <w:t>184.</w:t>
      </w:r>
      <w:r w:rsidRPr="00BA6590">
        <w:rPr>
          <w:lang w:val="en-GB"/>
        </w:rPr>
        <w:tab/>
      </w:r>
      <w:r w:rsidR="005B58FB" w:rsidRPr="00BA6590">
        <w:rPr>
          <w:lang w:val="en-GB"/>
        </w:rPr>
        <w:t>For over 20 years, Belgium has had specialized reception structures for the victims of human trafficking. Three reception centres (one in each of the country</w:t>
      </w:r>
      <w:r w:rsidR="00A216FB" w:rsidRPr="00BA6590">
        <w:rPr>
          <w:lang w:val="en-GB"/>
        </w:rPr>
        <w:t>’</w:t>
      </w:r>
      <w:r w:rsidR="005B58FB" w:rsidRPr="00BA6590">
        <w:rPr>
          <w:lang w:val="en-GB"/>
        </w:rPr>
        <w:t xml:space="preserve">s regions) offer them accommodation, where necessary, and psychosocial, administrative and legal </w:t>
      </w:r>
      <w:r w:rsidR="00E37731" w:rsidRPr="00BA6590">
        <w:rPr>
          <w:lang w:val="en-GB"/>
        </w:rPr>
        <w:t>assistance</w:t>
      </w:r>
      <w:r w:rsidR="005B58FB" w:rsidRPr="00BA6590">
        <w:rPr>
          <w:lang w:val="en-GB"/>
        </w:rPr>
        <w:t>. I</w:t>
      </w:r>
      <w:r w:rsidRPr="00BA6590">
        <w:rPr>
          <w:lang w:val="en-GB"/>
        </w:rPr>
        <w:t>n 2006, 172</w:t>
      </w:r>
      <w:r w:rsidR="005B58FB" w:rsidRPr="00BA6590">
        <w:rPr>
          <w:lang w:val="en-GB"/>
        </w:rPr>
        <w:t xml:space="preserve"> new victim</w:t>
      </w:r>
      <w:r w:rsidRPr="00BA6590">
        <w:rPr>
          <w:lang w:val="en-GB"/>
        </w:rPr>
        <w:t>s</w:t>
      </w:r>
      <w:r w:rsidR="005B58FB" w:rsidRPr="00BA6590">
        <w:rPr>
          <w:lang w:val="en-GB"/>
        </w:rPr>
        <w:t xml:space="preserve"> were helped by these reception centres. For the years from </w:t>
      </w:r>
      <w:r w:rsidRPr="00BA6590">
        <w:rPr>
          <w:lang w:val="en-GB"/>
        </w:rPr>
        <w:t xml:space="preserve">2007 </w:t>
      </w:r>
      <w:r w:rsidR="005B58FB" w:rsidRPr="00BA6590">
        <w:rPr>
          <w:lang w:val="en-GB"/>
        </w:rPr>
        <w:t>to</w:t>
      </w:r>
      <w:r w:rsidRPr="00BA6590">
        <w:rPr>
          <w:lang w:val="en-GB"/>
        </w:rPr>
        <w:t xml:space="preserve"> 2010,</w:t>
      </w:r>
      <w:r w:rsidR="005B58FB" w:rsidRPr="00BA6590">
        <w:rPr>
          <w:lang w:val="en-GB"/>
        </w:rPr>
        <w:t xml:space="preserve"> the figures were</w:t>
      </w:r>
      <w:r w:rsidRPr="00BA6590">
        <w:rPr>
          <w:lang w:val="en-GB"/>
        </w:rPr>
        <w:t xml:space="preserve"> 179, 196, 158 </w:t>
      </w:r>
      <w:r w:rsidR="005B58FB" w:rsidRPr="00BA6590">
        <w:rPr>
          <w:lang w:val="en-GB"/>
        </w:rPr>
        <w:t>and</w:t>
      </w:r>
      <w:r w:rsidRPr="00BA6590">
        <w:rPr>
          <w:lang w:val="en-GB"/>
        </w:rPr>
        <w:t xml:space="preserve"> 141</w:t>
      </w:r>
      <w:r w:rsidR="005B58FB" w:rsidRPr="00BA6590">
        <w:rPr>
          <w:lang w:val="en-GB"/>
        </w:rPr>
        <w:t>, respectively</w:t>
      </w:r>
      <w:r w:rsidRPr="00BA6590">
        <w:rPr>
          <w:lang w:val="en-GB"/>
        </w:rPr>
        <w:t xml:space="preserve"> (</w:t>
      </w:r>
      <w:r w:rsidR="005B58FB" w:rsidRPr="00BA6590">
        <w:rPr>
          <w:lang w:val="en-GB"/>
        </w:rPr>
        <w:t>for additional information, see the Centre</w:t>
      </w:r>
      <w:r w:rsidR="00A216FB" w:rsidRPr="00BA6590">
        <w:rPr>
          <w:lang w:val="en-GB"/>
        </w:rPr>
        <w:t>’</w:t>
      </w:r>
      <w:r w:rsidR="005B58FB" w:rsidRPr="00BA6590">
        <w:rPr>
          <w:lang w:val="en-GB"/>
        </w:rPr>
        <w:t xml:space="preserve">s annual trafficking report for </w:t>
      </w:r>
      <w:r w:rsidRPr="00BA6590">
        <w:rPr>
          <w:lang w:val="en-GB"/>
        </w:rPr>
        <w:t>2010, p.67, annex</w:t>
      </w:r>
      <w:r w:rsidR="005B58FB" w:rsidRPr="00BA6590">
        <w:rPr>
          <w:lang w:val="en-GB"/>
        </w:rPr>
        <w:t xml:space="preserve"> </w:t>
      </w:r>
      <w:r w:rsidRPr="00BA6590">
        <w:rPr>
          <w:lang w:val="en-GB"/>
        </w:rPr>
        <w:t xml:space="preserve">IX). </w:t>
      </w:r>
      <w:r w:rsidR="005B58FB" w:rsidRPr="00BA6590">
        <w:rPr>
          <w:lang w:val="en-GB"/>
        </w:rPr>
        <w:t>In 2011</w:t>
      </w:r>
      <w:r w:rsidRPr="00BA6590">
        <w:rPr>
          <w:lang w:val="en-GB"/>
        </w:rPr>
        <w:t xml:space="preserve"> </w:t>
      </w:r>
      <w:r w:rsidR="005B58FB" w:rsidRPr="00BA6590">
        <w:rPr>
          <w:lang w:val="en-GB"/>
        </w:rPr>
        <w:t>there were 152 victim</w:t>
      </w:r>
      <w:r w:rsidRPr="00BA6590">
        <w:rPr>
          <w:lang w:val="en-GB"/>
        </w:rPr>
        <w:t>s (</w:t>
      </w:r>
      <w:r w:rsidR="005B58FB" w:rsidRPr="00BA6590">
        <w:rPr>
          <w:lang w:val="en-GB"/>
        </w:rPr>
        <w:t xml:space="preserve">report </w:t>
      </w:r>
      <w:r w:rsidR="00E37731" w:rsidRPr="00BA6590">
        <w:rPr>
          <w:lang w:val="en-GB"/>
        </w:rPr>
        <w:t>due</w:t>
      </w:r>
      <w:r w:rsidR="005B58FB" w:rsidRPr="00BA6590">
        <w:rPr>
          <w:lang w:val="en-GB"/>
        </w:rPr>
        <w:t xml:space="preserve"> in </w:t>
      </w:r>
      <w:r w:rsidR="003F5E21" w:rsidRPr="00BA6590">
        <w:rPr>
          <w:lang w:val="en-GB"/>
        </w:rPr>
        <w:t>October</w:t>
      </w:r>
      <w:r w:rsidRPr="00BA6590">
        <w:rPr>
          <w:lang w:val="en-GB"/>
        </w:rPr>
        <w:t xml:space="preserve"> 2012).</w:t>
      </w:r>
    </w:p>
    <w:p w:rsidR="00E50B98" w:rsidRPr="00BA6590" w:rsidRDefault="00E50B98" w:rsidP="0003588F">
      <w:pPr>
        <w:pStyle w:val="SingleTxtG"/>
        <w:rPr>
          <w:lang w:val="en-GB"/>
        </w:rPr>
      </w:pPr>
      <w:r w:rsidRPr="00BA6590">
        <w:rPr>
          <w:lang w:val="en-GB"/>
        </w:rPr>
        <w:t>185.</w:t>
      </w:r>
      <w:r w:rsidRPr="00BA6590">
        <w:rPr>
          <w:lang w:val="en-GB"/>
        </w:rPr>
        <w:tab/>
      </w:r>
      <w:r w:rsidR="005B58FB" w:rsidRPr="00BA6590">
        <w:rPr>
          <w:lang w:val="en-GB"/>
        </w:rPr>
        <w:t xml:space="preserve">No statistical data are available regarding the </w:t>
      </w:r>
      <w:r w:rsidR="00E37731" w:rsidRPr="00BA6590">
        <w:rPr>
          <w:lang w:val="en-GB"/>
        </w:rPr>
        <w:t>reparation</w:t>
      </w:r>
      <w:r w:rsidR="005B58FB" w:rsidRPr="00BA6590">
        <w:rPr>
          <w:lang w:val="en-GB"/>
        </w:rPr>
        <w:t xml:space="preserve"> meas</w:t>
      </w:r>
      <w:r w:rsidRPr="00BA6590">
        <w:rPr>
          <w:lang w:val="en-GB"/>
        </w:rPr>
        <w:t>ures</w:t>
      </w:r>
      <w:r w:rsidR="005B58FB" w:rsidRPr="00BA6590">
        <w:rPr>
          <w:lang w:val="en-GB"/>
        </w:rPr>
        <w:t xml:space="preserve"> offered to the</w:t>
      </w:r>
      <w:r w:rsidRPr="00BA6590">
        <w:rPr>
          <w:lang w:val="en-GB"/>
        </w:rPr>
        <w:t xml:space="preserve"> victims.</w:t>
      </w:r>
      <w:r w:rsidR="005B58FB" w:rsidRPr="00BA6590">
        <w:rPr>
          <w:lang w:val="en-GB"/>
        </w:rPr>
        <w:t xml:space="preserve"> This does not mean that there are no such measures. Victims supported by reception centres may be assisted by a lawyer in defending their rights; the courts generally award damages to those who choose to bring civil actions. Recovering the amounts awarded can, however, be problematic, particularly owing to the actual or organized insolvency of the offenders (see the Centre</w:t>
      </w:r>
      <w:r w:rsidR="00A216FB" w:rsidRPr="00BA6590">
        <w:rPr>
          <w:lang w:val="en-GB"/>
        </w:rPr>
        <w:t>’</w:t>
      </w:r>
      <w:r w:rsidR="005B58FB" w:rsidRPr="00BA6590">
        <w:rPr>
          <w:lang w:val="en-GB"/>
        </w:rPr>
        <w:t xml:space="preserve">s annual trafficking report, </w:t>
      </w:r>
      <w:r w:rsidR="00E37731" w:rsidRPr="00BA6590">
        <w:rPr>
          <w:lang w:val="en-GB"/>
        </w:rPr>
        <w:t>due</w:t>
      </w:r>
      <w:r w:rsidR="005B58FB" w:rsidRPr="00BA6590">
        <w:rPr>
          <w:lang w:val="en-GB"/>
        </w:rPr>
        <w:t xml:space="preserve"> in October 2012). In such cases, victims can request assistance from the</w:t>
      </w:r>
      <w:r w:rsidR="001F3CAB" w:rsidRPr="00BA6590">
        <w:rPr>
          <w:lang w:val="en-GB"/>
        </w:rPr>
        <w:t xml:space="preserve"> </w:t>
      </w:r>
      <w:r w:rsidR="005B58FB" w:rsidRPr="00BA6590">
        <w:rPr>
          <w:lang w:val="en-GB"/>
        </w:rPr>
        <w:t>Commi</w:t>
      </w:r>
      <w:r w:rsidR="00E37731" w:rsidRPr="00BA6590">
        <w:rPr>
          <w:lang w:val="en-GB"/>
        </w:rPr>
        <w:t>ssion</w:t>
      </w:r>
      <w:r w:rsidR="005B58FB" w:rsidRPr="00BA6590">
        <w:rPr>
          <w:lang w:val="en-GB"/>
        </w:rPr>
        <w:t xml:space="preserve"> </w:t>
      </w:r>
      <w:r w:rsidR="00E37731" w:rsidRPr="00BA6590">
        <w:rPr>
          <w:lang w:val="en-GB"/>
        </w:rPr>
        <w:t>for Financial Support for the Victims of Intentional Acts of Violence</w:t>
      </w:r>
      <w:r w:rsidR="005B58FB" w:rsidRPr="00BA6590">
        <w:rPr>
          <w:lang w:val="en-GB"/>
        </w:rPr>
        <w:t>. No precise data are available in this regard in respect of human trafficking, because the information is often entered under other criminal offences such as physical or sexual abuse. Nonetheless, 10 decisions have been found in 2005</w:t>
      </w:r>
      <w:r w:rsidR="00D94C5A" w:rsidRPr="00BA6590">
        <w:rPr>
          <w:szCs w:val="24"/>
          <w:lang w:val="en-GB"/>
        </w:rPr>
        <w:t>–</w:t>
      </w:r>
      <w:r w:rsidR="00E37731" w:rsidRPr="00BA6590">
        <w:rPr>
          <w:lang w:val="en-GB"/>
        </w:rPr>
        <w:t>2011</w:t>
      </w:r>
      <w:r w:rsidR="005B58FB" w:rsidRPr="00BA6590">
        <w:rPr>
          <w:lang w:val="en-GB"/>
        </w:rPr>
        <w:t xml:space="preserve"> relating to the award of compensation to </w:t>
      </w:r>
      <w:r w:rsidR="00141C3B" w:rsidRPr="00BA6590">
        <w:rPr>
          <w:lang w:val="en-GB"/>
        </w:rPr>
        <w:t xml:space="preserve">trafficked </w:t>
      </w:r>
      <w:r w:rsidR="005B58FB" w:rsidRPr="00BA6590">
        <w:rPr>
          <w:lang w:val="en-GB"/>
        </w:rPr>
        <w:t xml:space="preserve">women. </w:t>
      </w:r>
      <w:r w:rsidR="00141C3B" w:rsidRPr="00BA6590">
        <w:rPr>
          <w:lang w:val="en-GB"/>
        </w:rPr>
        <w:t>Formerly, the law excluded those residing illegally in the country from receiving help from the Commission, although exceptions</w:t>
      </w:r>
      <w:r w:rsidR="005B58FB" w:rsidRPr="00BA6590">
        <w:rPr>
          <w:lang w:val="en-GB"/>
        </w:rPr>
        <w:t xml:space="preserve"> </w:t>
      </w:r>
      <w:r w:rsidR="00141C3B" w:rsidRPr="00BA6590">
        <w:rPr>
          <w:lang w:val="en-GB"/>
        </w:rPr>
        <w:t>were permitted for those who had open-ended residence permits in the framework of an investigation into traf</w:t>
      </w:r>
      <w:r w:rsidR="00E37731" w:rsidRPr="00BA6590">
        <w:rPr>
          <w:lang w:val="en-GB"/>
        </w:rPr>
        <w:t>ficking. Access to the Commission</w:t>
      </w:r>
      <w:r w:rsidR="00141C3B" w:rsidRPr="00BA6590">
        <w:rPr>
          <w:lang w:val="en-GB"/>
        </w:rPr>
        <w:t xml:space="preserve"> has now been extended to all victims </w:t>
      </w:r>
      <w:r w:rsidRPr="00BA6590">
        <w:rPr>
          <w:lang w:val="en-GB"/>
        </w:rPr>
        <w:t>(</w:t>
      </w:r>
      <w:r w:rsidR="00141C3B" w:rsidRPr="00BA6590">
        <w:rPr>
          <w:lang w:val="en-GB"/>
        </w:rPr>
        <w:t>Act of</w:t>
      </w:r>
      <w:r w:rsidRPr="00BA6590">
        <w:rPr>
          <w:lang w:val="en-GB"/>
        </w:rPr>
        <w:t xml:space="preserve"> 30 </w:t>
      </w:r>
      <w:r w:rsidR="003F5E21" w:rsidRPr="00BA6590">
        <w:rPr>
          <w:lang w:val="en-GB"/>
        </w:rPr>
        <w:t>December</w:t>
      </w:r>
      <w:r w:rsidRPr="00BA6590">
        <w:rPr>
          <w:lang w:val="en-GB"/>
        </w:rPr>
        <w:t xml:space="preserve"> 2009</w:t>
      </w:r>
      <w:r w:rsidR="00141C3B" w:rsidRPr="00BA6590">
        <w:rPr>
          <w:lang w:val="en-GB"/>
        </w:rPr>
        <w:t xml:space="preserve"> implementing various provisions in the area of justice</w:t>
      </w:r>
      <w:r w:rsidRPr="00BA6590">
        <w:rPr>
          <w:lang w:val="en-GB"/>
        </w:rPr>
        <w:t xml:space="preserve">, article 10 </w:t>
      </w:r>
      <w:r w:rsidR="00141C3B" w:rsidRPr="00BA6590">
        <w:rPr>
          <w:lang w:val="en-GB"/>
        </w:rPr>
        <w:t>(</w:t>
      </w:r>
      <w:r w:rsidRPr="00BA6590">
        <w:rPr>
          <w:lang w:val="en-GB"/>
        </w:rPr>
        <w:t>a)</w:t>
      </w:r>
      <w:r w:rsidR="00141C3B" w:rsidRPr="00BA6590">
        <w:rPr>
          <w:lang w:val="en-GB"/>
        </w:rPr>
        <w:t>)</w:t>
      </w:r>
      <w:r w:rsidRPr="00BA6590">
        <w:rPr>
          <w:lang w:val="en-GB"/>
        </w:rPr>
        <w:t>.</w:t>
      </w:r>
    </w:p>
    <w:p w:rsidR="00E50B98" w:rsidRPr="00BA6590" w:rsidRDefault="00E979F6" w:rsidP="00E979F6">
      <w:pPr>
        <w:pStyle w:val="H4G"/>
        <w:rPr>
          <w:lang w:val="en-GB"/>
        </w:rPr>
      </w:pPr>
      <w:r w:rsidRPr="00BA6590">
        <w:rPr>
          <w:lang w:val="en-GB"/>
        </w:rPr>
        <w:tab/>
      </w:r>
      <w:r w:rsidR="00E50B98" w:rsidRPr="00BA6590">
        <w:rPr>
          <w:lang w:val="en-GB"/>
        </w:rPr>
        <w:tab/>
      </w:r>
      <w:r w:rsidR="004F5243" w:rsidRPr="00BA6590">
        <w:rPr>
          <w:lang w:val="en-GB"/>
        </w:rPr>
        <w:t>Prosecutions and convictions</w:t>
      </w:r>
    </w:p>
    <w:p w:rsidR="00E50B98" w:rsidRPr="00BA6590" w:rsidRDefault="00E50B98" w:rsidP="00E50B98">
      <w:pPr>
        <w:pStyle w:val="SingleTxtG"/>
        <w:rPr>
          <w:lang w:val="en-GB"/>
        </w:rPr>
      </w:pPr>
      <w:r w:rsidRPr="00BA6590">
        <w:rPr>
          <w:lang w:val="en-GB"/>
        </w:rPr>
        <w:t>186.</w:t>
      </w:r>
      <w:r w:rsidRPr="00BA6590">
        <w:rPr>
          <w:lang w:val="en-GB"/>
        </w:rPr>
        <w:tab/>
      </w:r>
      <w:r w:rsidR="004F5243" w:rsidRPr="00BA6590">
        <w:rPr>
          <w:lang w:val="en-GB"/>
        </w:rPr>
        <w:t>Data from the Colle</w:t>
      </w:r>
      <w:r w:rsidRPr="00BA6590">
        <w:rPr>
          <w:lang w:val="en-GB"/>
        </w:rPr>
        <w:t>ge</w:t>
      </w:r>
      <w:r w:rsidR="004F5243" w:rsidRPr="00BA6590">
        <w:rPr>
          <w:lang w:val="en-GB"/>
        </w:rPr>
        <w:t xml:space="preserve"> of Public Prosecutors show that in 2010, </w:t>
      </w:r>
      <w:r w:rsidRPr="00BA6590">
        <w:rPr>
          <w:lang w:val="en-GB"/>
        </w:rPr>
        <w:t>662</w:t>
      </w:r>
      <w:r w:rsidR="004F5243" w:rsidRPr="00BA6590">
        <w:rPr>
          <w:lang w:val="en-GB"/>
        </w:rPr>
        <w:t xml:space="preserve"> </w:t>
      </w:r>
      <w:r w:rsidR="00E37731" w:rsidRPr="00BA6590">
        <w:rPr>
          <w:lang w:val="en-GB"/>
        </w:rPr>
        <w:t>trafficking</w:t>
      </w:r>
      <w:r w:rsidR="00D94C5A" w:rsidRPr="00BA6590">
        <w:rPr>
          <w:lang w:val="en-GB"/>
        </w:rPr>
        <w:noBreakHyphen/>
      </w:r>
      <w:r w:rsidR="00E37731" w:rsidRPr="00BA6590">
        <w:rPr>
          <w:lang w:val="en-GB"/>
        </w:rPr>
        <w:t xml:space="preserve">related </w:t>
      </w:r>
      <w:r w:rsidR="004F5243" w:rsidRPr="00BA6590">
        <w:rPr>
          <w:lang w:val="en-GB"/>
        </w:rPr>
        <w:t xml:space="preserve">cases, of which </w:t>
      </w:r>
      <w:r w:rsidRPr="00BA6590">
        <w:rPr>
          <w:lang w:val="en-GB"/>
        </w:rPr>
        <w:t>337</w:t>
      </w:r>
      <w:r w:rsidR="004F5243" w:rsidRPr="00BA6590">
        <w:rPr>
          <w:lang w:val="en-GB"/>
        </w:rPr>
        <w:t xml:space="preserve"> related to smuggling and </w:t>
      </w:r>
      <w:r w:rsidRPr="00BA6590">
        <w:rPr>
          <w:lang w:val="en-GB"/>
        </w:rPr>
        <w:t>325</w:t>
      </w:r>
      <w:r w:rsidR="004F5243" w:rsidRPr="00BA6590">
        <w:rPr>
          <w:lang w:val="en-GB"/>
        </w:rPr>
        <w:t xml:space="preserve"> to </w:t>
      </w:r>
      <w:r w:rsidR="00E37731" w:rsidRPr="00BA6590">
        <w:rPr>
          <w:lang w:val="en-GB"/>
        </w:rPr>
        <w:t>trafficking</w:t>
      </w:r>
      <w:r w:rsidR="004F5243" w:rsidRPr="00BA6590">
        <w:rPr>
          <w:lang w:val="en-GB"/>
        </w:rPr>
        <w:t xml:space="preserve">, were referred to the prosecutors. In </w:t>
      </w:r>
      <w:r w:rsidRPr="00BA6590">
        <w:rPr>
          <w:lang w:val="en-GB"/>
        </w:rPr>
        <w:t>2011</w:t>
      </w:r>
      <w:r w:rsidR="004F5243" w:rsidRPr="00BA6590">
        <w:rPr>
          <w:lang w:val="en-GB"/>
        </w:rPr>
        <w:t xml:space="preserve"> the number rose to </w:t>
      </w:r>
      <w:r w:rsidRPr="00BA6590">
        <w:rPr>
          <w:lang w:val="en-GB"/>
        </w:rPr>
        <w:t>873</w:t>
      </w:r>
      <w:r w:rsidR="004F5243" w:rsidRPr="00BA6590">
        <w:rPr>
          <w:lang w:val="en-GB"/>
        </w:rPr>
        <w:t xml:space="preserve">, with </w:t>
      </w:r>
      <w:r w:rsidRPr="00BA6590">
        <w:rPr>
          <w:lang w:val="en-GB"/>
        </w:rPr>
        <w:t>358</w:t>
      </w:r>
      <w:r w:rsidR="004F5243" w:rsidRPr="00BA6590">
        <w:rPr>
          <w:lang w:val="en-GB"/>
        </w:rPr>
        <w:t xml:space="preserve"> smuggling cases and </w:t>
      </w:r>
      <w:r w:rsidRPr="00BA6590">
        <w:rPr>
          <w:lang w:val="en-GB"/>
        </w:rPr>
        <w:t>515</w:t>
      </w:r>
      <w:r w:rsidR="004F5243" w:rsidRPr="00BA6590">
        <w:rPr>
          <w:lang w:val="en-GB"/>
        </w:rPr>
        <w:t xml:space="preserve"> trafficking cases</w:t>
      </w:r>
      <w:r w:rsidRPr="00BA6590">
        <w:rPr>
          <w:lang w:val="en-GB"/>
        </w:rPr>
        <w:t xml:space="preserve"> (</w:t>
      </w:r>
      <w:r w:rsidR="004F5243" w:rsidRPr="00BA6590">
        <w:rPr>
          <w:lang w:val="en-GB"/>
        </w:rPr>
        <w:t xml:space="preserve">see </w:t>
      </w:r>
      <w:r w:rsidRPr="00BA6590">
        <w:rPr>
          <w:lang w:val="en-GB"/>
        </w:rPr>
        <w:t>annex X).</w:t>
      </w:r>
      <w:r w:rsidR="004F5243" w:rsidRPr="00BA6590">
        <w:rPr>
          <w:lang w:val="en-GB"/>
        </w:rPr>
        <w:t xml:space="preserve"> These were, however, </w:t>
      </w:r>
      <w:r w:rsidR="00884109" w:rsidRPr="00BA6590">
        <w:rPr>
          <w:lang w:val="en-GB"/>
        </w:rPr>
        <w:t>preliminary</w:t>
      </w:r>
      <w:r w:rsidR="004F5243" w:rsidRPr="00BA6590">
        <w:rPr>
          <w:lang w:val="en-GB"/>
        </w:rPr>
        <w:t xml:space="preserve"> descriptions; subsequent investigation may reveal that the facts do not support charges of smuggling or trafficking. </w:t>
      </w:r>
    </w:p>
    <w:p w:rsidR="00E50B98" w:rsidRPr="00BA6590" w:rsidRDefault="00E50B98" w:rsidP="00BC32BE">
      <w:pPr>
        <w:pStyle w:val="SingleTxtG"/>
        <w:rPr>
          <w:lang w:val="en-GB"/>
        </w:rPr>
      </w:pPr>
      <w:r w:rsidRPr="00BA6590">
        <w:rPr>
          <w:lang w:val="en-GB"/>
        </w:rPr>
        <w:t>187.</w:t>
      </w:r>
      <w:r w:rsidR="004E090E" w:rsidRPr="00BA6590">
        <w:rPr>
          <w:lang w:val="en-GB"/>
        </w:rPr>
        <w:tab/>
      </w:r>
      <w:r w:rsidR="0032578F" w:rsidRPr="00BA6590">
        <w:rPr>
          <w:lang w:val="en-GB"/>
        </w:rPr>
        <w:t xml:space="preserve">Data from the </w:t>
      </w:r>
      <w:r w:rsidRPr="00BA6590">
        <w:rPr>
          <w:lang w:val="en-GB"/>
        </w:rPr>
        <w:t>central</w:t>
      </w:r>
      <w:r w:rsidR="0032578F" w:rsidRPr="00BA6590">
        <w:rPr>
          <w:lang w:val="en-GB"/>
        </w:rPr>
        <w:t xml:space="preserve"> criminal records show that in 2010 there were 64 convictions for trafficking offences. The main penalties imposed were </w:t>
      </w:r>
      <w:r w:rsidRPr="00BA6590">
        <w:rPr>
          <w:lang w:val="en-GB"/>
        </w:rPr>
        <w:t>60 prison</w:t>
      </w:r>
      <w:r w:rsidR="0032578F" w:rsidRPr="00BA6590">
        <w:rPr>
          <w:lang w:val="en-GB"/>
        </w:rPr>
        <w:t xml:space="preserve"> sentences</w:t>
      </w:r>
      <w:r w:rsidRPr="00BA6590">
        <w:rPr>
          <w:lang w:val="en-GB"/>
        </w:rPr>
        <w:t xml:space="preserve"> (</w:t>
      </w:r>
      <w:r w:rsidR="0032578F" w:rsidRPr="00BA6590">
        <w:rPr>
          <w:lang w:val="en-GB"/>
        </w:rPr>
        <w:t>nine of under</w:t>
      </w:r>
      <w:r w:rsidRPr="00BA6590">
        <w:rPr>
          <w:lang w:val="en-GB"/>
        </w:rPr>
        <w:t xml:space="preserve"> </w:t>
      </w:r>
      <w:r w:rsidR="0032578F" w:rsidRPr="00BA6590">
        <w:rPr>
          <w:lang w:val="en-GB"/>
        </w:rPr>
        <w:t>one year</w:t>
      </w:r>
      <w:r w:rsidRPr="00BA6590">
        <w:rPr>
          <w:lang w:val="en-GB"/>
        </w:rPr>
        <w:t>, 30</w:t>
      </w:r>
      <w:r w:rsidR="0032578F" w:rsidRPr="00BA6590">
        <w:rPr>
          <w:lang w:val="en-GB"/>
        </w:rPr>
        <w:t xml:space="preserve"> of one to three years, </w:t>
      </w:r>
      <w:r w:rsidRPr="00BA6590">
        <w:rPr>
          <w:lang w:val="en-GB"/>
        </w:rPr>
        <w:t>18</w:t>
      </w:r>
      <w:r w:rsidR="0032578F" w:rsidRPr="00BA6590">
        <w:rPr>
          <w:lang w:val="en-GB"/>
        </w:rPr>
        <w:t xml:space="preserve"> of three or four years and three of five years or more</w:t>
      </w:r>
      <w:r w:rsidRPr="00BA6590">
        <w:rPr>
          <w:lang w:val="en-GB"/>
        </w:rPr>
        <w:t xml:space="preserve">) </w:t>
      </w:r>
      <w:r w:rsidR="0032578F" w:rsidRPr="00BA6590">
        <w:rPr>
          <w:lang w:val="en-GB"/>
        </w:rPr>
        <w:t>and</w:t>
      </w:r>
      <w:r w:rsidRPr="00BA6590">
        <w:rPr>
          <w:lang w:val="en-GB"/>
        </w:rPr>
        <w:t xml:space="preserve"> 61 </w:t>
      </w:r>
      <w:r w:rsidR="0032578F" w:rsidRPr="00BA6590">
        <w:rPr>
          <w:lang w:val="en-GB"/>
        </w:rPr>
        <w:t>fines</w:t>
      </w:r>
      <w:r w:rsidRPr="00BA6590">
        <w:rPr>
          <w:lang w:val="en-GB"/>
        </w:rPr>
        <w:t xml:space="preserve">. </w:t>
      </w:r>
      <w:r w:rsidR="0032578F" w:rsidRPr="00BA6590">
        <w:rPr>
          <w:lang w:val="en-GB"/>
        </w:rPr>
        <w:t>Property was confiscated in 37.5</w:t>
      </w:r>
      <w:r w:rsidR="00A86EE6" w:rsidRPr="00BA6590">
        <w:rPr>
          <w:lang w:val="en-GB"/>
        </w:rPr>
        <w:t xml:space="preserve"> per cent</w:t>
      </w:r>
      <w:r w:rsidR="0032578F" w:rsidRPr="00BA6590">
        <w:rPr>
          <w:lang w:val="en-GB"/>
        </w:rPr>
        <w:t xml:space="preserve"> of cases. These data are incomplete because the recording of information relating to </w:t>
      </w:r>
      <w:r w:rsidRPr="00BA6590">
        <w:rPr>
          <w:lang w:val="en-GB"/>
        </w:rPr>
        <w:t>2010</w:t>
      </w:r>
      <w:r w:rsidR="0032578F" w:rsidRPr="00BA6590">
        <w:rPr>
          <w:lang w:val="en-GB"/>
        </w:rPr>
        <w:t xml:space="preserve"> has not yet been finished. </w:t>
      </w:r>
      <w:r w:rsidR="00420FF7" w:rsidRPr="00BA6590">
        <w:rPr>
          <w:lang w:val="en-GB"/>
        </w:rPr>
        <w:t>T</w:t>
      </w:r>
      <w:r w:rsidR="0032578F" w:rsidRPr="00BA6590">
        <w:rPr>
          <w:lang w:val="en-GB"/>
        </w:rPr>
        <w:t xml:space="preserve">he numbers of convictions may </w:t>
      </w:r>
      <w:r w:rsidR="00420FF7" w:rsidRPr="00BA6590">
        <w:rPr>
          <w:lang w:val="en-GB"/>
        </w:rPr>
        <w:t xml:space="preserve">therefore </w:t>
      </w:r>
      <w:r w:rsidR="00E37731" w:rsidRPr="00BA6590">
        <w:rPr>
          <w:lang w:val="en-GB"/>
        </w:rPr>
        <w:t>have been</w:t>
      </w:r>
      <w:r w:rsidR="0032578F" w:rsidRPr="00BA6590">
        <w:rPr>
          <w:lang w:val="en-GB"/>
        </w:rPr>
        <w:t xml:space="preserve"> underestimated by some 15</w:t>
      </w:r>
      <w:r w:rsidR="00A86EE6" w:rsidRPr="00BA6590">
        <w:rPr>
          <w:lang w:val="en-GB"/>
        </w:rPr>
        <w:t xml:space="preserve"> per cent</w:t>
      </w:r>
      <w:r w:rsidRPr="00BA6590">
        <w:rPr>
          <w:lang w:val="en-GB"/>
        </w:rPr>
        <w:t xml:space="preserve"> (</w:t>
      </w:r>
      <w:r w:rsidR="0032578F" w:rsidRPr="00BA6590">
        <w:rPr>
          <w:lang w:val="en-GB"/>
        </w:rPr>
        <w:t xml:space="preserve">for further information, see annex </w:t>
      </w:r>
      <w:r w:rsidR="00834782" w:rsidRPr="00BA6590">
        <w:rPr>
          <w:lang w:val="en-GB"/>
        </w:rPr>
        <w:t>XI)</w:t>
      </w:r>
      <w:r w:rsidRPr="00BA6590">
        <w:rPr>
          <w:lang w:val="en-GB"/>
        </w:rPr>
        <w:t>.</w:t>
      </w:r>
      <w:r w:rsidR="0032578F" w:rsidRPr="00BA6590">
        <w:rPr>
          <w:lang w:val="en-GB"/>
        </w:rPr>
        <w:t xml:space="preserve"> Data for </w:t>
      </w:r>
      <w:r w:rsidRPr="00BA6590">
        <w:rPr>
          <w:lang w:val="en-GB"/>
        </w:rPr>
        <w:t xml:space="preserve">2011 </w:t>
      </w:r>
      <w:r w:rsidR="0032578F" w:rsidRPr="00BA6590">
        <w:rPr>
          <w:lang w:val="en-GB"/>
        </w:rPr>
        <w:t xml:space="preserve">are not yet available. </w:t>
      </w:r>
    </w:p>
    <w:p w:rsidR="00E50B98" w:rsidRPr="00BA6590" w:rsidRDefault="00E50B98" w:rsidP="00C76B03">
      <w:pPr>
        <w:pStyle w:val="SingleTxtG"/>
        <w:rPr>
          <w:lang w:val="en-GB"/>
        </w:rPr>
      </w:pPr>
      <w:r w:rsidRPr="00BA6590">
        <w:rPr>
          <w:lang w:val="en-GB"/>
        </w:rPr>
        <w:t>188.</w:t>
      </w:r>
      <w:r w:rsidRPr="00BA6590">
        <w:rPr>
          <w:lang w:val="en-GB"/>
        </w:rPr>
        <w:tab/>
      </w:r>
      <w:r w:rsidR="0032578F" w:rsidRPr="00BA6590">
        <w:rPr>
          <w:lang w:val="en-GB"/>
        </w:rPr>
        <w:t xml:space="preserve">Information relating to earlier years can be found in the annual trafficking report for 2010 of the </w:t>
      </w:r>
      <w:r w:rsidR="004B472D" w:rsidRPr="00BA6590">
        <w:rPr>
          <w:lang w:val="en-GB"/>
        </w:rPr>
        <w:t>Centre for Equal Opportunities and Action</w:t>
      </w:r>
      <w:r w:rsidR="006E73EA" w:rsidRPr="00BA6590">
        <w:rPr>
          <w:lang w:val="en-GB"/>
        </w:rPr>
        <w:t xml:space="preserve"> to Combat Racism</w:t>
      </w:r>
      <w:r w:rsidRPr="00BA6590">
        <w:rPr>
          <w:lang w:val="en-GB"/>
        </w:rPr>
        <w:t xml:space="preserve"> (</w:t>
      </w:r>
      <w:r w:rsidR="0032578F" w:rsidRPr="00BA6590">
        <w:rPr>
          <w:lang w:val="en-GB"/>
        </w:rPr>
        <w:t>annex</w:t>
      </w:r>
      <w:r w:rsidRPr="00BA6590">
        <w:rPr>
          <w:lang w:val="en-GB"/>
        </w:rPr>
        <w:t xml:space="preserve"> IX</w:t>
      </w:r>
      <w:r w:rsidR="0032578F" w:rsidRPr="00BA6590">
        <w:rPr>
          <w:lang w:val="en-GB"/>
        </w:rPr>
        <w:t>, pp.</w:t>
      </w:r>
      <w:r w:rsidR="00D94C5A" w:rsidRPr="00BA6590">
        <w:rPr>
          <w:lang w:val="en-GB"/>
        </w:rPr>
        <w:t> </w:t>
      </w:r>
      <w:r w:rsidR="0032578F" w:rsidRPr="00BA6590">
        <w:rPr>
          <w:lang w:val="en-GB"/>
        </w:rPr>
        <w:t>62</w:t>
      </w:r>
      <w:r w:rsidR="00D94C5A" w:rsidRPr="00BA6590">
        <w:rPr>
          <w:szCs w:val="24"/>
          <w:lang w:val="en-GB"/>
        </w:rPr>
        <w:t>–</w:t>
      </w:r>
      <w:r w:rsidR="0032578F" w:rsidRPr="00BA6590">
        <w:rPr>
          <w:lang w:val="en-GB"/>
        </w:rPr>
        <w:t>72</w:t>
      </w:r>
      <w:r w:rsidRPr="00BA6590">
        <w:rPr>
          <w:lang w:val="en-GB"/>
        </w:rPr>
        <w:t>).</w:t>
      </w:r>
      <w:r w:rsidR="0032578F" w:rsidRPr="00BA6590">
        <w:rPr>
          <w:lang w:val="en-GB"/>
        </w:rPr>
        <w:t xml:space="preserve"> Those data, however, were encoded in accordance with the previously existing regulations</w:t>
      </w:r>
      <w:r w:rsidR="00834782" w:rsidRPr="00BA6590">
        <w:rPr>
          <w:lang w:val="en-GB"/>
        </w:rPr>
        <w:t xml:space="preserve"> (article 380 </w:t>
      </w:r>
      <w:r w:rsidR="0032578F" w:rsidRPr="00BA6590">
        <w:rPr>
          <w:lang w:val="en-GB"/>
        </w:rPr>
        <w:t>of the</w:t>
      </w:r>
      <w:r w:rsidR="00834782" w:rsidRPr="00BA6590">
        <w:rPr>
          <w:lang w:val="en-GB"/>
        </w:rPr>
        <w:t xml:space="preserve"> </w:t>
      </w:r>
      <w:r w:rsidR="0032578F" w:rsidRPr="00BA6590">
        <w:rPr>
          <w:lang w:val="en-GB"/>
        </w:rPr>
        <w:t xml:space="preserve">Penal </w:t>
      </w:r>
      <w:r w:rsidR="00834782" w:rsidRPr="00BA6590">
        <w:rPr>
          <w:lang w:val="en-GB"/>
        </w:rPr>
        <w:t xml:space="preserve">Code </w:t>
      </w:r>
      <w:r w:rsidR="0032578F" w:rsidRPr="00BA6590">
        <w:rPr>
          <w:lang w:val="en-GB"/>
        </w:rPr>
        <w:t>and</w:t>
      </w:r>
      <w:r w:rsidR="00834782" w:rsidRPr="00BA6590">
        <w:rPr>
          <w:lang w:val="en-GB"/>
        </w:rPr>
        <w:t xml:space="preserve"> article 77 </w:t>
      </w:r>
      <w:r w:rsidR="00834782" w:rsidRPr="00BA6590">
        <w:rPr>
          <w:i/>
          <w:iCs/>
          <w:lang w:val="en-GB"/>
        </w:rPr>
        <w:t>bis</w:t>
      </w:r>
      <w:r w:rsidR="0032578F" w:rsidRPr="00BA6590">
        <w:rPr>
          <w:lang w:val="en-GB"/>
        </w:rPr>
        <w:t xml:space="preserve"> of the</w:t>
      </w:r>
      <w:r w:rsidR="00834782" w:rsidRPr="00BA6590">
        <w:rPr>
          <w:lang w:val="en-GB"/>
        </w:rPr>
        <w:t xml:space="preserve"> </w:t>
      </w:r>
      <w:r w:rsidR="00EE6F22" w:rsidRPr="00BA6590">
        <w:rPr>
          <w:lang w:val="en-GB"/>
        </w:rPr>
        <w:t>Act</w:t>
      </w:r>
      <w:r w:rsidR="00236121" w:rsidRPr="00BA6590">
        <w:rPr>
          <w:lang w:val="en-GB"/>
        </w:rPr>
        <w:t xml:space="preserve"> of 15 December 1980</w:t>
      </w:r>
      <w:r w:rsidR="0032578F" w:rsidRPr="00BA6590">
        <w:rPr>
          <w:lang w:val="en-GB"/>
        </w:rPr>
        <w:t>, relating to the smuggling and trafficking of humans</w:t>
      </w:r>
      <w:r w:rsidR="00834782" w:rsidRPr="00BA6590">
        <w:rPr>
          <w:lang w:val="en-GB"/>
        </w:rPr>
        <w:t>)</w:t>
      </w:r>
      <w:r w:rsidR="00A53D89" w:rsidRPr="00BA6590">
        <w:rPr>
          <w:lang w:val="en-GB"/>
        </w:rPr>
        <w:t>, which made no distinction between the offences of smuggling and trafficking. It is therefore difficult to compare those data with more recent figures.</w:t>
      </w:r>
    </w:p>
    <w:p w:rsidR="00E50B98" w:rsidRPr="00BA6590" w:rsidRDefault="00E979F6" w:rsidP="00E979F6">
      <w:pPr>
        <w:pStyle w:val="H4G"/>
        <w:rPr>
          <w:lang w:val="en-GB"/>
        </w:rPr>
      </w:pPr>
      <w:r w:rsidRPr="00BA6590">
        <w:rPr>
          <w:lang w:val="en-GB"/>
        </w:rPr>
        <w:tab/>
      </w:r>
      <w:r w:rsidR="00E50B98" w:rsidRPr="00BA6590">
        <w:rPr>
          <w:lang w:val="en-GB"/>
        </w:rPr>
        <w:tab/>
        <w:t>Transposition</w:t>
      </w:r>
      <w:r w:rsidR="00A53D89" w:rsidRPr="00BA6590">
        <w:rPr>
          <w:lang w:val="en-GB"/>
        </w:rPr>
        <w:t xml:space="preserve"> in progress</w:t>
      </w:r>
    </w:p>
    <w:p w:rsidR="00E50B98" w:rsidRPr="00BA6590" w:rsidRDefault="00E50B98" w:rsidP="003B61F7">
      <w:pPr>
        <w:pStyle w:val="SingleTxtG"/>
        <w:rPr>
          <w:lang w:val="en-GB"/>
        </w:rPr>
      </w:pPr>
      <w:r w:rsidRPr="00BA6590">
        <w:rPr>
          <w:lang w:val="en-GB"/>
        </w:rPr>
        <w:t>189.</w:t>
      </w:r>
      <w:r w:rsidRPr="00BA6590">
        <w:rPr>
          <w:lang w:val="en-GB"/>
        </w:rPr>
        <w:tab/>
      </w:r>
      <w:r w:rsidR="00A53D89" w:rsidRPr="00BA6590">
        <w:rPr>
          <w:lang w:val="en-GB"/>
        </w:rPr>
        <w:t xml:space="preserve">The Belgian Government is preparing to </w:t>
      </w:r>
      <w:r w:rsidR="00816F73" w:rsidRPr="00BA6590">
        <w:rPr>
          <w:lang w:val="en-GB"/>
        </w:rPr>
        <w:t>incorporate into national law</w:t>
      </w:r>
      <w:r w:rsidR="00B752EE">
        <w:rPr>
          <w:lang w:val="en-GB"/>
        </w:rPr>
        <w:t xml:space="preserve"> Directive </w:t>
      </w:r>
      <w:r w:rsidR="00A53D89" w:rsidRPr="00BA6590">
        <w:rPr>
          <w:lang w:val="en-GB"/>
        </w:rPr>
        <w:t>2011/36/</w:t>
      </w:r>
      <w:r w:rsidRPr="00BA6590">
        <w:rPr>
          <w:lang w:val="en-GB"/>
        </w:rPr>
        <w:t>E</w:t>
      </w:r>
      <w:r w:rsidR="00A53D89" w:rsidRPr="00BA6590">
        <w:rPr>
          <w:lang w:val="en-GB"/>
        </w:rPr>
        <w:t>U</w:t>
      </w:r>
      <w:r w:rsidRPr="00BA6590">
        <w:rPr>
          <w:lang w:val="en-GB"/>
        </w:rPr>
        <w:t xml:space="preserve"> </w:t>
      </w:r>
      <w:r w:rsidR="00A53D89" w:rsidRPr="00BA6590">
        <w:rPr>
          <w:lang w:val="en-GB"/>
        </w:rPr>
        <w:t>of</w:t>
      </w:r>
      <w:r w:rsidRPr="00BA6590">
        <w:rPr>
          <w:lang w:val="en-GB"/>
        </w:rPr>
        <w:t xml:space="preserve"> 5</w:t>
      </w:r>
      <w:r w:rsidR="00A53D89" w:rsidRPr="00BA6590">
        <w:rPr>
          <w:lang w:val="en-GB"/>
        </w:rPr>
        <w:t xml:space="preserve"> </w:t>
      </w:r>
      <w:r w:rsidR="003F5E21" w:rsidRPr="00BA6590">
        <w:rPr>
          <w:lang w:val="en-GB"/>
        </w:rPr>
        <w:t>April</w:t>
      </w:r>
      <w:r w:rsidRPr="00BA6590">
        <w:rPr>
          <w:lang w:val="en-GB"/>
        </w:rPr>
        <w:t xml:space="preserve"> 2011</w:t>
      </w:r>
      <w:r w:rsidR="00A53D89" w:rsidRPr="00BA6590">
        <w:rPr>
          <w:lang w:val="en-GB"/>
        </w:rPr>
        <w:t xml:space="preserve"> on preventing and combating trafficking in human beings and protecting its victims</w:t>
      </w:r>
      <w:r w:rsidRPr="00BA6590">
        <w:rPr>
          <w:lang w:val="en-GB"/>
        </w:rPr>
        <w:t>.</w:t>
      </w:r>
      <w:r w:rsidR="00A53D89" w:rsidRPr="00BA6590">
        <w:rPr>
          <w:lang w:val="en-GB"/>
        </w:rPr>
        <w:t xml:space="preserve"> Current legislation is mostly in conformity with this Directive.</w:t>
      </w:r>
    </w:p>
    <w:p w:rsidR="00E50B98" w:rsidRPr="00BA6590" w:rsidRDefault="00E979F6" w:rsidP="00E979F6">
      <w:pPr>
        <w:pStyle w:val="H1G"/>
        <w:rPr>
          <w:lang w:val="en-GB"/>
        </w:rPr>
      </w:pPr>
      <w:r w:rsidRPr="00BA6590">
        <w:rPr>
          <w:lang w:val="en-GB"/>
        </w:rPr>
        <w:tab/>
      </w:r>
      <w:r w:rsidR="00E50B98" w:rsidRPr="00BA6590">
        <w:rPr>
          <w:lang w:val="en-GB"/>
        </w:rPr>
        <w:t>B.</w:t>
      </w:r>
      <w:r w:rsidR="00E50B98" w:rsidRPr="00BA6590">
        <w:rPr>
          <w:lang w:val="en-GB"/>
        </w:rPr>
        <w:tab/>
      </w:r>
      <w:r w:rsidR="00F55CF4" w:rsidRPr="00BA6590">
        <w:rPr>
          <w:lang w:val="en-GB"/>
        </w:rPr>
        <w:t>Legislative provisions on acquisition of Belgian nationality</w:t>
      </w:r>
    </w:p>
    <w:p w:rsidR="00E50B98" w:rsidRPr="00BA6590" w:rsidRDefault="00E50B98" w:rsidP="00E50B98">
      <w:pPr>
        <w:pStyle w:val="SingleTxtG"/>
        <w:rPr>
          <w:lang w:val="en-GB"/>
        </w:rPr>
      </w:pPr>
      <w:r w:rsidRPr="00BA6590">
        <w:rPr>
          <w:lang w:val="en-GB"/>
        </w:rPr>
        <w:t>190.</w:t>
      </w:r>
      <w:r w:rsidRPr="00BA6590">
        <w:rPr>
          <w:lang w:val="en-GB"/>
        </w:rPr>
        <w:tab/>
      </w:r>
      <w:r w:rsidR="00E37731" w:rsidRPr="00BA6590">
        <w:rPr>
          <w:lang w:val="en-GB"/>
        </w:rPr>
        <w:t xml:space="preserve">The process of acquiring </w:t>
      </w:r>
      <w:r w:rsidR="00B10A64" w:rsidRPr="00BA6590">
        <w:rPr>
          <w:lang w:val="en-GB"/>
        </w:rPr>
        <w:t xml:space="preserve">Belgian nationality has been modified a number of times in the past </w:t>
      </w:r>
      <w:r w:rsidRPr="00BA6590">
        <w:rPr>
          <w:lang w:val="en-GB"/>
        </w:rPr>
        <w:t xml:space="preserve">25 </w:t>
      </w:r>
      <w:r w:rsidR="00B10A64" w:rsidRPr="00BA6590">
        <w:rPr>
          <w:lang w:val="en-GB"/>
        </w:rPr>
        <w:t>years</w:t>
      </w:r>
      <w:r w:rsidRPr="00BA6590">
        <w:rPr>
          <w:lang w:val="en-GB"/>
        </w:rPr>
        <w:t>.</w:t>
      </w:r>
      <w:r w:rsidR="00B10A64" w:rsidRPr="00BA6590">
        <w:rPr>
          <w:lang w:val="en-GB"/>
        </w:rPr>
        <w:t xml:space="preserve"> Currently, the most recent modification in that respect dates back to the Act of </w:t>
      </w:r>
      <w:r w:rsidRPr="00BA6590">
        <w:rPr>
          <w:lang w:val="en-GB"/>
        </w:rPr>
        <w:t xml:space="preserve">27 </w:t>
      </w:r>
      <w:r w:rsidR="003F5E21" w:rsidRPr="00BA6590">
        <w:rPr>
          <w:lang w:val="en-GB"/>
        </w:rPr>
        <w:t>December</w:t>
      </w:r>
      <w:r w:rsidRPr="00BA6590">
        <w:rPr>
          <w:lang w:val="en-GB"/>
        </w:rPr>
        <w:t xml:space="preserve"> 2006.</w:t>
      </w:r>
      <w:r w:rsidR="00B10A64" w:rsidRPr="00BA6590">
        <w:rPr>
          <w:lang w:val="en-GB"/>
        </w:rPr>
        <w:t xml:space="preserve"> </w:t>
      </w:r>
      <w:r w:rsidR="004A3553" w:rsidRPr="00BA6590">
        <w:rPr>
          <w:lang w:val="en-GB"/>
        </w:rPr>
        <w:t xml:space="preserve">A significant piece of draft legislation to make acquiring nationality more neutral from the immigration viewpoint was approved in </w:t>
      </w:r>
      <w:r w:rsidR="003F5E21" w:rsidRPr="00BA6590">
        <w:rPr>
          <w:lang w:val="en-GB"/>
        </w:rPr>
        <w:t>July</w:t>
      </w:r>
      <w:r w:rsidRPr="00BA6590">
        <w:rPr>
          <w:lang w:val="en-GB"/>
        </w:rPr>
        <w:t xml:space="preserve"> 2012</w:t>
      </w:r>
      <w:r w:rsidR="004A3553" w:rsidRPr="00BA6590">
        <w:rPr>
          <w:lang w:val="en-GB"/>
        </w:rPr>
        <w:t xml:space="preserve"> by the Justice Committee of the House of Representatives; it was due to be adopted in a plenary session in </w:t>
      </w:r>
      <w:r w:rsidR="003F5E21" w:rsidRPr="00BA6590">
        <w:rPr>
          <w:lang w:val="en-GB"/>
        </w:rPr>
        <w:t>October</w:t>
      </w:r>
      <w:r w:rsidRPr="00BA6590">
        <w:rPr>
          <w:lang w:val="en-GB"/>
        </w:rPr>
        <w:t xml:space="preserve"> 2012</w:t>
      </w:r>
      <w:r w:rsidR="004A3553" w:rsidRPr="00BA6590">
        <w:rPr>
          <w:lang w:val="en-GB"/>
        </w:rPr>
        <w:t xml:space="preserve"> and discussed by the Senate</w:t>
      </w:r>
      <w:r w:rsidRPr="00BA6590">
        <w:rPr>
          <w:lang w:val="en-GB"/>
        </w:rPr>
        <w:t>.</w:t>
      </w:r>
    </w:p>
    <w:p w:rsidR="00E50B98" w:rsidRPr="00BA6590" w:rsidRDefault="00E979F6" w:rsidP="00E979F6">
      <w:pPr>
        <w:pStyle w:val="H4G"/>
        <w:rPr>
          <w:lang w:val="en-GB"/>
        </w:rPr>
      </w:pPr>
      <w:r w:rsidRPr="00BA6590">
        <w:rPr>
          <w:lang w:val="en-GB"/>
        </w:rPr>
        <w:tab/>
      </w:r>
      <w:r w:rsidRPr="00BA6590">
        <w:rPr>
          <w:lang w:val="en-GB"/>
        </w:rPr>
        <w:tab/>
      </w:r>
      <w:r w:rsidR="001779EE" w:rsidRPr="00BA6590">
        <w:rPr>
          <w:lang w:val="en-GB"/>
        </w:rPr>
        <w:t>Act of</w:t>
      </w:r>
      <w:r w:rsidR="00E50B98" w:rsidRPr="00BA6590">
        <w:rPr>
          <w:lang w:val="en-GB"/>
        </w:rPr>
        <w:t xml:space="preserve"> 27 </w:t>
      </w:r>
      <w:r w:rsidR="003F5E21" w:rsidRPr="00BA6590">
        <w:rPr>
          <w:lang w:val="en-GB"/>
        </w:rPr>
        <w:t>December</w:t>
      </w:r>
      <w:r w:rsidR="00E50B98" w:rsidRPr="00BA6590">
        <w:rPr>
          <w:lang w:val="en-GB"/>
        </w:rPr>
        <w:t xml:space="preserve"> 2006</w:t>
      </w:r>
      <w:r w:rsidR="006312CB" w:rsidRPr="00BA6590">
        <w:rPr>
          <w:lang w:val="en-GB"/>
        </w:rPr>
        <w:t xml:space="preserve"> introducing various provisions and modifying the Belgian Nati</w:t>
      </w:r>
      <w:r w:rsidR="008A125F" w:rsidRPr="00BA6590">
        <w:rPr>
          <w:lang w:val="en-GB"/>
        </w:rPr>
        <w:t>onality Code, naturalization and</w:t>
      </w:r>
      <w:r w:rsidR="006312CB" w:rsidRPr="00BA6590">
        <w:rPr>
          <w:lang w:val="en-GB"/>
        </w:rPr>
        <w:t xml:space="preserve"> assimilation of residence abroad with residence </w:t>
      </w:r>
      <w:r w:rsidR="007E2670" w:rsidRPr="00BA6590">
        <w:rPr>
          <w:lang w:val="en-GB"/>
        </w:rPr>
        <w:br/>
      </w:r>
      <w:r w:rsidR="006312CB" w:rsidRPr="00BA6590">
        <w:rPr>
          <w:lang w:val="en-GB"/>
        </w:rPr>
        <w:t>in Belgium</w:t>
      </w:r>
      <w:r w:rsidR="00E50B98" w:rsidRPr="00BA6590">
        <w:rPr>
          <w:lang w:val="en-GB"/>
        </w:rPr>
        <w:t xml:space="preserve"> </w:t>
      </w:r>
    </w:p>
    <w:p w:rsidR="00E50B98" w:rsidRPr="00BA6590" w:rsidRDefault="00E50B98" w:rsidP="002409EB">
      <w:pPr>
        <w:pStyle w:val="SingleTxtG"/>
        <w:rPr>
          <w:lang w:val="en-GB"/>
        </w:rPr>
      </w:pPr>
      <w:r w:rsidRPr="00BA6590">
        <w:rPr>
          <w:lang w:val="en-GB"/>
        </w:rPr>
        <w:t>191.</w:t>
      </w:r>
      <w:r w:rsidR="004E090E" w:rsidRPr="00BA6590">
        <w:rPr>
          <w:lang w:val="en-GB"/>
        </w:rPr>
        <w:tab/>
      </w:r>
      <w:r w:rsidR="00285E61" w:rsidRPr="00BA6590">
        <w:rPr>
          <w:lang w:val="en-GB"/>
        </w:rPr>
        <w:t>The main purpose of this</w:t>
      </w:r>
      <w:r w:rsidR="006312CB" w:rsidRPr="00BA6590">
        <w:rPr>
          <w:lang w:val="en-GB"/>
        </w:rPr>
        <w:t xml:space="preserve"> Act is to clarify and rectify certain provisions of the </w:t>
      </w:r>
      <w:r w:rsidR="00285E61" w:rsidRPr="00BA6590">
        <w:rPr>
          <w:lang w:val="en-GB"/>
        </w:rPr>
        <w:t xml:space="preserve">Nationality </w:t>
      </w:r>
      <w:r w:rsidR="006312CB" w:rsidRPr="00BA6590">
        <w:rPr>
          <w:lang w:val="en-GB"/>
        </w:rPr>
        <w:t xml:space="preserve">Act of </w:t>
      </w:r>
      <w:r w:rsidR="002409EB" w:rsidRPr="00BA6590">
        <w:rPr>
          <w:lang w:val="en-GB"/>
        </w:rPr>
        <w:t>1</w:t>
      </w:r>
      <w:r w:rsidR="006312CB" w:rsidRPr="00BA6590">
        <w:rPr>
          <w:lang w:val="en-GB"/>
        </w:rPr>
        <w:t xml:space="preserve"> </w:t>
      </w:r>
      <w:r w:rsidR="003F5E21" w:rsidRPr="00BA6590">
        <w:rPr>
          <w:lang w:val="en-GB"/>
        </w:rPr>
        <w:t>March</w:t>
      </w:r>
      <w:r w:rsidRPr="00BA6590">
        <w:rPr>
          <w:lang w:val="en-GB"/>
        </w:rPr>
        <w:t xml:space="preserve"> 2000</w:t>
      </w:r>
      <w:r w:rsidR="006312CB" w:rsidRPr="00BA6590">
        <w:rPr>
          <w:lang w:val="en-GB"/>
        </w:rPr>
        <w:t>, which sought to promote the integration of foreign nationals in Belgium through the acquisition of Belgian nationality without calling into question the major policies enshrined in that Act. The following innovations were also introduced:</w:t>
      </w:r>
      <w:r w:rsidRPr="00BA6590">
        <w:rPr>
          <w:lang w:val="en-GB"/>
        </w:rPr>
        <w:t xml:space="preserve"> </w:t>
      </w:r>
    </w:p>
    <w:p w:rsidR="00E50B98" w:rsidRPr="00BA6590" w:rsidRDefault="007E2670" w:rsidP="00E979F6">
      <w:pPr>
        <w:pStyle w:val="Bullet1G"/>
        <w:rPr>
          <w:lang w:val="en-GB"/>
        </w:rPr>
      </w:pPr>
      <w:r w:rsidRPr="00BA6590">
        <w:rPr>
          <w:lang w:val="en-GB"/>
        </w:rPr>
        <w:t xml:space="preserve">Legal </w:t>
      </w:r>
      <w:r w:rsidR="006312CB" w:rsidRPr="00BA6590">
        <w:rPr>
          <w:lang w:val="en-GB"/>
        </w:rPr>
        <w:t xml:space="preserve">residence </w:t>
      </w:r>
      <w:r w:rsidR="008A125F" w:rsidRPr="00BA6590">
        <w:rPr>
          <w:lang w:val="en-GB"/>
        </w:rPr>
        <w:t xml:space="preserve">is required </w:t>
      </w:r>
      <w:r w:rsidR="006312CB" w:rsidRPr="00BA6590">
        <w:rPr>
          <w:lang w:val="en-GB"/>
        </w:rPr>
        <w:t>at the time when the application is submitted or the change of nationality is declared;</w:t>
      </w:r>
    </w:p>
    <w:p w:rsidR="00E50B98" w:rsidRPr="00BA6590" w:rsidRDefault="007E2670" w:rsidP="00E979F6">
      <w:pPr>
        <w:pStyle w:val="Bullet1G"/>
        <w:rPr>
          <w:lang w:val="en-GB"/>
        </w:rPr>
      </w:pPr>
      <w:r w:rsidRPr="00BA6590">
        <w:rPr>
          <w:lang w:val="en-GB"/>
        </w:rPr>
        <w:t xml:space="preserve">The </w:t>
      </w:r>
      <w:r w:rsidR="006312CB" w:rsidRPr="00BA6590">
        <w:rPr>
          <w:lang w:val="en-GB"/>
        </w:rPr>
        <w:t>prohibition of dual nationality was abolished; and</w:t>
      </w:r>
    </w:p>
    <w:p w:rsidR="00E50B98" w:rsidRPr="00BA6590" w:rsidRDefault="007E2670" w:rsidP="00E979F6">
      <w:pPr>
        <w:pStyle w:val="Bullet1G"/>
        <w:rPr>
          <w:lang w:val="en-GB"/>
        </w:rPr>
      </w:pPr>
      <w:r w:rsidRPr="00BA6590">
        <w:rPr>
          <w:lang w:val="en-GB"/>
        </w:rPr>
        <w:t xml:space="preserve">Persons </w:t>
      </w:r>
      <w:r w:rsidR="006312CB" w:rsidRPr="00BA6590">
        <w:rPr>
          <w:lang w:val="en-GB"/>
        </w:rPr>
        <w:t>having obtained Belgian nationality through deception can now be stripped of it.</w:t>
      </w:r>
    </w:p>
    <w:p w:rsidR="00E50B98" w:rsidRPr="00BA6590" w:rsidRDefault="00E979F6" w:rsidP="00E979F6">
      <w:pPr>
        <w:pStyle w:val="H4G"/>
        <w:rPr>
          <w:lang w:val="en-GB"/>
        </w:rPr>
      </w:pPr>
      <w:r w:rsidRPr="00BA6590">
        <w:rPr>
          <w:lang w:val="en-GB"/>
        </w:rPr>
        <w:tab/>
      </w:r>
      <w:r w:rsidRPr="00BA6590">
        <w:rPr>
          <w:lang w:val="en-GB"/>
        </w:rPr>
        <w:tab/>
      </w:r>
      <w:r w:rsidR="006312CB" w:rsidRPr="00BA6590">
        <w:rPr>
          <w:lang w:val="en-GB"/>
        </w:rPr>
        <w:t>The proposed legislation</w:t>
      </w:r>
    </w:p>
    <w:p w:rsidR="00E50B98" w:rsidRPr="00BA6590" w:rsidRDefault="00E50B98" w:rsidP="002409EB">
      <w:pPr>
        <w:pStyle w:val="SingleTxtG"/>
        <w:rPr>
          <w:lang w:val="en-GB"/>
        </w:rPr>
      </w:pPr>
      <w:r w:rsidRPr="00BA6590">
        <w:rPr>
          <w:lang w:val="en-GB"/>
        </w:rPr>
        <w:t>192.</w:t>
      </w:r>
      <w:r w:rsidRPr="00BA6590">
        <w:rPr>
          <w:lang w:val="en-GB"/>
        </w:rPr>
        <w:tab/>
      </w:r>
      <w:r w:rsidR="00D52313" w:rsidRPr="00BA6590">
        <w:rPr>
          <w:lang w:val="en-GB"/>
        </w:rPr>
        <w:t>The proposed legislation is designed to streamline the system, retaining two major pathways for acquiring Belgian nationality via a short procedure (after five years of legal residence) or a long procedure (</w:t>
      </w:r>
      <w:r w:rsidR="00E91B8C">
        <w:rPr>
          <w:lang w:val="en-GB"/>
        </w:rPr>
        <w:t xml:space="preserve">ten </w:t>
      </w:r>
      <w:r w:rsidR="00D52313" w:rsidRPr="00BA6590">
        <w:rPr>
          <w:lang w:val="en-GB"/>
        </w:rPr>
        <w:t xml:space="preserve">years). Naturalization is restricted to exceptional cases. </w:t>
      </w:r>
    </w:p>
    <w:p w:rsidR="00E50B98" w:rsidRPr="00BA6590" w:rsidRDefault="00E50B98" w:rsidP="002409EB">
      <w:pPr>
        <w:pStyle w:val="SingleTxtG"/>
        <w:rPr>
          <w:lang w:val="en-GB"/>
        </w:rPr>
      </w:pPr>
      <w:r w:rsidRPr="00BA6590">
        <w:rPr>
          <w:lang w:val="en-GB"/>
        </w:rPr>
        <w:t>193.</w:t>
      </w:r>
      <w:r w:rsidRPr="00BA6590">
        <w:rPr>
          <w:lang w:val="en-GB"/>
        </w:rPr>
        <w:tab/>
      </w:r>
      <w:r w:rsidR="00D52313" w:rsidRPr="00BA6590">
        <w:rPr>
          <w:lang w:val="en-GB"/>
        </w:rPr>
        <w:t xml:space="preserve">Generally, the proposal makes it harder to acquire Belgian nationality. Short procedures for the declaration of nationality are accompanied by social, economic and linguistic integration criteria </w:t>
      </w:r>
      <w:r w:rsidRPr="00BA6590">
        <w:rPr>
          <w:lang w:val="en-GB"/>
        </w:rPr>
        <w:t>(</w:t>
      </w:r>
      <w:r w:rsidR="00D52313" w:rsidRPr="00BA6590">
        <w:rPr>
          <w:lang w:val="en-GB"/>
        </w:rPr>
        <w:t>knowledge of one of the three national languages</w:t>
      </w:r>
      <w:r w:rsidRPr="00BA6590">
        <w:rPr>
          <w:lang w:val="en-GB"/>
        </w:rPr>
        <w:t>),</w:t>
      </w:r>
      <w:r w:rsidR="00D52313" w:rsidRPr="00BA6590">
        <w:rPr>
          <w:lang w:val="en-GB"/>
        </w:rPr>
        <w:t xml:space="preserve"> although one or the other of these criteria may be waived for some categories of foreign nationals.</w:t>
      </w:r>
    </w:p>
    <w:p w:rsidR="00E50B98" w:rsidRPr="00BA6590" w:rsidRDefault="00E50B98" w:rsidP="00E50B98">
      <w:pPr>
        <w:pStyle w:val="SingleTxtG"/>
        <w:rPr>
          <w:lang w:val="en-GB"/>
        </w:rPr>
      </w:pPr>
      <w:r w:rsidRPr="00BA6590">
        <w:rPr>
          <w:lang w:val="en-GB"/>
        </w:rPr>
        <w:t>194.</w:t>
      </w:r>
      <w:r w:rsidRPr="00BA6590">
        <w:rPr>
          <w:lang w:val="en-GB"/>
        </w:rPr>
        <w:tab/>
      </w:r>
      <w:r w:rsidR="00DD1CE5" w:rsidRPr="00BA6590">
        <w:rPr>
          <w:lang w:val="en-GB"/>
        </w:rPr>
        <w:t>Two criteria have been selected for the long procedure: knowledge of one of the three national languages and participation by the foreign national in the life of his or her host community</w:t>
      </w:r>
      <w:r w:rsidRPr="00BA6590">
        <w:rPr>
          <w:lang w:val="en-GB"/>
        </w:rPr>
        <w:t>.</w:t>
      </w:r>
    </w:p>
    <w:p w:rsidR="00E50B98" w:rsidRPr="00BA6590" w:rsidRDefault="00E50B98" w:rsidP="00E50B98">
      <w:pPr>
        <w:pStyle w:val="SingleTxtG"/>
        <w:rPr>
          <w:lang w:val="en-GB"/>
        </w:rPr>
      </w:pPr>
      <w:r w:rsidRPr="00BA6590">
        <w:rPr>
          <w:lang w:val="en-GB"/>
        </w:rPr>
        <w:t>195.</w:t>
      </w:r>
      <w:r w:rsidR="004E090E" w:rsidRPr="00BA6590">
        <w:rPr>
          <w:lang w:val="en-GB"/>
        </w:rPr>
        <w:tab/>
      </w:r>
      <w:r w:rsidR="00DD1CE5" w:rsidRPr="00BA6590">
        <w:rPr>
          <w:lang w:val="en-GB"/>
        </w:rPr>
        <w:t xml:space="preserve">Lastly, the proposal would abolish the possibility, currently available to the candidate for nationality, to make his or her application from outside Belgium. </w:t>
      </w:r>
    </w:p>
    <w:p w:rsidR="00E50B98" w:rsidRPr="00BA6590" w:rsidRDefault="00E979F6" w:rsidP="00E979F6">
      <w:pPr>
        <w:pStyle w:val="H1G"/>
        <w:rPr>
          <w:lang w:val="en-GB"/>
        </w:rPr>
      </w:pPr>
      <w:r w:rsidRPr="00BA6590">
        <w:rPr>
          <w:lang w:val="en-GB"/>
        </w:rPr>
        <w:tab/>
      </w:r>
      <w:r w:rsidR="00E50B98" w:rsidRPr="00BA6590">
        <w:rPr>
          <w:lang w:val="en-GB"/>
        </w:rPr>
        <w:t>C.</w:t>
      </w:r>
      <w:r w:rsidR="00E50B98" w:rsidRPr="00BA6590">
        <w:rPr>
          <w:lang w:val="en-GB"/>
        </w:rPr>
        <w:tab/>
      </w:r>
      <w:r w:rsidR="00F55CF4" w:rsidRPr="00BA6590">
        <w:rPr>
          <w:lang w:val="en-GB"/>
        </w:rPr>
        <w:t>Right to marriage and choice of spouse</w:t>
      </w:r>
    </w:p>
    <w:p w:rsidR="00E50B98" w:rsidRPr="00BA6590" w:rsidRDefault="00E50B98" w:rsidP="00E50B98">
      <w:pPr>
        <w:pStyle w:val="SingleTxtG"/>
        <w:rPr>
          <w:lang w:val="en-GB"/>
        </w:rPr>
      </w:pPr>
      <w:r w:rsidRPr="00BA6590">
        <w:rPr>
          <w:lang w:val="en-GB"/>
        </w:rPr>
        <w:t>196.</w:t>
      </w:r>
      <w:r w:rsidRPr="00BA6590">
        <w:rPr>
          <w:lang w:val="en-GB"/>
        </w:rPr>
        <w:tab/>
      </w:r>
      <w:r w:rsidR="008160A2" w:rsidRPr="00BA6590">
        <w:rPr>
          <w:lang w:val="en-GB"/>
        </w:rPr>
        <w:t>Reference is made</w:t>
      </w:r>
      <w:r w:rsidR="00DD1CE5" w:rsidRPr="00BA6590">
        <w:rPr>
          <w:lang w:val="en-GB"/>
        </w:rPr>
        <w:t xml:space="preserve"> to the information provided in article </w:t>
      </w:r>
      <w:r w:rsidRPr="00BA6590">
        <w:rPr>
          <w:lang w:val="en-GB"/>
        </w:rPr>
        <w:t>23</w:t>
      </w:r>
      <w:r w:rsidR="00DD1CE5" w:rsidRPr="00BA6590">
        <w:rPr>
          <w:lang w:val="en-GB"/>
        </w:rPr>
        <w:t xml:space="preserve"> of the fifth report of Belgium, dated </w:t>
      </w:r>
      <w:r w:rsidRPr="00BA6590">
        <w:rPr>
          <w:lang w:val="en-GB"/>
        </w:rPr>
        <w:t xml:space="preserve">28 </w:t>
      </w:r>
      <w:r w:rsidR="003F5E21" w:rsidRPr="00BA6590">
        <w:rPr>
          <w:lang w:val="en-GB"/>
        </w:rPr>
        <w:t>January</w:t>
      </w:r>
      <w:r w:rsidRPr="00BA6590">
        <w:rPr>
          <w:lang w:val="en-GB"/>
        </w:rPr>
        <w:t xml:space="preserve"> 2009</w:t>
      </w:r>
      <w:r w:rsidR="00DD1CE5" w:rsidRPr="00BA6590">
        <w:rPr>
          <w:lang w:val="en-GB"/>
        </w:rPr>
        <w:t>, on the application of the International Covenant on Civil and Political Rights</w:t>
      </w:r>
      <w:r w:rsidRPr="00BA6590">
        <w:rPr>
          <w:lang w:val="en-GB"/>
        </w:rPr>
        <w:t xml:space="preserve"> (CCPR/C/BEL/5, 17 </w:t>
      </w:r>
      <w:r w:rsidR="003F5E21" w:rsidRPr="00BA6590">
        <w:rPr>
          <w:lang w:val="en-GB"/>
        </w:rPr>
        <w:t>July</w:t>
      </w:r>
      <w:r w:rsidRPr="00BA6590">
        <w:rPr>
          <w:lang w:val="en-GB"/>
        </w:rPr>
        <w:t xml:space="preserve"> 2009)</w:t>
      </w:r>
      <w:r w:rsidR="00DD1CE5" w:rsidRPr="00BA6590">
        <w:rPr>
          <w:lang w:val="en-GB"/>
        </w:rPr>
        <w:t xml:space="preserve"> and in its fourth report on the implementation of the</w:t>
      </w:r>
      <w:r w:rsidRPr="00BA6590">
        <w:rPr>
          <w:lang w:val="en-GB"/>
        </w:rPr>
        <w:t xml:space="preserve"> </w:t>
      </w:r>
      <w:r w:rsidR="00DD1CE5" w:rsidRPr="00BA6590">
        <w:rPr>
          <w:lang w:val="en-GB"/>
        </w:rPr>
        <w:t>International Covenant on Economic, Social and Cultural Rights</w:t>
      </w:r>
      <w:r w:rsidR="00E979F6" w:rsidRPr="00BA6590">
        <w:rPr>
          <w:lang w:val="en-GB"/>
        </w:rPr>
        <w:t>.</w:t>
      </w:r>
    </w:p>
    <w:p w:rsidR="00E50B98" w:rsidRPr="00BA6590" w:rsidRDefault="00E979F6" w:rsidP="00E979F6">
      <w:pPr>
        <w:pStyle w:val="H4G"/>
        <w:rPr>
          <w:lang w:val="en-GB"/>
        </w:rPr>
      </w:pPr>
      <w:r w:rsidRPr="00BA6590">
        <w:rPr>
          <w:lang w:val="en-GB"/>
        </w:rPr>
        <w:tab/>
      </w:r>
      <w:r w:rsidRPr="00BA6590">
        <w:rPr>
          <w:lang w:val="en-GB"/>
        </w:rPr>
        <w:tab/>
      </w:r>
      <w:r w:rsidR="00DD51B1" w:rsidRPr="00BA6590">
        <w:rPr>
          <w:lang w:val="en-GB"/>
        </w:rPr>
        <w:t>Sham</w:t>
      </w:r>
      <w:r w:rsidR="00DD1CE5" w:rsidRPr="00BA6590">
        <w:rPr>
          <w:lang w:val="en-GB"/>
        </w:rPr>
        <w:t xml:space="preserve"> mar</w:t>
      </w:r>
      <w:r w:rsidR="00E50B98" w:rsidRPr="00BA6590">
        <w:rPr>
          <w:lang w:val="en-GB"/>
        </w:rPr>
        <w:t>riage</w:t>
      </w:r>
    </w:p>
    <w:p w:rsidR="00E50B98" w:rsidRPr="00BA6590" w:rsidRDefault="00E50B98" w:rsidP="00E50B98">
      <w:pPr>
        <w:pStyle w:val="SingleTxtG"/>
        <w:rPr>
          <w:lang w:val="en-GB"/>
        </w:rPr>
      </w:pPr>
      <w:r w:rsidRPr="00BA6590">
        <w:rPr>
          <w:lang w:val="en-GB"/>
        </w:rPr>
        <w:t>197.</w:t>
      </w:r>
      <w:r w:rsidR="004E090E" w:rsidRPr="00BA6590">
        <w:rPr>
          <w:lang w:val="en-GB"/>
        </w:rPr>
        <w:tab/>
      </w:r>
      <w:r w:rsidR="00E922E3" w:rsidRPr="00BA6590">
        <w:rPr>
          <w:lang w:val="en-GB"/>
        </w:rPr>
        <w:t xml:space="preserve">The aforementioned Act of </w:t>
      </w:r>
      <w:r w:rsidRPr="00BA6590">
        <w:rPr>
          <w:lang w:val="en-GB"/>
        </w:rPr>
        <w:t xml:space="preserve">12 </w:t>
      </w:r>
      <w:r w:rsidR="003F5E21" w:rsidRPr="00BA6590">
        <w:rPr>
          <w:lang w:val="en-GB"/>
        </w:rPr>
        <w:t>January</w:t>
      </w:r>
      <w:r w:rsidRPr="00BA6590">
        <w:rPr>
          <w:lang w:val="en-GB"/>
        </w:rPr>
        <w:t xml:space="preserve"> 2006</w:t>
      </w:r>
      <w:r w:rsidR="00E922E3" w:rsidRPr="00BA6590">
        <w:rPr>
          <w:lang w:val="en-GB"/>
        </w:rPr>
        <w:t>, amending the Act</w:t>
      </w:r>
      <w:r w:rsidR="00236121" w:rsidRPr="00BA6590">
        <w:rPr>
          <w:lang w:val="en-GB"/>
        </w:rPr>
        <w:t xml:space="preserve"> of 15 December 1980 on the entry, residence, settlement and expulsion of foreign nationals</w:t>
      </w:r>
      <w:r w:rsidR="00E922E3" w:rsidRPr="00BA6590">
        <w:rPr>
          <w:lang w:val="en-GB"/>
        </w:rPr>
        <w:t xml:space="preserve">, inserts a criminal-law provision </w:t>
      </w:r>
      <w:r w:rsidR="00A7756D" w:rsidRPr="00BA6590">
        <w:rPr>
          <w:lang w:val="en-GB"/>
        </w:rPr>
        <w:t xml:space="preserve">making it an offence to enter into a marriage for the purpose of obtaining an advantage in respect of resident status. The authorities opted for a tiered system of penalties, with more severe punishments where a financial gain has been pursued or where a person has been coerced to enter into a marriage. </w:t>
      </w:r>
    </w:p>
    <w:p w:rsidR="00E50B98" w:rsidRPr="00BA6590" w:rsidRDefault="00E979F6" w:rsidP="00E979F6">
      <w:pPr>
        <w:pStyle w:val="H4G"/>
        <w:rPr>
          <w:lang w:val="en-GB"/>
        </w:rPr>
      </w:pPr>
      <w:r w:rsidRPr="00BA6590">
        <w:rPr>
          <w:lang w:val="en-GB"/>
        </w:rPr>
        <w:tab/>
      </w:r>
      <w:r w:rsidRPr="00BA6590">
        <w:rPr>
          <w:lang w:val="en-GB"/>
        </w:rPr>
        <w:tab/>
      </w:r>
      <w:r w:rsidR="00A7756D" w:rsidRPr="00BA6590">
        <w:rPr>
          <w:lang w:val="en-GB"/>
        </w:rPr>
        <w:t>Forced marriage</w:t>
      </w:r>
    </w:p>
    <w:p w:rsidR="00E50B98" w:rsidRPr="00BA6590" w:rsidRDefault="00E50B98" w:rsidP="00E50B98">
      <w:pPr>
        <w:pStyle w:val="SingleTxtG"/>
        <w:rPr>
          <w:lang w:val="en-GB"/>
        </w:rPr>
      </w:pPr>
      <w:r w:rsidRPr="00BA6590">
        <w:rPr>
          <w:lang w:val="en-GB"/>
        </w:rPr>
        <w:t>198.</w:t>
      </w:r>
      <w:r w:rsidRPr="00BA6590">
        <w:rPr>
          <w:lang w:val="en-GB"/>
        </w:rPr>
        <w:tab/>
      </w:r>
      <w:r w:rsidR="00112E11" w:rsidRPr="00BA6590">
        <w:rPr>
          <w:lang w:val="en-GB"/>
        </w:rPr>
        <w:t>Under the Act of</w:t>
      </w:r>
      <w:r w:rsidR="00A7756D" w:rsidRPr="00BA6590">
        <w:rPr>
          <w:lang w:val="en-GB"/>
        </w:rPr>
        <w:t xml:space="preserve"> </w:t>
      </w:r>
      <w:r w:rsidRPr="00BA6590">
        <w:rPr>
          <w:lang w:val="en-GB"/>
        </w:rPr>
        <w:t xml:space="preserve">25 </w:t>
      </w:r>
      <w:r w:rsidR="003F5E21" w:rsidRPr="00BA6590">
        <w:rPr>
          <w:lang w:val="en-GB"/>
        </w:rPr>
        <w:t>April</w:t>
      </w:r>
      <w:r w:rsidRPr="00BA6590">
        <w:rPr>
          <w:lang w:val="en-GB"/>
        </w:rPr>
        <w:t xml:space="preserve"> 2007</w:t>
      </w:r>
      <w:r w:rsidR="00112E11" w:rsidRPr="00BA6590">
        <w:rPr>
          <w:lang w:val="en-GB"/>
        </w:rPr>
        <w:t xml:space="preserve">, which inserted </w:t>
      </w:r>
      <w:r w:rsidRPr="00BA6590">
        <w:rPr>
          <w:lang w:val="en-GB"/>
        </w:rPr>
        <w:t>article 391</w:t>
      </w:r>
      <w:r w:rsidR="00834782" w:rsidRPr="00BA6590">
        <w:rPr>
          <w:lang w:val="en-GB"/>
        </w:rPr>
        <w:t xml:space="preserve"> </w:t>
      </w:r>
      <w:r w:rsidRPr="00BA6590">
        <w:rPr>
          <w:i/>
          <w:iCs/>
          <w:lang w:val="en-GB"/>
        </w:rPr>
        <w:t>sexies</w:t>
      </w:r>
      <w:r w:rsidRPr="00BA6590">
        <w:rPr>
          <w:lang w:val="en-GB"/>
        </w:rPr>
        <w:t xml:space="preserve"> </w:t>
      </w:r>
      <w:r w:rsidR="00112E11" w:rsidRPr="00BA6590">
        <w:rPr>
          <w:lang w:val="en-GB"/>
        </w:rPr>
        <w:t xml:space="preserve">into the Criminal Code and modified a number of provisions of the Civil Code in order to penalize forced marriages and provide for an extended range of ways to annul them </w:t>
      </w:r>
      <w:r w:rsidRPr="00BA6590">
        <w:rPr>
          <w:lang w:val="en-GB"/>
        </w:rPr>
        <w:t>(</w:t>
      </w:r>
      <w:r w:rsidR="002420F6" w:rsidRPr="00BA6590">
        <w:rPr>
          <w:i/>
          <w:lang w:val="en-GB"/>
        </w:rPr>
        <w:t>Moniteur belge</w:t>
      </w:r>
      <w:r w:rsidRPr="00BA6590">
        <w:rPr>
          <w:lang w:val="en-GB"/>
        </w:rPr>
        <w:t xml:space="preserve">, 15 </w:t>
      </w:r>
      <w:r w:rsidR="003F5E21" w:rsidRPr="00BA6590">
        <w:rPr>
          <w:lang w:val="en-GB"/>
        </w:rPr>
        <w:t>June</w:t>
      </w:r>
      <w:r w:rsidRPr="00BA6590">
        <w:rPr>
          <w:lang w:val="en-GB"/>
        </w:rPr>
        <w:t xml:space="preserve"> 2007),</w:t>
      </w:r>
      <w:r w:rsidR="00112E11" w:rsidRPr="00BA6590">
        <w:rPr>
          <w:lang w:val="en-GB"/>
        </w:rPr>
        <w:t xml:space="preserve"> forced marriage became</w:t>
      </w:r>
      <w:r w:rsidR="00B235BF" w:rsidRPr="00BA6590">
        <w:rPr>
          <w:lang w:val="en-GB"/>
        </w:rPr>
        <w:t xml:space="preserve"> a criminal offence and</w:t>
      </w:r>
      <w:r w:rsidR="000B5D7C" w:rsidRPr="00BA6590">
        <w:rPr>
          <w:lang w:val="en-GB"/>
        </w:rPr>
        <w:t xml:space="preserve"> </w:t>
      </w:r>
      <w:r w:rsidR="00B235BF" w:rsidRPr="00BA6590">
        <w:rPr>
          <w:lang w:val="en-GB"/>
        </w:rPr>
        <w:t xml:space="preserve">such marriages </w:t>
      </w:r>
      <w:r w:rsidR="006A17BC" w:rsidRPr="00BA6590">
        <w:rPr>
          <w:lang w:val="en-GB"/>
        </w:rPr>
        <w:t>can now</w:t>
      </w:r>
      <w:r w:rsidR="00B235BF" w:rsidRPr="00BA6590">
        <w:rPr>
          <w:lang w:val="en-GB"/>
        </w:rPr>
        <w:t xml:space="preserve"> be annulled. </w:t>
      </w:r>
    </w:p>
    <w:p w:rsidR="00E50B98" w:rsidRPr="00BA6590" w:rsidRDefault="00834782" w:rsidP="002409EB">
      <w:pPr>
        <w:pStyle w:val="SingleTxtG"/>
        <w:rPr>
          <w:lang w:val="en-GB"/>
        </w:rPr>
      </w:pPr>
      <w:r w:rsidRPr="00BA6590">
        <w:rPr>
          <w:lang w:val="en-GB"/>
        </w:rPr>
        <w:t>199.</w:t>
      </w:r>
      <w:r w:rsidRPr="00BA6590">
        <w:rPr>
          <w:lang w:val="en-GB"/>
        </w:rPr>
        <w:tab/>
      </w:r>
      <w:r w:rsidR="00B235BF" w:rsidRPr="00BA6590">
        <w:rPr>
          <w:lang w:val="en-GB"/>
        </w:rPr>
        <w:t>A</w:t>
      </w:r>
      <w:r w:rsidRPr="00BA6590">
        <w:rPr>
          <w:lang w:val="en-GB"/>
        </w:rPr>
        <w:t xml:space="preserve">rticle 146 </w:t>
      </w:r>
      <w:r w:rsidRPr="00BA6590">
        <w:rPr>
          <w:i/>
          <w:iCs/>
          <w:lang w:val="en-GB"/>
        </w:rPr>
        <w:t>ter</w:t>
      </w:r>
      <w:r w:rsidRPr="00BA6590">
        <w:rPr>
          <w:lang w:val="en-GB"/>
        </w:rPr>
        <w:t xml:space="preserve"> </w:t>
      </w:r>
      <w:r w:rsidR="00B235BF" w:rsidRPr="00BA6590">
        <w:rPr>
          <w:lang w:val="en-GB"/>
        </w:rPr>
        <w:t>of the</w:t>
      </w:r>
      <w:r w:rsidRPr="00BA6590">
        <w:rPr>
          <w:lang w:val="en-GB"/>
        </w:rPr>
        <w:t xml:space="preserve"> </w:t>
      </w:r>
      <w:r w:rsidR="00B235BF" w:rsidRPr="00BA6590">
        <w:rPr>
          <w:lang w:val="en-GB"/>
        </w:rPr>
        <w:t>Civil Code, inserted by the Act</w:t>
      </w:r>
      <w:r w:rsidR="00236121" w:rsidRPr="00BA6590">
        <w:rPr>
          <w:lang w:val="en-GB"/>
        </w:rPr>
        <w:t xml:space="preserve"> of 25 April 2007</w:t>
      </w:r>
      <w:r w:rsidR="00B235BF" w:rsidRPr="00BA6590">
        <w:rPr>
          <w:lang w:val="en-GB"/>
        </w:rPr>
        <w:t xml:space="preserve">, provides that no marriage is valid if it is contracted without the freely given consent of both spouses and the consent of at least one spouse has been obtained through violence or the threat of violence. </w:t>
      </w:r>
      <w:r w:rsidR="00FB5BAA" w:rsidRPr="00BA6590">
        <w:rPr>
          <w:lang w:val="en-GB"/>
        </w:rPr>
        <w:t>The civil registrar may refuse to conduct the wedding ceremony if faced with a forced marriage; also, any forced marriage which has taken place is null and void and may be denounced as such by the public prosecutor</w:t>
      </w:r>
      <w:r w:rsidR="00A216FB" w:rsidRPr="00BA6590">
        <w:rPr>
          <w:lang w:val="en-GB"/>
        </w:rPr>
        <w:t>’</w:t>
      </w:r>
      <w:r w:rsidR="00FB5BAA" w:rsidRPr="00BA6590">
        <w:rPr>
          <w:lang w:val="en-GB"/>
        </w:rPr>
        <w:t xml:space="preserve">s office, the spouses themselves or any other interested party. </w:t>
      </w:r>
    </w:p>
    <w:p w:rsidR="00E50B98" w:rsidRPr="00BA6590" w:rsidRDefault="00E50B98" w:rsidP="00E50B98">
      <w:pPr>
        <w:pStyle w:val="SingleTxtG"/>
        <w:rPr>
          <w:lang w:val="en-GB"/>
        </w:rPr>
      </w:pPr>
      <w:r w:rsidRPr="00BA6590">
        <w:rPr>
          <w:lang w:val="en-GB"/>
        </w:rPr>
        <w:t>200.</w:t>
      </w:r>
      <w:r w:rsidRPr="00BA6590">
        <w:rPr>
          <w:lang w:val="en-GB"/>
        </w:rPr>
        <w:tab/>
      </w:r>
      <w:r w:rsidR="00FB5BAA" w:rsidRPr="00BA6590">
        <w:rPr>
          <w:lang w:val="en-GB"/>
        </w:rPr>
        <w:t xml:space="preserve">Where there is serious evidence of forced marriage, the prosecutor may on his or her own initiative begin proceedings to annul it. </w:t>
      </w:r>
    </w:p>
    <w:p w:rsidR="00E50B98" w:rsidRPr="00BA6590" w:rsidRDefault="00E50B98" w:rsidP="00E50B98">
      <w:pPr>
        <w:pStyle w:val="SingleTxtG"/>
        <w:rPr>
          <w:lang w:val="en-GB"/>
        </w:rPr>
      </w:pPr>
      <w:r w:rsidRPr="00BA6590">
        <w:rPr>
          <w:lang w:val="en-GB"/>
        </w:rPr>
        <w:t>201.</w:t>
      </w:r>
      <w:r w:rsidRPr="00BA6590">
        <w:rPr>
          <w:lang w:val="en-GB"/>
        </w:rPr>
        <w:tab/>
      </w:r>
      <w:r w:rsidR="00E4493C" w:rsidRPr="00BA6590">
        <w:rPr>
          <w:lang w:val="en-GB"/>
        </w:rPr>
        <w:t xml:space="preserve">Lastly, </w:t>
      </w:r>
      <w:r w:rsidRPr="00BA6590">
        <w:rPr>
          <w:lang w:val="en-GB"/>
        </w:rPr>
        <w:t xml:space="preserve">article 391 </w:t>
      </w:r>
      <w:r w:rsidRPr="00BA6590">
        <w:rPr>
          <w:i/>
          <w:iCs/>
          <w:lang w:val="en-GB"/>
        </w:rPr>
        <w:t>sexies</w:t>
      </w:r>
      <w:r w:rsidR="00E4493C" w:rsidRPr="00BA6590">
        <w:rPr>
          <w:lang w:val="en-GB"/>
        </w:rPr>
        <w:t xml:space="preserve"> of the</w:t>
      </w:r>
      <w:r w:rsidRPr="00BA6590">
        <w:rPr>
          <w:lang w:val="en-GB"/>
        </w:rPr>
        <w:t xml:space="preserve"> </w:t>
      </w:r>
      <w:r w:rsidR="00B235BF" w:rsidRPr="00BA6590">
        <w:rPr>
          <w:lang w:val="en-GB"/>
        </w:rPr>
        <w:t>Criminal Code</w:t>
      </w:r>
      <w:r w:rsidR="00E4493C" w:rsidRPr="00BA6590">
        <w:rPr>
          <w:lang w:val="en-GB"/>
        </w:rPr>
        <w:t xml:space="preserve"> penalize</w:t>
      </w:r>
      <w:r w:rsidR="006A17BC" w:rsidRPr="00BA6590">
        <w:rPr>
          <w:lang w:val="en-GB"/>
        </w:rPr>
        <w:t>s</w:t>
      </w:r>
      <w:r w:rsidR="00E4493C" w:rsidRPr="00BA6590">
        <w:rPr>
          <w:lang w:val="en-GB"/>
        </w:rPr>
        <w:t xml:space="preserve"> </w:t>
      </w:r>
      <w:r w:rsidR="006A17BC" w:rsidRPr="00BA6590">
        <w:rPr>
          <w:lang w:val="en-GB"/>
        </w:rPr>
        <w:t>any person</w:t>
      </w:r>
      <w:r w:rsidR="00E4493C" w:rsidRPr="00BA6590">
        <w:rPr>
          <w:lang w:val="en-GB"/>
        </w:rPr>
        <w:t xml:space="preserve"> who</w:t>
      </w:r>
      <w:r w:rsidRPr="00BA6590">
        <w:rPr>
          <w:lang w:val="en-GB"/>
        </w:rPr>
        <w:t xml:space="preserve">, </w:t>
      </w:r>
      <w:r w:rsidR="00E4493C" w:rsidRPr="00BA6590">
        <w:rPr>
          <w:lang w:val="en-GB"/>
        </w:rPr>
        <w:t>through violence or the threat of violence</w:t>
      </w:r>
      <w:r w:rsidRPr="00BA6590">
        <w:rPr>
          <w:lang w:val="en-GB"/>
        </w:rPr>
        <w:t>,</w:t>
      </w:r>
      <w:r w:rsidR="00E4493C" w:rsidRPr="00BA6590">
        <w:rPr>
          <w:lang w:val="en-GB"/>
        </w:rPr>
        <w:t xml:space="preserve"> coerce</w:t>
      </w:r>
      <w:r w:rsidR="006A17BC" w:rsidRPr="00BA6590">
        <w:rPr>
          <w:lang w:val="en-GB"/>
        </w:rPr>
        <w:t>s</w:t>
      </w:r>
      <w:r w:rsidR="00E4493C" w:rsidRPr="00BA6590">
        <w:rPr>
          <w:lang w:val="en-GB"/>
        </w:rPr>
        <w:t xml:space="preserve"> someone to enter into a marriage. Any attempt to do so is also penalized. Since forced marriage is a human rights violation prohibited by several international agreements, the law seeks to protect victims</w:t>
      </w:r>
      <w:r w:rsidR="00A216FB" w:rsidRPr="00BA6590">
        <w:rPr>
          <w:lang w:val="en-GB"/>
        </w:rPr>
        <w:t>’</w:t>
      </w:r>
      <w:r w:rsidR="00E4493C" w:rsidRPr="00BA6590">
        <w:rPr>
          <w:lang w:val="en-GB"/>
        </w:rPr>
        <w:t xml:space="preserve"> rights to enter into marriage with free consent and to protect their freedom, dignity and physical integrity.</w:t>
      </w:r>
      <w:r w:rsidR="001F3CAB" w:rsidRPr="00BA6590">
        <w:rPr>
          <w:lang w:val="en-GB"/>
        </w:rPr>
        <w:t xml:space="preserve"> </w:t>
      </w:r>
    </w:p>
    <w:p w:rsidR="00E50B98" w:rsidRPr="00BA6590" w:rsidRDefault="00E50B98" w:rsidP="004348F9">
      <w:pPr>
        <w:pStyle w:val="SingleTxtG"/>
        <w:rPr>
          <w:lang w:val="en-GB"/>
        </w:rPr>
      </w:pPr>
      <w:r w:rsidRPr="00BA6590">
        <w:rPr>
          <w:lang w:val="en-GB"/>
        </w:rPr>
        <w:t>202.</w:t>
      </w:r>
      <w:r w:rsidRPr="00BA6590">
        <w:rPr>
          <w:lang w:val="en-GB"/>
        </w:rPr>
        <w:tab/>
      </w:r>
      <w:r w:rsidR="0047211B" w:rsidRPr="00BA6590">
        <w:rPr>
          <w:lang w:val="en-GB"/>
        </w:rPr>
        <w:t xml:space="preserve">A Belgian court recently issued a verdict in a case of forced marriage. On </w:t>
      </w:r>
      <w:r w:rsidRPr="00BA6590">
        <w:rPr>
          <w:lang w:val="en-GB"/>
        </w:rPr>
        <w:t xml:space="preserve">9 </w:t>
      </w:r>
      <w:r w:rsidR="0047211B" w:rsidRPr="00BA6590">
        <w:rPr>
          <w:lang w:val="en-GB"/>
        </w:rPr>
        <w:t>and</w:t>
      </w:r>
      <w:r w:rsidRPr="00BA6590">
        <w:rPr>
          <w:lang w:val="en-GB"/>
        </w:rPr>
        <w:t xml:space="preserve"> 12 </w:t>
      </w:r>
      <w:r w:rsidR="003F5E21" w:rsidRPr="00BA6590">
        <w:rPr>
          <w:lang w:val="en-GB"/>
        </w:rPr>
        <w:t>December</w:t>
      </w:r>
      <w:r w:rsidRPr="00BA6590">
        <w:rPr>
          <w:lang w:val="en-GB"/>
        </w:rPr>
        <w:t xml:space="preserve"> 2011,</w:t>
      </w:r>
      <w:r w:rsidR="0047211B" w:rsidRPr="00BA6590">
        <w:rPr>
          <w:lang w:val="en-GB"/>
        </w:rPr>
        <w:t xml:space="preserve"> the </w:t>
      </w:r>
      <w:r w:rsidRPr="00BA6590">
        <w:rPr>
          <w:i/>
          <w:lang w:val="en-GB"/>
        </w:rPr>
        <w:t>Cour d</w:t>
      </w:r>
      <w:r w:rsidR="00A216FB" w:rsidRPr="00BA6590">
        <w:rPr>
          <w:i/>
          <w:lang w:val="en-GB"/>
        </w:rPr>
        <w:t>’</w:t>
      </w:r>
      <w:r w:rsidRPr="00BA6590">
        <w:rPr>
          <w:i/>
          <w:lang w:val="en-GB"/>
        </w:rPr>
        <w:t>assises</w:t>
      </w:r>
      <w:r w:rsidRPr="00BA6590">
        <w:rPr>
          <w:lang w:val="en-GB"/>
        </w:rPr>
        <w:t xml:space="preserve"> </w:t>
      </w:r>
      <w:r w:rsidR="0047211B" w:rsidRPr="00BA6590">
        <w:rPr>
          <w:lang w:val="en-GB"/>
        </w:rPr>
        <w:t>(criminal court) of</w:t>
      </w:r>
      <w:r w:rsidRPr="00BA6590">
        <w:rPr>
          <w:lang w:val="en-GB"/>
        </w:rPr>
        <w:t xml:space="preserve"> Mons</w:t>
      </w:r>
      <w:r w:rsidR="0047211B" w:rsidRPr="00BA6590">
        <w:rPr>
          <w:lang w:val="en-GB"/>
        </w:rPr>
        <w:t xml:space="preserve"> found guilty of murder, with the aggravating circumstance of a discriminatory motive, several members of the family of a young Pakistani woman aged 20 who had been killed because she refused a marriage arranged by them. The father and brother were also found guilty of attempted forced marriage. The brother was sentenced to 15 years</w:t>
      </w:r>
      <w:r w:rsidR="00A216FB" w:rsidRPr="00BA6590">
        <w:rPr>
          <w:lang w:val="en-GB"/>
        </w:rPr>
        <w:t>’</w:t>
      </w:r>
      <w:r w:rsidR="0047211B" w:rsidRPr="00BA6590">
        <w:rPr>
          <w:lang w:val="en-GB"/>
        </w:rPr>
        <w:t xml:space="preserve"> imprisonment, the sister to </w:t>
      </w:r>
      <w:r w:rsidR="00E91B8C">
        <w:rPr>
          <w:lang w:val="en-GB"/>
        </w:rPr>
        <w:t xml:space="preserve">5 </w:t>
      </w:r>
      <w:r w:rsidR="0047211B" w:rsidRPr="00BA6590">
        <w:rPr>
          <w:lang w:val="en-GB"/>
        </w:rPr>
        <w:t>years</w:t>
      </w:r>
      <w:r w:rsidR="00A216FB" w:rsidRPr="00BA6590">
        <w:rPr>
          <w:lang w:val="en-GB"/>
        </w:rPr>
        <w:t>’</w:t>
      </w:r>
      <w:r w:rsidR="0047211B" w:rsidRPr="00BA6590">
        <w:rPr>
          <w:lang w:val="en-GB"/>
        </w:rPr>
        <w:t xml:space="preserve"> detention, and the parents to 25 and 20 years</w:t>
      </w:r>
      <w:r w:rsidR="00A216FB" w:rsidRPr="00BA6590">
        <w:rPr>
          <w:lang w:val="en-GB"/>
        </w:rPr>
        <w:t>’</w:t>
      </w:r>
      <w:r w:rsidR="0047211B" w:rsidRPr="00BA6590">
        <w:rPr>
          <w:lang w:val="en-GB"/>
        </w:rPr>
        <w:t xml:space="preserve"> imprisonment respectively. Following an appeal</w:t>
      </w:r>
      <w:r w:rsidR="00820F8F" w:rsidRPr="00BA6590">
        <w:rPr>
          <w:lang w:val="en-GB"/>
        </w:rPr>
        <w:t xml:space="preserve"> on points of law</w:t>
      </w:r>
      <w:r w:rsidR="0047211B" w:rsidRPr="00BA6590">
        <w:rPr>
          <w:lang w:val="en-GB"/>
        </w:rPr>
        <w:t xml:space="preserve"> by the victims</w:t>
      </w:r>
      <w:r w:rsidR="00A216FB" w:rsidRPr="00BA6590">
        <w:rPr>
          <w:lang w:val="en-GB"/>
        </w:rPr>
        <w:t>’</w:t>
      </w:r>
      <w:r w:rsidR="0047211B" w:rsidRPr="00BA6590">
        <w:rPr>
          <w:lang w:val="en-GB"/>
        </w:rPr>
        <w:t xml:space="preserve"> parents, </w:t>
      </w:r>
      <w:r w:rsidR="00820F8F" w:rsidRPr="00BA6590">
        <w:rPr>
          <w:lang w:val="en-GB"/>
        </w:rPr>
        <w:t>the Court of Cassation reversed the sentences passed by the trial court in Mons. It did not, however, cancel the aggravating circumstances of the honour killing and the victim</w:t>
      </w:r>
      <w:r w:rsidR="00A216FB" w:rsidRPr="00BA6590">
        <w:rPr>
          <w:lang w:val="en-GB"/>
        </w:rPr>
        <w:t>’</w:t>
      </w:r>
      <w:r w:rsidR="00820F8F" w:rsidRPr="00BA6590">
        <w:rPr>
          <w:lang w:val="en-GB"/>
        </w:rPr>
        <w:t>s sex. Furthermore, since 2009, the trial courts</w:t>
      </w:r>
      <w:r w:rsidR="00A216FB" w:rsidRPr="00BA6590">
        <w:rPr>
          <w:lang w:val="en-GB"/>
        </w:rPr>
        <w:t>’</w:t>
      </w:r>
      <w:r w:rsidR="00820F8F" w:rsidRPr="00BA6590">
        <w:rPr>
          <w:lang w:val="en-GB"/>
        </w:rPr>
        <w:t xml:space="preserve"> database includes a specific code for charges of forced marriage. The data show that 12 cases of forced marriage were processed by public prosecutors in </w:t>
      </w:r>
      <w:r w:rsidRPr="00BA6590">
        <w:rPr>
          <w:lang w:val="en-GB"/>
        </w:rPr>
        <w:t xml:space="preserve">2010 </w:t>
      </w:r>
      <w:r w:rsidR="00820F8F" w:rsidRPr="00BA6590">
        <w:rPr>
          <w:lang w:val="en-GB"/>
        </w:rPr>
        <w:t>and</w:t>
      </w:r>
      <w:r w:rsidRPr="00BA6590">
        <w:rPr>
          <w:lang w:val="en-GB"/>
        </w:rPr>
        <w:t xml:space="preserve"> 15 </w:t>
      </w:r>
      <w:r w:rsidR="00820F8F" w:rsidRPr="00BA6590">
        <w:rPr>
          <w:lang w:val="en-GB"/>
        </w:rPr>
        <w:t>in</w:t>
      </w:r>
      <w:r w:rsidRPr="00BA6590">
        <w:rPr>
          <w:lang w:val="en-GB"/>
        </w:rPr>
        <w:t xml:space="preserve"> 2011.</w:t>
      </w:r>
      <w:r w:rsidR="00820F8F" w:rsidRPr="00BA6590">
        <w:rPr>
          <w:lang w:val="en-GB"/>
        </w:rPr>
        <w:t xml:space="preserve"> As of </w:t>
      </w:r>
      <w:r w:rsidRPr="00BA6590">
        <w:rPr>
          <w:lang w:val="en-GB"/>
        </w:rPr>
        <w:t xml:space="preserve">10 </w:t>
      </w:r>
      <w:r w:rsidR="003F5E21" w:rsidRPr="00BA6590">
        <w:rPr>
          <w:lang w:val="en-GB"/>
        </w:rPr>
        <w:t>January</w:t>
      </w:r>
      <w:r w:rsidRPr="00BA6590">
        <w:rPr>
          <w:lang w:val="en-GB"/>
        </w:rPr>
        <w:t xml:space="preserve"> 2012, </w:t>
      </w:r>
      <w:r w:rsidR="00820F8F" w:rsidRPr="00BA6590">
        <w:rPr>
          <w:lang w:val="en-GB"/>
        </w:rPr>
        <w:t xml:space="preserve">those cases were at the following stages: inquiries were taking place in six of </w:t>
      </w:r>
      <w:r w:rsidR="00B71103" w:rsidRPr="00BA6590">
        <w:rPr>
          <w:lang w:val="en-GB"/>
        </w:rPr>
        <w:t>them</w:t>
      </w:r>
      <w:r w:rsidR="00820F8F" w:rsidRPr="00BA6590">
        <w:rPr>
          <w:lang w:val="en-GB"/>
        </w:rPr>
        <w:t xml:space="preserve">, </w:t>
      </w:r>
      <w:r w:rsidR="006A17BC" w:rsidRPr="00BA6590">
        <w:rPr>
          <w:lang w:val="en-GB"/>
        </w:rPr>
        <w:t xml:space="preserve">11 had been closed with </w:t>
      </w:r>
      <w:r w:rsidR="00B71103" w:rsidRPr="00BA6590">
        <w:rPr>
          <w:lang w:val="en-GB"/>
        </w:rPr>
        <w:t xml:space="preserve">no action taken, </w:t>
      </w:r>
      <w:r w:rsidR="00820F8F" w:rsidRPr="00BA6590">
        <w:rPr>
          <w:lang w:val="en-GB"/>
        </w:rPr>
        <w:t>five</w:t>
      </w:r>
      <w:r w:rsidR="00B71103" w:rsidRPr="00BA6590">
        <w:rPr>
          <w:lang w:val="en-GB"/>
        </w:rPr>
        <w:t xml:space="preserve"> cases remained to be assigned</w:t>
      </w:r>
      <w:r w:rsidRPr="00BA6590">
        <w:rPr>
          <w:lang w:val="en-GB"/>
        </w:rPr>
        <w:t>,</w:t>
      </w:r>
      <w:r w:rsidR="00FE560F" w:rsidRPr="00BA6590">
        <w:rPr>
          <w:lang w:val="en-GB"/>
        </w:rPr>
        <w:t xml:space="preserve"> investigations were in hand in four, and </w:t>
      </w:r>
      <w:r w:rsidR="00B71103" w:rsidRPr="00BA6590">
        <w:rPr>
          <w:lang w:val="en-GB"/>
        </w:rPr>
        <w:t>a hearing</w:t>
      </w:r>
      <w:r w:rsidR="00FE560F" w:rsidRPr="00BA6590">
        <w:rPr>
          <w:lang w:val="en-GB"/>
        </w:rPr>
        <w:t xml:space="preserve"> was pending</w:t>
      </w:r>
      <w:r w:rsidR="00B71103" w:rsidRPr="00BA6590">
        <w:rPr>
          <w:lang w:val="en-GB"/>
        </w:rPr>
        <w:t xml:space="preserve"> in the remaining one</w:t>
      </w:r>
      <w:r w:rsidRPr="00BA6590">
        <w:rPr>
          <w:lang w:val="en-GB"/>
        </w:rPr>
        <w:t xml:space="preserve">. </w:t>
      </w:r>
      <w:r w:rsidR="00CA6375" w:rsidRPr="00BA6590">
        <w:rPr>
          <w:lang w:val="en-GB"/>
        </w:rPr>
        <w:t xml:space="preserve">At that date, only one verdict had been reached out of the 27 cases. Other decisions will be issued subsequently. There is also a code for use by the police. Their statistics show 13 formal complaints of forced marriage in 2010 (11 which had taken place and two attempted). Improved awareness among victims and better detection on the part of law enforcement will probably result in greater numbers of complaints. </w:t>
      </w:r>
    </w:p>
    <w:p w:rsidR="00E50B98" w:rsidRPr="00BA6590" w:rsidRDefault="00E979F6" w:rsidP="00E979F6">
      <w:pPr>
        <w:pStyle w:val="H4G"/>
        <w:rPr>
          <w:lang w:val="en-GB"/>
        </w:rPr>
      </w:pPr>
      <w:r w:rsidRPr="00BA6590">
        <w:rPr>
          <w:lang w:val="en-GB"/>
        </w:rPr>
        <w:tab/>
      </w:r>
      <w:r w:rsidRPr="00BA6590">
        <w:rPr>
          <w:lang w:val="en-GB"/>
        </w:rPr>
        <w:tab/>
      </w:r>
      <w:r w:rsidR="001525A2" w:rsidRPr="00BA6590">
        <w:rPr>
          <w:lang w:val="en-GB"/>
        </w:rPr>
        <w:t>Objec</w:t>
      </w:r>
      <w:r w:rsidR="00E50B98" w:rsidRPr="00BA6590">
        <w:rPr>
          <w:lang w:val="en-GB"/>
        </w:rPr>
        <w:t>tion</w:t>
      </w:r>
      <w:r w:rsidR="001525A2" w:rsidRPr="00BA6590">
        <w:rPr>
          <w:lang w:val="en-GB"/>
        </w:rPr>
        <w:t xml:space="preserve"> to marr</w:t>
      </w:r>
      <w:r w:rsidR="00E50B98" w:rsidRPr="00BA6590">
        <w:rPr>
          <w:lang w:val="en-GB"/>
        </w:rPr>
        <w:t>iage</w:t>
      </w:r>
    </w:p>
    <w:p w:rsidR="00E50B98" w:rsidRPr="00BA6590" w:rsidRDefault="00E50B98" w:rsidP="00E50B98">
      <w:pPr>
        <w:pStyle w:val="SingleTxtG"/>
        <w:rPr>
          <w:lang w:val="en-GB"/>
        </w:rPr>
      </w:pPr>
      <w:r w:rsidRPr="00BA6590">
        <w:rPr>
          <w:lang w:val="en-GB"/>
        </w:rPr>
        <w:t>203.</w:t>
      </w:r>
      <w:r w:rsidRPr="00BA6590">
        <w:rPr>
          <w:lang w:val="en-GB"/>
        </w:rPr>
        <w:tab/>
      </w:r>
      <w:r w:rsidR="001525A2" w:rsidRPr="00BA6590">
        <w:rPr>
          <w:lang w:val="en-GB"/>
        </w:rPr>
        <w:t xml:space="preserve">The Act of </w:t>
      </w:r>
      <w:r w:rsidRPr="00BA6590">
        <w:rPr>
          <w:lang w:val="en-GB"/>
        </w:rPr>
        <w:t xml:space="preserve">19 </w:t>
      </w:r>
      <w:r w:rsidR="003F5E21" w:rsidRPr="00BA6590">
        <w:rPr>
          <w:lang w:val="en-GB"/>
        </w:rPr>
        <w:t>February</w:t>
      </w:r>
      <w:r w:rsidRPr="00BA6590">
        <w:rPr>
          <w:lang w:val="en-GB"/>
        </w:rPr>
        <w:t xml:space="preserve"> 2009</w:t>
      </w:r>
      <w:r w:rsidR="000B5D7C" w:rsidRPr="00BA6590">
        <w:rPr>
          <w:lang w:val="en-GB"/>
        </w:rPr>
        <w:t>,</w:t>
      </w:r>
      <w:r w:rsidR="001525A2" w:rsidRPr="00BA6590">
        <w:rPr>
          <w:lang w:val="en-GB"/>
        </w:rPr>
        <w:t xml:space="preserve"> modifying the </w:t>
      </w:r>
      <w:r w:rsidR="00B235BF" w:rsidRPr="00BA6590">
        <w:rPr>
          <w:lang w:val="en-GB"/>
        </w:rPr>
        <w:t>Civil Code</w:t>
      </w:r>
      <w:r w:rsidR="001525A2" w:rsidRPr="00BA6590">
        <w:rPr>
          <w:lang w:val="en-GB"/>
        </w:rPr>
        <w:t xml:space="preserve"> and </w:t>
      </w:r>
      <w:r w:rsidRPr="00BA6590">
        <w:rPr>
          <w:lang w:val="en-GB"/>
        </w:rPr>
        <w:t xml:space="preserve">article 1399 </w:t>
      </w:r>
      <w:r w:rsidR="001525A2" w:rsidRPr="00BA6590">
        <w:rPr>
          <w:lang w:val="en-GB"/>
        </w:rPr>
        <w:t>of the Judicial</w:t>
      </w:r>
      <w:r w:rsidRPr="00BA6590">
        <w:rPr>
          <w:lang w:val="en-GB"/>
        </w:rPr>
        <w:t xml:space="preserve"> Code</w:t>
      </w:r>
      <w:r w:rsidR="001525A2" w:rsidRPr="00BA6590">
        <w:rPr>
          <w:lang w:val="en-GB"/>
        </w:rPr>
        <w:t xml:space="preserve"> in relation to objec</w:t>
      </w:r>
      <w:r w:rsidRPr="00BA6590">
        <w:rPr>
          <w:lang w:val="en-GB"/>
        </w:rPr>
        <w:t xml:space="preserve">tion </w:t>
      </w:r>
      <w:r w:rsidR="001525A2" w:rsidRPr="00BA6590">
        <w:rPr>
          <w:lang w:val="en-GB"/>
        </w:rPr>
        <w:t>to marr</w:t>
      </w:r>
      <w:r w:rsidRPr="00BA6590">
        <w:rPr>
          <w:lang w:val="en-GB"/>
        </w:rPr>
        <w:t>iage (</w:t>
      </w:r>
      <w:r w:rsidR="002420F6" w:rsidRPr="00BA6590">
        <w:rPr>
          <w:i/>
          <w:lang w:val="en-GB"/>
        </w:rPr>
        <w:t>Moniteur belge</w:t>
      </w:r>
      <w:r w:rsidRPr="00BA6590">
        <w:rPr>
          <w:lang w:val="en-GB"/>
        </w:rPr>
        <w:t xml:space="preserve">, 11 </w:t>
      </w:r>
      <w:r w:rsidR="003F5E21" w:rsidRPr="00BA6590">
        <w:rPr>
          <w:lang w:val="en-GB"/>
        </w:rPr>
        <w:t>March</w:t>
      </w:r>
      <w:r w:rsidR="001525A2" w:rsidRPr="00BA6590">
        <w:rPr>
          <w:lang w:val="en-GB"/>
        </w:rPr>
        <w:t xml:space="preserve"> 2009, e</w:t>
      </w:r>
      <w:r w:rsidRPr="00BA6590">
        <w:rPr>
          <w:lang w:val="en-GB"/>
        </w:rPr>
        <w:t>d. 2)</w:t>
      </w:r>
      <w:r w:rsidR="000B5D7C" w:rsidRPr="00BA6590">
        <w:rPr>
          <w:lang w:val="en-GB"/>
        </w:rPr>
        <w:t>,</w:t>
      </w:r>
      <w:r w:rsidR="001525A2" w:rsidRPr="00BA6590">
        <w:rPr>
          <w:lang w:val="en-GB"/>
        </w:rPr>
        <w:t xml:space="preserve"> abolishes the provisions concerning objection</w:t>
      </w:r>
      <w:r w:rsidRPr="00BA6590">
        <w:rPr>
          <w:lang w:val="en-GB"/>
        </w:rPr>
        <w:t xml:space="preserve"> </w:t>
      </w:r>
      <w:r w:rsidR="001525A2" w:rsidRPr="00BA6590">
        <w:rPr>
          <w:lang w:val="en-GB"/>
        </w:rPr>
        <w:t>to marr</w:t>
      </w:r>
      <w:r w:rsidRPr="00BA6590">
        <w:rPr>
          <w:lang w:val="en-GB"/>
        </w:rPr>
        <w:t>iage.</w:t>
      </w:r>
      <w:r w:rsidR="001525A2" w:rsidRPr="00BA6590">
        <w:rPr>
          <w:lang w:val="en-GB"/>
        </w:rPr>
        <w:t xml:space="preserve"> When the formality of the publication of banns was replaced by the marriage declaration, the provisions relating to objection lost most of their sense. Objection had been subject to a relatively costly and risky procedure whereby the person opposing the marria</w:t>
      </w:r>
      <w:r w:rsidR="006A17BC" w:rsidRPr="00BA6590">
        <w:rPr>
          <w:lang w:val="en-GB"/>
        </w:rPr>
        <w:t>ge could be made to pay damages;</w:t>
      </w:r>
      <w:r w:rsidR="001525A2" w:rsidRPr="00BA6590">
        <w:rPr>
          <w:lang w:val="en-GB"/>
        </w:rPr>
        <w:t xml:space="preserve"> that discouraged people from raising such objections. The abolition of objection to marriage does not prevent the Royal Prosecutor from taking action if the marriage is against public order. The registrar still has an active role to play, and must verify that the future spouses meet the formal and substantive conditions </w:t>
      </w:r>
      <w:r w:rsidR="000B518E" w:rsidRPr="00BA6590">
        <w:rPr>
          <w:lang w:val="en-GB"/>
        </w:rPr>
        <w:t>and there is</w:t>
      </w:r>
      <w:r w:rsidRPr="00BA6590">
        <w:rPr>
          <w:lang w:val="en-GB"/>
        </w:rPr>
        <w:t xml:space="preserve"> </w:t>
      </w:r>
      <w:r w:rsidR="000B518E" w:rsidRPr="00BA6590">
        <w:rPr>
          <w:lang w:val="en-GB"/>
        </w:rPr>
        <w:t xml:space="preserve">no impediment to </w:t>
      </w:r>
      <w:r w:rsidR="001525A2" w:rsidRPr="00BA6590">
        <w:rPr>
          <w:lang w:val="en-GB"/>
        </w:rPr>
        <w:t xml:space="preserve">the </w:t>
      </w:r>
      <w:r w:rsidR="000B518E" w:rsidRPr="00BA6590">
        <w:rPr>
          <w:lang w:val="en-GB"/>
        </w:rPr>
        <w:t>marriage</w:t>
      </w:r>
      <w:r w:rsidRPr="00BA6590">
        <w:rPr>
          <w:lang w:val="en-GB"/>
        </w:rPr>
        <w:t>.</w:t>
      </w:r>
      <w:r w:rsidR="001525A2" w:rsidRPr="00BA6590">
        <w:rPr>
          <w:lang w:val="en-GB"/>
        </w:rPr>
        <w:t xml:space="preserve"> Once the marriage has been contracted</w:t>
      </w:r>
      <w:r w:rsidR="00377C45" w:rsidRPr="00BA6590">
        <w:rPr>
          <w:lang w:val="en-GB"/>
        </w:rPr>
        <w:t xml:space="preserve">, </w:t>
      </w:r>
      <w:r w:rsidR="0080117B" w:rsidRPr="00BA6590">
        <w:rPr>
          <w:lang w:val="en-GB"/>
        </w:rPr>
        <w:t>the spouses themselves,</w:t>
      </w:r>
      <w:r w:rsidR="00377C45" w:rsidRPr="00BA6590">
        <w:rPr>
          <w:lang w:val="en-GB"/>
        </w:rPr>
        <w:t xml:space="preserve"> </w:t>
      </w:r>
      <w:r w:rsidR="0080117B" w:rsidRPr="00BA6590">
        <w:rPr>
          <w:lang w:val="en-GB"/>
        </w:rPr>
        <w:t>the public prosecutor</w:t>
      </w:r>
      <w:r w:rsidR="00A216FB" w:rsidRPr="00BA6590">
        <w:rPr>
          <w:lang w:val="en-GB"/>
        </w:rPr>
        <w:t>’</w:t>
      </w:r>
      <w:r w:rsidR="0080117B" w:rsidRPr="00BA6590">
        <w:rPr>
          <w:lang w:val="en-GB"/>
        </w:rPr>
        <w:t>s office</w:t>
      </w:r>
      <w:r w:rsidR="001525A2" w:rsidRPr="00BA6590">
        <w:rPr>
          <w:lang w:val="en-GB"/>
        </w:rPr>
        <w:t xml:space="preserve"> </w:t>
      </w:r>
      <w:r w:rsidR="0080117B" w:rsidRPr="00BA6590">
        <w:rPr>
          <w:lang w:val="en-GB"/>
        </w:rPr>
        <w:t>or any interested party c</w:t>
      </w:r>
      <w:r w:rsidR="006A17BC" w:rsidRPr="00BA6590">
        <w:rPr>
          <w:lang w:val="en-GB"/>
        </w:rPr>
        <w:t>an</w:t>
      </w:r>
      <w:r w:rsidR="0080117B" w:rsidRPr="00BA6590">
        <w:rPr>
          <w:lang w:val="en-GB"/>
        </w:rPr>
        <w:t xml:space="preserve"> still ask for the marriage to be annulled under </w:t>
      </w:r>
      <w:r w:rsidRPr="00BA6590">
        <w:rPr>
          <w:lang w:val="en-GB"/>
        </w:rPr>
        <w:t xml:space="preserve">article 184 </w:t>
      </w:r>
      <w:r w:rsidR="0080117B" w:rsidRPr="00BA6590">
        <w:rPr>
          <w:lang w:val="en-GB"/>
        </w:rPr>
        <w:t>of the</w:t>
      </w:r>
      <w:r w:rsidRPr="00BA6590">
        <w:rPr>
          <w:lang w:val="en-GB"/>
        </w:rPr>
        <w:t xml:space="preserve"> </w:t>
      </w:r>
      <w:r w:rsidR="00B235BF" w:rsidRPr="00BA6590">
        <w:rPr>
          <w:lang w:val="en-GB"/>
        </w:rPr>
        <w:t>Civil Code</w:t>
      </w:r>
      <w:r w:rsidRPr="00BA6590">
        <w:rPr>
          <w:lang w:val="en-GB"/>
        </w:rPr>
        <w:t>.</w:t>
      </w:r>
    </w:p>
    <w:p w:rsidR="00E50B98" w:rsidRPr="00BA6590" w:rsidRDefault="00E979F6" w:rsidP="00E979F6">
      <w:pPr>
        <w:pStyle w:val="H1G"/>
        <w:rPr>
          <w:lang w:val="en-GB"/>
        </w:rPr>
      </w:pPr>
      <w:r w:rsidRPr="00BA6590">
        <w:rPr>
          <w:lang w:val="en-GB"/>
        </w:rPr>
        <w:tab/>
      </w:r>
      <w:r w:rsidR="00E50B98" w:rsidRPr="00BA6590">
        <w:rPr>
          <w:lang w:val="en-GB"/>
        </w:rPr>
        <w:t>D.</w:t>
      </w:r>
      <w:r w:rsidR="00E50B98" w:rsidRPr="00BA6590">
        <w:rPr>
          <w:lang w:val="en-GB"/>
        </w:rPr>
        <w:tab/>
      </w:r>
      <w:r w:rsidR="00F55CF4" w:rsidRPr="00BA6590">
        <w:rPr>
          <w:lang w:val="en-GB"/>
        </w:rPr>
        <w:t>Participation of non-Belgian</w:t>
      </w:r>
      <w:r w:rsidR="006A17BC" w:rsidRPr="00BA6590">
        <w:rPr>
          <w:lang w:val="en-GB"/>
        </w:rPr>
        <w:t xml:space="preserve"> national</w:t>
      </w:r>
      <w:r w:rsidR="00F55CF4" w:rsidRPr="00BA6590">
        <w:rPr>
          <w:lang w:val="en-GB"/>
        </w:rPr>
        <w:t>s in elections</w:t>
      </w:r>
    </w:p>
    <w:p w:rsidR="00E50B98" w:rsidRPr="00BA6590" w:rsidRDefault="00E50B98" w:rsidP="00E50B98">
      <w:pPr>
        <w:pStyle w:val="SingleTxtG"/>
        <w:rPr>
          <w:lang w:val="en-GB"/>
        </w:rPr>
      </w:pPr>
      <w:r w:rsidRPr="00BA6590">
        <w:rPr>
          <w:lang w:val="en-GB"/>
        </w:rPr>
        <w:t>204.</w:t>
      </w:r>
      <w:r w:rsidRPr="00BA6590">
        <w:rPr>
          <w:lang w:val="en-GB"/>
        </w:rPr>
        <w:tab/>
      </w:r>
      <w:r w:rsidR="0080117B" w:rsidRPr="00BA6590">
        <w:rPr>
          <w:lang w:val="en-GB"/>
        </w:rPr>
        <w:t xml:space="preserve">As in </w:t>
      </w:r>
      <w:r w:rsidRPr="00BA6590">
        <w:rPr>
          <w:lang w:val="en-GB"/>
        </w:rPr>
        <w:t>2006,</w:t>
      </w:r>
      <w:r w:rsidR="0080117B" w:rsidRPr="00BA6590">
        <w:rPr>
          <w:lang w:val="en-GB"/>
        </w:rPr>
        <w:t xml:space="preserve"> nationals of both European Union and other countries will be able to vote in the communal elections of</w:t>
      </w:r>
      <w:r w:rsidRPr="00BA6590">
        <w:rPr>
          <w:lang w:val="en-GB"/>
        </w:rPr>
        <w:t xml:space="preserve"> 14 </w:t>
      </w:r>
      <w:r w:rsidR="003F5E21" w:rsidRPr="00BA6590">
        <w:rPr>
          <w:lang w:val="en-GB"/>
        </w:rPr>
        <w:t>October</w:t>
      </w:r>
      <w:r w:rsidRPr="00BA6590">
        <w:rPr>
          <w:lang w:val="en-GB"/>
        </w:rPr>
        <w:t xml:space="preserve"> 2012</w:t>
      </w:r>
      <w:r w:rsidR="0080117B" w:rsidRPr="00BA6590">
        <w:rPr>
          <w:lang w:val="en-GB"/>
        </w:rPr>
        <w:t xml:space="preserve"> if they have registered to vote. Awareness campaigns have once again been conducted by the regional authorities to encourage foreign nationals to register, if they have not already done so, and to participate in the election of their local authorities.</w:t>
      </w:r>
    </w:p>
    <w:p w:rsidR="00E50B98" w:rsidRPr="00BA6590" w:rsidRDefault="00E50B98" w:rsidP="00373177">
      <w:pPr>
        <w:pStyle w:val="SingleTxtG"/>
        <w:rPr>
          <w:lang w:val="en-GB"/>
        </w:rPr>
      </w:pPr>
      <w:r w:rsidRPr="00BA6590">
        <w:rPr>
          <w:lang w:val="en-GB"/>
        </w:rPr>
        <w:t>205.</w:t>
      </w:r>
      <w:r w:rsidR="004E090E" w:rsidRPr="00BA6590">
        <w:rPr>
          <w:lang w:val="en-GB"/>
        </w:rPr>
        <w:tab/>
      </w:r>
      <w:r w:rsidRPr="00BA6590">
        <w:rPr>
          <w:lang w:val="en-GB"/>
        </w:rPr>
        <w:t>A</w:t>
      </w:r>
      <w:r w:rsidR="0080117B" w:rsidRPr="00BA6590">
        <w:rPr>
          <w:lang w:val="en-GB"/>
        </w:rPr>
        <w:t xml:space="preserve"> total of</w:t>
      </w:r>
      <w:r w:rsidRPr="00BA6590">
        <w:rPr>
          <w:lang w:val="en-GB"/>
        </w:rPr>
        <w:t xml:space="preserve"> 7</w:t>
      </w:r>
      <w:r w:rsidR="0080117B" w:rsidRPr="00BA6590">
        <w:rPr>
          <w:lang w:val="en-GB"/>
        </w:rPr>
        <w:t>,</w:t>
      </w:r>
      <w:r w:rsidRPr="00BA6590">
        <w:rPr>
          <w:lang w:val="en-GB"/>
        </w:rPr>
        <w:t>966</w:t>
      </w:r>
      <w:r w:rsidR="0080117B" w:rsidRPr="00BA6590">
        <w:rPr>
          <w:lang w:val="en-GB"/>
        </w:rPr>
        <w:t>,</w:t>
      </w:r>
      <w:r w:rsidRPr="00BA6590">
        <w:rPr>
          <w:lang w:val="en-GB"/>
        </w:rPr>
        <w:t>698</w:t>
      </w:r>
      <w:r w:rsidR="0080117B" w:rsidRPr="00BA6590">
        <w:rPr>
          <w:lang w:val="en-GB"/>
        </w:rPr>
        <w:t xml:space="preserve"> people, including 7,825,301 Belgian nationals, are registered on the electoral rolls. Data from the Federal </w:t>
      </w:r>
      <w:r w:rsidR="005F073C" w:rsidRPr="00BA6590">
        <w:rPr>
          <w:lang w:val="en-GB"/>
        </w:rPr>
        <w:t>Department of the Interior</w:t>
      </w:r>
      <w:r w:rsidR="0080117B" w:rsidRPr="00BA6590">
        <w:rPr>
          <w:lang w:val="en-GB"/>
        </w:rPr>
        <w:t xml:space="preserve"> show that </w:t>
      </w:r>
      <w:r w:rsidRPr="00BA6590">
        <w:rPr>
          <w:lang w:val="en-GB"/>
        </w:rPr>
        <w:t>120</w:t>
      </w:r>
      <w:r w:rsidR="0080117B" w:rsidRPr="00BA6590">
        <w:rPr>
          <w:lang w:val="en-GB"/>
        </w:rPr>
        <w:t>,</w:t>
      </w:r>
      <w:r w:rsidRPr="00BA6590">
        <w:rPr>
          <w:lang w:val="en-GB"/>
        </w:rPr>
        <w:t>826</w:t>
      </w:r>
      <w:r w:rsidR="0080117B" w:rsidRPr="00BA6590">
        <w:rPr>
          <w:lang w:val="en-GB"/>
        </w:rPr>
        <w:t xml:space="preserve"> nationals of other EU countries</w:t>
      </w:r>
      <w:r w:rsidRPr="00BA6590">
        <w:rPr>
          <w:lang w:val="en-GB"/>
        </w:rPr>
        <w:t xml:space="preserve"> (18</w:t>
      </w:r>
      <w:r w:rsidR="0080117B" w:rsidRPr="00BA6590">
        <w:rPr>
          <w:lang w:val="en-GB"/>
        </w:rPr>
        <w:t>.</w:t>
      </w:r>
      <w:r w:rsidRPr="00BA6590">
        <w:rPr>
          <w:lang w:val="en-GB"/>
        </w:rPr>
        <w:t>48</w:t>
      </w:r>
      <w:r w:rsidR="00A86EE6" w:rsidRPr="00BA6590">
        <w:rPr>
          <w:lang w:val="en-GB"/>
        </w:rPr>
        <w:t xml:space="preserve"> per cent</w:t>
      </w:r>
      <w:r w:rsidRPr="00BA6590">
        <w:rPr>
          <w:lang w:val="en-GB"/>
        </w:rPr>
        <w:t xml:space="preserve"> </w:t>
      </w:r>
      <w:r w:rsidR="0080117B" w:rsidRPr="00BA6590">
        <w:rPr>
          <w:lang w:val="en-GB"/>
        </w:rPr>
        <w:t>of the total resident in the country</w:t>
      </w:r>
      <w:r w:rsidRPr="00BA6590">
        <w:rPr>
          <w:lang w:val="en-GB"/>
        </w:rPr>
        <w:t>)</w:t>
      </w:r>
      <w:r w:rsidR="0080117B" w:rsidRPr="00BA6590">
        <w:rPr>
          <w:lang w:val="en-GB"/>
        </w:rPr>
        <w:t xml:space="preserve"> and </w:t>
      </w:r>
      <w:r w:rsidRPr="00BA6590">
        <w:rPr>
          <w:lang w:val="en-GB"/>
        </w:rPr>
        <w:t>20</w:t>
      </w:r>
      <w:r w:rsidR="0080117B" w:rsidRPr="00BA6590">
        <w:rPr>
          <w:lang w:val="en-GB"/>
        </w:rPr>
        <w:t>,</w:t>
      </w:r>
      <w:r w:rsidRPr="00BA6590">
        <w:rPr>
          <w:lang w:val="en-GB"/>
        </w:rPr>
        <w:t>571 non</w:t>
      </w:r>
      <w:r w:rsidR="0080117B" w:rsidRPr="00BA6590">
        <w:rPr>
          <w:lang w:val="en-GB"/>
        </w:rPr>
        <w:t>-EU nationals</w:t>
      </w:r>
      <w:r w:rsidRPr="00BA6590">
        <w:rPr>
          <w:lang w:val="en-GB"/>
        </w:rPr>
        <w:t xml:space="preserve"> (14</w:t>
      </w:r>
      <w:r w:rsidR="0080117B" w:rsidRPr="00BA6590">
        <w:rPr>
          <w:lang w:val="en-GB"/>
        </w:rPr>
        <w:t>.</w:t>
      </w:r>
      <w:r w:rsidRPr="00BA6590">
        <w:rPr>
          <w:lang w:val="en-GB"/>
        </w:rPr>
        <w:t>0</w:t>
      </w:r>
      <w:r w:rsidR="0080117B" w:rsidRPr="00BA6590">
        <w:rPr>
          <w:lang w:val="en-GB"/>
        </w:rPr>
        <w:t>2</w:t>
      </w:r>
      <w:r w:rsidR="00A86EE6" w:rsidRPr="00BA6590">
        <w:rPr>
          <w:lang w:val="en-GB"/>
        </w:rPr>
        <w:t xml:space="preserve"> per cent</w:t>
      </w:r>
      <w:r w:rsidRPr="00BA6590">
        <w:rPr>
          <w:lang w:val="en-GB"/>
        </w:rPr>
        <w:t>)</w:t>
      </w:r>
      <w:r w:rsidR="0080117B" w:rsidRPr="00BA6590">
        <w:rPr>
          <w:lang w:val="en-GB"/>
        </w:rPr>
        <w:t xml:space="preserve"> have registered to vote</w:t>
      </w:r>
      <w:r w:rsidRPr="00BA6590">
        <w:rPr>
          <w:lang w:val="en-GB"/>
        </w:rPr>
        <w:t>.</w:t>
      </w:r>
    </w:p>
    <w:p w:rsidR="00E50B98" w:rsidRPr="00BA6590" w:rsidRDefault="00E50B98" w:rsidP="00373177">
      <w:pPr>
        <w:pStyle w:val="SingleTxtG"/>
        <w:rPr>
          <w:lang w:val="en-GB"/>
        </w:rPr>
      </w:pPr>
      <w:r w:rsidRPr="00BA6590">
        <w:rPr>
          <w:lang w:val="en-GB"/>
        </w:rPr>
        <w:t>206.</w:t>
      </w:r>
      <w:r w:rsidRPr="00BA6590">
        <w:rPr>
          <w:lang w:val="en-GB"/>
        </w:rPr>
        <w:tab/>
      </w:r>
      <w:r w:rsidR="0080117B" w:rsidRPr="00BA6590">
        <w:rPr>
          <w:lang w:val="en-GB"/>
        </w:rPr>
        <w:t xml:space="preserve">By comparison, in </w:t>
      </w:r>
      <w:r w:rsidRPr="00BA6590">
        <w:rPr>
          <w:lang w:val="en-GB"/>
        </w:rPr>
        <w:t>2006, 110</w:t>
      </w:r>
      <w:r w:rsidR="0080117B" w:rsidRPr="00BA6590">
        <w:rPr>
          <w:lang w:val="en-GB"/>
        </w:rPr>
        <w:t>,</w:t>
      </w:r>
      <w:r w:rsidRPr="00BA6590">
        <w:rPr>
          <w:lang w:val="en-GB"/>
        </w:rPr>
        <w:t>973 E</w:t>
      </w:r>
      <w:r w:rsidR="0080117B" w:rsidRPr="00BA6590">
        <w:rPr>
          <w:lang w:val="en-GB"/>
        </w:rPr>
        <w:t>U nationals</w:t>
      </w:r>
      <w:r w:rsidRPr="00BA6590">
        <w:rPr>
          <w:lang w:val="en-GB"/>
        </w:rPr>
        <w:t xml:space="preserve"> (20</w:t>
      </w:r>
      <w:r w:rsidR="0080117B" w:rsidRPr="00BA6590">
        <w:rPr>
          <w:lang w:val="en-GB"/>
        </w:rPr>
        <w:t>.</w:t>
      </w:r>
      <w:r w:rsidRPr="00BA6590">
        <w:rPr>
          <w:lang w:val="en-GB"/>
        </w:rPr>
        <w:t>94</w:t>
      </w:r>
      <w:r w:rsidR="00A86EE6" w:rsidRPr="00BA6590">
        <w:rPr>
          <w:lang w:val="en-GB"/>
        </w:rPr>
        <w:t xml:space="preserve"> per cent</w:t>
      </w:r>
      <w:r w:rsidRPr="00BA6590">
        <w:rPr>
          <w:lang w:val="en-GB"/>
        </w:rPr>
        <w:t xml:space="preserve">) </w:t>
      </w:r>
      <w:r w:rsidR="0080117B" w:rsidRPr="00BA6590">
        <w:rPr>
          <w:lang w:val="en-GB"/>
        </w:rPr>
        <w:t>and</w:t>
      </w:r>
      <w:r w:rsidRPr="00BA6590">
        <w:rPr>
          <w:lang w:val="en-GB"/>
        </w:rPr>
        <w:t xml:space="preserve"> 17</w:t>
      </w:r>
      <w:r w:rsidR="0080117B" w:rsidRPr="00BA6590">
        <w:rPr>
          <w:lang w:val="en-GB"/>
        </w:rPr>
        <w:t>,</w:t>
      </w:r>
      <w:r w:rsidRPr="00BA6590">
        <w:rPr>
          <w:lang w:val="en-GB"/>
        </w:rPr>
        <w:t>065 non</w:t>
      </w:r>
      <w:r w:rsidR="0080117B" w:rsidRPr="00BA6590">
        <w:rPr>
          <w:lang w:val="en-GB"/>
        </w:rPr>
        <w:t>-EU nationals</w:t>
      </w:r>
      <w:r w:rsidRPr="00BA6590">
        <w:rPr>
          <w:lang w:val="en-GB"/>
        </w:rPr>
        <w:t xml:space="preserve"> (15</w:t>
      </w:r>
      <w:r w:rsidR="0080117B" w:rsidRPr="00BA6590">
        <w:rPr>
          <w:lang w:val="en-GB"/>
        </w:rPr>
        <w:t>.</w:t>
      </w:r>
      <w:r w:rsidRPr="00BA6590">
        <w:rPr>
          <w:lang w:val="en-GB"/>
        </w:rPr>
        <w:t>7</w:t>
      </w:r>
      <w:r w:rsidR="004E090E" w:rsidRPr="00BA6590">
        <w:rPr>
          <w:lang w:val="en-GB"/>
        </w:rPr>
        <w:t>1</w:t>
      </w:r>
      <w:r w:rsidR="00A86EE6" w:rsidRPr="00BA6590">
        <w:rPr>
          <w:lang w:val="en-GB"/>
        </w:rPr>
        <w:t xml:space="preserve"> per cent</w:t>
      </w:r>
      <w:r w:rsidRPr="00BA6590">
        <w:rPr>
          <w:lang w:val="en-GB"/>
        </w:rPr>
        <w:t>)</w:t>
      </w:r>
      <w:r w:rsidR="0080117B" w:rsidRPr="00BA6590">
        <w:rPr>
          <w:lang w:val="en-GB"/>
        </w:rPr>
        <w:t xml:space="preserve"> had registered. </w:t>
      </w:r>
    </w:p>
    <w:p w:rsidR="00E50B98" w:rsidRPr="00BA6590" w:rsidRDefault="00C47EC3" w:rsidP="00C47EC3">
      <w:pPr>
        <w:pStyle w:val="H1G"/>
        <w:rPr>
          <w:lang w:val="en-GB"/>
        </w:rPr>
      </w:pPr>
      <w:r w:rsidRPr="00BA6590">
        <w:rPr>
          <w:lang w:val="en-GB"/>
        </w:rPr>
        <w:tab/>
      </w:r>
      <w:r w:rsidR="00E50B98" w:rsidRPr="00BA6590">
        <w:rPr>
          <w:lang w:val="en-GB"/>
        </w:rPr>
        <w:t>E.</w:t>
      </w:r>
      <w:r w:rsidR="00E50B98" w:rsidRPr="00BA6590">
        <w:rPr>
          <w:lang w:val="en-GB"/>
        </w:rPr>
        <w:tab/>
      </w:r>
      <w:r w:rsidR="00F55CF4" w:rsidRPr="00BA6590">
        <w:rPr>
          <w:lang w:val="en-GB"/>
        </w:rPr>
        <w:t>Right to freedom of thought, conscience and religion</w:t>
      </w:r>
    </w:p>
    <w:p w:rsidR="00E50B98" w:rsidRPr="00BA6590" w:rsidRDefault="00E50B98" w:rsidP="00E50B98">
      <w:pPr>
        <w:pStyle w:val="SingleTxtG"/>
        <w:rPr>
          <w:lang w:val="en-GB"/>
        </w:rPr>
      </w:pPr>
      <w:r w:rsidRPr="00BA6590">
        <w:rPr>
          <w:lang w:val="en-GB"/>
        </w:rPr>
        <w:t>207.</w:t>
      </w:r>
      <w:r w:rsidRPr="00BA6590">
        <w:rPr>
          <w:lang w:val="en-GB"/>
        </w:rPr>
        <w:tab/>
      </w:r>
      <w:r w:rsidR="008160A2" w:rsidRPr="00BA6590">
        <w:rPr>
          <w:lang w:val="en-GB"/>
        </w:rPr>
        <w:t>Reference is made to the previous report, with the following clarifications.</w:t>
      </w:r>
      <w:r w:rsidR="00D479DF" w:rsidRPr="00BA6590">
        <w:rPr>
          <w:lang w:val="en-GB"/>
        </w:rPr>
        <w:t xml:space="preserve"> </w:t>
      </w:r>
    </w:p>
    <w:p w:rsidR="00E50B98" w:rsidRPr="00BA6590" w:rsidRDefault="00E50B98" w:rsidP="00E50B98">
      <w:pPr>
        <w:pStyle w:val="SingleTxtG"/>
        <w:rPr>
          <w:lang w:val="en-GB"/>
        </w:rPr>
      </w:pPr>
      <w:r w:rsidRPr="00BA6590">
        <w:rPr>
          <w:lang w:val="en-GB"/>
        </w:rPr>
        <w:t>208.</w:t>
      </w:r>
      <w:r w:rsidRPr="00BA6590">
        <w:rPr>
          <w:lang w:val="en-GB"/>
        </w:rPr>
        <w:tab/>
      </w:r>
      <w:r w:rsidR="008160A2" w:rsidRPr="00BA6590">
        <w:rPr>
          <w:lang w:val="en-GB"/>
        </w:rPr>
        <w:t xml:space="preserve">The Muslim Executive of Belgium has experienced internal organizational difficulties and a new survey of its members was conducted by Royal Order of </w:t>
      </w:r>
      <w:r w:rsidRPr="00BA6590">
        <w:rPr>
          <w:lang w:val="en-GB"/>
        </w:rPr>
        <w:t xml:space="preserve">9 </w:t>
      </w:r>
      <w:r w:rsidR="003F5E21" w:rsidRPr="00BA6590">
        <w:rPr>
          <w:lang w:val="en-GB"/>
        </w:rPr>
        <w:t>May</w:t>
      </w:r>
      <w:r w:rsidRPr="00BA6590">
        <w:rPr>
          <w:lang w:val="en-GB"/>
        </w:rPr>
        <w:t xml:space="preserve"> 2008.</w:t>
      </w:r>
      <w:r w:rsidR="008160A2" w:rsidRPr="00BA6590">
        <w:rPr>
          <w:lang w:val="en-GB"/>
        </w:rPr>
        <w:t xml:space="preserve"> Aside from the processing of individual cases, the task of the Executive has been to set a proce</w:t>
      </w:r>
      <w:r w:rsidRPr="00BA6590">
        <w:rPr>
          <w:lang w:val="en-GB"/>
        </w:rPr>
        <w:t>dure</w:t>
      </w:r>
      <w:r w:rsidR="008160A2" w:rsidRPr="00BA6590">
        <w:rPr>
          <w:lang w:val="en-GB"/>
        </w:rPr>
        <w:t xml:space="preserve"> for the renewal of its membership. </w:t>
      </w:r>
      <w:r w:rsidR="00884109" w:rsidRPr="00BA6590">
        <w:rPr>
          <w:lang w:val="en-GB"/>
        </w:rPr>
        <w:t xml:space="preserve">Since it was not </w:t>
      </w:r>
      <w:r w:rsidR="006A17BC" w:rsidRPr="00BA6590">
        <w:rPr>
          <w:lang w:val="en-GB"/>
        </w:rPr>
        <w:t>invited</w:t>
      </w:r>
      <w:r w:rsidR="00884109" w:rsidRPr="00BA6590">
        <w:rPr>
          <w:lang w:val="en-GB"/>
        </w:rPr>
        <w:t xml:space="preserve"> to do so, </w:t>
      </w:r>
      <w:r w:rsidR="008160A2" w:rsidRPr="00BA6590">
        <w:rPr>
          <w:lang w:val="en-GB"/>
        </w:rPr>
        <w:t xml:space="preserve">the survey ended on </w:t>
      </w:r>
      <w:r w:rsidRPr="00BA6590">
        <w:rPr>
          <w:lang w:val="en-GB"/>
        </w:rPr>
        <w:t xml:space="preserve">31 </w:t>
      </w:r>
      <w:r w:rsidR="003F5E21" w:rsidRPr="00BA6590">
        <w:rPr>
          <w:lang w:val="en-GB"/>
        </w:rPr>
        <w:t>December</w:t>
      </w:r>
      <w:r w:rsidRPr="00BA6590">
        <w:rPr>
          <w:lang w:val="en-GB"/>
        </w:rPr>
        <w:t xml:space="preserve"> 2011</w:t>
      </w:r>
      <w:r w:rsidR="008160A2" w:rsidRPr="00BA6590">
        <w:rPr>
          <w:lang w:val="en-GB"/>
        </w:rPr>
        <w:t xml:space="preserve"> and the presiding officers of the Executive </w:t>
      </w:r>
      <w:r w:rsidR="00E26418" w:rsidRPr="00BA6590">
        <w:rPr>
          <w:lang w:val="en-GB"/>
        </w:rPr>
        <w:t>are</w:t>
      </w:r>
      <w:r w:rsidR="008160A2" w:rsidRPr="00BA6590">
        <w:rPr>
          <w:lang w:val="en-GB"/>
        </w:rPr>
        <w:t xml:space="preserve"> </w:t>
      </w:r>
      <w:r w:rsidR="00884109" w:rsidRPr="00BA6590">
        <w:rPr>
          <w:lang w:val="en-GB"/>
        </w:rPr>
        <w:t>taking care of</w:t>
      </w:r>
      <w:r w:rsidR="008160A2" w:rsidRPr="00BA6590">
        <w:rPr>
          <w:lang w:val="en-GB"/>
        </w:rPr>
        <w:t xml:space="preserve"> </w:t>
      </w:r>
      <w:r w:rsidR="00E26418" w:rsidRPr="00BA6590">
        <w:rPr>
          <w:lang w:val="en-GB"/>
        </w:rPr>
        <w:t>everyday business</w:t>
      </w:r>
      <w:r w:rsidR="008160A2" w:rsidRPr="00BA6590">
        <w:rPr>
          <w:lang w:val="en-GB"/>
        </w:rPr>
        <w:t xml:space="preserve">. </w:t>
      </w:r>
    </w:p>
    <w:p w:rsidR="00E50B98" w:rsidRPr="00BA6590" w:rsidRDefault="00E50B98" w:rsidP="00E50B98">
      <w:pPr>
        <w:pStyle w:val="SingleTxtG"/>
        <w:rPr>
          <w:lang w:val="en-GB"/>
        </w:rPr>
      </w:pPr>
      <w:r w:rsidRPr="00BA6590">
        <w:rPr>
          <w:lang w:val="en-GB"/>
        </w:rPr>
        <w:t>209.</w:t>
      </w:r>
      <w:r w:rsidRPr="00BA6590">
        <w:rPr>
          <w:lang w:val="en-GB"/>
        </w:rPr>
        <w:tab/>
      </w:r>
      <w:r w:rsidR="00E26418" w:rsidRPr="00BA6590">
        <w:rPr>
          <w:lang w:val="en-GB"/>
        </w:rPr>
        <w:t>On</w:t>
      </w:r>
      <w:r w:rsidRPr="00BA6590">
        <w:rPr>
          <w:lang w:val="en-GB"/>
        </w:rPr>
        <w:t xml:space="preserve"> 13 </w:t>
      </w:r>
      <w:r w:rsidR="003F5E21" w:rsidRPr="00BA6590">
        <w:rPr>
          <w:lang w:val="en-GB"/>
        </w:rPr>
        <w:t>October</w:t>
      </w:r>
      <w:r w:rsidRPr="00BA6590">
        <w:rPr>
          <w:lang w:val="en-GB"/>
        </w:rPr>
        <w:t xml:space="preserve"> 2005,</w:t>
      </w:r>
      <w:r w:rsidR="00E26418" w:rsidRPr="00BA6590">
        <w:rPr>
          <w:lang w:val="en-GB"/>
        </w:rPr>
        <w:t xml:space="preserve"> the Walloon </w:t>
      </w:r>
      <w:r w:rsidR="00F21548" w:rsidRPr="00BA6590">
        <w:rPr>
          <w:lang w:val="en-GB"/>
        </w:rPr>
        <w:t>government</w:t>
      </w:r>
      <w:r w:rsidR="00E26418" w:rsidRPr="00BA6590">
        <w:rPr>
          <w:lang w:val="en-GB"/>
        </w:rPr>
        <w:t xml:space="preserve"> adopted three Orders on the organization of committees responsible for the secular affairs of recognized Islamic commu</w:t>
      </w:r>
      <w:r w:rsidR="006A17BC" w:rsidRPr="00BA6590">
        <w:rPr>
          <w:lang w:val="en-GB"/>
        </w:rPr>
        <w:t>nities. The Flemish</w:t>
      </w:r>
      <w:r w:rsidR="00E26418" w:rsidRPr="00BA6590">
        <w:rPr>
          <w:lang w:val="en-GB"/>
        </w:rPr>
        <w:t xml:space="preserve"> and Brussels-Capital </w:t>
      </w:r>
      <w:r w:rsidR="006A17BC" w:rsidRPr="00BA6590">
        <w:rPr>
          <w:lang w:val="en-GB"/>
        </w:rPr>
        <w:t xml:space="preserve">Regions </w:t>
      </w:r>
      <w:r w:rsidR="00515080" w:rsidRPr="00BA6590">
        <w:rPr>
          <w:lang w:val="en-GB"/>
        </w:rPr>
        <w:t xml:space="preserve">and the German-speaking Community have adopted rules in those three areas through legislation. </w:t>
      </w:r>
    </w:p>
    <w:p w:rsidR="00E50B98" w:rsidRPr="00BA6590" w:rsidRDefault="00E50B98" w:rsidP="00574C53">
      <w:pPr>
        <w:pStyle w:val="SingleTxtG"/>
        <w:rPr>
          <w:lang w:val="en-GB"/>
        </w:rPr>
      </w:pPr>
      <w:r w:rsidRPr="00BA6590">
        <w:rPr>
          <w:lang w:val="en-GB"/>
        </w:rPr>
        <w:t>210.</w:t>
      </w:r>
      <w:r w:rsidRPr="00BA6590">
        <w:rPr>
          <w:lang w:val="en-GB"/>
        </w:rPr>
        <w:tab/>
      </w:r>
      <w:r w:rsidR="00515080" w:rsidRPr="00BA6590">
        <w:rPr>
          <w:lang w:val="en-GB"/>
        </w:rPr>
        <w:t>On</w:t>
      </w:r>
      <w:r w:rsidRPr="00BA6590">
        <w:rPr>
          <w:lang w:val="en-GB"/>
        </w:rPr>
        <w:t xml:space="preserve"> </w:t>
      </w:r>
      <w:r w:rsidR="002409EB" w:rsidRPr="00BA6590">
        <w:rPr>
          <w:lang w:val="en-GB"/>
        </w:rPr>
        <w:t>1</w:t>
      </w:r>
      <w:r w:rsidR="00515080" w:rsidRPr="00BA6590">
        <w:rPr>
          <w:vertAlign w:val="superscript"/>
          <w:lang w:val="en-GB"/>
        </w:rPr>
        <w:t xml:space="preserve"> </w:t>
      </w:r>
      <w:r w:rsidR="003F5E21" w:rsidRPr="00BA6590">
        <w:rPr>
          <w:lang w:val="en-GB"/>
        </w:rPr>
        <w:t>June</w:t>
      </w:r>
      <w:r w:rsidRPr="00BA6590">
        <w:rPr>
          <w:lang w:val="en-GB"/>
        </w:rPr>
        <w:t xml:space="preserve"> 2011,</w:t>
      </w:r>
      <w:r w:rsidR="00515080" w:rsidRPr="00BA6590">
        <w:rPr>
          <w:lang w:val="en-GB"/>
        </w:rPr>
        <w:t xml:space="preserve"> a law was enacted in Belgium to prohibit the wearing in public places of any clothing which completely or mostly conceals the face</w:t>
      </w:r>
      <w:r w:rsidRPr="00BA6590">
        <w:rPr>
          <w:lang w:val="en-GB"/>
        </w:rPr>
        <w:t xml:space="preserve"> (</w:t>
      </w:r>
      <w:r w:rsidR="002420F6" w:rsidRPr="00BA6590">
        <w:rPr>
          <w:i/>
          <w:lang w:val="en-GB"/>
        </w:rPr>
        <w:t>Moniteur belge</w:t>
      </w:r>
      <w:r w:rsidRPr="00BA6590">
        <w:rPr>
          <w:lang w:val="en-GB"/>
        </w:rPr>
        <w:t xml:space="preserve">, 13 </w:t>
      </w:r>
      <w:r w:rsidR="003F5E21" w:rsidRPr="00BA6590">
        <w:rPr>
          <w:lang w:val="en-GB"/>
        </w:rPr>
        <w:t>July</w:t>
      </w:r>
      <w:r w:rsidRPr="00BA6590">
        <w:rPr>
          <w:lang w:val="en-GB"/>
        </w:rPr>
        <w:t xml:space="preserve"> 2011).</w:t>
      </w:r>
      <w:r w:rsidR="00515080" w:rsidRPr="00BA6590">
        <w:rPr>
          <w:lang w:val="en-GB"/>
        </w:rPr>
        <w:t xml:space="preserve"> The adoption of this legislation is motivated by reasons of public safety; it provi</w:t>
      </w:r>
      <w:r w:rsidR="006A17BC" w:rsidRPr="00BA6590">
        <w:rPr>
          <w:lang w:val="en-GB"/>
        </w:rPr>
        <w:t>des for any offender to be sentenced to a fine of</w:t>
      </w:r>
      <w:r w:rsidR="00515080" w:rsidRPr="00BA6590">
        <w:rPr>
          <w:lang w:val="en-GB"/>
        </w:rPr>
        <w:t xml:space="preserve"> €</w:t>
      </w:r>
      <w:r w:rsidRPr="00BA6590">
        <w:rPr>
          <w:lang w:val="en-GB"/>
        </w:rPr>
        <w:t xml:space="preserve">15 </w:t>
      </w:r>
      <w:r w:rsidR="00515080" w:rsidRPr="00BA6590">
        <w:rPr>
          <w:lang w:val="en-GB"/>
        </w:rPr>
        <w:t>to €</w:t>
      </w:r>
      <w:r w:rsidRPr="00BA6590">
        <w:rPr>
          <w:lang w:val="en-GB"/>
        </w:rPr>
        <w:t>25</w:t>
      </w:r>
      <w:r w:rsidR="00515080" w:rsidRPr="00BA6590">
        <w:rPr>
          <w:lang w:val="en-GB"/>
        </w:rPr>
        <w:t xml:space="preserve"> and </w:t>
      </w:r>
      <w:r w:rsidR="006A17BC" w:rsidRPr="00BA6590">
        <w:rPr>
          <w:lang w:val="en-GB"/>
        </w:rPr>
        <w:t>one</w:t>
      </w:r>
      <w:r w:rsidR="00515080" w:rsidRPr="00BA6590">
        <w:rPr>
          <w:lang w:val="en-GB"/>
        </w:rPr>
        <w:t xml:space="preserve"> to </w:t>
      </w:r>
      <w:r w:rsidR="006A17BC" w:rsidRPr="00BA6590">
        <w:rPr>
          <w:lang w:val="en-GB"/>
        </w:rPr>
        <w:t>seven</w:t>
      </w:r>
      <w:r w:rsidR="00515080" w:rsidRPr="00BA6590">
        <w:rPr>
          <w:lang w:val="en-GB"/>
        </w:rPr>
        <w:t xml:space="preserve"> days</w:t>
      </w:r>
      <w:r w:rsidR="00A216FB" w:rsidRPr="00BA6590">
        <w:rPr>
          <w:lang w:val="en-GB"/>
        </w:rPr>
        <w:t>’</w:t>
      </w:r>
      <w:r w:rsidR="00515080" w:rsidRPr="00BA6590">
        <w:rPr>
          <w:lang w:val="en-GB"/>
        </w:rPr>
        <w:t xml:space="preserve"> imprisonment. A number of </w:t>
      </w:r>
      <w:r w:rsidR="00E27F87" w:rsidRPr="00BA6590">
        <w:rPr>
          <w:lang w:val="en-GB"/>
        </w:rPr>
        <w:t>actions</w:t>
      </w:r>
      <w:r w:rsidR="00515080" w:rsidRPr="00BA6590">
        <w:rPr>
          <w:lang w:val="en-GB"/>
        </w:rPr>
        <w:t xml:space="preserve"> for the suspension or </w:t>
      </w:r>
      <w:r w:rsidR="00E27F87" w:rsidRPr="00BA6590">
        <w:rPr>
          <w:lang w:val="en-GB"/>
        </w:rPr>
        <w:t>annulment</w:t>
      </w:r>
      <w:r w:rsidR="00515080" w:rsidRPr="00BA6590">
        <w:rPr>
          <w:lang w:val="en-GB"/>
        </w:rPr>
        <w:t xml:space="preserve"> of this law have been brought before the Constitutional Court. The two appeals for suspension were denied because the plaintiffs had failed to demonstrate sufficiently that the application of the law was likely to cause them serious harm</w:t>
      </w:r>
      <w:r w:rsidR="00E27F87" w:rsidRPr="00BA6590">
        <w:rPr>
          <w:lang w:val="en-GB"/>
        </w:rPr>
        <w:t xml:space="preserve"> which would be difficult to repair.</w:t>
      </w:r>
      <w:r w:rsidR="005076F3" w:rsidRPr="00BA6590">
        <w:rPr>
          <w:rStyle w:val="FootnoteReference"/>
          <w:lang w:val="en-GB"/>
        </w:rPr>
        <w:footnoteReference w:id="27"/>
      </w:r>
      <w:r w:rsidRPr="00BA6590">
        <w:rPr>
          <w:lang w:val="en-GB"/>
        </w:rPr>
        <w:t xml:space="preserve"> </w:t>
      </w:r>
      <w:r w:rsidR="00E27F87" w:rsidRPr="00BA6590">
        <w:rPr>
          <w:lang w:val="en-GB"/>
        </w:rPr>
        <w:t>The Constitutional Court has yet to reach verdicts on the actions for annulment</w:t>
      </w:r>
      <w:r w:rsidRPr="00BA6590">
        <w:rPr>
          <w:lang w:val="en-GB"/>
        </w:rPr>
        <w:t>.</w:t>
      </w:r>
    </w:p>
    <w:p w:rsidR="00E50B98" w:rsidRPr="00BA6590" w:rsidRDefault="003B0711" w:rsidP="003B0711">
      <w:pPr>
        <w:pStyle w:val="H1G"/>
        <w:rPr>
          <w:lang w:val="en-GB"/>
        </w:rPr>
      </w:pPr>
      <w:r w:rsidRPr="00BA6590">
        <w:rPr>
          <w:lang w:val="en-GB"/>
        </w:rPr>
        <w:tab/>
      </w:r>
      <w:r w:rsidR="00E50B98" w:rsidRPr="00BA6590">
        <w:rPr>
          <w:lang w:val="en-GB"/>
        </w:rPr>
        <w:t>F.</w:t>
      </w:r>
      <w:r w:rsidR="00E50B98" w:rsidRPr="00BA6590">
        <w:rPr>
          <w:lang w:val="en-GB"/>
        </w:rPr>
        <w:tab/>
      </w:r>
      <w:r w:rsidR="00F55CF4" w:rsidRPr="00BA6590">
        <w:rPr>
          <w:lang w:val="en-GB"/>
        </w:rPr>
        <w:t>Employment and labour</w:t>
      </w:r>
    </w:p>
    <w:p w:rsidR="00E50B98" w:rsidRPr="00BA6590" w:rsidRDefault="003B0711" w:rsidP="003B0711">
      <w:pPr>
        <w:pStyle w:val="H23G"/>
        <w:rPr>
          <w:lang w:val="en-GB"/>
        </w:rPr>
      </w:pPr>
      <w:r w:rsidRPr="00BA6590">
        <w:rPr>
          <w:lang w:val="en-GB"/>
        </w:rPr>
        <w:tab/>
      </w:r>
      <w:r w:rsidR="00E50B98" w:rsidRPr="00BA6590">
        <w:rPr>
          <w:lang w:val="en-GB"/>
        </w:rPr>
        <w:t>1</w:t>
      </w:r>
      <w:r w:rsidRPr="00BA6590">
        <w:rPr>
          <w:lang w:val="en-GB"/>
        </w:rPr>
        <w:t>.</w:t>
      </w:r>
      <w:r w:rsidRPr="00BA6590">
        <w:rPr>
          <w:lang w:val="en-GB"/>
        </w:rPr>
        <w:tab/>
      </w:r>
      <w:r w:rsidR="00E27F87" w:rsidRPr="00BA6590">
        <w:rPr>
          <w:lang w:val="en-GB"/>
        </w:rPr>
        <w:t>Federal level</w:t>
      </w:r>
    </w:p>
    <w:p w:rsidR="00E50B98" w:rsidRPr="00BA6590" w:rsidRDefault="003B0711" w:rsidP="003B0711">
      <w:pPr>
        <w:pStyle w:val="H4G"/>
        <w:rPr>
          <w:lang w:val="en-GB"/>
        </w:rPr>
      </w:pPr>
      <w:r w:rsidRPr="00BA6590">
        <w:rPr>
          <w:lang w:val="en-GB"/>
        </w:rPr>
        <w:tab/>
      </w:r>
      <w:r w:rsidRPr="00BA6590">
        <w:rPr>
          <w:lang w:val="en-GB"/>
        </w:rPr>
        <w:tab/>
      </w:r>
      <w:r w:rsidR="007076B8" w:rsidRPr="00BA6590">
        <w:rPr>
          <w:lang w:val="en-GB"/>
        </w:rPr>
        <w:t xml:space="preserve">Anti-discrimination Acts of </w:t>
      </w:r>
      <w:r w:rsidR="00E50B98" w:rsidRPr="00BA6590">
        <w:rPr>
          <w:lang w:val="en-GB"/>
        </w:rPr>
        <w:t xml:space="preserve">10 </w:t>
      </w:r>
      <w:r w:rsidR="003F5E21" w:rsidRPr="00BA6590">
        <w:rPr>
          <w:lang w:val="en-GB"/>
        </w:rPr>
        <w:t>May</w:t>
      </w:r>
      <w:r w:rsidR="00E50B98" w:rsidRPr="00BA6590">
        <w:rPr>
          <w:lang w:val="en-GB"/>
        </w:rPr>
        <w:t xml:space="preserve"> 2007</w:t>
      </w:r>
      <w:r w:rsidR="007076B8" w:rsidRPr="00BA6590">
        <w:rPr>
          <w:lang w:val="en-GB"/>
        </w:rPr>
        <w:t xml:space="preserve"> </w:t>
      </w:r>
      <w:r w:rsidR="00E50B98" w:rsidRPr="00BA6590">
        <w:rPr>
          <w:lang w:val="en-GB"/>
        </w:rPr>
        <w:t xml:space="preserve">– </w:t>
      </w:r>
      <w:r w:rsidR="007076B8" w:rsidRPr="00BA6590">
        <w:rPr>
          <w:lang w:val="en-GB"/>
        </w:rPr>
        <w:t>monitoring of social legislation</w:t>
      </w:r>
    </w:p>
    <w:p w:rsidR="00E50B98" w:rsidRPr="00BA6590" w:rsidRDefault="00E50B98" w:rsidP="00E50B98">
      <w:pPr>
        <w:pStyle w:val="SingleTxtG"/>
        <w:rPr>
          <w:lang w:val="en-GB"/>
        </w:rPr>
      </w:pPr>
      <w:r w:rsidRPr="00BA6590">
        <w:rPr>
          <w:lang w:val="en-GB"/>
        </w:rPr>
        <w:t>211.</w:t>
      </w:r>
      <w:r w:rsidRPr="00BA6590">
        <w:rPr>
          <w:lang w:val="en-GB"/>
        </w:rPr>
        <w:tab/>
      </w:r>
      <w:r w:rsidR="007076B8" w:rsidRPr="00BA6590">
        <w:rPr>
          <w:lang w:val="en-GB"/>
        </w:rPr>
        <w:t xml:space="preserve">In addition to the anti-discrimination legislative arsenal set up by the Acts of </w:t>
      </w:r>
      <w:r w:rsidRPr="00BA6590">
        <w:rPr>
          <w:lang w:val="en-GB"/>
        </w:rPr>
        <w:t>2007,</w:t>
      </w:r>
      <w:r w:rsidR="007076B8" w:rsidRPr="00BA6590">
        <w:rPr>
          <w:lang w:val="en-GB"/>
        </w:rPr>
        <w:t xml:space="preserve"> practical implementation measures were also required to combat discrimination effectively. </w:t>
      </w:r>
      <w:r w:rsidR="00FE013D" w:rsidRPr="00BA6590">
        <w:rPr>
          <w:lang w:val="en-GB"/>
        </w:rPr>
        <w:t xml:space="preserve">One such measure, in the field of labour relations, was the Royal Order of </w:t>
      </w:r>
      <w:r w:rsidRPr="00BA6590">
        <w:rPr>
          <w:lang w:val="en-GB"/>
        </w:rPr>
        <w:t xml:space="preserve">24 </w:t>
      </w:r>
      <w:r w:rsidR="003F5E21" w:rsidRPr="00BA6590">
        <w:rPr>
          <w:lang w:val="en-GB"/>
        </w:rPr>
        <w:t>October</w:t>
      </w:r>
      <w:r w:rsidRPr="00BA6590">
        <w:rPr>
          <w:lang w:val="en-GB"/>
        </w:rPr>
        <w:t xml:space="preserve"> 2008</w:t>
      </w:r>
      <w:r w:rsidR="00907915" w:rsidRPr="00BA6590">
        <w:rPr>
          <w:lang w:val="en-GB"/>
        </w:rPr>
        <w:t xml:space="preserve"> and the Cooper</w:t>
      </w:r>
      <w:r w:rsidR="00FE013D" w:rsidRPr="00BA6590">
        <w:rPr>
          <w:lang w:val="en-GB"/>
        </w:rPr>
        <w:t xml:space="preserve">ation Protocol between the Directorate-General for </w:t>
      </w:r>
      <w:r w:rsidR="003F4A18" w:rsidRPr="00BA6590">
        <w:rPr>
          <w:lang w:val="en-GB"/>
        </w:rPr>
        <w:t>Supervision of Social Legislation</w:t>
      </w:r>
      <w:r w:rsidR="00FE013D" w:rsidRPr="00BA6590">
        <w:rPr>
          <w:lang w:val="en-GB"/>
        </w:rPr>
        <w:t xml:space="preserve"> and the </w:t>
      </w:r>
      <w:r w:rsidR="004B472D" w:rsidRPr="00BA6590">
        <w:rPr>
          <w:lang w:val="en-GB"/>
        </w:rPr>
        <w:t>Centre for Equal Opportunities and Action</w:t>
      </w:r>
      <w:r w:rsidR="006E73EA" w:rsidRPr="00BA6590">
        <w:rPr>
          <w:lang w:val="en-GB"/>
        </w:rPr>
        <w:t xml:space="preserve"> to Combat Racism</w:t>
      </w:r>
      <w:r w:rsidRPr="00BA6590">
        <w:rPr>
          <w:lang w:val="en-GB"/>
        </w:rPr>
        <w:t>.</w:t>
      </w:r>
    </w:p>
    <w:p w:rsidR="00E50B98" w:rsidRPr="00BA6590" w:rsidRDefault="003B0711" w:rsidP="003B0711">
      <w:pPr>
        <w:pStyle w:val="H4G"/>
        <w:rPr>
          <w:lang w:val="en-GB"/>
        </w:rPr>
      </w:pPr>
      <w:r w:rsidRPr="00BA6590">
        <w:rPr>
          <w:lang w:val="en-GB"/>
        </w:rPr>
        <w:tab/>
      </w:r>
      <w:r w:rsidRPr="00BA6590">
        <w:rPr>
          <w:lang w:val="en-GB"/>
        </w:rPr>
        <w:tab/>
      </w:r>
      <w:r w:rsidR="00FE013D" w:rsidRPr="00BA6590">
        <w:rPr>
          <w:lang w:val="en-GB"/>
        </w:rPr>
        <w:t>Royal Order of</w:t>
      </w:r>
      <w:r w:rsidR="00E50B98" w:rsidRPr="00BA6590">
        <w:rPr>
          <w:lang w:val="en-GB"/>
        </w:rPr>
        <w:t xml:space="preserve"> 24 </w:t>
      </w:r>
      <w:r w:rsidR="003F5E21" w:rsidRPr="00BA6590">
        <w:rPr>
          <w:lang w:val="en-GB"/>
        </w:rPr>
        <w:t>October</w:t>
      </w:r>
      <w:r w:rsidR="00E50B98" w:rsidRPr="00BA6590">
        <w:rPr>
          <w:lang w:val="en-GB"/>
        </w:rPr>
        <w:t xml:space="preserve"> 2008</w:t>
      </w:r>
      <w:r w:rsidR="00816807" w:rsidRPr="00BA6590">
        <w:rPr>
          <w:lang w:val="en-GB"/>
        </w:rPr>
        <w:t xml:space="preserve"> appointing the officials responsible for monitoring compliance with the Act</w:t>
      </w:r>
      <w:r w:rsidR="001779EE" w:rsidRPr="00BA6590">
        <w:rPr>
          <w:lang w:val="en-GB"/>
        </w:rPr>
        <w:t xml:space="preserve"> </w:t>
      </w:r>
      <w:r w:rsidR="00236121" w:rsidRPr="00BA6590">
        <w:rPr>
          <w:lang w:val="en-GB"/>
        </w:rPr>
        <w:t xml:space="preserve">of 10 May 2007 </w:t>
      </w:r>
      <w:r w:rsidR="00816807" w:rsidRPr="00BA6590">
        <w:rPr>
          <w:lang w:val="en-GB"/>
        </w:rPr>
        <w:t>and its implementing Orders</w:t>
      </w:r>
    </w:p>
    <w:p w:rsidR="00E50B98" w:rsidRPr="00BA6590" w:rsidRDefault="00E50B98" w:rsidP="00574C53">
      <w:pPr>
        <w:pStyle w:val="SingleTxtG"/>
        <w:rPr>
          <w:lang w:val="en-GB"/>
        </w:rPr>
      </w:pPr>
      <w:r w:rsidRPr="00BA6590">
        <w:rPr>
          <w:lang w:val="en-GB"/>
        </w:rPr>
        <w:t>212.</w:t>
      </w:r>
      <w:r w:rsidRPr="00BA6590">
        <w:rPr>
          <w:lang w:val="en-GB"/>
        </w:rPr>
        <w:tab/>
      </w:r>
      <w:r w:rsidR="00816807" w:rsidRPr="00BA6590">
        <w:rPr>
          <w:lang w:val="en-GB"/>
        </w:rPr>
        <w:t xml:space="preserve">This Royal Order makes the Directorate-General for </w:t>
      </w:r>
      <w:r w:rsidR="003F4A18" w:rsidRPr="00BA6590">
        <w:rPr>
          <w:lang w:val="en-GB"/>
        </w:rPr>
        <w:t>Supervision of Social Legislation</w:t>
      </w:r>
      <w:r w:rsidR="00816807" w:rsidRPr="00BA6590">
        <w:rPr>
          <w:lang w:val="en-GB"/>
        </w:rPr>
        <w:t xml:space="preserve"> of the </w:t>
      </w:r>
      <w:r w:rsidR="005F073C" w:rsidRPr="00BA6590">
        <w:rPr>
          <w:lang w:val="en-GB"/>
        </w:rPr>
        <w:t>Federal</w:t>
      </w:r>
      <w:r w:rsidR="00816807" w:rsidRPr="00BA6590">
        <w:rPr>
          <w:lang w:val="en-GB"/>
        </w:rPr>
        <w:t xml:space="preserve"> </w:t>
      </w:r>
      <w:r w:rsidR="005F073C" w:rsidRPr="00BA6590">
        <w:rPr>
          <w:lang w:val="en-GB"/>
        </w:rPr>
        <w:t>Department of</w:t>
      </w:r>
      <w:r w:rsidR="00816807" w:rsidRPr="00BA6590">
        <w:rPr>
          <w:lang w:val="en-GB"/>
        </w:rPr>
        <w:t xml:space="preserve"> Employment, Labour and Social Dialogue responsible for monitoring the </w:t>
      </w:r>
      <w:r w:rsidR="007B1A40" w:rsidRPr="00BA6590">
        <w:rPr>
          <w:lang w:val="en-GB"/>
        </w:rPr>
        <w:t>anti-racism and anti-discrimination laws</w:t>
      </w:r>
      <w:r w:rsidR="00816807" w:rsidRPr="00BA6590">
        <w:rPr>
          <w:lang w:val="en-GB"/>
        </w:rPr>
        <w:t xml:space="preserve"> of </w:t>
      </w:r>
      <w:r w:rsidRPr="00BA6590">
        <w:rPr>
          <w:lang w:val="en-GB"/>
        </w:rPr>
        <w:t xml:space="preserve">10 </w:t>
      </w:r>
      <w:r w:rsidR="003F5E21" w:rsidRPr="00BA6590">
        <w:rPr>
          <w:lang w:val="en-GB"/>
        </w:rPr>
        <w:t>May</w:t>
      </w:r>
      <w:r w:rsidR="007B1A40" w:rsidRPr="00BA6590">
        <w:rPr>
          <w:lang w:val="en-GB"/>
        </w:rPr>
        <w:t xml:space="preserve"> 2007</w:t>
      </w:r>
      <w:r w:rsidR="00816807" w:rsidRPr="00BA6590">
        <w:rPr>
          <w:lang w:val="en-GB"/>
        </w:rPr>
        <w:t xml:space="preserve"> in the area of labour relations. </w:t>
      </w:r>
    </w:p>
    <w:p w:rsidR="00E50B98" w:rsidRPr="00BA6590" w:rsidRDefault="00E50B98" w:rsidP="00E50B98">
      <w:pPr>
        <w:pStyle w:val="SingleTxtG"/>
        <w:rPr>
          <w:lang w:val="en-GB"/>
        </w:rPr>
      </w:pPr>
      <w:r w:rsidRPr="00BA6590">
        <w:rPr>
          <w:lang w:val="en-GB"/>
        </w:rPr>
        <w:t>213.</w:t>
      </w:r>
      <w:r w:rsidR="004E090E" w:rsidRPr="00BA6590">
        <w:rPr>
          <w:lang w:val="en-GB"/>
        </w:rPr>
        <w:tab/>
      </w:r>
      <w:r w:rsidR="00816807" w:rsidRPr="00BA6590">
        <w:rPr>
          <w:lang w:val="en-GB"/>
        </w:rPr>
        <w:t>In practice, it takes note or acknowledges receipt</w:t>
      </w:r>
      <w:r w:rsidR="006A17BC" w:rsidRPr="00BA6590">
        <w:rPr>
          <w:lang w:val="en-GB"/>
        </w:rPr>
        <w:t xml:space="preserve"> of formal complaints</w:t>
      </w:r>
      <w:r w:rsidR="00816807" w:rsidRPr="00BA6590">
        <w:rPr>
          <w:lang w:val="en-GB"/>
        </w:rPr>
        <w:t>, requests additional information on the reported events and motives, makes inquiries into the possible evidence available and asks whether the complainant</w:t>
      </w:r>
      <w:r w:rsidR="00A216FB" w:rsidRPr="00BA6590">
        <w:rPr>
          <w:lang w:val="en-GB"/>
        </w:rPr>
        <w:t>’</w:t>
      </w:r>
      <w:r w:rsidR="00816807" w:rsidRPr="00BA6590">
        <w:rPr>
          <w:lang w:val="en-GB"/>
        </w:rPr>
        <w:t xml:space="preserve">s identity may or may not be used. It is important to verify whether the complaint is based on one of the grounds of discrimination and ask the complainant to formulate and clarify his or her grievances. </w:t>
      </w:r>
    </w:p>
    <w:p w:rsidR="00E50B98" w:rsidRPr="00BA6590" w:rsidRDefault="00E50B98" w:rsidP="00E50B98">
      <w:pPr>
        <w:pStyle w:val="SingleTxtG"/>
        <w:rPr>
          <w:lang w:val="en-GB"/>
        </w:rPr>
      </w:pPr>
      <w:r w:rsidRPr="00BA6590">
        <w:rPr>
          <w:lang w:val="en-GB"/>
        </w:rPr>
        <w:t>214.</w:t>
      </w:r>
      <w:r w:rsidRPr="00BA6590">
        <w:rPr>
          <w:lang w:val="en-GB"/>
        </w:rPr>
        <w:tab/>
      </w:r>
      <w:r w:rsidR="00DC70DF" w:rsidRPr="00BA6590">
        <w:rPr>
          <w:lang w:val="en-GB"/>
        </w:rPr>
        <w:t xml:space="preserve">The Acts specify that the employer may take no negative measure against the person who has made a complaint except for reasons unrelated to it (see above). When the dispute is submitted to the Labour Court, the burden of proof lies on the employer. </w:t>
      </w:r>
    </w:p>
    <w:p w:rsidR="00E50B98" w:rsidRPr="00BA6590" w:rsidRDefault="00E50B98" w:rsidP="00001E3B">
      <w:pPr>
        <w:pStyle w:val="SingleTxtG"/>
        <w:rPr>
          <w:lang w:val="en-GB"/>
        </w:rPr>
      </w:pPr>
      <w:r w:rsidRPr="00BA6590">
        <w:rPr>
          <w:lang w:val="en-GB"/>
        </w:rPr>
        <w:t>215.</w:t>
      </w:r>
      <w:r w:rsidRPr="00BA6590">
        <w:rPr>
          <w:lang w:val="en-GB"/>
        </w:rPr>
        <w:tab/>
      </w:r>
      <w:r w:rsidR="00331755" w:rsidRPr="00BA6590">
        <w:rPr>
          <w:lang w:val="en-GB"/>
        </w:rPr>
        <w:t xml:space="preserve">In </w:t>
      </w:r>
      <w:r w:rsidRPr="00BA6590">
        <w:rPr>
          <w:lang w:val="en-GB"/>
        </w:rPr>
        <w:t>2007</w:t>
      </w:r>
      <w:r w:rsidR="00D94C5A" w:rsidRPr="00BA6590">
        <w:rPr>
          <w:szCs w:val="24"/>
          <w:lang w:val="en-GB"/>
        </w:rPr>
        <w:t>–</w:t>
      </w:r>
      <w:r w:rsidRPr="00BA6590">
        <w:rPr>
          <w:lang w:val="en-GB"/>
        </w:rPr>
        <w:t xml:space="preserve">2011, </w:t>
      </w:r>
      <w:r w:rsidR="00331755" w:rsidRPr="00BA6590">
        <w:rPr>
          <w:lang w:val="en-GB"/>
        </w:rPr>
        <w:t xml:space="preserve">the Directorate-General for </w:t>
      </w:r>
      <w:r w:rsidR="003F4A18" w:rsidRPr="00BA6590">
        <w:rPr>
          <w:lang w:val="en-GB"/>
        </w:rPr>
        <w:t>Supervision of Social Legislation</w:t>
      </w:r>
      <w:r w:rsidR="00331755" w:rsidRPr="00BA6590">
        <w:rPr>
          <w:lang w:val="en-GB"/>
        </w:rPr>
        <w:t xml:space="preserve"> recorded </w:t>
      </w:r>
      <w:r w:rsidRPr="00BA6590">
        <w:rPr>
          <w:lang w:val="en-GB"/>
        </w:rPr>
        <w:t>66</w:t>
      </w:r>
      <w:r w:rsidR="00331755" w:rsidRPr="00BA6590">
        <w:rPr>
          <w:lang w:val="en-GB"/>
        </w:rPr>
        <w:t xml:space="preserve"> com</w:t>
      </w:r>
      <w:r w:rsidRPr="00BA6590">
        <w:rPr>
          <w:lang w:val="en-GB"/>
        </w:rPr>
        <w:t>plaints.</w:t>
      </w:r>
      <w:r w:rsidR="00331755" w:rsidRPr="00BA6590">
        <w:rPr>
          <w:lang w:val="en-GB"/>
        </w:rPr>
        <w:t xml:space="preserve"> The statistics make no distinction between the different forms of discrimination. None of the complaints </w:t>
      </w:r>
      <w:r w:rsidR="00B71103" w:rsidRPr="00BA6590">
        <w:rPr>
          <w:lang w:val="en-GB"/>
        </w:rPr>
        <w:t>ultimately went to court</w:t>
      </w:r>
      <w:r w:rsidR="00331755" w:rsidRPr="00BA6590">
        <w:rPr>
          <w:lang w:val="en-GB"/>
        </w:rPr>
        <w:t>, but there were seven warnings and three</w:t>
      </w:r>
      <w:r w:rsidR="00B71103" w:rsidRPr="00BA6590">
        <w:rPr>
          <w:lang w:val="en-GB"/>
        </w:rPr>
        <w:t xml:space="preserve"> administrative orders</w:t>
      </w:r>
      <w:r w:rsidRPr="00BA6590">
        <w:rPr>
          <w:lang w:val="en-GB"/>
        </w:rPr>
        <w:t>.</w:t>
      </w:r>
      <w:r w:rsidR="00331755" w:rsidRPr="00BA6590">
        <w:rPr>
          <w:lang w:val="en-GB"/>
        </w:rPr>
        <w:t xml:space="preserve"> Some files opened in </w:t>
      </w:r>
      <w:r w:rsidRPr="00BA6590">
        <w:rPr>
          <w:lang w:val="en-GB"/>
        </w:rPr>
        <w:t>2011</w:t>
      </w:r>
      <w:r w:rsidR="00331755" w:rsidRPr="00BA6590">
        <w:rPr>
          <w:lang w:val="en-GB"/>
        </w:rPr>
        <w:t xml:space="preserve"> are still pending.</w:t>
      </w:r>
      <w:r w:rsidR="001F3CAB" w:rsidRPr="00BA6590">
        <w:rPr>
          <w:lang w:val="en-GB"/>
        </w:rPr>
        <w:t xml:space="preserve"> </w:t>
      </w:r>
    </w:p>
    <w:p w:rsidR="00E50B98" w:rsidRPr="00BA6590" w:rsidRDefault="003B0711" w:rsidP="003B0711">
      <w:pPr>
        <w:pStyle w:val="H4G"/>
        <w:rPr>
          <w:lang w:val="en-GB"/>
        </w:rPr>
      </w:pPr>
      <w:r w:rsidRPr="00BA6590">
        <w:rPr>
          <w:lang w:val="en-GB"/>
        </w:rPr>
        <w:tab/>
      </w:r>
      <w:r w:rsidRPr="00BA6590">
        <w:rPr>
          <w:lang w:val="en-GB"/>
        </w:rPr>
        <w:tab/>
      </w:r>
      <w:r w:rsidR="003F4A18" w:rsidRPr="00BA6590">
        <w:rPr>
          <w:lang w:val="en-GB"/>
        </w:rPr>
        <w:t>C</w:t>
      </w:r>
      <w:r w:rsidR="00907915" w:rsidRPr="00BA6590">
        <w:rPr>
          <w:lang w:val="en-GB"/>
        </w:rPr>
        <w:t>ooper</w:t>
      </w:r>
      <w:r w:rsidR="00E50B98" w:rsidRPr="00BA6590">
        <w:rPr>
          <w:lang w:val="en-GB"/>
        </w:rPr>
        <w:t>ation</w:t>
      </w:r>
      <w:r w:rsidR="003F4A18" w:rsidRPr="00BA6590">
        <w:rPr>
          <w:lang w:val="en-GB"/>
        </w:rPr>
        <w:t xml:space="preserve"> </w:t>
      </w:r>
      <w:r w:rsidR="000B47CE" w:rsidRPr="00BA6590">
        <w:rPr>
          <w:lang w:val="en-GB"/>
        </w:rPr>
        <w:t xml:space="preserve">Protocol </w:t>
      </w:r>
      <w:r w:rsidR="003F4A18" w:rsidRPr="00BA6590">
        <w:rPr>
          <w:lang w:val="en-GB"/>
        </w:rPr>
        <w:t>between the Directorate-General for Supervision of Social Legislation</w:t>
      </w:r>
      <w:r w:rsidR="00E50B98" w:rsidRPr="00BA6590">
        <w:rPr>
          <w:lang w:val="en-GB"/>
        </w:rPr>
        <w:t xml:space="preserve"> </w:t>
      </w:r>
      <w:r w:rsidR="003F4A18" w:rsidRPr="00BA6590">
        <w:rPr>
          <w:lang w:val="en-GB"/>
        </w:rPr>
        <w:t>and the</w:t>
      </w:r>
      <w:r w:rsidR="00E50B98" w:rsidRPr="00BA6590">
        <w:rPr>
          <w:lang w:val="en-GB"/>
        </w:rPr>
        <w:t xml:space="preserve"> </w:t>
      </w:r>
      <w:r w:rsidR="004B472D" w:rsidRPr="00BA6590">
        <w:rPr>
          <w:lang w:val="en-GB"/>
        </w:rPr>
        <w:t>Centre for Equal Opportunities and Action</w:t>
      </w:r>
      <w:r w:rsidR="006E73EA" w:rsidRPr="00BA6590">
        <w:rPr>
          <w:lang w:val="en-GB"/>
        </w:rPr>
        <w:t xml:space="preserve"> to Combat Racism</w:t>
      </w:r>
    </w:p>
    <w:p w:rsidR="00E50B98" w:rsidRPr="00BA6590" w:rsidRDefault="00E50B98" w:rsidP="00E50B98">
      <w:pPr>
        <w:pStyle w:val="SingleTxtG"/>
        <w:rPr>
          <w:lang w:val="en-GB"/>
        </w:rPr>
      </w:pPr>
      <w:r w:rsidRPr="00BA6590">
        <w:rPr>
          <w:lang w:val="en-GB"/>
        </w:rPr>
        <w:t>216.</w:t>
      </w:r>
      <w:r w:rsidRPr="00BA6590">
        <w:rPr>
          <w:lang w:val="en-GB"/>
        </w:rPr>
        <w:tab/>
      </w:r>
      <w:r w:rsidR="003F4A18" w:rsidRPr="00BA6590">
        <w:rPr>
          <w:lang w:val="en-GB"/>
        </w:rPr>
        <w:t>The</w:t>
      </w:r>
      <w:r w:rsidRPr="00BA6590">
        <w:rPr>
          <w:lang w:val="en-GB"/>
        </w:rPr>
        <w:t xml:space="preserve"> </w:t>
      </w:r>
      <w:r w:rsidR="003F4A18" w:rsidRPr="00BA6590">
        <w:rPr>
          <w:lang w:val="en-GB"/>
        </w:rPr>
        <w:t>Directorate-General for Supervision of Social Legislation</w:t>
      </w:r>
      <w:r w:rsidR="004D2DDA" w:rsidRPr="00BA6590">
        <w:rPr>
          <w:lang w:val="en-GB"/>
        </w:rPr>
        <w:t xml:space="preserve"> is the only inspectorate service with authority to monitor the application of the aforementioned federal legislation. It has investigative powers and, in case of an offence, it can </w:t>
      </w:r>
      <w:r w:rsidR="006A17BC" w:rsidRPr="00BA6590">
        <w:rPr>
          <w:lang w:val="en-GB"/>
        </w:rPr>
        <w:t>use</w:t>
      </w:r>
      <w:r w:rsidR="004D2DDA" w:rsidRPr="00BA6590">
        <w:rPr>
          <w:lang w:val="en-GB"/>
        </w:rPr>
        <w:t xml:space="preserve"> its authority to settle the case judicially or use its discretionary power to bring about an extrajudicial </w:t>
      </w:r>
      <w:r w:rsidR="006A17BC" w:rsidRPr="00BA6590">
        <w:rPr>
          <w:lang w:val="en-GB"/>
        </w:rPr>
        <w:t>settlement</w:t>
      </w:r>
      <w:r w:rsidR="004D2DDA" w:rsidRPr="00BA6590">
        <w:rPr>
          <w:lang w:val="en-GB"/>
        </w:rPr>
        <w:t>.</w:t>
      </w:r>
    </w:p>
    <w:p w:rsidR="00E50B98" w:rsidRPr="00BA6590" w:rsidRDefault="00E50B98" w:rsidP="00E50B98">
      <w:pPr>
        <w:pStyle w:val="SingleTxtG"/>
        <w:rPr>
          <w:lang w:val="en-GB"/>
        </w:rPr>
      </w:pPr>
      <w:r w:rsidRPr="00BA6590">
        <w:rPr>
          <w:lang w:val="en-GB"/>
        </w:rPr>
        <w:t>217.</w:t>
      </w:r>
      <w:r w:rsidRPr="00BA6590">
        <w:rPr>
          <w:lang w:val="en-GB"/>
        </w:rPr>
        <w:tab/>
      </w:r>
      <w:r w:rsidR="00D95EC9" w:rsidRPr="00BA6590">
        <w:rPr>
          <w:lang w:val="en-GB"/>
        </w:rPr>
        <w:t xml:space="preserve">On 22 October 2010 a </w:t>
      </w:r>
      <w:r w:rsidR="00907915" w:rsidRPr="00BA6590">
        <w:rPr>
          <w:lang w:val="en-GB"/>
        </w:rPr>
        <w:t>cooperation protocol</w:t>
      </w:r>
      <w:r w:rsidR="00D95EC9" w:rsidRPr="00BA6590">
        <w:rPr>
          <w:lang w:val="en-GB"/>
        </w:rPr>
        <w:t xml:space="preserve"> was concluded between the Directorate</w:t>
      </w:r>
      <w:r w:rsidR="00D94C5A" w:rsidRPr="00BA6590">
        <w:rPr>
          <w:lang w:val="en-GB"/>
        </w:rPr>
        <w:noBreakHyphen/>
      </w:r>
      <w:r w:rsidR="00D95EC9" w:rsidRPr="00BA6590">
        <w:rPr>
          <w:lang w:val="en-GB"/>
        </w:rPr>
        <w:t xml:space="preserve">General and the </w:t>
      </w:r>
      <w:r w:rsidR="004B472D" w:rsidRPr="00BA6590">
        <w:rPr>
          <w:lang w:val="en-GB"/>
        </w:rPr>
        <w:t>Centre for Equal Opportunities and Action</w:t>
      </w:r>
      <w:r w:rsidR="006E73EA" w:rsidRPr="00BA6590">
        <w:rPr>
          <w:lang w:val="en-GB"/>
        </w:rPr>
        <w:t xml:space="preserve"> to Combat Racism</w:t>
      </w:r>
      <w:r w:rsidRPr="00BA6590">
        <w:rPr>
          <w:lang w:val="en-GB"/>
        </w:rPr>
        <w:t>.</w:t>
      </w:r>
      <w:r w:rsidR="00D95EC9" w:rsidRPr="00BA6590">
        <w:rPr>
          <w:lang w:val="en-GB"/>
        </w:rPr>
        <w:t xml:space="preserve"> The purpose of this collaboration is to bring about extrajudicial settlements, to the extent possible, of disputes regarding discrimination in the workplace. The two </w:t>
      </w:r>
      <w:r w:rsidRPr="00BA6590">
        <w:rPr>
          <w:lang w:val="en-GB"/>
        </w:rPr>
        <w:t>institutions pr</w:t>
      </w:r>
      <w:r w:rsidR="00D95EC9" w:rsidRPr="00BA6590">
        <w:rPr>
          <w:lang w:val="en-GB"/>
        </w:rPr>
        <w:t xml:space="preserve">efer to promote awareness among offenders and persuade them to take measures to prevent </w:t>
      </w:r>
      <w:r w:rsidRPr="00BA6590">
        <w:rPr>
          <w:lang w:val="en-GB"/>
        </w:rPr>
        <w:t>discrimination</w:t>
      </w:r>
      <w:r w:rsidR="00D95EC9" w:rsidRPr="00BA6590">
        <w:rPr>
          <w:lang w:val="en-GB"/>
        </w:rPr>
        <w:t xml:space="preserve"> and foster diversity. </w:t>
      </w:r>
      <w:r w:rsidR="006A17BC" w:rsidRPr="00BA6590">
        <w:rPr>
          <w:lang w:val="en-GB"/>
        </w:rPr>
        <w:t>J</w:t>
      </w:r>
      <w:r w:rsidR="00D95EC9" w:rsidRPr="00BA6590">
        <w:rPr>
          <w:lang w:val="en-GB"/>
        </w:rPr>
        <w:t xml:space="preserve">udicial </w:t>
      </w:r>
      <w:r w:rsidR="006A17BC" w:rsidRPr="00BA6590">
        <w:rPr>
          <w:lang w:val="en-GB"/>
        </w:rPr>
        <w:t>settlements</w:t>
      </w:r>
      <w:r w:rsidR="00D95EC9" w:rsidRPr="00BA6590">
        <w:rPr>
          <w:lang w:val="en-GB"/>
        </w:rPr>
        <w:t xml:space="preserve"> should </w:t>
      </w:r>
      <w:r w:rsidR="006A17BC" w:rsidRPr="00BA6590">
        <w:rPr>
          <w:lang w:val="en-GB"/>
        </w:rPr>
        <w:t xml:space="preserve">therefore </w:t>
      </w:r>
      <w:r w:rsidR="00D95EC9" w:rsidRPr="00BA6590">
        <w:rPr>
          <w:lang w:val="en-GB"/>
        </w:rPr>
        <w:t xml:space="preserve">be the exception to the rule. In practical terms, this collaboration involves the sharing of data and know-how between the two bodies, through focal points. </w:t>
      </w:r>
    </w:p>
    <w:p w:rsidR="00E50B98" w:rsidRPr="00BA6590" w:rsidRDefault="003B0711" w:rsidP="003B0711">
      <w:pPr>
        <w:pStyle w:val="H56G"/>
        <w:rPr>
          <w:lang w:val="en-GB"/>
        </w:rPr>
      </w:pPr>
      <w:r w:rsidRPr="00BA6590">
        <w:rPr>
          <w:lang w:val="en-GB"/>
        </w:rPr>
        <w:tab/>
      </w:r>
      <w:r w:rsidRPr="00BA6590">
        <w:rPr>
          <w:lang w:val="en-GB"/>
        </w:rPr>
        <w:tab/>
      </w:r>
      <w:r w:rsidR="00D95EC9" w:rsidRPr="00BA6590">
        <w:rPr>
          <w:lang w:val="en-GB"/>
        </w:rPr>
        <w:t>The Equality and Diversity Label</w:t>
      </w:r>
    </w:p>
    <w:p w:rsidR="00E50B98" w:rsidRPr="00BA6590" w:rsidRDefault="00E50B98" w:rsidP="00BA355C">
      <w:pPr>
        <w:pStyle w:val="SingleTxtG"/>
        <w:rPr>
          <w:lang w:val="en-GB"/>
        </w:rPr>
      </w:pPr>
      <w:r w:rsidRPr="00BA6590">
        <w:rPr>
          <w:lang w:val="en-GB"/>
        </w:rPr>
        <w:t>218.</w:t>
      </w:r>
      <w:r w:rsidRPr="00BA6590">
        <w:rPr>
          <w:lang w:val="en-GB"/>
        </w:rPr>
        <w:tab/>
      </w:r>
      <w:r w:rsidR="006A6126" w:rsidRPr="00BA6590">
        <w:rPr>
          <w:lang w:val="en-GB"/>
        </w:rPr>
        <w:t xml:space="preserve">In 2005, the Multicultural Business Unit of the Federal </w:t>
      </w:r>
      <w:r w:rsidR="005F073C" w:rsidRPr="00BA6590">
        <w:rPr>
          <w:lang w:val="en-GB"/>
        </w:rPr>
        <w:t>Department of</w:t>
      </w:r>
      <w:r w:rsidR="006A6126" w:rsidRPr="00BA6590">
        <w:rPr>
          <w:lang w:val="en-GB"/>
        </w:rPr>
        <w:t xml:space="preserve"> Employment, Labour and Social Dialogue, whose role and tasks were described in the previous report, created an instrument known as the </w:t>
      </w:r>
      <w:r w:rsidR="00A216FB" w:rsidRPr="00BA6590">
        <w:rPr>
          <w:lang w:val="en-GB"/>
        </w:rPr>
        <w:t>“</w:t>
      </w:r>
      <w:r w:rsidR="006A6126" w:rsidRPr="00BA6590">
        <w:rPr>
          <w:lang w:val="en-GB"/>
        </w:rPr>
        <w:t>Equality and Diversity Label</w:t>
      </w:r>
      <w:r w:rsidR="00A216FB" w:rsidRPr="00BA6590">
        <w:rPr>
          <w:lang w:val="en-GB"/>
        </w:rPr>
        <w:t>”</w:t>
      </w:r>
      <w:r w:rsidR="006A6126" w:rsidRPr="00BA6590">
        <w:rPr>
          <w:lang w:val="en-GB"/>
        </w:rPr>
        <w:t>.</w:t>
      </w:r>
    </w:p>
    <w:p w:rsidR="00E50B98" w:rsidRPr="00BA6590" w:rsidRDefault="003B0711" w:rsidP="003B0711">
      <w:pPr>
        <w:pStyle w:val="H56G"/>
        <w:rPr>
          <w:lang w:val="en-GB"/>
        </w:rPr>
      </w:pPr>
      <w:r w:rsidRPr="00BA6590">
        <w:rPr>
          <w:lang w:val="en-GB"/>
        </w:rPr>
        <w:tab/>
      </w:r>
      <w:r w:rsidRPr="00BA6590">
        <w:rPr>
          <w:lang w:val="en-GB"/>
        </w:rPr>
        <w:tab/>
      </w:r>
      <w:r w:rsidR="006A6126" w:rsidRPr="00BA6590">
        <w:rPr>
          <w:lang w:val="en-GB"/>
        </w:rPr>
        <w:t>Project fr</w:t>
      </w:r>
      <w:r w:rsidR="007E2670" w:rsidRPr="00BA6590">
        <w:rPr>
          <w:lang w:val="en-GB"/>
        </w:rPr>
        <w:t>amework and general description</w:t>
      </w:r>
    </w:p>
    <w:p w:rsidR="00E50B98" w:rsidRPr="00BA6590" w:rsidRDefault="00E50B98" w:rsidP="00BA355C">
      <w:pPr>
        <w:pStyle w:val="SingleTxtG"/>
        <w:rPr>
          <w:lang w:val="en-GB"/>
        </w:rPr>
      </w:pPr>
      <w:r w:rsidRPr="00BA6590">
        <w:rPr>
          <w:lang w:val="en-GB"/>
        </w:rPr>
        <w:t>219.</w:t>
      </w:r>
      <w:r w:rsidRPr="00BA6590">
        <w:rPr>
          <w:lang w:val="en-GB"/>
        </w:rPr>
        <w:tab/>
      </w:r>
      <w:r w:rsidR="006A17BC" w:rsidRPr="00BA6590">
        <w:rPr>
          <w:lang w:val="en-GB"/>
        </w:rPr>
        <w:t>The purpose of this</w:t>
      </w:r>
      <w:r w:rsidR="006A6126" w:rsidRPr="00BA6590">
        <w:rPr>
          <w:lang w:val="en-GB"/>
        </w:rPr>
        <w:t xml:space="preserve"> pilot project is to promote the integration of disadvantaged people in the labour market and combat the discrimination that they suffer. It is involved in intensifying the campaign against</w:t>
      </w:r>
      <w:r w:rsidR="00046333" w:rsidRPr="00BA6590">
        <w:rPr>
          <w:lang w:val="en-GB"/>
        </w:rPr>
        <w:t xml:space="preserve"> discrimination in the labour market to ensure greater social cohesion and higher employment rates, </w:t>
      </w:r>
      <w:r w:rsidR="006A17BC" w:rsidRPr="00BA6590">
        <w:rPr>
          <w:lang w:val="en-GB"/>
        </w:rPr>
        <w:t>ensur</w:t>
      </w:r>
      <w:r w:rsidR="00046333" w:rsidRPr="00BA6590">
        <w:rPr>
          <w:lang w:val="en-GB"/>
        </w:rPr>
        <w:t xml:space="preserve">ing real equality of treatment and opportunities in the area of employment through a process of special recognition </w:t>
      </w:r>
      <w:r w:rsidR="008376F5" w:rsidRPr="00BA6590">
        <w:rPr>
          <w:lang w:val="en-GB"/>
        </w:rPr>
        <w:t>offered</w:t>
      </w:r>
      <w:r w:rsidR="00046333" w:rsidRPr="00BA6590">
        <w:rPr>
          <w:lang w:val="en-GB"/>
        </w:rPr>
        <w:t xml:space="preserve"> to businesses in both the private and public sectors. </w:t>
      </w:r>
    </w:p>
    <w:p w:rsidR="00E50B98" w:rsidRPr="00BA6590" w:rsidRDefault="00E50B98" w:rsidP="00E50B98">
      <w:pPr>
        <w:pStyle w:val="SingleTxtG"/>
        <w:rPr>
          <w:lang w:val="en-GB"/>
        </w:rPr>
      </w:pPr>
      <w:r w:rsidRPr="00BA6590">
        <w:rPr>
          <w:lang w:val="en-GB"/>
        </w:rPr>
        <w:t>220.</w:t>
      </w:r>
      <w:r w:rsidRPr="00BA6590">
        <w:rPr>
          <w:lang w:val="en-GB"/>
        </w:rPr>
        <w:tab/>
      </w:r>
      <w:r w:rsidR="00046333" w:rsidRPr="00BA6590">
        <w:rPr>
          <w:lang w:val="en-GB"/>
        </w:rPr>
        <w:t xml:space="preserve">The added value </w:t>
      </w:r>
      <w:r w:rsidR="008376F5" w:rsidRPr="00BA6590">
        <w:rPr>
          <w:lang w:val="en-GB"/>
        </w:rPr>
        <w:t>made available</w:t>
      </w:r>
      <w:r w:rsidR="00046333" w:rsidRPr="00BA6590">
        <w:rPr>
          <w:lang w:val="en-GB"/>
        </w:rPr>
        <w:t xml:space="preserve"> </w:t>
      </w:r>
      <w:r w:rsidR="008376F5" w:rsidRPr="00BA6590">
        <w:rPr>
          <w:lang w:val="en-GB"/>
        </w:rPr>
        <w:t>to businesses through</w:t>
      </w:r>
      <w:r w:rsidR="00046333" w:rsidRPr="00BA6590">
        <w:rPr>
          <w:lang w:val="en-GB"/>
        </w:rPr>
        <w:t xml:space="preserve"> a </w:t>
      </w:r>
      <w:r w:rsidR="008376F5" w:rsidRPr="00BA6590">
        <w:rPr>
          <w:lang w:val="en-GB"/>
        </w:rPr>
        <w:t xml:space="preserve">diversity labelling procedure </w:t>
      </w:r>
      <w:r w:rsidR="00046333" w:rsidRPr="00BA6590">
        <w:rPr>
          <w:lang w:val="en-GB"/>
        </w:rPr>
        <w:t>is the promotion and implementation of a policy of diversity management in organizations and enterprises</w:t>
      </w:r>
      <w:r w:rsidR="00C9278A" w:rsidRPr="00BA6590">
        <w:rPr>
          <w:lang w:val="en-GB"/>
        </w:rPr>
        <w:t xml:space="preserve">, with an outlook of continuing improvement. </w:t>
      </w:r>
    </w:p>
    <w:p w:rsidR="00E50B98" w:rsidRPr="00BA6590" w:rsidRDefault="003B0711" w:rsidP="003B0711">
      <w:pPr>
        <w:pStyle w:val="H56G"/>
        <w:rPr>
          <w:lang w:val="en-GB"/>
        </w:rPr>
      </w:pPr>
      <w:r w:rsidRPr="00BA6590">
        <w:rPr>
          <w:lang w:val="en-GB"/>
        </w:rPr>
        <w:tab/>
      </w:r>
      <w:r w:rsidRPr="00BA6590">
        <w:rPr>
          <w:lang w:val="en-GB"/>
        </w:rPr>
        <w:tab/>
      </w:r>
      <w:r w:rsidR="00C9278A" w:rsidRPr="00BA6590">
        <w:rPr>
          <w:lang w:val="en-GB"/>
        </w:rPr>
        <w:t>Objectives of the Equality and Diversity Label</w:t>
      </w:r>
    </w:p>
    <w:p w:rsidR="00E50B98" w:rsidRPr="00BA6590" w:rsidRDefault="00E50B98" w:rsidP="00BA355C">
      <w:pPr>
        <w:pStyle w:val="SingleTxtG"/>
        <w:rPr>
          <w:lang w:val="en-GB"/>
        </w:rPr>
      </w:pPr>
      <w:r w:rsidRPr="00BA6590">
        <w:rPr>
          <w:lang w:val="en-GB"/>
        </w:rPr>
        <w:t>221.</w:t>
      </w:r>
      <w:r w:rsidRPr="00BA6590">
        <w:rPr>
          <w:lang w:val="en-GB"/>
        </w:rPr>
        <w:tab/>
      </w:r>
      <w:r w:rsidR="00C9278A" w:rsidRPr="00BA6590">
        <w:rPr>
          <w:lang w:val="en-GB"/>
        </w:rPr>
        <w:t xml:space="preserve">This initiative requires a change in </w:t>
      </w:r>
      <w:r w:rsidR="00A216FB" w:rsidRPr="00BA6590">
        <w:rPr>
          <w:lang w:val="en-GB"/>
        </w:rPr>
        <w:t>“</w:t>
      </w:r>
      <w:r w:rsidR="00C9278A" w:rsidRPr="00BA6590">
        <w:rPr>
          <w:lang w:val="en-GB"/>
        </w:rPr>
        <w:t>business culture</w:t>
      </w:r>
      <w:r w:rsidR="00A216FB" w:rsidRPr="00BA6590">
        <w:rPr>
          <w:lang w:val="en-GB"/>
        </w:rPr>
        <w:t>”</w:t>
      </w:r>
      <w:r w:rsidR="00C9278A" w:rsidRPr="00BA6590">
        <w:rPr>
          <w:lang w:val="en-GB"/>
        </w:rPr>
        <w:t xml:space="preserve"> in human resources management, through a system of planning: analysis of</w:t>
      </w:r>
      <w:r w:rsidR="00FC60DE" w:rsidRPr="00BA6590">
        <w:rPr>
          <w:lang w:val="en-GB"/>
        </w:rPr>
        <w:t xml:space="preserve"> the equality and diversity</w:t>
      </w:r>
      <w:r w:rsidR="008376F5" w:rsidRPr="00BA6590">
        <w:rPr>
          <w:lang w:val="en-GB"/>
        </w:rPr>
        <w:t xml:space="preserve"> policy</w:t>
      </w:r>
      <w:r w:rsidR="00FC60DE" w:rsidRPr="00BA6590">
        <w:rPr>
          <w:lang w:val="en-GB"/>
        </w:rPr>
        <w:t>, design of a plan of action and its implementation with annual audits to ensure continuing improvements. The advantage of this system is to encourage voluntary organizations to establish a prior analysis of internal diversity practices to identify problems and solve them by stages</w:t>
      </w:r>
      <w:r w:rsidR="008376F5" w:rsidRPr="00BA6590">
        <w:rPr>
          <w:lang w:val="en-GB"/>
        </w:rPr>
        <w:t xml:space="preserve"> through the plan of action</w:t>
      </w:r>
      <w:r w:rsidR="00FC60DE" w:rsidRPr="00BA6590">
        <w:rPr>
          <w:lang w:val="en-GB"/>
        </w:rPr>
        <w:t>. It also motivates organizations to</w:t>
      </w:r>
      <w:r w:rsidR="00E34E23" w:rsidRPr="00BA6590">
        <w:rPr>
          <w:lang w:val="en-GB"/>
        </w:rPr>
        <w:t xml:space="preserve"> bring about changes in corporate culture through continual improvement over a three-year period.</w:t>
      </w:r>
      <w:r w:rsidR="00FC60DE" w:rsidRPr="00BA6590">
        <w:rPr>
          <w:lang w:val="en-GB"/>
        </w:rPr>
        <w:t xml:space="preserve"> </w:t>
      </w:r>
    </w:p>
    <w:p w:rsidR="00E50B98" w:rsidRPr="00BA6590" w:rsidRDefault="003B0711" w:rsidP="003B0711">
      <w:pPr>
        <w:pStyle w:val="H56G"/>
        <w:rPr>
          <w:lang w:val="en-GB"/>
        </w:rPr>
      </w:pPr>
      <w:r w:rsidRPr="00BA6590">
        <w:rPr>
          <w:lang w:val="en-GB"/>
        </w:rPr>
        <w:tab/>
      </w:r>
      <w:r w:rsidRPr="00BA6590">
        <w:rPr>
          <w:lang w:val="en-GB"/>
        </w:rPr>
        <w:tab/>
      </w:r>
      <w:r w:rsidR="00E50B98" w:rsidRPr="00BA6590">
        <w:rPr>
          <w:lang w:val="en-GB"/>
        </w:rPr>
        <w:t xml:space="preserve">Consultation </w:t>
      </w:r>
      <w:r w:rsidR="00E34E23" w:rsidRPr="00BA6590">
        <w:rPr>
          <w:lang w:val="en-GB"/>
        </w:rPr>
        <w:t>and</w:t>
      </w:r>
      <w:r w:rsidR="00E50B98" w:rsidRPr="00BA6590">
        <w:rPr>
          <w:lang w:val="en-GB"/>
        </w:rPr>
        <w:t xml:space="preserve"> </w:t>
      </w:r>
      <w:r w:rsidR="00E34E23" w:rsidRPr="00BA6590">
        <w:rPr>
          <w:lang w:val="en-GB"/>
        </w:rPr>
        <w:t>dialogue</w:t>
      </w:r>
    </w:p>
    <w:p w:rsidR="00E50B98" w:rsidRPr="00BA6590" w:rsidRDefault="00E50B98" w:rsidP="00E50B98">
      <w:pPr>
        <w:pStyle w:val="SingleTxtG"/>
        <w:rPr>
          <w:lang w:val="en-GB"/>
        </w:rPr>
      </w:pPr>
      <w:r w:rsidRPr="00BA6590">
        <w:rPr>
          <w:lang w:val="en-GB"/>
        </w:rPr>
        <w:t>222.</w:t>
      </w:r>
      <w:r w:rsidRPr="00BA6590">
        <w:rPr>
          <w:lang w:val="en-GB"/>
        </w:rPr>
        <w:tab/>
      </w:r>
      <w:r w:rsidR="00E34E23" w:rsidRPr="00BA6590">
        <w:rPr>
          <w:lang w:val="en-GB"/>
        </w:rPr>
        <w:t>About 60 actors in the field of labour, including experts, bodies advocating for the interests of particular groups and workers</w:t>
      </w:r>
      <w:r w:rsidR="00A216FB" w:rsidRPr="00BA6590">
        <w:rPr>
          <w:lang w:val="en-GB"/>
        </w:rPr>
        <w:t>’</w:t>
      </w:r>
      <w:r w:rsidR="00E34E23" w:rsidRPr="00BA6590">
        <w:rPr>
          <w:lang w:val="en-GB"/>
        </w:rPr>
        <w:t xml:space="preserve"> and employers</w:t>
      </w:r>
      <w:r w:rsidR="00A216FB" w:rsidRPr="00BA6590">
        <w:rPr>
          <w:lang w:val="en-GB"/>
        </w:rPr>
        <w:t>’</w:t>
      </w:r>
      <w:r w:rsidR="00E34E23" w:rsidRPr="00BA6590">
        <w:rPr>
          <w:lang w:val="en-GB"/>
        </w:rPr>
        <w:t xml:space="preserve"> organizations, have cooperated in the design of tools to implement diversity management, taking into account the sensibilities of all actors involved. </w:t>
      </w:r>
    </w:p>
    <w:p w:rsidR="00E50B98" w:rsidRPr="00BA6590" w:rsidRDefault="00E50B98" w:rsidP="00E50B98">
      <w:pPr>
        <w:pStyle w:val="SingleTxtG"/>
        <w:rPr>
          <w:lang w:val="en-GB"/>
        </w:rPr>
      </w:pPr>
      <w:r w:rsidRPr="00BA6590">
        <w:rPr>
          <w:lang w:val="en-GB"/>
        </w:rPr>
        <w:t>223.</w:t>
      </w:r>
      <w:r w:rsidRPr="00BA6590">
        <w:rPr>
          <w:lang w:val="en-GB"/>
        </w:rPr>
        <w:tab/>
      </w:r>
      <w:r w:rsidR="00E34E23" w:rsidRPr="00BA6590">
        <w:rPr>
          <w:lang w:val="en-GB"/>
        </w:rPr>
        <w:t xml:space="preserve">From </w:t>
      </w:r>
      <w:r w:rsidR="003F5E21" w:rsidRPr="00BA6590">
        <w:rPr>
          <w:lang w:val="en-GB"/>
        </w:rPr>
        <w:t>January</w:t>
      </w:r>
      <w:r w:rsidRPr="00BA6590">
        <w:rPr>
          <w:lang w:val="en-GB"/>
        </w:rPr>
        <w:t xml:space="preserve"> 2007,</w:t>
      </w:r>
      <w:r w:rsidR="00E34E23" w:rsidRPr="00BA6590">
        <w:rPr>
          <w:lang w:val="en-GB"/>
        </w:rPr>
        <w:t xml:space="preserve"> 15 pilot businesses and organizations launched the labelling process. In </w:t>
      </w:r>
      <w:r w:rsidR="003F5E21" w:rsidRPr="00BA6590">
        <w:rPr>
          <w:lang w:val="en-GB"/>
        </w:rPr>
        <w:t>March</w:t>
      </w:r>
      <w:r w:rsidRPr="00BA6590">
        <w:rPr>
          <w:lang w:val="en-GB"/>
        </w:rPr>
        <w:t xml:space="preserve"> </w:t>
      </w:r>
      <w:r w:rsidR="00E34E23" w:rsidRPr="00BA6590">
        <w:rPr>
          <w:lang w:val="en-GB"/>
        </w:rPr>
        <w:t>and</w:t>
      </w:r>
      <w:r w:rsidRPr="00BA6590">
        <w:rPr>
          <w:lang w:val="en-GB"/>
        </w:rPr>
        <w:t xml:space="preserve"> </w:t>
      </w:r>
      <w:r w:rsidR="003F5E21" w:rsidRPr="00BA6590">
        <w:rPr>
          <w:lang w:val="en-GB"/>
        </w:rPr>
        <w:t>June</w:t>
      </w:r>
      <w:r w:rsidRPr="00BA6590">
        <w:rPr>
          <w:lang w:val="en-GB"/>
        </w:rPr>
        <w:t xml:space="preserve"> 2007,</w:t>
      </w:r>
      <w:r w:rsidR="00E34E23" w:rsidRPr="00BA6590">
        <w:rPr>
          <w:lang w:val="en-GB"/>
        </w:rPr>
        <w:t xml:space="preserve"> based on the presentation of the aud</w:t>
      </w:r>
      <w:r w:rsidR="003C2B35" w:rsidRPr="00BA6590">
        <w:rPr>
          <w:lang w:val="en-GB"/>
        </w:rPr>
        <w:t>it report, an a</w:t>
      </w:r>
      <w:r w:rsidR="00E34E23" w:rsidRPr="00BA6590">
        <w:rPr>
          <w:lang w:val="en-GB"/>
        </w:rPr>
        <w:t xml:space="preserve">dvisory </w:t>
      </w:r>
      <w:r w:rsidR="003C2B35" w:rsidRPr="00BA6590">
        <w:rPr>
          <w:lang w:val="en-GB"/>
        </w:rPr>
        <w:t>c</w:t>
      </w:r>
      <w:r w:rsidR="00E34E23" w:rsidRPr="00BA6590">
        <w:rPr>
          <w:lang w:val="en-GB"/>
        </w:rPr>
        <w:t>ommittee met to submit reasoned opinions to the Ministers of Employment</w:t>
      </w:r>
      <w:r w:rsidR="001F3CAB" w:rsidRPr="00BA6590">
        <w:rPr>
          <w:lang w:val="en-GB"/>
        </w:rPr>
        <w:t xml:space="preserve"> </w:t>
      </w:r>
      <w:r w:rsidR="00E34E23" w:rsidRPr="00BA6590">
        <w:rPr>
          <w:lang w:val="en-GB"/>
        </w:rPr>
        <w:t>and Equal Opportunities as to whether a label should be awarded.</w:t>
      </w:r>
      <w:r w:rsidR="00E34E23" w:rsidRPr="00BA6590">
        <w:rPr>
          <w:rStyle w:val="FootnoteReference"/>
          <w:lang w:val="en-GB"/>
        </w:rPr>
        <w:footnoteReference w:id="28"/>
      </w:r>
    </w:p>
    <w:p w:rsidR="00E50B98" w:rsidRPr="00BA6590" w:rsidRDefault="00E50B98" w:rsidP="007B4064">
      <w:pPr>
        <w:pStyle w:val="SingleTxtG"/>
        <w:rPr>
          <w:lang w:val="en-GB"/>
        </w:rPr>
      </w:pPr>
      <w:r w:rsidRPr="00BA6590">
        <w:rPr>
          <w:lang w:val="en-GB"/>
        </w:rPr>
        <w:t>224.</w:t>
      </w:r>
      <w:r w:rsidRPr="00BA6590">
        <w:rPr>
          <w:lang w:val="en-GB"/>
        </w:rPr>
        <w:tab/>
      </w:r>
      <w:r w:rsidR="00E07B04" w:rsidRPr="00BA6590">
        <w:rPr>
          <w:lang w:val="en-GB"/>
        </w:rPr>
        <w:t xml:space="preserve">In order to monitor and support </w:t>
      </w:r>
      <w:r w:rsidR="002A135E" w:rsidRPr="00BA6590">
        <w:rPr>
          <w:lang w:val="en-GB"/>
        </w:rPr>
        <w:t>pilot businesses and organizations</w:t>
      </w:r>
      <w:r w:rsidR="00E07B04" w:rsidRPr="00BA6590">
        <w:rPr>
          <w:lang w:val="en-GB"/>
        </w:rPr>
        <w:t xml:space="preserve"> in the imple</w:t>
      </w:r>
      <w:r w:rsidRPr="00BA6590">
        <w:rPr>
          <w:lang w:val="en-GB"/>
        </w:rPr>
        <w:t>mentation</w:t>
      </w:r>
      <w:r w:rsidR="00E07B04" w:rsidRPr="00BA6590">
        <w:rPr>
          <w:lang w:val="en-GB"/>
        </w:rPr>
        <w:t xml:space="preserve"> of the </w:t>
      </w:r>
      <w:r w:rsidRPr="00BA6590">
        <w:rPr>
          <w:lang w:val="en-GB"/>
        </w:rPr>
        <w:t xml:space="preserve">plans </w:t>
      </w:r>
      <w:r w:rsidR="00E07B04" w:rsidRPr="00BA6590">
        <w:rPr>
          <w:lang w:val="en-GB"/>
        </w:rPr>
        <w:t xml:space="preserve">of </w:t>
      </w:r>
      <w:r w:rsidRPr="00BA6590">
        <w:rPr>
          <w:lang w:val="en-GB"/>
        </w:rPr>
        <w:t>action,</w:t>
      </w:r>
      <w:r w:rsidR="00E07B04" w:rsidRPr="00BA6590">
        <w:rPr>
          <w:lang w:val="en-GB"/>
        </w:rPr>
        <w:t xml:space="preserve"> individual meetings were held </w:t>
      </w:r>
      <w:r w:rsidR="00377E3C" w:rsidRPr="00BA6590">
        <w:rPr>
          <w:lang w:val="en-GB"/>
        </w:rPr>
        <w:t>from</w:t>
      </w:r>
      <w:r w:rsidR="00E07B04" w:rsidRPr="00BA6590">
        <w:rPr>
          <w:lang w:val="en-GB"/>
        </w:rPr>
        <w:t xml:space="preserve"> </w:t>
      </w:r>
      <w:r w:rsidR="003F5E21" w:rsidRPr="00BA6590">
        <w:rPr>
          <w:lang w:val="en-GB"/>
        </w:rPr>
        <w:t>April</w:t>
      </w:r>
      <w:r w:rsidRPr="00BA6590">
        <w:rPr>
          <w:lang w:val="en-GB"/>
        </w:rPr>
        <w:t xml:space="preserve"> 2008</w:t>
      </w:r>
      <w:r w:rsidR="00377E3C" w:rsidRPr="00BA6590">
        <w:rPr>
          <w:lang w:val="en-GB"/>
        </w:rPr>
        <w:t xml:space="preserve"> onwards</w:t>
      </w:r>
      <w:r w:rsidRPr="00BA6590">
        <w:rPr>
          <w:lang w:val="en-GB"/>
        </w:rPr>
        <w:t>.</w:t>
      </w:r>
      <w:r w:rsidR="00E07B04" w:rsidRPr="00BA6590">
        <w:rPr>
          <w:lang w:val="en-GB"/>
        </w:rPr>
        <w:t xml:space="preserve"> This monitoring </w:t>
      </w:r>
      <w:r w:rsidR="00377E3C" w:rsidRPr="00BA6590">
        <w:rPr>
          <w:lang w:val="en-GB"/>
        </w:rPr>
        <w:t>was</w:t>
      </w:r>
      <w:r w:rsidR="00E07B04" w:rsidRPr="00BA6590">
        <w:rPr>
          <w:lang w:val="en-GB"/>
        </w:rPr>
        <w:t xml:space="preserve"> in the </w:t>
      </w:r>
      <w:r w:rsidR="00377E3C" w:rsidRPr="00BA6590">
        <w:rPr>
          <w:lang w:val="en-GB"/>
        </w:rPr>
        <w:t>form</w:t>
      </w:r>
      <w:r w:rsidR="00E07B04" w:rsidRPr="00BA6590">
        <w:rPr>
          <w:lang w:val="en-GB"/>
        </w:rPr>
        <w:t xml:space="preserve"> of self-assessment</w:t>
      </w:r>
      <w:r w:rsidR="00377E3C" w:rsidRPr="00BA6590">
        <w:rPr>
          <w:lang w:val="en-GB"/>
        </w:rPr>
        <w:t>,</w:t>
      </w:r>
      <w:r w:rsidR="00E07B04" w:rsidRPr="00BA6590">
        <w:rPr>
          <w:lang w:val="en-GB"/>
        </w:rPr>
        <w:t xml:space="preserve"> preceding the evaluation audit which took place during </w:t>
      </w:r>
      <w:r w:rsidR="003F5E21" w:rsidRPr="00BA6590">
        <w:rPr>
          <w:lang w:val="en-GB"/>
        </w:rPr>
        <w:t>May</w:t>
      </w:r>
      <w:r w:rsidRPr="00BA6590">
        <w:rPr>
          <w:lang w:val="en-GB"/>
        </w:rPr>
        <w:t xml:space="preserve"> 2008.</w:t>
      </w:r>
      <w:r w:rsidR="00E07B04" w:rsidRPr="00BA6590">
        <w:rPr>
          <w:lang w:val="en-GB"/>
        </w:rPr>
        <w:t xml:space="preserve"> For each business, if the label was awarded to it individually b</w:t>
      </w:r>
      <w:r w:rsidR="003C2B35" w:rsidRPr="00BA6590">
        <w:rPr>
          <w:lang w:val="en-GB"/>
        </w:rPr>
        <w:t>ased on the audit results, the c</w:t>
      </w:r>
      <w:r w:rsidR="00E07B04" w:rsidRPr="00BA6590">
        <w:rPr>
          <w:lang w:val="en-GB"/>
        </w:rPr>
        <w:t>ommittee submitted a reasoned opinion to the Minister on the award, withdrawal or renewal of the label.</w:t>
      </w:r>
    </w:p>
    <w:p w:rsidR="00E50B98" w:rsidRPr="00BA6590" w:rsidRDefault="00E50B98" w:rsidP="002409EB">
      <w:pPr>
        <w:pStyle w:val="SingleTxtG"/>
        <w:rPr>
          <w:lang w:val="en-GB"/>
        </w:rPr>
      </w:pPr>
      <w:r w:rsidRPr="00BA6590">
        <w:rPr>
          <w:lang w:val="en-GB"/>
        </w:rPr>
        <w:t>225.</w:t>
      </w:r>
      <w:r w:rsidRPr="00BA6590">
        <w:rPr>
          <w:lang w:val="en-GB"/>
        </w:rPr>
        <w:tab/>
      </w:r>
      <w:r w:rsidR="00E07B04" w:rsidRPr="00BA6590">
        <w:rPr>
          <w:lang w:val="en-GB"/>
        </w:rPr>
        <w:t>The Multicultural Business Unit</w:t>
      </w:r>
      <w:r w:rsidR="00230EF3" w:rsidRPr="00BA6590">
        <w:rPr>
          <w:lang w:val="en-GB"/>
        </w:rPr>
        <w:t xml:space="preserve"> has continued the monitoring of and support for the pilot organizations. A number of collective meetings have taken place involving organizations and businesses, and a variety of ceremonies have been conducted since </w:t>
      </w:r>
      <w:r w:rsidR="003F5E21" w:rsidRPr="00BA6590">
        <w:rPr>
          <w:lang w:val="en-GB"/>
        </w:rPr>
        <w:t>February</w:t>
      </w:r>
      <w:r w:rsidRPr="00BA6590">
        <w:rPr>
          <w:lang w:val="en-GB"/>
        </w:rPr>
        <w:t xml:space="preserve"> 2009.</w:t>
      </w:r>
      <w:r w:rsidR="00230EF3" w:rsidRPr="00BA6590">
        <w:rPr>
          <w:lang w:val="en-GB"/>
        </w:rPr>
        <w:t xml:space="preserve"> The last </w:t>
      </w:r>
      <w:r w:rsidRPr="00BA6590">
        <w:rPr>
          <w:lang w:val="en-GB"/>
        </w:rPr>
        <w:t>v</w:t>
      </w:r>
      <w:r w:rsidR="00230EF3" w:rsidRPr="00BA6590">
        <w:rPr>
          <w:lang w:val="en-GB"/>
        </w:rPr>
        <w:t>e</w:t>
      </w:r>
      <w:r w:rsidRPr="00BA6590">
        <w:rPr>
          <w:lang w:val="en-GB"/>
        </w:rPr>
        <w:t>rification</w:t>
      </w:r>
      <w:r w:rsidR="00230EF3" w:rsidRPr="00BA6590">
        <w:rPr>
          <w:lang w:val="en-GB"/>
        </w:rPr>
        <w:t xml:space="preserve"> audit was held in </w:t>
      </w:r>
      <w:r w:rsidR="003F5E21" w:rsidRPr="00BA6590">
        <w:rPr>
          <w:lang w:val="en-GB"/>
        </w:rPr>
        <w:t>May</w:t>
      </w:r>
      <w:r w:rsidRPr="00BA6590">
        <w:rPr>
          <w:lang w:val="en-GB"/>
        </w:rPr>
        <w:t xml:space="preserve"> </w:t>
      </w:r>
      <w:r w:rsidR="00230EF3" w:rsidRPr="00BA6590">
        <w:rPr>
          <w:lang w:val="en-GB"/>
        </w:rPr>
        <w:t>and</w:t>
      </w:r>
      <w:r w:rsidRPr="00BA6590">
        <w:rPr>
          <w:lang w:val="en-GB"/>
        </w:rPr>
        <w:t xml:space="preserve"> </w:t>
      </w:r>
      <w:r w:rsidR="003F5E21" w:rsidRPr="00BA6590">
        <w:rPr>
          <w:lang w:val="en-GB"/>
        </w:rPr>
        <w:t>June</w:t>
      </w:r>
      <w:r w:rsidRPr="00BA6590">
        <w:rPr>
          <w:lang w:val="en-GB"/>
        </w:rPr>
        <w:t xml:space="preserve"> 2011</w:t>
      </w:r>
      <w:r w:rsidR="00230EF3" w:rsidRPr="00BA6590">
        <w:rPr>
          <w:lang w:val="en-GB"/>
        </w:rPr>
        <w:t>, and the label has not been used since then</w:t>
      </w:r>
      <w:r w:rsidRPr="00BA6590">
        <w:rPr>
          <w:lang w:val="en-GB"/>
        </w:rPr>
        <w:t>.</w:t>
      </w:r>
      <w:r w:rsidR="00230EF3" w:rsidRPr="00BA6590">
        <w:rPr>
          <w:lang w:val="en-GB"/>
        </w:rPr>
        <w:t xml:space="preserve"> It was, however, mentioned in a </w:t>
      </w:r>
      <w:r w:rsidR="00F21548" w:rsidRPr="00BA6590">
        <w:rPr>
          <w:lang w:val="en-GB"/>
        </w:rPr>
        <w:t>government</w:t>
      </w:r>
      <w:r w:rsidR="00230EF3" w:rsidRPr="00BA6590">
        <w:rPr>
          <w:lang w:val="en-GB"/>
        </w:rPr>
        <w:t xml:space="preserve"> statement of </w:t>
      </w:r>
      <w:r w:rsidR="002409EB" w:rsidRPr="00BA6590">
        <w:rPr>
          <w:lang w:val="en-GB"/>
        </w:rPr>
        <w:t>1</w:t>
      </w:r>
      <w:r w:rsidR="00230EF3" w:rsidRPr="00BA6590">
        <w:rPr>
          <w:lang w:val="en-GB"/>
        </w:rPr>
        <w:t xml:space="preserve"> </w:t>
      </w:r>
      <w:r w:rsidR="003F5E21" w:rsidRPr="00BA6590">
        <w:rPr>
          <w:lang w:val="en-GB"/>
        </w:rPr>
        <w:t>December</w:t>
      </w:r>
      <w:r w:rsidRPr="00BA6590">
        <w:rPr>
          <w:lang w:val="en-GB"/>
        </w:rPr>
        <w:t xml:space="preserve"> 2011</w:t>
      </w:r>
      <w:r w:rsidR="00230EF3" w:rsidRPr="00BA6590">
        <w:rPr>
          <w:lang w:val="en-GB"/>
        </w:rPr>
        <w:t>, with a view to assessing, improving and promoting it.</w:t>
      </w:r>
    </w:p>
    <w:p w:rsidR="00E50B98" w:rsidRPr="00BA6590" w:rsidRDefault="003B0711" w:rsidP="003B0711">
      <w:pPr>
        <w:pStyle w:val="H56G"/>
        <w:rPr>
          <w:lang w:val="en-GB"/>
        </w:rPr>
      </w:pPr>
      <w:r w:rsidRPr="00BA6590">
        <w:rPr>
          <w:lang w:val="en-GB"/>
        </w:rPr>
        <w:tab/>
      </w:r>
      <w:r w:rsidRPr="00BA6590">
        <w:rPr>
          <w:lang w:val="en-GB"/>
        </w:rPr>
        <w:tab/>
      </w:r>
      <w:r w:rsidR="00230EF3" w:rsidRPr="00BA6590">
        <w:rPr>
          <w:lang w:val="en-GB"/>
        </w:rPr>
        <w:t>Equality and Diversity Network</w:t>
      </w:r>
    </w:p>
    <w:p w:rsidR="00E50B98" w:rsidRPr="00BA6590" w:rsidRDefault="00E50B98" w:rsidP="00992194">
      <w:pPr>
        <w:pStyle w:val="SingleTxtG"/>
        <w:rPr>
          <w:lang w:val="en-GB"/>
        </w:rPr>
      </w:pPr>
      <w:r w:rsidRPr="00BA6590">
        <w:rPr>
          <w:lang w:val="en-GB"/>
        </w:rPr>
        <w:t>226.</w:t>
      </w:r>
      <w:r w:rsidR="004E090E" w:rsidRPr="00BA6590">
        <w:rPr>
          <w:lang w:val="en-GB"/>
        </w:rPr>
        <w:tab/>
      </w:r>
      <w:r w:rsidR="004013C6" w:rsidRPr="00BA6590">
        <w:rPr>
          <w:lang w:val="en-GB"/>
        </w:rPr>
        <w:t xml:space="preserve">In parallel with the </w:t>
      </w:r>
      <w:r w:rsidR="00A91EDB" w:rsidRPr="00BA6590">
        <w:rPr>
          <w:lang w:val="en-GB"/>
        </w:rPr>
        <w:t>Equality and Diversity Label</w:t>
      </w:r>
      <w:r w:rsidR="004013C6" w:rsidRPr="00BA6590">
        <w:rPr>
          <w:lang w:val="en-GB"/>
        </w:rPr>
        <w:t xml:space="preserve"> project</w:t>
      </w:r>
      <w:r w:rsidRPr="00BA6590">
        <w:rPr>
          <w:lang w:val="en-GB"/>
        </w:rPr>
        <w:t>,</w:t>
      </w:r>
      <w:r w:rsidR="004013C6" w:rsidRPr="00BA6590">
        <w:rPr>
          <w:lang w:val="en-GB"/>
        </w:rPr>
        <w:t xml:space="preserve"> a </w:t>
      </w:r>
      <w:r w:rsidR="00377E3C" w:rsidRPr="00BA6590">
        <w:rPr>
          <w:lang w:val="en-GB"/>
        </w:rPr>
        <w:t>n</w:t>
      </w:r>
      <w:r w:rsidR="004013C6" w:rsidRPr="00BA6590">
        <w:rPr>
          <w:lang w:val="en-GB"/>
        </w:rPr>
        <w:t>etwork was created at the request of the organiz</w:t>
      </w:r>
      <w:r w:rsidR="00377E3C" w:rsidRPr="00BA6590">
        <w:rPr>
          <w:lang w:val="en-GB"/>
        </w:rPr>
        <w:t>ations and businesses involved, m</w:t>
      </w:r>
      <w:r w:rsidR="004013C6" w:rsidRPr="00BA6590">
        <w:rPr>
          <w:lang w:val="en-GB"/>
        </w:rPr>
        <w:t xml:space="preserve">anaged by the Employment </w:t>
      </w:r>
      <w:r w:rsidR="005F073C" w:rsidRPr="00BA6590">
        <w:rPr>
          <w:lang w:val="en-GB"/>
        </w:rPr>
        <w:t>Section</w:t>
      </w:r>
      <w:r w:rsidR="004013C6" w:rsidRPr="00BA6590">
        <w:rPr>
          <w:lang w:val="en-GB"/>
        </w:rPr>
        <w:t xml:space="preserve"> of the Federal </w:t>
      </w:r>
      <w:r w:rsidR="005F073C" w:rsidRPr="00BA6590">
        <w:rPr>
          <w:lang w:val="en-GB"/>
        </w:rPr>
        <w:t>Department of</w:t>
      </w:r>
      <w:r w:rsidR="004013C6" w:rsidRPr="00BA6590">
        <w:rPr>
          <w:lang w:val="en-GB"/>
        </w:rPr>
        <w:t xml:space="preserve"> Employment, Labour and Social Dialogue</w:t>
      </w:r>
      <w:r w:rsidR="00377E3C" w:rsidRPr="00BA6590">
        <w:rPr>
          <w:lang w:val="en-GB"/>
        </w:rPr>
        <w:t xml:space="preserve">. Its members </w:t>
      </w:r>
      <w:r w:rsidR="004013C6" w:rsidRPr="00BA6590">
        <w:rPr>
          <w:lang w:val="en-GB"/>
        </w:rPr>
        <w:t>have met several times to share experiences and a number of thematic conferences have been held. In order to join the Network officially, the organization or business is required to sign a charter</w:t>
      </w:r>
      <w:r w:rsidRPr="00BA6590">
        <w:rPr>
          <w:lang w:val="en-GB"/>
        </w:rPr>
        <w:t>.</w:t>
      </w:r>
    </w:p>
    <w:p w:rsidR="00E50B98" w:rsidRPr="00BA6590" w:rsidRDefault="002E6DFC" w:rsidP="002E6DFC">
      <w:pPr>
        <w:pStyle w:val="H56G"/>
        <w:rPr>
          <w:lang w:val="en-GB"/>
        </w:rPr>
      </w:pPr>
      <w:r w:rsidRPr="00BA6590">
        <w:rPr>
          <w:lang w:val="en-GB"/>
        </w:rPr>
        <w:tab/>
      </w:r>
      <w:r w:rsidRPr="00BA6590">
        <w:rPr>
          <w:lang w:val="en-GB"/>
        </w:rPr>
        <w:tab/>
      </w:r>
      <w:r w:rsidR="00F9754A" w:rsidRPr="00BA6590">
        <w:rPr>
          <w:lang w:val="en-GB"/>
        </w:rPr>
        <w:t>Diversity policy within Belgian public service</w:t>
      </w:r>
    </w:p>
    <w:p w:rsidR="00E50B98" w:rsidRPr="00BA6590" w:rsidRDefault="00E50B98" w:rsidP="00BA355C">
      <w:pPr>
        <w:pStyle w:val="SingleTxtG"/>
        <w:rPr>
          <w:lang w:val="en-GB"/>
        </w:rPr>
      </w:pPr>
      <w:r w:rsidRPr="00BA6590">
        <w:rPr>
          <w:lang w:val="en-GB"/>
        </w:rPr>
        <w:t>227.</w:t>
      </w:r>
      <w:r w:rsidRPr="00BA6590">
        <w:rPr>
          <w:lang w:val="en-GB"/>
        </w:rPr>
        <w:tab/>
      </w:r>
      <w:r w:rsidR="00F9754A" w:rsidRPr="00BA6590">
        <w:rPr>
          <w:lang w:val="en-GB"/>
        </w:rPr>
        <w:t xml:space="preserve">The Belgian federal administration is </w:t>
      </w:r>
      <w:r w:rsidR="00377E3C" w:rsidRPr="00BA6590">
        <w:rPr>
          <w:lang w:val="en-GB"/>
        </w:rPr>
        <w:t>determined</w:t>
      </w:r>
      <w:r w:rsidR="00F9754A" w:rsidRPr="00BA6590">
        <w:rPr>
          <w:lang w:val="en-GB"/>
        </w:rPr>
        <w:t xml:space="preserve"> to offer job and career opportunities while respecting equal opportunities and combating all forms of discrimination. To this end, a diversity policy has been create</w:t>
      </w:r>
      <w:r w:rsidR="00CF0A8B" w:rsidRPr="00BA6590">
        <w:rPr>
          <w:lang w:val="en-GB"/>
        </w:rPr>
        <w:t>d, implemented through the establishment of the Action Plan for Diversity,</w:t>
      </w:r>
      <w:r w:rsidR="00F9754A" w:rsidRPr="00BA6590">
        <w:rPr>
          <w:lang w:val="en-GB"/>
        </w:rPr>
        <w:t xml:space="preserve"> </w:t>
      </w:r>
      <w:r w:rsidR="00CF0A8B" w:rsidRPr="00BA6590">
        <w:rPr>
          <w:lang w:val="en-GB"/>
        </w:rPr>
        <w:t>2005</w:t>
      </w:r>
      <w:r w:rsidR="00D94C5A" w:rsidRPr="00BA6590">
        <w:rPr>
          <w:szCs w:val="24"/>
          <w:lang w:val="en-GB"/>
        </w:rPr>
        <w:t>–</w:t>
      </w:r>
      <w:r w:rsidR="00CF0A8B" w:rsidRPr="00BA6590">
        <w:rPr>
          <w:lang w:val="en-GB"/>
        </w:rPr>
        <w:t xml:space="preserve">2007 and the creation of a </w:t>
      </w:r>
      <w:r w:rsidR="00A216FB" w:rsidRPr="00BA6590">
        <w:rPr>
          <w:lang w:val="en-GB"/>
        </w:rPr>
        <w:t>“</w:t>
      </w:r>
      <w:r w:rsidR="00CF0A8B" w:rsidRPr="00BA6590">
        <w:rPr>
          <w:lang w:val="en-GB"/>
        </w:rPr>
        <w:t>diversity unit</w:t>
      </w:r>
      <w:r w:rsidR="00A216FB" w:rsidRPr="00BA6590">
        <w:rPr>
          <w:lang w:val="en-GB"/>
        </w:rPr>
        <w:t>”</w:t>
      </w:r>
      <w:r w:rsidR="00CF0A8B" w:rsidRPr="00BA6590">
        <w:rPr>
          <w:lang w:val="en-GB"/>
        </w:rPr>
        <w:t xml:space="preserve"> within the Federal </w:t>
      </w:r>
      <w:r w:rsidR="005F073C" w:rsidRPr="00BA6590">
        <w:rPr>
          <w:lang w:val="en-GB"/>
        </w:rPr>
        <w:t>Department of</w:t>
      </w:r>
      <w:r w:rsidR="00CF0A8B" w:rsidRPr="00BA6590">
        <w:rPr>
          <w:lang w:val="en-GB"/>
        </w:rPr>
        <w:t xml:space="preserve"> Personnel and Organization to monitor the plan. The related activities are implemented by </w:t>
      </w:r>
      <w:r w:rsidR="005F073C" w:rsidRPr="00BA6590">
        <w:rPr>
          <w:lang w:val="en-GB"/>
        </w:rPr>
        <w:t>that Department</w:t>
      </w:r>
      <w:r w:rsidRPr="00BA6590">
        <w:rPr>
          <w:lang w:val="en-GB"/>
        </w:rPr>
        <w:t>,</w:t>
      </w:r>
      <w:r w:rsidR="00CF0A8B" w:rsidRPr="00BA6590">
        <w:rPr>
          <w:lang w:val="en-GB"/>
        </w:rPr>
        <w:t xml:space="preserve"> the diversity process of </w:t>
      </w:r>
      <w:r w:rsidRPr="00BA6590">
        <w:rPr>
          <w:lang w:val="en-GB"/>
        </w:rPr>
        <w:t>Selor (</w:t>
      </w:r>
      <w:r w:rsidR="00CF0A8B" w:rsidRPr="00BA6590">
        <w:rPr>
          <w:lang w:val="en-GB"/>
        </w:rPr>
        <w:t>the selection board of the federal administration</w:t>
      </w:r>
      <w:r w:rsidRPr="00BA6590">
        <w:rPr>
          <w:lang w:val="en-GB"/>
        </w:rPr>
        <w:t>)</w:t>
      </w:r>
      <w:r w:rsidR="00CF0A8B" w:rsidRPr="00BA6590">
        <w:rPr>
          <w:lang w:val="en-GB"/>
        </w:rPr>
        <w:t xml:space="preserve"> and the Administrative Training Institute</w:t>
      </w:r>
      <w:r w:rsidRPr="00BA6590">
        <w:rPr>
          <w:lang w:val="en-GB"/>
        </w:rPr>
        <w:t xml:space="preserve"> (IFA).</w:t>
      </w:r>
      <w:r w:rsidR="00CF0A8B" w:rsidRPr="00BA6590">
        <w:rPr>
          <w:lang w:val="en-GB"/>
        </w:rPr>
        <w:t xml:space="preserve"> A </w:t>
      </w:r>
      <w:r w:rsidR="00A216FB" w:rsidRPr="00BA6590">
        <w:rPr>
          <w:lang w:val="en-GB"/>
        </w:rPr>
        <w:t>“</w:t>
      </w:r>
      <w:r w:rsidR="00CF0A8B" w:rsidRPr="00BA6590">
        <w:rPr>
          <w:lang w:val="en-GB"/>
        </w:rPr>
        <w:t>diversity managers</w:t>
      </w:r>
      <w:r w:rsidR="00A216FB" w:rsidRPr="00BA6590">
        <w:rPr>
          <w:lang w:val="en-GB"/>
        </w:rPr>
        <w:t>’</w:t>
      </w:r>
      <w:r w:rsidR="00CF0A8B" w:rsidRPr="00BA6590">
        <w:rPr>
          <w:lang w:val="en-GB"/>
        </w:rPr>
        <w:t xml:space="preserve"> network</w:t>
      </w:r>
      <w:r w:rsidR="00A216FB" w:rsidRPr="00BA6590">
        <w:rPr>
          <w:lang w:val="en-GB"/>
        </w:rPr>
        <w:t>”</w:t>
      </w:r>
      <w:r w:rsidR="00CF0A8B" w:rsidRPr="00BA6590">
        <w:rPr>
          <w:lang w:val="en-GB"/>
        </w:rPr>
        <w:t xml:space="preserve"> has also been set up within state institutions at the initiative of the diversity unit; its members</w:t>
      </w:r>
      <w:r w:rsidR="00A216FB" w:rsidRPr="00BA6590">
        <w:rPr>
          <w:lang w:val="en-GB"/>
        </w:rPr>
        <w:t>’</w:t>
      </w:r>
      <w:r w:rsidR="00CF0A8B" w:rsidRPr="00BA6590">
        <w:rPr>
          <w:lang w:val="en-GB"/>
        </w:rPr>
        <w:t xml:space="preserve"> main task is to ensure that diversity themes are mainstreamed in their institutions</w:t>
      </w:r>
      <w:r w:rsidR="00A216FB" w:rsidRPr="00BA6590">
        <w:rPr>
          <w:lang w:val="en-GB"/>
        </w:rPr>
        <w:t>’</w:t>
      </w:r>
      <w:r w:rsidR="00CF0A8B" w:rsidRPr="00BA6590">
        <w:rPr>
          <w:lang w:val="en-GB"/>
        </w:rPr>
        <w:t xml:space="preserve"> human resources policies.</w:t>
      </w:r>
    </w:p>
    <w:p w:rsidR="00E50B98" w:rsidRPr="00BA6590" w:rsidRDefault="00E50B98" w:rsidP="00E50B98">
      <w:pPr>
        <w:pStyle w:val="SingleTxtG"/>
        <w:rPr>
          <w:lang w:val="en-GB"/>
        </w:rPr>
      </w:pPr>
      <w:r w:rsidRPr="00BA6590">
        <w:rPr>
          <w:lang w:val="en-GB"/>
        </w:rPr>
        <w:t>228.</w:t>
      </w:r>
      <w:r w:rsidRPr="00BA6590">
        <w:rPr>
          <w:lang w:val="en-GB"/>
        </w:rPr>
        <w:tab/>
      </w:r>
      <w:r w:rsidR="00E97A79" w:rsidRPr="00BA6590">
        <w:rPr>
          <w:lang w:val="en-GB"/>
        </w:rPr>
        <w:t>The federal administration</w:t>
      </w:r>
      <w:r w:rsidR="00A216FB" w:rsidRPr="00BA6590">
        <w:rPr>
          <w:lang w:val="en-GB"/>
        </w:rPr>
        <w:t>’</w:t>
      </w:r>
      <w:r w:rsidR="00E97A79" w:rsidRPr="00BA6590">
        <w:rPr>
          <w:lang w:val="en-GB"/>
        </w:rPr>
        <w:t xml:space="preserve">s diversity policy is inclusive and is </w:t>
      </w:r>
      <w:r w:rsidR="001D0487" w:rsidRPr="00BA6590">
        <w:rPr>
          <w:lang w:val="en-GB"/>
        </w:rPr>
        <w:t>mainstream</w:t>
      </w:r>
      <w:r w:rsidR="00E97A79" w:rsidRPr="00BA6590">
        <w:rPr>
          <w:lang w:val="en-GB"/>
        </w:rPr>
        <w:t xml:space="preserve">ed in all human-resources processes in order to produce </w:t>
      </w:r>
      <w:r w:rsidR="001D0487" w:rsidRPr="00BA6590">
        <w:rPr>
          <w:lang w:val="en-GB"/>
        </w:rPr>
        <w:t>sustainable</w:t>
      </w:r>
      <w:r w:rsidR="00E97A79" w:rsidRPr="00BA6590">
        <w:rPr>
          <w:lang w:val="en-GB"/>
        </w:rPr>
        <w:t xml:space="preserve"> results</w:t>
      </w:r>
      <w:r w:rsidR="001D0487" w:rsidRPr="00BA6590">
        <w:rPr>
          <w:lang w:val="en-GB"/>
        </w:rPr>
        <w:t>,</w:t>
      </w:r>
      <w:r w:rsidR="00E97A79" w:rsidRPr="00BA6590">
        <w:rPr>
          <w:lang w:val="en-GB"/>
        </w:rPr>
        <w:t xml:space="preserve"> from selection through training to career management, working conditions and internal and external communication. </w:t>
      </w:r>
    </w:p>
    <w:p w:rsidR="00E50B98" w:rsidRPr="00BA6590" w:rsidRDefault="00E50B98" w:rsidP="00E50B98">
      <w:pPr>
        <w:pStyle w:val="SingleTxtG"/>
        <w:rPr>
          <w:lang w:val="en-GB"/>
        </w:rPr>
      </w:pPr>
      <w:r w:rsidRPr="00BA6590">
        <w:rPr>
          <w:lang w:val="en-GB"/>
        </w:rPr>
        <w:t>229.</w:t>
      </w:r>
      <w:r w:rsidRPr="00BA6590">
        <w:rPr>
          <w:lang w:val="en-GB"/>
        </w:rPr>
        <w:tab/>
      </w:r>
      <w:r w:rsidR="00E97A79" w:rsidRPr="00BA6590">
        <w:rPr>
          <w:lang w:val="en-GB"/>
        </w:rPr>
        <w:t>The Action Plan includes activities in five areas: raising awareness in senior management, recruitment and selection, reception an</w:t>
      </w:r>
      <w:r w:rsidR="00D94C5A" w:rsidRPr="00BA6590">
        <w:rPr>
          <w:lang w:val="en-GB"/>
        </w:rPr>
        <w:t>d integration, training and the </w:t>
      </w:r>
      <w:r w:rsidR="00E97A79" w:rsidRPr="00BA6590">
        <w:rPr>
          <w:lang w:val="en-GB"/>
        </w:rPr>
        <w:t xml:space="preserve">development and support of human-resources and diversity managers. The Plan for </w:t>
      </w:r>
      <w:r w:rsidRPr="00BA6590">
        <w:rPr>
          <w:lang w:val="en-GB"/>
        </w:rPr>
        <w:t>2011</w:t>
      </w:r>
      <w:r w:rsidR="00D94C5A" w:rsidRPr="00BA6590">
        <w:rPr>
          <w:szCs w:val="24"/>
          <w:lang w:val="en-GB"/>
        </w:rPr>
        <w:t>–</w:t>
      </w:r>
      <w:r w:rsidRPr="00BA6590">
        <w:rPr>
          <w:lang w:val="en-GB"/>
        </w:rPr>
        <w:t xml:space="preserve">2014 </w:t>
      </w:r>
      <w:r w:rsidR="00E97A79" w:rsidRPr="00BA6590">
        <w:rPr>
          <w:lang w:val="en-GB"/>
        </w:rPr>
        <w:t>is based on the same thinking</w:t>
      </w:r>
      <w:r w:rsidRPr="00BA6590">
        <w:rPr>
          <w:lang w:val="en-GB"/>
        </w:rPr>
        <w:t>.</w:t>
      </w:r>
    </w:p>
    <w:p w:rsidR="00E50B98" w:rsidRPr="00BA6590" w:rsidRDefault="00E50B98" w:rsidP="00BA355C">
      <w:pPr>
        <w:pStyle w:val="SingleTxtG"/>
        <w:rPr>
          <w:lang w:val="en-GB"/>
        </w:rPr>
      </w:pPr>
      <w:r w:rsidRPr="00BA6590">
        <w:rPr>
          <w:lang w:val="en-GB"/>
        </w:rPr>
        <w:t>230.</w:t>
      </w:r>
      <w:r w:rsidR="004E090E" w:rsidRPr="00BA6590">
        <w:rPr>
          <w:lang w:val="en-GB"/>
        </w:rPr>
        <w:tab/>
      </w:r>
      <w:r w:rsidR="00941294" w:rsidRPr="00BA6590">
        <w:rPr>
          <w:lang w:val="en-GB"/>
        </w:rPr>
        <w:t>Among many other activities,</w:t>
      </w:r>
      <w:r w:rsidRPr="00BA6590">
        <w:rPr>
          <w:lang w:val="en-GB"/>
        </w:rPr>
        <w:t xml:space="preserve"> SPF P&amp;O </w:t>
      </w:r>
      <w:r w:rsidR="00941294" w:rsidRPr="00BA6590">
        <w:rPr>
          <w:lang w:val="en-GB"/>
        </w:rPr>
        <w:t xml:space="preserve">has produced a </w:t>
      </w:r>
      <w:r w:rsidR="00A216FB" w:rsidRPr="00BA6590">
        <w:rPr>
          <w:lang w:val="en-GB"/>
        </w:rPr>
        <w:t>“</w:t>
      </w:r>
      <w:r w:rsidR="00941294" w:rsidRPr="00BA6590">
        <w:rPr>
          <w:lang w:val="en-GB"/>
        </w:rPr>
        <w:t>Charter for Diversity in the Federal Administration</w:t>
      </w:r>
      <w:r w:rsidR="00A216FB" w:rsidRPr="00BA6590">
        <w:rPr>
          <w:lang w:val="en-GB"/>
        </w:rPr>
        <w:t>”</w:t>
      </w:r>
      <w:r w:rsidR="00941294" w:rsidRPr="00BA6590">
        <w:rPr>
          <w:lang w:val="en-GB"/>
        </w:rPr>
        <w:t xml:space="preserve">, which was signed by senior managers in </w:t>
      </w:r>
      <w:r w:rsidR="003F5E21" w:rsidRPr="00BA6590">
        <w:rPr>
          <w:lang w:val="en-GB"/>
        </w:rPr>
        <w:t>March</w:t>
      </w:r>
      <w:r w:rsidRPr="00BA6590">
        <w:rPr>
          <w:lang w:val="en-GB"/>
        </w:rPr>
        <w:t xml:space="preserve"> 2006</w:t>
      </w:r>
      <w:r w:rsidR="00941294" w:rsidRPr="00BA6590">
        <w:rPr>
          <w:lang w:val="en-GB"/>
        </w:rPr>
        <w:t xml:space="preserve"> on the occasion of the launch of the </w:t>
      </w:r>
      <w:r w:rsidR="00A216FB" w:rsidRPr="00BA6590">
        <w:rPr>
          <w:lang w:val="en-GB"/>
        </w:rPr>
        <w:t>“</w:t>
      </w:r>
      <w:r w:rsidR="00941294" w:rsidRPr="00BA6590">
        <w:rPr>
          <w:lang w:val="en-GB"/>
        </w:rPr>
        <w:t>Diversity is our wealth</w:t>
      </w:r>
      <w:r w:rsidR="00A216FB" w:rsidRPr="00BA6590">
        <w:rPr>
          <w:lang w:val="en-GB"/>
        </w:rPr>
        <w:t>”</w:t>
      </w:r>
      <w:r w:rsidR="00941294" w:rsidRPr="00BA6590">
        <w:rPr>
          <w:lang w:val="en-GB"/>
        </w:rPr>
        <w:t xml:space="preserve"> campaign, whose aims included familiarizing people of foreign origin with the federal authorities. </w:t>
      </w:r>
      <w:r w:rsidR="009006EF" w:rsidRPr="00BA6590">
        <w:rPr>
          <w:lang w:val="en-GB"/>
        </w:rPr>
        <w:t>The signatories of the Charter c</w:t>
      </w:r>
      <w:r w:rsidR="00610EB9" w:rsidRPr="00BA6590">
        <w:rPr>
          <w:lang w:val="en-GB"/>
        </w:rPr>
        <w:t>ommitted themselves to exclude</w:t>
      </w:r>
      <w:r w:rsidR="009006EF" w:rsidRPr="00BA6590">
        <w:rPr>
          <w:lang w:val="en-GB"/>
        </w:rPr>
        <w:t xml:space="preserve"> all forms of discrimination from their organizatio</w:t>
      </w:r>
      <w:r w:rsidR="000D416E" w:rsidRPr="00BA6590">
        <w:rPr>
          <w:lang w:val="en-GB"/>
        </w:rPr>
        <w:t xml:space="preserve">ns and to undertake </w:t>
      </w:r>
      <w:r w:rsidR="00610EB9" w:rsidRPr="00BA6590">
        <w:rPr>
          <w:lang w:val="en-GB"/>
        </w:rPr>
        <w:t xml:space="preserve">pro-diversity </w:t>
      </w:r>
      <w:r w:rsidR="000D416E" w:rsidRPr="00BA6590">
        <w:rPr>
          <w:lang w:val="en-GB"/>
        </w:rPr>
        <w:t>activities</w:t>
      </w:r>
      <w:r w:rsidR="009006EF" w:rsidRPr="00BA6590">
        <w:rPr>
          <w:lang w:val="en-GB"/>
        </w:rPr>
        <w:t xml:space="preserve">. </w:t>
      </w:r>
    </w:p>
    <w:p w:rsidR="00E50B98" w:rsidRPr="00BA6590" w:rsidRDefault="00E50B98" w:rsidP="00BA355C">
      <w:pPr>
        <w:pStyle w:val="SingleTxtG"/>
        <w:rPr>
          <w:lang w:val="en-GB"/>
        </w:rPr>
      </w:pPr>
      <w:r w:rsidRPr="00BA6590">
        <w:rPr>
          <w:lang w:val="en-GB"/>
        </w:rPr>
        <w:t>231.</w:t>
      </w:r>
      <w:r w:rsidR="004E090E" w:rsidRPr="00BA6590">
        <w:rPr>
          <w:lang w:val="en-GB"/>
        </w:rPr>
        <w:tab/>
      </w:r>
      <w:r w:rsidR="00610EB9" w:rsidRPr="00BA6590">
        <w:rPr>
          <w:lang w:val="en-GB"/>
        </w:rPr>
        <w:t xml:space="preserve">Specific recruitment channels are </w:t>
      </w:r>
      <w:r w:rsidR="00061475" w:rsidRPr="00BA6590">
        <w:rPr>
          <w:lang w:val="en-GB"/>
        </w:rPr>
        <w:t xml:space="preserve">used in order to make people of foreign origin aware of selection tests; for example, the </w:t>
      </w:r>
      <w:r w:rsidR="00061475" w:rsidRPr="00BA6590">
        <w:rPr>
          <w:i/>
          <w:lang w:val="en-GB"/>
        </w:rPr>
        <w:t>Testez les tests</w:t>
      </w:r>
      <w:r w:rsidR="00061475" w:rsidRPr="00BA6590">
        <w:rPr>
          <w:lang w:val="en-GB"/>
        </w:rPr>
        <w:t xml:space="preserve"> (Test the Tests) project aims to ensure cultural neutrality </w:t>
      </w:r>
      <w:r w:rsidR="001D0487" w:rsidRPr="00BA6590">
        <w:rPr>
          <w:lang w:val="en-GB"/>
        </w:rPr>
        <w:t>in</w:t>
      </w:r>
      <w:r w:rsidR="00061475" w:rsidRPr="00BA6590">
        <w:rPr>
          <w:lang w:val="en-GB"/>
        </w:rPr>
        <w:t xml:space="preserve"> selection methods.</w:t>
      </w:r>
      <w:r w:rsidR="00610EB9" w:rsidRPr="00BA6590">
        <w:rPr>
          <w:lang w:val="en-GB"/>
        </w:rPr>
        <w:t xml:space="preserve"> </w:t>
      </w:r>
    </w:p>
    <w:p w:rsidR="00E50B98" w:rsidRPr="00BA6590" w:rsidRDefault="00E50B98" w:rsidP="006C6FD4">
      <w:pPr>
        <w:pStyle w:val="SingleTxtG"/>
        <w:rPr>
          <w:lang w:val="en-GB"/>
        </w:rPr>
      </w:pPr>
      <w:r w:rsidRPr="00BA6590">
        <w:rPr>
          <w:lang w:val="en-GB"/>
        </w:rPr>
        <w:t>232.</w:t>
      </w:r>
      <w:r w:rsidR="004E090E" w:rsidRPr="00BA6590">
        <w:rPr>
          <w:lang w:val="en-GB"/>
        </w:rPr>
        <w:tab/>
      </w:r>
      <w:r w:rsidR="00061475" w:rsidRPr="00BA6590">
        <w:rPr>
          <w:lang w:val="en-GB"/>
        </w:rPr>
        <w:t xml:space="preserve">In order to have a picture of other pro-diversity actions by the Belgian federal administration, members of the Committee are invited to visit the website </w:t>
      </w:r>
      <w:r w:rsidRPr="00BA6590">
        <w:rPr>
          <w:lang w:val="en-GB"/>
        </w:rPr>
        <w:t xml:space="preserve">www.diversite.belgium.be </w:t>
      </w:r>
      <w:r w:rsidR="00061475" w:rsidRPr="00BA6590">
        <w:rPr>
          <w:lang w:val="en-GB"/>
        </w:rPr>
        <w:t xml:space="preserve">and </w:t>
      </w:r>
      <w:r w:rsidR="001D0487" w:rsidRPr="00BA6590">
        <w:rPr>
          <w:lang w:val="en-GB"/>
        </w:rPr>
        <w:t xml:space="preserve">also to </w:t>
      </w:r>
      <w:r w:rsidR="00061475" w:rsidRPr="00BA6590">
        <w:rPr>
          <w:lang w:val="en-GB"/>
        </w:rPr>
        <w:t xml:space="preserve">study annex </w:t>
      </w:r>
      <w:r w:rsidRPr="00BA6590">
        <w:rPr>
          <w:lang w:val="en-GB"/>
        </w:rPr>
        <w:t>II.</w:t>
      </w:r>
    </w:p>
    <w:p w:rsidR="00E50B98" w:rsidRPr="00BA6590" w:rsidRDefault="00E50B98" w:rsidP="00E50B98">
      <w:pPr>
        <w:pStyle w:val="SingleTxtG"/>
        <w:rPr>
          <w:lang w:val="en-GB"/>
        </w:rPr>
      </w:pPr>
      <w:r w:rsidRPr="00BA6590">
        <w:rPr>
          <w:lang w:val="en-GB"/>
        </w:rPr>
        <w:t>233.</w:t>
      </w:r>
      <w:r w:rsidR="004E090E" w:rsidRPr="00BA6590">
        <w:rPr>
          <w:lang w:val="en-GB"/>
        </w:rPr>
        <w:tab/>
      </w:r>
      <w:r w:rsidR="00061475" w:rsidRPr="00BA6590">
        <w:rPr>
          <w:lang w:val="en-GB"/>
        </w:rPr>
        <w:t xml:space="preserve">The Flemish Community, the French Community and the Brussels-Capital Region have also adopted action plans and set up diversity policies in their </w:t>
      </w:r>
      <w:r w:rsidR="00884109" w:rsidRPr="00BA6590">
        <w:rPr>
          <w:lang w:val="en-GB"/>
        </w:rPr>
        <w:t>administrative</w:t>
      </w:r>
      <w:r w:rsidR="00061475" w:rsidRPr="00BA6590">
        <w:rPr>
          <w:lang w:val="en-GB"/>
        </w:rPr>
        <w:t xml:space="preserve"> structures. </w:t>
      </w:r>
    </w:p>
    <w:p w:rsidR="00E50B98" w:rsidRPr="00BA6590" w:rsidRDefault="002E6DFC" w:rsidP="002E6DFC">
      <w:pPr>
        <w:pStyle w:val="H56G"/>
        <w:rPr>
          <w:lang w:val="en-GB"/>
        </w:rPr>
      </w:pPr>
      <w:r w:rsidRPr="00BA6590">
        <w:rPr>
          <w:lang w:val="en-GB"/>
        </w:rPr>
        <w:tab/>
      </w:r>
      <w:r w:rsidRPr="00BA6590">
        <w:rPr>
          <w:lang w:val="en-GB"/>
        </w:rPr>
        <w:tab/>
      </w:r>
      <w:r w:rsidR="00E50B98" w:rsidRPr="00BA6590">
        <w:rPr>
          <w:lang w:val="en-GB"/>
        </w:rPr>
        <w:t>Cr</w:t>
      </w:r>
      <w:r w:rsidR="00061475" w:rsidRPr="00BA6590">
        <w:rPr>
          <w:lang w:val="en-GB"/>
        </w:rPr>
        <w:t>e</w:t>
      </w:r>
      <w:r w:rsidR="00E50B98" w:rsidRPr="00BA6590">
        <w:rPr>
          <w:lang w:val="en-GB"/>
        </w:rPr>
        <w:t>ation</w:t>
      </w:r>
      <w:r w:rsidR="00061475" w:rsidRPr="00BA6590">
        <w:rPr>
          <w:lang w:val="en-GB"/>
        </w:rPr>
        <w:t xml:space="preserve"> of socioeconomic monitoring</w:t>
      </w:r>
    </w:p>
    <w:p w:rsidR="00E50B98" w:rsidRPr="00BA6590" w:rsidRDefault="00E50B98" w:rsidP="00E50B98">
      <w:pPr>
        <w:pStyle w:val="SingleTxtG"/>
        <w:rPr>
          <w:lang w:val="en-GB"/>
        </w:rPr>
      </w:pPr>
      <w:r w:rsidRPr="00BA6590">
        <w:rPr>
          <w:lang w:val="en-GB"/>
        </w:rPr>
        <w:t>234.</w:t>
      </w:r>
      <w:r w:rsidR="004E090E" w:rsidRPr="00BA6590">
        <w:rPr>
          <w:lang w:val="en-GB"/>
        </w:rPr>
        <w:tab/>
      </w:r>
      <w:r w:rsidR="00AF536B" w:rsidRPr="00BA6590">
        <w:rPr>
          <w:lang w:val="en-GB"/>
        </w:rPr>
        <w:t xml:space="preserve">The Federal </w:t>
      </w:r>
      <w:r w:rsidR="005F073C" w:rsidRPr="00BA6590">
        <w:rPr>
          <w:lang w:val="en-GB"/>
        </w:rPr>
        <w:t>Department of</w:t>
      </w:r>
      <w:r w:rsidR="00AF536B" w:rsidRPr="00BA6590">
        <w:rPr>
          <w:lang w:val="en-GB"/>
        </w:rPr>
        <w:t xml:space="preserve"> Employment, Labour and Social Dialogue is involved in a project</w:t>
      </w:r>
      <w:r w:rsidRPr="00BA6590">
        <w:rPr>
          <w:lang w:val="en-GB"/>
        </w:rPr>
        <w:t xml:space="preserve"> </w:t>
      </w:r>
      <w:r w:rsidR="00AF536B" w:rsidRPr="00BA6590">
        <w:rPr>
          <w:lang w:val="en-GB"/>
        </w:rPr>
        <w:t xml:space="preserve">launched by the </w:t>
      </w:r>
      <w:r w:rsidR="004B472D" w:rsidRPr="00BA6590">
        <w:rPr>
          <w:lang w:val="en-GB"/>
        </w:rPr>
        <w:t>Centre for Equal Opportunities and Action</w:t>
      </w:r>
      <w:r w:rsidR="006E73EA" w:rsidRPr="00BA6590">
        <w:rPr>
          <w:lang w:val="en-GB"/>
        </w:rPr>
        <w:t xml:space="preserve"> to Combat Racism</w:t>
      </w:r>
      <w:r w:rsidR="00AF536B" w:rsidRPr="00BA6590">
        <w:rPr>
          <w:lang w:val="en-GB"/>
        </w:rPr>
        <w:t xml:space="preserve"> seeking to set up socioeconomic monitoring to determine the composition of the labour market in terms of workers</w:t>
      </w:r>
      <w:r w:rsidR="00A216FB" w:rsidRPr="00BA6590">
        <w:rPr>
          <w:lang w:val="en-GB"/>
        </w:rPr>
        <w:t>’</w:t>
      </w:r>
      <w:r w:rsidR="00AF536B" w:rsidRPr="00BA6590">
        <w:rPr>
          <w:lang w:val="en-GB"/>
        </w:rPr>
        <w:t xml:space="preserve"> national origins. Initial results should be published in early</w:t>
      </w:r>
      <w:r w:rsidRPr="00BA6590">
        <w:rPr>
          <w:lang w:val="en-GB"/>
        </w:rPr>
        <w:t xml:space="preserve"> 2013.</w:t>
      </w:r>
      <w:r w:rsidR="001D0487" w:rsidRPr="00BA6590">
        <w:rPr>
          <w:rStyle w:val="FootnoteReference"/>
          <w:lang w:val="en-GB"/>
        </w:rPr>
        <w:footnoteReference w:id="29"/>
      </w:r>
    </w:p>
    <w:p w:rsidR="00E50B98" w:rsidRPr="00BA6590" w:rsidRDefault="00E50B98" w:rsidP="00E50B98">
      <w:pPr>
        <w:pStyle w:val="SingleTxtG"/>
        <w:rPr>
          <w:lang w:val="en-GB"/>
        </w:rPr>
      </w:pPr>
      <w:r w:rsidRPr="00BA6590">
        <w:rPr>
          <w:lang w:val="en-GB"/>
        </w:rPr>
        <w:t>235.</w:t>
      </w:r>
      <w:r w:rsidRPr="00BA6590">
        <w:rPr>
          <w:lang w:val="en-GB"/>
        </w:rPr>
        <w:tab/>
      </w:r>
      <w:r w:rsidR="00AF536B" w:rsidRPr="00BA6590">
        <w:rPr>
          <w:lang w:val="en-GB"/>
        </w:rPr>
        <w:t>In light of the particular problems facing certain groups of foreign nationality or origin in their labour-market integration</w:t>
      </w:r>
      <w:r w:rsidR="001D0487" w:rsidRPr="00BA6590">
        <w:rPr>
          <w:lang w:val="en-GB"/>
        </w:rPr>
        <w:t>, as well as</w:t>
      </w:r>
      <w:r w:rsidR="00AF536B" w:rsidRPr="00BA6590">
        <w:rPr>
          <w:lang w:val="en-GB"/>
        </w:rPr>
        <w:t xml:space="preserve"> the difficulty of detecting </w:t>
      </w:r>
      <w:r w:rsidR="00EB0ACD" w:rsidRPr="00BA6590">
        <w:rPr>
          <w:lang w:val="en-GB"/>
        </w:rPr>
        <w:t>direct discrimination</w:t>
      </w:r>
      <w:r w:rsidRPr="00BA6590">
        <w:rPr>
          <w:lang w:val="en-GB"/>
        </w:rPr>
        <w:t>,</w:t>
      </w:r>
      <w:r w:rsidR="00AF536B" w:rsidRPr="00BA6590">
        <w:rPr>
          <w:lang w:val="en-GB"/>
        </w:rPr>
        <w:t xml:space="preserve"> a long-term mechanism has been proposed to collect and analyse data on the labour-market situations of people of foreign origin according</w:t>
      </w:r>
      <w:r w:rsidR="001D0487" w:rsidRPr="00BA6590">
        <w:rPr>
          <w:lang w:val="en-GB"/>
        </w:rPr>
        <w:t xml:space="preserve"> to</w:t>
      </w:r>
      <w:r w:rsidR="00AF536B" w:rsidRPr="00BA6590">
        <w:rPr>
          <w:lang w:val="en-GB"/>
        </w:rPr>
        <w:t xml:space="preserve"> their backgrounds in terms of nationality. </w:t>
      </w:r>
    </w:p>
    <w:p w:rsidR="00E50B98" w:rsidRPr="00BA6590" w:rsidRDefault="00E50B98" w:rsidP="00E50B98">
      <w:pPr>
        <w:pStyle w:val="SingleTxtG"/>
        <w:rPr>
          <w:lang w:val="en-GB"/>
        </w:rPr>
      </w:pPr>
      <w:r w:rsidRPr="00BA6590">
        <w:rPr>
          <w:lang w:val="en-GB"/>
        </w:rPr>
        <w:t>236.</w:t>
      </w:r>
      <w:r w:rsidRPr="00BA6590">
        <w:rPr>
          <w:lang w:val="en-GB"/>
        </w:rPr>
        <w:tab/>
      </w:r>
      <w:r w:rsidR="00AF536B" w:rsidRPr="00BA6590">
        <w:rPr>
          <w:lang w:val="en-GB"/>
        </w:rPr>
        <w:t xml:space="preserve">The proposed instrument would be based on the principle of monitoring using objective, anonymous aggregate data from an existing administrative database or </w:t>
      </w:r>
      <w:r w:rsidR="001D0487" w:rsidRPr="00BA6590">
        <w:rPr>
          <w:lang w:val="en-GB"/>
        </w:rPr>
        <w:t>databases</w:t>
      </w:r>
      <w:r w:rsidR="00AF536B" w:rsidRPr="00BA6590">
        <w:rPr>
          <w:lang w:val="en-GB"/>
        </w:rPr>
        <w:t>. The resulting instrument</w:t>
      </w:r>
      <w:r w:rsidR="00097ADA" w:rsidRPr="00BA6590">
        <w:rPr>
          <w:lang w:val="en-GB"/>
        </w:rPr>
        <w:t xml:space="preserve"> will cross-reference </w:t>
      </w:r>
      <w:r w:rsidR="001D0487" w:rsidRPr="00BA6590">
        <w:rPr>
          <w:lang w:val="en-GB"/>
        </w:rPr>
        <w:t>individu</w:t>
      </w:r>
      <w:r w:rsidR="00097ADA" w:rsidRPr="00BA6590">
        <w:rPr>
          <w:lang w:val="en-GB"/>
        </w:rPr>
        <w:t>al data and those relating to matters such as national backgrounds with conventional socioeconomic data such as business size and sector, wage structure and location.</w:t>
      </w:r>
    </w:p>
    <w:p w:rsidR="00E50B98" w:rsidRPr="00BA6590" w:rsidRDefault="00E50B98" w:rsidP="00E50B98">
      <w:pPr>
        <w:pStyle w:val="SingleTxtG"/>
        <w:rPr>
          <w:lang w:val="en-GB"/>
        </w:rPr>
      </w:pPr>
      <w:r w:rsidRPr="00BA6590">
        <w:rPr>
          <w:lang w:val="en-GB"/>
        </w:rPr>
        <w:t>237.</w:t>
      </w:r>
      <w:r w:rsidRPr="00BA6590">
        <w:rPr>
          <w:lang w:val="en-GB"/>
        </w:rPr>
        <w:tab/>
      </w:r>
      <w:r w:rsidR="00097ADA" w:rsidRPr="00BA6590">
        <w:rPr>
          <w:lang w:val="en-GB"/>
        </w:rPr>
        <w:t xml:space="preserve">The purpose of studies using the data collected through socioeconomic monitoring will be to measure and interpret trends in the ethnic stratification of the labour market so that policies can be implemented in the area of diversity and equal opportunities. This instrument will provide </w:t>
      </w:r>
      <w:r w:rsidR="00DE26D1" w:rsidRPr="00BA6590">
        <w:rPr>
          <w:lang w:val="en-GB"/>
        </w:rPr>
        <w:t>regular</w:t>
      </w:r>
      <w:r w:rsidR="00097ADA" w:rsidRPr="00BA6590">
        <w:rPr>
          <w:lang w:val="en-GB"/>
        </w:rPr>
        <w:t xml:space="preserve"> updates </w:t>
      </w:r>
      <w:r w:rsidR="00DE26D1" w:rsidRPr="00BA6590">
        <w:rPr>
          <w:lang w:val="en-GB"/>
        </w:rPr>
        <w:t>of</w:t>
      </w:r>
      <w:r w:rsidR="00097ADA" w:rsidRPr="00BA6590">
        <w:rPr>
          <w:lang w:val="en-GB"/>
        </w:rPr>
        <w:t xml:space="preserve"> the data needed for defining and evaluat</w:t>
      </w:r>
      <w:r w:rsidR="00DE26D1" w:rsidRPr="00BA6590">
        <w:rPr>
          <w:lang w:val="en-GB"/>
        </w:rPr>
        <w:t>ing public policy and the activitie</w:t>
      </w:r>
      <w:r w:rsidR="00097ADA" w:rsidRPr="00BA6590">
        <w:rPr>
          <w:lang w:val="en-GB"/>
        </w:rPr>
        <w:t>s of</w:t>
      </w:r>
      <w:r w:rsidR="00DE26D1" w:rsidRPr="00BA6590">
        <w:rPr>
          <w:lang w:val="en-GB"/>
        </w:rPr>
        <w:t xml:space="preserve"> social partners in the area of combating discrimination and promoting diversity. </w:t>
      </w:r>
    </w:p>
    <w:p w:rsidR="00E50B98" w:rsidRPr="00BA6590" w:rsidRDefault="002E6DFC" w:rsidP="002E6DFC">
      <w:pPr>
        <w:pStyle w:val="H56G"/>
        <w:rPr>
          <w:lang w:val="en-GB"/>
        </w:rPr>
      </w:pPr>
      <w:r w:rsidRPr="00BA6590">
        <w:rPr>
          <w:lang w:val="en-GB"/>
        </w:rPr>
        <w:tab/>
      </w:r>
      <w:r w:rsidRPr="00BA6590">
        <w:rPr>
          <w:lang w:val="en-GB"/>
        </w:rPr>
        <w:tab/>
      </w:r>
      <w:r w:rsidR="00DE26D1" w:rsidRPr="00BA6590">
        <w:rPr>
          <w:lang w:val="en-GB"/>
        </w:rPr>
        <w:t>Diversity Barometer</w:t>
      </w:r>
    </w:p>
    <w:p w:rsidR="00E50B98" w:rsidRPr="00BA6590" w:rsidRDefault="00E50B98" w:rsidP="00E50B98">
      <w:pPr>
        <w:pStyle w:val="SingleTxtG"/>
        <w:rPr>
          <w:lang w:val="en-GB"/>
        </w:rPr>
      </w:pPr>
      <w:r w:rsidRPr="00BA6590">
        <w:rPr>
          <w:lang w:val="en-GB"/>
        </w:rPr>
        <w:t>238.</w:t>
      </w:r>
      <w:r w:rsidRPr="00BA6590">
        <w:rPr>
          <w:lang w:val="en-GB"/>
        </w:rPr>
        <w:tab/>
      </w:r>
      <w:r w:rsidR="001D0487" w:rsidRPr="00BA6590">
        <w:rPr>
          <w:lang w:val="en-GB"/>
        </w:rPr>
        <w:t xml:space="preserve">The </w:t>
      </w:r>
      <w:r w:rsidR="00DE26D1" w:rsidRPr="00BA6590">
        <w:rPr>
          <w:lang w:val="en-GB"/>
        </w:rPr>
        <w:t xml:space="preserve">Diversity Barometer project, led by the </w:t>
      </w:r>
      <w:r w:rsidR="004B472D" w:rsidRPr="00BA6590">
        <w:rPr>
          <w:lang w:val="en-GB"/>
        </w:rPr>
        <w:t>Centre for Equal Opportunities and Action</w:t>
      </w:r>
      <w:r w:rsidR="006E73EA" w:rsidRPr="00BA6590">
        <w:rPr>
          <w:lang w:val="en-GB"/>
        </w:rPr>
        <w:t xml:space="preserve"> to Combat Racism</w:t>
      </w:r>
      <w:r w:rsidRPr="00BA6590">
        <w:rPr>
          <w:lang w:val="en-GB"/>
        </w:rPr>
        <w:t>,</w:t>
      </w:r>
      <w:r w:rsidR="00DE26D1" w:rsidRPr="00BA6590">
        <w:rPr>
          <w:lang w:val="en-GB"/>
        </w:rPr>
        <w:t xml:space="preserve"> aims to create a tool for long-term structural measurement which can provide a scientific survey of behaviour </w:t>
      </w:r>
      <w:r w:rsidRPr="00BA6590">
        <w:rPr>
          <w:lang w:val="en-GB"/>
        </w:rPr>
        <w:t>(</w:t>
      </w:r>
      <w:r w:rsidR="00DE26D1" w:rsidRPr="00BA6590">
        <w:rPr>
          <w:lang w:val="en-GB"/>
        </w:rPr>
        <w:t>degree of</w:t>
      </w:r>
      <w:r w:rsidRPr="00BA6590">
        <w:rPr>
          <w:lang w:val="en-GB"/>
        </w:rPr>
        <w:t xml:space="preserve"> discrimination), attitudes (</w:t>
      </w:r>
      <w:r w:rsidR="00DE26D1" w:rsidRPr="00BA6590">
        <w:rPr>
          <w:lang w:val="en-GB"/>
        </w:rPr>
        <w:t xml:space="preserve">degree of </w:t>
      </w:r>
      <w:r w:rsidR="00884109" w:rsidRPr="00BA6590">
        <w:rPr>
          <w:lang w:val="en-GB"/>
        </w:rPr>
        <w:t>tolerance</w:t>
      </w:r>
      <w:r w:rsidRPr="00BA6590">
        <w:rPr>
          <w:lang w:val="en-GB"/>
        </w:rPr>
        <w:t>)</w:t>
      </w:r>
      <w:r w:rsidR="00DE26D1" w:rsidRPr="00BA6590">
        <w:rPr>
          <w:lang w:val="en-GB"/>
        </w:rPr>
        <w:t xml:space="preserve"> and real participation</w:t>
      </w:r>
      <w:r w:rsidRPr="00BA6590">
        <w:rPr>
          <w:lang w:val="en-GB"/>
        </w:rPr>
        <w:t xml:space="preserve"> (</w:t>
      </w:r>
      <w:r w:rsidR="00DE26D1" w:rsidRPr="00BA6590">
        <w:rPr>
          <w:lang w:val="en-GB"/>
        </w:rPr>
        <w:t>degree of</w:t>
      </w:r>
      <w:r w:rsidRPr="00BA6590">
        <w:rPr>
          <w:lang w:val="en-GB"/>
        </w:rPr>
        <w:t xml:space="preserve"> participation)</w:t>
      </w:r>
      <w:r w:rsidR="00DE26D1" w:rsidRPr="00BA6590">
        <w:rPr>
          <w:lang w:val="en-GB"/>
        </w:rPr>
        <w:t xml:space="preserve"> in Belgian society. The results and reports of the Barometer will be intended </w:t>
      </w:r>
      <w:r w:rsidR="001D0487" w:rsidRPr="00BA6590">
        <w:rPr>
          <w:lang w:val="en-GB"/>
        </w:rPr>
        <w:t>primari</w:t>
      </w:r>
      <w:r w:rsidR="00DE26D1" w:rsidRPr="00BA6590">
        <w:rPr>
          <w:lang w:val="en-GB"/>
        </w:rPr>
        <w:t>ly for political leaders but also for social partners, civil society and supranational authorities</w:t>
      </w:r>
      <w:r w:rsidR="00EC339F" w:rsidRPr="00BA6590">
        <w:rPr>
          <w:lang w:val="en-GB"/>
        </w:rPr>
        <w:t>, in order to comply with the duty of monitoring and assessment arising out of international human rights conventions. The Centre wil</w:t>
      </w:r>
      <w:r w:rsidR="001D0487" w:rsidRPr="00BA6590">
        <w:rPr>
          <w:lang w:val="en-GB"/>
        </w:rPr>
        <w:t>l regularly report on the area</w:t>
      </w:r>
      <w:r w:rsidR="00EC339F" w:rsidRPr="00BA6590">
        <w:rPr>
          <w:lang w:val="en-GB"/>
        </w:rPr>
        <w:t>s most</w:t>
      </w:r>
      <w:r w:rsidR="001D0487" w:rsidRPr="00BA6590">
        <w:rPr>
          <w:lang w:val="en-GB"/>
        </w:rPr>
        <w:t xml:space="preserve"> directly affected by diversity</w:t>
      </w:r>
      <w:r w:rsidR="00EC339F" w:rsidRPr="00BA6590">
        <w:rPr>
          <w:lang w:val="en-GB"/>
        </w:rPr>
        <w:t xml:space="preserve"> </w:t>
      </w:r>
      <w:r w:rsidR="001D0487" w:rsidRPr="00BA6590">
        <w:rPr>
          <w:lang w:val="en-GB"/>
        </w:rPr>
        <w:t>(</w:t>
      </w:r>
      <w:r w:rsidR="00EC339F" w:rsidRPr="00BA6590">
        <w:rPr>
          <w:lang w:val="en-GB"/>
        </w:rPr>
        <w:t>employment, housing and edu</w:t>
      </w:r>
      <w:r w:rsidR="00230897" w:rsidRPr="00BA6590">
        <w:rPr>
          <w:lang w:val="en-GB"/>
        </w:rPr>
        <w:t>cation</w:t>
      </w:r>
      <w:r w:rsidR="001D0487" w:rsidRPr="00BA6590">
        <w:rPr>
          <w:lang w:val="en-GB"/>
        </w:rPr>
        <w:t>)</w:t>
      </w:r>
      <w:r w:rsidR="00230897" w:rsidRPr="00BA6590">
        <w:rPr>
          <w:lang w:val="en-GB"/>
        </w:rPr>
        <w:t xml:space="preserve"> and </w:t>
      </w:r>
      <w:r w:rsidR="00EC339F" w:rsidRPr="00BA6590">
        <w:rPr>
          <w:lang w:val="en-GB"/>
        </w:rPr>
        <w:t xml:space="preserve">will publish </w:t>
      </w:r>
      <w:r w:rsidR="00230897" w:rsidRPr="00BA6590">
        <w:rPr>
          <w:lang w:val="en-GB"/>
        </w:rPr>
        <w:t>a</w:t>
      </w:r>
      <w:r w:rsidR="00EC339F" w:rsidRPr="00BA6590">
        <w:rPr>
          <w:lang w:val="en-GB"/>
        </w:rPr>
        <w:t xml:space="preserve"> </w:t>
      </w:r>
      <w:r w:rsidR="00230897" w:rsidRPr="00BA6590">
        <w:rPr>
          <w:lang w:val="en-GB"/>
        </w:rPr>
        <w:t xml:space="preserve">barometer </w:t>
      </w:r>
      <w:r w:rsidR="001D0487" w:rsidRPr="00BA6590">
        <w:rPr>
          <w:lang w:val="en-GB"/>
        </w:rPr>
        <w:t xml:space="preserve">every two years </w:t>
      </w:r>
      <w:r w:rsidR="00230897" w:rsidRPr="00BA6590">
        <w:rPr>
          <w:lang w:val="en-GB"/>
        </w:rPr>
        <w:t xml:space="preserve">on one of those three areas. The first </w:t>
      </w:r>
      <w:r w:rsidR="001D0487" w:rsidRPr="00BA6590">
        <w:rPr>
          <w:lang w:val="en-GB"/>
        </w:rPr>
        <w:t>one</w:t>
      </w:r>
      <w:r w:rsidR="00230897" w:rsidRPr="00BA6590">
        <w:rPr>
          <w:lang w:val="en-GB"/>
        </w:rPr>
        <w:t xml:space="preserve">, on employment, was published in 2012 </w:t>
      </w:r>
      <w:r w:rsidRPr="00BA6590">
        <w:rPr>
          <w:lang w:val="en-GB"/>
        </w:rPr>
        <w:t>(annex XII,</w:t>
      </w:r>
      <w:r w:rsidR="00230897" w:rsidRPr="00BA6590">
        <w:rPr>
          <w:lang w:val="en-GB"/>
        </w:rPr>
        <w:t xml:space="preserve"> results obtained in relation to discrimination on grounds of national origin</w:t>
      </w:r>
      <w:r w:rsidRPr="00BA6590">
        <w:rPr>
          <w:lang w:val="en-GB"/>
        </w:rPr>
        <w:t>).</w:t>
      </w:r>
      <w:r w:rsidR="00230897" w:rsidRPr="00BA6590">
        <w:rPr>
          <w:lang w:val="en-GB"/>
        </w:rPr>
        <w:t xml:space="preserve"> </w:t>
      </w:r>
      <w:r w:rsidR="00DB0478" w:rsidRPr="00BA6590">
        <w:rPr>
          <w:lang w:val="en-GB"/>
        </w:rPr>
        <w:t xml:space="preserve">The next, due in 2014, will be about housing, and 2016 will see the publication of a barometer of education. A new cycle will begin in </w:t>
      </w:r>
      <w:r w:rsidRPr="00BA6590">
        <w:rPr>
          <w:lang w:val="en-GB"/>
        </w:rPr>
        <w:t>2018</w:t>
      </w:r>
      <w:r w:rsidR="00DB0478" w:rsidRPr="00BA6590">
        <w:rPr>
          <w:lang w:val="en-GB"/>
        </w:rPr>
        <w:t xml:space="preserve"> with another barometer on employment, which will allow for comparison of results after a six-year interval. </w:t>
      </w:r>
    </w:p>
    <w:p w:rsidR="00E50B98" w:rsidRPr="00BA6590" w:rsidRDefault="002E6DFC" w:rsidP="002E6DFC">
      <w:pPr>
        <w:pStyle w:val="H56G"/>
        <w:rPr>
          <w:lang w:val="en-GB"/>
        </w:rPr>
      </w:pPr>
      <w:r w:rsidRPr="00BA6590">
        <w:rPr>
          <w:lang w:val="en-GB"/>
        </w:rPr>
        <w:tab/>
      </w:r>
      <w:r w:rsidRPr="00BA6590">
        <w:rPr>
          <w:lang w:val="en-GB"/>
        </w:rPr>
        <w:tab/>
      </w:r>
      <w:r w:rsidR="00DB0478" w:rsidRPr="00BA6590">
        <w:rPr>
          <w:lang w:val="en-GB"/>
        </w:rPr>
        <w:t>Collective labour agreements</w:t>
      </w:r>
    </w:p>
    <w:p w:rsidR="00E50B98" w:rsidRPr="00BA6590" w:rsidRDefault="007E2670" w:rsidP="007E2670">
      <w:pPr>
        <w:pStyle w:val="H56G"/>
        <w:rPr>
          <w:lang w:val="en-GB"/>
        </w:rPr>
      </w:pPr>
      <w:r w:rsidRPr="00BA6590">
        <w:rPr>
          <w:lang w:val="en-GB"/>
        </w:rPr>
        <w:tab/>
      </w:r>
      <w:r w:rsidRPr="00BA6590">
        <w:rPr>
          <w:lang w:val="en-GB"/>
        </w:rPr>
        <w:tab/>
      </w:r>
      <w:r w:rsidR="0034223A" w:rsidRPr="00BA6590">
        <w:rPr>
          <w:lang w:val="en-GB"/>
        </w:rPr>
        <w:t>Collective L</w:t>
      </w:r>
      <w:r w:rsidR="00DB0478" w:rsidRPr="00BA6590">
        <w:rPr>
          <w:lang w:val="en-GB"/>
        </w:rPr>
        <w:t xml:space="preserve">abour </w:t>
      </w:r>
      <w:r w:rsidR="0034223A" w:rsidRPr="00BA6590">
        <w:rPr>
          <w:lang w:val="en-GB"/>
        </w:rPr>
        <w:t>A</w:t>
      </w:r>
      <w:r w:rsidR="00DB0478" w:rsidRPr="00BA6590">
        <w:rPr>
          <w:lang w:val="en-GB"/>
        </w:rPr>
        <w:t>greement</w:t>
      </w:r>
      <w:r w:rsidR="006D0EB6" w:rsidRPr="00BA6590">
        <w:rPr>
          <w:lang w:val="en-GB"/>
        </w:rPr>
        <w:t xml:space="preserve"> N</w:t>
      </w:r>
      <w:r w:rsidR="00DB0478" w:rsidRPr="00BA6590">
        <w:rPr>
          <w:lang w:val="en-GB"/>
        </w:rPr>
        <w:t>o. 38 on the recruitment and selection of workers</w:t>
      </w:r>
    </w:p>
    <w:p w:rsidR="00E50B98" w:rsidRPr="00BA6590" w:rsidRDefault="00E50B98" w:rsidP="00E50B98">
      <w:pPr>
        <w:pStyle w:val="SingleTxtG"/>
        <w:rPr>
          <w:lang w:val="en-GB"/>
        </w:rPr>
      </w:pPr>
      <w:r w:rsidRPr="00BA6590">
        <w:rPr>
          <w:lang w:val="en-GB"/>
        </w:rPr>
        <w:t>239.</w:t>
      </w:r>
      <w:r w:rsidRPr="00BA6590">
        <w:rPr>
          <w:lang w:val="en-GB"/>
        </w:rPr>
        <w:tab/>
      </w:r>
      <w:r w:rsidR="0034223A" w:rsidRPr="00BA6590">
        <w:rPr>
          <w:lang w:val="en-GB"/>
        </w:rPr>
        <w:t>Collective L</w:t>
      </w:r>
      <w:r w:rsidR="006D0EB6" w:rsidRPr="00BA6590">
        <w:rPr>
          <w:lang w:val="en-GB"/>
        </w:rPr>
        <w:t xml:space="preserve">abour </w:t>
      </w:r>
      <w:r w:rsidR="0034223A" w:rsidRPr="00BA6590">
        <w:rPr>
          <w:lang w:val="en-GB"/>
        </w:rPr>
        <w:t>A</w:t>
      </w:r>
      <w:r w:rsidR="006D0EB6" w:rsidRPr="00BA6590">
        <w:rPr>
          <w:lang w:val="en-GB"/>
        </w:rPr>
        <w:t xml:space="preserve">greement No. 38, adopted by the National Employment Council, enshrines the principle of equal treatment </w:t>
      </w:r>
      <w:r w:rsidR="00923FEF" w:rsidRPr="00BA6590">
        <w:rPr>
          <w:lang w:val="en-GB"/>
        </w:rPr>
        <w:t>in the</w:t>
      </w:r>
      <w:r w:rsidR="006D0EB6" w:rsidRPr="00BA6590">
        <w:rPr>
          <w:lang w:val="en-GB"/>
        </w:rPr>
        <w:t xml:space="preserve"> recruitment and selection</w:t>
      </w:r>
      <w:r w:rsidR="00923FEF" w:rsidRPr="00BA6590">
        <w:rPr>
          <w:lang w:val="en-GB"/>
        </w:rPr>
        <w:t xml:space="preserve"> of workers</w:t>
      </w:r>
      <w:r w:rsidR="006D0EB6" w:rsidRPr="00BA6590">
        <w:rPr>
          <w:lang w:val="en-GB"/>
        </w:rPr>
        <w:t xml:space="preserve">. Article </w:t>
      </w:r>
      <w:r w:rsidR="00834782" w:rsidRPr="00BA6590">
        <w:rPr>
          <w:lang w:val="en-GB"/>
        </w:rPr>
        <w:t xml:space="preserve">2 </w:t>
      </w:r>
      <w:r w:rsidR="00834782" w:rsidRPr="00BA6590">
        <w:rPr>
          <w:i/>
          <w:iCs/>
          <w:lang w:val="en-GB"/>
        </w:rPr>
        <w:t>bis</w:t>
      </w:r>
      <w:r w:rsidR="00834782" w:rsidRPr="00BA6590">
        <w:rPr>
          <w:lang w:val="en-GB"/>
        </w:rPr>
        <w:t xml:space="preserve"> </w:t>
      </w:r>
      <w:r w:rsidR="00923FEF" w:rsidRPr="00BA6590">
        <w:rPr>
          <w:lang w:val="en-GB"/>
        </w:rPr>
        <w:t>of the A</w:t>
      </w:r>
      <w:r w:rsidR="006D0EB6" w:rsidRPr="00BA6590">
        <w:rPr>
          <w:lang w:val="en-GB"/>
        </w:rPr>
        <w:t xml:space="preserve">greement prohibits any difference in treatment on grounds of </w:t>
      </w:r>
      <w:r w:rsidR="00690C30" w:rsidRPr="00BA6590">
        <w:rPr>
          <w:lang w:val="en-GB"/>
        </w:rPr>
        <w:t>gender</w:t>
      </w:r>
      <w:r w:rsidR="006D0EB6" w:rsidRPr="00BA6590">
        <w:rPr>
          <w:lang w:val="en-GB"/>
        </w:rPr>
        <w:t xml:space="preserve">, marital status, medical history, race, skin colour, ethnic origin or nationality, age, political or philosophical beliefs, membership of a trade union or other organization, sexual orientation or disability. Failure to comply with this principle is a criminal offence. The </w:t>
      </w:r>
      <w:r w:rsidR="00923FEF" w:rsidRPr="00BA6590">
        <w:rPr>
          <w:lang w:val="en-GB"/>
        </w:rPr>
        <w:t>text</w:t>
      </w:r>
      <w:r w:rsidR="006D0EB6" w:rsidRPr="00BA6590">
        <w:rPr>
          <w:lang w:val="en-GB"/>
        </w:rPr>
        <w:t xml:space="preserve"> has been amended a number of times, most recently on </w:t>
      </w:r>
      <w:r w:rsidRPr="00BA6590">
        <w:rPr>
          <w:lang w:val="en-GB"/>
        </w:rPr>
        <w:t xml:space="preserve">10 </w:t>
      </w:r>
      <w:r w:rsidR="003F5E21" w:rsidRPr="00BA6590">
        <w:rPr>
          <w:lang w:val="en-GB"/>
        </w:rPr>
        <w:t>October</w:t>
      </w:r>
      <w:r w:rsidRPr="00BA6590">
        <w:rPr>
          <w:lang w:val="en-GB"/>
        </w:rPr>
        <w:t xml:space="preserve"> 2008</w:t>
      </w:r>
      <w:r w:rsidR="006D0EB6" w:rsidRPr="00BA6590">
        <w:rPr>
          <w:lang w:val="en-GB"/>
        </w:rPr>
        <w:t xml:space="preserve">, introducing a </w:t>
      </w:r>
      <w:r w:rsidRPr="00BA6590">
        <w:rPr>
          <w:lang w:val="en-GB"/>
        </w:rPr>
        <w:t>code</w:t>
      </w:r>
      <w:r w:rsidR="006D0EB6" w:rsidRPr="00BA6590">
        <w:rPr>
          <w:lang w:val="en-GB"/>
        </w:rPr>
        <w:t xml:space="preserve"> of conduct</w:t>
      </w:r>
      <w:r w:rsidR="00923FEF" w:rsidRPr="00BA6590">
        <w:rPr>
          <w:lang w:val="en-GB"/>
        </w:rPr>
        <w:t xml:space="preserve"> on equal treatment </w:t>
      </w:r>
      <w:r w:rsidR="006D0EB6" w:rsidRPr="00BA6590">
        <w:rPr>
          <w:lang w:val="en-GB"/>
        </w:rPr>
        <w:t>in</w:t>
      </w:r>
      <w:r w:rsidR="00923FEF" w:rsidRPr="00BA6590">
        <w:rPr>
          <w:lang w:val="en-GB"/>
        </w:rPr>
        <w:t xml:space="preserve"> </w:t>
      </w:r>
      <w:r w:rsidR="006D0EB6" w:rsidRPr="00BA6590">
        <w:rPr>
          <w:lang w:val="en-GB"/>
        </w:rPr>
        <w:t xml:space="preserve">recruitment and selection. </w:t>
      </w:r>
    </w:p>
    <w:p w:rsidR="00E50B98" w:rsidRPr="00BA6590" w:rsidRDefault="006447F1" w:rsidP="006447F1">
      <w:pPr>
        <w:pStyle w:val="H56G"/>
        <w:rPr>
          <w:lang w:val="en-GB"/>
        </w:rPr>
      </w:pPr>
      <w:r w:rsidRPr="00BA6590">
        <w:rPr>
          <w:lang w:val="en-GB"/>
        </w:rPr>
        <w:tab/>
      </w:r>
      <w:r w:rsidRPr="00BA6590">
        <w:rPr>
          <w:lang w:val="en-GB"/>
        </w:rPr>
        <w:tab/>
      </w:r>
      <w:r w:rsidR="0034223A" w:rsidRPr="00BA6590">
        <w:rPr>
          <w:lang w:val="en-GB"/>
        </w:rPr>
        <w:t>Collective L</w:t>
      </w:r>
      <w:r w:rsidR="006D0EB6" w:rsidRPr="00BA6590">
        <w:rPr>
          <w:lang w:val="en-GB"/>
        </w:rPr>
        <w:t xml:space="preserve">abour </w:t>
      </w:r>
      <w:r w:rsidR="0034223A" w:rsidRPr="00BA6590">
        <w:rPr>
          <w:lang w:val="en-GB"/>
        </w:rPr>
        <w:t>A</w:t>
      </w:r>
      <w:r w:rsidR="006D0EB6" w:rsidRPr="00BA6590">
        <w:rPr>
          <w:lang w:val="en-GB"/>
        </w:rPr>
        <w:t xml:space="preserve">greement No. </w:t>
      </w:r>
      <w:r w:rsidR="00E50B98" w:rsidRPr="00BA6590">
        <w:rPr>
          <w:lang w:val="en-GB"/>
        </w:rPr>
        <w:t>95</w:t>
      </w:r>
      <w:r w:rsidR="0034223A" w:rsidRPr="00BA6590">
        <w:rPr>
          <w:lang w:val="en-GB"/>
        </w:rPr>
        <w:t xml:space="preserve"> on equal treatment at all stages of the </w:t>
      </w:r>
      <w:r w:rsidR="007E2670" w:rsidRPr="00BA6590">
        <w:rPr>
          <w:lang w:val="en-GB"/>
        </w:rPr>
        <w:br/>
      </w:r>
      <w:r w:rsidR="0034223A" w:rsidRPr="00BA6590">
        <w:rPr>
          <w:lang w:val="en-GB"/>
        </w:rPr>
        <w:t>employment relationship</w:t>
      </w:r>
    </w:p>
    <w:p w:rsidR="00E50B98" w:rsidRPr="00BA6590" w:rsidRDefault="00E50B98" w:rsidP="006C6FD4">
      <w:pPr>
        <w:pStyle w:val="SingleTxtG"/>
        <w:rPr>
          <w:lang w:val="en-GB"/>
        </w:rPr>
      </w:pPr>
      <w:r w:rsidRPr="00BA6590">
        <w:rPr>
          <w:lang w:val="en-GB"/>
        </w:rPr>
        <w:t>240.</w:t>
      </w:r>
      <w:r w:rsidR="004E090E" w:rsidRPr="00BA6590">
        <w:rPr>
          <w:lang w:val="en-GB"/>
        </w:rPr>
        <w:tab/>
      </w:r>
      <w:r w:rsidR="0034223A" w:rsidRPr="00BA6590">
        <w:rPr>
          <w:lang w:val="en-GB"/>
        </w:rPr>
        <w:t>The purpose of C</w:t>
      </w:r>
      <w:r w:rsidR="006D0EB6" w:rsidRPr="00BA6590">
        <w:rPr>
          <w:lang w:val="en-GB"/>
        </w:rPr>
        <w:t xml:space="preserve">ollective </w:t>
      </w:r>
      <w:r w:rsidR="0034223A" w:rsidRPr="00BA6590">
        <w:rPr>
          <w:lang w:val="en-GB"/>
        </w:rPr>
        <w:t>L</w:t>
      </w:r>
      <w:r w:rsidR="006D0EB6" w:rsidRPr="00BA6590">
        <w:rPr>
          <w:lang w:val="en-GB"/>
        </w:rPr>
        <w:t xml:space="preserve">abour </w:t>
      </w:r>
      <w:r w:rsidR="0034223A" w:rsidRPr="00BA6590">
        <w:rPr>
          <w:lang w:val="en-GB"/>
        </w:rPr>
        <w:t>A</w:t>
      </w:r>
      <w:r w:rsidR="006D0EB6" w:rsidRPr="00BA6590">
        <w:rPr>
          <w:lang w:val="en-GB"/>
        </w:rPr>
        <w:t xml:space="preserve">greement No. </w:t>
      </w:r>
      <w:r w:rsidRPr="00BA6590">
        <w:rPr>
          <w:lang w:val="en-GB"/>
        </w:rPr>
        <w:t xml:space="preserve">95, </w:t>
      </w:r>
      <w:r w:rsidR="0034223A" w:rsidRPr="00BA6590">
        <w:rPr>
          <w:lang w:val="en-GB"/>
        </w:rPr>
        <w:t xml:space="preserve">adopted by the National Employment Council on </w:t>
      </w:r>
      <w:r w:rsidRPr="00BA6590">
        <w:rPr>
          <w:lang w:val="en-GB"/>
        </w:rPr>
        <w:t>10</w:t>
      </w:r>
      <w:r w:rsidR="0034223A" w:rsidRPr="00BA6590">
        <w:rPr>
          <w:lang w:val="en-GB"/>
        </w:rPr>
        <w:t xml:space="preserve"> </w:t>
      </w:r>
      <w:r w:rsidR="003F5E21" w:rsidRPr="00BA6590">
        <w:rPr>
          <w:lang w:val="en-GB"/>
        </w:rPr>
        <w:t>October</w:t>
      </w:r>
      <w:r w:rsidRPr="00BA6590">
        <w:rPr>
          <w:lang w:val="en-GB"/>
        </w:rPr>
        <w:t xml:space="preserve"> 2008,</w:t>
      </w:r>
      <w:r w:rsidR="0034223A" w:rsidRPr="00BA6590">
        <w:rPr>
          <w:lang w:val="en-GB"/>
        </w:rPr>
        <w:t xml:space="preserve"> is to promote respect for equal treatment at all stages of the employment relationship. It follows the commitment, entered into by the social partners under the 2007</w:t>
      </w:r>
      <w:r w:rsidR="00D94C5A" w:rsidRPr="00BA6590">
        <w:rPr>
          <w:szCs w:val="24"/>
          <w:lang w:val="en-GB"/>
        </w:rPr>
        <w:t>–</w:t>
      </w:r>
      <w:r w:rsidR="0034223A" w:rsidRPr="00BA6590">
        <w:rPr>
          <w:lang w:val="en-GB"/>
        </w:rPr>
        <w:t>2008 multisectoral agreement, to promote through various actions the principle of equal treatment</w:t>
      </w:r>
      <w:r w:rsidR="00DF6A1C" w:rsidRPr="00BA6590">
        <w:rPr>
          <w:lang w:val="en-GB"/>
        </w:rPr>
        <w:t xml:space="preserve"> at the multisectoral, sectoral and enterprise levels in relation to all stages of the employment relationship.</w:t>
      </w:r>
      <w:r w:rsidR="00690C30" w:rsidRPr="00BA6590">
        <w:rPr>
          <w:lang w:val="en-GB"/>
        </w:rPr>
        <w:t xml:space="preserve"> This concept is interpreted broadly and is intended to be applicable to employment, conditions for access to employment, working conditions and regulations in relation to dismissal. </w:t>
      </w:r>
    </w:p>
    <w:p w:rsidR="00E50B98" w:rsidRPr="00BA6590" w:rsidRDefault="00E50B98" w:rsidP="00E50B98">
      <w:pPr>
        <w:pStyle w:val="SingleTxtG"/>
        <w:rPr>
          <w:lang w:val="en-GB"/>
        </w:rPr>
      </w:pPr>
      <w:r w:rsidRPr="00BA6590">
        <w:rPr>
          <w:lang w:val="en-GB"/>
        </w:rPr>
        <w:t>241.</w:t>
      </w:r>
      <w:r w:rsidR="004E090E" w:rsidRPr="00BA6590">
        <w:rPr>
          <w:lang w:val="en-GB"/>
        </w:rPr>
        <w:tab/>
      </w:r>
      <w:r w:rsidR="00690C30" w:rsidRPr="00BA6590">
        <w:rPr>
          <w:lang w:val="en-GB"/>
        </w:rPr>
        <w:t xml:space="preserve">The Agreement prohibits all discrimination on grounds of age, gender, sexual orientation, marital status, medical history, race, skin colour, ancestry or national or ethnic origin, political or philosophical beliefs, disability or </w:t>
      </w:r>
      <w:r w:rsidR="00BE0178" w:rsidRPr="00BA6590">
        <w:rPr>
          <w:lang w:val="en-GB"/>
        </w:rPr>
        <w:t>membership of a trade union or other organization.</w:t>
      </w:r>
    </w:p>
    <w:p w:rsidR="00E50B98" w:rsidRPr="00BA6590" w:rsidRDefault="00E50B98" w:rsidP="00E50B98">
      <w:pPr>
        <w:pStyle w:val="SingleTxtG"/>
        <w:rPr>
          <w:lang w:val="en-GB"/>
        </w:rPr>
      </w:pPr>
      <w:r w:rsidRPr="00BA6590">
        <w:rPr>
          <w:lang w:val="en-GB"/>
        </w:rPr>
        <w:t>242.</w:t>
      </w:r>
      <w:r w:rsidR="004E090E" w:rsidRPr="00BA6590">
        <w:rPr>
          <w:lang w:val="en-GB"/>
        </w:rPr>
        <w:tab/>
      </w:r>
      <w:r w:rsidR="00BE0178" w:rsidRPr="00BA6590">
        <w:rPr>
          <w:lang w:val="en-GB"/>
        </w:rPr>
        <w:t xml:space="preserve">The employer may make no distinction based on </w:t>
      </w:r>
      <w:r w:rsidR="00923FEF" w:rsidRPr="00BA6590">
        <w:rPr>
          <w:lang w:val="en-GB"/>
        </w:rPr>
        <w:t>any</w:t>
      </w:r>
      <w:r w:rsidR="00BE0178" w:rsidRPr="00BA6590">
        <w:rPr>
          <w:lang w:val="en-GB"/>
        </w:rPr>
        <w:t xml:space="preserve"> of these crite</w:t>
      </w:r>
      <w:r w:rsidR="009A772E" w:rsidRPr="00BA6590">
        <w:rPr>
          <w:lang w:val="en-GB"/>
        </w:rPr>
        <w:t>ria when they are unconnected</w:t>
      </w:r>
      <w:r w:rsidR="00BE0178" w:rsidRPr="00BA6590">
        <w:rPr>
          <w:lang w:val="en-GB"/>
        </w:rPr>
        <w:t xml:space="preserve"> to the function or nature of the business, unless permitted or required to do so by legal provisions.</w:t>
      </w:r>
    </w:p>
    <w:p w:rsidR="00E50B98" w:rsidRPr="00BA6590" w:rsidRDefault="006447F1" w:rsidP="006447F1">
      <w:pPr>
        <w:pStyle w:val="H23G"/>
        <w:rPr>
          <w:lang w:val="en-GB"/>
        </w:rPr>
      </w:pPr>
      <w:r w:rsidRPr="00BA6590">
        <w:rPr>
          <w:lang w:val="en-GB"/>
        </w:rPr>
        <w:tab/>
      </w:r>
      <w:r w:rsidR="00E50B98" w:rsidRPr="00BA6590">
        <w:rPr>
          <w:lang w:val="en-GB"/>
        </w:rPr>
        <w:t>2</w:t>
      </w:r>
      <w:r w:rsidRPr="00BA6590">
        <w:rPr>
          <w:lang w:val="en-GB"/>
        </w:rPr>
        <w:t>.</w:t>
      </w:r>
      <w:r w:rsidRPr="00BA6590">
        <w:rPr>
          <w:lang w:val="en-GB"/>
        </w:rPr>
        <w:tab/>
      </w:r>
      <w:r w:rsidR="00B06588" w:rsidRPr="00BA6590">
        <w:rPr>
          <w:lang w:val="en-GB"/>
        </w:rPr>
        <w:t>Walloon Region</w:t>
      </w:r>
    </w:p>
    <w:p w:rsidR="00E50B98" w:rsidRPr="00BA6590" w:rsidRDefault="006447F1" w:rsidP="006447F1">
      <w:pPr>
        <w:pStyle w:val="H4G"/>
        <w:rPr>
          <w:lang w:val="en-GB"/>
        </w:rPr>
      </w:pPr>
      <w:r w:rsidRPr="00BA6590">
        <w:rPr>
          <w:lang w:val="en-GB"/>
        </w:rPr>
        <w:tab/>
      </w:r>
      <w:r w:rsidRPr="00BA6590">
        <w:rPr>
          <w:lang w:val="en-GB"/>
        </w:rPr>
        <w:tab/>
      </w:r>
      <w:r w:rsidR="00C14E18" w:rsidRPr="00BA6590">
        <w:rPr>
          <w:lang w:val="en-GB"/>
        </w:rPr>
        <w:t>Helping</w:t>
      </w:r>
      <w:r w:rsidR="009A772E" w:rsidRPr="00BA6590">
        <w:rPr>
          <w:lang w:val="en-GB"/>
        </w:rPr>
        <w:t xml:space="preserve"> persons of foreign origin in the area of employment in the Walloon Region</w:t>
      </w:r>
    </w:p>
    <w:p w:rsidR="00E50B98" w:rsidRPr="00BA6590" w:rsidRDefault="00E50B98" w:rsidP="00E50B98">
      <w:pPr>
        <w:pStyle w:val="SingleTxtG"/>
        <w:rPr>
          <w:lang w:val="en-GB"/>
        </w:rPr>
      </w:pPr>
      <w:r w:rsidRPr="00BA6590">
        <w:rPr>
          <w:lang w:val="en-GB"/>
        </w:rPr>
        <w:t>243.</w:t>
      </w:r>
      <w:r w:rsidRPr="00BA6590">
        <w:rPr>
          <w:lang w:val="en-GB"/>
        </w:rPr>
        <w:tab/>
      </w:r>
      <w:r w:rsidR="009A772E" w:rsidRPr="00BA6590">
        <w:rPr>
          <w:lang w:val="en-GB"/>
        </w:rPr>
        <w:t xml:space="preserve">Although the requirement of a work permit is an issue for persons wishing to enter the labour market, it represents a guarantee </w:t>
      </w:r>
      <w:r w:rsidR="002D063C" w:rsidRPr="00BA6590">
        <w:rPr>
          <w:lang w:val="en-GB"/>
        </w:rPr>
        <w:t xml:space="preserve">of respect for their rights as workers. </w:t>
      </w:r>
    </w:p>
    <w:p w:rsidR="00E50B98" w:rsidRPr="00BA6590" w:rsidRDefault="00E50B98" w:rsidP="00E50B98">
      <w:pPr>
        <w:pStyle w:val="SingleTxtG"/>
        <w:rPr>
          <w:lang w:val="en-GB"/>
        </w:rPr>
      </w:pPr>
      <w:r w:rsidRPr="00BA6590">
        <w:rPr>
          <w:lang w:val="en-GB"/>
        </w:rPr>
        <w:t>244.</w:t>
      </w:r>
      <w:r w:rsidRPr="00BA6590">
        <w:rPr>
          <w:lang w:val="en-GB"/>
        </w:rPr>
        <w:tab/>
      </w:r>
      <w:r w:rsidR="002D063C" w:rsidRPr="00BA6590">
        <w:rPr>
          <w:lang w:val="en-GB"/>
        </w:rPr>
        <w:t xml:space="preserve">The </w:t>
      </w:r>
      <w:r w:rsidR="00F164B1" w:rsidRPr="00BA6590">
        <w:rPr>
          <w:lang w:val="en-GB"/>
        </w:rPr>
        <w:t xml:space="preserve">monitoring conducted by the </w:t>
      </w:r>
      <w:r w:rsidR="002D063C" w:rsidRPr="00BA6590">
        <w:rPr>
          <w:lang w:val="en-GB"/>
        </w:rPr>
        <w:t>Employment and Work Permits Directorate</w:t>
      </w:r>
      <w:r w:rsidR="00F164B1" w:rsidRPr="00BA6590">
        <w:rPr>
          <w:lang w:val="en-GB"/>
        </w:rPr>
        <w:t xml:space="preserve"> ensures compliance with employment regulations and </w:t>
      </w:r>
      <w:r w:rsidR="00923FEF" w:rsidRPr="00BA6590">
        <w:rPr>
          <w:lang w:val="en-GB"/>
        </w:rPr>
        <w:t xml:space="preserve">the </w:t>
      </w:r>
      <w:r w:rsidR="00F164B1" w:rsidRPr="00BA6590">
        <w:rPr>
          <w:lang w:val="en-GB"/>
        </w:rPr>
        <w:t>rights</w:t>
      </w:r>
      <w:r w:rsidR="00923FEF" w:rsidRPr="00BA6590">
        <w:rPr>
          <w:lang w:val="en-GB"/>
        </w:rPr>
        <w:t xml:space="preserve"> of individuals</w:t>
      </w:r>
      <w:r w:rsidR="00F164B1" w:rsidRPr="00BA6590">
        <w:rPr>
          <w:lang w:val="en-GB"/>
        </w:rPr>
        <w:t xml:space="preserve">, mostly but not solely as workers. In this area, the Directorate works closely with the </w:t>
      </w:r>
      <w:r w:rsidR="00EB0981" w:rsidRPr="00BA6590">
        <w:rPr>
          <w:lang w:val="en-GB"/>
        </w:rPr>
        <w:t xml:space="preserve">Social Inspectorate, and a variety of functional relationships are maintained with the Walloon Region Department of Employment and Training (FOREM) in the framework of employment policy. </w:t>
      </w:r>
    </w:p>
    <w:p w:rsidR="00E50B98" w:rsidRPr="00BA6590" w:rsidRDefault="00E50B98" w:rsidP="00E50B98">
      <w:pPr>
        <w:pStyle w:val="SingleTxtG"/>
        <w:rPr>
          <w:lang w:val="en-GB"/>
        </w:rPr>
      </w:pPr>
      <w:r w:rsidRPr="00BA6590">
        <w:rPr>
          <w:lang w:val="en-GB"/>
        </w:rPr>
        <w:t>245.</w:t>
      </w:r>
      <w:r w:rsidRPr="00BA6590">
        <w:rPr>
          <w:lang w:val="en-GB"/>
        </w:rPr>
        <w:tab/>
      </w:r>
      <w:r w:rsidR="00EB0981" w:rsidRPr="00BA6590">
        <w:rPr>
          <w:lang w:val="en-GB"/>
        </w:rPr>
        <w:t>The</w:t>
      </w:r>
      <w:r w:rsidRPr="00BA6590">
        <w:rPr>
          <w:lang w:val="en-GB"/>
        </w:rPr>
        <w:t xml:space="preserve"> </w:t>
      </w:r>
      <w:r w:rsidR="00EB0981" w:rsidRPr="00BA6590">
        <w:rPr>
          <w:lang w:val="en-GB"/>
        </w:rPr>
        <w:t xml:space="preserve">Directorate takes part in various informative or training sessions, held about once a month, usually at the request of external partners. </w:t>
      </w:r>
    </w:p>
    <w:p w:rsidR="00E50B98" w:rsidRPr="00BA6590" w:rsidRDefault="006447F1" w:rsidP="006447F1">
      <w:pPr>
        <w:pStyle w:val="H56G"/>
        <w:rPr>
          <w:lang w:val="en-GB"/>
        </w:rPr>
      </w:pPr>
      <w:r w:rsidRPr="00BA6590">
        <w:rPr>
          <w:lang w:val="en-GB"/>
        </w:rPr>
        <w:tab/>
      </w:r>
      <w:r w:rsidRPr="00BA6590">
        <w:rPr>
          <w:lang w:val="en-GB"/>
        </w:rPr>
        <w:tab/>
      </w:r>
      <w:r w:rsidR="00EB0981" w:rsidRPr="00BA6590">
        <w:rPr>
          <w:lang w:val="en-GB"/>
        </w:rPr>
        <w:t>Activities in the area of employment and training</w:t>
      </w:r>
    </w:p>
    <w:p w:rsidR="00E50B98" w:rsidRPr="00BA6590" w:rsidRDefault="00E50B98" w:rsidP="00E50B98">
      <w:pPr>
        <w:pStyle w:val="SingleTxtG"/>
        <w:rPr>
          <w:lang w:val="en-GB"/>
        </w:rPr>
      </w:pPr>
      <w:r w:rsidRPr="00BA6590">
        <w:rPr>
          <w:lang w:val="en-GB"/>
        </w:rPr>
        <w:t>246.</w:t>
      </w:r>
      <w:r w:rsidRPr="00BA6590">
        <w:rPr>
          <w:lang w:val="en-GB"/>
        </w:rPr>
        <w:tab/>
      </w:r>
      <w:r w:rsidR="00EB0981" w:rsidRPr="00BA6590">
        <w:rPr>
          <w:lang w:val="en-GB"/>
        </w:rPr>
        <w:t>I</w:t>
      </w:r>
      <w:r w:rsidRPr="00BA6590">
        <w:rPr>
          <w:lang w:val="en-GB"/>
        </w:rPr>
        <w:t xml:space="preserve">n </w:t>
      </w:r>
      <w:r w:rsidR="003F5E21" w:rsidRPr="00BA6590">
        <w:rPr>
          <w:lang w:val="en-GB"/>
        </w:rPr>
        <w:t>December</w:t>
      </w:r>
      <w:r w:rsidR="00EB0981" w:rsidRPr="00BA6590">
        <w:rPr>
          <w:lang w:val="en-GB"/>
        </w:rPr>
        <w:t xml:space="preserve"> 2009, </w:t>
      </w:r>
      <w:r w:rsidRPr="00BA6590">
        <w:rPr>
          <w:lang w:val="en-GB"/>
        </w:rPr>
        <w:t>FOREM</w:t>
      </w:r>
      <w:r w:rsidR="00EB0981" w:rsidRPr="00BA6590">
        <w:rPr>
          <w:lang w:val="en-GB"/>
        </w:rPr>
        <w:t xml:space="preserve"> launched a project entitled MODA (Operating m</w:t>
      </w:r>
      <w:r w:rsidRPr="00BA6590">
        <w:rPr>
          <w:lang w:val="en-GB"/>
        </w:rPr>
        <w:t>odalit</w:t>
      </w:r>
      <w:r w:rsidR="00EB0981" w:rsidRPr="00BA6590">
        <w:rPr>
          <w:lang w:val="en-GB"/>
        </w:rPr>
        <w:t>ie</w:t>
      </w:r>
      <w:r w:rsidRPr="00BA6590">
        <w:rPr>
          <w:lang w:val="en-GB"/>
        </w:rPr>
        <w:t>s</w:t>
      </w:r>
      <w:r w:rsidR="00EB0981" w:rsidRPr="00BA6590">
        <w:rPr>
          <w:lang w:val="en-GB"/>
        </w:rPr>
        <w:t xml:space="preserve"> for adaptability and accessibility requests</w:t>
      </w:r>
      <w:r w:rsidRPr="00BA6590">
        <w:rPr>
          <w:lang w:val="en-GB"/>
        </w:rPr>
        <w:t>).</w:t>
      </w:r>
      <w:r w:rsidR="00EB0981" w:rsidRPr="00BA6590">
        <w:rPr>
          <w:lang w:val="en-GB"/>
        </w:rPr>
        <w:t xml:space="preserve"> This relates to a note added at the end of invitations addressed to job</w:t>
      </w:r>
      <w:r w:rsidR="00C14E18" w:rsidRPr="00BA6590">
        <w:rPr>
          <w:lang w:val="en-GB"/>
        </w:rPr>
        <w:t>-</w:t>
      </w:r>
      <w:r w:rsidR="00EB0981" w:rsidRPr="00BA6590">
        <w:rPr>
          <w:lang w:val="en-GB"/>
        </w:rPr>
        <w:t>seekers</w:t>
      </w:r>
      <w:r w:rsidR="00C14E18" w:rsidRPr="00BA6590">
        <w:rPr>
          <w:lang w:val="en-GB"/>
        </w:rPr>
        <w:t xml:space="preserve">, asking them to contact </w:t>
      </w:r>
      <w:r w:rsidRPr="00BA6590">
        <w:rPr>
          <w:lang w:val="en-GB"/>
        </w:rPr>
        <w:t xml:space="preserve">FOREM </w:t>
      </w:r>
      <w:r w:rsidR="00C14E18" w:rsidRPr="00BA6590">
        <w:rPr>
          <w:lang w:val="en-GB"/>
        </w:rPr>
        <w:t xml:space="preserve">and fill in a form if they have a disability or experience difficulty in understanding the French language. Officials from the Equality and Diversity Unit of </w:t>
      </w:r>
      <w:r w:rsidRPr="00BA6590">
        <w:rPr>
          <w:lang w:val="en-GB"/>
        </w:rPr>
        <w:t>FOREM</w:t>
      </w:r>
      <w:r w:rsidR="00C14E18" w:rsidRPr="00BA6590">
        <w:rPr>
          <w:lang w:val="en-GB"/>
        </w:rPr>
        <w:t xml:space="preserve"> deal with such requests for assistance; they will contact the job-seeker concerned as soon as an adaptation or change has been made so that he or she can receive an appropriate service.</w:t>
      </w:r>
    </w:p>
    <w:p w:rsidR="00E50B98" w:rsidRPr="00BA6590" w:rsidRDefault="00E50B98" w:rsidP="00E50B98">
      <w:pPr>
        <w:pStyle w:val="SingleTxtG"/>
        <w:rPr>
          <w:lang w:val="en-GB"/>
        </w:rPr>
      </w:pPr>
      <w:r w:rsidRPr="00BA6590">
        <w:rPr>
          <w:lang w:val="en-GB"/>
        </w:rPr>
        <w:t>247.</w:t>
      </w:r>
      <w:r w:rsidRPr="00BA6590">
        <w:rPr>
          <w:lang w:val="en-GB"/>
        </w:rPr>
        <w:tab/>
      </w:r>
      <w:r w:rsidR="00C14E18" w:rsidRPr="00BA6590">
        <w:rPr>
          <w:lang w:val="en-GB"/>
        </w:rPr>
        <w:t>Other types of requests have been added since the project began, such as</w:t>
      </w:r>
      <w:r w:rsidR="00CB7EB0" w:rsidRPr="00BA6590">
        <w:rPr>
          <w:lang w:val="en-GB"/>
        </w:rPr>
        <w:t xml:space="preserve"> translation requests for job-seekers</w:t>
      </w:r>
      <w:r w:rsidR="00A216FB" w:rsidRPr="00BA6590">
        <w:rPr>
          <w:lang w:val="en-GB"/>
        </w:rPr>
        <w:t>’</w:t>
      </w:r>
      <w:r w:rsidR="00CB7EB0" w:rsidRPr="00BA6590">
        <w:rPr>
          <w:lang w:val="en-GB"/>
        </w:rPr>
        <w:t xml:space="preserve"> registration or re-registration. </w:t>
      </w:r>
    </w:p>
    <w:p w:rsidR="00E50B98" w:rsidRPr="00BA6590" w:rsidRDefault="006447F1" w:rsidP="006447F1">
      <w:pPr>
        <w:pStyle w:val="H56G"/>
        <w:rPr>
          <w:lang w:val="en-GB"/>
        </w:rPr>
      </w:pPr>
      <w:r w:rsidRPr="00BA6590">
        <w:rPr>
          <w:lang w:val="en-GB"/>
        </w:rPr>
        <w:tab/>
      </w:r>
      <w:r w:rsidRPr="00BA6590">
        <w:rPr>
          <w:lang w:val="en-GB"/>
        </w:rPr>
        <w:tab/>
      </w:r>
      <w:r w:rsidR="00026F2E" w:rsidRPr="00BA6590">
        <w:rPr>
          <w:lang w:val="en-GB"/>
        </w:rPr>
        <w:t xml:space="preserve">Activities in cooperation with </w:t>
      </w:r>
      <w:r w:rsidR="003C2B35" w:rsidRPr="00BA6590">
        <w:rPr>
          <w:lang w:val="en-GB"/>
        </w:rPr>
        <w:t>regional integration centres</w:t>
      </w:r>
    </w:p>
    <w:p w:rsidR="00E50B98" w:rsidRPr="00BA6590" w:rsidRDefault="00E50B98" w:rsidP="00E50B98">
      <w:pPr>
        <w:pStyle w:val="SingleTxtG"/>
        <w:rPr>
          <w:lang w:val="en-GB"/>
        </w:rPr>
      </w:pPr>
      <w:r w:rsidRPr="00BA6590">
        <w:rPr>
          <w:lang w:val="en-GB"/>
        </w:rPr>
        <w:t>248.</w:t>
      </w:r>
      <w:r w:rsidRPr="00BA6590">
        <w:rPr>
          <w:lang w:val="en-GB"/>
        </w:rPr>
        <w:tab/>
      </w:r>
      <w:r w:rsidR="00026F2E" w:rsidRPr="00BA6590">
        <w:rPr>
          <w:lang w:val="en-GB"/>
        </w:rPr>
        <w:t>I</w:t>
      </w:r>
      <w:r w:rsidRPr="00BA6590">
        <w:rPr>
          <w:lang w:val="en-GB"/>
        </w:rPr>
        <w:t xml:space="preserve">n </w:t>
      </w:r>
      <w:r w:rsidR="003F5E21" w:rsidRPr="00BA6590">
        <w:rPr>
          <w:lang w:val="en-GB"/>
        </w:rPr>
        <w:t>October</w:t>
      </w:r>
      <w:r w:rsidRPr="00BA6590">
        <w:rPr>
          <w:lang w:val="en-GB"/>
        </w:rPr>
        <w:t xml:space="preserve"> 2010,</w:t>
      </w:r>
      <w:r w:rsidR="00026F2E" w:rsidRPr="00BA6590">
        <w:rPr>
          <w:lang w:val="en-GB"/>
        </w:rPr>
        <w:t xml:space="preserve"> during Employment Week, the FOREM regional office in </w:t>
      </w:r>
      <w:r w:rsidRPr="00BA6590">
        <w:rPr>
          <w:lang w:val="en-GB"/>
        </w:rPr>
        <w:t xml:space="preserve">Verviers </w:t>
      </w:r>
      <w:r w:rsidR="00923FEF" w:rsidRPr="00BA6590">
        <w:rPr>
          <w:lang w:val="en-GB"/>
        </w:rPr>
        <w:t>gave</w:t>
      </w:r>
      <w:r w:rsidR="00026F2E" w:rsidRPr="00BA6590">
        <w:rPr>
          <w:lang w:val="en-GB"/>
        </w:rPr>
        <w:t xml:space="preserve"> a presentation on diversity during a breakfast meeting with employers. </w:t>
      </w:r>
    </w:p>
    <w:p w:rsidR="00E50B98" w:rsidRPr="00BA6590" w:rsidRDefault="00E50B98" w:rsidP="00E50B98">
      <w:pPr>
        <w:pStyle w:val="SingleTxtG"/>
        <w:rPr>
          <w:lang w:val="en-GB"/>
        </w:rPr>
      </w:pPr>
      <w:r w:rsidRPr="00BA6590">
        <w:rPr>
          <w:lang w:val="en-GB"/>
        </w:rPr>
        <w:t>249.</w:t>
      </w:r>
      <w:r w:rsidRPr="00BA6590">
        <w:rPr>
          <w:lang w:val="en-GB"/>
        </w:rPr>
        <w:tab/>
        <w:t>FOREM</w:t>
      </w:r>
      <w:r w:rsidR="00CB7EB0" w:rsidRPr="00BA6590">
        <w:rPr>
          <w:lang w:val="en-GB"/>
        </w:rPr>
        <w:t xml:space="preserve"> and the Employment and Training Centre of </w:t>
      </w:r>
      <w:r w:rsidRPr="00BA6590">
        <w:rPr>
          <w:lang w:val="en-GB"/>
        </w:rPr>
        <w:t>Liège</w:t>
      </w:r>
      <w:r w:rsidR="00DB302C" w:rsidRPr="00BA6590">
        <w:rPr>
          <w:lang w:val="en-GB"/>
        </w:rPr>
        <w:t>, in partnership with other bodies,</w:t>
      </w:r>
      <w:r w:rsidR="00CB7EB0" w:rsidRPr="00BA6590">
        <w:rPr>
          <w:lang w:val="en-GB"/>
        </w:rPr>
        <w:t xml:space="preserve"> have taken part in the </w:t>
      </w:r>
      <w:r w:rsidRPr="00BA6590">
        <w:rPr>
          <w:lang w:val="en-GB"/>
        </w:rPr>
        <w:t>DISISMI</w:t>
      </w:r>
      <w:r w:rsidR="00CB7EB0" w:rsidRPr="00BA6590">
        <w:rPr>
          <w:lang w:val="en-GB"/>
        </w:rPr>
        <w:t xml:space="preserve"> </w:t>
      </w:r>
      <w:r w:rsidRPr="00BA6590">
        <w:rPr>
          <w:lang w:val="en-GB"/>
        </w:rPr>
        <w:t>(sp</w:t>
      </w:r>
      <w:r w:rsidR="00CB7EB0" w:rsidRPr="00BA6590">
        <w:rPr>
          <w:lang w:val="en-GB"/>
        </w:rPr>
        <w:t xml:space="preserve">ecific </w:t>
      </w:r>
      <w:r w:rsidR="00907915" w:rsidRPr="00BA6590">
        <w:rPr>
          <w:lang w:val="en-GB"/>
        </w:rPr>
        <w:t>socio-professional</w:t>
      </w:r>
      <w:r w:rsidR="00CB7EB0" w:rsidRPr="00BA6590">
        <w:rPr>
          <w:lang w:val="en-GB"/>
        </w:rPr>
        <w:t xml:space="preserve"> integration mechanism for migrants</w:t>
      </w:r>
      <w:r w:rsidRPr="00BA6590">
        <w:rPr>
          <w:lang w:val="en-GB"/>
        </w:rPr>
        <w:t>)</w:t>
      </w:r>
      <w:r w:rsidR="00CB7EB0" w:rsidRPr="00BA6590">
        <w:rPr>
          <w:lang w:val="en-GB"/>
        </w:rPr>
        <w:t xml:space="preserve"> project</w:t>
      </w:r>
      <w:r w:rsidRPr="00BA6590">
        <w:rPr>
          <w:lang w:val="en-GB"/>
        </w:rPr>
        <w:t>,</w:t>
      </w:r>
      <w:r w:rsidR="00CB7EB0" w:rsidRPr="00BA6590">
        <w:rPr>
          <w:lang w:val="en-GB"/>
        </w:rPr>
        <w:t xml:space="preserve"> led by</w:t>
      </w:r>
      <w:r w:rsidR="00DB302C" w:rsidRPr="00BA6590">
        <w:rPr>
          <w:lang w:val="en-GB"/>
        </w:rPr>
        <w:t xml:space="preserve"> the Regional Centre for the Integration of Foreign Nationals or Persons of Foreign Origin in</w:t>
      </w:r>
      <w:r w:rsidRPr="00BA6590">
        <w:rPr>
          <w:lang w:val="en-GB"/>
        </w:rPr>
        <w:t xml:space="preserve"> Liège</w:t>
      </w:r>
      <w:r w:rsidR="00923FEF" w:rsidRPr="00BA6590">
        <w:rPr>
          <w:lang w:val="en-GB"/>
        </w:rPr>
        <w:t>, in partnership with other entities</w:t>
      </w:r>
      <w:r w:rsidR="00DB302C" w:rsidRPr="00BA6590">
        <w:rPr>
          <w:lang w:val="en-GB"/>
        </w:rPr>
        <w:t>. The purpose of the project is to improve the employability and integration of foreign nationals and persons of foreign origin living in the Liège area. It offers specific services within a coherent network of complementary actors, fostering communication between advisers, social workers or other agents of the institutions represented, and seeking to facilitate the passage of migrant workers from the office of one government department to another or to a voluntary body</w:t>
      </w:r>
      <w:r w:rsidRPr="00BA6590">
        <w:rPr>
          <w:lang w:val="en-GB"/>
        </w:rPr>
        <w:t>.</w:t>
      </w:r>
      <w:r w:rsidR="001964A4" w:rsidRPr="00BA6590">
        <w:rPr>
          <w:lang w:val="en-GB"/>
        </w:rPr>
        <w:t xml:space="preserve"> </w:t>
      </w:r>
    </w:p>
    <w:p w:rsidR="00E50B98" w:rsidRPr="00BA6590" w:rsidRDefault="00E50B98" w:rsidP="00E50B98">
      <w:pPr>
        <w:pStyle w:val="SingleTxtG"/>
        <w:rPr>
          <w:lang w:val="en-GB"/>
        </w:rPr>
      </w:pPr>
      <w:r w:rsidRPr="00BA6590">
        <w:rPr>
          <w:lang w:val="en-GB"/>
        </w:rPr>
        <w:t>250.</w:t>
      </w:r>
      <w:r w:rsidRPr="00BA6590">
        <w:rPr>
          <w:lang w:val="en-GB"/>
        </w:rPr>
        <w:tab/>
      </w:r>
      <w:r w:rsidR="00154227" w:rsidRPr="00BA6590">
        <w:rPr>
          <w:lang w:val="en-GB"/>
        </w:rPr>
        <w:t xml:space="preserve">Since 2007, most of the </w:t>
      </w:r>
      <w:r w:rsidR="003C2B35" w:rsidRPr="00BA6590">
        <w:rPr>
          <w:lang w:val="en-GB"/>
        </w:rPr>
        <w:t>regional integration centres</w:t>
      </w:r>
      <w:r w:rsidR="00CA68A1" w:rsidRPr="00BA6590">
        <w:rPr>
          <w:lang w:val="en-GB"/>
        </w:rPr>
        <w:t xml:space="preserve"> have developed services to assist</w:t>
      </w:r>
      <w:r w:rsidR="00154227" w:rsidRPr="00BA6590">
        <w:rPr>
          <w:lang w:val="en-GB"/>
        </w:rPr>
        <w:t xml:space="preserve"> the </w:t>
      </w:r>
      <w:r w:rsidR="00907915" w:rsidRPr="00BA6590">
        <w:rPr>
          <w:lang w:val="en-GB"/>
        </w:rPr>
        <w:t>socio-professional</w:t>
      </w:r>
      <w:r w:rsidR="00154227" w:rsidRPr="00BA6590">
        <w:rPr>
          <w:lang w:val="en-GB"/>
        </w:rPr>
        <w:t xml:space="preserve"> integration of migrants in the framework of the European Social Fund</w:t>
      </w:r>
      <w:r w:rsidRPr="00BA6590">
        <w:rPr>
          <w:lang w:val="en-GB"/>
        </w:rPr>
        <w:t>/Migrants</w:t>
      </w:r>
      <w:r w:rsidR="00154227" w:rsidRPr="00BA6590">
        <w:rPr>
          <w:lang w:val="en-GB"/>
        </w:rPr>
        <w:t xml:space="preserve"> </w:t>
      </w:r>
      <w:r w:rsidR="00884109" w:rsidRPr="00BA6590">
        <w:rPr>
          <w:lang w:val="en-GB"/>
        </w:rPr>
        <w:t>portfolio</w:t>
      </w:r>
      <w:r w:rsidRPr="00BA6590">
        <w:rPr>
          <w:lang w:val="en-GB"/>
        </w:rPr>
        <w:t>.</w:t>
      </w:r>
    </w:p>
    <w:p w:rsidR="00E50B98" w:rsidRPr="00BA6590" w:rsidRDefault="006447F1" w:rsidP="006447F1">
      <w:pPr>
        <w:pStyle w:val="H23G"/>
        <w:rPr>
          <w:lang w:val="en-GB"/>
        </w:rPr>
      </w:pPr>
      <w:r w:rsidRPr="00BA6590">
        <w:rPr>
          <w:lang w:val="en-GB"/>
        </w:rPr>
        <w:tab/>
      </w:r>
      <w:r w:rsidR="00E50B98" w:rsidRPr="00BA6590">
        <w:rPr>
          <w:lang w:val="en-GB"/>
        </w:rPr>
        <w:t>3</w:t>
      </w:r>
      <w:r w:rsidRPr="00BA6590">
        <w:rPr>
          <w:lang w:val="en-GB"/>
        </w:rPr>
        <w:t>.</w:t>
      </w:r>
      <w:r w:rsidRPr="00BA6590">
        <w:rPr>
          <w:lang w:val="en-GB"/>
        </w:rPr>
        <w:tab/>
      </w:r>
      <w:r w:rsidR="00154227" w:rsidRPr="00BA6590">
        <w:rPr>
          <w:lang w:val="en-GB"/>
        </w:rPr>
        <w:t>Bruss</w:t>
      </w:r>
      <w:r w:rsidR="00E50B98" w:rsidRPr="00BA6590">
        <w:rPr>
          <w:lang w:val="en-GB"/>
        </w:rPr>
        <w:t>els-Capital</w:t>
      </w:r>
      <w:r w:rsidR="00154227" w:rsidRPr="00BA6590">
        <w:rPr>
          <w:lang w:val="en-GB"/>
        </w:rPr>
        <w:t xml:space="preserve"> Region</w:t>
      </w:r>
    </w:p>
    <w:p w:rsidR="00E50B98" w:rsidRPr="00BA6590" w:rsidRDefault="00E50B98" w:rsidP="00E50B98">
      <w:pPr>
        <w:pStyle w:val="SingleTxtG"/>
        <w:rPr>
          <w:lang w:val="en-GB"/>
        </w:rPr>
      </w:pPr>
      <w:r w:rsidRPr="00BA6590">
        <w:rPr>
          <w:lang w:val="en-GB"/>
        </w:rPr>
        <w:t>251.</w:t>
      </w:r>
      <w:r w:rsidRPr="00BA6590">
        <w:rPr>
          <w:lang w:val="en-GB"/>
        </w:rPr>
        <w:tab/>
      </w:r>
      <w:r w:rsidR="00BE5D98" w:rsidRPr="00BA6590">
        <w:rPr>
          <w:lang w:val="en-GB"/>
        </w:rPr>
        <w:t>In the area of job training, a number of EU direct</w:t>
      </w:r>
      <w:r w:rsidR="00667CA0">
        <w:rPr>
          <w:lang w:val="en-GB"/>
        </w:rPr>
        <w:t>ives, such as Council Directive </w:t>
      </w:r>
      <w:r w:rsidR="00BE5D98" w:rsidRPr="00BA6590">
        <w:rPr>
          <w:lang w:val="en-GB"/>
        </w:rPr>
        <w:t>2000/43/EC of 29 June 2000 implementing the principle of equal treatment between persons irrespective of racial or ethnic origin</w:t>
      </w:r>
      <w:r w:rsidRPr="00BA6590">
        <w:rPr>
          <w:lang w:val="en-GB"/>
        </w:rPr>
        <w:t>,</w:t>
      </w:r>
      <w:r w:rsidR="00BE5D98" w:rsidRPr="00BA6590">
        <w:rPr>
          <w:lang w:val="en-GB"/>
        </w:rPr>
        <w:t xml:space="preserve"> were </w:t>
      </w:r>
      <w:r w:rsidR="00816F73" w:rsidRPr="00BA6590">
        <w:rPr>
          <w:lang w:val="en-GB"/>
        </w:rPr>
        <w:t>incorporated into national law</w:t>
      </w:r>
      <w:r w:rsidR="002739F3" w:rsidRPr="00BA6590">
        <w:rPr>
          <w:lang w:val="en-GB"/>
        </w:rPr>
        <w:t xml:space="preserve"> by the Decree of </w:t>
      </w:r>
      <w:r w:rsidRPr="00BA6590">
        <w:rPr>
          <w:lang w:val="en-GB"/>
        </w:rPr>
        <w:t xml:space="preserve">22 </w:t>
      </w:r>
      <w:r w:rsidR="003F5E21" w:rsidRPr="00BA6590">
        <w:rPr>
          <w:lang w:val="en-GB"/>
        </w:rPr>
        <w:t>March</w:t>
      </w:r>
      <w:r w:rsidRPr="00BA6590">
        <w:rPr>
          <w:lang w:val="en-GB"/>
        </w:rPr>
        <w:t xml:space="preserve"> 2007</w:t>
      </w:r>
      <w:r w:rsidR="002739F3" w:rsidRPr="00BA6590">
        <w:rPr>
          <w:lang w:val="en-GB"/>
        </w:rPr>
        <w:t xml:space="preserve"> on equal treatment in job training</w:t>
      </w:r>
      <w:r w:rsidRPr="00BA6590">
        <w:rPr>
          <w:lang w:val="en-GB"/>
        </w:rPr>
        <w:t xml:space="preserve"> (</w:t>
      </w:r>
      <w:r w:rsidR="002420F6" w:rsidRPr="00BA6590">
        <w:rPr>
          <w:i/>
          <w:lang w:val="en-GB"/>
        </w:rPr>
        <w:t>Moniteur belge</w:t>
      </w:r>
      <w:r w:rsidRPr="00BA6590">
        <w:rPr>
          <w:lang w:val="en-GB"/>
        </w:rPr>
        <w:t xml:space="preserve">, 24 </w:t>
      </w:r>
      <w:r w:rsidR="003F5E21" w:rsidRPr="00BA6590">
        <w:rPr>
          <w:lang w:val="en-GB"/>
        </w:rPr>
        <w:t>January</w:t>
      </w:r>
      <w:r w:rsidRPr="00BA6590">
        <w:rPr>
          <w:lang w:val="en-GB"/>
        </w:rPr>
        <w:t xml:space="preserve"> 2008).</w:t>
      </w:r>
      <w:r w:rsidR="002739F3" w:rsidRPr="00BA6590">
        <w:rPr>
          <w:lang w:val="en-GB"/>
        </w:rPr>
        <w:t xml:space="preserve"> The Decree is applicable to </w:t>
      </w:r>
      <w:r w:rsidR="00CA68A1" w:rsidRPr="00BA6590">
        <w:rPr>
          <w:lang w:val="en-GB"/>
        </w:rPr>
        <w:t>those</w:t>
      </w:r>
      <w:r w:rsidR="002739F3" w:rsidRPr="00BA6590">
        <w:rPr>
          <w:lang w:val="en-GB"/>
        </w:rPr>
        <w:t xml:space="preserve"> involved</w:t>
      </w:r>
      <w:r w:rsidR="00CA68A1" w:rsidRPr="00BA6590">
        <w:rPr>
          <w:lang w:val="en-GB"/>
        </w:rPr>
        <w:t xml:space="preserve"> at any level</w:t>
      </w:r>
      <w:r w:rsidR="002739F3" w:rsidRPr="00BA6590">
        <w:rPr>
          <w:lang w:val="en-GB"/>
        </w:rPr>
        <w:t xml:space="preserve"> in guidance, tra</w:t>
      </w:r>
      <w:r w:rsidR="00CA68A1" w:rsidRPr="00BA6590">
        <w:rPr>
          <w:lang w:val="en-GB"/>
        </w:rPr>
        <w:t>ining, teaching, development or</w:t>
      </w:r>
      <w:r w:rsidR="002739F3" w:rsidRPr="00BA6590">
        <w:rPr>
          <w:lang w:val="en-GB"/>
        </w:rPr>
        <w:t xml:space="preserve"> retraining within all training bodies under the authority of the </w:t>
      </w:r>
      <w:r w:rsidR="006F5D82" w:rsidRPr="00BA6590">
        <w:rPr>
          <w:lang w:val="en-GB"/>
        </w:rPr>
        <w:t>French Community Commission</w:t>
      </w:r>
      <w:r w:rsidRPr="00BA6590">
        <w:rPr>
          <w:lang w:val="en-GB"/>
        </w:rPr>
        <w:t>,</w:t>
      </w:r>
      <w:r w:rsidR="002739F3" w:rsidRPr="00BA6590">
        <w:rPr>
          <w:lang w:val="en-GB"/>
        </w:rPr>
        <w:t xml:space="preserve"> that is, </w:t>
      </w:r>
      <w:r w:rsidRPr="00BA6590">
        <w:rPr>
          <w:lang w:val="en-GB"/>
        </w:rPr>
        <w:t>Bruxelles Formation,</w:t>
      </w:r>
      <w:r w:rsidR="002739F3" w:rsidRPr="00BA6590">
        <w:rPr>
          <w:lang w:val="en-GB"/>
        </w:rPr>
        <w:t xml:space="preserve"> approved centres, </w:t>
      </w:r>
      <w:r w:rsidR="00907915" w:rsidRPr="00BA6590">
        <w:rPr>
          <w:lang w:val="en-GB"/>
        </w:rPr>
        <w:t>socio</w:t>
      </w:r>
      <w:r w:rsidR="00D94C5A" w:rsidRPr="00BA6590">
        <w:rPr>
          <w:lang w:val="en-GB"/>
        </w:rPr>
        <w:noBreakHyphen/>
      </w:r>
      <w:r w:rsidR="00907915" w:rsidRPr="00BA6590">
        <w:rPr>
          <w:lang w:val="en-GB"/>
        </w:rPr>
        <w:t>professional</w:t>
      </w:r>
      <w:r w:rsidR="002739F3" w:rsidRPr="00BA6590">
        <w:rPr>
          <w:lang w:val="en-GB"/>
        </w:rPr>
        <w:t xml:space="preserve"> </w:t>
      </w:r>
      <w:r w:rsidR="00E93A8D" w:rsidRPr="00BA6590">
        <w:rPr>
          <w:lang w:val="en-GB"/>
        </w:rPr>
        <w:t xml:space="preserve">placement bodies and continuing-education centres for </w:t>
      </w:r>
      <w:r w:rsidR="001468DE" w:rsidRPr="00BA6590">
        <w:rPr>
          <w:lang w:val="en-GB"/>
        </w:rPr>
        <w:t>self-employed</w:t>
      </w:r>
      <w:r w:rsidR="00CB38E7" w:rsidRPr="00BA6590">
        <w:rPr>
          <w:lang w:val="en-GB"/>
        </w:rPr>
        <w:t xml:space="preserve"> people</w:t>
      </w:r>
      <w:r w:rsidR="00E93A8D" w:rsidRPr="00BA6590">
        <w:rPr>
          <w:lang w:val="en-GB"/>
        </w:rPr>
        <w:t xml:space="preserve"> and small and medium-sized enterprises.</w:t>
      </w:r>
    </w:p>
    <w:p w:rsidR="00E50B98" w:rsidRPr="00BA6590" w:rsidRDefault="00E50B98" w:rsidP="006C6FD4">
      <w:pPr>
        <w:pStyle w:val="SingleTxtG"/>
        <w:rPr>
          <w:lang w:val="en-GB"/>
        </w:rPr>
      </w:pPr>
      <w:r w:rsidRPr="00BA6590">
        <w:rPr>
          <w:lang w:val="en-GB"/>
        </w:rPr>
        <w:t>252.</w:t>
      </w:r>
      <w:r w:rsidRPr="00BA6590">
        <w:rPr>
          <w:lang w:val="en-GB"/>
        </w:rPr>
        <w:tab/>
      </w:r>
      <w:r w:rsidR="00CB38E7" w:rsidRPr="00BA6590">
        <w:rPr>
          <w:lang w:val="en-GB"/>
        </w:rPr>
        <w:t xml:space="preserve">The </w:t>
      </w:r>
      <w:r w:rsidR="00F21548" w:rsidRPr="00BA6590">
        <w:rPr>
          <w:lang w:val="en-GB"/>
        </w:rPr>
        <w:t>government</w:t>
      </w:r>
      <w:r w:rsidR="00CB38E7" w:rsidRPr="00BA6590">
        <w:rPr>
          <w:lang w:val="en-GB"/>
        </w:rPr>
        <w:t xml:space="preserve"> of the Brussels-Capital Region issued an Order on </w:t>
      </w:r>
      <w:r w:rsidRPr="00BA6590">
        <w:rPr>
          <w:lang w:val="en-GB"/>
        </w:rPr>
        <w:t xml:space="preserve">7 </w:t>
      </w:r>
      <w:r w:rsidR="003F5E21" w:rsidRPr="00BA6590">
        <w:rPr>
          <w:lang w:val="en-GB"/>
        </w:rPr>
        <w:t>May</w:t>
      </w:r>
      <w:r w:rsidRPr="00BA6590">
        <w:rPr>
          <w:lang w:val="en-GB"/>
        </w:rPr>
        <w:t xml:space="preserve"> 2009 </w:t>
      </w:r>
      <w:r w:rsidR="00CB38E7" w:rsidRPr="00BA6590">
        <w:rPr>
          <w:lang w:val="en-GB"/>
        </w:rPr>
        <w:t xml:space="preserve">concerning the diversity plan and diversity label. It affects six groups targeted by the implementation of diversity plans within businesses, including workers of foreign origin. Every plan must incorporate statistics and a plan of action in relation to each target group. The action taken by the businesses is on a voluntary basis and is encouraged by </w:t>
      </w:r>
      <w:r w:rsidR="00CA68A1" w:rsidRPr="00BA6590">
        <w:rPr>
          <w:lang w:val="en-GB"/>
        </w:rPr>
        <w:t>means of</w:t>
      </w:r>
      <w:r w:rsidR="00CB38E7" w:rsidRPr="00BA6590">
        <w:rPr>
          <w:lang w:val="en-GB"/>
        </w:rPr>
        <w:t xml:space="preserve"> a bonus and ultimately, if the goals are achieved, </w:t>
      </w:r>
      <w:r w:rsidR="00CA68A1" w:rsidRPr="00BA6590">
        <w:rPr>
          <w:lang w:val="en-GB"/>
        </w:rPr>
        <w:t>the award</w:t>
      </w:r>
      <w:r w:rsidR="00CB38E7" w:rsidRPr="00BA6590">
        <w:rPr>
          <w:lang w:val="en-GB"/>
        </w:rPr>
        <w:t xml:space="preserve"> of a label after two years. Since the Order was issued, 19 labels have been </w:t>
      </w:r>
      <w:r w:rsidR="00CA68A1" w:rsidRPr="00BA6590">
        <w:rPr>
          <w:lang w:val="en-GB"/>
        </w:rPr>
        <w:t>granted</w:t>
      </w:r>
      <w:r w:rsidR="00CB38E7" w:rsidRPr="00BA6590">
        <w:rPr>
          <w:lang w:val="en-GB"/>
        </w:rPr>
        <w:t xml:space="preserve">. </w:t>
      </w:r>
    </w:p>
    <w:p w:rsidR="00E50B98" w:rsidRPr="00BA6590" w:rsidRDefault="006447F1" w:rsidP="006447F1">
      <w:pPr>
        <w:pStyle w:val="H23G"/>
        <w:rPr>
          <w:lang w:val="en-GB"/>
        </w:rPr>
      </w:pPr>
      <w:r w:rsidRPr="00BA6590">
        <w:rPr>
          <w:lang w:val="en-GB"/>
        </w:rPr>
        <w:tab/>
      </w:r>
      <w:r w:rsidR="00E50B98" w:rsidRPr="00BA6590">
        <w:rPr>
          <w:lang w:val="en-GB"/>
        </w:rPr>
        <w:t>4</w:t>
      </w:r>
      <w:r w:rsidRPr="00BA6590">
        <w:rPr>
          <w:lang w:val="en-GB"/>
        </w:rPr>
        <w:t>.</w:t>
      </w:r>
      <w:r w:rsidRPr="00BA6590">
        <w:rPr>
          <w:lang w:val="en-GB"/>
        </w:rPr>
        <w:tab/>
      </w:r>
      <w:r w:rsidR="00CB38E7" w:rsidRPr="00BA6590">
        <w:rPr>
          <w:lang w:val="en-GB"/>
        </w:rPr>
        <w:t>Flemish Community</w:t>
      </w:r>
    </w:p>
    <w:p w:rsidR="00E50B98" w:rsidRPr="00BA6590" w:rsidRDefault="00E50B98" w:rsidP="00E50B98">
      <w:pPr>
        <w:pStyle w:val="SingleTxtG"/>
        <w:rPr>
          <w:lang w:val="en-GB"/>
        </w:rPr>
      </w:pPr>
      <w:r w:rsidRPr="00BA6590">
        <w:rPr>
          <w:lang w:val="en-GB"/>
        </w:rPr>
        <w:t>253.</w:t>
      </w:r>
      <w:r w:rsidRPr="00BA6590">
        <w:rPr>
          <w:lang w:val="en-GB"/>
        </w:rPr>
        <w:tab/>
      </w:r>
      <w:r w:rsidR="00216546" w:rsidRPr="00BA6590">
        <w:rPr>
          <w:lang w:val="en-GB"/>
        </w:rPr>
        <w:t>T</w:t>
      </w:r>
      <w:r w:rsidR="00095B14" w:rsidRPr="00BA6590">
        <w:rPr>
          <w:lang w:val="en-GB"/>
        </w:rPr>
        <w:t xml:space="preserve">he Flemish </w:t>
      </w:r>
      <w:r w:rsidR="00F21548" w:rsidRPr="00BA6590">
        <w:rPr>
          <w:lang w:val="en-GB"/>
        </w:rPr>
        <w:t>government</w:t>
      </w:r>
      <w:r w:rsidR="00095B14" w:rsidRPr="00BA6590">
        <w:rPr>
          <w:lang w:val="en-GB"/>
        </w:rPr>
        <w:t xml:space="preserve"> has continued and strengthened its policy</w:t>
      </w:r>
      <w:r w:rsidR="00216546" w:rsidRPr="00BA6590">
        <w:rPr>
          <w:lang w:val="en-GB"/>
        </w:rPr>
        <w:t xml:space="preserve"> </w:t>
      </w:r>
      <w:r w:rsidR="005E69EC" w:rsidRPr="00BA6590">
        <w:rPr>
          <w:lang w:val="en-GB"/>
        </w:rPr>
        <w:t>to foster</w:t>
      </w:r>
      <w:r w:rsidR="00216546" w:rsidRPr="00BA6590">
        <w:rPr>
          <w:lang w:val="en-GB"/>
        </w:rPr>
        <w:t xml:space="preserve"> proportionate participation and diversity in the labour market</w:t>
      </w:r>
      <w:r w:rsidR="00095B14" w:rsidRPr="00BA6590">
        <w:rPr>
          <w:lang w:val="en-GB"/>
        </w:rPr>
        <w:t xml:space="preserve">. This includes measures to encourage businesses, organizations and municipalities to adopt diversity policies in order to foster labour-market participation by at-risk groups. The Employment and Social Economy Department of the Flemish Region is responsible for </w:t>
      </w:r>
      <w:r w:rsidR="004C0053" w:rsidRPr="00BA6590">
        <w:rPr>
          <w:lang w:val="en-GB"/>
        </w:rPr>
        <w:t>the design, coordination and implementation of the policy.</w:t>
      </w:r>
      <w:r w:rsidR="00216546" w:rsidRPr="00BA6590">
        <w:rPr>
          <w:lang w:val="en-GB"/>
        </w:rPr>
        <w:t xml:space="preserve"> </w:t>
      </w:r>
    </w:p>
    <w:p w:rsidR="00E50B98" w:rsidRPr="00BA6590" w:rsidRDefault="00E50B98" w:rsidP="00E50B98">
      <w:pPr>
        <w:pStyle w:val="SingleTxtG"/>
        <w:rPr>
          <w:lang w:val="en-GB"/>
        </w:rPr>
      </w:pPr>
      <w:r w:rsidRPr="00BA6590">
        <w:rPr>
          <w:lang w:val="en-GB"/>
        </w:rPr>
        <w:t>254.</w:t>
      </w:r>
      <w:r w:rsidRPr="00BA6590">
        <w:rPr>
          <w:lang w:val="en-GB"/>
        </w:rPr>
        <w:tab/>
      </w:r>
      <w:r w:rsidR="004C0053" w:rsidRPr="00BA6590">
        <w:rPr>
          <w:lang w:val="en-GB"/>
        </w:rPr>
        <w:t xml:space="preserve">This policy is supported by the Flemish </w:t>
      </w:r>
      <w:r w:rsidR="00F21548" w:rsidRPr="00BA6590">
        <w:rPr>
          <w:lang w:val="en-GB"/>
        </w:rPr>
        <w:t>government</w:t>
      </w:r>
      <w:r w:rsidR="004C0053" w:rsidRPr="00BA6590">
        <w:rPr>
          <w:lang w:val="en-GB"/>
        </w:rPr>
        <w:t>, social partners and organizations representing the at-risk groups</w:t>
      </w:r>
      <w:r w:rsidR="00CA68A1" w:rsidRPr="00BA6590">
        <w:rPr>
          <w:lang w:val="en-GB"/>
        </w:rPr>
        <w:t>,</w:t>
      </w:r>
      <w:r w:rsidR="004C0053" w:rsidRPr="00BA6590">
        <w:rPr>
          <w:lang w:val="en-GB"/>
        </w:rPr>
        <w:t xml:space="preserve"> all</w:t>
      </w:r>
      <w:r w:rsidR="00CA68A1" w:rsidRPr="00BA6590">
        <w:rPr>
          <w:lang w:val="en-GB"/>
        </w:rPr>
        <w:t xml:space="preserve"> of which are</w:t>
      </w:r>
      <w:r w:rsidR="004C0053" w:rsidRPr="00BA6590">
        <w:rPr>
          <w:lang w:val="en-GB"/>
        </w:rPr>
        <w:t xml:space="preserve"> involved in its design and application. </w:t>
      </w:r>
      <w:r w:rsidR="006E5FB1" w:rsidRPr="00BA6590">
        <w:rPr>
          <w:lang w:val="en-GB"/>
        </w:rPr>
        <w:t xml:space="preserve">Three at-risk groups receive particular attention owing to their low employment rates and high jobless rates: older workers, those with occupational disabilities and persons of foreign origin. All activities under this policy are also designed to promote gender equality. </w:t>
      </w:r>
    </w:p>
    <w:p w:rsidR="00E50B98" w:rsidRPr="00BA6590" w:rsidRDefault="00E50B98" w:rsidP="00E50B98">
      <w:pPr>
        <w:pStyle w:val="SingleTxtG"/>
        <w:rPr>
          <w:lang w:val="en-GB"/>
        </w:rPr>
      </w:pPr>
      <w:r w:rsidRPr="00BA6590">
        <w:rPr>
          <w:lang w:val="en-GB"/>
        </w:rPr>
        <w:t>255.</w:t>
      </w:r>
      <w:r w:rsidRPr="00BA6590">
        <w:rPr>
          <w:lang w:val="en-GB"/>
        </w:rPr>
        <w:tab/>
      </w:r>
      <w:r w:rsidR="006E5FB1" w:rsidRPr="00BA6590">
        <w:rPr>
          <w:lang w:val="en-GB"/>
        </w:rPr>
        <w:t>The main tools of the policy are</w:t>
      </w:r>
      <w:r w:rsidRPr="00BA6590">
        <w:rPr>
          <w:lang w:val="en-GB"/>
        </w:rPr>
        <w:t>:</w:t>
      </w:r>
    </w:p>
    <w:p w:rsidR="00E50B98" w:rsidRPr="00BA6590" w:rsidRDefault="005E04F8" w:rsidP="006C6FD4">
      <w:pPr>
        <w:pStyle w:val="Bullet1G"/>
        <w:rPr>
          <w:lang w:val="en-GB"/>
        </w:rPr>
      </w:pPr>
      <w:r w:rsidRPr="00BA6590">
        <w:rPr>
          <w:lang w:val="en-GB"/>
        </w:rPr>
        <w:t xml:space="preserve">Diversity </w:t>
      </w:r>
      <w:r w:rsidR="006E5FB1" w:rsidRPr="00BA6590">
        <w:rPr>
          <w:lang w:val="en-GB"/>
        </w:rPr>
        <w:t xml:space="preserve">plans: on certain conditions, businesses, organizations and municipalities may receive a subsidy for the development, planning and application of diversity plans; </w:t>
      </w:r>
    </w:p>
    <w:p w:rsidR="00E50B98" w:rsidRPr="00BA6590" w:rsidRDefault="005E04F8" w:rsidP="006447F1">
      <w:pPr>
        <w:pStyle w:val="Bullet1G"/>
        <w:rPr>
          <w:lang w:val="en-GB"/>
        </w:rPr>
      </w:pPr>
      <w:r w:rsidRPr="00BA6590">
        <w:rPr>
          <w:lang w:val="en-GB"/>
        </w:rPr>
        <w:t xml:space="preserve">Structural </w:t>
      </w:r>
      <w:r w:rsidR="006E5FB1" w:rsidRPr="00BA6590">
        <w:rPr>
          <w:lang w:val="en-GB"/>
        </w:rPr>
        <w:t>projects for social partners and organizations representing the at-risk groups</w:t>
      </w:r>
      <w:r w:rsidR="006C6FD4" w:rsidRPr="00BA6590">
        <w:rPr>
          <w:lang w:val="en-GB"/>
        </w:rPr>
        <w:t>;</w:t>
      </w:r>
    </w:p>
    <w:p w:rsidR="00E50B98" w:rsidRPr="00BA6590" w:rsidRDefault="005E04F8" w:rsidP="006447F1">
      <w:pPr>
        <w:pStyle w:val="Bullet1G"/>
        <w:rPr>
          <w:lang w:val="en-GB"/>
        </w:rPr>
      </w:pPr>
      <w:r w:rsidRPr="00BA6590">
        <w:rPr>
          <w:lang w:val="en-GB"/>
        </w:rPr>
        <w:t xml:space="preserve">Diversity </w:t>
      </w:r>
      <w:r w:rsidR="006E5FB1" w:rsidRPr="00BA6590">
        <w:rPr>
          <w:lang w:val="en-GB"/>
        </w:rPr>
        <w:t>projects focusing on the development of tools and methods</w:t>
      </w:r>
      <w:r w:rsidR="00216546" w:rsidRPr="00BA6590">
        <w:rPr>
          <w:lang w:val="en-GB"/>
        </w:rPr>
        <w:t xml:space="preserve"> and the sharing of experience, targeting specific categories within at-risk groups.</w:t>
      </w:r>
    </w:p>
    <w:p w:rsidR="00E50B98" w:rsidRPr="00BA6590" w:rsidRDefault="00E50B98" w:rsidP="00E50B98">
      <w:pPr>
        <w:pStyle w:val="SingleTxtG"/>
        <w:rPr>
          <w:lang w:val="en-GB"/>
        </w:rPr>
      </w:pPr>
      <w:r w:rsidRPr="00BA6590">
        <w:rPr>
          <w:lang w:val="en-GB"/>
        </w:rPr>
        <w:t>256.</w:t>
      </w:r>
      <w:r w:rsidRPr="00BA6590">
        <w:rPr>
          <w:lang w:val="en-GB"/>
        </w:rPr>
        <w:tab/>
      </w:r>
      <w:r w:rsidR="00ED01D2" w:rsidRPr="00BA6590">
        <w:rPr>
          <w:lang w:val="en-GB"/>
        </w:rPr>
        <w:t>T</w:t>
      </w:r>
      <w:r w:rsidR="00216546" w:rsidRPr="00BA6590">
        <w:rPr>
          <w:lang w:val="en-GB"/>
        </w:rPr>
        <w:t>he diversity plans</w:t>
      </w:r>
      <w:r w:rsidR="00ED01D2" w:rsidRPr="00BA6590">
        <w:rPr>
          <w:lang w:val="en-GB"/>
        </w:rPr>
        <w:t xml:space="preserve"> are required to devote particular attention to</w:t>
      </w:r>
      <w:r w:rsidR="00216546" w:rsidRPr="00BA6590">
        <w:rPr>
          <w:lang w:val="en-GB"/>
        </w:rPr>
        <w:t xml:space="preserve"> at least one </w:t>
      </w:r>
      <w:r w:rsidR="00ED01D2" w:rsidRPr="00BA6590">
        <w:rPr>
          <w:lang w:val="en-GB"/>
        </w:rPr>
        <w:t>at-risk group</w:t>
      </w:r>
      <w:r w:rsidR="00216546" w:rsidRPr="00BA6590">
        <w:rPr>
          <w:lang w:val="en-GB"/>
        </w:rPr>
        <w:t xml:space="preserve"> through the adoption of quantified targets in terms of</w:t>
      </w:r>
      <w:r w:rsidR="00ED01D2" w:rsidRPr="00BA6590">
        <w:rPr>
          <w:lang w:val="en-GB"/>
        </w:rPr>
        <w:t xml:space="preserve"> labour-market entry, advancement, job retention and training.</w:t>
      </w:r>
      <w:r w:rsidR="00216546" w:rsidRPr="00BA6590">
        <w:rPr>
          <w:lang w:val="en-GB"/>
        </w:rPr>
        <w:t xml:space="preserve"> </w:t>
      </w:r>
    </w:p>
    <w:p w:rsidR="00E50B98" w:rsidRPr="00BA6590" w:rsidRDefault="00E50B98" w:rsidP="003A2AB6">
      <w:pPr>
        <w:pStyle w:val="SingleTxtG"/>
        <w:spacing w:after="240"/>
        <w:rPr>
          <w:lang w:val="en-GB"/>
        </w:rPr>
      </w:pPr>
      <w:r w:rsidRPr="00BA6590">
        <w:rPr>
          <w:lang w:val="en-GB"/>
        </w:rPr>
        <w:t>257.</w:t>
      </w:r>
      <w:r w:rsidRPr="00BA6590">
        <w:rPr>
          <w:lang w:val="en-GB"/>
        </w:rPr>
        <w:tab/>
      </w:r>
      <w:r w:rsidR="00ED01D2" w:rsidRPr="00BA6590">
        <w:rPr>
          <w:lang w:val="en-GB"/>
        </w:rPr>
        <w:t xml:space="preserve">The quantified targets for the at-risk group consisting of workers of immigrant origin for </w:t>
      </w:r>
      <w:r w:rsidRPr="00BA6590">
        <w:rPr>
          <w:lang w:val="en-GB"/>
        </w:rPr>
        <w:t>2006</w:t>
      </w:r>
      <w:r w:rsidR="005E04F8" w:rsidRPr="00BA6590">
        <w:rPr>
          <w:szCs w:val="24"/>
          <w:lang w:val="en-GB"/>
        </w:rPr>
        <w:t>–</w:t>
      </w:r>
      <w:r w:rsidRPr="00BA6590">
        <w:rPr>
          <w:lang w:val="en-GB"/>
        </w:rPr>
        <w:t>2011</w:t>
      </w:r>
      <w:r w:rsidR="00D94C5A" w:rsidRPr="00BA6590">
        <w:rPr>
          <w:lang w:val="en-GB"/>
        </w:rPr>
        <w:t xml:space="preserve"> are as follows.</w:t>
      </w:r>
    </w:p>
    <w:tbl>
      <w:tblPr>
        <w:tblW w:w="7371" w:type="dxa"/>
        <w:tblInd w:w="1134" w:type="dxa"/>
        <w:tblBorders>
          <w:top w:val="single" w:sz="4" w:space="0" w:color="auto"/>
        </w:tblBorders>
        <w:tblLayout w:type="fixed"/>
        <w:tblCellMar>
          <w:left w:w="0" w:type="dxa"/>
          <w:right w:w="0" w:type="dxa"/>
        </w:tblCellMar>
        <w:tblLook w:val="00A0"/>
      </w:tblPr>
      <w:tblGrid>
        <w:gridCol w:w="1582"/>
        <w:gridCol w:w="964"/>
        <w:gridCol w:w="965"/>
        <w:gridCol w:w="965"/>
        <w:gridCol w:w="965"/>
        <w:gridCol w:w="965"/>
        <w:gridCol w:w="965"/>
      </w:tblGrid>
      <w:tr w:rsidR="006447F1" w:rsidRPr="00BA6590">
        <w:trPr>
          <w:trHeight w:val="20"/>
          <w:tblHeader/>
        </w:trPr>
        <w:tc>
          <w:tcPr>
            <w:tcW w:w="1582" w:type="dxa"/>
            <w:tcBorders>
              <w:top w:val="single" w:sz="4" w:space="0" w:color="auto"/>
              <w:bottom w:val="single" w:sz="12" w:space="0" w:color="auto"/>
            </w:tcBorders>
            <w:shd w:val="clear" w:color="auto" w:fill="auto"/>
            <w:noWrap/>
            <w:vAlign w:val="bottom"/>
          </w:tcPr>
          <w:p w:rsidR="006447F1" w:rsidRPr="00BA6590" w:rsidRDefault="00ED01D2" w:rsidP="007D427C">
            <w:pPr>
              <w:suppressAutoHyphens w:val="0"/>
              <w:spacing w:before="80" w:after="80" w:line="200" w:lineRule="exact"/>
              <w:rPr>
                <w:i/>
                <w:sz w:val="16"/>
                <w:szCs w:val="18"/>
                <w:lang w:val="en-GB" w:eastAsia="nl-BE"/>
              </w:rPr>
            </w:pPr>
            <w:r w:rsidRPr="00BA6590">
              <w:rPr>
                <w:i/>
                <w:sz w:val="16"/>
                <w:szCs w:val="18"/>
                <w:lang w:val="en-GB" w:eastAsia="nl-BE"/>
              </w:rPr>
              <w:t>Quantified target</w:t>
            </w:r>
          </w:p>
        </w:tc>
        <w:tc>
          <w:tcPr>
            <w:tcW w:w="964" w:type="dxa"/>
            <w:tcBorders>
              <w:top w:val="single" w:sz="4" w:space="0" w:color="auto"/>
              <w:bottom w:val="single" w:sz="12" w:space="0" w:color="auto"/>
            </w:tcBorders>
            <w:shd w:val="clear" w:color="auto" w:fill="auto"/>
            <w:noWrap/>
            <w:vAlign w:val="bottom"/>
          </w:tcPr>
          <w:p w:rsidR="006447F1" w:rsidRPr="00BA6590" w:rsidRDefault="006447F1" w:rsidP="007D427C">
            <w:pPr>
              <w:suppressAutoHyphens w:val="0"/>
              <w:spacing w:before="80" w:after="80" w:line="200" w:lineRule="exact"/>
              <w:jc w:val="right"/>
              <w:rPr>
                <w:i/>
                <w:sz w:val="16"/>
                <w:szCs w:val="18"/>
                <w:lang w:val="en-GB" w:eastAsia="nl-BE"/>
              </w:rPr>
            </w:pPr>
            <w:r w:rsidRPr="00BA6590">
              <w:rPr>
                <w:i/>
                <w:sz w:val="16"/>
                <w:szCs w:val="18"/>
                <w:lang w:val="en-GB" w:eastAsia="nl-BE"/>
              </w:rPr>
              <w:t>2006</w:t>
            </w:r>
          </w:p>
        </w:tc>
        <w:tc>
          <w:tcPr>
            <w:tcW w:w="965" w:type="dxa"/>
            <w:tcBorders>
              <w:top w:val="single" w:sz="4" w:space="0" w:color="auto"/>
              <w:bottom w:val="single" w:sz="12" w:space="0" w:color="auto"/>
            </w:tcBorders>
            <w:shd w:val="clear" w:color="auto" w:fill="auto"/>
            <w:noWrap/>
            <w:vAlign w:val="bottom"/>
          </w:tcPr>
          <w:p w:rsidR="006447F1" w:rsidRPr="00BA6590" w:rsidRDefault="006447F1" w:rsidP="007D427C">
            <w:pPr>
              <w:suppressAutoHyphens w:val="0"/>
              <w:spacing w:before="80" w:after="80" w:line="200" w:lineRule="exact"/>
              <w:jc w:val="right"/>
              <w:rPr>
                <w:i/>
                <w:sz w:val="16"/>
                <w:szCs w:val="18"/>
                <w:lang w:val="en-GB" w:eastAsia="nl-BE"/>
              </w:rPr>
            </w:pPr>
            <w:r w:rsidRPr="00BA6590">
              <w:rPr>
                <w:i/>
                <w:sz w:val="16"/>
                <w:szCs w:val="18"/>
                <w:lang w:val="en-GB" w:eastAsia="nl-BE"/>
              </w:rPr>
              <w:t>2007</w:t>
            </w:r>
          </w:p>
        </w:tc>
        <w:tc>
          <w:tcPr>
            <w:tcW w:w="965" w:type="dxa"/>
            <w:tcBorders>
              <w:top w:val="single" w:sz="4" w:space="0" w:color="auto"/>
              <w:bottom w:val="single" w:sz="12" w:space="0" w:color="auto"/>
            </w:tcBorders>
            <w:shd w:val="clear" w:color="auto" w:fill="auto"/>
            <w:noWrap/>
            <w:vAlign w:val="bottom"/>
          </w:tcPr>
          <w:p w:rsidR="006447F1" w:rsidRPr="00BA6590" w:rsidRDefault="006447F1" w:rsidP="007D427C">
            <w:pPr>
              <w:suppressAutoHyphens w:val="0"/>
              <w:spacing w:before="80" w:after="80" w:line="200" w:lineRule="exact"/>
              <w:jc w:val="right"/>
              <w:rPr>
                <w:i/>
                <w:sz w:val="16"/>
                <w:szCs w:val="18"/>
                <w:lang w:val="en-GB" w:eastAsia="nl-BE"/>
              </w:rPr>
            </w:pPr>
            <w:r w:rsidRPr="00BA6590">
              <w:rPr>
                <w:i/>
                <w:sz w:val="16"/>
                <w:szCs w:val="18"/>
                <w:lang w:val="en-GB" w:eastAsia="nl-BE"/>
              </w:rPr>
              <w:t>2008</w:t>
            </w:r>
          </w:p>
        </w:tc>
        <w:tc>
          <w:tcPr>
            <w:tcW w:w="965" w:type="dxa"/>
            <w:tcBorders>
              <w:top w:val="single" w:sz="4" w:space="0" w:color="auto"/>
              <w:bottom w:val="single" w:sz="12" w:space="0" w:color="auto"/>
            </w:tcBorders>
            <w:shd w:val="clear" w:color="auto" w:fill="auto"/>
            <w:noWrap/>
            <w:vAlign w:val="bottom"/>
          </w:tcPr>
          <w:p w:rsidR="006447F1" w:rsidRPr="00BA6590" w:rsidRDefault="006447F1" w:rsidP="007D427C">
            <w:pPr>
              <w:suppressAutoHyphens w:val="0"/>
              <w:spacing w:before="80" w:after="80" w:line="200" w:lineRule="exact"/>
              <w:jc w:val="right"/>
              <w:rPr>
                <w:i/>
                <w:sz w:val="16"/>
                <w:szCs w:val="18"/>
                <w:lang w:val="en-GB" w:eastAsia="nl-BE"/>
              </w:rPr>
            </w:pPr>
            <w:r w:rsidRPr="00BA6590">
              <w:rPr>
                <w:i/>
                <w:sz w:val="16"/>
                <w:szCs w:val="18"/>
                <w:lang w:val="en-GB" w:eastAsia="nl-BE"/>
              </w:rPr>
              <w:t>2009</w:t>
            </w:r>
          </w:p>
        </w:tc>
        <w:tc>
          <w:tcPr>
            <w:tcW w:w="965" w:type="dxa"/>
            <w:tcBorders>
              <w:top w:val="single" w:sz="4" w:space="0" w:color="auto"/>
              <w:bottom w:val="single" w:sz="12" w:space="0" w:color="auto"/>
            </w:tcBorders>
            <w:shd w:val="clear" w:color="auto" w:fill="auto"/>
            <w:noWrap/>
            <w:vAlign w:val="bottom"/>
          </w:tcPr>
          <w:p w:rsidR="006447F1" w:rsidRPr="00BA6590" w:rsidRDefault="006447F1" w:rsidP="007D427C">
            <w:pPr>
              <w:suppressAutoHyphens w:val="0"/>
              <w:spacing w:before="80" w:after="80" w:line="200" w:lineRule="exact"/>
              <w:jc w:val="right"/>
              <w:rPr>
                <w:i/>
                <w:sz w:val="16"/>
                <w:szCs w:val="18"/>
                <w:lang w:val="en-GB" w:eastAsia="nl-BE"/>
              </w:rPr>
            </w:pPr>
            <w:r w:rsidRPr="00BA6590">
              <w:rPr>
                <w:i/>
                <w:sz w:val="16"/>
                <w:szCs w:val="18"/>
                <w:lang w:val="en-GB" w:eastAsia="nl-BE"/>
              </w:rPr>
              <w:t>2010</w:t>
            </w:r>
          </w:p>
        </w:tc>
        <w:tc>
          <w:tcPr>
            <w:tcW w:w="965" w:type="dxa"/>
            <w:tcBorders>
              <w:top w:val="single" w:sz="4" w:space="0" w:color="auto"/>
              <w:bottom w:val="single" w:sz="12" w:space="0" w:color="auto"/>
            </w:tcBorders>
            <w:shd w:val="clear" w:color="auto" w:fill="auto"/>
            <w:noWrap/>
            <w:vAlign w:val="bottom"/>
          </w:tcPr>
          <w:p w:rsidR="006447F1" w:rsidRPr="00BA6590" w:rsidRDefault="006447F1" w:rsidP="007D427C">
            <w:pPr>
              <w:suppressAutoHyphens w:val="0"/>
              <w:spacing w:before="80" w:after="80" w:line="200" w:lineRule="exact"/>
              <w:jc w:val="right"/>
              <w:rPr>
                <w:i/>
                <w:sz w:val="16"/>
                <w:szCs w:val="18"/>
                <w:lang w:val="en-GB" w:eastAsia="nl-BE"/>
              </w:rPr>
            </w:pPr>
            <w:r w:rsidRPr="00BA6590">
              <w:rPr>
                <w:i/>
                <w:sz w:val="16"/>
                <w:szCs w:val="18"/>
                <w:lang w:val="en-GB" w:eastAsia="nl-BE"/>
              </w:rPr>
              <w:t>2011</w:t>
            </w:r>
          </w:p>
        </w:tc>
      </w:tr>
      <w:tr w:rsidR="006447F1" w:rsidRPr="00BA6590">
        <w:trPr>
          <w:trHeight w:val="20"/>
        </w:trPr>
        <w:tc>
          <w:tcPr>
            <w:tcW w:w="1582" w:type="dxa"/>
            <w:tcBorders>
              <w:top w:val="single" w:sz="12" w:space="0" w:color="auto"/>
            </w:tcBorders>
            <w:shd w:val="clear" w:color="auto" w:fill="auto"/>
            <w:noWrap/>
          </w:tcPr>
          <w:p w:rsidR="006447F1" w:rsidRPr="00BA6590" w:rsidRDefault="00ED01D2" w:rsidP="007D427C">
            <w:pPr>
              <w:suppressAutoHyphens w:val="0"/>
              <w:spacing w:before="40" w:after="40" w:line="220" w:lineRule="exact"/>
              <w:rPr>
                <w:sz w:val="18"/>
                <w:szCs w:val="18"/>
                <w:lang w:val="en-GB" w:eastAsia="nl-BE"/>
              </w:rPr>
            </w:pPr>
            <w:r w:rsidRPr="00BA6590">
              <w:rPr>
                <w:sz w:val="18"/>
                <w:szCs w:val="18"/>
                <w:lang w:val="en-GB" w:eastAsia="nl-BE"/>
              </w:rPr>
              <w:t>Entry</w:t>
            </w:r>
          </w:p>
        </w:tc>
        <w:tc>
          <w:tcPr>
            <w:tcW w:w="964" w:type="dxa"/>
            <w:tcBorders>
              <w:top w:val="single" w:sz="12" w:space="0" w:color="auto"/>
            </w:tcBorders>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1</w:t>
            </w:r>
            <w:r w:rsidR="00F21548" w:rsidRPr="00BA6590">
              <w:rPr>
                <w:sz w:val="18"/>
                <w:szCs w:val="18"/>
                <w:lang w:val="en-GB" w:eastAsia="nl-BE"/>
              </w:rPr>
              <w:t xml:space="preserve"> </w:t>
            </w:r>
            <w:r w:rsidRPr="00BA6590">
              <w:rPr>
                <w:sz w:val="18"/>
                <w:szCs w:val="18"/>
                <w:lang w:val="en-GB" w:eastAsia="nl-BE"/>
              </w:rPr>
              <w:t>581</w:t>
            </w:r>
          </w:p>
        </w:tc>
        <w:tc>
          <w:tcPr>
            <w:tcW w:w="965" w:type="dxa"/>
            <w:tcBorders>
              <w:top w:val="single" w:sz="12" w:space="0" w:color="auto"/>
            </w:tcBorders>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3</w:t>
            </w:r>
            <w:r w:rsidR="00F21548" w:rsidRPr="00BA6590">
              <w:rPr>
                <w:sz w:val="18"/>
                <w:szCs w:val="18"/>
                <w:lang w:val="en-GB" w:eastAsia="nl-BE"/>
              </w:rPr>
              <w:t xml:space="preserve"> </w:t>
            </w:r>
            <w:r w:rsidRPr="00BA6590">
              <w:rPr>
                <w:sz w:val="18"/>
                <w:szCs w:val="18"/>
                <w:lang w:val="en-GB" w:eastAsia="nl-BE"/>
              </w:rPr>
              <w:t>938</w:t>
            </w:r>
          </w:p>
        </w:tc>
        <w:tc>
          <w:tcPr>
            <w:tcW w:w="965" w:type="dxa"/>
            <w:tcBorders>
              <w:top w:val="single" w:sz="12" w:space="0" w:color="auto"/>
            </w:tcBorders>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2</w:t>
            </w:r>
            <w:r w:rsidR="00F21548" w:rsidRPr="00BA6590">
              <w:rPr>
                <w:sz w:val="18"/>
                <w:szCs w:val="18"/>
                <w:lang w:val="en-GB" w:eastAsia="nl-BE"/>
              </w:rPr>
              <w:t xml:space="preserve"> </w:t>
            </w:r>
            <w:r w:rsidRPr="00BA6590">
              <w:rPr>
                <w:sz w:val="18"/>
                <w:szCs w:val="18"/>
                <w:lang w:val="en-GB" w:eastAsia="nl-BE"/>
              </w:rPr>
              <w:t>159</w:t>
            </w:r>
          </w:p>
        </w:tc>
        <w:tc>
          <w:tcPr>
            <w:tcW w:w="965" w:type="dxa"/>
            <w:tcBorders>
              <w:top w:val="single" w:sz="12" w:space="0" w:color="auto"/>
            </w:tcBorders>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1</w:t>
            </w:r>
            <w:r w:rsidR="00F21548" w:rsidRPr="00BA6590">
              <w:rPr>
                <w:sz w:val="18"/>
                <w:szCs w:val="18"/>
                <w:lang w:val="en-GB" w:eastAsia="nl-BE"/>
              </w:rPr>
              <w:t xml:space="preserve"> </w:t>
            </w:r>
            <w:r w:rsidRPr="00BA6590">
              <w:rPr>
                <w:sz w:val="18"/>
                <w:szCs w:val="18"/>
                <w:lang w:val="en-GB" w:eastAsia="nl-BE"/>
              </w:rPr>
              <w:t>544</w:t>
            </w:r>
          </w:p>
        </w:tc>
        <w:tc>
          <w:tcPr>
            <w:tcW w:w="965" w:type="dxa"/>
            <w:tcBorders>
              <w:top w:val="single" w:sz="12" w:space="0" w:color="auto"/>
            </w:tcBorders>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2</w:t>
            </w:r>
            <w:r w:rsidR="00F21548" w:rsidRPr="00BA6590">
              <w:rPr>
                <w:sz w:val="18"/>
                <w:szCs w:val="18"/>
                <w:lang w:val="en-GB" w:eastAsia="nl-BE"/>
              </w:rPr>
              <w:t xml:space="preserve"> </w:t>
            </w:r>
            <w:r w:rsidRPr="00BA6590">
              <w:rPr>
                <w:sz w:val="18"/>
                <w:szCs w:val="18"/>
                <w:lang w:val="en-GB" w:eastAsia="nl-BE"/>
              </w:rPr>
              <w:t>762</w:t>
            </w:r>
          </w:p>
        </w:tc>
        <w:tc>
          <w:tcPr>
            <w:tcW w:w="965" w:type="dxa"/>
            <w:tcBorders>
              <w:top w:val="single" w:sz="12" w:space="0" w:color="auto"/>
            </w:tcBorders>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7</w:t>
            </w:r>
            <w:r w:rsidR="00F21548" w:rsidRPr="00BA6590">
              <w:rPr>
                <w:sz w:val="18"/>
                <w:szCs w:val="18"/>
                <w:lang w:val="en-GB" w:eastAsia="nl-BE"/>
              </w:rPr>
              <w:t xml:space="preserve"> </w:t>
            </w:r>
            <w:r w:rsidRPr="00BA6590">
              <w:rPr>
                <w:sz w:val="18"/>
                <w:szCs w:val="18"/>
                <w:lang w:val="en-GB" w:eastAsia="nl-BE"/>
              </w:rPr>
              <w:t>356</w:t>
            </w:r>
          </w:p>
        </w:tc>
      </w:tr>
      <w:tr w:rsidR="006447F1" w:rsidRPr="00BA6590">
        <w:trPr>
          <w:trHeight w:val="20"/>
        </w:trPr>
        <w:tc>
          <w:tcPr>
            <w:tcW w:w="1582" w:type="dxa"/>
            <w:shd w:val="clear" w:color="auto" w:fill="auto"/>
            <w:noWrap/>
          </w:tcPr>
          <w:p w:rsidR="006447F1" w:rsidRPr="00BA6590" w:rsidRDefault="00ED01D2" w:rsidP="007D427C">
            <w:pPr>
              <w:suppressAutoHyphens w:val="0"/>
              <w:spacing w:before="40" w:after="40" w:line="220" w:lineRule="exact"/>
              <w:rPr>
                <w:sz w:val="18"/>
                <w:szCs w:val="18"/>
                <w:lang w:val="en-GB" w:eastAsia="nl-BE"/>
              </w:rPr>
            </w:pPr>
            <w:r w:rsidRPr="00BA6590">
              <w:rPr>
                <w:sz w:val="18"/>
                <w:szCs w:val="18"/>
                <w:lang w:val="en-GB" w:eastAsia="nl-NL"/>
              </w:rPr>
              <w:t>Advancement</w:t>
            </w:r>
          </w:p>
        </w:tc>
        <w:tc>
          <w:tcPr>
            <w:tcW w:w="964" w:type="dxa"/>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607</w:t>
            </w:r>
          </w:p>
        </w:tc>
        <w:tc>
          <w:tcPr>
            <w:tcW w:w="965" w:type="dxa"/>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914</w:t>
            </w:r>
          </w:p>
        </w:tc>
        <w:tc>
          <w:tcPr>
            <w:tcW w:w="965" w:type="dxa"/>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604</w:t>
            </w:r>
          </w:p>
        </w:tc>
        <w:tc>
          <w:tcPr>
            <w:tcW w:w="965" w:type="dxa"/>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350</w:t>
            </w:r>
          </w:p>
        </w:tc>
        <w:tc>
          <w:tcPr>
            <w:tcW w:w="965" w:type="dxa"/>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605</w:t>
            </w:r>
          </w:p>
        </w:tc>
        <w:tc>
          <w:tcPr>
            <w:tcW w:w="965" w:type="dxa"/>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1</w:t>
            </w:r>
            <w:r w:rsidR="00F21548" w:rsidRPr="00BA6590">
              <w:rPr>
                <w:sz w:val="18"/>
                <w:szCs w:val="18"/>
                <w:lang w:val="en-GB" w:eastAsia="nl-BE"/>
              </w:rPr>
              <w:t xml:space="preserve"> </w:t>
            </w:r>
            <w:r w:rsidRPr="00BA6590">
              <w:rPr>
                <w:sz w:val="18"/>
                <w:szCs w:val="18"/>
                <w:lang w:val="en-GB" w:eastAsia="nl-BE"/>
              </w:rPr>
              <w:t>691</w:t>
            </w:r>
          </w:p>
        </w:tc>
      </w:tr>
      <w:tr w:rsidR="006447F1" w:rsidRPr="00BA6590">
        <w:trPr>
          <w:trHeight w:val="20"/>
        </w:trPr>
        <w:tc>
          <w:tcPr>
            <w:tcW w:w="1582" w:type="dxa"/>
            <w:shd w:val="clear" w:color="auto" w:fill="auto"/>
            <w:noWrap/>
          </w:tcPr>
          <w:p w:rsidR="006447F1" w:rsidRPr="00BA6590" w:rsidRDefault="00ED01D2" w:rsidP="007D427C">
            <w:pPr>
              <w:suppressAutoHyphens w:val="0"/>
              <w:spacing w:before="40" w:after="40" w:line="220" w:lineRule="exact"/>
              <w:rPr>
                <w:sz w:val="18"/>
                <w:szCs w:val="18"/>
                <w:lang w:val="en-GB" w:eastAsia="nl-BE"/>
              </w:rPr>
            </w:pPr>
            <w:r w:rsidRPr="00BA6590">
              <w:rPr>
                <w:sz w:val="18"/>
                <w:szCs w:val="18"/>
                <w:lang w:val="en-GB" w:eastAsia="nl-NL"/>
              </w:rPr>
              <w:t>Job retention</w:t>
            </w:r>
          </w:p>
        </w:tc>
        <w:tc>
          <w:tcPr>
            <w:tcW w:w="964" w:type="dxa"/>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556</w:t>
            </w:r>
          </w:p>
        </w:tc>
        <w:tc>
          <w:tcPr>
            <w:tcW w:w="965" w:type="dxa"/>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1</w:t>
            </w:r>
            <w:r w:rsidR="00F21548" w:rsidRPr="00BA6590">
              <w:rPr>
                <w:sz w:val="18"/>
                <w:szCs w:val="18"/>
                <w:lang w:val="en-GB" w:eastAsia="nl-BE"/>
              </w:rPr>
              <w:t xml:space="preserve"> </w:t>
            </w:r>
            <w:r w:rsidRPr="00BA6590">
              <w:rPr>
                <w:sz w:val="18"/>
                <w:szCs w:val="18"/>
                <w:lang w:val="en-GB" w:eastAsia="nl-BE"/>
              </w:rPr>
              <w:t>568</w:t>
            </w:r>
          </w:p>
        </w:tc>
        <w:tc>
          <w:tcPr>
            <w:tcW w:w="965" w:type="dxa"/>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1</w:t>
            </w:r>
            <w:r w:rsidR="00F21548" w:rsidRPr="00BA6590">
              <w:rPr>
                <w:sz w:val="18"/>
                <w:szCs w:val="18"/>
                <w:lang w:val="en-GB" w:eastAsia="nl-BE"/>
              </w:rPr>
              <w:t xml:space="preserve"> </w:t>
            </w:r>
            <w:r w:rsidRPr="00BA6590">
              <w:rPr>
                <w:sz w:val="18"/>
                <w:szCs w:val="18"/>
                <w:lang w:val="en-GB" w:eastAsia="nl-BE"/>
              </w:rPr>
              <w:t>606</w:t>
            </w:r>
          </w:p>
        </w:tc>
        <w:tc>
          <w:tcPr>
            <w:tcW w:w="965" w:type="dxa"/>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1</w:t>
            </w:r>
            <w:r w:rsidR="00F21548" w:rsidRPr="00BA6590">
              <w:rPr>
                <w:sz w:val="18"/>
                <w:szCs w:val="18"/>
                <w:lang w:val="en-GB" w:eastAsia="nl-BE"/>
              </w:rPr>
              <w:t xml:space="preserve"> </w:t>
            </w:r>
            <w:r w:rsidRPr="00BA6590">
              <w:rPr>
                <w:sz w:val="18"/>
                <w:szCs w:val="18"/>
                <w:lang w:val="en-GB" w:eastAsia="nl-BE"/>
              </w:rPr>
              <w:t>337</w:t>
            </w:r>
          </w:p>
        </w:tc>
        <w:tc>
          <w:tcPr>
            <w:tcW w:w="965" w:type="dxa"/>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1</w:t>
            </w:r>
            <w:r w:rsidR="00F21548" w:rsidRPr="00BA6590">
              <w:rPr>
                <w:sz w:val="18"/>
                <w:szCs w:val="18"/>
                <w:lang w:val="en-GB" w:eastAsia="nl-BE"/>
              </w:rPr>
              <w:t xml:space="preserve"> </w:t>
            </w:r>
            <w:r w:rsidRPr="00BA6590">
              <w:rPr>
                <w:sz w:val="18"/>
                <w:szCs w:val="18"/>
                <w:lang w:val="en-GB" w:eastAsia="nl-BE"/>
              </w:rPr>
              <w:t>967</w:t>
            </w:r>
          </w:p>
        </w:tc>
        <w:tc>
          <w:tcPr>
            <w:tcW w:w="965" w:type="dxa"/>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6</w:t>
            </w:r>
            <w:r w:rsidR="00F21548" w:rsidRPr="00BA6590">
              <w:rPr>
                <w:sz w:val="18"/>
                <w:szCs w:val="18"/>
                <w:lang w:val="en-GB" w:eastAsia="nl-BE"/>
              </w:rPr>
              <w:t xml:space="preserve"> </w:t>
            </w:r>
            <w:r w:rsidRPr="00BA6590">
              <w:rPr>
                <w:sz w:val="18"/>
                <w:szCs w:val="18"/>
                <w:lang w:val="en-GB" w:eastAsia="nl-BE"/>
              </w:rPr>
              <w:t>736</w:t>
            </w:r>
          </w:p>
        </w:tc>
      </w:tr>
      <w:tr w:rsidR="006447F1" w:rsidRPr="00BA6590">
        <w:trPr>
          <w:trHeight w:val="20"/>
        </w:trPr>
        <w:tc>
          <w:tcPr>
            <w:tcW w:w="1582" w:type="dxa"/>
            <w:tcBorders>
              <w:bottom w:val="single" w:sz="12" w:space="0" w:color="auto"/>
            </w:tcBorders>
            <w:shd w:val="clear" w:color="auto" w:fill="auto"/>
            <w:noWrap/>
          </w:tcPr>
          <w:p w:rsidR="006447F1" w:rsidRPr="00BA6590" w:rsidRDefault="00ED01D2" w:rsidP="007D427C">
            <w:pPr>
              <w:suppressAutoHyphens w:val="0"/>
              <w:spacing w:before="40" w:after="40" w:line="220" w:lineRule="exact"/>
              <w:rPr>
                <w:sz w:val="18"/>
                <w:szCs w:val="18"/>
                <w:lang w:val="en-GB" w:eastAsia="nl-BE"/>
              </w:rPr>
            </w:pPr>
            <w:r w:rsidRPr="00BA6590">
              <w:rPr>
                <w:sz w:val="18"/>
                <w:szCs w:val="18"/>
                <w:lang w:val="en-GB" w:eastAsia="nl-NL"/>
              </w:rPr>
              <w:t>Training</w:t>
            </w:r>
          </w:p>
        </w:tc>
        <w:tc>
          <w:tcPr>
            <w:tcW w:w="964" w:type="dxa"/>
            <w:tcBorders>
              <w:bottom w:val="single" w:sz="12" w:space="0" w:color="auto"/>
            </w:tcBorders>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2</w:t>
            </w:r>
            <w:r w:rsidR="00F21548" w:rsidRPr="00BA6590">
              <w:rPr>
                <w:sz w:val="18"/>
                <w:szCs w:val="18"/>
                <w:lang w:val="en-GB" w:eastAsia="nl-BE"/>
              </w:rPr>
              <w:t xml:space="preserve"> </w:t>
            </w:r>
            <w:r w:rsidRPr="00BA6590">
              <w:rPr>
                <w:sz w:val="18"/>
                <w:szCs w:val="18"/>
                <w:lang w:val="en-GB" w:eastAsia="nl-BE"/>
              </w:rPr>
              <w:t>365</w:t>
            </w:r>
          </w:p>
        </w:tc>
        <w:tc>
          <w:tcPr>
            <w:tcW w:w="965" w:type="dxa"/>
            <w:tcBorders>
              <w:bottom w:val="single" w:sz="12" w:space="0" w:color="auto"/>
            </w:tcBorders>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6</w:t>
            </w:r>
            <w:r w:rsidR="00F21548" w:rsidRPr="00BA6590">
              <w:rPr>
                <w:sz w:val="18"/>
                <w:szCs w:val="18"/>
                <w:lang w:val="en-GB" w:eastAsia="nl-BE"/>
              </w:rPr>
              <w:t xml:space="preserve"> </w:t>
            </w:r>
            <w:r w:rsidRPr="00BA6590">
              <w:rPr>
                <w:sz w:val="18"/>
                <w:szCs w:val="18"/>
                <w:lang w:val="en-GB" w:eastAsia="nl-BE"/>
              </w:rPr>
              <w:t>874</w:t>
            </w:r>
          </w:p>
        </w:tc>
        <w:tc>
          <w:tcPr>
            <w:tcW w:w="965" w:type="dxa"/>
            <w:tcBorders>
              <w:bottom w:val="single" w:sz="12" w:space="0" w:color="auto"/>
            </w:tcBorders>
            <w:shd w:val="clear" w:color="auto" w:fill="auto"/>
            <w:noWrap/>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3</w:t>
            </w:r>
            <w:r w:rsidR="00F21548" w:rsidRPr="00BA6590">
              <w:rPr>
                <w:sz w:val="18"/>
                <w:szCs w:val="18"/>
                <w:lang w:val="en-GB" w:eastAsia="nl-BE"/>
              </w:rPr>
              <w:t xml:space="preserve"> </w:t>
            </w:r>
            <w:r w:rsidRPr="00BA6590">
              <w:rPr>
                <w:sz w:val="18"/>
                <w:szCs w:val="18"/>
                <w:lang w:val="en-GB" w:eastAsia="nl-BE"/>
              </w:rPr>
              <w:t>457</w:t>
            </w:r>
          </w:p>
        </w:tc>
        <w:tc>
          <w:tcPr>
            <w:tcW w:w="965" w:type="dxa"/>
            <w:tcBorders>
              <w:bottom w:val="single" w:sz="12" w:space="0" w:color="auto"/>
            </w:tcBorders>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3</w:t>
            </w:r>
            <w:r w:rsidR="00F21548" w:rsidRPr="00BA6590">
              <w:rPr>
                <w:sz w:val="18"/>
                <w:szCs w:val="18"/>
                <w:lang w:val="en-GB" w:eastAsia="nl-BE"/>
              </w:rPr>
              <w:t xml:space="preserve"> </w:t>
            </w:r>
            <w:r w:rsidRPr="00BA6590">
              <w:rPr>
                <w:sz w:val="18"/>
                <w:szCs w:val="18"/>
                <w:lang w:val="en-GB" w:eastAsia="nl-BE"/>
              </w:rPr>
              <w:t>691</w:t>
            </w:r>
          </w:p>
        </w:tc>
        <w:tc>
          <w:tcPr>
            <w:tcW w:w="965" w:type="dxa"/>
            <w:tcBorders>
              <w:bottom w:val="single" w:sz="12" w:space="0" w:color="auto"/>
            </w:tcBorders>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3</w:t>
            </w:r>
            <w:r w:rsidR="00F21548" w:rsidRPr="00BA6590">
              <w:rPr>
                <w:sz w:val="18"/>
                <w:szCs w:val="18"/>
                <w:lang w:val="en-GB" w:eastAsia="nl-BE"/>
              </w:rPr>
              <w:t xml:space="preserve"> </w:t>
            </w:r>
            <w:r w:rsidRPr="00BA6590">
              <w:rPr>
                <w:sz w:val="18"/>
                <w:szCs w:val="18"/>
                <w:lang w:val="en-GB" w:eastAsia="nl-BE"/>
              </w:rPr>
              <w:t>372</w:t>
            </w:r>
          </w:p>
        </w:tc>
        <w:tc>
          <w:tcPr>
            <w:tcW w:w="965" w:type="dxa"/>
            <w:tcBorders>
              <w:bottom w:val="single" w:sz="12" w:space="0" w:color="auto"/>
            </w:tcBorders>
            <w:shd w:val="clear" w:color="auto" w:fill="auto"/>
            <w:vAlign w:val="bottom"/>
          </w:tcPr>
          <w:p w:rsidR="006447F1" w:rsidRPr="00BA6590" w:rsidRDefault="006447F1" w:rsidP="007D427C">
            <w:pPr>
              <w:suppressAutoHyphens w:val="0"/>
              <w:spacing w:before="40" w:after="40" w:line="220" w:lineRule="exact"/>
              <w:jc w:val="right"/>
              <w:rPr>
                <w:sz w:val="18"/>
                <w:szCs w:val="18"/>
                <w:lang w:val="en-GB" w:eastAsia="nl-BE"/>
              </w:rPr>
            </w:pPr>
            <w:r w:rsidRPr="00BA6590">
              <w:rPr>
                <w:sz w:val="18"/>
                <w:szCs w:val="18"/>
                <w:lang w:val="en-GB" w:eastAsia="nl-BE"/>
              </w:rPr>
              <w:t>10</w:t>
            </w:r>
            <w:r w:rsidR="00F21548" w:rsidRPr="00BA6590">
              <w:rPr>
                <w:sz w:val="18"/>
                <w:szCs w:val="18"/>
                <w:lang w:val="en-GB" w:eastAsia="nl-BE"/>
              </w:rPr>
              <w:t xml:space="preserve"> </w:t>
            </w:r>
            <w:r w:rsidRPr="00BA6590">
              <w:rPr>
                <w:sz w:val="18"/>
                <w:szCs w:val="18"/>
                <w:lang w:val="en-GB" w:eastAsia="nl-BE"/>
              </w:rPr>
              <w:t>926</w:t>
            </w:r>
          </w:p>
        </w:tc>
      </w:tr>
    </w:tbl>
    <w:p w:rsidR="00E50B98" w:rsidRPr="00BA6590" w:rsidRDefault="00E50B98" w:rsidP="00AF500C">
      <w:pPr>
        <w:pStyle w:val="SingleTxtG"/>
        <w:spacing w:before="240"/>
        <w:rPr>
          <w:lang w:val="en-GB"/>
        </w:rPr>
      </w:pPr>
      <w:r w:rsidRPr="00BA6590">
        <w:rPr>
          <w:lang w:val="en-GB"/>
        </w:rPr>
        <w:t>258.</w:t>
      </w:r>
      <w:r w:rsidR="004E090E" w:rsidRPr="00BA6590">
        <w:rPr>
          <w:lang w:val="en-GB"/>
        </w:rPr>
        <w:tab/>
      </w:r>
      <w:r w:rsidR="00B3184F" w:rsidRPr="00BA6590">
        <w:rPr>
          <w:lang w:val="en-GB"/>
        </w:rPr>
        <w:t xml:space="preserve">The outcomes of the diversity plans implemented show that the quantified targets adopted were attained or even surpassed in almost all cases. </w:t>
      </w:r>
    </w:p>
    <w:p w:rsidR="00E50B98" w:rsidRPr="00BA6590" w:rsidRDefault="00E50B98" w:rsidP="00E50B98">
      <w:pPr>
        <w:pStyle w:val="SingleTxtG"/>
        <w:rPr>
          <w:lang w:val="en-GB"/>
        </w:rPr>
      </w:pPr>
      <w:r w:rsidRPr="00BA6590">
        <w:rPr>
          <w:lang w:val="en-GB"/>
        </w:rPr>
        <w:t>259.</w:t>
      </w:r>
      <w:r w:rsidR="004E090E" w:rsidRPr="00BA6590">
        <w:rPr>
          <w:lang w:val="en-GB"/>
        </w:rPr>
        <w:tab/>
      </w:r>
      <w:r w:rsidR="00B3184F" w:rsidRPr="00BA6590">
        <w:rPr>
          <w:lang w:val="en-GB"/>
        </w:rPr>
        <w:t xml:space="preserve">In the case of the Roma people, it was decided that the problem should be tackled as part of the general policy, and the </w:t>
      </w:r>
      <w:r w:rsidR="00F86CC2" w:rsidRPr="00BA6590">
        <w:rPr>
          <w:lang w:val="en-GB"/>
        </w:rPr>
        <w:t>Flemish Job-seekers</w:t>
      </w:r>
      <w:r w:rsidR="00A216FB" w:rsidRPr="00BA6590">
        <w:rPr>
          <w:lang w:val="en-GB"/>
        </w:rPr>
        <w:t>’</w:t>
      </w:r>
      <w:r w:rsidR="00F86CC2" w:rsidRPr="00BA6590">
        <w:rPr>
          <w:lang w:val="en-GB"/>
        </w:rPr>
        <w:t xml:space="preserve"> Service</w:t>
      </w:r>
      <w:r w:rsidR="00B3184F" w:rsidRPr="00BA6590">
        <w:rPr>
          <w:lang w:val="en-GB"/>
        </w:rPr>
        <w:t xml:space="preserve"> has developed a package of services for them:</w:t>
      </w:r>
    </w:p>
    <w:p w:rsidR="00E50B98" w:rsidRPr="00BA6590" w:rsidRDefault="00B3184F" w:rsidP="00BC3509">
      <w:pPr>
        <w:pStyle w:val="Bullet1G"/>
        <w:rPr>
          <w:lang w:val="en-GB"/>
        </w:rPr>
      </w:pPr>
      <w:r w:rsidRPr="00BA6590">
        <w:rPr>
          <w:lang w:val="en-GB"/>
        </w:rPr>
        <w:t>Roma workers having EU nationality</w:t>
      </w:r>
      <w:r w:rsidR="00CC0348" w:rsidRPr="00BA6590">
        <w:rPr>
          <w:lang w:val="en-GB"/>
        </w:rPr>
        <w:t xml:space="preserve">, except for Bulgarian and Romanian nationals (they are </w:t>
      </w:r>
      <w:r w:rsidR="00FB6226" w:rsidRPr="00BA6590">
        <w:rPr>
          <w:lang w:val="en-GB"/>
        </w:rPr>
        <w:t>most</w:t>
      </w:r>
      <w:r w:rsidR="00CC0348" w:rsidRPr="00BA6590">
        <w:rPr>
          <w:lang w:val="en-GB"/>
        </w:rPr>
        <w:t xml:space="preserve">ly Slovak nationals), are encouraged to </w:t>
      </w:r>
      <w:r w:rsidR="00454A0D" w:rsidRPr="00BA6590">
        <w:rPr>
          <w:lang w:val="en-GB"/>
        </w:rPr>
        <w:t>seek</w:t>
      </w:r>
      <w:r w:rsidR="007E2670" w:rsidRPr="00BA6590">
        <w:rPr>
          <w:lang w:val="en-GB"/>
        </w:rPr>
        <w:t xml:space="preserve"> employment or undergo training.</w:t>
      </w:r>
    </w:p>
    <w:p w:rsidR="00E50B98" w:rsidRPr="00BA6590" w:rsidRDefault="00454A0D" w:rsidP="00AF500C">
      <w:pPr>
        <w:pStyle w:val="Bullet1G"/>
        <w:rPr>
          <w:lang w:val="en-GB"/>
        </w:rPr>
      </w:pPr>
      <w:r w:rsidRPr="00BA6590">
        <w:rPr>
          <w:lang w:val="en-GB"/>
        </w:rPr>
        <w:t xml:space="preserve"> For Roma having Bulgarian and Romanian nationality, the </w:t>
      </w:r>
      <w:r w:rsidR="00F86CC2" w:rsidRPr="00BA6590">
        <w:rPr>
          <w:lang w:val="en-GB"/>
        </w:rPr>
        <w:t>Flemish Job-seekers</w:t>
      </w:r>
      <w:r w:rsidR="00A216FB" w:rsidRPr="00BA6590">
        <w:rPr>
          <w:lang w:val="en-GB"/>
        </w:rPr>
        <w:t>’</w:t>
      </w:r>
      <w:r w:rsidR="00F86CC2" w:rsidRPr="00BA6590">
        <w:rPr>
          <w:lang w:val="en-GB"/>
        </w:rPr>
        <w:t xml:space="preserve"> Service</w:t>
      </w:r>
      <w:r w:rsidRPr="00BA6590">
        <w:rPr>
          <w:lang w:val="en-GB"/>
        </w:rPr>
        <w:t xml:space="preserve"> currently offers basic ser</w:t>
      </w:r>
      <w:r w:rsidR="00816F73" w:rsidRPr="00BA6590">
        <w:rPr>
          <w:lang w:val="en-GB"/>
        </w:rPr>
        <w:t>vices in the form of information</w:t>
      </w:r>
      <w:r w:rsidRPr="00BA6590">
        <w:rPr>
          <w:lang w:val="en-GB"/>
        </w:rPr>
        <w:t xml:space="preserve"> meetings, in addition to registration and </w:t>
      </w:r>
      <w:r w:rsidR="00E167BD" w:rsidRPr="00BA6590">
        <w:rPr>
          <w:lang w:val="en-GB"/>
        </w:rPr>
        <w:t xml:space="preserve">mediation towards trades that are in demand in the labour market. Since contacting the </w:t>
      </w:r>
      <w:r w:rsidR="00F86CC2" w:rsidRPr="00BA6590">
        <w:rPr>
          <w:lang w:val="en-GB"/>
        </w:rPr>
        <w:t>Flemish Job-seekers</w:t>
      </w:r>
      <w:r w:rsidR="00A216FB" w:rsidRPr="00BA6590">
        <w:rPr>
          <w:lang w:val="en-GB"/>
        </w:rPr>
        <w:t>’</w:t>
      </w:r>
      <w:r w:rsidR="00F86CC2" w:rsidRPr="00BA6590">
        <w:rPr>
          <w:lang w:val="en-GB"/>
        </w:rPr>
        <w:t xml:space="preserve"> Service</w:t>
      </w:r>
      <w:r w:rsidR="00E167BD" w:rsidRPr="00BA6590">
        <w:rPr>
          <w:lang w:val="en-GB"/>
        </w:rPr>
        <w:t xml:space="preserve"> is a very difficult procedure for many Roma, the Service has launched a pilot project which involves anticipating their need</w:t>
      </w:r>
      <w:r w:rsidR="005E69EC" w:rsidRPr="00BA6590">
        <w:rPr>
          <w:lang w:val="en-GB"/>
        </w:rPr>
        <w:t>s</w:t>
      </w:r>
      <w:r w:rsidR="00E167BD" w:rsidRPr="00BA6590">
        <w:rPr>
          <w:lang w:val="en-GB"/>
        </w:rPr>
        <w:t xml:space="preserve"> and visiting them for information meetings. </w:t>
      </w:r>
    </w:p>
    <w:p w:rsidR="00E50B98" w:rsidRPr="00BA6590" w:rsidRDefault="00E50B98" w:rsidP="0026592D">
      <w:pPr>
        <w:pStyle w:val="SingleTxtG"/>
        <w:rPr>
          <w:lang w:val="en-GB"/>
        </w:rPr>
      </w:pPr>
      <w:r w:rsidRPr="00BA6590">
        <w:rPr>
          <w:lang w:val="en-GB"/>
        </w:rPr>
        <w:t>260.</w:t>
      </w:r>
      <w:r w:rsidRPr="00BA6590">
        <w:rPr>
          <w:lang w:val="en-GB"/>
        </w:rPr>
        <w:tab/>
      </w:r>
      <w:r w:rsidR="006A2E29" w:rsidRPr="00BA6590">
        <w:rPr>
          <w:lang w:val="en-GB"/>
        </w:rPr>
        <w:t xml:space="preserve">At the </w:t>
      </w:r>
      <w:r w:rsidR="00F86CC2" w:rsidRPr="00BA6590">
        <w:rPr>
          <w:lang w:val="en-GB"/>
        </w:rPr>
        <w:t>Flemish Job-seekers</w:t>
      </w:r>
      <w:r w:rsidR="00A216FB" w:rsidRPr="00BA6590">
        <w:rPr>
          <w:lang w:val="en-GB"/>
        </w:rPr>
        <w:t>’</w:t>
      </w:r>
      <w:r w:rsidR="00F86CC2" w:rsidRPr="00BA6590">
        <w:rPr>
          <w:lang w:val="en-GB"/>
        </w:rPr>
        <w:t xml:space="preserve"> Service</w:t>
      </w:r>
      <w:r w:rsidRPr="00BA6590">
        <w:rPr>
          <w:lang w:val="en-GB"/>
        </w:rPr>
        <w:t xml:space="preserve">, </w:t>
      </w:r>
      <w:r w:rsidR="006A2E29" w:rsidRPr="00BA6590">
        <w:rPr>
          <w:lang w:val="en-GB"/>
        </w:rPr>
        <w:t>th</w:t>
      </w:r>
      <w:r w:rsidR="005E69EC" w:rsidRPr="00BA6590">
        <w:rPr>
          <w:lang w:val="en-GB"/>
        </w:rPr>
        <w:t>e Roma are sometimes placed in</w:t>
      </w:r>
      <w:r w:rsidR="006A2E29" w:rsidRPr="00BA6590">
        <w:rPr>
          <w:lang w:val="en-GB"/>
        </w:rPr>
        <w:t xml:space="preserve"> general groups, but more often into experimental courses targeting at-risk (vulnerable) groups such as the Poverty course. Many Roma have very little schooling and sometimes find it difficult to </w:t>
      </w:r>
      <w:r w:rsidR="00A216FB" w:rsidRPr="00BA6590">
        <w:rPr>
          <w:lang w:val="en-GB"/>
        </w:rPr>
        <w:t>“</w:t>
      </w:r>
      <w:r w:rsidR="006A2E29" w:rsidRPr="00BA6590">
        <w:rPr>
          <w:lang w:val="en-GB"/>
        </w:rPr>
        <w:t>learn</w:t>
      </w:r>
      <w:r w:rsidR="00F829BE" w:rsidRPr="00BA6590">
        <w:rPr>
          <w:lang w:val="en-GB"/>
        </w:rPr>
        <w:t xml:space="preserve"> how</w:t>
      </w:r>
      <w:r w:rsidR="006A2E29" w:rsidRPr="00BA6590">
        <w:rPr>
          <w:lang w:val="en-GB"/>
        </w:rPr>
        <w:t xml:space="preserve"> to learn</w:t>
      </w:r>
      <w:r w:rsidR="00A216FB" w:rsidRPr="00BA6590">
        <w:rPr>
          <w:lang w:val="en-GB"/>
        </w:rPr>
        <w:t>”</w:t>
      </w:r>
      <w:r w:rsidR="006A2E29" w:rsidRPr="00BA6590">
        <w:rPr>
          <w:lang w:val="en-GB"/>
        </w:rPr>
        <w:t xml:space="preserve">; they may know little of the Dutch language and many are practically illiterate. Some also have accessibility issues, are living in poverty and are faced with housing problems. </w:t>
      </w:r>
    </w:p>
    <w:p w:rsidR="00E50B98" w:rsidRPr="00BA6590" w:rsidRDefault="00E50B98" w:rsidP="00E50B98">
      <w:pPr>
        <w:pStyle w:val="SingleTxtG"/>
        <w:rPr>
          <w:lang w:val="en-GB"/>
        </w:rPr>
      </w:pPr>
      <w:r w:rsidRPr="00BA6590">
        <w:rPr>
          <w:lang w:val="en-GB"/>
        </w:rPr>
        <w:t>261.</w:t>
      </w:r>
      <w:r w:rsidRPr="00BA6590">
        <w:rPr>
          <w:lang w:val="en-GB"/>
        </w:rPr>
        <w:tab/>
      </w:r>
      <w:r w:rsidR="006A2E29" w:rsidRPr="00BA6590">
        <w:rPr>
          <w:lang w:val="en-GB"/>
        </w:rPr>
        <w:t>I</w:t>
      </w:r>
      <w:r w:rsidRPr="00BA6590">
        <w:rPr>
          <w:lang w:val="en-GB"/>
        </w:rPr>
        <w:t>n 2012,</w:t>
      </w:r>
      <w:r w:rsidR="00FB6226" w:rsidRPr="00BA6590">
        <w:rPr>
          <w:lang w:val="en-GB"/>
        </w:rPr>
        <w:t xml:space="preserve"> an integrated project in access to entrepreneurship will be developed for those who are seeking to integrate, focusing particularly on Central and Eastern European migrants (Roma). This will be a shared project involving the </w:t>
      </w:r>
      <w:r w:rsidR="00F86CC2" w:rsidRPr="00BA6590">
        <w:rPr>
          <w:lang w:val="en-GB"/>
        </w:rPr>
        <w:t>Flemish Job-seekers</w:t>
      </w:r>
      <w:r w:rsidR="00A216FB" w:rsidRPr="00BA6590">
        <w:rPr>
          <w:lang w:val="en-GB"/>
        </w:rPr>
        <w:t>’</w:t>
      </w:r>
      <w:r w:rsidR="00F86CC2" w:rsidRPr="00BA6590">
        <w:rPr>
          <w:lang w:val="en-GB"/>
        </w:rPr>
        <w:t xml:space="preserve"> Service</w:t>
      </w:r>
      <w:r w:rsidRPr="00BA6590">
        <w:rPr>
          <w:lang w:val="en-GB"/>
        </w:rPr>
        <w:t xml:space="preserve">, </w:t>
      </w:r>
      <w:r w:rsidR="00FB6226" w:rsidRPr="00BA6590">
        <w:rPr>
          <w:lang w:val="en-GB"/>
        </w:rPr>
        <w:t xml:space="preserve">Syntra and the Economy, Education and Civic Integration Departments, designed to inform Central and Eastern European migrants regarding regulations in the area of entrepreneurship and encourage them to participate in the project. </w:t>
      </w:r>
    </w:p>
    <w:p w:rsidR="00E50B98" w:rsidRPr="00BA6590" w:rsidRDefault="00E50B98" w:rsidP="00E50B98">
      <w:pPr>
        <w:pStyle w:val="SingleTxtG"/>
        <w:rPr>
          <w:lang w:val="en-GB"/>
        </w:rPr>
      </w:pPr>
      <w:r w:rsidRPr="00BA6590">
        <w:rPr>
          <w:lang w:val="en-GB"/>
        </w:rPr>
        <w:t>262.</w:t>
      </w:r>
      <w:r w:rsidRPr="00BA6590">
        <w:rPr>
          <w:lang w:val="en-GB"/>
        </w:rPr>
        <w:tab/>
      </w:r>
      <w:r w:rsidR="009D0755" w:rsidRPr="00BA6590">
        <w:rPr>
          <w:lang w:val="en-GB"/>
        </w:rPr>
        <w:t>In parallel with the integrated Roma policy, training and job placement activities targeting nomadic people (Roma</w:t>
      </w:r>
      <w:r w:rsidRPr="00BA6590">
        <w:rPr>
          <w:lang w:val="en-GB"/>
        </w:rPr>
        <w:t xml:space="preserve">, Sinti </w:t>
      </w:r>
      <w:r w:rsidR="009D0755" w:rsidRPr="00BA6590">
        <w:rPr>
          <w:lang w:val="en-GB"/>
        </w:rPr>
        <w:t>and Travellers</w:t>
      </w:r>
      <w:r w:rsidRPr="00BA6590">
        <w:rPr>
          <w:lang w:val="en-GB"/>
        </w:rPr>
        <w:t>)</w:t>
      </w:r>
      <w:r w:rsidR="009D0755" w:rsidRPr="00BA6590">
        <w:rPr>
          <w:lang w:val="en-GB"/>
        </w:rPr>
        <w:t xml:space="preserve"> were launched in </w:t>
      </w:r>
      <w:r w:rsidRPr="00BA6590">
        <w:rPr>
          <w:lang w:val="en-GB"/>
        </w:rPr>
        <w:t>2012,</w:t>
      </w:r>
      <w:r w:rsidR="009D0755" w:rsidRPr="00BA6590">
        <w:rPr>
          <w:lang w:val="en-GB"/>
        </w:rPr>
        <w:t xml:space="preserve"> with a particular focus on self-employed status. Access to training was facilitated. </w:t>
      </w:r>
    </w:p>
    <w:p w:rsidR="00E50B98" w:rsidRPr="00BA6590" w:rsidRDefault="00E50B98" w:rsidP="00E50B98">
      <w:pPr>
        <w:pStyle w:val="SingleTxtG"/>
        <w:rPr>
          <w:lang w:val="en-GB"/>
        </w:rPr>
      </w:pPr>
      <w:r w:rsidRPr="00BA6590">
        <w:rPr>
          <w:lang w:val="en-GB"/>
        </w:rPr>
        <w:t>263.</w:t>
      </w:r>
      <w:r w:rsidRPr="00BA6590">
        <w:rPr>
          <w:lang w:val="en-GB"/>
        </w:rPr>
        <w:tab/>
      </w:r>
      <w:r w:rsidR="004E2E83" w:rsidRPr="00BA6590">
        <w:rPr>
          <w:lang w:val="en-GB"/>
        </w:rPr>
        <w:t xml:space="preserve">The Action Plan to Combat Discrimination in Employment, adopted in early </w:t>
      </w:r>
      <w:r w:rsidRPr="00BA6590">
        <w:rPr>
          <w:lang w:val="en-GB"/>
        </w:rPr>
        <w:t>2008,</w:t>
      </w:r>
      <w:r w:rsidR="004E2E83" w:rsidRPr="00BA6590">
        <w:rPr>
          <w:lang w:val="en-GB"/>
        </w:rPr>
        <w:t xml:space="preserve"> enshrined the declarations of intent in relation to anti-discrimination measures signed on </w:t>
      </w:r>
      <w:r w:rsidRPr="00BA6590">
        <w:rPr>
          <w:lang w:val="en-GB"/>
        </w:rPr>
        <w:t xml:space="preserve">26 </w:t>
      </w:r>
      <w:r w:rsidR="003F5E21" w:rsidRPr="00BA6590">
        <w:rPr>
          <w:lang w:val="en-GB"/>
        </w:rPr>
        <w:t>October</w:t>
      </w:r>
      <w:r w:rsidRPr="00BA6590">
        <w:rPr>
          <w:lang w:val="en-GB"/>
        </w:rPr>
        <w:t xml:space="preserve"> 2007</w:t>
      </w:r>
      <w:r w:rsidR="004E2E83" w:rsidRPr="00BA6590">
        <w:rPr>
          <w:lang w:val="en-GB"/>
        </w:rPr>
        <w:t xml:space="preserve"> by intermediaries in the labour market, organizations of at-risk groups and social partners. The Plan is based on four activities: </w:t>
      </w:r>
    </w:p>
    <w:p w:rsidR="00E50B98" w:rsidRPr="00BA6590" w:rsidRDefault="004E2E83" w:rsidP="0026592D">
      <w:pPr>
        <w:pStyle w:val="Bullet1G"/>
        <w:rPr>
          <w:lang w:val="en-GB"/>
        </w:rPr>
      </w:pPr>
      <w:r w:rsidRPr="00BA6590">
        <w:rPr>
          <w:lang w:val="en-GB"/>
        </w:rPr>
        <w:t>Emphasizing the comple</w:t>
      </w:r>
      <w:r w:rsidR="00D41C4D" w:rsidRPr="00BA6590">
        <w:rPr>
          <w:lang w:val="en-GB"/>
        </w:rPr>
        <w:t>me</w:t>
      </w:r>
      <w:r w:rsidRPr="00BA6590">
        <w:rPr>
          <w:lang w:val="en-GB"/>
        </w:rPr>
        <w:t xml:space="preserve">ntarity of diversity and anti-discrimination measures, in response to the dual goals contained in the Decree of </w:t>
      </w:r>
      <w:r w:rsidR="00E50B98" w:rsidRPr="00BA6590">
        <w:rPr>
          <w:lang w:val="en-GB"/>
        </w:rPr>
        <w:t xml:space="preserve">8 </w:t>
      </w:r>
      <w:r w:rsidR="003F5E21" w:rsidRPr="00BA6590">
        <w:rPr>
          <w:lang w:val="en-GB"/>
        </w:rPr>
        <w:t>May</w:t>
      </w:r>
      <w:r w:rsidR="00E50B98" w:rsidRPr="00BA6590">
        <w:rPr>
          <w:lang w:val="en-GB"/>
        </w:rPr>
        <w:t xml:space="preserve"> 2002</w:t>
      </w:r>
      <w:r w:rsidRPr="00BA6590">
        <w:rPr>
          <w:lang w:val="en-GB"/>
        </w:rPr>
        <w:t xml:space="preserve"> on </w:t>
      </w:r>
      <w:r w:rsidR="00095B14" w:rsidRPr="00BA6590">
        <w:rPr>
          <w:lang w:val="en-GB"/>
        </w:rPr>
        <w:t>proportionate participation</w:t>
      </w:r>
      <w:r w:rsidRPr="00BA6590">
        <w:rPr>
          <w:lang w:val="en-GB"/>
        </w:rPr>
        <w:t xml:space="preserve"> in the labour market, which particularly focuses on the principles of equal treatment and proportionate representation</w:t>
      </w:r>
      <w:r w:rsidR="0026592D" w:rsidRPr="00BA6590">
        <w:rPr>
          <w:rFonts w:eastAsia="SimSun"/>
          <w:lang w:val="en-GB"/>
        </w:rPr>
        <w:t>;</w:t>
      </w:r>
    </w:p>
    <w:p w:rsidR="00E50B98" w:rsidRPr="00BA6590" w:rsidRDefault="004E2E83" w:rsidP="00AF500C">
      <w:pPr>
        <w:pStyle w:val="Bullet1G"/>
        <w:rPr>
          <w:lang w:val="en-GB"/>
        </w:rPr>
      </w:pPr>
      <w:r w:rsidRPr="00BA6590">
        <w:rPr>
          <w:lang w:val="en-GB"/>
        </w:rPr>
        <w:t>The recording, processing and submission of reports and complaint</w:t>
      </w:r>
      <w:r w:rsidR="00E50B98" w:rsidRPr="00BA6590">
        <w:rPr>
          <w:lang w:val="en-GB"/>
        </w:rPr>
        <w:t xml:space="preserve">s </w:t>
      </w:r>
      <w:r w:rsidRPr="00BA6590">
        <w:rPr>
          <w:lang w:val="en-GB"/>
        </w:rPr>
        <w:t>relating to</w:t>
      </w:r>
      <w:r w:rsidR="00E50B98" w:rsidRPr="00BA6590">
        <w:rPr>
          <w:lang w:val="en-GB"/>
        </w:rPr>
        <w:t xml:space="preserve"> </w:t>
      </w:r>
      <w:r w:rsidRPr="00BA6590">
        <w:rPr>
          <w:lang w:val="en-GB"/>
        </w:rPr>
        <w:t xml:space="preserve">work-related </w:t>
      </w:r>
      <w:r w:rsidR="00E50B98" w:rsidRPr="00BA6590">
        <w:rPr>
          <w:lang w:val="en-GB"/>
        </w:rPr>
        <w:t>discrimination</w:t>
      </w:r>
      <w:r w:rsidR="0026592D" w:rsidRPr="00BA6590">
        <w:rPr>
          <w:rFonts w:eastAsia="SimSun"/>
          <w:lang w:val="en-GB"/>
        </w:rPr>
        <w:t>;</w:t>
      </w:r>
    </w:p>
    <w:p w:rsidR="00E50B98" w:rsidRPr="00BA6590" w:rsidRDefault="004E2E83" w:rsidP="00AF500C">
      <w:pPr>
        <w:pStyle w:val="Bullet1G"/>
        <w:rPr>
          <w:lang w:val="en-GB"/>
        </w:rPr>
      </w:pPr>
      <w:r w:rsidRPr="00BA6590">
        <w:rPr>
          <w:lang w:val="en-GB"/>
        </w:rPr>
        <w:t xml:space="preserve">Monitoring and examining the phenomenon of </w:t>
      </w:r>
      <w:r w:rsidR="00E50B98" w:rsidRPr="00BA6590">
        <w:rPr>
          <w:lang w:val="en-GB"/>
        </w:rPr>
        <w:t>discrimination</w:t>
      </w:r>
      <w:r w:rsidRPr="00BA6590">
        <w:rPr>
          <w:lang w:val="en-GB"/>
        </w:rPr>
        <w:t xml:space="preserve"> in the labour market</w:t>
      </w:r>
      <w:r w:rsidR="0026592D" w:rsidRPr="00BA6590">
        <w:rPr>
          <w:rFonts w:eastAsia="SimSun"/>
          <w:lang w:val="en-GB"/>
        </w:rPr>
        <w:t>;</w:t>
      </w:r>
    </w:p>
    <w:p w:rsidR="00E50B98" w:rsidRPr="00BA6590" w:rsidRDefault="007541D6" w:rsidP="00AF500C">
      <w:pPr>
        <w:pStyle w:val="Bullet1G"/>
        <w:rPr>
          <w:lang w:val="en-GB"/>
        </w:rPr>
      </w:pPr>
      <w:r w:rsidRPr="00BA6590">
        <w:rPr>
          <w:lang w:val="en-GB"/>
        </w:rPr>
        <w:t>Training and sharing of know-how in the area of discrimination</w:t>
      </w:r>
      <w:r w:rsidR="00E50B98" w:rsidRPr="00BA6590">
        <w:rPr>
          <w:lang w:val="en-GB"/>
        </w:rPr>
        <w:t>.</w:t>
      </w:r>
    </w:p>
    <w:p w:rsidR="00E50B98" w:rsidRPr="00BA6590" w:rsidRDefault="00E50B98" w:rsidP="00E50B98">
      <w:pPr>
        <w:pStyle w:val="SingleTxtG"/>
        <w:rPr>
          <w:lang w:val="en-GB"/>
        </w:rPr>
      </w:pPr>
      <w:r w:rsidRPr="00BA6590">
        <w:rPr>
          <w:lang w:val="en-GB"/>
        </w:rPr>
        <w:t>264.</w:t>
      </w:r>
      <w:r w:rsidRPr="00BA6590">
        <w:rPr>
          <w:lang w:val="en-GB"/>
        </w:rPr>
        <w:tab/>
      </w:r>
      <w:r w:rsidR="007541D6" w:rsidRPr="00BA6590">
        <w:rPr>
          <w:lang w:val="en-GB"/>
        </w:rPr>
        <w:t xml:space="preserve">In the formulation and implementation of activities, emphasis was placed on maximum harmonization with the Flemish decree on equality of opportunities and treatment and federal </w:t>
      </w:r>
      <w:r w:rsidRPr="00BA6590">
        <w:rPr>
          <w:lang w:val="en-GB"/>
        </w:rPr>
        <w:t xml:space="preserve">anti-discrimination </w:t>
      </w:r>
      <w:r w:rsidR="007541D6" w:rsidRPr="00BA6590">
        <w:rPr>
          <w:lang w:val="en-GB"/>
        </w:rPr>
        <w:t>legislation</w:t>
      </w:r>
      <w:r w:rsidRPr="00BA6590">
        <w:rPr>
          <w:lang w:val="en-GB"/>
        </w:rPr>
        <w:t>.</w:t>
      </w:r>
    </w:p>
    <w:p w:rsidR="00E50B98" w:rsidRPr="00BA6590" w:rsidRDefault="00E50B98" w:rsidP="00E50B98">
      <w:pPr>
        <w:pStyle w:val="SingleTxtG"/>
        <w:rPr>
          <w:lang w:val="en-GB"/>
        </w:rPr>
      </w:pPr>
      <w:r w:rsidRPr="00BA6590">
        <w:rPr>
          <w:lang w:val="en-GB"/>
        </w:rPr>
        <w:t>265.</w:t>
      </w:r>
      <w:r w:rsidRPr="00BA6590">
        <w:rPr>
          <w:lang w:val="en-GB"/>
        </w:rPr>
        <w:tab/>
      </w:r>
      <w:r w:rsidR="007541D6" w:rsidRPr="00BA6590">
        <w:rPr>
          <w:lang w:val="en-GB"/>
        </w:rPr>
        <w:t xml:space="preserve">The implementation of the Action </w:t>
      </w:r>
      <w:r w:rsidRPr="00BA6590">
        <w:rPr>
          <w:lang w:val="en-GB"/>
        </w:rPr>
        <w:t>Plan</w:t>
      </w:r>
      <w:r w:rsidR="007541D6" w:rsidRPr="00BA6590">
        <w:rPr>
          <w:lang w:val="en-GB"/>
        </w:rPr>
        <w:t xml:space="preserve"> has seen a number of successful outcomes</w:t>
      </w:r>
      <w:r w:rsidRPr="00BA6590">
        <w:rPr>
          <w:lang w:val="en-GB"/>
        </w:rPr>
        <w:t>:</w:t>
      </w:r>
    </w:p>
    <w:p w:rsidR="00E50B98" w:rsidRPr="00BA6590" w:rsidRDefault="00611D27" w:rsidP="00AF500C">
      <w:pPr>
        <w:pStyle w:val="Bullet1G"/>
        <w:rPr>
          <w:lang w:val="en-GB"/>
        </w:rPr>
      </w:pPr>
      <w:r w:rsidRPr="00BA6590">
        <w:rPr>
          <w:lang w:val="en-GB"/>
        </w:rPr>
        <w:t>Completion of the electronic complaint form on the website</w:t>
      </w:r>
      <w:r w:rsidR="00E50B98" w:rsidRPr="00BA6590">
        <w:rPr>
          <w:lang w:val="en-GB"/>
        </w:rPr>
        <w:t xml:space="preserve"> werk.be</w:t>
      </w:r>
      <w:r w:rsidR="0026592D" w:rsidRPr="00BA6590">
        <w:rPr>
          <w:rFonts w:eastAsia="SimSun"/>
          <w:lang w:val="en-GB"/>
        </w:rPr>
        <w:t>;</w:t>
      </w:r>
    </w:p>
    <w:p w:rsidR="00E50B98" w:rsidRPr="00BA6590" w:rsidRDefault="00AE4E04" w:rsidP="00247A6E">
      <w:pPr>
        <w:pStyle w:val="Bullet1G"/>
        <w:rPr>
          <w:lang w:val="en-GB"/>
        </w:rPr>
      </w:pPr>
      <w:r w:rsidRPr="00BA6590">
        <w:rPr>
          <w:lang w:val="en-GB"/>
        </w:rPr>
        <w:t xml:space="preserve">Cooperation agreement of </w:t>
      </w:r>
      <w:r w:rsidR="00E50B98" w:rsidRPr="00BA6590">
        <w:rPr>
          <w:lang w:val="en-GB"/>
        </w:rPr>
        <w:t xml:space="preserve">5 </w:t>
      </w:r>
      <w:r w:rsidR="003F5E21" w:rsidRPr="00BA6590">
        <w:rPr>
          <w:lang w:val="en-GB"/>
        </w:rPr>
        <w:t>June</w:t>
      </w:r>
      <w:r w:rsidR="00E50B98" w:rsidRPr="00BA6590">
        <w:rPr>
          <w:lang w:val="en-GB"/>
        </w:rPr>
        <w:t xml:space="preserve"> 2009</w:t>
      </w:r>
      <w:r w:rsidRPr="00BA6590">
        <w:rPr>
          <w:lang w:val="en-GB"/>
        </w:rPr>
        <w:t xml:space="preserve"> between the </w:t>
      </w:r>
      <w:r w:rsidR="004B472D" w:rsidRPr="00BA6590">
        <w:rPr>
          <w:lang w:val="en-GB"/>
        </w:rPr>
        <w:t>Centre for Equal Opportunities and Action</w:t>
      </w:r>
      <w:r w:rsidRPr="00BA6590">
        <w:rPr>
          <w:lang w:val="en-GB"/>
        </w:rPr>
        <w:t xml:space="preserve"> to Combat Racism</w:t>
      </w:r>
      <w:r w:rsidR="00E50B98" w:rsidRPr="00BA6590">
        <w:rPr>
          <w:lang w:val="en-GB"/>
        </w:rPr>
        <w:t>,</w:t>
      </w:r>
      <w:r w:rsidRPr="00BA6590">
        <w:rPr>
          <w:lang w:val="en-GB"/>
        </w:rPr>
        <w:t xml:space="preserve"> </w:t>
      </w:r>
      <w:r w:rsidR="00247A6E" w:rsidRPr="00BA6590">
        <w:rPr>
          <w:lang w:val="en-GB"/>
        </w:rPr>
        <w:t>t</w:t>
      </w:r>
      <w:r w:rsidRPr="00BA6590">
        <w:rPr>
          <w:lang w:val="en-GB"/>
        </w:rPr>
        <w:t>he Equality Unit of</w:t>
      </w:r>
      <w:r w:rsidR="00247A6E" w:rsidRPr="00BA6590">
        <w:rPr>
          <w:lang w:val="en-GB"/>
        </w:rPr>
        <w:t xml:space="preserve"> the Department of General Government Policy </w:t>
      </w:r>
      <w:r w:rsidR="005E69EC" w:rsidRPr="00BA6590">
        <w:rPr>
          <w:lang w:val="en-GB"/>
        </w:rPr>
        <w:t>—</w:t>
      </w:r>
      <w:r w:rsidR="00961148" w:rsidRPr="00BA6590">
        <w:rPr>
          <w:lang w:val="en-GB"/>
        </w:rPr>
        <w:t xml:space="preserve"> </w:t>
      </w:r>
      <w:r w:rsidR="00247A6E" w:rsidRPr="00BA6590">
        <w:rPr>
          <w:lang w:val="en-GB"/>
        </w:rPr>
        <w:t>as spokesperson for the local discrimination focal points in major Flemish cities, see below</w:t>
      </w:r>
      <w:r w:rsidR="00961148" w:rsidRPr="00BA6590">
        <w:rPr>
          <w:lang w:val="en-GB"/>
        </w:rPr>
        <w:t xml:space="preserve"> </w:t>
      </w:r>
      <w:r w:rsidR="005E69EC" w:rsidRPr="00BA6590">
        <w:rPr>
          <w:lang w:val="en-GB"/>
        </w:rPr>
        <w:t>—</w:t>
      </w:r>
      <w:r w:rsidR="00247A6E" w:rsidRPr="00BA6590">
        <w:rPr>
          <w:lang w:val="en-GB"/>
        </w:rPr>
        <w:t xml:space="preserve"> and the Employment and Social Economy Inspectorate</w:t>
      </w:r>
      <w:r w:rsidR="0026592D" w:rsidRPr="00BA6590">
        <w:rPr>
          <w:rFonts w:eastAsia="SimSun"/>
          <w:lang w:val="en-GB"/>
        </w:rPr>
        <w:t>;</w:t>
      </w:r>
    </w:p>
    <w:p w:rsidR="00E50B98" w:rsidRPr="00BA6590" w:rsidRDefault="00247A6E" w:rsidP="00AF500C">
      <w:pPr>
        <w:pStyle w:val="Bullet1G"/>
        <w:rPr>
          <w:lang w:val="en-GB"/>
        </w:rPr>
      </w:pPr>
      <w:r w:rsidRPr="00BA6590">
        <w:rPr>
          <w:lang w:val="en-GB"/>
        </w:rPr>
        <w:t>On this basis, a consensus was reached as to what can be considered as a complaint or report</w:t>
      </w:r>
      <w:r w:rsidR="0026592D" w:rsidRPr="00BA6590">
        <w:rPr>
          <w:rFonts w:eastAsia="SimSun"/>
          <w:lang w:val="en-GB"/>
        </w:rPr>
        <w:t>;</w:t>
      </w:r>
    </w:p>
    <w:p w:rsidR="00E50B98" w:rsidRPr="00BA6590" w:rsidRDefault="00247A6E" w:rsidP="00BA355C">
      <w:pPr>
        <w:pStyle w:val="Bullet1G"/>
        <w:rPr>
          <w:lang w:val="en-GB"/>
        </w:rPr>
      </w:pPr>
      <w:r w:rsidRPr="00BA6590">
        <w:rPr>
          <w:lang w:val="en-GB"/>
        </w:rPr>
        <w:t xml:space="preserve">In some subregional areas, </w:t>
      </w:r>
      <w:r w:rsidR="008E7F0E" w:rsidRPr="00BA6590">
        <w:rPr>
          <w:lang w:val="en-GB"/>
        </w:rPr>
        <w:t xml:space="preserve">cooperation on </w:t>
      </w:r>
      <w:r w:rsidR="00A216FB" w:rsidRPr="00BA6590">
        <w:rPr>
          <w:lang w:val="en-GB"/>
        </w:rPr>
        <w:t>“</w:t>
      </w:r>
      <w:r w:rsidRPr="00BA6590">
        <w:rPr>
          <w:lang w:val="en-GB"/>
        </w:rPr>
        <w:t>non-discrimination</w:t>
      </w:r>
      <w:r w:rsidR="00A216FB" w:rsidRPr="00BA6590">
        <w:rPr>
          <w:lang w:val="en-GB"/>
        </w:rPr>
        <w:t>”</w:t>
      </w:r>
      <w:r w:rsidRPr="00BA6590">
        <w:rPr>
          <w:lang w:val="en-GB"/>
        </w:rPr>
        <w:t xml:space="preserve"> is functioning at local levels, involving all </w:t>
      </w:r>
      <w:r w:rsidR="003A719B" w:rsidRPr="00BA6590">
        <w:rPr>
          <w:lang w:val="en-GB"/>
        </w:rPr>
        <w:t>relevant</w:t>
      </w:r>
      <w:r w:rsidR="00B71103" w:rsidRPr="00BA6590">
        <w:rPr>
          <w:lang w:val="en-GB"/>
        </w:rPr>
        <w:t xml:space="preserve"> </w:t>
      </w:r>
      <w:r w:rsidRPr="00BA6590">
        <w:rPr>
          <w:lang w:val="en-GB"/>
        </w:rPr>
        <w:t>stakeholders</w:t>
      </w:r>
      <w:r w:rsidR="00B71103" w:rsidRPr="00BA6590">
        <w:rPr>
          <w:lang w:val="en-GB"/>
        </w:rPr>
        <w:t>;</w:t>
      </w:r>
    </w:p>
    <w:p w:rsidR="00E50B98" w:rsidRPr="00BA6590" w:rsidRDefault="009F2E31" w:rsidP="00BA355C">
      <w:pPr>
        <w:pStyle w:val="Bullet1G"/>
        <w:rPr>
          <w:lang w:val="en-GB"/>
        </w:rPr>
      </w:pPr>
      <w:r w:rsidRPr="00BA6590">
        <w:rPr>
          <w:lang w:val="en-GB"/>
        </w:rPr>
        <w:t xml:space="preserve">Internships and training courses relating to anti-discrimination laws and regulations have been organized for inspectors, </w:t>
      </w:r>
      <w:r w:rsidR="00A216FB" w:rsidRPr="00BA6590">
        <w:rPr>
          <w:lang w:val="en-GB"/>
        </w:rPr>
        <w:t>“</w:t>
      </w:r>
      <w:r w:rsidRPr="00BA6590">
        <w:rPr>
          <w:lang w:val="en-GB"/>
        </w:rPr>
        <w:t>diversity field workers</w:t>
      </w:r>
      <w:r w:rsidR="00A216FB" w:rsidRPr="00BA6590">
        <w:rPr>
          <w:lang w:val="en-GB"/>
        </w:rPr>
        <w:t>”</w:t>
      </w:r>
      <w:r w:rsidRPr="00BA6590">
        <w:rPr>
          <w:lang w:val="en-GB"/>
        </w:rPr>
        <w:t xml:space="preserve"> and consultants</w:t>
      </w:r>
      <w:r w:rsidR="0026592D" w:rsidRPr="00BA6590">
        <w:rPr>
          <w:rFonts w:eastAsia="SimSun"/>
          <w:lang w:val="en-GB"/>
        </w:rPr>
        <w:t>;</w:t>
      </w:r>
    </w:p>
    <w:p w:rsidR="00E50B98" w:rsidRPr="00BA6590" w:rsidRDefault="00F01752" w:rsidP="00AF500C">
      <w:pPr>
        <w:pStyle w:val="Bullet1G"/>
        <w:rPr>
          <w:lang w:val="en-GB"/>
        </w:rPr>
      </w:pPr>
      <w:r w:rsidRPr="00BA6590">
        <w:rPr>
          <w:lang w:val="en-GB"/>
        </w:rPr>
        <w:t>Regarding training in the policy for the promotion of proportionate participation and diversity in the labour market</w:t>
      </w:r>
      <w:r w:rsidR="00E50B98" w:rsidRPr="00BA6590">
        <w:rPr>
          <w:lang w:val="en-GB"/>
        </w:rPr>
        <w:t>,</w:t>
      </w:r>
      <w:r w:rsidRPr="00BA6590">
        <w:rPr>
          <w:lang w:val="en-GB"/>
        </w:rPr>
        <w:t xml:space="preserve"> a link has been established with anti-discrimination measures</w:t>
      </w:r>
      <w:r w:rsidR="0026592D" w:rsidRPr="00BA6590">
        <w:rPr>
          <w:rFonts w:eastAsia="SimSun"/>
          <w:lang w:val="en-GB"/>
        </w:rPr>
        <w:t>;</w:t>
      </w:r>
    </w:p>
    <w:p w:rsidR="00E50B98" w:rsidRPr="00BA6590" w:rsidRDefault="00F01752" w:rsidP="00AF500C">
      <w:pPr>
        <w:pStyle w:val="Bullet1G"/>
        <w:rPr>
          <w:lang w:val="en-GB"/>
        </w:rPr>
      </w:pPr>
      <w:r w:rsidRPr="00BA6590">
        <w:rPr>
          <w:lang w:val="en-GB"/>
        </w:rPr>
        <w:t xml:space="preserve">Greater attention has been given, particularly in diversity plans, to the prevention of indirect </w:t>
      </w:r>
      <w:r w:rsidR="009745DC" w:rsidRPr="00BA6590">
        <w:rPr>
          <w:lang w:val="en-GB"/>
        </w:rPr>
        <w:t>discrimination</w:t>
      </w:r>
      <w:r w:rsidRPr="00BA6590">
        <w:rPr>
          <w:lang w:val="en-GB"/>
        </w:rPr>
        <w:t>.</w:t>
      </w:r>
    </w:p>
    <w:p w:rsidR="00E50B98" w:rsidRPr="00BA6590" w:rsidRDefault="00E50B98" w:rsidP="00E50B98">
      <w:pPr>
        <w:pStyle w:val="SingleTxtG"/>
        <w:rPr>
          <w:lang w:val="en-GB"/>
        </w:rPr>
      </w:pPr>
      <w:r w:rsidRPr="00BA6590">
        <w:rPr>
          <w:lang w:val="en-GB"/>
        </w:rPr>
        <w:t>266.</w:t>
      </w:r>
      <w:r w:rsidRPr="00BA6590">
        <w:rPr>
          <w:lang w:val="en-GB"/>
        </w:rPr>
        <w:tab/>
      </w:r>
      <w:r w:rsidR="00077091" w:rsidRPr="00BA6590">
        <w:rPr>
          <w:lang w:val="en-GB"/>
        </w:rPr>
        <w:t xml:space="preserve">The evaluation of the Action Plan showed that it must continue to be updated. This was done between </w:t>
      </w:r>
      <w:r w:rsidR="003F5E21" w:rsidRPr="00BA6590">
        <w:rPr>
          <w:lang w:val="en-GB"/>
        </w:rPr>
        <w:t>December</w:t>
      </w:r>
      <w:r w:rsidR="00077091" w:rsidRPr="00BA6590">
        <w:rPr>
          <w:lang w:val="en-GB"/>
        </w:rPr>
        <w:t xml:space="preserve"> 2011 and</w:t>
      </w:r>
      <w:r w:rsidRPr="00BA6590">
        <w:rPr>
          <w:lang w:val="en-GB"/>
        </w:rPr>
        <w:t xml:space="preserve"> </w:t>
      </w:r>
      <w:r w:rsidR="003F5E21" w:rsidRPr="00BA6590">
        <w:rPr>
          <w:lang w:val="en-GB"/>
        </w:rPr>
        <w:t>June</w:t>
      </w:r>
      <w:r w:rsidRPr="00BA6590">
        <w:rPr>
          <w:lang w:val="en-GB"/>
        </w:rPr>
        <w:t xml:space="preserve"> 2012,</w:t>
      </w:r>
      <w:r w:rsidR="00077091" w:rsidRPr="00BA6590">
        <w:rPr>
          <w:lang w:val="en-GB"/>
        </w:rPr>
        <w:t xml:space="preserve"> in cooperation with all stakeholders: social partners, the various intermediaries in the labour market (voluntary, public-sector and private-sector mediation) and organizations of at-risk groups. Implementation of the updated Plan is expected to begin in</w:t>
      </w:r>
      <w:r w:rsidRPr="00BA6590">
        <w:rPr>
          <w:lang w:val="en-GB"/>
        </w:rPr>
        <w:t xml:space="preserve"> </w:t>
      </w:r>
      <w:r w:rsidR="003F5E21" w:rsidRPr="00BA6590">
        <w:rPr>
          <w:lang w:val="en-GB"/>
        </w:rPr>
        <w:t>July</w:t>
      </w:r>
      <w:r w:rsidRPr="00BA6590">
        <w:rPr>
          <w:lang w:val="en-GB"/>
        </w:rPr>
        <w:t xml:space="preserve"> 2012.</w:t>
      </w:r>
    </w:p>
    <w:p w:rsidR="00E50B98" w:rsidRPr="00BA6590" w:rsidRDefault="00AF500C" w:rsidP="00AF500C">
      <w:pPr>
        <w:pStyle w:val="H23G"/>
        <w:rPr>
          <w:lang w:val="en-GB"/>
        </w:rPr>
      </w:pPr>
      <w:r w:rsidRPr="00BA6590">
        <w:rPr>
          <w:lang w:val="en-GB"/>
        </w:rPr>
        <w:tab/>
      </w:r>
      <w:r w:rsidR="00E50B98" w:rsidRPr="00BA6590">
        <w:rPr>
          <w:lang w:val="en-GB"/>
        </w:rPr>
        <w:t>5</w:t>
      </w:r>
      <w:r w:rsidRPr="00BA6590">
        <w:rPr>
          <w:lang w:val="en-GB"/>
        </w:rPr>
        <w:t>.</w:t>
      </w:r>
      <w:r w:rsidRPr="00BA6590">
        <w:rPr>
          <w:lang w:val="en-GB"/>
        </w:rPr>
        <w:tab/>
      </w:r>
      <w:r w:rsidR="0069519B" w:rsidRPr="00BA6590">
        <w:rPr>
          <w:lang w:val="en-GB"/>
        </w:rPr>
        <w:t xml:space="preserve">Convictions for racial </w:t>
      </w:r>
      <w:r w:rsidR="00E50B98" w:rsidRPr="00BA6590">
        <w:rPr>
          <w:lang w:val="en-GB"/>
        </w:rPr>
        <w:t>discrimination</w:t>
      </w:r>
      <w:r w:rsidR="0069519B" w:rsidRPr="00BA6590">
        <w:rPr>
          <w:lang w:val="en-GB"/>
        </w:rPr>
        <w:t xml:space="preserve"> in employment</w:t>
      </w:r>
    </w:p>
    <w:p w:rsidR="00E50B98" w:rsidRPr="00BA6590" w:rsidRDefault="00E50B98" w:rsidP="00E50B98">
      <w:pPr>
        <w:pStyle w:val="SingleTxtG"/>
        <w:rPr>
          <w:lang w:val="en-GB"/>
        </w:rPr>
      </w:pPr>
      <w:r w:rsidRPr="00BA6590">
        <w:rPr>
          <w:lang w:val="en-GB"/>
        </w:rPr>
        <w:t>267.</w:t>
      </w:r>
      <w:r w:rsidRPr="00BA6590">
        <w:rPr>
          <w:lang w:val="en-GB"/>
        </w:rPr>
        <w:tab/>
      </w:r>
      <w:r w:rsidR="005E69EC" w:rsidRPr="00BA6590">
        <w:rPr>
          <w:lang w:val="en-GB"/>
        </w:rPr>
        <w:t>Of the v</w:t>
      </w:r>
      <w:r w:rsidR="0069519B" w:rsidRPr="00BA6590">
        <w:rPr>
          <w:lang w:val="en-GB"/>
        </w:rPr>
        <w:t>erdicts handed down during the period covered by the present report, the following two are noteworthy.</w:t>
      </w:r>
    </w:p>
    <w:p w:rsidR="00E50B98" w:rsidRPr="00BA6590" w:rsidRDefault="00E50B98" w:rsidP="00E50B98">
      <w:pPr>
        <w:pStyle w:val="SingleTxtG"/>
        <w:rPr>
          <w:lang w:val="en-GB"/>
        </w:rPr>
      </w:pPr>
      <w:r w:rsidRPr="00BA6590">
        <w:rPr>
          <w:lang w:val="en-GB"/>
        </w:rPr>
        <w:t>268.</w:t>
      </w:r>
      <w:r w:rsidRPr="00BA6590">
        <w:rPr>
          <w:lang w:val="en-GB"/>
        </w:rPr>
        <w:tab/>
      </w:r>
      <w:r w:rsidR="0069519B" w:rsidRPr="00BA6590">
        <w:rPr>
          <w:lang w:val="en-GB"/>
        </w:rPr>
        <w:t xml:space="preserve">On 26 March 2007, the Employment Tribunal of Ghent convicted a company working in the field of security of </w:t>
      </w:r>
      <w:r w:rsidR="00EB0ACD" w:rsidRPr="00BA6590">
        <w:rPr>
          <w:lang w:val="en-GB"/>
        </w:rPr>
        <w:t>direct discrimination</w:t>
      </w:r>
      <w:r w:rsidR="0069519B" w:rsidRPr="00BA6590">
        <w:rPr>
          <w:lang w:val="en-GB"/>
        </w:rPr>
        <w:t xml:space="preserve"> on grounds of ethnic origin. Its manager had e-mailed an employee, asking him to reject the job application of a Belgian national of Turkish origin, explaining that he had never seen a foreigner sell security equipment. </w:t>
      </w:r>
      <w:r w:rsidR="00FD7F80" w:rsidRPr="00BA6590">
        <w:rPr>
          <w:lang w:val="en-GB"/>
        </w:rPr>
        <w:t>To prevent any recurrence of such an incident, the court ordered the company to pay a fin</w:t>
      </w:r>
      <w:r w:rsidR="00B71103" w:rsidRPr="00BA6590">
        <w:rPr>
          <w:lang w:val="en-GB"/>
        </w:rPr>
        <w:t>ancial penalty</w:t>
      </w:r>
      <w:r w:rsidR="00FD7F80" w:rsidRPr="00BA6590">
        <w:rPr>
          <w:lang w:val="en-GB"/>
        </w:rPr>
        <w:t xml:space="preserve"> of €2,500. </w:t>
      </w:r>
    </w:p>
    <w:p w:rsidR="00E50B98" w:rsidRPr="00BA6590" w:rsidRDefault="00E50B98" w:rsidP="00E50B98">
      <w:pPr>
        <w:pStyle w:val="SingleTxtG"/>
        <w:rPr>
          <w:lang w:val="en-GB"/>
        </w:rPr>
      </w:pPr>
      <w:r w:rsidRPr="00BA6590">
        <w:rPr>
          <w:lang w:val="en-GB"/>
        </w:rPr>
        <w:t>269.</w:t>
      </w:r>
      <w:r w:rsidRPr="00BA6590">
        <w:rPr>
          <w:lang w:val="en-GB"/>
        </w:rPr>
        <w:tab/>
      </w:r>
      <w:r w:rsidR="00FD7F80" w:rsidRPr="00BA6590">
        <w:rPr>
          <w:lang w:val="en-GB"/>
        </w:rPr>
        <w:t>A garage-door installation company stated that it would not hire workers of foreign origin because its customers would prefer to deal only with workers of Belgian origin. Following a preliminary ruling</w:t>
      </w:r>
      <w:r w:rsidRPr="00BA6590">
        <w:rPr>
          <w:lang w:val="en-GB"/>
        </w:rPr>
        <w:t>,</w:t>
      </w:r>
      <w:r w:rsidR="00FD7F80" w:rsidRPr="00BA6590">
        <w:rPr>
          <w:lang w:val="en-GB"/>
        </w:rPr>
        <w:t xml:space="preserve"> the case was referred to the Court of Justice of the European Union, which ruled that an employer which publicly stated its intent not to hire workers of foreign origin was guilty of discrimination.</w:t>
      </w:r>
      <w:r w:rsidR="00A83BF1" w:rsidRPr="00BA6590">
        <w:rPr>
          <w:rStyle w:val="FootnoteReference"/>
          <w:lang w:val="en-GB"/>
        </w:rPr>
        <w:footnoteReference w:id="30"/>
      </w:r>
      <w:r w:rsidRPr="00BA6590">
        <w:rPr>
          <w:lang w:val="en-GB"/>
        </w:rPr>
        <w:t xml:space="preserve"> </w:t>
      </w:r>
      <w:r w:rsidR="00FD7F80" w:rsidRPr="00BA6590">
        <w:rPr>
          <w:lang w:val="en-GB"/>
        </w:rPr>
        <w:t xml:space="preserve">The Labour Tribunal of Brussels used the same reasoning in its decision of </w:t>
      </w:r>
      <w:r w:rsidRPr="00BA6590">
        <w:rPr>
          <w:lang w:val="en-GB"/>
        </w:rPr>
        <w:t xml:space="preserve">28 </w:t>
      </w:r>
      <w:r w:rsidR="003F5E21" w:rsidRPr="00BA6590">
        <w:rPr>
          <w:lang w:val="en-GB"/>
        </w:rPr>
        <w:t>August</w:t>
      </w:r>
      <w:r w:rsidRPr="00BA6590">
        <w:rPr>
          <w:lang w:val="en-GB"/>
        </w:rPr>
        <w:t xml:space="preserve"> 2009</w:t>
      </w:r>
      <w:r w:rsidR="00FD7F80" w:rsidRPr="00BA6590">
        <w:rPr>
          <w:lang w:val="en-GB"/>
        </w:rPr>
        <w:t xml:space="preserve">, ordering that the </w:t>
      </w:r>
      <w:r w:rsidRPr="00BA6590">
        <w:rPr>
          <w:lang w:val="en-GB"/>
        </w:rPr>
        <w:t>discrimination</w:t>
      </w:r>
      <w:r w:rsidR="00FD7F80" w:rsidRPr="00BA6590">
        <w:rPr>
          <w:lang w:val="en-GB"/>
        </w:rPr>
        <w:t xml:space="preserve"> should cease and that the verdict should be published in several daily newspapers.</w:t>
      </w:r>
      <w:r w:rsidR="001F3CAB" w:rsidRPr="00BA6590">
        <w:rPr>
          <w:lang w:val="en-GB"/>
        </w:rPr>
        <w:t xml:space="preserve"> </w:t>
      </w:r>
    </w:p>
    <w:p w:rsidR="00E50B98" w:rsidRPr="00BA6590" w:rsidRDefault="00BE2C48" w:rsidP="00BE2C48">
      <w:pPr>
        <w:pStyle w:val="H1G"/>
        <w:rPr>
          <w:lang w:val="en-GB"/>
        </w:rPr>
      </w:pPr>
      <w:r w:rsidRPr="00BA6590">
        <w:rPr>
          <w:lang w:val="en-GB"/>
        </w:rPr>
        <w:tab/>
      </w:r>
      <w:r w:rsidR="00E50B98" w:rsidRPr="00BA6590">
        <w:rPr>
          <w:lang w:val="en-GB"/>
        </w:rPr>
        <w:t>G.</w:t>
      </w:r>
      <w:r w:rsidR="00E50B98" w:rsidRPr="00BA6590">
        <w:rPr>
          <w:lang w:val="en-GB"/>
        </w:rPr>
        <w:tab/>
        <w:t xml:space="preserve">Non-discrimination </w:t>
      </w:r>
      <w:r w:rsidR="00F55CF4" w:rsidRPr="00BA6590">
        <w:rPr>
          <w:lang w:val="en-GB"/>
        </w:rPr>
        <w:t>in the exercise of the right to housing</w:t>
      </w:r>
    </w:p>
    <w:p w:rsidR="00E50B98" w:rsidRPr="00BA6590" w:rsidRDefault="00BE2C48" w:rsidP="00BE2C48">
      <w:pPr>
        <w:pStyle w:val="H23G"/>
        <w:rPr>
          <w:lang w:val="en-GB"/>
        </w:rPr>
      </w:pPr>
      <w:r w:rsidRPr="00BA6590">
        <w:rPr>
          <w:lang w:val="en-GB"/>
        </w:rPr>
        <w:tab/>
        <w:t>1.</w:t>
      </w:r>
      <w:r w:rsidRPr="00BA6590">
        <w:rPr>
          <w:lang w:val="en-GB"/>
        </w:rPr>
        <w:tab/>
      </w:r>
      <w:r w:rsidR="00B06588" w:rsidRPr="00BA6590">
        <w:rPr>
          <w:lang w:val="en-GB"/>
        </w:rPr>
        <w:t>Walloon Region</w:t>
      </w:r>
    </w:p>
    <w:p w:rsidR="00E50B98" w:rsidRPr="00BA6590" w:rsidRDefault="00E50B98" w:rsidP="00E50B98">
      <w:pPr>
        <w:pStyle w:val="SingleTxtG"/>
        <w:rPr>
          <w:lang w:val="en-GB"/>
        </w:rPr>
      </w:pPr>
      <w:r w:rsidRPr="00BA6590">
        <w:rPr>
          <w:lang w:val="en-GB"/>
        </w:rPr>
        <w:t>270.</w:t>
      </w:r>
      <w:r w:rsidRPr="00BA6590">
        <w:rPr>
          <w:lang w:val="en-GB"/>
        </w:rPr>
        <w:tab/>
      </w:r>
      <w:r w:rsidR="005E69EC" w:rsidRPr="00BA6590">
        <w:rPr>
          <w:lang w:val="en-GB"/>
        </w:rPr>
        <w:t>H</w:t>
      </w:r>
      <w:r w:rsidR="007D211C" w:rsidRPr="00BA6590">
        <w:rPr>
          <w:lang w:val="en-GB"/>
        </w:rPr>
        <w:t>ousing support measures in the Walloon region focus mainly on people with low incomes, regardless of their origin</w:t>
      </w:r>
      <w:r w:rsidRPr="00BA6590">
        <w:rPr>
          <w:lang w:val="en-GB"/>
        </w:rPr>
        <w:t>.</w:t>
      </w:r>
    </w:p>
    <w:p w:rsidR="00E50B98" w:rsidRPr="00BA6590" w:rsidRDefault="00E50B98" w:rsidP="00E50B98">
      <w:pPr>
        <w:pStyle w:val="SingleTxtG"/>
        <w:rPr>
          <w:lang w:val="en-GB"/>
        </w:rPr>
      </w:pPr>
      <w:r w:rsidRPr="00BA6590">
        <w:rPr>
          <w:lang w:val="en-GB"/>
        </w:rPr>
        <w:t>271.</w:t>
      </w:r>
      <w:r w:rsidRPr="00BA6590">
        <w:rPr>
          <w:lang w:val="en-GB"/>
        </w:rPr>
        <w:tab/>
      </w:r>
      <w:r w:rsidR="007D211C" w:rsidRPr="00BA6590">
        <w:rPr>
          <w:lang w:val="en-GB"/>
        </w:rPr>
        <w:t>In the social-housing sector, social support has become a priority, seeking to achieve, for example, people</w:t>
      </w:r>
      <w:r w:rsidR="00A216FB" w:rsidRPr="00BA6590">
        <w:rPr>
          <w:lang w:val="en-GB"/>
        </w:rPr>
        <w:t>’</w:t>
      </w:r>
      <w:r w:rsidR="007D211C" w:rsidRPr="00BA6590">
        <w:rPr>
          <w:lang w:val="en-GB"/>
        </w:rPr>
        <w:t xml:space="preserve">s harmonious integration into their housing and environment. Social mixing is also considered important. </w:t>
      </w:r>
    </w:p>
    <w:p w:rsidR="00E50B98" w:rsidRPr="00BA6590" w:rsidRDefault="00E50B98" w:rsidP="00E50B98">
      <w:pPr>
        <w:pStyle w:val="SingleTxtG"/>
        <w:rPr>
          <w:lang w:val="en-GB"/>
        </w:rPr>
      </w:pPr>
      <w:r w:rsidRPr="00BA6590">
        <w:rPr>
          <w:lang w:val="en-GB"/>
        </w:rPr>
        <w:t>272.</w:t>
      </w:r>
      <w:r w:rsidRPr="00BA6590">
        <w:rPr>
          <w:lang w:val="en-GB"/>
        </w:rPr>
        <w:tab/>
      </w:r>
      <w:r w:rsidR="007D211C" w:rsidRPr="00BA6590">
        <w:rPr>
          <w:lang w:val="en-GB"/>
        </w:rPr>
        <w:t xml:space="preserve">In the area of private-sector rentals, removal and rental allowances are an important way of lowering housing costs for those with very low incomes. Persons of foreign origin are overrepresented among the recipients of these allowances. </w:t>
      </w:r>
    </w:p>
    <w:p w:rsidR="00E50B98" w:rsidRPr="00BA6590" w:rsidRDefault="00E50B98" w:rsidP="00AA73C4">
      <w:pPr>
        <w:pStyle w:val="SingleTxtG"/>
        <w:rPr>
          <w:lang w:val="en-GB"/>
        </w:rPr>
      </w:pPr>
      <w:r w:rsidRPr="00BA6590">
        <w:rPr>
          <w:lang w:val="en-GB"/>
        </w:rPr>
        <w:t>273.</w:t>
      </w:r>
      <w:r w:rsidRPr="00BA6590">
        <w:rPr>
          <w:lang w:val="en-GB"/>
        </w:rPr>
        <w:tab/>
      </w:r>
      <w:r w:rsidR="0022124E" w:rsidRPr="00BA6590">
        <w:rPr>
          <w:lang w:val="en-GB"/>
        </w:rPr>
        <w:t xml:space="preserve">Ways of promoting access to property ownership for low-income families include loans to large families. Between </w:t>
      </w:r>
      <w:r w:rsidRPr="00BA6590">
        <w:rPr>
          <w:lang w:val="en-GB"/>
        </w:rPr>
        <w:t xml:space="preserve">2001 </w:t>
      </w:r>
      <w:r w:rsidR="0022124E" w:rsidRPr="00BA6590">
        <w:rPr>
          <w:lang w:val="en-GB"/>
        </w:rPr>
        <w:t>and</w:t>
      </w:r>
      <w:r w:rsidRPr="00BA6590">
        <w:rPr>
          <w:lang w:val="en-GB"/>
        </w:rPr>
        <w:t xml:space="preserve"> 2011,</w:t>
      </w:r>
      <w:r w:rsidR="0022124E" w:rsidRPr="00BA6590">
        <w:rPr>
          <w:lang w:val="en-GB"/>
        </w:rPr>
        <w:t xml:space="preserve"> the proportion of loans granted to families of foreign origin rose from </w:t>
      </w:r>
      <w:r w:rsidRPr="00BA6590">
        <w:rPr>
          <w:lang w:val="en-GB"/>
        </w:rPr>
        <w:t>16</w:t>
      </w:r>
      <w:r w:rsidR="0022124E" w:rsidRPr="00BA6590">
        <w:rPr>
          <w:lang w:val="en-GB"/>
        </w:rPr>
        <w:t>.</w:t>
      </w:r>
      <w:r w:rsidRPr="00BA6590">
        <w:rPr>
          <w:lang w:val="en-GB"/>
        </w:rPr>
        <w:t>7</w:t>
      </w:r>
      <w:r w:rsidR="00A86EE6" w:rsidRPr="00BA6590">
        <w:rPr>
          <w:lang w:val="en-GB"/>
        </w:rPr>
        <w:t xml:space="preserve"> per cent</w:t>
      </w:r>
      <w:r w:rsidRPr="00BA6590">
        <w:rPr>
          <w:lang w:val="en-GB"/>
        </w:rPr>
        <w:t xml:space="preserve"> </w:t>
      </w:r>
      <w:r w:rsidR="0022124E" w:rsidRPr="00BA6590">
        <w:rPr>
          <w:lang w:val="en-GB"/>
        </w:rPr>
        <w:t>to</w:t>
      </w:r>
      <w:r w:rsidRPr="00BA6590">
        <w:rPr>
          <w:lang w:val="en-GB"/>
        </w:rPr>
        <w:t xml:space="preserve"> 22</w:t>
      </w:r>
      <w:r w:rsidR="0022124E" w:rsidRPr="00BA6590">
        <w:rPr>
          <w:lang w:val="en-GB"/>
        </w:rPr>
        <w:t>.</w:t>
      </w:r>
      <w:r w:rsidRPr="00BA6590">
        <w:rPr>
          <w:lang w:val="en-GB"/>
        </w:rPr>
        <w:t>1</w:t>
      </w:r>
      <w:r w:rsidR="00A86EE6" w:rsidRPr="00BA6590">
        <w:rPr>
          <w:lang w:val="en-GB"/>
        </w:rPr>
        <w:t xml:space="preserve"> per cent</w:t>
      </w:r>
      <w:r w:rsidRPr="00BA6590">
        <w:rPr>
          <w:lang w:val="en-GB"/>
        </w:rPr>
        <w:t>.</w:t>
      </w:r>
    </w:p>
    <w:p w:rsidR="00E50B98" w:rsidRPr="00BA6590" w:rsidRDefault="00E50B98" w:rsidP="00E50B98">
      <w:pPr>
        <w:pStyle w:val="SingleTxtG"/>
        <w:rPr>
          <w:lang w:val="en-GB"/>
        </w:rPr>
      </w:pPr>
      <w:r w:rsidRPr="00BA6590">
        <w:rPr>
          <w:lang w:val="en-GB"/>
        </w:rPr>
        <w:t>274.</w:t>
      </w:r>
      <w:r w:rsidRPr="00BA6590">
        <w:rPr>
          <w:lang w:val="en-GB"/>
        </w:rPr>
        <w:tab/>
      </w:r>
      <w:r w:rsidR="0022124E" w:rsidRPr="00BA6590">
        <w:rPr>
          <w:lang w:val="en-GB"/>
        </w:rPr>
        <w:t xml:space="preserve">A variety of measures have been adopted to improve the reception of Travellers in the Walloon region </w:t>
      </w:r>
      <w:r w:rsidRPr="00BA6590">
        <w:rPr>
          <w:lang w:val="en-GB"/>
        </w:rPr>
        <w:t>(</w:t>
      </w:r>
      <w:r w:rsidR="0022124E" w:rsidRPr="00BA6590">
        <w:rPr>
          <w:lang w:val="en-GB"/>
        </w:rPr>
        <w:t>see above, under a</w:t>
      </w:r>
      <w:r w:rsidRPr="00BA6590">
        <w:rPr>
          <w:lang w:val="en-GB"/>
        </w:rPr>
        <w:t>rticle 2).</w:t>
      </w:r>
    </w:p>
    <w:p w:rsidR="00E50B98" w:rsidRPr="00BA6590" w:rsidRDefault="00BE2C48" w:rsidP="00BE2C48">
      <w:pPr>
        <w:pStyle w:val="H23G"/>
        <w:rPr>
          <w:lang w:val="en-GB"/>
        </w:rPr>
      </w:pPr>
      <w:r w:rsidRPr="00BA6590">
        <w:rPr>
          <w:lang w:val="en-GB"/>
        </w:rPr>
        <w:tab/>
      </w:r>
      <w:r w:rsidR="00E50B98" w:rsidRPr="00BA6590">
        <w:rPr>
          <w:lang w:val="en-GB"/>
        </w:rPr>
        <w:t>2</w:t>
      </w:r>
      <w:r w:rsidRPr="00BA6590">
        <w:rPr>
          <w:lang w:val="en-GB"/>
        </w:rPr>
        <w:t>.</w:t>
      </w:r>
      <w:r w:rsidRPr="00BA6590">
        <w:rPr>
          <w:lang w:val="en-GB"/>
        </w:rPr>
        <w:tab/>
      </w:r>
      <w:r w:rsidR="0022124E" w:rsidRPr="00BA6590">
        <w:rPr>
          <w:lang w:val="en-GB"/>
        </w:rPr>
        <w:t>Brussels-Capital Reg</w:t>
      </w:r>
      <w:r w:rsidR="00E50B98" w:rsidRPr="00BA6590">
        <w:rPr>
          <w:lang w:val="en-GB"/>
        </w:rPr>
        <w:t>ion</w:t>
      </w:r>
    </w:p>
    <w:p w:rsidR="00E50B98" w:rsidRPr="00BA6590" w:rsidRDefault="00E50B98" w:rsidP="00E50B98">
      <w:pPr>
        <w:pStyle w:val="SingleTxtG"/>
        <w:rPr>
          <w:lang w:val="en-GB"/>
        </w:rPr>
      </w:pPr>
      <w:r w:rsidRPr="00BA6590">
        <w:rPr>
          <w:lang w:val="en-GB"/>
        </w:rPr>
        <w:t>275.</w:t>
      </w:r>
      <w:r w:rsidRPr="00BA6590">
        <w:rPr>
          <w:lang w:val="en-GB"/>
        </w:rPr>
        <w:tab/>
      </w:r>
      <w:r w:rsidR="00911502" w:rsidRPr="00BA6590">
        <w:rPr>
          <w:lang w:val="en-GB"/>
        </w:rPr>
        <w:t xml:space="preserve">The reception of Travellers is a priority issue within the Regional Development Plan of the </w:t>
      </w:r>
      <w:r w:rsidR="00F21548" w:rsidRPr="00BA6590">
        <w:rPr>
          <w:lang w:val="en-GB"/>
        </w:rPr>
        <w:t>government</w:t>
      </w:r>
      <w:r w:rsidR="00911502" w:rsidRPr="00BA6590">
        <w:rPr>
          <w:lang w:val="en-GB"/>
        </w:rPr>
        <w:t xml:space="preserve"> of the Brussels-Capital Region</w:t>
      </w:r>
      <w:r w:rsidRPr="00BA6590">
        <w:rPr>
          <w:lang w:val="en-GB"/>
        </w:rPr>
        <w:t xml:space="preserve"> </w:t>
      </w:r>
      <w:r w:rsidR="00911502" w:rsidRPr="00BA6590">
        <w:rPr>
          <w:lang w:val="en-GB"/>
        </w:rPr>
        <w:t>(see above, under article 2).</w:t>
      </w:r>
    </w:p>
    <w:p w:rsidR="00E50B98" w:rsidRPr="00BA6590" w:rsidRDefault="00E50B98" w:rsidP="00E50B98">
      <w:pPr>
        <w:pStyle w:val="SingleTxtG"/>
        <w:rPr>
          <w:lang w:val="en-GB"/>
        </w:rPr>
      </w:pPr>
      <w:r w:rsidRPr="00BA6590">
        <w:rPr>
          <w:lang w:val="en-GB"/>
        </w:rPr>
        <w:t>276.</w:t>
      </w:r>
      <w:r w:rsidRPr="00BA6590">
        <w:rPr>
          <w:lang w:val="en-GB"/>
        </w:rPr>
        <w:tab/>
      </w:r>
      <w:r w:rsidR="00911502" w:rsidRPr="00BA6590">
        <w:rPr>
          <w:lang w:val="en-GB"/>
        </w:rPr>
        <w:t>Measures to facilitate housing access for vulnerable households are essentially based on income criteria in order to avoid any phenomenon of spatial segregation based on ethnic origin. Social mixing also receives particular attention</w:t>
      </w:r>
      <w:r w:rsidR="000364CF" w:rsidRPr="00BA6590">
        <w:rPr>
          <w:lang w:val="en-GB"/>
        </w:rPr>
        <w:t xml:space="preserve"> in the implementation of housing plans, ensuring that social-housing rentals, rented property for middle-income households and private homes are located close together. This concern for social mixing</w:t>
      </w:r>
      <w:r w:rsidRPr="00BA6590">
        <w:rPr>
          <w:lang w:val="en-GB"/>
        </w:rPr>
        <w:t xml:space="preserve"> (</w:t>
      </w:r>
      <w:r w:rsidR="000364CF" w:rsidRPr="00BA6590">
        <w:rPr>
          <w:lang w:val="en-GB"/>
        </w:rPr>
        <w:t>of income levels, cultures and generations</w:t>
      </w:r>
      <w:r w:rsidRPr="00BA6590">
        <w:rPr>
          <w:lang w:val="en-GB"/>
        </w:rPr>
        <w:t>)</w:t>
      </w:r>
      <w:r w:rsidR="000364CF" w:rsidRPr="00BA6590">
        <w:rPr>
          <w:lang w:val="en-GB"/>
        </w:rPr>
        <w:t xml:space="preserve"> is the third priority in the Regional Development Plan. </w:t>
      </w:r>
    </w:p>
    <w:p w:rsidR="00E50B98" w:rsidRPr="00BA6590" w:rsidRDefault="00BE2C48" w:rsidP="00BE2C48">
      <w:pPr>
        <w:pStyle w:val="H23G"/>
        <w:rPr>
          <w:lang w:val="en-GB"/>
        </w:rPr>
      </w:pPr>
      <w:r w:rsidRPr="00BA6590">
        <w:rPr>
          <w:lang w:val="en-GB"/>
        </w:rPr>
        <w:tab/>
      </w:r>
      <w:r w:rsidR="00E50B98" w:rsidRPr="00BA6590">
        <w:rPr>
          <w:lang w:val="en-GB"/>
        </w:rPr>
        <w:t>3</w:t>
      </w:r>
      <w:r w:rsidRPr="00BA6590">
        <w:rPr>
          <w:lang w:val="en-GB"/>
        </w:rPr>
        <w:t>.</w:t>
      </w:r>
      <w:r w:rsidRPr="00BA6590">
        <w:rPr>
          <w:lang w:val="en-GB"/>
        </w:rPr>
        <w:tab/>
      </w:r>
      <w:r w:rsidR="000364CF" w:rsidRPr="00BA6590">
        <w:rPr>
          <w:lang w:val="en-GB"/>
        </w:rPr>
        <w:t xml:space="preserve">Flemish </w:t>
      </w:r>
      <w:r w:rsidR="00E50B98" w:rsidRPr="00BA6590">
        <w:rPr>
          <w:lang w:val="en-GB"/>
        </w:rPr>
        <w:t>Commun</w:t>
      </w:r>
      <w:r w:rsidR="000364CF" w:rsidRPr="00BA6590">
        <w:rPr>
          <w:lang w:val="en-GB"/>
        </w:rPr>
        <w:t>ity</w:t>
      </w:r>
    </w:p>
    <w:p w:rsidR="00E50B98" w:rsidRPr="00BA6590" w:rsidRDefault="00E50B98" w:rsidP="00E50B98">
      <w:pPr>
        <w:pStyle w:val="SingleTxtG"/>
        <w:rPr>
          <w:lang w:val="en-GB"/>
        </w:rPr>
      </w:pPr>
      <w:r w:rsidRPr="00BA6590">
        <w:rPr>
          <w:lang w:val="en-GB"/>
        </w:rPr>
        <w:t>277.</w:t>
      </w:r>
      <w:r w:rsidRPr="00BA6590">
        <w:rPr>
          <w:lang w:val="en-GB"/>
        </w:rPr>
        <w:tab/>
      </w:r>
      <w:r w:rsidR="000364CF" w:rsidRPr="00BA6590">
        <w:rPr>
          <w:lang w:val="en-GB"/>
        </w:rPr>
        <w:t>The (social</w:t>
      </w:r>
      <w:r w:rsidRPr="00BA6590">
        <w:rPr>
          <w:lang w:val="en-GB"/>
        </w:rPr>
        <w:t>)</w:t>
      </w:r>
      <w:r w:rsidR="000364CF" w:rsidRPr="00BA6590">
        <w:rPr>
          <w:lang w:val="en-GB"/>
        </w:rPr>
        <w:t xml:space="preserve"> policy on housing is based on four principles which play a part in the allocation of and access to housing: </w:t>
      </w:r>
      <w:r w:rsidR="002F075A" w:rsidRPr="00BA6590">
        <w:rPr>
          <w:lang w:val="en-GB"/>
        </w:rPr>
        <w:t>availability, housing security, habitat quality and financial viability.</w:t>
      </w:r>
    </w:p>
    <w:p w:rsidR="00E50B98" w:rsidRPr="00BA6590" w:rsidRDefault="00E50B98" w:rsidP="003F636E">
      <w:pPr>
        <w:pStyle w:val="SingleTxtG"/>
        <w:rPr>
          <w:lang w:val="en-GB"/>
        </w:rPr>
      </w:pPr>
      <w:r w:rsidRPr="00BA6590">
        <w:rPr>
          <w:lang w:val="en-GB"/>
        </w:rPr>
        <w:t>278.</w:t>
      </w:r>
      <w:r w:rsidR="004E090E" w:rsidRPr="00BA6590">
        <w:rPr>
          <w:lang w:val="en-GB"/>
        </w:rPr>
        <w:tab/>
      </w:r>
      <w:r w:rsidR="002F075A" w:rsidRPr="00BA6590">
        <w:rPr>
          <w:lang w:val="en-GB"/>
        </w:rPr>
        <w:t>The application of regulated access and the allocation of social dwellings by actors in the field of social housing (</w:t>
      </w:r>
      <w:r w:rsidR="00A42280" w:rsidRPr="00BA6590">
        <w:rPr>
          <w:lang w:val="en-GB"/>
        </w:rPr>
        <w:t xml:space="preserve">such as </w:t>
      </w:r>
      <w:r w:rsidR="002F075A" w:rsidRPr="00BA6590">
        <w:rPr>
          <w:lang w:val="en-GB"/>
        </w:rPr>
        <w:t>social housing co</w:t>
      </w:r>
      <w:r w:rsidR="00A42280" w:rsidRPr="00BA6590">
        <w:rPr>
          <w:lang w:val="en-GB"/>
        </w:rPr>
        <w:t>rporations, social housing rental agencies, communes and public social assistance centres</w:t>
      </w:r>
      <w:r w:rsidR="002F075A" w:rsidRPr="00BA6590">
        <w:rPr>
          <w:lang w:val="en-GB"/>
        </w:rPr>
        <w:t>)</w:t>
      </w:r>
      <w:r w:rsidR="00A42280" w:rsidRPr="00BA6590">
        <w:rPr>
          <w:lang w:val="en-GB"/>
        </w:rPr>
        <w:t xml:space="preserve"> are supervised by an independent inspectorate which is required to ensure observance of classification and objective regulations on</w:t>
      </w:r>
      <w:r w:rsidRPr="00BA6590">
        <w:rPr>
          <w:lang w:val="en-GB"/>
        </w:rPr>
        <w:t xml:space="preserve"> </w:t>
      </w:r>
      <w:r w:rsidR="00A42280" w:rsidRPr="00BA6590">
        <w:rPr>
          <w:lang w:val="en-GB"/>
        </w:rPr>
        <w:t>registration and allocation</w:t>
      </w:r>
      <w:r w:rsidRPr="00BA6590">
        <w:rPr>
          <w:lang w:val="en-GB"/>
        </w:rPr>
        <w:t>,</w:t>
      </w:r>
      <w:r w:rsidR="00A42280" w:rsidRPr="00BA6590">
        <w:rPr>
          <w:lang w:val="en-GB"/>
        </w:rPr>
        <w:t xml:space="preserve"> including local allocation rules. This prevents the involvement of considerations other than objective motives when a decision is to be made on allocation or on the eviction of a tenant from a social-housing unit. Attention is also paid to strict compliance with the priority treatment of (</w:t>
      </w:r>
      <w:r w:rsidRPr="00BA6590">
        <w:rPr>
          <w:lang w:val="en-GB"/>
        </w:rPr>
        <w:t>a) persons</w:t>
      </w:r>
      <w:r w:rsidR="00A42280" w:rsidRPr="00BA6590">
        <w:rPr>
          <w:lang w:val="en-GB"/>
        </w:rPr>
        <w:t xml:space="preserve"> with disabilities</w:t>
      </w:r>
      <w:r w:rsidRPr="00BA6590">
        <w:rPr>
          <w:lang w:val="en-GB"/>
        </w:rPr>
        <w:t xml:space="preserve">, </w:t>
      </w:r>
      <w:r w:rsidR="00A42280" w:rsidRPr="00BA6590">
        <w:rPr>
          <w:lang w:val="en-GB"/>
        </w:rPr>
        <w:t>(</w:t>
      </w:r>
      <w:r w:rsidRPr="00BA6590">
        <w:rPr>
          <w:lang w:val="en-GB"/>
        </w:rPr>
        <w:t>b)</w:t>
      </w:r>
      <w:r w:rsidR="00A42280" w:rsidRPr="00BA6590">
        <w:rPr>
          <w:lang w:val="en-GB"/>
        </w:rPr>
        <w:t xml:space="preserve"> persons who have become homeless as a result of a rehousing decision caused by renovation or demolition work</w:t>
      </w:r>
      <w:r w:rsidR="000F67E2" w:rsidRPr="00BA6590">
        <w:rPr>
          <w:lang w:val="en-GB"/>
        </w:rPr>
        <w:t>, expropriation or when a dwelling has been declared unfit or uninhabitable and</w:t>
      </w:r>
      <w:r w:rsidRPr="00BA6590">
        <w:rPr>
          <w:lang w:val="en-GB"/>
        </w:rPr>
        <w:t xml:space="preserve"> </w:t>
      </w:r>
      <w:r w:rsidR="000F67E2" w:rsidRPr="00BA6590">
        <w:rPr>
          <w:lang w:val="en-GB"/>
        </w:rPr>
        <w:t>(</w:t>
      </w:r>
      <w:r w:rsidRPr="00BA6590">
        <w:rPr>
          <w:lang w:val="en-GB"/>
        </w:rPr>
        <w:t>c)</w:t>
      </w:r>
      <w:r w:rsidR="000F67E2" w:rsidRPr="00BA6590">
        <w:rPr>
          <w:lang w:val="en-GB"/>
        </w:rPr>
        <w:t xml:space="preserve"> other categories of people who are entitled to priority treatment under local allocation rules. In cases where there may have been non-compliance with legal priority or where considerations likely to result in segregation may have been applied, the decision concerned is cancelled so that a correct decision can be taken.</w:t>
      </w:r>
      <w:r w:rsidR="001F3CAB" w:rsidRPr="00BA6590">
        <w:rPr>
          <w:lang w:val="en-GB"/>
        </w:rPr>
        <w:t xml:space="preserve"> </w:t>
      </w:r>
    </w:p>
    <w:p w:rsidR="00E50B98" w:rsidRPr="00BA6590" w:rsidRDefault="00E50B98" w:rsidP="00BA355C">
      <w:pPr>
        <w:pStyle w:val="SingleTxtG"/>
        <w:rPr>
          <w:lang w:val="en-GB"/>
        </w:rPr>
      </w:pPr>
      <w:r w:rsidRPr="00BA6590">
        <w:rPr>
          <w:lang w:val="en-GB"/>
        </w:rPr>
        <w:t>279.</w:t>
      </w:r>
      <w:r w:rsidRPr="00BA6590">
        <w:rPr>
          <w:lang w:val="en-GB"/>
        </w:rPr>
        <w:tab/>
      </w:r>
      <w:r w:rsidR="00FB3CCB" w:rsidRPr="00BA6590">
        <w:rPr>
          <w:lang w:val="en-GB"/>
        </w:rPr>
        <w:t xml:space="preserve">The overrepresentation of certain protected groups, the creation of </w:t>
      </w:r>
      <w:r w:rsidR="00A216FB" w:rsidRPr="00BA6590">
        <w:rPr>
          <w:lang w:val="en-GB"/>
        </w:rPr>
        <w:t>“</w:t>
      </w:r>
      <w:r w:rsidR="00FB3CCB" w:rsidRPr="00BA6590">
        <w:rPr>
          <w:lang w:val="en-GB"/>
        </w:rPr>
        <w:t xml:space="preserve">specific </w:t>
      </w:r>
      <w:r w:rsidR="000364CF" w:rsidRPr="00BA6590">
        <w:rPr>
          <w:lang w:val="en-GB"/>
        </w:rPr>
        <w:t>social mixing</w:t>
      </w:r>
      <w:r w:rsidR="00A216FB" w:rsidRPr="00BA6590">
        <w:rPr>
          <w:lang w:val="en-GB"/>
        </w:rPr>
        <w:t>”</w:t>
      </w:r>
      <w:r w:rsidR="00FB3CCB" w:rsidRPr="00BA6590">
        <w:rPr>
          <w:lang w:val="en-GB"/>
        </w:rPr>
        <w:t xml:space="preserve">, or other motives unconnected with one of the legally specified conditions for access or allocation, can never constitute objective motives and may not be set down as conditions for access to (social) housing. </w:t>
      </w:r>
    </w:p>
    <w:p w:rsidR="00E50B98" w:rsidRPr="00BA6590" w:rsidRDefault="00E50B98" w:rsidP="003F636E">
      <w:pPr>
        <w:pStyle w:val="SingleTxtG"/>
        <w:rPr>
          <w:lang w:val="en-GB"/>
        </w:rPr>
      </w:pPr>
      <w:r w:rsidRPr="00BA6590">
        <w:rPr>
          <w:lang w:val="en-GB"/>
        </w:rPr>
        <w:t>280.</w:t>
      </w:r>
      <w:r w:rsidRPr="00BA6590">
        <w:rPr>
          <w:lang w:val="en-GB"/>
        </w:rPr>
        <w:tab/>
      </w:r>
      <w:r w:rsidR="00FB3CCB" w:rsidRPr="00BA6590">
        <w:rPr>
          <w:lang w:val="en-GB"/>
        </w:rPr>
        <w:t>No problem has yet been observed concerning the application of willingness to learn Dutch as a condition</w:t>
      </w:r>
      <w:r w:rsidR="00B936CE" w:rsidRPr="00BA6590">
        <w:rPr>
          <w:rStyle w:val="FootnoteReference"/>
          <w:lang w:val="en-GB"/>
        </w:rPr>
        <w:footnoteReference w:id="31"/>
      </w:r>
      <w:r w:rsidRPr="00BA6590">
        <w:rPr>
          <w:lang w:val="en-GB"/>
        </w:rPr>
        <w:t xml:space="preserve"> </w:t>
      </w:r>
      <w:r w:rsidR="00FB3CCB" w:rsidRPr="00BA6590">
        <w:rPr>
          <w:lang w:val="en-GB"/>
        </w:rPr>
        <w:t>or of conditions linked to a form of segregation which would constitute a violation of the right to housing</w:t>
      </w:r>
      <w:r w:rsidRPr="00BA6590">
        <w:rPr>
          <w:lang w:val="en-GB"/>
        </w:rPr>
        <w:t>.</w:t>
      </w:r>
    </w:p>
    <w:p w:rsidR="00E50B98" w:rsidRPr="00BA6590" w:rsidRDefault="00E50B98" w:rsidP="00E50B98">
      <w:pPr>
        <w:pStyle w:val="SingleTxtG"/>
        <w:rPr>
          <w:lang w:val="en-GB"/>
        </w:rPr>
      </w:pPr>
      <w:r w:rsidRPr="00BA6590">
        <w:rPr>
          <w:lang w:val="en-GB"/>
        </w:rPr>
        <w:t>281.</w:t>
      </w:r>
      <w:r w:rsidRPr="00BA6590">
        <w:rPr>
          <w:lang w:val="en-GB"/>
        </w:rPr>
        <w:tab/>
      </w:r>
      <w:r w:rsidR="00FB3CCB" w:rsidRPr="00BA6590">
        <w:rPr>
          <w:lang w:val="en-GB"/>
        </w:rPr>
        <w:t xml:space="preserve">It should be noted that </w:t>
      </w:r>
      <w:r w:rsidR="009A3D69" w:rsidRPr="00BA6590">
        <w:rPr>
          <w:lang w:val="en-GB"/>
        </w:rPr>
        <w:t>Flemish integration policy</w:t>
      </w:r>
      <w:r w:rsidR="00FB3CCB" w:rsidRPr="00BA6590">
        <w:rPr>
          <w:lang w:val="en-GB"/>
        </w:rPr>
        <w:t xml:space="preserve"> gives particular attention to the reception of Travellers (see above, under article 2).</w:t>
      </w:r>
    </w:p>
    <w:p w:rsidR="00E50B98" w:rsidRPr="00BA6590" w:rsidRDefault="001146D5" w:rsidP="001146D5">
      <w:pPr>
        <w:pStyle w:val="H23G"/>
        <w:rPr>
          <w:lang w:val="en-GB"/>
        </w:rPr>
      </w:pPr>
      <w:r w:rsidRPr="00BA6590">
        <w:rPr>
          <w:lang w:val="en-GB"/>
        </w:rPr>
        <w:tab/>
      </w:r>
      <w:r w:rsidR="00E50B98" w:rsidRPr="00BA6590">
        <w:rPr>
          <w:lang w:val="en-GB"/>
        </w:rPr>
        <w:t>4</w:t>
      </w:r>
      <w:r w:rsidRPr="00BA6590">
        <w:rPr>
          <w:lang w:val="en-GB"/>
        </w:rPr>
        <w:t>.</w:t>
      </w:r>
      <w:r w:rsidRPr="00BA6590">
        <w:rPr>
          <w:lang w:val="en-GB"/>
        </w:rPr>
        <w:tab/>
      </w:r>
      <w:r w:rsidR="00735B9F" w:rsidRPr="00BA6590">
        <w:rPr>
          <w:lang w:val="en-GB"/>
        </w:rPr>
        <w:t>Penalization of racial discrimination in the exercise of the right to housing</w:t>
      </w:r>
    </w:p>
    <w:p w:rsidR="00E50B98" w:rsidRPr="00BA6590" w:rsidRDefault="00E50B98" w:rsidP="00E50B98">
      <w:pPr>
        <w:pStyle w:val="SingleTxtG"/>
        <w:rPr>
          <w:lang w:val="en-GB"/>
        </w:rPr>
      </w:pPr>
      <w:r w:rsidRPr="00BA6590">
        <w:rPr>
          <w:lang w:val="en-GB"/>
        </w:rPr>
        <w:t>282.</w:t>
      </w:r>
      <w:r w:rsidRPr="00BA6590">
        <w:rPr>
          <w:lang w:val="en-GB"/>
        </w:rPr>
        <w:tab/>
      </w:r>
      <w:r w:rsidR="00735B9F" w:rsidRPr="00BA6590">
        <w:rPr>
          <w:lang w:val="en-GB"/>
        </w:rPr>
        <w:t xml:space="preserve">As in the employment field, </w:t>
      </w:r>
      <w:r w:rsidRPr="00BA6590">
        <w:rPr>
          <w:lang w:val="en-GB"/>
        </w:rPr>
        <w:t>discrimination</w:t>
      </w:r>
      <w:r w:rsidR="00735B9F" w:rsidRPr="00BA6590">
        <w:rPr>
          <w:lang w:val="en-GB"/>
        </w:rPr>
        <w:t xml:space="preserve"> in the exercise of the right to housing is punishable under Belgian law. On 23 June 2010, for example, the criminal court of Antwerp ordered an estate agent to pay </w:t>
      </w:r>
      <w:r w:rsidRPr="00BA6590">
        <w:rPr>
          <w:lang w:val="en-GB"/>
        </w:rPr>
        <w:t xml:space="preserve">compensation </w:t>
      </w:r>
      <w:r w:rsidR="00735B9F" w:rsidRPr="00BA6590">
        <w:rPr>
          <w:lang w:val="en-GB"/>
        </w:rPr>
        <w:t>of</w:t>
      </w:r>
      <w:r w:rsidRPr="00BA6590">
        <w:rPr>
          <w:lang w:val="en-GB"/>
        </w:rPr>
        <w:t xml:space="preserve"> </w:t>
      </w:r>
      <w:r w:rsidR="00735B9F" w:rsidRPr="00BA6590">
        <w:rPr>
          <w:lang w:val="en-GB"/>
        </w:rPr>
        <w:t>€</w:t>
      </w:r>
      <w:r w:rsidRPr="00BA6590">
        <w:rPr>
          <w:lang w:val="en-GB"/>
        </w:rPr>
        <w:t>250</w:t>
      </w:r>
      <w:r w:rsidR="00735B9F" w:rsidRPr="00BA6590">
        <w:rPr>
          <w:lang w:val="en-GB"/>
        </w:rPr>
        <w:t xml:space="preserve"> and to carry out community service work for having, at the request of the other inhabitants of the building, refused a would-be tenant</w:t>
      </w:r>
      <w:r w:rsidRPr="00BA6590">
        <w:rPr>
          <w:lang w:val="en-GB"/>
        </w:rPr>
        <w:t xml:space="preserve"> </w:t>
      </w:r>
      <w:r w:rsidR="00735B9F" w:rsidRPr="00BA6590">
        <w:rPr>
          <w:lang w:val="en-GB"/>
        </w:rPr>
        <w:t xml:space="preserve">because of his origin and had so informed him in writing. </w:t>
      </w:r>
    </w:p>
    <w:p w:rsidR="005C2561" w:rsidRPr="00BA6590" w:rsidRDefault="005C2561" w:rsidP="005C2561">
      <w:pPr>
        <w:pStyle w:val="HChG"/>
        <w:rPr>
          <w:lang w:val="en-GB"/>
        </w:rPr>
      </w:pPr>
      <w:r w:rsidRPr="00BA6590">
        <w:rPr>
          <w:lang w:val="en-GB"/>
        </w:rPr>
        <w:tab/>
      </w:r>
      <w:r w:rsidRPr="00BA6590">
        <w:rPr>
          <w:lang w:val="en-GB"/>
        </w:rPr>
        <w:tab/>
        <w:t>Article 6</w:t>
      </w:r>
      <w:r w:rsidR="009620F0" w:rsidRPr="00BA6590">
        <w:rPr>
          <w:lang w:val="en-GB"/>
        </w:rPr>
        <w:br/>
      </w:r>
      <w:r w:rsidR="00F55CF4" w:rsidRPr="00BA6590">
        <w:rPr>
          <w:lang w:val="en-GB"/>
        </w:rPr>
        <w:t>Remedies and judicial action on complaints</w:t>
      </w:r>
    </w:p>
    <w:p w:rsidR="005C2561" w:rsidRPr="00BA6590" w:rsidRDefault="005C2561" w:rsidP="005C2561">
      <w:pPr>
        <w:pStyle w:val="H1G"/>
        <w:rPr>
          <w:lang w:val="en-GB"/>
        </w:rPr>
      </w:pPr>
      <w:r w:rsidRPr="00BA6590">
        <w:rPr>
          <w:lang w:val="en-GB"/>
        </w:rPr>
        <w:tab/>
        <w:t>A.</w:t>
      </w:r>
      <w:r w:rsidRPr="00BA6590">
        <w:rPr>
          <w:lang w:val="en-GB"/>
        </w:rPr>
        <w:tab/>
      </w:r>
      <w:r w:rsidR="00735B9F" w:rsidRPr="00BA6590">
        <w:rPr>
          <w:lang w:val="en-GB"/>
        </w:rPr>
        <w:t xml:space="preserve">Measures to improve the implementation of criminal-law </w:t>
      </w:r>
      <w:r w:rsidR="009620F0" w:rsidRPr="00BA6590">
        <w:rPr>
          <w:lang w:val="en-GB"/>
        </w:rPr>
        <w:br/>
      </w:r>
      <w:r w:rsidR="00735B9F" w:rsidRPr="00BA6590">
        <w:rPr>
          <w:lang w:val="en-GB"/>
        </w:rPr>
        <w:t>provisions against racism</w:t>
      </w:r>
    </w:p>
    <w:p w:rsidR="005C2561" w:rsidRPr="00BA6590" w:rsidRDefault="005C2561" w:rsidP="005C2561">
      <w:pPr>
        <w:pStyle w:val="SingleTxtG"/>
        <w:rPr>
          <w:lang w:val="en-GB"/>
        </w:rPr>
      </w:pPr>
      <w:r w:rsidRPr="00BA6590">
        <w:rPr>
          <w:lang w:val="en-GB"/>
        </w:rPr>
        <w:t>283.</w:t>
      </w:r>
      <w:r w:rsidRPr="00BA6590">
        <w:rPr>
          <w:lang w:val="en-GB"/>
        </w:rPr>
        <w:tab/>
      </w:r>
      <w:r w:rsidR="00963F3B" w:rsidRPr="00BA6590">
        <w:rPr>
          <w:lang w:val="en-GB"/>
        </w:rPr>
        <w:t xml:space="preserve">Measures have been adopted to improve the implementation of criminal-law provisions against racism and other forms of discrimination. </w:t>
      </w:r>
    </w:p>
    <w:p w:rsidR="005C2561" w:rsidRPr="00BA6590" w:rsidRDefault="005C2561" w:rsidP="005C2561">
      <w:pPr>
        <w:pStyle w:val="SingleTxtG"/>
        <w:rPr>
          <w:lang w:val="en-GB"/>
        </w:rPr>
      </w:pPr>
      <w:r w:rsidRPr="00BA6590">
        <w:rPr>
          <w:lang w:val="en-GB"/>
        </w:rPr>
        <w:t>284.</w:t>
      </w:r>
      <w:r w:rsidRPr="00BA6590">
        <w:rPr>
          <w:lang w:val="en-GB"/>
        </w:rPr>
        <w:tab/>
      </w:r>
      <w:r w:rsidR="00963F3B" w:rsidRPr="00BA6590">
        <w:rPr>
          <w:lang w:val="en-GB"/>
        </w:rPr>
        <w:t xml:space="preserve">A contact prosecutor specializing in the areas of racism and </w:t>
      </w:r>
      <w:r w:rsidRPr="00BA6590">
        <w:rPr>
          <w:lang w:val="en-GB"/>
        </w:rPr>
        <w:t>discrimination</w:t>
      </w:r>
      <w:r w:rsidR="00963F3B" w:rsidRPr="00BA6590">
        <w:rPr>
          <w:lang w:val="en-GB"/>
        </w:rPr>
        <w:t xml:space="preserve"> has been appointed in each judicial district, to closely monitor complaints in </w:t>
      </w:r>
      <w:r w:rsidR="00985B9F" w:rsidRPr="00BA6590">
        <w:rPr>
          <w:lang w:val="en-GB"/>
        </w:rPr>
        <w:t>those areas and refer them to the public prosecutor</w:t>
      </w:r>
      <w:r w:rsidR="00A216FB" w:rsidRPr="00BA6590">
        <w:rPr>
          <w:lang w:val="en-GB"/>
        </w:rPr>
        <w:t>’</w:t>
      </w:r>
      <w:r w:rsidR="00985B9F" w:rsidRPr="00BA6590">
        <w:rPr>
          <w:lang w:val="en-GB"/>
        </w:rPr>
        <w:t xml:space="preserve">s office. </w:t>
      </w:r>
    </w:p>
    <w:p w:rsidR="005C2561" w:rsidRPr="00BA6590" w:rsidRDefault="005C2561" w:rsidP="003F636E">
      <w:pPr>
        <w:pStyle w:val="SingleTxtG"/>
        <w:rPr>
          <w:lang w:val="en-GB"/>
        </w:rPr>
      </w:pPr>
      <w:r w:rsidRPr="00BA6590">
        <w:rPr>
          <w:lang w:val="en-GB"/>
        </w:rPr>
        <w:t>285.</w:t>
      </w:r>
      <w:r w:rsidRPr="00BA6590">
        <w:rPr>
          <w:lang w:val="en-GB"/>
        </w:rPr>
        <w:tab/>
      </w:r>
      <w:r w:rsidR="00985B9F" w:rsidRPr="00BA6590">
        <w:rPr>
          <w:lang w:val="en-GB"/>
        </w:rPr>
        <w:t>The College of Public Prosecutors has adopted the circular COL</w:t>
      </w:r>
      <w:r w:rsidR="00667CA0">
        <w:rPr>
          <w:lang w:val="en-GB"/>
        </w:rPr>
        <w:t xml:space="preserve"> 6/2006 (annex </w:t>
      </w:r>
      <w:r w:rsidRPr="00BA6590">
        <w:rPr>
          <w:lang w:val="en-GB"/>
        </w:rPr>
        <w:t>XIII),</w:t>
      </w:r>
      <w:r w:rsidR="00985B9F" w:rsidRPr="00BA6590">
        <w:rPr>
          <w:lang w:val="en-GB"/>
        </w:rPr>
        <w:t xml:space="preserve"> which came into force on </w:t>
      </w:r>
      <w:r w:rsidRPr="00BA6590">
        <w:rPr>
          <w:lang w:val="en-GB"/>
        </w:rPr>
        <w:t xml:space="preserve">3 </w:t>
      </w:r>
      <w:r w:rsidR="003F5E21" w:rsidRPr="00BA6590">
        <w:rPr>
          <w:lang w:val="en-GB"/>
        </w:rPr>
        <w:t>April</w:t>
      </w:r>
      <w:r w:rsidRPr="00BA6590">
        <w:rPr>
          <w:lang w:val="en-GB"/>
        </w:rPr>
        <w:t xml:space="preserve"> 2006,</w:t>
      </w:r>
      <w:r w:rsidR="00985B9F" w:rsidRPr="00BA6590">
        <w:rPr>
          <w:lang w:val="en-GB"/>
        </w:rPr>
        <w:t xml:space="preserve"> in order to refine the terminology for identifying the racist</w:t>
      </w:r>
      <w:r w:rsidRPr="00BA6590">
        <w:rPr>
          <w:lang w:val="en-GB"/>
        </w:rPr>
        <w:t xml:space="preserve"> motiv</w:t>
      </w:r>
      <w:r w:rsidR="00985B9F" w:rsidRPr="00BA6590">
        <w:rPr>
          <w:lang w:val="en-GB"/>
        </w:rPr>
        <w:t>es of certain offences. As a result, when dealing with offences inspired by racist or xenophobic motives, the police and the public prosecutor must expressly mention that motivation when recording the offence. It is also provided that in case of doubt, reference may be made to the contact prosecutor</w:t>
      </w:r>
      <w:r w:rsidRPr="00BA6590">
        <w:rPr>
          <w:lang w:val="en-GB"/>
        </w:rPr>
        <w:t xml:space="preserve"> (</w:t>
      </w:r>
      <w:r w:rsidR="00985B9F" w:rsidRPr="00BA6590">
        <w:rPr>
          <w:lang w:val="en-GB"/>
        </w:rPr>
        <w:t xml:space="preserve">see above) who monitors the correct application of the circular. The latter also specifies that at all stages of the procedure, it must always be possible to add or remove the mention of the racist nature of the offence. </w:t>
      </w:r>
    </w:p>
    <w:p w:rsidR="005C2561" w:rsidRPr="00BA6590" w:rsidRDefault="005C2561" w:rsidP="005C2561">
      <w:pPr>
        <w:pStyle w:val="SingleTxtG"/>
        <w:rPr>
          <w:lang w:val="en-GB"/>
        </w:rPr>
      </w:pPr>
      <w:r w:rsidRPr="00BA6590">
        <w:rPr>
          <w:lang w:val="en-GB"/>
        </w:rPr>
        <w:t>286.</w:t>
      </w:r>
      <w:r w:rsidRPr="00BA6590">
        <w:rPr>
          <w:lang w:val="en-GB"/>
        </w:rPr>
        <w:tab/>
      </w:r>
      <w:r w:rsidR="00985B9F" w:rsidRPr="00BA6590">
        <w:rPr>
          <w:lang w:val="en-GB"/>
        </w:rPr>
        <w:t>The</w:t>
      </w:r>
      <w:r w:rsidRPr="00BA6590">
        <w:rPr>
          <w:lang w:val="en-GB"/>
        </w:rPr>
        <w:t xml:space="preserve"> </w:t>
      </w:r>
      <w:r w:rsidR="004B472D" w:rsidRPr="00BA6590">
        <w:rPr>
          <w:lang w:val="en-GB"/>
        </w:rPr>
        <w:t>Centre for Equal Opportunities and Action</w:t>
      </w:r>
      <w:r w:rsidR="006E73EA" w:rsidRPr="00BA6590">
        <w:rPr>
          <w:lang w:val="en-GB"/>
        </w:rPr>
        <w:t xml:space="preserve"> to Combat Racism</w:t>
      </w:r>
      <w:r w:rsidR="00985B9F" w:rsidRPr="00BA6590">
        <w:rPr>
          <w:lang w:val="en-GB"/>
        </w:rPr>
        <w:t xml:space="preserve"> organized a seminar on racial violence in </w:t>
      </w:r>
      <w:r w:rsidRPr="00BA6590">
        <w:rPr>
          <w:lang w:val="en-GB"/>
        </w:rPr>
        <w:t>2007,</w:t>
      </w:r>
      <w:r w:rsidR="00985B9F" w:rsidRPr="00BA6590">
        <w:rPr>
          <w:lang w:val="en-GB"/>
        </w:rPr>
        <w:t xml:space="preserve"> with the participation of representatives of the police and public prosecutors</w:t>
      </w:r>
      <w:r w:rsidR="00A216FB" w:rsidRPr="00BA6590">
        <w:rPr>
          <w:lang w:val="en-GB"/>
        </w:rPr>
        <w:t>’</w:t>
      </w:r>
      <w:r w:rsidR="00985B9F" w:rsidRPr="00BA6590">
        <w:rPr>
          <w:lang w:val="en-GB"/>
        </w:rPr>
        <w:t xml:space="preserve"> offices. The goal was to determine, following the entry into force of the </w:t>
      </w:r>
      <w:r w:rsidR="00801C0C" w:rsidRPr="00BA6590">
        <w:rPr>
          <w:lang w:val="en-GB"/>
        </w:rPr>
        <w:t xml:space="preserve">aforementioned </w:t>
      </w:r>
      <w:r w:rsidR="00985B9F" w:rsidRPr="00BA6590">
        <w:rPr>
          <w:lang w:val="en-GB"/>
        </w:rPr>
        <w:t>circular</w:t>
      </w:r>
      <w:r w:rsidR="00801C0C" w:rsidRPr="00BA6590">
        <w:rPr>
          <w:lang w:val="en-GB"/>
        </w:rPr>
        <w:t xml:space="preserve">, whether the police and prosecutors were dealing with such offences appropriately and whether the prosecutors could produce reliable statistics. </w:t>
      </w:r>
    </w:p>
    <w:p w:rsidR="005C2561" w:rsidRPr="00BA6590" w:rsidRDefault="005C2561" w:rsidP="005C2561">
      <w:pPr>
        <w:pStyle w:val="SingleTxtG"/>
        <w:rPr>
          <w:lang w:val="en-GB"/>
        </w:rPr>
      </w:pPr>
      <w:r w:rsidRPr="00BA6590">
        <w:rPr>
          <w:lang w:val="en-GB"/>
        </w:rPr>
        <w:t>287.</w:t>
      </w:r>
      <w:r w:rsidRPr="00BA6590">
        <w:rPr>
          <w:lang w:val="en-GB"/>
        </w:rPr>
        <w:tab/>
      </w:r>
      <w:r w:rsidR="00867502" w:rsidRPr="00BA6590">
        <w:rPr>
          <w:lang w:val="en-GB"/>
        </w:rPr>
        <w:t xml:space="preserve">In </w:t>
      </w:r>
      <w:r w:rsidR="003F5E21" w:rsidRPr="00BA6590">
        <w:rPr>
          <w:lang w:val="en-GB"/>
        </w:rPr>
        <w:t>April</w:t>
      </w:r>
      <w:r w:rsidRPr="00BA6590">
        <w:rPr>
          <w:lang w:val="en-GB"/>
        </w:rPr>
        <w:t xml:space="preserve"> 2012,</w:t>
      </w:r>
      <w:r w:rsidR="00867502" w:rsidRPr="00BA6590">
        <w:rPr>
          <w:lang w:val="en-GB"/>
        </w:rPr>
        <w:t xml:space="preserve"> a working group was formed, comprising judges and members of the Federal </w:t>
      </w:r>
      <w:r w:rsidR="005F073C" w:rsidRPr="00BA6590">
        <w:rPr>
          <w:lang w:val="en-GB"/>
        </w:rPr>
        <w:t>Department of</w:t>
      </w:r>
      <w:r w:rsidR="00867502" w:rsidRPr="00BA6590">
        <w:rPr>
          <w:lang w:val="en-GB"/>
        </w:rPr>
        <w:t xml:space="preserve"> Justice, the Federal </w:t>
      </w:r>
      <w:r w:rsidR="005F073C" w:rsidRPr="00BA6590">
        <w:rPr>
          <w:lang w:val="en-GB"/>
        </w:rPr>
        <w:t>Department of the Interior</w:t>
      </w:r>
      <w:r w:rsidR="00867502" w:rsidRPr="00BA6590">
        <w:rPr>
          <w:lang w:val="en-GB"/>
        </w:rPr>
        <w:t xml:space="preserve"> and the </w:t>
      </w:r>
      <w:r w:rsidR="004B472D" w:rsidRPr="00BA6590">
        <w:rPr>
          <w:lang w:val="en-GB"/>
        </w:rPr>
        <w:t>Centre for Equal Opportunities and Action</w:t>
      </w:r>
      <w:r w:rsidR="006E73EA" w:rsidRPr="00BA6590">
        <w:rPr>
          <w:lang w:val="en-GB"/>
        </w:rPr>
        <w:t xml:space="preserve"> to Combat Racism</w:t>
      </w:r>
      <w:r w:rsidR="00867502" w:rsidRPr="00BA6590">
        <w:rPr>
          <w:lang w:val="en-GB"/>
        </w:rPr>
        <w:t xml:space="preserve">, to refine the method for recording complaints, particularly in relation to racist and homophobic violence. </w:t>
      </w:r>
      <w:r w:rsidR="00E54148" w:rsidRPr="00BA6590">
        <w:rPr>
          <w:lang w:val="en-GB"/>
        </w:rPr>
        <w:t>It had been observed that the reports on offences and the ways in which they were recorded perhaps failed to emphasize sufficiently that the events in question had a racist aspect. The working group will also discuss promoting awareness in that area.</w:t>
      </w:r>
    </w:p>
    <w:p w:rsidR="005C2561" w:rsidRPr="00BA6590" w:rsidRDefault="005C2561" w:rsidP="005C2561">
      <w:pPr>
        <w:pStyle w:val="H1G"/>
        <w:rPr>
          <w:lang w:val="en-GB"/>
        </w:rPr>
      </w:pPr>
      <w:r w:rsidRPr="00BA6590">
        <w:rPr>
          <w:lang w:val="en-GB"/>
        </w:rPr>
        <w:tab/>
        <w:t>B.</w:t>
      </w:r>
      <w:r w:rsidRPr="00BA6590">
        <w:rPr>
          <w:lang w:val="en-GB"/>
        </w:rPr>
        <w:tab/>
      </w:r>
      <w:r w:rsidR="00E54148" w:rsidRPr="00BA6590">
        <w:rPr>
          <w:lang w:val="en-GB"/>
        </w:rPr>
        <w:t>Statistical data</w:t>
      </w:r>
    </w:p>
    <w:p w:rsidR="005C2561" w:rsidRPr="00BA6590" w:rsidRDefault="005C2561" w:rsidP="005C2561">
      <w:pPr>
        <w:pStyle w:val="H4G"/>
        <w:rPr>
          <w:lang w:val="en-GB"/>
        </w:rPr>
      </w:pPr>
      <w:r w:rsidRPr="00BA6590">
        <w:rPr>
          <w:lang w:val="en-GB"/>
        </w:rPr>
        <w:tab/>
      </w:r>
      <w:r w:rsidRPr="00BA6590">
        <w:rPr>
          <w:lang w:val="en-GB"/>
        </w:rPr>
        <w:tab/>
      </w:r>
      <w:r w:rsidR="00E54148" w:rsidRPr="00BA6590">
        <w:rPr>
          <w:lang w:val="en-GB"/>
        </w:rPr>
        <w:t>Comp</w:t>
      </w:r>
      <w:r w:rsidRPr="00BA6590">
        <w:rPr>
          <w:lang w:val="en-GB"/>
        </w:rPr>
        <w:t>laint</w:t>
      </w:r>
      <w:r w:rsidR="00E8240E" w:rsidRPr="00BA6590">
        <w:rPr>
          <w:lang w:val="en-GB"/>
        </w:rPr>
        <w:t>s</w:t>
      </w:r>
      <w:r w:rsidR="00E54148" w:rsidRPr="00BA6590">
        <w:rPr>
          <w:lang w:val="en-GB"/>
        </w:rPr>
        <w:t xml:space="preserve"> of racist and xenophobic acts</w:t>
      </w:r>
    </w:p>
    <w:p w:rsidR="005C2561" w:rsidRPr="00BA6590" w:rsidRDefault="005C2561" w:rsidP="005C2561">
      <w:pPr>
        <w:pStyle w:val="SingleTxtG"/>
        <w:rPr>
          <w:lang w:val="en-GB"/>
        </w:rPr>
      </w:pPr>
      <w:r w:rsidRPr="00BA6590">
        <w:rPr>
          <w:lang w:val="en-GB"/>
        </w:rPr>
        <w:t>288.</w:t>
      </w:r>
      <w:r w:rsidRPr="00BA6590">
        <w:rPr>
          <w:lang w:val="en-GB"/>
        </w:rPr>
        <w:tab/>
      </w:r>
      <w:r w:rsidR="009D50E6" w:rsidRPr="00BA6590">
        <w:rPr>
          <w:lang w:val="en-GB"/>
        </w:rPr>
        <w:t>The</w:t>
      </w:r>
      <w:r w:rsidRPr="00BA6590">
        <w:rPr>
          <w:lang w:val="en-GB"/>
        </w:rPr>
        <w:t xml:space="preserve"> </w:t>
      </w:r>
      <w:r w:rsidR="00713FE2" w:rsidRPr="00BA6590">
        <w:rPr>
          <w:lang w:val="en-GB"/>
        </w:rPr>
        <w:t>College of Public Prosecutors</w:t>
      </w:r>
      <w:r w:rsidR="006D60B3" w:rsidRPr="00BA6590">
        <w:rPr>
          <w:lang w:val="en-GB"/>
        </w:rPr>
        <w:t xml:space="preserve"> has provided statistics on official complaints of racist and xenophobic acts. They are broken down by judicial district and cover the years from </w:t>
      </w:r>
      <w:r w:rsidRPr="00BA6590">
        <w:rPr>
          <w:lang w:val="en-GB"/>
        </w:rPr>
        <w:t xml:space="preserve">2006 </w:t>
      </w:r>
      <w:r w:rsidR="006D60B3" w:rsidRPr="00BA6590">
        <w:rPr>
          <w:lang w:val="en-GB"/>
        </w:rPr>
        <w:t>to</w:t>
      </w:r>
      <w:r w:rsidR="00753400" w:rsidRPr="00BA6590">
        <w:rPr>
          <w:lang w:val="en-GB"/>
        </w:rPr>
        <w:t xml:space="preserve"> 2011 (annex</w:t>
      </w:r>
      <w:r w:rsidRPr="00BA6590">
        <w:rPr>
          <w:lang w:val="en-GB"/>
        </w:rPr>
        <w:t xml:space="preserve"> XIV, table</w:t>
      </w:r>
      <w:r w:rsidR="00753400" w:rsidRPr="00BA6590">
        <w:rPr>
          <w:lang w:val="en-GB"/>
        </w:rPr>
        <w:t>s</w:t>
      </w:r>
      <w:r w:rsidRPr="00BA6590">
        <w:rPr>
          <w:lang w:val="en-GB"/>
        </w:rPr>
        <w:t xml:space="preserve"> 1 </w:t>
      </w:r>
      <w:r w:rsidR="00753400" w:rsidRPr="00BA6590">
        <w:rPr>
          <w:lang w:val="en-GB"/>
        </w:rPr>
        <w:t>to</w:t>
      </w:r>
      <w:r w:rsidRPr="00BA6590">
        <w:rPr>
          <w:lang w:val="en-GB"/>
        </w:rPr>
        <w:t xml:space="preserve"> 6).</w:t>
      </w:r>
    </w:p>
    <w:p w:rsidR="005C2561" w:rsidRPr="00BA6590" w:rsidRDefault="005C2561" w:rsidP="003F636E">
      <w:pPr>
        <w:pStyle w:val="SingleTxtG"/>
        <w:rPr>
          <w:lang w:val="en-GB"/>
        </w:rPr>
      </w:pPr>
      <w:r w:rsidRPr="00BA6590">
        <w:rPr>
          <w:lang w:val="en-GB"/>
        </w:rPr>
        <w:t>289.</w:t>
      </w:r>
      <w:r w:rsidR="004E090E" w:rsidRPr="00BA6590">
        <w:rPr>
          <w:lang w:val="en-GB"/>
        </w:rPr>
        <w:tab/>
      </w:r>
      <w:r w:rsidR="009D50E6" w:rsidRPr="00BA6590">
        <w:rPr>
          <w:lang w:val="en-GB"/>
        </w:rPr>
        <w:t xml:space="preserve">During that period, </w:t>
      </w:r>
      <w:r w:rsidRPr="00BA6590">
        <w:rPr>
          <w:lang w:val="en-GB"/>
        </w:rPr>
        <w:t>5</w:t>
      </w:r>
      <w:r w:rsidR="009D50E6" w:rsidRPr="00BA6590">
        <w:rPr>
          <w:lang w:val="en-GB"/>
        </w:rPr>
        <w:t>,</w:t>
      </w:r>
      <w:r w:rsidRPr="00BA6590">
        <w:rPr>
          <w:lang w:val="en-GB"/>
        </w:rPr>
        <w:t>215</w:t>
      </w:r>
      <w:r w:rsidR="009D50E6" w:rsidRPr="00BA6590">
        <w:rPr>
          <w:lang w:val="en-GB"/>
        </w:rPr>
        <w:t xml:space="preserve"> cases of racism or xenophobia </w:t>
      </w:r>
      <w:r w:rsidR="005E69EC" w:rsidRPr="00BA6590">
        <w:rPr>
          <w:lang w:val="en-GB"/>
        </w:rPr>
        <w:t>—</w:t>
      </w:r>
      <w:r w:rsidR="00961148" w:rsidRPr="00BA6590">
        <w:rPr>
          <w:lang w:val="en-GB"/>
        </w:rPr>
        <w:t xml:space="preserve"> </w:t>
      </w:r>
      <w:r w:rsidRPr="00BA6590">
        <w:rPr>
          <w:lang w:val="en-GB"/>
        </w:rPr>
        <w:t>1</w:t>
      </w:r>
      <w:r w:rsidR="009D50E6" w:rsidRPr="00BA6590">
        <w:rPr>
          <w:lang w:val="en-GB"/>
        </w:rPr>
        <w:t>,</w:t>
      </w:r>
      <w:r w:rsidRPr="00BA6590">
        <w:rPr>
          <w:lang w:val="en-GB"/>
        </w:rPr>
        <w:t xml:space="preserve">033 </w:t>
      </w:r>
      <w:r w:rsidR="009D50E6" w:rsidRPr="00BA6590">
        <w:rPr>
          <w:lang w:val="en-GB"/>
        </w:rPr>
        <w:t>i</w:t>
      </w:r>
      <w:r w:rsidRPr="00BA6590">
        <w:rPr>
          <w:lang w:val="en-GB"/>
        </w:rPr>
        <w:t xml:space="preserve">n 2006, 936 </w:t>
      </w:r>
      <w:r w:rsidR="009D50E6" w:rsidRPr="00BA6590">
        <w:rPr>
          <w:lang w:val="en-GB"/>
        </w:rPr>
        <w:t>i</w:t>
      </w:r>
      <w:r w:rsidRPr="00BA6590">
        <w:rPr>
          <w:lang w:val="en-GB"/>
        </w:rPr>
        <w:t xml:space="preserve">n 2007, 899 </w:t>
      </w:r>
      <w:r w:rsidR="009D50E6" w:rsidRPr="00BA6590">
        <w:rPr>
          <w:lang w:val="en-GB"/>
        </w:rPr>
        <w:t>i</w:t>
      </w:r>
      <w:r w:rsidRPr="00BA6590">
        <w:rPr>
          <w:lang w:val="en-GB"/>
        </w:rPr>
        <w:t xml:space="preserve">n 2008, 840 </w:t>
      </w:r>
      <w:r w:rsidR="009D50E6" w:rsidRPr="00BA6590">
        <w:rPr>
          <w:lang w:val="en-GB"/>
        </w:rPr>
        <w:t>i</w:t>
      </w:r>
      <w:r w:rsidRPr="00BA6590">
        <w:rPr>
          <w:lang w:val="en-GB"/>
        </w:rPr>
        <w:t xml:space="preserve">n 2009, 767 </w:t>
      </w:r>
      <w:r w:rsidR="009D50E6" w:rsidRPr="00BA6590">
        <w:rPr>
          <w:lang w:val="en-GB"/>
        </w:rPr>
        <w:t>i</w:t>
      </w:r>
      <w:r w:rsidRPr="00BA6590">
        <w:rPr>
          <w:lang w:val="en-GB"/>
        </w:rPr>
        <w:t xml:space="preserve">n 2010 </w:t>
      </w:r>
      <w:r w:rsidR="009D50E6" w:rsidRPr="00BA6590">
        <w:rPr>
          <w:lang w:val="en-GB"/>
        </w:rPr>
        <w:t>and</w:t>
      </w:r>
      <w:r w:rsidRPr="00BA6590">
        <w:rPr>
          <w:lang w:val="en-GB"/>
        </w:rPr>
        <w:t xml:space="preserve"> 740 </w:t>
      </w:r>
      <w:r w:rsidR="009D50E6" w:rsidRPr="00BA6590">
        <w:rPr>
          <w:lang w:val="en-GB"/>
        </w:rPr>
        <w:t>i</w:t>
      </w:r>
      <w:r w:rsidR="005E69EC" w:rsidRPr="00BA6590">
        <w:rPr>
          <w:lang w:val="en-GB"/>
        </w:rPr>
        <w:t>n 2011</w:t>
      </w:r>
      <w:r w:rsidR="00961148" w:rsidRPr="00BA6590">
        <w:rPr>
          <w:lang w:val="en-GB"/>
        </w:rPr>
        <w:t xml:space="preserve"> </w:t>
      </w:r>
      <w:r w:rsidR="005E69EC" w:rsidRPr="00BA6590">
        <w:rPr>
          <w:lang w:val="en-GB"/>
        </w:rPr>
        <w:t>—</w:t>
      </w:r>
      <w:r w:rsidRPr="00BA6590">
        <w:rPr>
          <w:lang w:val="en-GB"/>
        </w:rPr>
        <w:t xml:space="preserve"> </w:t>
      </w:r>
      <w:r w:rsidR="009D50E6" w:rsidRPr="00BA6590">
        <w:rPr>
          <w:lang w:val="en-GB"/>
        </w:rPr>
        <w:t>were investigated by public prosecutors in Belgium</w:t>
      </w:r>
      <w:r w:rsidRPr="00BA6590">
        <w:rPr>
          <w:lang w:val="en-GB"/>
        </w:rPr>
        <w:t xml:space="preserve"> (table</w:t>
      </w:r>
      <w:r w:rsidR="009D50E6" w:rsidRPr="00BA6590">
        <w:rPr>
          <w:lang w:val="en-GB"/>
        </w:rPr>
        <w:t>s 1 and</w:t>
      </w:r>
      <w:r w:rsidRPr="00BA6590">
        <w:rPr>
          <w:lang w:val="en-GB"/>
        </w:rPr>
        <w:t xml:space="preserve"> 3).</w:t>
      </w:r>
      <w:r w:rsidR="009D50E6" w:rsidRPr="00BA6590">
        <w:rPr>
          <w:lang w:val="en-GB"/>
        </w:rPr>
        <w:t xml:space="preserve"> As in the previous years, the judicial district of Brussels stands out as the one where there are the greatest numbers of such complaints. </w:t>
      </w:r>
    </w:p>
    <w:p w:rsidR="005C2561" w:rsidRPr="00BA6590" w:rsidRDefault="005C2561" w:rsidP="005C2561">
      <w:pPr>
        <w:pStyle w:val="SingleTxtG"/>
        <w:rPr>
          <w:lang w:val="en-GB"/>
        </w:rPr>
      </w:pPr>
      <w:r w:rsidRPr="00BA6590">
        <w:rPr>
          <w:lang w:val="en-GB"/>
        </w:rPr>
        <w:t>290.</w:t>
      </w:r>
      <w:r w:rsidRPr="00BA6590">
        <w:rPr>
          <w:lang w:val="en-GB"/>
        </w:rPr>
        <w:tab/>
      </w:r>
      <w:r w:rsidR="00B8759B" w:rsidRPr="00BA6590">
        <w:rPr>
          <w:lang w:val="en-GB"/>
        </w:rPr>
        <w:t xml:space="preserve">Of the total number of cases opened, </w:t>
      </w:r>
      <w:r w:rsidRPr="00BA6590">
        <w:rPr>
          <w:lang w:val="en-GB"/>
        </w:rPr>
        <w:t>4</w:t>
      </w:r>
      <w:r w:rsidR="00B8759B" w:rsidRPr="00BA6590">
        <w:rPr>
          <w:lang w:val="en-GB"/>
        </w:rPr>
        <w:t>,</w:t>
      </w:r>
      <w:r w:rsidRPr="00BA6590">
        <w:rPr>
          <w:lang w:val="en-GB"/>
        </w:rPr>
        <w:t>138</w:t>
      </w:r>
      <w:r w:rsidR="00B8759B" w:rsidRPr="00BA6590">
        <w:rPr>
          <w:lang w:val="en-GB"/>
        </w:rPr>
        <w:t xml:space="preserve"> were </w:t>
      </w:r>
      <w:r w:rsidR="005E69EC" w:rsidRPr="00BA6590">
        <w:rPr>
          <w:lang w:val="en-GB"/>
        </w:rPr>
        <w:t>closed with no action taken</w:t>
      </w:r>
      <w:r w:rsidR="00072127">
        <w:rPr>
          <w:lang w:val="en-GB"/>
        </w:rPr>
        <w:t xml:space="preserve"> (table </w:t>
      </w:r>
      <w:r w:rsidRPr="00BA6590">
        <w:rPr>
          <w:lang w:val="en-GB"/>
        </w:rPr>
        <w:t>4)</w:t>
      </w:r>
      <w:r w:rsidR="00ED343D" w:rsidRPr="00BA6590">
        <w:rPr>
          <w:lang w:val="en-GB"/>
        </w:rPr>
        <w:t>:</w:t>
      </w:r>
      <w:r w:rsidRPr="00BA6590">
        <w:rPr>
          <w:lang w:val="en-GB"/>
        </w:rPr>
        <w:t xml:space="preserve"> 2</w:t>
      </w:r>
      <w:r w:rsidR="00B8759B" w:rsidRPr="00BA6590">
        <w:rPr>
          <w:lang w:val="en-GB"/>
        </w:rPr>
        <w:t>,</w:t>
      </w:r>
      <w:r w:rsidRPr="00BA6590">
        <w:rPr>
          <w:lang w:val="en-GB"/>
        </w:rPr>
        <w:t xml:space="preserve">757 </w:t>
      </w:r>
      <w:r w:rsidR="00B8759B" w:rsidRPr="00BA6590">
        <w:rPr>
          <w:lang w:val="en-GB"/>
        </w:rPr>
        <w:t>for technical reasons</w:t>
      </w:r>
      <w:r w:rsidR="005E69EC" w:rsidRPr="00BA6590">
        <w:rPr>
          <w:lang w:val="en-GB"/>
        </w:rPr>
        <w:t xml:space="preserve">, </w:t>
      </w:r>
      <w:r w:rsidR="00B8759B" w:rsidRPr="00BA6590">
        <w:rPr>
          <w:lang w:val="en-GB"/>
        </w:rPr>
        <w:t xml:space="preserve">such as the absence of an offence, insufficient charges or </w:t>
      </w:r>
      <w:r w:rsidRPr="00BA6590">
        <w:rPr>
          <w:lang w:val="en-GB"/>
        </w:rPr>
        <w:t>prescription, 1</w:t>
      </w:r>
      <w:r w:rsidR="00B8759B" w:rsidRPr="00BA6590">
        <w:rPr>
          <w:lang w:val="en-GB"/>
        </w:rPr>
        <w:t>,</w:t>
      </w:r>
      <w:r w:rsidRPr="00BA6590">
        <w:rPr>
          <w:lang w:val="en-GB"/>
        </w:rPr>
        <w:t>251</w:t>
      </w:r>
      <w:r w:rsidR="00B8759B" w:rsidRPr="00BA6590">
        <w:rPr>
          <w:lang w:val="en-GB"/>
        </w:rPr>
        <w:t xml:space="preserve"> because it was considered inappropriate to proceed</w:t>
      </w:r>
      <w:r w:rsidRPr="00BA6590">
        <w:rPr>
          <w:lang w:val="en-GB"/>
        </w:rPr>
        <w:t xml:space="preserve"> (</w:t>
      </w:r>
      <w:r w:rsidR="00B8759B" w:rsidRPr="00BA6590">
        <w:rPr>
          <w:lang w:val="en-GB"/>
        </w:rPr>
        <w:t>for example, because the offender was very young or had no previous criminal record</w:t>
      </w:r>
      <w:r w:rsidRPr="00BA6590">
        <w:rPr>
          <w:lang w:val="en-GB"/>
        </w:rPr>
        <w:t xml:space="preserve">) </w:t>
      </w:r>
      <w:r w:rsidR="00B8759B" w:rsidRPr="00BA6590">
        <w:rPr>
          <w:lang w:val="en-GB"/>
        </w:rPr>
        <w:t>and</w:t>
      </w:r>
      <w:r w:rsidRPr="00BA6590">
        <w:rPr>
          <w:lang w:val="en-GB"/>
        </w:rPr>
        <w:t xml:space="preserve"> 130 </w:t>
      </w:r>
      <w:r w:rsidR="00B8759B" w:rsidRPr="00BA6590">
        <w:rPr>
          <w:lang w:val="en-GB"/>
        </w:rPr>
        <w:t>for other reasons</w:t>
      </w:r>
      <w:r w:rsidRPr="00BA6590">
        <w:rPr>
          <w:lang w:val="en-GB"/>
        </w:rPr>
        <w:t xml:space="preserve"> (table 5).</w:t>
      </w:r>
    </w:p>
    <w:p w:rsidR="005C2561" w:rsidRPr="00BA6590" w:rsidRDefault="005C2561" w:rsidP="005C2561">
      <w:pPr>
        <w:pStyle w:val="SingleTxtG"/>
        <w:rPr>
          <w:lang w:val="en-GB"/>
        </w:rPr>
      </w:pPr>
      <w:r w:rsidRPr="00BA6590">
        <w:rPr>
          <w:lang w:val="en-GB"/>
        </w:rPr>
        <w:t>291.</w:t>
      </w:r>
      <w:r w:rsidR="004E090E" w:rsidRPr="00BA6590">
        <w:rPr>
          <w:lang w:val="en-GB"/>
        </w:rPr>
        <w:tab/>
      </w:r>
      <w:r w:rsidR="009763E6" w:rsidRPr="00BA6590">
        <w:rPr>
          <w:lang w:val="en-GB"/>
        </w:rPr>
        <w:t xml:space="preserve">Of the cases brought to the courts, </w:t>
      </w:r>
      <w:r w:rsidRPr="00BA6590">
        <w:rPr>
          <w:lang w:val="en-GB"/>
        </w:rPr>
        <w:t>354</w:t>
      </w:r>
      <w:r w:rsidR="009763E6" w:rsidRPr="00BA6590">
        <w:rPr>
          <w:lang w:val="en-GB"/>
        </w:rPr>
        <w:t xml:space="preserve"> led to decisions of the criminal court. In all, there were </w:t>
      </w:r>
      <w:r w:rsidRPr="00BA6590">
        <w:rPr>
          <w:lang w:val="en-GB"/>
        </w:rPr>
        <w:t>240 con</w:t>
      </w:r>
      <w:r w:rsidR="009763E6" w:rsidRPr="00BA6590">
        <w:rPr>
          <w:lang w:val="en-GB"/>
        </w:rPr>
        <w:t>vict</w:t>
      </w:r>
      <w:r w:rsidRPr="00BA6590">
        <w:rPr>
          <w:lang w:val="en-GB"/>
        </w:rPr>
        <w:t>ions, 44 suspensions et 56 acquitt</w:t>
      </w:r>
      <w:r w:rsidR="009763E6" w:rsidRPr="00BA6590">
        <w:rPr>
          <w:lang w:val="en-GB"/>
        </w:rPr>
        <w:t>al</w:t>
      </w:r>
      <w:r w:rsidRPr="00BA6590">
        <w:rPr>
          <w:lang w:val="en-GB"/>
        </w:rPr>
        <w:t>s (table 6).</w:t>
      </w:r>
    </w:p>
    <w:p w:rsidR="005C2561" w:rsidRPr="00BA6590" w:rsidRDefault="005C2561" w:rsidP="005C2561">
      <w:pPr>
        <w:pStyle w:val="H4G"/>
        <w:rPr>
          <w:lang w:val="en-GB"/>
        </w:rPr>
      </w:pPr>
      <w:r w:rsidRPr="00BA6590">
        <w:rPr>
          <w:lang w:val="en-GB"/>
        </w:rPr>
        <w:tab/>
      </w:r>
      <w:r w:rsidRPr="00BA6590">
        <w:rPr>
          <w:lang w:val="en-GB"/>
        </w:rPr>
        <w:tab/>
        <w:t>Con</w:t>
      </w:r>
      <w:r w:rsidR="00E54148" w:rsidRPr="00BA6590">
        <w:rPr>
          <w:lang w:val="en-GB"/>
        </w:rPr>
        <w:t>vict</w:t>
      </w:r>
      <w:r w:rsidRPr="00BA6590">
        <w:rPr>
          <w:lang w:val="en-GB"/>
        </w:rPr>
        <w:t>ions</w:t>
      </w:r>
      <w:r w:rsidR="00E54148" w:rsidRPr="00BA6590">
        <w:rPr>
          <w:lang w:val="en-GB"/>
        </w:rPr>
        <w:t xml:space="preserve"> for</w:t>
      </w:r>
      <w:r w:rsidRPr="00BA6590">
        <w:rPr>
          <w:lang w:val="en-GB"/>
        </w:rPr>
        <w:t xml:space="preserve"> </w:t>
      </w:r>
      <w:r w:rsidR="00E54148" w:rsidRPr="00BA6590">
        <w:rPr>
          <w:lang w:val="en-GB"/>
        </w:rPr>
        <w:t>racist and xenophobic acts</w:t>
      </w:r>
    </w:p>
    <w:p w:rsidR="005C2561" w:rsidRPr="00BA6590" w:rsidRDefault="005C2561" w:rsidP="00482A68">
      <w:pPr>
        <w:pStyle w:val="SingleTxtG"/>
        <w:rPr>
          <w:lang w:val="en-GB"/>
        </w:rPr>
      </w:pPr>
      <w:r w:rsidRPr="00BA6590">
        <w:rPr>
          <w:lang w:val="en-GB"/>
        </w:rPr>
        <w:t>292.</w:t>
      </w:r>
      <w:r w:rsidRPr="00BA6590">
        <w:rPr>
          <w:lang w:val="en-GB"/>
        </w:rPr>
        <w:tab/>
      </w:r>
      <w:r w:rsidR="009763E6" w:rsidRPr="00BA6590">
        <w:rPr>
          <w:lang w:val="en-GB"/>
        </w:rPr>
        <w:t>The Criminal Law Policy</w:t>
      </w:r>
      <w:r w:rsidRPr="00BA6590">
        <w:rPr>
          <w:lang w:val="en-GB"/>
        </w:rPr>
        <w:t xml:space="preserve"> Service, </w:t>
      </w:r>
      <w:r w:rsidR="009763E6" w:rsidRPr="00BA6590">
        <w:rPr>
          <w:lang w:val="en-GB"/>
        </w:rPr>
        <w:t>part of the</w:t>
      </w:r>
      <w:r w:rsidRPr="00BA6590">
        <w:rPr>
          <w:lang w:val="en-GB"/>
        </w:rPr>
        <w:t xml:space="preserve"> </w:t>
      </w:r>
      <w:r w:rsidR="005F073C" w:rsidRPr="00BA6590">
        <w:rPr>
          <w:lang w:val="en-GB"/>
        </w:rPr>
        <w:t>Federal Department of Justice</w:t>
      </w:r>
      <w:r w:rsidRPr="00BA6590">
        <w:rPr>
          <w:lang w:val="en-GB"/>
        </w:rPr>
        <w:t>,</w:t>
      </w:r>
      <w:r w:rsidR="00D94C5A" w:rsidRPr="00BA6590">
        <w:rPr>
          <w:lang w:val="en-GB"/>
        </w:rPr>
        <w:t xml:space="preserve"> has </w:t>
      </w:r>
      <w:r w:rsidR="009763E6" w:rsidRPr="00BA6590">
        <w:rPr>
          <w:lang w:val="en-GB"/>
        </w:rPr>
        <w:t>provided statistics on criminal convictions in the area of racism and xenophobia for 2006</w:t>
      </w:r>
      <w:r w:rsidR="00D94C5A" w:rsidRPr="00BA6590">
        <w:rPr>
          <w:szCs w:val="24"/>
          <w:lang w:val="en-GB"/>
        </w:rPr>
        <w:t>–</w:t>
      </w:r>
      <w:r w:rsidRPr="00BA6590">
        <w:rPr>
          <w:lang w:val="en-GB"/>
        </w:rPr>
        <w:t>2010.</w:t>
      </w:r>
      <w:r w:rsidR="009763E6" w:rsidRPr="00BA6590">
        <w:rPr>
          <w:lang w:val="en-GB"/>
        </w:rPr>
        <w:t xml:space="preserve"> The figures show an increase in convictions for such offences during the period:</w:t>
      </w:r>
    </w:p>
    <w:p w:rsidR="005C2561" w:rsidRPr="00BA6590" w:rsidRDefault="009763E6" w:rsidP="00482A68">
      <w:pPr>
        <w:pStyle w:val="Bullet1G"/>
        <w:rPr>
          <w:lang w:val="en-GB"/>
        </w:rPr>
      </w:pPr>
      <w:r w:rsidRPr="00BA6590">
        <w:rPr>
          <w:lang w:val="en-GB"/>
        </w:rPr>
        <w:t>I</w:t>
      </w:r>
      <w:r w:rsidR="005C2561" w:rsidRPr="00BA6590">
        <w:rPr>
          <w:lang w:val="en-GB"/>
        </w:rPr>
        <w:t>n 2006</w:t>
      </w:r>
      <w:r w:rsidR="00BF26B1" w:rsidRPr="00BA6590">
        <w:rPr>
          <w:lang w:val="en-GB"/>
        </w:rPr>
        <w:t>,</w:t>
      </w:r>
      <w:r w:rsidR="005C2561" w:rsidRPr="00BA6590">
        <w:rPr>
          <w:lang w:val="en-GB"/>
        </w:rPr>
        <w:t xml:space="preserve"> 31</w:t>
      </w:r>
      <w:r w:rsidR="00532015" w:rsidRPr="00BA6590">
        <w:rPr>
          <w:lang w:val="en-GB"/>
        </w:rPr>
        <w:t>;</w:t>
      </w:r>
    </w:p>
    <w:p w:rsidR="005C2561" w:rsidRPr="00BA6590" w:rsidRDefault="009763E6" w:rsidP="005C2561">
      <w:pPr>
        <w:pStyle w:val="Bullet1G"/>
        <w:rPr>
          <w:lang w:val="en-GB"/>
        </w:rPr>
      </w:pPr>
      <w:r w:rsidRPr="00BA6590">
        <w:rPr>
          <w:lang w:val="en-GB"/>
        </w:rPr>
        <w:t>I</w:t>
      </w:r>
      <w:r w:rsidR="00BF26B1" w:rsidRPr="00BA6590">
        <w:rPr>
          <w:lang w:val="en-GB"/>
        </w:rPr>
        <w:t>n 2007,</w:t>
      </w:r>
      <w:r w:rsidR="005C2561" w:rsidRPr="00BA6590">
        <w:rPr>
          <w:lang w:val="en-GB"/>
        </w:rPr>
        <w:t xml:space="preserve"> 29</w:t>
      </w:r>
      <w:r w:rsidR="00532015" w:rsidRPr="00BA6590">
        <w:rPr>
          <w:lang w:val="en-GB"/>
        </w:rPr>
        <w:t>;</w:t>
      </w:r>
    </w:p>
    <w:p w:rsidR="005C2561" w:rsidRPr="00BA6590" w:rsidRDefault="009763E6" w:rsidP="005C2561">
      <w:pPr>
        <w:pStyle w:val="Bullet1G"/>
        <w:rPr>
          <w:lang w:val="en-GB"/>
        </w:rPr>
      </w:pPr>
      <w:r w:rsidRPr="00BA6590">
        <w:rPr>
          <w:lang w:val="en-GB"/>
        </w:rPr>
        <w:t>I</w:t>
      </w:r>
      <w:r w:rsidR="00BF26B1" w:rsidRPr="00BA6590">
        <w:rPr>
          <w:lang w:val="en-GB"/>
        </w:rPr>
        <w:t>n 2008,</w:t>
      </w:r>
      <w:r w:rsidR="005C2561" w:rsidRPr="00BA6590">
        <w:rPr>
          <w:lang w:val="en-GB"/>
        </w:rPr>
        <w:t xml:space="preserve"> 36</w:t>
      </w:r>
      <w:r w:rsidR="00532015" w:rsidRPr="00BA6590">
        <w:rPr>
          <w:lang w:val="en-GB"/>
        </w:rPr>
        <w:t>;</w:t>
      </w:r>
    </w:p>
    <w:p w:rsidR="005C2561" w:rsidRPr="00BA6590" w:rsidRDefault="009763E6" w:rsidP="005C2561">
      <w:pPr>
        <w:pStyle w:val="Bullet1G"/>
        <w:rPr>
          <w:lang w:val="en-GB"/>
        </w:rPr>
      </w:pPr>
      <w:r w:rsidRPr="00BA6590">
        <w:rPr>
          <w:lang w:val="en-GB"/>
        </w:rPr>
        <w:t>I</w:t>
      </w:r>
      <w:r w:rsidR="00BF26B1" w:rsidRPr="00BA6590">
        <w:rPr>
          <w:lang w:val="en-GB"/>
        </w:rPr>
        <w:t>n 2009,</w:t>
      </w:r>
      <w:r w:rsidR="005C2561" w:rsidRPr="00BA6590">
        <w:rPr>
          <w:lang w:val="en-GB"/>
        </w:rPr>
        <w:t xml:space="preserve"> 45</w:t>
      </w:r>
      <w:r w:rsidR="00532015" w:rsidRPr="00BA6590">
        <w:rPr>
          <w:lang w:val="en-GB"/>
        </w:rPr>
        <w:t>;</w:t>
      </w:r>
    </w:p>
    <w:p w:rsidR="005C2561" w:rsidRPr="00BA6590" w:rsidRDefault="009763E6" w:rsidP="005C2561">
      <w:pPr>
        <w:pStyle w:val="Bullet1G"/>
        <w:rPr>
          <w:lang w:val="en-GB"/>
        </w:rPr>
      </w:pPr>
      <w:r w:rsidRPr="00BA6590">
        <w:rPr>
          <w:lang w:val="en-GB"/>
        </w:rPr>
        <w:t>I</w:t>
      </w:r>
      <w:r w:rsidR="00BF26B1" w:rsidRPr="00BA6590">
        <w:rPr>
          <w:lang w:val="en-GB"/>
        </w:rPr>
        <w:t>n 2010,</w:t>
      </w:r>
      <w:r w:rsidR="005C2561" w:rsidRPr="00BA6590">
        <w:rPr>
          <w:lang w:val="en-GB"/>
        </w:rPr>
        <w:t xml:space="preserve"> 51</w:t>
      </w:r>
      <w:r w:rsidR="00BF26B1" w:rsidRPr="00BA6590">
        <w:rPr>
          <w:lang w:val="en-GB"/>
        </w:rPr>
        <w:t>.</w:t>
      </w:r>
    </w:p>
    <w:p w:rsidR="005C2561" w:rsidRPr="00BA6590" w:rsidRDefault="005C2561" w:rsidP="00482A68">
      <w:pPr>
        <w:pStyle w:val="SingleTxtG"/>
        <w:rPr>
          <w:lang w:val="en-GB"/>
        </w:rPr>
      </w:pPr>
      <w:r w:rsidRPr="00BA6590">
        <w:rPr>
          <w:lang w:val="en-GB"/>
        </w:rPr>
        <w:t>293.</w:t>
      </w:r>
      <w:r w:rsidRPr="00BA6590">
        <w:rPr>
          <w:lang w:val="en-GB"/>
        </w:rPr>
        <w:tab/>
      </w:r>
      <w:r w:rsidR="00B736D0" w:rsidRPr="00BA6590">
        <w:rPr>
          <w:lang w:val="en-GB"/>
        </w:rPr>
        <w:t xml:space="preserve">Figures for </w:t>
      </w:r>
      <w:r w:rsidRPr="00BA6590">
        <w:rPr>
          <w:lang w:val="en-GB"/>
        </w:rPr>
        <w:t xml:space="preserve">2011 </w:t>
      </w:r>
      <w:r w:rsidR="00B736D0" w:rsidRPr="00BA6590">
        <w:rPr>
          <w:lang w:val="en-GB"/>
        </w:rPr>
        <w:t>and</w:t>
      </w:r>
      <w:r w:rsidRPr="00BA6590">
        <w:rPr>
          <w:lang w:val="en-GB"/>
        </w:rPr>
        <w:t xml:space="preserve"> 2012 </w:t>
      </w:r>
      <w:r w:rsidR="00B736D0" w:rsidRPr="00BA6590">
        <w:rPr>
          <w:lang w:val="en-GB"/>
        </w:rPr>
        <w:t>are not yet available</w:t>
      </w:r>
      <w:r w:rsidR="00CA12A1" w:rsidRPr="00BA6590">
        <w:rPr>
          <w:lang w:val="en-GB"/>
        </w:rPr>
        <w:t>. Statistics on convictions can be found at the website of the Criminal Law Policy Service</w:t>
      </w:r>
      <w:r w:rsidR="00ED343D" w:rsidRPr="00BA6590">
        <w:rPr>
          <w:lang w:val="en-GB"/>
        </w:rPr>
        <w:t>:</w:t>
      </w:r>
      <w:r w:rsidR="00CA12A1" w:rsidRPr="00BA6590">
        <w:rPr>
          <w:lang w:val="en-GB"/>
        </w:rPr>
        <w:t xml:space="preserve"> www.dsb-spc.be</w:t>
      </w:r>
      <w:r w:rsidR="00D94C5A" w:rsidRPr="00BA6590">
        <w:rPr>
          <w:lang w:val="en-GB"/>
        </w:rPr>
        <w:t>.</w:t>
      </w:r>
    </w:p>
    <w:p w:rsidR="005C2561" w:rsidRPr="00BA6590" w:rsidRDefault="005C2561" w:rsidP="005C2561">
      <w:pPr>
        <w:pStyle w:val="H4G"/>
        <w:rPr>
          <w:lang w:val="en-GB"/>
        </w:rPr>
      </w:pPr>
      <w:r w:rsidRPr="00BA6590">
        <w:rPr>
          <w:lang w:val="en-GB"/>
        </w:rPr>
        <w:tab/>
      </w:r>
      <w:r w:rsidRPr="00BA6590">
        <w:rPr>
          <w:lang w:val="en-GB"/>
        </w:rPr>
        <w:tab/>
      </w:r>
      <w:r w:rsidR="00E672DA" w:rsidRPr="00BA6590">
        <w:rPr>
          <w:lang w:val="en-GB"/>
        </w:rPr>
        <w:t>Reports and cases recorded by the Centre on the basis of criteria protected by the</w:t>
      </w:r>
      <w:r w:rsidRPr="00BA6590">
        <w:rPr>
          <w:lang w:val="en-GB"/>
        </w:rPr>
        <w:t xml:space="preserve"> </w:t>
      </w:r>
      <w:r w:rsidR="00B619C6" w:rsidRPr="00BA6590">
        <w:rPr>
          <w:lang w:val="en-GB"/>
        </w:rPr>
        <w:br/>
      </w:r>
      <w:r w:rsidR="000B5D7C" w:rsidRPr="00BA6590">
        <w:rPr>
          <w:lang w:val="en-GB"/>
        </w:rPr>
        <w:t>Act</w:t>
      </w:r>
      <w:r w:rsidR="00236121" w:rsidRPr="00BA6590">
        <w:rPr>
          <w:lang w:val="en-GB"/>
        </w:rPr>
        <w:t xml:space="preserve"> of 30 July 1981</w:t>
      </w:r>
      <w:r w:rsidR="000B5D7C" w:rsidRPr="00BA6590">
        <w:rPr>
          <w:lang w:val="en-GB"/>
        </w:rPr>
        <w:t xml:space="preserve"> </w:t>
      </w:r>
      <w:r w:rsidR="00E672DA" w:rsidRPr="00BA6590">
        <w:rPr>
          <w:lang w:val="en-GB"/>
        </w:rPr>
        <w:t xml:space="preserve">and </w:t>
      </w:r>
      <w:r w:rsidR="00D41C4D" w:rsidRPr="00BA6590">
        <w:rPr>
          <w:lang w:val="en-GB"/>
        </w:rPr>
        <w:t>actions</w:t>
      </w:r>
      <w:r w:rsidR="00EE302C" w:rsidRPr="00BA6590">
        <w:rPr>
          <w:lang w:val="en-GB"/>
        </w:rPr>
        <w:t xml:space="preserve"> </w:t>
      </w:r>
      <w:r w:rsidR="00D41C4D" w:rsidRPr="00BA6590">
        <w:rPr>
          <w:lang w:val="en-GB"/>
        </w:rPr>
        <w:t>brought before the courts</w:t>
      </w:r>
    </w:p>
    <w:p w:rsidR="005C2561" w:rsidRPr="00BA6590" w:rsidRDefault="00E672DA" w:rsidP="00671849">
      <w:pPr>
        <w:pStyle w:val="SingleTxtG"/>
        <w:rPr>
          <w:lang w:val="en-GB"/>
        </w:rPr>
      </w:pPr>
      <w:r w:rsidRPr="00BA6590">
        <w:rPr>
          <w:lang w:val="en-GB"/>
        </w:rPr>
        <w:t>294.</w:t>
      </w:r>
      <w:r w:rsidRPr="00BA6590">
        <w:rPr>
          <w:lang w:val="en-GB"/>
        </w:rPr>
        <w:tab/>
        <w:t>The</w:t>
      </w:r>
      <w:r w:rsidR="005C2561" w:rsidRPr="00BA6590">
        <w:rPr>
          <w:lang w:val="en-GB"/>
        </w:rPr>
        <w:t xml:space="preserve"> </w:t>
      </w:r>
      <w:r w:rsidRPr="00BA6590">
        <w:rPr>
          <w:lang w:val="en-GB"/>
        </w:rPr>
        <w:t xml:space="preserve">website of the </w:t>
      </w:r>
      <w:r w:rsidR="004B472D" w:rsidRPr="00BA6590">
        <w:rPr>
          <w:lang w:val="en-GB"/>
        </w:rPr>
        <w:t>Centre for Equal Opportunities and Action</w:t>
      </w:r>
      <w:r w:rsidR="006E73EA" w:rsidRPr="00BA6590">
        <w:rPr>
          <w:lang w:val="en-GB"/>
        </w:rPr>
        <w:t xml:space="preserve"> to Combat Racism</w:t>
      </w:r>
      <w:r w:rsidRPr="00BA6590">
        <w:rPr>
          <w:lang w:val="en-GB"/>
        </w:rPr>
        <w:t xml:space="preserve"> </w:t>
      </w:r>
      <w:r w:rsidR="005C2561" w:rsidRPr="00BA6590">
        <w:rPr>
          <w:lang w:val="en-GB"/>
        </w:rPr>
        <w:t>(www.diversite.be)</w:t>
      </w:r>
      <w:r w:rsidRPr="00BA6590">
        <w:rPr>
          <w:lang w:val="en-GB"/>
        </w:rPr>
        <w:t xml:space="preserve"> lists</w:t>
      </w:r>
      <w:r w:rsidR="00C76216" w:rsidRPr="00BA6590">
        <w:rPr>
          <w:lang w:val="en-GB"/>
        </w:rPr>
        <w:t xml:space="preserve"> the decisions of Belgian courts under the Act</w:t>
      </w:r>
      <w:r w:rsidR="00236121" w:rsidRPr="00BA6590">
        <w:rPr>
          <w:lang w:val="en-GB"/>
        </w:rPr>
        <w:t xml:space="preserve"> of 30 July 1981</w:t>
      </w:r>
      <w:r w:rsidR="00C76216" w:rsidRPr="00BA6590">
        <w:rPr>
          <w:lang w:val="en-GB"/>
        </w:rPr>
        <w:t xml:space="preserve">, </w:t>
      </w:r>
      <w:r w:rsidR="00236121" w:rsidRPr="00BA6590">
        <w:rPr>
          <w:lang w:val="en-GB"/>
        </w:rPr>
        <w:t xml:space="preserve">as </w:t>
      </w:r>
      <w:r w:rsidR="00C76216" w:rsidRPr="00BA6590">
        <w:rPr>
          <w:lang w:val="en-GB"/>
        </w:rPr>
        <w:t xml:space="preserve">amended by the </w:t>
      </w:r>
      <w:r w:rsidR="007B1A40" w:rsidRPr="00BA6590">
        <w:rPr>
          <w:lang w:val="en-GB"/>
        </w:rPr>
        <w:t>Act</w:t>
      </w:r>
      <w:r w:rsidR="00236121" w:rsidRPr="00BA6590">
        <w:rPr>
          <w:lang w:val="en-GB"/>
        </w:rPr>
        <w:t xml:space="preserve"> of 10 May 2007</w:t>
      </w:r>
      <w:r w:rsidR="00C76216" w:rsidRPr="00BA6590">
        <w:rPr>
          <w:lang w:val="en-GB"/>
        </w:rPr>
        <w:t>, and the Act</w:t>
      </w:r>
      <w:r w:rsidR="00236121" w:rsidRPr="00BA6590">
        <w:rPr>
          <w:lang w:val="en-GB"/>
        </w:rPr>
        <w:t xml:space="preserve"> of 23 March 1995 penalizing the denial, minimization, justification or approval of the genocide perpetrated by the national-socialist regime in Germany during the second world war</w:t>
      </w:r>
      <w:r w:rsidR="00C76216" w:rsidRPr="00BA6590">
        <w:rPr>
          <w:lang w:val="en-GB"/>
        </w:rPr>
        <w:t xml:space="preserve">, as well as jurisprudence in combating trafficking in humans. </w:t>
      </w:r>
    </w:p>
    <w:p w:rsidR="005C2561" w:rsidRPr="00BA6590" w:rsidRDefault="005C2561" w:rsidP="0003107C">
      <w:pPr>
        <w:pStyle w:val="SingleTxtG"/>
        <w:rPr>
          <w:lang w:val="en-GB"/>
        </w:rPr>
      </w:pPr>
      <w:r w:rsidRPr="00BA6590">
        <w:rPr>
          <w:lang w:val="en-GB"/>
        </w:rPr>
        <w:t>295.</w:t>
      </w:r>
      <w:r w:rsidRPr="00BA6590">
        <w:rPr>
          <w:lang w:val="en-GB"/>
        </w:rPr>
        <w:tab/>
      </w:r>
      <w:r w:rsidR="00C76216" w:rsidRPr="00BA6590">
        <w:rPr>
          <w:lang w:val="en-GB"/>
        </w:rPr>
        <w:t xml:space="preserve">The </w:t>
      </w:r>
      <w:r w:rsidRPr="00BA6590">
        <w:rPr>
          <w:lang w:val="en-GB"/>
        </w:rPr>
        <w:t>Centre</w:t>
      </w:r>
      <w:r w:rsidR="00C76216" w:rsidRPr="00BA6590">
        <w:rPr>
          <w:lang w:val="en-GB"/>
        </w:rPr>
        <w:t xml:space="preserve"> also publishes yearly figures on the numbers of reports and cases it receives based on the </w:t>
      </w:r>
      <w:r w:rsidR="0025386E" w:rsidRPr="00BA6590">
        <w:rPr>
          <w:lang w:val="en-GB"/>
        </w:rPr>
        <w:t xml:space="preserve">criteria </w:t>
      </w:r>
      <w:r w:rsidR="00C76216" w:rsidRPr="00BA6590">
        <w:rPr>
          <w:lang w:val="en-GB"/>
        </w:rPr>
        <w:t xml:space="preserve">protected by the </w:t>
      </w:r>
      <w:r w:rsidR="000B5D7C" w:rsidRPr="00BA6590">
        <w:rPr>
          <w:lang w:val="en-GB"/>
        </w:rPr>
        <w:t>Act</w:t>
      </w:r>
      <w:r w:rsidR="00236121" w:rsidRPr="00BA6590">
        <w:rPr>
          <w:lang w:val="en-GB"/>
        </w:rPr>
        <w:t xml:space="preserve"> of 30 July 1981</w:t>
      </w:r>
      <w:r w:rsidRPr="00BA6590">
        <w:rPr>
          <w:lang w:val="en-GB"/>
        </w:rPr>
        <w:t xml:space="preserve"> (</w:t>
      </w:r>
      <w:r w:rsidR="00C76216" w:rsidRPr="00BA6590">
        <w:rPr>
          <w:lang w:val="en-GB"/>
        </w:rPr>
        <w:t>presumed race, skin colour, parentage or national or ethnic origin</w:t>
      </w:r>
      <w:r w:rsidRPr="00BA6590">
        <w:rPr>
          <w:lang w:val="en-GB"/>
        </w:rPr>
        <w:t>).</w:t>
      </w:r>
      <w:r w:rsidR="00C76216" w:rsidRPr="00BA6590">
        <w:rPr>
          <w:lang w:val="en-GB"/>
        </w:rPr>
        <w:t xml:space="preserve"> For more detailed figures, see </w:t>
      </w:r>
      <w:r w:rsidRPr="00BA6590">
        <w:rPr>
          <w:lang w:val="en-GB"/>
        </w:rPr>
        <w:t>annex VII, table</w:t>
      </w:r>
      <w:r w:rsidR="00C76216" w:rsidRPr="00BA6590">
        <w:rPr>
          <w:lang w:val="en-GB"/>
        </w:rPr>
        <w:t xml:space="preserve">s </w:t>
      </w:r>
      <w:r w:rsidRPr="00BA6590">
        <w:rPr>
          <w:lang w:val="en-GB"/>
        </w:rPr>
        <w:t xml:space="preserve">5 </w:t>
      </w:r>
      <w:r w:rsidR="00C76216" w:rsidRPr="00BA6590">
        <w:rPr>
          <w:lang w:val="en-GB"/>
        </w:rPr>
        <w:t>and</w:t>
      </w:r>
      <w:r w:rsidRPr="00BA6590">
        <w:rPr>
          <w:lang w:val="en-GB"/>
        </w:rPr>
        <w:t xml:space="preserve"> 6.</w:t>
      </w:r>
      <w:r w:rsidR="00C76216" w:rsidRPr="00BA6590">
        <w:rPr>
          <w:rStyle w:val="FootnoteReference"/>
          <w:lang w:val="en-GB"/>
        </w:rPr>
        <w:footnoteReference w:id="32"/>
      </w:r>
    </w:p>
    <w:p w:rsidR="005C2561" w:rsidRPr="00BA6590" w:rsidRDefault="00C76216" w:rsidP="0003107C">
      <w:pPr>
        <w:pStyle w:val="Bullet1G"/>
        <w:rPr>
          <w:lang w:val="en-GB"/>
        </w:rPr>
      </w:pPr>
      <w:r w:rsidRPr="00BA6590">
        <w:rPr>
          <w:lang w:val="en-GB"/>
        </w:rPr>
        <w:t>I</w:t>
      </w:r>
      <w:r w:rsidR="005C2561" w:rsidRPr="00BA6590">
        <w:rPr>
          <w:lang w:val="en-GB"/>
        </w:rPr>
        <w:t>n 2006</w:t>
      </w:r>
      <w:r w:rsidR="00BF26B1" w:rsidRPr="00BA6590">
        <w:rPr>
          <w:lang w:val="en-GB"/>
        </w:rPr>
        <w:t>,</w:t>
      </w:r>
      <w:r w:rsidR="005C2561" w:rsidRPr="00BA6590">
        <w:rPr>
          <w:lang w:val="en-GB"/>
        </w:rPr>
        <w:t xml:space="preserve"> 987 </w:t>
      </w:r>
      <w:r w:rsidRPr="00BA6590">
        <w:rPr>
          <w:lang w:val="en-GB"/>
        </w:rPr>
        <w:t>reports</w:t>
      </w:r>
      <w:r w:rsidR="00B619C6" w:rsidRPr="00BA6590">
        <w:rPr>
          <w:lang w:val="en-GB"/>
        </w:rPr>
        <w:t>;</w:t>
      </w:r>
    </w:p>
    <w:p w:rsidR="005C2561" w:rsidRPr="00BA6590" w:rsidRDefault="00C76216" w:rsidP="005C2561">
      <w:pPr>
        <w:pStyle w:val="Bullet1G"/>
        <w:rPr>
          <w:lang w:val="en-GB"/>
        </w:rPr>
      </w:pPr>
      <w:r w:rsidRPr="00BA6590">
        <w:rPr>
          <w:lang w:val="en-GB"/>
        </w:rPr>
        <w:t>I</w:t>
      </w:r>
      <w:r w:rsidR="005C2561" w:rsidRPr="00BA6590">
        <w:rPr>
          <w:lang w:val="en-GB"/>
        </w:rPr>
        <w:t>n 2007</w:t>
      </w:r>
      <w:r w:rsidR="00BF26B1" w:rsidRPr="00BA6590">
        <w:rPr>
          <w:lang w:val="en-GB"/>
        </w:rPr>
        <w:t>,</w:t>
      </w:r>
      <w:r w:rsidR="005C2561" w:rsidRPr="00BA6590">
        <w:rPr>
          <w:lang w:val="en-GB"/>
        </w:rPr>
        <w:t xml:space="preserve"> 1</w:t>
      </w:r>
      <w:r w:rsidR="00D754B6">
        <w:rPr>
          <w:lang w:val="en-GB"/>
        </w:rPr>
        <w:t>,</w:t>
      </w:r>
      <w:r w:rsidR="005C2561" w:rsidRPr="00BA6590">
        <w:rPr>
          <w:lang w:val="en-GB"/>
        </w:rPr>
        <w:t xml:space="preserve">691 </w:t>
      </w:r>
      <w:r w:rsidRPr="00BA6590">
        <w:rPr>
          <w:lang w:val="en-GB"/>
        </w:rPr>
        <w:t>reports</w:t>
      </w:r>
      <w:r w:rsidR="00B619C6" w:rsidRPr="00BA6590">
        <w:rPr>
          <w:lang w:val="en-GB"/>
        </w:rPr>
        <w:t>;</w:t>
      </w:r>
    </w:p>
    <w:p w:rsidR="005C2561" w:rsidRPr="00BA6590" w:rsidRDefault="00C76216" w:rsidP="005C2561">
      <w:pPr>
        <w:pStyle w:val="Bullet1G"/>
        <w:rPr>
          <w:lang w:val="en-GB"/>
        </w:rPr>
      </w:pPr>
      <w:r w:rsidRPr="00BA6590">
        <w:rPr>
          <w:lang w:val="en-GB"/>
        </w:rPr>
        <w:t>I</w:t>
      </w:r>
      <w:r w:rsidR="005C2561" w:rsidRPr="00BA6590">
        <w:rPr>
          <w:lang w:val="en-GB"/>
        </w:rPr>
        <w:t>n 2008</w:t>
      </w:r>
      <w:r w:rsidR="00BF26B1" w:rsidRPr="00BA6590">
        <w:rPr>
          <w:lang w:val="en-GB"/>
        </w:rPr>
        <w:t>,</w:t>
      </w:r>
      <w:r w:rsidR="005C2561" w:rsidRPr="00BA6590">
        <w:rPr>
          <w:lang w:val="en-GB"/>
        </w:rPr>
        <w:t xml:space="preserve"> 983 </w:t>
      </w:r>
      <w:r w:rsidRPr="00BA6590">
        <w:rPr>
          <w:lang w:val="en-GB"/>
        </w:rPr>
        <w:t>reports</w:t>
      </w:r>
      <w:r w:rsidR="00B619C6" w:rsidRPr="00BA6590">
        <w:rPr>
          <w:lang w:val="en-GB"/>
        </w:rPr>
        <w:t>;</w:t>
      </w:r>
    </w:p>
    <w:p w:rsidR="005C2561" w:rsidRPr="00BA6590" w:rsidRDefault="00C76216" w:rsidP="005C2561">
      <w:pPr>
        <w:pStyle w:val="Bullet1G"/>
        <w:rPr>
          <w:lang w:val="en-GB"/>
        </w:rPr>
      </w:pPr>
      <w:r w:rsidRPr="00BA6590">
        <w:rPr>
          <w:lang w:val="en-GB"/>
        </w:rPr>
        <w:t>I</w:t>
      </w:r>
      <w:r w:rsidR="005C2561" w:rsidRPr="00BA6590">
        <w:rPr>
          <w:lang w:val="en-GB"/>
        </w:rPr>
        <w:t>n 2009</w:t>
      </w:r>
      <w:r w:rsidR="00BF26B1" w:rsidRPr="00BA6590">
        <w:rPr>
          <w:lang w:val="en-GB"/>
        </w:rPr>
        <w:t>,</w:t>
      </w:r>
      <w:r w:rsidR="005C2561" w:rsidRPr="00BA6590">
        <w:rPr>
          <w:lang w:val="en-GB"/>
        </w:rPr>
        <w:t xml:space="preserve"> </w:t>
      </w:r>
      <w:r w:rsidR="00834782" w:rsidRPr="00BA6590">
        <w:rPr>
          <w:lang w:val="en-GB"/>
        </w:rPr>
        <w:t>1</w:t>
      </w:r>
      <w:r w:rsidR="00D754B6">
        <w:rPr>
          <w:lang w:val="en-GB"/>
        </w:rPr>
        <w:t>,</w:t>
      </w:r>
      <w:r w:rsidR="00834782" w:rsidRPr="00BA6590">
        <w:rPr>
          <w:lang w:val="en-GB"/>
        </w:rPr>
        <w:t xml:space="preserve">081 </w:t>
      </w:r>
      <w:r w:rsidRPr="00BA6590">
        <w:rPr>
          <w:lang w:val="en-GB"/>
        </w:rPr>
        <w:t xml:space="preserve">reports </w:t>
      </w:r>
      <w:r w:rsidR="00BF26B1" w:rsidRPr="00BA6590">
        <w:rPr>
          <w:lang w:val="en-GB"/>
        </w:rPr>
        <w:t xml:space="preserve">and </w:t>
      </w:r>
      <w:r w:rsidR="005C2561" w:rsidRPr="00BA6590">
        <w:rPr>
          <w:lang w:val="en-GB"/>
        </w:rPr>
        <w:t xml:space="preserve">827 </w:t>
      </w:r>
      <w:r w:rsidRPr="00BA6590">
        <w:rPr>
          <w:lang w:val="en-GB"/>
        </w:rPr>
        <w:t>case</w:t>
      </w:r>
      <w:r w:rsidR="005C2561" w:rsidRPr="00BA6590">
        <w:rPr>
          <w:lang w:val="en-GB"/>
        </w:rPr>
        <w:t>s</w:t>
      </w:r>
      <w:r w:rsidR="00B619C6" w:rsidRPr="00BA6590">
        <w:rPr>
          <w:lang w:val="en-GB"/>
        </w:rPr>
        <w:t>;</w:t>
      </w:r>
      <w:r w:rsidR="005C2561" w:rsidRPr="00BA6590">
        <w:rPr>
          <w:rStyle w:val="FootnoteReference"/>
          <w:lang w:val="en-GB"/>
        </w:rPr>
        <w:footnoteReference w:id="33"/>
      </w:r>
    </w:p>
    <w:p w:rsidR="005C2561" w:rsidRPr="00BA6590" w:rsidRDefault="00C76216" w:rsidP="005C2561">
      <w:pPr>
        <w:pStyle w:val="Bullet1G"/>
        <w:rPr>
          <w:lang w:val="en-GB"/>
        </w:rPr>
      </w:pPr>
      <w:r w:rsidRPr="00BA6590">
        <w:rPr>
          <w:lang w:val="en-GB"/>
        </w:rPr>
        <w:t>I</w:t>
      </w:r>
      <w:r w:rsidR="005C2561" w:rsidRPr="00BA6590">
        <w:rPr>
          <w:lang w:val="en-GB"/>
        </w:rPr>
        <w:t>n 2010</w:t>
      </w:r>
      <w:r w:rsidR="00BF26B1" w:rsidRPr="00BA6590">
        <w:rPr>
          <w:lang w:val="en-GB"/>
        </w:rPr>
        <w:t>,</w:t>
      </w:r>
      <w:r w:rsidR="005C2561" w:rsidRPr="00BA6590">
        <w:rPr>
          <w:lang w:val="en-GB"/>
        </w:rPr>
        <w:t xml:space="preserve"> 1</w:t>
      </w:r>
      <w:r w:rsidR="00D754B6">
        <w:rPr>
          <w:lang w:val="en-GB"/>
        </w:rPr>
        <w:t>,</w:t>
      </w:r>
      <w:r w:rsidR="005C2561" w:rsidRPr="00BA6590">
        <w:rPr>
          <w:lang w:val="en-GB"/>
        </w:rPr>
        <w:t xml:space="preserve">266 </w:t>
      </w:r>
      <w:r w:rsidRPr="00BA6590">
        <w:rPr>
          <w:lang w:val="en-GB"/>
        </w:rPr>
        <w:t xml:space="preserve">reports </w:t>
      </w:r>
      <w:r w:rsidR="00BF26B1" w:rsidRPr="00BA6590">
        <w:rPr>
          <w:lang w:val="en-GB"/>
        </w:rPr>
        <w:t xml:space="preserve">and </w:t>
      </w:r>
      <w:r w:rsidR="005C2561" w:rsidRPr="00BA6590">
        <w:rPr>
          <w:lang w:val="en-GB"/>
        </w:rPr>
        <w:t xml:space="preserve">627 </w:t>
      </w:r>
      <w:r w:rsidRPr="00BA6590">
        <w:rPr>
          <w:lang w:val="en-GB"/>
        </w:rPr>
        <w:t>case</w:t>
      </w:r>
      <w:r w:rsidR="005C2561" w:rsidRPr="00BA6590">
        <w:rPr>
          <w:lang w:val="en-GB"/>
        </w:rPr>
        <w:t>s</w:t>
      </w:r>
      <w:r w:rsidR="00B619C6" w:rsidRPr="00BA6590">
        <w:rPr>
          <w:lang w:val="en-GB"/>
        </w:rPr>
        <w:t>;</w:t>
      </w:r>
    </w:p>
    <w:p w:rsidR="005C2561" w:rsidRPr="00BA6590" w:rsidRDefault="00C76216" w:rsidP="005C2561">
      <w:pPr>
        <w:pStyle w:val="Bullet1G"/>
        <w:rPr>
          <w:lang w:val="en-GB"/>
        </w:rPr>
      </w:pPr>
      <w:r w:rsidRPr="00BA6590">
        <w:rPr>
          <w:lang w:val="en-GB"/>
        </w:rPr>
        <w:t>I</w:t>
      </w:r>
      <w:r w:rsidR="005C2561" w:rsidRPr="00BA6590">
        <w:rPr>
          <w:lang w:val="en-GB"/>
        </w:rPr>
        <w:t>n 2011</w:t>
      </w:r>
      <w:r w:rsidR="00BF26B1" w:rsidRPr="00BA6590">
        <w:rPr>
          <w:lang w:val="en-GB"/>
        </w:rPr>
        <w:t>,</w:t>
      </w:r>
      <w:r w:rsidR="005C2561" w:rsidRPr="00BA6590">
        <w:rPr>
          <w:lang w:val="en-GB"/>
        </w:rPr>
        <w:t xml:space="preserve"> 1</w:t>
      </w:r>
      <w:r w:rsidR="00D754B6">
        <w:rPr>
          <w:lang w:val="en-GB"/>
        </w:rPr>
        <w:t>,</w:t>
      </w:r>
      <w:r w:rsidR="005C2561" w:rsidRPr="00BA6590">
        <w:rPr>
          <w:lang w:val="en-GB"/>
        </w:rPr>
        <w:t xml:space="preserve">348 </w:t>
      </w:r>
      <w:r w:rsidRPr="00BA6590">
        <w:rPr>
          <w:lang w:val="en-GB"/>
        </w:rPr>
        <w:t>reports</w:t>
      </w:r>
      <w:r w:rsidR="00BF26B1" w:rsidRPr="00BA6590">
        <w:rPr>
          <w:lang w:val="en-GB"/>
        </w:rPr>
        <w:t xml:space="preserve"> and </w:t>
      </w:r>
      <w:r w:rsidR="005C2561" w:rsidRPr="00BA6590">
        <w:rPr>
          <w:lang w:val="en-GB"/>
        </w:rPr>
        <w:t xml:space="preserve">559 </w:t>
      </w:r>
      <w:r w:rsidRPr="00BA6590">
        <w:rPr>
          <w:lang w:val="en-GB"/>
        </w:rPr>
        <w:t>case</w:t>
      </w:r>
      <w:r w:rsidR="005C2561" w:rsidRPr="00BA6590">
        <w:rPr>
          <w:lang w:val="en-GB"/>
        </w:rPr>
        <w:t>s</w:t>
      </w:r>
      <w:r w:rsidR="0003107C" w:rsidRPr="00BA6590">
        <w:rPr>
          <w:lang w:val="en-GB"/>
        </w:rPr>
        <w:t>.</w:t>
      </w:r>
    </w:p>
    <w:p w:rsidR="005C2561" w:rsidRPr="00BA6590" w:rsidRDefault="005C2561" w:rsidP="005C2561">
      <w:pPr>
        <w:pStyle w:val="SingleTxtG"/>
        <w:rPr>
          <w:lang w:val="en-GB"/>
        </w:rPr>
      </w:pPr>
      <w:r w:rsidRPr="00BA6590">
        <w:rPr>
          <w:lang w:val="en-GB"/>
        </w:rPr>
        <w:t>296.</w:t>
      </w:r>
      <w:r w:rsidRPr="00BA6590">
        <w:rPr>
          <w:lang w:val="en-GB"/>
        </w:rPr>
        <w:tab/>
      </w:r>
      <w:r w:rsidR="00C76216" w:rsidRPr="00BA6590">
        <w:rPr>
          <w:lang w:val="en-GB"/>
        </w:rPr>
        <w:t xml:space="preserve">Although the Centre also brings cases to court, it always </w:t>
      </w:r>
      <w:r w:rsidR="002F5AF2" w:rsidRPr="00BA6590">
        <w:rPr>
          <w:lang w:val="en-GB"/>
        </w:rPr>
        <w:t xml:space="preserve">prefers dialogue with the person or organization suspected of an offence and </w:t>
      </w:r>
      <w:r w:rsidR="005E69EC" w:rsidRPr="00BA6590">
        <w:rPr>
          <w:lang w:val="en-GB"/>
        </w:rPr>
        <w:t>emphasizes</w:t>
      </w:r>
      <w:r w:rsidR="002F5AF2" w:rsidRPr="00BA6590">
        <w:rPr>
          <w:lang w:val="en-GB"/>
        </w:rPr>
        <w:t xml:space="preserve"> extrajudicial settlement. It will bring a case to court (3</w:t>
      </w:r>
      <w:r w:rsidR="00A86EE6" w:rsidRPr="00BA6590">
        <w:rPr>
          <w:lang w:val="en-GB"/>
        </w:rPr>
        <w:t xml:space="preserve"> per cent</w:t>
      </w:r>
      <w:r w:rsidR="002F5AF2" w:rsidRPr="00BA6590">
        <w:rPr>
          <w:lang w:val="en-GB"/>
        </w:rPr>
        <w:t xml:space="preserve"> to</w:t>
      </w:r>
      <w:r w:rsidRPr="00BA6590">
        <w:rPr>
          <w:lang w:val="en-GB"/>
        </w:rPr>
        <w:t xml:space="preserve"> </w:t>
      </w:r>
      <w:r w:rsidR="002F5AF2" w:rsidRPr="00BA6590">
        <w:rPr>
          <w:lang w:val="en-GB"/>
        </w:rPr>
        <w:t>5</w:t>
      </w:r>
      <w:r w:rsidR="00A86EE6" w:rsidRPr="00BA6590">
        <w:rPr>
          <w:lang w:val="en-GB"/>
        </w:rPr>
        <w:t xml:space="preserve"> per cent</w:t>
      </w:r>
      <w:r w:rsidRPr="00BA6590">
        <w:rPr>
          <w:lang w:val="en-GB"/>
        </w:rPr>
        <w:t xml:space="preserve"> </w:t>
      </w:r>
      <w:r w:rsidR="002F5AF2" w:rsidRPr="00BA6590">
        <w:rPr>
          <w:lang w:val="en-GB"/>
        </w:rPr>
        <w:t>of the total</w:t>
      </w:r>
      <w:r w:rsidRPr="00BA6590">
        <w:rPr>
          <w:lang w:val="en-GB"/>
        </w:rPr>
        <w:t xml:space="preserve">) </w:t>
      </w:r>
      <w:r w:rsidR="002F5AF2" w:rsidRPr="00BA6590">
        <w:rPr>
          <w:lang w:val="en-GB"/>
        </w:rPr>
        <w:t xml:space="preserve">only if it has significant societal importance, if the seriousness of the offence warrants it or where it has proved impossible to find another satisfactory solution. </w:t>
      </w:r>
    </w:p>
    <w:p w:rsidR="005C2561" w:rsidRPr="00BA6590" w:rsidRDefault="005C2561" w:rsidP="009E040E">
      <w:pPr>
        <w:pStyle w:val="SingleTxtG"/>
        <w:rPr>
          <w:lang w:val="en-GB"/>
        </w:rPr>
      </w:pPr>
      <w:r w:rsidRPr="00BA6590">
        <w:rPr>
          <w:lang w:val="en-GB"/>
        </w:rPr>
        <w:t>297.</w:t>
      </w:r>
      <w:r w:rsidRPr="00BA6590">
        <w:rPr>
          <w:lang w:val="en-GB"/>
        </w:rPr>
        <w:tab/>
      </w:r>
      <w:r w:rsidR="002F5AF2" w:rsidRPr="00BA6590">
        <w:rPr>
          <w:lang w:val="en-GB"/>
        </w:rPr>
        <w:t xml:space="preserve">In the past six years, the </w:t>
      </w:r>
      <w:r w:rsidRPr="00BA6590">
        <w:rPr>
          <w:lang w:val="en-GB"/>
        </w:rPr>
        <w:t>Centre</w:t>
      </w:r>
      <w:r w:rsidR="002F5AF2" w:rsidRPr="00BA6590">
        <w:rPr>
          <w:lang w:val="en-GB"/>
        </w:rPr>
        <w:t xml:space="preserve"> has decided to bring 72 cases to court following alleged violations of the </w:t>
      </w:r>
      <w:r w:rsidR="00401B92" w:rsidRPr="00BA6590">
        <w:rPr>
          <w:lang w:val="en-GB"/>
        </w:rPr>
        <w:t xml:space="preserve">Act of 30 July 1981 and/or the Act of 23 March 1995 </w:t>
      </w:r>
      <w:r w:rsidR="002F5AF2" w:rsidRPr="00BA6590">
        <w:rPr>
          <w:lang w:val="en-GB"/>
        </w:rPr>
        <w:t>(annex VII, table</w:t>
      </w:r>
      <w:r w:rsidRPr="00BA6590">
        <w:rPr>
          <w:lang w:val="en-GB"/>
        </w:rPr>
        <w:t xml:space="preserve"> 7):</w:t>
      </w:r>
    </w:p>
    <w:p w:rsidR="005C2561" w:rsidRPr="00BA6590" w:rsidRDefault="002F5AF2" w:rsidP="005C2561">
      <w:pPr>
        <w:pStyle w:val="Bullet1G"/>
        <w:rPr>
          <w:lang w:val="en-GB"/>
        </w:rPr>
      </w:pPr>
      <w:r w:rsidRPr="00BA6590">
        <w:rPr>
          <w:lang w:val="en-GB"/>
        </w:rPr>
        <w:t>I</w:t>
      </w:r>
      <w:r w:rsidR="00BF26B1" w:rsidRPr="00BA6590">
        <w:rPr>
          <w:lang w:val="en-GB"/>
        </w:rPr>
        <w:t>n 2006,</w:t>
      </w:r>
      <w:r w:rsidR="005C2561" w:rsidRPr="00BA6590">
        <w:rPr>
          <w:lang w:val="en-GB"/>
        </w:rPr>
        <w:t xml:space="preserve"> 20</w:t>
      </w:r>
      <w:r w:rsidR="00326E3D" w:rsidRPr="00BA6590">
        <w:rPr>
          <w:lang w:val="en-GB"/>
        </w:rPr>
        <w:t>;</w:t>
      </w:r>
    </w:p>
    <w:p w:rsidR="005C2561" w:rsidRPr="00BA6590" w:rsidRDefault="002F5AF2" w:rsidP="005C2561">
      <w:pPr>
        <w:pStyle w:val="Bullet1G"/>
        <w:rPr>
          <w:lang w:val="en-GB"/>
        </w:rPr>
      </w:pPr>
      <w:r w:rsidRPr="00BA6590">
        <w:rPr>
          <w:lang w:val="en-GB"/>
        </w:rPr>
        <w:t>I</w:t>
      </w:r>
      <w:r w:rsidR="00BF26B1" w:rsidRPr="00BA6590">
        <w:rPr>
          <w:lang w:val="en-GB"/>
        </w:rPr>
        <w:t>n 2007,</w:t>
      </w:r>
      <w:r w:rsidR="005C2561" w:rsidRPr="00BA6590">
        <w:rPr>
          <w:lang w:val="en-GB"/>
        </w:rPr>
        <w:t xml:space="preserve"> 13</w:t>
      </w:r>
      <w:r w:rsidR="00326E3D" w:rsidRPr="00BA6590">
        <w:rPr>
          <w:lang w:val="en-GB"/>
        </w:rPr>
        <w:t>;</w:t>
      </w:r>
    </w:p>
    <w:p w:rsidR="005C2561" w:rsidRPr="00BA6590" w:rsidRDefault="002F5AF2" w:rsidP="005C2561">
      <w:pPr>
        <w:pStyle w:val="Bullet1G"/>
        <w:rPr>
          <w:lang w:val="en-GB"/>
        </w:rPr>
      </w:pPr>
      <w:r w:rsidRPr="00BA6590">
        <w:rPr>
          <w:lang w:val="en-GB"/>
        </w:rPr>
        <w:t>I</w:t>
      </w:r>
      <w:r w:rsidR="00BF26B1" w:rsidRPr="00BA6590">
        <w:rPr>
          <w:lang w:val="en-GB"/>
        </w:rPr>
        <w:t>n 2008,</w:t>
      </w:r>
      <w:r w:rsidR="005C2561" w:rsidRPr="00BA6590">
        <w:rPr>
          <w:lang w:val="en-GB"/>
        </w:rPr>
        <w:t xml:space="preserve"> 15</w:t>
      </w:r>
      <w:r w:rsidR="00326E3D" w:rsidRPr="00BA6590">
        <w:rPr>
          <w:lang w:val="en-GB"/>
        </w:rPr>
        <w:t>;</w:t>
      </w:r>
    </w:p>
    <w:p w:rsidR="005C2561" w:rsidRPr="00BA6590" w:rsidRDefault="002F5AF2" w:rsidP="005C2561">
      <w:pPr>
        <w:pStyle w:val="Bullet1G"/>
        <w:rPr>
          <w:lang w:val="en-GB"/>
        </w:rPr>
      </w:pPr>
      <w:r w:rsidRPr="00BA6590">
        <w:rPr>
          <w:lang w:val="en-GB"/>
        </w:rPr>
        <w:t>I</w:t>
      </w:r>
      <w:r w:rsidR="00BF26B1" w:rsidRPr="00BA6590">
        <w:rPr>
          <w:lang w:val="en-GB"/>
        </w:rPr>
        <w:t>n 2009,</w:t>
      </w:r>
      <w:r w:rsidR="005C2561" w:rsidRPr="00BA6590">
        <w:rPr>
          <w:lang w:val="en-GB"/>
        </w:rPr>
        <w:t xml:space="preserve"> 9</w:t>
      </w:r>
      <w:r w:rsidR="00326E3D" w:rsidRPr="00BA6590">
        <w:rPr>
          <w:lang w:val="en-GB"/>
        </w:rPr>
        <w:t>;</w:t>
      </w:r>
    </w:p>
    <w:p w:rsidR="005C2561" w:rsidRPr="00BA6590" w:rsidRDefault="002F5AF2" w:rsidP="005C2561">
      <w:pPr>
        <w:pStyle w:val="Bullet1G"/>
        <w:rPr>
          <w:lang w:val="en-GB"/>
        </w:rPr>
      </w:pPr>
      <w:r w:rsidRPr="00BA6590">
        <w:rPr>
          <w:lang w:val="en-GB"/>
        </w:rPr>
        <w:t>I</w:t>
      </w:r>
      <w:r w:rsidR="00BF26B1" w:rsidRPr="00BA6590">
        <w:rPr>
          <w:lang w:val="en-GB"/>
        </w:rPr>
        <w:t>n 2010,</w:t>
      </w:r>
      <w:r w:rsidR="005C2561" w:rsidRPr="00BA6590">
        <w:rPr>
          <w:lang w:val="en-GB"/>
        </w:rPr>
        <w:t xml:space="preserve"> 6</w:t>
      </w:r>
      <w:r w:rsidR="00326E3D" w:rsidRPr="00BA6590">
        <w:rPr>
          <w:lang w:val="en-GB"/>
        </w:rPr>
        <w:t>;</w:t>
      </w:r>
    </w:p>
    <w:p w:rsidR="005C2561" w:rsidRPr="00BA6590" w:rsidRDefault="002F5AF2" w:rsidP="005C2561">
      <w:pPr>
        <w:pStyle w:val="Bullet1G"/>
        <w:rPr>
          <w:lang w:val="en-GB"/>
        </w:rPr>
      </w:pPr>
      <w:r w:rsidRPr="00BA6590">
        <w:rPr>
          <w:lang w:val="en-GB"/>
        </w:rPr>
        <w:t>I</w:t>
      </w:r>
      <w:r w:rsidR="00BF26B1" w:rsidRPr="00BA6590">
        <w:rPr>
          <w:lang w:val="en-GB"/>
        </w:rPr>
        <w:t>n 2011,</w:t>
      </w:r>
      <w:r w:rsidR="005C2561" w:rsidRPr="00BA6590">
        <w:rPr>
          <w:lang w:val="en-GB"/>
        </w:rPr>
        <w:t xml:space="preserve"> 8</w:t>
      </w:r>
      <w:r w:rsidR="00326E3D" w:rsidRPr="00BA6590">
        <w:rPr>
          <w:lang w:val="en-GB"/>
        </w:rPr>
        <w:t>;</w:t>
      </w:r>
    </w:p>
    <w:p w:rsidR="005C2561" w:rsidRPr="00BA6590" w:rsidRDefault="002F5AF2" w:rsidP="005C2561">
      <w:pPr>
        <w:pStyle w:val="Bullet1G"/>
        <w:rPr>
          <w:lang w:val="en-GB"/>
        </w:rPr>
      </w:pPr>
      <w:r w:rsidRPr="00BA6590">
        <w:rPr>
          <w:lang w:val="en-GB"/>
        </w:rPr>
        <w:t>I</w:t>
      </w:r>
      <w:r w:rsidR="00BF26B1" w:rsidRPr="00BA6590">
        <w:rPr>
          <w:lang w:val="en-GB"/>
        </w:rPr>
        <w:t>n 2012,</w:t>
      </w:r>
      <w:r w:rsidR="00941318" w:rsidRPr="00BA6590">
        <w:rPr>
          <w:lang w:val="en-GB"/>
        </w:rPr>
        <w:t xml:space="preserve"> </w:t>
      </w:r>
      <w:r w:rsidR="005C2561" w:rsidRPr="00BA6590">
        <w:rPr>
          <w:lang w:val="en-GB"/>
        </w:rPr>
        <w:t>1</w:t>
      </w:r>
      <w:r w:rsidRPr="00BA6590">
        <w:rPr>
          <w:lang w:val="en-GB"/>
        </w:rPr>
        <w:t>.</w:t>
      </w:r>
      <w:r w:rsidR="005C2561" w:rsidRPr="00BA6590">
        <w:rPr>
          <w:rStyle w:val="FootnoteReference"/>
          <w:lang w:val="en-GB"/>
        </w:rPr>
        <w:footnoteReference w:id="34"/>
      </w:r>
    </w:p>
    <w:p w:rsidR="005C2561" w:rsidRPr="00BA6590" w:rsidRDefault="005C2561" w:rsidP="005C2561">
      <w:pPr>
        <w:pStyle w:val="SingleTxtG"/>
        <w:rPr>
          <w:lang w:val="en-GB"/>
        </w:rPr>
      </w:pPr>
      <w:r w:rsidRPr="00BA6590">
        <w:rPr>
          <w:lang w:val="en-GB"/>
        </w:rPr>
        <w:t>298.</w:t>
      </w:r>
      <w:r w:rsidRPr="00BA6590">
        <w:rPr>
          <w:lang w:val="en-GB"/>
        </w:rPr>
        <w:tab/>
      </w:r>
      <w:r w:rsidR="00941318" w:rsidRPr="00BA6590">
        <w:rPr>
          <w:lang w:val="en-GB"/>
        </w:rPr>
        <w:t xml:space="preserve">It should be noted that these figures relate to the numbers of cases which the Management Board of the Centre decided to take to court; however, they did not necessarily all result in court rulings, because in some cases an agreement may have been reached before that stage was reached, the victim may have decided not to continue the procedure, or the latter may have been still pending on the date of the present report. </w:t>
      </w:r>
    </w:p>
    <w:p w:rsidR="005C2561" w:rsidRPr="00BA6590" w:rsidRDefault="005C2561" w:rsidP="00E80D96">
      <w:pPr>
        <w:pStyle w:val="SingleTxtG"/>
        <w:rPr>
          <w:lang w:val="en-GB"/>
        </w:rPr>
      </w:pPr>
      <w:r w:rsidRPr="00BA6590">
        <w:rPr>
          <w:lang w:val="en-GB"/>
        </w:rPr>
        <w:t>299.</w:t>
      </w:r>
      <w:r w:rsidRPr="00BA6590">
        <w:rPr>
          <w:lang w:val="en-GB"/>
        </w:rPr>
        <w:tab/>
      </w:r>
      <w:r w:rsidR="00941318" w:rsidRPr="00BA6590">
        <w:rPr>
          <w:lang w:val="en-GB"/>
        </w:rPr>
        <w:t xml:space="preserve">Only </w:t>
      </w:r>
      <w:r w:rsidRPr="00BA6590">
        <w:rPr>
          <w:lang w:val="en-GB"/>
        </w:rPr>
        <w:t>40</w:t>
      </w:r>
      <w:r w:rsidR="00941318" w:rsidRPr="00BA6590">
        <w:rPr>
          <w:lang w:val="en-GB"/>
        </w:rPr>
        <w:t xml:space="preserve"> of the cases were in fact dealt with by the courts, </w:t>
      </w:r>
      <w:r w:rsidRPr="00BA6590">
        <w:rPr>
          <w:lang w:val="en-GB"/>
        </w:rPr>
        <w:t>32</w:t>
      </w:r>
      <w:r w:rsidR="00941318" w:rsidRPr="00BA6590">
        <w:rPr>
          <w:lang w:val="en-GB"/>
        </w:rPr>
        <w:t xml:space="preserve"> of which resulted in convictions for </w:t>
      </w:r>
      <w:r w:rsidR="005E69EC" w:rsidRPr="00BA6590">
        <w:rPr>
          <w:lang w:val="en-GB"/>
        </w:rPr>
        <w:t xml:space="preserve">racism </w:t>
      </w:r>
      <w:r w:rsidRPr="00BA6590">
        <w:rPr>
          <w:lang w:val="en-GB"/>
        </w:rPr>
        <w:t>o</w:t>
      </w:r>
      <w:r w:rsidR="00941318" w:rsidRPr="00BA6590">
        <w:rPr>
          <w:lang w:val="en-GB"/>
        </w:rPr>
        <w:t>r revisionism and the other eight cases were dismissed, mostly owing to insufficient evidence. The main penalties included 19 prison sentences, of which some were suspended</w:t>
      </w:r>
      <w:r w:rsidRPr="00BA6590">
        <w:rPr>
          <w:lang w:val="en-GB"/>
        </w:rPr>
        <w:t xml:space="preserve"> (13</w:t>
      </w:r>
      <w:r w:rsidR="00941318" w:rsidRPr="00BA6590">
        <w:rPr>
          <w:lang w:val="en-GB"/>
        </w:rPr>
        <w:t xml:space="preserve"> of less than one year, one</w:t>
      </w:r>
      <w:r w:rsidR="00D61850" w:rsidRPr="00BA6590">
        <w:rPr>
          <w:lang w:val="en-GB"/>
        </w:rPr>
        <w:t xml:space="preserve"> each</w:t>
      </w:r>
      <w:r w:rsidR="00941318" w:rsidRPr="00BA6590">
        <w:rPr>
          <w:lang w:val="en-GB"/>
        </w:rPr>
        <w:t xml:space="preserve"> of </w:t>
      </w:r>
      <w:r w:rsidR="00D61850" w:rsidRPr="00BA6590">
        <w:rPr>
          <w:lang w:val="en-GB"/>
        </w:rPr>
        <w:t>one, two and three</w:t>
      </w:r>
      <w:r w:rsidR="00941318" w:rsidRPr="00BA6590">
        <w:rPr>
          <w:lang w:val="en-GB"/>
        </w:rPr>
        <w:t xml:space="preserve"> year</w:t>
      </w:r>
      <w:r w:rsidR="00D61850" w:rsidRPr="00BA6590">
        <w:rPr>
          <w:lang w:val="en-GB"/>
        </w:rPr>
        <w:t>s and two of five years</w:t>
      </w:r>
      <w:r w:rsidRPr="00BA6590">
        <w:rPr>
          <w:lang w:val="en-GB"/>
        </w:rPr>
        <w:t>),</w:t>
      </w:r>
      <w:r w:rsidR="00D61850" w:rsidRPr="00BA6590">
        <w:rPr>
          <w:lang w:val="en-GB"/>
        </w:rPr>
        <w:t xml:space="preserve"> five community-service orders</w:t>
      </w:r>
      <w:r w:rsidRPr="00BA6590">
        <w:rPr>
          <w:lang w:val="en-GB"/>
        </w:rPr>
        <w:t xml:space="preserve"> (</w:t>
      </w:r>
      <w:r w:rsidR="00D61850" w:rsidRPr="00BA6590">
        <w:rPr>
          <w:lang w:val="en-GB"/>
        </w:rPr>
        <w:t>of</w:t>
      </w:r>
      <w:r w:rsidRPr="00BA6590">
        <w:rPr>
          <w:lang w:val="en-GB"/>
        </w:rPr>
        <w:t xml:space="preserve"> 46 </w:t>
      </w:r>
      <w:r w:rsidR="00D61850" w:rsidRPr="00BA6590">
        <w:rPr>
          <w:lang w:val="en-GB"/>
        </w:rPr>
        <w:t>to</w:t>
      </w:r>
      <w:r w:rsidRPr="00BA6590">
        <w:rPr>
          <w:lang w:val="en-GB"/>
        </w:rPr>
        <w:t xml:space="preserve"> 250</w:t>
      </w:r>
      <w:r w:rsidR="00D61850" w:rsidRPr="00BA6590">
        <w:rPr>
          <w:lang w:val="en-GB"/>
        </w:rPr>
        <w:t xml:space="preserve"> hour</w:t>
      </w:r>
      <w:r w:rsidRPr="00BA6590">
        <w:rPr>
          <w:lang w:val="en-GB"/>
        </w:rPr>
        <w:t>s),</w:t>
      </w:r>
      <w:r w:rsidR="00D61850" w:rsidRPr="00BA6590">
        <w:rPr>
          <w:lang w:val="en-GB"/>
        </w:rPr>
        <w:t xml:space="preserve"> verdicts were deferred in two cases</w:t>
      </w:r>
      <w:r w:rsidRPr="00BA6590">
        <w:rPr>
          <w:lang w:val="en-GB"/>
        </w:rPr>
        <w:t>,</w:t>
      </w:r>
      <w:r w:rsidR="00D61850" w:rsidRPr="00BA6590">
        <w:rPr>
          <w:lang w:val="en-GB"/>
        </w:rPr>
        <w:t xml:space="preserve"> there were two fin</w:t>
      </w:r>
      <w:r w:rsidR="00B71103" w:rsidRPr="00BA6590">
        <w:rPr>
          <w:lang w:val="en-GB"/>
        </w:rPr>
        <w:t>ancial penaltie</w:t>
      </w:r>
      <w:r w:rsidR="00D61850" w:rsidRPr="00BA6590">
        <w:rPr>
          <w:lang w:val="en-GB"/>
        </w:rPr>
        <w:t>s of €</w:t>
      </w:r>
      <w:r w:rsidRPr="00BA6590">
        <w:rPr>
          <w:lang w:val="en-GB"/>
        </w:rPr>
        <w:t>2</w:t>
      </w:r>
      <w:r w:rsidR="00E91B8C">
        <w:rPr>
          <w:lang w:val="en-GB"/>
        </w:rPr>
        <w:t>,</w:t>
      </w:r>
      <w:r w:rsidRPr="00BA6590">
        <w:rPr>
          <w:lang w:val="en-GB"/>
        </w:rPr>
        <w:t xml:space="preserve">500 </w:t>
      </w:r>
      <w:r w:rsidR="00D61850" w:rsidRPr="00BA6590">
        <w:rPr>
          <w:lang w:val="en-GB"/>
        </w:rPr>
        <w:t>each</w:t>
      </w:r>
      <w:r w:rsidRPr="00BA6590">
        <w:rPr>
          <w:lang w:val="en-GB"/>
        </w:rPr>
        <w:t>,</w:t>
      </w:r>
      <w:r w:rsidR="00D61850" w:rsidRPr="00BA6590">
        <w:rPr>
          <w:lang w:val="en-GB"/>
        </w:rPr>
        <w:t xml:space="preserve"> two persons were deprived of </w:t>
      </w:r>
      <w:r w:rsidRPr="00BA6590">
        <w:rPr>
          <w:lang w:val="en-GB"/>
        </w:rPr>
        <w:t>civil</w:t>
      </w:r>
      <w:r w:rsidR="00D61850" w:rsidRPr="00BA6590">
        <w:rPr>
          <w:lang w:val="en-GB"/>
        </w:rPr>
        <w:t xml:space="preserve"> and</w:t>
      </w:r>
      <w:r w:rsidRPr="00BA6590">
        <w:rPr>
          <w:lang w:val="en-GB"/>
        </w:rPr>
        <w:t xml:space="preserve"> politi</w:t>
      </w:r>
      <w:r w:rsidR="00D61850" w:rsidRPr="00BA6590">
        <w:rPr>
          <w:lang w:val="en-GB"/>
        </w:rPr>
        <w:t xml:space="preserve">cal rights, one for 5 years, the other for 10, </w:t>
      </w:r>
      <w:r w:rsidR="00C75916" w:rsidRPr="00BA6590">
        <w:rPr>
          <w:lang w:val="en-GB"/>
        </w:rPr>
        <w:t xml:space="preserve">three were disqualified from standing for election </w:t>
      </w:r>
      <w:r w:rsidRPr="00BA6590">
        <w:rPr>
          <w:lang w:val="en-GB"/>
        </w:rPr>
        <w:t>(</w:t>
      </w:r>
      <w:r w:rsidR="00C75916" w:rsidRPr="00BA6590">
        <w:rPr>
          <w:lang w:val="en-GB"/>
        </w:rPr>
        <w:t xml:space="preserve">for </w:t>
      </w:r>
      <w:r w:rsidR="00E91B8C">
        <w:rPr>
          <w:lang w:val="en-GB"/>
        </w:rPr>
        <w:t>five</w:t>
      </w:r>
      <w:r w:rsidR="00C75916" w:rsidRPr="00BA6590">
        <w:rPr>
          <w:lang w:val="en-GB"/>
        </w:rPr>
        <w:t xml:space="preserve">, </w:t>
      </w:r>
      <w:r w:rsidR="00E91B8C">
        <w:rPr>
          <w:lang w:val="en-GB"/>
        </w:rPr>
        <w:t xml:space="preserve">seven </w:t>
      </w:r>
      <w:r w:rsidR="00C75916" w:rsidRPr="00BA6590">
        <w:rPr>
          <w:lang w:val="en-GB"/>
        </w:rPr>
        <w:t>and</w:t>
      </w:r>
      <w:r w:rsidRPr="00BA6590">
        <w:rPr>
          <w:lang w:val="en-GB"/>
        </w:rPr>
        <w:t xml:space="preserve"> </w:t>
      </w:r>
      <w:r w:rsidR="00E91B8C">
        <w:rPr>
          <w:lang w:val="en-GB"/>
        </w:rPr>
        <w:t xml:space="preserve">ten </w:t>
      </w:r>
      <w:r w:rsidR="00C75916" w:rsidRPr="00BA6590">
        <w:rPr>
          <w:lang w:val="en-GB"/>
        </w:rPr>
        <w:t>years respectively</w:t>
      </w:r>
      <w:r w:rsidRPr="00BA6590">
        <w:rPr>
          <w:lang w:val="en-GB"/>
        </w:rPr>
        <w:t>)</w:t>
      </w:r>
      <w:r w:rsidR="00C75916" w:rsidRPr="00BA6590">
        <w:rPr>
          <w:lang w:val="en-GB"/>
        </w:rPr>
        <w:t xml:space="preserve"> and</w:t>
      </w:r>
      <w:r w:rsidRPr="00BA6590">
        <w:rPr>
          <w:lang w:val="en-GB"/>
        </w:rPr>
        <w:t xml:space="preserve"> 13 </w:t>
      </w:r>
      <w:r w:rsidR="00C75916" w:rsidRPr="00BA6590">
        <w:rPr>
          <w:lang w:val="en-GB"/>
        </w:rPr>
        <w:t xml:space="preserve">received </w:t>
      </w:r>
      <w:r w:rsidR="00D61850" w:rsidRPr="00BA6590">
        <w:rPr>
          <w:lang w:val="en-GB"/>
        </w:rPr>
        <w:t xml:space="preserve">fines </w:t>
      </w:r>
      <w:r w:rsidR="00C75916" w:rsidRPr="00BA6590">
        <w:rPr>
          <w:lang w:val="en-GB"/>
        </w:rPr>
        <w:t>ranging from</w:t>
      </w:r>
      <w:r w:rsidRPr="00BA6590">
        <w:rPr>
          <w:lang w:val="en-GB"/>
        </w:rPr>
        <w:t xml:space="preserve"> </w:t>
      </w:r>
      <w:r w:rsidR="00C75916" w:rsidRPr="00BA6590">
        <w:rPr>
          <w:lang w:val="en-GB"/>
        </w:rPr>
        <w:t>€</w:t>
      </w:r>
      <w:r w:rsidRPr="00BA6590">
        <w:rPr>
          <w:lang w:val="en-GB"/>
        </w:rPr>
        <w:t xml:space="preserve">100 </w:t>
      </w:r>
      <w:r w:rsidR="00C75916" w:rsidRPr="00BA6590">
        <w:rPr>
          <w:lang w:val="en-GB"/>
        </w:rPr>
        <w:t>to</w:t>
      </w:r>
      <w:r w:rsidRPr="00BA6590">
        <w:rPr>
          <w:lang w:val="en-GB"/>
        </w:rPr>
        <w:t xml:space="preserve"> </w:t>
      </w:r>
      <w:r w:rsidR="00C75916" w:rsidRPr="00BA6590">
        <w:rPr>
          <w:lang w:val="en-GB"/>
        </w:rPr>
        <w:t>€</w:t>
      </w:r>
      <w:r w:rsidRPr="00BA6590">
        <w:rPr>
          <w:lang w:val="en-GB"/>
        </w:rPr>
        <w:t>24</w:t>
      </w:r>
      <w:r w:rsidR="00C75916" w:rsidRPr="00BA6590">
        <w:rPr>
          <w:lang w:val="en-GB"/>
        </w:rPr>
        <w:t>,</w:t>
      </w:r>
      <w:r w:rsidRPr="00BA6590">
        <w:rPr>
          <w:lang w:val="en-GB"/>
        </w:rPr>
        <w:t>789.</w:t>
      </w:r>
      <w:r w:rsidR="00C75916" w:rsidRPr="00BA6590">
        <w:rPr>
          <w:lang w:val="en-GB"/>
        </w:rPr>
        <w:t xml:space="preserve"> In </w:t>
      </w:r>
      <w:r w:rsidRPr="00BA6590">
        <w:rPr>
          <w:lang w:val="en-GB"/>
        </w:rPr>
        <w:t>28</w:t>
      </w:r>
      <w:r w:rsidR="00C75916" w:rsidRPr="00BA6590">
        <w:rPr>
          <w:lang w:val="en-GB"/>
        </w:rPr>
        <w:t xml:space="preserve"> </w:t>
      </w:r>
      <w:r w:rsidRPr="00BA6590">
        <w:rPr>
          <w:lang w:val="en-GB"/>
        </w:rPr>
        <w:t>cas</w:t>
      </w:r>
      <w:r w:rsidR="00C75916" w:rsidRPr="00BA6590">
        <w:rPr>
          <w:lang w:val="en-GB"/>
        </w:rPr>
        <w:t>es</w:t>
      </w:r>
      <w:r w:rsidRPr="00BA6590">
        <w:rPr>
          <w:lang w:val="en-GB"/>
        </w:rPr>
        <w:t>,</w:t>
      </w:r>
      <w:r w:rsidR="00C75916" w:rsidRPr="00BA6590">
        <w:rPr>
          <w:lang w:val="en-GB"/>
        </w:rPr>
        <w:t xml:space="preserve"> the</w:t>
      </w:r>
      <w:r w:rsidRPr="00BA6590">
        <w:rPr>
          <w:lang w:val="en-GB"/>
        </w:rPr>
        <w:t xml:space="preserve"> </w:t>
      </w:r>
      <w:r w:rsidR="00C75916" w:rsidRPr="00BA6590">
        <w:rPr>
          <w:lang w:val="en-GB"/>
        </w:rPr>
        <w:t>victim</w:t>
      </w:r>
      <w:r w:rsidRPr="00BA6590">
        <w:rPr>
          <w:lang w:val="en-GB"/>
        </w:rPr>
        <w:t>s</w:t>
      </w:r>
      <w:r w:rsidR="00C75916" w:rsidRPr="00BA6590">
        <w:rPr>
          <w:lang w:val="en-GB"/>
        </w:rPr>
        <w:t xml:space="preserve"> and civil parties</w:t>
      </w:r>
      <w:r w:rsidRPr="00BA6590">
        <w:rPr>
          <w:lang w:val="en-GB"/>
        </w:rPr>
        <w:t xml:space="preserve"> </w:t>
      </w:r>
      <w:r w:rsidR="00C75916" w:rsidRPr="00BA6590">
        <w:rPr>
          <w:lang w:val="en-GB"/>
        </w:rPr>
        <w:t>were awarded damages ranging from the token amount of €</w:t>
      </w:r>
      <w:r w:rsidRPr="00BA6590">
        <w:rPr>
          <w:lang w:val="en-GB"/>
        </w:rPr>
        <w:t xml:space="preserve">1 </w:t>
      </w:r>
      <w:r w:rsidR="00C75916" w:rsidRPr="00BA6590">
        <w:rPr>
          <w:lang w:val="en-GB"/>
        </w:rPr>
        <w:t>to €</w:t>
      </w:r>
      <w:r w:rsidRPr="00BA6590">
        <w:rPr>
          <w:lang w:val="en-GB"/>
        </w:rPr>
        <w:t>7</w:t>
      </w:r>
      <w:r w:rsidR="00C75916" w:rsidRPr="00BA6590">
        <w:rPr>
          <w:lang w:val="en-GB"/>
        </w:rPr>
        <w:t>,</w:t>
      </w:r>
      <w:r w:rsidRPr="00BA6590">
        <w:rPr>
          <w:lang w:val="en-GB"/>
        </w:rPr>
        <w:t>500 (</w:t>
      </w:r>
      <w:r w:rsidR="00C75916" w:rsidRPr="00BA6590">
        <w:rPr>
          <w:lang w:val="en-GB"/>
        </w:rPr>
        <w:t xml:space="preserve">for additional details, see </w:t>
      </w:r>
      <w:r w:rsidR="00E42729" w:rsidRPr="00BA6590">
        <w:rPr>
          <w:lang w:val="en-GB"/>
        </w:rPr>
        <w:t>annex </w:t>
      </w:r>
      <w:r w:rsidRPr="00BA6590">
        <w:rPr>
          <w:lang w:val="en-GB"/>
        </w:rPr>
        <w:t>VII, table 8).</w:t>
      </w:r>
    </w:p>
    <w:p w:rsidR="005C2561" w:rsidRPr="00BA6590" w:rsidRDefault="005C2561" w:rsidP="005C2561">
      <w:pPr>
        <w:pStyle w:val="H4G"/>
        <w:rPr>
          <w:lang w:val="en-GB"/>
        </w:rPr>
      </w:pPr>
      <w:r w:rsidRPr="00BA6590">
        <w:rPr>
          <w:lang w:val="en-GB"/>
        </w:rPr>
        <w:tab/>
      </w:r>
      <w:r w:rsidRPr="00BA6590">
        <w:rPr>
          <w:lang w:val="en-GB"/>
        </w:rPr>
        <w:tab/>
      </w:r>
      <w:r w:rsidR="00C75916" w:rsidRPr="00BA6590">
        <w:rPr>
          <w:lang w:val="en-GB"/>
        </w:rPr>
        <w:t>Flemish Community</w:t>
      </w:r>
    </w:p>
    <w:p w:rsidR="005C2561" w:rsidRPr="00BA6590" w:rsidRDefault="005C2561" w:rsidP="005C2561">
      <w:pPr>
        <w:pStyle w:val="SingleTxtG"/>
        <w:rPr>
          <w:lang w:val="en-GB"/>
        </w:rPr>
      </w:pPr>
      <w:r w:rsidRPr="00BA6590">
        <w:rPr>
          <w:lang w:val="en-GB"/>
        </w:rPr>
        <w:t>300.</w:t>
      </w:r>
      <w:r w:rsidR="004E090E" w:rsidRPr="00BA6590">
        <w:rPr>
          <w:lang w:val="en-GB"/>
        </w:rPr>
        <w:tab/>
      </w:r>
      <w:r w:rsidR="00C75916" w:rsidRPr="00BA6590">
        <w:rPr>
          <w:lang w:val="en-GB"/>
        </w:rPr>
        <w:t xml:space="preserve">The Decree of </w:t>
      </w:r>
      <w:r w:rsidRPr="00BA6590">
        <w:rPr>
          <w:lang w:val="en-GB"/>
        </w:rPr>
        <w:t xml:space="preserve">10 </w:t>
      </w:r>
      <w:r w:rsidR="003F5E21" w:rsidRPr="00BA6590">
        <w:rPr>
          <w:lang w:val="en-GB"/>
        </w:rPr>
        <w:t>July</w:t>
      </w:r>
      <w:r w:rsidRPr="00BA6590">
        <w:rPr>
          <w:lang w:val="en-GB"/>
        </w:rPr>
        <w:t xml:space="preserve"> 2008</w:t>
      </w:r>
      <w:r w:rsidR="00C75916" w:rsidRPr="00BA6590">
        <w:rPr>
          <w:lang w:val="en-GB"/>
        </w:rPr>
        <w:t xml:space="preserve"> establishing a framework for Flemish policy on equal opportunities and treatment provides for the creation of </w:t>
      </w:r>
      <w:r w:rsidR="0082207C" w:rsidRPr="00BA6590">
        <w:rPr>
          <w:lang w:val="en-GB"/>
        </w:rPr>
        <w:t xml:space="preserve">13 local </w:t>
      </w:r>
      <w:r w:rsidR="005C46D1" w:rsidRPr="00BA6590">
        <w:rPr>
          <w:lang w:val="en-GB"/>
        </w:rPr>
        <w:t>complaints offices</w:t>
      </w:r>
      <w:r w:rsidR="0082207C" w:rsidRPr="00BA6590">
        <w:rPr>
          <w:lang w:val="en-GB"/>
        </w:rPr>
        <w:t xml:space="preserve"> </w:t>
      </w:r>
      <w:r w:rsidRPr="00BA6590">
        <w:rPr>
          <w:i/>
          <w:lang w:val="en-GB"/>
        </w:rPr>
        <w:t>(Meldpunten)</w:t>
      </w:r>
      <w:r w:rsidRPr="00BA6590">
        <w:rPr>
          <w:lang w:val="en-GB"/>
        </w:rPr>
        <w:t>.</w:t>
      </w:r>
      <w:r w:rsidR="004B472D" w:rsidRPr="00BA6590">
        <w:rPr>
          <w:lang w:val="en-GB"/>
        </w:rPr>
        <w:t xml:space="preserve"> These integrated local contact points can receive and record complaints of </w:t>
      </w:r>
      <w:r w:rsidRPr="00BA6590">
        <w:rPr>
          <w:lang w:val="en-GB"/>
        </w:rPr>
        <w:t>discrimination</w:t>
      </w:r>
      <w:r w:rsidR="004B472D" w:rsidRPr="00BA6590">
        <w:rPr>
          <w:lang w:val="en-GB"/>
        </w:rPr>
        <w:t xml:space="preserve"> with a view to providing </w:t>
      </w:r>
      <w:r w:rsidRPr="00BA6590">
        <w:rPr>
          <w:lang w:val="en-GB"/>
        </w:rPr>
        <w:t>m</w:t>
      </w:r>
      <w:r w:rsidR="004B472D" w:rsidRPr="00BA6590">
        <w:rPr>
          <w:lang w:val="en-GB"/>
        </w:rPr>
        <w:t>e</w:t>
      </w:r>
      <w:r w:rsidRPr="00BA6590">
        <w:rPr>
          <w:lang w:val="en-GB"/>
        </w:rPr>
        <w:t>diation</w:t>
      </w:r>
      <w:r w:rsidR="004B472D" w:rsidRPr="00BA6590">
        <w:rPr>
          <w:lang w:val="en-GB"/>
        </w:rPr>
        <w:t xml:space="preserve"> between the</w:t>
      </w:r>
      <w:r w:rsidRPr="00BA6590">
        <w:rPr>
          <w:lang w:val="en-GB"/>
        </w:rPr>
        <w:t xml:space="preserve"> parties.</w:t>
      </w:r>
      <w:r w:rsidR="004B472D" w:rsidRPr="00BA6590">
        <w:rPr>
          <w:lang w:val="en-GB"/>
        </w:rPr>
        <w:t xml:space="preserve"> When no settlement can be achieved through </w:t>
      </w:r>
      <w:r w:rsidRPr="00BA6590">
        <w:rPr>
          <w:lang w:val="en-GB"/>
        </w:rPr>
        <w:t>m</w:t>
      </w:r>
      <w:r w:rsidR="004B472D" w:rsidRPr="00BA6590">
        <w:rPr>
          <w:lang w:val="en-GB"/>
        </w:rPr>
        <w:t>e</w:t>
      </w:r>
      <w:r w:rsidRPr="00BA6590">
        <w:rPr>
          <w:lang w:val="en-GB"/>
        </w:rPr>
        <w:t>diation</w:t>
      </w:r>
      <w:r w:rsidR="004B472D" w:rsidRPr="00BA6590">
        <w:rPr>
          <w:lang w:val="en-GB"/>
        </w:rPr>
        <w:t xml:space="preserve"> and one of the parties wishes to begin judicial proceedings</w:t>
      </w:r>
      <w:r w:rsidRPr="00BA6590">
        <w:rPr>
          <w:lang w:val="en-GB"/>
        </w:rPr>
        <w:t>,</w:t>
      </w:r>
      <w:r w:rsidR="004B472D" w:rsidRPr="00BA6590">
        <w:rPr>
          <w:lang w:val="en-GB"/>
        </w:rPr>
        <w:t xml:space="preserve"> the complaints office will refer the case to the Centre for Equal Opportunities and Action</w:t>
      </w:r>
      <w:r w:rsidR="00AE4E04" w:rsidRPr="00BA6590">
        <w:rPr>
          <w:lang w:val="en-GB"/>
        </w:rPr>
        <w:t xml:space="preserve"> to Combat Racism</w:t>
      </w:r>
      <w:r w:rsidRPr="00BA6590">
        <w:rPr>
          <w:lang w:val="en-GB"/>
        </w:rPr>
        <w:t>.</w:t>
      </w:r>
    </w:p>
    <w:p w:rsidR="005C2561" w:rsidRPr="00BA6590" w:rsidRDefault="005C2561" w:rsidP="005C2561">
      <w:pPr>
        <w:pStyle w:val="SingleTxtG"/>
        <w:rPr>
          <w:lang w:val="en-GB"/>
        </w:rPr>
      </w:pPr>
      <w:r w:rsidRPr="00BA6590">
        <w:rPr>
          <w:lang w:val="en-GB"/>
        </w:rPr>
        <w:t>301.</w:t>
      </w:r>
      <w:r w:rsidRPr="00BA6590">
        <w:rPr>
          <w:lang w:val="en-GB"/>
        </w:rPr>
        <w:tab/>
      </w:r>
      <w:r w:rsidR="004B472D" w:rsidRPr="00BA6590">
        <w:rPr>
          <w:lang w:val="en-GB"/>
        </w:rPr>
        <w:t>In 2011, the Flemish anti-discrimination policy received its first evaluation. The resulting report focuses mostly on the creation, functioning and evaluation of the local offices</w:t>
      </w:r>
      <w:r w:rsidR="00702849" w:rsidRPr="00BA6590">
        <w:rPr>
          <w:lang w:val="en-GB"/>
        </w:rPr>
        <w:t xml:space="preserve">, which have a dual purpose: </w:t>
      </w:r>
      <w:r w:rsidR="00530943" w:rsidRPr="00BA6590">
        <w:rPr>
          <w:lang w:val="en-GB"/>
        </w:rPr>
        <w:t xml:space="preserve">first, they assist victims of discrimination and provide mediation in order to end discriminatory behaviour; second, they develop preventive initiatives (in relation to housing issues and restrictive admission policies in the </w:t>
      </w:r>
      <w:r w:rsidR="00F35A29" w:rsidRPr="00BA6590">
        <w:rPr>
          <w:lang w:val="en-GB"/>
        </w:rPr>
        <w:t>hotels and catering</w:t>
      </w:r>
      <w:r w:rsidR="00530943" w:rsidRPr="00BA6590">
        <w:rPr>
          <w:lang w:val="en-GB"/>
        </w:rPr>
        <w:t xml:space="preserve"> sector</w:t>
      </w:r>
      <w:r w:rsidRPr="00BA6590">
        <w:rPr>
          <w:lang w:val="en-GB"/>
        </w:rPr>
        <w:t>).</w:t>
      </w:r>
      <w:r w:rsidR="00530943" w:rsidRPr="00BA6590">
        <w:rPr>
          <w:lang w:val="en-GB"/>
        </w:rPr>
        <w:t xml:space="preserve"> To that end, they participate in networks of associations and organizations.</w:t>
      </w:r>
    </w:p>
    <w:p w:rsidR="005C2561" w:rsidRPr="00BA6590" w:rsidRDefault="005C2561" w:rsidP="006E0CCE">
      <w:pPr>
        <w:pStyle w:val="SingleTxtG"/>
        <w:rPr>
          <w:lang w:val="en-GB"/>
        </w:rPr>
      </w:pPr>
      <w:r w:rsidRPr="00BA6590">
        <w:rPr>
          <w:lang w:val="en-GB"/>
        </w:rPr>
        <w:t>302.</w:t>
      </w:r>
      <w:r w:rsidRPr="00BA6590">
        <w:rPr>
          <w:lang w:val="en-GB"/>
        </w:rPr>
        <w:tab/>
      </w:r>
      <w:r w:rsidR="00530943" w:rsidRPr="00BA6590">
        <w:rPr>
          <w:lang w:val="en-GB"/>
        </w:rPr>
        <w:t>Complaints are recorded through a central database to which the Centre is also connected. I</w:t>
      </w:r>
      <w:r w:rsidRPr="00BA6590">
        <w:rPr>
          <w:lang w:val="en-GB"/>
        </w:rPr>
        <w:t>n 2009,</w:t>
      </w:r>
      <w:r w:rsidR="00530943" w:rsidRPr="00BA6590">
        <w:rPr>
          <w:lang w:val="en-GB"/>
        </w:rPr>
        <w:t xml:space="preserve"> the Flemish local offices recorded</w:t>
      </w:r>
      <w:r w:rsidRPr="00BA6590">
        <w:rPr>
          <w:lang w:val="en-GB"/>
        </w:rPr>
        <w:t xml:space="preserve"> 19</w:t>
      </w:r>
      <w:r w:rsidR="00530943" w:rsidRPr="00BA6590">
        <w:rPr>
          <w:lang w:val="en-GB"/>
        </w:rPr>
        <w:t xml:space="preserve"> reports of incidents related to racial criteria. I</w:t>
      </w:r>
      <w:r w:rsidRPr="00BA6590">
        <w:rPr>
          <w:lang w:val="en-GB"/>
        </w:rPr>
        <w:t>n 2010,</w:t>
      </w:r>
      <w:r w:rsidR="00530943" w:rsidRPr="00BA6590">
        <w:rPr>
          <w:lang w:val="en-GB"/>
        </w:rPr>
        <w:t xml:space="preserve"> they received </w:t>
      </w:r>
      <w:r w:rsidRPr="00BA6590">
        <w:rPr>
          <w:lang w:val="en-GB"/>
        </w:rPr>
        <w:t>367</w:t>
      </w:r>
      <w:r w:rsidR="00530943" w:rsidRPr="00BA6590">
        <w:rPr>
          <w:lang w:val="en-GB"/>
        </w:rPr>
        <w:t xml:space="preserve"> reports and opened </w:t>
      </w:r>
      <w:r w:rsidRPr="00BA6590">
        <w:rPr>
          <w:lang w:val="en-GB"/>
        </w:rPr>
        <w:t>240</w:t>
      </w:r>
      <w:r w:rsidR="00530943" w:rsidRPr="00BA6590">
        <w:rPr>
          <w:lang w:val="en-GB"/>
        </w:rPr>
        <w:t xml:space="preserve"> files based on those criteria. Lastly, i</w:t>
      </w:r>
      <w:r w:rsidRPr="00BA6590">
        <w:rPr>
          <w:lang w:val="en-GB"/>
        </w:rPr>
        <w:t>n 2011,</w:t>
      </w:r>
      <w:r w:rsidR="00530943" w:rsidRPr="00BA6590">
        <w:rPr>
          <w:lang w:val="en-GB"/>
        </w:rPr>
        <w:t xml:space="preserve"> the figures were </w:t>
      </w:r>
      <w:r w:rsidRPr="00BA6590">
        <w:rPr>
          <w:lang w:val="en-GB"/>
        </w:rPr>
        <w:t>384</w:t>
      </w:r>
      <w:r w:rsidR="00530943" w:rsidRPr="00BA6590">
        <w:rPr>
          <w:lang w:val="en-GB"/>
        </w:rPr>
        <w:t xml:space="preserve"> reports and </w:t>
      </w:r>
      <w:r w:rsidRPr="00BA6590">
        <w:rPr>
          <w:lang w:val="en-GB"/>
        </w:rPr>
        <w:t xml:space="preserve">264 </w:t>
      </w:r>
      <w:r w:rsidR="00530943" w:rsidRPr="00BA6590">
        <w:rPr>
          <w:lang w:val="en-GB"/>
        </w:rPr>
        <w:t>files</w:t>
      </w:r>
      <w:r w:rsidRPr="00BA6590">
        <w:rPr>
          <w:lang w:val="en-GB"/>
        </w:rPr>
        <w:t>.</w:t>
      </w:r>
    </w:p>
    <w:p w:rsidR="005C2561" w:rsidRPr="00BA6590" w:rsidRDefault="00143DBC" w:rsidP="00143DBC">
      <w:pPr>
        <w:pStyle w:val="H4G"/>
        <w:rPr>
          <w:lang w:val="en-GB"/>
        </w:rPr>
      </w:pPr>
      <w:r w:rsidRPr="00BA6590">
        <w:rPr>
          <w:lang w:val="en-GB"/>
        </w:rPr>
        <w:tab/>
      </w:r>
      <w:r w:rsidRPr="00BA6590">
        <w:rPr>
          <w:lang w:val="en-GB"/>
        </w:rPr>
        <w:tab/>
      </w:r>
      <w:r w:rsidR="00530943" w:rsidRPr="00BA6590">
        <w:rPr>
          <w:lang w:val="en-GB"/>
        </w:rPr>
        <w:t>French Community</w:t>
      </w:r>
      <w:r w:rsidR="005C2561" w:rsidRPr="00BA6590">
        <w:rPr>
          <w:lang w:val="en-GB"/>
        </w:rPr>
        <w:t>/</w:t>
      </w:r>
      <w:r w:rsidR="00B06588" w:rsidRPr="00BA6590">
        <w:rPr>
          <w:lang w:val="en-GB"/>
        </w:rPr>
        <w:t>Walloon Region</w:t>
      </w:r>
    </w:p>
    <w:p w:rsidR="005C2561" w:rsidRPr="00BA6590" w:rsidRDefault="005C2561" w:rsidP="005C2561">
      <w:pPr>
        <w:pStyle w:val="SingleTxtG"/>
        <w:rPr>
          <w:lang w:val="en-GB"/>
        </w:rPr>
      </w:pPr>
      <w:r w:rsidRPr="00BA6590">
        <w:rPr>
          <w:lang w:val="en-GB"/>
        </w:rPr>
        <w:t>303.</w:t>
      </w:r>
      <w:r w:rsidRPr="00BA6590">
        <w:rPr>
          <w:lang w:val="en-GB"/>
        </w:rPr>
        <w:tab/>
      </w:r>
      <w:r w:rsidR="005E69EC" w:rsidRPr="00BA6590">
        <w:rPr>
          <w:lang w:val="en-GB"/>
        </w:rPr>
        <w:t>Eleven local contact points were opened in October 2011 t</w:t>
      </w:r>
      <w:r w:rsidR="00DC0F6E" w:rsidRPr="00BA6590">
        <w:rPr>
          <w:lang w:val="en-GB"/>
        </w:rPr>
        <w:t xml:space="preserve">o </w:t>
      </w:r>
      <w:r w:rsidR="00D60444" w:rsidRPr="00BA6590">
        <w:rPr>
          <w:lang w:val="en-GB"/>
        </w:rPr>
        <w:t>welcome</w:t>
      </w:r>
      <w:r w:rsidR="00DC0F6E" w:rsidRPr="00BA6590">
        <w:rPr>
          <w:lang w:val="en-GB"/>
        </w:rPr>
        <w:t xml:space="preserve"> and support citizens in the framework of the fight against cer</w:t>
      </w:r>
      <w:r w:rsidR="005E69EC" w:rsidRPr="00BA6590">
        <w:rPr>
          <w:lang w:val="en-GB"/>
        </w:rPr>
        <w:t>tain forms of discrimination</w:t>
      </w:r>
      <w:r w:rsidR="00DC0F6E" w:rsidRPr="00BA6590">
        <w:rPr>
          <w:lang w:val="en-GB"/>
        </w:rPr>
        <w:t xml:space="preserve">. They are located in the </w:t>
      </w:r>
      <w:r w:rsidR="00DC0F6E" w:rsidRPr="00BA6590">
        <w:rPr>
          <w:i/>
          <w:lang w:val="en-GB"/>
        </w:rPr>
        <w:t>Espaces Wallonie</w:t>
      </w:r>
      <w:r w:rsidR="00DC0F6E" w:rsidRPr="00BA6590">
        <w:rPr>
          <w:lang w:val="en-GB"/>
        </w:rPr>
        <w:t xml:space="preserve"> (</w:t>
      </w:r>
      <w:r w:rsidR="00D272C9" w:rsidRPr="00BA6590">
        <w:rPr>
          <w:lang w:val="en-GB"/>
        </w:rPr>
        <w:t xml:space="preserve">Walloon </w:t>
      </w:r>
      <w:r w:rsidR="00DC0F6E" w:rsidRPr="00BA6590">
        <w:rPr>
          <w:lang w:val="en-GB"/>
        </w:rPr>
        <w:t xml:space="preserve">Region Centres) and cover the whole of the </w:t>
      </w:r>
      <w:r w:rsidR="00D272C9" w:rsidRPr="00BA6590">
        <w:rPr>
          <w:lang w:val="en-GB"/>
        </w:rPr>
        <w:t>r</w:t>
      </w:r>
      <w:r w:rsidR="00DC0F6E" w:rsidRPr="00BA6590">
        <w:rPr>
          <w:lang w:val="en-GB"/>
        </w:rPr>
        <w:t xml:space="preserve">egion. They are set up in collaboration with </w:t>
      </w:r>
      <w:r w:rsidR="00D272C9" w:rsidRPr="00BA6590">
        <w:rPr>
          <w:lang w:val="en-GB"/>
        </w:rPr>
        <w:t>the</w:t>
      </w:r>
      <w:r w:rsidRPr="00BA6590">
        <w:rPr>
          <w:lang w:val="en-GB"/>
        </w:rPr>
        <w:t xml:space="preserve"> </w:t>
      </w:r>
      <w:r w:rsidR="00D272C9" w:rsidRPr="00BA6590">
        <w:rPr>
          <w:lang w:val="en-GB"/>
        </w:rPr>
        <w:t xml:space="preserve">Mediation </w:t>
      </w:r>
      <w:r w:rsidRPr="00BA6590">
        <w:rPr>
          <w:lang w:val="en-GB"/>
        </w:rPr>
        <w:t xml:space="preserve">Services </w:t>
      </w:r>
      <w:r w:rsidR="00D272C9" w:rsidRPr="00BA6590">
        <w:rPr>
          <w:lang w:val="en-GB"/>
        </w:rPr>
        <w:t>of the French Community</w:t>
      </w:r>
      <w:r w:rsidRPr="00BA6590">
        <w:rPr>
          <w:lang w:val="en-GB"/>
        </w:rPr>
        <w:t xml:space="preserve"> </w:t>
      </w:r>
      <w:r w:rsidR="00D272C9" w:rsidRPr="00BA6590">
        <w:rPr>
          <w:lang w:val="en-GB"/>
        </w:rPr>
        <w:t>and the</w:t>
      </w:r>
      <w:r w:rsidRPr="00BA6590">
        <w:rPr>
          <w:lang w:val="en-GB"/>
        </w:rPr>
        <w:t xml:space="preserve"> </w:t>
      </w:r>
      <w:r w:rsidR="00B06588" w:rsidRPr="00BA6590">
        <w:rPr>
          <w:lang w:val="en-GB"/>
        </w:rPr>
        <w:t>Walloon Region</w:t>
      </w:r>
      <w:r w:rsidR="00D272C9" w:rsidRPr="00BA6590">
        <w:rPr>
          <w:lang w:val="en-GB"/>
        </w:rPr>
        <w:t xml:space="preserve">, which provide the legal advice services in the </w:t>
      </w:r>
      <w:r w:rsidRPr="00BA6590">
        <w:rPr>
          <w:i/>
          <w:lang w:val="en-GB"/>
        </w:rPr>
        <w:t>Espaces Wallonie</w:t>
      </w:r>
      <w:r w:rsidRPr="00BA6590">
        <w:rPr>
          <w:lang w:val="en-GB"/>
        </w:rPr>
        <w:t>.</w:t>
      </w:r>
    </w:p>
    <w:p w:rsidR="005C2561" w:rsidRPr="00BA6590" w:rsidRDefault="005C2561" w:rsidP="005C2561">
      <w:pPr>
        <w:pStyle w:val="SingleTxtG"/>
        <w:rPr>
          <w:lang w:val="en-GB"/>
        </w:rPr>
      </w:pPr>
      <w:r w:rsidRPr="00BA6590">
        <w:rPr>
          <w:lang w:val="en-GB"/>
        </w:rPr>
        <w:t>304.</w:t>
      </w:r>
      <w:r w:rsidRPr="00BA6590">
        <w:rPr>
          <w:lang w:val="en-GB"/>
        </w:rPr>
        <w:tab/>
      </w:r>
      <w:r w:rsidR="00D272C9" w:rsidRPr="00BA6590">
        <w:rPr>
          <w:lang w:val="en-GB"/>
        </w:rPr>
        <w:t xml:space="preserve">The French Community has appointed the </w:t>
      </w:r>
      <w:r w:rsidR="004B472D" w:rsidRPr="00BA6590">
        <w:rPr>
          <w:lang w:val="en-GB"/>
        </w:rPr>
        <w:t>Centre for Equal Opportunities and Action</w:t>
      </w:r>
      <w:r w:rsidR="006E73EA" w:rsidRPr="00BA6590">
        <w:rPr>
          <w:lang w:val="en-GB"/>
        </w:rPr>
        <w:t xml:space="preserve"> to Combat Racism</w:t>
      </w:r>
      <w:r w:rsidR="00D272C9" w:rsidRPr="00BA6590">
        <w:rPr>
          <w:lang w:val="en-GB"/>
        </w:rPr>
        <w:t xml:space="preserve"> to promote equal treatment among all persons without discrimination on grounds of nationality, presumed race, skin colour, parentage or national or ethnic origin, age, sexual orientation, religious or philosophical beliefs, disability, marital status, birth, wealth, political convictions, current or future state of health, physical or genetic characteristics or social background. The </w:t>
      </w:r>
      <w:r w:rsidRPr="00BA6590">
        <w:rPr>
          <w:lang w:val="en-GB"/>
        </w:rPr>
        <w:t>Institut</w:t>
      </w:r>
      <w:r w:rsidR="00D272C9" w:rsidRPr="00BA6590">
        <w:rPr>
          <w:lang w:val="en-GB"/>
        </w:rPr>
        <w:t>e for Gender Equality has been appointed to deal with any gender-based</w:t>
      </w:r>
      <w:r w:rsidRPr="00BA6590">
        <w:rPr>
          <w:lang w:val="en-GB"/>
        </w:rPr>
        <w:t xml:space="preserve"> discrimination</w:t>
      </w:r>
      <w:r w:rsidR="00D272C9" w:rsidRPr="00BA6590">
        <w:rPr>
          <w:lang w:val="en-GB"/>
        </w:rPr>
        <w:t>.</w:t>
      </w:r>
    </w:p>
    <w:p w:rsidR="005C2561" w:rsidRPr="00BA6590" w:rsidRDefault="005C2561" w:rsidP="005C2561">
      <w:pPr>
        <w:pStyle w:val="SingleTxtG"/>
        <w:rPr>
          <w:lang w:val="en-GB"/>
        </w:rPr>
      </w:pPr>
      <w:r w:rsidRPr="00BA6590">
        <w:rPr>
          <w:lang w:val="en-GB"/>
        </w:rPr>
        <w:t>305.</w:t>
      </w:r>
      <w:r w:rsidRPr="00BA6590">
        <w:rPr>
          <w:lang w:val="en-GB"/>
        </w:rPr>
        <w:tab/>
      </w:r>
      <w:r w:rsidR="002E3B51" w:rsidRPr="00BA6590">
        <w:rPr>
          <w:lang w:val="en-GB"/>
        </w:rPr>
        <w:t xml:space="preserve">A </w:t>
      </w:r>
      <w:r w:rsidR="00907915" w:rsidRPr="00BA6590">
        <w:rPr>
          <w:lang w:val="en-GB"/>
        </w:rPr>
        <w:t>cooperation protocol</w:t>
      </w:r>
      <w:r w:rsidR="002E3B51" w:rsidRPr="00BA6590">
        <w:rPr>
          <w:lang w:val="en-GB"/>
        </w:rPr>
        <w:t xml:space="preserve"> was signed in </w:t>
      </w:r>
      <w:r w:rsidR="003F5E21" w:rsidRPr="00BA6590">
        <w:rPr>
          <w:lang w:val="en-GB"/>
        </w:rPr>
        <w:t>February</w:t>
      </w:r>
      <w:r w:rsidRPr="00BA6590">
        <w:rPr>
          <w:lang w:val="en-GB"/>
        </w:rPr>
        <w:t xml:space="preserve"> 2009</w:t>
      </w:r>
      <w:r w:rsidR="002E3B51" w:rsidRPr="00BA6590">
        <w:rPr>
          <w:lang w:val="en-GB"/>
        </w:rPr>
        <w:t xml:space="preserve"> between the French Community and those two independent bodies, giving them the authority to</w:t>
      </w:r>
      <w:r w:rsidRPr="00BA6590">
        <w:rPr>
          <w:lang w:val="en-GB"/>
        </w:rPr>
        <w:t>:</w:t>
      </w:r>
    </w:p>
    <w:p w:rsidR="005C2561" w:rsidRPr="00BA6590" w:rsidRDefault="008D0092" w:rsidP="006E0CCE">
      <w:pPr>
        <w:pStyle w:val="Bullet1G"/>
        <w:rPr>
          <w:lang w:val="en-GB"/>
        </w:rPr>
      </w:pPr>
      <w:r w:rsidRPr="00BA6590">
        <w:rPr>
          <w:lang w:val="en-GB"/>
        </w:rPr>
        <w:t xml:space="preserve">Deal </w:t>
      </w:r>
      <w:r w:rsidR="002E3B51" w:rsidRPr="00BA6590">
        <w:rPr>
          <w:lang w:val="en-GB"/>
        </w:rPr>
        <w:t xml:space="preserve">with individual situations relating to </w:t>
      </w:r>
      <w:r w:rsidR="005C2561" w:rsidRPr="00BA6590">
        <w:rPr>
          <w:lang w:val="en-GB"/>
        </w:rPr>
        <w:t>discrimination</w:t>
      </w:r>
      <w:r w:rsidR="002E3B51" w:rsidRPr="00BA6590">
        <w:rPr>
          <w:lang w:val="en-GB"/>
        </w:rPr>
        <w:t xml:space="preserve"> based on the various</w:t>
      </w:r>
      <w:r w:rsidR="005C2561" w:rsidRPr="00BA6590">
        <w:rPr>
          <w:lang w:val="en-GB"/>
        </w:rPr>
        <w:t xml:space="preserve"> </w:t>
      </w:r>
      <w:r w:rsidR="0025386E" w:rsidRPr="00BA6590">
        <w:rPr>
          <w:lang w:val="en-GB"/>
        </w:rPr>
        <w:t>criteria for protection</w:t>
      </w:r>
      <w:r w:rsidR="006E0CCE" w:rsidRPr="00BA6590">
        <w:rPr>
          <w:lang w:val="en-GB"/>
        </w:rPr>
        <w:t>;</w:t>
      </w:r>
    </w:p>
    <w:p w:rsidR="005C2561" w:rsidRPr="00BA6590" w:rsidRDefault="008D0092" w:rsidP="003349FA">
      <w:pPr>
        <w:pStyle w:val="Bullet1G"/>
        <w:rPr>
          <w:lang w:val="en-GB"/>
        </w:rPr>
      </w:pPr>
      <w:r w:rsidRPr="00BA6590">
        <w:rPr>
          <w:lang w:val="en-GB"/>
        </w:rPr>
        <w:t xml:space="preserve">Inform </w:t>
      </w:r>
      <w:r w:rsidR="002E3B51" w:rsidRPr="00BA6590">
        <w:rPr>
          <w:lang w:val="en-GB"/>
        </w:rPr>
        <w:t>the public and promote awareness</w:t>
      </w:r>
      <w:r w:rsidR="006E0CCE" w:rsidRPr="00BA6590">
        <w:rPr>
          <w:lang w:val="en-GB"/>
        </w:rPr>
        <w:t>;</w:t>
      </w:r>
    </w:p>
    <w:p w:rsidR="005C2561" w:rsidRPr="00BA6590" w:rsidRDefault="008D0092" w:rsidP="003349FA">
      <w:pPr>
        <w:pStyle w:val="Bullet1G"/>
        <w:rPr>
          <w:lang w:val="en-GB"/>
        </w:rPr>
      </w:pPr>
      <w:r w:rsidRPr="00BA6590">
        <w:rPr>
          <w:lang w:val="en-GB"/>
        </w:rPr>
        <w:t xml:space="preserve">Provide </w:t>
      </w:r>
      <w:r w:rsidR="002E3B51" w:rsidRPr="00BA6590">
        <w:rPr>
          <w:lang w:val="en-GB"/>
        </w:rPr>
        <w:t>training to staff</w:t>
      </w:r>
      <w:r w:rsidR="006E0CCE" w:rsidRPr="00BA6590">
        <w:rPr>
          <w:lang w:val="en-GB"/>
        </w:rPr>
        <w:t>;</w:t>
      </w:r>
    </w:p>
    <w:p w:rsidR="005C2561" w:rsidRPr="00BA6590" w:rsidRDefault="008D0092" w:rsidP="003349FA">
      <w:pPr>
        <w:pStyle w:val="Bullet1G"/>
        <w:rPr>
          <w:lang w:val="en-GB"/>
        </w:rPr>
      </w:pPr>
      <w:r w:rsidRPr="00BA6590">
        <w:rPr>
          <w:lang w:val="en-GB"/>
        </w:rPr>
        <w:t xml:space="preserve">Submit </w:t>
      </w:r>
      <w:r w:rsidR="002E3B51" w:rsidRPr="00BA6590">
        <w:rPr>
          <w:lang w:val="en-GB"/>
        </w:rPr>
        <w:t xml:space="preserve">opinions and recommendations to the </w:t>
      </w:r>
      <w:r w:rsidR="005E69EC" w:rsidRPr="00BA6590">
        <w:rPr>
          <w:lang w:val="en-GB"/>
        </w:rPr>
        <w:t>C</w:t>
      </w:r>
      <w:r w:rsidR="002E3B51" w:rsidRPr="00BA6590">
        <w:rPr>
          <w:lang w:val="en-GB"/>
        </w:rPr>
        <w:t>ommunity authorities</w:t>
      </w:r>
      <w:r w:rsidR="006E0CCE" w:rsidRPr="00BA6590">
        <w:rPr>
          <w:lang w:val="en-GB"/>
        </w:rPr>
        <w:t>;</w:t>
      </w:r>
      <w:r w:rsidR="002E3B51" w:rsidRPr="00BA6590">
        <w:rPr>
          <w:lang w:val="en-GB"/>
        </w:rPr>
        <w:t xml:space="preserve"> and</w:t>
      </w:r>
    </w:p>
    <w:p w:rsidR="005C2561" w:rsidRPr="00BA6590" w:rsidRDefault="008D0092" w:rsidP="003349FA">
      <w:pPr>
        <w:pStyle w:val="Bullet1G"/>
        <w:rPr>
          <w:lang w:val="en-GB"/>
        </w:rPr>
      </w:pPr>
      <w:r w:rsidRPr="00BA6590">
        <w:rPr>
          <w:lang w:val="en-GB"/>
        </w:rPr>
        <w:t xml:space="preserve">Provide </w:t>
      </w:r>
      <w:r w:rsidR="002E3B51" w:rsidRPr="00BA6590">
        <w:rPr>
          <w:lang w:val="en-GB"/>
        </w:rPr>
        <w:t>leadership for the preparation of studies on subjects related to anti</w:t>
      </w:r>
      <w:r w:rsidR="00D94C5A" w:rsidRPr="00BA6590">
        <w:rPr>
          <w:lang w:val="en-GB"/>
        </w:rPr>
        <w:noBreakHyphen/>
      </w:r>
      <w:r w:rsidR="002E3B51" w:rsidRPr="00BA6590">
        <w:rPr>
          <w:lang w:val="en-GB"/>
        </w:rPr>
        <w:t>discrimination measures</w:t>
      </w:r>
      <w:r w:rsidR="006E0CCE" w:rsidRPr="00BA6590">
        <w:rPr>
          <w:lang w:val="en-GB"/>
        </w:rPr>
        <w:t>.</w:t>
      </w:r>
    </w:p>
    <w:p w:rsidR="005C2561" w:rsidRPr="00BA6590" w:rsidRDefault="005C2561" w:rsidP="005C2561">
      <w:pPr>
        <w:pStyle w:val="SingleTxtG"/>
        <w:rPr>
          <w:lang w:val="en-GB"/>
        </w:rPr>
      </w:pPr>
      <w:r w:rsidRPr="00BA6590">
        <w:rPr>
          <w:lang w:val="en-GB"/>
        </w:rPr>
        <w:t>306.</w:t>
      </w:r>
      <w:r w:rsidRPr="00BA6590">
        <w:rPr>
          <w:lang w:val="en-GB"/>
        </w:rPr>
        <w:tab/>
      </w:r>
      <w:r w:rsidR="00321C1D" w:rsidRPr="00BA6590">
        <w:rPr>
          <w:lang w:val="en-GB"/>
        </w:rPr>
        <w:t xml:space="preserve">The implementation of the </w:t>
      </w:r>
      <w:r w:rsidR="00907915" w:rsidRPr="00BA6590">
        <w:rPr>
          <w:lang w:val="en-GB"/>
        </w:rPr>
        <w:t>cooperation protocol</w:t>
      </w:r>
      <w:r w:rsidR="00321C1D" w:rsidRPr="00BA6590">
        <w:rPr>
          <w:lang w:val="en-GB"/>
        </w:rPr>
        <w:t xml:space="preserve"> is coordinated by the Equal Opportuni</w:t>
      </w:r>
      <w:r w:rsidR="00D41C4D" w:rsidRPr="00BA6590">
        <w:rPr>
          <w:lang w:val="en-GB"/>
        </w:rPr>
        <w:t>ti</w:t>
      </w:r>
      <w:r w:rsidR="00321C1D" w:rsidRPr="00BA6590">
        <w:rPr>
          <w:lang w:val="en-GB"/>
        </w:rPr>
        <w:t>es Department of the Ministry of the French Community. In practical terms, the Department promotes contacts among the various actors</w:t>
      </w:r>
      <w:r w:rsidR="00994FE5" w:rsidRPr="00BA6590">
        <w:rPr>
          <w:lang w:val="en-GB"/>
        </w:rPr>
        <w:t>, ensuring that the best use is made of</w:t>
      </w:r>
      <w:r w:rsidR="00321C1D" w:rsidRPr="00BA6590">
        <w:rPr>
          <w:lang w:val="en-GB"/>
        </w:rPr>
        <w:t xml:space="preserve"> the potential and resources of all </w:t>
      </w:r>
      <w:r w:rsidR="00994FE5" w:rsidRPr="00BA6590">
        <w:rPr>
          <w:lang w:val="en-GB"/>
        </w:rPr>
        <w:t>th</w:t>
      </w:r>
      <w:r w:rsidR="005E69EC" w:rsidRPr="00BA6590">
        <w:rPr>
          <w:lang w:val="en-GB"/>
        </w:rPr>
        <w:t xml:space="preserve">ose involved in fighting </w:t>
      </w:r>
      <w:r w:rsidR="00994FE5" w:rsidRPr="00BA6590">
        <w:rPr>
          <w:lang w:val="en-GB"/>
        </w:rPr>
        <w:t xml:space="preserve">discrimination. Since 2009, the Centre and the Institute have provided legal assistance to the victims of discrimination and, in particular, have provided them with a great deal of information on their rights. They have also been involved in informal conciliation in certain cases. </w:t>
      </w:r>
    </w:p>
    <w:p w:rsidR="005C2561" w:rsidRPr="00BA6590" w:rsidRDefault="005C2561" w:rsidP="005C2561">
      <w:pPr>
        <w:pStyle w:val="SingleTxtG"/>
        <w:rPr>
          <w:lang w:val="en-GB"/>
        </w:rPr>
      </w:pPr>
      <w:r w:rsidRPr="00BA6590">
        <w:rPr>
          <w:lang w:val="en-GB"/>
        </w:rPr>
        <w:t>307.</w:t>
      </w:r>
      <w:r w:rsidRPr="00BA6590">
        <w:rPr>
          <w:lang w:val="en-GB"/>
        </w:rPr>
        <w:tab/>
      </w:r>
      <w:r w:rsidR="0054290A" w:rsidRPr="00BA6590">
        <w:rPr>
          <w:lang w:val="en-GB"/>
        </w:rPr>
        <w:t xml:space="preserve">The </w:t>
      </w:r>
      <w:r w:rsidR="00907915" w:rsidRPr="00BA6590">
        <w:rPr>
          <w:lang w:val="en-GB"/>
        </w:rPr>
        <w:t>cooperation protocol</w:t>
      </w:r>
      <w:r w:rsidR="0054290A" w:rsidRPr="00BA6590">
        <w:rPr>
          <w:lang w:val="en-GB"/>
        </w:rPr>
        <w:t xml:space="preserve"> between the French Community and the Centre provides for them to share all useful information of general interest relating to the application and implementation of the Decree of</w:t>
      </w:r>
      <w:r w:rsidRPr="00BA6590">
        <w:rPr>
          <w:lang w:val="en-GB"/>
        </w:rPr>
        <w:t xml:space="preserve"> 12 </w:t>
      </w:r>
      <w:r w:rsidR="003F5E21" w:rsidRPr="00BA6590">
        <w:rPr>
          <w:lang w:val="en-GB"/>
        </w:rPr>
        <w:t>December</w:t>
      </w:r>
      <w:r w:rsidRPr="00BA6590">
        <w:rPr>
          <w:lang w:val="en-GB"/>
        </w:rPr>
        <w:t xml:space="preserve"> 2008</w:t>
      </w:r>
      <w:r w:rsidR="0054290A" w:rsidRPr="00BA6590">
        <w:rPr>
          <w:lang w:val="en-GB"/>
        </w:rPr>
        <w:t xml:space="preserve"> on combating certain forms of discrimination. This sharing of information is to take place within the provisions of the Act of </w:t>
      </w:r>
      <w:r w:rsidRPr="00BA6590">
        <w:rPr>
          <w:lang w:val="en-GB"/>
        </w:rPr>
        <w:t xml:space="preserve">8 </w:t>
      </w:r>
      <w:r w:rsidR="003F5E21" w:rsidRPr="00BA6590">
        <w:rPr>
          <w:lang w:val="en-GB"/>
        </w:rPr>
        <w:t>December</w:t>
      </w:r>
      <w:r w:rsidRPr="00BA6590">
        <w:rPr>
          <w:lang w:val="en-GB"/>
        </w:rPr>
        <w:t xml:space="preserve"> 2008</w:t>
      </w:r>
      <w:r w:rsidR="00401B92" w:rsidRPr="00BA6590">
        <w:rPr>
          <w:lang w:val="en-GB"/>
        </w:rPr>
        <w:t xml:space="preserve"> on the protection of private life in relation to the processing of personal data</w:t>
      </w:r>
      <w:r w:rsidR="00D04231" w:rsidRPr="00BA6590">
        <w:rPr>
          <w:lang w:val="en-GB"/>
        </w:rPr>
        <w:t xml:space="preserve">. An agreement to this effect is currently being finalized. </w:t>
      </w:r>
    </w:p>
    <w:p w:rsidR="005C2561" w:rsidRPr="00BA6590" w:rsidRDefault="005C2561" w:rsidP="005C2561">
      <w:pPr>
        <w:pStyle w:val="SingleTxtG"/>
        <w:rPr>
          <w:lang w:val="en-GB"/>
        </w:rPr>
      </w:pPr>
      <w:r w:rsidRPr="00BA6590">
        <w:rPr>
          <w:lang w:val="en-GB"/>
        </w:rPr>
        <w:t>308.</w:t>
      </w:r>
      <w:r w:rsidRPr="00BA6590">
        <w:rPr>
          <w:lang w:val="en-GB"/>
        </w:rPr>
        <w:tab/>
      </w:r>
      <w:r w:rsidR="00D04231" w:rsidRPr="00BA6590">
        <w:rPr>
          <w:lang w:val="en-GB"/>
        </w:rPr>
        <w:t>Regarding the processing of such data and, in particular,</w:t>
      </w:r>
      <w:r w:rsidR="005E69EC" w:rsidRPr="00BA6590">
        <w:rPr>
          <w:lang w:val="en-GB"/>
        </w:rPr>
        <w:t xml:space="preserve"> in relation to</w:t>
      </w:r>
      <w:r w:rsidR="00D04231" w:rsidRPr="00BA6590">
        <w:rPr>
          <w:lang w:val="en-GB"/>
        </w:rPr>
        <w:t xml:space="preserve"> informal conciliation, the Centre and the Institute have worked together with those involved in conciliation in the French Community. Regular meetings are also held in the framework of an informal platform comprising conciliation actors who are likely to be involved in anti</w:t>
      </w:r>
      <w:r w:rsidR="00D94C5A" w:rsidRPr="00BA6590">
        <w:rPr>
          <w:lang w:val="en-GB"/>
        </w:rPr>
        <w:noBreakHyphen/>
      </w:r>
      <w:r w:rsidR="00D04231" w:rsidRPr="00BA6590">
        <w:rPr>
          <w:lang w:val="en-GB"/>
        </w:rPr>
        <w:t>discrimination measures under the authority of the French Community.</w:t>
      </w:r>
    </w:p>
    <w:p w:rsidR="005C2561" w:rsidRPr="00BA6590" w:rsidRDefault="00D04231" w:rsidP="005C2561">
      <w:pPr>
        <w:pStyle w:val="SingleTxtG"/>
        <w:rPr>
          <w:lang w:val="en-GB"/>
        </w:rPr>
      </w:pPr>
      <w:r w:rsidRPr="00BA6590">
        <w:rPr>
          <w:lang w:val="en-GB"/>
        </w:rPr>
        <w:t>309.</w:t>
      </w:r>
      <w:r w:rsidRPr="00BA6590">
        <w:rPr>
          <w:lang w:val="en-GB"/>
        </w:rPr>
        <w:tab/>
        <w:t>In 2009, 2010 and</w:t>
      </w:r>
      <w:r w:rsidR="005C2561" w:rsidRPr="00BA6590">
        <w:rPr>
          <w:lang w:val="en-GB"/>
        </w:rPr>
        <w:t xml:space="preserve"> 2011, </w:t>
      </w:r>
      <w:r w:rsidRPr="00BA6590">
        <w:rPr>
          <w:lang w:val="en-GB"/>
        </w:rPr>
        <w:t>the</w:t>
      </w:r>
      <w:r w:rsidR="005C2561" w:rsidRPr="00BA6590">
        <w:rPr>
          <w:lang w:val="en-GB"/>
        </w:rPr>
        <w:t xml:space="preserve"> Centre </w:t>
      </w:r>
      <w:r w:rsidRPr="00BA6590">
        <w:rPr>
          <w:lang w:val="en-GB"/>
        </w:rPr>
        <w:t>and the</w:t>
      </w:r>
      <w:r w:rsidR="005C2561" w:rsidRPr="00BA6590">
        <w:rPr>
          <w:lang w:val="en-GB"/>
        </w:rPr>
        <w:t xml:space="preserve"> Institut</w:t>
      </w:r>
      <w:r w:rsidRPr="00BA6590">
        <w:rPr>
          <w:lang w:val="en-GB"/>
        </w:rPr>
        <w:t xml:space="preserve">e dealt with </w:t>
      </w:r>
      <w:r w:rsidR="005C2561" w:rsidRPr="00BA6590">
        <w:rPr>
          <w:lang w:val="en-GB"/>
        </w:rPr>
        <w:t>202</w:t>
      </w:r>
      <w:r w:rsidRPr="00BA6590">
        <w:rPr>
          <w:lang w:val="en-GB"/>
        </w:rPr>
        <w:t xml:space="preserve"> cases coming under the authority of the French Community.</w:t>
      </w:r>
      <w:r w:rsidR="00FB785A" w:rsidRPr="00BA6590">
        <w:rPr>
          <w:rStyle w:val="FootnoteReference"/>
          <w:lang w:val="en-GB"/>
        </w:rPr>
        <w:footnoteReference w:id="35"/>
      </w:r>
      <w:r w:rsidR="005C2561" w:rsidRPr="00BA6590">
        <w:rPr>
          <w:lang w:val="en-GB"/>
        </w:rPr>
        <w:t xml:space="preserve"> </w:t>
      </w:r>
    </w:p>
    <w:p w:rsidR="005C2561" w:rsidRPr="00BA6590" w:rsidRDefault="005C2561" w:rsidP="005C2561">
      <w:pPr>
        <w:pStyle w:val="SingleTxtG"/>
        <w:rPr>
          <w:lang w:val="en-GB"/>
        </w:rPr>
      </w:pPr>
      <w:r w:rsidRPr="00BA6590">
        <w:rPr>
          <w:lang w:val="en-GB"/>
        </w:rPr>
        <w:t>310.</w:t>
      </w:r>
      <w:r w:rsidRPr="00BA6590">
        <w:rPr>
          <w:lang w:val="en-GB"/>
        </w:rPr>
        <w:tab/>
      </w:r>
      <w:r w:rsidR="00D04231" w:rsidRPr="00BA6590">
        <w:rPr>
          <w:lang w:val="en-GB"/>
        </w:rPr>
        <w:t xml:space="preserve">A similar protocol was signed with the Walloon Region in </w:t>
      </w:r>
      <w:r w:rsidRPr="00BA6590">
        <w:rPr>
          <w:lang w:val="en-GB"/>
        </w:rPr>
        <w:t>2009.</w:t>
      </w:r>
      <w:r w:rsidR="00D04231" w:rsidRPr="00BA6590">
        <w:rPr>
          <w:lang w:val="en-GB"/>
        </w:rPr>
        <w:t xml:space="preserve"> </w:t>
      </w:r>
    </w:p>
    <w:p w:rsidR="00FB785A" w:rsidRPr="00BA6590" w:rsidRDefault="00FB785A" w:rsidP="00FB785A">
      <w:pPr>
        <w:pStyle w:val="HChG"/>
        <w:rPr>
          <w:lang w:val="en-GB"/>
        </w:rPr>
      </w:pPr>
      <w:r w:rsidRPr="00BA6590">
        <w:rPr>
          <w:lang w:val="en-GB"/>
        </w:rPr>
        <w:tab/>
      </w:r>
      <w:r w:rsidRPr="00BA6590">
        <w:rPr>
          <w:lang w:val="en-GB"/>
        </w:rPr>
        <w:tab/>
        <w:t>Article 7</w:t>
      </w:r>
      <w:r w:rsidR="008D0092" w:rsidRPr="00BA6590">
        <w:rPr>
          <w:lang w:val="en-GB"/>
        </w:rPr>
        <w:br/>
      </w:r>
      <w:r w:rsidRPr="00BA6590">
        <w:rPr>
          <w:lang w:val="en-GB"/>
        </w:rPr>
        <w:t xml:space="preserve">Non-discrimination </w:t>
      </w:r>
      <w:r w:rsidR="00D04231" w:rsidRPr="00BA6590">
        <w:rPr>
          <w:lang w:val="en-GB"/>
        </w:rPr>
        <w:t>in the fields of teaching, edu</w:t>
      </w:r>
      <w:r w:rsidR="00072127">
        <w:rPr>
          <w:lang w:val="en-GB"/>
        </w:rPr>
        <w:t>cation, culture and information</w:t>
      </w:r>
    </w:p>
    <w:p w:rsidR="00FB785A" w:rsidRPr="00BA6590" w:rsidRDefault="00FB785A" w:rsidP="00FB785A">
      <w:pPr>
        <w:pStyle w:val="H1G"/>
        <w:rPr>
          <w:lang w:val="en-GB"/>
        </w:rPr>
      </w:pPr>
      <w:r w:rsidRPr="00BA6590">
        <w:rPr>
          <w:lang w:val="en-GB"/>
        </w:rPr>
        <w:tab/>
        <w:t>A.</w:t>
      </w:r>
      <w:r w:rsidRPr="00BA6590">
        <w:rPr>
          <w:lang w:val="en-GB"/>
        </w:rPr>
        <w:tab/>
      </w:r>
      <w:r w:rsidR="002506BC" w:rsidRPr="00BA6590">
        <w:rPr>
          <w:lang w:val="en-GB"/>
        </w:rPr>
        <w:t xml:space="preserve">Flemish </w:t>
      </w:r>
      <w:r w:rsidRPr="00BA6590">
        <w:rPr>
          <w:lang w:val="en-GB"/>
        </w:rPr>
        <w:t>Commun</w:t>
      </w:r>
      <w:r w:rsidR="002506BC" w:rsidRPr="00BA6590">
        <w:rPr>
          <w:lang w:val="en-GB"/>
        </w:rPr>
        <w:t>ity</w:t>
      </w:r>
    </w:p>
    <w:p w:rsidR="00FB785A" w:rsidRPr="00BA6590" w:rsidRDefault="00FB785A" w:rsidP="00FB785A">
      <w:pPr>
        <w:pStyle w:val="H23G"/>
        <w:rPr>
          <w:lang w:val="en-GB"/>
        </w:rPr>
      </w:pPr>
      <w:r w:rsidRPr="00BA6590">
        <w:rPr>
          <w:lang w:val="en-GB"/>
        </w:rPr>
        <w:tab/>
        <w:t>1.</w:t>
      </w:r>
      <w:r w:rsidRPr="00BA6590">
        <w:rPr>
          <w:lang w:val="en-GB"/>
        </w:rPr>
        <w:tab/>
      </w:r>
      <w:r w:rsidR="002506BC" w:rsidRPr="00BA6590">
        <w:rPr>
          <w:lang w:val="en-GB"/>
        </w:rPr>
        <w:t xml:space="preserve">Recent policy developments in the Flemish Community in combating </w:t>
      </w:r>
      <w:r w:rsidR="008D0092" w:rsidRPr="00BA6590">
        <w:rPr>
          <w:lang w:val="en-GB"/>
        </w:rPr>
        <w:br/>
      </w:r>
      <w:r w:rsidR="002506BC" w:rsidRPr="00BA6590">
        <w:rPr>
          <w:lang w:val="en-GB"/>
        </w:rPr>
        <w:t>discrimination in the area of education</w:t>
      </w:r>
    </w:p>
    <w:p w:rsidR="00FB785A" w:rsidRPr="00BA6590" w:rsidRDefault="00FB785A" w:rsidP="00FB785A">
      <w:pPr>
        <w:pStyle w:val="SingleTxtG"/>
        <w:rPr>
          <w:lang w:val="en-GB"/>
        </w:rPr>
      </w:pPr>
      <w:r w:rsidRPr="00BA6590">
        <w:rPr>
          <w:lang w:val="en-GB"/>
        </w:rPr>
        <w:t>311.</w:t>
      </w:r>
      <w:r w:rsidRPr="00BA6590">
        <w:rPr>
          <w:lang w:val="en-GB"/>
        </w:rPr>
        <w:tab/>
      </w:r>
      <w:r w:rsidR="002506BC" w:rsidRPr="00BA6590">
        <w:rPr>
          <w:lang w:val="en-GB"/>
        </w:rPr>
        <w:t xml:space="preserve">The Flemish Community has taken new measures to combat </w:t>
      </w:r>
      <w:r w:rsidRPr="00BA6590">
        <w:rPr>
          <w:lang w:val="en-GB"/>
        </w:rPr>
        <w:t>discrimination</w:t>
      </w:r>
      <w:r w:rsidR="002506BC" w:rsidRPr="00BA6590">
        <w:rPr>
          <w:lang w:val="en-GB"/>
        </w:rPr>
        <w:t xml:space="preserve"> in the area of education</w:t>
      </w:r>
      <w:r w:rsidRPr="00BA6590">
        <w:rPr>
          <w:lang w:val="en-GB"/>
        </w:rPr>
        <w:t>.</w:t>
      </w:r>
    </w:p>
    <w:p w:rsidR="00FB785A" w:rsidRPr="00BA6590" w:rsidRDefault="00FB785A" w:rsidP="002409EB">
      <w:pPr>
        <w:pStyle w:val="SingleTxtG"/>
        <w:rPr>
          <w:lang w:val="en-GB"/>
        </w:rPr>
      </w:pPr>
      <w:r w:rsidRPr="00BA6590">
        <w:rPr>
          <w:lang w:val="en-GB"/>
        </w:rPr>
        <w:t>312.</w:t>
      </w:r>
      <w:r w:rsidRPr="00BA6590">
        <w:rPr>
          <w:lang w:val="en-GB"/>
        </w:rPr>
        <w:tab/>
      </w:r>
      <w:r w:rsidR="00391C8F" w:rsidRPr="00BA6590">
        <w:rPr>
          <w:lang w:val="en-GB"/>
        </w:rPr>
        <w:t xml:space="preserve">Pursuant to the Decree of </w:t>
      </w:r>
      <w:r w:rsidRPr="00BA6590">
        <w:rPr>
          <w:lang w:val="en-GB"/>
        </w:rPr>
        <w:t xml:space="preserve">25 </w:t>
      </w:r>
      <w:r w:rsidR="003F5E21" w:rsidRPr="00BA6590">
        <w:rPr>
          <w:lang w:val="en-GB"/>
        </w:rPr>
        <w:t>November</w:t>
      </w:r>
      <w:r w:rsidRPr="00BA6590">
        <w:rPr>
          <w:lang w:val="en-GB"/>
        </w:rPr>
        <w:t xml:space="preserve"> 2011,</w:t>
      </w:r>
      <w:r w:rsidR="00391C8F" w:rsidRPr="00BA6590">
        <w:rPr>
          <w:lang w:val="en-GB"/>
        </w:rPr>
        <w:t xml:space="preserve"> </w:t>
      </w:r>
      <w:r w:rsidR="0014172F" w:rsidRPr="00BA6590">
        <w:rPr>
          <w:lang w:val="en-GB"/>
        </w:rPr>
        <w:t xml:space="preserve">the </w:t>
      </w:r>
      <w:r w:rsidR="00391C8F" w:rsidRPr="00BA6590">
        <w:rPr>
          <w:lang w:val="en-GB"/>
        </w:rPr>
        <w:t>promot</w:t>
      </w:r>
      <w:r w:rsidR="0014172F" w:rsidRPr="00BA6590">
        <w:rPr>
          <w:lang w:val="en-GB"/>
        </w:rPr>
        <w:t>ion of</w:t>
      </w:r>
      <w:r w:rsidR="00391C8F" w:rsidRPr="00BA6590">
        <w:rPr>
          <w:lang w:val="en-GB"/>
        </w:rPr>
        <w:t xml:space="preserve"> social inclusion and harmonious mixing of students in all schools is fundamental to the law in relation to enrolment. This new enrolment policy, which came into force on </w:t>
      </w:r>
      <w:r w:rsidR="002409EB" w:rsidRPr="00BA6590">
        <w:rPr>
          <w:lang w:val="en-GB"/>
        </w:rPr>
        <w:t>1</w:t>
      </w:r>
      <w:r w:rsidR="00391C8F" w:rsidRPr="00BA6590">
        <w:rPr>
          <w:vertAlign w:val="superscript"/>
          <w:lang w:val="en-GB"/>
        </w:rPr>
        <w:t xml:space="preserve"> </w:t>
      </w:r>
      <w:r w:rsidR="003F5E21" w:rsidRPr="00BA6590">
        <w:rPr>
          <w:lang w:val="en-GB"/>
        </w:rPr>
        <w:t>September</w:t>
      </w:r>
      <w:r w:rsidRPr="00BA6590">
        <w:rPr>
          <w:lang w:val="en-GB"/>
        </w:rPr>
        <w:t xml:space="preserve"> 2012,</w:t>
      </w:r>
      <w:r w:rsidR="00391C8F" w:rsidRPr="00BA6590">
        <w:rPr>
          <w:lang w:val="en-GB"/>
        </w:rPr>
        <w:t xml:space="preserve"> encourages </w:t>
      </w:r>
      <w:r w:rsidR="000364CF" w:rsidRPr="00BA6590">
        <w:rPr>
          <w:lang w:val="en-GB"/>
        </w:rPr>
        <w:t>social mixing</w:t>
      </w:r>
      <w:r w:rsidRPr="00BA6590">
        <w:rPr>
          <w:lang w:val="en-GB"/>
        </w:rPr>
        <w:t xml:space="preserve"> </w:t>
      </w:r>
      <w:r w:rsidR="00391C8F" w:rsidRPr="00BA6590">
        <w:rPr>
          <w:lang w:val="en-GB"/>
        </w:rPr>
        <w:t xml:space="preserve">in schools. </w:t>
      </w:r>
    </w:p>
    <w:p w:rsidR="00FB785A" w:rsidRPr="00BA6590" w:rsidRDefault="00FB785A" w:rsidP="00643F9D">
      <w:pPr>
        <w:pStyle w:val="SingleTxtG"/>
        <w:rPr>
          <w:lang w:val="en-GB"/>
        </w:rPr>
      </w:pPr>
      <w:r w:rsidRPr="00BA6590">
        <w:rPr>
          <w:lang w:val="en-GB"/>
        </w:rPr>
        <w:t>313.</w:t>
      </w:r>
      <w:r w:rsidRPr="00BA6590">
        <w:rPr>
          <w:lang w:val="en-GB"/>
        </w:rPr>
        <w:tab/>
      </w:r>
      <w:r w:rsidR="00AD6804" w:rsidRPr="00BA6590">
        <w:rPr>
          <w:lang w:val="en-GB"/>
        </w:rPr>
        <w:t>Policy in relation to languages also contributes to the attainment of goals.</w:t>
      </w:r>
      <w:r w:rsidR="00057970" w:rsidRPr="00BA6590">
        <w:rPr>
          <w:rStyle w:val="FootnoteReference"/>
          <w:lang w:val="en-GB"/>
        </w:rPr>
        <w:footnoteReference w:id="36"/>
      </w:r>
      <w:r w:rsidRPr="00BA6590">
        <w:rPr>
          <w:lang w:val="en-GB"/>
        </w:rPr>
        <w:t xml:space="preserve"> </w:t>
      </w:r>
      <w:r w:rsidR="00AD6804" w:rsidRPr="00BA6590">
        <w:rPr>
          <w:lang w:val="en-GB"/>
        </w:rPr>
        <w:t>It focuses strongly on foreign languages and strong emphasis is placed on the languages spoken in the home</w:t>
      </w:r>
      <w:r w:rsidR="00A7271B" w:rsidRPr="00BA6590">
        <w:rPr>
          <w:lang w:val="en-GB"/>
        </w:rPr>
        <w:t>,</w:t>
      </w:r>
      <w:r w:rsidRPr="00BA6590">
        <w:rPr>
          <w:lang w:val="en-GB"/>
        </w:rPr>
        <w:t xml:space="preserve"> </w:t>
      </w:r>
      <w:r w:rsidR="00AD6804" w:rsidRPr="00BA6590">
        <w:rPr>
          <w:lang w:val="en-GB"/>
        </w:rPr>
        <w:t xml:space="preserve">through activities such as individual reading and reading aloud, fostering the enjoyment of reading; </w:t>
      </w:r>
      <w:r w:rsidR="00A7271B" w:rsidRPr="00BA6590">
        <w:rPr>
          <w:lang w:val="en-GB"/>
        </w:rPr>
        <w:t>promoting</w:t>
      </w:r>
      <w:r w:rsidR="00AD6804" w:rsidRPr="00BA6590">
        <w:rPr>
          <w:lang w:val="en-GB"/>
        </w:rPr>
        <w:t xml:space="preserve"> the pleasure of reading; creating </w:t>
      </w:r>
      <w:r w:rsidR="00A7271B" w:rsidRPr="00BA6590">
        <w:rPr>
          <w:lang w:val="en-GB"/>
        </w:rPr>
        <w:t xml:space="preserve">activities devoted to the culture of reading aloud </w:t>
      </w:r>
      <w:r w:rsidR="00961148" w:rsidRPr="00BA6590">
        <w:rPr>
          <w:lang w:val="en-GB"/>
        </w:rPr>
        <w:t>—</w:t>
      </w:r>
      <w:r w:rsidR="00F21548" w:rsidRPr="00BA6590">
        <w:rPr>
          <w:lang w:val="en-GB"/>
        </w:rPr>
        <w:t xml:space="preserve"> </w:t>
      </w:r>
      <w:r w:rsidR="00A7271B" w:rsidRPr="00BA6590">
        <w:rPr>
          <w:lang w:val="en-GB"/>
        </w:rPr>
        <w:t>in Dutch and in the languages spoken in the home</w:t>
      </w:r>
      <w:r w:rsidR="00F21548" w:rsidRPr="00BA6590">
        <w:rPr>
          <w:lang w:val="en-GB"/>
        </w:rPr>
        <w:t xml:space="preserve"> </w:t>
      </w:r>
      <w:r w:rsidR="00961148" w:rsidRPr="00BA6590">
        <w:rPr>
          <w:lang w:val="en-GB"/>
        </w:rPr>
        <w:t>—</w:t>
      </w:r>
      <w:r w:rsidR="00A7271B" w:rsidRPr="00BA6590">
        <w:rPr>
          <w:lang w:val="en-GB"/>
        </w:rPr>
        <w:t xml:space="preserve"> with parental participation; and encouraging parents who speak foreign languages to create a linguistically rich environment at home. </w:t>
      </w:r>
    </w:p>
    <w:p w:rsidR="00FB785A" w:rsidRPr="00BA6590" w:rsidRDefault="00FB785A" w:rsidP="00BA355C">
      <w:pPr>
        <w:pStyle w:val="SingleTxtG"/>
        <w:rPr>
          <w:lang w:val="en-GB"/>
        </w:rPr>
      </w:pPr>
      <w:r w:rsidRPr="00BA6590">
        <w:rPr>
          <w:lang w:val="en-GB"/>
        </w:rPr>
        <w:t>314.</w:t>
      </w:r>
      <w:r w:rsidRPr="00BA6590">
        <w:rPr>
          <w:lang w:val="en-GB"/>
        </w:rPr>
        <w:tab/>
      </w:r>
      <w:r w:rsidR="00A7271B" w:rsidRPr="00BA6590">
        <w:rPr>
          <w:lang w:val="en-GB"/>
        </w:rPr>
        <w:t xml:space="preserve">Tutoring projects for students have become structural since </w:t>
      </w:r>
      <w:r w:rsidRPr="00BA6590">
        <w:rPr>
          <w:lang w:val="en-GB"/>
        </w:rPr>
        <w:t>2011</w:t>
      </w:r>
      <w:r w:rsidR="00A7271B" w:rsidRPr="00BA6590">
        <w:rPr>
          <w:lang w:val="en-GB"/>
        </w:rPr>
        <w:t xml:space="preserve">, creating win-win situations for students from the third </w:t>
      </w:r>
      <w:r w:rsidR="0014172F" w:rsidRPr="00BA6590">
        <w:rPr>
          <w:lang w:val="en-GB"/>
        </w:rPr>
        <w:t>cycle</w:t>
      </w:r>
      <w:r w:rsidR="00A7271B" w:rsidRPr="00BA6590">
        <w:rPr>
          <w:lang w:val="en-GB"/>
        </w:rPr>
        <w:t xml:space="preserve"> of primary education (the fifth and sixth years) to the same </w:t>
      </w:r>
      <w:r w:rsidR="0014172F" w:rsidRPr="00BA6590">
        <w:rPr>
          <w:lang w:val="en-GB"/>
        </w:rPr>
        <w:t>cycle</w:t>
      </w:r>
      <w:r w:rsidR="00A7271B" w:rsidRPr="00BA6590">
        <w:rPr>
          <w:lang w:val="en-GB"/>
        </w:rPr>
        <w:t xml:space="preserve"> of secondary education)</w:t>
      </w:r>
      <w:r w:rsidR="003114DE" w:rsidRPr="00BA6590">
        <w:rPr>
          <w:lang w:val="en-GB"/>
        </w:rPr>
        <w:t xml:space="preserve"> and students enrolled in higher education</w:t>
      </w:r>
      <w:r w:rsidRPr="00BA6590">
        <w:rPr>
          <w:lang w:val="en-GB"/>
        </w:rPr>
        <w:t>.</w:t>
      </w:r>
      <w:r w:rsidR="003114DE" w:rsidRPr="00BA6590">
        <w:rPr>
          <w:lang w:val="en-GB"/>
        </w:rPr>
        <w:t xml:space="preserve"> Those in the first category </w:t>
      </w:r>
      <w:r w:rsidR="0001563B" w:rsidRPr="00BA6590">
        <w:rPr>
          <w:lang w:val="en-GB"/>
        </w:rPr>
        <w:t xml:space="preserve">are supported in terms of their </w:t>
      </w:r>
      <w:r w:rsidR="00A216FB" w:rsidRPr="00BA6590">
        <w:rPr>
          <w:lang w:val="en-GB"/>
        </w:rPr>
        <w:t>“</w:t>
      </w:r>
      <w:r w:rsidR="0001563B" w:rsidRPr="00BA6590">
        <w:rPr>
          <w:lang w:val="en-GB"/>
        </w:rPr>
        <w:t>learning how to learn</w:t>
      </w:r>
      <w:r w:rsidR="00A216FB" w:rsidRPr="00BA6590">
        <w:rPr>
          <w:lang w:val="en-GB"/>
        </w:rPr>
        <w:t>”</w:t>
      </w:r>
      <w:r w:rsidR="0001563B" w:rsidRPr="00BA6590">
        <w:rPr>
          <w:lang w:val="en-GB"/>
        </w:rPr>
        <w:t xml:space="preserve"> abilities and the desire to learn; the second group learns to develop abilities in the area of diversity. </w:t>
      </w:r>
    </w:p>
    <w:p w:rsidR="00FB785A" w:rsidRPr="00BA6590" w:rsidRDefault="00FB785A" w:rsidP="00FB785A">
      <w:pPr>
        <w:pStyle w:val="SingleTxtG"/>
        <w:rPr>
          <w:lang w:val="en-GB"/>
        </w:rPr>
      </w:pPr>
      <w:r w:rsidRPr="00BA6590">
        <w:rPr>
          <w:lang w:val="en-GB"/>
        </w:rPr>
        <w:t>315.</w:t>
      </w:r>
      <w:r w:rsidRPr="00BA6590">
        <w:rPr>
          <w:lang w:val="en-GB"/>
        </w:rPr>
        <w:tab/>
      </w:r>
      <w:r w:rsidR="0001563B" w:rsidRPr="00BA6590">
        <w:rPr>
          <w:lang w:val="en-GB"/>
        </w:rPr>
        <w:t>Monitoring of compliance with the school attendance requirement is broadened, with particular attention to recent arrivals.</w:t>
      </w:r>
      <w:r w:rsidR="00057970" w:rsidRPr="00BA6590">
        <w:rPr>
          <w:rStyle w:val="FootnoteReference"/>
          <w:lang w:val="en-GB"/>
        </w:rPr>
        <w:footnoteReference w:id="37"/>
      </w:r>
    </w:p>
    <w:p w:rsidR="00FB785A" w:rsidRPr="00BA6590" w:rsidRDefault="00FB785A" w:rsidP="00FB785A">
      <w:pPr>
        <w:pStyle w:val="SingleTxtG"/>
        <w:rPr>
          <w:lang w:val="en-GB"/>
        </w:rPr>
      </w:pPr>
      <w:r w:rsidRPr="00BA6590">
        <w:rPr>
          <w:lang w:val="en-GB"/>
        </w:rPr>
        <w:t>316.</w:t>
      </w:r>
      <w:r w:rsidRPr="00BA6590">
        <w:rPr>
          <w:lang w:val="en-GB"/>
        </w:rPr>
        <w:tab/>
      </w:r>
      <w:r w:rsidR="0014172F" w:rsidRPr="00BA6590">
        <w:rPr>
          <w:lang w:val="en-GB"/>
        </w:rPr>
        <w:t>P</w:t>
      </w:r>
      <w:r w:rsidR="0001563B" w:rsidRPr="00BA6590">
        <w:rPr>
          <w:lang w:val="en-GB"/>
        </w:rPr>
        <w:t>rocedures are evaluated and</w:t>
      </w:r>
      <w:r w:rsidR="0014172F" w:rsidRPr="00BA6590">
        <w:rPr>
          <w:lang w:val="en-GB"/>
        </w:rPr>
        <w:t xml:space="preserve"> corrected</w:t>
      </w:r>
      <w:r w:rsidR="0001563B" w:rsidRPr="00BA6590">
        <w:rPr>
          <w:lang w:val="en-GB"/>
        </w:rPr>
        <w:t xml:space="preserve">, where necessary, </w:t>
      </w:r>
      <w:r w:rsidR="0014172F" w:rsidRPr="00BA6590">
        <w:rPr>
          <w:lang w:val="en-GB"/>
        </w:rPr>
        <w:t>to ensure rapid recognition of foreign certificates and diplomas</w:t>
      </w:r>
      <w:r w:rsidRPr="00BA6590">
        <w:rPr>
          <w:lang w:val="en-GB"/>
        </w:rPr>
        <w:t>.</w:t>
      </w:r>
    </w:p>
    <w:p w:rsidR="00FB785A" w:rsidRPr="00BA6590" w:rsidRDefault="00FB785A" w:rsidP="002409EB">
      <w:pPr>
        <w:pStyle w:val="SingleTxtG"/>
        <w:rPr>
          <w:lang w:val="en-GB"/>
        </w:rPr>
      </w:pPr>
      <w:r w:rsidRPr="00BA6590">
        <w:rPr>
          <w:lang w:val="en-GB"/>
        </w:rPr>
        <w:t>317.</w:t>
      </w:r>
      <w:r w:rsidRPr="00BA6590">
        <w:rPr>
          <w:lang w:val="en-GB"/>
        </w:rPr>
        <w:tab/>
      </w:r>
      <w:r w:rsidR="00986CEA" w:rsidRPr="00BA6590">
        <w:rPr>
          <w:lang w:val="en-GB"/>
        </w:rPr>
        <w:t xml:space="preserve">In higher education, entry, advancement and graduation by students who are foreign </w:t>
      </w:r>
      <w:r w:rsidR="006229D6" w:rsidRPr="00BA6590">
        <w:rPr>
          <w:lang w:val="en-GB"/>
        </w:rPr>
        <w:t>nationals</w:t>
      </w:r>
      <w:r w:rsidR="00986CEA" w:rsidRPr="00BA6590">
        <w:rPr>
          <w:lang w:val="en-GB"/>
        </w:rPr>
        <w:t xml:space="preserve"> have been improved through the removal of financial and other obstacles. A fund has been set up to encourage such students; it is still functioning and will be replaced on </w:t>
      </w:r>
      <w:r w:rsidR="002409EB" w:rsidRPr="00BA6590">
        <w:rPr>
          <w:lang w:val="en-GB"/>
        </w:rPr>
        <w:t>1</w:t>
      </w:r>
      <w:r w:rsidR="00986CEA" w:rsidRPr="00BA6590">
        <w:rPr>
          <w:lang w:val="en-GB"/>
        </w:rPr>
        <w:t xml:space="preserve"> </w:t>
      </w:r>
      <w:r w:rsidR="003F5E21" w:rsidRPr="00BA6590">
        <w:rPr>
          <w:lang w:val="en-GB"/>
        </w:rPr>
        <w:t>January</w:t>
      </w:r>
      <w:r w:rsidRPr="00BA6590">
        <w:rPr>
          <w:lang w:val="en-GB"/>
        </w:rPr>
        <w:t xml:space="preserve"> 2013</w:t>
      </w:r>
      <w:r w:rsidR="00986CEA" w:rsidRPr="00BA6590">
        <w:rPr>
          <w:lang w:val="en-GB"/>
        </w:rPr>
        <w:t>.</w:t>
      </w:r>
      <w:r w:rsidR="00147647" w:rsidRPr="00BA6590">
        <w:rPr>
          <w:rStyle w:val="FootnoteReference"/>
          <w:lang w:val="en-GB"/>
        </w:rPr>
        <w:footnoteReference w:id="38"/>
      </w:r>
    </w:p>
    <w:p w:rsidR="00147647" w:rsidRPr="00BA6590" w:rsidRDefault="00147647" w:rsidP="00147647">
      <w:pPr>
        <w:pStyle w:val="SingleTxtG"/>
        <w:rPr>
          <w:lang w:val="en-GB"/>
        </w:rPr>
      </w:pPr>
      <w:r w:rsidRPr="00BA6590">
        <w:rPr>
          <w:lang w:val="en-GB"/>
        </w:rPr>
        <w:t>318.</w:t>
      </w:r>
      <w:r w:rsidRPr="00BA6590">
        <w:rPr>
          <w:lang w:val="en-GB"/>
        </w:rPr>
        <w:tab/>
      </w:r>
      <w:r w:rsidR="00986CEA" w:rsidRPr="00BA6590">
        <w:rPr>
          <w:lang w:val="en-GB"/>
        </w:rPr>
        <w:t xml:space="preserve">Preschool </w:t>
      </w:r>
      <w:r w:rsidR="006229D6" w:rsidRPr="00BA6590">
        <w:rPr>
          <w:lang w:val="en-GB"/>
        </w:rPr>
        <w:t>attendance</w:t>
      </w:r>
      <w:r w:rsidR="00986CEA" w:rsidRPr="00BA6590">
        <w:rPr>
          <w:lang w:val="en-GB"/>
        </w:rPr>
        <w:t xml:space="preserve"> is also encouraged among the target groups of integration policy. </w:t>
      </w:r>
    </w:p>
    <w:p w:rsidR="00147647" w:rsidRPr="00BA6590" w:rsidRDefault="00147647" w:rsidP="00147647">
      <w:pPr>
        <w:pStyle w:val="SingleTxtG"/>
        <w:rPr>
          <w:lang w:val="en-GB"/>
        </w:rPr>
      </w:pPr>
      <w:r w:rsidRPr="00BA6590">
        <w:rPr>
          <w:lang w:val="en-GB"/>
        </w:rPr>
        <w:t>319.</w:t>
      </w:r>
      <w:r w:rsidRPr="00BA6590">
        <w:rPr>
          <w:lang w:val="en-GB"/>
        </w:rPr>
        <w:tab/>
      </w:r>
      <w:r w:rsidR="00986CEA" w:rsidRPr="00BA6590">
        <w:rPr>
          <w:lang w:val="en-GB"/>
        </w:rPr>
        <w:t xml:space="preserve">A cooperation agreement for the arbitration of complaints has been signed by the </w:t>
      </w:r>
      <w:r w:rsidR="00612BCC" w:rsidRPr="00BA6590">
        <w:rPr>
          <w:lang w:val="en-GB"/>
        </w:rPr>
        <w:t>Centre for Equal Opportunity</w:t>
      </w:r>
      <w:r w:rsidR="00986CEA" w:rsidRPr="00BA6590">
        <w:rPr>
          <w:lang w:val="en-GB"/>
        </w:rPr>
        <w:t xml:space="preserve"> and the Flemish Education Council</w:t>
      </w:r>
      <w:r w:rsidRPr="00BA6590">
        <w:rPr>
          <w:lang w:val="en-GB"/>
        </w:rPr>
        <w:t>.</w:t>
      </w:r>
      <w:r w:rsidR="00986CEA" w:rsidRPr="00BA6590">
        <w:rPr>
          <w:lang w:val="en-GB"/>
        </w:rPr>
        <w:t xml:space="preserve"> Its goal is to achieve the best possible settlement of disputes relating to unequal opportunities, racism or discrimination in education and to achieve more efficient processing of complaints in that area.</w:t>
      </w:r>
    </w:p>
    <w:p w:rsidR="00147647" w:rsidRPr="00BA6590" w:rsidRDefault="00147647" w:rsidP="00147647">
      <w:pPr>
        <w:pStyle w:val="H23G"/>
        <w:rPr>
          <w:lang w:val="en-GB"/>
        </w:rPr>
      </w:pPr>
      <w:r w:rsidRPr="00BA6590">
        <w:rPr>
          <w:lang w:val="en-GB"/>
        </w:rPr>
        <w:tab/>
        <w:t>2.</w:t>
      </w:r>
      <w:r w:rsidRPr="00BA6590">
        <w:rPr>
          <w:lang w:val="en-GB"/>
        </w:rPr>
        <w:tab/>
      </w:r>
      <w:r w:rsidR="00986CEA" w:rsidRPr="00BA6590">
        <w:rPr>
          <w:lang w:val="en-GB"/>
        </w:rPr>
        <w:t>I</w:t>
      </w:r>
      <w:r w:rsidRPr="00BA6590">
        <w:rPr>
          <w:lang w:val="en-GB"/>
        </w:rPr>
        <w:t>nclusive</w:t>
      </w:r>
      <w:r w:rsidR="00986CEA" w:rsidRPr="00BA6590">
        <w:rPr>
          <w:lang w:val="en-GB"/>
        </w:rPr>
        <w:t xml:space="preserve"> policy towards target groups</w:t>
      </w:r>
    </w:p>
    <w:p w:rsidR="00147647" w:rsidRPr="00BA6590" w:rsidRDefault="00147647" w:rsidP="00147647">
      <w:pPr>
        <w:pStyle w:val="SingleTxtG"/>
        <w:rPr>
          <w:lang w:val="en-GB"/>
        </w:rPr>
      </w:pPr>
      <w:r w:rsidRPr="00BA6590">
        <w:rPr>
          <w:lang w:val="en-GB"/>
        </w:rPr>
        <w:t>320.</w:t>
      </w:r>
      <w:r w:rsidRPr="00BA6590">
        <w:rPr>
          <w:lang w:val="en-GB"/>
        </w:rPr>
        <w:tab/>
      </w:r>
      <w:r w:rsidR="00E30FDF" w:rsidRPr="00BA6590">
        <w:rPr>
          <w:lang w:val="en-GB"/>
        </w:rPr>
        <w:t xml:space="preserve">Inclusive policies are applied in relation to target groups in the area of education. There is a particular focus on children and young people from social backgrounds where their talents are insufficiently cultivated. </w:t>
      </w:r>
      <w:r w:rsidR="00C71A74" w:rsidRPr="00BA6590">
        <w:rPr>
          <w:lang w:val="en-GB"/>
        </w:rPr>
        <w:t>Education policy emphasizes measures to ensure children attend school and maximize the numbers of students who graduate successfully. The enthusiasm and involvement of all actors in education at all levels, as well as parents and students, are crucially important.</w:t>
      </w:r>
    </w:p>
    <w:p w:rsidR="00147647" w:rsidRPr="00BA6590" w:rsidRDefault="00147647" w:rsidP="00147647">
      <w:pPr>
        <w:pStyle w:val="SingleTxtG"/>
        <w:rPr>
          <w:lang w:val="en-GB"/>
        </w:rPr>
      </w:pPr>
      <w:r w:rsidRPr="00BA6590">
        <w:rPr>
          <w:lang w:val="en-GB"/>
        </w:rPr>
        <w:t>321.</w:t>
      </w:r>
      <w:r w:rsidRPr="00BA6590">
        <w:rPr>
          <w:lang w:val="en-GB"/>
        </w:rPr>
        <w:tab/>
      </w:r>
      <w:r w:rsidR="00C71A74" w:rsidRPr="00BA6590">
        <w:rPr>
          <w:lang w:val="en-GB"/>
        </w:rPr>
        <w:t xml:space="preserve">The policy area of education and training is represented in the working group for the Flemish plan of action entitled </w:t>
      </w:r>
      <w:r w:rsidR="00A216FB" w:rsidRPr="00BA6590">
        <w:rPr>
          <w:lang w:val="en-GB"/>
        </w:rPr>
        <w:t>“</w:t>
      </w:r>
      <w:r w:rsidR="00C71A74" w:rsidRPr="00BA6590">
        <w:rPr>
          <w:lang w:val="en-GB"/>
        </w:rPr>
        <w:t>Migrants from Central and Eastern Europe</w:t>
      </w:r>
      <w:r w:rsidR="00A216FB" w:rsidRPr="00BA6590">
        <w:rPr>
          <w:lang w:val="en-GB"/>
        </w:rPr>
        <w:t>”</w:t>
      </w:r>
      <w:r w:rsidR="00C71A74" w:rsidRPr="00BA6590">
        <w:rPr>
          <w:lang w:val="en-GB"/>
        </w:rPr>
        <w:t xml:space="preserve"> (see above) of the Minister for Civic Integration. On the initiative of the working group, coordinated actions are undertaken to benefit migrants in that category, </w:t>
      </w:r>
      <w:r w:rsidR="0014172F" w:rsidRPr="00BA6590">
        <w:rPr>
          <w:lang w:val="en-GB"/>
        </w:rPr>
        <w:t>including</w:t>
      </w:r>
      <w:r w:rsidR="00C71A74" w:rsidRPr="00BA6590">
        <w:rPr>
          <w:lang w:val="en-GB"/>
        </w:rPr>
        <w:t xml:space="preserve"> Roma. For education, in particular, it seeks to strengthen involvement by the parents of such students and to keep schools informed of </w:t>
      </w:r>
      <w:r w:rsidR="00DF3734" w:rsidRPr="00BA6590">
        <w:rPr>
          <w:lang w:val="en-GB"/>
        </w:rPr>
        <w:t xml:space="preserve">the </w:t>
      </w:r>
      <w:r w:rsidR="00C71A74" w:rsidRPr="00BA6590">
        <w:rPr>
          <w:lang w:val="en-GB"/>
        </w:rPr>
        <w:t xml:space="preserve">subsidies available for projects relating to the Roma. </w:t>
      </w:r>
    </w:p>
    <w:p w:rsidR="00147647" w:rsidRPr="00BA6590" w:rsidRDefault="00147647" w:rsidP="00BA355C">
      <w:pPr>
        <w:pStyle w:val="SingleTxtG"/>
        <w:rPr>
          <w:lang w:val="en-GB"/>
        </w:rPr>
      </w:pPr>
      <w:r w:rsidRPr="00BA6590">
        <w:rPr>
          <w:lang w:val="en-GB"/>
        </w:rPr>
        <w:t>322.</w:t>
      </w:r>
      <w:r w:rsidRPr="00BA6590">
        <w:rPr>
          <w:lang w:val="en-GB"/>
        </w:rPr>
        <w:tab/>
      </w:r>
      <w:r w:rsidR="00DF3734" w:rsidRPr="00BA6590">
        <w:rPr>
          <w:lang w:val="en-GB"/>
        </w:rPr>
        <w:t xml:space="preserve">Other activities are provided for by the Plan of Action against School Absenteeism and Other Forms of Excessive Behaviour. This Plan specifies that the duty of school attendance is also applicable to the Roma. In this framework, the target group can also be informed regarding the importance of education and of learning the Dutch language, in cooperation with local authorities. To ensure information and awareness in schools and among teachers regarding migrants from Central and Eastern Europe, training courses and seminars are devoted to that </w:t>
      </w:r>
      <w:r w:rsidR="002F36A8" w:rsidRPr="00BA6590">
        <w:rPr>
          <w:lang w:val="en-GB"/>
        </w:rPr>
        <w:t>target group</w:t>
      </w:r>
      <w:r w:rsidR="00DF3734" w:rsidRPr="00BA6590">
        <w:rPr>
          <w:lang w:val="en-GB"/>
        </w:rPr>
        <w:t xml:space="preserve">. </w:t>
      </w:r>
      <w:r w:rsidR="007340C9" w:rsidRPr="00BA6590">
        <w:rPr>
          <w:lang w:val="en-GB"/>
        </w:rPr>
        <w:t xml:space="preserve">Partnerships between schools and integration centres are encouraged. Local initiatives </w:t>
      </w:r>
      <w:r w:rsidR="002F36A8" w:rsidRPr="00BA6590">
        <w:rPr>
          <w:lang w:val="en-GB"/>
        </w:rPr>
        <w:t>are</w:t>
      </w:r>
      <w:r w:rsidR="007340C9" w:rsidRPr="00BA6590">
        <w:rPr>
          <w:lang w:val="en-GB"/>
        </w:rPr>
        <w:t xml:space="preserve"> promoted in communes where there are large numbers of such migrants; for example, these may </w:t>
      </w:r>
      <w:r w:rsidR="002F36A8" w:rsidRPr="00BA6590">
        <w:rPr>
          <w:lang w:val="en-GB"/>
        </w:rPr>
        <w:t>involve</w:t>
      </w:r>
      <w:r w:rsidR="007340C9" w:rsidRPr="00BA6590">
        <w:rPr>
          <w:lang w:val="en-GB"/>
        </w:rPr>
        <w:t xml:space="preserve"> encouraging representatives of schools and the teaching profession to participate in </w:t>
      </w:r>
      <w:r w:rsidR="002667E2" w:rsidRPr="00BA6590">
        <w:rPr>
          <w:lang w:val="en-GB"/>
        </w:rPr>
        <w:t xml:space="preserve">teleconferencing </w:t>
      </w:r>
      <w:r w:rsidR="007340C9" w:rsidRPr="00BA6590">
        <w:rPr>
          <w:lang w:val="en-GB"/>
        </w:rPr>
        <w:t>and other meetings</w:t>
      </w:r>
      <w:r w:rsidR="00DA6187" w:rsidRPr="00BA6590">
        <w:rPr>
          <w:lang w:val="en-GB"/>
        </w:rPr>
        <w:t xml:space="preserve"> for the</w:t>
      </w:r>
      <w:r w:rsidR="007340C9" w:rsidRPr="00BA6590">
        <w:rPr>
          <w:lang w:val="en-GB"/>
        </w:rPr>
        <w:t xml:space="preserve"> </w:t>
      </w:r>
      <w:r w:rsidR="00DA6187" w:rsidRPr="00BA6590">
        <w:rPr>
          <w:lang w:val="en-GB"/>
        </w:rPr>
        <w:t>generation of</w:t>
      </w:r>
      <w:r w:rsidR="002F36A8" w:rsidRPr="00BA6590">
        <w:rPr>
          <w:lang w:val="en-GB"/>
        </w:rPr>
        <w:t xml:space="preserve"> ideas and joint </w:t>
      </w:r>
      <w:r w:rsidR="007340C9" w:rsidRPr="00BA6590">
        <w:rPr>
          <w:lang w:val="en-GB"/>
        </w:rPr>
        <w:t>problem</w:t>
      </w:r>
      <w:r w:rsidR="002F36A8" w:rsidRPr="00BA6590">
        <w:rPr>
          <w:lang w:val="en-GB"/>
        </w:rPr>
        <w:t xml:space="preserve"> </w:t>
      </w:r>
      <w:r w:rsidR="007340C9" w:rsidRPr="00BA6590">
        <w:rPr>
          <w:lang w:val="en-GB"/>
        </w:rPr>
        <w:t>solving.</w:t>
      </w:r>
    </w:p>
    <w:p w:rsidR="00147647" w:rsidRPr="00BA6590" w:rsidRDefault="00147647" w:rsidP="00147647">
      <w:pPr>
        <w:pStyle w:val="SingleTxtG"/>
        <w:rPr>
          <w:lang w:val="en-GB"/>
        </w:rPr>
      </w:pPr>
      <w:r w:rsidRPr="00BA6590">
        <w:rPr>
          <w:lang w:val="en-GB"/>
        </w:rPr>
        <w:t>323.</w:t>
      </w:r>
      <w:r w:rsidRPr="00BA6590">
        <w:rPr>
          <w:lang w:val="en-GB"/>
        </w:rPr>
        <w:tab/>
      </w:r>
      <w:r w:rsidR="00DA6187" w:rsidRPr="00BA6590">
        <w:rPr>
          <w:lang w:val="en-GB"/>
        </w:rPr>
        <w:t xml:space="preserve">The policy area of education and training is also represented in the Flemish steering group on Travellers, which is preparing a Flemish plan of action in that regard (see above). The plan will include proposals for activities in relation to education. </w:t>
      </w:r>
    </w:p>
    <w:p w:rsidR="00147647" w:rsidRPr="00BA6590" w:rsidRDefault="00147647" w:rsidP="00147647">
      <w:pPr>
        <w:pStyle w:val="H23G"/>
        <w:rPr>
          <w:lang w:val="en-GB"/>
        </w:rPr>
      </w:pPr>
      <w:r w:rsidRPr="00BA6590">
        <w:rPr>
          <w:lang w:val="en-GB"/>
        </w:rPr>
        <w:tab/>
        <w:t>3.</w:t>
      </w:r>
      <w:r w:rsidRPr="00BA6590">
        <w:rPr>
          <w:lang w:val="en-GB"/>
        </w:rPr>
        <w:tab/>
      </w:r>
      <w:r w:rsidR="00DA6187" w:rsidRPr="00BA6590">
        <w:rPr>
          <w:lang w:val="en-GB"/>
        </w:rPr>
        <w:t>Wearing of symbols of belief</w:t>
      </w:r>
    </w:p>
    <w:p w:rsidR="00147647" w:rsidRPr="00BA6590" w:rsidRDefault="00147647" w:rsidP="00147647">
      <w:pPr>
        <w:pStyle w:val="SingleTxtG"/>
        <w:rPr>
          <w:lang w:val="en-GB"/>
        </w:rPr>
      </w:pPr>
      <w:r w:rsidRPr="00BA6590">
        <w:rPr>
          <w:lang w:val="en-GB"/>
        </w:rPr>
        <w:t>324.</w:t>
      </w:r>
      <w:r w:rsidRPr="00BA6590">
        <w:rPr>
          <w:lang w:val="en-GB"/>
        </w:rPr>
        <w:tab/>
      </w:r>
      <w:r w:rsidR="00DA6187" w:rsidRPr="00BA6590">
        <w:rPr>
          <w:lang w:val="en-GB"/>
        </w:rPr>
        <w:t>In 2010 and</w:t>
      </w:r>
      <w:r w:rsidRPr="00BA6590">
        <w:rPr>
          <w:lang w:val="en-GB"/>
        </w:rPr>
        <w:t xml:space="preserve"> 2011, </w:t>
      </w:r>
      <w:r w:rsidR="00DA6187" w:rsidRPr="00BA6590">
        <w:rPr>
          <w:lang w:val="en-GB"/>
        </w:rPr>
        <w:t>the Flemish Education Minister held a considerable number of meetings in relation to the open wearing of symbols of belief. These involved all the concerned actors: legal experts</w:t>
      </w:r>
      <w:r w:rsidR="00B464BA" w:rsidRPr="00BA6590">
        <w:rPr>
          <w:lang w:val="en-GB"/>
        </w:rPr>
        <w:t xml:space="preserve">, experts in various areas of philosophy, ethics and sociology, the various educational networks, the </w:t>
      </w:r>
      <w:r w:rsidRPr="00BA6590">
        <w:rPr>
          <w:i/>
          <w:lang w:val="en-GB"/>
        </w:rPr>
        <w:t>Vlaamse Scholierenkoepel</w:t>
      </w:r>
      <w:r w:rsidRPr="00BA6590">
        <w:rPr>
          <w:lang w:val="en-GB"/>
        </w:rPr>
        <w:t xml:space="preserve"> (</w:t>
      </w:r>
      <w:r w:rsidR="002F36A8" w:rsidRPr="00BA6590">
        <w:rPr>
          <w:lang w:val="en-GB"/>
        </w:rPr>
        <w:t>a c</w:t>
      </w:r>
      <w:r w:rsidR="00B464BA" w:rsidRPr="00BA6590">
        <w:rPr>
          <w:lang w:val="en-GB"/>
        </w:rPr>
        <w:t xml:space="preserve">oordinating </w:t>
      </w:r>
      <w:r w:rsidR="002F36A8" w:rsidRPr="00BA6590">
        <w:rPr>
          <w:lang w:val="en-GB"/>
        </w:rPr>
        <w:t>o</w:t>
      </w:r>
      <w:r w:rsidR="00B464BA" w:rsidRPr="00BA6590">
        <w:rPr>
          <w:lang w:val="en-GB"/>
        </w:rPr>
        <w:t>rganiz</w:t>
      </w:r>
      <w:r w:rsidRPr="00BA6590">
        <w:rPr>
          <w:lang w:val="en-GB"/>
        </w:rPr>
        <w:t>ation</w:t>
      </w:r>
      <w:r w:rsidR="00B464BA" w:rsidRPr="00BA6590">
        <w:rPr>
          <w:lang w:val="en-GB"/>
        </w:rPr>
        <w:t xml:space="preserve"> of Flemish </w:t>
      </w:r>
      <w:r w:rsidR="002F36A8" w:rsidRPr="00BA6590">
        <w:rPr>
          <w:lang w:val="en-GB"/>
        </w:rPr>
        <w:t>school s</w:t>
      </w:r>
      <w:r w:rsidR="00B464BA" w:rsidRPr="00BA6590">
        <w:rPr>
          <w:lang w:val="en-GB"/>
        </w:rPr>
        <w:t>tudents</w:t>
      </w:r>
      <w:r w:rsidRPr="00BA6590">
        <w:rPr>
          <w:lang w:val="en-GB"/>
        </w:rPr>
        <w:t xml:space="preserve">), </w:t>
      </w:r>
      <w:r w:rsidR="00B464BA" w:rsidRPr="00BA6590">
        <w:rPr>
          <w:lang w:val="en-GB"/>
        </w:rPr>
        <w:t xml:space="preserve">the pressure group </w:t>
      </w:r>
      <w:r w:rsidRPr="00BA6590">
        <w:rPr>
          <w:i/>
          <w:lang w:val="en-GB"/>
        </w:rPr>
        <w:t>Boeh!</w:t>
      </w:r>
      <w:r w:rsidR="00B464BA" w:rsidRPr="00BA6590">
        <w:rPr>
          <w:lang w:val="en-GB"/>
        </w:rPr>
        <w:t xml:space="preserve"> (Boss Your Own Head)</w:t>
      </w:r>
      <w:r w:rsidRPr="00BA6590">
        <w:rPr>
          <w:lang w:val="en-GB"/>
        </w:rPr>
        <w:t>,</w:t>
      </w:r>
      <w:r w:rsidR="00B464BA" w:rsidRPr="00BA6590">
        <w:rPr>
          <w:lang w:val="en-GB"/>
        </w:rPr>
        <w:t xml:space="preserve"> and Muslim teachers and leaders of opinion. </w:t>
      </w:r>
      <w:r w:rsidR="00282E71" w:rsidRPr="00BA6590">
        <w:rPr>
          <w:lang w:val="en-GB"/>
        </w:rPr>
        <w:t>Based on opinions expressed during those discussions, a number of possible policies have been considered, ranging from full authorization, through authorization with some restrictions, to prohibition in certain circumstances. These proposed policies will now be evaluated in terms of their feasibility and effectiveness. In any scenario, the importance of dialogue with all interested parties and the participation of both students and parents are emphasized.</w:t>
      </w:r>
    </w:p>
    <w:p w:rsidR="00147647" w:rsidRPr="00BA6590" w:rsidRDefault="00147647" w:rsidP="00147647">
      <w:pPr>
        <w:pStyle w:val="H23G"/>
        <w:rPr>
          <w:lang w:val="en-GB"/>
        </w:rPr>
      </w:pPr>
      <w:r w:rsidRPr="00BA6590">
        <w:rPr>
          <w:lang w:val="en-GB"/>
        </w:rPr>
        <w:tab/>
        <w:t>4.</w:t>
      </w:r>
      <w:r w:rsidRPr="00BA6590">
        <w:rPr>
          <w:lang w:val="en-GB"/>
        </w:rPr>
        <w:tab/>
      </w:r>
      <w:r w:rsidR="00282E71" w:rsidRPr="00BA6590">
        <w:rPr>
          <w:lang w:val="en-GB"/>
        </w:rPr>
        <w:t xml:space="preserve">Training and awareness programmes on issues covered by the </w:t>
      </w:r>
      <w:r w:rsidRPr="00BA6590">
        <w:rPr>
          <w:lang w:val="en-GB"/>
        </w:rPr>
        <w:t>Convention</w:t>
      </w:r>
    </w:p>
    <w:p w:rsidR="00147647" w:rsidRPr="00BA6590" w:rsidRDefault="00147647" w:rsidP="00147647">
      <w:pPr>
        <w:pStyle w:val="SingleTxtG"/>
        <w:rPr>
          <w:lang w:val="en-GB"/>
        </w:rPr>
      </w:pPr>
      <w:r w:rsidRPr="00BA6590">
        <w:rPr>
          <w:lang w:val="en-GB"/>
        </w:rPr>
        <w:t>325.</w:t>
      </w:r>
      <w:r w:rsidRPr="00BA6590">
        <w:rPr>
          <w:lang w:val="en-GB"/>
        </w:rPr>
        <w:tab/>
      </w:r>
      <w:r w:rsidR="007C7AA0" w:rsidRPr="00BA6590">
        <w:rPr>
          <w:lang w:val="en-GB"/>
        </w:rPr>
        <w:t xml:space="preserve">The education magazine </w:t>
      </w:r>
      <w:r w:rsidRPr="00BA6590">
        <w:rPr>
          <w:i/>
          <w:lang w:val="en-GB"/>
        </w:rPr>
        <w:t>Klasse</w:t>
      </w:r>
      <w:r w:rsidR="002F36A8" w:rsidRPr="00BA6590">
        <w:rPr>
          <w:lang w:val="en-GB"/>
        </w:rPr>
        <w:t xml:space="preserve"> (www.klasse.be)</w:t>
      </w:r>
      <w:r w:rsidR="007C7AA0" w:rsidRPr="00BA6590">
        <w:rPr>
          <w:lang w:val="en-GB"/>
        </w:rPr>
        <w:t xml:space="preserve"> regularly keeps parents, students and teachers informed on issues related to the Convention</w:t>
      </w:r>
      <w:r w:rsidRPr="00BA6590">
        <w:rPr>
          <w:lang w:val="en-GB"/>
        </w:rPr>
        <w:t>.</w:t>
      </w:r>
      <w:r w:rsidR="007C7AA0" w:rsidRPr="00BA6590">
        <w:rPr>
          <w:lang w:val="en-GB"/>
        </w:rPr>
        <w:t xml:space="preserve"> It also organizes information campaigns.</w:t>
      </w:r>
    </w:p>
    <w:p w:rsidR="00147647" w:rsidRPr="00BA6590" w:rsidRDefault="00147647" w:rsidP="00147647">
      <w:pPr>
        <w:pStyle w:val="SingleTxtG"/>
        <w:rPr>
          <w:lang w:val="en-GB"/>
        </w:rPr>
      </w:pPr>
      <w:r w:rsidRPr="00BA6590">
        <w:rPr>
          <w:lang w:val="en-GB"/>
        </w:rPr>
        <w:t>326.</w:t>
      </w:r>
      <w:r w:rsidRPr="00BA6590">
        <w:rPr>
          <w:lang w:val="en-GB"/>
        </w:rPr>
        <w:tab/>
      </w:r>
      <w:r w:rsidR="007C7AA0" w:rsidRPr="00BA6590">
        <w:rPr>
          <w:lang w:val="en-GB"/>
        </w:rPr>
        <w:t xml:space="preserve">The themes of tolerance and the fight against racism and xenophobia are often dealt with in Flemish primary and secondary schools through </w:t>
      </w:r>
      <w:r w:rsidR="00E90CDA" w:rsidRPr="00BA6590">
        <w:rPr>
          <w:lang w:val="en-GB"/>
        </w:rPr>
        <w:t>strategic</w:t>
      </w:r>
      <w:r w:rsidR="007C7AA0" w:rsidRPr="00BA6590">
        <w:rPr>
          <w:lang w:val="en-GB"/>
        </w:rPr>
        <w:t xml:space="preserve"> objectives. </w:t>
      </w:r>
    </w:p>
    <w:p w:rsidR="00147647" w:rsidRPr="00BA6590" w:rsidRDefault="00147647" w:rsidP="00147647">
      <w:pPr>
        <w:pStyle w:val="SingleTxtG"/>
        <w:rPr>
          <w:lang w:val="en-GB"/>
        </w:rPr>
      </w:pPr>
      <w:r w:rsidRPr="00BA6590">
        <w:rPr>
          <w:lang w:val="en-GB"/>
        </w:rPr>
        <w:t>327.</w:t>
      </w:r>
      <w:r w:rsidRPr="00BA6590">
        <w:rPr>
          <w:lang w:val="en-GB"/>
        </w:rPr>
        <w:tab/>
      </w:r>
      <w:r w:rsidR="00E90CDA" w:rsidRPr="00BA6590">
        <w:rPr>
          <w:lang w:val="en-GB"/>
        </w:rPr>
        <w:t xml:space="preserve">In the framework of the interdisciplinary final objectives introduced in </w:t>
      </w:r>
      <w:r w:rsidRPr="00BA6590">
        <w:rPr>
          <w:lang w:val="en-GB"/>
        </w:rPr>
        <w:t>2010,</w:t>
      </w:r>
      <w:r w:rsidR="00E90CDA" w:rsidRPr="00BA6590">
        <w:rPr>
          <w:lang w:val="en-GB"/>
        </w:rPr>
        <w:t xml:space="preserve"> subjects related to human rights and active citizenship are present explicitly in areas 5</w:t>
      </w:r>
      <w:r w:rsidRPr="00BA6590">
        <w:rPr>
          <w:lang w:val="en-GB"/>
        </w:rPr>
        <w:t xml:space="preserve"> (</w:t>
      </w:r>
      <w:r w:rsidR="00E90CDA" w:rsidRPr="00BA6590">
        <w:rPr>
          <w:lang w:val="en-GB"/>
        </w:rPr>
        <w:t>political and legal aspect</w:t>
      </w:r>
      <w:r w:rsidR="002F36A8" w:rsidRPr="00BA6590">
        <w:rPr>
          <w:lang w:val="en-GB"/>
        </w:rPr>
        <w:t>s</w:t>
      </w:r>
      <w:r w:rsidR="00E90CDA" w:rsidRPr="00BA6590">
        <w:rPr>
          <w:lang w:val="en-GB"/>
        </w:rPr>
        <w:t xml:space="preserve"> of democratic society</w:t>
      </w:r>
      <w:r w:rsidRPr="00BA6590">
        <w:rPr>
          <w:lang w:val="en-GB"/>
        </w:rPr>
        <w:t>)</w:t>
      </w:r>
      <w:r w:rsidR="00E90CDA" w:rsidRPr="00BA6590">
        <w:rPr>
          <w:lang w:val="en-GB"/>
        </w:rPr>
        <w:t xml:space="preserve"> and 7</w:t>
      </w:r>
      <w:r w:rsidRPr="00BA6590">
        <w:rPr>
          <w:lang w:val="en-GB"/>
        </w:rPr>
        <w:t xml:space="preserve"> (</w:t>
      </w:r>
      <w:r w:rsidR="00E90CDA" w:rsidRPr="00BA6590">
        <w:rPr>
          <w:lang w:val="en-GB"/>
        </w:rPr>
        <w:t>sociocultural</w:t>
      </w:r>
      <w:r w:rsidRPr="00BA6590">
        <w:rPr>
          <w:lang w:val="en-GB"/>
        </w:rPr>
        <w:t>).</w:t>
      </w:r>
      <w:r w:rsidR="00E90CDA" w:rsidRPr="00BA6590">
        <w:rPr>
          <w:lang w:val="en-GB"/>
        </w:rPr>
        <w:t xml:space="preserve"> The strategic objectives in area 7 relate to the knowledge, abilities and attitudes necessary for coexistence in a multicultural, democratic society. </w:t>
      </w:r>
      <w:r w:rsidR="00DD3A94" w:rsidRPr="00BA6590">
        <w:rPr>
          <w:lang w:val="en-GB"/>
        </w:rPr>
        <w:t xml:space="preserve">These ideas are based on the fact that, while school students are future citizens, they are also </w:t>
      </w:r>
      <w:r w:rsidR="002F36A8" w:rsidRPr="00BA6590">
        <w:rPr>
          <w:lang w:val="en-GB"/>
        </w:rPr>
        <w:t>members</w:t>
      </w:r>
      <w:r w:rsidR="00DD3A94" w:rsidRPr="00BA6590">
        <w:rPr>
          <w:lang w:val="en-GB"/>
        </w:rPr>
        <w:t xml:space="preserve"> of society during their schooling. The goal is therefore to enable them, while still at school, to understand the existing participation procedures, fundamental rights and freedoms and the functioning of democracy. </w:t>
      </w:r>
    </w:p>
    <w:p w:rsidR="00147647" w:rsidRPr="00BA6590" w:rsidRDefault="00147647" w:rsidP="00147647">
      <w:pPr>
        <w:pStyle w:val="H1G"/>
        <w:rPr>
          <w:lang w:val="en-GB"/>
        </w:rPr>
      </w:pPr>
      <w:r w:rsidRPr="00BA6590">
        <w:rPr>
          <w:lang w:val="en-GB"/>
        </w:rPr>
        <w:tab/>
        <w:t>B.</w:t>
      </w:r>
      <w:r w:rsidRPr="00BA6590">
        <w:rPr>
          <w:lang w:val="en-GB"/>
        </w:rPr>
        <w:tab/>
      </w:r>
      <w:r w:rsidR="00DD3A94" w:rsidRPr="00BA6590">
        <w:rPr>
          <w:lang w:val="en-GB"/>
        </w:rPr>
        <w:t>French Community</w:t>
      </w:r>
    </w:p>
    <w:p w:rsidR="00147647" w:rsidRPr="00BA6590" w:rsidRDefault="00147647" w:rsidP="00147647">
      <w:pPr>
        <w:pStyle w:val="H23G"/>
        <w:rPr>
          <w:lang w:val="en-GB"/>
        </w:rPr>
      </w:pPr>
      <w:r w:rsidRPr="00BA6590">
        <w:rPr>
          <w:lang w:val="en-GB"/>
        </w:rPr>
        <w:tab/>
        <w:t>1.</w:t>
      </w:r>
      <w:r w:rsidRPr="00BA6590">
        <w:rPr>
          <w:lang w:val="en-GB"/>
        </w:rPr>
        <w:tab/>
      </w:r>
      <w:r w:rsidR="00DD3A94" w:rsidRPr="00BA6590">
        <w:rPr>
          <w:lang w:val="en-GB"/>
        </w:rPr>
        <w:t>New decrees in the area of education</w:t>
      </w:r>
    </w:p>
    <w:p w:rsidR="00147647" w:rsidRPr="00BA6590" w:rsidRDefault="00147647" w:rsidP="00147647">
      <w:pPr>
        <w:pStyle w:val="SingleTxtG"/>
        <w:rPr>
          <w:lang w:val="en-GB"/>
        </w:rPr>
      </w:pPr>
      <w:r w:rsidRPr="00BA6590">
        <w:rPr>
          <w:lang w:val="en-GB"/>
        </w:rPr>
        <w:t>328.</w:t>
      </w:r>
      <w:r w:rsidRPr="00BA6590">
        <w:rPr>
          <w:lang w:val="en-GB"/>
        </w:rPr>
        <w:tab/>
      </w:r>
      <w:r w:rsidR="00DD3A94" w:rsidRPr="00BA6590">
        <w:rPr>
          <w:lang w:val="en-GB"/>
        </w:rPr>
        <w:t>Three new decrees have been adopted in the French Community</w:t>
      </w:r>
      <w:r w:rsidRPr="00BA6590">
        <w:rPr>
          <w:lang w:val="en-GB"/>
        </w:rPr>
        <w:t>.</w:t>
      </w:r>
    </w:p>
    <w:p w:rsidR="00147647" w:rsidRPr="00BA6590" w:rsidRDefault="00147647" w:rsidP="00147647">
      <w:pPr>
        <w:pStyle w:val="SingleTxtG"/>
        <w:rPr>
          <w:lang w:val="en-GB"/>
        </w:rPr>
      </w:pPr>
      <w:r w:rsidRPr="00BA6590">
        <w:rPr>
          <w:lang w:val="en-GB"/>
        </w:rPr>
        <w:t>329.</w:t>
      </w:r>
      <w:r w:rsidRPr="00BA6590">
        <w:rPr>
          <w:lang w:val="en-GB"/>
        </w:rPr>
        <w:tab/>
      </w:r>
      <w:r w:rsidR="006F1400" w:rsidRPr="00BA6590">
        <w:rPr>
          <w:lang w:val="en-GB"/>
        </w:rPr>
        <w:t xml:space="preserve">The Decree of </w:t>
      </w:r>
      <w:r w:rsidRPr="00BA6590">
        <w:rPr>
          <w:lang w:val="en-GB"/>
        </w:rPr>
        <w:t xml:space="preserve">3 </w:t>
      </w:r>
      <w:r w:rsidR="003F5E21" w:rsidRPr="00BA6590">
        <w:rPr>
          <w:lang w:val="en-GB"/>
        </w:rPr>
        <w:t>April</w:t>
      </w:r>
      <w:r w:rsidRPr="00BA6590">
        <w:rPr>
          <w:lang w:val="en-GB"/>
        </w:rPr>
        <w:t xml:space="preserve"> 2009</w:t>
      </w:r>
      <w:r w:rsidR="006F1400" w:rsidRPr="00BA6590">
        <w:rPr>
          <w:lang w:val="en-GB"/>
        </w:rPr>
        <w:t xml:space="preserve">, relating to regulation of student enrolment for the first </w:t>
      </w:r>
      <w:r w:rsidR="002F36A8" w:rsidRPr="00BA6590">
        <w:rPr>
          <w:lang w:val="en-GB"/>
        </w:rPr>
        <w:t>cycle</w:t>
      </w:r>
      <w:r w:rsidR="006F1400" w:rsidRPr="00BA6590">
        <w:rPr>
          <w:lang w:val="en-GB"/>
        </w:rPr>
        <w:t xml:space="preserve"> (</w:t>
      </w:r>
      <w:r w:rsidR="002F36A8" w:rsidRPr="00BA6590">
        <w:rPr>
          <w:lang w:val="en-GB"/>
        </w:rPr>
        <w:t xml:space="preserve">the </w:t>
      </w:r>
      <w:r w:rsidR="006F1400" w:rsidRPr="00BA6590">
        <w:rPr>
          <w:lang w:val="en-GB"/>
        </w:rPr>
        <w:t xml:space="preserve">first two years) of secondary education, aims to set up an objective and transparent enrolment mechanism which will promote </w:t>
      </w:r>
      <w:r w:rsidR="000364CF" w:rsidRPr="00BA6590">
        <w:rPr>
          <w:lang w:val="en-GB"/>
        </w:rPr>
        <w:t>social mixing</w:t>
      </w:r>
      <w:r w:rsidRPr="00BA6590">
        <w:rPr>
          <w:lang w:val="en-GB"/>
        </w:rPr>
        <w:t>.</w:t>
      </w:r>
      <w:r w:rsidR="006F1400" w:rsidRPr="00BA6590">
        <w:rPr>
          <w:lang w:val="en-GB"/>
        </w:rPr>
        <w:t xml:space="preserve"> The following are its main goals: fairness in the organization of enrolments, transparency for parents and students, simplicity for teaching and administrative teams, equal access and treatment and combating student failure</w:t>
      </w:r>
      <w:r w:rsidR="002F36A8" w:rsidRPr="00BA6590">
        <w:rPr>
          <w:lang w:val="en-GB"/>
        </w:rPr>
        <w:t xml:space="preserve"> while</w:t>
      </w:r>
      <w:r w:rsidR="00EE5458" w:rsidRPr="00BA6590">
        <w:rPr>
          <w:lang w:val="en-GB"/>
        </w:rPr>
        <w:t xml:space="preserve"> supporting mixing. It is</w:t>
      </w:r>
      <w:r w:rsidR="002F36A8" w:rsidRPr="00BA6590">
        <w:rPr>
          <w:lang w:val="en-GB"/>
        </w:rPr>
        <w:t xml:space="preserve"> intended that the dec</w:t>
      </w:r>
      <w:r w:rsidR="00EE5458" w:rsidRPr="00BA6590">
        <w:rPr>
          <w:lang w:val="en-GB"/>
        </w:rPr>
        <w:t xml:space="preserve">ree </w:t>
      </w:r>
      <w:r w:rsidR="002F36A8" w:rsidRPr="00BA6590">
        <w:rPr>
          <w:lang w:val="en-GB"/>
        </w:rPr>
        <w:t>will</w:t>
      </w:r>
      <w:r w:rsidR="00EE5458" w:rsidRPr="00BA6590">
        <w:rPr>
          <w:lang w:val="en-GB"/>
        </w:rPr>
        <w:t xml:space="preserve"> be modified for each school year and its implementation will be evaluated after the third year, using criteria such as the existence of support and assistance measures, the development of pilot partnerships between schools at different socioeconomic levels, progress towards mixing and, lastly, the system of allocation of school places. </w:t>
      </w:r>
    </w:p>
    <w:p w:rsidR="00147647" w:rsidRPr="00BA6590" w:rsidRDefault="00147647" w:rsidP="00147647">
      <w:pPr>
        <w:pStyle w:val="SingleTxtG"/>
        <w:rPr>
          <w:lang w:val="en-GB"/>
        </w:rPr>
      </w:pPr>
      <w:r w:rsidRPr="00BA6590">
        <w:rPr>
          <w:lang w:val="en-GB"/>
        </w:rPr>
        <w:t>330.</w:t>
      </w:r>
      <w:r w:rsidRPr="00BA6590">
        <w:rPr>
          <w:lang w:val="en-GB"/>
        </w:rPr>
        <w:tab/>
      </w:r>
      <w:r w:rsidR="00192167" w:rsidRPr="00BA6590">
        <w:rPr>
          <w:lang w:val="en-GB"/>
        </w:rPr>
        <w:t xml:space="preserve">The Decree of </w:t>
      </w:r>
      <w:r w:rsidRPr="00BA6590">
        <w:rPr>
          <w:lang w:val="en-GB"/>
        </w:rPr>
        <w:t xml:space="preserve">18 </w:t>
      </w:r>
      <w:r w:rsidR="003F5E21" w:rsidRPr="00BA6590">
        <w:rPr>
          <w:lang w:val="en-GB"/>
        </w:rPr>
        <w:t>May</w:t>
      </w:r>
      <w:r w:rsidRPr="00BA6590">
        <w:rPr>
          <w:lang w:val="en-GB"/>
        </w:rPr>
        <w:t xml:space="preserve"> 2012</w:t>
      </w:r>
      <w:r w:rsidR="00192167" w:rsidRPr="00BA6590">
        <w:rPr>
          <w:lang w:val="en-GB"/>
        </w:rPr>
        <w:t>, which establishes DASPA, a reception and school enrolment system for newly-arrived migrants in schools managed or subsidized by the French Community, provides fo</w:t>
      </w:r>
      <w:r w:rsidR="002F36A8" w:rsidRPr="00BA6590">
        <w:rPr>
          <w:lang w:val="en-GB"/>
        </w:rPr>
        <w:t>r the students to be enrolled at</w:t>
      </w:r>
      <w:r w:rsidR="00192167" w:rsidRPr="00BA6590">
        <w:rPr>
          <w:lang w:val="en-GB"/>
        </w:rPr>
        <w:t xml:space="preserve"> their request or with the agreement of those exercising </w:t>
      </w:r>
      <w:r w:rsidR="00192167" w:rsidRPr="00E40099">
        <w:rPr>
          <w:i/>
          <w:lang w:val="en-GB"/>
        </w:rPr>
        <w:t>de facto</w:t>
      </w:r>
      <w:r w:rsidR="00192167" w:rsidRPr="00BA6590">
        <w:rPr>
          <w:lang w:val="en-GB"/>
        </w:rPr>
        <w:t xml:space="preserve"> or </w:t>
      </w:r>
      <w:r w:rsidR="00192167" w:rsidRPr="00E40099">
        <w:rPr>
          <w:i/>
          <w:lang w:val="en-GB"/>
        </w:rPr>
        <w:t>de jure</w:t>
      </w:r>
      <w:r w:rsidR="00192167" w:rsidRPr="00BA6590">
        <w:rPr>
          <w:lang w:val="en-GB"/>
        </w:rPr>
        <w:t xml:space="preserve"> parental authority over them or, if t</w:t>
      </w:r>
      <w:r w:rsidR="002F36A8" w:rsidRPr="00BA6590">
        <w:rPr>
          <w:lang w:val="en-GB"/>
        </w:rPr>
        <w:t>hey are unaccompanied minors, at</w:t>
      </w:r>
      <w:r w:rsidR="00192167" w:rsidRPr="00BA6590">
        <w:rPr>
          <w:lang w:val="en-GB"/>
        </w:rPr>
        <w:t xml:space="preserve"> their request or with their agreement.</w:t>
      </w:r>
      <w:r w:rsidR="0092336D" w:rsidRPr="00BA6590">
        <w:rPr>
          <w:rStyle w:val="FootnoteReference"/>
          <w:lang w:val="en-GB"/>
        </w:rPr>
        <w:footnoteReference w:id="39"/>
      </w:r>
      <w:r w:rsidRPr="00BA6590">
        <w:rPr>
          <w:lang w:val="en-GB"/>
        </w:rPr>
        <w:t xml:space="preserve"> </w:t>
      </w:r>
      <w:r w:rsidR="00140CDD" w:rsidRPr="00BA6590">
        <w:rPr>
          <w:lang w:val="en-GB"/>
        </w:rPr>
        <w:t>Each student may remain in the recep</w:t>
      </w:r>
      <w:r w:rsidR="00B96490" w:rsidRPr="00BA6590">
        <w:rPr>
          <w:lang w:val="en-GB"/>
        </w:rPr>
        <w:t>tion class for anything from a</w:t>
      </w:r>
      <w:r w:rsidR="00140CDD" w:rsidRPr="00BA6590">
        <w:rPr>
          <w:lang w:val="en-GB"/>
        </w:rPr>
        <w:t xml:space="preserve"> week to a year, a duration which can be extended to a maximum of 18 months. Students enrolled in such classes may take all or part of their class hours with those enrolled in ordinary classes in the same school or establishment or other schools or establishments. The aim of these reception classes is to bring students up to the level needed and to provide intensive French-language instruction for those who do not speak the language well enough. </w:t>
      </w:r>
      <w:r w:rsidR="00B96490" w:rsidRPr="00BA6590">
        <w:rPr>
          <w:lang w:val="en-GB"/>
        </w:rPr>
        <w:t xml:space="preserve">The </w:t>
      </w:r>
      <w:r w:rsidR="00F21548" w:rsidRPr="00BA6590">
        <w:rPr>
          <w:lang w:val="en-GB"/>
        </w:rPr>
        <w:t>government</w:t>
      </w:r>
      <w:r w:rsidR="00B96490" w:rsidRPr="00BA6590">
        <w:rPr>
          <w:lang w:val="en-GB"/>
        </w:rPr>
        <w:t xml:space="preserve"> may, for a determined period, add other countries to the list of developing countries if it considers those countries to be in a situation of serious crisis. </w:t>
      </w:r>
    </w:p>
    <w:p w:rsidR="00147647" w:rsidRPr="00BA6590" w:rsidRDefault="00147647" w:rsidP="00147647">
      <w:pPr>
        <w:pStyle w:val="SingleTxtG"/>
        <w:rPr>
          <w:lang w:val="en-GB"/>
        </w:rPr>
      </w:pPr>
      <w:r w:rsidRPr="00BA6590">
        <w:rPr>
          <w:lang w:val="en-GB"/>
        </w:rPr>
        <w:t>331.</w:t>
      </w:r>
      <w:r w:rsidRPr="00BA6590">
        <w:rPr>
          <w:lang w:val="en-GB"/>
        </w:rPr>
        <w:tab/>
      </w:r>
      <w:r w:rsidR="00F30031" w:rsidRPr="00BA6590">
        <w:rPr>
          <w:lang w:val="en-GB"/>
        </w:rPr>
        <w:t xml:space="preserve">The Decree of </w:t>
      </w:r>
      <w:r w:rsidRPr="00BA6590">
        <w:rPr>
          <w:lang w:val="en-GB"/>
        </w:rPr>
        <w:t xml:space="preserve">28 </w:t>
      </w:r>
      <w:r w:rsidR="003F5E21" w:rsidRPr="00BA6590">
        <w:rPr>
          <w:lang w:val="en-GB"/>
        </w:rPr>
        <w:t>April</w:t>
      </w:r>
      <w:r w:rsidRPr="00BA6590">
        <w:rPr>
          <w:lang w:val="en-GB"/>
        </w:rPr>
        <w:t xml:space="preserve"> 2004</w:t>
      </w:r>
      <w:r w:rsidR="00F30031" w:rsidRPr="00BA6590">
        <w:rPr>
          <w:lang w:val="en-GB"/>
        </w:rPr>
        <w:t xml:space="preserve">, relating to differential funding of primary- and secondary-education establishments, takes into account </w:t>
      </w:r>
      <w:r w:rsidR="00FC7A00" w:rsidRPr="00BA6590">
        <w:rPr>
          <w:lang w:val="en-GB"/>
        </w:rPr>
        <w:t>students</w:t>
      </w:r>
      <w:r w:rsidR="00A216FB" w:rsidRPr="00BA6590">
        <w:rPr>
          <w:lang w:val="en-GB"/>
        </w:rPr>
        <w:t>’</w:t>
      </w:r>
      <w:r w:rsidR="00F30031" w:rsidRPr="00BA6590">
        <w:rPr>
          <w:lang w:val="en-GB"/>
        </w:rPr>
        <w:t xml:space="preserve"> socioeconomic index</w:t>
      </w:r>
      <w:r w:rsidR="00FC7A00" w:rsidRPr="00BA6590">
        <w:rPr>
          <w:lang w:val="en-GB"/>
        </w:rPr>
        <w:t xml:space="preserve">es </w:t>
      </w:r>
      <w:r w:rsidR="00F30031" w:rsidRPr="00BA6590">
        <w:rPr>
          <w:lang w:val="en-GB"/>
        </w:rPr>
        <w:t xml:space="preserve">in the distribution of subsidies or grants to schools. This decree does not relate solely to migrants; this is also true of the decree of </w:t>
      </w:r>
      <w:r w:rsidRPr="00BA6590">
        <w:rPr>
          <w:lang w:val="en-GB"/>
        </w:rPr>
        <w:t xml:space="preserve">30 </w:t>
      </w:r>
      <w:r w:rsidR="003F5E21" w:rsidRPr="00BA6590">
        <w:rPr>
          <w:lang w:val="en-GB"/>
        </w:rPr>
        <w:t>April</w:t>
      </w:r>
      <w:r w:rsidRPr="00BA6590">
        <w:rPr>
          <w:lang w:val="en-GB"/>
        </w:rPr>
        <w:t xml:space="preserve"> 2009</w:t>
      </w:r>
      <w:r w:rsidR="00F30031" w:rsidRPr="00BA6590">
        <w:rPr>
          <w:lang w:val="en-GB"/>
        </w:rPr>
        <w:t xml:space="preserve">, whose purpose is to organize differential structures within the schools of the French Community in order to ensure that all students have equal chances of social emancipation in a high-quality educational environment. </w:t>
      </w:r>
    </w:p>
    <w:p w:rsidR="00147647" w:rsidRPr="00BA6590" w:rsidRDefault="00147647" w:rsidP="00147647">
      <w:pPr>
        <w:pStyle w:val="H23G"/>
        <w:rPr>
          <w:lang w:val="en-GB"/>
        </w:rPr>
      </w:pPr>
      <w:r w:rsidRPr="00BA6590">
        <w:rPr>
          <w:lang w:val="en-GB"/>
        </w:rPr>
        <w:tab/>
        <w:t>2.</w:t>
      </w:r>
      <w:r w:rsidRPr="00BA6590">
        <w:rPr>
          <w:lang w:val="en-GB"/>
        </w:rPr>
        <w:tab/>
      </w:r>
      <w:r w:rsidR="009634B5" w:rsidRPr="00BA6590">
        <w:rPr>
          <w:lang w:val="en-GB"/>
        </w:rPr>
        <w:t>Raising awareness among actors in education</w:t>
      </w:r>
    </w:p>
    <w:p w:rsidR="00147647" w:rsidRPr="00BA6590" w:rsidRDefault="00147647" w:rsidP="00BA355C">
      <w:pPr>
        <w:pStyle w:val="SingleTxtG"/>
        <w:rPr>
          <w:lang w:val="en-GB"/>
        </w:rPr>
      </w:pPr>
      <w:r w:rsidRPr="00BA6590">
        <w:rPr>
          <w:lang w:val="en-GB"/>
        </w:rPr>
        <w:t>332.</w:t>
      </w:r>
      <w:r w:rsidRPr="00BA6590">
        <w:rPr>
          <w:lang w:val="en-GB"/>
        </w:rPr>
        <w:tab/>
      </w:r>
      <w:r w:rsidR="009634B5" w:rsidRPr="00BA6590">
        <w:rPr>
          <w:lang w:val="en-GB"/>
        </w:rPr>
        <w:t xml:space="preserve">An awareness campaign entitled </w:t>
      </w:r>
      <w:r w:rsidR="009634B5" w:rsidRPr="00BA6590">
        <w:rPr>
          <w:i/>
          <w:lang w:val="en-GB"/>
        </w:rPr>
        <w:t>Discrimination toi-même</w:t>
      </w:r>
      <w:r w:rsidR="009634B5" w:rsidRPr="00BA6590">
        <w:rPr>
          <w:lang w:val="en-GB"/>
        </w:rPr>
        <w:t xml:space="preserve"> (</w:t>
      </w:r>
      <w:r w:rsidR="00A216FB" w:rsidRPr="00BA6590">
        <w:rPr>
          <w:lang w:val="en-GB"/>
        </w:rPr>
        <w:t>“</w:t>
      </w:r>
      <w:r w:rsidR="009634B5" w:rsidRPr="00BA6590">
        <w:rPr>
          <w:lang w:val="en-GB"/>
        </w:rPr>
        <w:t xml:space="preserve">Discrimination </w:t>
      </w:r>
      <w:r w:rsidR="008D7259" w:rsidRPr="00BA6590">
        <w:rPr>
          <w:lang w:val="en-GB"/>
        </w:rPr>
        <w:t>yourself</w:t>
      </w:r>
      <w:r w:rsidR="00A216FB" w:rsidRPr="00BA6590">
        <w:rPr>
          <w:lang w:val="en-GB"/>
        </w:rPr>
        <w:t>”</w:t>
      </w:r>
      <w:r w:rsidR="009634B5" w:rsidRPr="00BA6590">
        <w:rPr>
          <w:lang w:val="en-GB"/>
        </w:rPr>
        <w:t>) was launched in</w:t>
      </w:r>
      <w:r w:rsidRPr="00BA6590">
        <w:rPr>
          <w:lang w:val="en-GB"/>
        </w:rPr>
        <w:t xml:space="preserve"> </w:t>
      </w:r>
      <w:r w:rsidR="003F5E21" w:rsidRPr="00BA6590">
        <w:rPr>
          <w:lang w:val="en-GB"/>
        </w:rPr>
        <w:t>October</w:t>
      </w:r>
      <w:r w:rsidRPr="00BA6590">
        <w:rPr>
          <w:lang w:val="en-GB"/>
        </w:rPr>
        <w:t xml:space="preserve"> 2010</w:t>
      </w:r>
      <w:r w:rsidR="00FC7A00" w:rsidRPr="00BA6590">
        <w:rPr>
          <w:lang w:val="en-GB"/>
        </w:rPr>
        <w:t>, particularly targeting young people aged from 12 to 18</w:t>
      </w:r>
      <w:r w:rsidRPr="00BA6590">
        <w:rPr>
          <w:lang w:val="en-GB"/>
        </w:rPr>
        <w:t>.</w:t>
      </w:r>
      <w:r w:rsidR="009634B5" w:rsidRPr="00BA6590">
        <w:rPr>
          <w:lang w:val="en-GB"/>
        </w:rPr>
        <w:t xml:space="preserve"> In a </w:t>
      </w:r>
      <w:r w:rsidR="00FC7A00" w:rsidRPr="00BA6590">
        <w:rPr>
          <w:lang w:val="en-GB"/>
        </w:rPr>
        <w:t xml:space="preserve">concrete but </w:t>
      </w:r>
      <w:r w:rsidR="00ED725C" w:rsidRPr="00BA6590">
        <w:rPr>
          <w:lang w:val="en-GB"/>
        </w:rPr>
        <w:t>“</w:t>
      </w:r>
      <w:r w:rsidR="00FC7A00" w:rsidRPr="00BA6590">
        <w:rPr>
          <w:lang w:val="en-GB"/>
        </w:rPr>
        <w:t>fun</w:t>
      </w:r>
      <w:r w:rsidR="00ED725C" w:rsidRPr="00BA6590">
        <w:rPr>
          <w:lang w:val="en-GB"/>
        </w:rPr>
        <w:t>”</w:t>
      </w:r>
      <w:r w:rsidR="00FC7A00" w:rsidRPr="00BA6590">
        <w:rPr>
          <w:lang w:val="en-GB"/>
        </w:rPr>
        <w:t xml:space="preserve"> manner, it</w:t>
      </w:r>
      <w:r w:rsidR="009634B5" w:rsidRPr="00BA6590">
        <w:rPr>
          <w:lang w:val="en-GB"/>
        </w:rPr>
        <w:t xml:space="preserve"> defines phenomena such as discrimination, freedom of expression, incitement to hatred</w:t>
      </w:r>
      <w:r w:rsidRPr="00BA6590">
        <w:rPr>
          <w:lang w:val="en-GB"/>
        </w:rPr>
        <w:t xml:space="preserve">, </w:t>
      </w:r>
      <w:r w:rsidR="00F623DC" w:rsidRPr="00BA6590">
        <w:rPr>
          <w:lang w:val="en-GB"/>
        </w:rPr>
        <w:t>incitement to discriminate</w:t>
      </w:r>
      <w:r w:rsidR="009634B5" w:rsidRPr="00BA6590">
        <w:rPr>
          <w:lang w:val="en-GB"/>
        </w:rPr>
        <w:t xml:space="preserve">, </w:t>
      </w:r>
      <w:r w:rsidRPr="00BA6590">
        <w:rPr>
          <w:lang w:val="en-GB"/>
        </w:rPr>
        <w:t xml:space="preserve">racism, sexism, </w:t>
      </w:r>
      <w:r w:rsidR="009634B5" w:rsidRPr="00BA6590">
        <w:rPr>
          <w:lang w:val="en-GB"/>
        </w:rPr>
        <w:t>harassment</w:t>
      </w:r>
      <w:r w:rsidRPr="00BA6590">
        <w:rPr>
          <w:lang w:val="en-GB"/>
        </w:rPr>
        <w:t>,</w:t>
      </w:r>
      <w:r w:rsidR="009634B5" w:rsidRPr="00BA6590">
        <w:rPr>
          <w:lang w:val="en-GB"/>
        </w:rPr>
        <w:t xml:space="preserve"> homophobia and disability</w:t>
      </w:r>
      <w:r w:rsidRPr="00BA6590">
        <w:rPr>
          <w:lang w:val="en-GB"/>
        </w:rPr>
        <w:t>.</w:t>
      </w:r>
      <w:r w:rsidR="009634B5" w:rsidRPr="00BA6590">
        <w:rPr>
          <w:lang w:val="en-GB"/>
        </w:rPr>
        <w:t xml:space="preserve"> </w:t>
      </w:r>
      <w:r w:rsidR="008D7259" w:rsidRPr="00BA6590">
        <w:rPr>
          <w:lang w:val="en-GB"/>
        </w:rPr>
        <w:t xml:space="preserve">Also targeting teachers, instructors, associations and </w:t>
      </w:r>
      <w:r w:rsidR="00FC7A00" w:rsidRPr="00BA6590">
        <w:rPr>
          <w:lang w:val="en-GB"/>
        </w:rPr>
        <w:t>actors</w:t>
      </w:r>
      <w:r w:rsidR="008D7259" w:rsidRPr="00BA6590">
        <w:rPr>
          <w:lang w:val="en-GB"/>
        </w:rPr>
        <w:t xml:space="preserve"> in the field, the campaign</w:t>
      </w:r>
      <w:r w:rsidR="00E31CB4" w:rsidRPr="00BA6590">
        <w:rPr>
          <w:lang w:val="en-GB"/>
        </w:rPr>
        <w:t xml:space="preserve"> aims to help all those involved to understand the importance of laws to fight certain forms of discrimination and to be aware of existing legal provisions in that area. Some 47,000 copies of the</w:t>
      </w:r>
      <w:r w:rsidRPr="00BA6590">
        <w:rPr>
          <w:lang w:val="en-GB"/>
        </w:rPr>
        <w:t xml:space="preserve"> </w:t>
      </w:r>
      <w:r w:rsidR="00E31CB4" w:rsidRPr="00BA6590">
        <w:rPr>
          <w:lang w:val="en-GB"/>
        </w:rPr>
        <w:t>campaign pamphlet</w:t>
      </w:r>
      <w:r w:rsidRPr="00BA6590">
        <w:rPr>
          <w:lang w:val="en-GB"/>
        </w:rPr>
        <w:t xml:space="preserve"> </w:t>
      </w:r>
      <w:r w:rsidR="00E31CB4" w:rsidRPr="00BA6590">
        <w:rPr>
          <w:i/>
          <w:lang w:val="en-GB"/>
        </w:rPr>
        <w:t>Discrimination toi</w:t>
      </w:r>
      <w:r w:rsidR="00D94C5A" w:rsidRPr="00BA6590">
        <w:rPr>
          <w:i/>
          <w:lang w:val="en-GB"/>
        </w:rPr>
        <w:noBreakHyphen/>
      </w:r>
      <w:r w:rsidR="00E31CB4" w:rsidRPr="00BA6590">
        <w:rPr>
          <w:i/>
          <w:lang w:val="en-GB"/>
        </w:rPr>
        <w:t>même</w:t>
      </w:r>
      <w:r w:rsidR="00E31CB4" w:rsidRPr="00BA6590">
        <w:rPr>
          <w:lang w:val="en-GB"/>
        </w:rPr>
        <w:t xml:space="preserve"> were distributed.</w:t>
      </w:r>
    </w:p>
    <w:p w:rsidR="00147647" w:rsidRPr="00BA6590" w:rsidRDefault="00147647" w:rsidP="00BA355C">
      <w:pPr>
        <w:pStyle w:val="SingleTxtG"/>
        <w:rPr>
          <w:lang w:val="en-GB"/>
        </w:rPr>
      </w:pPr>
      <w:r w:rsidRPr="00BA6590">
        <w:rPr>
          <w:lang w:val="en-GB"/>
        </w:rPr>
        <w:t>333.</w:t>
      </w:r>
      <w:r w:rsidRPr="00BA6590">
        <w:rPr>
          <w:lang w:val="en-GB"/>
        </w:rPr>
        <w:tab/>
      </w:r>
      <w:r w:rsidR="00E31CB4" w:rsidRPr="00BA6590">
        <w:rPr>
          <w:lang w:val="en-GB"/>
        </w:rPr>
        <w:t>In addition to wide dis</w:t>
      </w:r>
      <w:r w:rsidR="00FC7A00" w:rsidRPr="00BA6590">
        <w:rPr>
          <w:lang w:val="en-GB"/>
        </w:rPr>
        <w:t>seminat</w:t>
      </w:r>
      <w:r w:rsidR="00E31CB4" w:rsidRPr="00BA6590">
        <w:rPr>
          <w:lang w:val="en-GB"/>
        </w:rPr>
        <w:t xml:space="preserve">ion of the </w:t>
      </w:r>
      <w:r w:rsidR="00FC7A00" w:rsidRPr="00BA6590">
        <w:rPr>
          <w:lang w:val="en-GB"/>
        </w:rPr>
        <w:t>campaign</w:t>
      </w:r>
      <w:r w:rsidR="00E31CB4" w:rsidRPr="00BA6590">
        <w:rPr>
          <w:lang w:val="en-GB"/>
        </w:rPr>
        <w:t xml:space="preserve">s </w:t>
      </w:r>
      <w:r w:rsidR="00E31CB4" w:rsidRPr="00BA6590">
        <w:rPr>
          <w:i/>
          <w:lang w:val="en-GB"/>
        </w:rPr>
        <w:t>Discrimination toi-même</w:t>
      </w:r>
      <w:r w:rsidR="00E31CB4" w:rsidRPr="00BA6590">
        <w:rPr>
          <w:lang w:val="en-GB"/>
        </w:rPr>
        <w:t xml:space="preserve"> and </w:t>
      </w:r>
      <w:r w:rsidRPr="00BA6590">
        <w:rPr>
          <w:i/>
          <w:lang w:val="en-GB"/>
        </w:rPr>
        <w:t>La discrimination c</w:t>
      </w:r>
      <w:r w:rsidR="00A216FB" w:rsidRPr="00BA6590">
        <w:rPr>
          <w:i/>
          <w:lang w:val="en-GB"/>
        </w:rPr>
        <w:t>’</w:t>
      </w:r>
      <w:r w:rsidRPr="00BA6590">
        <w:rPr>
          <w:i/>
          <w:lang w:val="en-GB"/>
        </w:rPr>
        <w:t>est mal</w:t>
      </w:r>
      <w:r w:rsidRPr="00BA6590">
        <w:rPr>
          <w:lang w:val="en-GB"/>
        </w:rPr>
        <w:t xml:space="preserve"> </w:t>
      </w:r>
      <w:r w:rsidR="00E31CB4" w:rsidRPr="00BA6590">
        <w:rPr>
          <w:lang w:val="en-GB"/>
        </w:rPr>
        <w:t>(</w:t>
      </w:r>
      <w:r w:rsidR="00ED725C" w:rsidRPr="00BA6590">
        <w:rPr>
          <w:lang w:val="en-GB"/>
        </w:rPr>
        <w:t>“</w:t>
      </w:r>
      <w:r w:rsidR="00E31CB4" w:rsidRPr="00BA6590">
        <w:rPr>
          <w:lang w:val="en-GB"/>
        </w:rPr>
        <w:t>Discrimination is a bad thing</w:t>
      </w:r>
      <w:r w:rsidR="00ED725C" w:rsidRPr="00BA6590">
        <w:rPr>
          <w:lang w:val="en-GB"/>
        </w:rPr>
        <w:t>”</w:t>
      </w:r>
      <w:r w:rsidR="00E31CB4" w:rsidRPr="00BA6590">
        <w:rPr>
          <w:lang w:val="en-GB"/>
        </w:rPr>
        <w:t>,</w:t>
      </w:r>
      <w:r w:rsidRPr="00BA6590">
        <w:rPr>
          <w:lang w:val="en-GB"/>
        </w:rPr>
        <w:t xml:space="preserve"> 2012)</w:t>
      </w:r>
      <w:r w:rsidR="00E31CB4" w:rsidRPr="00BA6590">
        <w:rPr>
          <w:lang w:val="en-GB"/>
        </w:rPr>
        <w:t xml:space="preserve"> to all actors in the school system </w:t>
      </w:r>
      <w:r w:rsidRPr="00BA6590">
        <w:rPr>
          <w:lang w:val="en-GB"/>
        </w:rPr>
        <w:t>(</w:t>
      </w:r>
      <w:r w:rsidR="00E31CB4" w:rsidRPr="00BA6590">
        <w:rPr>
          <w:lang w:val="en-GB"/>
        </w:rPr>
        <w:t>see annex</w:t>
      </w:r>
      <w:r w:rsidRPr="00BA6590">
        <w:rPr>
          <w:lang w:val="en-GB"/>
        </w:rPr>
        <w:t xml:space="preserve"> II),</w:t>
      </w:r>
      <w:r w:rsidR="00FC7A00" w:rsidRPr="00BA6590">
        <w:rPr>
          <w:lang w:val="en-GB"/>
        </w:rPr>
        <w:t xml:space="preserve"> a joint effort was organized with</w:t>
      </w:r>
      <w:r w:rsidR="00E31CB4" w:rsidRPr="00BA6590">
        <w:rPr>
          <w:lang w:val="en-GB"/>
        </w:rPr>
        <w:t xml:space="preserve"> the School Assistance Service of the Ministry of the French Community</w:t>
      </w:r>
      <w:r w:rsidR="008E7F0E" w:rsidRPr="00BA6590">
        <w:rPr>
          <w:lang w:val="en-GB"/>
        </w:rPr>
        <w:t>, in the framework of a plan of action to provide the conditions for learning in a calm environment</w:t>
      </w:r>
      <w:r w:rsidR="00FC7A00" w:rsidRPr="00BA6590">
        <w:rPr>
          <w:lang w:val="en-GB"/>
        </w:rPr>
        <w:t>, and with</w:t>
      </w:r>
      <w:r w:rsidR="008E7F0E" w:rsidRPr="00BA6590">
        <w:rPr>
          <w:lang w:val="en-GB"/>
        </w:rPr>
        <w:t xml:space="preserve"> the Emergency Assistance to Schools service, to complete a practical guide to preventing and managing violent incidents in the school environment. A new draft edition has been prepared, revised in light of the anti-discrimination decree, and is expected to be published in </w:t>
      </w:r>
      <w:r w:rsidRPr="00BA6590">
        <w:rPr>
          <w:lang w:val="en-GB"/>
        </w:rPr>
        <w:t>2012.</w:t>
      </w:r>
    </w:p>
    <w:p w:rsidR="00147647" w:rsidRPr="00BA6590" w:rsidRDefault="00147647" w:rsidP="00147647">
      <w:pPr>
        <w:pStyle w:val="SingleTxtG"/>
        <w:rPr>
          <w:lang w:val="en-GB"/>
        </w:rPr>
      </w:pPr>
      <w:r w:rsidRPr="00BA6590">
        <w:rPr>
          <w:lang w:val="en-GB"/>
        </w:rPr>
        <w:t>334.</w:t>
      </w:r>
      <w:r w:rsidRPr="00BA6590">
        <w:rPr>
          <w:lang w:val="en-GB"/>
        </w:rPr>
        <w:tab/>
      </w:r>
      <w:r w:rsidR="008E7F0E" w:rsidRPr="00BA6590">
        <w:rPr>
          <w:lang w:val="en-GB"/>
        </w:rPr>
        <w:t xml:space="preserve">The Decree of 12 December 2008 on combating certain forms of discrimination also aims to inform and raise awareness among staff members whose work involves </w:t>
      </w:r>
      <w:r w:rsidRPr="00BA6590">
        <w:rPr>
          <w:lang w:val="en-GB"/>
        </w:rPr>
        <w:t xml:space="preserve">conciliation </w:t>
      </w:r>
      <w:r w:rsidR="008E7F0E" w:rsidRPr="00BA6590">
        <w:rPr>
          <w:lang w:val="en-GB"/>
        </w:rPr>
        <w:t>and me</w:t>
      </w:r>
      <w:r w:rsidRPr="00BA6590">
        <w:rPr>
          <w:lang w:val="en-GB"/>
        </w:rPr>
        <w:t xml:space="preserve">diation. </w:t>
      </w:r>
      <w:r w:rsidR="008E7F0E" w:rsidRPr="00BA6590">
        <w:rPr>
          <w:lang w:val="en-GB"/>
        </w:rPr>
        <w:t>I</w:t>
      </w:r>
      <w:r w:rsidRPr="00BA6590">
        <w:rPr>
          <w:lang w:val="en-GB"/>
        </w:rPr>
        <w:t xml:space="preserve">n 2010 </w:t>
      </w:r>
      <w:r w:rsidR="008E7F0E" w:rsidRPr="00BA6590">
        <w:rPr>
          <w:lang w:val="en-GB"/>
        </w:rPr>
        <w:t>and 2011, 164 person</w:t>
      </w:r>
      <w:r w:rsidRPr="00BA6590">
        <w:rPr>
          <w:lang w:val="en-GB"/>
        </w:rPr>
        <w:t>s</w:t>
      </w:r>
      <w:r w:rsidR="008E7F0E" w:rsidRPr="00BA6590">
        <w:rPr>
          <w:lang w:val="en-GB"/>
        </w:rPr>
        <w:t xml:space="preserve"> were trained in this area.</w:t>
      </w:r>
      <w:r w:rsidR="00FD6CC3" w:rsidRPr="00BA6590">
        <w:rPr>
          <w:rStyle w:val="FootnoteReference"/>
          <w:lang w:val="en-GB"/>
        </w:rPr>
        <w:footnoteReference w:id="40"/>
      </w:r>
    </w:p>
    <w:p w:rsidR="00147647" w:rsidRPr="00BA6590" w:rsidRDefault="00147647" w:rsidP="00147647">
      <w:pPr>
        <w:pStyle w:val="SingleTxtG"/>
        <w:rPr>
          <w:lang w:val="en-GB"/>
        </w:rPr>
      </w:pPr>
      <w:r w:rsidRPr="00BA6590">
        <w:rPr>
          <w:lang w:val="en-GB"/>
        </w:rPr>
        <w:t>335.</w:t>
      </w:r>
      <w:r w:rsidRPr="00BA6590">
        <w:rPr>
          <w:lang w:val="en-GB"/>
        </w:rPr>
        <w:tab/>
      </w:r>
      <w:r w:rsidR="00447964" w:rsidRPr="00BA6590">
        <w:rPr>
          <w:lang w:val="en-GB"/>
        </w:rPr>
        <w:t xml:space="preserve">Generally speaking, it became clear that resources were limited and a considerable number of actors required this training. In the course of </w:t>
      </w:r>
      <w:r w:rsidRPr="00BA6590">
        <w:rPr>
          <w:lang w:val="en-GB"/>
        </w:rPr>
        <w:t>2011,</w:t>
      </w:r>
      <w:r w:rsidR="00447964" w:rsidRPr="00BA6590">
        <w:rPr>
          <w:lang w:val="en-GB"/>
        </w:rPr>
        <w:t xml:space="preserve"> cooperative projects were set up with the School of Public Administration (EAP) and the Institute for In-service Training (IFC) in order to mainstream the issue of discrimination in their training modules. The following projects are being prepared:</w:t>
      </w:r>
    </w:p>
    <w:p w:rsidR="00147647" w:rsidRPr="00BA6590" w:rsidRDefault="00447964" w:rsidP="007D6420">
      <w:pPr>
        <w:pStyle w:val="Bullet1G"/>
        <w:rPr>
          <w:lang w:val="en-GB"/>
        </w:rPr>
      </w:pPr>
      <w:r w:rsidRPr="00BA6590">
        <w:rPr>
          <w:lang w:val="en-GB"/>
        </w:rPr>
        <w:t xml:space="preserve">With </w:t>
      </w:r>
      <w:r w:rsidR="00147647" w:rsidRPr="00BA6590">
        <w:rPr>
          <w:lang w:val="en-GB"/>
        </w:rPr>
        <w:t>EAP</w:t>
      </w:r>
      <w:r w:rsidR="00ED343D" w:rsidRPr="00BA6590">
        <w:rPr>
          <w:lang w:val="en-GB"/>
        </w:rPr>
        <w:t>:</w:t>
      </w:r>
      <w:r w:rsidR="00147647" w:rsidRPr="00BA6590">
        <w:rPr>
          <w:lang w:val="en-GB"/>
        </w:rPr>
        <w:t xml:space="preserve"> </w:t>
      </w:r>
      <w:r w:rsidRPr="00BA6590">
        <w:rPr>
          <w:lang w:val="en-GB"/>
        </w:rPr>
        <w:t>introduction of a half-day awareness module for staff members in the French Community;</w:t>
      </w:r>
    </w:p>
    <w:p w:rsidR="00147647" w:rsidRPr="00BA6590" w:rsidRDefault="00447964" w:rsidP="007D6420">
      <w:pPr>
        <w:pStyle w:val="Bullet1G"/>
        <w:rPr>
          <w:lang w:val="en-GB"/>
        </w:rPr>
      </w:pPr>
      <w:r w:rsidRPr="00BA6590">
        <w:rPr>
          <w:lang w:val="en-GB"/>
        </w:rPr>
        <w:t xml:space="preserve">With </w:t>
      </w:r>
      <w:r w:rsidR="00147647" w:rsidRPr="00BA6590">
        <w:rPr>
          <w:lang w:val="en-GB"/>
        </w:rPr>
        <w:t>IFC</w:t>
      </w:r>
      <w:r w:rsidR="00ED343D" w:rsidRPr="00BA6590">
        <w:rPr>
          <w:lang w:val="en-GB"/>
        </w:rPr>
        <w:t>:</w:t>
      </w:r>
      <w:r w:rsidR="00147647" w:rsidRPr="00BA6590">
        <w:rPr>
          <w:lang w:val="en-GB"/>
        </w:rPr>
        <w:t xml:space="preserve"> introduction</w:t>
      </w:r>
      <w:r w:rsidR="00CF3258" w:rsidRPr="00BA6590">
        <w:rPr>
          <w:lang w:val="en-GB"/>
        </w:rPr>
        <w:t xml:space="preserve"> in 2012</w:t>
      </w:r>
      <w:r w:rsidRPr="00BA6590">
        <w:rPr>
          <w:lang w:val="en-GB"/>
        </w:rPr>
        <w:t xml:space="preserve"> of a two-day </w:t>
      </w:r>
      <w:r w:rsidR="00147647" w:rsidRPr="00BA6590">
        <w:rPr>
          <w:lang w:val="en-GB"/>
        </w:rPr>
        <w:t>module</w:t>
      </w:r>
      <w:r w:rsidRPr="00BA6590">
        <w:rPr>
          <w:lang w:val="en-GB"/>
        </w:rPr>
        <w:t xml:space="preserve"> as part of the continuing</w:t>
      </w:r>
      <w:r w:rsidR="00CF3258" w:rsidRPr="00BA6590">
        <w:rPr>
          <w:lang w:val="en-GB"/>
        </w:rPr>
        <w:t xml:space="preserve"> training of school inspectors.</w:t>
      </w:r>
      <w:r w:rsidRPr="00BA6590">
        <w:rPr>
          <w:lang w:val="en-GB"/>
        </w:rPr>
        <w:t xml:space="preserve"> </w:t>
      </w:r>
    </w:p>
    <w:p w:rsidR="006E7565" w:rsidRPr="00BA6590" w:rsidRDefault="006E7565" w:rsidP="006E7565">
      <w:pPr>
        <w:pStyle w:val="H23G"/>
        <w:rPr>
          <w:lang w:val="en-GB"/>
        </w:rPr>
      </w:pPr>
      <w:r w:rsidRPr="00BA6590">
        <w:rPr>
          <w:lang w:val="en-GB"/>
        </w:rPr>
        <w:tab/>
        <w:t>3.</w:t>
      </w:r>
      <w:r w:rsidRPr="00BA6590">
        <w:rPr>
          <w:lang w:val="en-GB"/>
        </w:rPr>
        <w:tab/>
      </w:r>
      <w:r w:rsidR="00CF3258" w:rsidRPr="00BA6590">
        <w:rPr>
          <w:lang w:val="en-GB"/>
        </w:rPr>
        <w:t>Opinions and</w:t>
      </w:r>
      <w:r w:rsidRPr="00BA6590">
        <w:rPr>
          <w:lang w:val="en-GB"/>
        </w:rPr>
        <w:t xml:space="preserve"> recomm</w:t>
      </w:r>
      <w:r w:rsidR="00CF3258" w:rsidRPr="00BA6590">
        <w:rPr>
          <w:lang w:val="en-GB"/>
        </w:rPr>
        <w:t>e</w:t>
      </w:r>
      <w:r w:rsidRPr="00BA6590">
        <w:rPr>
          <w:lang w:val="en-GB"/>
        </w:rPr>
        <w:t>ndations</w:t>
      </w:r>
      <w:r w:rsidR="00CF3258" w:rsidRPr="00BA6590">
        <w:rPr>
          <w:lang w:val="en-GB"/>
        </w:rPr>
        <w:t xml:space="preserve"> in the area of education</w:t>
      </w:r>
    </w:p>
    <w:p w:rsidR="006E7565" w:rsidRPr="00BA6590" w:rsidRDefault="006E7565" w:rsidP="00DC77B8">
      <w:pPr>
        <w:pStyle w:val="SingleTxtG"/>
        <w:rPr>
          <w:lang w:val="en-GB"/>
        </w:rPr>
      </w:pPr>
      <w:r w:rsidRPr="00BA6590">
        <w:rPr>
          <w:lang w:val="en-GB"/>
        </w:rPr>
        <w:t>336.</w:t>
      </w:r>
      <w:r w:rsidRPr="00BA6590">
        <w:rPr>
          <w:lang w:val="en-GB"/>
        </w:rPr>
        <w:tab/>
      </w:r>
      <w:r w:rsidR="00CF3258" w:rsidRPr="00BA6590">
        <w:rPr>
          <w:lang w:val="en-GB"/>
        </w:rPr>
        <w:t>A variety of collaborative projects have been created with the actors concerned to enable the Centre for Equal Opportunities and Action to Combat Racism and the Institute for Gender Equality to conduct their research as well as possible in order</w:t>
      </w:r>
      <w:r w:rsidR="00CF1A48" w:rsidRPr="00BA6590">
        <w:rPr>
          <w:lang w:val="en-GB"/>
        </w:rPr>
        <w:t xml:space="preserve"> to issue complete and reasoned opinions and recommendations. </w:t>
      </w:r>
    </w:p>
    <w:p w:rsidR="006E7565" w:rsidRPr="00BA6590" w:rsidRDefault="006E7565" w:rsidP="006E7565">
      <w:pPr>
        <w:pStyle w:val="SingleTxtG"/>
        <w:rPr>
          <w:lang w:val="en-GB"/>
        </w:rPr>
      </w:pPr>
      <w:r w:rsidRPr="00BA6590">
        <w:rPr>
          <w:lang w:val="en-GB"/>
        </w:rPr>
        <w:t>337.</w:t>
      </w:r>
      <w:r w:rsidRPr="00BA6590">
        <w:rPr>
          <w:lang w:val="en-GB"/>
        </w:rPr>
        <w:tab/>
      </w:r>
      <w:r w:rsidR="00CF1A48" w:rsidRPr="00BA6590">
        <w:rPr>
          <w:lang w:val="en-GB"/>
        </w:rPr>
        <w:t>In January 2012, the</w:t>
      </w:r>
      <w:r w:rsidRPr="00BA6590">
        <w:rPr>
          <w:lang w:val="en-GB"/>
        </w:rPr>
        <w:t xml:space="preserve"> Centre </w:t>
      </w:r>
      <w:r w:rsidR="00CF1A48" w:rsidRPr="00BA6590">
        <w:rPr>
          <w:lang w:val="en-GB"/>
        </w:rPr>
        <w:t>recommended that the Minister for Higher Education should send a circular to establishments in the field of higher education and social advancement, ensuring that no limitations would be placed on students</w:t>
      </w:r>
      <w:r w:rsidR="00A216FB" w:rsidRPr="00BA6590">
        <w:rPr>
          <w:lang w:val="en-GB"/>
        </w:rPr>
        <w:t>’</w:t>
      </w:r>
      <w:r w:rsidR="00CF1A48" w:rsidRPr="00BA6590">
        <w:rPr>
          <w:lang w:val="en-GB"/>
        </w:rPr>
        <w:t xml:space="preserve"> freedom to express their convictions; this included the wearing of religious symbols.</w:t>
      </w:r>
      <w:r w:rsidR="001F3CAB" w:rsidRPr="00BA6590">
        <w:rPr>
          <w:lang w:val="en-GB"/>
        </w:rPr>
        <w:t xml:space="preserve"> </w:t>
      </w:r>
    </w:p>
    <w:p w:rsidR="006E7565" w:rsidRPr="00BA6590" w:rsidRDefault="006E7565" w:rsidP="00EA46EC">
      <w:pPr>
        <w:pStyle w:val="H23G"/>
        <w:rPr>
          <w:lang w:val="en-GB"/>
        </w:rPr>
      </w:pPr>
      <w:r w:rsidRPr="00BA6590">
        <w:rPr>
          <w:lang w:val="en-GB"/>
        </w:rPr>
        <w:tab/>
        <w:t>4.</w:t>
      </w:r>
      <w:r w:rsidRPr="00BA6590">
        <w:rPr>
          <w:lang w:val="en-GB"/>
        </w:rPr>
        <w:tab/>
      </w:r>
      <w:r w:rsidR="00CF1A48" w:rsidRPr="00BA6590">
        <w:rPr>
          <w:lang w:val="en-GB"/>
        </w:rPr>
        <w:t xml:space="preserve">Plan of </w:t>
      </w:r>
      <w:r w:rsidR="00D41C4D" w:rsidRPr="00BA6590">
        <w:rPr>
          <w:lang w:val="en-GB"/>
        </w:rPr>
        <w:t>Action</w:t>
      </w:r>
      <w:r w:rsidR="00CF1A48" w:rsidRPr="00BA6590">
        <w:rPr>
          <w:lang w:val="en-GB"/>
        </w:rPr>
        <w:t xml:space="preserve"> for Equality and Diversity in the Audiovisual Media</w:t>
      </w:r>
    </w:p>
    <w:p w:rsidR="006E7565" w:rsidRPr="00BA6590" w:rsidRDefault="006E7565" w:rsidP="006E7565">
      <w:pPr>
        <w:pStyle w:val="SingleTxtG"/>
        <w:rPr>
          <w:lang w:val="en-GB"/>
        </w:rPr>
      </w:pPr>
      <w:r w:rsidRPr="00BA6590">
        <w:rPr>
          <w:lang w:val="en-GB"/>
        </w:rPr>
        <w:t>338.</w:t>
      </w:r>
      <w:r w:rsidR="004E090E" w:rsidRPr="00BA6590">
        <w:rPr>
          <w:lang w:val="en-GB"/>
        </w:rPr>
        <w:tab/>
      </w:r>
      <w:r w:rsidR="00CF1A48" w:rsidRPr="00BA6590">
        <w:rPr>
          <w:lang w:val="en-GB"/>
        </w:rPr>
        <w:t xml:space="preserve">In 2010, the Minister of Culture, Audiovisual Media, Health and Equality launched a Plan of </w:t>
      </w:r>
      <w:r w:rsidR="00D41C4D" w:rsidRPr="00BA6590">
        <w:rPr>
          <w:lang w:val="en-GB"/>
        </w:rPr>
        <w:t>Action</w:t>
      </w:r>
      <w:r w:rsidR="00CF1A48" w:rsidRPr="00BA6590">
        <w:rPr>
          <w:lang w:val="en-GB"/>
        </w:rPr>
        <w:t xml:space="preserve"> for Equality and Diversity in the Audiovisual Media in the French Community for </w:t>
      </w:r>
      <w:r w:rsidRPr="00BA6590">
        <w:rPr>
          <w:lang w:val="en-GB"/>
        </w:rPr>
        <w:t>2010</w:t>
      </w:r>
      <w:r w:rsidR="00D94C5A" w:rsidRPr="00BA6590">
        <w:rPr>
          <w:szCs w:val="24"/>
          <w:lang w:val="en-GB"/>
        </w:rPr>
        <w:t>–</w:t>
      </w:r>
      <w:r w:rsidRPr="00BA6590">
        <w:rPr>
          <w:lang w:val="en-GB"/>
        </w:rPr>
        <w:t>2013.</w:t>
      </w:r>
      <w:r w:rsidR="00CF1A48" w:rsidRPr="00BA6590">
        <w:rPr>
          <w:lang w:val="en-GB"/>
        </w:rPr>
        <w:t xml:space="preserve"> Spread over a three-year period, this Plan aims to conduct two distinct</w:t>
      </w:r>
      <w:r w:rsidR="00252FF3" w:rsidRPr="00BA6590">
        <w:rPr>
          <w:lang w:val="en-GB"/>
        </w:rPr>
        <w:t xml:space="preserve"> but complementary activities, in the shape of two annual publications</w:t>
      </w:r>
      <w:r w:rsidRPr="00BA6590">
        <w:rPr>
          <w:lang w:val="en-GB"/>
        </w:rPr>
        <w:t>:</w:t>
      </w:r>
    </w:p>
    <w:p w:rsidR="006E7565" w:rsidRPr="00BA6590" w:rsidRDefault="00252FF3" w:rsidP="004A0BF5">
      <w:pPr>
        <w:pStyle w:val="Bullet1G"/>
        <w:rPr>
          <w:lang w:val="en-GB"/>
        </w:rPr>
      </w:pPr>
      <w:r w:rsidRPr="00BA6590">
        <w:rPr>
          <w:lang w:val="en-GB"/>
        </w:rPr>
        <w:t>The Annual Barometer of Equality and Diversity is a quantitative analysis of the representation</w:t>
      </w:r>
      <w:r w:rsidR="00EA0FF4" w:rsidRPr="00BA6590">
        <w:rPr>
          <w:lang w:val="en-GB"/>
        </w:rPr>
        <w:t xml:space="preserve"> of the various components of diversity in the programmes of media companies in the French Community during a </w:t>
      </w:r>
      <w:r w:rsidRPr="00BA6590">
        <w:rPr>
          <w:lang w:val="en-GB"/>
        </w:rPr>
        <w:t>reference week</w:t>
      </w:r>
      <w:r w:rsidR="006E7565" w:rsidRPr="00BA6590">
        <w:rPr>
          <w:lang w:val="en-GB"/>
        </w:rPr>
        <w:t>.</w:t>
      </w:r>
      <w:r w:rsidR="00EA0FF4" w:rsidRPr="00BA6590">
        <w:rPr>
          <w:lang w:val="en-GB"/>
        </w:rPr>
        <w:t xml:space="preserve"> It provides a picture of </w:t>
      </w:r>
      <w:r w:rsidR="006E7565" w:rsidRPr="00BA6590">
        <w:rPr>
          <w:lang w:val="en-GB"/>
        </w:rPr>
        <w:t>diversit</w:t>
      </w:r>
      <w:r w:rsidR="00EA0FF4" w:rsidRPr="00BA6590">
        <w:rPr>
          <w:lang w:val="en-GB"/>
        </w:rPr>
        <w:t>y</w:t>
      </w:r>
      <w:r w:rsidR="006E7565" w:rsidRPr="00BA6590">
        <w:rPr>
          <w:lang w:val="en-GB"/>
        </w:rPr>
        <w:t xml:space="preserve"> </w:t>
      </w:r>
      <w:r w:rsidR="00EA0FF4" w:rsidRPr="00BA6590">
        <w:rPr>
          <w:lang w:val="en-GB"/>
        </w:rPr>
        <w:t>i</w:t>
      </w:r>
      <w:r w:rsidR="006E7565" w:rsidRPr="00BA6590">
        <w:rPr>
          <w:lang w:val="en-GB"/>
        </w:rPr>
        <w:t xml:space="preserve">n </w:t>
      </w:r>
      <w:r w:rsidR="00EA0FF4" w:rsidRPr="00BA6590">
        <w:rPr>
          <w:lang w:val="en-GB"/>
        </w:rPr>
        <w:t>tele</w:t>
      </w:r>
      <w:r w:rsidR="006E7565" w:rsidRPr="00BA6590">
        <w:rPr>
          <w:lang w:val="en-GB"/>
        </w:rPr>
        <w:t>vision,</w:t>
      </w:r>
      <w:r w:rsidR="00EA0FF4" w:rsidRPr="00BA6590">
        <w:rPr>
          <w:lang w:val="en-GB"/>
        </w:rPr>
        <w:t xml:space="preserve"> which is a prerequisite of substantive actions and should make it possible to measure the outcomes of whatever efforts take place. The first such Barometer was published in </w:t>
      </w:r>
      <w:r w:rsidR="003F5E21" w:rsidRPr="00BA6590">
        <w:rPr>
          <w:lang w:val="en-GB"/>
        </w:rPr>
        <w:t>March</w:t>
      </w:r>
      <w:r w:rsidR="006E7565" w:rsidRPr="00BA6590">
        <w:rPr>
          <w:lang w:val="en-GB"/>
        </w:rPr>
        <w:t xml:space="preserve"> 2011 (http://www.csa.be/diversite).</w:t>
      </w:r>
    </w:p>
    <w:p w:rsidR="006E7565" w:rsidRPr="00BA6590" w:rsidRDefault="00EA0FF4" w:rsidP="008662EA">
      <w:pPr>
        <w:pStyle w:val="Bullet1G"/>
        <w:rPr>
          <w:lang w:val="en-GB"/>
        </w:rPr>
      </w:pPr>
      <w:r w:rsidRPr="00BA6590">
        <w:rPr>
          <w:lang w:val="en-GB"/>
        </w:rPr>
        <w:t>The</w:t>
      </w:r>
      <w:r w:rsidR="006E7565" w:rsidRPr="00BA6590">
        <w:rPr>
          <w:lang w:val="en-GB"/>
        </w:rPr>
        <w:t xml:space="preserve"> Panorama</w:t>
      </w:r>
      <w:r w:rsidRPr="00BA6590">
        <w:rPr>
          <w:lang w:val="en-GB"/>
        </w:rPr>
        <w:t xml:space="preserve"> of Good Practices aims to identify good practices in terms of equality and diversity in television. These good practices relate to all the components of diversity</w:t>
      </w:r>
      <w:r w:rsidR="006E7565" w:rsidRPr="00BA6590">
        <w:rPr>
          <w:lang w:val="en-GB"/>
        </w:rPr>
        <w:t xml:space="preserve"> (</w:t>
      </w:r>
      <w:r w:rsidRPr="00BA6590">
        <w:rPr>
          <w:lang w:val="en-GB"/>
        </w:rPr>
        <w:t xml:space="preserve">gender, age, origin, </w:t>
      </w:r>
      <w:r w:rsidR="00907915" w:rsidRPr="00BA6590">
        <w:rPr>
          <w:lang w:val="en-GB"/>
        </w:rPr>
        <w:t>socio-professional</w:t>
      </w:r>
      <w:r w:rsidRPr="00BA6590">
        <w:rPr>
          <w:lang w:val="en-GB"/>
        </w:rPr>
        <w:t xml:space="preserve"> group, disability</w:t>
      </w:r>
      <w:r w:rsidR="006E7565" w:rsidRPr="00BA6590">
        <w:rPr>
          <w:lang w:val="en-GB"/>
        </w:rPr>
        <w:t>)</w:t>
      </w:r>
      <w:r w:rsidRPr="00BA6590">
        <w:rPr>
          <w:lang w:val="en-GB"/>
        </w:rPr>
        <w:t xml:space="preserve"> and all the links in the audiovisual chain, such as </w:t>
      </w:r>
      <w:r w:rsidR="006E7565" w:rsidRPr="00BA6590">
        <w:rPr>
          <w:lang w:val="en-GB"/>
        </w:rPr>
        <w:t xml:space="preserve">production, </w:t>
      </w:r>
      <w:r w:rsidRPr="00BA6590">
        <w:rPr>
          <w:lang w:val="en-GB"/>
        </w:rPr>
        <w:t>training</w:t>
      </w:r>
      <w:r w:rsidR="006E7565" w:rsidRPr="00BA6590">
        <w:rPr>
          <w:lang w:val="en-GB"/>
        </w:rPr>
        <w:t>, recru</w:t>
      </w:r>
      <w:r w:rsidRPr="00BA6590">
        <w:rPr>
          <w:lang w:val="en-GB"/>
        </w:rPr>
        <w:t>i</w:t>
      </w:r>
      <w:r w:rsidR="006E7565" w:rsidRPr="00BA6590">
        <w:rPr>
          <w:lang w:val="en-GB"/>
        </w:rPr>
        <w:t>tment</w:t>
      </w:r>
      <w:r w:rsidRPr="00BA6590">
        <w:rPr>
          <w:lang w:val="en-GB"/>
        </w:rPr>
        <w:t xml:space="preserve"> and</w:t>
      </w:r>
      <w:r w:rsidR="006E7565" w:rsidRPr="00BA6590">
        <w:rPr>
          <w:lang w:val="en-GB"/>
        </w:rPr>
        <w:t xml:space="preserve"> </w:t>
      </w:r>
      <w:r w:rsidRPr="00BA6590">
        <w:rPr>
          <w:lang w:val="en-GB"/>
        </w:rPr>
        <w:t xml:space="preserve">dissemination. The Panorama also reports on initiatives taking place in other countries, as well as relevant analyses and discussions. Its goal is to raise awareness </w:t>
      </w:r>
      <w:r w:rsidR="00C40F02" w:rsidRPr="00BA6590">
        <w:rPr>
          <w:lang w:val="en-GB"/>
        </w:rPr>
        <w:t xml:space="preserve">of equality and diversity </w:t>
      </w:r>
      <w:r w:rsidRPr="00BA6590">
        <w:rPr>
          <w:lang w:val="en-GB"/>
        </w:rPr>
        <w:t xml:space="preserve">among professionals in the French-speaking </w:t>
      </w:r>
      <w:r w:rsidR="002B7001" w:rsidRPr="00BA6590">
        <w:rPr>
          <w:lang w:val="en-GB"/>
        </w:rPr>
        <w:t xml:space="preserve">audiovisual </w:t>
      </w:r>
      <w:r w:rsidRPr="00BA6590">
        <w:rPr>
          <w:lang w:val="en-GB"/>
        </w:rPr>
        <w:t>media</w:t>
      </w:r>
      <w:r w:rsidR="00C40F02" w:rsidRPr="00BA6590">
        <w:rPr>
          <w:lang w:val="en-GB"/>
        </w:rPr>
        <w:t xml:space="preserve">, in terms of both information content and editorial staff, so that they will develop a positive approach to those issues. </w:t>
      </w:r>
    </w:p>
    <w:p w:rsidR="008662EA" w:rsidRPr="00BA6590" w:rsidRDefault="00B844E0" w:rsidP="00B844E0">
      <w:pPr>
        <w:pStyle w:val="HChG"/>
        <w:rPr>
          <w:lang w:val="en-GB"/>
        </w:rPr>
      </w:pPr>
      <w:r w:rsidRPr="00BA6590">
        <w:rPr>
          <w:lang w:val="en-GB"/>
        </w:rPr>
        <w:tab/>
      </w:r>
      <w:r w:rsidRPr="00BA6590">
        <w:rPr>
          <w:lang w:val="en-GB"/>
        </w:rPr>
        <w:tab/>
      </w:r>
      <w:r w:rsidR="00F55CF4" w:rsidRPr="00BA6590">
        <w:rPr>
          <w:lang w:val="en-GB"/>
        </w:rPr>
        <w:t>Replies to the Committee</w:t>
      </w:r>
      <w:r w:rsidR="00A216FB" w:rsidRPr="00BA6590">
        <w:rPr>
          <w:lang w:val="en-GB"/>
        </w:rPr>
        <w:t>’</w:t>
      </w:r>
      <w:r w:rsidR="00F55CF4" w:rsidRPr="00BA6590">
        <w:rPr>
          <w:lang w:val="en-GB"/>
        </w:rPr>
        <w:t xml:space="preserve">s </w:t>
      </w:r>
      <w:r w:rsidR="00816F73" w:rsidRPr="00BA6590">
        <w:rPr>
          <w:lang w:val="en-GB"/>
        </w:rPr>
        <w:t xml:space="preserve">concluding </w:t>
      </w:r>
      <w:r w:rsidR="00F55CF4" w:rsidRPr="00BA6590">
        <w:rPr>
          <w:lang w:val="en-GB"/>
        </w:rPr>
        <w:t>observations and recommendations in relation to the previous report</w:t>
      </w:r>
      <w:r w:rsidR="008662EA" w:rsidRPr="00BA6590">
        <w:rPr>
          <w:lang w:val="en-GB"/>
        </w:rPr>
        <w:t xml:space="preserve"> (CERD/C/BEL/CO/15)</w:t>
      </w:r>
    </w:p>
    <w:p w:rsidR="009C6186" w:rsidRPr="00BA6590" w:rsidRDefault="009C6186" w:rsidP="0032348E">
      <w:pPr>
        <w:pStyle w:val="H23G"/>
        <w:rPr>
          <w:lang w:val="en-GB"/>
        </w:rPr>
      </w:pPr>
      <w:r w:rsidRPr="00BA6590">
        <w:rPr>
          <w:lang w:val="en-GB"/>
        </w:rPr>
        <w:tab/>
      </w:r>
      <w:r w:rsidRPr="00BA6590">
        <w:rPr>
          <w:lang w:val="en-GB"/>
        </w:rPr>
        <w:tab/>
      </w:r>
      <w:r w:rsidR="00C40F02" w:rsidRPr="00BA6590">
        <w:rPr>
          <w:lang w:val="en-GB"/>
        </w:rPr>
        <w:t>Paragraph</w:t>
      </w:r>
      <w:r w:rsidR="0032348E" w:rsidRPr="00BA6590">
        <w:rPr>
          <w:lang w:val="en-GB"/>
        </w:rPr>
        <w:t xml:space="preserve"> </w:t>
      </w:r>
      <w:r w:rsidRPr="00BA6590">
        <w:rPr>
          <w:lang w:val="en-GB"/>
        </w:rPr>
        <w:t xml:space="preserve">10 </w:t>
      </w:r>
      <w:r w:rsidR="00C40F02" w:rsidRPr="00BA6590">
        <w:rPr>
          <w:lang w:val="en-GB"/>
        </w:rPr>
        <w:t>of the</w:t>
      </w:r>
      <w:r w:rsidRPr="00BA6590">
        <w:rPr>
          <w:lang w:val="en-GB"/>
        </w:rPr>
        <w:t xml:space="preserve"> </w:t>
      </w:r>
      <w:r w:rsidR="00816F73" w:rsidRPr="00BA6590">
        <w:rPr>
          <w:lang w:val="en-GB"/>
        </w:rPr>
        <w:t>concluding observations</w:t>
      </w:r>
    </w:p>
    <w:p w:rsidR="009C6186" w:rsidRPr="00BA6590" w:rsidRDefault="009C6186" w:rsidP="008A412C">
      <w:pPr>
        <w:pStyle w:val="SingleTxtG"/>
        <w:rPr>
          <w:lang w:val="en-GB"/>
        </w:rPr>
      </w:pPr>
      <w:r w:rsidRPr="00BA6590">
        <w:rPr>
          <w:lang w:val="en-GB"/>
        </w:rPr>
        <w:t>339.</w:t>
      </w:r>
      <w:r w:rsidRPr="00BA6590">
        <w:rPr>
          <w:lang w:val="en-GB"/>
        </w:rPr>
        <w:tab/>
      </w:r>
      <w:r w:rsidR="00C40F02" w:rsidRPr="00BA6590">
        <w:rPr>
          <w:lang w:val="en-GB"/>
        </w:rPr>
        <w:t xml:space="preserve">The issue of setting up a national human rights institution has been under consideration in Belgium for several years. Discussions took place following the </w:t>
      </w:r>
      <w:r w:rsidR="002E58B3" w:rsidRPr="00BA6590">
        <w:rPr>
          <w:lang w:val="en-GB"/>
        </w:rPr>
        <w:t>Coalition</w:t>
      </w:r>
      <w:r w:rsidR="00C40F02" w:rsidRPr="00BA6590">
        <w:rPr>
          <w:lang w:val="en-GB"/>
        </w:rPr>
        <w:t xml:space="preserve"> Agreement of </w:t>
      </w:r>
      <w:r w:rsidRPr="00BA6590">
        <w:rPr>
          <w:lang w:val="en-GB"/>
        </w:rPr>
        <w:t>2003</w:t>
      </w:r>
      <w:r w:rsidR="00C40F02" w:rsidRPr="00BA6590">
        <w:rPr>
          <w:lang w:val="en-GB"/>
        </w:rPr>
        <w:t xml:space="preserve"> and the </w:t>
      </w:r>
      <w:r w:rsidR="002E58B3" w:rsidRPr="00BA6590">
        <w:rPr>
          <w:lang w:val="en-GB"/>
        </w:rPr>
        <w:t xml:space="preserve">Office of the United Nations </w:t>
      </w:r>
      <w:r w:rsidR="00C40F02" w:rsidRPr="00BA6590">
        <w:rPr>
          <w:lang w:val="en-GB"/>
        </w:rPr>
        <w:t xml:space="preserve">High Commissioner for Human Rights was asked in </w:t>
      </w:r>
      <w:r w:rsidRPr="00BA6590">
        <w:rPr>
          <w:lang w:val="en-GB"/>
        </w:rPr>
        <w:t>2006</w:t>
      </w:r>
      <w:r w:rsidR="00C40F02" w:rsidRPr="00BA6590">
        <w:rPr>
          <w:lang w:val="en-GB"/>
        </w:rPr>
        <w:t xml:space="preserve"> to give an opinion on two options. These were (1) </w:t>
      </w:r>
      <w:r w:rsidR="002E58B3" w:rsidRPr="00BA6590">
        <w:rPr>
          <w:lang w:val="en-GB"/>
        </w:rPr>
        <w:t xml:space="preserve">an extension of the mandate of the </w:t>
      </w:r>
      <w:r w:rsidR="004B472D" w:rsidRPr="00BA6590">
        <w:rPr>
          <w:lang w:val="en-GB"/>
        </w:rPr>
        <w:t>Centre for Equal Opportunities and Action</w:t>
      </w:r>
      <w:r w:rsidR="006E73EA" w:rsidRPr="00BA6590">
        <w:rPr>
          <w:lang w:val="en-GB"/>
        </w:rPr>
        <w:t xml:space="preserve"> to Combat Racism</w:t>
      </w:r>
      <w:r w:rsidR="002E58B3" w:rsidRPr="00BA6590">
        <w:rPr>
          <w:lang w:val="en-GB"/>
        </w:rPr>
        <w:t>, and (</w:t>
      </w:r>
      <w:r w:rsidRPr="00BA6590">
        <w:rPr>
          <w:lang w:val="en-GB"/>
        </w:rPr>
        <w:t>2)</w:t>
      </w:r>
      <w:r w:rsidR="002E58B3" w:rsidRPr="00BA6590">
        <w:rPr>
          <w:lang w:val="en-GB"/>
        </w:rPr>
        <w:t xml:space="preserve"> the creation of a Belgian </w:t>
      </w:r>
      <w:r w:rsidR="00F21548" w:rsidRPr="00BA6590">
        <w:rPr>
          <w:lang w:val="en-GB"/>
        </w:rPr>
        <w:t>c</w:t>
      </w:r>
      <w:r w:rsidR="002E58B3" w:rsidRPr="00BA6590">
        <w:rPr>
          <w:lang w:val="en-GB"/>
        </w:rPr>
        <w:t xml:space="preserve">ommission on </w:t>
      </w:r>
      <w:r w:rsidR="00F21548" w:rsidRPr="00BA6590">
        <w:rPr>
          <w:lang w:val="en-GB"/>
        </w:rPr>
        <w:t>fundamental r</w:t>
      </w:r>
      <w:r w:rsidR="002E58B3" w:rsidRPr="00BA6590">
        <w:rPr>
          <w:lang w:val="en-GB"/>
        </w:rPr>
        <w:t>ights, proposed by a group of non</w:t>
      </w:r>
      <w:r w:rsidR="00CD719C" w:rsidRPr="00BA6590">
        <w:rPr>
          <w:lang w:val="en-GB"/>
        </w:rPr>
        <w:noBreakHyphen/>
      </w:r>
      <w:r w:rsidR="002E58B3" w:rsidRPr="00BA6590">
        <w:rPr>
          <w:lang w:val="en-GB"/>
        </w:rPr>
        <w:t xml:space="preserve">governmental organizations (NGOs). The opinion provided evaluated the two options without recommending one of them in particular. </w:t>
      </w:r>
    </w:p>
    <w:p w:rsidR="009C6186" w:rsidRPr="00BA6590" w:rsidRDefault="009C6186" w:rsidP="008A412C">
      <w:pPr>
        <w:pStyle w:val="SingleTxtG"/>
        <w:rPr>
          <w:lang w:val="en-GB"/>
        </w:rPr>
      </w:pPr>
      <w:r w:rsidRPr="00BA6590">
        <w:rPr>
          <w:lang w:val="en-GB"/>
        </w:rPr>
        <w:t>340.</w:t>
      </w:r>
      <w:r w:rsidRPr="00BA6590">
        <w:rPr>
          <w:lang w:val="en-GB"/>
        </w:rPr>
        <w:tab/>
      </w:r>
      <w:r w:rsidR="00375792" w:rsidRPr="00BA6590">
        <w:rPr>
          <w:lang w:val="en-GB"/>
        </w:rPr>
        <w:t xml:space="preserve">The issue of creating a </w:t>
      </w:r>
      <w:r w:rsidR="002E58B3" w:rsidRPr="00BA6590">
        <w:rPr>
          <w:lang w:val="en-GB"/>
        </w:rPr>
        <w:t>national human rights institution</w:t>
      </w:r>
      <w:r w:rsidR="00375792" w:rsidRPr="00BA6590">
        <w:rPr>
          <w:lang w:val="en-GB"/>
        </w:rPr>
        <w:t xml:space="preserve"> was raised again in the most recent </w:t>
      </w:r>
      <w:r w:rsidR="00E34B00" w:rsidRPr="00BA6590">
        <w:rPr>
          <w:lang w:val="en-GB"/>
        </w:rPr>
        <w:t>Coalition Agreement</w:t>
      </w:r>
      <w:r w:rsidR="00375792" w:rsidRPr="00BA6590">
        <w:rPr>
          <w:lang w:val="en-GB"/>
        </w:rPr>
        <w:t>, dated</w:t>
      </w:r>
      <w:r w:rsidRPr="00BA6590">
        <w:rPr>
          <w:lang w:val="en-GB"/>
        </w:rPr>
        <w:t xml:space="preserve"> </w:t>
      </w:r>
      <w:r w:rsidR="00375792" w:rsidRPr="00BA6590">
        <w:rPr>
          <w:lang w:val="en-GB"/>
        </w:rPr>
        <w:t xml:space="preserve">1 </w:t>
      </w:r>
      <w:r w:rsidR="003F5E21" w:rsidRPr="00BA6590">
        <w:rPr>
          <w:lang w:val="en-GB"/>
        </w:rPr>
        <w:t>December</w:t>
      </w:r>
      <w:r w:rsidRPr="00BA6590">
        <w:rPr>
          <w:lang w:val="en-GB"/>
        </w:rPr>
        <w:t xml:space="preserve"> 2011</w:t>
      </w:r>
      <w:r w:rsidR="00375792" w:rsidRPr="00BA6590">
        <w:rPr>
          <w:lang w:val="en-GB"/>
        </w:rPr>
        <w:t xml:space="preserve">, which provides that in accordance with the </w:t>
      </w:r>
      <w:r w:rsidR="00B32A71" w:rsidRPr="00BA6590">
        <w:rPr>
          <w:lang w:val="en-GB"/>
        </w:rPr>
        <w:t>country</w:t>
      </w:r>
      <w:r w:rsidR="00A216FB" w:rsidRPr="00BA6590">
        <w:rPr>
          <w:lang w:val="en-GB"/>
        </w:rPr>
        <w:t>’</w:t>
      </w:r>
      <w:r w:rsidR="00DC31B1" w:rsidRPr="00BA6590">
        <w:rPr>
          <w:lang w:val="en-GB"/>
        </w:rPr>
        <w:t>s</w:t>
      </w:r>
      <w:r w:rsidR="00375792" w:rsidRPr="00BA6590">
        <w:rPr>
          <w:lang w:val="en-GB"/>
        </w:rPr>
        <w:t xml:space="preserve"> international obligations, </w:t>
      </w:r>
      <w:r w:rsidR="00ED725C" w:rsidRPr="00BA6590">
        <w:rPr>
          <w:lang w:val="en-GB"/>
        </w:rPr>
        <w:t>“</w:t>
      </w:r>
      <w:r w:rsidR="00375792" w:rsidRPr="00BA6590">
        <w:rPr>
          <w:lang w:val="en-GB"/>
        </w:rPr>
        <w:t>a national human rights commission must be created, in collaboration with the Communities and Regions. The existing institut</w:t>
      </w:r>
      <w:r w:rsidR="00ED725C" w:rsidRPr="00BA6590">
        <w:rPr>
          <w:lang w:val="en-GB"/>
        </w:rPr>
        <w:t>ions will be taken into account”.</w:t>
      </w:r>
      <w:r w:rsidR="00375792" w:rsidRPr="00BA6590">
        <w:rPr>
          <w:lang w:val="en-GB"/>
        </w:rPr>
        <w:t xml:space="preserve"> That commitment arose out of a recommendation from the Human Rights Committee to Belgium in </w:t>
      </w:r>
      <w:r w:rsidRPr="00BA6590">
        <w:rPr>
          <w:lang w:val="en-GB"/>
        </w:rPr>
        <w:t>2010</w:t>
      </w:r>
      <w:r w:rsidR="00375792" w:rsidRPr="00BA6590">
        <w:rPr>
          <w:lang w:val="en-GB"/>
        </w:rPr>
        <w:t xml:space="preserve"> and the recommendations </w:t>
      </w:r>
      <w:r w:rsidR="00114F74" w:rsidRPr="00BA6590">
        <w:rPr>
          <w:lang w:val="en-GB"/>
        </w:rPr>
        <w:t>made to it in the context of its first universal periodic review</w:t>
      </w:r>
      <w:r w:rsidRPr="00BA6590">
        <w:rPr>
          <w:lang w:val="en-GB"/>
        </w:rPr>
        <w:t xml:space="preserve"> </w:t>
      </w:r>
      <w:r w:rsidR="00114F74" w:rsidRPr="00BA6590">
        <w:rPr>
          <w:lang w:val="en-GB"/>
        </w:rPr>
        <w:t>i</w:t>
      </w:r>
      <w:r w:rsidRPr="00BA6590">
        <w:rPr>
          <w:lang w:val="en-GB"/>
        </w:rPr>
        <w:t xml:space="preserve">n </w:t>
      </w:r>
      <w:r w:rsidR="003F5E21" w:rsidRPr="00BA6590">
        <w:rPr>
          <w:lang w:val="en-GB"/>
        </w:rPr>
        <w:t>May</w:t>
      </w:r>
      <w:r w:rsidRPr="00BA6590">
        <w:rPr>
          <w:lang w:val="en-GB"/>
        </w:rPr>
        <w:t xml:space="preserve"> 2011.</w:t>
      </w:r>
    </w:p>
    <w:p w:rsidR="009C6186" w:rsidRPr="00BA6590" w:rsidRDefault="009C6186" w:rsidP="009C6186">
      <w:pPr>
        <w:pStyle w:val="SingleTxtG"/>
        <w:rPr>
          <w:lang w:val="en-GB"/>
        </w:rPr>
      </w:pPr>
      <w:r w:rsidRPr="00BA6590">
        <w:rPr>
          <w:lang w:val="en-GB"/>
        </w:rPr>
        <w:t>341.</w:t>
      </w:r>
      <w:r w:rsidRPr="00BA6590">
        <w:rPr>
          <w:lang w:val="en-GB"/>
        </w:rPr>
        <w:tab/>
      </w:r>
      <w:r w:rsidR="00114F74" w:rsidRPr="00BA6590">
        <w:rPr>
          <w:lang w:val="en-GB"/>
        </w:rPr>
        <w:t xml:space="preserve">Pursuant to </w:t>
      </w:r>
      <w:r w:rsidR="00E34B00" w:rsidRPr="00BA6590">
        <w:rPr>
          <w:lang w:val="en-GB"/>
        </w:rPr>
        <w:t>the Coalition Agreement</w:t>
      </w:r>
      <w:r w:rsidRPr="00BA6590">
        <w:rPr>
          <w:lang w:val="en-GB"/>
        </w:rPr>
        <w:t>,</w:t>
      </w:r>
      <w:r w:rsidR="00114F74" w:rsidRPr="00BA6590">
        <w:rPr>
          <w:lang w:val="en-GB"/>
        </w:rPr>
        <w:t xml:space="preserve"> it was decided that an interfederal human rights body should be set up in collaboration with the Communities and Regions.</w:t>
      </w:r>
      <w:r w:rsidR="002B7001" w:rsidRPr="00BA6590">
        <w:rPr>
          <w:lang w:val="en-GB"/>
        </w:rPr>
        <w:t xml:space="preserve"> On</w:t>
      </w:r>
      <w:r w:rsidR="00E52789" w:rsidRPr="00BA6590">
        <w:rPr>
          <w:lang w:val="en-GB"/>
        </w:rPr>
        <w:t xml:space="preserve"> the initiative of the Ministers of Equal Opportunities and Justice, a working group will be created in September 2012, comprising</w:t>
      </w:r>
      <w:r w:rsidR="00B32A71" w:rsidRPr="00BA6590">
        <w:rPr>
          <w:lang w:val="en-GB"/>
        </w:rPr>
        <w:t xml:space="preserve"> representatives of the Prime Minister, the Deputy Prime Ministers, the Regions and the Communities. Consultations will be held with academics and voluntary-sector actors having recognized expertise in human rights. Under the aegis of the Ministers of the Interior and Justice</w:t>
      </w:r>
      <w:r w:rsidRPr="00BA6590">
        <w:rPr>
          <w:lang w:val="en-GB"/>
        </w:rPr>
        <w:t>,</w:t>
      </w:r>
      <w:r w:rsidR="002B7001" w:rsidRPr="00BA6590">
        <w:rPr>
          <w:lang w:val="en-GB"/>
        </w:rPr>
        <w:t xml:space="preserve"> t</w:t>
      </w:r>
      <w:r w:rsidR="00B32A71" w:rsidRPr="00BA6590">
        <w:rPr>
          <w:lang w:val="en-GB"/>
        </w:rPr>
        <w:t xml:space="preserve">his working group will prepare a draft cooperation agreement establishing an umbrella institute of human rights at the interfederal level. The proposal will be submitted no later than </w:t>
      </w:r>
      <w:r w:rsidRPr="00BA6590">
        <w:rPr>
          <w:lang w:val="en-GB"/>
        </w:rPr>
        <w:t xml:space="preserve">30 </w:t>
      </w:r>
      <w:r w:rsidR="003F5E21" w:rsidRPr="00BA6590">
        <w:rPr>
          <w:lang w:val="en-GB"/>
        </w:rPr>
        <w:t>June</w:t>
      </w:r>
      <w:r w:rsidRPr="00BA6590">
        <w:rPr>
          <w:lang w:val="en-GB"/>
        </w:rPr>
        <w:t xml:space="preserve"> 2013.</w:t>
      </w:r>
      <w:r w:rsidR="00B32A71" w:rsidRPr="00BA6590">
        <w:rPr>
          <w:lang w:val="en-GB"/>
        </w:rPr>
        <w:t xml:space="preserve"> This body will include the Interfederal Centre for Equal Opportunities and Action to Combat Racism </w:t>
      </w:r>
      <w:r w:rsidRPr="00BA6590">
        <w:rPr>
          <w:lang w:val="en-GB"/>
        </w:rPr>
        <w:t>(</w:t>
      </w:r>
      <w:r w:rsidR="00B32A71" w:rsidRPr="00BA6590">
        <w:rPr>
          <w:lang w:val="en-GB"/>
        </w:rPr>
        <w:t>see below</w:t>
      </w:r>
      <w:r w:rsidRPr="00BA6590">
        <w:rPr>
          <w:lang w:val="en-GB"/>
        </w:rPr>
        <w:t>),</w:t>
      </w:r>
      <w:r w:rsidR="00B32A71" w:rsidRPr="00BA6590">
        <w:rPr>
          <w:lang w:val="en-GB"/>
        </w:rPr>
        <w:t xml:space="preserve"> the Institute for Gender Equality</w:t>
      </w:r>
      <w:r w:rsidRPr="00BA6590">
        <w:rPr>
          <w:lang w:val="en-GB"/>
        </w:rPr>
        <w:t xml:space="preserve"> </w:t>
      </w:r>
      <w:r w:rsidR="00B32A71" w:rsidRPr="00BA6590">
        <w:rPr>
          <w:lang w:val="en-GB"/>
        </w:rPr>
        <w:t>and the Federal Centre for the Analysis of Migratory Flows, the Protection of the Fundamental Rights of Foreign Nationals and Action against Human Trafficking</w:t>
      </w:r>
      <w:r w:rsidRPr="00BA6590">
        <w:rPr>
          <w:lang w:val="en-GB"/>
        </w:rPr>
        <w:t>,</w:t>
      </w:r>
      <w:r w:rsidR="00B32A71" w:rsidRPr="00BA6590">
        <w:rPr>
          <w:lang w:val="en-GB"/>
        </w:rPr>
        <w:t xml:space="preserve"> and will give greater visibility to target groups such as children and persons with disabilities. Account will be taken of other existing bodies at the federal level and that of the entities</w:t>
      </w:r>
      <w:r w:rsidR="00B97985" w:rsidRPr="00BA6590">
        <w:rPr>
          <w:lang w:val="en-GB"/>
        </w:rPr>
        <w:t xml:space="preserve"> making up the federation</w:t>
      </w:r>
      <w:r w:rsidR="00B32A71" w:rsidRPr="00BA6590">
        <w:rPr>
          <w:lang w:val="en-GB"/>
        </w:rPr>
        <w:t>.</w:t>
      </w:r>
    </w:p>
    <w:p w:rsidR="009C6186" w:rsidRPr="00BA6590" w:rsidRDefault="009C6186" w:rsidP="00BA7486">
      <w:pPr>
        <w:pStyle w:val="SingleTxtG"/>
        <w:rPr>
          <w:lang w:val="en-GB"/>
        </w:rPr>
      </w:pPr>
      <w:r w:rsidRPr="00BA6590">
        <w:rPr>
          <w:lang w:val="en-GB"/>
        </w:rPr>
        <w:t>342.</w:t>
      </w:r>
      <w:r w:rsidRPr="00BA6590">
        <w:rPr>
          <w:lang w:val="en-GB"/>
        </w:rPr>
        <w:tab/>
      </w:r>
      <w:r w:rsidR="00DC31B1" w:rsidRPr="00BA6590">
        <w:rPr>
          <w:lang w:val="en-GB"/>
        </w:rPr>
        <w:t>In light of the legal mandate of the</w:t>
      </w:r>
      <w:r w:rsidRPr="00BA6590">
        <w:rPr>
          <w:lang w:val="en-GB"/>
        </w:rPr>
        <w:t xml:space="preserve"> </w:t>
      </w:r>
      <w:r w:rsidR="004B472D" w:rsidRPr="00BA6590">
        <w:rPr>
          <w:lang w:val="en-GB"/>
        </w:rPr>
        <w:t>Centre for Equal Opportunities and Action</w:t>
      </w:r>
      <w:r w:rsidR="006E73EA" w:rsidRPr="00BA6590">
        <w:rPr>
          <w:lang w:val="en-GB"/>
        </w:rPr>
        <w:t xml:space="preserve"> to Combat Racism</w:t>
      </w:r>
      <w:r w:rsidRPr="00BA6590">
        <w:rPr>
          <w:lang w:val="en-GB"/>
        </w:rPr>
        <w:t>,</w:t>
      </w:r>
      <w:r w:rsidR="00DC31B1" w:rsidRPr="00BA6590">
        <w:rPr>
          <w:lang w:val="en-GB"/>
        </w:rPr>
        <w:t xml:space="preserve"> its status and the specific tasks given to it under article </w:t>
      </w:r>
      <w:r w:rsidRPr="00BA6590">
        <w:rPr>
          <w:lang w:val="en-GB"/>
        </w:rPr>
        <w:t xml:space="preserve">14 </w:t>
      </w:r>
      <w:r w:rsidR="00DC31B1" w:rsidRPr="00BA6590">
        <w:rPr>
          <w:lang w:val="en-GB"/>
        </w:rPr>
        <w:t>of the</w:t>
      </w:r>
      <w:r w:rsidRPr="00BA6590">
        <w:rPr>
          <w:lang w:val="en-GB"/>
        </w:rPr>
        <w:t xml:space="preserve"> Convention,</w:t>
      </w:r>
      <w:r w:rsidR="00DC31B1" w:rsidRPr="00BA6590">
        <w:rPr>
          <w:lang w:val="en-GB"/>
        </w:rPr>
        <w:t xml:space="preserve"> Belgium considers that the Centre carries out the tasks of an independent promotion, protection and monitoring</w:t>
      </w:r>
      <w:r w:rsidR="00840827" w:rsidRPr="00BA6590">
        <w:rPr>
          <w:lang w:val="en-GB"/>
        </w:rPr>
        <w:t xml:space="preserve"> mechanism as recommended in the Durban Declaration and Programme of Action and </w:t>
      </w:r>
      <w:r w:rsidRPr="00BA6590">
        <w:rPr>
          <w:lang w:val="en-GB"/>
        </w:rPr>
        <w:t>(</w:t>
      </w:r>
      <w:r w:rsidR="00792B09" w:rsidRPr="00BA6590">
        <w:rPr>
          <w:lang w:val="en-GB"/>
        </w:rPr>
        <w:t>art</w:t>
      </w:r>
      <w:r w:rsidR="008A0C6D" w:rsidRPr="00BA6590">
        <w:rPr>
          <w:lang w:val="en-GB"/>
        </w:rPr>
        <w:t>.</w:t>
      </w:r>
      <w:r w:rsidR="00840827" w:rsidRPr="00BA6590">
        <w:rPr>
          <w:lang w:val="en-GB"/>
        </w:rPr>
        <w:t xml:space="preserve"> 163</w:t>
      </w:r>
      <w:r w:rsidRPr="00BA6590">
        <w:rPr>
          <w:lang w:val="en-GB"/>
        </w:rPr>
        <w:t xml:space="preserve">) </w:t>
      </w:r>
      <w:r w:rsidR="00792B09" w:rsidRPr="00BA6590">
        <w:rPr>
          <w:lang w:val="en-GB"/>
        </w:rPr>
        <w:t>and the final declarat</w:t>
      </w:r>
      <w:r w:rsidR="00840827" w:rsidRPr="00BA6590">
        <w:rPr>
          <w:lang w:val="en-GB"/>
        </w:rPr>
        <w:t>i</w:t>
      </w:r>
      <w:r w:rsidR="00792B09" w:rsidRPr="00BA6590">
        <w:rPr>
          <w:lang w:val="en-GB"/>
        </w:rPr>
        <w:t>o</w:t>
      </w:r>
      <w:r w:rsidR="00840827" w:rsidRPr="00BA6590">
        <w:rPr>
          <w:lang w:val="en-GB"/>
        </w:rPr>
        <w:t xml:space="preserve">n of the Review Conference </w:t>
      </w:r>
      <w:r w:rsidRPr="00BA6590">
        <w:rPr>
          <w:lang w:val="en-GB"/>
        </w:rPr>
        <w:t>(</w:t>
      </w:r>
      <w:r w:rsidR="00792B09" w:rsidRPr="00BA6590">
        <w:rPr>
          <w:lang w:val="en-GB"/>
        </w:rPr>
        <w:t>art</w:t>
      </w:r>
      <w:r w:rsidR="00840827" w:rsidRPr="00BA6590">
        <w:rPr>
          <w:lang w:val="en-GB"/>
        </w:rPr>
        <w:t>s</w:t>
      </w:r>
      <w:r w:rsidR="005E04F8" w:rsidRPr="00BA6590">
        <w:rPr>
          <w:lang w:val="en-GB"/>
        </w:rPr>
        <w:t>.</w:t>
      </w:r>
      <w:r w:rsidR="00840827" w:rsidRPr="00BA6590">
        <w:rPr>
          <w:lang w:val="en-GB"/>
        </w:rPr>
        <w:t xml:space="preserve"> </w:t>
      </w:r>
      <w:r w:rsidRPr="00BA6590">
        <w:rPr>
          <w:lang w:val="en-GB"/>
        </w:rPr>
        <w:t xml:space="preserve">45, 100 </w:t>
      </w:r>
      <w:r w:rsidR="00840827" w:rsidRPr="00BA6590">
        <w:rPr>
          <w:lang w:val="en-GB"/>
        </w:rPr>
        <w:t>and</w:t>
      </w:r>
      <w:r w:rsidRPr="00BA6590">
        <w:rPr>
          <w:lang w:val="en-GB"/>
        </w:rPr>
        <w:t xml:space="preserve"> 103).</w:t>
      </w:r>
    </w:p>
    <w:p w:rsidR="009C6186" w:rsidRPr="00BA6590" w:rsidRDefault="009C6186" w:rsidP="00BA355C">
      <w:pPr>
        <w:pStyle w:val="SingleTxtG"/>
        <w:rPr>
          <w:lang w:val="en-GB"/>
        </w:rPr>
      </w:pPr>
      <w:r w:rsidRPr="00BA6590">
        <w:rPr>
          <w:lang w:val="en-GB"/>
        </w:rPr>
        <w:t>343.</w:t>
      </w:r>
      <w:r w:rsidRPr="00BA6590">
        <w:rPr>
          <w:lang w:val="en-GB"/>
        </w:rPr>
        <w:tab/>
      </w:r>
      <w:r w:rsidR="00792B09" w:rsidRPr="00BA6590">
        <w:rPr>
          <w:lang w:val="en-GB"/>
        </w:rPr>
        <w:t xml:space="preserve">Pursuant to a cooperation agreement concluded in </w:t>
      </w:r>
      <w:r w:rsidR="003F5E21" w:rsidRPr="00BA6590">
        <w:rPr>
          <w:lang w:val="en-GB"/>
        </w:rPr>
        <w:t>June</w:t>
      </w:r>
      <w:r w:rsidRPr="00BA6590">
        <w:rPr>
          <w:lang w:val="en-GB"/>
        </w:rPr>
        <w:t xml:space="preserve"> 2012, </w:t>
      </w:r>
      <w:r w:rsidR="00792B09" w:rsidRPr="00BA6590">
        <w:rPr>
          <w:lang w:val="en-GB"/>
        </w:rPr>
        <w:t>the</w:t>
      </w:r>
      <w:r w:rsidRPr="00BA6590">
        <w:rPr>
          <w:lang w:val="en-GB"/>
        </w:rPr>
        <w:t xml:space="preserve"> Centre</w:t>
      </w:r>
      <w:r w:rsidR="00792B09" w:rsidRPr="00BA6590">
        <w:rPr>
          <w:lang w:val="en-GB"/>
        </w:rPr>
        <w:t xml:space="preserve"> will become interfederal for its anti-discrimination and anti-racism functions. Its tasks will be expanded to include competence for the Regions and Communities, in addition to its authority at the federal level. In concrete terms, this means that every Belgian citizen will have a single contact point if he or she is the victim of </w:t>
      </w:r>
      <w:r w:rsidRPr="00BA6590">
        <w:rPr>
          <w:lang w:val="en-GB"/>
        </w:rPr>
        <w:t>discrimination</w:t>
      </w:r>
      <w:r w:rsidR="00792B09" w:rsidRPr="00BA6590">
        <w:rPr>
          <w:lang w:val="en-GB"/>
        </w:rPr>
        <w:t xml:space="preserve"> based on the </w:t>
      </w:r>
      <w:r w:rsidR="00B97985" w:rsidRPr="00BA6590">
        <w:rPr>
          <w:lang w:val="en-GB"/>
        </w:rPr>
        <w:t>legally</w:t>
      </w:r>
      <w:r w:rsidR="00D94C5A" w:rsidRPr="00BA6590">
        <w:rPr>
          <w:lang w:val="en-GB"/>
        </w:rPr>
        <w:noBreakHyphen/>
      </w:r>
      <w:r w:rsidR="00B97985" w:rsidRPr="00BA6590">
        <w:rPr>
          <w:lang w:val="en-GB"/>
        </w:rPr>
        <w:t xml:space="preserve">defined </w:t>
      </w:r>
      <w:r w:rsidR="00792B09" w:rsidRPr="00BA6590">
        <w:rPr>
          <w:lang w:val="en-GB"/>
        </w:rPr>
        <w:t>criteria</w:t>
      </w:r>
      <w:r w:rsidR="00B97985" w:rsidRPr="00BA6590">
        <w:rPr>
          <w:lang w:val="en-GB"/>
        </w:rPr>
        <w:t xml:space="preserve">. The new </w:t>
      </w:r>
      <w:r w:rsidR="00792B09" w:rsidRPr="00BA6590">
        <w:rPr>
          <w:lang w:val="en-GB"/>
        </w:rPr>
        <w:t>Interfederal Centre for Equal Opportunit</w:t>
      </w:r>
      <w:r w:rsidR="00B97985" w:rsidRPr="00BA6590">
        <w:rPr>
          <w:lang w:val="en-GB"/>
        </w:rPr>
        <w:t>ies and Action to Combat Racism</w:t>
      </w:r>
      <w:r w:rsidR="00792B09" w:rsidRPr="00BA6590">
        <w:rPr>
          <w:lang w:val="en-GB"/>
        </w:rPr>
        <w:t xml:space="preserve"> will </w:t>
      </w:r>
      <w:r w:rsidR="00B97985" w:rsidRPr="00BA6590">
        <w:rPr>
          <w:lang w:val="en-GB"/>
        </w:rPr>
        <w:t>operate</w:t>
      </w:r>
      <w:r w:rsidR="00792B09" w:rsidRPr="00BA6590">
        <w:rPr>
          <w:lang w:val="en-GB"/>
        </w:rPr>
        <w:t xml:space="preserve"> from </w:t>
      </w:r>
      <w:r w:rsidRPr="00BA6590">
        <w:rPr>
          <w:lang w:val="en-GB"/>
        </w:rPr>
        <w:t xml:space="preserve">30 </w:t>
      </w:r>
      <w:r w:rsidR="003F5E21" w:rsidRPr="00BA6590">
        <w:rPr>
          <w:lang w:val="en-GB"/>
        </w:rPr>
        <w:t>June</w:t>
      </w:r>
      <w:r w:rsidRPr="00BA6590">
        <w:rPr>
          <w:lang w:val="en-GB"/>
        </w:rPr>
        <w:t xml:space="preserve"> 2013</w:t>
      </w:r>
      <w:r w:rsidR="00792B09" w:rsidRPr="00BA6590">
        <w:rPr>
          <w:lang w:val="en-GB"/>
        </w:rPr>
        <w:t xml:space="preserve"> and will no longer deal with migration, human trafficking and the fundamental rights of foreign nationals.</w:t>
      </w:r>
      <w:r w:rsidR="002D48F1" w:rsidRPr="00BA6590">
        <w:rPr>
          <w:lang w:val="en-GB"/>
        </w:rPr>
        <w:t xml:space="preserve"> Since t</w:t>
      </w:r>
      <w:r w:rsidR="00792B09" w:rsidRPr="00BA6590">
        <w:rPr>
          <w:lang w:val="en-GB"/>
        </w:rPr>
        <w:t>hese are essentially areas coming under federal competence</w:t>
      </w:r>
      <w:r w:rsidR="002D48F1" w:rsidRPr="00BA6590">
        <w:rPr>
          <w:lang w:val="en-GB"/>
        </w:rPr>
        <w:t>, a federal centre for analysis of migratory flows, protection of fundamental rights and combating human trafficking will be created in parallel with the Interfederal Centre</w:t>
      </w:r>
      <w:r w:rsidRPr="00BA6590">
        <w:rPr>
          <w:lang w:val="en-GB"/>
        </w:rPr>
        <w:t xml:space="preserve"> (</w:t>
      </w:r>
      <w:r w:rsidR="002D48F1" w:rsidRPr="00BA6590">
        <w:rPr>
          <w:lang w:val="en-GB"/>
        </w:rPr>
        <w:t xml:space="preserve">see press release by the Minister of the Interior and Equal Opportunities, </w:t>
      </w:r>
      <w:r w:rsidRPr="00BA6590">
        <w:rPr>
          <w:lang w:val="en-GB"/>
        </w:rPr>
        <w:t>annex XVI).</w:t>
      </w:r>
      <w:r w:rsidR="008B0BAA" w:rsidRPr="00BA6590">
        <w:rPr>
          <w:lang w:val="en-GB"/>
        </w:rPr>
        <w:t xml:space="preserve"> </w:t>
      </w:r>
    </w:p>
    <w:p w:rsidR="009C6186" w:rsidRPr="00BA6590" w:rsidRDefault="009C6186" w:rsidP="00DE4B4B">
      <w:pPr>
        <w:pStyle w:val="H23G"/>
        <w:rPr>
          <w:lang w:val="en-GB"/>
        </w:rPr>
      </w:pPr>
      <w:r w:rsidRPr="00BA6590">
        <w:rPr>
          <w:lang w:val="en-GB"/>
        </w:rPr>
        <w:tab/>
      </w:r>
      <w:r w:rsidRPr="00BA6590">
        <w:rPr>
          <w:lang w:val="en-GB"/>
        </w:rPr>
        <w:tab/>
      </w:r>
      <w:r w:rsidR="00792B09" w:rsidRPr="00BA6590">
        <w:rPr>
          <w:lang w:val="en-GB"/>
        </w:rPr>
        <w:t>Paragraph</w:t>
      </w:r>
      <w:r w:rsidR="0032348E" w:rsidRPr="00BA6590">
        <w:rPr>
          <w:lang w:val="en-GB"/>
        </w:rPr>
        <w:t xml:space="preserve"> </w:t>
      </w:r>
      <w:r w:rsidRPr="00BA6590">
        <w:rPr>
          <w:lang w:val="en-GB"/>
        </w:rPr>
        <w:t>11</w:t>
      </w:r>
      <w:r w:rsidR="00792B09" w:rsidRPr="00BA6590">
        <w:rPr>
          <w:lang w:val="en-GB"/>
        </w:rPr>
        <w:t xml:space="preserve"> of the </w:t>
      </w:r>
      <w:r w:rsidR="00816F73" w:rsidRPr="00BA6590">
        <w:rPr>
          <w:lang w:val="en-GB"/>
        </w:rPr>
        <w:t>concluding observations</w:t>
      </w:r>
      <w:r w:rsidRPr="00BA6590">
        <w:rPr>
          <w:lang w:val="en-GB"/>
        </w:rPr>
        <w:t xml:space="preserve">: </w:t>
      </w:r>
      <w:r w:rsidR="00792B09" w:rsidRPr="00BA6590">
        <w:rPr>
          <w:lang w:val="en-GB"/>
        </w:rPr>
        <w:t xml:space="preserve">response on </w:t>
      </w:r>
      <w:r w:rsidRPr="00BA6590">
        <w:rPr>
          <w:lang w:val="en-GB"/>
        </w:rPr>
        <w:t xml:space="preserve">pages </w:t>
      </w:r>
      <w:r w:rsidR="00DE4B4B" w:rsidRPr="00BA6590">
        <w:rPr>
          <w:lang w:val="en-GB"/>
        </w:rPr>
        <w:t>9</w:t>
      </w:r>
      <w:r w:rsidR="00D94C5A" w:rsidRPr="00BA6590">
        <w:rPr>
          <w:szCs w:val="24"/>
          <w:lang w:val="en-GB"/>
        </w:rPr>
        <w:t>–</w:t>
      </w:r>
      <w:r w:rsidR="00457A90" w:rsidRPr="00BA6590">
        <w:rPr>
          <w:lang w:val="en-GB"/>
        </w:rPr>
        <w:t>1</w:t>
      </w:r>
      <w:r w:rsidR="002A699C" w:rsidRPr="00BA6590">
        <w:rPr>
          <w:lang w:val="en-GB"/>
        </w:rPr>
        <w:t>4, 23</w:t>
      </w:r>
      <w:r w:rsidR="00DE4B4B" w:rsidRPr="00BA6590">
        <w:rPr>
          <w:lang w:val="en-GB"/>
        </w:rPr>
        <w:t xml:space="preserve"> </w:t>
      </w:r>
      <w:r w:rsidR="00792B09" w:rsidRPr="00BA6590">
        <w:rPr>
          <w:lang w:val="en-GB"/>
        </w:rPr>
        <w:t>and</w:t>
      </w:r>
      <w:r w:rsidR="00DE4B4B" w:rsidRPr="00BA6590">
        <w:rPr>
          <w:lang w:val="en-GB"/>
        </w:rPr>
        <w:t xml:space="preserve"> 2</w:t>
      </w:r>
      <w:r w:rsidR="002A699C" w:rsidRPr="00BA6590">
        <w:rPr>
          <w:lang w:val="en-GB"/>
        </w:rPr>
        <w:t>4</w:t>
      </w:r>
    </w:p>
    <w:p w:rsidR="009C6186" w:rsidRPr="00BA6590" w:rsidRDefault="009C6186" w:rsidP="008C275E">
      <w:pPr>
        <w:pStyle w:val="H23G"/>
        <w:rPr>
          <w:lang w:val="en-GB"/>
        </w:rPr>
      </w:pPr>
      <w:r w:rsidRPr="00BA6590">
        <w:rPr>
          <w:lang w:val="en-GB"/>
        </w:rPr>
        <w:tab/>
      </w:r>
      <w:r w:rsidRPr="00BA6590">
        <w:rPr>
          <w:lang w:val="en-GB"/>
        </w:rPr>
        <w:tab/>
      </w:r>
      <w:r w:rsidR="0032348E" w:rsidRPr="00BA6590">
        <w:rPr>
          <w:lang w:val="en-GB"/>
        </w:rPr>
        <w:t>Paragraph</w:t>
      </w:r>
      <w:r w:rsidR="0032348E" w:rsidRPr="00BA6590" w:rsidDel="0032348E">
        <w:rPr>
          <w:lang w:val="en-GB"/>
        </w:rPr>
        <w:t xml:space="preserve"> </w:t>
      </w:r>
      <w:r w:rsidRPr="00BA6590">
        <w:rPr>
          <w:lang w:val="en-GB"/>
        </w:rPr>
        <w:t>12</w:t>
      </w:r>
      <w:r w:rsidR="00792B09" w:rsidRPr="00BA6590">
        <w:rPr>
          <w:lang w:val="en-GB"/>
        </w:rPr>
        <w:t xml:space="preserve"> of the </w:t>
      </w:r>
      <w:r w:rsidR="00816F73" w:rsidRPr="00BA6590">
        <w:rPr>
          <w:lang w:val="en-GB"/>
        </w:rPr>
        <w:t>concluding observations</w:t>
      </w:r>
      <w:r w:rsidRPr="00BA6590">
        <w:rPr>
          <w:lang w:val="en-GB"/>
        </w:rPr>
        <w:t xml:space="preserve">: </w:t>
      </w:r>
      <w:r w:rsidR="00792B09" w:rsidRPr="00BA6590">
        <w:rPr>
          <w:lang w:val="en-GB"/>
        </w:rPr>
        <w:t>response on page</w:t>
      </w:r>
      <w:r w:rsidRPr="00BA6590">
        <w:rPr>
          <w:lang w:val="en-GB"/>
        </w:rPr>
        <w:t xml:space="preserve"> 2</w:t>
      </w:r>
      <w:r w:rsidR="002A699C" w:rsidRPr="00BA6590">
        <w:rPr>
          <w:lang w:val="en-GB"/>
        </w:rPr>
        <w:t>5</w:t>
      </w:r>
    </w:p>
    <w:p w:rsidR="009C6186" w:rsidRPr="00BA6590" w:rsidRDefault="009C6186" w:rsidP="005D71BB">
      <w:pPr>
        <w:pStyle w:val="H23G"/>
        <w:rPr>
          <w:lang w:val="en-GB"/>
        </w:rPr>
      </w:pPr>
      <w:r w:rsidRPr="00BA6590">
        <w:rPr>
          <w:lang w:val="en-GB"/>
        </w:rPr>
        <w:tab/>
      </w:r>
      <w:r w:rsidRPr="00BA6590">
        <w:rPr>
          <w:lang w:val="en-GB"/>
        </w:rPr>
        <w:tab/>
      </w:r>
      <w:r w:rsidR="0032348E" w:rsidRPr="00BA6590">
        <w:rPr>
          <w:lang w:val="en-GB"/>
        </w:rPr>
        <w:t>Paragraph</w:t>
      </w:r>
      <w:r w:rsidR="0032348E" w:rsidRPr="00BA6590" w:rsidDel="0032348E">
        <w:rPr>
          <w:lang w:val="en-GB"/>
        </w:rPr>
        <w:t xml:space="preserve"> </w:t>
      </w:r>
      <w:r w:rsidRPr="00BA6590">
        <w:rPr>
          <w:lang w:val="en-GB"/>
        </w:rPr>
        <w:t>13</w:t>
      </w:r>
      <w:r w:rsidR="00792B09" w:rsidRPr="00BA6590">
        <w:rPr>
          <w:lang w:val="en-GB"/>
        </w:rPr>
        <w:t xml:space="preserve"> of the </w:t>
      </w:r>
      <w:r w:rsidR="00816F73" w:rsidRPr="00BA6590">
        <w:rPr>
          <w:lang w:val="en-GB"/>
        </w:rPr>
        <w:t>concluding observations</w:t>
      </w:r>
      <w:r w:rsidRPr="00BA6590">
        <w:rPr>
          <w:lang w:val="en-GB"/>
        </w:rPr>
        <w:t xml:space="preserve">: </w:t>
      </w:r>
      <w:r w:rsidR="00792B09" w:rsidRPr="00BA6590">
        <w:rPr>
          <w:lang w:val="en-GB"/>
        </w:rPr>
        <w:t>response on page</w:t>
      </w:r>
      <w:r w:rsidRPr="00BA6590">
        <w:rPr>
          <w:lang w:val="en-GB"/>
        </w:rPr>
        <w:t>s 1</w:t>
      </w:r>
      <w:r w:rsidR="002A699C" w:rsidRPr="00BA6590">
        <w:rPr>
          <w:lang w:val="en-GB"/>
        </w:rPr>
        <w:t>2</w:t>
      </w:r>
      <w:r w:rsidRPr="00BA6590">
        <w:rPr>
          <w:lang w:val="en-GB"/>
        </w:rPr>
        <w:t xml:space="preserve">, </w:t>
      </w:r>
      <w:r w:rsidR="002A699C" w:rsidRPr="00BA6590">
        <w:rPr>
          <w:lang w:val="en-GB"/>
        </w:rPr>
        <w:t>49</w:t>
      </w:r>
      <w:r w:rsidR="00D94C5A" w:rsidRPr="00BA6590">
        <w:rPr>
          <w:szCs w:val="24"/>
          <w:lang w:val="en-GB"/>
        </w:rPr>
        <w:t>–</w:t>
      </w:r>
      <w:r w:rsidR="002A699C" w:rsidRPr="00BA6590">
        <w:rPr>
          <w:lang w:val="en-GB"/>
        </w:rPr>
        <w:t>57</w:t>
      </w:r>
      <w:r w:rsidR="00792B09" w:rsidRPr="00BA6590">
        <w:rPr>
          <w:lang w:val="en-GB"/>
        </w:rPr>
        <w:t xml:space="preserve"> and</w:t>
      </w:r>
      <w:r w:rsidRPr="00BA6590">
        <w:rPr>
          <w:lang w:val="en-GB"/>
        </w:rPr>
        <w:t xml:space="preserve"> </w:t>
      </w:r>
      <w:r w:rsidR="008D0092" w:rsidRPr="00BA6590">
        <w:rPr>
          <w:lang w:val="en-GB"/>
        </w:rPr>
        <w:br/>
      </w:r>
      <w:r w:rsidR="00792B09" w:rsidRPr="00BA6590">
        <w:rPr>
          <w:lang w:val="en-GB"/>
        </w:rPr>
        <w:t xml:space="preserve">in </w:t>
      </w:r>
      <w:r w:rsidRPr="00BA6590">
        <w:rPr>
          <w:lang w:val="en-GB"/>
        </w:rPr>
        <w:t>annex II</w:t>
      </w:r>
    </w:p>
    <w:p w:rsidR="009C6186" w:rsidRPr="00BA6590" w:rsidRDefault="009C6186" w:rsidP="0032348E">
      <w:pPr>
        <w:pStyle w:val="H23G"/>
        <w:rPr>
          <w:lang w:val="en-GB"/>
        </w:rPr>
      </w:pPr>
      <w:r w:rsidRPr="00BA6590">
        <w:rPr>
          <w:lang w:val="en-GB"/>
        </w:rPr>
        <w:tab/>
      </w:r>
      <w:r w:rsidRPr="00BA6590">
        <w:rPr>
          <w:lang w:val="en-GB"/>
        </w:rPr>
        <w:tab/>
      </w:r>
      <w:r w:rsidR="0032348E" w:rsidRPr="00BA6590">
        <w:rPr>
          <w:lang w:val="en-GB"/>
        </w:rPr>
        <w:t>Paragraph</w:t>
      </w:r>
      <w:r w:rsidR="0032348E" w:rsidRPr="00BA6590" w:rsidDel="0032348E">
        <w:rPr>
          <w:lang w:val="en-GB"/>
        </w:rPr>
        <w:t xml:space="preserve"> </w:t>
      </w:r>
      <w:r w:rsidRPr="00BA6590">
        <w:rPr>
          <w:lang w:val="en-GB"/>
        </w:rPr>
        <w:t>14</w:t>
      </w:r>
      <w:r w:rsidR="00792B09" w:rsidRPr="00BA6590">
        <w:rPr>
          <w:lang w:val="en-GB"/>
        </w:rPr>
        <w:t xml:space="preserve"> of the </w:t>
      </w:r>
      <w:r w:rsidR="00816F73" w:rsidRPr="00BA6590">
        <w:rPr>
          <w:lang w:val="en-GB"/>
        </w:rPr>
        <w:t>concluding observations</w:t>
      </w:r>
      <w:r w:rsidRPr="00BA6590">
        <w:rPr>
          <w:lang w:val="en-GB"/>
        </w:rPr>
        <w:t xml:space="preserve">: </w:t>
      </w:r>
      <w:r w:rsidR="00792B09" w:rsidRPr="00BA6590">
        <w:rPr>
          <w:lang w:val="en-GB"/>
        </w:rPr>
        <w:t>Belgium has already replied to this recommendation (</w:t>
      </w:r>
      <w:r w:rsidR="004F64AC" w:rsidRPr="00BA6590">
        <w:rPr>
          <w:lang w:val="en-GB"/>
        </w:rPr>
        <w:t xml:space="preserve">see </w:t>
      </w:r>
      <w:r w:rsidR="00792B09" w:rsidRPr="00BA6590">
        <w:rPr>
          <w:lang w:val="en-GB"/>
        </w:rPr>
        <w:t xml:space="preserve">paragraphs </w:t>
      </w:r>
      <w:r w:rsidRPr="00BA6590">
        <w:rPr>
          <w:lang w:val="en-GB"/>
        </w:rPr>
        <w:t>3</w:t>
      </w:r>
      <w:r w:rsidR="00D94C5A" w:rsidRPr="00BA6590">
        <w:rPr>
          <w:szCs w:val="24"/>
          <w:lang w:val="en-GB"/>
        </w:rPr>
        <w:t>–</w:t>
      </w:r>
      <w:r w:rsidRPr="00BA6590">
        <w:rPr>
          <w:lang w:val="en-GB"/>
        </w:rPr>
        <w:t>6</w:t>
      </w:r>
      <w:r w:rsidR="00792B09" w:rsidRPr="00BA6590">
        <w:rPr>
          <w:lang w:val="en-GB"/>
        </w:rPr>
        <w:t xml:space="preserve"> of document</w:t>
      </w:r>
      <w:r w:rsidRPr="00BA6590">
        <w:rPr>
          <w:lang w:val="en-GB"/>
        </w:rPr>
        <w:t xml:space="preserve"> CERD/C/BEL/</w:t>
      </w:r>
      <w:r w:rsidR="00396653" w:rsidRPr="00BA6590">
        <w:rPr>
          <w:lang w:val="en-GB"/>
        </w:rPr>
        <w:t>CO/</w:t>
      </w:r>
      <w:r w:rsidRPr="00BA6590">
        <w:rPr>
          <w:lang w:val="en-GB"/>
        </w:rPr>
        <w:t>15/Add.1)</w:t>
      </w:r>
    </w:p>
    <w:p w:rsidR="009C6186" w:rsidRPr="00BA6590" w:rsidRDefault="009C6186" w:rsidP="005D71BB">
      <w:pPr>
        <w:pStyle w:val="H23G"/>
        <w:rPr>
          <w:lang w:val="en-GB"/>
        </w:rPr>
      </w:pPr>
      <w:r w:rsidRPr="00BA6590">
        <w:rPr>
          <w:lang w:val="en-GB"/>
        </w:rPr>
        <w:tab/>
      </w:r>
      <w:r w:rsidRPr="00BA6590">
        <w:rPr>
          <w:lang w:val="en-GB"/>
        </w:rPr>
        <w:tab/>
      </w:r>
      <w:r w:rsidR="0032348E" w:rsidRPr="00BA6590">
        <w:rPr>
          <w:lang w:val="en-GB"/>
        </w:rPr>
        <w:t>Paragraph</w:t>
      </w:r>
      <w:r w:rsidR="0032348E" w:rsidRPr="00BA6590" w:rsidDel="0032348E">
        <w:rPr>
          <w:lang w:val="en-GB"/>
        </w:rPr>
        <w:t xml:space="preserve"> </w:t>
      </w:r>
      <w:r w:rsidRPr="00BA6590">
        <w:rPr>
          <w:lang w:val="en-GB"/>
        </w:rPr>
        <w:t>15</w:t>
      </w:r>
      <w:r w:rsidR="00792B09" w:rsidRPr="00BA6590">
        <w:rPr>
          <w:lang w:val="en-GB"/>
        </w:rPr>
        <w:t xml:space="preserve"> of the </w:t>
      </w:r>
      <w:r w:rsidR="00816F73" w:rsidRPr="00BA6590">
        <w:rPr>
          <w:lang w:val="en-GB"/>
        </w:rPr>
        <w:t>concluding observations</w:t>
      </w:r>
      <w:r w:rsidRPr="00BA6590">
        <w:rPr>
          <w:lang w:val="en-GB"/>
        </w:rPr>
        <w:t xml:space="preserve">: </w:t>
      </w:r>
      <w:r w:rsidR="00792B09" w:rsidRPr="00BA6590">
        <w:rPr>
          <w:lang w:val="en-GB"/>
        </w:rPr>
        <w:t>response on page</w:t>
      </w:r>
      <w:r w:rsidRPr="00BA6590">
        <w:rPr>
          <w:lang w:val="en-GB"/>
        </w:rPr>
        <w:t>s 2</w:t>
      </w:r>
      <w:r w:rsidR="002A699C" w:rsidRPr="00BA6590">
        <w:rPr>
          <w:lang w:val="en-GB"/>
        </w:rPr>
        <w:t>4</w:t>
      </w:r>
      <w:r w:rsidRPr="00BA6590">
        <w:rPr>
          <w:lang w:val="en-GB"/>
        </w:rPr>
        <w:t xml:space="preserve">, </w:t>
      </w:r>
      <w:r w:rsidR="00C62060" w:rsidRPr="00BA6590">
        <w:rPr>
          <w:lang w:val="en-GB"/>
        </w:rPr>
        <w:t>2</w:t>
      </w:r>
      <w:r w:rsidR="002A699C" w:rsidRPr="00BA6590">
        <w:rPr>
          <w:lang w:val="en-GB"/>
        </w:rPr>
        <w:t>5</w:t>
      </w:r>
      <w:r w:rsidR="00C62060" w:rsidRPr="00BA6590">
        <w:rPr>
          <w:lang w:val="en-GB"/>
        </w:rPr>
        <w:t xml:space="preserve">, </w:t>
      </w:r>
      <w:r w:rsidR="002A699C" w:rsidRPr="00BA6590">
        <w:rPr>
          <w:lang w:val="en-GB"/>
        </w:rPr>
        <w:t>47</w:t>
      </w:r>
      <w:r w:rsidR="00D94C5A" w:rsidRPr="00BA6590">
        <w:rPr>
          <w:szCs w:val="24"/>
          <w:lang w:val="en-GB"/>
        </w:rPr>
        <w:t>–</w:t>
      </w:r>
      <w:r w:rsidR="002A699C" w:rsidRPr="00BA6590">
        <w:rPr>
          <w:lang w:val="en-GB"/>
        </w:rPr>
        <w:t>49</w:t>
      </w:r>
      <w:r w:rsidR="00792B09" w:rsidRPr="00BA6590">
        <w:rPr>
          <w:lang w:val="en-GB"/>
        </w:rPr>
        <w:t xml:space="preserve"> </w:t>
      </w:r>
      <w:r w:rsidR="00D94C5A" w:rsidRPr="00BA6590">
        <w:rPr>
          <w:lang w:val="en-GB"/>
        </w:rPr>
        <w:br/>
      </w:r>
      <w:r w:rsidR="00792B09" w:rsidRPr="00BA6590">
        <w:rPr>
          <w:lang w:val="en-GB"/>
        </w:rPr>
        <w:t>and</w:t>
      </w:r>
      <w:r w:rsidR="00C62060" w:rsidRPr="00BA6590">
        <w:rPr>
          <w:lang w:val="en-GB"/>
        </w:rPr>
        <w:t xml:space="preserve"> 5</w:t>
      </w:r>
      <w:r w:rsidR="002A699C" w:rsidRPr="00BA6590">
        <w:rPr>
          <w:lang w:val="en-GB"/>
        </w:rPr>
        <w:t>3</w:t>
      </w:r>
      <w:r w:rsidR="00D94C5A" w:rsidRPr="00BA6590">
        <w:rPr>
          <w:szCs w:val="24"/>
          <w:lang w:val="en-GB"/>
        </w:rPr>
        <w:t>–</w:t>
      </w:r>
      <w:r w:rsidR="00C62060" w:rsidRPr="00BA6590">
        <w:rPr>
          <w:lang w:val="en-GB"/>
        </w:rPr>
        <w:t>5</w:t>
      </w:r>
      <w:r w:rsidR="002A699C" w:rsidRPr="00BA6590">
        <w:rPr>
          <w:lang w:val="en-GB"/>
        </w:rPr>
        <w:t>6</w:t>
      </w:r>
    </w:p>
    <w:p w:rsidR="009C6186" w:rsidRPr="00BA6590" w:rsidRDefault="009C6186" w:rsidP="0032348E">
      <w:pPr>
        <w:pStyle w:val="H23G"/>
        <w:rPr>
          <w:lang w:val="en-GB"/>
        </w:rPr>
      </w:pPr>
      <w:r w:rsidRPr="00BA6590">
        <w:rPr>
          <w:lang w:val="en-GB"/>
        </w:rPr>
        <w:tab/>
      </w:r>
      <w:r w:rsidRPr="00BA6590">
        <w:rPr>
          <w:lang w:val="en-GB"/>
        </w:rPr>
        <w:tab/>
      </w:r>
      <w:r w:rsidR="0032348E" w:rsidRPr="00BA6590">
        <w:rPr>
          <w:lang w:val="en-GB"/>
        </w:rPr>
        <w:t xml:space="preserve">Paragraph </w:t>
      </w:r>
      <w:r w:rsidRPr="00BA6590">
        <w:rPr>
          <w:lang w:val="en-GB"/>
        </w:rPr>
        <w:t>16</w:t>
      </w:r>
      <w:r w:rsidR="00792B09" w:rsidRPr="00BA6590">
        <w:rPr>
          <w:lang w:val="en-GB"/>
        </w:rPr>
        <w:t xml:space="preserve"> of the </w:t>
      </w:r>
      <w:r w:rsidR="00816F73" w:rsidRPr="00BA6590">
        <w:rPr>
          <w:lang w:val="en-GB"/>
        </w:rPr>
        <w:t>concluding observations</w:t>
      </w:r>
      <w:r w:rsidRPr="00BA6590">
        <w:rPr>
          <w:lang w:val="en-GB"/>
        </w:rPr>
        <w:t>:</w:t>
      </w:r>
      <w:r w:rsidR="00792B09" w:rsidRPr="00BA6590">
        <w:rPr>
          <w:lang w:val="en-GB"/>
        </w:rPr>
        <w:t xml:space="preserve"> Belgium has already replied to this recommendation (</w:t>
      </w:r>
      <w:r w:rsidR="004F64AC" w:rsidRPr="00BA6590">
        <w:rPr>
          <w:lang w:val="en-GB"/>
        </w:rPr>
        <w:t xml:space="preserve">see </w:t>
      </w:r>
      <w:r w:rsidR="00792B09" w:rsidRPr="00BA6590">
        <w:rPr>
          <w:lang w:val="en-GB"/>
        </w:rPr>
        <w:t xml:space="preserve">paragraphs </w:t>
      </w:r>
      <w:r w:rsidRPr="00BA6590">
        <w:rPr>
          <w:lang w:val="en-GB"/>
        </w:rPr>
        <w:t>7</w:t>
      </w:r>
      <w:r w:rsidR="00D94C5A" w:rsidRPr="00BA6590">
        <w:rPr>
          <w:szCs w:val="24"/>
          <w:lang w:val="en-GB"/>
        </w:rPr>
        <w:t>–</w:t>
      </w:r>
      <w:r w:rsidRPr="00BA6590">
        <w:rPr>
          <w:lang w:val="en-GB"/>
        </w:rPr>
        <w:t xml:space="preserve">11 </w:t>
      </w:r>
      <w:r w:rsidR="00792B09" w:rsidRPr="00BA6590">
        <w:rPr>
          <w:lang w:val="en-GB"/>
        </w:rPr>
        <w:t>of document</w:t>
      </w:r>
      <w:r w:rsidRPr="00BA6590">
        <w:rPr>
          <w:lang w:val="en-GB"/>
        </w:rPr>
        <w:t xml:space="preserve"> CERD/C/BEL/</w:t>
      </w:r>
      <w:r w:rsidR="0032348E" w:rsidRPr="00BA6590">
        <w:rPr>
          <w:lang w:val="en-GB"/>
        </w:rPr>
        <w:t>CO/</w:t>
      </w:r>
      <w:r w:rsidRPr="00BA6590">
        <w:rPr>
          <w:lang w:val="en-GB"/>
        </w:rPr>
        <w:t>15/Add.1)</w:t>
      </w:r>
    </w:p>
    <w:p w:rsidR="009C6186" w:rsidRPr="00BA6590" w:rsidRDefault="009C6186" w:rsidP="0032348E">
      <w:pPr>
        <w:pStyle w:val="H23G"/>
        <w:rPr>
          <w:lang w:val="en-GB"/>
        </w:rPr>
      </w:pPr>
      <w:r w:rsidRPr="00BA6590">
        <w:rPr>
          <w:lang w:val="en-GB"/>
        </w:rPr>
        <w:tab/>
      </w:r>
      <w:r w:rsidRPr="00BA6590">
        <w:rPr>
          <w:lang w:val="en-GB"/>
        </w:rPr>
        <w:tab/>
      </w:r>
      <w:r w:rsidR="0032348E" w:rsidRPr="00BA6590">
        <w:rPr>
          <w:lang w:val="en-GB"/>
        </w:rPr>
        <w:t>Paragraph</w:t>
      </w:r>
      <w:r w:rsidR="0032348E" w:rsidRPr="00BA6590" w:rsidDel="0032348E">
        <w:rPr>
          <w:lang w:val="en-GB"/>
        </w:rPr>
        <w:t xml:space="preserve"> </w:t>
      </w:r>
      <w:r w:rsidRPr="00BA6590">
        <w:rPr>
          <w:lang w:val="en-GB"/>
        </w:rPr>
        <w:t>17</w:t>
      </w:r>
      <w:r w:rsidR="00792B09" w:rsidRPr="00BA6590">
        <w:rPr>
          <w:lang w:val="en-GB"/>
        </w:rPr>
        <w:t xml:space="preserve"> of the </w:t>
      </w:r>
      <w:r w:rsidR="00816F73" w:rsidRPr="00BA6590">
        <w:rPr>
          <w:lang w:val="en-GB"/>
        </w:rPr>
        <w:t>concluding observations</w:t>
      </w:r>
    </w:p>
    <w:p w:rsidR="009C6186" w:rsidRPr="00BA6590" w:rsidRDefault="009C6186" w:rsidP="004C0723">
      <w:pPr>
        <w:pStyle w:val="H4G"/>
        <w:rPr>
          <w:lang w:val="en-GB"/>
        </w:rPr>
      </w:pPr>
      <w:r w:rsidRPr="00BA6590">
        <w:rPr>
          <w:lang w:val="en-GB"/>
        </w:rPr>
        <w:tab/>
      </w:r>
      <w:r w:rsidRPr="00BA6590">
        <w:rPr>
          <w:lang w:val="en-GB"/>
        </w:rPr>
        <w:tab/>
      </w:r>
      <w:r w:rsidR="00D41C4D" w:rsidRPr="00BA6590">
        <w:rPr>
          <w:lang w:val="en-GB"/>
        </w:rPr>
        <w:t xml:space="preserve">Assistance for unsuccessful </w:t>
      </w:r>
      <w:r w:rsidR="004F4861" w:rsidRPr="00BA6590">
        <w:rPr>
          <w:lang w:val="en-GB"/>
        </w:rPr>
        <w:t>asylum seeker</w:t>
      </w:r>
      <w:r w:rsidR="00D41C4D" w:rsidRPr="00BA6590">
        <w:rPr>
          <w:lang w:val="en-GB"/>
        </w:rPr>
        <w:t>s</w:t>
      </w:r>
    </w:p>
    <w:p w:rsidR="009C6186" w:rsidRPr="00BA6590" w:rsidRDefault="009C6186" w:rsidP="009C6186">
      <w:pPr>
        <w:pStyle w:val="SingleTxtG"/>
        <w:rPr>
          <w:lang w:val="en-GB"/>
        </w:rPr>
      </w:pPr>
      <w:r w:rsidRPr="00BA6590">
        <w:rPr>
          <w:lang w:val="en-GB"/>
        </w:rPr>
        <w:t>344.</w:t>
      </w:r>
      <w:r w:rsidRPr="00BA6590">
        <w:rPr>
          <w:lang w:val="en-GB"/>
        </w:rPr>
        <w:tab/>
      </w:r>
      <w:r w:rsidR="00D41C4D" w:rsidRPr="00BA6590">
        <w:rPr>
          <w:lang w:val="en-GB"/>
        </w:rPr>
        <w:t>Under</w:t>
      </w:r>
      <w:r w:rsidR="00B97985" w:rsidRPr="00BA6590">
        <w:rPr>
          <w:lang w:val="en-GB"/>
        </w:rPr>
        <w:t xml:space="preserve"> article 6 (1) of</w:t>
      </w:r>
      <w:r w:rsidR="00D41C4D" w:rsidRPr="00BA6590">
        <w:rPr>
          <w:lang w:val="en-GB"/>
        </w:rPr>
        <w:t xml:space="preserve"> the Act</w:t>
      </w:r>
      <w:r w:rsidR="00401B92" w:rsidRPr="00BA6590">
        <w:rPr>
          <w:lang w:val="en-GB"/>
        </w:rPr>
        <w:t xml:space="preserve"> of 12 January 2007 on the reception of asylum seekers and certain other categories of foreign nationals </w:t>
      </w:r>
      <w:r w:rsidRPr="00BA6590">
        <w:rPr>
          <w:lang w:val="en-GB"/>
        </w:rPr>
        <w:t>(</w:t>
      </w:r>
      <w:r w:rsidR="00D41C4D" w:rsidRPr="00BA6590">
        <w:rPr>
          <w:lang w:val="en-GB"/>
        </w:rPr>
        <w:t>see above</w:t>
      </w:r>
      <w:r w:rsidRPr="00BA6590">
        <w:rPr>
          <w:lang w:val="en-GB"/>
        </w:rPr>
        <w:t>),</w:t>
      </w:r>
      <w:r w:rsidR="00D41C4D" w:rsidRPr="00BA6590">
        <w:rPr>
          <w:lang w:val="en-GB"/>
        </w:rPr>
        <w:t xml:space="preserve"> the </w:t>
      </w:r>
      <w:r w:rsidR="004F4861" w:rsidRPr="00BA6590">
        <w:rPr>
          <w:lang w:val="en-GB"/>
        </w:rPr>
        <w:t>asylum seeker</w:t>
      </w:r>
      <w:r w:rsidR="00D41C4D" w:rsidRPr="00BA6590">
        <w:rPr>
          <w:lang w:val="en-GB"/>
        </w:rPr>
        <w:t xml:space="preserve"> may choose to accept a personalized </w:t>
      </w:r>
      <w:r w:rsidR="00CF1732" w:rsidRPr="00BA6590">
        <w:rPr>
          <w:lang w:val="en-GB"/>
        </w:rPr>
        <w:t xml:space="preserve">return itinerary agreed with Fedasil. This itinerary emphasizes voluntary return. Within five days of a negative decision by the office of the Commissioner-General for Refugees and Stateless Persons </w:t>
      </w:r>
      <w:r w:rsidRPr="00BA6590">
        <w:rPr>
          <w:lang w:val="en-GB"/>
        </w:rPr>
        <w:t>(CGRA),</w:t>
      </w:r>
      <w:r w:rsidR="00CF1732" w:rsidRPr="00BA6590">
        <w:rPr>
          <w:lang w:val="en-GB"/>
        </w:rPr>
        <w:t xml:space="preserve"> Fedasil makes an initial offer of assistance for the person</w:t>
      </w:r>
      <w:r w:rsidR="00A216FB" w:rsidRPr="00BA6590">
        <w:rPr>
          <w:lang w:val="en-GB"/>
        </w:rPr>
        <w:t>’</w:t>
      </w:r>
      <w:r w:rsidR="00CF1732" w:rsidRPr="00BA6590">
        <w:rPr>
          <w:lang w:val="en-GB"/>
        </w:rPr>
        <w:t xml:space="preserve">s return, in which he or she is provided with information regarding the choices available for the return journey. The itinerary is set out in a document to be signed by the </w:t>
      </w:r>
      <w:r w:rsidR="004F4861" w:rsidRPr="00BA6590">
        <w:rPr>
          <w:lang w:val="en-GB"/>
        </w:rPr>
        <w:t>asylum seeker</w:t>
      </w:r>
      <w:r w:rsidR="00CF1732" w:rsidRPr="00BA6590">
        <w:rPr>
          <w:lang w:val="en-GB"/>
        </w:rPr>
        <w:t xml:space="preserve"> or undocumented migrant and by his or her family members, and which describes their rights and obligations and </w:t>
      </w:r>
      <w:r w:rsidR="00B97985" w:rsidRPr="00BA6590">
        <w:rPr>
          <w:lang w:val="en-GB"/>
        </w:rPr>
        <w:t>sets out a calendar for the return</w:t>
      </w:r>
      <w:r w:rsidR="00CF1732" w:rsidRPr="00BA6590">
        <w:rPr>
          <w:lang w:val="en-GB"/>
        </w:rPr>
        <w:t xml:space="preserve"> journey. </w:t>
      </w:r>
    </w:p>
    <w:p w:rsidR="009C6186" w:rsidRPr="00BA6590" w:rsidRDefault="009C6186" w:rsidP="009C6186">
      <w:pPr>
        <w:pStyle w:val="SingleTxtG"/>
        <w:rPr>
          <w:lang w:val="en-GB"/>
        </w:rPr>
      </w:pPr>
      <w:r w:rsidRPr="00BA6590">
        <w:rPr>
          <w:lang w:val="en-GB"/>
        </w:rPr>
        <w:t>345.</w:t>
      </w:r>
      <w:r w:rsidRPr="00BA6590">
        <w:rPr>
          <w:lang w:val="en-GB"/>
        </w:rPr>
        <w:tab/>
      </w:r>
      <w:r w:rsidR="00CF1732" w:rsidRPr="00BA6590">
        <w:rPr>
          <w:lang w:val="en-GB"/>
        </w:rPr>
        <w:t xml:space="preserve">When an </w:t>
      </w:r>
      <w:r w:rsidR="004F4861" w:rsidRPr="00BA6590">
        <w:rPr>
          <w:lang w:val="en-GB"/>
        </w:rPr>
        <w:t>asylum seeker</w:t>
      </w:r>
      <w:r w:rsidR="00CF1732" w:rsidRPr="00BA6590">
        <w:rPr>
          <w:lang w:val="en-GB"/>
        </w:rPr>
        <w:t xml:space="preserve"> has been served with an expulsion order, the return itinerary must be established and executed within the deadline set out in the order. No later than the date on which the </w:t>
      </w:r>
      <w:r w:rsidR="004F4861" w:rsidRPr="00BA6590">
        <w:rPr>
          <w:lang w:val="en-GB"/>
        </w:rPr>
        <w:t>asylum seeker</w:t>
      </w:r>
      <w:r w:rsidR="00CF1732" w:rsidRPr="00BA6590">
        <w:rPr>
          <w:lang w:val="en-GB"/>
        </w:rPr>
        <w:t xml:space="preserve"> has been served with the order, the </w:t>
      </w:r>
      <w:r w:rsidR="00816F73" w:rsidRPr="00BA6590">
        <w:rPr>
          <w:lang w:val="en-GB"/>
        </w:rPr>
        <w:t>Immigration Office</w:t>
      </w:r>
      <w:r w:rsidR="00CF1732" w:rsidRPr="00BA6590">
        <w:rPr>
          <w:lang w:val="en-GB"/>
        </w:rPr>
        <w:t xml:space="preserve"> must be </w:t>
      </w:r>
      <w:r w:rsidR="008E37C2" w:rsidRPr="00BA6590">
        <w:rPr>
          <w:lang w:val="en-GB"/>
        </w:rPr>
        <w:t xml:space="preserve">kept </w:t>
      </w:r>
      <w:r w:rsidR="00CF1732" w:rsidRPr="00BA6590">
        <w:rPr>
          <w:lang w:val="en-GB"/>
        </w:rPr>
        <w:t>informed</w:t>
      </w:r>
      <w:r w:rsidR="008E37C2" w:rsidRPr="00BA6590">
        <w:rPr>
          <w:lang w:val="en-GB"/>
        </w:rPr>
        <w:t xml:space="preserve"> of the situation and the state of readiness of the return itinerary, which is then managed jointly by Fedasil and the </w:t>
      </w:r>
      <w:r w:rsidR="00816F73" w:rsidRPr="00BA6590">
        <w:rPr>
          <w:lang w:val="en-GB"/>
        </w:rPr>
        <w:t>Immigration Office</w:t>
      </w:r>
      <w:r w:rsidRPr="00BA6590">
        <w:rPr>
          <w:lang w:val="en-GB"/>
        </w:rPr>
        <w:t>.</w:t>
      </w:r>
    </w:p>
    <w:p w:rsidR="009C6186" w:rsidRPr="00BA6590" w:rsidRDefault="009C6186" w:rsidP="009C6186">
      <w:pPr>
        <w:pStyle w:val="SingleTxtG"/>
        <w:rPr>
          <w:lang w:val="en-GB"/>
        </w:rPr>
      </w:pPr>
      <w:r w:rsidRPr="00BA6590">
        <w:rPr>
          <w:lang w:val="en-GB"/>
        </w:rPr>
        <w:t>346.</w:t>
      </w:r>
      <w:r w:rsidR="004E090E" w:rsidRPr="00BA6590">
        <w:rPr>
          <w:lang w:val="en-GB"/>
        </w:rPr>
        <w:tab/>
      </w:r>
      <w:r w:rsidR="008E37C2" w:rsidRPr="00BA6590">
        <w:rPr>
          <w:lang w:val="en-GB"/>
        </w:rPr>
        <w:t xml:space="preserve">If Fedasil or the </w:t>
      </w:r>
      <w:r w:rsidR="00816F73" w:rsidRPr="00BA6590">
        <w:rPr>
          <w:lang w:val="en-GB"/>
        </w:rPr>
        <w:t>Immigration Office</w:t>
      </w:r>
      <w:r w:rsidR="008E37C2" w:rsidRPr="00BA6590">
        <w:rPr>
          <w:lang w:val="en-GB"/>
        </w:rPr>
        <w:t xml:space="preserve"> believes that the </w:t>
      </w:r>
      <w:r w:rsidR="004F4861" w:rsidRPr="00BA6590">
        <w:rPr>
          <w:lang w:val="en-GB"/>
        </w:rPr>
        <w:t>asylum seeker</w:t>
      </w:r>
      <w:r w:rsidR="008E37C2" w:rsidRPr="00BA6590">
        <w:rPr>
          <w:lang w:val="en-GB"/>
        </w:rPr>
        <w:t xml:space="preserve"> is not cooperating sufficiently with the return journey and his or her departure has been delayed solely owing to his or her behaviour, the management of the return journey and the related administrative file are transferred to the </w:t>
      </w:r>
      <w:r w:rsidR="00816F73" w:rsidRPr="00BA6590">
        <w:rPr>
          <w:lang w:val="en-GB"/>
        </w:rPr>
        <w:t>Immigration Office</w:t>
      </w:r>
      <w:r w:rsidR="008E37C2" w:rsidRPr="00BA6590">
        <w:rPr>
          <w:lang w:val="en-GB"/>
        </w:rPr>
        <w:t xml:space="preserve"> for forced deportation. To that end, the </w:t>
      </w:r>
      <w:r w:rsidR="00816F73" w:rsidRPr="00BA6590">
        <w:rPr>
          <w:lang w:val="en-GB"/>
        </w:rPr>
        <w:t>Immigration Office</w:t>
      </w:r>
      <w:r w:rsidR="008E37C2" w:rsidRPr="00BA6590">
        <w:rPr>
          <w:lang w:val="en-GB"/>
        </w:rPr>
        <w:t xml:space="preserve"> may modify the </w:t>
      </w:r>
      <w:r w:rsidR="004F4861" w:rsidRPr="00BA6590">
        <w:rPr>
          <w:lang w:val="en-GB"/>
        </w:rPr>
        <w:t>asylum seeker</w:t>
      </w:r>
      <w:r w:rsidR="00A216FB" w:rsidRPr="00BA6590">
        <w:rPr>
          <w:lang w:val="en-GB"/>
        </w:rPr>
        <w:t>’</w:t>
      </w:r>
      <w:r w:rsidR="008E37C2" w:rsidRPr="00BA6590">
        <w:rPr>
          <w:lang w:val="en-GB"/>
        </w:rPr>
        <w:t>s compulsory place of registration</w:t>
      </w:r>
      <w:r w:rsidRPr="00BA6590">
        <w:rPr>
          <w:lang w:val="en-GB"/>
        </w:rPr>
        <w:t>.</w:t>
      </w:r>
      <w:r w:rsidR="008E37C2" w:rsidRPr="00BA6590">
        <w:rPr>
          <w:lang w:val="en-GB"/>
        </w:rPr>
        <w:t xml:space="preserve"> In that case, he or she will be held in a detention centre so that the deportation order may be carried out. </w:t>
      </w:r>
    </w:p>
    <w:p w:rsidR="009C6186" w:rsidRPr="00BA6590" w:rsidRDefault="009C6186" w:rsidP="002409EB">
      <w:pPr>
        <w:pStyle w:val="SingleTxtG"/>
        <w:rPr>
          <w:lang w:val="en-GB"/>
        </w:rPr>
      </w:pPr>
      <w:r w:rsidRPr="00BA6590">
        <w:rPr>
          <w:lang w:val="en-GB"/>
        </w:rPr>
        <w:t>347.</w:t>
      </w:r>
      <w:r w:rsidRPr="00BA6590">
        <w:rPr>
          <w:lang w:val="en-GB"/>
        </w:rPr>
        <w:tab/>
      </w:r>
      <w:r w:rsidR="002E1CD1" w:rsidRPr="00BA6590">
        <w:rPr>
          <w:lang w:val="en-GB"/>
        </w:rPr>
        <w:t>A</w:t>
      </w:r>
      <w:r w:rsidRPr="00BA6590">
        <w:rPr>
          <w:lang w:val="en-GB"/>
        </w:rPr>
        <w:t>rticle 54</w:t>
      </w:r>
      <w:r w:rsidR="002E1CD1" w:rsidRPr="00BA6590">
        <w:rPr>
          <w:lang w:val="en-GB"/>
        </w:rPr>
        <w:t xml:space="preserve"> (1) of the Act</w:t>
      </w:r>
      <w:r w:rsidR="00401B92" w:rsidRPr="00BA6590">
        <w:rPr>
          <w:lang w:val="en-GB"/>
        </w:rPr>
        <w:t xml:space="preserve"> of 15 December 1980</w:t>
      </w:r>
      <w:r w:rsidRPr="00BA6590">
        <w:rPr>
          <w:lang w:val="en-GB"/>
        </w:rPr>
        <w:t xml:space="preserve"> </w:t>
      </w:r>
      <w:r w:rsidR="002E1CD1" w:rsidRPr="00BA6590">
        <w:rPr>
          <w:lang w:val="en-GB"/>
        </w:rPr>
        <w:t>provides that, between the notification of the final decision on the asylum application</w:t>
      </w:r>
      <w:r w:rsidR="00802C54" w:rsidRPr="00BA6590">
        <w:rPr>
          <w:lang w:val="en-GB"/>
        </w:rPr>
        <w:t xml:space="preserve"> and the expiration of the expulsion deadline, the </w:t>
      </w:r>
      <w:r w:rsidR="006C7706" w:rsidRPr="00BA6590">
        <w:rPr>
          <w:lang w:val="en-GB"/>
        </w:rPr>
        <w:t xml:space="preserve">Minister </w:t>
      </w:r>
      <w:r w:rsidR="00EA21F9" w:rsidRPr="00BA6590">
        <w:rPr>
          <w:lang w:val="en-GB"/>
        </w:rPr>
        <w:t>or his or her</w:t>
      </w:r>
      <w:r w:rsidR="006C7706" w:rsidRPr="00BA6590">
        <w:rPr>
          <w:lang w:val="en-GB"/>
        </w:rPr>
        <w:t xml:space="preserve"> representative</w:t>
      </w:r>
      <w:r w:rsidR="00802C54" w:rsidRPr="00BA6590">
        <w:rPr>
          <w:lang w:val="en-GB"/>
        </w:rPr>
        <w:t xml:space="preserve"> may designate a detention centre for the </w:t>
      </w:r>
      <w:r w:rsidR="004F4861" w:rsidRPr="00BA6590">
        <w:rPr>
          <w:lang w:val="en-GB"/>
        </w:rPr>
        <w:t>asylum seeker</w:t>
      </w:r>
      <w:r w:rsidR="00802C54" w:rsidRPr="00BA6590">
        <w:rPr>
          <w:lang w:val="en-GB"/>
        </w:rPr>
        <w:t xml:space="preserve"> and his or her family</w:t>
      </w:r>
      <w:r w:rsidR="00B97985" w:rsidRPr="00BA6590">
        <w:rPr>
          <w:lang w:val="en-GB"/>
        </w:rPr>
        <w:t xml:space="preserve"> members</w:t>
      </w:r>
      <w:r w:rsidR="00802C54" w:rsidRPr="00BA6590">
        <w:rPr>
          <w:lang w:val="en-GB"/>
        </w:rPr>
        <w:t xml:space="preserve">. </w:t>
      </w:r>
    </w:p>
    <w:p w:rsidR="009C6186" w:rsidRPr="00BA6590" w:rsidRDefault="009C6186" w:rsidP="009C6186">
      <w:pPr>
        <w:pStyle w:val="SingleTxtG"/>
        <w:rPr>
          <w:lang w:val="en-GB"/>
        </w:rPr>
      </w:pPr>
      <w:r w:rsidRPr="00BA6590">
        <w:rPr>
          <w:lang w:val="en-GB"/>
        </w:rPr>
        <w:t>348.</w:t>
      </w:r>
      <w:r w:rsidRPr="00BA6590">
        <w:rPr>
          <w:lang w:val="en-GB"/>
        </w:rPr>
        <w:tab/>
      </w:r>
      <w:r w:rsidR="00802C54" w:rsidRPr="00BA6590">
        <w:rPr>
          <w:lang w:val="en-GB"/>
        </w:rPr>
        <w:t xml:space="preserve">At the detention centre, the foreign national is provided with material assistance including clothing, board and lodging, </w:t>
      </w:r>
      <w:r w:rsidR="002906FB" w:rsidRPr="00BA6590">
        <w:rPr>
          <w:lang w:val="en-GB"/>
        </w:rPr>
        <w:t xml:space="preserve">which are </w:t>
      </w:r>
      <w:r w:rsidR="00802C54" w:rsidRPr="00BA6590">
        <w:rPr>
          <w:lang w:val="en-GB"/>
        </w:rPr>
        <w:t>provided</w:t>
      </w:r>
      <w:r w:rsidR="005303DC" w:rsidRPr="00BA6590">
        <w:rPr>
          <w:lang w:val="en-GB"/>
        </w:rPr>
        <w:t xml:space="preserve"> in kind</w:t>
      </w:r>
      <w:r w:rsidR="00802C54" w:rsidRPr="00BA6590">
        <w:rPr>
          <w:lang w:val="en-GB"/>
        </w:rPr>
        <w:t>, a daily cash allowance</w:t>
      </w:r>
      <w:r w:rsidR="005303DC" w:rsidRPr="00BA6590">
        <w:rPr>
          <w:lang w:val="en-GB"/>
        </w:rPr>
        <w:t xml:space="preserve"> and access to a voluntary return programme. He or she receives any necessary medical and psychosocial assistance and effective access to first- and second-line legal assistance as provided for in articles 508 (</w:t>
      </w:r>
      <w:r w:rsidRPr="00BA6590">
        <w:rPr>
          <w:lang w:val="en-GB"/>
        </w:rPr>
        <w:t>1</w:t>
      </w:r>
      <w:r w:rsidR="005303DC" w:rsidRPr="00BA6590">
        <w:rPr>
          <w:lang w:val="en-GB"/>
        </w:rPr>
        <w:t>)</w:t>
      </w:r>
      <w:r w:rsidRPr="00BA6590">
        <w:rPr>
          <w:lang w:val="en-GB"/>
        </w:rPr>
        <w:t xml:space="preserve"> </w:t>
      </w:r>
      <w:r w:rsidR="005303DC" w:rsidRPr="00BA6590">
        <w:rPr>
          <w:lang w:val="en-GB"/>
        </w:rPr>
        <w:t>to</w:t>
      </w:r>
      <w:r w:rsidRPr="00BA6590">
        <w:rPr>
          <w:lang w:val="en-GB"/>
        </w:rPr>
        <w:t xml:space="preserve"> 508</w:t>
      </w:r>
      <w:r w:rsidR="005303DC" w:rsidRPr="00BA6590">
        <w:rPr>
          <w:lang w:val="en-GB"/>
        </w:rPr>
        <w:t xml:space="preserve"> (</w:t>
      </w:r>
      <w:r w:rsidRPr="00BA6590">
        <w:rPr>
          <w:lang w:val="en-GB"/>
        </w:rPr>
        <w:t>23</w:t>
      </w:r>
      <w:r w:rsidR="005303DC" w:rsidRPr="00BA6590">
        <w:rPr>
          <w:lang w:val="en-GB"/>
        </w:rPr>
        <w:t>) of the Judicial Code</w:t>
      </w:r>
      <w:r w:rsidRPr="00BA6590">
        <w:rPr>
          <w:lang w:val="en-GB"/>
        </w:rPr>
        <w:t>.</w:t>
      </w:r>
    </w:p>
    <w:p w:rsidR="009C6186" w:rsidRPr="00BA6590" w:rsidRDefault="009C6186" w:rsidP="00D353A7">
      <w:pPr>
        <w:pStyle w:val="SingleTxtG"/>
        <w:rPr>
          <w:lang w:val="en-GB"/>
        </w:rPr>
      </w:pPr>
      <w:r w:rsidRPr="00BA6590">
        <w:rPr>
          <w:lang w:val="en-GB"/>
        </w:rPr>
        <w:t>349.</w:t>
      </w:r>
      <w:r w:rsidRPr="00BA6590">
        <w:rPr>
          <w:lang w:val="en-GB"/>
        </w:rPr>
        <w:tab/>
      </w:r>
      <w:r w:rsidR="005303DC" w:rsidRPr="00BA6590">
        <w:rPr>
          <w:lang w:val="en-GB"/>
        </w:rPr>
        <w:t xml:space="preserve">Thus, it is clear that the </w:t>
      </w:r>
      <w:r w:rsidR="004F4861" w:rsidRPr="00BA6590">
        <w:rPr>
          <w:lang w:val="en-GB"/>
        </w:rPr>
        <w:t>asylum seeker</w:t>
      </w:r>
      <w:r w:rsidR="005303DC" w:rsidRPr="00BA6590">
        <w:rPr>
          <w:lang w:val="en-GB"/>
        </w:rPr>
        <w:t xml:space="preserve"> is to be held in detention before deportation only if he or she</w:t>
      </w:r>
      <w:r w:rsidR="000E7455" w:rsidRPr="00BA6590">
        <w:rPr>
          <w:lang w:val="en-GB"/>
        </w:rPr>
        <w:t xml:space="preserve"> has failed to cooperate. A</w:t>
      </w:r>
      <w:r w:rsidRPr="00BA6590">
        <w:rPr>
          <w:lang w:val="en-GB"/>
        </w:rPr>
        <w:t xml:space="preserve">rticles 7, 8 </w:t>
      </w:r>
      <w:r w:rsidRPr="00BA6590">
        <w:rPr>
          <w:i/>
          <w:iCs/>
          <w:lang w:val="en-GB"/>
        </w:rPr>
        <w:t>bis</w:t>
      </w:r>
      <w:r w:rsidRPr="00BA6590">
        <w:rPr>
          <w:lang w:val="en-GB"/>
        </w:rPr>
        <w:t xml:space="preserve"> </w:t>
      </w:r>
      <w:r w:rsidR="000E7455" w:rsidRPr="00BA6590">
        <w:rPr>
          <w:lang w:val="en-GB"/>
        </w:rPr>
        <w:t>(</w:t>
      </w:r>
      <w:r w:rsidRPr="00BA6590">
        <w:rPr>
          <w:lang w:val="en-GB"/>
        </w:rPr>
        <w:t>4</w:t>
      </w:r>
      <w:r w:rsidR="000E7455" w:rsidRPr="00BA6590">
        <w:rPr>
          <w:lang w:val="en-GB"/>
        </w:rPr>
        <w:t>)</w:t>
      </w:r>
      <w:r w:rsidRPr="00BA6590">
        <w:rPr>
          <w:lang w:val="en-GB"/>
        </w:rPr>
        <w:t xml:space="preserve">, 27 </w:t>
      </w:r>
      <w:r w:rsidR="000E7455" w:rsidRPr="00BA6590">
        <w:rPr>
          <w:lang w:val="en-GB"/>
        </w:rPr>
        <w:t>(</w:t>
      </w:r>
      <w:r w:rsidRPr="00BA6590">
        <w:rPr>
          <w:lang w:val="en-GB"/>
        </w:rPr>
        <w:t>3</w:t>
      </w:r>
      <w:r w:rsidR="000E7455" w:rsidRPr="00BA6590">
        <w:rPr>
          <w:lang w:val="en-GB"/>
        </w:rPr>
        <w:t>) and 74 (</w:t>
      </w:r>
      <w:r w:rsidRPr="00BA6590">
        <w:rPr>
          <w:lang w:val="en-GB"/>
        </w:rPr>
        <w:t>9</w:t>
      </w:r>
      <w:r w:rsidR="000E7455" w:rsidRPr="00BA6590">
        <w:rPr>
          <w:lang w:val="en-GB"/>
        </w:rPr>
        <w:t>.</w:t>
      </w:r>
      <w:r w:rsidRPr="00BA6590">
        <w:rPr>
          <w:lang w:val="en-GB"/>
        </w:rPr>
        <w:t>3</w:t>
      </w:r>
      <w:r w:rsidR="000E7455" w:rsidRPr="00BA6590">
        <w:rPr>
          <w:lang w:val="en-GB"/>
        </w:rPr>
        <w:t>) of the Act</w:t>
      </w:r>
      <w:r w:rsidR="00401B92" w:rsidRPr="00BA6590">
        <w:rPr>
          <w:lang w:val="en-GB"/>
        </w:rPr>
        <w:t xml:space="preserve"> of 15 December 1980</w:t>
      </w:r>
      <w:r w:rsidR="000E7455" w:rsidRPr="00BA6590">
        <w:rPr>
          <w:lang w:val="en-GB"/>
        </w:rPr>
        <w:t xml:space="preserve"> stipulate that a foreign national who has received a deportation order is to be detained pending his or her expulsion only if less coercive measures have been unsuccessful. A</w:t>
      </w:r>
      <w:r w:rsidRPr="00BA6590">
        <w:rPr>
          <w:lang w:val="en-GB"/>
        </w:rPr>
        <w:t>rticle 74</w:t>
      </w:r>
      <w:r w:rsidR="000E7455" w:rsidRPr="00BA6590">
        <w:rPr>
          <w:lang w:val="en-GB"/>
        </w:rPr>
        <w:t xml:space="preserve"> (</w:t>
      </w:r>
      <w:r w:rsidRPr="00BA6590">
        <w:rPr>
          <w:lang w:val="en-GB"/>
        </w:rPr>
        <w:t>14</w:t>
      </w:r>
      <w:r w:rsidR="000E7455" w:rsidRPr="00BA6590">
        <w:rPr>
          <w:lang w:val="en-GB"/>
        </w:rPr>
        <w:t>) of the Act states that the deportation decision is to provide</w:t>
      </w:r>
      <w:r w:rsidR="00B97985" w:rsidRPr="00BA6590">
        <w:rPr>
          <w:lang w:val="en-GB"/>
        </w:rPr>
        <w:t xml:space="preserve"> for</w:t>
      </w:r>
      <w:r w:rsidR="000E7455" w:rsidRPr="00BA6590">
        <w:rPr>
          <w:lang w:val="en-GB"/>
        </w:rPr>
        <w:t xml:space="preserve"> a 30-day departure deadline. </w:t>
      </w:r>
    </w:p>
    <w:p w:rsidR="009C6186" w:rsidRPr="00BA6590" w:rsidRDefault="009C6186" w:rsidP="009C6186">
      <w:pPr>
        <w:pStyle w:val="SingleTxtG"/>
        <w:rPr>
          <w:lang w:val="en-GB"/>
        </w:rPr>
      </w:pPr>
      <w:r w:rsidRPr="00BA6590">
        <w:rPr>
          <w:lang w:val="en-GB"/>
        </w:rPr>
        <w:t>350.</w:t>
      </w:r>
      <w:r w:rsidRPr="00BA6590">
        <w:rPr>
          <w:lang w:val="en-GB"/>
        </w:rPr>
        <w:tab/>
      </w:r>
      <w:r w:rsidR="00687F59" w:rsidRPr="00BA6590">
        <w:rPr>
          <w:lang w:val="en-GB"/>
        </w:rPr>
        <w:t xml:space="preserve">A third-State national who, under article 6, is not authorized to remain in Belgium for over three months is entitled to a deadline period of 7 to 30 days. That person may, by submitting a reasoned request to the </w:t>
      </w:r>
      <w:r w:rsidR="006C7706" w:rsidRPr="00BA6590">
        <w:rPr>
          <w:lang w:val="en-GB"/>
        </w:rPr>
        <w:t xml:space="preserve">Minister </w:t>
      </w:r>
      <w:r w:rsidR="00EA21F9" w:rsidRPr="00BA6590">
        <w:rPr>
          <w:lang w:val="en-GB"/>
        </w:rPr>
        <w:t>or his or her</w:t>
      </w:r>
      <w:r w:rsidR="006C7706" w:rsidRPr="00BA6590">
        <w:rPr>
          <w:lang w:val="en-GB"/>
        </w:rPr>
        <w:t xml:space="preserve"> representative</w:t>
      </w:r>
      <w:r w:rsidR="00687F59" w:rsidRPr="00BA6590">
        <w:rPr>
          <w:lang w:val="en-GB"/>
        </w:rPr>
        <w:t xml:space="preserve">, apply for an extension of the deadline provided that he or she demonstrates that voluntary return is not feasible within the deadline. For this purpose, account is taken of </w:t>
      </w:r>
      <w:r w:rsidR="004A11DC" w:rsidRPr="00BA6590">
        <w:rPr>
          <w:lang w:val="en-GB"/>
        </w:rPr>
        <w:t>the foreign national</w:t>
      </w:r>
      <w:r w:rsidR="00A216FB" w:rsidRPr="00BA6590">
        <w:rPr>
          <w:lang w:val="en-GB"/>
        </w:rPr>
        <w:t>’</w:t>
      </w:r>
      <w:r w:rsidR="004A11DC" w:rsidRPr="00BA6590">
        <w:rPr>
          <w:lang w:val="en-GB"/>
        </w:rPr>
        <w:t xml:space="preserve">s particular circumstances such as length of stay, children enrolled in schools, the finalization of plans for voluntary return and other family and social connections. </w:t>
      </w:r>
    </w:p>
    <w:p w:rsidR="009C6186" w:rsidRPr="00BA6590" w:rsidRDefault="009C6186" w:rsidP="002409EB">
      <w:pPr>
        <w:pStyle w:val="SingleTxtG"/>
        <w:rPr>
          <w:lang w:val="en-GB"/>
        </w:rPr>
      </w:pPr>
      <w:r w:rsidRPr="00BA6590">
        <w:rPr>
          <w:lang w:val="en-GB"/>
        </w:rPr>
        <w:t>351.</w:t>
      </w:r>
      <w:r w:rsidR="004E090E" w:rsidRPr="00BA6590">
        <w:rPr>
          <w:lang w:val="en-GB"/>
        </w:rPr>
        <w:tab/>
      </w:r>
      <w:r w:rsidR="004A11DC" w:rsidRPr="00BA6590">
        <w:rPr>
          <w:lang w:val="en-GB"/>
        </w:rPr>
        <w:t>Throughout the deadline period for voluntary return, the third-State national is protected from forced deportation. To avert any flight risk during that period, he or she may be required to comply with preventive measures.</w:t>
      </w:r>
      <w:r w:rsidR="009A262C" w:rsidRPr="00BA6590">
        <w:rPr>
          <w:rStyle w:val="FootnoteReference"/>
          <w:lang w:val="en-GB"/>
        </w:rPr>
        <w:footnoteReference w:id="41"/>
      </w:r>
      <w:r w:rsidRPr="00BA6590">
        <w:rPr>
          <w:lang w:val="en-GB"/>
        </w:rPr>
        <w:t xml:space="preserve"> </w:t>
      </w:r>
      <w:r w:rsidR="004A11DC" w:rsidRPr="00BA6590">
        <w:rPr>
          <w:lang w:val="en-GB"/>
        </w:rPr>
        <w:t xml:space="preserve">Under certain circumstances, the deadline provided for by article </w:t>
      </w:r>
      <w:r w:rsidRPr="00BA6590">
        <w:rPr>
          <w:lang w:val="en-GB"/>
        </w:rPr>
        <w:t>6</w:t>
      </w:r>
      <w:r w:rsidR="004A11DC" w:rsidRPr="00BA6590">
        <w:rPr>
          <w:lang w:val="en-GB"/>
        </w:rPr>
        <w:t xml:space="preserve"> (</w:t>
      </w:r>
      <w:r w:rsidR="002409EB" w:rsidRPr="00BA6590">
        <w:rPr>
          <w:lang w:val="en-GB"/>
        </w:rPr>
        <w:t>1</w:t>
      </w:r>
      <w:r w:rsidR="004A11DC" w:rsidRPr="00BA6590">
        <w:rPr>
          <w:lang w:val="en-GB"/>
        </w:rPr>
        <w:t>) may be waived.</w:t>
      </w:r>
      <w:r w:rsidR="009A262C" w:rsidRPr="00BA6590">
        <w:rPr>
          <w:rStyle w:val="FootnoteReference"/>
          <w:lang w:val="en-GB"/>
        </w:rPr>
        <w:footnoteReference w:id="42"/>
      </w:r>
    </w:p>
    <w:p w:rsidR="009C6186" w:rsidRPr="00BA6590" w:rsidRDefault="009C6186" w:rsidP="004C0723">
      <w:pPr>
        <w:pStyle w:val="H56G"/>
        <w:rPr>
          <w:lang w:val="en-GB"/>
        </w:rPr>
      </w:pPr>
      <w:r w:rsidRPr="00BA6590">
        <w:rPr>
          <w:lang w:val="en-GB"/>
        </w:rPr>
        <w:tab/>
      </w:r>
      <w:r w:rsidRPr="00BA6590">
        <w:rPr>
          <w:lang w:val="en-GB"/>
        </w:rPr>
        <w:tab/>
      </w:r>
      <w:r w:rsidR="004A11DC" w:rsidRPr="00BA6590">
        <w:rPr>
          <w:lang w:val="en-GB"/>
        </w:rPr>
        <w:t>De</w:t>
      </w:r>
      <w:r w:rsidRPr="00BA6590">
        <w:rPr>
          <w:lang w:val="en-GB"/>
        </w:rPr>
        <w:t>tention</w:t>
      </w:r>
      <w:r w:rsidR="004A11DC" w:rsidRPr="00BA6590">
        <w:rPr>
          <w:lang w:val="en-GB"/>
        </w:rPr>
        <w:t xml:space="preserve"> of </w:t>
      </w:r>
      <w:r w:rsidR="004F4861" w:rsidRPr="00BA6590">
        <w:rPr>
          <w:lang w:val="en-GB"/>
        </w:rPr>
        <w:t>asylum seeker</w:t>
      </w:r>
      <w:r w:rsidR="004A11DC" w:rsidRPr="00BA6590">
        <w:rPr>
          <w:lang w:val="en-GB"/>
        </w:rPr>
        <w:t>s</w:t>
      </w:r>
    </w:p>
    <w:p w:rsidR="009C6186" w:rsidRPr="00BA6590" w:rsidRDefault="009C6186" w:rsidP="002409EB">
      <w:pPr>
        <w:pStyle w:val="SingleTxtG"/>
        <w:rPr>
          <w:lang w:val="en-GB"/>
        </w:rPr>
      </w:pPr>
      <w:r w:rsidRPr="00BA6590">
        <w:rPr>
          <w:lang w:val="en-GB"/>
        </w:rPr>
        <w:t>352.</w:t>
      </w:r>
      <w:r w:rsidRPr="00BA6590">
        <w:rPr>
          <w:lang w:val="en-GB"/>
        </w:rPr>
        <w:tab/>
      </w:r>
      <w:r w:rsidR="004F4861" w:rsidRPr="00BA6590">
        <w:rPr>
          <w:lang w:val="en-GB"/>
        </w:rPr>
        <w:t>Asylum seeker</w:t>
      </w:r>
      <w:r w:rsidR="00827DD0" w:rsidRPr="00BA6590">
        <w:rPr>
          <w:lang w:val="en-GB"/>
        </w:rPr>
        <w:t xml:space="preserve">s are detained in the circumstances set out in </w:t>
      </w:r>
      <w:r w:rsidRPr="00BA6590">
        <w:rPr>
          <w:lang w:val="en-GB"/>
        </w:rPr>
        <w:t>article 74</w:t>
      </w:r>
      <w:r w:rsidR="00827DD0" w:rsidRPr="00BA6590">
        <w:rPr>
          <w:lang w:val="en-GB"/>
        </w:rPr>
        <w:t xml:space="preserve"> (</w:t>
      </w:r>
      <w:r w:rsidRPr="00BA6590">
        <w:rPr>
          <w:lang w:val="en-GB"/>
        </w:rPr>
        <w:t>6</w:t>
      </w:r>
      <w:r w:rsidR="00827DD0" w:rsidRPr="00BA6590">
        <w:rPr>
          <w:lang w:val="en-GB"/>
        </w:rPr>
        <w:t>)</w:t>
      </w:r>
      <w:r w:rsidR="00B97985" w:rsidRPr="00BA6590">
        <w:rPr>
          <w:lang w:val="en-GB"/>
        </w:rPr>
        <w:t>, paragraph</w:t>
      </w:r>
      <w:r w:rsidRPr="00BA6590">
        <w:rPr>
          <w:lang w:val="en-GB"/>
        </w:rPr>
        <w:t xml:space="preserve"> </w:t>
      </w:r>
      <w:r w:rsidR="002409EB" w:rsidRPr="00BA6590">
        <w:rPr>
          <w:lang w:val="en-GB"/>
        </w:rPr>
        <w:t>1</w:t>
      </w:r>
      <w:r w:rsidR="00B97985" w:rsidRPr="00BA6590">
        <w:rPr>
          <w:lang w:val="en-GB"/>
        </w:rPr>
        <w:t>,</w:t>
      </w:r>
      <w:r w:rsidR="00827DD0" w:rsidRPr="00BA6590">
        <w:rPr>
          <w:lang w:val="en-GB"/>
        </w:rPr>
        <w:t xml:space="preserve"> </w:t>
      </w:r>
      <w:r w:rsidRPr="00BA6590">
        <w:rPr>
          <w:lang w:val="en-GB"/>
        </w:rPr>
        <w:t>o</w:t>
      </w:r>
      <w:r w:rsidR="00827DD0" w:rsidRPr="00BA6590">
        <w:rPr>
          <w:lang w:val="en-GB"/>
        </w:rPr>
        <w:t>r 74 (</w:t>
      </w:r>
      <w:r w:rsidRPr="00BA6590">
        <w:rPr>
          <w:lang w:val="en-GB"/>
        </w:rPr>
        <w:t>6</w:t>
      </w:r>
      <w:r w:rsidR="00827DD0" w:rsidRPr="00BA6590">
        <w:rPr>
          <w:lang w:val="en-GB"/>
        </w:rPr>
        <w:t>)</w:t>
      </w:r>
      <w:r w:rsidR="00B97985" w:rsidRPr="00BA6590">
        <w:rPr>
          <w:lang w:val="en-GB"/>
        </w:rPr>
        <w:t>, paragraph</w:t>
      </w:r>
      <w:r w:rsidRPr="00BA6590">
        <w:rPr>
          <w:lang w:val="en-GB"/>
        </w:rPr>
        <w:t xml:space="preserve"> </w:t>
      </w:r>
      <w:r w:rsidR="002409EB" w:rsidRPr="00BA6590">
        <w:rPr>
          <w:lang w:val="en-GB"/>
        </w:rPr>
        <w:t>1</w:t>
      </w:r>
      <w:r w:rsidR="00B97985" w:rsidRPr="00BA6590">
        <w:rPr>
          <w:lang w:val="en-GB"/>
        </w:rPr>
        <w:t xml:space="preserve"> </w:t>
      </w:r>
      <w:r w:rsidRPr="00BA6590">
        <w:rPr>
          <w:i/>
          <w:iCs/>
          <w:lang w:val="en-GB"/>
        </w:rPr>
        <w:t>bis</w:t>
      </w:r>
      <w:r w:rsidRPr="00BA6590">
        <w:rPr>
          <w:lang w:val="en-GB"/>
        </w:rPr>
        <w:t xml:space="preserve"> </w:t>
      </w:r>
      <w:r w:rsidR="00B0547B" w:rsidRPr="00BA6590">
        <w:rPr>
          <w:lang w:val="en-GB"/>
        </w:rPr>
        <w:t>of the Act</w:t>
      </w:r>
      <w:r w:rsidR="00401B92" w:rsidRPr="00BA6590">
        <w:rPr>
          <w:lang w:val="en-GB"/>
        </w:rPr>
        <w:t xml:space="preserve"> of 15 December 1980</w:t>
      </w:r>
      <w:r w:rsidRPr="00BA6590">
        <w:rPr>
          <w:lang w:val="en-GB"/>
        </w:rPr>
        <w:t>.</w:t>
      </w:r>
    </w:p>
    <w:p w:rsidR="009C6186" w:rsidRPr="00BA6590" w:rsidRDefault="00B0547B" w:rsidP="002409EB">
      <w:pPr>
        <w:pStyle w:val="Bullet1G"/>
        <w:rPr>
          <w:lang w:val="en-GB"/>
        </w:rPr>
      </w:pPr>
      <w:r w:rsidRPr="00BA6590">
        <w:rPr>
          <w:lang w:val="en-GB"/>
        </w:rPr>
        <w:t>Under article 74 (6)</w:t>
      </w:r>
      <w:r w:rsidR="00B97985" w:rsidRPr="00BA6590">
        <w:rPr>
          <w:lang w:val="en-GB"/>
        </w:rPr>
        <w:t>, paragraph</w:t>
      </w:r>
      <w:r w:rsidRPr="00BA6590">
        <w:rPr>
          <w:lang w:val="en-GB"/>
        </w:rPr>
        <w:t xml:space="preserve"> 1, a foreign national </w:t>
      </w:r>
      <w:r w:rsidR="00800938" w:rsidRPr="00BA6590">
        <w:rPr>
          <w:lang w:val="en-GB"/>
        </w:rPr>
        <w:t>staying in the country illegally</w:t>
      </w:r>
      <w:r w:rsidRPr="00BA6590">
        <w:rPr>
          <w:lang w:val="en-GB"/>
        </w:rPr>
        <w:t xml:space="preserve"> may be detained only following a negative decision of the </w:t>
      </w:r>
      <w:r w:rsidR="009C6186" w:rsidRPr="00BA6590">
        <w:rPr>
          <w:lang w:val="en-GB"/>
        </w:rPr>
        <w:t>CGRA</w:t>
      </w:r>
      <w:r w:rsidRPr="00BA6590">
        <w:rPr>
          <w:lang w:val="en-GB"/>
        </w:rPr>
        <w:t xml:space="preserve"> on his or her asylum request, pursuant to </w:t>
      </w:r>
      <w:r w:rsidR="009C6186" w:rsidRPr="00BA6590">
        <w:rPr>
          <w:lang w:val="en-GB"/>
        </w:rPr>
        <w:t>article 52,</w:t>
      </w:r>
      <w:r w:rsidRPr="00BA6590">
        <w:rPr>
          <w:lang w:val="en-GB"/>
        </w:rPr>
        <w:t xml:space="preserve"> in order to ensure that he or she actually leaves the count</w:t>
      </w:r>
      <w:r w:rsidR="00B97985" w:rsidRPr="00BA6590">
        <w:rPr>
          <w:lang w:val="en-GB"/>
        </w:rPr>
        <w:t xml:space="preserve">ry. Paragraph </w:t>
      </w:r>
      <w:r w:rsidRPr="00BA6590">
        <w:rPr>
          <w:lang w:val="en-GB"/>
        </w:rPr>
        <w:t>1</w:t>
      </w:r>
      <w:r w:rsidR="00B97985" w:rsidRPr="00BA6590">
        <w:rPr>
          <w:lang w:val="en-GB"/>
        </w:rPr>
        <w:t xml:space="preserve"> </w:t>
      </w:r>
      <w:r w:rsidRPr="00BA6590">
        <w:rPr>
          <w:i/>
          <w:iCs/>
          <w:lang w:val="en-GB"/>
        </w:rPr>
        <w:t>bis</w:t>
      </w:r>
      <w:r w:rsidR="009C6186" w:rsidRPr="00BA6590">
        <w:rPr>
          <w:lang w:val="en-GB"/>
        </w:rPr>
        <w:t xml:space="preserve"> </w:t>
      </w:r>
      <w:r w:rsidRPr="00BA6590">
        <w:rPr>
          <w:lang w:val="en-GB"/>
        </w:rPr>
        <w:t>lists exceptional circumstances in which a foreign national may be detained before that decision is taken. This detention may take place only if the foreign national is in the country illegally and the objective circumstances listed in the Act clearly demonstrate abuse of the asylum procedure</w:t>
      </w:r>
      <w:r w:rsidR="009C6186" w:rsidRPr="00BA6590">
        <w:rPr>
          <w:lang w:val="en-GB"/>
        </w:rPr>
        <w:t>.</w:t>
      </w:r>
    </w:p>
    <w:p w:rsidR="009C6186" w:rsidRPr="00BA6590" w:rsidRDefault="006C7706" w:rsidP="009C6186">
      <w:pPr>
        <w:pStyle w:val="Bullet1G"/>
        <w:rPr>
          <w:lang w:val="en-GB"/>
        </w:rPr>
      </w:pPr>
      <w:r w:rsidRPr="00BA6590">
        <w:rPr>
          <w:lang w:val="en-GB"/>
        </w:rPr>
        <w:t xml:space="preserve">Nonetheless, the existence of these circumstances do not mean that the asylum request will not be considered. The application will be given priority treatment by the </w:t>
      </w:r>
      <w:r w:rsidR="009C6186" w:rsidRPr="00BA6590">
        <w:rPr>
          <w:lang w:val="en-GB"/>
        </w:rPr>
        <w:t>CGRA,</w:t>
      </w:r>
      <w:r w:rsidRPr="00BA6590">
        <w:rPr>
          <w:lang w:val="en-GB"/>
        </w:rPr>
        <w:t xml:space="preserve"> and if its decision is negative it will be dealt with as a priority matter by the</w:t>
      </w:r>
      <w:r w:rsidR="009C6186" w:rsidRPr="00BA6590">
        <w:rPr>
          <w:lang w:val="en-GB"/>
        </w:rPr>
        <w:t xml:space="preserve"> </w:t>
      </w:r>
      <w:r w:rsidRPr="00BA6590">
        <w:rPr>
          <w:lang w:val="en-GB"/>
        </w:rPr>
        <w:t>Aliens Litigation Council</w:t>
      </w:r>
      <w:r w:rsidR="009C6186" w:rsidRPr="00BA6590">
        <w:rPr>
          <w:lang w:val="en-GB"/>
        </w:rPr>
        <w:t>.</w:t>
      </w:r>
    </w:p>
    <w:p w:rsidR="009C6186" w:rsidRPr="00BA6590" w:rsidRDefault="006C7706" w:rsidP="009C6186">
      <w:pPr>
        <w:pStyle w:val="Bullet1G"/>
        <w:rPr>
          <w:lang w:val="en-GB"/>
        </w:rPr>
      </w:pPr>
      <w:r w:rsidRPr="00BA6590">
        <w:rPr>
          <w:lang w:val="en-GB"/>
        </w:rPr>
        <w:t xml:space="preserve">These exceptional circumstances, which may indicate an abuse of the asylum procedure, require detention of the person concerned and rapid processing of the asylum application. If there is evidence to the contrary, the Minister </w:t>
      </w:r>
      <w:r w:rsidR="00EA21F9" w:rsidRPr="00BA6590">
        <w:rPr>
          <w:lang w:val="en-GB"/>
        </w:rPr>
        <w:t>or his or her</w:t>
      </w:r>
      <w:r w:rsidRPr="00BA6590">
        <w:rPr>
          <w:lang w:val="en-GB"/>
        </w:rPr>
        <w:t xml:space="preserve"> representative may decide that the person should not be detained.</w:t>
      </w:r>
    </w:p>
    <w:p w:rsidR="009C6186" w:rsidRPr="00BA6590" w:rsidRDefault="00C963D5" w:rsidP="009C6186">
      <w:pPr>
        <w:pStyle w:val="Bullet1G"/>
        <w:rPr>
          <w:lang w:val="en-GB"/>
        </w:rPr>
      </w:pPr>
      <w:r w:rsidRPr="00BA6590">
        <w:rPr>
          <w:lang w:val="en-GB"/>
        </w:rPr>
        <w:t>Lodg</w:t>
      </w:r>
      <w:r w:rsidR="006C7706" w:rsidRPr="00BA6590">
        <w:rPr>
          <w:lang w:val="en-GB"/>
        </w:rPr>
        <w:t xml:space="preserve">ing an asylum application does not </w:t>
      </w:r>
      <w:r w:rsidR="00742F55" w:rsidRPr="00BA6590">
        <w:rPr>
          <w:lang w:val="en-GB"/>
        </w:rPr>
        <w:t xml:space="preserve">make the applicant exempt from being deprived of his or her liberty. If that were the case, immigration policy would be completely undermined. </w:t>
      </w:r>
    </w:p>
    <w:p w:rsidR="009C6186" w:rsidRPr="00BA6590" w:rsidRDefault="00742F55" w:rsidP="009C6186">
      <w:pPr>
        <w:pStyle w:val="Bullet1G"/>
        <w:rPr>
          <w:lang w:val="en-GB"/>
        </w:rPr>
      </w:pPr>
      <w:r w:rsidRPr="00BA6590">
        <w:rPr>
          <w:lang w:val="en-GB"/>
        </w:rPr>
        <w:t>A detention decision may be made in order to carry out deportation or to avert a flight risk, or may become necessary if the foreign national represents a threat to public safety and national security.</w:t>
      </w:r>
    </w:p>
    <w:p w:rsidR="009C6186" w:rsidRPr="00BA6590" w:rsidRDefault="009C6186" w:rsidP="00C52465">
      <w:pPr>
        <w:pStyle w:val="SingleTxtG"/>
        <w:rPr>
          <w:lang w:val="en-GB"/>
        </w:rPr>
      </w:pPr>
      <w:r w:rsidRPr="00BA6590">
        <w:rPr>
          <w:lang w:val="en-GB"/>
        </w:rPr>
        <w:t>353.</w:t>
      </w:r>
      <w:r w:rsidRPr="00BA6590">
        <w:rPr>
          <w:lang w:val="en-GB"/>
        </w:rPr>
        <w:tab/>
      </w:r>
      <w:r w:rsidR="00742F55" w:rsidRPr="00BA6590">
        <w:rPr>
          <w:lang w:val="en-GB"/>
        </w:rPr>
        <w:t xml:space="preserve">The legislators have provided for various types of detention </w:t>
      </w:r>
      <w:r w:rsidR="00B97985" w:rsidRPr="00BA6590">
        <w:rPr>
          <w:lang w:val="en-GB"/>
        </w:rPr>
        <w:t>pursuant to</w:t>
      </w:r>
      <w:r w:rsidR="00742F55" w:rsidRPr="00BA6590">
        <w:rPr>
          <w:lang w:val="en-GB"/>
        </w:rPr>
        <w:t xml:space="preserve"> the </w:t>
      </w:r>
      <w:r w:rsidRPr="00BA6590">
        <w:rPr>
          <w:lang w:val="en-GB"/>
        </w:rPr>
        <w:t>Dublin</w:t>
      </w:r>
      <w:r w:rsidR="00742F55" w:rsidRPr="00BA6590">
        <w:rPr>
          <w:lang w:val="en-GB"/>
        </w:rPr>
        <w:t xml:space="preserve"> Regulation.</w:t>
      </w:r>
      <w:r w:rsidR="009A262C" w:rsidRPr="00BA6590">
        <w:rPr>
          <w:rStyle w:val="FootnoteReference"/>
          <w:lang w:val="en-GB"/>
        </w:rPr>
        <w:footnoteReference w:id="43"/>
      </w:r>
    </w:p>
    <w:p w:rsidR="009C6186" w:rsidRPr="00BA6590" w:rsidRDefault="009C6186" w:rsidP="007A67EF">
      <w:pPr>
        <w:pStyle w:val="SingleTxtG"/>
        <w:rPr>
          <w:lang w:val="en-GB"/>
        </w:rPr>
      </w:pPr>
      <w:r w:rsidRPr="00BA6590">
        <w:rPr>
          <w:lang w:val="en-GB"/>
        </w:rPr>
        <w:t>354.</w:t>
      </w:r>
      <w:r w:rsidRPr="00BA6590">
        <w:rPr>
          <w:lang w:val="en-GB"/>
        </w:rPr>
        <w:tab/>
      </w:r>
      <w:r w:rsidR="0026770C" w:rsidRPr="00BA6590">
        <w:rPr>
          <w:lang w:val="en-GB"/>
        </w:rPr>
        <w:t xml:space="preserve">First, there is detention during the period needed for determining the State responsible, under the Dublin Regulation, for processing the asylum request (both at the frontier and within the country). </w:t>
      </w:r>
      <w:r w:rsidR="00B97985" w:rsidRPr="00BA6590">
        <w:rPr>
          <w:lang w:val="en-GB"/>
        </w:rPr>
        <w:t>In such cases, t</w:t>
      </w:r>
      <w:r w:rsidR="0026770C" w:rsidRPr="00BA6590">
        <w:rPr>
          <w:lang w:val="en-GB"/>
        </w:rPr>
        <w:t xml:space="preserve">he Belgian State is aware of </w:t>
      </w:r>
      <w:r w:rsidR="00B71103" w:rsidRPr="00BA6590">
        <w:rPr>
          <w:lang w:val="en-GB"/>
        </w:rPr>
        <w:t>an</w:t>
      </w:r>
      <w:r w:rsidR="0026770C" w:rsidRPr="00BA6590">
        <w:rPr>
          <w:lang w:val="en-GB"/>
        </w:rPr>
        <w:t xml:space="preserve"> asylum request made by the </w:t>
      </w:r>
      <w:r w:rsidR="004F4861" w:rsidRPr="00BA6590">
        <w:rPr>
          <w:lang w:val="en-GB"/>
        </w:rPr>
        <w:t>asylum seeker</w:t>
      </w:r>
      <w:r w:rsidR="0026770C" w:rsidRPr="00BA6590">
        <w:rPr>
          <w:lang w:val="en-GB"/>
        </w:rPr>
        <w:t xml:space="preserve"> to another </w:t>
      </w:r>
      <w:r w:rsidR="00816F73" w:rsidRPr="00BA6590">
        <w:rPr>
          <w:lang w:val="en-GB"/>
        </w:rPr>
        <w:t>member State</w:t>
      </w:r>
      <w:r w:rsidR="0026770C" w:rsidRPr="00BA6590">
        <w:rPr>
          <w:lang w:val="en-GB"/>
        </w:rPr>
        <w:t xml:space="preserve">. The applicant is detained because there is a risk that he will not depart voluntarily. </w:t>
      </w:r>
      <w:r w:rsidR="004F64AC" w:rsidRPr="00BA6590">
        <w:rPr>
          <w:lang w:val="en-GB"/>
        </w:rPr>
        <w:t xml:space="preserve">This is done on the basis of </w:t>
      </w:r>
      <w:r w:rsidRPr="00BA6590">
        <w:rPr>
          <w:lang w:val="en-GB"/>
        </w:rPr>
        <w:t>article 51</w:t>
      </w:r>
      <w:r w:rsidR="004F64AC" w:rsidRPr="00BA6590">
        <w:rPr>
          <w:lang w:val="en-GB"/>
        </w:rPr>
        <w:t xml:space="preserve"> (</w:t>
      </w:r>
      <w:r w:rsidRPr="00BA6590">
        <w:rPr>
          <w:lang w:val="en-GB"/>
        </w:rPr>
        <w:t>5</w:t>
      </w:r>
      <w:r w:rsidR="004F64AC" w:rsidRPr="00BA6590">
        <w:rPr>
          <w:lang w:val="en-GB"/>
        </w:rPr>
        <w:t>)</w:t>
      </w:r>
      <w:r w:rsidRPr="00BA6590">
        <w:rPr>
          <w:lang w:val="en-GB"/>
        </w:rPr>
        <w:t xml:space="preserve"> </w:t>
      </w:r>
      <w:r w:rsidR="004F64AC" w:rsidRPr="00BA6590">
        <w:rPr>
          <w:lang w:val="en-GB"/>
        </w:rPr>
        <w:t>(</w:t>
      </w:r>
      <w:r w:rsidR="002409EB" w:rsidRPr="00BA6590">
        <w:rPr>
          <w:lang w:val="en-GB"/>
        </w:rPr>
        <w:t>1</w:t>
      </w:r>
      <w:r w:rsidR="004F64AC" w:rsidRPr="00BA6590">
        <w:rPr>
          <w:lang w:val="en-GB"/>
        </w:rPr>
        <w:t>), subparagraph</w:t>
      </w:r>
      <w:r w:rsidRPr="00BA6590">
        <w:rPr>
          <w:lang w:val="en-GB"/>
        </w:rPr>
        <w:t xml:space="preserve"> 2,</w:t>
      </w:r>
      <w:r w:rsidR="004F64AC" w:rsidRPr="00BA6590">
        <w:rPr>
          <w:lang w:val="en-GB"/>
        </w:rPr>
        <w:t xml:space="preserve"> of the Act</w:t>
      </w:r>
      <w:r w:rsidR="00401B92" w:rsidRPr="00BA6590">
        <w:rPr>
          <w:lang w:val="en-GB"/>
        </w:rPr>
        <w:t xml:space="preserve"> of 15 December 1980</w:t>
      </w:r>
      <w:r w:rsidR="004F64AC" w:rsidRPr="00BA6590">
        <w:rPr>
          <w:lang w:val="en-GB"/>
        </w:rPr>
        <w:t xml:space="preserve"> and </w:t>
      </w:r>
      <w:r w:rsidRPr="00BA6590">
        <w:rPr>
          <w:lang w:val="en-GB"/>
        </w:rPr>
        <w:t>article 71</w:t>
      </w:r>
      <w:r w:rsidR="004F64AC" w:rsidRPr="00BA6590">
        <w:rPr>
          <w:lang w:val="en-GB"/>
        </w:rPr>
        <w:t xml:space="preserve"> (</w:t>
      </w:r>
      <w:r w:rsidR="00834782" w:rsidRPr="00BA6590">
        <w:rPr>
          <w:lang w:val="en-GB"/>
        </w:rPr>
        <w:t xml:space="preserve">2 </w:t>
      </w:r>
      <w:r w:rsidR="00834782" w:rsidRPr="00BA6590">
        <w:rPr>
          <w:i/>
          <w:iCs/>
          <w:lang w:val="en-GB"/>
        </w:rPr>
        <w:t>bis</w:t>
      </w:r>
      <w:r w:rsidR="00B97985" w:rsidRPr="00BA6590">
        <w:rPr>
          <w:iCs/>
          <w:lang w:val="en-GB"/>
        </w:rPr>
        <w:t>)</w:t>
      </w:r>
      <w:r w:rsidRPr="00BA6590">
        <w:rPr>
          <w:lang w:val="en-GB"/>
        </w:rPr>
        <w:t xml:space="preserve"> </w:t>
      </w:r>
      <w:r w:rsidR="004F64AC" w:rsidRPr="00BA6590">
        <w:rPr>
          <w:lang w:val="en-GB"/>
        </w:rPr>
        <w:t xml:space="preserve">of the Royal Order of </w:t>
      </w:r>
      <w:r w:rsidRPr="00BA6590">
        <w:rPr>
          <w:lang w:val="en-GB"/>
        </w:rPr>
        <w:t xml:space="preserve">8 </w:t>
      </w:r>
      <w:r w:rsidR="003F5E21" w:rsidRPr="00BA6590">
        <w:rPr>
          <w:lang w:val="en-GB"/>
        </w:rPr>
        <w:t>October</w:t>
      </w:r>
      <w:r w:rsidRPr="00BA6590">
        <w:rPr>
          <w:lang w:val="en-GB"/>
        </w:rPr>
        <w:t xml:space="preserve"> 1981</w:t>
      </w:r>
      <w:r w:rsidR="004F64AC" w:rsidRPr="00BA6590">
        <w:rPr>
          <w:lang w:val="en-GB"/>
        </w:rPr>
        <w:t xml:space="preserve"> on the entry, residence, settlement and deportation of foreign nationals. The duration of the detention is restricted to the time necessary for the responsible State or a maximum of one month, which can be extended for a further month in highly complex cases. </w:t>
      </w:r>
    </w:p>
    <w:p w:rsidR="009C6186" w:rsidRPr="00BA6590" w:rsidRDefault="009C6186" w:rsidP="00D353A7">
      <w:pPr>
        <w:pStyle w:val="SingleTxtG"/>
        <w:rPr>
          <w:lang w:val="en-GB"/>
        </w:rPr>
      </w:pPr>
      <w:r w:rsidRPr="00BA6590">
        <w:rPr>
          <w:lang w:val="en-GB"/>
        </w:rPr>
        <w:t>355.</w:t>
      </w:r>
      <w:r w:rsidRPr="00BA6590">
        <w:rPr>
          <w:lang w:val="en-GB"/>
        </w:rPr>
        <w:tab/>
      </w:r>
      <w:r w:rsidR="004F64AC" w:rsidRPr="00BA6590">
        <w:rPr>
          <w:lang w:val="en-GB"/>
        </w:rPr>
        <w:t>There can also be detention on the basis of a decision that Belgium is not responsible for the asylum application and that another State party to the Dublin Agreement is responsible (</w:t>
      </w:r>
      <w:r w:rsidR="00B97985" w:rsidRPr="00BA6590">
        <w:rPr>
          <w:lang w:val="en-GB"/>
        </w:rPr>
        <w:t>either</w:t>
      </w:r>
      <w:r w:rsidR="004F64AC" w:rsidRPr="00BA6590">
        <w:rPr>
          <w:lang w:val="en-GB"/>
        </w:rPr>
        <w:t xml:space="preserve"> at the border </w:t>
      </w:r>
      <w:r w:rsidR="00B97985" w:rsidRPr="00BA6590">
        <w:rPr>
          <w:lang w:val="en-GB"/>
        </w:rPr>
        <w:t>or</w:t>
      </w:r>
      <w:r w:rsidR="004F64AC" w:rsidRPr="00BA6590">
        <w:rPr>
          <w:lang w:val="en-GB"/>
        </w:rPr>
        <w:t xml:space="preserve"> within the country)</w:t>
      </w:r>
      <w:r w:rsidRPr="00BA6590">
        <w:rPr>
          <w:lang w:val="en-GB"/>
        </w:rPr>
        <w:t>.</w:t>
      </w:r>
      <w:r w:rsidR="004F64AC" w:rsidRPr="00BA6590">
        <w:rPr>
          <w:lang w:val="en-GB"/>
        </w:rPr>
        <w:t xml:space="preserve"> As with article</w:t>
      </w:r>
      <w:r w:rsidRPr="00BA6590">
        <w:rPr>
          <w:lang w:val="en-GB"/>
        </w:rPr>
        <w:t xml:space="preserve"> 354, </w:t>
      </w:r>
      <w:r w:rsidR="004F64AC" w:rsidRPr="00BA6590">
        <w:rPr>
          <w:lang w:val="en-GB"/>
        </w:rPr>
        <w:t xml:space="preserve">it is presumed that the asylum applicant does not intend to leave voluntarily. Furthermore, transfer modalities have to be agreed with the responsible </w:t>
      </w:r>
      <w:r w:rsidR="00360878" w:rsidRPr="00BA6590">
        <w:rPr>
          <w:lang w:val="en-GB"/>
        </w:rPr>
        <w:t>“</w:t>
      </w:r>
      <w:r w:rsidR="004F64AC" w:rsidRPr="00BA6590">
        <w:rPr>
          <w:lang w:val="en-GB"/>
        </w:rPr>
        <w:t>Dublin State</w:t>
      </w:r>
      <w:r w:rsidR="00360878" w:rsidRPr="00BA6590">
        <w:rPr>
          <w:lang w:val="en-GB"/>
        </w:rPr>
        <w:t>”</w:t>
      </w:r>
      <w:r w:rsidR="004F64AC" w:rsidRPr="00BA6590">
        <w:rPr>
          <w:lang w:val="en-GB"/>
        </w:rPr>
        <w:t xml:space="preserve">; in this context, the other </w:t>
      </w:r>
      <w:r w:rsidR="00360878" w:rsidRPr="00BA6590">
        <w:rPr>
          <w:lang w:val="en-GB"/>
        </w:rPr>
        <w:t>“</w:t>
      </w:r>
      <w:r w:rsidR="004F64AC" w:rsidRPr="00BA6590">
        <w:rPr>
          <w:lang w:val="en-GB"/>
        </w:rPr>
        <w:t>Dublin State</w:t>
      </w:r>
      <w:r w:rsidR="00360878" w:rsidRPr="00BA6590">
        <w:rPr>
          <w:lang w:val="en-GB"/>
        </w:rPr>
        <w:t>”</w:t>
      </w:r>
      <w:r w:rsidR="004F64AC" w:rsidRPr="00BA6590">
        <w:rPr>
          <w:lang w:val="en-GB"/>
        </w:rPr>
        <w:t xml:space="preserve"> may request </w:t>
      </w:r>
      <w:r w:rsidR="00DF486E" w:rsidRPr="00BA6590">
        <w:rPr>
          <w:lang w:val="en-GB"/>
        </w:rPr>
        <w:t>a controlled handover</w:t>
      </w:r>
      <w:r w:rsidR="004F64AC" w:rsidRPr="00BA6590">
        <w:rPr>
          <w:lang w:val="en-GB"/>
        </w:rPr>
        <w:t xml:space="preserve"> </w:t>
      </w:r>
      <w:r w:rsidRPr="00BA6590">
        <w:rPr>
          <w:lang w:val="en-GB"/>
        </w:rPr>
        <w:t>(</w:t>
      </w:r>
      <w:r w:rsidR="00DF486E" w:rsidRPr="00BA6590">
        <w:rPr>
          <w:lang w:val="en-GB"/>
        </w:rPr>
        <w:t xml:space="preserve">Dublin Regulation, </w:t>
      </w:r>
      <w:r w:rsidRPr="00BA6590">
        <w:rPr>
          <w:lang w:val="en-GB"/>
        </w:rPr>
        <w:t xml:space="preserve">articles 19 </w:t>
      </w:r>
      <w:r w:rsidR="00DF486E" w:rsidRPr="00BA6590">
        <w:rPr>
          <w:lang w:val="en-GB"/>
        </w:rPr>
        <w:t>(</w:t>
      </w:r>
      <w:r w:rsidRPr="00BA6590">
        <w:rPr>
          <w:lang w:val="en-GB"/>
        </w:rPr>
        <w:t>3</w:t>
      </w:r>
      <w:r w:rsidR="00DF486E" w:rsidRPr="00BA6590">
        <w:rPr>
          <w:lang w:val="en-GB"/>
        </w:rPr>
        <w:t>) and</w:t>
      </w:r>
      <w:r w:rsidRPr="00BA6590">
        <w:rPr>
          <w:lang w:val="en-GB"/>
        </w:rPr>
        <w:t xml:space="preserve"> 20 </w:t>
      </w:r>
      <w:r w:rsidR="00DF486E" w:rsidRPr="00BA6590">
        <w:rPr>
          <w:lang w:val="en-GB"/>
        </w:rPr>
        <w:t>(</w:t>
      </w:r>
      <w:r w:rsidR="002409EB" w:rsidRPr="00BA6590">
        <w:rPr>
          <w:lang w:val="en-GB"/>
        </w:rPr>
        <w:t>1</w:t>
      </w:r>
      <w:r w:rsidR="00DF486E" w:rsidRPr="00BA6590">
        <w:rPr>
          <w:lang w:val="en-GB"/>
        </w:rPr>
        <w:t>)</w:t>
      </w:r>
      <w:r w:rsidRPr="00BA6590">
        <w:rPr>
          <w:lang w:val="en-GB"/>
        </w:rPr>
        <w:t xml:space="preserve"> </w:t>
      </w:r>
      <w:r w:rsidR="00DF486E" w:rsidRPr="00BA6590">
        <w:rPr>
          <w:lang w:val="en-GB"/>
        </w:rPr>
        <w:t>(</w:t>
      </w:r>
      <w:r w:rsidRPr="00BA6590">
        <w:rPr>
          <w:lang w:val="en-GB"/>
        </w:rPr>
        <w:t xml:space="preserve">d)). </w:t>
      </w:r>
      <w:r w:rsidR="00DF486E" w:rsidRPr="00BA6590">
        <w:rPr>
          <w:lang w:val="en-GB"/>
        </w:rPr>
        <w:t xml:space="preserve">Also, </w:t>
      </w:r>
      <w:r w:rsidRPr="00BA6590">
        <w:rPr>
          <w:lang w:val="en-GB"/>
        </w:rPr>
        <w:t xml:space="preserve">article 19 </w:t>
      </w:r>
      <w:r w:rsidR="00DF486E" w:rsidRPr="00BA6590">
        <w:rPr>
          <w:lang w:val="en-GB"/>
        </w:rPr>
        <w:t>(</w:t>
      </w:r>
      <w:r w:rsidRPr="00BA6590">
        <w:rPr>
          <w:lang w:val="en-GB"/>
        </w:rPr>
        <w:t>4</w:t>
      </w:r>
      <w:r w:rsidR="00DF486E" w:rsidRPr="00BA6590">
        <w:rPr>
          <w:lang w:val="en-GB"/>
        </w:rPr>
        <w:t xml:space="preserve">) of the Regulation states that </w:t>
      </w:r>
      <w:r w:rsidR="00360878" w:rsidRPr="00BA6590">
        <w:rPr>
          <w:lang w:val="en-GB"/>
        </w:rPr>
        <w:t>“</w:t>
      </w:r>
      <w:r w:rsidR="00DF486E" w:rsidRPr="00BA6590">
        <w:rPr>
          <w:lang w:val="en-GB"/>
        </w:rPr>
        <w:t>Where the transfer doe</w:t>
      </w:r>
      <w:r w:rsidR="00B97985" w:rsidRPr="00BA6590">
        <w:rPr>
          <w:lang w:val="en-GB"/>
        </w:rPr>
        <w:t>s not take place within the six-</w:t>
      </w:r>
      <w:r w:rsidR="00DF486E" w:rsidRPr="00BA6590">
        <w:rPr>
          <w:lang w:val="en-GB"/>
        </w:rPr>
        <w:t xml:space="preserve">month time limit, responsibility shall lie with the </w:t>
      </w:r>
      <w:r w:rsidR="00816F73" w:rsidRPr="00BA6590">
        <w:rPr>
          <w:lang w:val="en-GB"/>
        </w:rPr>
        <w:t>member State</w:t>
      </w:r>
      <w:r w:rsidR="00DF486E" w:rsidRPr="00BA6590">
        <w:rPr>
          <w:lang w:val="en-GB"/>
        </w:rPr>
        <w:t xml:space="preserve"> in which the ap</w:t>
      </w:r>
      <w:r w:rsidR="00360878" w:rsidRPr="00BA6590">
        <w:rPr>
          <w:lang w:val="en-GB"/>
        </w:rPr>
        <w:t>plication for asylum was lodged”.</w:t>
      </w:r>
      <w:r w:rsidR="00DF486E" w:rsidRPr="00BA6590">
        <w:rPr>
          <w:lang w:val="en-GB"/>
        </w:rPr>
        <w:t xml:space="preserve"> The legal basis is </w:t>
      </w:r>
      <w:r w:rsidRPr="00BA6590">
        <w:rPr>
          <w:lang w:val="en-GB"/>
        </w:rPr>
        <w:t>article 51</w:t>
      </w:r>
      <w:r w:rsidR="00DF486E" w:rsidRPr="00BA6590">
        <w:rPr>
          <w:lang w:val="en-GB"/>
        </w:rPr>
        <w:t xml:space="preserve"> (</w:t>
      </w:r>
      <w:r w:rsidRPr="00BA6590">
        <w:rPr>
          <w:lang w:val="en-GB"/>
        </w:rPr>
        <w:t>5</w:t>
      </w:r>
      <w:r w:rsidR="00DF486E" w:rsidRPr="00BA6590">
        <w:rPr>
          <w:lang w:val="en-GB"/>
        </w:rPr>
        <w:t>)</w:t>
      </w:r>
      <w:r w:rsidRPr="00BA6590">
        <w:rPr>
          <w:lang w:val="en-GB"/>
        </w:rPr>
        <w:t xml:space="preserve"> </w:t>
      </w:r>
      <w:r w:rsidR="00DF486E" w:rsidRPr="00BA6590">
        <w:rPr>
          <w:lang w:val="en-GB"/>
        </w:rPr>
        <w:t>(</w:t>
      </w:r>
      <w:r w:rsidRPr="00BA6590">
        <w:rPr>
          <w:lang w:val="en-GB"/>
        </w:rPr>
        <w:t>3</w:t>
      </w:r>
      <w:r w:rsidR="00DF486E" w:rsidRPr="00BA6590">
        <w:rPr>
          <w:lang w:val="en-GB"/>
        </w:rPr>
        <w:t>)</w:t>
      </w:r>
      <w:r w:rsidRPr="00BA6590">
        <w:rPr>
          <w:lang w:val="en-GB"/>
        </w:rPr>
        <w:t xml:space="preserve">, </w:t>
      </w:r>
      <w:r w:rsidR="00DF486E" w:rsidRPr="00BA6590">
        <w:rPr>
          <w:lang w:val="en-GB"/>
        </w:rPr>
        <w:t xml:space="preserve">subparagraph </w:t>
      </w:r>
      <w:r w:rsidRPr="00BA6590">
        <w:rPr>
          <w:lang w:val="en-GB"/>
        </w:rPr>
        <w:t xml:space="preserve">4, </w:t>
      </w:r>
      <w:r w:rsidR="00DF486E" w:rsidRPr="00BA6590">
        <w:rPr>
          <w:lang w:val="en-GB"/>
        </w:rPr>
        <w:t xml:space="preserve">of the aforementioned Act. The duration of the detention is limited to one month, not including any period during which the </w:t>
      </w:r>
      <w:r w:rsidR="004F4861" w:rsidRPr="00BA6590">
        <w:rPr>
          <w:lang w:val="en-GB"/>
        </w:rPr>
        <w:t>asylum seeker</w:t>
      </w:r>
      <w:r w:rsidR="00DF486E" w:rsidRPr="00BA6590">
        <w:rPr>
          <w:lang w:val="en-GB"/>
        </w:rPr>
        <w:t xml:space="preserve"> may have been deprived of liberty pursuant to article 354. </w:t>
      </w:r>
    </w:p>
    <w:p w:rsidR="009C6186" w:rsidRPr="00BA6590" w:rsidRDefault="009C6186" w:rsidP="004C0723">
      <w:pPr>
        <w:pStyle w:val="H56G"/>
        <w:rPr>
          <w:lang w:val="en-GB"/>
        </w:rPr>
      </w:pPr>
      <w:r w:rsidRPr="00BA6590">
        <w:rPr>
          <w:lang w:val="en-GB"/>
        </w:rPr>
        <w:tab/>
      </w:r>
      <w:r w:rsidRPr="00BA6590">
        <w:rPr>
          <w:lang w:val="en-GB"/>
        </w:rPr>
        <w:tab/>
        <w:t>Alternatives</w:t>
      </w:r>
      <w:r w:rsidR="00DF486E" w:rsidRPr="00BA6590">
        <w:rPr>
          <w:lang w:val="en-GB"/>
        </w:rPr>
        <w:t xml:space="preserve"> to detention for families with minor children</w:t>
      </w:r>
    </w:p>
    <w:p w:rsidR="009C6186" w:rsidRPr="00BA6590" w:rsidRDefault="009C6186" w:rsidP="007E6C20">
      <w:pPr>
        <w:pStyle w:val="SingleTxtG"/>
        <w:rPr>
          <w:lang w:val="en-GB"/>
        </w:rPr>
      </w:pPr>
      <w:r w:rsidRPr="00BA6590">
        <w:rPr>
          <w:lang w:val="en-GB"/>
        </w:rPr>
        <w:t>356.</w:t>
      </w:r>
      <w:r w:rsidRPr="00BA6590">
        <w:rPr>
          <w:lang w:val="en-GB"/>
        </w:rPr>
        <w:tab/>
      </w:r>
      <w:r w:rsidR="006E713B" w:rsidRPr="00BA6590">
        <w:rPr>
          <w:lang w:val="en-GB"/>
        </w:rPr>
        <w:t xml:space="preserve">Since 1 </w:t>
      </w:r>
      <w:r w:rsidR="003F5E21" w:rsidRPr="00BA6590">
        <w:rPr>
          <w:lang w:val="en-GB"/>
        </w:rPr>
        <w:t>October</w:t>
      </w:r>
      <w:r w:rsidRPr="00BA6590">
        <w:rPr>
          <w:lang w:val="en-GB"/>
        </w:rPr>
        <w:t xml:space="preserve"> 2008,</w:t>
      </w:r>
      <w:r w:rsidR="006E713B" w:rsidRPr="00BA6590">
        <w:rPr>
          <w:lang w:val="en-GB"/>
        </w:rPr>
        <w:t xml:space="preserve"> low-security accommodation consisting of single-family homes, as provided for in </w:t>
      </w:r>
      <w:r w:rsidRPr="00BA6590">
        <w:rPr>
          <w:lang w:val="en-GB"/>
        </w:rPr>
        <w:t>article 74</w:t>
      </w:r>
      <w:r w:rsidR="006E713B" w:rsidRPr="00BA6590">
        <w:rPr>
          <w:lang w:val="en-GB"/>
        </w:rPr>
        <w:t xml:space="preserve"> (</w:t>
      </w:r>
      <w:r w:rsidRPr="00BA6590">
        <w:rPr>
          <w:lang w:val="en-GB"/>
        </w:rPr>
        <w:t>8</w:t>
      </w:r>
      <w:r w:rsidR="006E713B" w:rsidRPr="00BA6590">
        <w:rPr>
          <w:lang w:val="en-GB"/>
        </w:rPr>
        <w:t>) (1 and 2)</w:t>
      </w:r>
      <w:r w:rsidRPr="00BA6590">
        <w:rPr>
          <w:lang w:val="en-GB"/>
        </w:rPr>
        <w:t xml:space="preserve"> </w:t>
      </w:r>
      <w:r w:rsidR="006E713B" w:rsidRPr="00BA6590">
        <w:rPr>
          <w:lang w:val="en-GB"/>
        </w:rPr>
        <w:t>of the Act, are made available to undocumented families (including unsuccessful applicants for asylum) as an alternative to detention in closed facilities pending the execution of a deportation order. This accommodation enables families to enjoy infrastructure which meets their needs. Children may live there with their parents or guardians, family members who are minors and relatives up to the second degree of consanguinity</w:t>
      </w:r>
      <w:r w:rsidRPr="00BA6590">
        <w:rPr>
          <w:lang w:val="en-GB"/>
        </w:rPr>
        <w:t>,</w:t>
      </w:r>
      <w:r w:rsidR="006E713B" w:rsidRPr="00BA6590">
        <w:rPr>
          <w:lang w:val="en-GB"/>
        </w:rPr>
        <w:t xml:space="preserve"> without having to share the housing unit with other adults or families. This accommodation was initially reserved for families </w:t>
      </w:r>
      <w:r w:rsidR="00F67151" w:rsidRPr="00BA6590">
        <w:rPr>
          <w:lang w:val="en-GB"/>
        </w:rPr>
        <w:t xml:space="preserve">currently located within the country. The Royal Order of </w:t>
      </w:r>
      <w:r w:rsidRPr="00BA6590">
        <w:rPr>
          <w:lang w:val="en-GB"/>
        </w:rPr>
        <w:t xml:space="preserve">22 </w:t>
      </w:r>
      <w:r w:rsidR="003F5E21" w:rsidRPr="00BA6590">
        <w:rPr>
          <w:lang w:val="en-GB"/>
        </w:rPr>
        <w:t>April</w:t>
      </w:r>
      <w:r w:rsidRPr="00BA6590">
        <w:rPr>
          <w:lang w:val="en-GB"/>
        </w:rPr>
        <w:t xml:space="preserve"> 2010</w:t>
      </w:r>
      <w:r w:rsidR="00F67151" w:rsidRPr="00BA6590">
        <w:rPr>
          <w:lang w:val="en-GB"/>
        </w:rPr>
        <w:t xml:space="preserve"> amending the Royal Order of </w:t>
      </w:r>
      <w:r w:rsidRPr="00BA6590">
        <w:rPr>
          <w:lang w:val="en-GB"/>
        </w:rPr>
        <w:t xml:space="preserve">14 </w:t>
      </w:r>
      <w:r w:rsidR="003F5E21" w:rsidRPr="00BA6590">
        <w:rPr>
          <w:lang w:val="en-GB"/>
        </w:rPr>
        <w:t>May</w:t>
      </w:r>
      <w:r w:rsidRPr="00BA6590">
        <w:rPr>
          <w:lang w:val="en-GB"/>
        </w:rPr>
        <w:t xml:space="preserve"> 2009</w:t>
      </w:r>
      <w:r w:rsidR="00F67151" w:rsidRPr="00BA6590">
        <w:rPr>
          <w:lang w:val="en-GB"/>
        </w:rPr>
        <w:t xml:space="preserve">, which established the regime and operating rules applicable to accommodation facilities under </w:t>
      </w:r>
      <w:r w:rsidRPr="00BA6590">
        <w:rPr>
          <w:lang w:val="en-GB"/>
        </w:rPr>
        <w:t>article 74</w:t>
      </w:r>
      <w:r w:rsidR="00F67151" w:rsidRPr="00BA6590">
        <w:rPr>
          <w:lang w:val="en-GB"/>
        </w:rPr>
        <w:t xml:space="preserve"> (</w:t>
      </w:r>
      <w:r w:rsidRPr="00BA6590">
        <w:rPr>
          <w:lang w:val="en-GB"/>
        </w:rPr>
        <w:t>8</w:t>
      </w:r>
      <w:r w:rsidR="00F67151" w:rsidRPr="00BA6590">
        <w:rPr>
          <w:lang w:val="en-GB"/>
        </w:rPr>
        <w:t>)</w:t>
      </w:r>
      <w:r w:rsidRPr="00BA6590">
        <w:rPr>
          <w:lang w:val="en-GB"/>
        </w:rPr>
        <w:t xml:space="preserve"> </w:t>
      </w:r>
      <w:r w:rsidR="00F67151" w:rsidRPr="00BA6590">
        <w:rPr>
          <w:lang w:val="en-GB"/>
        </w:rPr>
        <w:t>(</w:t>
      </w:r>
      <w:r w:rsidRPr="00BA6590">
        <w:rPr>
          <w:lang w:val="en-GB"/>
        </w:rPr>
        <w:t>2</w:t>
      </w:r>
      <w:r w:rsidR="00F67151" w:rsidRPr="00BA6590">
        <w:rPr>
          <w:lang w:val="en-GB"/>
        </w:rPr>
        <w:t>) of the Act, extended access to those facilities to families currently located at the border. In this case, the accommodation facility is considered to be a determined site on the border</w:t>
      </w:r>
      <w:r w:rsidRPr="00BA6590">
        <w:rPr>
          <w:lang w:val="en-GB"/>
        </w:rPr>
        <w:t>,</w:t>
      </w:r>
      <w:r w:rsidR="00F67151" w:rsidRPr="00BA6590">
        <w:rPr>
          <w:lang w:val="en-GB"/>
        </w:rPr>
        <w:t xml:space="preserve"> to ensure the application of the Convention on International Civil Aviation (</w:t>
      </w:r>
      <w:r w:rsidRPr="00BA6590">
        <w:rPr>
          <w:lang w:val="en-GB"/>
        </w:rPr>
        <w:t>Chicago</w:t>
      </w:r>
      <w:r w:rsidR="00F67151" w:rsidRPr="00BA6590">
        <w:rPr>
          <w:lang w:val="en-GB"/>
        </w:rPr>
        <w:t xml:space="preserve"> Convention)</w:t>
      </w:r>
      <w:r w:rsidRPr="00BA6590">
        <w:rPr>
          <w:lang w:val="en-GB"/>
        </w:rPr>
        <w:t xml:space="preserve"> </w:t>
      </w:r>
      <w:r w:rsidR="00F67151" w:rsidRPr="00BA6590">
        <w:rPr>
          <w:lang w:val="en-GB"/>
        </w:rPr>
        <w:t>of</w:t>
      </w:r>
      <w:r w:rsidRPr="00BA6590">
        <w:rPr>
          <w:lang w:val="en-GB"/>
        </w:rPr>
        <w:t xml:space="preserve"> 7 </w:t>
      </w:r>
      <w:r w:rsidR="003F5E21" w:rsidRPr="00BA6590">
        <w:rPr>
          <w:lang w:val="en-GB"/>
        </w:rPr>
        <w:t>December</w:t>
      </w:r>
      <w:r w:rsidRPr="00BA6590">
        <w:rPr>
          <w:lang w:val="en-GB"/>
        </w:rPr>
        <w:t xml:space="preserve"> 1944</w:t>
      </w:r>
      <w:r w:rsidR="00F67151" w:rsidRPr="00BA6590">
        <w:rPr>
          <w:lang w:val="en-GB"/>
        </w:rPr>
        <w:t>,</w:t>
      </w:r>
      <w:r w:rsidRPr="00BA6590">
        <w:rPr>
          <w:lang w:val="en-GB"/>
        </w:rPr>
        <w:t xml:space="preserve"> </w:t>
      </w:r>
      <w:r w:rsidR="00F67151" w:rsidRPr="00BA6590">
        <w:rPr>
          <w:lang w:val="en-GB"/>
        </w:rPr>
        <w:t xml:space="preserve">as it relates to </w:t>
      </w:r>
      <w:r w:rsidRPr="00BA6590">
        <w:rPr>
          <w:i/>
          <w:lang w:val="en-GB"/>
        </w:rPr>
        <w:t>refoulement</w:t>
      </w:r>
      <w:r w:rsidRPr="00BA6590">
        <w:rPr>
          <w:lang w:val="en-GB"/>
        </w:rPr>
        <w:t xml:space="preserve">, </w:t>
      </w:r>
      <w:r w:rsidR="00F67151" w:rsidRPr="00BA6590">
        <w:rPr>
          <w:lang w:val="en-GB"/>
        </w:rPr>
        <w:t xml:space="preserve">when families fail to satisfy entry requirements. </w:t>
      </w:r>
    </w:p>
    <w:p w:rsidR="009C6186" w:rsidRPr="00BA6590" w:rsidRDefault="009C6186" w:rsidP="009C6186">
      <w:pPr>
        <w:pStyle w:val="SingleTxtG"/>
        <w:rPr>
          <w:lang w:val="en-GB"/>
        </w:rPr>
      </w:pPr>
      <w:r w:rsidRPr="00BA6590">
        <w:rPr>
          <w:lang w:val="en-GB"/>
        </w:rPr>
        <w:t>357.</w:t>
      </w:r>
      <w:r w:rsidRPr="00BA6590">
        <w:rPr>
          <w:lang w:val="en-GB"/>
        </w:rPr>
        <w:tab/>
      </w:r>
      <w:r w:rsidR="004F4861" w:rsidRPr="00BA6590">
        <w:rPr>
          <w:lang w:val="en-GB"/>
        </w:rPr>
        <w:t>Since the recent adoption of the</w:t>
      </w:r>
      <w:r w:rsidR="000B5D7C" w:rsidRPr="00BA6590">
        <w:rPr>
          <w:lang w:val="en-GB"/>
        </w:rPr>
        <w:t xml:space="preserve"> </w:t>
      </w:r>
      <w:r w:rsidR="004F4861" w:rsidRPr="00BA6590">
        <w:rPr>
          <w:lang w:val="en-GB"/>
        </w:rPr>
        <w:t xml:space="preserve">Act of </w:t>
      </w:r>
      <w:r w:rsidRPr="00BA6590">
        <w:rPr>
          <w:lang w:val="en-GB"/>
        </w:rPr>
        <w:t xml:space="preserve">16 </w:t>
      </w:r>
      <w:r w:rsidR="003F5E21" w:rsidRPr="00BA6590">
        <w:rPr>
          <w:lang w:val="en-GB"/>
        </w:rPr>
        <w:t>November</w:t>
      </w:r>
      <w:r w:rsidRPr="00BA6590">
        <w:rPr>
          <w:lang w:val="en-GB"/>
        </w:rPr>
        <w:t xml:space="preserve"> 2011 (</w:t>
      </w:r>
      <w:r w:rsidR="002420F6" w:rsidRPr="00BA6590">
        <w:rPr>
          <w:i/>
          <w:lang w:val="en-GB"/>
        </w:rPr>
        <w:t>Moniteur belge</w:t>
      </w:r>
      <w:r w:rsidRPr="00BA6590">
        <w:rPr>
          <w:lang w:val="en-GB"/>
        </w:rPr>
        <w:t xml:space="preserve">, 17 </w:t>
      </w:r>
      <w:r w:rsidR="003F5E21" w:rsidRPr="00BA6590">
        <w:rPr>
          <w:lang w:val="en-GB"/>
        </w:rPr>
        <w:t>February</w:t>
      </w:r>
      <w:r w:rsidRPr="00BA6590">
        <w:rPr>
          <w:lang w:val="en-GB"/>
        </w:rPr>
        <w:t xml:space="preserve"> 2012),</w:t>
      </w:r>
      <w:r w:rsidR="004F4861" w:rsidRPr="00BA6590">
        <w:rPr>
          <w:lang w:val="en-GB"/>
        </w:rPr>
        <w:t xml:space="preserve"> the detention of undocumented families with minor children for the purpose of deportation is restricted to narrowly defined cases provided for </w:t>
      </w:r>
      <w:r w:rsidR="00B97985" w:rsidRPr="00BA6590">
        <w:rPr>
          <w:lang w:val="en-GB"/>
        </w:rPr>
        <w:t>by</w:t>
      </w:r>
      <w:r w:rsidR="004F4861" w:rsidRPr="00BA6590">
        <w:rPr>
          <w:lang w:val="en-GB"/>
        </w:rPr>
        <w:t xml:space="preserve"> law, and must always be for the shortest possible period. </w:t>
      </w:r>
    </w:p>
    <w:p w:rsidR="009C6186" w:rsidRPr="00BA6590" w:rsidRDefault="008D0092" w:rsidP="008D0092">
      <w:pPr>
        <w:pStyle w:val="H56G"/>
        <w:rPr>
          <w:lang w:val="en-GB"/>
        </w:rPr>
      </w:pPr>
      <w:r w:rsidRPr="00BA6590">
        <w:rPr>
          <w:lang w:val="en-GB"/>
        </w:rPr>
        <w:tab/>
      </w:r>
      <w:r w:rsidRPr="00BA6590">
        <w:rPr>
          <w:lang w:val="en-GB"/>
        </w:rPr>
        <w:tab/>
      </w:r>
      <w:r w:rsidR="004F4861" w:rsidRPr="00BA6590">
        <w:rPr>
          <w:lang w:val="en-GB"/>
        </w:rPr>
        <w:t xml:space="preserve">Cessation of the practice of holding migrants in the airport transit </w:t>
      </w:r>
      <w:r w:rsidR="00940595" w:rsidRPr="00BA6590">
        <w:rPr>
          <w:lang w:val="en-GB"/>
        </w:rPr>
        <w:t>zone</w:t>
      </w:r>
    </w:p>
    <w:p w:rsidR="009C6186" w:rsidRPr="00BA6590" w:rsidRDefault="009C6186" w:rsidP="009C6186">
      <w:pPr>
        <w:pStyle w:val="SingleTxtG"/>
        <w:rPr>
          <w:lang w:val="en-GB"/>
        </w:rPr>
      </w:pPr>
      <w:r w:rsidRPr="00BA6590">
        <w:rPr>
          <w:lang w:val="en-GB"/>
        </w:rPr>
        <w:t>358.</w:t>
      </w:r>
      <w:r w:rsidRPr="00BA6590">
        <w:rPr>
          <w:lang w:val="en-GB"/>
        </w:rPr>
        <w:tab/>
      </w:r>
      <w:r w:rsidR="004F4861" w:rsidRPr="00BA6590">
        <w:rPr>
          <w:lang w:val="en-GB"/>
        </w:rPr>
        <w:t>The Committee</w:t>
      </w:r>
      <w:r w:rsidR="00A216FB" w:rsidRPr="00BA6590">
        <w:rPr>
          <w:lang w:val="en-GB"/>
        </w:rPr>
        <w:t>’</w:t>
      </w:r>
      <w:r w:rsidR="004F4861" w:rsidRPr="00BA6590">
        <w:rPr>
          <w:lang w:val="en-GB"/>
        </w:rPr>
        <w:t xml:space="preserve">s recommendation refers to the </w:t>
      </w:r>
      <w:r w:rsidR="00940595" w:rsidRPr="00BA6590">
        <w:rPr>
          <w:lang w:val="en-GB"/>
        </w:rPr>
        <w:t>condemnation of Belgium by the European Court of Human Rights</w:t>
      </w:r>
      <w:r w:rsidR="00A8638B" w:rsidRPr="00BA6590">
        <w:rPr>
          <w:lang w:val="en-GB"/>
        </w:rPr>
        <w:t xml:space="preserve"> (ECHR)</w:t>
      </w:r>
      <w:r w:rsidR="00940595" w:rsidRPr="00BA6590">
        <w:rPr>
          <w:lang w:val="en-GB"/>
        </w:rPr>
        <w:t xml:space="preserve"> in its Riad and Idiab decision of </w:t>
      </w:r>
      <w:r w:rsidRPr="00BA6590">
        <w:rPr>
          <w:lang w:val="en-GB"/>
        </w:rPr>
        <w:t xml:space="preserve">24 </w:t>
      </w:r>
      <w:r w:rsidR="003F5E21" w:rsidRPr="00BA6590">
        <w:rPr>
          <w:lang w:val="en-GB"/>
        </w:rPr>
        <w:t>January</w:t>
      </w:r>
      <w:r w:rsidRPr="00BA6590">
        <w:rPr>
          <w:lang w:val="en-GB"/>
        </w:rPr>
        <w:t xml:space="preserve"> 2008.</w:t>
      </w:r>
      <w:r w:rsidR="00940595" w:rsidRPr="00BA6590">
        <w:rPr>
          <w:lang w:val="en-GB"/>
        </w:rPr>
        <w:t xml:space="preserve"> It should be emphasized that this decision related specifically to the conditions of detention of the two plaintiffs in the airport transit zone. Since that decision, Belgium has ended the practice whereby</w:t>
      </w:r>
      <w:r w:rsidR="00F7399E" w:rsidRPr="00BA6590">
        <w:rPr>
          <w:lang w:val="en-GB"/>
        </w:rPr>
        <w:t>, by court order,</w:t>
      </w:r>
      <w:r w:rsidR="00940595" w:rsidRPr="00BA6590">
        <w:rPr>
          <w:lang w:val="en-GB"/>
        </w:rPr>
        <w:t xml:space="preserve"> persons held in detention centres</w:t>
      </w:r>
      <w:r w:rsidR="00F7399E" w:rsidRPr="00BA6590">
        <w:rPr>
          <w:lang w:val="en-GB"/>
        </w:rPr>
        <w:t xml:space="preserve"> could be released into an airport transit zone. </w:t>
      </w:r>
    </w:p>
    <w:p w:rsidR="009C6186" w:rsidRPr="00BA6590" w:rsidRDefault="009C6186" w:rsidP="0030160E">
      <w:pPr>
        <w:pStyle w:val="SingleTxtG"/>
        <w:rPr>
          <w:lang w:val="en-GB"/>
        </w:rPr>
      </w:pPr>
      <w:r w:rsidRPr="00BA6590">
        <w:rPr>
          <w:lang w:val="en-GB"/>
        </w:rPr>
        <w:t>359.</w:t>
      </w:r>
      <w:r w:rsidRPr="00BA6590">
        <w:rPr>
          <w:lang w:val="en-GB"/>
        </w:rPr>
        <w:tab/>
      </w:r>
      <w:r w:rsidR="00A8638B" w:rsidRPr="00BA6590">
        <w:rPr>
          <w:lang w:val="en-GB"/>
        </w:rPr>
        <w:t xml:space="preserve">The foreign national is freed as soon as the court order for his or her release is received; nonetheless, that release does not make his or her residence in the country legal. </w:t>
      </w:r>
    </w:p>
    <w:p w:rsidR="009C6186" w:rsidRPr="00BA6590" w:rsidRDefault="009C6186" w:rsidP="009C6186">
      <w:pPr>
        <w:pStyle w:val="SingleTxtG"/>
        <w:rPr>
          <w:lang w:val="en-GB"/>
        </w:rPr>
      </w:pPr>
      <w:r w:rsidRPr="00BA6590">
        <w:rPr>
          <w:lang w:val="en-GB"/>
        </w:rPr>
        <w:t>360.</w:t>
      </w:r>
      <w:r w:rsidRPr="00BA6590">
        <w:rPr>
          <w:lang w:val="en-GB"/>
        </w:rPr>
        <w:tab/>
      </w:r>
      <w:r w:rsidR="00A8638B" w:rsidRPr="00BA6590">
        <w:rPr>
          <w:lang w:val="en-GB"/>
        </w:rPr>
        <w:t>Thus, when the person</w:t>
      </w:r>
      <w:r w:rsidR="00A216FB" w:rsidRPr="00BA6590">
        <w:rPr>
          <w:lang w:val="en-GB"/>
        </w:rPr>
        <w:t>’</w:t>
      </w:r>
      <w:r w:rsidR="00A8638B" w:rsidRPr="00BA6590">
        <w:rPr>
          <w:lang w:val="en-GB"/>
        </w:rPr>
        <w:t xml:space="preserve">s specific situation has been considered, if it fails to satisfy the requirements for entry and residence, a new deportation order may be issued on the basis of </w:t>
      </w:r>
      <w:r w:rsidRPr="00BA6590">
        <w:rPr>
          <w:lang w:val="en-GB"/>
        </w:rPr>
        <w:t>article 7</w:t>
      </w:r>
      <w:r w:rsidR="00A8638B" w:rsidRPr="00BA6590">
        <w:rPr>
          <w:lang w:val="en-GB"/>
        </w:rPr>
        <w:t xml:space="preserve"> of the Act</w:t>
      </w:r>
      <w:r w:rsidRPr="00BA6590">
        <w:rPr>
          <w:lang w:val="en-GB"/>
        </w:rPr>
        <w:t>.</w:t>
      </w:r>
      <w:r w:rsidR="00A8638B" w:rsidRPr="00BA6590">
        <w:rPr>
          <w:lang w:val="en-GB"/>
        </w:rPr>
        <w:t xml:space="preserve"> The foreign national may be ordered to leave the country, and may comply voluntarily. If he or she fails to comply within the given deadline, a new decision may be taken to place the person in detention so that the expulsion can be carried out. This may result in the person being placed in a detention centre or under house arrest for whatever period is strictly necessary for the execution of the deportation. </w:t>
      </w:r>
    </w:p>
    <w:p w:rsidR="009C6186" w:rsidRPr="00BA6590" w:rsidRDefault="009C6186" w:rsidP="00B67303">
      <w:pPr>
        <w:pStyle w:val="H23G"/>
        <w:rPr>
          <w:lang w:val="en-GB"/>
        </w:rPr>
      </w:pPr>
      <w:r w:rsidRPr="00BA6590">
        <w:rPr>
          <w:lang w:val="en-GB"/>
        </w:rPr>
        <w:tab/>
      </w:r>
      <w:r w:rsidRPr="00BA6590">
        <w:rPr>
          <w:lang w:val="en-GB"/>
        </w:rPr>
        <w:tab/>
      </w:r>
      <w:r w:rsidR="00A8638B" w:rsidRPr="00BA6590">
        <w:rPr>
          <w:lang w:val="en-GB"/>
        </w:rPr>
        <w:t>Paragraph</w:t>
      </w:r>
      <w:r w:rsidR="00B67303" w:rsidRPr="00BA6590" w:rsidDel="00B67303">
        <w:rPr>
          <w:lang w:val="en-GB"/>
        </w:rPr>
        <w:t xml:space="preserve"> </w:t>
      </w:r>
      <w:r w:rsidRPr="00BA6590">
        <w:rPr>
          <w:lang w:val="en-GB"/>
        </w:rPr>
        <w:t>18</w:t>
      </w:r>
      <w:r w:rsidR="00A8638B" w:rsidRPr="00BA6590">
        <w:rPr>
          <w:lang w:val="en-GB"/>
        </w:rPr>
        <w:t xml:space="preserve"> of the</w:t>
      </w:r>
      <w:r w:rsidRPr="00BA6590">
        <w:rPr>
          <w:lang w:val="en-GB"/>
        </w:rPr>
        <w:t xml:space="preserve"> </w:t>
      </w:r>
      <w:r w:rsidR="00816F73" w:rsidRPr="00BA6590">
        <w:rPr>
          <w:lang w:val="en-GB"/>
        </w:rPr>
        <w:t>concluding observations</w:t>
      </w:r>
    </w:p>
    <w:p w:rsidR="009C6186" w:rsidRPr="00BA6590" w:rsidRDefault="009C6186" w:rsidP="00801148">
      <w:pPr>
        <w:pStyle w:val="SingleTxtG"/>
        <w:rPr>
          <w:lang w:val="en-GB"/>
        </w:rPr>
      </w:pPr>
      <w:r w:rsidRPr="00BA6590">
        <w:rPr>
          <w:lang w:val="en-GB"/>
        </w:rPr>
        <w:t>361.</w:t>
      </w:r>
      <w:r w:rsidRPr="00BA6590">
        <w:rPr>
          <w:lang w:val="en-GB"/>
        </w:rPr>
        <w:tab/>
      </w:r>
      <w:r w:rsidR="00A8638B" w:rsidRPr="00BA6590">
        <w:rPr>
          <w:lang w:val="en-GB"/>
        </w:rPr>
        <w:t xml:space="preserve">Belgium wishes to point out that the Committee has erroneously quoted a decision of the ECHR dated </w:t>
      </w:r>
      <w:r w:rsidRPr="00BA6590">
        <w:rPr>
          <w:lang w:val="en-GB"/>
        </w:rPr>
        <w:t xml:space="preserve">12 </w:t>
      </w:r>
      <w:r w:rsidR="003F5E21" w:rsidRPr="00BA6590">
        <w:rPr>
          <w:lang w:val="en-GB"/>
        </w:rPr>
        <w:t>October</w:t>
      </w:r>
      <w:r w:rsidRPr="00BA6590">
        <w:rPr>
          <w:lang w:val="en-GB"/>
        </w:rPr>
        <w:t xml:space="preserve"> 2006 (</w:t>
      </w:r>
      <w:r w:rsidRPr="00BA6590">
        <w:rPr>
          <w:i/>
          <w:iCs/>
          <w:lang w:val="en-GB"/>
        </w:rPr>
        <w:t xml:space="preserve">Mubilanzila Mayeka </w:t>
      </w:r>
      <w:r w:rsidR="00A8638B" w:rsidRPr="00BA6590">
        <w:rPr>
          <w:i/>
          <w:iCs/>
          <w:lang w:val="en-GB"/>
        </w:rPr>
        <w:t>and</w:t>
      </w:r>
      <w:r w:rsidRPr="00BA6590">
        <w:rPr>
          <w:i/>
          <w:iCs/>
          <w:lang w:val="en-GB"/>
        </w:rPr>
        <w:t xml:space="preserve"> Kaniki Mitunga</w:t>
      </w:r>
      <w:r w:rsidR="00A8638B" w:rsidRPr="00BA6590">
        <w:rPr>
          <w:lang w:val="en-GB"/>
        </w:rPr>
        <w:t xml:space="preserve"> v</w:t>
      </w:r>
      <w:r w:rsidRPr="00BA6590">
        <w:rPr>
          <w:lang w:val="en-GB"/>
        </w:rPr>
        <w:t xml:space="preserve">. </w:t>
      </w:r>
      <w:r w:rsidRPr="00BA6590">
        <w:rPr>
          <w:i/>
          <w:iCs/>
          <w:lang w:val="en-GB"/>
        </w:rPr>
        <w:t>Belgi</w:t>
      </w:r>
      <w:r w:rsidR="00A8638B" w:rsidRPr="00BA6590">
        <w:rPr>
          <w:i/>
          <w:iCs/>
          <w:lang w:val="en-GB"/>
        </w:rPr>
        <w:t>um</w:t>
      </w:r>
      <w:r w:rsidRPr="00BA6590">
        <w:rPr>
          <w:lang w:val="en-GB"/>
        </w:rPr>
        <w:t>).</w:t>
      </w:r>
      <w:r w:rsidR="00A8638B" w:rsidRPr="00BA6590">
        <w:rPr>
          <w:lang w:val="en-GB"/>
        </w:rPr>
        <w:t xml:space="preserve"> </w:t>
      </w:r>
      <w:r w:rsidR="009B5AAF" w:rsidRPr="00BA6590">
        <w:rPr>
          <w:lang w:val="en-GB"/>
        </w:rPr>
        <w:t>In that case, Belgium was not accused of excessive use of force when the deportation took place. It was mostly condemned for the conditions of detention in a closed</w:t>
      </w:r>
      <w:r w:rsidR="00E91B8C">
        <w:rPr>
          <w:lang w:val="en-GB"/>
        </w:rPr>
        <w:t xml:space="preserve"> facility unsuitable for a 5 </w:t>
      </w:r>
      <w:r w:rsidR="009B5AAF" w:rsidRPr="00BA6590">
        <w:rPr>
          <w:lang w:val="en-GB"/>
        </w:rPr>
        <w:t xml:space="preserve">year-old child and its subsequent deportation to the Democratic Republic of the </w:t>
      </w:r>
      <w:r w:rsidRPr="00BA6590">
        <w:rPr>
          <w:lang w:val="en-GB"/>
        </w:rPr>
        <w:t>Congo.</w:t>
      </w:r>
    </w:p>
    <w:p w:rsidR="009C6186" w:rsidRPr="00BA6590" w:rsidRDefault="009C6186" w:rsidP="009C6186">
      <w:pPr>
        <w:pStyle w:val="H4G"/>
        <w:rPr>
          <w:lang w:val="en-GB"/>
        </w:rPr>
      </w:pPr>
      <w:r w:rsidRPr="00BA6590">
        <w:rPr>
          <w:lang w:val="en-GB"/>
        </w:rPr>
        <w:tab/>
      </w:r>
      <w:r w:rsidRPr="00BA6590">
        <w:rPr>
          <w:lang w:val="en-GB"/>
        </w:rPr>
        <w:tab/>
      </w:r>
      <w:r w:rsidR="009B5AAF" w:rsidRPr="00BA6590">
        <w:rPr>
          <w:lang w:val="en-GB"/>
        </w:rPr>
        <w:t xml:space="preserve">Complaints, investigations and penalties in cases where </w:t>
      </w:r>
      <w:r w:rsidR="006229D6" w:rsidRPr="00BA6590">
        <w:rPr>
          <w:lang w:val="en-GB"/>
        </w:rPr>
        <w:t xml:space="preserve">mistreatment or </w:t>
      </w:r>
      <w:r w:rsidR="009B5AAF" w:rsidRPr="00BA6590">
        <w:rPr>
          <w:lang w:val="en-GB"/>
        </w:rPr>
        <w:t xml:space="preserve">excessive </w:t>
      </w:r>
      <w:r w:rsidR="008D0092" w:rsidRPr="00BA6590">
        <w:rPr>
          <w:lang w:val="en-GB"/>
        </w:rPr>
        <w:br/>
      </w:r>
      <w:r w:rsidR="009B5AAF" w:rsidRPr="00BA6590">
        <w:rPr>
          <w:lang w:val="en-GB"/>
        </w:rPr>
        <w:t>use of force is alleged</w:t>
      </w:r>
    </w:p>
    <w:p w:rsidR="0030160E" w:rsidRPr="00BA6590" w:rsidRDefault="009C6186" w:rsidP="00711283">
      <w:pPr>
        <w:pStyle w:val="SingleTxtG"/>
        <w:rPr>
          <w:lang w:val="en-GB"/>
        </w:rPr>
      </w:pPr>
      <w:r w:rsidRPr="00BA6590">
        <w:rPr>
          <w:lang w:val="en-GB"/>
        </w:rPr>
        <w:t>362.</w:t>
      </w:r>
      <w:r w:rsidRPr="00BA6590">
        <w:rPr>
          <w:lang w:val="en-GB"/>
        </w:rPr>
        <w:tab/>
      </w:r>
      <w:r w:rsidR="00711283" w:rsidRPr="00BA6590">
        <w:rPr>
          <w:lang w:val="en-GB"/>
        </w:rPr>
        <w:t xml:space="preserve">On the subject of external supervision of deportation operations, </w:t>
      </w:r>
      <w:r w:rsidRPr="00BA6590">
        <w:rPr>
          <w:lang w:val="en-GB"/>
        </w:rPr>
        <w:t>article 8</w:t>
      </w:r>
      <w:r w:rsidR="00711283" w:rsidRPr="00BA6590">
        <w:rPr>
          <w:lang w:val="en-GB"/>
        </w:rPr>
        <w:t xml:space="preserve"> (</w:t>
      </w:r>
      <w:r w:rsidRPr="00BA6590">
        <w:rPr>
          <w:lang w:val="en-GB"/>
        </w:rPr>
        <w:t>6</w:t>
      </w:r>
      <w:r w:rsidR="00711283" w:rsidRPr="00BA6590">
        <w:rPr>
          <w:lang w:val="en-GB"/>
        </w:rPr>
        <w:t xml:space="preserve">) of Directive </w:t>
      </w:r>
      <w:r w:rsidR="004722FA" w:rsidRPr="00BA6590">
        <w:rPr>
          <w:lang w:val="en-GB"/>
        </w:rPr>
        <w:t>2008/115/</w:t>
      </w:r>
      <w:r w:rsidR="00711283" w:rsidRPr="00BA6590">
        <w:rPr>
          <w:lang w:val="en-GB"/>
        </w:rPr>
        <w:t>E</w:t>
      </w:r>
      <w:r w:rsidR="004722FA" w:rsidRPr="00BA6590">
        <w:rPr>
          <w:lang w:val="en-GB"/>
        </w:rPr>
        <w:t>C</w:t>
      </w:r>
      <w:r w:rsidR="00711283" w:rsidRPr="00BA6590">
        <w:rPr>
          <w:lang w:val="en-GB"/>
        </w:rPr>
        <w:t xml:space="preserve"> of 16 December</w:t>
      </w:r>
      <w:r w:rsidRPr="00BA6590">
        <w:rPr>
          <w:lang w:val="en-GB"/>
        </w:rPr>
        <w:t xml:space="preserve"> 2008</w:t>
      </w:r>
      <w:r w:rsidR="00711283" w:rsidRPr="00BA6590">
        <w:rPr>
          <w:lang w:val="en-GB"/>
        </w:rPr>
        <w:t xml:space="preserve"> requires each </w:t>
      </w:r>
      <w:r w:rsidR="00816F73" w:rsidRPr="00BA6590">
        <w:rPr>
          <w:lang w:val="en-GB"/>
        </w:rPr>
        <w:t>member State</w:t>
      </w:r>
      <w:r w:rsidR="00711283" w:rsidRPr="00BA6590">
        <w:rPr>
          <w:lang w:val="en-GB"/>
        </w:rPr>
        <w:t xml:space="preserve"> to provide for an effective forced-return monitoring system.</w:t>
      </w:r>
      <w:r w:rsidR="00792E9E" w:rsidRPr="00BA6590">
        <w:rPr>
          <w:rStyle w:val="FootnoteReference"/>
          <w:lang w:val="en-GB"/>
        </w:rPr>
        <w:footnoteReference w:id="44"/>
      </w:r>
      <w:r w:rsidRPr="00BA6590">
        <w:rPr>
          <w:lang w:val="en-GB"/>
        </w:rPr>
        <w:t xml:space="preserve"> </w:t>
      </w:r>
      <w:r w:rsidR="00711283" w:rsidRPr="00BA6590">
        <w:rPr>
          <w:lang w:val="en-GB"/>
        </w:rPr>
        <w:t xml:space="preserve">The legislation transposing this provision into Belgian law </w:t>
      </w:r>
      <w:r w:rsidRPr="00BA6590">
        <w:rPr>
          <w:lang w:val="en-GB"/>
        </w:rPr>
        <w:t>(</w:t>
      </w:r>
      <w:r w:rsidR="00401B92" w:rsidRPr="00BA6590">
        <w:rPr>
          <w:lang w:val="en-GB"/>
        </w:rPr>
        <w:t xml:space="preserve">the </w:t>
      </w:r>
      <w:r w:rsidR="00711283" w:rsidRPr="00BA6590">
        <w:rPr>
          <w:lang w:val="en-GB"/>
        </w:rPr>
        <w:t>Act</w:t>
      </w:r>
      <w:r w:rsidR="00401B92" w:rsidRPr="00BA6590">
        <w:rPr>
          <w:lang w:val="en-GB"/>
        </w:rPr>
        <w:t xml:space="preserve"> of 19 January 2012</w:t>
      </w:r>
      <w:r w:rsidRPr="00BA6590">
        <w:rPr>
          <w:lang w:val="en-GB"/>
        </w:rPr>
        <w:t xml:space="preserve">, </w:t>
      </w:r>
      <w:r w:rsidR="002420F6" w:rsidRPr="00BA6590">
        <w:rPr>
          <w:i/>
          <w:lang w:val="en-GB"/>
        </w:rPr>
        <w:t>Moniteur belge</w:t>
      </w:r>
      <w:r w:rsidRPr="00BA6590">
        <w:rPr>
          <w:lang w:val="en-GB"/>
        </w:rPr>
        <w:t>, 17</w:t>
      </w:r>
      <w:r w:rsidR="00711283" w:rsidRPr="00BA6590">
        <w:rPr>
          <w:lang w:val="en-GB"/>
        </w:rPr>
        <w:t xml:space="preserve"> </w:t>
      </w:r>
      <w:r w:rsidR="003F5E21" w:rsidRPr="00BA6590">
        <w:rPr>
          <w:lang w:val="en-GB"/>
        </w:rPr>
        <w:t>February</w:t>
      </w:r>
      <w:r w:rsidRPr="00BA6590">
        <w:rPr>
          <w:lang w:val="en-GB"/>
        </w:rPr>
        <w:t xml:space="preserve"> 2012),</w:t>
      </w:r>
      <w:r w:rsidR="00711283" w:rsidRPr="00BA6590">
        <w:rPr>
          <w:lang w:val="en-GB"/>
        </w:rPr>
        <w:t xml:space="preserve"> confirms the role of the inspectorate of federal and local police forces as the body monitoring forced returns,</w:t>
      </w:r>
      <w:r w:rsidR="00792E9E" w:rsidRPr="00BA6590">
        <w:rPr>
          <w:rStyle w:val="FootnoteReference"/>
          <w:lang w:val="en-GB"/>
        </w:rPr>
        <w:footnoteReference w:id="45"/>
      </w:r>
      <w:r w:rsidRPr="00BA6590">
        <w:rPr>
          <w:lang w:val="en-GB"/>
        </w:rPr>
        <w:t xml:space="preserve"> </w:t>
      </w:r>
      <w:r w:rsidR="000D337F" w:rsidRPr="00BA6590">
        <w:rPr>
          <w:lang w:val="en-GB"/>
        </w:rPr>
        <w:t>taking account of its independence in relation to the authorities which decide on deportations</w:t>
      </w:r>
      <w:r w:rsidRPr="00BA6590">
        <w:rPr>
          <w:lang w:val="en-GB"/>
        </w:rPr>
        <w:t xml:space="preserve"> (</w:t>
      </w:r>
      <w:r w:rsidR="00816F73" w:rsidRPr="00BA6590">
        <w:rPr>
          <w:lang w:val="en-GB"/>
        </w:rPr>
        <w:t>Immigration Office</w:t>
      </w:r>
      <w:r w:rsidRPr="00BA6590">
        <w:rPr>
          <w:lang w:val="en-GB"/>
        </w:rPr>
        <w:t>)</w:t>
      </w:r>
      <w:r w:rsidR="000D337F" w:rsidRPr="00BA6590">
        <w:rPr>
          <w:lang w:val="en-GB"/>
        </w:rPr>
        <w:t xml:space="preserve"> and the police services charged with enforcing them</w:t>
      </w:r>
      <w:r w:rsidRPr="00BA6590">
        <w:rPr>
          <w:lang w:val="en-GB"/>
        </w:rPr>
        <w:t xml:space="preserve"> (</w:t>
      </w:r>
      <w:r w:rsidR="000D337F" w:rsidRPr="00BA6590">
        <w:rPr>
          <w:lang w:val="en-GB"/>
        </w:rPr>
        <w:t>Brussels Airport Police</w:t>
      </w:r>
      <w:r w:rsidRPr="00BA6590">
        <w:rPr>
          <w:lang w:val="en-GB"/>
        </w:rPr>
        <w:t>).</w:t>
      </w:r>
      <w:r w:rsidR="000D337F" w:rsidRPr="00BA6590">
        <w:rPr>
          <w:lang w:val="en-GB"/>
        </w:rPr>
        <w:t xml:space="preserve"> The number of checks carried out, up to the stage of boarding the aircraft, arrival in the country</w:t>
      </w:r>
      <w:r w:rsidRPr="00BA6590">
        <w:rPr>
          <w:lang w:val="en-GB"/>
        </w:rPr>
        <w:t xml:space="preserve"> </w:t>
      </w:r>
      <w:r w:rsidR="000D337F" w:rsidRPr="00BA6590">
        <w:rPr>
          <w:lang w:val="en-GB"/>
        </w:rPr>
        <w:t xml:space="preserve">of return or within that country, has increased sharply thanks to funding from the </w:t>
      </w:r>
      <w:r w:rsidR="002F4F1E" w:rsidRPr="00BA6590">
        <w:rPr>
          <w:lang w:val="en-GB"/>
        </w:rPr>
        <w:t>European Return Fund</w:t>
      </w:r>
      <w:r w:rsidRPr="00BA6590">
        <w:rPr>
          <w:lang w:val="en-GB"/>
        </w:rPr>
        <w:t xml:space="preserve"> (</w:t>
      </w:r>
      <w:r w:rsidR="00320F02" w:rsidRPr="00BA6590">
        <w:rPr>
          <w:lang w:val="en-GB"/>
        </w:rPr>
        <w:t>54 checks carried out i</w:t>
      </w:r>
      <w:r w:rsidRPr="00BA6590">
        <w:rPr>
          <w:lang w:val="en-GB"/>
        </w:rPr>
        <w:t>n 2011</w:t>
      </w:r>
      <w:r w:rsidR="00320F02" w:rsidRPr="00BA6590">
        <w:rPr>
          <w:lang w:val="en-GB"/>
        </w:rPr>
        <w:t xml:space="preserve">; already </w:t>
      </w:r>
      <w:r w:rsidRPr="00BA6590">
        <w:rPr>
          <w:lang w:val="en-GB"/>
        </w:rPr>
        <w:t>45</w:t>
      </w:r>
      <w:r w:rsidR="00320F02" w:rsidRPr="00BA6590">
        <w:rPr>
          <w:lang w:val="en-GB"/>
        </w:rPr>
        <w:t xml:space="preserve"> for the first quarter of </w:t>
      </w:r>
      <w:r w:rsidRPr="00BA6590">
        <w:rPr>
          <w:lang w:val="en-GB"/>
        </w:rPr>
        <w:t>2012)</w:t>
      </w:r>
      <w:r w:rsidR="00320F02" w:rsidRPr="00BA6590">
        <w:rPr>
          <w:lang w:val="en-GB"/>
        </w:rPr>
        <w:t>.</w:t>
      </w:r>
      <w:r w:rsidR="00792E9E" w:rsidRPr="00BA6590">
        <w:rPr>
          <w:rStyle w:val="FootnoteReference"/>
          <w:lang w:val="en-GB"/>
        </w:rPr>
        <w:footnoteReference w:id="46"/>
      </w:r>
      <w:r w:rsidRPr="00BA6590">
        <w:rPr>
          <w:lang w:val="en-GB"/>
        </w:rPr>
        <w:t xml:space="preserve"> </w:t>
      </w:r>
      <w:r w:rsidR="00320F02" w:rsidRPr="00BA6590">
        <w:rPr>
          <w:lang w:val="en-GB"/>
        </w:rPr>
        <w:t xml:space="preserve">That European funding will probably continue into </w:t>
      </w:r>
      <w:r w:rsidRPr="00BA6590">
        <w:rPr>
          <w:lang w:val="en-GB"/>
        </w:rPr>
        <w:t>2013.</w:t>
      </w:r>
      <w:r w:rsidR="00320F02" w:rsidRPr="00BA6590">
        <w:rPr>
          <w:lang w:val="en-GB"/>
        </w:rPr>
        <w:t xml:space="preserve"> The authority of the inspectorate will probably soon be extended to include the whole forced</w:t>
      </w:r>
      <w:r w:rsidR="00E8685B" w:rsidRPr="00BA6590">
        <w:rPr>
          <w:lang w:val="en-GB"/>
        </w:rPr>
        <w:noBreakHyphen/>
      </w:r>
      <w:r w:rsidR="00320F02" w:rsidRPr="00BA6590">
        <w:rPr>
          <w:lang w:val="en-GB"/>
        </w:rPr>
        <w:t xml:space="preserve">return process and to all the actors involved rather than police officials alone. </w:t>
      </w:r>
      <w:r w:rsidR="00816F73" w:rsidRPr="00BA6590">
        <w:rPr>
          <w:lang w:val="en-GB"/>
        </w:rPr>
        <w:t>When an</w:t>
      </w:r>
      <w:r w:rsidR="00320F02" w:rsidRPr="00BA6590">
        <w:rPr>
          <w:lang w:val="en-GB"/>
        </w:rPr>
        <w:t xml:space="preserve"> incident</w:t>
      </w:r>
      <w:r w:rsidR="00816F73" w:rsidRPr="00BA6590">
        <w:rPr>
          <w:lang w:val="en-GB"/>
        </w:rPr>
        <w:t xml:space="preserve"> occurs</w:t>
      </w:r>
      <w:r w:rsidR="00320F02" w:rsidRPr="00BA6590">
        <w:rPr>
          <w:lang w:val="en-GB"/>
        </w:rPr>
        <w:t>, the members of the inspectorate, as police officials, can intervene directly to put an end to illegal acts and, if necessary, to report</w:t>
      </w:r>
      <w:r w:rsidR="006229D6" w:rsidRPr="00BA6590">
        <w:rPr>
          <w:lang w:val="en-GB"/>
        </w:rPr>
        <w:t xml:space="preserve"> the incident</w:t>
      </w:r>
      <w:r w:rsidR="00320F02" w:rsidRPr="00BA6590">
        <w:rPr>
          <w:lang w:val="en-GB"/>
        </w:rPr>
        <w:t xml:space="preserve">; this is something that a member of an NGO could not do. </w:t>
      </w:r>
      <w:r w:rsidR="00EE57B6" w:rsidRPr="00BA6590">
        <w:rPr>
          <w:lang w:val="en-GB"/>
        </w:rPr>
        <w:t>Furthermore, they cannot be subject to any restriction in the course of their duties (general and permanent right of inspection)</w:t>
      </w:r>
      <w:r w:rsidRPr="00BA6590">
        <w:rPr>
          <w:lang w:val="en-GB"/>
        </w:rPr>
        <w:t>.</w:t>
      </w:r>
      <w:r w:rsidR="00EE57B6" w:rsidRPr="00BA6590">
        <w:rPr>
          <w:lang w:val="en-GB"/>
        </w:rPr>
        <w:t xml:space="preserve"> In particular, access to sensitive areas of the airport, including the military airport, raises no screening issues for members of the inspectorate. Lastly, they are also subject to professional confidentiality, which guarantees discretion in operations of this type, particularly before </w:t>
      </w:r>
      <w:r w:rsidR="004429D2" w:rsidRPr="00BA6590">
        <w:rPr>
          <w:lang w:val="en-GB"/>
        </w:rPr>
        <w:t>they</w:t>
      </w:r>
      <w:r w:rsidR="00EE57B6" w:rsidRPr="00BA6590">
        <w:rPr>
          <w:lang w:val="en-GB"/>
        </w:rPr>
        <w:t xml:space="preserve"> are carried out. </w:t>
      </w:r>
    </w:p>
    <w:p w:rsidR="0030160E" w:rsidRPr="00BA6590" w:rsidRDefault="0030160E" w:rsidP="0030160E">
      <w:pPr>
        <w:pStyle w:val="SingleTxtG"/>
        <w:rPr>
          <w:lang w:val="en-GB"/>
        </w:rPr>
      </w:pPr>
      <w:r w:rsidRPr="00BA6590">
        <w:rPr>
          <w:lang w:val="en-GB"/>
        </w:rPr>
        <w:t>363.</w:t>
      </w:r>
      <w:r w:rsidRPr="00BA6590">
        <w:rPr>
          <w:lang w:val="en-GB"/>
        </w:rPr>
        <w:tab/>
      </w:r>
      <w:r w:rsidR="00EE57B6" w:rsidRPr="00BA6590">
        <w:rPr>
          <w:lang w:val="en-GB"/>
        </w:rPr>
        <w:t>In light of the inspectorate</w:t>
      </w:r>
      <w:r w:rsidR="00A216FB" w:rsidRPr="00BA6590">
        <w:rPr>
          <w:lang w:val="en-GB"/>
        </w:rPr>
        <w:t>’</w:t>
      </w:r>
      <w:r w:rsidR="00EE57B6" w:rsidRPr="00BA6590">
        <w:rPr>
          <w:lang w:val="en-GB"/>
        </w:rPr>
        <w:t xml:space="preserve">s strengthened supervision of forced returns and the aspects mentioned above, the presence of NGOs does not appear to be necessary. As for the use of video recordings, Belgium continues to subscribe to the observations contained in the final report </w:t>
      </w:r>
      <w:r w:rsidR="00735178" w:rsidRPr="00BA6590">
        <w:rPr>
          <w:lang w:val="en-GB"/>
        </w:rPr>
        <w:t>of the</w:t>
      </w:r>
      <w:r w:rsidRPr="00BA6590">
        <w:rPr>
          <w:lang w:val="en-GB"/>
        </w:rPr>
        <w:t xml:space="preserve"> Vermeersch II</w:t>
      </w:r>
      <w:r w:rsidR="00EE57B6" w:rsidRPr="00BA6590">
        <w:rPr>
          <w:lang w:val="en-GB"/>
        </w:rPr>
        <w:t xml:space="preserve"> Commission, dated 31 January 2005. The report noted that the use of videos is undesirable for a number of reasons, which are mostly technical and logistical. </w:t>
      </w:r>
    </w:p>
    <w:p w:rsidR="009C6186" w:rsidRPr="00BA6590" w:rsidRDefault="009C6186" w:rsidP="00801148">
      <w:pPr>
        <w:pStyle w:val="SingleTxtG"/>
        <w:rPr>
          <w:lang w:val="en-GB"/>
        </w:rPr>
      </w:pPr>
      <w:r w:rsidRPr="00BA6590">
        <w:rPr>
          <w:lang w:val="en-GB"/>
        </w:rPr>
        <w:t>364.</w:t>
      </w:r>
      <w:r w:rsidRPr="00BA6590">
        <w:rPr>
          <w:lang w:val="en-GB"/>
        </w:rPr>
        <w:tab/>
      </w:r>
      <w:r w:rsidR="00EE57B6" w:rsidRPr="00BA6590">
        <w:rPr>
          <w:lang w:val="en-GB"/>
        </w:rPr>
        <w:t xml:space="preserve">Since there has been no major incident during deportation operations since </w:t>
      </w:r>
      <w:r w:rsidRPr="00BA6590">
        <w:rPr>
          <w:lang w:val="en-GB"/>
        </w:rPr>
        <w:t>2008</w:t>
      </w:r>
      <w:r w:rsidR="00EE57B6" w:rsidRPr="00BA6590">
        <w:rPr>
          <w:lang w:val="en-GB"/>
        </w:rPr>
        <w:t xml:space="preserve">, it can be concluded that the training provided has been effective. The staff of the Brussels </w:t>
      </w:r>
      <w:r w:rsidR="00B97985" w:rsidRPr="00BA6590">
        <w:rPr>
          <w:lang w:val="en-GB"/>
        </w:rPr>
        <w:t>A</w:t>
      </w:r>
      <w:r w:rsidR="00EE57B6" w:rsidRPr="00BA6590">
        <w:rPr>
          <w:lang w:val="en-GB"/>
        </w:rPr>
        <w:t xml:space="preserve">irport </w:t>
      </w:r>
      <w:r w:rsidR="00B97985" w:rsidRPr="00BA6590">
        <w:rPr>
          <w:lang w:val="en-GB"/>
        </w:rPr>
        <w:t>P</w:t>
      </w:r>
      <w:r w:rsidR="00EE57B6" w:rsidRPr="00BA6590">
        <w:rPr>
          <w:lang w:val="en-GB"/>
        </w:rPr>
        <w:t>olice</w:t>
      </w:r>
      <w:r w:rsidRPr="00BA6590">
        <w:rPr>
          <w:lang w:val="en-GB"/>
        </w:rPr>
        <w:t xml:space="preserve">, </w:t>
      </w:r>
      <w:r w:rsidR="00EE57B6" w:rsidRPr="00BA6590">
        <w:rPr>
          <w:lang w:val="en-GB"/>
        </w:rPr>
        <w:t>like all police officers, receive basic, continuing and functional training in which respect for human rights</w:t>
      </w:r>
      <w:r w:rsidR="00B97985" w:rsidRPr="00BA6590">
        <w:rPr>
          <w:lang w:val="en-GB"/>
        </w:rPr>
        <w:t xml:space="preserve"> is emphasized</w:t>
      </w:r>
      <w:r w:rsidR="00EE57B6" w:rsidRPr="00BA6590">
        <w:rPr>
          <w:lang w:val="en-GB"/>
        </w:rPr>
        <w:t>. Given the tasks of the airport police, they are made even more aware of the importance of human rights and the vulnerability of the foreign national to be deported. The airport police therefore receive specific compulsory training</w:t>
      </w:r>
      <w:r w:rsidR="009266B6" w:rsidRPr="00BA6590">
        <w:rPr>
          <w:lang w:val="en-GB"/>
        </w:rPr>
        <w:t xml:space="preserve"> lasting six months, which includes a considerable practical section (modules relating to issues such as controlling violent incidents and dealing with recalcitrant persons) as well as more theoretical matters such as immigration checks and forged documents. Any officer who will be serving as a deportation escort is required to follow a training course involving practical simulations. Consideration is being given to extending that course and making it into an official continuing training exercise. Currently, the staff responsible for migrant returns ha</w:t>
      </w:r>
      <w:r w:rsidR="008E359C" w:rsidRPr="00BA6590">
        <w:rPr>
          <w:lang w:val="en-GB"/>
        </w:rPr>
        <w:t>ve</w:t>
      </w:r>
      <w:r w:rsidR="009266B6" w:rsidRPr="00BA6590">
        <w:rPr>
          <w:lang w:val="en-GB"/>
        </w:rPr>
        <w:t xml:space="preserve"> developed a real expertise enabling them to carry out their tasks in accordance with the police code of ethics and their internal instructions.</w:t>
      </w:r>
      <w:r w:rsidR="001F3CAB" w:rsidRPr="00BA6590">
        <w:rPr>
          <w:lang w:val="en-GB"/>
        </w:rPr>
        <w:t xml:space="preserve"> </w:t>
      </w:r>
    </w:p>
    <w:p w:rsidR="009C6186" w:rsidRPr="00BA6590" w:rsidRDefault="009C6186" w:rsidP="009C6186">
      <w:pPr>
        <w:pStyle w:val="SingleTxtG"/>
        <w:rPr>
          <w:lang w:val="en-GB"/>
        </w:rPr>
      </w:pPr>
      <w:r w:rsidRPr="00BA6590">
        <w:rPr>
          <w:lang w:val="en-GB"/>
        </w:rPr>
        <w:t>365.</w:t>
      </w:r>
      <w:r w:rsidRPr="00BA6590">
        <w:rPr>
          <w:lang w:val="en-GB"/>
        </w:rPr>
        <w:tab/>
      </w:r>
      <w:r w:rsidR="006A09C5" w:rsidRPr="00BA6590">
        <w:rPr>
          <w:lang w:val="en-GB"/>
        </w:rPr>
        <w:t>Since</w:t>
      </w:r>
      <w:r w:rsidRPr="00BA6590">
        <w:rPr>
          <w:lang w:val="en-GB"/>
        </w:rPr>
        <w:t xml:space="preserve"> 2006</w:t>
      </w:r>
      <w:r w:rsidR="006A09C5" w:rsidRPr="00BA6590">
        <w:rPr>
          <w:lang w:val="en-GB"/>
        </w:rPr>
        <w:t>, the inspectorate has received only six complaints from persons claiming to have been subjected to excessive use of force during a repatriation. The cases were passed on to the judicial authorities when the necessary reports had been drafted. The inspectorate has not been</w:t>
      </w:r>
      <w:r w:rsidR="00B71103" w:rsidRPr="00BA6590">
        <w:rPr>
          <w:lang w:val="en-GB"/>
        </w:rPr>
        <w:t xml:space="preserve"> informed of or given responsibility for further developments </w:t>
      </w:r>
      <w:r w:rsidR="006A09C5" w:rsidRPr="00BA6590">
        <w:rPr>
          <w:lang w:val="en-GB"/>
        </w:rPr>
        <w:t>in those investigations. Since</w:t>
      </w:r>
      <w:r w:rsidRPr="00BA6590">
        <w:rPr>
          <w:lang w:val="en-GB"/>
        </w:rPr>
        <w:t xml:space="preserve"> 2007</w:t>
      </w:r>
      <w:r w:rsidR="006A09C5" w:rsidRPr="00BA6590">
        <w:rPr>
          <w:lang w:val="en-GB"/>
        </w:rPr>
        <w:t>, the inspectorate has, in one instance and on its own initiative, reported a police officer for his conduct in the context of a deportation.</w:t>
      </w:r>
      <w:r w:rsidR="001F3CAB" w:rsidRPr="00BA6590">
        <w:rPr>
          <w:lang w:val="en-GB"/>
        </w:rPr>
        <w:t xml:space="preserve"> </w:t>
      </w:r>
    </w:p>
    <w:p w:rsidR="009C6186" w:rsidRPr="00BA6590" w:rsidRDefault="009C6186" w:rsidP="009C6186">
      <w:pPr>
        <w:pStyle w:val="SingleTxtG"/>
        <w:rPr>
          <w:lang w:val="en-GB"/>
        </w:rPr>
      </w:pPr>
      <w:r w:rsidRPr="00BA6590">
        <w:rPr>
          <w:lang w:val="en-GB"/>
        </w:rPr>
        <w:t>366.</w:t>
      </w:r>
      <w:r w:rsidRPr="00BA6590">
        <w:rPr>
          <w:lang w:val="en-GB"/>
        </w:rPr>
        <w:tab/>
      </w:r>
      <w:r w:rsidR="00735178" w:rsidRPr="00BA6590">
        <w:rPr>
          <w:lang w:val="en-GB"/>
        </w:rPr>
        <w:t xml:space="preserve">Pursuant to </w:t>
      </w:r>
      <w:r w:rsidRPr="00BA6590">
        <w:rPr>
          <w:lang w:val="en-GB"/>
        </w:rPr>
        <w:t xml:space="preserve">article </w:t>
      </w:r>
      <w:r w:rsidR="00834782" w:rsidRPr="00BA6590">
        <w:rPr>
          <w:lang w:val="en-GB"/>
        </w:rPr>
        <w:t xml:space="preserve">14 </w:t>
      </w:r>
      <w:r w:rsidR="00834782" w:rsidRPr="00BA6590">
        <w:rPr>
          <w:i/>
          <w:iCs/>
          <w:lang w:val="en-GB"/>
        </w:rPr>
        <w:t>bis</w:t>
      </w:r>
      <w:r w:rsidRPr="00BA6590">
        <w:rPr>
          <w:lang w:val="en-GB"/>
        </w:rPr>
        <w:t xml:space="preserve"> </w:t>
      </w:r>
      <w:r w:rsidR="00735178" w:rsidRPr="00BA6590">
        <w:rPr>
          <w:lang w:val="en-GB"/>
        </w:rPr>
        <w:t>of the Act of</w:t>
      </w:r>
      <w:r w:rsidRPr="00BA6590">
        <w:rPr>
          <w:lang w:val="en-GB"/>
        </w:rPr>
        <w:t xml:space="preserve"> 18 </w:t>
      </w:r>
      <w:r w:rsidR="003F5E21" w:rsidRPr="00BA6590">
        <w:rPr>
          <w:lang w:val="en-GB"/>
        </w:rPr>
        <w:t>July</w:t>
      </w:r>
      <w:r w:rsidRPr="00BA6590">
        <w:rPr>
          <w:lang w:val="en-GB"/>
        </w:rPr>
        <w:t xml:space="preserve"> 1991</w:t>
      </w:r>
      <w:r w:rsidR="001B0404" w:rsidRPr="00BA6590">
        <w:rPr>
          <w:lang w:val="en-GB"/>
        </w:rPr>
        <w:t xml:space="preserve"> on monitoring police forces, intelligence services and the Coordinating Body for Threat Analysis</w:t>
      </w:r>
      <w:r w:rsidR="00735178" w:rsidRPr="00BA6590">
        <w:rPr>
          <w:lang w:val="en-GB"/>
        </w:rPr>
        <w:t xml:space="preserve">, </w:t>
      </w:r>
      <w:r w:rsidR="00E15A2A" w:rsidRPr="00BA6590">
        <w:rPr>
          <w:lang w:val="en-GB"/>
        </w:rPr>
        <w:t xml:space="preserve">the activities and methods of the inspectorate are supervised by </w:t>
      </w:r>
      <w:r w:rsidR="00735178" w:rsidRPr="00BA6590">
        <w:rPr>
          <w:lang w:val="en-GB"/>
        </w:rPr>
        <w:t>the Permanent Police Oversight Committee (</w:t>
      </w:r>
      <w:r w:rsidR="000D298B" w:rsidRPr="00BA6590">
        <w:rPr>
          <w:lang w:val="en-GB"/>
        </w:rPr>
        <w:t>“</w:t>
      </w:r>
      <w:r w:rsidR="00735178" w:rsidRPr="00BA6590">
        <w:rPr>
          <w:lang w:val="en-GB"/>
        </w:rPr>
        <w:t>Committee P</w:t>
      </w:r>
      <w:r w:rsidR="000D298B" w:rsidRPr="00BA6590">
        <w:rPr>
          <w:lang w:val="en-GB"/>
        </w:rPr>
        <w:t>”</w:t>
      </w:r>
      <w:r w:rsidR="00735178" w:rsidRPr="00BA6590">
        <w:rPr>
          <w:lang w:val="en-GB"/>
        </w:rPr>
        <w:t>). Th</w:t>
      </w:r>
      <w:r w:rsidR="00E15A2A" w:rsidRPr="00BA6590">
        <w:rPr>
          <w:lang w:val="en-GB"/>
        </w:rPr>
        <w:t>e latter</w:t>
      </w:r>
      <w:r w:rsidR="00735178" w:rsidRPr="00BA6590">
        <w:rPr>
          <w:lang w:val="en-GB"/>
        </w:rPr>
        <w:t xml:space="preserve"> exercises marginal supervision of the inspectorate</w:t>
      </w:r>
      <w:r w:rsidR="00A216FB" w:rsidRPr="00BA6590">
        <w:rPr>
          <w:lang w:val="en-GB"/>
        </w:rPr>
        <w:t>’</w:t>
      </w:r>
      <w:r w:rsidR="00735178" w:rsidRPr="00BA6590">
        <w:rPr>
          <w:lang w:val="en-GB"/>
        </w:rPr>
        <w:t xml:space="preserve">s fulfilment of its duties </w:t>
      </w:r>
      <w:r w:rsidR="00210F75" w:rsidRPr="00BA6590">
        <w:rPr>
          <w:lang w:val="en-GB"/>
        </w:rPr>
        <w:t xml:space="preserve">in relation to deportations. It can also receive individual complaints in that regard: there were six such complaints in </w:t>
      </w:r>
      <w:r w:rsidRPr="00BA6590">
        <w:rPr>
          <w:lang w:val="en-GB"/>
        </w:rPr>
        <w:t xml:space="preserve">2010 </w:t>
      </w:r>
      <w:r w:rsidR="00210F75" w:rsidRPr="00BA6590">
        <w:rPr>
          <w:lang w:val="en-GB"/>
        </w:rPr>
        <w:t>and four in</w:t>
      </w:r>
      <w:r w:rsidRPr="00BA6590">
        <w:rPr>
          <w:lang w:val="en-GB"/>
        </w:rPr>
        <w:t xml:space="preserve"> 2011. </w:t>
      </w:r>
      <w:r w:rsidR="00E8685B" w:rsidRPr="00BA6590">
        <w:rPr>
          <w:lang w:val="en-GB"/>
        </w:rPr>
        <w:t>The judicial authorities </w:t>
      </w:r>
      <w:r w:rsidR="00210F75" w:rsidRPr="00BA6590">
        <w:rPr>
          <w:lang w:val="en-GB"/>
        </w:rPr>
        <w:t xml:space="preserve">can also refer to the Committee investigations relating to deportations </w:t>
      </w:r>
      <w:r w:rsidRPr="00BA6590">
        <w:rPr>
          <w:lang w:val="en-GB"/>
        </w:rPr>
        <w:t>(</w:t>
      </w:r>
      <w:r w:rsidR="00210F75" w:rsidRPr="00BA6590">
        <w:rPr>
          <w:lang w:val="en-GB"/>
        </w:rPr>
        <w:t xml:space="preserve">in the period </w:t>
      </w:r>
      <w:r w:rsidRPr="00BA6590">
        <w:rPr>
          <w:lang w:val="en-GB"/>
        </w:rPr>
        <w:t>2010</w:t>
      </w:r>
      <w:r w:rsidR="00E8685B" w:rsidRPr="00BA6590">
        <w:rPr>
          <w:szCs w:val="24"/>
          <w:lang w:val="en-GB"/>
        </w:rPr>
        <w:t>–</w:t>
      </w:r>
      <w:r w:rsidRPr="00BA6590">
        <w:rPr>
          <w:lang w:val="en-GB"/>
        </w:rPr>
        <w:t>2011</w:t>
      </w:r>
      <w:r w:rsidR="00210F75" w:rsidRPr="00BA6590">
        <w:rPr>
          <w:lang w:val="en-GB"/>
        </w:rPr>
        <w:t xml:space="preserve"> there was only one such case, in</w:t>
      </w:r>
      <w:r w:rsidRPr="00BA6590">
        <w:rPr>
          <w:lang w:val="en-GB"/>
        </w:rPr>
        <w:t xml:space="preserve"> 2011).</w:t>
      </w:r>
    </w:p>
    <w:p w:rsidR="009C6186" w:rsidRPr="00BA6590" w:rsidRDefault="008D0092" w:rsidP="008D0092">
      <w:pPr>
        <w:pStyle w:val="H56G"/>
        <w:rPr>
          <w:lang w:val="en-GB"/>
        </w:rPr>
      </w:pPr>
      <w:r w:rsidRPr="00BA6590">
        <w:rPr>
          <w:lang w:val="en-GB"/>
        </w:rPr>
        <w:tab/>
      </w:r>
      <w:r w:rsidRPr="00BA6590">
        <w:rPr>
          <w:lang w:val="en-GB"/>
        </w:rPr>
        <w:tab/>
      </w:r>
      <w:r w:rsidR="00210F75" w:rsidRPr="00BA6590">
        <w:rPr>
          <w:lang w:val="en-GB"/>
        </w:rPr>
        <w:t xml:space="preserve">Competent judicial mechanisms used for reconsidering expulsion and deportation </w:t>
      </w:r>
      <w:r w:rsidRPr="00BA6590">
        <w:rPr>
          <w:lang w:val="en-GB"/>
        </w:rPr>
        <w:br/>
      </w:r>
      <w:r w:rsidR="00210F75" w:rsidRPr="00BA6590">
        <w:rPr>
          <w:lang w:val="en-GB"/>
        </w:rPr>
        <w:t>orders</w:t>
      </w:r>
    </w:p>
    <w:p w:rsidR="009C6186" w:rsidRPr="00BA6590" w:rsidRDefault="009C6186" w:rsidP="00D9671B">
      <w:pPr>
        <w:pStyle w:val="SingleTxtG"/>
        <w:rPr>
          <w:lang w:val="en-GB"/>
        </w:rPr>
      </w:pPr>
      <w:r w:rsidRPr="00BA6590">
        <w:rPr>
          <w:lang w:val="en-GB"/>
        </w:rPr>
        <w:t>367.</w:t>
      </w:r>
      <w:r w:rsidRPr="00BA6590">
        <w:rPr>
          <w:lang w:val="en-GB"/>
        </w:rPr>
        <w:tab/>
      </w:r>
      <w:r w:rsidR="00210F75" w:rsidRPr="00BA6590">
        <w:rPr>
          <w:lang w:val="en-GB"/>
        </w:rPr>
        <w:t xml:space="preserve">The Minister </w:t>
      </w:r>
      <w:r w:rsidR="00EA21F9" w:rsidRPr="00BA6590">
        <w:rPr>
          <w:lang w:val="en-GB"/>
        </w:rPr>
        <w:t>or his or her</w:t>
      </w:r>
      <w:r w:rsidR="00210F75" w:rsidRPr="00BA6590">
        <w:rPr>
          <w:lang w:val="en-GB"/>
        </w:rPr>
        <w:t xml:space="preserve"> representative may decide to expel a foreign national by means of a royal or ministerial expulsion order </w:t>
      </w:r>
      <w:r w:rsidRPr="00BA6590">
        <w:rPr>
          <w:lang w:val="en-GB"/>
        </w:rPr>
        <w:t>(articles 20</w:t>
      </w:r>
      <w:r w:rsidR="00E8685B" w:rsidRPr="00BA6590">
        <w:rPr>
          <w:szCs w:val="24"/>
          <w:lang w:val="en-GB"/>
        </w:rPr>
        <w:t>–</w:t>
      </w:r>
      <w:r w:rsidR="00210F75" w:rsidRPr="00BA6590">
        <w:rPr>
          <w:lang w:val="en-GB"/>
        </w:rPr>
        <w:t>2</w:t>
      </w:r>
      <w:r w:rsidRPr="00BA6590">
        <w:rPr>
          <w:lang w:val="en-GB"/>
        </w:rPr>
        <w:t xml:space="preserve">6 </w:t>
      </w:r>
      <w:r w:rsidR="00210F75" w:rsidRPr="00BA6590">
        <w:rPr>
          <w:lang w:val="en-GB"/>
        </w:rPr>
        <w:t>and</w:t>
      </w:r>
      <w:r w:rsidRPr="00BA6590">
        <w:rPr>
          <w:lang w:val="en-GB"/>
        </w:rPr>
        <w:t xml:space="preserve"> article 43</w:t>
      </w:r>
      <w:r w:rsidR="00210F75" w:rsidRPr="00BA6590">
        <w:rPr>
          <w:lang w:val="en-GB"/>
        </w:rPr>
        <w:t>.</w:t>
      </w:r>
      <w:r w:rsidRPr="00BA6590">
        <w:rPr>
          <w:lang w:val="en-GB"/>
        </w:rPr>
        <w:t xml:space="preserve">2 </w:t>
      </w:r>
      <w:r w:rsidR="00210F75" w:rsidRPr="00BA6590">
        <w:rPr>
          <w:lang w:val="en-GB"/>
        </w:rPr>
        <w:t>of the Act</w:t>
      </w:r>
      <w:r w:rsidR="001B0404" w:rsidRPr="00BA6590">
        <w:rPr>
          <w:lang w:val="en-GB"/>
        </w:rPr>
        <w:t xml:space="preserve"> of 15 December 1980</w:t>
      </w:r>
      <w:r w:rsidRPr="00BA6590">
        <w:rPr>
          <w:lang w:val="en-GB"/>
        </w:rPr>
        <w:t>),</w:t>
      </w:r>
      <w:r w:rsidR="00210F75" w:rsidRPr="00BA6590">
        <w:rPr>
          <w:lang w:val="en-GB"/>
        </w:rPr>
        <w:t xml:space="preserve"> only after the arguments raised by that person and the foreseeable impact of his or her deportation to the destination country have been duly considered and account has been taken of the general situation in that country and the particular circumstances of the case. </w:t>
      </w:r>
      <w:r w:rsidR="009A5753" w:rsidRPr="00BA6590">
        <w:rPr>
          <w:lang w:val="en-GB"/>
        </w:rPr>
        <w:t xml:space="preserve">It is always verified that the person concerned is not in danger of being transferred to a country where his or her life will be threatened, in accordance with article 3 of the </w:t>
      </w:r>
      <w:r w:rsidR="00FA2B02" w:rsidRPr="00BA6590">
        <w:rPr>
          <w:lang w:val="en-GB"/>
        </w:rPr>
        <w:t>European Convention on Human Rights</w:t>
      </w:r>
      <w:r w:rsidRPr="00BA6590">
        <w:rPr>
          <w:lang w:val="en-GB"/>
        </w:rPr>
        <w:t xml:space="preserve">. </w:t>
      </w:r>
      <w:r w:rsidR="009A5753" w:rsidRPr="00BA6590">
        <w:rPr>
          <w:lang w:val="en-GB"/>
        </w:rPr>
        <w:t xml:space="preserve">The Minister </w:t>
      </w:r>
      <w:r w:rsidR="00EA21F9" w:rsidRPr="00BA6590">
        <w:rPr>
          <w:lang w:val="en-GB"/>
        </w:rPr>
        <w:t>or his or her</w:t>
      </w:r>
      <w:r w:rsidR="009A5753" w:rsidRPr="00BA6590">
        <w:rPr>
          <w:lang w:val="en-GB"/>
        </w:rPr>
        <w:t xml:space="preserve"> representative takes account of the views of the competent authorities. These would include the </w:t>
      </w:r>
      <w:r w:rsidRPr="00BA6590">
        <w:rPr>
          <w:lang w:val="en-GB"/>
        </w:rPr>
        <w:t>CGRA</w:t>
      </w:r>
      <w:r w:rsidR="009A5753" w:rsidRPr="00BA6590">
        <w:rPr>
          <w:lang w:val="en-GB"/>
        </w:rPr>
        <w:t>,</w:t>
      </w:r>
      <w:r w:rsidRPr="00BA6590">
        <w:rPr>
          <w:lang w:val="en-GB"/>
        </w:rPr>
        <w:t xml:space="preserve"> </w:t>
      </w:r>
      <w:r w:rsidR="009A5753" w:rsidRPr="00BA6590">
        <w:rPr>
          <w:lang w:val="en-GB"/>
        </w:rPr>
        <w:t xml:space="preserve">if the foreign national has lodged an application for asylum, and the judicial authorities, when a deportation order is to be issued or executed. Belgium applies the principle of </w:t>
      </w:r>
      <w:r w:rsidR="009A5753" w:rsidRPr="00BA6590">
        <w:rPr>
          <w:i/>
          <w:lang w:val="en-GB"/>
        </w:rPr>
        <w:t>non-refoulement</w:t>
      </w:r>
      <w:r w:rsidR="001F3CAB" w:rsidRPr="00BA6590">
        <w:rPr>
          <w:lang w:val="en-GB"/>
        </w:rPr>
        <w:t xml:space="preserve"> </w:t>
      </w:r>
      <w:r w:rsidRPr="00BA6590">
        <w:rPr>
          <w:lang w:val="en-GB"/>
        </w:rPr>
        <w:t>(article 33</w:t>
      </w:r>
      <w:r w:rsidR="004722FA" w:rsidRPr="00BA6590">
        <w:rPr>
          <w:lang w:val="en-GB"/>
        </w:rPr>
        <w:t xml:space="preserve"> of the 1951 Convention relating to the Status of Refugees), the</w:t>
      </w:r>
      <w:r w:rsidRPr="00BA6590">
        <w:rPr>
          <w:lang w:val="en-GB"/>
        </w:rPr>
        <w:t xml:space="preserve"> </w:t>
      </w:r>
      <w:r w:rsidR="00FA2B02" w:rsidRPr="00BA6590">
        <w:rPr>
          <w:lang w:val="en-GB"/>
        </w:rPr>
        <w:t>European Convention on Human Rights</w:t>
      </w:r>
      <w:r w:rsidRPr="00BA6590">
        <w:rPr>
          <w:lang w:val="en-GB"/>
        </w:rPr>
        <w:t xml:space="preserve"> (art</w:t>
      </w:r>
      <w:r w:rsidR="005F2A96" w:rsidRPr="00BA6590">
        <w:rPr>
          <w:lang w:val="en-GB"/>
        </w:rPr>
        <w:t>s.</w:t>
      </w:r>
      <w:r w:rsidRPr="00BA6590">
        <w:rPr>
          <w:lang w:val="en-GB"/>
        </w:rPr>
        <w:t xml:space="preserve"> 3 </w:t>
      </w:r>
      <w:r w:rsidR="004722FA" w:rsidRPr="00BA6590">
        <w:rPr>
          <w:lang w:val="en-GB"/>
        </w:rPr>
        <w:t>and</w:t>
      </w:r>
      <w:r w:rsidRPr="00BA6590">
        <w:rPr>
          <w:lang w:val="en-GB"/>
        </w:rPr>
        <w:t xml:space="preserve"> 8),</w:t>
      </w:r>
      <w:r w:rsidR="004722FA" w:rsidRPr="00BA6590">
        <w:rPr>
          <w:lang w:val="en-GB"/>
        </w:rPr>
        <w:t xml:space="preserve"> the second preambular paragraph of the </w:t>
      </w:r>
      <w:r w:rsidRPr="00BA6590">
        <w:rPr>
          <w:lang w:val="en-GB"/>
        </w:rPr>
        <w:t>Dublin</w:t>
      </w:r>
      <w:r w:rsidR="004722FA" w:rsidRPr="00BA6590">
        <w:rPr>
          <w:lang w:val="en-GB"/>
        </w:rPr>
        <w:t xml:space="preserve"> Regulation</w:t>
      </w:r>
      <w:r w:rsidR="00EF014C" w:rsidRPr="00BA6590">
        <w:rPr>
          <w:lang w:val="en-GB"/>
        </w:rPr>
        <w:t>,</w:t>
      </w:r>
      <w:r w:rsidR="004722FA" w:rsidRPr="00BA6590">
        <w:rPr>
          <w:lang w:val="en-GB"/>
        </w:rPr>
        <w:t xml:space="preserve"> </w:t>
      </w:r>
      <w:r w:rsidRPr="00BA6590">
        <w:rPr>
          <w:lang w:val="en-GB"/>
        </w:rPr>
        <w:t xml:space="preserve">articles 18 </w:t>
      </w:r>
      <w:r w:rsidR="004722FA" w:rsidRPr="00BA6590">
        <w:rPr>
          <w:lang w:val="en-GB"/>
        </w:rPr>
        <w:t>and</w:t>
      </w:r>
      <w:r w:rsidRPr="00BA6590">
        <w:rPr>
          <w:lang w:val="en-GB"/>
        </w:rPr>
        <w:t xml:space="preserve"> 19</w:t>
      </w:r>
      <w:r w:rsidR="004722FA" w:rsidRPr="00BA6590">
        <w:rPr>
          <w:lang w:val="en-GB"/>
        </w:rPr>
        <w:t xml:space="preserve"> </w:t>
      </w:r>
      <w:r w:rsidR="00EF014C" w:rsidRPr="00BA6590">
        <w:rPr>
          <w:lang w:val="en-GB"/>
        </w:rPr>
        <w:t>of the Charter of Fundamental Rights of the European Union and article 78.1 of the</w:t>
      </w:r>
      <w:r w:rsidRPr="00BA6590">
        <w:rPr>
          <w:lang w:val="en-GB"/>
        </w:rPr>
        <w:t xml:space="preserve"> </w:t>
      </w:r>
      <w:r w:rsidR="00EF014C" w:rsidRPr="00BA6590">
        <w:rPr>
          <w:lang w:val="en-GB"/>
        </w:rPr>
        <w:t>Treaty of Rome (Treaty establishing the European Economic Community)</w:t>
      </w:r>
      <w:r w:rsidRPr="00BA6590">
        <w:rPr>
          <w:lang w:val="en-GB"/>
        </w:rPr>
        <w:t>.</w:t>
      </w:r>
    </w:p>
    <w:p w:rsidR="009C6186" w:rsidRPr="00BA6590" w:rsidRDefault="009C6186" w:rsidP="009C6186">
      <w:pPr>
        <w:pStyle w:val="SingleTxtG"/>
        <w:rPr>
          <w:lang w:val="en-GB"/>
        </w:rPr>
      </w:pPr>
      <w:r w:rsidRPr="00BA6590">
        <w:rPr>
          <w:lang w:val="en-GB"/>
        </w:rPr>
        <w:t>368.</w:t>
      </w:r>
      <w:r w:rsidRPr="00BA6590">
        <w:rPr>
          <w:lang w:val="en-GB"/>
        </w:rPr>
        <w:tab/>
      </w:r>
      <w:r w:rsidR="00EF014C" w:rsidRPr="00BA6590">
        <w:rPr>
          <w:lang w:val="en-GB"/>
        </w:rPr>
        <w:t>In the consideration of each case, account is always taken of the foreign national</w:t>
      </w:r>
      <w:r w:rsidR="00A216FB" w:rsidRPr="00BA6590">
        <w:rPr>
          <w:lang w:val="en-GB"/>
        </w:rPr>
        <w:t>’</w:t>
      </w:r>
      <w:r w:rsidR="00EF014C" w:rsidRPr="00BA6590">
        <w:rPr>
          <w:lang w:val="en-GB"/>
        </w:rPr>
        <w:t>s right to respect for private and family life. This needs to be balanced with the protection of public safety and national security, in accordance with the principle of proportionality.</w:t>
      </w:r>
      <w:r w:rsidR="00792E9E" w:rsidRPr="00BA6590">
        <w:rPr>
          <w:rStyle w:val="FootnoteReference"/>
          <w:lang w:val="en-GB"/>
        </w:rPr>
        <w:footnoteReference w:id="47"/>
      </w:r>
      <w:r w:rsidRPr="00BA6590">
        <w:rPr>
          <w:lang w:val="en-GB"/>
        </w:rPr>
        <w:t xml:space="preserve"> </w:t>
      </w:r>
      <w:r w:rsidR="00EF014C" w:rsidRPr="00BA6590">
        <w:rPr>
          <w:lang w:val="en-GB"/>
        </w:rPr>
        <w:t>When an undocumented migrant commits an offence or a s</w:t>
      </w:r>
      <w:r w:rsidR="00E15A2A" w:rsidRPr="00BA6590">
        <w:rPr>
          <w:lang w:val="en-GB"/>
        </w:rPr>
        <w:t>erious crime, it is essential that</w:t>
      </w:r>
      <w:r w:rsidR="00EF014C" w:rsidRPr="00BA6590">
        <w:rPr>
          <w:lang w:val="en-GB"/>
        </w:rPr>
        <w:t xml:space="preserve"> the </w:t>
      </w:r>
      <w:r w:rsidR="00E15A2A" w:rsidRPr="00BA6590">
        <w:rPr>
          <w:lang w:val="en-GB"/>
        </w:rPr>
        <w:t>signific</w:t>
      </w:r>
      <w:r w:rsidR="00EF014C" w:rsidRPr="00BA6590">
        <w:rPr>
          <w:lang w:val="en-GB"/>
        </w:rPr>
        <w:t>ance of his or her family life and ties to Belgium</w:t>
      </w:r>
      <w:r w:rsidR="003E640D" w:rsidRPr="00BA6590">
        <w:rPr>
          <w:lang w:val="en-GB"/>
        </w:rPr>
        <w:t xml:space="preserve"> </w:t>
      </w:r>
      <w:r w:rsidR="00E15A2A" w:rsidRPr="00BA6590">
        <w:rPr>
          <w:lang w:val="en-GB"/>
        </w:rPr>
        <w:t xml:space="preserve">should be evaluated </w:t>
      </w:r>
      <w:r w:rsidR="003E640D" w:rsidRPr="00BA6590">
        <w:rPr>
          <w:lang w:val="en-GB"/>
        </w:rPr>
        <w:t>in relation to the seriousness of the act committed. This measurement varies with each case and therefore requires individual consideration.</w:t>
      </w:r>
    </w:p>
    <w:p w:rsidR="009C6186" w:rsidRPr="00BA6590" w:rsidRDefault="009C6186" w:rsidP="009C6186">
      <w:pPr>
        <w:pStyle w:val="SingleTxtG"/>
        <w:rPr>
          <w:lang w:val="en-GB"/>
        </w:rPr>
      </w:pPr>
      <w:r w:rsidRPr="00BA6590">
        <w:rPr>
          <w:lang w:val="en-GB"/>
        </w:rPr>
        <w:t>369.</w:t>
      </w:r>
      <w:r w:rsidRPr="00BA6590">
        <w:rPr>
          <w:lang w:val="en-GB"/>
        </w:rPr>
        <w:tab/>
      </w:r>
      <w:r w:rsidR="003E640D" w:rsidRPr="00BA6590">
        <w:rPr>
          <w:lang w:val="en-GB"/>
        </w:rPr>
        <w:t xml:space="preserve">Expulsion and deportation orders may be subject to petitions to the Aliens Litigation Council for suspension and annulment. The Minister </w:t>
      </w:r>
      <w:r w:rsidR="00EA21F9" w:rsidRPr="00BA6590">
        <w:rPr>
          <w:lang w:val="en-GB"/>
        </w:rPr>
        <w:t>or his or her</w:t>
      </w:r>
      <w:r w:rsidR="003E640D" w:rsidRPr="00BA6590">
        <w:rPr>
          <w:lang w:val="en-GB"/>
        </w:rPr>
        <w:t xml:space="preserve"> representative rules on applications for postponement or cancellation of such measures. If the persons concerned are deported, their details are added to the</w:t>
      </w:r>
      <w:r w:rsidR="007A645D" w:rsidRPr="00BA6590">
        <w:rPr>
          <w:lang w:val="en-GB"/>
        </w:rPr>
        <w:t xml:space="preserve"> Schengen Information System (SIS)</w:t>
      </w:r>
      <w:r w:rsidR="003E640D" w:rsidRPr="00BA6590">
        <w:rPr>
          <w:lang w:val="en-GB"/>
        </w:rPr>
        <w:t xml:space="preserve"> database</w:t>
      </w:r>
      <w:r w:rsidR="007A645D" w:rsidRPr="00BA6590">
        <w:rPr>
          <w:lang w:val="en-GB"/>
        </w:rPr>
        <w:t xml:space="preserve">. Should they return and be intercepted in Belgium, the police will contact the central SIS office with a view to taking the person back into custody </w:t>
      </w:r>
      <w:r w:rsidRPr="00BA6590">
        <w:rPr>
          <w:lang w:val="en-GB"/>
        </w:rPr>
        <w:t>(</w:t>
      </w:r>
      <w:r w:rsidR="007A645D" w:rsidRPr="00BA6590">
        <w:rPr>
          <w:lang w:val="en-GB"/>
        </w:rPr>
        <w:t>if</w:t>
      </w:r>
      <w:r w:rsidRPr="00BA6590">
        <w:rPr>
          <w:lang w:val="en-GB"/>
        </w:rPr>
        <w:t xml:space="preserve"> possible)</w:t>
      </w:r>
      <w:r w:rsidR="007A645D" w:rsidRPr="00BA6590">
        <w:rPr>
          <w:lang w:val="en-GB"/>
        </w:rPr>
        <w:t xml:space="preserve"> so that he or she can serve the remainder of his or her sentence. </w:t>
      </w:r>
    </w:p>
    <w:p w:rsidR="009C6186" w:rsidRPr="00BA6590" w:rsidRDefault="009C6186" w:rsidP="00D9671B">
      <w:pPr>
        <w:pStyle w:val="SingleTxtG"/>
        <w:rPr>
          <w:lang w:val="en-GB"/>
        </w:rPr>
      </w:pPr>
      <w:r w:rsidRPr="00BA6590">
        <w:rPr>
          <w:lang w:val="en-GB"/>
        </w:rPr>
        <w:t>370.</w:t>
      </w:r>
      <w:r w:rsidRPr="00BA6590">
        <w:rPr>
          <w:lang w:val="en-GB"/>
        </w:rPr>
        <w:tab/>
      </w:r>
      <w:r w:rsidR="00671B6E" w:rsidRPr="00BA6590">
        <w:rPr>
          <w:lang w:val="en-GB"/>
        </w:rPr>
        <w:t xml:space="preserve">Since </w:t>
      </w:r>
      <w:r w:rsidRPr="00BA6590">
        <w:rPr>
          <w:lang w:val="en-GB"/>
        </w:rPr>
        <w:t>2008,</w:t>
      </w:r>
      <w:r w:rsidR="00671B6E" w:rsidRPr="00BA6590">
        <w:rPr>
          <w:lang w:val="en-GB"/>
        </w:rPr>
        <w:t xml:space="preserve"> there have been six cases of deportation (one in </w:t>
      </w:r>
      <w:r w:rsidRPr="00BA6590">
        <w:rPr>
          <w:lang w:val="en-GB"/>
        </w:rPr>
        <w:t xml:space="preserve">2008 </w:t>
      </w:r>
      <w:r w:rsidR="00671B6E" w:rsidRPr="00BA6590">
        <w:rPr>
          <w:lang w:val="en-GB"/>
        </w:rPr>
        <w:t>and five i</w:t>
      </w:r>
      <w:r w:rsidRPr="00BA6590">
        <w:rPr>
          <w:lang w:val="en-GB"/>
        </w:rPr>
        <w:t>n 2010)</w:t>
      </w:r>
      <w:r w:rsidR="00671B6E" w:rsidRPr="00BA6590">
        <w:rPr>
          <w:lang w:val="en-GB"/>
        </w:rPr>
        <w:t xml:space="preserve"> and three sensitive cases which have led to expulsion orders. Two of the latter involved persons convicted of terrorist offences who invoked </w:t>
      </w:r>
      <w:r w:rsidRPr="00BA6590">
        <w:rPr>
          <w:lang w:val="en-GB"/>
        </w:rPr>
        <w:t xml:space="preserve">article 3 </w:t>
      </w:r>
      <w:r w:rsidR="00671B6E" w:rsidRPr="00BA6590">
        <w:rPr>
          <w:lang w:val="en-GB"/>
        </w:rPr>
        <w:t>of the</w:t>
      </w:r>
      <w:r w:rsidRPr="00BA6590">
        <w:rPr>
          <w:lang w:val="en-GB"/>
        </w:rPr>
        <w:t xml:space="preserve"> </w:t>
      </w:r>
      <w:r w:rsidR="00FA2B02" w:rsidRPr="00BA6590">
        <w:rPr>
          <w:lang w:val="en-GB"/>
        </w:rPr>
        <w:t>European Convention on Human Rights</w:t>
      </w:r>
      <w:r w:rsidR="00671B6E" w:rsidRPr="00BA6590">
        <w:rPr>
          <w:lang w:val="en-GB"/>
        </w:rPr>
        <w:t xml:space="preserve"> in order to avoid deportation. In those two cases, the residence status was analysed. As already mentioned, the right to private and family life is duly taken into account. Routine checks </w:t>
      </w:r>
      <w:r w:rsidR="00E15A2A" w:rsidRPr="00BA6590">
        <w:rPr>
          <w:lang w:val="en-GB"/>
        </w:rPr>
        <w:t>may involve</w:t>
      </w:r>
      <w:r w:rsidR="00671B6E" w:rsidRPr="00BA6590">
        <w:rPr>
          <w:lang w:val="en-GB"/>
        </w:rPr>
        <w:t xml:space="preserve"> consulting the </w:t>
      </w:r>
      <w:r w:rsidRPr="00BA6590">
        <w:rPr>
          <w:lang w:val="en-GB"/>
        </w:rPr>
        <w:t>Schengen</w:t>
      </w:r>
      <w:r w:rsidR="00671B6E" w:rsidRPr="00BA6590">
        <w:rPr>
          <w:lang w:val="en-GB"/>
        </w:rPr>
        <w:t xml:space="preserve"> system, requesting a list of visitors to the person in prison, or contacting state security services. Currently, the three persons subject to expulsion orders have not yet been deported. </w:t>
      </w:r>
      <w:r w:rsidR="00AC0342" w:rsidRPr="00BA6590">
        <w:rPr>
          <w:lang w:val="en-GB"/>
        </w:rPr>
        <w:t xml:space="preserve">In two cases, the Council of State quashed the </w:t>
      </w:r>
      <w:r w:rsidR="004429D2" w:rsidRPr="00BA6590">
        <w:rPr>
          <w:lang w:val="en-GB"/>
        </w:rPr>
        <w:t>decision</w:t>
      </w:r>
      <w:r w:rsidR="00AC0342" w:rsidRPr="00BA6590">
        <w:rPr>
          <w:lang w:val="en-GB"/>
        </w:rPr>
        <w:t xml:space="preserve"> of the Aliens Litigation Council, which had cancelled the deportation order; the cancellation petitions are therefore pending again. In the third case a cancellation petition to the Aliens Litigation Council is pending</w:t>
      </w:r>
      <w:r w:rsidRPr="00BA6590">
        <w:rPr>
          <w:lang w:val="en-GB"/>
        </w:rPr>
        <w:t>.</w:t>
      </w:r>
      <w:r w:rsidR="008F3CD6" w:rsidRPr="00BA6590">
        <w:rPr>
          <w:lang w:val="en-GB"/>
        </w:rPr>
        <w:t xml:space="preserve"> </w:t>
      </w:r>
    </w:p>
    <w:p w:rsidR="009C6186" w:rsidRPr="00BA6590" w:rsidRDefault="0030160E" w:rsidP="004C0723">
      <w:pPr>
        <w:pStyle w:val="H56G"/>
        <w:rPr>
          <w:lang w:val="en-GB"/>
        </w:rPr>
      </w:pPr>
      <w:r w:rsidRPr="00BA6590">
        <w:rPr>
          <w:lang w:val="en-GB"/>
        </w:rPr>
        <w:tab/>
      </w:r>
      <w:r w:rsidRPr="00BA6590">
        <w:rPr>
          <w:lang w:val="en-GB"/>
        </w:rPr>
        <w:tab/>
      </w:r>
      <w:r w:rsidR="00AC0342" w:rsidRPr="00BA6590">
        <w:rPr>
          <w:lang w:val="en-GB"/>
        </w:rPr>
        <w:t xml:space="preserve">Use of force by </w:t>
      </w:r>
      <w:r w:rsidR="009C6186" w:rsidRPr="00BA6590">
        <w:rPr>
          <w:lang w:val="en-GB"/>
        </w:rPr>
        <w:t>police</w:t>
      </w:r>
      <w:r w:rsidR="00AC0342" w:rsidRPr="00BA6590">
        <w:rPr>
          <w:lang w:val="en-GB"/>
        </w:rPr>
        <w:t xml:space="preserve"> </w:t>
      </w:r>
    </w:p>
    <w:p w:rsidR="009C6186" w:rsidRPr="00BA6590" w:rsidRDefault="009C6186" w:rsidP="009C6186">
      <w:pPr>
        <w:pStyle w:val="SingleTxtG"/>
        <w:rPr>
          <w:lang w:val="en-GB"/>
        </w:rPr>
      </w:pPr>
      <w:r w:rsidRPr="00BA6590">
        <w:rPr>
          <w:lang w:val="en-GB"/>
        </w:rPr>
        <w:t>371.</w:t>
      </w:r>
      <w:r w:rsidRPr="00BA6590">
        <w:rPr>
          <w:lang w:val="en-GB"/>
        </w:rPr>
        <w:tab/>
      </w:r>
      <w:r w:rsidR="002554EB" w:rsidRPr="00BA6590">
        <w:rPr>
          <w:lang w:val="en-GB"/>
        </w:rPr>
        <w:t xml:space="preserve">In </w:t>
      </w:r>
      <w:r w:rsidR="00E15A2A" w:rsidRPr="00BA6590">
        <w:rPr>
          <w:lang w:val="en-GB"/>
        </w:rPr>
        <w:t>carrying out their legal duties</w:t>
      </w:r>
      <w:r w:rsidR="002554EB" w:rsidRPr="00BA6590">
        <w:rPr>
          <w:lang w:val="en-GB"/>
        </w:rPr>
        <w:t xml:space="preserve"> the police </w:t>
      </w:r>
      <w:r w:rsidR="00E15A2A" w:rsidRPr="00BA6590">
        <w:rPr>
          <w:lang w:val="en-GB"/>
        </w:rPr>
        <w:t>sometimes</w:t>
      </w:r>
      <w:r w:rsidR="002554EB" w:rsidRPr="00BA6590">
        <w:rPr>
          <w:lang w:val="en-GB"/>
        </w:rPr>
        <w:t xml:space="preserve"> have to use force, subject to strict compliance with the legal conditions which </w:t>
      </w:r>
      <w:r w:rsidR="00E15A2A" w:rsidRPr="00BA6590">
        <w:rPr>
          <w:lang w:val="en-GB"/>
        </w:rPr>
        <w:t>govern</w:t>
      </w:r>
      <w:r w:rsidR="002554EB" w:rsidRPr="00BA6590">
        <w:rPr>
          <w:lang w:val="en-GB"/>
        </w:rPr>
        <w:t xml:space="preserve"> such situations: legality, proportionality and subsidiarity. </w:t>
      </w:r>
    </w:p>
    <w:p w:rsidR="009C6186" w:rsidRPr="00BA6590" w:rsidRDefault="009C6186" w:rsidP="009C6186">
      <w:pPr>
        <w:pStyle w:val="SingleTxtG"/>
        <w:rPr>
          <w:lang w:val="en-GB"/>
        </w:rPr>
      </w:pPr>
      <w:r w:rsidRPr="00BA6590">
        <w:rPr>
          <w:lang w:val="en-GB"/>
        </w:rPr>
        <w:t>372.</w:t>
      </w:r>
      <w:r w:rsidRPr="00BA6590">
        <w:rPr>
          <w:lang w:val="en-GB"/>
        </w:rPr>
        <w:tab/>
      </w:r>
      <w:r w:rsidR="00DA23B1" w:rsidRPr="00BA6590">
        <w:rPr>
          <w:lang w:val="en-GB"/>
        </w:rPr>
        <w:t xml:space="preserve">The use of force is entirely governed by the domestic and international legal framework and, consequently, by human rights law, including the prohibition of mistreatment and of all forms of torture whether or not they are motivated by </w:t>
      </w:r>
      <w:r w:rsidR="00E15A2A" w:rsidRPr="00BA6590">
        <w:rPr>
          <w:lang w:val="en-GB"/>
        </w:rPr>
        <w:t xml:space="preserve">some form of </w:t>
      </w:r>
      <w:r w:rsidR="00DA23B1" w:rsidRPr="00BA6590">
        <w:rPr>
          <w:lang w:val="en-GB"/>
        </w:rPr>
        <w:t xml:space="preserve">discrimination. Any contravention of these principles may result in criminal or disciplinary penalties. Furthermore, any use of force is required to be reported, systematically and specifically. </w:t>
      </w:r>
    </w:p>
    <w:p w:rsidR="009C6186" w:rsidRPr="00BA6590" w:rsidRDefault="009C6186" w:rsidP="009C6186">
      <w:pPr>
        <w:pStyle w:val="SingleTxtG"/>
        <w:rPr>
          <w:lang w:val="en-GB"/>
        </w:rPr>
      </w:pPr>
      <w:r w:rsidRPr="00BA6590">
        <w:rPr>
          <w:lang w:val="en-GB"/>
        </w:rPr>
        <w:t>373.</w:t>
      </w:r>
      <w:r w:rsidRPr="00BA6590">
        <w:rPr>
          <w:lang w:val="en-GB"/>
        </w:rPr>
        <w:tab/>
      </w:r>
      <w:r w:rsidR="00EA7E5D" w:rsidRPr="00BA6590">
        <w:rPr>
          <w:lang w:val="en-GB"/>
        </w:rPr>
        <w:t xml:space="preserve">To ensure that police tasks are carried out correctly and that rules are complied with regarding the use of force and the protection of human rights, Belgium has implemented supervisory mechanisms at the level of the three </w:t>
      </w:r>
      <w:r w:rsidR="00CB7C92" w:rsidRPr="00BA6590">
        <w:rPr>
          <w:lang w:val="en-GB"/>
        </w:rPr>
        <w:t>federal</w:t>
      </w:r>
      <w:r w:rsidR="00EA7E5D" w:rsidRPr="00BA6590">
        <w:rPr>
          <w:lang w:val="en-GB"/>
        </w:rPr>
        <w:t xml:space="preserve"> authorities</w:t>
      </w:r>
      <w:r w:rsidR="00CB7C92" w:rsidRPr="00BA6590">
        <w:rPr>
          <w:lang w:val="en-GB"/>
        </w:rPr>
        <w:t>. These mechanisms fu</w:t>
      </w:r>
      <w:r w:rsidR="00E15A2A" w:rsidRPr="00BA6590">
        <w:rPr>
          <w:lang w:val="en-GB"/>
        </w:rPr>
        <w:t>nction systematically, on a regular or occasional basis</w:t>
      </w:r>
      <w:r w:rsidR="00CB7C92" w:rsidRPr="00BA6590">
        <w:rPr>
          <w:lang w:val="en-GB"/>
        </w:rPr>
        <w:t xml:space="preserve">, as the case may be. Citizens may have recourse to this supervisory structure in case of </w:t>
      </w:r>
      <w:r w:rsidR="00E15A2A" w:rsidRPr="00BA6590">
        <w:rPr>
          <w:lang w:val="en-GB"/>
        </w:rPr>
        <w:t>non-compliance; it is</w:t>
      </w:r>
      <w:r w:rsidR="00CB7C92" w:rsidRPr="00BA6590">
        <w:rPr>
          <w:lang w:val="en-GB"/>
        </w:rPr>
        <w:t xml:space="preserve"> also </w:t>
      </w:r>
      <w:r w:rsidR="00E15A2A" w:rsidRPr="00BA6590">
        <w:rPr>
          <w:lang w:val="en-GB"/>
        </w:rPr>
        <w:t>used for</w:t>
      </w:r>
      <w:r w:rsidR="00CB7C92" w:rsidRPr="00BA6590">
        <w:rPr>
          <w:lang w:val="en-GB"/>
        </w:rPr>
        <w:t xml:space="preserve"> evaluation of the performance of police work and the adoption of corrective measures where necessary. In addition to the penal and disciplinary mechanisms available, any infringements are sanctioned through statutory staff assessment procedures. </w:t>
      </w:r>
    </w:p>
    <w:p w:rsidR="009C6186" w:rsidRPr="00BA6590" w:rsidRDefault="0030160E" w:rsidP="00B67303">
      <w:pPr>
        <w:pStyle w:val="H23G"/>
        <w:rPr>
          <w:lang w:val="en-GB"/>
        </w:rPr>
      </w:pPr>
      <w:r w:rsidRPr="00BA6590">
        <w:rPr>
          <w:lang w:val="en-GB"/>
        </w:rPr>
        <w:tab/>
      </w:r>
      <w:r w:rsidRPr="00BA6590">
        <w:rPr>
          <w:lang w:val="en-GB"/>
        </w:rPr>
        <w:tab/>
      </w:r>
      <w:r w:rsidR="00CB7C92" w:rsidRPr="00BA6590">
        <w:rPr>
          <w:lang w:val="en-GB"/>
        </w:rPr>
        <w:t>Paragraph</w:t>
      </w:r>
      <w:r w:rsidR="00B67303" w:rsidRPr="00BA6590" w:rsidDel="00B67303">
        <w:rPr>
          <w:lang w:val="en-GB"/>
        </w:rPr>
        <w:t xml:space="preserve"> </w:t>
      </w:r>
      <w:r w:rsidR="009C6186" w:rsidRPr="00BA6590">
        <w:rPr>
          <w:lang w:val="en-GB"/>
        </w:rPr>
        <w:t>19</w:t>
      </w:r>
      <w:r w:rsidR="00E15A2A" w:rsidRPr="00BA6590">
        <w:rPr>
          <w:lang w:val="en-GB"/>
        </w:rPr>
        <w:t xml:space="preserve"> of the </w:t>
      </w:r>
      <w:r w:rsidR="00816F73" w:rsidRPr="00BA6590">
        <w:rPr>
          <w:lang w:val="en-GB"/>
        </w:rPr>
        <w:t>concluding observations</w:t>
      </w:r>
    </w:p>
    <w:p w:rsidR="009C6186" w:rsidRPr="00BA6590" w:rsidRDefault="009C6186" w:rsidP="00BA355C">
      <w:pPr>
        <w:pStyle w:val="SingleTxtG"/>
        <w:rPr>
          <w:lang w:val="en-GB"/>
        </w:rPr>
      </w:pPr>
      <w:r w:rsidRPr="00BA6590">
        <w:rPr>
          <w:lang w:val="en-GB"/>
        </w:rPr>
        <w:t>374.</w:t>
      </w:r>
      <w:r w:rsidRPr="00BA6590">
        <w:rPr>
          <w:lang w:val="en-GB"/>
        </w:rPr>
        <w:tab/>
      </w:r>
      <w:r w:rsidR="00CB7C92" w:rsidRPr="00BA6590">
        <w:rPr>
          <w:lang w:val="en-GB"/>
        </w:rPr>
        <w:t xml:space="preserve">On </w:t>
      </w:r>
      <w:r w:rsidRPr="00BA6590">
        <w:rPr>
          <w:lang w:val="en-GB"/>
        </w:rPr>
        <w:t xml:space="preserve">31 </w:t>
      </w:r>
      <w:r w:rsidR="003F5E21" w:rsidRPr="00BA6590">
        <w:rPr>
          <w:lang w:val="en-GB"/>
        </w:rPr>
        <w:t>July</w:t>
      </w:r>
      <w:r w:rsidRPr="00BA6590">
        <w:rPr>
          <w:lang w:val="en-GB"/>
        </w:rPr>
        <w:t xml:space="preserve"> 2001</w:t>
      </w:r>
      <w:r w:rsidR="00CB7C92" w:rsidRPr="00BA6590">
        <w:rPr>
          <w:lang w:val="en-GB"/>
        </w:rPr>
        <w:t>, when Belgium signed the Framework Convention for the Protection of National Minorities, it expressed a reservation regarding the concept of</w:t>
      </w:r>
      <w:r w:rsidR="004E6E1B" w:rsidRPr="00BA6590">
        <w:rPr>
          <w:lang w:val="en-GB"/>
        </w:rPr>
        <w:t xml:space="preserve"> </w:t>
      </w:r>
      <w:r w:rsidR="000D298B" w:rsidRPr="00BA6590">
        <w:rPr>
          <w:lang w:val="en-GB"/>
        </w:rPr>
        <w:t>“</w:t>
      </w:r>
      <w:r w:rsidR="004E6E1B" w:rsidRPr="00BA6590">
        <w:rPr>
          <w:lang w:val="en-GB"/>
        </w:rPr>
        <w:t>national minority</w:t>
      </w:r>
      <w:r w:rsidR="000D298B" w:rsidRPr="00BA6590">
        <w:rPr>
          <w:lang w:val="en-GB"/>
        </w:rPr>
        <w:t>”</w:t>
      </w:r>
      <w:r w:rsidR="00ED343D" w:rsidRPr="00BA6590">
        <w:rPr>
          <w:lang w:val="en-GB"/>
        </w:rPr>
        <w:t>:</w:t>
      </w:r>
      <w:r w:rsidRPr="00BA6590">
        <w:rPr>
          <w:lang w:val="en-GB"/>
        </w:rPr>
        <w:t xml:space="preserve"> </w:t>
      </w:r>
      <w:r w:rsidR="000D298B" w:rsidRPr="00BA6590">
        <w:rPr>
          <w:lang w:val="en-GB"/>
        </w:rPr>
        <w:t>“</w:t>
      </w:r>
      <w:r w:rsidR="004E6E1B" w:rsidRPr="00BA6590">
        <w:rPr>
          <w:lang w:val="en-GB"/>
        </w:rPr>
        <w:t>The Kingdom of Belgium declares that the Framework Convention applies without prejudice to the constitutional provisions, guarantees or principles, and without prejudice to the legislative rules which currently govern the use of languages. The Kingdom of Belgium declares that the notion of national minority will be defined by the inter-ministerial conference of foreign policy.</w:t>
      </w:r>
      <w:r w:rsidR="000D298B" w:rsidRPr="00BA6590">
        <w:rPr>
          <w:lang w:val="en-GB"/>
        </w:rPr>
        <w:t>”</w:t>
      </w:r>
    </w:p>
    <w:p w:rsidR="009C6186" w:rsidRPr="00BA6590" w:rsidRDefault="009C6186" w:rsidP="009C6186">
      <w:pPr>
        <w:pStyle w:val="SingleTxtG"/>
        <w:rPr>
          <w:lang w:val="en-GB"/>
        </w:rPr>
      </w:pPr>
      <w:r w:rsidRPr="00BA6590">
        <w:rPr>
          <w:lang w:val="en-GB"/>
        </w:rPr>
        <w:t>375.</w:t>
      </w:r>
      <w:r w:rsidRPr="00BA6590">
        <w:rPr>
          <w:lang w:val="en-GB"/>
        </w:rPr>
        <w:tab/>
      </w:r>
      <w:r w:rsidR="004E6E1B" w:rsidRPr="00BA6590">
        <w:rPr>
          <w:lang w:val="en-GB"/>
        </w:rPr>
        <w:t xml:space="preserve">A working group has been created and has met a number of times, but no such definition has yet been agreed in Belgium. </w:t>
      </w:r>
    </w:p>
    <w:p w:rsidR="009C6186" w:rsidRPr="00BA6590" w:rsidRDefault="0030160E" w:rsidP="00704B37">
      <w:pPr>
        <w:pStyle w:val="H23G"/>
        <w:rPr>
          <w:lang w:val="en-GB"/>
        </w:rPr>
      </w:pPr>
      <w:r w:rsidRPr="00BA6590">
        <w:rPr>
          <w:lang w:val="en-GB"/>
        </w:rPr>
        <w:tab/>
      </w:r>
      <w:r w:rsidRPr="00BA6590">
        <w:rPr>
          <w:lang w:val="en-GB"/>
        </w:rPr>
        <w:tab/>
      </w:r>
      <w:r w:rsidR="004429D2" w:rsidRPr="00BA6590">
        <w:rPr>
          <w:lang w:val="en-GB"/>
        </w:rPr>
        <w:t>Paragraph</w:t>
      </w:r>
      <w:r w:rsidR="00B67303" w:rsidRPr="00BA6590" w:rsidDel="00B67303">
        <w:rPr>
          <w:lang w:val="en-GB"/>
        </w:rPr>
        <w:t xml:space="preserve"> </w:t>
      </w:r>
      <w:r w:rsidR="004E6E1B" w:rsidRPr="00BA6590">
        <w:rPr>
          <w:lang w:val="en-GB"/>
        </w:rPr>
        <w:t>20 of</w:t>
      </w:r>
      <w:r w:rsidR="009C6186" w:rsidRPr="00BA6590">
        <w:rPr>
          <w:lang w:val="en-GB"/>
        </w:rPr>
        <w:t xml:space="preserve"> </w:t>
      </w:r>
      <w:r w:rsidR="004E6E1B" w:rsidRPr="00BA6590">
        <w:rPr>
          <w:lang w:val="en-GB"/>
        </w:rPr>
        <w:t xml:space="preserve">the </w:t>
      </w:r>
      <w:r w:rsidR="00816F73" w:rsidRPr="00BA6590">
        <w:rPr>
          <w:lang w:val="en-GB"/>
        </w:rPr>
        <w:t>concluding observations</w:t>
      </w:r>
      <w:r w:rsidR="009C6186" w:rsidRPr="00BA6590">
        <w:rPr>
          <w:lang w:val="en-GB"/>
        </w:rPr>
        <w:t xml:space="preserve">: </w:t>
      </w:r>
      <w:r w:rsidR="00B67303" w:rsidRPr="00BA6590">
        <w:rPr>
          <w:lang w:val="en-GB"/>
        </w:rPr>
        <w:t>r</w:t>
      </w:r>
      <w:r w:rsidR="004E6E1B" w:rsidRPr="00BA6590">
        <w:rPr>
          <w:lang w:val="en-GB"/>
        </w:rPr>
        <w:t>esponse on</w:t>
      </w:r>
      <w:r w:rsidR="009C6186" w:rsidRPr="00BA6590">
        <w:rPr>
          <w:lang w:val="en-GB"/>
        </w:rPr>
        <w:t xml:space="preserve"> </w:t>
      </w:r>
      <w:r w:rsidR="003160C1" w:rsidRPr="00BA6590">
        <w:rPr>
          <w:lang w:val="en-GB"/>
        </w:rPr>
        <w:t>pages 3</w:t>
      </w:r>
      <w:r w:rsidR="00D8445F" w:rsidRPr="00BA6590">
        <w:rPr>
          <w:lang w:val="en-GB"/>
        </w:rPr>
        <w:t>4</w:t>
      </w:r>
      <w:r w:rsidR="00E8685B" w:rsidRPr="00BA6590">
        <w:rPr>
          <w:szCs w:val="24"/>
          <w:lang w:val="en-GB"/>
        </w:rPr>
        <w:t>–</w:t>
      </w:r>
      <w:r w:rsidR="003160C1" w:rsidRPr="00BA6590">
        <w:rPr>
          <w:lang w:val="en-GB"/>
        </w:rPr>
        <w:t>3</w:t>
      </w:r>
      <w:r w:rsidR="00D8445F" w:rsidRPr="00BA6590">
        <w:rPr>
          <w:lang w:val="en-GB"/>
        </w:rPr>
        <w:t>6</w:t>
      </w:r>
    </w:p>
    <w:p w:rsidR="009C6186" w:rsidRPr="00BA6590" w:rsidRDefault="0030160E" w:rsidP="00704B37">
      <w:pPr>
        <w:pStyle w:val="H23G"/>
        <w:rPr>
          <w:lang w:val="en-GB"/>
        </w:rPr>
      </w:pPr>
      <w:r w:rsidRPr="00BA6590">
        <w:rPr>
          <w:lang w:val="en-GB"/>
        </w:rPr>
        <w:tab/>
      </w:r>
      <w:r w:rsidRPr="00BA6590">
        <w:rPr>
          <w:lang w:val="en-GB"/>
        </w:rPr>
        <w:tab/>
      </w:r>
      <w:r w:rsidR="004429D2" w:rsidRPr="00BA6590">
        <w:rPr>
          <w:lang w:val="en-GB"/>
        </w:rPr>
        <w:t>Paragraph</w:t>
      </w:r>
      <w:r w:rsidR="00B67303" w:rsidRPr="00BA6590" w:rsidDel="00B67303">
        <w:rPr>
          <w:lang w:val="en-GB"/>
        </w:rPr>
        <w:t xml:space="preserve"> </w:t>
      </w:r>
      <w:r w:rsidR="009C6186" w:rsidRPr="00BA6590">
        <w:rPr>
          <w:lang w:val="en-GB"/>
        </w:rPr>
        <w:t xml:space="preserve">21 </w:t>
      </w:r>
      <w:r w:rsidR="004E6E1B" w:rsidRPr="00BA6590">
        <w:rPr>
          <w:lang w:val="en-GB"/>
        </w:rPr>
        <w:t>of the</w:t>
      </w:r>
      <w:r w:rsidR="009C6186" w:rsidRPr="00BA6590">
        <w:rPr>
          <w:lang w:val="en-GB"/>
        </w:rPr>
        <w:t xml:space="preserve"> </w:t>
      </w:r>
      <w:r w:rsidR="00816F73" w:rsidRPr="00BA6590">
        <w:rPr>
          <w:lang w:val="en-GB"/>
        </w:rPr>
        <w:t>concluding observations</w:t>
      </w:r>
      <w:r w:rsidR="009C6186" w:rsidRPr="00BA6590">
        <w:rPr>
          <w:lang w:val="en-GB"/>
        </w:rPr>
        <w:t xml:space="preserve">: </w:t>
      </w:r>
      <w:r w:rsidR="00B67303" w:rsidRPr="00BA6590">
        <w:rPr>
          <w:lang w:val="en-GB"/>
        </w:rPr>
        <w:t>r</w:t>
      </w:r>
      <w:r w:rsidR="004E6E1B" w:rsidRPr="00BA6590">
        <w:rPr>
          <w:lang w:val="en-GB"/>
        </w:rPr>
        <w:t>es</w:t>
      </w:r>
      <w:r w:rsidR="009C6186" w:rsidRPr="00BA6590">
        <w:rPr>
          <w:lang w:val="en-GB"/>
        </w:rPr>
        <w:t xml:space="preserve">ponse </w:t>
      </w:r>
      <w:r w:rsidR="004E6E1B" w:rsidRPr="00BA6590">
        <w:rPr>
          <w:lang w:val="en-GB"/>
        </w:rPr>
        <w:t>on</w:t>
      </w:r>
      <w:r w:rsidR="009C6186" w:rsidRPr="00BA6590">
        <w:rPr>
          <w:lang w:val="en-GB"/>
        </w:rPr>
        <w:t xml:space="preserve"> pages </w:t>
      </w:r>
      <w:r w:rsidR="0067304F" w:rsidRPr="00BA6590">
        <w:rPr>
          <w:lang w:val="en-GB"/>
        </w:rPr>
        <w:t>5</w:t>
      </w:r>
      <w:r w:rsidR="00704B37" w:rsidRPr="00BA6590">
        <w:rPr>
          <w:lang w:val="en-GB"/>
        </w:rPr>
        <w:t>6</w:t>
      </w:r>
      <w:r w:rsidR="00E8685B" w:rsidRPr="00BA6590">
        <w:rPr>
          <w:szCs w:val="24"/>
          <w:lang w:val="en-GB"/>
        </w:rPr>
        <w:t>–</w:t>
      </w:r>
      <w:r w:rsidR="00D8445F" w:rsidRPr="00BA6590">
        <w:rPr>
          <w:lang w:val="en-GB"/>
        </w:rPr>
        <w:t>57</w:t>
      </w:r>
    </w:p>
    <w:p w:rsidR="009C6186" w:rsidRPr="00BA6590" w:rsidRDefault="0030160E" w:rsidP="0003699E">
      <w:pPr>
        <w:pStyle w:val="H23G"/>
        <w:rPr>
          <w:lang w:val="en-GB"/>
        </w:rPr>
      </w:pPr>
      <w:r w:rsidRPr="00BA6590">
        <w:rPr>
          <w:lang w:val="en-GB"/>
        </w:rPr>
        <w:tab/>
      </w:r>
      <w:r w:rsidRPr="00BA6590">
        <w:rPr>
          <w:lang w:val="en-GB"/>
        </w:rPr>
        <w:tab/>
      </w:r>
      <w:r w:rsidR="004429D2" w:rsidRPr="00BA6590">
        <w:rPr>
          <w:lang w:val="en-GB"/>
        </w:rPr>
        <w:t>Paragraph</w:t>
      </w:r>
      <w:r w:rsidR="00B67303" w:rsidRPr="00BA6590" w:rsidDel="00B67303">
        <w:rPr>
          <w:lang w:val="en-GB"/>
        </w:rPr>
        <w:t xml:space="preserve"> </w:t>
      </w:r>
      <w:r w:rsidR="004E6E1B" w:rsidRPr="00BA6590">
        <w:rPr>
          <w:lang w:val="en-GB"/>
        </w:rPr>
        <w:t>22 of the</w:t>
      </w:r>
      <w:r w:rsidR="009C6186" w:rsidRPr="00BA6590">
        <w:rPr>
          <w:lang w:val="en-GB"/>
        </w:rPr>
        <w:t xml:space="preserve"> </w:t>
      </w:r>
      <w:r w:rsidR="00816F73" w:rsidRPr="00BA6590">
        <w:rPr>
          <w:lang w:val="en-GB"/>
        </w:rPr>
        <w:t>concluding observations</w:t>
      </w:r>
      <w:r w:rsidR="009C6186" w:rsidRPr="00BA6590">
        <w:rPr>
          <w:lang w:val="en-GB"/>
        </w:rPr>
        <w:t>:</w:t>
      </w:r>
      <w:r w:rsidR="004E6E1B" w:rsidRPr="00BA6590">
        <w:rPr>
          <w:lang w:val="en-GB"/>
        </w:rPr>
        <w:t xml:space="preserve"> Belgium has already partly </w:t>
      </w:r>
      <w:r w:rsidR="008D0092" w:rsidRPr="00BA6590">
        <w:rPr>
          <w:lang w:val="en-GB"/>
        </w:rPr>
        <w:br/>
      </w:r>
      <w:r w:rsidR="004E6E1B" w:rsidRPr="00BA6590">
        <w:rPr>
          <w:lang w:val="en-GB"/>
        </w:rPr>
        <w:t>replied to this recommendation</w:t>
      </w:r>
      <w:r w:rsidR="009C6186" w:rsidRPr="00BA6590">
        <w:rPr>
          <w:lang w:val="en-GB"/>
        </w:rPr>
        <w:t xml:space="preserve"> (CERD/C/BEL/</w:t>
      </w:r>
      <w:r w:rsidR="00B67303" w:rsidRPr="00BA6590">
        <w:rPr>
          <w:lang w:val="en-GB"/>
        </w:rPr>
        <w:t>CO/</w:t>
      </w:r>
      <w:r w:rsidR="009C6186" w:rsidRPr="00BA6590">
        <w:rPr>
          <w:lang w:val="en-GB"/>
        </w:rPr>
        <w:t>15/Add.1</w:t>
      </w:r>
      <w:r w:rsidR="004E6E1B" w:rsidRPr="00BA6590">
        <w:rPr>
          <w:lang w:val="en-GB"/>
        </w:rPr>
        <w:t>, paragraphs 7</w:t>
      </w:r>
      <w:r w:rsidR="00E8685B" w:rsidRPr="00BA6590">
        <w:rPr>
          <w:szCs w:val="24"/>
          <w:lang w:val="en-GB"/>
        </w:rPr>
        <w:t>–</w:t>
      </w:r>
      <w:r w:rsidR="004E6E1B" w:rsidRPr="00BA6590">
        <w:rPr>
          <w:lang w:val="en-GB"/>
        </w:rPr>
        <w:t>11</w:t>
      </w:r>
      <w:r w:rsidR="009C6186" w:rsidRPr="00BA6590">
        <w:rPr>
          <w:lang w:val="en-GB"/>
        </w:rPr>
        <w:t>).</w:t>
      </w:r>
      <w:r w:rsidR="004E6E1B" w:rsidRPr="00BA6590">
        <w:rPr>
          <w:lang w:val="en-GB"/>
        </w:rPr>
        <w:t xml:space="preserve"> Further responses are found on pages </w:t>
      </w:r>
      <w:r w:rsidR="008B1D7A" w:rsidRPr="00BA6590">
        <w:rPr>
          <w:lang w:val="en-GB"/>
        </w:rPr>
        <w:t>1</w:t>
      </w:r>
      <w:r w:rsidR="00D8445F" w:rsidRPr="00BA6590">
        <w:rPr>
          <w:lang w:val="en-GB"/>
        </w:rPr>
        <w:t>3</w:t>
      </w:r>
      <w:r w:rsidR="00E8685B" w:rsidRPr="00BA6590">
        <w:rPr>
          <w:szCs w:val="24"/>
          <w:lang w:val="en-GB"/>
        </w:rPr>
        <w:t>–</w:t>
      </w:r>
      <w:r w:rsidR="008B1D7A" w:rsidRPr="00BA6590">
        <w:rPr>
          <w:lang w:val="en-GB"/>
        </w:rPr>
        <w:t>1</w:t>
      </w:r>
      <w:r w:rsidR="00D8445F" w:rsidRPr="00BA6590">
        <w:rPr>
          <w:lang w:val="en-GB"/>
        </w:rPr>
        <w:t>8</w:t>
      </w:r>
      <w:r w:rsidR="008B1D7A" w:rsidRPr="00BA6590">
        <w:rPr>
          <w:lang w:val="en-GB"/>
        </w:rPr>
        <w:t>, 4</w:t>
      </w:r>
      <w:r w:rsidR="00D8445F" w:rsidRPr="00BA6590">
        <w:rPr>
          <w:lang w:val="en-GB"/>
        </w:rPr>
        <w:t>5</w:t>
      </w:r>
      <w:r w:rsidR="00E8685B" w:rsidRPr="00BA6590">
        <w:rPr>
          <w:szCs w:val="24"/>
          <w:lang w:val="en-GB"/>
        </w:rPr>
        <w:t>–</w:t>
      </w:r>
      <w:r w:rsidR="008B1D7A" w:rsidRPr="00BA6590">
        <w:rPr>
          <w:lang w:val="en-GB"/>
        </w:rPr>
        <w:t>4</w:t>
      </w:r>
      <w:r w:rsidR="00D8445F" w:rsidRPr="00BA6590">
        <w:rPr>
          <w:lang w:val="en-GB"/>
        </w:rPr>
        <w:t>7</w:t>
      </w:r>
      <w:r w:rsidR="008B1D7A" w:rsidRPr="00BA6590">
        <w:rPr>
          <w:lang w:val="en-GB"/>
        </w:rPr>
        <w:t xml:space="preserve"> </w:t>
      </w:r>
      <w:r w:rsidR="004E6E1B" w:rsidRPr="00BA6590">
        <w:rPr>
          <w:lang w:val="en-GB"/>
        </w:rPr>
        <w:t>and</w:t>
      </w:r>
      <w:r w:rsidR="008B1D7A" w:rsidRPr="00BA6590">
        <w:rPr>
          <w:lang w:val="en-GB"/>
        </w:rPr>
        <w:t xml:space="preserve"> 5</w:t>
      </w:r>
      <w:r w:rsidR="00D8445F" w:rsidRPr="00BA6590">
        <w:rPr>
          <w:lang w:val="en-GB"/>
        </w:rPr>
        <w:t>4</w:t>
      </w:r>
      <w:r w:rsidR="00E8685B" w:rsidRPr="00BA6590">
        <w:rPr>
          <w:szCs w:val="24"/>
          <w:lang w:val="en-GB"/>
        </w:rPr>
        <w:t>–</w:t>
      </w:r>
      <w:r w:rsidR="00D8445F" w:rsidRPr="00BA6590">
        <w:rPr>
          <w:lang w:val="en-GB"/>
        </w:rPr>
        <w:t>55</w:t>
      </w:r>
    </w:p>
    <w:p w:rsidR="009C6186" w:rsidRPr="00BA6590" w:rsidRDefault="009C6186" w:rsidP="009C6186">
      <w:pPr>
        <w:pStyle w:val="SingleTxtG"/>
        <w:rPr>
          <w:lang w:val="en-GB"/>
        </w:rPr>
      </w:pPr>
      <w:r w:rsidRPr="00BA6590">
        <w:rPr>
          <w:lang w:val="en-GB"/>
        </w:rPr>
        <w:t>376.</w:t>
      </w:r>
      <w:r w:rsidRPr="00BA6590">
        <w:rPr>
          <w:lang w:val="en-GB"/>
        </w:rPr>
        <w:tab/>
      </w:r>
      <w:r w:rsidR="004E6E1B" w:rsidRPr="00BA6590">
        <w:rPr>
          <w:lang w:val="en-GB"/>
        </w:rPr>
        <w:t>I</w:t>
      </w:r>
      <w:r w:rsidRPr="00BA6590">
        <w:rPr>
          <w:lang w:val="en-GB"/>
        </w:rPr>
        <w:t xml:space="preserve">n </w:t>
      </w:r>
      <w:r w:rsidR="003F5E21" w:rsidRPr="00BA6590">
        <w:rPr>
          <w:lang w:val="en-GB"/>
        </w:rPr>
        <w:t>July</w:t>
      </w:r>
      <w:r w:rsidRPr="00BA6590">
        <w:rPr>
          <w:lang w:val="en-GB"/>
        </w:rPr>
        <w:t xml:space="preserve"> 2012, </w:t>
      </w:r>
      <w:r w:rsidR="004E6E1B" w:rsidRPr="00BA6590">
        <w:rPr>
          <w:lang w:val="en-GB"/>
        </w:rPr>
        <w:t xml:space="preserve">the European Committee of Social Rights of the Council of Europe concluded that Belgium had violated a </w:t>
      </w:r>
      <w:r w:rsidR="00816F73" w:rsidRPr="00BA6590">
        <w:rPr>
          <w:lang w:val="en-GB"/>
        </w:rPr>
        <w:t>number</w:t>
      </w:r>
      <w:r w:rsidR="004E6E1B" w:rsidRPr="00BA6590">
        <w:rPr>
          <w:lang w:val="en-GB"/>
        </w:rPr>
        <w:t xml:space="preserve"> of provisions of the European Social Charter in relation to Travellers.</w:t>
      </w:r>
      <w:r w:rsidRPr="00BA6590">
        <w:rPr>
          <w:lang w:val="en-GB"/>
        </w:rPr>
        <w:t xml:space="preserve"> </w:t>
      </w:r>
    </w:p>
    <w:p w:rsidR="009C6186" w:rsidRPr="00BA6590" w:rsidRDefault="009C6186" w:rsidP="00155ACA">
      <w:pPr>
        <w:pStyle w:val="SingleTxtG"/>
        <w:rPr>
          <w:lang w:val="en-GB"/>
        </w:rPr>
      </w:pPr>
      <w:r w:rsidRPr="00BA6590">
        <w:rPr>
          <w:lang w:val="en-GB"/>
        </w:rPr>
        <w:t>377.</w:t>
      </w:r>
      <w:r w:rsidRPr="00BA6590">
        <w:rPr>
          <w:lang w:val="en-GB"/>
        </w:rPr>
        <w:tab/>
      </w:r>
      <w:r w:rsidR="004E6E1B" w:rsidRPr="00BA6590">
        <w:rPr>
          <w:lang w:val="en-GB"/>
        </w:rPr>
        <w:t xml:space="preserve">In particular, the Committee </w:t>
      </w:r>
      <w:r w:rsidR="00155ACA" w:rsidRPr="00BA6590">
        <w:rPr>
          <w:lang w:val="en-GB"/>
        </w:rPr>
        <w:t>judged that the failure to recognise caravans as dwellings in the</w:t>
      </w:r>
      <w:r w:rsidRPr="00BA6590">
        <w:rPr>
          <w:lang w:val="en-GB"/>
        </w:rPr>
        <w:t xml:space="preserve"> </w:t>
      </w:r>
      <w:r w:rsidR="00B06588" w:rsidRPr="00BA6590">
        <w:rPr>
          <w:lang w:val="en-GB"/>
        </w:rPr>
        <w:t>Walloon Region</w:t>
      </w:r>
      <w:r w:rsidR="00155ACA" w:rsidRPr="00BA6590">
        <w:rPr>
          <w:lang w:val="en-GB"/>
        </w:rPr>
        <w:t xml:space="preserve"> and the existence in the Flemish and Brussels-Capital Regions of housing quality standards that were not adapted to caravans</w:t>
      </w:r>
      <w:r w:rsidRPr="00BA6590">
        <w:rPr>
          <w:lang w:val="en-GB"/>
        </w:rPr>
        <w:t xml:space="preserve"> </w:t>
      </w:r>
      <w:r w:rsidR="00155ACA" w:rsidRPr="00BA6590">
        <w:rPr>
          <w:lang w:val="en-GB"/>
        </w:rPr>
        <w:t>constituted a violation of two articles of the Social Charter which, in combination, guaranteed the families</w:t>
      </w:r>
      <w:r w:rsidR="00A216FB" w:rsidRPr="00BA6590">
        <w:rPr>
          <w:lang w:val="en-GB"/>
        </w:rPr>
        <w:t>’</w:t>
      </w:r>
      <w:r w:rsidR="00155ACA" w:rsidRPr="00BA6590">
        <w:rPr>
          <w:lang w:val="en-GB"/>
        </w:rPr>
        <w:t xml:space="preserve"> right to enjoy social and economic protection free from discrimination. Belgium notes this decision and will communicate its explanations and intentions to the European Committee of Social Rights in autumn 2012. </w:t>
      </w:r>
    </w:p>
    <w:p w:rsidR="009C6186" w:rsidRPr="00BA6590" w:rsidRDefault="0030160E" w:rsidP="00B67303">
      <w:pPr>
        <w:pStyle w:val="H23G"/>
        <w:rPr>
          <w:lang w:val="en-GB"/>
        </w:rPr>
      </w:pPr>
      <w:r w:rsidRPr="00BA6590">
        <w:rPr>
          <w:lang w:val="en-GB"/>
        </w:rPr>
        <w:tab/>
      </w:r>
      <w:r w:rsidRPr="00BA6590">
        <w:rPr>
          <w:lang w:val="en-GB"/>
        </w:rPr>
        <w:tab/>
      </w:r>
      <w:r w:rsidR="00155ACA" w:rsidRPr="00BA6590">
        <w:rPr>
          <w:lang w:val="en-GB"/>
        </w:rPr>
        <w:t>Paragraph</w:t>
      </w:r>
      <w:r w:rsidR="00B67303" w:rsidRPr="00BA6590" w:rsidDel="00B67303">
        <w:rPr>
          <w:lang w:val="en-GB"/>
        </w:rPr>
        <w:t xml:space="preserve"> </w:t>
      </w:r>
      <w:r w:rsidR="00155ACA" w:rsidRPr="00BA6590">
        <w:rPr>
          <w:lang w:val="en-GB"/>
        </w:rPr>
        <w:t>23 of the</w:t>
      </w:r>
      <w:r w:rsidR="009C6186" w:rsidRPr="00BA6590">
        <w:rPr>
          <w:lang w:val="en-GB"/>
        </w:rPr>
        <w:t xml:space="preserve"> </w:t>
      </w:r>
      <w:r w:rsidR="00816F73" w:rsidRPr="00BA6590">
        <w:rPr>
          <w:lang w:val="en-GB"/>
        </w:rPr>
        <w:t>concluding observations</w:t>
      </w:r>
    </w:p>
    <w:p w:rsidR="009C6186" w:rsidRPr="00BA6590" w:rsidRDefault="009C6186" w:rsidP="00174147">
      <w:pPr>
        <w:pStyle w:val="SingleTxtG"/>
        <w:rPr>
          <w:lang w:val="en-GB"/>
        </w:rPr>
      </w:pPr>
      <w:r w:rsidRPr="00BA6590">
        <w:rPr>
          <w:lang w:val="en-GB"/>
        </w:rPr>
        <w:t>378.</w:t>
      </w:r>
      <w:r w:rsidRPr="00BA6590">
        <w:rPr>
          <w:lang w:val="en-GB"/>
        </w:rPr>
        <w:tab/>
      </w:r>
      <w:r w:rsidR="00155ACA" w:rsidRPr="00BA6590">
        <w:rPr>
          <w:lang w:val="en-GB"/>
        </w:rPr>
        <w:t>At the time of its universal periodic review in May 2011, Belgium agreed to examine its interpretative declaration in relation to article 4 of the Convention, and initial consultations with the actors concerned have taken place. Draft legislation to prohibit undemocratic organizations is currently before Parliament (see above).</w:t>
      </w:r>
    </w:p>
    <w:p w:rsidR="009C6186" w:rsidRPr="00BA6590" w:rsidRDefault="0030160E" w:rsidP="00B67303">
      <w:pPr>
        <w:pStyle w:val="H23G"/>
        <w:rPr>
          <w:lang w:val="en-GB"/>
        </w:rPr>
      </w:pPr>
      <w:r w:rsidRPr="00BA6590">
        <w:rPr>
          <w:lang w:val="en-GB"/>
        </w:rPr>
        <w:tab/>
      </w:r>
      <w:r w:rsidRPr="00BA6590">
        <w:rPr>
          <w:lang w:val="en-GB"/>
        </w:rPr>
        <w:tab/>
      </w:r>
      <w:r w:rsidR="00155ACA" w:rsidRPr="00BA6590">
        <w:rPr>
          <w:lang w:val="en-GB"/>
        </w:rPr>
        <w:t>Paragraph</w:t>
      </w:r>
      <w:r w:rsidR="00B67303" w:rsidRPr="00BA6590" w:rsidDel="00B67303">
        <w:rPr>
          <w:lang w:val="en-GB"/>
        </w:rPr>
        <w:t xml:space="preserve"> </w:t>
      </w:r>
      <w:r w:rsidR="00155ACA" w:rsidRPr="00BA6590">
        <w:rPr>
          <w:lang w:val="en-GB"/>
        </w:rPr>
        <w:t>24 of the</w:t>
      </w:r>
      <w:r w:rsidR="009C6186" w:rsidRPr="00BA6590">
        <w:rPr>
          <w:lang w:val="en-GB"/>
        </w:rPr>
        <w:t xml:space="preserve"> </w:t>
      </w:r>
      <w:r w:rsidR="00816F73" w:rsidRPr="00BA6590">
        <w:rPr>
          <w:lang w:val="en-GB"/>
        </w:rPr>
        <w:t>concluding observations</w:t>
      </w:r>
    </w:p>
    <w:p w:rsidR="009C6186" w:rsidRPr="00BA6590" w:rsidRDefault="009C6186" w:rsidP="004F521D">
      <w:pPr>
        <w:pStyle w:val="SingleTxtG"/>
        <w:rPr>
          <w:lang w:val="en-GB"/>
        </w:rPr>
      </w:pPr>
      <w:r w:rsidRPr="00BA6590">
        <w:rPr>
          <w:lang w:val="en-GB"/>
        </w:rPr>
        <w:t>379.</w:t>
      </w:r>
      <w:r w:rsidRPr="00BA6590">
        <w:rPr>
          <w:lang w:val="en-GB"/>
        </w:rPr>
        <w:tab/>
      </w:r>
      <w:r w:rsidR="00155ACA" w:rsidRPr="00BA6590">
        <w:rPr>
          <w:lang w:val="en-GB"/>
        </w:rPr>
        <w:t xml:space="preserve">This concerns a technical amendment to article 8 (6) proposed by Australia in </w:t>
      </w:r>
      <w:r w:rsidRPr="00BA6590">
        <w:rPr>
          <w:lang w:val="en-GB"/>
        </w:rPr>
        <w:t>1992,</w:t>
      </w:r>
      <w:r w:rsidR="00155ACA" w:rsidRPr="00BA6590">
        <w:rPr>
          <w:lang w:val="en-GB"/>
        </w:rPr>
        <w:t xml:space="preserve"> to which Belgium has no substantive objection. Nonetheless, no procedure has yet been initiated for its ratification. </w:t>
      </w:r>
    </w:p>
    <w:p w:rsidR="009C6186" w:rsidRPr="00BA6590" w:rsidRDefault="008D0092" w:rsidP="008D0092">
      <w:pPr>
        <w:pStyle w:val="H23G"/>
        <w:rPr>
          <w:lang w:val="en-GB"/>
        </w:rPr>
      </w:pPr>
      <w:r w:rsidRPr="00BA6590">
        <w:rPr>
          <w:lang w:val="en-GB"/>
        </w:rPr>
        <w:tab/>
      </w:r>
      <w:r w:rsidRPr="00BA6590">
        <w:rPr>
          <w:lang w:val="en-GB"/>
        </w:rPr>
        <w:tab/>
      </w:r>
      <w:r w:rsidR="004F521D" w:rsidRPr="00BA6590">
        <w:rPr>
          <w:lang w:val="en-GB"/>
        </w:rPr>
        <w:t xml:space="preserve">Paragraph </w:t>
      </w:r>
      <w:r w:rsidR="009C6186" w:rsidRPr="00BA6590">
        <w:rPr>
          <w:lang w:val="en-GB"/>
        </w:rPr>
        <w:t xml:space="preserve">25 </w:t>
      </w:r>
      <w:r w:rsidR="00155ACA" w:rsidRPr="00BA6590">
        <w:rPr>
          <w:lang w:val="en-GB"/>
        </w:rPr>
        <w:t>of the</w:t>
      </w:r>
      <w:r w:rsidR="009C6186" w:rsidRPr="00BA6590">
        <w:rPr>
          <w:lang w:val="en-GB"/>
        </w:rPr>
        <w:t xml:space="preserve"> </w:t>
      </w:r>
      <w:r w:rsidR="00816F73" w:rsidRPr="00BA6590">
        <w:rPr>
          <w:lang w:val="en-GB"/>
        </w:rPr>
        <w:t>concluding observations</w:t>
      </w:r>
      <w:r w:rsidR="009C6186" w:rsidRPr="00BA6590">
        <w:rPr>
          <w:lang w:val="en-GB"/>
        </w:rPr>
        <w:t xml:space="preserve">: </w:t>
      </w:r>
      <w:r w:rsidR="004F521D" w:rsidRPr="00BA6590">
        <w:rPr>
          <w:lang w:val="en-GB"/>
        </w:rPr>
        <w:t>r</w:t>
      </w:r>
      <w:r w:rsidR="00155ACA" w:rsidRPr="00BA6590">
        <w:rPr>
          <w:lang w:val="en-GB"/>
        </w:rPr>
        <w:t>esponse on</w:t>
      </w:r>
      <w:r w:rsidR="009C6186" w:rsidRPr="00BA6590">
        <w:rPr>
          <w:lang w:val="en-GB"/>
        </w:rPr>
        <w:t xml:space="preserve"> page </w:t>
      </w:r>
      <w:r w:rsidR="00D8445F" w:rsidRPr="00BA6590">
        <w:rPr>
          <w:lang w:val="en-GB"/>
        </w:rPr>
        <w:t>5</w:t>
      </w:r>
    </w:p>
    <w:p w:rsidR="009C6186" w:rsidRPr="00BA6590" w:rsidRDefault="0030160E" w:rsidP="00B67303">
      <w:pPr>
        <w:pStyle w:val="H23G"/>
        <w:rPr>
          <w:lang w:val="en-GB"/>
        </w:rPr>
      </w:pPr>
      <w:r w:rsidRPr="00BA6590">
        <w:rPr>
          <w:lang w:val="en-GB"/>
        </w:rPr>
        <w:tab/>
      </w:r>
      <w:r w:rsidRPr="00BA6590">
        <w:rPr>
          <w:lang w:val="en-GB"/>
        </w:rPr>
        <w:tab/>
      </w:r>
      <w:r w:rsidR="00155ACA" w:rsidRPr="00BA6590">
        <w:rPr>
          <w:lang w:val="en-GB"/>
        </w:rPr>
        <w:t>Paragraph</w:t>
      </w:r>
      <w:r w:rsidR="00B67303" w:rsidRPr="00BA6590" w:rsidDel="00B67303">
        <w:rPr>
          <w:lang w:val="en-GB"/>
        </w:rPr>
        <w:t xml:space="preserve"> </w:t>
      </w:r>
      <w:r w:rsidR="009C6186" w:rsidRPr="00BA6590">
        <w:rPr>
          <w:lang w:val="en-GB"/>
        </w:rPr>
        <w:t xml:space="preserve">26 </w:t>
      </w:r>
      <w:r w:rsidR="00155ACA" w:rsidRPr="00BA6590">
        <w:rPr>
          <w:lang w:val="en-GB"/>
        </w:rPr>
        <w:t>of the</w:t>
      </w:r>
      <w:r w:rsidR="009C6186" w:rsidRPr="00BA6590">
        <w:rPr>
          <w:lang w:val="en-GB"/>
        </w:rPr>
        <w:t xml:space="preserve"> </w:t>
      </w:r>
      <w:r w:rsidR="00816F73" w:rsidRPr="00BA6590">
        <w:rPr>
          <w:lang w:val="en-GB"/>
        </w:rPr>
        <w:t>concluding observations</w:t>
      </w:r>
    </w:p>
    <w:p w:rsidR="009C6186" w:rsidRPr="00BA6590" w:rsidRDefault="009C6186" w:rsidP="004F521D">
      <w:pPr>
        <w:pStyle w:val="SingleTxtG"/>
        <w:rPr>
          <w:lang w:val="en-GB"/>
        </w:rPr>
      </w:pPr>
      <w:r w:rsidRPr="00BA6590">
        <w:rPr>
          <w:lang w:val="en-GB"/>
        </w:rPr>
        <w:t>38</w:t>
      </w:r>
      <w:r w:rsidR="004F521D" w:rsidRPr="00BA6590">
        <w:rPr>
          <w:lang w:val="en-GB"/>
        </w:rPr>
        <w:t>0</w:t>
      </w:r>
      <w:r w:rsidRPr="00BA6590">
        <w:rPr>
          <w:lang w:val="en-GB"/>
        </w:rPr>
        <w:t>.</w:t>
      </w:r>
      <w:r w:rsidRPr="00BA6590">
        <w:rPr>
          <w:lang w:val="en-GB"/>
        </w:rPr>
        <w:tab/>
      </w:r>
      <w:r w:rsidR="00155ACA" w:rsidRPr="00BA6590">
        <w:rPr>
          <w:lang w:val="en-GB"/>
        </w:rPr>
        <w:t>Belgium attaches great importance to respect for migrants</w:t>
      </w:r>
      <w:r w:rsidR="00A216FB" w:rsidRPr="00BA6590">
        <w:rPr>
          <w:lang w:val="en-GB"/>
        </w:rPr>
        <w:t>’</w:t>
      </w:r>
      <w:r w:rsidR="00155ACA" w:rsidRPr="00BA6590">
        <w:rPr>
          <w:lang w:val="en-GB"/>
        </w:rPr>
        <w:t xml:space="preserve"> rights but cannot consider ratifying the International Convention on the Protection of the Rights of All Migrant Workers and Members of Their Families</w:t>
      </w:r>
      <w:r w:rsidRPr="00BA6590">
        <w:rPr>
          <w:lang w:val="en-GB"/>
        </w:rPr>
        <w:t>.</w:t>
      </w:r>
      <w:r w:rsidR="00155ACA" w:rsidRPr="00BA6590">
        <w:rPr>
          <w:lang w:val="en-GB"/>
        </w:rPr>
        <w:t xml:space="preserve"> One of the particularities of that Convention is that it confers the same rights upon </w:t>
      </w:r>
      <w:r w:rsidR="00933B38" w:rsidRPr="00BA6590">
        <w:rPr>
          <w:lang w:val="en-GB"/>
        </w:rPr>
        <w:t>regular and irregular</w:t>
      </w:r>
      <w:r w:rsidR="00155ACA" w:rsidRPr="00BA6590">
        <w:rPr>
          <w:lang w:val="en-GB"/>
        </w:rPr>
        <w:t xml:space="preserve"> migrants, contradicting national and European regulations which clearly make the distinction between the two categories. </w:t>
      </w:r>
    </w:p>
    <w:p w:rsidR="00933B38" w:rsidRPr="00BA6590" w:rsidRDefault="009C6186" w:rsidP="004F521D">
      <w:pPr>
        <w:pStyle w:val="SingleTxtG"/>
        <w:rPr>
          <w:lang w:val="en-GB"/>
        </w:rPr>
      </w:pPr>
      <w:r w:rsidRPr="00BA6590">
        <w:rPr>
          <w:lang w:val="en-GB"/>
        </w:rPr>
        <w:t>38</w:t>
      </w:r>
      <w:r w:rsidR="004F521D" w:rsidRPr="00BA6590">
        <w:rPr>
          <w:lang w:val="en-GB"/>
        </w:rPr>
        <w:t>1</w:t>
      </w:r>
      <w:r w:rsidRPr="00BA6590">
        <w:rPr>
          <w:lang w:val="en-GB"/>
        </w:rPr>
        <w:t>.</w:t>
      </w:r>
      <w:r w:rsidRPr="00BA6590">
        <w:rPr>
          <w:lang w:val="en-GB"/>
        </w:rPr>
        <w:tab/>
      </w:r>
      <w:r w:rsidR="00155ACA" w:rsidRPr="00BA6590">
        <w:rPr>
          <w:lang w:val="en-GB"/>
        </w:rPr>
        <w:t xml:space="preserve">Nonetheless, Belgium takes account of the goals of that Convention and continues to cooperate with its European partners </w:t>
      </w:r>
      <w:r w:rsidR="00C963D5" w:rsidRPr="00BA6590">
        <w:rPr>
          <w:lang w:val="en-GB"/>
        </w:rPr>
        <w:t xml:space="preserve">on legal protection for migrant workers in the framework of overall European migration policy. </w:t>
      </w:r>
    </w:p>
    <w:p w:rsidR="002906FB" w:rsidRPr="00BA6590" w:rsidRDefault="002906FB" w:rsidP="004F521D">
      <w:pPr>
        <w:pStyle w:val="SingleTxtG"/>
        <w:rPr>
          <w:lang w:val="en-GB"/>
        </w:rPr>
      </w:pPr>
    </w:p>
    <w:p w:rsidR="00A93D04" w:rsidRPr="00BA6590" w:rsidRDefault="008A7F37" w:rsidP="0061037F">
      <w:pPr>
        <w:pStyle w:val="HChG"/>
        <w:rPr>
          <w:lang w:val="en-GB" w:eastAsia="fr-FR"/>
        </w:rPr>
      </w:pPr>
      <w:r w:rsidRPr="00BA6590">
        <w:rPr>
          <w:lang w:val="en-GB"/>
        </w:rPr>
        <w:br w:type="page"/>
      </w:r>
      <w:r w:rsidR="0061037F" w:rsidRPr="00BA6590">
        <w:rPr>
          <w:lang w:val="en-GB"/>
        </w:rPr>
        <w:tab/>
      </w:r>
      <w:r w:rsidR="0061037F" w:rsidRPr="00BA6590">
        <w:rPr>
          <w:lang w:val="en-GB"/>
        </w:rPr>
        <w:tab/>
      </w:r>
      <w:r w:rsidR="004429D2" w:rsidRPr="00BA6590">
        <w:rPr>
          <w:lang w:val="en-GB" w:eastAsia="fr-FR"/>
        </w:rPr>
        <w:t>List</w:t>
      </w:r>
      <w:r w:rsidR="00A93D04" w:rsidRPr="00BA6590">
        <w:rPr>
          <w:lang w:val="en-GB" w:eastAsia="fr-FR"/>
        </w:rPr>
        <w:t xml:space="preserve"> </w:t>
      </w:r>
      <w:r w:rsidR="004429D2" w:rsidRPr="00BA6590">
        <w:rPr>
          <w:lang w:val="en-GB" w:eastAsia="fr-FR"/>
        </w:rPr>
        <w:t>of</w:t>
      </w:r>
      <w:r w:rsidR="00A93D04" w:rsidRPr="00BA6590">
        <w:rPr>
          <w:lang w:val="en-GB" w:eastAsia="fr-FR"/>
        </w:rPr>
        <w:t xml:space="preserve"> </w:t>
      </w:r>
      <w:r w:rsidR="00217D1F" w:rsidRPr="00BA6590">
        <w:rPr>
          <w:lang w:val="en-GB" w:eastAsia="fr-FR"/>
        </w:rPr>
        <w:t>annexes</w:t>
      </w:r>
    </w:p>
    <w:p w:rsidR="0061037F" w:rsidRPr="00BA6590" w:rsidRDefault="0061037F" w:rsidP="0061037F">
      <w:pPr>
        <w:tabs>
          <w:tab w:val="left" w:pos="2310"/>
        </w:tabs>
        <w:suppressAutoHyphens w:val="0"/>
        <w:spacing w:before="40" w:after="120" w:line="220" w:lineRule="exact"/>
        <w:ind w:left="2310" w:hanging="1176"/>
        <w:rPr>
          <w:szCs w:val="24"/>
          <w:lang w:val="en-GB" w:eastAsia="fr-FR"/>
        </w:rPr>
      </w:pPr>
      <w:r w:rsidRPr="00BA6590">
        <w:rPr>
          <w:szCs w:val="24"/>
          <w:lang w:val="en-GB" w:eastAsia="fr-FR"/>
        </w:rPr>
        <w:t>Annex I</w:t>
      </w:r>
      <w:r w:rsidRPr="00BA6590">
        <w:rPr>
          <w:szCs w:val="24"/>
          <w:lang w:val="en-GB" w:eastAsia="fr-FR"/>
        </w:rPr>
        <w:tab/>
        <w:t>Activity report 2011 – Collaboration between the Centre for Equal Opportunities and Action to Combat Racism and the Federal Police www.diversite.be/?action=publicatie_detail&amp;id=145&amp;thema=2&amp;select_page=216</w:t>
      </w:r>
    </w:p>
    <w:p w:rsidR="0061037F" w:rsidRPr="00BA6590" w:rsidRDefault="0061037F" w:rsidP="0061037F">
      <w:pPr>
        <w:tabs>
          <w:tab w:val="left" w:pos="2310"/>
        </w:tabs>
        <w:suppressAutoHyphens w:val="0"/>
        <w:spacing w:before="40" w:after="120" w:line="220" w:lineRule="exact"/>
        <w:ind w:left="2310" w:hanging="1176"/>
        <w:rPr>
          <w:szCs w:val="24"/>
          <w:lang w:val="en-GB" w:eastAsia="fr-FR"/>
        </w:rPr>
      </w:pPr>
      <w:r w:rsidRPr="00BA6590">
        <w:rPr>
          <w:szCs w:val="24"/>
          <w:lang w:val="en-GB" w:eastAsia="fr-FR"/>
        </w:rPr>
        <w:t>Annex II</w:t>
      </w:r>
      <w:r w:rsidRPr="00BA6590">
        <w:rPr>
          <w:szCs w:val="24"/>
          <w:lang w:val="en-GB" w:eastAsia="fr-FR"/>
        </w:rPr>
        <w:tab/>
        <w:t>Awareness campaigns not mentioned in the report</w:t>
      </w:r>
    </w:p>
    <w:p w:rsidR="0061037F" w:rsidRPr="00BA6590" w:rsidRDefault="0061037F" w:rsidP="0061037F">
      <w:pPr>
        <w:tabs>
          <w:tab w:val="left" w:pos="2310"/>
        </w:tabs>
        <w:suppressAutoHyphens w:val="0"/>
        <w:spacing w:before="40" w:after="120" w:line="220" w:lineRule="exact"/>
        <w:ind w:left="2310" w:hanging="1176"/>
        <w:rPr>
          <w:szCs w:val="24"/>
          <w:lang w:val="en-GB" w:eastAsia="fr-FR"/>
        </w:rPr>
      </w:pPr>
      <w:r w:rsidRPr="00BA6590">
        <w:rPr>
          <w:szCs w:val="24"/>
          <w:lang w:val="en-GB" w:eastAsia="fr-FR"/>
        </w:rPr>
        <w:t>Annex III</w:t>
      </w:r>
      <w:r w:rsidRPr="00BA6590">
        <w:rPr>
          <w:szCs w:val="24"/>
          <w:lang w:val="en-GB" w:eastAsia="fr-FR"/>
        </w:rPr>
        <w:tab/>
      </w:r>
      <w:r w:rsidRPr="00BA6590">
        <w:rPr>
          <w:lang w:val="en-GB"/>
        </w:rPr>
        <w:t xml:space="preserve">National Roma Integration Strategy </w:t>
      </w:r>
      <w:r w:rsidRPr="00BA6590">
        <w:rPr>
          <w:lang w:val="en-GB"/>
        </w:rPr>
        <w:br/>
      </w:r>
      <w:r w:rsidRPr="00BA6590">
        <w:rPr>
          <w:szCs w:val="24"/>
          <w:lang w:val="en-GB" w:eastAsia="fr-FR"/>
        </w:rPr>
        <w:t>ec.europa.eu/justice/discrimination/roma/national-strategies/index_fr.htm</w:t>
      </w:r>
    </w:p>
    <w:p w:rsidR="0061037F" w:rsidRPr="00BA6590" w:rsidRDefault="0061037F" w:rsidP="0061037F">
      <w:pPr>
        <w:tabs>
          <w:tab w:val="left" w:pos="2310"/>
        </w:tabs>
        <w:suppressAutoHyphens w:val="0"/>
        <w:spacing w:before="40" w:after="120" w:line="220" w:lineRule="exact"/>
        <w:ind w:left="2310" w:hanging="1176"/>
        <w:rPr>
          <w:szCs w:val="24"/>
          <w:lang w:val="en-GB" w:eastAsia="fr-FR"/>
        </w:rPr>
      </w:pPr>
      <w:r w:rsidRPr="00BA6590">
        <w:rPr>
          <w:szCs w:val="24"/>
          <w:lang w:val="en-GB" w:eastAsia="fr-FR"/>
        </w:rPr>
        <w:t>Annex IV</w:t>
      </w:r>
      <w:r w:rsidRPr="00BA6590">
        <w:rPr>
          <w:szCs w:val="24"/>
          <w:lang w:val="en-GB" w:eastAsia="fr-FR"/>
        </w:rPr>
        <w:tab/>
        <w:t>G</w:t>
      </w:r>
      <w:r w:rsidRPr="00BA6590">
        <w:rPr>
          <w:lang w:val="en-GB"/>
        </w:rPr>
        <w:t xml:space="preserve">uide to organizing temporary residence for Travellers </w:t>
      </w:r>
      <w:r w:rsidRPr="00BA6590">
        <w:rPr>
          <w:szCs w:val="24"/>
          <w:lang w:val="en-GB" w:eastAsia="fr-FR"/>
        </w:rPr>
        <w:t>www.diversite.be/?action=publicatie_detail&amp;id=132&amp;thema=4</w:t>
      </w:r>
    </w:p>
    <w:p w:rsidR="0061037F" w:rsidRPr="00BA6590" w:rsidRDefault="0061037F" w:rsidP="0061037F">
      <w:pPr>
        <w:tabs>
          <w:tab w:val="left" w:pos="2310"/>
        </w:tabs>
        <w:suppressAutoHyphens w:val="0"/>
        <w:spacing w:before="40" w:after="120" w:line="220" w:lineRule="exact"/>
        <w:ind w:left="2310" w:hanging="1176"/>
        <w:rPr>
          <w:szCs w:val="24"/>
          <w:lang w:val="en-GB" w:eastAsia="fr-FR"/>
        </w:rPr>
      </w:pPr>
      <w:r w:rsidRPr="00BA6590">
        <w:rPr>
          <w:szCs w:val="24"/>
          <w:lang w:val="en-GB" w:eastAsia="fr-FR"/>
        </w:rPr>
        <w:t>Annex V</w:t>
      </w:r>
      <w:r w:rsidRPr="00BA6590">
        <w:rPr>
          <w:szCs w:val="24"/>
          <w:lang w:val="en-GB" w:eastAsia="fr-FR"/>
        </w:rPr>
        <w:tab/>
        <w:t>G</w:t>
      </w:r>
      <w:r w:rsidRPr="00BA6590">
        <w:rPr>
          <w:lang w:val="en-GB"/>
        </w:rPr>
        <w:t>uidance note on the reception process in the Walloon Region</w:t>
      </w:r>
      <w:r w:rsidRPr="00BA6590">
        <w:rPr>
          <w:szCs w:val="24"/>
          <w:lang w:val="en-GB" w:eastAsia="fr-FR"/>
        </w:rPr>
        <w:t xml:space="preserve"> – Report for 2011 on Integration Policies </w:t>
      </w:r>
      <w:r w:rsidRPr="00BA6590">
        <w:rPr>
          <w:lang w:val="en-GB"/>
        </w:rPr>
        <w:t>in the Walloon Region</w:t>
      </w:r>
    </w:p>
    <w:p w:rsidR="0061037F" w:rsidRPr="00BA6590" w:rsidRDefault="0061037F" w:rsidP="0061037F">
      <w:pPr>
        <w:tabs>
          <w:tab w:val="left" w:pos="2310"/>
        </w:tabs>
        <w:suppressAutoHyphens w:val="0"/>
        <w:spacing w:before="40" w:after="120" w:line="220" w:lineRule="exact"/>
        <w:ind w:left="2310" w:hanging="1176"/>
        <w:rPr>
          <w:szCs w:val="24"/>
          <w:lang w:val="en-GB" w:eastAsia="fr-FR"/>
        </w:rPr>
      </w:pPr>
      <w:r w:rsidRPr="00BA6590">
        <w:rPr>
          <w:szCs w:val="24"/>
          <w:lang w:val="en-GB" w:eastAsia="fr-FR"/>
        </w:rPr>
        <w:t>Annex VI</w:t>
      </w:r>
      <w:r w:rsidRPr="00BA6590">
        <w:rPr>
          <w:szCs w:val="24"/>
          <w:lang w:val="en-GB" w:eastAsia="fr-FR"/>
        </w:rPr>
        <w:tab/>
        <w:t xml:space="preserve">Pamphlet on Online Hate Speech of the Centre for Equal Opportunities and Action to Combat Racism </w:t>
      </w:r>
      <w:r w:rsidRPr="00BA6590">
        <w:rPr>
          <w:szCs w:val="24"/>
          <w:lang w:val="en-GB" w:eastAsia="fr-FR"/>
        </w:rPr>
        <w:br/>
        <w:t>www.diversite.be/?action=publicatie_detail&amp;id=110&amp;thema=3</w:t>
      </w:r>
    </w:p>
    <w:p w:rsidR="0061037F" w:rsidRPr="00BA6590" w:rsidRDefault="0061037F" w:rsidP="0061037F">
      <w:pPr>
        <w:tabs>
          <w:tab w:val="left" w:pos="2310"/>
        </w:tabs>
        <w:suppressAutoHyphens w:val="0"/>
        <w:spacing w:before="40" w:after="120" w:line="220" w:lineRule="exact"/>
        <w:ind w:left="2310" w:hanging="1176"/>
        <w:rPr>
          <w:szCs w:val="24"/>
          <w:lang w:val="en-GB" w:eastAsia="fr-FR"/>
        </w:rPr>
      </w:pPr>
      <w:r w:rsidRPr="00BA6590">
        <w:rPr>
          <w:szCs w:val="24"/>
          <w:lang w:val="en-GB" w:eastAsia="fr-FR"/>
        </w:rPr>
        <w:t>Annex VII</w:t>
      </w:r>
      <w:r w:rsidRPr="00BA6590">
        <w:rPr>
          <w:szCs w:val="24"/>
          <w:lang w:val="en-GB" w:eastAsia="fr-FR"/>
        </w:rPr>
        <w:tab/>
        <w:t>Statistics from the Centre for Equal Opportunities and Action to Combat Racism</w:t>
      </w:r>
    </w:p>
    <w:p w:rsidR="0061037F" w:rsidRPr="00BA6590" w:rsidRDefault="0061037F" w:rsidP="0061037F">
      <w:pPr>
        <w:tabs>
          <w:tab w:val="left" w:pos="2310"/>
        </w:tabs>
        <w:suppressAutoHyphens w:val="0"/>
        <w:spacing w:before="40" w:after="120" w:line="220" w:lineRule="exact"/>
        <w:ind w:left="2310" w:hanging="1176"/>
        <w:rPr>
          <w:szCs w:val="24"/>
          <w:lang w:val="en-GB" w:eastAsia="fr-FR"/>
        </w:rPr>
      </w:pPr>
      <w:r w:rsidRPr="00BA6590">
        <w:rPr>
          <w:szCs w:val="24"/>
          <w:lang w:val="en-GB" w:eastAsia="fr-FR"/>
        </w:rPr>
        <w:t>Annex VIII</w:t>
      </w:r>
      <w:r w:rsidRPr="00BA6590">
        <w:rPr>
          <w:szCs w:val="24"/>
          <w:lang w:val="en-GB" w:eastAsia="fr-FR"/>
        </w:rPr>
        <w:tab/>
        <w:t xml:space="preserve">Annual report, </w:t>
      </w:r>
      <w:r w:rsidR="000D298B" w:rsidRPr="00BA6590">
        <w:rPr>
          <w:szCs w:val="24"/>
          <w:lang w:val="en-GB" w:eastAsia="fr-FR"/>
        </w:rPr>
        <w:t>“</w:t>
      </w:r>
      <w:r w:rsidRPr="00BA6590">
        <w:rPr>
          <w:szCs w:val="24"/>
          <w:lang w:val="en-GB" w:eastAsia="fr-FR"/>
        </w:rPr>
        <w:t>Discrimination 2008</w:t>
      </w:r>
      <w:r w:rsidR="000D298B" w:rsidRPr="00BA6590">
        <w:rPr>
          <w:lang w:val="en-GB"/>
        </w:rPr>
        <w:t>”</w:t>
      </w:r>
      <w:r w:rsidRPr="00BA6590">
        <w:rPr>
          <w:szCs w:val="24"/>
          <w:lang w:val="en-GB" w:eastAsia="fr-FR"/>
        </w:rPr>
        <w:t xml:space="preserve"> by the Centre for Equal Opportunities and Action to Combat Racism (definition of Islamophobia) www.diversite.be/?action=publicatie_detail&amp;id=106&amp;thema=2</w:t>
      </w:r>
    </w:p>
    <w:p w:rsidR="0061037F" w:rsidRPr="00BA6590" w:rsidRDefault="0061037F" w:rsidP="0061037F">
      <w:pPr>
        <w:tabs>
          <w:tab w:val="left" w:pos="2310"/>
        </w:tabs>
        <w:suppressAutoHyphens w:val="0"/>
        <w:spacing w:before="40" w:after="120" w:line="220" w:lineRule="exact"/>
        <w:ind w:left="2310" w:hanging="1176"/>
        <w:rPr>
          <w:szCs w:val="24"/>
          <w:lang w:val="en-GB" w:eastAsia="fr-FR"/>
        </w:rPr>
      </w:pPr>
      <w:r w:rsidRPr="00BA6590">
        <w:rPr>
          <w:szCs w:val="24"/>
          <w:lang w:val="en-GB" w:eastAsia="fr-FR"/>
        </w:rPr>
        <w:t>Annex IX</w:t>
      </w:r>
      <w:r w:rsidRPr="00BA6590">
        <w:rPr>
          <w:szCs w:val="24"/>
          <w:lang w:val="en-GB" w:eastAsia="fr-FR"/>
        </w:rPr>
        <w:tab/>
        <w:t>Annual report for 2010 by the Centre for Equal Opportunities and Action to Combat Racism on human trafficking www.diversite.be/?action=publicatie_detail&amp;id=135&amp;thema=5&amp;select_page=216</w:t>
      </w:r>
    </w:p>
    <w:p w:rsidR="0061037F" w:rsidRPr="00BA6590" w:rsidRDefault="0061037F" w:rsidP="0061037F">
      <w:pPr>
        <w:tabs>
          <w:tab w:val="left" w:pos="2310"/>
        </w:tabs>
        <w:suppressAutoHyphens w:val="0"/>
        <w:spacing w:before="40" w:after="120" w:line="220" w:lineRule="exact"/>
        <w:ind w:left="2310" w:hanging="1176"/>
        <w:rPr>
          <w:szCs w:val="24"/>
          <w:lang w:val="en-GB" w:eastAsia="fr-FR"/>
        </w:rPr>
      </w:pPr>
      <w:r w:rsidRPr="00BA6590">
        <w:rPr>
          <w:szCs w:val="24"/>
          <w:lang w:val="en-GB" w:eastAsia="fr-FR"/>
        </w:rPr>
        <w:t>Annex X</w:t>
      </w:r>
      <w:r w:rsidRPr="00BA6590">
        <w:rPr>
          <w:szCs w:val="24"/>
          <w:lang w:val="en-GB" w:eastAsia="fr-FR"/>
        </w:rPr>
        <w:tab/>
        <w:t>Human trafficking statistics from the College of Public Prosecutors for 2010</w:t>
      </w:r>
      <w:r w:rsidR="00E8685B" w:rsidRPr="00BA6590">
        <w:rPr>
          <w:szCs w:val="24"/>
          <w:lang w:val="en-GB"/>
        </w:rPr>
        <w:t>–</w:t>
      </w:r>
      <w:r w:rsidRPr="00BA6590">
        <w:rPr>
          <w:szCs w:val="24"/>
          <w:lang w:val="en-GB" w:eastAsia="fr-FR"/>
        </w:rPr>
        <w:t>2011</w:t>
      </w:r>
    </w:p>
    <w:p w:rsidR="0061037F" w:rsidRPr="00BA6590" w:rsidRDefault="0061037F" w:rsidP="0061037F">
      <w:pPr>
        <w:tabs>
          <w:tab w:val="left" w:pos="2310"/>
        </w:tabs>
        <w:suppressAutoHyphens w:val="0"/>
        <w:spacing w:before="40" w:after="120" w:line="220" w:lineRule="exact"/>
        <w:ind w:left="2310" w:hanging="1176"/>
        <w:rPr>
          <w:bCs/>
          <w:szCs w:val="24"/>
          <w:lang w:val="en-GB" w:eastAsia="fr-FR"/>
        </w:rPr>
      </w:pPr>
      <w:r w:rsidRPr="00BA6590">
        <w:rPr>
          <w:szCs w:val="24"/>
          <w:lang w:val="en-GB" w:eastAsia="fr-FR"/>
        </w:rPr>
        <w:t>Annex XI</w:t>
      </w:r>
      <w:r w:rsidRPr="00BA6590">
        <w:rPr>
          <w:szCs w:val="24"/>
          <w:lang w:val="en-GB" w:eastAsia="fr-FR"/>
        </w:rPr>
        <w:tab/>
      </w:r>
      <w:r w:rsidRPr="00BA6590">
        <w:rPr>
          <w:bCs/>
          <w:szCs w:val="24"/>
          <w:lang w:val="en-GB" w:eastAsia="fr-FR"/>
        </w:rPr>
        <w:t>Additional information on human trafficking from the Criminal Law Policy Service</w:t>
      </w:r>
    </w:p>
    <w:p w:rsidR="0061037F" w:rsidRPr="00BA6590" w:rsidRDefault="0061037F" w:rsidP="0061037F">
      <w:pPr>
        <w:tabs>
          <w:tab w:val="left" w:pos="2310"/>
        </w:tabs>
        <w:suppressAutoHyphens w:val="0"/>
        <w:spacing w:before="40" w:after="120" w:line="220" w:lineRule="exact"/>
        <w:ind w:left="2310" w:hanging="1176"/>
        <w:rPr>
          <w:bCs/>
          <w:szCs w:val="24"/>
          <w:lang w:val="en-GB" w:eastAsia="fr-FR"/>
        </w:rPr>
      </w:pPr>
      <w:r w:rsidRPr="00BA6590">
        <w:rPr>
          <w:szCs w:val="24"/>
          <w:lang w:val="en-GB" w:eastAsia="fr-FR"/>
        </w:rPr>
        <w:t>Annex XII</w:t>
      </w:r>
      <w:r w:rsidRPr="00BA6590">
        <w:rPr>
          <w:szCs w:val="24"/>
          <w:lang w:val="en-GB" w:eastAsia="fr-FR"/>
        </w:rPr>
        <w:tab/>
      </w:r>
      <w:r w:rsidRPr="00BA6590">
        <w:rPr>
          <w:bCs/>
          <w:szCs w:val="24"/>
          <w:lang w:val="en-GB" w:eastAsia="fr-FR"/>
        </w:rPr>
        <w:t xml:space="preserve">Fact sheet </w:t>
      </w:r>
      <w:r w:rsidRPr="00BA6590">
        <w:rPr>
          <w:bCs/>
          <w:i/>
          <w:szCs w:val="24"/>
          <w:lang w:val="en-GB" w:eastAsia="fr-FR"/>
        </w:rPr>
        <w:t>Baromètre de la diversité – Emploi 2012</w:t>
      </w:r>
      <w:r w:rsidRPr="00BA6590">
        <w:rPr>
          <w:bCs/>
          <w:szCs w:val="24"/>
          <w:lang w:val="en-GB" w:eastAsia="fr-FR"/>
        </w:rPr>
        <w:t>. See complete study at www.diversiteit.be/?action=onderdeel&amp;onderdeel=293&amp;titel=Cijfers+Arbeid+en+</w:t>
      </w:r>
      <w:r w:rsidRPr="00BA6590">
        <w:rPr>
          <w:bCs/>
          <w:szCs w:val="24"/>
          <w:lang w:val="en-GB" w:eastAsia="fr-FR"/>
        </w:rPr>
        <w:br/>
        <w:t>Tewerkstelling&amp;setLanguage=2</w:t>
      </w:r>
    </w:p>
    <w:p w:rsidR="0061037F" w:rsidRPr="00BA6590" w:rsidRDefault="0061037F" w:rsidP="0061037F">
      <w:pPr>
        <w:tabs>
          <w:tab w:val="left" w:pos="2310"/>
        </w:tabs>
        <w:suppressAutoHyphens w:val="0"/>
        <w:spacing w:before="40" w:after="120" w:line="220" w:lineRule="exact"/>
        <w:ind w:left="2310" w:hanging="1176"/>
        <w:rPr>
          <w:bCs/>
          <w:szCs w:val="24"/>
          <w:lang w:val="en-GB" w:eastAsia="fr-FR"/>
        </w:rPr>
      </w:pPr>
      <w:r w:rsidRPr="00BA6590">
        <w:rPr>
          <w:szCs w:val="24"/>
          <w:lang w:val="en-GB" w:eastAsia="fr-FR"/>
        </w:rPr>
        <w:t>Annex XIII</w:t>
      </w:r>
      <w:r w:rsidRPr="00BA6590">
        <w:rPr>
          <w:szCs w:val="24"/>
          <w:lang w:val="en-GB" w:eastAsia="fr-FR"/>
        </w:rPr>
        <w:tab/>
      </w:r>
      <w:r w:rsidRPr="00BA6590">
        <w:rPr>
          <w:bCs/>
          <w:szCs w:val="24"/>
          <w:lang w:val="en-GB" w:eastAsia="fr-FR"/>
        </w:rPr>
        <w:t>Circular COL 6/2006, on the recording of racist and xenophobic acts</w:t>
      </w:r>
    </w:p>
    <w:p w:rsidR="0061037F" w:rsidRPr="00BA6590" w:rsidRDefault="0061037F" w:rsidP="0061037F">
      <w:pPr>
        <w:tabs>
          <w:tab w:val="left" w:pos="2310"/>
        </w:tabs>
        <w:suppressAutoHyphens w:val="0"/>
        <w:spacing w:before="40" w:after="120" w:line="220" w:lineRule="exact"/>
        <w:ind w:left="2310" w:hanging="1176"/>
        <w:rPr>
          <w:bCs/>
          <w:szCs w:val="24"/>
          <w:lang w:val="en-GB" w:eastAsia="fr-FR"/>
        </w:rPr>
      </w:pPr>
      <w:r w:rsidRPr="00BA6590">
        <w:rPr>
          <w:szCs w:val="24"/>
          <w:lang w:val="en-GB" w:eastAsia="fr-FR"/>
        </w:rPr>
        <w:t>Annex XIV</w:t>
      </w:r>
      <w:r w:rsidRPr="00BA6590">
        <w:rPr>
          <w:szCs w:val="24"/>
          <w:lang w:val="en-GB" w:eastAsia="fr-FR"/>
        </w:rPr>
        <w:tab/>
      </w:r>
      <w:r w:rsidRPr="00BA6590">
        <w:rPr>
          <w:bCs/>
          <w:szCs w:val="24"/>
          <w:lang w:val="en-GB" w:eastAsia="fr-FR"/>
        </w:rPr>
        <w:t>Statistics on racism and xenophobia from the College of Public Prosecutors for 2006–2012</w:t>
      </w:r>
    </w:p>
    <w:p w:rsidR="0061037F" w:rsidRPr="00BA6590" w:rsidRDefault="0061037F" w:rsidP="0061037F">
      <w:pPr>
        <w:tabs>
          <w:tab w:val="left" w:pos="2310"/>
        </w:tabs>
        <w:suppressAutoHyphens w:val="0"/>
        <w:spacing w:before="40" w:after="120" w:line="220" w:lineRule="exact"/>
        <w:ind w:left="2310" w:hanging="1176"/>
        <w:rPr>
          <w:bCs/>
          <w:szCs w:val="24"/>
          <w:lang w:val="en-GB" w:eastAsia="fr-FR"/>
        </w:rPr>
      </w:pPr>
      <w:r w:rsidRPr="00BA6590">
        <w:rPr>
          <w:szCs w:val="24"/>
          <w:lang w:val="en-GB" w:eastAsia="fr-FR"/>
        </w:rPr>
        <w:t>Annex XV</w:t>
      </w:r>
      <w:r w:rsidRPr="00BA6590">
        <w:rPr>
          <w:szCs w:val="24"/>
          <w:lang w:val="en-GB" w:eastAsia="fr-FR"/>
        </w:rPr>
        <w:tab/>
      </w:r>
      <w:r w:rsidRPr="00BA6590">
        <w:rPr>
          <w:bCs/>
          <w:szCs w:val="24"/>
          <w:lang w:val="en-GB" w:eastAsia="fr-FR"/>
        </w:rPr>
        <w:t xml:space="preserve">Annual report “Discrimination 2011” by the Centre for Equal Opportunities and Action to Combat Racism </w:t>
      </w:r>
      <w:r w:rsidRPr="00BA6590">
        <w:rPr>
          <w:bCs/>
          <w:szCs w:val="24"/>
          <w:lang w:val="en-GB" w:eastAsia="fr-FR"/>
        </w:rPr>
        <w:br/>
        <w:t>www.diversite.be/?action=publicatie_detail&amp;id=147&amp;thema=2</w:t>
      </w:r>
    </w:p>
    <w:p w:rsidR="0061037F" w:rsidRPr="00BA6590" w:rsidRDefault="0061037F" w:rsidP="0061037F">
      <w:pPr>
        <w:tabs>
          <w:tab w:val="left" w:pos="2310"/>
        </w:tabs>
        <w:suppressAutoHyphens w:val="0"/>
        <w:spacing w:before="40" w:after="120" w:line="220" w:lineRule="exact"/>
        <w:ind w:left="2310" w:hanging="1176"/>
        <w:rPr>
          <w:bCs/>
          <w:szCs w:val="24"/>
          <w:lang w:val="en-GB" w:eastAsia="fr-FR"/>
        </w:rPr>
      </w:pPr>
      <w:r w:rsidRPr="00BA6590">
        <w:rPr>
          <w:szCs w:val="24"/>
          <w:lang w:val="en-GB" w:eastAsia="fr-FR"/>
        </w:rPr>
        <w:t>Annex XVI</w:t>
      </w:r>
      <w:r w:rsidRPr="00BA6590">
        <w:rPr>
          <w:szCs w:val="24"/>
          <w:lang w:val="en-GB" w:eastAsia="fr-FR"/>
        </w:rPr>
        <w:tab/>
      </w:r>
      <w:r w:rsidRPr="00BA6590">
        <w:rPr>
          <w:bCs/>
          <w:szCs w:val="24"/>
          <w:lang w:val="en-GB" w:eastAsia="fr-FR"/>
        </w:rPr>
        <w:t>P</w:t>
      </w:r>
      <w:r w:rsidRPr="00BA6590">
        <w:rPr>
          <w:lang w:val="en-GB"/>
        </w:rPr>
        <w:t>ress release by the Minister of the Interior and Equal Opportunities on the new interfederal status of the</w:t>
      </w:r>
      <w:r w:rsidRPr="00BA6590">
        <w:rPr>
          <w:bCs/>
          <w:szCs w:val="24"/>
          <w:lang w:val="en-GB" w:eastAsia="fr-FR"/>
        </w:rPr>
        <w:t xml:space="preserve"> Centre for Equal Opportunities and Action to Combat Racism </w:t>
      </w:r>
      <w:r w:rsidR="00663A9C" w:rsidRPr="00BA6590">
        <w:rPr>
          <w:bCs/>
          <w:szCs w:val="24"/>
          <w:lang w:val="en-GB" w:eastAsia="fr-FR"/>
        </w:rPr>
        <w:t>www.milquet.belgium.be/fr/interf%C3%A9d%C3%A9ralisation-du-centre-pour-l%E2</w:t>
      </w:r>
      <w:r w:rsidR="00663A9C" w:rsidRPr="00BA6590">
        <w:rPr>
          <w:bCs/>
          <w:szCs w:val="24"/>
          <w:lang w:val="en-GB" w:eastAsia="fr-FR"/>
        </w:rPr>
        <w:br/>
        <w:t>%80%99%C3%A9galit%C3%A9-des-chances-et-la-lutte-contre-le-racisme-ainsi-que</w:t>
      </w:r>
    </w:p>
    <w:p w:rsidR="009C6186" w:rsidRPr="00BA6590" w:rsidRDefault="00EA2EB8" w:rsidP="00EA2EB8">
      <w:pPr>
        <w:spacing w:before="240"/>
        <w:jc w:val="center"/>
        <w:rPr>
          <w:u w:val="single"/>
          <w:lang w:val="en-GB"/>
        </w:rPr>
      </w:pPr>
      <w:r w:rsidRPr="00BA6590">
        <w:rPr>
          <w:u w:val="single"/>
          <w:lang w:val="en-GB"/>
        </w:rPr>
        <w:tab/>
      </w:r>
      <w:r w:rsidRPr="00BA6590">
        <w:rPr>
          <w:u w:val="single"/>
          <w:lang w:val="en-GB"/>
        </w:rPr>
        <w:tab/>
      </w:r>
      <w:r w:rsidRPr="00BA6590">
        <w:rPr>
          <w:u w:val="single"/>
          <w:lang w:val="en-GB"/>
        </w:rPr>
        <w:tab/>
      </w:r>
    </w:p>
    <w:sectPr w:rsidR="009C6186" w:rsidRPr="00BA6590" w:rsidSect="00BF036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56" w:rsidRDefault="004A6956"/>
    <w:p w:rsidR="004A6956" w:rsidRDefault="004A6956"/>
  </w:endnote>
  <w:endnote w:type="continuationSeparator" w:id="0">
    <w:p w:rsidR="004A6956" w:rsidRDefault="004A6956"/>
    <w:p w:rsidR="004A6956" w:rsidRDefault="004A6956"/>
  </w:endnote>
  <w:endnote w:type="continuationNotice" w:id="1">
    <w:p w:rsidR="004A6956" w:rsidRDefault="004A6956"/>
    <w:p w:rsidR="004A6956" w:rsidRDefault="004A69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2" w:rsidRPr="00D66B01" w:rsidRDefault="003646F2" w:rsidP="00D66B01">
    <w:pPr>
      <w:pStyle w:val="Footer"/>
      <w:tabs>
        <w:tab w:val="right" w:pos="9638"/>
      </w:tabs>
      <w:rPr>
        <w:b/>
      </w:rPr>
    </w:pPr>
    <w:r w:rsidRPr="00D66B01">
      <w:rPr>
        <w:b/>
        <w:sz w:val="18"/>
      </w:rPr>
      <w:fldChar w:fldCharType="begin"/>
    </w:r>
    <w:r w:rsidRPr="00D66B01">
      <w:rPr>
        <w:b/>
        <w:sz w:val="18"/>
      </w:rPr>
      <w:instrText xml:space="preserve"> PAGE  \* MERGEFORMAT </w:instrText>
    </w:r>
    <w:r w:rsidRPr="00D66B01">
      <w:rPr>
        <w:b/>
        <w:sz w:val="18"/>
      </w:rPr>
      <w:fldChar w:fldCharType="separate"/>
    </w:r>
    <w:r>
      <w:rPr>
        <w:b/>
        <w:noProof/>
        <w:sz w:val="18"/>
      </w:rPr>
      <w:t>2</w:t>
    </w:r>
    <w:r w:rsidRPr="00D66B01">
      <w:rPr>
        <w:b/>
        <w:sz w:val="18"/>
      </w:rPr>
      <w:fldChar w:fldCharType="end"/>
    </w:r>
    <w:r w:rsidRPr="00D66B01">
      <w:rPr>
        <w:b/>
      </w:rPr>
      <w:tab/>
    </w:r>
    <w:r w:rsidRPr="00D66B01">
      <w:t>GE.13-44076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2" w:rsidRPr="00D66B01" w:rsidRDefault="003646F2" w:rsidP="00D66B01">
    <w:pPr>
      <w:pStyle w:val="Footer"/>
      <w:tabs>
        <w:tab w:val="right" w:pos="9638"/>
      </w:tabs>
      <w:rPr>
        <w:b/>
        <w:sz w:val="20"/>
      </w:rPr>
    </w:pPr>
    <w:r w:rsidRPr="00D66B01">
      <w:t>GE.13-44076  (EXT)</w:t>
    </w:r>
    <w:r>
      <w:tab/>
    </w:r>
    <w:r w:rsidRPr="00D66B01">
      <w:rPr>
        <w:b/>
        <w:sz w:val="18"/>
      </w:rPr>
      <w:fldChar w:fldCharType="begin"/>
    </w:r>
    <w:r w:rsidRPr="00D66B01">
      <w:rPr>
        <w:b/>
        <w:sz w:val="18"/>
      </w:rPr>
      <w:instrText xml:space="preserve"> PAGE  \* MERGEFORMAT </w:instrText>
    </w:r>
    <w:r w:rsidRPr="00D66B01">
      <w:rPr>
        <w:b/>
        <w:sz w:val="18"/>
      </w:rPr>
      <w:fldChar w:fldCharType="separate"/>
    </w:r>
    <w:r>
      <w:rPr>
        <w:b/>
        <w:noProof/>
        <w:sz w:val="18"/>
      </w:rPr>
      <w:t>3</w:t>
    </w:r>
    <w:r w:rsidRPr="00D66B0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2" w:rsidRPr="00F859EE" w:rsidRDefault="003646F2">
    <w:pPr>
      <w:pStyle w:val="Footer"/>
      <w:rPr>
        <w:sz w:val="20"/>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75pt;width:73.25pt;height:18.15pt;z-index:1">
          <v:imagedata r:id="rId1" o:title="recycle_English"/>
          <w10:anchorlock/>
        </v:shape>
      </w:pict>
    </w:r>
    <w:r>
      <w:rPr>
        <w:sz w:val="20"/>
      </w:rPr>
      <w:t>GE.13-44076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56" w:rsidRDefault="004A6956" w:rsidP="00363A3C">
      <w:pPr>
        <w:tabs>
          <w:tab w:val="right" w:pos="2155"/>
        </w:tabs>
        <w:spacing w:after="80"/>
        <w:ind w:left="680"/>
      </w:pPr>
      <w:r>
        <w:rPr>
          <w:u w:val="single"/>
        </w:rPr>
        <w:tab/>
      </w:r>
    </w:p>
  </w:footnote>
  <w:footnote w:type="continuationSeparator" w:id="0">
    <w:p w:rsidR="004A6956" w:rsidRDefault="004A6956" w:rsidP="00E42729">
      <w:pPr>
        <w:tabs>
          <w:tab w:val="right" w:pos="2155"/>
        </w:tabs>
        <w:spacing w:after="80"/>
        <w:ind w:left="680"/>
      </w:pPr>
      <w:r w:rsidRPr="00AA7FE7">
        <w:rPr>
          <w:u w:val="single"/>
        </w:rPr>
        <w:tab/>
      </w:r>
    </w:p>
  </w:footnote>
  <w:footnote w:type="continuationNotice" w:id="1">
    <w:p w:rsidR="004A6956" w:rsidRDefault="004A6956"/>
  </w:footnote>
  <w:footnote w:id="2">
    <w:p w:rsidR="003646F2" w:rsidRPr="00BA6590" w:rsidRDefault="003646F2" w:rsidP="00575C85">
      <w:pPr>
        <w:pStyle w:val="FootnoteText"/>
        <w:rPr>
          <w:szCs w:val="18"/>
          <w:lang w:val="en-GB"/>
        </w:rPr>
      </w:pPr>
      <w:r w:rsidRPr="00BA6590">
        <w:rPr>
          <w:szCs w:val="18"/>
          <w:lang w:val="en-GB"/>
        </w:rPr>
        <w:tab/>
      </w:r>
      <w:r w:rsidRPr="00BA6590">
        <w:rPr>
          <w:rStyle w:val="FootnoteReference"/>
          <w:sz w:val="20"/>
          <w:szCs w:val="18"/>
          <w:vertAlign w:val="baseline"/>
          <w:lang w:val="en-GB"/>
        </w:rPr>
        <w:t>*</w:t>
      </w:r>
      <w:r w:rsidRPr="00BA6590">
        <w:rPr>
          <w:szCs w:val="18"/>
          <w:lang w:val="en-GB"/>
        </w:rPr>
        <w:tab/>
        <w:t>This report contains in a single document the sixteenth to nineteenth periodic reports of Belgium due in 2012. For the fourteenth and fifteenth periodic reports of Belgium and the summary records of the Committee’s meetings at which the reports were considered, see: CERD/C/BEL/CO/15 and CERD/C/SR.1857 and 1858.</w:t>
      </w:r>
    </w:p>
  </w:footnote>
  <w:footnote w:id="3">
    <w:p w:rsidR="003646F2" w:rsidRPr="00BA6590" w:rsidRDefault="003646F2" w:rsidP="00575C85">
      <w:pPr>
        <w:pStyle w:val="FootnoteText"/>
        <w:rPr>
          <w:szCs w:val="18"/>
          <w:lang w:val="en-GB"/>
        </w:rPr>
      </w:pPr>
      <w:r w:rsidRPr="00BA6590">
        <w:rPr>
          <w:szCs w:val="18"/>
          <w:lang w:val="en-GB"/>
        </w:rPr>
        <w:tab/>
      </w:r>
      <w:r w:rsidRPr="00BA6590">
        <w:rPr>
          <w:rStyle w:val="FootnoteReference"/>
          <w:sz w:val="20"/>
          <w:szCs w:val="18"/>
          <w:vertAlign w:val="baseline"/>
          <w:lang w:val="en-GB"/>
        </w:rPr>
        <w:t>**</w:t>
      </w:r>
      <w:r w:rsidRPr="00BA6590">
        <w:rPr>
          <w:szCs w:val="18"/>
          <w:lang w:val="en-GB"/>
        </w:rPr>
        <w:tab/>
        <w:t>In accordance with the information transmitted to States parties regarding the processing of their reports, the present document has not been edited by the editorial services.</w:t>
      </w:r>
    </w:p>
  </w:footnote>
  <w:footnote w:id="4">
    <w:p w:rsidR="003646F2" w:rsidRPr="00BA6590" w:rsidRDefault="003646F2" w:rsidP="00424B04">
      <w:pPr>
        <w:pStyle w:val="FootnoteText"/>
        <w:rPr>
          <w:szCs w:val="18"/>
          <w:lang w:val="en-GB"/>
        </w:rPr>
      </w:pPr>
      <w:r w:rsidRPr="00BA6590">
        <w:rPr>
          <w:szCs w:val="18"/>
          <w:lang w:val="en-GB"/>
        </w:rPr>
        <w:tab/>
      </w:r>
      <w:r w:rsidRPr="00BA6590">
        <w:rPr>
          <w:rStyle w:val="FootnoteReference"/>
          <w:sz w:val="20"/>
          <w:szCs w:val="18"/>
          <w:vertAlign w:val="baseline"/>
          <w:lang w:val="en-GB"/>
        </w:rPr>
        <w:sym w:font="Symbol" w:char="F02A"/>
      </w:r>
      <w:r w:rsidRPr="00BA6590">
        <w:rPr>
          <w:rStyle w:val="FootnoteReference"/>
          <w:sz w:val="20"/>
          <w:szCs w:val="18"/>
          <w:vertAlign w:val="baseline"/>
          <w:lang w:val="en-GB"/>
        </w:rPr>
        <w:sym w:font="Symbol" w:char="F02A"/>
      </w:r>
      <w:r w:rsidRPr="00BA6590">
        <w:rPr>
          <w:rStyle w:val="FootnoteReference"/>
          <w:sz w:val="20"/>
          <w:szCs w:val="18"/>
          <w:vertAlign w:val="baseline"/>
          <w:lang w:val="en-GB"/>
        </w:rPr>
        <w:sym w:font="Symbol" w:char="F02A"/>
      </w:r>
      <w:r w:rsidRPr="00BA6590">
        <w:rPr>
          <w:szCs w:val="18"/>
          <w:lang w:val="en-GB"/>
        </w:rPr>
        <w:tab/>
        <w:t>Annexes can be consulted in the files of the secretariat.</w:t>
      </w:r>
    </w:p>
  </w:footnote>
  <w:footnote w:id="5">
    <w:p w:rsidR="003646F2" w:rsidRPr="00BA6590" w:rsidRDefault="003646F2" w:rsidP="008E267D">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 xml:space="preserve">Belgian legal instruments (laws, decrees and orders) in the area of non-discrimination are listed </w:t>
      </w:r>
      <w:r w:rsidRPr="00BA6590">
        <w:rPr>
          <w:lang w:val="en-GB"/>
        </w:rPr>
        <w:t>in paragraph 179 of the core document</w:t>
      </w:r>
      <w:r w:rsidRPr="00BA6590">
        <w:rPr>
          <w:szCs w:val="18"/>
          <w:lang w:val="en-GB"/>
        </w:rPr>
        <w:t>.</w:t>
      </w:r>
    </w:p>
  </w:footnote>
  <w:footnote w:id="6">
    <w:p w:rsidR="003646F2" w:rsidRPr="00BA6590" w:rsidRDefault="003646F2" w:rsidP="00E42729">
      <w:pPr>
        <w:pStyle w:val="FootnoteText"/>
        <w:widowControl w:val="0"/>
        <w:tabs>
          <w:tab w:val="clear" w:pos="1021"/>
          <w:tab w:val="right" w:pos="1020"/>
        </w:tabs>
        <w:spacing w:after="60"/>
        <w:rPr>
          <w:szCs w:val="18"/>
          <w:lang w:val="en-GB"/>
        </w:rPr>
      </w:pPr>
      <w:r w:rsidRPr="00BA6590">
        <w:rPr>
          <w:szCs w:val="18"/>
          <w:lang w:val="en-GB"/>
        </w:rPr>
        <w:tab/>
      </w:r>
      <w:r w:rsidRPr="00BA6590">
        <w:rPr>
          <w:rStyle w:val="FootnoteReference"/>
          <w:szCs w:val="18"/>
          <w:lang w:val="en-GB"/>
        </w:rPr>
        <w:footnoteRef/>
      </w:r>
      <w:r w:rsidRPr="00BA6590">
        <w:rPr>
          <w:szCs w:val="18"/>
          <w:lang w:val="en-GB"/>
        </w:rPr>
        <w:tab/>
        <w:t>The law provides that such a requirement may exist only when:</w:t>
      </w:r>
    </w:p>
    <w:p w:rsidR="003646F2" w:rsidRPr="00BA6590" w:rsidRDefault="003646F2" w:rsidP="00E42729">
      <w:pPr>
        <w:pStyle w:val="Bullet1G"/>
        <w:spacing w:after="60" w:line="220" w:lineRule="exact"/>
        <w:rPr>
          <w:sz w:val="18"/>
          <w:szCs w:val="18"/>
          <w:lang w:val="en-GB"/>
        </w:rPr>
      </w:pPr>
      <w:r w:rsidRPr="00BA6590">
        <w:rPr>
          <w:sz w:val="18"/>
          <w:szCs w:val="18"/>
          <w:lang w:val="en-GB"/>
        </w:rPr>
        <w:t>A particular characteristic linked to a presumed race, skin colour, parentage, national or ethnic origin is essential and defining owing to the specific nature of the professional activity concerned or the context in which it is exercised</w:t>
      </w:r>
      <w:r>
        <w:rPr>
          <w:sz w:val="18"/>
          <w:szCs w:val="18"/>
          <w:lang w:val="en-GB"/>
        </w:rPr>
        <w:t>;</w:t>
      </w:r>
      <w:r w:rsidRPr="00BA6590">
        <w:rPr>
          <w:sz w:val="18"/>
          <w:szCs w:val="18"/>
          <w:lang w:val="en-GB"/>
        </w:rPr>
        <w:t xml:space="preserve"> and</w:t>
      </w:r>
    </w:p>
    <w:p w:rsidR="003646F2" w:rsidRPr="00BA6590" w:rsidRDefault="003646F2" w:rsidP="00E42729">
      <w:pPr>
        <w:pStyle w:val="Bullet1G"/>
        <w:spacing w:after="60" w:line="220" w:lineRule="exact"/>
        <w:rPr>
          <w:sz w:val="18"/>
          <w:szCs w:val="18"/>
          <w:lang w:val="en-GB"/>
        </w:rPr>
      </w:pPr>
      <w:r w:rsidRPr="00BA6590">
        <w:rPr>
          <w:sz w:val="18"/>
          <w:szCs w:val="18"/>
          <w:lang w:val="en-GB"/>
        </w:rPr>
        <w:t xml:space="preserve">The requirement is based on a legitimate goal and is proportionate to it. </w:t>
      </w:r>
    </w:p>
    <w:p w:rsidR="003646F2" w:rsidRPr="00BA6590" w:rsidRDefault="003646F2" w:rsidP="00B23399">
      <w:pPr>
        <w:pStyle w:val="FootnoteText"/>
        <w:widowControl w:val="0"/>
        <w:rPr>
          <w:szCs w:val="18"/>
          <w:lang w:val="en-GB"/>
        </w:rPr>
      </w:pPr>
      <w:r w:rsidRPr="00BA6590">
        <w:rPr>
          <w:szCs w:val="18"/>
          <w:lang w:val="en-GB"/>
        </w:rPr>
        <w:tab/>
      </w:r>
      <w:r w:rsidRPr="00BA6590">
        <w:rPr>
          <w:szCs w:val="18"/>
          <w:lang w:val="en-GB"/>
        </w:rPr>
        <w:tab/>
        <w:t xml:space="preserve">While the law embodies this concept, it should be noted that its content is difficult to define. Furthermore, it is for the courts to determine on a case-by-case basis what constitutes an essential professional requirement. The law provides, however, that a Royal Order debated in Cabinet and submitted to certain authorities for their opinion could establish an illustrative list of situations where a particular characteristic constitutes such a requirement. As of the date of this report, the King has not yet made use of that faculty. </w:t>
      </w:r>
    </w:p>
  </w:footnote>
  <w:footnote w:id="7">
    <w:p w:rsidR="003646F2" w:rsidRPr="00BA6590" w:rsidRDefault="003646F2" w:rsidP="006A5860">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Directives 2000/43/EC (racism), 2000/78/EC (equal treatment in</w:t>
      </w:r>
      <w:r>
        <w:rPr>
          <w:szCs w:val="18"/>
          <w:lang w:val="en-GB"/>
        </w:rPr>
        <w:t xml:space="preserve"> employment and occupation) and </w:t>
      </w:r>
      <w:r w:rsidRPr="00BA6590">
        <w:rPr>
          <w:szCs w:val="18"/>
          <w:lang w:val="en-GB"/>
        </w:rPr>
        <w:t>2006/54/EC (equal treatment of men and women in matters of employment and occupation).</w:t>
      </w:r>
    </w:p>
  </w:footnote>
  <w:footnote w:id="8">
    <w:p w:rsidR="003646F2" w:rsidRPr="00BA6590" w:rsidRDefault="003646F2" w:rsidP="004B158E">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Constitutional Court, No. 157/2004, 6 October 2004.</w:t>
      </w:r>
    </w:p>
  </w:footnote>
  <w:footnote w:id="9">
    <w:p w:rsidR="003646F2" w:rsidRPr="00BA6590" w:rsidRDefault="003646F2" w:rsidP="000F5649">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Access to goods and services and supply of goods and services to the public; social protection; employment benefits; supplementary social security cover; mention in an official document or report; affiliation to or participation in a workers</w:t>
      </w:r>
      <w:r w:rsidRPr="00BA6590">
        <w:rPr>
          <w:lang w:val="en-GB"/>
        </w:rPr>
        <w:t>’</w:t>
      </w:r>
      <w:r w:rsidRPr="00BA6590">
        <w:rPr>
          <w:szCs w:val="18"/>
          <w:lang w:val="en-GB"/>
        </w:rPr>
        <w:t xml:space="preserve"> or employers</w:t>
      </w:r>
      <w:r w:rsidRPr="00BA6590">
        <w:rPr>
          <w:lang w:val="en-GB"/>
        </w:rPr>
        <w:t>’</w:t>
      </w:r>
      <w:r w:rsidRPr="00BA6590">
        <w:rPr>
          <w:szCs w:val="18"/>
          <w:lang w:val="en-GB"/>
        </w:rPr>
        <w:t xml:space="preserve"> organization, including the advantages offered by such organizations; access to, participation in or other exercise of an economic, social, cultural or political activity available to the public and labour relations in respect of recruitment, employment conditions and dismissal.</w:t>
      </w:r>
    </w:p>
  </w:footnote>
  <w:footnote w:id="10">
    <w:p w:rsidR="003646F2" w:rsidRPr="00BA6590" w:rsidRDefault="003646F2" w:rsidP="00A1625D">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The shared burden of proof is not applicable in criminal procedures.</w:t>
      </w:r>
    </w:p>
  </w:footnote>
  <w:footnote w:id="11">
    <w:p w:rsidR="003646F2" w:rsidRPr="00BA6590" w:rsidRDefault="003646F2" w:rsidP="00A1625D">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Constitutional Court, decision No. 17/2009, 12 February 2009.</w:t>
      </w:r>
    </w:p>
  </w:footnote>
  <w:footnote w:id="12">
    <w:p w:rsidR="003646F2" w:rsidRPr="00BA6590" w:rsidRDefault="003646F2" w:rsidP="00422D4F">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For other decisions, see the website of the Centre for Equal Opportunities and Action to Combat Racism: www.diversite.be.</w:t>
      </w:r>
    </w:p>
  </w:footnote>
  <w:footnote w:id="13">
    <w:p w:rsidR="003646F2" w:rsidRPr="00BA6590" w:rsidRDefault="003646F2" w:rsidP="008E05E9">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This subject is also discussed later in this report, in the sections relating to articles 5 (employment) and 7 (teaching and education) of the Convention.</w:t>
      </w:r>
    </w:p>
  </w:footnote>
  <w:footnote w:id="14">
    <w:p w:rsidR="003646F2" w:rsidRPr="00BA6590" w:rsidRDefault="003646F2" w:rsidP="008E05E9">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COM 2011 173/4.</w:t>
      </w:r>
    </w:p>
  </w:footnote>
  <w:footnote w:id="15">
    <w:p w:rsidR="003646F2" w:rsidRPr="00BA6590" w:rsidRDefault="003646F2" w:rsidP="00E42729">
      <w:pPr>
        <w:pStyle w:val="FootnoteText"/>
        <w:widowControl w:val="0"/>
        <w:tabs>
          <w:tab w:val="clear" w:pos="1021"/>
          <w:tab w:val="right" w:pos="1020"/>
        </w:tabs>
        <w:spacing w:after="60"/>
        <w:rPr>
          <w:szCs w:val="18"/>
          <w:lang w:val="en-GB"/>
        </w:rPr>
      </w:pPr>
      <w:r w:rsidRPr="00BA6590">
        <w:rPr>
          <w:szCs w:val="18"/>
          <w:lang w:val="en-GB"/>
        </w:rPr>
        <w:tab/>
      </w:r>
      <w:r w:rsidRPr="00BA6590">
        <w:rPr>
          <w:rStyle w:val="FootnoteReference"/>
          <w:szCs w:val="18"/>
          <w:lang w:val="en-GB"/>
        </w:rPr>
        <w:footnoteRef/>
      </w:r>
      <w:r w:rsidRPr="00BA6590">
        <w:rPr>
          <w:szCs w:val="18"/>
          <w:lang w:val="en-GB"/>
        </w:rPr>
        <w:tab/>
        <w:t>The functions of the regional integration centres are as follows:</w:t>
      </w:r>
    </w:p>
    <w:p w:rsidR="003646F2" w:rsidRPr="00BA6590" w:rsidRDefault="003646F2" w:rsidP="00E42729">
      <w:pPr>
        <w:pStyle w:val="Bullet1G"/>
        <w:spacing w:after="60" w:line="220" w:lineRule="exact"/>
        <w:rPr>
          <w:sz w:val="18"/>
          <w:szCs w:val="18"/>
          <w:lang w:val="en-GB"/>
        </w:rPr>
      </w:pPr>
      <w:r w:rsidRPr="00BA6590">
        <w:rPr>
          <w:sz w:val="18"/>
          <w:szCs w:val="18"/>
          <w:lang w:val="en-GB"/>
        </w:rPr>
        <w:t>Supporting local social development initiatives and coordinating integration activities in the framework of local integration plans;</w:t>
      </w:r>
    </w:p>
    <w:p w:rsidR="003646F2" w:rsidRPr="00BA6590" w:rsidRDefault="003646F2" w:rsidP="00E42729">
      <w:pPr>
        <w:pStyle w:val="Bullet1G"/>
        <w:spacing w:after="60" w:line="220" w:lineRule="exact"/>
        <w:rPr>
          <w:sz w:val="18"/>
          <w:szCs w:val="18"/>
          <w:lang w:val="en-GB"/>
        </w:rPr>
      </w:pPr>
      <w:r w:rsidRPr="00BA6590">
        <w:rPr>
          <w:sz w:val="18"/>
          <w:szCs w:val="18"/>
          <w:lang w:val="en-GB"/>
        </w:rPr>
        <w:t>Promoting social, economic, cultural and political participation by foreign nationals and persons of foreign origin and cross-cultural exchanges;</w:t>
      </w:r>
    </w:p>
    <w:p w:rsidR="003646F2" w:rsidRPr="00BA6590" w:rsidRDefault="003646F2" w:rsidP="00E42729">
      <w:pPr>
        <w:pStyle w:val="Bullet1G"/>
        <w:spacing w:after="60" w:line="220" w:lineRule="exact"/>
        <w:rPr>
          <w:sz w:val="18"/>
          <w:szCs w:val="18"/>
          <w:lang w:val="en-GB"/>
        </w:rPr>
      </w:pPr>
      <w:r w:rsidRPr="00BA6590">
        <w:rPr>
          <w:sz w:val="18"/>
          <w:szCs w:val="18"/>
          <w:lang w:val="en-GB"/>
        </w:rPr>
        <w:t>Coordinating the reception, guidance, support and integration of foreign nationals who have recently settled in the Walloon Region;</w:t>
      </w:r>
    </w:p>
    <w:p w:rsidR="003646F2" w:rsidRPr="00BA6590" w:rsidRDefault="003646F2" w:rsidP="00E42729">
      <w:pPr>
        <w:pStyle w:val="Bullet1G"/>
        <w:spacing w:after="60" w:line="220" w:lineRule="exact"/>
        <w:rPr>
          <w:sz w:val="18"/>
          <w:szCs w:val="18"/>
          <w:lang w:val="en-GB"/>
        </w:rPr>
      </w:pPr>
      <w:r w:rsidRPr="00BA6590">
        <w:rPr>
          <w:sz w:val="18"/>
          <w:szCs w:val="18"/>
          <w:lang w:val="en-GB"/>
        </w:rPr>
        <w:t>Training social workers in the area of integration of foreign nationals and persons of foreign origin and cross-cultural dialogue, as well as the training of staff in services which deal with them, even partially;</w:t>
      </w:r>
    </w:p>
    <w:p w:rsidR="003646F2" w:rsidRPr="00BA6590" w:rsidRDefault="003646F2" w:rsidP="00E42729">
      <w:pPr>
        <w:pStyle w:val="Bullet1G"/>
        <w:spacing w:after="60" w:line="220" w:lineRule="exact"/>
        <w:rPr>
          <w:sz w:val="18"/>
          <w:szCs w:val="18"/>
          <w:lang w:val="en-GB"/>
        </w:rPr>
      </w:pPr>
      <w:r w:rsidRPr="00BA6590">
        <w:rPr>
          <w:sz w:val="18"/>
          <w:szCs w:val="18"/>
          <w:lang w:val="en-GB"/>
        </w:rPr>
        <w:t>Local collection of available statistical data;</w:t>
      </w:r>
    </w:p>
    <w:p w:rsidR="003646F2" w:rsidRPr="00BA6590" w:rsidRDefault="003646F2" w:rsidP="00B23399">
      <w:pPr>
        <w:pStyle w:val="Bullet1G"/>
        <w:spacing w:after="0" w:line="220" w:lineRule="exact"/>
        <w:rPr>
          <w:sz w:val="18"/>
          <w:szCs w:val="18"/>
          <w:lang w:val="en-GB"/>
        </w:rPr>
      </w:pPr>
      <w:r w:rsidRPr="00BA6590">
        <w:rPr>
          <w:sz w:val="18"/>
          <w:szCs w:val="18"/>
          <w:lang w:val="en-GB"/>
        </w:rPr>
        <w:t xml:space="preserve">When proposed by their managing boards and subject to agreement by the Integration Commission of the Walloon Region, organizing front-line integration activities, for a determined period, to implement the local integration plan if partners in associations and the public authorities do not do so themselves or if they so request, particularly in relation to the provision of lessons in the French language and Belgian institutions. </w:t>
      </w:r>
    </w:p>
  </w:footnote>
  <w:footnote w:id="16">
    <w:p w:rsidR="003646F2" w:rsidRPr="00BA6590" w:rsidRDefault="003646F2" w:rsidP="00644148">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For a definition of social cohesion, see the fourteenth and fifteenth reports (CERD/C/BEL/15), paras. 108</w:t>
      </w:r>
      <w:r w:rsidRPr="00BA6590">
        <w:rPr>
          <w:szCs w:val="24"/>
          <w:lang w:val="en-GB"/>
        </w:rPr>
        <w:t>–</w:t>
      </w:r>
      <w:r w:rsidRPr="00BA6590">
        <w:rPr>
          <w:szCs w:val="18"/>
          <w:lang w:val="en-GB"/>
        </w:rPr>
        <w:t>112.</w:t>
      </w:r>
    </w:p>
  </w:footnote>
  <w:footnote w:id="17">
    <w:p w:rsidR="003646F2" w:rsidRPr="00BA6590" w:rsidRDefault="003646F2" w:rsidP="00B33BB8">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Including Flemish integration policy in Brussels.</w:t>
      </w:r>
    </w:p>
  </w:footnote>
  <w:footnote w:id="18">
    <w:p w:rsidR="003646F2" w:rsidRPr="00BA6590" w:rsidRDefault="003646F2" w:rsidP="00BA355C">
      <w:pPr>
        <w:pStyle w:val="FootnoteText"/>
        <w:widowControl w:val="0"/>
        <w:tabs>
          <w:tab w:val="clear" w:pos="1021"/>
          <w:tab w:val="right" w:pos="1020"/>
        </w:tabs>
        <w:rPr>
          <w:i/>
          <w:szCs w:val="18"/>
          <w:lang w:val="en-GB"/>
        </w:rPr>
      </w:pPr>
      <w:r w:rsidRPr="00BA6590">
        <w:rPr>
          <w:szCs w:val="18"/>
          <w:lang w:val="en-GB"/>
        </w:rPr>
        <w:tab/>
      </w:r>
      <w:r w:rsidRPr="00BA6590">
        <w:rPr>
          <w:rStyle w:val="FootnoteReference"/>
          <w:szCs w:val="18"/>
          <w:lang w:val="en-GB"/>
        </w:rPr>
        <w:footnoteRef/>
      </w:r>
      <w:r w:rsidRPr="00BA6590">
        <w:rPr>
          <w:szCs w:val="18"/>
          <w:lang w:val="en-GB"/>
        </w:rPr>
        <w:tab/>
      </w:r>
      <w:r w:rsidRPr="00BA6590">
        <w:rPr>
          <w:i/>
          <w:szCs w:val="18"/>
          <w:lang w:val="en-GB"/>
        </w:rPr>
        <w:t>“Inburgering”.</w:t>
      </w:r>
    </w:p>
  </w:footnote>
  <w:footnote w:id="19">
    <w:p w:rsidR="003646F2" w:rsidRPr="00BA6590" w:rsidRDefault="003646F2" w:rsidP="004A7917">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The Centre has noted a certain correlation between the numbers of reports, and therefore of incidents, and developments in the Israeli-Palestinian conflict.</w:t>
      </w:r>
    </w:p>
  </w:footnote>
  <w:footnote w:id="20">
    <w:p w:rsidR="003646F2" w:rsidRPr="00BA6590" w:rsidRDefault="003646F2" w:rsidP="00B33E92">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Constitutional Court, decision No. 195/2009, 3 December 2009.</w:t>
      </w:r>
    </w:p>
  </w:footnote>
  <w:footnote w:id="21">
    <w:p w:rsidR="003646F2" w:rsidRPr="00BA6590" w:rsidRDefault="003646F2" w:rsidP="00BA252D">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Council of State, decision No. 213.879, 15 June 2011.</w:t>
      </w:r>
    </w:p>
  </w:footnote>
  <w:footnote w:id="22">
    <w:p w:rsidR="003646F2" w:rsidRPr="00BA6590" w:rsidRDefault="003646F2" w:rsidP="00096FE0">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See Foreign Nationals Entry, Residence, Settlement and Expulsion Act of 15 December 1980, below.</w:t>
      </w:r>
    </w:p>
  </w:footnote>
  <w:footnote w:id="23">
    <w:p w:rsidR="003646F2" w:rsidRPr="00BA6590" w:rsidRDefault="003646F2" w:rsidP="00046DE9">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Albania, Bosnia and Herzegovina, India, Kosovo, Montenegro, Serbia and the former Yugoslav Republic of Macedonia.</w:t>
      </w:r>
    </w:p>
  </w:footnote>
  <w:footnote w:id="24">
    <w:p w:rsidR="003646F2" w:rsidRPr="00BA6590" w:rsidRDefault="003646F2" w:rsidP="00A25F4D">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But also article 11 (2) (d) of Council Directive 2005/85/EC of 1 December 2005 on minimum standards on procedures in member States for granting and withdrawing refugee status.</w:t>
      </w:r>
    </w:p>
  </w:footnote>
  <w:footnote w:id="25">
    <w:p w:rsidR="003646F2" w:rsidRPr="00BA6590" w:rsidRDefault="003646F2" w:rsidP="00BD4047">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Constitutional Court, decision No. 193/2009, 26 November 2009.</w:t>
      </w:r>
    </w:p>
  </w:footnote>
  <w:footnote w:id="26">
    <w:p w:rsidR="003646F2" w:rsidRPr="00BA6590" w:rsidRDefault="003646F2" w:rsidP="00E42729">
      <w:pPr>
        <w:pStyle w:val="FootnoteText"/>
        <w:widowControl w:val="0"/>
        <w:tabs>
          <w:tab w:val="clear" w:pos="1021"/>
          <w:tab w:val="right" w:pos="1020"/>
        </w:tabs>
        <w:spacing w:after="60"/>
        <w:rPr>
          <w:szCs w:val="18"/>
          <w:lang w:val="en-GB"/>
        </w:rPr>
      </w:pPr>
      <w:r w:rsidRPr="00BA6590">
        <w:rPr>
          <w:szCs w:val="18"/>
          <w:lang w:val="en-GB"/>
        </w:rPr>
        <w:tab/>
      </w:r>
      <w:r w:rsidRPr="00BA6590">
        <w:rPr>
          <w:rStyle w:val="FootnoteReference"/>
          <w:szCs w:val="18"/>
          <w:lang w:val="en-GB"/>
        </w:rPr>
        <w:footnoteRef/>
      </w:r>
      <w:r w:rsidRPr="00BA6590">
        <w:rPr>
          <w:szCs w:val="18"/>
          <w:lang w:val="en-GB"/>
        </w:rPr>
        <w:tab/>
        <w:t xml:space="preserve">Modifications have been made to all the stages of the procedure. </w:t>
      </w:r>
    </w:p>
    <w:p w:rsidR="003646F2" w:rsidRPr="00BA6590" w:rsidRDefault="003646F2" w:rsidP="00E42729">
      <w:pPr>
        <w:pStyle w:val="Bullet1G"/>
        <w:spacing w:after="60" w:line="220" w:lineRule="exact"/>
        <w:rPr>
          <w:sz w:val="18"/>
          <w:szCs w:val="18"/>
          <w:lang w:val="en-GB"/>
        </w:rPr>
      </w:pPr>
      <w:r w:rsidRPr="00BA6590">
        <w:rPr>
          <w:sz w:val="18"/>
          <w:szCs w:val="18"/>
          <w:lang w:val="en-GB"/>
        </w:rPr>
        <w:t xml:space="preserve">When lodging his or her application, the foreign national must provide all the required recent information concerning his or her illness and the treatment available in his country of origin. The standard medical certificate provided for that purpose must be no more than three months old on the date of submission of the application. </w:t>
      </w:r>
    </w:p>
    <w:p w:rsidR="003646F2" w:rsidRPr="00BA6590" w:rsidRDefault="003646F2" w:rsidP="00E42729">
      <w:pPr>
        <w:pStyle w:val="Bullet1G"/>
        <w:spacing w:after="60" w:line="220" w:lineRule="exact"/>
        <w:rPr>
          <w:sz w:val="18"/>
          <w:szCs w:val="18"/>
          <w:lang w:val="en-GB"/>
        </w:rPr>
      </w:pPr>
      <w:r w:rsidRPr="00BA6590">
        <w:rPr>
          <w:sz w:val="18"/>
          <w:szCs w:val="18"/>
          <w:lang w:val="en-GB"/>
        </w:rPr>
        <w:t xml:space="preserve">An application may be ruled inadmissible if the doctor considers the disorder upon which the application is based is clearly not an “illness” as described in the law (that is, it is not sufficiently serious). </w:t>
      </w:r>
    </w:p>
    <w:p w:rsidR="003646F2" w:rsidRPr="00BA6590" w:rsidRDefault="003646F2" w:rsidP="00E42729">
      <w:pPr>
        <w:pStyle w:val="Bullet1G"/>
        <w:spacing w:after="60" w:line="220" w:lineRule="exact"/>
        <w:rPr>
          <w:sz w:val="18"/>
          <w:szCs w:val="18"/>
          <w:lang w:val="en-GB"/>
        </w:rPr>
      </w:pPr>
      <w:r w:rsidRPr="00BA6590">
        <w:rPr>
          <w:sz w:val="18"/>
          <w:szCs w:val="18"/>
          <w:lang w:val="en-GB"/>
        </w:rPr>
        <w:t>An application may be denied at the admissibility stage if the foreign national fails to attend the appointment mentioned in the invitation to meet the medical officer or expert (without providing a valid reason for that failure within 15 days following that date).</w:t>
      </w:r>
    </w:p>
    <w:p w:rsidR="003646F2" w:rsidRPr="00BA6590" w:rsidRDefault="003646F2" w:rsidP="00B23399">
      <w:pPr>
        <w:pStyle w:val="Bullet1G"/>
        <w:spacing w:after="0" w:line="220" w:lineRule="exact"/>
        <w:rPr>
          <w:sz w:val="18"/>
          <w:szCs w:val="18"/>
          <w:lang w:val="en-GB"/>
        </w:rPr>
      </w:pPr>
      <w:r w:rsidRPr="00BA6590">
        <w:rPr>
          <w:sz w:val="18"/>
          <w:szCs w:val="18"/>
          <w:lang w:val="en-GB"/>
        </w:rPr>
        <w:t>An application for a residence permit for medical reasons may be declared inapplicable if the foreign national has received a permanent residence permit for another reason, unless the foreign national requests, by registered mail within 60 days, that the application be pursued.</w:t>
      </w:r>
    </w:p>
  </w:footnote>
  <w:footnote w:id="27">
    <w:p w:rsidR="003646F2" w:rsidRPr="00BA6590" w:rsidRDefault="003646F2" w:rsidP="005076F3">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Constitutional Court, decision No. 177/2011 of 17 November 2011 and decision No. 148/2011 of 5 October 2011.</w:t>
      </w:r>
    </w:p>
  </w:footnote>
  <w:footnote w:id="28">
    <w:p w:rsidR="003646F2" w:rsidRPr="00BA6590" w:rsidRDefault="003646F2" w:rsidP="00E34E23">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This Committee comprises representatives of the social partners, the Centre for Equal Opportunities and Action to Combat Racism, the Institute for Gender Equality and experts on diversity.</w:t>
      </w:r>
    </w:p>
  </w:footnote>
  <w:footnote w:id="29">
    <w:p w:rsidR="003646F2" w:rsidRPr="00BA6590" w:rsidRDefault="003646F2" w:rsidP="001D0487">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 xml:space="preserve">Also involved are the National Registry, the Social Security Crossroads Bank, the Communities and the Regions. </w:t>
      </w:r>
    </w:p>
  </w:footnote>
  <w:footnote w:id="30">
    <w:p w:rsidR="003646F2" w:rsidRPr="00BA6590" w:rsidRDefault="003646F2" w:rsidP="00A83BF1">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Court of Justice of the European Union, judgement of 10 July 2008, Case C-54/07, Feryn.</w:t>
      </w:r>
    </w:p>
  </w:footnote>
  <w:footnote w:id="31">
    <w:p w:rsidR="003646F2" w:rsidRPr="00BA6590" w:rsidRDefault="003646F2" w:rsidP="00CA4783">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For reporting on language clauses, see CERD/C/BEL/CO/15/Add.1.</w:t>
      </w:r>
    </w:p>
  </w:footnote>
  <w:footnote w:id="32">
    <w:p w:rsidR="003646F2" w:rsidRPr="00BA6590" w:rsidRDefault="003646F2" w:rsidP="00C76216">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For the annual report “Discrimination 2011</w:t>
      </w:r>
      <w:r w:rsidRPr="00BA6590">
        <w:rPr>
          <w:lang w:val="en-GB"/>
        </w:rPr>
        <w:t>”</w:t>
      </w:r>
      <w:r w:rsidRPr="00BA6590">
        <w:rPr>
          <w:szCs w:val="18"/>
          <w:lang w:val="en-GB"/>
        </w:rPr>
        <w:t xml:space="preserve"> of the Centre for Equal Opportunities and Action to Combat Racism, see annex XV.</w:t>
      </w:r>
    </w:p>
  </w:footnote>
  <w:footnote w:id="33">
    <w:p w:rsidR="003646F2" w:rsidRPr="00BA6590" w:rsidRDefault="003646F2" w:rsidP="005C2561">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In 2009, the Centre set up a new system for the processing and registration of cases. Beginning in that year, a distinction is made between reports and cases. See page 64 of the “Discrimination 2011</w:t>
      </w:r>
      <w:r w:rsidRPr="00BA6590">
        <w:rPr>
          <w:lang w:val="en-GB"/>
        </w:rPr>
        <w:t>”</w:t>
      </w:r>
      <w:r w:rsidRPr="00BA6590">
        <w:rPr>
          <w:szCs w:val="18"/>
          <w:lang w:val="en-GB"/>
        </w:rPr>
        <w:t xml:space="preserve"> report for an explanation of these two concepts. </w:t>
      </w:r>
    </w:p>
  </w:footnote>
  <w:footnote w:id="34">
    <w:p w:rsidR="003646F2" w:rsidRPr="00BA6590" w:rsidRDefault="003646F2" w:rsidP="005C2561">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Figure for 1</w:t>
      </w:r>
      <w:r w:rsidRPr="00BA6590">
        <w:rPr>
          <w:szCs w:val="18"/>
          <w:vertAlign w:val="superscript"/>
          <w:lang w:val="en-GB"/>
        </w:rPr>
        <w:t xml:space="preserve"> </w:t>
      </w:r>
      <w:r w:rsidRPr="00BA6590">
        <w:rPr>
          <w:szCs w:val="18"/>
          <w:lang w:val="en-GB"/>
        </w:rPr>
        <w:t>January to 30 June 2012.</w:t>
      </w:r>
    </w:p>
  </w:footnote>
  <w:footnote w:id="35">
    <w:p w:rsidR="003646F2" w:rsidRPr="00BA6590" w:rsidRDefault="003646F2" w:rsidP="00FB785A">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These cases relate to all the criteria protected under the federal Acts of 10 May 2007 and therefore do not relate only to racial discrimination.</w:t>
      </w:r>
    </w:p>
  </w:footnote>
  <w:footnote w:id="36">
    <w:p w:rsidR="003646F2" w:rsidRPr="00BA6590" w:rsidRDefault="003646F2" w:rsidP="00BA355C">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 xml:space="preserve">Concept note entitled </w:t>
      </w:r>
      <w:r w:rsidRPr="00BA6590">
        <w:rPr>
          <w:i/>
          <w:szCs w:val="18"/>
          <w:lang w:val="en-GB"/>
        </w:rPr>
        <w:t>Samen taalgrenzen verleggen</w:t>
      </w:r>
      <w:r w:rsidRPr="00BA6590">
        <w:rPr>
          <w:szCs w:val="18"/>
          <w:lang w:val="en-GB"/>
        </w:rPr>
        <w:t xml:space="preserve"> (Moving language frontiers together). </w:t>
      </w:r>
    </w:p>
  </w:footnote>
  <w:footnote w:id="37">
    <w:p w:rsidR="003646F2" w:rsidRPr="00BA6590" w:rsidRDefault="003646F2" w:rsidP="00BA355C">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Plan of Action against Behaviour Problems.</w:t>
      </w:r>
    </w:p>
  </w:footnote>
  <w:footnote w:id="38">
    <w:p w:rsidR="003646F2" w:rsidRPr="00BA6590" w:rsidRDefault="003646F2" w:rsidP="00BA355C">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Plans of action on combating poverty and promoting integration.</w:t>
      </w:r>
    </w:p>
  </w:footnote>
  <w:footnote w:id="39">
    <w:p w:rsidR="003646F2" w:rsidRPr="00BA6590" w:rsidRDefault="003646F2" w:rsidP="00B23399">
      <w:pPr>
        <w:pStyle w:val="FootnoteText"/>
        <w:widowControl w:val="0"/>
        <w:tabs>
          <w:tab w:val="clear" w:pos="1021"/>
          <w:tab w:val="right" w:pos="1020"/>
        </w:tabs>
        <w:spacing w:after="60"/>
        <w:rPr>
          <w:szCs w:val="18"/>
          <w:lang w:val="en-GB"/>
        </w:rPr>
      </w:pPr>
      <w:r w:rsidRPr="00BA6590">
        <w:rPr>
          <w:szCs w:val="18"/>
          <w:lang w:val="en-GB"/>
        </w:rPr>
        <w:tab/>
      </w:r>
      <w:r w:rsidRPr="00BA6590">
        <w:rPr>
          <w:rStyle w:val="FootnoteReference"/>
          <w:szCs w:val="18"/>
          <w:lang w:val="en-GB"/>
        </w:rPr>
        <w:footnoteRef/>
      </w:r>
      <w:r w:rsidRPr="00BA6590">
        <w:rPr>
          <w:szCs w:val="18"/>
          <w:lang w:val="en-GB"/>
        </w:rPr>
        <w:tab/>
        <w:t>In order to be considered as newly arrived, students must:</w:t>
      </w:r>
    </w:p>
    <w:p w:rsidR="003646F2" w:rsidRPr="00BA6590" w:rsidRDefault="003646F2" w:rsidP="00B23399">
      <w:pPr>
        <w:pStyle w:val="FootnoteText"/>
        <w:widowControl w:val="0"/>
        <w:tabs>
          <w:tab w:val="clear" w:pos="1021"/>
          <w:tab w:val="right" w:pos="1020"/>
        </w:tabs>
        <w:spacing w:after="60"/>
        <w:rPr>
          <w:szCs w:val="18"/>
          <w:lang w:val="en-GB"/>
        </w:rPr>
      </w:pPr>
      <w:r w:rsidRPr="00BA6590">
        <w:rPr>
          <w:szCs w:val="18"/>
          <w:lang w:val="en-GB"/>
        </w:rPr>
        <w:tab/>
      </w:r>
      <w:r w:rsidRPr="00BA6590">
        <w:rPr>
          <w:szCs w:val="18"/>
          <w:lang w:val="en-GB"/>
        </w:rPr>
        <w:tab/>
        <w:t>(a)</w:t>
      </w:r>
      <w:r w:rsidRPr="00BA6590">
        <w:rPr>
          <w:szCs w:val="18"/>
          <w:lang w:val="en-GB"/>
        </w:rPr>
        <w:tab/>
        <w:t>Be aged at least 2½ and less than 18;</w:t>
      </w:r>
    </w:p>
    <w:p w:rsidR="003646F2" w:rsidRPr="00BA6590" w:rsidRDefault="003646F2" w:rsidP="00B23399">
      <w:pPr>
        <w:pStyle w:val="FootnoteText"/>
        <w:widowControl w:val="0"/>
        <w:tabs>
          <w:tab w:val="clear" w:pos="1021"/>
          <w:tab w:val="right" w:pos="1020"/>
        </w:tabs>
        <w:spacing w:after="60"/>
        <w:rPr>
          <w:szCs w:val="18"/>
          <w:lang w:val="en-GB"/>
        </w:rPr>
      </w:pPr>
      <w:r w:rsidRPr="00BA6590">
        <w:rPr>
          <w:szCs w:val="18"/>
          <w:lang w:val="en-GB"/>
        </w:rPr>
        <w:tab/>
      </w:r>
      <w:r w:rsidRPr="00BA6590">
        <w:rPr>
          <w:szCs w:val="18"/>
          <w:lang w:val="en-GB"/>
        </w:rPr>
        <w:tab/>
        <w:t>(b)</w:t>
      </w:r>
      <w:r w:rsidRPr="00BA6590">
        <w:rPr>
          <w:szCs w:val="18"/>
          <w:lang w:val="en-GB"/>
        </w:rPr>
        <w:tab/>
        <w:t>Either have submitted an application for recognition of refugee status or have received such recognition in accordance with the Foreign Nationals Entry, Residence, Settlement and Removal Act;</w:t>
      </w:r>
    </w:p>
    <w:p w:rsidR="003646F2" w:rsidRPr="00BA6590" w:rsidRDefault="003646F2" w:rsidP="00B23399">
      <w:pPr>
        <w:pStyle w:val="FootnoteText"/>
        <w:widowControl w:val="0"/>
        <w:tabs>
          <w:tab w:val="clear" w:pos="1021"/>
          <w:tab w:val="right" w:pos="1020"/>
        </w:tabs>
        <w:spacing w:after="60"/>
        <w:rPr>
          <w:szCs w:val="18"/>
          <w:lang w:val="en-GB"/>
        </w:rPr>
      </w:pPr>
      <w:r w:rsidRPr="00BA6590">
        <w:rPr>
          <w:szCs w:val="18"/>
          <w:lang w:val="en-GB"/>
        </w:rPr>
        <w:tab/>
      </w:r>
      <w:r w:rsidRPr="00BA6590">
        <w:rPr>
          <w:szCs w:val="18"/>
          <w:lang w:val="en-GB"/>
        </w:rPr>
        <w:tab/>
        <w:t>(c)</w:t>
      </w:r>
      <w:r w:rsidRPr="00BA6590">
        <w:rPr>
          <w:szCs w:val="18"/>
          <w:lang w:val="en-GB"/>
        </w:rPr>
        <w:tab/>
        <w:t>Or be a minor accompanying a person who has submitted an application for recognition of refugee status or has received such recognition in accordance with the Act;</w:t>
      </w:r>
    </w:p>
    <w:p w:rsidR="003646F2" w:rsidRPr="00BA6590" w:rsidRDefault="003646F2" w:rsidP="00B23399">
      <w:pPr>
        <w:pStyle w:val="FootnoteText"/>
        <w:widowControl w:val="0"/>
        <w:tabs>
          <w:tab w:val="clear" w:pos="1021"/>
          <w:tab w:val="right" w:pos="1020"/>
        </w:tabs>
        <w:spacing w:after="60"/>
        <w:rPr>
          <w:szCs w:val="18"/>
          <w:lang w:val="en-GB"/>
        </w:rPr>
      </w:pPr>
      <w:r w:rsidRPr="00BA6590">
        <w:rPr>
          <w:szCs w:val="18"/>
          <w:lang w:val="en-GB"/>
        </w:rPr>
        <w:tab/>
      </w:r>
      <w:r w:rsidRPr="00BA6590">
        <w:rPr>
          <w:szCs w:val="18"/>
          <w:lang w:val="en-GB"/>
        </w:rPr>
        <w:tab/>
        <w:t>(d)</w:t>
      </w:r>
      <w:r w:rsidRPr="00BA6590">
        <w:rPr>
          <w:szCs w:val="18"/>
          <w:lang w:val="en-GB"/>
        </w:rPr>
        <w:tab/>
        <w:t>Or be recognized as stateless;</w:t>
      </w:r>
    </w:p>
    <w:p w:rsidR="003646F2" w:rsidRPr="00BA6590" w:rsidRDefault="003646F2" w:rsidP="00B23399">
      <w:pPr>
        <w:pStyle w:val="FootnoteText"/>
        <w:widowControl w:val="0"/>
        <w:tabs>
          <w:tab w:val="clear" w:pos="1021"/>
          <w:tab w:val="right" w:pos="1020"/>
        </w:tabs>
        <w:spacing w:after="60"/>
        <w:rPr>
          <w:szCs w:val="18"/>
          <w:lang w:val="en-GB"/>
        </w:rPr>
      </w:pPr>
      <w:r w:rsidRPr="00BA6590">
        <w:rPr>
          <w:szCs w:val="18"/>
          <w:lang w:val="en-GB"/>
        </w:rPr>
        <w:tab/>
      </w:r>
      <w:r w:rsidRPr="00BA6590">
        <w:rPr>
          <w:szCs w:val="18"/>
          <w:lang w:val="en-GB"/>
        </w:rPr>
        <w:tab/>
        <w:t>(e)</w:t>
      </w:r>
      <w:r w:rsidRPr="00BA6590">
        <w:rPr>
          <w:szCs w:val="18"/>
          <w:lang w:val="en-GB"/>
        </w:rPr>
        <w:tab/>
        <w:t>Or be a national of a State receiving development assistance from the Development Assistance Committee of the Organisation for Economic Co-operation and Development (OECD);</w:t>
      </w:r>
    </w:p>
    <w:p w:rsidR="003646F2" w:rsidRPr="00BA6590" w:rsidRDefault="003646F2" w:rsidP="0092336D">
      <w:pPr>
        <w:pStyle w:val="FootnoteText"/>
        <w:widowControl w:val="0"/>
        <w:tabs>
          <w:tab w:val="clear" w:pos="1021"/>
          <w:tab w:val="right" w:pos="1020"/>
        </w:tabs>
        <w:rPr>
          <w:szCs w:val="18"/>
          <w:lang w:val="en-GB"/>
        </w:rPr>
      </w:pPr>
      <w:r w:rsidRPr="00BA6590">
        <w:rPr>
          <w:szCs w:val="18"/>
          <w:lang w:val="en-GB"/>
        </w:rPr>
        <w:tab/>
      </w:r>
      <w:r w:rsidRPr="00BA6590">
        <w:rPr>
          <w:szCs w:val="18"/>
          <w:lang w:val="en-GB"/>
        </w:rPr>
        <w:tab/>
        <w:t>(f)</w:t>
      </w:r>
      <w:r w:rsidRPr="00BA6590">
        <w:rPr>
          <w:szCs w:val="18"/>
          <w:lang w:val="en-GB"/>
        </w:rPr>
        <w:tab/>
        <w:t xml:space="preserve">Or have arrived in Belgium less than one year earlier. </w:t>
      </w:r>
    </w:p>
  </w:footnote>
  <w:footnote w:id="40">
    <w:p w:rsidR="003646F2" w:rsidRPr="00BA6590" w:rsidRDefault="003646F2" w:rsidP="00E42729">
      <w:pPr>
        <w:pStyle w:val="FootnoteText"/>
        <w:widowControl w:val="0"/>
        <w:tabs>
          <w:tab w:val="clear" w:pos="1021"/>
          <w:tab w:val="right" w:pos="1020"/>
        </w:tabs>
        <w:spacing w:after="60"/>
        <w:rPr>
          <w:szCs w:val="18"/>
          <w:lang w:val="en-GB"/>
        </w:rPr>
      </w:pPr>
      <w:r w:rsidRPr="00BA6590">
        <w:rPr>
          <w:szCs w:val="18"/>
          <w:lang w:val="en-GB"/>
        </w:rPr>
        <w:tab/>
      </w:r>
      <w:r w:rsidRPr="00BA6590">
        <w:rPr>
          <w:rStyle w:val="FootnoteReference"/>
          <w:szCs w:val="18"/>
          <w:lang w:val="en-GB"/>
        </w:rPr>
        <w:footnoteRef/>
      </w:r>
      <w:r w:rsidRPr="00BA6590">
        <w:rPr>
          <w:szCs w:val="18"/>
          <w:lang w:val="en-GB"/>
        </w:rPr>
        <w:tab/>
        <w:t xml:space="preserve">In 2010: </w:t>
      </w:r>
    </w:p>
    <w:p w:rsidR="003646F2" w:rsidRPr="00BA6590" w:rsidRDefault="003646F2" w:rsidP="00E42729">
      <w:pPr>
        <w:pStyle w:val="Bullet1G"/>
        <w:spacing w:after="60" w:line="220" w:lineRule="exact"/>
        <w:rPr>
          <w:sz w:val="18"/>
          <w:szCs w:val="18"/>
          <w:lang w:val="en-GB"/>
        </w:rPr>
      </w:pPr>
      <w:r w:rsidRPr="00BA6590">
        <w:rPr>
          <w:sz w:val="18"/>
          <w:szCs w:val="18"/>
          <w:lang w:val="en-GB"/>
        </w:rPr>
        <w:t>School mediators working in Brussels and the Walloon Region and outreach agents;</w:t>
      </w:r>
    </w:p>
    <w:p w:rsidR="003646F2" w:rsidRPr="00BA6590" w:rsidRDefault="003646F2" w:rsidP="00E42729">
      <w:pPr>
        <w:pStyle w:val="Bullet1G"/>
        <w:spacing w:after="60" w:line="220" w:lineRule="exact"/>
        <w:rPr>
          <w:sz w:val="18"/>
          <w:szCs w:val="18"/>
          <w:lang w:val="en-GB"/>
        </w:rPr>
      </w:pPr>
      <w:r w:rsidRPr="00BA6590">
        <w:rPr>
          <w:sz w:val="18"/>
          <w:szCs w:val="18"/>
          <w:lang w:val="en-GB"/>
        </w:rPr>
        <w:t>Senior staff of the schools inspectorate (coordinating inspector-general, inspectors-general and coordinating inspectors);</w:t>
      </w:r>
    </w:p>
    <w:p w:rsidR="003646F2" w:rsidRPr="00BA6590" w:rsidRDefault="003646F2" w:rsidP="00E42729">
      <w:pPr>
        <w:pStyle w:val="Bullet1G"/>
        <w:spacing w:after="60" w:line="220" w:lineRule="exact"/>
        <w:rPr>
          <w:sz w:val="18"/>
          <w:szCs w:val="18"/>
          <w:lang w:val="en-GB"/>
        </w:rPr>
      </w:pPr>
      <w:r w:rsidRPr="00BA6590">
        <w:rPr>
          <w:sz w:val="18"/>
          <w:szCs w:val="18"/>
          <w:lang w:val="en-GB"/>
        </w:rPr>
        <w:t>The inspectors of psycho-medical and social centres;</w:t>
      </w:r>
    </w:p>
    <w:p w:rsidR="003646F2" w:rsidRPr="00BA6590" w:rsidRDefault="003646F2" w:rsidP="00E42729">
      <w:pPr>
        <w:pStyle w:val="Bullet1G"/>
        <w:spacing w:after="60" w:line="220" w:lineRule="exact"/>
        <w:rPr>
          <w:sz w:val="18"/>
          <w:szCs w:val="18"/>
          <w:lang w:val="en-GB"/>
        </w:rPr>
      </w:pPr>
      <w:r w:rsidRPr="00BA6590">
        <w:rPr>
          <w:sz w:val="18"/>
          <w:szCs w:val="18"/>
          <w:lang w:val="en-GB"/>
        </w:rPr>
        <w:t>Members of the informal platform.</w:t>
      </w:r>
    </w:p>
    <w:p w:rsidR="003646F2" w:rsidRPr="00BA6590" w:rsidRDefault="003646F2" w:rsidP="00E42729">
      <w:pPr>
        <w:pStyle w:val="FootnoteText"/>
        <w:widowControl w:val="0"/>
        <w:tabs>
          <w:tab w:val="clear" w:pos="1021"/>
          <w:tab w:val="right" w:pos="1020"/>
        </w:tabs>
        <w:spacing w:after="60"/>
        <w:rPr>
          <w:szCs w:val="18"/>
          <w:lang w:val="en-GB"/>
        </w:rPr>
      </w:pPr>
      <w:r w:rsidRPr="00BA6590">
        <w:rPr>
          <w:szCs w:val="18"/>
          <w:lang w:val="en-GB"/>
        </w:rPr>
        <w:tab/>
      </w:r>
      <w:r w:rsidRPr="00BA6590">
        <w:rPr>
          <w:szCs w:val="18"/>
          <w:lang w:val="en-GB"/>
        </w:rPr>
        <w:tab/>
        <w:t>In 2011:</w:t>
      </w:r>
    </w:p>
    <w:p w:rsidR="003646F2" w:rsidRPr="00BA6590" w:rsidRDefault="003646F2" w:rsidP="00E42729">
      <w:pPr>
        <w:pStyle w:val="Bullet1G"/>
        <w:spacing w:after="60" w:line="220" w:lineRule="exact"/>
        <w:rPr>
          <w:sz w:val="18"/>
          <w:szCs w:val="18"/>
          <w:lang w:val="en-GB"/>
        </w:rPr>
      </w:pPr>
      <w:r w:rsidRPr="00BA6590">
        <w:rPr>
          <w:sz w:val="18"/>
          <w:szCs w:val="18"/>
          <w:lang w:val="en-GB"/>
        </w:rPr>
        <w:t>Head teachers (in the framework of information workshops);</w:t>
      </w:r>
    </w:p>
    <w:p w:rsidR="003646F2" w:rsidRPr="00BA6590" w:rsidRDefault="003646F2" w:rsidP="00E42729">
      <w:pPr>
        <w:pStyle w:val="Bullet1G"/>
        <w:spacing w:after="60" w:line="220" w:lineRule="exact"/>
        <w:rPr>
          <w:sz w:val="18"/>
          <w:szCs w:val="18"/>
          <w:lang w:val="en-GB"/>
        </w:rPr>
      </w:pPr>
      <w:r w:rsidRPr="00BA6590">
        <w:rPr>
          <w:sz w:val="18"/>
          <w:szCs w:val="18"/>
          <w:lang w:val="en-GB"/>
        </w:rPr>
        <w:t>New members of the informal platform;</w:t>
      </w:r>
    </w:p>
    <w:p w:rsidR="003646F2" w:rsidRPr="00BA6590" w:rsidRDefault="003646F2" w:rsidP="00E42729">
      <w:pPr>
        <w:pStyle w:val="Bullet1G"/>
        <w:spacing w:after="60" w:line="220" w:lineRule="exact"/>
        <w:rPr>
          <w:sz w:val="18"/>
          <w:szCs w:val="18"/>
          <w:lang w:val="en-GB"/>
        </w:rPr>
      </w:pPr>
      <w:r w:rsidRPr="00BA6590">
        <w:rPr>
          <w:sz w:val="18"/>
          <w:szCs w:val="18"/>
          <w:lang w:val="en-GB"/>
        </w:rPr>
        <w:t>Agents of the School Assistance Service;</w:t>
      </w:r>
    </w:p>
    <w:p w:rsidR="003646F2" w:rsidRPr="00BA6590" w:rsidRDefault="003646F2" w:rsidP="00B23399">
      <w:pPr>
        <w:pStyle w:val="Bullet1G"/>
        <w:spacing w:after="0" w:line="220" w:lineRule="exact"/>
        <w:rPr>
          <w:sz w:val="18"/>
          <w:szCs w:val="18"/>
          <w:lang w:val="en-GB"/>
        </w:rPr>
      </w:pPr>
      <w:r w:rsidRPr="00BA6590">
        <w:rPr>
          <w:sz w:val="18"/>
          <w:szCs w:val="18"/>
          <w:lang w:val="en-GB"/>
        </w:rPr>
        <w:t>Mediators from the Walloon Region and the Walloon-Brussels Federation and provincial coordinators.</w:t>
      </w:r>
    </w:p>
  </w:footnote>
  <w:footnote w:id="41">
    <w:p w:rsidR="003646F2" w:rsidRPr="00BA6590" w:rsidRDefault="003646F2" w:rsidP="009A262C">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The preventive measures are defined by the Royal Order of 19 June 2012, amending the Royal Order of 8 October 1981 on the Entry, Residence, Settlement and Expulsion of Foreign Nationals and the Royal Order of 20 July 2001 on the staffing and functions of the federal and local police in the framework of supervision of forced return (</w:t>
      </w:r>
      <w:r w:rsidRPr="00BA6590">
        <w:rPr>
          <w:i/>
          <w:szCs w:val="18"/>
          <w:lang w:val="en-GB"/>
        </w:rPr>
        <w:t>Moniteur belge</w:t>
      </w:r>
      <w:r w:rsidRPr="00BA6590">
        <w:rPr>
          <w:szCs w:val="18"/>
          <w:lang w:val="en-GB"/>
        </w:rPr>
        <w:t xml:space="preserve">, 2 July 2012). Under that Order, the Minister or his or her representative may require the foreign national concerned to report regularly to the competent authorities, deposit an appropriate financial guarantee and provide copies of his or her identity documents. These preventive measures are taken on an individual basis and may be cumulative. </w:t>
      </w:r>
    </w:p>
  </w:footnote>
  <w:footnote w:id="42">
    <w:p w:rsidR="003646F2" w:rsidRPr="00BA6590" w:rsidRDefault="003646F2" w:rsidP="00B23399">
      <w:pPr>
        <w:pStyle w:val="FootnoteText"/>
        <w:widowControl w:val="0"/>
        <w:tabs>
          <w:tab w:val="clear" w:pos="1021"/>
          <w:tab w:val="right" w:pos="1020"/>
        </w:tabs>
        <w:spacing w:after="60"/>
        <w:rPr>
          <w:szCs w:val="18"/>
          <w:lang w:val="en-GB"/>
        </w:rPr>
      </w:pPr>
      <w:r w:rsidRPr="00BA6590">
        <w:rPr>
          <w:szCs w:val="18"/>
          <w:lang w:val="en-GB"/>
        </w:rPr>
        <w:tab/>
      </w:r>
      <w:r w:rsidRPr="00BA6590">
        <w:rPr>
          <w:rStyle w:val="FootnoteReference"/>
          <w:szCs w:val="18"/>
          <w:lang w:val="en-GB"/>
        </w:rPr>
        <w:footnoteRef/>
      </w:r>
      <w:r>
        <w:rPr>
          <w:szCs w:val="18"/>
          <w:lang w:val="en-GB"/>
        </w:rPr>
        <w:tab/>
        <w:t xml:space="preserve">1. </w:t>
      </w:r>
      <w:r w:rsidRPr="00BA6590">
        <w:rPr>
          <w:szCs w:val="18"/>
          <w:lang w:val="en-GB"/>
        </w:rPr>
        <w:t xml:space="preserve">There is a flight risk, or </w:t>
      </w:r>
    </w:p>
    <w:p w:rsidR="003646F2" w:rsidRPr="00BA6590" w:rsidRDefault="003646F2" w:rsidP="00B23399">
      <w:pPr>
        <w:pStyle w:val="FootnoteText"/>
        <w:widowControl w:val="0"/>
        <w:tabs>
          <w:tab w:val="clear" w:pos="1021"/>
          <w:tab w:val="right" w:pos="1020"/>
        </w:tabs>
        <w:spacing w:after="60"/>
        <w:rPr>
          <w:szCs w:val="18"/>
          <w:lang w:val="en-GB"/>
        </w:rPr>
      </w:pPr>
      <w:r>
        <w:rPr>
          <w:szCs w:val="18"/>
          <w:lang w:val="en-GB"/>
        </w:rPr>
        <w:tab/>
      </w:r>
      <w:r>
        <w:rPr>
          <w:szCs w:val="18"/>
          <w:lang w:val="en-GB"/>
        </w:rPr>
        <w:tab/>
        <w:t xml:space="preserve">2. </w:t>
      </w:r>
      <w:r w:rsidRPr="00BA6590">
        <w:rPr>
          <w:szCs w:val="18"/>
          <w:lang w:val="en-GB"/>
        </w:rPr>
        <w:t>The third-State national has failed to comply with the preventive measure imposed, or</w:t>
      </w:r>
    </w:p>
    <w:p w:rsidR="003646F2" w:rsidRPr="00BA6590" w:rsidRDefault="003646F2" w:rsidP="00B23399">
      <w:pPr>
        <w:pStyle w:val="FootnoteText"/>
        <w:widowControl w:val="0"/>
        <w:tabs>
          <w:tab w:val="clear" w:pos="1021"/>
          <w:tab w:val="right" w:pos="1020"/>
        </w:tabs>
        <w:spacing w:after="60"/>
        <w:rPr>
          <w:szCs w:val="18"/>
          <w:lang w:val="en-GB"/>
        </w:rPr>
      </w:pPr>
      <w:r>
        <w:rPr>
          <w:szCs w:val="18"/>
          <w:lang w:val="en-GB"/>
        </w:rPr>
        <w:tab/>
      </w:r>
      <w:r>
        <w:rPr>
          <w:szCs w:val="18"/>
          <w:lang w:val="en-GB"/>
        </w:rPr>
        <w:tab/>
        <w:t xml:space="preserve">3. </w:t>
      </w:r>
      <w:r w:rsidRPr="00BA6590">
        <w:rPr>
          <w:szCs w:val="18"/>
          <w:lang w:val="en-GB"/>
        </w:rPr>
        <w:t>The third-State national represents a danger to public order and national security, or</w:t>
      </w:r>
    </w:p>
    <w:p w:rsidR="003646F2" w:rsidRPr="00BA6590" w:rsidRDefault="003646F2" w:rsidP="00B23399">
      <w:pPr>
        <w:pStyle w:val="FootnoteText"/>
        <w:widowControl w:val="0"/>
        <w:tabs>
          <w:tab w:val="clear" w:pos="1021"/>
          <w:tab w:val="right" w:pos="1020"/>
        </w:tabs>
        <w:spacing w:after="60"/>
        <w:rPr>
          <w:szCs w:val="18"/>
          <w:lang w:val="en-GB"/>
        </w:rPr>
      </w:pPr>
      <w:r>
        <w:rPr>
          <w:szCs w:val="18"/>
          <w:lang w:val="en-GB"/>
        </w:rPr>
        <w:tab/>
      </w:r>
      <w:r>
        <w:rPr>
          <w:szCs w:val="18"/>
          <w:lang w:val="en-GB"/>
        </w:rPr>
        <w:tab/>
        <w:t xml:space="preserve">4. </w:t>
      </w:r>
      <w:r w:rsidRPr="00BA6590">
        <w:rPr>
          <w:szCs w:val="18"/>
          <w:lang w:val="en-GB"/>
        </w:rPr>
        <w:t>The third-State national has failed to comply with the deadline associated with a previous deportation order, or</w:t>
      </w:r>
    </w:p>
    <w:p w:rsidR="003646F2" w:rsidRPr="00BA6590" w:rsidRDefault="003646F2" w:rsidP="00B23399">
      <w:pPr>
        <w:pStyle w:val="FootnoteText"/>
        <w:widowControl w:val="0"/>
        <w:tabs>
          <w:tab w:val="clear" w:pos="1021"/>
          <w:tab w:val="right" w:pos="1020"/>
        </w:tabs>
        <w:spacing w:after="60"/>
        <w:rPr>
          <w:szCs w:val="18"/>
          <w:lang w:val="en-GB"/>
        </w:rPr>
      </w:pPr>
      <w:r>
        <w:rPr>
          <w:szCs w:val="18"/>
          <w:lang w:val="en-GB"/>
        </w:rPr>
        <w:tab/>
      </w:r>
      <w:r>
        <w:rPr>
          <w:szCs w:val="18"/>
          <w:lang w:val="en-GB"/>
        </w:rPr>
        <w:tab/>
        <w:t xml:space="preserve">5. </w:t>
      </w:r>
      <w:r w:rsidRPr="00BA6590">
        <w:rPr>
          <w:szCs w:val="18"/>
          <w:lang w:val="en-GB"/>
        </w:rPr>
        <w:t>The foreign national</w:t>
      </w:r>
      <w:r w:rsidRPr="00BA6590">
        <w:rPr>
          <w:lang w:val="en-GB"/>
        </w:rPr>
        <w:t>’</w:t>
      </w:r>
      <w:r w:rsidRPr="00BA6590">
        <w:rPr>
          <w:szCs w:val="18"/>
          <w:lang w:val="en-GB"/>
        </w:rPr>
        <w:t>s stay in Belgium has been terminated pu</w:t>
      </w:r>
      <w:r>
        <w:rPr>
          <w:szCs w:val="18"/>
          <w:lang w:val="en-GB"/>
        </w:rPr>
        <w:t>rsuant to article 11, paragraph </w:t>
      </w:r>
      <w:r w:rsidRPr="00BA6590">
        <w:rPr>
          <w:szCs w:val="18"/>
          <w:lang w:val="en-GB"/>
        </w:rPr>
        <w:t>2.4, article 13, paragraph 2</w:t>
      </w:r>
      <w:r w:rsidRPr="00BA6590">
        <w:rPr>
          <w:i/>
          <w:szCs w:val="18"/>
          <w:lang w:val="en-GB"/>
        </w:rPr>
        <w:t>bis</w:t>
      </w:r>
      <w:r w:rsidRPr="00BA6590">
        <w:rPr>
          <w:szCs w:val="18"/>
          <w:lang w:val="en-GB"/>
        </w:rPr>
        <w:t>, paragraph 3.3, paragraph 4.5 or paragraph 5, or article 18, paragraph 2, or</w:t>
      </w:r>
    </w:p>
    <w:p w:rsidR="003646F2" w:rsidRPr="00BA6590" w:rsidRDefault="003646F2" w:rsidP="00D353A7">
      <w:pPr>
        <w:pStyle w:val="FootnoteText"/>
        <w:widowControl w:val="0"/>
        <w:tabs>
          <w:tab w:val="clear" w:pos="1021"/>
          <w:tab w:val="right" w:pos="1020"/>
        </w:tabs>
        <w:rPr>
          <w:szCs w:val="18"/>
          <w:lang w:val="en-GB"/>
        </w:rPr>
      </w:pPr>
      <w:r>
        <w:rPr>
          <w:szCs w:val="18"/>
          <w:lang w:val="en-GB"/>
        </w:rPr>
        <w:tab/>
      </w:r>
      <w:r>
        <w:rPr>
          <w:szCs w:val="18"/>
          <w:lang w:val="en-GB"/>
        </w:rPr>
        <w:tab/>
        <w:t xml:space="preserve">6. </w:t>
      </w:r>
      <w:r w:rsidRPr="00BA6590">
        <w:rPr>
          <w:szCs w:val="18"/>
          <w:lang w:val="en-GB"/>
        </w:rPr>
        <w:t xml:space="preserve">The third-State national has lodged more than two asylum requests, unless there are new elements in his application. In this case, the deportation decision provides for no deadline or a deadline of less than seven days. </w:t>
      </w:r>
    </w:p>
  </w:footnote>
  <w:footnote w:id="43">
    <w:p w:rsidR="003646F2" w:rsidRPr="00BA6590" w:rsidRDefault="003646F2" w:rsidP="009A262C">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 xml:space="preserve">Council Regulation No. 343/2003 of 18 February 2003 establishing the criteria and mechanisms for determining the member State responsible for examining an asylum application lodged in one of the member States by a third-country national. </w:t>
      </w:r>
    </w:p>
  </w:footnote>
  <w:footnote w:id="44">
    <w:p w:rsidR="003646F2" w:rsidRPr="00BA6590" w:rsidRDefault="003646F2" w:rsidP="00792E9E">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This directive provides common standards and procedures applicable in the member States to the return of undocumented third-State nationals.</w:t>
      </w:r>
    </w:p>
  </w:footnote>
  <w:footnote w:id="45">
    <w:p w:rsidR="003646F2" w:rsidRPr="00BA6590" w:rsidRDefault="003646F2" w:rsidP="00792E9E">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Until this point, while Committee P also monitored repatriations, its power of intervention was limited; in 2004, the Minister also monitored repatriations, but his or her powers were limited because, until 2004, the Minister of the Interior had specificially entrusted that task to the inspectorate of federal and local police forces.</w:t>
      </w:r>
    </w:p>
  </w:footnote>
  <w:footnote w:id="46">
    <w:p w:rsidR="003646F2" w:rsidRPr="00BA6590" w:rsidRDefault="003646F2" w:rsidP="00792E9E">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The figures for checks conducted by the inspectorate of federal and local police forces for the previous years are 36 in 2007, 18 in 2008, 17 in 2009 and 12 in 2010.</w:t>
      </w:r>
    </w:p>
  </w:footnote>
  <w:footnote w:id="47">
    <w:p w:rsidR="003646F2" w:rsidRPr="00BA6590" w:rsidRDefault="003646F2" w:rsidP="00792E9E">
      <w:pPr>
        <w:pStyle w:val="FootnoteText"/>
        <w:widowControl w:val="0"/>
        <w:tabs>
          <w:tab w:val="clear" w:pos="1021"/>
          <w:tab w:val="right" w:pos="1020"/>
        </w:tabs>
        <w:rPr>
          <w:szCs w:val="18"/>
          <w:lang w:val="en-GB"/>
        </w:rPr>
      </w:pPr>
      <w:r w:rsidRPr="00BA6590">
        <w:rPr>
          <w:szCs w:val="18"/>
          <w:lang w:val="en-GB"/>
        </w:rPr>
        <w:tab/>
      </w:r>
      <w:r w:rsidRPr="00BA6590">
        <w:rPr>
          <w:rStyle w:val="FootnoteReference"/>
          <w:szCs w:val="18"/>
          <w:lang w:val="en-GB"/>
        </w:rPr>
        <w:footnoteRef/>
      </w:r>
      <w:r w:rsidRPr="00BA6590">
        <w:rPr>
          <w:szCs w:val="18"/>
          <w:lang w:val="en-GB"/>
        </w:rPr>
        <w:tab/>
        <w:t>In accordance with the jurisprudence of the European Court of Human Rights, this balancing must take account of the following: (1) in relation to the protection of private and family life, the level of social integration and the presence of family members in Belgium, as well as the strength of family ties, the foreign national</w:t>
      </w:r>
      <w:r w:rsidRPr="00BA6590">
        <w:rPr>
          <w:lang w:val="en-GB"/>
        </w:rPr>
        <w:t>’</w:t>
      </w:r>
      <w:r w:rsidRPr="00BA6590">
        <w:rPr>
          <w:szCs w:val="18"/>
          <w:lang w:val="en-GB"/>
        </w:rPr>
        <w:t xml:space="preserve">s birth in Belgium or the date of his or her arrival, the possibility of integration in the country of origin (for example, his or her knowledge of the language, the presence of family members and the frequency of past returns) and links with that or another country; (2) in relation to the protection of public order and national security, the seriousness of the offence, the nature of the acts allegedly committed and the reasons for the verdict, the nature and significance of the sentence passed, repeat offending and the risk thereof, the duration of the expulsion measure (in Belgium, </w:t>
      </w:r>
      <w:r>
        <w:rPr>
          <w:szCs w:val="18"/>
          <w:lang w:val="en-GB"/>
        </w:rPr>
        <w:t xml:space="preserve">ten </w:t>
      </w:r>
      <w:r w:rsidRPr="00BA6590">
        <w:rPr>
          <w:szCs w:val="18"/>
          <w:lang w:val="en-GB"/>
        </w:rPr>
        <w:t xml:space="preserve">years), and illegal residence.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2" w:rsidRDefault="003646F2" w:rsidP="00D66B01">
    <w:pPr>
      <w:pStyle w:val="Header"/>
    </w:pPr>
    <w:r>
      <w:t>CERD/C/BEL/16-19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2" w:rsidRDefault="003646F2" w:rsidP="00D66B01">
    <w:pPr>
      <w:pStyle w:val="Header"/>
      <w:jc w:val="right"/>
    </w:pPr>
    <w:r>
      <w:t>CERD/C/BEL/16-19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51C659CD"/>
    <w:multiLevelType w:val="multilevel"/>
    <w:tmpl w:val="D7D4790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
    <w:nsid w:val="56471D2A"/>
    <w:multiLevelType w:val="hybridMultilevel"/>
    <w:tmpl w:val="31201B2C"/>
    <w:lvl w:ilvl="0" w:tplc="66A2D37A">
      <w:start w:val="1"/>
      <w:numFmt w:val="bullet"/>
      <w:lvlText w:val=""/>
      <w:lvlJc w:val="left"/>
      <w:pPr>
        <w:tabs>
          <w:tab w:val="num" w:pos="1891"/>
        </w:tabs>
        <w:ind w:left="1891" w:hanging="360"/>
      </w:pPr>
      <w:rPr>
        <w:rFonts w:ascii="Symbol" w:hAnsi="Symbol"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9EE"/>
    <w:rsid w:val="00001E3B"/>
    <w:rsid w:val="000038B6"/>
    <w:rsid w:val="000073C5"/>
    <w:rsid w:val="0001563B"/>
    <w:rsid w:val="00016329"/>
    <w:rsid w:val="00016AC5"/>
    <w:rsid w:val="000230B9"/>
    <w:rsid w:val="00023CFF"/>
    <w:rsid w:val="000269C4"/>
    <w:rsid w:val="00026F2E"/>
    <w:rsid w:val="000277C3"/>
    <w:rsid w:val="00030286"/>
    <w:rsid w:val="0003107C"/>
    <w:rsid w:val="00031B50"/>
    <w:rsid w:val="00033F29"/>
    <w:rsid w:val="00034DA1"/>
    <w:rsid w:val="00035700"/>
    <w:rsid w:val="0003588F"/>
    <w:rsid w:val="00035A1B"/>
    <w:rsid w:val="000364CF"/>
    <w:rsid w:val="0003699E"/>
    <w:rsid w:val="00042A86"/>
    <w:rsid w:val="00043DF2"/>
    <w:rsid w:val="00046333"/>
    <w:rsid w:val="00046DE9"/>
    <w:rsid w:val="000539DC"/>
    <w:rsid w:val="00054609"/>
    <w:rsid w:val="0005477F"/>
    <w:rsid w:val="00057970"/>
    <w:rsid w:val="00061475"/>
    <w:rsid w:val="00067A59"/>
    <w:rsid w:val="00072127"/>
    <w:rsid w:val="00074BF4"/>
    <w:rsid w:val="0007515B"/>
    <w:rsid w:val="0007533F"/>
    <w:rsid w:val="00077091"/>
    <w:rsid w:val="00087132"/>
    <w:rsid w:val="00087791"/>
    <w:rsid w:val="00095B14"/>
    <w:rsid w:val="00096FE0"/>
    <w:rsid w:val="00097ADA"/>
    <w:rsid w:val="000A0E37"/>
    <w:rsid w:val="000A3679"/>
    <w:rsid w:val="000A6F55"/>
    <w:rsid w:val="000B0A40"/>
    <w:rsid w:val="000B47CE"/>
    <w:rsid w:val="000B518E"/>
    <w:rsid w:val="000B5D7C"/>
    <w:rsid w:val="000D2969"/>
    <w:rsid w:val="000D298B"/>
    <w:rsid w:val="000D337F"/>
    <w:rsid w:val="000D416E"/>
    <w:rsid w:val="000E0FAD"/>
    <w:rsid w:val="000E519D"/>
    <w:rsid w:val="000E52EA"/>
    <w:rsid w:val="000E7455"/>
    <w:rsid w:val="000E7579"/>
    <w:rsid w:val="000E7F1A"/>
    <w:rsid w:val="000F0FFB"/>
    <w:rsid w:val="000F112F"/>
    <w:rsid w:val="000F261A"/>
    <w:rsid w:val="000F2A13"/>
    <w:rsid w:val="000F41F2"/>
    <w:rsid w:val="000F5649"/>
    <w:rsid w:val="000F67E2"/>
    <w:rsid w:val="001019A5"/>
    <w:rsid w:val="00101AD2"/>
    <w:rsid w:val="0010242E"/>
    <w:rsid w:val="00106DCA"/>
    <w:rsid w:val="00110846"/>
    <w:rsid w:val="00112E11"/>
    <w:rsid w:val="001146D5"/>
    <w:rsid w:val="0011477B"/>
    <w:rsid w:val="00114F74"/>
    <w:rsid w:val="00115ED4"/>
    <w:rsid w:val="00117EE6"/>
    <w:rsid w:val="001208B8"/>
    <w:rsid w:val="001231AD"/>
    <w:rsid w:val="00134713"/>
    <w:rsid w:val="00135BE0"/>
    <w:rsid w:val="00140CDD"/>
    <w:rsid w:val="0014172F"/>
    <w:rsid w:val="00141C3B"/>
    <w:rsid w:val="00143DBC"/>
    <w:rsid w:val="001450E6"/>
    <w:rsid w:val="001468DE"/>
    <w:rsid w:val="00147647"/>
    <w:rsid w:val="00150465"/>
    <w:rsid w:val="001525A2"/>
    <w:rsid w:val="00154227"/>
    <w:rsid w:val="0015483F"/>
    <w:rsid w:val="00155ACA"/>
    <w:rsid w:val="00156825"/>
    <w:rsid w:val="00160312"/>
    <w:rsid w:val="00160540"/>
    <w:rsid w:val="00161407"/>
    <w:rsid w:val="00163B55"/>
    <w:rsid w:val="00172174"/>
    <w:rsid w:val="00173BAC"/>
    <w:rsid w:val="00174147"/>
    <w:rsid w:val="001779EE"/>
    <w:rsid w:val="0018075F"/>
    <w:rsid w:val="00181881"/>
    <w:rsid w:val="00192167"/>
    <w:rsid w:val="00192EEB"/>
    <w:rsid w:val="00194B98"/>
    <w:rsid w:val="001964A4"/>
    <w:rsid w:val="00196D87"/>
    <w:rsid w:val="00197832"/>
    <w:rsid w:val="001A20FB"/>
    <w:rsid w:val="001A2231"/>
    <w:rsid w:val="001A5260"/>
    <w:rsid w:val="001A5D0D"/>
    <w:rsid w:val="001B0404"/>
    <w:rsid w:val="001B2D82"/>
    <w:rsid w:val="001B3867"/>
    <w:rsid w:val="001B5371"/>
    <w:rsid w:val="001B59ED"/>
    <w:rsid w:val="001C0B51"/>
    <w:rsid w:val="001C11B2"/>
    <w:rsid w:val="001D0487"/>
    <w:rsid w:val="001D0948"/>
    <w:rsid w:val="001D6A9D"/>
    <w:rsid w:val="001D72C5"/>
    <w:rsid w:val="001D77E4"/>
    <w:rsid w:val="001D7F8A"/>
    <w:rsid w:val="001E3FEB"/>
    <w:rsid w:val="001E4A02"/>
    <w:rsid w:val="001E7126"/>
    <w:rsid w:val="001E7F89"/>
    <w:rsid w:val="001F12A7"/>
    <w:rsid w:val="001F388E"/>
    <w:rsid w:val="001F3CAB"/>
    <w:rsid w:val="001F550A"/>
    <w:rsid w:val="00204BC1"/>
    <w:rsid w:val="00206542"/>
    <w:rsid w:val="00206BBF"/>
    <w:rsid w:val="00207C83"/>
    <w:rsid w:val="00210434"/>
    <w:rsid w:val="00210CC5"/>
    <w:rsid w:val="00210F75"/>
    <w:rsid w:val="002133AE"/>
    <w:rsid w:val="00216098"/>
    <w:rsid w:val="0021611B"/>
    <w:rsid w:val="00216546"/>
    <w:rsid w:val="00217D1F"/>
    <w:rsid w:val="0022124E"/>
    <w:rsid w:val="00221F24"/>
    <w:rsid w:val="00224099"/>
    <w:rsid w:val="00225A8C"/>
    <w:rsid w:val="00227261"/>
    <w:rsid w:val="00227714"/>
    <w:rsid w:val="00230897"/>
    <w:rsid w:val="00230EF3"/>
    <w:rsid w:val="00231488"/>
    <w:rsid w:val="00231E91"/>
    <w:rsid w:val="002341D9"/>
    <w:rsid w:val="00236121"/>
    <w:rsid w:val="0023663A"/>
    <w:rsid w:val="002377B0"/>
    <w:rsid w:val="002409EB"/>
    <w:rsid w:val="002420F6"/>
    <w:rsid w:val="00247A6E"/>
    <w:rsid w:val="00250402"/>
    <w:rsid w:val="002506BC"/>
    <w:rsid w:val="00252FF3"/>
    <w:rsid w:val="0025386E"/>
    <w:rsid w:val="002554EB"/>
    <w:rsid w:val="00260539"/>
    <w:rsid w:val="00260DC1"/>
    <w:rsid w:val="002626D4"/>
    <w:rsid w:val="0026592D"/>
    <w:rsid w:val="002659F1"/>
    <w:rsid w:val="00265CD7"/>
    <w:rsid w:val="002667E2"/>
    <w:rsid w:val="0026770C"/>
    <w:rsid w:val="002720A4"/>
    <w:rsid w:val="002739F3"/>
    <w:rsid w:val="0027541F"/>
    <w:rsid w:val="00277FCD"/>
    <w:rsid w:val="00280088"/>
    <w:rsid w:val="00280E21"/>
    <w:rsid w:val="002810CD"/>
    <w:rsid w:val="00282771"/>
    <w:rsid w:val="00282E71"/>
    <w:rsid w:val="00284EB0"/>
    <w:rsid w:val="00285E61"/>
    <w:rsid w:val="00287E79"/>
    <w:rsid w:val="002906FB"/>
    <w:rsid w:val="00291398"/>
    <w:rsid w:val="002928F9"/>
    <w:rsid w:val="00294EC3"/>
    <w:rsid w:val="002A135E"/>
    <w:rsid w:val="002A5D07"/>
    <w:rsid w:val="002A699C"/>
    <w:rsid w:val="002B23A0"/>
    <w:rsid w:val="002B5C73"/>
    <w:rsid w:val="002B7001"/>
    <w:rsid w:val="002C0108"/>
    <w:rsid w:val="002C1155"/>
    <w:rsid w:val="002D063C"/>
    <w:rsid w:val="002D3F03"/>
    <w:rsid w:val="002D3F08"/>
    <w:rsid w:val="002D48F1"/>
    <w:rsid w:val="002D4941"/>
    <w:rsid w:val="002D5A09"/>
    <w:rsid w:val="002D6AC7"/>
    <w:rsid w:val="002E0D40"/>
    <w:rsid w:val="002E1CD1"/>
    <w:rsid w:val="002E312D"/>
    <w:rsid w:val="002E3562"/>
    <w:rsid w:val="002E3B51"/>
    <w:rsid w:val="002E58B3"/>
    <w:rsid w:val="002E5B0C"/>
    <w:rsid w:val="002E6DFC"/>
    <w:rsid w:val="002E706C"/>
    <w:rsid w:val="002E7D13"/>
    <w:rsid w:val="002F075A"/>
    <w:rsid w:val="002F0932"/>
    <w:rsid w:val="002F0BE7"/>
    <w:rsid w:val="002F1846"/>
    <w:rsid w:val="002F281A"/>
    <w:rsid w:val="002F36A8"/>
    <w:rsid w:val="002F4F1E"/>
    <w:rsid w:val="002F5AF2"/>
    <w:rsid w:val="002F5CD1"/>
    <w:rsid w:val="002F72B5"/>
    <w:rsid w:val="002F72D9"/>
    <w:rsid w:val="00300D06"/>
    <w:rsid w:val="0030160E"/>
    <w:rsid w:val="003016B7"/>
    <w:rsid w:val="00302C61"/>
    <w:rsid w:val="003057DC"/>
    <w:rsid w:val="0030596B"/>
    <w:rsid w:val="00306FF8"/>
    <w:rsid w:val="00307147"/>
    <w:rsid w:val="003078A4"/>
    <w:rsid w:val="00307DD1"/>
    <w:rsid w:val="00310300"/>
    <w:rsid w:val="003114DE"/>
    <w:rsid w:val="0031171E"/>
    <w:rsid w:val="00312809"/>
    <w:rsid w:val="003160C1"/>
    <w:rsid w:val="00320F02"/>
    <w:rsid w:val="00321B5D"/>
    <w:rsid w:val="00321C1D"/>
    <w:rsid w:val="00322EE0"/>
    <w:rsid w:val="0032348E"/>
    <w:rsid w:val="0032578F"/>
    <w:rsid w:val="00326E3D"/>
    <w:rsid w:val="003309E8"/>
    <w:rsid w:val="00331755"/>
    <w:rsid w:val="00332C85"/>
    <w:rsid w:val="00333920"/>
    <w:rsid w:val="00333E83"/>
    <w:rsid w:val="003344D2"/>
    <w:rsid w:val="003349FA"/>
    <w:rsid w:val="00336CD3"/>
    <w:rsid w:val="0034223A"/>
    <w:rsid w:val="00350017"/>
    <w:rsid w:val="003515AA"/>
    <w:rsid w:val="00355122"/>
    <w:rsid w:val="00360878"/>
    <w:rsid w:val="00363A3C"/>
    <w:rsid w:val="0036402B"/>
    <w:rsid w:val="003646F2"/>
    <w:rsid w:val="00365BC8"/>
    <w:rsid w:val="00373177"/>
    <w:rsid w:val="00374106"/>
    <w:rsid w:val="003741EA"/>
    <w:rsid w:val="00375792"/>
    <w:rsid w:val="00377C45"/>
    <w:rsid w:val="00377E3C"/>
    <w:rsid w:val="00385939"/>
    <w:rsid w:val="00391C8F"/>
    <w:rsid w:val="00396653"/>
    <w:rsid w:val="003976D5"/>
    <w:rsid w:val="003A1F7C"/>
    <w:rsid w:val="003A2AB6"/>
    <w:rsid w:val="003A6078"/>
    <w:rsid w:val="003A6729"/>
    <w:rsid w:val="003A719B"/>
    <w:rsid w:val="003B02C2"/>
    <w:rsid w:val="003B0711"/>
    <w:rsid w:val="003B61F7"/>
    <w:rsid w:val="003C1DAA"/>
    <w:rsid w:val="003C2B35"/>
    <w:rsid w:val="003C37F4"/>
    <w:rsid w:val="003C7FA3"/>
    <w:rsid w:val="003D0859"/>
    <w:rsid w:val="003D21E1"/>
    <w:rsid w:val="003D30DE"/>
    <w:rsid w:val="003D6C68"/>
    <w:rsid w:val="003E4735"/>
    <w:rsid w:val="003E640D"/>
    <w:rsid w:val="003E6A61"/>
    <w:rsid w:val="003F1F91"/>
    <w:rsid w:val="003F3EB6"/>
    <w:rsid w:val="003F4A18"/>
    <w:rsid w:val="003F5404"/>
    <w:rsid w:val="003F5E21"/>
    <w:rsid w:val="003F636E"/>
    <w:rsid w:val="003F6AAD"/>
    <w:rsid w:val="004013C6"/>
    <w:rsid w:val="00401B92"/>
    <w:rsid w:val="004072A7"/>
    <w:rsid w:val="004117BD"/>
    <w:rsid w:val="0041590D"/>
    <w:rsid w:val="004159D0"/>
    <w:rsid w:val="00417290"/>
    <w:rsid w:val="00420878"/>
    <w:rsid w:val="00420FF7"/>
    <w:rsid w:val="00422D4F"/>
    <w:rsid w:val="00424B04"/>
    <w:rsid w:val="0043043F"/>
    <w:rsid w:val="0043123F"/>
    <w:rsid w:val="00432228"/>
    <w:rsid w:val="00433B47"/>
    <w:rsid w:val="004348F9"/>
    <w:rsid w:val="00437A11"/>
    <w:rsid w:val="004407BD"/>
    <w:rsid w:val="004429D2"/>
    <w:rsid w:val="00447964"/>
    <w:rsid w:val="00452D11"/>
    <w:rsid w:val="00454A0D"/>
    <w:rsid w:val="00454F79"/>
    <w:rsid w:val="00455DD6"/>
    <w:rsid w:val="00456BF9"/>
    <w:rsid w:val="00457A90"/>
    <w:rsid w:val="00463410"/>
    <w:rsid w:val="00463E9E"/>
    <w:rsid w:val="0047127A"/>
    <w:rsid w:val="00471A83"/>
    <w:rsid w:val="0047211B"/>
    <w:rsid w:val="00472145"/>
    <w:rsid w:val="004722FA"/>
    <w:rsid w:val="00472373"/>
    <w:rsid w:val="00482A68"/>
    <w:rsid w:val="00484988"/>
    <w:rsid w:val="0049045C"/>
    <w:rsid w:val="00495FCD"/>
    <w:rsid w:val="004961E9"/>
    <w:rsid w:val="00497A4F"/>
    <w:rsid w:val="004A0BF5"/>
    <w:rsid w:val="004A11DC"/>
    <w:rsid w:val="004A3553"/>
    <w:rsid w:val="004A6956"/>
    <w:rsid w:val="004A7917"/>
    <w:rsid w:val="004A7FED"/>
    <w:rsid w:val="004B158E"/>
    <w:rsid w:val="004B211F"/>
    <w:rsid w:val="004B472D"/>
    <w:rsid w:val="004B59C8"/>
    <w:rsid w:val="004B7C04"/>
    <w:rsid w:val="004C0053"/>
    <w:rsid w:val="004C0723"/>
    <w:rsid w:val="004C0E7E"/>
    <w:rsid w:val="004C4241"/>
    <w:rsid w:val="004D2DDA"/>
    <w:rsid w:val="004D4050"/>
    <w:rsid w:val="004D5BEF"/>
    <w:rsid w:val="004E02AE"/>
    <w:rsid w:val="004E0635"/>
    <w:rsid w:val="004E090E"/>
    <w:rsid w:val="004E2E83"/>
    <w:rsid w:val="004E6654"/>
    <w:rsid w:val="004E6E1B"/>
    <w:rsid w:val="004F292F"/>
    <w:rsid w:val="004F4861"/>
    <w:rsid w:val="004F521D"/>
    <w:rsid w:val="004F5243"/>
    <w:rsid w:val="004F54EC"/>
    <w:rsid w:val="004F61D2"/>
    <w:rsid w:val="004F64AC"/>
    <w:rsid w:val="004F763F"/>
    <w:rsid w:val="005011B0"/>
    <w:rsid w:val="00507345"/>
    <w:rsid w:val="005076F3"/>
    <w:rsid w:val="00507E27"/>
    <w:rsid w:val="00511F7C"/>
    <w:rsid w:val="00515080"/>
    <w:rsid w:val="00515485"/>
    <w:rsid w:val="0051578C"/>
    <w:rsid w:val="00516E8F"/>
    <w:rsid w:val="0052469D"/>
    <w:rsid w:val="005259AE"/>
    <w:rsid w:val="005260A3"/>
    <w:rsid w:val="00526ADC"/>
    <w:rsid w:val="00526C21"/>
    <w:rsid w:val="005303DC"/>
    <w:rsid w:val="00530943"/>
    <w:rsid w:val="00532015"/>
    <w:rsid w:val="005333BD"/>
    <w:rsid w:val="0054009B"/>
    <w:rsid w:val="00540389"/>
    <w:rsid w:val="00541F4C"/>
    <w:rsid w:val="0054290A"/>
    <w:rsid w:val="00542F0C"/>
    <w:rsid w:val="00543D5E"/>
    <w:rsid w:val="005470C9"/>
    <w:rsid w:val="00547223"/>
    <w:rsid w:val="005558E9"/>
    <w:rsid w:val="00560201"/>
    <w:rsid w:val="0056058E"/>
    <w:rsid w:val="005623B4"/>
    <w:rsid w:val="005634AF"/>
    <w:rsid w:val="005636CE"/>
    <w:rsid w:val="00565AEE"/>
    <w:rsid w:val="00571F41"/>
    <w:rsid w:val="005726D0"/>
    <w:rsid w:val="00574C53"/>
    <w:rsid w:val="00575C6C"/>
    <w:rsid w:val="00575C85"/>
    <w:rsid w:val="00576C68"/>
    <w:rsid w:val="00580E71"/>
    <w:rsid w:val="00585534"/>
    <w:rsid w:val="00590B85"/>
    <w:rsid w:val="00593658"/>
    <w:rsid w:val="00593AEC"/>
    <w:rsid w:val="0059676B"/>
    <w:rsid w:val="00596870"/>
    <w:rsid w:val="005A0065"/>
    <w:rsid w:val="005A407D"/>
    <w:rsid w:val="005A4280"/>
    <w:rsid w:val="005A778F"/>
    <w:rsid w:val="005B58FB"/>
    <w:rsid w:val="005C12DF"/>
    <w:rsid w:val="005C2561"/>
    <w:rsid w:val="005C2A9A"/>
    <w:rsid w:val="005C46D1"/>
    <w:rsid w:val="005C5AD6"/>
    <w:rsid w:val="005D5ADD"/>
    <w:rsid w:val="005D71BB"/>
    <w:rsid w:val="005D74C9"/>
    <w:rsid w:val="005D7529"/>
    <w:rsid w:val="005E04F8"/>
    <w:rsid w:val="005E5D1F"/>
    <w:rsid w:val="005E69EC"/>
    <w:rsid w:val="005F042E"/>
    <w:rsid w:val="005F073C"/>
    <w:rsid w:val="005F2A96"/>
    <w:rsid w:val="005F2C5A"/>
    <w:rsid w:val="005F51A4"/>
    <w:rsid w:val="005F5CBC"/>
    <w:rsid w:val="0060064D"/>
    <w:rsid w:val="006034FC"/>
    <w:rsid w:val="00603FEF"/>
    <w:rsid w:val="00604511"/>
    <w:rsid w:val="006072EC"/>
    <w:rsid w:val="00607E00"/>
    <w:rsid w:val="0061037F"/>
    <w:rsid w:val="00610EB9"/>
    <w:rsid w:val="00611D27"/>
    <w:rsid w:val="00611D43"/>
    <w:rsid w:val="00612BCC"/>
    <w:rsid w:val="00612D48"/>
    <w:rsid w:val="006132AD"/>
    <w:rsid w:val="00616B45"/>
    <w:rsid w:val="00617E8D"/>
    <w:rsid w:val="006214DC"/>
    <w:rsid w:val="006229D6"/>
    <w:rsid w:val="0062574A"/>
    <w:rsid w:val="00626A99"/>
    <w:rsid w:val="00627CC2"/>
    <w:rsid w:val="00630D9B"/>
    <w:rsid w:val="006312CB"/>
    <w:rsid w:val="00631953"/>
    <w:rsid w:val="0063241B"/>
    <w:rsid w:val="006332F4"/>
    <w:rsid w:val="006358D3"/>
    <w:rsid w:val="00637524"/>
    <w:rsid w:val="006402E2"/>
    <w:rsid w:val="006411D2"/>
    <w:rsid w:val="006424E4"/>
    <w:rsid w:val="00643311"/>
    <w:rsid w:val="006439EC"/>
    <w:rsid w:val="00643F9D"/>
    <w:rsid w:val="00644148"/>
    <w:rsid w:val="006447F1"/>
    <w:rsid w:val="0065136A"/>
    <w:rsid w:val="00656022"/>
    <w:rsid w:val="00657120"/>
    <w:rsid w:val="00663A9C"/>
    <w:rsid w:val="00664ECE"/>
    <w:rsid w:val="00667CA0"/>
    <w:rsid w:val="00671849"/>
    <w:rsid w:val="00671B6E"/>
    <w:rsid w:val="0067304F"/>
    <w:rsid w:val="006765C2"/>
    <w:rsid w:val="00680F3A"/>
    <w:rsid w:val="00682D17"/>
    <w:rsid w:val="00683B88"/>
    <w:rsid w:val="00686710"/>
    <w:rsid w:val="00687F59"/>
    <w:rsid w:val="00690C30"/>
    <w:rsid w:val="006911BE"/>
    <w:rsid w:val="00693E16"/>
    <w:rsid w:val="00694330"/>
    <w:rsid w:val="0069443F"/>
    <w:rsid w:val="0069519B"/>
    <w:rsid w:val="0069671B"/>
    <w:rsid w:val="006A09C5"/>
    <w:rsid w:val="006A17BC"/>
    <w:rsid w:val="006A2D7C"/>
    <w:rsid w:val="006A2D91"/>
    <w:rsid w:val="006A2E29"/>
    <w:rsid w:val="006A370B"/>
    <w:rsid w:val="006A3CE4"/>
    <w:rsid w:val="006A5860"/>
    <w:rsid w:val="006A6126"/>
    <w:rsid w:val="006A7025"/>
    <w:rsid w:val="006B4209"/>
    <w:rsid w:val="006B449C"/>
    <w:rsid w:val="006B4590"/>
    <w:rsid w:val="006C059A"/>
    <w:rsid w:val="006C0B4D"/>
    <w:rsid w:val="006C27C6"/>
    <w:rsid w:val="006C2A35"/>
    <w:rsid w:val="006C340C"/>
    <w:rsid w:val="006C6DDE"/>
    <w:rsid w:val="006C6EF4"/>
    <w:rsid w:val="006C6FD4"/>
    <w:rsid w:val="006C7706"/>
    <w:rsid w:val="006D0EB6"/>
    <w:rsid w:val="006D2CAA"/>
    <w:rsid w:val="006D3035"/>
    <w:rsid w:val="006D4351"/>
    <w:rsid w:val="006D4FFA"/>
    <w:rsid w:val="006D60B3"/>
    <w:rsid w:val="006D62F3"/>
    <w:rsid w:val="006D7B0B"/>
    <w:rsid w:val="006E015B"/>
    <w:rsid w:val="006E0780"/>
    <w:rsid w:val="006E0CCE"/>
    <w:rsid w:val="006E3DF1"/>
    <w:rsid w:val="006E5FB1"/>
    <w:rsid w:val="006E6AE5"/>
    <w:rsid w:val="006E713B"/>
    <w:rsid w:val="006E73EA"/>
    <w:rsid w:val="006E7565"/>
    <w:rsid w:val="006F1400"/>
    <w:rsid w:val="006F39E4"/>
    <w:rsid w:val="006F5D82"/>
    <w:rsid w:val="00702849"/>
    <w:rsid w:val="0070347C"/>
    <w:rsid w:val="00704B37"/>
    <w:rsid w:val="007076B8"/>
    <w:rsid w:val="00711283"/>
    <w:rsid w:val="00713FE2"/>
    <w:rsid w:val="007154B4"/>
    <w:rsid w:val="007176C1"/>
    <w:rsid w:val="007231EF"/>
    <w:rsid w:val="00723E1B"/>
    <w:rsid w:val="00730FD4"/>
    <w:rsid w:val="00731F08"/>
    <w:rsid w:val="00732AD1"/>
    <w:rsid w:val="007340C9"/>
    <w:rsid w:val="00734B98"/>
    <w:rsid w:val="00735178"/>
    <w:rsid w:val="00735B9F"/>
    <w:rsid w:val="00742F55"/>
    <w:rsid w:val="00743B57"/>
    <w:rsid w:val="0074433E"/>
    <w:rsid w:val="00744DE0"/>
    <w:rsid w:val="00747E0E"/>
    <w:rsid w:val="007529DF"/>
    <w:rsid w:val="00753400"/>
    <w:rsid w:val="007541D6"/>
    <w:rsid w:val="00755FAA"/>
    <w:rsid w:val="007606D3"/>
    <w:rsid w:val="00760B5A"/>
    <w:rsid w:val="00761EF8"/>
    <w:rsid w:val="00762FD9"/>
    <w:rsid w:val="00764270"/>
    <w:rsid w:val="00772058"/>
    <w:rsid w:val="0077417C"/>
    <w:rsid w:val="00777A66"/>
    <w:rsid w:val="00781DBA"/>
    <w:rsid w:val="00782829"/>
    <w:rsid w:val="0078670C"/>
    <w:rsid w:val="00792B09"/>
    <w:rsid w:val="00792E9E"/>
    <w:rsid w:val="00792EB7"/>
    <w:rsid w:val="007934CC"/>
    <w:rsid w:val="007A1F05"/>
    <w:rsid w:val="007A645D"/>
    <w:rsid w:val="007A67EF"/>
    <w:rsid w:val="007A716B"/>
    <w:rsid w:val="007B1A40"/>
    <w:rsid w:val="007B4064"/>
    <w:rsid w:val="007C6FAF"/>
    <w:rsid w:val="007C7AA0"/>
    <w:rsid w:val="007D211C"/>
    <w:rsid w:val="007D427C"/>
    <w:rsid w:val="007D523C"/>
    <w:rsid w:val="007D5816"/>
    <w:rsid w:val="007D6420"/>
    <w:rsid w:val="007E0E99"/>
    <w:rsid w:val="007E1D78"/>
    <w:rsid w:val="007E2670"/>
    <w:rsid w:val="007E4538"/>
    <w:rsid w:val="007E6C20"/>
    <w:rsid w:val="007E773D"/>
    <w:rsid w:val="007F11D7"/>
    <w:rsid w:val="007F3920"/>
    <w:rsid w:val="007F55CB"/>
    <w:rsid w:val="007F730D"/>
    <w:rsid w:val="007F7428"/>
    <w:rsid w:val="00800938"/>
    <w:rsid w:val="00801148"/>
    <w:rsid w:val="0080117B"/>
    <w:rsid w:val="00801C0C"/>
    <w:rsid w:val="00802C54"/>
    <w:rsid w:val="00810BE5"/>
    <w:rsid w:val="00812D78"/>
    <w:rsid w:val="008160A2"/>
    <w:rsid w:val="00816807"/>
    <w:rsid w:val="00816D2A"/>
    <w:rsid w:val="00816F73"/>
    <w:rsid w:val="00820F8F"/>
    <w:rsid w:val="0082207C"/>
    <w:rsid w:val="00825F6A"/>
    <w:rsid w:val="00827DD0"/>
    <w:rsid w:val="00831456"/>
    <w:rsid w:val="0083244E"/>
    <w:rsid w:val="00834782"/>
    <w:rsid w:val="008353E5"/>
    <w:rsid w:val="008376F5"/>
    <w:rsid w:val="00840827"/>
    <w:rsid w:val="00844750"/>
    <w:rsid w:val="00845B0C"/>
    <w:rsid w:val="00851552"/>
    <w:rsid w:val="00855B33"/>
    <w:rsid w:val="00861A5E"/>
    <w:rsid w:val="008662C8"/>
    <w:rsid w:val="008662EA"/>
    <w:rsid w:val="00866718"/>
    <w:rsid w:val="00866D2E"/>
    <w:rsid w:val="00867502"/>
    <w:rsid w:val="00870C7C"/>
    <w:rsid w:val="00871E1E"/>
    <w:rsid w:val="00873518"/>
    <w:rsid w:val="00873976"/>
    <w:rsid w:val="00874F10"/>
    <w:rsid w:val="00883D43"/>
    <w:rsid w:val="00884109"/>
    <w:rsid w:val="00885E92"/>
    <w:rsid w:val="00892D3C"/>
    <w:rsid w:val="008930BD"/>
    <w:rsid w:val="00893B69"/>
    <w:rsid w:val="008947F9"/>
    <w:rsid w:val="0089704D"/>
    <w:rsid w:val="008A0C6D"/>
    <w:rsid w:val="008A125F"/>
    <w:rsid w:val="008A3792"/>
    <w:rsid w:val="008A412C"/>
    <w:rsid w:val="008A7F37"/>
    <w:rsid w:val="008B0195"/>
    <w:rsid w:val="008B0BAA"/>
    <w:rsid w:val="008B1D7A"/>
    <w:rsid w:val="008B2744"/>
    <w:rsid w:val="008B44C4"/>
    <w:rsid w:val="008B4F7E"/>
    <w:rsid w:val="008B69EB"/>
    <w:rsid w:val="008C0569"/>
    <w:rsid w:val="008C18F0"/>
    <w:rsid w:val="008C275E"/>
    <w:rsid w:val="008D0092"/>
    <w:rsid w:val="008D2259"/>
    <w:rsid w:val="008D7259"/>
    <w:rsid w:val="008E05E9"/>
    <w:rsid w:val="008E0695"/>
    <w:rsid w:val="008E267D"/>
    <w:rsid w:val="008E359C"/>
    <w:rsid w:val="008E37C2"/>
    <w:rsid w:val="008E3B65"/>
    <w:rsid w:val="008E60A8"/>
    <w:rsid w:val="008E6D3E"/>
    <w:rsid w:val="008E7F0E"/>
    <w:rsid w:val="008E7FAE"/>
    <w:rsid w:val="008F3CD6"/>
    <w:rsid w:val="00900275"/>
    <w:rsid w:val="009006EF"/>
    <w:rsid w:val="00901A76"/>
    <w:rsid w:val="00907915"/>
    <w:rsid w:val="00911431"/>
    <w:rsid w:val="00911502"/>
    <w:rsid w:val="00911BF7"/>
    <w:rsid w:val="00911EB3"/>
    <w:rsid w:val="00913C91"/>
    <w:rsid w:val="009220C0"/>
    <w:rsid w:val="00922AA7"/>
    <w:rsid w:val="0092336D"/>
    <w:rsid w:val="00923FEF"/>
    <w:rsid w:val="009246EA"/>
    <w:rsid w:val="009266B6"/>
    <w:rsid w:val="00926970"/>
    <w:rsid w:val="0092732C"/>
    <w:rsid w:val="00933B38"/>
    <w:rsid w:val="009356F4"/>
    <w:rsid w:val="0093779D"/>
    <w:rsid w:val="00940595"/>
    <w:rsid w:val="00941294"/>
    <w:rsid w:val="00941318"/>
    <w:rsid w:val="00944C51"/>
    <w:rsid w:val="00945ABD"/>
    <w:rsid w:val="00946436"/>
    <w:rsid w:val="00950D14"/>
    <w:rsid w:val="00955A43"/>
    <w:rsid w:val="00961148"/>
    <w:rsid w:val="009620F0"/>
    <w:rsid w:val="00962FA1"/>
    <w:rsid w:val="00962FBF"/>
    <w:rsid w:val="009634B5"/>
    <w:rsid w:val="00963F3B"/>
    <w:rsid w:val="009745DC"/>
    <w:rsid w:val="009763E6"/>
    <w:rsid w:val="00977EC8"/>
    <w:rsid w:val="009802E8"/>
    <w:rsid w:val="009810B6"/>
    <w:rsid w:val="00985B9F"/>
    <w:rsid w:val="00986CEA"/>
    <w:rsid w:val="0099177D"/>
    <w:rsid w:val="00992194"/>
    <w:rsid w:val="00994FE5"/>
    <w:rsid w:val="009953F8"/>
    <w:rsid w:val="009A262C"/>
    <w:rsid w:val="009A3D69"/>
    <w:rsid w:val="009A5753"/>
    <w:rsid w:val="009A772E"/>
    <w:rsid w:val="009B1742"/>
    <w:rsid w:val="009B2524"/>
    <w:rsid w:val="009B4783"/>
    <w:rsid w:val="009B5AAF"/>
    <w:rsid w:val="009C17F5"/>
    <w:rsid w:val="009C436C"/>
    <w:rsid w:val="009C5B78"/>
    <w:rsid w:val="009C6186"/>
    <w:rsid w:val="009D0755"/>
    <w:rsid w:val="009D0BF3"/>
    <w:rsid w:val="009D3A8C"/>
    <w:rsid w:val="009D4E07"/>
    <w:rsid w:val="009D50E6"/>
    <w:rsid w:val="009E040E"/>
    <w:rsid w:val="009E5B6D"/>
    <w:rsid w:val="009E7956"/>
    <w:rsid w:val="009F0F75"/>
    <w:rsid w:val="009F2E31"/>
    <w:rsid w:val="009F3344"/>
    <w:rsid w:val="009F532C"/>
    <w:rsid w:val="009F7237"/>
    <w:rsid w:val="00A01778"/>
    <w:rsid w:val="00A03DED"/>
    <w:rsid w:val="00A0409C"/>
    <w:rsid w:val="00A04C59"/>
    <w:rsid w:val="00A053FE"/>
    <w:rsid w:val="00A15990"/>
    <w:rsid w:val="00A1625D"/>
    <w:rsid w:val="00A20722"/>
    <w:rsid w:val="00A216FB"/>
    <w:rsid w:val="00A2492E"/>
    <w:rsid w:val="00A25F4D"/>
    <w:rsid w:val="00A27511"/>
    <w:rsid w:val="00A30A16"/>
    <w:rsid w:val="00A3171D"/>
    <w:rsid w:val="00A3747E"/>
    <w:rsid w:val="00A379F3"/>
    <w:rsid w:val="00A42280"/>
    <w:rsid w:val="00A44B50"/>
    <w:rsid w:val="00A53D89"/>
    <w:rsid w:val="00A55151"/>
    <w:rsid w:val="00A5534A"/>
    <w:rsid w:val="00A56D8B"/>
    <w:rsid w:val="00A56EB2"/>
    <w:rsid w:val="00A635DE"/>
    <w:rsid w:val="00A71364"/>
    <w:rsid w:val="00A7149D"/>
    <w:rsid w:val="00A7271B"/>
    <w:rsid w:val="00A7756D"/>
    <w:rsid w:val="00A81B1D"/>
    <w:rsid w:val="00A82B6C"/>
    <w:rsid w:val="00A83BF1"/>
    <w:rsid w:val="00A84329"/>
    <w:rsid w:val="00A84551"/>
    <w:rsid w:val="00A8638B"/>
    <w:rsid w:val="00A86A6A"/>
    <w:rsid w:val="00A86EE6"/>
    <w:rsid w:val="00A91EDB"/>
    <w:rsid w:val="00A93D04"/>
    <w:rsid w:val="00A94A0D"/>
    <w:rsid w:val="00AA0798"/>
    <w:rsid w:val="00AA2F52"/>
    <w:rsid w:val="00AA593C"/>
    <w:rsid w:val="00AA73C4"/>
    <w:rsid w:val="00AA7FE7"/>
    <w:rsid w:val="00AB0AA1"/>
    <w:rsid w:val="00AB2458"/>
    <w:rsid w:val="00AB3173"/>
    <w:rsid w:val="00AB6785"/>
    <w:rsid w:val="00AC01AA"/>
    <w:rsid w:val="00AC0342"/>
    <w:rsid w:val="00AC0AA0"/>
    <w:rsid w:val="00AC1830"/>
    <w:rsid w:val="00AC3371"/>
    <w:rsid w:val="00AC5E72"/>
    <w:rsid w:val="00AC67A1"/>
    <w:rsid w:val="00AC7977"/>
    <w:rsid w:val="00AD4023"/>
    <w:rsid w:val="00AD4A7E"/>
    <w:rsid w:val="00AD54C0"/>
    <w:rsid w:val="00AD655A"/>
    <w:rsid w:val="00AD6804"/>
    <w:rsid w:val="00AE352C"/>
    <w:rsid w:val="00AE3958"/>
    <w:rsid w:val="00AE3E7A"/>
    <w:rsid w:val="00AE4952"/>
    <w:rsid w:val="00AE4E04"/>
    <w:rsid w:val="00AE60F1"/>
    <w:rsid w:val="00AF500C"/>
    <w:rsid w:val="00AF536B"/>
    <w:rsid w:val="00B04EB4"/>
    <w:rsid w:val="00B053D7"/>
    <w:rsid w:val="00B0547B"/>
    <w:rsid w:val="00B06588"/>
    <w:rsid w:val="00B07E85"/>
    <w:rsid w:val="00B10A64"/>
    <w:rsid w:val="00B121F2"/>
    <w:rsid w:val="00B128B9"/>
    <w:rsid w:val="00B1608C"/>
    <w:rsid w:val="00B23399"/>
    <w:rsid w:val="00B235BF"/>
    <w:rsid w:val="00B2559D"/>
    <w:rsid w:val="00B273AB"/>
    <w:rsid w:val="00B27E75"/>
    <w:rsid w:val="00B3184F"/>
    <w:rsid w:val="00B32A71"/>
    <w:rsid w:val="00B32E2D"/>
    <w:rsid w:val="00B33BB8"/>
    <w:rsid w:val="00B33E92"/>
    <w:rsid w:val="00B347B7"/>
    <w:rsid w:val="00B34A3A"/>
    <w:rsid w:val="00B35DDF"/>
    <w:rsid w:val="00B42018"/>
    <w:rsid w:val="00B43EEF"/>
    <w:rsid w:val="00B46282"/>
    <w:rsid w:val="00B46480"/>
    <w:rsid w:val="00B464BA"/>
    <w:rsid w:val="00B47A00"/>
    <w:rsid w:val="00B535EA"/>
    <w:rsid w:val="00B6182D"/>
    <w:rsid w:val="00B61990"/>
    <w:rsid w:val="00B619C6"/>
    <w:rsid w:val="00B66E84"/>
    <w:rsid w:val="00B67303"/>
    <w:rsid w:val="00B6757E"/>
    <w:rsid w:val="00B70F30"/>
    <w:rsid w:val="00B71103"/>
    <w:rsid w:val="00B736D0"/>
    <w:rsid w:val="00B752EE"/>
    <w:rsid w:val="00B8294B"/>
    <w:rsid w:val="00B844E0"/>
    <w:rsid w:val="00B8759B"/>
    <w:rsid w:val="00B9030A"/>
    <w:rsid w:val="00B9061B"/>
    <w:rsid w:val="00B92770"/>
    <w:rsid w:val="00B936CE"/>
    <w:rsid w:val="00B96490"/>
    <w:rsid w:val="00B96C42"/>
    <w:rsid w:val="00B97985"/>
    <w:rsid w:val="00BA1129"/>
    <w:rsid w:val="00BA252D"/>
    <w:rsid w:val="00BA355C"/>
    <w:rsid w:val="00BA447F"/>
    <w:rsid w:val="00BA4662"/>
    <w:rsid w:val="00BA4EBD"/>
    <w:rsid w:val="00BA6590"/>
    <w:rsid w:val="00BA7486"/>
    <w:rsid w:val="00BB3004"/>
    <w:rsid w:val="00BB3350"/>
    <w:rsid w:val="00BB5528"/>
    <w:rsid w:val="00BB5632"/>
    <w:rsid w:val="00BC1BC3"/>
    <w:rsid w:val="00BC32BE"/>
    <w:rsid w:val="00BC3509"/>
    <w:rsid w:val="00BC3615"/>
    <w:rsid w:val="00BC6E17"/>
    <w:rsid w:val="00BD2AC6"/>
    <w:rsid w:val="00BD3611"/>
    <w:rsid w:val="00BD4047"/>
    <w:rsid w:val="00BD5996"/>
    <w:rsid w:val="00BE0178"/>
    <w:rsid w:val="00BE125A"/>
    <w:rsid w:val="00BE2C48"/>
    <w:rsid w:val="00BE3BF3"/>
    <w:rsid w:val="00BE5D98"/>
    <w:rsid w:val="00BE6F3D"/>
    <w:rsid w:val="00BF036D"/>
    <w:rsid w:val="00BF0556"/>
    <w:rsid w:val="00BF2560"/>
    <w:rsid w:val="00BF26B1"/>
    <w:rsid w:val="00BF28AC"/>
    <w:rsid w:val="00BF5F37"/>
    <w:rsid w:val="00C03431"/>
    <w:rsid w:val="00C100A7"/>
    <w:rsid w:val="00C107BC"/>
    <w:rsid w:val="00C14E18"/>
    <w:rsid w:val="00C15775"/>
    <w:rsid w:val="00C16204"/>
    <w:rsid w:val="00C1674A"/>
    <w:rsid w:val="00C20D82"/>
    <w:rsid w:val="00C25245"/>
    <w:rsid w:val="00C261F8"/>
    <w:rsid w:val="00C33100"/>
    <w:rsid w:val="00C40F02"/>
    <w:rsid w:val="00C4346D"/>
    <w:rsid w:val="00C435D9"/>
    <w:rsid w:val="00C44827"/>
    <w:rsid w:val="00C46146"/>
    <w:rsid w:val="00C47EC3"/>
    <w:rsid w:val="00C503E8"/>
    <w:rsid w:val="00C5087C"/>
    <w:rsid w:val="00C52465"/>
    <w:rsid w:val="00C52D94"/>
    <w:rsid w:val="00C5488D"/>
    <w:rsid w:val="00C60F91"/>
    <w:rsid w:val="00C62060"/>
    <w:rsid w:val="00C62BBA"/>
    <w:rsid w:val="00C66683"/>
    <w:rsid w:val="00C670B4"/>
    <w:rsid w:val="00C70120"/>
    <w:rsid w:val="00C71A74"/>
    <w:rsid w:val="00C75458"/>
    <w:rsid w:val="00C75916"/>
    <w:rsid w:val="00C76216"/>
    <w:rsid w:val="00C76B03"/>
    <w:rsid w:val="00C84907"/>
    <w:rsid w:val="00C85DCB"/>
    <w:rsid w:val="00C90FB8"/>
    <w:rsid w:val="00C9278A"/>
    <w:rsid w:val="00C95CF6"/>
    <w:rsid w:val="00C963D5"/>
    <w:rsid w:val="00CA12A1"/>
    <w:rsid w:val="00CA270D"/>
    <w:rsid w:val="00CA4783"/>
    <w:rsid w:val="00CA6375"/>
    <w:rsid w:val="00CA68A1"/>
    <w:rsid w:val="00CB0C5E"/>
    <w:rsid w:val="00CB1B3C"/>
    <w:rsid w:val="00CB38E7"/>
    <w:rsid w:val="00CB5218"/>
    <w:rsid w:val="00CB744E"/>
    <w:rsid w:val="00CB7C92"/>
    <w:rsid w:val="00CB7EB0"/>
    <w:rsid w:val="00CC0348"/>
    <w:rsid w:val="00CC0DEB"/>
    <w:rsid w:val="00CC1497"/>
    <w:rsid w:val="00CC63EF"/>
    <w:rsid w:val="00CC6476"/>
    <w:rsid w:val="00CC7383"/>
    <w:rsid w:val="00CD157F"/>
    <w:rsid w:val="00CD1A71"/>
    <w:rsid w:val="00CD1FBB"/>
    <w:rsid w:val="00CD3831"/>
    <w:rsid w:val="00CD41CF"/>
    <w:rsid w:val="00CD4503"/>
    <w:rsid w:val="00CD719C"/>
    <w:rsid w:val="00CE4295"/>
    <w:rsid w:val="00CF0A8B"/>
    <w:rsid w:val="00CF1732"/>
    <w:rsid w:val="00CF1A48"/>
    <w:rsid w:val="00CF3258"/>
    <w:rsid w:val="00CF423D"/>
    <w:rsid w:val="00D016B5"/>
    <w:rsid w:val="00D034F1"/>
    <w:rsid w:val="00D04231"/>
    <w:rsid w:val="00D0493F"/>
    <w:rsid w:val="00D054F0"/>
    <w:rsid w:val="00D0674A"/>
    <w:rsid w:val="00D07C1B"/>
    <w:rsid w:val="00D13C6A"/>
    <w:rsid w:val="00D17339"/>
    <w:rsid w:val="00D220A7"/>
    <w:rsid w:val="00D272C9"/>
    <w:rsid w:val="00D27D5E"/>
    <w:rsid w:val="00D30EA2"/>
    <w:rsid w:val="00D30F09"/>
    <w:rsid w:val="00D31747"/>
    <w:rsid w:val="00D319DE"/>
    <w:rsid w:val="00D31B1C"/>
    <w:rsid w:val="00D32FAC"/>
    <w:rsid w:val="00D353A7"/>
    <w:rsid w:val="00D37345"/>
    <w:rsid w:val="00D37FD0"/>
    <w:rsid w:val="00D41712"/>
    <w:rsid w:val="00D41C4D"/>
    <w:rsid w:val="00D4303D"/>
    <w:rsid w:val="00D46EB4"/>
    <w:rsid w:val="00D479DF"/>
    <w:rsid w:val="00D52313"/>
    <w:rsid w:val="00D567B7"/>
    <w:rsid w:val="00D60444"/>
    <w:rsid w:val="00D61850"/>
    <w:rsid w:val="00D645AE"/>
    <w:rsid w:val="00D64A7A"/>
    <w:rsid w:val="00D66B01"/>
    <w:rsid w:val="00D704F8"/>
    <w:rsid w:val="00D7539A"/>
    <w:rsid w:val="00D754B6"/>
    <w:rsid w:val="00D75A33"/>
    <w:rsid w:val="00D75AF0"/>
    <w:rsid w:val="00D832C8"/>
    <w:rsid w:val="00D8445F"/>
    <w:rsid w:val="00D87DC6"/>
    <w:rsid w:val="00D94C5A"/>
    <w:rsid w:val="00D95518"/>
    <w:rsid w:val="00D95EC9"/>
    <w:rsid w:val="00D9671B"/>
    <w:rsid w:val="00DA23B1"/>
    <w:rsid w:val="00DA2560"/>
    <w:rsid w:val="00DA2929"/>
    <w:rsid w:val="00DA32D1"/>
    <w:rsid w:val="00DA4292"/>
    <w:rsid w:val="00DA5A4D"/>
    <w:rsid w:val="00DA6187"/>
    <w:rsid w:val="00DB0478"/>
    <w:rsid w:val="00DB302C"/>
    <w:rsid w:val="00DB738C"/>
    <w:rsid w:val="00DC0F6E"/>
    <w:rsid w:val="00DC156C"/>
    <w:rsid w:val="00DC18EF"/>
    <w:rsid w:val="00DC31B1"/>
    <w:rsid w:val="00DC70DF"/>
    <w:rsid w:val="00DC77B8"/>
    <w:rsid w:val="00DC77F9"/>
    <w:rsid w:val="00DD0041"/>
    <w:rsid w:val="00DD1CE5"/>
    <w:rsid w:val="00DD1F06"/>
    <w:rsid w:val="00DD3A94"/>
    <w:rsid w:val="00DD51B1"/>
    <w:rsid w:val="00DD6665"/>
    <w:rsid w:val="00DD697A"/>
    <w:rsid w:val="00DE171F"/>
    <w:rsid w:val="00DE231D"/>
    <w:rsid w:val="00DE259A"/>
    <w:rsid w:val="00DE26D1"/>
    <w:rsid w:val="00DE3D28"/>
    <w:rsid w:val="00DE4B4B"/>
    <w:rsid w:val="00DE6D90"/>
    <w:rsid w:val="00DF002F"/>
    <w:rsid w:val="00DF13A3"/>
    <w:rsid w:val="00DF1F62"/>
    <w:rsid w:val="00DF2120"/>
    <w:rsid w:val="00DF2507"/>
    <w:rsid w:val="00DF2ACC"/>
    <w:rsid w:val="00DF3734"/>
    <w:rsid w:val="00DF41BF"/>
    <w:rsid w:val="00DF486E"/>
    <w:rsid w:val="00DF4CE4"/>
    <w:rsid w:val="00DF6930"/>
    <w:rsid w:val="00DF6A1C"/>
    <w:rsid w:val="00E0244D"/>
    <w:rsid w:val="00E02A4E"/>
    <w:rsid w:val="00E03BB8"/>
    <w:rsid w:val="00E0453C"/>
    <w:rsid w:val="00E0737B"/>
    <w:rsid w:val="00E07B04"/>
    <w:rsid w:val="00E10D50"/>
    <w:rsid w:val="00E11A2B"/>
    <w:rsid w:val="00E13BD7"/>
    <w:rsid w:val="00E15A2A"/>
    <w:rsid w:val="00E163BD"/>
    <w:rsid w:val="00E167BD"/>
    <w:rsid w:val="00E17643"/>
    <w:rsid w:val="00E17AD5"/>
    <w:rsid w:val="00E20F23"/>
    <w:rsid w:val="00E22027"/>
    <w:rsid w:val="00E22C60"/>
    <w:rsid w:val="00E26418"/>
    <w:rsid w:val="00E27F87"/>
    <w:rsid w:val="00E30FDF"/>
    <w:rsid w:val="00E31CB4"/>
    <w:rsid w:val="00E34857"/>
    <w:rsid w:val="00E34B00"/>
    <w:rsid w:val="00E34E23"/>
    <w:rsid w:val="00E363B2"/>
    <w:rsid w:val="00E374E1"/>
    <w:rsid w:val="00E37731"/>
    <w:rsid w:val="00E40099"/>
    <w:rsid w:val="00E42729"/>
    <w:rsid w:val="00E42D5E"/>
    <w:rsid w:val="00E4493C"/>
    <w:rsid w:val="00E50989"/>
    <w:rsid w:val="00E50B98"/>
    <w:rsid w:val="00E52789"/>
    <w:rsid w:val="00E54148"/>
    <w:rsid w:val="00E5428A"/>
    <w:rsid w:val="00E57DB8"/>
    <w:rsid w:val="00E61F00"/>
    <w:rsid w:val="00E6208B"/>
    <w:rsid w:val="00E6639F"/>
    <w:rsid w:val="00E66577"/>
    <w:rsid w:val="00E672DA"/>
    <w:rsid w:val="00E705B5"/>
    <w:rsid w:val="00E71401"/>
    <w:rsid w:val="00E72334"/>
    <w:rsid w:val="00E74C75"/>
    <w:rsid w:val="00E75495"/>
    <w:rsid w:val="00E760B7"/>
    <w:rsid w:val="00E76578"/>
    <w:rsid w:val="00E76C48"/>
    <w:rsid w:val="00E808BB"/>
    <w:rsid w:val="00E80D96"/>
    <w:rsid w:val="00E81E94"/>
    <w:rsid w:val="00E8240E"/>
    <w:rsid w:val="00E82607"/>
    <w:rsid w:val="00E833DB"/>
    <w:rsid w:val="00E858F5"/>
    <w:rsid w:val="00E85FA4"/>
    <w:rsid w:val="00E8685B"/>
    <w:rsid w:val="00E878C4"/>
    <w:rsid w:val="00E87D0C"/>
    <w:rsid w:val="00E906CF"/>
    <w:rsid w:val="00E90CDA"/>
    <w:rsid w:val="00E9135F"/>
    <w:rsid w:val="00E91B8C"/>
    <w:rsid w:val="00E922E3"/>
    <w:rsid w:val="00E93A8D"/>
    <w:rsid w:val="00E950AA"/>
    <w:rsid w:val="00E95215"/>
    <w:rsid w:val="00E979F6"/>
    <w:rsid w:val="00E97A79"/>
    <w:rsid w:val="00EA0F72"/>
    <w:rsid w:val="00EA0FF4"/>
    <w:rsid w:val="00EA21F9"/>
    <w:rsid w:val="00EA2267"/>
    <w:rsid w:val="00EA2EB8"/>
    <w:rsid w:val="00EA46EC"/>
    <w:rsid w:val="00EA49B5"/>
    <w:rsid w:val="00EA7024"/>
    <w:rsid w:val="00EA7E5D"/>
    <w:rsid w:val="00EB0981"/>
    <w:rsid w:val="00EB0ACD"/>
    <w:rsid w:val="00EB0DAF"/>
    <w:rsid w:val="00EB0E80"/>
    <w:rsid w:val="00EB1467"/>
    <w:rsid w:val="00EB51A4"/>
    <w:rsid w:val="00EB6E2C"/>
    <w:rsid w:val="00EB7A2B"/>
    <w:rsid w:val="00EC1BD0"/>
    <w:rsid w:val="00EC339F"/>
    <w:rsid w:val="00EC5A42"/>
    <w:rsid w:val="00EC6A3E"/>
    <w:rsid w:val="00ED01D2"/>
    <w:rsid w:val="00ED1B08"/>
    <w:rsid w:val="00ED2368"/>
    <w:rsid w:val="00ED343D"/>
    <w:rsid w:val="00ED725C"/>
    <w:rsid w:val="00EE302C"/>
    <w:rsid w:val="00EE42B4"/>
    <w:rsid w:val="00EE5458"/>
    <w:rsid w:val="00EE57B6"/>
    <w:rsid w:val="00EE6F22"/>
    <w:rsid w:val="00EF014C"/>
    <w:rsid w:val="00EF052E"/>
    <w:rsid w:val="00EF5014"/>
    <w:rsid w:val="00EF77AA"/>
    <w:rsid w:val="00F01752"/>
    <w:rsid w:val="00F0655F"/>
    <w:rsid w:val="00F076DE"/>
    <w:rsid w:val="00F07915"/>
    <w:rsid w:val="00F11603"/>
    <w:rsid w:val="00F13A76"/>
    <w:rsid w:val="00F14A71"/>
    <w:rsid w:val="00F14DA6"/>
    <w:rsid w:val="00F1634B"/>
    <w:rsid w:val="00F164B1"/>
    <w:rsid w:val="00F172D0"/>
    <w:rsid w:val="00F17D7B"/>
    <w:rsid w:val="00F211BF"/>
    <w:rsid w:val="00F21548"/>
    <w:rsid w:val="00F21B3C"/>
    <w:rsid w:val="00F252DB"/>
    <w:rsid w:val="00F25E3E"/>
    <w:rsid w:val="00F2743E"/>
    <w:rsid w:val="00F30031"/>
    <w:rsid w:val="00F323B3"/>
    <w:rsid w:val="00F32C5E"/>
    <w:rsid w:val="00F33648"/>
    <w:rsid w:val="00F3532C"/>
    <w:rsid w:val="00F35A29"/>
    <w:rsid w:val="00F40D92"/>
    <w:rsid w:val="00F50F30"/>
    <w:rsid w:val="00F52747"/>
    <w:rsid w:val="00F5423B"/>
    <w:rsid w:val="00F547E1"/>
    <w:rsid w:val="00F55CF4"/>
    <w:rsid w:val="00F56010"/>
    <w:rsid w:val="00F619C0"/>
    <w:rsid w:val="00F62331"/>
    <w:rsid w:val="00F623DC"/>
    <w:rsid w:val="00F63BC6"/>
    <w:rsid w:val="00F664EE"/>
    <w:rsid w:val="00F67151"/>
    <w:rsid w:val="00F7399E"/>
    <w:rsid w:val="00F829BE"/>
    <w:rsid w:val="00F82A36"/>
    <w:rsid w:val="00F83BC4"/>
    <w:rsid w:val="00F859EE"/>
    <w:rsid w:val="00F86CC2"/>
    <w:rsid w:val="00F9754A"/>
    <w:rsid w:val="00FA109E"/>
    <w:rsid w:val="00FA171B"/>
    <w:rsid w:val="00FA1D8F"/>
    <w:rsid w:val="00FA2B02"/>
    <w:rsid w:val="00FA3B62"/>
    <w:rsid w:val="00FA5A79"/>
    <w:rsid w:val="00FA7B70"/>
    <w:rsid w:val="00FB0BFE"/>
    <w:rsid w:val="00FB19D3"/>
    <w:rsid w:val="00FB3CCB"/>
    <w:rsid w:val="00FB45A1"/>
    <w:rsid w:val="00FB4C51"/>
    <w:rsid w:val="00FB55E3"/>
    <w:rsid w:val="00FB5BAA"/>
    <w:rsid w:val="00FB6226"/>
    <w:rsid w:val="00FB6D04"/>
    <w:rsid w:val="00FB785A"/>
    <w:rsid w:val="00FC1F7E"/>
    <w:rsid w:val="00FC2619"/>
    <w:rsid w:val="00FC60DE"/>
    <w:rsid w:val="00FC6BFB"/>
    <w:rsid w:val="00FC7040"/>
    <w:rsid w:val="00FC7A00"/>
    <w:rsid w:val="00FD4B42"/>
    <w:rsid w:val="00FD4BC3"/>
    <w:rsid w:val="00FD6CC3"/>
    <w:rsid w:val="00FD7F80"/>
    <w:rsid w:val="00FE013D"/>
    <w:rsid w:val="00FE2B4F"/>
    <w:rsid w:val="00FE560F"/>
    <w:rsid w:val="00FE5C30"/>
    <w:rsid w:val="00FF1DBD"/>
    <w:rsid w:val="00FF1F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402"/>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link w:val="HMGChar"/>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link w:val="SMGChar"/>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Footnote Text Char Знак Знак,Footnote Text Char Знак,Текст сноски Знак Знак Знак Знак,stile 1"/>
    <w:basedOn w:val="Normal"/>
    <w:link w:val="FootnoteTextChar"/>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semiHidden/>
    <w:rsid w:val="00540389"/>
    <w:rPr>
      <w:color w:val="auto"/>
      <w:u w:val="none"/>
    </w:rPr>
  </w:style>
  <w:style w:type="character" w:styleId="FollowedHyperlink">
    <w:name w:val="FollowedHyperlink"/>
    <w:semiHidden/>
    <w:rsid w:val="00540389"/>
    <w:rPr>
      <w:color w:val="auto"/>
      <w:u w:val="none"/>
    </w:rPr>
  </w:style>
  <w:style w:type="table" w:styleId="TableGrid">
    <w:name w:val="Table Grid"/>
    <w:basedOn w:val="TableNormal"/>
    <w:semiHidden/>
    <w:rsid w:val="00204B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ootnote Text Char Знак Знак Char,Footnote Text Char Знак Char,Текст сноски Знак Знак Знак Знак Char,stile 1 Char"/>
    <w:link w:val="FootnoteText"/>
    <w:rsid w:val="008E60A8"/>
    <w:rPr>
      <w:sz w:val="18"/>
      <w:lang w:val="fr-CH" w:eastAsia="en-US"/>
    </w:rPr>
  </w:style>
  <w:style w:type="paragraph" w:styleId="ListParagraph">
    <w:name w:val="List Paragraph"/>
    <w:basedOn w:val="Normal"/>
    <w:uiPriority w:val="99"/>
    <w:qFormat/>
    <w:rsid w:val="00D07C1B"/>
    <w:pPr>
      <w:suppressAutoHyphens w:val="0"/>
      <w:spacing w:after="200" w:line="276" w:lineRule="auto"/>
      <w:ind w:left="720"/>
      <w:contextualSpacing/>
    </w:pPr>
    <w:rPr>
      <w:rFonts w:ascii="Calibri" w:eastAsia="Calibri" w:hAnsi="Calibri"/>
      <w:sz w:val="22"/>
      <w:szCs w:val="22"/>
      <w:lang w:val="nl-BE"/>
    </w:rPr>
  </w:style>
  <w:style w:type="paragraph" w:styleId="BalloonText">
    <w:name w:val="Balloon Text"/>
    <w:basedOn w:val="Normal"/>
    <w:link w:val="BalloonTextChar"/>
    <w:rsid w:val="001F12A7"/>
    <w:pPr>
      <w:spacing w:line="240" w:lineRule="auto"/>
    </w:pPr>
    <w:rPr>
      <w:rFonts w:ascii="Tahoma" w:hAnsi="Tahoma"/>
      <w:sz w:val="16"/>
      <w:szCs w:val="16"/>
    </w:rPr>
  </w:style>
  <w:style w:type="character" w:customStyle="1" w:styleId="BalloonTextChar">
    <w:name w:val="Balloon Text Char"/>
    <w:link w:val="BalloonText"/>
    <w:rsid w:val="001F12A7"/>
    <w:rPr>
      <w:rFonts w:ascii="Tahoma" w:hAnsi="Tahoma" w:cs="Tahoma"/>
      <w:sz w:val="16"/>
      <w:szCs w:val="16"/>
      <w:lang w:val="fr-CH" w:eastAsia="en-US"/>
    </w:rPr>
  </w:style>
  <w:style w:type="character" w:customStyle="1" w:styleId="HMGChar">
    <w:name w:val="_ H __M_G Char"/>
    <w:link w:val="HMG"/>
    <w:rsid w:val="008930BD"/>
    <w:rPr>
      <w:b/>
      <w:sz w:val="34"/>
      <w:lang w:val="fr-CH" w:eastAsia="en-US" w:bidi="ar-SA"/>
    </w:rPr>
  </w:style>
  <w:style w:type="character" w:customStyle="1" w:styleId="SMGChar">
    <w:name w:val="__S_M_G Char"/>
    <w:link w:val="SMG"/>
    <w:rsid w:val="00BA355C"/>
    <w:rPr>
      <w:b/>
      <w:sz w:val="40"/>
      <w:lang w:val="fr-CH" w:eastAsia="en-US" w:bidi="ar-SA"/>
    </w:rPr>
  </w:style>
  <w:style w:type="character" w:customStyle="1" w:styleId="SingleTxtGChar">
    <w:name w:val="_ Single Txt_G Char"/>
    <w:link w:val="SingleTxtG"/>
    <w:rsid w:val="00BA355C"/>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CERD_F.dotm</Template>
  <TotalTime>1</TotalTime>
  <Pages>1</Pages>
  <Words>29396</Words>
  <Characters>167561</Characters>
  <Application>Microsoft Office Outlook</Application>
  <DocSecurity>4</DocSecurity>
  <Lines>1396</Lines>
  <Paragraphs>393</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196564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CSD</dc:creator>
  <cp:keywords/>
  <cp:lastModifiedBy>CSD</cp:lastModifiedBy>
  <cp:revision>4</cp:revision>
  <cp:lastPrinted>2013-09-24T11:39:00Z</cp:lastPrinted>
  <dcterms:created xsi:type="dcterms:W3CDTF">2013-09-24T11:39:00Z</dcterms:created>
  <dcterms:modified xsi:type="dcterms:W3CDTF">2013-09-24T11:40:00Z</dcterms:modified>
</cp:coreProperties>
</file>