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420"/>
        <w:gridCol w:w="2120"/>
        <w:gridCol w:w="2819"/>
      </w:tblGrid>
      <w:tr w:rsidR="007511D7" w:rsidRPr="00D65A62" w:rsidTr="002B43B0">
        <w:trPr>
          <w:cnfStyle w:val="100000000000"/>
          <w:trHeight w:hRule="exact" w:val="851"/>
        </w:trPr>
        <w:tc>
          <w:tcPr>
            <w:tcW w:w="4700" w:type="dxa"/>
            <w:gridSpan w:val="2"/>
            <w:tcBorders>
              <w:bottom w:val="single" w:sz="4" w:space="0" w:color="auto"/>
            </w:tcBorders>
            <w:vAlign w:val="bottom"/>
          </w:tcPr>
          <w:p w:rsidR="007511D7" w:rsidRPr="00635870" w:rsidRDefault="007511D7" w:rsidP="002B43B0">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7511D7" w:rsidRPr="00D65A62" w:rsidRDefault="007511D7" w:rsidP="002B43B0">
            <w:pPr>
              <w:jc w:val="right"/>
              <w:rPr>
                <w:sz w:val="20"/>
                <w:lang w:val="en-US"/>
              </w:rPr>
            </w:pPr>
            <w:r w:rsidRPr="002F7307">
              <w:rPr>
                <w:sz w:val="40"/>
                <w:szCs w:val="40"/>
                <w:lang w:val="en-US"/>
              </w:rPr>
              <w:t>CERD</w:t>
            </w:r>
            <w:r w:rsidRPr="00D65A62">
              <w:rPr>
                <w:sz w:val="20"/>
                <w:lang w:val="en-US"/>
              </w:rPr>
              <w:t>/</w:t>
            </w:r>
            <w:fldSimple w:instr=" FILLIN  &quot;Введите часть символа после CERD/&quot;  \* MERGEFORMAT ">
              <w:r w:rsidR="008C6E84">
                <w:t>С/BEL/16-19</w:t>
              </w:r>
            </w:fldSimple>
          </w:p>
        </w:tc>
      </w:tr>
      <w:tr w:rsidR="007511D7" w:rsidRPr="00635870" w:rsidTr="002B43B0">
        <w:trPr>
          <w:trHeight w:hRule="exact" w:val="2835"/>
        </w:trPr>
        <w:tc>
          <w:tcPr>
            <w:tcW w:w="1280" w:type="dxa"/>
            <w:tcBorders>
              <w:top w:val="single" w:sz="4" w:space="0" w:color="auto"/>
              <w:bottom w:val="single" w:sz="12" w:space="0" w:color="auto"/>
            </w:tcBorders>
          </w:tcPr>
          <w:p w:rsidR="007511D7" w:rsidRPr="00635870" w:rsidRDefault="007511D7" w:rsidP="002B43B0">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511D7" w:rsidRPr="007511D7" w:rsidRDefault="007511D7" w:rsidP="007511D7">
            <w:pPr>
              <w:suppressAutoHyphens/>
              <w:spacing w:before="120" w:line="380" w:lineRule="exact"/>
              <w:rPr>
                <w:b/>
                <w:spacing w:val="-4"/>
                <w:w w:val="100"/>
                <w:sz w:val="34"/>
                <w:szCs w:val="40"/>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7511D7" w:rsidRPr="00D65A62" w:rsidRDefault="007511D7" w:rsidP="002B43B0">
            <w:pPr>
              <w:spacing w:before="240" w:after="0"/>
              <w:rPr>
                <w:sz w:val="20"/>
                <w:lang w:val="en-US"/>
              </w:rPr>
            </w:pPr>
            <w:r w:rsidRPr="00D65A62">
              <w:rPr>
                <w:sz w:val="20"/>
                <w:lang w:val="en-US"/>
              </w:rPr>
              <w:t>Distr</w:t>
            </w:r>
            <w:r w:rsidRPr="00D65A62">
              <w:rPr>
                <w:sz w:val="20"/>
              </w:rPr>
              <w:t>.:</w:t>
            </w:r>
            <w:r w:rsidRPr="00D65A62">
              <w:rPr>
                <w:sz w:val="20"/>
                <w:lang w:val="en-US"/>
              </w:rPr>
              <w:t xml:space="preserve"> </w:t>
            </w:r>
            <w:bookmarkStart w:id="0" w:name="ПолеСоСписком1"/>
            <w:r w:rsidRPr="00D65A62">
              <w:rPr>
                <w:sz w:val="20"/>
              </w:rPr>
              <w:fldChar w:fldCharType="begin">
                <w:ffData>
                  <w:name w:val="ПолеСоСписком1"/>
                  <w:enabled/>
                  <w:calcOnExit w:val="0"/>
                  <w:ddList>
                    <w:listEntry w:val="General"/>
                    <w:listEntry w:val="Limited"/>
                    <w:listEntry w:val="Restricted"/>
                  </w:ddList>
                </w:ffData>
              </w:fldChar>
            </w:r>
            <w:r w:rsidRPr="00D65A62">
              <w:rPr>
                <w:sz w:val="20"/>
                <w:lang w:val="en-US"/>
              </w:rPr>
              <w:instrText xml:space="preserve"> FORMDROPDOWN </w:instrText>
            </w:r>
            <w:r w:rsidRPr="00D65A62">
              <w:rPr>
                <w:sz w:val="20"/>
              </w:rPr>
            </w:r>
            <w:r w:rsidRPr="00D65A62">
              <w:rPr>
                <w:sz w:val="20"/>
              </w:rPr>
              <w:fldChar w:fldCharType="end"/>
            </w:r>
            <w:bookmarkEnd w:id="0"/>
          </w:p>
          <w:p w:rsidR="007511D7" w:rsidRPr="00D65A62" w:rsidRDefault="007511D7" w:rsidP="002B43B0">
            <w:pPr>
              <w:spacing w:before="0" w:after="0"/>
              <w:rPr>
                <w:sz w:val="20"/>
                <w:lang w:val="en-US"/>
              </w:rPr>
            </w:pPr>
            <w:fldSimple w:instr=" FILLIN  &quot;Введите дату документа&quot; \* MERGEFORMAT ">
              <w:r w:rsidR="008C6E84">
                <w:rPr>
                  <w:sz w:val="20"/>
                  <w:lang w:val="en-US"/>
                </w:rPr>
                <w:t>27 May 2013</w:t>
              </w:r>
            </w:fldSimple>
          </w:p>
          <w:p w:rsidR="007511D7" w:rsidRPr="00D65A62" w:rsidRDefault="007511D7" w:rsidP="002B43B0">
            <w:pPr>
              <w:spacing w:before="0" w:after="0"/>
              <w:rPr>
                <w:sz w:val="20"/>
              </w:rPr>
            </w:pPr>
            <w:r w:rsidRPr="00D65A62">
              <w:rPr>
                <w:sz w:val="20"/>
                <w:lang w:val="en-US"/>
              </w:rPr>
              <w:t>Russian</w:t>
            </w:r>
          </w:p>
          <w:p w:rsidR="007511D7" w:rsidRPr="00D65A62" w:rsidRDefault="007511D7" w:rsidP="002B43B0">
            <w:pPr>
              <w:spacing w:before="0" w:after="0"/>
              <w:rPr>
                <w:sz w:val="20"/>
              </w:rPr>
            </w:pPr>
            <w:r w:rsidRPr="00D65A62">
              <w:rPr>
                <w:sz w:val="20"/>
                <w:lang w:val="en-US"/>
              </w:rPr>
              <w:t>Original</w:t>
            </w:r>
            <w:r w:rsidRPr="00D65A62">
              <w:rPr>
                <w:sz w:val="20"/>
              </w:rPr>
              <w:t xml:space="preserve">: </w:t>
            </w:r>
            <w:bookmarkStart w:id="1" w:name="ПолеСоСписком2"/>
            <w:r w:rsidRPr="00D65A62">
              <w:rPr>
                <w:sz w:val="20"/>
              </w:rPr>
              <w:fldChar w:fldCharType="begin">
                <w:ffData>
                  <w:name w:val="ПолеСоСписком2"/>
                  <w:enabled/>
                  <w:calcOnExit w:val="0"/>
                  <w:ddList>
                    <w:result w:val="1"/>
                    <w:listEntry w:val="English"/>
                    <w:listEntry w:val="French"/>
                    <w:listEntry w:val="Spanish"/>
                    <w:listEntry w:val="Arabic"/>
                    <w:listEntry w:val="Chinese"/>
                    <w:listEntry w:val="English/French"/>
                    <w:listEntry w:val="English and French"/>
                  </w:ddList>
                </w:ffData>
              </w:fldChar>
            </w:r>
            <w:r w:rsidRPr="00D65A62">
              <w:rPr>
                <w:sz w:val="20"/>
                <w:lang w:val="en-US"/>
              </w:rPr>
              <w:instrText xml:space="preserve"> FORMDROPDOWN </w:instrText>
            </w:r>
            <w:r w:rsidR="002B03D2" w:rsidRPr="008C6E84">
              <w:rPr>
                <w:sz w:val="20"/>
              </w:rPr>
            </w:r>
            <w:r w:rsidRPr="00D65A62">
              <w:rPr>
                <w:sz w:val="20"/>
              </w:rPr>
              <w:fldChar w:fldCharType="end"/>
            </w:r>
            <w:bookmarkEnd w:id="1"/>
          </w:p>
          <w:p w:rsidR="007511D7" w:rsidRPr="00635870" w:rsidRDefault="007511D7" w:rsidP="002B43B0"/>
        </w:tc>
      </w:tr>
    </w:tbl>
    <w:p w:rsidR="002B03D2" w:rsidRPr="002B03D2" w:rsidRDefault="002B03D2" w:rsidP="002B03D2">
      <w:pPr>
        <w:spacing w:before="120"/>
        <w:rPr>
          <w:b/>
          <w:sz w:val="24"/>
          <w:szCs w:val="24"/>
        </w:rPr>
      </w:pPr>
      <w:r w:rsidRPr="002B03D2">
        <w:rPr>
          <w:b/>
          <w:sz w:val="24"/>
          <w:szCs w:val="24"/>
        </w:rPr>
        <w:t xml:space="preserve">Комитет по ликвидации расовой дискриминации </w:t>
      </w:r>
    </w:p>
    <w:p w:rsidR="002B03D2" w:rsidRPr="002B03D2" w:rsidRDefault="002B03D2" w:rsidP="002B03D2">
      <w:pPr>
        <w:pStyle w:val="HChGR"/>
      </w:pPr>
      <w:r w:rsidRPr="002B03D2">
        <w:tab/>
      </w:r>
      <w:r w:rsidRPr="002B03D2">
        <w:tab/>
        <w:t>Доклады, представленные государствами-участниками в соответствии со статьей 9 Конвенции</w:t>
      </w:r>
    </w:p>
    <w:p w:rsidR="002B03D2" w:rsidRPr="002B03D2" w:rsidRDefault="0077640C" w:rsidP="006A12E3">
      <w:pPr>
        <w:pStyle w:val="H1GR"/>
      </w:pPr>
      <w:r>
        <w:tab/>
      </w:r>
      <w:r>
        <w:tab/>
        <w:t>Шестнадцатый</w:t>
      </w:r>
      <w:r w:rsidRPr="00317F43">
        <w:t>−</w:t>
      </w:r>
      <w:r w:rsidR="002B03D2" w:rsidRPr="002B03D2">
        <w:t xml:space="preserve">девятнадцатый периодические доклады государств-участников, подлежавшие представлению </w:t>
      </w:r>
      <w:r w:rsidR="006A12E3" w:rsidRPr="00317F43">
        <w:br/>
      </w:r>
      <w:r w:rsidR="002B03D2" w:rsidRPr="002B03D2">
        <w:t>в 2012 году</w:t>
      </w:r>
    </w:p>
    <w:p w:rsidR="002B03D2" w:rsidRPr="006A12E3" w:rsidRDefault="002B03D2" w:rsidP="002B03D2">
      <w:pPr>
        <w:pStyle w:val="HChGR"/>
        <w:rPr>
          <w:b w:val="0"/>
          <w:sz w:val="18"/>
          <w:szCs w:val="18"/>
        </w:rPr>
      </w:pPr>
      <w:r w:rsidRPr="002B03D2">
        <w:tab/>
      </w:r>
      <w:r w:rsidRPr="002B03D2">
        <w:tab/>
        <w:t>Бельгия</w:t>
      </w:r>
      <w:r w:rsidRPr="006A12E3">
        <w:rPr>
          <w:b w:val="0"/>
          <w:sz w:val="18"/>
          <w:szCs w:val="18"/>
        </w:rPr>
        <w:footnoteReference w:customMarkFollows="1" w:id="1"/>
        <w:t>*</w:t>
      </w:r>
      <w:r w:rsidRPr="00317F43">
        <w:rPr>
          <w:b w:val="0"/>
          <w:sz w:val="18"/>
          <w:szCs w:val="18"/>
          <w:vertAlign w:val="superscript"/>
        </w:rPr>
        <w:t>,</w:t>
      </w:r>
      <w:r w:rsidRPr="006A12E3">
        <w:rPr>
          <w:b w:val="0"/>
          <w:sz w:val="18"/>
          <w:szCs w:val="18"/>
        </w:rPr>
        <w:t xml:space="preserve"> </w:t>
      </w:r>
      <w:r w:rsidRPr="006A12E3">
        <w:rPr>
          <w:b w:val="0"/>
          <w:sz w:val="18"/>
          <w:szCs w:val="18"/>
        </w:rPr>
        <w:footnoteReference w:customMarkFollows="1" w:id="2"/>
        <w:t>**</w:t>
      </w:r>
    </w:p>
    <w:p w:rsidR="002B03D2" w:rsidRPr="002B03D2" w:rsidRDefault="002B03D2" w:rsidP="002B03D2">
      <w:pPr>
        <w:pStyle w:val="SingleTxtGR"/>
        <w:jc w:val="right"/>
      </w:pPr>
      <w:r w:rsidRPr="002B03D2">
        <w:t>[2 октября 2012 года]</w:t>
      </w:r>
    </w:p>
    <w:p w:rsidR="006A12E3" w:rsidRDefault="002B03D2" w:rsidP="006A12E3">
      <w:pPr>
        <w:pStyle w:val="SingleTxtGR"/>
        <w:suppressAutoHyphens/>
        <w:ind w:left="0" w:right="0"/>
        <w:jc w:val="left"/>
        <w:rPr>
          <w:sz w:val="28"/>
        </w:rPr>
      </w:pPr>
      <w:r w:rsidRPr="002B03D2">
        <w:br w:type="page"/>
      </w:r>
      <w:r w:rsidR="006A12E3">
        <w:rPr>
          <w:sz w:val="28"/>
        </w:rPr>
        <w:t>Содержание</w:t>
      </w:r>
    </w:p>
    <w:p w:rsidR="006A12E3" w:rsidRDefault="006A12E3" w:rsidP="006A12E3">
      <w:pPr>
        <w:pStyle w:val="SingleTxtGR"/>
        <w:tabs>
          <w:tab w:val="clear" w:pos="1701"/>
          <w:tab w:val="clear" w:pos="2268"/>
          <w:tab w:val="clear" w:pos="2835"/>
          <w:tab w:val="clear" w:pos="3402"/>
          <w:tab w:val="clear" w:pos="3969"/>
          <w:tab w:val="right" w:pos="8929"/>
          <w:tab w:val="right" w:pos="9638"/>
        </w:tabs>
        <w:suppressAutoHyphens/>
        <w:ind w:left="283" w:right="0"/>
        <w:jc w:val="left"/>
      </w:pPr>
      <w:r>
        <w:rPr>
          <w:i/>
          <w:sz w:val="18"/>
        </w:rPr>
        <w:tab/>
        <w:t>Пункты</w:t>
      </w:r>
      <w:r>
        <w:rPr>
          <w:i/>
          <w:sz w:val="18"/>
        </w:rPr>
        <w:tab/>
        <w:t>Стр.</w:t>
      </w:r>
    </w:p>
    <w:p w:rsidR="002B03D2" w:rsidRPr="00B733D4"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2B03D2">
        <w:tab/>
      </w:r>
      <w:r w:rsidRPr="002B03D2">
        <w:tab/>
        <w:t>Сокращения и аббревиатуры</w:t>
      </w:r>
      <w:r w:rsidRPr="002B03D2">
        <w:tab/>
      </w:r>
      <w:r w:rsidRPr="002B03D2">
        <w:tab/>
      </w:r>
      <w:r w:rsidRPr="002B03D2">
        <w:tab/>
      </w:r>
      <w:r w:rsidR="00B733D4">
        <w:rPr>
          <w:lang w:val="en-US"/>
        </w:rPr>
        <w:t>5</w:t>
      </w:r>
    </w:p>
    <w:p w:rsidR="002B03D2" w:rsidRPr="00B733D4"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2B03D2">
        <w:tab/>
      </w:r>
      <w:r w:rsidRPr="002B03D2">
        <w:tab/>
        <w:t>Введение</w:t>
      </w:r>
      <w:r w:rsidRPr="002B03D2">
        <w:tab/>
      </w:r>
      <w:r w:rsidRPr="002B03D2">
        <w:tab/>
        <w:t>1–10</w:t>
      </w:r>
      <w:r w:rsidRPr="002B03D2">
        <w:tab/>
      </w:r>
      <w:r w:rsidR="00B733D4">
        <w:rPr>
          <w:lang w:val="en-US"/>
        </w:rPr>
        <w:t>6</w:t>
      </w:r>
    </w:p>
    <w:p w:rsidR="002B03D2" w:rsidRPr="00B733D4" w:rsidRDefault="00BA0DE1" w:rsidP="00BA0DE1">
      <w:pPr>
        <w:pStyle w:val="SingleTxtGR"/>
        <w:tabs>
          <w:tab w:val="clear" w:pos="1701"/>
          <w:tab w:val="clear" w:pos="2268"/>
          <w:tab w:val="clear" w:pos="2835"/>
          <w:tab w:val="clear" w:pos="3402"/>
          <w:tab w:val="clear" w:pos="3969"/>
          <w:tab w:val="right" w:pos="850"/>
          <w:tab w:val="left" w:pos="1134"/>
          <w:tab w:val="left" w:pos="1559"/>
          <w:tab w:val="left" w:pos="1984"/>
          <w:tab w:val="left" w:pos="2160"/>
          <w:tab w:val="left" w:leader="dot" w:pos="7654"/>
          <w:tab w:val="right" w:pos="8929"/>
          <w:tab w:val="right" w:pos="9638"/>
        </w:tabs>
        <w:suppressAutoHyphens/>
        <w:ind w:left="0" w:right="0"/>
        <w:jc w:val="left"/>
      </w:pPr>
      <w:r>
        <w:tab/>
      </w:r>
      <w:r>
        <w:tab/>
        <w:t>Статья 1.</w:t>
      </w:r>
      <w:r w:rsidRPr="00BA0DE1">
        <w:tab/>
      </w:r>
      <w:r>
        <w:rPr>
          <w:lang w:val="en-US"/>
        </w:rPr>
        <w:tab/>
      </w:r>
      <w:r w:rsidR="002B03D2" w:rsidRPr="002B03D2">
        <w:t>Определение дискриминации</w:t>
      </w:r>
      <w:r w:rsidR="002B03D2" w:rsidRPr="006A12E3">
        <w:tab/>
      </w:r>
      <w:r w:rsidR="002B03D2" w:rsidRPr="006A12E3">
        <w:tab/>
        <w:t>11–25</w:t>
      </w:r>
      <w:r w:rsidR="002B03D2" w:rsidRPr="006A12E3">
        <w:tab/>
      </w:r>
      <w:r w:rsidR="00B733D4" w:rsidRPr="00B733D4">
        <w:t>7</w:t>
      </w:r>
    </w:p>
    <w:p w:rsidR="002B03D2" w:rsidRPr="00B733D4" w:rsidRDefault="00BA0DE1"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B733D4">
        <w:tab/>
      </w:r>
      <w:r w:rsidRPr="00B733D4">
        <w:tab/>
      </w:r>
      <w:r>
        <w:t>А.</w:t>
      </w:r>
      <w:r>
        <w:tab/>
      </w:r>
      <w:r w:rsidR="002B03D2" w:rsidRPr="002B03D2">
        <w:t xml:space="preserve">Новое определение дискриминации, составленное в целях </w:t>
      </w:r>
      <w:r w:rsidR="002B03D2" w:rsidRPr="002B03D2">
        <w:br/>
      </w:r>
      <w:r>
        <w:tab/>
      </w:r>
      <w:r>
        <w:tab/>
      </w:r>
      <w:r>
        <w:tab/>
      </w:r>
      <w:r w:rsidR="002B03D2" w:rsidRPr="002B03D2">
        <w:t>согласованности и единообрази</w:t>
      </w:r>
      <w:r>
        <w:t>я законов о федеральной системе</w:t>
      </w:r>
      <w:r>
        <w:br/>
      </w:r>
      <w:r>
        <w:tab/>
      </w:r>
      <w:r>
        <w:tab/>
      </w:r>
      <w:r>
        <w:tab/>
      </w:r>
      <w:r w:rsidR="002B03D2" w:rsidRPr="002B03D2">
        <w:t>обеспечения равного обращения</w:t>
      </w:r>
      <w:r w:rsidR="002B03D2" w:rsidRPr="002B03D2">
        <w:tab/>
      </w:r>
      <w:r w:rsidR="002B03D2" w:rsidRPr="002B03D2">
        <w:tab/>
        <w:t>11–14</w:t>
      </w:r>
      <w:r w:rsidR="002B03D2" w:rsidRPr="002B03D2">
        <w:tab/>
      </w:r>
      <w:r w:rsidR="00B733D4" w:rsidRPr="00B733D4">
        <w:t>7</w:t>
      </w:r>
    </w:p>
    <w:p w:rsidR="002B03D2" w:rsidRPr="00B733D4"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2B03D2">
        <w:tab/>
      </w:r>
      <w:r w:rsidRPr="002B03D2">
        <w:tab/>
      </w:r>
      <w:r w:rsidRPr="006A12E3">
        <w:t>B</w:t>
      </w:r>
      <w:r w:rsidRPr="002B03D2">
        <w:t>.</w:t>
      </w:r>
      <w:r w:rsidRPr="002B03D2">
        <w:tab/>
        <w:t>Определения</w:t>
      </w:r>
      <w:r w:rsidRPr="002B03D2">
        <w:tab/>
      </w:r>
      <w:r w:rsidRPr="002B03D2">
        <w:tab/>
        <w:t>15–25</w:t>
      </w:r>
      <w:r w:rsidRPr="002B03D2">
        <w:tab/>
      </w:r>
      <w:r w:rsidR="00B733D4">
        <w:rPr>
          <w:lang w:val="en-US"/>
        </w:rPr>
        <w:t>8</w:t>
      </w:r>
    </w:p>
    <w:p w:rsidR="002B03D2" w:rsidRPr="00B733D4" w:rsidRDefault="00E34013" w:rsidP="00E34013">
      <w:pPr>
        <w:pStyle w:val="SingleTxtGR"/>
        <w:tabs>
          <w:tab w:val="clear" w:pos="1701"/>
          <w:tab w:val="clear" w:pos="2268"/>
          <w:tab w:val="clear" w:pos="2835"/>
          <w:tab w:val="clear" w:pos="3402"/>
          <w:tab w:val="clear" w:pos="3969"/>
          <w:tab w:val="right" w:pos="850"/>
          <w:tab w:val="left" w:pos="1134"/>
          <w:tab w:val="left" w:pos="1559"/>
          <w:tab w:val="left" w:pos="1984"/>
          <w:tab w:val="left" w:pos="2212"/>
          <w:tab w:val="left" w:leader="dot" w:pos="7654"/>
          <w:tab w:val="right" w:pos="8929"/>
          <w:tab w:val="right" w:pos="9638"/>
        </w:tabs>
        <w:suppressAutoHyphens/>
        <w:ind w:left="0" w:right="0"/>
        <w:jc w:val="left"/>
      </w:pPr>
      <w:r>
        <w:tab/>
      </w:r>
      <w:r>
        <w:tab/>
        <w:t>Статья 2.</w:t>
      </w:r>
      <w:r>
        <w:tab/>
      </w:r>
      <w:r>
        <w:tab/>
      </w:r>
      <w:r w:rsidR="002B03D2" w:rsidRPr="002B03D2">
        <w:t>Политика борьбы против расизма</w:t>
      </w:r>
      <w:r w:rsidR="002B03D2" w:rsidRPr="002B03D2">
        <w:tab/>
      </w:r>
      <w:r w:rsidR="002B03D2" w:rsidRPr="002B03D2">
        <w:tab/>
        <w:t>26–125</w:t>
      </w:r>
      <w:r w:rsidR="002B03D2" w:rsidRPr="002B03D2">
        <w:tab/>
      </w:r>
      <w:r w:rsidR="00B733D4" w:rsidRPr="00B733D4">
        <w:t>10</w:t>
      </w:r>
    </w:p>
    <w:p w:rsidR="002B03D2" w:rsidRPr="00B733D4"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6A12E3">
        <w:t>A</w:t>
      </w:r>
      <w:r w:rsidRPr="002B03D2">
        <w:t>.</w:t>
      </w:r>
      <w:r w:rsidRPr="002B03D2">
        <w:tab/>
        <w:t>Международные обязательства</w:t>
      </w:r>
      <w:r w:rsidRPr="002B03D2">
        <w:tab/>
      </w:r>
      <w:r w:rsidRPr="002B03D2">
        <w:tab/>
        <w:t>26–28</w:t>
      </w:r>
      <w:r w:rsidRPr="002B03D2">
        <w:tab/>
      </w:r>
      <w:r w:rsidR="00B733D4" w:rsidRPr="00B733D4">
        <w:t>10</w:t>
      </w:r>
    </w:p>
    <w:p w:rsidR="002B03D2" w:rsidRPr="00B733D4"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6A12E3">
        <w:t>B</w:t>
      </w:r>
      <w:r w:rsidRPr="002B03D2">
        <w:t>.</w:t>
      </w:r>
      <w:r w:rsidRPr="002B03D2">
        <w:tab/>
        <w:t>Изменение и развитие Конституции и законодательства</w:t>
      </w:r>
      <w:r w:rsidRPr="002B03D2">
        <w:tab/>
      </w:r>
      <w:r w:rsidRPr="002B03D2">
        <w:tab/>
        <w:t>29–42</w:t>
      </w:r>
      <w:r w:rsidRPr="002B03D2">
        <w:tab/>
      </w:r>
      <w:r w:rsidR="00B733D4" w:rsidRPr="00B733D4">
        <w:t>11</w:t>
      </w:r>
    </w:p>
    <w:p w:rsidR="002B03D2" w:rsidRPr="00B733D4"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1.</w:t>
      </w:r>
      <w:r w:rsidRPr="002B03D2">
        <w:tab/>
        <w:t xml:space="preserve">Усиление федерального, общинного и регионального </w:t>
      </w:r>
      <w:r w:rsidR="00E34013">
        <w:br/>
      </w:r>
      <w:r w:rsidR="00E34013">
        <w:tab/>
      </w:r>
      <w:r w:rsidR="00E34013">
        <w:tab/>
      </w:r>
      <w:r w:rsidR="00E34013">
        <w:tab/>
      </w:r>
      <w:r w:rsidR="00E34013">
        <w:tab/>
      </w:r>
      <w:r w:rsidRPr="002B03D2">
        <w:t>законодательства</w:t>
      </w:r>
      <w:r w:rsidR="00E34013">
        <w:t xml:space="preserve"> </w:t>
      </w:r>
      <w:r w:rsidRPr="002B03D2">
        <w:t>в области равного обращения</w:t>
      </w:r>
      <w:r w:rsidRPr="002B03D2">
        <w:tab/>
      </w:r>
      <w:r w:rsidRPr="002B03D2">
        <w:tab/>
        <w:t>29–35</w:t>
      </w:r>
      <w:r w:rsidRPr="002B03D2">
        <w:tab/>
      </w:r>
      <w:r w:rsidR="00B733D4" w:rsidRPr="00B733D4">
        <w:t>11</w:t>
      </w:r>
    </w:p>
    <w:p w:rsidR="002B03D2" w:rsidRPr="00B733D4"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2.</w:t>
      </w:r>
      <w:r w:rsidRPr="002B03D2">
        <w:tab/>
        <w:t>Лишение/приостановление действия некоторых гра</w:t>
      </w:r>
      <w:r w:rsidRPr="002B03D2">
        <w:t>ж</w:t>
      </w:r>
      <w:r w:rsidR="00E34013">
        <w:t>данских</w:t>
      </w:r>
      <w:r w:rsidR="00E34013">
        <w:br/>
      </w:r>
      <w:r w:rsidR="00E34013">
        <w:tab/>
      </w:r>
      <w:r w:rsidR="00E34013">
        <w:tab/>
      </w:r>
      <w:r w:rsidR="00E34013">
        <w:tab/>
      </w:r>
      <w:r w:rsidR="00E34013">
        <w:tab/>
      </w:r>
      <w:r w:rsidRPr="002B03D2">
        <w:t>и политических прав</w:t>
      </w:r>
      <w:r w:rsidRPr="002B03D2">
        <w:tab/>
      </w:r>
      <w:r w:rsidRPr="002B03D2">
        <w:tab/>
        <w:t>36–39</w:t>
      </w:r>
      <w:r w:rsidRPr="002B03D2">
        <w:tab/>
      </w:r>
      <w:r w:rsidR="00B733D4" w:rsidRPr="00B733D4">
        <w:t>14</w:t>
      </w:r>
    </w:p>
    <w:p w:rsidR="002B03D2" w:rsidRPr="00B733D4"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3.</w:t>
      </w:r>
      <w:r w:rsidRPr="002B03D2">
        <w:tab/>
        <w:t xml:space="preserve">Вынесение судами и трибуналами обвинительных </w:t>
      </w:r>
      <w:r w:rsidR="00E34013">
        <w:br/>
      </w:r>
      <w:r w:rsidR="00E34013">
        <w:tab/>
      </w:r>
      <w:r w:rsidR="00E34013">
        <w:tab/>
      </w:r>
      <w:r w:rsidR="00E34013">
        <w:tab/>
      </w:r>
      <w:r w:rsidR="00E34013">
        <w:tab/>
      </w:r>
      <w:r w:rsidRPr="002B03D2">
        <w:t>пр</w:t>
      </w:r>
      <w:r w:rsidRPr="002B03D2">
        <w:t>и</w:t>
      </w:r>
      <w:r w:rsidRPr="002B03D2">
        <w:t>говоров по делам о насилии на почве расизма</w:t>
      </w:r>
      <w:r w:rsidRPr="002B03D2">
        <w:tab/>
      </w:r>
      <w:r w:rsidRPr="002B03D2">
        <w:tab/>
        <w:t>40–42</w:t>
      </w:r>
      <w:r w:rsidRPr="002B03D2">
        <w:tab/>
      </w:r>
      <w:r w:rsidR="00B733D4" w:rsidRPr="00B733D4">
        <w:t>14</w:t>
      </w:r>
    </w:p>
    <w:p w:rsidR="002B03D2" w:rsidRPr="00B733D4"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6A12E3">
        <w:t>C</w:t>
      </w:r>
      <w:r w:rsidRPr="002B03D2">
        <w:t>.</w:t>
      </w:r>
      <w:r w:rsidRPr="002B03D2">
        <w:tab/>
        <w:t>Другие меры</w:t>
      </w:r>
      <w:r w:rsidRPr="002B03D2">
        <w:tab/>
      </w:r>
      <w:r w:rsidRPr="002B03D2">
        <w:tab/>
        <w:t>43–125</w:t>
      </w:r>
      <w:r w:rsidRPr="002B03D2">
        <w:tab/>
      </w:r>
      <w:r w:rsidR="00B733D4" w:rsidRPr="00B733D4">
        <w:t>15</w:t>
      </w:r>
    </w:p>
    <w:p w:rsidR="002B03D2" w:rsidRPr="00B733D4"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1.</w:t>
      </w:r>
      <w:r w:rsidRPr="002B03D2">
        <w:tab/>
        <w:t>Информацион</w:t>
      </w:r>
      <w:r w:rsidR="00E34013">
        <w:t>но-пропагандистские мероприятия</w:t>
      </w:r>
      <w:r w:rsidR="00E34013">
        <w:br/>
      </w:r>
      <w:r w:rsidR="00E34013">
        <w:tab/>
      </w:r>
      <w:r w:rsidR="00E34013">
        <w:tab/>
      </w:r>
      <w:r w:rsidR="00E34013">
        <w:tab/>
      </w:r>
      <w:r w:rsidR="00E34013">
        <w:tab/>
      </w:r>
      <w:r w:rsidRPr="002B03D2">
        <w:t>для целевых групп</w:t>
      </w:r>
      <w:r w:rsidRPr="002B03D2">
        <w:tab/>
      </w:r>
      <w:r w:rsidRPr="002B03D2">
        <w:tab/>
        <w:t>43–48</w:t>
      </w:r>
      <w:r w:rsidRPr="002B03D2">
        <w:tab/>
      </w:r>
      <w:r w:rsidR="00B733D4" w:rsidRPr="00B733D4">
        <w:t>15</w:t>
      </w:r>
    </w:p>
    <w:p w:rsidR="002B03D2" w:rsidRPr="00B733D4"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2.</w:t>
      </w:r>
      <w:r w:rsidRPr="002B03D2">
        <w:tab/>
        <w:t>Программы и политика в области интеграции</w:t>
      </w:r>
      <w:r w:rsidRPr="002B03D2">
        <w:tab/>
      </w:r>
      <w:r w:rsidRPr="002B03D2">
        <w:tab/>
        <w:t>49–113</w:t>
      </w:r>
      <w:r w:rsidRPr="002B03D2">
        <w:tab/>
      </w:r>
      <w:r w:rsidR="00B733D4" w:rsidRPr="00B733D4">
        <w:t>16</w:t>
      </w:r>
    </w:p>
    <w:p w:rsidR="002B03D2" w:rsidRPr="00B733D4"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3.</w:t>
      </w:r>
      <w:r w:rsidRPr="002B03D2">
        <w:tab/>
        <w:t>Борьба против расизма в Интернете</w:t>
      </w:r>
      <w:r w:rsidRPr="002B03D2">
        <w:tab/>
      </w:r>
      <w:r w:rsidRPr="002B03D2">
        <w:tab/>
        <w:t>114–116</w:t>
      </w:r>
      <w:r w:rsidRPr="002B03D2">
        <w:tab/>
      </w:r>
      <w:r w:rsidR="00B733D4" w:rsidRPr="00B733D4">
        <w:t>27</w:t>
      </w:r>
    </w:p>
    <w:p w:rsidR="002B03D2" w:rsidRPr="00954BEB"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4.</w:t>
      </w:r>
      <w:r w:rsidRPr="002B03D2">
        <w:tab/>
        <w:t>Борьба против антисемитизма и исламофобии</w:t>
      </w:r>
      <w:r w:rsidRPr="002B03D2">
        <w:tab/>
      </w:r>
      <w:r w:rsidRPr="002B03D2">
        <w:tab/>
        <w:t>117–125</w:t>
      </w:r>
      <w:r w:rsidRPr="002B03D2">
        <w:tab/>
      </w:r>
      <w:r w:rsidR="00954BEB" w:rsidRPr="00954BEB">
        <w:t>28</w:t>
      </w:r>
    </w:p>
    <w:p w:rsidR="002B03D2" w:rsidRPr="006259AC" w:rsidRDefault="002B03D2" w:rsidP="00E34013">
      <w:pPr>
        <w:pStyle w:val="SingleTxtGR"/>
        <w:tabs>
          <w:tab w:val="clear" w:pos="1701"/>
          <w:tab w:val="clear" w:pos="2268"/>
          <w:tab w:val="clear" w:pos="2835"/>
          <w:tab w:val="clear" w:pos="3402"/>
          <w:tab w:val="clear" w:pos="3969"/>
          <w:tab w:val="right" w:pos="850"/>
          <w:tab w:val="left" w:pos="1134"/>
          <w:tab w:val="left" w:pos="1559"/>
          <w:tab w:val="left" w:pos="1984"/>
          <w:tab w:val="left" w:pos="2160"/>
          <w:tab w:val="left" w:leader="dot" w:pos="7654"/>
          <w:tab w:val="right" w:pos="8929"/>
          <w:tab w:val="right" w:pos="9638"/>
        </w:tabs>
        <w:suppressAutoHyphens/>
        <w:ind w:left="0" w:right="0"/>
        <w:jc w:val="left"/>
      </w:pPr>
      <w:r w:rsidRPr="002B03D2">
        <w:tab/>
      </w:r>
      <w:r w:rsidRPr="002B03D2">
        <w:tab/>
        <w:t>Статья 3.</w:t>
      </w:r>
      <w:r w:rsidR="00E34013">
        <w:tab/>
      </w:r>
      <w:r w:rsidR="00E34013">
        <w:tab/>
      </w:r>
      <w:r w:rsidRPr="002B03D2">
        <w:t>Осуждение расовой сегрегации и апартеида</w:t>
      </w:r>
      <w:r w:rsidRPr="002B03D2">
        <w:tab/>
      </w:r>
      <w:r w:rsidRPr="002B03D2">
        <w:tab/>
        <w:t>126–129</w:t>
      </w:r>
      <w:r w:rsidRPr="002B03D2">
        <w:tab/>
      </w:r>
      <w:r w:rsidR="006259AC" w:rsidRPr="006259AC">
        <w:t>29</w:t>
      </w:r>
    </w:p>
    <w:p w:rsidR="002B03D2" w:rsidRPr="006259AC" w:rsidRDefault="002B03D2" w:rsidP="00E34013">
      <w:pPr>
        <w:pStyle w:val="SingleTxtGR"/>
        <w:tabs>
          <w:tab w:val="clear" w:pos="1701"/>
          <w:tab w:val="clear" w:pos="2268"/>
          <w:tab w:val="clear" w:pos="2835"/>
          <w:tab w:val="clear" w:pos="3402"/>
          <w:tab w:val="clear" w:pos="3969"/>
          <w:tab w:val="right" w:pos="850"/>
          <w:tab w:val="left" w:pos="1134"/>
          <w:tab w:val="left" w:pos="1559"/>
          <w:tab w:val="left" w:pos="1984"/>
          <w:tab w:val="left" w:pos="2160"/>
          <w:tab w:val="left" w:leader="dot" w:pos="7654"/>
          <w:tab w:val="right" w:pos="8929"/>
          <w:tab w:val="right" w:pos="9638"/>
        </w:tabs>
        <w:suppressAutoHyphens/>
        <w:ind w:left="0" w:right="0"/>
        <w:jc w:val="left"/>
      </w:pPr>
      <w:r w:rsidRPr="002B03D2">
        <w:tab/>
      </w:r>
      <w:r w:rsidRPr="002B03D2">
        <w:tab/>
        <w:t xml:space="preserve">Статья 4. </w:t>
      </w:r>
      <w:r w:rsidR="00E34013">
        <w:tab/>
      </w:r>
      <w:r w:rsidRPr="002B03D2">
        <w:t xml:space="preserve">Осуждение всякой расистской пропаганды и всех </w:t>
      </w:r>
      <w:r w:rsidR="00E34013">
        <w:br/>
      </w:r>
      <w:r w:rsidR="00E34013">
        <w:tab/>
      </w:r>
      <w:r w:rsidR="00E34013">
        <w:tab/>
      </w:r>
      <w:r w:rsidR="00E34013">
        <w:tab/>
      </w:r>
      <w:r w:rsidR="00E34013">
        <w:tab/>
      </w:r>
      <w:r w:rsidR="00E34013">
        <w:tab/>
      </w:r>
      <w:r w:rsidRPr="002B03D2">
        <w:t>расис</w:t>
      </w:r>
      <w:r w:rsidRPr="002B03D2">
        <w:t>т</w:t>
      </w:r>
      <w:r w:rsidRPr="002B03D2">
        <w:t>ских</w:t>
      </w:r>
      <w:r w:rsidR="00E34013">
        <w:t xml:space="preserve"> </w:t>
      </w:r>
      <w:r w:rsidRPr="002B03D2">
        <w:t>организаций</w:t>
      </w:r>
      <w:r w:rsidRPr="006A12E3">
        <w:tab/>
      </w:r>
      <w:r w:rsidRPr="006A12E3">
        <w:tab/>
        <w:t>130–137</w:t>
      </w:r>
      <w:r w:rsidRPr="006A12E3">
        <w:tab/>
      </w:r>
      <w:r w:rsidR="006259AC" w:rsidRPr="006259AC">
        <w:t>30</w:t>
      </w:r>
    </w:p>
    <w:p w:rsidR="002B03D2" w:rsidRPr="006259AC" w:rsidRDefault="00E34013"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tab/>
        <w:t>А.</w:t>
      </w:r>
      <w:r>
        <w:tab/>
      </w:r>
      <w:r w:rsidR="002B03D2" w:rsidRPr="002B03D2">
        <w:t xml:space="preserve">Запрещение организаций, которые поощряют расовую </w:t>
      </w:r>
      <w:r>
        <w:br/>
      </w:r>
      <w:r>
        <w:tab/>
      </w:r>
      <w:r>
        <w:tab/>
      </w:r>
      <w:r>
        <w:tab/>
      </w:r>
      <w:r w:rsidR="002B03D2" w:rsidRPr="002B03D2">
        <w:t>дискриминацию</w:t>
      </w:r>
      <w:r>
        <w:t xml:space="preserve"> и</w:t>
      </w:r>
      <w:r w:rsidR="002B03D2" w:rsidRPr="002B03D2">
        <w:t xml:space="preserve"> подстрекают к ней</w:t>
      </w:r>
      <w:r w:rsidR="002B03D2" w:rsidRPr="006A12E3">
        <w:tab/>
      </w:r>
      <w:r w:rsidR="002B03D2" w:rsidRPr="006A12E3">
        <w:tab/>
        <w:t>130–133</w:t>
      </w:r>
      <w:r w:rsidR="002B03D2" w:rsidRPr="006A12E3">
        <w:tab/>
      </w:r>
      <w:r w:rsidR="006259AC" w:rsidRPr="006259AC">
        <w:t>30</w:t>
      </w:r>
    </w:p>
    <w:p w:rsidR="002B03D2" w:rsidRPr="006259AC" w:rsidRDefault="00E34013"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tab/>
      </w:r>
      <w:r>
        <w:tab/>
        <w:t>В.</w:t>
      </w:r>
      <w:r>
        <w:tab/>
      </w:r>
      <w:r w:rsidR="002B03D2" w:rsidRPr="002B03D2">
        <w:t>Финансирование партий, враждебно относящихся к свободам:</w:t>
      </w:r>
      <w:r>
        <w:br/>
      </w:r>
      <w:r>
        <w:tab/>
      </w:r>
      <w:r>
        <w:tab/>
      </w:r>
      <w:r>
        <w:tab/>
      </w:r>
      <w:r w:rsidR="002B03D2" w:rsidRPr="002B03D2">
        <w:t xml:space="preserve">процесс над партией </w:t>
      </w:r>
      <w:r>
        <w:t>"</w:t>
      </w:r>
      <w:r w:rsidR="002B03D2" w:rsidRPr="002B03D2">
        <w:t>Фламандский интерес</w:t>
      </w:r>
      <w:r>
        <w:t>"</w:t>
      </w:r>
      <w:r w:rsidR="002B03D2" w:rsidRPr="002B03D2">
        <w:tab/>
      </w:r>
      <w:r w:rsidR="002B03D2" w:rsidRPr="002B03D2">
        <w:tab/>
        <w:t>134–137</w:t>
      </w:r>
      <w:r w:rsidR="002B03D2" w:rsidRPr="002B03D2">
        <w:tab/>
      </w:r>
      <w:r w:rsidR="006259AC" w:rsidRPr="006259AC">
        <w:t>31</w:t>
      </w:r>
    </w:p>
    <w:p w:rsidR="002B03D2" w:rsidRPr="006259AC" w:rsidRDefault="002B03D2" w:rsidP="00942044">
      <w:pPr>
        <w:pStyle w:val="SingleTxtGR"/>
        <w:tabs>
          <w:tab w:val="clear" w:pos="1701"/>
          <w:tab w:val="clear" w:pos="2268"/>
          <w:tab w:val="clear" w:pos="2835"/>
          <w:tab w:val="clear" w:pos="3402"/>
          <w:tab w:val="clear" w:pos="3969"/>
          <w:tab w:val="right" w:pos="850"/>
          <w:tab w:val="left" w:pos="1134"/>
          <w:tab w:val="left" w:pos="1559"/>
          <w:tab w:val="left" w:pos="2160"/>
          <w:tab w:val="left" w:leader="dot" w:pos="7654"/>
          <w:tab w:val="right" w:pos="8929"/>
          <w:tab w:val="right" w:pos="9638"/>
        </w:tabs>
        <w:suppressAutoHyphens/>
        <w:ind w:left="0" w:right="0"/>
        <w:jc w:val="left"/>
      </w:pPr>
      <w:r w:rsidRPr="002B03D2">
        <w:tab/>
      </w:r>
      <w:r w:rsidRPr="002B03D2">
        <w:tab/>
        <w:t xml:space="preserve">Статья 5. </w:t>
      </w:r>
      <w:r w:rsidR="00942044">
        <w:tab/>
      </w:r>
      <w:r w:rsidRPr="002B03D2">
        <w:t>Запрещение расовой дискриминации во всех ее формах</w:t>
      </w:r>
      <w:r w:rsidRPr="002B03D2">
        <w:tab/>
      </w:r>
      <w:r w:rsidRPr="002B03D2">
        <w:tab/>
        <w:t>138–282</w:t>
      </w:r>
      <w:r w:rsidRPr="002B03D2">
        <w:tab/>
      </w:r>
      <w:r w:rsidR="006259AC" w:rsidRPr="006259AC">
        <w:t>32</w:t>
      </w:r>
    </w:p>
    <w:p w:rsidR="002B03D2" w:rsidRPr="006259AC"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6A12E3">
        <w:t>A</w:t>
      </w:r>
      <w:r w:rsidRPr="002B03D2">
        <w:t>.</w:t>
      </w:r>
      <w:r w:rsidRPr="002B03D2">
        <w:tab/>
        <w:t>Обновление положений, касающихся пребывания в Бельгии</w:t>
      </w:r>
      <w:r w:rsidRPr="002B03D2">
        <w:br/>
      </w:r>
      <w:r w:rsidR="00942044">
        <w:tab/>
      </w:r>
      <w:r w:rsidR="00942044">
        <w:tab/>
      </w:r>
      <w:r w:rsidR="00942044">
        <w:tab/>
      </w:r>
      <w:r w:rsidRPr="002B03D2">
        <w:t>некоторых иностранцев</w:t>
      </w:r>
      <w:r w:rsidRPr="002B03D2">
        <w:tab/>
      </w:r>
      <w:r w:rsidRPr="002B03D2">
        <w:tab/>
        <w:t>138–189</w:t>
      </w:r>
      <w:r w:rsidRPr="002B03D2">
        <w:tab/>
      </w:r>
      <w:r w:rsidR="006259AC" w:rsidRPr="006259AC">
        <w:t>32</w:t>
      </w:r>
    </w:p>
    <w:p w:rsidR="002B03D2" w:rsidRPr="006259AC"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1.</w:t>
      </w:r>
      <w:r w:rsidRPr="002B03D2">
        <w:tab/>
        <w:t>Процедура рассмотрения дел Советом по урегулиров</w:t>
      </w:r>
      <w:r w:rsidRPr="002B03D2">
        <w:t>а</w:t>
      </w:r>
      <w:r w:rsidRPr="002B03D2">
        <w:t xml:space="preserve">нию </w:t>
      </w:r>
      <w:r w:rsidR="00942044">
        <w:br/>
      </w:r>
      <w:r w:rsidR="00942044">
        <w:tab/>
      </w:r>
      <w:r w:rsidR="00942044">
        <w:tab/>
      </w:r>
      <w:r w:rsidR="00942044">
        <w:tab/>
      </w:r>
      <w:r w:rsidR="00942044">
        <w:tab/>
      </w:r>
      <w:r w:rsidRPr="002B03D2">
        <w:t>споров,</w:t>
      </w:r>
      <w:r w:rsidR="00942044">
        <w:t xml:space="preserve"> </w:t>
      </w:r>
      <w:r w:rsidRPr="002B03D2">
        <w:t>касающихся иностранцев</w:t>
      </w:r>
      <w:r w:rsidRPr="002B03D2">
        <w:tab/>
      </w:r>
      <w:r w:rsidRPr="002B03D2">
        <w:tab/>
        <w:t>138–140</w:t>
      </w:r>
      <w:r w:rsidRPr="002B03D2">
        <w:tab/>
      </w:r>
      <w:r w:rsidR="006259AC" w:rsidRPr="006259AC">
        <w:t>32</w:t>
      </w:r>
    </w:p>
    <w:p w:rsidR="002B03D2" w:rsidRPr="006259AC"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2.</w:t>
      </w:r>
      <w:r w:rsidRPr="002B03D2">
        <w:tab/>
        <w:t>Убежище</w:t>
      </w:r>
      <w:r w:rsidRPr="002B03D2">
        <w:tab/>
      </w:r>
      <w:r w:rsidRPr="002B03D2">
        <w:tab/>
        <w:t>141–147</w:t>
      </w:r>
      <w:r w:rsidRPr="002B03D2">
        <w:tab/>
      </w:r>
      <w:r w:rsidR="006259AC" w:rsidRPr="006259AC">
        <w:t>32</w:t>
      </w:r>
    </w:p>
    <w:p w:rsidR="002B03D2" w:rsidRPr="006259AC"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3.</w:t>
      </w:r>
      <w:r w:rsidRPr="002B03D2">
        <w:tab/>
        <w:t>Прием</w:t>
      </w:r>
      <w:r w:rsidRPr="002B03D2">
        <w:tab/>
      </w:r>
      <w:r w:rsidRPr="002B03D2">
        <w:tab/>
        <w:t>148–151</w:t>
      </w:r>
      <w:r w:rsidRPr="002B03D2">
        <w:tab/>
      </w:r>
      <w:r w:rsidR="006259AC" w:rsidRPr="006259AC">
        <w:t>34</w:t>
      </w:r>
    </w:p>
    <w:p w:rsidR="002B03D2" w:rsidRPr="006259AC"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4.</w:t>
      </w:r>
      <w:r w:rsidRPr="002B03D2">
        <w:tab/>
        <w:t>Доступ на территорию страны и получение статуса</w:t>
      </w:r>
      <w:r w:rsidRPr="002B03D2">
        <w:tab/>
      </w:r>
      <w:r w:rsidRPr="002B03D2">
        <w:tab/>
        <w:t>152–159</w:t>
      </w:r>
      <w:r w:rsidRPr="002B03D2">
        <w:tab/>
      </w:r>
      <w:r w:rsidR="006259AC" w:rsidRPr="006259AC">
        <w:t>35</w:t>
      </w:r>
    </w:p>
    <w:p w:rsidR="002B03D2" w:rsidRPr="006259AC"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5.</w:t>
      </w:r>
      <w:r w:rsidRPr="002B03D2">
        <w:tab/>
        <w:t>Удаление с территории</w:t>
      </w:r>
      <w:r w:rsidRPr="002B03D2">
        <w:tab/>
      </w:r>
      <w:r w:rsidRPr="002B03D2">
        <w:tab/>
        <w:t>160–169</w:t>
      </w:r>
      <w:r w:rsidRPr="002B03D2">
        <w:tab/>
      </w:r>
      <w:r w:rsidR="006259AC" w:rsidRPr="006259AC">
        <w:t>37</w:t>
      </w:r>
    </w:p>
    <w:p w:rsidR="002B03D2" w:rsidRPr="006259AC"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6.</w:t>
      </w:r>
      <w:r w:rsidRPr="002B03D2">
        <w:tab/>
        <w:t>Воссоединение семьи</w:t>
      </w:r>
      <w:r w:rsidRPr="002B03D2">
        <w:tab/>
      </w:r>
      <w:r w:rsidRPr="002B03D2">
        <w:tab/>
        <w:t>170–173</w:t>
      </w:r>
      <w:r w:rsidRPr="002B03D2">
        <w:tab/>
      </w:r>
      <w:r w:rsidR="006259AC" w:rsidRPr="006259AC">
        <w:t>39</w:t>
      </w:r>
    </w:p>
    <w:p w:rsidR="002B03D2" w:rsidRPr="006259AC"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7.</w:t>
      </w:r>
      <w:r w:rsidRPr="002B03D2">
        <w:tab/>
        <w:t>Несопровождаемые несовершеннолетние иностранцы (ННИ)</w:t>
      </w:r>
      <w:r w:rsidRPr="002B03D2">
        <w:tab/>
      </w:r>
      <w:r w:rsidRPr="002B03D2">
        <w:tab/>
        <w:t>174–178</w:t>
      </w:r>
      <w:r w:rsidRPr="002B03D2">
        <w:tab/>
      </w:r>
      <w:r w:rsidR="006259AC" w:rsidRPr="006259AC">
        <w:t>40</w:t>
      </w:r>
    </w:p>
    <w:p w:rsidR="002B03D2" w:rsidRPr="006259AC"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8.</w:t>
      </w:r>
      <w:r w:rsidRPr="002B03D2">
        <w:tab/>
        <w:t xml:space="preserve">Усиление положений в области борьбы с торговлей людьми </w:t>
      </w:r>
      <w:r w:rsidR="00942044">
        <w:br/>
      </w:r>
      <w:r w:rsidR="00942044">
        <w:tab/>
      </w:r>
      <w:r w:rsidR="00942044">
        <w:tab/>
      </w:r>
      <w:r w:rsidR="00942044">
        <w:tab/>
      </w:r>
      <w:r w:rsidR="00942044">
        <w:tab/>
      </w:r>
      <w:r w:rsidRPr="002B03D2">
        <w:t>и</w:t>
      </w:r>
      <w:r w:rsidR="00942044">
        <w:t xml:space="preserve"> </w:t>
      </w:r>
      <w:r w:rsidRPr="002B03D2">
        <w:t>их незаконным провозом</w:t>
      </w:r>
      <w:r w:rsidRPr="002B03D2">
        <w:tab/>
      </w:r>
      <w:r w:rsidRPr="002B03D2">
        <w:tab/>
        <w:t>179–189</w:t>
      </w:r>
      <w:r w:rsidRPr="002B03D2">
        <w:tab/>
      </w:r>
      <w:r w:rsidR="006259AC" w:rsidRPr="006259AC">
        <w:t>41</w:t>
      </w:r>
    </w:p>
    <w:p w:rsidR="002B03D2" w:rsidRPr="006259AC"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6A12E3">
        <w:t>B</w:t>
      </w:r>
      <w:r w:rsidRPr="002B03D2">
        <w:t>.</w:t>
      </w:r>
      <w:r w:rsidRPr="002B03D2">
        <w:tab/>
        <w:t>Положения, касающиеся приобретения бельгийского гра</w:t>
      </w:r>
      <w:r w:rsidRPr="002B03D2">
        <w:t>ж</w:t>
      </w:r>
      <w:r w:rsidRPr="002B03D2">
        <w:t>данства</w:t>
      </w:r>
      <w:r w:rsidRPr="002B03D2">
        <w:tab/>
      </w:r>
      <w:r w:rsidRPr="002B03D2">
        <w:tab/>
        <w:t>190–195</w:t>
      </w:r>
      <w:r w:rsidRPr="002B03D2">
        <w:tab/>
      </w:r>
      <w:r w:rsidR="006259AC" w:rsidRPr="006259AC">
        <w:t>44</w:t>
      </w:r>
    </w:p>
    <w:p w:rsidR="002B03D2" w:rsidRPr="006259AC"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6A12E3">
        <w:t>C</w:t>
      </w:r>
      <w:r w:rsidRPr="002B03D2">
        <w:t>.</w:t>
      </w:r>
      <w:r w:rsidRPr="002B03D2">
        <w:tab/>
        <w:t>Право на вступление в брак и на выбор супруга/супруги</w:t>
      </w:r>
      <w:r w:rsidRPr="002B03D2">
        <w:tab/>
      </w:r>
      <w:r w:rsidRPr="002B03D2">
        <w:tab/>
        <w:t>196–203</w:t>
      </w:r>
      <w:r w:rsidRPr="002B03D2">
        <w:tab/>
      </w:r>
      <w:r w:rsidR="006259AC" w:rsidRPr="006259AC">
        <w:t>45</w:t>
      </w:r>
    </w:p>
    <w:p w:rsidR="002B03D2" w:rsidRPr="006259AC"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6A12E3">
        <w:t>D</w:t>
      </w:r>
      <w:r w:rsidRPr="002B03D2">
        <w:t>.</w:t>
      </w:r>
      <w:r w:rsidRPr="002B03D2">
        <w:tab/>
        <w:t>Участие в выборах лиц, не являющихся гражданами Бельгии</w:t>
      </w:r>
      <w:r w:rsidRPr="002B03D2">
        <w:tab/>
      </w:r>
      <w:r w:rsidRPr="002B03D2">
        <w:tab/>
        <w:t>204–206</w:t>
      </w:r>
      <w:r w:rsidRPr="002B03D2">
        <w:tab/>
      </w:r>
      <w:r w:rsidR="006259AC" w:rsidRPr="006259AC">
        <w:t>46</w:t>
      </w:r>
    </w:p>
    <w:p w:rsidR="002B03D2" w:rsidRPr="006259AC"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6A12E3">
        <w:t>E</w:t>
      </w:r>
      <w:r w:rsidRPr="002B03D2">
        <w:t>.</w:t>
      </w:r>
      <w:r w:rsidRPr="002B03D2">
        <w:tab/>
        <w:t>Право на свободу мысли, совести и религии</w:t>
      </w:r>
      <w:r w:rsidRPr="002B03D2">
        <w:tab/>
      </w:r>
      <w:r w:rsidRPr="002B03D2">
        <w:tab/>
        <w:t>207–210</w:t>
      </w:r>
      <w:r w:rsidRPr="002B03D2">
        <w:tab/>
      </w:r>
      <w:r w:rsidR="006259AC" w:rsidRPr="006259AC">
        <w:t>47</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6A12E3">
        <w:t>F</w:t>
      </w:r>
      <w:r w:rsidRPr="002B03D2">
        <w:t>.</w:t>
      </w:r>
      <w:r w:rsidRPr="002B03D2">
        <w:tab/>
        <w:t>Сфера занятости и труда</w:t>
      </w:r>
      <w:r w:rsidRPr="002B03D2">
        <w:tab/>
      </w:r>
      <w:r w:rsidRPr="002B03D2">
        <w:tab/>
        <w:t>211–269</w:t>
      </w:r>
      <w:r w:rsidRPr="002B03D2">
        <w:tab/>
      </w:r>
      <w:r w:rsidR="00BB50B2" w:rsidRPr="00BB50B2">
        <w:t>48</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1.</w:t>
      </w:r>
      <w:r w:rsidRPr="002B03D2">
        <w:tab/>
        <w:t>Федеральный уровень</w:t>
      </w:r>
      <w:r w:rsidRPr="002B03D2">
        <w:tab/>
      </w:r>
      <w:r w:rsidRPr="002B03D2">
        <w:tab/>
        <w:t>211–242</w:t>
      </w:r>
      <w:r w:rsidRPr="002B03D2">
        <w:tab/>
      </w:r>
      <w:r w:rsidR="00BB50B2" w:rsidRPr="00BB50B2">
        <w:t>48</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2.</w:t>
      </w:r>
      <w:r w:rsidRPr="002B03D2">
        <w:tab/>
        <w:t>Валлонский регион</w:t>
      </w:r>
      <w:r w:rsidRPr="002B03D2">
        <w:tab/>
      </w:r>
      <w:r w:rsidRPr="002B03D2">
        <w:tab/>
        <w:t>243–250</w:t>
      </w:r>
      <w:r w:rsidRPr="002B03D2">
        <w:tab/>
      </w:r>
      <w:r w:rsidR="00BB50B2" w:rsidRPr="00BB50B2">
        <w:t>53</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3.</w:t>
      </w:r>
      <w:r w:rsidRPr="002B03D2">
        <w:tab/>
        <w:t>Брюссельский столичный регион</w:t>
      </w:r>
      <w:r w:rsidRPr="002B03D2">
        <w:tab/>
      </w:r>
      <w:r w:rsidRPr="002B03D2">
        <w:tab/>
        <w:t>251–252</w:t>
      </w:r>
      <w:r w:rsidRPr="002B03D2">
        <w:tab/>
      </w:r>
      <w:r w:rsidR="00BB50B2" w:rsidRPr="00BB50B2">
        <w:t>54</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4.</w:t>
      </w:r>
      <w:r w:rsidRPr="002B03D2">
        <w:tab/>
        <w:t>Фламандское сообщество</w:t>
      </w:r>
      <w:r w:rsidRPr="002B03D2">
        <w:tab/>
      </w:r>
      <w:r w:rsidRPr="002B03D2">
        <w:tab/>
        <w:t>253–266</w:t>
      </w:r>
      <w:r w:rsidRPr="002B03D2">
        <w:tab/>
      </w:r>
      <w:r w:rsidR="00BB50B2" w:rsidRPr="00BB50B2">
        <w:t>55</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5.</w:t>
      </w:r>
      <w:r w:rsidRPr="002B03D2">
        <w:tab/>
        <w:t>Вынесение обвинительных приговоров по делам о р</w:t>
      </w:r>
      <w:r w:rsidRPr="002B03D2">
        <w:t>а</w:t>
      </w:r>
      <w:r w:rsidRPr="002B03D2">
        <w:t xml:space="preserve">совой </w:t>
      </w:r>
      <w:r w:rsidR="00942044">
        <w:br/>
      </w:r>
      <w:r w:rsidR="00942044">
        <w:tab/>
      </w:r>
      <w:r w:rsidR="00942044">
        <w:tab/>
      </w:r>
      <w:r w:rsidR="00942044">
        <w:tab/>
      </w:r>
      <w:r w:rsidR="00942044">
        <w:tab/>
      </w:r>
      <w:r w:rsidRPr="002B03D2">
        <w:t>дискриминации</w:t>
      </w:r>
      <w:r w:rsidR="00942044">
        <w:t xml:space="preserve"> </w:t>
      </w:r>
      <w:r w:rsidRPr="002B03D2">
        <w:t>в сфере занятости</w:t>
      </w:r>
      <w:r w:rsidRPr="002B03D2">
        <w:tab/>
      </w:r>
      <w:r w:rsidRPr="002B03D2">
        <w:tab/>
        <w:t>267–269</w:t>
      </w:r>
      <w:r w:rsidRPr="002B03D2">
        <w:tab/>
      </w:r>
      <w:r w:rsidR="00BB50B2" w:rsidRPr="00BB50B2">
        <w:t>58</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6A12E3">
        <w:t>G</w:t>
      </w:r>
      <w:r w:rsidRPr="002B03D2">
        <w:t>.</w:t>
      </w:r>
      <w:r w:rsidRPr="002B03D2">
        <w:tab/>
        <w:t xml:space="preserve">Борьба с дискриминацией в сфере осуществления права </w:t>
      </w:r>
      <w:r w:rsidR="00942044">
        <w:br/>
      </w:r>
      <w:r w:rsidR="00942044">
        <w:tab/>
      </w:r>
      <w:r w:rsidR="00942044">
        <w:tab/>
      </w:r>
      <w:r w:rsidR="00942044">
        <w:tab/>
      </w:r>
      <w:r w:rsidRPr="002B03D2">
        <w:t>на жилище</w:t>
      </w:r>
      <w:r w:rsidRPr="002B03D2">
        <w:tab/>
      </w:r>
      <w:r w:rsidRPr="002B03D2">
        <w:tab/>
        <w:t>270–282</w:t>
      </w:r>
      <w:r w:rsidRPr="002B03D2">
        <w:tab/>
      </w:r>
      <w:r w:rsidR="00BB50B2" w:rsidRPr="00BB50B2">
        <w:t>58</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1.</w:t>
      </w:r>
      <w:r w:rsidRPr="002B03D2">
        <w:tab/>
        <w:t>Валлонский регион</w:t>
      </w:r>
      <w:r w:rsidRPr="002B03D2">
        <w:tab/>
      </w:r>
      <w:r w:rsidRPr="002B03D2">
        <w:tab/>
        <w:t>270–274</w:t>
      </w:r>
      <w:r w:rsidRPr="002B03D2">
        <w:tab/>
      </w:r>
      <w:r w:rsidR="00BB50B2" w:rsidRPr="00BB50B2">
        <w:t>58</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2.</w:t>
      </w:r>
      <w:r w:rsidRPr="002B03D2">
        <w:tab/>
        <w:t>Брюссельский столичный регион</w:t>
      </w:r>
      <w:r w:rsidRPr="002B03D2">
        <w:tab/>
      </w:r>
      <w:r w:rsidRPr="002B03D2">
        <w:tab/>
        <w:t>275–276</w:t>
      </w:r>
      <w:r w:rsidRPr="002B03D2">
        <w:tab/>
      </w:r>
      <w:r w:rsidR="00BB50B2" w:rsidRPr="00BB50B2">
        <w:t>59</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3.</w:t>
      </w:r>
      <w:r w:rsidRPr="002B03D2">
        <w:tab/>
        <w:t>Фламандское сообщество</w:t>
      </w:r>
      <w:r w:rsidRPr="002B03D2">
        <w:tab/>
      </w:r>
      <w:r w:rsidRPr="002B03D2">
        <w:tab/>
        <w:t>277–281</w:t>
      </w:r>
      <w:r w:rsidRPr="002B03D2">
        <w:tab/>
      </w:r>
      <w:r w:rsidR="00BB50B2" w:rsidRPr="00BB50B2">
        <w:t>59</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4.</w:t>
      </w:r>
      <w:r w:rsidRPr="002B03D2">
        <w:tab/>
        <w:t xml:space="preserve">Вынесение обвинительных приговоров по делам </w:t>
      </w:r>
      <w:r w:rsidR="00942044">
        <w:br/>
      </w:r>
      <w:r w:rsidR="00942044">
        <w:tab/>
      </w:r>
      <w:r w:rsidR="00942044">
        <w:tab/>
      </w:r>
      <w:r w:rsidR="00942044">
        <w:tab/>
      </w:r>
      <w:r w:rsidR="00942044">
        <w:tab/>
      </w:r>
      <w:r w:rsidRPr="002B03D2">
        <w:t>о ди</w:t>
      </w:r>
      <w:r w:rsidRPr="002B03D2">
        <w:t>с</w:t>
      </w:r>
      <w:r w:rsidRPr="002B03D2">
        <w:t>криминации</w:t>
      </w:r>
      <w:r w:rsidR="00942044">
        <w:t xml:space="preserve"> </w:t>
      </w:r>
      <w:r w:rsidRPr="002B03D2">
        <w:t>при осуществлении права на жилище</w:t>
      </w:r>
      <w:r w:rsidRPr="002B03D2">
        <w:tab/>
      </w:r>
      <w:r w:rsidRPr="002B03D2">
        <w:tab/>
        <w:t>282</w:t>
      </w:r>
      <w:r w:rsidRPr="002B03D2">
        <w:tab/>
      </w:r>
      <w:r w:rsidR="00BB50B2" w:rsidRPr="00BB50B2">
        <w:t>60</w:t>
      </w:r>
    </w:p>
    <w:p w:rsidR="002B03D2" w:rsidRPr="00BB50B2" w:rsidRDefault="002B03D2" w:rsidP="00942044">
      <w:pPr>
        <w:pStyle w:val="SingleTxtGR"/>
        <w:tabs>
          <w:tab w:val="clear" w:pos="1701"/>
          <w:tab w:val="clear" w:pos="2268"/>
          <w:tab w:val="clear" w:pos="2835"/>
          <w:tab w:val="clear" w:pos="3402"/>
          <w:tab w:val="clear" w:pos="3969"/>
          <w:tab w:val="right" w:pos="850"/>
          <w:tab w:val="left" w:pos="1134"/>
          <w:tab w:val="left" w:pos="1559"/>
          <w:tab w:val="left" w:pos="2160"/>
          <w:tab w:val="left" w:leader="dot" w:pos="7654"/>
          <w:tab w:val="right" w:pos="8929"/>
          <w:tab w:val="right" w:pos="9638"/>
        </w:tabs>
        <w:suppressAutoHyphens/>
        <w:ind w:left="0" w:right="0"/>
        <w:jc w:val="left"/>
      </w:pPr>
      <w:r w:rsidRPr="002B03D2">
        <w:tab/>
      </w:r>
      <w:r w:rsidRPr="002B03D2">
        <w:tab/>
        <w:t xml:space="preserve">Статья 6. </w:t>
      </w:r>
      <w:r w:rsidR="00942044">
        <w:tab/>
      </w:r>
      <w:r w:rsidRPr="002B03D2">
        <w:t xml:space="preserve">Средства правовой защиты и процедуры рассмотрения </w:t>
      </w:r>
      <w:r w:rsidR="00942044">
        <w:br/>
      </w:r>
      <w:r w:rsidR="00942044">
        <w:tab/>
      </w:r>
      <w:r w:rsidR="00942044">
        <w:tab/>
      </w:r>
      <w:r w:rsidR="00942044">
        <w:tab/>
      </w:r>
      <w:r w:rsidR="00942044">
        <w:tab/>
      </w:r>
      <w:r w:rsidRPr="002B03D2">
        <w:t>жалоб в суде</w:t>
      </w:r>
      <w:r w:rsidRPr="002B03D2">
        <w:tab/>
      </w:r>
      <w:r w:rsidRPr="002B03D2">
        <w:tab/>
        <w:t>283–310</w:t>
      </w:r>
      <w:r w:rsidRPr="002B03D2">
        <w:tab/>
      </w:r>
      <w:r w:rsidR="00BB50B2" w:rsidRPr="00BB50B2">
        <w:t>60</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6A12E3">
        <w:t>A</w:t>
      </w:r>
      <w:r w:rsidRPr="002B03D2">
        <w:t>.</w:t>
      </w:r>
      <w:r w:rsidRPr="002B03D2">
        <w:tab/>
        <w:t xml:space="preserve">Меры по повышению уровня осуществления положений </w:t>
      </w:r>
      <w:r w:rsidR="00942044">
        <w:br/>
      </w:r>
      <w:r w:rsidR="00942044">
        <w:tab/>
      </w:r>
      <w:r w:rsidR="00942044">
        <w:tab/>
      </w:r>
      <w:r w:rsidR="00942044">
        <w:tab/>
      </w:r>
      <w:r w:rsidRPr="002B03D2">
        <w:t>уг</w:t>
      </w:r>
      <w:r w:rsidRPr="002B03D2">
        <w:t>о</w:t>
      </w:r>
      <w:r w:rsidRPr="002B03D2">
        <w:t>ловного</w:t>
      </w:r>
      <w:r w:rsidR="00942044">
        <w:t xml:space="preserve"> </w:t>
      </w:r>
      <w:r w:rsidRPr="002B03D2">
        <w:t>законодательства о борьбе с расизмом</w:t>
      </w:r>
      <w:r w:rsidRPr="002B03D2">
        <w:tab/>
      </w:r>
      <w:r w:rsidRPr="002B03D2">
        <w:tab/>
        <w:t>283–287</w:t>
      </w:r>
      <w:r w:rsidRPr="002B03D2">
        <w:tab/>
      </w:r>
      <w:r w:rsidR="00BB50B2" w:rsidRPr="00BB50B2">
        <w:t>60</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2B03D2">
        <w:tab/>
      </w:r>
      <w:r w:rsidRPr="002B03D2">
        <w:tab/>
      </w:r>
      <w:r w:rsidRPr="006A12E3">
        <w:t>B</w:t>
      </w:r>
      <w:r w:rsidRPr="002B03D2">
        <w:t>.</w:t>
      </w:r>
      <w:r w:rsidRPr="002B03D2">
        <w:tab/>
        <w:t>Статистические данные</w:t>
      </w:r>
      <w:r w:rsidRPr="002B03D2">
        <w:tab/>
      </w:r>
      <w:r w:rsidRPr="002B03D2">
        <w:tab/>
        <w:t>288–310</w:t>
      </w:r>
      <w:r w:rsidRPr="002B03D2">
        <w:tab/>
      </w:r>
      <w:r w:rsidR="00BB50B2">
        <w:rPr>
          <w:lang w:val="en-US"/>
        </w:rPr>
        <w:t>61</w:t>
      </w:r>
    </w:p>
    <w:p w:rsidR="002B03D2" w:rsidRPr="00BB50B2" w:rsidRDefault="00942044" w:rsidP="00942044">
      <w:pPr>
        <w:pStyle w:val="SingleTxtGR"/>
        <w:tabs>
          <w:tab w:val="clear" w:pos="1701"/>
          <w:tab w:val="clear" w:pos="2268"/>
          <w:tab w:val="clear" w:pos="2835"/>
          <w:tab w:val="clear" w:pos="3402"/>
          <w:tab w:val="clear" w:pos="3969"/>
          <w:tab w:val="right" w:pos="850"/>
          <w:tab w:val="left" w:pos="1134"/>
          <w:tab w:val="left" w:pos="1559"/>
          <w:tab w:val="left" w:pos="2160"/>
          <w:tab w:val="left" w:leader="dot" w:pos="7654"/>
          <w:tab w:val="right" w:pos="8929"/>
          <w:tab w:val="right" w:pos="9638"/>
        </w:tabs>
        <w:suppressAutoHyphens/>
        <w:ind w:left="0" w:right="0"/>
        <w:jc w:val="left"/>
      </w:pPr>
      <w:r>
        <w:tab/>
      </w:r>
      <w:r>
        <w:tab/>
      </w:r>
      <w:r w:rsidR="002B03D2" w:rsidRPr="002B03D2">
        <w:t xml:space="preserve">Статья 7. </w:t>
      </w:r>
      <w:r>
        <w:tab/>
      </w:r>
      <w:r w:rsidR="002B03D2" w:rsidRPr="002B03D2">
        <w:t>Недопущение дискриминации в сферах образования,</w:t>
      </w:r>
      <w:r>
        <w:br/>
      </w:r>
      <w:r>
        <w:tab/>
      </w:r>
      <w:r>
        <w:tab/>
      </w:r>
      <w:r>
        <w:tab/>
      </w:r>
      <w:r>
        <w:tab/>
      </w:r>
      <w:r w:rsidR="002B03D2" w:rsidRPr="002B03D2">
        <w:t>культуры и информации</w:t>
      </w:r>
      <w:r w:rsidR="002B03D2" w:rsidRPr="002B03D2">
        <w:tab/>
      </w:r>
      <w:r w:rsidR="002B03D2" w:rsidRPr="002B03D2">
        <w:tab/>
        <w:t>311–338</w:t>
      </w:r>
      <w:r w:rsidR="002B03D2" w:rsidRPr="002B03D2">
        <w:tab/>
      </w:r>
      <w:r w:rsidR="00BB50B2" w:rsidRPr="00BB50B2">
        <w:t>65</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6A12E3">
        <w:t>A</w:t>
      </w:r>
      <w:r w:rsidRPr="002B03D2">
        <w:t>.</w:t>
      </w:r>
      <w:r w:rsidRPr="002B03D2">
        <w:tab/>
        <w:t>Фламандское сообщество</w:t>
      </w:r>
      <w:r w:rsidRPr="002B03D2">
        <w:tab/>
      </w:r>
      <w:r w:rsidRPr="002B03D2">
        <w:tab/>
        <w:t>311–327</w:t>
      </w:r>
      <w:r w:rsidRPr="002B03D2">
        <w:tab/>
      </w:r>
      <w:r w:rsidR="00BB50B2" w:rsidRPr="00BB50B2">
        <w:t>65</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1.</w:t>
      </w:r>
      <w:r w:rsidRPr="002B03D2">
        <w:tab/>
        <w:t xml:space="preserve">Недавние события в области политики, проводимой </w:t>
      </w:r>
      <w:r w:rsidR="00942044">
        <w:br/>
      </w:r>
      <w:r w:rsidR="00942044">
        <w:tab/>
      </w:r>
      <w:r w:rsidR="00942044">
        <w:tab/>
      </w:r>
      <w:r w:rsidR="00942044">
        <w:tab/>
      </w:r>
      <w:r w:rsidR="00942044">
        <w:tab/>
      </w:r>
      <w:r w:rsidRPr="002B03D2">
        <w:t>Фламандским</w:t>
      </w:r>
      <w:r w:rsidR="00942044">
        <w:t xml:space="preserve"> </w:t>
      </w:r>
      <w:r w:rsidRPr="002B03D2">
        <w:t xml:space="preserve">сообществом в целях борьбы </w:t>
      </w:r>
      <w:r w:rsidR="00942044">
        <w:br/>
      </w:r>
      <w:r w:rsidR="00942044">
        <w:tab/>
      </w:r>
      <w:r w:rsidR="00942044">
        <w:tab/>
      </w:r>
      <w:r w:rsidR="00942044">
        <w:tab/>
      </w:r>
      <w:r w:rsidR="00942044">
        <w:tab/>
      </w:r>
      <w:r w:rsidRPr="002B03D2">
        <w:t>с дискриминацией в сфере образования</w:t>
      </w:r>
      <w:r w:rsidRPr="002B03D2">
        <w:tab/>
      </w:r>
      <w:r w:rsidRPr="002B03D2">
        <w:tab/>
        <w:t>311–319</w:t>
      </w:r>
      <w:r w:rsidRPr="002B03D2">
        <w:tab/>
      </w:r>
      <w:r w:rsidR="00BB50B2" w:rsidRPr="00BB50B2">
        <w:t>65</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2.</w:t>
      </w:r>
      <w:r w:rsidRPr="002B03D2">
        <w:tab/>
        <w:t>Комплексная политика в интересах целевых групп</w:t>
      </w:r>
      <w:r w:rsidRPr="002B03D2">
        <w:tab/>
      </w:r>
      <w:r w:rsidRPr="002B03D2">
        <w:tab/>
        <w:t>320–323</w:t>
      </w:r>
      <w:r w:rsidRPr="002B03D2">
        <w:tab/>
      </w:r>
      <w:r w:rsidR="00BB50B2" w:rsidRPr="00BB50B2">
        <w:t>66</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3.</w:t>
      </w:r>
      <w:r w:rsidRPr="002B03D2">
        <w:tab/>
        <w:t>Ношение символики, отражающей убеждения</w:t>
      </w:r>
      <w:r w:rsidRPr="002B03D2">
        <w:tab/>
      </w:r>
      <w:r w:rsidRPr="002B03D2">
        <w:tab/>
        <w:t>324</w:t>
      </w:r>
      <w:r w:rsidRPr="002B03D2">
        <w:tab/>
      </w:r>
      <w:r w:rsidR="00BB50B2" w:rsidRPr="00BB50B2">
        <w:t>67</w:t>
      </w:r>
    </w:p>
    <w:p w:rsidR="002B03D2" w:rsidRPr="00BB50B2"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4.</w:t>
      </w:r>
      <w:r w:rsidRPr="002B03D2">
        <w:tab/>
        <w:t xml:space="preserve">Информационно-разъяснительные мероприятия </w:t>
      </w:r>
      <w:r w:rsidR="00942044">
        <w:br/>
      </w:r>
      <w:r w:rsidR="00942044">
        <w:tab/>
      </w:r>
      <w:r w:rsidR="00942044">
        <w:tab/>
      </w:r>
      <w:r w:rsidR="00942044">
        <w:tab/>
      </w:r>
      <w:r w:rsidR="00942044">
        <w:tab/>
      </w:r>
      <w:r w:rsidRPr="002B03D2">
        <w:t>по тематике Конвенции</w:t>
      </w:r>
      <w:r w:rsidRPr="002B03D2">
        <w:tab/>
      </w:r>
      <w:r w:rsidRPr="002B03D2">
        <w:tab/>
        <w:t>325–327</w:t>
      </w:r>
      <w:r w:rsidRPr="002B03D2">
        <w:tab/>
      </w:r>
      <w:r w:rsidR="00BB50B2" w:rsidRPr="00BB50B2">
        <w:t>67</w:t>
      </w:r>
    </w:p>
    <w:p w:rsidR="002B03D2" w:rsidRPr="00146893"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6A12E3">
        <w:t>B</w:t>
      </w:r>
      <w:r w:rsidRPr="002B03D2">
        <w:t>.</w:t>
      </w:r>
      <w:r w:rsidRPr="002B03D2">
        <w:tab/>
        <w:t>Франкоязычное сообщество</w:t>
      </w:r>
      <w:r w:rsidRPr="002B03D2">
        <w:tab/>
      </w:r>
      <w:r w:rsidRPr="002B03D2">
        <w:tab/>
        <w:t>328–338</w:t>
      </w:r>
      <w:r w:rsidRPr="002B03D2">
        <w:tab/>
      </w:r>
      <w:r w:rsidR="00146893" w:rsidRPr="00146893">
        <w:t>68</w:t>
      </w:r>
    </w:p>
    <w:p w:rsidR="002B03D2" w:rsidRPr="00146893"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1.</w:t>
      </w:r>
      <w:r w:rsidRPr="002B03D2">
        <w:tab/>
        <w:t>Новые указы в сфере образования</w:t>
      </w:r>
      <w:r w:rsidRPr="002B03D2">
        <w:tab/>
      </w:r>
      <w:r w:rsidRPr="002B03D2">
        <w:tab/>
        <w:t>328–331</w:t>
      </w:r>
      <w:r w:rsidRPr="002B03D2">
        <w:tab/>
      </w:r>
      <w:r w:rsidR="00146893" w:rsidRPr="00146893">
        <w:t>68</w:t>
      </w:r>
    </w:p>
    <w:p w:rsidR="002B03D2" w:rsidRPr="00146893"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2.</w:t>
      </w:r>
      <w:r w:rsidRPr="002B03D2">
        <w:tab/>
        <w:t>Разъяснительн</w:t>
      </w:r>
      <w:r w:rsidR="00251C2F">
        <w:t>ая работа среди субъектов сферы</w:t>
      </w:r>
      <w:r w:rsidR="00251C2F" w:rsidRPr="00251C2F">
        <w:br/>
      </w:r>
      <w:r w:rsidR="00251C2F" w:rsidRPr="00251C2F">
        <w:tab/>
      </w:r>
      <w:r w:rsidR="00251C2F" w:rsidRPr="00251C2F">
        <w:tab/>
      </w:r>
      <w:r w:rsidR="00251C2F" w:rsidRPr="00251C2F">
        <w:tab/>
      </w:r>
      <w:r w:rsidRPr="002B03D2">
        <w:t>обр</w:t>
      </w:r>
      <w:r w:rsidRPr="002B03D2">
        <w:t>а</w:t>
      </w:r>
      <w:r w:rsidRPr="002B03D2">
        <w:t>зования</w:t>
      </w:r>
      <w:r w:rsidR="00251C2F">
        <w:t xml:space="preserve"> </w:t>
      </w:r>
      <w:r w:rsidRPr="002B03D2">
        <w:tab/>
      </w:r>
      <w:r w:rsidRPr="002B03D2">
        <w:tab/>
        <w:t>332–335</w:t>
      </w:r>
      <w:r w:rsidRPr="002B03D2">
        <w:tab/>
      </w:r>
      <w:r w:rsidR="00146893" w:rsidRPr="00146893">
        <w:t>69</w:t>
      </w:r>
    </w:p>
    <w:p w:rsidR="002B03D2" w:rsidRPr="00146893"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3.</w:t>
      </w:r>
      <w:r w:rsidRPr="002B03D2">
        <w:tab/>
        <w:t>Заключения и рекомендации по сфере образования</w:t>
      </w:r>
      <w:r w:rsidRPr="002B03D2">
        <w:tab/>
      </w:r>
      <w:r w:rsidRPr="002B03D2">
        <w:tab/>
        <w:t>336–337</w:t>
      </w:r>
      <w:r w:rsidRPr="002B03D2">
        <w:tab/>
      </w:r>
      <w:r w:rsidR="00146893" w:rsidRPr="00146893">
        <w:t>70</w:t>
      </w:r>
    </w:p>
    <w:p w:rsidR="002B03D2" w:rsidRPr="00146893"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r>
      <w:r w:rsidRPr="002B03D2">
        <w:tab/>
        <w:t>4.</w:t>
      </w:r>
      <w:r w:rsidRPr="002B03D2">
        <w:tab/>
        <w:t>План действий по обеспечению равенства и разнообр</w:t>
      </w:r>
      <w:r w:rsidRPr="002B03D2">
        <w:t>а</w:t>
      </w:r>
      <w:r w:rsidRPr="002B03D2">
        <w:t>зия</w:t>
      </w:r>
      <w:r w:rsidRPr="002B03D2">
        <w:br/>
      </w:r>
      <w:r w:rsidR="00942044">
        <w:tab/>
      </w:r>
      <w:r w:rsidR="00942044">
        <w:tab/>
      </w:r>
      <w:r w:rsidR="00942044">
        <w:tab/>
      </w:r>
      <w:r w:rsidR="00942044">
        <w:tab/>
      </w:r>
      <w:r w:rsidRPr="002B03D2">
        <w:t>в аудиовизуальных средствах массовой информации</w:t>
      </w:r>
      <w:r w:rsidRPr="002B03D2">
        <w:tab/>
      </w:r>
      <w:r w:rsidRPr="002B03D2">
        <w:tab/>
        <w:t>338</w:t>
      </w:r>
      <w:r w:rsidRPr="002B03D2">
        <w:tab/>
      </w:r>
      <w:r w:rsidR="00146893" w:rsidRPr="00146893">
        <w:t>70</w:t>
      </w:r>
    </w:p>
    <w:p w:rsidR="002B03D2" w:rsidRPr="00146893"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pPr>
      <w:r w:rsidRPr="002B03D2">
        <w:tab/>
      </w:r>
      <w:r w:rsidRPr="002B03D2">
        <w:tab/>
        <w:t xml:space="preserve">Ответы на замечания и рекомендации Комитета в связи </w:t>
      </w:r>
      <w:r w:rsidR="00D94531">
        <w:br/>
      </w:r>
      <w:r w:rsidR="00D94531">
        <w:tab/>
      </w:r>
      <w:r w:rsidR="00D94531">
        <w:tab/>
      </w:r>
      <w:r w:rsidRPr="002B03D2">
        <w:t>с предыдущим докладом (</w:t>
      </w:r>
      <w:r w:rsidRPr="006A12E3">
        <w:t>CERD</w:t>
      </w:r>
      <w:r w:rsidRPr="002B03D2">
        <w:t>/</w:t>
      </w:r>
      <w:r w:rsidRPr="006A12E3">
        <w:t>C</w:t>
      </w:r>
      <w:r w:rsidRPr="002B03D2">
        <w:t>/</w:t>
      </w:r>
      <w:r w:rsidRPr="006A12E3">
        <w:t>BEL</w:t>
      </w:r>
      <w:r w:rsidRPr="002B03D2">
        <w:t>/</w:t>
      </w:r>
      <w:r w:rsidRPr="006A12E3">
        <w:t>CO</w:t>
      </w:r>
      <w:r w:rsidRPr="002B03D2">
        <w:t>/15)</w:t>
      </w:r>
      <w:r w:rsidRPr="002B03D2">
        <w:tab/>
      </w:r>
      <w:r w:rsidRPr="002B03D2">
        <w:tab/>
        <w:t>339–381</w:t>
      </w:r>
      <w:r w:rsidRPr="002B03D2">
        <w:tab/>
      </w:r>
      <w:r w:rsidR="00146893" w:rsidRPr="00146893">
        <w:t>71</w:t>
      </w:r>
    </w:p>
    <w:p w:rsidR="002B03D2" w:rsidRPr="00146893" w:rsidRDefault="002B03D2" w:rsidP="006A12E3">
      <w:pPr>
        <w:pStyle w:val="SingleTxtGR"/>
        <w:tabs>
          <w:tab w:val="clear" w:pos="1701"/>
          <w:tab w:val="clear" w:pos="2268"/>
          <w:tab w:val="clear" w:pos="2835"/>
          <w:tab w:val="clear" w:pos="3402"/>
          <w:tab w:val="clear" w:pos="3969"/>
          <w:tab w:val="right" w:pos="850"/>
          <w:tab w:val="left" w:pos="1134"/>
          <w:tab w:val="left" w:pos="1559"/>
          <w:tab w:val="left" w:pos="1984"/>
          <w:tab w:val="left" w:leader="dot" w:pos="7654"/>
          <w:tab w:val="right" w:pos="8929"/>
          <w:tab w:val="right" w:pos="9638"/>
        </w:tabs>
        <w:suppressAutoHyphens/>
        <w:ind w:left="0" w:right="0"/>
        <w:jc w:val="left"/>
        <w:rPr>
          <w:lang w:val="en-US"/>
        </w:rPr>
      </w:pPr>
      <w:r w:rsidRPr="002B03D2">
        <w:tab/>
      </w:r>
      <w:r w:rsidRPr="002B03D2">
        <w:tab/>
        <w:t>Список приложений</w:t>
      </w:r>
      <w:r w:rsidRPr="00D94531">
        <w:rPr>
          <w:sz w:val="18"/>
          <w:szCs w:val="18"/>
        </w:rPr>
        <w:footnoteReference w:customMarkFollows="1" w:id="3"/>
        <w:sym w:font="Symbol" w:char="F02A"/>
      </w:r>
      <w:r w:rsidRPr="00D94531">
        <w:rPr>
          <w:sz w:val="18"/>
          <w:szCs w:val="18"/>
        </w:rPr>
        <w:sym w:font="Symbol" w:char="F02A"/>
      </w:r>
      <w:r w:rsidRPr="00D94531">
        <w:rPr>
          <w:sz w:val="18"/>
          <w:szCs w:val="18"/>
        </w:rPr>
        <w:sym w:font="Symbol" w:char="F02A"/>
      </w:r>
      <w:r w:rsidRPr="002B03D2">
        <w:tab/>
      </w:r>
      <w:r w:rsidRPr="002B03D2">
        <w:tab/>
      </w:r>
      <w:r w:rsidRPr="002B03D2">
        <w:tab/>
      </w:r>
      <w:r w:rsidR="00146893">
        <w:rPr>
          <w:lang w:val="en-US"/>
        </w:rPr>
        <w:t>82</w:t>
      </w:r>
    </w:p>
    <w:p w:rsidR="002B03D2" w:rsidRPr="002B03D2" w:rsidRDefault="002B03D2" w:rsidP="002B03D2">
      <w:pPr>
        <w:pStyle w:val="SingleTxtGR"/>
        <w:rPr>
          <w:b/>
        </w:rPr>
      </w:pPr>
      <w:r w:rsidRPr="002B03D2">
        <w:br w:type="page"/>
      </w:r>
      <w:r w:rsidRPr="002B03D2">
        <w:rPr>
          <w:b/>
        </w:rPr>
        <w:t>Сокращения и аббревиатуры</w:t>
      </w:r>
    </w:p>
    <w:p w:rsidR="002B03D2" w:rsidRPr="002B03D2" w:rsidRDefault="002B03D2" w:rsidP="00D94531">
      <w:pPr>
        <w:pStyle w:val="SingleTxtGR"/>
        <w:ind w:left="2268" w:hanging="1134"/>
      </w:pPr>
      <w:r w:rsidRPr="002B03D2">
        <w:t>ББП</w:t>
      </w:r>
      <w:r w:rsidRPr="002B03D2">
        <w:tab/>
      </w:r>
      <w:r w:rsidR="00D94531">
        <w:tab/>
      </w:r>
      <w:r w:rsidRPr="002B03D2">
        <w:t>Брюссельское бюро по приему</w:t>
      </w:r>
    </w:p>
    <w:p w:rsidR="002B03D2" w:rsidRPr="002B03D2" w:rsidRDefault="002B03D2" w:rsidP="00D94531">
      <w:pPr>
        <w:pStyle w:val="SingleTxtGR"/>
        <w:ind w:left="2268" w:hanging="1134"/>
      </w:pPr>
      <w:r w:rsidRPr="002B03D2">
        <w:t>БОСФА</w:t>
      </w:r>
      <w:r w:rsidRPr="002B03D2">
        <w:tab/>
        <w:t xml:space="preserve">Бюро по отбору сотрудников федеральной администрации </w:t>
      </w:r>
    </w:p>
    <w:p w:rsidR="002B03D2" w:rsidRPr="002B03D2" w:rsidRDefault="002B03D2" w:rsidP="00D94531">
      <w:pPr>
        <w:pStyle w:val="SingleTxtGR"/>
        <w:ind w:left="2268" w:hanging="1134"/>
      </w:pPr>
      <w:r w:rsidRPr="002B03D2">
        <w:t>ВГСЗ</w:t>
      </w:r>
      <w:r w:rsidRPr="002B03D2">
        <w:tab/>
      </w:r>
      <w:r w:rsidR="00D94531">
        <w:tab/>
      </w:r>
      <w:r w:rsidRPr="002B03D2">
        <w:t>Валлонская государственная служба занятости и профессиональн</w:t>
      </w:r>
      <w:r w:rsidRPr="002B03D2">
        <w:t>о</w:t>
      </w:r>
      <w:r w:rsidRPr="002B03D2">
        <w:t>го об</w:t>
      </w:r>
      <w:r w:rsidRPr="002B03D2">
        <w:t>у</w:t>
      </w:r>
      <w:r w:rsidRPr="002B03D2">
        <w:t>чения</w:t>
      </w:r>
    </w:p>
    <w:p w:rsidR="002B03D2" w:rsidRPr="002B03D2" w:rsidRDefault="002B03D2" w:rsidP="00D94531">
      <w:pPr>
        <w:pStyle w:val="SingleTxtGR"/>
        <w:ind w:left="2268" w:hanging="1134"/>
      </w:pPr>
      <w:r w:rsidRPr="002B03D2">
        <w:t>ГИП</w:t>
      </w:r>
      <w:r w:rsidRPr="002B03D2">
        <w:tab/>
      </w:r>
      <w:r w:rsidR="00D94531">
        <w:tab/>
      </w:r>
      <w:r w:rsidRPr="002B03D2">
        <w:t>Генеральная инспекция федеральной и местной полиции</w:t>
      </w:r>
    </w:p>
    <w:p w:rsidR="002B03D2" w:rsidRPr="002B03D2" w:rsidRDefault="002B03D2" w:rsidP="00D94531">
      <w:pPr>
        <w:pStyle w:val="SingleTxtGR"/>
        <w:ind w:left="2268" w:hanging="1134"/>
      </w:pPr>
      <w:r w:rsidRPr="002B03D2">
        <w:t>ГКБА</w:t>
      </w:r>
      <w:r w:rsidRPr="002B03D2">
        <w:tab/>
      </w:r>
      <w:r w:rsidR="00D94531">
        <w:tab/>
      </w:r>
      <w:r w:rsidRPr="002B03D2">
        <w:t xml:space="preserve">Генеральный комиссар по делам беженцев и апатридов </w:t>
      </w:r>
    </w:p>
    <w:p w:rsidR="002B03D2" w:rsidRPr="002B03D2" w:rsidRDefault="002B03D2" w:rsidP="00D94531">
      <w:pPr>
        <w:pStyle w:val="SingleTxtGR"/>
        <w:ind w:left="2268" w:hanging="1134"/>
      </w:pPr>
      <w:r w:rsidRPr="002B03D2">
        <w:t>ГЦСМ</w:t>
      </w:r>
      <w:r w:rsidRPr="002B03D2">
        <w:tab/>
        <w:t>Государственный центр социальных мер</w:t>
      </w:r>
    </w:p>
    <w:p w:rsidR="002B03D2" w:rsidRPr="002B03D2" w:rsidRDefault="002B03D2" w:rsidP="00D94531">
      <w:pPr>
        <w:pStyle w:val="SingleTxtGR"/>
        <w:ind w:left="2268" w:hanging="1134"/>
      </w:pPr>
      <w:r w:rsidRPr="002B03D2">
        <w:t>ДАСПА</w:t>
      </w:r>
      <w:r w:rsidRPr="002B03D2">
        <w:tab/>
        <w:t>Механизм по приему и охвату школьным обучением вновь пр</w:t>
      </w:r>
      <w:r w:rsidRPr="002B03D2">
        <w:t>и</w:t>
      </w:r>
      <w:r w:rsidRPr="002B03D2">
        <w:t>бывших учащихся в системе образования, организованной и субс</w:t>
      </w:r>
      <w:r w:rsidRPr="002B03D2">
        <w:t>и</w:t>
      </w:r>
      <w:r w:rsidRPr="002B03D2">
        <w:t>диру</w:t>
      </w:r>
      <w:r w:rsidRPr="002B03D2">
        <w:t>е</w:t>
      </w:r>
      <w:r w:rsidRPr="002B03D2">
        <w:t xml:space="preserve">мой Франкоязычным сообществом </w:t>
      </w:r>
    </w:p>
    <w:p w:rsidR="002B03D2" w:rsidRPr="002B03D2" w:rsidRDefault="002B03D2" w:rsidP="00D94531">
      <w:pPr>
        <w:pStyle w:val="SingleTxtGR"/>
        <w:ind w:left="2268" w:hanging="1134"/>
      </w:pPr>
      <w:r w:rsidRPr="002B03D2">
        <w:t>ЕАД</w:t>
      </w:r>
      <w:r w:rsidRPr="002B03D2">
        <w:tab/>
      </w:r>
      <w:r w:rsidR="00D94531">
        <w:tab/>
      </w:r>
      <w:r w:rsidRPr="002B03D2">
        <w:rPr>
          <w:bCs/>
        </w:rPr>
        <w:t>Фламандская политика активизации пропорционального участия и разн</w:t>
      </w:r>
      <w:r w:rsidRPr="002B03D2">
        <w:rPr>
          <w:bCs/>
        </w:rPr>
        <w:t>о</w:t>
      </w:r>
      <w:r w:rsidRPr="002B03D2">
        <w:rPr>
          <w:bCs/>
        </w:rPr>
        <w:t xml:space="preserve">образия на рынке труда </w:t>
      </w:r>
    </w:p>
    <w:p w:rsidR="002B03D2" w:rsidRPr="002B03D2" w:rsidRDefault="002B03D2" w:rsidP="00D94531">
      <w:pPr>
        <w:pStyle w:val="SingleTxtGR"/>
        <w:ind w:left="2268" w:hanging="1134"/>
      </w:pPr>
      <w:r w:rsidRPr="002B03D2">
        <w:t>ЕСПЧ</w:t>
      </w:r>
      <w:r w:rsidRPr="002B03D2">
        <w:tab/>
      </w:r>
      <w:r w:rsidR="00D94531">
        <w:tab/>
      </w:r>
      <w:r w:rsidRPr="002B03D2">
        <w:t xml:space="preserve">Европейский суд по правам человека </w:t>
      </w:r>
    </w:p>
    <w:p w:rsidR="002B03D2" w:rsidRPr="002B03D2" w:rsidRDefault="002B03D2" w:rsidP="00D94531">
      <w:pPr>
        <w:pStyle w:val="SingleTxtGR"/>
        <w:ind w:left="2268" w:hanging="1134"/>
      </w:pPr>
      <w:r w:rsidRPr="002B03D2">
        <w:t>ИОСТ</w:t>
      </w:r>
      <w:r w:rsidRPr="002B03D2">
        <w:tab/>
        <w:t>Институт по вопросам рационального ис</w:t>
      </w:r>
      <w:r w:rsidR="00D94531">
        <w:t xml:space="preserve">пользования окружающей среды и </w:t>
      </w:r>
      <w:r w:rsidRPr="002B03D2">
        <w:t xml:space="preserve">обустройства территории </w:t>
      </w:r>
    </w:p>
    <w:p w:rsidR="002B03D2" w:rsidRPr="002B03D2" w:rsidRDefault="002B03D2" w:rsidP="00D94531">
      <w:pPr>
        <w:pStyle w:val="SingleTxtGR"/>
        <w:ind w:left="2268" w:hanging="1134"/>
      </w:pPr>
      <w:r w:rsidRPr="002B03D2">
        <w:t>ИПА</w:t>
      </w:r>
      <w:r w:rsidRPr="002B03D2">
        <w:tab/>
      </w:r>
      <w:r w:rsidR="00D94531">
        <w:tab/>
      </w:r>
      <w:r w:rsidRPr="002B03D2">
        <w:t xml:space="preserve">Институт подготовки сотрудников административных органов </w:t>
      </w:r>
    </w:p>
    <w:p w:rsidR="002B03D2" w:rsidRPr="002B03D2" w:rsidRDefault="002B03D2" w:rsidP="00D94531">
      <w:pPr>
        <w:pStyle w:val="SingleTxtGR"/>
        <w:ind w:left="2268" w:hanging="1134"/>
      </w:pPr>
      <w:r w:rsidRPr="002B03D2">
        <w:t>ИПК</w:t>
      </w:r>
      <w:r w:rsidRPr="002B03D2">
        <w:tab/>
      </w:r>
      <w:r w:rsidR="00D94531">
        <w:tab/>
      </w:r>
      <w:r w:rsidRPr="002B03D2">
        <w:t>Институт повышения квалификации без отрыва от профессионал</w:t>
      </w:r>
      <w:r w:rsidRPr="002B03D2">
        <w:t>ь</w:t>
      </w:r>
      <w:r w:rsidRPr="002B03D2">
        <w:t>ной</w:t>
      </w:r>
      <w:r w:rsidR="00D94531">
        <w:t xml:space="preserve"> </w:t>
      </w:r>
      <w:r w:rsidRPr="002B03D2">
        <w:t xml:space="preserve">деятельности </w:t>
      </w:r>
    </w:p>
    <w:p w:rsidR="002B03D2" w:rsidRPr="002B03D2" w:rsidRDefault="002B03D2" w:rsidP="00D94531">
      <w:pPr>
        <w:pStyle w:val="SingleTxtGR"/>
        <w:ind w:left="2268" w:hanging="1134"/>
      </w:pPr>
      <w:r w:rsidRPr="002B03D2">
        <w:t>КФС</w:t>
      </w:r>
      <w:r w:rsidRPr="002B03D2">
        <w:tab/>
      </w:r>
      <w:r w:rsidR="00D94531">
        <w:tab/>
      </w:r>
      <w:r w:rsidRPr="002B03D2">
        <w:t xml:space="preserve">Комиссия Франкоязычного сообщества </w:t>
      </w:r>
    </w:p>
    <w:p w:rsidR="002B03D2" w:rsidRPr="002B03D2" w:rsidRDefault="002B03D2" w:rsidP="002D157F">
      <w:pPr>
        <w:pStyle w:val="SingleTxtGR"/>
        <w:tabs>
          <w:tab w:val="left" w:pos="1148"/>
        </w:tabs>
        <w:ind w:left="0" w:firstLine="1134"/>
        <w:jc w:val="left"/>
      </w:pPr>
      <w:r w:rsidRPr="002B03D2">
        <w:t>Мигранты</w:t>
      </w:r>
      <w:r w:rsidRPr="002B03D2">
        <w:tab/>
        <w:t xml:space="preserve">мигранты из стран Центральной и Восточной Европы </w:t>
      </w:r>
      <w:r w:rsidR="00D94531">
        <w:br/>
      </w:r>
      <w:r w:rsidR="00D94531">
        <w:tab/>
      </w:r>
      <w:r w:rsidR="00D94531" w:rsidRPr="002B03D2">
        <w:t>из ЦВЕ</w:t>
      </w:r>
    </w:p>
    <w:p w:rsidR="002B03D2" w:rsidRPr="002B03D2" w:rsidRDefault="002B03D2" w:rsidP="00D94531">
      <w:pPr>
        <w:pStyle w:val="SingleTxtGR"/>
        <w:ind w:left="2268" w:hanging="1134"/>
      </w:pPr>
      <w:r w:rsidRPr="002B03D2">
        <w:t>ННИ</w:t>
      </w:r>
      <w:r w:rsidRPr="002B03D2">
        <w:tab/>
      </w:r>
      <w:r w:rsidR="00D94531">
        <w:tab/>
      </w:r>
      <w:r w:rsidRPr="002B03D2">
        <w:t xml:space="preserve">несопровождаемые несовершеннолетние иностранцы </w:t>
      </w:r>
    </w:p>
    <w:p w:rsidR="002B03D2" w:rsidRPr="002B03D2" w:rsidRDefault="002B03D2" w:rsidP="00D94531">
      <w:pPr>
        <w:pStyle w:val="SingleTxtGR"/>
        <w:ind w:left="2268" w:hanging="1134"/>
      </w:pPr>
      <w:r w:rsidRPr="002B03D2">
        <w:t>ОРЕКА</w:t>
      </w:r>
      <w:r w:rsidRPr="002B03D2">
        <w:tab/>
        <w:t xml:space="preserve">отели, рестораны, кафе </w:t>
      </w:r>
    </w:p>
    <w:p w:rsidR="002B03D2" w:rsidRPr="002B03D2" w:rsidRDefault="002B03D2" w:rsidP="00D94531">
      <w:pPr>
        <w:pStyle w:val="SingleTxtGR"/>
        <w:ind w:left="2268" w:hanging="1134"/>
      </w:pPr>
      <w:r w:rsidRPr="002B03D2">
        <w:t>ПУМАС</w:t>
      </w:r>
      <w:r w:rsidRPr="002B03D2">
        <w:tab/>
        <w:t xml:space="preserve">План действий по гарантированию благоприятных условий для ученичества </w:t>
      </w:r>
    </w:p>
    <w:p w:rsidR="002B03D2" w:rsidRPr="002B03D2" w:rsidRDefault="002B03D2" w:rsidP="00D94531">
      <w:pPr>
        <w:pStyle w:val="SingleTxtGR"/>
        <w:ind w:left="2268" w:hanging="1134"/>
      </w:pPr>
      <w:r w:rsidRPr="002B03D2">
        <w:t>РЦИ</w:t>
      </w:r>
      <w:r w:rsidRPr="002B03D2">
        <w:tab/>
      </w:r>
      <w:r w:rsidR="00D94531">
        <w:tab/>
      </w:r>
      <w:r w:rsidRPr="002B03D2">
        <w:t>региональные центры интеграции</w:t>
      </w:r>
    </w:p>
    <w:p w:rsidR="002B03D2" w:rsidRPr="002B03D2" w:rsidRDefault="002B03D2" w:rsidP="00D94531">
      <w:pPr>
        <w:pStyle w:val="SingleTxtGR"/>
        <w:ind w:left="2268" w:hanging="1134"/>
      </w:pPr>
      <w:r w:rsidRPr="002B03D2">
        <w:t>РЦССЕ</w:t>
      </w:r>
      <w:r w:rsidRPr="002B03D2">
        <w:tab/>
        <w:t>Региональный центр содействия социальному единению</w:t>
      </w:r>
    </w:p>
    <w:p w:rsidR="002B03D2" w:rsidRPr="002B03D2" w:rsidRDefault="002B03D2" w:rsidP="00D94531">
      <w:pPr>
        <w:pStyle w:val="SingleTxtGR"/>
        <w:ind w:left="2268" w:hanging="1134"/>
      </w:pPr>
      <w:r w:rsidRPr="002B03D2">
        <w:t>СМИМ</w:t>
      </w:r>
      <w:r w:rsidRPr="002B03D2">
        <w:tab/>
        <w:t>Специальный механизм социально-профессиональной интеграции мигрантов</w:t>
      </w:r>
    </w:p>
    <w:p w:rsidR="002B03D2" w:rsidRPr="002B03D2" w:rsidRDefault="002B03D2" w:rsidP="00D94531">
      <w:pPr>
        <w:pStyle w:val="SingleTxtGR"/>
        <w:ind w:left="2268" w:hanging="1134"/>
        <w:rPr>
          <w:bCs/>
        </w:rPr>
      </w:pPr>
      <w:r w:rsidRPr="002B03D2">
        <w:t>ССИ</w:t>
      </w:r>
      <w:r w:rsidRPr="002B03D2">
        <w:tab/>
      </w:r>
      <w:r w:rsidR="00D94531">
        <w:tab/>
      </w:r>
      <w:r w:rsidRPr="002B03D2">
        <w:t>Совет по урегулированию споров, касающихся иностранцев</w:t>
      </w:r>
    </w:p>
    <w:p w:rsidR="002B03D2" w:rsidRPr="002B03D2" w:rsidRDefault="002B03D2" w:rsidP="00D94531">
      <w:pPr>
        <w:pStyle w:val="SingleTxtGR"/>
        <w:ind w:left="2268" w:hanging="1134"/>
      </w:pPr>
      <w:r w:rsidRPr="002B03D2">
        <w:t>ФАППУ</w:t>
      </w:r>
      <w:r w:rsidRPr="002B03D2">
        <w:tab/>
        <w:t xml:space="preserve">Федеральное агентство по приему просителей убежища </w:t>
      </w:r>
    </w:p>
    <w:p w:rsidR="002B03D2" w:rsidRPr="002B03D2" w:rsidRDefault="002B03D2" w:rsidP="00D94531">
      <w:pPr>
        <w:pStyle w:val="SingleTxtGR"/>
        <w:ind w:left="2268" w:hanging="1134"/>
      </w:pPr>
      <w:r w:rsidRPr="002B03D2">
        <w:t>ФСЗ</w:t>
      </w:r>
      <w:r w:rsidRPr="002B03D2">
        <w:tab/>
      </w:r>
      <w:r w:rsidR="00D94531">
        <w:tab/>
      </w:r>
      <w:r w:rsidRPr="002B03D2">
        <w:t>Фламандская служба занятости (</w:t>
      </w:r>
      <w:r w:rsidRPr="002B03D2">
        <w:rPr>
          <w:lang w:val="fr-FR"/>
        </w:rPr>
        <w:t>Vlaamse</w:t>
      </w:r>
      <w:r w:rsidRPr="002B03D2">
        <w:t xml:space="preserve"> </w:t>
      </w:r>
      <w:r w:rsidRPr="002B03D2">
        <w:rPr>
          <w:lang w:val="fr-FR"/>
        </w:rPr>
        <w:t>Dienst</w:t>
      </w:r>
      <w:r w:rsidRPr="002B03D2">
        <w:t xml:space="preserve"> </w:t>
      </w:r>
      <w:r w:rsidRPr="002B03D2">
        <w:rPr>
          <w:lang w:val="fr-FR"/>
        </w:rPr>
        <w:t>voor</w:t>
      </w:r>
      <w:r w:rsidRPr="002B03D2">
        <w:t xml:space="preserve"> </w:t>
      </w:r>
      <w:r w:rsidRPr="002B03D2">
        <w:rPr>
          <w:lang w:val="fr-FR"/>
        </w:rPr>
        <w:t>Arbeidsbemi</w:t>
      </w:r>
      <w:r w:rsidRPr="002B03D2">
        <w:rPr>
          <w:lang w:val="fr-FR"/>
        </w:rPr>
        <w:t>d</w:t>
      </w:r>
      <w:r w:rsidRPr="002B03D2">
        <w:rPr>
          <w:lang w:val="fr-FR"/>
        </w:rPr>
        <w:t>deling</w:t>
      </w:r>
      <w:r w:rsidRPr="002B03D2">
        <w:t xml:space="preserve">) </w:t>
      </w:r>
    </w:p>
    <w:p w:rsidR="002B03D2" w:rsidRPr="002B03D2" w:rsidRDefault="002B03D2" w:rsidP="00D94531">
      <w:pPr>
        <w:pStyle w:val="SingleTxtGR"/>
        <w:ind w:left="2268" w:hanging="1134"/>
      </w:pPr>
      <w:r w:rsidRPr="002B03D2">
        <w:t>ФСО</w:t>
      </w:r>
      <w:r w:rsidRPr="002B03D2">
        <w:tab/>
      </w:r>
      <w:r w:rsidR="00D94531">
        <w:tab/>
      </w:r>
      <w:r w:rsidRPr="002B03D2">
        <w:t xml:space="preserve">Фламандский совет по вопросам образования </w:t>
      </w:r>
    </w:p>
    <w:p w:rsidR="002B03D2" w:rsidRPr="002B03D2" w:rsidRDefault="002B03D2" w:rsidP="00D94531">
      <w:pPr>
        <w:pStyle w:val="SingleTxtGR"/>
        <w:ind w:left="2268" w:hanging="1134"/>
      </w:pPr>
      <w:r w:rsidRPr="002B03D2">
        <w:t>ФЯИ</w:t>
      </w:r>
      <w:r w:rsidRPr="002B03D2">
        <w:tab/>
      </w:r>
      <w:r w:rsidR="00D94531">
        <w:tab/>
      </w:r>
      <w:r w:rsidRPr="002B03D2">
        <w:t xml:space="preserve">французский язык как иностранный </w:t>
      </w:r>
    </w:p>
    <w:p w:rsidR="002B03D2" w:rsidRPr="002B03D2" w:rsidRDefault="002B03D2" w:rsidP="00D94531">
      <w:pPr>
        <w:pStyle w:val="SingleTxtGR"/>
        <w:ind w:left="2268" w:hanging="1134"/>
      </w:pPr>
      <w:r w:rsidRPr="002B03D2">
        <w:t>ЦЗСО</w:t>
      </w:r>
      <w:r w:rsidRPr="002B03D2">
        <w:tab/>
      </w:r>
      <w:r w:rsidR="00D94531">
        <w:tab/>
      </w:r>
      <w:r w:rsidRPr="002B03D2">
        <w:t xml:space="preserve">Центр здравоохранения и социального обеспечения  </w:t>
      </w:r>
    </w:p>
    <w:p w:rsidR="002B03D2" w:rsidRPr="002B03D2" w:rsidRDefault="002B03D2" w:rsidP="00D94531">
      <w:pPr>
        <w:pStyle w:val="SingleTxtGR"/>
        <w:ind w:left="2268" w:hanging="1134"/>
        <w:rPr>
          <w:bCs/>
        </w:rPr>
      </w:pPr>
      <w:r w:rsidRPr="002B03D2">
        <w:t xml:space="preserve">ШГА </w:t>
      </w:r>
      <w:r w:rsidRPr="002B03D2">
        <w:tab/>
      </w:r>
      <w:r w:rsidR="00D94531">
        <w:tab/>
      </w:r>
      <w:r w:rsidRPr="002B03D2">
        <w:rPr>
          <w:bCs/>
        </w:rPr>
        <w:t xml:space="preserve">Школа государственной администрации </w:t>
      </w:r>
    </w:p>
    <w:p w:rsidR="002B03D2" w:rsidRPr="002B03D2" w:rsidRDefault="002B03D2" w:rsidP="00EA4705">
      <w:pPr>
        <w:pStyle w:val="HChGR"/>
      </w:pPr>
      <w:r w:rsidRPr="002B03D2">
        <w:br w:type="page"/>
      </w:r>
      <w:r w:rsidRPr="002B03D2">
        <w:tab/>
      </w:r>
      <w:r w:rsidRPr="002B03D2">
        <w:tab/>
        <w:t>Введение</w:t>
      </w:r>
    </w:p>
    <w:p w:rsidR="002B03D2" w:rsidRPr="002B03D2" w:rsidRDefault="002B03D2" w:rsidP="002B03D2">
      <w:pPr>
        <w:pStyle w:val="SingleTxtGR"/>
      </w:pPr>
      <w:r w:rsidRPr="002B03D2">
        <w:t>1.</w:t>
      </w:r>
      <w:r w:rsidRPr="002B03D2">
        <w:tab/>
        <w:t>В соответствии с пунктом</w:t>
      </w:r>
      <w:r w:rsidRPr="002B03D2">
        <w:rPr>
          <w:lang w:val="fr-CH"/>
        </w:rPr>
        <w:t> </w:t>
      </w:r>
      <w:r w:rsidRPr="002B03D2">
        <w:t>1 статьи</w:t>
      </w:r>
      <w:r w:rsidRPr="002B03D2">
        <w:rPr>
          <w:lang w:val="fr-CH"/>
        </w:rPr>
        <w:t> </w:t>
      </w:r>
      <w:r w:rsidRPr="002B03D2">
        <w:t>9 Международной конвенции о ликв</w:t>
      </w:r>
      <w:r w:rsidRPr="002B03D2">
        <w:t>и</w:t>
      </w:r>
      <w:r w:rsidRPr="002B03D2">
        <w:t>дации всех фор</w:t>
      </w:r>
      <w:r w:rsidR="00B45B44">
        <w:t xml:space="preserve">м расовой дискриминации (далее </w:t>
      </w:r>
      <w:r w:rsidR="00B45B44" w:rsidRPr="00B45B44">
        <w:t>−</w:t>
      </w:r>
      <w:r w:rsidRPr="002B03D2">
        <w:t xml:space="preserve"> настоящая Конвенция) Бел</w:t>
      </w:r>
      <w:r w:rsidRPr="002B03D2">
        <w:t>ь</w:t>
      </w:r>
      <w:r w:rsidRPr="002B03D2">
        <w:t>гия подготовила новый доклад об осуществлении в стране законодательных, административных и других мер по исполнению на внутреннем уровне межд</w:t>
      </w:r>
      <w:r w:rsidRPr="002B03D2">
        <w:t>у</w:t>
      </w:r>
      <w:r w:rsidRPr="002B03D2">
        <w:t>народных обязательств, принятых ею в связи с ратификацией Конвенции.</w:t>
      </w:r>
    </w:p>
    <w:p w:rsidR="002B03D2" w:rsidRPr="002B03D2" w:rsidRDefault="002B03D2" w:rsidP="002B03D2">
      <w:pPr>
        <w:pStyle w:val="SingleTxtGR"/>
      </w:pPr>
      <w:r w:rsidRPr="002B03D2">
        <w:t>2.</w:t>
      </w:r>
      <w:r w:rsidRPr="002B03D2">
        <w:tab/>
        <w:t>Следует напомнить, что четырнадцатый и пятнадцатый периодические доклады Бельгии, представленные в одном документе, были рассмотрены в х</w:t>
      </w:r>
      <w:r w:rsidRPr="002B03D2">
        <w:t>о</w:t>
      </w:r>
      <w:r w:rsidRPr="002B03D2">
        <w:t>де устного слушания, которое состоялось 25 и 26 февраля 2008 года. Заключ</w:t>
      </w:r>
      <w:r w:rsidRPr="002B03D2">
        <w:t>и</w:t>
      </w:r>
      <w:r w:rsidRPr="002B03D2">
        <w:t>тельные замечания Комитета по этому докладу были официально препровожд</w:t>
      </w:r>
      <w:r w:rsidRPr="002B03D2">
        <w:t>е</w:t>
      </w:r>
      <w:r w:rsidRPr="002B03D2">
        <w:t>ны 11 апреля  2008 года.</w:t>
      </w:r>
    </w:p>
    <w:p w:rsidR="002B03D2" w:rsidRPr="002B03D2" w:rsidRDefault="002B03D2" w:rsidP="002B03D2">
      <w:pPr>
        <w:pStyle w:val="SingleTxtGR"/>
      </w:pPr>
      <w:r w:rsidRPr="002B03D2">
        <w:t>3.</w:t>
      </w:r>
      <w:r w:rsidRPr="002B03D2">
        <w:tab/>
        <w:t>Согласно пункту 30 заключит</w:t>
      </w:r>
      <w:r w:rsidR="00E47867">
        <w:t xml:space="preserve">ельных замечаний Комитета </w:t>
      </w:r>
      <w:r w:rsidRPr="002B03D2">
        <w:t>(</w:t>
      </w:r>
      <w:r w:rsidRPr="002B03D2">
        <w:rPr>
          <w:lang w:val="fr-FR"/>
        </w:rPr>
        <w:t>CERD</w:t>
      </w:r>
      <w:r w:rsidRPr="002B03D2">
        <w:t>/</w:t>
      </w:r>
      <w:r w:rsidRPr="002B03D2">
        <w:rPr>
          <w:lang w:val="fr-FR"/>
        </w:rPr>
        <w:t>C</w:t>
      </w:r>
      <w:r w:rsidRPr="002B03D2">
        <w:t>/</w:t>
      </w:r>
      <w:r w:rsidRPr="002B03D2">
        <w:rPr>
          <w:lang w:val="fr-FR"/>
        </w:rPr>
        <w:t>BEL</w:t>
      </w:r>
      <w:r w:rsidRPr="002B03D2">
        <w:t>/</w:t>
      </w:r>
      <w:r w:rsidR="00E47867">
        <w:t xml:space="preserve"> </w:t>
      </w:r>
      <w:r w:rsidRPr="002B03D2">
        <w:rPr>
          <w:lang w:val="fr-FR"/>
        </w:rPr>
        <w:t>CO</w:t>
      </w:r>
      <w:r w:rsidRPr="002B03D2">
        <w:t>/15) 1 апреля 2009 года Бельгия представила дополнительную информацию (</w:t>
      </w:r>
      <w:r w:rsidRPr="002B03D2">
        <w:rPr>
          <w:lang w:val="fr-FR"/>
        </w:rPr>
        <w:t>CERD</w:t>
      </w:r>
      <w:r w:rsidRPr="002B03D2">
        <w:t>/</w:t>
      </w:r>
      <w:r w:rsidRPr="002B03D2">
        <w:rPr>
          <w:lang w:val="fr-FR"/>
        </w:rPr>
        <w:t>C</w:t>
      </w:r>
      <w:r w:rsidRPr="002B03D2">
        <w:t>/</w:t>
      </w:r>
      <w:r w:rsidRPr="002B03D2">
        <w:rPr>
          <w:lang w:val="fr-FR"/>
        </w:rPr>
        <w:t>BEL</w:t>
      </w:r>
      <w:r w:rsidRPr="002B03D2">
        <w:t>/</w:t>
      </w:r>
      <w:r w:rsidRPr="002B03D2">
        <w:rPr>
          <w:lang w:val="fr-FR"/>
        </w:rPr>
        <w:t>CO</w:t>
      </w:r>
      <w:r w:rsidRPr="002B03D2">
        <w:t>/15/</w:t>
      </w:r>
      <w:r w:rsidRPr="002B03D2">
        <w:rPr>
          <w:lang w:val="fr-FR"/>
        </w:rPr>
        <w:t>Add</w:t>
      </w:r>
      <w:r w:rsidRPr="002B03D2">
        <w:t>.1) о принятых ею мерах во исполнение рекомендаций Комитета, изложенных в пунктах 10, 14, 16 и 22.</w:t>
      </w:r>
    </w:p>
    <w:p w:rsidR="002B03D2" w:rsidRPr="002B03D2" w:rsidRDefault="002B03D2" w:rsidP="002B03D2">
      <w:pPr>
        <w:pStyle w:val="SingleTxtGR"/>
      </w:pPr>
      <w:r w:rsidRPr="002B03D2">
        <w:t>4.</w:t>
      </w:r>
      <w:r w:rsidRPr="002B03D2">
        <w:tab/>
        <w:t>Настоящий документ, представляемый Комитету по ликвидации расовой дискриминации, подготовлен с учетом пункта 31 заключительных замечаний Комитета (</w:t>
      </w:r>
      <w:r w:rsidRPr="002B03D2">
        <w:rPr>
          <w:lang w:val="fr-FR"/>
        </w:rPr>
        <w:t>CERD</w:t>
      </w:r>
      <w:r w:rsidRPr="002B03D2">
        <w:t>/</w:t>
      </w:r>
      <w:r w:rsidRPr="002B03D2">
        <w:rPr>
          <w:lang w:val="fr-FR"/>
        </w:rPr>
        <w:t>C</w:t>
      </w:r>
      <w:r w:rsidRPr="002B03D2">
        <w:t>/</w:t>
      </w:r>
      <w:r w:rsidRPr="002B03D2">
        <w:rPr>
          <w:lang w:val="fr-FR"/>
        </w:rPr>
        <w:t>BEL</w:t>
      </w:r>
      <w:r w:rsidRPr="002B03D2">
        <w:t>/</w:t>
      </w:r>
      <w:r w:rsidRPr="002B03D2">
        <w:rPr>
          <w:lang w:val="fr-FR"/>
        </w:rPr>
        <w:t>CO</w:t>
      </w:r>
      <w:r w:rsidRPr="002B03D2">
        <w:t>/15), в котором Бел</w:t>
      </w:r>
      <w:r w:rsidRPr="002B03D2">
        <w:t>ь</w:t>
      </w:r>
      <w:r w:rsidRPr="002B03D2">
        <w:t>гии рекомендуетс</w:t>
      </w:r>
      <w:r w:rsidR="00B45B44">
        <w:t>я представить свои шестнадцатый</w:t>
      </w:r>
      <w:r w:rsidR="00B45B44" w:rsidRPr="00B45B44">
        <w:t>−</w:t>
      </w:r>
      <w:r w:rsidRPr="002B03D2">
        <w:t>девятнадцатый периодические доклады в виде единого д</w:t>
      </w:r>
      <w:r w:rsidRPr="002B03D2">
        <w:t>о</w:t>
      </w:r>
      <w:r w:rsidRPr="002B03D2">
        <w:t>кумента, являющегося обновлением последнего доклада и посвященного в</w:t>
      </w:r>
      <w:r w:rsidRPr="002B03D2">
        <w:t>о</w:t>
      </w:r>
      <w:r w:rsidRPr="002B03D2">
        <w:t xml:space="preserve">просам, затронутым в заключительных замечаниях Комитета, принятых 5 марта 2008 года. </w:t>
      </w:r>
    </w:p>
    <w:p w:rsidR="002B03D2" w:rsidRPr="002B03D2" w:rsidRDefault="002B03D2" w:rsidP="002B03D2">
      <w:pPr>
        <w:pStyle w:val="SingleTxtGR"/>
      </w:pPr>
      <w:r w:rsidRPr="002B03D2">
        <w:t>5.</w:t>
      </w:r>
      <w:r w:rsidRPr="002B03D2">
        <w:tab/>
        <w:t>В настоящем докладе Бельгии предпринята попытка подробно ответить на вышеупомянутые зам</w:t>
      </w:r>
      <w:r w:rsidRPr="002B03D2">
        <w:t>е</w:t>
      </w:r>
      <w:r w:rsidRPr="002B03D2">
        <w:t xml:space="preserve">чания, которые изложены в разделе С документа </w:t>
      </w:r>
      <w:r w:rsidRPr="002B03D2">
        <w:rPr>
          <w:lang w:val="fr-FR"/>
        </w:rPr>
        <w:t>CERD</w:t>
      </w:r>
      <w:r w:rsidRPr="002B03D2">
        <w:t>/</w:t>
      </w:r>
      <w:r w:rsidRPr="002B03D2">
        <w:rPr>
          <w:lang w:val="fr-FR"/>
        </w:rPr>
        <w:t>C</w:t>
      </w:r>
      <w:r w:rsidRPr="002B03D2">
        <w:t>/</w:t>
      </w:r>
      <w:r w:rsidRPr="002B03D2">
        <w:rPr>
          <w:lang w:val="fr-FR"/>
        </w:rPr>
        <w:t>BEL</w:t>
      </w:r>
      <w:r w:rsidRPr="002B03D2">
        <w:t>/</w:t>
      </w:r>
      <w:r w:rsidRPr="002B03D2">
        <w:rPr>
          <w:lang w:val="fr-FR"/>
        </w:rPr>
        <w:t>CO</w:t>
      </w:r>
      <w:r w:rsidRPr="002B03D2">
        <w:t xml:space="preserve">/15 под заголовком </w:t>
      </w:r>
      <w:r w:rsidR="00E34013">
        <w:t>"</w:t>
      </w:r>
      <w:r w:rsidRPr="002B03D2">
        <w:t>Конкретные вопросы, вызывающие обе</w:t>
      </w:r>
      <w:r w:rsidRPr="002B03D2">
        <w:t>с</w:t>
      </w:r>
      <w:r w:rsidRPr="002B03D2">
        <w:t>покоенность, и рекомендации</w:t>
      </w:r>
      <w:r w:rsidR="00E34013">
        <w:t>"</w:t>
      </w:r>
      <w:r w:rsidRPr="002B03D2">
        <w:t>.</w:t>
      </w:r>
    </w:p>
    <w:p w:rsidR="002B03D2" w:rsidRPr="002B03D2" w:rsidRDefault="002B03D2" w:rsidP="002B03D2">
      <w:pPr>
        <w:pStyle w:val="SingleTxtGR"/>
      </w:pPr>
      <w:r w:rsidRPr="002B03D2">
        <w:t>6.</w:t>
      </w:r>
      <w:r w:rsidRPr="002B03D2">
        <w:tab/>
        <w:t>Ответы на указанные замечания включены в доклад.</w:t>
      </w:r>
    </w:p>
    <w:p w:rsidR="002B03D2" w:rsidRPr="002B03D2" w:rsidRDefault="002B03D2" w:rsidP="002B03D2">
      <w:pPr>
        <w:pStyle w:val="SingleTxtGR"/>
      </w:pPr>
      <w:r w:rsidRPr="002B03D2">
        <w:t>7.</w:t>
      </w:r>
      <w:r w:rsidRPr="002B03D2">
        <w:tab/>
        <w:t xml:space="preserve">В этой связи Бельгия вновь заявляет, что она полностью </w:t>
      </w:r>
      <w:r w:rsidR="00EA4705">
        <w:t xml:space="preserve">поддерживает деятельность </w:t>
      </w:r>
      <w:r w:rsidRPr="002B03D2">
        <w:t>договорных комитетов Организации Объединенных Наций, и по</w:t>
      </w:r>
      <w:r w:rsidRPr="002B03D2">
        <w:t>д</w:t>
      </w:r>
      <w:r w:rsidRPr="002B03D2">
        <w:t>черкивает важность их вкл</w:t>
      </w:r>
      <w:r w:rsidRPr="002B03D2">
        <w:t>а</w:t>
      </w:r>
      <w:r w:rsidRPr="002B03D2">
        <w:t>да в дело защиты и поощрения прав человека.</w:t>
      </w:r>
    </w:p>
    <w:p w:rsidR="002B03D2" w:rsidRPr="002B03D2" w:rsidRDefault="002B03D2" w:rsidP="002B03D2">
      <w:pPr>
        <w:pStyle w:val="SingleTxtGR"/>
      </w:pPr>
      <w:r w:rsidRPr="002B03D2">
        <w:t>8.</w:t>
      </w:r>
      <w:r w:rsidRPr="002B03D2">
        <w:tab/>
        <w:t>Эта поддержка выражается в представлении в 2012 году трех национал</w:t>
      </w:r>
      <w:r w:rsidRPr="002B03D2">
        <w:t>ь</w:t>
      </w:r>
      <w:r w:rsidRPr="002B03D2">
        <w:t>ных докладов об осуществлении Конвенции против пыток и других жестоких, бесчеловечных или унижающих достоинство видов обращения и наказания, Международной конвенции о ликвидации всех форм расовой дискримин</w:t>
      </w:r>
      <w:r w:rsidRPr="002B03D2">
        <w:t>а</w:t>
      </w:r>
      <w:r w:rsidRPr="002B03D2">
        <w:t>ции и Конвенции о ликвидации всех форм дискриминации в отношении женщин.</w:t>
      </w:r>
    </w:p>
    <w:p w:rsidR="002B03D2" w:rsidRPr="002B03D2" w:rsidRDefault="002B03D2" w:rsidP="002B03D2">
      <w:pPr>
        <w:pStyle w:val="SingleTxtGR"/>
      </w:pPr>
      <w:r w:rsidRPr="002B03D2">
        <w:t>9.</w:t>
      </w:r>
      <w:r w:rsidRPr="002B03D2">
        <w:tab/>
        <w:t>В течение второй половины 2010 года Бельгия выполняла функции пре</w:t>
      </w:r>
      <w:r w:rsidRPr="002B03D2">
        <w:t>д</w:t>
      </w:r>
      <w:r w:rsidRPr="002B03D2">
        <w:t>седателя Совета Европе</w:t>
      </w:r>
      <w:r w:rsidRPr="002B03D2">
        <w:t>й</w:t>
      </w:r>
      <w:r w:rsidRPr="002B03D2">
        <w:t>ского союза и в этом качестве организовала целый ряд конференций, продемонстрировав свою приверженность правам человека, т</w:t>
      </w:r>
      <w:r w:rsidRPr="002B03D2">
        <w:t>а</w:t>
      </w:r>
      <w:r w:rsidR="00B45B44">
        <w:t>ких</w:t>
      </w:r>
      <w:r w:rsidRPr="002B03D2">
        <w:t xml:space="preserve"> как Саммит по вопросам равенства, посвященный борьбе с дискриминац</w:t>
      </w:r>
      <w:r w:rsidRPr="002B03D2">
        <w:t>и</w:t>
      </w:r>
      <w:r w:rsidRPr="002B03D2">
        <w:t>ей и поощрению равных возможностей в труд</w:t>
      </w:r>
      <w:r w:rsidR="00EA4705">
        <w:t>овой сфере (15 и 16 ноября 2010 </w:t>
      </w:r>
      <w:r w:rsidRPr="002B03D2">
        <w:t xml:space="preserve">года), и Конференция экспертов по европейским программам интеграции (15 и 16 декабря 2010 года). Кроме того, благодаря председательству Бельгии в Брюссельском столичном регионе в период с 10 по 25 ноября 2010 года было проведено двухнедельное мероприятие по вопросам равенства возможностей и </w:t>
      </w:r>
      <w:r w:rsidR="00EA4705">
        <w:t>м</w:t>
      </w:r>
      <w:r w:rsidRPr="002B03D2">
        <w:t>но</w:t>
      </w:r>
      <w:r w:rsidR="00EA4705">
        <w:t>го</w:t>
      </w:r>
      <w:r w:rsidRPr="002B03D2">
        <w:t>образия. Поскольку эта инициатива оказалась весьма успешной, она была вновь проведена в 2011 и 2012 годах.</w:t>
      </w:r>
    </w:p>
    <w:p w:rsidR="002B03D2" w:rsidRPr="002B03D2" w:rsidRDefault="002B03D2" w:rsidP="002B03D2">
      <w:pPr>
        <w:pStyle w:val="SingleTxtGR"/>
      </w:pPr>
      <w:r w:rsidRPr="002B03D2">
        <w:t>10.</w:t>
      </w:r>
      <w:r w:rsidRPr="002B03D2">
        <w:tab/>
        <w:t>Хотя различными субъектами внутри страны был предпринят целый ряд инициатив (см. далее), в Бельгии пока не разработан национальный план дейс</w:t>
      </w:r>
      <w:r w:rsidRPr="002B03D2">
        <w:t>т</w:t>
      </w:r>
      <w:r w:rsidRPr="002B03D2">
        <w:t>вий по борьбе с расизмом, как это рекомендов</w:t>
      </w:r>
      <w:r w:rsidRPr="002B03D2">
        <w:t>а</w:t>
      </w:r>
      <w:r w:rsidRPr="002B03D2">
        <w:t>лось в Программе действий Всемирной конференции по борьбе против расизма, расовой дискриминации, ксенофобии и связанной с ними нетерпимости (Дурбан, 2001 год) и в заключ</w:t>
      </w:r>
      <w:r w:rsidRPr="002B03D2">
        <w:t>и</w:t>
      </w:r>
      <w:r w:rsidRPr="002B03D2">
        <w:t xml:space="preserve">тельном документе Конференции по </w:t>
      </w:r>
      <w:r w:rsidR="00EA4705">
        <w:t xml:space="preserve">обзору Дурбанского процесса </w:t>
      </w:r>
      <w:r w:rsidRPr="002B03D2">
        <w:t>(Дурбан-</w:t>
      </w:r>
      <w:r w:rsidRPr="002B03D2">
        <w:rPr>
          <w:lang w:val="fr-FR"/>
        </w:rPr>
        <w:t>II</w:t>
      </w:r>
      <w:r w:rsidRPr="002B03D2">
        <w:t>, 2009 год). Объединение усилий федерального государства, сообществ и реги</w:t>
      </w:r>
      <w:r w:rsidRPr="002B03D2">
        <w:t>о</w:t>
      </w:r>
      <w:r w:rsidRPr="002B03D2">
        <w:t>нов, направленных на принятие такого плана</w:t>
      </w:r>
      <w:r w:rsidR="00EA4705">
        <w:t>, обеспечивалось вплоть до 2007 </w:t>
      </w:r>
      <w:r w:rsidRPr="002B03D2">
        <w:t>года при координации Центра по обеспечению равных возможностей и борьбе с расизмом. Эти совместные усилия сошли на нет вследствие провед</w:t>
      </w:r>
      <w:r w:rsidRPr="002B03D2">
        <w:t>е</w:t>
      </w:r>
      <w:r w:rsidRPr="002B03D2">
        <w:t>ния череды различных выборов (федеральных – в июне 2007 года, регионал</w:t>
      </w:r>
      <w:r w:rsidRPr="002B03D2">
        <w:t>ь</w:t>
      </w:r>
      <w:r w:rsidRPr="002B03D2">
        <w:t>ных – в июне 2009 года и вновь федеральных – в июне 2010 года) и длительных переговоров о формировании правительства на федеральном уровне (после 2007 и 2010 г</w:t>
      </w:r>
      <w:r w:rsidRPr="002B03D2">
        <w:t>о</w:t>
      </w:r>
      <w:r w:rsidRPr="002B03D2">
        <w:t xml:space="preserve">дов). </w:t>
      </w:r>
    </w:p>
    <w:p w:rsidR="002B03D2" w:rsidRPr="00511CD3" w:rsidRDefault="00511CD3" w:rsidP="00EA4705">
      <w:pPr>
        <w:pStyle w:val="HChGR"/>
        <w:rPr>
          <w:lang w:val="en-US"/>
        </w:rPr>
      </w:pPr>
      <w:r>
        <w:tab/>
      </w:r>
      <w:r>
        <w:tab/>
        <w:t>Статья 1</w:t>
      </w:r>
      <w:r>
        <w:rPr>
          <w:lang w:val="en-US"/>
        </w:rPr>
        <w:br/>
      </w:r>
      <w:r>
        <w:t>Определение дискриминации</w:t>
      </w:r>
    </w:p>
    <w:p w:rsidR="002B03D2" w:rsidRPr="002B03D2" w:rsidRDefault="002B03D2" w:rsidP="00EA4705">
      <w:pPr>
        <w:pStyle w:val="H1GR"/>
      </w:pPr>
      <w:r w:rsidRPr="002B03D2">
        <w:tab/>
      </w:r>
      <w:r w:rsidRPr="002B03D2">
        <w:rPr>
          <w:lang w:val="fr-FR"/>
        </w:rPr>
        <w:t>A</w:t>
      </w:r>
      <w:r w:rsidRPr="002B03D2">
        <w:t>.</w:t>
      </w:r>
      <w:r w:rsidRPr="002B03D2">
        <w:tab/>
        <w:t xml:space="preserve">Новое определение дискриминации,  составленное в целях согласованности и единообразия законов о федеральной системе обеспечения равного обращения </w:t>
      </w:r>
    </w:p>
    <w:p w:rsidR="002B03D2" w:rsidRPr="002B03D2" w:rsidRDefault="002B03D2" w:rsidP="002B03D2">
      <w:pPr>
        <w:pStyle w:val="SingleTxtGR"/>
      </w:pPr>
      <w:r w:rsidRPr="002B03D2">
        <w:t>11.</w:t>
      </w:r>
      <w:r w:rsidRPr="002B03D2">
        <w:tab/>
        <w:t>В 2007 году была проведена масштабная реформа законодательства о ф</w:t>
      </w:r>
      <w:r w:rsidRPr="002B03D2">
        <w:t>е</w:t>
      </w:r>
      <w:r w:rsidRPr="002B03D2">
        <w:t>деральной системе обеспечения равного обращения и борьбе против дискрим</w:t>
      </w:r>
      <w:r w:rsidRPr="002B03D2">
        <w:t>и</w:t>
      </w:r>
      <w:r w:rsidRPr="002B03D2">
        <w:t>нации; в результате этой реформы, которая будет рассмотрена далее в насто</w:t>
      </w:r>
      <w:r w:rsidRPr="002B03D2">
        <w:t>я</w:t>
      </w:r>
      <w:r w:rsidRPr="002B03D2">
        <w:t xml:space="preserve">щем докладе, были приняты три закона: </w:t>
      </w:r>
    </w:p>
    <w:p w:rsidR="002B03D2" w:rsidRPr="002B03D2" w:rsidRDefault="002B03D2" w:rsidP="00EA4705">
      <w:pPr>
        <w:pStyle w:val="Bullet1GR"/>
      </w:pPr>
      <w:r w:rsidRPr="002B03D2">
        <w:t>Закон от 30 июля 1981 года, направленный на пресечение некоторых а</w:t>
      </w:r>
      <w:r w:rsidRPr="002B03D2">
        <w:t>к</w:t>
      </w:r>
      <w:r w:rsidRPr="002B03D2">
        <w:t>тов, совершенных на почве расизма и ксенофобии, с изменениями, вн</w:t>
      </w:r>
      <w:r w:rsidRPr="002B03D2">
        <w:t>е</w:t>
      </w:r>
      <w:r w:rsidRPr="002B03D2">
        <w:t>сенными Законом от 10 мая 2007 года (</w:t>
      </w:r>
      <w:r w:rsidR="00E34013">
        <w:t>"</w:t>
      </w:r>
      <w:r w:rsidRPr="002B03D2">
        <w:t>Монитёр бельж</w:t>
      </w:r>
      <w:r w:rsidR="00E34013">
        <w:t>"</w:t>
      </w:r>
      <w:r w:rsidR="00EA4705">
        <w:t xml:space="preserve"> от 30 мая 2007 </w:t>
      </w:r>
      <w:r w:rsidRPr="002B03D2">
        <w:t>года);</w:t>
      </w:r>
    </w:p>
    <w:p w:rsidR="002B03D2" w:rsidRPr="002B03D2" w:rsidRDefault="002B03D2" w:rsidP="00EA4705">
      <w:pPr>
        <w:pStyle w:val="Bullet1GR"/>
      </w:pPr>
      <w:r w:rsidRPr="002B03D2">
        <w:t>Закон от 10 мая 2007 года, направленный на борьбу против некоторых форм дискр</w:t>
      </w:r>
      <w:r w:rsidRPr="002B03D2">
        <w:t>и</w:t>
      </w:r>
      <w:r w:rsidRPr="002B03D2">
        <w:t>минации (</w:t>
      </w:r>
      <w:r w:rsidR="00E34013">
        <w:t>"</w:t>
      </w:r>
      <w:r w:rsidRPr="002B03D2">
        <w:t>М.Б.</w:t>
      </w:r>
      <w:r w:rsidR="00E34013">
        <w:t>"</w:t>
      </w:r>
      <w:r w:rsidRPr="002B03D2">
        <w:t xml:space="preserve"> от 30 мая 2007 года); и</w:t>
      </w:r>
    </w:p>
    <w:p w:rsidR="002B03D2" w:rsidRPr="002B03D2" w:rsidRDefault="002B03D2" w:rsidP="00EA4705">
      <w:pPr>
        <w:pStyle w:val="Bullet1GR"/>
      </w:pPr>
      <w:r w:rsidRPr="002B03D2">
        <w:t>Закон от 10 мая 2007 года, направленный на борьбу против дискримин</w:t>
      </w:r>
      <w:r w:rsidRPr="002B03D2">
        <w:t>а</w:t>
      </w:r>
      <w:r w:rsidRPr="002B03D2">
        <w:t>ции м</w:t>
      </w:r>
      <w:r w:rsidRPr="002B03D2">
        <w:t>е</w:t>
      </w:r>
      <w:r w:rsidRPr="002B03D2">
        <w:t>жду женщинами и мужчинами (</w:t>
      </w:r>
      <w:r w:rsidR="00E34013">
        <w:t>"</w:t>
      </w:r>
      <w:r w:rsidRPr="002B03D2">
        <w:t>М.Б.</w:t>
      </w:r>
      <w:r w:rsidR="00E34013">
        <w:t>"</w:t>
      </w:r>
      <w:r w:rsidRPr="002B03D2">
        <w:t xml:space="preserve"> от 30 мая 2007 года).</w:t>
      </w:r>
    </w:p>
    <w:p w:rsidR="002B03D2" w:rsidRPr="002B03D2" w:rsidRDefault="002B03D2" w:rsidP="002B03D2">
      <w:pPr>
        <w:pStyle w:val="SingleTxtGR"/>
      </w:pPr>
      <w:r w:rsidRPr="002B03D2">
        <w:t>12.</w:t>
      </w:r>
      <w:r w:rsidRPr="002B03D2">
        <w:tab/>
        <w:t>Понятию расовой дискриминации дано новое определение, отличное от того, которое фигурировало в предыдущих законах и которое было полностью заимствовано из статьи 1 настоящей Конвенции. Законодатель стремился дать согласованное определение дискриминации, не завис</w:t>
      </w:r>
      <w:r w:rsidR="002E3E44">
        <w:t>ящее</w:t>
      </w:r>
      <w:r w:rsidRPr="002B03D2">
        <w:t xml:space="preserve"> от подлежащего з</w:t>
      </w:r>
      <w:r w:rsidRPr="002B03D2">
        <w:t>а</w:t>
      </w:r>
      <w:r w:rsidRPr="002B03D2">
        <w:t xml:space="preserve">щите </w:t>
      </w:r>
      <w:r w:rsidR="002E3E44">
        <w:t xml:space="preserve">признака </w:t>
      </w:r>
      <w:r w:rsidRPr="002B03D2">
        <w:t>(в частности, пола, возраста, сексуальной ориентации, инвали</w:t>
      </w:r>
      <w:r w:rsidRPr="002B03D2">
        <w:t>д</w:t>
      </w:r>
      <w:r w:rsidRPr="002B03D2">
        <w:t xml:space="preserve">ности, религиозных и философских убеждений), инкорпорировав следующие европейские директивы: </w:t>
      </w:r>
    </w:p>
    <w:p w:rsidR="002B03D2" w:rsidRPr="002B03D2" w:rsidRDefault="002B03D2" w:rsidP="002E3E44">
      <w:pPr>
        <w:pStyle w:val="Bullet1GR"/>
      </w:pPr>
      <w:r w:rsidRPr="002B03D2">
        <w:t>Директиву 2000/43/</w:t>
      </w:r>
      <w:r w:rsidRPr="002B03D2">
        <w:rPr>
          <w:lang w:val="fr-FR"/>
        </w:rPr>
        <w:t>CE</w:t>
      </w:r>
      <w:r w:rsidRPr="002B03D2">
        <w:t xml:space="preserve"> Совета от 29 июня 2000 года об осуществлении принципа равного обращения с лицами без различия по признаку расы или этнического происхо</w:t>
      </w:r>
      <w:r w:rsidRPr="002B03D2">
        <w:t>ж</w:t>
      </w:r>
      <w:r w:rsidRPr="002B03D2">
        <w:t>дения;</w:t>
      </w:r>
    </w:p>
    <w:p w:rsidR="002B03D2" w:rsidRPr="002B03D2" w:rsidRDefault="002B03D2" w:rsidP="002E3E44">
      <w:pPr>
        <w:pStyle w:val="Bullet1GR"/>
      </w:pPr>
      <w:r w:rsidRPr="002B03D2">
        <w:t>Директиву 2000/78/</w:t>
      </w:r>
      <w:r w:rsidRPr="002B03D2">
        <w:rPr>
          <w:lang w:val="fr-FR"/>
        </w:rPr>
        <w:t>CE</w:t>
      </w:r>
      <w:r w:rsidRPr="002B03D2">
        <w:t xml:space="preserve"> Совета от 27 ноября 2000 года о создании общей системы обеспечения равного обращения в сфере труда и занятости; и</w:t>
      </w:r>
    </w:p>
    <w:p w:rsidR="002B03D2" w:rsidRPr="002B03D2" w:rsidRDefault="002B03D2" w:rsidP="002E3E44">
      <w:pPr>
        <w:pStyle w:val="Bullet1GR"/>
      </w:pPr>
      <w:r w:rsidRPr="002B03D2">
        <w:t>Директиву 2006/54/</w:t>
      </w:r>
      <w:r w:rsidRPr="002B03D2">
        <w:rPr>
          <w:lang w:val="fr-FR"/>
        </w:rPr>
        <w:t>CE</w:t>
      </w:r>
      <w:r w:rsidRPr="002B03D2">
        <w:t xml:space="preserve"> Европейского пар</w:t>
      </w:r>
      <w:r w:rsidR="002D157F">
        <w:t>ламента и Совета от 5 июля 2006 </w:t>
      </w:r>
      <w:r w:rsidRPr="002B03D2">
        <w:t>года об осуществлении принципа равенства возможностей и равного о</w:t>
      </w:r>
      <w:r w:rsidRPr="002B03D2">
        <w:t>б</w:t>
      </w:r>
      <w:r w:rsidRPr="002B03D2">
        <w:t>ращения для мужчин и женщин в сфере труда и занятости.</w:t>
      </w:r>
    </w:p>
    <w:p w:rsidR="002B03D2" w:rsidRPr="002B03D2" w:rsidRDefault="002B03D2" w:rsidP="002B03D2">
      <w:pPr>
        <w:pStyle w:val="SingleTxtGR"/>
      </w:pPr>
      <w:r w:rsidRPr="002B03D2">
        <w:t>13.</w:t>
      </w:r>
      <w:r w:rsidRPr="002B03D2">
        <w:tab/>
        <w:t>Не всякое различие в обращении представляет собой проявление дискр</w:t>
      </w:r>
      <w:r w:rsidRPr="002B03D2">
        <w:t>и</w:t>
      </w:r>
      <w:r w:rsidRPr="002B03D2">
        <w:t>минации как таковой; лишь то различие в обращении, которое нельзя обосн</w:t>
      </w:r>
      <w:r w:rsidRPr="002B03D2">
        <w:t>о</w:t>
      </w:r>
      <w:r w:rsidRPr="002B03D2">
        <w:t>вать требованиями закона, является неправомерным проявлением дискримин</w:t>
      </w:r>
      <w:r w:rsidRPr="002B03D2">
        <w:t>а</w:t>
      </w:r>
      <w:r w:rsidRPr="002B03D2">
        <w:t xml:space="preserve">ции. В сфере расовой дискриминации система обоснования особенно строга по сравнению с другими подлежащими защите критериями (см. ниже). </w:t>
      </w:r>
    </w:p>
    <w:p w:rsidR="002B03D2" w:rsidRPr="002B03D2" w:rsidRDefault="002B03D2" w:rsidP="002B03D2">
      <w:pPr>
        <w:pStyle w:val="SingleTxtGR"/>
      </w:pPr>
      <w:r w:rsidRPr="002B03D2">
        <w:t>14.</w:t>
      </w:r>
      <w:r w:rsidRPr="002B03D2">
        <w:tab/>
        <w:t>Определения, которые закреплены в законодательных актах, принятых регионами и сообществами (указах и ордонансах</w:t>
      </w:r>
      <w:r w:rsidRPr="002D157F">
        <w:rPr>
          <w:sz w:val="18"/>
          <w:szCs w:val="18"/>
          <w:vertAlign w:val="superscript"/>
          <w:lang w:val="fr-FR"/>
        </w:rPr>
        <w:footnoteReference w:id="4"/>
      </w:r>
      <w:r w:rsidRPr="002B03D2">
        <w:t>) в целях инкорпорации в</w:t>
      </w:r>
      <w:r w:rsidRPr="002B03D2">
        <w:t>ы</w:t>
      </w:r>
      <w:r w:rsidRPr="002B03D2">
        <w:t>шеупомянутых европейских директив в областях, относящихся к их компете</w:t>
      </w:r>
      <w:r w:rsidRPr="002B03D2">
        <w:t>н</w:t>
      </w:r>
      <w:r w:rsidRPr="002B03D2">
        <w:t>ции, аналогичны положениям федерального законодательства и отныне не дол</w:t>
      </w:r>
      <w:r w:rsidRPr="002B03D2">
        <w:t>ж</w:t>
      </w:r>
      <w:r w:rsidRPr="002B03D2">
        <w:t xml:space="preserve">ны создавать расхождений в оценке проявлений дискриминации вообще и расовой дискриминации в частности. </w:t>
      </w:r>
    </w:p>
    <w:p w:rsidR="002B03D2" w:rsidRPr="002B03D2" w:rsidRDefault="002B03D2" w:rsidP="00696CCC">
      <w:pPr>
        <w:pStyle w:val="H1GR"/>
      </w:pPr>
      <w:r w:rsidRPr="002B03D2">
        <w:tab/>
      </w:r>
      <w:r w:rsidRPr="002B03D2">
        <w:rPr>
          <w:lang w:val="fr-FR"/>
        </w:rPr>
        <w:t>B</w:t>
      </w:r>
      <w:r w:rsidRPr="002B03D2">
        <w:t>.</w:t>
      </w:r>
      <w:r w:rsidRPr="002B03D2">
        <w:tab/>
        <w:t xml:space="preserve">Определения </w:t>
      </w:r>
    </w:p>
    <w:p w:rsidR="002B03D2" w:rsidRPr="002B03D2" w:rsidRDefault="002B03D2" w:rsidP="002B03D2">
      <w:pPr>
        <w:pStyle w:val="SingleTxtGR"/>
      </w:pPr>
      <w:r w:rsidRPr="002B03D2">
        <w:t>15.</w:t>
      </w:r>
      <w:r w:rsidRPr="002B03D2">
        <w:tab/>
        <w:t>Дискриминация может быть прямой или косвенной; она также включает домогательство и приказ подвергнуть дискриминации.</w:t>
      </w:r>
    </w:p>
    <w:p w:rsidR="002B03D2" w:rsidRPr="002B03D2" w:rsidRDefault="00517D8E" w:rsidP="00696CCC">
      <w:pPr>
        <w:pStyle w:val="H23GR"/>
      </w:pPr>
      <w:r>
        <w:tab/>
      </w:r>
      <w:r>
        <w:tab/>
        <w:t>Прямая дискриминация</w:t>
      </w:r>
    </w:p>
    <w:p w:rsidR="002B03D2" w:rsidRPr="002B03D2" w:rsidRDefault="002B03D2" w:rsidP="002B03D2">
      <w:pPr>
        <w:pStyle w:val="SingleTxtGR"/>
      </w:pPr>
      <w:r w:rsidRPr="002B03D2">
        <w:t>16.</w:t>
      </w:r>
      <w:r w:rsidRPr="002B03D2">
        <w:tab/>
        <w:t>В соответствии с тремя указанными федеральными законами прямая ди</w:t>
      </w:r>
      <w:r w:rsidRPr="002B03D2">
        <w:t>с</w:t>
      </w:r>
      <w:r w:rsidRPr="002B03D2">
        <w:t xml:space="preserve">криминация определяется как </w:t>
      </w:r>
      <w:r w:rsidR="00E34013">
        <w:t>"</w:t>
      </w:r>
      <w:r w:rsidRPr="002B03D2">
        <w:t>прямое отличие на основе одного из подлеж</w:t>
      </w:r>
      <w:r w:rsidRPr="002B03D2">
        <w:t>а</w:t>
      </w:r>
      <w:r w:rsidRPr="002B03D2">
        <w:t>щих защите</w:t>
      </w:r>
      <w:r w:rsidR="00696CCC">
        <w:t xml:space="preserve"> признаков</w:t>
      </w:r>
      <w:r w:rsidRPr="002B03D2">
        <w:t>, которое не может быть оправдано</w:t>
      </w:r>
      <w:r w:rsidR="00E34013">
        <w:t>"</w:t>
      </w:r>
      <w:r w:rsidRPr="002B03D2">
        <w:t xml:space="preserve">. Прямое отличие, в свою очередь, определяется как </w:t>
      </w:r>
      <w:r w:rsidR="00E34013">
        <w:t>"</w:t>
      </w:r>
      <w:r w:rsidRPr="002B03D2">
        <w:t>ситуация, возникающая в случае, когда на о</w:t>
      </w:r>
      <w:r w:rsidRPr="002B03D2">
        <w:t>с</w:t>
      </w:r>
      <w:r w:rsidRPr="002B03D2">
        <w:t xml:space="preserve">нове одного из подлежащих защите </w:t>
      </w:r>
      <w:r w:rsidR="00696CCC">
        <w:t>признаков</w:t>
      </w:r>
      <w:r w:rsidRPr="002B03D2">
        <w:t xml:space="preserve"> какое-либо лицо подвергается менее благоприятному обращению, которому другое лицо не подвергается, не подвергалось и не подверглось бы в сопостав</w:t>
      </w:r>
      <w:r w:rsidRPr="002B03D2">
        <w:t>и</w:t>
      </w:r>
      <w:r w:rsidRPr="002B03D2">
        <w:t>мой ситуации</w:t>
      </w:r>
      <w:r w:rsidR="00E34013">
        <w:t>"</w:t>
      </w:r>
      <w:r w:rsidRPr="002B03D2">
        <w:t xml:space="preserve">. </w:t>
      </w:r>
    </w:p>
    <w:p w:rsidR="002B03D2" w:rsidRPr="002B03D2" w:rsidRDefault="002B03D2" w:rsidP="002B03D2">
      <w:pPr>
        <w:pStyle w:val="SingleTxtGR"/>
      </w:pPr>
      <w:r w:rsidRPr="002B03D2">
        <w:t>17.</w:t>
      </w:r>
      <w:r w:rsidRPr="002B03D2">
        <w:tab/>
        <w:t>Вообще, понятие прямой дискриминации не содержит в себе элемента преднамеренности. Тем не менее, если потерпевший желает передать дело на рассмотрение уголовных судов, необходимо доказать, что лицо, подозреваемое в проявлении дискриминации, имело намерение добиться дискриминационного результата (особый умысел).</w:t>
      </w:r>
    </w:p>
    <w:p w:rsidR="002B03D2" w:rsidRPr="002B03D2" w:rsidRDefault="002B03D2" w:rsidP="002B03D2">
      <w:pPr>
        <w:pStyle w:val="SingleTxtGR"/>
      </w:pPr>
      <w:r w:rsidRPr="002B03D2">
        <w:t>18.</w:t>
      </w:r>
      <w:r w:rsidRPr="002B03D2">
        <w:tab/>
        <w:t>В соответствии с Законом от 30 июля 1981 года,</w:t>
      </w:r>
      <w:r w:rsidRPr="002B03D2">
        <w:rPr>
          <w:b/>
        </w:rPr>
        <w:t xml:space="preserve"> </w:t>
      </w:r>
      <w:r w:rsidRPr="002B03D2">
        <w:t>направленным на прес</w:t>
      </w:r>
      <w:r w:rsidRPr="002B03D2">
        <w:t>е</w:t>
      </w:r>
      <w:r w:rsidRPr="002B03D2">
        <w:t>чение некоторых актов, совершенных на почве расизма и ксенофобии</w:t>
      </w:r>
      <w:r w:rsidRPr="002B03D2">
        <w:rPr>
          <w:b/>
        </w:rPr>
        <w:t>,</w:t>
      </w:r>
      <w:r w:rsidRPr="002B03D2">
        <w:t xml:space="preserve"> пред</w:t>
      </w:r>
      <w:r w:rsidRPr="002B03D2">
        <w:t>у</w:t>
      </w:r>
      <w:r w:rsidRPr="002B03D2">
        <w:t>сматривается, что, кроме сферы трудовых отнош</w:t>
      </w:r>
      <w:r w:rsidRPr="002B03D2">
        <w:t>е</w:t>
      </w:r>
      <w:r w:rsidRPr="002B03D2">
        <w:t>ний, не может быть никакого оправдания прямому отличию, проводимому на основе расовой принадлежн</w:t>
      </w:r>
      <w:r w:rsidRPr="002B03D2">
        <w:t>о</w:t>
      </w:r>
      <w:r w:rsidRPr="002B03D2">
        <w:t xml:space="preserve">сти, цвета кожи и родового, национального или этнического происхождения. Только </w:t>
      </w:r>
      <w:r w:rsidR="00696CCC">
        <w:t xml:space="preserve">признак </w:t>
      </w:r>
      <w:r w:rsidRPr="002B03D2">
        <w:t>гражданства допускает наличие объективных оправданий, если они мотивированы правомерной целью и если средства, используемые для до</w:t>
      </w:r>
      <w:r w:rsidRPr="002B03D2">
        <w:t>с</w:t>
      </w:r>
      <w:r w:rsidRPr="002B03D2">
        <w:t xml:space="preserve">тижения этой цели, являются адекватными и необходимыми. </w:t>
      </w:r>
    </w:p>
    <w:p w:rsidR="002B03D2" w:rsidRPr="002B03D2" w:rsidRDefault="002B03D2" w:rsidP="002B03D2">
      <w:pPr>
        <w:pStyle w:val="SingleTxtGR"/>
      </w:pPr>
      <w:r w:rsidRPr="002B03D2">
        <w:t>19.</w:t>
      </w:r>
      <w:r w:rsidRPr="002B03D2">
        <w:tab/>
      </w:r>
      <w:r w:rsidR="00696CCC">
        <w:t xml:space="preserve">Применительно к </w:t>
      </w:r>
      <w:r w:rsidRPr="002B03D2">
        <w:t>сфер</w:t>
      </w:r>
      <w:r w:rsidR="00696CCC">
        <w:t>е</w:t>
      </w:r>
      <w:r w:rsidRPr="002B03D2">
        <w:t xml:space="preserve"> трудовых отношений Закон от 30 июля 1981 г</w:t>
      </w:r>
      <w:r w:rsidRPr="002B03D2">
        <w:t>о</w:t>
      </w:r>
      <w:r w:rsidRPr="002B03D2">
        <w:t xml:space="preserve">да гласит, что прямое отличие на основе одного из вышеназванных </w:t>
      </w:r>
      <w:r w:rsidR="00696CCC">
        <w:t xml:space="preserve">признаков </w:t>
      </w:r>
      <w:r w:rsidRPr="002B03D2">
        <w:t xml:space="preserve"> м</w:t>
      </w:r>
      <w:r w:rsidRPr="002B03D2">
        <w:t>о</w:t>
      </w:r>
      <w:r w:rsidRPr="002B03D2">
        <w:t xml:space="preserve">жет, тем не менее, не подпадать под запрет, если оно мотивируется </w:t>
      </w:r>
      <w:r w:rsidR="00E34013">
        <w:t>"</w:t>
      </w:r>
      <w:r w:rsidRPr="002B03D2">
        <w:t>существе</w:t>
      </w:r>
      <w:r w:rsidRPr="002B03D2">
        <w:t>н</w:t>
      </w:r>
      <w:r w:rsidRPr="002B03D2">
        <w:t>ным и определяющим профессиональным требованием</w:t>
      </w:r>
      <w:r w:rsidR="00E34013">
        <w:t>"</w:t>
      </w:r>
      <w:r w:rsidRPr="002B03D2">
        <w:rPr>
          <w:vertAlign w:val="superscript"/>
          <w:lang w:val="fr-FR"/>
        </w:rPr>
        <w:footnoteReference w:id="5"/>
      </w:r>
      <w:r w:rsidRPr="002B03D2">
        <w:t>, которое должно быть сформулировано четко по закону и предусматриваться как исключение из общ</w:t>
      </w:r>
      <w:r w:rsidRPr="002B03D2">
        <w:t>е</w:t>
      </w:r>
      <w:r w:rsidRPr="002B03D2">
        <w:t>го правила о запр</w:t>
      </w:r>
      <w:r w:rsidRPr="002B03D2">
        <w:t>е</w:t>
      </w:r>
      <w:r w:rsidRPr="002B03D2">
        <w:t>щении дискриминации.</w:t>
      </w:r>
    </w:p>
    <w:p w:rsidR="002B03D2" w:rsidRPr="002B03D2" w:rsidRDefault="002B03D2" w:rsidP="00696CCC">
      <w:pPr>
        <w:pStyle w:val="H23GR"/>
      </w:pPr>
      <w:r w:rsidRPr="002B03D2">
        <w:tab/>
      </w:r>
      <w:r w:rsidRPr="002B03D2">
        <w:tab/>
        <w:t xml:space="preserve">Косвенная дискриминация </w:t>
      </w:r>
    </w:p>
    <w:p w:rsidR="002B03D2" w:rsidRPr="002B03D2" w:rsidRDefault="002B03D2" w:rsidP="002B03D2">
      <w:pPr>
        <w:pStyle w:val="SingleTxtGR"/>
      </w:pPr>
      <w:r w:rsidRPr="002B03D2">
        <w:t>20.</w:t>
      </w:r>
      <w:r w:rsidRPr="002B03D2">
        <w:tab/>
        <w:t>Косвенная дискриминация также запрещена; в соответствии с тремя ук</w:t>
      </w:r>
      <w:r w:rsidRPr="002B03D2">
        <w:t>а</w:t>
      </w:r>
      <w:r w:rsidRPr="002B03D2">
        <w:t xml:space="preserve">занными федеральными законами она определяется как </w:t>
      </w:r>
      <w:r w:rsidR="00E34013">
        <w:t>"</w:t>
      </w:r>
      <w:r w:rsidRPr="002B03D2">
        <w:t xml:space="preserve">косвенное отличие на основе одного из подлежащих защите </w:t>
      </w:r>
      <w:r w:rsidR="00696CCC">
        <w:t>признаков</w:t>
      </w:r>
      <w:r w:rsidRPr="002B03D2">
        <w:t>, которое не может быть опра</w:t>
      </w:r>
      <w:r w:rsidRPr="002B03D2">
        <w:t>в</w:t>
      </w:r>
      <w:r w:rsidRPr="002B03D2">
        <w:t>дано</w:t>
      </w:r>
      <w:r w:rsidR="00E34013">
        <w:t>"</w:t>
      </w:r>
      <w:r w:rsidRPr="002B03D2">
        <w:t xml:space="preserve">.  Под косвенной дискриминацией в законе понимается </w:t>
      </w:r>
      <w:r w:rsidR="00E34013">
        <w:t>"</w:t>
      </w:r>
      <w:r w:rsidRPr="002B03D2">
        <w:t>ситуация, возн</w:t>
      </w:r>
      <w:r w:rsidRPr="002B03D2">
        <w:t>и</w:t>
      </w:r>
      <w:r w:rsidRPr="002B03D2">
        <w:t>кающая в случае, когда применение какого-либо внешне нейтрального полож</w:t>
      </w:r>
      <w:r w:rsidRPr="002B03D2">
        <w:t>е</w:t>
      </w:r>
      <w:r w:rsidRPr="002B03D2">
        <w:t xml:space="preserve">ния, </w:t>
      </w:r>
      <w:r w:rsidR="00696CCC">
        <w:t>признака</w:t>
      </w:r>
      <w:r w:rsidRPr="002B03D2">
        <w:t xml:space="preserve"> или вида практики способно создать для лиц, которые подпадают под один из подлежащих защите </w:t>
      </w:r>
      <w:r w:rsidR="00696CCC">
        <w:t>признаков</w:t>
      </w:r>
      <w:r w:rsidRPr="002B03D2">
        <w:t>, определенное неудобство в сравн</w:t>
      </w:r>
      <w:r w:rsidRPr="002B03D2">
        <w:t>е</w:t>
      </w:r>
      <w:r w:rsidRPr="002B03D2">
        <w:t>нии с другими лицами</w:t>
      </w:r>
      <w:r w:rsidR="00E34013">
        <w:t>"</w:t>
      </w:r>
      <w:r w:rsidRPr="002B03D2">
        <w:t xml:space="preserve">. </w:t>
      </w:r>
    </w:p>
    <w:p w:rsidR="002B03D2" w:rsidRPr="002B03D2" w:rsidRDefault="002B03D2" w:rsidP="002B03D2">
      <w:pPr>
        <w:pStyle w:val="SingleTxtGR"/>
      </w:pPr>
      <w:r w:rsidRPr="002B03D2">
        <w:t>21.</w:t>
      </w:r>
      <w:r w:rsidRPr="002B03D2">
        <w:tab/>
        <w:t>И в этом случае данное понятие не предполагает наличия элемента пре</w:t>
      </w:r>
      <w:r w:rsidRPr="002B03D2">
        <w:t>д</w:t>
      </w:r>
      <w:r w:rsidRPr="002B03D2">
        <w:t>намеренности; тем не менее, если оно применяется при рассмотрении дела в уголовном порядке, необходимо представить доказательства умышленного пр</w:t>
      </w:r>
      <w:r w:rsidRPr="002B03D2">
        <w:t>о</w:t>
      </w:r>
      <w:r w:rsidRPr="002B03D2">
        <w:t>явления дискриминации. Следует отметить, что проведение косвенных о</w:t>
      </w:r>
      <w:r w:rsidRPr="002B03D2">
        <w:t>т</w:t>
      </w:r>
      <w:r w:rsidRPr="002B03D2">
        <w:t>личий также может быть оправданным, если оно объективно мотивировано правоме</w:t>
      </w:r>
      <w:r w:rsidRPr="002B03D2">
        <w:t>р</w:t>
      </w:r>
      <w:r w:rsidRPr="002B03D2">
        <w:t xml:space="preserve">ной целью и если средства, используемые для достижения этой цели, являются </w:t>
      </w:r>
      <w:r w:rsidR="00FE37DB">
        <w:t xml:space="preserve">приемлемыми </w:t>
      </w:r>
      <w:r w:rsidRPr="002B03D2">
        <w:t xml:space="preserve">и необходимыми. </w:t>
      </w:r>
    </w:p>
    <w:p w:rsidR="002B03D2" w:rsidRPr="002B03D2" w:rsidRDefault="002B03D2" w:rsidP="00FE37DB">
      <w:pPr>
        <w:pStyle w:val="H23GR"/>
      </w:pPr>
      <w:r w:rsidRPr="002B03D2">
        <w:tab/>
      </w:r>
      <w:r w:rsidRPr="002B03D2">
        <w:tab/>
        <w:t>Домогательство</w:t>
      </w:r>
    </w:p>
    <w:p w:rsidR="002B03D2" w:rsidRPr="002B03D2" w:rsidRDefault="002B03D2" w:rsidP="002B03D2">
      <w:pPr>
        <w:pStyle w:val="SingleTxtGR"/>
      </w:pPr>
      <w:r w:rsidRPr="002B03D2">
        <w:t>22.</w:t>
      </w:r>
      <w:r w:rsidRPr="002B03D2">
        <w:tab/>
        <w:t xml:space="preserve">Домогательство, проявляемое на основе одного из защищаемых законом </w:t>
      </w:r>
      <w:r w:rsidR="00FE37DB">
        <w:t>признаков</w:t>
      </w:r>
      <w:r w:rsidRPr="002B03D2">
        <w:t>, представляет собой запрещенный и предосудительный вид повед</w:t>
      </w:r>
      <w:r w:rsidRPr="002B03D2">
        <w:t>е</w:t>
      </w:r>
      <w:r w:rsidRPr="002B03D2">
        <w:t xml:space="preserve">ния как таковой. По закону оно определяется как </w:t>
      </w:r>
      <w:r w:rsidR="00E34013">
        <w:t>"</w:t>
      </w:r>
      <w:r w:rsidRPr="002B03D2">
        <w:t xml:space="preserve">нежелательное поведение, связанное с одним из подлежащих защите </w:t>
      </w:r>
      <w:r w:rsidR="00FE37DB">
        <w:t>признаков</w:t>
      </w:r>
      <w:r w:rsidRPr="002B03D2">
        <w:t>, цель или следствие кот</w:t>
      </w:r>
      <w:r w:rsidRPr="002B03D2">
        <w:t>о</w:t>
      </w:r>
      <w:r w:rsidRPr="002B03D2">
        <w:t>рого состоит в том, чтобы нанести ущерб достоинству личности и создать зап</w:t>
      </w:r>
      <w:r w:rsidRPr="002B03D2">
        <w:t>у</w:t>
      </w:r>
      <w:r w:rsidRPr="002B03D2">
        <w:t>гивающую, враждебную, позорящую, унизительную или оскорбительную атм</w:t>
      </w:r>
      <w:r w:rsidRPr="002B03D2">
        <w:t>о</w:t>
      </w:r>
      <w:r w:rsidRPr="002B03D2">
        <w:t>сферу</w:t>
      </w:r>
      <w:r w:rsidR="00E34013">
        <w:t>"</w:t>
      </w:r>
      <w:r w:rsidRPr="002B03D2">
        <w:t>.</w:t>
      </w:r>
    </w:p>
    <w:p w:rsidR="002B03D2" w:rsidRPr="002B03D2" w:rsidRDefault="002B03D2" w:rsidP="002B03D2">
      <w:pPr>
        <w:pStyle w:val="SingleTxtGR"/>
      </w:pPr>
      <w:r w:rsidRPr="002B03D2">
        <w:t>23.</w:t>
      </w:r>
      <w:r w:rsidRPr="002B03D2">
        <w:tab/>
        <w:t>В противоположность отличиям в обращении, которые не обязательно представляют собой проя</w:t>
      </w:r>
      <w:r w:rsidRPr="002B03D2">
        <w:t>в</w:t>
      </w:r>
      <w:r w:rsidRPr="002B03D2">
        <w:t>ления дискриминации, домогательство не имеет обоснования и может проявляться только в виде пре</w:t>
      </w:r>
      <w:r w:rsidRPr="002B03D2">
        <w:t>д</w:t>
      </w:r>
      <w:r w:rsidRPr="002B03D2">
        <w:t>намеренного поведения.</w:t>
      </w:r>
    </w:p>
    <w:p w:rsidR="002B03D2" w:rsidRPr="002B03D2" w:rsidRDefault="002B03D2" w:rsidP="00FE37DB">
      <w:pPr>
        <w:pStyle w:val="H23GR"/>
      </w:pPr>
      <w:r w:rsidRPr="002B03D2">
        <w:tab/>
      </w:r>
      <w:r w:rsidRPr="002B03D2">
        <w:tab/>
        <w:t>Приказ подвергнуть дискриминации</w:t>
      </w:r>
    </w:p>
    <w:p w:rsidR="002B03D2" w:rsidRPr="002B03D2" w:rsidRDefault="002B03D2" w:rsidP="002B03D2">
      <w:pPr>
        <w:pStyle w:val="SingleTxtGR"/>
      </w:pPr>
      <w:r w:rsidRPr="002B03D2">
        <w:t>24.</w:t>
      </w:r>
      <w:r w:rsidRPr="002B03D2">
        <w:tab/>
        <w:t xml:space="preserve">Приказ подвергнуть дискриминации понимается как </w:t>
      </w:r>
      <w:r w:rsidR="00E34013">
        <w:t>"</w:t>
      </w:r>
      <w:r w:rsidRPr="002B03D2">
        <w:t>любое поведение, состоящее в том, чтобы отдать кому-либо распоряжение о проявлении дискр</w:t>
      </w:r>
      <w:r w:rsidRPr="002B03D2">
        <w:t>и</w:t>
      </w:r>
      <w:r w:rsidRPr="002B03D2">
        <w:t xml:space="preserve">минации на основе одного из подлежащих защите </w:t>
      </w:r>
      <w:r w:rsidR="00FE37DB">
        <w:t>признаков</w:t>
      </w:r>
      <w:r w:rsidRPr="002B03D2">
        <w:t xml:space="preserve"> в отношении как</w:t>
      </w:r>
      <w:r w:rsidRPr="002B03D2">
        <w:t>о</w:t>
      </w:r>
      <w:r w:rsidRPr="002B03D2">
        <w:t>го-либо лица, группы лиц, общины или одного из ее членов</w:t>
      </w:r>
      <w:r w:rsidR="00E34013">
        <w:t>"</w:t>
      </w:r>
      <w:r w:rsidRPr="002B03D2">
        <w:t>.</w:t>
      </w:r>
    </w:p>
    <w:p w:rsidR="002B03D2" w:rsidRPr="002B03D2" w:rsidRDefault="002B03D2" w:rsidP="002B03D2">
      <w:pPr>
        <w:pStyle w:val="SingleTxtGR"/>
      </w:pPr>
      <w:r w:rsidRPr="002B03D2">
        <w:t>25.</w:t>
      </w:r>
      <w:r w:rsidRPr="002B03D2">
        <w:tab/>
        <w:t>Приравнивание отдания такого приказа к дискриминации продиктовано стремлением законодателя не допускать ситуаций, в которых определенные л</w:t>
      </w:r>
      <w:r w:rsidRPr="002B03D2">
        <w:t>и</w:t>
      </w:r>
      <w:r w:rsidRPr="002B03D2">
        <w:t>ца обходят запрет на проявление дискриминации с помощью использования п</w:t>
      </w:r>
      <w:r w:rsidRPr="002B03D2">
        <w:t>о</w:t>
      </w:r>
      <w:r w:rsidR="00813720">
        <w:t>средников. Тако</w:t>
      </w:r>
      <w:r w:rsidRPr="002B03D2">
        <w:t>е поведение влечет за собой вынесение обвинительного приг</w:t>
      </w:r>
      <w:r w:rsidRPr="002B03D2">
        <w:t>о</w:t>
      </w:r>
      <w:r w:rsidRPr="002B03D2">
        <w:t>вора в рамках уголовного или гражданского дела независимо от непосредстве</w:t>
      </w:r>
      <w:r w:rsidRPr="002B03D2">
        <w:t>н</w:t>
      </w:r>
      <w:r w:rsidRPr="002B03D2">
        <w:t>ного проявления дискриминации и предполагает наличие элемента преднам</w:t>
      </w:r>
      <w:r w:rsidRPr="002B03D2">
        <w:t>е</w:t>
      </w:r>
      <w:r w:rsidRPr="002B03D2">
        <w:t>ренности при уголовном разбирательстве. Такой принцип приравнивания может применяться даже в случаях, когда отданный приказ не привел к реал</w:t>
      </w:r>
      <w:r w:rsidRPr="002B03D2">
        <w:t>ь</w:t>
      </w:r>
      <w:r w:rsidRPr="002B03D2">
        <w:t>ному проявлению дискриминации.</w:t>
      </w:r>
    </w:p>
    <w:p w:rsidR="002B03D2" w:rsidRPr="002B03D2" w:rsidRDefault="00813720" w:rsidP="00FE37DB">
      <w:pPr>
        <w:pStyle w:val="HChGR"/>
      </w:pPr>
      <w:r>
        <w:tab/>
      </w:r>
      <w:r>
        <w:tab/>
        <w:t>Статья 2</w:t>
      </w:r>
      <w:r>
        <w:br/>
      </w:r>
      <w:r w:rsidR="002B03D2" w:rsidRPr="002B03D2">
        <w:t>Политика борьбы против расизма</w:t>
      </w:r>
    </w:p>
    <w:p w:rsidR="002B03D2" w:rsidRPr="002B03D2" w:rsidRDefault="002B03D2" w:rsidP="00FE37DB">
      <w:pPr>
        <w:pStyle w:val="H1GR"/>
      </w:pPr>
      <w:r w:rsidRPr="002B03D2">
        <w:tab/>
      </w:r>
      <w:r w:rsidRPr="002B03D2">
        <w:rPr>
          <w:lang w:val="fr-FR"/>
        </w:rPr>
        <w:t>A</w:t>
      </w:r>
      <w:r w:rsidR="00517D8E">
        <w:t>.</w:t>
      </w:r>
      <w:r w:rsidR="00517D8E">
        <w:tab/>
        <w:t>Международные обязательства</w:t>
      </w:r>
    </w:p>
    <w:p w:rsidR="002B03D2" w:rsidRPr="002B03D2" w:rsidRDefault="002B03D2" w:rsidP="002B03D2">
      <w:pPr>
        <w:pStyle w:val="SingleTxtGR"/>
      </w:pPr>
      <w:r w:rsidRPr="002B03D2">
        <w:t>26.</w:t>
      </w:r>
      <w:r w:rsidRPr="002B03D2">
        <w:tab/>
        <w:t>Бельгия ратифицировала (за период с 2006 года):</w:t>
      </w:r>
    </w:p>
    <w:p w:rsidR="002B03D2" w:rsidRPr="002B03D2" w:rsidRDefault="002B03D2" w:rsidP="00FE37DB">
      <w:pPr>
        <w:pStyle w:val="Bullet1GR"/>
      </w:pPr>
      <w:r w:rsidRPr="002B03D2">
        <w:t>Протокол о внесении изменений в Европейскую конвенцию о пресечении те</w:t>
      </w:r>
      <w:r w:rsidRPr="002B03D2">
        <w:t>р</w:t>
      </w:r>
      <w:r w:rsidRPr="002B03D2">
        <w:t>роризма (16 августа 2007 года);</w:t>
      </w:r>
    </w:p>
    <w:p w:rsidR="002B03D2" w:rsidRPr="002B03D2" w:rsidRDefault="002B03D2" w:rsidP="00FE37DB">
      <w:pPr>
        <w:pStyle w:val="Bullet1GR"/>
        <w:rPr>
          <w:lang w:val="fr-FR"/>
        </w:rPr>
      </w:pPr>
      <w:r w:rsidRPr="002B03D2">
        <w:t>Дополнительный протокол к Конвенции об уголовной ответственности за ко</w:t>
      </w:r>
      <w:r w:rsidRPr="002B03D2">
        <w:t>р</w:t>
      </w:r>
      <w:r w:rsidRPr="002B03D2">
        <w:t xml:space="preserve">рупцию </w:t>
      </w:r>
      <w:r w:rsidRPr="002B03D2">
        <w:rPr>
          <w:lang w:val="fr-FR"/>
        </w:rPr>
        <w:t xml:space="preserve">(26 </w:t>
      </w:r>
      <w:r w:rsidRPr="002B03D2">
        <w:t>февраля</w:t>
      </w:r>
      <w:r w:rsidRPr="002B03D2">
        <w:rPr>
          <w:lang w:val="fr-FR"/>
        </w:rPr>
        <w:t xml:space="preserve"> 2009</w:t>
      </w:r>
      <w:r w:rsidRPr="002B03D2">
        <w:t xml:space="preserve"> года</w:t>
      </w:r>
      <w:r w:rsidRPr="002B03D2">
        <w:rPr>
          <w:lang w:val="fr-FR"/>
        </w:rPr>
        <w:t>)</w:t>
      </w:r>
      <w:r w:rsidRPr="002B03D2">
        <w:t>;</w:t>
      </w:r>
    </w:p>
    <w:p w:rsidR="002B03D2" w:rsidRPr="002B03D2" w:rsidRDefault="002B03D2" w:rsidP="00FE37DB">
      <w:pPr>
        <w:pStyle w:val="Bullet1GR"/>
      </w:pPr>
      <w:r w:rsidRPr="002B03D2">
        <w:t>Конвенцию Совета Европы о борьбе с торговлей людьми (27 апреля 2009);</w:t>
      </w:r>
    </w:p>
    <w:p w:rsidR="002B03D2" w:rsidRPr="002B03D2" w:rsidRDefault="002B03D2" w:rsidP="00FE37DB">
      <w:pPr>
        <w:pStyle w:val="Bullet1GR"/>
      </w:pPr>
      <w:r w:rsidRPr="002B03D2">
        <w:t>Конвенцию Организации Объединенных Наций о правах инвалидов (2</w:t>
      </w:r>
      <w:r w:rsidRPr="002B03D2">
        <w:rPr>
          <w:lang w:val="fr-FR"/>
        </w:rPr>
        <w:t> </w:t>
      </w:r>
      <w:r w:rsidRPr="002B03D2">
        <w:t>июля  2009 г</w:t>
      </w:r>
      <w:r w:rsidRPr="002B03D2">
        <w:t>о</w:t>
      </w:r>
      <w:r w:rsidRPr="002B03D2">
        <w:t>да);</w:t>
      </w:r>
    </w:p>
    <w:p w:rsidR="002B03D2" w:rsidRPr="002B03D2" w:rsidRDefault="002B03D2" w:rsidP="00FE37DB">
      <w:pPr>
        <w:pStyle w:val="Bullet1GR"/>
      </w:pPr>
      <w:r w:rsidRPr="002B03D2">
        <w:t>Факультативный протокол к Конвенции Организации Объединенных Н</w:t>
      </w:r>
      <w:r w:rsidRPr="002B03D2">
        <w:t>а</w:t>
      </w:r>
      <w:r w:rsidRPr="002B03D2">
        <w:t>ций о правах инвалидов (2 июля 2009 года);</w:t>
      </w:r>
    </w:p>
    <w:p w:rsidR="002B03D2" w:rsidRPr="002B03D2" w:rsidRDefault="002B03D2" w:rsidP="00FE37DB">
      <w:pPr>
        <w:pStyle w:val="Bullet1GR"/>
      </w:pPr>
      <w:r w:rsidRPr="002B03D2">
        <w:t>Конвенцию МОТ (№ 155) о безопасности и гигиене труда 1981 года (28</w:t>
      </w:r>
      <w:r w:rsidRPr="002B03D2">
        <w:rPr>
          <w:lang w:val="fr-FR"/>
        </w:rPr>
        <w:t> </w:t>
      </w:r>
      <w:r w:rsidRPr="002B03D2">
        <w:t>февраля 2011 года);</w:t>
      </w:r>
    </w:p>
    <w:p w:rsidR="002B03D2" w:rsidRPr="002B03D2" w:rsidRDefault="002B03D2" w:rsidP="00FE37DB">
      <w:pPr>
        <w:pStyle w:val="Bullet1GR"/>
      </w:pPr>
      <w:r w:rsidRPr="002B03D2">
        <w:t>Конвенцию МОТ (№ 161) о службах гигиены труда 1985 года (28 февраля 2011 года);</w:t>
      </w:r>
    </w:p>
    <w:p w:rsidR="002B03D2" w:rsidRPr="002B03D2" w:rsidRDefault="002B03D2" w:rsidP="00FE37DB">
      <w:pPr>
        <w:pStyle w:val="Bullet1GR"/>
      </w:pPr>
      <w:r w:rsidRPr="002B03D2">
        <w:t>Международную конвенцию для защиты всех лиц от насильственных и</w:t>
      </w:r>
      <w:r w:rsidRPr="002B03D2">
        <w:t>с</w:t>
      </w:r>
      <w:r w:rsidRPr="002B03D2">
        <w:t>чезновений (2 июня 2011 года);</w:t>
      </w:r>
    </w:p>
    <w:p w:rsidR="002B03D2" w:rsidRPr="002B03D2" w:rsidRDefault="002B03D2" w:rsidP="00FE37DB">
      <w:pPr>
        <w:pStyle w:val="Bullet1GR"/>
      </w:pPr>
      <w:r w:rsidRPr="002B03D2">
        <w:t>Конвенцию МОТ (№ 150) о регулирован</w:t>
      </w:r>
      <w:r w:rsidR="002D157F">
        <w:t>ии вопросов труда 1978 года (21 </w:t>
      </w:r>
      <w:r w:rsidRPr="002B03D2">
        <w:t>октя</w:t>
      </w:r>
      <w:r w:rsidRPr="002B03D2">
        <w:t>б</w:t>
      </w:r>
      <w:r w:rsidRPr="002B03D2">
        <w:t>ря 2011 года);</w:t>
      </w:r>
    </w:p>
    <w:p w:rsidR="002B03D2" w:rsidRPr="002B03D2" w:rsidRDefault="002B03D2" w:rsidP="00FE37DB">
      <w:pPr>
        <w:pStyle w:val="Bullet1GR"/>
      </w:pPr>
      <w:r w:rsidRPr="002B03D2">
        <w:t>Конвенцию МОТ (№ 168) о содействии занятости и защите от безработ</w:t>
      </w:r>
      <w:r w:rsidRPr="002B03D2">
        <w:t>и</w:t>
      </w:r>
      <w:r w:rsidRPr="002B03D2">
        <w:t>цы 1988 года (21 октября 2011 года);</w:t>
      </w:r>
    </w:p>
    <w:p w:rsidR="002B03D2" w:rsidRPr="002B03D2" w:rsidRDefault="002B03D2" w:rsidP="00FE37DB">
      <w:pPr>
        <w:pStyle w:val="Bullet1GR"/>
      </w:pPr>
      <w:r w:rsidRPr="002B03D2">
        <w:t>Протокол № 7 к Конвенции о защите прав человека и основных свобод (13 апреля 2012 года).</w:t>
      </w:r>
    </w:p>
    <w:p w:rsidR="002B03D2" w:rsidRPr="002B03D2" w:rsidRDefault="002B03D2" w:rsidP="002B03D2">
      <w:pPr>
        <w:pStyle w:val="SingleTxtGR"/>
        <w:rPr>
          <w:lang w:val="fr-FR"/>
        </w:rPr>
      </w:pPr>
      <w:r w:rsidRPr="002B03D2">
        <w:rPr>
          <w:lang w:val="fr-FR"/>
        </w:rPr>
        <w:t>27.</w:t>
      </w:r>
      <w:r w:rsidRPr="002B03D2">
        <w:rPr>
          <w:lang w:val="fr-FR"/>
        </w:rPr>
        <w:tab/>
      </w:r>
      <w:r w:rsidRPr="002B03D2">
        <w:rPr>
          <w:lang w:val="fr-CH"/>
        </w:rPr>
        <w:t>Недавно Бельгией были подписаны</w:t>
      </w:r>
      <w:r w:rsidRPr="002B03D2">
        <w:rPr>
          <w:lang w:val="fr-FR"/>
        </w:rPr>
        <w:t>:</w:t>
      </w:r>
    </w:p>
    <w:p w:rsidR="002B03D2" w:rsidRPr="002B03D2" w:rsidRDefault="002B03D2" w:rsidP="00FE37DB">
      <w:pPr>
        <w:pStyle w:val="Bullet1GR"/>
      </w:pPr>
      <w:r w:rsidRPr="002B03D2">
        <w:t>Конвенция Совета Европы о предупрежд</w:t>
      </w:r>
      <w:r w:rsidR="002D157F">
        <w:t>ении терроризма (19 января 2006 </w:t>
      </w:r>
      <w:r w:rsidRPr="002B03D2">
        <w:t>года);</w:t>
      </w:r>
    </w:p>
    <w:p w:rsidR="002B03D2" w:rsidRPr="002B03D2" w:rsidRDefault="002B03D2" w:rsidP="00FE37DB">
      <w:pPr>
        <w:pStyle w:val="Bullet1GR"/>
      </w:pPr>
      <w:r w:rsidRPr="002B03D2">
        <w:t>Конвенция Совета Европы о защите детей от сексуальной эксплуатации и сексуальн</w:t>
      </w:r>
      <w:r w:rsidRPr="002B03D2">
        <w:t>о</w:t>
      </w:r>
      <w:r w:rsidRPr="002B03D2">
        <w:t>го насилия (25 октября 2007 года);</w:t>
      </w:r>
    </w:p>
    <w:p w:rsidR="002B03D2" w:rsidRPr="002B03D2" w:rsidRDefault="002B03D2" w:rsidP="00FE37DB">
      <w:pPr>
        <w:pStyle w:val="Bullet1GR"/>
      </w:pPr>
      <w:r w:rsidRPr="002B03D2">
        <w:t xml:space="preserve">Европейская конвенция </w:t>
      </w:r>
      <w:r w:rsidR="00FE37DB">
        <w:t>об</w:t>
      </w:r>
      <w:r w:rsidRPr="002B03D2">
        <w:t xml:space="preserve"> усыновлени</w:t>
      </w:r>
      <w:r w:rsidR="00FE37DB">
        <w:t>и</w:t>
      </w:r>
      <w:r w:rsidR="002D157F">
        <w:t>/удочерении</w:t>
      </w:r>
      <w:r w:rsidRPr="002B03D2">
        <w:t xml:space="preserve"> (пересмотрен</w:t>
      </w:r>
      <w:r w:rsidR="002D157F">
        <w:t>ная) (1 </w:t>
      </w:r>
      <w:r w:rsidRPr="002B03D2">
        <w:t>декабря 2008 года);</w:t>
      </w:r>
    </w:p>
    <w:p w:rsidR="002B03D2" w:rsidRPr="002B03D2" w:rsidRDefault="002B03D2" w:rsidP="00FE37DB">
      <w:pPr>
        <w:pStyle w:val="Bullet1GR"/>
      </w:pPr>
      <w:r w:rsidRPr="002B03D2">
        <w:t>Факультативный протокол к Международному пакту об экономических, социальных и культурных правах (24 сентября 2009 года);</w:t>
      </w:r>
    </w:p>
    <w:p w:rsidR="002B03D2" w:rsidRPr="002B03D2" w:rsidRDefault="002B03D2" w:rsidP="00FE37DB">
      <w:pPr>
        <w:pStyle w:val="Bullet1GR"/>
      </w:pPr>
      <w:r w:rsidRPr="002B03D2">
        <w:t>Дополнительный протокол к Европейской хартии местного самоуправл</w:t>
      </w:r>
      <w:r w:rsidRPr="002B03D2">
        <w:t>е</w:t>
      </w:r>
      <w:r w:rsidRPr="002B03D2">
        <w:t>ния о праве участия в делах органов местного самоуправления (16 ноября 2009);</w:t>
      </w:r>
    </w:p>
    <w:p w:rsidR="002B03D2" w:rsidRPr="002B03D2" w:rsidRDefault="002B03D2" w:rsidP="00FE37DB">
      <w:pPr>
        <w:pStyle w:val="Bullet1GR"/>
      </w:pPr>
      <w:r w:rsidRPr="002B03D2">
        <w:t>Факультативный протокол к Конвенции о правах ребенка, касающийся процедуры с</w:t>
      </w:r>
      <w:r w:rsidRPr="002B03D2">
        <w:t>о</w:t>
      </w:r>
      <w:r w:rsidRPr="002B03D2">
        <w:t>общений (28 февраля 2012 года);</w:t>
      </w:r>
    </w:p>
    <w:p w:rsidR="002B03D2" w:rsidRPr="002B03D2" w:rsidRDefault="002B03D2" w:rsidP="00FE37DB">
      <w:pPr>
        <w:pStyle w:val="Bullet1GR"/>
      </w:pPr>
      <w:r w:rsidRPr="002B03D2">
        <w:t>Конвенция Совета Европы о предупреждении и борьбе с насилием в о</w:t>
      </w:r>
      <w:r w:rsidRPr="002B03D2">
        <w:t>т</w:t>
      </w:r>
      <w:r w:rsidRPr="002B03D2">
        <w:t>ношении же</w:t>
      </w:r>
      <w:r w:rsidRPr="002B03D2">
        <w:t>н</w:t>
      </w:r>
      <w:r w:rsidRPr="002B03D2">
        <w:t>щин и домашним насилием (11 сентября 2012 года).</w:t>
      </w:r>
    </w:p>
    <w:p w:rsidR="002B03D2" w:rsidRPr="002B03D2" w:rsidRDefault="002B03D2" w:rsidP="002B03D2">
      <w:pPr>
        <w:pStyle w:val="SingleTxtGR"/>
      </w:pPr>
      <w:r w:rsidRPr="002B03D2">
        <w:t>28.</w:t>
      </w:r>
      <w:r w:rsidRPr="002B03D2">
        <w:tab/>
        <w:t>В отношении большинства конвенций и протоколов, подписанных Бел</w:t>
      </w:r>
      <w:r w:rsidRPr="002B03D2">
        <w:t>ь</w:t>
      </w:r>
      <w:r w:rsidRPr="002B03D2">
        <w:t xml:space="preserve">гией, в настоящее время осуществляются процедуры одобрения в </w:t>
      </w:r>
      <w:r w:rsidR="002D157F" w:rsidRPr="002B03D2">
        <w:t>П</w:t>
      </w:r>
      <w:r w:rsidRPr="002B03D2">
        <w:t>арламенте, которые необходимы для их ратификации.</w:t>
      </w:r>
    </w:p>
    <w:p w:rsidR="00FA567F" w:rsidRPr="00A6455F" w:rsidRDefault="00FA567F" w:rsidP="004B4B9D">
      <w:pPr>
        <w:pStyle w:val="H1GR"/>
      </w:pPr>
      <w:r w:rsidRPr="00A6455F">
        <w:tab/>
      </w:r>
      <w:r w:rsidRPr="00A6455F">
        <w:rPr>
          <w:lang w:val="fr-FR"/>
        </w:rPr>
        <w:t>B</w:t>
      </w:r>
      <w:r w:rsidRPr="00A6455F">
        <w:t>.</w:t>
      </w:r>
      <w:r w:rsidRPr="00A6455F">
        <w:tab/>
        <w:t xml:space="preserve">Изменение и развитие Конституции и законодательства </w:t>
      </w:r>
    </w:p>
    <w:p w:rsidR="00FA567F" w:rsidRPr="00A6455F" w:rsidRDefault="00FA567F" w:rsidP="004B4B9D">
      <w:pPr>
        <w:pStyle w:val="H23GR"/>
      </w:pPr>
      <w:r w:rsidRPr="00A6455F">
        <w:tab/>
        <w:t>1.</w:t>
      </w:r>
      <w:r w:rsidRPr="00A6455F">
        <w:tab/>
        <w:t>Усиление федерального, общинного и регионального законодательства</w:t>
      </w:r>
      <w:r w:rsidRPr="00AB4C34">
        <w:t xml:space="preserve"> </w:t>
      </w:r>
      <w:r>
        <w:t>в </w:t>
      </w:r>
      <w:r w:rsidRPr="00A6455F">
        <w:t xml:space="preserve">области равного обращения </w:t>
      </w:r>
    </w:p>
    <w:p w:rsidR="00FA567F" w:rsidRPr="00A6455F" w:rsidRDefault="00FA567F" w:rsidP="00517D8E">
      <w:pPr>
        <w:pStyle w:val="H4GR"/>
        <w:spacing w:before="240"/>
      </w:pPr>
      <w:r w:rsidRPr="00A6455F">
        <w:tab/>
      </w:r>
      <w:r w:rsidRPr="00A6455F">
        <w:tab/>
        <w:t>Генезис реформы</w:t>
      </w:r>
    </w:p>
    <w:p w:rsidR="00FA567F" w:rsidRPr="00AB4C34" w:rsidRDefault="00FA567F" w:rsidP="004B4B9D">
      <w:pPr>
        <w:pStyle w:val="SingleTxtGR"/>
      </w:pPr>
      <w:r w:rsidRPr="00AB4C34">
        <w:t>29.</w:t>
      </w:r>
      <w:r w:rsidRPr="00AB4C34">
        <w:tab/>
        <w:t>В 2007 году Бельгия приступила к коренному преобразованию своего з</w:t>
      </w:r>
      <w:r w:rsidRPr="00AB4C34">
        <w:t>а</w:t>
      </w:r>
      <w:r w:rsidRPr="00AB4C34">
        <w:t>конодательства, чтобы привести его в соответствие с рекомендациями, сформ</w:t>
      </w:r>
      <w:r w:rsidRPr="00AB4C34">
        <w:t>у</w:t>
      </w:r>
      <w:r w:rsidRPr="00AB4C34">
        <w:t>лированными Европейской комиссией относительно инкорпорации трех выш</w:t>
      </w:r>
      <w:r w:rsidRPr="00AB4C34">
        <w:t>е</w:t>
      </w:r>
      <w:r w:rsidRPr="00AB4C34">
        <w:t>упомянутых директив</w:t>
      </w:r>
      <w:r>
        <w:rPr>
          <w:rStyle w:val="FootnoteReference"/>
        </w:rPr>
        <w:footnoteReference w:id="6"/>
      </w:r>
      <w:r w:rsidRPr="00AB4C34">
        <w:t>.</w:t>
      </w:r>
    </w:p>
    <w:p w:rsidR="00FA567F" w:rsidRPr="00AB4C34" w:rsidRDefault="00FA567F" w:rsidP="004B4B9D">
      <w:pPr>
        <w:pStyle w:val="SingleTxtGR"/>
      </w:pPr>
      <w:r w:rsidRPr="00AB4C34">
        <w:t>30.</w:t>
      </w:r>
      <w:r w:rsidRPr="00AB4C34">
        <w:tab/>
        <w:t>Реформа Закона от 30 июля 1981 года (расизм) с изменениями, внесе</w:t>
      </w:r>
      <w:r w:rsidRPr="00AB4C34">
        <w:t>н</w:t>
      </w:r>
      <w:r w:rsidRPr="00AB4C34">
        <w:t>ными в 2003 году, и Закона от 25 февраля 2003 года (борьба с дискриминацией) также была продиктована последствиями вынесения Конституционным судом постановления об аннуляции</w:t>
      </w:r>
      <w:r w:rsidRPr="00AB4C34">
        <w:rPr>
          <w:rStyle w:val="FootnoteReference"/>
        </w:rPr>
        <w:footnoteReference w:id="7"/>
      </w:r>
      <w:r w:rsidRPr="00AB4C34">
        <w:t>, затруднившего их применение. Суд счел, что не все жертвы дискриминации получают равное обращение, поскольку одни кр</w:t>
      </w:r>
      <w:r w:rsidRPr="00AB4C34">
        <w:t>и</w:t>
      </w:r>
      <w:r w:rsidRPr="00AB4C34">
        <w:t>терии признаются противоречащими уголовному законодательству, а другие – только гражданскому законодательству. Кроме того, он указал, что из сферы применения законодательства по борьбе с дискриминацией нецелесообразно исключать некоторые мотивы, такие как язык или профсоюзная деятельность. Поэтому Суд аннулировал ограничительный перечень критериев дискримин</w:t>
      </w:r>
      <w:r w:rsidRPr="00AB4C34">
        <w:t>а</w:t>
      </w:r>
      <w:r w:rsidRPr="00AB4C34">
        <w:t>ции, что привело к определенной юридической неустойчивости, которую тр</w:t>
      </w:r>
      <w:r w:rsidRPr="00AB4C34">
        <w:t>е</w:t>
      </w:r>
      <w:r w:rsidRPr="00AB4C34">
        <w:t>бовалось устранить с помощью новой законодательной инициативы.</w:t>
      </w:r>
    </w:p>
    <w:p w:rsidR="00FA567F" w:rsidRPr="00AB4C34" w:rsidRDefault="00FA567F" w:rsidP="004B4B9D">
      <w:pPr>
        <w:pStyle w:val="SingleTxtGR"/>
      </w:pPr>
      <w:r w:rsidRPr="00AB4C34">
        <w:t>31.</w:t>
      </w:r>
      <w:r w:rsidRPr="00AB4C34">
        <w:tab/>
        <w:t>Необходимость повышения эффективности федеральных законов о бор</w:t>
      </w:r>
      <w:r w:rsidRPr="00AB4C34">
        <w:t>ь</w:t>
      </w:r>
      <w:r w:rsidRPr="00AB4C34">
        <w:t>бе с дискриминацией путем сокращения расхождений между ними в конечном счете убедила законодателя в обоснованности проведения такой реформы. В р</w:t>
      </w:r>
      <w:r w:rsidRPr="00AB4C34">
        <w:t>е</w:t>
      </w:r>
      <w:r w:rsidRPr="00AB4C34">
        <w:t>зультате было проведено согласование используемых понятий, сферы их мат</w:t>
      </w:r>
      <w:r w:rsidRPr="00AB4C34">
        <w:t>е</w:t>
      </w:r>
      <w:r w:rsidRPr="00AB4C34">
        <w:t>риального применения, уголовного законодательства и положений гражданск</w:t>
      </w:r>
      <w:r w:rsidRPr="00AB4C34">
        <w:t>о</w:t>
      </w:r>
      <w:r w:rsidRPr="00AB4C34">
        <w:t>го процессуального законодательства. С другой стороны, благодаря этой р</w:t>
      </w:r>
      <w:r w:rsidRPr="00AB4C34">
        <w:t>е</w:t>
      </w:r>
      <w:r w:rsidRPr="00AB4C34">
        <w:t>форме различные законы могут эволюцион</w:t>
      </w:r>
      <w:r w:rsidRPr="00AB4C34">
        <w:t>и</w:t>
      </w:r>
      <w:r w:rsidRPr="00AB4C34">
        <w:t xml:space="preserve">ровать </w:t>
      </w:r>
      <w:r>
        <w:t>"</w:t>
      </w:r>
      <w:r w:rsidRPr="00AB4C34">
        <w:t>коллективно</w:t>
      </w:r>
      <w:r>
        <w:t>"</w:t>
      </w:r>
      <w:r w:rsidRPr="00AB4C34">
        <w:t xml:space="preserve">. </w:t>
      </w:r>
    </w:p>
    <w:p w:rsidR="00FA567F" w:rsidRPr="00AB4C34" w:rsidRDefault="00FA567F" w:rsidP="00963DF8">
      <w:pPr>
        <w:pStyle w:val="H4GR"/>
        <w:spacing w:before="240"/>
      </w:pPr>
      <w:r w:rsidRPr="00AB4C34">
        <w:tab/>
      </w:r>
      <w:r w:rsidRPr="00AB4C34">
        <w:tab/>
        <w:t xml:space="preserve">Три новых закона и новые подлежащие защите критерии </w:t>
      </w:r>
    </w:p>
    <w:p w:rsidR="00FA567F" w:rsidRPr="00AB4C34" w:rsidRDefault="00FA567F" w:rsidP="004B4B9D">
      <w:pPr>
        <w:pStyle w:val="SingleTxtGR"/>
      </w:pPr>
      <w:r w:rsidRPr="00AB4C34">
        <w:t>32.</w:t>
      </w:r>
      <w:r w:rsidRPr="00AB4C34">
        <w:tab/>
        <w:t>Закон от 10 мая 2007 года о внесении из</w:t>
      </w:r>
      <w:r>
        <w:t>менений в Закон от 30 июля 1981</w:t>
      </w:r>
      <w:r>
        <w:rPr>
          <w:lang w:val="en-US"/>
        </w:rPr>
        <w:t> </w:t>
      </w:r>
      <w:r w:rsidRPr="00AB4C34">
        <w:t>года направленный на пресечение некоторых актов, совершенных на почве расизма и ксенофобии, обеспечивает инкорпорацию директивы 2000/43/CE (р</w:t>
      </w:r>
      <w:r w:rsidRPr="00AB4C34">
        <w:t>а</w:t>
      </w:r>
      <w:r w:rsidRPr="00AB4C34">
        <w:t>сизм) и закладывает – при уважении некоторых сфер деятельности</w:t>
      </w:r>
      <w:r w:rsidRPr="00AB4C34">
        <w:rPr>
          <w:rStyle w:val="FootnoteReference"/>
        </w:rPr>
        <w:footnoteReference w:id="8"/>
      </w:r>
      <w:r w:rsidRPr="00AB4C34">
        <w:t xml:space="preserve"> </w:t>
      </w:r>
      <w:r>
        <w:t>−</w:t>
      </w:r>
      <w:r w:rsidRPr="00AB4C34">
        <w:t xml:space="preserve"> общую основу для борьбы против дискриминации на основе гражданства, расовой принадлежности, цвета кожи, родового, национального или этнического прои</w:t>
      </w:r>
      <w:r w:rsidRPr="00AB4C34">
        <w:t>с</w:t>
      </w:r>
      <w:r w:rsidRPr="00AB4C34">
        <w:t>хождения. С другой стороны, в 2007 году в перечень подлежащих защите кр</w:t>
      </w:r>
      <w:r w:rsidRPr="00AB4C34">
        <w:t>и</w:t>
      </w:r>
      <w:r w:rsidRPr="00AB4C34">
        <w:t>териев было включено гражданство.</w:t>
      </w:r>
    </w:p>
    <w:p w:rsidR="00FA567F" w:rsidRPr="00AB4C34" w:rsidRDefault="00FA567F" w:rsidP="004B4B9D">
      <w:pPr>
        <w:pStyle w:val="SingleTxtGR"/>
      </w:pPr>
      <w:r w:rsidRPr="00AB4C34">
        <w:t>33.</w:t>
      </w:r>
      <w:r w:rsidRPr="00AB4C34">
        <w:tab/>
        <w:t>10 мая 2007 года было принято еще дв</w:t>
      </w:r>
      <w:r>
        <w:t>а закона (см. выше): первый – о </w:t>
      </w:r>
      <w:r w:rsidRPr="00AB4C34">
        <w:t>борьбе против дискриминации по признаку пола, второй – о борьбе против дискриминации в целом, включающий перечень из 14 подлежащих защите кр</w:t>
      </w:r>
      <w:r w:rsidRPr="00AB4C34">
        <w:t>и</w:t>
      </w:r>
      <w:r w:rsidRPr="00AB4C34">
        <w:t>териев (среди которых – религиозные и философские убеждения, возраст, инв</w:t>
      </w:r>
      <w:r w:rsidRPr="00AB4C34">
        <w:t>а</w:t>
      </w:r>
      <w:r w:rsidRPr="00AB4C34">
        <w:t>лидность и сексуальная ориентация).</w:t>
      </w:r>
    </w:p>
    <w:p w:rsidR="00FA567F" w:rsidRPr="00AB4C34" w:rsidRDefault="00FA567F" w:rsidP="00963DF8">
      <w:pPr>
        <w:pStyle w:val="H4GR"/>
        <w:spacing w:before="240"/>
      </w:pPr>
      <w:r w:rsidRPr="00AB4C34">
        <w:tab/>
      </w:r>
      <w:r w:rsidRPr="00AB4C34">
        <w:tab/>
        <w:t>Новеллы, привнесенные реформой: на пути к более надежной з</w:t>
      </w:r>
      <w:r w:rsidRPr="00AB4C34">
        <w:t>а</w:t>
      </w:r>
      <w:r>
        <w:t>щите жертв</w:t>
      </w:r>
      <w:r>
        <w:br/>
      </w:r>
      <w:r>
        <w:tab/>
      </w:r>
      <w:r>
        <w:tab/>
        <w:t>и</w:t>
      </w:r>
      <w:r>
        <w:rPr>
          <w:lang w:val="en-US"/>
        </w:rPr>
        <w:t> </w:t>
      </w:r>
      <w:r w:rsidRPr="00AB4C34">
        <w:t xml:space="preserve">свидетелей акта расовой дискриминации </w:t>
      </w:r>
    </w:p>
    <w:p w:rsidR="00FA567F" w:rsidRPr="00AB4C34" w:rsidRDefault="00FA567F" w:rsidP="004B4B9D">
      <w:pPr>
        <w:pStyle w:val="SingleTxtGR"/>
      </w:pPr>
      <w:r w:rsidRPr="00AB4C34">
        <w:t>34.</w:t>
      </w:r>
      <w:r w:rsidRPr="00AB4C34">
        <w:tab/>
        <w:t>Ниже излагаются новеллы, которые были привнесены законодательной реформой. Они касаются прежде всего механизмов применения наказаний и с</w:t>
      </w:r>
      <w:r w:rsidRPr="00AB4C34">
        <w:t>о</w:t>
      </w:r>
      <w:r w:rsidRPr="00AB4C34">
        <w:t>вершенствования гражданских процедур, обесп</w:t>
      </w:r>
      <w:r w:rsidRPr="00AB4C34">
        <w:t>е</w:t>
      </w:r>
      <w:r w:rsidRPr="00AB4C34">
        <w:t>чивающих защиту жертвы акта дискриминации.</w:t>
      </w:r>
    </w:p>
    <w:p w:rsidR="00FA567F" w:rsidRPr="00AB4C34" w:rsidRDefault="00FA567F" w:rsidP="004B4B9D">
      <w:pPr>
        <w:pStyle w:val="Bullet1GR"/>
        <w:numPr>
          <w:ilvl w:val="0"/>
          <w:numId w:val="1"/>
        </w:numPr>
      </w:pPr>
      <w:r w:rsidRPr="00AB4C34">
        <w:t>Действие механизма защиты от репрессалий, которые могут применяться как в трудовых отношениях, так и вне сферы этих отношений, было ра</w:t>
      </w:r>
      <w:r w:rsidRPr="00AB4C34">
        <w:t>с</w:t>
      </w:r>
      <w:r w:rsidRPr="00AB4C34">
        <w:t>пространено на свидетелей актов дискриминации, тогда как ранее он действовал только в отношении истцов.</w:t>
      </w:r>
    </w:p>
    <w:p w:rsidR="00FA567F" w:rsidRPr="00AB4C34" w:rsidRDefault="00FA567F" w:rsidP="004B4B9D">
      <w:pPr>
        <w:pStyle w:val="Bullet1GR"/>
        <w:numPr>
          <w:ilvl w:val="0"/>
          <w:numId w:val="1"/>
        </w:numPr>
      </w:pPr>
      <w:r w:rsidRPr="00AB4C34">
        <w:t>Были ужесточены меры наказания в отношении работодателей, не выпо</w:t>
      </w:r>
      <w:r w:rsidRPr="00AB4C34">
        <w:t>л</w:t>
      </w:r>
      <w:r w:rsidRPr="00AB4C34">
        <w:t>няющих решение или постановление, вынесенное по иску о прекращении дискриминации (в рамках гражданской процедуры). Этим лицам может назначаться наказание в виде тюремного заключения на срок от одного месяца до одного года и штрафа в сумме от 50 до 1</w:t>
      </w:r>
      <w:r w:rsidRPr="00910D84">
        <w:t xml:space="preserve"> </w:t>
      </w:r>
      <w:r w:rsidRPr="00AB4C34">
        <w:t xml:space="preserve">000 евро. </w:t>
      </w:r>
    </w:p>
    <w:p w:rsidR="00FA567F" w:rsidRPr="00AB4C34" w:rsidRDefault="00FA567F" w:rsidP="004B4B9D">
      <w:pPr>
        <w:pStyle w:val="Bullet1GR"/>
        <w:numPr>
          <w:ilvl w:val="0"/>
          <w:numId w:val="1"/>
        </w:numPr>
      </w:pPr>
      <w:r w:rsidRPr="00AB4C34">
        <w:t>Отныне предусмотрена возможность получения договорной суммы ко</w:t>
      </w:r>
      <w:r w:rsidRPr="00AB4C34">
        <w:t>м</w:t>
      </w:r>
      <w:r w:rsidRPr="00AB4C34">
        <w:t>пенсации за моральный ущерб, причиненный проявлением дискримин</w:t>
      </w:r>
      <w:r w:rsidRPr="00AB4C34">
        <w:t>а</w:t>
      </w:r>
      <w:r w:rsidRPr="00AB4C34">
        <w:t>ции, и подачи ходатайства о выплате такой компенсации в рамках иска о прекращении ди</w:t>
      </w:r>
      <w:r w:rsidRPr="00AB4C34">
        <w:t>с</w:t>
      </w:r>
      <w:r w:rsidRPr="00AB4C34">
        <w:t>криминации, тогда как ранее было необходимо начинать процедуру рассмотрения иска по существу. Эта возможность обеспечив</w:t>
      </w:r>
      <w:r w:rsidRPr="00AB4C34">
        <w:t>а</w:t>
      </w:r>
      <w:r w:rsidRPr="00AB4C34">
        <w:t>ет значительную экономию на рассмотрении иска и наряду с этим откр</w:t>
      </w:r>
      <w:r w:rsidRPr="00AB4C34">
        <w:t>ы</w:t>
      </w:r>
      <w:r w:rsidRPr="00AB4C34">
        <w:t>вает потерпевшему реальную пе</w:t>
      </w:r>
      <w:r w:rsidRPr="00AB4C34">
        <w:t>р</w:t>
      </w:r>
      <w:r w:rsidRPr="00AB4C34">
        <w:t>спективу получения компенсации.</w:t>
      </w:r>
    </w:p>
    <w:p w:rsidR="00FA567F" w:rsidRPr="00AB4C34" w:rsidRDefault="00FA567F" w:rsidP="004B4B9D">
      <w:pPr>
        <w:pStyle w:val="Bullet1GR"/>
        <w:numPr>
          <w:ilvl w:val="0"/>
          <w:numId w:val="1"/>
        </w:numPr>
      </w:pPr>
      <w:r w:rsidRPr="00AB4C34">
        <w:t>Признание недействительными положений, противоречащих законам от 10 мая 2007 года, было распространено и на другие положения наряду с положениями трудового договора (в частности, на положения об услов</w:t>
      </w:r>
      <w:r w:rsidRPr="00AB4C34">
        <w:t>и</w:t>
      </w:r>
      <w:r w:rsidRPr="00AB4C34">
        <w:t>ях труда или колле</w:t>
      </w:r>
      <w:r w:rsidRPr="00AB4C34">
        <w:t>к</w:t>
      </w:r>
      <w:r w:rsidRPr="00AB4C34">
        <w:t>тивного трудового соглашения и т.д.).</w:t>
      </w:r>
    </w:p>
    <w:p w:rsidR="00FA567F" w:rsidRPr="00AB4C34" w:rsidRDefault="00FA567F" w:rsidP="004B4B9D">
      <w:pPr>
        <w:pStyle w:val="Bullet1GR"/>
        <w:numPr>
          <w:ilvl w:val="0"/>
          <w:numId w:val="1"/>
        </w:numPr>
      </w:pPr>
      <w:r w:rsidRPr="00AB4C34">
        <w:t>Этот закон вводит в действие новые механизмы доказывания фактов ди</w:t>
      </w:r>
      <w:r w:rsidRPr="00AB4C34">
        <w:t>с</w:t>
      </w:r>
      <w:r>
        <w:t>криминации, такие</w:t>
      </w:r>
      <w:r w:rsidRPr="00AB4C34">
        <w:t xml:space="preserve"> как повт</w:t>
      </w:r>
      <w:r w:rsidRPr="00AB4C34">
        <w:t>о</w:t>
      </w:r>
      <w:r w:rsidRPr="00AB4C34">
        <w:t>ряемость какой-либо ситуации. В нем более масштабно уточняется принцип смещения бремени доказывания и уст</w:t>
      </w:r>
      <w:r w:rsidRPr="00AB4C34">
        <w:t>а</w:t>
      </w:r>
      <w:r w:rsidRPr="00AB4C34">
        <w:t>навливаются рамки, позволяющие судье презюмировать наличие проя</w:t>
      </w:r>
      <w:r w:rsidRPr="00AB4C34">
        <w:t>в</w:t>
      </w:r>
      <w:r w:rsidRPr="00AB4C34">
        <w:t>ления дискриминации и тем самым перекладывать часть бремени док</w:t>
      </w:r>
      <w:r w:rsidRPr="00AB4C34">
        <w:t>а</w:t>
      </w:r>
      <w:r w:rsidRPr="00AB4C34">
        <w:t>зывания на ответчика</w:t>
      </w:r>
      <w:r w:rsidRPr="00AB4C34">
        <w:rPr>
          <w:rStyle w:val="FootnoteReference"/>
        </w:rPr>
        <w:footnoteReference w:id="9"/>
      </w:r>
      <w:r w:rsidRPr="00AB4C34">
        <w:t>.</w:t>
      </w:r>
    </w:p>
    <w:p w:rsidR="00FA567F" w:rsidRPr="00AB4C34" w:rsidRDefault="00FA567F" w:rsidP="004B4B9D">
      <w:pPr>
        <w:pStyle w:val="Bullet1GR"/>
        <w:numPr>
          <w:ilvl w:val="0"/>
          <w:numId w:val="1"/>
        </w:numPr>
      </w:pPr>
      <w:r w:rsidRPr="00AB4C34">
        <w:t>В законе воспроизводится существовавший ранее принцип криминализ</w:t>
      </w:r>
      <w:r w:rsidRPr="00AB4C34">
        <w:t>а</w:t>
      </w:r>
      <w:r w:rsidRPr="00AB4C34">
        <w:t>ции, согласно которому запрещается разжигание ненависти, дискримин</w:t>
      </w:r>
      <w:r w:rsidRPr="00AB4C34">
        <w:t>а</w:t>
      </w:r>
      <w:r w:rsidRPr="00AB4C34">
        <w:t>ции или н</w:t>
      </w:r>
      <w:r w:rsidRPr="00AB4C34">
        <w:t>а</w:t>
      </w:r>
      <w:r w:rsidRPr="00AB4C34">
        <w:t>силия в отношении какого-либо лица или группы лиц. Наряду с этим в нем подтверждаются положения 2003 года о выявлении ам</w:t>
      </w:r>
      <w:r w:rsidRPr="00AB4C34">
        <w:t>о</w:t>
      </w:r>
      <w:r w:rsidRPr="00AB4C34">
        <w:t>ральных побудительных мотивов (отягчающих обстоятельств) в связи с рядом уголовных правонаруш</w:t>
      </w:r>
      <w:r w:rsidRPr="00AB4C34">
        <w:t>е</w:t>
      </w:r>
      <w:r w:rsidRPr="00AB4C34">
        <w:t>ний.</w:t>
      </w:r>
    </w:p>
    <w:p w:rsidR="00FA567F" w:rsidRPr="00AB4C34" w:rsidRDefault="00FA567F" w:rsidP="004B4B9D">
      <w:pPr>
        <w:pStyle w:val="Bullet1GR"/>
        <w:numPr>
          <w:ilvl w:val="0"/>
          <w:numId w:val="1"/>
        </w:numPr>
      </w:pPr>
      <w:r w:rsidRPr="00AB4C34">
        <w:t>Кроме того, во исполнение настоящей Конвенции в Закон от 30 июля 1981 года (с изменениями, внесенными Законом от 10 мая 2007 года) включены конкретные положения, которые не предусмотрены в двух др</w:t>
      </w:r>
      <w:r w:rsidRPr="00AB4C34">
        <w:t>у</w:t>
      </w:r>
      <w:r w:rsidRPr="00AB4C34">
        <w:t>гих законах о борьбе с дискриминацией (общей и по признаку пола):</w:t>
      </w:r>
    </w:p>
    <w:p w:rsidR="00FA567F" w:rsidRPr="00AB4C34" w:rsidRDefault="00FA567F" w:rsidP="004B4B9D">
      <w:pPr>
        <w:pStyle w:val="Bullet2GR"/>
        <w:numPr>
          <w:ilvl w:val="0"/>
          <w:numId w:val="2"/>
        </w:numPr>
      </w:pPr>
      <w:r w:rsidRPr="00AB4C34">
        <w:t>В статье 21 криминализируется распространение идей, основанных на расовом превосходстве или ненависти. Это правонарушение, вытекающее из статьи 4 настоящей Конвенции, предполагает нал</w:t>
      </w:r>
      <w:r w:rsidRPr="00AB4C34">
        <w:t>и</w:t>
      </w:r>
      <w:r w:rsidRPr="00AB4C34">
        <w:t>чие особого намерения (умысла) и наказывается тюремным закл</w:t>
      </w:r>
      <w:r w:rsidRPr="00AB4C34">
        <w:t>ю</w:t>
      </w:r>
      <w:r w:rsidRPr="00AB4C34">
        <w:t>чением на срок от одного месяца до одного года и/или штрафом в размере от 50 до 1</w:t>
      </w:r>
      <w:r w:rsidRPr="00910D84">
        <w:t xml:space="preserve"> </w:t>
      </w:r>
      <w:r w:rsidRPr="00AB4C34">
        <w:t>000 евро. Апелляционная жалоба, поданная па</w:t>
      </w:r>
      <w:r w:rsidRPr="00AB4C34">
        <w:t>р</w:t>
      </w:r>
      <w:r w:rsidRPr="00AB4C34">
        <w:t xml:space="preserve">тией </w:t>
      </w:r>
      <w:r>
        <w:t>"</w:t>
      </w:r>
      <w:r w:rsidRPr="00AB4C34">
        <w:t>Фламандский интерес</w:t>
      </w:r>
      <w:r>
        <w:t>"</w:t>
      </w:r>
      <w:r w:rsidRPr="00AB4C34">
        <w:t xml:space="preserve"> против этой статьи как нарушающей свободу выражения мнений, была отклонена Конституционным с</w:t>
      </w:r>
      <w:r w:rsidRPr="00AB4C34">
        <w:t>у</w:t>
      </w:r>
      <w:r w:rsidRPr="00AB4C34">
        <w:t>дом</w:t>
      </w:r>
      <w:r w:rsidRPr="00AB4C34">
        <w:rPr>
          <w:rStyle w:val="FootnoteReference"/>
        </w:rPr>
        <w:footnoteReference w:id="10"/>
      </w:r>
      <w:r>
        <w:rPr>
          <w:rStyle w:val="FootnoteReference"/>
          <w:vertAlign w:val="baseline"/>
        </w:rPr>
        <w:t>.</w:t>
      </w:r>
    </w:p>
    <w:p w:rsidR="00FA567F" w:rsidRPr="00AB4C34" w:rsidRDefault="00FA567F" w:rsidP="004B4B9D">
      <w:pPr>
        <w:pStyle w:val="Bullet2GR"/>
        <w:numPr>
          <w:ilvl w:val="0"/>
          <w:numId w:val="2"/>
        </w:numPr>
      </w:pPr>
      <w:r w:rsidRPr="00AB4C34">
        <w:t xml:space="preserve">Статья 22 предусматривает наказание за членство в какой-либо группе или ассоциации, которая явно и регулярно пропагандирует расовую дискриминацию и сегрегацию. </w:t>
      </w:r>
    </w:p>
    <w:p w:rsidR="00FA567F" w:rsidRPr="00AB4C34" w:rsidRDefault="00FA567F" w:rsidP="004B4B9D">
      <w:pPr>
        <w:pStyle w:val="Bullet2GR"/>
        <w:numPr>
          <w:ilvl w:val="0"/>
          <w:numId w:val="2"/>
        </w:numPr>
      </w:pPr>
      <w:r w:rsidRPr="00AB4C34">
        <w:t>Статья 24 дополняет гражданское законодательство уголовными положениями, позволяющими применять наказания за проявления расовой дискриминации в сферах имущественных отношений, у</w:t>
      </w:r>
      <w:r w:rsidRPr="00AB4C34">
        <w:t>с</w:t>
      </w:r>
      <w:r w:rsidRPr="00AB4C34">
        <w:t>луг (ж</w:t>
      </w:r>
      <w:r w:rsidRPr="00AB4C34">
        <w:t>и</w:t>
      </w:r>
      <w:r w:rsidRPr="00AB4C34">
        <w:t>лище, ОРЕКА, транспорт и т.д.) и занятости.</w:t>
      </w:r>
    </w:p>
    <w:p w:rsidR="00FA567F" w:rsidRPr="00AB4C34" w:rsidRDefault="00FA567F" w:rsidP="00963DF8">
      <w:pPr>
        <w:pStyle w:val="H4GR"/>
        <w:spacing w:before="240"/>
      </w:pPr>
      <w:r w:rsidRPr="00AB4C34">
        <w:tab/>
      </w:r>
      <w:r w:rsidRPr="00AB4C34">
        <w:tab/>
        <w:t xml:space="preserve">Инициативы на уровне регионов и сообществ </w:t>
      </w:r>
    </w:p>
    <w:p w:rsidR="00FA567F" w:rsidRPr="00AB4C34" w:rsidRDefault="00FA567F" w:rsidP="004B4B9D">
      <w:pPr>
        <w:pStyle w:val="SingleTxtGR"/>
      </w:pPr>
      <w:r w:rsidRPr="00AB4C34">
        <w:t>35.</w:t>
      </w:r>
      <w:r w:rsidRPr="00AB4C34">
        <w:tab/>
        <w:t>Регионы и сообщества также инкорпорировали вышеупомянутые евр</w:t>
      </w:r>
      <w:r w:rsidRPr="00AB4C34">
        <w:t>о</w:t>
      </w:r>
      <w:r w:rsidRPr="00AB4C34">
        <w:t>пейские директивы и пр</w:t>
      </w:r>
      <w:r w:rsidRPr="00AB4C34">
        <w:t>и</w:t>
      </w:r>
      <w:r w:rsidRPr="00AB4C34">
        <w:t>няли указы и ордонансы в областях, относящихся к их компетенции. По соображениям согласованности положения, принятые разли</w:t>
      </w:r>
      <w:r w:rsidRPr="00AB4C34">
        <w:t>ч</w:t>
      </w:r>
      <w:r w:rsidRPr="00AB4C34">
        <w:t>ными законодательными органами, носят аналогичный характер. Перечень этих документов приводится на стр. 55 общего базового документа.</w:t>
      </w:r>
    </w:p>
    <w:p w:rsidR="00FA567F" w:rsidRPr="00AB4C34" w:rsidRDefault="00FA567F" w:rsidP="004B4B9D">
      <w:pPr>
        <w:pStyle w:val="H23GR"/>
      </w:pPr>
      <w:r w:rsidRPr="00AB4C34">
        <w:tab/>
        <w:t>2.</w:t>
      </w:r>
      <w:r w:rsidRPr="00AB4C34">
        <w:tab/>
        <w:t>Лишение/приостановление д</w:t>
      </w:r>
      <w:r>
        <w:t>ействия некоторых гражданских и</w:t>
      </w:r>
      <w:r>
        <w:rPr>
          <w:lang w:val="en-US"/>
        </w:rPr>
        <w:t> </w:t>
      </w:r>
      <w:r w:rsidRPr="00AB4C34">
        <w:t>политических прав</w:t>
      </w:r>
    </w:p>
    <w:p w:rsidR="00FA567F" w:rsidRPr="00AB4C34" w:rsidRDefault="00FA567F" w:rsidP="004B4B9D">
      <w:pPr>
        <w:pStyle w:val="SingleTxtGR"/>
      </w:pPr>
      <w:r w:rsidRPr="00AB4C34">
        <w:t>36.</w:t>
      </w:r>
      <w:r w:rsidRPr="00AB4C34">
        <w:tab/>
        <w:t>В то же время судебные органы Бельгии пользовались предусмотренной в Законе от 7 мая 2009 года возможностью лишать лиц, виновных в нарушениях антирасистского законодательства, их гра</w:t>
      </w:r>
      <w:r w:rsidRPr="00AB4C34">
        <w:t>ж</w:t>
      </w:r>
      <w:r w:rsidRPr="00AB4C34">
        <w:t xml:space="preserve">данских прав и обязанностей. </w:t>
      </w:r>
    </w:p>
    <w:p w:rsidR="00FA567F" w:rsidRPr="00AB4C34" w:rsidRDefault="00FA567F" w:rsidP="004B4B9D">
      <w:pPr>
        <w:pStyle w:val="SingleTxtGR"/>
      </w:pPr>
      <w:r w:rsidRPr="00AB4C34">
        <w:t>37.</w:t>
      </w:r>
      <w:r w:rsidRPr="00AB4C34">
        <w:tab/>
        <w:t>Свидетельством тому является решение исправительного трибунала Те</w:t>
      </w:r>
      <w:r w:rsidRPr="00AB4C34">
        <w:t>р</w:t>
      </w:r>
      <w:r w:rsidRPr="00AB4C34">
        <w:t>монда от 4 июня 2012 года о признании вин</w:t>
      </w:r>
      <w:r>
        <w:t>овными в нарушении Закона от 30</w:t>
      </w:r>
      <w:r>
        <w:rPr>
          <w:lang w:val="en-US"/>
        </w:rPr>
        <w:t> </w:t>
      </w:r>
      <w:r w:rsidRPr="00AB4C34">
        <w:t xml:space="preserve">июля 1981 года с изменениями, внесенными Законом от 10 мая 2007 года, двух членов партии </w:t>
      </w:r>
      <w:r>
        <w:t>"</w:t>
      </w:r>
      <w:r w:rsidRPr="00AB4C34">
        <w:t>Фламандский интерес</w:t>
      </w:r>
      <w:r>
        <w:t>"</w:t>
      </w:r>
      <w:r w:rsidRPr="00AB4C34">
        <w:t>, которые разрушили несколько надгробий на кладбище Синт-Никлаас, а затем в одной из статей местной газ</w:t>
      </w:r>
      <w:r w:rsidRPr="00AB4C34">
        <w:t>е</w:t>
      </w:r>
      <w:r w:rsidRPr="00AB4C34">
        <w:t xml:space="preserve">ты своей партии несправедливо обвинили в этом иммигрантскую молодежь и указали на ее </w:t>
      </w:r>
      <w:r>
        <w:t>"</w:t>
      </w:r>
      <w:r w:rsidRPr="00AB4C34">
        <w:t>культурную девиантность</w:t>
      </w:r>
      <w:r>
        <w:t>"</w:t>
      </w:r>
      <w:r w:rsidRPr="00AB4C34">
        <w:t>. Один из виновных был осужден к тюремному заключению на срок четыре месяца с отсрочкой исполнения приг</w:t>
      </w:r>
      <w:r w:rsidRPr="00AB4C34">
        <w:t>о</w:t>
      </w:r>
      <w:r w:rsidRPr="00AB4C34">
        <w:t>вора на три года и к уплате штрафа в размере 1</w:t>
      </w:r>
      <w:r>
        <w:t xml:space="preserve"> </w:t>
      </w:r>
      <w:r w:rsidRPr="00AB4C34">
        <w:t xml:space="preserve">375 евро. Кроме того, приговор предусматривал поражение в гражданских </w:t>
      </w:r>
      <w:r>
        <w:t>и политических правах на срок д</w:t>
      </w:r>
      <w:r>
        <w:t>е</w:t>
      </w:r>
      <w:r>
        <w:t>сять</w:t>
      </w:r>
      <w:r w:rsidRPr="00AB4C34">
        <w:t xml:space="preserve"> лет. </w:t>
      </w:r>
    </w:p>
    <w:p w:rsidR="00FA567F" w:rsidRPr="00AB4C34" w:rsidRDefault="00FA567F" w:rsidP="004B4B9D">
      <w:pPr>
        <w:pStyle w:val="SingleTxtGR"/>
      </w:pPr>
      <w:r w:rsidRPr="00AB4C34">
        <w:t>38.</w:t>
      </w:r>
      <w:r w:rsidRPr="00AB4C34">
        <w:tab/>
        <w:t>В настоящее время на рассмотрении парламента находится предложение об автоматическом вынесении решения о приостановлении пользования пол</w:t>
      </w:r>
      <w:r w:rsidRPr="00AB4C34">
        <w:t>и</w:t>
      </w:r>
      <w:r w:rsidRPr="00AB4C34">
        <w:t>тическими правами в качестве сопутствующего наказания за любое нарушение законов от 30 июля 1981 года, от 23 марта 1995 года о пресечении отрицания, умаления, оправдания или одобрения геноцида, совершенного национал-социалистским режимом Германии в период второй мировой войны, и от 10 мая 2007 года о борьбе против некоторых форм дискриминации. Инициативы, уп</w:t>
      </w:r>
      <w:r w:rsidRPr="00AB4C34">
        <w:t>о</w:t>
      </w:r>
      <w:r w:rsidRPr="00AB4C34">
        <w:t xml:space="preserve">мянутые в предыдущем докладе, не прошли процедуру одобрения. </w:t>
      </w:r>
    </w:p>
    <w:p w:rsidR="00FA567F" w:rsidRPr="00AB4C34" w:rsidRDefault="00FA567F" w:rsidP="004B4B9D">
      <w:pPr>
        <w:pStyle w:val="SingleTxtGR"/>
      </w:pPr>
      <w:r w:rsidRPr="00AB4C34">
        <w:t>39.</w:t>
      </w:r>
      <w:r w:rsidRPr="00AB4C34">
        <w:tab/>
        <w:t>Кроме того, некоторые особые положения законодательства о выборах предусматривают автоматическое лишение права быть избранным тех лиц, к</w:t>
      </w:r>
      <w:r w:rsidRPr="00AB4C34">
        <w:t>о</w:t>
      </w:r>
      <w:r w:rsidRPr="00AB4C34">
        <w:t>торые осуждены за правонарушения, предусмо</w:t>
      </w:r>
      <w:r w:rsidRPr="00AB4C34">
        <w:t>т</w:t>
      </w:r>
      <w:r w:rsidRPr="00AB4C34">
        <w:t>ренные Законом от 30 июля 1981 года и Законом от 23 марта 1995 года. Аналогичные положения пред</w:t>
      </w:r>
      <w:r w:rsidRPr="00AB4C34">
        <w:t>у</w:t>
      </w:r>
      <w:r w:rsidRPr="00AB4C34">
        <w:t>смотрены в валлонском кодексе по вопросам местного демократического управления и централизации, который гласит, что лица, осужденные за такие деяния, не могут избираться в совет коммуны, прови</w:t>
      </w:r>
      <w:r w:rsidRPr="00AB4C34">
        <w:t>н</w:t>
      </w:r>
      <w:r w:rsidRPr="00AB4C34">
        <w:t xml:space="preserve">ции или сектора в течение 18 лет после вынесения обвинительного приговора по их делу. </w:t>
      </w:r>
    </w:p>
    <w:p w:rsidR="00FA567F" w:rsidRPr="00AB4C34" w:rsidRDefault="00FA567F" w:rsidP="004B4B9D">
      <w:pPr>
        <w:pStyle w:val="H23GR"/>
      </w:pPr>
      <w:r w:rsidRPr="00AB4C34">
        <w:tab/>
        <w:t>3.</w:t>
      </w:r>
      <w:r w:rsidRPr="00AB4C34">
        <w:tab/>
        <w:t>Вынесение судами и трибуналами обви</w:t>
      </w:r>
      <w:r>
        <w:t>нительных приговоров по делам о</w:t>
      </w:r>
      <w:r>
        <w:rPr>
          <w:lang w:val="en-US"/>
        </w:rPr>
        <w:t> </w:t>
      </w:r>
      <w:r w:rsidRPr="00AB4C34">
        <w:t xml:space="preserve">насилии на почве расизма </w:t>
      </w:r>
    </w:p>
    <w:p w:rsidR="00FA567F" w:rsidRPr="00AB4C34" w:rsidRDefault="00FA567F" w:rsidP="004B4B9D">
      <w:pPr>
        <w:pStyle w:val="SingleTxtGR"/>
      </w:pPr>
      <w:r w:rsidRPr="00AB4C34">
        <w:t>40.</w:t>
      </w:r>
      <w:r w:rsidRPr="00AB4C34">
        <w:tab/>
        <w:t>После вступления в силу новых законов о борьбе против дискриминации в целом ряде решений</w:t>
      </w:r>
      <w:r>
        <w:rPr>
          <w:rStyle w:val="FootnoteReference"/>
        </w:rPr>
        <w:footnoteReference w:id="11"/>
      </w:r>
      <w:r w:rsidRPr="00AB4C34">
        <w:t xml:space="preserve"> бельгийских судов и трибуналов было признано нал</w:t>
      </w:r>
      <w:r w:rsidRPr="00AB4C34">
        <w:t>и</w:t>
      </w:r>
      <w:r w:rsidRPr="00AB4C34">
        <w:t>чие расистских мотивов.</w:t>
      </w:r>
    </w:p>
    <w:p w:rsidR="00FA567F" w:rsidRPr="00AB4C34" w:rsidRDefault="00FA567F" w:rsidP="004B4B9D">
      <w:pPr>
        <w:pStyle w:val="SingleTxtGR"/>
      </w:pPr>
      <w:r w:rsidRPr="00AB4C34">
        <w:t>41.</w:t>
      </w:r>
      <w:r w:rsidRPr="00AB4C34">
        <w:tab/>
        <w:t>Так, например, 12 октября 2007 года Суд присяжных Антверпена приг</w:t>
      </w:r>
      <w:r w:rsidRPr="00AB4C34">
        <w:t>о</w:t>
      </w:r>
      <w:r w:rsidRPr="00AB4C34">
        <w:t>ворил к пожизненному заключению 19-летнего Ханса ван Темсхе, который в 2006 году застрелил двухлетнего ребенка и его кормилицу малийского прои</w:t>
      </w:r>
      <w:r w:rsidRPr="00AB4C34">
        <w:t>с</w:t>
      </w:r>
      <w:r w:rsidRPr="00AB4C34">
        <w:t xml:space="preserve">хождения, а также пытался убить турецкую женщину на улицах Антверпена с целью </w:t>
      </w:r>
      <w:r>
        <w:t>"</w:t>
      </w:r>
      <w:r w:rsidRPr="00AB4C34">
        <w:t>убить как можно больше иностранцев</w:t>
      </w:r>
      <w:r>
        <w:t>"</w:t>
      </w:r>
      <w:r w:rsidRPr="00AB4C34">
        <w:t>. Суд признал наличие расис</w:t>
      </w:r>
      <w:r w:rsidRPr="00AB4C34">
        <w:t>т</w:t>
      </w:r>
      <w:r w:rsidRPr="00AB4C34">
        <w:t xml:space="preserve">ских мотивов в качестве отягчающего обстоятельства. </w:t>
      </w:r>
    </w:p>
    <w:p w:rsidR="00FA567F" w:rsidRPr="00AB4C34" w:rsidRDefault="00FA567F" w:rsidP="004B4B9D">
      <w:pPr>
        <w:pStyle w:val="SingleTxtGR"/>
      </w:pPr>
      <w:r w:rsidRPr="00AB4C34">
        <w:t>42.</w:t>
      </w:r>
      <w:r w:rsidRPr="00AB4C34">
        <w:tab/>
        <w:t>В своем постановлении от 14 марта 2008 года Суд присяжных провинции Эно также признал в</w:t>
      </w:r>
      <w:r w:rsidRPr="00AB4C34">
        <w:t>и</w:t>
      </w:r>
      <w:r w:rsidRPr="00AB4C34">
        <w:t>новными в покушении на убийство трех молодых людей, которые из мести метнули бутылку с зажигательной смесью в чернокожих пр</w:t>
      </w:r>
      <w:r w:rsidRPr="00AB4C34">
        <w:t>о</w:t>
      </w:r>
      <w:r w:rsidRPr="00AB4C34">
        <w:t>ституток в регионе Шарлеруа. Суд приговорил двух нападавших к 15 и 18 г</w:t>
      </w:r>
      <w:r w:rsidRPr="00AB4C34">
        <w:t>о</w:t>
      </w:r>
      <w:r w:rsidRPr="00AB4C34">
        <w:t xml:space="preserve">дам, а третьего – к 20 годам тюремного заключения. </w:t>
      </w:r>
    </w:p>
    <w:p w:rsidR="00FA567F" w:rsidRPr="00AB4C34" w:rsidRDefault="00FA567F" w:rsidP="004B4B9D">
      <w:pPr>
        <w:pStyle w:val="H1GR"/>
      </w:pPr>
      <w:r w:rsidRPr="00AB4C34">
        <w:tab/>
        <w:t>C.</w:t>
      </w:r>
      <w:r w:rsidRPr="00AB4C34">
        <w:tab/>
        <w:t>Другие меры</w:t>
      </w:r>
    </w:p>
    <w:p w:rsidR="00FA567F" w:rsidRPr="00AB4C34" w:rsidRDefault="00FA567F" w:rsidP="004B4B9D">
      <w:pPr>
        <w:pStyle w:val="H23GR"/>
      </w:pPr>
      <w:r w:rsidRPr="00AB4C34">
        <w:tab/>
        <w:t>1.</w:t>
      </w:r>
      <w:r w:rsidRPr="00AB4C34">
        <w:tab/>
        <w:t xml:space="preserve">Информационно-пропагандистские мероприятия для целевых групп </w:t>
      </w:r>
    </w:p>
    <w:p w:rsidR="00FA567F" w:rsidRPr="00AB4C34" w:rsidRDefault="00FA567F" w:rsidP="0091593A">
      <w:pPr>
        <w:pStyle w:val="H4GR"/>
        <w:spacing w:before="240"/>
      </w:pPr>
      <w:r w:rsidRPr="00AB4C34">
        <w:tab/>
      </w:r>
      <w:r w:rsidRPr="00AB4C34">
        <w:tab/>
        <w:t>Мероприятия по информированию и проф</w:t>
      </w:r>
      <w:r>
        <w:t xml:space="preserve">ессиональной подготовке судей </w:t>
      </w:r>
      <w:r w:rsidR="00A41E45">
        <w:br/>
      </w:r>
      <w:r w:rsidR="00A41E45">
        <w:tab/>
      </w:r>
      <w:r w:rsidR="00A41E45">
        <w:tab/>
      </w:r>
      <w:r>
        <w:t>и</w:t>
      </w:r>
      <w:r>
        <w:rPr>
          <w:lang w:val="en-US"/>
        </w:rPr>
        <w:t> </w:t>
      </w:r>
      <w:r w:rsidR="00A41E45">
        <w:t>работников прокуратуры</w:t>
      </w:r>
    </w:p>
    <w:p w:rsidR="00FA567F" w:rsidRPr="00AB4C34" w:rsidRDefault="00FA567F" w:rsidP="004B4B9D">
      <w:pPr>
        <w:pStyle w:val="SingleTxtGR"/>
      </w:pPr>
      <w:r w:rsidRPr="00AB4C34">
        <w:t>43.</w:t>
      </w:r>
      <w:r w:rsidRPr="00AB4C34">
        <w:tab/>
        <w:t>Законом от 31 января 2007 года в стране был учрежден Институт по по</w:t>
      </w:r>
      <w:r w:rsidRPr="00AB4C34">
        <w:t>д</w:t>
      </w:r>
      <w:r w:rsidRPr="00AB4C34">
        <w:t xml:space="preserve">готовке судебных работников </w:t>
      </w:r>
      <w:r w:rsidRPr="009250BF">
        <w:t>−</w:t>
      </w:r>
      <w:r w:rsidRPr="00AB4C34">
        <w:t xml:space="preserve"> независимый федеральный орган, ответстве</w:t>
      </w:r>
      <w:r w:rsidRPr="00AB4C34">
        <w:t>н</w:t>
      </w:r>
      <w:r w:rsidRPr="00AB4C34">
        <w:t>ный за выработку и проведение комплексной политики профессиональной по</w:t>
      </w:r>
      <w:r w:rsidRPr="00AB4C34">
        <w:t>д</w:t>
      </w:r>
      <w:r w:rsidRPr="00AB4C34">
        <w:t>готовки и повышения квалификации судей и работников юстиции, целью кот</w:t>
      </w:r>
      <w:r w:rsidRPr="00AB4C34">
        <w:t>о</w:t>
      </w:r>
      <w:r w:rsidRPr="00AB4C34">
        <w:t>рой является улучшение качества правосудия.</w:t>
      </w:r>
    </w:p>
    <w:p w:rsidR="00FA567F" w:rsidRPr="00AB4C34" w:rsidRDefault="00FA567F" w:rsidP="004B4B9D">
      <w:pPr>
        <w:pStyle w:val="SingleTxtGR"/>
      </w:pPr>
      <w:r w:rsidRPr="00AB4C34">
        <w:t>44.</w:t>
      </w:r>
      <w:r w:rsidRPr="00AB4C34">
        <w:tab/>
        <w:t xml:space="preserve">За период, охватываемый настоящим докладом, Институт по подготовке судебных работников провел несколько тематических дней профессиональной подготовки (один в 2007 году и два двухдневных курса – </w:t>
      </w:r>
      <w:r>
        <w:t xml:space="preserve">в </w:t>
      </w:r>
      <w:r w:rsidRPr="00AB4C34">
        <w:t>2008 и 2012 годах), посвященных борьбе против дискриминации, в том числе расовой.</w:t>
      </w:r>
    </w:p>
    <w:p w:rsidR="00FA567F" w:rsidRPr="00AB4C34" w:rsidRDefault="00FA567F" w:rsidP="004B4B9D">
      <w:pPr>
        <w:pStyle w:val="SingleTxtGR"/>
      </w:pPr>
      <w:r w:rsidRPr="00AB4C34">
        <w:t>45.</w:t>
      </w:r>
      <w:r w:rsidRPr="00AB4C34">
        <w:tab/>
        <w:t>Эти учебные мероприятия предназначаются для судей, судебных стаж</w:t>
      </w:r>
      <w:r w:rsidRPr="00AB4C34">
        <w:t>е</w:t>
      </w:r>
      <w:r w:rsidRPr="00AB4C34">
        <w:t>ров, инспекторов и юристов прокуратуры, судебных секретарей и исполнит</w:t>
      </w:r>
      <w:r w:rsidRPr="00AB4C34">
        <w:t>е</w:t>
      </w:r>
      <w:r w:rsidRPr="00AB4C34">
        <w:t>лей. Их цель состоит в том, чтобы раскрывать содержание различных докуме</w:t>
      </w:r>
      <w:r w:rsidRPr="00AB4C34">
        <w:t>н</w:t>
      </w:r>
      <w:r w:rsidRPr="00AB4C34">
        <w:t>тов, принятых законодательными органами, и руководящих принципов для пр</w:t>
      </w:r>
      <w:r w:rsidRPr="00AB4C34">
        <w:t>о</w:t>
      </w:r>
      <w:r w:rsidRPr="00AB4C34">
        <w:t xml:space="preserve">тиводействия проблеме появления в бельгийском обществе понятия </w:t>
      </w:r>
      <w:r>
        <w:t>"</w:t>
      </w:r>
      <w:r w:rsidRPr="00AB4C34">
        <w:t>чужак</w:t>
      </w:r>
      <w:r>
        <w:t>"</w:t>
      </w:r>
      <w:r w:rsidRPr="00AB4C34">
        <w:t xml:space="preserve"> в условиях разнообразия, чтобы гарантировать всем лицам равенство по всем а</w:t>
      </w:r>
      <w:r w:rsidRPr="00AB4C34">
        <w:t>с</w:t>
      </w:r>
      <w:r w:rsidRPr="00AB4C34">
        <w:t>пектам жизни в обществе.</w:t>
      </w:r>
    </w:p>
    <w:p w:rsidR="00FA567F" w:rsidRPr="00AB4C34" w:rsidRDefault="00FA567F" w:rsidP="0091593A">
      <w:pPr>
        <w:pStyle w:val="H4GR"/>
        <w:spacing w:before="240"/>
      </w:pPr>
      <w:r w:rsidRPr="00AB4C34">
        <w:tab/>
      </w:r>
      <w:r w:rsidRPr="00AB4C34">
        <w:tab/>
        <w:t>Мероприятия по информированию и профессиональной подготовке сотрудников</w:t>
      </w:r>
      <w:r w:rsidR="00A41E45">
        <w:br/>
      </w:r>
      <w:r w:rsidR="00A41E45">
        <w:tab/>
      </w:r>
      <w:r w:rsidR="00A41E45">
        <w:tab/>
      </w:r>
      <w:r w:rsidRPr="00AB4C34">
        <w:t xml:space="preserve">полиции и пенитенциарной системы </w:t>
      </w:r>
    </w:p>
    <w:p w:rsidR="00FA567F" w:rsidRPr="00AB4C34" w:rsidRDefault="00FA567F" w:rsidP="004B4B9D">
      <w:pPr>
        <w:pStyle w:val="SingleTxtGR"/>
      </w:pPr>
      <w:r w:rsidRPr="00AB4C34">
        <w:t>46.</w:t>
      </w:r>
      <w:r w:rsidRPr="00AB4C34">
        <w:tab/>
        <w:t>Принцип уважения прав человека (включая общий принцип недопущения дискриминации) проходит красной нитью через программы подготовки всех с</w:t>
      </w:r>
      <w:r w:rsidRPr="00AB4C34">
        <w:t>о</w:t>
      </w:r>
      <w:r w:rsidRPr="00AB4C34">
        <w:t>трудников полиции в течение всего периода их профессиональной деятельн</w:t>
      </w:r>
      <w:r w:rsidRPr="00AB4C34">
        <w:t>о</w:t>
      </w:r>
      <w:r w:rsidRPr="00AB4C34">
        <w:t>сти. Так, например, они изучают национальные и международные норм</w:t>
      </w:r>
      <w:r w:rsidRPr="00AB4C34">
        <w:t>а</w:t>
      </w:r>
      <w:r w:rsidRPr="00AB4C34">
        <w:t>тивные акты, которые служат ориентиром во всех их действиях. Все учебные програ</w:t>
      </w:r>
      <w:r w:rsidRPr="00AB4C34">
        <w:t>м</w:t>
      </w:r>
      <w:r w:rsidRPr="00AB4C34">
        <w:t>мы строго регламентированы; их оценка и совершенствование ведутся на п</w:t>
      </w:r>
      <w:r w:rsidRPr="00AB4C34">
        <w:t>о</w:t>
      </w:r>
      <w:r w:rsidRPr="00AB4C34">
        <w:t>стоянной основе. С другой стороны, в ходе базовой подготовки они непосредс</w:t>
      </w:r>
      <w:r w:rsidRPr="00AB4C34">
        <w:t>т</w:t>
      </w:r>
      <w:r w:rsidRPr="00AB4C34">
        <w:t>венно изучают порядок мероприятий по вмешательству и констатации наруш</w:t>
      </w:r>
      <w:r w:rsidRPr="00AB4C34">
        <w:t>е</w:t>
      </w:r>
      <w:r w:rsidRPr="00AB4C34">
        <w:t>ний законов о борьбе с дискриминацией и расизмом. Кроме того, проводятся мероприятия по непрерывной подготовке, посвященной изучению правовой системы и вопросам правоприменения. Наряду с этим сотрудники полиции проходят подготовку в сфере регулирования проблем разнообразия и межкул</w:t>
      </w:r>
      <w:r w:rsidRPr="00AB4C34">
        <w:t>ь</w:t>
      </w:r>
      <w:r w:rsidRPr="00AB4C34">
        <w:t>турного диалога. Важно подчеркнуть, что между Центром по обеспечению ра</w:t>
      </w:r>
      <w:r w:rsidRPr="00AB4C34">
        <w:t>в</w:t>
      </w:r>
      <w:r w:rsidRPr="00AB4C34">
        <w:t>ных возможностей и борьбе с расизмом и органами федеральной полиции з</w:t>
      </w:r>
      <w:r w:rsidRPr="00AB4C34">
        <w:t>а</w:t>
      </w:r>
      <w:r w:rsidRPr="00AB4C34">
        <w:t>ключено соглашение, согласно которому Центр проводит для полицейских мн</w:t>
      </w:r>
      <w:r w:rsidRPr="00AB4C34">
        <w:t>о</w:t>
      </w:r>
      <w:r w:rsidRPr="00AB4C34">
        <w:t xml:space="preserve">гочисленные совместные учебные курсы и мероприятия (Отчетный доклад за 2011 год, приложение I). </w:t>
      </w:r>
    </w:p>
    <w:p w:rsidR="00FA567F" w:rsidRPr="00AB4C34" w:rsidRDefault="00FA567F" w:rsidP="004B4B9D">
      <w:pPr>
        <w:pStyle w:val="SingleTxtGR"/>
      </w:pPr>
      <w:r w:rsidRPr="00AB4C34">
        <w:t>47.</w:t>
      </w:r>
      <w:r w:rsidRPr="00AB4C34">
        <w:tab/>
        <w:t>Профессиональная подготовка сотрудников пенитенциа</w:t>
      </w:r>
      <w:r>
        <w:t>рной системы, в </w:t>
      </w:r>
      <w:r w:rsidRPr="00AB4C34">
        <w:t>том числе федеральных центров для несовершеннолетних и лиц, проходящих стационарное психиатрическое лечение, ориентирована на изучение прав чел</w:t>
      </w:r>
      <w:r w:rsidRPr="00AB4C34">
        <w:t>о</w:t>
      </w:r>
      <w:r w:rsidRPr="00AB4C34">
        <w:t>века. В ходе ее проведения, в частности, предусмотрено: 17 часов первоначал</w:t>
      </w:r>
      <w:r w:rsidRPr="00AB4C34">
        <w:t>ь</w:t>
      </w:r>
      <w:r w:rsidRPr="00AB4C34">
        <w:t>ной подготовки в сфере профессиональной этики; 6 часов теоретической подг</w:t>
      </w:r>
      <w:r w:rsidRPr="00AB4C34">
        <w:t>о</w:t>
      </w:r>
      <w:r w:rsidRPr="00AB4C34">
        <w:t>товки; 3 часа рассмотрения конкретных случаев и 8 часов изучения взаимоо</w:t>
      </w:r>
      <w:r w:rsidRPr="00AB4C34">
        <w:t>т</w:t>
      </w:r>
      <w:r w:rsidRPr="00AB4C34">
        <w:t>ношений повышенного риска. Кроме того, первоначальная подготовка включает в себя 14-часовой курс о внутреннем статусе задержанных лиц, в ходе которого непосредственно изучаются Европейская конвенция о правах человека и Евр</w:t>
      </w:r>
      <w:r w:rsidRPr="00AB4C34">
        <w:t>о</w:t>
      </w:r>
      <w:r w:rsidRPr="00AB4C34">
        <w:t>пейская конвенция о предупреждении пыток и бесчеловечного или унижающего достоинство обращения, нормы КПП и Европейские пенитенциарные правила. Помимо обязательного первоначального курса сотрудники в течение периода своей профессиональной деятельности могут проходить курсы специальной подготовки.</w:t>
      </w:r>
    </w:p>
    <w:p w:rsidR="00FA567F" w:rsidRPr="00AB4C34" w:rsidRDefault="00FA567F" w:rsidP="0091593A">
      <w:pPr>
        <w:pStyle w:val="H4GR"/>
        <w:spacing w:before="240"/>
      </w:pPr>
      <w:r w:rsidRPr="00AB4C34">
        <w:tab/>
      </w:r>
      <w:r w:rsidRPr="00AB4C34">
        <w:tab/>
        <w:t xml:space="preserve">Другие информационно-пропагандистские мероприятия, проводимые </w:t>
      </w:r>
      <w:r w:rsidR="00A41E45">
        <w:br/>
      </w:r>
      <w:r w:rsidR="00A41E45">
        <w:tab/>
      </w:r>
      <w:r w:rsidR="00A41E45">
        <w:tab/>
      </w:r>
      <w:r w:rsidRPr="00AB4C34">
        <w:t xml:space="preserve">различными государственными органами </w:t>
      </w:r>
    </w:p>
    <w:p w:rsidR="00FA567F" w:rsidRPr="00AB4C34" w:rsidRDefault="00FA567F" w:rsidP="004B4B9D">
      <w:pPr>
        <w:pStyle w:val="SingleTxtGR"/>
      </w:pPr>
      <w:r w:rsidRPr="00AB4C34">
        <w:t>48.</w:t>
      </w:r>
      <w:r w:rsidRPr="00AB4C34">
        <w:tab/>
        <w:t>Целый ряд информационно-пропагандистских мероприятий по поощр</w:t>
      </w:r>
      <w:r w:rsidRPr="00AB4C34">
        <w:t>е</w:t>
      </w:r>
      <w:r w:rsidRPr="00AB4C34">
        <w:t>нию разнообразия был проведен государственными органами, сообществами и регионами. В рамках этих мероприятий особое место отводится борьбе против расизма и расовой дискриминации. Наряду с этим были проведены кампании по распространению информации о новых законодательных актах. Перечень этих мероприятий прилагается к настоящему документу (приложение II).</w:t>
      </w:r>
    </w:p>
    <w:p w:rsidR="00FA567F" w:rsidRPr="00AB4C34" w:rsidRDefault="00FA567F" w:rsidP="004B4B9D">
      <w:pPr>
        <w:pStyle w:val="H23GR"/>
      </w:pPr>
      <w:r w:rsidRPr="00AB4C34">
        <w:tab/>
        <w:t>2.</w:t>
      </w:r>
      <w:r w:rsidRPr="00AB4C34">
        <w:tab/>
        <w:t xml:space="preserve">Программы и политика в области интеграции </w:t>
      </w:r>
    </w:p>
    <w:p w:rsidR="00FA567F" w:rsidRPr="00AB4C34" w:rsidRDefault="00FA567F" w:rsidP="0091593A">
      <w:pPr>
        <w:pStyle w:val="H4GR"/>
        <w:spacing w:before="240"/>
      </w:pPr>
      <w:r w:rsidRPr="00AB4C34">
        <w:tab/>
        <w:t>a)</w:t>
      </w:r>
      <w:r w:rsidRPr="00AB4C34">
        <w:tab/>
        <w:t>Рома и кочевые общины</w:t>
      </w:r>
      <w:r w:rsidRPr="00D3243B">
        <w:rPr>
          <w:rStyle w:val="FootnoteReference"/>
          <w:i w:val="0"/>
        </w:rPr>
        <w:footnoteReference w:id="12"/>
      </w:r>
    </w:p>
    <w:p w:rsidR="00FA567F" w:rsidRPr="00AB4C34" w:rsidRDefault="00FA567F" w:rsidP="004B4B9D">
      <w:pPr>
        <w:pStyle w:val="H56GR"/>
      </w:pPr>
      <w:r w:rsidRPr="00AB4C34">
        <w:tab/>
        <w:t>i)</w:t>
      </w:r>
      <w:r w:rsidRPr="00AB4C34">
        <w:tab/>
        <w:t>Национальная стратегия интеграции рома</w:t>
      </w:r>
    </w:p>
    <w:p w:rsidR="00FA567F" w:rsidRPr="00AB4C34" w:rsidRDefault="00FA567F" w:rsidP="004B4B9D">
      <w:pPr>
        <w:pStyle w:val="SingleTxtGR"/>
      </w:pPr>
      <w:r w:rsidRPr="00AB4C34">
        <w:t>49.</w:t>
      </w:r>
      <w:r w:rsidR="00A41E45">
        <w:tab/>
        <w:t>Согласно оценкам Совета Европы</w:t>
      </w:r>
      <w:r w:rsidRPr="00AB4C34">
        <w:t xml:space="preserve"> на территории Бельгии находится 30</w:t>
      </w:r>
      <w:r>
        <w:t> </w:t>
      </w:r>
      <w:r w:rsidRPr="00AB4C34">
        <w:t>000 представителей н</w:t>
      </w:r>
      <w:r w:rsidRPr="00AB4C34">
        <w:t>а</w:t>
      </w:r>
      <w:r w:rsidRPr="00AB4C34">
        <w:t>родности рома (0,29%).</w:t>
      </w:r>
    </w:p>
    <w:p w:rsidR="00FA567F" w:rsidRPr="00AB4C34" w:rsidRDefault="00FA567F" w:rsidP="004B4B9D">
      <w:pPr>
        <w:pStyle w:val="SingleTxtGR"/>
      </w:pPr>
      <w:r w:rsidRPr="00AB4C34">
        <w:t>50.</w:t>
      </w:r>
      <w:r w:rsidRPr="00AB4C34">
        <w:tab/>
        <w:t xml:space="preserve">В соответствии с посланием Европейской комиссии, озаглавленным </w:t>
      </w:r>
      <w:r>
        <w:t>"</w:t>
      </w:r>
      <w:r w:rsidRPr="00AB4C34">
        <w:t>Рамки ЕС для национальных стратегий интеграции рома на период до 2020 г</w:t>
      </w:r>
      <w:r w:rsidRPr="00AB4C34">
        <w:t>о</w:t>
      </w:r>
      <w:r w:rsidRPr="00AB4C34">
        <w:t>да</w:t>
      </w:r>
      <w:r>
        <w:t>"</w:t>
      </w:r>
      <w:r w:rsidRPr="002E565C">
        <w:rPr>
          <w:rStyle w:val="FootnoteReference"/>
        </w:rPr>
        <w:footnoteReference w:id="13"/>
      </w:r>
      <w:r w:rsidRPr="00AB4C34">
        <w:t>, Бельгия в марте 2012 года приняла Национальную стратегию интеграции рома (приложение III). Она представляет собой рамочный план с указанием ц</w:t>
      </w:r>
      <w:r w:rsidRPr="00AB4C34">
        <w:t>е</w:t>
      </w:r>
      <w:r w:rsidRPr="00AB4C34">
        <w:t>лей и задач Бельгии в области интеграции рома, в соответствии с которым ф</w:t>
      </w:r>
      <w:r w:rsidRPr="00AB4C34">
        <w:t>е</w:t>
      </w:r>
      <w:r w:rsidRPr="00AB4C34">
        <w:t>деральные, региональные и общинные власти свободно разрабатывают мер</w:t>
      </w:r>
      <w:r w:rsidRPr="00AB4C34">
        <w:t>о</w:t>
      </w:r>
      <w:r w:rsidRPr="00AB4C34">
        <w:t xml:space="preserve">приятия в рамках своих полномочий. </w:t>
      </w:r>
    </w:p>
    <w:p w:rsidR="00FA567F" w:rsidRPr="00AB4C34" w:rsidRDefault="00FA567F" w:rsidP="004B4B9D">
      <w:pPr>
        <w:pStyle w:val="SingleTxtGR"/>
      </w:pPr>
      <w:r w:rsidRPr="00AB4C34">
        <w:t>51.</w:t>
      </w:r>
      <w:r w:rsidRPr="00AB4C34">
        <w:tab/>
        <w:t>В основу этой стратегии заложены различные области политики, которые обеспечивают социально-эконо</w:t>
      </w:r>
      <w:r>
        <w:t>мическую интеграцию рома, такие</w:t>
      </w:r>
      <w:r w:rsidRPr="00AB4C34">
        <w:t xml:space="preserve"> как борьба против дискриминации, занятость, образование, жилище и доступ к медици</w:t>
      </w:r>
      <w:r w:rsidRPr="00AB4C34">
        <w:t>н</w:t>
      </w:r>
      <w:r w:rsidRPr="00AB4C34">
        <w:t>скому обслуживанию. Наряду с четырьмя указанными областями особое вн</w:t>
      </w:r>
      <w:r w:rsidRPr="00AB4C34">
        <w:t>и</w:t>
      </w:r>
      <w:r w:rsidRPr="00AB4C34">
        <w:t xml:space="preserve">мание уделяется также более общим целям, таким как участие рома в жизни общества. </w:t>
      </w:r>
    </w:p>
    <w:p w:rsidR="00FA567F" w:rsidRPr="00AB4C34" w:rsidRDefault="00FA567F" w:rsidP="004B4B9D">
      <w:pPr>
        <w:pStyle w:val="SingleTxtGR"/>
      </w:pPr>
      <w:r w:rsidRPr="00AB4C34">
        <w:t>52.</w:t>
      </w:r>
      <w:r w:rsidRPr="00AB4C34">
        <w:tab/>
        <w:t>Дл</w:t>
      </w:r>
      <w:r w:rsidR="00A41E45">
        <w:t>я</w:t>
      </w:r>
      <w:r w:rsidRPr="00AB4C34">
        <w:t xml:space="preserve"> координации политики этих субъектов 21 марта 2011 года была со</w:t>
      </w:r>
      <w:r w:rsidRPr="00AB4C34">
        <w:t>з</w:t>
      </w:r>
      <w:r w:rsidRPr="00AB4C34">
        <w:t>дана рабочая группа. В ее состав входят представители различных правительс</w:t>
      </w:r>
      <w:r w:rsidRPr="00AB4C34">
        <w:t>т</w:t>
      </w:r>
      <w:r w:rsidRPr="00AB4C34">
        <w:t>венных органов страны (федеральных, региональных и общинных), представ</w:t>
      </w:r>
      <w:r w:rsidRPr="00AB4C34">
        <w:t>и</w:t>
      </w:r>
      <w:r w:rsidRPr="00AB4C34">
        <w:t>тели городов и коммун и представители организаций, которые сотрудничают с народностью рома или выражают ее интересы.</w:t>
      </w:r>
    </w:p>
    <w:p w:rsidR="00FA567F" w:rsidRPr="00AB4C34" w:rsidRDefault="00FA567F" w:rsidP="004B4B9D">
      <w:pPr>
        <w:pStyle w:val="SingleTxtGR"/>
      </w:pPr>
      <w:r w:rsidRPr="00AB4C34">
        <w:t>53.</w:t>
      </w:r>
      <w:r w:rsidRPr="00AB4C34">
        <w:tab/>
        <w:t xml:space="preserve">На федеральном уровне был учрежден Совет по делам рома и кочевых общин, задача которого – обеспечивать их участие в проведении политики Бельгии и предоставлять им равные возможности. </w:t>
      </w:r>
    </w:p>
    <w:p w:rsidR="00FA567F" w:rsidRPr="00AB4C34" w:rsidRDefault="00FA567F" w:rsidP="004B4B9D">
      <w:pPr>
        <w:pStyle w:val="SingleTxtGR"/>
      </w:pPr>
      <w:r w:rsidRPr="00AB4C34">
        <w:t>54.</w:t>
      </w:r>
      <w:r w:rsidRPr="00AB4C34">
        <w:tab/>
        <w:t>Центром по обеспечению равных возможностей и борьбе с расизмом для местных органов власти был опубликован справочник по вопросам организации временного пребывания кочевых общин (прил</w:t>
      </w:r>
      <w:r w:rsidRPr="00AB4C34">
        <w:t>о</w:t>
      </w:r>
      <w:r w:rsidRPr="00AB4C34">
        <w:t>жение IV).</w:t>
      </w:r>
    </w:p>
    <w:p w:rsidR="00FA567F" w:rsidRPr="00AB4C34" w:rsidRDefault="00FA567F" w:rsidP="004B4B9D">
      <w:pPr>
        <w:pStyle w:val="H56GR"/>
      </w:pPr>
      <w:r w:rsidRPr="00AB4C34">
        <w:tab/>
        <w:t>ii)</w:t>
      </w:r>
      <w:r w:rsidRPr="00AB4C34">
        <w:tab/>
      </w:r>
      <w:r w:rsidR="00A41E45">
        <w:t>Политика на региональном уровне</w:t>
      </w:r>
    </w:p>
    <w:p w:rsidR="00FA567F" w:rsidRPr="00AB4C34" w:rsidRDefault="00FA567F" w:rsidP="004B4B9D">
      <w:pPr>
        <w:pStyle w:val="H23GR"/>
      </w:pPr>
      <w:r>
        <w:tab/>
      </w:r>
      <w:r>
        <w:tab/>
      </w:r>
      <w:r w:rsidRPr="00AB4C34">
        <w:t xml:space="preserve">Валлонский регион </w:t>
      </w:r>
    </w:p>
    <w:p w:rsidR="00FA567F" w:rsidRPr="00AB4C34" w:rsidRDefault="00FA567F" w:rsidP="004B4B9D">
      <w:pPr>
        <w:pStyle w:val="SingleTxtGR"/>
      </w:pPr>
      <w:r w:rsidRPr="00AB4C34">
        <w:t>55.</w:t>
      </w:r>
      <w:r w:rsidRPr="00AB4C34">
        <w:tab/>
        <w:t>Был принят целый ряд мер для повышения уровня согласованного приема кочевого населения в Валлонии. В частности, для достижения этой цели была создана специальная рабочая группа в составе представителей всех правител</w:t>
      </w:r>
      <w:r w:rsidRPr="00AB4C34">
        <w:t>ь</w:t>
      </w:r>
      <w:r w:rsidRPr="00AB4C34">
        <w:t>ственных ведомств, которая приступила к реализации экспериментального пр</w:t>
      </w:r>
      <w:r w:rsidRPr="00AB4C34">
        <w:t>о</w:t>
      </w:r>
      <w:r w:rsidRPr="00AB4C34">
        <w:t>екта с участием семи валлонских коммун. Путем заключения соглашения и представления прое</w:t>
      </w:r>
      <w:r w:rsidRPr="00AB4C34">
        <w:t>к</w:t>
      </w:r>
      <w:r w:rsidRPr="00AB4C34">
        <w:t>та коммуны могут подключиться ко всему предложенному механизму, который одновременно пред</w:t>
      </w:r>
      <w:r w:rsidRPr="00AB4C34">
        <w:t>у</w:t>
      </w:r>
      <w:r w:rsidRPr="00AB4C34">
        <w:t>сматривает организацию пребывания и приобретение и обустройство земельного участка. Следует отметить, что мех</w:t>
      </w:r>
      <w:r w:rsidRPr="00AB4C34">
        <w:t>а</w:t>
      </w:r>
      <w:r w:rsidRPr="00AB4C34">
        <w:t>низм выделения субсидий на приобретение и обустройство участков доступен для всех желающих коммун, и доступ к нему не ограничивается только семью коммунами, участвующими в эксперименте. Этот экспериментальный проект оценивается рабочей группой и направлен на внедрение инструментов, которые позволят коммунам эффективнее удовлетворять существующие потребности. Кроме того, он наряду с другими мероприятиями способствует ведению работы по подготовке указа о согласованном приеме кочевых общин.</w:t>
      </w:r>
    </w:p>
    <w:p w:rsidR="00FA567F" w:rsidRPr="00AB4C34" w:rsidRDefault="00FA567F" w:rsidP="004B4B9D">
      <w:pPr>
        <w:pStyle w:val="SingleTxtGR"/>
      </w:pPr>
      <w:r w:rsidRPr="00AB4C34">
        <w:t>56.</w:t>
      </w:r>
      <w:r w:rsidRPr="00AB4C34">
        <w:tab/>
        <w:t>Валлонский регион ежегодно ассигнует около 21 000 000 евро на расш</w:t>
      </w:r>
      <w:r w:rsidRPr="00AB4C34">
        <w:t>и</w:t>
      </w:r>
      <w:r w:rsidRPr="00AB4C34">
        <w:t>рение доступа к основным правам на местном уровне в рамках планов соц</w:t>
      </w:r>
      <w:r w:rsidRPr="00AB4C34">
        <w:t>и</w:t>
      </w:r>
      <w:r w:rsidRPr="00AB4C34">
        <w:t>ального единения, реализуемых 147 коммунами Валлонии (из 253 франкоязы</w:t>
      </w:r>
      <w:r w:rsidRPr="00AB4C34">
        <w:t>ч</w:t>
      </w:r>
      <w:r w:rsidRPr="00AB4C34">
        <w:t xml:space="preserve">ных коммун), которые могут включать в них мероприятия по обеспечению приема кочевников на их территории. </w:t>
      </w:r>
    </w:p>
    <w:p w:rsidR="00FA567F" w:rsidRPr="00AB4C34" w:rsidRDefault="00FA567F" w:rsidP="004B4B9D">
      <w:pPr>
        <w:pStyle w:val="SingleTxtGR"/>
      </w:pPr>
      <w:r w:rsidRPr="00AB4C34">
        <w:t>57.</w:t>
      </w:r>
      <w:r w:rsidRPr="00AB4C34">
        <w:tab/>
        <w:t>Информационно-пропагандистские мероприятия были также проведены среди ключевых субъектов. В коммуны, ГЦСМ, провинции и полицейские уч</w:t>
      </w:r>
      <w:r w:rsidRPr="00AB4C34">
        <w:t>а</w:t>
      </w:r>
      <w:r w:rsidRPr="00AB4C34">
        <w:t>стки были направлены письма (заверенные министрами местных органов вл</w:t>
      </w:r>
      <w:r w:rsidRPr="00AB4C34">
        <w:t>а</w:t>
      </w:r>
      <w:r w:rsidRPr="00AB4C34">
        <w:t>сти и социальной помощи) с рекомендациями в отношении принятия ряда р</w:t>
      </w:r>
      <w:r w:rsidRPr="00AB4C34">
        <w:t>а</w:t>
      </w:r>
      <w:r w:rsidRPr="00AB4C34">
        <w:t>циональных мер, которые следует принять для облегчения и согласования взаимоотношений между коммунами, кочевыми общинами и оседлым насел</w:t>
      </w:r>
      <w:r w:rsidRPr="00AB4C34">
        <w:t>е</w:t>
      </w:r>
      <w:r w:rsidRPr="00AB4C34">
        <w:t>нием. Был подготовлен практический справочник по регулированию временн</w:t>
      </w:r>
      <w:r w:rsidRPr="00AB4C34">
        <w:t>о</w:t>
      </w:r>
      <w:r w:rsidRPr="00AB4C34">
        <w:t>го пребывания кочевых общин в Валлонии, составленный Межведомственным управлением по вопросам социального единения Службы социального обесп</w:t>
      </w:r>
      <w:r w:rsidRPr="00AB4C34">
        <w:t>е</w:t>
      </w:r>
      <w:r w:rsidRPr="00AB4C34">
        <w:t>чения Валлонии и изда</w:t>
      </w:r>
      <w:r w:rsidRPr="00AB4C34">
        <w:t>н</w:t>
      </w:r>
      <w:r w:rsidRPr="00AB4C34">
        <w:t>ный совместно с Центром посредничества для кочевых общин Валлонии. С другой стороны, Валлонский регион обеспечивает по</w:t>
      </w:r>
      <w:r w:rsidRPr="00AB4C34">
        <w:t>д</w:t>
      </w:r>
      <w:r w:rsidRPr="00AB4C34">
        <w:t>держку этой ассоциации, одна из задач которой состоит в том, чтобы информ</w:t>
      </w:r>
      <w:r w:rsidRPr="00AB4C34">
        <w:t>и</w:t>
      </w:r>
      <w:r w:rsidRPr="00AB4C34">
        <w:t>ровать и консультировать органы власти по вопросам регулирования пребыв</w:t>
      </w:r>
      <w:r w:rsidRPr="00AB4C34">
        <w:t>а</w:t>
      </w:r>
      <w:r w:rsidR="00D97E4B">
        <w:t>ния</w:t>
      </w:r>
      <w:r w:rsidRPr="00AB4C34">
        <w:t xml:space="preserve"> кочевых общин и обеспечивать взаимодействие между коммунами, лицами кочевого образа жизни и местным населением на основе соглашения, закл</w:t>
      </w:r>
      <w:r w:rsidRPr="00AB4C34">
        <w:t>ю</w:t>
      </w:r>
      <w:r w:rsidRPr="00AB4C34">
        <w:t xml:space="preserve">ченного на несколько лет. </w:t>
      </w:r>
    </w:p>
    <w:p w:rsidR="00FA567F" w:rsidRPr="00AB4C34" w:rsidRDefault="00FA567F" w:rsidP="004B4B9D">
      <w:pPr>
        <w:pStyle w:val="SingleTxtGR"/>
      </w:pPr>
      <w:r w:rsidRPr="00AB4C34">
        <w:t>58.</w:t>
      </w:r>
      <w:r w:rsidRPr="00AB4C34">
        <w:tab/>
        <w:t>Наконец, недавно был составлен реестр земельных участков, которые м</w:t>
      </w:r>
      <w:r w:rsidRPr="00AB4C34">
        <w:t>о</w:t>
      </w:r>
      <w:r w:rsidRPr="00AB4C34">
        <w:t>гут предоставляться в распоряжение местных властей для размещения крупных кочевых общин (около 200 автокараванов).</w:t>
      </w:r>
    </w:p>
    <w:p w:rsidR="00FA567F" w:rsidRPr="00AB4C34" w:rsidRDefault="00FA567F" w:rsidP="004B4B9D">
      <w:pPr>
        <w:pStyle w:val="H23GR"/>
      </w:pPr>
      <w:r>
        <w:tab/>
      </w:r>
      <w:r>
        <w:tab/>
      </w:r>
      <w:r w:rsidRPr="00AB4C34">
        <w:t xml:space="preserve">Брюссельский столичный регион </w:t>
      </w:r>
    </w:p>
    <w:p w:rsidR="00FA567F" w:rsidRPr="00AB4C34" w:rsidRDefault="00FA567F" w:rsidP="004B4B9D">
      <w:pPr>
        <w:pStyle w:val="SingleTxtGR"/>
      </w:pPr>
      <w:r w:rsidRPr="00AB4C34">
        <w:t>59.</w:t>
      </w:r>
      <w:r w:rsidRPr="00AB4C34">
        <w:tab/>
        <w:t>В Ордонансе от 1 марта 2012 года о внесении изменений в Жилищный кодекс колесные средства проживания признаются жилищем, соответствующим закону. В ходе подготовки этого законодательного акта были проведены ко</w:t>
      </w:r>
      <w:r w:rsidRPr="00AB4C34">
        <w:t>н</w:t>
      </w:r>
      <w:r w:rsidRPr="00AB4C34">
        <w:t>сультации с президентом Национальной ассоциации лиц, ведущих кочевой о</w:t>
      </w:r>
      <w:r w:rsidRPr="00AB4C34">
        <w:t>б</w:t>
      </w:r>
      <w:r w:rsidRPr="00AB4C34">
        <w:t>раз жизни.</w:t>
      </w:r>
    </w:p>
    <w:p w:rsidR="00FA567F" w:rsidRPr="00AB4C34" w:rsidRDefault="00FA567F" w:rsidP="004B4B9D">
      <w:pPr>
        <w:pStyle w:val="SingleTxtGR"/>
      </w:pPr>
      <w:r w:rsidRPr="00AB4C34">
        <w:t>60.</w:t>
      </w:r>
      <w:r w:rsidRPr="00AB4C34">
        <w:tab/>
        <w:t>Этот регион также активно участвовал в работе Совета по делам рома и кочевых общин. С другой стороны, он включил проблематику приема кочевого населения в число приоритетов Регионального плана развития.</w:t>
      </w:r>
    </w:p>
    <w:p w:rsidR="00FA567F" w:rsidRPr="00AB4C34" w:rsidRDefault="00FA567F" w:rsidP="004B4B9D">
      <w:pPr>
        <w:pStyle w:val="H23GR"/>
      </w:pPr>
      <w:r>
        <w:tab/>
      </w:r>
      <w:r>
        <w:tab/>
      </w:r>
      <w:r w:rsidRPr="00AB4C34">
        <w:t xml:space="preserve">Фламандское сообщество </w:t>
      </w:r>
    </w:p>
    <w:p w:rsidR="00FA567F" w:rsidRPr="00AB4C34" w:rsidRDefault="00FA567F" w:rsidP="004B4B9D">
      <w:pPr>
        <w:pStyle w:val="SingleTxtGR"/>
      </w:pPr>
      <w:r w:rsidRPr="00AB4C34">
        <w:t>61.</w:t>
      </w:r>
      <w:r w:rsidRPr="00AB4C34">
        <w:tab/>
        <w:t>В последние годы наблюдался активный рост масштабов иммиграции из стран Центральной и Восточной Европы. Этот рост в значительной степени в</w:t>
      </w:r>
      <w:r w:rsidRPr="00AB4C34">
        <w:t>ы</w:t>
      </w:r>
      <w:r w:rsidRPr="00AB4C34">
        <w:t>зван открытием с 1 мая 2009 года рынка труда для разных стран данного реги</w:t>
      </w:r>
      <w:r w:rsidRPr="00AB4C34">
        <w:t>о</w:t>
      </w:r>
      <w:r w:rsidRPr="00AB4C34">
        <w:t>на. Одной из специфических групп этого миграционного потока является н</w:t>
      </w:r>
      <w:r w:rsidRPr="00AB4C34">
        <w:t>а</w:t>
      </w:r>
      <w:r w:rsidRPr="00AB4C34">
        <w:t xml:space="preserve">родность рома. </w:t>
      </w:r>
    </w:p>
    <w:p w:rsidR="00FA567F" w:rsidRPr="00AB4C34" w:rsidRDefault="00FA567F" w:rsidP="004B4B9D">
      <w:pPr>
        <w:pStyle w:val="SingleTxtGR"/>
      </w:pPr>
      <w:r w:rsidRPr="00AB4C34">
        <w:t>62.</w:t>
      </w:r>
      <w:r w:rsidRPr="00AB4C34">
        <w:tab/>
        <w:t>Мигранты из стран Центральной и Восточной Европы проживают пра</w:t>
      </w:r>
      <w:r w:rsidRPr="00AB4C34">
        <w:t>к</w:t>
      </w:r>
      <w:r w:rsidRPr="00AB4C34">
        <w:t>тически во всех городах и коммунах Фландрии (статистические данные см. в приложении III, стр. 9). Этот поток мигрантов, в частности рома, ставит серье</w:t>
      </w:r>
      <w:r w:rsidRPr="00AB4C34">
        <w:t>з</w:t>
      </w:r>
      <w:r w:rsidRPr="00AB4C34">
        <w:t>ные проблемы с точки зрения образования, труда, жилища, гражданской инт</w:t>
      </w:r>
      <w:r w:rsidRPr="00AB4C34">
        <w:t>е</w:t>
      </w:r>
      <w:r w:rsidRPr="00AB4C34">
        <w:t xml:space="preserve">грации, благосостояния, дискриминации и участия в жизни общества, прежде всего перед местными органами власти. </w:t>
      </w:r>
    </w:p>
    <w:p w:rsidR="00FA567F" w:rsidRPr="00AB4C34" w:rsidRDefault="00FA567F" w:rsidP="004B4B9D">
      <w:pPr>
        <w:pStyle w:val="SingleTxtGR"/>
      </w:pPr>
      <w:r w:rsidRPr="00AB4C34">
        <w:t>63.</w:t>
      </w:r>
      <w:r w:rsidRPr="00AB4C34">
        <w:tab/>
        <w:t>В целях скоординированного решения этих проблем и обеспечения з</w:t>
      </w:r>
      <w:r w:rsidRPr="00AB4C34">
        <w:t>а</w:t>
      </w:r>
      <w:r w:rsidRPr="00AB4C34">
        <w:t xml:space="preserve">метной, но не исключительной интеграции рома власти Фландрии в 2012 году приступили к реализации плана действий </w:t>
      </w:r>
      <w:r>
        <w:t>"</w:t>
      </w:r>
      <w:r w:rsidRPr="00AB4C34">
        <w:t>Мигранты из Центральной и Во</w:t>
      </w:r>
      <w:r w:rsidRPr="00AB4C34">
        <w:t>с</w:t>
      </w:r>
      <w:r w:rsidRPr="00AB4C34">
        <w:t>точной Европы</w:t>
      </w:r>
      <w:r>
        <w:t>"</w:t>
      </w:r>
      <w:r w:rsidRPr="00AB4C34">
        <w:t xml:space="preserve"> (ЦВЕ). Этот план действий предусматривает проведение ск</w:t>
      </w:r>
      <w:r w:rsidRPr="00AB4C34">
        <w:t>о</w:t>
      </w:r>
      <w:r w:rsidRPr="00AB4C34">
        <w:t>ординированной политики в отношении указанных групп мигрантов и дает возможность при необходим</w:t>
      </w:r>
      <w:r w:rsidRPr="00AB4C34">
        <w:t>о</w:t>
      </w:r>
      <w:r w:rsidRPr="00AB4C34">
        <w:t>сти осуществлять мероприятия, непосредственно ориентированные на представителей народности рома в образовательной, тр</w:t>
      </w:r>
      <w:r w:rsidRPr="00AB4C34">
        <w:t>у</w:t>
      </w:r>
      <w:r w:rsidRPr="00AB4C34">
        <w:t xml:space="preserve">довой и жилищной сферах. </w:t>
      </w:r>
    </w:p>
    <w:p w:rsidR="00FA567F" w:rsidRPr="00AB4C34" w:rsidRDefault="00FA567F" w:rsidP="004B4B9D">
      <w:pPr>
        <w:pStyle w:val="SingleTxtGR"/>
      </w:pPr>
      <w:r w:rsidRPr="00AB4C34">
        <w:t>64.</w:t>
      </w:r>
      <w:r w:rsidRPr="00AB4C34">
        <w:tab/>
        <w:t>Социальное положение лиц, ведущих неоседлый образ жизни (кочевн</w:t>
      </w:r>
      <w:r w:rsidRPr="00AB4C34">
        <w:t>и</w:t>
      </w:r>
      <w:r w:rsidRPr="00AB4C34">
        <w:t>ков, синти и цыган), также остается во Фландрии весьма непрочным. Различные исследования показывают, что многие представители кочевых народностей л</w:t>
      </w:r>
      <w:r w:rsidRPr="00AB4C34">
        <w:t>и</w:t>
      </w:r>
      <w:r w:rsidRPr="00AB4C34">
        <w:t>шены образования, работы, участия в жизни общества, медицинского обслуж</w:t>
      </w:r>
      <w:r w:rsidRPr="00AB4C34">
        <w:t>и</w:t>
      </w:r>
      <w:r w:rsidRPr="00AB4C34">
        <w:t>вания и имеют плохую репутацию в глазах населения. В 2011 году организац</w:t>
      </w:r>
      <w:r w:rsidRPr="00AB4C34">
        <w:t>и</w:t>
      </w:r>
      <w:r w:rsidRPr="00AB4C34">
        <w:t xml:space="preserve">ей </w:t>
      </w:r>
      <w:r>
        <w:t>"</w:t>
      </w:r>
      <w:r w:rsidRPr="00AB4C34">
        <w:t>На перекрестке миграции и интеграции</w:t>
      </w:r>
      <w:r>
        <w:t>"</w:t>
      </w:r>
      <w:r w:rsidRPr="00AB4C34">
        <w:t xml:space="preserve"> (Kruispunt Migratie-Integratie) была проведена перепись, результаты которой показали, что во Фландрии и Брю</w:t>
      </w:r>
      <w:r w:rsidRPr="00AB4C34">
        <w:t>с</w:t>
      </w:r>
      <w:r w:rsidRPr="00AB4C34">
        <w:t>сельском столичном регионе 967 кочевых семей постоянно проживают в авт</w:t>
      </w:r>
      <w:r w:rsidRPr="00AB4C34">
        <w:t>о</w:t>
      </w:r>
      <w:r w:rsidRPr="00AB4C34">
        <w:t>караванах. По оценочным данным, по территории Фландрии ежегодно проходит порядка тыс</w:t>
      </w:r>
      <w:r w:rsidRPr="00AB4C34">
        <w:t>я</w:t>
      </w:r>
      <w:r w:rsidRPr="00AB4C34">
        <w:t xml:space="preserve">чи таких семей, главным образом в весенний и летний периоды. </w:t>
      </w:r>
    </w:p>
    <w:p w:rsidR="00FA567F" w:rsidRPr="00AB4C34" w:rsidRDefault="00FA567F" w:rsidP="004B4B9D">
      <w:pPr>
        <w:pStyle w:val="SingleTxtGR"/>
      </w:pPr>
      <w:r w:rsidRPr="00AB4C34">
        <w:t>65.</w:t>
      </w:r>
      <w:r w:rsidRPr="00AB4C34">
        <w:tab/>
        <w:t>В целях повышения качества жилищ кочевников власти Фландрии на 90% субсидируют расходы по обустройству, приобретению и обновлению публи</w:t>
      </w:r>
      <w:r w:rsidRPr="00AB4C34">
        <w:t>ч</w:t>
      </w:r>
      <w:r w:rsidRPr="00AB4C34">
        <w:t>ных земельных участков для размещения жилых автокараванов и публичных участков транзита. Чтобы временный прием кочевых общин проходил в хор</w:t>
      </w:r>
      <w:r w:rsidRPr="00AB4C34">
        <w:t>о</w:t>
      </w:r>
      <w:r w:rsidRPr="00AB4C34">
        <w:t>ших условиях, губернаторам провинций в соответствии с Циркулярным пис</w:t>
      </w:r>
      <w:r w:rsidRPr="00AB4C34">
        <w:t>ь</w:t>
      </w:r>
      <w:r w:rsidRPr="00AB4C34">
        <w:t>мом BB2010/05 было п</w:t>
      </w:r>
      <w:r w:rsidRPr="00AB4C34">
        <w:t>о</w:t>
      </w:r>
      <w:r w:rsidRPr="00AB4C34">
        <w:t>ручено обеспечивать тщательную координацию их приема, а коммунам было предложено заблаговременно отводить территории (специальные участки) под временные стоянки для этих кочевых общин. Фл</w:t>
      </w:r>
      <w:r w:rsidRPr="00AB4C34">
        <w:t>а</w:t>
      </w:r>
      <w:r w:rsidRPr="00AB4C34">
        <w:t>мандская комиссия по автокараванам регулярно проводит совещания и прин</w:t>
      </w:r>
      <w:r w:rsidRPr="00AB4C34">
        <w:t>и</w:t>
      </w:r>
      <w:r w:rsidRPr="00AB4C34">
        <w:t>мает меры по координации и консультированию действий профильных минис</w:t>
      </w:r>
      <w:r w:rsidRPr="00AB4C34">
        <w:t>т</w:t>
      </w:r>
      <w:r w:rsidRPr="00AB4C34">
        <w:t>ров в области обустройства длительных стоянок, приспособленных для кочев</w:t>
      </w:r>
      <w:r w:rsidRPr="00AB4C34">
        <w:t>о</w:t>
      </w:r>
      <w:r w:rsidRPr="00AB4C34">
        <w:t xml:space="preserve">го населения. </w:t>
      </w:r>
    </w:p>
    <w:p w:rsidR="00FA567F" w:rsidRPr="00AB4C34" w:rsidRDefault="00FA567F" w:rsidP="004B4B9D">
      <w:pPr>
        <w:pStyle w:val="SingleTxtGR"/>
      </w:pPr>
      <w:r w:rsidRPr="00AB4C34">
        <w:t>66.</w:t>
      </w:r>
      <w:r w:rsidRPr="00AB4C34">
        <w:tab/>
        <w:t>Для оказания содействия авторам инициатив по приобретению, обустро</w:t>
      </w:r>
      <w:r w:rsidRPr="00AB4C34">
        <w:t>й</w:t>
      </w:r>
      <w:r w:rsidRPr="00AB4C34">
        <w:t>ству, обновлению или расширению стоянок власти Фландрии разработали спр</w:t>
      </w:r>
      <w:r w:rsidRPr="00AB4C34">
        <w:t>а</w:t>
      </w:r>
      <w:r w:rsidRPr="00AB4C34">
        <w:t xml:space="preserve">вочник </w:t>
      </w:r>
      <w:r>
        <w:t>"</w:t>
      </w:r>
      <w:r w:rsidRPr="00AB4C34">
        <w:t>Жизнь на колесах</w:t>
      </w:r>
      <w:r>
        <w:t>"</w:t>
      </w:r>
      <w:r w:rsidRPr="00AB4C34">
        <w:t xml:space="preserve"> (</w:t>
      </w:r>
      <w:r>
        <w:t>"</w:t>
      </w:r>
      <w:r w:rsidRPr="00AB4C34">
        <w:t>Wonen op wielen</w:t>
      </w:r>
      <w:r>
        <w:t>"</w:t>
      </w:r>
      <w:r w:rsidRPr="00AB4C34">
        <w:t>), который в 2010 году был по</w:t>
      </w:r>
      <w:r w:rsidRPr="00AB4C34">
        <w:t>л</w:t>
      </w:r>
      <w:r w:rsidRPr="00AB4C34">
        <w:t>ностью пересмотрен и обновлен с учетом опыта, приобретенного в сфере об</w:t>
      </w:r>
      <w:r w:rsidRPr="00AB4C34">
        <w:t>у</w:t>
      </w:r>
      <w:r w:rsidRPr="00AB4C34">
        <w:t xml:space="preserve">стройства стоянок и управления ими. </w:t>
      </w:r>
    </w:p>
    <w:p w:rsidR="00FA567F" w:rsidRPr="00AB4C34" w:rsidRDefault="00FA567F" w:rsidP="004B4B9D">
      <w:pPr>
        <w:pStyle w:val="SingleTxtGR"/>
      </w:pPr>
      <w:r w:rsidRPr="00AB4C34">
        <w:t>67.</w:t>
      </w:r>
      <w:r w:rsidRPr="00AB4C34">
        <w:tab/>
        <w:t>Власти Фландрии не только стремятся улучшить жилищные условия к</w:t>
      </w:r>
      <w:r w:rsidRPr="00AB4C34">
        <w:t>о</w:t>
      </w:r>
      <w:r w:rsidRPr="00AB4C34">
        <w:t>чевых общин, но и пров</w:t>
      </w:r>
      <w:r w:rsidRPr="00AB4C34">
        <w:t>о</w:t>
      </w:r>
      <w:r w:rsidRPr="00AB4C34">
        <w:t>дят мероприятия в других областях политической жизни. Так, для улучшения положения и обеспечения социальной интеграции этих общин в настоящее время принимаются меры в сферах трудовой деятел</w:t>
      </w:r>
      <w:r w:rsidRPr="00AB4C34">
        <w:t>ь</w:t>
      </w:r>
      <w:r w:rsidRPr="00AB4C34">
        <w:t>ности, образования, жилища, интеграции и благосостоянии. Эти меры будут к</w:t>
      </w:r>
      <w:r w:rsidRPr="00AB4C34">
        <w:t>о</w:t>
      </w:r>
      <w:r w:rsidRPr="00AB4C34">
        <w:t>ординироваться и отслеживаться в рамках разрабатываемого стратегического плана в интересах кочевых общин.</w:t>
      </w:r>
    </w:p>
    <w:p w:rsidR="00FA567F" w:rsidRPr="00AB4C34" w:rsidRDefault="00FA567F" w:rsidP="0091593A">
      <w:pPr>
        <w:pStyle w:val="H4GR"/>
        <w:spacing w:before="240"/>
      </w:pPr>
      <w:r w:rsidRPr="00AB4C34">
        <w:tab/>
        <w:t>b)</w:t>
      </w:r>
      <w:r w:rsidRPr="00AB4C34">
        <w:tab/>
        <w:t>Политика интеграции в Валлонии</w:t>
      </w:r>
    </w:p>
    <w:p w:rsidR="00FA567F" w:rsidRPr="00AB4C34" w:rsidRDefault="00FA567F" w:rsidP="004B4B9D">
      <w:pPr>
        <w:pStyle w:val="H56GR"/>
      </w:pPr>
      <w:r w:rsidRPr="00AB4C34">
        <w:tab/>
      </w:r>
      <w:r w:rsidRPr="00AB4C34">
        <w:tab/>
        <w:t xml:space="preserve">Глобальный план по обеспечению равных возможностей </w:t>
      </w:r>
    </w:p>
    <w:p w:rsidR="00FA567F" w:rsidRPr="00AB4C34" w:rsidRDefault="00FA567F" w:rsidP="004B4B9D">
      <w:pPr>
        <w:pStyle w:val="SingleTxtGR"/>
      </w:pPr>
      <w:r w:rsidRPr="00AB4C34">
        <w:t>68.</w:t>
      </w:r>
      <w:r w:rsidRPr="00AB4C34">
        <w:tab/>
        <w:t>24 февраля 2011 года правительство Валлонии приняло первый валло</w:t>
      </w:r>
      <w:r w:rsidRPr="00AB4C34">
        <w:t>н</w:t>
      </w:r>
      <w:r w:rsidRPr="00AB4C34">
        <w:t>ский план по обеспечению равенства. Его основной целью является ведение борьбы против различных видов дискриминации и выявление сходных черт в различных процессах социального отчуждения.</w:t>
      </w:r>
    </w:p>
    <w:p w:rsidR="00FA567F" w:rsidRPr="00AB4C34" w:rsidRDefault="00FA567F" w:rsidP="004B4B9D">
      <w:pPr>
        <w:pStyle w:val="SingleTxtGR"/>
      </w:pPr>
      <w:r w:rsidRPr="00AB4C34">
        <w:t>69.</w:t>
      </w:r>
      <w:r w:rsidRPr="00AB4C34">
        <w:tab/>
        <w:t>План предусматривает комплексные и конкретные меры в интересах ра</w:t>
      </w:r>
      <w:r w:rsidRPr="00AB4C34">
        <w:t>з</w:t>
      </w:r>
      <w:r w:rsidRPr="00AB4C34">
        <w:t>личных групп, защ</w:t>
      </w:r>
      <w:r>
        <w:t>ищаемых от дискриминации, таких</w:t>
      </w:r>
      <w:r w:rsidRPr="00AB4C34">
        <w:t xml:space="preserve"> как женщины, лесбия</w:t>
      </w:r>
      <w:r w:rsidRPr="00AB4C34">
        <w:t>н</w:t>
      </w:r>
      <w:r w:rsidRPr="00AB4C34">
        <w:t>ки и гомосексуалисты, инвалиды и лица ин</w:t>
      </w:r>
      <w:r>
        <w:t>остранного происхождения. Он, в </w:t>
      </w:r>
      <w:r w:rsidRPr="00AB4C34">
        <w:t>частности, включает мероприятия в различных сферах отраслевой политики – занятости, профессионального обучения, жилища, сочетания личной жизни с трудовой де</w:t>
      </w:r>
      <w:r w:rsidRPr="00AB4C34">
        <w:t>я</w:t>
      </w:r>
      <w:r w:rsidRPr="00AB4C34">
        <w:t xml:space="preserve">тельностью, экономики и сельского хозяйства. </w:t>
      </w:r>
    </w:p>
    <w:p w:rsidR="00FA567F" w:rsidRPr="00AB4C34" w:rsidRDefault="00FA567F" w:rsidP="004B4B9D">
      <w:pPr>
        <w:pStyle w:val="SingleTxtGR"/>
      </w:pPr>
      <w:r w:rsidRPr="00AB4C34">
        <w:t>70.</w:t>
      </w:r>
      <w:r w:rsidRPr="00AB4C34">
        <w:tab/>
        <w:t>Мониторинг выполнения этого плана возложен на одну из рабочих групп. В 2012 году министр по делам равенства возможностей представил первые пр</w:t>
      </w:r>
      <w:r w:rsidRPr="00AB4C34">
        <w:t>а</w:t>
      </w:r>
      <w:r w:rsidRPr="00AB4C34">
        <w:t>вительственные мероприятия по реализации этого плана. Следует, в частности отметить разработку Плана по обеспечению разнообразия и равенства в сфере государственной службы Валлонии и принятие указа о составлении общих пл</w:t>
      </w:r>
      <w:r w:rsidRPr="00AB4C34">
        <w:t>а</w:t>
      </w:r>
      <w:r w:rsidRPr="00AB4C34">
        <w:t>нов по обеспеч</w:t>
      </w:r>
      <w:r w:rsidRPr="00AB4C34">
        <w:t>е</w:t>
      </w:r>
      <w:r w:rsidRPr="00AB4C34">
        <w:t>нию равных возможностей на государственных предприятиях с указанием иммигрантов в числе целевых групп.</w:t>
      </w:r>
    </w:p>
    <w:p w:rsidR="00FA567F" w:rsidRPr="00AB4C34" w:rsidRDefault="00FA567F" w:rsidP="004B4B9D">
      <w:pPr>
        <w:pStyle w:val="H56GR"/>
      </w:pPr>
      <w:r w:rsidRPr="00AB4C34">
        <w:tab/>
      </w:r>
      <w:r w:rsidRPr="00AB4C34">
        <w:tab/>
        <w:t>Изменение Указа от 4 июля 1996 года Указом от 30 апреля 2009 г</w:t>
      </w:r>
      <w:r w:rsidRPr="00AB4C34">
        <w:t>о</w:t>
      </w:r>
      <w:r w:rsidRPr="00AB4C34">
        <w:t>да</w:t>
      </w:r>
    </w:p>
    <w:p w:rsidR="00FA567F" w:rsidRPr="00AB4C34" w:rsidRDefault="00FA567F" w:rsidP="004B4B9D">
      <w:pPr>
        <w:pStyle w:val="SingleTxtGR"/>
      </w:pPr>
      <w:r w:rsidRPr="00AB4C34">
        <w:t>71.</w:t>
      </w:r>
      <w:r w:rsidRPr="00AB4C34">
        <w:tab/>
        <w:t>В Валлонии политика интеграции проводится в соответствии с Указом от 4 июля 1996 года об интеграции иностранцев и лиц иностранного происхожд</w:t>
      </w:r>
      <w:r w:rsidRPr="00AB4C34">
        <w:t>е</w:t>
      </w:r>
      <w:r w:rsidRPr="00AB4C34">
        <w:t>ния. Недавно Указом от 30 апреля 2009 года в него были внесены изменения, с тем чтобы:</w:t>
      </w:r>
    </w:p>
    <w:p w:rsidR="00FA567F" w:rsidRPr="00AB4C34" w:rsidRDefault="00FA567F" w:rsidP="004B4B9D">
      <w:pPr>
        <w:pStyle w:val="Bullet1GR"/>
        <w:numPr>
          <w:ilvl w:val="0"/>
          <w:numId w:val="1"/>
        </w:numPr>
      </w:pPr>
      <w:r w:rsidRPr="00AB4C34">
        <w:t>адаптироваться к изменению целевой аудитории для интеграции и к ее потре</w:t>
      </w:r>
      <w:r w:rsidRPr="00AB4C34">
        <w:t>б</w:t>
      </w:r>
      <w:r w:rsidRPr="00AB4C34">
        <w:t>ностям;</w:t>
      </w:r>
    </w:p>
    <w:p w:rsidR="00FA567F" w:rsidRPr="00AB4C34" w:rsidRDefault="00FA567F" w:rsidP="004B4B9D">
      <w:pPr>
        <w:pStyle w:val="Bullet1GR"/>
        <w:numPr>
          <w:ilvl w:val="0"/>
          <w:numId w:val="1"/>
        </w:numPr>
      </w:pPr>
      <w:r w:rsidRPr="00AB4C34">
        <w:t>уточнить задачи региональных центров интеграции</w:t>
      </w:r>
      <w:r w:rsidRPr="002E565C">
        <w:rPr>
          <w:rStyle w:val="FootnoteReference"/>
        </w:rPr>
        <w:footnoteReference w:id="14"/>
      </w:r>
      <w:r w:rsidRPr="00AB4C34">
        <w:t>;</w:t>
      </w:r>
    </w:p>
    <w:p w:rsidR="00FA567F" w:rsidRPr="00AB4C34" w:rsidRDefault="00FA567F" w:rsidP="004B4B9D">
      <w:pPr>
        <w:pStyle w:val="Bullet1GR"/>
        <w:numPr>
          <w:ilvl w:val="0"/>
          <w:numId w:val="1"/>
        </w:numPr>
      </w:pPr>
      <w:r w:rsidRPr="00AB4C34">
        <w:t>утверждать и субсидировать местные инициативы в области социального ра</w:t>
      </w:r>
      <w:r w:rsidRPr="00AB4C34">
        <w:t>з</w:t>
      </w:r>
      <w:r w:rsidRPr="00AB4C34">
        <w:t>вития;</w:t>
      </w:r>
    </w:p>
    <w:p w:rsidR="00FA567F" w:rsidRPr="00AB4C34" w:rsidRDefault="00FA567F" w:rsidP="004B4B9D">
      <w:pPr>
        <w:pStyle w:val="Bullet1GR"/>
        <w:numPr>
          <w:ilvl w:val="0"/>
          <w:numId w:val="1"/>
        </w:numPr>
      </w:pPr>
      <w:r w:rsidRPr="00AB4C34">
        <w:t>учесть европейские рекомендации и директивы;</w:t>
      </w:r>
    </w:p>
    <w:p w:rsidR="00FA567F" w:rsidRPr="00AB4C34" w:rsidRDefault="00FA567F" w:rsidP="004B4B9D">
      <w:pPr>
        <w:pStyle w:val="Bullet1GR"/>
        <w:numPr>
          <w:ilvl w:val="0"/>
          <w:numId w:val="1"/>
        </w:numPr>
      </w:pPr>
      <w:r w:rsidRPr="00AB4C34">
        <w:t>уточнить цели политики Валлонии с точки зрения их всеохватности.</w:t>
      </w:r>
    </w:p>
    <w:p w:rsidR="00FA567F" w:rsidRPr="00AB4C34" w:rsidRDefault="00FA567F" w:rsidP="004B4B9D">
      <w:pPr>
        <w:pStyle w:val="SingleTxtGR"/>
      </w:pPr>
      <w:r w:rsidRPr="00AB4C34">
        <w:t>72.</w:t>
      </w:r>
      <w:r w:rsidRPr="00AB4C34">
        <w:tab/>
        <w:t>В указе непосредственно предусмотрено субсидирование местных ин</w:t>
      </w:r>
      <w:r w:rsidRPr="00AB4C34">
        <w:t>и</w:t>
      </w:r>
      <w:r w:rsidRPr="00AB4C34">
        <w:t>циатив по социальному развитию, целью которых является интеграция мигра</w:t>
      </w:r>
      <w:r w:rsidRPr="00AB4C34">
        <w:t>н</w:t>
      </w:r>
      <w:r w:rsidRPr="00AB4C34">
        <w:t>тов. В этой связи ежегодно проводится конкурсный отбор проектов. Их приор</w:t>
      </w:r>
      <w:r w:rsidRPr="00AB4C34">
        <w:t>и</w:t>
      </w:r>
      <w:r w:rsidRPr="00AB4C34">
        <w:t>тетной группой официально признаны вновь прибывшие лица. В 2010 году в рамках этого конкурсного отбора проектов получили содействие 110 ассоци</w:t>
      </w:r>
      <w:r w:rsidRPr="00AB4C34">
        <w:t>а</w:t>
      </w:r>
      <w:r w:rsidRPr="00AB4C34">
        <w:t>ций; в 2011 году было подано 163 заявки об оказании содействия. Например, были разработаны следующие инициативы:</w:t>
      </w:r>
    </w:p>
    <w:p w:rsidR="00FA567F" w:rsidRPr="00AB4C34" w:rsidRDefault="00FA567F" w:rsidP="004B4B9D">
      <w:pPr>
        <w:pStyle w:val="Bullet1GR"/>
        <w:numPr>
          <w:ilvl w:val="0"/>
          <w:numId w:val="1"/>
        </w:numPr>
      </w:pPr>
      <w:r w:rsidRPr="00AB4C34">
        <w:t>мероприятия или механизмы по приему, оказанию административной и социальной помощи, обеспеч</w:t>
      </w:r>
      <w:r w:rsidRPr="00AB4C34">
        <w:t>е</w:t>
      </w:r>
      <w:r w:rsidRPr="00AB4C34">
        <w:t>нию информации и перевода;</w:t>
      </w:r>
    </w:p>
    <w:p w:rsidR="00FA567F" w:rsidRPr="00AB4C34" w:rsidRDefault="00FA567F" w:rsidP="004B4B9D">
      <w:pPr>
        <w:pStyle w:val="Bullet1GR"/>
        <w:numPr>
          <w:ilvl w:val="0"/>
          <w:numId w:val="1"/>
        </w:numPr>
      </w:pPr>
      <w:r w:rsidRPr="00AB4C34">
        <w:t>меры по борьбе с неграмотностью, наблюдающейся в основном среди иностранцев или лиц иностранного происхождения, и специальные зан</w:t>
      </w:r>
      <w:r w:rsidRPr="00AB4C34">
        <w:t>я</w:t>
      </w:r>
      <w:r w:rsidRPr="00AB4C34">
        <w:t>тия по из</w:t>
      </w:r>
      <w:r w:rsidRPr="00AB4C34">
        <w:t>у</w:t>
      </w:r>
      <w:r w:rsidRPr="00AB4C34">
        <w:t>чению французского языка как второго;</w:t>
      </w:r>
    </w:p>
    <w:p w:rsidR="00FA567F" w:rsidRPr="00AB4C34" w:rsidRDefault="00FA567F" w:rsidP="004B4B9D">
      <w:pPr>
        <w:pStyle w:val="Bullet1GR"/>
        <w:numPr>
          <w:ilvl w:val="0"/>
          <w:numId w:val="1"/>
        </w:numPr>
      </w:pPr>
      <w:r w:rsidRPr="00AB4C34">
        <w:t>в профилактических целях – меры по оказанию помощи в выполнении домашних заданий, наверстывании отставания и повышению уровня вл</w:t>
      </w:r>
      <w:r w:rsidRPr="00AB4C34">
        <w:t>а</w:t>
      </w:r>
      <w:r w:rsidRPr="00AB4C34">
        <w:t>дения языком;</w:t>
      </w:r>
    </w:p>
    <w:p w:rsidR="00FA567F" w:rsidRPr="00AB4C34" w:rsidRDefault="00FA567F" w:rsidP="004B4B9D">
      <w:pPr>
        <w:pStyle w:val="Bullet1GR"/>
        <w:numPr>
          <w:ilvl w:val="0"/>
          <w:numId w:val="1"/>
        </w:numPr>
      </w:pPr>
      <w:r w:rsidRPr="00AB4C34">
        <w:t>мероприятия по изучению страны приема, более глубокому взаимному ознакомлению и сосуществов</w:t>
      </w:r>
      <w:r w:rsidRPr="00AB4C34">
        <w:t>а</w:t>
      </w:r>
      <w:r w:rsidRPr="00AB4C34">
        <w:t>нию среди лиц разного происхождения (подготовка в области межкультурного общения, освоение ненасильс</w:t>
      </w:r>
      <w:r w:rsidRPr="00AB4C34">
        <w:t>т</w:t>
      </w:r>
      <w:r w:rsidRPr="00AB4C34">
        <w:t>венного общения), ознакомление с языком и культурой страны происхо</w:t>
      </w:r>
      <w:r w:rsidRPr="00AB4C34">
        <w:t>ж</w:t>
      </w:r>
      <w:r w:rsidRPr="00AB4C34">
        <w:t>дения, анимационные и просветительские мероприятия, получающие р</w:t>
      </w:r>
      <w:r w:rsidRPr="00AB4C34">
        <w:t>а</w:t>
      </w:r>
      <w:r w:rsidRPr="00AB4C34">
        <w:t>зовую поддержку: неделя (меж)культурного общения, тематические дни, кампании и публикации.</w:t>
      </w:r>
    </w:p>
    <w:p w:rsidR="00FA567F" w:rsidRPr="00AB4C34" w:rsidRDefault="00FA567F" w:rsidP="004B4B9D">
      <w:pPr>
        <w:pStyle w:val="H56GR"/>
      </w:pPr>
      <w:r w:rsidRPr="00AB4C34">
        <w:tab/>
      </w:r>
      <w:r w:rsidRPr="00AB4C34">
        <w:tab/>
        <w:t>Направления в сфере приема и и</w:t>
      </w:r>
      <w:r>
        <w:t>нтеграции вновь прибывших лиц в Валлонии и </w:t>
      </w:r>
      <w:r w:rsidRPr="00AB4C34">
        <w:t>Брюсселе</w:t>
      </w:r>
    </w:p>
    <w:p w:rsidR="00FA567F" w:rsidRPr="00AB4C34" w:rsidRDefault="00FA567F" w:rsidP="004B4B9D">
      <w:pPr>
        <w:pStyle w:val="SingleTxtGR"/>
      </w:pPr>
      <w:r w:rsidRPr="00AB4C34">
        <w:t>73.</w:t>
      </w:r>
      <w:r w:rsidRPr="00AB4C34">
        <w:tab/>
        <w:t>12 мая 2011 года Коллегия Комиссии Франкоязычного сообщества Брю</w:t>
      </w:r>
      <w:r w:rsidRPr="00AB4C34">
        <w:t>с</w:t>
      </w:r>
      <w:r w:rsidRPr="00AB4C34">
        <w:t>сельского столичного р</w:t>
      </w:r>
      <w:r w:rsidRPr="00AB4C34">
        <w:t>е</w:t>
      </w:r>
      <w:r w:rsidRPr="00AB4C34">
        <w:t>гиона (КФС), правительство Федерации Валлония-Брюссель (Франкоязычное сообщество) и валлонское правительство обязались совместными усилиями разработать и наладить на местном уровне полноце</w:t>
      </w:r>
      <w:r w:rsidRPr="00AB4C34">
        <w:t>н</w:t>
      </w:r>
      <w:r w:rsidRPr="00AB4C34">
        <w:t>ную систему приема и интеграции вновь прибывших лиц в целях предоставл</w:t>
      </w:r>
      <w:r w:rsidRPr="00AB4C34">
        <w:t>е</w:t>
      </w:r>
      <w:r w:rsidRPr="00AB4C34">
        <w:t>ния им поддержки и информации, которые необходимы им для ведения полн</w:t>
      </w:r>
      <w:r w:rsidRPr="00AB4C34">
        <w:t>о</w:t>
      </w:r>
      <w:r w:rsidRPr="00AB4C34">
        <w:t xml:space="preserve">стью самостоятельной жизни. </w:t>
      </w:r>
    </w:p>
    <w:p w:rsidR="00FA567F" w:rsidRPr="00AB4C34" w:rsidRDefault="00FA567F" w:rsidP="004B4B9D">
      <w:pPr>
        <w:pStyle w:val="SingleTxtGR"/>
      </w:pPr>
      <w:r w:rsidRPr="00AB4C34">
        <w:t>74.</w:t>
      </w:r>
      <w:r w:rsidRPr="00AB4C34">
        <w:tab/>
        <w:t>Для сохранения и укрепления согласованности между тремя указанными правительствами была создана более официальная общая система, закрепле</w:t>
      </w:r>
      <w:r w:rsidRPr="00AB4C34">
        <w:t>н</w:t>
      </w:r>
      <w:r w:rsidRPr="00AB4C34">
        <w:t>ная путем подписания протокола о соглашении, основные положения которого представлены ниже. Они закрепляют общие ориентиры в области создания м</w:t>
      </w:r>
      <w:r w:rsidRPr="00AB4C34">
        <w:t>е</w:t>
      </w:r>
      <w:r w:rsidRPr="00AB4C34">
        <w:t>ханизмов поддержки в процессе приема, порядок которого будет определен, с одной стороны, правительством Валлонии, а с другой – Коллегией КФС.</w:t>
      </w:r>
    </w:p>
    <w:p w:rsidR="00FA567F" w:rsidRPr="00AB4C34" w:rsidRDefault="00FA567F" w:rsidP="004B4B9D">
      <w:pPr>
        <w:pStyle w:val="SingleTxtGR"/>
      </w:pPr>
      <w:r w:rsidRPr="00AB4C34">
        <w:t>75.</w:t>
      </w:r>
      <w:r w:rsidRPr="00AB4C34">
        <w:tab/>
        <w:t>Система приема, которая пока официально не узаконена, будет:</w:t>
      </w:r>
    </w:p>
    <w:p w:rsidR="00FA567F" w:rsidRPr="00AB4C34" w:rsidRDefault="00FA567F" w:rsidP="004B4B9D">
      <w:pPr>
        <w:pStyle w:val="Bullet1GR"/>
        <w:numPr>
          <w:ilvl w:val="0"/>
          <w:numId w:val="1"/>
        </w:numPr>
      </w:pPr>
      <w:r w:rsidRPr="00AB4C34">
        <w:t>разработана в интересах вновь прибывших мигрантов;</w:t>
      </w:r>
    </w:p>
    <w:p w:rsidR="00FA567F" w:rsidRPr="00AB4C34" w:rsidRDefault="00FA567F" w:rsidP="004B4B9D">
      <w:pPr>
        <w:pStyle w:val="Bullet1GR"/>
        <w:numPr>
          <w:ilvl w:val="0"/>
          <w:numId w:val="1"/>
        </w:numPr>
      </w:pPr>
      <w:r w:rsidRPr="00AB4C34">
        <w:t>сочетать в себе как минимум три элемента: преподавание французского языка как иностранного (ФЯИ) или обучение грамоте, преподавание гр</w:t>
      </w:r>
      <w:r w:rsidRPr="00AB4C34">
        <w:t>а</w:t>
      </w:r>
      <w:r w:rsidRPr="00AB4C34">
        <w:t>жданственн</w:t>
      </w:r>
      <w:r w:rsidRPr="00AB4C34">
        <w:t>о</w:t>
      </w:r>
      <w:r w:rsidRPr="00AB4C34">
        <w:t>сти и социально-профессиональную ориентацию;</w:t>
      </w:r>
    </w:p>
    <w:p w:rsidR="00FA567F" w:rsidRPr="00AB4C34" w:rsidRDefault="00FA567F" w:rsidP="004B4B9D">
      <w:pPr>
        <w:pStyle w:val="Bullet1GR"/>
        <w:numPr>
          <w:ilvl w:val="0"/>
          <w:numId w:val="1"/>
        </w:numPr>
      </w:pPr>
      <w:r w:rsidRPr="00AB4C34">
        <w:t>носить добровольный характер;</w:t>
      </w:r>
    </w:p>
    <w:p w:rsidR="00FA567F" w:rsidRPr="00AB4C34" w:rsidRDefault="00FA567F" w:rsidP="004B4B9D">
      <w:pPr>
        <w:pStyle w:val="Bullet1GR"/>
        <w:numPr>
          <w:ilvl w:val="0"/>
          <w:numId w:val="1"/>
        </w:numPr>
      </w:pPr>
      <w:r w:rsidRPr="00AB4C34">
        <w:t>предлагаться на местном уровне;</w:t>
      </w:r>
    </w:p>
    <w:p w:rsidR="00FA567F" w:rsidRPr="00AB4C34" w:rsidRDefault="00FA567F" w:rsidP="004B4B9D">
      <w:pPr>
        <w:pStyle w:val="Bullet1GR"/>
        <w:numPr>
          <w:ilvl w:val="0"/>
          <w:numId w:val="1"/>
        </w:numPr>
      </w:pPr>
      <w:r w:rsidRPr="00AB4C34">
        <w:t>опираться прежде всего на уже существующие инициативы и механизмы;</w:t>
      </w:r>
    </w:p>
    <w:p w:rsidR="00FA567F" w:rsidRPr="00AB4C34" w:rsidRDefault="00FA567F" w:rsidP="004B4B9D">
      <w:pPr>
        <w:pStyle w:val="Bullet1GR"/>
        <w:numPr>
          <w:ilvl w:val="0"/>
          <w:numId w:val="1"/>
        </w:numPr>
      </w:pPr>
      <w:r w:rsidRPr="00AB4C34">
        <w:t>организована совместными усилиями Валлонии, Комиссии Франкоязы</w:t>
      </w:r>
      <w:r w:rsidRPr="00AB4C34">
        <w:t>ч</w:t>
      </w:r>
      <w:r w:rsidRPr="00AB4C34">
        <w:t>ного с</w:t>
      </w:r>
      <w:r w:rsidRPr="00AB4C34">
        <w:t>о</w:t>
      </w:r>
      <w:r w:rsidRPr="00AB4C34">
        <w:t>общества и Федерации Валлония-Брюссель.</w:t>
      </w:r>
    </w:p>
    <w:p w:rsidR="00FA567F" w:rsidRPr="00AB4C34" w:rsidRDefault="00FA567F" w:rsidP="004B4B9D">
      <w:pPr>
        <w:pStyle w:val="H23GR"/>
      </w:pPr>
      <w:r>
        <w:tab/>
      </w:r>
      <w:r>
        <w:tab/>
      </w:r>
      <w:r w:rsidRPr="00AB4C34">
        <w:t>Целевые группы</w:t>
      </w:r>
    </w:p>
    <w:p w:rsidR="00FA567F" w:rsidRPr="00AB4C34" w:rsidRDefault="00FA567F" w:rsidP="004B4B9D">
      <w:pPr>
        <w:pStyle w:val="SingleTxtGR"/>
      </w:pPr>
      <w:r w:rsidRPr="00AB4C34">
        <w:t>76.</w:t>
      </w:r>
      <w:r w:rsidRPr="00AB4C34">
        <w:tab/>
        <w:t>Пользователями системы приема будут считаться иностранные граждане, недавно прибывшие в Бельгию, пребывание которых не является временным и которые не имеют постоянного вида на жител</w:t>
      </w:r>
      <w:r w:rsidRPr="00AB4C34">
        <w:t>ь</w:t>
      </w:r>
      <w:r w:rsidRPr="00AB4C34">
        <w:t>ство в течение более трех лет.</w:t>
      </w:r>
    </w:p>
    <w:p w:rsidR="00FA567F" w:rsidRPr="00AB4C34" w:rsidRDefault="00FA567F" w:rsidP="004B4B9D">
      <w:pPr>
        <w:pStyle w:val="SingleTxtGR"/>
      </w:pPr>
      <w:r w:rsidRPr="00AB4C34">
        <w:t>77.</w:t>
      </w:r>
      <w:r w:rsidRPr="00AB4C34">
        <w:tab/>
        <w:t>Системы приема ориентированы прежде всего на иностранных граждан, прибывших на основании трудового договора, в рамках воссоединения семьи или на обучение, просителей убежища, беженцев, несопровождаемых несове</w:t>
      </w:r>
      <w:r w:rsidRPr="00AB4C34">
        <w:t>р</w:t>
      </w:r>
      <w:r w:rsidRPr="00AB4C34">
        <w:t>шеннолетних и лиц, подавших ходатайство о выдаче им вида на жительство.</w:t>
      </w:r>
    </w:p>
    <w:p w:rsidR="00FA567F" w:rsidRPr="00AB4C34" w:rsidRDefault="00FA567F" w:rsidP="004B4B9D">
      <w:pPr>
        <w:pStyle w:val="H23GR"/>
      </w:pPr>
      <w:r>
        <w:tab/>
      </w:r>
      <w:r>
        <w:tab/>
      </w:r>
      <w:r w:rsidRPr="00AB4C34">
        <w:t>Формирование системы приема</w:t>
      </w:r>
    </w:p>
    <w:p w:rsidR="00FA567F" w:rsidRPr="00AB4C34" w:rsidRDefault="00FA567F" w:rsidP="004B4B9D">
      <w:pPr>
        <w:pStyle w:val="SingleTxtGR"/>
      </w:pPr>
      <w:r w:rsidRPr="00AB4C34">
        <w:t>78.</w:t>
      </w:r>
      <w:r w:rsidRPr="00AB4C34">
        <w:tab/>
        <w:t>Проведение политики в области приема способствует формированию систем по приему, которые должны включать в себя последовательный ко</w:t>
      </w:r>
      <w:r w:rsidRPr="00AB4C34">
        <w:t>м</w:t>
      </w:r>
      <w:r w:rsidRPr="00AB4C34">
        <w:t>плекс услуг, по меньшей мере следующие:</w:t>
      </w:r>
    </w:p>
    <w:p w:rsidR="00FA567F" w:rsidRPr="00AB4C34" w:rsidRDefault="00FA567F" w:rsidP="004B4B9D">
      <w:pPr>
        <w:pStyle w:val="Bullet1GR"/>
        <w:numPr>
          <w:ilvl w:val="0"/>
          <w:numId w:val="1"/>
        </w:numPr>
      </w:pPr>
      <w:r w:rsidRPr="00AB4C34">
        <w:t>индивидуальное социальное сопровождение, в частности в администр</w:t>
      </w:r>
      <w:r w:rsidRPr="00AB4C34">
        <w:t>а</w:t>
      </w:r>
      <w:r w:rsidRPr="00AB4C34">
        <w:t>тивной сфере и в общей орие</w:t>
      </w:r>
      <w:r w:rsidRPr="00AB4C34">
        <w:t>н</w:t>
      </w:r>
      <w:r w:rsidRPr="00AB4C34">
        <w:t>тации, а также содействие в расселении;</w:t>
      </w:r>
    </w:p>
    <w:p w:rsidR="00FA567F" w:rsidRPr="00AB4C34" w:rsidRDefault="00FA567F" w:rsidP="004B4B9D">
      <w:pPr>
        <w:pStyle w:val="Bullet1GR"/>
        <w:numPr>
          <w:ilvl w:val="0"/>
          <w:numId w:val="1"/>
        </w:numPr>
      </w:pPr>
      <w:r w:rsidRPr="00AB4C34">
        <w:t>проведение проверочного теста, дающего возможность определить ур</w:t>
      </w:r>
      <w:r w:rsidRPr="00AB4C34">
        <w:t>о</w:t>
      </w:r>
      <w:r w:rsidRPr="00AB4C34">
        <w:t>вень владения французским языком и базовых знаний, а также содействие в записи на обучение по курсу ФЯИ или курсу обучения гр</w:t>
      </w:r>
      <w:r w:rsidRPr="00AB4C34">
        <w:t>а</w:t>
      </w:r>
      <w:r w:rsidRPr="00AB4C34">
        <w:t>моте/ФЯИ;</w:t>
      </w:r>
    </w:p>
    <w:p w:rsidR="00FA567F" w:rsidRPr="00AB4C34" w:rsidRDefault="00FA567F" w:rsidP="004B4B9D">
      <w:pPr>
        <w:pStyle w:val="Bullet1GR"/>
        <w:numPr>
          <w:ilvl w:val="0"/>
          <w:numId w:val="1"/>
        </w:numPr>
      </w:pPr>
      <w:r w:rsidRPr="00AB4C34">
        <w:t>преподавание основ гражданственности и навыков практической жизни в Бельгии на основе межкул</w:t>
      </w:r>
      <w:r w:rsidRPr="00AB4C34">
        <w:t>ь</w:t>
      </w:r>
      <w:r w:rsidRPr="00AB4C34">
        <w:t>турного подхода;</w:t>
      </w:r>
    </w:p>
    <w:p w:rsidR="00FA567F" w:rsidRPr="00AB4C34" w:rsidRDefault="00FA567F" w:rsidP="004B4B9D">
      <w:pPr>
        <w:pStyle w:val="Bullet1GR"/>
        <w:numPr>
          <w:ilvl w:val="0"/>
          <w:numId w:val="1"/>
        </w:numPr>
      </w:pPr>
      <w:r w:rsidRPr="00AB4C34">
        <w:t>составление заключения о профессиональном уровне и ориентация на один или несколько механизмов интеграции, которые в наибольше</w:t>
      </w:r>
      <w:r w:rsidR="00D21E45">
        <w:t>й</w:t>
      </w:r>
      <w:r w:rsidRPr="00AB4C34">
        <w:t xml:space="preserve"> ст</w:t>
      </w:r>
      <w:r w:rsidRPr="00AB4C34">
        <w:t>е</w:t>
      </w:r>
      <w:r w:rsidRPr="00AB4C34">
        <w:t>пени соответств</w:t>
      </w:r>
      <w:r w:rsidRPr="00AB4C34">
        <w:t>у</w:t>
      </w:r>
      <w:r w:rsidRPr="00AB4C34">
        <w:t xml:space="preserve">ют профилю данного лица; </w:t>
      </w:r>
    </w:p>
    <w:p w:rsidR="00FA567F" w:rsidRPr="00AB4C34" w:rsidRDefault="00FA567F" w:rsidP="004B4B9D">
      <w:pPr>
        <w:pStyle w:val="Bullet1GR"/>
        <w:numPr>
          <w:ilvl w:val="0"/>
          <w:numId w:val="1"/>
        </w:numPr>
      </w:pPr>
      <w:r w:rsidRPr="00AB4C34">
        <w:t>предоставление адаптированной информации о школьном образовании детей, обязанностях родителей и их участии в качестве партнеров в уче</w:t>
      </w:r>
      <w:r w:rsidRPr="00AB4C34">
        <w:t>б</w:t>
      </w:r>
      <w:r w:rsidRPr="00AB4C34">
        <w:t>ном процессе, местных инициативах в интересах интеграции детей вновь прибывших лиц в школьной среде и во внешкольных мероприятиях;</w:t>
      </w:r>
    </w:p>
    <w:p w:rsidR="00FA567F" w:rsidRPr="00AB4C34" w:rsidRDefault="00FA567F" w:rsidP="004B4B9D">
      <w:pPr>
        <w:pStyle w:val="Bullet1GR"/>
        <w:numPr>
          <w:ilvl w:val="0"/>
          <w:numId w:val="1"/>
        </w:numPr>
      </w:pPr>
      <w:r w:rsidRPr="00AB4C34">
        <w:t>ознакомление с местной общественной и культурной жизнью.</w:t>
      </w:r>
    </w:p>
    <w:p w:rsidR="00FA567F" w:rsidRPr="00AB4C34" w:rsidRDefault="00FA567F" w:rsidP="004B4B9D">
      <w:pPr>
        <w:pStyle w:val="H23GR"/>
      </w:pPr>
      <w:r>
        <w:tab/>
      </w:r>
      <w:r>
        <w:tab/>
      </w:r>
      <w:r w:rsidRPr="00AB4C34">
        <w:t xml:space="preserve">Субъекты, занимающиеся проведением </w:t>
      </w:r>
      <w:r>
        <w:t>политики по приему в Валлонии и </w:t>
      </w:r>
      <w:r w:rsidRPr="00AB4C34">
        <w:t>Брюсселе</w:t>
      </w:r>
    </w:p>
    <w:p w:rsidR="00FA567F" w:rsidRPr="00AB4C34" w:rsidRDefault="00FA567F" w:rsidP="004B4B9D">
      <w:pPr>
        <w:pStyle w:val="SingleTxtGR"/>
      </w:pPr>
      <w:r w:rsidRPr="00AB4C34">
        <w:t>79.</w:t>
      </w:r>
      <w:r w:rsidRPr="00AB4C34">
        <w:tab/>
        <w:t>К числу различных субъектов, занимающихся проведением политики в области приема, относя</w:t>
      </w:r>
      <w:r w:rsidRPr="00AB4C34">
        <w:t>т</w:t>
      </w:r>
      <w:r w:rsidRPr="00AB4C34">
        <w:t>ся:</w:t>
      </w:r>
    </w:p>
    <w:p w:rsidR="00FA567F" w:rsidRPr="00AB4C34" w:rsidRDefault="00FA567F" w:rsidP="004B4B9D">
      <w:pPr>
        <w:pStyle w:val="Bullet1GR"/>
        <w:numPr>
          <w:ilvl w:val="0"/>
          <w:numId w:val="1"/>
        </w:numPr>
      </w:pPr>
      <w:r w:rsidRPr="00AB4C34">
        <w:t>региональные центры интеграции (только в Валлонии);</w:t>
      </w:r>
    </w:p>
    <w:p w:rsidR="00FA567F" w:rsidRPr="00AB4C34" w:rsidRDefault="00FA567F" w:rsidP="004B4B9D">
      <w:pPr>
        <w:pStyle w:val="Bullet1GR"/>
        <w:numPr>
          <w:ilvl w:val="0"/>
          <w:numId w:val="1"/>
        </w:numPr>
      </w:pPr>
      <w:r w:rsidRPr="00AB4C34">
        <w:t>коммуны и ГЦСМ;</w:t>
      </w:r>
    </w:p>
    <w:p w:rsidR="00FA567F" w:rsidRPr="00AB4C34" w:rsidRDefault="00FA567F" w:rsidP="004B4B9D">
      <w:pPr>
        <w:pStyle w:val="Bullet1GR"/>
        <w:numPr>
          <w:ilvl w:val="0"/>
          <w:numId w:val="1"/>
        </w:numPr>
      </w:pPr>
      <w:r w:rsidRPr="00AB4C34">
        <w:t>службы, получившие развитие в государственном или ассоциативном секторах и относящиеся к сферам образования (органы по вопросам с</w:t>
      </w:r>
      <w:r w:rsidRPr="00AB4C34">
        <w:t>о</w:t>
      </w:r>
      <w:r w:rsidRPr="00AB4C34">
        <w:t>циально-профессиональной интеграции, система социальной и профе</w:t>
      </w:r>
      <w:r w:rsidRPr="00AB4C34">
        <w:t>с</w:t>
      </w:r>
      <w:r w:rsidRPr="00AB4C34">
        <w:t>сиональной инт</w:t>
      </w:r>
      <w:r w:rsidRPr="00AB4C34">
        <w:t>е</w:t>
      </w:r>
      <w:r w:rsidRPr="00AB4C34">
        <w:t>грации, предприятия по профессиональному обучению, школы социального роста), оказания психомедикосоциальной помощи (социальные службы, центры здравоохранения), участия в культурной и социальной жизни (в частности, непрерывное образование), оказания п</w:t>
      </w:r>
      <w:r w:rsidRPr="00AB4C34">
        <w:t>о</w:t>
      </w:r>
      <w:r w:rsidRPr="00AB4C34">
        <w:t>мощи молодежи в социальной, культу</w:t>
      </w:r>
      <w:r w:rsidRPr="00AB4C34">
        <w:t>р</w:t>
      </w:r>
      <w:r w:rsidRPr="00AB4C34">
        <w:t>ной, образовательной и школьной областях (в частности, помощь отстающим в школе) и преподавания, н</w:t>
      </w:r>
      <w:r w:rsidRPr="00AB4C34">
        <w:t>а</w:t>
      </w:r>
      <w:r w:rsidRPr="00AB4C34">
        <w:t>пример в подготовительных классах.</w:t>
      </w:r>
    </w:p>
    <w:p w:rsidR="00FA567F" w:rsidRPr="00AB4C34" w:rsidRDefault="00FA567F" w:rsidP="004B4B9D">
      <w:pPr>
        <w:pStyle w:val="SingleTxtGR"/>
      </w:pPr>
      <w:r w:rsidRPr="00AB4C34">
        <w:t>80.</w:t>
      </w:r>
      <w:r w:rsidRPr="00AB4C34">
        <w:tab/>
        <w:t>Справочная записка с указанием более конкретных аспектов механизма приема вновь прибывших лиц в Валлонии приводится в приложении (прилож</w:t>
      </w:r>
      <w:r w:rsidRPr="00AB4C34">
        <w:t>е</w:t>
      </w:r>
      <w:r w:rsidRPr="00AB4C34">
        <w:t>ние V, стр. 42</w:t>
      </w:r>
      <w:r>
        <w:t>−</w:t>
      </w:r>
      <w:r w:rsidRPr="00AB4C34">
        <w:t>50).</w:t>
      </w:r>
    </w:p>
    <w:p w:rsidR="00FA567F" w:rsidRPr="00AB4C34" w:rsidRDefault="00FA567F" w:rsidP="0053053C">
      <w:pPr>
        <w:pStyle w:val="H4GR"/>
        <w:spacing w:before="240"/>
      </w:pPr>
      <w:r w:rsidRPr="00AB4C34">
        <w:tab/>
        <w:t>c)</w:t>
      </w:r>
      <w:r w:rsidRPr="00AB4C34">
        <w:tab/>
        <w:t>Интеграционная политика Комис</w:t>
      </w:r>
      <w:r w:rsidR="00D21E45">
        <w:t>сии франкоязычного сообщества в</w:t>
      </w:r>
      <w:r w:rsidR="00D21E45">
        <w:br/>
      </w:r>
      <w:r w:rsidR="00D21E45">
        <w:tab/>
      </w:r>
      <w:r w:rsidR="00D21E45">
        <w:tab/>
      </w:r>
      <w:r w:rsidRPr="00AB4C34">
        <w:t xml:space="preserve">Брюссельском столичном регионе </w:t>
      </w:r>
    </w:p>
    <w:p w:rsidR="00FA567F" w:rsidRPr="00AB4C34" w:rsidRDefault="00FA567F" w:rsidP="004B4B9D">
      <w:pPr>
        <w:pStyle w:val="SingleTxtGR"/>
      </w:pPr>
      <w:r w:rsidRPr="00AB4C34">
        <w:t>81.</w:t>
      </w:r>
      <w:r w:rsidRPr="00AB4C34">
        <w:tab/>
        <w:t>13 мая 2004 года Комиссия франкоязычного сообщества в Брюссельском столичном регионе издала указ о механизме социального единения</w:t>
      </w:r>
      <w:r w:rsidRPr="002E565C">
        <w:rPr>
          <w:rStyle w:val="FootnoteReference"/>
        </w:rPr>
        <w:footnoteReference w:id="15"/>
      </w:r>
      <w:r w:rsidRPr="00AB4C34">
        <w:t>. Цель эт</w:t>
      </w:r>
      <w:r w:rsidRPr="00AB4C34">
        <w:t>о</w:t>
      </w:r>
      <w:r w:rsidRPr="00AB4C34">
        <w:t>го механизма – проводить в жизнь мероприятия в интересах сосуществования по инициативе Комиссии франкоязычного сообщества в партнерстве с комм</w:t>
      </w:r>
      <w:r w:rsidRPr="00AB4C34">
        <w:t>у</w:t>
      </w:r>
      <w:r w:rsidRPr="00AB4C34">
        <w:t>нами и более чем 270 местными ассоциациями, действующими в неблагополучных районах Брюсселя. Эти районы были официально зарегистрированы в 13 ко</w:t>
      </w:r>
      <w:r w:rsidRPr="00AB4C34">
        <w:t>м</w:t>
      </w:r>
      <w:r w:rsidRPr="00AB4C34">
        <w:t>мунах, отобранных исходя из наличия социальных трудностей, с которыми сталкивается население, и приоритетных сфер деятельности, пред</w:t>
      </w:r>
      <w:r w:rsidRPr="00AB4C34">
        <w:t>у</w:t>
      </w:r>
      <w:r w:rsidRPr="00AB4C34">
        <w:t>смотренных в Региональном плане развития.</w:t>
      </w:r>
    </w:p>
    <w:p w:rsidR="00FA567F" w:rsidRPr="00AB4C34" w:rsidRDefault="00FA567F" w:rsidP="004B4B9D">
      <w:pPr>
        <w:pStyle w:val="SingleTxtGR"/>
      </w:pPr>
      <w:r w:rsidRPr="00AB4C34">
        <w:t>82.</w:t>
      </w:r>
      <w:r w:rsidRPr="00AB4C34">
        <w:tab/>
        <w:t>Наряду с 13 коммунальными контрактами этот указ дает возможность финансировать проекты на уровне региона, имеющие региональный или м</w:t>
      </w:r>
      <w:r w:rsidRPr="00AB4C34">
        <w:t>е</w:t>
      </w:r>
      <w:r w:rsidRPr="00AB4C34">
        <w:t>жобщинный охват, а также проекты, которые не включ</w:t>
      </w:r>
      <w:r w:rsidRPr="00AB4C34">
        <w:t>е</w:t>
      </w:r>
      <w:r w:rsidRPr="00AB4C34">
        <w:t>ны в коммунальный контракт.</w:t>
      </w:r>
    </w:p>
    <w:p w:rsidR="00FA567F" w:rsidRPr="00AB4C34" w:rsidRDefault="008E3120" w:rsidP="004B4B9D">
      <w:pPr>
        <w:pStyle w:val="SingleTxtGR"/>
      </w:pPr>
      <w:r>
        <w:t>83.</w:t>
      </w:r>
      <w:r>
        <w:tab/>
      </w:r>
      <w:r w:rsidR="00FA567F" w:rsidRPr="00AB4C34">
        <w:t>В процессе определения приоритетов для Брюсселя на второй пятиле</w:t>
      </w:r>
      <w:r w:rsidR="00FA567F" w:rsidRPr="00AB4C34">
        <w:t>т</w:t>
      </w:r>
      <w:r w:rsidR="00FA567F" w:rsidRPr="00AB4C34">
        <w:t>ний срок периода 2011</w:t>
      </w:r>
      <w:r w:rsidR="00FA567F">
        <w:t>−</w:t>
      </w:r>
      <w:r w:rsidR="00FA567F" w:rsidRPr="00AB4C34">
        <w:t>2015 годов Коллегия франкоязычного сообщества оп</w:t>
      </w:r>
      <w:r w:rsidR="00FA567F" w:rsidRPr="00AB4C34">
        <w:t>и</w:t>
      </w:r>
      <w:r w:rsidR="00FA567F" w:rsidRPr="00AB4C34">
        <w:t>ралась на оценки, подготовленные Региональным центром содействия социал</w:t>
      </w:r>
      <w:r w:rsidR="00FA567F" w:rsidRPr="00AB4C34">
        <w:t>ь</w:t>
      </w:r>
      <w:r w:rsidR="00FA567F" w:rsidRPr="00AB4C34">
        <w:t>ному единению (РЦССЕ) на основе статистических данных, собранных Инст</w:t>
      </w:r>
      <w:r w:rsidR="00FA567F" w:rsidRPr="00AB4C34">
        <w:t>и</w:t>
      </w:r>
      <w:r w:rsidR="00FA567F" w:rsidRPr="00AB4C34">
        <w:t>тутом по вопросам рационального использования окружающей среды и обус</w:t>
      </w:r>
      <w:r w:rsidR="00FA567F" w:rsidRPr="00AB4C34">
        <w:t>т</w:t>
      </w:r>
      <w:r w:rsidR="00FA567F" w:rsidRPr="00AB4C34">
        <w:t>ройства территории (ИОСТ) и Центром здравоохранения и социального обе</w:t>
      </w:r>
      <w:r w:rsidR="00FA567F" w:rsidRPr="00AB4C34">
        <w:t>с</w:t>
      </w:r>
      <w:r w:rsidR="00FA567F" w:rsidRPr="00AB4C34">
        <w:t>печения (ЦЗСО) и касающихся проблем и потребностей, которые наблюдаются в районах Брюсселя. В рамках пятилетних контрактов на 2011</w:t>
      </w:r>
      <w:r w:rsidR="00FA567F">
        <w:t>−</w:t>
      </w:r>
      <w:r w:rsidR="00FA567F" w:rsidRPr="00AB4C34">
        <w:t>2015 годы нам</w:t>
      </w:r>
      <w:r w:rsidR="00FA567F" w:rsidRPr="00AB4C34">
        <w:t>е</w:t>
      </w:r>
      <w:r w:rsidR="00FA567F" w:rsidRPr="00AB4C34">
        <w:t>чено три следующих тематических приоритета:</w:t>
      </w:r>
    </w:p>
    <w:p w:rsidR="00FA567F" w:rsidRPr="00AB4C34" w:rsidRDefault="00FA567F" w:rsidP="004B4B9D">
      <w:pPr>
        <w:pStyle w:val="Bullet1GR"/>
        <w:numPr>
          <w:ilvl w:val="0"/>
          <w:numId w:val="1"/>
        </w:numPr>
      </w:pPr>
      <w:r w:rsidRPr="00AB4C34">
        <w:t>поддержка и сопровождение в сфере школьного образования;</w:t>
      </w:r>
    </w:p>
    <w:p w:rsidR="00FA567F" w:rsidRPr="00AB4C34" w:rsidRDefault="00FA567F" w:rsidP="004B4B9D">
      <w:pPr>
        <w:pStyle w:val="Bullet1GR"/>
        <w:numPr>
          <w:ilvl w:val="0"/>
          <w:numId w:val="1"/>
        </w:numPr>
      </w:pPr>
      <w:r w:rsidRPr="00AB4C34">
        <w:t>обучение грамоте и преподавание французского языка для взрослых, имеющих незначительный объем школьных знаний или не имеющих т</w:t>
      </w:r>
      <w:r w:rsidRPr="00AB4C34">
        <w:t>а</w:t>
      </w:r>
      <w:r w:rsidRPr="00AB4C34">
        <w:t>ких знаний;</w:t>
      </w:r>
    </w:p>
    <w:p w:rsidR="00FA567F" w:rsidRPr="00AB4C34" w:rsidRDefault="00FA567F" w:rsidP="004B4B9D">
      <w:pPr>
        <w:pStyle w:val="Bullet1GR"/>
        <w:numPr>
          <w:ilvl w:val="0"/>
          <w:numId w:val="1"/>
        </w:numPr>
      </w:pPr>
      <w:r w:rsidRPr="00AB4C34">
        <w:t>прием и сопровождение вновь прибывших лиц.</w:t>
      </w:r>
    </w:p>
    <w:p w:rsidR="00FA567F" w:rsidRPr="00AB4C34" w:rsidRDefault="00FA567F" w:rsidP="004B4B9D">
      <w:pPr>
        <w:pStyle w:val="SingleTxtGR"/>
      </w:pPr>
      <w:r w:rsidRPr="00AB4C34">
        <w:t>84.</w:t>
      </w:r>
      <w:r w:rsidRPr="00AB4C34">
        <w:tab/>
        <w:t>Наряду с упомянутым специальным законодательством Комиссия фра</w:t>
      </w:r>
      <w:r w:rsidRPr="00AB4C34">
        <w:t>н</w:t>
      </w:r>
      <w:r w:rsidRPr="00AB4C34">
        <w:t>коязычного сообщества предусматривает в комплексе своих законодательных актов об оказании помощи лицам или о здравоохранении запрещение любой дискриминации на основе этнического происхождения или других форм ди</w:t>
      </w:r>
      <w:r w:rsidRPr="00AB4C34">
        <w:t>с</w:t>
      </w:r>
      <w:r w:rsidRPr="00AB4C34">
        <w:t xml:space="preserve">криминации. </w:t>
      </w:r>
    </w:p>
    <w:p w:rsidR="00FA567F" w:rsidRPr="00AB4C34" w:rsidRDefault="00FA567F" w:rsidP="008E3120">
      <w:pPr>
        <w:pStyle w:val="H4GR"/>
        <w:spacing w:before="240"/>
      </w:pPr>
      <w:r w:rsidRPr="00AB4C34">
        <w:tab/>
        <w:t>d)</w:t>
      </w:r>
      <w:r w:rsidRPr="00AB4C34">
        <w:tab/>
        <w:t>Интеграционная политика Фландрии</w:t>
      </w:r>
      <w:r w:rsidRPr="003B03D0">
        <w:rPr>
          <w:rStyle w:val="FootnoteReference"/>
          <w:i w:val="0"/>
        </w:rPr>
        <w:footnoteReference w:id="16"/>
      </w:r>
    </w:p>
    <w:p w:rsidR="00FA567F" w:rsidRPr="00AB4C34" w:rsidRDefault="00FA567F" w:rsidP="004B4B9D">
      <w:pPr>
        <w:pStyle w:val="H56GR"/>
      </w:pPr>
      <w:r w:rsidRPr="00AB4C34">
        <w:tab/>
        <w:t>i)</w:t>
      </w:r>
      <w:r w:rsidRPr="00AB4C34">
        <w:tab/>
        <w:t xml:space="preserve">Интеграционная политика </w:t>
      </w:r>
    </w:p>
    <w:p w:rsidR="00FA567F" w:rsidRPr="00AB4C34" w:rsidRDefault="00FA567F" w:rsidP="004B4B9D">
      <w:pPr>
        <w:pStyle w:val="SingleTxtGR"/>
      </w:pPr>
      <w:r w:rsidRPr="00AB4C34">
        <w:t>85.</w:t>
      </w:r>
      <w:r w:rsidRPr="00AB4C34">
        <w:tab/>
        <w:t>Интеграционная политика Фландрии определяется Указом от 28 апреля 1998 года с изменениями, внесенными Указом от 30 апреля 2009 года. В этом указе предусмотрено создание политической комиссии по интеграции, призва</w:t>
      </w:r>
      <w:r w:rsidRPr="00AB4C34">
        <w:t>н</w:t>
      </w:r>
      <w:r w:rsidRPr="00AB4C34">
        <w:t>ной следить за проведением всеобъемлющей и комплексной интеграционной политики благодаря разработке стратегического плана, позволяющего прогн</w:t>
      </w:r>
      <w:r w:rsidRPr="00AB4C34">
        <w:t>о</w:t>
      </w:r>
      <w:r w:rsidRPr="00AB4C34">
        <w:t>зировать появление новых вызовов и реалий, связанных с проведением этой п</w:t>
      </w:r>
      <w:r w:rsidRPr="00AB4C34">
        <w:t>о</w:t>
      </w:r>
      <w:r w:rsidRPr="00AB4C34">
        <w:t>литики.</w:t>
      </w:r>
    </w:p>
    <w:p w:rsidR="00FA567F" w:rsidRPr="00AB4C34" w:rsidRDefault="00FA567F" w:rsidP="004B4B9D">
      <w:pPr>
        <w:pStyle w:val="SingleTxtGR"/>
      </w:pPr>
      <w:r w:rsidRPr="00AB4C34">
        <w:t>86.</w:t>
      </w:r>
      <w:r w:rsidRPr="00AB4C34">
        <w:tab/>
        <w:t>Интеграционная политика Фландрии ориентирована на все общество в целом. Каждый человек, независимо от его происхождения и статуса, должен участвовать в жизни общества, в котором представители разных социальных групп призваны жить сообща и помогать друг другу. Особую важность прио</w:t>
      </w:r>
      <w:r w:rsidRPr="00AB4C34">
        <w:t>б</w:t>
      </w:r>
      <w:r w:rsidRPr="00AB4C34">
        <w:t xml:space="preserve">ретает </w:t>
      </w:r>
      <w:r>
        <w:t>"</w:t>
      </w:r>
      <w:r w:rsidRPr="00AB4C34">
        <w:t>активная и разделяемая каждым гражданская позиция</w:t>
      </w:r>
      <w:r>
        <w:t>"</w:t>
      </w:r>
      <w:r w:rsidRPr="00AB4C34">
        <w:t>. В этой связи повышенное внимание уделяется двум категориям лиц: лицам, длительное вр</w:t>
      </w:r>
      <w:r w:rsidRPr="00AB4C34">
        <w:t>е</w:t>
      </w:r>
      <w:r w:rsidRPr="00AB4C34">
        <w:t>мя проживающим в Бельгии на законных основаниях, которые не приобрели бельгийское гражданство по рождению и у которых хотя бы один из род</w:t>
      </w:r>
      <w:r w:rsidRPr="00AB4C34">
        <w:t>и</w:t>
      </w:r>
      <w:r w:rsidRPr="00AB4C34">
        <w:t>телей не является бельгийцем по рождению, в частности тем, которые явно находятся в неблагоприятном положении, и лицам, которые находятся в Бельгии на зако</w:t>
      </w:r>
      <w:r w:rsidRPr="00AB4C34">
        <w:t>н</w:t>
      </w:r>
      <w:r w:rsidRPr="00AB4C34">
        <w:t>ных основаниях и проживают или пр</w:t>
      </w:r>
      <w:r w:rsidRPr="00AB4C34">
        <w:t>о</w:t>
      </w:r>
      <w:r w:rsidRPr="00AB4C34">
        <w:t xml:space="preserve">живали в автокараванах, за исключением постояльцев кемпингов или зон отдыха в выходные дни. </w:t>
      </w:r>
    </w:p>
    <w:p w:rsidR="00FA567F" w:rsidRPr="00AB4C34" w:rsidRDefault="00FA567F" w:rsidP="004B4B9D">
      <w:pPr>
        <w:pStyle w:val="SingleTxtGR"/>
      </w:pPr>
      <w:r w:rsidRPr="00AB4C34">
        <w:t>87.</w:t>
      </w:r>
      <w:r w:rsidRPr="00AB4C34">
        <w:tab/>
        <w:t>Интеграционная политика Фландрии осуществляется по трем направл</w:t>
      </w:r>
      <w:r w:rsidRPr="00AB4C34">
        <w:t>е</w:t>
      </w:r>
      <w:r w:rsidRPr="00AB4C34">
        <w:t>ниям: она охватывает пропорциональное участие, доступность и сосуществов</w:t>
      </w:r>
      <w:r w:rsidRPr="00AB4C34">
        <w:t>а</w:t>
      </w:r>
      <w:r w:rsidRPr="00AB4C34">
        <w:t>ние в условиях разнообразия.</w:t>
      </w:r>
    </w:p>
    <w:p w:rsidR="00FA567F" w:rsidRPr="00AB4C34" w:rsidRDefault="00FA567F" w:rsidP="004B4B9D">
      <w:pPr>
        <w:pStyle w:val="Bullet1GR"/>
        <w:numPr>
          <w:ilvl w:val="0"/>
          <w:numId w:val="1"/>
        </w:numPr>
      </w:pPr>
      <w:r w:rsidRPr="00AB4C34">
        <w:t>Пропорциональное участие должно достигаться путем укрепления пол</w:t>
      </w:r>
      <w:r w:rsidRPr="00AB4C34">
        <w:t>о</w:t>
      </w:r>
      <w:r w:rsidRPr="00AB4C34">
        <w:t>жения конкретных категорий лиц, которые определены в указе об инт</w:t>
      </w:r>
      <w:r w:rsidRPr="00AB4C34">
        <w:t>е</w:t>
      </w:r>
      <w:r w:rsidRPr="00AB4C34">
        <w:t>грации. Эта п</w:t>
      </w:r>
      <w:r w:rsidRPr="00AB4C34">
        <w:t>о</w:t>
      </w:r>
      <w:r w:rsidRPr="00AB4C34">
        <w:t>литика повышения уровня свободы предполагает не только взаимодействие с соответствующими лицами, но и реальное несение этими лицами своих обязанностей, их участие в развитии общества и в</w:t>
      </w:r>
      <w:r w:rsidRPr="00AB4C34">
        <w:t>ы</w:t>
      </w:r>
      <w:r w:rsidRPr="00AB4C34">
        <w:t>яснение их мнений по этому в</w:t>
      </w:r>
      <w:r w:rsidRPr="00AB4C34">
        <w:t>о</w:t>
      </w:r>
      <w:r w:rsidRPr="00AB4C34">
        <w:t xml:space="preserve">просу. </w:t>
      </w:r>
    </w:p>
    <w:p w:rsidR="00FA567F" w:rsidRPr="00AB4C34" w:rsidRDefault="00FA567F" w:rsidP="004B4B9D">
      <w:pPr>
        <w:pStyle w:val="Bullet1GR"/>
        <w:numPr>
          <w:ilvl w:val="0"/>
          <w:numId w:val="1"/>
        </w:numPr>
      </w:pPr>
      <w:r w:rsidRPr="00AB4C34">
        <w:t>Доступность касается предоставления какой-либо надлежащей услуги или помощи с использованием постоянных объектов инфраструктуры и организаций. Внимание, уделяемое определенным категориям лиц, кот</w:t>
      </w:r>
      <w:r w:rsidRPr="00AB4C34">
        <w:t>о</w:t>
      </w:r>
      <w:r w:rsidRPr="00AB4C34">
        <w:t>рые упомянуты в указе об интеграции, является элементом более шир</w:t>
      </w:r>
      <w:r w:rsidRPr="00AB4C34">
        <w:t>о</w:t>
      </w:r>
      <w:r w:rsidRPr="00AB4C34">
        <w:t>кой интеграционной политики и предоставления всем гражданам качес</w:t>
      </w:r>
      <w:r w:rsidRPr="00AB4C34">
        <w:t>т</w:t>
      </w:r>
      <w:r w:rsidRPr="00AB4C34">
        <w:t>венных услуг.</w:t>
      </w:r>
    </w:p>
    <w:p w:rsidR="00FA567F" w:rsidRPr="00AB4C34" w:rsidRDefault="00FA567F" w:rsidP="004B4B9D">
      <w:pPr>
        <w:pStyle w:val="Bullet1GR"/>
        <w:numPr>
          <w:ilvl w:val="0"/>
          <w:numId w:val="1"/>
        </w:numPr>
      </w:pPr>
      <w:r w:rsidRPr="00AB4C34">
        <w:t>Будучи направлена на обеспечение сосуществования в условиях разноо</w:t>
      </w:r>
      <w:r w:rsidRPr="00AB4C34">
        <w:t>б</w:t>
      </w:r>
      <w:r w:rsidRPr="00AB4C34">
        <w:t>разия, интеграционная политика предполагает повышение уровня откр</w:t>
      </w:r>
      <w:r w:rsidRPr="00AB4C34">
        <w:t>ы</w:t>
      </w:r>
      <w:r w:rsidRPr="00AB4C34">
        <w:t>тости и взаимоуважения между индивидуумами и контактов среди лиц различного происхождения. Она адресована всему обществу и имеет ц</w:t>
      </w:r>
      <w:r w:rsidRPr="00AB4C34">
        <w:t>е</w:t>
      </w:r>
      <w:r w:rsidRPr="00AB4C34">
        <w:t>лью упрочение фунд</w:t>
      </w:r>
      <w:r w:rsidRPr="00AB4C34">
        <w:t>а</w:t>
      </w:r>
      <w:r w:rsidRPr="00AB4C34">
        <w:t xml:space="preserve">мента разнообразия в обществе. </w:t>
      </w:r>
      <w:r>
        <w:t>"</w:t>
      </w:r>
      <w:r w:rsidRPr="00AB4C34">
        <w:t>Сосуществование в условиях разнообразия</w:t>
      </w:r>
      <w:r>
        <w:t>"</w:t>
      </w:r>
      <w:r w:rsidRPr="00AB4C34">
        <w:t xml:space="preserve"> </w:t>
      </w:r>
      <w:r>
        <w:t>−</w:t>
      </w:r>
      <w:r w:rsidRPr="00AB4C34">
        <w:t xml:space="preserve"> это зона ответственности всех граждан, кот</w:t>
      </w:r>
      <w:r w:rsidRPr="00AB4C34">
        <w:t>о</w:t>
      </w:r>
      <w:r w:rsidRPr="00AB4C34">
        <w:t xml:space="preserve">рую нужно нести и выполнять при содействии с их стороны. </w:t>
      </w:r>
    </w:p>
    <w:p w:rsidR="00FA567F" w:rsidRPr="00AB4C34" w:rsidRDefault="00FA567F" w:rsidP="004B4B9D">
      <w:pPr>
        <w:pStyle w:val="SingleTxtGR"/>
      </w:pPr>
      <w:r w:rsidRPr="00AB4C34">
        <w:t>88.</w:t>
      </w:r>
      <w:r w:rsidRPr="00AB4C34">
        <w:tab/>
        <w:t>Три указанных направления интеграционной политики предполагают стремление к активизации равного обращения и борьбы против дискриминации на основе рождения, верований или философских убеждений, языка, гражда</w:t>
      </w:r>
      <w:r w:rsidRPr="00AB4C34">
        <w:t>н</w:t>
      </w:r>
      <w:r w:rsidRPr="00AB4C34">
        <w:t>ства, расовой принадлежности, цвета кожи, национального или этнического происхождения. С этой целью необходимо принять меры по случаям проявл</w:t>
      </w:r>
      <w:r w:rsidRPr="00AB4C34">
        <w:t>е</w:t>
      </w:r>
      <w:r w:rsidRPr="00AB4C34">
        <w:t>ния неравного обращения и дискриминации и обеспечить пострадавшим от них лицам возможность восстановить свои права.</w:t>
      </w:r>
    </w:p>
    <w:p w:rsidR="00FA567F" w:rsidRPr="00AB4C34" w:rsidRDefault="00FA567F" w:rsidP="004B4B9D">
      <w:pPr>
        <w:pStyle w:val="SingleTxtGR"/>
      </w:pPr>
      <w:r w:rsidRPr="00AB4C34">
        <w:t>89.</w:t>
      </w:r>
      <w:r w:rsidRPr="00AB4C34">
        <w:tab/>
        <w:t>На проведение интеграционной политики правительство Фландрии выд</w:t>
      </w:r>
      <w:r w:rsidRPr="00AB4C34">
        <w:t>е</w:t>
      </w:r>
      <w:r w:rsidRPr="00AB4C34">
        <w:t>ляет 19 млн. евро.</w:t>
      </w:r>
    </w:p>
    <w:p w:rsidR="00FA567F" w:rsidRPr="00AB4C34" w:rsidRDefault="00FA567F" w:rsidP="004B4B9D">
      <w:pPr>
        <w:pStyle w:val="SingleTxtGR"/>
      </w:pPr>
      <w:r w:rsidRPr="00AB4C34">
        <w:t>90.</w:t>
      </w:r>
      <w:r w:rsidRPr="00AB4C34">
        <w:tab/>
        <w:t>С другой стороны, важные функции возложены на органы местного с</w:t>
      </w:r>
      <w:r w:rsidRPr="00AB4C34">
        <w:t>а</w:t>
      </w:r>
      <w:r w:rsidRPr="00AB4C34">
        <w:t>моуправления. Власти гор</w:t>
      </w:r>
      <w:r w:rsidRPr="00AB4C34">
        <w:t>о</w:t>
      </w:r>
      <w:r w:rsidRPr="00AB4C34">
        <w:t>дов и коммун, желающие получить субсидию на обеспечение интеграции, должны выработать местную интеграционную пол</w:t>
      </w:r>
      <w:r w:rsidRPr="00AB4C34">
        <w:t>и</w:t>
      </w:r>
      <w:r w:rsidRPr="00AB4C34">
        <w:t>тику, включающую три направления.</w:t>
      </w:r>
    </w:p>
    <w:p w:rsidR="00FA567F" w:rsidRPr="00AB4C34" w:rsidRDefault="00FA567F" w:rsidP="004B4B9D">
      <w:pPr>
        <w:pStyle w:val="H56GR"/>
      </w:pPr>
      <w:r w:rsidRPr="00AB4C34">
        <w:tab/>
      </w:r>
      <w:r w:rsidRPr="00AB4C34">
        <w:tab/>
        <w:t>Прием лиц, незаконно находящихся в стране</w:t>
      </w:r>
    </w:p>
    <w:p w:rsidR="00FA567F" w:rsidRPr="00AB4C34" w:rsidRDefault="00FA567F" w:rsidP="004B4B9D">
      <w:pPr>
        <w:pStyle w:val="SingleTxtGR"/>
      </w:pPr>
      <w:r w:rsidRPr="00AB4C34">
        <w:t>91.</w:t>
      </w:r>
      <w:r w:rsidRPr="00AB4C34">
        <w:tab/>
        <w:t>Указ об интеграционной политике Фландрии касается также иностранцев, незаконно находящихся стране, которые обращаются с просьбой о помощи или о приеме ввиду своего шаткого положения. Этот раздел указа предусматривает сопровождение по гуманным соображениям, предоставляемое прежде всего в сферах медицинского обслуживания и образования и сосредоточенное на ра</w:t>
      </w:r>
      <w:r w:rsidRPr="00AB4C34">
        <w:t>с</w:t>
      </w:r>
      <w:r w:rsidRPr="00AB4C34">
        <w:t>смотрении здравого подхода к будущим действиям, в частности путем инфо</w:t>
      </w:r>
      <w:r w:rsidRPr="00AB4C34">
        <w:t>р</w:t>
      </w:r>
      <w:r w:rsidRPr="00AB4C34">
        <w:t>мирования о программах добровольного во</w:t>
      </w:r>
      <w:r w:rsidRPr="00AB4C34">
        <w:t>з</w:t>
      </w:r>
      <w:r w:rsidRPr="00AB4C34">
        <w:t xml:space="preserve">вращения. </w:t>
      </w:r>
    </w:p>
    <w:p w:rsidR="00FA567F" w:rsidRPr="00AB4C34" w:rsidRDefault="00FA567F" w:rsidP="004B4B9D">
      <w:pPr>
        <w:pStyle w:val="H56GR"/>
      </w:pPr>
      <w:r w:rsidRPr="00AB4C34">
        <w:tab/>
        <w:t>ii)</w:t>
      </w:r>
      <w:r w:rsidRPr="00AB4C34">
        <w:tab/>
        <w:t>Политика гражданской интеграции</w:t>
      </w:r>
      <w:r w:rsidRPr="002E565C">
        <w:rPr>
          <w:rStyle w:val="FootnoteReference"/>
        </w:rPr>
        <w:footnoteReference w:id="17"/>
      </w:r>
    </w:p>
    <w:p w:rsidR="00FA567F" w:rsidRPr="00AB4C34" w:rsidRDefault="00FA567F" w:rsidP="004B4B9D">
      <w:pPr>
        <w:pStyle w:val="H56GR"/>
      </w:pPr>
      <w:r w:rsidRPr="00AB4C34">
        <w:tab/>
      </w:r>
      <w:r w:rsidRPr="00AB4C34">
        <w:tab/>
        <w:t>Внесение изменений в Указ о гражданской интеграции от 28 фе</w:t>
      </w:r>
      <w:r w:rsidRPr="00AB4C34">
        <w:t>в</w:t>
      </w:r>
      <w:r w:rsidRPr="00AB4C34">
        <w:t>раля 2003 года</w:t>
      </w:r>
    </w:p>
    <w:p w:rsidR="00FA567F" w:rsidRPr="00AB4C34" w:rsidRDefault="00FA567F" w:rsidP="004B4B9D">
      <w:pPr>
        <w:pStyle w:val="SingleTxtGR"/>
      </w:pPr>
      <w:r w:rsidRPr="00AB4C34">
        <w:t>92.</w:t>
      </w:r>
      <w:r w:rsidRPr="00AB4C34">
        <w:tab/>
        <w:t>В Указ о гражданской интеграции от 28 февраля 2003 года трижды вн</w:t>
      </w:r>
      <w:r w:rsidRPr="00AB4C34">
        <w:t>о</w:t>
      </w:r>
      <w:r w:rsidRPr="00AB4C34">
        <w:t>сились изменения – указами от 14 июля 2006 года, от 1 февраля 2008 года и от 17 февраля 2012 года.</w:t>
      </w:r>
    </w:p>
    <w:p w:rsidR="00FA567F" w:rsidRPr="00AB4C34" w:rsidRDefault="00FA567F" w:rsidP="004B4B9D">
      <w:pPr>
        <w:pStyle w:val="SingleTxtGR"/>
      </w:pPr>
      <w:r w:rsidRPr="00AB4C34">
        <w:t>93.</w:t>
      </w:r>
      <w:r w:rsidRPr="00AB4C34">
        <w:tab/>
        <w:t>Первоочередная задача Указа от 14 июля 2006 года заключалась в более четком определении целевой группы, на которую ориентирована политика гр</w:t>
      </w:r>
      <w:r w:rsidRPr="00AB4C34">
        <w:t>а</w:t>
      </w:r>
      <w:r w:rsidRPr="00AB4C34">
        <w:t>жданской интеграции Фландрии (обязательная), и во введении более эффекти</w:t>
      </w:r>
      <w:r w:rsidRPr="00AB4C34">
        <w:t>в</w:t>
      </w:r>
      <w:r w:rsidRPr="00AB4C34">
        <w:t xml:space="preserve">ного механизма санкций, а именно процедуры взыскания административного штрафа. </w:t>
      </w:r>
    </w:p>
    <w:p w:rsidR="00FA567F" w:rsidRPr="00AB4C34" w:rsidRDefault="00FA567F" w:rsidP="004B4B9D">
      <w:pPr>
        <w:pStyle w:val="SingleTxtGR"/>
      </w:pPr>
      <w:r>
        <w:t>94.</w:t>
      </w:r>
      <w:r>
        <w:tab/>
        <w:t>Указ от 1 февраля 2008 года в свою очередь</w:t>
      </w:r>
      <w:r w:rsidRPr="00AB4C34">
        <w:t xml:space="preserve"> адаптирует эту целевую группу с учетом нового федерального законодательства, регулирующего пор</w:t>
      </w:r>
      <w:r w:rsidRPr="00AB4C34">
        <w:t>я</w:t>
      </w:r>
      <w:r w:rsidRPr="00AB4C34">
        <w:t>док пребывания в стране. В нем, в частности, предусмотрено, что просители убежища обязаны пройти курс социальной ориентации, если процедура ра</w:t>
      </w:r>
      <w:r w:rsidRPr="00AB4C34">
        <w:t>с</w:t>
      </w:r>
      <w:r w:rsidRPr="00AB4C34">
        <w:t>смотрения их ходатайства о предоставлении убежища длится более четырех м</w:t>
      </w:r>
      <w:r w:rsidRPr="00AB4C34">
        <w:t>е</w:t>
      </w:r>
      <w:r w:rsidRPr="00AB4C34">
        <w:t xml:space="preserve">сяцев. По истечении этого срока они охватываются другими мероприятиями в рамках процедуры гражданской интеграции. </w:t>
      </w:r>
    </w:p>
    <w:p w:rsidR="00FA567F" w:rsidRPr="00AB4C34" w:rsidRDefault="00FA567F" w:rsidP="004B4B9D">
      <w:pPr>
        <w:pStyle w:val="SingleTxtGR"/>
      </w:pPr>
      <w:r w:rsidRPr="00AB4C34">
        <w:t>95.</w:t>
      </w:r>
      <w:r w:rsidRPr="00AB4C34">
        <w:tab/>
        <w:t>Положение о просителях убежища было вновь изменен</w:t>
      </w:r>
      <w:r w:rsidR="00E03463">
        <w:t>о Указом от 17 </w:t>
      </w:r>
      <w:r w:rsidRPr="00AB4C34">
        <w:t>февраля 2012 года, упразднившим обязательную и приоритетную гражда</w:t>
      </w:r>
      <w:r w:rsidRPr="00AB4C34">
        <w:t>н</w:t>
      </w:r>
      <w:r w:rsidRPr="00AB4C34">
        <w:t>скую интеграцию для этой категории лиц. При этом за ними сохраняется право на интеграцию во Фландрии и Брюсселе, если процедура рассмотрения их х</w:t>
      </w:r>
      <w:r w:rsidRPr="00AB4C34">
        <w:t>о</w:t>
      </w:r>
      <w:r w:rsidRPr="00AB4C34">
        <w:t>датайства о предоставлении убежища длится более четырех месяцев.</w:t>
      </w:r>
    </w:p>
    <w:p w:rsidR="00FA567F" w:rsidRPr="00AB4C34" w:rsidRDefault="00FA567F" w:rsidP="004B4B9D">
      <w:pPr>
        <w:pStyle w:val="H56GR"/>
      </w:pPr>
      <w:r w:rsidRPr="00AB4C34">
        <w:tab/>
      </w:r>
      <w:r w:rsidRPr="00AB4C34">
        <w:tab/>
        <w:t>Лица, на которых распространяется политика гражданской инт</w:t>
      </w:r>
      <w:r w:rsidRPr="00AB4C34">
        <w:t>е</w:t>
      </w:r>
      <w:r w:rsidRPr="00AB4C34">
        <w:t xml:space="preserve">грации </w:t>
      </w:r>
    </w:p>
    <w:p w:rsidR="00FA567F" w:rsidRPr="00AB4C34" w:rsidRDefault="00FA567F" w:rsidP="004B4B9D">
      <w:pPr>
        <w:pStyle w:val="H56GR"/>
      </w:pPr>
      <w:r w:rsidRPr="00AB4C34">
        <w:tab/>
      </w:r>
      <w:r w:rsidRPr="00AB4C34">
        <w:tab/>
        <w:t>a)</w:t>
      </w:r>
      <w:r w:rsidRPr="00AB4C34">
        <w:tab/>
        <w:t xml:space="preserve">Целевая группа для политики гражданской интеграции </w:t>
      </w:r>
    </w:p>
    <w:p w:rsidR="00FA567F" w:rsidRPr="00AB4C34" w:rsidRDefault="00FA567F" w:rsidP="004B4B9D">
      <w:pPr>
        <w:pStyle w:val="SingleTxtGR"/>
      </w:pPr>
      <w:r w:rsidRPr="00AB4C34">
        <w:t>96.</w:t>
      </w:r>
      <w:r w:rsidRPr="00AB4C34">
        <w:tab/>
        <w:t>В целевую группу, на которую ориентирована политика гражданской и</w:t>
      </w:r>
      <w:r w:rsidRPr="00AB4C34">
        <w:t>н</w:t>
      </w:r>
      <w:r w:rsidRPr="00AB4C34">
        <w:t>теграции, входят ин</w:t>
      </w:r>
      <w:r w:rsidRPr="00AB4C34">
        <w:t>о</w:t>
      </w:r>
      <w:r w:rsidRPr="00AB4C34">
        <w:t>странцы в возрасте 18 лет и старше, которые приезжают во Фландрию или Брюссель на длительное проживание и которые внесены в н</w:t>
      </w:r>
      <w:r w:rsidRPr="00AB4C34">
        <w:t>а</w:t>
      </w:r>
      <w:r w:rsidRPr="00AB4C34">
        <w:t xml:space="preserve">циональный реестр. В эту группу также входят бельгийцы в возрасте 18 лет и старше, которые родились за границей и у которых хотя бы один из родителей родился за пределами Бельгии. </w:t>
      </w:r>
    </w:p>
    <w:p w:rsidR="00FA567F" w:rsidRPr="00AB4C34" w:rsidRDefault="00FA567F" w:rsidP="004B4B9D">
      <w:pPr>
        <w:pStyle w:val="SingleTxtGR"/>
      </w:pPr>
      <w:r w:rsidRPr="00AB4C34">
        <w:t>97.</w:t>
      </w:r>
      <w:r w:rsidRPr="00AB4C34">
        <w:tab/>
        <w:t>Иностранцы, временно проживающие во Фландрии или Брюсселе, не о</w:t>
      </w:r>
      <w:r w:rsidRPr="00AB4C34">
        <w:t>т</w:t>
      </w:r>
      <w:r w:rsidRPr="00AB4C34">
        <w:t>носятся к целевой группе и не имеют права на прохождение программы гра</w:t>
      </w:r>
      <w:r w:rsidRPr="00AB4C34">
        <w:t>ж</w:t>
      </w:r>
      <w:r w:rsidRPr="00AB4C34">
        <w:t xml:space="preserve">данской интеграции. На практике это </w:t>
      </w:r>
      <w:r>
        <w:t>−</w:t>
      </w:r>
      <w:r w:rsidRPr="00AB4C34">
        <w:t xml:space="preserve"> некоторые категории трудящихся-мигрантов и студенты из неевропейских стран. Просители убежища, чье ход</w:t>
      </w:r>
      <w:r w:rsidRPr="00AB4C34">
        <w:t>а</w:t>
      </w:r>
      <w:r w:rsidRPr="00AB4C34">
        <w:t>тайство находится на рассмотрении менее четырех месяцев, также не охват</w:t>
      </w:r>
      <w:r w:rsidRPr="00AB4C34">
        <w:t>ы</w:t>
      </w:r>
      <w:r w:rsidRPr="00AB4C34">
        <w:t>ваются программой гражда</w:t>
      </w:r>
      <w:r w:rsidRPr="00AB4C34">
        <w:t>н</w:t>
      </w:r>
      <w:r w:rsidRPr="00AB4C34">
        <w:t>ской интеграции.</w:t>
      </w:r>
    </w:p>
    <w:p w:rsidR="00FA567F" w:rsidRPr="00AB4C34" w:rsidRDefault="00FA567F" w:rsidP="004B4B9D">
      <w:pPr>
        <w:pStyle w:val="H56GR"/>
      </w:pPr>
      <w:r w:rsidRPr="00AB4C34">
        <w:tab/>
      </w:r>
      <w:r w:rsidRPr="00AB4C34">
        <w:tab/>
        <w:t>b)</w:t>
      </w:r>
      <w:r w:rsidRPr="00AB4C34">
        <w:tab/>
        <w:t xml:space="preserve">Обязательная гражданская интеграция </w:t>
      </w:r>
    </w:p>
    <w:p w:rsidR="00FA567F" w:rsidRPr="00AB4C34" w:rsidRDefault="00FA567F" w:rsidP="004B4B9D">
      <w:pPr>
        <w:pStyle w:val="SingleTxtGR"/>
      </w:pPr>
      <w:r w:rsidRPr="00AB4C34">
        <w:t>98.</w:t>
      </w:r>
      <w:r w:rsidRPr="00AB4C34">
        <w:tab/>
        <w:t>Наряду с этим некоторые категории лиц обязаны пройти курс гражда</w:t>
      </w:r>
      <w:r w:rsidRPr="00AB4C34">
        <w:t>н</w:t>
      </w:r>
      <w:r w:rsidRPr="00AB4C34">
        <w:t>ской интеграции. С одной стороны, это лица, недавно иммигрировавшие в Бельгию и обосновавшиеся во Фландрии, а с другой – священнослужители, о</w:t>
      </w:r>
      <w:r w:rsidRPr="00AB4C34">
        <w:t>р</w:t>
      </w:r>
      <w:r w:rsidRPr="00AB4C34">
        <w:t xml:space="preserve">ганизующие отправление культа в какой-либо церкви или местной религиозной общине, признанной фламандским правительством. </w:t>
      </w:r>
    </w:p>
    <w:p w:rsidR="00FA567F" w:rsidRPr="00AB4C34" w:rsidRDefault="00FA567F" w:rsidP="004B4B9D">
      <w:pPr>
        <w:pStyle w:val="SingleTxtGR"/>
      </w:pPr>
      <w:r w:rsidRPr="00AB4C34">
        <w:t>99.</w:t>
      </w:r>
      <w:r w:rsidRPr="00AB4C34">
        <w:tab/>
        <w:t>Положение об обязательном прохождении процедуры гражданской инт</w:t>
      </w:r>
      <w:r w:rsidRPr="00AB4C34">
        <w:t>е</w:t>
      </w:r>
      <w:r w:rsidRPr="00AB4C34">
        <w:t>грации в Брюсселе не применяется. Граждане какого-либо государства, вход</w:t>
      </w:r>
      <w:r w:rsidRPr="00AB4C34">
        <w:t>я</w:t>
      </w:r>
      <w:r w:rsidRPr="00AB4C34">
        <w:t>щего в Европейский союз, Европейскую экономическую зону или граждане Швейцарии, а также члены их семей освобождены от выполнения этой обяза</w:t>
      </w:r>
      <w:r w:rsidRPr="00AB4C34">
        <w:t>н</w:t>
      </w:r>
      <w:r w:rsidRPr="00AB4C34">
        <w:t xml:space="preserve">ности. Такое освобождение не распространяется ни на членов семей граждан Бельгии, ни на вновь прибывших лиц, которые имеют бельгийское гражданство и недавно обосновались во Фландрии. </w:t>
      </w:r>
    </w:p>
    <w:p w:rsidR="00FA567F" w:rsidRPr="00AB4C34" w:rsidRDefault="00FA567F" w:rsidP="004B4B9D">
      <w:pPr>
        <w:pStyle w:val="SingleTxtGR"/>
      </w:pPr>
      <w:r w:rsidRPr="00AB4C34">
        <w:t>100.</w:t>
      </w:r>
      <w:r w:rsidRPr="00AB4C34">
        <w:tab/>
        <w:t>С 1 марта 2009 года с вновь прибывших лиц, которые несут такую об</w:t>
      </w:r>
      <w:r w:rsidRPr="00AB4C34">
        <w:t>я</w:t>
      </w:r>
      <w:r w:rsidRPr="00AB4C34">
        <w:t>занность, но не выполняют ее, и которые облечены правами, но не соблюдают условий своего контракта социальной интеграции, может быть взыскан адм</w:t>
      </w:r>
      <w:r w:rsidRPr="00AB4C34">
        <w:t>и</w:t>
      </w:r>
      <w:r w:rsidRPr="00AB4C34">
        <w:t xml:space="preserve">нистративный штраф. Система административных штрафов не применяется в Брюссельском столичном регионе. </w:t>
      </w:r>
    </w:p>
    <w:p w:rsidR="00FA567F" w:rsidRPr="00AB4C34" w:rsidRDefault="00FA567F" w:rsidP="004B4B9D">
      <w:pPr>
        <w:pStyle w:val="H56GR"/>
      </w:pPr>
      <w:r w:rsidRPr="00AB4C34">
        <w:tab/>
      </w:r>
      <w:r w:rsidRPr="00AB4C34">
        <w:tab/>
        <w:t>Процесс гражданской интеграции</w:t>
      </w:r>
    </w:p>
    <w:p w:rsidR="00FA567F" w:rsidRPr="00AB4C34" w:rsidRDefault="00FA567F" w:rsidP="004B4B9D">
      <w:pPr>
        <w:pStyle w:val="SingleTxtGR"/>
      </w:pPr>
      <w:r w:rsidRPr="00AB4C34">
        <w:t>101.</w:t>
      </w:r>
      <w:r w:rsidRPr="00AB4C34">
        <w:tab/>
        <w:t xml:space="preserve">Процесс гражданской интеграции открывает перспективы перед новыми гражданами, давая им возможность приобрести знания и развить собственные навыки. </w:t>
      </w:r>
    </w:p>
    <w:p w:rsidR="00FA567F" w:rsidRPr="00AB4C34" w:rsidRDefault="00FA567F" w:rsidP="004B4B9D">
      <w:pPr>
        <w:pStyle w:val="SingleTxtGR"/>
      </w:pPr>
      <w:r w:rsidRPr="00AB4C34">
        <w:t>102.</w:t>
      </w:r>
      <w:r w:rsidRPr="00AB4C34">
        <w:tab/>
        <w:t>Первичный процесс гражданской интеграции организуется бюро по приему и представляет собой учебную программу в сочетании с индивидуал</w:t>
      </w:r>
      <w:r w:rsidRPr="00AB4C34">
        <w:t>ь</w:t>
      </w:r>
      <w:r w:rsidRPr="00AB4C34">
        <w:t>ным сопровождением вновь прибывшего лица, в кот</w:t>
      </w:r>
      <w:r w:rsidRPr="00AB4C34">
        <w:t>о</w:t>
      </w:r>
      <w:r w:rsidRPr="00AB4C34">
        <w:t>рую входят:</w:t>
      </w:r>
    </w:p>
    <w:p w:rsidR="00FA567F" w:rsidRPr="00AB4C34" w:rsidRDefault="00FA567F" w:rsidP="004B4B9D">
      <w:pPr>
        <w:pStyle w:val="Bullet1GR"/>
        <w:numPr>
          <w:ilvl w:val="0"/>
          <w:numId w:val="1"/>
        </w:numPr>
      </w:pPr>
      <w:r w:rsidRPr="00AB4C34">
        <w:t>курс голландского языка;</w:t>
      </w:r>
    </w:p>
    <w:p w:rsidR="00FA567F" w:rsidRPr="00AB4C34" w:rsidRDefault="00FA567F" w:rsidP="004B4B9D">
      <w:pPr>
        <w:pStyle w:val="Bullet1GR"/>
        <w:numPr>
          <w:ilvl w:val="0"/>
          <w:numId w:val="1"/>
        </w:numPr>
      </w:pPr>
      <w:r w:rsidRPr="00AB4C34">
        <w:t>курс профессиональной ориентации; и</w:t>
      </w:r>
    </w:p>
    <w:p w:rsidR="00FA567F" w:rsidRPr="00AB4C34" w:rsidRDefault="00FA567F" w:rsidP="004B4B9D">
      <w:pPr>
        <w:pStyle w:val="Bullet1GR"/>
        <w:numPr>
          <w:ilvl w:val="0"/>
          <w:numId w:val="1"/>
        </w:numPr>
      </w:pPr>
      <w:r w:rsidRPr="00AB4C34">
        <w:t>курс социальной ориентации.</w:t>
      </w:r>
    </w:p>
    <w:p w:rsidR="00FA567F" w:rsidRPr="00AB4C34" w:rsidRDefault="00FA567F" w:rsidP="004B4B9D">
      <w:pPr>
        <w:pStyle w:val="SingleTxtGR"/>
      </w:pPr>
      <w:r w:rsidRPr="00AB4C34">
        <w:t>103.</w:t>
      </w:r>
      <w:r w:rsidRPr="00AB4C34">
        <w:tab/>
        <w:t>Процесс гражданской интеграции закреплен в контракте гражданской и</w:t>
      </w:r>
      <w:r w:rsidRPr="00AB4C34">
        <w:t>н</w:t>
      </w:r>
      <w:r w:rsidRPr="00AB4C34">
        <w:t>теграции с указанием элементов учебной программы, которую будет проходить вновь прибывший, а также времени и места проведения занятий. При этом б</w:t>
      </w:r>
      <w:r w:rsidRPr="00AB4C34">
        <w:t>ю</w:t>
      </w:r>
      <w:r w:rsidRPr="00AB4C34">
        <w:t>ро по приему в максимальной степени учитывает потребности в об</w:t>
      </w:r>
      <w:r w:rsidRPr="00AB4C34">
        <w:t>у</w:t>
      </w:r>
      <w:r w:rsidRPr="00AB4C34">
        <w:t>чении и просьбы вновь прибывших лиц, заключения Дома голландского языка (Huis van het Nederlands) и в соответствующих случаях − Фламандской службы занятости (ФСЗ − Vlaamse Dienst voor Arbeidsbemiddeling). В осуществлении этого пр</w:t>
      </w:r>
      <w:r w:rsidRPr="00AB4C34">
        <w:t>о</w:t>
      </w:r>
      <w:r w:rsidRPr="00AB4C34">
        <w:t>цесса активно участвуют и другие организации. Центры образования взрослых, центры базового образования и университетские языковые центры предлагают курсы по изучению голландского языка как второго. Коммуны, ГЦСМ, Агентс</w:t>
      </w:r>
      <w:r w:rsidRPr="00AB4C34">
        <w:t>т</w:t>
      </w:r>
      <w:r w:rsidRPr="00AB4C34">
        <w:t>во по вопросам внутре</w:t>
      </w:r>
      <w:r w:rsidRPr="00AB4C34">
        <w:t>н</w:t>
      </w:r>
      <w:r w:rsidRPr="00AB4C34">
        <w:t>ней администрации (Agentschap voor Binnenlands Bestuur) и арендодатели социального жилья по закону также обязаны информ</w:t>
      </w:r>
      <w:r w:rsidRPr="00AB4C34">
        <w:t>и</w:t>
      </w:r>
      <w:r w:rsidRPr="00AB4C34">
        <w:t>ровать вновь прибывших лиц об их праве и обязанности в отношении гражда</w:t>
      </w:r>
      <w:r w:rsidRPr="00AB4C34">
        <w:t>н</w:t>
      </w:r>
      <w:r w:rsidRPr="00AB4C34">
        <w:t>ской интеграции.</w:t>
      </w:r>
    </w:p>
    <w:p w:rsidR="00FA567F" w:rsidRPr="00AB4C34" w:rsidRDefault="00FA567F" w:rsidP="004B4B9D">
      <w:pPr>
        <w:pStyle w:val="SingleTxtGR"/>
      </w:pPr>
      <w:r w:rsidRPr="00AB4C34">
        <w:t>104.</w:t>
      </w:r>
      <w:r w:rsidRPr="00AB4C34">
        <w:tab/>
        <w:t>Заключение контракта гражданской интеграции равнозначно принятию обязательства по регулярному прохождению занятий учебной программы. Это означает, что вновь прибывший должен пройти не менее 80% занятий, пред</w:t>
      </w:r>
      <w:r w:rsidRPr="00AB4C34">
        <w:t>у</w:t>
      </w:r>
      <w:r w:rsidRPr="00AB4C34">
        <w:t>смотренных программой; тогда по завершении первичного процесса гражда</w:t>
      </w:r>
      <w:r w:rsidRPr="00AB4C34">
        <w:t>н</w:t>
      </w:r>
      <w:r w:rsidRPr="00AB4C34">
        <w:t>ской интеграции ему выдается свидетельство о гражданской интеграции.</w:t>
      </w:r>
    </w:p>
    <w:p w:rsidR="00FA567F" w:rsidRPr="00AB4C34" w:rsidRDefault="00FA567F" w:rsidP="004B4B9D">
      <w:pPr>
        <w:pStyle w:val="H56GR"/>
      </w:pPr>
      <w:r w:rsidRPr="00AB4C34">
        <w:tab/>
      </w:r>
      <w:r w:rsidRPr="00AB4C34">
        <w:tab/>
        <w:t>a)</w:t>
      </w:r>
      <w:r w:rsidRPr="00AB4C34">
        <w:tab/>
        <w:t xml:space="preserve">Курс социальной ориентации </w:t>
      </w:r>
    </w:p>
    <w:p w:rsidR="00FA567F" w:rsidRPr="00AB4C34" w:rsidRDefault="00FA567F" w:rsidP="004B4B9D">
      <w:pPr>
        <w:pStyle w:val="SingleTxtGR"/>
      </w:pPr>
      <w:r w:rsidRPr="00AB4C34">
        <w:t>105.</w:t>
      </w:r>
      <w:r w:rsidRPr="00AB4C34">
        <w:tab/>
        <w:t>При прохождении курса социальной ориентации вновь прибывшие лица знакомятся с ценностями и нормами фламандского и бельгийского общества. Этот курс включает пр</w:t>
      </w:r>
      <w:r w:rsidR="0088191A">
        <w:t>актическую часть, например</w:t>
      </w:r>
      <w:r w:rsidRPr="00AB4C34">
        <w:t xml:space="preserve"> вопросы о том, как польз</w:t>
      </w:r>
      <w:r w:rsidRPr="00AB4C34">
        <w:t>о</w:t>
      </w:r>
      <w:r w:rsidRPr="00AB4C34">
        <w:t>ваться общественным транспортом, куда обращаться за медицинской пом</w:t>
      </w:r>
      <w:r w:rsidRPr="00AB4C34">
        <w:t>о</w:t>
      </w:r>
      <w:r w:rsidRPr="00AB4C34">
        <w:t>щью, каковы возможности для приема и образования детей и т.п. При этом всегда учитываются уровень знаний вновь прибывших и их потребности в обучении. Обучаемые приобретают знания и опыт для а</w:t>
      </w:r>
      <w:r w:rsidRPr="00AB4C34">
        <w:t>к</w:t>
      </w:r>
      <w:r w:rsidRPr="00AB4C34">
        <w:t>тивного внесения своего вклада в общество.</w:t>
      </w:r>
    </w:p>
    <w:p w:rsidR="00FA567F" w:rsidRPr="00AB4C34" w:rsidRDefault="00FA567F" w:rsidP="004B4B9D">
      <w:pPr>
        <w:pStyle w:val="SingleTxtGR"/>
      </w:pPr>
      <w:r w:rsidRPr="00AB4C34">
        <w:t>106.</w:t>
      </w:r>
      <w:r w:rsidRPr="00AB4C34">
        <w:tab/>
        <w:t>Курс социальной ориентации проводит бюро по приему; стандартный объем курса – 60 часов. Вновь прибывший может проходить этот курс на своем родном языке или на одном из языков общения.</w:t>
      </w:r>
    </w:p>
    <w:p w:rsidR="00FA567F" w:rsidRPr="00AB4C34" w:rsidRDefault="00FA567F" w:rsidP="004B4B9D">
      <w:pPr>
        <w:pStyle w:val="H56GR"/>
      </w:pPr>
      <w:r w:rsidRPr="00AB4C34">
        <w:tab/>
      </w:r>
      <w:r w:rsidRPr="00AB4C34">
        <w:tab/>
        <w:t>b)</w:t>
      </w:r>
      <w:r w:rsidRPr="00AB4C34">
        <w:tab/>
        <w:t xml:space="preserve">Профессиональная ориентация </w:t>
      </w:r>
    </w:p>
    <w:p w:rsidR="00FA567F" w:rsidRPr="00AB4C34" w:rsidRDefault="00FA567F" w:rsidP="004B4B9D">
      <w:pPr>
        <w:pStyle w:val="SingleTxtGR"/>
      </w:pPr>
      <w:r w:rsidRPr="00AB4C34">
        <w:t>107.</w:t>
      </w:r>
      <w:r w:rsidRPr="00AB4C34">
        <w:tab/>
        <w:t>Цель курса профессиональной ориентации – оказать вновь прибывшим лицам помощь в выборе направления профессиональной деятельности, прин</w:t>
      </w:r>
      <w:r w:rsidRPr="00AB4C34">
        <w:t>и</w:t>
      </w:r>
      <w:r w:rsidRPr="00AB4C34">
        <w:t>мая во внимание их пожелания, приобретенный опыт и квалификацию.</w:t>
      </w:r>
    </w:p>
    <w:p w:rsidR="00FA567F" w:rsidRPr="00AB4C34" w:rsidRDefault="00FA567F" w:rsidP="004B4B9D">
      <w:pPr>
        <w:pStyle w:val="SingleTxtGR"/>
      </w:pPr>
      <w:r w:rsidRPr="00AB4C34">
        <w:t>108.</w:t>
      </w:r>
      <w:r w:rsidRPr="00AB4C34">
        <w:tab/>
        <w:t>Существуют три вида профессиональной ориентации:</w:t>
      </w:r>
    </w:p>
    <w:p w:rsidR="00FA567F" w:rsidRPr="00AB4C34" w:rsidRDefault="00FA567F" w:rsidP="004B4B9D">
      <w:pPr>
        <w:pStyle w:val="Bullet1GR"/>
        <w:numPr>
          <w:ilvl w:val="0"/>
          <w:numId w:val="1"/>
        </w:numPr>
      </w:pPr>
      <w:r w:rsidRPr="00AB4C34">
        <w:t>вновь прибывшие, имеющие перспективу профессиональной деятельн</w:t>
      </w:r>
      <w:r w:rsidRPr="00AB4C34">
        <w:t>о</w:t>
      </w:r>
      <w:r w:rsidRPr="00AB4C34">
        <w:t>сти, могут сопровождаться в процессе поиска работы или создания сам</w:t>
      </w:r>
      <w:r w:rsidRPr="00AB4C34">
        <w:t>о</w:t>
      </w:r>
      <w:r w:rsidRPr="00AB4C34">
        <w:t>стоятельного предприятия;</w:t>
      </w:r>
    </w:p>
    <w:p w:rsidR="00FA567F" w:rsidRPr="00AB4C34" w:rsidRDefault="00FA567F" w:rsidP="004B4B9D">
      <w:pPr>
        <w:pStyle w:val="Bullet1GR"/>
        <w:numPr>
          <w:ilvl w:val="0"/>
          <w:numId w:val="1"/>
        </w:numPr>
      </w:pPr>
      <w:r w:rsidRPr="00AB4C34">
        <w:t>вновь прибывшие, имеющие перспективу образования, сопровождаются в пр</w:t>
      </w:r>
      <w:r w:rsidRPr="00AB4C34">
        <w:t>о</w:t>
      </w:r>
      <w:r w:rsidRPr="00AB4C34">
        <w:t>цессе обучения;</w:t>
      </w:r>
    </w:p>
    <w:p w:rsidR="00FA567F" w:rsidRPr="00AB4C34" w:rsidRDefault="00FA567F" w:rsidP="004B4B9D">
      <w:pPr>
        <w:pStyle w:val="Bullet1GR"/>
        <w:numPr>
          <w:ilvl w:val="0"/>
          <w:numId w:val="1"/>
        </w:numPr>
      </w:pPr>
      <w:r w:rsidRPr="00AB4C34">
        <w:t>все вновь прибывшие лица имеют перспективу жизни в обществе и с</w:t>
      </w:r>
      <w:r w:rsidRPr="00AB4C34">
        <w:t>о</w:t>
      </w:r>
      <w:r w:rsidRPr="00AB4C34">
        <w:t>провождаются для обеспечения их участия в социально-культурных м</w:t>
      </w:r>
      <w:r w:rsidRPr="00AB4C34">
        <w:t>е</w:t>
      </w:r>
      <w:r w:rsidRPr="00AB4C34">
        <w:t>роприятиях, общественно-полезном труде и других видах досуга.</w:t>
      </w:r>
    </w:p>
    <w:p w:rsidR="00FA567F" w:rsidRPr="00AB4C34" w:rsidRDefault="00FA567F" w:rsidP="004B4B9D">
      <w:pPr>
        <w:pStyle w:val="SingleTxtGR"/>
      </w:pPr>
      <w:r w:rsidRPr="00AB4C34">
        <w:t>109.</w:t>
      </w:r>
      <w:r w:rsidRPr="00AB4C34">
        <w:tab/>
        <w:t>Бюро по приему во Фландрии обращаются к ФСЗ по вопросам профе</w:t>
      </w:r>
      <w:r w:rsidRPr="00AB4C34">
        <w:t>с</w:t>
      </w:r>
      <w:r w:rsidRPr="00AB4C34">
        <w:t>сиональной ориентации вновь прибывших лиц, имеющих перспективу профе</w:t>
      </w:r>
      <w:r w:rsidRPr="00AB4C34">
        <w:t>с</w:t>
      </w:r>
      <w:r w:rsidRPr="00AB4C34">
        <w:t>сиональной деятельности, и самостоятельно обе</w:t>
      </w:r>
      <w:r w:rsidRPr="00AB4C34">
        <w:t>с</w:t>
      </w:r>
      <w:r w:rsidRPr="00AB4C34">
        <w:t>печивают все остальные виды сопровождения. Брюссельское бюро по приему (ББП) предлагает ориентацию трех видов.</w:t>
      </w:r>
    </w:p>
    <w:p w:rsidR="00FA567F" w:rsidRPr="00AB4C34" w:rsidRDefault="00FA567F" w:rsidP="004B4B9D">
      <w:pPr>
        <w:pStyle w:val="H56GR"/>
      </w:pPr>
      <w:r w:rsidRPr="00AB4C34">
        <w:tab/>
      </w:r>
      <w:r w:rsidRPr="00AB4C34">
        <w:tab/>
        <w:t>c)</w:t>
      </w:r>
      <w:r w:rsidRPr="00AB4C34">
        <w:tab/>
        <w:t>Наличие личного сопровождающего</w:t>
      </w:r>
    </w:p>
    <w:p w:rsidR="00FA567F" w:rsidRPr="00AB4C34" w:rsidRDefault="00FA567F" w:rsidP="004B4B9D">
      <w:pPr>
        <w:pStyle w:val="SingleTxtGR"/>
      </w:pPr>
      <w:r w:rsidRPr="00AB4C34">
        <w:t>110.</w:t>
      </w:r>
      <w:r w:rsidRPr="00AB4C34">
        <w:tab/>
        <w:t>Каждому вновь прибывшему назначается личный сопровождающий, к</w:t>
      </w:r>
      <w:r w:rsidRPr="00AB4C34">
        <w:t>о</w:t>
      </w:r>
      <w:r w:rsidRPr="00AB4C34">
        <w:t>торый направляет его в процессе социальной интеграции с учетом его профе</w:t>
      </w:r>
      <w:r w:rsidRPr="00AB4C34">
        <w:t>с</w:t>
      </w:r>
      <w:r w:rsidRPr="00AB4C34">
        <w:t>сионального уровня и семейного положения; проблемы языкового барьера при этом не существует.</w:t>
      </w:r>
    </w:p>
    <w:p w:rsidR="00FA567F" w:rsidRPr="00AB4C34" w:rsidRDefault="00FA567F" w:rsidP="004B4B9D">
      <w:pPr>
        <w:pStyle w:val="SingleTxtGR"/>
      </w:pPr>
      <w:r w:rsidRPr="00AB4C34">
        <w:t>111.</w:t>
      </w:r>
      <w:r w:rsidRPr="00AB4C34">
        <w:tab/>
        <w:t xml:space="preserve">На личного сопровождающего возложен административный мониторинг процесса гражданской интеграции. В случае необходимости он направляет вновь прибывшего в Дом нидерландского языка, ФСЗ или </w:t>
      </w:r>
      <w:r>
        <w:t>"</w:t>
      </w:r>
      <w:r w:rsidRPr="00AB4C34">
        <w:t>Актирис</w:t>
      </w:r>
      <w:r>
        <w:t>"</w:t>
      </w:r>
      <w:r w:rsidRPr="00AB4C34">
        <w:t xml:space="preserve"> в Брюсс</w:t>
      </w:r>
      <w:r w:rsidRPr="00AB4C34">
        <w:t>е</w:t>
      </w:r>
      <w:r w:rsidRPr="00AB4C34">
        <w:t>ле, составляет контракт гражданской интеграции и следит за посещаемостью своего подопечного в ходе учебной программы. Личный сопровождающий – это прежде всего д</w:t>
      </w:r>
      <w:r w:rsidRPr="00AB4C34">
        <w:t>о</w:t>
      </w:r>
      <w:r w:rsidRPr="00AB4C34">
        <w:t>веренное лицо, к которому вновь прибывший может обращаться по целому ряду вопросов. Например, он оказывает содействие в признании имеющегося диплома, может помочь найти удобную для детей школу, адвоката, психолога или подходящее жилье.</w:t>
      </w:r>
    </w:p>
    <w:p w:rsidR="00FA567F" w:rsidRPr="00AB4C34" w:rsidRDefault="00FA567F" w:rsidP="004B4B9D">
      <w:pPr>
        <w:pStyle w:val="SingleTxtGR"/>
      </w:pPr>
      <w:r w:rsidRPr="00AB4C34">
        <w:t>112.</w:t>
      </w:r>
      <w:r w:rsidRPr="00AB4C34">
        <w:tab/>
        <w:t>При этом важно, чтобы и сам вновь прибывший самостоятельно искал выход из ситуаций, в которых ему нужна помощь. Поскольку личному сопр</w:t>
      </w:r>
      <w:r w:rsidRPr="00AB4C34">
        <w:t>о</w:t>
      </w:r>
      <w:r w:rsidRPr="00AB4C34">
        <w:t>вождающему известны уровень базовых знаний, способности и среда его под</w:t>
      </w:r>
      <w:r w:rsidRPr="00AB4C34">
        <w:t>о</w:t>
      </w:r>
      <w:r w:rsidRPr="00AB4C34">
        <w:t>печного, предоставляемая ему в процессе интеграции помощь будет сокращат</w:t>
      </w:r>
      <w:r w:rsidRPr="00AB4C34">
        <w:t>ь</w:t>
      </w:r>
      <w:r w:rsidRPr="00AB4C34">
        <w:t>ся, а по завершении этого процесса потребность в ней отпадет.</w:t>
      </w:r>
    </w:p>
    <w:p w:rsidR="00FA567F" w:rsidRPr="00AB4C34" w:rsidRDefault="00FA567F" w:rsidP="004B4B9D">
      <w:pPr>
        <w:pStyle w:val="H56GR"/>
      </w:pPr>
      <w:r w:rsidRPr="00AB4C34">
        <w:tab/>
      </w:r>
      <w:r w:rsidRPr="00AB4C34">
        <w:tab/>
        <w:t>d)</w:t>
      </w:r>
      <w:r w:rsidRPr="00AB4C34">
        <w:tab/>
        <w:t xml:space="preserve">Вторичный процесс гражданской интеграции </w:t>
      </w:r>
    </w:p>
    <w:p w:rsidR="00FA567F" w:rsidRPr="00AB4C34" w:rsidRDefault="00FA567F" w:rsidP="004B4B9D">
      <w:pPr>
        <w:pStyle w:val="SingleTxtGR"/>
      </w:pPr>
      <w:r w:rsidRPr="00AB4C34">
        <w:t>113.</w:t>
      </w:r>
      <w:r w:rsidRPr="00AB4C34">
        <w:tab/>
        <w:t>Получив свидетельство о гражданской интеграции, вновь прибывшие л</w:t>
      </w:r>
      <w:r w:rsidRPr="00AB4C34">
        <w:t>и</w:t>
      </w:r>
      <w:r w:rsidRPr="00AB4C34">
        <w:t>ца могут пройти втори</w:t>
      </w:r>
      <w:r w:rsidRPr="00AB4C34">
        <w:t>ч</w:t>
      </w:r>
      <w:r w:rsidRPr="00AB4C34">
        <w:t>ный процесс гражданской интеграции. Он организуется постоянно действующими инстанциями и дает этим лицам возможность ко</w:t>
      </w:r>
      <w:r w:rsidRPr="00AB4C34">
        <w:t>н</w:t>
      </w:r>
      <w:r w:rsidRPr="00AB4C34">
        <w:t>кретизировать тот выбор, который они сделали благодаря знаниям и навыкам, приобретенным в ходе первичного процесса гражданской интеграции. Так, они могут пройти пр</w:t>
      </w:r>
      <w:r w:rsidRPr="00AB4C34">
        <w:t>о</w:t>
      </w:r>
      <w:r w:rsidRPr="00AB4C34">
        <w:t>фессиональное обучение или начать свое дело. Кроме того, у них есть возможность пройти дополн</w:t>
      </w:r>
      <w:r w:rsidRPr="00AB4C34">
        <w:t>и</w:t>
      </w:r>
      <w:r w:rsidRPr="00AB4C34">
        <w:t xml:space="preserve">тельный курс голландского языка как второго и продолжить образование. </w:t>
      </w:r>
    </w:p>
    <w:p w:rsidR="00FA567F" w:rsidRPr="00AB4C34" w:rsidRDefault="00FA567F" w:rsidP="004B4B9D">
      <w:pPr>
        <w:pStyle w:val="H23GR"/>
      </w:pPr>
      <w:r w:rsidRPr="00AB4C34">
        <w:tab/>
        <w:t>3.</w:t>
      </w:r>
      <w:r w:rsidRPr="00AB4C34">
        <w:tab/>
        <w:t xml:space="preserve">Борьба против расизма в Интернете </w:t>
      </w:r>
    </w:p>
    <w:p w:rsidR="00FA567F" w:rsidRPr="00AB4C34" w:rsidRDefault="00FA567F" w:rsidP="004B4B9D">
      <w:pPr>
        <w:pStyle w:val="SingleTxtGR"/>
      </w:pPr>
      <w:r w:rsidRPr="00AB4C34">
        <w:t>114.</w:t>
      </w:r>
      <w:r w:rsidRPr="00AB4C34">
        <w:tab/>
        <w:t>С 2005 года Центр по обеспечению равных возможностей направляет средства на ведение борьбы против расизма в Интернете. В этой связи Центр нанял двух сотрудников для разработки методики борьбы с этим явлением и анализа связанных с ним проявлений.</w:t>
      </w:r>
    </w:p>
    <w:p w:rsidR="00FA567F" w:rsidRPr="00AB4C34" w:rsidRDefault="00FA567F" w:rsidP="004B4B9D">
      <w:pPr>
        <w:pStyle w:val="SingleTxtGR"/>
      </w:pPr>
      <w:r w:rsidRPr="00AB4C34">
        <w:t>115.</w:t>
      </w:r>
      <w:r w:rsidRPr="00AB4C34">
        <w:tab/>
        <w:t>Эта стратегия заключается в предложении адекватных ответных мер в з</w:t>
      </w:r>
      <w:r w:rsidRPr="00AB4C34">
        <w:t>а</w:t>
      </w:r>
      <w:r w:rsidRPr="00AB4C34">
        <w:t xml:space="preserve">висимости от того, в какой форме проявляется такая </w:t>
      </w:r>
      <w:r>
        <w:t>"</w:t>
      </w:r>
      <w:r w:rsidRPr="00AB4C34">
        <w:t>киберненависть</w:t>
      </w:r>
      <w:r>
        <w:t>"</w:t>
      </w:r>
      <w:r w:rsidRPr="00AB4C34">
        <w:t xml:space="preserve"> (блоги, форумы, социальные сети, рассылки по электронной почте). Особое внимание при этом уделяется информационно-разъяснительной работе среди авторов комментариев расистского характера и лиц, сообщивших о наличии таких ко</w:t>
      </w:r>
      <w:r w:rsidRPr="00AB4C34">
        <w:t>м</w:t>
      </w:r>
      <w:r w:rsidRPr="00AB4C34">
        <w:t xml:space="preserve">ментариев. В зависимости от тяжести содеянного возможно преследование в судебном порядке. </w:t>
      </w:r>
    </w:p>
    <w:p w:rsidR="00FA567F" w:rsidRPr="00AB4C34" w:rsidRDefault="00FA567F" w:rsidP="004B4B9D">
      <w:pPr>
        <w:pStyle w:val="SingleTxtGR"/>
      </w:pPr>
      <w:r w:rsidRPr="00AB4C34">
        <w:t>116.</w:t>
      </w:r>
      <w:r w:rsidRPr="00AB4C34">
        <w:tab/>
        <w:t>29 октября 2009 года был проведен тематический день, посвященный рассмотрению этой проблематики. В ходе его проведения была подготовлена информационная брошюра о сути этой стратегии, в которой гражданам предл</w:t>
      </w:r>
      <w:r w:rsidRPr="00AB4C34">
        <w:t>а</w:t>
      </w:r>
      <w:r w:rsidRPr="00AB4C34">
        <w:t>гался набор средств реагирования в условиях роста проявлений ненависти в Интернете (см. приложение VI).</w:t>
      </w:r>
    </w:p>
    <w:p w:rsidR="00FA567F" w:rsidRPr="00AB4C34" w:rsidRDefault="00FA567F" w:rsidP="004B4B9D">
      <w:pPr>
        <w:pStyle w:val="H23GR"/>
      </w:pPr>
      <w:r w:rsidRPr="00AB4C34">
        <w:tab/>
        <w:t>4.</w:t>
      </w:r>
      <w:r w:rsidRPr="00AB4C34">
        <w:tab/>
        <w:t>Борьба против антисемитизма и исламофобии</w:t>
      </w:r>
    </w:p>
    <w:p w:rsidR="00FA567F" w:rsidRPr="00AB4C34" w:rsidRDefault="00FA567F" w:rsidP="00762F4C">
      <w:pPr>
        <w:pStyle w:val="H4GR"/>
        <w:spacing w:before="240"/>
      </w:pPr>
      <w:r w:rsidRPr="00AB4C34">
        <w:tab/>
      </w:r>
      <w:r w:rsidRPr="00AB4C34">
        <w:tab/>
        <w:t>Группа по борьбе с антисемитизмом</w:t>
      </w:r>
    </w:p>
    <w:p w:rsidR="00FA567F" w:rsidRPr="00AB4C34" w:rsidRDefault="00FA567F" w:rsidP="004B4B9D">
      <w:pPr>
        <w:pStyle w:val="SingleTxtGR"/>
      </w:pPr>
      <w:r w:rsidRPr="00AB4C34">
        <w:t>117.</w:t>
      </w:r>
      <w:r w:rsidRPr="00AB4C34">
        <w:tab/>
        <w:t>В период 2006</w:t>
      </w:r>
      <w:r>
        <w:t>−</w:t>
      </w:r>
      <w:r w:rsidRPr="00AB4C34">
        <w:t>2012 годов функционирование и секретариатское обсл</w:t>
      </w:r>
      <w:r w:rsidRPr="00AB4C34">
        <w:t>у</w:t>
      </w:r>
      <w:r w:rsidRPr="00AB4C34">
        <w:t>живание Группы обеспечивались Центром по обеспечению равных возможн</w:t>
      </w:r>
      <w:r w:rsidRPr="00AB4C34">
        <w:t>о</w:t>
      </w:r>
      <w:r w:rsidRPr="00AB4C34">
        <w:t>стей и борьбе с расизмом. Наряду с этим в состав Группы входили представ</w:t>
      </w:r>
      <w:r w:rsidRPr="00AB4C34">
        <w:t>и</w:t>
      </w:r>
      <w:r w:rsidRPr="00AB4C34">
        <w:t xml:space="preserve">тели министерств юстиции, внутренних дел и равенства возможностей, а также представители еврейской общины. </w:t>
      </w:r>
    </w:p>
    <w:p w:rsidR="00FA567F" w:rsidRPr="00AB4C34" w:rsidRDefault="00FA567F" w:rsidP="004B4B9D">
      <w:pPr>
        <w:pStyle w:val="SingleTxtGR"/>
      </w:pPr>
      <w:r w:rsidRPr="00AB4C34">
        <w:t>118.</w:t>
      </w:r>
      <w:r w:rsidRPr="00AB4C34">
        <w:tab/>
        <w:t>Когда в 2012 году было сформировано новое федеральное правительство, Министерство внутренних дел начало консультации с представителями евре</w:t>
      </w:r>
      <w:r w:rsidRPr="00AB4C34">
        <w:t>й</w:t>
      </w:r>
      <w:r w:rsidRPr="00AB4C34">
        <w:t>ских организаций Бельгии. После их проведения Совет министров постановил усилить Группу путем привлечения профильных министров к участию в ее р</w:t>
      </w:r>
      <w:r w:rsidRPr="00AB4C34">
        <w:t>а</w:t>
      </w:r>
      <w:r w:rsidRPr="00AB4C34">
        <w:t>боте. Теперь на совещаниях группы будут попеременно председательствовать представители Мин</w:t>
      </w:r>
      <w:r w:rsidRPr="00AB4C34">
        <w:t>и</w:t>
      </w:r>
      <w:r w:rsidRPr="00AB4C34">
        <w:t>стерства внутренних дел и Министерства юстиции. Наряду с этим к участию в деятельности группы будут привлечены высокопоставле</w:t>
      </w:r>
      <w:r w:rsidRPr="00AB4C34">
        <w:t>н</w:t>
      </w:r>
      <w:r w:rsidRPr="00AB4C34">
        <w:t>ные работники прокуратуры и начальники органов полиции городов, где пр</w:t>
      </w:r>
      <w:r w:rsidRPr="00AB4C34">
        <w:t>о</w:t>
      </w:r>
      <w:r w:rsidRPr="00AB4C34">
        <w:t>живают многочисленные еврейские общины. Центр, в свою очередь, продолж</w:t>
      </w:r>
      <w:r w:rsidRPr="00AB4C34">
        <w:t>а</w:t>
      </w:r>
      <w:r w:rsidRPr="00AB4C34">
        <w:t xml:space="preserve">ет выполнять функции секретариата Группы. </w:t>
      </w:r>
    </w:p>
    <w:p w:rsidR="00FA567F" w:rsidRPr="00AB4C34" w:rsidRDefault="00FA567F" w:rsidP="004B4B9D">
      <w:pPr>
        <w:pStyle w:val="SingleTxtGR"/>
      </w:pPr>
      <w:r w:rsidRPr="00AB4C34">
        <w:t>119.</w:t>
      </w:r>
      <w:r w:rsidRPr="00AB4C34">
        <w:tab/>
        <w:t>Пути совершенствования деятельности изучаются главным образом в двух крупных областях:</w:t>
      </w:r>
    </w:p>
    <w:p w:rsidR="00FA567F" w:rsidRPr="00AB4C34" w:rsidRDefault="00FA567F" w:rsidP="004B4B9D">
      <w:pPr>
        <w:pStyle w:val="Bullet1GR"/>
        <w:numPr>
          <w:ilvl w:val="0"/>
          <w:numId w:val="1"/>
        </w:numPr>
      </w:pPr>
      <w:r w:rsidRPr="00AB4C34">
        <w:t>повышение уровня безопасности вблизи мест отправления культа и школ п</w:t>
      </w:r>
      <w:r w:rsidRPr="00AB4C34">
        <w:t>о</w:t>
      </w:r>
      <w:r w:rsidRPr="00AB4C34">
        <w:t>средством улучшения координации действий между органами полиции и вну</w:t>
      </w:r>
      <w:r w:rsidRPr="00AB4C34">
        <w:t>т</w:t>
      </w:r>
      <w:r w:rsidRPr="00AB4C34">
        <w:t>ренними службами безопасности;</w:t>
      </w:r>
    </w:p>
    <w:p w:rsidR="00FA567F" w:rsidRPr="00AB4C34" w:rsidRDefault="00FA567F" w:rsidP="004B4B9D">
      <w:pPr>
        <w:pStyle w:val="Bullet1GR"/>
        <w:numPr>
          <w:ilvl w:val="0"/>
          <w:numId w:val="1"/>
        </w:numPr>
      </w:pPr>
      <w:r w:rsidRPr="00AB4C34">
        <w:t>стимулирование лиц, пострадавших от проявлений антисемитизма, к п</w:t>
      </w:r>
      <w:r w:rsidRPr="00AB4C34">
        <w:t>о</w:t>
      </w:r>
      <w:r w:rsidRPr="00AB4C34">
        <w:t>даче жалобы наряду с совершенствованием системы приема потерпевших в полицейских участках и составления протоколов с указанием сотрудн</w:t>
      </w:r>
      <w:r w:rsidRPr="00AB4C34">
        <w:t>и</w:t>
      </w:r>
      <w:r w:rsidRPr="00AB4C34">
        <w:t>ков полиции и судей, занимающихся делами о расизме и антисемитизме.</w:t>
      </w:r>
    </w:p>
    <w:p w:rsidR="00FA567F" w:rsidRPr="00AB4C34" w:rsidRDefault="00FA567F" w:rsidP="004B4B9D">
      <w:pPr>
        <w:pStyle w:val="SingleTxtGR"/>
      </w:pPr>
      <w:r w:rsidRPr="00AB4C34">
        <w:t>120.</w:t>
      </w:r>
      <w:r w:rsidRPr="00AB4C34">
        <w:tab/>
        <w:t>Сбор данных обеспечивается Центром, который тесно сотрудничает с о</w:t>
      </w:r>
      <w:r w:rsidRPr="00AB4C34">
        <w:t>р</w:t>
      </w:r>
      <w:r w:rsidRPr="00AB4C34">
        <w:t>ганизацией добровольцев</w:t>
      </w:r>
      <w:r w:rsidRPr="00EF1182">
        <w:t xml:space="preserve"> </w:t>
      </w:r>
      <w:hyperlink r:id="rId8" w:history="1">
        <w:r w:rsidRPr="00EF1182">
          <w:rPr>
            <w:rStyle w:val="Hyperlink"/>
            <w:u w:val="none"/>
          </w:rPr>
          <w:t>www.antisémitisme.be</w:t>
        </w:r>
      </w:hyperlink>
      <w:r w:rsidRPr="00AB4C34">
        <w:t xml:space="preserve"> в сфере регистрации инциде</w:t>
      </w:r>
      <w:r w:rsidRPr="00AB4C34">
        <w:t>н</w:t>
      </w:r>
      <w:r w:rsidRPr="00AB4C34">
        <w:t>тов, связанных с антисемитизмом и отрицанием Х</w:t>
      </w:r>
      <w:r w:rsidRPr="00AB4C34">
        <w:t>о</w:t>
      </w:r>
      <w:r w:rsidRPr="00AB4C34">
        <w:t>локоста.</w:t>
      </w:r>
    </w:p>
    <w:p w:rsidR="00FA567F" w:rsidRPr="00AB4C34" w:rsidRDefault="00FA567F" w:rsidP="004B4B9D">
      <w:pPr>
        <w:pStyle w:val="SingleTxtGR"/>
      </w:pPr>
      <w:r w:rsidRPr="00AB4C34">
        <w:t>121.</w:t>
      </w:r>
      <w:r w:rsidRPr="00AB4C34">
        <w:tab/>
        <w:t>Антисемитские высказывания, о которых было сообщено, включают у</w:t>
      </w:r>
      <w:r w:rsidRPr="00AB4C34">
        <w:t>г</w:t>
      </w:r>
      <w:r w:rsidRPr="00AB4C34">
        <w:t>розы убийством и заявления об отрицании Холокоста. К другим проявлениям антисемитизма, выявленным за последние годы, относятся оскорбительные в</w:t>
      </w:r>
      <w:r w:rsidRPr="00AB4C34">
        <w:t>ы</w:t>
      </w:r>
      <w:r w:rsidRPr="00AB4C34">
        <w:t>сказывания и нападения, в том числе на детей, в частности в Брюсселе и А</w:t>
      </w:r>
      <w:r w:rsidRPr="00AB4C34">
        <w:t>н</w:t>
      </w:r>
      <w:r w:rsidRPr="00AB4C34">
        <w:t>тверпене. Кроме того, отмечались случаи вандализма в отношении синагог и частной собственности евреев.</w:t>
      </w:r>
    </w:p>
    <w:p w:rsidR="00FA567F" w:rsidRPr="00AB4C34" w:rsidRDefault="00FA567F" w:rsidP="004B4B9D">
      <w:pPr>
        <w:pStyle w:val="SingleTxtGR"/>
      </w:pPr>
      <w:r w:rsidRPr="00AB4C34">
        <w:t>122.</w:t>
      </w:r>
      <w:r w:rsidRPr="00AB4C34">
        <w:tab/>
        <w:t>За последние шесть лет наблюдается относительная стабильность числа сообщений/дел об ант</w:t>
      </w:r>
      <w:r w:rsidRPr="00AB4C34">
        <w:t>и</w:t>
      </w:r>
      <w:r w:rsidRPr="00AB4C34">
        <w:t>семитизме: их количество колеблется на уровне порядка 60 в год. При этом в 2009 и 2011 годах был отмечен рост их числа: в эти годы оно составило соответственно более 100 сообщений и 82 сообщения</w:t>
      </w:r>
      <w:r w:rsidRPr="002E565C">
        <w:rPr>
          <w:rStyle w:val="FootnoteReference"/>
        </w:rPr>
        <w:footnoteReference w:id="18"/>
      </w:r>
      <w:r w:rsidRPr="00AB4C34">
        <w:t>. С др</w:t>
      </w:r>
      <w:r w:rsidRPr="00AB4C34">
        <w:t>у</w:t>
      </w:r>
      <w:r w:rsidRPr="00AB4C34">
        <w:t>гой стороны, в последующие годы стала более отчетливой тенденция к нара</w:t>
      </w:r>
      <w:r w:rsidRPr="00AB4C34">
        <w:t>с</w:t>
      </w:r>
      <w:r w:rsidRPr="00AB4C34">
        <w:t>танию антисемитизма в Интернете, появившаяся в 2006 году. Соответствующие стат</w:t>
      </w:r>
      <w:r w:rsidRPr="00AB4C34">
        <w:t>и</w:t>
      </w:r>
      <w:r w:rsidRPr="00AB4C34">
        <w:t>стические данные приводятся в прил</w:t>
      </w:r>
      <w:r w:rsidRPr="00AB4C34">
        <w:t>о</w:t>
      </w:r>
      <w:r w:rsidRPr="00AB4C34">
        <w:t>жении (приложение VII, таблицы 1</w:t>
      </w:r>
      <w:r>
        <w:t>−</w:t>
      </w:r>
      <w:r w:rsidRPr="00AB4C34">
        <w:t>3).</w:t>
      </w:r>
    </w:p>
    <w:p w:rsidR="00FA567F" w:rsidRPr="00AB4C34" w:rsidRDefault="00FA567F" w:rsidP="00B870F9">
      <w:pPr>
        <w:pStyle w:val="H4GR"/>
        <w:spacing w:before="240"/>
      </w:pPr>
      <w:r w:rsidRPr="00AB4C34">
        <w:tab/>
      </w:r>
      <w:r w:rsidRPr="00AB4C34">
        <w:tab/>
        <w:t xml:space="preserve">Борьба против исламофобии </w:t>
      </w:r>
    </w:p>
    <w:p w:rsidR="00FA567F" w:rsidRPr="00AB4C34" w:rsidRDefault="00FA567F" w:rsidP="004B4B9D">
      <w:pPr>
        <w:pStyle w:val="SingleTxtGR"/>
      </w:pPr>
      <w:r w:rsidRPr="00AB4C34">
        <w:t>123.</w:t>
      </w:r>
      <w:r w:rsidRPr="00AB4C34">
        <w:tab/>
        <w:t>В последние годы наблюдался постоянный рост масштабов нетерпим</w:t>
      </w:r>
      <w:r w:rsidRPr="00AB4C34">
        <w:t>о</w:t>
      </w:r>
      <w:r w:rsidRPr="00AB4C34">
        <w:t xml:space="preserve">сти, проявляемой на основе культурных различий. Общественные дискуссии об интеграции зачастую сосредоточены на исламе, и в ходе этих дискуссий часто проводятся параллели между террористами, религиозными экстремистами и мусульманским населением в целом. </w:t>
      </w:r>
    </w:p>
    <w:p w:rsidR="00FA567F" w:rsidRPr="00AB4C34" w:rsidRDefault="00FA567F" w:rsidP="004B4B9D">
      <w:pPr>
        <w:pStyle w:val="SingleTxtGR"/>
      </w:pPr>
      <w:r w:rsidRPr="00AB4C34">
        <w:t>124.</w:t>
      </w:r>
      <w:r w:rsidRPr="00AB4C34">
        <w:tab/>
        <w:t>За неимением данных вплоть до 2009 года было трудно оценить масшт</w:t>
      </w:r>
      <w:r w:rsidRPr="00AB4C34">
        <w:t>а</w:t>
      </w:r>
      <w:r w:rsidRPr="00AB4C34">
        <w:t>бы этого явления. С тех пор Центр по обеспечению равных возможностей и борьбе с расизмом в своем годовом докладе приводит оценочные данные о чи</w:t>
      </w:r>
      <w:r w:rsidRPr="00AB4C34">
        <w:t>с</w:t>
      </w:r>
      <w:r w:rsidRPr="00AB4C34">
        <w:t>ле актов или высказываний исламофобного характера в разбивке по сл</w:t>
      </w:r>
      <w:r w:rsidRPr="00AB4C34">
        <w:t>е</w:t>
      </w:r>
      <w:r w:rsidRPr="00AB4C34">
        <w:t>дующим категориям (см. стр. 56</w:t>
      </w:r>
      <w:r>
        <w:t>−</w:t>
      </w:r>
      <w:r w:rsidRPr="00AB4C34">
        <w:t>60 доклада Центра о дискриминации за 2008 год, пр</w:t>
      </w:r>
      <w:r w:rsidRPr="00AB4C34">
        <w:t>и</w:t>
      </w:r>
      <w:r w:rsidRPr="00AB4C34">
        <w:t>ложение VIII):</w:t>
      </w:r>
    </w:p>
    <w:p w:rsidR="00FA567F" w:rsidRPr="00AB4C34" w:rsidRDefault="00FA567F" w:rsidP="004B4B9D">
      <w:pPr>
        <w:pStyle w:val="Bullet1GR"/>
        <w:numPr>
          <w:ilvl w:val="0"/>
          <w:numId w:val="1"/>
        </w:numPr>
      </w:pPr>
      <w:r w:rsidRPr="00AB4C34">
        <w:t>исламофобные акты или высказывания, наказ</w:t>
      </w:r>
      <w:r>
        <w:t>уемые на основании Закона от 10 </w:t>
      </w:r>
      <w:r w:rsidRPr="00AB4C34">
        <w:t>мая 2007 года, направленного на борьбу против некоторых форм дискрим</w:t>
      </w:r>
      <w:r w:rsidRPr="00AB4C34">
        <w:t>и</w:t>
      </w:r>
      <w:r w:rsidRPr="00AB4C34">
        <w:t>нации;</w:t>
      </w:r>
    </w:p>
    <w:p w:rsidR="00FA567F" w:rsidRPr="00AB4C34" w:rsidRDefault="00FA567F" w:rsidP="004B4B9D">
      <w:pPr>
        <w:pStyle w:val="Bullet1GR"/>
        <w:numPr>
          <w:ilvl w:val="0"/>
          <w:numId w:val="1"/>
        </w:numPr>
      </w:pPr>
      <w:r w:rsidRPr="00AB4C34">
        <w:t xml:space="preserve">исламофобные акты или высказывания, не являющиеся наказуемыми на основании Закона от 10 мая 2007 года, направленного на борьбу против некоторых форм дискриминации; </w:t>
      </w:r>
    </w:p>
    <w:p w:rsidR="00FA567F" w:rsidRPr="00AB4C34" w:rsidRDefault="00FA567F" w:rsidP="004B4B9D">
      <w:pPr>
        <w:pStyle w:val="Bullet1GR"/>
        <w:numPr>
          <w:ilvl w:val="0"/>
          <w:numId w:val="1"/>
        </w:numPr>
      </w:pPr>
      <w:r w:rsidRPr="00AB4C34">
        <w:t>акты или высказывания, не связанные с исламофобией.</w:t>
      </w:r>
    </w:p>
    <w:p w:rsidR="00FA567F" w:rsidRPr="00AB4C34" w:rsidRDefault="00FA567F" w:rsidP="004B4B9D">
      <w:pPr>
        <w:pStyle w:val="SingleTxtGR"/>
      </w:pPr>
      <w:r w:rsidRPr="00AB4C34">
        <w:t>125.</w:t>
      </w:r>
      <w:r w:rsidRPr="00AB4C34">
        <w:tab/>
        <w:t>За последние три года по фактам проявления исламофобии было возбу</w:t>
      </w:r>
      <w:r w:rsidRPr="00AB4C34">
        <w:t>ж</w:t>
      </w:r>
      <w:r w:rsidRPr="00AB4C34">
        <w:t xml:space="preserve">дено 490 дел (в 2011 году </w:t>
      </w:r>
      <w:r>
        <w:t>−</w:t>
      </w:r>
      <w:r w:rsidRPr="00AB4C34">
        <w:t xml:space="preserve"> 164, в 2010 году </w:t>
      </w:r>
      <w:r>
        <w:t>−</w:t>
      </w:r>
      <w:r w:rsidRPr="00AB4C34">
        <w:t xml:space="preserve"> 139 и в 2009 году </w:t>
      </w:r>
      <w:r>
        <w:t>−</w:t>
      </w:r>
      <w:r w:rsidRPr="00AB4C34">
        <w:t xml:space="preserve"> 187). Знач</w:t>
      </w:r>
      <w:r w:rsidRPr="00AB4C34">
        <w:t>и</w:t>
      </w:r>
      <w:r w:rsidRPr="00AB4C34">
        <w:t>тельная часть этих дел связана с комментариями, публикуемыми в Интернете; другие дела такого рода касаются сферы трудовых отношений или проблем с</w:t>
      </w:r>
      <w:r w:rsidRPr="00AB4C34">
        <w:t>о</w:t>
      </w:r>
      <w:r w:rsidRPr="00AB4C34">
        <w:t>существования, продиктованных исламофобией (см. статистические данные в приложении VII, табл</w:t>
      </w:r>
      <w:r w:rsidRPr="00AB4C34">
        <w:t>и</w:t>
      </w:r>
      <w:r w:rsidRPr="00AB4C34">
        <w:t>ца 4).</w:t>
      </w:r>
    </w:p>
    <w:p w:rsidR="00FA567F" w:rsidRPr="00AB4C34" w:rsidRDefault="0088191A" w:rsidP="004B4B9D">
      <w:pPr>
        <w:pStyle w:val="HChGR"/>
      </w:pPr>
      <w:r>
        <w:tab/>
      </w:r>
      <w:r>
        <w:tab/>
        <w:t>Статья 3</w:t>
      </w:r>
      <w:r>
        <w:br/>
      </w:r>
      <w:r w:rsidR="00FA567F" w:rsidRPr="00AB4C34">
        <w:t xml:space="preserve">Осуждение расовой сегрегации и апартеида </w:t>
      </w:r>
    </w:p>
    <w:p w:rsidR="00FA567F" w:rsidRPr="00AB4C34" w:rsidRDefault="00FA567F" w:rsidP="004B4B9D">
      <w:pPr>
        <w:pStyle w:val="SingleTxtGR"/>
      </w:pPr>
      <w:r w:rsidRPr="00AB4C34">
        <w:t>126.</w:t>
      </w:r>
      <w:r w:rsidRPr="00AB4C34">
        <w:tab/>
        <w:t>В Бельгии не существует никакой системы расовой сегрегации или апа</w:t>
      </w:r>
      <w:r w:rsidRPr="00AB4C34">
        <w:t>р</w:t>
      </w:r>
      <w:r w:rsidR="00C7582F">
        <w:t>теида; тем не менее</w:t>
      </w:r>
      <w:r w:rsidRPr="00AB4C34">
        <w:t xml:space="preserve"> она решительно осуждает подобную практику.</w:t>
      </w:r>
    </w:p>
    <w:p w:rsidR="00FA567F" w:rsidRPr="00AB4C34" w:rsidRDefault="00FA567F" w:rsidP="004B4B9D">
      <w:pPr>
        <w:pStyle w:val="SingleTxtGR"/>
      </w:pPr>
      <w:r w:rsidRPr="00AB4C34">
        <w:t>127.</w:t>
      </w:r>
      <w:r w:rsidRPr="00AB4C34">
        <w:tab/>
        <w:t>Апартеид считается преступлением против человечности, когда он с</w:t>
      </w:r>
      <w:r w:rsidRPr="00AB4C34">
        <w:t>о</w:t>
      </w:r>
      <w:r w:rsidRPr="00AB4C34">
        <w:t>вершается в рамках широкомасштабного или систематического нападения на любых гражданских лиц, если такое нападение сове</w:t>
      </w:r>
      <w:r w:rsidRPr="00AB4C34">
        <w:t>р</w:t>
      </w:r>
      <w:r w:rsidRPr="00AB4C34">
        <w:t>шается сознательно. Такое преступление наказывается пожизненным тюремным заключением незав</w:t>
      </w:r>
      <w:r w:rsidRPr="00AB4C34">
        <w:t>и</w:t>
      </w:r>
      <w:r w:rsidRPr="00AB4C34">
        <w:t>симо от того, совершено ли оно в военное или в мирное время (статья 136-</w:t>
      </w:r>
      <w:r>
        <w:t>тер</w:t>
      </w:r>
      <w:r w:rsidRPr="00AB4C34">
        <w:t xml:space="preserve"> Разд</w:t>
      </w:r>
      <w:r w:rsidRPr="00AB4C34">
        <w:t>е</w:t>
      </w:r>
      <w:r w:rsidRPr="00AB4C34">
        <w:t>ла 1-</w:t>
      </w:r>
      <w:r>
        <w:t>бис</w:t>
      </w:r>
      <w:r w:rsidRPr="00AB4C34">
        <w:t xml:space="preserve"> Уголовного кодекса). </w:t>
      </w:r>
    </w:p>
    <w:p w:rsidR="00FA567F" w:rsidRPr="00AB4C34" w:rsidRDefault="00FA567F" w:rsidP="004B4B9D">
      <w:pPr>
        <w:pStyle w:val="SingleTxtGR"/>
      </w:pPr>
      <w:r w:rsidRPr="00AB4C34">
        <w:t>128.</w:t>
      </w:r>
      <w:r w:rsidRPr="00AB4C34">
        <w:tab/>
        <w:t>Совершение актов апартеида или других бесчеловечных или унижающих достоинство действий, основанных на расовой дискриминации или влекущих оскорбление достоинства личности, считается преступлением по междунаро</w:t>
      </w:r>
      <w:r w:rsidRPr="00AB4C34">
        <w:t>д</w:t>
      </w:r>
      <w:r w:rsidRPr="00AB4C34">
        <w:t>ному праву, когда оно происходит в условиях, предусмотренных Женевскими конвенциями от 12 августа 1949 года (и дополнительными протоколами к ним) и Римским статутом Международного уголовного суда. Мерой наказания за т</w:t>
      </w:r>
      <w:r w:rsidRPr="00AB4C34">
        <w:t>а</w:t>
      </w:r>
      <w:r w:rsidRPr="00AB4C34">
        <w:t>кое деяние является тюремное заключение на срок от 10 до 15 лет при условии применения положений уголовного законодательства, предусматривающих б</w:t>
      </w:r>
      <w:r w:rsidRPr="00AB4C34">
        <w:t>о</w:t>
      </w:r>
      <w:r w:rsidRPr="00AB4C34">
        <w:t>лее суровое наказание за тяжкое посягательство на достоинство личности (ст</w:t>
      </w:r>
      <w:r w:rsidRPr="00AB4C34">
        <w:t>а</w:t>
      </w:r>
      <w:r w:rsidRPr="00AB4C34">
        <w:t>тья 136-</w:t>
      </w:r>
      <w:r>
        <w:t>тер</w:t>
      </w:r>
      <w:r w:rsidRPr="00AB4C34">
        <w:t xml:space="preserve"> Ра</w:t>
      </w:r>
      <w:r w:rsidRPr="00AB4C34">
        <w:t>з</w:t>
      </w:r>
      <w:r w:rsidRPr="00AB4C34">
        <w:t>дела 1-</w:t>
      </w:r>
      <w:r>
        <w:t>бис</w:t>
      </w:r>
      <w:r w:rsidRPr="00AB4C34">
        <w:t xml:space="preserve"> Уголовного кодекса).</w:t>
      </w:r>
    </w:p>
    <w:p w:rsidR="00FA567F" w:rsidRPr="00AB4C34" w:rsidRDefault="00FA567F" w:rsidP="004B4B9D">
      <w:pPr>
        <w:pStyle w:val="SingleTxtGR"/>
      </w:pPr>
      <w:r w:rsidRPr="00AB4C34">
        <w:t>129.</w:t>
      </w:r>
      <w:r w:rsidRPr="00AB4C34">
        <w:tab/>
        <w:t>Кроме того, статья 22 Закона от 30 июля 1981 года с изменениями, вн</w:t>
      </w:r>
      <w:r w:rsidRPr="00AB4C34">
        <w:t>е</w:t>
      </w:r>
      <w:r w:rsidRPr="00AB4C34">
        <w:t>сенными Законом от 10 мая 2007 года, предусматривает наказание за участие в группе или ассоциации, которая явно и систематически пропагандирует рас</w:t>
      </w:r>
      <w:r w:rsidRPr="00AB4C34">
        <w:t>о</w:t>
      </w:r>
      <w:r w:rsidRPr="00AB4C34">
        <w:t>вую дискриминацию или сегрегацию (см. выше).</w:t>
      </w:r>
    </w:p>
    <w:p w:rsidR="00FA567F" w:rsidRPr="00AB4C34" w:rsidRDefault="00C7582F" w:rsidP="004B4B9D">
      <w:pPr>
        <w:pStyle w:val="HChGR"/>
      </w:pPr>
      <w:r>
        <w:tab/>
      </w:r>
      <w:r>
        <w:tab/>
        <w:t>Статья 4</w:t>
      </w:r>
      <w:r>
        <w:br/>
      </w:r>
      <w:r w:rsidR="00FA567F" w:rsidRPr="00AB4C34">
        <w:t>Осуждение</w:t>
      </w:r>
      <w:r w:rsidR="00FA567F">
        <w:t xml:space="preserve"> всякой расистской пропаганды и </w:t>
      </w:r>
      <w:r w:rsidR="00FA567F" w:rsidRPr="00AB4C34">
        <w:t xml:space="preserve">всех расистских организаций </w:t>
      </w:r>
    </w:p>
    <w:p w:rsidR="00FA567F" w:rsidRPr="00AB4C34" w:rsidRDefault="00FA567F" w:rsidP="004B4B9D">
      <w:pPr>
        <w:pStyle w:val="H1GR"/>
      </w:pPr>
      <w:r w:rsidRPr="00AB4C34">
        <w:tab/>
        <w:t>A.</w:t>
      </w:r>
      <w:r w:rsidRPr="00AB4C34">
        <w:tab/>
        <w:t xml:space="preserve">Запрещение организаций, которые поощряют расовую дискриминацию и подстрекают к ней </w:t>
      </w:r>
    </w:p>
    <w:p w:rsidR="00FA567F" w:rsidRPr="00AB4C34" w:rsidRDefault="00FA567F" w:rsidP="004B4B9D">
      <w:pPr>
        <w:pStyle w:val="SingleTxtGR"/>
      </w:pPr>
      <w:r w:rsidRPr="00AB4C34">
        <w:t>130.</w:t>
      </w:r>
      <w:r w:rsidRPr="00AB4C34">
        <w:tab/>
        <w:t>В Бельгии всегда уделялось приоритетное внимание борьбе против орг</w:t>
      </w:r>
      <w:r w:rsidRPr="00AB4C34">
        <w:t>а</w:t>
      </w:r>
      <w:r w:rsidRPr="00AB4C34">
        <w:t>низаций, подстрекающих к дискриминации, и осуждению членов таких орган</w:t>
      </w:r>
      <w:r w:rsidRPr="00AB4C34">
        <w:t>и</w:t>
      </w:r>
      <w:r w:rsidRPr="00AB4C34">
        <w:t>заций. Среди целого комплекса соответствующих решений на эту тему целес</w:t>
      </w:r>
      <w:r w:rsidRPr="00AB4C34">
        <w:t>о</w:t>
      </w:r>
      <w:r w:rsidRPr="00AB4C34">
        <w:t>образно выделить, в частности, два следующих решения.</w:t>
      </w:r>
    </w:p>
    <w:p w:rsidR="00FA567F" w:rsidRPr="00AB4C34" w:rsidRDefault="00FA567F" w:rsidP="004B4B9D">
      <w:pPr>
        <w:pStyle w:val="SingleTxtGR"/>
      </w:pPr>
      <w:r w:rsidRPr="00AB4C34">
        <w:t>131.</w:t>
      </w:r>
      <w:r w:rsidRPr="00AB4C34">
        <w:tab/>
        <w:t xml:space="preserve">9 марта 2011 года трое членов группы </w:t>
      </w:r>
      <w:r>
        <w:t>"</w:t>
      </w:r>
      <w:r w:rsidRPr="00AB4C34">
        <w:t xml:space="preserve">Кровь и честь </w:t>
      </w:r>
      <w:r>
        <w:t>−</w:t>
      </w:r>
      <w:r w:rsidRPr="00AB4C34">
        <w:t xml:space="preserve"> Фландрия</w:t>
      </w:r>
      <w:r>
        <w:t>"</w:t>
      </w:r>
      <w:r w:rsidRPr="00AB4C34">
        <w:t>, и</w:t>
      </w:r>
      <w:r w:rsidRPr="00AB4C34">
        <w:t>з</w:t>
      </w:r>
      <w:r w:rsidRPr="00AB4C34">
        <w:t>вестной проведением своих неонацистских концертов, были осуждены испр</w:t>
      </w:r>
      <w:r w:rsidRPr="00AB4C34">
        <w:t>а</w:t>
      </w:r>
      <w:r w:rsidRPr="00AB4C34">
        <w:t>вительным судом Фюрнеса (Вёрне) к тюремному заключению на срок три м</w:t>
      </w:r>
      <w:r w:rsidRPr="00AB4C34">
        <w:t>е</w:t>
      </w:r>
      <w:r w:rsidRPr="00AB4C34">
        <w:t xml:space="preserve">сяца, причем для двух из них </w:t>
      </w:r>
      <w:r>
        <w:t>−</w:t>
      </w:r>
      <w:r w:rsidRPr="00AB4C34">
        <w:t xml:space="preserve"> с отсрочкой исполнения.</w:t>
      </w:r>
    </w:p>
    <w:p w:rsidR="00FA567F" w:rsidRPr="00AB4C34" w:rsidRDefault="00FA567F" w:rsidP="004B4B9D">
      <w:pPr>
        <w:pStyle w:val="SingleTxtGR"/>
      </w:pPr>
      <w:r w:rsidRPr="00AB4C34">
        <w:t>132.</w:t>
      </w:r>
      <w:r w:rsidRPr="00AB4C34">
        <w:tab/>
        <w:t>10 февраля 2012 года официальный представитель радикального исла</w:t>
      </w:r>
      <w:r w:rsidRPr="00AB4C34">
        <w:t>м</w:t>
      </w:r>
      <w:r w:rsidRPr="00AB4C34">
        <w:t xml:space="preserve">ского движения </w:t>
      </w:r>
      <w:r>
        <w:t>"</w:t>
      </w:r>
      <w:r w:rsidRPr="00AB4C34">
        <w:t>Sharia4Belgium</w:t>
      </w:r>
      <w:r>
        <w:t>"</w:t>
      </w:r>
      <w:r w:rsidRPr="00AB4C34">
        <w:t>, преследуемый за подстрекательство к нен</w:t>
      </w:r>
      <w:r w:rsidRPr="00AB4C34">
        <w:t>а</w:t>
      </w:r>
      <w:r w:rsidRPr="00AB4C34">
        <w:t>висти и насилию в отношении немусульман, был заочно приговорен исправ</w:t>
      </w:r>
      <w:r w:rsidRPr="00AB4C34">
        <w:t>и</w:t>
      </w:r>
      <w:r w:rsidRPr="00AB4C34">
        <w:t>тельным судом Антверпена к двум годам тюремного заключения и уплате штрафа в размере 550 евро. 30 марта 2012 года приговор был подтвержден, но наказание несколько смягчено. Это движение стремится установить законы ш</w:t>
      </w:r>
      <w:r w:rsidRPr="00AB4C34">
        <w:t>а</w:t>
      </w:r>
      <w:r w:rsidRPr="00AB4C34">
        <w:t>риата в Европе и является хорошо и</w:t>
      </w:r>
      <w:r w:rsidRPr="00AB4C34">
        <w:t>з</w:t>
      </w:r>
      <w:r w:rsidRPr="00AB4C34">
        <w:t>вестным в Бельгии. С другой стороны, его официальный представитель уже неоднократно подвергался судебному пресл</w:t>
      </w:r>
      <w:r w:rsidRPr="00AB4C34">
        <w:t>е</w:t>
      </w:r>
      <w:r w:rsidRPr="00AB4C34">
        <w:t xml:space="preserve">дованию и был осужден судами за совершение аналогичных деяний. </w:t>
      </w:r>
    </w:p>
    <w:p w:rsidR="00FA567F" w:rsidRPr="00AB4C34" w:rsidRDefault="00FA567F" w:rsidP="004B4B9D">
      <w:pPr>
        <w:pStyle w:val="SingleTxtGR"/>
      </w:pPr>
      <w:r w:rsidRPr="00AB4C34">
        <w:t>133.</w:t>
      </w:r>
      <w:r w:rsidRPr="00AB4C34">
        <w:tab/>
        <w:t>В настоящее время на рассмотрении парламента находится целый ряд з</w:t>
      </w:r>
      <w:r w:rsidRPr="00AB4C34">
        <w:t>а</w:t>
      </w:r>
      <w:r w:rsidRPr="00AB4C34">
        <w:t>конопроектов о запрещении недемократических группировок. Недавно прав</w:t>
      </w:r>
      <w:r w:rsidRPr="00AB4C34">
        <w:t>и</w:t>
      </w:r>
      <w:r w:rsidRPr="00AB4C34">
        <w:t xml:space="preserve">тельство обратило особое внимание на проблемы в этой области вследствие волнений, которые были вызваны организацией </w:t>
      </w:r>
      <w:r>
        <w:t>"</w:t>
      </w:r>
      <w:r w:rsidRPr="00AB4C34">
        <w:t>Sharia4Belgium</w:t>
      </w:r>
      <w:r>
        <w:t>"</w:t>
      </w:r>
      <w:r w:rsidRPr="00AB4C34">
        <w:t xml:space="preserve"> в мае 2012 г</w:t>
      </w:r>
      <w:r w:rsidRPr="00AB4C34">
        <w:t>о</w:t>
      </w:r>
      <w:r w:rsidRPr="00AB4C34">
        <w:t xml:space="preserve">да. Изначальной целью этих законодательных инициатив, внесенных в 2010 и 2011 годах, являлась борьба с неонацизмом, однако они могут применяться и к другим радикальным проявлениям. </w:t>
      </w:r>
    </w:p>
    <w:p w:rsidR="00FA567F" w:rsidRPr="00AB4C34" w:rsidRDefault="00FA567F" w:rsidP="004B4B9D">
      <w:pPr>
        <w:pStyle w:val="H1GR"/>
      </w:pPr>
      <w:r w:rsidRPr="00AB4C34">
        <w:tab/>
        <w:t>B.</w:t>
      </w:r>
      <w:r w:rsidRPr="00AB4C34">
        <w:tab/>
        <w:t xml:space="preserve">Финансирование партий, враждебно относящихся к свободам: процесс над партией </w:t>
      </w:r>
      <w:r>
        <w:t>"</w:t>
      </w:r>
      <w:r w:rsidRPr="00AB4C34">
        <w:t>Фл</w:t>
      </w:r>
      <w:r w:rsidRPr="00AB4C34">
        <w:t>а</w:t>
      </w:r>
      <w:r w:rsidRPr="00AB4C34">
        <w:t>мандский интерес</w:t>
      </w:r>
      <w:r>
        <w:t>"</w:t>
      </w:r>
    </w:p>
    <w:p w:rsidR="00FA567F" w:rsidRPr="00AB4C34" w:rsidRDefault="00FA567F" w:rsidP="004B4B9D">
      <w:pPr>
        <w:pStyle w:val="SingleTxtGR"/>
      </w:pPr>
      <w:r w:rsidRPr="00AB4C34">
        <w:t>134.</w:t>
      </w:r>
      <w:r w:rsidRPr="00AB4C34">
        <w:tab/>
        <w:t>Как отметил Комитет в своих рекомендациях, 17 мая 2006 года на ра</w:t>
      </w:r>
      <w:r w:rsidRPr="00AB4C34">
        <w:t>с</w:t>
      </w:r>
      <w:r w:rsidRPr="00AB4C34">
        <w:t>смотрение Государственного совета на основании статьи 15-</w:t>
      </w:r>
      <w:r>
        <w:t>тер</w:t>
      </w:r>
      <w:r w:rsidRPr="00AB4C34">
        <w:t xml:space="preserve"> Закона от 4 и</w:t>
      </w:r>
      <w:r w:rsidRPr="00AB4C34">
        <w:t>ю</w:t>
      </w:r>
      <w:r w:rsidRPr="00AB4C34">
        <w:t xml:space="preserve">ля 1989 года была подана жалоба с целью отмены субсидии, предоставленной партии </w:t>
      </w:r>
      <w:r>
        <w:t>"</w:t>
      </w:r>
      <w:r w:rsidRPr="00AB4C34">
        <w:t>Фламандский интерес</w:t>
      </w:r>
      <w:r>
        <w:t>"</w:t>
      </w:r>
      <w:r w:rsidRPr="00AB4C34">
        <w:t>. Эта партия упрекалась в том, что на целом р</w:t>
      </w:r>
      <w:r w:rsidRPr="00AB4C34">
        <w:t>я</w:t>
      </w:r>
      <w:r w:rsidRPr="00AB4C34">
        <w:t>де веб-сайтов партии, ее ячеек и уполномоченных лиц от ее имени выражалось враждебное отношение к основным правам.</w:t>
      </w:r>
    </w:p>
    <w:p w:rsidR="00FA567F" w:rsidRPr="00AB4C34" w:rsidRDefault="00FA567F" w:rsidP="004B4B9D">
      <w:pPr>
        <w:pStyle w:val="SingleTxtGR"/>
      </w:pPr>
      <w:r w:rsidRPr="00AB4C34">
        <w:t>135.</w:t>
      </w:r>
      <w:r w:rsidRPr="00AB4C34">
        <w:tab/>
        <w:t xml:space="preserve">По ходатайству </w:t>
      </w:r>
      <w:r>
        <w:t>"</w:t>
      </w:r>
      <w:r w:rsidRPr="00AB4C34">
        <w:t>Фламандского интереса</w:t>
      </w:r>
      <w:r>
        <w:t>"</w:t>
      </w:r>
      <w:r w:rsidRPr="00AB4C34">
        <w:t xml:space="preserve"> на рассмотрение Конституц</w:t>
      </w:r>
      <w:r w:rsidRPr="00AB4C34">
        <w:t>и</w:t>
      </w:r>
      <w:r w:rsidRPr="00AB4C34">
        <w:t>онного суда был вынесен целый ряд преюдициальных вопросов по поводу с</w:t>
      </w:r>
      <w:r w:rsidRPr="00AB4C34">
        <w:t>о</w:t>
      </w:r>
      <w:r w:rsidRPr="00AB4C34">
        <w:t>вместимости вышеупомянутой статьи со свободой выражения мнений и своб</w:t>
      </w:r>
      <w:r w:rsidRPr="00AB4C34">
        <w:t>о</w:t>
      </w:r>
      <w:r w:rsidRPr="00AB4C34">
        <w:t>дой собраний и ассоциаций. Суд подтвердил</w:t>
      </w:r>
      <w:r w:rsidRPr="002E565C">
        <w:rPr>
          <w:rStyle w:val="FootnoteReference"/>
        </w:rPr>
        <w:footnoteReference w:id="19"/>
      </w:r>
      <w:r w:rsidRPr="00C7582F">
        <w:rPr>
          <w:rStyle w:val="FootnoteReference"/>
          <w:vertAlign w:val="baseline"/>
        </w:rPr>
        <w:t>,</w:t>
      </w:r>
      <w:r w:rsidRPr="00C7582F">
        <w:t xml:space="preserve"> </w:t>
      </w:r>
      <w:r w:rsidRPr="00AB4C34">
        <w:t>что это положение не может сч</w:t>
      </w:r>
      <w:r w:rsidRPr="00AB4C34">
        <w:t>и</w:t>
      </w:r>
      <w:r w:rsidRPr="00AB4C34">
        <w:t>таться противоречащим указанным свободам при условии, если его толков</w:t>
      </w:r>
      <w:r w:rsidRPr="00AB4C34">
        <w:t>а</w:t>
      </w:r>
      <w:r w:rsidRPr="00AB4C34">
        <w:t xml:space="preserve">ние соответствует постановлению Суда № 10/2001 от 7 февраля 2001 года, где Суд разъяснил понятие </w:t>
      </w:r>
      <w:r>
        <w:t>"</w:t>
      </w:r>
      <w:r w:rsidRPr="00AB4C34">
        <w:t>враждебность</w:t>
      </w:r>
      <w:r>
        <w:t>"</w:t>
      </w:r>
      <w:r w:rsidRPr="00AB4C34">
        <w:t xml:space="preserve"> (по смыслу статьи 15-</w:t>
      </w:r>
      <w:r>
        <w:t>тер</w:t>
      </w:r>
      <w:r w:rsidRPr="00AB4C34">
        <w:t>), которое может пониматься только как явное подстрекательство к нарушению какой-либо де</w:t>
      </w:r>
      <w:r w:rsidRPr="00AB4C34">
        <w:t>й</w:t>
      </w:r>
      <w:r w:rsidRPr="00AB4C34">
        <w:t>ствующей правовой нормы (в частности, подстрекательство к совершению н</w:t>
      </w:r>
      <w:r w:rsidRPr="00AB4C34">
        <w:t>а</w:t>
      </w:r>
      <w:r w:rsidRPr="00AB4C34">
        <w:t>силия и к выступлению против философии и норм, закрепленных в Европе</w:t>
      </w:r>
      <w:r w:rsidRPr="00AB4C34">
        <w:t>й</w:t>
      </w:r>
      <w:r w:rsidRPr="00AB4C34">
        <w:t>ской конвенции о правах человека и проток</w:t>
      </w:r>
      <w:r w:rsidRPr="00AB4C34">
        <w:t>о</w:t>
      </w:r>
      <w:r w:rsidRPr="00AB4C34">
        <w:t>лах к ней).</w:t>
      </w:r>
    </w:p>
    <w:p w:rsidR="00FA567F" w:rsidRPr="00AB4C34" w:rsidRDefault="00FA567F" w:rsidP="004B4B9D">
      <w:pPr>
        <w:pStyle w:val="SingleTxtGR"/>
      </w:pPr>
      <w:r w:rsidRPr="00AB4C34">
        <w:t>136.</w:t>
      </w:r>
      <w:r w:rsidRPr="00AB4C34">
        <w:tab/>
        <w:t>Из этого следует, что для применения статьи 15-</w:t>
      </w:r>
      <w:r>
        <w:t>тер</w:t>
      </w:r>
      <w:r w:rsidRPr="00AB4C34">
        <w:t xml:space="preserve"> должно приниматься в расчет не выражение какого-либо мнения, а последствия, к которым привело выражение этого мнения. Поэтому вопрос о том, является ли выражение того или иного мнения бесспорным подстрекательством к нарушению одного из с</w:t>
      </w:r>
      <w:r w:rsidRPr="00AB4C34">
        <w:t>у</w:t>
      </w:r>
      <w:r w:rsidRPr="00AB4C34">
        <w:t>щественных принципов демократии, нужно рассматривать в зависимости от его содержания и контекста. Кроме того, в выраженном мнении должен проявлят</w:t>
      </w:r>
      <w:r w:rsidRPr="00AB4C34">
        <w:t>ь</w:t>
      </w:r>
      <w:r w:rsidRPr="00AB4C34">
        <w:t>ся какой-либо специфический, враждебный элемент морали, непременно пре</w:t>
      </w:r>
      <w:r w:rsidRPr="00AB4C34">
        <w:t>д</w:t>
      </w:r>
      <w:r w:rsidRPr="00AB4C34">
        <w:t>полагающий наличие сильных чувств и мыслей неприятия, ненависти и недо</w:t>
      </w:r>
      <w:r w:rsidRPr="00AB4C34">
        <w:t>б</w:t>
      </w:r>
      <w:r w:rsidRPr="00AB4C34">
        <w:t xml:space="preserve">рожелательства. </w:t>
      </w:r>
    </w:p>
    <w:p w:rsidR="00FA567F" w:rsidRPr="00AB4C34" w:rsidRDefault="00FA567F" w:rsidP="004B4B9D">
      <w:pPr>
        <w:pStyle w:val="SingleTxtGR"/>
      </w:pPr>
      <w:r>
        <w:t>137.</w:t>
      </w:r>
      <w:r>
        <w:tab/>
      </w:r>
      <w:r w:rsidRPr="00AB4C34">
        <w:t>В свете этих принципов Государственный совет</w:t>
      </w:r>
      <w:r w:rsidRPr="002E565C">
        <w:rPr>
          <w:rStyle w:val="FootnoteReference"/>
        </w:rPr>
        <w:footnoteReference w:id="20"/>
      </w:r>
      <w:r w:rsidRPr="00AB4C34">
        <w:t xml:space="preserve"> квалифицировал эти выступления в качестве язвительных и спорных и признал, что они способны вызвать озлобленность в отношениях между некоторыми группами общества и в конечном счете способствовать его поляризации и созданию обстановки н</w:t>
      </w:r>
      <w:r w:rsidRPr="00AB4C34">
        <w:t>е</w:t>
      </w:r>
      <w:r w:rsidRPr="00AB4C34">
        <w:t>терпимости. Тем не менее, признав эти выступления вызывающими явную оз</w:t>
      </w:r>
      <w:r w:rsidRPr="00AB4C34">
        <w:t>а</w:t>
      </w:r>
      <w:r w:rsidRPr="00AB4C34">
        <w:t xml:space="preserve">боченность и способными нанести обиду или оскорбление, Государственный совет не счел, что они </w:t>
      </w:r>
      <w:r>
        <w:t>"</w:t>
      </w:r>
      <w:r w:rsidRPr="00AB4C34">
        <w:t>подстрекают</w:t>
      </w:r>
      <w:r>
        <w:t>"</w:t>
      </w:r>
      <w:r w:rsidRPr="00AB4C34">
        <w:t xml:space="preserve"> к нарушению какой-либо действующей правовой нормы в том строгом смысле, в котором следует понимать этот те</w:t>
      </w:r>
      <w:r w:rsidRPr="00AB4C34">
        <w:t>р</w:t>
      </w:r>
      <w:r w:rsidRPr="00AB4C34">
        <w:t>мин; поэтому партия не была лишена предоставленной субсидии.</w:t>
      </w:r>
    </w:p>
    <w:p w:rsidR="00FA567F" w:rsidRPr="00AB4C34" w:rsidRDefault="00FA567F" w:rsidP="004B4B9D">
      <w:pPr>
        <w:pStyle w:val="HChGR"/>
      </w:pPr>
      <w:r w:rsidRPr="00AB4C34">
        <w:tab/>
      </w:r>
      <w:r w:rsidRPr="00AB4C34">
        <w:tab/>
        <w:t>Ст</w:t>
      </w:r>
      <w:r w:rsidR="00C7582F">
        <w:t>атья 5</w:t>
      </w:r>
      <w:r w:rsidR="00C7582F">
        <w:br/>
      </w:r>
      <w:r w:rsidRPr="00AB4C34">
        <w:t>Запрещение расовой дискриминации во всех ее формах</w:t>
      </w:r>
    </w:p>
    <w:p w:rsidR="00FA567F" w:rsidRPr="00AB4C34" w:rsidRDefault="00FA567F" w:rsidP="004B4B9D">
      <w:pPr>
        <w:pStyle w:val="H1GR"/>
      </w:pPr>
      <w:r w:rsidRPr="00AB4C34">
        <w:tab/>
        <w:t>A.</w:t>
      </w:r>
      <w:r w:rsidRPr="00AB4C34">
        <w:tab/>
        <w:t>Обновление положений, касающихся пребывания некоторых ин</w:t>
      </w:r>
      <w:r w:rsidRPr="00AB4C34">
        <w:t>о</w:t>
      </w:r>
      <w:r w:rsidRPr="00AB4C34">
        <w:t xml:space="preserve">странцев на территории Бельгии </w:t>
      </w:r>
    </w:p>
    <w:p w:rsidR="00FA567F" w:rsidRPr="00AB4C34" w:rsidRDefault="00FA567F" w:rsidP="004B4B9D">
      <w:pPr>
        <w:pStyle w:val="H23GR"/>
      </w:pPr>
      <w:r w:rsidRPr="00AB4C34">
        <w:tab/>
        <w:t>1.</w:t>
      </w:r>
      <w:r w:rsidRPr="00AB4C34">
        <w:tab/>
        <w:t>Процедура рассмотрения дел Советом по урегулированию споров, касающихся иностранцев</w:t>
      </w:r>
    </w:p>
    <w:p w:rsidR="00FA567F" w:rsidRPr="00AB4C34" w:rsidRDefault="00FA567F" w:rsidP="00E00022">
      <w:pPr>
        <w:pStyle w:val="H4GR"/>
        <w:spacing w:before="240"/>
      </w:pPr>
      <w:r w:rsidRPr="00AB4C34">
        <w:tab/>
      </w:r>
      <w:r w:rsidRPr="00AB4C34">
        <w:tab/>
        <w:t>Закон от 15 сентября 2006 года о ре</w:t>
      </w:r>
      <w:r>
        <w:t xml:space="preserve">форме Государственного совета </w:t>
      </w:r>
      <w:r w:rsidR="00C7582F">
        <w:br/>
      </w:r>
      <w:r w:rsidR="00C7582F">
        <w:tab/>
      </w:r>
      <w:r w:rsidR="00C7582F">
        <w:tab/>
      </w:r>
      <w:r>
        <w:t>и </w:t>
      </w:r>
      <w:r w:rsidRPr="00AB4C34">
        <w:t>учреждении Совета по урегулированию споров, касающихся иностранцев</w:t>
      </w:r>
      <w:r w:rsidR="00C7582F">
        <w:br/>
      </w:r>
      <w:r w:rsidR="00C7582F">
        <w:tab/>
      </w:r>
      <w:r w:rsidR="00C7582F">
        <w:tab/>
      </w:r>
      <w:r w:rsidRPr="00AB4C34">
        <w:t>(</w:t>
      </w:r>
      <w:r>
        <w:t>"</w:t>
      </w:r>
      <w:r w:rsidRPr="00AB4C34">
        <w:t>М.Б.</w:t>
      </w:r>
      <w:r>
        <w:t>"</w:t>
      </w:r>
      <w:r w:rsidRPr="00AB4C34">
        <w:t xml:space="preserve"> от 6 октября 2006 года)</w:t>
      </w:r>
    </w:p>
    <w:p w:rsidR="00FA567F" w:rsidRPr="00AB4C34" w:rsidRDefault="00FA567F" w:rsidP="004B4B9D">
      <w:pPr>
        <w:pStyle w:val="SingleTxtGR"/>
      </w:pPr>
      <w:r w:rsidRPr="00AB4C34">
        <w:t>138.</w:t>
      </w:r>
      <w:r w:rsidRPr="00AB4C34">
        <w:tab/>
        <w:t>В этом законе предусмотрен ряд мер по ликвидации и прекращению о</w:t>
      </w:r>
      <w:r w:rsidRPr="00AB4C34">
        <w:t>т</w:t>
      </w:r>
      <w:r w:rsidRPr="00AB4C34">
        <w:t>ставания в рассмотрении дел на уровне Государственного совета. Он гласит, что данный судебный орган может сосредоточиться на выполнении двух своих о</w:t>
      </w:r>
      <w:r w:rsidRPr="00AB4C34">
        <w:t>с</w:t>
      </w:r>
      <w:r w:rsidRPr="00AB4C34">
        <w:t>новных функций – составлении заключений и вынесении судебных решений. Ряд внесудебных полномочий, прежде возложенных на административный о</w:t>
      </w:r>
      <w:r w:rsidRPr="00AB4C34">
        <w:t>т</w:t>
      </w:r>
      <w:r w:rsidRPr="00AB4C34">
        <w:t>дел, в настоящее время упразднен. Аналогичным образом, полномочия Гос</w:t>
      </w:r>
      <w:r w:rsidRPr="00AB4C34">
        <w:t>у</w:t>
      </w:r>
      <w:r w:rsidRPr="00AB4C34">
        <w:t>дарственного совета по разрешению споров в связи с отдельными решениями в области права иностранцев упразднены и переданы вновь созданному Совету по урегулированию споров, касающихся иностранцев (ССИ). Кроме того, этому судебному органу передаются все полномочия Постоянной комиссии по ра</w:t>
      </w:r>
      <w:r w:rsidRPr="00AB4C34">
        <w:t>с</w:t>
      </w:r>
      <w:r w:rsidRPr="00AB4C34">
        <w:t>смотрению жалоб беженцев.</w:t>
      </w:r>
    </w:p>
    <w:p w:rsidR="00FA567F" w:rsidRPr="00AB4C34" w:rsidRDefault="00FA567F" w:rsidP="00E00022">
      <w:pPr>
        <w:pStyle w:val="H4GR"/>
        <w:spacing w:before="240"/>
      </w:pPr>
      <w:r w:rsidRPr="00AB4C34">
        <w:tab/>
      </w:r>
      <w:r w:rsidRPr="00AB4C34">
        <w:tab/>
        <w:t xml:space="preserve">Закон от 23 декабря 2009 года о различных </w:t>
      </w:r>
      <w:r>
        <w:t xml:space="preserve">положениях в области миграции </w:t>
      </w:r>
      <w:r w:rsidR="00C7582F">
        <w:br/>
      </w:r>
      <w:r w:rsidR="00C7582F">
        <w:tab/>
      </w:r>
      <w:r w:rsidR="00C7582F">
        <w:tab/>
      </w:r>
      <w:r>
        <w:t>и </w:t>
      </w:r>
      <w:r w:rsidRPr="00AB4C34">
        <w:t>убежища (</w:t>
      </w:r>
      <w:r>
        <w:t>"</w:t>
      </w:r>
      <w:r w:rsidRPr="00AB4C34">
        <w:t>М.Б.</w:t>
      </w:r>
      <w:r>
        <w:t>"</w:t>
      </w:r>
      <w:r w:rsidRPr="00AB4C34">
        <w:t xml:space="preserve"> от 31 декабря 2009 года)</w:t>
      </w:r>
    </w:p>
    <w:p w:rsidR="00FA567F" w:rsidRPr="00AB4C34" w:rsidRDefault="00FA567F" w:rsidP="004B4B9D">
      <w:pPr>
        <w:pStyle w:val="SingleTxtGR"/>
      </w:pPr>
      <w:r w:rsidRPr="00AB4C34">
        <w:t>139.</w:t>
      </w:r>
      <w:r w:rsidRPr="00AB4C34">
        <w:tab/>
        <w:t>Закон направлен на устранение различия между сроком в восемь дней и сроком в 15 дней, которое существует в процедуре рассмотрения полного ко</w:t>
      </w:r>
      <w:r w:rsidRPr="00AB4C34">
        <w:t>м</w:t>
      </w:r>
      <w:r w:rsidRPr="00AB4C34">
        <w:t>плекса судебных споров, и увеличивает этот срок до 15 дней. Целью данного закона также является временное расширение судейского состава Совета по урегулированию споров, касающихся иностранцев.</w:t>
      </w:r>
    </w:p>
    <w:p w:rsidR="00FA567F" w:rsidRPr="00AB4C34" w:rsidRDefault="00FA567F" w:rsidP="00E00022">
      <w:pPr>
        <w:pStyle w:val="H4GR"/>
        <w:spacing w:before="240"/>
      </w:pPr>
      <w:r w:rsidRPr="00AB4C34">
        <w:tab/>
      </w:r>
      <w:r w:rsidRPr="00AB4C34">
        <w:tab/>
        <w:t>Закон от 29 декабря 2010 года о различных положениях (</w:t>
      </w:r>
      <w:r>
        <w:t>"</w:t>
      </w:r>
      <w:r w:rsidRPr="00AB4C34">
        <w:t>М.Б.</w:t>
      </w:r>
      <w:r>
        <w:t>"</w:t>
      </w:r>
      <w:r w:rsidRPr="00AB4C34">
        <w:t xml:space="preserve"> от </w:t>
      </w:r>
      <w:r w:rsidR="00C7582F">
        <w:br/>
      </w:r>
      <w:r w:rsidR="00C7582F">
        <w:tab/>
      </w:r>
      <w:r w:rsidR="00C7582F">
        <w:tab/>
      </w:r>
      <w:r w:rsidRPr="00AB4C34">
        <w:t>31 декабря 2010 года)</w:t>
      </w:r>
    </w:p>
    <w:p w:rsidR="00FA567F" w:rsidRPr="00AB4C34" w:rsidRDefault="00FA567F" w:rsidP="004B4B9D">
      <w:pPr>
        <w:pStyle w:val="SingleTxtGR"/>
      </w:pPr>
      <w:r w:rsidRPr="00AB4C34">
        <w:t>140.</w:t>
      </w:r>
      <w:r w:rsidRPr="00AB4C34">
        <w:tab/>
        <w:t>Этот закон вносит изменения в некоторые положения процедуры ра</w:t>
      </w:r>
      <w:r w:rsidRPr="00AB4C34">
        <w:t>с</w:t>
      </w:r>
      <w:r w:rsidRPr="00AB4C34">
        <w:t>смотрения дел в ССИ с целью ее упрощения. Так, например, разрешается н</w:t>
      </w:r>
      <w:r w:rsidRPr="00AB4C34">
        <w:t>а</w:t>
      </w:r>
      <w:r w:rsidRPr="00AB4C34">
        <w:t>правление уведомлений обычным заказным письмом.</w:t>
      </w:r>
    </w:p>
    <w:p w:rsidR="00FA567F" w:rsidRPr="00AB4C34" w:rsidRDefault="00FA567F" w:rsidP="004B4B9D">
      <w:pPr>
        <w:pStyle w:val="H23GR"/>
      </w:pPr>
      <w:r w:rsidRPr="00AB4C34">
        <w:tab/>
        <w:t>2.</w:t>
      </w:r>
      <w:r w:rsidRPr="00AB4C34">
        <w:tab/>
        <w:t>Убежище</w:t>
      </w:r>
    </w:p>
    <w:p w:rsidR="00FA567F" w:rsidRPr="00AB4C34" w:rsidRDefault="00FA567F" w:rsidP="00E00022">
      <w:pPr>
        <w:pStyle w:val="H4GR"/>
        <w:spacing w:before="240"/>
      </w:pPr>
      <w:r w:rsidRPr="00AB4C34">
        <w:tab/>
      </w:r>
      <w:r w:rsidRPr="00AB4C34">
        <w:tab/>
        <w:t xml:space="preserve">Закон от 15 сентября 2006 года о внесении изменений в Закон от 15 декабря </w:t>
      </w:r>
      <w:r w:rsidR="00C7582F">
        <w:br/>
      </w:r>
      <w:r w:rsidR="00C7582F">
        <w:tab/>
      </w:r>
      <w:r w:rsidR="00C7582F">
        <w:tab/>
      </w:r>
      <w:r w:rsidRPr="00AB4C34">
        <w:t xml:space="preserve">1980 о доступе иностранцев на территорию, их пребывании, получении ими </w:t>
      </w:r>
      <w:r w:rsidR="00C7582F">
        <w:br/>
      </w:r>
      <w:r w:rsidR="00C7582F">
        <w:tab/>
      </w:r>
      <w:r w:rsidR="00C7582F">
        <w:tab/>
      </w:r>
      <w:r w:rsidRPr="00AB4C34">
        <w:t>статуса и их высылке</w:t>
      </w:r>
      <w:r w:rsidRPr="0028157D">
        <w:rPr>
          <w:rStyle w:val="FootnoteReference"/>
          <w:i w:val="0"/>
        </w:rPr>
        <w:footnoteReference w:id="21"/>
      </w:r>
      <w:r w:rsidRPr="00AB4C34">
        <w:t xml:space="preserve"> (</w:t>
      </w:r>
      <w:r>
        <w:t>"</w:t>
      </w:r>
      <w:r w:rsidRPr="00AB4C34">
        <w:t>М.Б.</w:t>
      </w:r>
      <w:r>
        <w:t>"</w:t>
      </w:r>
      <w:r w:rsidRPr="00AB4C34">
        <w:t xml:space="preserve"> от 6 октября 2006 года)</w:t>
      </w:r>
    </w:p>
    <w:p w:rsidR="00FA567F" w:rsidRPr="00AB4C34" w:rsidRDefault="00FA567F" w:rsidP="004B4B9D">
      <w:pPr>
        <w:pStyle w:val="SingleTxtGR"/>
      </w:pPr>
      <w:r w:rsidRPr="00AB4C34">
        <w:t>141.</w:t>
      </w:r>
      <w:r w:rsidRPr="00AB4C34">
        <w:tab/>
        <w:t>Этот закон упрощает процедуру предоставления убежища. Отправной точкой является устранение различия между приемлемостью и существом ход</w:t>
      </w:r>
      <w:r w:rsidRPr="00AB4C34">
        <w:t>а</w:t>
      </w:r>
      <w:r w:rsidRPr="00AB4C34">
        <w:t>тайства об убежище и этапами его прохождения в различных инстанциях. Р</w:t>
      </w:r>
      <w:r w:rsidRPr="00AB4C34">
        <w:t>е</w:t>
      </w:r>
      <w:r w:rsidRPr="00AB4C34">
        <w:t>шение о предоставлении статуса беженца, об отказе в таком статусе или о пр</w:t>
      </w:r>
      <w:r w:rsidRPr="00AB4C34">
        <w:t>е</w:t>
      </w:r>
      <w:r w:rsidRPr="00AB4C34">
        <w:t>доставлении дополнительной защиты принимается Генеральным комиссаром по делам беженцев и апатридов (ГКБА). Отрицательное решение ГКБА может быть обжаловано в судебном порядке в ССИ, который правомочен подтвердить, изменить или аннулировать решение ГКБА; в последнем случае дело возвращ</w:t>
      </w:r>
      <w:r w:rsidRPr="00AB4C34">
        <w:t>а</w:t>
      </w:r>
      <w:r w:rsidRPr="00AB4C34">
        <w:t>ется к нему для пересмотра. Решение ССИ может обжаловаться в кассационном порядке в Государственном совете, но такая кассация может быть удовлетвор</w:t>
      </w:r>
      <w:r w:rsidRPr="00AB4C34">
        <w:t>е</w:t>
      </w:r>
      <w:r w:rsidRPr="00AB4C34">
        <w:t>на лишь в случае нарушения основополагающих процессуальных норм либо нарушения, делающего вынесенное решение недействител</w:t>
      </w:r>
      <w:r w:rsidRPr="00AB4C34">
        <w:t>ь</w:t>
      </w:r>
      <w:r w:rsidRPr="00AB4C34">
        <w:t>ным.</w:t>
      </w:r>
    </w:p>
    <w:p w:rsidR="00FA567F" w:rsidRPr="00AB4C34" w:rsidRDefault="00FA567F" w:rsidP="004B4B9D">
      <w:pPr>
        <w:pStyle w:val="SingleTxtGR"/>
      </w:pPr>
      <w:r w:rsidRPr="00AB4C34">
        <w:t>142.</w:t>
      </w:r>
      <w:r w:rsidRPr="00AB4C34">
        <w:tab/>
        <w:t>Кроме того, данный закон обеспечивает инкорпорацию Директивы 2004/83/CE Совета от 29 апр</w:t>
      </w:r>
      <w:r w:rsidRPr="00AB4C34">
        <w:t>е</w:t>
      </w:r>
      <w:r w:rsidRPr="00AB4C34">
        <w:t>ля 2004 года о минимальных нормах в отношении условий, которым должны соответствовать граждане третьих стран или апатр</w:t>
      </w:r>
      <w:r w:rsidRPr="00AB4C34">
        <w:t>и</w:t>
      </w:r>
      <w:r w:rsidRPr="00AB4C34">
        <w:t>ды, чтобы претендовать на статус беженца, или лица, которые по иным прич</w:t>
      </w:r>
      <w:r w:rsidRPr="00AB4C34">
        <w:t>и</w:t>
      </w:r>
      <w:r w:rsidRPr="00AB4C34">
        <w:t>нам нуждаются в международной защите, и в отношении содержания указа</w:t>
      </w:r>
      <w:r w:rsidRPr="00AB4C34">
        <w:t>н</w:t>
      </w:r>
      <w:r w:rsidRPr="00AB4C34">
        <w:t>ных статусов. Эта директива, в частности, предписывает введение в бельги</w:t>
      </w:r>
      <w:r w:rsidRPr="00AB4C34">
        <w:t>й</w:t>
      </w:r>
      <w:r w:rsidRPr="00AB4C34">
        <w:t>ское законодательство статуса дополнительной защ</w:t>
      </w:r>
      <w:r w:rsidRPr="00AB4C34">
        <w:t>и</w:t>
      </w:r>
      <w:r w:rsidRPr="00AB4C34">
        <w:t>ты, которым просители убежища могут пользоваться наряду со статусом беженца. В этой связи была введена специальная процедура выдачи разрешения на проживание для тяжел</w:t>
      </w:r>
      <w:r w:rsidRPr="00AB4C34">
        <w:t>о</w:t>
      </w:r>
      <w:r w:rsidRPr="00AB4C34">
        <w:t>больных иностранцев.</w:t>
      </w:r>
    </w:p>
    <w:p w:rsidR="00FA567F" w:rsidRPr="00AB4C34" w:rsidRDefault="00FA567F" w:rsidP="00E00022">
      <w:pPr>
        <w:pStyle w:val="H4GR"/>
        <w:spacing w:before="240"/>
      </w:pPr>
      <w:r w:rsidRPr="00AB4C34">
        <w:tab/>
      </w:r>
      <w:r w:rsidRPr="00AB4C34">
        <w:tab/>
        <w:t>Закон от 22 декабря 2008 года о различных положениях (</w:t>
      </w:r>
      <w:r>
        <w:t>"</w:t>
      </w:r>
      <w:r w:rsidRPr="00AB4C34">
        <w:t>M.Б.</w:t>
      </w:r>
      <w:r>
        <w:t>"</w:t>
      </w:r>
      <w:r w:rsidRPr="00AB4C34">
        <w:t xml:space="preserve"> от 20 декабря </w:t>
      </w:r>
      <w:r w:rsidR="000D49E0">
        <w:br/>
      </w:r>
      <w:r w:rsidR="000D49E0">
        <w:tab/>
      </w:r>
      <w:r w:rsidR="000D49E0">
        <w:tab/>
      </w:r>
      <w:r w:rsidRPr="00AB4C34">
        <w:t>2008 года) о внесении изменений в статьи 51/8 и 52 Закона от 15 де</w:t>
      </w:r>
      <w:r>
        <w:t xml:space="preserve">кабря </w:t>
      </w:r>
      <w:r w:rsidR="000D49E0">
        <w:br/>
      </w:r>
      <w:r w:rsidR="000D49E0">
        <w:tab/>
      </w:r>
      <w:r w:rsidR="000D49E0">
        <w:tab/>
      </w:r>
      <w:r>
        <w:t>1980 </w:t>
      </w:r>
      <w:r w:rsidRPr="00AB4C34">
        <w:t>года, касающиеся ходатайств о предоставлении убежища и признания</w:t>
      </w:r>
      <w:r w:rsidR="000D49E0">
        <w:br/>
      </w:r>
      <w:r w:rsidR="000D49E0">
        <w:tab/>
      </w:r>
      <w:r w:rsidR="000D49E0">
        <w:tab/>
      </w:r>
      <w:r w:rsidRPr="00AB4C34">
        <w:t xml:space="preserve">статуса беженца </w:t>
      </w:r>
    </w:p>
    <w:p w:rsidR="00FA567F" w:rsidRPr="00AB4C34" w:rsidRDefault="00FA567F" w:rsidP="004B4B9D">
      <w:pPr>
        <w:pStyle w:val="SingleTxtGR"/>
      </w:pPr>
      <w:r w:rsidRPr="00AB4C34">
        <w:t>143.</w:t>
      </w:r>
      <w:r w:rsidRPr="00AB4C34">
        <w:tab/>
        <w:t>Этот закон вносит изменения в статьи 51/8 и 52 Закона от 15 декабря 1980 года. Он предусматривает, что министр или его представитель может в</w:t>
      </w:r>
      <w:r w:rsidRPr="00AB4C34">
        <w:t>ы</w:t>
      </w:r>
      <w:r w:rsidRPr="00AB4C34">
        <w:t>нести решение о том, чтобы не принимать ходатайство об убежище к рассмо</w:t>
      </w:r>
      <w:r w:rsidRPr="00AB4C34">
        <w:t>т</w:t>
      </w:r>
      <w:r w:rsidRPr="00AB4C34">
        <w:t>рению, если иностранец, уже подававший аналогичное ходатайство, не пре</w:t>
      </w:r>
      <w:r w:rsidRPr="00AB4C34">
        <w:t>д</w:t>
      </w:r>
      <w:r w:rsidRPr="00AB4C34">
        <w:t>ставил новых доказательств того, что в его случае имеются серьезные причины для обоснованного опасения преследований по смыслу Женевской конвенции, определенного статьей 48/3, или серьезные признаки опасности тяжких посяг</w:t>
      </w:r>
      <w:r w:rsidRPr="00AB4C34">
        <w:t>а</w:t>
      </w:r>
      <w:r w:rsidRPr="00AB4C34">
        <w:t>тельств, определенных в статье 48/4. Новые элементы должны касаться фактов или ситуаций, имевших место после последнего этапа процедуры, в ходе кот</w:t>
      </w:r>
      <w:r w:rsidRPr="00AB4C34">
        <w:t>о</w:t>
      </w:r>
      <w:r w:rsidRPr="00AB4C34">
        <w:t xml:space="preserve">рой иностранец мог бы их представить. </w:t>
      </w:r>
    </w:p>
    <w:p w:rsidR="00FA567F" w:rsidRPr="00AB4C34" w:rsidRDefault="00FA567F" w:rsidP="004B4B9D">
      <w:pPr>
        <w:pStyle w:val="SingleTxtGR"/>
      </w:pPr>
      <w:r w:rsidRPr="00AB4C34">
        <w:t>144.</w:t>
      </w:r>
      <w:r w:rsidRPr="00AB4C34">
        <w:tab/>
        <w:t>Аналогичным образом ГКБА может принять решение не представлять к</w:t>
      </w:r>
      <w:r w:rsidRPr="00AB4C34">
        <w:t>а</w:t>
      </w:r>
      <w:r w:rsidRPr="00AB4C34">
        <w:t>кому-либо иностранцу статус беженца или дополнительную защиту, если этот иностранец подает ходатайство об убежище на границе и если это ходатайство явным образом основано на мотивах, не имеющих отношения к убежищу, в ч</w:t>
      </w:r>
      <w:r w:rsidRPr="00AB4C34">
        <w:t>а</w:t>
      </w:r>
      <w:r w:rsidRPr="00AB4C34">
        <w:t>стности, поскольку оно является недобросовестным или поскольку оно не отв</w:t>
      </w:r>
      <w:r w:rsidRPr="00AB4C34">
        <w:t>е</w:t>
      </w:r>
      <w:r w:rsidRPr="00AB4C34">
        <w:t>чает ни критериям, предусмотренным в пункте А</w:t>
      </w:r>
      <w:r>
        <w:t xml:space="preserve"> </w:t>
      </w:r>
      <w:r w:rsidRPr="00AB4C34">
        <w:t>2) статьи 1 Женевской ко</w:t>
      </w:r>
      <w:r w:rsidRPr="00AB4C34">
        <w:t>н</w:t>
      </w:r>
      <w:r w:rsidRPr="00AB4C34">
        <w:t xml:space="preserve">венции, которые определены в статье 48/3, ни критериям, предусмотренным в статье 48/4 в области дополнительной защиты. </w:t>
      </w:r>
    </w:p>
    <w:p w:rsidR="00FA567F" w:rsidRPr="00AB4C34" w:rsidRDefault="00FA567F" w:rsidP="00E00022">
      <w:pPr>
        <w:pStyle w:val="H4GR"/>
        <w:spacing w:before="240"/>
      </w:pPr>
      <w:r w:rsidRPr="00AB4C34">
        <w:tab/>
      </w:r>
      <w:r w:rsidRPr="00AB4C34">
        <w:tab/>
        <w:t>Закон от 28 апреля 2010 года о различных положениях (</w:t>
      </w:r>
      <w:r>
        <w:t>"</w:t>
      </w:r>
      <w:r w:rsidRPr="00AB4C34">
        <w:t>М.Б.</w:t>
      </w:r>
      <w:r>
        <w:t>" от 10 мая</w:t>
      </w:r>
      <w:r w:rsidR="000D49E0">
        <w:br/>
      </w:r>
      <w:r w:rsidR="000D49E0">
        <w:tab/>
      </w:r>
      <w:r w:rsidR="000D49E0">
        <w:tab/>
      </w:r>
      <w:r>
        <w:t>2010 </w:t>
      </w:r>
      <w:r w:rsidRPr="00AB4C34">
        <w:t>года)</w:t>
      </w:r>
    </w:p>
    <w:p w:rsidR="00FA567F" w:rsidRPr="00AB4C34" w:rsidRDefault="00FA567F" w:rsidP="004B4B9D">
      <w:pPr>
        <w:pStyle w:val="SingleTxtGR"/>
      </w:pPr>
      <w:r w:rsidRPr="00AB4C34">
        <w:t>145.</w:t>
      </w:r>
      <w:r w:rsidRPr="00AB4C34">
        <w:tab/>
        <w:t>Этот закон включает в Закон от 15 декабря 1980 года статьи 57/7-</w:t>
      </w:r>
      <w:r>
        <w:t>бис и </w:t>
      </w:r>
      <w:r w:rsidRPr="00AB4C34">
        <w:t>57/7-</w:t>
      </w:r>
      <w:r>
        <w:t>тер</w:t>
      </w:r>
      <w:r w:rsidRPr="00AB4C34">
        <w:t>. Данные изменения касаются оценки Генеральным комиссаром пр</w:t>
      </w:r>
      <w:r w:rsidRPr="00AB4C34">
        <w:t>е</w:t>
      </w:r>
      <w:r w:rsidRPr="00AB4C34">
        <w:t>следований или серьезных посягательств, которым подвергался проситель уб</w:t>
      </w:r>
      <w:r w:rsidRPr="00AB4C34">
        <w:t>е</w:t>
      </w:r>
      <w:r w:rsidRPr="00AB4C34">
        <w:t xml:space="preserve">жища. </w:t>
      </w:r>
    </w:p>
    <w:p w:rsidR="00FA567F" w:rsidRPr="00AB4C34" w:rsidRDefault="00FA567F" w:rsidP="004B4B9D">
      <w:pPr>
        <w:pStyle w:val="H4GR"/>
      </w:pPr>
      <w:r w:rsidRPr="00AB4C34">
        <w:tab/>
      </w:r>
      <w:r w:rsidRPr="00AB4C34">
        <w:tab/>
        <w:t>Закон от 19 января 2012 года о внесении измен</w:t>
      </w:r>
      <w:r>
        <w:t xml:space="preserve">ений в Закон от 15 декабря </w:t>
      </w:r>
      <w:r w:rsidR="000D49E0">
        <w:br/>
      </w:r>
      <w:r w:rsidR="000D49E0">
        <w:tab/>
      </w:r>
      <w:r w:rsidR="000D49E0">
        <w:tab/>
      </w:r>
      <w:r>
        <w:t>1980 </w:t>
      </w:r>
      <w:r w:rsidRPr="00AB4C34">
        <w:t>года (</w:t>
      </w:r>
      <w:r>
        <w:t>"</w:t>
      </w:r>
      <w:r w:rsidRPr="00AB4C34">
        <w:t>М.Б.</w:t>
      </w:r>
      <w:r>
        <w:t>"</w:t>
      </w:r>
      <w:r w:rsidRPr="00AB4C34">
        <w:t xml:space="preserve"> от 17 февраля 2012 года)</w:t>
      </w:r>
    </w:p>
    <w:p w:rsidR="00FA567F" w:rsidRPr="00AB4C34" w:rsidRDefault="00FA567F" w:rsidP="004B4B9D">
      <w:pPr>
        <w:pStyle w:val="SingleTxtGR"/>
      </w:pPr>
      <w:r w:rsidRPr="00AB4C34">
        <w:t>146.</w:t>
      </w:r>
      <w:r w:rsidRPr="00AB4C34">
        <w:tab/>
        <w:t xml:space="preserve">В 2011 году был составлен перечень </w:t>
      </w:r>
      <w:r>
        <w:t>"</w:t>
      </w:r>
      <w:r w:rsidRPr="00AB4C34">
        <w:t>не вызывающих сомнения</w:t>
      </w:r>
      <w:r>
        <w:t>"</w:t>
      </w:r>
      <w:r w:rsidRPr="00AB4C34">
        <w:t xml:space="preserve"> стран происхождения</w:t>
      </w:r>
      <w:r w:rsidRPr="002E565C">
        <w:rPr>
          <w:rStyle w:val="FootnoteReference"/>
        </w:rPr>
        <w:footnoteReference w:id="22"/>
      </w:r>
      <w:r w:rsidRPr="00AB4C34">
        <w:t>. Он составляется не реже одного раза в год королевским ук</w:t>
      </w:r>
      <w:r w:rsidRPr="00AB4C34">
        <w:t>а</w:t>
      </w:r>
      <w:r w:rsidRPr="00AB4C34">
        <w:t>зом, утверждаемым Советом министров.</w:t>
      </w:r>
    </w:p>
    <w:p w:rsidR="00FA567F" w:rsidRPr="00AB4C34" w:rsidRDefault="00FA567F" w:rsidP="004B4B9D">
      <w:pPr>
        <w:pStyle w:val="SingleTxtGR"/>
      </w:pPr>
      <w:r w:rsidRPr="00AB4C34">
        <w:t>147.</w:t>
      </w:r>
      <w:r w:rsidRPr="00AB4C34">
        <w:tab/>
        <w:t>Новая статья 57/6/1 Закона от 15 декабря 1980 года дает ГКБА право не принимать к рассмотрению ходатайство о предоставлении международной з</w:t>
      </w:r>
      <w:r w:rsidRPr="00AB4C34">
        <w:t>а</w:t>
      </w:r>
      <w:r w:rsidRPr="00AB4C34">
        <w:t>щиты, поданно</w:t>
      </w:r>
      <w:r w:rsidR="003F39F6">
        <w:t>е</w:t>
      </w:r>
      <w:r w:rsidRPr="00AB4C34">
        <w:t xml:space="preserve"> гражданином одной из не вызывающих сомнения стран, если из его заявлений не следует, что ему угрожает обоснованная опасность пресл</w:t>
      </w:r>
      <w:r w:rsidRPr="00AB4C34">
        <w:t>е</w:t>
      </w:r>
      <w:r w:rsidRPr="00AB4C34">
        <w:t>дования или имеются серьезные основания полагать, что он подвергается р</w:t>
      </w:r>
      <w:r w:rsidRPr="00AB4C34">
        <w:t>е</w:t>
      </w:r>
      <w:r w:rsidRPr="00AB4C34">
        <w:t>альному риску серьезного посягательства. ГКБА должен вынести решение в т</w:t>
      </w:r>
      <w:r w:rsidRPr="00AB4C34">
        <w:t>е</w:t>
      </w:r>
      <w:r w:rsidRPr="00AB4C34">
        <w:t>чение 15 дней, а ССИ – рассмотреть ходата</w:t>
      </w:r>
      <w:r w:rsidRPr="00AB4C34">
        <w:t>й</w:t>
      </w:r>
      <w:r w:rsidRPr="00AB4C34">
        <w:t xml:space="preserve">ство об отмене решения в течение двух месяцев. </w:t>
      </w:r>
    </w:p>
    <w:p w:rsidR="00FA567F" w:rsidRPr="00AB4C34" w:rsidRDefault="00FA567F" w:rsidP="004B4B9D">
      <w:pPr>
        <w:pStyle w:val="H23GR"/>
      </w:pPr>
      <w:r w:rsidRPr="00AB4C34">
        <w:tab/>
        <w:t>3.</w:t>
      </w:r>
      <w:r w:rsidRPr="00AB4C34">
        <w:tab/>
        <w:t xml:space="preserve">Прием </w:t>
      </w:r>
    </w:p>
    <w:p w:rsidR="00FA567F" w:rsidRPr="00AB4C34" w:rsidRDefault="00FA567F" w:rsidP="00E00022">
      <w:pPr>
        <w:pStyle w:val="H4GR"/>
        <w:spacing w:before="240"/>
      </w:pPr>
      <w:r w:rsidRPr="00AB4C34">
        <w:tab/>
      </w:r>
      <w:r w:rsidRPr="00AB4C34">
        <w:tab/>
        <w:t>Закон от 12 января 2007 года о приеме просителей убежища и ряда</w:t>
      </w:r>
      <w:r w:rsidR="007A4454">
        <w:br/>
      </w:r>
      <w:r w:rsidR="007A4454">
        <w:tab/>
      </w:r>
      <w:r w:rsidR="007A4454">
        <w:tab/>
      </w:r>
      <w:r w:rsidRPr="00AB4C34">
        <w:t>других категорий иностранцев (</w:t>
      </w:r>
      <w:r>
        <w:t>"</w:t>
      </w:r>
      <w:r w:rsidRPr="00AB4C34">
        <w:t>М.Б.</w:t>
      </w:r>
      <w:r>
        <w:t>"</w:t>
      </w:r>
      <w:r w:rsidRPr="00AB4C34">
        <w:t xml:space="preserve"> от 7 мая 2007 года)</w:t>
      </w:r>
    </w:p>
    <w:p w:rsidR="00FA567F" w:rsidRPr="00AB4C34" w:rsidRDefault="00FA567F" w:rsidP="004B4B9D">
      <w:pPr>
        <w:pStyle w:val="SingleTxtGR"/>
      </w:pPr>
      <w:r w:rsidRPr="00AB4C34">
        <w:t>148.</w:t>
      </w:r>
      <w:r w:rsidRPr="00AB4C34">
        <w:tab/>
        <w:t>Этот закон обеспечивает частичную инкорпорацию директивы 2003/9/CE от 27 января 2003 года о минимальных нормах приема просителей убежища в государствах-членах. Он отменил пункты 1 и 3 статьи 54 Закона от 15 декабря 1980 года и внес уточнение о том, что Федеральное агентство по приему прос</w:t>
      </w:r>
      <w:r w:rsidRPr="00AB4C34">
        <w:t>и</w:t>
      </w:r>
      <w:r w:rsidRPr="00AB4C34">
        <w:t>телей убежища (ФАППУ) является уполномоченным органом по назначению обязательного местонахождения для каждого просителя убежища, будь то за</w:t>
      </w:r>
      <w:r w:rsidRPr="00AB4C34">
        <w:t>я</w:t>
      </w:r>
      <w:r w:rsidRPr="00AB4C34">
        <w:t xml:space="preserve">витель ходатайства о признании за ним статуса беженца по смыслу Женевской конвенции или о предоставлении ему дополнительной защиты. </w:t>
      </w:r>
    </w:p>
    <w:p w:rsidR="00FA567F" w:rsidRPr="00AB4C34" w:rsidRDefault="00FA567F" w:rsidP="004B4B9D">
      <w:pPr>
        <w:pStyle w:val="SingleTxtGR"/>
      </w:pPr>
      <w:r w:rsidRPr="00AB4C34">
        <w:t>149.</w:t>
      </w:r>
      <w:r w:rsidRPr="00AB4C34">
        <w:tab/>
        <w:t xml:space="preserve">В соответствии со статей 3 этого закона </w:t>
      </w:r>
      <w:r>
        <w:t>"</w:t>
      </w:r>
      <w:r w:rsidRPr="00AB4C34">
        <w:t>каждый проситель убежища имеет право на прием, который должен позволить ему вести образ жизни, соо</w:t>
      </w:r>
      <w:r w:rsidRPr="00AB4C34">
        <w:t>т</w:t>
      </w:r>
      <w:r w:rsidRPr="00AB4C34">
        <w:t>ветствующий человеческому достоинству. Под приемом понимается материал</w:t>
      </w:r>
      <w:r w:rsidRPr="00AB4C34">
        <w:t>ь</w:t>
      </w:r>
      <w:r w:rsidRPr="00AB4C34">
        <w:t>ная помощь, предоставляемая согласно настоящему закону, или социальная п</w:t>
      </w:r>
      <w:r w:rsidRPr="00AB4C34">
        <w:t>о</w:t>
      </w:r>
      <w:r w:rsidRPr="00AB4C34">
        <w:t>мощь, оказываемая государственными центрами социальных мер (ГЦСМ) на основании Закона от 8 июля 1976 года о создании государственных центров с</w:t>
      </w:r>
      <w:r w:rsidRPr="00AB4C34">
        <w:t>о</w:t>
      </w:r>
      <w:r w:rsidRPr="00AB4C34">
        <w:t>циальных мер</w:t>
      </w:r>
      <w:r>
        <w:t>"</w:t>
      </w:r>
      <w:r w:rsidRPr="00AB4C34">
        <w:t>.</w:t>
      </w:r>
    </w:p>
    <w:p w:rsidR="00FA567F" w:rsidRPr="00AB4C34" w:rsidRDefault="00FA567F" w:rsidP="00E00022">
      <w:pPr>
        <w:pStyle w:val="H4GR"/>
        <w:spacing w:before="240"/>
      </w:pPr>
      <w:r w:rsidRPr="00AB4C34">
        <w:tab/>
      </w:r>
      <w:r w:rsidRPr="00AB4C34">
        <w:tab/>
        <w:t>Королевский указ от 22 декабря 2009 года о внесении изменений в статью 17</w:t>
      </w:r>
      <w:r w:rsidR="00430CAF">
        <w:br/>
      </w:r>
      <w:r w:rsidR="00430CAF">
        <w:tab/>
      </w:r>
      <w:r w:rsidR="00430CAF">
        <w:tab/>
      </w:r>
      <w:r w:rsidRPr="00AB4C34">
        <w:t>Королевского указа от 9 июня 2009 года об осуществлении Закона от</w:t>
      </w:r>
      <w:r w:rsidR="00430CAF">
        <w:br/>
      </w:r>
      <w:r w:rsidR="00430CAF">
        <w:tab/>
      </w:r>
      <w:r w:rsidR="00430CAF">
        <w:tab/>
      </w:r>
      <w:r w:rsidRPr="00AB4C34">
        <w:t>30 апреля 1999 года о трудовой деятельности иностранных работников</w:t>
      </w:r>
      <w:r w:rsidR="00430CAF">
        <w:br/>
      </w:r>
      <w:r w:rsidR="00430CAF">
        <w:tab/>
      </w:r>
      <w:r w:rsidR="00430CAF">
        <w:tab/>
      </w:r>
      <w:r w:rsidRPr="00AB4C34">
        <w:t>(</w:t>
      </w:r>
      <w:r>
        <w:t>"</w:t>
      </w:r>
      <w:r w:rsidRPr="00AB4C34">
        <w:t>М.Б.</w:t>
      </w:r>
      <w:r>
        <w:t>" от 12</w:t>
      </w:r>
      <w:r w:rsidRPr="00AB4C34">
        <w:t>января 2010 года)</w:t>
      </w:r>
    </w:p>
    <w:p w:rsidR="00FA567F" w:rsidRPr="00AB4C34" w:rsidRDefault="00FA567F" w:rsidP="004B4B9D">
      <w:pPr>
        <w:pStyle w:val="SingleTxtGR"/>
      </w:pPr>
      <w:r w:rsidRPr="00AB4C34">
        <w:t>150.</w:t>
      </w:r>
      <w:r w:rsidRPr="00AB4C34">
        <w:tab/>
        <w:t>Этот королевский указ обеспечивает доступ к рынку труда (с предоста</w:t>
      </w:r>
      <w:r w:rsidRPr="00AB4C34">
        <w:t>в</w:t>
      </w:r>
      <w:r w:rsidRPr="00AB4C34">
        <w:t xml:space="preserve">лением разрешения на работу категории </w:t>
      </w:r>
      <w:r>
        <w:t>"</w:t>
      </w:r>
      <w:r w:rsidRPr="00AB4C34">
        <w:t>С</w:t>
      </w:r>
      <w:r>
        <w:t>"</w:t>
      </w:r>
      <w:r w:rsidRPr="00AB4C34">
        <w:t>) просителям убежища, ожида</w:t>
      </w:r>
      <w:r w:rsidRPr="00AB4C34">
        <w:t>ю</w:t>
      </w:r>
      <w:r w:rsidRPr="00AB4C34">
        <w:t>щим ответа на свое ходатайство в течение шести м</w:t>
      </w:r>
      <w:r w:rsidRPr="00AB4C34">
        <w:t>е</w:t>
      </w:r>
      <w:r w:rsidRPr="00AB4C34">
        <w:t>сяцев.</w:t>
      </w:r>
    </w:p>
    <w:p w:rsidR="00FA567F" w:rsidRPr="00AB4C34" w:rsidRDefault="00FA567F" w:rsidP="00E00022">
      <w:pPr>
        <w:pStyle w:val="H4GR"/>
        <w:spacing w:before="240"/>
      </w:pPr>
      <w:r w:rsidRPr="00AB4C34">
        <w:tab/>
      </w:r>
      <w:r w:rsidRPr="00AB4C34">
        <w:tab/>
        <w:t>Закон от 19 января 2012 года о внесении изменений в законодатель</w:t>
      </w:r>
      <w:r>
        <w:t xml:space="preserve">ство </w:t>
      </w:r>
      <w:r w:rsidR="00430CAF">
        <w:br/>
      </w:r>
      <w:r w:rsidR="00430CAF">
        <w:tab/>
      </w:r>
      <w:r w:rsidR="00430CAF">
        <w:tab/>
      </w:r>
      <w:r>
        <w:t>о </w:t>
      </w:r>
      <w:r w:rsidRPr="00AB4C34">
        <w:t>приеме просителей убежища (</w:t>
      </w:r>
      <w:r>
        <w:t>"</w:t>
      </w:r>
      <w:r w:rsidRPr="00AB4C34">
        <w:t>М.Б.</w:t>
      </w:r>
      <w:r>
        <w:t>"</w:t>
      </w:r>
      <w:r w:rsidRPr="00AB4C34">
        <w:t xml:space="preserve"> от 17 февраля 2012 года)</w:t>
      </w:r>
    </w:p>
    <w:p w:rsidR="00FA567F" w:rsidRPr="00AB4C34" w:rsidRDefault="00FA567F" w:rsidP="004B4B9D">
      <w:pPr>
        <w:pStyle w:val="SingleTxtGR"/>
      </w:pPr>
      <w:r w:rsidRPr="00AB4C34">
        <w:t>151.</w:t>
      </w:r>
      <w:r w:rsidRPr="00AB4C34">
        <w:tab/>
        <w:t>27 октября 2011 года парламент одобрил законопроект, направленный на преодоление кризиса в сфере приема. В нем предложены изменения в закон о приеме и о ГЦСМ и предусмотрены следующие преобразования:</w:t>
      </w:r>
    </w:p>
    <w:p w:rsidR="00FA567F" w:rsidRPr="00AB4C34" w:rsidRDefault="00FA567F" w:rsidP="004B4B9D">
      <w:pPr>
        <w:pStyle w:val="Bullet1GR"/>
        <w:numPr>
          <w:ilvl w:val="0"/>
          <w:numId w:val="1"/>
        </w:numPr>
      </w:pPr>
      <w:r w:rsidRPr="00AB4C34">
        <w:t>Право на прием (или на социальную помощь) ограничено подачей перв</w:t>
      </w:r>
      <w:r w:rsidRPr="00AB4C34">
        <w:t>о</w:t>
      </w:r>
      <w:r w:rsidRPr="00AB4C34">
        <w:t>го ходатайства об убежище. При этом в случаях неоднократного пре</w:t>
      </w:r>
      <w:r w:rsidRPr="00AB4C34">
        <w:t>д</w:t>
      </w:r>
      <w:r w:rsidRPr="00AB4C34">
        <w:t>ставления х</w:t>
      </w:r>
      <w:r w:rsidRPr="00AB4C34">
        <w:t>о</w:t>
      </w:r>
      <w:r w:rsidRPr="00AB4C34">
        <w:t>датайств прием все же предусмотрен после передачи дела на рассмотрение ГКБА. В ожидании передачи дела заявителю обеспечивае</w:t>
      </w:r>
      <w:r w:rsidRPr="00AB4C34">
        <w:t>т</w:t>
      </w:r>
      <w:r w:rsidRPr="00AB4C34">
        <w:t>ся только медици</w:t>
      </w:r>
      <w:r w:rsidRPr="00AB4C34">
        <w:t>н</w:t>
      </w:r>
      <w:r w:rsidRPr="00AB4C34">
        <w:t>ское сопровождение за счет ФАППУ.</w:t>
      </w:r>
    </w:p>
    <w:p w:rsidR="00FA567F" w:rsidRPr="00AB4C34" w:rsidRDefault="00FA567F" w:rsidP="004B4B9D">
      <w:pPr>
        <w:pStyle w:val="Bullet1GR"/>
        <w:numPr>
          <w:ilvl w:val="0"/>
          <w:numId w:val="1"/>
        </w:numPr>
      </w:pPr>
      <w:r w:rsidRPr="00AB4C34">
        <w:t>Право на прием не предоставляется:</w:t>
      </w:r>
    </w:p>
    <w:p w:rsidR="00FA567F" w:rsidRPr="00AB4C34" w:rsidRDefault="00FA567F" w:rsidP="004B4B9D">
      <w:pPr>
        <w:pStyle w:val="Bullet2GR"/>
        <w:numPr>
          <w:ilvl w:val="0"/>
          <w:numId w:val="2"/>
        </w:numPr>
      </w:pPr>
      <w:r w:rsidRPr="00AB4C34">
        <w:t>лицам, которые не пользуются (прекратили пользоваться) местом приема, которое было им предоста</w:t>
      </w:r>
      <w:r w:rsidRPr="00AB4C34">
        <w:t>в</w:t>
      </w:r>
      <w:r w:rsidRPr="00AB4C34">
        <w:t>лено;</w:t>
      </w:r>
    </w:p>
    <w:p w:rsidR="00FA567F" w:rsidRPr="00AB4C34" w:rsidRDefault="00FA567F" w:rsidP="004B4B9D">
      <w:pPr>
        <w:pStyle w:val="Bullet2GR"/>
        <w:numPr>
          <w:ilvl w:val="0"/>
          <w:numId w:val="2"/>
        </w:numPr>
      </w:pPr>
      <w:r w:rsidRPr="00AB4C34">
        <w:t>просителям убежища, которые имеют достаточный доход (в разм</w:t>
      </w:r>
      <w:r w:rsidRPr="00AB4C34">
        <w:t>е</w:t>
      </w:r>
      <w:r w:rsidRPr="00AB4C34">
        <w:t>ре пособия на интеграцию для всей семьи). В этом случае обесп</w:t>
      </w:r>
      <w:r w:rsidRPr="00AB4C34">
        <w:t>е</w:t>
      </w:r>
      <w:r w:rsidRPr="00AB4C34">
        <w:t>чивается только медицинское сопровождение за счет ФАППУ.</w:t>
      </w:r>
    </w:p>
    <w:p w:rsidR="00FA567F" w:rsidRPr="00AB4C34" w:rsidRDefault="00FA567F" w:rsidP="004B4B9D">
      <w:pPr>
        <w:pStyle w:val="Bullet1GR"/>
        <w:numPr>
          <w:ilvl w:val="0"/>
          <w:numId w:val="1"/>
        </w:numPr>
      </w:pPr>
      <w:r w:rsidRPr="00AB4C34">
        <w:t>Прекращается автоматическое предоставление права на прием в течение процедуры обжалования в ССИ, а также иностранцам, подписавшим об</w:t>
      </w:r>
      <w:r w:rsidRPr="00AB4C34">
        <w:t>я</w:t>
      </w:r>
      <w:r w:rsidRPr="00AB4C34">
        <w:t>зательство о добровольном возвращении. В этих двух случаях предоста</w:t>
      </w:r>
      <w:r w:rsidRPr="00AB4C34">
        <w:t>в</w:t>
      </w:r>
      <w:r w:rsidRPr="00AB4C34">
        <w:t>ление права на прием прекращается по истечении срока действия расп</w:t>
      </w:r>
      <w:r w:rsidRPr="00AB4C34">
        <w:t>о</w:t>
      </w:r>
      <w:r w:rsidRPr="00AB4C34">
        <w:t>ряжения о выезде с территории страны (доведенного до сведения прос</w:t>
      </w:r>
      <w:r w:rsidRPr="00AB4C34">
        <w:t>и</w:t>
      </w:r>
      <w:r w:rsidRPr="00AB4C34">
        <w:t>теля убежища).</w:t>
      </w:r>
    </w:p>
    <w:p w:rsidR="00FA567F" w:rsidRPr="00AB4C34" w:rsidRDefault="00FA567F" w:rsidP="004B4B9D">
      <w:pPr>
        <w:pStyle w:val="Bullet1GR"/>
        <w:numPr>
          <w:ilvl w:val="0"/>
          <w:numId w:val="1"/>
        </w:numPr>
      </w:pPr>
      <w:r w:rsidRPr="00AB4C34">
        <w:t>Право на прием больше не предоставляется в течение процедуры обж</w:t>
      </w:r>
      <w:r w:rsidRPr="00AB4C34">
        <w:t>а</w:t>
      </w:r>
      <w:r w:rsidRPr="00AB4C34">
        <w:t>лования в Государственном сов</w:t>
      </w:r>
      <w:r w:rsidRPr="00AB4C34">
        <w:t>е</w:t>
      </w:r>
      <w:r w:rsidRPr="00AB4C34">
        <w:t>те.</w:t>
      </w:r>
    </w:p>
    <w:p w:rsidR="00FA567F" w:rsidRPr="00AB4C34" w:rsidRDefault="00FA567F" w:rsidP="00EC0E25">
      <w:pPr>
        <w:pStyle w:val="H23GR"/>
      </w:pPr>
      <w:r w:rsidRPr="00AB4C34">
        <w:tab/>
        <w:t>4.</w:t>
      </w:r>
      <w:r w:rsidRPr="00AB4C34">
        <w:tab/>
        <w:t>Доступ на территорию страны и получение статуса</w:t>
      </w:r>
    </w:p>
    <w:p w:rsidR="00FA567F" w:rsidRPr="00AB4C34" w:rsidRDefault="00FA567F" w:rsidP="00E00022">
      <w:pPr>
        <w:pStyle w:val="H4GR"/>
        <w:spacing w:before="240"/>
      </w:pPr>
      <w:r w:rsidRPr="00AB4C34">
        <w:tab/>
      </w:r>
      <w:r w:rsidRPr="00AB4C34">
        <w:tab/>
        <w:t>Закон от 21 апреля 2007 года о внесении измен</w:t>
      </w:r>
      <w:r>
        <w:t xml:space="preserve">ений в Закон от 15 декабря </w:t>
      </w:r>
      <w:r w:rsidR="00EC0E25">
        <w:br/>
      </w:r>
      <w:r w:rsidR="00EC0E25">
        <w:tab/>
      </w:r>
      <w:r w:rsidR="00EC0E25">
        <w:tab/>
      </w:r>
      <w:r>
        <w:t>1980 </w:t>
      </w:r>
      <w:r w:rsidRPr="00AB4C34">
        <w:t>года о введении особой процедуры допуска граждан третьих стра</w:t>
      </w:r>
      <w:r>
        <w:t xml:space="preserve">н </w:t>
      </w:r>
      <w:r w:rsidR="00EC0E25">
        <w:br/>
      </w:r>
      <w:r w:rsidR="00EC0E25">
        <w:tab/>
      </w:r>
      <w:r w:rsidR="00EC0E25">
        <w:tab/>
      </w:r>
      <w:r>
        <w:t>в целях </w:t>
      </w:r>
      <w:r w:rsidRPr="00AB4C34">
        <w:t>научных исследований (</w:t>
      </w:r>
      <w:r>
        <w:t>"</w:t>
      </w:r>
      <w:r w:rsidRPr="00AB4C34">
        <w:t>М.Б.</w:t>
      </w:r>
      <w:r>
        <w:t>"</w:t>
      </w:r>
      <w:r w:rsidRPr="00AB4C34">
        <w:t xml:space="preserve"> от 26 апреля 2007 года)</w:t>
      </w:r>
    </w:p>
    <w:p w:rsidR="00FA567F" w:rsidRPr="00AB4C34" w:rsidRDefault="00FA567F" w:rsidP="004B4B9D">
      <w:pPr>
        <w:pStyle w:val="SingleTxtGR"/>
      </w:pPr>
      <w:r w:rsidRPr="00AB4C34">
        <w:t>152.</w:t>
      </w:r>
      <w:r w:rsidRPr="00AB4C34">
        <w:tab/>
        <w:t>Этот закон обеспечивает ч</w:t>
      </w:r>
      <w:r w:rsidR="00530372">
        <w:t>астичную инкорпорацию директ</w:t>
      </w:r>
      <w:r w:rsidR="00530372">
        <w:t>и</w:t>
      </w:r>
      <w:r w:rsidR="00530372">
        <w:t>вы </w:t>
      </w:r>
      <w:r w:rsidRPr="00AB4C34">
        <w:t>2005/71/CE от 12 октября 2005 года об особой процедуре допуска граждан третьих стран в целях научных исследований. Цель этой директивы – способс</w:t>
      </w:r>
      <w:r w:rsidRPr="00AB4C34">
        <w:t>т</w:t>
      </w:r>
      <w:r w:rsidRPr="00AB4C34">
        <w:t>вовать приему и мобильности граждан третьих стран, прибывающих для пров</w:t>
      </w:r>
      <w:r w:rsidRPr="00AB4C34">
        <w:t>е</w:t>
      </w:r>
      <w:r w:rsidRPr="00AB4C34">
        <w:t>дения научных исследований, с пребыванием на срок более тех месяцев, чтобы сделать Сообщество более привлекательным для исследователей всего мира и укрепления его позиций в качестве международного исследовательского це</w:t>
      </w:r>
      <w:r w:rsidRPr="00AB4C34">
        <w:t>н</w:t>
      </w:r>
      <w:r w:rsidRPr="00AB4C34">
        <w:t xml:space="preserve">тра. </w:t>
      </w:r>
    </w:p>
    <w:p w:rsidR="00FA567F" w:rsidRPr="00AB4C34" w:rsidRDefault="00FA567F" w:rsidP="00E00022">
      <w:pPr>
        <w:pStyle w:val="H4GR"/>
        <w:spacing w:before="240"/>
      </w:pPr>
      <w:r w:rsidRPr="00AB4C34">
        <w:tab/>
      </w:r>
      <w:r w:rsidRPr="00AB4C34">
        <w:tab/>
        <w:t>Закон от 25 апреля 2007 года о внесении измен</w:t>
      </w:r>
      <w:r>
        <w:t xml:space="preserve">ений в Закон от 15 декабря </w:t>
      </w:r>
      <w:r w:rsidR="00530372">
        <w:br/>
      </w:r>
      <w:r w:rsidR="00530372">
        <w:tab/>
      </w:r>
      <w:r w:rsidR="00530372">
        <w:tab/>
      </w:r>
      <w:r>
        <w:t>1980 </w:t>
      </w:r>
      <w:r w:rsidRPr="00AB4C34">
        <w:t xml:space="preserve">года об условиях предоставления </w:t>
      </w:r>
      <w:r>
        <w:t xml:space="preserve">и изъятия долгосрочного вида </w:t>
      </w:r>
      <w:r w:rsidR="00530372">
        <w:br/>
      </w:r>
      <w:r w:rsidR="00530372">
        <w:tab/>
      </w:r>
      <w:r w:rsidR="00530372">
        <w:tab/>
      </w:r>
      <w:r>
        <w:t>на </w:t>
      </w:r>
      <w:r w:rsidRPr="00AB4C34">
        <w:t>жительство и пребывания граждан стран ЕС и членов семей граждан</w:t>
      </w:r>
      <w:r w:rsidR="00530372">
        <w:br/>
      </w:r>
      <w:r w:rsidR="00530372">
        <w:tab/>
      </w:r>
      <w:r w:rsidR="00530372">
        <w:tab/>
      </w:r>
      <w:r w:rsidRPr="00AB4C34">
        <w:t>Бель</w:t>
      </w:r>
      <w:r>
        <w:t>гии </w:t>
      </w:r>
      <w:r w:rsidRPr="00AB4C34">
        <w:t>(</w:t>
      </w:r>
      <w:r>
        <w:t>"</w:t>
      </w:r>
      <w:r w:rsidRPr="00AB4C34">
        <w:t>М.Б.</w:t>
      </w:r>
      <w:r>
        <w:t>"</w:t>
      </w:r>
      <w:r w:rsidRPr="00AB4C34">
        <w:t xml:space="preserve"> от 10 мая 2007 года)</w:t>
      </w:r>
    </w:p>
    <w:p w:rsidR="00FA567F" w:rsidRPr="00AB4C34" w:rsidRDefault="00FA567F" w:rsidP="004B4B9D">
      <w:pPr>
        <w:pStyle w:val="SingleTxtGR"/>
      </w:pPr>
      <w:r w:rsidRPr="00AB4C34">
        <w:t>153.</w:t>
      </w:r>
      <w:r w:rsidRPr="00AB4C34">
        <w:tab/>
        <w:t>Этот закон обеспечивает инкорпорацию, в частности</w:t>
      </w:r>
      <w:r w:rsidRPr="002E565C">
        <w:rPr>
          <w:rStyle w:val="FootnoteReference"/>
        </w:rPr>
        <w:footnoteReference w:id="23"/>
      </w:r>
      <w:r w:rsidRPr="00AB4C34">
        <w:t>: положений о въезде, пребывании и удалении с территор</w:t>
      </w:r>
      <w:r>
        <w:t>ии, предусмотренных в Директ</w:t>
      </w:r>
      <w:r>
        <w:t>и</w:t>
      </w:r>
      <w:r>
        <w:t>ве </w:t>
      </w:r>
      <w:r w:rsidRPr="00AB4C34">
        <w:t>2003/109/CE от 25 ноября 2003 года о статусе граждан третьих стран, име</w:t>
      </w:r>
      <w:r w:rsidRPr="00AB4C34">
        <w:t>ю</w:t>
      </w:r>
      <w:r w:rsidRPr="00AB4C34">
        <w:t xml:space="preserve">щих долгосрочный вид на жительство, и положений Директивы 2004/38/CE от 29 апреля 2004 года о праве граждан Европейского союза и членов их семей на свободное перемещение и пребывание на территории государств-членов. </w:t>
      </w:r>
    </w:p>
    <w:p w:rsidR="00FA567F" w:rsidRPr="00AB4C34" w:rsidRDefault="00FA567F" w:rsidP="004B4B9D">
      <w:pPr>
        <w:pStyle w:val="SingleTxtGR"/>
      </w:pPr>
      <w:r w:rsidRPr="00AB4C34">
        <w:t>154.</w:t>
      </w:r>
      <w:r w:rsidRPr="00AB4C34">
        <w:tab/>
        <w:t>В законе предусмотрены условия предоставления и изъятия долгосрочн</w:t>
      </w:r>
      <w:r w:rsidRPr="00AB4C34">
        <w:t>о</w:t>
      </w:r>
      <w:r w:rsidRPr="00AB4C34">
        <w:t>го вида на жительство, выдаваемого гражданам третьих стран, которые нах</w:t>
      </w:r>
      <w:r w:rsidRPr="00AB4C34">
        <w:t>о</w:t>
      </w:r>
      <w:r w:rsidRPr="00AB4C34">
        <w:t>дятся на территории Бельгии на законных основ</w:t>
      </w:r>
      <w:r w:rsidRPr="00AB4C34">
        <w:t>а</w:t>
      </w:r>
      <w:r w:rsidRPr="00AB4C34">
        <w:t>ниях, и условия пребывания в Бельгии для лиц, имеющих такой вид на жительство в другом государс</w:t>
      </w:r>
      <w:r w:rsidRPr="00AB4C34">
        <w:t>т</w:t>
      </w:r>
      <w:r w:rsidRPr="00AB4C34">
        <w:t>ве-члене.</w:t>
      </w:r>
    </w:p>
    <w:p w:rsidR="00FA567F" w:rsidRPr="00AB4C34" w:rsidRDefault="00FA567F" w:rsidP="004B4B9D">
      <w:pPr>
        <w:pStyle w:val="SingleTxtGR"/>
      </w:pPr>
      <w:r w:rsidRPr="00AB4C34">
        <w:t>155.</w:t>
      </w:r>
      <w:r w:rsidRPr="00AB4C34">
        <w:tab/>
        <w:t>Кроме того, закон вносит изменения в порядок пребывания граждан Е</w:t>
      </w:r>
      <w:r w:rsidRPr="00AB4C34">
        <w:t>в</w:t>
      </w:r>
      <w:r w:rsidRPr="00AB4C34">
        <w:t>ропейского союза и членов их семей; претерпел изменения и порядок пребыв</w:t>
      </w:r>
      <w:r w:rsidRPr="00AB4C34">
        <w:t>а</w:t>
      </w:r>
      <w:r w:rsidRPr="00AB4C34">
        <w:t>ния членов семей граждан Бельгии.</w:t>
      </w:r>
    </w:p>
    <w:p w:rsidR="00FA567F" w:rsidRPr="00AB4C34" w:rsidRDefault="00FA567F" w:rsidP="00910424">
      <w:pPr>
        <w:pStyle w:val="H4GR"/>
        <w:spacing w:before="240"/>
      </w:pPr>
      <w:r w:rsidRPr="00AB4C34">
        <w:tab/>
      </w:r>
      <w:r w:rsidRPr="00AB4C34">
        <w:tab/>
        <w:t>Закон от 7 июня 2009 года о внесении изменений в Закон от 15 де</w:t>
      </w:r>
      <w:r>
        <w:t xml:space="preserve">кабря </w:t>
      </w:r>
      <w:r w:rsidR="00530372">
        <w:br/>
      </w:r>
      <w:r w:rsidR="00530372">
        <w:tab/>
      </w:r>
      <w:r w:rsidR="00530372">
        <w:tab/>
      </w:r>
      <w:r>
        <w:t>1980 </w:t>
      </w:r>
      <w:r w:rsidRPr="00AB4C34">
        <w:t>года относительно медицинского заключения (</w:t>
      </w:r>
      <w:r>
        <w:t>"</w:t>
      </w:r>
      <w:r w:rsidRPr="00AB4C34">
        <w:t>М.Б.</w:t>
      </w:r>
      <w:r>
        <w:t>" от 3 августа</w:t>
      </w:r>
      <w:r w:rsidR="00530372">
        <w:br/>
      </w:r>
      <w:r w:rsidR="00530372">
        <w:tab/>
      </w:r>
      <w:r w:rsidR="00530372">
        <w:tab/>
      </w:r>
      <w:r>
        <w:t>2009 </w:t>
      </w:r>
      <w:r w:rsidRPr="00AB4C34">
        <w:t>года)</w:t>
      </w:r>
    </w:p>
    <w:p w:rsidR="00FA567F" w:rsidRPr="00AB4C34" w:rsidRDefault="00FA567F" w:rsidP="004B4B9D">
      <w:pPr>
        <w:pStyle w:val="SingleTxtGR"/>
      </w:pPr>
      <w:r w:rsidRPr="00AB4C34">
        <w:t>156.</w:t>
      </w:r>
      <w:r w:rsidRPr="00AB4C34">
        <w:tab/>
        <w:t>В соответствии с этим законом врач, не являющийся должностным л</w:t>
      </w:r>
      <w:r w:rsidRPr="00AB4C34">
        <w:t>и</w:t>
      </w:r>
      <w:r w:rsidRPr="00AB4C34">
        <w:t>цом, имеет право давать з</w:t>
      </w:r>
      <w:r w:rsidRPr="00AB4C34">
        <w:t>а</w:t>
      </w:r>
      <w:r w:rsidRPr="00AB4C34">
        <w:t>ключение в рамках процедуры выдачи разрешения на пребывание по состоянию здоровья, если такое заключение не может быть в</w:t>
      </w:r>
      <w:r w:rsidRPr="00AB4C34">
        <w:t>ы</w:t>
      </w:r>
      <w:r w:rsidRPr="00AB4C34">
        <w:t>дано врачом, который является должностным лицом, поскольку эта дол</w:t>
      </w:r>
      <w:r w:rsidRPr="00AB4C34">
        <w:t>ж</w:t>
      </w:r>
      <w:r w:rsidRPr="00AB4C34">
        <w:t>ность не заполнена или поскольку объем работы штатного врача чрезмерно велик.</w:t>
      </w:r>
    </w:p>
    <w:p w:rsidR="00FA567F" w:rsidRPr="00AB4C34" w:rsidRDefault="00FA567F" w:rsidP="00C2386D">
      <w:pPr>
        <w:pStyle w:val="H4GR"/>
        <w:spacing w:before="240"/>
      </w:pPr>
      <w:r w:rsidRPr="00AB4C34">
        <w:tab/>
      </w:r>
      <w:r w:rsidRPr="00AB4C34">
        <w:tab/>
        <w:t>Закон от 29 декабря 2010 года о различных по</w:t>
      </w:r>
      <w:r>
        <w:t xml:space="preserve">ложениях о внесении изменений </w:t>
      </w:r>
      <w:r w:rsidR="00530372">
        <w:br/>
      </w:r>
      <w:r w:rsidR="00530372">
        <w:tab/>
      </w:r>
      <w:r w:rsidR="00530372">
        <w:tab/>
      </w:r>
      <w:r>
        <w:t>в </w:t>
      </w:r>
      <w:r w:rsidRPr="00AB4C34">
        <w:t xml:space="preserve">процедуру получения разрешения на пребывание по состоянию здоровья </w:t>
      </w:r>
      <w:r w:rsidR="00530372">
        <w:br/>
      </w:r>
      <w:r w:rsidR="00530372">
        <w:tab/>
      </w:r>
      <w:r w:rsidR="00530372">
        <w:tab/>
      </w:r>
      <w:r w:rsidRPr="00AB4C34">
        <w:t>(</w:t>
      </w:r>
      <w:r>
        <w:t>"</w:t>
      </w:r>
      <w:r w:rsidRPr="00AB4C34">
        <w:t>М.Б.</w:t>
      </w:r>
      <w:r>
        <w:t>"</w:t>
      </w:r>
      <w:r w:rsidRPr="00AB4C34">
        <w:t xml:space="preserve"> от 31 декабря 2010 года)</w:t>
      </w:r>
    </w:p>
    <w:p w:rsidR="00FA567F" w:rsidRPr="00AB4C34" w:rsidRDefault="00FA567F" w:rsidP="004B4B9D">
      <w:pPr>
        <w:pStyle w:val="SingleTxtGR"/>
      </w:pPr>
      <w:r w:rsidRPr="00AB4C34">
        <w:t>157.</w:t>
      </w:r>
      <w:r w:rsidRPr="00AB4C34">
        <w:tab/>
        <w:t>Этот закон вносит изменения в положения, применимые к статье 9-</w:t>
      </w:r>
      <w:r>
        <w:t>тер</w:t>
      </w:r>
      <w:r w:rsidRPr="00AB4C34">
        <w:t xml:space="preserve"> Закона от 15 декабря 1980 года. Он обязан своим появлением постановлению Конституционного суда от 26 ноября 2009 года</w:t>
      </w:r>
      <w:r w:rsidRPr="002E565C">
        <w:rPr>
          <w:rStyle w:val="FootnoteReference"/>
        </w:rPr>
        <w:footnoteReference w:id="24"/>
      </w:r>
      <w:r w:rsidRPr="00AB4C34">
        <w:t>. Причиной тому стало пр</w:t>
      </w:r>
      <w:r w:rsidRPr="00AB4C34">
        <w:t>и</w:t>
      </w:r>
      <w:r w:rsidRPr="00AB4C34">
        <w:t>знанное неконституционным различие в обращении, существовавшее между условиями приемлемости ходатайства о предоставлении дополнительной защ</w:t>
      </w:r>
      <w:r w:rsidRPr="00AB4C34">
        <w:t>и</w:t>
      </w:r>
      <w:r w:rsidRPr="00AB4C34">
        <w:t>ты по состоянию здоровья и условиями приемлемости аналогичного ходатайс</w:t>
      </w:r>
      <w:r w:rsidRPr="00AB4C34">
        <w:t>т</w:t>
      </w:r>
      <w:r w:rsidRPr="00AB4C34">
        <w:t>ва, поданного по причинам, не связанным с медицинскими показаниями. Изм</w:t>
      </w:r>
      <w:r w:rsidRPr="00AB4C34">
        <w:t>е</w:t>
      </w:r>
      <w:r w:rsidRPr="00AB4C34">
        <w:t>ненная статья 9-</w:t>
      </w:r>
      <w:r>
        <w:t>тер</w:t>
      </w:r>
      <w:r w:rsidRPr="00AB4C34">
        <w:t xml:space="preserve"> предусматривает корректировку соответствующих полож</w:t>
      </w:r>
      <w:r w:rsidRPr="00AB4C34">
        <w:t>е</w:t>
      </w:r>
      <w:r w:rsidRPr="00AB4C34">
        <w:t xml:space="preserve">ний для обеспечения полного единообразия указанных условий. </w:t>
      </w:r>
    </w:p>
    <w:p w:rsidR="00FA567F" w:rsidRPr="00AB4C34" w:rsidRDefault="00FA567F" w:rsidP="004B4B9D">
      <w:pPr>
        <w:pStyle w:val="SingleTxtGR"/>
      </w:pPr>
      <w:r w:rsidRPr="00AB4C34">
        <w:t>158.</w:t>
      </w:r>
      <w:r w:rsidRPr="00AB4C34">
        <w:tab/>
        <w:t>Наряду с этим законодатель внес изменения в ряд других положений, к</w:t>
      </w:r>
      <w:r w:rsidRPr="00AB4C34">
        <w:t>а</w:t>
      </w:r>
      <w:r w:rsidRPr="00AB4C34">
        <w:t>сающихся этапа рассмо</w:t>
      </w:r>
      <w:r w:rsidRPr="00AB4C34">
        <w:t>т</w:t>
      </w:r>
      <w:r w:rsidRPr="00AB4C34">
        <w:t>рения вопроса о приемлемости:</w:t>
      </w:r>
    </w:p>
    <w:p w:rsidR="00FA567F" w:rsidRPr="00AB4C34" w:rsidRDefault="00FA567F" w:rsidP="004B4B9D">
      <w:pPr>
        <w:pStyle w:val="Bullet1GR"/>
        <w:numPr>
          <w:ilvl w:val="0"/>
          <w:numId w:val="1"/>
        </w:numPr>
      </w:pPr>
      <w:r w:rsidRPr="00AB4C34">
        <w:t>ходатайство является приемлемым, если оно визировано министром или его представителем и содержит адрес реального места проживания заяв</w:t>
      </w:r>
      <w:r w:rsidRPr="00AB4C34">
        <w:t>и</w:t>
      </w:r>
      <w:r w:rsidRPr="00AB4C34">
        <w:t>теля на территории Бельгии;</w:t>
      </w:r>
    </w:p>
    <w:p w:rsidR="00FA567F" w:rsidRPr="00AB4C34" w:rsidRDefault="00FA567F" w:rsidP="004B4B9D">
      <w:pPr>
        <w:pStyle w:val="Bullet1GR"/>
        <w:numPr>
          <w:ilvl w:val="0"/>
          <w:numId w:val="1"/>
        </w:numPr>
      </w:pPr>
      <w:r w:rsidRPr="00AB4C34">
        <w:t>заявитель должен представить доказательства своего состояния здоровья в соответствии с законодательными положениями, опираясь на стандар</w:t>
      </w:r>
      <w:r w:rsidRPr="00AB4C34">
        <w:t>т</w:t>
      </w:r>
      <w:r w:rsidRPr="00AB4C34">
        <w:t>ную медицинскую справку. В справке должны быть указаны наименов</w:t>
      </w:r>
      <w:r w:rsidRPr="00AB4C34">
        <w:t>а</w:t>
      </w:r>
      <w:r w:rsidRPr="00AB4C34">
        <w:t>ние заболевания, степень его тяжести и курс лечения, который признан необходимым;</w:t>
      </w:r>
    </w:p>
    <w:p w:rsidR="00FA567F" w:rsidRPr="00AB4C34" w:rsidRDefault="00FA567F" w:rsidP="004B4B9D">
      <w:pPr>
        <w:pStyle w:val="Bullet1GR"/>
        <w:numPr>
          <w:ilvl w:val="0"/>
          <w:numId w:val="1"/>
        </w:numPr>
      </w:pPr>
      <w:r w:rsidRPr="00AB4C34">
        <w:t>наконец, предусматривается, что сотрудники Бюро по делам иностранцев обязаны хранить профессиональную тайну, касающуюся данных о с</w:t>
      </w:r>
      <w:r w:rsidRPr="00AB4C34">
        <w:t>о</w:t>
      </w:r>
      <w:r w:rsidRPr="00AB4C34">
        <w:t>стоянии здоровья, с которыми они знакомятся в ходе выполнения своих служебных фун</w:t>
      </w:r>
      <w:r w:rsidRPr="00AB4C34">
        <w:t>к</w:t>
      </w:r>
      <w:r w:rsidRPr="00AB4C34">
        <w:t>ций.</w:t>
      </w:r>
    </w:p>
    <w:p w:rsidR="00FA567F" w:rsidRPr="00AB4C34" w:rsidRDefault="00FA567F" w:rsidP="004B4B9D">
      <w:pPr>
        <w:pStyle w:val="H4GR"/>
      </w:pPr>
      <w:r w:rsidRPr="00AB4C34">
        <w:tab/>
      </w:r>
      <w:r w:rsidRPr="00AB4C34">
        <w:tab/>
        <w:t>Закон от 8 января 2012 года о внесении изменений в статью 9-</w:t>
      </w:r>
      <w:r>
        <w:t xml:space="preserve">тер Закона </w:t>
      </w:r>
      <w:r w:rsidR="00530372">
        <w:br/>
      </w:r>
      <w:r w:rsidR="00530372">
        <w:tab/>
      </w:r>
      <w:r w:rsidR="00530372">
        <w:tab/>
      </w:r>
      <w:r>
        <w:t>от 15 </w:t>
      </w:r>
      <w:r w:rsidRPr="00AB4C34">
        <w:t>декабря 1980 года (</w:t>
      </w:r>
      <w:r>
        <w:t>"</w:t>
      </w:r>
      <w:r w:rsidRPr="00AB4C34">
        <w:t>M.Б.</w:t>
      </w:r>
      <w:r>
        <w:t>"</w:t>
      </w:r>
      <w:r w:rsidRPr="00AB4C34">
        <w:t xml:space="preserve"> от 6 февраля 2012 года)</w:t>
      </w:r>
    </w:p>
    <w:p w:rsidR="00FA567F" w:rsidRPr="00AB4C34" w:rsidRDefault="00FA567F" w:rsidP="004B4B9D">
      <w:pPr>
        <w:pStyle w:val="SingleTxtGR"/>
      </w:pPr>
      <w:r w:rsidRPr="00AB4C34">
        <w:t>159.</w:t>
      </w:r>
      <w:r w:rsidRPr="00AB4C34">
        <w:tab/>
        <w:t>Этот закон вносит изменения в процедуру</w:t>
      </w:r>
      <w:r>
        <w:t xml:space="preserve">, которая определена в </w:t>
      </w:r>
      <w:r>
        <w:br/>
        <w:t>статье 9-</w:t>
      </w:r>
      <w:r w:rsidRPr="00AB4C34">
        <w:t>тер Закона от 15 декабря 1980 года, чтобы дать тяжелобольным ин</w:t>
      </w:r>
      <w:r w:rsidRPr="00AB4C34">
        <w:t>о</w:t>
      </w:r>
      <w:r w:rsidRPr="00AB4C34">
        <w:t>странцам возможность получить вид на жительство в случае, когда их удаление с терр</w:t>
      </w:r>
      <w:r w:rsidRPr="00AB4C34">
        <w:t>и</w:t>
      </w:r>
      <w:r w:rsidRPr="00AB4C34">
        <w:t>тории привело бы к недопустимым гуманитарным последствиям. Кроме того, он предусматривает ограничение возможностей для злоупотребления этой пр</w:t>
      </w:r>
      <w:r w:rsidRPr="00AB4C34">
        <w:t>о</w:t>
      </w:r>
      <w:r w:rsidRPr="00AB4C34">
        <w:t>цедурой</w:t>
      </w:r>
      <w:r w:rsidRPr="002E565C">
        <w:rPr>
          <w:rStyle w:val="FootnoteReference"/>
        </w:rPr>
        <w:footnoteReference w:id="25"/>
      </w:r>
      <w:r w:rsidRPr="00AB4C34">
        <w:t>.</w:t>
      </w:r>
    </w:p>
    <w:p w:rsidR="00FA567F" w:rsidRPr="00AB4C34" w:rsidRDefault="00FA567F" w:rsidP="004B4B9D">
      <w:pPr>
        <w:pStyle w:val="H23GR"/>
      </w:pPr>
      <w:r w:rsidRPr="00AB4C34">
        <w:tab/>
        <w:t>5.</w:t>
      </w:r>
      <w:r w:rsidRPr="00AB4C34">
        <w:tab/>
        <w:t xml:space="preserve">Удаление с территории </w:t>
      </w:r>
    </w:p>
    <w:p w:rsidR="00FA567F" w:rsidRPr="00AB4C34" w:rsidRDefault="00FA567F" w:rsidP="009533D7">
      <w:pPr>
        <w:pStyle w:val="H4GR"/>
        <w:spacing w:before="240"/>
      </w:pPr>
      <w:r w:rsidRPr="00AB4C34">
        <w:tab/>
      </w:r>
      <w:r w:rsidRPr="00AB4C34">
        <w:tab/>
        <w:t>Закон от 6 мая 2009 года о различных п</w:t>
      </w:r>
      <w:r>
        <w:t>оложениях, касающихся убежища</w:t>
      </w:r>
      <w:r w:rsidR="00530372">
        <w:br/>
      </w:r>
      <w:r w:rsidR="00530372">
        <w:tab/>
      </w:r>
      <w:r w:rsidR="00530372">
        <w:tab/>
      </w:r>
      <w:r>
        <w:t>и </w:t>
      </w:r>
      <w:r w:rsidRPr="00AB4C34">
        <w:t>иммиграции (</w:t>
      </w:r>
      <w:r>
        <w:t>"</w:t>
      </w:r>
      <w:r w:rsidRPr="00AB4C34">
        <w:t>М.Б.</w:t>
      </w:r>
      <w:r>
        <w:t>"</w:t>
      </w:r>
      <w:r w:rsidRPr="00AB4C34">
        <w:t xml:space="preserve"> от 19 мая 2009 года)</w:t>
      </w:r>
    </w:p>
    <w:p w:rsidR="00FA567F" w:rsidRPr="00AB4C34" w:rsidRDefault="00FA567F" w:rsidP="004B4B9D">
      <w:pPr>
        <w:pStyle w:val="SingleTxtGR"/>
      </w:pPr>
      <w:r w:rsidRPr="00AB4C34">
        <w:t>160.</w:t>
      </w:r>
      <w:r w:rsidRPr="00AB4C34">
        <w:tab/>
        <w:t>Этот закон вносит изменения в подпункт 2 пункта 4 статьи 39/82 и в ст</w:t>
      </w:r>
      <w:r w:rsidRPr="00AB4C34">
        <w:t>а</w:t>
      </w:r>
      <w:r w:rsidRPr="00AB4C34">
        <w:t>тью 39/83 Закона от 15 декабря 1980 года.</w:t>
      </w:r>
    </w:p>
    <w:p w:rsidR="00FA567F" w:rsidRPr="00AB4C34" w:rsidRDefault="00FA567F" w:rsidP="004B4B9D">
      <w:pPr>
        <w:pStyle w:val="SingleTxtGR"/>
      </w:pPr>
      <w:r w:rsidRPr="00AB4C34">
        <w:t>161.</w:t>
      </w:r>
      <w:r w:rsidRPr="00AB4C34">
        <w:tab/>
        <w:t>Согласно статье 39/83 упомянутого закона, принудительное исполнение меры по удалению иностранца с территории или его возвращению – за искл</w:t>
      </w:r>
      <w:r w:rsidRPr="00AB4C34">
        <w:t>ю</w:t>
      </w:r>
      <w:r w:rsidRPr="00AB4C34">
        <w:t xml:space="preserve">чением случаев, когда соответствующее лицо выразило свое согласие, </w:t>
      </w:r>
      <w:r>
        <w:t>−</w:t>
      </w:r>
      <w:r w:rsidRPr="00AB4C34">
        <w:t xml:space="preserve"> осущ</w:t>
      </w:r>
      <w:r w:rsidRPr="00AB4C34">
        <w:t>е</w:t>
      </w:r>
      <w:r w:rsidRPr="00AB4C34">
        <w:t>ствляется не раньше, чем через пять дней после уведомления о применении т</w:t>
      </w:r>
      <w:r w:rsidRPr="00AB4C34">
        <w:t>а</w:t>
      </w:r>
      <w:r w:rsidRPr="00AB4C34">
        <w:t>кой меры, причем этот срок не может составлять менее трех рабочих дней вм</w:t>
      </w:r>
      <w:r w:rsidRPr="00AB4C34">
        <w:t>е</w:t>
      </w:r>
      <w:r w:rsidRPr="00AB4C34">
        <w:t>сто предусмотренного ранее срока в 24 часа. При этом на практике, если ин</w:t>
      </w:r>
      <w:r w:rsidRPr="00AB4C34">
        <w:t>о</w:t>
      </w:r>
      <w:r w:rsidRPr="00AB4C34">
        <w:t>странец подаст апелляционную жалобу по чрезвычайной процедуре в течение 15 дней (в случае содержания под стражей) после уведомления о решении по его делу, Совет по урегулированию споров, касающихся иностранцев, может вынести п</w:t>
      </w:r>
      <w:r w:rsidRPr="00AB4C34">
        <w:t>о</w:t>
      </w:r>
      <w:r w:rsidRPr="00AB4C34">
        <w:t>становление, запрещающее высылку заявителя вплоть до вынесения решения по его апелляции. Однако министр обратился в Государственный совет с кассационной жалобой на такой вид судебной практики. Ходатайство об о</w:t>
      </w:r>
      <w:r w:rsidRPr="00AB4C34">
        <w:t>т</w:t>
      </w:r>
      <w:r w:rsidRPr="00AB4C34">
        <w:t>мене решения не обеспечивает приостановление высылки, но если к нему пр</w:t>
      </w:r>
      <w:r w:rsidRPr="00AB4C34">
        <w:t>и</w:t>
      </w:r>
      <w:r w:rsidRPr="00AB4C34">
        <w:t>лагается просьба о предоставлении отсрочки, а решение о принудительном и</w:t>
      </w:r>
      <w:r w:rsidRPr="00AB4C34">
        <w:t>с</w:t>
      </w:r>
      <w:r w:rsidRPr="00AB4C34">
        <w:t>полнении выносится в более поз</w:t>
      </w:r>
      <w:r w:rsidRPr="00AB4C34">
        <w:t>д</w:t>
      </w:r>
      <w:r w:rsidRPr="00AB4C34">
        <w:t>ний срок, заявитель может подать ходатайство о принятии временных мер приостанавливающего характера. Вопрос о наруш</w:t>
      </w:r>
      <w:r w:rsidRPr="00AB4C34">
        <w:t>е</w:t>
      </w:r>
      <w:r w:rsidRPr="00AB4C34">
        <w:t>нии статьи 3 Европейской конвенции о правах человека находится на рассмо</w:t>
      </w:r>
      <w:r w:rsidRPr="00AB4C34">
        <w:t>т</w:t>
      </w:r>
      <w:r w:rsidRPr="00AB4C34">
        <w:t>рении ССИ, в том числе в чрезвычайных случаях (например, кроме случаев поздней подачи апелляции).</w:t>
      </w:r>
    </w:p>
    <w:p w:rsidR="00FA567F" w:rsidRPr="00AB4C34" w:rsidRDefault="00FA567F" w:rsidP="009533D7">
      <w:pPr>
        <w:pStyle w:val="H4GR"/>
        <w:spacing w:before="240"/>
      </w:pPr>
      <w:r w:rsidRPr="00AB4C34">
        <w:tab/>
      </w:r>
      <w:r w:rsidRPr="00AB4C34">
        <w:tab/>
        <w:t>Закон от 19 января 2012 года о внесении измен</w:t>
      </w:r>
      <w:r>
        <w:t xml:space="preserve">ений в Закон от 15 декабря </w:t>
      </w:r>
      <w:r w:rsidR="00D22B61">
        <w:br/>
      </w:r>
      <w:r w:rsidR="00D22B61">
        <w:tab/>
      </w:r>
      <w:r w:rsidR="00D22B61">
        <w:tab/>
      </w:r>
      <w:r>
        <w:t>1980 </w:t>
      </w:r>
      <w:r w:rsidRPr="00AB4C34">
        <w:t>года (</w:t>
      </w:r>
      <w:r>
        <w:t>"</w:t>
      </w:r>
      <w:r w:rsidRPr="00AB4C34">
        <w:t>М.Б.</w:t>
      </w:r>
      <w:r>
        <w:t>"</w:t>
      </w:r>
      <w:r w:rsidRPr="00AB4C34">
        <w:t xml:space="preserve"> от 17 февраля 2012 года) </w:t>
      </w:r>
    </w:p>
    <w:p w:rsidR="00FA567F" w:rsidRPr="00AB4C34" w:rsidRDefault="00FA567F" w:rsidP="004B4B9D">
      <w:pPr>
        <w:pStyle w:val="SingleTxtGR"/>
      </w:pPr>
      <w:r w:rsidRPr="00AB4C34">
        <w:t>162.</w:t>
      </w:r>
      <w:r w:rsidRPr="00AB4C34">
        <w:tab/>
        <w:t>Этот закон обеспечивает ч</w:t>
      </w:r>
      <w:r>
        <w:t>астичную инкорпорацию Директ</w:t>
      </w:r>
      <w:r>
        <w:t>и</w:t>
      </w:r>
      <w:r>
        <w:t>вы </w:t>
      </w:r>
      <w:r w:rsidRPr="00AB4C34">
        <w:t>2008/115/CE от 16 декабря 2008 года об общих нормах и процедурах гос</w:t>
      </w:r>
      <w:r w:rsidRPr="00AB4C34">
        <w:t>у</w:t>
      </w:r>
      <w:r w:rsidRPr="00AB4C34">
        <w:t>дарств-членов, касающихся возвращения граждан третьих стран, незаконно пребывающих на их территории, а также подпункта i) пункта 4 с) статьи 23 и статей 30 и 31 Директивы 2005/85/CE от 1 декабря 2005 года о минимальных стандартах для процедур государств-членов по предоставлению и отмене стат</w:t>
      </w:r>
      <w:r w:rsidRPr="00AB4C34">
        <w:t>у</w:t>
      </w:r>
      <w:r w:rsidRPr="00AB4C34">
        <w:t>са беженца.</w:t>
      </w:r>
    </w:p>
    <w:p w:rsidR="00FA567F" w:rsidRPr="00AB4C34" w:rsidRDefault="00FA567F" w:rsidP="004B4B9D">
      <w:pPr>
        <w:pStyle w:val="SingleTxtGR"/>
      </w:pPr>
      <w:r w:rsidRPr="00AB4C34">
        <w:t>163.</w:t>
      </w:r>
      <w:r w:rsidRPr="00AB4C34">
        <w:tab/>
        <w:t>Закон вносит изменения в порядок удаления с территории и содержания под стражей иностранцев, незаконно находящихся в стране. Его цель – спосо</w:t>
      </w:r>
      <w:r w:rsidRPr="00AB4C34">
        <w:t>б</w:t>
      </w:r>
      <w:r w:rsidRPr="00AB4C34">
        <w:t>ствовать добровольному возвращению, не сн</w:t>
      </w:r>
      <w:r w:rsidRPr="00AB4C34">
        <w:t>и</w:t>
      </w:r>
      <w:r w:rsidRPr="00AB4C34">
        <w:t>жая при этом эффективность процедур возвращения. Так, например, срок для выезда, предоставляемый ин</w:t>
      </w:r>
      <w:r w:rsidRPr="00AB4C34">
        <w:t>о</w:t>
      </w:r>
      <w:r w:rsidRPr="00AB4C34">
        <w:t>странцам, которым было предписано покинуть территорию страны, в принципе продлен до 30 дней, чтобы соответствующее лицо могло воспользоваться этим сроком для подготовки своего добровольного возвращения. Однако в некоторых случаях этот срок сокращен до семи дней, а в исключительных случаях может выноситься решение о предоставлении срока менее семи дней и даже об отказе в предоставл</w:t>
      </w:r>
      <w:r w:rsidRPr="00AB4C34">
        <w:t>е</w:t>
      </w:r>
      <w:r w:rsidRPr="00AB4C34">
        <w:t>нии какого-либо срока. Это, в частности, касается случаев, когда есть опасения, что соответствующее лицо может скрыться, т</w:t>
      </w:r>
      <w:r>
        <w:t>.е.</w:t>
      </w:r>
      <w:r w:rsidRPr="00AB4C34">
        <w:t xml:space="preserve"> когда оно пре</w:t>
      </w:r>
      <w:r w:rsidRPr="00AB4C34">
        <w:t>д</w:t>
      </w:r>
      <w:r w:rsidRPr="00AB4C34">
        <w:t xml:space="preserve">ставляет </w:t>
      </w:r>
      <w:r>
        <w:t>"</w:t>
      </w:r>
      <w:r w:rsidRPr="00AB4C34">
        <w:t>фактическую и реальную опасность неповинов</w:t>
      </w:r>
      <w:r w:rsidRPr="00AB4C34">
        <w:t>е</w:t>
      </w:r>
      <w:r w:rsidRPr="00AB4C34">
        <w:t>ния властям</w:t>
      </w:r>
      <w:r>
        <w:t>"</w:t>
      </w:r>
      <w:r w:rsidRPr="00AB4C34">
        <w:t xml:space="preserve">. </w:t>
      </w:r>
    </w:p>
    <w:p w:rsidR="00FA567F" w:rsidRPr="00AB4C34" w:rsidRDefault="00FA567F" w:rsidP="004B4B9D">
      <w:pPr>
        <w:pStyle w:val="SingleTxtGR"/>
      </w:pPr>
      <w:r w:rsidRPr="00AB4C34">
        <w:t>164.</w:t>
      </w:r>
      <w:r w:rsidRPr="00AB4C34">
        <w:tab/>
        <w:t>Этот срок может быть продлен, если добровольное возвращение не уд</w:t>
      </w:r>
      <w:r w:rsidRPr="00AB4C34">
        <w:t>а</w:t>
      </w:r>
      <w:r w:rsidRPr="00AB4C34">
        <w:t>ется осуществить в предоставленный срок или если это оправдано личными о</w:t>
      </w:r>
      <w:r w:rsidRPr="00AB4C34">
        <w:t>б</w:t>
      </w:r>
      <w:r w:rsidRPr="00AB4C34">
        <w:t>стоятельствами. В отношении иностранца, который не соблюдает предоста</w:t>
      </w:r>
      <w:r w:rsidRPr="00AB4C34">
        <w:t>в</w:t>
      </w:r>
      <w:r w:rsidRPr="00AB4C34">
        <w:t>ленный ему для добровольного выезда срок или которому не было предоста</w:t>
      </w:r>
      <w:r w:rsidRPr="00AB4C34">
        <w:t>в</w:t>
      </w:r>
      <w:r w:rsidRPr="00AB4C34">
        <w:t>лено никакого срока, выносится решение о запрещении въезда на территорию Европейского союза. В Бельгии максимальный срок действия запрещения на въезд составляет три года. В случае мошеннических действий максимальный срок запрета составляет пять лет, а при наличии серьезной угрозы правопоря</w:t>
      </w:r>
      <w:r w:rsidRPr="00AB4C34">
        <w:t>д</w:t>
      </w:r>
      <w:r w:rsidRPr="00AB4C34">
        <w:t>ку или национальной безопасности этот срок может быть более продолжител</w:t>
      </w:r>
      <w:r w:rsidRPr="00AB4C34">
        <w:t>ь</w:t>
      </w:r>
      <w:r w:rsidRPr="00AB4C34">
        <w:t>ным. Если по истечении двух третей срока действия запрета на въезд иностр</w:t>
      </w:r>
      <w:r w:rsidRPr="00AB4C34">
        <w:t>а</w:t>
      </w:r>
      <w:r w:rsidRPr="00AB4C34">
        <w:t>нец представит основания для пребывания в целях получения образования или трудовой деятельности, он сможет воспользоваться процедурой сн</w:t>
      </w:r>
      <w:r w:rsidRPr="00AB4C34">
        <w:t>я</w:t>
      </w:r>
      <w:r w:rsidRPr="00AB4C34">
        <w:t xml:space="preserve">тия запрета на въезд. Министр или его представитель также может в любой момент снять этот запрет по гуманитарным соображениям. </w:t>
      </w:r>
    </w:p>
    <w:p w:rsidR="00FA567F" w:rsidRPr="00AB4C34" w:rsidRDefault="00FA567F" w:rsidP="009533D7">
      <w:pPr>
        <w:pStyle w:val="H4GR"/>
        <w:spacing w:before="240"/>
      </w:pPr>
      <w:r w:rsidRPr="00AB4C34">
        <w:tab/>
      </w:r>
      <w:r w:rsidRPr="00AB4C34">
        <w:tab/>
        <w:t>Закон от 15 марта 2012 года о внесении измен</w:t>
      </w:r>
      <w:r>
        <w:t xml:space="preserve">ений в Закон от 15 декабря </w:t>
      </w:r>
      <w:r w:rsidR="00D22B61">
        <w:br/>
      </w:r>
      <w:r w:rsidR="00D22B61">
        <w:tab/>
      </w:r>
      <w:r w:rsidR="00D22B61">
        <w:tab/>
      </w:r>
      <w:r>
        <w:t>1980 </w:t>
      </w:r>
      <w:r w:rsidRPr="00AB4C34">
        <w:t xml:space="preserve">года и в Закон от 17 мая 2006 года о внешнем правовом статусе лиц, </w:t>
      </w:r>
      <w:r w:rsidR="00D22B61">
        <w:br/>
      </w:r>
      <w:r w:rsidR="00D22B61">
        <w:tab/>
      </w:r>
      <w:r w:rsidR="00D22B61">
        <w:tab/>
      </w:r>
      <w:r w:rsidRPr="00AB4C34">
        <w:t>осужденных к лишению свободы, и о правах, при</w:t>
      </w:r>
      <w:r>
        <w:t xml:space="preserve">знанных за потерпевшим </w:t>
      </w:r>
      <w:r w:rsidR="00D22B61">
        <w:br/>
      </w:r>
      <w:r w:rsidR="00D22B61">
        <w:tab/>
      </w:r>
      <w:r w:rsidR="00D22B61">
        <w:tab/>
      </w:r>
      <w:r>
        <w:t>в </w:t>
      </w:r>
      <w:r w:rsidRPr="00AB4C34">
        <w:t>рамках условий исполнения наказания (</w:t>
      </w:r>
      <w:r>
        <w:t>"</w:t>
      </w:r>
      <w:r w:rsidRPr="00AB4C34">
        <w:t>М.Б.</w:t>
      </w:r>
      <w:r>
        <w:t>"</w:t>
      </w:r>
      <w:r w:rsidRPr="00AB4C34">
        <w:t xml:space="preserve"> от 30 марта 2012 года) </w:t>
      </w:r>
    </w:p>
    <w:p w:rsidR="00FA567F" w:rsidRPr="00AB4C34" w:rsidRDefault="00FA567F" w:rsidP="004B4B9D">
      <w:pPr>
        <w:pStyle w:val="SingleTxtGR"/>
      </w:pPr>
      <w:r w:rsidRPr="00AB4C34">
        <w:t>165.</w:t>
      </w:r>
      <w:r w:rsidRPr="00AB4C34">
        <w:tab/>
        <w:t>Этим законом предусматриваются правовые рамки для перевода ин</w:t>
      </w:r>
      <w:r w:rsidRPr="00AB4C34">
        <w:t>о</w:t>
      </w:r>
      <w:r w:rsidRPr="00AB4C34">
        <w:t>странцев, прошедших проц</w:t>
      </w:r>
      <w:r w:rsidRPr="00AB4C34">
        <w:t>е</w:t>
      </w:r>
      <w:r w:rsidRPr="00AB4C34">
        <w:t>дуру рассмотрения их дела в суде, в закрытый центр содержания с последующим удалением с территории или для осущест</w:t>
      </w:r>
      <w:r w:rsidRPr="00AB4C34">
        <w:t>в</w:t>
      </w:r>
      <w:r w:rsidRPr="00AB4C34">
        <w:t>ления их высылки непосредственно из тюрьмы. В соответствии с изменениями, внесенными в Закон от 17 мая 2006 года, эти иностранцы теперь могут быть о</w:t>
      </w:r>
      <w:r w:rsidRPr="00AB4C34">
        <w:t>с</w:t>
      </w:r>
      <w:r w:rsidRPr="00AB4C34">
        <w:t>вобождены за два месяца до истечения срока их наказания и удалены с терр</w:t>
      </w:r>
      <w:r w:rsidRPr="00AB4C34">
        <w:t>и</w:t>
      </w:r>
      <w:r w:rsidRPr="00AB4C34">
        <w:t>тории. Это означает, что они могут быть либо репатриированы, либо перевед</w:t>
      </w:r>
      <w:r w:rsidRPr="00AB4C34">
        <w:t>е</w:t>
      </w:r>
      <w:r w:rsidRPr="00AB4C34">
        <w:t>ны в закрытый центр не раньше, чем за два месяца до истечения срока их нак</w:t>
      </w:r>
      <w:r w:rsidRPr="00AB4C34">
        <w:t>а</w:t>
      </w:r>
      <w:r w:rsidRPr="00AB4C34">
        <w:t>зания.</w:t>
      </w:r>
    </w:p>
    <w:p w:rsidR="00FA567F" w:rsidRPr="00AB4C34" w:rsidRDefault="00FA567F" w:rsidP="009533D7">
      <w:pPr>
        <w:pStyle w:val="H4GR"/>
        <w:spacing w:before="240"/>
      </w:pPr>
      <w:r w:rsidRPr="00AB4C34">
        <w:tab/>
      </w:r>
      <w:r w:rsidRPr="00AB4C34">
        <w:tab/>
        <w:t>Закон от 22 апреля 2012 года о внесении измен</w:t>
      </w:r>
      <w:r>
        <w:t xml:space="preserve">ений в Закон от 15 декабря </w:t>
      </w:r>
      <w:r w:rsidR="00D22B61">
        <w:br/>
      </w:r>
      <w:r w:rsidR="00D22B61">
        <w:tab/>
      </w:r>
      <w:r w:rsidR="00D22B61">
        <w:tab/>
      </w:r>
      <w:r>
        <w:t>1980 </w:t>
      </w:r>
      <w:r w:rsidRPr="00AB4C34">
        <w:t>года и в Закон от 12 января 2007 года о приеме просителей убе</w:t>
      </w:r>
      <w:r>
        <w:t xml:space="preserve">жища </w:t>
      </w:r>
      <w:r w:rsidR="00D22B61">
        <w:br/>
      </w:r>
      <w:r w:rsidR="00D22B61">
        <w:tab/>
      </w:r>
      <w:r w:rsidR="00D22B61">
        <w:tab/>
      </w:r>
      <w:r>
        <w:t>и </w:t>
      </w:r>
      <w:r w:rsidRPr="00AB4C34">
        <w:t>ряда других категорий иностранцев (</w:t>
      </w:r>
      <w:r>
        <w:t>"</w:t>
      </w:r>
      <w:r w:rsidRPr="00AB4C34">
        <w:t>М.Б.</w:t>
      </w:r>
      <w:r>
        <w:t>"</w:t>
      </w:r>
      <w:r w:rsidRPr="00AB4C34">
        <w:t xml:space="preserve"> от 30 мая 2012 года)</w:t>
      </w:r>
    </w:p>
    <w:p w:rsidR="00FA567F" w:rsidRPr="00AB4C34" w:rsidRDefault="00FA567F" w:rsidP="004B4B9D">
      <w:pPr>
        <w:pStyle w:val="SingleTxtGR"/>
      </w:pPr>
      <w:r w:rsidRPr="00AB4C34">
        <w:t>166.</w:t>
      </w:r>
      <w:r w:rsidRPr="00AB4C34">
        <w:tab/>
        <w:t>В соответствии с этим законом министр или его представитель может н</w:t>
      </w:r>
      <w:r w:rsidRPr="00AB4C34">
        <w:t>а</w:t>
      </w:r>
      <w:r w:rsidRPr="00AB4C34">
        <w:t>значить центр возвращения для просителя убежища и членов его семьи, по х</w:t>
      </w:r>
      <w:r w:rsidRPr="00AB4C34">
        <w:t>о</w:t>
      </w:r>
      <w:r w:rsidRPr="00AB4C34">
        <w:t>датайству которых было вынесено подлежащее исполнению решение. Форм</w:t>
      </w:r>
      <w:r w:rsidRPr="00AB4C34">
        <w:t>у</w:t>
      </w:r>
      <w:r w:rsidRPr="00AB4C34">
        <w:t>лировка закона позволяет охватить как просителей убежища, подавших ход</w:t>
      </w:r>
      <w:r w:rsidRPr="00AB4C34">
        <w:t>а</w:t>
      </w:r>
      <w:r w:rsidRPr="00AB4C34">
        <w:t>тайство об убежище в Бельгии, так и просителей убежища, по ходатайствам к</w:t>
      </w:r>
      <w:r w:rsidRPr="00AB4C34">
        <w:t>о</w:t>
      </w:r>
      <w:r w:rsidRPr="00AB4C34">
        <w:t>торых было вынесено решение о неприемлемости. В период содержания в це</w:t>
      </w:r>
      <w:r w:rsidRPr="00AB4C34">
        <w:t>н</w:t>
      </w:r>
      <w:r w:rsidRPr="00AB4C34">
        <w:t>тре иностранец получает содействие со стороны должностного лица в подг</w:t>
      </w:r>
      <w:r w:rsidRPr="00AB4C34">
        <w:t>о</w:t>
      </w:r>
      <w:r w:rsidRPr="00AB4C34">
        <w:t xml:space="preserve">товке своего возвращения. </w:t>
      </w:r>
    </w:p>
    <w:p w:rsidR="00FA567F" w:rsidRPr="00AB4C34" w:rsidRDefault="00FA567F" w:rsidP="009533D7">
      <w:pPr>
        <w:pStyle w:val="H4GR"/>
        <w:spacing w:before="240"/>
      </w:pPr>
      <w:r w:rsidRPr="00AB4C34">
        <w:tab/>
      </w:r>
      <w:r w:rsidRPr="00AB4C34">
        <w:tab/>
        <w:t>Циркулярное письмо от 10 июня 2011 года о полномочиях бургоми</w:t>
      </w:r>
      <w:r>
        <w:t xml:space="preserve">стра </w:t>
      </w:r>
      <w:r w:rsidR="00F24FD6">
        <w:br/>
      </w:r>
      <w:r w:rsidR="00F24FD6">
        <w:tab/>
      </w:r>
      <w:r w:rsidR="00F24FD6">
        <w:tab/>
      </w:r>
      <w:r>
        <w:t>в </w:t>
      </w:r>
      <w:r w:rsidRPr="00AB4C34">
        <w:t xml:space="preserve">области удалении с территории гражданина третьей страны </w:t>
      </w:r>
      <w:r>
        <w:br/>
      </w:r>
      <w:r w:rsidR="00F24FD6">
        <w:tab/>
      </w:r>
      <w:r w:rsidR="00F24FD6">
        <w:tab/>
      </w:r>
      <w:r w:rsidRPr="00AB4C34">
        <w:t>(</w:t>
      </w:r>
      <w:r>
        <w:t>"</w:t>
      </w:r>
      <w:r w:rsidRPr="00AB4C34">
        <w:t>М.Б.</w:t>
      </w:r>
      <w:r>
        <w:t>" от 16 </w:t>
      </w:r>
      <w:r w:rsidRPr="00AB4C34">
        <w:t>июня 2011 года)</w:t>
      </w:r>
    </w:p>
    <w:p w:rsidR="00FA567F" w:rsidRPr="00AB4C34" w:rsidRDefault="00FA567F" w:rsidP="004B4B9D">
      <w:pPr>
        <w:pStyle w:val="SingleTxtGR"/>
      </w:pPr>
      <w:r w:rsidRPr="00AB4C34">
        <w:t>167.</w:t>
      </w:r>
      <w:r w:rsidRPr="00AB4C34">
        <w:tab/>
        <w:t>10 июня 2011 года государственным секретарем по вопросам миграцио</w:t>
      </w:r>
      <w:r w:rsidRPr="00AB4C34">
        <w:t>н</w:t>
      </w:r>
      <w:r w:rsidRPr="00AB4C34">
        <w:t>ной политики и предо</w:t>
      </w:r>
      <w:r w:rsidRPr="00AB4C34">
        <w:t>с</w:t>
      </w:r>
      <w:r w:rsidRPr="00AB4C34">
        <w:t xml:space="preserve">тавления убежища было подготовлено циркулярное письмо с целью уточнения функций коммун в сфере удаления с территории граждан третьих стран и политики регулирования их возращения из Бельгии. </w:t>
      </w:r>
    </w:p>
    <w:p w:rsidR="00FA567F" w:rsidRPr="00AB4C34" w:rsidRDefault="00FA567F" w:rsidP="004B4B9D">
      <w:pPr>
        <w:pStyle w:val="SingleTxtGR"/>
      </w:pPr>
      <w:r w:rsidRPr="00AB4C34">
        <w:t>168.</w:t>
      </w:r>
      <w:r w:rsidRPr="00AB4C34">
        <w:tab/>
        <w:t>Цель этого документа заключается в обеспечении эффективного испо</w:t>
      </w:r>
      <w:r w:rsidRPr="00AB4C34">
        <w:t>л</w:t>
      </w:r>
      <w:r w:rsidRPr="00AB4C34">
        <w:t>нения распоряжений о выезде с территории страны, способствуя прежде всего добровольному выезду иностранцев, незаконно пребывающих в Бельгии. Э</w:t>
      </w:r>
      <w:r w:rsidRPr="00AB4C34">
        <w:t>ф</w:t>
      </w:r>
      <w:r w:rsidRPr="00AB4C34">
        <w:t xml:space="preserve">фективность этого механизма зависит от слаженности сотрудничества между всеми компетентными органами власти. </w:t>
      </w:r>
    </w:p>
    <w:p w:rsidR="00FA567F" w:rsidRPr="00AB4C34" w:rsidRDefault="00FA567F" w:rsidP="004B4B9D">
      <w:pPr>
        <w:pStyle w:val="SingleTxtGR"/>
      </w:pPr>
      <w:r w:rsidRPr="00AB4C34">
        <w:t>169.</w:t>
      </w:r>
      <w:r w:rsidRPr="00AB4C34">
        <w:tab/>
        <w:t>В этой связи в мае 2011 года внутри структуры Бюро по делам иностра</w:t>
      </w:r>
      <w:r w:rsidRPr="00AB4C34">
        <w:t>н</w:t>
      </w:r>
      <w:r w:rsidRPr="00AB4C34">
        <w:t>цев при частичном финансировании из средств Европейского фонда для во</w:t>
      </w:r>
      <w:r w:rsidRPr="00AB4C34">
        <w:t>з</w:t>
      </w:r>
      <w:r w:rsidRPr="00AB4C34">
        <w:t xml:space="preserve">вращения было открыто бюро </w:t>
      </w:r>
      <w:r>
        <w:t>"</w:t>
      </w:r>
      <w:r w:rsidRPr="00AB4C34">
        <w:t>Сефор</w:t>
      </w:r>
      <w:r>
        <w:t>"</w:t>
      </w:r>
      <w:r w:rsidRPr="00AB4C34">
        <w:t>, задача которого – поощрять добровол</w:t>
      </w:r>
      <w:r w:rsidRPr="00AB4C34">
        <w:t>ь</w:t>
      </w:r>
      <w:r w:rsidRPr="00AB4C34">
        <w:t xml:space="preserve">ное возвращение, просвещать и готовить соответствующих лиц к применению нового циркуляра и контролировать его надлежащее выполнение. </w:t>
      </w:r>
    </w:p>
    <w:p w:rsidR="00FA567F" w:rsidRPr="00AB4C34" w:rsidRDefault="00FA567F" w:rsidP="004B4B9D">
      <w:pPr>
        <w:pStyle w:val="H23GR"/>
      </w:pPr>
      <w:r w:rsidRPr="00AB4C34">
        <w:tab/>
        <w:t>6.</w:t>
      </w:r>
      <w:r w:rsidRPr="00AB4C34">
        <w:tab/>
        <w:t>Воссоединение семьи</w:t>
      </w:r>
    </w:p>
    <w:p w:rsidR="00FA567F" w:rsidRPr="00AB4C34" w:rsidRDefault="00FA567F" w:rsidP="00E47B9E">
      <w:pPr>
        <w:pStyle w:val="H4GR"/>
        <w:spacing w:before="240"/>
      </w:pPr>
      <w:r w:rsidRPr="00AB4C34">
        <w:tab/>
      </w:r>
      <w:r w:rsidRPr="00AB4C34">
        <w:tab/>
        <w:t>Закон от 15 сентября 2006 года о внесении изменений в Закон от 15 декабря</w:t>
      </w:r>
      <w:r w:rsidR="00F24FD6">
        <w:br/>
      </w:r>
      <w:r w:rsidR="00F24FD6">
        <w:tab/>
      </w:r>
      <w:r w:rsidR="00F24FD6">
        <w:tab/>
      </w:r>
      <w:r w:rsidRPr="00AB4C34">
        <w:t>1980 года (см. выше)</w:t>
      </w:r>
    </w:p>
    <w:p w:rsidR="00FA567F" w:rsidRPr="00AB4C34" w:rsidRDefault="00FA567F" w:rsidP="004B4B9D">
      <w:pPr>
        <w:pStyle w:val="SingleTxtGR"/>
      </w:pPr>
      <w:r w:rsidRPr="00AB4C34">
        <w:t>170.</w:t>
      </w:r>
      <w:r w:rsidRPr="00AB4C34">
        <w:tab/>
        <w:t>Этот закон вносит изменения в положения Закона от 15 декабря 1980 года о воссоединении семей иностранцев, не являющихся гражданами какого-либо из государств Европейского союза. Эти измене</w:t>
      </w:r>
      <w:r>
        <w:t>ния вытекают из Директ</w:t>
      </w:r>
      <w:r>
        <w:t>и</w:t>
      </w:r>
      <w:r>
        <w:t>вы </w:t>
      </w:r>
      <w:r w:rsidRPr="00AB4C34">
        <w:t>2003/86/CE о воссоединении семьи, принято</w:t>
      </w:r>
      <w:r>
        <w:t>й Советом Европейского союза 22 </w:t>
      </w:r>
      <w:r w:rsidRPr="00AB4C34">
        <w:t>сентября 2003 года.</w:t>
      </w:r>
    </w:p>
    <w:p w:rsidR="00FA567F" w:rsidRPr="00AB4C34" w:rsidRDefault="00FA567F" w:rsidP="00E47B9E">
      <w:pPr>
        <w:pStyle w:val="H4GR"/>
        <w:spacing w:before="240"/>
      </w:pPr>
      <w:r w:rsidRPr="00AB4C34">
        <w:tab/>
      </w:r>
      <w:r w:rsidRPr="00AB4C34">
        <w:tab/>
        <w:t>Закон от 8 марта 2009 года о внесении изменений в статью 12-</w:t>
      </w:r>
      <w:r>
        <w:t xml:space="preserve">бис Закона </w:t>
      </w:r>
      <w:r w:rsidR="00F24FD6">
        <w:br/>
      </w:r>
      <w:r w:rsidR="00F24FD6">
        <w:tab/>
      </w:r>
      <w:r w:rsidR="00F24FD6">
        <w:tab/>
      </w:r>
      <w:r>
        <w:t>от </w:t>
      </w:r>
      <w:r w:rsidRPr="00AB4C34">
        <w:t xml:space="preserve">15 декабря 1980 года о доказывании наличия родственных связей </w:t>
      </w:r>
      <w:r>
        <w:br/>
      </w:r>
      <w:r w:rsidR="00F24FD6">
        <w:tab/>
      </w:r>
      <w:r w:rsidR="00F24FD6">
        <w:tab/>
      </w:r>
      <w:r w:rsidRPr="00AB4C34">
        <w:t>(</w:t>
      </w:r>
      <w:r>
        <w:t>"</w:t>
      </w:r>
      <w:r w:rsidRPr="00AB4C34">
        <w:t>М.Б.</w:t>
      </w:r>
      <w:r>
        <w:t>"</w:t>
      </w:r>
      <w:r w:rsidRPr="00AB4C34">
        <w:t xml:space="preserve"> от 2 июля 2009 года)</w:t>
      </w:r>
    </w:p>
    <w:p w:rsidR="00FA567F" w:rsidRPr="00AB4C34" w:rsidRDefault="00FA567F" w:rsidP="004B4B9D">
      <w:pPr>
        <w:pStyle w:val="SingleTxtGR"/>
      </w:pPr>
      <w:r w:rsidRPr="00AB4C34">
        <w:t>171.</w:t>
      </w:r>
      <w:r w:rsidRPr="00AB4C34">
        <w:tab/>
        <w:t>Этот закон гласит, что</w:t>
      </w:r>
      <w:r w:rsidR="00E346C7">
        <w:t>,</w:t>
      </w:r>
      <w:r w:rsidRPr="00AB4C34">
        <w:t xml:space="preserve"> когда констатируется, что иностранец не может представить доказательства указанных им родственных связей или семейного союза с помощью официальных документов, соотве</w:t>
      </w:r>
      <w:r w:rsidRPr="00AB4C34">
        <w:t>т</w:t>
      </w:r>
      <w:r w:rsidRPr="00AB4C34">
        <w:t>ствующих статье 30 Закона от 16 июля 2004 года о Кодексе международного частного права или междун</w:t>
      </w:r>
      <w:r w:rsidRPr="00AB4C34">
        <w:t>а</w:t>
      </w:r>
      <w:r w:rsidRPr="00AB4C34">
        <w:t>родным конвенциям в этой же области, могут приниматься во внимание и др</w:t>
      </w:r>
      <w:r w:rsidRPr="00AB4C34">
        <w:t>у</w:t>
      </w:r>
      <w:r w:rsidRPr="00AB4C34">
        <w:t>гие доказательства. При отсутствии таковых министр или его представитель может провести или назначить проведение бесед с соответствующим иностра</w:t>
      </w:r>
      <w:r w:rsidRPr="00AB4C34">
        <w:t>н</w:t>
      </w:r>
      <w:r w:rsidRPr="00AB4C34">
        <w:t>цем и с иностранцем, с которым происходит воссоединение, или любого нео</w:t>
      </w:r>
      <w:r w:rsidRPr="00AB4C34">
        <w:t>б</w:t>
      </w:r>
      <w:r w:rsidRPr="00AB4C34">
        <w:t>ходимого расследования, а в соответствующих случаях выдвигать предложение о проведении допо</w:t>
      </w:r>
      <w:r w:rsidRPr="00AB4C34">
        <w:t>л</w:t>
      </w:r>
      <w:r w:rsidRPr="00AB4C34">
        <w:t>нительного анализа.</w:t>
      </w:r>
    </w:p>
    <w:p w:rsidR="00FA567F" w:rsidRPr="00AB4C34" w:rsidRDefault="00FA567F" w:rsidP="00E47B9E">
      <w:pPr>
        <w:pStyle w:val="H4GR"/>
        <w:spacing w:before="240"/>
      </w:pPr>
      <w:r w:rsidRPr="00AB4C34">
        <w:tab/>
      </w:r>
      <w:r w:rsidRPr="00AB4C34">
        <w:tab/>
        <w:t>Закон от 8 июля 2011 года о внесении изменений в Закон от 15 де</w:t>
      </w:r>
      <w:r>
        <w:t xml:space="preserve">кабря </w:t>
      </w:r>
      <w:r w:rsidR="00F24FD6">
        <w:br/>
      </w:r>
      <w:r w:rsidR="00F24FD6">
        <w:tab/>
      </w:r>
      <w:r w:rsidR="00F24FD6">
        <w:tab/>
      </w:r>
      <w:r>
        <w:t>1980 </w:t>
      </w:r>
      <w:r w:rsidRPr="00AB4C34">
        <w:t xml:space="preserve">года относительно условий, предусмотренных для воссоединения семьи </w:t>
      </w:r>
      <w:r w:rsidR="00F24FD6">
        <w:br/>
      </w:r>
      <w:r w:rsidR="00F24FD6">
        <w:tab/>
      </w:r>
      <w:r w:rsidR="00F24FD6">
        <w:tab/>
      </w:r>
      <w:r w:rsidRPr="00AB4C34">
        <w:t>(</w:t>
      </w:r>
      <w:r>
        <w:t>"</w:t>
      </w:r>
      <w:r w:rsidRPr="00AB4C34">
        <w:t>М.Б.</w:t>
      </w:r>
      <w:r>
        <w:t>"</w:t>
      </w:r>
      <w:r w:rsidRPr="00AB4C34">
        <w:t xml:space="preserve"> от 12 сентября 2011 года)</w:t>
      </w:r>
    </w:p>
    <w:p w:rsidR="00FA567F" w:rsidRPr="00AB4C34" w:rsidRDefault="00FA567F" w:rsidP="004B4B9D">
      <w:pPr>
        <w:pStyle w:val="SingleTxtGR"/>
      </w:pPr>
      <w:r w:rsidRPr="00AB4C34">
        <w:t>172.</w:t>
      </w:r>
      <w:r w:rsidRPr="00AB4C34">
        <w:tab/>
        <w:t>Этот закон вносит изменения в процедуру воссоединения семьи для гр</w:t>
      </w:r>
      <w:r w:rsidRPr="00AB4C34">
        <w:t>а</w:t>
      </w:r>
      <w:r w:rsidRPr="00AB4C34">
        <w:t>ждан третьих стран в ц</w:t>
      </w:r>
      <w:r w:rsidRPr="00AB4C34">
        <w:t>е</w:t>
      </w:r>
      <w:r w:rsidRPr="00AB4C34">
        <w:t>лях борьбы со злоупотреблениями. Наряду с этим в нем предусмотрено изменение права на воссоединение семьи для бельгийских гр</w:t>
      </w:r>
      <w:r w:rsidRPr="00AB4C34">
        <w:t>а</w:t>
      </w:r>
      <w:r w:rsidRPr="00AB4C34">
        <w:t>ждан.</w:t>
      </w:r>
    </w:p>
    <w:p w:rsidR="00FA567F" w:rsidRPr="00AB4C34" w:rsidRDefault="00FA567F" w:rsidP="00E47B9E">
      <w:pPr>
        <w:pStyle w:val="H4GR"/>
        <w:spacing w:before="240"/>
      </w:pPr>
      <w:r w:rsidRPr="00AB4C34">
        <w:tab/>
      </w:r>
      <w:r w:rsidRPr="00AB4C34">
        <w:tab/>
        <w:t xml:space="preserve">Закон от 26 ноября 2011 года о внесении изменений и дополнений в Уголовный </w:t>
      </w:r>
      <w:r w:rsidR="00E346C7">
        <w:br/>
      </w:r>
      <w:r w:rsidR="00E346C7">
        <w:tab/>
      </w:r>
      <w:r w:rsidR="00E346C7">
        <w:tab/>
      </w:r>
      <w:r w:rsidRPr="00AB4C34">
        <w:t>кодекс в целях криминализации злоупотребления уязвимым поло</w:t>
      </w:r>
      <w:r>
        <w:t xml:space="preserve">жением лиц </w:t>
      </w:r>
      <w:r w:rsidR="00E346C7">
        <w:br/>
      </w:r>
      <w:r w:rsidR="00E346C7">
        <w:tab/>
      </w:r>
      <w:r w:rsidR="00E346C7">
        <w:tab/>
      </w:r>
      <w:r>
        <w:t>и </w:t>
      </w:r>
      <w:r w:rsidRPr="00AB4C34">
        <w:t>расширения положений уголовного законод</w:t>
      </w:r>
      <w:r>
        <w:t>ательства о защите уязвимых лиц</w:t>
      </w:r>
      <w:r w:rsidR="00E346C7">
        <w:br/>
      </w:r>
      <w:r w:rsidR="00E346C7">
        <w:tab/>
      </w:r>
      <w:r w:rsidR="00E346C7">
        <w:tab/>
      </w:r>
      <w:r w:rsidRPr="00AB4C34">
        <w:t>от жестокого обращения (</w:t>
      </w:r>
      <w:r>
        <w:t>"</w:t>
      </w:r>
      <w:r w:rsidRPr="00AB4C34">
        <w:t>М.Б.</w:t>
      </w:r>
      <w:r>
        <w:t>"</w:t>
      </w:r>
      <w:r w:rsidRPr="00AB4C34">
        <w:t xml:space="preserve"> от 23 января 2012 года) </w:t>
      </w:r>
    </w:p>
    <w:p w:rsidR="00FA567F" w:rsidRPr="00AB4C34" w:rsidRDefault="00FA567F" w:rsidP="004B4B9D">
      <w:pPr>
        <w:pStyle w:val="SingleTxtGR"/>
      </w:pPr>
      <w:r w:rsidRPr="00AB4C34">
        <w:t>173.</w:t>
      </w:r>
      <w:r w:rsidRPr="00AB4C34">
        <w:tab/>
        <w:t>Этот закон вносит изменения в статью 77-</w:t>
      </w:r>
      <w:r>
        <w:t>кватер</w:t>
      </w:r>
      <w:r w:rsidRPr="00AB4C34">
        <w:t xml:space="preserve"> Закона от 15 декабря 1980 года, цель которых – криминализировать любое злоупотребление уязв</w:t>
      </w:r>
      <w:r w:rsidRPr="00AB4C34">
        <w:t>и</w:t>
      </w:r>
      <w:r w:rsidRPr="00AB4C34">
        <w:t>мым положением, в котором оказывается какое-либо лицо вследствие своего незаконного или нестабильного административного статуса, своего нестабил</w:t>
      </w:r>
      <w:r w:rsidRPr="00AB4C34">
        <w:t>ь</w:t>
      </w:r>
      <w:r w:rsidRPr="00AB4C34">
        <w:t>ного социального статуса, возраста, состояния беременности, заболевания, и</w:t>
      </w:r>
      <w:r w:rsidRPr="00AB4C34">
        <w:t>н</w:t>
      </w:r>
      <w:r w:rsidRPr="00AB4C34">
        <w:t>валидности или физич</w:t>
      </w:r>
      <w:r w:rsidRPr="00AB4C34">
        <w:t>е</w:t>
      </w:r>
      <w:r w:rsidRPr="00AB4C34">
        <w:t>ской либо психической неполноценности.</w:t>
      </w:r>
    </w:p>
    <w:p w:rsidR="00FA567F" w:rsidRPr="00AB4C34" w:rsidRDefault="00FA567F" w:rsidP="004B4B9D">
      <w:pPr>
        <w:pStyle w:val="H23GR"/>
      </w:pPr>
      <w:r w:rsidRPr="00AB4C34">
        <w:tab/>
        <w:t>7.</w:t>
      </w:r>
      <w:r w:rsidRPr="00AB4C34">
        <w:tab/>
        <w:t>Несопровождаемые несовершеннолетние иностранцы (ННИ)</w:t>
      </w:r>
    </w:p>
    <w:p w:rsidR="00FA567F" w:rsidRPr="00AB4C34" w:rsidRDefault="00FA567F" w:rsidP="00E47B9E">
      <w:pPr>
        <w:pStyle w:val="H4GR"/>
        <w:spacing w:before="240"/>
      </w:pPr>
      <w:r w:rsidRPr="00AB4C34">
        <w:tab/>
      </w:r>
      <w:r w:rsidRPr="00AB4C34">
        <w:tab/>
        <w:t xml:space="preserve">Закон от 12 сентября 2011 года о внесении изменений в Закон от 15 декабря </w:t>
      </w:r>
      <w:r w:rsidR="00E346C7">
        <w:br/>
      </w:r>
      <w:r w:rsidR="00E346C7">
        <w:tab/>
      </w:r>
      <w:r w:rsidR="00E346C7">
        <w:tab/>
      </w:r>
      <w:r w:rsidRPr="00AB4C34">
        <w:t xml:space="preserve">1980 года в целях предоставления ННИ временного вида на жительство </w:t>
      </w:r>
      <w:r>
        <w:br/>
      </w:r>
      <w:r w:rsidR="00E346C7">
        <w:tab/>
      </w:r>
      <w:r w:rsidR="00E346C7">
        <w:tab/>
      </w:r>
      <w:r w:rsidRPr="00AB4C34">
        <w:t>(</w:t>
      </w:r>
      <w:r>
        <w:t>"</w:t>
      </w:r>
      <w:r w:rsidRPr="00AB4C34">
        <w:t>М.Б.</w:t>
      </w:r>
      <w:r>
        <w:t>"</w:t>
      </w:r>
      <w:r w:rsidRPr="00AB4C34">
        <w:t xml:space="preserve"> от 28 ноября 2011 года) и в Королевский указ от 7 ноября 2011 года </w:t>
      </w:r>
      <w:r w:rsidR="00E346C7">
        <w:br/>
      </w:r>
      <w:r w:rsidR="00E346C7">
        <w:tab/>
      </w:r>
      <w:r w:rsidR="00E346C7">
        <w:tab/>
      </w:r>
      <w:r w:rsidRPr="00AB4C34">
        <w:t>(</w:t>
      </w:r>
      <w:r>
        <w:t>"</w:t>
      </w:r>
      <w:r w:rsidRPr="00AB4C34">
        <w:t>М.Б.</w:t>
      </w:r>
      <w:r>
        <w:t>"</w:t>
      </w:r>
      <w:r w:rsidRPr="00AB4C34">
        <w:t xml:space="preserve"> от 28 ноября 2011 года)</w:t>
      </w:r>
    </w:p>
    <w:p w:rsidR="00FA567F" w:rsidRDefault="00FA567F" w:rsidP="004B4B9D">
      <w:pPr>
        <w:pStyle w:val="SingleTxtGR"/>
      </w:pPr>
      <w:r w:rsidRPr="00AB4C34">
        <w:t>174.</w:t>
      </w:r>
      <w:r w:rsidRPr="00AB4C34">
        <w:tab/>
        <w:t>Особые нормы в области пребывания несопровождаемых несовершенн</w:t>
      </w:r>
      <w:r w:rsidRPr="00AB4C34">
        <w:t>о</w:t>
      </w:r>
      <w:r w:rsidRPr="00AB4C34">
        <w:t>летних иностранцев в н</w:t>
      </w:r>
      <w:r w:rsidRPr="00AB4C34">
        <w:t>а</w:t>
      </w:r>
      <w:r w:rsidRPr="00AB4C34">
        <w:t>стоящее время закреплены в законодательном порядке. Соответствующие положен</w:t>
      </w:r>
      <w:r>
        <w:t>ия предусмотрены статьями 61/14−</w:t>
      </w:r>
      <w:r w:rsidRPr="00AB4C34">
        <w:t>61/25 (Закон от 12 сентября 2011 года) Закона от 15 декабря 1980 года и статьями 110-sexies – 110-undecies (Королевский указ от 7 ноября 2011 года) постановления о его осуществлении от 8 октября 1981 года. Ранее они были предусмотрены мин</w:t>
      </w:r>
      <w:r w:rsidRPr="00AB4C34">
        <w:t>и</w:t>
      </w:r>
      <w:r w:rsidRPr="00AB4C34">
        <w:t>стерским циркуляром от 15 сентября 2005 года, отмененным 14 ноября 2011 г</w:t>
      </w:r>
      <w:r w:rsidRPr="00AB4C34">
        <w:t>о</w:t>
      </w:r>
      <w:r w:rsidRPr="00AB4C34">
        <w:t>да.</w:t>
      </w:r>
    </w:p>
    <w:p w:rsidR="00FA567F" w:rsidRPr="00AB4C34" w:rsidRDefault="00FA567F" w:rsidP="004B4B9D">
      <w:pPr>
        <w:pStyle w:val="SingleTxtGR"/>
      </w:pPr>
      <w:r w:rsidRPr="00AB4C34">
        <w:t>175.</w:t>
      </w:r>
      <w:r w:rsidRPr="00AB4C34">
        <w:tab/>
        <w:t>Ходатайство о предоставлении вида на жительство подается опекуном ННИ. Затем в рамках процедуры рассмотрения ходатайства с несовершенн</w:t>
      </w:r>
      <w:r w:rsidRPr="00AB4C34">
        <w:t>о</w:t>
      </w:r>
      <w:r w:rsidRPr="00AB4C34">
        <w:t>летним проводится беседа в присутствии его опекуна и в соответствующих случаях – переводчика. Следует отметить две важные н</w:t>
      </w:r>
      <w:r w:rsidRPr="00AB4C34">
        <w:t>о</w:t>
      </w:r>
      <w:r w:rsidRPr="00AB4C34">
        <w:t>веллы:</w:t>
      </w:r>
    </w:p>
    <w:p w:rsidR="00FA567F" w:rsidRPr="00AB4C34" w:rsidRDefault="00FA567F" w:rsidP="004B4B9D">
      <w:pPr>
        <w:pStyle w:val="Bullet1GR"/>
        <w:numPr>
          <w:ilvl w:val="0"/>
          <w:numId w:val="1"/>
        </w:numPr>
      </w:pPr>
      <w:r w:rsidRPr="00AB4C34">
        <w:t>возможность присутствия адвоката в ходе беседы с ННИ, если об этом просит его опекун; и</w:t>
      </w:r>
    </w:p>
    <w:p w:rsidR="00FA567F" w:rsidRPr="00AB4C34" w:rsidRDefault="00FA567F" w:rsidP="004B4B9D">
      <w:pPr>
        <w:pStyle w:val="Bullet1GR"/>
        <w:numPr>
          <w:ilvl w:val="0"/>
          <w:numId w:val="1"/>
        </w:numPr>
      </w:pPr>
      <w:r w:rsidRPr="00AB4C34">
        <w:t>составление письменного отчета о проведенной беседе.</w:t>
      </w:r>
    </w:p>
    <w:p w:rsidR="00FA567F" w:rsidRPr="00AB4C34" w:rsidRDefault="00FA567F" w:rsidP="004B4B9D">
      <w:pPr>
        <w:pStyle w:val="SingleTxtGR"/>
      </w:pPr>
      <w:r w:rsidRPr="00AB4C34">
        <w:t>176.</w:t>
      </w:r>
      <w:r w:rsidRPr="00AB4C34">
        <w:tab/>
        <w:t>Цель подачи ходатайства о предоставлении вида на жительство и его ра</w:t>
      </w:r>
      <w:r w:rsidRPr="00AB4C34">
        <w:t>с</w:t>
      </w:r>
      <w:r w:rsidRPr="00AB4C34">
        <w:t>смотрения Бюро по делам иностранцев состоит в том, чтобы выбрать для ННИ вариант долгосрочного решения, которым может являться:</w:t>
      </w:r>
    </w:p>
    <w:p w:rsidR="00FA567F" w:rsidRPr="00AB4C34" w:rsidRDefault="00FA567F" w:rsidP="004B4B9D">
      <w:pPr>
        <w:pStyle w:val="Bullet1GR"/>
        <w:numPr>
          <w:ilvl w:val="0"/>
          <w:numId w:val="1"/>
        </w:numPr>
      </w:pPr>
      <w:r w:rsidRPr="00AB4C34">
        <w:t>воссоединение семьи в стране, где на законном основании проживают его ро</w:t>
      </w:r>
      <w:r w:rsidRPr="00AB4C34">
        <w:t>д</w:t>
      </w:r>
      <w:r w:rsidRPr="00AB4C34">
        <w:t>ственники;</w:t>
      </w:r>
    </w:p>
    <w:p w:rsidR="00FA567F" w:rsidRPr="00AB4C34" w:rsidRDefault="00FA567F" w:rsidP="004B4B9D">
      <w:pPr>
        <w:pStyle w:val="Bullet1GR"/>
        <w:numPr>
          <w:ilvl w:val="0"/>
          <w:numId w:val="1"/>
        </w:numPr>
      </w:pPr>
      <w:r w:rsidRPr="00AB4C34">
        <w:t>возвращение в страну происхождения или в страну, где ННИ разрешено пребывание с гарантиями предоставления приема и надлежащего попеч</w:t>
      </w:r>
      <w:r w:rsidRPr="00AB4C34">
        <w:t>е</w:t>
      </w:r>
      <w:r w:rsidRPr="00AB4C34">
        <w:t>ния;</w:t>
      </w:r>
    </w:p>
    <w:p w:rsidR="00FA567F" w:rsidRPr="00AB4C34" w:rsidRDefault="00FA567F" w:rsidP="004B4B9D">
      <w:pPr>
        <w:pStyle w:val="Bullet1GR"/>
        <w:numPr>
          <w:ilvl w:val="0"/>
          <w:numId w:val="1"/>
        </w:numPr>
      </w:pPr>
      <w:r w:rsidRPr="00AB4C34">
        <w:t>выдача вида на жительство в Бельгии;</w:t>
      </w:r>
    </w:p>
    <w:p w:rsidR="00FA567F" w:rsidRPr="00AB4C34" w:rsidRDefault="00FA567F" w:rsidP="004B4B9D">
      <w:pPr>
        <w:pStyle w:val="Bullet1GR"/>
        <w:numPr>
          <w:ilvl w:val="0"/>
          <w:numId w:val="1"/>
        </w:numPr>
      </w:pPr>
      <w:r w:rsidRPr="00AB4C34">
        <w:t>запрещение содержания несовершеннолетних в закрытых центрах.</w:t>
      </w:r>
    </w:p>
    <w:p w:rsidR="00FA567F" w:rsidRPr="00AB4C34" w:rsidRDefault="00FA567F" w:rsidP="004B4B9D">
      <w:pPr>
        <w:pStyle w:val="SingleTxtGR"/>
      </w:pPr>
      <w:r w:rsidRPr="00AB4C34">
        <w:t>177.</w:t>
      </w:r>
      <w:r w:rsidRPr="00AB4C34">
        <w:tab/>
        <w:t>Статья 74/19 (вышеупомянутый Закон от 19 января 2012 года) Закона от 15 декабря 1980 года пр</w:t>
      </w:r>
      <w:r w:rsidRPr="00AB4C34">
        <w:t>е</w:t>
      </w:r>
      <w:r w:rsidRPr="00AB4C34">
        <w:t>дусматривает, что ННИ не могут содержаться в местах, определенных в пункте 2 статьи 74/8, и тем самым подтверждает существу</w:t>
      </w:r>
      <w:r w:rsidRPr="00AB4C34">
        <w:t>ю</w:t>
      </w:r>
      <w:r w:rsidRPr="00AB4C34">
        <w:t>щую с апреля 2007 года практику отказа от их содержания под стражей.</w:t>
      </w:r>
    </w:p>
    <w:p w:rsidR="00FA567F" w:rsidRPr="00AB4C34" w:rsidRDefault="00FA567F" w:rsidP="004B4B9D">
      <w:pPr>
        <w:pStyle w:val="SingleTxtGR"/>
      </w:pPr>
      <w:r w:rsidRPr="00AB4C34">
        <w:t>178.</w:t>
      </w:r>
      <w:r w:rsidRPr="00AB4C34">
        <w:tab/>
        <w:t>В статье 74/16 Закона от 15 декабря 1980 года уточняется, что мера по удалению ННИ с террит</w:t>
      </w:r>
      <w:r w:rsidRPr="00AB4C34">
        <w:t>о</w:t>
      </w:r>
      <w:r w:rsidRPr="00AB4C34">
        <w:t>рии страны может быть осуществлена в случае, когда Бюро по делам иностранцев убедилось в наличии гарантий приема и ухода за ННИ в его стране происхождения или в стране, где ему разрешено пребыв</w:t>
      </w:r>
      <w:r w:rsidRPr="00AB4C34">
        <w:t>а</w:t>
      </w:r>
      <w:r w:rsidRPr="00AB4C34">
        <w:t>ние. Перед вынесением решения об удалении с территории министр или его пре</w:t>
      </w:r>
      <w:r w:rsidRPr="00AB4C34">
        <w:t>д</w:t>
      </w:r>
      <w:r w:rsidRPr="00AB4C34">
        <w:t>ставитель принимает во внимание любое предложение об эффективном реш</w:t>
      </w:r>
      <w:r w:rsidRPr="00AB4C34">
        <w:t>е</w:t>
      </w:r>
      <w:r w:rsidRPr="00AB4C34">
        <w:t>нии, выдвинутое опекуном, и надлежащим образом учитывает наивысшие и</w:t>
      </w:r>
      <w:r w:rsidRPr="00AB4C34">
        <w:t>н</w:t>
      </w:r>
      <w:r w:rsidRPr="00AB4C34">
        <w:t>тересы ребенка.</w:t>
      </w:r>
    </w:p>
    <w:p w:rsidR="00FA567F" w:rsidRPr="00AB4C34" w:rsidRDefault="00FA567F" w:rsidP="004B4B9D">
      <w:pPr>
        <w:pStyle w:val="H23GR"/>
      </w:pPr>
      <w:r w:rsidRPr="00AB4C34">
        <w:tab/>
        <w:t>8.</w:t>
      </w:r>
      <w:r w:rsidRPr="00AB4C34">
        <w:tab/>
        <w:t>Усиление положений о борьбе с торговлей людьми и их незаконным провозом</w:t>
      </w:r>
    </w:p>
    <w:p w:rsidR="00FA567F" w:rsidRPr="00AB4C34" w:rsidRDefault="00FA567F" w:rsidP="00136D91">
      <w:pPr>
        <w:pStyle w:val="H4GR"/>
        <w:spacing w:before="240"/>
      </w:pPr>
      <w:r w:rsidRPr="00AB4C34">
        <w:tab/>
      </w:r>
      <w:r w:rsidRPr="00AB4C34">
        <w:tab/>
        <w:t xml:space="preserve">Национальный план действий </w:t>
      </w:r>
    </w:p>
    <w:p w:rsidR="00FA567F" w:rsidRPr="00AB4C34" w:rsidRDefault="00FA567F" w:rsidP="004B4B9D">
      <w:pPr>
        <w:pStyle w:val="SingleTxtGR"/>
      </w:pPr>
      <w:r w:rsidRPr="00AB4C34">
        <w:t>179.</w:t>
      </w:r>
      <w:r w:rsidRPr="00AB4C34">
        <w:tab/>
        <w:t>В 2008 году был принят Национальный план действий (на 2008</w:t>
      </w:r>
      <w:r>
        <w:t>−</w:t>
      </w:r>
      <w:r w:rsidRPr="00AB4C34">
        <w:t>2012 г</w:t>
      </w:r>
      <w:r w:rsidRPr="00AB4C34">
        <w:t>о</w:t>
      </w:r>
      <w:r w:rsidRPr="00AB4C34">
        <w:t>ды), цель которого – пре</w:t>
      </w:r>
      <w:r w:rsidRPr="00AB4C34">
        <w:t>д</w:t>
      </w:r>
      <w:r w:rsidRPr="00AB4C34">
        <w:t>ложить возможные законодательные и регулирующие подвижки и меры по просвещению, предупрежд</w:t>
      </w:r>
      <w:r w:rsidRPr="00AB4C34">
        <w:t>е</w:t>
      </w:r>
      <w:r w:rsidRPr="00AB4C34">
        <w:t>нию, пресечению действий торговцев и надлежащей защите жертв наряду с принятием особых мер в инт</w:t>
      </w:r>
      <w:r w:rsidRPr="00AB4C34">
        <w:t>е</w:t>
      </w:r>
      <w:r w:rsidRPr="00AB4C34">
        <w:t>ресах несовершеннолетних. В этом плане также охватываются вопросы коорд</w:t>
      </w:r>
      <w:r w:rsidRPr="00AB4C34">
        <w:t>и</w:t>
      </w:r>
      <w:r w:rsidRPr="00AB4C34">
        <w:t>нации, сбора инфо</w:t>
      </w:r>
      <w:r w:rsidRPr="00AB4C34">
        <w:t>р</w:t>
      </w:r>
      <w:r w:rsidRPr="00AB4C34">
        <w:t>мации и оценки политики в указанной области. Новый план действий (на 2012</w:t>
      </w:r>
      <w:r>
        <w:t>−</w:t>
      </w:r>
      <w:r w:rsidRPr="00AB4C34">
        <w:t>2014 годы) был подготовлен Бюро межведомственной гру</w:t>
      </w:r>
      <w:r w:rsidRPr="00AB4C34">
        <w:t>п</w:t>
      </w:r>
      <w:r w:rsidRPr="00AB4C34">
        <w:t>пы по координации борьбы с торговлей людьми. В ходе его разработки Бюро опиралось, в частности, на систематизированные показатели реализации пр</w:t>
      </w:r>
      <w:r w:rsidRPr="00AB4C34">
        <w:t>е</w:t>
      </w:r>
      <w:r w:rsidRPr="00AB4C34">
        <w:t xml:space="preserve">дыдущего Плана действий, на актуальные вопросы и на мнения компетентных служб. План был представлен Совету министров 22 июня 2012 года; </w:t>
      </w:r>
      <w:r w:rsidR="00F27F70">
        <w:t xml:space="preserve">в </w:t>
      </w:r>
      <w:r w:rsidRPr="00AB4C34">
        <w:t>насто</w:t>
      </w:r>
      <w:r w:rsidRPr="00AB4C34">
        <w:t>я</w:t>
      </w:r>
      <w:r w:rsidRPr="00AB4C34">
        <w:t>щее время вопросы его осуществления возложены на межведомственную гру</w:t>
      </w:r>
      <w:r w:rsidRPr="00AB4C34">
        <w:t>п</w:t>
      </w:r>
      <w:r w:rsidRPr="00AB4C34">
        <w:t>пу. Кроме того, в Национальном плане по обеспечению безопасности на 2012</w:t>
      </w:r>
      <w:r>
        <w:t>−2015 </w:t>
      </w:r>
      <w:r w:rsidRPr="00AB4C34">
        <w:t>годы проблема торговли людьми и их незаконного провоза вновь включена в число 10 преступных видов практики, с которыми нужно бороться в приор</w:t>
      </w:r>
      <w:r w:rsidRPr="00AB4C34">
        <w:t>и</w:t>
      </w:r>
      <w:r w:rsidRPr="00AB4C34">
        <w:t xml:space="preserve">тетном порядке. </w:t>
      </w:r>
    </w:p>
    <w:p w:rsidR="00FA567F" w:rsidRPr="00AB4C34" w:rsidRDefault="00FA567F" w:rsidP="00136D91">
      <w:pPr>
        <w:pStyle w:val="H4GR"/>
        <w:spacing w:before="240"/>
      </w:pPr>
      <w:r w:rsidRPr="00AB4C34">
        <w:tab/>
      </w:r>
      <w:r w:rsidRPr="00AB4C34">
        <w:tab/>
        <w:t>Циркулярные письма по вопросам борьбы со всеми формами тор</w:t>
      </w:r>
      <w:r>
        <w:t>говли людьми</w:t>
      </w:r>
      <w:r w:rsidR="00F27F70">
        <w:br/>
      </w:r>
      <w:r w:rsidR="00F27F70">
        <w:tab/>
      </w:r>
      <w:r w:rsidR="00F27F70">
        <w:tab/>
      </w:r>
      <w:r>
        <w:t>и </w:t>
      </w:r>
      <w:r w:rsidRPr="00AB4C34">
        <w:t xml:space="preserve">их незаконного провоза </w:t>
      </w:r>
    </w:p>
    <w:p w:rsidR="00FA567F" w:rsidRPr="00AB4C34" w:rsidRDefault="00FA567F" w:rsidP="004B4B9D">
      <w:pPr>
        <w:pStyle w:val="SingleTxtGR"/>
      </w:pPr>
      <w:r w:rsidRPr="00AB4C34">
        <w:t>180.</w:t>
      </w:r>
      <w:r w:rsidRPr="00AB4C34">
        <w:tab/>
        <w:t>Важно отметить Директиву COL 01/2007 министра юстиции о борьбе со всеми формами торговли людьми, в которой предусматривается учреждение в каждом судебном округе должностей специальных судебных работников (как в органах прокуратуры, так и в инспекциях труда). Предусмотрено регулярное проведение совещаний между субъектами местного уровня. С другой стороны, в Директиве COL 01/2007 содержится перечень из 70 признаков торговли людьми, позволяющий эффективнее распозн</w:t>
      </w:r>
      <w:r w:rsidRPr="00AB4C34">
        <w:t>а</w:t>
      </w:r>
      <w:r w:rsidRPr="00AB4C34">
        <w:t>вать ситуации такого рода. Кроме того, имеются совместное циркулярное письмо министров юстиции и внутре</w:t>
      </w:r>
      <w:r w:rsidRPr="00AB4C34">
        <w:t>н</w:t>
      </w:r>
      <w:r w:rsidRPr="00AB4C34">
        <w:t xml:space="preserve">них дел, государственного секретаря по вопросам миграционной политики и предоставления убежища и Коллегии генеральных прокуроров по проблеме торговли людьми (COL 4/2011) и циркулярное письмо Коллегии генеральных прокуроров по вопросам борьбы против содействия нелегальной иммиграции (COL 10/2010). </w:t>
      </w:r>
    </w:p>
    <w:p w:rsidR="00FA567F" w:rsidRPr="00AB4C34" w:rsidRDefault="00136D91" w:rsidP="00136D91">
      <w:pPr>
        <w:pStyle w:val="H4GR"/>
        <w:spacing w:before="240"/>
      </w:pPr>
      <w:r>
        <w:tab/>
      </w:r>
      <w:r>
        <w:tab/>
        <w:t>Защита жертв</w:t>
      </w:r>
    </w:p>
    <w:p w:rsidR="00FA567F" w:rsidRPr="00AB4C34" w:rsidRDefault="00FA567F" w:rsidP="004B4B9D">
      <w:pPr>
        <w:pStyle w:val="SingleTxtGR"/>
      </w:pPr>
      <w:r w:rsidRPr="00AB4C34">
        <w:t>181.</w:t>
      </w:r>
      <w:r w:rsidRPr="00AB4C34">
        <w:tab/>
        <w:t>Общая система обеспечения защиты жертв предусмотрена в Циркуля</w:t>
      </w:r>
      <w:r w:rsidRPr="00AB4C34">
        <w:t>р</w:t>
      </w:r>
      <w:r w:rsidRPr="00AB4C34">
        <w:t>ном письме от 26 сентября 2008 года о налаживании межведомственного с</w:t>
      </w:r>
      <w:r w:rsidRPr="00AB4C34">
        <w:t>о</w:t>
      </w:r>
      <w:r w:rsidRPr="00AB4C34">
        <w:t>трудничества для оказания помощи лицам, пострада</w:t>
      </w:r>
      <w:r w:rsidRPr="00AB4C34">
        <w:t>в</w:t>
      </w:r>
      <w:r w:rsidRPr="00AB4C34">
        <w:t>шим от торговли и/или от некоторых тяжких форм торговли людьми. В нем определены процедуры выя</w:t>
      </w:r>
      <w:r w:rsidRPr="00AB4C34">
        <w:t>в</w:t>
      </w:r>
      <w:r w:rsidRPr="00AB4C34">
        <w:t>ления случаев торговли (в соответствии с признаками, перечисленными в Ци</w:t>
      </w:r>
      <w:r w:rsidRPr="00AB4C34">
        <w:t>р</w:t>
      </w:r>
      <w:r w:rsidRPr="00AB4C34">
        <w:t>кулярном письме COL 01/2007), их передачи на рассмотрение судебных орг</w:t>
      </w:r>
      <w:r w:rsidRPr="00AB4C34">
        <w:t>а</w:t>
      </w:r>
      <w:r w:rsidRPr="00AB4C34">
        <w:t>нов, приема потенциальных жертв и оказания им помощи. В нем также напом</w:t>
      </w:r>
      <w:r w:rsidRPr="00AB4C34">
        <w:t>и</w:t>
      </w:r>
      <w:r w:rsidRPr="00AB4C34">
        <w:t>наются условия, которые необходимы для получения статуса жертвы: 1) пр</w:t>
      </w:r>
      <w:r w:rsidRPr="00AB4C34">
        <w:t>е</w:t>
      </w:r>
      <w:r w:rsidRPr="00AB4C34">
        <w:t>кращение всех отношений с предполагаемыми виновниками торговли; 2) согл</w:t>
      </w:r>
      <w:r w:rsidRPr="00AB4C34">
        <w:t>а</w:t>
      </w:r>
      <w:r w:rsidRPr="00AB4C34">
        <w:t>сие на содействие со стороны специализированного центра и 3) сотрудничество с судебными органами. Следует также уто</w:t>
      </w:r>
      <w:r w:rsidRPr="00AB4C34">
        <w:t>ч</w:t>
      </w:r>
      <w:r w:rsidRPr="00AB4C34">
        <w:t>нить</w:t>
      </w:r>
      <w:r>
        <w:t>, что Закон от 15 сентября 2006 </w:t>
      </w:r>
      <w:r w:rsidRPr="00AB4C34">
        <w:t>года, который обеспечивает инкорпор</w:t>
      </w:r>
      <w:r>
        <w:t>ацию Директивы 2004/81/CE от 29 </w:t>
      </w:r>
      <w:r w:rsidRPr="00AB4C34">
        <w:t>апреля 2004 года и направлен на укрепление средств борьбы против нез</w:t>
      </w:r>
      <w:r w:rsidRPr="00AB4C34">
        <w:t>а</w:t>
      </w:r>
      <w:r w:rsidRPr="00AB4C34">
        <w:t>конной иммиграции, предусматривает предоставление вида на жительство жертвам торговли, сотрудничающим с компетентными органами в борьбе с л</w:t>
      </w:r>
      <w:r w:rsidRPr="00AB4C34">
        <w:t>и</w:t>
      </w:r>
      <w:r w:rsidRPr="00AB4C34">
        <w:t>цами, предположительно виновными в сов</w:t>
      </w:r>
      <w:r>
        <w:t>ершении таких правонарушений. С </w:t>
      </w:r>
      <w:r w:rsidRPr="00AB4C34">
        <w:t>другой стороны, Бельгия приняла решение распространить действие этой системы на лиц, п</w:t>
      </w:r>
      <w:r w:rsidRPr="00AB4C34">
        <w:t>о</w:t>
      </w:r>
      <w:r w:rsidRPr="00AB4C34">
        <w:t xml:space="preserve">страдавших от некоторых тяжких форм торговли людьми. </w:t>
      </w:r>
    </w:p>
    <w:p w:rsidR="00FA567F" w:rsidRPr="00AB4C34" w:rsidRDefault="00FA567F" w:rsidP="004B4B9D">
      <w:pPr>
        <w:pStyle w:val="SingleTxtGR"/>
      </w:pPr>
      <w:r w:rsidRPr="00AB4C34">
        <w:t>182.</w:t>
      </w:r>
      <w:r w:rsidRPr="00AB4C34">
        <w:tab/>
        <w:t>В Циркулярном письме от 26 сентября 2008 года также уточняются фун</w:t>
      </w:r>
      <w:r w:rsidRPr="00AB4C34">
        <w:t>к</w:t>
      </w:r>
      <w:r w:rsidRPr="00AB4C34">
        <w:t>ции каждого субъекта на различных этапах процедуры: органов полиции и и</w:t>
      </w:r>
      <w:r w:rsidRPr="00AB4C34">
        <w:t>н</w:t>
      </w:r>
      <w:r w:rsidRPr="00AB4C34">
        <w:t>спекции, Бюро по делам иностранцев, специализированных центров приема и судебных работников. Далее в нем даются конкретные указания в отношении ННИ, являющихся потенциальными жертвами торговли (назначение опекуна, оказание помощи несовершеннолетнему и сотрудничество со стороны комп</w:t>
      </w:r>
      <w:r w:rsidRPr="00AB4C34">
        <w:t>е</w:t>
      </w:r>
      <w:r w:rsidRPr="00AB4C34">
        <w:t>тентных органов), и в отношении жертв торго</w:t>
      </w:r>
      <w:r w:rsidRPr="00AB4C34">
        <w:t>в</w:t>
      </w:r>
      <w:r w:rsidRPr="00AB4C34">
        <w:t>ли, работающих в обслуживании дипломатического корпуса (специальное удостоверение личности, беседа с с</w:t>
      </w:r>
      <w:r w:rsidRPr="00AB4C34">
        <w:t>о</w:t>
      </w:r>
      <w:r w:rsidRPr="00AB4C34">
        <w:t>трудником Службы протокола и безопасности и т.д.).</w:t>
      </w:r>
    </w:p>
    <w:p w:rsidR="00FA567F" w:rsidRPr="00AB4C34" w:rsidRDefault="00FA567F" w:rsidP="004B4B9D">
      <w:pPr>
        <w:pStyle w:val="SingleTxtGR"/>
      </w:pPr>
      <w:r w:rsidRPr="00AB4C34">
        <w:t>183.</w:t>
      </w:r>
      <w:r w:rsidRPr="00AB4C34">
        <w:tab/>
        <w:t>В 2011 году была проведена оценка применения положений этого цирк</w:t>
      </w:r>
      <w:r w:rsidRPr="00AB4C34">
        <w:t>у</w:t>
      </w:r>
      <w:r w:rsidRPr="00AB4C34">
        <w:t>лярного письма. Была рассмотрена каждая рекомендация с ее последующей п</w:t>
      </w:r>
      <w:r w:rsidRPr="00AB4C34">
        <w:t>е</w:t>
      </w:r>
      <w:r w:rsidRPr="00AB4C34">
        <w:t>редачей для выполнения компетентным службам. Результаты оценки были пр</w:t>
      </w:r>
      <w:r w:rsidRPr="00AB4C34">
        <w:t>и</w:t>
      </w:r>
      <w:r w:rsidRPr="00AB4C34">
        <w:t>няты во внимание при разработке нового Плана действий. В настоящее время еще продолжается оценка применения циркулярного письма в интересах нес</w:t>
      </w:r>
      <w:r w:rsidRPr="00AB4C34">
        <w:t>о</w:t>
      </w:r>
      <w:r w:rsidRPr="00AB4C34">
        <w:t>вершеннолетних, поскольку при рассмотрении их случаев было признано нео</w:t>
      </w:r>
      <w:r w:rsidRPr="00AB4C34">
        <w:t>б</w:t>
      </w:r>
      <w:r w:rsidRPr="00AB4C34">
        <w:t xml:space="preserve">ходимым следовать особой методике. </w:t>
      </w:r>
    </w:p>
    <w:p w:rsidR="00FA567F" w:rsidRPr="00AB4C34" w:rsidRDefault="00FA567F" w:rsidP="004B4B9D">
      <w:pPr>
        <w:pStyle w:val="SingleTxtGR"/>
      </w:pPr>
      <w:r w:rsidRPr="00AB4C34">
        <w:t>184.</w:t>
      </w:r>
      <w:r w:rsidRPr="00AB4C34">
        <w:tab/>
        <w:t>В Бельгии уже почти 20 лет действуют специализированные учреждения по приему жертв торговли людьми. Три центра приема (по одному в каждом р</w:t>
      </w:r>
      <w:r w:rsidRPr="00AB4C34">
        <w:t>е</w:t>
      </w:r>
      <w:r w:rsidRPr="00AB4C34">
        <w:t>гионе страны) предоставляют им размещение (если это необходимо) и психос</w:t>
      </w:r>
      <w:r w:rsidRPr="00AB4C34">
        <w:t>о</w:t>
      </w:r>
      <w:r w:rsidRPr="00AB4C34">
        <w:t>циальную, административную и правовую помощь. Так, в 2006 году эти центры приема оказали помощь 172 новым жертвам торговли, а за период 2007</w:t>
      </w:r>
      <w:r>
        <w:t>−2010 </w:t>
      </w:r>
      <w:r w:rsidRPr="00AB4C34">
        <w:t>годов их число составило соответственно 179, 196, 158 и 141 чел</w:t>
      </w:r>
      <w:r w:rsidRPr="00AB4C34">
        <w:t>о</w:t>
      </w:r>
      <w:r w:rsidRPr="00AB4C34">
        <w:t>век (для более подробной информации см. годовой доклад Центра о проблеме торговли людьми за 2010 год, стр. 67, приложение IX). В 2011 году было прин</w:t>
      </w:r>
      <w:r w:rsidRPr="00AB4C34">
        <w:t>я</w:t>
      </w:r>
      <w:r w:rsidRPr="00AB4C34">
        <w:t xml:space="preserve">то 152 жертвы (доклад будет выпущен в октябре 2012 года). </w:t>
      </w:r>
    </w:p>
    <w:p w:rsidR="00FA567F" w:rsidRPr="00AB4C34" w:rsidRDefault="00FA567F" w:rsidP="004B4B9D">
      <w:pPr>
        <w:pStyle w:val="SingleTxtGR"/>
      </w:pPr>
      <w:r w:rsidRPr="00AB4C34">
        <w:t>185.</w:t>
      </w:r>
      <w:r w:rsidRPr="00AB4C34">
        <w:tab/>
        <w:t>При этом нет возможности представить статистические данные о мерах по выплате жертвам компенсации. Это не значит, что таких данных не сущес</w:t>
      </w:r>
      <w:r w:rsidRPr="00AB4C34">
        <w:t>т</w:t>
      </w:r>
      <w:r w:rsidRPr="00AB4C34">
        <w:t>вует: жертвы, которые сопровождаются центрами приема, могут получать п</w:t>
      </w:r>
      <w:r w:rsidRPr="00AB4C34">
        <w:t>о</w:t>
      </w:r>
      <w:r w:rsidRPr="00AB4C34">
        <w:t>мощь адвоката для защиты своих прав, а тем из них, которые решают возб</w:t>
      </w:r>
      <w:r w:rsidRPr="00AB4C34">
        <w:t>у</w:t>
      </w:r>
      <w:r w:rsidRPr="00AB4C34">
        <w:t>дить судебный иск, судебные органы обычно присуждают возмещение причиненного ущерба. Однако получение присужденных сумм может оказаться проблемати</w:t>
      </w:r>
      <w:r w:rsidRPr="00AB4C34">
        <w:t>ч</w:t>
      </w:r>
      <w:r w:rsidRPr="00AB4C34">
        <w:t>ным, в частности по причине неплатежеспособности (реальной или сфабрик</w:t>
      </w:r>
      <w:r w:rsidRPr="00AB4C34">
        <w:t>о</w:t>
      </w:r>
      <w:r w:rsidRPr="00AB4C34">
        <w:t>ванной) виновных лиц (годовой доклад Центра о проблеме торго</w:t>
      </w:r>
      <w:r w:rsidRPr="00AB4C34">
        <w:t>в</w:t>
      </w:r>
      <w:r w:rsidRPr="00AB4C34">
        <w:t>ли людьми за 2011 год, будет выпущен в октябре 2012 года). В этом случае жертвы могут о</w:t>
      </w:r>
      <w:r w:rsidRPr="00AB4C34">
        <w:t>б</w:t>
      </w:r>
      <w:r w:rsidRPr="00AB4C34">
        <w:t>ратиться за помощью в Комиссию по оказанию материальной помощи лицам, пострадавшим от насильственных преступлений. Соответствующей точной ст</w:t>
      </w:r>
      <w:r w:rsidRPr="00AB4C34">
        <w:t>а</w:t>
      </w:r>
      <w:r w:rsidRPr="00AB4C34">
        <w:t>тистики в сфере торговли людьми не имеется: такие случаи нередко бывают о</w:t>
      </w:r>
      <w:r w:rsidRPr="00AB4C34">
        <w:t>т</w:t>
      </w:r>
      <w:r w:rsidRPr="00AB4C34">
        <w:t xml:space="preserve">несены к другим категориям </w:t>
      </w:r>
      <w:r>
        <w:t>уголовных правонарушений, таким</w:t>
      </w:r>
      <w:r w:rsidRPr="00AB4C34">
        <w:t xml:space="preserve"> как сексуал</w:t>
      </w:r>
      <w:r w:rsidRPr="00AB4C34">
        <w:t>ь</w:t>
      </w:r>
      <w:r w:rsidRPr="00AB4C34">
        <w:t>ное издевательство или жестокое о</w:t>
      </w:r>
      <w:r w:rsidR="00120463">
        <w:t>бращение. Тем не менее</w:t>
      </w:r>
      <w:r w:rsidRPr="00AB4C34">
        <w:t xml:space="preserve"> за период 2005</w:t>
      </w:r>
      <w:r>
        <w:t>−</w:t>
      </w:r>
      <w:r w:rsidR="00120463">
        <w:t>2011 </w:t>
      </w:r>
      <w:r w:rsidRPr="00AB4C34">
        <w:t>годов было отмечено как минимум шесть решений о предоставлении материальной помощи женщинам, пострадавшим от торговли людьми. Кроме того, важно напомнить, что по закону ранее Комиссия не оказывала помощь л</w:t>
      </w:r>
      <w:r w:rsidRPr="00AB4C34">
        <w:t>и</w:t>
      </w:r>
      <w:r w:rsidRPr="00AB4C34">
        <w:t>цам, незаконно находящимся в стране, за исключением тех, которым был пр</w:t>
      </w:r>
      <w:r w:rsidRPr="00AB4C34">
        <w:t>е</w:t>
      </w:r>
      <w:r w:rsidRPr="00AB4C34">
        <w:t>доставлен бессрочный вид на жительство в рамках расследования дел о торго</w:t>
      </w:r>
      <w:r w:rsidRPr="00AB4C34">
        <w:t>в</w:t>
      </w:r>
      <w:r w:rsidRPr="00AB4C34">
        <w:t>ле людьми. Теперь доступ к помощи Комиссии был открыт для всех жертв (ст</w:t>
      </w:r>
      <w:r w:rsidRPr="00AB4C34">
        <w:t>а</w:t>
      </w:r>
      <w:r w:rsidRPr="00AB4C34">
        <w:t>тья 10 а) Закона от 30 декабря 2009 года о различных положениях в сфере пр</w:t>
      </w:r>
      <w:r w:rsidRPr="00AB4C34">
        <w:t>а</w:t>
      </w:r>
      <w:r w:rsidRPr="00AB4C34">
        <w:t>восудия).</w:t>
      </w:r>
    </w:p>
    <w:p w:rsidR="00FA567F" w:rsidRPr="00AB4C34" w:rsidRDefault="00FA567F" w:rsidP="00136D91">
      <w:pPr>
        <w:pStyle w:val="H4GR"/>
        <w:spacing w:before="240"/>
      </w:pPr>
      <w:r w:rsidRPr="00AB4C34">
        <w:tab/>
      </w:r>
      <w:r w:rsidRPr="00AB4C34">
        <w:tab/>
        <w:t xml:space="preserve">Судебные преследования и обвинительные приговоры </w:t>
      </w:r>
    </w:p>
    <w:p w:rsidR="00FA567F" w:rsidRPr="00AB4C34" w:rsidRDefault="00FA567F" w:rsidP="004B4B9D">
      <w:pPr>
        <w:pStyle w:val="SingleTxtGR"/>
      </w:pPr>
      <w:r w:rsidRPr="00AB4C34">
        <w:t>186.</w:t>
      </w:r>
      <w:r w:rsidRPr="00AB4C34">
        <w:tab/>
        <w:t>По данным Коллегии генеральных прокуроров, в 2010 году в органы пр</w:t>
      </w:r>
      <w:r w:rsidRPr="00AB4C34">
        <w:t>о</w:t>
      </w:r>
      <w:r w:rsidRPr="00AB4C34">
        <w:t>куратуры поступило 662 уголовных дела о торговле людьми, в том числе 337 – в связи с торговлей и 325 – в связи с незаконным провозом. В 2011 году их чи</w:t>
      </w:r>
      <w:r w:rsidRPr="00AB4C34">
        <w:t>с</w:t>
      </w:r>
      <w:r w:rsidRPr="00AB4C34">
        <w:t>ло составило 873, включая 358 дел о торговле людьми и 515 – о незаконном провозе людей (приложение Х). Однако эта статистика отражает первоначал</w:t>
      </w:r>
      <w:r w:rsidRPr="00AB4C34">
        <w:t>ь</w:t>
      </w:r>
      <w:r w:rsidRPr="00AB4C34">
        <w:t xml:space="preserve">ную квалификацию деяний; в ходе следствия может быть установлено, что в них нет состава преступления в виде торговли людьми/незаконного провоза людей. </w:t>
      </w:r>
    </w:p>
    <w:p w:rsidR="00FA567F" w:rsidRPr="00AB4C34" w:rsidRDefault="00FA567F" w:rsidP="004B4B9D">
      <w:pPr>
        <w:pStyle w:val="SingleTxtGR"/>
      </w:pPr>
      <w:r w:rsidRPr="00AB4C34">
        <w:t>187.</w:t>
      </w:r>
      <w:r w:rsidRPr="00AB4C34">
        <w:tab/>
        <w:t>Согласно данным центрального реестра уголовных дел, в 2010 году было вынесено 64 обвин</w:t>
      </w:r>
      <w:r w:rsidRPr="00AB4C34">
        <w:t>и</w:t>
      </w:r>
      <w:r w:rsidRPr="00AB4C34">
        <w:t>тельных приговора по делам о торговле людьми, в которых были назначены следующие меры наказания: 60 сроков тюремного заключения (девять из них – менее одного года, 30 – от одного года до менее трех лет, 18 – от трех до менее пяти лет и три – на срок пять лет и более) и 61 штраф. В 37,5% приговоров была предусмотрена конфискация имущества. Эти данные не явл</w:t>
      </w:r>
      <w:r w:rsidRPr="00AB4C34">
        <w:t>я</w:t>
      </w:r>
      <w:r w:rsidRPr="00AB4C34">
        <w:t xml:space="preserve">ются исчерпывающими, поскольку работа по классификации информации за 2010 год еще не завершена. Таким образом, есть вероятность занижения данных по обвинительным приговорам на уровне 15% (более подробную информацию см. в приложении XI). Данных за 2011 год пока не имеется. </w:t>
      </w:r>
    </w:p>
    <w:p w:rsidR="00FA567F" w:rsidRPr="00AB4C34" w:rsidRDefault="00FA567F" w:rsidP="004B4B9D">
      <w:pPr>
        <w:pStyle w:val="SingleTxtGR"/>
      </w:pPr>
      <w:r w:rsidRPr="00AB4C34">
        <w:t>188.</w:t>
      </w:r>
      <w:r w:rsidRPr="00AB4C34">
        <w:tab/>
        <w:t>По поводу показателей предшествующих лет следует обратиться к да</w:t>
      </w:r>
      <w:r w:rsidRPr="00AB4C34">
        <w:t>н</w:t>
      </w:r>
      <w:r w:rsidRPr="00AB4C34">
        <w:t>ным, которые приведены в годовом докладе Центра по обеспечению равных возможностей и борьбе с расизмом за 2010 год (стр. 62</w:t>
      </w:r>
      <w:r>
        <w:t>−</w:t>
      </w:r>
      <w:r w:rsidRPr="00AB4C34">
        <w:t>72, приложение IX). Однако эти данные были классифицированы на основе прежнего законодател</w:t>
      </w:r>
      <w:r w:rsidRPr="00AB4C34">
        <w:t>ь</w:t>
      </w:r>
      <w:r w:rsidRPr="00AB4C34">
        <w:t>ства (статьи 380 Уголовного кодекса и статьи 77-</w:t>
      </w:r>
      <w:r>
        <w:t>бис Закона от 15 декабря 1980 </w:t>
      </w:r>
      <w:r w:rsidRPr="00AB4C34">
        <w:t>года об иностранцах, касавшейся торговли людьми) и позволяют провести различие между случаями торговли людьми и случаями их незаконного пров</w:t>
      </w:r>
      <w:r w:rsidRPr="00AB4C34">
        <w:t>о</w:t>
      </w:r>
      <w:r w:rsidRPr="00AB4C34">
        <w:t>за.</w:t>
      </w:r>
    </w:p>
    <w:p w:rsidR="00FA567F" w:rsidRPr="00AB4C34" w:rsidRDefault="00FA567F" w:rsidP="004B4B9D">
      <w:pPr>
        <w:pStyle w:val="H4GR"/>
      </w:pPr>
      <w:r w:rsidRPr="00AB4C34">
        <w:tab/>
      </w:r>
      <w:r w:rsidRPr="00AB4C34">
        <w:tab/>
        <w:t xml:space="preserve">Процедура инкорпорации </w:t>
      </w:r>
    </w:p>
    <w:p w:rsidR="00FA567F" w:rsidRPr="00AB4C34" w:rsidRDefault="00FA567F" w:rsidP="004B4B9D">
      <w:pPr>
        <w:pStyle w:val="SingleTxtGR"/>
      </w:pPr>
      <w:r w:rsidRPr="00AB4C34">
        <w:t>189.</w:t>
      </w:r>
      <w:r w:rsidRPr="00AB4C34">
        <w:tab/>
        <w:t>Правительство Бельгии готовит инкорпорацию Директивы 2011/36/UE от 5 апреля 2011 года о предупреждении торговли людьми, борьбе с этим явлен</w:t>
      </w:r>
      <w:r w:rsidRPr="00AB4C34">
        <w:t>и</w:t>
      </w:r>
      <w:r w:rsidRPr="00AB4C34">
        <w:t>ем и защите жертв. Действующее законодательство в значительной степени с</w:t>
      </w:r>
      <w:r w:rsidRPr="00AB4C34">
        <w:t>о</w:t>
      </w:r>
      <w:r w:rsidRPr="00AB4C34">
        <w:t>ответствует положениям этой директивы.</w:t>
      </w:r>
    </w:p>
    <w:p w:rsidR="00FA567F" w:rsidRPr="00AB4C34" w:rsidRDefault="00FA567F" w:rsidP="004B4B9D">
      <w:pPr>
        <w:pStyle w:val="H1GR"/>
      </w:pPr>
      <w:r w:rsidRPr="00AB4C34">
        <w:tab/>
        <w:t>B.</w:t>
      </w:r>
      <w:r w:rsidRPr="00AB4C34">
        <w:tab/>
        <w:t xml:space="preserve">Положения, касающиеся приобретения бельгийского гражданства </w:t>
      </w:r>
    </w:p>
    <w:p w:rsidR="00FA567F" w:rsidRPr="00AB4C34" w:rsidRDefault="00FA567F" w:rsidP="004B4B9D">
      <w:pPr>
        <w:pStyle w:val="SingleTxtGR"/>
      </w:pPr>
      <w:r w:rsidRPr="00AB4C34">
        <w:t>190.</w:t>
      </w:r>
      <w:r w:rsidRPr="00AB4C34">
        <w:tab/>
        <w:t>За последние 25 лет в процедуру приобретения бельгийского гражданства неоднократно вносились изменения; наиболее поздняя на сегодняшний день поправка в области получения гражданства Бельгии была внесена Законом от 27 декабря 2006 года. С другой стороны, в июле 2012 года Комиссия по вопр</w:t>
      </w:r>
      <w:r w:rsidRPr="00AB4C34">
        <w:t>о</w:t>
      </w:r>
      <w:r w:rsidRPr="00AB4C34">
        <w:t>сам правосудия Палаты представителей одобрила важное законодательное предложение, цель которого – сделать процедуру приобретения гражданства более нейтральной с точки зрения иммигр</w:t>
      </w:r>
      <w:r w:rsidRPr="00AB4C34">
        <w:t>а</w:t>
      </w:r>
      <w:r w:rsidRPr="00AB4C34">
        <w:t>ции. Теперь эта инициатива должна пройти процедуру голосования на пленарном заседании в октябре 2012 года и передана в Сенат.</w:t>
      </w:r>
    </w:p>
    <w:p w:rsidR="00FA567F" w:rsidRPr="00AB4C34" w:rsidRDefault="00FA567F" w:rsidP="00B552A9">
      <w:pPr>
        <w:pStyle w:val="H4GR"/>
        <w:spacing w:before="240"/>
      </w:pPr>
      <w:r w:rsidRPr="00AB4C34">
        <w:tab/>
      </w:r>
      <w:r w:rsidRPr="00AB4C34">
        <w:tab/>
        <w:t>Закон от 27 декабря 2006 года о различных по</w:t>
      </w:r>
      <w:r>
        <w:t xml:space="preserve">ложениях и внесении изменений </w:t>
      </w:r>
      <w:r w:rsidR="00120463">
        <w:br/>
      </w:r>
      <w:r w:rsidR="00120463">
        <w:tab/>
      </w:r>
      <w:r w:rsidR="00120463">
        <w:tab/>
      </w:r>
      <w:r>
        <w:t>в </w:t>
      </w:r>
      <w:r w:rsidRPr="00AB4C34">
        <w:t xml:space="preserve">Кодекс о гражданстве Бельгии, о натурализации с приравниванием </w:t>
      </w:r>
      <w:r w:rsidR="00120463">
        <w:br/>
      </w:r>
      <w:r w:rsidR="00120463">
        <w:tab/>
      </w:r>
      <w:r w:rsidR="00120463">
        <w:tab/>
      </w:r>
      <w:r w:rsidRPr="00AB4C34">
        <w:t xml:space="preserve">местожительства за границей к местожительству в Бельгии </w:t>
      </w:r>
    </w:p>
    <w:p w:rsidR="00FA567F" w:rsidRPr="00AB4C34" w:rsidRDefault="00FA567F" w:rsidP="004B4B9D">
      <w:pPr>
        <w:pStyle w:val="SingleTxtGR"/>
      </w:pPr>
      <w:r w:rsidRPr="00AB4C34">
        <w:t>191.</w:t>
      </w:r>
      <w:r w:rsidRPr="00AB4C34">
        <w:tab/>
        <w:t>Основная цель Закона от 27 декабря 2006 года состоит в том, чтобы пр</w:t>
      </w:r>
      <w:r w:rsidRPr="00AB4C34">
        <w:t>о</w:t>
      </w:r>
      <w:r w:rsidRPr="00AB4C34">
        <w:t>яснить и скорректировать ряд положений Закона от 1 марта 2000 года о соде</w:t>
      </w:r>
      <w:r w:rsidRPr="00AB4C34">
        <w:t>й</w:t>
      </w:r>
      <w:r w:rsidRPr="00AB4C34">
        <w:t>ствии интеграции иностранцев в Бельгии путем пр</w:t>
      </w:r>
      <w:r w:rsidRPr="00AB4C34">
        <w:t>и</w:t>
      </w:r>
      <w:r w:rsidRPr="00AB4C34">
        <w:t>обретения бельгийского гражданства, не пересматривая основные принципы, которые закреплены в этом законе. Наряду с этим упомянутый закон предусматривает следующие н</w:t>
      </w:r>
      <w:r w:rsidRPr="00AB4C34">
        <w:t>о</w:t>
      </w:r>
      <w:r w:rsidRPr="00AB4C34">
        <w:t xml:space="preserve">веллы: </w:t>
      </w:r>
    </w:p>
    <w:p w:rsidR="00FA567F" w:rsidRPr="00AB4C34" w:rsidRDefault="00FA567F" w:rsidP="004B4B9D">
      <w:pPr>
        <w:pStyle w:val="Bullet1GR"/>
        <w:numPr>
          <w:ilvl w:val="0"/>
          <w:numId w:val="1"/>
        </w:numPr>
      </w:pPr>
      <w:r w:rsidRPr="00AB4C34">
        <w:t>обязательность законного пребывания в стране на момент подачи ход</w:t>
      </w:r>
      <w:r w:rsidRPr="00AB4C34">
        <w:t>а</w:t>
      </w:r>
      <w:r w:rsidRPr="00AB4C34">
        <w:t>тайства или заявления о приобр</w:t>
      </w:r>
      <w:r w:rsidRPr="00AB4C34">
        <w:t>е</w:t>
      </w:r>
      <w:r w:rsidRPr="00AB4C34">
        <w:t>тении гражданства;</w:t>
      </w:r>
    </w:p>
    <w:p w:rsidR="00FA567F" w:rsidRPr="00AB4C34" w:rsidRDefault="00FA567F" w:rsidP="004B4B9D">
      <w:pPr>
        <w:pStyle w:val="Bullet1GR"/>
        <w:numPr>
          <w:ilvl w:val="0"/>
          <w:numId w:val="1"/>
        </w:numPr>
      </w:pPr>
      <w:r w:rsidRPr="00AB4C34">
        <w:t>отмену положения о запрещении двойного гражданства; и</w:t>
      </w:r>
    </w:p>
    <w:p w:rsidR="00FA567F" w:rsidRPr="00AB4C34" w:rsidRDefault="00FA567F" w:rsidP="004B4B9D">
      <w:pPr>
        <w:pStyle w:val="Bullet1GR"/>
        <w:numPr>
          <w:ilvl w:val="0"/>
          <w:numId w:val="1"/>
        </w:numPr>
      </w:pPr>
      <w:r w:rsidRPr="00AB4C34">
        <w:t>возможность лишения бельгийского гражданства лиц, получивших его моше</w:t>
      </w:r>
      <w:r w:rsidRPr="00AB4C34">
        <w:t>н</w:t>
      </w:r>
      <w:r w:rsidRPr="00AB4C34">
        <w:t>ническим путем.</w:t>
      </w:r>
    </w:p>
    <w:p w:rsidR="00FA567F" w:rsidRPr="00AB4C34" w:rsidRDefault="00FA567F" w:rsidP="00B552A9">
      <w:pPr>
        <w:pStyle w:val="H4GR"/>
        <w:spacing w:before="240"/>
      </w:pPr>
      <w:r w:rsidRPr="00AB4C34">
        <w:tab/>
      </w:r>
      <w:r w:rsidRPr="00AB4C34">
        <w:tab/>
        <w:t>Законодательное предложение</w:t>
      </w:r>
    </w:p>
    <w:p w:rsidR="00FA567F" w:rsidRPr="00AB4C34" w:rsidRDefault="00FA567F" w:rsidP="004B4B9D">
      <w:pPr>
        <w:pStyle w:val="SingleTxtGR"/>
      </w:pPr>
      <w:r w:rsidRPr="00AB4C34">
        <w:t>192.</w:t>
      </w:r>
      <w:r w:rsidRPr="00AB4C34">
        <w:tab/>
        <w:t>Упомянутое законодательное предложение направлено на упорядочение существующей системы, предусматривающей два основных пути приобретения гражданства – по короткой процедуре (после пяти лет законного пребывания) ил</w:t>
      </w:r>
      <w:r>
        <w:t>и по длинной процедуре (после десяти</w:t>
      </w:r>
      <w:r w:rsidRPr="00AB4C34">
        <w:t xml:space="preserve"> лет законного пребывания). Процед</w:t>
      </w:r>
      <w:r w:rsidRPr="00AB4C34">
        <w:t>у</w:t>
      </w:r>
      <w:r w:rsidRPr="00AB4C34">
        <w:t xml:space="preserve">ра натурализации предусмотрена только в исключительных случаях. </w:t>
      </w:r>
    </w:p>
    <w:p w:rsidR="00FA567F" w:rsidRPr="00AB4C34" w:rsidRDefault="00FA567F" w:rsidP="004B4B9D">
      <w:pPr>
        <w:pStyle w:val="SingleTxtGR"/>
      </w:pPr>
      <w:r w:rsidRPr="00AB4C34">
        <w:t>193.</w:t>
      </w:r>
      <w:r w:rsidRPr="00AB4C34">
        <w:tab/>
        <w:t>В целом это предложение ужесточает условия получения гражданства: так, например, для использования коротких процедур приобретения гражданс</w:t>
      </w:r>
      <w:r w:rsidRPr="00AB4C34">
        <w:t>т</w:t>
      </w:r>
      <w:r w:rsidRPr="00AB4C34">
        <w:t>ва установлены требования в отношении языковой (владение одним из трех н</w:t>
      </w:r>
      <w:r w:rsidRPr="00AB4C34">
        <w:t>а</w:t>
      </w:r>
      <w:r w:rsidRPr="00AB4C34">
        <w:t>циональных языков), социальной и экономической интеграции; при этом для некоторых категорий иностранцев предусмотрена возможность освобождения от выполнения того или иного из указанных требований.</w:t>
      </w:r>
    </w:p>
    <w:p w:rsidR="00FA567F" w:rsidRPr="00AB4C34" w:rsidRDefault="00FA567F" w:rsidP="004B4B9D">
      <w:pPr>
        <w:pStyle w:val="SingleTxtGR"/>
      </w:pPr>
      <w:r w:rsidRPr="00AB4C34">
        <w:t>194.</w:t>
      </w:r>
      <w:r w:rsidRPr="00AB4C34">
        <w:tab/>
        <w:t>Для длинной процедуры предусмотрены два требования: владение одним из трех национальных языков и участие иностранца в жизни принимающей о</w:t>
      </w:r>
      <w:r w:rsidRPr="00AB4C34">
        <w:t>б</w:t>
      </w:r>
      <w:r w:rsidRPr="00AB4C34">
        <w:t>щины.</w:t>
      </w:r>
    </w:p>
    <w:p w:rsidR="00FA567F" w:rsidRPr="00AB4C34" w:rsidRDefault="00FA567F" w:rsidP="004B4B9D">
      <w:pPr>
        <w:pStyle w:val="SingleTxtGR"/>
      </w:pPr>
      <w:r w:rsidRPr="00AB4C34">
        <w:t>195.</w:t>
      </w:r>
      <w:r w:rsidRPr="00AB4C34">
        <w:tab/>
        <w:t>Наконец, это предложение направлено на отмену существующей в н</w:t>
      </w:r>
      <w:r w:rsidRPr="00AB4C34">
        <w:t>а</w:t>
      </w:r>
      <w:r w:rsidRPr="00AB4C34">
        <w:t>стоящее время возможности, согласно которой кандидат на получение гражда</w:t>
      </w:r>
      <w:r w:rsidRPr="00AB4C34">
        <w:t>н</w:t>
      </w:r>
      <w:r w:rsidRPr="00AB4C34">
        <w:t>ства вправе направить ходатайство о предоставлении ему гражданства из-за границы.</w:t>
      </w:r>
    </w:p>
    <w:p w:rsidR="00FA567F" w:rsidRPr="00AB4C34" w:rsidRDefault="00FA567F" w:rsidP="004B4B9D">
      <w:pPr>
        <w:pStyle w:val="H1GR"/>
      </w:pPr>
      <w:r w:rsidRPr="00AB4C34">
        <w:tab/>
        <w:t>C.</w:t>
      </w:r>
      <w:r w:rsidRPr="00AB4C34">
        <w:tab/>
        <w:t xml:space="preserve">Право на вступление в брак и на выбор супруга/супруги </w:t>
      </w:r>
    </w:p>
    <w:p w:rsidR="00FA567F" w:rsidRPr="00AB4C34" w:rsidRDefault="00FA567F" w:rsidP="004B4B9D">
      <w:pPr>
        <w:pStyle w:val="SingleTxtGR"/>
      </w:pPr>
      <w:r w:rsidRPr="00AB4C34">
        <w:t>196.</w:t>
      </w:r>
      <w:r w:rsidRPr="00AB4C34">
        <w:tab/>
        <w:t>Правительство предлагает ознакомиться с информацией по статье 23, и</w:t>
      </w:r>
      <w:r w:rsidRPr="00AB4C34">
        <w:t>з</w:t>
      </w:r>
      <w:r w:rsidRPr="00AB4C34">
        <w:t>ложенной в пятом докладе Бельгии от 28 января 2009 года об осуществлении Международного пакта о гражданских и политич</w:t>
      </w:r>
      <w:r w:rsidRPr="00AB4C34">
        <w:t>е</w:t>
      </w:r>
      <w:r w:rsidRPr="00AB4C34">
        <w:t>ских правах (CCPR/C/BEL/5, 17 июля 2009 года) и в ее четвертом докладе об осуществлении Международн</w:t>
      </w:r>
      <w:r w:rsidRPr="00AB4C34">
        <w:t>о</w:t>
      </w:r>
      <w:r w:rsidRPr="00AB4C34">
        <w:t>го пакта об экономических, социальных и культурных правах.</w:t>
      </w:r>
    </w:p>
    <w:p w:rsidR="00FA567F" w:rsidRPr="00AB4C34" w:rsidRDefault="00FA567F" w:rsidP="00B552A9">
      <w:pPr>
        <w:pStyle w:val="H4GR"/>
        <w:spacing w:before="240"/>
      </w:pPr>
      <w:r w:rsidRPr="00AB4C34">
        <w:tab/>
      </w:r>
      <w:r w:rsidRPr="00AB4C34">
        <w:tab/>
        <w:t xml:space="preserve">Фиктивный брак </w:t>
      </w:r>
    </w:p>
    <w:p w:rsidR="00FA567F" w:rsidRPr="00AB4C34" w:rsidRDefault="00FA567F" w:rsidP="004B4B9D">
      <w:pPr>
        <w:pStyle w:val="SingleTxtGR"/>
      </w:pPr>
      <w:r w:rsidRPr="00AB4C34">
        <w:t>197.</w:t>
      </w:r>
      <w:r w:rsidRPr="00AB4C34">
        <w:tab/>
        <w:t>Вышеупомянутый Закон от 12 января 2006 года о внесении изменений в Закон от 15 декабря 1980 года о доступе иностранцев на территорию, их преб</w:t>
      </w:r>
      <w:r w:rsidRPr="00AB4C34">
        <w:t>ы</w:t>
      </w:r>
      <w:r w:rsidRPr="00AB4C34">
        <w:t>вании, получении ими статуса и их высылке включает в него положение об уг</w:t>
      </w:r>
      <w:r w:rsidRPr="00AB4C34">
        <w:t>о</w:t>
      </w:r>
      <w:r w:rsidRPr="00AB4C34">
        <w:t>ловном преследовании за заключение брака с целью получения преим</w:t>
      </w:r>
      <w:r w:rsidRPr="00AB4C34">
        <w:t>у</w:t>
      </w:r>
      <w:r w:rsidRPr="00AB4C34">
        <w:t>ществ в области пребывания. Была введена система постепенного ужесточения наказ</w:t>
      </w:r>
      <w:r w:rsidRPr="00AB4C34">
        <w:t>а</w:t>
      </w:r>
      <w:r w:rsidRPr="00AB4C34">
        <w:t>ния, при которой наиболее суровые меры наказания предусматриваются для случаев, когда при побуждении лица к вступлению в брак преследовалась кор</w:t>
      </w:r>
      <w:r w:rsidRPr="00AB4C34">
        <w:t>ы</w:t>
      </w:r>
      <w:r w:rsidRPr="00AB4C34">
        <w:t>стная цель или оказывалось давление.</w:t>
      </w:r>
    </w:p>
    <w:p w:rsidR="00FA567F" w:rsidRPr="00AB4C34" w:rsidRDefault="00FA567F" w:rsidP="00B552A9">
      <w:pPr>
        <w:pStyle w:val="H4GR"/>
        <w:spacing w:before="240"/>
      </w:pPr>
      <w:r w:rsidRPr="00AB4C34">
        <w:tab/>
      </w:r>
      <w:r w:rsidRPr="00AB4C34">
        <w:tab/>
        <w:t xml:space="preserve">Принудительный брак </w:t>
      </w:r>
    </w:p>
    <w:p w:rsidR="00FA567F" w:rsidRPr="00AB4C34" w:rsidRDefault="00FA567F" w:rsidP="004B4B9D">
      <w:pPr>
        <w:pStyle w:val="SingleTxtGR"/>
      </w:pPr>
      <w:r w:rsidRPr="00AB4C34">
        <w:t>198.</w:t>
      </w:r>
      <w:r w:rsidRPr="00AB4C34">
        <w:tab/>
        <w:t>В соответствии с Законом от 25 апреля 2007 года о включении в Уголо</w:t>
      </w:r>
      <w:r w:rsidRPr="00AB4C34">
        <w:t>в</w:t>
      </w:r>
      <w:r w:rsidRPr="00AB4C34">
        <w:t>ный кодекс статьи 391-sexies и о внесении изменений в некоторые положения Гражданского кодекса с целью криминализации принудительного брака и ра</w:t>
      </w:r>
      <w:r w:rsidRPr="00AB4C34">
        <w:t>с</w:t>
      </w:r>
      <w:r w:rsidRPr="00AB4C34">
        <w:t>ширения средств его признания недействительным (</w:t>
      </w:r>
      <w:r>
        <w:t>"</w:t>
      </w:r>
      <w:r w:rsidRPr="00AB4C34">
        <w:t>М.Б.</w:t>
      </w:r>
      <w:r>
        <w:t>"</w:t>
      </w:r>
      <w:r w:rsidRPr="00AB4C34">
        <w:t xml:space="preserve"> от 15 июня 2007 г</w:t>
      </w:r>
      <w:r w:rsidRPr="00AB4C34">
        <w:t>о</w:t>
      </w:r>
      <w:r w:rsidRPr="00AB4C34">
        <w:t>да) принудительный брак преследуется в уголовном порядке и может быть а</w:t>
      </w:r>
      <w:r w:rsidRPr="00AB4C34">
        <w:t>н</w:t>
      </w:r>
      <w:r w:rsidRPr="00AB4C34">
        <w:t xml:space="preserve">нулирован. </w:t>
      </w:r>
    </w:p>
    <w:p w:rsidR="00FA567F" w:rsidRPr="00AB4C34" w:rsidRDefault="00FA567F" w:rsidP="004B4B9D">
      <w:pPr>
        <w:pStyle w:val="SingleTxtGR"/>
      </w:pPr>
      <w:r w:rsidRPr="00AB4C34">
        <w:t>199.</w:t>
      </w:r>
      <w:r w:rsidRPr="00AB4C34">
        <w:tab/>
        <w:t>Статья 146-</w:t>
      </w:r>
      <w:r>
        <w:t>тер</w:t>
      </w:r>
      <w:r w:rsidRPr="00AB4C34">
        <w:t xml:space="preserve"> Гражданского кодекса, включенная Законом от 25 апреля 2007 года, гласит, что </w:t>
      </w:r>
      <w:r>
        <w:t>"</w:t>
      </w:r>
      <w:r w:rsidRPr="00AB4C34">
        <w:t>брак также считается недействительным, если он закл</w:t>
      </w:r>
      <w:r w:rsidRPr="00AB4C34">
        <w:t>ю</w:t>
      </w:r>
      <w:r w:rsidRPr="00AB4C34">
        <w:t>чен без свободного согласия обоих супругов и если согласие хотя бы одного из супругов было дано под действием насилия или угроз</w:t>
      </w:r>
      <w:r>
        <w:t>"</w:t>
      </w:r>
      <w:r w:rsidRPr="00AB4C34">
        <w:t>. Сотрудник бюро рег</w:t>
      </w:r>
      <w:r w:rsidRPr="00AB4C34">
        <w:t>и</w:t>
      </w:r>
      <w:r w:rsidRPr="00AB4C34">
        <w:t>страции актов гражданского состояния вправе отказаться регистрировать брак, если он обнаруживает в нем признаки принудительного брака. Наряду с этим зарегистрированный принудительный брак признается полностью недейств</w:t>
      </w:r>
      <w:r w:rsidRPr="00AB4C34">
        <w:t>и</w:t>
      </w:r>
      <w:r w:rsidRPr="00AB4C34">
        <w:t xml:space="preserve">тельным; его недействительность может быть заявлена органами прокуратуры, самими супругами и всеми заинтересованными в этом лицами. </w:t>
      </w:r>
    </w:p>
    <w:p w:rsidR="00FA567F" w:rsidRPr="00AB4C34" w:rsidRDefault="00FA567F" w:rsidP="004B4B9D">
      <w:pPr>
        <w:pStyle w:val="SingleTxtGR"/>
      </w:pPr>
      <w:r w:rsidRPr="00AB4C34">
        <w:t>200.</w:t>
      </w:r>
      <w:r w:rsidRPr="00AB4C34">
        <w:tab/>
        <w:t>Кроме того, при наличии убедительных признаков принудительного бр</w:t>
      </w:r>
      <w:r w:rsidRPr="00AB4C34">
        <w:t>а</w:t>
      </w:r>
      <w:r w:rsidRPr="00AB4C34">
        <w:t>ка органы прокуратуры вправе по собственной инициативе возбудить процед</w:t>
      </w:r>
      <w:r w:rsidRPr="00AB4C34">
        <w:t>у</w:t>
      </w:r>
      <w:r w:rsidRPr="00AB4C34">
        <w:t>ру его отмены.</w:t>
      </w:r>
    </w:p>
    <w:p w:rsidR="00FA567F" w:rsidRPr="00AB4C34" w:rsidRDefault="00FA567F" w:rsidP="004B4B9D">
      <w:pPr>
        <w:pStyle w:val="SingleTxtGR"/>
      </w:pPr>
      <w:r w:rsidRPr="00AB4C34">
        <w:t>201.</w:t>
      </w:r>
      <w:r w:rsidRPr="00AB4C34">
        <w:tab/>
        <w:t>Наконец, статья 391-sexies Уголовного кодека предусматривает привлеч</w:t>
      </w:r>
      <w:r w:rsidRPr="00AB4C34">
        <w:t>е</w:t>
      </w:r>
      <w:r w:rsidRPr="00AB4C34">
        <w:t>ние к ответственности лиц, которые с применением насилия или угроз прину</w:t>
      </w:r>
      <w:r w:rsidRPr="00AB4C34">
        <w:t>ж</w:t>
      </w:r>
      <w:r w:rsidRPr="00AB4C34">
        <w:t>дают кого-либо к вступлению в брак; покушение на совершение таких действий также является наказуемым. Поскольку принудительный брак представляет с</w:t>
      </w:r>
      <w:r w:rsidRPr="00AB4C34">
        <w:t>о</w:t>
      </w:r>
      <w:r w:rsidRPr="00AB4C34">
        <w:t>бой посягательство на права человека, запрещенное по многим международным нормам, закон направлен на защиту жертвы в реализации ею своего права на вступление в брак по свободному согласию и на защиту ее свободы, достоинс</w:t>
      </w:r>
      <w:r w:rsidRPr="00AB4C34">
        <w:t>т</w:t>
      </w:r>
      <w:r w:rsidRPr="00AB4C34">
        <w:t xml:space="preserve">ва и физической неприкосновенности. </w:t>
      </w:r>
    </w:p>
    <w:p w:rsidR="00FA567F" w:rsidRPr="00AB4C34" w:rsidRDefault="00FA567F" w:rsidP="004B4B9D">
      <w:pPr>
        <w:pStyle w:val="SingleTxtGR"/>
      </w:pPr>
      <w:r w:rsidRPr="00AB4C34">
        <w:t>202.</w:t>
      </w:r>
      <w:r w:rsidRPr="00AB4C34">
        <w:tab/>
        <w:t>Бельгийским правосудием недавно было вынесено решение по делу о принудительном браке: 9 и 12 декабря 2011 года суд присяжных Монса признал нескольких членов семьи 20-летней пакистанской девушки виновными в ее убийстве с проявлением дискриминации в качестве отягчающего обстоятельс</w:t>
      </w:r>
      <w:r w:rsidRPr="00AB4C34">
        <w:t>т</w:t>
      </w:r>
      <w:r w:rsidRPr="00AB4C34">
        <w:t>ва за отказ от вступления в договоренный ими брак. Отец и брат девушки были также признаны виновными в покушении на заключение принудительного бр</w:t>
      </w:r>
      <w:r w:rsidRPr="00AB4C34">
        <w:t>а</w:t>
      </w:r>
      <w:r w:rsidRPr="00AB4C34">
        <w:t xml:space="preserve">ка. Брат был осужден к 15 годам, сестра – к </w:t>
      </w:r>
      <w:r>
        <w:t>5</w:t>
      </w:r>
      <w:r w:rsidRPr="00AB4C34">
        <w:t xml:space="preserve"> годам, а родители – </w:t>
      </w:r>
      <w:r>
        <w:t>к 25 и 20 </w:t>
      </w:r>
      <w:r w:rsidRPr="00AB4C34">
        <w:t>годам тюремного заключения. В результате рассмотрения апелляции, пода</w:t>
      </w:r>
      <w:r w:rsidRPr="00AB4C34">
        <w:t>н</w:t>
      </w:r>
      <w:r w:rsidRPr="00AB4C34">
        <w:t xml:space="preserve">ной родителями жертвы, Кассационный суд отменил приговоры, вынесенные судом присяжных Монса, но при этом не поставил под сомнение факт </w:t>
      </w:r>
      <w:r>
        <w:t>"</w:t>
      </w:r>
      <w:r w:rsidRPr="00AB4C34">
        <w:t>прест</w:t>
      </w:r>
      <w:r w:rsidRPr="00AB4C34">
        <w:t>у</w:t>
      </w:r>
      <w:r w:rsidRPr="00AB4C34">
        <w:t>пления по защите чести</w:t>
      </w:r>
      <w:r>
        <w:t>"</w:t>
      </w:r>
      <w:r w:rsidRPr="00AB4C34">
        <w:t xml:space="preserve"> и признание пола потерпевшей в качестве отягчающ</w:t>
      </w:r>
      <w:r w:rsidRPr="00AB4C34">
        <w:t>е</w:t>
      </w:r>
      <w:r w:rsidRPr="00AB4C34">
        <w:t>го обстоятельства. Кроме того, с 2009 года в банке данных судов первой и</w:t>
      </w:r>
      <w:r w:rsidRPr="00AB4C34">
        <w:t>н</w:t>
      </w:r>
      <w:r w:rsidRPr="00AB4C34">
        <w:t>станции для дел о принудительных браках предусмотрен специальный код. Статистика показывает, что в 2010 году в органы прокуратуры поступило 12 дел о принудительных браках, в 2011 году – 15 таких дел. По состоянию на 10 я</w:t>
      </w:r>
      <w:r w:rsidRPr="00AB4C34">
        <w:t>н</w:t>
      </w:r>
      <w:r w:rsidRPr="00AB4C34">
        <w:t xml:space="preserve">варя 2012 года эти дела находились на следующих стадиях: по </w:t>
      </w:r>
      <w:r w:rsidR="002C152E">
        <w:t>6</w:t>
      </w:r>
      <w:r w:rsidRPr="00AB4C34">
        <w:t xml:space="preserve"> из них велось дознание, 11 были закрыты производством, </w:t>
      </w:r>
      <w:r w:rsidR="002C152E">
        <w:t>5</w:t>
      </w:r>
      <w:r w:rsidRPr="00AB4C34">
        <w:t xml:space="preserve"> – на стадии передачи в другие о</w:t>
      </w:r>
      <w:r w:rsidRPr="00AB4C34">
        <w:t>р</w:t>
      </w:r>
      <w:r w:rsidRPr="00AB4C34">
        <w:t xml:space="preserve">ганы, </w:t>
      </w:r>
      <w:r w:rsidR="002C152E">
        <w:t>4</w:t>
      </w:r>
      <w:r w:rsidRPr="00AB4C34">
        <w:t xml:space="preserve"> – на стадии следствия и по </w:t>
      </w:r>
      <w:r w:rsidR="00351B1C">
        <w:t>1</w:t>
      </w:r>
      <w:r w:rsidRPr="00AB4C34">
        <w:t xml:space="preserve"> делу были вызваны фигуранты и осущес</w:t>
      </w:r>
      <w:r w:rsidRPr="00AB4C34">
        <w:t>т</w:t>
      </w:r>
      <w:r w:rsidRPr="00AB4C34">
        <w:t>влялись дальнейшие действия. На сегодняшний день приговор был вынесен только по одному из указанных 27 дел; впоследствии будет вынесен еще ряд судебных решений. Специальный код для преступлений данной категории пр</w:t>
      </w:r>
      <w:r w:rsidRPr="00AB4C34">
        <w:t>е</w:t>
      </w:r>
      <w:r w:rsidRPr="00AB4C34">
        <w:t>дусмотрен и в органах полиции: согласно их статистике, в 2010 году в пол</w:t>
      </w:r>
      <w:r w:rsidRPr="00AB4C34">
        <w:t>и</w:t>
      </w:r>
      <w:r w:rsidRPr="00AB4C34">
        <w:t>цию поступило 13 жалоб в св</w:t>
      </w:r>
      <w:r>
        <w:t>язи с принудительным браком (11 </w:t>
      </w:r>
      <w:r w:rsidRPr="00AB4C34">
        <w:t xml:space="preserve">заключенных браков и </w:t>
      </w:r>
      <w:r w:rsidR="007002BA">
        <w:t>2</w:t>
      </w:r>
      <w:r w:rsidRPr="00AB4C34">
        <w:t xml:space="preserve"> попытки заключения такого брака). Очевидно, число таких жалоб возра</w:t>
      </w:r>
      <w:r w:rsidRPr="00AB4C34">
        <w:t>с</w:t>
      </w:r>
      <w:r w:rsidRPr="00AB4C34">
        <w:t>тет благодаря активизации разъяснительной работы среди потерпевших и повыш</w:t>
      </w:r>
      <w:r w:rsidRPr="00AB4C34">
        <w:t>е</w:t>
      </w:r>
      <w:r w:rsidRPr="00AB4C34">
        <w:t>нию профессиональных навыков в выявлении подобных бр</w:t>
      </w:r>
      <w:r w:rsidRPr="00AB4C34">
        <w:t>а</w:t>
      </w:r>
      <w:r w:rsidRPr="00AB4C34">
        <w:t xml:space="preserve">ков. </w:t>
      </w:r>
    </w:p>
    <w:p w:rsidR="00FA567F" w:rsidRPr="00AB4C34" w:rsidRDefault="00FA567F" w:rsidP="00B552A9">
      <w:pPr>
        <w:pStyle w:val="H4GR"/>
        <w:spacing w:before="240"/>
      </w:pPr>
      <w:r w:rsidRPr="00AB4C34">
        <w:tab/>
      </w:r>
      <w:r w:rsidRPr="00AB4C34">
        <w:tab/>
        <w:t xml:space="preserve">Возражение против заключения брака </w:t>
      </w:r>
    </w:p>
    <w:p w:rsidR="00FA567F" w:rsidRPr="00AB4C34" w:rsidRDefault="00FA567F" w:rsidP="004B4B9D">
      <w:pPr>
        <w:pStyle w:val="SingleTxtGR"/>
      </w:pPr>
      <w:r w:rsidRPr="00AB4C34">
        <w:t>203.</w:t>
      </w:r>
      <w:r w:rsidRPr="00AB4C34">
        <w:tab/>
        <w:t>Закон от 19 февраля 2009 года о внесении изменений в Гражданский к</w:t>
      </w:r>
      <w:r w:rsidRPr="00AB4C34">
        <w:t>о</w:t>
      </w:r>
      <w:r w:rsidRPr="00AB4C34">
        <w:t>декс и в статью 1399 С</w:t>
      </w:r>
      <w:r w:rsidRPr="00AB4C34">
        <w:t>у</w:t>
      </w:r>
      <w:r w:rsidRPr="00AB4C34">
        <w:t>дебного кодекса в части возражения против заключения брака (</w:t>
      </w:r>
      <w:r>
        <w:t>"</w:t>
      </w:r>
      <w:r w:rsidRPr="00AB4C34">
        <w:t>М.Б.</w:t>
      </w:r>
      <w:r>
        <w:t>"</w:t>
      </w:r>
      <w:r w:rsidRPr="00AB4C34">
        <w:t xml:space="preserve"> от 11 марта 2009 года) отменяет положения о возражении против заключения брака. Замена процедуры опубликования заявлений о возражении против заключения брака объявлениями о его заключении существенно снизила эффективность положений о возражении против брака. Процедура опубликов</w:t>
      </w:r>
      <w:r w:rsidRPr="00AB4C34">
        <w:t>а</w:t>
      </w:r>
      <w:r w:rsidRPr="00AB4C34">
        <w:t>ния возражений являлась довольно затратной и рискованной, поскольку пред</w:t>
      </w:r>
      <w:r w:rsidRPr="00AB4C34">
        <w:t>у</w:t>
      </w:r>
      <w:r w:rsidRPr="00AB4C34">
        <w:t>сматривала возможность привлечения к возмещению причиненного ущерба, и это обстоятельство оказывало сдерживающее воздействие на лиц, желающих выразить возражени</w:t>
      </w:r>
      <w:r w:rsidR="007002BA">
        <w:t>е. Отмена положений и возражени</w:t>
      </w:r>
      <w:r w:rsidR="002E45BD">
        <w:t>й</w:t>
      </w:r>
      <w:r w:rsidR="007002BA">
        <w:t xml:space="preserve"> против заключения</w:t>
      </w:r>
      <w:r w:rsidRPr="00AB4C34">
        <w:t xml:space="preserve"> бр</w:t>
      </w:r>
      <w:r w:rsidRPr="00AB4C34">
        <w:t>а</w:t>
      </w:r>
      <w:r w:rsidRPr="00AB4C34">
        <w:t>ка не меш</w:t>
      </w:r>
      <w:r w:rsidR="001E70C4">
        <w:t>а</w:t>
      </w:r>
      <w:r w:rsidR="002E45BD">
        <w:t>е</w:t>
      </w:r>
      <w:r w:rsidRPr="00AB4C34">
        <w:t>т королевскому прокурору принять необходимые меры в случае, е</w:t>
      </w:r>
      <w:r w:rsidRPr="00AB4C34">
        <w:t>с</w:t>
      </w:r>
      <w:r w:rsidRPr="00AB4C34">
        <w:t>ли брак является противозаконным. Сотрудник бюро регистрации актов гра</w:t>
      </w:r>
      <w:r w:rsidRPr="00AB4C34">
        <w:t>ж</w:t>
      </w:r>
      <w:r w:rsidRPr="00AB4C34">
        <w:t>данского состояния продолжает выполнять важные функции: он проверяет, с</w:t>
      </w:r>
      <w:r w:rsidRPr="00AB4C34">
        <w:t>о</w:t>
      </w:r>
      <w:r w:rsidRPr="00AB4C34">
        <w:t>ответствуют ли будущие супруги всем существенным и формальным критериям для вступления в брак и не имеется ли препятствий для заключения их брака. После заключения брака как сами супруги, так и органы прокуратуры, а также любое заинтересованное лицо вправе потребовать признания брака недейств</w:t>
      </w:r>
      <w:r w:rsidRPr="00AB4C34">
        <w:t>и</w:t>
      </w:r>
      <w:r w:rsidRPr="00AB4C34">
        <w:t xml:space="preserve">тельным на основании статьи 184 Гражданского кодекса. </w:t>
      </w:r>
    </w:p>
    <w:p w:rsidR="00FA567F" w:rsidRPr="00AB4C34" w:rsidRDefault="00FA567F" w:rsidP="004B4B9D">
      <w:pPr>
        <w:pStyle w:val="H1GR"/>
      </w:pPr>
      <w:r w:rsidRPr="00AB4C34">
        <w:tab/>
        <w:t>D.</w:t>
      </w:r>
      <w:r w:rsidRPr="00AB4C34">
        <w:tab/>
        <w:t xml:space="preserve">Участие в выборах лиц, не являющихся гражданами Бельгии </w:t>
      </w:r>
    </w:p>
    <w:p w:rsidR="00FA567F" w:rsidRPr="00AB4C34" w:rsidRDefault="00FA567F" w:rsidP="004B4B9D">
      <w:pPr>
        <w:pStyle w:val="SingleTxtGR"/>
      </w:pPr>
      <w:r w:rsidRPr="00AB4C34">
        <w:t>204.</w:t>
      </w:r>
      <w:r w:rsidRPr="00AB4C34">
        <w:tab/>
        <w:t>Как и в 2006 году, в проведении комму</w:t>
      </w:r>
      <w:r>
        <w:t>нальных выборов 14 октября 2012 </w:t>
      </w:r>
      <w:r w:rsidRPr="00AB4C34">
        <w:t>года будут участвовать граждане как европейских, так и неевропейских стран, которые занесены в списки избирателей. Реги</w:t>
      </w:r>
      <w:r w:rsidRPr="00AB4C34">
        <w:t>о</w:t>
      </w:r>
      <w:r w:rsidRPr="00AB4C34">
        <w:t>нальными властями вновь были проведены информационно-пропагандистские кампании, с тем чтобы иностранные граждане, еще не зарегистрированные в качестве избирателей, прошли эту процедуру и приняли участие в выборах в органы управления ко</w:t>
      </w:r>
      <w:r w:rsidRPr="00AB4C34">
        <w:t>м</w:t>
      </w:r>
      <w:r w:rsidRPr="00AB4C34">
        <w:t xml:space="preserve">мун. </w:t>
      </w:r>
    </w:p>
    <w:p w:rsidR="00FA567F" w:rsidRPr="00AB4C34" w:rsidRDefault="00FA567F" w:rsidP="004B4B9D">
      <w:pPr>
        <w:pStyle w:val="SingleTxtGR"/>
      </w:pPr>
      <w:r w:rsidRPr="00AB4C34">
        <w:t>205.</w:t>
      </w:r>
      <w:r w:rsidRPr="00AB4C34">
        <w:tab/>
        <w:t>В целом в избирательные списки занесено 7</w:t>
      </w:r>
      <w:r>
        <w:rPr>
          <w:lang w:val="en-US"/>
        </w:rPr>
        <w:t> </w:t>
      </w:r>
      <w:r w:rsidRPr="00AB4C34">
        <w:t>966</w:t>
      </w:r>
      <w:r>
        <w:rPr>
          <w:lang w:val="en-US"/>
        </w:rPr>
        <w:t> </w:t>
      </w:r>
      <w:r w:rsidRPr="00AB4C34">
        <w:t>698 человек, из которых 7</w:t>
      </w:r>
      <w:r>
        <w:rPr>
          <w:lang w:val="en-US"/>
        </w:rPr>
        <w:t> </w:t>
      </w:r>
      <w:r w:rsidRPr="00AB4C34">
        <w:t>825</w:t>
      </w:r>
      <w:r>
        <w:rPr>
          <w:lang w:val="en-US"/>
        </w:rPr>
        <w:t> </w:t>
      </w:r>
      <w:r w:rsidRPr="00AB4C34">
        <w:t>301 – граждане Бельгии. По статистике Государственной федеральной службы внутренних дел, в избирательные списки занесено 120</w:t>
      </w:r>
      <w:r>
        <w:rPr>
          <w:lang w:val="en-US"/>
        </w:rPr>
        <w:t> </w:t>
      </w:r>
      <w:r w:rsidRPr="00AB4C34">
        <w:t>826 граждан е</w:t>
      </w:r>
      <w:r w:rsidRPr="00AB4C34">
        <w:t>в</w:t>
      </w:r>
      <w:r w:rsidRPr="00AB4C34">
        <w:t>ропейских стран (или 18,48% электората) и 20</w:t>
      </w:r>
      <w:r>
        <w:rPr>
          <w:lang w:val="en-US"/>
        </w:rPr>
        <w:t> </w:t>
      </w:r>
      <w:r w:rsidRPr="00AB4C34">
        <w:t>571 гражданин неевропейских стран (14,02%).</w:t>
      </w:r>
    </w:p>
    <w:p w:rsidR="00FA567F" w:rsidRPr="00AB4C34" w:rsidRDefault="00FA567F" w:rsidP="004B4B9D">
      <w:pPr>
        <w:pStyle w:val="SingleTxtGR"/>
      </w:pPr>
      <w:r w:rsidRPr="00AB4C34">
        <w:t>206.</w:t>
      </w:r>
      <w:r w:rsidRPr="00AB4C34">
        <w:tab/>
        <w:t>Для сравнения: в 2006 году в избирательных списках фигурировало 110</w:t>
      </w:r>
      <w:r>
        <w:t> </w:t>
      </w:r>
      <w:r w:rsidRPr="00AB4C34">
        <w:t>973 европейца (20,94%) и 17 065 неевропейцев (15,71%).</w:t>
      </w:r>
    </w:p>
    <w:p w:rsidR="00FA567F" w:rsidRPr="00AB4C34" w:rsidRDefault="00FA567F" w:rsidP="004B4B9D">
      <w:pPr>
        <w:pStyle w:val="H1GR"/>
      </w:pPr>
      <w:r w:rsidRPr="00AB4C34">
        <w:tab/>
        <w:t>E.</w:t>
      </w:r>
      <w:r w:rsidRPr="00AB4C34">
        <w:tab/>
        <w:t xml:space="preserve">Право на свободу мысли, совести и религии </w:t>
      </w:r>
    </w:p>
    <w:p w:rsidR="00FA567F" w:rsidRPr="00AB4C34" w:rsidRDefault="00FA567F" w:rsidP="004B4B9D">
      <w:pPr>
        <w:pStyle w:val="SingleTxtGR"/>
      </w:pPr>
      <w:r w:rsidRPr="00AB4C34">
        <w:t>207.</w:t>
      </w:r>
      <w:r w:rsidRPr="00AB4C34">
        <w:tab/>
        <w:t>Правительство ссылается на информацию, изложенную в предыдущем докладе, и добавляет сл</w:t>
      </w:r>
      <w:r w:rsidRPr="00AB4C34">
        <w:t>е</w:t>
      </w:r>
      <w:r w:rsidRPr="00AB4C34">
        <w:t>дующие уточнения.</w:t>
      </w:r>
    </w:p>
    <w:p w:rsidR="00FA567F" w:rsidRPr="00AB4C34" w:rsidRDefault="00FA567F" w:rsidP="004B4B9D">
      <w:pPr>
        <w:pStyle w:val="SingleTxtGR"/>
      </w:pPr>
      <w:r w:rsidRPr="00AB4C34">
        <w:t>208.</w:t>
      </w:r>
      <w:r w:rsidRPr="00AB4C34">
        <w:tab/>
        <w:t>Исполнительный орган мусульман Бельгии пережил внутренние орган</w:t>
      </w:r>
      <w:r w:rsidRPr="00AB4C34">
        <w:t>и</w:t>
      </w:r>
      <w:r w:rsidRPr="00AB4C34">
        <w:t>зационные трудности, и 9 мая 2008 года королевским указом был признан его новый членский состав. Наряду с рассмотрением конкретных проблем этому органу было поручено установление процедуры обновления своего членского состава. Поскольку он не выполнил этой функции, процедура признания была завершена 31 декабря 2011 года, а на бюро этого органа было возложено реш</w:t>
      </w:r>
      <w:r w:rsidRPr="00AB4C34">
        <w:t>е</w:t>
      </w:r>
      <w:r w:rsidRPr="00AB4C34">
        <w:t xml:space="preserve">ние текущих вопросов. </w:t>
      </w:r>
    </w:p>
    <w:p w:rsidR="00FA567F" w:rsidRPr="00AB4C34" w:rsidRDefault="00FA567F" w:rsidP="004B4B9D">
      <w:pPr>
        <w:pStyle w:val="SingleTxtGR"/>
      </w:pPr>
      <w:r w:rsidRPr="00AB4C34">
        <w:t>209.</w:t>
      </w:r>
      <w:r w:rsidRPr="00AB4C34">
        <w:tab/>
        <w:t>13 октября 2005 года правительство Валлонии приняло три постановл</w:t>
      </w:r>
      <w:r w:rsidRPr="00AB4C34">
        <w:t>е</w:t>
      </w:r>
      <w:r w:rsidRPr="00AB4C34">
        <w:t>ния об организации комитетов по руководству повседневной деятельностью признанных исламских общин. Фламандский и Брюссельский столичный р</w:t>
      </w:r>
      <w:r w:rsidRPr="00AB4C34">
        <w:t>е</w:t>
      </w:r>
      <w:r w:rsidRPr="00AB4C34">
        <w:t xml:space="preserve">гионы, а также правительство немецкоязычной общины законодательным путем приняли нормы в этих трех областях. </w:t>
      </w:r>
    </w:p>
    <w:p w:rsidR="00FA567F" w:rsidRPr="00AB4C34" w:rsidRDefault="00FA567F" w:rsidP="004B4B9D">
      <w:pPr>
        <w:pStyle w:val="SingleTxtGR"/>
      </w:pPr>
      <w:r w:rsidRPr="00AB4C34">
        <w:t>210.</w:t>
      </w:r>
      <w:r w:rsidRPr="00AB4C34">
        <w:tab/>
        <w:t>1 июня 2011 года в Бельгии был принят закон о запрете ношения в общ</w:t>
      </w:r>
      <w:r w:rsidRPr="00AB4C34">
        <w:t>е</w:t>
      </w:r>
      <w:r w:rsidRPr="00AB4C34">
        <w:t>ственных местах любой одежды, скрывающей все лицо или основную часть лица (</w:t>
      </w:r>
      <w:r>
        <w:t>"</w:t>
      </w:r>
      <w:r w:rsidRPr="00AB4C34">
        <w:t>М.Б.</w:t>
      </w:r>
      <w:r>
        <w:t>"</w:t>
      </w:r>
      <w:r w:rsidRPr="00AB4C34">
        <w:t xml:space="preserve"> от 13 июля 2011 года). Принятие этого закона вызвано соображ</w:t>
      </w:r>
      <w:r w:rsidRPr="00AB4C34">
        <w:t>е</w:t>
      </w:r>
      <w:r w:rsidRPr="00AB4C34">
        <w:t>ниями общественной безопасности; он гласит, что за любое нарушение этого требования могут быть назначены штраф в размере 15</w:t>
      </w:r>
      <w:r>
        <w:t>−</w:t>
      </w:r>
      <w:r w:rsidRPr="00AB4C34">
        <w:t>25 евро и тюремное з</w:t>
      </w:r>
      <w:r w:rsidRPr="00AB4C34">
        <w:t>а</w:t>
      </w:r>
      <w:r w:rsidRPr="00AB4C34">
        <w:t>ключение на срок от одного до семи дней. В Конституционный суд был подан ряд ходатайств о приостановлении и отмене этого закона; два ходатайства о приостановлении были отклонены, поскольку заявители не смогли убедител</w:t>
      </w:r>
      <w:r w:rsidRPr="00AB4C34">
        <w:t>ь</w:t>
      </w:r>
      <w:r w:rsidRPr="00AB4C34">
        <w:t>но доказать, что применение этого закона рискует причинить им серьезный и трудновозместимый ущерб</w:t>
      </w:r>
      <w:r w:rsidRPr="002E565C">
        <w:rPr>
          <w:rStyle w:val="FootnoteReference"/>
        </w:rPr>
        <w:footnoteReference w:id="26"/>
      </w:r>
      <w:r w:rsidRPr="002E565C">
        <w:rPr>
          <w:rStyle w:val="FootnoteReference"/>
        </w:rPr>
        <w:t>.</w:t>
      </w:r>
      <w:r w:rsidRPr="00AB4C34">
        <w:t xml:space="preserve"> Конституционному суду еще предстоит вынести решения по ходатайствам об отмене закона.</w:t>
      </w:r>
    </w:p>
    <w:p w:rsidR="00FA567F" w:rsidRPr="00AB4C34" w:rsidRDefault="00FA567F" w:rsidP="004B4B9D">
      <w:pPr>
        <w:pStyle w:val="H1GR"/>
      </w:pPr>
      <w:r w:rsidRPr="00AB4C34">
        <w:tab/>
        <w:t>F.</w:t>
      </w:r>
      <w:r w:rsidRPr="00AB4C34">
        <w:tab/>
        <w:t xml:space="preserve">Сфера занятости и труда </w:t>
      </w:r>
    </w:p>
    <w:p w:rsidR="00FA567F" w:rsidRPr="00AB4C34" w:rsidRDefault="00FA567F" w:rsidP="004B4B9D">
      <w:pPr>
        <w:pStyle w:val="H23GR"/>
      </w:pPr>
      <w:r w:rsidRPr="00AB4C34">
        <w:tab/>
        <w:t>1.</w:t>
      </w:r>
      <w:r w:rsidRPr="00AB4C34">
        <w:tab/>
        <w:t xml:space="preserve">Федеральный уровень </w:t>
      </w:r>
    </w:p>
    <w:p w:rsidR="00FA567F" w:rsidRPr="00AB4C34" w:rsidRDefault="00FA567F" w:rsidP="00D32963">
      <w:pPr>
        <w:pStyle w:val="H4GR"/>
        <w:spacing w:before="240"/>
      </w:pPr>
      <w:r w:rsidRPr="00AB4C34">
        <w:tab/>
      </w:r>
      <w:r w:rsidRPr="00AB4C34">
        <w:tab/>
        <w:t xml:space="preserve">Законы от 10 мая 2007 года о борьбе против дискриминации: роль системы </w:t>
      </w:r>
      <w:r w:rsidR="002E45BD">
        <w:br/>
      </w:r>
      <w:r w:rsidR="002E45BD">
        <w:tab/>
      </w:r>
      <w:r w:rsidR="002E45BD">
        <w:tab/>
      </w:r>
      <w:r w:rsidRPr="00AB4C34">
        <w:t xml:space="preserve">контроля за соблюдением социального законодательства </w:t>
      </w:r>
    </w:p>
    <w:p w:rsidR="00FA567F" w:rsidRPr="00AB4C34" w:rsidRDefault="00FA567F" w:rsidP="004B4B9D">
      <w:pPr>
        <w:pStyle w:val="SingleTxtGR"/>
      </w:pPr>
      <w:r w:rsidRPr="00AB4C34">
        <w:t>211.</w:t>
      </w:r>
      <w:r w:rsidRPr="00AB4C34">
        <w:tab/>
        <w:t>Наряду с принятием законодательного арсенала в области борьбы против дискриминации, который был введен в действие законами от 2007 года, для п</w:t>
      </w:r>
      <w:r w:rsidRPr="00AB4C34">
        <w:t>о</w:t>
      </w:r>
      <w:r w:rsidRPr="00AB4C34">
        <w:t>вышения эффективности этой борьбы потребовалось также принять меры по его практическому применению. В сфере борьбы с дискриминацией в трудовых отношениях к числу таких мер относятся Королевски</w:t>
      </w:r>
      <w:r>
        <w:t>й указ от 24 октября 2008 </w:t>
      </w:r>
      <w:r w:rsidRPr="00AB4C34">
        <w:t>года и Протокол о сотрудничестве между Главным управлением по ко</w:t>
      </w:r>
      <w:r w:rsidRPr="00AB4C34">
        <w:t>н</w:t>
      </w:r>
      <w:r w:rsidRPr="00AB4C34">
        <w:t>тролю за соблюдением социального законодательства и Центром по обеспеч</w:t>
      </w:r>
      <w:r w:rsidRPr="00AB4C34">
        <w:t>е</w:t>
      </w:r>
      <w:r w:rsidRPr="00AB4C34">
        <w:t>нию равных возможностей и борьбе с расизмом.</w:t>
      </w:r>
    </w:p>
    <w:p w:rsidR="00FA567F" w:rsidRPr="00AB4C34" w:rsidRDefault="00FA567F" w:rsidP="00D32963">
      <w:pPr>
        <w:pStyle w:val="H4GR"/>
        <w:spacing w:before="240"/>
      </w:pPr>
      <w:r w:rsidRPr="00AB4C34">
        <w:tab/>
      </w:r>
      <w:r w:rsidRPr="00AB4C34">
        <w:tab/>
        <w:t>Королевский указ от 24 октября 2008 года о назначении должност</w:t>
      </w:r>
      <w:r>
        <w:t xml:space="preserve">ных лиц </w:t>
      </w:r>
      <w:r w:rsidR="002E45BD">
        <w:br/>
      </w:r>
      <w:r w:rsidR="002E45BD">
        <w:tab/>
      </w:r>
      <w:r w:rsidR="002E45BD">
        <w:tab/>
      </w:r>
      <w:r>
        <w:t>для </w:t>
      </w:r>
      <w:r w:rsidRPr="00AB4C34">
        <w:t xml:space="preserve">надзора за соблюдением Закона от 10 </w:t>
      </w:r>
      <w:r>
        <w:t xml:space="preserve">мая 2007 года, направленного </w:t>
      </w:r>
      <w:r w:rsidR="002E45BD">
        <w:br/>
      </w:r>
      <w:r w:rsidR="002E45BD">
        <w:tab/>
      </w:r>
      <w:r w:rsidR="002E45BD">
        <w:tab/>
      </w:r>
      <w:r>
        <w:t>на </w:t>
      </w:r>
      <w:r w:rsidRPr="00AB4C34">
        <w:t xml:space="preserve">борьбу против некоторых форм дискриминации, и постановлений </w:t>
      </w:r>
      <w:r>
        <w:br/>
      </w:r>
      <w:r w:rsidR="002E45BD">
        <w:tab/>
      </w:r>
      <w:r w:rsidR="002E45BD">
        <w:tab/>
      </w:r>
      <w:r w:rsidRPr="00AB4C34">
        <w:t xml:space="preserve">о его осуществлении </w:t>
      </w:r>
    </w:p>
    <w:p w:rsidR="00FA567F" w:rsidRPr="00AB4C34" w:rsidRDefault="002E45BD" w:rsidP="004B4B9D">
      <w:pPr>
        <w:pStyle w:val="SingleTxtGR"/>
      </w:pPr>
      <w:r>
        <w:t>212.</w:t>
      </w:r>
      <w:r>
        <w:tab/>
        <w:t>В соответствии с этим К</w:t>
      </w:r>
      <w:r w:rsidR="00FA567F" w:rsidRPr="00AB4C34">
        <w:t>оролевским указом на Главное управление по контролю за соблюдением социального законодательства Федеральной госуда</w:t>
      </w:r>
      <w:r w:rsidR="00FA567F" w:rsidRPr="00AB4C34">
        <w:t>р</w:t>
      </w:r>
      <w:r w:rsidR="00FA567F" w:rsidRPr="00AB4C34">
        <w:t>ственной службы (ФГС) по вопросам занятости, труда и социального партне</w:t>
      </w:r>
      <w:r w:rsidR="00FA567F" w:rsidRPr="00AB4C34">
        <w:t>р</w:t>
      </w:r>
      <w:r w:rsidR="00FA567F" w:rsidRPr="00AB4C34">
        <w:t>ства возлагаются функции по надзору за соб</w:t>
      </w:r>
      <w:r w:rsidR="00FA567F">
        <w:t>людением законов от 10 мая 2007 </w:t>
      </w:r>
      <w:r w:rsidR="00FA567F" w:rsidRPr="00AB4C34">
        <w:t>года (борьба с расизмом и дискриминацией) в области трудовых отнош</w:t>
      </w:r>
      <w:r w:rsidR="00FA567F" w:rsidRPr="00AB4C34">
        <w:t>е</w:t>
      </w:r>
      <w:r w:rsidR="00FA567F" w:rsidRPr="00AB4C34">
        <w:t xml:space="preserve">ний. </w:t>
      </w:r>
    </w:p>
    <w:p w:rsidR="00FA567F" w:rsidRPr="00AB4C34" w:rsidRDefault="00FA567F" w:rsidP="004B4B9D">
      <w:pPr>
        <w:pStyle w:val="SingleTxtGR"/>
      </w:pPr>
      <w:r w:rsidRPr="00AB4C34">
        <w:t>213.</w:t>
      </w:r>
      <w:r w:rsidRPr="00AB4C34">
        <w:tab/>
        <w:t>На практике Главное управление принимает жалобы и подтверждает их получение, запрашивает дополнительную информацию относительно изложе</w:t>
      </w:r>
      <w:r w:rsidRPr="00AB4C34">
        <w:t>н</w:t>
      </w:r>
      <w:r w:rsidRPr="00AB4C34">
        <w:t>ных фактов и мотивов, изучает возможные способы доказывания и осведомл</w:t>
      </w:r>
      <w:r w:rsidRPr="00AB4C34">
        <w:t>я</w:t>
      </w:r>
      <w:r w:rsidRPr="00AB4C34">
        <w:t>ется о том, можно ли использовать личные данные заявителя. Важно пров</w:t>
      </w:r>
      <w:r w:rsidRPr="00AB4C34">
        <w:t>е</w:t>
      </w:r>
      <w:r w:rsidRPr="00AB4C34">
        <w:t>рить, является ли мотивом подачи данной жалобы проявление дискриминации, и о</w:t>
      </w:r>
      <w:r w:rsidRPr="00AB4C34">
        <w:t>б</w:t>
      </w:r>
      <w:r w:rsidRPr="00AB4C34">
        <w:t>ратиться к заявит</w:t>
      </w:r>
      <w:r w:rsidRPr="00AB4C34">
        <w:t>е</w:t>
      </w:r>
      <w:r w:rsidRPr="00AB4C34">
        <w:t xml:space="preserve">лю с просьбой сформулировать или уточнить свои претензии. </w:t>
      </w:r>
    </w:p>
    <w:p w:rsidR="00FA567F" w:rsidRPr="00AB4C34" w:rsidRDefault="00FA567F" w:rsidP="004B4B9D">
      <w:pPr>
        <w:pStyle w:val="SingleTxtGR"/>
      </w:pPr>
      <w:r w:rsidRPr="00AB4C34">
        <w:t>214.</w:t>
      </w:r>
      <w:r w:rsidRPr="00AB4C34">
        <w:tab/>
        <w:t>Упомянутые законы предусматривают, что работодатель не вправе пр</w:t>
      </w:r>
      <w:r w:rsidRPr="00AB4C34">
        <w:t>и</w:t>
      </w:r>
      <w:r w:rsidRPr="00AB4C34">
        <w:t>нимать репрессивные меры в отношении лица, подавшего жалобу, кроме случ</w:t>
      </w:r>
      <w:r w:rsidRPr="00AB4C34">
        <w:t>а</w:t>
      </w:r>
      <w:r w:rsidRPr="00AB4C34">
        <w:t>ев, когда такие меры не связаны с поданной жалобой (см. выше). После перед</w:t>
      </w:r>
      <w:r w:rsidRPr="00AB4C34">
        <w:t>а</w:t>
      </w:r>
      <w:r w:rsidRPr="00AB4C34">
        <w:t>чи спора на рассмотрение суда по трудовым спорам бремя доказывания возл</w:t>
      </w:r>
      <w:r w:rsidRPr="00AB4C34">
        <w:t>а</w:t>
      </w:r>
      <w:r w:rsidRPr="00AB4C34">
        <w:t>гается на работодателя.</w:t>
      </w:r>
    </w:p>
    <w:p w:rsidR="00FA567F" w:rsidRPr="00AB4C34" w:rsidRDefault="00FA567F" w:rsidP="004B4B9D">
      <w:pPr>
        <w:pStyle w:val="SingleTxtGR"/>
      </w:pPr>
      <w:r w:rsidRPr="00AB4C34">
        <w:t>215.</w:t>
      </w:r>
      <w:r w:rsidRPr="00AB4C34">
        <w:tab/>
        <w:t>За период 2007</w:t>
      </w:r>
      <w:r>
        <w:t>−</w:t>
      </w:r>
      <w:r w:rsidRPr="00AB4C34">
        <w:t>2011 годов Службой контроля за соблюдением социал</w:t>
      </w:r>
      <w:r w:rsidRPr="00AB4C34">
        <w:t>ь</w:t>
      </w:r>
      <w:r w:rsidRPr="00AB4C34">
        <w:t>ного законодательства было зарегистрировано 66 жалоб. В статистических да</w:t>
      </w:r>
      <w:r w:rsidRPr="00AB4C34">
        <w:t>н</w:t>
      </w:r>
      <w:r w:rsidRPr="00AB4C34">
        <w:t>ных не проводится различия между разными формами дискриминации. Ни по одной из этих жалоб не было возбуждено судебного разбирательства; те</w:t>
      </w:r>
      <w:r w:rsidR="002E45BD">
        <w:t>м</w:t>
      </w:r>
      <w:r w:rsidRPr="00AB4C34">
        <w:t xml:space="preserve"> не ме</w:t>
      </w:r>
      <w:r w:rsidR="002E45BD">
        <w:t>нее</w:t>
      </w:r>
      <w:r w:rsidRPr="00AB4C34">
        <w:t xml:space="preserve"> по их факту в семи случаях были объявлены предупреждения и в трех случаях – восстановлены права заявителей. Некоторые из дел, возбужденных в 2011 году, пока находятся в стадии рассмотрения.</w:t>
      </w:r>
    </w:p>
    <w:p w:rsidR="00FA567F" w:rsidRPr="00AB4C34" w:rsidRDefault="00FA567F" w:rsidP="00D32963">
      <w:pPr>
        <w:pStyle w:val="H4GR"/>
        <w:spacing w:before="240"/>
      </w:pPr>
      <w:r w:rsidRPr="00AB4C34">
        <w:tab/>
      </w:r>
      <w:r w:rsidRPr="00AB4C34">
        <w:tab/>
        <w:t>Протокол о сотрудничестве между Главным управлением по кон</w:t>
      </w:r>
      <w:r>
        <w:t xml:space="preserve">тролю </w:t>
      </w:r>
      <w:r w:rsidR="002E45BD">
        <w:br/>
      </w:r>
      <w:r w:rsidR="002E45BD">
        <w:tab/>
      </w:r>
      <w:r w:rsidR="002E45BD">
        <w:tab/>
      </w:r>
      <w:r>
        <w:t>за </w:t>
      </w:r>
      <w:r w:rsidRPr="00AB4C34">
        <w:t>соблюдением социального законодательства и Центром по обеспечению</w:t>
      </w:r>
      <w:r w:rsidR="002E45BD">
        <w:br/>
      </w:r>
      <w:r w:rsidR="002E45BD">
        <w:tab/>
      </w:r>
      <w:r w:rsidR="002E45BD">
        <w:tab/>
      </w:r>
      <w:r w:rsidRPr="00AB4C34">
        <w:t>равных возможностей и борьбе с расизмом</w:t>
      </w:r>
    </w:p>
    <w:p w:rsidR="00FA567F" w:rsidRPr="00AB4C34" w:rsidRDefault="00FA567F" w:rsidP="004B4B9D">
      <w:pPr>
        <w:pStyle w:val="SingleTxtGR"/>
      </w:pPr>
      <w:r w:rsidRPr="00AB4C34">
        <w:t>216.</w:t>
      </w:r>
      <w:r w:rsidRPr="00AB4C34">
        <w:tab/>
        <w:t>Главное управление по контролю за соблюдением социального законод</w:t>
      </w:r>
      <w:r w:rsidRPr="00AB4C34">
        <w:t>а</w:t>
      </w:r>
      <w:r w:rsidRPr="00AB4C34">
        <w:t>тельства является единс</w:t>
      </w:r>
      <w:r w:rsidRPr="00AB4C34">
        <w:t>т</w:t>
      </w:r>
      <w:r w:rsidRPr="00AB4C34">
        <w:t>венной инспекционной службой, которая компетентна осуществлять надзор за соблюдением вышеуп</w:t>
      </w:r>
      <w:r w:rsidRPr="00AB4C34">
        <w:t>о</w:t>
      </w:r>
      <w:r w:rsidRPr="00AB4C34">
        <w:t>мянутых федеральных законов. Она облечена полномочиями по проведению расследования. При обн</w:t>
      </w:r>
      <w:r w:rsidRPr="00AB4C34">
        <w:t>а</w:t>
      </w:r>
      <w:r w:rsidRPr="00AB4C34">
        <w:t xml:space="preserve">ружении нарушения она может использовать имеющиеся в ее распоряжении средства для решения дела в судебном порядке или, опираясь на свои полномочия по оценке фактов, содействовать внесудебному урегулированию конфликта. </w:t>
      </w:r>
    </w:p>
    <w:p w:rsidR="00FA567F" w:rsidRPr="00AB4C34" w:rsidRDefault="00FA567F" w:rsidP="004B4B9D">
      <w:pPr>
        <w:pStyle w:val="SingleTxtGR"/>
      </w:pPr>
      <w:r w:rsidRPr="00AB4C34">
        <w:t>217.</w:t>
      </w:r>
      <w:r w:rsidRPr="00AB4C34">
        <w:tab/>
        <w:t>22 октября 2010 года между Главным управлением и Центром по обесп</w:t>
      </w:r>
      <w:r w:rsidRPr="00AB4C34">
        <w:t>е</w:t>
      </w:r>
      <w:r w:rsidRPr="00AB4C34">
        <w:t>чению равных возможностей и борьбе с расизмом был подписан протокол о с</w:t>
      </w:r>
      <w:r w:rsidRPr="00AB4C34">
        <w:t>о</w:t>
      </w:r>
      <w:r w:rsidRPr="00AB4C34">
        <w:t>трудничестве. Целью такого сотрудничества является внесудебное урегулир</w:t>
      </w:r>
      <w:r w:rsidRPr="00AB4C34">
        <w:t>о</w:t>
      </w:r>
      <w:r w:rsidRPr="00AB4C34">
        <w:t>вание максимально возможного количества конфликтов, связанных с дискрим</w:t>
      </w:r>
      <w:r w:rsidRPr="00AB4C34">
        <w:t>и</w:t>
      </w:r>
      <w:r w:rsidRPr="00AB4C34">
        <w:t>нацией в трудовых отношениях. Действительно, оба эти учреждения предпоч</w:t>
      </w:r>
      <w:r w:rsidRPr="00AB4C34">
        <w:t>и</w:t>
      </w:r>
      <w:r w:rsidRPr="00AB4C34">
        <w:t>тают вести среди нарушителей разъяснительную работу и побуждать их к пр</w:t>
      </w:r>
      <w:r w:rsidRPr="00AB4C34">
        <w:t>и</w:t>
      </w:r>
      <w:r w:rsidRPr="00AB4C34">
        <w:t>нятию мер по воспрепятствованию дискриминации и развитию разнообразия. Поэтому обращение в суд теперь должно стать исключением. В более конкре</w:t>
      </w:r>
      <w:r w:rsidRPr="00AB4C34">
        <w:t>т</w:t>
      </w:r>
      <w:r w:rsidRPr="00AB4C34">
        <w:t>ном плане это сотрудничество состоит в обмене информацией и опытом между двумя учр</w:t>
      </w:r>
      <w:r w:rsidRPr="00AB4C34">
        <w:t>е</w:t>
      </w:r>
      <w:r w:rsidRPr="00AB4C34">
        <w:t>ждениями через их контактных лиц.</w:t>
      </w:r>
    </w:p>
    <w:p w:rsidR="00FA567F" w:rsidRPr="00AB4C34" w:rsidRDefault="00FA567F" w:rsidP="004B4B9D">
      <w:pPr>
        <w:pStyle w:val="H56GR"/>
      </w:pPr>
      <w:r w:rsidRPr="00AB4C34">
        <w:tab/>
      </w:r>
      <w:r w:rsidRPr="00AB4C34">
        <w:tab/>
        <w:t xml:space="preserve">Знак </w:t>
      </w:r>
      <w:r>
        <w:t>"</w:t>
      </w:r>
      <w:r w:rsidRPr="00AB4C34">
        <w:t>Равенство и разнообразие</w:t>
      </w:r>
      <w:r>
        <w:t>"</w:t>
      </w:r>
      <w:r w:rsidRPr="00AB4C34">
        <w:t xml:space="preserve"> </w:t>
      </w:r>
    </w:p>
    <w:p w:rsidR="00FA567F" w:rsidRPr="00AB4C34" w:rsidRDefault="00FA567F" w:rsidP="004B4B9D">
      <w:pPr>
        <w:pStyle w:val="SingleTxtGR"/>
      </w:pPr>
      <w:r w:rsidRPr="00AB4C34">
        <w:t>218.</w:t>
      </w:r>
      <w:r w:rsidRPr="00AB4C34">
        <w:tab/>
        <w:t>Группа по вопросам предприятий, на которых работают представители различных культур, дейс</w:t>
      </w:r>
      <w:r w:rsidRPr="00AB4C34">
        <w:t>т</w:t>
      </w:r>
      <w:r w:rsidRPr="00AB4C34">
        <w:t xml:space="preserve">вующая в рамках ФГС по вопросам занятости, труда и социального партнерства, роль и задачи которой были описаны в предыдущем докладе, в 2005 году разработала программу присвоения знака </w:t>
      </w:r>
      <w:r>
        <w:t>"</w:t>
      </w:r>
      <w:r w:rsidRPr="00AB4C34">
        <w:t>Равенство и разнообразие</w:t>
      </w:r>
      <w:r>
        <w:t>"</w:t>
      </w:r>
      <w:r w:rsidRPr="00AB4C34">
        <w:t>.</w:t>
      </w:r>
    </w:p>
    <w:p w:rsidR="00FA567F" w:rsidRPr="00AB4C34" w:rsidRDefault="00FA567F" w:rsidP="004B4B9D">
      <w:pPr>
        <w:pStyle w:val="H56GR"/>
      </w:pPr>
      <w:r w:rsidRPr="00AB4C34">
        <w:tab/>
      </w:r>
      <w:r w:rsidRPr="00AB4C34">
        <w:tab/>
        <w:t>Основа и общее описание проекта</w:t>
      </w:r>
    </w:p>
    <w:p w:rsidR="00FA567F" w:rsidRPr="00AB4C34" w:rsidRDefault="00FA567F" w:rsidP="004B4B9D">
      <w:pPr>
        <w:pStyle w:val="SingleTxtGR"/>
      </w:pPr>
      <w:r w:rsidRPr="00AB4C34">
        <w:t>219.</w:t>
      </w:r>
      <w:r w:rsidRPr="00AB4C34">
        <w:tab/>
        <w:t xml:space="preserve">Цель экспериментального проекта по присвоению знака </w:t>
      </w:r>
      <w:r>
        <w:t>"</w:t>
      </w:r>
      <w:r w:rsidRPr="00AB4C34">
        <w:t>Равенство и разнообразие</w:t>
      </w:r>
      <w:r>
        <w:t>"</w:t>
      </w:r>
      <w:r w:rsidRPr="00AB4C34">
        <w:t xml:space="preserve"> </w:t>
      </w:r>
      <w:r>
        <w:t>−</w:t>
      </w:r>
      <w:r w:rsidRPr="00AB4C34">
        <w:t xml:space="preserve"> способс</w:t>
      </w:r>
      <w:r w:rsidRPr="00AB4C34">
        <w:t>т</w:t>
      </w:r>
      <w:r w:rsidRPr="00AB4C34">
        <w:t>вовать интеграции на рынке труда лиц, находящихся в неблагоприятном положении, и вести борьбу с дискриминацией, проявляемой в отношении этих лиц. Этот проект содействует активизации борьбы против ди</w:t>
      </w:r>
      <w:r w:rsidRPr="00AB4C34">
        <w:t>с</w:t>
      </w:r>
      <w:r w:rsidRPr="00AB4C34">
        <w:t>криминации на рынке труда для наращивания социального единения и повыш</w:t>
      </w:r>
      <w:r w:rsidRPr="00AB4C34">
        <w:t>е</w:t>
      </w:r>
      <w:r w:rsidRPr="00AB4C34">
        <w:t>ния уровня занятости, гарантируя реальное равенство возможностей и обращ</w:t>
      </w:r>
      <w:r w:rsidRPr="00AB4C34">
        <w:t>е</w:t>
      </w:r>
      <w:r w:rsidRPr="00AB4C34">
        <w:t>ния на рынке труда благодаря процедуре особого отличия предприятий как в частном, так и в государственном секторах.</w:t>
      </w:r>
    </w:p>
    <w:p w:rsidR="00FA567F" w:rsidRPr="00AB4C34" w:rsidRDefault="00FA567F" w:rsidP="004B4B9D">
      <w:pPr>
        <w:pStyle w:val="SingleTxtGR"/>
      </w:pPr>
      <w:r w:rsidRPr="00AB4C34">
        <w:t>220.</w:t>
      </w:r>
      <w:r w:rsidRPr="00AB4C34">
        <w:tab/>
        <w:t>С другой стороны, искомая цель введения процедуры присвоения знака разнообразия на уровне предприятий состоит в выработке и осуществлении п</w:t>
      </w:r>
      <w:r w:rsidRPr="00AB4C34">
        <w:t>о</w:t>
      </w:r>
      <w:r w:rsidRPr="00AB4C34">
        <w:t>литики управления разнообразием в организациях и на предприятиях для п</w:t>
      </w:r>
      <w:r w:rsidRPr="00AB4C34">
        <w:t>о</w:t>
      </w:r>
      <w:r w:rsidRPr="00AB4C34">
        <w:t>стоянного повышения его уровня.</w:t>
      </w:r>
    </w:p>
    <w:p w:rsidR="00FA567F" w:rsidRPr="00AB4C34" w:rsidRDefault="00FA567F" w:rsidP="004B4B9D">
      <w:pPr>
        <w:pStyle w:val="H56GR"/>
      </w:pPr>
      <w:r w:rsidRPr="00AB4C34">
        <w:tab/>
      </w:r>
      <w:r w:rsidRPr="00AB4C34">
        <w:tab/>
        <w:t xml:space="preserve">Цели присвоения знака </w:t>
      </w:r>
      <w:r>
        <w:t>"</w:t>
      </w:r>
      <w:r w:rsidRPr="00AB4C34">
        <w:t>Равенство и разнообразие</w:t>
      </w:r>
      <w:r>
        <w:t>"</w:t>
      </w:r>
    </w:p>
    <w:p w:rsidR="00FA567F" w:rsidRPr="00AB4C34" w:rsidRDefault="00FA567F" w:rsidP="004B4B9D">
      <w:pPr>
        <w:pStyle w:val="SingleTxtGR"/>
      </w:pPr>
      <w:r w:rsidRPr="00AB4C34">
        <w:t>221.</w:t>
      </w:r>
      <w:r w:rsidRPr="00AB4C34">
        <w:tab/>
        <w:t xml:space="preserve">Для проведения в жизнь этого начинания необходимо заменить </w:t>
      </w:r>
      <w:r>
        <w:t>"</w:t>
      </w:r>
      <w:r w:rsidRPr="00AB4C34">
        <w:t>культуру предприятия</w:t>
      </w:r>
      <w:r>
        <w:t>"</w:t>
      </w:r>
      <w:r w:rsidRPr="00AB4C34">
        <w:t xml:space="preserve"> в сфере управления людскими ресурсами системой планиров</w:t>
      </w:r>
      <w:r w:rsidRPr="00AB4C34">
        <w:t>а</w:t>
      </w:r>
      <w:r w:rsidRPr="00AB4C34">
        <w:t>ния: ввести анализ политики обеспечения равенства и разнообразия, конце</w:t>
      </w:r>
      <w:r w:rsidRPr="00AB4C34">
        <w:t>п</w:t>
      </w:r>
      <w:r w:rsidRPr="00AB4C34">
        <w:t>цию плана действий и его реализации наряду с проведением проверок в целях ежегодного непрерывного повышения эффективности проводимых меропри</w:t>
      </w:r>
      <w:r w:rsidRPr="00AB4C34">
        <w:t>я</w:t>
      </w:r>
      <w:r w:rsidRPr="00AB4C34">
        <w:t>тий. Преимущество этой системы состоит в том, что она побуждает готовые к участию организации проводить экспертизу своей внутренней практики в сфере разнообразия, чтобы выявлять имеющиеся проблемы и вырабат</w:t>
      </w:r>
      <w:r w:rsidRPr="00AB4C34">
        <w:t>ы</w:t>
      </w:r>
      <w:r w:rsidRPr="00AB4C34">
        <w:t>вать в рамках плана действий поэтапные способы их решения. Кроме того, она побуждает о</w:t>
      </w:r>
      <w:r w:rsidRPr="00AB4C34">
        <w:t>р</w:t>
      </w:r>
      <w:r w:rsidRPr="00AB4C34">
        <w:t>ганизации к проведению изменений в организационной культуре с помощью процесса постоянного совершенствования, рассчитанного на трехлетний пер</w:t>
      </w:r>
      <w:r w:rsidRPr="00AB4C34">
        <w:t>и</w:t>
      </w:r>
      <w:r w:rsidRPr="00AB4C34">
        <w:t>од.</w:t>
      </w:r>
    </w:p>
    <w:p w:rsidR="00FA567F" w:rsidRPr="00AB4C34" w:rsidRDefault="00FA567F" w:rsidP="004B4B9D">
      <w:pPr>
        <w:pStyle w:val="H56GR"/>
      </w:pPr>
      <w:r w:rsidRPr="00AB4C34">
        <w:tab/>
      </w:r>
      <w:r w:rsidRPr="00AB4C34">
        <w:tab/>
        <w:t xml:space="preserve">Консультации и согласование действий </w:t>
      </w:r>
    </w:p>
    <w:p w:rsidR="00FA567F" w:rsidRPr="00AB4C34" w:rsidRDefault="00FA567F" w:rsidP="004B4B9D">
      <w:pPr>
        <w:pStyle w:val="SingleTxtGR"/>
      </w:pPr>
      <w:r w:rsidRPr="00AB4C34">
        <w:t>222.</w:t>
      </w:r>
      <w:r w:rsidRPr="00AB4C34">
        <w:tab/>
        <w:t xml:space="preserve">Примерно 60 человек из сферы трудовых отношений </w:t>
      </w:r>
      <w:r>
        <w:t>−</w:t>
      </w:r>
      <w:r w:rsidRPr="00AB4C34">
        <w:t xml:space="preserve"> представители экспертных кругов, органов по защите интересов целевых групп, работников и работодателей, </w:t>
      </w:r>
      <w:r>
        <w:t>−</w:t>
      </w:r>
      <w:r w:rsidRPr="00AB4C34">
        <w:t xml:space="preserve"> совместными усилиями выработали концепцию механизмов по осуществлению управления разнообразием с учетом интересов всех заинт</w:t>
      </w:r>
      <w:r w:rsidRPr="00AB4C34">
        <w:t>е</w:t>
      </w:r>
      <w:r w:rsidRPr="00AB4C34">
        <w:t xml:space="preserve">ресованных сторон. </w:t>
      </w:r>
    </w:p>
    <w:p w:rsidR="00FA567F" w:rsidRPr="00AB4C34" w:rsidRDefault="00FA567F" w:rsidP="004B4B9D">
      <w:pPr>
        <w:pStyle w:val="SingleTxtGR"/>
      </w:pPr>
      <w:r w:rsidRPr="00AB4C34">
        <w:t>223.</w:t>
      </w:r>
      <w:r w:rsidRPr="00AB4C34">
        <w:tab/>
        <w:t>С января 2007 года 15 организаций и предприятий в экспериментальном порядке приняли участие в процедуре, предусматривающей присвоение такого знака. В течение марта и июня 2007 года Квалификационный комитет</w:t>
      </w:r>
      <w:r w:rsidRPr="002E565C">
        <w:rPr>
          <w:rStyle w:val="FootnoteReference"/>
        </w:rPr>
        <w:footnoteReference w:id="27"/>
      </w:r>
      <w:r w:rsidRPr="00AB4C34">
        <w:t>, опир</w:t>
      </w:r>
      <w:r w:rsidRPr="00AB4C34">
        <w:t>а</w:t>
      </w:r>
      <w:r w:rsidRPr="00AB4C34">
        <w:t>ясь на доклад о результатах проверки, провел совещание для выработки обо</w:t>
      </w:r>
      <w:r w:rsidRPr="00AB4C34">
        <w:t>с</w:t>
      </w:r>
      <w:r w:rsidRPr="00AB4C34">
        <w:t>нованного заключения относительно шансов на присвоение или неприсвоение знака, которое затем будет препровождено министрам по делам занятости и р</w:t>
      </w:r>
      <w:r w:rsidRPr="00AB4C34">
        <w:t>а</w:t>
      </w:r>
      <w:r w:rsidRPr="00AB4C34">
        <w:t>венства возможностей.</w:t>
      </w:r>
    </w:p>
    <w:p w:rsidR="00FA567F" w:rsidRPr="00AB4C34" w:rsidRDefault="00FA567F" w:rsidP="004B4B9D">
      <w:pPr>
        <w:pStyle w:val="SingleTxtGR"/>
      </w:pPr>
      <w:r w:rsidRPr="00AB4C34">
        <w:t>224.</w:t>
      </w:r>
      <w:r w:rsidRPr="00AB4C34">
        <w:tab/>
        <w:t>Начиная с апреля 2008 года для обеспечения мониторинга и оказания участвующим в эксперименте организациям и предприятиям поддержки в ре</w:t>
      </w:r>
      <w:r w:rsidRPr="00AB4C34">
        <w:t>а</w:t>
      </w:r>
      <w:r w:rsidRPr="00AB4C34">
        <w:t>лизации планов действий проводились отдельные с</w:t>
      </w:r>
      <w:r w:rsidRPr="00AB4C34">
        <w:t>о</w:t>
      </w:r>
      <w:r w:rsidRPr="00AB4C34">
        <w:t>вещания. Мониторинг осуществляется в виде самостоятельной оценки, проводимой перед контрол</w:t>
      </w:r>
      <w:r w:rsidRPr="00AB4C34">
        <w:t>ь</w:t>
      </w:r>
      <w:r w:rsidRPr="00AB4C34">
        <w:t>ной проверкой, которая состоялась в течение мая 2008 года. В случае присво</w:t>
      </w:r>
      <w:r w:rsidRPr="00AB4C34">
        <w:t>е</w:t>
      </w:r>
      <w:r w:rsidRPr="00AB4C34">
        <w:t>ния знака отдельному предприятию комитет, опираясь на результаты такой пр</w:t>
      </w:r>
      <w:r w:rsidRPr="00AB4C34">
        <w:t>о</w:t>
      </w:r>
      <w:r w:rsidRPr="00AB4C34">
        <w:t>верки, препровождал министру мотивированное заключение о вручении, изъ</w:t>
      </w:r>
      <w:r w:rsidRPr="00AB4C34">
        <w:t>я</w:t>
      </w:r>
      <w:r w:rsidRPr="00AB4C34">
        <w:t>тии или подтверждении знака для каждого предприятия.</w:t>
      </w:r>
    </w:p>
    <w:p w:rsidR="00FA567F" w:rsidRPr="00AB4C34" w:rsidRDefault="00FA567F" w:rsidP="004B4B9D">
      <w:pPr>
        <w:pStyle w:val="SingleTxtGR"/>
      </w:pPr>
      <w:r w:rsidRPr="00AB4C34">
        <w:t>225.</w:t>
      </w:r>
      <w:r w:rsidRPr="00AB4C34">
        <w:tab/>
        <w:t>Группа по вопросам предприятий, на которых работают представители различных культур, продолжала мониторинг участвующих в эксперименте о</w:t>
      </w:r>
      <w:r w:rsidRPr="00AB4C34">
        <w:t>р</w:t>
      </w:r>
      <w:r w:rsidRPr="00AB4C34">
        <w:t>ганизаций и оказание им содействия. С этими о</w:t>
      </w:r>
      <w:r w:rsidRPr="00AB4C34">
        <w:t>р</w:t>
      </w:r>
      <w:r w:rsidRPr="00AB4C34">
        <w:t>ганизациями и предприятиями был проведен ряд коллективных совещаний; кроме того, с февраля 2009 года состоялись различные церемонии. Последняя контрольная проверка провод</w:t>
      </w:r>
      <w:r w:rsidRPr="00AB4C34">
        <w:t>и</w:t>
      </w:r>
      <w:r w:rsidRPr="00AB4C34">
        <w:t>лась в мае</w:t>
      </w:r>
      <w:r>
        <w:t>−</w:t>
      </w:r>
      <w:r w:rsidRPr="00AB4C34">
        <w:t>июне 2011 года; с тех пор данный знак больше не использовался, но был вновь упомянут в заявлении правительства от 1 декабря 2011 года в целях его оценки, совершенствования и развития.</w:t>
      </w:r>
    </w:p>
    <w:p w:rsidR="00FA567F" w:rsidRPr="00AB4C34" w:rsidRDefault="00FA567F" w:rsidP="004B4B9D">
      <w:pPr>
        <w:pStyle w:val="H56GR"/>
      </w:pPr>
      <w:r w:rsidRPr="00AB4C34">
        <w:tab/>
      </w:r>
      <w:r w:rsidRPr="00AB4C34">
        <w:tab/>
        <w:t xml:space="preserve">Сеть </w:t>
      </w:r>
      <w:r>
        <w:t>"</w:t>
      </w:r>
      <w:r w:rsidRPr="00AB4C34">
        <w:t>Равенство и разнообразие</w:t>
      </w:r>
      <w:r>
        <w:t>"</w:t>
      </w:r>
    </w:p>
    <w:p w:rsidR="00FA567F" w:rsidRPr="00AB4C34" w:rsidRDefault="00FA567F" w:rsidP="004B4B9D">
      <w:pPr>
        <w:pStyle w:val="SingleTxtGR"/>
      </w:pPr>
      <w:r w:rsidRPr="00AB4C34">
        <w:t>226.</w:t>
      </w:r>
      <w:r w:rsidRPr="00AB4C34">
        <w:tab/>
        <w:t xml:space="preserve">Наряду с проектом присуждения знака </w:t>
      </w:r>
      <w:r>
        <w:t>"</w:t>
      </w:r>
      <w:r w:rsidRPr="00AB4C34">
        <w:t>Равенство и разнообразие</w:t>
      </w:r>
      <w:r>
        <w:t>"</w:t>
      </w:r>
      <w:r w:rsidRPr="00AB4C34">
        <w:t xml:space="preserve"> по инициативе организаций и предприятий, участвующих в этом процессе, была создана аналогичная сеть. Руководство сетью осуществляет Управление занят</w:t>
      </w:r>
      <w:r w:rsidRPr="00AB4C34">
        <w:t>о</w:t>
      </w:r>
      <w:r w:rsidRPr="00AB4C34">
        <w:t>сти ФГС по вопросам занятости, труда и социального партнерства; члены сети неоднократно встречались для обмена опытом и проведения различных темат</w:t>
      </w:r>
      <w:r w:rsidRPr="00AB4C34">
        <w:t>и</w:t>
      </w:r>
      <w:r w:rsidRPr="00AB4C34">
        <w:t>ческих дней. Для вступления в сеть организация или предприятие должны по</w:t>
      </w:r>
      <w:r w:rsidRPr="00AB4C34">
        <w:t>д</w:t>
      </w:r>
      <w:r w:rsidRPr="00AB4C34">
        <w:t>писать устав и пройти процедуру офиц</w:t>
      </w:r>
      <w:r w:rsidRPr="00AB4C34">
        <w:t>и</w:t>
      </w:r>
      <w:r w:rsidRPr="00AB4C34">
        <w:t xml:space="preserve">ального присоединения. </w:t>
      </w:r>
    </w:p>
    <w:p w:rsidR="00FA567F" w:rsidRPr="00AB4C34" w:rsidRDefault="00FA567F" w:rsidP="004B4B9D">
      <w:pPr>
        <w:pStyle w:val="H56GR"/>
      </w:pPr>
      <w:r w:rsidRPr="00AB4C34">
        <w:tab/>
      </w:r>
      <w:r w:rsidRPr="00AB4C34">
        <w:tab/>
        <w:t>Проведение политики разнообразия в системе государственной службы Бельгии</w:t>
      </w:r>
    </w:p>
    <w:p w:rsidR="00FA567F" w:rsidRPr="00AB4C34" w:rsidRDefault="00FA567F" w:rsidP="004B4B9D">
      <w:pPr>
        <w:pStyle w:val="SingleTxtGR"/>
      </w:pPr>
      <w:r w:rsidRPr="00AB4C34">
        <w:t>227.</w:t>
      </w:r>
      <w:r w:rsidRPr="00AB4C34">
        <w:tab/>
        <w:t>Федеральные органы власти Бельгии стремятся открывать перспективы для занятости и карьерного роста в условиях соблюдения равенства возможн</w:t>
      </w:r>
      <w:r w:rsidRPr="00AB4C34">
        <w:t>о</w:t>
      </w:r>
      <w:r w:rsidRPr="00AB4C34">
        <w:t>стей и борьбы против любых форм дискриминации. Для этой цели была выр</w:t>
      </w:r>
      <w:r w:rsidRPr="00AB4C34">
        <w:t>а</w:t>
      </w:r>
      <w:r w:rsidRPr="00AB4C34">
        <w:t>ботана политика обеспечения разнообразия. Конкретными проявлениями этой политики явились принятие Плана действий по укреплению разнообразия на 2005</w:t>
      </w:r>
      <w:r>
        <w:t>−</w:t>
      </w:r>
      <w:r w:rsidRPr="00AB4C34">
        <w:t>2007 годы и создание Группы по вопросам разнообразия в структуре Ка</w:t>
      </w:r>
      <w:r w:rsidRPr="00AB4C34">
        <w:t>д</w:t>
      </w:r>
      <w:r w:rsidRPr="00AB4C34">
        <w:t>рового и организационного управления Федеральной государственной службы (КО ФГС), которой поручено обеспечивать мониторинг этого плана. Меропри</w:t>
      </w:r>
      <w:r w:rsidRPr="00AB4C34">
        <w:t>я</w:t>
      </w:r>
      <w:r w:rsidRPr="00AB4C34">
        <w:t>тия в рамках проведения этой политики проводятся КО ФГС, отделом по в</w:t>
      </w:r>
      <w:r w:rsidRPr="00AB4C34">
        <w:t>о</w:t>
      </w:r>
      <w:r w:rsidRPr="00AB4C34">
        <w:t>просам разнообразия Бюро по отбору сотрудников федеральной администрации (БОСФА) и Институтом подготовки сотрудников административных органов (ИПА). Наряду с этим по инициативе Группы по вопросам разнообразия в гос</w:t>
      </w:r>
      <w:r w:rsidRPr="00AB4C34">
        <w:t>у</w:t>
      </w:r>
      <w:r w:rsidRPr="00AB4C34">
        <w:t>дарственных учреждениях была создана сеть ответственных работников, зан</w:t>
      </w:r>
      <w:r w:rsidRPr="00AB4C34">
        <w:t>и</w:t>
      </w:r>
      <w:r w:rsidRPr="00AB4C34">
        <w:t>мающихся вопросами разнообразия. Основная задача этих посредников – обе</w:t>
      </w:r>
      <w:r w:rsidRPr="00AB4C34">
        <w:t>с</w:t>
      </w:r>
      <w:r w:rsidRPr="00AB4C34">
        <w:t>печивать включение аспектов разнообразия в кадровую политику своих учре</w:t>
      </w:r>
      <w:r w:rsidRPr="00AB4C34">
        <w:t>ж</w:t>
      </w:r>
      <w:r w:rsidRPr="00AB4C34">
        <w:t xml:space="preserve">дений. </w:t>
      </w:r>
    </w:p>
    <w:p w:rsidR="00FA567F" w:rsidRPr="00AB4C34" w:rsidRDefault="00FA567F" w:rsidP="004B4B9D">
      <w:pPr>
        <w:pStyle w:val="SingleTxtGR"/>
      </w:pPr>
      <w:r w:rsidRPr="00AB4C34">
        <w:t>228.</w:t>
      </w:r>
      <w:r w:rsidRPr="00AB4C34">
        <w:tab/>
        <w:t>Политика обеспечения разнообразия в федеральных административных органах является комплексной и вводится во все кадровые процедуры для до</w:t>
      </w:r>
      <w:r w:rsidRPr="00AB4C34">
        <w:t>с</w:t>
      </w:r>
      <w:r w:rsidRPr="00AB4C34">
        <w:t>тижения долговременного эффекта: от подбора сотрудников до управления их карьерным ростом, включая профессиональную подготовку, улучшение условий труда, внутреннюю и внешнюю коммуникацию.</w:t>
      </w:r>
    </w:p>
    <w:p w:rsidR="00FA567F" w:rsidRPr="00AB4C34" w:rsidRDefault="00FA567F" w:rsidP="004B4B9D">
      <w:pPr>
        <w:pStyle w:val="SingleTxtGR"/>
      </w:pPr>
      <w:r w:rsidRPr="00AB4C34">
        <w:t>229.</w:t>
      </w:r>
      <w:r w:rsidRPr="00AB4C34">
        <w:tab/>
        <w:t>Мероприятия, предусмотренные в плане действий, сосредоточены на п</w:t>
      </w:r>
      <w:r w:rsidRPr="00AB4C34">
        <w:t>я</w:t>
      </w:r>
      <w:r w:rsidRPr="00AB4C34">
        <w:t>ти основных направлениях: разъяснительной работе среди руководителей, в</w:t>
      </w:r>
      <w:r w:rsidRPr="00AB4C34">
        <w:t>о</w:t>
      </w:r>
      <w:r w:rsidRPr="00AB4C34">
        <w:t>просах найма и отбора кадров, приеме и интеграции, профессиональной подг</w:t>
      </w:r>
      <w:r w:rsidRPr="00AB4C34">
        <w:t>о</w:t>
      </w:r>
      <w:r w:rsidRPr="00AB4C34">
        <w:t>товке, повышении квалификации и сопровождении начальников кадровых служб и на вопросах разнообразия. По аналогичной схеме составлен и план действий на 2011</w:t>
      </w:r>
      <w:r>
        <w:t>−</w:t>
      </w:r>
      <w:r w:rsidRPr="00AB4C34">
        <w:t>2014 годы.</w:t>
      </w:r>
    </w:p>
    <w:p w:rsidR="00FA567F" w:rsidRPr="00AB4C34" w:rsidRDefault="00FA567F" w:rsidP="004B4B9D">
      <w:pPr>
        <w:pStyle w:val="SingleTxtGR"/>
      </w:pPr>
      <w:r w:rsidRPr="00AB4C34">
        <w:t>230.</w:t>
      </w:r>
      <w:r w:rsidRPr="00AB4C34">
        <w:tab/>
        <w:t>Среди многочисленных мероприятий следует отметить разработанную КО ФГС Хартию разнообразия на государственной службе. Она была подпис</w:t>
      </w:r>
      <w:r w:rsidRPr="00AB4C34">
        <w:t>а</w:t>
      </w:r>
      <w:r w:rsidRPr="00AB4C34">
        <w:t>на руководящими работниками в марте 2006 года в связи с проведением камп</w:t>
      </w:r>
      <w:r w:rsidRPr="00AB4C34">
        <w:t>а</w:t>
      </w:r>
      <w:r w:rsidRPr="00AB4C34">
        <w:t xml:space="preserve">нии под лозунгом </w:t>
      </w:r>
      <w:r>
        <w:t>"</w:t>
      </w:r>
      <w:r w:rsidRPr="00AB4C34">
        <w:t>Разнообразие – наше богатство</w:t>
      </w:r>
      <w:r>
        <w:t>"</w:t>
      </w:r>
      <w:r w:rsidRPr="00AB4C34">
        <w:t>, одной из целей которой я</w:t>
      </w:r>
      <w:r w:rsidRPr="00AB4C34">
        <w:t>в</w:t>
      </w:r>
      <w:r w:rsidRPr="00AB4C34">
        <w:t>лялось распространение информации о государственной службе среди лиц ин</w:t>
      </w:r>
      <w:r w:rsidRPr="00AB4C34">
        <w:t>о</w:t>
      </w:r>
      <w:r w:rsidRPr="00AB4C34">
        <w:t>странного происхождения. Лица, подписавшие эту хартию, обязались искл</w:t>
      </w:r>
      <w:r w:rsidRPr="00AB4C34">
        <w:t>ю</w:t>
      </w:r>
      <w:r w:rsidRPr="00AB4C34">
        <w:t>чать в своих организациях любые формы дискриминации и проводить мер</w:t>
      </w:r>
      <w:r w:rsidRPr="00AB4C34">
        <w:t>о</w:t>
      </w:r>
      <w:r w:rsidRPr="00AB4C34">
        <w:t xml:space="preserve">приятия по развитию разнообразия. </w:t>
      </w:r>
    </w:p>
    <w:p w:rsidR="00FA567F" w:rsidRPr="00AB4C34" w:rsidRDefault="00FA567F" w:rsidP="004B4B9D">
      <w:pPr>
        <w:pStyle w:val="SingleTxtGR"/>
      </w:pPr>
      <w:r w:rsidRPr="00AB4C34">
        <w:t>231.</w:t>
      </w:r>
      <w:r w:rsidRPr="00AB4C34">
        <w:tab/>
        <w:t>Кроме того, используются специальные процедуры найма, направленные на привлечение лиц иностранного происхождения к участию в отборочных ко</w:t>
      </w:r>
      <w:r w:rsidRPr="00AB4C34">
        <w:t>н</w:t>
      </w:r>
      <w:r w:rsidRPr="00AB4C34">
        <w:t xml:space="preserve">курсах. В качестве примера можно привести проект </w:t>
      </w:r>
      <w:r>
        <w:t>"</w:t>
      </w:r>
      <w:r w:rsidRPr="00AB4C34">
        <w:t>Проверим конкурс</w:t>
      </w:r>
      <w:r>
        <w:t>"</w:t>
      </w:r>
      <w:r w:rsidRPr="00AB4C34">
        <w:t>, цель которого – гарантировать культурную нейтральность процедур конкурсного о</w:t>
      </w:r>
      <w:r w:rsidRPr="00AB4C34">
        <w:t>т</w:t>
      </w:r>
      <w:r w:rsidRPr="00AB4C34">
        <w:t xml:space="preserve">бора. </w:t>
      </w:r>
    </w:p>
    <w:p w:rsidR="00FA567F" w:rsidRPr="00AB4C34" w:rsidRDefault="00FA567F" w:rsidP="004B4B9D">
      <w:pPr>
        <w:pStyle w:val="SingleTxtGR"/>
      </w:pPr>
      <w:r w:rsidRPr="00AB4C34">
        <w:t>232.</w:t>
      </w:r>
      <w:r w:rsidRPr="00AB4C34">
        <w:tab/>
        <w:t xml:space="preserve">Для получения общей информации о других мероприятиях, проводимых федеральными административными органами Бельгии в сфере разнообразия, Комитету предлагается ознакомиться с сайтом </w:t>
      </w:r>
      <w:hyperlink r:id="rId9" w:history="1">
        <w:r w:rsidRPr="00CB2AF7">
          <w:rPr>
            <w:rStyle w:val="Hyperlink"/>
            <w:u w:val="none"/>
          </w:rPr>
          <w:t>www.diversite.belgium.be</w:t>
        </w:r>
      </w:hyperlink>
      <w:r w:rsidRPr="00CB2AF7">
        <w:t>, а та</w:t>
      </w:r>
      <w:r w:rsidRPr="00AB4C34">
        <w:t>кже с приложением II.</w:t>
      </w:r>
    </w:p>
    <w:p w:rsidR="00FA567F" w:rsidRPr="00AB4C34" w:rsidRDefault="00FA567F" w:rsidP="004B4B9D">
      <w:pPr>
        <w:pStyle w:val="SingleTxtGR"/>
      </w:pPr>
      <w:r w:rsidRPr="00AB4C34">
        <w:t>233.</w:t>
      </w:r>
      <w:r w:rsidRPr="00AB4C34">
        <w:tab/>
        <w:t>Фламандское сообщество, Брюссельский столичный регион и Франко</w:t>
      </w:r>
      <w:r w:rsidRPr="00AB4C34">
        <w:t>я</w:t>
      </w:r>
      <w:r w:rsidRPr="00AB4C34">
        <w:t>зычное сообщество также приняли планы действий и выработали политику обеспечения разнообразия в своей сфере государс</w:t>
      </w:r>
      <w:r w:rsidRPr="00AB4C34">
        <w:t>т</w:t>
      </w:r>
      <w:r w:rsidRPr="00AB4C34">
        <w:t>венной службы.</w:t>
      </w:r>
    </w:p>
    <w:p w:rsidR="00FA567F" w:rsidRPr="00AB4C34" w:rsidRDefault="00FA567F" w:rsidP="004B4B9D">
      <w:pPr>
        <w:pStyle w:val="H56GR"/>
      </w:pPr>
      <w:r w:rsidRPr="00AB4C34">
        <w:tab/>
      </w:r>
      <w:r w:rsidRPr="00AB4C34">
        <w:tab/>
        <w:t xml:space="preserve">Создание системы социально-экономического мониторинга </w:t>
      </w:r>
    </w:p>
    <w:p w:rsidR="00FA567F" w:rsidRPr="00AB4C34" w:rsidRDefault="00FA567F" w:rsidP="004B4B9D">
      <w:pPr>
        <w:pStyle w:val="SingleTxtGR"/>
      </w:pPr>
      <w:r w:rsidRPr="00AB4C34">
        <w:t>234.</w:t>
      </w:r>
      <w:r w:rsidRPr="00AB4C34">
        <w:tab/>
        <w:t>ФГС по вопросам занятости, труда и социального партнерства участв</w:t>
      </w:r>
      <w:r w:rsidRPr="00AB4C34">
        <w:t>у</w:t>
      </w:r>
      <w:r w:rsidRPr="00AB4C34">
        <w:t>ет</w:t>
      </w:r>
      <w:r w:rsidRPr="002E565C">
        <w:rPr>
          <w:rStyle w:val="FootnoteReference"/>
        </w:rPr>
        <w:footnoteReference w:id="28"/>
      </w:r>
      <w:r w:rsidRPr="00AB4C34">
        <w:t xml:space="preserve"> в проекте, реализуемом по инициативе Центра по обеспечению равных возмо</w:t>
      </w:r>
      <w:r w:rsidRPr="00AB4C34">
        <w:t>ж</w:t>
      </w:r>
      <w:r w:rsidRPr="00AB4C34">
        <w:t>ностей и борьбе с расизмом, цель которого – наладить систему социал</w:t>
      </w:r>
      <w:r w:rsidRPr="00AB4C34">
        <w:t>ь</w:t>
      </w:r>
      <w:r w:rsidRPr="00AB4C34">
        <w:t>но-экономического мониторинга, позволяющего формировать состав рынка труда сообразно национальному происхождению работников. Первые результ</w:t>
      </w:r>
      <w:r w:rsidRPr="00AB4C34">
        <w:t>а</w:t>
      </w:r>
      <w:r w:rsidRPr="00AB4C34">
        <w:t>ты должны быть опубл</w:t>
      </w:r>
      <w:r w:rsidRPr="00AB4C34">
        <w:t>и</w:t>
      </w:r>
      <w:r w:rsidRPr="00AB4C34">
        <w:t xml:space="preserve">кованы в начале 2013 года. </w:t>
      </w:r>
    </w:p>
    <w:p w:rsidR="00FA567F" w:rsidRPr="00AB4C34" w:rsidRDefault="00FA567F" w:rsidP="004B4B9D">
      <w:pPr>
        <w:pStyle w:val="SingleTxtGR"/>
      </w:pPr>
      <w:r w:rsidRPr="00AB4C34">
        <w:t>235.</w:t>
      </w:r>
      <w:r w:rsidRPr="00AB4C34">
        <w:tab/>
        <w:t>С учетом конкретных проблем, с которыми отдельные категории лиц ин</w:t>
      </w:r>
      <w:r w:rsidRPr="00AB4C34">
        <w:t>о</w:t>
      </w:r>
      <w:r w:rsidRPr="00AB4C34">
        <w:t>странного гражданства или происхождения сталкиваются в процессе интегр</w:t>
      </w:r>
      <w:r w:rsidRPr="00AB4C34">
        <w:t>а</w:t>
      </w:r>
      <w:r w:rsidRPr="00AB4C34">
        <w:t>ции на рынке труда, а также трудностей выявления случаев прямой дискрим</w:t>
      </w:r>
      <w:r w:rsidRPr="00AB4C34">
        <w:t>и</w:t>
      </w:r>
      <w:r w:rsidRPr="00AB4C34">
        <w:t>нации, предлагается создать постоянный механизм для сбора и анализа да</w:t>
      </w:r>
      <w:r w:rsidRPr="00AB4C34">
        <w:t>н</w:t>
      </w:r>
      <w:r w:rsidRPr="00AB4C34">
        <w:t>ных о положении лиц иностранного происхождения на рынке труда в зависимости от их предшеству</w:t>
      </w:r>
      <w:r w:rsidRPr="00AB4C34">
        <w:t>ю</w:t>
      </w:r>
      <w:r w:rsidRPr="00AB4C34">
        <w:t xml:space="preserve">щей истории, связанной с гражданством. </w:t>
      </w:r>
    </w:p>
    <w:p w:rsidR="00FA567F" w:rsidRPr="00AB4C34" w:rsidRDefault="00FA567F" w:rsidP="004B4B9D">
      <w:pPr>
        <w:pStyle w:val="SingleTxtGR"/>
      </w:pPr>
      <w:r w:rsidRPr="00AB4C34">
        <w:t>236.</w:t>
      </w:r>
      <w:r w:rsidRPr="00AB4C34">
        <w:tab/>
        <w:t>В основу предлагаемого механизма заложен принцип мониторинга, ос</w:t>
      </w:r>
      <w:r w:rsidRPr="00AB4C34">
        <w:t>у</w:t>
      </w:r>
      <w:r w:rsidRPr="00AB4C34">
        <w:t>ществляемого на базе объективных, анонимных агрегированных данных, пол</w:t>
      </w:r>
      <w:r w:rsidRPr="00AB4C34">
        <w:t>у</w:t>
      </w:r>
      <w:r w:rsidRPr="00AB4C34">
        <w:t>чаемых из какой-либо существующей администр</w:t>
      </w:r>
      <w:r w:rsidRPr="00AB4C34">
        <w:t>а</w:t>
      </w:r>
      <w:r w:rsidRPr="00AB4C34">
        <w:t>тивной базы или баз данных. Таким образом, создаваемый механизм будет сопоставлять так называемые личные данные, касающиеся, в частности, предшествующей истории гражда</w:t>
      </w:r>
      <w:r w:rsidRPr="00AB4C34">
        <w:t>н</w:t>
      </w:r>
      <w:r w:rsidRPr="00AB4C34">
        <w:t>ства лиц, с типовыми социально-экономическими данными (сектор предпр</w:t>
      </w:r>
      <w:r w:rsidRPr="00AB4C34">
        <w:t>и</w:t>
      </w:r>
      <w:r w:rsidRPr="00AB4C34">
        <w:t>ятий, размер предприятия, структура зара</w:t>
      </w:r>
      <w:r>
        <w:t>ботной платы, местонахождение и </w:t>
      </w:r>
      <w:r w:rsidRPr="00AB4C34">
        <w:t>т.п.).</w:t>
      </w:r>
    </w:p>
    <w:p w:rsidR="00FA567F" w:rsidRPr="00AB4C34" w:rsidRDefault="00FA567F" w:rsidP="004B4B9D">
      <w:pPr>
        <w:pStyle w:val="SingleTxtGR"/>
      </w:pPr>
      <w:r w:rsidRPr="00AB4C34">
        <w:t>237.</w:t>
      </w:r>
      <w:r w:rsidRPr="00AB4C34">
        <w:tab/>
        <w:t>Конечной целью исследований данных, собранных системой социально-экономического мониторинга, будет являться анализ и толкование динамики э</w:t>
      </w:r>
      <w:r w:rsidRPr="00AB4C34">
        <w:t>т</w:t>
      </w:r>
      <w:r w:rsidRPr="00AB4C34">
        <w:t>нического состава рынка труда для выработки политики в области разнообразия и равенства возможностей. Этот механизм позволит периодически обновлять информацию, которая необходима для формулирования и оценки государстве</w:t>
      </w:r>
      <w:r w:rsidRPr="00AB4C34">
        <w:t>н</w:t>
      </w:r>
      <w:r w:rsidRPr="00AB4C34">
        <w:t>ной политики и деятельности социальных партнеров в сфере борьбы с дискр</w:t>
      </w:r>
      <w:r w:rsidRPr="00AB4C34">
        <w:t>и</w:t>
      </w:r>
      <w:r w:rsidRPr="00AB4C34">
        <w:t>минацией и поощрения разнообразия.</w:t>
      </w:r>
    </w:p>
    <w:p w:rsidR="00FA567F" w:rsidRPr="00AB4C34" w:rsidRDefault="00FA567F" w:rsidP="004B4B9D">
      <w:pPr>
        <w:pStyle w:val="H56GR"/>
      </w:pPr>
      <w:r w:rsidRPr="00AB4C34">
        <w:tab/>
      </w:r>
      <w:r w:rsidRPr="00AB4C34">
        <w:tab/>
        <w:t xml:space="preserve">Проект </w:t>
      </w:r>
      <w:r>
        <w:t>"</w:t>
      </w:r>
      <w:r w:rsidRPr="00AB4C34">
        <w:t>Барометр разнообразия</w:t>
      </w:r>
      <w:r>
        <w:t>"</w:t>
      </w:r>
    </w:p>
    <w:p w:rsidR="00FA567F" w:rsidRPr="00AB4C34" w:rsidRDefault="00FA567F" w:rsidP="004B4B9D">
      <w:pPr>
        <w:pStyle w:val="SingleTxtGR"/>
      </w:pPr>
      <w:r w:rsidRPr="00AB4C34">
        <w:t>238.</w:t>
      </w:r>
      <w:r w:rsidRPr="00AB4C34">
        <w:tab/>
        <w:t xml:space="preserve">Целью проекта </w:t>
      </w:r>
      <w:r>
        <w:t>"</w:t>
      </w:r>
      <w:r w:rsidRPr="00AB4C34">
        <w:t>Барометр разнообразия</w:t>
      </w:r>
      <w:r>
        <w:t>"</w:t>
      </w:r>
      <w:r w:rsidRPr="00AB4C34">
        <w:t>, руководимого Центром по обеспечению равных возможностей и борьбе с расизмом, является разработка структурного механизма длительного действия, позволяющего проводить нау</w:t>
      </w:r>
      <w:r w:rsidRPr="00AB4C34">
        <w:t>ч</w:t>
      </w:r>
      <w:r w:rsidRPr="00AB4C34">
        <w:t>ный замер поведенческого состояния (уровня дискриминации), проявл</w:t>
      </w:r>
      <w:r w:rsidRPr="00AB4C34">
        <w:t>е</w:t>
      </w:r>
      <w:r w:rsidRPr="00AB4C34">
        <w:t>ний (уровня терпимости) и реального участия (уровня участия) в бельгийском о</w:t>
      </w:r>
      <w:r w:rsidRPr="00AB4C34">
        <w:t>б</w:t>
      </w:r>
      <w:r w:rsidRPr="00AB4C34">
        <w:t>ществе. Результаты и отчеты о замерах такого барометра предназначены в пе</w:t>
      </w:r>
      <w:r w:rsidRPr="00AB4C34">
        <w:t>р</w:t>
      </w:r>
      <w:r w:rsidRPr="00AB4C34">
        <w:t>вую очередь для политических руководителей, а также для социальных партн</w:t>
      </w:r>
      <w:r w:rsidRPr="00AB4C34">
        <w:t>е</w:t>
      </w:r>
      <w:r w:rsidRPr="00AB4C34">
        <w:t>ров, гражданского общества и инстанций наднационального уровня, чтобы обеспечивать соблюдение обязательств в отношении мониторинга и оценки, вытекающих из договоров о правах человека. Этот центр будет регулярно пре</w:t>
      </w:r>
      <w:r w:rsidRPr="00AB4C34">
        <w:t>д</w:t>
      </w:r>
      <w:r w:rsidRPr="00AB4C34">
        <w:t>ставлять отчеты по секторам, которые непосредственно сталкиваются с пр</w:t>
      </w:r>
      <w:r w:rsidRPr="00AB4C34">
        <w:t>о</w:t>
      </w:r>
      <w:r w:rsidRPr="00AB4C34">
        <w:t>блематикой разнообразия, т</w:t>
      </w:r>
      <w:r>
        <w:t>.е.</w:t>
      </w:r>
      <w:r w:rsidRPr="00AB4C34">
        <w:t xml:space="preserve"> по секторам занятости, жилья и образования. Т</w:t>
      </w:r>
      <w:r w:rsidRPr="00AB4C34">
        <w:t>а</w:t>
      </w:r>
      <w:r w:rsidRPr="00AB4C34">
        <w:t>ким образом, каждые два года он будет публиковать показатели барометра по одной из этих трех сфер. Первые замеры барометра, произведенные в секторе занятости, были опубликованы в 2012 году (приложение XII, результаты в о</w:t>
      </w:r>
      <w:r w:rsidRPr="00AB4C34">
        <w:t>б</w:t>
      </w:r>
      <w:r w:rsidRPr="00AB4C34">
        <w:t>ласти проявления дискриминации на основе происхождения). Следующие пок</w:t>
      </w:r>
      <w:r w:rsidRPr="00AB4C34">
        <w:t>а</w:t>
      </w:r>
      <w:r w:rsidRPr="00AB4C34">
        <w:t>затели барометра появятся в 2014 году и будут посвящены проблемам в ж</w:t>
      </w:r>
      <w:r w:rsidRPr="00AB4C34">
        <w:t>и</w:t>
      </w:r>
      <w:r w:rsidRPr="00AB4C34">
        <w:t>лищном секторе. В 2016 году будут опубликованы показатели барометра в сф</w:t>
      </w:r>
      <w:r w:rsidRPr="00AB4C34">
        <w:t>е</w:t>
      </w:r>
      <w:r w:rsidRPr="00AB4C34">
        <w:t>ре образования, а в 2018 году откроется новый измерительный цикл; он начне</w:t>
      </w:r>
      <w:r w:rsidRPr="00AB4C34">
        <w:t>т</w:t>
      </w:r>
      <w:r w:rsidRPr="00AB4C34">
        <w:t>ся со снятия показаний барометра по сектору занятости, что позволит провести сопоставление результатов, полученных с разницей в шесть лет.</w:t>
      </w:r>
    </w:p>
    <w:p w:rsidR="00FA567F" w:rsidRPr="00AB4C34" w:rsidRDefault="00FA567F" w:rsidP="004B4B9D">
      <w:pPr>
        <w:pStyle w:val="H56GR"/>
      </w:pPr>
      <w:r w:rsidRPr="00AB4C34">
        <w:tab/>
      </w:r>
      <w:r w:rsidRPr="00AB4C34">
        <w:tab/>
        <w:t>Коллективные трудовые договоры</w:t>
      </w:r>
    </w:p>
    <w:p w:rsidR="00FA567F" w:rsidRPr="00AB4C34" w:rsidRDefault="00FA567F" w:rsidP="00D32963">
      <w:pPr>
        <w:pStyle w:val="H56GR"/>
        <w:spacing w:before="120"/>
      </w:pPr>
      <w:r>
        <w:tab/>
      </w:r>
      <w:r>
        <w:tab/>
      </w:r>
      <w:r w:rsidRPr="00AB4C34">
        <w:t xml:space="preserve">Коллективный трудовой договор № 38 о найме и отборе работников </w:t>
      </w:r>
    </w:p>
    <w:p w:rsidR="00FA567F" w:rsidRPr="00AB4C34" w:rsidRDefault="00FA567F" w:rsidP="004B4B9D">
      <w:pPr>
        <w:pStyle w:val="SingleTxtGR"/>
      </w:pPr>
      <w:r w:rsidRPr="00AB4C34">
        <w:t>239.</w:t>
      </w:r>
      <w:r w:rsidRPr="00AB4C34">
        <w:tab/>
        <w:t>Коллективный трудовой договор № 38, заключенный в рамках Наци</w:t>
      </w:r>
      <w:r w:rsidRPr="00AB4C34">
        <w:t>о</w:t>
      </w:r>
      <w:r w:rsidRPr="00AB4C34">
        <w:t>нального совета труда, закрепляет принцип равного обращения в ходе процед</w:t>
      </w:r>
      <w:r w:rsidRPr="00AB4C34">
        <w:t>у</w:t>
      </w:r>
      <w:r w:rsidRPr="00AB4C34">
        <w:t>ры найма и отбора работников. Согласно этому принципу, провозглашенному в статье 2-</w:t>
      </w:r>
      <w:r>
        <w:t>бис</w:t>
      </w:r>
      <w:r w:rsidRPr="00AB4C34">
        <w:t xml:space="preserve"> договора, запрещается любое различие в обращении на основе п</w:t>
      </w:r>
      <w:r w:rsidRPr="00AB4C34">
        <w:t>о</w:t>
      </w:r>
      <w:r w:rsidRPr="00AB4C34">
        <w:t>ла, гражданского состояния, перенесенных заболеваний, расы, цвета кожи, э</w:t>
      </w:r>
      <w:r w:rsidRPr="00AB4C34">
        <w:t>т</w:t>
      </w:r>
      <w:r w:rsidRPr="00AB4C34">
        <w:t>нического происхождения или гражданства, возраста, политических или фил</w:t>
      </w:r>
      <w:r w:rsidRPr="00AB4C34">
        <w:t>о</w:t>
      </w:r>
      <w:r w:rsidRPr="00AB4C34">
        <w:t>софских убеждений, членства в профсоюзной или иной организации, сексуал</w:t>
      </w:r>
      <w:r w:rsidRPr="00AB4C34">
        <w:t>ь</w:t>
      </w:r>
      <w:r w:rsidRPr="00AB4C34">
        <w:t>ной ориентации или инвалидности. За нарушение этого принципа предусмо</w:t>
      </w:r>
      <w:r w:rsidRPr="00AB4C34">
        <w:t>т</w:t>
      </w:r>
      <w:r w:rsidRPr="00AB4C34">
        <w:t>рено уголовное наказание. В договор неоднократно вносились изменения; п</w:t>
      </w:r>
      <w:r w:rsidRPr="00AB4C34">
        <w:t>о</w:t>
      </w:r>
      <w:r w:rsidRPr="00AB4C34">
        <w:t>следнее из них было внесено 10 октября 2008 года и касалось включения пр</w:t>
      </w:r>
      <w:r w:rsidRPr="00AB4C34">
        <w:t>а</w:t>
      </w:r>
      <w:r w:rsidRPr="00AB4C34">
        <w:t>вил поведения по обеспечению равного обращения при найме и отборе рабо</w:t>
      </w:r>
      <w:r w:rsidRPr="00AB4C34">
        <w:t>т</w:t>
      </w:r>
      <w:r w:rsidRPr="00AB4C34">
        <w:t xml:space="preserve">ников. </w:t>
      </w:r>
    </w:p>
    <w:p w:rsidR="00FA567F" w:rsidRPr="00AB4C34" w:rsidRDefault="00FA567F" w:rsidP="004B4B9D">
      <w:pPr>
        <w:pStyle w:val="H56GR"/>
      </w:pPr>
      <w:r w:rsidRPr="00AB4C34">
        <w:tab/>
      </w:r>
      <w:r w:rsidRPr="00AB4C34">
        <w:tab/>
        <w:t>Коллективный трудовой договор № 95 о равном обращении на всех этапах трудовых отн</w:t>
      </w:r>
      <w:r w:rsidRPr="00AB4C34">
        <w:t>о</w:t>
      </w:r>
      <w:r w:rsidRPr="00AB4C34">
        <w:t xml:space="preserve">шений </w:t>
      </w:r>
    </w:p>
    <w:p w:rsidR="00FA567F" w:rsidRPr="00AB4C34" w:rsidRDefault="00FA567F" w:rsidP="004B4B9D">
      <w:pPr>
        <w:pStyle w:val="SingleTxtGR"/>
      </w:pPr>
      <w:r w:rsidRPr="00AB4C34">
        <w:t>240.</w:t>
      </w:r>
      <w:r w:rsidRPr="00AB4C34">
        <w:tab/>
        <w:t>Коллективный трудовой договор № 95, заключенный в рамках Наци</w:t>
      </w:r>
      <w:r w:rsidRPr="00AB4C34">
        <w:t>о</w:t>
      </w:r>
      <w:r w:rsidRPr="00AB4C34">
        <w:t>нального совета труда 10 октября 2008 года, направлен на повышение уровня соблюдения принципа равного обращения на всех эт</w:t>
      </w:r>
      <w:r w:rsidRPr="00AB4C34">
        <w:t>а</w:t>
      </w:r>
      <w:r w:rsidRPr="00AB4C34">
        <w:t>пах трудовых отношений. Он был заключен в продолжение обязательства, принятого социальными пар</w:t>
      </w:r>
      <w:r w:rsidRPr="00AB4C34">
        <w:t>т</w:t>
      </w:r>
      <w:r w:rsidRPr="00AB4C34">
        <w:t>нерами в рамках межпрофессионального соглашения 2007</w:t>
      </w:r>
      <w:r>
        <w:t>−</w:t>
      </w:r>
      <w:r w:rsidRPr="00AB4C34">
        <w:t>2008 годов о прин</w:t>
      </w:r>
      <w:r w:rsidRPr="00AB4C34">
        <w:t>я</w:t>
      </w:r>
      <w:r w:rsidRPr="00AB4C34">
        <w:t>тии различных мер по укреплению принципа равного обращения на всех этапах трудовых отношений на межпрофессионал</w:t>
      </w:r>
      <w:r w:rsidRPr="00AB4C34">
        <w:t>ь</w:t>
      </w:r>
      <w:r w:rsidRPr="00AB4C34">
        <w:t>ном уровне, на отраслевом уровне и на уровне предприятия. Этот принцип имеет широкий охват и предназначен для применения в сферах занятости, условий доступа к занятости, условий труда и пол</w:t>
      </w:r>
      <w:r w:rsidRPr="00AB4C34">
        <w:t>о</w:t>
      </w:r>
      <w:r w:rsidRPr="00AB4C34">
        <w:t>жений об увольнении.</w:t>
      </w:r>
    </w:p>
    <w:p w:rsidR="00FA567F" w:rsidRPr="00AB4C34" w:rsidRDefault="00FA567F" w:rsidP="004B4B9D">
      <w:pPr>
        <w:pStyle w:val="SingleTxtGR"/>
      </w:pPr>
      <w:r w:rsidRPr="00AB4C34">
        <w:t>241.</w:t>
      </w:r>
      <w:r w:rsidRPr="00AB4C34">
        <w:tab/>
        <w:t>Коллективный договор запрещает любую дискриминацию на основе во</w:t>
      </w:r>
      <w:r w:rsidRPr="00AB4C34">
        <w:t>з</w:t>
      </w:r>
      <w:r w:rsidRPr="00AB4C34">
        <w:t>раста, пола или сексуальной ориентации, гражданского состояния, перенесе</w:t>
      </w:r>
      <w:r w:rsidRPr="00AB4C34">
        <w:t>н</w:t>
      </w:r>
      <w:r w:rsidRPr="00AB4C34">
        <w:t>ных заболеваний, расы, цвета кожи, родового, национального или этнического происхождения, политических или философских убеждений, инвалидности и членства в профсоюзной или иной организации.</w:t>
      </w:r>
    </w:p>
    <w:p w:rsidR="00FA567F" w:rsidRPr="00AB4C34" w:rsidRDefault="00FA567F" w:rsidP="004B4B9D">
      <w:pPr>
        <w:pStyle w:val="SingleTxtGR"/>
      </w:pPr>
      <w:r w:rsidRPr="00AB4C34">
        <w:t>242.</w:t>
      </w:r>
      <w:r w:rsidRPr="00AB4C34">
        <w:tab/>
        <w:t>Работодатель не вправе проводить различие на основе вышеуказанных критериев, если их применение никак не связано с соответствующей должн</w:t>
      </w:r>
      <w:r w:rsidRPr="00AB4C34">
        <w:t>о</w:t>
      </w:r>
      <w:r w:rsidRPr="00AB4C34">
        <w:t>стью или с профилем предприятия, за исключением случаев, когда ему это ра</w:t>
      </w:r>
      <w:r w:rsidRPr="00AB4C34">
        <w:t>з</w:t>
      </w:r>
      <w:r w:rsidRPr="00AB4C34">
        <w:t xml:space="preserve">решено или предписано законодательными положениями. </w:t>
      </w:r>
    </w:p>
    <w:p w:rsidR="00FA567F" w:rsidRPr="00AB4C34" w:rsidRDefault="00FA567F" w:rsidP="004B4B9D">
      <w:pPr>
        <w:pStyle w:val="H23GR"/>
      </w:pPr>
      <w:r w:rsidRPr="00AB4C34">
        <w:tab/>
        <w:t>2.</w:t>
      </w:r>
      <w:r w:rsidRPr="00AB4C34">
        <w:tab/>
        <w:t>Валлонский регион</w:t>
      </w:r>
    </w:p>
    <w:p w:rsidR="00FA567F" w:rsidRPr="00AB4C34" w:rsidRDefault="00FA567F" w:rsidP="00D32963">
      <w:pPr>
        <w:pStyle w:val="H4GR"/>
        <w:spacing w:before="240"/>
      </w:pPr>
      <w:r w:rsidRPr="00AB4C34">
        <w:tab/>
      </w:r>
      <w:r w:rsidRPr="00AB4C34">
        <w:tab/>
        <w:t>Меры в интересах лиц иностранного происхо</w:t>
      </w:r>
      <w:r>
        <w:t>ждения, принимаемые Валлонией</w:t>
      </w:r>
      <w:r w:rsidR="009579D9">
        <w:br/>
      </w:r>
      <w:r w:rsidR="009579D9">
        <w:tab/>
      </w:r>
      <w:r w:rsidR="009579D9">
        <w:tab/>
      </w:r>
      <w:r>
        <w:t>в </w:t>
      </w:r>
      <w:r w:rsidRPr="00AB4C34">
        <w:t xml:space="preserve">сфере занятости </w:t>
      </w:r>
    </w:p>
    <w:p w:rsidR="00FA567F" w:rsidRPr="00AB4C34" w:rsidRDefault="00FA567F" w:rsidP="004B4B9D">
      <w:pPr>
        <w:pStyle w:val="SingleTxtGR"/>
      </w:pPr>
      <w:r w:rsidRPr="00AB4C34">
        <w:t>243.</w:t>
      </w:r>
      <w:r w:rsidRPr="00AB4C34">
        <w:tab/>
        <w:t>Хотя требование в отношении наличия разрешения на работу создает трудности для лиц, жела</w:t>
      </w:r>
      <w:r w:rsidRPr="00AB4C34">
        <w:t>ю</w:t>
      </w:r>
      <w:r w:rsidRPr="00AB4C34">
        <w:t>щих получить доступ к рынку труда, вместе с тем оно служит гарантией соблюдения их прав как рабо</w:t>
      </w:r>
      <w:r w:rsidRPr="00AB4C34">
        <w:t>т</w:t>
      </w:r>
      <w:r w:rsidRPr="00AB4C34">
        <w:t>ников.</w:t>
      </w:r>
    </w:p>
    <w:p w:rsidR="00FA567F" w:rsidRPr="00AB4C34" w:rsidRDefault="00FA567F" w:rsidP="004B4B9D">
      <w:pPr>
        <w:pStyle w:val="SingleTxtGR"/>
      </w:pPr>
      <w:r w:rsidRPr="00AB4C34">
        <w:t>244.</w:t>
      </w:r>
      <w:r w:rsidRPr="00AB4C34">
        <w:tab/>
        <w:t>В самом деле, Управление занятости и разрешений на работу в рамках проводимого им монит</w:t>
      </w:r>
      <w:r w:rsidRPr="00AB4C34">
        <w:t>о</w:t>
      </w:r>
      <w:r w:rsidRPr="00AB4C34">
        <w:t>ринга обеспечивает соблюдение положений и прав лиц, касающихся прежде всего, но не исключительно их статуса лиц наемного труда. С этой целью оно тесно сотрудничает с Управлением социальной инспекции. Кроме того, в рамках проведения политики в сфере занятости налажено вза</w:t>
      </w:r>
      <w:r w:rsidRPr="00AB4C34">
        <w:t>и</w:t>
      </w:r>
      <w:r w:rsidRPr="00AB4C34">
        <w:t>модействие с ВГСЗ по ряду направлений служебной деятельности.</w:t>
      </w:r>
    </w:p>
    <w:p w:rsidR="00FA567F" w:rsidRPr="00AB4C34" w:rsidRDefault="00FA567F" w:rsidP="004B4B9D">
      <w:pPr>
        <w:pStyle w:val="SingleTxtGR"/>
      </w:pPr>
      <w:r w:rsidRPr="00AB4C34">
        <w:t>245.</w:t>
      </w:r>
      <w:r w:rsidRPr="00AB4C34">
        <w:tab/>
        <w:t>Примерно раз в месяц Управление занятости и разрешений на работу принимает участие в ра</w:t>
      </w:r>
      <w:r w:rsidRPr="00AB4C34">
        <w:t>з</w:t>
      </w:r>
      <w:r w:rsidRPr="00AB4C34">
        <w:t>личных информационных или учебных собраниях, проводимых, как правило, по просьбе самих внешних субъектов отношений.</w:t>
      </w:r>
    </w:p>
    <w:p w:rsidR="00FA567F" w:rsidRPr="00AB4C34" w:rsidRDefault="00FA567F" w:rsidP="00D32963">
      <w:pPr>
        <w:pStyle w:val="H4GR"/>
        <w:spacing w:before="240"/>
      </w:pPr>
      <w:r w:rsidRPr="00AB4C34">
        <w:tab/>
      </w:r>
      <w:r w:rsidRPr="00AB4C34">
        <w:tab/>
        <w:t>Меры, принимаемые в сфере занятости и профессионального об</w:t>
      </w:r>
      <w:r w:rsidRPr="00AB4C34">
        <w:t>у</w:t>
      </w:r>
      <w:r w:rsidRPr="00AB4C34">
        <w:t xml:space="preserve">чения </w:t>
      </w:r>
    </w:p>
    <w:p w:rsidR="00FA567F" w:rsidRPr="00AB4C34" w:rsidRDefault="00FA567F" w:rsidP="004B4B9D">
      <w:pPr>
        <w:pStyle w:val="SingleTxtGR"/>
      </w:pPr>
      <w:r w:rsidRPr="00AB4C34">
        <w:t>246.</w:t>
      </w:r>
      <w:r w:rsidRPr="00AB4C34">
        <w:tab/>
        <w:t>В декабре 2009 года Валлонская государственная служба занятости и профессионального обуч</w:t>
      </w:r>
      <w:r w:rsidRPr="00AB4C34">
        <w:t>е</w:t>
      </w:r>
      <w:r w:rsidRPr="00AB4C34">
        <w:t>ния (ВГСЗ) приступила к реализации проекта МОДА (Порядок подачи заявок на обеспечение адаптации/доступа). Он касается д</w:t>
      </w:r>
      <w:r w:rsidRPr="00AB4C34">
        <w:t>о</w:t>
      </w:r>
      <w:r w:rsidRPr="00AB4C34">
        <w:t>бавления в нижней части извещения для соискателей работы формулировки, с</w:t>
      </w:r>
      <w:r w:rsidRPr="00AB4C34">
        <w:t>о</w:t>
      </w:r>
      <w:r w:rsidRPr="00AB4C34">
        <w:t>гласно которой им предлагается обратиться в ВГСЗ и заполнить формуляр с указанием информации о том, имеют ли они инвалидность и испытывают ли трудности с пониманием французского языка. Сотрудники Службы по вопросам равенства и разнообразия ВГСЗ, которым поручено отслеживать з</w:t>
      </w:r>
      <w:r w:rsidRPr="00AB4C34">
        <w:t>а</w:t>
      </w:r>
      <w:r w:rsidRPr="00AB4C34">
        <w:t>просы об оказании помощи, связываются с соискателями работы сразу после принятия мер по адаптации или изменению, позволяющих им получить услугу, соотве</w:t>
      </w:r>
      <w:r w:rsidRPr="00AB4C34">
        <w:t>т</w:t>
      </w:r>
      <w:r w:rsidRPr="00AB4C34">
        <w:t xml:space="preserve">ствующую их запросу. </w:t>
      </w:r>
    </w:p>
    <w:p w:rsidR="00FA567F" w:rsidRPr="00AB4C34" w:rsidRDefault="00FA567F" w:rsidP="004B4B9D">
      <w:pPr>
        <w:pStyle w:val="SingleTxtGR"/>
      </w:pPr>
      <w:r w:rsidRPr="00AB4C34">
        <w:t>247.</w:t>
      </w:r>
      <w:r w:rsidRPr="00AB4C34">
        <w:tab/>
        <w:t>Следует отметить, что после начала реализации данного проекта пост</w:t>
      </w:r>
      <w:r w:rsidRPr="00AB4C34">
        <w:t>у</w:t>
      </w:r>
      <w:r w:rsidRPr="00AB4C34">
        <w:t>пают и другие запросы, например просьбы о переводе заявок на регистрацию или повторную регистрацию соискателей работы.</w:t>
      </w:r>
    </w:p>
    <w:p w:rsidR="00FA567F" w:rsidRPr="00AB4C34" w:rsidRDefault="00FA567F" w:rsidP="004B4B9D">
      <w:pPr>
        <w:pStyle w:val="H56GR"/>
      </w:pPr>
      <w:r w:rsidRPr="00AB4C34">
        <w:tab/>
      </w:r>
      <w:r w:rsidRPr="00AB4C34">
        <w:tab/>
        <w:t>Меры, принимаемые совместно с региональными центрами инт</w:t>
      </w:r>
      <w:r w:rsidRPr="00AB4C34">
        <w:t>е</w:t>
      </w:r>
      <w:r w:rsidRPr="00AB4C34">
        <w:t>грации (РЦИ)</w:t>
      </w:r>
    </w:p>
    <w:p w:rsidR="00FA567F" w:rsidRPr="00AB4C34" w:rsidRDefault="00FA567F" w:rsidP="004B4B9D">
      <w:pPr>
        <w:pStyle w:val="SingleTxtGR"/>
      </w:pPr>
      <w:r w:rsidRPr="00AB4C34">
        <w:t>248.</w:t>
      </w:r>
      <w:r w:rsidRPr="00AB4C34">
        <w:tab/>
        <w:t>В октябре 2010 года Региональное управление ВГСЗ в Вервье, участвуя в Неделе занятости, пре</w:t>
      </w:r>
      <w:r w:rsidRPr="00AB4C34">
        <w:t>д</w:t>
      </w:r>
      <w:r w:rsidRPr="00AB4C34">
        <w:t>ставило в ходе завтрака с работодателями агитационный сюжет на тему разнообразия.</w:t>
      </w:r>
    </w:p>
    <w:p w:rsidR="00FA567F" w:rsidRPr="00AB4C34" w:rsidRDefault="00FA567F" w:rsidP="004B4B9D">
      <w:pPr>
        <w:pStyle w:val="SingleTxtGR"/>
      </w:pPr>
      <w:r w:rsidRPr="00AB4C34">
        <w:t>249.</w:t>
      </w:r>
      <w:r w:rsidRPr="00AB4C34">
        <w:tab/>
        <w:t>ВГСЗ и Центр по трудоустройству посредством подготовки (Льеж) с</w:t>
      </w:r>
      <w:r w:rsidRPr="00AB4C34">
        <w:t>о</w:t>
      </w:r>
      <w:r w:rsidRPr="00AB4C34">
        <w:t>вместными усилиями реализует проект по созданию Специального механизма социально-профессиональной интеграции мигрантов (СМИМ), разработанного Региональным центром интеграции иностранцев или лиц иностранного прои</w:t>
      </w:r>
      <w:r w:rsidRPr="00AB4C34">
        <w:t>с</w:t>
      </w:r>
      <w:r w:rsidRPr="00AB4C34">
        <w:t>хождения Льежа в партнерстве с другими органами. Цель этого проекта – ра</w:t>
      </w:r>
      <w:r w:rsidRPr="00AB4C34">
        <w:t>с</w:t>
      </w:r>
      <w:r w:rsidRPr="00AB4C34">
        <w:t>ширить перспективы трудоустройства и интеграции лиц иностранного гра</w:t>
      </w:r>
      <w:r w:rsidRPr="00AB4C34">
        <w:t>ж</w:t>
      </w:r>
      <w:r w:rsidRPr="00AB4C34">
        <w:t>данства или происхождения, проживающих на территории Льежа. Для этого проект обеспечивает им специальные услуги, предоставляемые в соглас</w:t>
      </w:r>
      <w:r w:rsidRPr="00AB4C34">
        <w:t>о</w:t>
      </w:r>
      <w:r w:rsidRPr="00AB4C34">
        <w:t>ванной системе дополнительных субъектов, и способствует коммуникации между ко</w:t>
      </w:r>
      <w:r w:rsidRPr="00AB4C34">
        <w:t>н</w:t>
      </w:r>
      <w:r w:rsidRPr="00AB4C34">
        <w:t>сультантами, социальными помощниками или другими сотрудниками предста</w:t>
      </w:r>
      <w:r w:rsidRPr="00AB4C34">
        <w:t>в</w:t>
      </w:r>
      <w:r w:rsidRPr="00AB4C34">
        <w:t>ленных в проекте учреждений. Наряду с этим в рамках проекта предприним</w:t>
      </w:r>
      <w:r w:rsidRPr="00AB4C34">
        <w:t>а</w:t>
      </w:r>
      <w:r w:rsidRPr="00AB4C34">
        <w:t>ются усилия по содействию иммигрантам в пр</w:t>
      </w:r>
      <w:r w:rsidR="009579D9">
        <w:t xml:space="preserve">охождении процедур, связанных c </w:t>
      </w:r>
      <w:r w:rsidRPr="00AB4C34">
        <w:t>теми или иными административным органами или ассоциативными служб</w:t>
      </w:r>
      <w:r w:rsidRPr="00AB4C34">
        <w:t>а</w:t>
      </w:r>
      <w:r w:rsidRPr="00AB4C34">
        <w:t xml:space="preserve">ми. </w:t>
      </w:r>
    </w:p>
    <w:p w:rsidR="00FA567F" w:rsidRPr="00AB4C34" w:rsidRDefault="00FA567F" w:rsidP="004B4B9D">
      <w:pPr>
        <w:pStyle w:val="SingleTxtGR"/>
      </w:pPr>
      <w:r w:rsidRPr="00AB4C34">
        <w:t>250.</w:t>
      </w:r>
      <w:r w:rsidRPr="00AB4C34">
        <w:tab/>
        <w:t>В большинстве РЦИ с 2007 года получила развитие служба сопровожд</w:t>
      </w:r>
      <w:r w:rsidRPr="00AB4C34">
        <w:t>е</w:t>
      </w:r>
      <w:r w:rsidRPr="00AB4C34">
        <w:t>ния социально-профессиональной интеграции мигрантов, функционирующая благодаря финансированию из средств Европейского фонда социальной пом</w:t>
      </w:r>
      <w:r w:rsidRPr="00AB4C34">
        <w:t>о</w:t>
      </w:r>
      <w:r w:rsidRPr="00AB4C34">
        <w:t>щи мигрантам.</w:t>
      </w:r>
    </w:p>
    <w:p w:rsidR="00FA567F" w:rsidRPr="00AB4C34" w:rsidRDefault="00FA567F" w:rsidP="004B4B9D">
      <w:pPr>
        <w:pStyle w:val="H23GR"/>
      </w:pPr>
      <w:r w:rsidRPr="00AB4C34">
        <w:tab/>
        <w:t>3.</w:t>
      </w:r>
      <w:r w:rsidRPr="00AB4C34">
        <w:tab/>
        <w:t>Брюссельский столичный регион</w:t>
      </w:r>
    </w:p>
    <w:p w:rsidR="00FA567F" w:rsidRPr="00AB4C34" w:rsidRDefault="00FA567F" w:rsidP="004B4B9D">
      <w:pPr>
        <w:pStyle w:val="SingleTxtGR"/>
      </w:pPr>
      <w:r w:rsidRPr="00AB4C34">
        <w:t>251.</w:t>
      </w:r>
      <w:r w:rsidRPr="00AB4C34">
        <w:tab/>
        <w:t xml:space="preserve">Что касается сферы профессионального </w:t>
      </w:r>
      <w:r>
        <w:t>обучения, то в ней Указом от 22 </w:t>
      </w:r>
      <w:r w:rsidRPr="00AB4C34">
        <w:t>марта 2007 года о равном обращении с лицами в сфере профессионального обучения (</w:t>
      </w:r>
      <w:r>
        <w:t>"</w:t>
      </w:r>
      <w:r w:rsidRPr="00AB4C34">
        <w:t>М.Б.</w:t>
      </w:r>
      <w:r>
        <w:t>"</w:t>
      </w:r>
      <w:r w:rsidRPr="00AB4C34">
        <w:t xml:space="preserve"> от 24 января 2008 года) была произведена инкорпорация цел</w:t>
      </w:r>
      <w:r w:rsidRPr="00AB4C34">
        <w:t>о</w:t>
      </w:r>
      <w:r w:rsidRPr="00AB4C34">
        <w:t>го ряда европейских директив, включая Ди</w:t>
      </w:r>
      <w:r>
        <w:t>рективу 2000/43/CE Совета от 29 </w:t>
      </w:r>
      <w:r w:rsidRPr="00AB4C34">
        <w:t>июня 2000 года об осуществлении принципа равного обращения с лицами без различия на основе расы или этнического происхождения. Действие этого принципа распространяется на каждое лицо, занимающееся на том или ином уровне вопросами профессиональной ориентации, профессионального обуч</w:t>
      </w:r>
      <w:r w:rsidRPr="00AB4C34">
        <w:t>е</w:t>
      </w:r>
      <w:r w:rsidRPr="00AB4C34">
        <w:t>ния, ученичества, повышения квалификации или переквалификации в рамках всего комплекса органов профессионального обучения Комиссии франкоязы</w:t>
      </w:r>
      <w:r w:rsidRPr="00AB4C34">
        <w:t>ч</w:t>
      </w:r>
      <w:r w:rsidRPr="00AB4C34">
        <w:t>ного сообщества (</w:t>
      </w:r>
      <w:r>
        <w:t>"</w:t>
      </w:r>
      <w:r w:rsidRPr="00AB4C34">
        <w:t>Брюссель-подготовка</w:t>
      </w:r>
      <w:r>
        <w:t>"</w:t>
      </w:r>
      <w:r w:rsidRPr="00AB4C34">
        <w:t xml:space="preserve">), уполномоченных центров, органов социально-профессиональной интеграции и центров непрерывной подготовки для средних классов и для малых и средних предприятий. </w:t>
      </w:r>
    </w:p>
    <w:p w:rsidR="00FA567F" w:rsidRPr="00AB4C34" w:rsidRDefault="00FA567F" w:rsidP="004B4B9D">
      <w:pPr>
        <w:pStyle w:val="SingleTxtGR"/>
      </w:pPr>
      <w:r w:rsidRPr="00AB4C34">
        <w:t>252.</w:t>
      </w:r>
      <w:r w:rsidRPr="00AB4C34">
        <w:tab/>
        <w:t>Постановление правительства Брюссе</w:t>
      </w:r>
      <w:r>
        <w:t>льского столичного региона от 7 </w:t>
      </w:r>
      <w:r w:rsidRPr="00AB4C34">
        <w:t xml:space="preserve">мая 2009 года о плане работы в сфере разнообразия и присуждении знака </w:t>
      </w:r>
      <w:r>
        <w:t>"</w:t>
      </w:r>
      <w:r w:rsidRPr="00AB4C34">
        <w:t>Разнообразие</w:t>
      </w:r>
      <w:r>
        <w:t>"</w:t>
      </w:r>
      <w:r w:rsidR="009579D9">
        <w:t xml:space="preserve"> в свою очередь</w:t>
      </w:r>
      <w:r w:rsidRPr="00AB4C34">
        <w:t xml:space="preserve"> касается шести целевых групп, которым удел</w:t>
      </w:r>
      <w:r w:rsidRPr="00AB4C34">
        <w:t>я</w:t>
      </w:r>
      <w:r w:rsidRPr="00AB4C34">
        <w:t>ется ос</w:t>
      </w:r>
      <w:r w:rsidRPr="00AB4C34">
        <w:t>о</w:t>
      </w:r>
      <w:r w:rsidRPr="00AB4C34">
        <w:t>бое внимание в планах мероприятий по развитию разнообразия на предприятиях, включая работников иностранного происхождения. В каждом плане должны содержаться цифровые прогнозы и порядок действий в интер</w:t>
      </w:r>
      <w:r w:rsidRPr="00AB4C34">
        <w:t>е</w:t>
      </w:r>
      <w:r w:rsidRPr="00AB4C34">
        <w:t>сах каждой из целевых групп. Деятельность предприятий в этом направлении осущес</w:t>
      </w:r>
      <w:r w:rsidRPr="00AB4C34">
        <w:t>т</w:t>
      </w:r>
      <w:r w:rsidRPr="00AB4C34">
        <w:t>вляется на добровольной основе и поощряется путем премирования, а в конечном счете при выполнении поставленных целей по истечении двух лет – путем присвоения знака. За период после принятия данного постановления б</w:t>
      </w:r>
      <w:r w:rsidRPr="00AB4C34">
        <w:t>ы</w:t>
      </w:r>
      <w:r w:rsidRPr="00AB4C34">
        <w:t>ло пр</w:t>
      </w:r>
      <w:r w:rsidRPr="00AB4C34">
        <w:t>и</w:t>
      </w:r>
      <w:r w:rsidRPr="00AB4C34">
        <w:t xml:space="preserve">суждено 19 знаков. </w:t>
      </w:r>
    </w:p>
    <w:p w:rsidR="00FA567F" w:rsidRPr="00AB4C34" w:rsidRDefault="00FA567F" w:rsidP="004B4B9D">
      <w:pPr>
        <w:pStyle w:val="H23GR"/>
      </w:pPr>
      <w:r w:rsidRPr="00AB4C34">
        <w:tab/>
        <w:t>4.</w:t>
      </w:r>
      <w:r w:rsidRPr="00AB4C34">
        <w:tab/>
        <w:t xml:space="preserve">Фламандское сообщество </w:t>
      </w:r>
    </w:p>
    <w:p w:rsidR="00FA567F" w:rsidRPr="00AB4C34" w:rsidRDefault="00FA567F" w:rsidP="004B4B9D">
      <w:pPr>
        <w:pStyle w:val="SingleTxtGR"/>
      </w:pPr>
      <w:r w:rsidRPr="00AB4C34">
        <w:t>253.</w:t>
      </w:r>
      <w:r w:rsidRPr="00AB4C34">
        <w:tab/>
        <w:t>Фландрия продолжала и наращивала свою политику активизации пр</w:t>
      </w:r>
      <w:r w:rsidRPr="00AB4C34">
        <w:t>о</w:t>
      </w:r>
      <w:r w:rsidRPr="00AB4C34">
        <w:t>порционального участия и разнообразия на рынке труда (далее – политика ЕАД). Она включает меры побуждения к проведению политики разнообразия на предприятиях, в организациях и местных адми</w:t>
      </w:r>
      <w:r>
        <w:t>нистративных органах, а ее цель </w:t>
      </w:r>
      <w:r w:rsidRPr="00AB4C34">
        <w:t>– стимулировать выход групп риска на рынок труда. Выработка, координ</w:t>
      </w:r>
      <w:r w:rsidRPr="00AB4C34">
        <w:t>а</w:t>
      </w:r>
      <w:r w:rsidRPr="00AB4C34">
        <w:t>ция и осуществление такой политики возложены на Департамент труда и соц</w:t>
      </w:r>
      <w:r w:rsidRPr="00AB4C34">
        <w:t>и</w:t>
      </w:r>
      <w:r w:rsidRPr="00AB4C34">
        <w:t xml:space="preserve">ального обеспечения Фландрии. </w:t>
      </w:r>
    </w:p>
    <w:p w:rsidR="00FA567F" w:rsidRPr="00AB4C34" w:rsidRDefault="00FA567F" w:rsidP="004B4B9D">
      <w:pPr>
        <w:pStyle w:val="SingleTxtGR"/>
      </w:pPr>
      <w:r w:rsidRPr="00AB4C34">
        <w:t>254.</w:t>
      </w:r>
      <w:r w:rsidRPr="00AB4C34">
        <w:tab/>
        <w:t>Политика ЕАД проводится фламандским правительством, социальными партнерами и организациями, представляющими группы риска. Эти партнеры принимают участие не только в ее разработке, но и в ее проведении в жизнь. Трем группам риска, которые отличаются низким уровнем занятости и высок</w:t>
      </w:r>
      <w:r w:rsidRPr="00AB4C34">
        <w:t>и</w:t>
      </w:r>
      <w:r w:rsidRPr="00AB4C34">
        <w:t>ми показателями безработицы, уделяется особое внимание: работникам пож</w:t>
      </w:r>
      <w:r w:rsidRPr="00AB4C34">
        <w:t>и</w:t>
      </w:r>
      <w:r w:rsidRPr="00AB4C34">
        <w:t>лого возраста, лицам с профессиональным увечьем и лицам иностранного пр</w:t>
      </w:r>
      <w:r w:rsidRPr="00AB4C34">
        <w:t>о</w:t>
      </w:r>
      <w:r w:rsidRPr="00AB4C34">
        <w:t>исхождения. Кроме того, все мероприятия в русле этой политики предусматр</w:t>
      </w:r>
      <w:r w:rsidRPr="00AB4C34">
        <w:t>и</w:t>
      </w:r>
      <w:r w:rsidRPr="00AB4C34">
        <w:t>вают повышение уровня равноправия полов.</w:t>
      </w:r>
    </w:p>
    <w:p w:rsidR="00FA567F" w:rsidRPr="00AB4C34" w:rsidRDefault="00FA567F" w:rsidP="004B4B9D">
      <w:pPr>
        <w:pStyle w:val="SingleTxtGR"/>
      </w:pPr>
      <w:r w:rsidRPr="00AB4C34">
        <w:t>255.</w:t>
      </w:r>
      <w:r w:rsidRPr="00AB4C34">
        <w:tab/>
        <w:t>Основными инструментами проведения политики ЕАД являются:</w:t>
      </w:r>
    </w:p>
    <w:p w:rsidR="00FA567F" w:rsidRPr="00AB4C34" w:rsidRDefault="00FA567F" w:rsidP="004B4B9D">
      <w:pPr>
        <w:pStyle w:val="Bullet1GR"/>
        <w:numPr>
          <w:ilvl w:val="0"/>
          <w:numId w:val="1"/>
        </w:numPr>
      </w:pPr>
      <w:r w:rsidRPr="00AB4C34">
        <w:t>планы в области разнообразия: предприятия, организации и местные а</w:t>
      </w:r>
      <w:r w:rsidRPr="00AB4C34">
        <w:t>д</w:t>
      </w:r>
      <w:r w:rsidRPr="00AB4C34">
        <w:t>министративные органы могут на определенных условиях получить су</w:t>
      </w:r>
      <w:r w:rsidRPr="00AB4C34">
        <w:t>б</w:t>
      </w:r>
      <w:r w:rsidRPr="00AB4C34">
        <w:t>сидию на разработку, программирование и реализацию плана в области разнообразия;</w:t>
      </w:r>
    </w:p>
    <w:p w:rsidR="00FA567F" w:rsidRPr="00AB4C34" w:rsidRDefault="00FA567F" w:rsidP="004B4B9D">
      <w:pPr>
        <w:pStyle w:val="Bullet1GR"/>
        <w:numPr>
          <w:ilvl w:val="0"/>
          <w:numId w:val="1"/>
        </w:numPr>
      </w:pPr>
      <w:r w:rsidRPr="00AB4C34">
        <w:t>структурные проекты ЕАД: для социальных партнеров и организаций, представляющих группы риска;</w:t>
      </w:r>
    </w:p>
    <w:p w:rsidR="00FA567F" w:rsidRPr="00AB4C34" w:rsidRDefault="00FA567F" w:rsidP="004B4B9D">
      <w:pPr>
        <w:pStyle w:val="Bullet1GR"/>
        <w:numPr>
          <w:ilvl w:val="0"/>
          <w:numId w:val="1"/>
        </w:numPr>
      </w:pPr>
      <w:r w:rsidRPr="00AB4C34">
        <w:t>проекты в области разнообразия: они сосредоточены на разработке инс</w:t>
      </w:r>
      <w:r w:rsidRPr="00AB4C34">
        <w:t>т</w:t>
      </w:r>
      <w:r w:rsidRPr="00AB4C34">
        <w:t>рументов и методологий, обм</w:t>
      </w:r>
      <w:r w:rsidRPr="00AB4C34">
        <w:t>е</w:t>
      </w:r>
      <w:r w:rsidRPr="00AB4C34">
        <w:t>не опытом при уделении особого внимания отдельным группам внутри групп риска.</w:t>
      </w:r>
    </w:p>
    <w:p w:rsidR="00FA567F" w:rsidRPr="00AB4C34" w:rsidRDefault="00FA567F" w:rsidP="004B4B9D">
      <w:pPr>
        <w:pStyle w:val="SingleTxtGR"/>
      </w:pPr>
      <w:r w:rsidRPr="00AB4C34">
        <w:t>256.</w:t>
      </w:r>
      <w:r w:rsidRPr="00AB4C34">
        <w:tab/>
        <w:t>В рамках планов в области разнообразия как минимум одной из групп риска должно уделяться особо внимание, которое выражается в формулиров</w:t>
      </w:r>
      <w:r w:rsidRPr="00AB4C34">
        <w:t>а</w:t>
      </w:r>
      <w:r w:rsidRPr="00AB4C34">
        <w:t>нии количественных целевых показателей в отношении найма, продвижения, сохранения в штате и профессиональной подготовки.</w:t>
      </w:r>
    </w:p>
    <w:p w:rsidR="00FA567F" w:rsidRPr="00AB4C34" w:rsidRDefault="00FA567F" w:rsidP="004B4B9D">
      <w:pPr>
        <w:pStyle w:val="SingleTxtGR"/>
      </w:pPr>
      <w:r w:rsidRPr="00AB4C34">
        <w:t>257.</w:t>
      </w:r>
      <w:r w:rsidRPr="00AB4C34">
        <w:tab/>
        <w:t>Эти количественные целевые показатели на период 2006</w:t>
      </w:r>
      <w:r>
        <w:t>−</w:t>
      </w:r>
      <w:r w:rsidRPr="00AB4C34">
        <w:t>2011 годов, с</w:t>
      </w:r>
      <w:r w:rsidRPr="00AB4C34">
        <w:t>о</w:t>
      </w:r>
      <w:r w:rsidRPr="00AB4C34">
        <w:t xml:space="preserve">ответствующие группе риска, в которую входят лица </w:t>
      </w:r>
      <w:r>
        <w:t>"</w:t>
      </w:r>
      <w:r w:rsidRPr="00AB4C34">
        <w:t>неместного происхожд</w:t>
      </w:r>
      <w:r w:rsidRPr="00AB4C34">
        <w:t>е</w:t>
      </w:r>
      <w:r w:rsidRPr="00AB4C34">
        <w:t>ния</w:t>
      </w:r>
      <w:r>
        <w:t>"</w:t>
      </w:r>
      <w:r w:rsidRPr="00AB4C34">
        <w:t>, приведены в таблице ниже.</w:t>
      </w:r>
    </w:p>
    <w:tbl>
      <w:tblPr>
        <w:tblStyle w:val="TabNum"/>
        <w:tblW w:w="7370" w:type="dxa"/>
        <w:tblInd w:w="1134" w:type="dxa"/>
        <w:tblLayout w:type="fixed"/>
        <w:tblLook w:val="01E0"/>
      </w:tblPr>
      <w:tblGrid>
        <w:gridCol w:w="2282"/>
        <w:gridCol w:w="675"/>
        <w:gridCol w:w="883"/>
        <w:gridCol w:w="882"/>
        <w:gridCol w:w="883"/>
        <w:gridCol w:w="882"/>
        <w:gridCol w:w="883"/>
      </w:tblGrid>
      <w:tr w:rsidR="00FA567F" w:rsidRPr="002E565C" w:rsidTr="0030134D">
        <w:trPr>
          <w:trHeight w:val="300"/>
          <w:tblHeader/>
        </w:trPr>
        <w:tc>
          <w:tcPr>
            <w:cnfStyle w:val="001000000000"/>
            <w:tcW w:w="2282" w:type="dxa"/>
            <w:tcBorders>
              <w:bottom w:val="single" w:sz="12" w:space="0" w:color="auto"/>
            </w:tcBorders>
            <w:shd w:val="clear" w:color="auto" w:fill="auto"/>
            <w:noWrap/>
          </w:tcPr>
          <w:p w:rsidR="00FA567F" w:rsidRPr="002E565C" w:rsidRDefault="00FA567F" w:rsidP="004B4B9D">
            <w:pPr>
              <w:spacing w:before="80" w:after="80" w:line="200" w:lineRule="exact"/>
              <w:rPr>
                <w:i/>
                <w:sz w:val="16"/>
              </w:rPr>
            </w:pPr>
            <w:r w:rsidRPr="002E565C">
              <w:rPr>
                <w:i/>
                <w:sz w:val="16"/>
              </w:rPr>
              <w:t>Количественные цел</w:t>
            </w:r>
            <w:r w:rsidRPr="002E565C">
              <w:rPr>
                <w:i/>
                <w:sz w:val="16"/>
              </w:rPr>
              <w:t>е</w:t>
            </w:r>
            <w:r w:rsidRPr="002E565C">
              <w:rPr>
                <w:i/>
                <w:sz w:val="16"/>
              </w:rPr>
              <w:t>вые показатели, каса</w:t>
            </w:r>
            <w:r w:rsidRPr="002E565C">
              <w:rPr>
                <w:i/>
                <w:sz w:val="16"/>
              </w:rPr>
              <w:t>ю</w:t>
            </w:r>
            <w:r w:rsidRPr="002E565C">
              <w:rPr>
                <w:i/>
                <w:sz w:val="16"/>
              </w:rPr>
              <w:t xml:space="preserve">щиеся лиц </w:t>
            </w:r>
            <w:r>
              <w:rPr>
                <w:i/>
                <w:sz w:val="16"/>
              </w:rPr>
              <w:t>"</w:t>
            </w:r>
            <w:r w:rsidRPr="002E565C">
              <w:rPr>
                <w:i/>
                <w:sz w:val="16"/>
              </w:rPr>
              <w:t>неместного происх</w:t>
            </w:r>
            <w:r w:rsidRPr="002E565C">
              <w:rPr>
                <w:i/>
                <w:sz w:val="16"/>
              </w:rPr>
              <w:t>о</w:t>
            </w:r>
            <w:r w:rsidRPr="002E565C">
              <w:rPr>
                <w:i/>
                <w:sz w:val="16"/>
              </w:rPr>
              <w:t>ждения</w:t>
            </w:r>
            <w:r>
              <w:rPr>
                <w:i/>
                <w:sz w:val="16"/>
              </w:rPr>
              <w:t>"</w:t>
            </w:r>
          </w:p>
        </w:tc>
        <w:tc>
          <w:tcPr>
            <w:tcW w:w="675" w:type="dxa"/>
            <w:tcBorders>
              <w:top w:val="single" w:sz="4" w:space="0" w:color="auto"/>
              <w:bottom w:val="single" w:sz="12" w:space="0" w:color="auto"/>
            </w:tcBorders>
            <w:shd w:val="clear" w:color="auto" w:fill="auto"/>
            <w:noWrap/>
          </w:tcPr>
          <w:p w:rsidR="00FA567F" w:rsidRPr="002E565C" w:rsidRDefault="00FA567F" w:rsidP="004B4B9D">
            <w:pPr>
              <w:spacing w:before="80" w:after="80" w:line="200" w:lineRule="exact"/>
              <w:cnfStyle w:val="000000000000"/>
              <w:rPr>
                <w:i/>
                <w:sz w:val="16"/>
              </w:rPr>
            </w:pPr>
            <w:r w:rsidRPr="002E565C">
              <w:rPr>
                <w:i/>
                <w:sz w:val="16"/>
              </w:rPr>
              <w:t xml:space="preserve">2006 </w:t>
            </w:r>
          </w:p>
        </w:tc>
        <w:tc>
          <w:tcPr>
            <w:tcW w:w="883" w:type="dxa"/>
            <w:tcBorders>
              <w:top w:val="single" w:sz="4" w:space="0" w:color="auto"/>
              <w:bottom w:val="single" w:sz="12" w:space="0" w:color="auto"/>
            </w:tcBorders>
            <w:shd w:val="clear" w:color="auto" w:fill="auto"/>
            <w:noWrap/>
          </w:tcPr>
          <w:p w:rsidR="00FA567F" w:rsidRPr="002E565C" w:rsidRDefault="00FA567F" w:rsidP="004B4B9D">
            <w:pPr>
              <w:spacing w:before="80" w:after="80" w:line="200" w:lineRule="exact"/>
              <w:cnfStyle w:val="000000000000"/>
              <w:rPr>
                <w:i/>
                <w:sz w:val="16"/>
              </w:rPr>
            </w:pPr>
            <w:r w:rsidRPr="002E565C">
              <w:rPr>
                <w:i/>
                <w:sz w:val="16"/>
              </w:rPr>
              <w:t xml:space="preserve">2007 </w:t>
            </w:r>
          </w:p>
        </w:tc>
        <w:tc>
          <w:tcPr>
            <w:tcW w:w="882" w:type="dxa"/>
            <w:tcBorders>
              <w:top w:val="single" w:sz="4" w:space="0" w:color="auto"/>
              <w:bottom w:val="single" w:sz="12" w:space="0" w:color="auto"/>
            </w:tcBorders>
            <w:shd w:val="clear" w:color="auto" w:fill="auto"/>
            <w:noWrap/>
          </w:tcPr>
          <w:p w:rsidR="00FA567F" w:rsidRPr="002E565C" w:rsidRDefault="00FA567F" w:rsidP="004B4B9D">
            <w:pPr>
              <w:spacing w:before="80" w:after="80" w:line="200" w:lineRule="exact"/>
              <w:cnfStyle w:val="000000000000"/>
              <w:rPr>
                <w:i/>
                <w:sz w:val="16"/>
              </w:rPr>
            </w:pPr>
            <w:r w:rsidRPr="002E565C">
              <w:rPr>
                <w:i/>
                <w:sz w:val="16"/>
              </w:rPr>
              <w:t xml:space="preserve">2008 </w:t>
            </w:r>
          </w:p>
        </w:tc>
        <w:tc>
          <w:tcPr>
            <w:tcW w:w="883" w:type="dxa"/>
            <w:tcBorders>
              <w:top w:val="single" w:sz="4" w:space="0" w:color="auto"/>
              <w:bottom w:val="single" w:sz="12" w:space="0" w:color="auto"/>
            </w:tcBorders>
            <w:shd w:val="clear" w:color="auto" w:fill="auto"/>
            <w:noWrap/>
          </w:tcPr>
          <w:p w:rsidR="00FA567F" w:rsidRPr="002E565C" w:rsidRDefault="00FA567F" w:rsidP="004B4B9D">
            <w:pPr>
              <w:spacing w:before="80" w:after="80" w:line="200" w:lineRule="exact"/>
              <w:cnfStyle w:val="000000000000"/>
              <w:rPr>
                <w:i/>
                <w:sz w:val="16"/>
              </w:rPr>
            </w:pPr>
            <w:r w:rsidRPr="002E565C">
              <w:rPr>
                <w:i/>
                <w:sz w:val="16"/>
              </w:rPr>
              <w:t xml:space="preserve">2009 </w:t>
            </w:r>
          </w:p>
        </w:tc>
        <w:tc>
          <w:tcPr>
            <w:tcW w:w="882" w:type="dxa"/>
            <w:tcBorders>
              <w:top w:val="single" w:sz="4" w:space="0" w:color="auto"/>
              <w:bottom w:val="single" w:sz="12" w:space="0" w:color="auto"/>
            </w:tcBorders>
            <w:shd w:val="clear" w:color="auto" w:fill="auto"/>
            <w:noWrap/>
          </w:tcPr>
          <w:p w:rsidR="00FA567F" w:rsidRPr="002E565C" w:rsidRDefault="00FA567F" w:rsidP="004B4B9D">
            <w:pPr>
              <w:spacing w:before="80" w:after="80" w:line="200" w:lineRule="exact"/>
              <w:cnfStyle w:val="000000000000"/>
              <w:rPr>
                <w:i/>
                <w:sz w:val="16"/>
              </w:rPr>
            </w:pPr>
            <w:r w:rsidRPr="002E565C">
              <w:rPr>
                <w:i/>
                <w:sz w:val="16"/>
              </w:rPr>
              <w:t xml:space="preserve">2010 </w:t>
            </w:r>
          </w:p>
        </w:tc>
        <w:tc>
          <w:tcPr>
            <w:tcW w:w="883" w:type="dxa"/>
            <w:tcBorders>
              <w:top w:val="single" w:sz="4" w:space="0" w:color="auto"/>
              <w:bottom w:val="single" w:sz="12" w:space="0" w:color="auto"/>
            </w:tcBorders>
            <w:shd w:val="clear" w:color="auto" w:fill="auto"/>
            <w:noWrap/>
          </w:tcPr>
          <w:p w:rsidR="00FA567F" w:rsidRPr="002E565C" w:rsidRDefault="00FA567F" w:rsidP="004B4B9D">
            <w:pPr>
              <w:spacing w:before="80" w:after="80" w:line="200" w:lineRule="exact"/>
              <w:cnfStyle w:val="000000000000"/>
              <w:rPr>
                <w:i/>
                <w:sz w:val="16"/>
              </w:rPr>
            </w:pPr>
            <w:r w:rsidRPr="002E565C">
              <w:rPr>
                <w:i/>
                <w:sz w:val="16"/>
              </w:rPr>
              <w:t xml:space="preserve">2011 </w:t>
            </w:r>
          </w:p>
        </w:tc>
      </w:tr>
      <w:tr w:rsidR="00FA567F" w:rsidRPr="002E565C" w:rsidTr="0030134D">
        <w:trPr>
          <w:trHeight w:val="300"/>
        </w:trPr>
        <w:tc>
          <w:tcPr>
            <w:cnfStyle w:val="001000000000"/>
            <w:tcW w:w="2282" w:type="dxa"/>
            <w:tcBorders>
              <w:top w:val="single" w:sz="12" w:space="0" w:color="auto"/>
            </w:tcBorders>
            <w:noWrap/>
          </w:tcPr>
          <w:p w:rsidR="00FA567F" w:rsidRPr="002E565C" w:rsidRDefault="00FA567F" w:rsidP="004B4B9D">
            <w:r w:rsidRPr="002E565C">
              <w:t>Наем</w:t>
            </w:r>
          </w:p>
        </w:tc>
        <w:tc>
          <w:tcPr>
            <w:tcW w:w="675" w:type="dxa"/>
            <w:tcBorders>
              <w:top w:val="single" w:sz="12" w:space="0" w:color="auto"/>
            </w:tcBorders>
            <w:noWrap/>
          </w:tcPr>
          <w:p w:rsidR="00FA567F" w:rsidRPr="002E565C" w:rsidRDefault="00FA567F" w:rsidP="004B4B9D">
            <w:pPr>
              <w:cnfStyle w:val="000000000000"/>
            </w:pPr>
            <w:r w:rsidRPr="002E565C">
              <w:t>1</w:t>
            </w:r>
            <w:r>
              <w:t xml:space="preserve"> </w:t>
            </w:r>
            <w:r w:rsidRPr="002E565C">
              <w:t>581</w:t>
            </w:r>
          </w:p>
        </w:tc>
        <w:tc>
          <w:tcPr>
            <w:tcW w:w="883" w:type="dxa"/>
            <w:tcBorders>
              <w:top w:val="single" w:sz="12" w:space="0" w:color="auto"/>
            </w:tcBorders>
            <w:noWrap/>
          </w:tcPr>
          <w:p w:rsidR="00FA567F" w:rsidRPr="002E565C" w:rsidRDefault="00FA567F" w:rsidP="004B4B9D">
            <w:pPr>
              <w:cnfStyle w:val="000000000000"/>
            </w:pPr>
            <w:r w:rsidRPr="002E565C">
              <w:t>3</w:t>
            </w:r>
            <w:r>
              <w:t xml:space="preserve"> </w:t>
            </w:r>
            <w:r w:rsidRPr="002E565C">
              <w:t>938</w:t>
            </w:r>
          </w:p>
        </w:tc>
        <w:tc>
          <w:tcPr>
            <w:tcW w:w="882" w:type="dxa"/>
            <w:tcBorders>
              <w:top w:val="single" w:sz="12" w:space="0" w:color="auto"/>
            </w:tcBorders>
            <w:noWrap/>
          </w:tcPr>
          <w:p w:rsidR="00FA567F" w:rsidRPr="002E565C" w:rsidRDefault="00FA567F" w:rsidP="004B4B9D">
            <w:pPr>
              <w:cnfStyle w:val="000000000000"/>
            </w:pPr>
            <w:r w:rsidRPr="002E565C">
              <w:t>2</w:t>
            </w:r>
            <w:r>
              <w:t xml:space="preserve"> </w:t>
            </w:r>
            <w:r w:rsidRPr="002E565C">
              <w:t>159</w:t>
            </w:r>
          </w:p>
        </w:tc>
        <w:tc>
          <w:tcPr>
            <w:tcW w:w="883" w:type="dxa"/>
            <w:tcBorders>
              <w:top w:val="single" w:sz="12" w:space="0" w:color="auto"/>
            </w:tcBorders>
          </w:tcPr>
          <w:p w:rsidR="00FA567F" w:rsidRPr="002E565C" w:rsidRDefault="00FA567F" w:rsidP="004B4B9D">
            <w:pPr>
              <w:cnfStyle w:val="000000000000"/>
            </w:pPr>
            <w:r w:rsidRPr="002E565C">
              <w:t>1</w:t>
            </w:r>
            <w:r>
              <w:t xml:space="preserve"> </w:t>
            </w:r>
            <w:r w:rsidRPr="002E565C">
              <w:t>544</w:t>
            </w:r>
          </w:p>
        </w:tc>
        <w:tc>
          <w:tcPr>
            <w:tcW w:w="882" w:type="dxa"/>
            <w:tcBorders>
              <w:top w:val="single" w:sz="12" w:space="0" w:color="auto"/>
            </w:tcBorders>
          </w:tcPr>
          <w:p w:rsidR="00FA567F" w:rsidRPr="002E565C" w:rsidRDefault="00FA567F" w:rsidP="004B4B9D">
            <w:pPr>
              <w:cnfStyle w:val="000000000000"/>
            </w:pPr>
            <w:r w:rsidRPr="002E565C">
              <w:t>2</w:t>
            </w:r>
            <w:r>
              <w:t xml:space="preserve"> </w:t>
            </w:r>
            <w:r w:rsidRPr="002E565C">
              <w:t>762</w:t>
            </w:r>
          </w:p>
        </w:tc>
        <w:tc>
          <w:tcPr>
            <w:tcW w:w="883" w:type="dxa"/>
            <w:tcBorders>
              <w:top w:val="single" w:sz="12" w:space="0" w:color="auto"/>
            </w:tcBorders>
          </w:tcPr>
          <w:p w:rsidR="00FA567F" w:rsidRPr="002E565C" w:rsidRDefault="00FA567F" w:rsidP="004B4B9D">
            <w:pPr>
              <w:cnfStyle w:val="000000000000"/>
            </w:pPr>
            <w:r w:rsidRPr="002E565C">
              <w:t>7</w:t>
            </w:r>
            <w:r>
              <w:t xml:space="preserve"> </w:t>
            </w:r>
            <w:r w:rsidRPr="002E565C">
              <w:t>356</w:t>
            </w:r>
          </w:p>
        </w:tc>
      </w:tr>
      <w:tr w:rsidR="00FA567F" w:rsidRPr="002E565C" w:rsidTr="0030134D">
        <w:trPr>
          <w:trHeight w:val="300"/>
        </w:trPr>
        <w:tc>
          <w:tcPr>
            <w:cnfStyle w:val="001000000000"/>
            <w:tcW w:w="2282" w:type="dxa"/>
            <w:noWrap/>
          </w:tcPr>
          <w:p w:rsidR="00FA567F" w:rsidRPr="002E565C" w:rsidRDefault="00FA567F" w:rsidP="004B4B9D">
            <w:r w:rsidRPr="002E565C">
              <w:t>Продвижение</w:t>
            </w:r>
          </w:p>
        </w:tc>
        <w:tc>
          <w:tcPr>
            <w:tcW w:w="675" w:type="dxa"/>
            <w:noWrap/>
          </w:tcPr>
          <w:p w:rsidR="00FA567F" w:rsidRPr="002E565C" w:rsidRDefault="00FA567F" w:rsidP="004B4B9D">
            <w:pPr>
              <w:cnfStyle w:val="000000000000"/>
            </w:pPr>
            <w:r w:rsidRPr="002E565C">
              <w:t>607</w:t>
            </w:r>
          </w:p>
        </w:tc>
        <w:tc>
          <w:tcPr>
            <w:tcW w:w="883" w:type="dxa"/>
            <w:noWrap/>
          </w:tcPr>
          <w:p w:rsidR="00FA567F" w:rsidRPr="002E565C" w:rsidRDefault="00FA567F" w:rsidP="004B4B9D">
            <w:pPr>
              <w:cnfStyle w:val="000000000000"/>
            </w:pPr>
            <w:r w:rsidRPr="002E565C">
              <w:t>914</w:t>
            </w:r>
          </w:p>
        </w:tc>
        <w:tc>
          <w:tcPr>
            <w:tcW w:w="882" w:type="dxa"/>
            <w:noWrap/>
          </w:tcPr>
          <w:p w:rsidR="00FA567F" w:rsidRPr="002E565C" w:rsidRDefault="00FA567F" w:rsidP="004B4B9D">
            <w:pPr>
              <w:cnfStyle w:val="000000000000"/>
            </w:pPr>
            <w:r w:rsidRPr="002E565C">
              <w:t>604</w:t>
            </w:r>
          </w:p>
        </w:tc>
        <w:tc>
          <w:tcPr>
            <w:tcW w:w="883" w:type="dxa"/>
          </w:tcPr>
          <w:p w:rsidR="00FA567F" w:rsidRPr="002E565C" w:rsidRDefault="00FA567F" w:rsidP="004B4B9D">
            <w:pPr>
              <w:cnfStyle w:val="000000000000"/>
            </w:pPr>
            <w:r w:rsidRPr="002E565C">
              <w:t>350</w:t>
            </w:r>
          </w:p>
        </w:tc>
        <w:tc>
          <w:tcPr>
            <w:tcW w:w="882" w:type="dxa"/>
          </w:tcPr>
          <w:p w:rsidR="00FA567F" w:rsidRPr="002E565C" w:rsidRDefault="00FA567F" w:rsidP="004B4B9D">
            <w:pPr>
              <w:cnfStyle w:val="000000000000"/>
            </w:pPr>
            <w:r w:rsidRPr="002E565C">
              <w:t>605</w:t>
            </w:r>
          </w:p>
        </w:tc>
        <w:tc>
          <w:tcPr>
            <w:tcW w:w="883" w:type="dxa"/>
          </w:tcPr>
          <w:p w:rsidR="00FA567F" w:rsidRPr="002E565C" w:rsidRDefault="00FA567F" w:rsidP="004B4B9D">
            <w:pPr>
              <w:cnfStyle w:val="000000000000"/>
            </w:pPr>
            <w:r w:rsidRPr="002E565C">
              <w:t>1</w:t>
            </w:r>
            <w:r>
              <w:t xml:space="preserve"> </w:t>
            </w:r>
            <w:r w:rsidRPr="002E565C">
              <w:t>691</w:t>
            </w:r>
          </w:p>
        </w:tc>
      </w:tr>
      <w:tr w:rsidR="00FA567F" w:rsidRPr="002E565C" w:rsidTr="0030134D">
        <w:trPr>
          <w:trHeight w:val="300"/>
        </w:trPr>
        <w:tc>
          <w:tcPr>
            <w:cnfStyle w:val="001000000000"/>
            <w:tcW w:w="2282" w:type="dxa"/>
            <w:noWrap/>
          </w:tcPr>
          <w:p w:rsidR="00FA567F" w:rsidRPr="002E565C" w:rsidRDefault="00FA567F" w:rsidP="004B4B9D">
            <w:r w:rsidRPr="002E565C">
              <w:t xml:space="preserve">Сохранение в штате </w:t>
            </w:r>
          </w:p>
        </w:tc>
        <w:tc>
          <w:tcPr>
            <w:tcW w:w="675" w:type="dxa"/>
            <w:noWrap/>
          </w:tcPr>
          <w:p w:rsidR="00FA567F" w:rsidRPr="002E565C" w:rsidRDefault="00FA567F" w:rsidP="004B4B9D">
            <w:pPr>
              <w:cnfStyle w:val="000000000000"/>
            </w:pPr>
            <w:r w:rsidRPr="002E565C">
              <w:t>556</w:t>
            </w:r>
          </w:p>
        </w:tc>
        <w:tc>
          <w:tcPr>
            <w:tcW w:w="883" w:type="dxa"/>
            <w:noWrap/>
          </w:tcPr>
          <w:p w:rsidR="00FA567F" w:rsidRPr="002E565C" w:rsidRDefault="00FA567F" w:rsidP="004B4B9D">
            <w:pPr>
              <w:cnfStyle w:val="000000000000"/>
            </w:pPr>
            <w:r w:rsidRPr="002E565C">
              <w:t>1</w:t>
            </w:r>
            <w:r>
              <w:t xml:space="preserve"> </w:t>
            </w:r>
            <w:r w:rsidRPr="002E565C">
              <w:t>568</w:t>
            </w:r>
          </w:p>
        </w:tc>
        <w:tc>
          <w:tcPr>
            <w:tcW w:w="882" w:type="dxa"/>
            <w:noWrap/>
          </w:tcPr>
          <w:p w:rsidR="00FA567F" w:rsidRPr="002E565C" w:rsidRDefault="00FA567F" w:rsidP="004B4B9D">
            <w:pPr>
              <w:cnfStyle w:val="000000000000"/>
            </w:pPr>
            <w:r w:rsidRPr="002E565C">
              <w:t>1</w:t>
            </w:r>
            <w:r>
              <w:t xml:space="preserve"> </w:t>
            </w:r>
            <w:r w:rsidRPr="002E565C">
              <w:t>606</w:t>
            </w:r>
          </w:p>
        </w:tc>
        <w:tc>
          <w:tcPr>
            <w:tcW w:w="883" w:type="dxa"/>
          </w:tcPr>
          <w:p w:rsidR="00FA567F" w:rsidRPr="002E565C" w:rsidRDefault="00FA567F" w:rsidP="004B4B9D">
            <w:pPr>
              <w:cnfStyle w:val="000000000000"/>
            </w:pPr>
            <w:r w:rsidRPr="002E565C">
              <w:t>1</w:t>
            </w:r>
            <w:r>
              <w:t xml:space="preserve"> </w:t>
            </w:r>
            <w:r w:rsidRPr="002E565C">
              <w:t>337</w:t>
            </w:r>
          </w:p>
        </w:tc>
        <w:tc>
          <w:tcPr>
            <w:tcW w:w="882" w:type="dxa"/>
          </w:tcPr>
          <w:p w:rsidR="00FA567F" w:rsidRPr="002E565C" w:rsidRDefault="00FA567F" w:rsidP="004B4B9D">
            <w:pPr>
              <w:cnfStyle w:val="000000000000"/>
            </w:pPr>
            <w:r w:rsidRPr="002E565C">
              <w:t>1</w:t>
            </w:r>
            <w:r>
              <w:t xml:space="preserve"> </w:t>
            </w:r>
            <w:r w:rsidRPr="002E565C">
              <w:t>967</w:t>
            </w:r>
          </w:p>
        </w:tc>
        <w:tc>
          <w:tcPr>
            <w:tcW w:w="883" w:type="dxa"/>
          </w:tcPr>
          <w:p w:rsidR="00FA567F" w:rsidRPr="002E565C" w:rsidRDefault="00FA567F" w:rsidP="004B4B9D">
            <w:pPr>
              <w:cnfStyle w:val="000000000000"/>
            </w:pPr>
            <w:r w:rsidRPr="002E565C">
              <w:t>6</w:t>
            </w:r>
            <w:r>
              <w:t xml:space="preserve"> </w:t>
            </w:r>
            <w:r w:rsidRPr="002E565C">
              <w:t>736</w:t>
            </w:r>
          </w:p>
        </w:tc>
      </w:tr>
      <w:tr w:rsidR="00FA567F" w:rsidRPr="002E565C" w:rsidTr="0030134D">
        <w:trPr>
          <w:trHeight w:val="300"/>
        </w:trPr>
        <w:tc>
          <w:tcPr>
            <w:cnfStyle w:val="001000000000"/>
            <w:tcW w:w="2282" w:type="dxa"/>
            <w:noWrap/>
          </w:tcPr>
          <w:p w:rsidR="00FA567F" w:rsidRPr="002E565C" w:rsidRDefault="00FA567F" w:rsidP="004B4B9D">
            <w:r w:rsidRPr="002E565C">
              <w:t>Подготовка</w:t>
            </w:r>
          </w:p>
        </w:tc>
        <w:tc>
          <w:tcPr>
            <w:tcW w:w="675" w:type="dxa"/>
            <w:noWrap/>
          </w:tcPr>
          <w:p w:rsidR="00FA567F" w:rsidRPr="002E565C" w:rsidRDefault="00FA567F" w:rsidP="004B4B9D">
            <w:pPr>
              <w:cnfStyle w:val="000000000000"/>
            </w:pPr>
            <w:r w:rsidRPr="002E565C">
              <w:t>2365</w:t>
            </w:r>
          </w:p>
        </w:tc>
        <w:tc>
          <w:tcPr>
            <w:tcW w:w="883" w:type="dxa"/>
            <w:noWrap/>
          </w:tcPr>
          <w:p w:rsidR="00FA567F" w:rsidRPr="002E565C" w:rsidRDefault="00FA567F" w:rsidP="004B4B9D">
            <w:pPr>
              <w:cnfStyle w:val="000000000000"/>
            </w:pPr>
            <w:r w:rsidRPr="002E565C">
              <w:t>6</w:t>
            </w:r>
            <w:r>
              <w:t xml:space="preserve"> </w:t>
            </w:r>
            <w:r w:rsidRPr="002E565C">
              <w:t>874</w:t>
            </w:r>
          </w:p>
        </w:tc>
        <w:tc>
          <w:tcPr>
            <w:tcW w:w="882" w:type="dxa"/>
            <w:noWrap/>
          </w:tcPr>
          <w:p w:rsidR="00FA567F" w:rsidRPr="002E565C" w:rsidRDefault="00FA567F" w:rsidP="004B4B9D">
            <w:pPr>
              <w:cnfStyle w:val="000000000000"/>
            </w:pPr>
            <w:r w:rsidRPr="002E565C">
              <w:t>3</w:t>
            </w:r>
            <w:r>
              <w:t xml:space="preserve"> </w:t>
            </w:r>
            <w:r w:rsidRPr="002E565C">
              <w:t>457</w:t>
            </w:r>
          </w:p>
        </w:tc>
        <w:tc>
          <w:tcPr>
            <w:tcW w:w="883" w:type="dxa"/>
          </w:tcPr>
          <w:p w:rsidR="00FA567F" w:rsidRPr="002E565C" w:rsidRDefault="00FA567F" w:rsidP="004B4B9D">
            <w:pPr>
              <w:cnfStyle w:val="000000000000"/>
            </w:pPr>
            <w:r w:rsidRPr="002E565C">
              <w:t>3</w:t>
            </w:r>
            <w:r>
              <w:t xml:space="preserve"> </w:t>
            </w:r>
            <w:r w:rsidRPr="002E565C">
              <w:t>691</w:t>
            </w:r>
          </w:p>
        </w:tc>
        <w:tc>
          <w:tcPr>
            <w:tcW w:w="882" w:type="dxa"/>
          </w:tcPr>
          <w:p w:rsidR="00FA567F" w:rsidRPr="002E565C" w:rsidRDefault="00FA567F" w:rsidP="004B4B9D">
            <w:pPr>
              <w:cnfStyle w:val="000000000000"/>
            </w:pPr>
            <w:r w:rsidRPr="002E565C">
              <w:t>3</w:t>
            </w:r>
            <w:r>
              <w:t xml:space="preserve"> </w:t>
            </w:r>
            <w:r w:rsidRPr="002E565C">
              <w:t>372</w:t>
            </w:r>
          </w:p>
        </w:tc>
        <w:tc>
          <w:tcPr>
            <w:tcW w:w="883" w:type="dxa"/>
          </w:tcPr>
          <w:p w:rsidR="00FA567F" w:rsidRPr="002E565C" w:rsidRDefault="00FA567F" w:rsidP="004B4B9D">
            <w:pPr>
              <w:cnfStyle w:val="000000000000"/>
            </w:pPr>
            <w:r w:rsidRPr="002E565C">
              <w:t>1</w:t>
            </w:r>
            <w:r>
              <w:t xml:space="preserve"> </w:t>
            </w:r>
            <w:r w:rsidRPr="002E565C">
              <w:t>0926</w:t>
            </w:r>
          </w:p>
        </w:tc>
      </w:tr>
    </w:tbl>
    <w:p w:rsidR="00FA567F" w:rsidRPr="00AB4C34" w:rsidRDefault="00FA567F" w:rsidP="004B4B9D">
      <w:pPr>
        <w:pStyle w:val="SingleTxtGR"/>
        <w:spacing w:before="120"/>
      </w:pPr>
      <w:r w:rsidRPr="00AB4C34">
        <w:t>258.</w:t>
      </w:r>
      <w:r w:rsidRPr="00AB4C34">
        <w:tab/>
        <w:t>Итоги реализации планов в области разнообразия показывают, что нам</w:t>
      </w:r>
      <w:r w:rsidRPr="00AB4C34">
        <w:t>е</w:t>
      </w:r>
      <w:r w:rsidRPr="00AB4C34">
        <w:t>ченные количественные целевые показатели были достигнуты и почти во всех случаях даже превышены.</w:t>
      </w:r>
    </w:p>
    <w:p w:rsidR="00FA567F" w:rsidRPr="00AB4C34" w:rsidRDefault="00FA567F" w:rsidP="004B4B9D">
      <w:pPr>
        <w:pStyle w:val="SingleTxtGR"/>
      </w:pPr>
      <w:r w:rsidRPr="00AB4C34">
        <w:t>259.</w:t>
      </w:r>
      <w:r w:rsidRPr="00AB4C34">
        <w:tab/>
        <w:t>В отношении народности рома было решено рассматривать соответс</w:t>
      </w:r>
      <w:r w:rsidRPr="00AB4C34">
        <w:t>т</w:t>
      </w:r>
      <w:r w:rsidRPr="00AB4C34">
        <w:t>вующую проблематику в рамках проведения общей политики. Фламандская служба занятости и профессионального обучения (ФСЗ) разработала для них предложение о предоставлении услуг:</w:t>
      </w:r>
    </w:p>
    <w:p w:rsidR="00FA567F" w:rsidRPr="00AB4C34" w:rsidRDefault="00FA567F" w:rsidP="004B4B9D">
      <w:pPr>
        <w:pStyle w:val="Bullet1GR"/>
        <w:numPr>
          <w:ilvl w:val="0"/>
          <w:numId w:val="1"/>
        </w:numPr>
      </w:pPr>
      <w:r w:rsidRPr="00AB4C34">
        <w:t>представителям рома, имеющим гражданство Европейского союза, за и</w:t>
      </w:r>
      <w:r w:rsidRPr="00AB4C34">
        <w:t>с</w:t>
      </w:r>
      <w:r w:rsidRPr="00AB4C34">
        <w:t>ключением болгар и румын (чаще всего – гражданам Словакии), предл</w:t>
      </w:r>
      <w:r w:rsidRPr="00AB4C34">
        <w:t>а</w:t>
      </w:r>
      <w:r w:rsidRPr="00AB4C34">
        <w:t>гается искать работу или проходить профессиональную по</w:t>
      </w:r>
      <w:r w:rsidRPr="00AB4C34">
        <w:t>д</w:t>
      </w:r>
      <w:r w:rsidRPr="00AB4C34">
        <w:t>готовку;</w:t>
      </w:r>
    </w:p>
    <w:p w:rsidR="00FA567F" w:rsidRPr="00AB4C34" w:rsidRDefault="00FA567F" w:rsidP="004B4B9D">
      <w:pPr>
        <w:pStyle w:val="Bullet1GR"/>
        <w:numPr>
          <w:ilvl w:val="0"/>
          <w:numId w:val="1"/>
        </w:numPr>
      </w:pPr>
      <w:r w:rsidRPr="00AB4C34">
        <w:t>для представителей рома, имеющих гражданство Болгарии или Румынии, ФСЗ наряду с регистрацией и посредничеством в обеспечении занятости по специальностям, требуемым на рынке труда, в настоящее время пред</w:t>
      </w:r>
      <w:r w:rsidRPr="00AB4C34">
        <w:t>у</w:t>
      </w:r>
      <w:r w:rsidRPr="00AB4C34">
        <w:t>сматривает оказание базовых услуг в виде информационных занятий. П</w:t>
      </w:r>
      <w:r w:rsidRPr="00AB4C34">
        <w:t>о</w:t>
      </w:r>
      <w:r w:rsidRPr="00AB4C34">
        <w:t>скольку для многих рома обращение к ФСЗ является весьма затрудн</w:t>
      </w:r>
      <w:r w:rsidRPr="00AB4C34">
        <w:t>и</w:t>
      </w:r>
      <w:r w:rsidRPr="00AB4C34">
        <w:t>тельной процедурой, эта служба в порядке эксперимента начала сам</w:t>
      </w:r>
      <w:r w:rsidRPr="00AB4C34">
        <w:t>о</w:t>
      </w:r>
      <w:r w:rsidRPr="00AB4C34">
        <w:t>стоятельно входить с ними в контакт и проводить информационные зан</w:t>
      </w:r>
      <w:r w:rsidRPr="00AB4C34">
        <w:t>я</w:t>
      </w:r>
      <w:r w:rsidRPr="00AB4C34">
        <w:t>тия на их терр</w:t>
      </w:r>
      <w:r w:rsidRPr="00AB4C34">
        <w:t>и</w:t>
      </w:r>
      <w:r w:rsidRPr="00AB4C34">
        <w:t>тории.</w:t>
      </w:r>
    </w:p>
    <w:p w:rsidR="00FA567F" w:rsidRPr="00AB4C34" w:rsidRDefault="00FA567F" w:rsidP="004B4B9D">
      <w:pPr>
        <w:pStyle w:val="SingleTxtGR"/>
      </w:pPr>
      <w:r w:rsidRPr="00AB4C34">
        <w:t>260.</w:t>
      </w:r>
      <w:r w:rsidRPr="00AB4C34">
        <w:tab/>
        <w:t>В службе ФСЗ представители рома распределяются по общим направл</w:t>
      </w:r>
      <w:r w:rsidRPr="00AB4C34">
        <w:t>е</w:t>
      </w:r>
      <w:r w:rsidRPr="00AB4C34">
        <w:t>ниям, но чаще – по экспериментальным программам, ориентированным на ко</w:t>
      </w:r>
      <w:r w:rsidRPr="00AB4C34">
        <w:t>н</w:t>
      </w:r>
      <w:r w:rsidRPr="00AB4C34">
        <w:t>кретные (уязвимые) группы риска. В качестве примера можно привести пр</w:t>
      </w:r>
      <w:r w:rsidRPr="00AB4C34">
        <w:t>о</w:t>
      </w:r>
      <w:r w:rsidRPr="00AB4C34">
        <w:t xml:space="preserve">грамму </w:t>
      </w:r>
      <w:r>
        <w:t>"</w:t>
      </w:r>
      <w:r w:rsidRPr="00AB4C34">
        <w:t>Борьба с бедностью</w:t>
      </w:r>
      <w:r>
        <w:t>"</w:t>
      </w:r>
      <w:r w:rsidRPr="00AB4C34">
        <w:t>: в самом деле, многие рома имеют крайне низкий уровень школьного образования и в ряде случаев испытывают трудности с у</w:t>
      </w:r>
      <w:r w:rsidRPr="00AB4C34">
        <w:t>с</w:t>
      </w:r>
      <w:r w:rsidRPr="00AB4C34">
        <w:t>воением материала, слабо владеют нидерландским языком или являются негр</w:t>
      </w:r>
      <w:r w:rsidRPr="00AB4C34">
        <w:t>а</w:t>
      </w:r>
      <w:r w:rsidRPr="00AB4C34">
        <w:t>мотными либо малограмотными. Наряду с этим некоторые из них сталкиваются с трудностями при доступе к образованию, находятся в бедственном (матер</w:t>
      </w:r>
      <w:r w:rsidRPr="00AB4C34">
        <w:t>и</w:t>
      </w:r>
      <w:r w:rsidRPr="00AB4C34">
        <w:t xml:space="preserve">альном) положении и вынуждены решать проблемы с жилищем. </w:t>
      </w:r>
    </w:p>
    <w:p w:rsidR="00FA567F" w:rsidRPr="00AB4C34" w:rsidRDefault="00FA567F" w:rsidP="004B4B9D">
      <w:pPr>
        <w:pStyle w:val="SingleTxtGR"/>
      </w:pPr>
      <w:r w:rsidRPr="00AB4C34">
        <w:t>261.</w:t>
      </w:r>
      <w:r w:rsidRPr="00AB4C34">
        <w:tab/>
        <w:t>В 2012 году для лиц, стремящихся интегрироваться, будет разработан комплексный проект по обеспечению доступа к предпринимательской деятел</w:t>
      </w:r>
      <w:r w:rsidRPr="00AB4C34">
        <w:t>ь</w:t>
      </w:r>
      <w:r w:rsidRPr="00AB4C34">
        <w:t xml:space="preserve">ности. В рамках этого проекта особое внимание будет уделяться мигрантам (рома) из стран Центральной и Восточной Европы. Речь идет о совместном проекте ФСЗ, </w:t>
      </w:r>
      <w:r>
        <w:t>"</w:t>
      </w:r>
      <w:r w:rsidRPr="00AB4C34">
        <w:t>Синтра</w:t>
      </w:r>
      <w:r>
        <w:t>"</w:t>
      </w:r>
      <w:r w:rsidRPr="00AB4C34">
        <w:t xml:space="preserve"> и департаментов по вопросам экономики, образования и гражданской интеграции, реализуемом в целях информирования мигрантов из стран Центральной и Восточной Европы о нормативных положениях в сфере предпринимательства и привлекать их к участию в проекте.</w:t>
      </w:r>
    </w:p>
    <w:p w:rsidR="00FA567F" w:rsidRPr="00AB4C34" w:rsidRDefault="00FA567F" w:rsidP="004B4B9D">
      <w:pPr>
        <w:pStyle w:val="SingleTxtGR"/>
      </w:pPr>
      <w:r w:rsidRPr="00AB4C34">
        <w:t>262.</w:t>
      </w:r>
      <w:r w:rsidRPr="00AB4C34">
        <w:tab/>
        <w:t>Наряду с комплексной политикой в интересах рома в 2012 году были н</w:t>
      </w:r>
      <w:r w:rsidRPr="00AB4C34">
        <w:t>а</w:t>
      </w:r>
      <w:r w:rsidRPr="00AB4C34">
        <w:t>чаты мероприятия по пр</w:t>
      </w:r>
      <w:r w:rsidRPr="00AB4C34">
        <w:t>о</w:t>
      </w:r>
      <w:r w:rsidRPr="00AB4C34">
        <w:t>фессиональной подготовке и трудоустройству, которые ориентированы на лиц, ведущих кочевой образ жизни (рома, синти и кочевые общины); при этом особое внимание уделяется самостоятельной занят</w:t>
      </w:r>
      <w:r w:rsidRPr="00AB4C34">
        <w:t>о</w:t>
      </w:r>
      <w:r w:rsidRPr="00AB4C34">
        <w:t>сти. Кроме того, был расширен доступ к профессиональному обучению.</w:t>
      </w:r>
    </w:p>
    <w:p w:rsidR="00FA567F" w:rsidRPr="00AB4C34" w:rsidRDefault="00FA567F" w:rsidP="004B4B9D">
      <w:pPr>
        <w:pStyle w:val="SingleTxtGR"/>
      </w:pPr>
      <w:r w:rsidRPr="00AB4C34">
        <w:t>263.</w:t>
      </w:r>
      <w:r w:rsidRPr="00AB4C34">
        <w:tab/>
        <w:t>Наконец, нужно упомянуть План действий по борьбе с дискриминацией в трудовой сфере, разработанный в 2008 году, в котором нашли конкретное отр</w:t>
      </w:r>
      <w:r w:rsidRPr="00AB4C34">
        <w:t>а</w:t>
      </w:r>
      <w:r w:rsidRPr="00AB4C34">
        <w:t>жение заявления о намерениях в области борьбы с дискриминацией, подписа</w:t>
      </w:r>
      <w:r w:rsidRPr="00AB4C34">
        <w:t>н</w:t>
      </w:r>
      <w:r w:rsidRPr="00AB4C34">
        <w:t>ные 26 октября 2007 года посредниками на рынке труда, организациями пре</w:t>
      </w:r>
      <w:r w:rsidRPr="00AB4C34">
        <w:t>д</w:t>
      </w:r>
      <w:r w:rsidRPr="00AB4C34">
        <w:t>ставителей групп риска и социальными партнерами. В этом плане действий предусмотрены четыре главных направления:</w:t>
      </w:r>
    </w:p>
    <w:p w:rsidR="00FA567F" w:rsidRPr="00AB4C34" w:rsidRDefault="00FA567F" w:rsidP="004B4B9D">
      <w:pPr>
        <w:pStyle w:val="Bullet1GR"/>
        <w:numPr>
          <w:ilvl w:val="0"/>
          <w:numId w:val="1"/>
        </w:numPr>
      </w:pPr>
      <w:r w:rsidRPr="00AB4C34">
        <w:t>уделение повышенного внимания взаимодополняемости между разноо</w:t>
      </w:r>
      <w:r w:rsidRPr="00AB4C34">
        <w:t>б</w:t>
      </w:r>
      <w:r w:rsidRPr="00AB4C34">
        <w:t>разием и борьбой против дискриминации, что соответствует двуединой задаче, пред</w:t>
      </w:r>
      <w:r w:rsidRPr="00AB4C34">
        <w:t>у</w:t>
      </w:r>
      <w:r w:rsidRPr="00AB4C34">
        <w:t>смотренной Указом от 8 мая 2002 года о пропорциональном участии на рынке занятости, в котором особо выделены принципы равн</w:t>
      </w:r>
      <w:r w:rsidRPr="00AB4C34">
        <w:t>о</w:t>
      </w:r>
      <w:r w:rsidRPr="00AB4C34">
        <w:t>го обращения и пропо</w:t>
      </w:r>
      <w:r w:rsidRPr="00AB4C34">
        <w:t>р</w:t>
      </w:r>
      <w:r w:rsidRPr="00AB4C34">
        <w:t>ционального представительства;</w:t>
      </w:r>
    </w:p>
    <w:p w:rsidR="00FA567F" w:rsidRPr="00AB4C34" w:rsidRDefault="00FA567F" w:rsidP="004B4B9D">
      <w:pPr>
        <w:pStyle w:val="Bullet1GR"/>
        <w:numPr>
          <w:ilvl w:val="0"/>
          <w:numId w:val="1"/>
        </w:numPr>
      </w:pPr>
      <w:r w:rsidRPr="00AB4C34">
        <w:t>регистрация, обработка и передача сообщений и жалоб, касающихся пр</w:t>
      </w:r>
      <w:r w:rsidRPr="00AB4C34">
        <w:t>о</w:t>
      </w:r>
      <w:r w:rsidRPr="00AB4C34">
        <w:t>явлений дискриминации в тр</w:t>
      </w:r>
      <w:r w:rsidRPr="00AB4C34">
        <w:t>у</w:t>
      </w:r>
      <w:r w:rsidRPr="00AB4C34">
        <w:t>довой сфере;</w:t>
      </w:r>
    </w:p>
    <w:p w:rsidR="00FA567F" w:rsidRPr="00AB4C34" w:rsidRDefault="00FA567F" w:rsidP="004B4B9D">
      <w:pPr>
        <w:pStyle w:val="Bullet1GR"/>
        <w:numPr>
          <w:ilvl w:val="0"/>
          <w:numId w:val="1"/>
        </w:numPr>
      </w:pPr>
      <w:r w:rsidRPr="00AB4C34">
        <w:t>отслеживание и анализ проявлений дискриминации на рынке труда;</w:t>
      </w:r>
    </w:p>
    <w:p w:rsidR="00FA567F" w:rsidRPr="00AB4C34" w:rsidRDefault="00FA567F" w:rsidP="004B4B9D">
      <w:pPr>
        <w:pStyle w:val="Bullet1GR"/>
        <w:numPr>
          <w:ilvl w:val="0"/>
          <w:numId w:val="1"/>
        </w:numPr>
      </w:pPr>
      <w:r w:rsidRPr="00AB4C34">
        <w:t>подготовка и обмен опытом по указанной проблематике.</w:t>
      </w:r>
    </w:p>
    <w:p w:rsidR="00FA567F" w:rsidRPr="00AB4C34" w:rsidRDefault="00FA567F" w:rsidP="004B4B9D">
      <w:pPr>
        <w:pStyle w:val="SingleTxtGR"/>
      </w:pPr>
      <w:r w:rsidRPr="00AB4C34">
        <w:t>264.</w:t>
      </w:r>
      <w:r w:rsidRPr="00AB4C34">
        <w:tab/>
        <w:t>Кроме того, при подготовке и осуществлении мероприятий были прил</w:t>
      </w:r>
      <w:r w:rsidRPr="00AB4C34">
        <w:t>о</w:t>
      </w:r>
      <w:r w:rsidRPr="00AB4C34">
        <w:t>жены усилия по обеспечению максимальной согласованности с указом Флан</w:t>
      </w:r>
      <w:r w:rsidRPr="00AB4C34">
        <w:t>д</w:t>
      </w:r>
      <w:r w:rsidRPr="00AB4C34">
        <w:t>рии о равенстве возможностей и обращения и с федеральным законодательс</w:t>
      </w:r>
      <w:r w:rsidRPr="00AB4C34">
        <w:t>т</w:t>
      </w:r>
      <w:r w:rsidRPr="00AB4C34">
        <w:t>вом о борьбе против дискриминации.</w:t>
      </w:r>
    </w:p>
    <w:p w:rsidR="00FA567F" w:rsidRPr="00AB4C34" w:rsidRDefault="00FA567F" w:rsidP="004B4B9D">
      <w:pPr>
        <w:pStyle w:val="SingleTxtGR"/>
      </w:pPr>
      <w:r w:rsidRPr="00AB4C34">
        <w:t>265.</w:t>
      </w:r>
      <w:r w:rsidRPr="00AB4C34">
        <w:tab/>
        <w:t>В процессе реализации этого плана действий был достигнут целый ряд успехов:</w:t>
      </w:r>
    </w:p>
    <w:p w:rsidR="00FA567F" w:rsidRPr="00AB4C34" w:rsidRDefault="00FA567F" w:rsidP="004B4B9D">
      <w:pPr>
        <w:pStyle w:val="Bullet1GR"/>
        <w:numPr>
          <w:ilvl w:val="0"/>
          <w:numId w:val="1"/>
        </w:numPr>
      </w:pPr>
      <w:r w:rsidRPr="00AB4C34">
        <w:t>разработка электронного формуляра для подачи жалобы через сайт werk.be;</w:t>
      </w:r>
    </w:p>
    <w:p w:rsidR="00FA567F" w:rsidRPr="00AB4C34" w:rsidRDefault="00FA567F" w:rsidP="004B4B9D">
      <w:pPr>
        <w:pStyle w:val="Bullet1GR"/>
        <w:numPr>
          <w:ilvl w:val="0"/>
          <w:numId w:val="1"/>
        </w:numPr>
      </w:pPr>
      <w:r w:rsidRPr="00AB4C34">
        <w:t>соглашение о сотрудничестве, заключенное 5 июня 2009 года между Це</w:t>
      </w:r>
      <w:r w:rsidRPr="00AB4C34">
        <w:t>н</w:t>
      </w:r>
      <w:r w:rsidRPr="00AB4C34">
        <w:t>тром по обеспечению равных возможностей и борьбе с расизмом, Гру</w:t>
      </w:r>
      <w:r w:rsidRPr="00AB4C34">
        <w:t>п</w:t>
      </w:r>
      <w:r w:rsidRPr="00AB4C34">
        <w:t>пой по вопросам равенства возможностей департамента ДАР (общепол</w:t>
      </w:r>
      <w:r w:rsidRPr="00AB4C34">
        <w:t>и</w:t>
      </w:r>
      <w:r w:rsidRPr="00AB4C34">
        <w:t xml:space="preserve">тических служб) как официальным представителем местных </w:t>
      </w:r>
      <w:r>
        <w:t>"</w:t>
      </w:r>
      <w:r w:rsidRPr="00AB4C34">
        <w:t>контактных пунктов по проблеме ди</w:t>
      </w:r>
      <w:r w:rsidRPr="00AB4C34">
        <w:t>с</w:t>
      </w:r>
      <w:r w:rsidRPr="00AB4C34">
        <w:t>криминации</w:t>
      </w:r>
      <w:r>
        <w:t>"</w:t>
      </w:r>
      <w:r w:rsidRPr="00AB4C34">
        <w:t xml:space="preserve"> </w:t>
      </w:r>
      <w:r>
        <w:t>в крупных городах Фландрии (см. </w:t>
      </w:r>
      <w:r w:rsidRPr="00AB4C34">
        <w:t>ниже) и Инспе</w:t>
      </w:r>
      <w:r w:rsidRPr="00AB4C34">
        <w:t>к</w:t>
      </w:r>
      <w:r w:rsidRPr="00AB4C34">
        <w:t>цией по труду и социальному обеспечению;</w:t>
      </w:r>
    </w:p>
    <w:p w:rsidR="00FA567F" w:rsidRPr="00AB4C34" w:rsidRDefault="00FA567F" w:rsidP="004B4B9D">
      <w:pPr>
        <w:pStyle w:val="Bullet1GR"/>
        <w:numPr>
          <w:ilvl w:val="0"/>
          <w:numId w:val="1"/>
        </w:numPr>
      </w:pPr>
      <w:r w:rsidRPr="00AB4C34">
        <w:t>на этой основе удалось придти к консенсусу по вопросу о том, что может считаться жалобой или соо</w:t>
      </w:r>
      <w:r w:rsidRPr="00AB4C34">
        <w:t>б</w:t>
      </w:r>
      <w:r w:rsidRPr="00AB4C34">
        <w:t>щением;</w:t>
      </w:r>
    </w:p>
    <w:p w:rsidR="00FA567F" w:rsidRPr="00AB4C34" w:rsidRDefault="00FA567F" w:rsidP="004B4B9D">
      <w:pPr>
        <w:pStyle w:val="Bullet1GR"/>
        <w:numPr>
          <w:ilvl w:val="0"/>
          <w:numId w:val="1"/>
        </w:numPr>
      </w:pPr>
      <w:r w:rsidRPr="00AB4C34">
        <w:t xml:space="preserve">в ряде субрегионов на местном (или выше местного) уровне достигнута согласованность действий по теме </w:t>
      </w:r>
      <w:r>
        <w:t>"</w:t>
      </w:r>
      <w:r w:rsidRPr="00AB4C34">
        <w:t>Борьба с дискриминацией</w:t>
      </w:r>
      <w:r>
        <w:t>"</w:t>
      </w:r>
      <w:r w:rsidRPr="00AB4C34">
        <w:t>, в которых участвуют все заинтересованные субъекты;</w:t>
      </w:r>
    </w:p>
    <w:p w:rsidR="00FA567F" w:rsidRPr="00AB4C34" w:rsidRDefault="00FA567F" w:rsidP="004B4B9D">
      <w:pPr>
        <w:pStyle w:val="Bullet1GR"/>
        <w:numPr>
          <w:ilvl w:val="0"/>
          <w:numId w:val="1"/>
        </w:numPr>
      </w:pPr>
      <w:r w:rsidRPr="00AB4C34">
        <w:t>для инспекторов, местных работников по вопросам разнообразия и др</w:t>
      </w:r>
      <w:r w:rsidRPr="00AB4C34">
        <w:t>у</w:t>
      </w:r>
      <w:r w:rsidRPr="00AB4C34">
        <w:t>гих консультантов были проведены стажировки и курсы обучения, п</w:t>
      </w:r>
      <w:r w:rsidRPr="00AB4C34">
        <w:t>о</w:t>
      </w:r>
      <w:r w:rsidRPr="00AB4C34">
        <w:t>священные зак</w:t>
      </w:r>
      <w:r w:rsidRPr="00AB4C34">
        <w:t>о</w:t>
      </w:r>
      <w:r w:rsidRPr="00AB4C34">
        <w:t>нодательным и регламентирующим положениям в области борьбы против ди</w:t>
      </w:r>
      <w:r w:rsidRPr="00AB4C34">
        <w:t>с</w:t>
      </w:r>
      <w:r w:rsidRPr="00AB4C34">
        <w:t>криминации;</w:t>
      </w:r>
    </w:p>
    <w:p w:rsidR="00FA567F" w:rsidRPr="00AB4C34" w:rsidRDefault="00FA567F" w:rsidP="004B4B9D">
      <w:pPr>
        <w:pStyle w:val="Bullet1GR"/>
        <w:numPr>
          <w:ilvl w:val="0"/>
          <w:numId w:val="1"/>
        </w:numPr>
      </w:pPr>
      <w:r w:rsidRPr="00AB4C34">
        <w:t>в сфере подготовки по вопросам проведения политики ЕАД была уст</w:t>
      </w:r>
      <w:r w:rsidRPr="00AB4C34">
        <w:t>а</w:t>
      </w:r>
      <w:r w:rsidRPr="00AB4C34">
        <w:t>новлена связь с борьбой против дискриминации;</w:t>
      </w:r>
    </w:p>
    <w:p w:rsidR="00FA567F" w:rsidRPr="00AB4C34" w:rsidRDefault="00FA567F" w:rsidP="004B4B9D">
      <w:pPr>
        <w:pStyle w:val="Bullet1GR"/>
        <w:numPr>
          <w:ilvl w:val="0"/>
          <w:numId w:val="1"/>
        </w:numPr>
      </w:pPr>
      <w:r w:rsidRPr="00AB4C34">
        <w:t>повышенное внимание уделялось предупреждению косвенной дискрим</w:t>
      </w:r>
      <w:r w:rsidRPr="00AB4C34">
        <w:t>и</w:t>
      </w:r>
      <w:r w:rsidRPr="00AB4C34">
        <w:t>нации, в частности в планах в области разнообразия.</w:t>
      </w:r>
    </w:p>
    <w:p w:rsidR="00FA567F" w:rsidRPr="00AB4C34" w:rsidRDefault="00FA567F" w:rsidP="004B4B9D">
      <w:pPr>
        <w:pStyle w:val="SingleTxtGR"/>
      </w:pPr>
      <w:r w:rsidRPr="00AB4C34">
        <w:t>266.</w:t>
      </w:r>
      <w:r w:rsidRPr="00AB4C34">
        <w:tab/>
        <w:t>Однако оценка результатов выполнения Плана действий также показала, что необходимо продолжать его обновление; оно было проведено в период с д</w:t>
      </w:r>
      <w:r w:rsidRPr="00AB4C34">
        <w:t>е</w:t>
      </w:r>
      <w:r w:rsidRPr="00AB4C34">
        <w:t>кабря 2011 года по июнь 2012 года совместно со всеми участвующими стор</w:t>
      </w:r>
      <w:r w:rsidRPr="00AB4C34">
        <w:t>о</w:t>
      </w:r>
      <w:r w:rsidRPr="00AB4C34">
        <w:t>нами: социальными партнерами, различными посредниками на рынке труда (органами государственного, частного и безвозмездного посредничества) и о</w:t>
      </w:r>
      <w:r w:rsidRPr="00AB4C34">
        <w:t>р</w:t>
      </w:r>
      <w:r w:rsidRPr="00AB4C34">
        <w:t>ганизациями групп риска. Развертывание обновленного Плана действий нам</w:t>
      </w:r>
      <w:r w:rsidRPr="00AB4C34">
        <w:t>е</w:t>
      </w:r>
      <w:r w:rsidRPr="00AB4C34">
        <w:t>чено на июль 2012 года.</w:t>
      </w:r>
    </w:p>
    <w:p w:rsidR="00FA567F" w:rsidRPr="00AB4C34" w:rsidRDefault="00FA567F" w:rsidP="004B4B9D">
      <w:pPr>
        <w:pStyle w:val="H23GR"/>
      </w:pPr>
      <w:r w:rsidRPr="00AB4C34">
        <w:tab/>
        <w:t>5.</w:t>
      </w:r>
      <w:r w:rsidRPr="00AB4C34">
        <w:tab/>
        <w:t>Вынесение обвинительных приговоров по делам о расовой ди</w:t>
      </w:r>
      <w:r w:rsidRPr="00AB4C34">
        <w:t>с</w:t>
      </w:r>
      <w:r w:rsidRPr="00AB4C34">
        <w:t>криминации в сфере занят</w:t>
      </w:r>
      <w:r w:rsidRPr="00AB4C34">
        <w:t>о</w:t>
      </w:r>
      <w:r w:rsidRPr="00AB4C34">
        <w:t xml:space="preserve">сти </w:t>
      </w:r>
    </w:p>
    <w:p w:rsidR="00FA567F" w:rsidRPr="00AB4C34" w:rsidRDefault="00FA567F" w:rsidP="004B4B9D">
      <w:pPr>
        <w:pStyle w:val="SingleTxtGR"/>
      </w:pPr>
      <w:r w:rsidRPr="00AB4C34">
        <w:t>267.</w:t>
      </w:r>
      <w:r w:rsidRPr="00AB4C34">
        <w:tab/>
        <w:t>Среди решений, которые были вынесены за период, охватываемый н</w:t>
      </w:r>
      <w:r w:rsidRPr="00AB4C34">
        <w:t>а</w:t>
      </w:r>
      <w:r w:rsidRPr="00AB4C34">
        <w:t>стоящим докладом, следует выделить, в частности, два следующих.</w:t>
      </w:r>
    </w:p>
    <w:p w:rsidR="00FA567F" w:rsidRPr="00AB4C34" w:rsidRDefault="00FA567F" w:rsidP="004B4B9D">
      <w:pPr>
        <w:pStyle w:val="SingleTxtGR"/>
      </w:pPr>
      <w:r w:rsidRPr="00AB4C34">
        <w:t>268.</w:t>
      </w:r>
      <w:r w:rsidRPr="00AB4C34">
        <w:tab/>
        <w:t>Суд по трудовым спорам Гента вынес 26 марта 2007 года обвинительный приговор по делу комп</w:t>
      </w:r>
      <w:r w:rsidRPr="00AB4C34">
        <w:t>а</w:t>
      </w:r>
      <w:r w:rsidRPr="00AB4C34">
        <w:t>нии, работающей в сфере обеспечения безопасности, за проявление прямой дискриминации на основе этнического происхождения, п</w:t>
      </w:r>
      <w:r w:rsidRPr="00AB4C34">
        <w:t>о</w:t>
      </w:r>
      <w:r w:rsidRPr="00AB4C34">
        <w:t>скольку ее руководитель потребовал по электронной почте от одного из сотру</w:t>
      </w:r>
      <w:r w:rsidRPr="00AB4C34">
        <w:t>д</w:t>
      </w:r>
      <w:r w:rsidRPr="00AB4C34">
        <w:t xml:space="preserve">ников отклонить кандидатуру бельгийца турецкого происхождения, пояснив, что он никогда не видел иностранца, занимающегося продажей оборудования по обеспечению безопасности. Чтобы подобные проявления не повторялись, судья обязал компанию уплатить штраф в размере 2 500 евро. </w:t>
      </w:r>
    </w:p>
    <w:p w:rsidR="00FA567F" w:rsidRPr="00AB4C34" w:rsidRDefault="00FA567F" w:rsidP="004B4B9D">
      <w:pPr>
        <w:pStyle w:val="SingleTxtGR"/>
      </w:pPr>
      <w:r w:rsidRPr="00AB4C34">
        <w:t>269.</w:t>
      </w:r>
      <w:r w:rsidRPr="00AB4C34">
        <w:tab/>
        <w:t>Компания, занимающаяся установкой гаражных ворот, заявила об отказе в найме работников иностранного происхождения по причине того, что ее кл</w:t>
      </w:r>
      <w:r w:rsidRPr="00AB4C34">
        <w:t>и</w:t>
      </w:r>
      <w:r w:rsidRPr="00AB4C34">
        <w:t>енты желают иметь дело только с работниками-бельгийцами. По преюдициал</w:t>
      </w:r>
      <w:r w:rsidRPr="00AB4C34">
        <w:t>ь</w:t>
      </w:r>
      <w:r w:rsidRPr="00AB4C34">
        <w:t>ному вопросу дело было передано Суду Европейского союза</w:t>
      </w:r>
      <w:r>
        <w:rPr>
          <w:rStyle w:val="FootnoteReference"/>
        </w:rPr>
        <w:footnoteReference w:id="29"/>
      </w:r>
      <w:r w:rsidRPr="00AB4C34">
        <w:t>, который ук</w:t>
      </w:r>
      <w:r w:rsidRPr="00AB4C34">
        <w:t>а</w:t>
      </w:r>
      <w:r w:rsidRPr="00AB4C34">
        <w:t>зал, что работодатель, публично заявляющий о намерении не нанимать работников иностранного происхождения, является виновным в проявлении дискримин</w:t>
      </w:r>
      <w:r w:rsidRPr="00AB4C34">
        <w:t>а</w:t>
      </w:r>
      <w:r w:rsidRPr="00AB4C34">
        <w:t>ции. Суд по трудовым спорам Брюсселя в своем постановлении от 28 августа 2009 года сделал аналогичный вывод и распорядился прекратить дискримин</w:t>
      </w:r>
      <w:r w:rsidRPr="00AB4C34">
        <w:t>а</w:t>
      </w:r>
      <w:r w:rsidRPr="00AB4C34">
        <w:t>цию и опубликовать постановление в ряде ежедневных периодических изд</w:t>
      </w:r>
      <w:r w:rsidRPr="00AB4C34">
        <w:t>а</w:t>
      </w:r>
      <w:r w:rsidRPr="00AB4C34">
        <w:t>ний.</w:t>
      </w:r>
    </w:p>
    <w:p w:rsidR="00FA567F" w:rsidRPr="00AB4C34" w:rsidRDefault="00FA567F" w:rsidP="004B4B9D">
      <w:pPr>
        <w:pStyle w:val="H1GR"/>
      </w:pPr>
      <w:r w:rsidRPr="00AB4C34">
        <w:tab/>
        <w:t>G.</w:t>
      </w:r>
      <w:r w:rsidRPr="00AB4C34">
        <w:tab/>
        <w:t>Борьба с дискриминацией</w:t>
      </w:r>
      <w:r>
        <w:t xml:space="preserve"> в сфере осуществления права на </w:t>
      </w:r>
      <w:r w:rsidRPr="00AB4C34">
        <w:t xml:space="preserve">жилище </w:t>
      </w:r>
    </w:p>
    <w:p w:rsidR="00FA567F" w:rsidRPr="00AB4C34" w:rsidRDefault="00FA567F" w:rsidP="004B4B9D">
      <w:pPr>
        <w:pStyle w:val="H23GR"/>
      </w:pPr>
      <w:r w:rsidRPr="00AB4C34">
        <w:tab/>
        <w:t>1.</w:t>
      </w:r>
      <w:r w:rsidRPr="00AB4C34">
        <w:tab/>
        <w:t xml:space="preserve">Валлонский регион </w:t>
      </w:r>
    </w:p>
    <w:p w:rsidR="00FA567F" w:rsidRPr="00AB4C34" w:rsidRDefault="00FA567F" w:rsidP="004B4B9D">
      <w:pPr>
        <w:pStyle w:val="SingleTxtGR"/>
      </w:pPr>
      <w:r w:rsidRPr="00AB4C34">
        <w:t>270.</w:t>
      </w:r>
      <w:r w:rsidRPr="00AB4C34">
        <w:tab/>
        <w:t>Все меры регионального характера, направленные на содействие в дост</w:t>
      </w:r>
      <w:r w:rsidRPr="00AB4C34">
        <w:t>у</w:t>
      </w:r>
      <w:r w:rsidRPr="00AB4C34">
        <w:t>пе к жилищу, ориентированы прежде всего на лиц с низким доходом, независ</w:t>
      </w:r>
      <w:r w:rsidRPr="00AB4C34">
        <w:t>и</w:t>
      </w:r>
      <w:r w:rsidRPr="00AB4C34">
        <w:t>мо от их происхождения.</w:t>
      </w:r>
    </w:p>
    <w:p w:rsidR="00FA567F" w:rsidRPr="00AB4C34" w:rsidRDefault="00FA567F" w:rsidP="004B4B9D">
      <w:pPr>
        <w:pStyle w:val="SingleTxtGR"/>
      </w:pPr>
      <w:r w:rsidRPr="00AB4C34">
        <w:t>271.</w:t>
      </w:r>
      <w:r w:rsidRPr="00AB4C34">
        <w:tab/>
        <w:t>В секторе социального жилья одной из приоритетных целей стало соц</w:t>
      </w:r>
      <w:r w:rsidRPr="00AB4C34">
        <w:t>и</w:t>
      </w:r>
      <w:r w:rsidRPr="00AB4C34">
        <w:t>альное сопровождение: оно направлено, в частности, на обеспечение гармони</w:t>
      </w:r>
      <w:r w:rsidRPr="00AB4C34">
        <w:t>ч</w:t>
      </w:r>
      <w:r w:rsidRPr="00AB4C34">
        <w:t>ной интеграции лиц в их жилища и в среду пр</w:t>
      </w:r>
      <w:r w:rsidRPr="00AB4C34">
        <w:t>о</w:t>
      </w:r>
      <w:r w:rsidRPr="00AB4C34">
        <w:t>живания. Наряду с этим к числу поставленных целей по-прежнему относится социальная смешанность.</w:t>
      </w:r>
    </w:p>
    <w:p w:rsidR="00FA567F" w:rsidRPr="00AB4C34" w:rsidRDefault="00FA567F" w:rsidP="004B4B9D">
      <w:pPr>
        <w:pStyle w:val="SingleTxtGR"/>
      </w:pPr>
      <w:r w:rsidRPr="00AB4C34">
        <w:t>272.</w:t>
      </w:r>
      <w:r w:rsidRPr="00AB4C34">
        <w:tab/>
        <w:t>В секторе частного арендного жилья важной мерой снижения стоимости аренды для лиц с крайне низкими уровнями дохода являются пособия на пер</w:t>
      </w:r>
      <w:r w:rsidRPr="00AB4C34">
        <w:t>е</w:t>
      </w:r>
      <w:r w:rsidRPr="00AB4C34">
        <w:t>езд и на арендную плату. Среди пользователей этой системы отмечается чре</w:t>
      </w:r>
      <w:r w:rsidRPr="00AB4C34">
        <w:t>з</w:t>
      </w:r>
      <w:r w:rsidRPr="00AB4C34">
        <w:t>мерная доля лиц иностранного происхождения.</w:t>
      </w:r>
    </w:p>
    <w:p w:rsidR="00FA567F" w:rsidRPr="00AB4C34" w:rsidRDefault="00FA567F" w:rsidP="004B4B9D">
      <w:pPr>
        <w:pStyle w:val="SingleTxtGR"/>
      </w:pPr>
      <w:r w:rsidRPr="00AB4C34">
        <w:t>273.</w:t>
      </w:r>
      <w:r w:rsidRPr="00AB4C34">
        <w:tab/>
        <w:t>Одним из инструментов по оказанию семьям с низкими доходами пом</w:t>
      </w:r>
      <w:r w:rsidRPr="00AB4C34">
        <w:t>о</w:t>
      </w:r>
      <w:r w:rsidRPr="00AB4C34">
        <w:t>щи в приобретении жилья является кредитование многодетных семей. За пер</w:t>
      </w:r>
      <w:r w:rsidRPr="00AB4C34">
        <w:t>и</w:t>
      </w:r>
      <w:r w:rsidRPr="00AB4C34">
        <w:t>од 2001</w:t>
      </w:r>
      <w:r>
        <w:t>−</w:t>
      </w:r>
      <w:r w:rsidRPr="00AB4C34">
        <w:t>2011 годов доля кредитов, предоставленных семьям иностранного пр</w:t>
      </w:r>
      <w:r w:rsidRPr="00AB4C34">
        <w:t>о</w:t>
      </w:r>
      <w:r w:rsidRPr="00AB4C34">
        <w:t>исхождения, выросла с 16,7% до 22,1%.</w:t>
      </w:r>
    </w:p>
    <w:p w:rsidR="00FA567F" w:rsidRPr="00AB4C34" w:rsidRDefault="00FA567F" w:rsidP="004B4B9D">
      <w:pPr>
        <w:pStyle w:val="SingleTxtGR"/>
      </w:pPr>
      <w:r w:rsidRPr="00AB4C34">
        <w:t>274.</w:t>
      </w:r>
      <w:r w:rsidRPr="00AB4C34">
        <w:tab/>
        <w:t>Были приняты различные меры для улучшения условий приема кочевых общин в Валлонии (см. выше, статья 2).</w:t>
      </w:r>
    </w:p>
    <w:p w:rsidR="00FA567F" w:rsidRPr="00AB4C34" w:rsidRDefault="00FA567F" w:rsidP="004B4B9D">
      <w:pPr>
        <w:pStyle w:val="H23GR"/>
      </w:pPr>
      <w:r w:rsidRPr="00AB4C34">
        <w:tab/>
        <w:t>2.</w:t>
      </w:r>
      <w:r w:rsidRPr="00AB4C34">
        <w:tab/>
        <w:t>Брюссельский столичный регион</w:t>
      </w:r>
    </w:p>
    <w:p w:rsidR="00FA567F" w:rsidRPr="00AB4C34" w:rsidRDefault="00FA567F" w:rsidP="004B4B9D">
      <w:pPr>
        <w:pStyle w:val="SingleTxtGR"/>
      </w:pPr>
      <w:r w:rsidRPr="00AB4C34">
        <w:t>275.</w:t>
      </w:r>
      <w:r w:rsidRPr="00AB4C34">
        <w:tab/>
        <w:t>Проблемы, связанные с приемом лиц кочевого образа жизни, относятся к числу приоритетов Регионального плана развития Брюссельского столичного региона (см. выше, статья 2).</w:t>
      </w:r>
    </w:p>
    <w:p w:rsidR="00FA567F" w:rsidRPr="00AB4C34" w:rsidRDefault="00FA567F" w:rsidP="004B4B9D">
      <w:pPr>
        <w:pStyle w:val="SingleTxtGR"/>
      </w:pPr>
      <w:r w:rsidRPr="00AB4C34">
        <w:t>276.</w:t>
      </w:r>
      <w:r w:rsidRPr="00AB4C34">
        <w:tab/>
        <w:t>Меры по оказанию малоимущим домохозяйствам содействия в доступе к жилищу основаны пре</w:t>
      </w:r>
      <w:r w:rsidRPr="00AB4C34">
        <w:t>ж</w:t>
      </w:r>
      <w:r w:rsidRPr="00AB4C34">
        <w:t>де всего на критерии финансовых доходов во избежание любых проявлений территориальной сегрегации по признаку их этнического происхождения. Кроме того, особое внимание при осуществлении расселения уделяется социальной смешанности, чтобы в аналогичных районах находились объекты соц</w:t>
      </w:r>
      <w:r w:rsidRPr="00AB4C34">
        <w:t>и</w:t>
      </w:r>
      <w:r w:rsidRPr="00AB4C34">
        <w:t>ального арендного жилья, арендного жилья для семей со средним доходом и частного жилья. Такое стремление к социальной смешанности (дох</w:t>
      </w:r>
      <w:r w:rsidRPr="00AB4C34">
        <w:t>о</w:t>
      </w:r>
      <w:r w:rsidRPr="00AB4C34">
        <w:t>дов, культур, поколений) является третьим приоритетом Регионального плана развития.</w:t>
      </w:r>
    </w:p>
    <w:p w:rsidR="00FA567F" w:rsidRPr="00AB4C34" w:rsidRDefault="00FA567F" w:rsidP="004B4B9D">
      <w:pPr>
        <w:pStyle w:val="H23GR"/>
      </w:pPr>
      <w:r w:rsidRPr="00AB4C34">
        <w:tab/>
        <w:t>3.</w:t>
      </w:r>
      <w:r w:rsidRPr="00AB4C34">
        <w:tab/>
        <w:t>Фламандское сообщество</w:t>
      </w:r>
    </w:p>
    <w:p w:rsidR="00FA567F" w:rsidRPr="00AB4C34" w:rsidRDefault="00FA567F" w:rsidP="004B4B9D">
      <w:pPr>
        <w:pStyle w:val="SingleTxtGR"/>
      </w:pPr>
      <w:r w:rsidRPr="00AB4C34">
        <w:t>277.</w:t>
      </w:r>
      <w:r w:rsidRPr="00AB4C34">
        <w:tab/>
        <w:t>Социальная жилищная политика основана на четырех принципах, ка</w:t>
      </w:r>
      <w:r w:rsidRPr="00AB4C34">
        <w:t>ж</w:t>
      </w:r>
      <w:r w:rsidRPr="00AB4C34">
        <w:t>дый из которых играет определенную роль в процессе распределения единиц жилья и доступа к ним: наличие, безопасность ж</w:t>
      </w:r>
      <w:r w:rsidRPr="00AB4C34">
        <w:t>и</w:t>
      </w:r>
      <w:r w:rsidRPr="00AB4C34">
        <w:t>лища, качество жилой среды и материальное положение.</w:t>
      </w:r>
    </w:p>
    <w:p w:rsidR="00FA567F" w:rsidRPr="00AB4C34" w:rsidRDefault="00FA567F" w:rsidP="004B4B9D">
      <w:pPr>
        <w:pStyle w:val="SingleTxtGR"/>
      </w:pPr>
      <w:r w:rsidRPr="00AB4C34">
        <w:t>278.</w:t>
      </w:r>
      <w:r w:rsidRPr="00AB4C34">
        <w:tab/>
        <w:t>Выполнение правил упорядоченного доступа и предоставления социал</w:t>
      </w:r>
      <w:r w:rsidRPr="00AB4C34">
        <w:t>ь</w:t>
      </w:r>
      <w:r w:rsidRPr="00AB4C34">
        <w:t>ного жилья субъектами социального жилищного сектора (компании социальн</w:t>
      </w:r>
      <w:r w:rsidRPr="00AB4C34">
        <w:t>о</w:t>
      </w:r>
      <w:r w:rsidRPr="00AB4C34">
        <w:t>го жилья, бюро по аренде социального жилья, коммунами, государственными центрами социального обеспечения и т.д.) контролируется независимой и</w:t>
      </w:r>
      <w:r w:rsidRPr="00AB4C34">
        <w:t>н</w:t>
      </w:r>
      <w:r w:rsidRPr="00AB4C34">
        <w:t>спекционной службой, призванной следить за соблюдением классификации и объективных правил регистрации кандидатов и предоставления жилья, в том числе местные правила его предоставления. Таким образом, при принятии р</w:t>
      </w:r>
      <w:r w:rsidRPr="00AB4C34">
        <w:t>е</w:t>
      </w:r>
      <w:r w:rsidRPr="00AB4C34">
        <w:t>шения о выделении жилья или о выселении арендатора из социального жилья не могут приниматься во внимание иные соображения, кроме объективных м</w:t>
      </w:r>
      <w:r w:rsidRPr="00AB4C34">
        <w:t>о</w:t>
      </w:r>
      <w:r w:rsidRPr="00AB4C34">
        <w:t>тивов. В этой связи также контролируется строгое соблюдение приоритетности а) инвалидов, b) лиц, оказавшихся бездомными в результате переселения в св</w:t>
      </w:r>
      <w:r w:rsidRPr="00AB4C34">
        <w:t>я</w:t>
      </w:r>
      <w:r w:rsidRPr="00AB4C34">
        <w:t>зи с ремонтом и работами по сносу, признанием жилища неадекватным или н</w:t>
      </w:r>
      <w:r w:rsidRPr="00AB4C34">
        <w:t>е</w:t>
      </w:r>
      <w:r w:rsidRPr="00AB4C34">
        <w:t>пригодным для проживания, а также с экспроприацией, и с) других категорий лиц, которые должны иметь преимущество в соответствии с местными прав</w:t>
      </w:r>
      <w:r w:rsidRPr="00AB4C34">
        <w:t>и</w:t>
      </w:r>
      <w:r w:rsidRPr="00AB4C34">
        <w:t>лами предоставления жилья. В случаях, когда может быть поставлен вопрос о нарушении законной приоритетности или о принятии во внимание соображ</w:t>
      </w:r>
      <w:r w:rsidRPr="00AB4C34">
        <w:t>е</w:t>
      </w:r>
      <w:r w:rsidRPr="00AB4C34">
        <w:t>ний, способных привести к сегрегации, принятое решение отменяется в ожид</w:t>
      </w:r>
      <w:r w:rsidRPr="00AB4C34">
        <w:t>а</w:t>
      </w:r>
      <w:r w:rsidRPr="00AB4C34">
        <w:t xml:space="preserve">нии вынесения правомерного решения. </w:t>
      </w:r>
    </w:p>
    <w:p w:rsidR="00FA567F" w:rsidRPr="00AB4C34" w:rsidRDefault="00FA567F" w:rsidP="004B4B9D">
      <w:pPr>
        <w:pStyle w:val="SingleTxtGR"/>
      </w:pPr>
      <w:r w:rsidRPr="00AB4C34">
        <w:t>279.</w:t>
      </w:r>
      <w:r w:rsidRPr="00AB4C34">
        <w:tab/>
        <w:t>Чрезмерная представленность некоторых защищаемых групп, формир</w:t>
      </w:r>
      <w:r w:rsidRPr="00AB4C34">
        <w:t>о</w:t>
      </w:r>
      <w:r w:rsidRPr="00AB4C34">
        <w:t xml:space="preserve">вание </w:t>
      </w:r>
      <w:r>
        <w:t>"</w:t>
      </w:r>
      <w:r w:rsidRPr="00AB4C34">
        <w:t>особой социальной смешанности</w:t>
      </w:r>
      <w:r>
        <w:t>"</w:t>
      </w:r>
      <w:r w:rsidRPr="00AB4C34">
        <w:t xml:space="preserve"> или другие мотивы, которые не связ</w:t>
      </w:r>
      <w:r w:rsidRPr="00AB4C34">
        <w:t>а</w:t>
      </w:r>
      <w:r w:rsidRPr="00AB4C34">
        <w:t>ны с одним из установленных критериев доступа к жилью или его предоставл</w:t>
      </w:r>
      <w:r w:rsidRPr="00AB4C34">
        <w:t>е</w:t>
      </w:r>
      <w:r w:rsidRPr="00AB4C34">
        <w:t>ния, ни в коем случае не могут являться объективным мотивом и выдвигат</w:t>
      </w:r>
      <w:r w:rsidRPr="00AB4C34">
        <w:t>ь</w:t>
      </w:r>
      <w:r w:rsidRPr="00AB4C34">
        <w:t>ся в качестве условия для доступа к социальному жилью.</w:t>
      </w:r>
    </w:p>
    <w:p w:rsidR="00FA567F" w:rsidRPr="00AB4C34" w:rsidRDefault="00FA567F" w:rsidP="004B4B9D">
      <w:pPr>
        <w:pStyle w:val="SingleTxtGR"/>
      </w:pPr>
      <w:r w:rsidRPr="00AB4C34">
        <w:t>280.</w:t>
      </w:r>
      <w:r w:rsidRPr="00AB4C34">
        <w:tab/>
        <w:t>К настоящему времени не было выявлено ни одной проблемы, касающе</w:t>
      </w:r>
      <w:r w:rsidRPr="00AB4C34">
        <w:t>й</w:t>
      </w:r>
      <w:r w:rsidRPr="00AB4C34">
        <w:t>ся применения критерия готовности к изучению нидерландского языка</w:t>
      </w:r>
      <w:r w:rsidRPr="003C732E">
        <w:rPr>
          <w:rStyle w:val="FootnoteReference"/>
        </w:rPr>
        <w:footnoteReference w:id="30"/>
      </w:r>
      <w:r w:rsidRPr="00AB4C34">
        <w:t xml:space="preserve"> или условий, связанных с какой-либо формой сегрег</w:t>
      </w:r>
      <w:r w:rsidRPr="00AB4C34">
        <w:t>а</w:t>
      </w:r>
      <w:r w:rsidRPr="00AB4C34">
        <w:t>ции, влекущей нарушение права на жилище.</w:t>
      </w:r>
    </w:p>
    <w:p w:rsidR="00FA567F" w:rsidRPr="00AB4C34" w:rsidRDefault="00FA567F" w:rsidP="004B4B9D">
      <w:pPr>
        <w:pStyle w:val="SingleTxtGR"/>
      </w:pPr>
      <w:r w:rsidRPr="00AB4C34">
        <w:t>281.</w:t>
      </w:r>
      <w:r w:rsidRPr="00AB4C34">
        <w:tab/>
        <w:t>Следует напомнить, что в рамках проводимой во Фландрии политики и</w:t>
      </w:r>
      <w:r w:rsidRPr="00AB4C34">
        <w:t>н</w:t>
      </w:r>
      <w:r w:rsidRPr="00AB4C34">
        <w:t>теграции особое внимание уделяется приему</w:t>
      </w:r>
      <w:r>
        <w:t xml:space="preserve"> лиц кочевого образа жизни (см. </w:t>
      </w:r>
      <w:r w:rsidRPr="00AB4C34">
        <w:t>выше, статья 2).</w:t>
      </w:r>
    </w:p>
    <w:p w:rsidR="00FA567F" w:rsidRPr="00AB4C34" w:rsidRDefault="00FA567F" w:rsidP="004B4B9D">
      <w:pPr>
        <w:pStyle w:val="H23GR"/>
      </w:pPr>
      <w:r w:rsidRPr="00AB4C34">
        <w:tab/>
        <w:t>4.</w:t>
      </w:r>
      <w:r w:rsidRPr="00AB4C34">
        <w:tab/>
        <w:t>Вынесение обвинительных приговоров по делам о расовой ди</w:t>
      </w:r>
      <w:r w:rsidRPr="00AB4C34">
        <w:t>с</w:t>
      </w:r>
      <w:r w:rsidRPr="00AB4C34">
        <w:t>криминации при осущест</w:t>
      </w:r>
      <w:r w:rsidRPr="00AB4C34">
        <w:t>в</w:t>
      </w:r>
      <w:r w:rsidRPr="00AB4C34">
        <w:t>лении права на жилище</w:t>
      </w:r>
    </w:p>
    <w:p w:rsidR="00FA567F" w:rsidRPr="00AB4C34" w:rsidRDefault="00FA567F" w:rsidP="004B4B9D">
      <w:pPr>
        <w:pStyle w:val="SingleTxtGR"/>
      </w:pPr>
      <w:r w:rsidRPr="00AB4C34">
        <w:t>282.</w:t>
      </w:r>
      <w:r w:rsidRPr="00AB4C34">
        <w:tab/>
        <w:t>Как и в сфере занятости, судебные органы Бельгии назначают наказания за проявления дискрим</w:t>
      </w:r>
      <w:r w:rsidRPr="00AB4C34">
        <w:t>и</w:t>
      </w:r>
      <w:r w:rsidRPr="00AB4C34">
        <w:t>нации при осуществлении права на жилище. Например, 23 июня 2010 года исправительный суд Антверпена приговорил агента по н</w:t>
      </w:r>
      <w:r w:rsidRPr="00AB4C34">
        <w:t>е</w:t>
      </w:r>
      <w:r w:rsidRPr="00AB4C34">
        <w:t>движимости к выплате компенсации в размере 250 евро и к выполнению общ</w:t>
      </w:r>
      <w:r w:rsidRPr="00AB4C34">
        <w:t>е</w:t>
      </w:r>
      <w:r w:rsidRPr="00AB4C34">
        <w:t>ственно-полезных работ за то, что он, действуя в соответствии с пожеланиями соседей по дому, отказал кандидату на аренду квартиры по причине его прои</w:t>
      </w:r>
      <w:r w:rsidRPr="00AB4C34">
        <w:t>с</w:t>
      </w:r>
      <w:r w:rsidRPr="00AB4C34">
        <w:t>хождения и сообщил ему об этом в пис</w:t>
      </w:r>
      <w:r w:rsidRPr="00AB4C34">
        <w:t>ь</w:t>
      </w:r>
      <w:r w:rsidRPr="00AB4C34">
        <w:t>менной форме.</w:t>
      </w:r>
    </w:p>
    <w:p w:rsidR="00FA567F" w:rsidRPr="00AB4C34" w:rsidRDefault="006A2F7E" w:rsidP="004B4B9D">
      <w:pPr>
        <w:pStyle w:val="HChGR"/>
      </w:pPr>
      <w:r>
        <w:tab/>
      </w:r>
      <w:r>
        <w:tab/>
        <w:t>Статья 6</w:t>
      </w:r>
      <w:r>
        <w:br/>
      </w:r>
      <w:r w:rsidR="00FA567F" w:rsidRPr="00AB4C34">
        <w:t>Средства правовой защиты и процедуры рассмотрения жалоб в суде</w:t>
      </w:r>
    </w:p>
    <w:p w:rsidR="00FA567F" w:rsidRPr="00AB4C34" w:rsidRDefault="00FA567F" w:rsidP="004B4B9D">
      <w:pPr>
        <w:pStyle w:val="H1GR"/>
      </w:pPr>
      <w:r w:rsidRPr="00AB4C34">
        <w:tab/>
        <w:t>A.</w:t>
      </w:r>
      <w:r w:rsidRPr="00AB4C34">
        <w:tab/>
        <w:t xml:space="preserve">Меры по повышению уровня осуществления положений уголовного законодательства о борьбе с расизмом </w:t>
      </w:r>
    </w:p>
    <w:p w:rsidR="00FA567F" w:rsidRPr="00AB4C34" w:rsidRDefault="00FA567F" w:rsidP="004B4B9D">
      <w:pPr>
        <w:pStyle w:val="SingleTxtGR"/>
      </w:pPr>
      <w:r w:rsidRPr="00AB4C34">
        <w:t>283.</w:t>
      </w:r>
      <w:r w:rsidRPr="00AB4C34">
        <w:tab/>
        <w:t>В стране были приняты меры в целях повышения уровня осуществления положений уголовного законодательства о борьбе с расизмом и дискриминац</w:t>
      </w:r>
      <w:r w:rsidRPr="00AB4C34">
        <w:t>и</w:t>
      </w:r>
      <w:r w:rsidRPr="00AB4C34">
        <w:t>ей.</w:t>
      </w:r>
    </w:p>
    <w:p w:rsidR="00FA567F" w:rsidRPr="00AB4C34" w:rsidRDefault="00FA567F" w:rsidP="004B4B9D">
      <w:pPr>
        <w:pStyle w:val="SingleTxtGR"/>
      </w:pPr>
      <w:r w:rsidRPr="00AB4C34">
        <w:t>284.</w:t>
      </w:r>
      <w:r w:rsidRPr="00AB4C34">
        <w:tab/>
        <w:t>В частности, в каждом судебном округе был назначен профильный судья со специализацией по делам о проявлениях расизма и дискриминации для их передачи в Генеральную прокуратуру.</w:t>
      </w:r>
    </w:p>
    <w:p w:rsidR="00FA567F" w:rsidRPr="00AB4C34" w:rsidRDefault="00FA567F" w:rsidP="004B4B9D">
      <w:pPr>
        <w:pStyle w:val="SingleTxtGR"/>
      </w:pPr>
      <w:r w:rsidRPr="00AB4C34">
        <w:t>285.</w:t>
      </w:r>
      <w:r w:rsidRPr="00AB4C34">
        <w:tab/>
        <w:t>Наряду с этим Коллегией генеральных прокуроров был принят вступи</w:t>
      </w:r>
      <w:r w:rsidRPr="00AB4C34">
        <w:t>в</w:t>
      </w:r>
      <w:r w:rsidRPr="00AB4C34">
        <w:t>ший в силу 3 апреля 2006 года циркуляр COL 6/2006 (приложение XIII), цель которого – уточнить классификацию признаков, позволяющих выявлять нал</w:t>
      </w:r>
      <w:r w:rsidRPr="00AB4C34">
        <w:t>и</w:t>
      </w:r>
      <w:r w:rsidRPr="00AB4C34">
        <w:t>чие расистской подоплеки в некоторых правонарушениях. Согласно этому ци</w:t>
      </w:r>
      <w:r w:rsidRPr="00AB4C34">
        <w:t>р</w:t>
      </w:r>
      <w:r w:rsidR="006A2F7E">
        <w:t>куляру</w:t>
      </w:r>
      <w:r w:rsidRPr="00AB4C34">
        <w:t xml:space="preserve"> в случае правонарушения, вызванного расистскими или ксенофобными мотивами, органы полиции и прокуратуры должны в момент регистрации пр</w:t>
      </w:r>
      <w:r w:rsidRPr="00AB4C34">
        <w:t>а</w:t>
      </w:r>
      <w:r w:rsidRPr="00AB4C34">
        <w:t>вонарушения непосредственно упомянуть о наличии таких мотивов. Также предусматривается, что при наличии сомнений можно обратиться к профил</w:t>
      </w:r>
      <w:r w:rsidRPr="00AB4C34">
        <w:t>ь</w:t>
      </w:r>
      <w:r w:rsidRPr="00AB4C34">
        <w:t>ному судье (см. выше), контролирующему надлежащее выполнение циркуляра. В нем также уточняется, что на всех этапах разбирательства должна быть пр</w:t>
      </w:r>
      <w:r w:rsidRPr="00AB4C34">
        <w:t>е</w:t>
      </w:r>
      <w:r w:rsidRPr="00AB4C34">
        <w:t>дусмотрена возможность добавить или исключить упоминание о расистском характере правонарушения.</w:t>
      </w:r>
    </w:p>
    <w:p w:rsidR="00FA567F" w:rsidRPr="00AB4C34" w:rsidRDefault="00FA567F" w:rsidP="004B4B9D">
      <w:pPr>
        <w:pStyle w:val="SingleTxtGR"/>
      </w:pPr>
      <w:r w:rsidRPr="00AB4C34">
        <w:t>286.</w:t>
      </w:r>
      <w:r w:rsidRPr="00AB4C34">
        <w:tab/>
        <w:t>В 2007 году Центр по обеспечению равных возможностей и борьбе с р</w:t>
      </w:r>
      <w:r w:rsidRPr="00AB4C34">
        <w:t>а</w:t>
      </w:r>
      <w:r w:rsidRPr="00AB4C34">
        <w:t>сизмом провел семинар по проблеме расового насилия для сотрудников пол</w:t>
      </w:r>
      <w:r w:rsidRPr="00AB4C34">
        <w:t>и</w:t>
      </w:r>
      <w:r w:rsidRPr="00AB4C34">
        <w:t>ции и прокуратуры. Цель семинара заключалась в том, чтобы определить, ра</w:t>
      </w:r>
      <w:r w:rsidRPr="00AB4C34">
        <w:t>с</w:t>
      </w:r>
      <w:r w:rsidRPr="00AB4C34">
        <w:t>сматривают ли органы полиции и прокуратуры соответствующие правонаруш</w:t>
      </w:r>
      <w:r w:rsidRPr="00AB4C34">
        <w:t>е</w:t>
      </w:r>
      <w:r w:rsidR="006A2F7E">
        <w:t>ния</w:t>
      </w:r>
      <w:r w:rsidRPr="00AB4C34">
        <w:t xml:space="preserve"> надлежащим образом после вступления в силу упомянутого циркуляра и могут ли органы прокуратуры представить надежные статистические данные.</w:t>
      </w:r>
    </w:p>
    <w:p w:rsidR="00FA567F" w:rsidRPr="00AB4C34" w:rsidRDefault="00FA567F" w:rsidP="004B4B9D">
      <w:pPr>
        <w:pStyle w:val="SingleTxtGR"/>
      </w:pPr>
      <w:r w:rsidRPr="00AB4C34">
        <w:t>287.</w:t>
      </w:r>
      <w:r w:rsidRPr="00AB4C34">
        <w:tab/>
        <w:t>Наконец, в апреле 2012 года было принято решение образовать рабочую группу в составе судебных работников, представителей Федеральной госуда</w:t>
      </w:r>
      <w:r w:rsidRPr="00AB4C34">
        <w:t>р</w:t>
      </w:r>
      <w:r w:rsidRPr="00AB4C34">
        <w:t>ственной службы юстиции, Федеральной госуда</w:t>
      </w:r>
      <w:r w:rsidRPr="00AB4C34">
        <w:t>р</w:t>
      </w:r>
      <w:r w:rsidRPr="00AB4C34">
        <w:t>ственной службы внутренних дел и Центра по обеспечению равных возможностей и борьбе с расизмом для совершенствования методики регистрации жалоб, в частности жалоб на проя</w:t>
      </w:r>
      <w:r w:rsidRPr="00AB4C34">
        <w:t>в</w:t>
      </w:r>
      <w:r w:rsidRPr="00AB4C34">
        <w:t>ления расизма и гомофобии. Было установлено, что в протоколах о правонар</w:t>
      </w:r>
      <w:r w:rsidRPr="00AB4C34">
        <w:t>у</w:t>
      </w:r>
      <w:r w:rsidRPr="00AB4C34">
        <w:t>шениях и в системе их регистрации, по-видимому, недостаточно выделяется тот факт, что содеянное имеет расистскую подоплеку. Рабочая группа также обс</w:t>
      </w:r>
      <w:r w:rsidRPr="00AB4C34">
        <w:t>у</w:t>
      </w:r>
      <w:r w:rsidRPr="00AB4C34">
        <w:t xml:space="preserve">дит вопросы информационно-просветительской работы на эту тему. </w:t>
      </w:r>
    </w:p>
    <w:p w:rsidR="00FA567F" w:rsidRPr="00AB4C34" w:rsidRDefault="00FA567F" w:rsidP="004B4B9D">
      <w:pPr>
        <w:pStyle w:val="H1GR"/>
      </w:pPr>
      <w:r w:rsidRPr="00AB4C34">
        <w:tab/>
        <w:t>B.</w:t>
      </w:r>
      <w:r w:rsidRPr="00AB4C34">
        <w:tab/>
        <w:t xml:space="preserve">Статистические данные </w:t>
      </w:r>
    </w:p>
    <w:p w:rsidR="00FA567F" w:rsidRPr="00AB4C34" w:rsidRDefault="00FA567F" w:rsidP="004B4B9D">
      <w:pPr>
        <w:pStyle w:val="H4GR"/>
      </w:pPr>
      <w:r w:rsidRPr="00AB4C34">
        <w:tab/>
      </w:r>
      <w:r w:rsidRPr="00AB4C34">
        <w:tab/>
        <w:t xml:space="preserve">Жалобы на проявления расизма и ксенофобии </w:t>
      </w:r>
    </w:p>
    <w:p w:rsidR="00FA567F" w:rsidRPr="00AB4C34" w:rsidRDefault="00FA567F" w:rsidP="004B4B9D">
      <w:pPr>
        <w:pStyle w:val="SingleTxtGR"/>
      </w:pPr>
      <w:r w:rsidRPr="00AB4C34">
        <w:t>288.</w:t>
      </w:r>
      <w:r w:rsidRPr="00AB4C34">
        <w:tab/>
        <w:t>Коллегия генеральных прокуроров предоставила статистические данные о количестве жалоб, п</w:t>
      </w:r>
      <w:r w:rsidRPr="00AB4C34">
        <w:t>о</w:t>
      </w:r>
      <w:r w:rsidRPr="00AB4C34">
        <w:t>данных в связи с проявлениями расизма и ксенофобии. Они даны в разбивке по судебным округам и охватывают период 2006</w:t>
      </w:r>
      <w:r>
        <w:t>−</w:t>
      </w:r>
      <w:r w:rsidRPr="00AB4C34">
        <w:t>2011 г</w:t>
      </w:r>
      <w:r w:rsidRPr="00AB4C34">
        <w:t>о</w:t>
      </w:r>
      <w:r w:rsidRPr="00AB4C34">
        <w:t>дов (приложение XIV, таблицы 1</w:t>
      </w:r>
      <w:r>
        <w:t>−</w:t>
      </w:r>
      <w:r w:rsidRPr="00AB4C34">
        <w:t>6).</w:t>
      </w:r>
    </w:p>
    <w:p w:rsidR="00FA567F" w:rsidRPr="00AB4C34" w:rsidRDefault="00FA567F" w:rsidP="004B4B9D">
      <w:pPr>
        <w:pStyle w:val="SingleTxtGR"/>
      </w:pPr>
      <w:r w:rsidRPr="00AB4C34">
        <w:t>289.</w:t>
      </w:r>
      <w:r w:rsidRPr="00AB4C34">
        <w:tab/>
        <w:t>За указанный период исправительными органами прокуратуры Бельгии было возбуждено 5</w:t>
      </w:r>
      <w:r w:rsidR="006A2F7E">
        <w:t> </w:t>
      </w:r>
      <w:r w:rsidRPr="00AB4C34">
        <w:t>215 дел о расизме и/или к</w:t>
      </w:r>
      <w:r>
        <w:t>сенофобии, в том числе 1 033 – в </w:t>
      </w:r>
      <w:r w:rsidRPr="00AB4C34">
        <w:t xml:space="preserve">2006 году, 936 – в 2007 году, 899 – в 2008 году, 840 – в 2009 году, 767 </w:t>
      </w:r>
      <w:r>
        <w:t>− в 2010 </w:t>
      </w:r>
      <w:r w:rsidRPr="00AB4C34">
        <w:t xml:space="preserve">году и 740 </w:t>
      </w:r>
      <w:r>
        <w:t>−</w:t>
      </w:r>
      <w:r w:rsidRPr="00AB4C34">
        <w:t xml:space="preserve"> в 2011 году (таблицы 1 и 3). Как и в предыдущие годы, в целом по стране наибольшее число жалоб было подавно в судебный округ Брю</w:t>
      </w:r>
      <w:r w:rsidRPr="00AB4C34">
        <w:t>с</w:t>
      </w:r>
      <w:r w:rsidRPr="00AB4C34">
        <w:t>селя.</w:t>
      </w:r>
    </w:p>
    <w:p w:rsidR="00FA567F" w:rsidRPr="00AB4C34" w:rsidRDefault="00FA567F" w:rsidP="004B4B9D">
      <w:pPr>
        <w:pStyle w:val="SingleTxtGR"/>
      </w:pPr>
      <w:r w:rsidRPr="00AB4C34">
        <w:t>290.</w:t>
      </w:r>
      <w:r w:rsidRPr="00AB4C34">
        <w:tab/>
        <w:t>Что касается общего числа возбужденных дел, то 4</w:t>
      </w:r>
      <w:r>
        <w:t xml:space="preserve"> </w:t>
      </w:r>
      <w:r w:rsidRPr="00AB4C34">
        <w:t>138 из них были пр</w:t>
      </w:r>
      <w:r w:rsidRPr="00AB4C34">
        <w:t>е</w:t>
      </w:r>
      <w:r w:rsidRPr="00AB4C34">
        <w:t>кращены производством (таблица 4): 2</w:t>
      </w:r>
      <w:r>
        <w:t xml:space="preserve"> </w:t>
      </w:r>
      <w:r w:rsidRPr="00AB4C34">
        <w:t>757 – по техническим мотивам (таким как отсутствие нарушения, недостаточность обв</w:t>
      </w:r>
      <w:r w:rsidRPr="00AB4C34">
        <w:t>и</w:t>
      </w:r>
      <w:r w:rsidRPr="00AB4C34">
        <w:t>нений или срок давности), 1</w:t>
      </w:r>
      <w:r w:rsidR="006A2F7E">
        <w:t> </w:t>
      </w:r>
      <w:r w:rsidRPr="00AB4C34">
        <w:t>251 – в связи со смягч</w:t>
      </w:r>
      <w:r>
        <w:t>ающими обстоятельствами (такими</w:t>
      </w:r>
      <w:r w:rsidRPr="00AB4C34">
        <w:t xml:space="preserve"> как отсутствие с</w:t>
      </w:r>
      <w:r w:rsidRPr="00AB4C34">
        <w:t>у</w:t>
      </w:r>
      <w:r w:rsidRPr="00AB4C34">
        <w:t>димости или юный возраст обвиняемого) и 130 – по иным мотивам (таблица 5).</w:t>
      </w:r>
    </w:p>
    <w:p w:rsidR="00FA567F" w:rsidRPr="00AB4C34" w:rsidRDefault="00FA567F" w:rsidP="004B4B9D">
      <w:pPr>
        <w:pStyle w:val="SingleTxtGR"/>
      </w:pPr>
      <w:r w:rsidRPr="00AB4C34">
        <w:t>291.</w:t>
      </w:r>
      <w:r w:rsidRPr="00AB4C34">
        <w:tab/>
        <w:t>Из общего числа возбужденных дел по 354 делам было вынесено пост</w:t>
      </w:r>
      <w:r w:rsidRPr="00AB4C34">
        <w:t>а</w:t>
      </w:r>
      <w:r w:rsidRPr="00AB4C34">
        <w:t>новление исправительного суда; в целом было вынесено 240 обвинительных приговоров, 44 решения о приостановлении произво</w:t>
      </w:r>
      <w:r w:rsidRPr="00AB4C34">
        <w:t>д</w:t>
      </w:r>
      <w:r w:rsidRPr="00AB4C34">
        <w:t>ства и 56 оправдательных приговоров (таблица 6).</w:t>
      </w:r>
    </w:p>
    <w:p w:rsidR="00FA567F" w:rsidRPr="00AB4C34" w:rsidRDefault="00FA567F" w:rsidP="004B4B9D">
      <w:pPr>
        <w:pStyle w:val="H4GR"/>
      </w:pPr>
      <w:r w:rsidRPr="00AB4C34">
        <w:tab/>
      </w:r>
      <w:r w:rsidRPr="00AB4C34">
        <w:tab/>
        <w:t>Обвинительные приговоры, вынесенные по уголовным делам о расизме и</w:t>
      </w:r>
      <w:r w:rsidR="004C7743">
        <w:br/>
      </w:r>
      <w:r w:rsidR="004C7743">
        <w:tab/>
      </w:r>
      <w:r w:rsidR="004C7743">
        <w:tab/>
      </w:r>
      <w:r w:rsidRPr="00AB4C34">
        <w:t xml:space="preserve"> ксенофобии </w:t>
      </w:r>
    </w:p>
    <w:p w:rsidR="00FA567F" w:rsidRPr="00AB4C34" w:rsidRDefault="00FA567F" w:rsidP="004B4B9D">
      <w:pPr>
        <w:pStyle w:val="SingleTxtGR"/>
      </w:pPr>
      <w:r w:rsidRPr="00AB4C34">
        <w:t>292.</w:t>
      </w:r>
      <w:r w:rsidRPr="00AB4C34">
        <w:tab/>
        <w:t>Служба уголовной политики, относящаяся к структуре Федеральной г</w:t>
      </w:r>
      <w:r w:rsidRPr="00AB4C34">
        <w:t>о</w:t>
      </w:r>
      <w:r w:rsidRPr="00AB4C34">
        <w:t>сударственной службы юстиции, представила статистические данные о колич</w:t>
      </w:r>
      <w:r w:rsidRPr="00AB4C34">
        <w:t>е</w:t>
      </w:r>
      <w:r w:rsidRPr="00AB4C34">
        <w:t>стве обвинительных приговоров по уголовным делам о расизме и ксенофобии, которые были вынесены за период 2006</w:t>
      </w:r>
      <w:r>
        <w:t>−</w:t>
      </w:r>
      <w:r w:rsidRPr="00AB4C34">
        <w:t>2010 годов. Эти данные указывают на рост числа обвинительных приговоров, вынесенных за деяния такого рода в т</w:t>
      </w:r>
      <w:r w:rsidRPr="00AB4C34">
        <w:t>е</w:t>
      </w:r>
      <w:r w:rsidRPr="00AB4C34">
        <w:t>чение пяти последних лет:</w:t>
      </w:r>
    </w:p>
    <w:p w:rsidR="00FA567F" w:rsidRPr="00AB4C34" w:rsidRDefault="00FA567F" w:rsidP="004B4B9D">
      <w:pPr>
        <w:pStyle w:val="Bullet1GR"/>
        <w:numPr>
          <w:ilvl w:val="0"/>
          <w:numId w:val="1"/>
        </w:numPr>
      </w:pPr>
      <w:r w:rsidRPr="00AB4C34">
        <w:t xml:space="preserve">в 2006 году </w:t>
      </w:r>
      <w:r>
        <w:t>−</w:t>
      </w:r>
      <w:r w:rsidRPr="00AB4C34">
        <w:t xml:space="preserve"> 31;</w:t>
      </w:r>
    </w:p>
    <w:p w:rsidR="00FA567F" w:rsidRPr="00AB4C34" w:rsidRDefault="00FA567F" w:rsidP="004B4B9D">
      <w:pPr>
        <w:pStyle w:val="Bullet1GR"/>
        <w:numPr>
          <w:ilvl w:val="0"/>
          <w:numId w:val="1"/>
        </w:numPr>
      </w:pPr>
      <w:r w:rsidRPr="00AB4C34">
        <w:t xml:space="preserve">в 2007 году </w:t>
      </w:r>
      <w:r>
        <w:t>−</w:t>
      </w:r>
      <w:r w:rsidRPr="00AB4C34">
        <w:t xml:space="preserve"> 29;</w:t>
      </w:r>
    </w:p>
    <w:p w:rsidR="00FA567F" w:rsidRPr="00AB4C34" w:rsidRDefault="00FA567F" w:rsidP="004B4B9D">
      <w:pPr>
        <w:pStyle w:val="Bullet1GR"/>
        <w:numPr>
          <w:ilvl w:val="0"/>
          <w:numId w:val="1"/>
        </w:numPr>
      </w:pPr>
      <w:r w:rsidRPr="00AB4C34">
        <w:t xml:space="preserve">в 2008 году </w:t>
      </w:r>
      <w:r>
        <w:t>−</w:t>
      </w:r>
      <w:r w:rsidRPr="00AB4C34">
        <w:t xml:space="preserve"> 36;</w:t>
      </w:r>
    </w:p>
    <w:p w:rsidR="00FA567F" w:rsidRPr="00AB4C34" w:rsidRDefault="00FA567F" w:rsidP="004B4B9D">
      <w:pPr>
        <w:pStyle w:val="Bullet1GR"/>
        <w:numPr>
          <w:ilvl w:val="0"/>
          <w:numId w:val="1"/>
        </w:numPr>
      </w:pPr>
      <w:r w:rsidRPr="00AB4C34">
        <w:t xml:space="preserve">в 2009 году </w:t>
      </w:r>
      <w:r>
        <w:t>−</w:t>
      </w:r>
      <w:r w:rsidRPr="00AB4C34">
        <w:t xml:space="preserve"> 45;</w:t>
      </w:r>
    </w:p>
    <w:p w:rsidR="00FA567F" w:rsidRPr="00AB4C34" w:rsidRDefault="00FA567F" w:rsidP="004B4B9D">
      <w:pPr>
        <w:pStyle w:val="Bullet1GR"/>
        <w:numPr>
          <w:ilvl w:val="0"/>
          <w:numId w:val="1"/>
        </w:numPr>
      </w:pPr>
      <w:r w:rsidRPr="00AB4C34">
        <w:t xml:space="preserve">в 2010 году </w:t>
      </w:r>
      <w:r>
        <w:t>−</w:t>
      </w:r>
      <w:r w:rsidRPr="00AB4C34">
        <w:t xml:space="preserve"> 51.</w:t>
      </w:r>
    </w:p>
    <w:p w:rsidR="00FA567F" w:rsidRPr="00AB4C34" w:rsidRDefault="00FA567F" w:rsidP="004B4B9D">
      <w:pPr>
        <w:pStyle w:val="SingleTxtGR"/>
      </w:pPr>
      <w:r w:rsidRPr="00AB4C34">
        <w:t>293.</w:t>
      </w:r>
      <w:r w:rsidRPr="00AB4C34">
        <w:tab/>
        <w:t>Данные за 2011 и 2012 годы пока не готовы. Со статистикой вынесенных обвинительных приговоров можно ознакомиться на сайте Службы уголовной политики по адресу www.dsb-spc.be.</w:t>
      </w:r>
    </w:p>
    <w:p w:rsidR="00FA567F" w:rsidRPr="00AB4C34" w:rsidRDefault="00FA567F" w:rsidP="004B4B9D">
      <w:pPr>
        <w:pStyle w:val="H4GR"/>
      </w:pPr>
      <w:r w:rsidRPr="00AB4C34">
        <w:tab/>
      </w:r>
      <w:r w:rsidRPr="00AB4C34">
        <w:tab/>
        <w:t xml:space="preserve">Сообщения и дела, зарегистрированные Центром на основе критериев, </w:t>
      </w:r>
      <w:r w:rsidR="006A2F7E">
        <w:br/>
      </w:r>
      <w:r w:rsidR="006A2F7E">
        <w:tab/>
      </w:r>
      <w:r w:rsidR="006A2F7E">
        <w:tab/>
      </w:r>
      <w:r w:rsidRPr="00AB4C34">
        <w:t>защищаемых Законом от 30 июля 1981 года, и жалобы, поданные в судебные</w:t>
      </w:r>
      <w:r w:rsidR="006A2F7E">
        <w:br/>
      </w:r>
      <w:r w:rsidR="006A2F7E">
        <w:tab/>
      </w:r>
      <w:r w:rsidR="006A2F7E">
        <w:tab/>
      </w:r>
      <w:r w:rsidRPr="00AB4C34">
        <w:t>органы</w:t>
      </w:r>
    </w:p>
    <w:p w:rsidR="00FA567F" w:rsidRPr="00AB4C34" w:rsidRDefault="00FA567F" w:rsidP="004B4B9D">
      <w:pPr>
        <w:pStyle w:val="SingleTxtGR"/>
      </w:pPr>
      <w:r w:rsidRPr="00AB4C34">
        <w:t>294.</w:t>
      </w:r>
      <w:r w:rsidRPr="00AB4C34">
        <w:tab/>
        <w:t xml:space="preserve">Центр по обеспечению равных возможностей и борьбе с расизмом на своем сайте </w:t>
      </w:r>
      <w:r w:rsidRPr="0065089B">
        <w:t>(</w:t>
      </w:r>
      <w:hyperlink r:id="rId10" w:history="1">
        <w:r w:rsidRPr="0065089B">
          <w:rPr>
            <w:rStyle w:val="Hyperlink"/>
            <w:u w:val="none"/>
          </w:rPr>
          <w:t>www.diversite.be</w:t>
        </w:r>
      </w:hyperlink>
      <w:r w:rsidRPr="0065089B">
        <w:t>) пу</w:t>
      </w:r>
      <w:r w:rsidRPr="00AB4C34">
        <w:t>бликует решения, вынесенные судами и тр</w:t>
      </w:r>
      <w:r w:rsidRPr="00AB4C34">
        <w:t>и</w:t>
      </w:r>
      <w:r w:rsidRPr="00AB4C34">
        <w:t>буналами Бельгии на основании Закона от 30 июля 1981 года с изменениями, внесенными Законом от 10 мая 2007 года, и Закона от 23 марта 1995 года о пр</w:t>
      </w:r>
      <w:r w:rsidRPr="00AB4C34">
        <w:t>е</w:t>
      </w:r>
      <w:r w:rsidRPr="00AB4C34">
        <w:t>сечении отрицания, умаления, оправдания или одобрения геноцида, соверше</w:t>
      </w:r>
      <w:r w:rsidRPr="00AB4C34">
        <w:t>н</w:t>
      </w:r>
      <w:r w:rsidRPr="00AB4C34">
        <w:t>ного н</w:t>
      </w:r>
      <w:r w:rsidRPr="00AB4C34">
        <w:t>а</w:t>
      </w:r>
      <w:r w:rsidRPr="00AB4C34">
        <w:t xml:space="preserve">ционал-социалистским режимом Германии в период второй мировой войны, а также материалы судебной практики в области борьбы с торговлей людьми. </w:t>
      </w:r>
    </w:p>
    <w:p w:rsidR="00FA567F" w:rsidRPr="00AB4C34" w:rsidRDefault="00FA567F" w:rsidP="004B4B9D">
      <w:pPr>
        <w:pStyle w:val="SingleTxtGR"/>
      </w:pPr>
      <w:r w:rsidRPr="00AB4C34">
        <w:t>295.</w:t>
      </w:r>
      <w:r w:rsidRPr="00AB4C34">
        <w:tab/>
        <w:t>Кроме того, Центр</w:t>
      </w:r>
      <w:r w:rsidRPr="003C732E">
        <w:rPr>
          <w:rStyle w:val="FootnoteReference"/>
        </w:rPr>
        <w:footnoteReference w:id="31"/>
      </w:r>
      <w:r w:rsidRPr="00AB4C34">
        <w:t xml:space="preserve"> ежегодно публикует статистические данные о кол</w:t>
      </w:r>
      <w:r w:rsidRPr="00AB4C34">
        <w:t>и</w:t>
      </w:r>
      <w:r w:rsidRPr="00AB4C34">
        <w:t>честве сообщений/дел, получаемых им на основе критериев, защищаемых З</w:t>
      </w:r>
      <w:r w:rsidRPr="00AB4C34">
        <w:t>а</w:t>
      </w:r>
      <w:r w:rsidRPr="00AB4C34">
        <w:t>коном от 30 июля 1981 года (расовой принадлежности, цвета кожи и родового, национального или этнического происхождения). С более подробной статист</w:t>
      </w:r>
      <w:r w:rsidRPr="00AB4C34">
        <w:t>и</w:t>
      </w:r>
      <w:r w:rsidRPr="00AB4C34">
        <w:t>кой можно ознакомиться в приложении (приложение VII, таблицы 5 и 6).</w:t>
      </w:r>
    </w:p>
    <w:p w:rsidR="00FA567F" w:rsidRPr="00AB4C34" w:rsidRDefault="00FA567F" w:rsidP="004B4B9D">
      <w:pPr>
        <w:pStyle w:val="Bullet1GR"/>
        <w:numPr>
          <w:ilvl w:val="0"/>
          <w:numId w:val="1"/>
        </w:numPr>
      </w:pPr>
      <w:r w:rsidRPr="00AB4C34">
        <w:t xml:space="preserve">в 2006 году </w:t>
      </w:r>
      <w:r>
        <w:t>−</w:t>
      </w:r>
      <w:r w:rsidRPr="00AB4C34">
        <w:t xml:space="preserve"> 987 сообщений;</w:t>
      </w:r>
    </w:p>
    <w:p w:rsidR="00FA567F" w:rsidRPr="00AB4C34" w:rsidRDefault="00FA567F" w:rsidP="004B4B9D">
      <w:pPr>
        <w:pStyle w:val="Bullet1GR"/>
        <w:numPr>
          <w:ilvl w:val="0"/>
          <w:numId w:val="1"/>
        </w:numPr>
      </w:pPr>
      <w:r w:rsidRPr="00AB4C34">
        <w:t xml:space="preserve">в 2007 году </w:t>
      </w:r>
      <w:r>
        <w:t>−</w:t>
      </w:r>
      <w:r w:rsidRPr="00AB4C34">
        <w:t xml:space="preserve"> 1</w:t>
      </w:r>
      <w:r>
        <w:t xml:space="preserve"> </w:t>
      </w:r>
      <w:r w:rsidRPr="00AB4C34">
        <w:t>691 сообщение;</w:t>
      </w:r>
    </w:p>
    <w:p w:rsidR="00FA567F" w:rsidRPr="00AB4C34" w:rsidRDefault="00FA567F" w:rsidP="004B4B9D">
      <w:pPr>
        <w:pStyle w:val="Bullet1GR"/>
        <w:numPr>
          <w:ilvl w:val="0"/>
          <w:numId w:val="1"/>
        </w:numPr>
      </w:pPr>
      <w:r w:rsidRPr="00AB4C34">
        <w:t xml:space="preserve">в 2008 году </w:t>
      </w:r>
      <w:r>
        <w:t>−</w:t>
      </w:r>
      <w:r w:rsidRPr="00AB4C34">
        <w:t xml:space="preserve"> 983 сообщения;</w:t>
      </w:r>
    </w:p>
    <w:p w:rsidR="00FA567F" w:rsidRPr="00AB4C34" w:rsidRDefault="00FA567F" w:rsidP="004B4B9D">
      <w:pPr>
        <w:pStyle w:val="Bullet1GR"/>
        <w:numPr>
          <w:ilvl w:val="0"/>
          <w:numId w:val="1"/>
        </w:numPr>
      </w:pPr>
      <w:r w:rsidRPr="00AB4C34">
        <w:t xml:space="preserve">в 2009 году </w:t>
      </w:r>
      <w:r>
        <w:t>−</w:t>
      </w:r>
      <w:r w:rsidRPr="00AB4C34">
        <w:t xml:space="preserve"> 1</w:t>
      </w:r>
      <w:r>
        <w:t xml:space="preserve"> </w:t>
      </w:r>
      <w:r w:rsidRPr="00AB4C34">
        <w:t>081 сообщение/827 дел</w:t>
      </w:r>
      <w:r w:rsidRPr="003C732E">
        <w:rPr>
          <w:rStyle w:val="FootnoteReference"/>
        </w:rPr>
        <w:footnoteReference w:id="32"/>
      </w:r>
      <w:r w:rsidRPr="00AB4C34">
        <w:t>;</w:t>
      </w:r>
    </w:p>
    <w:p w:rsidR="00FA567F" w:rsidRPr="00AB4C34" w:rsidRDefault="00FA567F" w:rsidP="004B4B9D">
      <w:pPr>
        <w:pStyle w:val="Bullet1GR"/>
        <w:numPr>
          <w:ilvl w:val="0"/>
          <w:numId w:val="1"/>
        </w:numPr>
      </w:pPr>
      <w:r w:rsidRPr="00AB4C34">
        <w:t xml:space="preserve">в 2010 году </w:t>
      </w:r>
      <w:r>
        <w:t>−</w:t>
      </w:r>
      <w:r w:rsidRPr="00AB4C34">
        <w:t xml:space="preserve"> 1</w:t>
      </w:r>
      <w:r>
        <w:t xml:space="preserve"> </w:t>
      </w:r>
      <w:r w:rsidRPr="00AB4C34">
        <w:t>266 сообщений/627 дел;</w:t>
      </w:r>
    </w:p>
    <w:p w:rsidR="00FA567F" w:rsidRPr="00AB4C34" w:rsidRDefault="00FA567F" w:rsidP="004B4B9D">
      <w:pPr>
        <w:pStyle w:val="Bullet1GR"/>
        <w:numPr>
          <w:ilvl w:val="0"/>
          <w:numId w:val="1"/>
        </w:numPr>
      </w:pPr>
      <w:r w:rsidRPr="00AB4C34">
        <w:t>в 2011 году – 1</w:t>
      </w:r>
      <w:r>
        <w:t xml:space="preserve"> </w:t>
      </w:r>
      <w:r w:rsidRPr="00AB4C34">
        <w:t>348 сообщений/559 дел.</w:t>
      </w:r>
    </w:p>
    <w:p w:rsidR="00FA567F" w:rsidRPr="00AB4C34" w:rsidRDefault="00FA567F" w:rsidP="004B4B9D">
      <w:pPr>
        <w:pStyle w:val="SingleTxtGR"/>
      </w:pPr>
      <w:r w:rsidRPr="00AB4C34">
        <w:t>296.</w:t>
      </w:r>
      <w:r w:rsidRPr="00AB4C34">
        <w:tab/>
        <w:t>Центр также выступает в качестве стороны в судебных разбирательствах, но при этом всегда стремится к диалогу с подозреваемым лицом или организ</w:t>
      </w:r>
      <w:r w:rsidRPr="00AB4C34">
        <w:t>а</w:t>
      </w:r>
      <w:r w:rsidRPr="00AB4C34">
        <w:t>цией для поиска внесудебного решения. Он обращается в суд (по 3</w:t>
      </w:r>
      <w:r>
        <w:t>−</w:t>
      </w:r>
      <w:r w:rsidRPr="00AB4C34">
        <w:t>5% дел) лишь тогда, когда дело имеет высокую общественную значимость, когда того требует тяжесть содеянного или когда сторонам не удалось найти какое-либо удовлетворительное решение.</w:t>
      </w:r>
    </w:p>
    <w:p w:rsidR="00FA567F" w:rsidRPr="00AB4C34" w:rsidRDefault="00FA567F" w:rsidP="004B4B9D">
      <w:pPr>
        <w:pStyle w:val="SingleTxtGR"/>
      </w:pPr>
      <w:r w:rsidRPr="00AB4C34">
        <w:t>297.</w:t>
      </w:r>
      <w:r w:rsidRPr="00AB4C34">
        <w:tab/>
        <w:t>За последние шесть лет Центр принял решение о передаче в бельгийские суды 72 дел о предполагаемых нарушениях Закона от 30 июля 1981 года и/или Закона от 23 марта 1995 года (приложение VII, таблица 7):</w:t>
      </w:r>
    </w:p>
    <w:p w:rsidR="00FA567F" w:rsidRPr="0065089B" w:rsidRDefault="00FA567F" w:rsidP="004B4B9D">
      <w:pPr>
        <w:pStyle w:val="Bullet1GR"/>
        <w:numPr>
          <w:ilvl w:val="0"/>
          <w:numId w:val="1"/>
        </w:numPr>
      </w:pPr>
      <w:r w:rsidRPr="0065089B">
        <w:t>в 2006 году − 20;</w:t>
      </w:r>
    </w:p>
    <w:p w:rsidR="00FA567F" w:rsidRPr="0065089B" w:rsidRDefault="00FA567F" w:rsidP="004B4B9D">
      <w:pPr>
        <w:pStyle w:val="Bullet1GR"/>
        <w:numPr>
          <w:ilvl w:val="0"/>
          <w:numId w:val="1"/>
        </w:numPr>
      </w:pPr>
      <w:r w:rsidRPr="0065089B">
        <w:t>в 2007 году − 13;</w:t>
      </w:r>
    </w:p>
    <w:p w:rsidR="00FA567F" w:rsidRPr="0065089B" w:rsidRDefault="00FA567F" w:rsidP="004B4B9D">
      <w:pPr>
        <w:pStyle w:val="Bullet1GR"/>
        <w:numPr>
          <w:ilvl w:val="0"/>
          <w:numId w:val="1"/>
        </w:numPr>
      </w:pPr>
      <w:r w:rsidRPr="0065089B">
        <w:t>в 2008 году − 15;</w:t>
      </w:r>
    </w:p>
    <w:p w:rsidR="00FA567F" w:rsidRPr="0065089B" w:rsidRDefault="00FA567F" w:rsidP="004B4B9D">
      <w:pPr>
        <w:pStyle w:val="Bullet1GR"/>
        <w:numPr>
          <w:ilvl w:val="0"/>
          <w:numId w:val="1"/>
        </w:numPr>
      </w:pPr>
      <w:r w:rsidRPr="0065089B">
        <w:t>в 2009 году − 9;</w:t>
      </w:r>
    </w:p>
    <w:p w:rsidR="00FA567F" w:rsidRPr="0065089B" w:rsidRDefault="00FA567F" w:rsidP="004B4B9D">
      <w:pPr>
        <w:pStyle w:val="Bullet1GR"/>
        <w:numPr>
          <w:ilvl w:val="0"/>
          <w:numId w:val="1"/>
        </w:numPr>
      </w:pPr>
      <w:r w:rsidRPr="0065089B">
        <w:t>в 2010 году − 6;</w:t>
      </w:r>
    </w:p>
    <w:p w:rsidR="00FA567F" w:rsidRPr="0065089B" w:rsidRDefault="00FA567F" w:rsidP="004B4B9D">
      <w:pPr>
        <w:pStyle w:val="Bullet1GR"/>
        <w:numPr>
          <w:ilvl w:val="0"/>
          <w:numId w:val="1"/>
        </w:numPr>
      </w:pPr>
      <w:r w:rsidRPr="0065089B">
        <w:t>в 2011 году − 8;</w:t>
      </w:r>
    </w:p>
    <w:p w:rsidR="00FA567F" w:rsidRPr="00AB4C34" w:rsidRDefault="00FA567F" w:rsidP="004B4B9D">
      <w:pPr>
        <w:pStyle w:val="Bullet1GR"/>
        <w:numPr>
          <w:ilvl w:val="0"/>
          <w:numId w:val="1"/>
        </w:numPr>
      </w:pPr>
      <w:r w:rsidRPr="0065089B">
        <w:t>в 2012 году − 1</w:t>
      </w:r>
      <w:r w:rsidRPr="003C732E">
        <w:rPr>
          <w:rStyle w:val="FootnoteReference"/>
        </w:rPr>
        <w:footnoteReference w:id="33"/>
      </w:r>
      <w:r w:rsidRPr="00AB4C34">
        <w:t>.</w:t>
      </w:r>
    </w:p>
    <w:p w:rsidR="00FA567F" w:rsidRPr="00AB4C34" w:rsidRDefault="00FA567F" w:rsidP="004B4B9D">
      <w:pPr>
        <w:pStyle w:val="SingleTxtGR"/>
      </w:pPr>
      <w:r w:rsidRPr="00AB4C34">
        <w:t>298.</w:t>
      </w:r>
      <w:r w:rsidRPr="00AB4C34">
        <w:tab/>
        <w:t>Следует уточнить, что эти данные отражают число дел, в связи с котор</w:t>
      </w:r>
      <w:r w:rsidRPr="00AB4C34">
        <w:t>ы</w:t>
      </w:r>
      <w:r w:rsidRPr="00AB4C34">
        <w:t>ми Центр получил от своего Административного совета решение о подаче с</w:t>
      </w:r>
      <w:r w:rsidRPr="00AB4C34">
        <w:t>у</w:t>
      </w:r>
      <w:r w:rsidRPr="00AB4C34">
        <w:t>дебного иска. Однако эти иски не всегда приводили к вынесению судебного п</w:t>
      </w:r>
      <w:r w:rsidRPr="00AB4C34">
        <w:t>о</w:t>
      </w:r>
      <w:r w:rsidRPr="00AB4C34">
        <w:t>становления: есть случаи, когда стороны достигли соглашения до этой стадии, когда потерпевшее лицо отказалось от продолжения разбирательства или когда на момент подг</w:t>
      </w:r>
      <w:r w:rsidRPr="00AB4C34">
        <w:t>о</w:t>
      </w:r>
      <w:r w:rsidRPr="00AB4C34">
        <w:t xml:space="preserve">товки настоящего доклада разбирательство по делу все еще продолжается. </w:t>
      </w:r>
    </w:p>
    <w:p w:rsidR="00FA567F" w:rsidRPr="00AB4C34" w:rsidRDefault="00FA567F" w:rsidP="004B4B9D">
      <w:pPr>
        <w:pStyle w:val="SingleTxtGR"/>
      </w:pPr>
      <w:r w:rsidRPr="00AB4C34">
        <w:t>299.</w:t>
      </w:r>
      <w:r w:rsidRPr="00AB4C34">
        <w:tab/>
        <w:t>Так, например, бельгийскими судами б</w:t>
      </w:r>
      <w:r>
        <w:t>ыло реально рассмотрено лишь 40 </w:t>
      </w:r>
      <w:r w:rsidRPr="00AB4C34">
        <w:t xml:space="preserve">дел; по 32 из них были вынесены обвинительные приговоры за проявление расизма (или отрицание), а в </w:t>
      </w:r>
      <w:r>
        <w:t>8</w:t>
      </w:r>
      <w:r w:rsidRPr="00AB4C34">
        <w:t xml:space="preserve"> случаях иски были признаны необоснованными, чаще всего – за недостаточностью доказательств. Назначенные меры наказания являются в основном следующими: 19 сроков тюремного заключения, причем некоторые из них – условные (в 13 случаях – на срок менее </w:t>
      </w:r>
      <w:r>
        <w:t>1</w:t>
      </w:r>
      <w:r w:rsidRPr="00AB4C34">
        <w:t xml:space="preserve"> года, в </w:t>
      </w:r>
      <w:r>
        <w:t>1</w:t>
      </w:r>
      <w:r w:rsidRPr="00AB4C34">
        <w:t xml:space="preserve"> сл</w:t>
      </w:r>
      <w:r w:rsidRPr="00AB4C34">
        <w:t>у</w:t>
      </w:r>
      <w:r w:rsidRPr="00AB4C34">
        <w:t xml:space="preserve">чае – на срок </w:t>
      </w:r>
      <w:r>
        <w:t>1</w:t>
      </w:r>
      <w:r w:rsidRPr="00AB4C34">
        <w:t xml:space="preserve"> год, </w:t>
      </w:r>
      <w:r>
        <w:t>2</w:t>
      </w:r>
      <w:r w:rsidRPr="00AB4C34">
        <w:t xml:space="preserve"> года и </w:t>
      </w:r>
      <w:r>
        <w:t>3</w:t>
      </w:r>
      <w:r w:rsidRPr="00AB4C34">
        <w:t xml:space="preserve"> года и в </w:t>
      </w:r>
      <w:r>
        <w:t>2</w:t>
      </w:r>
      <w:r w:rsidRPr="00AB4C34">
        <w:t xml:space="preserve"> случаях – на срок </w:t>
      </w:r>
      <w:r>
        <w:t>5</w:t>
      </w:r>
      <w:r w:rsidRPr="00AB4C34">
        <w:t xml:space="preserve"> лет), </w:t>
      </w:r>
      <w:r>
        <w:t>5</w:t>
      </w:r>
      <w:r w:rsidRPr="00AB4C34">
        <w:t xml:space="preserve"> сроков исправ</w:t>
      </w:r>
      <w:r w:rsidRPr="00AB4C34">
        <w:t>и</w:t>
      </w:r>
      <w:r w:rsidRPr="00AB4C34">
        <w:t xml:space="preserve">тельных работ (от 46 до 250 часов), </w:t>
      </w:r>
      <w:r>
        <w:t>2</w:t>
      </w:r>
      <w:r w:rsidRPr="00AB4C34">
        <w:t xml:space="preserve"> отсрочки вынесения обвинительного пр</w:t>
      </w:r>
      <w:r w:rsidRPr="00AB4C34">
        <w:t>и</w:t>
      </w:r>
      <w:r w:rsidRPr="00AB4C34">
        <w:t xml:space="preserve">говора, два решения о выплате компенсации в размере 2 500 евро, </w:t>
      </w:r>
      <w:r>
        <w:t>2</w:t>
      </w:r>
      <w:r w:rsidRPr="00AB4C34">
        <w:t xml:space="preserve"> р</w:t>
      </w:r>
      <w:r w:rsidRPr="00AB4C34">
        <w:t>е</w:t>
      </w:r>
      <w:r w:rsidRPr="00AB4C34">
        <w:t xml:space="preserve">шения о поражении в гражданских и политических правах (в одном случае – на </w:t>
      </w:r>
      <w:r>
        <w:t>5</w:t>
      </w:r>
      <w:r w:rsidRPr="00AB4C34">
        <w:t xml:space="preserve"> лет, в другом – на 10 лет), </w:t>
      </w:r>
      <w:r>
        <w:t>3</w:t>
      </w:r>
      <w:r w:rsidRPr="00AB4C34">
        <w:t xml:space="preserve"> решения о запрещении занимать выборные должности (на </w:t>
      </w:r>
      <w:r>
        <w:t>5</w:t>
      </w:r>
      <w:r w:rsidRPr="00AB4C34">
        <w:t xml:space="preserve">, </w:t>
      </w:r>
      <w:r>
        <w:t>7</w:t>
      </w:r>
      <w:r w:rsidRPr="00AB4C34">
        <w:t xml:space="preserve"> и 10 лет) и 13 штрафов (в размере от 100 до 24 798 евро). В 28 сл</w:t>
      </w:r>
      <w:r w:rsidRPr="00AB4C34">
        <w:t>у</w:t>
      </w:r>
      <w:r w:rsidRPr="00AB4C34">
        <w:t>чаях потерпевшим и истцам была присуждена компенсация за причиненный ущерб, размер которой составлял от символической суммы в 1 евро до 7 500 евро (б</w:t>
      </w:r>
      <w:r w:rsidRPr="00AB4C34">
        <w:t>о</w:t>
      </w:r>
      <w:r w:rsidRPr="00AB4C34">
        <w:t>лее подробную информацию см. в приложении VII, та</w:t>
      </w:r>
      <w:r w:rsidRPr="00AB4C34">
        <w:t>б</w:t>
      </w:r>
      <w:r w:rsidRPr="00AB4C34">
        <w:t>лица 8).</w:t>
      </w:r>
    </w:p>
    <w:p w:rsidR="00FA567F" w:rsidRPr="00AB4C34" w:rsidRDefault="00FA567F" w:rsidP="004C7743">
      <w:pPr>
        <w:pStyle w:val="H4GR"/>
        <w:spacing w:before="240"/>
      </w:pPr>
      <w:r w:rsidRPr="00AB4C34">
        <w:tab/>
      </w:r>
      <w:r w:rsidRPr="00AB4C34">
        <w:tab/>
        <w:t xml:space="preserve">Фламандское сообщество </w:t>
      </w:r>
    </w:p>
    <w:p w:rsidR="00FA567F" w:rsidRPr="00AB4C34" w:rsidRDefault="00FA567F" w:rsidP="004B4B9D">
      <w:pPr>
        <w:pStyle w:val="SingleTxtGR"/>
      </w:pPr>
      <w:r w:rsidRPr="00AB4C34">
        <w:t>300.</w:t>
      </w:r>
      <w:r w:rsidRPr="00AB4C34">
        <w:tab/>
        <w:t>Фламандский указ от 10 июля 2008 года об основах политики Фландрии в области обеспечения равных возможностей и равного обращения предусматр</w:t>
      </w:r>
      <w:r w:rsidRPr="00AB4C34">
        <w:t>и</w:t>
      </w:r>
      <w:r w:rsidRPr="00AB4C34">
        <w:t>вает открытие 13 контактных пунктов (Meldpunten); эти интегрированные пун</w:t>
      </w:r>
      <w:r w:rsidRPr="00AB4C34">
        <w:t>к</w:t>
      </w:r>
      <w:r w:rsidRPr="00AB4C34">
        <w:t>ты местного уровня уполномочены принимать и регистрировать жалобы на дискриминацию в целях налаживании примирительной процедуры между ст</w:t>
      </w:r>
      <w:r w:rsidRPr="00AB4C34">
        <w:t>о</w:t>
      </w:r>
      <w:r w:rsidRPr="00AB4C34">
        <w:t>ронами. Если примирительная процедура не позволяет при</w:t>
      </w:r>
      <w:r w:rsidR="00852297">
        <w:t>й</w:t>
      </w:r>
      <w:r w:rsidRPr="00AB4C34">
        <w:t>ти к какому-либо решению и если одна из сторон желает обратиться в суд, контактный пункт н</w:t>
      </w:r>
      <w:r w:rsidRPr="00AB4C34">
        <w:t>а</w:t>
      </w:r>
      <w:r w:rsidRPr="00AB4C34">
        <w:t>правляет дело в Центр по обеспечению равенства возможностей и борьбе с р</w:t>
      </w:r>
      <w:r w:rsidRPr="00AB4C34">
        <w:t>а</w:t>
      </w:r>
      <w:r w:rsidRPr="00AB4C34">
        <w:t>сизмом.</w:t>
      </w:r>
    </w:p>
    <w:p w:rsidR="00FA567F" w:rsidRPr="00AB4C34" w:rsidRDefault="00FA567F" w:rsidP="004B4B9D">
      <w:pPr>
        <w:pStyle w:val="SingleTxtGR"/>
      </w:pPr>
      <w:r w:rsidRPr="00AB4C34">
        <w:t>301.</w:t>
      </w:r>
      <w:r w:rsidRPr="00AB4C34">
        <w:tab/>
        <w:t>В 2011 году была впервые проведена оценка политики Фландрии в обла</w:t>
      </w:r>
      <w:r w:rsidRPr="00AB4C34">
        <w:t>с</w:t>
      </w:r>
      <w:r w:rsidRPr="00AB4C34">
        <w:t>ти борьбы с дискриминацией. При подготовке доклада особое внимание удел</w:t>
      </w:r>
      <w:r w:rsidRPr="00AB4C34">
        <w:t>я</w:t>
      </w:r>
      <w:r w:rsidRPr="00AB4C34">
        <w:t>лось вопросам открытия, функционирования и оценки эффективности местных контактных пунктов. На эти пункты возложена двойная задача: с одной стор</w:t>
      </w:r>
      <w:r w:rsidRPr="00AB4C34">
        <w:t>о</w:t>
      </w:r>
      <w:r w:rsidRPr="00AB4C34">
        <w:t>ны, они оказывают помощь жертвам дискриминации и играют посредническую роль для прекращения дискриминационных проявлений, а с другой – разраб</w:t>
      </w:r>
      <w:r w:rsidRPr="00AB4C34">
        <w:t>а</w:t>
      </w:r>
      <w:r w:rsidRPr="00AB4C34">
        <w:t>тывают превентивные мероприятия (пол</w:t>
      </w:r>
      <w:r w:rsidRPr="00AB4C34">
        <w:t>и</w:t>
      </w:r>
      <w:r w:rsidRPr="00AB4C34">
        <w:t>тика ограниченного доступа в ОРЕКА, жилищная проблематика). Поэтому они интегрируются в сети асс</w:t>
      </w:r>
      <w:r w:rsidRPr="00AB4C34">
        <w:t>о</w:t>
      </w:r>
      <w:r w:rsidRPr="00AB4C34">
        <w:t>циаций и организаций.</w:t>
      </w:r>
    </w:p>
    <w:p w:rsidR="00FA567F" w:rsidRPr="00AB4C34" w:rsidRDefault="00FA567F" w:rsidP="004B4B9D">
      <w:pPr>
        <w:pStyle w:val="SingleTxtGR"/>
      </w:pPr>
      <w:r w:rsidRPr="00AB4C34">
        <w:t>302.</w:t>
      </w:r>
      <w:r w:rsidRPr="00AB4C34">
        <w:tab/>
        <w:t>Регистрация жалоб производится через центральную базу данных, к к</w:t>
      </w:r>
      <w:r w:rsidRPr="00AB4C34">
        <w:t>о</w:t>
      </w:r>
      <w:r w:rsidRPr="00AB4C34">
        <w:t>торой также подключен и Центр. В 2009 году контактными пунктами Фландрии было зарегистрировано 19 сообщений на основе расовых критериев. В 2010 г</w:t>
      </w:r>
      <w:r w:rsidRPr="00AB4C34">
        <w:t>о</w:t>
      </w:r>
      <w:r w:rsidRPr="00AB4C34">
        <w:t>ду они получили 367 сообщений и завели на основе этих критериев 240 дел; н</w:t>
      </w:r>
      <w:r w:rsidRPr="00AB4C34">
        <w:t>а</w:t>
      </w:r>
      <w:r w:rsidRPr="00AB4C34">
        <w:t>конец, в 2011 году ими было получено 384 сообщения и заведено 264 дела.</w:t>
      </w:r>
    </w:p>
    <w:p w:rsidR="00FA567F" w:rsidRPr="00AB4C34" w:rsidRDefault="00FA567F" w:rsidP="00277B6F">
      <w:pPr>
        <w:pStyle w:val="H4GR"/>
        <w:spacing w:before="240"/>
      </w:pPr>
      <w:r w:rsidRPr="00AB4C34">
        <w:tab/>
      </w:r>
      <w:r w:rsidRPr="00AB4C34">
        <w:tab/>
        <w:t>Франкоязычное сообщество/Валлонский регион</w:t>
      </w:r>
    </w:p>
    <w:p w:rsidR="00FA567F" w:rsidRPr="00AB4C34" w:rsidRDefault="00FA567F" w:rsidP="004B4B9D">
      <w:pPr>
        <w:pStyle w:val="SingleTxtGR"/>
      </w:pPr>
      <w:r w:rsidRPr="00AB4C34">
        <w:t>303.</w:t>
      </w:r>
      <w:r w:rsidRPr="00AB4C34">
        <w:tab/>
        <w:t>Для обеспечения приема и сопровождения граждан в рамках борьбы с н</w:t>
      </w:r>
      <w:r w:rsidRPr="00AB4C34">
        <w:t>е</w:t>
      </w:r>
      <w:r w:rsidRPr="00AB4C34">
        <w:t>которыми формами дискриминации в октябре 2011 года в Валлонии было о</w:t>
      </w:r>
      <w:r w:rsidRPr="00AB4C34">
        <w:t>т</w:t>
      </w:r>
      <w:r w:rsidRPr="00AB4C34">
        <w:t>крыто 11 местных контактных пунктов, которые охватывают всю валлонскую территорию; их открытие производилось по согласованию со службами п</w:t>
      </w:r>
      <w:r w:rsidRPr="00AB4C34">
        <w:t>о</w:t>
      </w:r>
      <w:r w:rsidRPr="00AB4C34">
        <w:t>средника Франкоязычного сообщества и службами посредника Валлонского р</w:t>
      </w:r>
      <w:r w:rsidRPr="00AB4C34">
        <w:t>е</w:t>
      </w:r>
      <w:r w:rsidRPr="00AB4C34">
        <w:t>гиона, которые обеспечивают постоянное оказание правовой помощи на терр</w:t>
      </w:r>
      <w:r w:rsidRPr="00AB4C34">
        <w:t>и</w:t>
      </w:r>
      <w:r w:rsidRPr="00AB4C34">
        <w:t xml:space="preserve">тории Валлонии. </w:t>
      </w:r>
    </w:p>
    <w:p w:rsidR="00FA567F" w:rsidRPr="00AB4C34" w:rsidRDefault="00FA567F" w:rsidP="004B4B9D">
      <w:pPr>
        <w:pStyle w:val="SingleTxtGR"/>
      </w:pPr>
      <w:r w:rsidRPr="00AB4C34">
        <w:t>304.</w:t>
      </w:r>
      <w:r w:rsidRPr="00AB4C34">
        <w:tab/>
        <w:t>Франкоязычное сообщество выделило Центр по обеспечению равных возможностей и борьбе с расизмом в качестве учреждения, занимающегося в</w:t>
      </w:r>
      <w:r w:rsidRPr="00AB4C34">
        <w:t>о</w:t>
      </w:r>
      <w:r w:rsidRPr="00AB4C34">
        <w:t>просами поощрения равного обращения между всеми лицами без различия по признакам гражданства, расовой принадлежности, цвета кожи и родового, н</w:t>
      </w:r>
      <w:r w:rsidRPr="00AB4C34">
        <w:t>а</w:t>
      </w:r>
      <w:r w:rsidRPr="00AB4C34">
        <w:t>ционального или этнического происхождения, возраста, сексуальной ориент</w:t>
      </w:r>
      <w:r w:rsidRPr="00AB4C34">
        <w:t>а</w:t>
      </w:r>
      <w:r w:rsidRPr="00AB4C34">
        <w:t>ции, религиозных или философских убеждений, инвалидности, гражданского состояния, рождения, материального положения, политических убеждений, н</w:t>
      </w:r>
      <w:r w:rsidRPr="00AB4C34">
        <w:t>ы</w:t>
      </w:r>
      <w:r w:rsidRPr="00AB4C34">
        <w:t>нешнего или будущего состояния здоровья, какой-либо физической или генет</w:t>
      </w:r>
      <w:r w:rsidRPr="00AB4C34">
        <w:t>и</w:t>
      </w:r>
      <w:r w:rsidRPr="00AB4C34">
        <w:t>ческой особенности или социальног</w:t>
      </w:r>
      <w:r w:rsidR="00852297">
        <w:t>о происхождения. В свою очередь</w:t>
      </w:r>
      <w:r w:rsidRPr="00AB4C34">
        <w:t xml:space="preserve"> Инстит</w:t>
      </w:r>
      <w:r w:rsidRPr="00AB4C34">
        <w:t>у</w:t>
      </w:r>
      <w:r w:rsidRPr="00AB4C34">
        <w:t>ту по вопросам гендерного равенства было поручено заниматься проблемой дискриминации по признаку пола.</w:t>
      </w:r>
    </w:p>
    <w:p w:rsidR="00FA567F" w:rsidRPr="00AB4C34" w:rsidRDefault="00FA567F" w:rsidP="004B4B9D">
      <w:pPr>
        <w:pStyle w:val="SingleTxtGR"/>
      </w:pPr>
      <w:r w:rsidRPr="00AB4C34">
        <w:t>305.</w:t>
      </w:r>
      <w:r w:rsidRPr="00AB4C34">
        <w:tab/>
        <w:t>В феврале 2009 года между Франкоязычным сообществом и этими двумя органами был подписан протокол о сотрудничестве, наделяющий их следу</w:t>
      </w:r>
      <w:r w:rsidRPr="00AB4C34">
        <w:t>ю</w:t>
      </w:r>
      <w:r w:rsidRPr="00AB4C34">
        <w:t>щими полномочиями:</w:t>
      </w:r>
    </w:p>
    <w:p w:rsidR="00FA567F" w:rsidRPr="00AB4C34" w:rsidRDefault="00FA567F" w:rsidP="004B4B9D">
      <w:pPr>
        <w:pStyle w:val="Bullet1GR"/>
        <w:numPr>
          <w:ilvl w:val="0"/>
          <w:numId w:val="1"/>
        </w:numPr>
      </w:pPr>
      <w:r w:rsidRPr="00AB4C34">
        <w:t>рассматривать случаи проявления дискриминации в отношении отдел</w:t>
      </w:r>
      <w:r w:rsidRPr="00AB4C34">
        <w:t>ь</w:t>
      </w:r>
      <w:r w:rsidRPr="00AB4C34">
        <w:t>ных лиц на основе различных з</w:t>
      </w:r>
      <w:r w:rsidRPr="00AB4C34">
        <w:t>а</w:t>
      </w:r>
      <w:r w:rsidRPr="00AB4C34">
        <w:t>щищаемых критериев;</w:t>
      </w:r>
    </w:p>
    <w:p w:rsidR="00FA567F" w:rsidRPr="00AB4C34" w:rsidRDefault="00FA567F" w:rsidP="004B4B9D">
      <w:pPr>
        <w:pStyle w:val="Bullet1GR"/>
        <w:numPr>
          <w:ilvl w:val="0"/>
          <w:numId w:val="1"/>
        </w:numPr>
      </w:pPr>
      <w:r w:rsidRPr="00AB4C34">
        <w:t>проводить информационно-пропагандистскую работу среди обществе</w:t>
      </w:r>
      <w:r w:rsidRPr="00AB4C34">
        <w:t>н</w:t>
      </w:r>
      <w:r w:rsidRPr="00AB4C34">
        <w:t>ности;</w:t>
      </w:r>
    </w:p>
    <w:p w:rsidR="00FA567F" w:rsidRPr="00AB4C34" w:rsidRDefault="00FA567F" w:rsidP="004B4B9D">
      <w:pPr>
        <w:pStyle w:val="Bullet1GR"/>
        <w:numPr>
          <w:ilvl w:val="0"/>
          <w:numId w:val="1"/>
        </w:numPr>
      </w:pPr>
      <w:r w:rsidRPr="00AB4C34">
        <w:t>обеспечивать профессиональную подготовку персонала;</w:t>
      </w:r>
    </w:p>
    <w:p w:rsidR="00FA567F" w:rsidRPr="00AB4C34" w:rsidRDefault="00FA567F" w:rsidP="004B4B9D">
      <w:pPr>
        <w:pStyle w:val="Bullet1GR"/>
        <w:numPr>
          <w:ilvl w:val="0"/>
          <w:numId w:val="1"/>
        </w:numPr>
      </w:pPr>
      <w:r w:rsidRPr="00AB4C34">
        <w:t>давать руководящим органам сообщества заключения и рекомендации;</w:t>
      </w:r>
    </w:p>
    <w:p w:rsidR="00FA567F" w:rsidRPr="00AB4C34" w:rsidRDefault="00FA567F" w:rsidP="004B4B9D">
      <w:pPr>
        <w:pStyle w:val="Bullet1GR"/>
        <w:numPr>
          <w:ilvl w:val="0"/>
          <w:numId w:val="1"/>
        </w:numPr>
      </w:pPr>
      <w:r w:rsidRPr="00AB4C34">
        <w:t>проводить исследования по темам, касающимся борьбы с дискриминац</w:t>
      </w:r>
      <w:r w:rsidRPr="00AB4C34">
        <w:t>и</w:t>
      </w:r>
      <w:r w:rsidRPr="00AB4C34">
        <w:t>ей.</w:t>
      </w:r>
    </w:p>
    <w:p w:rsidR="00FA567F" w:rsidRPr="00AB4C34" w:rsidRDefault="00FA567F" w:rsidP="004B4B9D">
      <w:pPr>
        <w:pStyle w:val="SingleTxtGR"/>
      </w:pPr>
      <w:r w:rsidRPr="00AB4C34">
        <w:t>306.</w:t>
      </w:r>
      <w:r w:rsidRPr="00AB4C34">
        <w:tab/>
        <w:t>Координация мероприятий по выполнению протокола возложена на Управление по обеспечению равных возможностей Министерства по делам Франкоязычного сообщества. В конкретном плане это управление содействует установлению контактов между различными субъектами для максимально э</w:t>
      </w:r>
      <w:r w:rsidRPr="00AB4C34">
        <w:t>ф</w:t>
      </w:r>
      <w:r w:rsidRPr="00AB4C34">
        <w:t>фективного использования ресурсов и потенциала каждого из них в рамках борьбы с дискриминацией. С этой целью Центр и Институт с 2009 года призв</w:t>
      </w:r>
      <w:r w:rsidRPr="00AB4C34">
        <w:t>а</w:t>
      </w:r>
      <w:r w:rsidRPr="00AB4C34">
        <w:t>ны оказывать правовую помощь жертвам дискриминации и, в частности, пр</w:t>
      </w:r>
      <w:r w:rsidRPr="00AB4C34">
        <w:t>е</w:t>
      </w:r>
      <w:r w:rsidRPr="00AB4C34">
        <w:t>доставлять им обширную юридическую информацию об их правах. Кроме того, в отдельных случаях они занимаются выполнением функций по неформальному примирению сторон.</w:t>
      </w:r>
    </w:p>
    <w:p w:rsidR="00FA567F" w:rsidRPr="00AB4C34" w:rsidRDefault="00FA567F" w:rsidP="004B4B9D">
      <w:pPr>
        <w:pStyle w:val="SingleTxtGR"/>
      </w:pPr>
      <w:r w:rsidRPr="00AB4C34">
        <w:t>307.</w:t>
      </w:r>
      <w:r w:rsidRPr="00AB4C34">
        <w:tab/>
        <w:t>С другой стороны, протокол о сотрудничестве между Франкоязычным с</w:t>
      </w:r>
      <w:r w:rsidRPr="00AB4C34">
        <w:t>о</w:t>
      </w:r>
      <w:r w:rsidRPr="00AB4C34">
        <w:t>обществом и Центром предусматривает, что они обмениваются между собой любой информацией общего характера, каса</w:t>
      </w:r>
      <w:r w:rsidRPr="00AB4C34">
        <w:t>ю</w:t>
      </w:r>
      <w:r w:rsidRPr="00AB4C34">
        <w:t>щейся применения и проведения в жизнь Указа от 12 декабря 2008 года о борьбе с различными формами ди</w:t>
      </w:r>
      <w:r w:rsidRPr="00AB4C34">
        <w:t>с</w:t>
      </w:r>
      <w:r w:rsidRPr="00AB4C34">
        <w:t>криминации. Такой обмен информацией будет вестись в соответствии с Законом от 8 декабря 2008 года о защите частной жизни применительно к обработке данных личного характера. В настоящее время ведется разработка соответс</w:t>
      </w:r>
      <w:r w:rsidRPr="00AB4C34">
        <w:t>т</w:t>
      </w:r>
      <w:r w:rsidRPr="00AB4C34">
        <w:t>вующего соглашения.</w:t>
      </w:r>
    </w:p>
    <w:p w:rsidR="00FA567F" w:rsidRPr="00AB4C34" w:rsidRDefault="00FA567F" w:rsidP="004B4B9D">
      <w:pPr>
        <w:pStyle w:val="SingleTxtGR"/>
      </w:pPr>
      <w:r w:rsidRPr="00AB4C34">
        <w:t>308.</w:t>
      </w:r>
      <w:r w:rsidRPr="00AB4C34">
        <w:tab/>
        <w:t>В процессе обработки таких сообщений и особенно в ходе неформальн</w:t>
      </w:r>
      <w:r w:rsidRPr="00AB4C34">
        <w:t>о</w:t>
      </w:r>
      <w:r w:rsidRPr="00AB4C34">
        <w:t>го примирения Центр и Институт взаимодействуют с субъектами сферы прим</w:t>
      </w:r>
      <w:r w:rsidRPr="00AB4C34">
        <w:t>и</w:t>
      </w:r>
      <w:r w:rsidRPr="00AB4C34">
        <w:t>рения Франкоязычного сообщества. Наряду с этим проводятся регулярные встречи в рамках неформальной платформы субъектов сферы примирения, к</w:t>
      </w:r>
      <w:r w:rsidRPr="00AB4C34">
        <w:t>о</w:t>
      </w:r>
      <w:r w:rsidRPr="00AB4C34">
        <w:t>торые способны принимать меры в рамках борьбы с дискриминацией в пред</w:t>
      </w:r>
      <w:r w:rsidRPr="00AB4C34">
        <w:t>е</w:t>
      </w:r>
      <w:r w:rsidRPr="00AB4C34">
        <w:t>лах компетенции Фра</w:t>
      </w:r>
      <w:r w:rsidRPr="00AB4C34">
        <w:t>н</w:t>
      </w:r>
      <w:r w:rsidRPr="00AB4C34">
        <w:t>коязычного сообщества.</w:t>
      </w:r>
    </w:p>
    <w:p w:rsidR="00FA567F" w:rsidRPr="00852297" w:rsidRDefault="00FA567F" w:rsidP="004B4B9D">
      <w:pPr>
        <w:pStyle w:val="SingleTxtGR"/>
      </w:pPr>
      <w:r w:rsidRPr="00AB4C34">
        <w:t>309.</w:t>
      </w:r>
      <w:r w:rsidRPr="00AB4C34">
        <w:tab/>
        <w:t>В 2009, 2010 и 2011 годах Центр и Институт рассмотрели 202 дела по в</w:t>
      </w:r>
      <w:r w:rsidRPr="00AB4C34">
        <w:t>о</w:t>
      </w:r>
      <w:r w:rsidRPr="00AB4C34">
        <w:t>просам, относящимся к компетенции Франкоязычного сообщества</w:t>
      </w:r>
      <w:r w:rsidRPr="003C732E">
        <w:rPr>
          <w:rStyle w:val="FootnoteReference"/>
        </w:rPr>
        <w:footnoteReference w:id="34"/>
      </w:r>
      <w:r w:rsidR="00852297">
        <w:rPr>
          <w:rStyle w:val="FootnoteReference"/>
          <w:vertAlign w:val="baseline"/>
        </w:rPr>
        <w:t>.</w:t>
      </w:r>
    </w:p>
    <w:p w:rsidR="00FA567F" w:rsidRPr="00AB4C34" w:rsidRDefault="00FA567F" w:rsidP="004B4B9D">
      <w:pPr>
        <w:pStyle w:val="SingleTxtGR"/>
      </w:pPr>
      <w:r w:rsidRPr="00AB4C34">
        <w:t>310.</w:t>
      </w:r>
      <w:r w:rsidRPr="00AB4C34">
        <w:tab/>
        <w:t>В 2009 году аналогичный протокол был подписан с Валлонским реги</w:t>
      </w:r>
      <w:r w:rsidRPr="00AB4C34">
        <w:t>о</w:t>
      </w:r>
      <w:r w:rsidRPr="00AB4C34">
        <w:t>ном.</w:t>
      </w:r>
    </w:p>
    <w:p w:rsidR="00FA567F" w:rsidRPr="00AB4C34" w:rsidRDefault="00852297" w:rsidP="004B4B9D">
      <w:pPr>
        <w:pStyle w:val="HChGR"/>
      </w:pPr>
      <w:r>
        <w:tab/>
      </w:r>
      <w:r>
        <w:tab/>
        <w:t>Статья 7</w:t>
      </w:r>
      <w:r>
        <w:br/>
      </w:r>
      <w:r w:rsidR="00FA567F" w:rsidRPr="00AB4C34">
        <w:t>Недопущение дискриминации в сферах образования, культуры и информации</w:t>
      </w:r>
    </w:p>
    <w:p w:rsidR="00FA567F" w:rsidRPr="00AB4C34" w:rsidRDefault="00FA567F" w:rsidP="004B4B9D">
      <w:pPr>
        <w:pStyle w:val="H1GR"/>
      </w:pPr>
      <w:r w:rsidRPr="00AB4C34">
        <w:tab/>
        <w:t>A.</w:t>
      </w:r>
      <w:r w:rsidRPr="00AB4C34">
        <w:tab/>
        <w:t>Фламандское сообщество</w:t>
      </w:r>
    </w:p>
    <w:p w:rsidR="00FA567F" w:rsidRPr="00AB4C34" w:rsidRDefault="00FA567F" w:rsidP="004B4B9D">
      <w:pPr>
        <w:pStyle w:val="H23GR"/>
      </w:pPr>
      <w:r w:rsidRPr="00AB4C34">
        <w:tab/>
        <w:t>1.</w:t>
      </w:r>
      <w:r w:rsidRPr="00AB4C34">
        <w:tab/>
        <w:t>Недавние события в области политики, проводимой Фламандским</w:t>
      </w:r>
      <w:r w:rsidRPr="00AB4C34">
        <w:br/>
        <w:t xml:space="preserve">сообществом в целях борьбы с дискриминацией в сфере образования </w:t>
      </w:r>
    </w:p>
    <w:p w:rsidR="00FA567F" w:rsidRPr="00AB4C34" w:rsidRDefault="00FA567F" w:rsidP="004B4B9D">
      <w:pPr>
        <w:pStyle w:val="SingleTxtGR"/>
      </w:pPr>
      <w:r w:rsidRPr="00AB4C34">
        <w:t>311.</w:t>
      </w:r>
      <w:r w:rsidRPr="00AB4C34">
        <w:tab/>
        <w:t>Фламандским сообществом были приняты новые меры по борьбе с ди</w:t>
      </w:r>
      <w:r w:rsidRPr="00AB4C34">
        <w:t>с</w:t>
      </w:r>
      <w:r w:rsidRPr="00AB4C34">
        <w:t>криминацией в сфере обр</w:t>
      </w:r>
      <w:r w:rsidRPr="00AB4C34">
        <w:t>а</w:t>
      </w:r>
      <w:r w:rsidRPr="00AB4C34">
        <w:t>зования.</w:t>
      </w:r>
    </w:p>
    <w:p w:rsidR="00FA567F" w:rsidRPr="00AB4C34" w:rsidRDefault="00FA567F" w:rsidP="004B4B9D">
      <w:pPr>
        <w:pStyle w:val="SingleTxtGR"/>
      </w:pPr>
      <w:r w:rsidRPr="00AB4C34">
        <w:t>312.</w:t>
      </w:r>
      <w:r w:rsidRPr="00AB4C34">
        <w:tab/>
        <w:t>Соглас</w:t>
      </w:r>
      <w:r w:rsidR="00852297">
        <w:t>но Указу от 25 ноября 2011 года</w:t>
      </w:r>
      <w:r w:rsidRPr="00AB4C34">
        <w:t xml:space="preserve"> одним из основных принципов права на зачисление явл</w:t>
      </w:r>
      <w:r w:rsidRPr="00AB4C34">
        <w:t>я</w:t>
      </w:r>
      <w:r w:rsidRPr="00AB4C34">
        <w:t>ется поощрение социальной интеграции и стремление к гармоничному смешиванию учащихся во всех школах. Эта новая политика з</w:t>
      </w:r>
      <w:r w:rsidRPr="00AB4C34">
        <w:t>а</w:t>
      </w:r>
      <w:r w:rsidRPr="00AB4C34">
        <w:t>числения, вступившая в силу 1 сентября 2012 года, способствует социальному смешиванию в школах.</w:t>
      </w:r>
    </w:p>
    <w:p w:rsidR="00FA567F" w:rsidRPr="00AB4C34" w:rsidRDefault="00FA567F" w:rsidP="004B4B9D">
      <w:pPr>
        <w:pStyle w:val="SingleTxtGR"/>
      </w:pPr>
      <w:r w:rsidRPr="00AB4C34">
        <w:t>313.</w:t>
      </w:r>
      <w:r w:rsidRPr="00AB4C34">
        <w:tab/>
        <w:t>Политика в языковой сфере</w:t>
      </w:r>
      <w:r w:rsidRPr="003C732E">
        <w:rPr>
          <w:rStyle w:val="FootnoteReference"/>
        </w:rPr>
        <w:footnoteReference w:id="35"/>
      </w:r>
      <w:r w:rsidRPr="00AB4C34">
        <w:t xml:space="preserve"> также способствует достижению поста</w:t>
      </w:r>
      <w:r w:rsidRPr="00AB4C34">
        <w:t>в</w:t>
      </w:r>
      <w:r w:rsidRPr="00AB4C34">
        <w:t>ленных целей. При ее проведении большое внимание уделяется иностранным языкам и серьезное значение придается языкам, используемым для домашнего общения (через такие мероприятия, как занятия чтением и чт</w:t>
      </w:r>
      <w:r w:rsidRPr="00AB4C34">
        <w:t>е</w:t>
      </w:r>
      <w:r w:rsidRPr="00AB4C34">
        <w:t>ние/</w:t>
      </w:r>
      <w:r>
        <w:br/>
      </w:r>
      <w:r w:rsidRPr="00AB4C34">
        <w:t>стимулирование интереса к чтению: создание кружков для привития культуры чтения вслух на нидерландском языке и на языках домашнего общения с пр</w:t>
      </w:r>
      <w:r w:rsidRPr="00AB4C34">
        <w:t>и</w:t>
      </w:r>
      <w:r w:rsidRPr="00AB4C34">
        <w:t>влечением к их деятельности родителей; побуждение школ к тому, чтобы они призывали родителей неместного происхождения к созданию дома богатой яз</w:t>
      </w:r>
      <w:r w:rsidRPr="00AB4C34">
        <w:t>ы</w:t>
      </w:r>
      <w:r w:rsidRPr="00AB4C34">
        <w:t>ковой среды и т.п.).</w:t>
      </w:r>
    </w:p>
    <w:p w:rsidR="00FA567F" w:rsidRPr="00AB4C34" w:rsidRDefault="00FA567F" w:rsidP="004B4B9D">
      <w:pPr>
        <w:pStyle w:val="SingleTxtGR"/>
      </w:pPr>
      <w:r w:rsidRPr="00AB4C34">
        <w:t>314.</w:t>
      </w:r>
      <w:r w:rsidRPr="00AB4C34">
        <w:tab/>
        <w:t>С 2011 года были структурно оформлены проекты наставничества для учащихся. Их целью является обеспечение взаимных выгод как для учащихся (от третьей ступени начальной школы до третьей ступени средней школы), так и для студентов высших учебных заведений. Первой группе оказывается п</w:t>
      </w:r>
      <w:r w:rsidRPr="00AB4C34">
        <w:t>о</w:t>
      </w:r>
      <w:r w:rsidRPr="00AB4C34">
        <w:t>мощь в приобретении навыков усвоения материала и мотивации к обучению, а вторая группа пов</w:t>
      </w:r>
      <w:r w:rsidRPr="00AB4C34">
        <w:t>ы</w:t>
      </w:r>
      <w:r w:rsidRPr="00AB4C34">
        <w:t>шает уровень своих знаний в области разнообразия.</w:t>
      </w:r>
    </w:p>
    <w:p w:rsidR="00FA567F" w:rsidRPr="00AB4C34" w:rsidRDefault="00FA567F" w:rsidP="004B4B9D">
      <w:pPr>
        <w:pStyle w:val="SingleTxtGR"/>
      </w:pPr>
      <w:r w:rsidRPr="00AB4C34">
        <w:t>315.</w:t>
      </w:r>
      <w:r w:rsidRPr="00AB4C34">
        <w:tab/>
        <w:t>Расширен контроль за соблюдением обязанности по посещению школы; при этом особое вним</w:t>
      </w:r>
      <w:r w:rsidRPr="00AB4C34">
        <w:t>а</w:t>
      </w:r>
      <w:r w:rsidRPr="00AB4C34">
        <w:t>ние уделяется вновь прибывшим ученикам</w:t>
      </w:r>
      <w:r w:rsidRPr="003C732E">
        <w:rPr>
          <w:rStyle w:val="FootnoteReference"/>
        </w:rPr>
        <w:footnoteReference w:id="36"/>
      </w:r>
      <w:r w:rsidRPr="00AB4C34">
        <w:t>.</w:t>
      </w:r>
    </w:p>
    <w:p w:rsidR="00FA567F" w:rsidRPr="00AB4C34" w:rsidRDefault="00FA567F" w:rsidP="004B4B9D">
      <w:pPr>
        <w:pStyle w:val="SingleTxtGR"/>
      </w:pPr>
      <w:r w:rsidRPr="00AB4C34">
        <w:t>316.</w:t>
      </w:r>
      <w:r w:rsidRPr="00AB4C34">
        <w:tab/>
        <w:t>Для обеспечения быстрого признания иностранных свидетельств и д</w:t>
      </w:r>
      <w:r w:rsidRPr="00AB4C34">
        <w:t>и</w:t>
      </w:r>
      <w:r w:rsidRPr="00AB4C34">
        <w:t>пломов при необходимости проводится оценка и корректировка соответству</w:t>
      </w:r>
      <w:r w:rsidRPr="00AB4C34">
        <w:t>ю</w:t>
      </w:r>
      <w:r w:rsidRPr="00AB4C34">
        <w:t>щих процедур (НАРИК).</w:t>
      </w:r>
    </w:p>
    <w:p w:rsidR="00FA567F" w:rsidRPr="00AB4C34" w:rsidRDefault="00FA567F" w:rsidP="004B4B9D">
      <w:pPr>
        <w:pStyle w:val="SingleTxtGR"/>
      </w:pPr>
      <w:r w:rsidRPr="00AB4C34">
        <w:t>317.</w:t>
      </w:r>
      <w:r w:rsidRPr="00AB4C34">
        <w:tab/>
        <w:t>В сфере высшего образования благодаря устранению препятствий фина</w:t>
      </w:r>
      <w:r w:rsidRPr="00AB4C34">
        <w:t>н</w:t>
      </w:r>
      <w:r w:rsidRPr="00AB4C34">
        <w:t>сового и иного характера были улучшены условия для приема, роста и успе</w:t>
      </w:r>
      <w:r w:rsidRPr="00AB4C34">
        <w:t>ш</w:t>
      </w:r>
      <w:r w:rsidRPr="00AB4C34">
        <w:t>ного выпуска студентов неместного происхождения. С другой стороны, был у</w:t>
      </w:r>
      <w:r w:rsidRPr="00AB4C34">
        <w:t>ч</w:t>
      </w:r>
      <w:r w:rsidRPr="00AB4C34">
        <w:t>режден Фонд поощрения, который до сих пор действует и будет заменен к 1 я</w:t>
      </w:r>
      <w:r w:rsidRPr="00AB4C34">
        <w:t>н</w:t>
      </w:r>
      <w:r w:rsidRPr="00AB4C34">
        <w:t>варя 2013 года</w:t>
      </w:r>
      <w:r w:rsidRPr="003C732E">
        <w:rPr>
          <w:rStyle w:val="FootnoteReference"/>
        </w:rPr>
        <w:footnoteReference w:id="37"/>
      </w:r>
      <w:r w:rsidRPr="00AB4C34">
        <w:t>.</w:t>
      </w:r>
    </w:p>
    <w:p w:rsidR="00FA567F" w:rsidRPr="00AB4C34" w:rsidRDefault="00FA567F" w:rsidP="004B4B9D">
      <w:pPr>
        <w:pStyle w:val="SingleTxtGR"/>
      </w:pPr>
      <w:r w:rsidRPr="00AB4C34">
        <w:t>318.</w:t>
      </w:r>
      <w:r w:rsidRPr="00AB4C34">
        <w:tab/>
        <w:t>Поощряется участие детей дошкольного возраста, в том числе на уровне целевых групп в рамках политики интеграции.</w:t>
      </w:r>
    </w:p>
    <w:p w:rsidR="00FA567F" w:rsidRPr="00AB4C34" w:rsidRDefault="00FA567F" w:rsidP="004B4B9D">
      <w:pPr>
        <w:pStyle w:val="SingleTxtGR"/>
      </w:pPr>
      <w:r w:rsidRPr="00AB4C34">
        <w:t>319.</w:t>
      </w:r>
      <w:r w:rsidRPr="00AB4C34">
        <w:tab/>
        <w:t>Между Центром по обеспечению равных возможностей и Фламандским советом по вопросам образования (ФСО) было заключено соглашение о сотру</w:t>
      </w:r>
      <w:r w:rsidRPr="00AB4C34">
        <w:t>д</w:t>
      </w:r>
      <w:r w:rsidRPr="00AB4C34">
        <w:t>ничестве в области урегулирования жалоб. Цель этого соглашения – находить оптимальные способы решения конфликтов, вызванных неравенством возмо</w:t>
      </w:r>
      <w:r w:rsidRPr="00AB4C34">
        <w:t>ж</w:t>
      </w:r>
      <w:r w:rsidRPr="00AB4C34">
        <w:t>ностей, проявлениями расизма или дискриминации в сфере образования, и б</w:t>
      </w:r>
      <w:r w:rsidRPr="00AB4C34">
        <w:t>о</w:t>
      </w:r>
      <w:r w:rsidRPr="00AB4C34">
        <w:t>лее эффективно обр</w:t>
      </w:r>
      <w:r w:rsidRPr="00AB4C34">
        <w:t>а</w:t>
      </w:r>
      <w:r w:rsidRPr="00AB4C34">
        <w:t>батывать зарегистрированные сообщения.</w:t>
      </w:r>
    </w:p>
    <w:p w:rsidR="00FA567F" w:rsidRPr="00AB4C34" w:rsidRDefault="00FA567F" w:rsidP="004B4B9D">
      <w:pPr>
        <w:pStyle w:val="H23GR"/>
      </w:pPr>
      <w:r w:rsidRPr="00AB4C34">
        <w:tab/>
        <w:t>2.</w:t>
      </w:r>
      <w:r w:rsidRPr="00AB4C34">
        <w:tab/>
        <w:t xml:space="preserve">Комплексная политика в интересах целевых групп </w:t>
      </w:r>
    </w:p>
    <w:p w:rsidR="00FA567F" w:rsidRPr="00AB4C34" w:rsidRDefault="00FA567F" w:rsidP="004B4B9D">
      <w:pPr>
        <w:pStyle w:val="SingleTxtGR"/>
      </w:pPr>
      <w:r w:rsidRPr="00AB4C34">
        <w:t>320.</w:t>
      </w:r>
      <w:r w:rsidRPr="00AB4C34">
        <w:tab/>
        <w:t>В русле политики в сфере образования проводится комплексная политика в интересах целевых групп. Особое внимание при проведении этой комплек</w:t>
      </w:r>
      <w:r w:rsidRPr="00AB4C34">
        <w:t>с</w:t>
      </w:r>
      <w:r w:rsidRPr="00AB4C34">
        <w:t>ной политики уделяется детям и молодежи из тех социальных групп, где их способности не развиваются достаточным образом. Образовательная п</w:t>
      </w:r>
      <w:r w:rsidRPr="00AB4C34">
        <w:t>о</w:t>
      </w:r>
      <w:r w:rsidRPr="00AB4C34">
        <w:t>литика ориентирована как на принятие мер по обеспечению участия детей в системе образования, так и на меры по обеспечению того, чтобы максимально возмо</w:t>
      </w:r>
      <w:r w:rsidRPr="00AB4C34">
        <w:t>ж</w:t>
      </w:r>
      <w:r w:rsidRPr="00AB4C34">
        <w:t>ное число детей завершали школьное обуч</w:t>
      </w:r>
      <w:r w:rsidRPr="00AB4C34">
        <w:t>е</w:t>
      </w:r>
      <w:r w:rsidRPr="00AB4C34">
        <w:t>ние с хорошим уровнем подготовки. Решающее значение в этой связи приобретают энтузиазм и заинт</w:t>
      </w:r>
      <w:r w:rsidRPr="00AB4C34">
        <w:t>е</w:t>
      </w:r>
      <w:r w:rsidRPr="00AB4C34">
        <w:t xml:space="preserve">ресованность всех субъектов системы образования, а также учащихся и их родителей. </w:t>
      </w:r>
    </w:p>
    <w:p w:rsidR="00FA567F" w:rsidRPr="00AB4C34" w:rsidRDefault="00FA567F" w:rsidP="004B4B9D">
      <w:pPr>
        <w:pStyle w:val="SingleTxtGR"/>
      </w:pPr>
      <w:r w:rsidRPr="00AB4C34">
        <w:t>321.</w:t>
      </w:r>
      <w:r w:rsidRPr="00AB4C34">
        <w:tab/>
        <w:t xml:space="preserve">Политическое направление </w:t>
      </w:r>
      <w:r>
        <w:t>"</w:t>
      </w:r>
      <w:r w:rsidRPr="00AB4C34">
        <w:t>Образование и профессиональное обучение</w:t>
      </w:r>
      <w:r>
        <w:t>"</w:t>
      </w:r>
      <w:r w:rsidRPr="00AB4C34">
        <w:t xml:space="preserve"> представлено в составе рабочей группы по подготовке фламандского плана де</w:t>
      </w:r>
      <w:r w:rsidRPr="00AB4C34">
        <w:t>й</w:t>
      </w:r>
      <w:r w:rsidRPr="00AB4C34">
        <w:t xml:space="preserve">ствий </w:t>
      </w:r>
      <w:r>
        <w:t>"</w:t>
      </w:r>
      <w:r w:rsidRPr="00AB4C34">
        <w:t>Миграция из стран Центральной и Во</w:t>
      </w:r>
      <w:r w:rsidRPr="00AB4C34">
        <w:t>с</w:t>
      </w:r>
      <w:r w:rsidRPr="00AB4C34">
        <w:t>точной Европы</w:t>
      </w:r>
      <w:r>
        <w:t>"</w:t>
      </w:r>
      <w:r w:rsidRPr="00AB4C34">
        <w:t xml:space="preserve"> (ЦВЕ, см. выше) министра по гражданской интеграции. По инициативе этой рабочей группы проводятся скоординированные мероприятия в интересах этих групп мигрантов (включая рома). В частности, для сферы образования она разрабатывает сл</w:t>
      </w:r>
      <w:r w:rsidRPr="00AB4C34">
        <w:t>е</w:t>
      </w:r>
      <w:r w:rsidRPr="00AB4C34">
        <w:t>дующие мероприятия: более активное вовлечение родителей этих учащихся и информирование школ о возможностях получения субсидий на реал</w:t>
      </w:r>
      <w:r w:rsidRPr="00AB4C34">
        <w:t>и</w:t>
      </w:r>
      <w:r w:rsidRPr="00AB4C34">
        <w:t>зацию проектов в интересах рома.</w:t>
      </w:r>
    </w:p>
    <w:p w:rsidR="00FA567F" w:rsidRPr="00AB4C34" w:rsidRDefault="00FA567F" w:rsidP="004B4B9D">
      <w:pPr>
        <w:pStyle w:val="SingleTxtGR"/>
      </w:pPr>
      <w:r w:rsidRPr="00AB4C34">
        <w:t>322.</w:t>
      </w:r>
      <w:r w:rsidRPr="00AB4C34">
        <w:tab/>
        <w:t>Кроме того, проводимые мероприятия указаны в Плане действий против школьных прогулов и других видов недисциплинированного поведения. Этот план действий предусматривает, что обязанность посещать школу должна также возлагаться и на детей рома. В этой связи при содействии местных властей ц</w:t>
      </w:r>
      <w:r w:rsidRPr="00AB4C34">
        <w:t>е</w:t>
      </w:r>
      <w:r w:rsidRPr="00AB4C34">
        <w:t>левая группа может также информироваться о важности образования и изуч</w:t>
      </w:r>
      <w:r w:rsidRPr="00AB4C34">
        <w:t>е</w:t>
      </w:r>
      <w:r w:rsidRPr="00AB4C34">
        <w:t>ния нидерландского языка. Для проведения среди преподавательского состава и школ информационно-пропагандистской работы по теме мигрантов из Це</w:t>
      </w:r>
      <w:r w:rsidRPr="00AB4C34">
        <w:t>н</w:t>
      </w:r>
      <w:r w:rsidRPr="00AB4C34">
        <w:t>тральной и Восточной Европы будут проводиться дни учебы или курсы подг</w:t>
      </w:r>
      <w:r w:rsidRPr="00AB4C34">
        <w:t>о</w:t>
      </w:r>
      <w:r w:rsidRPr="00AB4C34">
        <w:t>товки, посвященные этой целевой группе. С другой стороны, стимулируется создание ассоциаций, объединяющих школы и центры интеграции. Более того, в коммунах со значительной долей представителей этой целевой группы мес</w:t>
      </w:r>
      <w:r w:rsidRPr="00AB4C34">
        <w:t>т</w:t>
      </w:r>
      <w:r w:rsidRPr="00AB4C34">
        <w:t>ные инициативы будут поощряться, например, благодаря поддержке меропри</w:t>
      </w:r>
      <w:r w:rsidRPr="00AB4C34">
        <w:t>я</w:t>
      </w:r>
      <w:r w:rsidRPr="00AB4C34">
        <w:t>тий, позволяющих школам и преподавательскому составу принимать участие в телеконференциях и обменах опытом, а также в других встречах, способству</w:t>
      </w:r>
      <w:r w:rsidRPr="00AB4C34">
        <w:t>ю</w:t>
      </w:r>
      <w:r w:rsidRPr="00AB4C34">
        <w:t>щих выработке идей и совместному поиску решений.</w:t>
      </w:r>
    </w:p>
    <w:p w:rsidR="00FA567F" w:rsidRPr="00AB4C34" w:rsidRDefault="00FA567F" w:rsidP="004B4B9D">
      <w:pPr>
        <w:pStyle w:val="SingleTxtGR"/>
      </w:pPr>
      <w:r w:rsidRPr="00AB4C34">
        <w:t>323.</w:t>
      </w:r>
      <w:r w:rsidRPr="00AB4C34">
        <w:tab/>
        <w:t xml:space="preserve">Политическое направление </w:t>
      </w:r>
      <w:r>
        <w:t>"</w:t>
      </w:r>
      <w:r w:rsidRPr="00AB4C34">
        <w:t>Образование и профессиональное обучение</w:t>
      </w:r>
      <w:r>
        <w:t>"</w:t>
      </w:r>
      <w:r w:rsidRPr="00AB4C34">
        <w:t xml:space="preserve"> отражено и работе экспериментальной группы Фландрии по вопросам лиц к</w:t>
      </w:r>
      <w:r w:rsidRPr="00AB4C34">
        <w:t>о</w:t>
      </w:r>
      <w:r w:rsidRPr="00AB4C34">
        <w:t>чевого образа жизни, которая занимается подготовкой фламандского плана де</w:t>
      </w:r>
      <w:r w:rsidRPr="00AB4C34">
        <w:t>й</w:t>
      </w:r>
      <w:r w:rsidRPr="00AB4C34">
        <w:t>ствий в интересах лиц этой категории (см. выше); в рамках этой группы будут также разрабатываться мероприятия для сектора образования.</w:t>
      </w:r>
    </w:p>
    <w:p w:rsidR="00FA567F" w:rsidRPr="00AB4C34" w:rsidRDefault="00FA567F" w:rsidP="004B4B9D">
      <w:pPr>
        <w:pStyle w:val="H23GR"/>
      </w:pPr>
      <w:r w:rsidRPr="00AB4C34">
        <w:tab/>
        <w:t>3.</w:t>
      </w:r>
      <w:r w:rsidRPr="00AB4C34">
        <w:tab/>
        <w:t xml:space="preserve">Ношение символики, отражающей убеждения </w:t>
      </w:r>
    </w:p>
    <w:p w:rsidR="00FA567F" w:rsidRPr="00AB4C34" w:rsidRDefault="00FA567F" w:rsidP="004B4B9D">
      <w:pPr>
        <w:pStyle w:val="SingleTxtGR"/>
      </w:pPr>
      <w:r w:rsidRPr="00AB4C34">
        <w:t>324.</w:t>
      </w:r>
      <w:r w:rsidRPr="00AB4C34">
        <w:tab/>
        <w:t>В 2010 и 2011 годах министр образования Фландрии провел целый ряд бесед по проблеме ношения видимой символики, отражающей убеждения, с с</w:t>
      </w:r>
      <w:r w:rsidRPr="00AB4C34">
        <w:t>о</w:t>
      </w:r>
      <w:r w:rsidRPr="00AB4C34">
        <w:t>ответствующими субъектами: экспертами по пр</w:t>
      </w:r>
      <w:r w:rsidRPr="00AB4C34">
        <w:t>а</w:t>
      </w:r>
      <w:r w:rsidRPr="00AB4C34">
        <w:t>вовым вопросам, экспертами в областях философии, этики и социологии, представителями различных сетей образования, Организацией по координации работы с фламандскими учащим</w:t>
      </w:r>
      <w:r w:rsidRPr="00AB4C34">
        <w:t>и</w:t>
      </w:r>
      <w:r w:rsidRPr="00AB4C34">
        <w:t>ся (</w:t>
      </w:r>
      <w:r>
        <w:t>"</w:t>
      </w:r>
      <w:r w:rsidRPr="00AB4C34">
        <w:t>Vlaamse Scholierenkoepel</w:t>
      </w:r>
      <w:r>
        <w:t>"</w:t>
      </w:r>
      <w:r w:rsidRPr="00AB4C34">
        <w:t xml:space="preserve">), организацией </w:t>
      </w:r>
      <w:r>
        <w:t>"</w:t>
      </w:r>
      <w:r w:rsidRPr="00AB4C34">
        <w:t>Boeh!</w:t>
      </w:r>
      <w:r>
        <w:t>"</w:t>
      </w:r>
      <w:r w:rsidRPr="00AB4C34">
        <w:t>, видными представит</w:t>
      </w:r>
      <w:r w:rsidRPr="00AB4C34">
        <w:t>е</w:t>
      </w:r>
      <w:r w:rsidRPr="00AB4C34">
        <w:t>лями общественности и наставниками по исламу. На основе мнений, изложе</w:t>
      </w:r>
      <w:r w:rsidRPr="00AB4C34">
        <w:t>н</w:t>
      </w:r>
      <w:r w:rsidRPr="00AB4C34">
        <w:t>ных в ходе этих бесед, был разработан ряд возможных позиций – от принцип</w:t>
      </w:r>
      <w:r w:rsidRPr="00AB4C34">
        <w:t>и</w:t>
      </w:r>
      <w:r w:rsidRPr="00AB4C34">
        <w:t>ального разрешения до запрета на ношение такой символики при определенных обстоятельствах, а также разрешения на ее ношение с некоторыми огранич</w:t>
      </w:r>
      <w:r w:rsidRPr="00AB4C34">
        <w:t>е</w:t>
      </w:r>
      <w:r w:rsidRPr="00AB4C34">
        <w:t>ниями. Теперь эти возможные п</w:t>
      </w:r>
      <w:r w:rsidRPr="00AB4C34">
        <w:t>о</w:t>
      </w:r>
      <w:r w:rsidRPr="00AB4C34">
        <w:t>зиции предстоит проверить на предмет их практического применения и эффективности. Независимо от выбранного п</w:t>
      </w:r>
      <w:r w:rsidRPr="00AB4C34">
        <w:t>о</w:t>
      </w:r>
      <w:r w:rsidRPr="00AB4C34">
        <w:t>рядка действий основное значение придается диалогу со всеми заинтересова</w:t>
      </w:r>
      <w:r w:rsidRPr="00AB4C34">
        <w:t>н</w:t>
      </w:r>
      <w:r w:rsidRPr="00AB4C34">
        <w:t>ными ст</w:t>
      </w:r>
      <w:r w:rsidRPr="00AB4C34">
        <w:t>о</w:t>
      </w:r>
      <w:r w:rsidRPr="00AB4C34">
        <w:t>ронами и непосредственному участию учащихся.</w:t>
      </w:r>
    </w:p>
    <w:p w:rsidR="00FA567F" w:rsidRPr="00AB4C34" w:rsidRDefault="00FA567F" w:rsidP="004B4B9D">
      <w:pPr>
        <w:pStyle w:val="H23GR"/>
      </w:pPr>
      <w:r w:rsidRPr="00AB4C34">
        <w:tab/>
        <w:t>4.</w:t>
      </w:r>
      <w:r w:rsidRPr="00AB4C34">
        <w:tab/>
        <w:t>Информационно-разъяснительные мероприятия по тематике Ко</w:t>
      </w:r>
      <w:r w:rsidRPr="00AB4C34">
        <w:t>н</w:t>
      </w:r>
      <w:r w:rsidRPr="00AB4C34">
        <w:t>венции</w:t>
      </w:r>
    </w:p>
    <w:p w:rsidR="00FA567F" w:rsidRPr="00AB4C34" w:rsidRDefault="00FA567F" w:rsidP="004B4B9D">
      <w:pPr>
        <w:pStyle w:val="SingleTxtGR"/>
      </w:pPr>
      <w:r w:rsidRPr="00AB4C34">
        <w:t>325.</w:t>
      </w:r>
      <w:r w:rsidRPr="00AB4C34">
        <w:tab/>
        <w:t xml:space="preserve">В школьном журнале </w:t>
      </w:r>
      <w:r>
        <w:t>"</w:t>
      </w:r>
      <w:r w:rsidRPr="00AB4C34">
        <w:t>Класс</w:t>
      </w:r>
      <w:r>
        <w:t>"</w:t>
      </w:r>
      <w:r w:rsidRPr="00AB4C34">
        <w:t xml:space="preserve"> регулярно публикуется информация по т</w:t>
      </w:r>
      <w:r w:rsidRPr="00AB4C34">
        <w:t>е</w:t>
      </w:r>
      <w:r w:rsidRPr="00AB4C34">
        <w:t>мам Конвенции, предназначенная для родителей, учащихся и преподавателей (www.klasse.be). Наряду с этим журнал проводит информационные кампании.</w:t>
      </w:r>
    </w:p>
    <w:p w:rsidR="00FA567F" w:rsidRPr="00AB4C34" w:rsidRDefault="00FA567F" w:rsidP="004B4B9D">
      <w:pPr>
        <w:pStyle w:val="SingleTxtGR"/>
      </w:pPr>
      <w:r w:rsidRPr="00AB4C34">
        <w:t>326.</w:t>
      </w:r>
      <w:r w:rsidRPr="00AB4C34">
        <w:tab/>
        <w:t>Темы терпимости, борьбы с расизмом и ксенофобией нередко затрагив</w:t>
      </w:r>
      <w:r w:rsidRPr="00AB4C34">
        <w:t>а</w:t>
      </w:r>
      <w:r w:rsidRPr="00AB4C34">
        <w:t>ются в системах базового и среднего образования Фландрии через поставле</w:t>
      </w:r>
      <w:r w:rsidRPr="00AB4C34">
        <w:t>н</w:t>
      </w:r>
      <w:r w:rsidRPr="00AB4C34">
        <w:t>ные перед ними конечные цели.</w:t>
      </w:r>
    </w:p>
    <w:p w:rsidR="00FA567F" w:rsidRPr="00AB4C34" w:rsidRDefault="00FA567F" w:rsidP="004B4B9D">
      <w:pPr>
        <w:pStyle w:val="SingleTxtGR"/>
      </w:pPr>
      <w:r w:rsidRPr="00AB4C34">
        <w:t>327.</w:t>
      </w:r>
      <w:r w:rsidRPr="00AB4C34">
        <w:tab/>
        <w:t>В рамках новых конечных целей, установленных по различным предм</w:t>
      </w:r>
      <w:r w:rsidRPr="00AB4C34">
        <w:t>е</w:t>
      </w:r>
      <w:r w:rsidRPr="00AB4C34">
        <w:t>там в 2010 году, в разделах 5 (политико-правовой аспект демократического о</w:t>
      </w:r>
      <w:r w:rsidRPr="00AB4C34">
        <w:t>б</w:t>
      </w:r>
      <w:r w:rsidRPr="00AB4C34">
        <w:t>щества) и 7 (социально-культурное общество) непосредственно выделены т</w:t>
      </w:r>
      <w:r w:rsidRPr="00AB4C34">
        <w:t>е</w:t>
      </w:r>
      <w:r w:rsidRPr="00AB4C34">
        <w:t>мы, посвященные активной гражданской позиции и правам человека. Коне</w:t>
      </w:r>
      <w:r w:rsidRPr="00AB4C34">
        <w:t>ч</w:t>
      </w:r>
      <w:r w:rsidRPr="00AB4C34">
        <w:t>ные цели раздела 7 посвящены знаниям, навыкам и поведенческим моделям, кот</w:t>
      </w:r>
      <w:r w:rsidRPr="00AB4C34">
        <w:t>о</w:t>
      </w:r>
      <w:r w:rsidRPr="00AB4C34">
        <w:t>рые необходимы для сосуществования в многокультурном демократическом обществе. Эти выводы основаны на том, что, х</w:t>
      </w:r>
      <w:r w:rsidRPr="00AB4C34">
        <w:t>о</w:t>
      </w:r>
      <w:r w:rsidRPr="00AB4C34">
        <w:t>тя дети – это лишь будущие граждане, они, тем не менее, в течение срока их обучения являются частью о</w:t>
      </w:r>
      <w:r w:rsidRPr="00AB4C34">
        <w:t>б</w:t>
      </w:r>
      <w:r w:rsidRPr="00AB4C34">
        <w:t>щества. Поэтому в период посещения школы им нужно дать возможность осо</w:t>
      </w:r>
      <w:r w:rsidRPr="00AB4C34">
        <w:t>з</w:t>
      </w:r>
      <w:r w:rsidRPr="00AB4C34">
        <w:t>нать существующие процедуры участия в общественной жизни, основные права и свободы, функционирование демократ</w:t>
      </w:r>
      <w:r w:rsidRPr="00AB4C34">
        <w:t>и</w:t>
      </w:r>
      <w:r w:rsidRPr="00AB4C34">
        <w:t>ческой системы.</w:t>
      </w:r>
    </w:p>
    <w:p w:rsidR="00FA567F" w:rsidRPr="00AB4C34" w:rsidRDefault="00FA567F" w:rsidP="004B4B9D">
      <w:pPr>
        <w:pStyle w:val="H1GR"/>
      </w:pPr>
      <w:r w:rsidRPr="00AB4C34">
        <w:tab/>
        <w:t>B.</w:t>
      </w:r>
      <w:r w:rsidRPr="00AB4C34">
        <w:tab/>
        <w:t xml:space="preserve">Франкоязычное сообщество </w:t>
      </w:r>
    </w:p>
    <w:p w:rsidR="00FA567F" w:rsidRPr="00AB4C34" w:rsidRDefault="00FA567F" w:rsidP="004B4B9D">
      <w:pPr>
        <w:pStyle w:val="H23GR"/>
      </w:pPr>
      <w:r w:rsidRPr="00AB4C34">
        <w:tab/>
        <w:t>1.</w:t>
      </w:r>
      <w:r w:rsidRPr="00AB4C34">
        <w:tab/>
        <w:t xml:space="preserve">Новые указы в сфере образования </w:t>
      </w:r>
    </w:p>
    <w:p w:rsidR="00FA567F" w:rsidRPr="00AB4C34" w:rsidRDefault="00FA567F" w:rsidP="004B4B9D">
      <w:pPr>
        <w:pStyle w:val="SingleTxtGR"/>
      </w:pPr>
      <w:r w:rsidRPr="00AB4C34">
        <w:t>328.</w:t>
      </w:r>
      <w:r w:rsidRPr="00AB4C34">
        <w:tab/>
        <w:t>Можно упомянуть принятие Франкоязычным сообществом трех новых указов.</w:t>
      </w:r>
    </w:p>
    <w:p w:rsidR="00FA567F" w:rsidRPr="00AB4C34" w:rsidRDefault="00FA567F" w:rsidP="004B4B9D">
      <w:pPr>
        <w:pStyle w:val="SingleTxtGR"/>
      </w:pPr>
      <w:r w:rsidRPr="00AB4C34">
        <w:t>329.</w:t>
      </w:r>
      <w:r w:rsidRPr="00AB4C34">
        <w:tab/>
        <w:t>Указ от 3 апреля 2009 года о порядке зачисления учащихся в среднюю школу первой ступени направлен на введение объективного и прозрачного м</w:t>
      </w:r>
      <w:r w:rsidRPr="00AB4C34">
        <w:t>е</w:t>
      </w:r>
      <w:r w:rsidRPr="00AB4C34">
        <w:t>ханизма зачисления в интересах социальной см</w:t>
      </w:r>
      <w:r w:rsidRPr="00AB4C34">
        <w:t>е</w:t>
      </w:r>
      <w:r w:rsidRPr="00AB4C34">
        <w:t>шанности. Основными целями Указа являются: справедливость организации системы зачисления, прозра</w:t>
      </w:r>
      <w:r w:rsidRPr="00AB4C34">
        <w:t>ч</w:t>
      </w:r>
      <w:r w:rsidRPr="00AB4C34">
        <w:t>ность этой системы для родителей и учащихся, ее простота для преподавател</w:t>
      </w:r>
      <w:r w:rsidRPr="00AB4C34">
        <w:t>ь</w:t>
      </w:r>
      <w:r w:rsidRPr="00AB4C34">
        <w:t>ского состава и для руководства, равенство доступа и обращения, борьба со школьным отсевом и повтором года в условиях содействия смешиванию. Пр</w:t>
      </w:r>
      <w:r w:rsidRPr="00AB4C34">
        <w:t>е</w:t>
      </w:r>
      <w:r w:rsidRPr="00AB4C34">
        <w:t>дусмотрено ежегодное внесение изменений в Указ и проведение оценки его применения через три года по таким критериям, как наличие мер поддержки и сопровождения, развитие экспериментальных видов партнерства между школ</w:t>
      </w:r>
      <w:r w:rsidRPr="00AB4C34">
        <w:t>а</w:t>
      </w:r>
      <w:r w:rsidRPr="00AB4C34">
        <w:t>ми с низкими и более высокими социально-экономическими показателями, п</w:t>
      </w:r>
      <w:r w:rsidRPr="00AB4C34">
        <w:t>о</w:t>
      </w:r>
      <w:r w:rsidRPr="00AB4C34">
        <w:t xml:space="preserve">вышения уровня смешанности и, наконец, система предоставления мест. </w:t>
      </w:r>
    </w:p>
    <w:p w:rsidR="00FA567F" w:rsidRPr="00AB4C34" w:rsidRDefault="00FA567F" w:rsidP="004B4B9D">
      <w:pPr>
        <w:pStyle w:val="SingleTxtGR"/>
      </w:pPr>
      <w:r w:rsidRPr="00AB4C34">
        <w:t>330.</w:t>
      </w:r>
      <w:r w:rsidRPr="00AB4C34">
        <w:tab/>
        <w:t>Указ от 18 мая 2012 года о создании механизма по приему и охвату школьным обучением вновь прибывших учащихся</w:t>
      </w:r>
      <w:r w:rsidRPr="003C732E">
        <w:rPr>
          <w:rStyle w:val="FootnoteReference"/>
        </w:rPr>
        <w:footnoteReference w:id="38"/>
      </w:r>
      <w:r w:rsidRPr="00AB4C34">
        <w:t xml:space="preserve"> в системе образования, о</w:t>
      </w:r>
      <w:r w:rsidRPr="00AB4C34">
        <w:t>р</w:t>
      </w:r>
      <w:r w:rsidRPr="00AB4C34">
        <w:t>ганизованной и субсидируемой Франкоязычным сообществом (ДАСПА), пред</w:t>
      </w:r>
      <w:r w:rsidRPr="00AB4C34">
        <w:t>у</w:t>
      </w:r>
      <w:r w:rsidRPr="00AB4C34">
        <w:t>сматривает возможность зачисления таких учащихся либо по просьбе или с с</w:t>
      </w:r>
      <w:r w:rsidRPr="00AB4C34">
        <w:t>о</w:t>
      </w:r>
      <w:r w:rsidRPr="00AB4C34">
        <w:t>гласия лиц, осуществляющих де-юре или де-факто в отношении них родител</w:t>
      </w:r>
      <w:r w:rsidRPr="00AB4C34">
        <w:t>ь</w:t>
      </w:r>
      <w:r w:rsidRPr="00AB4C34">
        <w:t>ские функции, либо по просьбе или с согласия самих учащихся, если они явл</w:t>
      </w:r>
      <w:r w:rsidRPr="00AB4C34">
        <w:t>я</w:t>
      </w:r>
      <w:r w:rsidRPr="00AB4C34">
        <w:t>ются несопровождаемыми. Предусмотренный период обучения в подготов</w:t>
      </w:r>
      <w:r w:rsidRPr="00AB4C34">
        <w:t>и</w:t>
      </w:r>
      <w:r w:rsidRPr="00AB4C34">
        <w:t>тельном классе составляет от одной недели до одного года и может продлеват</w:t>
      </w:r>
      <w:r w:rsidRPr="00AB4C34">
        <w:t>ь</w:t>
      </w:r>
      <w:r w:rsidRPr="00AB4C34">
        <w:t xml:space="preserve">ся максимум до 18 месяцев. Учащиеся, которые зачислены в систему ДАСПА, могут полностью или частично посещать занятия с учащимися, зачисленными в обычные классы данной школы или учебного заведения или других школ и учебных заведений. Задачей этих механизмов по приему является повышение уровня владения французским языком путем интенсивной подготовки для лиц, не владеющих им в достаточной степени. Государство может включить в список развивающихся стран на определенный срок другие страны, если оно считает, что эти страны переживают тяжелый кризис. </w:t>
      </w:r>
    </w:p>
    <w:p w:rsidR="00FA567F" w:rsidRPr="00AB4C34" w:rsidRDefault="00FA567F" w:rsidP="004B4B9D">
      <w:pPr>
        <w:pStyle w:val="SingleTxtGR"/>
      </w:pPr>
      <w:r w:rsidRPr="00AB4C34">
        <w:t>331.</w:t>
      </w:r>
      <w:r w:rsidRPr="00AB4C34">
        <w:tab/>
        <w:t>В Указе от 28 апреля 2004 года о дифференцированном финансировании учреждений начального и среднего образования учитывается социально-экономический показатель, который присваивается учащимся при распредел</w:t>
      </w:r>
      <w:r w:rsidRPr="00AB4C34">
        <w:t>е</w:t>
      </w:r>
      <w:r w:rsidRPr="00AB4C34">
        <w:t>нии субсидий или дотаций, выделяемых школам. Подобно Указу от 30 апреля 2009 года об организации системы дифференцированного сопровождения в учебных заведениях Фра</w:t>
      </w:r>
      <w:r w:rsidRPr="00AB4C34">
        <w:t>н</w:t>
      </w:r>
      <w:r w:rsidRPr="00AB4C34">
        <w:t>коязычного сообщества в целях обеспечения каждому учащемуся равных возможностей для социального раскрепощения в благопр</w:t>
      </w:r>
      <w:r w:rsidRPr="00AB4C34">
        <w:t>и</w:t>
      </w:r>
      <w:r w:rsidRPr="00AB4C34">
        <w:t>ятной школьной среде, Указ от 28 апреля 2004 года касается не только мигра</w:t>
      </w:r>
      <w:r w:rsidRPr="00AB4C34">
        <w:t>н</w:t>
      </w:r>
      <w:r w:rsidRPr="00AB4C34">
        <w:t xml:space="preserve">тов. </w:t>
      </w:r>
    </w:p>
    <w:p w:rsidR="00FA567F" w:rsidRPr="00AB4C34" w:rsidRDefault="00FA567F" w:rsidP="004B4B9D">
      <w:pPr>
        <w:pStyle w:val="H23GR"/>
      </w:pPr>
      <w:r w:rsidRPr="00AB4C34">
        <w:tab/>
        <w:t>2.</w:t>
      </w:r>
      <w:r w:rsidRPr="00AB4C34">
        <w:tab/>
        <w:t xml:space="preserve">Разъяснительная работа среди субъектов сферы образования </w:t>
      </w:r>
    </w:p>
    <w:p w:rsidR="00FA567F" w:rsidRPr="00AB4C34" w:rsidRDefault="00FA567F" w:rsidP="004B4B9D">
      <w:pPr>
        <w:pStyle w:val="SingleTxtGR"/>
      </w:pPr>
      <w:r w:rsidRPr="00AB4C34">
        <w:t>332.</w:t>
      </w:r>
      <w:r w:rsidRPr="00AB4C34">
        <w:tab/>
        <w:t xml:space="preserve">В октябре 2010 года была начата разъяснительная под девизом </w:t>
      </w:r>
      <w:r>
        <w:t>"</w:t>
      </w:r>
      <w:r w:rsidRPr="00AB4C34">
        <w:t>Дискр</w:t>
      </w:r>
      <w:r w:rsidRPr="00AB4C34">
        <w:t>и</w:t>
      </w:r>
      <w:r w:rsidRPr="00AB4C34">
        <w:t>минация – ты сам</w:t>
      </w:r>
      <w:r>
        <w:t>"</w:t>
      </w:r>
      <w:r w:rsidRPr="00AB4C34">
        <w:t>, адр</w:t>
      </w:r>
      <w:r w:rsidRPr="00AB4C34">
        <w:t>е</w:t>
      </w:r>
      <w:r w:rsidRPr="00AB4C34">
        <w:t>сованная в первую очередь молодежи 12</w:t>
      </w:r>
      <w:r>
        <w:t>−</w:t>
      </w:r>
      <w:r w:rsidRPr="00AB4C34">
        <w:t>18 лет. В ходе этой кампании в конкретной и доступной форме даются пояснения о том, в чем заключаются дискриминация, свобода выражения мнений, разжигание ненави</w:t>
      </w:r>
      <w:r w:rsidRPr="00AB4C34">
        <w:t>с</w:t>
      </w:r>
      <w:r w:rsidRPr="00AB4C34">
        <w:t>ти, приказ подвергнуть дискриминации, расизм, сексизм, домогательство, г</w:t>
      </w:r>
      <w:r w:rsidRPr="00AB4C34">
        <w:t>о</w:t>
      </w:r>
      <w:r w:rsidRPr="00AB4C34">
        <w:t>мофобия, инвалидность и т.п. Цель этой кампании, которая косвенно ориент</w:t>
      </w:r>
      <w:r w:rsidRPr="00AB4C34">
        <w:t>и</w:t>
      </w:r>
      <w:r w:rsidRPr="00AB4C34">
        <w:t>рована также на преподавателей, воспитателей, ассоциации и местных субъе</w:t>
      </w:r>
      <w:r w:rsidRPr="00AB4C34">
        <w:t>к</w:t>
      </w:r>
      <w:r w:rsidRPr="00AB4C34">
        <w:t>тов, состоит в том, чтобы дать всем возможность понять смысл законодательс</w:t>
      </w:r>
      <w:r w:rsidRPr="00AB4C34">
        <w:t>т</w:t>
      </w:r>
      <w:r w:rsidRPr="00AB4C34">
        <w:t>ва о борьбе с некоторыми формами дискриминации и ознакомиться с нормати</w:t>
      </w:r>
      <w:r w:rsidRPr="00AB4C34">
        <w:t>в</w:t>
      </w:r>
      <w:r w:rsidRPr="00AB4C34">
        <w:t xml:space="preserve">ными положениями в этой области. В рамках кампании была подготовлена и распространена брошюра </w:t>
      </w:r>
      <w:r>
        <w:t>"</w:t>
      </w:r>
      <w:r w:rsidRPr="00AB4C34">
        <w:t>Дискриминация – ты сам</w:t>
      </w:r>
      <w:r>
        <w:t>"</w:t>
      </w:r>
      <w:r w:rsidRPr="00AB4C34">
        <w:t xml:space="preserve"> тиражом 47 000 экземпл</w:t>
      </w:r>
      <w:r w:rsidRPr="00AB4C34">
        <w:t>я</w:t>
      </w:r>
      <w:r w:rsidRPr="00AB4C34">
        <w:t xml:space="preserve">ров. </w:t>
      </w:r>
    </w:p>
    <w:p w:rsidR="00FA567F" w:rsidRPr="00AB4C34" w:rsidRDefault="00FA567F" w:rsidP="004B4B9D">
      <w:pPr>
        <w:pStyle w:val="SingleTxtGR"/>
      </w:pPr>
      <w:r w:rsidRPr="00AB4C34">
        <w:t>333.</w:t>
      </w:r>
      <w:r w:rsidRPr="00AB4C34">
        <w:tab/>
        <w:t xml:space="preserve">Наряду с масштабным проведением в системе школьного образования кампаний </w:t>
      </w:r>
      <w:r>
        <w:t>"</w:t>
      </w:r>
      <w:r w:rsidRPr="00AB4C34">
        <w:t>Дискриминация – ты сам</w:t>
      </w:r>
      <w:r>
        <w:t>"</w:t>
      </w:r>
      <w:r w:rsidRPr="00AB4C34">
        <w:t xml:space="preserve"> и </w:t>
      </w:r>
      <w:r>
        <w:t>"</w:t>
      </w:r>
      <w:r w:rsidRPr="00AB4C34">
        <w:t>Дискриминация – это плохо</w:t>
      </w:r>
      <w:r>
        <w:t>"</w:t>
      </w:r>
      <w:r w:rsidRPr="00AB4C34">
        <w:t xml:space="preserve"> </w:t>
      </w:r>
      <w:r>
        <w:t>(в 2012 </w:t>
      </w:r>
      <w:r w:rsidRPr="00AB4C34">
        <w:t>году) (см. приложение II) получило развитие сотрудничество со Слу</w:t>
      </w:r>
      <w:r w:rsidRPr="00AB4C34">
        <w:t>ж</w:t>
      </w:r>
      <w:r w:rsidRPr="00AB4C34">
        <w:t>бой помощи школе Министерства по делам Франкоязычного сообщества в ра</w:t>
      </w:r>
      <w:r w:rsidRPr="00AB4C34">
        <w:t>м</w:t>
      </w:r>
      <w:r w:rsidRPr="00AB4C34">
        <w:t>ках Плана действий по гарантированию благоприятных условий для ученичес</w:t>
      </w:r>
      <w:r w:rsidRPr="00AB4C34">
        <w:t>т</w:t>
      </w:r>
      <w:r w:rsidRPr="00AB4C34">
        <w:t>ва (ПУМАС) и Службой чрезвычайной помощи учебным заведениям, налаже</w:t>
      </w:r>
      <w:r w:rsidRPr="00AB4C34">
        <w:t>н</w:t>
      </w:r>
      <w:r w:rsidRPr="00AB4C34">
        <w:t>ное с целью подготовки практического руководства по вопросам предупрежд</w:t>
      </w:r>
      <w:r w:rsidRPr="00AB4C34">
        <w:t>е</w:t>
      </w:r>
      <w:r w:rsidRPr="00AB4C34">
        <w:t>ния насилия в школьной среде и противодействия ему. Так, например, была осущ</w:t>
      </w:r>
      <w:r w:rsidRPr="00AB4C34">
        <w:t>е</w:t>
      </w:r>
      <w:r w:rsidRPr="00AB4C34">
        <w:t>ствлена доработка проекта руководства с учетом положений указа о борьбе с дискриминацией; выпуск руководства намечен на 2012 год.</w:t>
      </w:r>
    </w:p>
    <w:p w:rsidR="00FA567F" w:rsidRPr="00AB4C34" w:rsidRDefault="00FA567F" w:rsidP="004B4B9D">
      <w:pPr>
        <w:pStyle w:val="SingleTxtGR"/>
      </w:pPr>
      <w:r w:rsidRPr="00AB4C34">
        <w:t>334.</w:t>
      </w:r>
      <w:r w:rsidRPr="00AB4C34">
        <w:tab/>
        <w:t>Указ от 12 декабря 2008 года о борьбе с некоторыми формами дискрим</w:t>
      </w:r>
      <w:r w:rsidRPr="00AB4C34">
        <w:t>и</w:t>
      </w:r>
      <w:r w:rsidRPr="00AB4C34">
        <w:t>нации направлен также на просвещение и информирование лиц, выполняющих функции по примирению и посредничеству. Так, в 2010 и 2011 годах 164 чел</w:t>
      </w:r>
      <w:r w:rsidRPr="00AB4C34">
        <w:t>о</w:t>
      </w:r>
      <w:r w:rsidRPr="00AB4C34">
        <w:t>века прошли курсы подготовки</w:t>
      </w:r>
      <w:r w:rsidRPr="003C732E">
        <w:rPr>
          <w:rStyle w:val="FootnoteReference"/>
        </w:rPr>
        <w:footnoteReference w:id="39"/>
      </w:r>
      <w:r w:rsidRPr="00AB4C34">
        <w:t>.</w:t>
      </w:r>
    </w:p>
    <w:p w:rsidR="00FA567F" w:rsidRPr="00AB4C34" w:rsidRDefault="00FA567F" w:rsidP="004B4B9D">
      <w:pPr>
        <w:pStyle w:val="SingleTxtGR"/>
      </w:pPr>
      <w:r w:rsidRPr="00AB4C34">
        <w:t>335.</w:t>
      </w:r>
      <w:r w:rsidRPr="00AB4C34">
        <w:tab/>
        <w:t>В целом выяснилось, что в подготовке нуждается большое число людей, а ресурсы на ее проведение ограничены. Поэтому в течение 2011 года было н</w:t>
      </w:r>
      <w:r w:rsidRPr="00AB4C34">
        <w:t>а</w:t>
      </w:r>
      <w:r w:rsidRPr="00AB4C34">
        <w:t>лажено сотрудничество со Школой государственной администрации (ШГА) и Институтом повышения квалификации без отрыва от профессиональной де</w:t>
      </w:r>
      <w:r w:rsidRPr="00AB4C34">
        <w:t>я</w:t>
      </w:r>
      <w:r w:rsidRPr="00AB4C34">
        <w:t>тельности (ИПК) с целью включения вопроса о дискриминации в их учебные программы. В настоящее время в стадии подготовки находятся следующие пр</w:t>
      </w:r>
      <w:r w:rsidRPr="00AB4C34">
        <w:t>о</w:t>
      </w:r>
      <w:r w:rsidRPr="00AB4C34">
        <w:t>екты:</w:t>
      </w:r>
    </w:p>
    <w:p w:rsidR="00FA567F" w:rsidRPr="00AB4C34" w:rsidRDefault="00FA567F" w:rsidP="004B4B9D">
      <w:pPr>
        <w:pStyle w:val="Bullet1GR"/>
        <w:numPr>
          <w:ilvl w:val="0"/>
          <w:numId w:val="1"/>
        </w:numPr>
      </w:pPr>
      <w:r w:rsidRPr="00AB4C34">
        <w:t>совместно с ШГА: введение просветительского курса продолжительн</w:t>
      </w:r>
      <w:r w:rsidRPr="00AB4C34">
        <w:t>о</w:t>
      </w:r>
      <w:r w:rsidRPr="00AB4C34">
        <w:t>стью полдня для должностных лиц Французского сообщества;</w:t>
      </w:r>
    </w:p>
    <w:p w:rsidR="00FA567F" w:rsidRPr="00AB4C34" w:rsidRDefault="00FA567F" w:rsidP="004B4B9D">
      <w:pPr>
        <w:pStyle w:val="Bullet1GR"/>
        <w:numPr>
          <w:ilvl w:val="0"/>
          <w:numId w:val="1"/>
        </w:numPr>
      </w:pPr>
      <w:r w:rsidRPr="00AB4C34">
        <w:t>совместно с ИПК: включение с 2012 года двухдневного учебного курса в программу непрерывной по</w:t>
      </w:r>
      <w:r w:rsidRPr="00AB4C34">
        <w:t>д</w:t>
      </w:r>
      <w:r w:rsidRPr="00AB4C34">
        <w:t>готовки инспекторов системы образования.</w:t>
      </w:r>
    </w:p>
    <w:p w:rsidR="00FA567F" w:rsidRPr="00AB4C34" w:rsidRDefault="00FA567F" w:rsidP="004B4B9D">
      <w:pPr>
        <w:pStyle w:val="H23GR"/>
      </w:pPr>
      <w:r w:rsidRPr="00AB4C34">
        <w:tab/>
        <w:t>3.</w:t>
      </w:r>
      <w:r w:rsidRPr="00AB4C34">
        <w:tab/>
        <w:t xml:space="preserve">Заключения и рекомендации в сфере образования </w:t>
      </w:r>
    </w:p>
    <w:p w:rsidR="00FA567F" w:rsidRPr="00AB4C34" w:rsidRDefault="00FA567F" w:rsidP="004B4B9D">
      <w:pPr>
        <w:pStyle w:val="SingleTxtGR"/>
      </w:pPr>
      <w:r w:rsidRPr="00AB4C34">
        <w:t>336.</w:t>
      </w:r>
      <w:r w:rsidRPr="00AB4C34">
        <w:tab/>
        <w:t>Были налажены различные виды сотрудничества с соответствующими субъектами, чтобы дать Центру и Институту возможность проводить исслед</w:t>
      </w:r>
      <w:r w:rsidRPr="00AB4C34">
        <w:t>о</w:t>
      </w:r>
      <w:r w:rsidRPr="00AB4C34">
        <w:t>вания в оптимальных условиях для дачи полных и аргументированных закл</w:t>
      </w:r>
      <w:r w:rsidRPr="00AB4C34">
        <w:t>ю</w:t>
      </w:r>
      <w:r w:rsidRPr="00AB4C34">
        <w:t>чений и рекомендаций.</w:t>
      </w:r>
    </w:p>
    <w:p w:rsidR="00FA567F" w:rsidRPr="00AB4C34" w:rsidRDefault="00FA567F" w:rsidP="004B4B9D">
      <w:pPr>
        <w:pStyle w:val="SingleTxtGR"/>
      </w:pPr>
      <w:r w:rsidRPr="00AB4C34">
        <w:t>337.</w:t>
      </w:r>
      <w:r w:rsidRPr="00AB4C34">
        <w:tab/>
        <w:t>Так, например, в январе 2012 года Центр рекомендовал министру высш</w:t>
      </w:r>
      <w:r w:rsidRPr="00AB4C34">
        <w:t>е</w:t>
      </w:r>
      <w:r w:rsidRPr="00AB4C34">
        <w:t>го образования разослать в высшие учебные заведения и в учреждения соц</w:t>
      </w:r>
      <w:r w:rsidRPr="00AB4C34">
        <w:t>и</w:t>
      </w:r>
      <w:r w:rsidRPr="00AB4C34">
        <w:t>ального развития циркулярное письмо о том, чтобы свобода выражения студе</w:t>
      </w:r>
      <w:r w:rsidRPr="00AB4C34">
        <w:t>н</w:t>
      </w:r>
      <w:r w:rsidRPr="00AB4C34">
        <w:t>тами своих убеждений, включая ношение религиозной символики, не подверг</w:t>
      </w:r>
      <w:r w:rsidRPr="00AB4C34">
        <w:t>а</w:t>
      </w:r>
      <w:r w:rsidRPr="00AB4C34">
        <w:t xml:space="preserve">лась никаким ограничениям. </w:t>
      </w:r>
    </w:p>
    <w:p w:rsidR="00FA567F" w:rsidRPr="00AB4C34" w:rsidRDefault="00FA567F" w:rsidP="004B4B9D">
      <w:pPr>
        <w:pStyle w:val="H23GR"/>
      </w:pPr>
      <w:r w:rsidRPr="00AB4C34">
        <w:tab/>
        <w:t>4.</w:t>
      </w:r>
      <w:r w:rsidRPr="00AB4C34">
        <w:tab/>
        <w:t>План действий по поощр</w:t>
      </w:r>
      <w:r>
        <w:t>ению равенства и разнообразия в </w:t>
      </w:r>
      <w:r w:rsidRPr="00AB4C34">
        <w:t>аудиовизуальных средствах ма</w:t>
      </w:r>
      <w:r w:rsidRPr="00AB4C34">
        <w:t>с</w:t>
      </w:r>
      <w:r w:rsidRPr="00AB4C34">
        <w:t xml:space="preserve">совой информации </w:t>
      </w:r>
    </w:p>
    <w:p w:rsidR="00FA567F" w:rsidRPr="00AB4C34" w:rsidRDefault="00FA567F" w:rsidP="004B4B9D">
      <w:pPr>
        <w:pStyle w:val="SingleTxtGR"/>
      </w:pPr>
      <w:r w:rsidRPr="00AB4C34">
        <w:t>338.</w:t>
      </w:r>
      <w:r w:rsidRPr="00AB4C34">
        <w:tab/>
        <w:t>В 2010 году министр культуры, аудиовизуальных средств, здравоохран</w:t>
      </w:r>
      <w:r w:rsidRPr="00AB4C34">
        <w:t>е</w:t>
      </w:r>
      <w:r w:rsidRPr="00AB4C34">
        <w:t>ния и равенства возможностей утвердил План действий по поощрению равенс</w:t>
      </w:r>
      <w:r w:rsidRPr="00AB4C34">
        <w:t>т</w:t>
      </w:r>
      <w:r w:rsidRPr="00AB4C34">
        <w:t>ва и разнообразия в аудиовизуальных средствах массовой информации фра</w:t>
      </w:r>
      <w:r w:rsidRPr="00AB4C34">
        <w:t>н</w:t>
      </w:r>
      <w:r w:rsidRPr="00AB4C34">
        <w:t>коязычного сообщества на 2010</w:t>
      </w:r>
      <w:r>
        <w:t>−</w:t>
      </w:r>
      <w:r w:rsidRPr="00AB4C34">
        <w:t>2013 годы. Рассчитанный на три года, этот план предусматривает реализацию двух отдельных, но взаимодополняющих мероприятий в виде двух ежегодных публикаций:</w:t>
      </w:r>
    </w:p>
    <w:p w:rsidR="00FA567F" w:rsidRPr="00AB4C34" w:rsidRDefault="00FA567F" w:rsidP="004B4B9D">
      <w:pPr>
        <w:pStyle w:val="Bullet1GR"/>
        <w:numPr>
          <w:ilvl w:val="0"/>
          <w:numId w:val="1"/>
        </w:numPr>
      </w:pPr>
      <w:r w:rsidRPr="00AB4C34">
        <w:t>Ежегодного барометра уровней равенства и разнообразия, который пре</w:t>
      </w:r>
      <w:r w:rsidRPr="00AB4C34">
        <w:t>д</w:t>
      </w:r>
      <w:r w:rsidRPr="00AB4C34">
        <w:t>ставляет собой анализ цифр</w:t>
      </w:r>
      <w:r w:rsidRPr="00AB4C34">
        <w:t>о</w:t>
      </w:r>
      <w:r w:rsidRPr="00AB4C34">
        <w:t>вых данных о представленности различных компонентов разнообразия в программах подготовки редакторов франко</w:t>
      </w:r>
      <w:r w:rsidRPr="00AB4C34">
        <w:t>я</w:t>
      </w:r>
      <w:r w:rsidRPr="00AB4C34">
        <w:t>зычного сообщества, рассчитанных за определенную неделю. Он отраж</w:t>
      </w:r>
      <w:r w:rsidRPr="00AB4C34">
        <w:t>а</w:t>
      </w:r>
      <w:r w:rsidRPr="00AB4C34">
        <w:t>ет уровень ра</w:t>
      </w:r>
      <w:r w:rsidRPr="00AB4C34">
        <w:t>з</w:t>
      </w:r>
      <w:r w:rsidRPr="00AB4C34">
        <w:t>нообразия на телевидении, являющийся непременным предварительным условием для принятия существенных мер, и должен дать возможность отчитаться о результатах приложенных усилий. Пок</w:t>
      </w:r>
      <w:r w:rsidRPr="00AB4C34">
        <w:t>а</w:t>
      </w:r>
      <w:r w:rsidRPr="00AB4C34">
        <w:t>затели первого барометра были опубликованы в марте 2011 года (http://www.csa.be/diversite).</w:t>
      </w:r>
    </w:p>
    <w:p w:rsidR="00FA567F" w:rsidRPr="00AB4C34" w:rsidRDefault="00FA567F" w:rsidP="004B4B9D">
      <w:pPr>
        <w:pStyle w:val="Bullet1GR"/>
        <w:numPr>
          <w:ilvl w:val="0"/>
          <w:numId w:val="1"/>
        </w:numPr>
      </w:pPr>
      <w:r w:rsidRPr="00AB4C34">
        <w:t>Панорамы передовой практики, цель которой – выявление оптимальных видов практики в области обеспечения равенства и разнообразия на тел</w:t>
      </w:r>
      <w:r w:rsidRPr="00AB4C34">
        <w:t>е</w:t>
      </w:r>
      <w:r w:rsidRPr="00AB4C34">
        <w:t>видении. Эти передовые виды практики затрагивают кажд</w:t>
      </w:r>
      <w:r w:rsidR="00915DC2">
        <w:t xml:space="preserve">ый компонент разнообразия (пол, </w:t>
      </w:r>
      <w:r w:rsidRPr="00AB4C34">
        <w:t>возраст, происхождение, социально-профессиональную категорию, инвалидность) и каждый из этапов ауди</w:t>
      </w:r>
      <w:r w:rsidRPr="00AB4C34">
        <w:t>о</w:t>
      </w:r>
      <w:r w:rsidRPr="00AB4C34">
        <w:t>визуальной цепочки (производство, профе</w:t>
      </w:r>
      <w:r w:rsidRPr="00AB4C34">
        <w:t>с</w:t>
      </w:r>
      <w:r w:rsidRPr="00AB4C34">
        <w:t>сиональную подготовку, наем, вещание и т.д.). В этой публикации также отражаются инициативы, пре</w:t>
      </w:r>
      <w:r w:rsidRPr="00AB4C34">
        <w:t>д</w:t>
      </w:r>
      <w:r w:rsidRPr="00AB4C34">
        <w:t>принимаемые за границей, соответствующие теоретические и аналитич</w:t>
      </w:r>
      <w:r w:rsidRPr="00AB4C34">
        <w:t>е</w:t>
      </w:r>
      <w:r w:rsidRPr="00AB4C34">
        <w:t>ские мероприятия. Она призвана просвещать работн</w:t>
      </w:r>
      <w:r w:rsidRPr="00AB4C34">
        <w:t>и</w:t>
      </w:r>
      <w:r w:rsidRPr="00AB4C34">
        <w:t>ков франкоязычных аудиовизуальных средств информации в вопросах, касающихся равенства и разнообразия, с точки зрения как информационного содержания, так и штатного состава редакций, чтобы они могли выработать позитивный подход к рассмотрению таких вопросов.</w:t>
      </w:r>
    </w:p>
    <w:p w:rsidR="00FA567F" w:rsidRPr="00AB4C34" w:rsidRDefault="00FA567F" w:rsidP="004B4B9D">
      <w:pPr>
        <w:pStyle w:val="H1GR"/>
      </w:pPr>
      <w:r w:rsidRPr="00AB4C34">
        <w:tab/>
      </w:r>
      <w:r w:rsidRPr="00AB4C34">
        <w:tab/>
        <w:t xml:space="preserve">Ответы на замечания и рекомендации Комитета </w:t>
      </w:r>
      <w:r>
        <w:t>в связи с </w:t>
      </w:r>
      <w:r w:rsidRPr="00AB4C34">
        <w:t>предыдущим докладом (CERD/C/BEL/CO/15)</w:t>
      </w:r>
    </w:p>
    <w:p w:rsidR="00FA567F" w:rsidRPr="00AB4C34" w:rsidRDefault="00FA567F" w:rsidP="004B4B9D">
      <w:pPr>
        <w:pStyle w:val="H23GR"/>
      </w:pPr>
      <w:r w:rsidRPr="00AB4C34">
        <w:tab/>
      </w:r>
      <w:r w:rsidRPr="00AB4C34">
        <w:tab/>
        <w:t xml:space="preserve">Пункт 10 замечаний </w:t>
      </w:r>
    </w:p>
    <w:p w:rsidR="00FA567F" w:rsidRPr="00AB4C34" w:rsidRDefault="00FA567F" w:rsidP="004B4B9D">
      <w:pPr>
        <w:pStyle w:val="SingleTxtGR"/>
      </w:pPr>
      <w:r w:rsidRPr="00AB4C34">
        <w:t>339.</w:t>
      </w:r>
      <w:r w:rsidRPr="00AB4C34">
        <w:tab/>
        <w:t>Вопрос о создании национального правозащитного учреждения ставится в Бельгии в течение ряда лет. После заключения правительственного соглаш</w:t>
      </w:r>
      <w:r w:rsidRPr="00AB4C34">
        <w:t>е</w:t>
      </w:r>
      <w:r w:rsidRPr="00AB4C34">
        <w:t>ния 2003 года состоялись дискуссии, а в 2006 году у Управления Верховного комиссара по правам человека было запрошено заключение по двум возможным вариантам: 1) расширение полномочий Центра по обеспечению равных во</w:t>
      </w:r>
      <w:r w:rsidRPr="00AB4C34">
        <w:t>з</w:t>
      </w:r>
      <w:r w:rsidRPr="00AB4C34">
        <w:t>можностей и борьбе с расизмом или 2) учреждение бельгийской комиссии по основным правам, предложенное группой НПО. В заключении были рассмо</w:t>
      </w:r>
      <w:r w:rsidRPr="00AB4C34">
        <w:t>т</w:t>
      </w:r>
      <w:r w:rsidRPr="00AB4C34">
        <w:t>рены оба варианта, но без отдания явного предпочтения какому-либо из них.</w:t>
      </w:r>
    </w:p>
    <w:p w:rsidR="00FA567F" w:rsidRPr="00AB4C34" w:rsidRDefault="00FA567F" w:rsidP="004B4B9D">
      <w:pPr>
        <w:pStyle w:val="SingleTxtGR"/>
      </w:pPr>
      <w:r w:rsidRPr="00AB4C34">
        <w:t>340.</w:t>
      </w:r>
      <w:r w:rsidRPr="00AB4C34">
        <w:tab/>
        <w:t xml:space="preserve">Вопрос о создании национального правозащитного учреждения был вновь затронут в последнем правительственном соглашении </w:t>
      </w:r>
      <w:r>
        <w:t>от 1 декабря 2011 </w:t>
      </w:r>
      <w:r w:rsidRPr="00AB4C34">
        <w:t xml:space="preserve">года, которое гласит: </w:t>
      </w:r>
      <w:r>
        <w:t>"</w:t>
      </w:r>
      <w:r w:rsidRPr="00AB4C34">
        <w:t>В соответствии с нашими международными обяз</w:t>
      </w:r>
      <w:r w:rsidRPr="00AB4C34">
        <w:t>а</w:t>
      </w:r>
      <w:r w:rsidRPr="00AB4C34">
        <w:t>тельствами в сотрудничестве с сообществами и регионами должна быть создана национальная комиссия по правам человека. При этом будут учитываться сущ</w:t>
      </w:r>
      <w:r w:rsidRPr="00AB4C34">
        <w:t>е</w:t>
      </w:r>
      <w:r w:rsidRPr="00AB4C34">
        <w:t>ствующие учреждения</w:t>
      </w:r>
      <w:r>
        <w:t>"</w:t>
      </w:r>
      <w:r w:rsidRPr="00AB4C34">
        <w:t>. Это обязательство продиктовано рекомендацией, кот</w:t>
      </w:r>
      <w:r w:rsidRPr="00AB4C34">
        <w:t>о</w:t>
      </w:r>
      <w:r w:rsidRPr="00AB4C34">
        <w:t>рая была дана Бельгии Комитетом по правам человека в 2010 году, а также р</w:t>
      </w:r>
      <w:r w:rsidRPr="00AB4C34">
        <w:t>е</w:t>
      </w:r>
      <w:r w:rsidRPr="00AB4C34">
        <w:t>комендациями, сделанными Бельгии в рамках ее первого универсального п</w:t>
      </w:r>
      <w:r w:rsidRPr="00AB4C34">
        <w:t>е</w:t>
      </w:r>
      <w:r w:rsidRPr="00AB4C34">
        <w:t>риодического обзора в мае 2011 года.</w:t>
      </w:r>
    </w:p>
    <w:p w:rsidR="00FA567F" w:rsidRPr="00AB4C34" w:rsidRDefault="00FA567F" w:rsidP="004B4B9D">
      <w:pPr>
        <w:pStyle w:val="SingleTxtGR"/>
      </w:pPr>
      <w:r w:rsidRPr="00AB4C34">
        <w:t>341.</w:t>
      </w:r>
      <w:r w:rsidRPr="00AB4C34">
        <w:tab/>
        <w:t>В соответствии с правительственным соглашением было принято реш</w:t>
      </w:r>
      <w:r w:rsidRPr="00AB4C34">
        <w:t>е</w:t>
      </w:r>
      <w:r w:rsidRPr="00AB4C34">
        <w:t>ние создать совместно с сообществами и регионами межфедеральный правоз</w:t>
      </w:r>
      <w:r w:rsidRPr="00AB4C34">
        <w:t>а</w:t>
      </w:r>
      <w:r w:rsidRPr="00AB4C34">
        <w:t>щитный орган. В сентябре 2012 года по инициат</w:t>
      </w:r>
      <w:r w:rsidRPr="00AB4C34">
        <w:t>и</w:t>
      </w:r>
      <w:r w:rsidRPr="00AB4C34">
        <w:t>ве министра по обеспечению равных возможностей и министра юстиции будет создана рабочая группа в с</w:t>
      </w:r>
      <w:r w:rsidRPr="00AB4C34">
        <w:t>о</w:t>
      </w:r>
      <w:r w:rsidRPr="00AB4C34">
        <w:t>ставе представителей премьер-министра и заместителей премьер-министра, р</w:t>
      </w:r>
      <w:r w:rsidRPr="00AB4C34">
        <w:t>е</w:t>
      </w:r>
      <w:r w:rsidRPr="00AB4C34">
        <w:t>гионов и коммун. Будет проведена консультация между представителями асс</w:t>
      </w:r>
      <w:r w:rsidRPr="00AB4C34">
        <w:t>о</w:t>
      </w:r>
      <w:r w:rsidRPr="00AB4C34">
        <w:t>циаций и научных кругов, обладающие признанным опытом в области прав ч</w:t>
      </w:r>
      <w:r w:rsidRPr="00AB4C34">
        <w:t>е</w:t>
      </w:r>
      <w:r w:rsidRPr="00AB4C34">
        <w:t>ловека. Этой рабочей группе поручено, действуя под эгидой министра по обе</w:t>
      </w:r>
      <w:r w:rsidRPr="00AB4C34">
        <w:t>с</w:t>
      </w:r>
      <w:r w:rsidRPr="00AB4C34">
        <w:t>печению равных возможностей и министра юстиции, разработать проект с</w:t>
      </w:r>
      <w:r w:rsidRPr="00AB4C34">
        <w:t>о</w:t>
      </w:r>
      <w:r w:rsidRPr="00AB4C34">
        <w:t>глашения о сотрудничестве, предусматривающий создание межфедерального правозащитного института. Это предложение б</w:t>
      </w:r>
      <w:r w:rsidRPr="00AB4C34">
        <w:t>у</w:t>
      </w:r>
      <w:r w:rsidRPr="00AB4C34">
        <w:t>дет внесено не позднее 30 июня 2013 года. В состав будущего органа войдут Межфедеральный центр по обесп</w:t>
      </w:r>
      <w:r w:rsidRPr="00AB4C34">
        <w:t>е</w:t>
      </w:r>
      <w:r w:rsidRPr="00AB4C34">
        <w:t>чению равных возможностей и борьбе с расизмом и дискриминацией (см. н</w:t>
      </w:r>
      <w:r w:rsidRPr="00AB4C34">
        <w:t>и</w:t>
      </w:r>
      <w:r w:rsidRPr="00AB4C34">
        <w:t>же), Институт ге</w:t>
      </w:r>
      <w:r w:rsidRPr="00AB4C34">
        <w:t>н</w:t>
      </w:r>
      <w:r w:rsidRPr="00AB4C34">
        <w:t>дерного равенства и Федеральный центр по вопросам анализа миграционных потоков, защиты основных прав иностранцев и борьбы с торго</w:t>
      </w:r>
      <w:r w:rsidRPr="00AB4C34">
        <w:t>в</w:t>
      </w:r>
      <w:r w:rsidRPr="00AB4C34">
        <w:t>лей людьми; он в достаточной степени повысит наглядность целевых групп, т</w:t>
      </w:r>
      <w:r w:rsidRPr="00AB4C34">
        <w:t>а</w:t>
      </w:r>
      <w:r>
        <w:t>ких</w:t>
      </w:r>
      <w:r w:rsidRPr="00AB4C34">
        <w:t xml:space="preserve"> как дети, инвалиды и т.д. Будут приняты во внимание и другие существу</w:t>
      </w:r>
      <w:r w:rsidRPr="00AB4C34">
        <w:t>ю</w:t>
      </w:r>
      <w:r w:rsidRPr="00AB4C34">
        <w:t>щие органы как на федеральном уровне, так и на уровне федеральных субъе</w:t>
      </w:r>
      <w:r w:rsidRPr="00AB4C34">
        <w:t>к</w:t>
      </w:r>
      <w:r w:rsidRPr="00AB4C34">
        <w:t xml:space="preserve">тов. </w:t>
      </w:r>
    </w:p>
    <w:p w:rsidR="00FA567F" w:rsidRPr="00AB4C34" w:rsidRDefault="00FA567F" w:rsidP="004B4B9D">
      <w:pPr>
        <w:pStyle w:val="SingleTxtGR"/>
      </w:pPr>
      <w:r w:rsidRPr="00AB4C34">
        <w:t>342.</w:t>
      </w:r>
      <w:r w:rsidRPr="00AB4C34">
        <w:tab/>
        <w:t>Учитывая правовые полномочия, предоставленные Центру по обеспеч</w:t>
      </w:r>
      <w:r w:rsidRPr="00AB4C34">
        <w:t>е</w:t>
      </w:r>
      <w:r w:rsidRPr="00AB4C34">
        <w:t>нию равных возможностей и борьбе с расизмом, его статус и те конкретные з</w:t>
      </w:r>
      <w:r w:rsidRPr="00AB4C34">
        <w:t>а</w:t>
      </w:r>
      <w:r w:rsidRPr="00AB4C34">
        <w:t>дачи, которые возложены на него в соответствии со статьей 14 Конвенции, бельгийское государство считает, что Центр выполняет предусмотренные для независимого механизма функции по поощрению, защите и мониторингу в том виде, в каком они рек</w:t>
      </w:r>
      <w:r w:rsidRPr="00AB4C34">
        <w:t>о</w:t>
      </w:r>
      <w:r w:rsidRPr="00AB4C34">
        <w:t>мендованы в Дурба</w:t>
      </w:r>
      <w:r>
        <w:t>нской программе действий (пункт </w:t>
      </w:r>
      <w:r w:rsidRPr="00AB4C34">
        <w:t>163) и в Заключительной декларации Конферен</w:t>
      </w:r>
      <w:r>
        <w:t>ции по обзору (пун</w:t>
      </w:r>
      <w:r>
        <w:t>к</w:t>
      </w:r>
      <w:r>
        <w:t>ты </w:t>
      </w:r>
      <w:r w:rsidRPr="00AB4C34">
        <w:t xml:space="preserve">45, 100 и 103). </w:t>
      </w:r>
    </w:p>
    <w:p w:rsidR="00FA567F" w:rsidRPr="00AB4C34" w:rsidRDefault="00FA567F" w:rsidP="004B4B9D">
      <w:pPr>
        <w:pStyle w:val="SingleTxtGR"/>
      </w:pPr>
      <w:r w:rsidRPr="00AB4C34">
        <w:t>343.</w:t>
      </w:r>
      <w:r w:rsidRPr="00AB4C34">
        <w:tab/>
        <w:t>После заключения в июне 2012 года соглашения о сотрудничестве Центр получит статус межфедерального для выполнения задач по борьбе с дискрим</w:t>
      </w:r>
      <w:r w:rsidRPr="00AB4C34">
        <w:t>и</w:t>
      </w:r>
      <w:r w:rsidRPr="00AB4C34">
        <w:t>нацией и расизмом. Задачи этого учреждения расширяются и наряду с его ф</w:t>
      </w:r>
      <w:r w:rsidRPr="00AB4C34">
        <w:t>е</w:t>
      </w:r>
      <w:r w:rsidRPr="00AB4C34">
        <w:t>деральными полномочиями охватывают компетенцию регионов и сооб</w:t>
      </w:r>
      <w:r>
        <w:t>ществ. В </w:t>
      </w:r>
      <w:r w:rsidRPr="00AB4C34">
        <w:t>конкретном плане это означает, что в распоряжении каждого бельгийца, п</w:t>
      </w:r>
      <w:r w:rsidRPr="00AB4C34">
        <w:t>о</w:t>
      </w:r>
      <w:r w:rsidRPr="00AB4C34">
        <w:t>страдавшего от дискриминации на основе предусмотренных законом критер</w:t>
      </w:r>
      <w:r w:rsidRPr="00AB4C34">
        <w:t>и</w:t>
      </w:r>
      <w:r w:rsidRPr="00AB4C34">
        <w:t>ев, будет один контактный пункт. Новый Межфедеральный центр по обеспеч</w:t>
      </w:r>
      <w:r w:rsidRPr="00AB4C34">
        <w:t>е</w:t>
      </w:r>
      <w:r w:rsidRPr="00AB4C34">
        <w:t>нию равных возможностей и борьбе с расизмом и дискриминацией приступит к работе с 30 июня 2013 года и больше не будет заниматься проблемами мигр</w:t>
      </w:r>
      <w:r w:rsidRPr="00AB4C34">
        <w:t>а</w:t>
      </w:r>
      <w:r w:rsidRPr="00AB4C34">
        <w:t>ции, торговли людьми и основных прав иностранцев. Поскольку эти проблемы в основном относятся к компетенции федерального уровня, параллельно будет создан Федеральный центр по вопросам анализа миграционных потоков, защ</w:t>
      </w:r>
      <w:r w:rsidRPr="00AB4C34">
        <w:t>и</w:t>
      </w:r>
      <w:r w:rsidRPr="00AB4C34">
        <w:t>ты основных прав иностранцев и борьбы с торговлей людьми (см. коммюнике министра внутренних дел и по обеспечению равных возможностей в прилож</w:t>
      </w:r>
      <w:r w:rsidRPr="00AB4C34">
        <w:t>е</w:t>
      </w:r>
      <w:r w:rsidRPr="00AB4C34">
        <w:t>нии XVI).</w:t>
      </w:r>
    </w:p>
    <w:p w:rsidR="00FA567F" w:rsidRPr="00AB4C34" w:rsidRDefault="00FA567F" w:rsidP="004B4B9D">
      <w:pPr>
        <w:pStyle w:val="H23GR"/>
      </w:pPr>
      <w:r w:rsidRPr="00AB4C34">
        <w:tab/>
      </w:r>
      <w:r w:rsidRPr="00AB4C34">
        <w:tab/>
        <w:t>Пункт 11 замечаний: ответ на стр. 9</w:t>
      </w:r>
      <w:r>
        <w:t>−</w:t>
      </w:r>
      <w:r w:rsidRPr="00AB4C34">
        <w:t>15, 25 и 26</w:t>
      </w:r>
    </w:p>
    <w:p w:rsidR="00FA567F" w:rsidRPr="00AB4C34" w:rsidRDefault="00FA567F" w:rsidP="004B4B9D">
      <w:pPr>
        <w:pStyle w:val="H23GR"/>
      </w:pPr>
      <w:r w:rsidRPr="00AB4C34">
        <w:tab/>
      </w:r>
      <w:r w:rsidRPr="00AB4C34">
        <w:tab/>
        <w:t>Пункт 12 замечаний: ответ на стр. 27</w:t>
      </w:r>
    </w:p>
    <w:p w:rsidR="00FA567F" w:rsidRPr="00AB4C34" w:rsidRDefault="00FA567F" w:rsidP="004B4B9D">
      <w:pPr>
        <w:pStyle w:val="H23GR"/>
      </w:pPr>
      <w:r w:rsidRPr="00AB4C34">
        <w:tab/>
      </w:r>
      <w:r w:rsidRPr="00AB4C34">
        <w:tab/>
        <w:t>Пункт 13 замечаний: ответ на стр. 14, 52</w:t>
      </w:r>
      <w:r>
        <w:t>–</w:t>
      </w:r>
      <w:r w:rsidRPr="00AB4C34">
        <w:t>60 и в приложении II</w:t>
      </w:r>
    </w:p>
    <w:p w:rsidR="00FA567F" w:rsidRPr="009D7348" w:rsidRDefault="00FA567F" w:rsidP="004B4B9D">
      <w:pPr>
        <w:pStyle w:val="H23GR"/>
        <w:rPr>
          <w:lang w:val="en-US"/>
        </w:rPr>
      </w:pPr>
      <w:r w:rsidRPr="00AB4C34">
        <w:tab/>
      </w:r>
      <w:r w:rsidRPr="00AB4C34">
        <w:tab/>
        <w:t xml:space="preserve">Пункт 14 замечаний: Бельгия уже ответила на эту рекомендацию </w:t>
      </w:r>
      <w:r w:rsidRPr="009D7348">
        <w:rPr>
          <w:lang w:val="en-US"/>
        </w:rPr>
        <w:t xml:space="preserve">(CERD/C/BEL/CO/15/Add.1, </w:t>
      </w:r>
      <w:r w:rsidRPr="00AB4C34">
        <w:t>пункты</w:t>
      </w:r>
      <w:r w:rsidRPr="009D7348">
        <w:rPr>
          <w:lang w:val="en-US"/>
        </w:rPr>
        <w:t xml:space="preserve"> 3−6)</w:t>
      </w:r>
    </w:p>
    <w:p w:rsidR="00FA567F" w:rsidRPr="00AB4C34" w:rsidRDefault="00FA567F" w:rsidP="004B4B9D">
      <w:pPr>
        <w:pStyle w:val="H23GR"/>
      </w:pPr>
      <w:r w:rsidRPr="009D7348">
        <w:rPr>
          <w:lang w:val="en-US"/>
        </w:rPr>
        <w:tab/>
      </w:r>
      <w:r w:rsidRPr="009D7348">
        <w:rPr>
          <w:lang w:val="en-US"/>
        </w:rPr>
        <w:tab/>
      </w:r>
      <w:r w:rsidRPr="00AB4C34">
        <w:t>Пункт 15 заме</w:t>
      </w:r>
      <w:r>
        <w:t>чаний: ответ на стр. 26, 27, 50–</w:t>
      </w:r>
      <w:r w:rsidRPr="00AB4C34">
        <w:t>52 и 56</w:t>
      </w:r>
      <w:r>
        <w:t>−</w:t>
      </w:r>
      <w:r w:rsidRPr="00AB4C34">
        <w:t>59</w:t>
      </w:r>
    </w:p>
    <w:p w:rsidR="00FA567F" w:rsidRPr="009D7348" w:rsidRDefault="00FA567F" w:rsidP="004B4B9D">
      <w:pPr>
        <w:pStyle w:val="H23GR"/>
        <w:rPr>
          <w:lang w:val="en-US"/>
        </w:rPr>
      </w:pPr>
      <w:r w:rsidRPr="00AB4C34">
        <w:tab/>
      </w:r>
      <w:r w:rsidRPr="00AB4C34">
        <w:tab/>
        <w:t xml:space="preserve">Пункт 16 замечаний: Бельгия уже ответила на эту рекомендацию </w:t>
      </w:r>
      <w:r w:rsidRPr="009D7348">
        <w:rPr>
          <w:lang w:val="en-US"/>
        </w:rPr>
        <w:t xml:space="preserve">(CERD/C/BEL/CO/15/Add.1, </w:t>
      </w:r>
      <w:r w:rsidRPr="00AB4C34">
        <w:t>пункты</w:t>
      </w:r>
      <w:r w:rsidRPr="009D7348">
        <w:rPr>
          <w:lang w:val="en-US"/>
        </w:rPr>
        <w:t xml:space="preserve"> 7−11)</w:t>
      </w:r>
    </w:p>
    <w:p w:rsidR="00FA567F" w:rsidRPr="00AB4C34" w:rsidRDefault="00FA567F" w:rsidP="004B4B9D">
      <w:pPr>
        <w:pStyle w:val="H23GR"/>
      </w:pPr>
      <w:r w:rsidRPr="009D7348">
        <w:rPr>
          <w:lang w:val="en-US"/>
        </w:rPr>
        <w:tab/>
      </w:r>
      <w:r w:rsidRPr="009D7348">
        <w:rPr>
          <w:lang w:val="en-US"/>
        </w:rPr>
        <w:tab/>
      </w:r>
      <w:r w:rsidRPr="00AB4C34">
        <w:t xml:space="preserve">Пункт 17 замечаний </w:t>
      </w:r>
    </w:p>
    <w:p w:rsidR="00FA567F" w:rsidRPr="00AB4C34" w:rsidRDefault="00FA567F" w:rsidP="009A0569">
      <w:pPr>
        <w:pStyle w:val="H4GR"/>
        <w:spacing w:before="240"/>
      </w:pPr>
      <w:r w:rsidRPr="00AB4C34">
        <w:tab/>
      </w:r>
      <w:r w:rsidRPr="00AB4C34">
        <w:tab/>
        <w:t xml:space="preserve">Меры по оказанию помощи в возвращении просителям убежища, ходатайства </w:t>
      </w:r>
      <w:r w:rsidR="00915DC2">
        <w:br/>
      </w:r>
      <w:r w:rsidR="00915DC2">
        <w:tab/>
      </w:r>
      <w:r w:rsidR="00915DC2">
        <w:tab/>
      </w:r>
      <w:r w:rsidRPr="00AB4C34">
        <w:t xml:space="preserve">которых были отклонены </w:t>
      </w:r>
    </w:p>
    <w:p w:rsidR="00FA567F" w:rsidRPr="00AB4C34" w:rsidRDefault="00FA567F" w:rsidP="004B4B9D">
      <w:pPr>
        <w:pStyle w:val="SingleTxtGR"/>
      </w:pPr>
      <w:r w:rsidRPr="00AB4C34">
        <w:t>344.</w:t>
      </w:r>
      <w:r w:rsidRPr="00AB4C34">
        <w:tab/>
        <w:t>В соответствии со статьей 6/1 Закона от 12 января 2007 года о приеме просителей убежища и ряда других категорий иностранцев (см. выше) лицо, к</w:t>
      </w:r>
      <w:r w:rsidRPr="00AB4C34">
        <w:t>о</w:t>
      </w:r>
      <w:r w:rsidRPr="00AB4C34">
        <w:t>торое просит убежища, всегда имеет возможность выбрать индивидуальный план возвращения, составленный совместно с Федеральным агентством по приему просителей убежища (ФАПУ). При составлении плана возвращения предпочтение отдается во</w:t>
      </w:r>
      <w:r w:rsidRPr="00AB4C34">
        <w:t>з</w:t>
      </w:r>
      <w:r w:rsidRPr="00AB4C34">
        <w:t>вращению в добровольном порядке. Не позднее чем через пять дней после отклонения ходатайства Г</w:t>
      </w:r>
      <w:r w:rsidRPr="00AB4C34">
        <w:t>е</w:t>
      </w:r>
      <w:r w:rsidRPr="00AB4C34">
        <w:t>неральным комиссариатом по делам беженцев и апатридов (ГКБА) Агентство предлагает в первый раз сопр</w:t>
      </w:r>
      <w:r w:rsidRPr="00AB4C34">
        <w:t>о</w:t>
      </w:r>
      <w:r w:rsidRPr="00AB4C34">
        <w:t>вождение в процессе возвращения, в рамках которого проситель убежища и</w:t>
      </w:r>
      <w:r w:rsidRPr="00AB4C34">
        <w:t>н</w:t>
      </w:r>
      <w:r w:rsidRPr="00AB4C34">
        <w:t>формируется об имеющихся у него возможностях по выбору плана возвращ</w:t>
      </w:r>
      <w:r w:rsidRPr="00AB4C34">
        <w:t>е</w:t>
      </w:r>
      <w:r w:rsidRPr="00AB4C34">
        <w:t>ния. Этот план официально закрепляется в документе, который подписывается просителем убежища или иностранцем, незаконно находящимся в стране, и членами его семьи и в котором указываются как минимум права и обязанности просителя уб</w:t>
      </w:r>
      <w:r w:rsidRPr="00AB4C34">
        <w:t>е</w:t>
      </w:r>
      <w:r w:rsidRPr="00AB4C34">
        <w:t xml:space="preserve">жища и конкретный календарный график возвращения. </w:t>
      </w:r>
    </w:p>
    <w:p w:rsidR="00FA567F" w:rsidRPr="00AB4C34" w:rsidRDefault="00FA567F" w:rsidP="004B4B9D">
      <w:pPr>
        <w:pStyle w:val="SingleTxtGR"/>
      </w:pPr>
      <w:r w:rsidRPr="00AB4C34">
        <w:t>345.</w:t>
      </w:r>
      <w:r w:rsidRPr="00AB4C34">
        <w:tab/>
        <w:t>Как только проситель убежища получит уведомление о том, что ему предписано покинуть территорию страны, в течение срока исполнения этого предписания необходимо составить и выполнить план возвращения. Не позднее момента уведомления просителя убежища о том, что ему предписано покинуть Бельгию, Бюро по делам иностранцев должно быть поставлено в известность и регулярно информироваться о состоянии и продвижении в выполнении плана возвращения, который с этого момента отслеж</w:t>
      </w:r>
      <w:r w:rsidRPr="00AB4C34">
        <w:t>и</w:t>
      </w:r>
      <w:r w:rsidRPr="00AB4C34">
        <w:t>вается совместными усилиями Агентства и Бюро по делам иностранцев.</w:t>
      </w:r>
    </w:p>
    <w:p w:rsidR="00FA567F" w:rsidRPr="00AB4C34" w:rsidRDefault="00FA567F" w:rsidP="004B4B9D">
      <w:pPr>
        <w:pStyle w:val="SingleTxtGR"/>
      </w:pPr>
      <w:r w:rsidRPr="00AB4C34">
        <w:t>346.</w:t>
      </w:r>
      <w:r w:rsidRPr="00AB4C34">
        <w:tab/>
        <w:t>Если Агентство или Бюро по делам иностранцев считает, что проситель убежища недостаточно добросовестно выполняет план возвращения, поскольку его выезд отложен исключительно из-за его поведения, выполнение плана во</w:t>
      </w:r>
      <w:r w:rsidRPr="00AB4C34">
        <w:t>з</w:t>
      </w:r>
      <w:r w:rsidRPr="00AB4C34">
        <w:t>вращения и соответствующее административное досье передаются в Бюро по делам иностранцев для организации принудительного выезда. С этой целью Бюро по делам иностранцев может изменить обязательное место пребывания; тогда проситель убежища будет содержаться в закрытом центре для обеспеч</w:t>
      </w:r>
      <w:r w:rsidRPr="00AB4C34">
        <w:t>е</w:t>
      </w:r>
      <w:r w:rsidRPr="00AB4C34">
        <w:t xml:space="preserve">ния исполнения решения об удалении с территории. </w:t>
      </w:r>
    </w:p>
    <w:p w:rsidR="00FA567F" w:rsidRPr="00AB4C34" w:rsidRDefault="00FA567F" w:rsidP="004B4B9D">
      <w:pPr>
        <w:pStyle w:val="SingleTxtGR"/>
      </w:pPr>
      <w:r w:rsidRPr="00AB4C34">
        <w:t>347.</w:t>
      </w:r>
      <w:r w:rsidRPr="00AB4C34">
        <w:tab/>
        <w:t xml:space="preserve">С другой стороны, пункт 1 статьи 54 Закона от 15 декабря 1980 года о доступе иностранцев на территорию, их пребывании, получении ими статуса и их высылке гласит: </w:t>
      </w:r>
      <w:r>
        <w:t>"</w:t>
      </w:r>
      <w:r w:rsidRPr="00AB4C34">
        <w:t>В промежутке между уведомлением об обязательном р</w:t>
      </w:r>
      <w:r w:rsidRPr="00AB4C34">
        <w:t>е</w:t>
      </w:r>
      <w:r w:rsidRPr="00AB4C34">
        <w:t>шении относительно ходатайства об убежище и истечением срока, отв</w:t>
      </w:r>
      <w:r w:rsidRPr="00AB4C34">
        <w:t>е</w:t>
      </w:r>
      <w:r w:rsidRPr="00AB4C34">
        <w:t>денного для выезда с территории страны, министр или его представитель может пре</w:t>
      </w:r>
      <w:r w:rsidRPr="00AB4C34">
        <w:t>д</w:t>
      </w:r>
      <w:r w:rsidRPr="00AB4C34">
        <w:t>писать центр для возвращения соответствующему просителю убежища и чл</w:t>
      </w:r>
      <w:r w:rsidRPr="00AB4C34">
        <w:t>е</w:t>
      </w:r>
      <w:r w:rsidRPr="00AB4C34">
        <w:t>нам его семьи</w:t>
      </w:r>
      <w:r>
        <w:t>"</w:t>
      </w:r>
      <w:r w:rsidRPr="00AB4C34">
        <w:t xml:space="preserve">. </w:t>
      </w:r>
    </w:p>
    <w:p w:rsidR="00FA567F" w:rsidRPr="00AB4C34" w:rsidRDefault="00FA567F" w:rsidP="004B4B9D">
      <w:pPr>
        <w:pStyle w:val="SingleTxtGR"/>
      </w:pPr>
      <w:r w:rsidRPr="00AB4C34">
        <w:t>348.</w:t>
      </w:r>
      <w:r w:rsidRPr="00AB4C34">
        <w:tab/>
        <w:t>В центре для возвращения иностранцу обеспечиваются материальная п</w:t>
      </w:r>
      <w:r w:rsidRPr="00AB4C34">
        <w:t>о</w:t>
      </w:r>
      <w:r w:rsidRPr="00AB4C34">
        <w:t>мощь, включающая ж</w:t>
      </w:r>
      <w:r w:rsidRPr="00AB4C34">
        <w:t>и</w:t>
      </w:r>
      <w:r w:rsidRPr="00AB4C34">
        <w:t>лище, питание и одежду, предоставляемая в натуральной форме, ежедневное пособие и доступ к одной из программ добровольного во</w:t>
      </w:r>
      <w:r w:rsidRPr="00AB4C34">
        <w:t>з</w:t>
      </w:r>
      <w:r w:rsidRPr="00AB4C34">
        <w:t>вращения. Он получает необходимую медицинскую и психосоциальную п</w:t>
      </w:r>
      <w:r w:rsidRPr="00AB4C34">
        <w:t>о</w:t>
      </w:r>
      <w:r w:rsidRPr="00AB4C34">
        <w:t>мощь, а также реальный доступ к правовой помощи первого и второго уровней в соответствии со статьями 508/1</w:t>
      </w:r>
      <w:r>
        <w:t>−</w:t>
      </w:r>
      <w:r w:rsidRPr="00AB4C34">
        <w:t>508/23 Судебного кодекса.</w:t>
      </w:r>
    </w:p>
    <w:p w:rsidR="00FA567F" w:rsidRPr="00AB4C34" w:rsidRDefault="00FA567F" w:rsidP="004B4B9D">
      <w:pPr>
        <w:pStyle w:val="SingleTxtGR"/>
      </w:pPr>
      <w:r w:rsidRPr="00AB4C34">
        <w:t>349.</w:t>
      </w:r>
      <w:r w:rsidRPr="00AB4C34">
        <w:tab/>
        <w:t>Это означает, что решение о содержании просителя убежища, ходатайс</w:t>
      </w:r>
      <w:r w:rsidRPr="00AB4C34">
        <w:t>т</w:t>
      </w:r>
      <w:r w:rsidRPr="00AB4C34">
        <w:t>во которого было отклонено, в закрытом центре с целью его высылки может быть принято только при недостаточном сотрудн</w:t>
      </w:r>
      <w:r w:rsidRPr="00AB4C34">
        <w:t>и</w:t>
      </w:r>
      <w:r w:rsidRPr="00AB4C34">
        <w:t>честве с его стороны. При этом статья 7, пункт 4 статьи 8-</w:t>
      </w:r>
      <w:r>
        <w:t>бис</w:t>
      </w:r>
      <w:r w:rsidRPr="00AB4C34">
        <w:t>, пункт 3 статьи 27 и пункт 3 статьи 74/9 З</w:t>
      </w:r>
      <w:r w:rsidRPr="00AB4C34">
        <w:t>а</w:t>
      </w:r>
      <w:r w:rsidRPr="00AB4C34">
        <w:t>кона от 15 декабря 1980 года предусматривают, что иностранец, которому пре</w:t>
      </w:r>
      <w:r w:rsidRPr="00AB4C34">
        <w:t>д</w:t>
      </w:r>
      <w:r w:rsidRPr="00AB4C34">
        <w:t>писано покинуть те</w:t>
      </w:r>
      <w:r w:rsidRPr="00AB4C34">
        <w:t>р</w:t>
      </w:r>
      <w:r w:rsidRPr="00AB4C34">
        <w:t>риторию, может быть подвергнут задержанию с целью его высылки лишь в случае, если применение менее жестких мер оказалось неэ</w:t>
      </w:r>
      <w:r w:rsidRPr="00AB4C34">
        <w:t>ф</w:t>
      </w:r>
      <w:r w:rsidRPr="00AB4C34">
        <w:t>фективным. Статья 74/14 упомянутого закона гласит, что в решении о высылке предусматривается срок для выезда с территории, составляющий 30 дней.</w:t>
      </w:r>
    </w:p>
    <w:p w:rsidR="00FA567F" w:rsidRPr="00AB4C34" w:rsidRDefault="00FA567F" w:rsidP="004B4B9D">
      <w:pPr>
        <w:pStyle w:val="SingleTxtGR"/>
      </w:pPr>
      <w:r w:rsidRPr="00AB4C34">
        <w:t>350.</w:t>
      </w:r>
      <w:r w:rsidRPr="00AB4C34">
        <w:tab/>
        <w:t>Гражданам третьих стран, которым в соответствии со статьей 6 разреш</w:t>
      </w:r>
      <w:r w:rsidRPr="00AB4C34">
        <w:t>а</w:t>
      </w:r>
      <w:r w:rsidRPr="00AB4C34">
        <w:t>ется пребывать в Бельгии не более трех месяцев, предоставляется срок от семи до 30 дней. По обоснованному ходатайству, поданному таким иностранцем на имя министра или его представителя, срок для выезда из страны может быть продлен при условии представления доказательств того, что добровольный в</w:t>
      </w:r>
      <w:r w:rsidRPr="00AB4C34">
        <w:t>ы</w:t>
      </w:r>
      <w:r w:rsidRPr="00AB4C34">
        <w:t>езд не может быть осуществлен в отведенный период. При этом, в частности, учитываются обстоятельства, связанные с положением данного иностранца, т</w:t>
      </w:r>
      <w:r w:rsidRPr="00AB4C34">
        <w:t>а</w:t>
      </w:r>
      <w:r>
        <w:t>кие</w:t>
      </w:r>
      <w:r w:rsidRPr="00AB4C34">
        <w:t xml:space="preserve"> как срок пребывания, наличие детей школьного возраста, степень готовн</w:t>
      </w:r>
      <w:r w:rsidRPr="00AB4C34">
        <w:t>о</w:t>
      </w:r>
      <w:r w:rsidRPr="00AB4C34">
        <w:t xml:space="preserve">сти к добровольному выезду и другие семейные и социальные связи. </w:t>
      </w:r>
    </w:p>
    <w:p w:rsidR="00FA567F" w:rsidRPr="00AB4C34" w:rsidRDefault="00FA567F" w:rsidP="004B4B9D">
      <w:pPr>
        <w:pStyle w:val="SingleTxtGR"/>
      </w:pPr>
      <w:r w:rsidRPr="00AB4C34">
        <w:t>351.</w:t>
      </w:r>
      <w:r w:rsidRPr="00AB4C34">
        <w:tab/>
        <w:t>В течение всего срока, выделенного для добровольного выезда, гражд</w:t>
      </w:r>
      <w:r w:rsidRPr="00AB4C34">
        <w:t>а</w:t>
      </w:r>
      <w:r w:rsidRPr="00AB4C34">
        <w:t>нин третьей страны защищен от принудительного удаления с территории стр</w:t>
      </w:r>
      <w:r w:rsidRPr="00AB4C34">
        <w:t>а</w:t>
      </w:r>
      <w:r w:rsidRPr="00AB4C34">
        <w:t>ны. Для недопущения его бегства в течение этого срока ему может быть пре</w:t>
      </w:r>
      <w:r w:rsidRPr="00AB4C34">
        <w:t>д</w:t>
      </w:r>
      <w:r w:rsidRPr="00AB4C34">
        <w:t>писано соблюдение ряда превентивных мер</w:t>
      </w:r>
      <w:r w:rsidRPr="00DF7E1C">
        <w:rPr>
          <w:rStyle w:val="FootnoteReference"/>
        </w:rPr>
        <w:footnoteReference w:id="40"/>
      </w:r>
      <w:r w:rsidRPr="00AB4C34">
        <w:t>. При этом в некоторых случаях возможны отступления от срока, предусмотренного в пункте 1 статьи 6</w:t>
      </w:r>
      <w:r w:rsidRPr="00DF7E1C">
        <w:rPr>
          <w:rStyle w:val="FootnoteReference"/>
        </w:rPr>
        <w:footnoteReference w:id="41"/>
      </w:r>
      <w:r w:rsidRPr="00AB4C34">
        <w:t>.</w:t>
      </w:r>
    </w:p>
    <w:p w:rsidR="00FA567F" w:rsidRPr="00AB4C34" w:rsidRDefault="00FA567F" w:rsidP="004B4B9D">
      <w:pPr>
        <w:pStyle w:val="H56GR"/>
      </w:pPr>
      <w:r w:rsidRPr="00AB4C34">
        <w:tab/>
      </w:r>
      <w:r w:rsidRPr="00AB4C34">
        <w:tab/>
        <w:t>Содержание просителей убежища под стражей</w:t>
      </w:r>
    </w:p>
    <w:p w:rsidR="00FA567F" w:rsidRPr="00AB4C34" w:rsidRDefault="00FA567F" w:rsidP="004B4B9D">
      <w:pPr>
        <w:pStyle w:val="SingleTxtGR"/>
      </w:pPr>
      <w:r w:rsidRPr="00AB4C34">
        <w:t>352.</w:t>
      </w:r>
      <w:r w:rsidRPr="00AB4C34">
        <w:tab/>
        <w:t>Мера в виде задержания применяется к просителю убежища в обсто</w:t>
      </w:r>
      <w:r w:rsidRPr="00AB4C34">
        <w:t>я</w:t>
      </w:r>
      <w:r w:rsidRPr="00AB4C34">
        <w:t>тельствах, определенных в пункте 1 статьи 74/6 или в пункте 1-</w:t>
      </w:r>
      <w:r>
        <w:t>бис</w:t>
      </w:r>
      <w:r w:rsidRPr="00AB4C34">
        <w:t xml:space="preserve"> статьи 74/6 Закона от 15 декабря 1980 года.</w:t>
      </w:r>
    </w:p>
    <w:p w:rsidR="00FA567F" w:rsidRPr="00AB4C34" w:rsidRDefault="00FA567F" w:rsidP="004B4B9D">
      <w:pPr>
        <w:pStyle w:val="Bullet1GR"/>
        <w:numPr>
          <w:ilvl w:val="0"/>
          <w:numId w:val="1"/>
        </w:numPr>
      </w:pPr>
      <w:r w:rsidRPr="00AB4C34">
        <w:t>Пункт 1 статьи 74/6 предусматривает, что иностранец, незаконно нах</w:t>
      </w:r>
      <w:r w:rsidRPr="00AB4C34">
        <w:t>о</w:t>
      </w:r>
      <w:r w:rsidRPr="00AB4C34">
        <w:t>дящийся в Бельгии, может быть взят под стражу только после того, как ГКБА примет решение отклонить его х</w:t>
      </w:r>
      <w:r>
        <w:t>одатайство, на основании ст</w:t>
      </w:r>
      <w:r>
        <w:t>а</w:t>
      </w:r>
      <w:r>
        <w:t>тьи </w:t>
      </w:r>
      <w:r w:rsidRPr="00AB4C34">
        <w:t>52 в целях гарантирования его реального выезда с</w:t>
      </w:r>
      <w:r>
        <w:t xml:space="preserve"> территории стр</w:t>
      </w:r>
      <w:r>
        <w:t>а</w:t>
      </w:r>
      <w:r>
        <w:t>ны. В </w:t>
      </w:r>
      <w:r w:rsidRPr="00AB4C34">
        <w:t>пункте 1-</w:t>
      </w:r>
      <w:r>
        <w:t>бис</w:t>
      </w:r>
      <w:r w:rsidRPr="00AB4C34">
        <w:t xml:space="preserve"> перечислены обстоятельства, при которых иностранец может быть задержан в порядке исключения до вынесения решения по его ходатайству о предоставлении убежища. Такая мера может прим</w:t>
      </w:r>
      <w:r w:rsidRPr="00AB4C34">
        <w:t>е</w:t>
      </w:r>
      <w:r w:rsidRPr="00AB4C34">
        <w:t>няться лишь в случае, если пребывание иностранца в Бельгии является незако</w:t>
      </w:r>
      <w:r w:rsidRPr="00AB4C34">
        <w:t>н</w:t>
      </w:r>
      <w:r w:rsidRPr="00AB4C34">
        <w:t>ным и если перечисленные в законе объективные обстоятельства явно указывают на злоупотребление процедурой подачи ходатайства об убежище.</w:t>
      </w:r>
    </w:p>
    <w:p w:rsidR="00FA567F" w:rsidRPr="00AB4C34" w:rsidRDefault="00FA567F" w:rsidP="004B4B9D">
      <w:pPr>
        <w:pStyle w:val="Bullet1GR"/>
        <w:numPr>
          <w:ilvl w:val="0"/>
          <w:numId w:val="1"/>
        </w:numPr>
      </w:pPr>
      <w:r w:rsidRPr="00AB4C34">
        <w:t>Наличие этих обстоятельств, однако, не означает, что ходатайство об убежище не будет рассмотрено: оно будет в приоритетном порядке обр</w:t>
      </w:r>
      <w:r w:rsidRPr="00AB4C34">
        <w:t>а</w:t>
      </w:r>
      <w:r w:rsidRPr="00AB4C34">
        <w:t>ботано ГКБА, чье возможное отрицательное решение будет в приорите</w:t>
      </w:r>
      <w:r w:rsidRPr="00AB4C34">
        <w:t>т</w:t>
      </w:r>
      <w:r w:rsidRPr="00AB4C34">
        <w:t>ном порядке рассмотрено Советом по урегулированию споров, каса</w:t>
      </w:r>
      <w:r w:rsidRPr="00AB4C34">
        <w:t>ю</w:t>
      </w:r>
      <w:r w:rsidRPr="00AB4C34">
        <w:t>щихся иностранцев (ССИ).</w:t>
      </w:r>
    </w:p>
    <w:p w:rsidR="00FA567F" w:rsidRPr="00AB4C34" w:rsidRDefault="00FA567F" w:rsidP="004B4B9D">
      <w:pPr>
        <w:pStyle w:val="Bullet1GR"/>
        <w:numPr>
          <w:ilvl w:val="0"/>
          <w:numId w:val="1"/>
        </w:numPr>
      </w:pPr>
      <w:r w:rsidRPr="00AB4C34">
        <w:t>В особых ситуациях, которые могут указывать на злоупотребление пр</w:t>
      </w:r>
      <w:r w:rsidRPr="00AB4C34">
        <w:t>о</w:t>
      </w:r>
      <w:r w:rsidRPr="00AB4C34">
        <w:t>цедурой подачи ходатайства об убежище, требуется задержание соотве</w:t>
      </w:r>
      <w:r w:rsidRPr="00AB4C34">
        <w:t>т</w:t>
      </w:r>
      <w:r w:rsidRPr="00AB4C34">
        <w:t>ствующего лица и более оперативное рассмотрение его ходатайства. Если обстоятельства дела свидетельствуют об обратном, министр или его представитель может принять решение не задерживать данного ин</w:t>
      </w:r>
      <w:r w:rsidRPr="00AB4C34">
        <w:t>о</w:t>
      </w:r>
      <w:r w:rsidRPr="00AB4C34">
        <w:t>странца.</w:t>
      </w:r>
    </w:p>
    <w:p w:rsidR="00FA567F" w:rsidRPr="00AB4C34" w:rsidRDefault="00FA567F" w:rsidP="004B4B9D">
      <w:pPr>
        <w:pStyle w:val="Bullet1GR"/>
        <w:numPr>
          <w:ilvl w:val="0"/>
          <w:numId w:val="1"/>
        </w:numPr>
      </w:pPr>
      <w:r w:rsidRPr="00AB4C34">
        <w:t>Сам факт подачи ходатайства о предоставлении убежища не означает, что в о</w:t>
      </w:r>
      <w:r w:rsidRPr="00AB4C34">
        <w:t>т</w:t>
      </w:r>
      <w:r w:rsidRPr="00AB4C34">
        <w:t>ношении его заявителя не может быть принято решение о взятии под стражу; в противном случае иммиграционная политика утратила бы вс</w:t>
      </w:r>
      <w:r w:rsidRPr="00AB4C34">
        <w:t>я</w:t>
      </w:r>
      <w:r w:rsidRPr="00AB4C34">
        <w:t>кий смысл.</w:t>
      </w:r>
    </w:p>
    <w:p w:rsidR="00FA567F" w:rsidRPr="00AB4C34" w:rsidRDefault="00FA567F" w:rsidP="004B4B9D">
      <w:pPr>
        <w:pStyle w:val="Bullet1GR"/>
        <w:numPr>
          <w:ilvl w:val="0"/>
          <w:numId w:val="1"/>
        </w:numPr>
      </w:pPr>
      <w:r w:rsidRPr="00AB4C34">
        <w:t>Мера в виде задержания применяется для осуществления удаления с те</w:t>
      </w:r>
      <w:r w:rsidRPr="00AB4C34">
        <w:t>р</w:t>
      </w:r>
      <w:r w:rsidRPr="00AB4C34">
        <w:t>ритории, для недопущения бегства и/или в силу необходимости, когда иностранец представляет угрозу для общественного порядка и наци</w:t>
      </w:r>
      <w:r w:rsidRPr="00AB4C34">
        <w:t>о</w:t>
      </w:r>
      <w:r w:rsidRPr="00AB4C34">
        <w:t>нальной безопасности.</w:t>
      </w:r>
    </w:p>
    <w:p w:rsidR="00FA567F" w:rsidRPr="00AB4C34" w:rsidRDefault="00FA567F" w:rsidP="004B4B9D">
      <w:pPr>
        <w:pStyle w:val="SingleTxtGR"/>
      </w:pPr>
      <w:r w:rsidRPr="00AB4C34">
        <w:t>353.</w:t>
      </w:r>
      <w:r w:rsidRPr="00AB4C34">
        <w:tab/>
        <w:t>Законодателем предусмотрены различные виды задержания при осущес</w:t>
      </w:r>
      <w:r w:rsidRPr="00AB4C34">
        <w:t>т</w:t>
      </w:r>
      <w:r w:rsidRPr="00AB4C34">
        <w:t>влении Дублинского ре</w:t>
      </w:r>
      <w:r w:rsidRPr="00AB4C34">
        <w:t>г</w:t>
      </w:r>
      <w:r w:rsidRPr="00AB4C34">
        <w:t>ламента</w:t>
      </w:r>
      <w:r w:rsidRPr="00DF7E1C">
        <w:rPr>
          <w:rStyle w:val="FootnoteReference"/>
        </w:rPr>
        <w:footnoteReference w:id="42"/>
      </w:r>
      <w:r w:rsidRPr="00AB4C34">
        <w:t>.</w:t>
      </w:r>
    </w:p>
    <w:p w:rsidR="00FA567F" w:rsidRPr="00AB4C34" w:rsidRDefault="00FA567F" w:rsidP="004B4B9D">
      <w:pPr>
        <w:pStyle w:val="SingleTxtGR"/>
      </w:pPr>
      <w:r w:rsidRPr="00AB4C34">
        <w:t>354.</w:t>
      </w:r>
      <w:r w:rsidRPr="00AB4C34">
        <w:tab/>
        <w:t>С одной стороны, предусмотрено задержание на период, который необх</w:t>
      </w:r>
      <w:r w:rsidRPr="00AB4C34">
        <w:t>о</w:t>
      </w:r>
      <w:r w:rsidRPr="00AB4C34">
        <w:t>дим для определения ответственного государства-члена в рамках Дублинского регламента и для обработки ходатайства о пр</w:t>
      </w:r>
      <w:r w:rsidRPr="00AB4C34">
        <w:t>е</w:t>
      </w:r>
      <w:r w:rsidRPr="00AB4C34">
        <w:t>доставлении убежища (как на границе, так и внутри страны). В этом случае бельгийское государство получает информацию о том, подавал ли данный заявитель ходатайство в другом гос</w:t>
      </w:r>
      <w:r w:rsidRPr="00AB4C34">
        <w:t>у</w:t>
      </w:r>
      <w:r w:rsidRPr="00AB4C34">
        <w:t>дарстве-члене. Заявитель содержится по</w:t>
      </w:r>
      <w:r w:rsidR="00832130">
        <w:t>д</w:t>
      </w:r>
      <w:r w:rsidRPr="00AB4C34">
        <w:t xml:space="preserve"> стражей из-за опасности того, что он добровольно не покинет территорию Бельгии. Это лицо задерживается на осн</w:t>
      </w:r>
      <w:r w:rsidRPr="00AB4C34">
        <w:t>о</w:t>
      </w:r>
      <w:r w:rsidRPr="00AB4C34">
        <w:t>вании подпункта 2 пункта 1 статьи 51/5 Закона от 15 декабря 1980 года и статьи 71/2-</w:t>
      </w:r>
      <w:r>
        <w:t>бис</w:t>
      </w:r>
      <w:r w:rsidRPr="00AB4C34">
        <w:t xml:space="preserve"> Королевского указа от 8 октября 1981 года о доступе иностранцев на территорию, их пребывании, получении ими статуса и их высылке. Срок заде</w:t>
      </w:r>
      <w:r w:rsidRPr="00AB4C34">
        <w:t>р</w:t>
      </w:r>
      <w:r w:rsidRPr="00AB4C34">
        <w:t>жания ограничен периодом, который необходим для определения ответственн</w:t>
      </w:r>
      <w:r w:rsidRPr="00AB4C34">
        <w:t>о</w:t>
      </w:r>
      <w:r w:rsidRPr="00AB4C34">
        <w:t>го государства, или максимум одним месяцем; в на</w:t>
      </w:r>
      <w:r w:rsidRPr="00AB4C34">
        <w:t>и</w:t>
      </w:r>
      <w:r w:rsidRPr="00AB4C34">
        <w:t xml:space="preserve">более сложных случаях он может быть продлен еще на один месяц. </w:t>
      </w:r>
    </w:p>
    <w:p w:rsidR="00FA567F" w:rsidRPr="00AB4C34" w:rsidRDefault="00FA567F" w:rsidP="004B4B9D">
      <w:pPr>
        <w:pStyle w:val="SingleTxtGR"/>
      </w:pPr>
      <w:r w:rsidRPr="00AB4C34">
        <w:t>355.</w:t>
      </w:r>
      <w:r w:rsidRPr="00AB4C34">
        <w:tab/>
        <w:t>С другой стороны, предусмотрено задержание на основании решения, с</w:t>
      </w:r>
      <w:r w:rsidRPr="00AB4C34">
        <w:t>о</w:t>
      </w:r>
      <w:r w:rsidRPr="00AB4C34">
        <w:t>гласно которому Бельгия не несет ответственности за данное ходатайство об убежище, поскольку ответственной является другая страна</w:t>
      </w:r>
      <w:r w:rsidR="00832130">
        <w:t xml:space="preserve"> − </w:t>
      </w:r>
      <w:r w:rsidRPr="00AB4C34">
        <w:t>участница Ду</w:t>
      </w:r>
      <w:r w:rsidRPr="00AB4C34">
        <w:t>б</w:t>
      </w:r>
      <w:r w:rsidRPr="00AB4C34">
        <w:t>линского соглашения (как на границе, так и внутри страны). Как и в случае, рассмотренном в пункте 354, предполагается, что проситель убежища не пок</w:t>
      </w:r>
      <w:r w:rsidRPr="00AB4C34">
        <w:t>и</w:t>
      </w:r>
      <w:r w:rsidRPr="00AB4C34">
        <w:t>нет территорию страны добровольно. Кроме того, совместно с ответственным государством</w:t>
      </w:r>
      <w:r w:rsidR="00832130">
        <w:t xml:space="preserve"> − </w:t>
      </w:r>
      <w:r w:rsidRPr="00AB4C34">
        <w:t>участником Дублинского соглашения необходимо определить условия передачи данного лица; в этом случае возможно поступление от отве</w:t>
      </w:r>
      <w:r w:rsidRPr="00AB4C34">
        <w:t>т</w:t>
      </w:r>
      <w:r w:rsidRPr="00AB4C34">
        <w:t>ственного государства просьбы о контролируемой передаче лица (пункт 3 ст</w:t>
      </w:r>
      <w:r w:rsidRPr="00AB4C34">
        <w:t>а</w:t>
      </w:r>
      <w:r w:rsidRPr="00AB4C34">
        <w:t xml:space="preserve">тьи 19 и подпункт d) пункта 1 статьи 20 Дублинского регламента). С другой стороны, пункт 4 статьи 19 упомянутого регламента гласит: </w:t>
      </w:r>
      <w:r>
        <w:t>"</w:t>
      </w:r>
      <w:r w:rsidRPr="00AB4C34">
        <w:t>Если передача не будет осуществлена в течение шести месяцев, ответственность возлагается на государство-член, которому было подано ходатайство о предоставлении уб</w:t>
      </w:r>
      <w:r w:rsidRPr="00AB4C34">
        <w:t>е</w:t>
      </w:r>
      <w:r w:rsidRPr="00AB4C34">
        <w:t>жища</w:t>
      </w:r>
      <w:r>
        <w:t>"</w:t>
      </w:r>
      <w:r w:rsidRPr="00AB4C34">
        <w:t>. Правовой основой для этого служит подпункт 4 пункта 3 статьи 51/5 упомян</w:t>
      </w:r>
      <w:r w:rsidRPr="00AB4C34">
        <w:t>у</w:t>
      </w:r>
      <w:r w:rsidRPr="00AB4C34">
        <w:t>того закона. Максимальный срок задержания составляет один месяц, в котором, однако, не учитывается период, в течение которого проситель убеж</w:t>
      </w:r>
      <w:r w:rsidRPr="00AB4C34">
        <w:t>и</w:t>
      </w:r>
      <w:r w:rsidRPr="00AB4C34">
        <w:t xml:space="preserve">ща мог быть лишен свободы на основании пункта 354. </w:t>
      </w:r>
    </w:p>
    <w:p w:rsidR="00FA567F" w:rsidRPr="00AB4C34" w:rsidRDefault="00FA567F" w:rsidP="004B4B9D">
      <w:pPr>
        <w:pStyle w:val="H56GR"/>
      </w:pPr>
      <w:r w:rsidRPr="00AB4C34">
        <w:tab/>
      </w:r>
      <w:r w:rsidRPr="00AB4C34">
        <w:tab/>
        <w:t xml:space="preserve">Альтернативы содержанию под стражей для семей с несовершеннолетними детьми </w:t>
      </w:r>
    </w:p>
    <w:p w:rsidR="00FA567F" w:rsidRPr="00AB4C34" w:rsidRDefault="00FA567F" w:rsidP="004B4B9D">
      <w:pPr>
        <w:pStyle w:val="SingleTxtGR"/>
      </w:pPr>
      <w:r w:rsidRPr="00AB4C34">
        <w:t>356.</w:t>
      </w:r>
      <w:r w:rsidRPr="00AB4C34">
        <w:tab/>
        <w:t>С 1 октября 2008 года в распоряжение семей, незаконно находящихся в Бельгии (в том числе для просителей убежища, чьи ходатайства были отклон</w:t>
      </w:r>
      <w:r w:rsidRPr="00AB4C34">
        <w:t>е</w:t>
      </w:r>
      <w:r w:rsidRPr="00AB4C34">
        <w:t>ны), на период ожидания их высылки в качестве альтернативы содержанию под стражей предоставляются места для размещения в виде односемейных домов открытого режима, предусмотренные в пунктах</w:t>
      </w:r>
      <w:r>
        <w:t xml:space="preserve"> 1 и 2 статьи 74/8 Закона от 15 </w:t>
      </w:r>
      <w:r w:rsidRPr="00AB4C34">
        <w:t>декабря 1980 года. Эти места для размещения позволяют семьям пользоват</w:t>
      </w:r>
      <w:r w:rsidRPr="00AB4C34">
        <w:t>ь</w:t>
      </w:r>
      <w:r w:rsidRPr="00AB4C34">
        <w:t>ся инфраструктурой, приспособленной к их потребностям. В них могут прож</w:t>
      </w:r>
      <w:r w:rsidRPr="00AB4C34">
        <w:t>и</w:t>
      </w:r>
      <w:r w:rsidRPr="00AB4C34">
        <w:t>вать дети совместно с родителями или лицами, осуществляющими в отношении них родительские функции, а также несовершеннолетние, входящие в состав семьи, и члены семьи до второй степени родства, без необходимости делить это жилище с другими семьями или взрослыми лицами. Изначально эти места для размещения предназначались для семей, находящихся на тер</w:t>
      </w:r>
      <w:r>
        <w:t>ритории страны. В </w:t>
      </w:r>
      <w:r w:rsidRPr="00AB4C34">
        <w:t>соответствии с Королевским указом от 22 апреля 2010 года о внесении изм</w:t>
      </w:r>
      <w:r w:rsidRPr="00AB4C34">
        <w:t>е</w:t>
      </w:r>
      <w:r w:rsidRPr="00AB4C34">
        <w:t>нений в Королевский указ от 14 мая 2009 года об определении режима и правил функционирования мест для размещения по смыслу пункта 2 статьи 74/8 Закона от 15 декабря 1980 года сфера использования таких мест была расширена и стала включать семьи, находящиеся на границе. В этом случае место для ра</w:t>
      </w:r>
      <w:r w:rsidRPr="00AB4C34">
        <w:t>з</w:t>
      </w:r>
      <w:r w:rsidRPr="00AB4C34">
        <w:t>мещения приравнивается к определенному месту, расположенному на границе, чтобы гарантировать применение Чикагской конвенции от 7 декабря 1944 года (возвращение), когда семьи не соответствуют у</w:t>
      </w:r>
      <w:r w:rsidRPr="00AB4C34">
        <w:t>с</w:t>
      </w:r>
      <w:r w:rsidRPr="00AB4C34">
        <w:t xml:space="preserve">ловиям для въезда. </w:t>
      </w:r>
    </w:p>
    <w:p w:rsidR="00FA567F" w:rsidRPr="00AB4C34" w:rsidRDefault="00FA567F" w:rsidP="004B4B9D">
      <w:pPr>
        <w:pStyle w:val="SingleTxtGR"/>
      </w:pPr>
      <w:r w:rsidRPr="00AB4C34">
        <w:t>357.</w:t>
      </w:r>
      <w:r w:rsidRPr="00AB4C34">
        <w:tab/>
        <w:t>После недавнего принятия Закона от 16 ноября 2011 года (</w:t>
      </w:r>
      <w:r>
        <w:t>"</w:t>
      </w:r>
      <w:r w:rsidRPr="00AB4C34">
        <w:t>М.Б.</w:t>
      </w:r>
      <w:r>
        <w:t>" от 17 </w:t>
      </w:r>
      <w:r w:rsidRPr="00AB4C34">
        <w:t>февраля 2012 года) применение содержания под стражей незаконно наход</w:t>
      </w:r>
      <w:r w:rsidRPr="00AB4C34">
        <w:t>я</w:t>
      </w:r>
      <w:r w:rsidRPr="00AB4C34">
        <w:t>щихся в стране семей с несовершеннолетними детьми с целью их удаления с территории ограничено крайне немногочисленными случаями, предусмотре</w:t>
      </w:r>
      <w:r w:rsidRPr="00AB4C34">
        <w:t>н</w:t>
      </w:r>
      <w:r w:rsidRPr="00AB4C34">
        <w:t>ными этим законом, а срок применения такой меры по-прежнему должен быть как можно короче.</w:t>
      </w:r>
    </w:p>
    <w:p w:rsidR="00FA567F" w:rsidRPr="00AB4C34" w:rsidRDefault="00FA567F" w:rsidP="004B4B9D">
      <w:pPr>
        <w:pStyle w:val="H56GR"/>
      </w:pPr>
      <w:r>
        <w:tab/>
      </w:r>
      <w:r>
        <w:tab/>
      </w:r>
      <w:r w:rsidRPr="00AB4C34">
        <w:t xml:space="preserve">Прекращение практики содержания в транзитной зоне аэропорта </w:t>
      </w:r>
    </w:p>
    <w:p w:rsidR="00FA567F" w:rsidRPr="00AB4C34" w:rsidRDefault="00FA567F" w:rsidP="004B4B9D">
      <w:pPr>
        <w:pStyle w:val="SingleTxtGR"/>
      </w:pPr>
      <w:r w:rsidRPr="00AB4C34">
        <w:t>358.</w:t>
      </w:r>
      <w:r w:rsidRPr="00AB4C34">
        <w:tab/>
        <w:t>В рекомендации Комитета упоминается тот факт, что Европейский суд по правам человека (ЕСПЧ) осудил Бельгию в своем постановлении по делу Риад и Идиаб против Бельгии, вынесенном 24 января 2008 года. Однако важно по</w:t>
      </w:r>
      <w:r w:rsidRPr="00AB4C34">
        <w:t>д</w:t>
      </w:r>
      <w:r w:rsidRPr="00AB4C34">
        <w:t>черкнуть, что оно касалось непосредственно условий содержания двух данных заявителей в транзитной зоне аэропорта. С тех пор бельгийское государство прекратило практику освобождения (по распоряжению судебного органа) лиц, содержащихся в закрытых центрах, и их последующего размещения в транзи</w:t>
      </w:r>
      <w:r w:rsidRPr="00AB4C34">
        <w:t>т</w:t>
      </w:r>
      <w:r w:rsidRPr="00AB4C34">
        <w:t>ной зоне аэропорта.</w:t>
      </w:r>
    </w:p>
    <w:p w:rsidR="00FA567F" w:rsidRPr="00AB4C34" w:rsidRDefault="00FA567F" w:rsidP="004B4B9D">
      <w:pPr>
        <w:pStyle w:val="SingleTxtGR"/>
      </w:pPr>
      <w:r w:rsidRPr="00AB4C34">
        <w:t>359.</w:t>
      </w:r>
      <w:r w:rsidRPr="00AB4C34">
        <w:tab/>
        <w:t>С момента уведомления о вынесении судом решения об освобождении иностранец выпускается на свободу, однако это освобождение не придает его пребыванию законный характер.</w:t>
      </w:r>
    </w:p>
    <w:p w:rsidR="00FA567F" w:rsidRPr="00AB4C34" w:rsidRDefault="00FA567F" w:rsidP="004B4B9D">
      <w:pPr>
        <w:pStyle w:val="SingleTxtGR"/>
      </w:pPr>
      <w:r w:rsidRPr="00AB4C34">
        <w:t>360.</w:t>
      </w:r>
      <w:r w:rsidRPr="00AB4C34">
        <w:tab/>
        <w:t>Так, например, если в результате рассмотрения конкретной ситуации к</w:t>
      </w:r>
      <w:r w:rsidRPr="00AB4C34">
        <w:t>а</w:t>
      </w:r>
      <w:r w:rsidRPr="00AB4C34">
        <w:t>кого-либо лица выясняе</w:t>
      </w:r>
      <w:r w:rsidRPr="00AB4C34">
        <w:t>т</w:t>
      </w:r>
      <w:r w:rsidRPr="00AB4C34">
        <w:t>ся, что оно не соответствует условиям для въезда и пребывания в стране, в отношении этого лица на о</w:t>
      </w:r>
      <w:r w:rsidRPr="00AB4C34">
        <w:t>с</w:t>
      </w:r>
      <w:r w:rsidRPr="00AB4C34">
        <w:t>новании статьи 7 Закона от 15 декабря 1980 года может быть вынесено новое решение об удалении. Ин</w:t>
      </w:r>
      <w:r w:rsidRPr="00AB4C34">
        <w:t>о</w:t>
      </w:r>
      <w:r w:rsidRPr="00AB4C34">
        <w:t>странцу может быть предписано покинуть территорию, и это предписание он может выполнить добровольно. В случае его неисполнения в установленный срок возможно принятие нового решения о с</w:t>
      </w:r>
      <w:r w:rsidRPr="00AB4C34">
        <w:t>о</w:t>
      </w:r>
      <w:r w:rsidRPr="00AB4C34">
        <w:t>держании в закрытом центре для осуществления высылки, на основании которого данное лицо может быть вновь помещено в закрытый центр или ему может быть предписано место пребывания только на тот период, который необходим для осуществления высылки.</w:t>
      </w:r>
    </w:p>
    <w:p w:rsidR="00FA567F" w:rsidRPr="00AB4C34" w:rsidRDefault="00FA567F" w:rsidP="004B4B9D">
      <w:pPr>
        <w:pStyle w:val="H23GR"/>
      </w:pPr>
      <w:r w:rsidRPr="00AB4C34">
        <w:tab/>
      </w:r>
      <w:r>
        <w:tab/>
      </w:r>
      <w:r w:rsidRPr="00AB4C34">
        <w:t xml:space="preserve">Пункт 18 замечаний </w:t>
      </w:r>
    </w:p>
    <w:p w:rsidR="00FA567F" w:rsidRPr="00AB4C34" w:rsidRDefault="00FA567F" w:rsidP="004B4B9D">
      <w:pPr>
        <w:pStyle w:val="SingleTxtGR"/>
      </w:pPr>
      <w:r w:rsidRPr="00AB4C34">
        <w:t>361.</w:t>
      </w:r>
      <w:r w:rsidRPr="00AB4C34">
        <w:tab/>
        <w:t>Бельгия хотела бы отметить, что Комитет ошибочно упоминает постано</w:t>
      </w:r>
      <w:r w:rsidRPr="00AB4C34">
        <w:t>в</w:t>
      </w:r>
      <w:r w:rsidRPr="00AB4C34">
        <w:t>ление ЕСПЧ от 12 октября 2006 года (</w:t>
      </w:r>
      <w:r w:rsidRPr="00A41BAB">
        <w:rPr>
          <w:i/>
        </w:rPr>
        <w:t>Мубиланзила Майека и Каники Митунга против Бельгии</w:t>
      </w:r>
      <w:r w:rsidRPr="00AB4C34">
        <w:t>): ведь в этом деле Бельгия не обвинялась в чрезмерном прим</w:t>
      </w:r>
      <w:r w:rsidRPr="00AB4C34">
        <w:t>е</w:t>
      </w:r>
      <w:r w:rsidRPr="00AB4C34">
        <w:t>нении силы в ходе осуществления высылки. Ее осудили прежде всего за усл</w:t>
      </w:r>
      <w:r w:rsidRPr="00AB4C34">
        <w:t>о</w:t>
      </w:r>
      <w:r w:rsidRPr="00AB4C34">
        <w:t>вия содержания с закрытом центре, которые не были подходящими для ребенка в возрасте пяти лет, и за его последующую высылку в Демократическую Ре</w:t>
      </w:r>
      <w:r w:rsidRPr="00AB4C34">
        <w:t>с</w:t>
      </w:r>
      <w:r w:rsidRPr="00AB4C34">
        <w:t>публику Конго.</w:t>
      </w:r>
    </w:p>
    <w:p w:rsidR="00FA567F" w:rsidRPr="00AB4C34" w:rsidRDefault="00FA567F" w:rsidP="009A0569">
      <w:pPr>
        <w:pStyle w:val="H4GR"/>
        <w:spacing w:before="240"/>
      </w:pPr>
      <w:r w:rsidRPr="00AB4C34">
        <w:tab/>
      </w:r>
      <w:r w:rsidRPr="00AB4C34">
        <w:tab/>
        <w:t xml:space="preserve">Жалобы, расследования и санкции при получении утверждений о жестоком </w:t>
      </w:r>
      <w:r w:rsidR="00AA1A23">
        <w:br/>
      </w:r>
      <w:r w:rsidR="00AA1A23">
        <w:tab/>
      </w:r>
      <w:r w:rsidR="00AA1A23">
        <w:tab/>
      </w:r>
      <w:r w:rsidRPr="00AB4C34">
        <w:t xml:space="preserve">обращении и чрезмерном применении силы </w:t>
      </w:r>
    </w:p>
    <w:p w:rsidR="00FA567F" w:rsidRPr="00AB4C34" w:rsidRDefault="00FA567F" w:rsidP="004B4B9D">
      <w:pPr>
        <w:pStyle w:val="SingleTxtGR"/>
      </w:pPr>
      <w:r w:rsidRPr="00AB4C34">
        <w:t>362.</w:t>
      </w:r>
      <w:r w:rsidRPr="00AB4C34">
        <w:tab/>
        <w:t>Что касается внешнего контроля за осуществлением мероприятий по в</w:t>
      </w:r>
      <w:r w:rsidRPr="00AB4C34">
        <w:t>ы</w:t>
      </w:r>
      <w:r w:rsidRPr="00AB4C34">
        <w:t>сылке, то пункт 6 статьи 8 Директивы 2008/115 от 16 декабря 2008 года</w:t>
      </w:r>
      <w:r w:rsidRPr="00DF7E1C">
        <w:rPr>
          <w:rStyle w:val="FootnoteReference"/>
        </w:rPr>
        <w:footnoteReference w:id="43"/>
      </w:r>
      <w:r w:rsidRPr="00AB4C34">
        <w:t xml:space="preserve"> обяз</w:t>
      </w:r>
      <w:r w:rsidRPr="00AB4C34">
        <w:t>ы</w:t>
      </w:r>
      <w:r w:rsidRPr="00AB4C34">
        <w:t>вает государства создать эффективную систему принудительного возраще</w:t>
      </w:r>
      <w:r>
        <w:t>ния. В </w:t>
      </w:r>
      <w:r w:rsidRPr="00AB4C34">
        <w:t xml:space="preserve">рамках ее инкорпорации (Закон от 19 января 2012 года, </w:t>
      </w:r>
      <w:r>
        <w:t>"</w:t>
      </w:r>
      <w:r w:rsidRPr="00AB4C34">
        <w:t>М.Б.</w:t>
      </w:r>
      <w:r>
        <w:t>"</w:t>
      </w:r>
      <w:r w:rsidRPr="00AB4C34">
        <w:t xml:space="preserve"> от 17 февраля 2012 года) Генеральная инспекция федеральной и местной полиции (ГИП) была утверждена в качестве органа по контролю за принудительными высылками</w:t>
      </w:r>
      <w:r w:rsidRPr="00DF7E1C">
        <w:rPr>
          <w:rStyle w:val="FootnoteReference"/>
        </w:rPr>
        <w:footnoteReference w:id="44"/>
      </w:r>
      <w:r w:rsidRPr="00AB4C34">
        <w:t>, поскольку она не зависит от органов власти, принимающих р</w:t>
      </w:r>
      <w:r w:rsidRPr="00AB4C34">
        <w:t>е</w:t>
      </w:r>
      <w:r w:rsidRPr="00AB4C34">
        <w:t>шения о высылке (Бюро по делам иностранцев), и от органов полиции, ответственных за осущ</w:t>
      </w:r>
      <w:r w:rsidRPr="00AB4C34">
        <w:t>е</w:t>
      </w:r>
      <w:r w:rsidRPr="00AB4C34">
        <w:t>ствление мер по высылке (ЛПА</w:t>
      </w:r>
      <w:r>
        <w:t>−</w:t>
      </w:r>
      <w:r w:rsidRPr="00AB4C34">
        <w:t>БРУНАТ). Число проверочных мероприятий, проводимых вплоть до посадки в самолет или до страны высылки и на ее те</w:t>
      </w:r>
      <w:r w:rsidRPr="00AB4C34">
        <w:t>р</w:t>
      </w:r>
      <w:r w:rsidRPr="00AB4C34">
        <w:t>ритории, существенно возросло благодаря финансированию Европейского фо</w:t>
      </w:r>
      <w:r w:rsidRPr="00AB4C34">
        <w:t>н</w:t>
      </w:r>
      <w:r w:rsidRPr="00AB4C34">
        <w:t>да для возвращения (в 2011 году – 54 проверки, а в первом квартале 2012 года – уже 45)</w:t>
      </w:r>
      <w:r w:rsidRPr="00DF7E1C">
        <w:rPr>
          <w:rStyle w:val="FootnoteReference"/>
        </w:rPr>
        <w:footnoteReference w:id="45"/>
      </w:r>
      <w:r w:rsidRPr="00AB4C34">
        <w:t>. Вероятно, это европейское финансирование продолжится и в 2013 г</w:t>
      </w:r>
      <w:r w:rsidRPr="00AB4C34">
        <w:t>о</w:t>
      </w:r>
      <w:r w:rsidRPr="00AB4C34">
        <w:t>ду. Первоначальная сфера компетенции ГИП, по-видимому, вскоре будет ра</w:t>
      </w:r>
      <w:r w:rsidRPr="00AB4C34">
        <w:t>с</w:t>
      </w:r>
      <w:r w:rsidRPr="00AB4C34">
        <w:t>ширена, чтобы она могла контролировать всю процедуру принудительных во</w:t>
      </w:r>
      <w:r w:rsidRPr="00AB4C34">
        <w:t>з</w:t>
      </w:r>
      <w:r w:rsidRPr="00AB4C34">
        <w:t>вращений применительно ко всем участвующим сторонам, а не только в отн</w:t>
      </w:r>
      <w:r w:rsidRPr="00AB4C34">
        <w:t>о</w:t>
      </w:r>
      <w:r w:rsidRPr="00AB4C34">
        <w:t>шении органов полиции. При возникновении инцидента работники ГИП, явл</w:t>
      </w:r>
      <w:r w:rsidRPr="00AB4C34">
        <w:t>я</w:t>
      </w:r>
      <w:r w:rsidRPr="00AB4C34">
        <w:t>ясь сотрудниками полиции, вправе непосредственно вмешаться для прекращ</w:t>
      </w:r>
      <w:r w:rsidRPr="00AB4C34">
        <w:t>е</w:t>
      </w:r>
      <w:r w:rsidRPr="00AB4C34">
        <w:t>ния нарушения и при необходимости составить протокол, что было бы нево</w:t>
      </w:r>
      <w:r w:rsidRPr="00AB4C34">
        <w:t>з</w:t>
      </w:r>
      <w:r w:rsidRPr="00AB4C34">
        <w:t>можно для представителя НПО. Кроме того, при выполнении ими своих фун</w:t>
      </w:r>
      <w:r w:rsidRPr="00AB4C34">
        <w:t>к</w:t>
      </w:r>
      <w:r w:rsidRPr="00AB4C34">
        <w:t>ций (право на проведение общей постоянной проверки) их действия не могут подвергаться никаким ограничениям. В частности, работники ГИП имеют пр</w:t>
      </w:r>
      <w:r w:rsidRPr="00AB4C34">
        <w:t>а</w:t>
      </w:r>
      <w:r w:rsidRPr="00AB4C34">
        <w:t>во на беспрепятственный доступ в закрытые зоны аэропорта, включая вое</w:t>
      </w:r>
      <w:r w:rsidRPr="00AB4C34">
        <w:t>н</w:t>
      </w:r>
      <w:r w:rsidRPr="00AB4C34">
        <w:t>ный аэродром. Наконец, они также обязаны хранить профессиональную тайну, что обеспечивает скрытность мероприятий такого типа, особенно на этапе, предш</w:t>
      </w:r>
      <w:r w:rsidRPr="00AB4C34">
        <w:t>е</w:t>
      </w:r>
      <w:r w:rsidRPr="00AB4C34">
        <w:t>ствующем их проведению.</w:t>
      </w:r>
    </w:p>
    <w:p w:rsidR="00FA567F" w:rsidRPr="00AB4C34" w:rsidRDefault="00FA567F" w:rsidP="004B4B9D">
      <w:pPr>
        <w:pStyle w:val="SingleTxtGR"/>
      </w:pPr>
      <w:r w:rsidRPr="00AB4C34">
        <w:t>363.</w:t>
      </w:r>
      <w:r w:rsidRPr="00AB4C34">
        <w:tab/>
        <w:t>Учитывая усиление контроля cо стороны ГИП за принудительными во</w:t>
      </w:r>
      <w:r w:rsidRPr="00AB4C34">
        <w:t>з</w:t>
      </w:r>
      <w:r w:rsidRPr="00AB4C34">
        <w:t>вращениями и вышеупомянутыми элементами, присутствие неправительстве</w:t>
      </w:r>
      <w:r w:rsidRPr="00AB4C34">
        <w:t>н</w:t>
      </w:r>
      <w:r w:rsidRPr="00AB4C34">
        <w:t>ных организаций не представляется необход</w:t>
      </w:r>
      <w:r w:rsidRPr="00AB4C34">
        <w:t>и</w:t>
      </w:r>
      <w:r w:rsidRPr="00AB4C34">
        <w:t>мым. Что касается использования видеозаписи, то бельгийское государство продолжает следовать выводам око</w:t>
      </w:r>
      <w:r w:rsidRPr="00AB4C34">
        <w:t>н</w:t>
      </w:r>
      <w:r w:rsidRPr="00AB4C34">
        <w:t>чательного доклада Комиссии Вермерша</w:t>
      </w:r>
      <w:r>
        <w:t>−</w:t>
      </w:r>
      <w:r w:rsidRPr="00AB4C34">
        <w:t>II от 31 января 2005 года, по мнению которой использование данного метода нецелесообразно по целому ряду пр</w:t>
      </w:r>
      <w:r w:rsidRPr="00AB4C34">
        <w:t>и</w:t>
      </w:r>
      <w:r w:rsidRPr="00AB4C34">
        <w:t>чин, в частности технического и логист</w:t>
      </w:r>
      <w:r w:rsidRPr="00AB4C34">
        <w:t>и</w:t>
      </w:r>
      <w:r w:rsidRPr="00AB4C34">
        <w:t xml:space="preserve">ческого характера. </w:t>
      </w:r>
    </w:p>
    <w:p w:rsidR="00FA567F" w:rsidRPr="00AB4C34" w:rsidRDefault="00FA567F" w:rsidP="004B4B9D">
      <w:pPr>
        <w:pStyle w:val="SingleTxtGR"/>
      </w:pPr>
      <w:r w:rsidRPr="00AB4C34">
        <w:t>364.</w:t>
      </w:r>
      <w:r w:rsidRPr="00AB4C34">
        <w:tab/>
        <w:t>Поскольку с 2008 года в ходе операций по высылке серьезных инциде</w:t>
      </w:r>
      <w:r w:rsidRPr="00AB4C34">
        <w:t>н</w:t>
      </w:r>
      <w:r w:rsidRPr="00AB4C34">
        <w:t>тов не отмечалось, из этого можно заключить, что указанные механизмы фун</w:t>
      </w:r>
      <w:r w:rsidRPr="00AB4C34">
        <w:t>к</w:t>
      </w:r>
      <w:r w:rsidRPr="00AB4C34">
        <w:t>ционировали эффективно. Сотрудники органов ЛПА</w:t>
      </w:r>
      <w:r>
        <w:t>−</w:t>
      </w:r>
      <w:r w:rsidRPr="00AB4C34">
        <w:t>БРУНАТ, как и каждый сотрудник полиции, проходят базовую, непрерывную и функциональную подг</w:t>
      </w:r>
      <w:r w:rsidRPr="00AB4C34">
        <w:t>о</w:t>
      </w:r>
      <w:r w:rsidRPr="00AB4C34">
        <w:t>товку, в ходе которой особое внимание уделяе</w:t>
      </w:r>
      <w:r>
        <w:t>тся соблюдению прав человека. С </w:t>
      </w:r>
      <w:r w:rsidRPr="00AB4C34">
        <w:t>учетом специфики функций этого органа их еще активнее просвещают в в</w:t>
      </w:r>
      <w:r w:rsidRPr="00AB4C34">
        <w:t>о</w:t>
      </w:r>
      <w:r w:rsidRPr="00AB4C34">
        <w:t>просах, касающихся соблюдения прав человека и уязвимости иностранца, по</w:t>
      </w:r>
      <w:r w:rsidRPr="00AB4C34">
        <w:t>д</w:t>
      </w:r>
      <w:r w:rsidRPr="00AB4C34">
        <w:t>лежащего высылке. В этой связи сотрудники ЛПА</w:t>
      </w:r>
      <w:r>
        <w:t>−</w:t>
      </w:r>
      <w:r w:rsidRPr="00AB4C34">
        <w:t>БРУНАТ проходят обяз</w:t>
      </w:r>
      <w:r w:rsidRPr="00AB4C34">
        <w:t>а</w:t>
      </w:r>
      <w:r w:rsidRPr="00AB4C34">
        <w:t>тельную специальную подготовку, которая длится шесть месяцев и включает объемную практическую часть (учебные модули, посвященные приемам обу</w:t>
      </w:r>
      <w:r w:rsidRPr="00AB4C34">
        <w:t>з</w:t>
      </w:r>
      <w:r w:rsidRPr="00AB4C34">
        <w:t>дания насилия, реагирования на проявления неповиновения и т.п.), а также а</w:t>
      </w:r>
      <w:r w:rsidRPr="00AB4C34">
        <w:t>с</w:t>
      </w:r>
      <w:r w:rsidRPr="00AB4C34">
        <w:t>пекты более теоретического характера (контроль въезда, выявление фальшивых документов и т.п.). Кроме того, каждый из будущих сопровождающих проходит стажировку по отработке действий в определенной ситуации. В настоящее вр</w:t>
      </w:r>
      <w:r w:rsidRPr="00AB4C34">
        <w:t>е</w:t>
      </w:r>
      <w:r w:rsidRPr="00AB4C34">
        <w:t>мя изучается возможность продления срока этого обучения или его преобраз</w:t>
      </w:r>
      <w:r w:rsidRPr="00AB4C34">
        <w:t>о</w:t>
      </w:r>
      <w:r w:rsidRPr="00AB4C34">
        <w:t>вания в непрерывный официальный курс. А пока можно утверждать, что с</w:t>
      </w:r>
      <w:r w:rsidRPr="00AB4C34">
        <w:t>о</w:t>
      </w:r>
      <w:r w:rsidRPr="00AB4C34">
        <w:t>трудники, обеспечивающие процедуру возвращения, приобрели богатый опыт, дающий им возможность выполнять свои функции в соответствии с Кодексом профессиональной этики органов пол</w:t>
      </w:r>
      <w:r w:rsidRPr="00AB4C34">
        <w:t>и</w:t>
      </w:r>
      <w:r w:rsidRPr="00AB4C34">
        <w:t>ции и внутренними инструкциями.</w:t>
      </w:r>
    </w:p>
    <w:p w:rsidR="00FA567F" w:rsidRPr="00AB4C34" w:rsidRDefault="00FA567F" w:rsidP="004B4B9D">
      <w:pPr>
        <w:pStyle w:val="SingleTxtGR"/>
      </w:pPr>
      <w:r w:rsidRPr="00AB4C34">
        <w:t>365.</w:t>
      </w:r>
      <w:r w:rsidRPr="00AB4C34">
        <w:tab/>
        <w:t>За период с 2006 года по настоящее время в ГИП поступило всего шесть жалоб со стороны лиц, утверждающих, что они стали жертвами чрезмерного применения силы в ходе процедуры репатриации. После составления соотве</w:t>
      </w:r>
      <w:r w:rsidRPr="00AB4C34">
        <w:t>т</w:t>
      </w:r>
      <w:r w:rsidRPr="00AB4C34">
        <w:t>ствующих протоколов эти дела были переданы в судебные органы. ГИП не п</w:t>
      </w:r>
      <w:r w:rsidRPr="00AB4C34">
        <w:t>о</w:t>
      </w:r>
      <w:r w:rsidRPr="00AB4C34">
        <w:t>лучила ни поручений, ни информации относительно дальнейшего расследов</w:t>
      </w:r>
      <w:r w:rsidRPr="00AB4C34">
        <w:t>а</w:t>
      </w:r>
      <w:r w:rsidRPr="00AB4C34">
        <w:t>ния этих дел. С 2007 г</w:t>
      </w:r>
      <w:r w:rsidRPr="00AB4C34">
        <w:t>о</w:t>
      </w:r>
      <w:r w:rsidRPr="00AB4C34">
        <w:t>да по настоящее время ГИП по собственной инициативе составила один протокол в связи с действиями сотрудника полиции при осущ</w:t>
      </w:r>
      <w:r w:rsidRPr="00AB4C34">
        <w:t>е</w:t>
      </w:r>
      <w:r w:rsidRPr="00AB4C34">
        <w:t>ствлении высылки.</w:t>
      </w:r>
    </w:p>
    <w:p w:rsidR="00FA567F" w:rsidRPr="00AB4C34" w:rsidRDefault="00FA567F" w:rsidP="004B4B9D">
      <w:pPr>
        <w:pStyle w:val="SingleTxtGR"/>
      </w:pPr>
      <w:r w:rsidRPr="00AB4C34">
        <w:t>366.</w:t>
      </w:r>
      <w:r w:rsidRPr="00AB4C34">
        <w:tab/>
        <w:t>Во исполнение статьи 14-</w:t>
      </w:r>
      <w:r>
        <w:t>бис</w:t>
      </w:r>
      <w:r w:rsidRPr="00AB4C34">
        <w:t xml:space="preserve"> Закона от 18 июля 1991 года о контроле за действиями полицейских и следственных служб и Органа по координации де</w:t>
      </w:r>
      <w:r w:rsidRPr="00AB4C34">
        <w:t>й</w:t>
      </w:r>
      <w:r w:rsidRPr="00AB4C34">
        <w:t>ствий при анализе угрозы Комитет П анализирует деятельность и методы раб</w:t>
      </w:r>
      <w:r w:rsidRPr="00AB4C34">
        <w:t>о</w:t>
      </w:r>
      <w:r w:rsidRPr="00AB4C34">
        <w:t>ты ГИП. Таким образом, Комитет П осуществляет профилактический ко</w:t>
      </w:r>
      <w:r w:rsidRPr="00AB4C34">
        <w:t>н</w:t>
      </w:r>
      <w:r w:rsidRPr="00AB4C34">
        <w:t>троль за тем, как ГИП выполняет свои функции по проверке операций по высылке. Кроме того, частные лица могут обращаться в Комитет с соответствующими жалобами: в 2010 году было получено шесть таких жалоб, в 2011 году – четыре жалобы. Судебные органы также могут обратиться в следственную службу К</w:t>
      </w:r>
      <w:r w:rsidRPr="00AB4C34">
        <w:t>о</w:t>
      </w:r>
      <w:r w:rsidRPr="00AB4C34">
        <w:t>митета П для проведения расследования в области высылки (за период 2010</w:t>
      </w:r>
      <w:r>
        <w:t>−</w:t>
      </w:r>
      <w:r w:rsidRPr="00AB4C34">
        <w:t xml:space="preserve">2011 годов – единственный случай имел место в 2011 году). </w:t>
      </w:r>
    </w:p>
    <w:p w:rsidR="00FA567F" w:rsidRPr="00AB4C34" w:rsidRDefault="00FA567F" w:rsidP="004B4B9D">
      <w:pPr>
        <w:pStyle w:val="H56GR"/>
      </w:pPr>
      <w:r>
        <w:tab/>
      </w:r>
      <w:r>
        <w:tab/>
      </w:r>
      <w:r w:rsidRPr="00AB4C34">
        <w:t>Компетентные судебные механизмы, задействуемые для пересмотра постановлений о высылке и выдв</w:t>
      </w:r>
      <w:r w:rsidRPr="00AB4C34">
        <w:t>о</w:t>
      </w:r>
      <w:r w:rsidRPr="00AB4C34">
        <w:t xml:space="preserve">рении </w:t>
      </w:r>
    </w:p>
    <w:p w:rsidR="00FA567F" w:rsidRPr="00AB4C34" w:rsidRDefault="00FA567F" w:rsidP="004B4B9D">
      <w:pPr>
        <w:pStyle w:val="SingleTxtGR"/>
      </w:pPr>
      <w:r w:rsidRPr="00AB4C34">
        <w:t>367.</w:t>
      </w:r>
      <w:r w:rsidRPr="00AB4C34">
        <w:tab/>
        <w:t>Министр или его представитель выносит решение о выдворении ин</w:t>
      </w:r>
      <w:r w:rsidRPr="00AB4C34">
        <w:t>о</w:t>
      </w:r>
      <w:r w:rsidRPr="00AB4C34">
        <w:t>странца в форме министе</w:t>
      </w:r>
      <w:r w:rsidRPr="00AB4C34">
        <w:t>р</w:t>
      </w:r>
      <w:r w:rsidRPr="00AB4C34">
        <w:t>ского постановления о выдворении или королевского указа о высылке (статьи 20</w:t>
      </w:r>
      <w:r>
        <w:t>−</w:t>
      </w:r>
      <w:r w:rsidRPr="00AB4C34">
        <w:t>26 и пункт 2 стат</w:t>
      </w:r>
      <w:r>
        <w:t>ьи 43 Закона от 15 декабря 1980 </w:t>
      </w:r>
      <w:r w:rsidRPr="00AB4C34">
        <w:t>года) только после рассмотрения представленной этим лицом информации и прогнозируемых последствий его высылки в страну назначения, с учетом о</w:t>
      </w:r>
      <w:r w:rsidRPr="00AB4C34">
        <w:t>б</w:t>
      </w:r>
      <w:r w:rsidRPr="00AB4C34">
        <w:t>щего положения в этой стране и конкретных обстоятельств дела. Всегда нео</w:t>
      </w:r>
      <w:r w:rsidRPr="00AB4C34">
        <w:t>б</w:t>
      </w:r>
      <w:r w:rsidRPr="00AB4C34">
        <w:t>ходимо удостовериться, что это лицо не подвергается риску передачи в страну, где его жизни может угрожать опасность по смыслу статьи 3 Европейской ко</w:t>
      </w:r>
      <w:r w:rsidRPr="00AB4C34">
        <w:t>н</w:t>
      </w:r>
      <w:r w:rsidRPr="00AB4C34">
        <w:t>венции о правах человека. Министр или его представитель учитывают мнения компетентных органов − таких как ГКБА, − если иностранец подал ходатайство о предоставлении убежища, и мнения судебных органов, если он предписывает меру в виде высылки или находится в процессе принятия решения о ее осущ</w:t>
      </w:r>
      <w:r w:rsidRPr="00AB4C34">
        <w:t>е</w:t>
      </w:r>
      <w:r w:rsidRPr="00AB4C34">
        <w:t>ствлении. Бельгийское государство применяе</w:t>
      </w:r>
      <w:r>
        <w:t>т принцип невозвращения (ст</w:t>
      </w:r>
      <w:r>
        <w:t>а</w:t>
      </w:r>
      <w:r>
        <w:t>тья </w:t>
      </w:r>
      <w:r w:rsidRPr="00AB4C34">
        <w:t>33 Женевской конвенции), Европейскую конвенцию о правах человека (ст</w:t>
      </w:r>
      <w:r w:rsidRPr="00AB4C34">
        <w:t>а</w:t>
      </w:r>
      <w:r w:rsidRPr="00AB4C34">
        <w:t>тьи 3 и 8), пункт 2 преамбулы Дублинского регламента и статьи 18 и 19 Хартии основных прав Европейского союза и Договора о функционировании Европе</w:t>
      </w:r>
      <w:r w:rsidRPr="00AB4C34">
        <w:t>й</w:t>
      </w:r>
      <w:r w:rsidRPr="00AB4C34">
        <w:t xml:space="preserve">ского союза (пункт 1 статьи 78). </w:t>
      </w:r>
    </w:p>
    <w:p w:rsidR="00FA567F" w:rsidRPr="00AB4C34" w:rsidRDefault="00FA567F" w:rsidP="004B4B9D">
      <w:pPr>
        <w:pStyle w:val="SingleTxtGR"/>
      </w:pPr>
      <w:r w:rsidRPr="00AB4C34">
        <w:t>368.</w:t>
      </w:r>
      <w:r w:rsidRPr="00AB4C34">
        <w:tab/>
        <w:t>При рассмотрении каждого дела всегда принимается во внимание вопрос об уважении частной и семейной жизни иностранца. Важно уравновешивать его с требованиями по охране правопорядка и национальной безопасности, с</w:t>
      </w:r>
      <w:r w:rsidRPr="00AB4C34">
        <w:t>о</w:t>
      </w:r>
      <w:r w:rsidRPr="00AB4C34">
        <w:t>блюдая при этом принцип пропорциональности</w:t>
      </w:r>
      <w:r w:rsidRPr="00DF7E1C">
        <w:rPr>
          <w:rStyle w:val="FootnoteReference"/>
        </w:rPr>
        <w:footnoteReference w:id="46"/>
      </w:r>
      <w:r w:rsidRPr="00AB4C34">
        <w:t>. В самом деле, когда лицо, н</w:t>
      </w:r>
      <w:r w:rsidRPr="00AB4C34">
        <w:t>е</w:t>
      </w:r>
      <w:r w:rsidRPr="00AB4C34">
        <w:t>законно находящееся в стране, совершает правонарушение или преступление, важно прежде всего сопоставить значимость его семейной жизни и его связей в Бельгии с тяжестью содеянного. Такое сопоставление варьируется в зависим</w:t>
      </w:r>
      <w:r w:rsidRPr="00AB4C34">
        <w:t>о</w:t>
      </w:r>
      <w:r w:rsidRPr="00AB4C34">
        <w:t>сти от конкретного случая и поэтому требует индивидуального подхода к ра</w:t>
      </w:r>
      <w:r w:rsidRPr="00AB4C34">
        <w:t>с</w:t>
      </w:r>
      <w:r w:rsidRPr="00AB4C34">
        <w:t xml:space="preserve">смотрению каждого дела. </w:t>
      </w:r>
    </w:p>
    <w:p w:rsidR="00FA567F" w:rsidRPr="00AB4C34" w:rsidRDefault="00FA567F" w:rsidP="004B4B9D">
      <w:pPr>
        <w:pStyle w:val="SingleTxtGR"/>
      </w:pPr>
      <w:r w:rsidRPr="00AB4C34">
        <w:t>369.</w:t>
      </w:r>
      <w:r w:rsidRPr="00AB4C34">
        <w:tab/>
        <w:t>Постановления о выдворении и высылке могут являться предметом о</w:t>
      </w:r>
      <w:r w:rsidRPr="00AB4C34">
        <w:t>б</w:t>
      </w:r>
      <w:r w:rsidRPr="00AB4C34">
        <w:t xml:space="preserve">жалования в Совете по разрешению споров, </w:t>
      </w:r>
      <w:r>
        <w:t>касающихся иностранцев (ССИ), с </w:t>
      </w:r>
      <w:r w:rsidRPr="00AB4C34">
        <w:t>целью их приостановления и отмены. Министр или его представитель вын</w:t>
      </w:r>
      <w:r w:rsidRPr="00AB4C34">
        <w:t>о</w:t>
      </w:r>
      <w:r w:rsidRPr="00AB4C34">
        <w:t>сит решение по запросам о докладах и об отмене таких мер. В случае выдвор</w:t>
      </w:r>
      <w:r w:rsidRPr="00AB4C34">
        <w:t>е</w:t>
      </w:r>
      <w:r w:rsidRPr="00AB4C34">
        <w:t>ния из страны соответствующие лица вносятся в базу данных SIS. В случае их возвращения и задержания на территории Бельгии полиция вступает в контакт с бюро C-SIS для повторного взятия под стражу (если это возможно) и отбывания остального наказания.</w:t>
      </w:r>
    </w:p>
    <w:p w:rsidR="00FA567F" w:rsidRPr="00AB4C34" w:rsidRDefault="00FA567F" w:rsidP="004B4B9D">
      <w:pPr>
        <w:pStyle w:val="SingleTxtGR"/>
      </w:pPr>
      <w:r w:rsidRPr="00AB4C34">
        <w:t>370.</w:t>
      </w:r>
      <w:r w:rsidRPr="00AB4C34">
        <w:tab/>
        <w:t>За период с 2008 года имели место шесть</w:t>
      </w:r>
      <w:r>
        <w:t xml:space="preserve"> случаев высылки (один – в 2008 </w:t>
      </w:r>
      <w:r w:rsidRPr="00AB4C34">
        <w:t>году и пять – в 2010 году) и было рассмотрено три особо важных случая, которые завершились постановлением о выдворении, включая двух человек, осужденных за терроризм, которые, пытаясь избежать высылки, сослались на статью 3 Европейской конвенции о правах человека. По каждому из них был проведен анализ ситуации с пребыванием в стране. Как указано выше, при этом надлежащим образом учитывается право на защиту от вмешательства в час</w:t>
      </w:r>
      <w:r w:rsidRPr="00AB4C34">
        <w:t>т</w:t>
      </w:r>
      <w:r w:rsidRPr="00AB4C34">
        <w:t>ную и семейную жизнь. Кроме того, проводятся стандартные проверки – обр</w:t>
      </w:r>
      <w:r w:rsidRPr="00AB4C34">
        <w:t>а</w:t>
      </w:r>
      <w:r w:rsidRPr="00AB4C34">
        <w:t>щение в Шенгенскую систему, запрос списка посетителей тюрьмы или обращ</w:t>
      </w:r>
      <w:r w:rsidRPr="00AB4C34">
        <w:t>е</w:t>
      </w:r>
      <w:r w:rsidRPr="00AB4C34">
        <w:t>ние в о</w:t>
      </w:r>
      <w:r w:rsidRPr="00AB4C34">
        <w:t>р</w:t>
      </w:r>
      <w:r w:rsidRPr="00AB4C34">
        <w:t>ганы государственной безопасности. На данный момент эти три лица, в отношении которых было вынесено постановление о высылке, пока не были удалены с территории. В двух случаях Государственный совет отменил пост</w:t>
      </w:r>
      <w:r w:rsidRPr="00AB4C34">
        <w:t>а</w:t>
      </w:r>
      <w:r w:rsidRPr="00AB4C34">
        <w:t>новление ССИ об отмене постановления о высылке, и в настоящее время вновь ожидается рассмотрение апелляционной жалобы об отмене этого решения. По третьему делу апелляция об отмене постановления подана в ССИ.</w:t>
      </w:r>
    </w:p>
    <w:p w:rsidR="00FA567F" w:rsidRPr="00AB4C34" w:rsidRDefault="00FA567F" w:rsidP="004B4B9D">
      <w:pPr>
        <w:pStyle w:val="H56GR"/>
      </w:pPr>
      <w:r w:rsidRPr="00AB4C34">
        <w:tab/>
      </w:r>
      <w:r w:rsidRPr="00AB4C34">
        <w:tab/>
        <w:t xml:space="preserve">Применение силы органами полиции </w:t>
      </w:r>
    </w:p>
    <w:p w:rsidR="00FA567F" w:rsidRPr="00AB4C34" w:rsidRDefault="00FA567F" w:rsidP="004B4B9D">
      <w:pPr>
        <w:pStyle w:val="SingleTxtGR"/>
      </w:pPr>
      <w:r w:rsidRPr="00AB4C34">
        <w:t>371.</w:t>
      </w:r>
      <w:r w:rsidRPr="00AB4C34">
        <w:tab/>
        <w:t>При выполнении своих функций по охране правопорядка органам пол</w:t>
      </w:r>
      <w:r w:rsidRPr="00AB4C34">
        <w:t>и</w:t>
      </w:r>
      <w:r w:rsidRPr="00AB4C34">
        <w:t>ции иногда приходится применять силу при строгом соблюдении предусмо</w:t>
      </w:r>
      <w:r w:rsidRPr="00AB4C34">
        <w:t>т</w:t>
      </w:r>
      <w:r w:rsidRPr="00AB4C34">
        <w:t>ренных законом основных критериев в этой обла</w:t>
      </w:r>
      <w:r w:rsidRPr="00AB4C34">
        <w:t>с</w:t>
      </w:r>
      <w:r w:rsidRPr="00AB4C34">
        <w:t xml:space="preserve">ти, а именно правомерности, пропорциональности и субсидиарности. </w:t>
      </w:r>
    </w:p>
    <w:p w:rsidR="00FA567F" w:rsidRPr="00AB4C34" w:rsidRDefault="00FA567F" w:rsidP="004B4B9D">
      <w:pPr>
        <w:pStyle w:val="SingleTxtGR"/>
      </w:pPr>
      <w:r w:rsidRPr="00AB4C34">
        <w:t>372.</w:t>
      </w:r>
      <w:r w:rsidRPr="00AB4C34">
        <w:tab/>
        <w:t>Применение силы в полной мере является элементом внутренней и ме</w:t>
      </w:r>
      <w:r w:rsidRPr="00AB4C34">
        <w:t>ж</w:t>
      </w:r>
      <w:r w:rsidRPr="00AB4C34">
        <w:t>дународной правовой системы и, следовательно, элементом соблюдения пол</w:t>
      </w:r>
      <w:r w:rsidRPr="00AB4C34">
        <w:t>о</w:t>
      </w:r>
      <w:r w:rsidRPr="00AB4C34">
        <w:t>жений о защите прав человека, включая запрещение жестокого обращения и любой формы пыток независимо от того, основано ли ее применение на какой-либо дискриминации. Любое нарушение этих принципов может повлечь за с</w:t>
      </w:r>
      <w:r w:rsidRPr="00AB4C34">
        <w:t>о</w:t>
      </w:r>
      <w:r w:rsidRPr="00AB4C34">
        <w:t>бой преследование в уголовном или дисциплинарном порядке. С другой стор</w:t>
      </w:r>
      <w:r w:rsidRPr="00AB4C34">
        <w:t>о</w:t>
      </w:r>
      <w:r w:rsidRPr="00AB4C34">
        <w:t>ны, по каждому случаю применения силы должен составляться систематич</w:t>
      </w:r>
      <w:r w:rsidRPr="00AB4C34">
        <w:t>е</w:t>
      </w:r>
      <w:r w:rsidRPr="00AB4C34">
        <w:t>ский отдельный отчет.</w:t>
      </w:r>
    </w:p>
    <w:p w:rsidR="00FA567F" w:rsidRPr="00AB4C34" w:rsidRDefault="00FA567F" w:rsidP="004B4B9D">
      <w:pPr>
        <w:pStyle w:val="SingleTxtGR"/>
      </w:pPr>
      <w:r w:rsidRPr="00AB4C34">
        <w:t>373.</w:t>
      </w:r>
      <w:r w:rsidRPr="00AB4C34">
        <w:tab/>
        <w:t>Для наблюдения за надлежащим проведением полицейских операций и, в частности, за соблюдением норм в области применения силы и защиты прав ч</w:t>
      </w:r>
      <w:r w:rsidRPr="00AB4C34">
        <w:t>е</w:t>
      </w:r>
      <w:r w:rsidRPr="00AB4C34">
        <w:t>ловека бельгийское государство создало механизмы контроля, которые находя</w:t>
      </w:r>
      <w:r w:rsidRPr="00AB4C34">
        <w:t>т</w:t>
      </w:r>
      <w:r w:rsidRPr="00AB4C34">
        <w:t>ся на уровне трех властей и в зависимости от обстоятельств действуют едини</w:t>
      </w:r>
      <w:r w:rsidRPr="00AB4C34">
        <w:t>ч</w:t>
      </w:r>
      <w:r w:rsidRPr="00AB4C34">
        <w:t>но, регулярно или систематически. Эта система контроля доступна для лиц в случае какого-либо нарушения, а также позволяет давать оценку эффективности проводимых операций и принимать меры по исправлению, если таковые нео</w:t>
      </w:r>
      <w:r w:rsidRPr="00AB4C34">
        <w:t>б</w:t>
      </w:r>
      <w:r w:rsidRPr="00AB4C34">
        <w:t>ходимы. Помимо механизмов уголовного или дисциплинарного характера</w:t>
      </w:r>
      <w:r w:rsidR="00763088">
        <w:t>,</w:t>
      </w:r>
      <w:r w:rsidRPr="00AB4C34">
        <w:t xml:space="preserve"> во</w:t>
      </w:r>
      <w:r w:rsidRPr="00AB4C34">
        <w:t>з</w:t>
      </w:r>
      <w:r w:rsidRPr="00AB4C34">
        <w:t>можные нарушения наказываются в рамках уставных процедур оценки де</w:t>
      </w:r>
      <w:r w:rsidRPr="00AB4C34">
        <w:t>я</w:t>
      </w:r>
      <w:r w:rsidRPr="00AB4C34">
        <w:t>тельности сотру</w:t>
      </w:r>
      <w:r w:rsidRPr="00AB4C34">
        <w:t>д</w:t>
      </w:r>
      <w:r w:rsidRPr="00AB4C34">
        <w:t>ников.</w:t>
      </w:r>
    </w:p>
    <w:p w:rsidR="00FA567F" w:rsidRPr="00AB4C34" w:rsidRDefault="00FA567F" w:rsidP="004B4B9D">
      <w:pPr>
        <w:pStyle w:val="H23GR"/>
      </w:pPr>
      <w:r w:rsidRPr="00AB4C34">
        <w:tab/>
      </w:r>
      <w:r w:rsidRPr="00AB4C34">
        <w:tab/>
        <w:t xml:space="preserve">Пункт 19 замечаний </w:t>
      </w:r>
    </w:p>
    <w:p w:rsidR="00FA567F" w:rsidRPr="00AB4C34" w:rsidRDefault="00FA567F" w:rsidP="004B4B9D">
      <w:pPr>
        <w:pStyle w:val="SingleTxtGR"/>
      </w:pPr>
      <w:r w:rsidRPr="00AB4C34">
        <w:t>374.</w:t>
      </w:r>
      <w:r w:rsidRPr="00AB4C34">
        <w:tab/>
        <w:t>При подписании 31 июля 2001 года Рамочной конвенции о защите наци</w:t>
      </w:r>
      <w:r w:rsidRPr="00AB4C34">
        <w:t>о</w:t>
      </w:r>
      <w:r w:rsidRPr="00AB4C34">
        <w:t xml:space="preserve">нальных меньшинств Бельгия выдвинула оговорку относительно понятия </w:t>
      </w:r>
      <w:r>
        <w:t>"</w:t>
      </w:r>
      <w:r w:rsidRPr="00AB4C34">
        <w:t>н</w:t>
      </w:r>
      <w:r w:rsidRPr="00AB4C34">
        <w:t>а</w:t>
      </w:r>
      <w:r w:rsidRPr="00AB4C34">
        <w:t>циональное меньшинство</w:t>
      </w:r>
      <w:r>
        <w:t>"</w:t>
      </w:r>
      <w:r w:rsidRPr="00AB4C34">
        <w:t xml:space="preserve">: </w:t>
      </w:r>
      <w:r>
        <w:t>"</w:t>
      </w:r>
      <w:r w:rsidRPr="00AB4C34">
        <w:t>Королевство Бельгия заявляет, что Рамочная ко</w:t>
      </w:r>
      <w:r w:rsidRPr="00AB4C34">
        <w:t>н</w:t>
      </w:r>
      <w:r w:rsidRPr="00AB4C34">
        <w:t>венция применяется без ущерба для конституционных положений, гарантий или принципов и без ущерба для законодательных норм, которыми в настоящее время регулируется использование языков. Королевство Бельгия заявляет, что определение понятия национального меньшинства будет выработано на межв</w:t>
      </w:r>
      <w:r w:rsidRPr="00AB4C34">
        <w:t>е</w:t>
      </w:r>
      <w:r w:rsidRPr="00AB4C34">
        <w:t>домственной конференции по вопросам внешней политики</w:t>
      </w:r>
      <w:r>
        <w:t>"</w:t>
      </w:r>
      <w:r w:rsidRPr="00AB4C34">
        <w:t>.</w:t>
      </w:r>
    </w:p>
    <w:p w:rsidR="00FA567F" w:rsidRPr="00AB4C34" w:rsidRDefault="00FA567F" w:rsidP="004B4B9D">
      <w:pPr>
        <w:pStyle w:val="SingleTxtGR"/>
      </w:pPr>
      <w:r w:rsidRPr="00AB4C34">
        <w:t>375.</w:t>
      </w:r>
      <w:r w:rsidRPr="00AB4C34">
        <w:tab/>
        <w:t>Была образована рабочая группа, которая уже провела ряд заседаний, но соглашения по определ</w:t>
      </w:r>
      <w:r w:rsidRPr="00AB4C34">
        <w:t>е</w:t>
      </w:r>
      <w:r w:rsidRPr="00AB4C34">
        <w:t>нию этого понятия в Бельгии пока не достигнуто.</w:t>
      </w:r>
    </w:p>
    <w:p w:rsidR="00FA567F" w:rsidRPr="00AB4C34" w:rsidRDefault="00FA567F" w:rsidP="004B4B9D">
      <w:pPr>
        <w:pStyle w:val="H23GR"/>
      </w:pPr>
      <w:r w:rsidRPr="00AB4C34">
        <w:tab/>
      </w:r>
      <w:r w:rsidRPr="00AB4C34">
        <w:tab/>
        <w:t>Пункт 20 замечаний: ответ на стр. 36</w:t>
      </w:r>
      <w:r>
        <w:t>−</w:t>
      </w:r>
      <w:r w:rsidRPr="00AB4C34">
        <w:t>38</w:t>
      </w:r>
    </w:p>
    <w:p w:rsidR="00FA567F" w:rsidRPr="00AB4C34" w:rsidRDefault="00FA567F" w:rsidP="004B4B9D">
      <w:pPr>
        <w:pStyle w:val="H23GR"/>
      </w:pPr>
      <w:r w:rsidRPr="00AB4C34">
        <w:tab/>
      </w:r>
      <w:r w:rsidRPr="00AB4C34">
        <w:tab/>
        <w:t>Пункт 21 замечаний: ответ на стр. 56</w:t>
      </w:r>
      <w:r>
        <w:t>−</w:t>
      </w:r>
      <w:r w:rsidRPr="00AB4C34">
        <w:t>60</w:t>
      </w:r>
    </w:p>
    <w:p w:rsidR="00FA567F" w:rsidRPr="00AB4C34" w:rsidRDefault="00FA567F" w:rsidP="004B4B9D">
      <w:pPr>
        <w:pStyle w:val="H23GR"/>
      </w:pPr>
      <w:r w:rsidRPr="00AB4C34">
        <w:tab/>
      </w:r>
      <w:r w:rsidRPr="00AB4C34">
        <w:tab/>
        <w:t>Пункт 22 замечаний: Бельгия уже частично ответила на эту рек</w:t>
      </w:r>
      <w:r w:rsidRPr="00AB4C34">
        <w:t>о</w:t>
      </w:r>
      <w:r w:rsidRPr="00AB4C34">
        <w:t>мендацию (C</w:t>
      </w:r>
      <w:r>
        <w:t>ERD/C/BEL/CO/15/Add.1, пункты 7−</w:t>
      </w:r>
      <w:r w:rsidRPr="00AB4C34">
        <w:t xml:space="preserve">11). </w:t>
      </w:r>
      <w:r>
        <w:t>Кроме того, ответы даны на стр. </w:t>
      </w:r>
      <w:r w:rsidRPr="00AB4C34">
        <w:t>15</w:t>
      </w:r>
      <w:r>
        <w:t>−</w:t>
      </w:r>
      <w:r w:rsidRPr="00AB4C34">
        <w:t>19, 48, 49 и 57</w:t>
      </w:r>
    </w:p>
    <w:p w:rsidR="00FA567F" w:rsidRPr="00AB4C34" w:rsidRDefault="00FA567F" w:rsidP="004B4B9D">
      <w:pPr>
        <w:pStyle w:val="SingleTxtGR"/>
      </w:pPr>
      <w:r w:rsidRPr="00AB4C34">
        <w:t>376.</w:t>
      </w:r>
      <w:r w:rsidRPr="00AB4C34">
        <w:tab/>
        <w:t>В июле 2012 года Европейский комитет по социальным правам Совета Европы сделал вывод о нарушении Бельгией ряда положений Европейской с</w:t>
      </w:r>
      <w:r w:rsidRPr="00AB4C34">
        <w:t>о</w:t>
      </w:r>
      <w:r w:rsidRPr="00AB4C34">
        <w:t xml:space="preserve">циальной хартии в отношении кочевого населения. </w:t>
      </w:r>
    </w:p>
    <w:p w:rsidR="00FA567F" w:rsidRPr="00AB4C34" w:rsidRDefault="00FA567F" w:rsidP="004B4B9D">
      <w:pPr>
        <w:pStyle w:val="SingleTxtGR"/>
      </w:pPr>
      <w:r w:rsidRPr="00AB4C34">
        <w:t>377.</w:t>
      </w:r>
      <w:r w:rsidRPr="00AB4C34">
        <w:tab/>
        <w:t xml:space="preserve">Комитет, в частности, счел, что </w:t>
      </w:r>
      <w:r>
        <w:t>"</w:t>
      </w:r>
      <w:r w:rsidRPr="00AB4C34">
        <w:t>непризнание статуса жилища за авток</w:t>
      </w:r>
      <w:r w:rsidRPr="00AB4C34">
        <w:t>а</w:t>
      </w:r>
      <w:r w:rsidRPr="00AB4C34">
        <w:t>раванами в Валлонском регионе</w:t>
      </w:r>
      <w:r>
        <w:t>"</w:t>
      </w:r>
      <w:r w:rsidRPr="00AB4C34">
        <w:t xml:space="preserve"> и, опять-таки в отношении автокараванов, </w:t>
      </w:r>
      <w:r>
        <w:t>"</w:t>
      </w:r>
      <w:r w:rsidRPr="00AB4C34">
        <w:t>наличие качественных критериев неадекватного жилища (…) во Фламандском и Брюссельском регионах</w:t>
      </w:r>
      <w:r>
        <w:t>"</w:t>
      </w:r>
      <w:r w:rsidRPr="00AB4C34">
        <w:t xml:space="preserve"> является </w:t>
      </w:r>
      <w:r>
        <w:t>"</w:t>
      </w:r>
      <w:r w:rsidRPr="00AB4C34">
        <w:t>нарушением</w:t>
      </w:r>
      <w:r>
        <w:t>"</w:t>
      </w:r>
      <w:r w:rsidRPr="00AB4C34">
        <w:t xml:space="preserve"> двух статей Социал</w:t>
      </w:r>
      <w:r w:rsidRPr="00AB4C34">
        <w:t>ь</w:t>
      </w:r>
      <w:r w:rsidRPr="00AB4C34">
        <w:t>ной хартии, которые, трактуясь в совокупности, гарантируют без какой-либо ди</w:t>
      </w:r>
      <w:r w:rsidRPr="00AB4C34">
        <w:t>с</w:t>
      </w:r>
      <w:r w:rsidRPr="00AB4C34">
        <w:t>криминации осуществление права семей на социальную и экономическую з</w:t>
      </w:r>
      <w:r w:rsidRPr="00AB4C34">
        <w:t>а</w:t>
      </w:r>
      <w:r w:rsidRPr="00AB4C34">
        <w:t>щиту. Бельгия принимает к сведению это решение и осенью 2012 года изложит Европейскому комитету по социальным правам Совета Европы свои поя</w:t>
      </w:r>
      <w:r w:rsidRPr="00AB4C34">
        <w:t>с</w:t>
      </w:r>
      <w:r w:rsidRPr="00AB4C34">
        <w:t>нения и намерения.</w:t>
      </w:r>
    </w:p>
    <w:p w:rsidR="00FA567F" w:rsidRPr="00AB4C34" w:rsidRDefault="00FA567F" w:rsidP="004B4B9D">
      <w:pPr>
        <w:pStyle w:val="H23GR"/>
      </w:pPr>
      <w:r w:rsidRPr="00AB4C34">
        <w:tab/>
      </w:r>
      <w:r w:rsidRPr="00AB4C34">
        <w:tab/>
        <w:t>Пункт 23 замечаний</w:t>
      </w:r>
    </w:p>
    <w:p w:rsidR="00FA567F" w:rsidRPr="00AB4C34" w:rsidRDefault="00FA567F" w:rsidP="004B4B9D">
      <w:pPr>
        <w:pStyle w:val="SingleTxtGR"/>
      </w:pPr>
      <w:r w:rsidRPr="00AB4C34">
        <w:t>378.</w:t>
      </w:r>
      <w:r w:rsidRPr="00AB4C34">
        <w:tab/>
        <w:t>В ходе универсального периодического обзора в мае 2011 года Бельгия согласилась рассмотреть вопрос, касающийся ее заявления о толковании к ст</w:t>
      </w:r>
      <w:r w:rsidRPr="00AB4C34">
        <w:t>а</w:t>
      </w:r>
      <w:r w:rsidRPr="00AB4C34">
        <w:t>тье 4 настоящей Конвенции. В этой связи состоялись первые консультации с соответствующими субъектами. В настоящее время в парламенте проходит о</w:t>
      </w:r>
      <w:r w:rsidRPr="00AB4C34">
        <w:t>б</w:t>
      </w:r>
      <w:r w:rsidRPr="00AB4C34">
        <w:t>суждение законодательных предложений о запрещении недемократических о</w:t>
      </w:r>
      <w:r w:rsidRPr="00AB4C34">
        <w:t>р</w:t>
      </w:r>
      <w:r w:rsidRPr="00AB4C34">
        <w:t>ганизаций (см. выше).</w:t>
      </w:r>
    </w:p>
    <w:p w:rsidR="00FA567F" w:rsidRPr="00AB4C34" w:rsidRDefault="00FA567F" w:rsidP="004B4B9D">
      <w:pPr>
        <w:pStyle w:val="H23GR"/>
      </w:pPr>
      <w:r w:rsidRPr="00AB4C34">
        <w:tab/>
      </w:r>
      <w:r w:rsidRPr="00AB4C34">
        <w:tab/>
        <w:t>Пункт 24 замечаний</w:t>
      </w:r>
    </w:p>
    <w:p w:rsidR="00FA567F" w:rsidRPr="00AB4C34" w:rsidRDefault="00FA567F" w:rsidP="004B4B9D">
      <w:pPr>
        <w:pStyle w:val="SingleTxtGR"/>
      </w:pPr>
      <w:r w:rsidRPr="00AB4C34">
        <w:t>379.</w:t>
      </w:r>
      <w:r w:rsidRPr="00AB4C34">
        <w:tab/>
        <w:t>Речь идет о технической поправке к пункту 6 статьи 8, предложенной А</w:t>
      </w:r>
      <w:r w:rsidRPr="00AB4C34">
        <w:t>в</w:t>
      </w:r>
      <w:r w:rsidRPr="00AB4C34">
        <w:t>стралией в 1992 году, к</w:t>
      </w:r>
      <w:r w:rsidRPr="00AB4C34">
        <w:t>о</w:t>
      </w:r>
      <w:r w:rsidRPr="00AB4C34">
        <w:t>торая не создает для Бельгии никаких принципиальных проблем. Тем не менее каких-либо шагов по ее ратификации пока не предпр</w:t>
      </w:r>
      <w:r w:rsidRPr="00AB4C34">
        <w:t>и</w:t>
      </w:r>
      <w:r w:rsidRPr="00AB4C34">
        <w:t>нято.</w:t>
      </w:r>
    </w:p>
    <w:p w:rsidR="00FA567F" w:rsidRPr="00AB4C34" w:rsidRDefault="00FA567F" w:rsidP="004B4B9D">
      <w:pPr>
        <w:pStyle w:val="H23GR"/>
      </w:pPr>
      <w:r>
        <w:tab/>
      </w:r>
      <w:r>
        <w:tab/>
      </w:r>
      <w:r w:rsidRPr="00AB4C34">
        <w:t>Пункт 25 замечаний: ответ на стр. 6</w:t>
      </w:r>
    </w:p>
    <w:p w:rsidR="00FA567F" w:rsidRPr="00AB4C34" w:rsidRDefault="00FA567F" w:rsidP="004B4B9D">
      <w:pPr>
        <w:pStyle w:val="H23GR"/>
      </w:pPr>
      <w:r w:rsidRPr="00AB4C34">
        <w:tab/>
      </w:r>
      <w:r w:rsidRPr="00AB4C34">
        <w:tab/>
        <w:t xml:space="preserve">Пункт 26 замечаний </w:t>
      </w:r>
    </w:p>
    <w:p w:rsidR="00FA567F" w:rsidRPr="00AB4C34" w:rsidRDefault="00FA567F" w:rsidP="004B4B9D">
      <w:pPr>
        <w:pStyle w:val="SingleTxtGR"/>
      </w:pPr>
      <w:r w:rsidRPr="00AB4C34">
        <w:t>380.</w:t>
      </w:r>
      <w:r w:rsidRPr="00AB4C34">
        <w:tab/>
        <w:t>Бельгия придает большое значение соблюдению прав мигрантов, но не может рассматривать вопрос о ратификации Международной конвенции о з</w:t>
      </w:r>
      <w:r w:rsidRPr="00AB4C34">
        <w:t>а</w:t>
      </w:r>
      <w:r w:rsidRPr="00AB4C34">
        <w:t>щите прав всех трудящихся-мигрантов и членов их семей. В самом деле, одной из ее особенностей является предоставление равных прав трудящимся-мигрантам, имеющим постоянный статус и не имеющим постоянного статуса, что отличает ее от национальных и европейских регламентирующих полож</w:t>
      </w:r>
      <w:r w:rsidRPr="00AB4C34">
        <w:t>е</w:t>
      </w:r>
      <w:r w:rsidRPr="00AB4C34">
        <w:t xml:space="preserve">ний, в которых между этими двумя категориями мигрантов проведено четкое различие. </w:t>
      </w:r>
    </w:p>
    <w:p w:rsidR="00FA567F" w:rsidRPr="00AB4C34" w:rsidRDefault="00FA567F" w:rsidP="004B4B9D">
      <w:pPr>
        <w:pStyle w:val="SingleTxtGR"/>
      </w:pPr>
      <w:r>
        <w:t>381.</w:t>
      </w:r>
      <w:r>
        <w:tab/>
        <w:t>Тем не менее</w:t>
      </w:r>
      <w:r w:rsidRPr="00AB4C34">
        <w:t xml:space="preserve"> Бельгия принимает во внимание цели этой конвенции и продолжает сотрудничать со своими европейскими партнерами в деле обесп</w:t>
      </w:r>
      <w:r w:rsidRPr="00AB4C34">
        <w:t>е</w:t>
      </w:r>
      <w:r w:rsidRPr="00AB4C34">
        <w:t>чения правовой защиты трудящихся-мигрантов в русле общеевропейской м</w:t>
      </w:r>
      <w:r w:rsidRPr="00AB4C34">
        <w:t>и</w:t>
      </w:r>
      <w:r w:rsidRPr="00AB4C34">
        <w:t>грационной политики.</w:t>
      </w:r>
    </w:p>
    <w:p w:rsidR="00FA567F" w:rsidRPr="008F2215" w:rsidRDefault="00FA567F" w:rsidP="004B4B9D">
      <w:pPr>
        <w:pStyle w:val="H23GR"/>
      </w:pPr>
      <w:r w:rsidRPr="00AB4C34">
        <w:br w:type="page"/>
      </w:r>
      <w:r w:rsidRPr="008F2215">
        <w:tab/>
      </w:r>
      <w:r>
        <w:rPr>
          <w:lang w:val="en-US"/>
        </w:rPr>
        <w:tab/>
      </w:r>
      <w:r w:rsidRPr="008F2215">
        <w:t>Список приложений</w:t>
      </w:r>
    </w:p>
    <w:tbl>
      <w:tblPr>
        <w:tblStyle w:val="TabTxt"/>
        <w:tblW w:w="8504" w:type="dxa"/>
        <w:tblInd w:w="1134" w:type="dxa"/>
        <w:tblBorders>
          <w:top w:val="none" w:sz="0" w:space="0" w:color="auto"/>
          <w:bottom w:val="none" w:sz="0" w:space="0" w:color="auto"/>
        </w:tblBorders>
        <w:tblLayout w:type="fixed"/>
        <w:tblLook w:val="01E0"/>
      </w:tblPr>
      <w:tblGrid>
        <w:gridCol w:w="1797"/>
        <w:gridCol w:w="6707"/>
      </w:tblGrid>
      <w:tr w:rsidR="00FA567F" w:rsidRPr="008F2215" w:rsidTr="00844E19">
        <w:trPr>
          <w:trHeight w:val="240"/>
        </w:trPr>
        <w:tc>
          <w:tcPr>
            <w:tcW w:w="2031" w:type="dxa"/>
          </w:tcPr>
          <w:p w:rsidR="00FA567F" w:rsidRPr="008F2215" w:rsidRDefault="00FA567F" w:rsidP="004B4B9D">
            <w:r w:rsidRPr="008F2215">
              <w:t>Приложение I</w:t>
            </w:r>
          </w:p>
        </w:tc>
        <w:tc>
          <w:tcPr>
            <w:cnfStyle w:val="000100000000"/>
            <w:tcW w:w="76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A567F" w:rsidRPr="008F2215" w:rsidRDefault="00FA567F" w:rsidP="004B4B9D">
            <w:r w:rsidRPr="008F2215">
              <w:t>Отчетный доклад за 2011 год – Сотрудничество между Центром по обеспечению равных возможностей и борьбе с расизмом и федеральной полицией www.diversite.be/?action=publicatie_detail&amp;id=145&amp;thema=</w:t>
            </w:r>
            <w:r w:rsidR="006201CD">
              <w:t xml:space="preserve"> </w:t>
            </w:r>
            <w:r w:rsidRPr="008F2215">
              <w:t>2&amp;select_page=216</w:t>
            </w:r>
          </w:p>
        </w:tc>
      </w:tr>
      <w:tr w:rsidR="00FA567F" w:rsidRPr="008F2215" w:rsidTr="00844E19">
        <w:trPr>
          <w:trHeight w:val="240"/>
        </w:trPr>
        <w:tc>
          <w:tcPr>
            <w:tcW w:w="2031" w:type="dxa"/>
          </w:tcPr>
          <w:p w:rsidR="00FA567F" w:rsidRPr="008F2215" w:rsidRDefault="00FA567F" w:rsidP="004B4B9D">
            <w:r w:rsidRPr="008F2215">
              <w:t>Приложение II</w:t>
            </w:r>
          </w:p>
        </w:tc>
        <w:tc>
          <w:tcPr>
            <w:cnfStyle w:val="000100000000"/>
            <w:tcW w:w="7606" w:type="dxa"/>
            <w:tcBorders>
              <w:left w:val="none" w:sz="0" w:space="0" w:color="auto"/>
              <w:bottom w:val="none" w:sz="0" w:space="0" w:color="auto"/>
              <w:right w:val="none" w:sz="0" w:space="0" w:color="auto"/>
              <w:tl2br w:val="none" w:sz="0" w:space="0" w:color="auto"/>
              <w:tr2bl w:val="none" w:sz="0" w:space="0" w:color="auto"/>
            </w:tcBorders>
          </w:tcPr>
          <w:p w:rsidR="00FA567F" w:rsidRPr="008F2215" w:rsidRDefault="00FA567F" w:rsidP="004B4B9D">
            <w:r w:rsidRPr="008F2215">
              <w:t xml:space="preserve">Просветительские мероприятия, не упомянутые в докладе </w:t>
            </w:r>
          </w:p>
        </w:tc>
      </w:tr>
      <w:tr w:rsidR="00FA567F" w:rsidRPr="008F2215" w:rsidTr="00844E19">
        <w:trPr>
          <w:trHeight w:val="240"/>
        </w:trPr>
        <w:tc>
          <w:tcPr>
            <w:tcW w:w="2031" w:type="dxa"/>
          </w:tcPr>
          <w:p w:rsidR="00FA567F" w:rsidRPr="008F2215" w:rsidRDefault="00FA567F" w:rsidP="004B4B9D">
            <w:r w:rsidRPr="008F2215">
              <w:t>Приложение III</w:t>
            </w:r>
          </w:p>
        </w:tc>
        <w:tc>
          <w:tcPr>
            <w:cnfStyle w:val="000100000000"/>
            <w:tcW w:w="7606" w:type="dxa"/>
            <w:tcBorders>
              <w:left w:val="none" w:sz="0" w:space="0" w:color="auto"/>
              <w:bottom w:val="none" w:sz="0" w:space="0" w:color="auto"/>
              <w:right w:val="none" w:sz="0" w:space="0" w:color="auto"/>
              <w:tl2br w:val="none" w:sz="0" w:space="0" w:color="auto"/>
              <w:tr2bl w:val="none" w:sz="0" w:space="0" w:color="auto"/>
            </w:tcBorders>
          </w:tcPr>
          <w:p w:rsidR="00FA567F" w:rsidRPr="008F2215" w:rsidRDefault="00FA567F" w:rsidP="004B4B9D">
            <w:r w:rsidRPr="008F2215">
              <w:t>Национальная стратегия интеграции лиц народности рома ec.europa.eu/justice/discrimination/roma/national-strategies/index_fr.htm</w:t>
            </w:r>
          </w:p>
        </w:tc>
      </w:tr>
      <w:tr w:rsidR="00FA567F" w:rsidRPr="008F2215" w:rsidTr="00844E19">
        <w:trPr>
          <w:trHeight w:val="240"/>
        </w:trPr>
        <w:tc>
          <w:tcPr>
            <w:tcW w:w="2031" w:type="dxa"/>
          </w:tcPr>
          <w:p w:rsidR="00FA567F" w:rsidRPr="008F2215" w:rsidRDefault="00FA567F" w:rsidP="004B4B9D">
            <w:r w:rsidRPr="008F2215">
              <w:t>Приложение IV</w:t>
            </w:r>
          </w:p>
        </w:tc>
        <w:tc>
          <w:tcPr>
            <w:cnfStyle w:val="000100000000"/>
            <w:tcW w:w="7606" w:type="dxa"/>
            <w:tcBorders>
              <w:left w:val="none" w:sz="0" w:space="0" w:color="auto"/>
              <w:bottom w:val="none" w:sz="0" w:space="0" w:color="auto"/>
              <w:right w:val="none" w:sz="0" w:space="0" w:color="auto"/>
              <w:tl2br w:val="none" w:sz="0" w:space="0" w:color="auto"/>
              <w:tr2bl w:val="none" w:sz="0" w:space="0" w:color="auto"/>
            </w:tcBorders>
          </w:tcPr>
          <w:p w:rsidR="00FA567F" w:rsidRPr="008F2215" w:rsidRDefault="00FA567F" w:rsidP="004B4B9D">
            <w:r w:rsidRPr="008F2215">
              <w:t>Руководство по организации временного пребывания кочевого насел</w:t>
            </w:r>
            <w:r w:rsidRPr="008F2215">
              <w:t>е</w:t>
            </w:r>
            <w:r w:rsidRPr="008F2215">
              <w:t>ния www.diversite.be/?action=publicatie_detail&amp;id=132&amp;thema=4</w:t>
            </w:r>
          </w:p>
        </w:tc>
      </w:tr>
      <w:tr w:rsidR="00FA567F" w:rsidRPr="008F2215" w:rsidTr="00844E19">
        <w:trPr>
          <w:trHeight w:val="240"/>
        </w:trPr>
        <w:tc>
          <w:tcPr>
            <w:tcW w:w="2031" w:type="dxa"/>
          </w:tcPr>
          <w:p w:rsidR="00FA567F" w:rsidRPr="008F2215" w:rsidRDefault="00FA567F" w:rsidP="004B4B9D">
            <w:r w:rsidRPr="008F2215">
              <w:t>Приложение V</w:t>
            </w:r>
          </w:p>
        </w:tc>
        <w:tc>
          <w:tcPr>
            <w:cnfStyle w:val="000100000000"/>
            <w:tcW w:w="7606" w:type="dxa"/>
            <w:tcBorders>
              <w:left w:val="none" w:sz="0" w:space="0" w:color="auto"/>
              <w:bottom w:val="none" w:sz="0" w:space="0" w:color="auto"/>
              <w:right w:val="none" w:sz="0" w:space="0" w:color="auto"/>
              <w:tl2br w:val="none" w:sz="0" w:space="0" w:color="auto"/>
              <w:tr2bl w:val="none" w:sz="0" w:space="0" w:color="auto"/>
            </w:tcBorders>
          </w:tcPr>
          <w:p w:rsidR="00FA567F" w:rsidRPr="008F2215" w:rsidRDefault="00FA567F" w:rsidP="004B4B9D">
            <w:r w:rsidRPr="008F2215">
              <w:t>Ориентировочная записка о системе приема в Валлонии – Доклад об интеграц</w:t>
            </w:r>
            <w:r w:rsidRPr="008F2215">
              <w:t>и</w:t>
            </w:r>
            <w:r w:rsidRPr="008F2215">
              <w:t>онной политике Валлонии за 2011 год</w:t>
            </w:r>
          </w:p>
        </w:tc>
      </w:tr>
      <w:tr w:rsidR="00FA567F" w:rsidRPr="008F2215" w:rsidTr="00844E19">
        <w:trPr>
          <w:trHeight w:val="240"/>
        </w:trPr>
        <w:tc>
          <w:tcPr>
            <w:tcW w:w="2031" w:type="dxa"/>
          </w:tcPr>
          <w:p w:rsidR="00FA567F" w:rsidRPr="008F2215" w:rsidRDefault="00FA567F" w:rsidP="004B4B9D">
            <w:r w:rsidRPr="008F2215">
              <w:t>Приложение VI</w:t>
            </w:r>
          </w:p>
        </w:tc>
        <w:tc>
          <w:tcPr>
            <w:cnfStyle w:val="000100000000"/>
            <w:tcW w:w="7606" w:type="dxa"/>
            <w:tcBorders>
              <w:left w:val="none" w:sz="0" w:space="0" w:color="auto"/>
              <w:bottom w:val="none" w:sz="0" w:space="0" w:color="auto"/>
              <w:right w:val="none" w:sz="0" w:space="0" w:color="auto"/>
              <w:tl2br w:val="none" w:sz="0" w:space="0" w:color="auto"/>
              <w:tr2bl w:val="none" w:sz="0" w:space="0" w:color="auto"/>
            </w:tcBorders>
          </w:tcPr>
          <w:p w:rsidR="00FA567F" w:rsidRPr="008F2215" w:rsidRDefault="00FA567F" w:rsidP="004B4B9D">
            <w:r w:rsidRPr="008F2215">
              <w:t>Брошюра о проблеме ненависти в Интернете ("киберненависти"), и</w:t>
            </w:r>
            <w:r w:rsidRPr="008F2215">
              <w:t>з</w:t>
            </w:r>
            <w:r w:rsidRPr="008F2215">
              <w:t>данная Центром по обеспечению равных возможностей и борьбе с р</w:t>
            </w:r>
            <w:r w:rsidRPr="008F2215">
              <w:t>а</w:t>
            </w:r>
            <w:r w:rsidRPr="008F2215">
              <w:t>сизмом www.diversite.be/?action=publicatie_detail&amp;id=110&amp;thema=3</w:t>
            </w:r>
          </w:p>
        </w:tc>
      </w:tr>
      <w:tr w:rsidR="00FA567F" w:rsidRPr="008F2215" w:rsidTr="00844E19">
        <w:trPr>
          <w:trHeight w:val="240"/>
        </w:trPr>
        <w:tc>
          <w:tcPr>
            <w:tcW w:w="2031" w:type="dxa"/>
          </w:tcPr>
          <w:p w:rsidR="00FA567F" w:rsidRPr="008F2215" w:rsidRDefault="00FA567F" w:rsidP="004B4B9D">
            <w:r w:rsidRPr="008F2215">
              <w:t>Приложение VII</w:t>
            </w:r>
          </w:p>
        </w:tc>
        <w:tc>
          <w:tcPr>
            <w:cnfStyle w:val="000100000000"/>
            <w:tcW w:w="7606" w:type="dxa"/>
            <w:tcBorders>
              <w:left w:val="none" w:sz="0" w:space="0" w:color="auto"/>
              <w:bottom w:val="none" w:sz="0" w:space="0" w:color="auto"/>
              <w:right w:val="none" w:sz="0" w:space="0" w:color="auto"/>
              <w:tl2br w:val="none" w:sz="0" w:space="0" w:color="auto"/>
              <w:tr2bl w:val="none" w:sz="0" w:space="0" w:color="auto"/>
            </w:tcBorders>
          </w:tcPr>
          <w:p w:rsidR="00FA567F" w:rsidRPr="008F2215" w:rsidRDefault="00FA567F" w:rsidP="004B4B9D">
            <w:r w:rsidRPr="008F2215">
              <w:t>Статистические данные Центра по обеспечению равных возможностей и борьбе с расизмом</w:t>
            </w:r>
          </w:p>
        </w:tc>
      </w:tr>
      <w:tr w:rsidR="00FA567F" w:rsidRPr="008F2215" w:rsidTr="00844E19">
        <w:trPr>
          <w:trHeight w:val="240"/>
        </w:trPr>
        <w:tc>
          <w:tcPr>
            <w:tcW w:w="2031" w:type="dxa"/>
          </w:tcPr>
          <w:p w:rsidR="00FA567F" w:rsidRPr="008F2215" w:rsidRDefault="00FA567F" w:rsidP="004B4B9D">
            <w:r w:rsidRPr="008F2215">
              <w:t>Приложение VIII</w:t>
            </w:r>
          </w:p>
        </w:tc>
        <w:tc>
          <w:tcPr>
            <w:cnfStyle w:val="000100000000"/>
            <w:tcW w:w="7606" w:type="dxa"/>
            <w:tcBorders>
              <w:left w:val="none" w:sz="0" w:space="0" w:color="auto"/>
              <w:bottom w:val="none" w:sz="0" w:space="0" w:color="auto"/>
              <w:right w:val="none" w:sz="0" w:space="0" w:color="auto"/>
              <w:tl2br w:val="none" w:sz="0" w:space="0" w:color="auto"/>
              <w:tr2bl w:val="none" w:sz="0" w:space="0" w:color="auto"/>
            </w:tcBorders>
          </w:tcPr>
          <w:p w:rsidR="00FA567F" w:rsidRPr="008F2215" w:rsidRDefault="00FA567F" w:rsidP="004B4B9D">
            <w:r w:rsidRPr="008F2215">
              <w:t>Годовой доклад "Дискриминация−2008" Центра по обеспечению равных возмо</w:t>
            </w:r>
            <w:r w:rsidRPr="008F2215">
              <w:t>ж</w:t>
            </w:r>
            <w:r w:rsidRPr="008F2215">
              <w:t>ностей и борьбе с расизмом (определение исламофобии)</w:t>
            </w:r>
            <w:r w:rsidRPr="008F2215">
              <w:br/>
              <w:t>www.diversite.be/?action=publicatie_detail&amp;id=106&amp;thema=2</w:t>
            </w:r>
          </w:p>
        </w:tc>
      </w:tr>
      <w:tr w:rsidR="00FA567F" w:rsidRPr="008F2215" w:rsidTr="00844E19">
        <w:trPr>
          <w:trHeight w:val="240"/>
        </w:trPr>
        <w:tc>
          <w:tcPr>
            <w:tcW w:w="2031" w:type="dxa"/>
          </w:tcPr>
          <w:p w:rsidR="00FA567F" w:rsidRPr="008F2215" w:rsidRDefault="00FA567F" w:rsidP="004B4B9D">
            <w:r w:rsidRPr="008F2215">
              <w:t>Приложение IX</w:t>
            </w:r>
          </w:p>
        </w:tc>
        <w:tc>
          <w:tcPr>
            <w:cnfStyle w:val="000100000000"/>
            <w:tcW w:w="7606" w:type="dxa"/>
            <w:tcBorders>
              <w:left w:val="none" w:sz="0" w:space="0" w:color="auto"/>
              <w:bottom w:val="none" w:sz="0" w:space="0" w:color="auto"/>
              <w:right w:val="none" w:sz="0" w:space="0" w:color="auto"/>
              <w:tl2br w:val="none" w:sz="0" w:space="0" w:color="auto"/>
              <w:tr2bl w:val="none" w:sz="0" w:space="0" w:color="auto"/>
            </w:tcBorders>
          </w:tcPr>
          <w:p w:rsidR="00FA567F" w:rsidRPr="008F2215" w:rsidRDefault="00FA567F" w:rsidP="004B4B9D">
            <w:r w:rsidRPr="008F2215">
              <w:t>Годовой доклад Центра по обеспечению равных возможностей и борьбе с раси</w:t>
            </w:r>
            <w:r w:rsidRPr="008F2215">
              <w:t>з</w:t>
            </w:r>
            <w:r w:rsidRPr="008F2215">
              <w:t>мом в области борьбы с торговлей людьми за 2010 год</w:t>
            </w:r>
            <w:r w:rsidRPr="008F2215">
              <w:br/>
              <w:t>www.diversite.be/?action=publicatie_detail&amp;id=135&amp;thema=5&amp;select_page=216</w:t>
            </w:r>
          </w:p>
        </w:tc>
      </w:tr>
      <w:tr w:rsidR="00FA567F" w:rsidRPr="008F2215" w:rsidTr="00844E19">
        <w:trPr>
          <w:trHeight w:val="240"/>
        </w:trPr>
        <w:tc>
          <w:tcPr>
            <w:tcW w:w="2031" w:type="dxa"/>
          </w:tcPr>
          <w:p w:rsidR="00FA567F" w:rsidRPr="008F2215" w:rsidRDefault="00FA567F" w:rsidP="004B4B9D">
            <w:r w:rsidRPr="008F2215">
              <w:t>Приложение X</w:t>
            </w:r>
          </w:p>
        </w:tc>
        <w:tc>
          <w:tcPr>
            <w:cnfStyle w:val="000100000000"/>
            <w:tcW w:w="7606" w:type="dxa"/>
            <w:tcBorders>
              <w:left w:val="none" w:sz="0" w:space="0" w:color="auto"/>
              <w:bottom w:val="none" w:sz="0" w:space="0" w:color="auto"/>
              <w:right w:val="none" w:sz="0" w:space="0" w:color="auto"/>
              <w:tl2br w:val="none" w:sz="0" w:space="0" w:color="auto"/>
              <w:tr2bl w:val="none" w:sz="0" w:space="0" w:color="auto"/>
            </w:tcBorders>
          </w:tcPr>
          <w:p w:rsidR="00FA567F" w:rsidRPr="008F2215" w:rsidRDefault="00FA567F" w:rsidP="004B4B9D">
            <w:r w:rsidRPr="008F2215">
              <w:t>Статистические данные Коллегии генеральных прокуроров в области борьбы с торговлей людьми за период 2010−2011 годов</w:t>
            </w:r>
          </w:p>
        </w:tc>
      </w:tr>
      <w:tr w:rsidR="00FA567F" w:rsidRPr="008F2215" w:rsidTr="00844E19">
        <w:trPr>
          <w:trHeight w:val="240"/>
        </w:trPr>
        <w:tc>
          <w:tcPr>
            <w:tcW w:w="2031" w:type="dxa"/>
          </w:tcPr>
          <w:p w:rsidR="00FA567F" w:rsidRPr="008F2215" w:rsidRDefault="00FA567F" w:rsidP="004B4B9D">
            <w:r w:rsidRPr="008F2215">
              <w:t>Приложение XI</w:t>
            </w:r>
          </w:p>
        </w:tc>
        <w:tc>
          <w:tcPr>
            <w:cnfStyle w:val="000100000000"/>
            <w:tcW w:w="7606" w:type="dxa"/>
            <w:tcBorders>
              <w:left w:val="none" w:sz="0" w:space="0" w:color="auto"/>
              <w:bottom w:val="none" w:sz="0" w:space="0" w:color="auto"/>
              <w:right w:val="none" w:sz="0" w:space="0" w:color="auto"/>
              <w:tl2br w:val="none" w:sz="0" w:space="0" w:color="auto"/>
              <w:tr2bl w:val="none" w:sz="0" w:space="0" w:color="auto"/>
            </w:tcBorders>
          </w:tcPr>
          <w:p w:rsidR="00FA567F" w:rsidRPr="008F2215" w:rsidRDefault="00FA567F" w:rsidP="004B4B9D">
            <w:r w:rsidRPr="008F2215">
              <w:t>Дополнительная информация, представленная Службой уголовной п</w:t>
            </w:r>
            <w:r w:rsidRPr="008F2215">
              <w:t>о</w:t>
            </w:r>
            <w:r w:rsidRPr="008F2215">
              <w:t>литики в области борьбы с торговлей людьми</w:t>
            </w:r>
          </w:p>
        </w:tc>
      </w:tr>
      <w:tr w:rsidR="00FA567F" w:rsidRPr="008F2215" w:rsidTr="00844E19">
        <w:trPr>
          <w:trHeight w:val="240"/>
        </w:trPr>
        <w:tc>
          <w:tcPr>
            <w:tcW w:w="2031" w:type="dxa"/>
          </w:tcPr>
          <w:p w:rsidR="00FA567F" w:rsidRPr="008F2215" w:rsidRDefault="00FA567F" w:rsidP="004B4B9D">
            <w:r w:rsidRPr="008F2215">
              <w:t>Приложение XII</w:t>
            </w:r>
          </w:p>
        </w:tc>
        <w:tc>
          <w:tcPr>
            <w:cnfStyle w:val="000100000000"/>
            <w:tcW w:w="7606" w:type="dxa"/>
            <w:tcBorders>
              <w:left w:val="none" w:sz="0" w:space="0" w:color="auto"/>
              <w:bottom w:val="none" w:sz="0" w:space="0" w:color="auto"/>
              <w:right w:val="none" w:sz="0" w:space="0" w:color="auto"/>
              <w:tl2br w:val="none" w:sz="0" w:space="0" w:color="auto"/>
              <w:tr2bl w:val="none" w:sz="0" w:space="0" w:color="auto"/>
            </w:tcBorders>
          </w:tcPr>
          <w:p w:rsidR="00FA567F" w:rsidRPr="008F2215" w:rsidRDefault="00FA567F" w:rsidP="004B4B9D">
            <w:r w:rsidRPr="008F2215">
              <w:t>Показатели "Барометра разнообразия": занятость в 2012 году. Полное собрание материалов исследования размещено на сайте</w:t>
            </w:r>
            <w:r w:rsidRPr="008F2215">
              <w:br/>
              <w:t>www.diversiteit.be/?action=onderdeel&amp;onderdeel=293&amp;titel=Cijfers+ Arbeid+en+Tewerkstelling&amp;setLanguage=2</w:t>
            </w:r>
          </w:p>
        </w:tc>
      </w:tr>
      <w:tr w:rsidR="00FA567F" w:rsidRPr="008F2215" w:rsidTr="00844E19">
        <w:trPr>
          <w:trHeight w:val="240"/>
        </w:trPr>
        <w:tc>
          <w:tcPr>
            <w:tcW w:w="2031" w:type="dxa"/>
          </w:tcPr>
          <w:p w:rsidR="00FA567F" w:rsidRPr="008F2215" w:rsidRDefault="00FA567F" w:rsidP="004B4B9D">
            <w:r w:rsidRPr="008F2215">
              <w:t>Приложение XIII</w:t>
            </w:r>
          </w:p>
        </w:tc>
        <w:tc>
          <w:tcPr>
            <w:cnfStyle w:val="000100000000"/>
            <w:tcW w:w="7606" w:type="dxa"/>
            <w:tcBorders>
              <w:left w:val="none" w:sz="0" w:space="0" w:color="auto"/>
              <w:bottom w:val="none" w:sz="0" w:space="0" w:color="auto"/>
              <w:right w:val="none" w:sz="0" w:space="0" w:color="auto"/>
              <w:tl2br w:val="none" w:sz="0" w:space="0" w:color="auto"/>
              <w:tr2bl w:val="none" w:sz="0" w:space="0" w:color="auto"/>
            </w:tcBorders>
          </w:tcPr>
          <w:p w:rsidR="00FA567F" w:rsidRPr="008F2215" w:rsidRDefault="00FA567F" w:rsidP="004B4B9D">
            <w:r w:rsidRPr="008F2215">
              <w:t>COL 6/2006 о регистрации проявлений расизма и ксенофобии</w:t>
            </w:r>
          </w:p>
        </w:tc>
      </w:tr>
      <w:tr w:rsidR="00FA567F" w:rsidRPr="008F2215" w:rsidTr="00844E19">
        <w:trPr>
          <w:trHeight w:val="240"/>
        </w:trPr>
        <w:tc>
          <w:tcPr>
            <w:tcW w:w="2031" w:type="dxa"/>
          </w:tcPr>
          <w:p w:rsidR="00FA567F" w:rsidRPr="008F2215" w:rsidRDefault="00FA567F" w:rsidP="004B4B9D">
            <w:r w:rsidRPr="008F2215">
              <w:t>Приложение XIV</w:t>
            </w:r>
          </w:p>
        </w:tc>
        <w:tc>
          <w:tcPr>
            <w:cnfStyle w:val="000100000000"/>
            <w:tcW w:w="7606" w:type="dxa"/>
            <w:tcBorders>
              <w:left w:val="none" w:sz="0" w:space="0" w:color="auto"/>
              <w:bottom w:val="none" w:sz="0" w:space="0" w:color="auto"/>
              <w:right w:val="none" w:sz="0" w:space="0" w:color="auto"/>
              <w:tl2br w:val="none" w:sz="0" w:space="0" w:color="auto"/>
              <w:tr2bl w:val="none" w:sz="0" w:space="0" w:color="auto"/>
            </w:tcBorders>
          </w:tcPr>
          <w:p w:rsidR="00FA567F" w:rsidRPr="008F2215" w:rsidRDefault="00FA567F" w:rsidP="004B4B9D">
            <w:r w:rsidRPr="008F2215">
              <w:t>Статистические данные Коллегии генеральных прокуроров в области расизма и ксенофобии за период 2006−2012 годов</w:t>
            </w:r>
          </w:p>
        </w:tc>
      </w:tr>
      <w:tr w:rsidR="00FA567F" w:rsidRPr="008F2215" w:rsidTr="00844E19">
        <w:trPr>
          <w:trHeight w:val="240"/>
        </w:trPr>
        <w:tc>
          <w:tcPr>
            <w:tcW w:w="2031" w:type="dxa"/>
          </w:tcPr>
          <w:p w:rsidR="00FA567F" w:rsidRPr="008F2215" w:rsidRDefault="00FA567F" w:rsidP="004B4B9D">
            <w:r w:rsidRPr="008F2215">
              <w:t>Приложение XV</w:t>
            </w:r>
          </w:p>
        </w:tc>
        <w:tc>
          <w:tcPr>
            <w:cnfStyle w:val="000100000000"/>
            <w:tcW w:w="7606" w:type="dxa"/>
            <w:tcBorders>
              <w:left w:val="none" w:sz="0" w:space="0" w:color="auto"/>
              <w:bottom w:val="none" w:sz="0" w:space="0" w:color="auto"/>
              <w:right w:val="none" w:sz="0" w:space="0" w:color="auto"/>
              <w:tl2br w:val="none" w:sz="0" w:space="0" w:color="auto"/>
              <w:tr2bl w:val="none" w:sz="0" w:space="0" w:color="auto"/>
            </w:tcBorders>
          </w:tcPr>
          <w:p w:rsidR="00FA567F" w:rsidRDefault="00FA567F" w:rsidP="004B4B9D">
            <w:pPr>
              <w:rPr>
                <w:lang w:val="en-US"/>
              </w:rPr>
            </w:pPr>
            <w:r w:rsidRPr="008F2215">
              <w:t>Годовой доклад "Дискриминация−2011" Центра по обеспечению равных возмо</w:t>
            </w:r>
            <w:r w:rsidRPr="008F2215">
              <w:t>ж</w:t>
            </w:r>
            <w:r w:rsidRPr="008F2215">
              <w:t>ностей и борьбе с расизмом www.diversite.be/?action=publicatie_detail&amp;id=147&amp;thema=2</w:t>
            </w:r>
          </w:p>
          <w:p w:rsidR="00FA567F" w:rsidRPr="008F2215" w:rsidRDefault="00FA567F" w:rsidP="004B4B9D">
            <w:pPr>
              <w:rPr>
                <w:lang w:val="en-US"/>
              </w:rPr>
            </w:pPr>
          </w:p>
        </w:tc>
      </w:tr>
      <w:tr w:rsidR="00FA567F" w:rsidRPr="008F2215" w:rsidTr="00844E19">
        <w:trPr>
          <w:trHeight w:val="240"/>
        </w:trPr>
        <w:tc>
          <w:tcPr>
            <w:tcW w:w="2031" w:type="dxa"/>
          </w:tcPr>
          <w:p w:rsidR="00FA567F" w:rsidRPr="008F2215" w:rsidRDefault="00FA567F" w:rsidP="003B3600">
            <w:pPr>
              <w:pageBreakBefore/>
            </w:pPr>
            <w:r w:rsidRPr="008F2215">
              <w:t>Приложение XVI</w:t>
            </w:r>
          </w:p>
        </w:tc>
        <w:tc>
          <w:tcPr>
            <w:cnfStyle w:val="000100000000"/>
            <w:tcW w:w="7606" w:type="dxa"/>
            <w:tcBorders>
              <w:left w:val="none" w:sz="0" w:space="0" w:color="auto"/>
              <w:bottom w:val="none" w:sz="0" w:space="0" w:color="auto"/>
              <w:right w:val="none" w:sz="0" w:space="0" w:color="auto"/>
              <w:tl2br w:val="none" w:sz="0" w:space="0" w:color="auto"/>
              <w:tr2bl w:val="none" w:sz="0" w:space="0" w:color="auto"/>
            </w:tcBorders>
          </w:tcPr>
          <w:p w:rsidR="00FA567F" w:rsidRPr="008F2215" w:rsidRDefault="00FA567F" w:rsidP="004B4B9D">
            <w:r w:rsidRPr="008F2215">
              <w:t>Коммюнике министра внутренних дел и равенства возможностей о пр</w:t>
            </w:r>
            <w:r w:rsidRPr="008F2215">
              <w:t>и</w:t>
            </w:r>
            <w:r w:rsidRPr="008F2215">
              <w:t>дании Центру по обеспечению равных возможностей и борьбе с раси</w:t>
            </w:r>
            <w:r w:rsidRPr="008F2215">
              <w:t>з</w:t>
            </w:r>
            <w:r w:rsidRPr="008F2215">
              <w:t>мом межфед</w:t>
            </w:r>
            <w:r w:rsidRPr="008F2215">
              <w:t>е</w:t>
            </w:r>
            <w:r w:rsidRPr="008F2215">
              <w:t>рального статуса www.milquet.belgium.be/fr/inтерf%C3%</w:t>
            </w:r>
            <w:r w:rsidR="003B3600">
              <w:t xml:space="preserve"> </w:t>
            </w:r>
            <w:r w:rsidRPr="008F2215">
              <w:t>A9d%C3%A9ralisation-du-centre-pour-l%E2%80%99%C3%A9galit%C3%</w:t>
            </w:r>
            <w:r w:rsidR="003B3600">
              <w:t xml:space="preserve"> </w:t>
            </w:r>
            <w:r w:rsidRPr="008F2215">
              <w:t>A9-des-chances-et-la-lutte-contre-le-racisme-ainsi-que</w:t>
            </w:r>
          </w:p>
        </w:tc>
      </w:tr>
    </w:tbl>
    <w:p w:rsidR="00FA567F" w:rsidRPr="00DF7E1C" w:rsidRDefault="00FA567F" w:rsidP="004B4B9D">
      <w:pPr>
        <w:spacing w:before="240"/>
        <w:jc w:val="center"/>
        <w:rPr>
          <w:u w:val="single"/>
        </w:rPr>
      </w:pPr>
      <w:r>
        <w:rPr>
          <w:u w:val="single"/>
        </w:rPr>
        <w:tab/>
      </w:r>
      <w:r>
        <w:rPr>
          <w:u w:val="single"/>
        </w:rPr>
        <w:tab/>
      </w:r>
      <w:r>
        <w:rPr>
          <w:u w:val="single"/>
        </w:rPr>
        <w:tab/>
      </w:r>
    </w:p>
    <w:p w:rsidR="00FA567F" w:rsidRPr="00635870" w:rsidRDefault="00FA567F" w:rsidP="002B43B0"/>
    <w:sectPr w:rsidR="00FA567F" w:rsidRPr="00635870" w:rsidSect="007511D7">
      <w:headerReference w:type="even" r:id="rId11"/>
      <w:headerReference w:type="default" r:id="rId12"/>
      <w:footerReference w:type="even" r:id="rId13"/>
      <w:footerReference w:type="default" r:id="rId14"/>
      <w:footerReference w:type="first" r:id="rId15"/>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957" w:rsidRDefault="00BA4957">
      <w:r>
        <w:rPr>
          <w:lang w:val="en-US"/>
        </w:rPr>
        <w:tab/>
      </w:r>
      <w:r>
        <w:separator/>
      </w:r>
    </w:p>
  </w:endnote>
  <w:endnote w:type="continuationSeparator" w:id="0">
    <w:p w:rsidR="00BA4957" w:rsidRDefault="00BA4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D7" w:rsidRPr="009A6F4A" w:rsidRDefault="00460BD7">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9F12D6">
      <w:rPr>
        <w:rStyle w:val="PageNumber"/>
        <w:noProof/>
      </w:rPr>
      <w:t>82</w:t>
    </w:r>
    <w:r>
      <w:rPr>
        <w:rStyle w:val="PageNumber"/>
      </w:rPr>
      <w:fldChar w:fldCharType="end"/>
    </w:r>
    <w:r>
      <w:rPr>
        <w:lang w:val="en-US"/>
      </w:rPr>
      <w:tab/>
      <w:t>GE.</w:t>
    </w:r>
    <w:r w:rsidRPr="008C6E84">
      <w:rPr>
        <w:lang w:val="en-US"/>
      </w:rPr>
      <w:t>13-44078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D7" w:rsidRPr="009A6F4A" w:rsidRDefault="00460BD7">
    <w:pPr>
      <w:pStyle w:val="Footer"/>
      <w:rPr>
        <w:lang w:val="en-US"/>
      </w:rPr>
    </w:pPr>
    <w:r>
      <w:rPr>
        <w:lang w:val="en-US"/>
      </w:rPr>
      <w:t>GE.</w:t>
    </w:r>
    <w:r w:rsidRPr="008C6E84">
      <w:rPr>
        <w:lang w:val="en-US"/>
      </w:rPr>
      <w:t>13-44078</w:t>
    </w:r>
    <w:r>
      <w:rPr>
        <w:lang w:val="en-US"/>
      </w:rPr>
      <w:tab/>
    </w:r>
    <w:r>
      <w:rPr>
        <w:rStyle w:val="PageNumber"/>
      </w:rPr>
      <w:fldChar w:fldCharType="begin"/>
    </w:r>
    <w:r>
      <w:rPr>
        <w:rStyle w:val="PageNumber"/>
      </w:rPr>
      <w:instrText xml:space="preserve"> PAGE </w:instrText>
    </w:r>
    <w:r>
      <w:rPr>
        <w:rStyle w:val="PageNumber"/>
      </w:rPr>
      <w:fldChar w:fldCharType="separate"/>
    </w:r>
    <w:r w:rsidR="009F12D6">
      <w:rPr>
        <w:rStyle w:val="PageNumber"/>
        <w:noProof/>
      </w:rPr>
      <w:t>81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D7" w:rsidRPr="009A6F4A" w:rsidRDefault="00460BD7">
    <w:pPr>
      <w:pStyle w:val="Footer"/>
      <w:rPr>
        <w:sz w:val="20"/>
        <w:lang w:val="en-US"/>
      </w:rPr>
    </w:pPr>
    <w:r>
      <w:rPr>
        <w:sz w:val="20"/>
        <w:lang w:val="en-US"/>
      </w:rPr>
      <w:t xml:space="preserve">GE.13-44078  (R)  </w:t>
    </w:r>
    <w:r>
      <w:rPr>
        <w:sz w:val="20"/>
        <w:lang w:val="ru-RU"/>
      </w:rPr>
      <w:t xml:space="preserve"> 300813   160813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957" w:rsidRPr="00F71F63" w:rsidRDefault="00BA4957"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BA4957" w:rsidRPr="00F71F63" w:rsidRDefault="00BA4957" w:rsidP="00635E86">
      <w:pPr>
        <w:tabs>
          <w:tab w:val="right" w:pos="2155"/>
        </w:tabs>
        <w:spacing w:after="80" w:line="240" w:lineRule="auto"/>
        <w:rPr>
          <w:u w:val="single"/>
          <w:lang w:val="en-US"/>
        </w:rPr>
      </w:pPr>
      <w:r w:rsidRPr="00F71F63">
        <w:rPr>
          <w:u w:val="single"/>
          <w:lang w:val="en-US"/>
        </w:rPr>
        <w:tab/>
      </w:r>
    </w:p>
    <w:p w:rsidR="00BA4957" w:rsidRPr="00635E86" w:rsidRDefault="00BA4957" w:rsidP="00635E86">
      <w:pPr>
        <w:pStyle w:val="Footer"/>
      </w:pPr>
    </w:p>
  </w:footnote>
  <w:footnote w:id="1">
    <w:p w:rsidR="00460BD7" w:rsidRPr="002B03D2" w:rsidRDefault="00460BD7" w:rsidP="002B03D2">
      <w:pPr>
        <w:pStyle w:val="FootnoteText"/>
        <w:rPr>
          <w:lang w:val="ru-RU"/>
        </w:rPr>
      </w:pPr>
      <w:r w:rsidRPr="002B03D2">
        <w:rPr>
          <w:rStyle w:val="FootnoteReference"/>
          <w:lang w:val="ru-RU"/>
        </w:rPr>
        <w:tab/>
      </w:r>
      <w:r w:rsidRPr="006A12E3">
        <w:rPr>
          <w:rStyle w:val="FootnoteReference"/>
          <w:vertAlign w:val="baseline"/>
          <w:lang w:val="ru-RU"/>
        </w:rPr>
        <w:t>*</w:t>
      </w:r>
      <w:r w:rsidRPr="002B03D2">
        <w:rPr>
          <w:lang w:val="ru-RU"/>
        </w:rPr>
        <w:tab/>
      </w:r>
      <w:r w:rsidRPr="002B03D2">
        <w:rPr>
          <w:szCs w:val="18"/>
          <w:lang w:val="ru-RU"/>
        </w:rPr>
        <w:t>Настоящий документ представляет собой сведенные воедино</w:t>
      </w:r>
      <w:r>
        <w:rPr>
          <w:lang w:val="ru-RU"/>
        </w:rPr>
        <w:t xml:space="preserve"> шестнадцатый</w:t>
      </w:r>
      <w:r w:rsidRPr="00317F43">
        <w:rPr>
          <w:lang w:val="ru-RU"/>
        </w:rPr>
        <w:t>−</w:t>
      </w:r>
      <w:r>
        <w:rPr>
          <w:lang w:val="ru-RU"/>
        </w:rPr>
        <w:t xml:space="preserve">девятнадцатый периодические доклады Бельгии, подлежавшие представлению в </w:t>
      </w:r>
      <w:r w:rsidRPr="002B03D2">
        <w:rPr>
          <w:lang w:val="ru-RU"/>
        </w:rPr>
        <w:t>2012</w:t>
      </w:r>
      <w:r>
        <w:rPr>
          <w:lang w:val="en-US"/>
        </w:rPr>
        <w:t> </w:t>
      </w:r>
      <w:r>
        <w:rPr>
          <w:lang w:val="ru-RU"/>
        </w:rPr>
        <w:t>году</w:t>
      </w:r>
      <w:r w:rsidRPr="002B03D2">
        <w:rPr>
          <w:lang w:val="ru-RU"/>
        </w:rPr>
        <w:t>.</w:t>
      </w:r>
      <w:r>
        <w:rPr>
          <w:lang w:val="ru-RU"/>
        </w:rPr>
        <w:t xml:space="preserve"> Четырнадцатый и пятнадцатый доклады и </w:t>
      </w:r>
      <w:r w:rsidRPr="002B03D2">
        <w:rPr>
          <w:szCs w:val="18"/>
          <w:lang w:val="ru-RU"/>
        </w:rPr>
        <w:t>краткие отчеты о заседаниях Комитета, посвященных их рассмотрению, см. в документах</w:t>
      </w:r>
      <w:r>
        <w:rPr>
          <w:lang w:val="ru-RU"/>
        </w:rPr>
        <w:t xml:space="preserve"> </w:t>
      </w:r>
      <w:r w:rsidRPr="00BD2AC6">
        <w:t>CE</w:t>
      </w:r>
      <w:r>
        <w:t>RD</w:t>
      </w:r>
      <w:r w:rsidRPr="002B03D2">
        <w:rPr>
          <w:lang w:val="ru-RU"/>
        </w:rPr>
        <w:t>/</w:t>
      </w:r>
      <w:r>
        <w:t>C</w:t>
      </w:r>
      <w:r w:rsidRPr="002B03D2">
        <w:rPr>
          <w:lang w:val="ru-RU"/>
        </w:rPr>
        <w:t>/</w:t>
      </w:r>
      <w:r>
        <w:t>BEL</w:t>
      </w:r>
      <w:r w:rsidRPr="002B03D2">
        <w:rPr>
          <w:lang w:val="ru-RU"/>
        </w:rPr>
        <w:t>/</w:t>
      </w:r>
      <w:r>
        <w:t>CO</w:t>
      </w:r>
      <w:r w:rsidRPr="002B03D2">
        <w:rPr>
          <w:lang w:val="ru-RU"/>
        </w:rPr>
        <w:t xml:space="preserve">/15 </w:t>
      </w:r>
      <w:r>
        <w:rPr>
          <w:lang w:val="ru-RU"/>
        </w:rPr>
        <w:t>и</w:t>
      </w:r>
      <w:r w:rsidRPr="002B03D2">
        <w:rPr>
          <w:lang w:val="ru-RU"/>
        </w:rPr>
        <w:t xml:space="preserve"> </w:t>
      </w:r>
      <w:r>
        <w:t>CERD</w:t>
      </w:r>
      <w:r w:rsidRPr="002B03D2">
        <w:rPr>
          <w:lang w:val="ru-RU"/>
        </w:rPr>
        <w:t>/</w:t>
      </w:r>
      <w:r>
        <w:t>C</w:t>
      </w:r>
      <w:r w:rsidRPr="002B03D2">
        <w:rPr>
          <w:lang w:val="ru-RU"/>
        </w:rPr>
        <w:t>/</w:t>
      </w:r>
      <w:r>
        <w:t>SR</w:t>
      </w:r>
      <w:r w:rsidRPr="002B03D2">
        <w:rPr>
          <w:lang w:val="ru-RU"/>
        </w:rPr>
        <w:t>.1857</w:t>
      </w:r>
      <w:r>
        <w:rPr>
          <w:lang w:val="ru-RU"/>
        </w:rPr>
        <w:t xml:space="preserve"> и </w:t>
      </w:r>
      <w:r w:rsidRPr="002B03D2">
        <w:rPr>
          <w:lang w:val="ru-RU"/>
        </w:rPr>
        <w:t>1858.</w:t>
      </w:r>
    </w:p>
  </w:footnote>
  <w:footnote w:id="2">
    <w:p w:rsidR="00460BD7" w:rsidRPr="002B03D2" w:rsidRDefault="00460BD7" w:rsidP="002B03D2">
      <w:pPr>
        <w:pStyle w:val="FootnoteText"/>
        <w:rPr>
          <w:lang w:val="ru-RU"/>
        </w:rPr>
      </w:pPr>
      <w:r w:rsidRPr="006A12E3">
        <w:rPr>
          <w:rStyle w:val="FootnoteReference"/>
          <w:vertAlign w:val="baseline"/>
          <w:lang w:val="ru-RU"/>
        </w:rPr>
        <w:tab/>
        <w:t>**</w:t>
      </w:r>
      <w:r w:rsidRPr="002B03D2">
        <w:rPr>
          <w:rStyle w:val="FootnoteReference"/>
          <w:lang w:val="ru-RU"/>
        </w:rPr>
        <w:tab/>
      </w:r>
      <w:r w:rsidRPr="002B03D2">
        <w:rPr>
          <w:lang w:val="ru-RU"/>
        </w:rPr>
        <w:t>В соответствии с информацией, направленной государствам-участникам в отношении оформления их докладов, настоящий документ не редактировался.</w:t>
      </w:r>
    </w:p>
  </w:footnote>
  <w:footnote w:id="3">
    <w:p w:rsidR="00460BD7" w:rsidRPr="002B03D2" w:rsidRDefault="00460BD7" w:rsidP="002B03D2">
      <w:pPr>
        <w:pStyle w:val="FootnoteText"/>
        <w:rPr>
          <w:lang w:val="ru-RU"/>
        </w:rPr>
      </w:pPr>
      <w:r w:rsidRPr="002B03D2">
        <w:rPr>
          <w:lang w:val="ru-RU"/>
        </w:rPr>
        <w:tab/>
      </w:r>
      <w:r w:rsidRPr="00BA0DE1">
        <w:rPr>
          <w:rStyle w:val="FootnoteReference"/>
          <w:vertAlign w:val="baseline"/>
        </w:rPr>
        <w:sym w:font="Symbol" w:char="F02A"/>
      </w:r>
      <w:r w:rsidRPr="00BA0DE1">
        <w:rPr>
          <w:rStyle w:val="FootnoteReference"/>
          <w:vertAlign w:val="baseline"/>
        </w:rPr>
        <w:sym w:font="Symbol" w:char="F02A"/>
      </w:r>
      <w:r w:rsidRPr="00BA0DE1">
        <w:rPr>
          <w:rStyle w:val="FootnoteReference"/>
          <w:vertAlign w:val="baseline"/>
        </w:rPr>
        <w:sym w:font="Symbol" w:char="F02A"/>
      </w:r>
      <w:r w:rsidRPr="002B03D2">
        <w:rPr>
          <w:lang w:val="ru-RU"/>
        </w:rPr>
        <w:tab/>
        <w:t>С приложениями можно ознакомиться в архиве секретариата Комитета по ликвидации расовой дискриминации.</w:t>
      </w:r>
    </w:p>
  </w:footnote>
  <w:footnote w:id="4">
    <w:p w:rsidR="00460BD7" w:rsidRPr="002B03D2" w:rsidRDefault="00460BD7" w:rsidP="002B03D2">
      <w:pPr>
        <w:pStyle w:val="FootnoteText"/>
        <w:widowControl w:val="0"/>
        <w:tabs>
          <w:tab w:val="clear" w:pos="1021"/>
          <w:tab w:val="right" w:pos="1020"/>
        </w:tabs>
        <w:rPr>
          <w:lang w:val="ru-RU"/>
        </w:rPr>
      </w:pPr>
      <w:r w:rsidRPr="002B03D2">
        <w:rPr>
          <w:lang w:val="ru-RU"/>
        </w:rPr>
        <w:tab/>
      </w:r>
      <w:r>
        <w:rPr>
          <w:rStyle w:val="FootnoteReference"/>
        </w:rPr>
        <w:footnoteRef/>
      </w:r>
      <w:r w:rsidRPr="002B03D2">
        <w:rPr>
          <w:lang w:val="ru-RU"/>
        </w:rPr>
        <w:tab/>
        <w:t>Перечень законодательных актов Бельгии (законов, указов, ордонансов) в области недопущения дискриминации приведен на стр. 55 базового документа.</w:t>
      </w:r>
    </w:p>
  </w:footnote>
  <w:footnote w:id="5">
    <w:p w:rsidR="00460BD7" w:rsidRPr="002B03D2" w:rsidRDefault="00460BD7" w:rsidP="002B03D2">
      <w:pPr>
        <w:pStyle w:val="FootnoteText"/>
        <w:widowControl w:val="0"/>
        <w:tabs>
          <w:tab w:val="clear" w:pos="1021"/>
          <w:tab w:val="right" w:pos="1020"/>
        </w:tabs>
        <w:rPr>
          <w:lang w:val="ru-RU"/>
        </w:rPr>
      </w:pPr>
      <w:r w:rsidRPr="002B03D2">
        <w:rPr>
          <w:lang w:val="ru-RU"/>
        </w:rPr>
        <w:tab/>
      </w:r>
      <w:r>
        <w:rPr>
          <w:rStyle w:val="FootnoteReference"/>
        </w:rPr>
        <w:footnoteRef/>
      </w:r>
      <w:r w:rsidRPr="002B03D2">
        <w:rPr>
          <w:lang w:val="ru-RU"/>
        </w:rPr>
        <w:tab/>
        <w:t>Закон предусматривает, что такое требование может быть выдвинуто лишь в случае, если:</w:t>
      </w:r>
    </w:p>
    <w:p w:rsidR="00460BD7" w:rsidRPr="00E136D0" w:rsidRDefault="00460BD7" w:rsidP="006F5B37">
      <w:pPr>
        <w:tabs>
          <w:tab w:val="left" w:pos="1498"/>
          <w:tab w:val="left" w:pos="1652"/>
        </w:tabs>
        <w:spacing w:line="240" w:lineRule="auto"/>
        <w:ind w:left="1652" w:hanging="1652"/>
        <w:rPr>
          <w:sz w:val="18"/>
          <w:szCs w:val="18"/>
        </w:rPr>
      </w:pPr>
      <w:r>
        <w:rPr>
          <w:sz w:val="18"/>
          <w:szCs w:val="18"/>
          <w:lang w:val="en-US"/>
        </w:rPr>
        <w:tab/>
      </w:r>
      <w:r w:rsidRPr="008C418C">
        <w:t>•</w:t>
      </w:r>
      <w:r w:rsidRPr="00E136D0">
        <w:tab/>
      </w:r>
      <w:r w:rsidRPr="00E136D0">
        <w:rPr>
          <w:sz w:val="18"/>
          <w:szCs w:val="18"/>
        </w:rPr>
        <w:t>какая-либо определенная характеристика, связанная с расовой принадлежностью,</w:t>
      </w:r>
      <w:r w:rsidRPr="006D3E0B">
        <w:rPr>
          <w:sz w:val="18"/>
          <w:szCs w:val="18"/>
        </w:rPr>
        <w:br/>
      </w:r>
      <w:r w:rsidRPr="00E136D0">
        <w:rPr>
          <w:sz w:val="18"/>
          <w:szCs w:val="18"/>
        </w:rPr>
        <w:t>цв</w:t>
      </w:r>
      <w:r w:rsidRPr="00E136D0">
        <w:rPr>
          <w:sz w:val="18"/>
          <w:szCs w:val="18"/>
        </w:rPr>
        <w:t>е</w:t>
      </w:r>
      <w:r w:rsidRPr="00E136D0">
        <w:rPr>
          <w:sz w:val="18"/>
          <w:szCs w:val="18"/>
        </w:rPr>
        <w:t xml:space="preserve">том кожи, родовой, национальной или этнической принадлежностью, имеет </w:t>
      </w:r>
      <w:r w:rsidRPr="006D3E0B">
        <w:rPr>
          <w:sz w:val="18"/>
          <w:szCs w:val="18"/>
        </w:rPr>
        <w:br/>
      </w:r>
      <w:r w:rsidRPr="00E136D0">
        <w:rPr>
          <w:sz w:val="18"/>
          <w:szCs w:val="18"/>
        </w:rPr>
        <w:t>существенное и определяющее значение ввиду специфики соответствующей</w:t>
      </w:r>
      <w:r w:rsidRPr="006D3E0B">
        <w:rPr>
          <w:sz w:val="18"/>
          <w:szCs w:val="18"/>
        </w:rPr>
        <w:br/>
      </w:r>
      <w:r w:rsidRPr="00E136D0">
        <w:rPr>
          <w:sz w:val="18"/>
          <w:szCs w:val="18"/>
        </w:rPr>
        <w:t>профессиональной деятельности или условий ее осуществл</w:t>
      </w:r>
      <w:r w:rsidRPr="00E136D0">
        <w:rPr>
          <w:sz w:val="18"/>
          <w:szCs w:val="18"/>
        </w:rPr>
        <w:t>е</w:t>
      </w:r>
      <w:r w:rsidRPr="00E136D0">
        <w:rPr>
          <w:sz w:val="18"/>
          <w:szCs w:val="18"/>
        </w:rPr>
        <w:t>ния;</w:t>
      </w:r>
    </w:p>
    <w:p w:rsidR="00460BD7" w:rsidRPr="00E136D0" w:rsidRDefault="00460BD7" w:rsidP="006F5B37">
      <w:pPr>
        <w:tabs>
          <w:tab w:val="left" w:pos="1498"/>
          <w:tab w:val="left" w:pos="1652"/>
        </w:tabs>
        <w:spacing w:line="240" w:lineRule="auto"/>
        <w:ind w:left="1652" w:hanging="1652"/>
        <w:rPr>
          <w:sz w:val="18"/>
          <w:szCs w:val="18"/>
        </w:rPr>
      </w:pPr>
      <w:r w:rsidRPr="006D3E0B">
        <w:rPr>
          <w:sz w:val="18"/>
          <w:szCs w:val="18"/>
        </w:rPr>
        <w:tab/>
      </w:r>
      <w:r w:rsidRPr="008C418C">
        <w:t>•</w:t>
      </w:r>
      <w:r w:rsidRPr="00E136D0">
        <w:tab/>
      </w:r>
      <w:r w:rsidRPr="00E136D0">
        <w:rPr>
          <w:sz w:val="18"/>
          <w:szCs w:val="18"/>
        </w:rPr>
        <w:t>это требование продиктовано объективной целью и является соразмерным этой</w:t>
      </w:r>
      <w:r w:rsidRPr="00E136D0">
        <w:rPr>
          <w:sz w:val="18"/>
          <w:szCs w:val="18"/>
        </w:rPr>
        <w:br/>
        <w:t xml:space="preserve">цели. </w:t>
      </w:r>
    </w:p>
    <w:p w:rsidR="00460BD7" w:rsidRPr="002E3E44" w:rsidRDefault="00460BD7" w:rsidP="002E3E44">
      <w:pPr>
        <w:pStyle w:val="FootnoteText"/>
        <w:widowControl w:val="0"/>
        <w:rPr>
          <w:lang w:val="ru-RU"/>
        </w:rPr>
      </w:pPr>
      <w:r>
        <w:rPr>
          <w:lang w:val="ru-RU"/>
        </w:rPr>
        <w:tab/>
      </w:r>
      <w:r>
        <w:rPr>
          <w:lang w:val="ru-RU"/>
        </w:rPr>
        <w:tab/>
      </w:r>
      <w:r w:rsidRPr="002E3E44">
        <w:rPr>
          <w:lang w:val="ru-RU"/>
        </w:rPr>
        <w:t xml:space="preserve">Хотя закон определяет рамки данной концепции, </w:t>
      </w:r>
      <w:r>
        <w:rPr>
          <w:lang w:val="ru-RU"/>
        </w:rPr>
        <w:t xml:space="preserve">приходится </w:t>
      </w:r>
      <w:r w:rsidRPr="002E3E44">
        <w:rPr>
          <w:lang w:val="ru-RU"/>
        </w:rPr>
        <w:t>констатировать, что на практике трудно установить границы его охвата. Кроме того, решение вопроса о том, является ли то или иное обстоятельство в каждом конкретном случае существенным профессиональным требованием, остается на усмотрение судьи. Закон, однако, предусматривает, что в Королевском указе, утвержденном Советом министров и переданным на заключение некоторым инстанциям, может быть изложен примерный список ситуаций, в которых какая-либо определенная характеристика представляет собой существенное профессиональное требование. На момент подготовки настоящего доклада король пока не во</w:t>
      </w:r>
      <w:r w:rsidRPr="002E3E44">
        <w:rPr>
          <w:lang w:val="ru-RU"/>
        </w:rPr>
        <w:t>с</w:t>
      </w:r>
      <w:r w:rsidRPr="002E3E44">
        <w:rPr>
          <w:lang w:val="ru-RU"/>
        </w:rPr>
        <w:t>пользовался такой возможностью.</w:t>
      </w:r>
    </w:p>
  </w:footnote>
  <w:footnote w:id="6">
    <w:p w:rsidR="00460BD7" w:rsidRPr="00AB4C34" w:rsidRDefault="00460BD7">
      <w:pPr>
        <w:pStyle w:val="FootnoteText"/>
        <w:rPr>
          <w:lang w:val="ru-RU"/>
        </w:rPr>
      </w:pPr>
      <w:r>
        <w:tab/>
      </w:r>
      <w:r>
        <w:rPr>
          <w:rStyle w:val="FootnoteReference"/>
        </w:rPr>
        <w:footnoteRef/>
      </w:r>
      <w:r w:rsidRPr="00AB4C34">
        <w:rPr>
          <w:lang w:val="ru-RU"/>
        </w:rPr>
        <w:tab/>
        <w:t>Директивы 2000/43/CE (расизм), 2000/78/CE (равное обращение в сфере труда и занятости) и 2006/54/CE (равное обращение для мужчин и женщин в сфере труда и занятости).</w:t>
      </w:r>
    </w:p>
  </w:footnote>
  <w:footnote w:id="7">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r>
      <w:r>
        <w:rPr>
          <w:lang w:val="ru-RU"/>
        </w:rPr>
        <w:t>КС</w:t>
      </w:r>
      <w:r w:rsidRPr="00AB4C34">
        <w:rPr>
          <w:lang w:val="ru-RU"/>
        </w:rPr>
        <w:t>, № 157/2004</w:t>
      </w:r>
      <w:r>
        <w:rPr>
          <w:lang w:val="ru-RU"/>
        </w:rPr>
        <w:t xml:space="preserve"> от </w:t>
      </w:r>
      <w:r w:rsidRPr="00AB4C34">
        <w:rPr>
          <w:lang w:val="ru-RU"/>
        </w:rPr>
        <w:t>6 октября 2004 года.</w:t>
      </w:r>
    </w:p>
  </w:footnote>
  <w:footnote w:id="8">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Доступ к товарам и услугам и снабжение населения товарами и услугами; социальная защита;</w:t>
      </w:r>
      <w:r>
        <w:rPr>
          <w:lang w:val="ru-RU"/>
        </w:rPr>
        <w:t xml:space="preserve"> </w:t>
      </w:r>
      <w:r w:rsidRPr="00AB4C34">
        <w:rPr>
          <w:lang w:val="ru-RU"/>
        </w:rPr>
        <w:t>социальные пособия; дополнительные системы социального обеспечения; упоминание в официальном документе или протоколе; присоединение к какой-либо организации трудящихся или работодателей или участие в ее деятельности, включая пользование льготами, которые обеспечиваются такими организациями; доступ, участие или любое другое осуществление экономической, социальной, культурной или политической деятельности, которая доступна для общественности, и трудовые отношения, которые касаются найма, условий труда и увольнения.</w:t>
      </w:r>
    </w:p>
  </w:footnote>
  <w:footnote w:id="9">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Применение принципа разделения бремени доказывания не распространяется на уголовное судопроизводство.</w:t>
      </w:r>
    </w:p>
  </w:footnote>
  <w:footnote w:id="10">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r>
      <w:r>
        <w:rPr>
          <w:lang w:val="ru-RU"/>
        </w:rPr>
        <w:t>КС</w:t>
      </w:r>
      <w:r w:rsidRPr="00AB4C34">
        <w:rPr>
          <w:lang w:val="ru-RU"/>
        </w:rPr>
        <w:t>, постановление № 17/2009</w:t>
      </w:r>
      <w:r>
        <w:rPr>
          <w:lang w:val="ru-RU"/>
        </w:rPr>
        <w:t xml:space="preserve"> от </w:t>
      </w:r>
      <w:r w:rsidRPr="00AB4C34">
        <w:rPr>
          <w:lang w:val="ru-RU"/>
        </w:rPr>
        <w:t>12 февраля 2009 года.</w:t>
      </w:r>
    </w:p>
  </w:footnote>
  <w:footnote w:id="11">
    <w:p w:rsidR="00460BD7" w:rsidRPr="002E565C" w:rsidRDefault="00460BD7">
      <w:pPr>
        <w:pStyle w:val="FootnoteText"/>
        <w:rPr>
          <w:lang w:val="ru-RU"/>
        </w:rPr>
      </w:pPr>
      <w:r>
        <w:tab/>
      </w:r>
      <w:r>
        <w:rPr>
          <w:rStyle w:val="FootnoteReference"/>
        </w:rPr>
        <w:footnoteRef/>
      </w:r>
      <w:r w:rsidRPr="002E565C">
        <w:rPr>
          <w:lang w:val="ru-RU"/>
        </w:rPr>
        <w:tab/>
        <w:t>С другими решениями можно ознакомиться на сайте Центра по обеспечению равных возмож</w:t>
      </w:r>
      <w:r>
        <w:rPr>
          <w:lang w:val="ru-RU"/>
        </w:rPr>
        <w:t>ностей и борьбе с расизмом</w:t>
      </w:r>
      <w:r w:rsidRPr="002E565C">
        <w:rPr>
          <w:lang w:val="ru-RU"/>
        </w:rPr>
        <w:t xml:space="preserve"> www.diversite.be.</w:t>
      </w:r>
    </w:p>
  </w:footnote>
  <w:footnote w:id="12">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Эта проблематика также затрагивается далее в разделах настоящего доклада, посвященных статьям 5 (занятость) и 7 (воспитание и образование)</w:t>
      </w:r>
      <w:r>
        <w:rPr>
          <w:lang w:val="ru-RU"/>
        </w:rPr>
        <w:t xml:space="preserve"> </w:t>
      </w:r>
      <w:r w:rsidRPr="00AB4C34">
        <w:rPr>
          <w:lang w:val="ru-RU"/>
        </w:rPr>
        <w:t>Конвенции.</w:t>
      </w:r>
    </w:p>
  </w:footnote>
  <w:footnote w:id="13">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r>
      <w:r w:rsidRPr="008E05E9">
        <w:t>COM</w:t>
      </w:r>
      <w:r w:rsidRPr="00AB4C34">
        <w:rPr>
          <w:lang w:val="ru-RU"/>
        </w:rPr>
        <w:t xml:space="preserve"> 2011 173/4.</w:t>
      </w:r>
    </w:p>
  </w:footnote>
  <w:footnote w:id="14">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На региональные центры интеграции (РЦИ) возложены следующие задачи:</w:t>
      </w:r>
    </w:p>
    <w:p w:rsidR="00460BD7" w:rsidRPr="002305F3" w:rsidRDefault="00460BD7" w:rsidP="002305F3">
      <w:pPr>
        <w:tabs>
          <w:tab w:val="left" w:pos="1554"/>
          <w:tab w:val="left" w:pos="1722"/>
        </w:tabs>
        <w:spacing w:line="240" w:lineRule="auto"/>
        <w:ind w:left="1722" w:hanging="1722"/>
        <w:rPr>
          <w:sz w:val="18"/>
          <w:szCs w:val="18"/>
        </w:rPr>
      </w:pPr>
      <w:r>
        <w:rPr>
          <w:sz w:val="18"/>
          <w:szCs w:val="18"/>
          <w:lang w:val="en-US"/>
        </w:rPr>
        <w:tab/>
      </w:r>
      <w:r w:rsidRPr="008C418C">
        <w:t>•</w:t>
      </w:r>
      <w:r w:rsidRPr="002305F3">
        <w:tab/>
      </w:r>
      <w:r w:rsidRPr="002305F3">
        <w:rPr>
          <w:sz w:val="18"/>
          <w:szCs w:val="18"/>
        </w:rPr>
        <w:t>сопровождение местных инициатив в области социального развития и координация</w:t>
      </w:r>
      <w:r w:rsidRPr="006D3E0B">
        <w:rPr>
          <w:sz w:val="18"/>
          <w:szCs w:val="18"/>
        </w:rPr>
        <w:br/>
      </w:r>
      <w:r w:rsidRPr="002305F3">
        <w:rPr>
          <w:sz w:val="18"/>
          <w:szCs w:val="18"/>
        </w:rPr>
        <w:t>мероприятий по и</w:t>
      </w:r>
      <w:r w:rsidRPr="002305F3">
        <w:rPr>
          <w:sz w:val="18"/>
          <w:szCs w:val="18"/>
        </w:rPr>
        <w:t>н</w:t>
      </w:r>
      <w:r w:rsidRPr="002305F3">
        <w:rPr>
          <w:sz w:val="18"/>
          <w:szCs w:val="18"/>
        </w:rPr>
        <w:t>теграции в рамках местных планов по обеспечению интеграции;</w:t>
      </w:r>
    </w:p>
    <w:p w:rsidR="00460BD7" w:rsidRPr="00D97E4B" w:rsidRDefault="00460BD7" w:rsidP="002305F3">
      <w:pPr>
        <w:tabs>
          <w:tab w:val="left" w:pos="1554"/>
          <w:tab w:val="left" w:pos="1722"/>
        </w:tabs>
        <w:spacing w:line="240" w:lineRule="auto"/>
        <w:ind w:left="1722" w:hanging="1722"/>
        <w:rPr>
          <w:sz w:val="18"/>
          <w:szCs w:val="18"/>
        </w:rPr>
      </w:pPr>
      <w:r w:rsidRPr="006D3E0B">
        <w:rPr>
          <w:sz w:val="18"/>
          <w:szCs w:val="18"/>
        </w:rPr>
        <w:tab/>
      </w:r>
      <w:r w:rsidRPr="008C418C">
        <w:t>•</w:t>
      </w:r>
      <w:r w:rsidRPr="002305F3">
        <w:tab/>
      </w:r>
      <w:r w:rsidRPr="00D97E4B">
        <w:rPr>
          <w:sz w:val="18"/>
          <w:szCs w:val="18"/>
        </w:rPr>
        <w:t xml:space="preserve">расширение участия иностранцев или лиц иностранного происхождения в </w:t>
      </w:r>
      <w:r w:rsidRPr="006D3E0B">
        <w:rPr>
          <w:sz w:val="18"/>
          <w:szCs w:val="18"/>
        </w:rPr>
        <w:br/>
      </w:r>
      <w:r w:rsidRPr="00D97E4B">
        <w:rPr>
          <w:sz w:val="18"/>
          <w:szCs w:val="18"/>
        </w:rPr>
        <w:t>социальной, экономической, культурной и политической жизни и проведение</w:t>
      </w:r>
      <w:r w:rsidRPr="006D3E0B">
        <w:rPr>
          <w:sz w:val="18"/>
          <w:szCs w:val="18"/>
        </w:rPr>
        <w:br/>
      </w:r>
      <w:r w:rsidRPr="00D97E4B">
        <w:rPr>
          <w:sz w:val="18"/>
          <w:szCs w:val="18"/>
        </w:rPr>
        <w:t>межкультурных обменов;</w:t>
      </w:r>
    </w:p>
    <w:p w:rsidR="00460BD7" w:rsidRPr="00D97E4B" w:rsidRDefault="00460BD7" w:rsidP="002305F3">
      <w:pPr>
        <w:tabs>
          <w:tab w:val="left" w:pos="1554"/>
          <w:tab w:val="left" w:pos="1722"/>
        </w:tabs>
        <w:spacing w:line="240" w:lineRule="auto"/>
        <w:ind w:left="1722" w:hanging="1722"/>
        <w:rPr>
          <w:sz w:val="18"/>
          <w:szCs w:val="18"/>
        </w:rPr>
      </w:pPr>
      <w:r w:rsidRPr="006D3E0B">
        <w:rPr>
          <w:sz w:val="18"/>
          <w:szCs w:val="18"/>
        </w:rPr>
        <w:tab/>
      </w:r>
      <w:r w:rsidRPr="008C418C">
        <w:t>•</w:t>
      </w:r>
      <w:r w:rsidRPr="002305F3">
        <w:tab/>
      </w:r>
      <w:r w:rsidRPr="00D97E4B">
        <w:rPr>
          <w:sz w:val="18"/>
          <w:szCs w:val="18"/>
        </w:rPr>
        <w:t>координация приема, ориентации, сопровождения и интеграции иностранцев,</w:t>
      </w:r>
      <w:r w:rsidRPr="006D3E0B">
        <w:rPr>
          <w:sz w:val="18"/>
          <w:szCs w:val="18"/>
        </w:rPr>
        <w:br/>
      </w:r>
      <w:r w:rsidRPr="00D97E4B">
        <w:rPr>
          <w:sz w:val="18"/>
          <w:szCs w:val="18"/>
        </w:rPr>
        <w:t>недавно пос</w:t>
      </w:r>
      <w:r w:rsidRPr="00D97E4B">
        <w:rPr>
          <w:sz w:val="18"/>
          <w:szCs w:val="18"/>
        </w:rPr>
        <w:t>е</w:t>
      </w:r>
      <w:r w:rsidRPr="00D97E4B">
        <w:rPr>
          <w:sz w:val="18"/>
          <w:szCs w:val="18"/>
        </w:rPr>
        <w:t>лившихся в Валлонском регионе;</w:t>
      </w:r>
    </w:p>
    <w:p w:rsidR="00460BD7" w:rsidRPr="00D97E4B" w:rsidRDefault="00460BD7" w:rsidP="002305F3">
      <w:pPr>
        <w:tabs>
          <w:tab w:val="left" w:pos="1554"/>
          <w:tab w:val="left" w:pos="1722"/>
        </w:tabs>
        <w:spacing w:line="240" w:lineRule="auto"/>
        <w:ind w:left="1722" w:hanging="1722"/>
        <w:rPr>
          <w:sz w:val="18"/>
          <w:szCs w:val="18"/>
        </w:rPr>
      </w:pPr>
      <w:r w:rsidRPr="006D3E0B">
        <w:rPr>
          <w:sz w:val="18"/>
          <w:szCs w:val="18"/>
        </w:rPr>
        <w:tab/>
      </w:r>
      <w:r w:rsidRPr="008C418C">
        <w:t>•</w:t>
      </w:r>
      <w:r w:rsidRPr="002305F3">
        <w:tab/>
      </w:r>
      <w:r w:rsidRPr="00D97E4B">
        <w:rPr>
          <w:sz w:val="18"/>
          <w:szCs w:val="18"/>
        </w:rPr>
        <w:t>подготовка специалистов по сектору интеграции иностранцев и лиц иностранного</w:t>
      </w:r>
      <w:r w:rsidRPr="006D3E0B">
        <w:rPr>
          <w:sz w:val="18"/>
          <w:szCs w:val="18"/>
        </w:rPr>
        <w:br/>
      </w:r>
      <w:r w:rsidRPr="00D97E4B">
        <w:rPr>
          <w:sz w:val="18"/>
          <w:szCs w:val="18"/>
        </w:rPr>
        <w:t>происхо</w:t>
      </w:r>
      <w:r w:rsidRPr="00D97E4B">
        <w:rPr>
          <w:sz w:val="18"/>
          <w:szCs w:val="18"/>
        </w:rPr>
        <w:t>ж</w:t>
      </w:r>
      <w:r w:rsidRPr="00D97E4B">
        <w:rPr>
          <w:sz w:val="18"/>
          <w:szCs w:val="18"/>
        </w:rPr>
        <w:t xml:space="preserve">дения и межкультурному диалогу, а также подготовка работников </w:t>
      </w:r>
      <w:r w:rsidRPr="006D3E0B">
        <w:rPr>
          <w:sz w:val="18"/>
          <w:szCs w:val="18"/>
        </w:rPr>
        <w:br/>
      </w:r>
      <w:r w:rsidRPr="00D97E4B">
        <w:rPr>
          <w:sz w:val="18"/>
          <w:szCs w:val="18"/>
        </w:rPr>
        <w:t>служб, хотя бы частично занимающихся этими группами н</w:t>
      </w:r>
      <w:r w:rsidRPr="00D97E4B">
        <w:rPr>
          <w:sz w:val="18"/>
          <w:szCs w:val="18"/>
        </w:rPr>
        <w:t>а</w:t>
      </w:r>
      <w:r w:rsidRPr="00D97E4B">
        <w:rPr>
          <w:sz w:val="18"/>
          <w:szCs w:val="18"/>
        </w:rPr>
        <w:t>селения;</w:t>
      </w:r>
    </w:p>
    <w:p w:rsidR="00460BD7" w:rsidRPr="00D97E4B" w:rsidRDefault="00460BD7" w:rsidP="002305F3">
      <w:pPr>
        <w:tabs>
          <w:tab w:val="left" w:pos="1554"/>
          <w:tab w:val="left" w:pos="1722"/>
        </w:tabs>
        <w:spacing w:line="240" w:lineRule="auto"/>
        <w:ind w:left="1722" w:hanging="1722"/>
        <w:rPr>
          <w:sz w:val="18"/>
          <w:szCs w:val="18"/>
        </w:rPr>
      </w:pPr>
      <w:r w:rsidRPr="006D3E0B">
        <w:rPr>
          <w:sz w:val="18"/>
          <w:szCs w:val="18"/>
        </w:rPr>
        <w:tab/>
      </w:r>
      <w:r w:rsidRPr="008C418C">
        <w:t>•</w:t>
      </w:r>
      <w:r w:rsidRPr="002305F3">
        <w:tab/>
      </w:r>
      <w:r w:rsidRPr="00D97E4B">
        <w:rPr>
          <w:sz w:val="18"/>
          <w:szCs w:val="18"/>
        </w:rPr>
        <w:t>сбор статистических данных, имеющихся на местном уровне;</w:t>
      </w:r>
    </w:p>
    <w:p w:rsidR="00460BD7" w:rsidRPr="00D97E4B" w:rsidRDefault="00460BD7" w:rsidP="002305F3">
      <w:pPr>
        <w:tabs>
          <w:tab w:val="left" w:pos="1554"/>
          <w:tab w:val="left" w:pos="1722"/>
        </w:tabs>
        <w:spacing w:line="240" w:lineRule="auto"/>
        <w:ind w:left="1722" w:hanging="1722"/>
        <w:rPr>
          <w:sz w:val="18"/>
          <w:szCs w:val="18"/>
        </w:rPr>
      </w:pPr>
      <w:r>
        <w:rPr>
          <w:lang w:val="en-US"/>
        </w:rPr>
        <w:tab/>
      </w:r>
      <w:r w:rsidRPr="008C418C">
        <w:t>•</w:t>
      </w:r>
      <w:r w:rsidRPr="00F600BF">
        <w:tab/>
      </w:r>
      <w:r w:rsidRPr="00D97E4B">
        <w:rPr>
          <w:sz w:val="18"/>
          <w:szCs w:val="18"/>
        </w:rPr>
        <w:t xml:space="preserve">по предложению своего административного совета и при наличии </w:t>
      </w:r>
      <w:r w:rsidRPr="006D3E0B">
        <w:rPr>
          <w:sz w:val="18"/>
          <w:szCs w:val="18"/>
        </w:rPr>
        <w:br/>
      </w:r>
      <w:r w:rsidRPr="00D97E4B">
        <w:rPr>
          <w:sz w:val="18"/>
          <w:szCs w:val="18"/>
        </w:rPr>
        <w:t>положительн</w:t>
      </w:r>
      <w:r w:rsidRPr="00D97E4B">
        <w:rPr>
          <w:sz w:val="18"/>
          <w:szCs w:val="18"/>
        </w:rPr>
        <w:t>о</w:t>
      </w:r>
      <w:r w:rsidRPr="00D97E4B">
        <w:rPr>
          <w:sz w:val="18"/>
          <w:szCs w:val="18"/>
        </w:rPr>
        <w:t xml:space="preserve">го заключения учрежденной в Валлонии Комиссии по интеграции – </w:t>
      </w:r>
      <w:r w:rsidRPr="006D3E0B">
        <w:rPr>
          <w:sz w:val="18"/>
          <w:szCs w:val="18"/>
        </w:rPr>
        <w:br/>
      </w:r>
      <w:r w:rsidRPr="00D97E4B">
        <w:rPr>
          <w:sz w:val="18"/>
          <w:szCs w:val="18"/>
        </w:rPr>
        <w:t xml:space="preserve">проведение в течение определенного срока первоочередных мероприятий </w:t>
      </w:r>
      <w:r w:rsidRPr="006D3E0B">
        <w:rPr>
          <w:sz w:val="18"/>
          <w:szCs w:val="18"/>
        </w:rPr>
        <w:br/>
      </w:r>
      <w:r w:rsidRPr="00D97E4B">
        <w:rPr>
          <w:sz w:val="18"/>
          <w:szCs w:val="18"/>
        </w:rPr>
        <w:t xml:space="preserve">по интеграции, которые необходимы для выполнения местного плана в области </w:t>
      </w:r>
      <w:r w:rsidRPr="006D3E0B">
        <w:rPr>
          <w:sz w:val="18"/>
          <w:szCs w:val="18"/>
        </w:rPr>
        <w:br/>
      </w:r>
      <w:r w:rsidRPr="00D97E4B">
        <w:rPr>
          <w:sz w:val="18"/>
          <w:szCs w:val="18"/>
        </w:rPr>
        <w:t>интеграции, в случаях, когда партнерские ассоциации и органы власти не проводят</w:t>
      </w:r>
      <w:r w:rsidRPr="006D3E0B">
        <w:rPr>
          <w:sz w:val="18"/>
          <w:szCs w:val="18"/>
        </w:rPr>
        <w:br/>
      </w:r>
      <w:r w:rsidRPr="00D97E4B">
        <w:rPr>
          <w:sz w:val="18"/>
          <w:szCs w:val="18"/>
        </w:rPr>
        <w:t xml:space="preserve">таких мероприятий или просят их провести, в частности в сфере предложения </w:t>
      </w:r>
      <w:r w:rsidRPr="006D3E0B">
        <w:rPr>
          <w:sz w:val="18"/>
          <w:szCs w:val="18"/>
        </w:rPr>
        <w:br/>
      </w:r>
      <w:r w:rsidRPr="00D97E4B">
        <w:rPr>
          <w:sz w:val="18"/>
          <w:szCs w:val="18"/>
        </w:rPr>
        <w:t>по изучению французского языка и системы бельгийских и</w:t>
      </w:r>
      <w:r w:rsidRPr="00D97E4B">
        <w:rPr>
          <w:sz w:val="18"/>
          <w:szCs w:val="18"/>
        </w:rPr>
        <w:t>н</w:t>
      </w:r>
      <w:r w:rsidRPr="00D97E4B">
        <w:rPr>
          <w:sz w:val="18"/>
          <w:szCs w:val="18"/>
        </w:rPr>
        <w:t>ститутов.</w:t>
      </w:r>
    </w:p>
  </w:footnote>
  <w:footnote w:id="15">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Определение социального сплочения см. в четырнадцатом и пятнадцатом докладах</w:t>
      </w:r>
      <w:r>
        <w:rPr>
          <w:lang w:val="ru-RU"/>
        </w:rPr>
        <w:t xml:space="preserve"> </w:t>
      </w:r>
      <w:r w:rsidRPr="00AB4C34">
        <w:rPr>
          <w:lang w:val="ru-RU"/>
        </w:rPr>
        <w:t>(</w:t>
      </w:r>
      <w:r w:rsidRPr="00B33BB8">
        <w:t>CERD</w:t>
      </w:r>
      <w:r w:rsidRPr="00AB4C34">
        <w:rPr>
          <w:lang w:val="ru-RU"/>
        </w:rPr>
        <w:t>/</w:t>
      </w:r>
      <w:r w:rsidRPr="00B33BB8">
        <w:t>C</w:t>
      </w:r>
      <w:r w:rsidRPr="00AB4C34">
        <w:rPr>
          <w:lang w:val="ru-RU"/>
        </w:rPr>
        <w:t>/</w:t>
      </w:r>
      <w:r w:rsidRPr="00B33BB8">
        <w:t>BEL</w:t>
      </w:r>
      <w:r w:rsidRPr="00AB4C34">
        <w:rPr>
          <w:lang w:val="ru-RU"/>
        </w:rPr>
        <w:t>/15),</w:t>
      </w:r>
      <w:r>
        <w:rPr>
          <w:lang w:val="ru-RU"/>
        </w:rPr>
        <w:t xml:space="preserve"> пункты 108−</w:t>
      </w:r>
      <w:r w:rsidRPr="00AB4C34">
        <w:rPr>
          <w:lang w:val="ru-RU"/>
        </w:rPr>
        <w:t>112.</w:t>
      </w:r>
    </w:p>
  </w:footnote>
  <w:footnote w:id="16">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Включая интеграционную политику Фландрии в Брюсселе.</w:t>
      </w:r>
    </w:p>
  </w:footnote>
  <w:footnote w:id="17">
    <w:p w:rsidR="00460BD7" w:rsidRPr="00AB4C34" w:rsidRDefault="00460BD7" w:rsidP="004B4B9D">
      <w:pPr>
        <w:pStyle w:val="FootnoteText"/>
        <w:widowControl w:val="0"/>
        <w:tabs>
          <w:tab w:val="clear" w:pos="1021"/>
          <w:tab w:val="right" w:pos="1020"/>
          <w:tab w:val="left" w:pos="1134"/>
          <w:tab w:val="left" w:pos="1701"/>
          <w:tab w:val="left" w:pos="3191"/>
        </w:tabs>
        <w:rPr>
          <w:lang w:val="ru-RU"/>
        </w:rPr>
      </w:pPr>
      <w:r w:rsidRPr="00AB4C34">
        <w:rPr>
          <w:lang w:val="ru-RU"/>
        </w:rPr>
        <w:tab/>
      </w:r>
      <w:r>
        <w:rPr>
          <w:rStyle w:val="FootnoteReference"/>
        </w:rPr>
        <w:footnoteRef/>
      </w:r>
      <w:r w:rsidRPr="00AB4C34">
        <w:rPr>
          <w:lang w:val="ru-RU"/>
        </w:rPr>
        <w:tab/>
      </w:r>
      <w:r>
        <w:rPr>
          <w:lang w:val="ru-RU"/>
        </w:rPr>
        <w:t>"</w:t>
      </w:r>
      <w:r w:rsidRPr="006D2CAA">
        <w:t>Inburgering</w:t>
      </w:r>
      <w:r>
        <w:rPr>
          <w:lang w:val="ru-RU"/>
        </w:rPr>
        <w:t>"</w:t>
      </w:r>
      <w:r w:rsidRPr="00AB4C34">
        <w:rPr>
          <w:lang w:val="ru-RU"/>
        </w:rPr>
        <w:t>.</w:t>
      </w:r>
    </w:p>
  </w:footnote>
  <w:footnote w:id="18">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Центр констатирует наличие определенной связи между числом сообщений и, следовательно, инцидентов и эволюцией израильско-палестинского конфликта.</w:t>
      </w:r>
    </w:p>
  </w:footnote>
  <w:footnote w:id="19">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Постановление КС № 195/2009, 3 декабря 2009 года.</w:t>
      </w:r>
    </w:p>
  </w:footnote>
  <w:footnote w:id="20">
    <w:p w:rsidR="00460BD7" w:rsidRPr="00AB4C34" w:rsidRDefault="00460BD7" w:rsidP="004B4B9D">
      <w:pPr>
        <w:pStyle w:val="FootnoteText"/>
        <w:widowControl w:val="0"/>
        <w:tabs>
          <w:tab w:val="clear" w:pos="1021"/>
          <w:tab w:val="right" w:pos="1020"/>
          <w:tab w:val="left" w:pos="1134"/>
          <w:tab w:val="left" w:pos="1701"/>
          <w:tab w:val="left" w:pos="2268"/>
          <w:tab w:val="left" w:pos="2835"/>
          <w:tab w:val="left" w:pos="3402"/>
          <w:tab w:val="left" w:pos="3969"/>
          <w:tab w:val="left" w:pos="4536"/>
          <w:tab w:val="left" w:pos="4960"/>
        </w:tabs>
        <w:rPr>
          <w:lang w:val="ru-RU"/>
        </w:rPr>
      </w:pPr>
      <w:r w:rsidRPr="00AB4C34">
        <w:rPr>
          <w:lang w:val="ru-RU"/>
        </w:rPr>
        <w:tab/>
      </w:r>
      <w:r>
        <w:rPr>
          <w:rStyle w:val="FootnoteReference"/>
        </w:rPr>
        <w:footnoteRef/>
      </w:r>
      <w:r w:rsidRPr="00AB4C34">
        <w:rPr>
          <w:lang w:val="ru-RU"/>
        </w:rPr>
        <w:tab/>
        <w:t>Постановление ГС № 213.879, 15 июня 2011 года.</w:t>
      </w:r>
    </w:p>
  </w:footnote>
  <w:footnote w:id="21">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Далее – Закон от 15 декабря 1980 года.</w:t>
      </w:r>
    </w:p>
  </w:footnote>
  <w:footnote w:id="22">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Албания, Босния и Герцеговина, Македония, Косово, Черногория, Сербия и Индия.</w:t>
      </w:r>
    </w:p>
  </w:footnote>
  <w:footnote w:id="23">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 xml:space="preserve">А также пункт 2 </w:t>
      </w:r>
      <w:r>
        <w:rPr>
          <w:lang w:val="en-US"/>
        </w:rPr>
        <w:t>d</w:t>
      </w:r>
      <w:r w:rsidRPr="00AB4C34">
        <w:rPr>
          <w:lang w:val="ru-RU"/>
        </w:rPr>
        <w:t xml:space="preserve">) статьи 11 </w:t>
      </w:r>
      <w:r>
        <w:rPr>
          <w:lang w:val="ru-RU"/>
        </w:rPr>
        <w:t>Д</w:t>
      </w:r>
      <w:r w:rsidRPr="00AB4C34">
        <w:rPr>
          <w:lang w:val="ru-RU"/>
        </w:rPr>
        <w:t xml:space="preserve">ирективы 2005/85 </w:t>
      </w:r>
      <w:r w:rsidRPr="000B0A40">
        <w:t>CE</w:t>
      </w:r>
      <w:r>
        <w:rPr>
          <w:lang w:val="ru-RU"/>
        </w:rPr>
        <w:t xml:space="preserve"> Совета от 1 декабря 2005 года о </w:t>
      </w:r>
      <w:r w:rsidRPr="00AB4C34">
        <w:rPr>
          <w:lang w:val="ru-RU"/>
        </w:rPr>
        <w:t xml:space="preserve">минимальных </w:t>
      </w:r>
      <w:r>
        <w:rPr>
          <w:lang w:val="ru-RU"/>
        </w:rPr>
        <w:t xml:space="preserve">стандартах для процедур государств-членов по </w:t>
      </w:r>
      <w:r w:rsidRPr="00AB4C34">
        <w:rPr>
          <w:lang w:val="ru-RU"/>
        </w:rPr>
        <w:t>предоставлени</w:t>
      </w:r>
      <w:r>
        <w:rPr>
          <w:lang w:val="ru-RU"/>
        </w:rPr>
        <w:t>ю и отмене статуса беженца</w:t>
      </w:r>
      <w:r w:rsidRPr="00AB4C34">
        <w:rPr>
          <w:lang w:val="ru-RU"/>
        </w:rPr>
        <w:t>.</w:t>
      </w:r>
    </w:p>
  </w:footnote>
  <w:footnote w:id="24">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Постановление КС №</w:t>
      </w:r>
      <w:r>
        <w:rPr>
          <w:lang w:val="ru-RU"/>
        </w:rPr>
        <w:t xml:space="preserve"> </w:t>
      </w:r>
      <w:r w:rsidRPr="00AB4C34">
        <w:rPr>
          <w:lang w:val="ru-RU"/>
        </w:rPr>
        <w:t>193/2009 от 26 ноября 2009 года.</w:t>
      </w:r>
    </w:p>
  </w:footnote>
  <w:footnote w:id="25">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 xml:space="preserve">Изменения были внесены в каждый из этапов данной процедуры. </w:t>
      </w:r>
    </w:p>
    <w:p w:rsidR="00460BD7" w:rsidRPr="003B6D98" w:rsidRDefault="00460BD7" w:rsidP="00530372">
      <w:pPr>
        <w:pStyle w:val="Bullet1GR"/>
        <w:numPr>
          <w:ilvl w:val="0"/>
          <w:numId w:val="1"/>
        </w:numPr>
        <w:spacing w:line="240" w:lineRule="auto"/>
        <w:jc w:val="left"/>
        <w:rPr>
          <w:sz w:val="18"/>
          <w:szCs w:val="18"/>
        </w:rPr>
      </w:pPr>
      <w:r>
        <w:rPr>
          <w:sz w:val="18"/>
          <w:szCs w:val="18"/>
        </w:rPr>
        <w:t>При</w:t>
      </w:r>
      <w:r>
        <w:rPr>
          <w:sz w:val="18"/>
          <w:szCs w:val="18"/>
          <w:lang w:val="en-US"/>
        </w:rPr>
        <w:t> </w:t>
      </w:r>
      <w:r w:rsidRPr="003B6D98">
        <w:rPr>
          <w:sz w:val="18"/>
          <w:szCs w:val="18"/>
        </w:rPr>
        <w:t>подаче ходатайства иностранец должен сообщить всю необходимую и св</w:t>
      </w:r>
      <w:r w:rsidRPr="003B6D98">
        <w:rPr>
          <w:sz w:val="18"/>
          <w:szCs w:val="18"/>
        </w:rPr>
        <w:t>е</w:t>
      </w:r>
      <w:r w:rsidRPr="003B6D98">
        <w:rPr>
          <w:sz w:val="18"/>
          <w:szCs w:val="18"/>
        </w:rPr>
        <w:t>жую информацию относительно своего заболевания и лечения, к</w:t>
      </w:r>
      <w:r w:rsidRPr="003B6D98">
        <w:rPr>
          <w:sz w:val="18"/>
          <w:szCs w:val="18"/>
        </w:rPr>
        <w:t>о</w:t>
      </w:r>
      <w:r w:rsidRPr="003B6D98">
        <w:rPr>
          <w:sz w:val="18"/>
          <w:szCs w:val="18"/>
        </w:rPr>
        <w:t>торое он может пройти в стране происхождения. Стандартная медицинская справка, предста</w:t>
      </w:r>
      <w:r w:rsidRPr="003B6D98">
        <w:rPr>
          <w:sz w:val="18"/>
          <w:szCs w:val="18"/>
        </w:rPr>
        <w:t>в</w:t>
      </w:r>
      <w:r w:rsidRPr="003B6D98">
        <w:rPr>
          <w:sz w:val="18"/>
          <w:szCs w:val="18"/>
        </w:rPr>
        <w:t>ляемая при подаче ходатайства, должна быть в</w:t>
      </w:r>
      <w:r w:rsidRPr="003B6D98">
        <w:rPr>
          <w:sz w:val="18"/>
          <w:szCs w:val="18"/>
        </w:rPr>
        <w:t>ы</w:t>
      </w:r>
      <w:r w:rsidRPr="003B6D98">
        <w:rPr>
          <w:sz w:val="18"/>
          <w:szCs w:val="18"/>
        </w:rPr>
        <w:t>дана не более трех месяцев назад.</w:t>
      </w:r>
    </w:p>
    <w:p w:rsidR="00460BD7" w:rsidRPr="003B6D98" w:rsidRDefault="00460BD7" w:rsidP="00530372">
      <w:pPr>
        <w:pStyle w:val="Bullet1GR"/>
        <w:numPr>
          <w:ilvl w:val="0"/>
          <w:numId w:val="1"/>
        </w:numPr>
        <w:spacing w:line="240" w:lineRule="auto"/>
        <w:jc w:val="left"/>
        <w:rPr>
          <w:sz w:val="18"/>
          <w:szCs w:val="18"/>
        </w:rPr>
      </w:pPr>
      <w:r>
        <w:rPr>
          <w:sz w:val="18"/>
          <w:szCs w:val="18"/>
        </w:rPr>
        <w:t>Ходатайство</w:t>
      </w:r>
      <w:r>
        <w:rPr>
          <w:sz w:val="18"/>
          <w:szCs w:val="18"/>
          <w:lang w:val="en-US"/>
        </w:rPr>
        <w:t> </w:t>
      </w:r>
      <w:r w:rsidRPr="003B6D98">
        <w:rPr>
          <w:sz w:val="18"/>
          <w:szCs w:val="18"/>
        </w:rPr>
        <w:t>может быть признано неприемлемым, если врач полагает, что заб</w:t>
      </w:r>
      <w:r w:rsidRPr="003B6D98">
        <w:rPr>
          <w:sz w:val="18"/>
          <w:szCs w:val="18"/>
        </w:rPr>
        <w:t>о</w:t>
      </w:r>
      <w:r w:rsidRPr="003B6D98">
        <w:rPr>
          <w:sz w:val="18"/>
          <w:szCs w:val="18"/>
        </w:rPr>
        <w:t>левание (составляющее саму основу ходатайства) со всей очевидностью не соо</w:t>
      </w:r>
      <w:r w:rsidRPr="003B6D98">
        <w:rPr>
          <w:sz w:val="18"/>
          <w:szCs w:val="18"/>
        </w:rPr>
        <w:t>т</w:t>
      </w:r>
      <w:r w:rsidRPr="003B6D98">
        <w:rPr>
          <w:sz w:val="18"/>
          <w:szCs w:val="18"/>
        </w:rPr>
        <w:t>ветствует понятию "заболевание", определенному в данном законе (т</w:t>
      </w:r>
      <w:r>
        <w:rPr>
          <w:sz w:val="18"/>
          <w:szCs w:val="18"/>
        </w:rPr>
        <w:t>.</w:t>
      </w:r>
      <w:r w:rsidRPr="003B6D98">
        <w:rPr>
          <w:sz w:val="18"/>
          <w:szCs w:val="18"/>
        </w:rPr>
        <w:t>е</w:t>
      </w:r>
      <w:r>
        <w:rPr>
          <w:sz w:val="18"/>
          <w:szCs w:val="18"/>
        </w:rPr>
        <w:t>.</w:t>
      </w:r>
      <w:r w:rsidRPr="003B6D98">
        <w:rPr>
          <w:sz w:val="18"/>
          <w:szCs w:val="18"/>
        </w:rPr>
        <w:t xml:space="preserve"> степень его тяжести является недостаточной).</w:t>
      </w:r>
    </w:p>
    <w:p w:rsidR="00460BD7" w:rsidRPr="003B6D98" w:rsidRDefault="00460BD7" w:rsidP="00530372">
      <w:pPr>
        <w:pStyle w:val="Bullet1GR"/>
        <w:numPr>
          <w:ilvl w:val="0"/>
          <w:numId w:val="1"/>
        </w:numPr>
        <w:spacing w:line="240" w:lineRule="auto"/>
        <w:jc w:val="left"/>
        <w:rPr>
          <w:sz w:val="18"/>
          <w:szCs w:val="18"/>
        </w:rPr>
      </w:pPr>
      <w:r>
        <w:rPr>
          <w:sz w:val="18"/>
          <w:szCs w:val="18"/>
        </w:rPr>
        <w:t>Ходатайство</w:t>
      </w:r>
      <w:r>
        <w:rPr>
          <w:sz w:val="18"/>
          <w:szCs w:val="18"/>
          <w:lang w:val="en-US"/>
        </w:rPr>
        <w:t> </w:t>
      </w:r>
      <w:r w:rsidRPr="003B6D98">
        <w:rPr>
          <w:sz w:val="18"/>
          <w:szCs w:val="18"/>
        </w:rPr>
        <w:t>может быть отклонено на этапе рассмотрения вопроса о его прие</w:t>
      </w:r>
      <w:r w:rsidRPr="003B6D98">
        <w:rPr>
          <w:sz w:val="18"/>
          <w:szCs w:val="18"/>
        </w:rPr>
        <w:t>м</w:t>
      </w:r>
      <w:r w:rsidRPr="003B6D98">
        <w:rPr>
          <w:sz w:val="18"/>
          <w:szCs w:val="18"/>
        </w:rPr>
        <w:t>лемости, если иностранец не явится на прием по вызову уполном</w:t>
      </w:r>
      <w:r w:rsidRPr="003B6D98">
        <w:rPr>
          <w:sz w:val="18"/>
          <w:szCs w:val="18"/>
        </w:rPr>
        <w:t>о</w:t>
      </w:r>
      <w:r w:rsidRPr="003B6D98">
        <w:rPr>
          <w:sz w:val="18"/>
          <w:szCs w:val="18"/>
        </w:rPr>
        <w:t>ченного врача или эксперта (и если он в течение 15 дней после назначе</w:t>
      </w:r>
      <w:r w:rsidRPr="003B6D98">
        <w:rPr>
          <w:sz w:val="18"/>
          <w:szCs w:val="18"/>
        </w:rPr>
        <w:t>н</w:t>
      </w:r>
      <w:r w:rsidRPr="003B6D98">
        <w:rPr>
          <w:sz w:val="18"/>
          <w:szCs w:val="18"/>
        </w:rPr>
        <w:t>ной даты приема не представит уважительной причины своей неявки).</w:t>
      </w:r>
    </w:p>
    <w:p w:rsidR="00460BD7" w:rsidRPr="003B6D98" w:rsidRDefault="00460BD7" w:rsidP="00530372">
      <w:pPr>
        <w:pStyle w:val="Bullet1GR"/>
        <w:numPr>
          <w:ilvl w:val="0"/>
          <w:numId w:val="1"/>
        </w:numPr>
        <w:spacing w:line="240" w:lineRule="auto"/>
        <w:jc w:val="left"/>
        <w:rPr>
          <w:sz w:val="18"/>
          <w:szCs w:val="18"/>
        </w:rPr>
      </w:pPr>
      <w:r>
        <w:rPr>
          <w:sz w:val="18"/>
          <w:szCs w:val="18"/>
        </w:rPr>
        <w:t>Ходатайство</w:t>
      </w:r>
      <w:r>
        <w:rPr>
          <w:sz w:val="18"/>
          <w:szCs w:val="18"/>
          <w:lang w:val="en-US"/>
        </w:rPr>
        <w:t> </w:t>
      </w:r>
      <w:r w:rsidRPr="003B6D98">
        <w:rPr>
          <w:sz w:val="18"/>
          <w:szCs w:val="18"/>
        </w:rPr>
        <w:t>о предоставлении вида на жительство по состоянию здор</w:t>
      </w:r>
      <w:r w:rsidRPr="003B6D98">
        <w:rPr>
          <w:sz w:val="18"/>
          <w:szCs w:val="18"/>
        </w:rPr>
        <w:t>о</w:t>
      </w:r>
      <w:r w:rsidRPr="003B6D98">
        <w:rPr>
          <w:sz w:val="18"/>
          <w:szCs w:val="18"/>
        </w:rPr>
        <w:t>вья может быть признано необоснованным, если иностранец получил вид на жительство на неопределенный срок по другой причине, кроме случаев, когда иностранец в т</w:t>
      </w:r>
      <w:r w:rsidRPr="003B6D98">
        <w:rPr>
          <w:sz w:val="18"/>
          <w:szCs w:val="18"/>
        </w:rPr>
        <w:t>е</w:t>
      </w:r>
      <w:r w:rsidRPr="003B6D98">
        <w:rPr>
          <w:sz w:val="18"/>
          <w:szCs w:val="18"/>
        </w:rPr>
        <w:t>чение 60 дней направляет заказным письмом просьбу о продолжении его ра</w:t>
      </w:r>
      <w:r w:rsidRPr="003B6D98">
        <w:rPr>
          <w:sz w:val="18"/>
          <w:szCs w:val="18"/>
        </w:rPr>
        <w:t>с</w:t>
      </w:r>
      <w:r w:rsidRPr="003B6D98">
        <w:rPr>
          <w:sz w:val="18"/>
          <w:szCs w:val="18"/>
        </w:rPr>
        <w:t>смотрения.</w:t>
      </w:r>
    </w:p>
  </w:footnote>
  <w:footnote w:id="26">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Постановление КК № 177/2011 от 17 ноября 2011 года и по</w:t>
      </w:r>
      <w:r>
        <w:rPr>
          <w:lang w:val="ru-RU"/>
        </w:rPr>
        <w:t>становление КК № </w:t>
      </w:r>
      <w:r w:rsidRPr="00AB4C34">
        <w:rPr>
          <w:lang w:val="ru-RU"/>
        </w:rPr>
        <w:t>148/2011 от 5 октября 2011 года.</w:t>
      </w:r>
    </w:p>
  </w:footnote>
  <w:footnote w:id="27">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В состав этого комитета входят представители социальных партнеров, Центра по обеспечению равенства возможностей и борьбе с расизмом, Института по вопросам равноправия женщин и мужчин и экспертов в области разнообразия.</w:t>
      </w:r>
    </w:p>
  </w:footnote>
  <w:footnote w:id="28">
    <w:p w:rsidR="00460BD7" w:rsidRPr="00AB4C34" w:rsidRDefault="00460BD7" w:rsidP="004B4B9D">
      <w:pPr>
        <w:pStyle w:val="FootnoteText"/>
        <w:rPr>
          <w:lang w:val="ru-RU"/>
        </w:rPr>
      </w:pPr>
      <w:r w:rsidRPr="00AB4C34">
        <w:rPr>
          <w:lang w:val="ru-RU"/>
        </w:rPr>
        <w:tab/>
      </w:r>
      <w:r>
        <w:rPr>
          <w:rStyle w:val="FootnoteReference"/>
        </w:rPr>
        <w:footnoteRef/>
      </w:r>
      <w:r w:rsidRPr="00AB4C34">
        <w:rPr>
          <w:lang w:val="ru-RU"/>
        </w:rPr>
        <w:tab/>
      </w:r>
      <w:r>
        <w:rPr>
          <w:lang w:val="ru-RU"/>
        </w:rPr>
        <w:t>Как и Национальный регистр</w:t>
      </w:r>
      <w:r w:rsidRPr="00AB4C34">
        <w:rPr>
          <w:lang w:val="ru-RU"/>
        </w:rPr>
        <w:t>,</w:t>
      </w:r>
      <w:r>
        <w:rPr>
          <w:lang w:val="ru-RU"/>
        </w:rPr>
        <w:t xml:space="preserve"> Банк социального обеспечения "Карфур", сообщества и регионы</w:t>
      </w:r>
      <w:r w:rsidRPr="00AB4C34">
        <w:rPr>
          <w:lang w:val="ru-RU"/>
        </w:rPr>
        <w:t>.</w:t>
      </w:r>
    </w:p>
  </w:footnote>
  <w:footnote w:id="29">
    <w:p w:rsidR="00460BD7" w:rsidRPr="003C732E" w:rsidRDefault="00460BD7">
      <w:pPr>
        <w:pStyle w:val="FootnoteText"/>
        <w:rPr>
          <w:lang w:val="ru-RU"/>
        </w:rPr>
      </w:pPr>
      <w:r w:rsidRPr="004A12D3">
        <w:rPr>
          <w:lang w:val="ru-RU"/>
        </w:rPr>
        <w:tab/>
      </w:r>
      <w:r>
        <w:rPr>
          <w:rStyle w:val="FootnoteReference"/>
        </w:rPr>
        <w:footnoteRef/>
      </w:r>
      <w:r w:rsidRPr="003C732E">
        <w:rPr>
          <w:lang w:val="ru-RU"/>
        </w:rPr>
        <w:tab/>
        <w:t>СЕС, постановление от 10 июля 2008 года, дело C-54/07 (Feryn).</w:t>
      </w:r>
    </w:p>
  </w:footnote>
  <w:footnote w:id="30">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Относительно с</w:t>
      </w:r>
      <w:r>
        <w:rPr>
          <w:lang w:val="ru-RU"/>
        </w:rPr>
        <w:t>ообщений</w:t>
      </w:r>
      <w:r w:rsidRPr="00AB4C34">
        <w:rPr>
          <w:lang w:val="ru-RU"/>
        </w:rPr>
        <w:t xml:space="preserve"> о случаях применени</w:t>
      </w:r>
      <w:r>
        <w:rPr>
          <w:lang w:val="ru-RU"/>
        </w:rPr>
        <w:t>я критерия владения языком, см. </w:t>
      </w:r>
      <w:r w:rsidRPr="00AB4C34">
        <w:rPr>
          <w:lang w:val="ru-RU"/>
        </w:rPr>
        <w:t xml:space="preserve">документ </w:t>
      </w:r>
      <w:r w:rsidRPr="00B936CE">
        <w:t>CERD</w:t>
      </w:r>
      <w:r w:rsidRPr="00AB4C34">
        <w:rPr>
          <w:lang w:val="ru-RU"/>
        </w:rPr>
        <w:t>/</w:t>
      </w:r>
      <w:r w:rsidRPr="00B936CE">
        <w:t>C</w:t>
      </w:r>
      <w:r w:rsidRPr="00AB4C34">
        <w:rPr>
          <w:lang w:val="ru-RU"/>
        </w:rPr>
        <w:t>/</w:t>
      </w:r>
      <w:r w:rsidRPr="00B936CE">
        <w:t>BEL</w:t>
      </w:r>
      <w:r w:rsidRPr="00AB4C34">
        <w:rPr>
          <w:lang w:val="ru-RU"/>
        </w:rPr>
        <w:t>/</w:t>
      </w:r>
      <w:r w:rsidRPr="00B936CE">
        <w:t>CO</w:t>
      </w:r>
      <w:r w:rsidRPr="00AB4C34">
        <w:rPr>
          <w:lang w:val="ru-RU"/>
        </w:rPr>
        <w:t>/15/</w:t>
      </w:r>
      <w:r w:rsidRPr="00B936CE">
        <w:t>Add</w:t>
      </w:r>
      <w:r w:rsidRPr="00AB4C34">
        <w:rPr>
          <w:lang w:val="ru-RU"/>
        </w:rPr>
        <w:t>.1.</w:t>
      </w:r>
    </w:p>
  </w:footnote>
  <w:footnote w:id="31">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 xml:space="preserve">В приложение также включен экземпляр годового доклада </w:t>
      </w:r>
      <w:r>
        <w:rPr>
          <w:lang w:val="ru-RU"/>
        </w:rPr>
        <w:t>"</w:t>
      </w:r>
      <w:r w:rsidRPr="00AB4C34">
        <w:rPr>
          <w:lang w:val="ru-RU"/>
        </w:rPr>
        <w:t>Дискриминация-2011</w:t>
      </w:r>
      <w:r>
        <w:rPr>
          <w:lang w:val="ru-RU"/>
        </w:rPr>
        <w:t>"</w:t>
      </w:r>
      <w:r w:rsidRPr="00AB4C34">
        <w:rPr>
          <w:lang w:val="ru-RU"/>
        </w:rPr>
        <w:t xml:space="preserve">, подготовленного Центром по обеспечению равных возможностей и борьбе с расизмом (приложение </w:t>
      </w:r>
      <w:r w:rsidRPr="005C2561">
        <w:t>XV</w:t>
      </w:r>
      <w:r w:rsidRPr="00AB4C34">
        <w:rPr>
          <w:lang w:val="ru-RU"/>
        </w:rPr>
        <w:t>).</w:t>
      </w:r>
    </w:p>
  </w:footnote>
  <w:footnote w:id="32">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В 2009 году Центром была создана новая система</w:t>
      </w:r>
      <w:r>
        <w:rPr>
          <w:lang w:val="ru-RU"/>
        </w:rPr>
        <w:t xml:space="preserve"> обработки и регистрации дел: с </w:t>
      </w:r>
      <w:r w:rsidRPr="00AB4C34">
        <w:rPr>
          <w:lang w:val="ru-RU"/>
        </w:rPr>
        <w:t xml:space="preserve">указанного года в нем проводится различие между сообщениями и делами. Разъяснение смысла этих двух терминов см. на стр. 64 доклада </w:t>
      </w:r>
      <w:r>
        <w:rPr>
          <w:lang w:val="ru-RU"/>
        </w:rPr>
        <w:t>"Дискриминация−</w:t>
      </w:r>
      <w:r w:rsidRPr="00AB4C34">
        <w:rPr>
          <w:lang w:val="ru-RU"/>
        </w:rPr>
        <w:t>2011</w:t>
      </w:r>
      <w:r>
        <w:rPr>
          <w:lang w:val="ru-RU"/>
        </w:rPr>
        <w:t>"</w:t>
      </w:r>
      <w:r w:rsidRPr="00AB4C34">
        <w:rPr>
          <w:lang w:val="ru-RU"/>
        </w:rPr>
        <w:t>.</w:t>
      </w:r>
    </w:p>
  </w:footnote>
  <w:footnote w:id="33">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С 1 января по 30 июня 2012 года.</w:t>
      </w:r>
    </w:p>
  </w:footnote>
  <w:footnote w:id="34">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Эти дела касаются всего комплекса критериев, защищаемых федеральными законами от 10 мая</w:t>
      </w:r>
      <w:r>
        <w:rPr>
          <w:lang w:val="ru-RU"/>
        </w:rPr>
        <w:t xml:space="preserve"> </w:t>
      </w:r>
      <w:r w:rsidRPr="00AB4C34">
        <w:rPr>
          <w:lang w:val="ru-RU"/>
        </w:rPr>
        <w:t>2007</w:t>
      </w:r>
      <w:r>
        <w:rPr>
          <w:lang w:val="ru-RU"/>
        </w:rPr>
        <w:t xml:space="preserve"> </w:t>
      </w:r>
      <w:r w:rsidRPr="00AB4C34">
        <w:rPr>
          <w:lang w:val="ru-RU"/>
        </w:rPr>
        <w:t>года, и поэтому имеют отношение не только к проявлениям расовой дискриминации.</w:t>
      </w:r>
    </w:p>
  </w:footnote>
  <w:footnote w:id="35">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 xml:space="preserve">Концептуальная записка </w:t>
      </w:r>
      <w:r>
        <w:rPr>
          <w:lang w:val="ru-RU"/>
        </w:rPr>
        <w:t>"</w:t>
      </w:r>
      <w:r w:rsidRPr="00057970">
        <w:t>Samen</w:t>
      </w:r>
      <w:r w:rsidRPr="00AB4C34">
        <w:rPr>
          <w:lang w:val="ru-RU"/>
        </w:rPr>
        <w:t xml:space="preserve"> </w:t>
      </w:r>
      <w:r w:rsidRPr="00057970">
        <w:t>taalgrenzen</w:t>
      </w:r>
      <w:r w:rsidRPr="00AB4C34">
        <w:rPr>
          <w:lang w:val="ru-RU"/>
        </w:rPr>
        <w:t xml:space="preserve"> </w:t>
      </w:r>
      <w:r w:rsidRPr="00057970">
        <w:t>verleggen</w:t>
      </w:r>
      <w:r>
        <w:rPr>
          <w:lang w:val="ru-RU"/>
        </w:rPr>
        <w:t>"</w:t>
      </w:r>
      <w:r w:rsidRPr="00AB4C34">
        <w:rPr>
          <w:lang w:val="ru-RU"/>
        </w:rPr>
        <w:t xml:space="preserve"> (</w:t>
      </w:r>
      <w:r>
        <w:rPr>
          <w:lang w:val="ru-RU"/>
        </w:rPr>
        <w:t>"</w:t>
      </w:r>
      <w:r w:rsidRPr="00AB4C34">
        <w:rPr>
          <w:lang w:val="ru-RU"/>
        </w:rPr>
        <w:t>Раздвинем языковые границы общими усилиями</w:t>
      </w:r>
      <w:r>
        <w:rPr>
          <w:lang w:val="ru-RU"/>
        </w:rPr>
        <w:t>"</w:t>
      </w:r>
      <w:r w:rsidRPr="00AB4C34">
        <w:rPr>
          <w:lang w:val="ru-RU"/>
        </w:rPr>
        <w:t>).</w:t>
      </w:r>
    </w:p>
  </w:footnote>
  <w:footnote w:id="36">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r>
      <w:r>
        <w:rPr>
          <w:lang w:val="ru-RU"/>
        </w:rPr>
        <w:t>"</w:t>
      </w:r>
      <w:r w:rsidRPr="00057970">
        <w:t>Actieplan</w:t>
      </w:r>
      <w:r w:rsidRPr="00AB4C34">
        <w:rPr>
          <w:lang w:val="ru-RU"/>
        </w:rPr>
        <w:t xml:space="preserve"> </w:t>
      </w:r>
      <w:r w:rsidRPr="00057970">
        <w:t>spijbelen</w:t>
      </w:r>
      <w:r w:rsidRPr="00AB4C34">
        <w:rPr>
          <w:lang w:val="ru-RU"/>
        </w:rPr>
        <w:t xml:space="preserve"> </w:t>
      </w:r>
      <w:r w:rsidRPr="00057970">
        <w:t>en</w:t>
      </w:r>
      <w:r w:rsidRPr="00AB4C34">
        <w:rPr>
          <w:lang w:val="ru-RU"/>
        </w:rPr>
        <w:t xml:space="preserve"> </w:t>
      </w:r>
      <w:r w:rsidRPr="00057970">
        <w:t>andere</w:t>
      </w:r>
      <w:r w:rsidRPr="00AB4C34">
        <w:rPr>
          <w:lang w:val="ru-RU"/>
        </w:rPr>
        <w:t xml:space="preserve"> </w:t>
      </w:r>
      <w:r w:rsidRPr="00057970">
        <w:t>vormen</w:t>
      </w:r>
      <w:r w:rsidRPr="00AB4C34">
        <w:rPr>
          <w:lang w:val="ru-RU"/>
        </w:rPr>
        <w:t xml:space="preserve"> </w:t>
      </w:r>
      <w:r w:rsidRPr="00057970">
        <w:t>van</w:t>
      </w:r>
      <w:r w:rsidRPr="00AB4C34">
        <w:rPr>
          <w:lang w:val="ru-RU"/>
        </w:rPr>
        <w:t xml:space="preserve"> </w:t>
      </w:r>
      <w:r w:rsidRPr="00057970">
        <w:t>grensoverschrijdend</w:t>
      </w:r>
      <w:r w:rsidRPr="00AB4C34">
        <w:rPr>
          <w:lang w:val="ru-RU"/>
        </w:rPr>
        <w:t xml:space="preserve"> </w:t>
      </w:r>
      <w:r w:rsidRPr="00057970">
        <w:t>gedrag</w:t>
      </w:r>
      <w:r>
        <w:rPr>
          <w:lang w:val="ru-RU"/>
        </w:rPr>
        <w:t>"</w:t>
      </w:r>
      <w:r w:rsidRPr="00AB4C34">
        <w:rPr>
          <w:lang w:val="ru-RU"/>
        </w:rPr>
        <w:t xml:space="preserve"> (План действий по борьбе с проблемными видами поведения).</w:t>
      </w:r>
    </w:p>
  </w:footnote>
  <w:footnote w:id="37">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t xml:space="preserve">Планы действий </w:t>
      </w:r>
      <w:r>
        <w:rPr>
          <w:lang w:val="ru-RU"/>
        </w:rPr>
        <w:t>"</w:t>
      </w:r>
      <w:r w:rsidRPr="00AB4C34">
        <w:rPr>
          <w:lang w:val="ru-RU"/>
        </w:rPr>
        <w:t xml:space="preserve">Борьба с </w:t>
      </w:r>
      <w:r>
        <w:rPr>
          <w:lang w:val="ru-RU"/>
        </w:rPr>
        <w:t>бедностью"</w:t>
      </w:r>
      <w:r w:rsidRPr="00AB4C34">
        <w:rPr>
          <w:lang w:val="ru-RU"/>
        </w:rPr>
        <w:t xml:space="preserve"> и </w:t>
      </w:r>
      <w:r>
        <w:rPr>
          <w:lang w:val="ru-RU"/>
        </w:rPr>
        <w:t>"</w:t>
      </w:r>
      <w:r w:rsidRPr="00AB4C34">
        <w:rPr>
          <w:lang w:val="ru-RU"/>
        </w:rPr>
        <w:t>Политика интеграции</w:t>
      </w:r>
      <w:r>
        <w:rPr>
          <w:lang w:val="ru-RU"/>
        </w:rPr>
        <w:t>"</w:t>
      </w:r>
      <w:r w:rsidRPr="00AB4C34">
        <w:rPr>
          <w:lang w:val="ru-RU"/>
        </w:rPr>
        <w:t>.</w:t>
      </w:r>
    </w:p>
  </w:footnote>
  <w:footnote w:id="38">
    <w:p w:rsidR="00460BD7" w:rsidRPr="00A73096" w:rsidRDefault="00460BD7" w:rsidP="004B4B9D">
      <w:pPr>
        <w:pStyle w:val="FootnoteText"/>
        <w:rPr>
          <w:lang w:val="ru-RU"/>
        </w:rPr>
      </w:pPr>
      <w:r>
        <w:tab/>
      </w:r>
      <w:r>
        <w:rPr>
          <w:rStyle w:val="FootnoteReference"/>
        </w:rPr>
        <w:footnoteRef/>
      </w:r>
      <w:r w:rsidRPr="00A73096">
        <w:rPr>
          <w:lang w:val="ru-RU"/>
        </w:rPr>
        <w:tab/>
        <w:t>В качестве учащихся из числа вновь прибывших иммигрантов рассматриваются лица, отвечающие приведенным ниже условиям:</w:t>
      </w:r>
    </w:p>
    <w:p w:rsidR="00460BD7" w:rsidRPr="00A73096" w:rsidRDefault="00460BD7" w:rsidP="004B4B9D">
      <w:pPr>
        <w:pStyle w:val="FootnoteText"/>
        <w:rPr>
          <w:lang w:val="ru-RU"/>
        </w:rPr>
      </w:pPr>
      <w:r w:rsidRPr="00792318">
        <w:rPr>
          <w:szCs w:val="18"/>
        </w:rPr>
        <w:tab/>
      </w:r>
      <w:r>
        <w:rPr>
          <w:szCs w:val="18"/>
          <w:lang w:val="ru-RU"/>
        </w:rPr>
        <w:tab/>
      </w:r>
      <w:r>
        <w:rPr>
          <w:szCs w:val="18"/>
        </w:rPr>
        <w:tab/>
      </w:r>
      <w:r w:rsidRPr="00792318">
        <w:rPr>
          <w:szCs w:val="18"/>
        </w:rPr>
        <w:t>а)</w:t>
      </w:r>
      <w:r w:rsidRPr="00792318">
        <w:rPr>
          <w:szCs w:val="18"/>
        </w:rPr>
        <w:tab/>
        <w:t>которым д</w:t>
      </w:r>
      <w:r w:rsidRPr="00A73096">
        <w:rPr>
          <w:lang w:val="ru-RU"/>
        </w:rPr>
        <w:t>о достижения 18 лет остается не менее двух с половиной лет;</w:t>
      </w:r>
    </w:p>
    <w:p w:rsidR="00460BD7" w:rsidRPr="00A73096" w:rsidRDefault="00460BD7" w:rsidP="004B4B9D">
      <w:pPr>
        <w:pStyle w:val="FootnoteText"/>
        <w:rPr>
          <w:lang w:val="ru-RU"/>
        </w:rPr>
      </w:pPr>
      <w:r w:rsidRPr="00A73096">
        <w:rPr>
          <w:lang w:val="ru-RU"/>
        </w:rPr>
        <w:tab/>
      </w:r>
      <w:r>
        <w:rPr>
          <w:lang w:val="ru-RU"/>
        </w:rPr>
        <w:tab/>
      </w:r>
      <w:r>
        <w:rPr>
          <w:lang w:val="ru-RU"/>
        </w:rPr>
        <w:tab/>
      </w:r>
      <w:r w:rsidRPr="00A73096">
        <w:rPr>
          <w:lang w:val="ru-RU"/>
        </w:rPr>
        <w:t>b)</w:t>
      </w:r>
      <w:r w:rsidRPr="00A73096">
        <w:rPr>
          <w:lang w:val="ru-RU"/>
        </w:rPr>
        <w:tab/>
        <w:t>которые либо подали заявление на признание за ними статуса беженца, либо получили статус беженца в соответствии с Законом от 15 декабря 1980 года о доступе иностранцев на территорию, их пребывании, получении ими статуса и их высылке;</w:t>
      </w:r>
    </w:p>
    <w:p w:rsidR="00460BD7" w:rsidRPr="00A73096" w:rsidRDefault="00460BD7" w:rsidP="004B4B9D">
      <w:pPr>
        <w:pStyle w:val="FootnoteText"/>
        <w:rPr>
          <w:lang w:val="ru-RU"/>
        </w:rPr>
      </w:pPr>
      <w:r w:rsidRPr="00A73096">
        <w:rPr>
          <w:lang w:val="ru-RU"/>
        </w:rPr>
        <w:tab/>
      </w:r>
      <w:r>
        <w:rPr>
          <w:lang w:val="ru-RU"/>
        </w:rPr>
        <w:tab/>
      </w:r>
      <w:r>
        <w:rPr>
          <w:lang w:val="ru-RU"/>
        </w:rPr>
        <w:tab/>
      </w:r>
      <w:r w:rsidRPr="00A73096">
        <w:rPr>
          <w:lang w:val="ru-RU"/>
        </w:rPr>
        <w:t>с)</w:t>
      </w:r>
      <w:r w:rsidRPr="00A73096">
        <w:rPr>
          <w:lang w:val="ru-RU"/>
        </w:rPr>
        <w:tab/>
        <w:t>которые относятся к категории несовершеннолетних, прибывших в страну в сопровождении лица, подавшего заявление на признание статуса беженца или лица, получившего статус беженца в соответствии с Законом от 15 декабря 1980 года о доступе иностранцев на территорию, их пребывании, получении ими статуса и их высылке;</w:t>
      </w:r>
    </w:p>
    <w:p w:rsidR="00460BD7" w:rsidRPr="00A73096" w:rsidRDefault="00460BD7" w:rsidP="004B4B9D">
      <w:pPr>
        <w:pStyle w:val="FootnoteText"/>
        <w:rPr>
          <w:lang w:val="ru-RU"/>
        </w:rPr>
      </w:pPr>
      <w:r w:rsidRPr="00A73096">
        <w:rPr>
          <w:lang w:val="ru-RU"/>
        </w:rPr>
        <w:tab/>
      </w:r>
      <w:r>
        <w:rPr>
          <w:lang w:val="ru-RU"/>
        </w:rPr>
        <w:tab/>
      </w:r>
      <w:r>
        <w:rPr>
          <w:lang w:val="ru-RU"/>
        </w:rPr>
        <w:tab/>
      </w:r>
      <w:r w:rsidRPr="00A73096">
        <w:rPr>
          <w:lang w:val="ru-RU"/>
        </w:rPr>
        <w:t>d)</w:t>
      </w:r>
      <w:r w:rsidRPr="00A73096">
        <w:rPr>
          <w:lang w:val="ru-RU"/>
        </w:rPr>
        <w:tab/>
        <w:t>которые подали заявление об их признании в качестве апатрида или признаны в качестве апа</w:t>
      </w:r>
      <w:r w:rsidRPr="00A73096">
        <w:rPr>
          <w:lang w:val="ru-RU"/>
        </w:rPr>
        <w:t>т</w:t>
      </w:r>
      <w:r w:rsidRPr="00A73096">
        <w:rPr>
          <w:lang w:val="ru-RU"/>
        </w:rPr>
        <w:t>рида;</w:t>
      </w:r>
    </w:p>
    <w:p w:rsidR="00460BD7" w:rsidRPr="00A73096" w:rsidRDefault="00460BD7" w:rsidP="004B4B9D">
      <w:pPr>
        <w:pStyle w:val="FootnoteText"/>
        <w:rPr>
          <w:lang w:val="ru-RU"/>
        </w:rPr>
      </w:pPr>
      <w:r w:rsidRPr="00A73096">
        <w:rPr>
          <w:lang w:val="ru-RU"/>
        </w:rPr>
        <w:tab/>
      </w:r>
      <w:r>
        <w:rPr>
          <w:lang w:val="ru-RU"/>
        </w:rPr>
        <w:tab/>
      </w:r>
      <w:r>
        <w:rPr>
          <w:lang w:val="ru-RU"/>
        </w:rPr>
        <w:tab/>
      </w:r>
      <w:r w:rsidRPr="00A73096">
        <w:rPr>
          <w:lang w:val="ru-RU"/>
        </w:rPr>
        <w:t>е)</w:t>
      </w:r>
      <w:r w:rsidRPr="00A73096">
        <w:rPr>
          <w:lang w:val="ru-RU"/>
        </w:rPr>
        <w:tab/>
        <w:t>которые являются гражданами стран, рассматриваемых в качестве развивающихся стран и упомянутых в статье 2 Закона от 25 мая 1999 года о международном сотрудничестве Бельгии, или стран с переходной экономикой, получающих официальную помощь со стороны Комитета по оказанию помощи развитию Организации экономического сотрудничества и развития;</w:t>
      </w:r>
    </w:p>
    <w:p w:rsidR="00460BD7" w:rsidRPr="00A73096" w:rsidRDefault="00460BD7" w:rsidP="004B4B9D">
      <w:pPr>
        <w:pStyle w:val="FootnoteText"/>
        <w:rPr>
          <w:lang w:val="ru-RU"/>
        </w:rPr>
      </w:pPr>
      <w:r w:rsidRPr="00A73096">
        <w:rPr>
          <w:lang w:val="ru-RU"/>
        </w:rPr>
        <w:tab/>
      </w:r>
      <w:r>
        <w:rPr>
          <w:lang w:val="ru-RU"/>
        </w:rPr>
        <w:tab/>
      </w:r>
      <w:r>
        <w:rPr>
          <w:lang w:val="ru-RU"/>
        </w:rPr>
        <w:tab/>
      </w:r>
      <w:r w:rsidRPr="00A73096">
        <w:rPr>
          <w:lang w:val="ru-RU"/>
        </w:rPr>
        <w:t>f)</w:t>
      </w:r>
      <w:r w:rsidRPr="00A73096">
        <w:rPr>
          <w:lang w:val="ru-RU"/>
        </w:rPr>
        <w:tab/>
        <w:t>которые прибы</w:t>
      </w:r>
      <w:r w:rsidRPr="00A73096">
        <w:rPr>
          <w:szCs w:val="18"/>
          <w:lang w:val="ru-RU"/>
        </w:rPr>
        <w:t>ли на национальную территорию как минимум один год назад.</w:t>
      </w:r>
    </w:p>
  </w:footnote>
  <w:footnote w:id="39">
    <w:p w:rsidR="00460BD7" w:rsidRPr="007C7948"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tab/>
      </w:r>
      <w:r>
        <w:rPr>
          <w:lang w:val="ru-RU"/>
        </w:rPr>
        <w:t xml:space="preserve">В </w:t>
      </w:r>
      <w:r>
        <w:t>2010</w:t>
      </w:r>
      <w:r>
        <w:rPr>
          <w:lang w:val="ru-RU"/>
        </w:rPr>
        <w:t xml:space="preserve"> году</w:t>
      </w:r>
      <w:r>
        <w:t xml:space="preserve">: </w:t>
      </w:r>
    </w:p>
    <w:p w:rsidR="00460BD7" w:rsidRPr="007C55E7" w:rsidRDefault="00460BD7" w:rsidP="000723A7">
      <w:pPr>
        <w:pStyle w:val="Bullet1GR"/>
      </w:pPr>
      <w:r w:rsidRPr="007C55E7">
        <w:t>школьные посредники, работающие как в Брюсселе, так и в Валлонии, и сотру</w:t>
      </w:r>
      <w:r w:rsidRPr="007C55E7">
        <w:t>д</w:t>
      </w:r>
      <w:r w:rsidRPr="007C55E7">
        <w:t>ники мобильных групп;</w:t>
      </w:r>
    </w:p>
    <w:p w:rsidR="00460BD7" w:rsidRPr="008C418C" w:rsidRDefault="00460BD7" w:rsidP="008C418C">
      <w:pPr>
        <w:tabs>
          <w:tab w:val="left" w:pos="1568"/>
          <w:tab w:val="left" w:pos="1722"/>
        </w:tabs>
        <w:spacing w:line="240" w:lineRule="auto"/>
        <w:ind w:left="1722" w:hanging="1722"/>
        <w:rPr>
          <w:sz w:val="18"/>
          <w:szCs w:val="18"/>
        </w:rPr>
      </w:pPr>
      <w:r>
        <w:rPr>
          <w:lang w:val="en-US"/>
        </w:rPr>
        <w:tab/>
      </w:r>
      <w:r w:rsidRPr="008C418C">
        <w:t>•</w:t>
      </w:r>
      <w:r w:rsidRPr="008C418C">
        <w:tab/>
      </w:r>
      <w:r w:rsidRPr="008C418C">
        <w:rPr>
          <w:sz w:val="18"/>
          <w:szCs w:val="18"/>
        </w:rPr>
        <w:t>персонал инспекции школ (главный инспектор-координатор, главные инспекторы и инспект</w:t>
      </w:r>
      <w:r w:rsidRPr="008C418C">
        <w:rPr>
          <w:sz w:val="18"/>
          <w:szCs w:val="18"/>
        </w:rPr>
        <w:t>о</w:t>
      </w:r>
      <w:r w:rsidRPr="008C418C">
        <w:rPr>
          <w:sz w:val="18"/>
          <w:szCs w:val="18"/>
        </w:rPr>
        <w:t>ры-координаторы);</w:t>
      </w:r>
    </w:p>
    <w:p w:rsidR="00460BD7" w:rsidRPr="008C418C" w:rsidRDefault="00460BD7" w:rsidP="008C418C">
      <w:pPr>
        <w:tabs>
          <w:tab w:val="left" w:pos="1568"/>
          <w:tab w:val="left" w:pos="1722"/>
        </w:tabs>
        <w:spacing w:line="240" w:lineRule="auto"/>
        <w:ind w:left="1722" w:hanging="1722"/>
        <w:rPr>
          <w:sz w:val="18"/>
          <w:szCs w:val="18"/>
          <w:lang w:val="en-US"/>
        </w:rPr>
      </w:pPr>
      <w:r>
        <w:rPr>
          <w:sz w:val="18"/>
          <w:szCs w:val="18"/>
          <w:lang w:val="en-US"/>
        </w:rPr>
        <w:tab/>
      </w:r>
      <w:r w:rsidRPr="008C418C">
        <w:t>•</w:t>
      </w:r>
      <w:r w:rsidRPr="008C418C">
        <w:tab/>
      </w:r>
      <w:r w:rsidRPr="008C418C">
        <w:rPr>
          <w:sz w:val="18"/>
          <w:szCs w:val="18"/>
        </w:rPr>
        <w:t>инспекторы центров МПС;</w:t>
      </w:r>
    </w:p>
    <w:p w:rsidR="00460BD7" w:rsidRPr="008C418C" w:rsidRDefault="00460BD7" w:rsidP="008C418C">
      <w:pPr>
        <w:tabs>
          <w:tab w:val="left" w:pos="1568"/>
          <w:tab w:val="left" w:pos="1722"/>
        </w:tabs>
        <w:spacing w:line="240" w:lineRule="auto"/>
        <w:ind w:left="1722" w:hanging="1722"/>
        <w:rPr>
          <w:sz w:val="18"/>
          <w:szCs w:val="18"/>
        </w:rPr>
      </w:pPr>
      <w:r w:rsidRPr="008C418C">
        <w:rPr>
          <w:sz w:val="18"/>
          <w:szCs w:val="18"/>
          <w:lang w:val="en-US"/>
        </w:rPr>
        <w:tab/>
      </w:r>
      <w:r w:rsidRPr="008C418C">
        <w:t>•</w:t>
      </w:r>
      <w:r w:rsidRPr="008C418C">
        <w:rPr>
          <w:sz w:val="18"/>
          <w:szCs w:val="18"/>
        </w:rPr>
        <w:tab/>
        <w:t>работники неформальной платформы.</w:t>
      </w:r>
    </w:p>
    <w:p w:rsidR="00460BD7" w:rsidRPr="008C418C" w:rsidRDefault="00460BD7" w:rsidP="004B4B9D">
      <w:pPr>
        <w:pStyle w:val="FootnoteText"/>
        <w:widowControl w:val="0"/>
        <w:tabs>
          <w:tab w:val="clear" w:pos="1021"/>
          <w:tab w:val="right" w:pos="1020"/>
        </w:tabs>
        <w:rPr>
          <w:lang w:val="ru-RU"/>
        </w:rPr>
      </w:pPr>
      <w:r w:rsidRPr="008C418C">
        <w:rPr>
          <w:lang w:val="ru-RU"/>
        </w:rPr>
        <w:tab/>
      </w:r>
      <w:r w:rsidRPr="008C418C">
        <w:rPr>
          <w:lang w:val="ru-RU"/>
        </w:rPr>
        <w:tab/>
      </w:r>
      <w:r>
        <w:rPr>
          <w:lang w:val="ru-RU"/>
        </w:rPr>
        <w:t>В</w:t>
      </w:r>
      <w:r w:rsidRPr="008C418C">
        <w:rPr>
          <w:lang w:val="ru-RU"/>
        </w:rPr>
        <w:t xml:space="preserve"> 2011</w:t>
      </w:r>
      <w:r>
        <w:rPr>
          <w:lang w:val="ru-RU"/>
        </w:rPr>
        <w:t xml:space="preserve"> году</w:t>
      </w:r>
      <w:r w:rsidRPr="008C418C">
        <w:rPr>
          <w:lang w:val="ru-RU"/>
        </w:rPr>
        <w:t>:</w:t>
      </w:r>
    </w:p>
    <w:p w:rsidR="00460BD7" w:rsidRPr="000723A7" w:rsidRDefault="00460BD7" w:rsidP="008C418C">
      <w:pPr>
        <w:tabs>
          <w:tab w:val="left" w:pos="1568"/>
          <w:tab w:val="left" w:pos="1722"/>
        </w:tabs>
        <w:spacing w:line="240" w:lineRule="auto"/>
        <w:ind w:left="1722" w:hanging="1722"/>
        <w:rPr>
          <w:sz w:val="18"/>
          <w:szCs w:val="18"/>
        </w:rPr>
      </w:pPr>
      <w:r>
        <w:rPr>
          <w:sz w:val="18"/>
          <w:szCs w:val="18"/>
          <w:lang w:val="en-US"/>
        </w:rPr>
        <w:tab/>
      </w:r>
      <w:r w:rsidRPr="008C418C">
        <w:t>•</w:t>
      </w:r>
      <w:r w:rsidRPr="008C418C">
        <w:tab/>
      </w:r>
      <w:r w:rsidRPr="000723A7">
        <w:rPr>
          <w:sz w:val="18"/>
          <w:szCs w:val="18"/>
        </w:rPr>
        <w:t>директоры школ (в рамках информационных семинаров);</w:t>
      </w:r>
    </w:p>
    <w:p w:rsidR="00460BD7" w:rsidRPr="000723A7" w:rsidRDefault="00460BD7" w:rsidP="008C418C">
      <w:pPr>
        <w:tabs>
          <w:tab w:val="left" w:pos="1568"/>
          <w:tab w:val="left" w:pos="1722"/>
        </w:tabs>
        <w:spacing w:line="240" w:lineRule="auto"/>
        <w:ind w:left="1722" w:hanging="1722"/>
        <w:rPr>
          <w:sz w:val="18"/>
          <w:szCs w:val="18"/>
        </w:rPr>
      </w:pPr>
      <w:r>
        <w:rPr>
          <w:sz w:val="18"/>
          <w:szCs w:val="18"/>
          <w:lang w:val="en-US"/>
        </w:rPr>
        <w:tab/>
      </w:r>
      <w:r w:rsidRPr="008C418C">
        <w:t>•</w:t>
      </w:r>
      <w:r w:rsidRPr="008C418C">
        <w:tab/>
      </w:r>
      <w:r w:rsidRPr="000723A7">
        <w:rPr>
          <w:sz w:val="18"/>
          <w:szCs w:val="18"/>
        </w:rPr>
        <w:t>новые работники неформальной платформы;</w:t>
      </w:r>
    </w:p>
    <w:p w:rsidR="00460BD7" w:rsidRPr="000723A7" w:rsidRDefault="00460BD7" w:rsidP="008C418C">
      <w:pPr>
        <w:tabs>
          <w:tab w:val="left" w:pos="1568"/>
          <w:tab w:val="left" w:pos="1722"/>
        </w:tabs>
        <w:spacing w:line="240" w:lineRule="auto"/>
        <w:ind w:left="1722" w:hanging="1722"/>
        <w:rPr>
          <w:sz w:val="18"/>
          <w:szCs w:val="18"/>
        </w:rPr>
      </w:pPr>
      <w:r>
        <w:rPr>
          <w:sz w:val="18"/>
          <w:szCs w:val="18"/>
          <w:lang w:val="en-US"/>
        </w:rPr>
        <w:tab/>
      </w:r>
      <w:r w:rsidRPr="008C418C">
        <w:t>•</w:t>
      </w:r>
      <w:r w:rsidRPr="008C418C">
        <w:tab/>
      </w:r>
      <w:r w:rsidRPr="000723A7">
        <w:rPr>
          <w:sz w:val="18"/>
          <w:szCs w:val="18"/>
        </w:rPr>
        <w:t>сотрудники Службы помощи школе;</w:t>
      </w:r>
    </w:p>
    <w:p w:rsidR="00460BD7" w:rsidRPr="000723A7" w:rsidRDefault="00460BD7" w:rsidP="008C418C">
      <w:pPr>
        <w:tabs>
          <w:tab w:val="left" w:pos="1568"/>
          <w:tab w:val="left" w:pos="1722"/>
        </w:tabs>
        <w:spacing w:line="240" w:lineRule="auto"/>
        <w:ind w:left="1722" w:hanging="1722"/>
        <w:rPr>
          <w:sz w:val="18"/>
          <w:szCs w:val="18"/>
        </w:rPr>
      </w:pPr>
      <w:r>
        <w:rPr>
          <w:sz w:val="18"/>
          <w:szCs w:val="18"/>
          <w:lang w:val="en-US"/>
        </w:rPr>
        <w:tab/>
      </w:r>
      <w:r w:rsidRPr="008C418C">
        <w:t>•</w:t>
      </w:r>
      <w:r w:rsidRPr="008C418C">
        <w:tab/>
      </w:r>
      <w:r w:rsidRPr="000723A7">
        <w:rPr>
          <w:sz w:val="18"/>
          <w:szCs w:val="18"/>
        </w:rPr>
        <w:t>посредники Валлонского региона и Федерации Валлонии-Брюсселя, а также пр</w:t>
      </w:r>
      <w:r w:rsidRPr="000723A7">
        <w:rPr>
          <w:sz w:val="18"/>
          <w:szCs w:val="18"/>
        </w:rPr>
        <w:t>о</w:t>
      </w:r>
      <w:r w:rsidRPr="000723A7">
        <w:rPr>
          <w:sz w:val="18"/>
          <w:szCs w:val="18"/>
        </w:rPr>
        <w:t>винциальные координаторы.</w:t>
      </w:r>
    </w:p>
  </w:footnote>
  <w:footnote w:id="40">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r>
      <w:r>
        <w:rPr>
          <w:lang w:val="ru-RU"/>
        </w:rPr>
        <w:t xml:space="preserve">Превентивные меры определены в Королевском указе от 19 июня </w:t>
      </w:r>
      <w:r w:rsidRPr="00AB4C34">
        <w:rPr>
          <w:lang w:val="ru-RU"/>
        </w:rPr>
        <w:t>2012</w:t>
      </w:r>
      <w:r>
        <w:rPr>
          <w:lang w:val="ru-RU"/>
        </w:rPr>
        <w:t xml:space="preserve"> года о внесении изменений в Королевский указ от 8 октября </w:t>
      </w:r>
      <w:r w:rsidRPr="00AB4C34">
        <w:rPr>
          <w:lang w:val="ru-RU"/>
        </w:rPr>
        <w:t>1981</w:t>
      </w:r>
      <w:r>
        <w:rPr>
          <w:lang w:val="ru-RU"/>
        </w:rPr>
        <w:t xml:space="preserve"> года </w:t>
      </w:r>
      <w:r w:rsidRPr="00AB4C34">
        <w:rPr>
          <w:szCs w:val="18"/>
          <w:lang w:val="ru-RU"/>
        </w:rPr>
        <w:t>о доступе иностранцев на территорию, их пребывании, получении ими статуса и их высылке</w:t>
      </w:r>
      <w:r>
        <w:rPr>
          <w:szCs w:val="18"/>
          <w:lang w:val="ru-RU"/>
        </w:rPr>
        <w:t xml:space="preserve"> и в Королевском указе от 20 июля </w:t>
      </w:r>
      <w:r w:rsidRPr="00AB4C34">
        <w:rPr>
          <w:lang w:val="ru-RU"/>
        </w:rPr>
        <w:t>2001</w:t>
      </w:r>
      <w:r>
        <w:rPr>
          <w:lang w:val="ru-RU"/>
        </w:rPr>
        <w:t xml:space="preserve"> года о функционировании и персонале Генеральной инспекции федеральной и местной полиции в рамках контроля за принудительным возвращением ("М.Б." от 2 июля</w:t>
      </w:r>
      <w:r w:rsidRPr="00AB4C34">
        <w:rPr>
          <w:lang w:val="ru-RU"/>
        </w:rPr>
        <w:t xml:space="preserve"> 2012</w:t>
      </w:r>
      <w:r>
        <w:rPr>
          <w:lang w:val="ru-RU"/>
        </w:rPr>
        <w:t xml:space="preserve"> года</w:t>
      </w:r>
      <w:r w:rsidRPr="00AB4C34">
        <w:rPr>
          <w:lang w:val="ru-RU"/>
        </w:rPr>
        <w:t xml:space="preserve">). </w:t>
      </w:r>
      <w:r>
        <w:rPr>
          <w:lang w:val="ru-RU"/>
        </w:rPr>
        <w:t>На основании этого указа министр или его представитель могут предписать соответствующему иностранцу регулярно являться в компетентные органы</w:t>
      </w:r>
      <w:r w:rsidRPr="00AB4C34">
        <w:rPr>
          <w:lang w:val="ru-RU"/>
        </w:rPr>
        <w:t>,</w:t>
      </w:r>
      <w:r>
        <w:rPr>
          <w:lang w:val="ru-RU"/>
        </w:rPr>
        <w:t xml:space="preserve"> внести достаточный финансовый залог и передать копии своих документов, удостоверяющих личность</w:t>
      </w:r>
      <w:r w:rsidRPr="00AB4C34">
        <w:rPr>
          <w:lang w:val="ru-RU"/>
        </w:rPr>
        <w:t xml:space="preserve">. </w:t>
      </w:r>
      <w:r>
        <w:rPr>
          <w:lang w:val="ru-RU"/>
        </w:rPr>
        <w:t>Эти превентивные меры принимаются индивидуально и могут носить множественный характер</w:t>
      </w:r>
      <w:r w:rsidRPr="00AB4C34">
        <w:rPr>
          <w:lang w:val="ru-RU"/>
        </w:rPr>
        <w:t>.</w:t>
      </w:r>
    </w:p>
  </w:footnote>
  <w:footnote w:id="41">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Pr>
          <w:lang w:val="ru-RU"/>
        </w:rPr>
        <w:tab/>
        <w:t xml:space="preserve">1° есть опасность бегства; </w:t>
      </w:r>
    </w:p>
    <w:p w:rsidR="00460BD7" w:rsidRPr="00AB4C34" w:rsidRDefault="00460BD7" w:rsidP="004B4B9D">
      <w:pPr>
        <w:pStyle w:val="FootnoteText"/>
        <w:widowControl w:val="0"/>
        <w:tabs>
          <w:tab w:val="clear" w:pos="1021"/>
          <w:tab w:val="right" w:pos="1020"/>
        </w:tabs>
        <w:rPr>
          <w:lang w:val="ru-RU"/>
        </w:rPr>
      </w:pPr>
      <w:r>
        <w:rPr>
          <w:lang w:val="ru-RU"/>
        </w:rPr>
        <w:tab/>
      </w:r>
      <w:r>
        <w:rPr>
          <w:lang w:val="ru-RU"/>
        </w:rPr>
        <w:tab/>
        <w:t xml:space="preserve">2° гражданин третьей страны нарушил предписанную ему превентивную меру; </w:t>
      </w:r>
    </w:p>
    <w:p w:rsidR="00460BD7" w:rsidRPr="003D46C5" w:rsidRDefault="00460BD7" w:rsidP="004B4B9D">
      <w:pPr>
        <w:pStyle w:val="FootnoteText"/>
        <w:widowControl w:val="0"/>
        <w:tabs>
          <w:tab w:val="clear" w:pos="1021"/>
          <w:tab w:val="right" w:pos="1020"/>
        </w:tabs>
        <w:rPr>
          <w:lang w:val="ru-RU"/>
        </w:rPr>
      </w:pPr>
      <w:r>
        <w:rPr>
          <w:lang w:val="ru-RU"/>
        </w:rPr>
        <w:tab/>
      </w:r>
      <w:r>
        <w:rPr>
          <w:lang w:val="ru-RU"/>
        </w:rPr>
        <w:tab/>
        <w:t xml:space="preserve">3° гражданин третьей страны представляет опасность для общественного порядка и национальной безопасности; </w:t>
      </w:r>
    </w:p>
    <w:p w:rsidR="00460BD7" w:rsidRPr="00AB4C34" w:rsidRDefault="00460BD7" w:rsidP="004B4B9D">
      <w:pPr>
        <w:pStyle w:val="FootnoteText"/>
        <w:widowControl w:val="0"/>
        <w:tabs>
          <w:tab w:val="clear" w:pos="1021"/>
          <w:tab w:val="right" w:pos="1020"/>
        </w:tabs>
        <w:rPr>
          <w:lang w:val="ru-RU"/>
        </w:rPr>
      </w:pPr>
      <w:r>
        <w:rPr>
          <w:lang w:val="ru-RU"/>
        </w:rPr>
        <w:tab/>
      </w:r>
      <w:r>
        <w:rPr>
          <w:lang w:val="ru-RU"/>
        </w:rPr>
        <w:tab/>
        <w:t xml:space="preserve">4° гражданин третьей страны не выполнил срок, назначенный ему в предыдущем решении об удалении с территории; </w:t>
      </w:r>
    </w:p>
    <w:p w:rsidR="00460BD7" w:rsidRPr="00AB4C34" w:rsidRDefault="00460BD7" w:rsidP="004B4B9D">
      <w:pPr>
        <w:pStyle w:val="FootnoteText"/>
        <w:widowControl w:val="0"/>
        <w:tabs>
          <w:tab w:val="clear" w:pos="1021"/>
          <w:tab w:val="right" w:pos="1020"/>
        </w:tabs>
        <w:rPr>
          <w:lang w:val="ru-RU"/>
        </w:rPr>
      </w:pPr>
      <w:r>
        <w:rPr>
          <w:lang w:val="ru-RU"/>
        </w:rPr>
        <w:tab/>
      </w:r>
      <w:r>
        <w:rPr>
          <w:lang w:val="ru-RU"/>
        </w:rPr>
        <w:tab/>
        <w:t>5° его пребывание на территории было прекращено на основании подпункта 4 пункта 2 статьи 11, пункта 2-</w:t>
      </w:r>
      <w:r w:rsidRPr="0092028C">
        <w:rPr>
          <w:lang w:val="ru-RU"/>
        </w:rPr>
        <w:t>бис</w:t>
      </w:r>
      <w:r>
        <w:rPr>
          <w:lang w:val="ru-RU"/>
        </w:rPr>
        <w:t xml:space="preserve">, подпункта 3 пункта 3, подпункта 5 пункта 4 и пункта 5 статьи </w:t>
      </w:r>
      <w:r w:rsidRPr="00AB4C34">
        <w:rPr>
          <w:lang w:val="ru-RU"/>
        </w:rPr>
        <w:t>13</w:t>
      </w:r>
      <w:r>
        <w:rPr>
          <w:lang w:val="ru-RU"/>
        </w:rPr>
        <w:t xml:space="preserve"> или пункта 2 статьи 18; </w:t>
      </w:r>
    </w:p>
    <w:p w:rsidR="00460BD7" w:rsidRPr="00AB4C34" w:rsidRDefault="00460BD7" w:rsidP="004B4B9D">
      <w:pPr>
        <w:pStyle w:val="FootnoteText"/>
        <w:widowControl w:val="0"/>
        <w:tabs>
          <w:tab w:val="clear" w:pos="1021"/>
          <w:tab w:val="right" w:pos="1020"/>
        </w:tabs>
        <w:rPr>
          <w:lang w:val="ru-RU"/>
        </w:rPr>
      </w:pPr>
      <w:r w:rsidRPr="00AB4C34">
        <w:rPr>
          <w:lang w:val="ru-RU"/>
        </w:rPr>
        <w:tab/>
      </w:r>
      <w:r w:rsidRPr="00AB4C34">
        <w:rPr>
          <w:lang w:val="ru-RU"/>
        </w:rPr>
        <w:tab/>
        <w:t>6°</w:t>
      </w:r>
      <w:r>
        <w:rPr>
          <w:lang w:val="ru-RU"/>
        </w:rPr>
        <w:t> гражданин третьей страны подал более двух ходатайств о предоставлении убежища</w:t>
      </w:r>
      <w:r w:rsidRPr="00AB4C34">
        <w:rPr>
          <w:lang w:val="ru-RU"/>
        </w:rPr>
        <w:t>,</w:t>
      </w:r>
      <w:r>
        <w:rPr>
          <w:lang w:val="ru-RU"/>
        </w:rPr>
        <w:t xml:space="preserve"> за исключением случаев, когда в его ходатайстве изложены новые обстоятельства</w:t>
      </w:r>
      <w:r w:rsidRPr="00AB4C34">
        <w:rPr>
          <w:lang w:val="ru-RU"/>
        </w:rPr>
        <w:t xml:space="preserve">. </w:t>
      </w:r>
      <w:r>
        <w:rPr>
          <w:lang w:val="ru-RU"/>
        </w:rPr>
        <w:t>Тогда в решении об удалении с территории предусматривается либо срок в 7дней, либо не дается никакого срока</w:t>
      </w:r>
      <w:r w:rsidRPr="00AB4C34">
        <w:rPr>
          <w:lang w:val="ru-RU"/>
        </w:rPr>
        <w:t>.</w:t>
      </w:r>
    </w:p>
  </w:footnote>
  <w:footnote w:id="42">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r>
      <w:r>
        <w:rPr>
          <w:lang w:val="ru-RU"/>
        </w:rPr>
        <w:t>Регламент</w:t>
      </w:r>
      <w:r w:rsidRPr="00AB4C34">
        <w:rPr>
          <w:lang w:val="ru-RU"/>
        </w:rPr>
        <w:t xml:space="preserve"> </w:t>
      </w:r>
      <w:r>
        <w:rPr>
          <w:lang w:val="ru-RU"/>
        </w:rPr>
        <w:t xml:space="preserve">№ </w:t>
      </w:r>
      <w:r w:rsidRPr="00AB4C34">
        <w:rPr>
          <w:lang w:val="ru-RU"/>
        </w:rPr>
        <w:t>343/2003</w:t>
      </w:r>
      <w:r>
        <w:rPr>
          <w:lang w:val="ru-RU"/>
        </w:rPr>
        <w:t xml:space="preserve"> Совета Европейского союза от 18 февраля </w:t>
      </w:r>
      <w:r w:rsidRPr="00AB4C34">
        <w:rPr>
          <w:lang w:val="ru-RU"/>
        </w:rPr>
        <w:t>2003</w:t>
      </w:r>
      <w:r>
        <w:rPr>
          <w:lang w:val="ru-RU"/>
        </w:rPr>
        <w:t xml:space="preserve"> года о критериях и механизмах определения ответственности государств-членов за рассмотрение ходатайств о предоставлении убежища в любом из государств-членов, поданных гражданами третьих стран</w:t>
      </w:r>
      <w:r w:rsidRPr="00AB4C34">
        <w:rPr>
          <w:lang w:val="ru-RU"/>
        </w:rPr>
        <w:t>.</w:t>
      </w:r>
    </w:p>
  </w:footnote>
  <w:footnote w:id="43">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r>
      <w:r>
        <w:rPr>
          <w:lang w:val="ru-RU"/>
        </w:rPr>
        <w:t>В этой директиве предусмотрены общие нормы и процедуры, применимые в государствах-членах к процедурам возвращения граждан третьих стран, незаконно находящихся на их территории</w:t>
      </w:r>
      <w:r w:rsidRPr="00AB4C34">
        <w:rPr>
          <w:lang w:val="ru-RU"/>
        </w:rPr>
        <w:t>.</w:t>
      </w:r>
    </w:p>
  </w:footnote>
  <w:footnote w:id="44">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r>
      <w:r>
        <w:rPr>
          <w:lang w:val="ru-RU"/>
        </w:rPr>
        <w:t>До настоящего времени процедуры репатриации отслеживались также "Комитетом П", но его вмешательство носило ограниченный характер, поскольку в 2004 году министр внутренних дел непосредственно возложил эти функции на ГИП</w:t>
      </w:r>
      <w:r w:rsidRPr="00AB4C34">
        <w:rPr>
          <w:lang w:val="ru-RU"/>
        </w:rPr>
        <w:t>.</w:t>
      </w:r>
    </w:p>
  </w:footnote>
  <w:footnote w:id="45">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r>
      <w:r>
        <w:rPr>
          <w:lang w:val="ru-RU"/>
        </w:rPr>
        <w:t>Статистика контрольных мероприятий, проведенных ГИП за предыдущие годы, является следующей</w:t>
      </w:r>
      <w:r w:rsidRPr="00AB4C34">
        <w:rPr>
          <w:lang w:val="ru-RU"/>
        </w:rPr>
        <w:t>: 36</w:t>
      </w:r>
      <w:r>
        <w:rPr>
          <w:lang w:val="ru-RU"/>
        </w:rPr>
        <w:t xml:space="preserve"> проверок в 2</w:t>
      </w:r>
      <w:r w:rsidRPr="00AB4C34">
        <w:rPr>
          <w:lang w:val="ru-RU"/>
        </w:rPr>
        <w:t>007</w:t>
      </w:r>
      <w:r>
        <w:rPr>
          <w:lang w:val="ru-RU"/>
        </w:rPr>
        <w:t xml:space="preserve"> году</w:t>
      </w:r>
      <w:r w:rsidRPr="00AB4C34">
        <w:rPr>
          <w:lang w:val="ru-RU"/>
        </w:rPr>
        <w:t>, 18</w:t>
      </w:r>
      <w:r>
        <w:rPr>
          <w:lang w:val="ru-RU"/>
        </w:rPr>
        <w:t xml:space="preserve"> – в </w:t>
      </w:r>
      <w:r w:rsidRPr="00AB4C34">
        <w:rPr>
          <w:lang w:val="ru-RU"/>
        </w:rPr>
        <w:t>2008</w:t>
      </w:r>
      <w:r>
        <w:rPr>
          <w:lang w:val="ru-RU"/>
        </w:rPr>
        <w:t xml:space="preserve"> году</w:t>
      </w:r>
      <w:r w:rsidRPr="00AB4C34">
        <w:rPr>
          <w:lang w:val="ru-RU"/>
        </w:rPr>
        <w:t>, 17</w:t>
      </w:r>
      <w:r>
        <w:rPr>
          <w:lang w:val="ru-RU"/>
        </w:rPr>
        <w:t xml:space="preserve"> – в </w:t>
      </w:r>
      <w:r w:rsidRPr="00AB4C34">
        <w:rPr>
          <w:lang w:val="ru-RU"/>
        </w:rPr>
        <w:t>2009</w:t>
      </w:r>
      <w:r>
        <w:rPr>
          <w:lang w:val="ru-RU"/>
        </w:rPr>
        <w:t xml:space="preserve"> году и 12 – в 2</w:t>
      </w:r>
      <w:r w:rsidRPr="00AB4C34">
        <w:rPr>
          <w:lang w:val="ru-RU"/>
        </w:rPr>
        <w:t>010</w:t>
      </w:r>
      <w:r>
        <w:rPr>
          <w:lang w:val="ru-RU"/>
        </w:rPr>
        <w:t xml:space="preserve"> году</w:t>
      </w:r>
      <w:r w:rsidRPr="00AB4C34">
        <w:rPr>
          <w:lang w:val="ru-RU"/>
        </w:rPr>
        <w:t>.</w:t>
      </w:r>
    </w:p>
  </w:footnote>
  <w:footnote w:id="46">
    <w:p w:rsidR="00460BD7" w:rsidRPr="00AB4C34" w:rsidRDefault="00460BD7" w:rsidP="004B4B9D">
      <w:pPr>
        <w:pStyle w:val="FootnoteText"/>
        <w:widowControl w:val="0"/>
        <w:tabs>
          <w:tab w:val="clear" w:pos="1021"/>
          <w:tab w:val="right" w:pos="1020"/>
        </w:tabs>
        <w:rPr>
          <w:lang w:val="ru-RU"/>
        </w:rPr>
      </w:pPr>
      <w:r w:rsidRPr="00AB4C34">
        <w:rPr>
          <w:lang w:val="ru-RU"/>
        </w:rPr>
        <w:tab/>
      </w:r>
      <w:r>
        <w:rPr>
          <w:rStyle w:val="FootnoteReference"/>
        </w:rPr>
        <w:footnoteRef/>
      </w:r>
      <w:r w:rsidRPr="00AB4C34">
        <w:rPr>
          <w:lang w:val="ru-RU"/>
        </w:rPr>
        <w:tab/>
      </w:r>
      <w:r>
        <w:rPr>
          <w:lang w:val="ru-RU"/>
        </w:rPr>
        <w:t>Согласно практике ЕСПЧ при обеспечении сбалансированности нужно учитывать следующие факторы</w:t>
      </w:r>
      <w:r w:rsidRPr="00AB4C34">
        <w:rPr>
          <w:lang w:val="ru-RU"/>
        </w:rPr>
        <w:t xml:space="preserve">: 1) </w:t>
      </w:r>
      <w:r>
        <w:rPr>
          <w:lang w:val="ru-RU"/>
        </w:rPr>
        <w:t>касающиеся личной и семейной жизни: уровень социальной интеграции и наличие семьи в Бельгии, а также прочность семейных связей, рождение иностранца в Бельгии или его возраст в момент приезда</w:t>
      </w:r>
      <w:r w:rsidRPr="00AB4C34">
        <w:rPr>
          <w:lang w:val="ru-RU"/>
        </w:rPr>
        <w:t>,</w:t>
      </w:r>
      <w:r>
        <w:rPr>
          <w:lang w:val="ru-RU"/>
        </w:rPr>
        <w:t xml:space="preserve"> возможности для интеграции в стране происхождения </w:t>
      </w:r>
      <w:r w:rsidRPr="00AB4C34">
        <w:rPr>
          <w:lang w:val="ru-RU"/>
        </w:rPr>
        <w:t>(</w:t>
      </w:r>
      <w:r>
        <w:rPr>
          <w:lang w:val="ru-RU"/>
        </w:rPr>
        <w:t>владение языком</w:t>
      </w:r>
      <w:r w:rsidRPr="00AB4C34">
        <w:rPr>
          <w:lang w:val="ru-RU"/>
        </w:rPr>
        <w:t>,</w:t>
      </w:r>
      <w:r>
        <w:rPr>
          <w:lang w:val="ru-RU"/>
        </w:rPr>
        <w:t xml:space="preserve"> наличие семьи</w:t>
      </w:r>
      <w:r w:rsidRPr="00AB4C34">
        <w:rPr>
          <w:lang w:val="ru-RU"/>
        </w:rPr>
        <w:t>,</w:t>
      </w:r>
      <w:r>
        <w:rPr>
          <w:lang w:val="ru-RU"/>
        </w:rPr>
        <w:t xml:space="preserve"> частотность прошлых возвращений и т.д.</w:t>
      </w:r>
      <w:r w:rsidRPr="00AB4C34">
        <w:rPr>
          <w:lang w:val="ru-RU"/>
        </w:rPr>
        <w:t>)</w:t>
      </w:r>
      <w:r>
        <w:rPr>
          <w:lang w:val="ru-RU"/>
        </w:rPr>
        <w:t xml:space="preserve"> и связей с этой или с другой страной</w:t>
      </w:r>
      <w:r w:rsidRPr="00AB4C34">
        <w:rPr>
          <w:lang w:val="ru-RU"/>
        </w:rPr>
        <w:t xml:space="preserve">; 2) </w:t>
      </w:r>
      <w:r>
        <w:rPr>
          <w:lang w:val="ru-RU"/>
        </w:rPr>
        <w:t>касающиеся охраны правопорядка и национальной безопасности: тяжесть правонарушения; характер инкриминируемых деяний и причины вынесения обвинительного приговора; характер и степень суровости назначенного наказания; рецидив или риск рецидива; срок действия меры по удалению с территории ( в Бельгии – десять лет), а также незаконный характер пребывания</w:t>
      </w:r>
      <w:r w:rsidRPr="00AB4C34">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D7" w:rsidRPr="008C6E84" w:rsidRDefault="00460BD7">
    <w:pPr>
      <w:pStyle w:val="Header"/>
      <w:rPr>
        <w:lang w:val="en-US"/>
      </w:rPr>
    </w:pPr>
    <w:r>
      <w:rPr>
        <w:lang w:val="en-US"/>
      </w:rPr>
      <w:t>CERD/</w:t>
    </w:r>
    <w:r w:rsidRPr="008C6E84">
      <w:rPr>
        <w:lang w:val="en-US"/>
      </w:rPr>
      <w:t>С/BEL/16-19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D7" w:rsidRPr="008C6E84" w:rsidRDefault="00460BD7">
    <w:pPr>
      <w:pStyle w:val="Header"/>
      <w:rPr>
        <w:lang w:val="en-US"/>
      </w:rPr>
    </w:pPr>
    <w:r>
      <w:rPr>
        <w:lang w:val="en-US"/>
      </w:rPr>
      <w:tab/>
      <w:t>CERD/</w:t>
    </w:r>
    <w:r w:rsidRPr="008C6E84">
      <w:rPr>
        <w:lang w:val="en-US"/>
      </w:rPr>
      <w:t>С/BEL/16-19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3E212D7F"/>
    <w:multiLevelType w:val="hybridMultilevel"/>
    <w:tmpl w:val="B12C8DBC"/>
    <w:lvl w:ilvl="0" w:tplc="2B64E1EC">
      <w:start w:val="1"/>
      <w:numFmt w:val="upperLetter"/>
      <w:lvlText w:val="%1."/>
      <w:lvlJc w:val="left"/>
      <w:pPr>
        <w:ind w:left="1560" w:hanging="42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1C659CD"/>
    <w:multiLevelType w:val="multilevel"/>
    <w:tmpl w:val="D7D4790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5">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6471D2A"/>
    <w:multiLevelType w:val="hybridMultilevel"/>
    <w:tmpl w:val="31201B2C"/>
    <w:lvl w:ilvl="0" w:tplc="66A2D37A">
      <w:start w:val="1"/>
      <w:numFmt w:val="bullet"/>
      <w:lvlText w:val=""/>
      <w:lvlJc w:val="left"/>
      <w:pPr>
        <w:tabs>
          <w:tab w:val="num" w:pos="1891"/>
        </w:tabs>
        <w:ind w:left="1891" w:hanging="360"/>
      </w:pPr>
      <w:rPr>
        <w:rFonts w:ascii="Symbol" w:hAnsi="Symbol"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10410F"/>
    <w:multiLevelType w:val="hybridMultilevel"/>
    <w:tmpl w:val="B19085DA"/>
    <w:lvl w:ilvl="0" w:tplc="AC9091FA">
      <w:start w:val="1"/>
      <w:numFmt w:val="upperLetter"/>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65BF12F8"/>
    <w:multiLevelType w:val="hybridMultilevel"/>
    <w:tmpl w:val="CD4433CC"/>
    <w:lvl w:ilvl="0" w:tplc="97A88F40">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nsid w:val="79992220"/>
    <w:multiLevelType w:val="hybridMultilevel"/>
    <w:tmpl w:val="B19085DA"/>
    <w:lvl w:ilvl="0" w:tplc="AC9091FA">
      <w:start w:val="1"/>
      <w:numFmt w:val="upperLetter"/>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9"/>
  </w:num>
  <w:num w:numId="2">
    <w:abstractNumId w:val="13"/>
  </w:num>
  <w:num w:numId="3">
    <w:abstractNumId w:val="17"/>
  </w:num>
  <w:num w:numId="4">
    <w:abstractNumId w:val="2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 w:numId="18">
    <w:abstractNumId w:val="13"/>
  </w:num>
  <w:num w:numId="19">
    <w:abstractNumId w:val="13"/>
  </w:num>
  <w:num w:numId="20">
    <w:abstractNumId w:val="19"/>
  </w:num>
  <w:num w:numId="21">
    <w:abstractNumId w:val="13"/>
  </w:num>
  <w:num w:numId="22">
    <w:abstractNumId w:val="17"/>
  </w:num>
  <w:num w:numId="23">
    <w:abstractNumId w:val="17"/>
  </w:num>
  <w:num w:numId="24">
    <w:abstractNumId w:val="22"/>
  </w:num>
  <w:num w:numId="25">
    <w:abstractNumId w:val="12"/>
  </w:num>
  <w:num w:numId="26">
    <w:abstractNumId w:val="21"/>
  </w:num>
  <w:num w:numId="27">
    <w:abstractNumId w:val="11"/>
  </w:num>
  <w:num w:numId="28">
    <w:abstractNumId w:val="14"/>
  </w:num>
  <w:num w:numId="29">
    <w:abstractNumId w:val="16"/>
  </w:num>
  <w:num w:numId="30">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6E84"/>
    <w:rsid w:val="000033D8"/>
    <w:rsid w:val="00005C1C"/>
    <w:rsid w:val="00012188"/>
    <w:rsid w:val="00016553"/>
    <w:rsid w:val="000233B3"/>
    <w:rsid w:val="00023E9E"/>
    <w:rsid w:val="00026B0C"/>
    <w:rsid w:val="0003638E"/>
    <w:rsid w:val="00036FF2"/>
    <w:rsid w:val="0004010A"/>
    <w:rsid w:val="00043D88"/>
    <w:rsid w:val="00046E4D"/>
    <w:rsid w:val="0006401A"/>
    <w:rsid w:val="000723A7"/>
    <w:rsid w:val="00072C27"/>
    <w:rsid w:val="00086182"/>
    <w:rsid w:val="00090891"/>
    <w:rsid w:val="00092E62"/>
    <w:rsid w:val="00097975"/>
    <w:rsid w:val="000A3DDF"/>
    <w:rsid w:val="000A60A0"/>
    <w:rsid w:val="000C3688"/>
    <w:rsid w:val="000C3993"/>
    <w:rsid w:val="000D49E0"/>
    <w:rsid w:val="000D6863"/>
    <w:rsid w:val="00117AEE"/>
    <w:rsid w:val="00120463"/>
    <w:rsid w:val="00136D91"/>
    <w:rsid w:val="001463F7"/>
    <w:rsid w:val="00146893"/>
    <w:rsid w:val="00153C55"/>
    <w:rsid w:val="0015769C"/>
    <w:rsid w:val="00180752"/>
    <w:rsid w:val="00185076"/>
    <w:rsid w:val="0018543C"/>
    <w:rsid w:val="00190231"/>
    <w:rsid w:val="00192ABD"/>
    <w:rsid w:val="001A2896"/>
    <w:rsid w:val="001A75D5"/>
    <w:rsid w:val="001A7D40"/>
    <w:rsid w:val="001C614F"/>
    <w:rsid w:val="001D07F7"/>
    <w:rsid w:val="001D7B8F"/>
    <w:rsid w:val="001E48EE"/>
    <w:rsid w:val="001E70C4"/>
    <w:rsid w:val="001F2D04"/>
    <w:rsid w:val="0020059C"/>
    <w:rsid w:val="002019BD"/>
    <w:rsid w:val="002034AB"/>
    <w:rsid w:val="002305F3"/>
    <w:rsid w:val="00232D42"/>
    <w:rsid w:val="00233B4C"/>
    <w:rsid w:val="00237334"/>
    <w:rsid w:val="002444F4"/>
    <w:rsid w:val="00251C2F"/>
    <w:rsid w:val="002629A0"/>
    <w:rsid w:val="00277B6F"/>
    <w:rsid w:val="0028492B"/>
    <w:rsid w:val="00291C8F"/>
    <w:rsid w:val="002A1034"/>
    <w:rsid w:val="002B03D2"/>
    <w:rsid w:val="002B43B0"/>
    <w:rsid w:val="002C152E"/>
    <w:rsid w:val="002C5036"/>
    <w:rsid w:val="002C6A71"/>
    <w:rsid w:val="002C6D5F"/>
    <w:rsid w:val="002D157F"/>
    <w:rsid w:val="002D15EA"/>
    <w:rsid w:val="002D6C07"/>
    <w:rsid w:val="002E0CE6"/>
    <w:rsid w:val="002E1163"/>
    <w:rsid w:val="002E3E44"/>
    <w:rsid w:val="002E43F3"/>
    <w:rsid w:val="002E45BD"/>
    <w:rsid w:val="0030134D"/>
    <w:rsid w:val="00310DCF"/>
    <w:rsid w:val="00317F43"/>
    <w:rsid w:val="003215F5"/>
    <w:rsid w:val="00332891"/>
    <w:rsid w:val="00351B1C"/>
    <w:rsid w:val="00356BB2"/>
    <w:rsid w:val="00360477"/>
    <w:rsid w:val="00367FC9"/>
    <w:rsid w:val="003711A1"/>
    <w:rsid w:val="00372123"/>
    <w:rsid w:val="00386581"/>
    <w:rsid w:val="00387100"/>
    <w:rsid w:val="003951D3"/>
    <w:rsid w:val="003978C6"/>
    <w:rsid w:val="003B3600"/>
    <w:rsid w:val="003B40A9"/>
    <w:rsid w:val="003C016E"/>
    <w:rsid w:val="003D5EBD"/>
    <w:rsid w:val="003F39F6"/>
    <w:rsid w:val="00401CE0"/>
    <w:rsid w:val="00403234"/>
    <w:rsid w:val="00407AC3"/>
    <w:rsid w:val="00412C4C"/>
    <w:rsid w:val="00414586"/>
    <w:rsid w:val="00415059"/>
    <w:rsid w:val="00424FDD"/>
    <w:rsid w:val="0043033D"/>
    <w:rsid w:val="00430CAF"/>
    <w:rsid w:val="00435FE4"/>
    <w:rsid w:val="00457634"/>
    <w:rsid w:val="00460BD7"/>
    <w:rsid w:val="00474F42"/>
    <w:rsid w:val="0048244D"/>
    <w:rsid w:val="004A0DE8"/>
    <w:rsid w:val="004A4CB7"/>
    <w:rsid w:val="004A57B5"/>
    <w:rsid w:val="004B19DA"/>
    <w:rsid w:val="004B4B9D"/>
    <w:rsid w:val="004B77A8"/>
    <w:rsid w:val="004C2A53"/>
    <w:rsid w:val="004C3B35"/>
    <w:rsid w:val="004C43EC"/>
    <w:rsid w:val="004C7743"/>
    <w:rsid w:val="004E6729"/>
    <w:rsid w:val="004F0E47"/>
    <w:rsid w:val="00511CD3"/>
    <w:rsid w:val="0051339C"/>
    <w:rsid w:val="0051412F"/>
    <w:rsid w:val="00517D8E"/>
    <w:rsid w:val="00522B6F"/>
    <w:rsid w:val="0052430E"/>
    <w:rsid w:val="005276AD"/>
    <w:rsid w:val="00530372"/>
    <w:rsid w:val="0053053C"/>
    <w:rsid w:val="00540A9A"/>
    <w:rsid w:val="00543522"/>
    <w:rsid w:val="00545680"/>
    <w:rsid w:val="0056618E"/>
    <w:rsid w:val="00567208"/>
    <w:rsid w:val="00576F59"/>
    <w:rsid w:val="00577A34"/>
    <w:rsid w:val="00580AAD"/>
    <w:rsid w:val="00581786"/>
    <w:rsid w:val="00593A04"/>
    <w:rsid w:val="005A6D5A"/>
    <w:rsid w:val="005B1B28"/>
    <w:rsid w:val="005B7D51"/>
    <w:rsid w:val="005B7F35"/>
    <w:rsid w:val="005C2081"/>
    <w:rsid w:val="005C678A"/>
    <w:rsid w:val="005D346D"/>
    <w:rsid w:val="005D69DE"/>
    <w:rsid w:val="005E74AB"/>
    <w:rsid w:val="00606A3E"/>
    <w:rsid w:val="006115AA"/>
    <w:rsid w:val="006120AE"/>
    <w:rsid w:val="006201CD"/>
    <w:rsid w:val="006259AC"/>
    <w:rsid w:val="00635E86"/>
    <w:rsid w:val="00636A37"/>
    <w:rsid w:val="006501A5"/>
    <w:rsid w:val="006567B2"/>
    <w:rsid w:val="00662ADE"/>
    <w:rsid w:val="00664106"/>
    <w:rsid w:val="006756F1"/>
    <w:rsid w:val="00677773"/>
    <w:rsid w:val="006805FC"/>
    <w:rsid w:val="006912F8"/>
    <w:rsid w:val="006926C7"/>
    <w:rsid w:val="00694C37"/>
    <w:rsid w:val="00696CCC"/>
    <w:rsid w:val="006A12E3"/>
    <w:rsid w:val="006A1BEB"/>
    <w:rsid w:val="006A2F7E"/>
    <w:rsid w:val="006A401C"/>
    <w:rsid w:val="006A7C6E"/>
    <w:rsid w:val="006B23D9"/>
    <w:rsid w:val="006C1814"/>
    <w:rsid w:val="006C2F45"/>
    <w:rsid w:val="006C361A"/>
    <w:rsid w:val="006C5657"/>
    <w:rsid w:val="006D3E0B"/>
    <w:rsid w:val="006D5E4E"/>
    <w:rsid w:val="006E6860"/>
    <w:rsid w:val="006E7183"/>
    <w:rsid w:val="006F5B37"/>
    <w:rsid w:val="006F5FBF"/>
    <w:rsid w:val="007002BA"/>
    <w:rsid w:val="0070327E"/>
    <w:rsid w:val="00707B5F"/>
    <w:rsid w:val="00735602"/>
    <w:rsid w:val="007511D7"/>
    <w:rsid w:val="0075279B"/>
    <w:rsid w:val="00753748"/>
    <w:rsid w:val="00762446"/>
    <w:rsid w:val="00762F4C"/>
    <w:rsid w:val="00763088"/>
    <w:rsid w:val="0077640C"/>
    <w:rsid w:val="00781ACB"/>
    <w:rsid w:val="007A4454"/>
    <w:rsid w:val="007A79EB"/>
    <w:rsid w:val="007D4CA0"/>
    <w:rsid w:val="007D7A23"/>
    <w:rsid w:val="007E38C3"/>
    <w:rsid w:val="007E549E"/>
    <w:rsid w:val="007E71C9"/>
    <w:rsid w:val="007F21F1"/>
    <w:rsid w:val="007F7553"/>
    <w:rsid w:val="007F7F3C"/>
    <w:rsid w:val="0080755E"/>
    <w:rsid w:val="008120D4"/>
    <w:rsid w:val="00813720"/>
    <w:rsid w:val="008139A5"/>
    <w:rsid w:val="00817F73"/>
    <w:rsid w:val="0082228E"/>
    <w:rsid w:val="00830402"/>
    <w:rsid w:val="008305D7"/>
    <w:rsid w:val="00832130"/>
    <w:rsid w:val="00834887"/>
    <w:rsid w:val="00842FED"/>
    <w:rsid w:val="00844E19"/>
    <w:rsid w:val="008455CF"/>
    <w:rsid w:val="00847689"/>
    <w:rsid w:val="00852297"/>
    <w:rsid w:val="00861C52"/>
    <w:rsid w:val="008727A1"/>
    <w:rsid w:val="0088191A"/>
    <w:rsid w:val="00886B0F"/>
    <w:rsid w:val="00891C08"/>
    <w:rsid w:val="008A3879"/>
    <w:rsid w:val="008A5FA8"/>
    <w:rsid w:val="008A7575"/>
    <w:rsid w:val="008B5F47"/>
    <w:rsid w:val="008C0146"/>
    <w:rsid w:val="008C418C"/>
    <w:rsid w:val="008C6E84"/>
    <w:rsid w:val="008C7B87"/>
    <w:rsid w:val="008D6A7A"/>
    <w:rsid w:val="008E3120"/>
    <w:rsid w:val="008E3E87"/>
    <w:rsid w:val="008E7F13"/>
    <w:rsid w:val="008F3185"/>
    <w:rsid w:val="00910424"/>
    <w:rsid w:val="0091593A"/>
    <w:rsid w:val="00915B0A"/>
    <w:rsid w:val="00915DC2"/>
    <w:rsid w:val="00926904"/>
    <w:rsid w:val="00932037"/>
    <w:rsid w:val="009372F0"/>
    <w:rsid w:val="00942044"/>
    <w:rsid w:val="009533D7"/>
    <w:rsid w:val="00954BEB"/>
    <w:rsid w:val="00955022"/>
    <w:rsid w:val="009579D9"/>
    <w:rsid w:val="00957B4D"/>
    <w:rsid w:val="00963DF8"/>
    <w:rsid w:val="00964EEA"/>
    <w:rsid w:val="00972AA1"/>
    <w:rsid w:val="00980C86"/>
    <w:rsid w:val="009851A0"/>
    <w:rsid w:val="009A0569"/>
    <w:rsid w:val="009B1D9B"/>
    <w:rsid w:val="009B4074"/>
    <w:rsid w:val="009C30BB"/>
    <w:rsid w:val="009C60BE"/>
    <w:rsid w:val="009E6279"/>
    <w:rsid w:val="009F00A6"/>
    <w:rsid w:val="009F12D6"/>
    <w:rsid w:val="009F56A7"/>
    <w:rsid w:val="009F5B05"/>
    <w:rsid w:val="009F7B6D"/>
    <w:rsid w:val="00A026CA"/>
    <w:rsid w:val="00A07232"/>
    <w:rsid w:val="00A14800"/>
    <w:rsid w:val="00A156DE"/>
    <w:rsid w:val="00A157ED"/>
    <w:rsid w:val="00A2446A"/>
    <w:rsid w:val="00A33582"/>
    <w:rsid w:val="00A4025D"/>
    <w:rsid w:val="00A41BAB"/>
    <w:rsid w:val="00A41E45"/>
    <w:rsid w:val="00A800D1"/>
    <w:rsid w:val="00A9198D"/>
    <w:rsid w:val="00A92699"/>
    <w:rsid w:val="00AA1A23"/>
    <w:rsid w:val="00AB5BF0"/>
    <w:rsid w:val="00AC1C95"/>
    <w:rsid w:val="00AC2CCB"/>
    <w:rsid w:val="00AC443A"/>
    <w:rsid w:val="00AE60E2"/>
    <w:rsid w:val="00B0169F"/>
    <w:rsid w:val="00B05F21"/>
    <w:rsid w:val="00B14EA9"/>
    <w:rsid w:val="00B163E4"/>
    <w:rsid w:val="00B30A3C"/>
    <w:rsid w:val="00B4367E"/>
    <w:rsid w:val="00B45B44"/>
    <w:rsid w:val="00B552A9"/>
    <w:rsid w:val="00B733D4"/>
    <w:rsid w:val="00B81305"/>
    <w:rsid w:val="00B83184"/>
    <w:rsid w:val="00B870F9"/>
    <w:rsid w:val="00BA0DE1"/>
    <w:rsid w:val="00BA4957"/>
    <w:rsid w:val="00BA617F"/>
    <w:rsid w:val="00BB17DC"/>
    <w:rsid w:val="00BB1AF9"/>
    <w:rsid w:val="00BB4C4A"/>
    <w:rsid w:val="00BB50B2"/>
    <w:rsid w:val="00BD3CAE"/>
    <w:rsid w:val="00BD5F3C"/>
    <w:rsid w:val="00BF1B04"/>
    <w:rsid w:val="00C07C0F"/>
    <w:rsid w:val="00C145C4"/>
    <w:rsid w:val="00C20D2F"/>
    <w:rsid w:val="00C2131B"/>
    <w:rsid w:val="00C2386D"/>
    <w:rsid w:val="00C37AF8"/>
    <w:rsid w:val="00C37C79"/>
    <w:rsid w:val="00C41BBC"/>
    <w:rsid w:val="00C51419"/>
    <w:rsid w:val="00C54056"/>
    <w:rsid w:val="00C663A3"/>
    <w:rsid w:val="00C7582F"/>
    <w:rsid w:val="00C75CB2"/>
    <w:rsid w:val="00C90723"/>
    <w:rsid w:val="00C90D5C"/>
    <w:rsid w:val="00CA609E"/>
    <w:rsid w:val="00CA7DA4"/>
    <w:rsid w:val="00CB31FB"/>
    <w:rsid w:val="00CE3D6F"/>
    <w:rsid w:val="00CE79A5"/>
    <w:rsid w:val="00CF0042"/>
    <w:rsid w:val="00CF262F"/>
    <w:rsid w:val="00D025D5"/>
    <w:rsid w:val="00D21E45"/>
    <w:rsid w:val="00D22B61"/>
    <w:rsid w:val="00D26B13"/>
    <w:rsid w:val="00D26CC1"/>
    <w:rsid w:val="00D30662"/>
    <w:rsid w:val="00D32963"/>
    <w:rsid w:val="00D32A0B"/>
    <w:rsid w:val="00D6236B"/>
    <w:rsid w:val="00D70FCD"/>
    <w:rsid w:val="00D809D1"/>
    <w:rsid w:val="00D84ECF"/>
    <w:rsid w:val="00D94531"/>
    <w:rsid w:val="00D970CE"/>
    <w:rsid w:val="00D97E4B"/>
    <w:rsid w:val="00DA2851"/>
    <w:rsid w:val="00DA2B7C"/>
    <w:rsid w:val="00DA5686"/>
    <w:rsid w:val="00DB2FC0"/>
    <w:rsid w:val="00DF18FA"/>
    <w:rsid w:val="00DF49CA"/>
    <w:rsid w:val="00DF775B"/>
    <w:rsid w:val="00E00022"/>
    <w:rsid w:val="00E007F3"/>
    <w:rsid w:val="00E00DEA"/>
    <w:rsid w:val="00E01FA4"/>
    <w:rsid w:val="00E03463"/>
    <w:rsid w:val="00E06EF0"/>
    <w:rsid w:val="00E11679"/>
    <w:rsid w:val="00E136D0"/>
    <w:rsid w:val="00E154CA"/>
    <w:rsid w:val="00E307D1"/>
    <w:rsid w:val="00E34013"/>
    <w:rsid w:val="00E346C7"/>
    <w:rsid w:val="00E46A04"/>
    <w:rsid w:val="00E47867"/>
    <w:rsid w:val="00E47B9E"/>
    <w:rsid w:val="00E54AEB"/>
    <w:rsid w:val="00E717F3"/>
    <w:rsid w:val="00E72C5E"/>
    <w:rsid w:val="00E73451"/>
    <w:rsid w:val="00E7489F"/>
    <w:rsid w:val="00E75147"/>
    <w:rsid w:val="00E8167D"/>
    <w:rsid w:val="00E907E9"/>
    <w:rsid w:val="00E942F1"/>
    <w:rsid w:val="00E96BE7"/>
    <w:rsid w:val="00EA2CD0"/>
    <w:rsid w:val="00EA4705"/>
    <w:rsid w:val="00EC0044"/>
    <w:rsid w:val="00EC0E25"/>
    <w:rsid w:val="00EC6B9F"/>
    <w:rsid w:val="00EE516D"/>
    <w:rsid w:val="00EF4D1B"/>
    <w:rsid w:val="00EF7295"/>
    <w:rsid w:val="00F069D1"/>
    <w:rsid w:val="00F07E5F"/>
    <w:rsid w:val="00F1503D"/>
    <w:rsid w:val="00F22712"/>
    <w:rsid w:val="00F24FD6"/>
    <w:rsid w:val="00F275F5"/>
    <w:rsid w:val="00F27F70"/>
    <w:rsid w:val="00F33188"/>
    <w:rsid w:val="00F35BDE"/>
    <w:rsid w:val="00F52A0E"/>
    <w:rsid w:val="00F600BF"/>
    <w:rsid w:val="00F622A8"/>
    <w:rsid w:val="00F71F63"/>
    <w:rsid w:val="00F87506"/>
    <w:rsid w:val="00F92C41"/>
    <w:rsid w:val="00FA5522"/>
    <w:rsid w:val="00FA567F"/>
    <w:rsid w:val="00FA6E4A"/>
    <w:rsid w:val="00FB2B35"/>
    <w:rsid w:val="00FC4AE1"/>
    <w:rsid w:val="00FC52F4"/>
    <w:rsid w:val="00FD78A3"/>
    <w:rsid w:val="00FE37DB"/>
    <w:rsid w:val="00FE48B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Table_G"/>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style>
  <w:style w:type="paragraph" w:styleId="Footer">
    <w:name w:val="footer"/>
    <w:aliases w:val="3_GR,3_G"/>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Footnote Text Char Знак Знак,Footnote Text Char Знак,Текст сноски Знак Знак Знак Знак,stile 1"/>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MG">
    <w:name w:val="_ H __M_G"/>
    <w:basedOn w:val="Normal"/>
    <w:next w:val="Normal"/>
    <w:link w:val="HMGChar"/>
    <w:rsid w:val="00FA567F"/>
    <w:pPr>
      <w:keepNext/>
      <w:keepLines/>
      <w:tabs>
        <w:tab w:val="right" w:pos="851"/>
      </w:tabs>
      <w:suppressAutoHyphens/>
      <w:spacing w:before="240" w:after="240" w:line="360" w:lineRule="exact"/>
      <w:ind w:left="1134" w:right="1134" w:hanging="1134"/>
    </w:pPr>
    <w:rPr>
      <w:b/>
      <w:spacing w:val="0"/>
      <w:w w:val="100"/>
      <w:kern w:val="0"/>
      <w:sz w:val="34"/>
      <w:lang w:val="fr-CH"/>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ChG">
    <w:name w:val="_ H _Ch_G"/>
    <w:basedOn w:val="Normal"/>
    <w:next w:val="Normal"/>
    <w:rsid w:val="00FA567F"/>
    <w:pPr>
      <w:keepNext/>
      <w:keepLines/>
      <w:tabs>
        <w:tab w:val="right" w:pos="851"/>
      </w:tabs>
      <w:suppressAutoHyphens/>
      <w:spacing w:before="360" w:after="240" w:line="300" w:lineRule="exact"/>
      <w:ind w:left="1134" w:right="1134" w:hanging="1134"/>
    </w:pPr>
    <w:rPr>
      <w:b/>
      <w:spacing w:val="0"/>
      <w:w w:val="100"/>
      <w:kern w:val="0"/>
      <w:sz w:val="28"/>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paragraph" w:customStyle="1" w:styleId="H1G">
    <w:name w:val="_ H_1_G"/>
    <w:basedOn w:val="Normal"/>
    <w:next w:val="Normal"/>
    <w:rsid w:val="00FA567F"/>
    <w:pPr>
      <w:keepNext/>
      <w:keepLines/>
      <w:tabs>
        <w:tab w:val="right" w:pos="851"/>
      </w:tabs>
      <w:suppressAutoHyphens/>
      <w:spacing w:before="360" w:after="240" w:line="270" w:lineRule="exact"/>
      <w:ind w:left="1134" w:right="1134" w:hanging="1134"/>
    </w:pPr>
    <w:rPr>
      <w:b/>
      <w:spacing w:val="0"/>
      <w:w w:val="100"/>
      <w:kern w:val="0"/>
      <w:sz w:val="24"/>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H23G">
    <w:name w:val="_ H_2/3_G"/>
    <w:basedOn w:val="Normal"/>
    <w:next w:val="Normal"/>
    <w:rsid w:val="00FA567F"/>
    <w:pPr>
      <w:keepNext/>
      <w:keepLines/>
      <w:tabs>
        <w:tab w:val="right" w:pos="851"/>
      </w:tabs>
      <w:suppressAutoHyphens/>
      <w:spacing w:before="240" w:after="120" w:line="240" w:lineRule="exact"/>
      <w:ind w:left="1134" w:right="1134" w:hanging="1134"/>
    </w:pPr>
    <w:rPr>
      <w:b/>
      <w:spacing w:val="0"/>
      <w:w w:val="100"/>
      <w:kern w:val="0"/>
    </w:rPr>
  </w:style>
  <w:style w:type="paragraph" w:customStyle="1" w:styleId="H4G">
    <w:name w:val="_ H_4_G"/>
    <w:basedOn w:val="Normal"/>
    <w:next w:val="Normal"/>
    <w:rsid w:val="00FA567F"/>
    <w:pPr>
      <w:keepNext/>
      <w:keepLines/>
      <w:tabs>
        <w:tab w:val="right" w:pos="851"/>
      </w:tabs>
      <w:suppressAutoHyphens/>
      <w:spacing w:before="240" w:after="120" w:line="240" w:lineRule="exact"/>
      <w:ind w:left="1134" w:right="1134" w:hanging="1134"/>
    </w:pPr>
    <w:rPr>
      <w:i/>
      <w:spacing w:val="0"/>
      <w:w w:val="100"/>
      <w:kern w:val="0"/>
    </w:rPr>
  </w:style>
  <w:style w:type="paragraph" w:customStyle="1" w:styleId="H56G">
    <w:name w:val="_ H_5/6_G"/>
    <w:basedOn w:val="Normal"/>
    <w:next w:val="Normal"/>
    <w:rsid w:val="00FA567F"/>
    <w:pPr>
      <w:keepNext/>
      <w:keepLines/>
      <w:tabs>
        <w:tab w:val="right" w:pos="851"/>
      </w:tabs>
      <w:suppressAutoHyphens/>
      <w:spacing w:before="240" w:after="120" w:line="240" w:lineRule="exact"/>
      <w:ind w:left="1134" w:right="1134" w:hanging="1134"/>
    </w:pPr>
    <w:rPr>
      <w:spacing w:val="0"/>
      <w:w w:val="100"/>
      <w:kern w:val="0"/>
    </w:rPr>
  </w:style>
  <w:style w:type="paragraph" w:customStyle="1" w:styleId="SingleTxtG">
    <w:name w:val="_ Single Txt_G"/>
    <w:basedOn w:val="Normal"/>
    <w:link w:val="SingleTxtGChar"/>
    <w:rsid w:val="00FA567F"/>
    <w:pPr>
      <w:suppressAutoHyphens/>
      <w:spacing w:after="120"/>
      <w:ind w:left="1134" w:right="1134"/>
      <w:jc w:val="both"/>
    </w:pPr>
    <w:rPr>
      <w:spacing w:val="0"/>
      <w:w w:val="100"/>
      <w:kern w:val="0"/>
      <w:lang w:val="fr-CH"/>
    </w:rPr>
  </w:style>
  <w:style w:type="paragraph" w:customStyle="1" w:styleId="SLG">
    <w:name w:val="__S_L_G"/>
    <w:basedOn w:val="Normal"/>
    <w:next w:val="Normal"/>
    <w:rsid w:val="00FA567F"/>
    <w:pPr>
      <w:keepNext/>
      <w:keepLines/>
      <w:suppressAutoHyphens/>
      <w:spacing w:before="240" w:after="240" w:line="580" w:lineRule="exact"/>
      <w:ind w:left="1134" w:right="1134"/>
    </w:pPr>
    <w:rPr>
      <w:b/>
      <w:spacing w:val="0"/>
      <w:w w:val="100"/>
      <w:kern w:val="0"/>
      <w:sz w:val="56"/>
    </w:rPr>
  </w:style>
  <w:style w:type="paragraph" w:customStyle="1" w:styleId="SMG">
    <w:name w:val="__S_M_G"/>
    <w:basedOn w:val="Normal"/>
    <w:next w:val="Normal"/>
    <w:link w:val="SMGChar"/>
    <w:rsid w:val="00FA567F"/>
    <w:pPr>
      <w:keepNext/>
      <w:keepLines/>
      <w:suppressAutoHyphens/>
      <w:spacing w:before="240" w:after="240" w:line="420" w:lineRule="exact"/>
      <w:ind w:left="1134" w:right="1134"/>
    </w:pPr>
    <w:rPr>
      <w:b/>
      <w:spacing w:val="0"/>
      <w:w w:val="100"/>
      <w:kern w:val="0"/>
      <w:sz w:val="40"/>
      <w:lang w:val="fr-CH"/>
    </w:rPr>
  </w:style>
  <w:style w:type="paragraph" w:customStyle="1" w:styleId="SSG">
    <w:name w:val="__S_S_G"/>
    <w:basedOn w:val="Normal"/>
    <w:next w:val="Normal"/>
    <w:rsid w:val="00FA567F"/>
    <w:pPr>
      <w:keepNext/>
      <w:keepLines/>
      <w:suppressAutoHyphens/>
      <w:spacing w:before="240" w:after="240" w:line="300" w:lineRule="exact"/>
      <w:ind w:left="1134" w:right="1134"/>
    </w:pPr>
    <w:rPr>
      <w:b/>
      <w:spacing w:val="0"/>
      <w:w w:val="100"/>
      <w:kern w:val="0"/>
      <w:sz w:val="28"/>
    </w:rPr>
  </w:style>
  <w:style w:type="paragraph" w:customStyle="1" w:styleId="XLargeG">
    <w:name w:val="__XLarge_G"/>
    <w:basedOn w:val="Normal"/>
    <w:next w:val="Normal"/>
    <w:rsid w:val="00FA567F"/>
    <w:pPr>
      <w:keepNext/>
      <w:keepLines/>
      <w:suppressAutoHyphens/>
      <w:spacing w:before="240" w:after="240" w:line="420" w:lineRule="exact"/>
      <w:ind w:left="1134" w:right="1134"/>
    </w:pPr>
    <w:rPr>
      <w:b/>
      <w:spacing w:val="0"/>
      <w:w w:val="100"/>
      <w:kern w:val="0"/>
      <w:sz w:val="40"/>
    </w:rPr>
  </w:style>
  <w:style w:type="paragraph" w:customStyle="1" w:styleId="Bullet1G">
    <w:name w:val="_Bullet 1_G"/>
    <w:basedOn w:val="Normal"/>
    <w:rsid w:val="00FA567F"/>
    <w:pPr>
      <w:numPr>
        <w:numId w:val="26"/>
      </w:numPr>
      <w:suppressAutoHyphens/>
      <w:spacing w:after="120"/>
      <w:ind w:right="1134"/>
      <w:jc w:val="both"/>
    </w:pPr>
    <w:rPr>
      <w:spacing w:val="0"/>
      <w:w w:val="100"/>
      <w:kern w:val="0"/>
    </w:rPr>
  </w:style>
  <w:style w:type="paragraph" w:customStyle="1" w:styleId="Bullet2G">
    <w:name w:val="_Bullet 2_G"/>
    <w:basedOn w:val="Normal"/>
    <w:rsid w:val="00FA567F"/>
    <w:pPr>
      <w:numPr>
        <w:numId w:val="27"/>
      </w:numPr>
      <w:suppressAutoHyphens/>
      <w:spacing w:after="120"/>
      <w:ind w:right="1134"/>
      <w:jc w:val="both"/>
    </w:pPr>
    <w:rPr>
      <w:spacing w:val="0"/>
      <w:w w:val="100"/>
      <w:kern w:val="0"/>
    </w:rPr>
  </w:style>
  <w:style w:type="character" w:customStyle="1" w:styleId="FootnoteTextChar">
    <w:name w:val="Footnote Text Char"/>
    <w:aliases w:val="5_GR Char,5_G Char,Footnote Text Char Знак Знак Char,Footnote Text Char Знак Char,Текст сноски Знак Знак Знак Знак Char,stile 1 Char"/>
    <w:link w:val="FootnoteText"/>
    <w:rsid w:val="00FA567F"/>
    <w:rPr>
      <w:spacing w:val="5"/>
      <w:w w:val="104"/>
      <w:kern w:val="14"/>
      <w:sz w:val="18"/>
      <w:lang w:val="en-GB" w:eastAsia="ru-RU" w:bidi="ar-SA"/>
    </w:rPr>
  </w:style>
  <w:style w:type="paragraph" w:styleId="ListParagraph">
    <w:name w:val="List Paragraph"/>
    <w:basedOn w:val="Normal"/>
    <w:qFormat/>
    <w:rsid w:val="00FA567F"/>
    <w:pPr>
      <w:spacing w:after="200" w:line="276" w:lineRule="auto"/>
      <w:ind w:left="720"/>
      <w:contextualSpacing/>
    </w:pPr>
    <w:rPr>
      <w:rFonts w:ascii="Calibri" w:eastAsia="Calibri" w:hAnsi="Calibri"/>
      <w:spacing w:val="0"/>
      <w:w w:val="100"/>
      <w:kern w:val="0"/>
      <w:sz w:val="22"/>
      <w:szCs w:val="22"/>
      <w:lang w:val="nl-BE"/>
    </w:rPr>
  </w:style>
  <w:style w:type="paragraph" w:styleId="BalloonText">
    <w:name w:val="Balloon Text"/>
    <w:basedOn w:val="Normal"/>
    <w:link w:val="BalloonTextChar"/>
    <w:rsid w:val="00FA567F"/>
    <w:pPr>
      <w:suppressAutoHyphens/>
      <w:spacing w:line="240" w:lineRule="auto"/>
    </w:pPr>
    <w:rPr>
      <w:rFonts w:ascii="Tahoma" w:hAnsi="Tahoma"/>
      <w:spacing w:val="0"/>
      <w:w w:val="100"/>
      <w:kern w:val="0"/>
      <w:sz w:val="16"/>
      <w:szCs w:val="16"/>
      <w:lang w:val="fr-CH"/>
    </w:rPr>
  </w:style>
  <w:style w:type="character" w:customStyle="1" w:styleId="BalloonTextChar">
    <w:name w:val="Balloon Text Char"/>
    <w:link w:val="BalloonText"/>
    <w:rsid w:val="00FA567F"/>
    <w:rPr>
      <w:rFonts w:ascii="Tahoma" w:hAnsi="Tahoma"/>
      <w:sz w:val="16"/>
      <w:szCs w:val="16"/>
      <w:lang w:val="fr-CH" w:eastAsia="en-US" w:bidi="ar-SA"/>
    </w:rPr>
  </w:style>
  <w:style w:type="character" w:customStyle="1" w:styleId="HMGChar">
    <w:name w:val="_ H __M_G Char"/>
    <w:link w:val="HMG"/>
    <w:rsid w:val="00FA567F"/>
    <w:rPr>
      <w:b/>
      <w:sz w:val="34"/>
      <w:lang w:val="fr-CH" w:eastAsia="en-US" w:bidi="ar-SA"/>
    </w:rPr>
  </w:style>
  <w:style w:type="character" w:customStyle="1" w:styleId="SMGChar">
    <w:name w:val="__S_M_G Char"/>
    <w:link w:val="SMG"/>
    <w:rsid w:val="00FA567F"/>
    <w:rPr>
      <w:b/>
      <w:sz w:val="40"/>
      <w:lang w:val="fr-CH" w:eastAsia="en-US" w:bidi="ar-SA"/>
    </w:rPr>
  </w:style>
  <w:style w:type="character" w:customStyle="1" w:styleId="SingleTxtGChar">
    <w:name w:val="_ Single Txt_G Char"/>
    <w:link w:val="SingleTxtG"/>
    <w:rsid w:val="00FA567F"/>
    <w:rPr>
      <w:lang w:val="fr-CH" w:eastAsia="en-US" w:bidi="ar-SA"/>
    </w:rPr>
  </w:style>
  <w:style w:type="paragraph" w:customStyle="1" w:styleId="1">
    <w:name w:val="Стиль1"/>
    <w:basedOn w:val="Bullet1GR"/>
    <w:rsid w:val="008C418C"/>
    <w:pPr>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s&#233;mitisme.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diversite.be" TargetMode="External"/><Relationship Id="rId4" Type="http://schemas.openxmlformats.org/officeDocument/2006/relationships/webSettings" Target="webSettings.xml"/><Relationship Id="rId9" Type="http://schemas.openxmlformats.org/officeDocument/2006/relationships/hyperlink" Target="http://www.diversite.belgium.b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Pages>
  <Words>32761</Words>
  <Characters>186740</Characters>
  <Application>Microsoft Office Outlook</Application>
  <DocSecurity>4</DocSecurity>
  <Lines>1556</Lines>
  <Paragraphs>438</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219063</CharactersWithSpaces>
  <SharedDoc>false</SharedDoc>
  <HLinks>
    <vt:vector size="18" baseType="variant">
      <vt:variant>
        <vt:i4>655376</vt:i4>
      </vt:variant>
      <vt:variant>
        <vt:i4>16</vt:i4>
      </vt:variant>
      <vt:variant>
        <vt:i4>0</vt:i4>
      </vt:variant>
      <vt:variant>
        <vt:i4>5</vt:i4>
      </vt:variant>
      <vt:variant>
        <vt:lpwstr>http://www.diversite.be/</vt:lpwstr>
      </vt:variant>
      <vt:variant>
        <vt:lpwstr/>
      </vt:variant>
      <vt:variant>
        <vt:i4>73</vt:i4>
      </vt:variant>
      <vt:variant>
        <vt:i4>13</vt:i4>
      </vt:variant>
      <vt:variant>
        <vt:i4>0</vt:i4>
      </vt:variant>
      <vt:variant>
        <vt:i4>5</vt:i4>
      </vt:variant>
      <vt:variant>
        <vt:lpwstr>http://www.diversite.belgium.be/</vt:lpwstr>
      </vt:variant>
      <vt:variant>
        <vt:lpwstr/>
      </vt:variant>
      <vt:variant>
        <vt:i4>983192</vt:i4>
      </vt:variant>
      <vt:variant>
        <vt:i4>10</vt:i4>
      </vt:variant>
      <vt:variant>
        <vt:i4>0</vt:i4>
      </vt:variant>
      <vt:variant>
        <vt:i4>5</vt:i4>
      </vt:variant>
      <vt:variant>
        <vt:lpwstr>http://www.antisémitisme.be/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Благодатских Анна</dc:creator>
  <cp:keywords/>
  <dc:description/>
  <cp:lastModifiedBy>Ирина Сафонова</cp:lastModifiedBy>
  <cp:revision>3</cp:revision>
  <cp:lastPrinted>2013-09-16T14:32:00Z</cp:lastPrinted>
  <dcterms:created xsi:type="dcterms:W3CDTF">2013-09-16T14:32:00Z</dcterms:created>
  <dcterms:modified xsi:type="dcterms:W3CDTF">2013-09-16T14:32:00Z</dcterms:modified>
</cp:coreProperties>
</file>