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0A8ED429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C74FC" w14:textId="77777777" w:rsidR="00712059" w:rsidRPr="00CA35DF" w:rsidRDefault="00712059" w:rsidP="009D79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90CF66" w14:textId="30B5B1EE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</w:t>
            </w:r>
            <w:r w:rsidR="004A054C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CA35DF">
              <w:rPr>
                <w:rFonts w:hint="cs"/>
                <w:sz w:val="30"/>
                <w:szCs w:val="30"/>
                <w:rtl/>
              </w:rPr>
              <w:t>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9714C73" w14:textId="69761344" w:rsidR="006B3E27" w:rsidRPr="00D7703F" w:rsidRDefault="00D7703F" w:rsidP="00D7703F">
            <w:pPr>
              <w:bidi w:val="0"/>
              <w:rPr>
                <w:szCs w:val="20"/>
              </w:rPr>
            </w:pPr>
            <w:r w:rsidRPr="00D40BC3">
              <w:rPr>
                <w:sz w:val="40"/>
                <w:szCs w:val="20"/>
              </w:rPr>
              <w:t>CAT</w:t>
            </w:r>
            <w:r w:rsidRPr="00D40BC3">
              <w:rPr>
                <w:szCs w:val="20"/>
              </w:rPr>
              <w:t>/C/SOM/CO/</w:t>
            </w:r>
            <w:r w:rsidRPr="00835005">
              <w:t>1</w:t>
            </w:r>
          </w:p>
        </w:tc>
      </w:tr>
      <w:tr w:rsidR="006B3E27" w:rsidRPr="00CA35DF" w14:paraId="6AADB7CB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46DF074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7786C7E0" wp14:editId="08AEE6EC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8AE5787" w14:textId="24150E5B" w:rsidR="00A67AF5" w:rsidRPr="00835005" w:rsidRDefault="00817373" w:rsidP="00D3653E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اتفاقية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مناهضة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التعذيب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وغيره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من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ضروب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المعاملة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العقوبة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القاسية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اللاإنسانية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أو</w:t>
            </w:r>
            <w:r w:rsidR="004A054C" w:rsidRPr="00835005">
              <w:rPr>
                <w:rFonts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835005">
              <w:rPr>
                <w:rFonts w:hint="cs"/>
                <w:b/>
                <w:bCs/>
                <w:sz w:val="42"/>
                <w:szCs w:val="42"/>
                <w:rtl/>
              </w:rPr>
              <w:t>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CAACE8A" w14:textId="07DF40FC" w:rsidR="006B3E27" w:rsidRDefault="00D7703F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</w:t>
            </w:r>
            <w:r w:rsidR="00D40BC3" w:rsidRPr="00D40BC3">
              <w:rPr>
                <w:szCs w:val="20"/>
              </w:rPr>
              <w:t>r.</w:t>
            </w:r>
            <w:r w:rsidR="00142229">
              <w:rPr>
                <w:szCs w:val="20"/>
              </w:rPr>
              <w:t>:</w:t>
            </w:r>
            <w:r w:rsidR="004A054C">
              <w:rPr>
                <w:szCs w:val="20"/>
              </w:rPr>
              <w:t xml:space="preserve"> </w:t>
            </w:r>
            <w:r>
              <w:rPr>
                <w:szCs w:val="20"/>
              </w:rPr>
              <w:t>General</w:t>
            </w:r>
          </w:p>
          <w:p w14:paraId="291EFCFD" w14:textId="288199BB" w:rsidR="00D7703F" w:rsidRDefault="00D7703F" w:rsidP="00D7703F">
            <w:pPr>
              <w:bidi w:val="0"/>
              <w:spacing w:line="240" w:lineRule="exact"/>
              <w:jc w:val="left"/>
              <w:rPr>
                <w:szCs w:val="20"/>
              </w:rPr>
            </w:pPr>
            <w:r w:rsidRPr="00835005">
              <w:t>2</w:t>
            </w:r>
            <w:r w:rsidR="004A054C">
              <w:rPr>
                <w:szCs w:val="20"/>
              </w:rPr>
              <w:t xml:space="preserve"> </w:t>
            </w:r>
            <w:r>
              <w:rPr>
                <w:szCs w:val="20"/>
              </w:rPr>
              <w:t>December</w:t>
            </w:r>
            <w:r w:rsidR="004A054C">
              <w:rPr>
                <w:szCs w:val="20"/>
              </w:rPr>
              <w:t xml:space="preserve"> </w:t>
            </w:r>
            <w:r w:rsidRPr="00835005">
              <w:t>2022</w:t>
            </w:r>
          </w:p>
          <w:p w14:paraId="2DEFEAA0" w14:textId="77777777" w:rsidR="00D7703F" w:rsidRDefault="00D7703F" w:rsidP="00D7703F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43609129" w14:textId="3B6DC927" w:rsidR="00D7703F" w:rsidRPr="00D7703F" w:rsidRDefault="00D7703F" w:rsidP="00D7703F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</w:t>
            </w:r>
            <w:r w:rsidR="00D40BC3" w:rsidRPr="00D40BC3">
              <w:rPr>
                <w:szCs w:val="20"/>
              </w:rPr>
              <w:t>l</w:t>
            </w:r>
            <w:r w:rsidR="00142229">
              <w:rPr>
                <w:szCs w:val="20"/>
              </w:rPr>
              <w:t>:</w:t>
            </w:r>
            <w:r w:rsidR="00D40BC3" w:rsidRPr="00D40BC3">
              <w:rPr>
                <w:szCs w:val="20"/>
              </w:rPr>
              <w:t xml:space="preserve"> </w:t>
            </w:r>
            <w:r>
              <w:rPr>
                <w:szCs w:val="20"/>
              </w:rPr>
              <w:t>English</w:t>
            </w:r>
          </w:p>
        </w:tc>
      </w:tr>
    </w:tbl>
    <w:p w14:paraId="137B13B8" w14:textId="7F58DE8E" w:rsidR="004A054C" w:rsidRPr="00835005" w:rsidRDefault="004A054C" w:rsidP="004A054C">
      <w:pPr>
        <w:pStyle w:val="SingleTxtGA"/>
        <w:spacing w:before="120"/>
        <w:ind w:left="0"/>
        <w:rPr>
          <w:b/>
          <w:bCs/>
          <w:color w:val="000000" w:themeColor="text1"/>
          <w:sz w:val="26"/>
          <w:szCs w:val="26"/>
          <w:lang w:val="ar-SA" w:eastAsia="zh-TW" w:bidi="en-GB"/>
        </w:rPr>
      </w:pPr>
      <w:r w:rsidRPr="00835005">
        <w:rPr>
          <w:b/>
          <w:bCs/>
          <w:sz w:val="26"/>
          <w:szCs w:val="26"/>
          <w:rtl/>
        </w:rPr>
        <w:t>لجنة</w:t>
      </w:r>
      <w:r w:rsidRPr="00835005">
        <w:rPr>
          <w:b/>
          <w:bCs/>
          <w:sz w:val="26"/>
          <w:szCs w:val="26"/>
          <w:rtl/>
        </w:rPr>
        <w:t xml:space="preserve"> </w:t>
      </w:r>
      <w:r w:rsidRPr="00835005">
        <w:rPr>
          <w:b/>
          <w:bCs/>
          <w:sz w:val="26"/>
          <w:szCs w:val="26"/>
          <w:rtl/>
        </w:rPr>
        <w:t>مناهضة</w:t>
      </w:r>
      <w:r w:rsidRPr="00835005">
        <w:rPr>
          <w:b/>
          <w:bCs/>
          <w:sz w:val="26"/>
          <w:szCs w:val="26"/>
          <w:rtl/>
        </w:rPr>
        <w:t xml:space="preserve"> </w:t>
      </w:r>
      <w:r w:rsidRPr="00835005">
        <w:rPr>
          <w:b/>
          <w:bCs/>
          <w:sz w:val="26"/>
          <w:szCs w:val="26"/>
          <w:rtl/>
        </w:rPr>
        <w:t>التعذيب</w:t>
      </w:r>
    </w:p>
    <w:p w14:paraId="73B02A2B" w14:textId="650372A4" w:rsidR="004A054C" w:rsidRPr="00835005" w:rsidRDefault="004A054C" w:rsidP="004A054C">
      <w:pPr>
        <w:pStyle w:val="HChGA"/>
        <w:rPr>
          <w:lang w:val="en-US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الملاحظات</w:t>
      </w:r>
      <w:r w:rsidRPr="00835005">
        <w:rPr>
          <w:rtl/>
        </w:rPr>
        <w:t xml:space="preserve"> </w:t>
      </w:r>
      <w:r w:rsidRPr="00835005">
        <w:rPr>
          <w:rtl/>
        </w:rPr>
        <w:t>الختامية</w:t>
      </w:r>
      <w:r w:rsidRPr="00835005">
        <w:rPr>
          <w:rtl/>
        </w:rPr>
        <w:t xml:space="preserve"> </w:t>
      </w:r>
      <w:r w:rsidRPr="00835005">
        <w:rPr>
          <w:rtl/>
        </w:rPr>
        <w:t>بشأن</w:t>
      </w:r>
      <w:r w:rsidRPr="00835005">
        <w:rPr>
          <w:rtl/>
        </w:rPr>
        <w:t xml:space="preserve"> </w:t>
      </w:r>
      <w:r w:rsidRPr="00835005">
        <w:rPr>
          <w:rtl/>
        </w:rPr>
        <w:t>التقرير</w:t>
      </w:r>
      <w:r w:rsidRPr="00835005">
        <w:rPr>
          <w:rtl/>
        </w:rPr>
        <w:t xml:space="preserve"> </w:t>
      </w:r>
      <w:r w:rsidRPr="00835005">
        <w:rPr>
          <w:rtl/>
        </w:rPr>
        <w:t>الأولي</w:t>
      </w:r>
      <w:r w:rsidRPr="00835005">
        <w:rPr>
          <w:rtl/>
        </w:rPr>
        <w:t xml:space="preserve"> </w:t>
      </w:r>
      <w:r w:rsidRPr="00835005">
        <w:rPr>
          <w:rtl/>
        </w:rPr>
        <w:t>للصومال</w:t>
      </w:r>
      <w:r w:rsidR="00F45C5B" w:rsidRPr="00835005">
        <w:rPr>
          <w:rStyle w:val="FootnoteReference"/>
          <w:b w:val="0"/>
          <w:bCs w:val="0"/>
          <w:sz w:val="26"/>
          <w:szCs w:val="26"/>
          <w:vertAlign w:val="baseline"/>
          <w:rtl/>
        </w:rPr>
        <w:footnoteReference w:customMarkFollows="1" w:id="1"/>
        <w:t>*</w:t>
      </w:r>
      <w:r w:rsidR="00F45C5B" w:rsidRPr="00835005">
        <w:rPr>
          <w:rFonts w:hint="cs"/>
          <w:rtl/>
        </w:rPr>
        <w:t xml:space="preserve"> </w:t>
      </w:r>
    </w:p>
    <w:p w14:paraId="0FC647A7" w14:textId="0110A6D4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</w:t>
      </w:r>
      <w:r w:rsidRPr="004A054C">
        <w:rPr>
          <w:rtl/>
        </w:rPr>
        <w:t>-</w:t>
      </w:r>
      <w:r w:rsidRPr="004A054C">
        <w:rPr>
          <w:rtl/>
        </w:rPr>
        <w:tab/>
        <w:t>نظرت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التقرير</w:t>
      </w:r>
      <w:r w:rsidRPr="004A054C">
        <w:rPr>
          <w:rtl/>
        </w:rPr>
        <w:t xml:space="preserve"> </w:t>
      </w:r>
      <w:r w:rsidRPr="004A054C">
        <w:rPr>
          <w:rtl/>
        </w:rPr>
        <w:t>الأولي</w:t>
      </w:r>
      <w:r w:rsidRPr="004A054C">
        <w:rPr>
          <w:rtl/>
        </w:rPr>
        <w:t xml:space="preserve"> </w:t>
      </w:r>
      <w:r w:rsidRPr="004A054C">
        <w:rPr>
          <w:rtl/>
        </w:rPr>
        <w:t>للصومال</w:t>
      </w:r>
      <w:r w:rsidR="00D40BC3" w:rsidRPr="00835005">
        <w:rPr>
          <w:rStyle w:val="FootnoteReference"/>
          <w:sz w:val="22"/>
          <w:rtl/>
        </w:rPr>
        <w:t>(</w:t>
      </w:r>
      <w:r w:rsidR="00D40BC3" w:rsidRPr="00835005">
        <w:rPr>
          <w:rStyle w:val="FootnoteReference"/>
          <w:sz w:val="22"/>
          <w:lang w:val="en-US"/>
        </w:rPr>
        <w:footnoteReference w:id="2"/>
      </w:r>
      <w:r w:rsidR="00F45C5B" w:rsidRPr="00835005">
        <w:rPr>
          <w:rStyle w:val="FootnoteReference"/>
          <w:sz w:val="22"/>
          <w:rtl/>
        </w:rPr>
        <w:t>)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جلستيها</w:t>
      </w:r>
      <w:r w:rsidRPr="004A054C">
        <w:rPr>
          <w:rtl/>
        </w:rPr>
        <w:t xml:space="preserve"> </w:t>
      </w:r>
      <w:r w:rsidRPr="00835005">
        <w:rPr>
          <w:rtl/>
        </w:rPr>
        <w:t>1949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1952</w:t>
      </w:r>
      <w:r w:rsidR="00D40BC3" w:rsidRPr="00835005">
        <w:rPr>
          <w:rStyle w:val="FootnoteReference"/>
          <w:sz w:val="22"/>
          <w:rtl/>
        </w:rPr>
        <w:t>(</w:t>
      </w:r>
      <w:r w:rsidR="00D40BC3" w:rsidRPr="00835005">
        <w:rPr>
          <w:rStyle w:val="FootnoteReference"/>
          <w:sz w:val="22"/>
          <w:lang w:val="en-US"/>
        </w:rPr>
        <w:footnoteReference w:id="3"/>
      </w:r>
      <w:r w:rsidR="00F45C5B" w:rsidRPr="00835005">
        <w:rPr>
          <w:rStyle w:val="FootnoteReference"/>
          <w:sz w:val="22"/>
          <w:rtl/>
        </w:rPr>
        <w:t>)</w:t>
      </w:r>
      <w:r w:rsidRPr="004A054C">
        <w:rPr>
          <w:rtl/>
        </w:rPr>
        <w:t xml:space="preserve"> </w:t>
      </w:r>
      <w:r w:rsidRPr="004A054C">
        <w:rPr>
          <w:rtl/>
        </w:rPr>
        <w:t>المعقودتين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835005">
        <w:rPr>
          <w:rtl/>
        </w:rPr>
        <w:t>8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9</w:t>
      </w:r>
      <w:r w:rsidRPr="004A054C">
        <w:rPr>
          <w:rtl/>
        </w:rPr>
        <w:t xml:space="preserve"> </w:t>
      </w:r>
      <w:r w:rsidRPr="004A054C">
        <w:rPr>
          <w:rtl/>
        </w:rPr>
        <w:t>تشرين</w:t>
      </w:r>
      <w:r w:rsidRPr="004A054C">
        <w:rPr>
          <w:rtl/>
        </w:rPr>
        <w:t xml:space="preserve"> </w:t>
      </w:r>
      <w:r w:rsidRPr="004A054C">
        <w:rPr>
          <w:rtl/>
        </w:rPr>
        <w:t>الثاني/نوفمبر</w:t>
      </w:r>
      <w:r w:rsidRPr="004A054C">
        <w:rPr>
          <w:rtl/>
        </w:rPr>
        <w:t xml:space="preserve"> </w:t>
      </w:r>
      <w:r w:rsidRPr="00835005">
        <w:rPr>
          <w:rtl/>
        </w:rPr>
        <w:t>2022</w:t>
      </w:r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واعتمدت</w:t>
      </w:r>
      <w:r w:rsidRPr="004A054C">
        <w:rPr>
          <w:rtl/>
        </w:rPr>
        <w:t xml:space="preserve"> </w:t>
      </w:r>
      <w:r w:rsidRPr="004A054C">
        <w:rPr>
          <w:rtl/>
        </w:rPr>
        <w:t>هذه</w:t>
      </w:r>
      <w:r w:rsidRPr="004A054C">
        <w:rPr>
          <w:rtl/>
        </w:rPr>
        <w:t xml:space="preserve"> </w:t>
      </w:r>
      <w:r w:rsidRPr="004A054C">
        <w:rPr>
          <w:rtl/>
        </w:rPr>
        <w:t>الملاحظات</w:t>
      </w:r>
      <w:r w:rsidRPr="004A054C">
        <w:rPr>
          <w:rtl/>
        </w:rPr>
        <w:t xml:space="preserve"> </w:t>
      </w:r>
      <w:r w:rsidRPr="004A054C">
        <w:rPr>
          <w:rtl/>
        </w:rPr>
        <w:t>الختامية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جلستها</w:t>
      </w:r>
      <w:r w:rsidRPr="004A054C">
        <w:rPr>
          <w:rtl/>
        </w:rPr>
        <w:t xml:space="preserve"> </w:t>
      </w:r>
      <w:r w:rsidRPr="00835005">
        <w:rPr>
          <w:rtl/>
        </w:rPr>
        <w:t>1969</w:t>
      </w:r>
      <w:r w:rsidRPr="004A054C">
        <w:rPr>
          <w:rtl/>
        </w:rPr>
        <w:t xml:space="preserve"> </w:t>
      </w:r>
      <w:r w:rsidRPr="004A054C">
        <w:rPr>
          <w:rtl/>
        </w:rPr>
        <w:t>المعقودة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835005">
        <w:rPr>
          <w:rtl/>
        </w:rPr>
        <w:t>22</w:t>
      </w:r>
      <w:r w:rsidRPr="004A054C">
        <w:rPr>
          <w:rtl/>
        </w:rPr>
        <w:t xml:space="preserve"> </w:t>
      </w:r>
      <w:r w:rsidRPr="004A054C">
        <w:rPr>
          <w:rtl/>
        </w:rPr>
        <w:t>تشرين</w:t>
      </w:r>
      <w:r w:rsidRPr="004A054C">
        <w:rPr>
          <w:rtl/>
        </w:rPr>
        <w:t xml:space="preserve"> </w:t>
      </w:r>
      <w:r w:rsidRPr="004A054C">
        <w:rPr>
          <w:rtl/>
        </w:rPr>
        <w:t>الثاني/نوفمبر</w:t>
      </w:r>
      <w:r w:rsidRPr="004A054C">
        <w:rPr>
          <w:rtl/>
        </w:rPr>
        <w:t xml:space="preserve"> </w:t>
      </w:r>
      <w:r w:rsidRPr="00835005">
        <w:rPr>
          <w:rtl/>
        </w:rPr>
        <w:t>202</w:t>
      </w:r>
      <w:r w:rsidR="00D40BC3" w:rsidRPr="00835005">
        <w:rPr>
          <w:rtl/>
        </w:rPr>
        <w:t>2</w:t>
      </w:r>
      <w:r w:rsidR="00D40BC3" w:rsidRPr="00D40BC3">
        <w:rPr>
          <w:rtl/>
        </w:rPr>
        <w:t>.</w:t>
      </w:r>
    </w:p>
    <w:p w14:paraId="0F3E4CDA" w14:textId="44B798C6" w:rsidR="004A054C" w:rsidRPr="00835005" w:rsidRDefault="004A054C" w:rsidP="00D40BC3">
      <w:pPr>
        <w:pStyle w:val="H1GA"/>
        <w:rPr>
          <w:lang w:val="en-US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>ألف-</w:t>
      </w:r>
      <w:r w:rsidRPr="00835005">
        <w:rPr>
          <w:rtl/>
        </w:rPr>
        <w:tab/>
        <w:t>مقدمة</w:t>
      </w:r>
    </w:p>
    <w:p w14:paraId="641705AF" w14:textId="67B0DBE9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</w:t>
      </w:r>
      <w:r w:rsidRPr="004A054C">
        <w:rPr>
          <w:rtl/>
        </w:rPr>
        <w:t>-</w:t>
      </w:r>
      <w:r w:rsidRPr="004A054C">
        <w:rPr>
          <w:rtl/>
        </w:rPr>
        <w:tab/>
        <w:t>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تقديرها</w:t>
      </w:r>
      <w:r w:rsidRPr="004A054C">
        <w:rPr>
          <w:rtl/>
        </w:rPr>
        <w:t xml:space="preserve"> </w:t>
      </w:r>
      <w:r w:rsidRPr="004A054C">
        <w:rPr>
          <w:rtl/>
        </w:rPr>
        <w:t>للدولة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لقبولها</w:t>
      </w:r>
      <w:r w:rsidRPr="004A054C">
        <w:rPr>
          <w:rtl/>
        </w:rPr>
        <w:t xml:space="preserve"> </w:t>
      </w:r>
      <w:r w:rsidRPr="004A054C">
        <w:rPr>
          <w:rtl/>
        </w:rPr>
        <w:t>الإجراء</w:t>
      </w:r>
      <w:r w:rsidRPr="004A054C">
        <w:rPr>
          <w:rtl/>
        </w:rPr>
        <w:t xml:space="preserve"> </w:t>
      </w:r>
      <w:r w:rsidRPr="004A054C">
        <w:rPr>
          <w:rtl/>
        </w:rPr>
        <w:t>المبسط</w:t>
      </w:r>
      <w:r w:rsidRPr="004A054C">
        <w:rPr>
          <w:rtl/>
        </w:rPr>
        <w:t xml:space="preserve"> </w:t>
      </w:r>
      <w:r w:rsidRPr="004A054C">
        <w:rPr>
          <w:rtl/>
        </w:rPr>
        <w:t>لتقديم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وتقديم</w:t>
      </w:r>
      <w:r w:rsidRPr="004A054C">
        <w:rPr>
          <w:rtl/>
        </w:rPr>
        <w:t xml:space="preserve"> </w:t>
      </w:r>
      <w:r w:rsidRPr="004A054C">
        <w:rPr>
          <w:rtl/>
        </w:rPr>
        <w:t>تقريرها</w:t>
      </w:r>
      <w:r w:rsidRPr="004A054C">
        <w:rPr>
          <w:rtl/>
        </w:rPr>
        <w:t xml:space="preserve"> </w:t>
      </w:r>
      <w:r w:rsidRPr="004A054C">
        <w:rPr>
          <w:rtl/>
        </w:rPr>
        <w:t>الأولي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إطاره،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يحسن</w:t>
      </w:r>
      <w:r w:rsidRPr="004A054C">
        <w:rPr>
          <w:rtl/>
        </w:rPr>
        <w:t xml:space="preserve"> </w:t>
      </w:r>
      <w:r w:rsidRPr="004A054C">
        <w:rPr>
          <w:rtl/>
        </w:rPr>
        <w:t>مستوى</w:t>
      </w:r>
      <w:r w:rsidRPr="004A054C">
        <w:rPr>
          <w:rtl/>
        </w:rPr>
        <w:t xml:space="preserve"> </w:t>
      </w:r>
      <w:r w:rsidRPr="004A054C">
        <w:rPr>
          <w:rtl/>
        </w:rPr>
        <w:t>التعاون</w:t>
      </w:r>
      <w:r w:rsidRPr="004A054C">
        <w:rPr>
          <w:rtl/>
        </w:rPr>
        <w:t xml:space="preserve"> </w:t>
      </w:r>
      <w:r w:rsidRPr="004A054C">
        <w:rPr>
          <w:rtl/>
        </w:rPr>
        <w:t>بين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واللجنة</w:t>
      </w:r>
      <w:r w:rsidRPr="004A054C">
        <w:rPr>
          <w:rtl/>
        </w:rPr>
        <w:t xml:space="preserve"> </w:t>
      </w:r>
      <w:r w:rsidRPr="004A054C">
        <w:rPr>
          <w:rtl/>
        </w:rPr>
        <w:t>ويركز</w:t>
      </w:r>
      <w:r w:rsidRPr="004A054C">
        <w:rPr>
          <w:rtl/>
        </w:rPr>
        <w:t xml:space="preserve"> </w:t>
      </w:r>
      <w:r w:rsidRPr="004A054C">
        <w:rPr>
          <w:rtl/>
        </w:rPr>
        <w:t>النظر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التقرير</w:t>
      </w:r>
      <w:r w:rsidRPr="004A054C">
        <w:rPr>
          <w:rtl/>
        </w:rPr>
        <w:t xml:space="preserve"> </w:t>
      </w:r>
      <w:r w:rsidRPr="004A054C">
        <w:rPr>
          <w:rtl/>
        </w:rPr>
        <w:t>والحوار</w:t>
      </w:r>
      <w:r w:rsidRPr="004A054C">
        <w:rPr>
          <w:rtl/>
        </w:rPr>
        <w:t xml:space="preserve"> </w:t>
      </w:r>
      <w:r w:rsidRPr="004A054C">
        <w:rPr>
          <w:rtl/>
        </w:rPr>
        <w:t>مع</w:t>
      </w:r>
      <w:r w:rsidRPr="004A054C">
        <w:rPr>
          <w:rtl/>
        </w:rPr>
        <w:t xml:space="preserve"> </w:t>
      </w:r>
      <w:r w:rsidRPr="004A054C">
        <w:rPr>
          <w:rtl/>
        </w:rPr>
        <w:t>الوفد.</w:t>
      </w:r>
      <w:r w:rsidRPr="004A054C">
        <w:rPr>
          <w:rtl/>
        </w:rPr>
        <w:t xml:space="preserve"> </w:t>
      </w:r>
      <w:r w:rsidRPr="004A054C">
        <w:rPr>
          <w:rtl/>
        </w:rPr>
        <w:t>بيد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تأسف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تقرير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قدّم</w:t>
      </w:r>
      <w:r w:rsidRPr="004A054C">
        <w:rPr>
          <w:rtl/>
        </w:rPr>
        <w:t xml:space="preserve"> </w:t>
      </w:r>
      <w:r w:rsidRPr="004A054C">
        <w:rPr>
          <w:rtl/>
          <w:lang w:val="fr-CH"/>
        </w:rPr>
        <w:t>متأخراً</w:t>
      </w:r>
      <w:r w:rsidRPr="004A054C">
        <w:rPr>
          <w:rtl/>
          <w:lang w:val="fr-CH"/>
        </w:rPr>
        <w:t xml:space="preserve"> </w:t>
      </w:r>
      <w:r w:rsidRPr="004A054C">
        <w:rPr>
          <w:rtl/>
          <w:lang w:val="fr-CH"/>
        </w:rPr>
        <w:t>بمدة</w:t>
      </w:r>
      <w:r w:rsidRPr="004A054C">
        <w:rPr>
          <w:rtl/>
        </w:rPr>
        <w:t xml:space="preserve"> </w:t>
      </w:r>
      <w:r w:rsidRPr="00835005">
        <w:rPr>
          <w:rtl/>
        </w:rPr>
        <w:t>28</w:t>
      </w:r>
      <w:r w:rsidRPr="004A054C">
        <w:rPr>
          <w:rtl/>
        </w:rPr>
        <w:t xml:space="preserve"> </w:t>
      </w:r>
      <w:r w:rsidRPr="004A054C">
        <w:rPr>
          <w:rtl/>
        </w:rPr>
        <w:t>عاما</w:t>
      </w:r>
      <w:r w:rsidR="00D40BC3">
        <w:rPr>
          <w:rFonts w:hint="cs"/>
          <w:rtl/>
        </w:rPr>
        <w:t>ً</w:t>
      </w:r>
      <w:r w:rsidRPr="004A054C">
        <w:rPr>
          <w:rtl/>
        </w:rPr>
        <w:t>.</w:t>
      </w:r>
    </w:p>
    <w:p w14:paraId="6241F725" w14:textId="47AB708B" w:rsidR="004A054C" w:rsidRPr="00142229" w:rsidRDefault="004A054C" w:rsidP="00142229">
      <w:pPr>
        <w:pStyle w:val="SingleTxtGA"/>
        <w:rPr>
          <w:lang w:val="en-US" w:eastAsia="zh-TW" w:bidi="en-GB"/>
        </w:rPr>
      </w:pPr>
      <w:r w:rsidRPr="00835005">
        <w:rPr>
          <w:rtl/>
        </w:rPr>
        <w:t>3</w:t>
      </w:r>
      <w:r w:rsidRPr="004A054C">
        <w:rPr>
          <w:rtl/>
        </w:rPr>
        <w:t>-</w:t>
      </w:r>
      <w:r w:rsidRPr="004A054C">
        <w:rPr>
          <w:rtl/>
        </w:rPr>
        <w:tab/>
        <w:t>وتعرب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تقديرها</w:t>
      </w:r>
      <w:r w:rsidRPr="004A054C">
        <w:rPr>
          <w:rtl/>
        </w:rPr>
        <w:t xml:space="preserve"> </w:t>
      </w:r>
      <w:r w:rsidRPr="004A054C">
        <w:rPr>
          <w:rtl/>
        </w:rPr>
        <w:t>للفرصة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أُتيحت</w:t>
      </w:r>
      <w:r w:rsidRPr="004A054C">
        <w:rPr>
          <w:rtl/>
        </w:rPr>
        <w:t xml:space="preserve"> </w:t>
      </w:r>
      <w:r w:rsidRPr="004A054C">
        <w:rPr>
          <w:rtl/>
        </w:rPr>
        <w:t>لها</w:t>
      </w:r>
      <w:r w:rsidRPr="004A054C">
        <w:rPr>
          <w:rtl/>
        </w:rPr>
        <w:t xml:space="preserve"> </w:t>
      </w:r>
      <w:r w:rsidRPr="004A054C">
        <w:rPr>
          <w:rtl/>
        </w:rPr>
        <w:t>لإجراء</w:t>
      </w:r>
      <w:r w:rsidRPr="004A054C">
        <w:rPr>
          <w:rtl/>
        </w:rPr>
        <w:t xml:space="preserve"> </w:t>
      </w:r>
      <w:r w:rsidRPr="004A054C">
        <w:rPr>
          <w:rtl/>
        </w:rPr>
        <w:t>حوار</w:t>
      </w:r>
      <w:r w:rsidRPr="004A054C">
        <w:rPr>
          <w:rtl/>
        </w:rPr>
        <w:t xml:space="preserve"> </w:t>
      </w:r>
      <w:r w:rsidRPr="004A054C">
        <w:rPr>
          <w:rtl/>
        </w:rPr>
        <w:t>بنَّاء</w:t>
      </w:r>
      <w:r w:rsidRPr="004A054C">
        <w:rPr>
          <w:rtl/>
        </w:rPr>
        <w:t xml:space="preserve"> </w:t>
      </w:r>
      <w:r w:rsidRPr="004A054C">
        <w:rPr>
          <w:rtl/>
        </w:rPr>
        <w:t>مع</w:t>
      </w:r>
      <w:r w:rsidRPr="004A054C">
        <w:rPr>
          <w:rtl/>
        </w:rPr>
        <w:t xml:space="preserve"> </w:t>
      </w:r>
      <w:r w:rsidRPr="004A054C">
        <w:rPr>
          <w:rtl/>
        </w:rPr>
        <w:t>وفد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الطرف،</w:t>
      </w:r>
      <w:r w:rsidRPr="004A054C">
        <w:rPr>
          <w:rtl/>
        </w:rPr>
        <w:t xml:space="preserve"> </w:t>
      </w:r>
      <w:r w:rsidRPr="004A054C">
        <w:rPr>
          <w:rtl/>
        </w:rPr>
        <w:t>وللردود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قُدِّمت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الأسئلة</w:t>
      </w:r>
      <w:r w:rsidRPr="004A054C">
        <w:rPr>
          <w:rtl/>
        </w:rPr>
        <w:t xml:space="preserve"> </w:t>
      </w:r>
      <w:r w:rsidRPr="004A054C">
        <w:rPr>
          <w:rtl/>
        </w:rPr>
        <w:t>والشواغل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أثيرت</w:t>
      </w:r>
      <w:r w:rsidRPr="004A054C">
        <w:rPr>
          <w:rtl/>
        </w:rPr>
        <w:t xml:space="preserve"> </w:t>
      </w:r>
      <w:r w:rsidRPr="004A054C">
        <w:rPr>
          <w:rtl/>
        </w:rPr>
        <w:t>أثناء</w:t>
      </w:r>
      <w:r w:rsidRPr="004A054C">
        <w:rPr>
          <w:rtl/>
        </w:rPr>
        <w:t xml:space="preserve"> </w:t>
      </w:r>
      <w:r w:rsidRPr="004A054C">
        <w:rPr>
          <w:rtl/>
        </w:rPr>
        <w:t>النظر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التقرير</w:t>
      </w:r>
      <w:r w:rsidRPr="004A054C">
        <w:rPr>
          <w:rtl/>
        </w:rPr>
        <w:t xml:space="preserve"> </w:t>
      </w:r>
      <w:r w:rsidRPr="004A054C">
        <w:rPr>
          <w:rtl/>
        </w:rPr>
        <w:t>الأولي.</w:t>
      </w:r>
    </w:p>
    <w:p w14:paraId="17B327DA" w14:textId="7DE82765" w:rsidR="004A054C" w:rsidRPr="00835005" w:rsidRDefault="004A054C" w:rsidP="004A054C">
      <w:pPr>
        <w:pStyle w:val="H1GA"/>
        <w:rPr>
          <w:lang w:val="en-US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>باء-</w:t>
      </w:r>
      <w:r w:rsidRPr="00835005">
        <w:rPr>
          <w:rtl/>
        </w:rPr>
        <w:tab/>
        <w:t>الجوانب</w:t>
      </w:r>
      <w:r w:rsidRPr="00835005">
        <w:rPr>
          <w:rtl/>
        </w:rPr>
        <w:t xml:space="preserve"> </w:t>
      </w:r>
      <w:r w:rsidRPr="00835005">
        <w:rPr>
          <w:rtl/>
        </w:rPr>
        <w:t>الإيجابية</w:t>
      </w:r>
    </w:p>
    <w:p w14:paraId="4F0C8EC4" w14:textId="0E2AC7C9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4</w:t>
      </w:r>
      <w:r w:rsidRPr="004A054C">
        <w:rPr>
          <w:rtl/>
        </w:rPr>
        <w:t>-</w:t>
      </w:r>
      <w:r w:rsidRPr="004A054C">
        <w:rPr>
          <w:rtl/>
        </w:rPr>
        <w:tab/>
        <w:t>ترحّب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بتصديق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الصكوك</w:t>
      </w:r>
      <w:r w:rsidRPr="004A054C">
        <w:rPr>
          <w:rtl/>
        </w:rPr>
        <w:t xml:space="preserve"> </w:t>
      </w:r>
      <w:r w:rsidRPr="004A054C">
        <w:rPr>
          <w:rtl/>
        </w:rPr>
        <w:t>الدولية</w:t>
      </w:r>
      <w:r w:rsidRPr="004A054C">
        <w:rPr>
          <w:rtl/>
        </w:rPr>
        <w:t xml:space="preserve"> </w:t>
      </w:r>
      <w:r w:rsidRPr="004A054C">
        <w:rPr>
          <w:rtl/>
        </w:rPr>
        <w:t>التالية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انضمامها</w:t>
      </w:r>
      <w:r w:rsidRPr="004A054C">
        <w:rPr>
          <w:rtl/>
        </w:rPr>
        <w:t xml:space="preserve"> </w:t>
      </w:r>
      <w:r w:rsidRPr="004A054C">
        <w:rPr>
          <w:rtl/>
        </w:rPr>
        <w:t>إليها</w:t>
      </w:r>
      <w:r w:rsidR="00142229">
        <w:rPr>
          <w:rtl/>
        </w:rPr>
        <w:t>:</w:t>
      </w:r>
      <w:r w:rsidRPr="004A054C">
        <w:rPr>
          <w:rtl/>
        </w:rPr>
        <w:t xml:space="preserve"> </w:t>
      </w:r>
    </w:p>
    <w:p w14:paraId="2FCDD45D" w14:textId="4E3C3EFC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(أ)</w:t>
      </w:r>
      <w:r w:rsidRPr="004A054C">
        <w:rPr>
          <w:rtl/>
        </w:rPr>
        <w:tab/>
        <w:t>اتفاقية</w:t>
      </w:r>
      <w:r w:rsidRPr="004A054C">
        <w:rPr>
          <w:rtl/>
        </w:rPr>
        <w:t xml:space="preserve"> </w:t>
      </w:r>
      <w:r w:rsidRPr="004A054C">
        <w:rPr>
          <w:rtl/>
        </w:rPr>
        <w:t>حقوق</w:t>
      </w:r>
      <w:r w:rsidRPr="004A054C">
        <w:rPr>
          <w:rtl/>
        </w:rPr>
        <w:t xml:space="preserve"> </w:t>
      </w:r>
      <w:r w:rsidRPr="004A054C">
        <w:rPr>
          <w:rtl/>
        </w:rPr>
        <w:t>الطفل،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2015</w:t>
      </w:r>
      <w:r w:rsidRPr="004A054C">
        <w:rPr>
          <w:rtl/>
        </w:rPr>
        <w:t>؛</w:t>
      </w:r>
    </w:p>
    <w:p w14:paraId="0658C17D" w14:textId="78491599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(ب)</w:t>
      </w:r>
      <w:r w:rsidRPr="004A054C">
        <w:rPr>
          <w:rtl/>
        </w:rPr>
        <w:tab/>
        <w:t>اتفاقية</w:t>
      </w:r>
      <w:r w:rsidRPr="004A054C">
        <w:rPr>
          <w:rtl/>
        </w:rPr>
        <w:t xml:space="preserve"> </w:t>
      </w:r>
      <w:r w:rsidRPr="004A054C">
        <w:rPr>
          <w:rtl/>
        </w:rPr>
        <w:t>حقوق</w:t>
      </w:r>
      <w:r w:rsidRPr="004A054C">
        <w:rPr>
          <w:rtl/>
        </w:rPr>
        <w:t xml:space="preserve"> </w:t>
      </w:r>
      <w:r w:rsidRPr="004A054C">
        <w:rPr>
          <w:rtl/>
        </w:rPr>
        <w:t>الأشخاص</w:t>
      </w:r>
      <w:r w:rsidRPr="004A054C">
        <w:rPr>
          <w:rtl/>
        </w:rPr>
        <w:t xml:space="preserve"> </w:t>
      </w:r>
      <w:r w:rsidRPr="004A054C">
        <w:rPr>
          <w:rtl/>
        </w:rPr>
        <w:t>ذوي</w:t>
      </w:r>
      <w:r w:rsidRPr="004A054C">
        <w:rPr>
          <w:rtl/>
        </w:rPr>
        <w:t xml:space="preserve"> </w:t>
      </w:r>
      <w:r w:rsidRPr="004A054C">
        <w:rPr>
          <w:rtl/>
        </w:rPr>
        <w:t>الإعاقة،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2019</w:t>
      </w:r>
      <w:r w:rsidRPr="004A054C">
        <w:rPr>
          <w:rtl/>
        </w:rPr>
        <w:t>؛</w:t>
      </w:r>
    </w:p>
    <w:p w14:paraId="160399C0" w14:textId="058E26B1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(ج)</w:t>
      </w:r>
      <w:r w:rsidRPr="004A054C">
        <w:rPr>
          <w:rtl/>
        </w:rPr>
        <w:tab/>
        <w:t>اتفاقية</w:t>
      </w:r>
      <w:r w:rsidRPr="004A054C">
        <w:rPr>
          <w:rtl/>
        </w:rPr>
        <w:t xml:space="preserve"> </w:t>
      </w:r>
      <w:r w:rsidRPr="004A054C">
        <w:rPr>
          <w:rtl/>
        </w:rPr>
        <w:t>الاتحاد</w:t>
      </w:r>
      <w:r w:rsidRPr="004A054C">
        <w:rPr>
          <w:rtl/>
        </w:rPr>
        <w:t xml:space="preserve"> </w:t>
      </w:r>
      <w:r w:rsidRPr="004A054C">
        <w:rPr>
          <w:rtl/>
        </w:rPr>
        <w:t>الأفريقي</w:t>
      </w:r>
      <w:r w:rsidRPr="004A054C">
        <w:rPr>
          <w:rtl/>
        </w:rPr>
        <w:t xml:space="preserve"> </w:t>
      </w:r>
      <w:r w:rsidRPr="004A054C">
        <w:rPr>
          <w:rtl/>
        </w:rPr>
        <w:t>لحماية</w:t>
      </w:r>
      <w:r w:rsidRPr="004A054C">
        <w:rPr>
          <w:rtl/>
        </w:rPr>
        <w:t xml:space="preserve"> </w:t>
      </w:r>
      <w:r w:rsidRPr="004A054C">
        <w:rPr>
          <w:rtl/>
        </w:rPr>
        <w:t>ومساعدة</w:t>
      </w:r>
      <w:r w:rsidRPr="004A054C">
        <w:rPr>
          <w:rtl/>
        </w:rPr>
        <w:t xml:space="preserve"> </w:t>
      </w:r>
      <w:r w:rsidRPr="004A054C">
        <w:rPr>
          <w:rtl/>
        </w:rPr>
        <w:t>النازحين</w:t>
      </w:r>
      <w:r w:rsidRPr="004A054C">
        <w:rPr>
          <w:rtl/>
        </w:rPr>
        <w:t xml:space="preserve"> </w:t>
      </w:r>
      <w:r w:rsidRPr="004A054C">
        <w:rPr>
          <w:rtl/>
        </w:rPr>
        <w:t>داخليا</w:t>
      </w:r>
      <w:r w:rsidR="00410ADA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أفريقيا</w:t>
      </w:r>
      <w:r w:rsidRPr="004A054C">
        <w:rPr>
          <w:rtl/>
        </w:rPr>
        <w:t xml:space="preserve"> </w:t>
      </w:r>
      <w:r w:rsidRPr="004A054C">
        <w:rPr>
          <w:rtl/>
        </w:rPr>
        <w:t>(اتفاقية</w:t>
      </w:r>
      <w:r w:rsidRPr="004A054C">
        <w:rPr>
          <w:rtl/>
        </w:rPr>
        <w:t xml:space="preserve"> </w:t>
      </w:r>
      <w:r w:rsidRPr="004A054C">
        <w:rPr>
          <w:rtl/>
        </w:rPr>
        <w:t>كمبالا</w:t>
      </w:r>
      <w:r w:rsidR="00D40BC3" w:rsidRPr="00D40BC3">
        <w:rPr>
          <w:rtl/>
        </w:rPr>
        <w:t>)،</w:t>
      </w:r>
      <w:r w:rsidR="00D40BC3" w:rsidRPr="00D40BC3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2019</w:t>
      </w:r>
      <w:r w:rsidRPr="004A054C">
        <w:rPr>
          <w:rtl/>
        </w:rPr>
        <w:t>؛</w:t>
      </w:r>
    </w:p>
    <w:p w14:paraId="1D62C154" w14:textId="53D132E8" w:rsidR="00D40BC3" w:rsidRPr="00D40BC3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(د)</w:t>
      </w:r>
      <w:r w:rsidRPr="004A054C">
        <w:rPr>
          <w:rtl/>
        </w:rPr>
        <w:tab/>
        <w:t>اتفاقية</w:t>
      </w:r>
      <w:r w:rsidRPr="004A054C">
        <w:rPr>
          <w:rtl/>
        </w:rPr>
        <w:t xml:space="preserve"> </w:t>
      </w:r>
      <w:r w:rsidRPr="004A054C">
        <w:rPr>
          <w:rtl/>
        </w:rPr>
        <w:t>الأمم</w:t>
      </w:r>
      <w:r w:rsidRPr="004A054C">
        <w:rPr>
          <w:rtl/>
        </w:rPr>
        <w:t xml:space="preserve"> </w:t>
      </w:r>
      <w:r w:rsidRPr="004A054C">
        <w:rPr>
          <w:rtl/>
        </w:rPr>
        <w:t>المتحدة</w:t>
      </w:r>
      <w:r w:rsidRPr="004A054C">
        <w:rPr>
          <w:rtl/>
        </w:rPr>
        <w:t xml:space="preserve"> </w:t>
      </w:r>
      <w:r w:rsidRPr="004A054C">
        <w:rPr>
          <w:rtl/>
        </w:rPr>
        <w:t>لمكافحة</w:t>
      </w:r>
      <w:r w:rsidRPr="004A054C">
        <w:rPr>
          <w:rtl/>
        </w:rPr>
        <w:t xml:space="preserve"> </w:t>
      </w:r>
      <w:r w:rsidRPr="004A054C">
        <w:rPr>
          <w:rtl/>
        </w:rPr>
        <w:t>الفساد،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202</w:t>
      </w:r>
      <w:r w:rsidR="00D40BC3" w:rsidRPr="00835005">
        <w:rPr>
          <w:rtl/>
        </w:rPr>
        <w:t>1</w:t>
      </w:r>
      <w:r w:rsidR="00D40BC3" w:rsidRPr="00D40BC3">
        <w:rPr>
          <w:rtl/>
        </w:rPr>
        <w:t>.</w:t>
      </w:r>
    </w:p>
    <w:p w14:paraId="3B237EE1" w14:textId="058BBE15" w:rsidR="004A054C" w:rsidRPr="00142229" w:rsidRDefault="004A054C" w:rsidP="004A054C">
      <w:pPr>
        <w:pStyle w:val="SingleTxtGA"/>
        <w:rPr>
          <w:rFonts w:hint="cs"/>
          <w:rtl/>
          <w:lang w:val="en-US" w:eastAsia="zh-TW"/>
        </w:rPr>
      </w:pPr>
      <w:r w:rsidRPr="00835005">
        <w:rPr>
          <w:rtl/>
        </w:rPr>
        <w:t>5</w:t>
      </w:r>
      <w:r w:rsidRPr="004A054C">
        <w:rPr>
          <w:rtl/>
        </w:rPr>
        <w:t>-</w:t>
      </w:r>
      <w:r w:rsidRPr="004A054C">
        <w:rPr>
          <w:rtl/>
        </w:rPr>
        <w:tab/>
        <w:t>وترحب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أيضاً</w:t>
      </w:r>
      <w:r w:rsidRPr="004A054C">
        <w:rPr>
          <w:rtl/>
        </w:rPr>
        <w:t xml:space="preserve"> </w:t>
      </w:r>
      <w:r w:rsidRPr="004A054C">
        <w:rPr>
          <w:rtl/>
        </w:rPr>
        <w:t>بالمبادرات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اتخذتها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لتنقيح</w:t>
      </w:r>
      <w:r w:rsidRPr="004A054C">
        <w:rPr>
          <w:rtl/>
        </w:rPr>
        <w:t xml:space="preserve"> </w:t>
      </w:r>
      <w:r w:rsidRPr="004A054C">
        <w:rPr>
          <w:rtl/>
        </w:rPr>
        <w:t>تشريعاتها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الميادين</w:t>
      </w:r>
      <w:r w:rsidRPr="004A054C">
        <w:rPr>
          <w:rtl/>
        </w:rPr>
        <w:t xml:space="preserve"> </w:t>
      </w:r>
      <w:r w:rsidRPr="004A054C">
        <w:rPr>
          <w:rtl/>
        </w:rPr>
        <w:t>ذات</w:t>
      </w:r>
      <w:r w:rsidRPr="004A054C">
        <w:rPr>
          <w:rtl/>
        </w:rPr>
        <w:t xml:space="preserve"> </w:t>
      </w:r>
      <w:r w:rsidRPr="004A054C">
        <w:rPr>
          <w:rtl/>
        </w:rPr>
        <w:t>الصلة</w:t>
      </w:r>
      <w:r w:rsidRPr="004A054C">
        <w:rPr>
          <w:rtl/>
        </w:rPr>
        <w:t xml:space="preserve"> </w:t>
      </w:r>
      <w:r w:rsidRPr="004A054C">
        <w:rPr>
          <w:rtl/>
        </w:rPr>
        <w:t>بالاتفاقية،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ما</w:t>
      </w:r>
      <w:r w:rsidRPr="004A054C">
        <w:rPr>
          <w:rtl/>
        </w:rPr>
        <w:t xml:space="preserve"> </w:t>
      </w:r>
      <w:r w:rsidRPr="004A054C">
        <w:rPr>
          <w:rtl/>
        </w:rPr>
        <w:t>يلي</w:t>
      </w:r>
      <w:r w:rsidR="00142229">
        <w:rPr>
          <w:rtl/>
        </w:rPr>
        <w:t>:</w:t>
      </w:r>
    </w:p>
    <w:p w14:paraId="5BC7448B" w14:textId="43055EF7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lastRenderedPageBreak/>
        <w:tab/>
      </w:r>
      <w:r w:rsidRPr="004A054C">
        <w:rPr>
          <w:rtl/>
        </w:rPr>
        <w:t>(أ)</w:t>
      </w:r>
      <w:r w:rsidRPr="004A054C">
        <w:rPr>
          <w:rtl/>
        </w:rPr>
        <w:tab/>
        <w:t>سن</w:t>
      </w:r>
      <w:r w:rsidRPr="004A054C">
        <w:rPr>
          <w:rtl/>
        </w:rPr>
        <w:t xml:space="preserve"> </w:t>
      </w:r>
      <w:r w:rsidRPr="004A054C">
        <w:rPr>
          <w:rtl/>
        </w:rPr>
        <w:t>قانون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الوطنية</w:t>
      </w:r>
      <w:r w:rsidRPr="004A054C">
        <w:rPr>
          <w:rtl/>
        </w:rPr>
        <w:t xml:space="preserve"> </w:t>
      </w:r>
      <w:r w:rsidRPr="004A054C">
        <w:rPr>
          <w:rtl/>
        </w:rPr>
        <w:t>لحقوق</w:t>
      </w:r>
      <w:r w:rsidRPr="004A054C">
        <w:rPr>
          <w:rtl/>
        </w:rPr>
        <w:t xml:space="preserve"> </w:t>
      </w:r>
      <w:r w:rsidRPr="004A054C">
        <w:rPr>
          <w:rtl/>
        </w:rPr>
        <w:t>الإنسان،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2016</w:t>
      </w:r>
      <w:r w:rsidRPr="004A054C">
        <w:rPr>
          <w:rtl/>
        </w:rPr>
        <w:t>؛</w:t>
      </w:r>
      <w:bookmarkStart w:id="0" w:name="_Hlk120776335"/>
      <w:bookmarkEnd w:id="0"/>
    </w:p>
    <w:p w14:paraId="25DEBE75" w14:textId="7B1C3FE8" w:rsidR="00D40BC3" w:rsidRPr="00D40BC3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(ب)</w:t>
      </w:r>
      <w:r w:rsidRPr="004A054C">
        <w:rPr>
          <w:rtl/>
        </w:rPr>
        <w:tab/>
        <w:t>سن</w:t>
      </w:r>
      <w:r w:rsidRPr="004A054C">
        <w:rPr>
          <w:rtl/>
        </w:rPr>
        <w:t xml:space="preserve"> </w:t>
      </w:r>
      <w:r w:rsidRPr="004A054C">
        <w:rPr>
          <w:rtl/>
        </w:rPr>
        <w:t>قانون</w:t>
      </w:r>
      <w:r w:rsidRPr="004A054C">
        <w:rPr>
          <w:rtl/>
        </w:rPr>
        <w:t xml:space="preserve"> </w:t>
      </w:r>
      <w:r w:rsidRPr="004A054C">
        <w:rPr>
          <w:rtl/>
        </w:rPr>
        <w:t>الوكالة</w:t>
      </w:r>
      <w:r w:rsidRPr="004A054C">
        <w:rPr>
          <w:rtl/>
        </w:rPr>
        <w:t xml:space="preserve"> </w:t>
      </w:r>
      <w:r w:rsidRPr="004A054C">
        <w:rPr>
          <w:rtl/>
        </w:rPr>
        <w:t>الوطنية</w:t>
      </w:r>
      <w:r w:rsidRPr="004A054C">
        <w:rPr>
          <w:rtl/>
        </w:rPr>
        <w:t xml:space="preserve"> </w:t>
      </w:r>
      <w:r w:rsidRPr="004A054C">
        <w:rPr>
          <w:rtl/>
        </w:rPr>
        <w:t>المعنية</w:t>
      </w:r>
      <w:r w:rsidRPr="004A054C">
        <w:rPr>
          <w:rtl/>
        </w:rPr>
        <w:t xml:space="preserve"> </w:t>
      </w:r>
      <w:r w:rsidRPr="004A054C">
        <w:rPr>
          <w:rtl/>
        </w:rPr>
        <w:t>بالإعاقة،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201</w:t>
      </w:r>
      <w:r w:rsidR="00D40BC3" w:rsidRPr="00835005">
        <w:rPr>
          <w:rtl/>
        </w:rPr>
        <w:t>8</w:t>
      </w:r>
      <w:r w:rsidR="00D40BC3" w:rsidRPr="00D40BC3">
        <w:rPr>
          <w:rtl/>
        </w:rPr>
        <w:t>.</w:t>
      </w:r>
    </w:p>
    <w:p w14:paraId="628F83D9" w14:textId="14CA00AB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6</w:t>
      </w:r>
      <w:r w:rsidRPr="004A054C">
        <w:rPr>
          <w:rtl/>
        </w:rPr>
        <w:t>-</w:t>
      </w:r>
      <w:r w:rsidRPr="004A054C">
        <w:rPr>
          <w:rtl/>
        </w:rPr>
        <w:tab/>
        <w:t>وتثني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للمبادرات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اتخذتها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أجل</w:t>
      </w:r>
      <w:r w:rsidRPr="004A054C">
        <w:rPr>
          <w:rtl/>
        </w:rPr>
        <w:t xml:space="preserve"> </w:t>
      </w:r>
      <w:r w:rsidRPr="004A054C">
        <w:rPr>
          <w:rtl/>
        </w:rPr>
        <w:t>تعديل</w:t>
      </w:r>
      <w:r w:rsidRPr="004A054C">
        <w:rPr>
          <w:rtl/>
        </w:rPr>
        <w:t xml:space="preserve"> </w:t>
      </w:r>
      <w:r w:rsidRPr="004A054C">
        <w:rPr>
          <w:rtl/>
        </w:rPr>
        <w:t>سياساتها</w:t>
      </w:r>
      <w:r w:rsidRPr="004A054C">
        <w:rPr>
          <w:rtl/>
        </w:rPr>
        <w:t xml:space="preserve"> </w:t>
      </w:r>
      <w:r w:rsidRPr="004A054C">
        <w:rPr>
          <w:rtl/>
        </w:rPr>
        <w:t>وإجراءاتها</w:t>
      </w:r>
      <w:r w:rsidRPr="004A054C">
        <w:rPr>
          <w:rtl/>
        </w:rPr>
        <w:t xml:space="preserve"> </w:t>
      </w:r>
      <w:r w:rsidRPr="004A054C">
        <w:rPr>
          <w:rtl/>
        </w:rPr>
        <w:t>بغية</w:t>
      </w:r>
      <w:r w:rsidRPr="004A054C">
        <w:rPr>
          <w:rtl/>
        </w:rPr>
        <w:t xml:space="preserve"> </w:t>
      </w:r>
      <w:r w:rsidRPr="004A054C">
        <w:rPr>
          <w:rtl/>
        </w:rPr>
        <w:t>توفير</w:t>
      </w:r>
      <w:r w:rsidRPr="004A054C">
        <w:rPr>
          <w:rtl/>
        </w:rPr>
        <w:t xml:space="preserve"> </w:t>
      </w:r>
      <w:r w:rsidRPr="004A054C">
        <w:rPr>
          <w:rtl/>
        </w:rPr>
        <w:t>حماية</w:t>
      </w:r>
      <w:r w:rsidRPr="004A054C">
        <w:rPr>
          <w:rtl/>
        </w:rPr>
        <w:t xml:space="preserve"> </w:t>
      </w:r>
      <w:r w:rsidRPr="004A054C">
        <w:rPr>
          <w:rtl/>
        </w:rPr>
        <w:t>أكبر</w:t>
      </w:r>
      <w:r w:rsidRPr="004A054C">
        <w:rPr>
          <w:rtl/>
        </w:rPr>
        <w:t xml:space="preserve"> </w:t>
      </w:r>
      <w:r w:rsidRPr="004A054C">
        <w:rPr>
          <w:rtl/>
        </w:rPr>
        <w:t>لحقوق</w:t>
      </w:r>
      <w:r w:rsidRPr="004A054C">
        <w:rPr>
          <w:rtl/>
        </w:rPr>
        <w:t xml:space="preserve"> </w:t>
      </w:r>
      <w:r w:rsidRPr="004A054C">
        <w:rPr>
          <w:rtl/>
        </w:rPr>
        <w:t>الإنسان</w:t>
      </w:r>
      <w:r w:rsidRPr="004A054C">
        <w:rPr>
          <w:rtl/>
        </w:rPr>
        <w:t xml:space="preserve"> </w:t>
      </w:r>
      <w:r w:rsidRPr="004A054C">
        <w:rPr>
          <w:rtl/>
        </w:rPr>
        <w:t>وتطبيق</w:t>
      </w:r>
      <w:r w:rsidRPr="004A054C">
        <w:rPr>
          <w:rtl/>
        </w:rPr>
        <w:t xml:space="preserve"> </w:t>
      </w:r>
      <w:r w:rsidRPr="004A054C">
        <w:rPr>
          <w:rtl/>
        </w:rPr>
        <w:t>الاتفاقية،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ما</w:t>
      </w:r>
      <w:r w:rsidRPr="004A054C">
        <w:rPr>
          <w:rtl/>
        </w:rPr>
        <w:t xml:space="preserve"> </w:t>
      </w:r>
      <w:r w:rsidRPr="004A054C">
        <w:rPr>
          <w:rtl/>
        </w:rPr>
        <w:t>يلي</w:t>
      </w:r>
      <w:r w:rsidR="00142229">
        <w:rPr>
          <w:rtl/>
        </w:rPr>
        <w:t>:</w:t>
      </w:r>
      <w:r w:rsidRPr="004A054C">
        <w:rPr>
          <w:rtl/>
        </w:rPr>
        <w:t xml:space="preserve"> </w:t>
      </w:r>
    </w:p>
    <w:p w14:paraId="36C1FDFD" w14:textId="1C70F548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(أ)</w:t>
      </w:r>
      <w:r w:rsidRPr="004A054C">
        <w:rPr>
          <w:rtl/>
        </w:rPr>
        <w:tab/>
        <w:t>إنشاء</w:t>
      </w:r>
      <w:r w:rsidRPr="004A054C">
        <w:rPr>
          <w:rtl/>
        </w:rPr>
        <w:t xml:space="preserve"> </w:t>
      </w:r>
      <w:r w:rsidRPr="004A054C">
        <w:rPr>
          <w:rtl/>
        </w:rPr>
        <w:t>وزارة</w:t>
      </w:r>
      <w:r w:rsidRPr="004A054C">
        <w:rPr>
          <w:rtl/>
        </w:rPr>
        <w:t xml:space="preserve"> </w:t>
      </w:r>
      <w:r w:rsidRPr="004A054C">
        <w:rPr>
          <w:rtl/>
        </w:rPr>
        <w:t>المرأة</w:t>
      </w:r>
      <w:r w:rsidRPr="004A054C">
        <w:rPr>
          <w:rtl/>
        </w:rPr>
        <w:t xml:space="preserve"> </w:t>
      </w:r>
      <w:r w:rsidRPr="004A054C">
        <w:rPr>
          <w:rtl/>
        </w:rPr>
        <w:t>وتنمية</w:t>
      </w:r>
      <w:r w:rsidRPr="004A054C">
        <w:rPr>
          <w:rtl/>
        </w:rPr>
        <w:t xml:space="preserve"> </w:t>
      </w:r>
      <w:r w:rsidRPr="004A054C">
        <w:rPr>
          <w:rtl/>
        </w:rPr>
        <w:t>حقوق</w:t>
      </w:r>
      <w:r w:rsidRPr="004A054C">
        <w:rPr>
          <w:rtl/>
        </w:rPr>
        <w:t xml:space="preserve"> </w:t>
      </w:r>
      <w:r w:rsidRPr="004A054C">
        <w:rPr>
          <w:rtl/>
        </w:rPr>
        <w:t>الإنسان،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2013</w:t>
      </w:r>
      <w:r w:rsidRPr="004A054C">
        <w:rPr>
          <w:rtl/>
        </w:rPr>
        <w:t>؛</w:t>
      </w:r>
    </w:p>
    <w:p w14:paraId="4B39AACD" w14:textId="396EF592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(ب)</w:t>
      </w:r>
      <w:r w:rsidRPr="004A054C">
        <w:rPr>
          <w:rtl/>
        </w:rPr>
        <w:tab/>
        <w:t>إعادة</w:t>
      </w:r>
      <w:r w:rsidRPr="004A054C">
        <w:rPr>
          <w:rtl/>
        </w:rPr>
        <w:t xml:space="preserve"> </w:t>
      </w:r>
      <w:r w:rsidRPr="004A054C">
        <w:rPr>
          <w:rtl/>
        </w:rPr>
        <w:t>إنشاء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الوطنية</w:t>
      </w:r>
      <w:r w:rsidRPr="004A054C">
        <w:rPr>
          <w:rtl/>
        </w:rPr>
        <w:t xml:space="preserve"> </w:t>
      </w:r>
      <w:r w:rsidRPr="004A054C">
        <w:rPr>
          <w:rtl/>
        </w:rPr>
        <w:t>للاجئين</w:t>
      </w:r>
      <w:r w:rsidRPr="004A054C">
        <w:rPr>
          <w:rtl/>
        </w:rPr>
        <w:t xml:space="preserve"> </w:t>
      </w:r>
      <w:r w:rsidRPr="004A054C">
        <w:rPr>
          <w:rtl/>
        </w:rPr>
        <w:t>والمشرّدين</w:t>
      </w:r>
      <w:r w:rsidRPr="004A054C">
        <w:rPr>
          <w:rtl/>
        </w:rPr>
        <w:t xml:space="preserve"> </w:t>
      </w:r>
      <w:r w:rsidRPr="004A054C">
        <w:rPr>
          <w:rtl/>
        </w:rPr>
        <w:t>داخليا</w:t>
      </w:r>
      <w:r w:rsidR="00410ADA">
        <w:rPr>
          <w:rFonts w:hint="cs"/>
          <w:rtl/>
        </w:rPr>
        <w:t>ً</w:t>
      </w:r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2013</w:t>
      </w:r>
      <w:r w:rsidRPr="004A054C">
        <w:rPr>
          <w:rtl/>
        </w:rPr>
        <w:t>؛</w:t>
      </w:r>
      <w:bookmarkStart w:id="1" w:name="_Hlk120776447"/>
      <w:bookmarkEnd w:id="1"/>
    </w:p>
    <w:p w14:paraId="7E5A56C8" w14:textId="73E3DD7C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(ج)</w:t>
      </w:r>
      <w:r w:rsidRPr="004A054C">
        <w:rPr>
          <w:rtl/>
        </w:rPr>
        <w:tab/>
        <w:t>اعتماد</w:t>
      </w:r>
      <w:r w:rsidRPr="004A054C">
        <w:rPr>
          <w:rtl/>
        </w:rPr>
        <w:t xml:space="preserve"> </w:t>
      </w:r>
      <w:r w:rsidRPr="004A054C">
        <w:rPr>
          <w:rtl/>
        </w:rPr>
        <w:t>خطة</w:t>
      </w:r>
      <w:r w:rsidRPr="004A054C">
        <w:rPr>
          <w:rtl/>
        </w:rPr>
        <w:t xml:space="preserve"> </w:t>
      </w:r>
      <w:r w:rsidRPr="004A054C">
        <w:rPr>
          <w:rtl/>
        </w:rPr>
        <w:t>العمل</w:t>
      </w:r>
      <w:r w:rsidRPr="004A054C">
        <w:rPr>
          <w:rtl/>
        </w:rPr>
        <w:t xml:space="preserve"> </w:t>
      </w:r>
      <w:r w:rsidRPr="004A054C">
        <w:rPr>
          <w:rtl/>
        </w:rPr>
        <w:t>الوطنية</w:t>
      </w:r>
      <w:r w:rsidRPr="004A054C">
        <w:rPr>
          <w:rtl/>
        </w:rPr>
        <w:t xml:space="preserve"> </w:t>
      </w:r>
      <w:r w:rsidRPr="004A054C">
        <w:rPr>
          <w:rtl/>
        </w:rPr>
        <w:t>لإنهاء</w:t>
      </w:r>
      <w:r w:rsidRPr="004A054C">
        <w:rPr>
          <w:rtl/>
        </w:rPr>
        <w:t xml:space="preserve"> </w:t>
      </w:r>
      <w:r w:rsidRPr="004A054C">
        <w:rPr>
          <w:rtl/>
        </w:rPr>
        <w:t>العنف</w:t>
      </w:r>
      <w:r w:rsidRPr="004A054C">
        <w:rPr>
          <w:rtl/>
        </w:rPr>
        <w:t xml:space="preserve"> </w:t>
      </w:r>
      <w:r w:rsidRPr="004A054C">
        <w:rPr>
          <w:rtl/>
        </w:rPr>
        <w:t>الجنسي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حالات</w:t>
      </w:r>
      <w:r w:rsidRPr="004A054C">
        <w:rPr>
          <w:rtl/>
        </w:rPr>
        <w:t xml:space="preserve"> </w:t>
      </w:r>
      <w:r w:rsidRPr="004A054C">
        <w:rPr>
          <w:rtl/>
        </w:rPr>
        <w:t>النزاع،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2014</w:t>
      </w:r>
      <w:r w:rsidRPr="004A054C">
        <w:rPr>
          <w:rtl/>
        </w:rPr>
        <w:t>؛</w:t>
      </w:r>
      <w:bookmarkStart w:id="2" w:name="_Hlk120776475"/>
      <w:bookmarkEnd w:id="2"/>
    </w:p>
    <w:p w14:paraId="6AC02E77" w14:textId="07B4E333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(د)</w:t>
      </w:r>
      <w:r w:rsidRPr="004A054C">
        <w:rPr>
          <w:rtl/>
        </w:rPr>
        <w:tab/>
        <w:t>إنشاء</w:t>
      </w:r>
      <w:r w:rsidRPr="004A054C">
        <w:rPr>
          <w:rtl/>
        </w:rPr>
        <w:t xml:space="preserve"> </w:t>
      </w:r>
      <w:r w:rsidRPr="004A054C">
        <w:rPr>
          <w:rtl/>
        </w:rPr>
        <w:t>فرقة</w:t>
      </w:r>
      <w:r w:rsidRPr="004A054C">
        <w:rPr>
          <w:rtl/>
        </w:rPr>
        <w:t xml:space="preserve"> </w:t>
      </w:r>
      <w:r w:rsidRPr="004A054C">
        <w:rPr>
          <w:rtl/>
        </w:rPr>
        <w:t>العمل</w:t>
      </w:r>
      <w:r w:rsidRPr="004A054C">
        <w:rPr>
          <w:rtl/>
        </w:rPr>
        <w:t xml:space="preserve"> </w:t>
      </w:r>
      <w:r w:rsidRPr="004A054C">
        <w:rPr>
          <w:rtl/>
        </w:rPr>
        <w:t>المشتركة</w:t>
      </w:r>
      <w:r w:rsidRPr="004A054C">
        <w:rPr>
          <w:rtl/>
        </w:rPr>
        <w:t xml:space="preserve"> </w:t>
      </w:r>
      <w:r w:rsidRPr="004A054C">
        <w:rPr>
          <w:rtl/>
        </w:rPr>
        <w:t>بين</w:t>
      </w:r>
      <w:r w:rsidRPr="004A054C">
        <w:rPr>
          <w:rtl/>
        </w:rPr>
        <w:t xml:space="preserve"> </w:t>
      </w:r>
      <w:r w:rsidRPr="004A054C">
        <w:rPr>
          <w:rtl/>
        </w:rPr>
        <w:t>الوزارات</w:t>
      </w:r>
      <w:r w:rsidRPr="004A054C">
        <w:rPr>
          <w:rtl/>
        </w:rPr>
        <w:t xml:space="preserve"> </w:t>
      </w:r>
      <w:r w:rsidRPr="004A054C">
        <w:rPr>
          <w:rtl/>
        </w:rPr>
        <w:t>المعنية</w:t>
      </w:r>
      <w:r w:rsidRPr="004A054C">
        <w:rPr>
          <w:rtl/>
        </w:rPr>
        <w:t xml:space="preserve"> </w:t>
      </w:r>
      <w:r w:rsidRPr="004A054C">
        <w:rPr>
          <w:rtl/>
        </w:rPr>
        <w:t>بحقوق</w:t>
      </w:r>
      <w:r w:rsidRPr="004A054C">
        <w:rPr>
          <w:rtl/>
        </w:rPr>
        <w:t xml:space="preserve"> </w:t>
      </w:r>
      <w:r w:rsidRPr="004A054C">
        <w:rPr>
          <w:rtl/>
        </w:rPr>
        <w:t>الإنسان.</w:t>
      </w:r>
      <w:bookmarkStart w:id="3" w:name="_Hlk120776664"/>
      <w:bookmarkEnd w:id="3"/>
    </w:p>
    <w:p w14:paraId="69C37627" w14:textId="6AD679C7" w:rsidR="004A054C" w:rsidRPr="00835005" w:rsidRDefault="004A054C" w:rsidP="004A054C">
      <w:pPr>
        <w:pStyle w:val="H1GA"/>
        <w:rPr>
          <w:lang w:val="en-US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>جيم-</w:t>
      </w:r>
      <w:r w:rsidRPr="00835005">
        <w:rPr>
          <w:rtl/>
        </w:rPr>
        <w:tab/>
        <w:t>دواعي</w:t>
      </w:r>
      <w:r w:rsidRPr="00835005">
        <w:rPr>
          <w:rtl/>
        </w:rPr>
        <w:t xml:space="preserve"> </w:t>
      </w:r>
      <w:r w:rsidRPr="00835005">
        <w:rPr>
          <w:rtl/>
        </w:rPr>
        <w:t>القلق</w:t>
      </w:r>
      <w:r w:rsidRPr="00835005">
        <w:rPr>
          <w:rtl/>
        </w:rPr>
        <w:t xml:space="preserve"> </w:t>
      </w:r>
      <w:r w:rsidRPr="00835005">
        <w:rPr>
          <w:rtl/>
        </w:rPr>
        <w:t>الرئيسية</w:t>
      </w:r>
      <w:r w:rsidRPr="00835005">
        <w:rPr>
          <w:rtl/>
        </w:rPr>
        <w:t xml:space="preserve"> </w:t>
      </w:r>
      <w:r w:rsidRPr="00835005">
        <w:rPr>
          <w:rtl/>
        </w:rPr>
        <w:t>والتوصيات</w:t>
      </w:r>
      <w:r w:rsidRPr="00835005">
        <w:rPr>
          <w:rtl/>
        </w:rPr>
        <w:t xml:space="preserve"> </w:t>
      </w:r>
    </w:p>
    <w:p w14:paraId="0A9897BA" w14:textId="5B8C6C6B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تعريف</w:t>
      </w:r>
      <w:r w:rsidRPr="00835005">
        <w:rPr>
          <w:rtl/>
        </w:rPr>
        <w:t xml:space="preserve"> </w:t>
      </w:r>
      <w:r w:rsidRPr="00835005">
        <w:rPr>
          <w:rtl/>
        </w:rPr>
        <w:t>التعذيب</w:t>
      </w:r>
      <w:r w:rsidRPr="00835005">
        <w:rPr>
          <w:rtl/>
        </w:rPr>
        <w:t xml:space="preserve"> </w:t>
      </w:r>
      <w:r w:rsidRPr="00835005">
        <w:rPr>
          <w:rtl/>
        </w:rPr>
        <w:t>وتجريمه</w:t>
      </w:r>
    </w:p>
    <w:p w14:paraId="52FB74A3" w14:textId="5668037B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7</w:t>
      </w:r>
      <w:r w:rsidRPr="004A054C">
        <w:rPr>
          <w:rtl/>
        </w:rPr>
        <w:t>-</w:t>
      </w:r>
      <w:r w:rsidRPr="004A054C">
        <w:rPr>
          <w:rtl/>
        </w:rPr>
        <w:tab/>
        <w:t>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410ADA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التعذيب</w:t>
      </w:r>
      <w:r w:rsidRPr="004A054C">
        <w:rPr>
          <w:rtl/>
        </w:rPr>
        <w:t xml:space="preserve"> </w:t>
      </w:r>
      <w:r w:rsidRPr="004A054C">
        <w:rPr>
          <w:rtl/>
        </w:rPr>
        <w:t>محظور</w:t>
      </w:r>
      <w:r w:rsidRPr="004A054C">
        <w:rPr>
          <w:rtl/>
        </w:rPr>
        <w:t xml:space="preserve"> </w:t>
      </w:r>
      <w:r w:rsidRPr="004A054C">
        <w:rPr>
          <w:rtl/>
        </w:rPr>
        <w:t>بموجب</w:t>
      </w:r>
      <w:r w:rsidRPr="004A054C">
        <w:rPr>
          <w:rtl/>
        </w:rPr>
        <w:t xml:space="preserve"> </w:t>
      </w:r>
      <w:r w:rsidRPr="004A054C">
        <w:rPr>
          <w:rtl/>
        </w:rPr>
        <w:t>المادة</w:t>
      </w:r>
      <w:r w:rsidRPr="004A054C">
        <w:rPr>
          <w:rtl/>
        </w:rPr>
        <w:t xml:space="preserve"> </w:t>
      </w:r>
      <w:r w:rsidRPr="00835005">
        <w:rPr>
          <w:rtl/>
        </w:rPr>
        <w:t>15</w:t>
      </w:r>
      <w:r w:rsidRPr="004A054C">
        <w:rPr>
          <w:rtl/>
        </w:rPr>
        <w:t>(</w:t>
      </w:r>
      <w:r w:rsidR="00D40BC3" w:rsidRPr="00835005">
        <w:rPr>
          <w:rtl/>
        </w:rPr>
        <w:t>2</w:t>
      </w:r>
      <w:r w:rsidR="00D40BC3" w:rsidRPr="00D40BC3">
        <w:rPr>
          <w:rtl/>
        </w:rPr>
        <w:t>)</w:t>
      </w:r>
      <w:r w:rsidR="00D40BC3" w:rsidRPr="00D40BC3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الدستور</w:t>
      </w:r>
      <w:r w:rsidRPr="004A054C">
        <w:rPr>
          <w:rtl/>
        </w:rPr>
        <w:t xml:space="preserve"> </w:t>
      </w:r>
      <w:r w:rsidRPr="004A054C">
        <w:rPr>
          <w:rtl/>
        </w:rPr>
        <w:t>الاتحادي</w:t>
      </w:r>
      <w:r w:rsidRPr="004A054C">
        <w:rPr>
          <w:rtl/>
        </w:rPr>
        <w:t xml:space="preserve"> </w:t>
      </w:r>
      <w:r w:rsidRPr="004A054C">
        <w:rPr>
          <w:rtl/>
        </w:rPr>
        <w:t>المؤقت،</w:t>
      </w:r>
      <w:r w:rsidRPr="004A054C">
        <w:rPr>
          <w:rtl/>
          <w:lang w:val="fr-CH"/>
        </w:rPr>
        <w:t xml:space="preserve"> </w:t>
      </w:r>
      <w:r w:rsidRPr="004A054C">
        <w:rPr>
          <w:rtl/>
          <w:lang w:val="fr-CH"/>
        </w:rPr>
        <w:t>ولك</w:t>
      </w:r>
      <w:r w:rsidRPr="004A054C">
        <w:rPr>
          <w:rtl/>
        </w:rPr>
        <w:t>نها</w:t>
      </w:r>
      <w:r w:rsidRPr="004A054C">
        <w:rPr>
          <w:rtl/>
        </w:rPr>
        <w:t xml:space="preserve"> </w:t>
      </w:r>
      <w:r w:rsidRPr="004A054C">
        <w:rPr>
          <w:rtl/>
        </w:rPr>
        <w:t>تشعر</w:t>
      </w:r>
      <w:r w:rsidRPr="004A054C">
        <w:rPr>
          <w:rtl/>
        </w:rPr>
        <w:t xml:space="preserve"> </w:t>
      </w:r>
      <w:r w:rsidRPr="004A054C">
        <w:rPr>
          <w:rtl/>
        </w:rPr>
        <w:t>بقلق</w:t>
      </w:r>
      <w:r w:rsidRPr="004A054C">
        <w:rPr>
          <w:rtl/>
        </w:rPr>
        <w:t xml:space="preserve"> </w:t>
      </w:r>
      <w:r w:rsidRPr="004A054C">
        <w:rPr>
          <w:rtl/>
        </w:rPr>
        <w:t>بالغ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</w:t>
      </w:r>
      <w:r w:rsidRPr="004A054C">
        <w:rPr>
          <w:rtl/>
        </w:rPr>
        <w:t xml:space="preserve"> </w:t>
      </w:r>
      <w:r w:rsidRPr="004A054C">
        <w:rPr>
          <w:rtl/>
        </w:rPr>
        <w:t>تضع</w:t>
      </w:r>
      <w:r w:rsidRPr="004A054C">
        <w:rPr>
          <w:rtl/>
        </w:rPr>
        <w:t xml:space="preserve"> </w:t>
      </w:r>
      <w:r w:rsidRPr="004A054C">
        <w:rPr>
          <w:rtl/>
        </w:rPr>
        <w:t>بعدُ</w:t>
      </w:r>
      <w:r w:rsidRPr="004A054C">
        <w:rPr>
          <w:rtl/>
        </w:rPr>
        <w:t xml:space="preserve"> </w:t>
      </w:r>
      <w:r w:rsidRPr="004A054C">
        <w:rPr>
          <w:rtl/>
        </w:rPr>
        <w:t>تعريف</w:t>
      </w:r>
      <w:r w:rsidR="00410ADA">
        <w:rPr>
          <w:rtl/>
        </w:rPr>
        <w:t>اً</w:t>
      </w:r>
      <w:r w:rsidRPr="004A054C">
        <w:rPr>
          <w:rtl/>
        </w:rPr>
        <w:t xml:space="preserve"> </w:t>
      </w:r>
      <w:r w:rsidRPr="004A054C">
        <w:rPr>
          <w:rtl/>
        </w:rPr>
        <w:t>للتعذيب</w:t>
      </w:r>
      <w:r w:rsidRPr="004A054C">
        <w:rPr>
          <w:rtl/>
        </w:rPr>
        <w:t xml:space="preserve"> </w:t>
      </w:r>
      <w:r w:rsidRPr="004A054C">
        <w:rPr>
          <w:rtl/>
        </w:rPr>
        <w:t>كجريمة</w:t>
      </w:r>
      <w:r w:rsidRPr="004A054C">
        <w:rPr>
          <w:rtl/>
        </w:rPr>
        <w:t xml:space="preserve"> </w:t>
      </w:r>
      <w:r w:rsidRPr="004A054C">
        <w:rPr>
          <w:rtl/>
        </w:rPr>
        <w:t>محددة.</w:t>
      </w:r>
      <w:r w:rsidRPr="004A054C">
        <w:rPr>
          <w:rtl/>
        </w:rPr>
        <w:t xml:space="preserve"> </w:t>
      </w:r>
      <w:r w:rsidRPr="004A054C">
        <w:rPr>
          <w:rtl/>
        </w:rPr>
        <w:t>وتحيط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410ADA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ذكرته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أنها</w:t>
      </w:r>
      <w:r w:rsidRPr="004A054C">
        <w:rPr>
          <w:rtl/>
        </w:rPr>
        <w:t xml:space="preserve"> </w:t>
      </w:r>
      <w:r w:rsidRPr="004A054C">
        <w:rPr>
          <w:rtl/>
        </w:rPr>
        <w:t>تعتزم</w:t>
      </w:r>
      <w:r w:rsidRPr="004A054C">
        <w:rPr>
          <w:rtl/>
        </w:rPr>
        <w:t xml:space="preserve"> </w:t>
      </w:r>
      <w:r w:rsidRPr="004A054C">
        <w:rPr>
          <w:rtl/>
        </w:rPr>
        <w:t>الانتهاء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تنقيح</w:t>
      </w:r>
      <w:r w:rsidRPr="004A054C">
        <w:rPr>
          <w:rtl/>
        </w:rPr>
        <w:t xml:space="preserve"> </w:t>
      </w:r>
      <w:r w:rsidRPr="004A054C">
        <w:rPr>
          <w:rtl/>
        </w:rPr>
        <w:t>قانون</w:t>
      </w:r>
      <w:r w:rsidRPr="004A054C">
        <w:rPr>
          <w:rtl/>
        </w:rPr>
        <w:t xml:space="preserve"> </w:t>
      </w:r>
      <w:r w:rsidRPr="004A054C">
        <w:rPr>
          <w:rtl/>
        </w:rPr>
        <w:t>العقوبات</w:t>
      </w:r>
      <w:r w:rsidRPr="004A054C">
        <w:rPr>
          <w:rtl/>
        </w:rPr>
        <w:t xml:space="preserve"> </w:t>
      </w:r>
      <w:r w:rsidRPr="004A054C">
        <w:rPr>
          <w:rtl/>
        </w:rPr>
        <w:t>لعام</w:t>
      </w:r>
      <w:r w:rsidRPr="004A054C">
        <w:rPr>
          <w:rtl/>
        </w:rPr>
        <w:t xml:space="preserve"> </w:t>
      </w:r>
      <w:r w:rsidRPr="00835005">
        <w:rPr>
          <w:rtl/>
        </w:rPr>
        <w:t>1964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2023</w:t>
      </w:r>
      <w:r w:rsidRPr="004A054C">
        <w:rPr>
          <w:rtl/>
        </w:rPr>
        <w:t xml:space="preserve"> </w:t>
      </w:r>
      <w:r w:rsidRPr="004A054C">
        <w:rPr>
          <w:rtl/>
        </w:rPr>
        <w:t>وفي</w:t>
      </w:r>
      <w:r w:rsidRPr="004A054C">
        <w:rPr>
          <w:rtl/>
        </w:rPr>
        <w:t xml:space="preserve"> </w:t>
      </w:r>
      <w:r w:rsidRPr="004A054C">
        <w:rPr>
          <w:rtl/>
        </w:rPr>
        <w:t>نيتها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تُدرج</w:t>
      </w:r>
      <w:r w:rsidRPr="004A054C">
        <w:rPr>
          <w:rtl/>
        </w:rPr>
        <w:t xml:space="preserve"> </w:t>
      </w:r>
      <w:r w:rsidRPr="004A054C">
        <w:rPr>
          <w:rtl/>
        </w:rPr>
        <w:t>فيه</w:t>
      </w:r>
      <w:r w:rsidRPr="004A054C">
        <w:rPr>
          <w:rtl/>
        </w:rPr>
        <w:t xml:space="preserve"> </w:t>
      </w:r>
      <w:r w:rsidRPr="004A054C">
        <w:rPr>
          <w:rtl/>
        </w:rPr>
        <w:t>تعريفا</w:t>
      </w:r>
      <w:r w:rsidR="00410ADA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للتعذيب</w:t>
      </w:r>
      <w:r w:rsidRPr="004A054C">
        <w:rPr>
          <w:rtl/>
        </w:rPr>
        <w:t xml:space="preserve"> </w:t>
      </w:r>
      <w:r w:rsidRPr="004A054C">
        <w:rPr>
          <w:rtl/>
        </w:rPr>
        <w:t>يتفق</w:t>
      </w:r>
      <w:r w:rsidRPr="004A054C">
        <w:rPr>
          <w:rtl/>
        </w:rPr>
        <w:t xml:space="preserve"> </w:t>
      </w:r>
      <w:r w:rsidRPr="004A054C">
        <w:rPr>
          <w:rtl/>
        </w:rPr>
        <w:t>مع</w:t>
      </w:r>
      <w:r w:rsidRPr="004A054C">
        <w:rPr>
          <w:rtl/>
        </w:rPr>
        <w:t xml:space="preserve"> </w:t>
      </w:r>
      <w:r w:rsidRPr="004A054C">
        <w:rPr>
          <w:rtl/>
        </w:rPr>
        <w:t>المادة</w:t>
      </w:r>
      <w:r w:rsidRPr="004A054C">
        <w:rPr>
          <w:rtl/>
        </w:rPr>
        <w:t xml:space="preserve"> </w:t>
      </w:r>
      <w:r w:rsidRPr="00835005">
        <w:rPr>
          <w:rtl/>
        </w:rPr>
        <w:t>1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الاتفاقية.</w:t>
      </w:r>
      <w:r w:rsidRPr="004A054C">
        <w:rPr>
          <w:rtl/>
        </w:rPr>
        <w:t xml:space="preserve"> </w:t>
      </w:r>
      <w:r w:rsidRPr="004A054C">
        <w:rPr>
          <w:rtl/>
        </w:rPr>
        <w:t>ومع</w:t>
      </w:r>
      <w:r w:rsidRPr="004A054C">
        <w:rPr>
          <w:rtl/>
        </w:rPr>
        <w:t xml:space="preserve"> </w:t>
      </w:r>
      <w:r w:rsidRPr="004A054C">
        <w:rPr>
          <w:rtl/>
        </w:rPr>
        <w:t>ذلك،</w:t>
      </w:r>
      <w:r w:rsidRPr="004A054C">
        <w:rPr>
          <w:rtl/>
        </w:rPr>
        <w:t xml:space="preserve"> </w:t>
      </w:r>
      <w:r w:rsidRPr="004A054C">
        <w:rPr>
          <w:rtl/>
        </w:rPr>
        <w:t>يساورها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السلطات</w:t>
      </w:r>
      <w:r w:rsidRPr="004A054C">
        <w:rPr>
          <w:rtl/>
        </w:rPr>
        <w:t xml:space="preserve"> </w:t>
      </w:r>
      <w:r w:rsidRPr="004A054C">
        <w:rPr>
          <w:rtl/>
        </w:rPr>
        <w:t>القضائية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Pr="004A054C">
        <w:rPr>
          <w:rtl/>
        </w:rPr>
        <w:t xml:space="preserve"> </w:t>
      </w:r>
      <w:r w:rsidRPr="004A054C">
        <w:rPr>
          <w:rtl/>
        </w:rPr>
        <w:t>تعاقب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الأفعال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يمكن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تُعدّ</w:t>
      </w:r>
      <w:r w:rsidRPr="004A054C">
        <w:rPr>
          <w:rtl/>
        </w:rPr>
        <w:t xml:space="preserve"> </w:t>
      </w:r>
      <w:r w:rsidRPr="004A054C">
        <w:rPr>
          <w:rtl/>
        </w:rPr>
        <w:t>بمثابة</w:t>
      </w:r>
      <w:r w:rsidRPr="004A054C">
        <w:rPr>
          <w:rtl/>
        </w:rPr>
        <w:t xml:space="preserve"> </w:t>
      </w:r>
      <w:r w:rsidRPr="004A054C">
        <w:rPr>
          <w:rtl/>
        </w:rPr>
        <w:t>تعذيب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غياب</w:t>
      </w:r>
      <w:r w:rsidRPr="004A054C">
        <w:rPr>
          <w:rtl/>
        </w:rPr>
        <w:t xml:space="preserve"> </w:t>
      </w:r>
      <w:r w:rsidRPr="004A054C">
        <w:rPr>
          <w:rtl/>
        </w:rPr>
        <w:t>تشريع</w:t>
      </w:r>
      <w:r w:rsidRPr="004A054C">
        <w:rPr>
          <w:rtl/>
        </w:rPr>
        <w:t xml:space="preserve"> </w:t>
      </w:r>
      <w:r w:rsidRPr="004A054C">
        <w:rPr>
          <w:rtl/>
        </w:rPr>
        <w:t>محدد</w:t>
      </w:r>
      <w:r w:rsidRPr="004A054C">
        <w:rPr>
          <w:rtl/>
        </w:rPr>
        <w:t xml:space="preserve"> </w:t>
      </w:r>
      <w:r w:rsidRPr="004A054C">
        <w:rPr>
          <w:rtl/>
        </w:rPr>
        <w:t>يقضي</w:t>
      </w:r>
      <w:r w:rsidRPr="004A054C">
        <w:rPr>
          <w:rtl/>
        </w:rPr>
        <w:t xml:space="preserve"> </w:t>
      </w:r>
      <w:r w:rsidRPr="004A054C">
        <w:rPr>
          <w:rtl/>
        </w:rPr>
        <w:t>بذلك.</w:t>
      </w:r>
      <w:r w:rsidRPr="004A054C">
        <w:rPr>
          <w:rtl/>
        </w:rPr>
        <w:t xml:space="preserve"> </w:t>
      </w:r>
      <w:r w:rsidRPr="004A054C">
        <w:rPr>
          <w:rtl/>
        </w:rPr>
        <w:t>ويساور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لعدم</w:t>
      </w:r>
      <w:r w:rsidRPr="004A054C">
        <w:rPr>
          <w:rtl/>
        </w:rPr>
        <w:t xml:space="preserve"> </w:t>
      </w:r>
      <w:r w:rsidRPr="004A054C">
        <w:rPr>
          <w:rtl/>
        </w:rPr>
        <w:t>وجود</w:t>
      </w:r>
      <w:r w:rsidRPr="004A054C">
        <w:rPr>
          <w:rtl/>
        </w:rPr>
        <w:t xml:space="preserve"> </w:t>
      </w:r>
      <w:r w:rsidRPr="004A054C">
        <w:rPr>
          <w:rtl/>
        </w:rPr>
        <w:t>حكم</w:t>
      </w:r>
      <w:r w:rsidRPr="004A054C">
        <w:rPr>
          <w:rtl/>
        </w:rPr>
        <w:t xml:space="preserve"> </w:t>
      </w:r>
      <w:r w:rsidRPr="004A054C">
        <w:rPr>
          <w:rtl/>
        </w:rPr>
        <w:t>واضح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تشريعات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يكفل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حظر</w:t>
      </w:r>
      <w:r w:rsidRPr="004A054C">
        <w:rPr>
          <w:rtl/>
        </w:rPr>
        <w:t xml:space="preserve"> </w:t>
      </w:r>
      <w:r w:rsidRPr="004A054C">
        <w:rPr>
          <w:rtl/>
        </w:rPr>
        <w:t>التعذيب</w:t>
      </w:r>
      <w:r w:rsidRPr="004A054C">
        <w:rPr>
          <w:rtl/>
        </w:rPr>
        <w:t xml:space="preserve"> </w:t>
      </w:r>
      <w:r w:rsidRPr="004A054C">
        <w:rPr>
          <w:rtl/>
        </w:rPr>
        <w:t>مطلق</w:t>
      </w:r>
      <w:r w:rsidRPr="004A054C">
        <w:rPr>
          <w:rtl/>
        </w:rPr>
        <w:t xml:space="preserve"> </w:t>
      </w:r>
      <w:r w:rsidRPr="004A054C">
        <w:rPr>
          <w:rtl/>
        </w:rPr>
        <w:t>وغير</w:t>
      </w:r>
      <w:r w:rsidRPr="004A054C">
        <w:rPr>
          <w:rtl/>
        </w:rPr>
        <w:t xml:space="preserve"> </w:t>
      </w:r>
      <w:r w:rsidRPr="004A054C">
        <w:rPr>
          <w:rtl/>
        </w:rPr>
        <w:t>قابل</w:t>
      </w:r>
      <w:r w:rsidRPr="004A054C">
        <w:rPr>
          <w:rtl/>
        </w:rPr>
        <w:t xml:space="preserve"> </w:t>
      </w:r>
      <w:r w:rsidRPr="004A054C">
        <w:rPr>
          <w:rtl/>
        </w:rPr>
        <w:t>للتقييد</w:t>
      </w:r>
      <w:r w:rsidRPr="004A054C">
        <w:rPr>
          <w:rtl/>
        </w:rPr>
        <w:t xml:space="preserve"> </w:t>
      </w:r>
      <w:r w:rsidRPr="004A054C">
        <w:rPr>
          <w:rtl/>
        </w:rPr>
        <w:t>(المواد</w:t>
      </w:r>
      <w:r w:rsidRPr="004A054C">
        <w:rPr>
          <w:rtl/>
        </w:rPr>
        <w:t xml:space="preserve"> </w:t>
      </w:r>
      <w:r w:rsidRPr="00835005">
        <w:rPr>
          <w:rtl/>
        </w:rPr>
        <w:t>1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2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="00D40BC3" w:rsidRPr="00835005">
        <w:rPr>
          <w:rtl/>
        </w:rPr>
        <w:t>4</w:t>
      </w:r>
      <w:r w:rsidR="00D40BC3" w:rsidRPr="00D40BC3">
        <w:rPr>
          <w:rtl/>
        </w:rPr>
        <w:t>).</w:t>
      </w:r>
    </w:p>
    <w:p w14:paraId="23C1B32F" w14:textId="5426A69F" w:rsidR="004A054C" w:rsidRPr="00835005" w:rsidRDefault="004A054C" w:rsidP="004A054C">
      <w:pPr>
        <w:pStyle w:val="SingleTxtGA"/>
        <w:rPr>
          <w:b/>
          <w:bCs/>
          <w:lang w:val="ar-SA" w:eastAsia="zh-TW" w:bidi="en-GB"/>
        </w:rPr>
      </w:pPr>
      <w:r w:rsidRPr="00835005">
        <w:rPr>
          <w:rtl/>
        </w:rPr>
        <w:t>8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تحث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إدراج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تعريف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وتجريم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قانونها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الوطني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لتأكيد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المادة</w:t>
      </w:r>
      <w:r w:rsidR="00FF14ED" w:rsidRPr="00835005">
        <w:rPr>
          <w:rFonts w:hint="cs"/>
          <w:b/>
          <w:bCs/>
          <w:rtl/>
        </w:rPr>
        <w:t> </w:t>
      </w:r>
      <w:r w:rsidRPr="00835005">
        <w:rPr>
          <w:b/>
          <w:bCs/>
          <w:rtl/>
        </w:rPr>
        <w:t>1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الاتفاقية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تأكيداً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كاملاً،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والتأكد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العقوبات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المفروضة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جريمة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متناسبة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خطورة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الجريمة،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حسبما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منصوص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عليه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المادة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4(</w:t>
      </w:r>
      <w:r w:rsidR="00D40BC3" w:rsidRPr="00835005">
        <w:rPr>
          <w:b/>
          <w:bCs/>
          <w:rtl/>
        </w:rPr>
        <w:t>2)</w:t>
      </w:r>
      <w:r w:rsidR="00D40BC3"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الاتفاقية.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تضمن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أيضاً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عدم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خضوع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جريمة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لأي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قانون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تقادم.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تكفل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إدراج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مبدأ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المطلق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تشريعاتها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وتطبيقه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تطبيقا</w:t>
      </w:r>
      <w:r w:rsidR="00FF14ED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صارما</w:t>
      </w:r>
      <w:r w:rsidR="00FF14ED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>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وفقا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للمادة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2(</w:t>
      </w:r>
      <w:r w:rsidR="00D40BC3" w:rsidRPr="00835005">
        <w:rPr>
          <w:b/>
          <w:bCs/>
          <w:rtl/>
        </w:rPr>
        <w:t>2)</w:t>
      </w:r>
      <w:r w:rsidR="00D40BC3"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الاتفاقية،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وعدم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التذرع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الأحوال،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وفقا</w:t>
      </w:r>
      <w:r w:rsidR="00FF14ED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للمادة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2(</w:t>
      </w:r>
      <w:r w:rsidR="00D40BC3" w:rsidRPr="00835005">
        <w:rPr>
          <w:b/>
          <w:bCs/>
          <w:rtl/>
        </w:rPr>
        <w:t>3)</w:t>
      </w:r>
      <w:r w:rsidR="00D40BC3"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الاتفاقية،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بأمر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صادر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موظف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سلطة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كمبرر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لممارسة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التعذيب.</w:t>
      </w:r>
    </w:p>
    <w:p w14:paraId="5903E086" w14:textId="0CF308A5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الضمانات</w:t>
      </w:r>
      <w:r w:rsidRPr="00835005">
        <w:rPr>
          <w:rtl/>
        </w:rPr>
        <w:t xml:space="preserve"> </w:t>
      </w:r>
      <w:r w:rsidRPr="00835005">
        <w:rPr>
          <w:rtl/>
        </w:rPr>
        <w:t>القانونية</w:t>
      </w:r>
      <w:r w:rsidRPr="00835005">
        <w:rPr>
          <w:rtl/>
        </w:rPr>
        <w:t xml:space="preserve"> </w:t>
      </w:r>
      <w:r w:rsidRPr="00835005">
        <w:rPr>
          <w:rtl/>
        </w:rPr>
        <w:t>الأساسية</w:t>
      </w:r>
    </w:p>
    <w:p w14:paraId="04C95557" w14:textId="785CFC34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9</w:t>
      </w:r>
      <w:r w:rsidRPr="004A054C">
        <w:rPr>
          <w:rtl/>
        </w:rPr>
        <w:t>-</w:t>
      </w:r>
      <w:r w:rsidRPr="004A054C">
        <w:rPr>
          <w:rtl/>
        </w:rPr>
        <w:tab/>
        <w:t>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القوات</w:t>
      </w:r>
      <w:r w:rsidRPr="004A054C">
        <w:rPr>
          <w:rtl/>
        </w:rPr>
        <w:t xml:space="preserve"> </w:t>
      </w:r>
      <w:r w:rsidRPr="004A054C">
        <w:rPr>
          <w:rtl/>
        </w:rPr>
        <w:t>الاتحادية،</w:t>
      </w:r>
      <w:r w:rsidRPr="004A054C">
        <w:rPr>
          <w:rtl/>
        </w:rPr>
        <w:t xml:space="preserve"> </w:t>
      </w:r>
      <w:r w:rsidRPr="004A054C">
        <w:rPr>
          <w:rtl/>
        </w:rPr>
        <w:t>ولا</w:t>
      </w:r>
      <w:r w:rsidRPr="004A054C">
        <w:rPr>
          <w:rtl/>
        </w:rPr>
        <w:t xml:space="preserve"> </w:t>
      </w:r>
      <w:r w:rsidRPr="004A054C">
        <w:rPr>
          <w:rtl/>
        </w:rPr>
        <w:t>سيما</w:t>
      </w:r>
      <w:r w:rsidRPr="004A054C">
        <w:rPr>
          <w:rtl/>
        </w:rPr>
        <w:t xml:space="preserve"> </w:t>
      </w:r>
      <w:r w:rsidRPr="004A054C">
        <w:rPr>
          <w:rtl/>
        </w:rPr>
        <w:t>وكالة</w:t>
      </w:r>
      <w:r w:rsidRPr="004A054C">
        <w:rPr>
          <w:rtl/>
        </w:rPr>
        <w:t xml:space="preserve"> </w:t>
      </w:r>
      <w:r w:rsidRPr="004A054C">
        <w:rPr>
          <w:rtl/>
        </w:rPr>
        <w:t>الاستخبارات</w:t>
      </w:r>
      <w:r w:rsidRPr="004A054C">
        <w:rPr>
          <w:rtl/>
        </w:rPr>
        <w:t xml:space="preserve"> </w:t>
      </w:r>
      <w:r w:rsidRPr="004A054C">
        <w:rPr>
          <w:rtl/>
        </w:rPr>
        <w:t>والأمن</w:t>
      </w:r>
      <w:r w:rsidRPr="004A054C">
        <w:rPr>
          <w:rtl/>
        </w:rPr>
        <w:t xml:space="preserve"> </w:t>
      </w:r>
      <w:r w:rsidRPr="004A054C">
        <w:rPr>
          <w:rtl/>
        </w:rPr>
        <w:t>الوطنية،</w:t>
      </w:r>
      <w:r w:rsidRPr="004A054C">
        <w:rPr>
          <w:rtl/>
        </w:rPr>
        <w:t xml:space="preserve"> </w:t>
      </w:r>
      <w:r w:rsidRPr="004A054C">
        <w:rPr>
          <w:rtl/>
        </w:rPr>
        <w:t>تنفذ</w:t>
      </w:r>
      <w:r w:rsidRPr="004A054C">
        <w:rPr>
          <w:rtl/>
        </w:rPr>
        <w:t xml:space="preserve"> </w:t>
      </w:r>
      <w:r w:rsidRPr="004A054C">
        <w:rPr>
          <w:rtl/>
        </w:rPr>
        <w:t>اعتقالات</w:t>
      </w:r>
      <w:r w:rsidRPr="004A054C">
        <w:rPr>
          <w:rtl/>
        </w:rPr>
        <w:t xml:space="preserve"> </w:t>
      </w:r>
      <w:r w:rsidRPr="004A054C">
        <w:rPr>
          <w:rtl/>
        </w:rPr>
        <w:t>دون</w:t>
      </w:r>
      <w:r w:rsidRPr="004A054C">
        <w:rPr>
          <w:rtl/>
        </w:rPr>
        <w:t xml:space="preserve"> </w:t>
      </w:r>
      <w:r w:rsidRPr="004A054C">
        <w:rPr>
          <w:rtl/>
        </w:rPr>
        <w:t>مذكرات</w:t>
      </w:r>
      <w:r w:rsidRPr="004A054C">
        <w:rPr>
          <w:rtl/>
        </w:rPr>
        <w:t xml:space="preserve"> </w:t>
      </w:r>
      <w:r w:rsidRPr="004A054C">
        <w:rPr>
          <w:rtl/>
        </w:rPr>
        <w:t>توقيف،</w:t>
      </w:r>
      <w:r w:rsidRPr="004A054C">
        <w:rPr>
          <w:rtl/>
        </w:rPr>
        <w:t xml:space="preserve"> </w:t>
      </w:r>
      <w:r w:rsidRPr="004A054C">
        <w:rPr>
          <w:rtl/>
        </w:rPr>
        <w:t>وتحتجز</w:t>
      </w:r>
      <w:r w:rsidRPr="004A054C">
        <w:rPr>
          <w:rtl/>
        </w:rPr>
        <w:t xml:space="preserve"> </w:t>
      </w:r>
      <w:r w:rsidRPr="004A054C">
        <w:rPr>
          <w:rtl/>
        </w:rPr>
        <w:t>أشخاصا</w:t>
      </w:r>
      <w:r w:rsidR="00430D1C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لفترات</w:t>
      </w:r>
      <w:r w:rsidRPr="004A054C">
        <w:rPr>
          <w:rtl/>
        </w:rPr>
        <w:t xml:space="preserve"> </w:t>
      </w:r>
      <w:r w:rsidRPr="004A054C">
        <w:rPr>
          <w:rtl/>
        </w:rPr>
        <w:t>طويلة،</w:t>
      </w:r>
      <w:r w:rsidRPr="004A054C">
        <w:rPr>
          <w:rtl/>
        </w:rPr>
        <w:t xml:space="preserve"> </w:t>
      </w:r>
      <w:r w:rsidRPr="004A054C">
        <w:rPr>
          <w:rtl/>
        </w:rPr>
        <w:t>وتسيء</w:t>
      </w:r>
      <w:r w:rsidRPr="004A054C">
        <w:rPr>
          <w:rtl/>
        </w:rPr>
        <w:t xml:space="preserve"> </w:t>
      </w:r>
      <w:r w:rsidRPr="004A054C">
        <w:rPr>
          <w:rtl/>
        </w:rPr>
        <w:t>معاملة</w:t>
      </w:r>
      <w:r w:rsidRPr="004A054C">
        <w:rPr>
          <w:rtl/>
        </w:rPr>
        <w:t xml:space="preserve"> </w:t>
      </w:r>
      <w:r w:rsidRPr="004A054C">
        <w:rPr>
          <w:rtl/>
        </w:rPr>
        <w:t>المشتبه</w:t>
      </w:r>
      <w:r w:rsidRPr="004A054C">
        <w:rPr>
          <w:rtl/>
        </w:rPr>
        <w:t xml:space="preserve"> </w:t>
      </w:r>
      <w:r w:rsidRPr="004A054C">
        <w:rPr>
          <w:rtl/>
        </w:rPr>
        <w:t>فيهم</w:t>
      </w:r>
      <w:r w:rsidRPr="004A054C">
        <w:rPr>
          <w:rtl/>
        </w:rPr>
        <w:t xml:space="preserve"> </w:t>
      </w:r>
      <w:r w:rsidRPr="004A054C">
        <w:rPr>
          <w:rtl/>
        </w:rPr>
        <w:t>خلال</w:t>
      </w:r>
      <w:r w:rsidRPr="004A054C">
        <w:rPr>
          <w:rtl/>
        </w:rPr>
        <w:t xml:space="preserve"> </w:t>
      </w:r>
      <w:r w:rsidRPr="004A054C">
        <w:rPr>
          <w:rtl/>
        </w:rPr>
        <w:t>الاستجوابات،</w:t>
      </w:r>
      <w:r w:rsidRPr="004A054C">
        <w:rPr>
          <w:rtl/>
        </w:rPr>
        <w:t xml:space="preserve"> </w:t>
      </w:r>
      <w:r w:rsidRPr="004A054C">
        <w:rPr>
          <w:rtl/>
        </w:rPr>
        <w:t>وتضع</w:t>
      </w:r>
      <w:r w:rsidRPr="004A054C">
        <w:rPr>
          <w:rtl/>
        </w:rPr>
        <w:t xml:space="preserve"> </w:t>
      </w:r>
      <w:r w:rsidRPr="004A054C">
        <w:rPr>
          <w:rtl/>
        </w:rPr>
        <w:t>السجناء</w:t>
      </w:r>
      <w:r w:rsidRPr="004A054C">
        <w:rPr>
          <w:rtl/>
        </w:rPr>
        <w:t xml:space="preserve"> </w:t>
      </w:r>
      <w:r w:rsidRPr="004A054C">
        <w:rPr>
          <w:rtl/>
        </w:rPr>
        <w:t>البارزين</w:t>
      </w:r>
      <w:r w:rsidRPr="004A054C">
        <w:rPr>
          <w:rtl/>
        </w:rPr>
        <w:t xml:space="preserve"> </w:t>
      </w:r>
      <w:r w:rsidRPr="004A054C">
        <w:rPr>
          <w:rtl/>
        </w:rPr>
        <w:t>المرتبطين</w:t>
      </w:r>
      <w:r w:rsidRPr="004A054C">
        <w:rPr>
          <w:rtl/>
        </w:rPr>
        <w:t xml:space="preserve"> </w:t>
      </w:r>
      <w:r w:rsidRPr="004A054C">
        <w:rPr>
          <w:rtl/>
        </w:rPr>
        <w:t>بحركة</w:t>
      </w:r>
      <w:r w:rsidRPr="004A054C">
        <w:rPr>
          <w:rtl/>
        </w:rPr>
        <w:t xml:space="preserve"> </w:t>
      </w:r>
      <w:r w:rsidRPr="004A054C">
        <w:rPr>
          <w:rtl/>
        </w:rPr>
        <w:t>الشباب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"منازل</w:t>
      </w:r>
      <w:r w:rsidRPr="004A054C">
        <w:rPr>
          <w:rtl/>
        </w:rPr>
        <w:t xml:space="preserve"> </w:t>
      </w:r>
      <w:r w:rsidRPr="004A054C">
        <w:rPr>
          <w:rtl/>
        </w:rPr>
        <w:t>آمنة"</w:t>
      </w:r>
      <w:r w:rsidRPr="004A054C">
        <w:rPr>
          <w:rtl/>
        </w:rPr>
        <w:t xml:space="preserve"> </w:t>
      </w:r>
      <w:r w:rsidRPr="004A054C">
        <w:rPr>
          <w:rtl/>
        </w:rPr>
        <w:t>قبل</w:t>
      </w:r>
      <w:r w:rsidRPr="004A054C">
        <w:rPr>
          <w:rtl/>
        </w:rPr>
        <w:t xml:space="preserve"> </w:t>
      </w:r>
      <w:r w:rsidRPr="004A054C">
        <w:rPr>
          <w:rtl/>
        </w:rPr>
        <w:t>توجيه</w:t>
      </w:r>
      <w:r w:rsidRPr="004A054C">
        <w:rPr>
          <w:rtl/>
        </w:rPr>
        <w:t xml:space="preserve"> </w:t>
      </w:r>
      <w:r w:rsidRPr="004A054C">
        <w:rPr>
          <w:rtl/>
        </w:rPr>
        <w:t>التهم</w:t>
      </w:r>
      <w:r w:rsidRPr="004A054C">
        <w:rPr>
          <w:rtl/>
        </w:rPr>
        <w:t xml:space="preserve"> </w:t>
      </w:r>
      <w:r w:rsidRPr="004A054C">
        <w:rPr>
          <w:rtl/>
        </w:rPr>
        <w:t>إليهم</w:t>
      </w:r>
      <w:r w:rsidRPr="004A054C">
        <w:rPr>
          <w:rtl/>
        </w:rPr>
        <w:t xml:space="preserve"> </w:t>
      </w:r>
      <w:r w:rsidRPr="004A054C">
        <w:rPr>
          <w:rtl/>
        </w:rPr>
        <w:t>رسميا</w:t>
      </w:r>
      <w:r w:rsidR="00430D1C">
        <w:rPr>
          <w:rFonts w:hint="cs"/>
          <w:rtl/>
        </w:rPr>
        <w:t>ً</w:t>
      </w:r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ولا</w:t>
      </w:r>
      <w:r w:rsidRPr="004A054C">
        <w:rPr>
          <w:rtl/>
        </w:rPr>
        <w:t xml:space="preserve"> </w:t>
      </w:r>
      <w:r w:rsidRPr="004A054C">
        <w:rPr>
          <w:rtl/>
        </w:rPr>
        <w:t>تبلغ</w:t>
      </w:r>
      <w:r w:rsidRPr="004A054C">
        <w:rPr>
          <w:rtl/>
        </w:rPr>
        <w:t xml:space="preserve"> </w:t>
      </w:r>
      <w:r w:rsidRPr="004A054C">
        <w:rPr>
          <w:rtl/>
        </w:rPr>
        <w:t>المحتجزين</w:t>
      </w:r>
      <w:r w:rsidRPr="004A054C">
        <w:rPr>
          <w:rtl/>
        </w:rPr>
        <w:t xml:space="preserve"> </w:t>
      </w:r>
      <w:r w:rsidRPr="004A054C">
        <w:rPr>
          <w:rtl/>
        </w:rPr>
        <w:t>بحقهم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الإفراج</w:t>
      </w:r>
      <w:r w:rsidRPr="004A054C">
        <w:rPr>
          <w:rtl/>
        </w:rPr>
        <w:t xml:space="preserve"> </w:t>
      </w:r>
      <w:r w:rsidRPr="004A054C">
        <w:rPr>
          <w:rtl/>
        </w:rPr>
        <w:t>عنهم</w:t>
      </w:r>
      <w:r w:rsidRPr="004A054C">
        <w:rPr>
          <w:rtl/>
        </w:rPr>
        <w:t xml:space="preserve"> </w:t>
      </w:r>
      <w:r w:rsidRPr="004A054C">
        <w:rPr>
          <w:rtl/>
        </w:rPr>
        <w:t>بكفالة.</w:t>
      </w:r>
      <w:r w:rsidRPr="004A054C">
        <w:rPr>
          <w:rtl/>
        </w:rPr>
        <w:t xml:space="preserve"> </w:t>
      </w:r>
      <w:r w:rsidRPr="004A054C">
        <w:rPr>
          <w:rtl/>
        </w:rPr>
        <w:t>وتحيط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430D1C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بالمادة</w:t>
      </w:r>
      <w:r w:rsidR="00430D1C">
        <w:rPr>
          <w:rFonts w:hint="cs"/>
          <w:rtl/>
        </w:rPr>
        <w:t> </w:t>
      </w:r>
      <w:r w:rsidRPr="00835005">
        <w:rPr>
          <w:rtl/>
        </w:rPr>
        <w:t>34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الدستور،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تكرس</w:t>
      </w:r>
      <w:r w:rsidRPr="004A054C">
        <w:rPr>
          <w:rtl/>
        </w:rPr>
        <w:t xml:space="preserve"> </w:t>
      </w:r>
      <w:r w:rsidRPr="004A054C">
        <w:rPr>
          <w:rtl/>
        </w:rPr>
        <w:t>حقوق</w:t>
      </w:r>
      <w:r w:rsidRPr="004A054C">
        <w:rPr>
          <w:rtl/>
        </w:rPr>
        <w:t xml:space="preserve"> </w:t>
      </w:r>
      <w:r w:rsidRPr="004A054C">
        <w:rPr>
          <w:rtl/>
        </w:rPr>
        <w:t>المشتبه</w:t>
      </w:r>
      <w:r w:rsidRPr="004A054C">
        <w:rPr>
          <w:rtl/>
        </w:rPr>
        <w:t xml:space="preserve"> </w:t>
      </w:r>
      <w:r w:rsidRPr="004A054C">
        <w:rPr>
          <w:rtl/>
        </w:rPr>
        <w:t>فيهم</w:t>
      </w:r>
      <w:r w:rsidRPr="004A054C">
        <w:rPr>
          <w:rtl/>
        </w:rPr>
        <w:t xml:space="preserve"> </w:t>
      </w:r>
      <w:r w:rsidRPr="004A054C">
        <w:rPr>
          <w:rtl/>
        </w:rPr>
        <w:t>والمحتجزين،</w:t>
      </w:r>
      <w:r w:rsidRPr="004A054C">
        <w:rPr>
          <w:rtl/>
        </w:rPr>
        <w:t xml:space="preserve"> </w:t>
      </w:r>
      <w:r w:rsidRPr="004A054C">
        <w:rPr>
          <w:rtl/>
        </w:rPr>
        <w:t>ولكنها</w:t>
      </w:r>
      <w:r w:rsidRPr="004A054C">
        <w:rPr>
          <w:rtl/>
        </w:rPr>
        <w:t xml:space="preserve"> </w:t>
      </w:r>
      <w:r w:rsidRPr="004A054C">
        <w:rPr>
          <w:rtl/>
        </w:rPr>
        <w:t>تلاحظ</w:t>
      </w:r>
      <w:r w:rsidRPr="004A054C">
        <w:rPr>
          <w:rtl/>
        </w:rPr>
        <w:t xml:space="preserve"> </w:t>
      </w:r>
      <w:r w:rsidRPr="004A054C">
        <w:rPr>
          <w:rtl/>
        </w:rPr>
        <w:t>بقلق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هذه</w:t>
      </w:r>
      <w:r w:rsidRPr="004A054C">
        <w:rPr>
          <w:rtl/>
        </w:rPr>
        <w:t xml:space="preserve"> </w:t>
      </w:r>
      <w:r w:rsidRPr="004A054C">
        <w:rPr>
          <w:rtl/>
        </w:rPr>
        <w:t>الأحكام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Pr="004A054C">
        <w:rPr>
          <w:rtl/>
        </w:rPr>
        <w:t xml:space="preserve"> </w:t>
      </w:r>
      <w:r w:rsidRPr="004A054C">
        <w:rPr>
          <w:rtl/>
        </w:rPr>
        <w:t>تحتوي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ضمانات</w:t>
      </w:r>
      <w:r w:rsidRPr="004A054C">
        <w:rPr>
          <w:rtl/>
        </w:rPr>
        <w:t xml:space="preserve"> </w:t>
      </w:r>
      <w:r w:rsidRPr="004A054C">
        <w:rPr>
          <w:rtl/>
        </w:rPr>
        <w:t>إجرائية</w:t>
      </w:r>
      <w:r w:rsidRPr="004A054C">
        <w:rPr>
          <w:rtl/>
        </w:rPr>
        <w:t xml:space="preserve"> </w:t>
      </w:r>
      <w:r w:rsidRPr="004A054C">
        <w:rPr>
          <w:rtl/>
        </w:rPr>
        <w:t>جنائية</w:t>
      </w:r>
      <w:r w:rsidRPr="004A054C">
        <w:rPr>
          <w:rtl/>
        </w:rPr>
        <w:t xml:space="preserve"> </w:t>
      </w:r>
      <w:r w:rsidRPr="004A054C">
        <w:rPr>
          <w:rtl/>
        </w:rPr>
        <w:t>محددة</w:t>
      </w:r>
      <w:r w:rsidRPr="004A054C">
        <w:rPr>
          <w:rtl/>
        </w:rPr>
        <w:t xml:space="preserve"> </w:t>
      </w:r>
      <w:r w:rsidRPr="004A054C">
        <w:rPr>
          <w:rtl/>
        </w:rPr>
        <w:t>لمنع</w:t>
      </w:r>
      <w:r w:rsidRPr="004A054C">
        <w:rPr>
          <w:rtl/>
        </w:rPr>
        <w:t xml:space="preserve"> </w:t>
      </w:r>
      <w:r w:rsidRPr="004A054C">
        <w:rPr>
          <w:rtl/>
        </w:rPr>
        <w:t>التعذيب</w:t>
      </w:r>
      <w:r w:rsidRPr="004A054C">
        <w:rPr>
          <w:rtl/>
        </w:rPr>
        <w:t xml:space="preserve"> </w:t>
      </w:r>
      <w:r w:rsidRPr="004A054C">
        <w:rPr>
          <w:rtl/>
        </w:rPr>
        <w:t>وسوء</w:t>
      </w:r>
      <w:r w:rsidRPr="004A054C">
        <w:rPr>
          <w:rtl/>
        </w:rPr>
        <w:t xml:space="preserve"> </w:t>
      </w:r>
      <w:r w:rsidRPr="004A054C">
        <w:rPr>
          <w:rtl/>
        </w:rPr>
        <w:t>المعاملة.</w:t>
      </w:r>
      <w:r w:rsidRPr="004A054C">
        <w:rPr>
          <w:rtl/>
        </w:rPr>
        <w:t xml:space="preserve"> </w:t>
      </w:r>
      <w:r w:rsidRPr="004A054C">
        <w:rPr>
          <w:rtl/>
        </w:rPr>
        <w:t>وفي</w:t>
      </w:r>
      <w:r w:rsidRPr="004A054C">
        <w:rPr>
          <w:rtl/>
        </w:rPr>
        <w:t xml:space="preserve"> </w:t>
      </w:r>
      <w:r w:rsidRPr="004A054C">
        <w:rPr>
          <w:rtl/>
        </w:rPr>
        <w:t>هذا</w:t>
      </w:r>
      <w:r w:rsidRPr="004A054C">
        <w:rPr>
          <w:rtl/>
        </w:rPr>
        <w:t xml:space="preserve"> </w:t>
      </w:r>
      <w:r w:rsidRPr="004A054C">
        <w:rPr>
          <w:rtl/>
        </w:rPr>
        <w:t>الصدد،</w:t>
      </w:r>
      <w:r w:rsidRPr="004A054C">
        <w:rPr>
          <w:rtl/>
        </w:rPr>
        <w:t xml:space="preserve"> </w:t>
      </w:r>
      <w:r w:rsidRPr="004A054C">
        <w:rPr>
          <w:rtl/>
        </w:rPr>
        <w:t>تأسف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لعدم</w:t>
      </w:r>
      <w:r w:rsidRPr="004A054C">
        <w:rPr>
          <w:rtl/>
        </w:rPr>
        <w:t xml:space="preserve"> </w:t>
      </w:r>
      <w:r w:rsidRPr="004A054C">
        <w:rPr>
          <w:rtl/>
        </w:rPr>
        <w:t>توافر</w:t>
      </w:r>
      <w:r w:rsidRPr="004A054C">
        <w:rPr>
          <w:rtl/>
        </w:rPr>
        <w:t xml:space="preserve"> </w:t>
      </w:r>
      <w:r w:rsidRPr="004A054C">
        <w:rPr>
          <w:rtl/>
        </w:rPr>
        <w:t>معلومات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الطريقة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تفسر</w:t>
      </w:r>
      <w:r w:rsidRPr="004A054C">
        <w:rPr>
          <w:rtl/>
        </w:rPr>
        <w:t xml:space="preserve"> </w:t>
      </w:r>
      <w:r w:rsidRPr="004A054C">
        <w:rPr>
          <w:rtl/>
        </w:rPr>
        <w:t>بها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مصطلح</w:t>
      </w:r>
      <w:r w:rsidRPr="004A054C">
        <w:rPr>
          <w:rtl/>
        </w:rPr>
        <w:t xml:space="preserve"> </w:t>
      </w:r>
      <w:r w:rsidRPr="004A054C">
        <w:rPr>
          <w:rtl/>
        </w:rPr>
        <w:t>"الفترة</w:t>
      </w:r>
      <w:r w:rsidRPr="004A054C">
        <w:rPr>
          <w:rtl/>
        </w:rPr>
        <w:t xml:space="preserve"> </w:t>
      </w:r>
      <w:r w:rsidRPr="004A054C">
        <w:rPr>
          <w:rtl/>
        </w:rPr>
        <w:t>المعقولة"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يمكن</w:t>
      </w:r>
      <w:r w:rsidRPr="004A054C">
        <w:rPr>
          <w:rtl/>
        </w:rPr>
        <w:t xml:space="preserve"> </w:t>
      </w:r>
      <w:r w:rsidRPr="004A054C">
        <w:rPr>
          <w:rtl/>
        </w:rPr>
        <w:t>خلالها</w:t>
      </w:r>
      <w:r w:rsidRPr="004A054C">
        <w:rPr>
          <w:rtl/>
        </w:rPr>
        <w:t xml:space="preserve"> </w:t>
      </w:r>
      <w:r w:rsidRPr="004A054C">
        <w:rPr>
          <w:rtl/>
        </w:rPr>
        <w:t>احتجاز</w:t>
      </w:r>
      <w:r w:rsidRPr="004A054C">
        <w:rPr>
          <w:rtl/>
        </w:rPr>
        <w:t xml:space="preserve"> </w:t>
      </w:r>
      <w:r w:rsidRPr="004A054C">
        <w:rPr>
          <w:rtl/>
        </w:rPr>
        <w:t>شخص</w:t>
      </w:r>
      <w:r w:rsidRPr="004A054C">
        <w:rPr>
          <w:rtl/>
        </w:rPr>
        <w:t xml:space="preserve"> </w:t>
      </w:r>
      <w:r w:rsidRPr="004A054C">
        <w:rPr>
          <w:rtl/>
        </w:rPr>
        <w:t>قبل</w:t>
      </w:r>
      <w:r w:rsidRPr="004A054C">
        <w:rPr>
          <w:rtl/>
        </w:rPr>
        <w:t xml:space="preserve"> </w:t>
      </w:r>
      <w:r w:rsidRPr="004A054C">
        <w:rPr>
          <w:rtl/>
        </w:rPr>
        <w:t>تقديمه</w:t>
      </w:r>
      <w:r w:rsidRPr="004A054C">
        <w:rPr>
          <w:rtl/>
        </w:rPr>
        <w:t xml:space="preserve"> </w:t>
      </w:r>
      <w:r w:rsidRPr="004A054C">
        <w:rPr>
          <w:rtl/>
        </w:rPr>
        <w:t>للمحاكمة</w:t>
      </w:r>
      <w:r w:rsidRPr="004A054C">
        <w:rPr>
          <w:rtl/>
        </w:rPr>
        <w:t xml:space="preserve"> </w:t>
      </w:r>
      <w:r w:rsidRPr="004A054C">
        <w:rPr>
          <w:rtl/>
        </w:rPr>
        <w:t>(المادة</w:t>
      </w:r>
      <w:r w:rsidRPr="004A054C">
        <w:rPr>
          <w:rtl/>
        </w:rPr>
        <w:t xml:space="preserve"> </w:t>
      </w:r>
      <w:r w:rsidRPr="00835005">
        <w:rPr>
          <w:rtl/>
        </w:rPr>
        <w:t>34</w:t>
      </w:r>
      <w:r w:rsidRPr="004A054C">
        <w:rPr>
          <w:rtl/>
        </w:rPr>
        <w:t>(</w:t>
      </w:r>
      <w:r w:rsidR="00D40BC3" w:rsidRPr="00835005">
        <w:rPr>
          <w:rtl/>
        </w:rPr>
        <w:t>2</w:t>
      </w:r>
      <w:r w:rsidR="00D40BC3" w:rsidRPr="00D40BC3">
        <w:rPr>
          <w:rtl/>
        </w:rPr>
        <w:t>)</w:t>
      </w:r>
      <w:r w:rsidR="00D40BC3" w:rsidRPr="00D40BC3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الدستور</w:t>
      </w:r>
      <w:r w:rsidR="00D40BC3" w:rsidRPr="00D40BC3">
        <w:rPr>
          <w:rtl/>
        </w:rPr>
        <w:t>)؛</w:t>
      </w:r>
      <w:r w:rsidR="00D40BC3" w:rsidRPr="00D40BC3">
        <w:rPr>
          <w:rtl/>
        </w:rPr>
        <w:t xml:space="preserve"> </w:t>
      </w:r>
      <w:r w:rsidRPr="004A054C">
        <w:rPr>
          <w:rtl/>
        </w:rPr>
        <w:t>والتدابير</w:t>
      </w:r>
      <w:r w:rsidRPr="004A054C">
        <w:rPr>
          <w:rtl/>
        </w:rPr>
        <w:t xml:space="preserve"> </w:t>
      </w:r>
      <w:r w:rsidRPr="004A054C">
        <w:rPr>
          <w:rtl/>
        </w:rPr>
        <w:t>المتخذة</w:t>
      </w:r>
      <w:r w:rsidRPr="004A054C">
        <w:rPr>
          <w:rtl/>
        </w:rPr>
        <w:t xml:space="preserve"> </w:t>
      </w:r>
      <w:r w:rsidRPr="004A054C">
        <w:rPr>
          <w:rtl/>
        </w:rPr>
        <w:t>لضمان</w:t>
      </w:r>
      <w:r w:rsidRPr="004A054C">
        <w:rPr>
          <w:rtl/>
        </w:rPr>
        <w:t xml:space="preserve"> </w:t>
      </w:r>
      <w:r w:rsidRPr="004A054C">
        <w:rPr>
          <w:rtl/>
        </w:rPr>
        <w:t>تمتع</w:t>
      </w:r>
      <w:r w:rsidRPr="004A054C">
        <w:rPr>
          <w:rtl/>
        </w:rPr>
        <w:t xml:space="preserve"> </w:t>
      </w:r>
      <w:r w:rsidRPr="004A054C">
        <w:rPr>
          <w:rtl/>
        </w:rPr>
        <w:t>جميع</w:t>
      </w:r>
      <w:r w:rsidRPr="004A054C">
        <w:rPr>
          <w:rtl/>
        </w:rPr>
        <w:t xml:space="preserve"> </w:t>
      </w:r>
      <w:r w:rsidRPr="004A054C">
        <w:rPr>
          <w:rtl/>
        </w:rPr>
        <w:t>المحتجزين</w:t>
      </w:r>
      <w:r w:rsidRPr="004A054C">
        <w:rPr>
          <w:rtl/>
        </w:rPr>
        <w:t xml:space="preserve"> </w:t>
      </w:r>
      <w:r w:rsidRPr="004A054C">
        <w:rPr>
          <w:rtl/>
        </w:rPr>
        <w:t>الفعلي</w:t>
      </w:r>
      <w:r w:rsidRPr="004A054C">
        <w:rPr>
          <w:rtl/>
        </w:rPr>
        <w:t xml:space="preserve"> </w:t>
      </w:r>
      <w:r w:rsidRPr="004A054C">
        <w:rPr>
          <w:rtl/>
        </w:rPr>
        <w:t>بحقوقهم؛</w:t>
      </w:r>
      <w:r w:rsidRPr="004A054C">
        <w:rPr>
          <w:rtl/>
        </w:rPr>
        <w:t xml:space="preserve"> </w:t>
      </w:r>
      <w:r w:rsidRPr="004A054C">
        <w:rPr>
          <w:rtl/>
        </w:rPr>
        <w:t>ووسائل</w:t>
      </w:r>
      <w:r w:rsidRPr="004A054C">
        <w:rPr>
          <w:rtl/>
        </w:rPr>
        <w:t xml:space="preserve"> </w:t>
      </w:r>
      <w:r w:rsidRPr="004A054C">
        <w:rPr>
          <w:rtl/>
        </w:rPr>
        <w:t>الانتصاف</w:t>
      </w:r>
      <w:r w:rsidRPr="004A054C">
        <w:rPr>
          <w:rtl/>
        </w:rPr>
        <w:t xml:space="preserve"> </w:t>
      </w:r>
      <w:r w:rsidRPr="004A054C">
        <w:rPr>
          <w:rtl/>
        </w:rPr>
        <w:t>المتاحة</w:t>
      </w:r>
      <w:r w:rsidRPr="004A054C">
        <w:rPr>
          <w:rtl/>
        </w:rPr>
        <w:t xml:space="preserve"> </w:t>
      </w:r>
      <w:r w:rsidRPr="004A054C">
        <w:rPr>
          <w:rtl/>
        </w:rPr>
        <w:t>للمحتجزين</w:t>
      </w:r>
      <w:r w:rsidRPr="004A054C">
        <w:rPr>
          <w:rtl/>
        </w:rPr>
        <w:t xml:space="preserve"> </w:t>
      </w:r>
      <w:r w:rsidRPr="004A054C">
        <w:rPr>
          <w:rtl/>
        </w:rPr>
        <w:t>الذين</w:t>
      </w:r>
      <w:r w:rsidRPr="004A054C">
        <w:rPr>
          <w:rtl/>
        </w:rPr>
        <w:t xml:space="preserve"> </w:t>
      </w:r>
      <w:r w:rsidRPr="004A054C">
        <w:rPr>
          <w:rtl/>
        </w:rPr>
        <w:t>انتُهكت</w:t>
      </w:r>
      <w:r w:rsidRPr="004A054C">
        <w:rPr>
          <w:rtl/>
        </w:rPr>
        <w:t xml:space="preserve"> </w:t>
      </w:r>
      <w:r w:rsidRPr="004A054C">
        <w:rPr>
          <w:rtl/>
        </w:rPr>
        <w:t>حقوقهم؛</w:t>
      </w:r>
      <w:r w:rsidRPr="004A054C">
        <w:rPr>
          <w:rtl/>
        </w:rPr>
        <w:t xml:space="preserve"> </w:t>
      </w:r>
      <w:r w:rsidRPr="004A054C">
        <w:rPr>
          <w:rtl/>
        </w:rPr>
        <w:t>والتدابير</w:t>
      </w:r>
      <w:r w:rsidRPr="004A054C">
        <w:rPr>
          <w:rtl/>
        </w:rPr>
        <w:t xml:space="preserve"> </w:t>
      </w:r>
      <w:r w:rsidRPr="004A054C">
        <w:rPr>
          <w:rtl/>
        </w:rPr>
        <w:t>المتخذة</w:t>
      </w:r>
      <w:r w:rsidRPr="004A054C">
        <w:rPr>
          <w:rtl/>
        </w:rPr>
        <w:t xml:space="preserve"> </w:t>
      </w:r>
      <w:r w:rsidRPr="004A054C">
        <w:rPr>
          <w:rtl/>
        </w:rPr>
        <w:t>لمكافحة</w:t>
      </w:r>
      <w:r w:rsidRPr="004A054C">
        <w:rPr>
          <w:rtl/>
        </w:rPr>
        <w:t xml:space="preserve"> </w:t>
      </w:r>
      <w:r w:rsidRPr="004A054C">
        <w:rPr>
          <w:rtl/>
        </w:rPr>
        <w:t>انتشار</w:t>
      </w:r>
      <w:r w:rsidRPr="004A054C">
        <w:rPr>
          <w:rtl/>
        </w:rPr>
        <w:t xml:space="preserve"> </w:t>
      </w:r>
      <w:r w:rsidRPr="004A054C">
        <w:rPr>
          <w:rtl/>
        </w:rPr>
        <w:t>الفساد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صفوف</w:t>
      </w:r>
      <w:r w:rsidRPr="004A054C">
        <w:rPr>
          <w:rtl/>
        </w:rPr>
        <w:t xml:space="preserve"> </w:t>
      </w:r>
      <w:r w:rsidRPr="004A054C">
        <w:rPr>
          <w:rtl/>
        </w:rPr>
        <w:t>الموظفين</w:t>
      </w:r>
      <w:r w:rsidRPr="004A054C">
        <w:rPr>
          <w:rtl/>
        </w:rPr>
        <w:t xml:space="preserve"> </w:t>
      </w:r>
      <w:r w:rsidRPr="004A054C">
        <w:rPr>
          <w:rtl/>
        </w:rPr>
        <w:t>المكلفين</w:t>
      </w:r>
      <w:r w:rsidRPr="004A054C">
        <w:rPr>
          <w:rtl/>
        </w:rPr>
        <w:t xml:space="preserve"> </w:t>
      </w:r>
      <w:r w:rsidRPr="004A054C">
        <w:rPr>
          <w:rtl/>
        </w:rPr>
        <w:t>بإنفاذ</w:t>
      </w:r>
      <w:r w:rsidRPr="004A054C">
        <w:rPr>
          <w:rtl/>
        </w:rPr>
        <w:t xml:space="preserve"> </w:t>
      </w:r>
      <w:r w:rsidRPr="004A054C">
        <w:rPr>
          <w:rtl/>
        </w:rPr>
        <w:t>القوانين</w:t>
      </w:r>
      <w:r w:rsidRPr="004A054C">
        <w:rPr>
          <w:rtl/>
        </w:rPr>
        <w:t xml:space="preserve"> </w:t>
      </w:r>
      <w:r w:rsidRPr="004A054C">
        <w:rPr>
          <w:rtl/>
        </w:rPr>
        <w:t>والسلطات</w:t>
      </w:r>
      <w:r w:rsidRPr="004A054C">
        <w:rPr>
          <w:rtl/>
        </w:rPr>
        <w:t xml:space="preserve"> </w:t>
      </w:r>
      <w:r w:rsidRPr="004A054C">
        <w:rPr>
          <w:rtl/>
        </w:rPr>
        <w:t>القضائية.</w:t>
      </w:r>
      <w:r w:rsidRPr="004A054C">
        <w:rPr>
          <w:rtl/>
        </w:rPr>
        <w:t xml:space="preserve"> </w:t>
      </w:r>
      <w:r w:rsidRPr="004A054C">
        <w:rPr>
          <w:rtl/>
        </w:rPr>
        <w:t>وفي</w:t>
      </w:r>
      <w:r w:rsidRPr="004A054C">
        <w:rPr>
          <w:rtl/>
        </w:rPr>
        <w:t xml:space="preserve"> </w:t>
      </w:r>
      <w:r w:rsidRPr="004A054C">
        <w:rPr>
          <w:rtl/>
        </w:rPr>
        <w:t>ضوء</w:t>
      </w:r>
      <w:r w:rsidRPr="004A054C">
        <w:rPr>
          <w:rtl/>
        </w:rPr>
        <w:t xml:space="preserve"> </w:t>
      </w:r>
      <w:r w:rsidRPr="004A054C">
        <w:rPr>
          <w:rtl/>
        </w:rPr>
        <w:t>المعلومات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قدمتها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الطرف،</w:t>
      </w:r>
      <w:r w:rsidRPr="004A054C">
        <w:rPr>
          <w:rtl/>
        </w:rPr>
        <w:t xml:space="preserve"> </w:t>
      </w:r>
      <w:r w:rsidRPr="004A054C">
        <w:rPr>
          <w:rtl/>
        </w:rPr>
        <w:t>تلاحظ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زيادة</w:t>
      </w:r>
      <w:r w:rsidRPr="004A054C">
        <w:rPr>
          <w:rtl/>
        </w:rPr>
        <w:t xml:space="preserve"> </w:t>
      </w:r>
      <w:r w:rsidRPr="004A054C">
        <w:rPr>
          <w:rtl/>
        </w:rPr>
        <w:t>كبيرة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توفير</w:t>
      </w:r>
      <w:r w:rsidRPr="004A054C">
        <w:rPr>
          <w:rtl/>
        </w:rPr>
        <w:t xml:space="preserve"> </w:t>
      </w:r>
      <w:r w:rsidRPr="004A054C">
        <w:rPr>
          <w:rtl/>
        </w:rPr>
        <w:t>المعونة</w:t>
      </w:r>
      <w:r w:rsidRPr="004A054C">
        <w:rPr>
          <w:rtl/>
        </w:rPr>
        <w:t xml:space="preserve"> </w:t>
      </w:r>
      <w:r w:rsidRPr="004A054C">
        <w:rPr>
          <w:rtl/>
        </w:rPr>
        <w:t>القضائية</w:t>
      </w:r>
      <w:r w:rsidRPr="004A054C">
        <w:rPr>
          <w:rtl/>
        </w:rPr>
        <w:t xml:space="preserve"> </w:t>
      </w:r>
      <w:r w:rsidRPr="004A054C">
        <w:rPr>
          <w:rtl/>
        </w:rPr>
        <w:t>المجانية</w:t>
      </w:r>
      <w:r w:rsidRPr="004A054C">
        <w:rPr>
          <w:rtl/>
        </w:rPr>
        <w:t xml:space="preserve"> </w:t>
      </w:r>
      <w:r w:rsidRPr="004A054C">
        <w:rPr>
          <w:rtl/>
        </w:rPr>
        <w:t>بين</w:t>
      </w:r>
      <w:r w:rsidRPr="004A054C">
        <w:rPr>
          <w:rtl/>
        </w:rPr>
        <w:t xml:space="preserve"> </w:t>
      </w:r>
      <w:r w:rsidRPr="004A054C">
        <w:rPr>
          <w:rtl/>
        </w:rPr>
        <w:t>عامي</w:t>
      </w:r>
      <w:r w:rsidRPr="004A054C">
        <w:rPr>
          <w:rtl/>
        </w:rPr>
        <w:t xml:space="preserve"> </w:t>
      </w:r>
      <w:r w:rsidRPr="00835005">
        <w:rPr>
          <w:rtl/>
        </w:rPr>
        <w:t>2016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2017</w:t>
      </w:r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وإن</w:t>
      </w:r>
      <w:r w:rsidRPr="004A054C">
        <w:rPr>
          <w:rtl/>
        </w:rPr>
        <w:t xml:space="preserve"> </w:t>
      </w:r>
      <w:r w:rsidRPr="004A054C">
        <w:rPr>
          <w:rtl/>
        </w:rPr>
        <w:t>كان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Pr="004A054C">
        <w:rPr>
          <w:rtl/>
        </w:rPr>
        <w:t xml:space="preserve"> </w:t>
      </w:r>
      <w:r w:rsidRPr="004A054C">
        <w:rPr>
          <w:rtl/>
        </w:rPr>
        <w:t>يزال</w:t>
      </w:r>
      <w:r w:rsidRPr="004A054C">
        <w:rPr>
          <w:rtl/>
        </w:rPr>
        <w:t xml:space="preserve"> </w:t>
      </w:r>
      <w:r w:rsidRPr="004A054C">
        <w:rPr>
          <w:rtl/>
        </w:rPr>
        <w:t>يساورها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المعونة</w:t>
      </w:r>
      <w:r w:rsidRPr="004A054C">
        <w:rPr>
          <w:rtl/>
        </w:rPr>
        <w:t xml:space="preserve"> </w:t>
      </w:r>
      <w:r w:rsidRPr="004A054C">
        <w:rPr>
          <w:rtl/>
        </w:rPr>
        <w:t>القضائية</w:t>
      </w:r>
      <w:r w:rsidRPr="004A054C">
        <w:rPr>
          <w:rtl/>
        </w:rPr>
        <w:t xml:space="preserve"> </w:t>
      </w:r>
      <w:r w:rsidRPr="004A054C">
        <w:rPr>
          <w:rtl/>
        </w:rPr>
        <w:t>المجانية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Pr="004A054C">
        <w:rPr>
          <w:rtl/>
        </w:rPr>
        <w:t xml:space="preserve"> </w:t>
      </w:r>
      <w:r w:rsidRPr="004A054C">
        <w:rPr>
          <w:rtl/>
        </w:rPr>
        <w:t>تزال</w:t>
      </w:r>
      <w:r w:rsidRPr="004A054C">
        <w:rPr>
          <w:rtl/>
        </w:rPr>
        <w:t xml:space="preserve"> </w:t>
      </w:r>
      <w:r w:rsidRPr="004A054C">
        <w:rPr>
          <w:rtl/>
        </w:rPr>
        <w:t>غير</w:t>
      </w:r>
      <w:r w:rsidRPr="004A054C">
        <w:rPr>
          <w:rtl/>
        </w:rPr>
        <w:t xml:space="preserve"> </w:t>
      </w:r>
      <w:r w:rsidRPr="004A054C">
        <w:rPr>
          <w:rtl/>
        </w:rPr>
        <w:t>كافية</w:t>
      </w:r>
      <w:r w:rsidRPr="004A054C">
        <w:rPr>
          <w:rtl/>
        </w:rPr>
        <w:t xml:space="preserve"> </w:t>
      </w:r>
      <w:r w:rsidRPr="004A054C">
        <w:rPr>
          <w:rtl/>
        </w:rPr>
        <w:t>(المادتان</w:t>
      </w:r>
      <w:r w:rsidRPr="004A054C">
        <w:rPr>
          <w:rtl/>
        </w:rPr>
        <w:t xml:space="preserve"> </w:t>
      </w:r>
      <w:r w:rsidRPr="00835005">
        <w:rPr>
          <w:rtl/>
        </w:rPr>
        <w:t>2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r w:rsidR="00D40BC3" w:rsidRPr="00D40BC3">
        <w:rPr>
          <w:rtl/>
        </w:rPr>
        <w:t>).</w:t>
      </w:r>
      <w:r w:rsidR="00D40BC3" w:rsidRPr="00D40BC3">
        <w:rPr>
          <w:rtl/>
        </w:rPr>
        <w:t xml:space="preserve"> </w:t>
      </w:r>
    </w:p>
    <w:p w14:paraId="3ADBAA38" w14:textId="2037C103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10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القيام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يلي</w:t>
      </w:r>
      <w:r w:rsidR="00142229" w:rsidRPr="00835005">
        <w:rPr>
          <w:b/>
          <w:bCs/>
          <w:rtl/>
        </w:rPr>
        <w:t>:</w:t>
      </w:r>
    </w:p>
    <w:p w14:paraId="181E085A" w14:textId="410AAA20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(أ)</w:t>
      </w:r>
      <w:r w:rsidRPr="004A054C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حصول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الأشخاص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المعتقلين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المحتجزين،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القانون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والممارسة،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الضمانات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القانونية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الأساسية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لحظة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حرمانهم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الحرية،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حقهم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الاتصال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الفوري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بمحام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والحصول،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لزم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الأمر،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المعونة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القضائية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المجانية،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سيما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خلال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مرحلتي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التحقيق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والاستجواب؛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وإبلاغهم،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بلغة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يفهمونها،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بحقوقهم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وبسبب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اعتقالهم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والتهم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الموجهة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إليهم؛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وإبلاغ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أحد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أقاربهم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المقربين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ثالث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باعتقالهم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وجه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السرعة؛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وطلب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وتلقي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فحص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طبي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مستقل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مجاني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طبيب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اختيارهم؛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والطعن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مشروعية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احتجازهم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مرحلة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مراحل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الإجراءات؛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والامتثال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أمام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قاض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دون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تأخير؛</w:t>
      </w:r>
    </w:p>
    <w:p w14:paraId="53332EA6" w14:textId="512D5794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(ب)</w:t>
      </w:r>
      <w:r w:rsidRPr="004A054C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قدرة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المحتجزين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الوصول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آليات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فعالة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للشكوى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عدم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احترام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الضمانات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القانونية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الأساسية؛</w:t>
      </w:r>
      <w:r w:rsidRPr="004A054C">
        <w:rPr>
          <w:rtl/>
        </w:rPr>
        <w:t xml:space="preserve"> </w:t>
      </w:r>
    </w:p>
    <w:p w14:paraId="6D917ADB" w14:textId="5385AD52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(ج)</w:t>
      </w:r>
      <w:r w:rsidRPr="004A054C">
        <w:rPr>
          <w:rtl/>
        </w:rPr>
        <w:tab/>
      </w:r>
      <w:r w:rsidRPr="00835005">
        <w:rPr>
          <w:b/>
          <w:bCs/>
          <w:rtl/>
        </w:rPr>
        <w:t>تقديم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عدد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الشكاوى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الواردة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بشأن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عدم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احترام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الضمانات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القانونية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الأساسية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نتائج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الشكاوى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التقرير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المقبل.</w:t>
      </w:r>
    </w:p>
    <w:p w14:paraId="01231AA0" w14:textId="597B10A3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المؤسّسة</w:t>
      </w:r>
      <w:r w:rsidRPr="00835005">
        <w:rPr>
          <w:rtl/>
        </w:rPr>
        <w:t xml:space="preserve"> </w:t>
      </w:r>
      <w:r w:rsidRPr="00835005">
        <w:rPr>
          <w:rtl/>
        </w:rPr>
        <w:t>الوطنية</w:t>
      </w:r>
      <w:r w:rsidRPr="00835005">
        <w:rPr>
          <w:rtl/>
        </w:rPr>
        <w:t xml:space="preserve"> </w:t>
      </w:r>
      <w:r w:rsidRPr="00835005">
        <w:rPr>
          <w:rtl/>
        </w:rPr>
        <w:t>لحقوق</w:t>
      </w:r>
      <w:r w:rsidRPr="00835005">
        <w:rPr>
          <w:rtl/>
        </w:rPr>
        <w:t xml:space="preserve"> </w:t>
      </w:r>
      <w:r w:rsidRPr="00835005">
        <w:rPr>
          <w:rtl/>
        </w:rPr>
        <w:t>الإنسان</w:t>
      </w:r>
    </w:p>
    <w:p w14:paraId="4870D237" w14:textId="7122DD1D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11</w:t>
      </w:r>
      <w:r w:rsidRPr="004A054C">
        <w:rPr>
          <w:rtl/>
        </w:rPr>
        <w:t>-</w:t>
      </w:r>
      <w:r w:rsidRPr="004A054C">
        <w:rPr>
          <w:rtl/>
        </w:rPr>
        <w:tab/>
        <w:t>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1F609D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بالمعلومات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قدمتها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بشأن</w:t>
      </w:r>
      <w:r w:rsidRPr="004A054C">
        <w:rPr>
          <w:rtl/>
        </w:rPr>
        <w:t xml:space="preserve"> </w:t>
      </w:r>
      <w:r w:rsidRPr="004A054C">
        <w:rPr>
          <w:rtl/>
        </w:rPr>
        <w:t>قانون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الوطنية</w:t>
      </w:r>
      <w:r w:rsidRPr="004A054C">
        <w:rPr>
          <w:rtl/>
        </w:rPr>
        <w:t xml:space="preserve"> </w:t>
      </w:r>
      <w:r w:rsidRPr="004A054C">
        <w:rPr>
          <w:rtl/>
        </w:rPr>
        <w:t>لحقوق</w:t>
      </w:r>
      <w:r w:rsidRPr="004A054C">
        <w:rPr>
          <w:rtl/>
        </w:rPr>
        <w:t xml:space="preserve"> </w:t>
      </w:r>
      <w:r w:rsidRPr="004A054C">
        <w:rPr>
          <w:rtl/>
        </w:rPr>
        <w:t>الإنسان</w:t>
      </w:r>
      <w:r w:rsidRPr="004A054C">
        <w:rPr>
          <w:rtl/>
        </w:rPr>
        <w:t xml:space="preserve"> </w:t>
      </w:r>
      <w:r w:rsidRPr="004A054C">
        <w:rPr>
          <w:rtl/>
        </w:rPr>
        <w:t>لعام</w:t>
      </w:r>
      <w:r w:rsidRPr="004A054C">
        <w:rPr>
          <w:rtl/>
        </w:rPr>
        <w:t xml:space="preserve"> </w:t>
      </w:r>
      <w:r w:rsidRPr="00835005">
        <w:rPr>
          <w:rtl/>
        </w:rPr>
        <w:t>2016</w:t>
      </w:r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الذي</w:t>
      </w:r>
      <w:r w:rsidRPr="004A054C">
        <w:rPr>
          <w:rtl/>
        </w:rPr>
        <w:t xml:space="preserve"> </w:t>
      </w:r>
      <w:r w:rsidRPr="004A054C">
        <w:rPr>
          <w:rtl/>
        </w:rPr>
        <w:t>ينص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إنشاء</w:t>
      </w:r>
      <w:r w:rsidRPr="004A054C">
        <w:rPr>
          <w:rtl/>
        </w:rPr>
        <w:t xml:space="preserve"> </w:t>
      </w:r>
      <w:r w:rsidRPr="004A054C">
        <w:rPr>
          <w:rtl/>
        </w:rPr>
        <w:t>مؤسسة</w:t>
      </w:r>
      <w:r w:rsidRPr="004A054C">
        <w:rPr>
          <w:rtl/>
        </w:rPr>
        <w:t xml:space="preserve"> </w:t>
      </w:r>
      <w:r w:rsidRPr="004A054C">
        <w:rPr>
          <w:rtl/>
        </w:rPr>
        <w:t>وطنية</w:t>
      </w:r>
      <w:r w:rsidRPr="004A054C">
        <w:rPr>
          <w:rtl/>
        </w:rPr>
        <w:t xml:space="preserve"> </w:t>
      </w:r>
      <w:r w:rsidRPr="004A054C">
        <w:rPr>
          <w:rtl/>
        </w:rPr>
        <w:t>لحقوق</w:t>
      </w:r>
      <w:r w:rsidRPr="004A054C">
        <w:rPr>
          <w:rtl/>
        </w:rPr>
        <w:t xml:space="preserve"> </w:t>
      </w:r>
      <w:r w:rsidRPr="004A054C">
        <w:rPr>
          <w:rtl/>
        </w:rPr>
        <w:t>الإنسان</w:t>
      </w:r>
      <w:r w:rsidRPr="004A054C">
        <w:rPr>
          <w:rtl/>
        </w:rPr>
        <w:t xml:space="preserve"> </w:t>
      </w:r>
      <w:r w:rsidRPr="004A054C">
        <w:rPr>
          <w:rtl/>
        </w:rPr>
        <w:t>وفقا</w:t>
      </w:r>
      <w:r w:rsidR="001F609D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للمادة</w:t>
      </w:r>
      <w:r w:rsidRPr="004A054C">
        <w:rPr>
          <w:rtl/>
        </w:rPr>
        <w:t xml:space="preserve"> </w:t>
      </w:r>
      <w:r w:rsidRPr="00835005">
        <w:rPr>
          <w:rtl/>
        </w:rPr>
        <w:t>41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الدستور،</w:t>
      </w:r>
      <w:r w:rsidRPr="004A054C">
        <w:rPr>
          <w:rtl/>
        </w:rPr>
        <w:t xml:space="preserve"> </w:t>
      </w:r>
      <w:r w:rsidRPr="004A054C">
        <w:rPr>
          <w:rtl/>
        </w:rPr>
        <w:t>لكنّها</w:t>
      </w:r>
      <w:r w:rsidRPr="004A054C">
        <w:rPr>
          <w:rtl/>
        </w:rPr>
        <w:t xml:space="preserve"> </w:t>
      </w:r>
      <w:r w:rsidRPr="004A054C">
        <w:rPr>
          <w:rtl/>
        </w:rPr>
        <w:t>تأسف</w:t>
      </w:r>
      <w:r w:rsidRPr="004A054C">
        <w:rPr>
          <w:rtl/>
        </w:rPr>
        <w:t xml:space="preserve"> </w:t>
      </w:r>
      <w:r w:rsidRPr="004A054C">
        <w:rPr>
          <w:rtl/>
        </w:rPr>
        <w:t>لعدم</w:t>
      </w:r>
      <w:r w:rsidRPr="004A054C">
        <w:rPr>
          <w:rtl/>
        </w:rPr>
        <w:t xml:space="preserve"> </w:t>
      </w:r>
      <w:r w:rsidRPr="004A054C">
        <w:rPr>
          <w:rtl/>
        </w:rPr>
        <w:t>اكتمال</w:t>
      </w:r>
      <w:r w:rsidRPr="004A054C">
        <w:rPr>
          <w:rtl/>
        </w:rPr>
        <w:t xml:space="preserve"> </w:t>
      </w:r>
      <w:r w:rsidRPr="004A054C">
        <w:rPr>
          <w:rtl/>
        </w:rPr>
        <w:t>عملية</w:t>
      </w:r>
      <w:r w:rsidRPr="004A054C">
        <w:rPr>
          <w:rtl/>
        </w:rPr>
        <w:t xml:space="preserve"> </w:t>
      </w:r>
      <w:r w:rsidRPr="004A054C">
        <w:rPr>
          <w:rtl/>
        </w:rPr>
        <w:t>إنشاء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بعد.</w:t>
      </w:r>
      <w:r w:rsidRPr="004A054C">
        <w:rPr>
          <w:rtl/>
        </w:rPr>
        <w:t xml:space="preserve"> </w:t>
      </w:r>
      <w:r w:rsidRPr="004A054C">
        <w:rPr>
          <w:rtl/>
        </w:rPr>
        <w:t>وفي</w:t>
      </w:r>
      <w:r w:rsidRPr="004A054C">
        <w:rPr>
          <w:rtl/>
        </w:rPr>
        <w:t xml:space="preserve"> </w:t>
      </w:r>
      <w:r w:rsidRPr="004A054C">
        <w:rPr>
          <w:rtl/>
        </w:rPr>
        <w:t>هذا</w:t>
      </w:r>
      <w:r w:rsidRPr="004A054C">
        <w:rPr>
          <w:rtl/>
        </w:rPr>
        <w:t xml:space="preserve"> </w:t>
      </w:r>
      <w:r w:rsidRPr="004A054C">
        <w:rPr>
          <w:rtl/>
        </w:rPr>
        <w:t>الصدد،</w:t>
      </w:r>
      <w:r w:rsidRPr="004A054C">
        <w:rPr>
          <w:rtl/>
        </w:rPr>
        <w:t xml:space="preserve"> </w:t>
      </w:r>
      <w:r w:rsidRPr="004A054C">
        <w:rPr>
          <w:rtl/>
        </w:rPr>
        <w:t>تلاحظ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التزام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بضمان</w:t>
      </w:r>
      <w:r w:rsidRPr="004A054C">
        <w:rPr>
          <w:rtl/>
        </w:rPr>
        <w:t xml:space="preserve"> </w:t>
      </w:r>
      <w:r w:rsidRPr="004A054C">
        <w:rPr>
          <w:rtl/>
        </w:rPr>
        <w:t>إنشاء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قبل</w:t>
      </w:r>
      <w:r w:rsidRPr="004A054C">
        <w:rPr>
          <w:rtl/>
        </w:rPr>
        <w:t xml:space="preserve"> </w:t>
      </w:r>
      <w:r w:rsidRPr="004A054C">
        <w:rPr>
          <w:rtl/>
        </w:rPr>
        <w:t>منتصف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Pr="004A054C">
        <w:rPr>
          <w:rtl/>
        </w:rPr>
        <w:t xml:space="preserve"> </w:t>
      </w:r>
      <w:r w:rsidRPr="00835005">
        <w:rPr>
          <w:rtl/>
        </w:rPr>
        <w:t>2023</w:t>
      </w:r>
      <w:r w:rsidRPr="004A054C">
        <w:rPr>
          <w:rtl/>
        </w:rPr>
        <w:t xml:space="preserve"> </w:t>
      </w:r>
      <w:r w:rsidRPr="004A054C">
        <w:rPr>
          <w:rtl/>
        </w:rPr>
        <w:t>(المادة</w:t>
      </w:r>
      <w:r w:rsidRPr="004A054C">
        <w:rPr>
          <w:rtl/>
        </w:rPr>
        <w:t xml:space="preserve"> </w:t>
      </w:r>
      <w:r w:rsidR="00D40BC3" w:rsidRPr="00835005">
        <w:rPr>
          <w:rtl/>
        </w:rPr>
        <w:t>2</w:t>
      </w:r>
      <w:r w:rsidR="00D40BC3" w:rsidRPr="00D40BC3">
        <w:rPr>
          <w:rtl/>
        </w:rPr>
        <w:t>).</w:t>
      </w:r>
    </w:p>
    <w:p w14:paraId="1BC40131" w14:textId="4B0FDFB3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12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تحث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التعجيل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بإنشاء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مؤسسة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وطنية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لحقوق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الإنسان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امتثالا</w:t>
      </w:r>
      <w:r w:rsidR="00274D98" w:rsidRPr="00835005">
        <w:rPr>
          <w:rFonts w:hint="cs"/>
          <w:b/>
          <w:bCs/>
          <w:rtl/>
        </w:rPr>
        <w:t> </w:t>
      </w:r>
      <w:r w:rsidRPr="00835005">
        <w:rPr>
          <w:b/>
          <w:bCs/>
          <w:rtl/>
        </w:rPr>
        <w:t>للمبادئ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المتعلقة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بمركز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المؤسسات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الوطنية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لتعزيز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وحماية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حقوق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الإنسان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(مبادئ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باريس)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توفير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الموارد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المالية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والبشرية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الكافية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لتمكينها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الاضطلاع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بولايتها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بشكل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مستقل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وفعال.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وبالإضافة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تكفل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إجراء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التشاور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الكامل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المجتمع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المدني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ومشاركته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لدى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تعيين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المسؤولين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المؤسسة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الوطنية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لحقوق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الإنسان؛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ولاية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المؤسسة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سلطة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واضحة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للقيام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بزيارات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غير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معلنة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مكان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إقليم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يوجد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فيه،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يُمكن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يوجد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فيه،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أشخاص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محرومين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حريتهم.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وتدعو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التماس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الدعم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والمشورة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المجال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التقني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مجال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بناء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القدرات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مفوضية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الأمم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المتحدة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السامية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لحقوق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الإنسان.</w:t>
      </w:r>
      <w:r w:rsidRPr="004A054C">
        <w:rPr>
          <w:rtl/>
        </w:rPr>
        <w:t xml:space="preserve"> </w:t>
      </w:r>
    </w:p>
    <w:p w14:paraId="496E8307" w14:textId="6EDF3A30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اختصاص</w:t>
      </w:r>
      <w:r w:rsidRPr="00835005">
        <w:rPr>
          <w:rtl/>
        </w:rPr>
        <w:t xml:space="preserve"> </w:t>
      </w:r>
      <w:r w:rsidRPr="00835005">
        <w:rPr>
          <w:rtl/>
        </w:rPr>
        <w:t>المحاكم</w:t>
      </w:r>
      <w:r w:rsidRPr="00835005">
        <w:rPr>
          <w:rtl/>
        </w:rPr>
        <w:t xml:space="preserve"> </w:t>
      </w:r>
      <w:r w:rsidRPr="00835005">
        <w:rPr>
          <w:rtl/>
        </w:rPr>
        <w:t>العسكرية</w:t>
      </w:r>
    </w:p>
    <w:p w14:paraId="742D95B9" w14:textId="3B05BE1A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13</w:t>
      </w:r>
      <w:r w:rsidRPr="004A054C">
        <w:rPr>
          <w:rtl/>
        </w:rPr>
        <w:t>-</w:t>
      </w:r>
      <w:r w:rsidRPr="004A054C">
        <w:rPr>
          <w:rtl/>
        </w:rPr>
        <w:tab/>
        <w:t>تلاحظ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بقلق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المحاكم</w:t>
      </w:r>
      <w:r w:rsidRPr="004A054C">
        <w:rPr>
          <w:rtl/>
        </w:rPr>
        <w:t xml:space="preserve"> </w:t>
      </w:r>
      <w:r w:rsidRPr="004A054C">
        <w:rPr>
          <w:rtl/>
        </w:rPr>
        <w:t>العسكرية</w:t>
      </w:r>
      <w:r w:rsidRPr="004A054C">
        <w:rPr>
          <w:rtl/>
        </w:rPr>
        <w:t xml:space="preserve"> </w:t>
      </w:r>
      <w:r w:rsidRPr="004A054C">
        <w:rPr>
          <w:rtl/>
        </w:rPr>
        <w:t>تعالج</w:t>
      </w:r>
      <w:r w:rsidRPr="004A054C">
        <w:rPr>
          <w:rtl/>
        </w:rPr>
        <w:t xml:space="preserve"> </w:t>
      </w:r>
      <w:r w:rsidRPr="004A054C">
        <w:rPr>
          <w:rtl/>
        </w:rPr>
        <w:t>القضايا</w:t>
      </w:r>
      <w:r w:rsidRPr="004A054C">
        <w:rPr>
          <w:rtl/>
        </w:rPr>
        <w:t xml:space="preserve"> </w:t>
      </w:r>
      <w:r w:rsidRPr="004A054C">
        <w:rPr>
          <w:rtl/>
        </w:rPr>
        <w:t>المدنية</w:t>
      </w:r>
      <w:r w:rsidRPr="004A054C">
        <w:rPr>
          <w:rtl/>
        </w:rPr>
        <w:t xml:space="preserve"> </w:t>
      </w:r>
      <w:r w:rsidRPr="004A054C">
        <w:rPr>
          <w:rtl/>
        </w:rPr>
        <w:t>وتحاكمها،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فيها</w:t>
      </w:r>
      <w:r w:rsidRPr="004A054C">
        <w:rPr>
          <w:rtl/>
        </w:rPr>
        <w:t xml:space="preserve"> </w:t>
      </w:r>
      <w:r w:rsidRPr="004A054C">
        <w:rPr>
          <w:rtl/>
        </w:rPr>
        <w:t>القضايا</w:t>
      </w:r>
      <w:r w:rsidRPr="004A054C">
        <w:rPr>
          <w:rtl/>
        </w:rPr>
        <w:t xml:space="preserve"> </w:t>
      </w:r>
      <w:r w:rsidRPr="004A054C">
        <w:rPr>
          <w:rtl/>
        </w:rPr>
        <w:t>المتعلقة</w:t>
      </w:r>
      <w:r w:rsidRPr="004A054C">
        <w:rPr>
          <w:rtl/>
        </w:rPr>
        <w:t xml:space="preserve"> </w:t>
      </w:r>
      <w:r w:rsidRPr="004A054C">
        <w:rPr>
          <w:rtl/>
        </w:rPr>
        <w:t>بالأحداث،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حين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هذه</w:t>
      </w:r>
      <w:r w:rsidRPr="004A054C">
        <w:rPr>
          <w:rtl/>
        </w:rPr>
        <w:t xml:space="preserve"> </w:t>
      </w:r>
      <w:r w:rsidRPr="004A054C">
        <w:rPr>
          <w:rtl/>
        </w:rPr>
        <w:t>المحاكم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Pr="004A054C">
        <w:rPr>
          <w:rtl/>
        </w:rPr>
        <w:t xml:space="preserve"> </w:t>
      </w:r>
      <w:r w:rsidRPr="004A054C">
        <w:rPr>
          <w:rtl/>
        </w:rPr>
        <w:t>تضمن</w:t>
      </w:r>
      <w:r w:rsidRPr="004A054C">
        <w:rPr>
          <w:rtl/>
        </w:rPr>
        <w:t xml:space="preserve"> </w:t>
      </w:r>
      <w:r w:rsidRPr="004A054C">
        <w:rPr>
          <w:rtl/>
        </w:rPr>
        <w:t>مراعاة</w:t>
      </w:r>
      <w:r w:rsidRPr="004A054C">
        <w:rPr>
          <w:rtl/>
        </w:rPr>
        <w:t xml:space="preserve"> </w:t>
      </w:r>
      <w:r w:rsidRPr="004A054C">
        <w:rPr>
          <w:rtl/>
        </w:rPr>
        <w:t>أصول</w:t>
      </w:r>
      <w:r w:rsidRPr="004A054C">
        <w:rPr>
          <w:rtl/>
        </w:rPr>
        <w:t xml:space="preserve"> </w:t>
      </w:r>
      <w:r w:rsidRPr="004A054C">
        <w:rPr>
          <w:rtl/>
        </w:rPr>
        <w:t>المحاكمات</w:t>
      </w:r>
      <w:r w:rsidRPr="004A054C">
        <w:rPr>
          <w:rtl/>
        </w:rPr>
        <w:t xml:space="preserve"> </w:t>
      </w:r>
      <w:r w:rsidRPr="004A054C">
        <w:rPr>
          <w:rtl/>
        </w:rPr>
        <w:t>وفقا</w:t>
      </w:r>
      <w:r w:rsidR="00274D98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للقانون،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توفير</w:t>
      </w:r>
      <w:r w:rsidRPr="004A054C">
        <w:rPr>
          <w:rtl/>
        </w:rPr>
        <w:t xml:space="preserve"> </w:t>
      </w:r>
      <w:r w:rsidRPr="004A054C">
        <w:rPr>
          <w:rtl/>
        </w:rPr>
        <w:t>التمثيل</w:t>
      </w:r>
      <w:r w:rsidRPr="004A054C">
        <w:rPr>
          <w:rtl/>
        </w:rPr>
        <w:t xml:space="preserve"> </w:t>
      </w:r>
      <w:r w:rsidRPr="004A054C">
        <w:rPr>
          <w:rtl/>
        </w:rPr>
        <w:t>القانوني</w:t>
      </w:r>
      <w:r w:rsidRPr="004A054C">
        <w:rPr>
          <w:rtl/>
        </w:rPr>
        <w:t xml:space="preserve"> </w:t>
      </w:r>
      <w:r w:rsidRPr="004A054C">
        <w:rPr>
          <w:rtl/>
        </w:rPr>
        <w:t>للمدعى</w:t>
      </w:r>
      <w:r w:rsidRPr="004A054C">
        <w:rPr>
          <w:rtl/>
        </w:rPr>
        <w:t xml:space="preserve"> </w:t>
      </w:r>
      <w:r w:rsidRPr="004A054C">
        <w:rPr>
          <w:rtl/>
        </w:rPr>
        <w:t>عليهم</w:t>
      </w:r>
      <w:r w:rsidRPr="004A054C">
        <w:rPr>
          <w:rtl/>
        </w:rPr>
        <w:t xml:space="preserve"> </w:t>
      </w:r>
      <w:r w:rsidRPr="004A054C">
        <w:rPr>
          <w:rtl/>
        </w:rPr>
        <w:t>ومنحهم</w:t>
      </w:r>
      <w:r w:rsidRPr="004A054C">
        <w:rPr>
          <w:rtl/>
        </w:rPr>
        <w:t xml:space="preserve"> </w:t>
      </w:r>
      <w:r w:rsidRPr="004A054C">
        <w:rPr>
          <w:rtl/>
        </w:rPr>
        <w:t>الحق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الاستئناف،</w:t>
      </w:r>
      <w:r w:rsidRPr="004A054C">
        <w:rPr>
          <w:rtl/>
        </w:rPr>
        <w:t xml:space="preserve"> </w:t>
      </w:r>
      <w:r w:rsidRPr="004A054C">
        <w:rPr>
          <w:rtl/>
        </w:rPr>
        <w:t>كما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إجراءاتها</w:t>
      </w:r>
      <w:r w:rsidRPr="004A054C">
        <w:rPr>
          <w:rtl/>
        </w:rPr>
        <w:t xml:space="preserve"> </w:t>
      </w:r>
      <w:r w:rsidRPr="004A054C">
        <w:rPr>
          <w:rtl/>
        </w:rPr>
        <w:t>تفتقر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الشفافية</w:t>
      </w:r>
      <w:r w:rsidRPr="004A054C">
        <w:rPr>
          <w:rtl/>
        </w:rPr>
        <w:t xml:space="preserve"> </w:t>
      </w:r>
      <w:r w:rsidRPr="004A054C">
        <w:rPr>
          <w:rtl/>
        </w:rPr>
        <w:t>(المادة</w:t>
      </w:r>
      <w:r w:rsidRPr="004A054C">
        <w:rPr>
          <w:rtl/>
        </w:rPr>
        <w:t xml:space="preserve"> </w:t>
      </w:r>
      <w:r w:rsidR="00D40BC3" w:rsidRPr="00835005">
        <w:rPr>
          <w:rtl/>
        </w:rPr>
        <w:t>2</w:t>
      </w:r>
      <w:r w:rsidR="00D40BC3" w:rsidRPr="00D40BC3">
        <w:rPr>
          <w:rtl/>
        </w:rPr>
        <w:t>).</w:t>
      </w:r>
    </w:p>
    <w:p w14:paraId="78AB8295" w14:textId="519075C0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14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اعتماد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التعديلات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التشريعية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اللازمة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لكي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تسحب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المحاكم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العسكرية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اختصاص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القضايا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المدنية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وتضمن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محاكم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القضاء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وحدها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مختصة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بالنظر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القضايا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تنطوي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ارتكاب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انتهاكات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جسيمة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لحقوق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الإنسان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المدنيين،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أعمال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أيضا</w:t>
      </w:r>
      <w:r w:rsidR="004C3FDA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تدرج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ضمانات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المحاكمة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العادلة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المحاكم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العسكرية،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يشمل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توفير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التمثيل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القانوني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المتهمين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ومنحهم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الاستئناف.</w:t>
      </w:r>
    </w:p>
    <w:p w14:paraId="66BD955F" w14:textId="33B67B6D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عقوبة</w:t>
      </w:r>
      <w:r w:rsidRPr="00835005">
        <w:rPr>
          <w:rtl/>
        </w:rPr>
        <w:t xml:space="preserve"> </w:t>
      </w:r>
      <w:r w:rsidRPr="00835005">
        <w:rPr>
          <w:rtl/>
        </w:rPr>
        <w:t>الإعدام</w:t>
      </w:r>
    </w:p>
    <w:p w14:paraId="3FF4E3AB" w14:textId="412AB2B8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15</w:t>
      </w:r>
      <w:r w:rsidRPr="004A054C">
        <w:rPr>
          <w:rtl/>
        </w:rPr>
        <w:t>-</w:t>
      </w:r>
      <w:r w:rsidRPr="004A054C">
        <w:rPr>
          <w:rtl/>
        </w:rPr>
        <w:tab/>
        <w:t>تلاحظ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</w:t>
      </w:r>
      <w:r w:rsidRPr="004A054C">
        <w:rPr>
          <w:rtl/>
        </w:rPr>
        <w:t xml:space="preserve"> </w:t>
      </w:r>
      <w:r w:rsidRPr="004A054C">
        <w:rPr>
          <w:rtl/>
        </w:rPr>
        <w:t>تلغ</w:t>
      </w:r>
      <w:r w:rsidRPr="004A054C">
        <w:rPr>
          <w:rtl/>
        </w:rPr>
        <w:t xml:space="preserve"> </w:t>
      </w:r>
      <w:r w:rsidRPr="004A054C">
        <w:rPr>
          <w:rtl/>
        </w:rPr>
        <w:t>عقوبة</w:t>
      </w:r>
      <w:r w:rsidRPr="004A054C">
        <w:rPr>
          <w:rtl/>
        </w:rPr>
        <w:t xml:space="preserve"> </w:t>
      </w:r>
      <w:r w:rsidRPr="004A054C">
        <w:rPr>
          <w:rtl/>
        </w:rPr>
        <w:t>الإعدام.</w:t>
      </w:r>
      <w:r w:rsidRPr="004A054C">
        <w:rPr>
          <w:rtl/>
        </w:rPr>
        <w:t xml:space="preserve"> </w:t>
      </w:r>
      <w:r w:rsidRPr="004A054C">
        <w:rPr>
          <w:rtl/>
        </w:rPr>
        <w:t>وتعرب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لعدم</w:t>
      </w:r>
      <w:r w:rsidRPr="004A054C">
        <w:rPr>
          <w:rtl/>
        </w:rPr>
        <w:t xml:space="preserve"> </w:t>
      </w:r>
      <w:r w:rsidRPr="004A054C">
        <w:rPr>
          <w:rtl/>
        </w:rPr>
        <w:t>وجود</w:t>
      </w:r>
      <w:r w:rsidRPr="004A054C">
        <w:rPr>
          <w:rtl/>
        </w:rPr>
        <w:t xml:space="preserve"> </w:t>
      </w:r>
      <w:r w:rsidRPr="004A054C">
        <w:rPr>
          <w:rtl/>
        </w:rPr>
        <w:t>معلومات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عدد</w:t>
      </w:r>
      <w:r w:rsidRPr="004A054C">
        <w:rPr>
          <w:rtl/>
        </w:rPr>
        <w:t xml:space="preserve"> </w:t>
      </w:r>
      <w:r w:rsidRPr="004A054C">
        <w:rPr>
          <w:rtl/>
        </w:rPr>
        <w:t>السجناء</w:t>
      </w:r>
      <w:r w:rsidRPr="004A054C">
        <w:rPr>
          <w:rtl/>
        </w:rPr>
        <w:t xml:space="preserve"> </w:t>
      </w:r>
      <w:r w:rsidRPr="004A054C">
        <w:rPr>
          <w:rtl/>
        </w:rPr>
        <w:t>المحكوم</w:t>
      </w:r>
      <w:r w:rsidRPr="004A054C">
        <w:rPr>
          <w:rtl/>
        </w:rPr>
        <w:t xml:space="preserve"> </w:t>
      </w:r>
      <w:r w:rsidRPr="004A054C">
        <w:rPr>
          <w:rtl/>
        </w:rPr>
        <w:t>عليهم</w:t>
      </w:r>
      <w:r w:rsidRPr="004A054C">
        <w:rPr>
          <w:rtl/>
        </w:rPr>
        <w:t xml:space="preserve"> </w:t>
      </w:r>
      <w:r w:rsidRPr="004A054C">
        <w:rPr>
          <w:rtl/>
        </w:rPr>
        <w:t>بالإعدام،</w:t>
      </w:r>
      <w:r w:rsidRPr="004A054C">
        <w:rPr>
          <w:rtl/>
        </w:rPr>
        <w:t xml:space="preserve"> </w:t>
      </w:r>
      <w:r w:rsidRPr="004A054C">
        <w:rPr>
          <w:rtl/>
        </w:rPr>
        <w:t>وعن</w:t>
      </w:r>
      <w:r w:rsidRPr="004A054C">
        <w:rPr>
          <w:rtl/>
        </w:rPr>
        <w:t xml:space="preserve"> </w:t>
      </w:r>
      <w:r w:rsidRPr="004A054C">
        <w:rPr>
          <w:rtl/>
        </w:rPr>
        <w:t>متوسط</w:t>
      </w:r>
      <w:r w:rsidRPr="004A054C">
        <w:rPr>
          <w:rtl/>
        </w:rPr>
        <w:t xml:space="preserve"> </w:t>
      </w:r>
      <w:r w:rsidRPr="004A054C">
        <w:rPr>
          <w:rtl/>
        </w:rPr>
        <w:t>المدة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يقضونها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جناح</w:t>
      </w:r>
      <w:r w:rsidRPr="004A054C">
        <w:rPr>
          <w:rtl/>
        </w:rPr>
        <w:t xml:space="preserve"> </w:t>
      </w:r>
      <w:r w:rsidRPr="004A054C">
        <w:rPr>
          <w:rtl/>
        </w:rPr>
        <w:t>المحكوم</w:t>
      </w:r>
      <w:r w:rsidRPr="004A054C">
        <w:rPr>
          <w:rtl/>
        </w:rPr>
        <w:t xml:space="preserve"> </w:t>
      </w:r>
      <w:r w:rsidRPr="004A054C">
        <w:rPr>
          <w:rtl/>
        </w:rPr>
        <w:t>عليهم</w:t>
      </w:r>
      <w:r w:rsidRPr="004A054C">
        <w:rPr>
          <w:rtl/>
        </w:rPr>
        <w:t xml:space="preserve"> </w:t>
      </w:r>
      <w:r w:rsidRPr="004A054C">
        <w:rPr>
          <w:rtl/>
        </w:rPr>
        <w:t>بالإعدام،</w:t>
      </w:r>
      <w:r w:rsidRPr="004A054C">
        <w:rPr>
          <w:rtl/>
        </w:rPr>
        <w:t xml:space="preserve"> </w:t>
      </w:r>
      <w:r w:rsidRPr="004A054C">
        <w:rPr>
          <w:rtl/>
        </w:rPr>
        <w:t>وعن</w:t>
      </w:r>
      <w:r w:rsidRPr="004A054C">
        <w:rPr>
          <w:rtl/>
        </w:rPr>
        <w:t xml:space="preserve"> </w:t>
      </w:r>
      <w:r w:rsidRPr="004A054C">
        <w:rPr>
          <w:rtl/>
        </w:rPr>
        <w:t>الأحكام</w:t>
      </w:r>
      <w:r w:rsidRPr="004A054C">
        <w:rPr>
          <w:rtl/>
        </w:rPr>
        <w:t xml:space="preserve"> </w:t>
      </w:r>
      <w:r w:rsidRPr="004A054C">
        <w:rPr>
          <w:rtl/>
        </w:rPr>
        <w:t>القانونية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تسمح</w:t>
      </w:r>
      <w:r w:rsidRPr="004A054C">
        <w:rPr>
          <w:rtl/>
        </w:rPr>
        <w:t xml:space="preserve"> </w:t>
      </w:r>
      <w:r w:rsidRPr="004A054C">
        <w:rPr>
          <w:rtl/>
        </w:rPr>
        <w:t>بعقوبة</w:t>
      </w:r>
      <w:r w:rsidRPr="004A054C">
        <w:rPr>
          <w:rtl/>
        </w:rPr>
        <w:t xml:space="preserve"> </w:t>
      </w:r>
      <w:r w:rsidRPr="004A054C">
        <w:rPr>
          <w:rtl/>
        </w:rPr>
        <w:t>الإعدام.</w:t>
      </w:r>
      <w:r w:rsidRPr="004A054C">
        <w:rPr>
          <w:rtl/>
        </w:rPr>
        <w:t xml:space="preserve"> </w:t>
      </w:r>
      <w:r w:rsidRPr="004A054C">
        <w:rPr>
          <w:rtl/>
        </w:rPr>
        <w:t>وتحيط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قدمه</w:t>
      </w:r>
      <w:r w:rsidRPr="004A054C">
        <w:rPr>
          <w:rtl/>
        </w:rPr>
        <w:t xml:space="preserve"> </w:t>
      </w:r>
      <w:r w:rsidRPr="004A054C">
        <w:rPr>
          <w:rtl/>
        </w:rPr>
        <w:t>الوفد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تأكيدات</w:t>
      </w:r>
      <w:r w:rsidRPr="004A054C">
        <w:rPr>
          <w:rtl/>
        </w:rPr>
        <w:t xml:space="preserve"> </w:t>
      </w:r>
      <w:r w:rsidRPr="004A054C">
        <w:rPr>
          <w:rtl/>
        </w:rPr>
        <w:t>مفادها</w:t>
      </w:r>
      <w:r w:rsidRPr="004A054C">
        <w:rPr>
          <w:rtl/>
        </w:rPr>
        <w:t xml:space="preserve"> </w:t>
      </w:r>
      <w:r w:rsidRPr="004A054C">
        <w:rPr>
          <w:rtl/>
        </w:rPr>
        <w:t>أنه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Pr="004A054C">
        <w:rPr>
          <w:rtl/>
        </w:rPr>
        <w:t xml:space="preserve"> </w:t>
      </w:r>
      <w:r w:rsidRPr="004A054C">
        <w:rPr>
          <w:rtl/>
        </w:rPr>
        <w:t>وجود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الصومال</w:t>
      </w:r>
      <w:r w:rsidRPr="004A054C">
        <w:rPr>
          <w:rtl/>
        </w:rPr>
        <w:t xml:space="preserve"> </w:t>
      </w:r>
      <w:r w:rsidRPr="004A054C">
        <w:rPr>
          <w:rtl/>
        </w:rPr>
        <w:t>لعمليات</w:t>
      </w:r>
      <w:r w:rsidRPr="004A054C">
        <w:rPr>
          <w:rtl/>
        </w:rPr>
        <w:t xml:space="preserve"> </w:t>
      </w:r>
      <w:r w:rsidRPr="004A054C">
        <w:rPr>
          <w:rtl/>
        </w:rPr>
        <w:t>إعدام</w:t>
      </w:r>
      <w:r w:rsidRPr="004A054C">
        <w:rPr>
          <w:rtl/>
        </w:rPr>
        <w:t xml:space="preserve"> </w:t>
      </w:r>
      <w:r w:rsidRPr="004A054C">
        <w:rPr>
          <w:rtl/>
        </w:rPr>
        <w:t>لأشخاص</w:t>
      </w:r>
      <w:r w:rsidRPr="004A054C">
        <w:rPr>
          <w:rtl/>
        </w:rPr>
        <w:t xml:space="preserve"> </w:t>
      </w:r>
      <w:r w:rsidRPr="004A054C">
        <w:rPr>
          <w:rtl/>
        </w:rPr>
        <w:t>تقل</w:t>
      </w:r>
      <w:r w:rsidRPr="004A054C">
        <w:rPr>
          <w:rtl/>
        </w:rPr>
        <w:t xml:space="preserve"> </w:t>
      </w:r>
      <w:r w:rsidRPr="004A054C">
        <w:rPr>
          <w:rtl/>
        </w:rPr>
        <w:t>أعمارهم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835005">
        <w:rPr>
          <w:rtl/>
        </w:rPr>
        <w:t>18</w:t>
      </w:r>
      <w:r w:rsidRPr="004A054C">
        <w:rPr>
          <w:rtl/>
        </w:rPr>
        <w:t xml:space="preserve"> </w:t>
      </w:r>
      <w:r w:rsidRPr="004A054C">
        <w:rPr>
          <w:rtl/>
        </w:rPr>
        <w:t>سنة</w:t>
      </w:r>
      <w:r w:rsidRPr="004A054C">
        <w:rPr>
          <w:rtl/>
        </w:rPr>
        <w:t xml:space="preserve"> </w:t>
      </w:r>
      <w:r w:rsidRPr="004A054C">
        <w:rPr>
          <w:rtl/>
        </w:rPr>
        <w:t>ولأفراد</w:t>
      </w:r>
      <w:r w:rsidRPr="004A054C">
        <w:rPr>
          <w:rtl/>
        </w:rPr>
        <w:t xml:space="preserve"> </w:t>
      </w:r>
      <w:r w:rsidRPr="004A054C">
        <w:rPr>
          <w:rtl/>
        </w:rPr>
        <w:t>مدانين</w:t>
      </w:r>
      <w:r w:rsidRPr="004A054C">
        <w:rPr>
          <w:rtl/>
        </w:rPr>
        <w:t xml:space="preserve"> </w:t>
      </w:r>
      <w:r w:rsidRPr="004A054C">
        <w:rPr>
          <w:rtl/>
        </w:rPr>
        <w:t>لأسباب</w:t>
      </w:r>
      <w:r w:rsidRPr="004A054C">
        <w:rPr>
          <w:rtl/>
        </w:rPr>
        <w:t xml:space="preserve"> </w:t>
      </w:r>
      <w:r w:rsidRPr="004A054C">
        <w:rPr>
          <w:rtl/>
        </w:rPr>
        <w:t>سياسية،</w:t>
      </w:r>
      <w:r w:rsidRPr="004A054C">
        <w:rPr>
          <w:rtl/>
        </w:rPr>
        <w:t xml:space="preserve"> </w:t>
      </w:r>
      <w:r w:rsidRPr="004A054C">
        <w:rPr>
          <w:rtl/>
        </w:rPr>
        <w:t>لكن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Pr="004A054C">
        <w:rPr>
          <w:rtl/>
        </w:rPr>
        <w:t xml:space="preserve"> </w:t>
      </w:r>
      <w:r w:rsidRPr="004A054C">
        <w:rPr>
          <w:rtl/>
        </w:rPr>
        <w:t>يزال</w:t>
      </w:r>
      <w:r w:rsidRPr="004A054C">
        <w:rPr>
          <w:rtl/>
        </w:rPr>
        <w:t xml:space="preserve"> </w:t>
      </w:r>
      <w:r w:rsidRPr="004A054C">
        <w:rPr>
          <w:rtl/>
        </w:rPr>
        <w:t>يساورها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الموازية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عمليات</w:t>
      </w:r>
      <w:r w:rsidRPr="004A054C">
        <w:rPr>
          <w:rtl/>
        </w:rPr>
        <w:t xml:space="preserve"> </w:t>
      </w:r>
      <w:r w:rsidRPr="004A054C">
        <w:rPr>
          <w:rtl/>
        </w:rPr>
        <w:t>الإعدام</w:t>
      </w:r>
      <w:r w:rsidRPr="004A054C">
        <w:rPr>
          <w:rtl/>
        </w:rPr>
        <w:t xml:space="preserve"> </w:t>
      </w:r>
      <w:r w:rsidRPr="004A054C">
        <w:rPr>
          <w:rtl/>
        </w:rPr>
        <w:t>تُنفّذ</w:t>
      </w:r>
      <w:r w:rsidRPr="004A054C">
        <w:rPr>
          <w:rtl/>
        </w:rPr>
        <w:t xml:space="preserve"> </w:t>
      </w:r>
      <w:r w:rsidRPr="004A054C">
        <w:rPr>
          <w:rtl/>
        </w:rPr>
        <w:t>دون</w:t>
      </w:r>
      <w:r w:rsidRPr="004A054C">
        <w:rPr>
          <w:rtl/>
        </w:rPr>
        <w:t xml:space="preserve"> </w:t>
      </w:r>
      <w:r w:rsidRPr="004A054C">
        <w:rPr>
          <w:rtl/>
        </w:rPr>
        <w:t>محاكمات</w:t>
      </w:r>
      <w:r w:rsidRPr="004A054C">
        <w:rPr>
          <w:rtl/>
        </w:rPr>
        <w:t xml:space="preserve"> </w:t>
      </w:r>
      <w:r w:rsidRPr="004A054C">
        <w:rPr>
          <w:rtl/>
        </w:rPr>
        <w:t>عادلة</w:t>
      </w:r>
      <w:r w:rsidRPr="004A054C">
        <w:rPr>
          <w:rtl/>
        </w:rPr>
        <w:t xml:space="preserve"> </w:t>
      </w:r>
      <w:r w:rsidRPr="004A054C">
        <w:rPr>
          <w:rtl/>
        </w:rPr>
        <w:t>وأن</w:t>
      </w:r>
      <w:r w:rsidRPr="004A054C">
        <w:rPr>
          <w:rtl/>
        </w:rPr>
        <w:t xml:space="preserve"> </w:t>
      </w:r>
      <w:r w:rsidRPr="004A054C">
        <w:rPr>
          <w:rtl/>
        </w:rPr>
        <w:t>التشريعات</w:t>
      </w:r>
      <w:r w:rsidRPr="004A054C">
        <w:rPr>
          <w:rtl/>
        </w:rPr>
        <w:t xml:space="preserve"> </w:t>
      </w:r>
      <w:r w:rsidRPr="004A054C">
        <w:rPr>
          <w:rtl/>
        </w:rPr>
        <w:t>تنص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عقوبة</w:t>
      </w:r>
      <w:r w:rsidRPr="004A054C">
        <w:rPr>
          <w:rtl/>
        </w:rPr>
        <w:t xml:space="preserve"> </w:t>
      </w:r>
      <w:r w:rsidRPr="004A054C">
        <w:rPr>
          <w:rtl/>
        </w:rPr>
        <w:t>الإعدام</w:t>
      </w:r>
      <w:r w:rsidRPr="004A054C">
        <w:rPr>
          <w:rtl/>
        </w:rPr>
        <w:t xml:space="preserve"> </w:t>
      </w:r>
      <w:r w:rsidRPr="004A054C">
        <w:rPr>
          <w:rtl/>
        </w:rPr>
        <w:t>لعدد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الجرائم،</w:t>
      </w:r>
      <w:r w:rsidR="0021607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الجرائم</w:t>
      </w:r>
      <w:r w:rsidRPr="004A054C">
        <w:rPr>
          <w:rtl/>
        </w:rPr>
        <w:t xml:space="preserve"> </w:t>
      </w:r>
      <w:r w:rsidRPr="004A054C">
        <w:rPr>
          <w:rtl/>
        </w:rPr>
        <w:t>السياسية</w:t>
      </w:r>
      <w:r w:rsidRPr="004A054C">
        <w:rPr>
          <w:rtl/>
        </w:rPr>
        <w:t xml:space="preserve"> </w:t>
      </w:r>
      <w:r w:rsidRPr="004A054C">
        <w:rPr>
          <w:rtl/>
        </w:rPr>
        <w:t>والتجسس</w:t>
      </w:r>
      <w:r w:rsidRPr="004A054C">
        <w:rPr>
          <w:rtl/>
        </w:rPr>
        <w:t xml:space="preserve"> </w:t>
      </w:r>
      <w:r w:rsidRPr="004A054C">
        <w:rPr>
          <w:rtl/>
        </w:rPr>
        <w:t>وغيرها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الأعمال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تعتبر</w:t>
      </w:r>
      <w:r w:rsidRPr="004A054C">
        <w:rPr>
          <w:rtl/>
        </w:rPr>
        <w:t xml:space="preserve"> </w:t>
      </w:r>
      <w:r w:rsidRPr="004A054C">
        <w:rPr>
          <w:rtl/>
        </w:rPr>
        <w:t>معادية</w:t>
      </w:r>
      <w:r w:rsidRPr="004A054C">
        <w:rPr>
          <w:rtl/>
        </w:rPr>
        <w:t xml:space="preserve"> </w:t>
      </w:r>
      <w:r w:rsidRPr="004A054C">
        <w:rPr>
          <w:rtl/>
        </w:rPr>
        <w:t>للدولة</w:t>
      </w:r>
      <w:r w:rsidRPr="004A054C">
        <w:rPr>
          <w:rtl/>
        </w:rPr>
        <w:t xml:space="preserve"> </w:t>
      </w:r>
      <w:r w:rsidRPr="004A054C">
        <w:rPr>
          <w:rtl/>
        </w:rPr>
        <w:t>والجرائم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تنطوي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تعريض</w:t>
      </w:r>
      <w:r w:rsidRPr="004A054C">
        <w:rPr>
          <w:rtl/>
        </w:rPr>
        <w:t xml:space="preserve"> </w:t>
      </w:r>
      <w:r w:rsidRPr="004A054C">
        <w:rPr>
          <w:rtl/>
        </w:rPr>
        <w:t>السلامة</w:t>
      </w:r>
      <w:r w:rsidRPr="004A054C">
        <w:rPr>
          <w:rtl/>
        </w:rPr>
        <w:t xml:space="preserve"> </w:t>
      </w:r>
      <w:r w:rsidRPr="004A054C">
        <w:rPr>
          <w:rtl/>
        </w:rPr>
        <w:t>العامة</w:t>
      </w:r>
      <w:r w:rsidRPr="004A054C">
        <w:rPr>
          <w:rtl/>
        </w:rPr>
        <w:t xml:space="preserve"> </w:t>
      </w:r>
      <w:r w:rsidRPr="004A054C">
        <w:rPr>
          <w:rtl/>
        </w:rPr>
        <w:t>للخطر.</w:t>
      </w:r>
      <w:r w:rsidRPr="004A054C">
        <w:rPr>
          <w:rtl/>
        </w:rPr>
        <w:t xml:space="preserve"> </w:t>
      </w:r>
      <w:r w:rsidRPr="004A054C">
        <w:rPr>
          <w:rtl/>
        </w:rPr>
        <w:t>وترحب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بتأكيدات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بأنها</w:t>
      </w:r>
      <w:r w:rsidRPr="004A054C">
        <w:rPr>
          <w:rtl/>
        </w:rPr>
        <w:t xml:space="preserve"> </w:t>
      </w:r>
      <w:r w:rsidRPr="004A054C">
        <w:rPr>
          <w:rtl/>
        </w:rPr>
        <w:t>تعتزم</w:t>
      </w:r>
      <w:r w:rsidRPr="004A054C">
        <w:rPr>
          <w:rtl/>
        </w:rPr>
        <w:t xml:space="preserve"> </w:t>
      </w:r>
      <w:r w:rsidRPr="004A054C">
        <w:rPr>
          <w:rtl/>
        </w:rPr>
        <w:t>وضع</w:t>
      </w:r>
      <w:r w:rsidRPr="004A054C">
        <w:rPr>
          <w:rtl/>
        </w:rPr>
        <w:t xml:space="preserve"> </w:t>
      </w:r>
      <w:r w:rsidRPr="004A054C">
        <w:rPr>
          <w:rtl/>
        </w:rPr>
        <w:t>حد</w:t>
      </w:r>
      <w:r w:rsidRPr="004A054C">
        <w:rPr>
          <w:rtl/>
        </w:rPr>
        <w:t xml:space="preserve"> </w:t>
      </w:r>
      <w:r w:rsidRPr="004A054C">
        <w:rPr>
          <w:rtl/>
        </w:rPr>
        <w:t>لعمليات</w:t>
      </w:r>
      <w:r w:rsidRPr="004A054C">
        <w:rPr>
          <w:rtl/>
        </w:rPr>
        <w:t xml:space="preserve"> </w:t>
      </w:r>
      <w:r w:rsidRPr="004A054C">
        <w:rPr>
          <w:rtl/>
        </w:rPr>
        <w:t>الإعدام</w:t>
      </w:r>
      <w:r w:rsidRPr="004A054C">
        <w:rPr>
          <w:rtl/>
        </w:rPr>
        <w:t xml:space="preserve"> </w:t>
      </w:r>
      <w:r w:rsidRPr="004A054C">
        <w:rPr>
          <w:rtl/>
        </w:rPr>
        <w:t>العلنية،</w:t>
      </w:r>
      <w:r w:rsidRPr="004A054C">
        <w:rPr>
          <w:rtl/>
        </w:rPr>
        <w:t xml:space="preserve"> </w:t>
      </w:r>
      <w:r w:rsidRPr="004A054C">
        <w:rPr>
          <w:rtl/>
        </w:rPr>
        <w:t>وتلاحظ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عمليات</w:t>
      </w:r>
      <w:r w:rsidRPr="004A054C">
        <w:rPr>
          <w:rtl/>
        </w:rPr>
        <w:t xml:space="preserve"> </w:t>
      </w:r>
      <w:r w:rsidRPr="004A054C">
        <w:rPr>
          <w:rtl/>
        </w:rPr>
        <w:t>الإعدام</w:t>
      </w:r>
      <w:r w:rsidRPr="004A054C">
        <w:rPr>
          <w:rtl/>
        </w:rPr>
        <w:t xml:space="preserve"> </w:t>
      </w:r>
      <w:r w:rsidRPr="004A054C">
        <w:rPr>
          <w:rtl/>
        </w:rPr>
        <w:t>هذه</w:t>
      </w:r>
      <w:r w:rsidRPr="004A054C">
        <w:rPr>
          <w:rtl/>
        </w:rPr>
        <w:t xml:space="preserve"> </w:t>
      </w:r>
      <w:r w:rsidRPr="004A054C">
        <w:rPr>
          <w:rtl/>
        </w:rPr>
        <w:t>تثير</w:t>
      </w:r>
      <w:r w:rsidRPr="004A054C">
        <w:rPr>
          <w:rtl/>
        </w:rPr>
        <w:t xml:space="preserve"> </w:t>
      </w:r>
      <w:r w:rsidRPr="004A054C">
        <w:rPr>
          <w:rtl/>
        </w:rPr>
        <w:t>مسائل</w:t>
      </w:r>
      <w:r w:rsidRPr="004A054C">
        <w:rPr>
          <w:rtl/>
        </w:rPr>
        <w:t xml:space="preserve"> </w:t>
      </w:r>
      <w:r w:rsidRPr="004A054C">
        <w:rPr>
          <w:rtl/>
        </w:rPr>
        <w:t>خطيرة</w:t>
      </w:r>
      <w:r w:rsidRPr="004A054C">
        <w:rPr>
          <w:rtl/>
        </w:rPr>
        <w:t xml:space="preserve"> </w:t>
      </w:r>
      <w:r w:rsidRPr="004A054C">
        <w:rPr>
          <w:rtl/>
        </w:rPr>
        <w:t>بموجب</w:t>
      </w:r>
      <w:r w:rsidRPr="004A054C">
        <w:rPr>
          <w:rtl/>
        </w:rPr>
        <w:t xml:space="preserve"> </w:t>
      </w:r>
      <w:r w:rsidRPr="004A054C">
        <w:rPr>
          <w:rtl/>
        </w:rPr>
        <w:t>الاتفاقية</w:t>
      </w:r>
      <w:r w:rsidRPr="004A054C">
        <w:rPr>
          <w:rtl/>
        </w:rPr>
        <w:t xml:space="preserve"> </w:t>
      </w:r>
      <w:r w:rsidRPr="004A054C">
        <w:rPr>
          <w:rtl/>
        </w:rPr>
        <w:t>(المواد</w:t>
      </w:r>
      <w:r w:rsidRPr="004A054C">
        <w:rPr>
          <w:rtl/>
        </w:rPr>
        <w:t xml:space="preserve"> </w:t>
      </w:r>
      <w:r w:rsidRPr="00835005">
        <w:rPr>
          <w:rtl/>
        </w:rPr>
        <w:t>2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11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r w:rsidR="00D40BC3" w:rsidRPr="00D40BC3">
        <w:rPr>
          <w:rtl/>
        </w:rPr>
        <w:t>).</w:t>
      </w:r>
    </w:p>
    <w:p w14:paraId="4B06D034" w14:textId="30CEE92B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16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تدعو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وقف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عمليات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الإعدام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العلنية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وجه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الاستعجال،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وفرض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وقف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اختياري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لعقوبة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الإعدام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بهدف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إلغائها،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واتخاذ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خطوات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مناسبة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لتخفيف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أحكام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الإعدام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أحكام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بالسجن.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وتدعو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النظر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التصديق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البروتوكول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الاختياري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الثاني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الملحق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بالعهد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الخاص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بالحقوق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المدنية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والسياسية،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الهادف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إلغاء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عقوبة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الإعدام،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واعتماد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تشريعية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ترمي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الإلغاء.</w:t>
      </w:r>
      <w:r w:rsidRPr="004A054C">
        <w:rPr>
          <w:rtl/>
        </w:rPr>
        <w:t xml:space="preserve"> </w:t>
      </w:r>
    </w:p>
    <w:p w14:paraId="5F6E4836" w14:textId="15056695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ادعاءات</w:t>
      </w:r>
      <w:r w:rsidRPr="00835005">
        <w:rPr>
          <w:rtl/>
        </w:rPr>
        <w:t xml:space="preserve"> </w:t>
      </w:r>
      <w:r w:rsidRPr="00835005">
        <w:rPr>
          <w:rtl/>
        </w:rPr>
        <w:t>التعذيب</w:t>
      </w:r>
      <w:r w:rsidRPr="00835005">
        <w:rPr>
          <w:rtl/>
        </w:rPr>
        <w:t xml:space="preserve"> </w:t>
      </w:r>
      <w:r w:rsidRPr="00835005">
        <w:rPr>
          <w:rtl/>
        </w:rPr>
        <w:t>وسوء</w:t>
      </w:r>
      <w:r w:rsidRPr="00835005">
        <w:rPr>
          <w:rtl/>
        </w:rPr>
        <w:t xml:space="preserve"> </w:t>
      </w:r>
      <w:r w:rsidRPr="00835005">
        <w:rPr>
          <w:rtl/>
        </w:rPr>
        <w:t>المعاملة</w:t>
      </w:r>
    </w:p>
    <w:p w14:paraId="4B306035" w14:textId="6DDF66AD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17</w:t>
      </w:r>
      <w:r w:rsidRPr="004A054C">
        <w:rPr>
          <w:rtl/>
        </w:rPr>
        <w:t>-</w:t>
      </w:r>
      <w:r w:rsidRPr="004A054C">
        <w:rPr>
          <w:rtl/>
        </w:rPr>
        <w:tab/>
        <w:t>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21607C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بإنشاء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للجنة</w:t>
      </w:r>
      <w:r w:rsidRPr="004A054C">
        <w:rPr>
          <w:rtl/>
        </w:rPr>
        <w:t xml:space="preserve"> </w:t>
      </w:r>
      <w:r w:rsidRPr="004A054C">
        <w:rPr>
          <w:rtl/>
        </w:rPr>
        <w:t>مراقبة</w:t>
      </w:r>
      <w:r w:rsidRPr="004A054C">
        <w:rPr>
          <w:rtl/>
        </w:rPr>
        <w:t xml:space="preserve"> </w:t>
      </w:r>
      <w:r w:rsidRPr="004A054C">
        <w:rPr>
          <w:rtl/>
        </w:rPr>
        <w:t>الشرطة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أجل</w:t>
      </w:r>
      <w:r w:rsidRPr="004A054C">
        <w:rPr>
          <w:rtl/>
        </w:rPr>
        <w:t xml:space="preserve"> </w:t>
      </w:r>
      <w:r w:rsidRPr="004A054C">
        <w:rPr>
          <w:rtl/>
        </w:rPr>
        <w:t>التحقيق</w:t>
      </w:r>
      <w:r w:rsidRPr="004A054C">
        <w:rPr>
          <w:rtl/>
        </w:rPr>
        <w:t xml:space="preserve"> </w:t>
      </w:r>
      <w:r w:rsidRPr="004A054C">
        <w:rPr>
          <w:rtl/>
        </w:rPr>
        <w:t>فيما</w:t>
      </w:r>
      <w:r w:rsidRPr="004A054C">
        <w:rPr>
          <w:rtl/>
        </w:rPr>
        <w:t xml:space="preserve"> </w:t>
      </w:r>
      <w:r w:rsidRPr="004A054C">
        <w:rPr>
          <w:rtl/>
        </w:rPr>
        <w:t>يرتكبه</w:t>
      </w:r>
      <w:r w:rsidRPr="004A054C">
        <w:rPr>
          <w:rtl/>
        </w:rPr>
        <w:t xml:space="preserve"> </w:t>
      </w:r>
      <w:r w:rsidRPr="004A054C">
        <w:rPr>
          <w:rtl/>
        </w:rPr>
        <w:t>ضباط</w:t>
      </w:r>
      <w:r w:rsidRPr="004A054C">
        <w:rPr>
          <w:rtl/>
        </w:rPr>
        <w:t xml:space="preserve"> </w:t>
      </w:r>
      <w:r w:rsidRPr="004A054C">
        <w:rPr>
          <w:rtl/>
        </w:rPr>
        <w:t>الشرطة</w:t>
      </w:r>
      <w:r w:rsidRPr="004A054C">
        <w:rPr>
          <w:rtl/>
        </w:rPr>
        <w:t xml:space="preserve"> </w:t>
      </w:r>
      <w:r w:rsidRPr="004A054C">
        <w:rPr>
          <w:rtl/>
        </w:rPr>
        <w:t>والمحققون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تجاوزات،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التعذيب.</w:t>
      </w:r>
      <w:r w:rsidRPr="004A054C">
        <w:rPr>
          <w:rtl/>
        </w:rPr>
        <w:t xml:space="preserve"> </w:t>
      </w:r>
      <w:r w:rsidRPr="004A054C">
        <w:rPr>
          <w:rtl/>
        </w:rPr>
        <w:t>ومع</w:t>
      </w:r>
      <w:r w:rsidRPr="004A054C">
        <w:rPr>
          <w:rtl/>
        </w:rPr>
        <w:t xml:space="preserve"> </w:t>
      </w:r>
      <w:r w:rsidRPr="004A054C">
        <w:rPr>
          <w:rtl/>
        </w:rPr>
        <w:t>ذلك،</w:t>
      </w:r>
      <w:r w:rsidRPr="004A054C">
        <w:rPr>
          <w:rtl/>
        </w:rPr>
        <w:t xml:space="preserve"> </w:t>
      </w:r>
      <w:r w:rsidRPr="004A054C">
        <w:rPr>
          <w:rtl/>
        </w:rPr>
        <w:t>يساورها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استمرار</w:t>
      </w:r>
      <w:r w:rsidRPr="004A054C">
        <w:rPr>
          <w:rtl/>
        </w:rPr>
        <w:t xml:space="preserve"> </w:t>
      </w:r>
      <w:r w:rsidRPr="004A054C">
        <w:rPr>
          <w:rtl/>
        </w:rPr>
        <w:t>ورود</w:t>
      </w:r>
      <w:r w:rsidRPr="004A054C">
        <w:rPr>
          <w:rtl/>
        </w:rPr>
        <w:t xml:space="preserve"> </w:t>
      </w:r>
      <w:r w:rsidRPr="004A054C">
        <w:rPr>
          <w:rtl/>
        </w:rPr>
        <w:t>تقارير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وحشية</w:t>
      </w:r>
      <w:r w:rsidRPr="004A054C">
        <w:rPr>
          <w:rtl/>
        </w:rPr>
        <w:t xml:space="preserve"> </w:t>
      </w:r>
      <w:r w:rsidRPr="004A054C">
        <w:rPr>
          <w:rtl/>
        </w:rPr>
        <w:t>الشرطة</w:t>
      </w:r>
      <w:r w:rsidRPr="004A054C">
        <w:rPr>
          <w:rtl/>
        </w:rPr>
        <w:t xml:space="preserve"> </w:t>
      </w:r>
      <w:r w:rsidRPr="004A054C">
        <w:rPr>
          <w:rtl/>
        </w:rPr>
        <w:t>واستخدامها</w:t>
      </w:r>
      <w:r w:rsidRPr="004A054C">
        <w:rPr>
          <w:rtl/>
        </w:rPr>
        <w:t xml:space="preserve"> </w:t>
      </w:r>
      <w:r w:rsidRPr="004A054C">
        <w:rPr>
          <w:rtl/>
        </w:rPr>
        <w:t>المفرط</w:t>
      </w:r>
      <w:r w:rsidRPr="004A054C">
        <w:rPr>
          <w:rtl/>
        </w:rPr>
        <w:t xml:space="preserve"> </w:t>
      </w:r>
      <w:r w:rsidRPr="004A054C">
        <w:rPr>
          <w:rtl/>
        </w:rPr>
        <w:t>للقوة،</w:t>
      </w:r>
      <w:r w:rsidRPr="004A054C">
        <w:rPr>
          <w:rtl/>
        </w:rPr>
        <w:t xml:space="preserve"> </w:t>
      </w:r>
      <w:r w:rsidRPr="004A054C">
        <w:rPr>
          <w:rtl/>
        </w:rPr>
        <w:t>والتهديدات،</w:t>
      </w:r>
      <w:r w:rsidRPr="004A054C">
        <w:rPr>
          <w:rtl/>
        </w:rPr>
        <w:t xml:space="preserve"> </w:t>
      </w:r>
      <w:r w:rsidRPr="004A054C">
        <w:rPr>
          <w:rtl/>
        </w:rPr>
        <w:t>والمضايقات،</w:t>
      </w:r>
      <w:r w:rsidRPr="004A054C">
        <w:rPr>
          <w:rtl/>
        </w:rPr>
        <w:t xml:space="preserve"> </w:t>
      </w:r>
      <w:r w:rsidRPr="004A054C">
        <w:rPr>
          <w:rtl/>
        </w:rPr>
        <w:t>والاعتقالات</w:t>
      </w:r>
      <w:r w:rsidRPr="004A054C">
        <w:rPr>
          <w:rtl/>
        </w:rPr>
        <w:t xml:space="preserve"> </w:t>
      </w:r>
      <w:r w:rsidRPr="004A054C">
        <w:rPr>
          <w:rtl/>
        </w:rPr>
        <w:t>التعسفية،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="0021607C">
        <w:rPr>
          <w:rFonts w:hint="cs"/>
          <w:rtl/>
        </w:rPr>
        <w:t> </w:t>
      </w:r>
      <w:r w:rsidRPr="004A054C">
        <w:rPr>
          <w:rtl/>
        </w:rPr>
        <w:t>سيما</w:t>
      </w:r>
      <w:r w:rsidRPr="004A054C">
        <w:rPr>
          <w:rtl/>
        </w:rPr>
        <w:t xml:space="preserve"> </w:t>
      </w:r>
      <w:r w:rsidRPr="004A054C">
        <w:rPr>
          <w:rtl/>
        </w:rPr>
        <w:t>ضد</w:t>
      </w:r>
      <w:r w:rsidRPr="004A054C">
        <w:rPr>
          <w:rtl/>
        </w:rPr>
        <w:t xml:space="preserve"> </w:t>
      </w:r>
      <w:r w:rsidRPr="004A054C">
        <w:rPr>
          <w:rtl/>
        </w:rPr>
        <w:t>المشتبه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ارتكابهم</w:t>
      </w:r>
      <w:r w:rsidRPr="004A054C">
        <w:rPr>
          <w:rtl/>
        </w:rPr>
        <w:t xml:space="preserve"> </w:t>
      </w:r>
      <w:r w:rsidRPr="004A054C">
        <w:rPr>
          <w:rtl/>
        </w:rPr>
        <w:t>أعمالا</w:t>
      </w:r>
      <w:r w:rsidR="0021607C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إرهابية</w:t>
      </w:r>
      <w:r w:rsidRPr="004A054C">
        <w:rPr>
          <w:rtl/>
        </w:rPr>
        <w:t xml:space="preserve"> </w:t>
      </w:r>
      <w:r w:rsidRPr="004A054C">
        <w:rPr>
          <w:rtl/>
        </w:rPr>
        <w:t>والمدافعين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حقوق</w:t>
      </w:r>
      <w:r w:rsidRPr="004A054C">
        <w:rPr>
          <w:rtl/>
        </w:rPr>
        <w:t xml:space="preserve"> </w:t>
      </w:r>
      <w:r w:rsidRPr="004A054C">
        <w:rPr>
          <w:rtl/>
        </w:rPr>
        <w:t>الإنسان</w:t>
      </w:r>
      <w:r w:rsidRPr="004A054C">
        <w:rPr>
          <w:rtl/>
        </w:rPr>
        <w:t xml:space="preserve"> </w:t>
      </w:r>
      <w:r w:rsidRPr="004A054C">
        <w:rPr>
          <w:rtl/>
        </w:rPr>
        <w:t>والصحفيين.</w:t>
      </w:r>
      <w:r w:rsidRPr="004A054C">
        <w:rPr>
          <w:rtl/>
        </w:rPr>
        <w:t xml:space="preserve"> </w:t>
      </w:r>
      <w:r w:rsidRPr="004A054C">
        <w:rPr>
          <w:rtl/>
        </w:rPr>
        <w:t>وتأسف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لعدم</w:t>
      </w:r>
      <w:r w:rsidRPr="004A054C">
        <w:rPr>
          <w:rtl/>
        </w:rPr>
        <w:t xml:space="preserve"> </w:t>
      </w:r>
      <w:r w:rsidRPr="004A054C">
        <w:rPr>
          <w:rtl/>
        </w:rPr>
        <w:t>تمكن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تقديم</w:t>
      </w:r>
      <w:r w:rsidRPr="004A054C">
        <w:rPr>
          <w:rtl/>
        </w:rPr>
        <w:t xml:space="preserve"> </w:t>
      </w:r>
      <w:r w:rsidRPr="004A054C">
        <w:rPr>
          <w:rtl/>
        </w:rPr>
        <w:t>إجابات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الأسئلة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طرحتها</w:t>
      </w:r>
      <w:r w:rsidRPr="004A054C">
        <w:rPr>
          <w:rtl/>
        </w:rPr>
        <w:t xml:space="preserve"> </w:t>
      </w:r>
      <w:r w:rsidRPr="004A054C">
        <w:rPr>
          <w:rtl/>
        </w:rPr>
        <w:t>بشأن</w:t>
      </w:r>
      <w:r w:rsidRPr="004A054C">
        <w:rPr>
          <w:rtl/>
        </w:rPr>
        <w:t xml:space="preserve"> </w:t>
      </w:r>
      <w:r w:rsidRPr="004A054C">
        <w:rPr>
          <w:rtl/>
        </w:rPr>
        <w:t>الشروط</w:t>
      </w:r>
      <w:r w:rsidRPr="004A054C">
        <w:rPr>
          <w:rtl/>
        </w:rPr>
        <w:t xml:space="preserve"> </w:t>
      </w:r>
      <w:r w:rsidRPr="004A054C">
        <w:rPr>
          <w:rtl/>
        </w:rPr>
        <w:t>اللازمة</w:t>
      </w:r>
      <w:r w:rsidRPr="004A054C">
        <w:rPr>
          <w:rtl/>
        </w:rPr>
        <w:t xml:space="preserve"> </w:t>
      </w:r>
      <w:r w:rsidRPr="004A054C">
        <w:rPr>
          <w:rtl/>
        </w:rPr>
        <w:t>للجنة</w:t>
      </w:r>
      <w:r w:rsidRPr="004A054C">
        <w:rPr>
          <w:rtl/>
        </w:rPr>
        <w:t xml:space="preserve"> </w:t>
      </w:r>
      <w:r w:rsidRPr="004A054C">
        <w:rPr>
          <w:rtl/>
        </w:rPr>
        <w:t>مراقبة</w:t>
      </w:r>
      <w:r w:rsidRPr="004A054C">
        <w:rPr>
          <w:rtl/>
        </w:rPr>
        <w:t xml:space="preserve"> </w:t>
      </w:r>
      <w:r w:rsidRPr="004A054C">
        <w:rPr>
          <w:rtl/>
        </w:rPr>
        <w:t>الشرطة</w:t>
      </w:r>
      <w:r w:rsidRPr="004A054C">
        <w:rPr>
          <w:rtl/>
        </w:rPr>
        <w:t xml:space="preserve"> </w:t>
      </w:r>
      <w:r w:rsidRPr="004A054C">
        <w:rPr>
          <w:rtl/>
        </w:rPr>
        <w:t>حتى</w:t>
      </w:r>
      <w:r w:rsidRPr="004A054C">
        <w:rPr>
          <w:rtl/>
        </w:rPr>
        <w:t xml:space="preserve"> </w:t>
      </w:r>
      <w:r w:rsidRPr="004A054C">
        <w:rPr>
          <w:rtl/>
        </w:rPr>
        <w:t>تشرع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إجراء</w:t>
      </w:r>
      <w:r w:rsidRPr="004A054C">
        <w:rPr>
          <w:rtl/>
        </w:rPr>
        <w:t xml:space="preserve"> </w:t>
      </w:r>
      <w:r w:rsidRPr="004A054C">
        <w:rPr>
          <w:rtl/>
        </w:rPr>
        <w:t>تحقيقات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حالات</w:t>
      </w:r>
      <w:r w:rsidRPr="004A054C">
        <w:rPr>
          <w:rtl/>
        </w:rPr>
        <w:t xml:space="preserve"> </w:t>
      </w:r>
      <w:r w:rsidRPr="004A054C">
        <w:rPr>
          <w:rtl/>
        </w:rPr>
        <w:t>التعذيب،</w:t>
      </w:r>
      <w:r w:rsidRPr="004A054C">
        <w:rPr>
          <w:rtl/>
        </w:rPr>
        <w:t xml:space="preserve"> </w:t>
      </w:r>
      <w:r w:rsidRPr="004A054C">
        <w:rPr>
          <w:rtl/>
        </w:rPr>
        <w:t>وعدد</w:t>
      </w:r>
      <w:r w:rsidRPr="004A054C">
        <w:rPr>
          <w:rtl/>
        </w:rPr>
        <w:t xml:space="preserve"> </w:t>
      </w:r>
      <w:r w:rsidRPr="004A054C">
        <w:rPr>
          <w:rtl/>
        </w:rPr>
        <w:t>الحالات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حُقِّق</w:t>
      </w:r>
      <w:r w:rsidRPr="004A054C">
        <w:rPr>
          <w:rtl/>
        </w:rPr>
        <w:t xml:space="preserve"> </w:t>
      </w:r>
      <w:r w:rsidRPr="004A054C">
        <w:rPr>
          <w:rtl/>
        </w:rPr>
        <w:t>فيها،</w:t>
      </w:r>
      <w:r w:rsidRPr="004A054C">
        <w:rPr>
          <w:rtl/>
        </w:rPr>
        <w:t xml:space="preserve"> </w:t>
      </w:r>
      <w:r w:rsidRPr="004A054C">
        <w:rPr>
          <w:rtl/>
        </w:rPr>
        <w:t>والموارد</w:t>
      </w:r>
      <w:r w:rsidRPr="004A054C">
        <w:rPr>
          <w:rtl/>
        </w:rPr>
        <w:t xml:space="preserve"> </w:t>
      </w:r>
      <w:r w:rsidRPr="004A054C">
        <w:rPr>
          <w:rtl/>
        </w:rPr>
        <w:t>البشرية</w:t>
      </w:r>
      <w:r w:rsidRPr="004A054C">
        <w:rPr>
          <w:rtl/>
        </w:rPr>
        <w:t xml:space="preserve"> </w:t>
      </w:r>
      <w:r w:rsidRPr="004A054C">
        <w:rPr>
          <w:rtl/>
        </w:rPr>
        <w:t>وموارد</w:t>
      </w:r>
      <w:r w:rsidRPr="004A054C">
        <w:rPr>
          <w:rtl/>
        </w:rPr>
        <w:t xml:space="preserve"> </w:t>
      </w:r>
      <w:r w:rsidRPr="004A054C">
        <w:rPr>
          <w:rtl/>
        </w:rPr>
        <w:t>الميزانية</w:t>
      </w:r>
      <w:r w:rsidRPr="004A054C">
        <w:rPr>
          <w:rtl/>
        </w:rPr>
        <w:t xml:space="preserve"> </w:t>
      </w:r>
      <w:r w:rsidRPr="004A054C">
        <w:rPr>
          <w:rtl/>
        </w:rPr>
        <w:t>المخصصة</w:t>
      </w:r>
      <w:r w:rsidRPr="004A054C">
        <w:rPr>
          <w:rtl/>
        </w:rPr>
        <w:t xml:space="preserve"> </w:t>
      </w:r>
      <w:r w:rsidRPr="004A054C">
        <w:rPr>
          <w:rtl/>
        </w:rPr>
        <w:t>للجنة</w:t>
      </w:r>
      <w:r w:rsidRPr="004A054C">
        <w:rPr>
          <w:rtl/>
        </w:rPr>
        <w:t xml:space="preserve"> </w:t>
      </w:r>
      <w:r w:rsidRPr="004A054C">
        <w:rPr>
          <w:rtl/>
        </w:rPr>
        <w:t>مراقبة</w:t>
      </w:r>
      <w:r w:rsidRPr="004A054C">
        <w:rPr>
          <w:rtl/>
        </w:rPr>
        <w:t xml:space="preserve"> </w:t>
      </w:r>
      <w:r w:rsidRPr="004A054C">
        <w:rPr>
          <w:rtl/>
        </w:rPr>
        <w:t>الشرطة،</w:t>
      </w:r>
      <w:r w:rsidRPr="004A054C">
        <w:rPr>
          <w:rtl/>
        </w:rPr>
        <w:t xml:space="preserve"> </w:t>
      </w:r>
      <w:r w:rsidRPr="004A054C">
        <w:rPr>
          <w:rtl/>
        </w:rPr>
        <w:t>وطريقة</w:t>
      </w:r>
      <w:r w:rsidRPr="004A054C">
        <w:rPr>
          <w:rtl/>
        </w:rPr>
        <w:t xml:space="preserve"> </w:t>
      </w:r>
      <w:r w:rsidRPr="004A054C">
        <w:rPr>
          <w:rtl/>
        </w:rPr>
        <w:t>تنسيق</w:t>
      </w:r>
      <w:r w:rsidRPr="004A054C">
        <w:rPr>
          <w:rtl/>
        </w:rPr>
        <w:t xml:space="preserve"> </w:t>
      </w:r>
      <w:r w:rsidRPr="004A054C">
        <w:rPr>
          <w:rtl/>
        </w:rPr>
        <w:t>ولايتها</w:t>
      </w:r>
      <w:r w:rsidRPr="004A054C">
        <w:rPr>
          <w:rtl/>
        </w:rPr>
        <w:t xml:space="preserve"> </w:t>
      </w:r>
      <w:r w:rsidRPr="004A054C">
        <w:rPr>
          <w:rtl/>
        </w:rPr>
        <w:t>مع</w:t>
      </w:r>
      <w:r w:rsidRPr="004A054C">
        <w:rPr>
          <w:rtl/>
        </w:rPr>
        <w:t xml:space="preserve"> </w:t>
      </w:r>
      <w:r w:rsidRPr="004A054C">
        <w:rPr>
          <w:rtl/>
        </w:rPr>
        <w:t>ولاية</w:t>
      </w:r>
      <w:r w:rsidRPr="004A054C">
        <w:rPr>
          <w:rtl/>
        </w:rPr>
        <w:t xml:space="preserve"> </w:t>
      </w:r>
      <w:r w:rsidRPr="004A054C">
        <w:rPr>
          <w:rtl/>
        </w:rPr>
        <w:t>المدعي</w:t>
      </w:r>
      <w:r w:rsidRPr="004A054C">
        <w:rPr>
          <w:rtl/>
        </w:rPr>
        <w:t xml:space="preserve"> </w:t>
      </w:r>
      <w:r w:rsidRPr="004A054C">
        <w:rPr>
          <w:rtl/>
        </w:rPr>
        <w:t>العام</w:t>
      </w:r>
      <w:r w:rsidRPr="004A054C">
        <w:rPr>
          <w:rtl/>
        </w:rPr>
        <w:t xml:space="preserve"> </w:t>
      </w:r>
      <w:r w:rsidRPr="004A054C">
        <w:rPr>
          <w:rtl/>
        </w:rPr>
        <w:t>للدولة</w:t>
      </w:r>
      <w:r w:rsidRPr="004A054C">
        <w:rPr>
          <w:rtl/>
        </w:rPr>
        <w:t xml:space="preserve"> </w:t>
      </w:r>
      <w:r w:rsidRPr="004A054C">
        <w:rPr>
          <w:rtl/>
        </w:rPr>
        <w:t>(المادتان</w:t>
      </w:r>
      <w:r w:rsidRPr="004A054C">
        <w:rPr>
          <w:rtl/>
        </w:rPr>
        <w:t xml:space="preserve"> </w:t>
      </w:r>
      <w:r w:rsidRPr="00835005">
        <w:rPr>
          <w:rtl/>
        </w:rPr>
        <w:t>12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</w:t>
      </w:r>
      <w:r w:rsidR="00D40BC3" w:rsidRPr="00835005">
        <w:rPr>
          <w:rtl/>
        </w:rPr>
        <w:t>3</w:t>
      </w:r>
      <w:r w:rsidR="00D40BC3" w:rsidRPr="00D40BC3">
        <w:rPr>
          <w:rtl/>
        </w:rPr>
        <w:t>).</w:t>
      </w:r>
    </w:p>
    <w:p w14:paraId="1E528E46" w14:textId="571B9FFC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18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القيام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يلي</w:t>
      </w:r>
      <w:r w:rsidR="00142229" w:rsidRPr="00835005">
        <w:rPr>
          <w:b/>
          <w:bCs/>
          <w:rtl/>
        </w:rPr>
        <w:t>:</w:t>
      </w:r>
      <w:r w:rsidRPr="004A054C">
        <w:rPr>
          <w:rtl/>
        </w:rPr>
        <w:t xml:space="preserve"> </w:t>
      </w:r>
    </w:p>
    <w:p w14:paraId="6028CFF8" w14:textId="4A56F37D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(أ)</w:t>
      </w:r>
      <w:r w:rsidRPr="004A054C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إجراء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تحقيق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فوري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ونزيه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أعمال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الاستخدام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المفرط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للقوة،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ومحاكمة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الجناة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المشتبه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النحو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الواجب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ومعاقبتهم،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ثبتت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إدانتهم،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بعقوبات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تتناسب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وخطورة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أفعالهم؛</w:t>
      </w:r>
    </w:p>
    <w:p w14:paraId="18BF544F" w14:textId="04C7CDF1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(ب)</w:t>
      </w:r>
      <w:r w:rsidRPr="004A054C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فتح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السلطات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تحقيقات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كلما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توفرت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أسباب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معقولة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تدعو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الاعتقاد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بارتكاب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فعل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أفعال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المعاملة؛</w:t>
      </w:r>
    </w:p>
    <w:p w14:paraId="7F120DCC" w14:textId="422601E4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(ج)</w:t>
      </w:r>
      <w:r w:rsidRPr="004A054C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تزويد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مراقبة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الشرطة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بالموارد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البشرية</w:t>
      </w:r>
      <w:r w:rsidRPr="00835005">
        <w:rPr>
          <w:b/>
          <w:bCs/>
          <w:rtl/>
        </w:rPr>
        <w:t xml:space="preserve"> </w:t>
      </w:r>
      <w:proofErr w:type="spellStart"/>
      <w:r w:rsidRPr="00835005">
        <w:rPr>
          <w:b/>
          <w:bCs/>
          <w:rtl/>
        </w:rPr>
        <w:t>والميزنية</w:t>
      </w:r>
      <w:proofErr w:type="spellEnd"/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اللازمة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للتحقيق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أعمال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المزعومة؛</w:t>
      </w:r>
    </w:p>
    <w:p w14:paraId="72A846AA" w14:textId="247AD108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(د)</w:t>
      </w:r>
      <w:r w:rsidRPr="004A054C">
        <w:rPr>
          <w:rtl/>
        </w:rPr>
        <w:tab/>
      </w:r>
      <w:r w:rsidRPr="00835005">
        <w:rPr>
          <w:b/>
          <w:bCs/>
          <w:rtl/>
        </w:rPr>
        <w:t>الحرص،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حالات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المزعومة،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توقيف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المشتبه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فوراً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طوال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التحقيق،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ولا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سيما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شأن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استمرارهم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يمكنهم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تكرار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الفعل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المزعوم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الانتقام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الضحية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المزعومة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عرقلة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التحقيق؛</w:t>
      </w:r>
    </w:p>
    <w:p w14:paraId="3CABD5D4" w14:textId="4FFA6922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(هـ)</w:t>
      </w:r>
      <w:r w:rsidRPr="004A054C">
        <w:rPr>
          <w:rtl/>
        </w:rPr>
        <w:tab/>
      </w:r>
      <w:r w:rsidRPr="00835005">
        <w:rPr>
          <w:b/>
          <w:bCs/>
          <w:rtl/>
        </w:rPr>
        <w:t>تجميع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ونشر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إحصائية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مصنفة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شاملة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تتصل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الشكاوى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والتقارير</w:t>
      </w:r>
      <w:r w:rsidRPr="00835005">
        <w:rPr>
          <w:b/>
          <w:bCs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الواردة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عن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التعذيب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وسوء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المعاملة،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بما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في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ذلك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معلومات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عما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إذا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كانت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هذه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الشكاوى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قد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أفضت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إلى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فتح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تحقيقات،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الأمر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كذلك،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ذكر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السلطة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اضطلعت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بها،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كانت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التحقيقات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أسفرت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اتخاذ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تأديبية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و/أو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ملاحقات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قضائية،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الضحايا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حصلوا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الجبر،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بطريقة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تمكّن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تقديم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المستقبل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المراقبين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الآخرين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المعنيين.</w:t>
      </w:r>
    </w:p>
    <w:p w14:paraId="2736F96A" w14:textId="01A7F434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مكافحة</w:t>
      </w:r>
      <w:r w:rsidRPr="00835005">
        <w:rPr>
          <w:rtl/>
        </w:rPr>
        <w:t xml:space="preserve"> </w:t>
      </w:r>
      <w:r w:rsidRPr="00835005">
        <w:rPr>
          <w:rtl/>
        </w:rPr>
        <w:t>الإرهاب</w:t>
      </w:r>
    </w:p>
    <w:p w14:paraId="030B115B" w14:textId="402D88CF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19</w:t>
      </w:r>
      <w:r w:rsidRPr="004A054C">
        <w:rPr>
          <w:rtl/>
        </w:rPr>
        <w:t>-</w:t>
      </w:r>
      <w:r w:rsidRPr="004A054C">
        <w:rPr>
          <w:rtl/>
        </w:rPr>
        <w:tab/>
        <w:t>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مزاعم</w:t>
      </w:r>
      <w:r w:rsidRPr="004A054C">
        <w:rPr>
          <w:rtl/>
        </w:rPr>
        <w:t xml:space="preserve"> </w:t>
      </w:r>
      <w:r w:rsidRPr="004A054C">
        <w:rPr>
          <w:rtl/>
        </w:rPr>
        <w:t>التعذيب</w:t>
      </w:r>
      <w:r w:rsidRPr="004A054C">
        <w:rPr>
          <w:rtl/>
        </w:rPr>
        <w:t xml:space="preserve"> </w:t>
      </w:r>
      <w:r w:rsidRPr="004A054C">
        <w:rPr>
          <w:rtl/>
        </w:rPr>
        <w:t>وغيره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الانتهاكات</w:t>
      </w:r>
      <w:r w:rsidRPr="004A054C">
        <w:rPr>
          <w:rtl/>
        </w:rPr>
        <w:t xml:space="preserve"> </w:t>
      </w:r>
      <w:r w:rsidRPr="004A054C">
        <w:rPr>
          <w:rtl/>
        </w:rPr>
        <w:t>الجسيمة</w:t>
      </w:r>
      <w:r w:rsidRPr="004A054C">
        <w:rPr>
          <w:rtl/>
        </w:rPr>
        <w:t xml:space="preserve"> </w:t>
      </w:r>
      <w:r w:rsidRPr="004A054C">
        <w:rPr>
          <w:rtl/>
        </w:rPr>
        <w:t>لحقوق</w:t>
      </w:r>
      <w:r w:rsidRPr="004A054C">
        <w:rPr>
          <w:rtl/>
        </w:rPr>
        <w:t xml:space="preserve"> </w:t>
      </w:r>
      <w:r w:rsidRPr="004A054C">
        <w:rPr>
          <w:rtl/>
        </w:rPr>
        <w:t>الإنسان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وقعت</w:t>
      </w:r>
      <w:r w:rsidRPr="004A054C">
        <w:rPr>
          <w:rtl/>
        </w:rPr>
        <w:t xml:space="preserve"> </w:t>
      </w:r>
      <w:r w:rsidRPr="004A054C">
        <w:rPr>
          <w:rtl/>
        </w:rPr>
        <w:t>أثناء</w:t>
      </w:r>
      <w:r w:rsidRPr="004A054C">
        <w:rPr>
          <w:rtl/>
        </w:rPr>
        <w:t xml:space="preserve"> </w:t>
      </w:r>
      <w:r w:rsidRPr="004A054C">
        <w:rPr>
          <w:rtl/>
        </w:rPr>
        <w:t>عمليات</w:t>
      </w:r>
      <w:r w:rsidRPr="004A054C">
        <w:rPr>
          <w:rtl/>
        </w:rPr>
        <w:t xml:space="preserve"> </w:t>
      </w:r>
      <w:r w:rsidRPr="004A054C">
        <w:rPr>
          <w:rtl/>
        </w:rPr>
        <w:t>مكافحة</w:t>
      </w:r>
      <w:r w:rsidRPr="004A054C">
        <w:rPr>
          <w:rtl/>
        </w:rPr>
        <w:t xml:space="preserve"> </w:t>
      </w:r>
      <w:r w:rsidRPr="004A054C">
        <w:rPr>
          <w:rtl/>
        </w:rPr>
        <w:t>الإرهاب.</w:t>
      </w:r>
      <w:r w:rsidRPr="004A054C">
        <w:rPr>
          <w:rtl/>
        </w:rPr>
        <w:t xml:space="preserve"> </w:t>
      </w:r>
      <w:r w:rsidRPr="004A054C">
        <w:rPr>
          <w:rtl/>
        </w:rPr>
        <w:t>وعلى</w:t>
      </w:r>
      <w:r w:rsidRPr="004A054C">
        <w:rPr>
          <w:rtl/>
        </w:rPr>
        <w:t xml:space="preserve"> </w:t>
      </w:r>
      <w:r w:rsidRPr="004A054C">
        <w:rPr>
          <w:rtl/>
        </w:rPr>
        <w:t>وجه</w:t>
      </w:r>
      <w:r w:rsidRPr="004A054C">
        <w:rPr>
          <w:rtl/>
        </w:rPr>
        <w:t xml:space="preserve"> </w:t>
      </w:r>
      <w:r w:rsidRPr="004A054C">
        <w:rPr>
          <w:rtl/>
        </w:rPr>
        <w:t>الخصوص،</w:t>
      </w:r>
      <w:r w:rsidRPr="004A054C">
        <w:rPr>
          <w:rtl/>
        </w:rPr>
        <w:t xml:space="preserve"> </w:t>
      </w:r>
      <w:r w:rsidRPr="004A054C">
        <w:rPr>
          <w:rtl/>
        </w:rPr>
        <w:t>ووفقا</w:t>
      </w:r>
      <w:r w:rsidR="004D312E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للمعلومات</w:t>
      </w:r>
      <w:r w:rsidRPr="004A054C">
        <w:rPr>
          <w:rtl/>
        </w:rPr>
        <w:t xml:space="preserve"> </w:t>
      </w:r>
      <w:r w:rsidRPr="004A054C">
        <w:rPr>
          <w:rtl/>
        </w:rPr>
        <w:t>المعروضة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اللجنة،</w:t>
      </w:r>
      <w:r w:rsidRPr="004A054C">
        <w:rPr>
          <w:rtl/>
        </w:rPr>
        <w:t xml:space="preserve"> </w:t>
      </w:r>
      <w:r w:rsidRPr="004A054C">
        <w:rPr>
          <w:rtl/>
        </w:rPr>
        <w:t>قامت</w:t>
      </w:r>
      <w:r w:rsidRPr="004A054C">
        <w:rPr>
          <w:rtl/>
        </w:rPr>
        <w:t xml:space="preserve"> </w:t>
      </w:r>
      <w:r w:rsidRPr="004A054C">
        <w:rPr>
          <w:rtl/>
        </w:rPr>
        <w:t>وحدة</w:t>
      </w:r>
      <w:r w:rsidRPr="004A054C">
        <w:rPr>
          <w:rtl/>
        </w:rPr>
        <w:t xml:space="preserve"> </w:t>
      </w:r>
      <w:r w:rsidRPr="004A054C">
        <w:rPr>
          <w:rtl/>
        </w:rPr>
        <w:t>جيش</w:t>
      </w:r>
      <w:r w:rsidRPr="004A054C">
        <w:rPr>
          <w:rtl/>
        </w:rPr>
        <w:t xml:space="preserve"> </w:t>
      </w:r>
      <w:r w:rsidRPr="004A054C">
        <w:rPr>
          <w:rtl/>
        </w:rPr>
        <w:t>الدنب،</w:t>
      </w:r>
      <w:r w:rsidRPr="004A054C">
        <w:rPr>
          <w:rtl/>
        </w:rPr>
        <w:t xml:space="preserve"> </w:t>
      </w:r>
      <w:r w:rsidRPr="004A054C">
        <w:rPr>
          <w:rtl/>
        </w:rPr>
        <w:t>المتمركزة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قاعدة</w:t>
      </w:r>
      <w:r w:rsidRPr="004A054C">
        <w:rPr>
          <w:rtl/>
        </w:rPr>
        <w:t xml:space="preserve"> </w:t>
      </w:r>
      <w:proofErr w:type="spellStart"/>
      <w:r w:rsidRPr="004A054C">
        <w:rPr>
          <w:rtl/>
        </w:rPr>
        <w:t>باليدوغل</w:t>
      </w:r>
      <w:proofErr w:type="spellEnd"/>
      <w:r w:rsidRPr="004A054C">
        <w:rPr>
          <w:rtl/>
        </w:rPr>
        <w:t xml:space="preserve"> </w:t>
      </w:r>
      <w:r w:rsidRPr="004A054C">
        <w:rPr>
          <w:rtl/>
        </w:rPr>
        <w:t>الجوية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منطقة</w:t>
      </w:r>
      <w:r w:rsidRPr="004A054C">
        <w:rPr>
          <w:rtl/>
        </w:rPr>
        <w:t xml:space="preserve"> </w:t>
      </w:r>
      <w:proofErr w:type="spellStart"/>
      <w:r w:rsidRPr="004A054C">
        <w:rPr>
          <w:rtl/>
        </w:rPr>
        <w:t>ليغو</w:t>
      </w:r>
      <w:proofErr w:type="spellEnd"/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باختطاف</w:t>
      </w:r>
      <w:r w:rsidRPr="004A054C">
        <w:rPr>
          <w:rtl/>
        </w:rPr>
        <w:t xml:space="preserve"> </w:t>
      </w:r>
      <w:r w:rsidRPr="004A054C">
        <w:rPr>
          <w:rtl/>
        </w:rPr>
        <w:t>وتعذيب</w:t>
      </w:r>
      <w:r w:rsidRPr="004A054C">
        <w:rPr>
          <w:rtl/>
        </w:rPr>
        <w:t xml:space="preserve"> </w:t>
      </w:r>
      <w:r w:rsidRPr="004A054C">
        <w:rPr>
          <w:rtl/>
        </w:rPr>
        <w:t>مائة</w:t>
      </w:r>
      <w:r w:rsidRPr="004A054C">
        <w:rPr>
          <w:rtl/>
        </w:rPr>
        <w:t xml:space="preserve"> </w:t>
      </w:r>
      <w:r w:rsidRPr="004A054C">
        <w:rPr>
          <w:rtl/>
        </w:rPr>
        <w:t>شاب</w:t>
      </w:r>
      <w:r w:rsidRPr="004A054C">
        <w:rPr>
          <w:rtl/>
        </w:rPr>
        <w:t xml:space="preserve"> </w:t>
      </w:r>
      <w:r w:rsidRPr="004A054C">
        <w:rPr>
          <w:rtl/>
        </w:rPr>
        <w:t>بين</w:t>
      </w:r>
      <w:r w:rsidRPr="004A054C">
        <w:rPr>
          <w:rtl/>
        </w:rPr>
        <w:t xml:space="preserve"> </w:t>
      </w:r>
      <w:r w:rsidRPr="004A054C">
        <w:rPr>
          <w:rtl/>
        </w:rPr>
        <w:t>عامي</w:t>
      </w:r>
      <w:r w:rsidRPr="004A054C">
        <w:rPr>
          <w:rtl/>
        </w:rPr>
        <w:t xml:space="preserve"> </w:t>
      </w:r>
      <w:r w:rsidRPr="00835005">
        <w:rPr>
          <w:rtl/>
        </w:rPr>
        <w:t>2018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2022</w:t>
      </w:r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ونفذت</w:t>
      </w:r>
      <w:r w:rsidRPr="004A054C">
        <w:rPr>
          <w:rtl/>
        </w:rPr>
        <w:t xml:space="preserve"> </w:t>
      </w:r>
      <w:r w:rsidRPr="004A054C">
        <w:rPr>
          <w:rtl/>
        </w:rPr>
        <w:t>عمليات</w:t>
      </w:r>
      <w:r w:rsidRPr="004A054C">
        <w:rPr>
          <w:rtl/>
        </w:rPr>
        <w:t xml:space="preserve"> </w:t>
      </w:r>
      <w:r w:rsidRPr="004A054C">
        <w:rPr>
          <w:rtl/>
        </w:rPr>
        <w:t>إعدام</w:t>
      </w:r>
      <w:r w:rsidRPr="004A054C">
        <w:rPr>
          <w:rtl/>
        </w:rPr>
        <w:t xml:space="preserve"> </w:t>
      </w:r>
      <w:r w:rsidRPr="004A054C">
        <w:rPr>
          <w:rtl/>
        </w:rPr>
        <w:t>خارج</w:t>
      </w:r>
      <w:r w:rsidRPr="004A054C">
        <w:rPr>
          <w:rtl/>
        </w:rPr>
        <w:t xml:space="preserve"> </w:t>
      </w:r>
      <w:r w:rsidRPr="004A054C">
        <w:rPr>
          <w:rtl/>
        </w:rPr>
        <w:t>نطاق</w:t>
      </w:r>
      <w:r w:rsidRPr="004A054C">
        <w:rPr>
          <w:rtl/>
        </w:rPr>
        <w:t xml:space="preserve"> </w:t>
      </w:r>
      <w:r w:rsidRPr="004A054C">
        <w:rPr>
          <w:rtl/>
        </w:rPr>
        <w:t>القضاء</w:t>
      </w:r>
      <w:r w:rsidRPr="004A054C">
        <w:rPr>
          <w:rtl/>
        </w:rPr>
        <w:t xml:space="preserve"> </w:t>
      </w:r>
      <w:r w:rsidRPr="004A054C">
        <w:rPr>
          <w:rtl/>
        </w:rPr>
        <w:t>ضد</w:t>
      </w:r>
      <w:r w:rsidRPr="004A054C">
        <w:rPr>
          <w:rtl/>
        </w:rPr>
        <w:t xml:space="preserve"> </w:t>
      </w:r>
      <w:r w:rsidRPr="00835005">
        <w:rPr>
          <w:rtl/>
        </w:rPr>
        <w:t>25</w:t>
      </w:r>
      <w:r w:rsidRPr="004A054C">
        <w:rPr>
          <w:rtl/>
        </w:rPr>
        <w:t xml:space="preserve"> </w:t>
      </w:r>
      <w:r w:rsidRPr="004A054C">
        <w:rPr>
          <w:rtl/>
        </w:rPr>
        <w:t>شابا</w:t>
      </w:r>
      <w:r w:rsidR="004D312E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آخر</w:t>
      </w:r>
      <w:r w:rsidRPr="004A054C">
        <w:rPr>
          <w:rtl/>
        </w:rPr>
        <w:t xml:space="preserve"> </w:t>
      </w:r>
      <w:r w:rsidRPr="004A054C">
        <w:rPr>
          <w:rtl/>
        </w:rPr>
        <w:t>واحتجزت</w:t>
      </w:r>
      <w:r w:rsidRPr="004A054C">
        <w:rPr>
          <w:rtl/>
        </w:rPr>
        <w:t xml:space="preserve"> </w:t>
      </w:r>
      <w:r w:rsidRPr="004A054C">
        <w:rPr>
          <w:rtl/>
        </w:rPr>
        <w:t>العديد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الشبان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سجون</w:t>
      </w:r>
      <w:r w:rsidRPr="004A054C">
        <w:rPr>
          <w:rtl/>
        </w:rPr>
        <w:t xml:space="preserve"> </w:t>
      </w:r>
      <w:r w:rsidRPr="004A054C">
        <w:rPr>
          <w:rtl/>
        </w:rPr>
        <w:t>سرية</w:t>
      </w:r>
      <w:r w:rsidRPr="004A054C">
        <w:rPr>
          <w:rtl/>
        </w:rPr>
        <w:t xml:space="preserve"> </w:t>
      </w:r>
      <w:r w:rsidRPr="004A054C">
        <w:rPr>
          <w:rtl/>
        </w:rPr>
        <w:t>دون</w:t>
      </w:r>
      <w:r w:rsidRPr="004A054C">
        <w:rPr>
          <w:rtl/>
        </w:rPr>
        <w:t xml:space="preserve"> </w:t>
      </w:r>
      <w:r w:rsidRPr="004A054C">
        <w:rPr>
          <w:rtl/>
        </w:rPr>
        <w:t>تهم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محاكمات.</w:t>
      </w:r>
      <w:r w:rsidRPr="004A054C">
        <w:rPr>
          <w:rtl/>
        </w:rPr>
        <w:t xml:space="preserve"> </w:t>
      </w:r>
      <w:r w:rsidRPr="004A054C">
        <w:rPr>
          <w:rtl/>
        </w:rPr>
        <w:t>ويساور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أيضا</w:t>
      </w:r>
      <w:r w:rsidR="004D312E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باستخدام</w:t>
      </w:r>
      <w:r w:rsidRPr="004A054C">
        <w:rPr>
          <w:rtl/>
        </w:rPr>
        <w:t xml:space="preserve"> </w:t>
      </w:r>
      <w:r w:rsidRPr="004A054C">
        <w:rPr>
          <w:rtl/>
        </w:rPr>
        <w:t>وكالة</w:t>
      </w:r>
      <w:r w:rsidRPr="004A054C">
        <w:rPr>
          <w:rtl/>
        </w:rPr>
        <w:t xml:space="preserve"> </w:t>
      </w:r>
      <w:r w:rsidRPr="004A054C">
        <w:rPr>
          <w:rtl/>
        </w:rPr>
        <w:t>الاستخبارات</w:t>
      </w:r>
      <w:r w:rsidRPr="004A054C">
        <w:rPr>
          <w:rtl/>
        </w:rPr>
        <w:t xml:space="preserve"> </w:t>
      </w:r>
      <w:r w:rsidRPr="004A054C">
        <w:rPr>
          <w:rtl/>
        </w:rPr>
        <w:t>والأمن</w:t>
      </w:r>
      <w:r w:rsidRPr="004A054C">
        <w:rPr>
          <w:rtl/>
        </w:rPr>
        <w:t xml:space="preserve"> </w:t>
      </w:r>
      <w:r w:rsidRPr="004A054C">
        <w:rPr>
          <w:rtl/>
        </w:rPr>
        <w:t>الوطنية</w:t>
      </w:r>
      <w:r w:rsidRPr="004A054C">
        <w:rPr>
          <w:rtl/>
        </w:rPr>
        <w:t xml:space="preserve"> </w:t>
      </w:r>
      <w:r w:rsidRPr="004A054C">
        <w:rPr>
          <w:rtl/>
        </w:rPr>
        <w:t>مراكز</w:t>
      </w:r>
      <w:r w:rsidRPr="004A054C">
        <w:rPr>
          <w:rtl/>
        </w:rPr>
        <w:t xml:space="preserve"> </w:t>
      </w:r>
      <w:r w:rsidRPr="004A054C">
        <w:rPr>
          <w:rtl/>
        </w:rPr>
        <w:t>احتجاز</w:t>
      </w:r>
      <w:r w:rsidRPr="004A054C">
        <w:rPr>
          <w:rtl/>
        </w:rPr>
        <w:t xml:space="preserve"> </w:t>
      </w:r>
      <w:r w:rsidRPr="004A054C">
        <w:rPr>
          <w:rtl/>
        </w:rPr>
        <w:t>سرية</w:t>
      </w:r>
      <w:r w:rsidRPr="004A054C">
        <w:rPr>
          <w:rtl/>
        </w:rPr>
        <w:t xml:space="preserve"> </w:t>
      </w:r>
      <w:r w:rsidRPr="004A054C">
        <w:rPr>
          <w:rtl/>
        </w:rPr>
        <w:t>والتعذيب،</w:t>
      </w:r>
      <w:r w:rsidRPr="004A054C">
        <w:rPr>
          <w:rtl/>
        </w:rPr>
        <w:t xml:space="preserve"> </w:t>
      </w:r>
      <w:r w:rsidRPr="004A054C">
        <w:rPr>
          <w:rtl/>
        </w:rPr>
        <w:t>وإزاء</w:t>
      </w:r>
      <w:r w:rsidRPr="004A054C">
        <w:rPr>
          <w:rtl/>
        </w:rPr>
        <w:t xml:space="preserve"> </w:t>
      </w:r>
      <w:r w:rsidRPr="004A054C">
        <w:rPr>
          <w:rtl/>
        </w:rPr>
        <w:t>أعمال</w:t>
      </w:r>
      <w:r w:rsidRPr="004A054C">
        <w:rPr>
          <w:rtl/>
        </w:rPr>
        <w:t xml:space="preserve"> </w:t>
      </w:r>
      <w:r w:rsidRPr="004A054C">
        <w:rPr>
          <w:rtl/>
        </w:rPr>
        <w:t>التعذيب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ترتكبها</w:t>
      </w:r>
      <w:r w:rsidRPr="004A054C">
        <w:rPr>
          <w:rtl/>
        </w:rPr>
        <w:t xml:space="preserve"> </w:t>
      </w:r>
      <w:r w:rsidRPr="004A054C">
        <w:rPr>
          <w:rtl/>
        </w:rPr>
        <w:t>القوات</w:t>
      </w:r>
      <w:r w:rsidRPr="004A054C">
        <w:rPr>
          <w:rtl/>
        </w:rPr>
        <w:t xml:space="preserve"> </w:t>
      </w:r>
      <w:r w:rsidRPr="004A054C">
        <w:rPr>
          <w:rtl/>
        </w:rPr>
        <w:t>الخاصة</w:t>
      </w:r>
      <w:r w:rsidRPr="004A054C">
        <w:rPr>
          <w:rtl/>
        </w:rPr>
        <w:t xml:space="preserve"> </w:t>
      </w:r>
      <w:r w:rsidRPr="004A054C">
        <w:rPr>
          <w:rtl/>
        </w:rPr>
        <w:t>التابعة</w:t>
      </w:r>
      <w:r w:rsidRPr="004A054C">
        <w:rPr>
          <w:rtl/>
        </w:rPr>
        <w:t xml:space="preserve"> </w:t>
      </w:r>
      <w:r w:rsidRPr="004A054C">
        <w:rPr>
          <w:rtl/>
        </w:rPr>
        <w:t>للجيش</w:t>
      </w:r>
      <w:r w:rsidRPr="004A054C">
        <w:rPr>
          <w:rtl/>
        </w:rPr>
        <w:t xml:space="preserve"> </w:t>
      </w:r>
      <w:r w:rsidRPr="004A054C">
        <w:rPr>
          <w:rtl/>
        </w:rPr>
        <w:t>الوطني</w:t>
      </w:r>
      <w:r w:rsidRPr="004A054C">
        <w:rPr>
          <w:rtl/>
        </w:rPr>
        <w:t xml:space="preserve"> </w:t>
      </w:r>
      <w:r w:rsidRPr="004A054C">
        <w:rPr>
          <w:rtl/>
        </w:rPr>
        <w:t>الصومالي</w:t>
      </w:r>
      <w:r w:rsidRPr="004A054C">
        <w:rPr>
          <w:rtl/>
        </w:rPr>
        <w:t xml:space="preserve"> </w:t>
      </w:r>
      <w:r w:rsidRPr="004A054C">
        <w:rPr>
          <w:rtl/>
        </w:rPr>
        <w:t>(المواد</w:t>
      </w:r>
      <w:r w:rsidRPr="004A054C">
        <w:rPr>
          <w:rtl/>
        </w:rPr>
        <w:t xml:space="preserve"> </w:t>
      </w:r>
      <w:r w:rsidRPr="00835005">
        <w:rPr>
          <w:rtl/>
        </w:rPr>
        <w:t>2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t>13</w:t>
      </w:r>
      <w:r w:rsidRPr="004A054C">
        <w:t>-</w:t>
      </w:r>
      <w:r w:rsidRPr="00835005">
        <w:t>11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r w:rsidR="00D40BC3" w:rsidRPr="00D40BC3">
        <w:rPr>
          <w:rtl/>
        </w:rPr>
        <w:t>).</w:t>
      </w:r>
      <w:r w:rsidR="00D40BC3" w:rsidRPr="00D40BC3">
        <w:rPr>
          <w:rtl/>
        </w:rPr>
        <w:t xml:space="preserve"> </w:t>
      </w:r>
    </w:p>
    <w:p w14:paraId="5AA58C3A" w14:textId="6AFEFAB4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20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تدعو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يلي</w:t>
      </w:r>
      <w:r w:rsidR="00142229" w:rsidRPr="00835005">
        <w:rPr>
          <w:b/>
          <w:bCs/>
          <w:rtl/>
        </w:rPr>
        <w:t>:</w:t>
      </w:r>
    </w:p>
    <w:p w14:paraId="1C016172" w14:textId="615DECAC" w:rsidR="004A054C" w:rsidRPr="00835005" w:rsidRDefault="004A054C" w:rsidP="004A054C">
      <w:pPr>
        <w:pStyle w:val="SingleTxtGA"/>
        <w:rPr>
          <w:b/>
          <w:bCs/>
          <w:lang w:val="en-US" w:eastAsia="zh-TW" w:bidi="en-GB"/>
        </w:rPr>
      </w:pPr>
      <w:r>
        <w:rPr>
          <w:rtl/>
        </w:rPr>
        <w:tab/>
      </w:r>
      <w:r w:rsidRPr="004A054C">
        <w:rPr>
          <w:rtl/>
        </w:rPr>
        <w:t>(أ)</w:t>
      </w:r>
      <w:r w:rsidRPr="004A054C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امتثال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قوانين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مكافحة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الإرهاب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امتثالا</w:t>
      </w:r>
      <w:r w:rsidR="004D5A0D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تاما</w:t>
      </w:r>
      <w:r w:rsidR="004D5A0D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للمعايير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لحقوق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الإنسان،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بطرق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توفير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الضمانات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القانونية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الأساسية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المبينة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الفقرة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13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تعليق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رقم</w:t>
      </w:r>
      <w:r w:rsidR="004D5A0D" w:rsidRPr="00835005">
        <w:rPr>
          <w:rFonts w:hint="cs"/>
          <w:b/>
          <w:bCs/>
          <w:rtl/>
        </w:rPr>
        <w:t> </w:t>
      </w:r>
      <w:r w:rsidRPr="00835005">
        <w:rPr>
          <w:b/>
          <w:bCs/>
          <w:rtl/>
        </w:rPr>
        <w:t>2(2007</w:t>
      </w:r>
      <w:r w:rsidR="00D40BC3" w:rsidRPr="00835005">
        <w:rPr>
          <w:b/>
          <w:bCs/>
          <w:rtl/>
        </w:rPr>
        <w:t>)،</w:t>
      </w:r>
      <w:r w:rsidR="00D40BC3"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وتطبيق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الضمانات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الممارسة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العملية؛</w:t>
      </w:r>
    </w:p>
    <w:p w14:paraId="7C040AC2" w14:textId="382A1717" w:rsidR="004A054C" w:rsidRPr="004D5A0D" w:rsidRDefault="004A054C" w:rsidP="004A054C">
      <w:pPr>
        <w:pStyle w:val="SingleTxtGA"/>
        <w:rPr>
          <w:lang w:val="ar-SA" w:eastAsia="zh-TW" w:bidi="en-GB"/>
        </w:rPr>
      </w:pPr>
      <w:r w:rsidRPr="004D5A0D">
        <w:rPr>
          <w:rtl/>
        </w:rPr>
        <w:tab/>
      </w:r>
      <w:r w:rsidRPr="004D5A0D">
        <w:rPr>
          <w:rtl/>
        </w:rPr>
        <w:t>(ب)</w:t>
      </w:r>
      <w:r w:rsidRPr="004D5A0D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التحقيق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الفوري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والنزيه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والفعال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مزاعم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قيام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أجهزة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الوطني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والجيش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الوطني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الصومالي،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وحدة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الدنب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المتمركزة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قاعدة</w:t>
      </w:r>
      <w:r w:rsidRPr="00835005">
        <w:rPr>
          <w:b/>
          <w:bCs/>
          <w:rtl/>
        </w:rPr>
        <w:t xml:space="preserve"> </w:t>
      </w:r>
      <w:proofErr w:type="spellStart"/>
      <w:r w:rsidRPr="00835005">
        <w:rPr>
          <w:b/>
          <w:bCs/>
          <w:rtl/>
        </w:rPr>
        <w:t>باليدوغل</w:t>
      </w:r>
      <w:proofErr w:type="spellEnd"/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الجوية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proofErr w:type="spellStart"/>
      <w:r w:rsidRPr="00835005">
        <w:rPr>
          <w:b/>
          <w:bCs/>
          <w:rtl/>
        </w:rPr>
        <w:t>ليغو</w:t>
      </w:r>
      <w:proofErr w:type="spellEnd"/>
      <w:r w:rsidRPr="00835005">
        <w:rPr>
          <w:b/>
          <w:bCs/>
          <w:rtl/>
        </w:rPr>
        <w:t>،</w:t>
      </w:r>
      <w:r w:rsidRPr="00835005">
        <w:rPr>
          <w:b/>
          <w:bCs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بعمليات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إعدام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خارج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نطاق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القضاء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والتعذيب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وغيره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من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الانتهاكات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الجسيمة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لحقوق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الإنسان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ضد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الأشخاص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المتهمين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بالإرهاب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بارتكاب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أعمال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ومقاضاة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الجناة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ومعاقبتهم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النحو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الواجب؛</w:t>
      </w:r>
    </w:p>
    <w:p w14:paraId="421DA518" w14:textId="6352C427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(ج)</w:t>
      </w:r>
      <w:r w:rsidRPr="004A054C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عدم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احتجاز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شخص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مركز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احتجاز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سري،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المرافق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ذاتها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تشكل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انتهاك</w:t>
      </w:r>
      <w:r w:rsidR="00410ADA" w:rsidRPr="00835005">
        <w:rPr>
          <w:b/>
          <w:bCs/>
          <w:rtl/>
        </w:rPr>
        <w:t>اً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للاتفاقية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إغلاقها.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وتحث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التحقيق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وجود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نوع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المرافق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والبحث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السلطة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أنشئ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بموجبها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والكشف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ذلك؛</w:t>
      </w:r>
    </w:p>
    <w:p w14:paraId="065363DD" w14:textId="6B4D64DD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(د)</w:t>
      </w:r>
      <w:r w:rsidRPr="004A054C">
        <w:rPr>
          <w:rtl/>
        </w:rPr>
        <w:tab/>
      </w:r>
      <w:r w:rsidRPr="00835005">
        <w:rPr>
          <w:b/>
          <w:bCs/>
          <w:rtl/>
        </w:rPr>
        <w:t>استعراض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استخدام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العزل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بهدف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إلغائه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تطبيقه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بشكل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محدود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كملاذ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أخير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وفقا</w:t>
      </w:r>
      <w:r w:rsidR="004D5A0D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للقانون.</w:t>
      </w:r>
    </w:p>
    <w:p w14:paraId="482AB61B" w14:textId="1205D8F3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الاعترافات</w:t>
      </w:r>
      <w:r w:rsidRPr="00835005">
        <w:rPr>
          <w:rtl/>
        </w:rPr>
        <w:t xml:space="preserve"> </w:t>
      </w:r>
      <w:r w:rsidRPr="00835005">
        <w:rPr>
          <w:rtl/>
        </w:rPr>
        <w:t>المنتزعة</w:t>
      </w:r>
      <w:r w:rsidRPr="00835005">
        <w:rPr>
          <w:rtl/>
        </w:rPr>
        <w:t xml:space="preserve"> </w:t>
      </w:r>
      <w:r w:rsidRPr="00835005">
        <w:rPr>
          <w:rtl/>
        </w:rPr>
        <w:t>تحت</w:t>
      </w:r>
      <w:r w:rsidRPr="00835005">
        <w:rPr>
          <w:rtl/>
        </w:rPr>
        <w:t xml:space="preserve"> </w:t>
      </w:r>
      <w:r w:rsidRPr="00835005">
        <w:rPr>
          <w:rtl/>
        </w:rPr>
        <w:t>وطأة</w:t>
      </w:r>
      <w:r w:rsidRPr="00835005">
        <w:rPr>
          <w:rtl/>
        </w:rPr>
        <w:t xml:space="preserve"> </w:t>
      </w:r>
      <w:r w:rsidRPr="00835005">
        <w:rPr>
          <w:rtl/>
        </w:rPr>
        <w:t>التعذيب</w:t>
      </w:r>
      <w:r w:rsidRPr="00835005">
        <w:rPr>
          <w:rtl/>
        </w:rPr>
        <w:t xml:space="preserve"> </w:t>
      </w:r>
      <w:r w:rsidRPr="00835005">
        <w:rPr>
          <w:rtl/>
        </w:rPr>
        <w:t>وسوء</w:t>
      </w:r>
      <w:r w:rsidRPr="00835005">
        <w:rPr>
          <w:rtl/>
        </w:rPr>
        <w:t xml:space="preserve"> </w:t>
      </w:r>
      <w:r w:rsidRPr="00835005">
        <w:rPr>
          <w:rtl/>
        </w:rPr>
        <w:t>المعاملة</w:t>
      </w:r>
    </w:p>
    <w:p w14:paraId="58A623C0" w14:textId="14BB2D2F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21</w:t>
      </w:r>
      <w:r w:rsidRPr="004A054C">
        <w:rPr>
          <w:rtl/>
        </w:rPr>
        <w:t>-</w:t>
      </w:r>
      <w:r w:rsidRPr="004A054C">
        <w:rPr>
          <w:rtl/>
        </w:rPr>
        <w:tab/>
        <w:t>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344A21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بالضمانات</w:t>
      </w:r>
      <w:r w:rsidRPr="004A054C">
        <w:rPr>
          <w:rtl/>
        </w:rPr>
        <w:t xml:space="preserve"> </w:t>
      </w:r>
      <w:r w:rsidRPr="004A054C">
        <w:rPr>
          <w:rtl/>
        </w:rPr>
        <w:t>القانونية</w:t>
      </w:r>
      <w:r w:rsidRPr="004A054C">
        <w:rPr>
          <w:rtl/>
        </w:rPr>
        <w:t xml:space="preserve"> </w:t>
      </w:r>
      <w:r w:rsidRPr="004A054C">
        <w:rPr>
          <w:rtl/>
        </w:rPr>
        <w:t>المكرسة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قانون</w:t>
      </w:r>
      <w:r w:rsidRPr="004A054C">
        <w:rPr>
          <w:rtl/>
        </w:rPr>
        <w:t xml:space="preserve"> </w:t>
      </w:r>
      <w:r w:rsidRPr="004A054C">
        <w:rPr>
          <w:rtl/>
        </w:rPr>
        <w:t>الإجراءات</w:t>
      </w:r>
      <w:r w:rsidRPr="004A054C">
        <w:rPr>
          <w:rtl/>
        </w:rPr>
        <w:t xml:space="preserve"> </w:t>
      </w:r>
      <w:r w:rsidRPr="004A054C">
        <w:rPr>
          <w:rtl/>
        </w:rPr>
        <w:t>الجنائية</w:t>
      </w:r>
      <w:r w:rsidRPr="004A054C">
        <w:rPr>
          <w:rtl/>
        </w:rPr>
        <w:t xml:space="preserve"> </w:t>
      </w:r>
      <w:r w:rsidRPr="004A054C">
        <w:rPr>
          <w:rtl/>
        </w:rPr>
        <w:t>الذي</w:t>
      </w:r>
      <w:r w:rsidRPr="004A054C">
        <w:rPr>
          <w:rtl/>
        </w:rPr>
        <w:t xml:space="preserve"> </w:t>
      </w:r>
      <w:r w:rsidRPr="004A054C">
        <w:rPr>
          <w:rtl/>
        </w:rPr>
        <w:t>يقضي</w:t>
      </w:r>
      <w:r w:rsidRPr="004A054C">
        <w:rPr>
          <w:rtl/>
        </w:rPr>
        <w:t xml:space="preserve"> </w:t>
      </w:r>
      <w:r w:rsidRPr="004A054C">
        <w:rPr>
          <w:rtl/>
        </w:rPr>
        <w:t>بعدم</w:t>
      </w:r>
      <w:r w:rsidRPr="004A054C">
        <w:rPr>
          <w:rtl/>
        </w:rPr>
        <w:t xml:space="preserve"> </w:t>
      </w:r>
      <w:r w:rsidRPr="004A054C">
        <w:rPr>
          <w:rtl/>
        </w:rPr>
        <w:t>مقبولية</w:t>
      </w:r>
      <w:r w:rsidRPr="004A054C">
        <w:rPr>
          <w:rtl/>
        </w:rPr>
        <w:t xml:space="preserve"> </w:t>
      </w:r>
      <w:r w:rsidRPr="004A054C">
        <w:rPr>
          <w:rtl/>
        </w:rPr>
        <w:t>الأدلة</w:t>
      </w:r>
      <w:r w:rsidRPr="004A054C">
        <w:rPr>
          <w:rtl/>
        </w:rPr>
        <w:t xml:space="preserve"> </w:t>
      </w:r>
      <w:r w:rsidRPr="004A054C">
        <w:rPr>
          <w:rtl/>
        </w:rPr>
        <w:t>المنتزعة</w:t>
      </w:r>
      <w:r w:rsidRPr="004A054C">
        <w:rPr>
          <w:rtl/>
        </w:rPr>
        <w:t xml:space="preserve"> </w:t>
      </w:r>
      <w:r w:rsidRPr="004A054C">
        <w:rPr>
          <w:rtl/>
        </w:rPr>
        <w:t>تحت</w:t>
      </w:r>
      <w:r w:rsidRPr="004A054C">
        <w:rPr>
          <w:rtl/>
        </w:rPr>
        <w:t xml:space="preserve"> </w:t>
      </w:r>
      <w:r w:rsidRPr="004A054C">
        <w:rPr>
          <w:rtl/>
        </w:rPr>
        <w:t>وطأة</w:t>
      </w:r>
      <w:r w:rsidRPr="004A054C">
        <w:rPr>
          <w:rtl/>
        </w:rPr>
        <w:t xml:space="preserve"> </w:t>
      </w:r>
      <w:r w:rsidRPr="004A054C">
        <w:rPr>
          <w:rtl/>
        </w:rPr>
        <w:t>التعذيب</w:t>
      </w:r>
      <w:r w:rsidRPr="004A054C">
        <w:rPr>
          <w:rtl/>
        </w:rPr>
        <w:t xml:space="preserve"> </w:t>
      </w:r>
      <w:r w:rsidRPr="004A054C">
        <w:rPr>
          <w:rtl/>
        </w:rPr>
        <w:t>وغيره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التدابير</w:t>
      </w:r>
      <w:r w:rsidRPr="004A054C">
        <w:rPr>
          <w:rtl/>
        </w:rPr>
        <w:t xml:space="preserve"> </w:t>
      </w:r>
      <w:r w:rsidRPr="004A054C">
        <w:rPr>
          <w:rtl/>
        </w:rPr>
        <w:t>القسرية،</w:t>
      </w:r>
      <w:r w:rsidRPr="004A054C">
        <w:rPr>
          <w:rtl/>
        </w:rPr>
        <w:t xml:space="preserve"> </w:t>
      </w:r>
      <w:r w:rsidRPr="004A054C">
        <w:rPr>
          <w:rtl/>
        </w:rPr>
        <w:t>لكنها</w:t>
      </w:r>
      <w:r w:rsidRPr="004A054C">
        <w:rPr>
          <w:rtl/>
        </w:rPr>
        <w:t xml:space="preserve"> </w:t>
      </w:r>
      <w:r w:rsidRPr="004A054C">
        <w:rPr>
          <w:rtl/>
        </w:rPr>
        <w:t>تشعر</w:t>
      </w:r>
      <w:r w:rsidRPr="004A054C">
        <w:rPr>
          <w:rtl/>
        </w:rPr>
        <w:t xml:space="preserve"> </w:t>
      </w:r>
      <w:r w:rsidRPr="004A054C">
        <w:rPr>
          <w:rtl/>
        </w:rPr>
        <w:t>بالقلق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وكالة</w:t>
      </w:r>
      <w:r w:rsidRPr="004A054C">
        <w:rPr>
          <w:rtl/>
        </w:rPr>
        <w:t xml:space="preserve"> </w:t>
      </w:r>
      <w:r w:rsidRPr="004A054C">
        <w:rPr>
          <w:rtl/>
        </w:rPr>
        <w:t>الاستخبارات</w:t>
      </w:r>
      <w:r w:rsidRPr="004A054C">
        <w:rPr>
          <w:rtl/>
        </w:rPr>
        <w:t xml:space="preserve"> </w:t>
      </w:r>
      <w:r w:rsidRPr="004A054C">
        <w:rPr>
          <w:rtl/>
        </w:rPr>
        <w:t>والأمن</w:t>
      </w:r>
      <w:r w:rsidRPr="004A054C">
        <w:rPr>
          <w:rtl/>
        </w:rPr>
        <w:t xml:space="preserve"> </w:t>
      </w:r>
      <w:r w:rsidRPr="004A054C">
        <w:rPr>
          <w:rtl/>
        </w:rPr>
        <w:t>الوطنية</w:t>
      </w:r>
      <w:r w:rsidRPr="004A054C">
        <w:rPr>
          <w:rtl/>
        </w:rPr>
        <w:t xml:space="preserve"> </w:t>
      </w:r>
      <w:r w:rsidRPr="004A054C">
        <w:rPr>
          <w:rtl/>
        </w:rPr>
        <w:t>انتزعت</w:t>
      </w:r>
      <w:r w:rsidRPr="004A054C">
        <w:rPr>
          <w:rtl/>
        </w:rPr>
        <w:t xml:space="preserve"> </w:t>
      </w:r>
      <w:r w:rsidRPr="004A054C">
        <w:rPr>
          <w:rtl/>
        </w:rPr>
        <w:t>اعترافات</w:t>
      </w:r>
      <w:r w:rsidRPr="004A054C">
        <w:rPr>
          <w:rtl/>
        </w:rPr>
        <w:t xml:space="preserve"> </w:t>
      </w:r>
      <w:r w:rsidRPr="004A054C">
        <w:rPr>
          <w:rtl/>
        </w:rPr>
        <w:t>تحت</w:t>
      </w:r>
      <w:r w:rsidRPr="004A054C">
        <w:rPr>
          <w:rtl/>
        </w:rPr>
        <w:t xml:space="preserve"> </w:t>
      </w:r>
      <w:r w:rsidRPr="004A054C">
        <w:rPr>
          <w:rtl/>
        </w:rPr>
        <w:t>وطأة</w:t>
      </w:r>
      <w:r w:rsidRPr="004A054C">
        <w:rPr>
          <w:rtl/>
        </w:rPr>
        <w:t xml:space="preserve"> </w:t>
      </w:r>
      <w:r w:rsidRPr="004A054C">
        <w:rPr>
          <w:rtl/>
        </w:rPr>
        <w:t>التعذيب</w:t>
      </w:r>
      <w:r w:rsidRPr="004A054C">
        <w:rPr>
          <w:rtl/>
        </w:rPr>
        <w:t xml:space="preserve"> </w:t>
      </w:r>
      <w:r w:rsidRPr="004A054C">
        <w:rPr>
          <w:rtl/>
        </w:rPr>
        <w:t>وسوء</w:t>
      </w:r>
      <w:r w:rsidRPr="004A054C">
        <w:rPr>
          <w:rtl/>
        </w:rPr>
        <w:t xml:space="preserve"> </w:t>
      </w:r>
      <w:r w:rsidRPr="004A054C">
        <w:rPr>
          <w:rtl/>
        </w:rPr>
        <w:t>المعاملة</w:t>
      </w:r>
      <w:r w:rsidRPr="004A054C">
        <w:rPr>
          <w:rtl/>
        </w:rPr>
        <w:t xml:space="preserve"> </w:t>
      </w:r>
      <w:r w:rsidRPr="004A054C">
        <w:rPr>
          <w:rtl/>
        </w:rPr>
        <w:t>وأن</w:t>
      </w:r>
      <w:r w:rsidRPr="004A054C">
        <w:rPr>
          <w:rtl/>
        </w:rPr>
        <w:t xml:space="preserve"> </w:t>
      </w:r>
      <w:r w:rsidRPr="004A054C">
        <w:rPr>
          <w:rtl/>
        </w:rPr>
        <w:t>المحاكم</w:t>
      </w:r>
      <w:r w:rsidRPr="004A054C">
        <w:rPr>
          <w:rtl/>
        </w:rPr>
        <w:t xml:space="preserve"> </w:t>
      </w:r>
      <w:r w:rsidRPr="004A054C">
        <w:rPr>
          <w:rtl/>
        </w:rPr>
        <w:t>قبلت</w:t>
      </w:r>
      <w:r w:rsidRPr="004A054C">
        <w:rPr>
          <w:rtl/>
        </w:rPr>
        <w:t xml:space="preserve"> </w:t>
      </w:r>
      <w:r w:rsidRPr="004A054C">
        <w:rPr>
          <w:rtl/>
        </w:rPr>
        <w:t>بها</w:t>
      </w:r>
      <w:r w:rsidRPr="004A054C">
        <w:rPr>
          <w:rtl/>
        </w:rPr>
        <w:t xml:space="preserve"> </w:t>
      </w:r>
      <w:r w:rsidRPr="004A054C">
        <w:rPr>
          <w:rtl/>
        </w:rPr>
        <w:t>(المادة</w:t>
      </w:r>
      <w:r w:rsidRPr="004A054C">
        <w:rPr>
          <w:rtl/>
        </w:rPr>
        <w:t xml:space="preserve"> </w:t>
      </w:r>
      <w:r w:rsidRPr="00835005">
        <w:rPr>
          <w:rtl/>
        </w:rPr>
        <w:t>1</w:t>
      </w:r>
      <w:r w:rsidR="00D40BC3" w:rsidRPr="00835005">
        <w:rPr>
          <w:rtl/>
        </w:rPr>
        <w:t>5</w:t>
      </w:r>
      <w:r w:rsidR="00D40BC3" w:rsidRPr="00D40BC3">
        <w:rPr>
          <w:rtl/>
        </w:rPr>
        <w:t>).</w:t>
      </w:r>
    </w:p>
    <w:p w14:paraId="036BD769" w14:textId="68415E72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22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تعتمد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فعالة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وصول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الأفراد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سبل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انتصاف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فعالة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للشكوى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انتزاع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الاعترافات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الأقوال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وطأة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غيره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ضروب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وعدم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قبول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الاعترافات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غيرها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الأقوال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المنتزعة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بالإكراه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الممارسة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العملية،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عدا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الإدلاء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شخص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متهم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كدليل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الأقوال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أُدلي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بها.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أيضا</w:t>
      </w:r>
      <w:r w:rsidR="00344A21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تكفل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تدريب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القضاة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كيفية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الكشف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الحالات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تنتزع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الاعترافات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وغيرها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الأقوال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وطأة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والتحقيق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فيها.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وتدعو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أيضا</w:t>
      </w:r>
      <w:r w:rsidR="00344A21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النظر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بعناية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مبادئ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المقابلة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الفعالة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سياق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التحقيقات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وجمع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(مبادئ</w:t>
      </w:r>
      <w:r w:rsidRPr="00835005">
        <w:rPr>
          <w:b/>
          <w:bCs/>
          <w:rtl/>
        </w:rPr>
        <w:t xml:space="preserve"> </w:t>
      </w:r>
      <w:proofErr w:type="spellStart"/>
      <w:r w:rsidRPr="00835005">
        <w:rPr>
          <w:b/>
          <w:bCs/>
          <w:rtl/>
        </w:rPr>
        <w:t>منديز</w:t>
      </w:r>
      <w:proofErr w:type="spellEnd"/>
      <w:r w:rsidR="00D40BC3" w:rsidRPr="00835005">
        <w:rPr>
          <w:b/>
          <w:bCs/>
          <w:rtl/>
        </w:rPr>
        <w:t>).</w:t>
      </w:r>
    </w:p>
    <w:p w14:paraId="135A7CEC" w14:textId="5B337CC2" w:rsidR="004A054C" w:rsidRPr="00835005" w:rsidRDefault="004A054C" w:rsidP="004A054C">
      <w:pPr>
        <w:pStyle w:val="H23GA"/>
        <w:rPr>
          <w:lang w:val="en-US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ظروف</w:t>
      </w:r>
      <w:r w:rsidRPr="00835005">
        <w:rPr>
          <w:rtl/>
        </w:rPr>
        <w:t xml:space="preserve"> </w:t>
      </w:r>
      <w:r w:rsidRPr="00835005">
        <w:rPr>
          <w:rtl/>
        </w:rPr>
        <w:t>الاحتجاز</w:t>
      </w:r>
    </w:p>
    <w:p w14:paraId="3B18E533" w14:textId="5B2EF0BC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23</w:t>
      </w:r>
      <w:r w:rsidRPr="004A054C">
        <w:rPr>
          <w:rtl/>
        </w:rPr>
        <w:t>-</w:t>
      </w:r>
      <w:r w:rsidRPr="004A054C">
        <w:rPr>
          <w:rtl/>
        </w:rPr>
        <w:tab/>
        <w:t>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B20EB7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بالمعلومات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قدمتها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تعاونها</w:t>
      </w:r>
      <w:r w:rsidRPr="004A054C">
        <w:rPr>
          <w:rtl/>
        </w:rPr>
        <w:t xml:space="preserve"> </w:t>
      </w:r>
      <w:r w:rsidRPr="004A054C">
        <w:rPr>
          <w:rtl/>
        </w:rPr>
        <w:t>مع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الدولية</w:t>
      </w:r>
      <w:r w:rsidRPr="004A054C">
        <w:rPr>
          <w:rtl/>
        </w:rPr>
        <w:t xml:space="preserve"> </w:t>
      </w:r>
      <w:r w:rsidRPr="004A054C">
        <w:rPr>
          <w:rtl/>
        </w:rPr>
        <w:t>للصليب</w:t>
      </w:r>
      <w:r w:rsidRPr="004A054C">
        <w:rPr>
          <w:rtl/>
        </w:rPr>
        <w:t xml:space="preserve"> </w:t>
      </w:r>
      <w:r w:rsidRPr="004A054C">
        <w:rPr>
          <w:rtl/>
        </w:rPr>
        <w:t>الأحمر</w:t>
      </w:r>
      <w:r w:rsidRPr="004A054C">
        <w:rPr>
          <w:rtl/>
        </w:rPr>
        <w:t xml:space="preserve"> </w:t>
      </w:r>
      <w:r w:rsidRPr="004A054C">
        <w:rPr>
          <w:rtl/>
        </w:rPr>
        <w:t>بشأن</w:t>
      </w:r>
      <w:r w:rsidRPr="004A054C">
        <w:rPr>
          <w:rtl/>
        </w:rPr>
        <w:t xml:space="preserve"> </w:t>
      </w:r>
      <w:r w:rsidRPr="004A054C">
        <w:rPr>
          <w:rtl/>
        </w:rPr>
        <w:t>تحسين</w:t>
      </w:r>
      <w:r w:rsidRPr="004A054C">
        <w:rPr>
          <w:rtl/>
        </w:rPr>
        <w:t xml:space="preserve"> </w:t>
      </w:r>
      <w:r w:rsidRPr="004A054C">
        <w:rPr>
          <w:rtl/>
        </w:rPr>
        <w:t>الأوضاع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السجون.</w:t>
      </w:r>
      <w:r w:rsidRPr="004A054C">
        <w:rPr>
          <w:rtl/>
        </w:rPr>
        <w:t xml:space="preserve"> </w:t>
      </w:r>
      <w:r w:rsidRPr="004A054C">
        <w:rPr>
          <w:rtl/>
        </w:rPr>
        <w:t>ومع</w:t>
      </w:r>
      <w:r w:rsidRPr="004A054C">
        <w:rPr>
          <w:rtl/>
        </w:rPr>
        <w:t xml:space="preserve"> </w:t>
      </w:r>
      <w:r w:rsidRPr="004A054C">
        <w:rPr>
          <w:rtl/>
        </w:rPr>
        <w:t>ذلك،</w:t>
      </w:r>
      <w:r w:rsidRPr="004A054C">
        <w:rPr>
          <w:rtl/>
        </w:rPr>
        <w:t xml:space="preserve"> </w:t>
      </w:r>
      <w:r w:rsidRPr="004A054C">
        <w:rPr>
          <w:rtl/>
        </w:rPr>
        <w:t>يساورها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لأنه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الرغم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الجهود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تبذلها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هذا</w:t>
      </w:r>
      <w:r w:rsidRPr="004A054C">
        <w:rPr>
          <w:rtl/>
        </w:rPr>
        <w:t xml:space="preserve"> </w:t>
      </w:r>
      <w:r w:rsidRPr="004A054C">
        <w:rPr>
          <w:rtl/>
        </w:rPr>
        <w:t>الصدد،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افتتاح</w:t>
      </w:r>
      <w:r w:rsidRPr="004A054C">
        <w:rPr>
          <w:rtl/>
        </w:rPr>
        <w:t xml:space="preserve"> </w:t>
      </w:r>
      <w:r w:rsidRPr="004A054C">
        <w:rPr>
          <w:rtl/>
        </w:rPr>
        <w:t>مجمع</w:t>
      </w:r>
      <w:r w:rsidRPr="004A054C">
        <w:rPr>
          <w:rtl/>
        </w:rPr>
        <w:t xml:space="preserve"> </w:t>
      </w:r>
      <w:r w:rsidRPr="004A054C">
        <w:rPr>
          <w:rtl/>
        </w:rPr>
        <w:t>السجون</w:t>
      </w:r>
      <w:r w:rsidRPr="004A054C">
        <w:rPr>
          <w:rtl/>
        </w:rPr>
        <w:t xml:space="preserve"> </w:t>
      </w:r>
      <w:r w:rsidRPr="004A054C">
        <w:rPr>
          <w:rtl/>
        </w:rPr>
        <w:t>والمحاكم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مقديشو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عام</w:t>
      </w:r>
      <w:r w:rsidR="00F72555">
        <w:rPr>
          <w:rFonts w:hint="cs"/>
          <w:rtl/>
        </w:rPr>
        <w:t> </w:t>
      </w:r>
      <w:r w:rsidRPr="00835005">
        <w:rPr>
          <w:rtl/>
        </w:rPr>
        <w:t>2019</w:t>
      </w:r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Pr="004A054C">
        <w:rPr>
          <w:rtl/>
        </w:rPr>
        <w:t xml:space="preserve"> </w:t>
      </w:r>
      <w:r w:rsidRPr="004A054C">
        <w:rPr>
          <w:rtl/>
        </w:rPr>
        <w:t>تزال</w:t>
      </w:r>
      <w:r w:rsidRPr="004A054C">
        <w:rPr>
          <w:rtl/>
        </w:rPr>
        <w:t xml:space="preserve"> </w:t>
      </w:r>
      <w:r w:rsidRPr="004A054C">
        <w:rPr>
          <w:rtl/>
        </w:rPr>
        <w:t>ترد</w:t>
      </w:r>
      <w:r w:rsidRPr="004A054C">
        <w:rPr>
          <w:rtl/>
        </w:rPr>
        <w:t xml:space="preserve"> </w:t>
      </w:r>
      <w:r w:rsidRPr="004A054C">
        <w:rPr>
          <w:rtl/>
        </w:rPr>
        <w:t>تقارير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الاكتظاظ</w:t>
      </w:r>
      <w:r w:rsidRPr="004A054C">
        <w:rPr>
          <w:rtl/>
        </w:rPr>
        <w:t xml:space="preserve"> </w:t>
      </w:r>
      <w:r w:rsidRPr="004A054C">
        <w:rPr>
          <w:rtl/>
        </w:rPr>
        <w:t>ورداءة</w:t>
      </w:r>
      <w:r w:rsidRPr="004A054C">
        <w:rPr>
          <w:rtl/>
        </w:rPr>
        <w:t xml:space="preserve"> </w:t>
      </w:r>
      <w:r w:rsidRPr="004A054C">
        <w:rPr>
          <w:rtl/>
        </w:rPr>
        <w:t>الظروف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السجون.</w:t>
      </w:r>
      <w:r w:rsidRPr="004A054C">
        <w:rPr>
          <w:rtl/>
        </w:rPr>
        <w:t xml:space="preserve"> </w:t>
      </w:r>
      <w:r w:rsidRPr="004A054C">
        <w:rPr>
          <w:rtl/>
        </w:rPr>
        <w:t>وتفيد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الظروف</w:t>
      </w:r>
      <w:r w:rsidRPr="004A054C">
        <w:rPr>
          <w:rtl/>
        </w:rPr>
        <w:t xml:space="preserve"> </w:t>
      </w:r>
      <w:r w:rsidRPr="004A054C">
        <w:rPr>
          <w:rtl/>
        </w:rPr>
        <w:t>قاسية</w:t>
      </w:r>
      <w:r w:rsidRPr="004A054C">
        <w:rPr>
          <w:rtl/>
        </w:rPr>
        <w:t xml:space="preserve"> </w:t>
      </w:r>
      <w:r w:rsidRPr="004A054C">
        <w:rPr>
          <w:rtl/>
        </w:rPr>
        <w:t>بشكل</w:t>
      </w:r>
      <w:r w:rsidRPr="004A054C">
        <w:rPr>
          <w:rtl/>
        </w:rPr>
        <w:t xml:space="preserve"> </w:t>
      </w:r>
      <w:r w:rsidRPr="004A054C">
        <w:rPr>
          <w:rtl/>
        </w:rPr>
        <w:t>خاص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السجون</w:t>
      </w:r>
      <w:r w:rsidRPr="004A054C">
        <w:rPr>
          <w:rtl/>
        </w:rPr>
        <w:t xml:space="preserve"> </w:t>
      </w:r>
      <w:r w:rsidRPr="004A054C">
        <w:rPr>
          <w:rtl/>
        </w:rPr>
        <w:t>الحضرية</w:t>
      </w:r>
      <w:r w:rsidRPr="004A054C">
        <w:rPr>
          <w:rtl/>
        </w:rPr>
        <w:t xml:space="preserve"> </w:t>
      </w:r>
      <w:r w:rsidRPr="004A054C">
        <w:rPr>
          <w:rtl/>
        </w:rPr>
        <w:t>عقب</w:t>
      </w:r>
      <w:r w:rsidRPr="004A054C">
        <w:rPr>
          <w:rtl/>
        </w:rPr>
        <w:t xml:space="preserve"> </w:t>
      </w:r>
      <w:r w:rsidRPr="004A054C">
        <w:rPr>
          <w:rtl/>
        </w:rPr>
        <w:t>عمليات</w:t>
      </w:r>
      <w:r w:rsidRPr="004A054C">
        <w:rPr>
          <w:rtl/>
        </w:rPr>
        <w:t xml:space="preserve"> </w:t>
      </w:r>
      <w:r w:rsidRPr="004A054C">
        <w:rPr>
          <w:rtl/>
        </w:rPr>
        <w:t>الاعتقال</w:t>
      </w:r>
      <w:r w:rsidRPr="004A054C">
        <w:rPr>
          <w:rtl/>
        </w:rPr>
        <w:t xml:space="preserve"> </w:t>
      </w:r>
      <w:r w:rsidRPr="004A054C">
        <w:rPr>
          <w:rtl/>
        </w:rPr>
        <w:t>الجماعية</w:t>
      </w:r>
      <w:r w:rsidRPr="004A054C">
        <w:rPr>
          <w:rtl/>
        </w:rPr>
        <w:t xml:space="preserve"> </w:t>
      </w:r>
      <w:r w:rsidRPr="004A054C">
        <w:rPr>
          <w:rtl/>
        </w:rPr>
        <w:t>وفي</w:t>
      </w:r>
      <w:r w:rsidRPr="004A054C">
        <w:rPr>
          <w:rtl/>
        </w:rPr>
        <w:t xml:space="preserve"> </w:t>
      </w:r>
      <w:proofErr w:type="spellStart"/>
      <w:r w:rsidRPr="004A054C">
        <w:rPr>
          <w:rtl/>
        </w:rPr>
        <w:t>جوبالاند</w:t>
      </w:r>
      <w:proofErr w:type="spellEnd"/>
      <w:r w:rsidRPr="004A054C">
        <w:rPr>
          <w:rtl/>
        </w:rPr>
        <w:t>.</w:t>
      </w:r>
      <w:r w:rsidRPr="004A054C">
        <w:rPr>
          <w:rtl/>
        </w:rPr>
        <w:t xml:space="preserve"> </w:t>
      </w:r>
      <w:r w:rsidRPr="004A054C">
        <w:rPr>
          <w:rtl/>
        </w:rPr>
        <w:t>وتلاحظ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بقلق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ظروف</w:t>
      </w:r>
      <w:r w:rsidRPr="004A054C">
        <w:rPr>
          <w:rtl/>
        </w:rPr>
        <w:t xml:space="preserve"> </w:t>
      </w:r>
      <w:r w:rsidRPr="004A054C">
        <w:rPr>
          <w:rtl/>
        </w:rPr>
        <w:t>السجون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المناطق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تسيطر</w:t>
      </w:r>
      <w:r w:rsidRPr="004A054C">
        <w:rPr>
          <w:rtl/>
        </w:rPr>
        <w:t xml:space="preserve"> </w:t>
      </w:r>
      <w:r w:rsidRPr="004A054C">
        <w:rPr>
          <w:rtl/>
        </w:rPr>
        <w:t>عليها</w:t>
      </w:r>
      <w:r w:rsidRPr="004A054C">
        <w:rPr>
          <w:rtl/>
        </w:rPr>
        <w:t xml:space="preserve"> </w:t>
      </w:r>
      <w:r w:rsidRPr="004A054C">
        <w:rPr>
          <w:rtl/>
        </w:rPr>
        <w:t>حركة</w:t>
      </w:r>
      <w:r w:rsidRPr="004A054C">
        <w:rPr>
          <w:rtl/>
        </w:rPr>
        <w:t xml:space="preserve"> </w:t>
      </w:r>
      <w:r w:rsidRPr="004A054C">
        <w:rPr>
          <w:rtl/>
        </w:rPr>
        <w:t>الشباب</w:t>
      </w:r>
      <w:r w:rsidRPr="004A054C">
        <w:rPr>
          <w:rtl/>
        </w:rPr>
        <w:t xml:space="preserve"> </w:t>
      </w:r>
      <w:r w:rsidRPr="004A054C">
        <w:rPr>
          <w:rtl/>
        </w:rPr>
        <w:t>تشكّل</w:t>
      </w:r>
      <w:r w:rsidRPr="004A054C">
        <w:rPr>
          <w:rtl/>
        </w:rPr>
        <w:t xml:space="preserve"> </w:t>
      </w:r>
      <w:r w:rsidRPr="004A054C">
        <w:rPr>
          <w:rtl/>
        </w:rPr>
        <w:t>خطر</w:t>
      </w:r>
      <w:r w:rsidR="00410ADA">
        <w:rPr>
          <w:rtl/>
        </w:rPr>
        <w:t>اً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الحياة.</w:t>
      </w:r>
      <w:r w:rsidRPr="004A054C">
        <w:rPr>
          <w:rtl/>
        </w:rPr>
        <w:t xml:space="preserve"> </w:t>
      </w:r>
      <w:r w:rsidRPr="004A054C">
        <w:rPr>
          <w:rtl/>
        </w:rPr>
        <w:t>ويساور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بوجه</w:t>
      </w:r>
      <w:r w:rsidRPr="004A054C">
        <w:rPr>
          <w:rtl/>
        </w:rPr>
        <w:t xml:space="preserve"> </w:t>
      </w:r>
      <w:r w:rsidRPr="004A054C">
        <w:rPr>
          <w:rtl/>
        </w:rPr>
        <w:t>خاص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ما</w:t>
      </w:r>
      <w:r w:rsidRPr="004A054C">
        <w:rPr>
          <w:rtl/>
        </w:rPr>
        <w:t xml:space="preserve"> </w:t>
      </w:r>
      <w:r w:rsidRPr="004A054C">
        <w:rPr>
          <w:rtl/>
        </w:rPr>
        <w:t>أُفيد</w:t>
      </w:r>
      <w:r w:rsidRPr="004A054C">
        <w:rPr>
          <w:rtl/>
        </w:rPr>
        <w:t xml:space="preserve"> </w:t>
      </w:r>
      <w:r w:rsidRPr="004A054C">
        <w:rPr>
          <w:rtl/>
        </w:rPr>
        <w:t>به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افتقار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مرافق</w:t>
      </w:r>
      <w:r w:rsidRPr="004A054C">
        <w:rPr>
          <w:rtl/>
        </w:rPr>
        <w:t xml:space="preserve"> </w:t>
      </w:r>
      <w:r w:rsidRPr="004A054C">
        <w:rPr>
          <w:rtl/>
        </w:rPr>
        <w:t>صرف</w:t>
      </w:r>
      <w:r w:rsidRPr="004A054C">
        <w:rPr>
          <w:rtl/>
        </w:rPr>
        <w:t xml:space="preserve"> </w:t>
      </w:r>
      <w:r w:rsidRPr="004A054C">
        <w:rPr>
          <w:rtl/>
        </w:rPr>
        <w:t>صحي</w:t>
      </w:r>
      <w:r w:rsidRPr="004A054C">
        <w:rPr>
          <w:rtl/>
          <w:lang w:val="fr-CH"/>
        </w:rPr>
        <w:t xml:space="preserve"> </w:t>
      </w:r>
      <w:r w:rsidR="00B20EB7">
        <w:rPr>
          <w:rFonts w:hint="cs"/>
          <w:rtl/>
          <w:lang w:val="fr-CH"/>
        </w:rPr>
        <w:t>و</w:t>
      </w:r>
      <w:r w:rsidRPr="004A054C">
        <w:rPr>
          <w:rtl/>
        </w:rPr>
        <w:t>نظافة</w:t>
      </w:r>
      <w:r w:rsidRPr="004A054C">
        <w:rPr>
          <w:rtl/>
        </w:rPr>
        <w:t xml:space="preserve"> </w:t>
      </w:r>
      <w:r w:rsidRPr="004A054C">
        <w:rPr>
          <w:rtl/>
        </w:rPr>
        <w:t>صحية</w:t>
      </w:r>
      <w:r w:rsidRPr="004A054C">
        <w:rPr>
          <w:rtl/>
        </w:rPr>
        <w:t xml:space="preserve"> </w:t>
      </w:r>
      <w:r w:rsidRPr="004A054C">
        <w:rPr>
          <w:rtl/>
        </w:rPr>
        <w:t>ملائمة،</w:t>
      </w:r>
      <w:r w:rsidRPr="004A054C">
        <w:rPr>
          <w:rtl/>
        </w:rPr>
        <w:t xml:space="preserve"> </w:t>
      </w:r>
      <w:r w:rsidRPr="004A054C">
        <w:rPr>
          <w:rtl/>
        </w:rPr>
        <w:t>وغياب</w:t>
      </w:r>
      <w:r w:rsidRPr="004A054C">
        <w:rPr>
          <w:rtl/>
        </w:rPr>
        <w:t xml:space="preserve"> </w:t>
      </w:r>
      <w:r w:rsidRPr="004A054C">
        <w:rPr>
          <w:rtl/>
        </w:rPr>
        <w:t>الرعاية</w:t>
      </w:r>
      <w:r w:rsidRPr="004A054C">
        <w:rPr>
          <w:rtl/>
        </w:rPr>
        <w:t xml:space="preserve"> </w:t>
      </w:r>
      <w:r w:rsidRPr="004A054C">
        <w:rPr>
          <w:rtl/>
        </w:rPr>
        <w:t>الطبية،</w:t>
      </w:r>
      <w:r w:rsidRPr="004A054C">
        <w:rPr>
          <w:rtl/>
        </w:rPr>
        <w:t xml:space="preserve"> </w:t>
      </w:r>
      <w:r w:rsidRPr="004A054C">
        <w:rPr>
          <w:rtl/>
        </w:rPr>
        <w:t>ورداءة</w:t>
      </w:r>
      <w:r w:rsidRPr="004A054C">
        <w:rPr>
          <w:rtl/>
        </w:rPr>
        <w:t xml:space="preserve"> </w:t>
      </w:r>
      <w:r w:rsidRPr="004A054C">
        <w:rPr>
          <w:rtl/>
        </w:rPr>
        <w:t>نوعية</w:t>
      </w:r>
      <w:r w:rsidRPr="004A054C">
        <w:rPr>
          <w:rtl/>
        </w:rPr>
        <w:t xml:space="preserve"> </w:t>
      </w:r>
      <w:r w:rsidRPr="004A054C">
        <w:rPr>
          <w:rtl/>
        </w:rPr>
        <w:t>الغذاء،</w:t>
      </w:r>
      <w:r w:rsidRPr="004A054C">
        <w:rPr>
          <w:rtl/>
        </w:rPr>
        <w:t xml:space="preserve"> </w:t>
      </w:r>
      <w:r w:rsidRPr="004A054C">
        <w:rPr>
          <w:rtl/>
        </w:rPr>
        <w:t>والافتقار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مياه</w:t>
      </w:r>
      <w:r w:rsidRPr="004A054C">
        <w:rPr>
          <w:rtl/>
        </w:rPr>
        <w:t xml:space="preserve"> </w:t>
      </w:r>
      <w:r w:rsidRPr="004A054C">
        <w:rPr>
          <w:rtl/>
        </w:rPr>
        <w:t>الشرب</w:t>
      </w:r>
      <w:r w:rsidRPr="004A054C">
        <w:rPr>
          <w:rtl/>
        </w:rPr>
        <w:t xml:space="preserve"> </w:t>
      </w:r>
      <w:r w:rsidRPr="004A054C">
        <w:rPr>
          <w:rtl/>
        </w:rPr>
        <w:t>النظيفة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السجون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جميع</w:t>
      </w:r>
      <w:r w:rsidRPr="004A054C">
        <w:rPr>
          <w:rtl/>
        </w:rPr>
        <w:t xml:space="preserve"> </w:t>
      </w:r>
      <w:r w:rsidRPr="004A054C">
        <w:rPr>
          <w:rtl/>
        </w:rPr>
        <w:t>أنحاء</w:t>
      </w:r>
      <w:r w:rsidRPr="004A054C">
        <w:rPr>
          <w:rtl/>
        </w:rPr>
        <w:t xml:space="preserve"> </w:t>
      </w:r>
      <w:r w:rsidRPr="004A054C">
        <w:rPr>
          <w:rtl/>
        </w:rPr>
        <w:t>إقليم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الطرف.</w:t>
      </w:r>
      <w:r w:rsidRPr="004A054C">
        <w:rPr>
          <w:rtl/>
        </w:rPr>
        <w:t xml:space="preserve"> </w:t>
      </w:r>
      <w:r w:rsidRPr="004A054C">
        <w:rPr>
          <w:rtl/>
        </w:rPr>
        <w:t>وفي</w:t>
      </w:r>
      <w:r w:rsidRPr="004A054C">
        <w:rPr>
          <w:rtl/>
        </w:rPr>
        <w:t xml:space="preserve"> </w:t>
      </w:r>
      <w:r w:rsidRPr="004A054C">
        <w:rPr>
          <w:rtl/>
        </w:rPr>
        <w:t>هذا</w:t>
      </w:r>
      <w:r w:rsidRPr="004A054C">
        <w:rPr>
          <w:rtl/>
        </w:rPr>
        <w:t xml:space="preserve"> </w:t>
      </w:r>
      <w:r w:rsidRPr="004A054C">
        <w:rPr>
          <w:rtl/>
        </w:rPr>
        <w:t>الصدد،</w:t>
      </w:r>
      <w:r w:rsidRPr="004A054C">
        <w:rPr>
          <w:rtl/>
        </w:rPr>
        <w:t xml:space="preserve"> </w:t>
      </w:r>
      <w:r w:rsidRPr="004A054C">
        <w:rPr>
          <w:rtl/>
        </w:rPr>
        <w:t>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</w:t>
      </w:r>
      <w:r w:rsidRPr="004A054C">
        <w:rPr>
          <w:rtl/>
        </w:rPr>
        <w:t xml:space="preserve"> </w:t>
      </w:r>
      <w:r w:rsidRPr="004A054C">
        <w:rPr>
          <w:rtl/>
        </w:rPr>
        <w:t>تقدم</w:t>
      </w:r>
      <w:r w:rsidRPr="004A054C">
        <w:rPr>
          <w:rtl/>
        </w:rPr>
        <w:t xml:space="preserve"> </w:t>
      </w:r>
      <w:r w:rsidRPr="004A054C">
        <w:rPr>
          <w:rtl/>
        </w:rPr>
        <w:t>معلومات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الخطوات</w:t>
      </w:r>
      <w:r w:rsidRPr="004A054C">
        <w:rPr>
          <w:rtl/>
        </w:rPr>
        <w:t xml:space="preserve"> </w:t>
      </w:r>
      <w:r w:rsidRPr="004A054C">
        <w:rPr>
          <w:rtl/>
        </w:rPr>
        <w:t>الملموسة</w:t>
      </w:r>
      <w:r w:rsidRPr="004A054C">
        <w:rPr>
          <w:rtl/>
        </w:rPr>
        <w:t xml:space="preserve"> </w:t>
      </w:r>
      <w:r w:rsidRPr="004A054C">
        <w:rPr>
          <w:rtl/>
        </w:rPr>
        <w:t>المتخذة</w:t>
      </w:r>
      <w:r w:rsidRPr="004A054C">
        <w:rPr>
          <w:rtl/>
        </w:rPr>
        <w:t xml:space="preserve"> </w:t>
      </w:r>
      <w:r w:rsidRPr="004A054C">
        <w:rPr>
          <w:rtl/>
        </w:rPr>
        <w:t>لتحسين</w:t>
      </w:r>
      <w:r w:rsidRPr="004A054C">
        <w:rPr>
          <w:rtl/>
        </w:rPr>
        <w:t xml:space="preserve"> </w:t>
      </w:r>
      <w:r w:rsidRPr="004A054C">
        <w:rPr>
          <w:rtl/>
        </w:rPr>
        <w:t>الحالة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السجون</w:t>
      </w:r>
      <w:r w:rsidRPr="004A054C">
        <w:rPr>
          <w:rtl/>
        </w:rPr>
        <w:t xml:space="preserve"> </w:t>
      </w:r>
      <w:r w:rsidRPr="004A054C">
        <w:rPr>
          <w:rtl/>
        </w:rPr>
        <w:t>وضمان</w:t>
      </w:r>
      <w:r w:rsidRPr="004A054C">
        <w:rPr>
          <w:rtl/>
        </w:rPr>
        <w:t xml:space="preserve"> </w:t>
      </w:r>
      <w:r w:rsidRPr="004A054C">
        <w:rPr>
          <w:rtl/>
        </w:rPr>
        <w:t>حصول</w:t>
      </w:r>
      <w:r w:rsidRPr="004A054C">
        <w:rPr>
          <w:rtl/>
        </w:rPr>
        <w:t xml:space="preserve"> </w:t>
      </w:r>
      <w:r w:rsidRPr="004A054C">
        <w:rPr>
          <w:rtl/>
        </w:rPr>
        <w:t>السجناء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الغذاء</w:t>
      </w:r>
      <w:r w:rsidRPr="004A054C">
        <w:rPr>
          <w:rtl/>
        </w:rPr>
        <w:t xml:space="preserve"> </w:t>
      </w:r>
      <w:r w:rsidRPr="004A054C">
        <w:rPr>
          <w:rtl/>
        </w:rPr>
        <w:t>الملائم</w:t>
      </w:r>
      <w:r w:rsidRPr="004A054C">
        <w:rPr>
          <w:rtl/>
        </w:rPr>
        <w:t xml:space="preserve"> </w:t>
      </w:r>
      <w:r w:rsidRPr="004A054C">
        <w:rPr>
          <w:rtl/>
        </w:rPr>
        <w:t>والكافي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الرغم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الجفاف</w:t>
      </w:r>
      <w:r w:rsidRPr="004A054C">
        <w:rPr>
          <w:rtl/>
        </w:rPr>
        <w:t xml:space="preserve"> </w:t>
      </w:r>
      <w:r w:rsidRPr="004A054C">
        <w:rPr>
          <w:rtl/>
        </w:rPr>
        <w:t>الذي</w:t>
      </w:r>
      <w:r w:rsidRPr="004A054C">
        <w:rPr>
          <w:rtl/>
        </w:rPr>
        <w:t xml:space="preserve"> </w:t>
      </w:r>
      <w:r w:rsidRPr="004A054C">
        <w:rPr>
          <w:rtl/>
        </w:rPr>
        <w:t>شهدته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لمدة</w:t>
      </w:r>
      <w:r w:rsidRPr="004A054C">
        <w:rPr>
          <w:rtl/>
        </w:rPr>
        <w:t xml:space="preserve"> </w:t>
      </w:r>
      <w:r w:rsidRPr="004A054C">
        <w:rPr>
          <w:rtl/>
        </w:rPr>
        <w:t>عامين.</w:t>
      </w:r>
      <w:r w:rsidRPr="004A054C">
        <w:rPr>
          <w:rtl/>
        </w:rPr>
        <w:t xml:space="preserve"> </w:t>
      </w:r>
      <w:r w:rsidRPr="004A054C">
        <w:rPr>
          <w:rtl/>
        </w:rPr>
        <w:t>وعلاوة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ذلك،</w:t>
      </w:r>
      <w:r w:rsidRPr="004A054C">
        <w:rPr>
          <w:rtl/>
        </w:rPr>
        <w:t xml:space="preserve"> </w:t>
      </w:r>
      <w:r w:rsidRPr="004A054C">
        <w:rPr>
          <w:rtl/>
        </w:rPr>
        <w:t>فإن</w:t>
      </w:r>
      <w:r w:rsidRPr="004A054C">
        <w:rPr>
          <w:rtl/>
        </w:rPr>
        <w:t xml:space="preserve"> </w:t>
      </w:r>
      <w:r w:rsidRPr="004A054C">
        <w:rPr>
          <w:rtl/>
        </w:rPr>
        <w:t>عدم</w:t>
      </w:r>
      <w:r w:rsidRPr="004A054C">
        <w:rPr>
          <w:rtl/>
        </w:rPr>
        <w:t xml:space="preserve"> </w:t>
      </w:r>
      <w:r w:rsidRPr="004A054C">
        <w:rPr>
          <w:rtl/>
        </w:rPr>
        <w:t>وجود</w:t>
      </w:r>
      <w:r w:rsidRPr="004A054C">
        <w:rPr>
          <w:rtl/>
        </w:rPr>
        <w:t xml:space="preserve"> </w:t>
      </w:r>
      <w:r w:rsidRPr="004A054C">
        <w:rPr>
          <w:rtl/>
        </w:rPr>
        <w:t>سجلات</w:t>
      </w:r>
      <w:r w:rsidRPr="004A054C">
        <w:rPr>
          <w:rtl/>
        </w:rPr>
        <w:t xml:space="preserve"> </w:t>
      </w:r>
      <w:r w:rsidRPr="004A054C">
        <w:rPr>
          <w:rtl/>
        </w:rPr>
        <w:t>مركزية</w:t>
      </w:r>
      <w:r w:rsidRPr="004A054C">
        <w:rPr>
          <w:rtl/>
        </w:rPr>
        <w:t xml:space="preserve"> </w:t>
      </w:r>
      <w:r w:rsidRPr="004A054C">
        <w:rPr>
          <w:rtl/>
        </w:rPr>
        <w:t>للسجون</w:t>
      </w:r>
      <w:r w:rsidRPr="004A054C">
        <w:rPr>
          <w:rtl/>
        </w:rPr>
        <w:t xml:space="preserve"> </w:t>
      </w:r>
      <w:r w:rsidRPr="004A054C">
        <w:rPr>
          <w:rtl/>
        </w:rPr>
        <w:t>يشكّل</w:t>
      </w:r>
      <w:r w:rsidRPr="004A054C">
        <w:rPr>
          <w:rtl/>
        </w:rPr>
        <w:t xml:space="preserve"> </w:t>
      </w:r>
      <w:r w:rsidRPr="004A054C">
        <w:rPr>
          <w:rtl/>
        </w:rPr>
        <w:t>داعي</w:t>
      </w:r>
      <w:r w:rsidRPr="004A054C">
        <w:rPr>
          <w:rtl/>
        </w:rPr>
        <w:t xml:space="preserve"> </w:t>
      </w:r>
      <w:r w:rsidRPr="004A054C">
        <w:rPr>
          <w:rtl/>
        </w:rPr>
        <w:t>قلق</w:t>
      </w:r>
      <w:r w:rsidRPr="004A054C">
        <w:rPr>
          <w:rtl/>
        </w:rPr>
        <w:t xml:space="preserve"> </w:t>
      </w:r>
      <w:r w:rsidRPr="004A054C">
        <w:rPr>
          <w:rtl/>
        </w:rPr>
        <w:t>بالغ</w:t>
      </w:r>
      <w:r w:rsidRPr="004A054C">
        <w:rPr>
          <w:rtl/>
        </w:rPr>
        <w:t xml:space="preserve"> </w:t>
      </w:r>
      <w:r w:rsidRPr="004A054C">
        <w:rPr>
          <w:rtl/>
        </w:rPr>
        <w:t>آخر.</w:t>
      </w:r>
      <w:r w:rsidRPr="004A054C">
        <w:rPr>
          <w:rtl/>
        </w:rPr>
        <w:t xml:space="preserve"> </w:t>
      </w:r>
      <w:r w:rsidRPr="004A054C">
        <w:rPr>
          <w:rtl/>
        </w:rPr>
        <w:t>وبالإضافة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ذلك،</w:t>
      </w:r>
      <w:r w:rsidRPr="004A054C">
        <w:rPr>
          <w:rtl/>
        </w:rPr>
        <w:t xml:space="preserve"> </w:t>
      </w:r>
      <w:r w:rsidRPr="004A054C">
        <w:rPr>
          <w:rtl/>
        </w:rPr>
        <w:t>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تشير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الفصل</w:t>
      </w:r>
      <w:r w:rsidRPr="004A054C">
        <w:rPr>
          <w:rtl/>
        </w:rPr>
        <w:t xml:space="preserve"> </w:t>
      </w:r>
      <w:r w:rsidRPr="004A054C">
        <w:rPr>
          <w:rtl/>
        </w:rPr>
        <w:t>الصارم</w:t>
      </w:r>
      <w:r w:rsidRPr="004A054C">
        <w:rPr>
          <w:rtl/>
        </w:rPr>
        <w:t xml:space="preserve"> </w:t>
      </w:r>
      <w:r w:rsidRPr="004A054C">
        <w:rPr>
          <w:rtl/>
        </w:rPr>
        <w:t>بين</w:t>
      </w:r>
      <w:r w:rsidRPr="004A054C">
        <w:rPr>
          <w:rtl/>
        </w:rPr>
        <w:t xml:space="preserve"> </w:t>
      </w:r>
      <w:r w:rsidRPr="004A054C">
        <w:rPr>
          <w:rtl/>
        </w:rPr>
        <w:t>القصر</w:t>
      </w:r>
      <w:r w:rsidRPr="004A054C">
        <w:rPr>
          <w:rtl/>
        </w:rPr>
        <w:t xml:space="preserve"> </w:t>
      </w:r>
      <w:r w:rsidRPr="004A054C">
        <w:rPr>
          <w:rtl/>
        </w:rPr>
        <w:t>والبالغين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مرافق</w:t>
      </w:r>
      <w:r w:rsidRPr="004A054C">
        <w:rPr>
          <w:rtl/>
        </w:rPr>
        <w:t xml:space="preserve"> </w:t>
      </w:r>
      <w:r w:rsidRPr="004A054C">
        <w:rPr>
          <w:rtl/>
        </w:rPr>
        <w:t>الاحتجاز،</w:t>
      </w:r>
      <w:r w:rsidRPr="004A054C">
        <w:rPr>
          <w:rtl/>
        </w:rPr>
        <w:t xml:space="preserve"> </w:t>
      </w:r>
      <w:r w:rsidRPr="004A054C">
        <w:rPr>
          <w:rtl/>
        </w:rPr>
        <w:t>وبين</w:t>
      </w:r>
      <w:r w:rsidRPr="004A054C">
        <w:rPr>
          <w:rtl/>
        </w:rPr>
        <w:t xml:space="preserve"> </w:t>
      </w:r>
      <w:r w:rsidRPr="004A054C">
        <w:rPr>
          <w:rtl/>
        </w:rPr>
        <w:t>النساء</w:t>
      </w:r>
      <w:r w:rsidRPr="004A054C">
        <w:rPr>
          <w:rtl/>
        </w:rPr>
        <w:t xml:space="preserve"> </w:t>
      </w:r>
      <w:r w:rsidRPr="004A054C">
        <w:rPr>
          <w:rtl/>
        </w:rPr>
        <w:t>رهن</w:t>
      </w:r>
      <w:r w:rsidRPr="004A054C">
        <w:rPr>
          <w:rtl/>
        </w:rPr>
        <w:t xml:space="preserve"> </w:t>
      </w:r>
      <w:r w:rsidRPr="004A054C">
        <w:rPr>
          <w:rtl/>
        </w:rPr>
        <w:t>الحبس</w:t>
      </w:r>
      <w:r w:rsidRPr="004A054C">
        <w:rPr>
          <w:rtl/>
        </w:rPr>
        <w:t xml:space="preserve"> </w:t>
      </w:r>
      <w:r w:rsidRPr="004A054C">
        <w:rPr>
          <w:rtl/>
        </w:rPr>
        <w:t>الاحتياطي</w:t>
      </w:r>
      <w:r w:rsidRPr="004A054C">
        <w:rPr>
          <w:rtl/>
        </w:rPr>
        <w:t xml:space="preserve"> </w:t>
      </w:r>
      <w:r w:rsidRPr="004A054C">
        <w:rPr>
          <w:rtl/>
        </w:rPr>
        <w:t>والنساء</w:t>
      </w:r>
      <w:r w:rsidRPr="004A054C">
        <w:rPr>
          <w:rtl/>
        </w:rPr>
        <w:t xml:space="preserve"> </w:t>
      </w:r>
      <w:r w:rsidRPr="004A054C">
        <w:rPr>
          <w:rtl/>
        </w:rPr>
        <w:t>المدانات</w:t>
      </w:r>
      <w:r w:rsidRPr="004A054C">
        <w:rPr>
          <w:rtl/>
        </w:rPr>
        <w:t xml:space="preserve"> </w:t>
      </w:r>
      <w:r w:rsidRPr="004A054C">
        <w:rPr>
          <w:rtl/>
        </w:rPr>
        <w:t>بالفعل،</w:t>
      </w:r>
      <w:r w:rsidRPr="004A054C">
        <w:rPr>
          <w:rtl/>
        </w:rPr>
        <w:t xml:space="preserve"> </w:t>
      </w:r>
      <w:r w:rsidRPr="004A054C">
        <w:rPr>
          <w:rtl/>
        </w:rPr>
        <w:t>ليس</w:t>
      </w:r>
      <w:r w:rsidRPr="004A054C">
        <w:rPr>
          <w:rtl/>
        </w:rPr>
        <w:t xml:space="preserve"> </w:t>
      </w:r>
      <w:r w:rsidRPr="004A054C">
        <w:rPr>
          <w:rtl/>
        </w:rPr>
        <w:t>مضمونا</w:t>
      </w:r>
      <w:r w:rsidR="00B20EB7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دائما</w:t>
      </w:r>
      <w:r w:rsidR="00B20EB7">
        <w:rPr>
          <w:rFonts w:hint="cs"/>
          <w:rtl/>
        </w:rPr>
        <w:t>ً</w:t>
      </w:r>
      <w:r w:rsidRPr="004A054C">
        <w:rPr>
          <w:rtl/>
        </w:rPr>
        <w:t>.</w:t>
      </w:r>
      <w:r w:rsidRPr="004A054C">
        <w:rPr>
          <w:rtl/>
        </w:rPr>
        <w:t xml:space="preserve"> </w:t>
      </w:r>
      <w:r w:rsidRPr="004A054C">
        <w:rPr>
          <w:rtl/>
        </w:rPr>
        <w:t>وأخيرا</w:t>
      </w:r>
      <w:r w:rsidR="00B20EB7">
        <w:rPr>
          <w:rFonts w:hint="cs"/>
          <w:rtl/>
        </w:rPr>
        <w:t>ً</w:t>
      </w:r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</w:t>
      </w:r>
      <w:r w:rsidRPr="004A054C">
        <w:rPr>
          <w:rtl/>
        </w:rPr>
        <w:t xml:space="preserve"> </w:t>
      </w:r>
      <w:r w:rsidRPr="004A054C">
        <w:rPr>
          <w:rtl/>
        </w:rPr>
        <w:t>تقدم</w:t>
      </w:r>
      <w:r w:rsidRPr="004A054C">
        <w:rPr>
          <w:rtl/>
        </w:rPr>
        <w:t xml:space="preserve"> </w:t>
      </w:r>
      <w:r w:rsidRPr="004A054C">
        <w:rPr>
          <w:rtl/>
        </w:rPr>
        <w:t>المعلومات</w:t>
      </w:r>
      <w:r w:rsidRPr="004A054C">
        <w:rPr>
          <w:rtl/>
        </w:rPr>
        <w:t xml:space="preserve"> </w:t>
      </w:r>
      <w:r w:rsidRPr="004A054C">
        <w:rPr>
          <w:rtl/>
        </w:rPr>
        <w:t>المطلوبة</w:t>
      </w:r>
      <w:r w:rsidRPr="004A054C">
        <w:rPr>
          <w:rtl/>
        </w:rPr>
        <w:t xml:space="preserve"> </w:t>
      </w:r>
      <w:r w:rsidRPr="004A054C">
        <w:rPr>
          <w:rtl/>
        </w:rPr>
        <w:t>عما</w:t>
      </w:r>
      <w:r w:rsidRPr="004A054C">
        <w:rPr>
          <w:rtl/>
        </w:rPr>
        <w:t xml:space="preserve"> </w:t>
      </w:r>
      <w:r w:rsidRPr="004A054C">
        <w:rPr>
          <w:rtl/>
        </w:rPr>
        <w:t>يحدث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عنف</w:t>
      </w:r>
      <w:r w:rsidRPr="004A054C">
        <w:rPr>
          <w:rtl/>
        </w:rPr>
        <w:t xml:space="preserve"> </w:t>
      </w:r>
      <w:r w:rsidRPr="004A054C">
        <w:rPr>
          <w:rtl/>
        </w:rPr>
        <w:t>بين</w:t>
      </w:r>
      <w:r w:rsidRPr="004A054C">
        <w:rPr>
          <w:rtl/>
        </w:rPr>
        <w:t xml:space="preserve"> </w:t>
      </w:r>
      <w:r w:rsidRPr="004A054C">
        <w:rPr>
          <w:rtl/>
        </w:rPr>
        <w:t>السجناء</w:t>
      </w:r>
      <w:r w:rsidRPr="004A054C">
        <w:rPr>
          <w:rtl/>
        </w:rPr>
        <w:t xml:space="preserve"> </w:t>
      </w:r>
      <w:r w:rsidRPr="004A054C">
        <w:rPr>
          <w:rtl/>
        </w:rPr>
        <w:t>ووفيات</w:t>
      </w:r>
      <w:r w:rsidRPr="004A054C">
        <w:rPr>
          <w:rtl/>
        </w:rPr>
        <w:t xml:space="preserve"> </w:t>
      </w:r>
      <w:r w:rsidRPr="004A054C">
        <w:rPr>
          <w:rtl/>
        </w:rPr>
        <w:t>أثناء</w:t>
      </w:r>
      <w:r w:rsidRPr="004A054C">
        <w:rPr>
          <w:rtl/>
        </w:rPr>
        <w:t xml:space="preserve"> </w:t>
      </w:r>
      <w:r w:rsidRPr="004A054C">
        <w:rPr>
          <w:rtl/>
        </w:rPr>
        <w:t>الاحتجاز</w:t>
      </w:r>
      <w:r w:rsidRPr="004A054C">
        <w:rPr>
          <w:rtl/>
        </w:rPr>
        <w:t xml:space="preserve"> </w:t>
      </w:r>
      <w:r w:rsidRPr="004A054C">
        <w:rPr>
          <w:rtl/>
        </w:rPr>
        <w:t>(المواد</w:t>
      </w:r>
      <w:r w:rsidRPr="004A054C">
        <w:rPr>
          <w:rtl/>
        </w:rPr>
        <w:t xml:space="preserve"> </w:t>
      </w:r>
      <w:r w:rsidRPr="00835005">
        <w:rPr>
          <w:rtl/>
        </w:rPr>
        <w:t>2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11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r w:rsidR="00D40BC3" w:rsidRPr="00D40BC3">
        <w:rPr>
          <w:rtl/>
        </w:rPr>
        <w:t>).</w:t>
      </w:r>
    </w:p>
    <w:p w14:paraId="247CD1B3" w14:textId="2A0DC9E3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24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القيام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يلي</w:t>
      </w:r>
      <w:r w:rsidR="00142229" w:rsidRPr="00835005">
        <w:rPr>
          <w:b/>
          <w:bCs/>
          <w:rtl/>
        </w:rPr>
        <w:t>:</w:t>
      </w:r>
    </w:p>
    <w:p w14:paraId="06219D19" w14:textId="554A3323" w:rsidR="00D40BC3" w:rsidRPr="00D40BC3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(أ)</w:t>
      </w:r>
      <w:r w:rsidRPr="004A054C">
        <w:rPr>
          <w:rtl/>
        </w:rPr>
        <w:tab/>
      </w:r>
      <w:r w:rsidRPr="00835005">
        <w:rPr>
          <w:b/>
          <w:bCs/>
          <w:rtl/>
        </w:rPr>
        <w:t>تكثيف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جهودها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سبيل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تحسين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ظروف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الاحتجاز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وتخفيف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الاكتظاظ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المؤسسات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الإصلاحية،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بطرق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تطبيق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غير</w:t>
      </w:r>
      <w:r w:rsidRPr="00835005">
        <w:rPr>
          <w:b/>
          <w:bCs/>
          <w:rtl/>
        </w:rPr>
        <w:t xml:space="preserve"> </w:t>
      </w:r>
      <w:proofErr w:type="spellStart"/>
      <w:r w:rsidRPr="00835005">
        <w:rPr>
          <w:b/>
          <w:bCs/>
          <w:rtl/>
        </w:rPr>
        <w:t>احتجازية</w:t>
      </w:r>
      <w:proofErr w:type="spellEnd"/>
      <w:r w:rsidRPr="00835005">
        <w:rPr>
          <w:b/>
          <w:bCs/>
          <w:rtl/>
        </w:rPr>
        <w:t>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الصدد،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توجه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انتباه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قواعد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الأمم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المتحدة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الدنيا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النموذجية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غير</w:t>
      </w:r>
      <w:r w:rsidRPr="00835005">
        <w:rPr>
          <w:b/>
          <w:bCs/>
          <w:rtl/>
        </w:rPr>
        <w:t xml:space="preserve"> </w:t>
      </w:r>
      <w:proofErr w:type="spellStart"/>
      <w:r w:rsidRPr="00835005">
        <w:rPr>
          <w:b/>
          <w:bCs/>
          <w:rtl/>
        </w:rPr>
        <w:t>الاحتجازية</w:t>
      </w:r>
      <w:proofErr w:type="spellEnd"/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(قواعد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طوكيو</w:t>
      </w:r>
      <w:r w:rsidR="00D40BC3" w:rsidRPr="00835005">
        <w:rPr>
          <w:b/>
          <w:bCs/>
          <w:rtl/>
        </w:rPr>
        <w:t>)،</w:t>
      </w:r>
      <w:r w:rsidR="00D40BC3"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وقواعد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الأمم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المتحدة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لمعاملة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السجينات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غير</w:t>
      </w:r>
      <w:r w:rsidRPr="00835005">
        <w:rPr>
          <w:b/>
          <w:bCs/>
          <w:rtl/>
        </w:rPr>
        <w:t xml:space="preserve"> </w:t>
      </w:r>
      <w:proofErr w:type="spellStart"/>
      <w:r w:rsidRPr="00835005">
        <w:rPr>
          <w:b/>
          <w:bCs/>
          <w:rtl/>
        </w:rPr>
        <w:t>الاحتجازية</w:t>
      </w:r>
      <w:proofErr w:type="spellEnd"/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للمجرمات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(قواعد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بانكوك</w:t>
      </w:r>
      <w:r w:rsidR="00D40BC3" w:rsidRPr="00835005">
        <w:rPr>
          <w:b/>
          <w:bCs/>
          <w:rtl/>
        </w:rPr>
        <w:t>)؛</w:t>
      </w:r>
    </w:p>
    <w:p w14:paraId="18BA8453" w14:textId="16628C9A" w:rsidR="00D40BC3" w:rsidRPr="00835005" w:rsidRDefault="004A054C" w:rsidP="004A054C">
      <w:pPr>
        <w:pStyle w:val="SingleTxtGA"/>
        <w:rPr>
          <w:rFonts w:ascii="Times New Roman Bold" w:hAnsi="Times New Roman Bold"/>
          <w:b/>
          <w:bCs/>
          <w:spacing w:val="-2"/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(ب)</w:t>
      </w:r>
      <w:r w:rsidRPr="004A054C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تلبية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الاحتياجات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الأساسية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للأشخاص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المحرومين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حريتهم،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يتعلق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بالمياه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والغذاء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والصرف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الصحي،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تقديم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الرعاية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الطبية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والصحية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المناسبة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للسجناء،</w:t>
      </w:r>
      <w:r w:rsidRPr="00835005">
        <w:rPr>
          <w:b/>
          <w:bCs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وفقا</w:t>
      </w:r>
      <w:r w:rsidR="000704F0" w:rsidRPr="00835005">
        <w:rPr>
          <w:rFonts w:ascii="Times New Roman Bold" w:hAnsi="Times New Roman Bold" w:hint="cs"/>
          <w:b/>
          <w:bCs/>
          <w:spacing w:val="-2"/>
          <w:rtl/>
        </w:rPr>
        <w:t>ً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للقواعد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24-35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من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قواعد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الأمم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المتحدة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النموذجية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الدنيا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لمعاملة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السجناء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(قواعد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نيلسون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مانديلا</w:t>
      </w:r>
      <w:r w:rsidR="00D40BC3" w:rsidRPr="00835005">
        <w:rPr>
          <w:rFonts w:ascii="Times New Roman Bold" w:hAnsi="Times New Roman Bold"/>
          <w:b/>
          <w:bCs/>
          <w:spacing w:val="-2"/>
          <w:rtl/>
        </w:rPr>
        <w:t>)؛</w:t>
      </w:r>
    </w:p>
    <w:p w14:paraId="2767E2C6" w14:textId="46731754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(ج)</w:t>
      </w:r>
      <w:r w:rsidRPr="004A054C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فصل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المحتجزين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قبل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المحاكمة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السجناء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المدانين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السجون،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سجون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النساء،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وفصل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القصر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البالغين،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أماكن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الاحتجاز؛</w:t>
      </w:r>
    </w:p>
    <w:p w14:paraId="5773846B" w14:textId="3426A596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(د)</w:t>
      </w:r>
      <w:r w:rsidRPr="004A054C">
        <w:rPr>
          <w:rtl/>
        </w:rPr>
        <w:tab/>
      </w:r>
      <w:r w:rsidRPr="00835005">
        <w:rPr>
          <w:b/>
          <w:bCs/>
          <w:rtl/>
        </w:rPr>
        <w:t>إنشاء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سجل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مركزي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محوسب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للاحتجاز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يشمل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الأشخاص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مراحل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حرمانهم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الحرية،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وإتاحته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لأي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سلطة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مختصة،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وإبلاغ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بنوع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المسجلة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وبما</w:t>
      </w:r>
      <w:r w:rsidR="00D662E6" w:rsidRPr="00835005">
        <w:rPr>
          <w:rFonts w:hint="cs"/>
          <w:b/>
          <w:bCs/>
          <w:rtl/>
        </w:rPr>
        <w:t> </w:t>
      </w:r>
      <w:r w:rsidRPr="00835005">
        <w:rPr>
          <w:b/>
          <w:bCs/>
          <w:rtl/>
        </w:rPr>
        <w:t>يُتخذ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محددة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حفظ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السجلات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بدقة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كضمانة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مهمة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العزل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والاحتجاز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التعسفي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والاختفاء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القسري؛</w:t>
      </w:r>
    </w:p>
    <w:p w14:paraId="05ABE972" w14:textId="44CF39EC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(هـ)</w:t>
      </w:r>
      <w:r w:rsidRPr="004A054C">
        <w:rPr>
          <w:rtl/>
        </w:rPr>
        <w:tab/>
      </w:r>
      <w:r w:rsidRPr="00835005">
        <w:rPr>
          <w:b/>
          <w:bCs/>
          <w:rtl/>
        </w:rPr>
        <w:t>جمع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أماكن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الحرمان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الحرية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الواقعة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الأقاليم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الخاضعة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لسيطرة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حركة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الشباب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وتسهيل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توثيق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جهات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فاعلة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أخرى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لهذه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الانتهاكات.</w:t>
      </w:r>
    </w:p>
    <w:p w14:paraId="2F277575" w14:textId="0CFF7DAF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رصد</w:t>
      </w:r>
      <w:r w:rsidRPr="00835005">
        <w:rPr>
          <w:rtl/>
        </w:rPr>
        <w:t xml:space="preserve"> </w:t>
      </w:r>
      <w:r w:rsidRPr="00835005">
        <w:rPr>
          <w:rtl/>
        </w:rPr>
        <w:t>مرافق</w:t>
      </w:r>
      <w:r w:rsidRPr="00835005">
        <w:rPr>
          <w:rtl/>
        </w:rPr>
        <w:t xml:space="preserve"> </w:t>
      </w:r>
      <w:r w:rsidRPr="00835005">
        <w:rPr>
          <w:rtl/>
        </w:rPr>
        <w:t>الاحتجاز</w:t>
      </w:r>
    </w:p>
    <w:p w14:paraId="3695265A" w14:textId="4C327816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25</w:t>
      </w:r>
      <w:r w:rsidRPr="004A054C">
        <w:rPr>
          <w:rtl/>
        </w:rPr>
        <w:t>-</w:t>
      </w:r>
      <w:r w:rsidRPr="004A054C">
        <w:rPr>
          <w:rtl/>
        </w:rPr>
        <w:tab/>
        <w:t>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096441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بزيارات</w:t>
      </w:r>
      <w:r w:rsidRPr="004A054C">
        <w:rPr>
          <w:rtl/>
        </w:rPr>
        <w:t xml:space="preserve"> </w:t>
      </w:r>
      <w:r w:rsidRPr="004A054C">
        <w:rPr>
          <w:rtl/>
        </w:rPr>
        <w:t>الرصد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قامت</w:t>
      </w:r>
      <w:r w:rsidRPr="004A054C">
        <w:rPr>
          <w:rtl/>
        </w:rPr>
        <w:t xml:space="preserve"> </w:t>
      </w:r>
      <w:r w:rsidRPr="004A054C">
        <w:rPr>
          <w:rtl/>
        </w:rPr>
        <w:t>بها</w:t>
      </w:r>
      <w:r w:rsidRPr="004A054C">
        <w:rPr>
          <w:rtl/>
        </w:rPr>
        <w:t xml:space="preserve"> </w:t>
      </w:r>
      <w:r w:rsidRPr="004A054C">
        <w:rPr>
          <w:rtl/>
        </w:rPr>
        <w:t>لجنة</w:t>
      </w:r>
      <w:r w:rsidRPr="004A054C">
        <w:rPr>
          <w:rtl/>
        </w:rPr>
        <w:t xml:space="preserve"> </w:t>
      </w:r>
      <w:r w:rsidRPr="004A054C">
        <w:rPr>
          <w:rtl/>
        </w:rPr>
        <w:t>حقوق</w:t>
      </w:r>
      <w:r w:rsidRPr="004A054C">
        <w:rPr>
          <w:rtl/>
        </w:rPr>
        <w:t xml:space="preserve"> </w:t>
      </w:r>
      <w:r w:rsidRPr="004A054C">
        <w:rPr>
          <w:rtl/>
        </w:rPr>
        <w:t>الإنسان</w:t>
      </w:r>
      <w:r w:rsidRPr="004A054C">
        <w:rPr>
          <w:rtl/>
        </w:rPr>
        <w:t xml:space="preserve"> </w:t>
      </w:r>
      <w:r w:rsidRPr="004A054C">
        <w:rPr>
          <w:rtl/>
        </w:rPr>
        <w:t>التابعة</w:t>
      </w:r>
      <w:r w:rsidRPr="004A054C">
        <w:rPr>
          <w:rtl/>
        </w:rPr>
        <w:t xml:space="preserve"> </w:t>
      </w:r>
      <w:r w:rsidRPr="004A054C">
        <w:rPr>
          <w:rtl/>
        </w:rPr>
        <w:t>لمجلس</w:t>
      </w:r>
      <w:r w:rsidRPr="004A054C">
        <w:rPr>
          <w:rtl/>
        </w:rPr>
        <w:t xml:space="preserve"> </w:t>
      </w:r>
      <w:r w:rsidRPr="004A054C">
        <w:rPr>
          <w:rtl/>
        </w:rPr>
        <w:t>الشيوخ</w:t>
      </w:r>
      <w:r w:rsidRPr="004A054C">
        <w:rPr>
          <w:rtl/>
        </w:rPr>
        <w:t xml:space="preserve"> </w:t>
      </w:r>
      <w:r w:rsidRPr="004A054C">
        <w:rPr>
          <w:rtl/>
        </w:rPr>
        <w:t>البرلماني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السجون.</w:t>
      </w:r>
      <w:r w:rsidRPr="004A054C">
        <w:rPr>
          <w:rtl/>
        </w:rPr>
        <w:t xml:space="preserve"> </w:t>
      </w:r>
      <w:r w:rsidRPr="004A054C">
        <w:rPr>
          <w:rtl/>
        </w:rPr>
        <w:t>لكن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Pr="004A054C">
        <w:rPr>
          <w:rtl/>
        </w:rPr>
        <w:t xml:space="preserve"> </w:t>
      </w:r>
      <w:r w:rsidRPr="004A054C">
        <w:rPr>
          <w:rtl/>
        </w:rPr>
        <w:t>يزال</w:t>
      </w:r>
      <w:r w:rsidRPr="004A054C">
        <w:rPr>
          <w:rtl/>
        </w:rPr>
        <w:t xml:space="preserve"> </w:t>
      </w:r>
      <w:r w:rsidRPr="004A054C">
        <w:rPr>
          <w:rtl/>
        </w:rPr>
        <w:t>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عدم</w:t>
      </w:r>
      <w:r w:rsidRPr="004A054C">
        <w:rPr>
          <w:rtl/>
        </w:rPr>
        <w:t xml:space="preserve"> </w:t>
      </w:r>
      <w:r w:rsidRPr="004A054C">
        <w:rPr>
          <w:rtl/>
        </w:rPr>
        <w:t>قيام</w:t>
      </w:r>
      <w:r w:rsidRPr="004A054C">
        <w:rPr>
          <w:rtl/>
        </w:rPr>
        <w:t xml:space="preserve"> </w:t>
      </w:r>
      <w:r w:rsidRPr="004A054C">
        <w:rPr>
          <w:rtl/>
        </w:rPr>
        <w:t>المراقبين</w:t>
      </w:r>
      <w:r w:rsidRPr="004A054C">
        <w:rPr>
          <w:rtl/>
        </w:rPr>
        <w:t xml:space="preserve"> </w:t>
      </w:r>
      <w:r w:rsidRPr="004A054C">
        <w:rPr>
          <w:rtl/>
        </w:rPr>
        <w:t>الوطنيين</w:t>
      </w:r>
      <w:r w:rsidRPr="004A054C">
        <w:rPr>
          <w:rtl/>
        </w:rPr>
        <w:t xml:space="preserve"> </w:t>
      </w:r>
      <w:r w:rsidRPr="004A054C">
        <w:rPr>
          <w:rtl/>
        </w:rPr>
        <w:t>والدوليين</w:t>
      </w:r>
      <w:r w:rsidRPr="004A054C">
        <w:rPr>
          <w:rtl/>
        </w:rPr>
        <w:t xml:space="preserve"> </w:t>
      </w:r>
      <w:r w:rsidRPr="004A054C">
        <w:rPr>
          <w:rtl/>
        </w:rPr>
        <w:t>بالرصد</w:t>
      </w:r>
      <w:r w:rsidRPr="004A054C">
        <w:rPr>
          <w:rtl/>
        </w:rPr>
        <w:t xml:space="preserve"> </w:t>
      </w:r>
      <w:r w:rsidRPr="004A054C">
        <w:rPr>
          <w:rtl/>
        </w:rPr>
        <w:t>المنتظم</w:t>
      </w:r>
      <w:r w:rsidRPr="004A054C">
        <w:rPr>
          <w:rtl/>
        </w:rPr>
        <w:t xml:space="preserve"> </w:t>
      </w:r>
      <w:r w:rsidRPr="004A054C">
        <w:rPr>
          <w:rtl/>
        </w:rPr>
        <w:t>لأماكن</w:t>
      </w:r>
      <w:r w:rsidRPr="004A054C">
        <w:rPr>
          <w:rtl/>
        </w:rPr>
        <w:t xml:space="preserve"> </w:t>
      </w:r>
      <w:r w:rsidRPr="004A054C">
        <w:rPr>
          <w:rtl/>
        </w:rPr>
        <w:t>الاحتجاز</w:t>
      </w:r>
      <w:r w:rsidRPr="004A054C">
        <w:rPr>
          <w:rtl/>
        </w:rPr>
        <w:t xml:space="preserve"> </w:t>
      </w:r>
      <w:r w:rsidRPr="004A054C">
        <w:rPr>
          <w:rtl/>
        </w:rPr>
        <w:t>(المادتان</w:t>
      </w:r>
      <w:r w:rsidRPr="004A054C">
        <w:rPr>
          <w:rtl/>
        </w:rPr>
        <w:t xml:space="preserve"> </w:t>
      </w:r>
      <w:r w:rsidRPr="00835005">
        <w:rPr>
          <w:rtl/>
        </w:rPr>
        <w:t>2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</w:t>
      </w:r>
      <w:r w:rsidR="00D40BC3" w:rsidRPr="00835005">
        <w:rPr>
          <w:rtl/>
        </w:rPr>
        <w:t>1</w:t>
      </w:r>
      <w:r w:rsidR="00D40BC3" w:rsidRPr="00D40BC3">
        <w:rPr>
          <w:rtl/>
        </w:rPr>
        <w:t>).</w:t>
      </w:r>
    </w:p>
    <w:p w14:paraId="6ACEEFD8" w14:textId="12ED18EC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26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التصديق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البروتوكول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الاختياري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لاتفاقية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مناهضة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وغيره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ضروب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العقوبة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القاسية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اللاإنسانية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المهينة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تكفل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قيام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المراقبين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الوطنيين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والدوليين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بالرصد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المنتظم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أماكن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الاحتجاز.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تكفل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رصد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مرافق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الاحتجاز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وتفتيشها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دون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إشعار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مسبق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بصورة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مستقلة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وفعالة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ومنتظمة،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تمكن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المراقبين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الكشف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يُعد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بمثابة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ظروف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سلوك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أماكن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الحرمان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الحرية،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وإجراء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مقابلات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سرية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المحتجزين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وتقديم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تقارير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يتوصلون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إليه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نتائج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السلطات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المعنية.</w:t>
      </w:r>
    </w:p>
    <w:p w14:paraId="1FD42589" w14:textId="16054B95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الإفلات</w:t>
      </w:r>
      <w:r w:rsidRPr="00835005">
        <w:rPr>
          <w:rtl/>
        </w:rPr>
        <w:t xml:space="preserve"> </w:t>
      </w:r>
      <w:r w:rsidRPr="00835005">
        <w:rPr>
          <w:rtl/>
        </w:rPr>
        <w:t>من</w:t>
      </w:r>
      <w:r w:rsidRPr="00835005">
        <w:rPr>
          <w:rtl/>
        </w:rPr>
        <w:t xml:space="preserve"> </w:t>
      </w:r>
      <w:r w:rsidRPr="00835005">
        <w:rPr>
          <w:rtl/>
        </w:rPr>
        <w:t>العقاب</w:t>
      </w:r>
    </w:p>
    <w:p w14:paraId="428E1294" w14:textId="10D2B875" w:rsidR="00D40BC3" w:rsidRPr="00096441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27</w:t>
      </w:r>
      <w:r w:rsidRPr="00096441">
        <w:rPr>
          <w:rtl/>
        </w:rPr>
        <w:t>-</w:t>
      </w:r>
      <w:r w:rsidRPr="00096441">
        <w:rPr>
          <w:rtl/>
        </w:rPr>
        <w:tab/>
        <w:t>يساور</w:t>
      </w:r>
      <w:r w:rsidRPr="00096441">
        <w:rPr>
          <w:rtl/>
        </w:rPr>
        <w:t xml:space="preserve"> </w:t>
      </w:r>
      <w:r w:rsidRPr="00096441">
        <w:rPr>
          <w:rtl/>
        </w:rPr>
        <w:t>اللجنة</w:t>
      </w:r>
      <w:r w:rsidRPr="00096441">
        <w:rPr>
          <w:rtl/>
        </w:rPr>
        <w:t xml:space="preserve"> </w:t>
      </w:r>
      <w:r w:rsidRPr="00096441">
        <w:rPr>
          <w:rtl/>
        </w:rPr>
        <w:t>القلق</w:t>
      </w:r>
      <w:r w:rsidRPr="00096441">
        <w:rPr>
          <w:rtl/>
        </w:rPr>
        <w:t xml:space="preserve"> </w:t>
      </w:r>
      <w:r w:rsidRPr="00096441">
        <w:rPr>
          <w:rtl/>
        </w:rPr>
        <w:t>إزاء</w:t>
      </w:r>
      <w:r w:rsidRPr="00096441">
        <w:rPr>
          <w:rtl/>
        </w:rPr>
        <w:t xml:space="preserve"> </w:t>
      </w:r>
      <w:r w:rsidRPr="00096441">
        <w:rPr>
          <w:rtl/>
        </w:rPr>
        <w:t>التقارير</w:t>
      </w:r>
      <w:r w:rsidRPr="00096441">
        <w:rPr>
          <w:rtl/>
        </w:rPr>
        <w:t xml:space="preserve"> </w:t>
      </w:r>
      <w:r w:rsidRPr="00096441">
        <w:rPr>
          <w:rtl/>
        </w:rPr>
        <w:t>التي</w:t>
      </w:r>
      <w:r w:rsidRPr="00096441">
        <w:rPr>
          <w:rtl/>
        </w:rPr>
        <w:t xml:space="preserve"> </w:t>
      </w:r>
      <w:r w:rsidRPr="00096441">
        <w:rPr>
          <w:rtl/>
        </w:rPr>
        <w:t>تفيد</w:t>
      </w:r>
      <w:r w:rsidRPr="00096441">
        <w:rPr>
          <w:rtl/>
        </w:rPr>
        <w:t xml:space="preserve"> </w:t>
      </w:r>
      <w:r w:rsidRPr="00096441">
        <w:rPr>
          <w:rtl/>
        </w:rPr>
        <w:t>بانتشار</w:t>
      </w:r>
      <w:r w:rsidRPr="00096441">
        <w:rPr>
          <w:rtl/>
        </w:rPr>
        <w:t xml:space="preserve"> </w:t>
      </w:r>
      <w:r w:rsidRPr="00096441">
        <w:rPr>
          <w:rtl/>
        </w:rPr>
        <w:t>الإفلات</w:t>
      </w:r>
      <w:r w:rsidRPr="00096441">
        <w:rPr>
          <w:rtl/>
        </w:rPr>
        <w:t xml:space="preserve"> </w:t>
      </w:r>
      <w:r w:rsidRPr="00096441">
        <w:rPr>
          <w:rtl/>
        </w:rPr>
        <w:t>من</w:t>
      </w:r>
      <w:r w:rsidRPr="00096441">
        <w:rPr>
          <w:rtl/>
        </w:rPr>
        <w:t xml:space="preserve"> </w:t>
      </w:r>
      <w:r w:rsidRPr="00096441">
        <w:rPr>
          <w:rtl/>
        </w:rPr>
        <w:t>العقاب</w:t>
      </w:r>
      <w:r w:rsidRPr="00096441">
        <w:rPr>
          <w:rtl/>
        </w:rPr>
        <w:t xml:space="preserve"> </w:t>
      </w:r>
      <w:r w:rsidRPr="00096441">
        <w:rPr>
          <w:rtl/>
        </w:rPr>
        <w:t>على</w:t>
      </w:r>
      <w:r w:rsidRPr="00096441">
        <w:rPr>
          <w:rtl/>
        </w:rPr>
        <w:t xml:space="preserve"> </w:t>
      </w:r>
      <w:r w:rsidRPr="00096441">
        <w:rPr>
          <w:rtl/>
        </w:rPr>
        <w:t>أعمال</w:t>
      </w:r>
      <w:r w:rsidRPr="00096441">
        <w:rPr>
          <w:rtl/>
        </w:rPr>
        <w:t xml:space="preserve"> </w:t>
      </w:r>
      <w:r w:rsidRPr="00096441">
        <w:rPr>
          <w:rtl/>
        </w:rPr>
        <w:t>التعذيب</w:t>
      </w:r>
      <w:r w:rsidRPr="00096441">
        <w:rPr>
          <w:rtl/>
        </w:rPr>
        <w:t xml:space="preserve"> </w:t>
      </w:r>
      <w:r w:rsidRPr="00096441">
        <w:rPr>
          <w:rtl/>
        </w:rPr>
        <w:t>التي</w:t>
      </w:r>
      <w:r w:rsidRPr="00096441">
        <w:rPr>
          <w:rtl/>
        </w:rPr>
        <w:t xml:space="preserve"> </w:t>
      </w:r>
      <w:r w:rsidRPr="00096441">
        <w:rPr>
          <w:rtl/>
        </w:rPr>
        <w:t>يرتكبها</w:t>
      </w:r>
      <w:r w:rsidRPr="00096441">
        <w:rPr>
          <w:rtl/>
        </w:rPr>
        <w:t xml:space="preserve"> </w:t>
      </w:r>
      <w:r w:rsidRPr="00096441">
        <w:rPr>
          <w:rtl/>
        </w:rPr>
        <w:t>ضباط</w:t>
      </w:r>
      <w:r w:rsidRPr="00096441">
        <w:rPr>
          <w:rtl/>
        </w:rPr>
        <w:t xml:space="preserve"> </w:t>
      </w:r>
      <w:r w:rsidRPr="00096441">
        <w:rPr>
          <w:rtl/>
        </w:rPr>
        <w:t>الشرطة</w:t>
      </w:r>
      <w:r w:rsidRPr="00096441">
        <w:rPr>
          <w:rtl/>
        </w:rPr>
        <w:t xml:space="preserve"> </w:t>
      </w:r>
      <w:r w:rsidRPr="00096441">
        <w:rPr>
          <w:rtl/>
        </w:rPr>
        <w:t>والجيش.</w:t>
      </w:r>
      <w:r w:rsidRPr="00096441">
        <w:rPr>
          <w:rtl/>
        </w:rPr>
        <w:t xml:space="preserve"> </w:t>
      </w:r>
      <w:r w:rsidRPr="00096441">
        <w:rPr>
          <w:rtl/>
        </w:rPr>
        <w:t>وفي</w:t>
      </w:r>
      <w:r w:rsidRPr="00096441">
        <w:rPr>
          <w:rtl/>
        </w:rPr>
        <w:t xml:space="preserve"> </w:t>
      </w:r>
      <w:r w:rsidRPr="00096441">
        <w:rPr>
          <w:rtl/>
        </w:rPr>
        <w:t>هذا</w:t>
      </w:r>
      <w:r w:rsidRPr="00096441">
        <w:rPr>
          <w:rtl/>
        </w:rPr>
        <w:t xml:space="preserve"> </w:t>
      </w:r>
      <w:r w:rsidRPr="00096441">
        <w:rPr>
          <w:rtl/>
        </w:rPr>
        <w:t>الصدد،</w:t>
      </w:r>
      <w:r w:rsidRPr="00096441">
        <w:rPr>
          <w:rtl/>
        </w:rPr>
        <w:t xml:space="preserve"> </w:t>
      </w:r>
      <w:r w:rsidRPr="00096441">
        <w:rPr>
          <w:rtl/>
        </w:rPr>
        <w:t>تعرب</w:t>
      </w:r>
      <w:r w:rsidRPr="00096441">
        <w:rPr>
          <w:rtl/>
        </w:rPr>
        <w:t xml:space="preserve"> </w:t>
      </w:r>
      <w:r w:rsidRPr="00096441">
        <w:rPr>
          <w:rtl/>
        </w:rPr>
        <w:t>اللجنة</w:t>
      </w:r>
      <w:r w:rsidRPr="00096441">
        <w:rPr>
          <w:rtl/>
        </w:rPr>
        <w:t xml:space="preserve"> </w:t>
      </w:r>
      <w:r w:rsidRPr="00096441">
        <w:rPr>
          <w:rtl/>
        </w:rPr>
        <w:t>عن</w:t>
      </w:r>
      <w:r w:rsidRPr="00096441">
        <w:rPr>
          <w:rtl/>
        </w:rPr>
        <w:t xml:space="preserve"> </w:t>
      </w:r>
      <w:r w:rsidRPr="00096441">
        <w:rPr>
          <w:rtl/>
        </w:rPr>
        <w:t>أسفها</w:t>
      </w:r>
      <w:r w:rsidRPr="00096441">
        <w:rPr>
          <w:rtl/>
        </w:rPr>
        <w:t xml:space="preserve"> </w:t>
      </w:r>
      <w:r w:rsidRPr="00096441">
        <w:rPr>
          <w:rtl/>
        </w:rPr>
        <w:t>لأن</w:t>
      </w:r>
      <w:r w:rsidRPr="00096441">
        <w:rPr>
          <w:rtl/>
        </w:rPr>
        <w:t xml:space="preserve"> </w:t>
      </w:r>
      <w:r w:rsidRPr="00096441">
        <w:rPr>
          <w:rtl/>
        </w:rPr>
        <w:t>الدولة</w:t>
      </w:r>
      <w:r w:rsidRPr="00096441">
        <w:rPr>
          <w:rtl/>
        </w:rPr>
        <w:t xml:space="preserve"> </w:t>
      </w:r>
      <w:r w:rsidRPr="00096441">
        <w:rPr>
          <w:rtl/>
        </w:rPr>
        <w:t>الطرف</w:t>
      </w:r>
      <w:r w:rsidRPr="00096441">
        <w:rPr>
          <w:rtl/>
        </w:rPr>
        <w:t xml:space="preserve"> </w:t>
      </w:r>
      <w:r w:rsidRPr="00096441">
        <w:rPr>
          <w:rtl/>
        </w:rPr>
        <w:t>لم</w:t>
      </w:r>
      <w:r w:rsidRPr="00096441">
        <w:rPr>
          <w:rtl/>
        </w:rPr>
        <w:t xml:space="preserve"> </w:t>
      </w:r>
      <w:r w:rsidRPr="00096441">
        <w:rPr>
          <w:rtl/>
        </w:rPr>
        <w:t>تقدم</w:t>
      </w:r>
      <w:r w:rsidRPr="00096441">
        <w:rPr>
          <w:rtl/>
        </w:rPr>
        <w:t xml:space="preserve"> </w:t>
      </w:r>
      <w:r w:rsidRPr="00096441">
        <w:rPr>
          <w:rtl/>
        </w:rPr>
        <w:t>المعلومات</w:t>
      </w:r>
      <w:r w:rsidRPr="00096441">
        <w:rPr>
          <w:rtl/>
        </w:rPr>
        <w:t xml:space="preserve"> </w:t>
      </w:r>
      <w:r w:rsidRPr="00096441">
        <w:rPr>
          <w:rtl/>
        </w:rPr>
        <w:t>المطلوبة</w:t>
      </w:r>
      <w:r w:rsidRPr="00096441">
        <w:rPr>
          <w:rtl/>
        </w:rPr>
        <w:t xml:space="preserve"> </w:t>
      </w:r>
      <w:r w:rsidRPr="00096441">
        <w:rPr>
          <w:rtl/>
        </w:rPr>
        <w:t>عن</w:t>
      </w:r>
      <w:r w:rsidRPr="00096441">
        <w:rPr>
          <w:rtl/>
        </w:rPr>
        <w:t xml:space="preserve"> </w:t>
      </w:r>
      <w:r w:rsidRPr="00096441">
        <w:rPr>
          <w:rtl/>
        </w:rPr>
        <w:t>آليات</w:t>
      </w:r>
      <w:r w:rsidRPr="00096441">
        <w:rPr>
          <w:rtl/>
        </w:rPr>
        <w:t xml:space="preserve"> </w:t>
      </w:r>
      <w:r w:rsidRPr="00096441">
        <w:rPr>
          <w:rtl/>
        </w:rPr>
        <w:t>تقديم</w:t>
      </w:r>
      <w:r w:rsidRPr="00096441">
        <w:rPr>
          <w:rtl/>
        </w:rPr>
        <w:t xml:space="preserve"> </w:t>
      </w:r>
      <w:r w:rsidRPr="00096441">
        <w:rPr>
          <w:rtl/>
        </w:rPr>
        <w:t>الشكاوى</w:t>
      </w:r>
      <w:r w:rsidRPr="00096441">
        <w:rPr>
          <w:rtl/>
        </w:rPr>
        <w:t xml:space="preserve"> </w:t>
      </w:r>
      <w:r w:rsidRPr="00096441">
        <w:rPr>
          <w:rtl/>
        </w:rPr>
        <w:t>المتاحة</w:t>
      </w:r>
      <w:r w:rsidRPr="00096441">
        <w:rPr>
          <w:rtl/>
        </w:rPr>
        <w:t xml:space="preserve"> </w:t>
      </w:r>
      <w:r w:rsidRPr="00096441">
        <w:rPr>
          <w:rtl/>
        </w:rPr>
        <w:t>لضحايا</w:t>
      </w:r>
      <w:r w:rsidRPr="00096441">
        <w:rPr>
          <w:rtl/>
        </w:rPr>
        <w:t xml:space="preserve"> </w:t>
      </w:r>
      <w:r w:rsidRPr="00096441">
        <w:rPr>
          <w:rtl/>
        </w:rPr>
        <w:t>التعذيب،</w:t>
      </w:r>
      <w:r w:rsidRPr="00096441">
        <w:rPr>
          <w:rtl/>
        </w:rPr>
        <w:t xml:space="preserve"> </w:t>
      </w:r>
      <w:r w:rsidRPr="00096441">
        <w:rPr>
          <w:rtl/>
        </w:rPr>
        <w:t>والجهود</w:t>
      </w:r>
      <w:r w:rsidRPr="00096441">
        <w:rPr>
          <w:rtl/>
        </w:rPr>
        <w:t xml:space="preserve"> </w:t>
      </w:r>
      <w:r w:rsidRPr="00096441">
        <w:rPr>
          <w:rtl/>
        </w:rPr>
        <w:t>المبذولة</w:t>
      </w:r>
      <w:r w:rsidRPr="00096441">
        <w:rPr>
          <w:rtl/>
        </w:rPr>
        <w:t xml:space="preserve"> </w:t>
      </w:r>
      <w:r w:rsidRPr="00096441">
        <w:rPr>
          <w:rtl/>
        </w:rPr>
        <w:t>لحماية</w:t>
      </w:r>
      <w:r w:rsidRPr="00096441">
        <w:rPr>
          <w:rtl/>
        </w:rPr>
        <w:t xml:space="preserve"> </w:t>
      </w:r>
      <w:r w:rsidRPr="00096441">
        <w:rPr>
          <w:rtl/>
        </w:rPr>
        <w:t>أصحاب</w:t>
      </w:r>
      <w:r w:rsidRPr="00096441">
        <w:rPr>
          <w:rtl/>
        </w:rPr>
        <w:t xml:space="preserve"> </w:t>
      </w:r>
      <w:r w:rsidRPr="00096441">
        <w:rPr>
          <w:spacing w:val="-3"/>
          <w:rtl/>
        </w:rPr>
        <w:t>الشكاوى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والشهود،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والإطار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القانوني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الذي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يحكم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الإجراءات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التأديبية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والجنائية،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كما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تعرب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اللجنة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عن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أسفها</w:t>
      </w:r>
      <w:r w:rsidRPr="00096441">
        <w:rPr>
          <w:spacing w:val="-3"/>
          <w:rtl/>
        </w:rPr>
        <w:t xml:space="preserve"> </w:t>
      </w:r>
      <w:r w:rsidRPr="00096441">
        <w:rPr>
          <w:spacing w:val="-3"/>
          <w:rtl/>
        </w:rPr>
        <w:t>لعدم</w:t>
      </w:r>
      <w:r w:rsidRPr="00096441">
        <w:rPr>
          <w:rtl/>
        </w:rPr>
        <w:t xml:space="preserve"> </w:t>
      </w:r>
      <w:r w:rsidRPr="00096441">
        <w:rPr>
          <w:rtl/>
        </w:rPr>
        <w:t>وجود</w:t>
      </w:r>
      <w:r w:rsidRPr="00096441">
        <w:rPr>
          <w:rtl/>
        </w:rPr>
        <w:t xml:space="preserve"> </w:t>
      </w:r>
      <w:r w:rsidRPr="00096441">
        <w:rPr>
          <w:rtl/>
        </w:rPr>
        <w:t>بيانات</w:t>
      </w:r>
      <w:r w:rsidRPr="00096441">
        <w:rPr>
          <w:rtl/>
        </w:rPr>
        <w:t xml:space="preserve"> </w:t>
      </w:r>
      <w:r w:rsidRPr="00096441">
        <w:rPr>
          <w:rtl/>
        </w:rPr>
        <w:t>إحصائية</w:t>
      </w:r>
      <w:r w:rsidRPr="00096441">
        <w:rPr>
          <w:rtl/>
        </w:rPr>
        <w:t xml:space="preserve"> </w:t>
      </w:r>
      <w:r w:rsidRPr="00096441">
        <w:rPr>
          <w:rtl/>
        </w:rPr>
        <w:t>مصنفة</w:t>
      </w:r>
      <w:r w:rsidRPr="00096441">
        <w:rPr>
          <w:rtl/>
        </w:rPr>
        <w:t xml:space="preserve"> </w:t>
      </w:r>
      <w:r w:rsidRPr="00096441">
        <w:rPr>
          <w:rtl/>
        </w:rPr>
        <w:t>عن</w:t>
      </w:r>
      <w:r w:rsidRPr="00096441">
        <w:rPr>
          <w:rtl/>
        </w:rPr>
        <w:t xml:space="preserve"> </w:t>
      </w:r>
      <w:r w:rsidRPr="00096441">
        <w:rPr>
          <w:rtl/>
        </w:rPr>
        <w:t>الشكاوى</w:t>
      </w:r>
      <w:r w:rsidRPr="00096441">
        <w:rPr>
          <w:rtl/>
        </w:rPr>
        <w:t xml:space="preserve"> </w:t>
      </w:r>
      <w:r w:rsidRPr="00096441">
        <w:rPr>
          <w:rtl/>
        </w:rPr>
        <w:t>المقدمة</w:t>
      </w:r>
      <w:r w:rsidRPr="00096441">
        <w:rPr>
          <w:rtl/>
        </w:rPr>
        <w:t xml:space="preserve"> </w:t>
      </w:r>
      <w:r w:rsidRPr="00096441">
        <w:rPr>
          <w:rtl/>
        </w:rPr>
        <w:t>بشأن</w:t>
      </w:r>
      <w:r w:rsidRPr="00096441">
        <w:rPr>
          <w:rtl/>
        </w:rPr>
        <w:t xml:space="preserve"> </w:t>
      </w:r>
      <w:r w:rsidRPr="00096441">
        <w:rPr>
          <w:rtl/>
        </w:rPr>
        <w:t>التعذيب</w:t>
      </w:r>
      <w:r w:rsidRPr="00096441">
        <w:rPr>
          <w:rtl/>
        </w:rPr>
        <w:t xml:space="preserve"> </w:t>
      </w:r>
      <w:r w:rsidRPr="00096441">
        <w:rPr>
          <w:rtl/>
        </w:rPr>
        <w:t>وسوء</w:t>
      </w:r>
      <w:r w:rsidRPr="00096441">
        <w:rPr>
          <w:rtl/>
        </w:rPr>
        <w:t xml:space="preserve"> </w:t>
      </w:r>
      <w:r w:rsidRPr="00096441">
        <w:rPr>
          <w:rtl/>
        </w:rPr>
        <w:t>المعاملة</w:t>
      </w:r>
      <w:r w:rsidRPr="00096441">
        <w:rPr>
          <w:rtl/>
        </w:rPr>
        <w:t xml:space="preserve"> </w:t>
      </w:r>
      <w:r w:rsidRPr="00096441">
        <w:rPr>
          <w:rtl/>
        </w:rPr>
        <w:t>(المواد</w:t>
      </w:r>
      <w:r w:rsidRPr="00096441">
        <w:rPr>
          <w:rtl/>
        </w:rPr>
        <w:t xml:space="preserve"> </w:t>
      </w:r>
      <w:r w:rsidRPr="00835005">
        <w:rPr>
          <w:rtl/>
        </w:rPr>
        <w:t>11</w:t>
      </w:r>
      <w:r w:rsidRPr="00096441">
        <w:rPr>
          <w:rtl/>
        </w:rPr>
        <w:t>-</w:t>
      </w:r>
      <w:r w:rsidRPr="00835005">
        <w:rPr>
          <w:rtl/>
        </w:rPr>
        <w:t>13</w:t>
      </w:r>
      <w:r w:rsidRPr="00096441">
        <w:rPr>
          <w:rtl/>
        </w:rPr>
        <w:t xml:space="preserve"> </w:t>
      </w:r>
      <w:r w:rsidRPr="00096441">
        <w:rPr>
          <w:rtl/>
        </w:rPr>
        <w:t>و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r w:rsidR="00D40BC3" w:rsidRPr="00096441">
        <w:rPr>
          <w:rtl/>
        </w:rPr>
        <w:t>).</w:t>
      </w:r>
    </w:p>
    <w:p w14:paraId="1EE36682" w14:textId="5C39AD1E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28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تكفل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إتاحة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آليات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فعالة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لتقديم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الشكاوى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ضحايا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وحماية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الضحايا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والشهود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الانتقام،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وإجراء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تحقيقات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فورية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ونزيهة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وفعالة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مزاعم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وإخضاع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الجناة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للعقوبة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الجنائية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و/أو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العقوبات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التأديبية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تتناسب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وخطورة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الجرائم.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أيضا</w:t>
      </w:r>
      <w:r w:rsidR="00FA1316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تجمع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إحصائية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مصنفة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شاملة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تتصل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الشكاوى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والتقارير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الواردة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وتنشرها،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كانت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الشكاوى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أفضت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تحقيقات،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الأمر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كذلك،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ذكر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السلطة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اضطلعت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</w:t>
      </w:r>
      <w:r w:rsidRPr="00835005">
        <w:rPr>
          <w:b/>
          <w:bCs/>
          <w:rtl/>
          <w:lang w:val="fr-CH"/>
        </w:rPr>
        <w:t>ها</w:t>
      </w:r>
      <w:r w:rsidRPr="00835005">
        <w:rPr>
          <w:b/>
          <w:bCs/>
          <w:rtl/>
        </w:rPr>
        <w:t>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كانت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التحقيقات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أسفرت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اتخاذ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تأديبية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و/أو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ملاحقات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قضائية،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الضحايا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حصلوا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جبر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للضرر.</w:t>
      </w:r>
    </w:p>
    <w:p w14:paraId="14E03D01" w14:textId="00FA65DC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العنف</w:t>
      </w:r>
      <w:r w:rsidRPr="00835005">
        <w:rPr>
          <w:rtl/>
        </w:rPr>
        <w:t xml:space="preserve"> </w:t>
      </w:r>
      <w:r w:rsidRPr="00835005">
        <w:rPr>
          <w:rtl/>
        </w:rPr>
        <w:t>الجنساني</w:t>
      </w:r>
    </w:p>
    <w:p w14:paraId="3DEB9EC6" w14:textId="32D64353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29</w:t>
      </w:r>
      <w:r w:rsidRPr="004A054C">
        <w:rPr>
          <w:rtl/>
        </w:rPr>
        <w:t>-</w:t>
      </w:r>
      <w:r w:rsidRPr="004A054C">
        <w:rPr>
          <w:rtl/>
        </w:rPr>
        <w:tab/>
        <w:t>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E92206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بالجهود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تبذلها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لمكافحة</w:t>
      </w:r>
      <w:r w:rsidRPr="004A054C">
        <w:rPr>
          <w:rtl/>
        </w:rPr>
        <w:t xml:space="preserve"> </w:t>
      </w:r>
      <w:r w:rsidRPr="004A054C">
        <w:rPr>
          <w:rtl/>
        </w:rPr>
        <w:t>العنف</w:t>
      </w:r>
      <w:r w:rsidRPr="004A054C">
        <w:rPr>
          <w:rtl/>
        </w:rPr>
        <w:t xml:space="preserve"> </w:t>
      </w:r>
      <w:r w:rsidRPr="004A054C">
        <w:rPr>
          <w:rtl/>
        </w:rPr>
        <w:t>الجنساني،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إنشاء</w:t>
      </w:r>
      <w:r w:rsidRPr="004A054C">
        <w:rPr>
          <w:rtl/>
        </w:rPr>
        <w:t xml:space="preserve"> </w:t>
      </w:r>
      <w:r w:rsidRPr="004A054C">
        <w:rPr>
          <w:rtl/>
        </w:rPr>
        <w:t>وزارة</w:t>
      </w:r>
      <w:r w:rsidRPr="004A054C">
        <w:rPr>
          <w:rtl/>
        </w:rPr>
        <w:t xml:space="preserve"> </w:t>
      </w:r>
      <w:r w:rsidRPr="004A054C">
        <w:rPr>
          <w:rtl/>
        </w:rPr>
        <w:t>شؤون</w:t>
      </w:r>
      <w:r w:rsidRPr="004A054C">
        <w:rPr>
          <w:rtl/>
        </w:rPr>
        <w:t xml:space="preserve"> </w:t>
      </w:r>
      <w:r w:rsidRPr="004A054C">
        <w:rPr>
          <w:rtl/>
        </w:rPr>
        <w:t>المرأة</w:t>
      </w:r>
      <w:r w:rsidRPr="004A054C">
        <w:rPr>
          <w:rtl/>
        </w:rPr>
        <w:t xml:space="preserve"> </w:t>
      </w:r>
      <w:r w:rsidRPr="004A054C">
        <w:rPr>
          <w:rtl/>
        </w:rPr>
        <w:t>وتنمية</w:t>
      </w:r>
      <w:r w:rsidRPr="004A054C">
        <w:rPr>
          <w:rtl/>
        </w:rPr>
        <w:t xml:space="preserve"> </w:t>
      </w:r>
      <w:r w:rsidRPr="004A054C">
        <w:rPr>
          <w:rtl/>
        </w:rPr>
        <w:t>حقوق</w:t>
      </w:r>
      <w:r w:rsidRPr="004A054C">
        <w:rPr>
          <w:rtl/>
        </w:rPr>
        <w:t xml:space="preserve"> </w:t>
      </w:r>
      <w:r w:rsidRPr="004A054C">
        <w:rPr>
          <w:rtl/>
        </w:rPr>
        <w:t>الإنسان،</w:t>
      </w:r>
      <w:r w:rsidRPr="004A054C">
        <w:rPr>
          <w:rtl/>
        </w:rPr>
        <w:t xml:space="preserve"> </w:t>
      </w:r>
      <w:r w:rsidRPr="004A054C">
        <w:rPr>
          <w:rtl/>
        </w:rPr>
        <w:t>واعتماد</w:t>
      </w:r>
      <w:r w:rsidRPr="004A054C">
        <w:rPr>
          <w:rtl/>
        </w:rPr>
        <w:t xml:space="preserve"> </w:t>
      </w:r>
      <w:r w:rsidRPr="004A054C">
        <w:rPr>
          <w:rtl/>
        </w:rPr>
        <w:t>خطة</w:t>
      </w:r>
      <w:r w:rsidRPr="004A054C">
        <w:rPr>
          <w:rtl/>
        </w:rPr>
        <w:t xml:space="preserve"> </w:t>
      </w:r>
      <w:r w:rsidRPr="004A054C">
        <w:rPr>
          <w:rtl/>
        </w:rPr>
        <w:t>العمل</w:t>
      </w:r>
      <w:r w:rsidRPr="004A054C">
        <w:rPr>
          <w:rtl/>
        </w:rPr>
        <w:t xml:space="preserve"> </w:t>
      </w:r>
      <w:r w:rsidRPr="004A054C">
        <w:rPr>
          <w:rtl/>
        </w:rPr>
        <w:t>الوطنية</w:t>
      </w:r>
      <w:r w:rsidRPr="004A054C">
        <w:rPr>
          <w:rtl/>
        </w:rPr>
        <w:t xml:space="preserve"> </w:t>
      </w:r>
      <w:r w:rsidRPr="004A054C">
        <w:rPr>
          <w:rtl/>
        </w:rPr>
        <w:t>لإنهاء</w:t>
      </w:r>
      <w:r w:rsidRPr="004A054C">
        <w:rPr>
          <w:rtl/>
        </w:rPr>
        <w:t xml:space="preserve"> </w:t>
      </w:r>
      <w:r w:rsidRPr="004A054C">
        <w:rPr>
          <w:rtl/>
        </w:rPr>
        <w:t>العنف</w:t>
      </w:r>
      <w:r w:rsidRPr="004A054C">
        <w:rPr>
          <w:rtl/>
        </w:rPr>
        <w:t xml:space="preserve"> </w:t>
      </w:r>
      <w:r w:rsidRPr="004A054C">
        <w:rPr>
          <w:rtl/>
        </w:rPr>
        <w:t>الجنسي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حالات</w:t>
      </w:r>
      <w:r w:rsidRPr="004A054C">
        <w:rPr>
          <w:rtl/>
        </w:rPr>
        <w:t xml:space="preserve"> </w:t>
      </w:r>
      <w:r w:rsidRPr="004A054C">
        <w:rPr>
          <w:rtl/>
        </w:rPr>
        <w:t>النزاع،</w:t>
      </w:r>
      <w:r w:rsidRPr="004A054C">
        <w:rPr>
          <w:rtl/>
        </w:rPr>
        <w:t xml:space="preserve"> </w:t>
      </w:r>
      <w:r w:rsidRPr="004A054C">
        <w:rPr>
          <w:rtl/>
        </w:rPr>
        <w:t>وصياغة</w:t>
      </w:r>
      <w:r w:rsidRPr="004A054C">
        <w:rPr>
          <w:rtl/>
        </w:rPr>
        <w:t xml:space="preserve"> </w:t>
      </w:r>
      <w:r w:rsidRPr="004A054C">
        <w:rPr>
          <w:rtl/>
        </w:rPr>
        <w:t>مشروع</w:t>
      </w:r>
      <w:r w:rsidRPr="004A054C">
        <w:rPr>
          <w:rtl/>
        </w:rPr>
        <w:t xml:space="preserve"> </w:t>
      </w:r>
      <w:r w:rsidRPr="004A054C">
        <w:rPr>
          <w:rtl/>
        </w:rPr>
        <w:t>قانون</w:t>
      </w:r>
      <w:r w:rsidRPr="004A054C">
        <w:rPr>
          <w:rtl/>
        </w:rPr>
        <w:t xml:space="preserve"> </w:t>
      </w:r>
      <w:r w:rsidRPr="004A054C">
        <w:rPr>
          <w:rtl/>
        </w:rPr>
        <w:t>بشأن</w:t>
      </w:r>
      <w:r w:rsidRPr="004A054C">
        <w:rPr>
          <w:rtl/>
        </w:rPr>
        <w:t xml:space="preserve"> </w:t>
      </w:r>
      <w:r w:rsidRPr="004A054C">
        <w:rPr>
          <w:rtl/>
        </w:rPr>
        <w:t>الجرائم</w:t>
      </w:r>
      <w:r w:rsidRPr="004A054C">
        <w:rPr>
          <w:rtl/>
        </w:rPr>
        <w:t xml:space="preserve"> </w:t>
      </w:r>
      <w:r w:rsidRPr="004A054C">
        <w:rPr>
          <w:rtl/>
        </w:rPr>
        <w:t>الجنسية.</w:t>
      </w:r>
      <w:r w:rsidRPr="004A054C">
        <w:rPr>
          <w:rtl/>
        </w:rPr>
        <w:t xml:space="preserve"> </w:t>
      </w:r>
      <w:r w:rsidRPr="004A054C">
        <w:rPr>
          <w:rtl/>
        </w:rPr>
        <w:t>ومع</w:t>
      </w:r>
      <w:r w:rsidRPr="004A054C">
        <w:rPr>
          <w:rtl/>
        </w:rPr>
        <w:t xml:space="preserve"> </w:t>
      </w:r>
      <w:r w:rsidRPr="004A054C">
        <w:rPr>
          <w:rtl/>
        </w:rPr>
        <w:t>ذلك،</w:t>
      </w:r>
      <w:r w:rsidRPr="004A054C">
        <w:rPr>
          <w:rtl/>
        </w:rPr>
        <w:t xml:space="preserve"> </w:t>
      </w:r>
      <w:r w:rsidRPr="004A054C">
        <w:rPr>
          <w:rtl/>
        </w:rPr>
        <w:t>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ارتفاع</w:t>
      </w:r>
      <w:r w:rsidRPr="004A054C">
        <w:rPr>
          <w:rtl/>
        </w:rPr>
        <w:t xml:space="preserve"> </w:t>
      </w:r>
      <w:r w:rsidRPr="004A054C">
        <w:rPr>
          <w:rtl/>
        </w:rPr>
        <w:t>معدلات</w:t>
      </w:r>
      <w:r w:rsidRPr="004A054C">
        <w:rPr>
          <w:rtl/>
        </w:rPr>
        <w:t xml:space="preserve"> </w:t>
      </w:r>
      <w:r w:rsidRPr="004A054C">
        <w:rPr>
          <w:rtl/>
        </w:rPr>
        <w:t>العنف</w:t>
      </w:r>
      <w:r w:rsidRPr="004A054C">
        <w:rPr>
          <w:rtl/>
        </w:rPr>
        <w:t xml:space="preserve"> </w:t>
      </w:r>
      <w:r w:rsidRPr="004A054C">
        <w:rPr>
          <w:rtl/>
        </w:rPr>
        <w:t>الجنسي</w:t>
      </w:r>
      <w:r w:rsidRPr="004A054C">
        <w:rPr>
          <w:rtl/>
        </w:rPr>
        <w:t xml:space="preserve"> </w:t>
      </w:r>
      <w:proofErr w:type="spellStart"/>
      <w:r w:rsidRPr="004A054C">
        <w:rPr>
          <w:rtl/>
        </w:rPr>
        <w:t>والجنساني</w:t>
      </w:r>
      <w:proofErr w:type="spellEnd"/>
      <w:r w:rsidRPr="004A054C">
        <w:rPr>
          <w:rtl/>
        </w:rPr>
        <w:t xml:space="preserve"> </w:t>
      </w:r>
      <w:r w:rsidRPr="004A054C">
        <w:rPr>
          <w:rtl/>
        </w:rPr>
        <w:t>والعنف</w:t>
      </w:r>
      <w:r w:rsidRPr="004A054C">
        <w:rPr>
          <w:rtl/>
        </w:rPr>
        <w:t xml:space="preserve"> </w:t>
      </w:r>
      <w:r w:rsidRPr="004A054C">
        <w:rPr>
          <w:rtl/>
        </w:rPr>
        <w:t>الأسري</w:t>
      </w:r>
      <w:r w:rsidRPr="004A054C">
        <w:rPr>
          <w:rtl/>
        </w:rPr>
        <w:t xml:space="preserve"> </w:t>
      </w:r>
      <w:r w:rsidRPr="004A054C">
        <w:rPr>
          <w:rtl/>
        </w:rPr>
        <w:t>المرتكب</w:t>
      </w:r>
      <w:r w:rsidRPr="004A054C">
        <w:rPr>
          <w:rtl/>
        </w:rPr>
        <w:t xml:space="preserve"> </w:t>
      </w:r>
      <w:r w:rsidRPr="004A054C">
        <w:rPr>
          <w:rtl/>
        </w:rPr>
        <w:t>ضد</w:t>
      </w:r>
      <w:r w:rsidRPr="004A054C">
        <w:rPr>
          <w:rtl/>
        </w:rPr>
        <w:t xml:space="preserve"> </w:t>
      </w:r>
      <w:r w:rsidRPr="004A054C">
        <w:rPr>
          <w:rtl/>
        </w:rPr>
        <w:t>النساء</w:t>
      </w:r>
      <w:r w:rsidRPr="004A054C">
        <w:rPr>
          <w:rtl/>
        </w:rPr>
        <w:t xml:space="preserve"> </w:t>
      </w:r>
      <w:r w:rsidRPr="004A054C">
        <w:rPr>
          <w:rtl/>
        </w:rPr>
        <w:t>والأطفال</w:t>
      </w:r>
      <w:r w:rsidRPr="004A054C">
        <w:rPr>
          <w:rtl/>
        </w:rPr>
        <w:t xml:space="preserve"> </w:t>
      </w:r>
      <w:r w:rsidRPr="004A054C">
        <w:rPr>
          <w:rtl/>
        </w:rPr>
        <w:t>مع</w:t>
      </w:r>
      <w:r w:rsidRPr="004A054C">
        <w:rPr>
          <w:rtl/>
        </w:rPr>
        <w:t xml:space="preserve"> </w:t>
      </w:r>
      <w:r w:rsidRPr="004A054C">
        <w:rPr>
          <w:rtl/>
        </w:rPr>
        <w:t>إفلات</w:t>
      </w:r>
      <w:r w:rsidRPr="004A054C">
        <w:rPr>
          <w:rtl/>
        </w:rPr>
        <w:t xml:space="preserve"> </w:t>
      </w:r>
      <w:r w:rsidRPr="004A054C">
        <w:rPr>
          <w:rtl/>
        </w:rPr>
        <w:t>شبه</w:t>
      </w:r>
      <w:r w:rsidRPr="004A054C">
        <w:rPr>
          <w:rtl/>
        </w:rPr>
        <w:t xml:space="preserve"> </w:t>
      </w:r>
      <w:r w:rsidRPr="004A054C">
        <w:rPr>
          <w:rtl/>
        </w:rPr>
        <w:t>تام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العقاب.</w:t>
      </w:r>
      <w:r w:rsidRPr="004A054C">
        <w:rPr>
          <w:rtl/>
        </w:rPr>
        <w:t xml:space="preserve"> </w:t>
      </w:r>
      <w:r w:rsidRPr="004A054C">
        <w:rPr>
          <w:rtl/>
        </w:rPr>
        <w:t>وتذكر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الأمم</w:t>
      </w:r>
      <w:r w:rsidRPr="004A054C">
        <w:rPr>
          <w:rtl/>
        </w:rPr>
        <w:t xml:space="preserve"> </w:t>
      </w:r>
      <w:r w:rsidRPr="004A054C">
        <w:rPr>
          <w:rtl/>
        </w:rPr>
        <w:t>المتحدة</w:t>
      </w:r>
      <w:r w:rsidRPr="004A054C">
        <w:rPr>
          <w:rtl/>
        </w:rPr>
        <w:t xml:space="preserve"> </w:t>
      </w:r>
      <w:r w:rsidRPr="004A054C">
        <w:rPr>
          <w:rtl/>
        </w:rPr>
        <w:t>سجلت،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الفترة</w:t>
      </w:r>
      <w:r w:rsidRPr="004A054C">
        <w:rPr>
          <w:rtl/>
        </w:rPr>
        <w:t xml:space="preserve"> </w:t>
      </w:r>
      <w:r w:rsidRPr="004A054C">
        <w:rPr>
          <w:rtl/>
        </w:rPr>
        <w:t>ما</w:t>
      </w:r>
      <w:r w:rsidRPr="004A054C">
        <w:rPr>
          <w:rtl/>
        </w:rPr>
        <w:t xml:space="preserve"> </w:t>
      </w:r>
      <w:r w:rsidRPr="004A054C">
        <w:rPr>
          <w:rtl/>
        </w:rPr>
        <w:t>بين</w:t>
      </w:r>
      <w:r w:rsidRPr="004A054C">
        <w:rPr>
          <w:rtl/>
        </w:rPr>
        <w:t xml:space="preserve"> </w:t>
      </w:r>
      <w:r w:rsidRPr="00835005">
        <w:rPr>
          <w:rtl/>
        </w:rPr>
        <w:t>1</w:t>
      </w:r>
      <w:r w:rsidRPr="004A054C">
        <w:rPr>
          <w:rtl/>
        </w:rPr>
        <w:t xml:space="preserve"> </w:t>
      </w:r>
      <w:r w:rsidRPr="004A054C">
        <w:rPr>
          <w:rtl/>
        </w:rPr>
        <w:t>آب/أغسطس</w:t>
      </w:r>
      <w:r w:rsidRPr="004A054C">
        <w:rPr>
          <w:rtl/>
        </w:rPr>
        <w:t xml:space="preserve"> </w:t>
      </w:r>
      <w:r w:rsidRPr="00835005">
        <w:rPr>
          <w:rtl/>
        </w:rPr>
        <w:t>2019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30</w:t>
      </w:r>
      <w:r w:rsidRPr="004A054C">
        <w:rPr>
          <w:rtl/>
        </w:rPr>
        <w:t xml:space="preserve"> </w:t>
      </w:r>
      <w:r w:rsidRPr="004A054C">
        <w:rPr>
          <w:rtl/>
        </w:rPr>
        <w:t>حزيران/</w:t>
      </w:r>
      <w:r w:rsidR="00F72555">
        <w:rPr>
          <w:rFonts w:hint="cs"/>
          <w:rtl/>
        </w:rPr>
        <w:t xml:space="preserve"> </w:t>
      </w:r>
      <w:r w:rsidRPr="004A054C">
        <w:rPr>
          <w:rtl/>
        </w:rPr>
        <w:t>يونيه</w:t>
      </w:r>
      <w:r w:rsidRPr="004A054C">
        <w:rPr>
          <w:rtl/>
        </w:rPr>
        <w:t xml:space="preserve"> </w:t>
      </w:r>
      <w:r w:rsidRPr="00835005">
        <w:rPr>
          <w:rtl/>
        </w:rPr>
        <w:t>2020</w:t>
      </w:r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مئات</w:t>
      </w:r>
      <w:r w:rsidRPr="004A054C">
        <w:rPr>
          <w:rtl/>
        </w:rPr>
        <w:t xml:space="preserve"> </w:t>
      </w:r>
      <w:r w:rsidRPr="004A054C">
        <w:rPr>
          <w:rtl/>
        </w:rPr>
        <w:t>حوادث</w:t>
      </w:r>
      <w:r w:rsidRPr="004A054C">
        <w:rPr>
          <w:rtl/>
        </w:rPr>
        <w:t xml:space="preserve"> </w:t>
      </w:r>
      <w:r w:rsidRPr="004A054C">
        <w:rPr>
          <w:rtl/>
        </w:rPr>
        <w:t>العنف</w:t>
      </w:r>
      <w:r w:rsidRPr="004A054C">
        <w:rPr>
          <w:rtl/>
        </w:rPr>
        <w:t xml:space="preserve"> </w:t>
      </w:r>
      <w:r w:rsidRPr="004A054C">
        <w:rPr>
          <w:rtl/>
        </w:rPr>
        <w:t>الجنسي</w:t>
      </w:r>
      <w:r w:rsidRPr="004A054C">
        <w:rPr>
          <w:rtl/>
        </w:rPr>
        <w:t xml:space="preserve"> </w:t>
      </w:r>
      <w:r w:rsidRPr="004A054C">
        <w:rPr>
          <w:rtl/>
        </w:rPr>
        <w:t>ضد</w:t>
      </w:r>
      <w:r w:rsidRPr="004A054C">
        <w:rPr>
          <w:rtl/>
        </w:rPr>
        <w:t xml:space="preserve"> </w:t>
      </w:r>
      <w:r w:rsidRPr="004A054C">
        <w:rPr>
          <w:rtl/>
        </w:rPr>
        <w:t>النساء</w:t>
      </w:r>
      <w:r w:rsidRPr="004A054C">
        <w:rPr>
          <w:rtl/>
        </w:rPr>
        <w:t xml:space="preserve"> </w:t>
      </w:r>
      <w:r w:rsidRPr="004A054C">
        <w:rPr>
          <w:rtl/>
        </w:rPr>
        <w:t>والفتيات</w:t>
      </w:r>
      <w:r w:rsidRPr="004A054C">
        <w:rPr>
          <w:rtl/>
        </w:rPr>
        <w:t xml:space="preserve"> </w:t>
      </w:r>
      <w:r w:rsidRPr="004A054C">
        <w:rPr>
          <w:rtl/>
        </w:rPr>
        <w:t>المنسوبة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رجال</w:t>
      </w:r>
      <w:r w:rsidRPr="004A054C">
        <w:rPr>
          <w:rtl/>
        </w:rPr>
        <w:t xml:space="preserve"> </w:t>
      </w:r>
      <w:r w:rsidRPr="004A054C">
        <w:rPr>
          <w:rtl/>
        </w:rPr>
        <w:t>مسلحين</w:t>
      </w:r>
      <w:r w:rsidRPr="004A054C">
        <w:rPr>
          <w:rtl/>
        </w:rPr>
        <w:t xml:space="preserve"> </w:t>
      </w:r>
      <w:r w:rsidRPr="004A054C">
        <w:rPr>
          <w:rtl/>
        </w:rPr>
        <w:t>مجهولي</w:t>
      </w:r>
      <w:r w:rsidRPr="004A054C">
        <w:rPr>
          <w:rtl/>
        </w:rPr>
        <w:t xml:space="preserve"> </w:t>
      </w:r>
      <w:r w:rsidRPr="004A054C">
        <w:rPr>
          <w:rtl/>
        </w:rPr>
        <w:t>الهوية،</w:t>
      </w:r>
      <w:r w:rsidRPr="004A054C">
        <w:rPr>
          <w:rtl/>
        </w:rPr>
        <w:t xml:space="preserve"> </w:t>
      </w:r>
      <w:r w:rsidRPr="004A054C">
        <w:rPr>
          <w:rtl/>
        </w:rPr>
        <w:t>وأفراد</w:t>
      </w:r>
      <w:r w:rsidRPr="004A054C">
        <w:rPr>
          <w:rtl/>
        </w:rPr>
        <w:t xml:space="preserve"> </w:t>
      </w:r>
      <w:r w:rsidRPr="004A054C">
        <w:rPr>
          <w:rtl/>
        </w:rPr>
        <w:t>مليشيات</w:t>
      </w:r>
      <w:r w:rsidRPr="004A054C">
        <w:rPr>
          <w:rtl/>
        </w:rPr>
        <w:t xml:space="preserve"> </w:t>
      </w:r>
      <w:r w:rsidRPr="004A054C">
        <w:rPr>
          <w:rtl/>
        </w:rPr>
        <w:t>عشائرية،</w:t>
      </w:r>
      <w:r w:rsidRPr="004A054C">
        <w:rPr>
          <w:rtl/>
        </w:rPr>
        <w:t xml:space="preserve"> </w:t>
      </w:r>
      <w:r w:rsidRPr="004A054C">
        <w:rPr>
          <w:rtl/>
        </w:rPr>
        <w:t>وحركة</w:t>
      </w:r>
      <w:r w:rsidRPr="004A054C">
        <w:rPr>
          <w:rtl/>
        </w:rPr>
        <w:t xml:space="preserve"> </w:t>
      </w:r>
      <w:r w:rsidRPr="004A054C">
        <w:rPr>
          <w:rtl/>
        </w:rPr>
        <w:t>الشباب،</w:t>
      </w:r>
      <w:r w:rsidRPr="004A054C">
        <w:rPr>
          <w:rtl/>
        </w:rPr>
        <w:t xml:space="preserve"> </w:t>
      </w:r>
      <w:r w:rsidRPr="004A054C">
        <w:rPr>
          <w:rtl/>
        </w:rPr>
        <w:t>والشرطة،</w:t>
      </w:r>
      <w:r w:rsidRPr="004A054C">
        <w:rPr>
          <w:rtl/>
        </w:rPr>
        <w:t xml:space="preserve"> </w:t>
      </w:r>
      <w:r w:rsidRPr="004A054C">
        <w:rPr>
          <w:rtl/>
        </w:rPr>
        <w:t>والقوات</w:t>
      </w:r>
      <w:r w:rsidRPr="004A054C">
        <w:rPr>
          <w:rtl/>
        </w:rPr>
        <w:t xml:space="preserve"> </w:t>
      </w:r>
      <w:r w:rsidRPr="004A054C">
        <w:rPr>
          <w:rtl/>
        </w:rPr>
        <w:t>المسلحة</w:t>
      </w:r>
      <w:r w:rsidRPr="004A054C">
        <w:rPr>
          <w:rtl/>
        </w:rPr>
        <w:t xml:space="preserve"> </w:t>
      </w:r>
      <w:r w:rsidRPr="004A054C">
        <w:rPr>
          <w:rtl/>
        </w:rPr>
        <w:t>الصومالية</w:t>
      </w:r>
      <w:r w:rsidR="00D40BC3" w:rsidRPr="00835005">
        <w:rPr>
          <w:rStyle w:val="FootnoteReference"/>
          <w:sz w:val="22"/>
          <w:rtl/>
        </w:rPr>
        <w:t>(</w:t>
      </w:r>
      <w:r w:rsidR="00D40BC3" w:rsidRPr="00835005">
        <w:rPr>
          <w:rStyle w:val="FootnoteReference"/>
          <w:sz w:val="22"/>
          <w:lang w:val="en-US"/>
        </w:rPr>
        <w:footnoteReference w:id="4"/>
      </w:r>
      <w:r w:rsidR="00F45C5B" w:rsidRPr="00835005">
        <w:rPr>
          <w:rStyle w:val="FootnoteReference"/>
          <w:sz w:val="22"/>
          <w:rtl/>
        </w:rPr>
        <w:t>)</w:t>
      </w:r>
      <w:r w:rsidR="00E92206" w:rsidRPr="004A054C">
        <w:rPr>
          <w:rtl/>
        </w:rPr>
        <w:t>.</w:t>
      </w:r>
      <w:r w:rsidRPr="004A054C">
        <w:rPr>
          <w:rtl/>
        </w:rPr>
        <w:t xml:space="preserve"> </w:t>
      </w:r>
      <w:r w:rsidRPr="004A054C">
        <w:rPr>
          <w:rtl/>
        </w:rPr>
        <w:t>وفي</w:t>
      </w:r>
      <w:r w:rsidRPr="004A054C">
        <w:rPr>
          <w:rtl/>
        </w:rPr>
        <w:t xml:space="preserve"> </w:t>
      </w:r>
      <w:r w:rsidRPr="004A054C">
        <w:rPr>
          <w:rtl/>
        </w:rPr>
        <w:t>الآونة</w:t>
      </w:r>
      <w:r w:rsidRPr="004A054C">
        <w:rPr>
          <w:rtl/>
        </w:rPr>
        <w:t xml:space="preserve"> </w:t>
      </w:r>
      <w:r w:rsidRPr="004A054C">
        <w:rPr>
          <w:rtl/>
        </w:rPr>
        <w:t>الأخيرة،</w:t>
      </w:r>
      <w:r w:rsidRPr="004A054C">
        <w:rPr>
          <w:rtl/>
        </w:rPr>
        <w:t xml:space="preserve"> </w:t>
      </w:r>
      <w:r w:rsidRPr="004A054C">
        <w:rPr>
          <w:rtl/>
        </w:rPr>
        <w:t>تلقت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مزاعم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عنف</w:t>
      </w:r>
      <w:r w:rsidRPr="004A054C">
        <w:rPr>
          <w:rtl/>
        </w:rPr>
        <w:t xml:space="preserve"> </w:t>
      </w:r>
      <w:r w:rsidRPr="004A054C">
        <w:rPr>
          <w:rtl/>
        </w:rPr>
        <w:t>جنساني</w:t>
      </w:r>
      <w:r w:rsidRPr="004A054C">
        <w:rPr>
          <w:rtl/>
        </w:rPr>
        <w:t xml:space="preserve"> </w:t>
      </w:r>
      <w:r w:rsidRPr="004A054C">
        <w:rPr>
          <w:rtl/>
        </w:rPr>
        <w:t>ارتكبته</w:t>
      </w:r>
      <w:r w:rsidRPr="004A054C">
        <w:rPr>
          <w:rtl/>
        </w:rPr>
        <w:t xml:space="preserve"> </w:t>
      </w:r>
      <w:r w:rsidRPr="004A054C">
        <w:rPr>
          <w:rtl/>
        </w:rPr>
        <w:t>حركة</w:t>
      </w:r>
      <w:r w:rsidRPr="004A054C">
        <w:rPr>
          <w:rtl/>
        </w:rPr>
        <w:t xml:space="preserve"> </w:t>
      </w:r>
      <w:r w:rsidRPr="004A054C">
        <w:rPr>
          <w:rtl/>
        </w:rPr>
        <w:t>الشباب</w:t>
      </w:r>
      <w:r w:rsidRPr="004A054C">
        <w:rPr>
          <w:rtl/>
        </w:rPr>
        <w:t xml:space="preserve"> </w:t>
      </w:r>
      <w:r w:rsidRPr="004A054C">
        <w:rPr>
          <w:rtl/>
        </w:rPr>
        <w:t>وقوات</w:t>
      </w:r>
      <w:r w:rsidRPr="004A054C">
        <w:rPr>
          <w:rtl/>
        </w:rPr>
        <w:t xml:space="preserve"> </w:t>
      </w:r>
      <w:r w:rsidRPr="004A054C">
        <w:rPr>
          <w:rtl/>
        </w:rPr>
        <w:t>الدنب</w:t>
      </w:r>
      <w:r w:rsidRPr="004A054C">
        <w:rPr>
          <w:rtl/>
        </w:rPr>
        <w:t xml:space="preserve"> </w:t>
      </w:r>
      <w:r w:rsidRPr="004A054C">
        <w:rPr>
          <w:rtl/>
        </w:rPr>
        <w:t>وقوات</w:t>
      </w:r>
      <w:r w:rsidRPr="004A054C">
        <w:rPr>
          <w:rtl/>
        </w:rPr>
        <w:t xml:space="preserve"> </w:t>
      </w:r>
      <w:r w:rsidRPr="004A054C">
        <w:rPr>
          <w:rtl/>
        </w:rPr>
        <w:t>رئيس</w:t>
      </w:r>
      <w:r w:rsidRPr="004A054C">
        <w:rPr>
          <w:rtl/>
        </w:rPr>
        <w:t xml:space="preserve"> </w:t>
      </w:r>
      <w:proofErr w:type="spellStart"/>
      <w:r w:rsidRPr="004A054C">
        <w:rPr>
          <w:rtl/>
        </w:rPr>
        <w:t>جوبالاند</w:t>
      </w:r>
      <w:proofErr w:type="spellEnd"/>
      <w:r w:rsidRPr="004A054C">
        <w:rPr>
          <w:rtl/>
        </w:rPr>
        <w:t xml:space="preserve"> </w:t>
      </w:r>
      <w:r w:rsidRPr="004A054C">
        <w:rPr>
          <w:rtl/>
        </w:rPr>
        <w:t>أحمد</w:t>
      </w:r>
      <w:r w:rsidRPr="004A054C">
        <w:rPr>
          <w:rtl/>
        </w:rPr>
        <w:t xml:space="preserve"> </w:t>
      </w:r>
      <w:r w:rsidRPr="004A054C">
        <w:rPr>
          <w:rtl/>
        </w:rPr>
        <w:t>محمد</w:t>
      </w:r>
      <w:r w:rsidRPr="004A054C">
        <w:rPr>
          <w:rtl/>
        </w:rPr>
        <w:t xml:space="preserve"> </w:t>
      </w:r>
      <w:r w:rsidRPr="004A054C">
        <w:rPr>
          <w:rtl/>
        </w:rPr>
        <w:t>إسلام</w:t>
      </w:r>
      <w:r w:rsidRPr="004A054C">
        <w:rPr>
          <w:rtl/>
        </w:rPr>
        <w:t xml:space="preserve"> </w:t>
      </w:r>
      <w:r w:rsidRPr="004A054C">
        <w:rPr>
          <w:rtl/>
        </w:rPr>
        <w:t>"مذوبيه"،</w:t>
      </w:r>
      <w:r w:rsidRPr="004A054C">
        <w:rPr>
          <w:rtl/>
        </w:rPr>
        <w:t xml:space="preserve"> </w:t>
      </w:r>
      <w:r w:rsidRPr="004A054C">
        <w:rPr>
          <w:rtl/>
        </w:rPr>
        <w:t>وقوات</w:t>
      </w:r>
      <w:r w:rsidRPr="004A054C">
        <w:rPr>
          <w:rtl/>
        </w:rPr>
        <w:t xml:space="preserve"> </w:t>
      </w:r>
      <w:r w:rsidRPr="004A054C">
        <w:rPr>
          <w:rtl/>
        </w:rPr>
        <w:t>الدفاع</w:t>
      </w:r>
      <w:r w:rsidRPr="004A054C">
        <w:rPr>
          <w:rtl/>
        </w:rPr>
        <w:t xml:space="preserve"> </w:t>
      </w:r>
      <w:r w:rsidRPr="004A054C">
        <w:rPr>
          <w:rtl/>
        </w:rPr>
        <w:t>الكينية.</w:t>
      </w:r>
      <w:r w:rsidRPr="004A054C">
        <w:rPr>
          <w:rtl/>
        </w:rPr>
        <w:t xml:space="preserve"> </w:t>
      </w:r>
      <w:r w:rsidRPr="004A054C">
        <w:rPr>
          <w:rtl/>
        </w:rPr>
        <w:t>ويساور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أيضا</w:t>
      </w:r>
      <w:r w:rsidR="00E92206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الأسر</w:t>
      </w:r>
      <w:r w:rsidRPr="004A054C">
        <w:rPr>
          <w:rtl/>
        </w:rPr>
        <w:t xml:space="preserve"> </w:t>
      </w:r>
      <w:r w:rsidRPr="004A054C">
        <w:rPr>
          <w:rtl/>
        </w:rPr>
        <w:t>والضحايا</w:t>
      </w:r>
      <w:r w:rsidRPr="004A054C">
        <w:rPr>
          <w:rtl/>
        </w:rPr>
        <w:t xml:space="preserve"> </w:t>
      </w:r>
      <w:r w:rsidRPr="004A054C">
        <w:rPr>
          <w:rtl/>
        </w:rPr>
        <w:t>يفضلون</w:t>
      </w:r>
      <w:r w:rsidRPr="004A054C">
        <w:rPr>
          <w:rtl/>
        </w:rPr>
        <w:t xml:space="preserve"> </w:t>
      </w:r>
      <w:r w:rsidRPr="004A054C">
        <w:rPr>
          <w:rtl/>
        </w:rPr>
        <w:t>تقديم</w:t>
      </w:r>
      <w:r w:rsidRPr="004A054C">
        <w:rPr>
          <w:rtl/>
        </w:rPr>
        <w:t xml:space="preserve"> </w:t>
      </w:r>
      <w:r w:rsidRPr="004A054C">
        <w:rPr>
          <w:rtl/>
        </w:rPr>
        <w:t>شكوى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المحاكم</w:t>
      </w:r>
      <w:r w:rsidRPr="004A054C">
        <w:rPr>
          <w:rtl/>
        </w:rPr>
        <w:t xml:space="preserve"> </w:t>
      </w:r>
      <w:r w:rsidRPr="004A054C">
        <w:rPr>
          <w:rtl/>
        </w:rPr>
        <w:t>التقليدية،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يمكن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تُمنَح</w:t>
      </w:r>
      <w:r w:rsidRPr="004A054C">
        <w:rPr>
          <w:rtl/>
        </w:rPr>
        <w:t xml:space="preserve"> </w:t>
      </w:r>
      <w:r w:rsidRPr="004A054C">
        <w:rPr>
          <w:rtl/>
        </w:rPr>
        <w:t>فيها</w:t>
      </w:r>
      <w:r w:rsidRPr="004A054C">
        <w:rPr>
          <w:rtl/>
        </w:rPr>
        <w:t xml:space="preserve"> </w:t>
      </w:r>
      <w:r w:rsidRPr="004A054C">
        <w:rPr>
          <w:rtl/>
        </w:rPr>
        <w:t>التعويضات</w:t>
      </w:r>
      <w:r w:rsidRPr="004A054C">
        <w:rPr>
          <w:rtl/>
        </w:rPr>
        <w:t xml:space="preserve"> </w:t>
      </w:r>
      <w:r w:rsidRPr="004A054C">
        <w:rPr>
          <w:rtl/>
        </w:rPr>
        <w:t>لفرد</w:t>
      </w:r>
      <w:r w:rsidRPr="004A054C">
        <w:rPr>
          <w:rtl/>
        </w:rPr>
        <w:t xml:space="preserve"> </w:t>
      </w:r>
      <w:r w:rsidRPr="004A054C">
        <w:rPr>
          <w:rtl/>
        </w:rPr>
        <w:t>الأسرة</w:t>
      </w:r>
      <w:r w:rsidRPr="004A054C">
        <w:rPr>
          <w:rtl/>
        </w:rPr>
        <w:t xml:space="preserve"> </w:t>
      </w:r>
      <w:r w:rsidRPr="004A054C">
        <w:rPr>
          <w:rtl/>
        </w:rPr>
        <w:t>الذكر،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يُطلب</w:t>
      </w:r>
      <w:r w:rsidRPr="004A054C">
        <w:rPr>
          <w:rtl/>
        </w:rPr>
        <w:t xml:space="preserve"> </w:t>
      </w:r>
      <w:r w:rsidRPr="004A054C">
        <w:rPr>
          <w:rtl/>
        </w:rPr>
        <w:t>فيها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الجاني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يتزوج</w:t>
      </w:r>
      <w:r w:rsidRPr="004A054C">
        <w:rPr>
          <w:rtl/>
        </w:rPr>
        <w:t xml:space="preserve"> </w:t>
      </w:r>
      <w:r w:rsidRPr="004A054C">
        <w:rPr>
          <w:rtl/>
        </w:rPr>
        <w:t>الضحية.</w:t>
      </w:r>
      <w:r w:rsidRPr="004A054C">
        <w:rPr>
          <w:rtl/>
        </w:rPr>
        <w:t xml:space="preserve"> </w:t>
      </w:r>
      <w:r w:rsidRPr="004A054C">
        <w:rPr>
          <w:rtl/>
        </w:rPr>
        <w:t>وبالإضافة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ذلك،</w:t>
      </w:r>
      <w:r w:rsidRPr="004A054C">
        <w:rPr>
          <w:rtl/>
        </w:rPr>
        <w:t xml:space="preserve"> </w:t>
      </w:r>
      <w:r w:rsidRPr="004A054C">
        <w:rPr>
          <w:rtl/>
        </w:rPr>
        <w:t>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قلق</w:t>
      </w:r>
      <w:r w:rsidRPr="004A054C">
        <w:rPr>
          <w:rtl/>
        </w:rPr>
        <w:t xml:space="preserve"> </w:t>
      </w:r>
      <w:r w:rsidRPr="004A054C">
        <w:rPr>
          <w:rtl/>
        </w:rPr>
        <w:t>بالغ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الارتفاع</w:t>
      </w:r>
      <w:r w:rsidRPr="004A054C">
        <w:rPr>
          <w:rtl/>
        </w:rPr>
        <w:t xml:space="preserve"> </w:t>
      </w:r>
      <w:r w:rsidRPr="004A054C">
        <w:rPr>
          <w:rtl/>
        </w:rPr>
        <w:t>الشديد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معدل</w:t>
      </w:r>
      <w:r w:rsidRPr="004A054C">
        <w:rPr>
          <w:rtl/>
        </w:rPr>
        <w:t xml:space="preserve"> </w:t>
      </w:r>
      <w:r w:rsidRPr="004A054C">
        <w:rPr>
          <w:rtl/>
        </w:rPr>
        <w:t>تشويه</w:t>
      </w:r>
      <w:r w:rsidRPr="004A054C">
        <w:rPr>
          <w:rtl/>
        </w:rPr>
        <w:t xml:space="preserve"> </w:t>
      </w:r>
      <w:r w:rsidRPr="004A054C">
        <w:rPr>
          <w:rtl/>
        </w:rPr>
        <w:t>الأعضاء</w:t>
      </w:r>
      <w:r w:rsidRPr="004A054C">
        <w:rPr>
          <w:rtl/>
        </w:rPr>
        <w:t xml:space="preserve"> </w:t>
      </w:r>
      <w:r w:rsidRPr="004A054C">
        <w:rPr>
          <w:rtl/>
        </w:rPr>
        <w:t>التناسلية</w:t>
      </w:r>
      <w:r w:rsidRPr="004A054C">
        <w:rPr>
          <w:rtl/>
        </w:rPr>
        <w:t xml:space="preserve"> </w:t>
      </w:r>
      <w:r w:rsidRPr="004A054C">
        <w:rPr>
          <w:rtl/>
        </w:rPr>
        <w:t>الأنثوية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البلد</w:t>
      </w:r>
      <w:r w:rsidRPr="004A054C">
        <w:rPr>
          <w:rtl/>
        </w:rPr>
        <w:t xml:space="preserve"> </w:t>
      </w:r>
      <w:r w:rsidRPr="004A054C">
        <w:rPr>
          <w:rtl/>
        </w:rPr>
        <w:t>وعدم</w:t>
      </w:r>
      <w:r w:rsidRPr="004A054C">
        <w:rPr>
          <w:rtl/>
        </w:rPr>
        <w:t xml:space="preserve"> </w:t>
      </w:r>
      <w:r w:rsidRPr="004A054C">
        <w:rPr>
          <w:rtl/>
        </w:rPr>
        <w:t>وجود</w:t>
      </w:r>
      <w:r w:rsidRPr="004A054C">
        <w:rPr>
          <w:rtl/>
        </w:rPr>
        <w:t xml:space="preserve"> </w:t>
      </w:r>
      <w:r w:rsidRPr="004A054C">
        <w:rPr>
          <w:rtl/>
        </w:rPr>
        <w:t>تشريع</w:t>
      </w:r>
      <w:r w:rsidRPr="004A054C">
        <w:rPr>
          <w:rtl/>
        </w:rPr>
        <w:t xml:space="preserve"> </w:t>
      </w:r>
      <w:r w:rsidRPr="004A054C">
        <w:rPr>
          <w:rtl/>
        </w:rPr>
        <w:t>صريح</w:t>
      </w:r>
      <w:r w:rsidRPr="004A054C">
        <w:rPr>
          <w:rtl/>
        </w:rPr>
        <w:t xml:space="preserve"> </w:t>
      </w:r>
      <w:r w:rsidRPr="004A054C">
        <w:rPr>
          <w:rtl/>
        </w:rPr>
        <w:t>يجرم</w:t>
      </w:r>
      <w:r w:rsidRPr="004A054C">
        <w:rPr>
          <w:rtl/>
        </w:rPr>
        <w:t xml:space="preserve"> </w:t>
      </w:r>
      <w:r w:rsidRPr="004A054C">
        <w:rPr>
          <w:rtl/>
        </w:rPr>
        <w:t>هذه</w:t>
      </w:r>
      <w:r w:rsidRPr="004A054C">
        <w:rPr>
          <w:rtl/>
        </w:rPr>
        <w:t xml:space="preserve"> </w:t>
      </w:r>
      <w:r w:rsidRPr="004A054C">
        <w:rPr>
          <w:rtl/>
        </w:rPr>
        <w:t>الممارسة</w:t>
      </w:r>
      <w:r w:rsidRPr="004A054C">
        <w:rPr>
          <w:rtl/>
        </w:rPr>
        <w:t xml:space="preserve"> </w:t>
      </w:r>
      <w:r w:rsidRPr="004A054C">
        <w:rPr>
          <w:rtl/>
        </w:rPr>
        <w:t>(المواد</w:t>
      </w:r>
      <w:r w:rsidRPr="004A054C">
        <w:rPr>
          <w:rtl/>
        </w:rPr>
        <w:t xml:space="preserve"> </w:t>
      </w:r>
      <w:r w:rsidRPr="00835005">
        <w:rPr>
          <w:rtl/>
        </w:rPr>
        <w:t>2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4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12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r w:rsidR="00D40BC3" w:rsidRPr="00D40BC3">
        <w:rPr>
          <w:rtl/>
        </w:rPr>
        <w:t>).</w:t>
      </w:r>
    </w:p>
    <w:p w14:paraId="4E1AC1C4" w14:textId="17317132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30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القيام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يلي</w:t>
      </w:r>
      <w:r w:rsidR="00142229" w:rsidRPr="00835005">
        <w:rPr>
          <w:b/>
          <w:bCs/>
          <w:rtl/>
        </w:rPr>
        <w:t>:</w:t>
      </w:r>
    </w:p>
    <w:p w14:paraId="73884C00" w14:textId="5CEDE262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(أ)</w:t>
      </w:r>
      <w:r w:rsidRPr="004A054C">
        <w:rPr>
          <w:rtl/>
        </w:rPr>
        <w:tab/>
      </w:r>
      <w:r w:rsidRPr="00835005">
        <w:rPr>
          <w:b/>
          <w:bCs/>
          <w:rtl/>
        </w:rPr>
        <w:t>اتخاذ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فعالة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إجراء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تحقيق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شامل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حالات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العنف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الجنساني،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ولا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سيما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الحالات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تنطوي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فعل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تقصير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جانب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سلطات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كيانات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أخرى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وتنشأ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مسؤولية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دولية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بموجب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الاتفاقية،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ومقاضاة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الجناة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ومعاقبتهم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النحو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المناسب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حالة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إدانتهم،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وحصول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الضحايا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أسرهم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إعادة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تأهيل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وجبر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كاملين،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تعويض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مناسب؛</w:t>
      </w:r>
    </w:p>
    <w:p w14:paraId="4ED886FF" w14:textId="389F7D98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(ب)</w:t>
      </w:r>
      <w:r w:rsidRPr="004A054C">
        <w:rPr>
          <w:rtl/>
        </w:rPr>
        <w:tab/>
      </w:r>
      <w:r w:rsidRPr="00835005">
        <w:rPr>
          <w:b/>
          <w:bCs/>
          <w:rtl/>
        </w:rPr>
        <w:t>تعزيز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جهودها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المبذولة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للقضاء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تشويه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الأعضاء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التناسلية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الأنثوية.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وتوصي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اعتماد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تشريع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يجرّم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تشويه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الأعضاء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التناسلية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الأنثوية،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جانب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شن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توعية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بشأن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مخاطر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تشويه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الأعضاء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التناسلية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الأنثوية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وحظره</w:t>
      </w:r>
      <w:r w:rsidRPr="004A054C">
        <w:rPr>
          <w:rtl/>
        </w:rPr>
        <w:t>؛</w:t>
      </w:r>
    </w:p>
    <w:p w14:paraId="63BFCD29" w14:textId="7EE02E52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(ج)</w:t>
      </w:r>
      <w:r w:rsidRPr="004A054C">
        <w:rPr>
          <w:rtl/>
        </w:rPr>
        <w:tab/>
      </w:r>
      <w:r w:rsidRPr="00835005">
        <w:rPr>
          <w:b/>
          <w:bCs/>
          <w:rtl/>
        </w:rPr>
        <w:t>توثيق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مزاعم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العنف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الجنساني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ارتكبته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حركة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الشباب.</w:t>
      </w:r>
    </w:p>
    <w:p w14:paraId="502E86A5" w14:textId="2BF7B003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الاتجار</w:t>
      </w:r>
      <w:r w:rsidRPr="00835005">
        <w:rPr>
          <w:rtl/>
        </w:rPr>
        <w:t xml:space="preserve"> </w:t>
      </w:r>
      <w:r w:rsidRPr="00835005">
        <w:rPr>
          <w:rtl/>
        </w:rPr>
        <w:t>بالأشخاص</w:t>
      </w:r>
      <w:r w:rsidRPr="00835005">
        <w:rPr>
          <w:rtl/>
        </w:rPr>
        <w:t xml:space="preserve"> </w:t>
      </w:r>
      <w:r w:rsidRPr="00835005">
        <w:rPr>
          <w:rtl/>
        </w:rPr>
        <w:t>وغيره</w:t>
      </w:r>
      <w:r w:rsidRPr="00835005">
        <w:rPr>
          <w:rtl/>
        </w:rPr>
        <w:t xml:space="preserve"> </w:t>
      </w:r>
      <w:r w:rsidRPr="00835005">
        <w:rPr>
          <w:rtl/>
        </w:rPr>
        <w:t>من</w:t>
      </w:r>
      <w:r w:rsidRPr="00835005">
        <w:rPr>
          <w:rtl/>
        </w:rPr>
        <w:t xml:space="preserve"> </w:t>
      </w:r>
      <w:r w:rsidRPr="00835005">
        <w:rPr>
          <w:rtl/>
        </w:rPr>
        <w:t>أشكال</w:t>
      </w:r>
      <w:r w:rsidRPr="00835005">
        <w:rPr>
          <w:rtl/>
        </w:rPr>
        <w:t xml:space="preserve"> </w:t>
      </w:r>
      <w:r w:rsidRPr="00835005">
        <w:rPr>
          <w:rtl/>
        </w:rPr>
        <w:t>الرق</w:t>
      </w:r>
      <w:r w:rsidRPr="00835005">
        <w:rPr>
          <w:rtl/>
        </w:rPr>
        <w:t xml:space="preserve"> </w:t>
      </w:r>
      <w:r w:rsidRPr="00835005">
        <w:rPr>
          <w:rtl/>
        </w:rPr>
        <w:t>المعاصرة</w:t>
      </w:r>
    </w:p>
    <w:p w14:paraId="51CC6D28" w14:textId="51B2757A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31</w:t>
      </w:r>
      <w:r w:rsidRPr="004A054C">
        <w:rPr>
          <w:rtl/>
        </w:rPr>
        <w:t>-</w:t>
      </w:r>
      <w:r w:rsidRPr="004A054C">
        <w:rPr>
          <w:rtl/>
        </w:rPr>
        <w:tab/>
        <w:t>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المتعلقة</w:t>
      </w:r>
      <w:r w:rsidRPr="004A054C">
        <w:rPr>
          <w:rtl/>
        </w:rPr>
        <w:t xml:space="preserve"> </w:t>
      </w:r>
      <w:r w:rsidRPr="004A054C">
        <w:rPr>
          <w:rtl/>
        </w:rPr>
        <w:t>بالزواج</w:t>
      </w:r>
      <w:r w:rsidRPr="004A054C">
        <w:rPr>
          <w:rtl/>
        </w:rPr>
        <w:t xml:space="preserve"> </w:t>
      </w:r>
      <w:r w:rsidRPr="004A054C">
        <w:rPr>
          <w:rtl/>
        </w:rPr>
        <w:t>القسري</w:t>
      </w:r>
      <w:r w:rsidRPr="004A054C">
        <w:rPr>
          <w:rtl/>
        </w:rPr>
        <w:t xml:space="preserve"> </w:t>
      </w:r>
      <w:r w:rsidRPr="004A054C">
        <w:rPr>
          <w:rtl/>
        </w:rPr>
        <w:t>وزواج</w:t>
      </w:r>
      <w:r w:rsidRPr="004A054C">
        <w:rPr>
          <w:rtl/>
        </w:rPr>
        <w:t xml:space="preserve"> </w:t>
      </w:r>
      <w:r w:rsidRPr="004A054C">
        <w:rPr>
          <w:rtl/>
        </w:rPr>
        <w:t>الأطفال</w:t>
      </w:r>
      <w:r w:rsidRPr="004A054C">
        <w:rPr>
          <w:rtl/>
        </w:rPr>
        <w:t xml:space="preserve"> </w:t>
      </w:r>
      <w:r w:rsidRPr="004A054C">
        <w:rPr>
          <w:rtl/>
        </w:rPr>
        <w:t>والاتجار</w:t>
      </w:r>
      <w:r w:rsidRPr="004A054C">
        <w:rPr>
          <w:rtl/>
        </w:rPr>
        <w:t xml:space="preserve"> </w:t>
      </w:r>
      <w:r w:rsidRPr="004A054C">
        <w:rPr>
          <w:rtl/>
        </w:rPr>
        <w:t>بالجنس،</w:t>
      </w:r>
      <w:r w:rsidRPr="004A054C">
        <w:rPr>
          <w:rtl/>
        </w:rPr>
        <w:t xml:space="preserve"> </w:t>
      </w:r>
      <w:r w:rsidRPr="004A054C">
        <w:rPr>
          <w:rtl/>
        </w:rPr>
        <w:t>وإزاء</w:t>
      </w:r>
      <w:r w:rsidRPr="004A054C">
        <w:rPr>
          <w:rtl/>
        </w:rPr>
        <w:t xml:space="preserve"> </w:t>
      </w:r>
      <w:r w:rsidRPr="004A054C">
        <w:rPr>
          <w:rtl/>
        </w:rPr>
        <w:t>خلو</w:t>
      </w:r>
      <w:r w:rsidRPr="004A054C">
        <w:rPr>
          <w:rtl/>
        </w:rPr>
        <w:t xml:space="preserve"> </w:t>
      </w:r>
      <w:r w:rsidRPr="004A054C">
        <w:rPr>
          <w:rtl/>
        </w:rPr>
        <w:t>التشريعات</w:t>
      </w:r>
      <w:r w:rsidRPr="004A054C">
        <w:rPr>
          <w:rtl/>
        </w:rPr>
        <w:t xml:space="preserve"> </w:t>
      </w:r>
      <w:r w:rsidRPr="004A054C">
        <w:rPr>
          <w:rtl/>
        </w:rPr>
        <w:t>المحلية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أحكام</w:t>
      </w:r>
      <w:r w:rsidRPr="004A054C">
        <w:rPr>
          <w:rtl/>
        </w:rPr>
        <w:t xml:space="preserve"> </w:t>
      </w:r>
      <w:r w:rsidRPr="004A054C">
        <w:rPr>
          <w:rtl/>
        </w:rPr>
        <w:t>تحظر</w:t>
      </w:r>
      <w:r w:rsidRPr="004A054C">
        <w:rPr>
          <w:rtl/>
        </w:rPr>
        <w:t xml:space="preserve"> </w:t>
      </w:r>
      <w:r w:rsidRPr="004A054C">
        <w:rPr>
          <w:rtl/>
        </w:rPr>
        <w:t>زواج</w:t>
      </w:r>
      <w:r w:rsidRPr="004A054C">
        <w:rPr>
          <w:rtl/>
        </w:rPr>
        <w:t xml:space="preserve"> </w:t>
      </w:r>
      <w:r w:rsidRPr="004A054C">
        <w:rPr>
          <w:rtl/>
        </w:rPr>
        <w:t>الأطفال</w:t>
      </w:r>
      <w:r w:rsidRPr="004A054C">
        <w:rPr>
          <w:rtl/>
        </w:rPr>
        <w:t xml:space="preserve"> </w:t>
      </w:r>
      <w:r w:rsidRPr="004A054C">
        <w:rPr>
          <w:rtl/>
        </w:rPr>
        <w:t>وعرض</w:t>
      </w:r>
      <w:r w:rsidRPr="004A054C">
        <w:rPr>
          <w:rtl/>
        </w:rPr>
        <w:t xml:space="preserve"> </w:t>
      </w:r>
      <w:r w:rsidRPr="004A054C">
        <w:rPr>
          <w:rtl/>
        </w:rPr>
        <w:t>الأطفال</w:t>
      </w:r>
      <w:r w:rsidRPr="004A054C">
        <w:rPr>
          <w:rtl/>
        </w:rPr>
        <w:t xml:space="preserve"> </w:t>
      </w:r>
      <w:r w:rsidRPr="004A054C">
        <w:rPr>
          <w:rtl/>
        </w:rPr>
        <w:t>لتجارة</w:t>
      </w:r>
      <w:r w:rsidRPr="004A054C">
        <w:rPr>
          <w:rtl/>
        </w:rPr>
        <w:t xml:space="preserve"> </w:t>
      </w:r>
      <w:r w:rsidRPr="004A054C">
        <w:rPr>
          <w:rtl/>
        </w:rPr>
        <w:t>الجنس</w:t>
      </w:r>
      <w:r w:rsidRPr="004A054C">
        <w:rPr>
          <w:rtl/>
        </w:rPr>
        <w:t xml:space="preserve"> </w:t>
      </w:r>
      <w:r w:rsidRPr="004A054C">
        <w:rPr>
          <w:rtl/>
        </w:rPr>
        <w:t>(المادة</w:t>
      </w:r>
      <w:r w:rsidRPr="004A054C">
        <w:rPr>
          <w:rtl/>
        </w:rPr>
        <w:t xml:space="preserve"> 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r w:rsidR="00D40BC3" w:rsidRPr="00D40BC3">
        <w:rPr>
          <w:rtl/>
        </w:rPr>
        <w:t>).</w:t>
      </w:r>
    </w:p>
    <w:p w14:paraId="52B6ABB9" w14:textId="2A847B43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32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تكفل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تشريعاتها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أنواع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أشكال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الرق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المعاصرة،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الاتجار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بالأشخاص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والزواج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القسري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وزواج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الأطفال.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وتوصي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التصديق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بروتوكول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وقمع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ومعاقبة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الاتجار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بالأشخاص،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وبخاصة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النساء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والأطفال،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المكمل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لاتفاقية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الأمم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المتحدة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لمكافحة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الجريمة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المنظمة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عبر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الوطنية.</w:t>
      </w:r>
    </w:p>
    <w:p w14:paraId="44E6CA9F" w14:textId="2634BDEF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العقوبة</w:t>
      </w:r>
      <w:r w:rsidRPr="00835005">
        <w:rPr>
          <w:rtl/>
        </w:rPr>
        <w:t xml:space="preserve"> </w:t>
      </w:r>
      <w:r w:rsidRPr="00835005">
        <w:rPr>
          <w:rtl/>
        </w:rPr>
        <w:t>البدنية</w:t>
      </w:r>
      <w:r w:rsidRPr="00835005">
        <w:rPr>
          <w:rtl/>
        </w:rPr>
        <w:t xml:space="preserve"> </w:t>
      </w:r>
      <w:r w:rsidRPr="00835005">
        <w:rPr>
          <w:rtl/>
        </w:rPr>
        <w:t>للأطفال</w:t>
      </w:r>
    </w:p>
    <w:p w14:paraId="7FED5EE8" w14:textId="0FFDBD31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33</w:t>
      </w:r>
      <w:r w:rsidRPr="004A054C">
        <w:rPr>
          <w:rtl/>
        </w:rPr>
        <w:t>-</w:t>
      </w:r>
      <w:r w:rsidRPr="004A054C">
        <w:rPr>
          <w:rtl/>
        </w:rPr>
        <w:tab/>
        <w:t>تلاحظ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بقلق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العقوبة</w:t>
      </w:r>
      <w:r w:rsidRPr="004A054C">
        <w:rPr>
          <w:rtl/>
        </w:rPr>
        <w:t xml:space="preserve"> </w:t>
      </w:r>
      <w:r w:rsidRPr="004A054C">
        <w:rPr>
          <w:rtl/>
        </w:rPr>
        <w:t>البدنية</w:t>
      </w:r>
      <w:r w:rsidRPr="004A054C">
        <w:rPr>
          <w:rtl/>
        </w:rPr>
        <w:t xml:space="preserve"> </w:t>
      </w:r>
      <w:r w:rsidRPr="004A054C">
        <w:rPr>
          <w:rtl/>
        </w:rPr>
        <w:t>للأطفال</w:t>
      </w:r>
      <w:r w:rsidRPr="004A054C">
        <w:rPr>
          <w:rtl/>
        </w:rPr>
        <w:t xml:space="preserve"> </w:t>
      </w:r>
      <w:r w:rsidRPr="004A054C">
        <w:rPr>
          <w:rtl/>
        </w:rPr>
        <w:t>مقبولة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نطاق</w:t>
      </w:r>
      <w:r w:rsidRPr="004A054C">
        <w:rPr>
          <w:rtl/>
        </w:rPr>
        <w:t xml:space="preserve"> </w:t>
      </w:r>
      <w:r w:rsidRPr="004A054C">
        <w:rPr>
          <w:rtl/>
        </w:rPr>
        <w:t>واسع</w:t>
      </w:r>
      <w:r w:rsidRPr="004A054C">
        <w:rPr>
          <w:rtl/>
        </w:rPr>
        <w:t xml:space="preserve"> </w:t>
      </w:r>
      <w:r w:rsidRPr="004A054C">
        <w:rPr>
          <w:rtl/>
        </w:rPr>
        <w:t>وغير</w:t>
      </w:r>
      <w:r w:rsidRPr="004A054C">
        <w:rPr>
          <w:rtl/>
        </w:rPr>
        <w:t xml:space="preserve"> </w:t>
      </w:r>
      <w:r w:rsidRPr="004A054C">
        <w:rPr>
          <w:rtl/>
        </w:rPr>
        <w:t>محظورة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المنزل</w:t>
      </w:r>
      <w:r w:rsidRPr="004A054C">
        <w:rPr>
          <w:rtl/>
        </w:rPr>
        <w:t xml:space="preserve"> </w:t>
      </w:r>
      <w:r w:rsidRPr="004A054C">
        <w:rPr>
          <w:rtl/>
        </w:rPr>
        <w:t>وأماكن</w:t>
      </w:r>
      <w:r w:rsidRPr="004A054C">
        <w:rPr>
          <w:rtl/>
        </w:rPr>
        <w:t xml:space="preserve"> </w:t>
      </w:r>
      <w:r w:rsidRPr="004A054C">
        <w:rPr>
          <w:rtl/>
        </w:rPr>
        <w:t>الرعاية</w:t>
      </w:r>
      <w:r w:rsidRPr="004A054C">
        <w:rPr>
          <w:rtl/>
        </w:rPr>
        <w:t xml:space="preserve"> </w:t>
      </w:r>
      <w:r w:rsidRPr="004A054C">
        <w:rPr>
          <w:rtl/>
        </w:rPr>
        <w:t>البديلة</w:t>
      </w:r>
      <w:r w:rsidRPr="004A054C">
        <w:rPr>
          <w:rtl/>
        </w:rPr>
        <w:t xml:space="preserve"> </w:t>
      </w:r>
      <w:r w:rsidRPr="004A054C">
        <w:rPr>
          <w:rtl/>
        </w:rPr>
        <w:t>والرعاية</w:t>
      </w:r>
      <w:r w:rsidRPr="004A054C">
        <w:rPr>
          <w:rtl/>
        </w:rPr>
        <w:t xml:space="preserve"> </w:t>
      </w:r>
      <w:r w:rsidRPr="004A054C">
        <w:rPr>
          <w:rtl/>
        </w:rPr>
        <w:t>النهارية</w:t>
      </w:r>
      <w:r w:rsidRPr="004A054C">
        <w:rPr>
          <w:rtl/>
        </w:rPr>
        <w:t xml:space="preserve"> </w:t>
      </w:r>
      <w:r w:rsidRPr="004A054C">
        <w:rPr>
          <w:rtl/>
        </w:rPr>
        <w:t>والمدارس</w:t>
      </w:r>
      <w:r w:rsidRPr="004A054C">
        <w:rPr>
          <w:rtl/>
        </w:rPr>
        <w:t xml:space="preserve"> </w:t>
      </w:r>
      <w:r w:rsidRPr="004A054C">
        <w:rPr>
          <w:rtl/>
        </w:rPr>
        <w:t>ومراكز</w:t>
      </w:r>
      <w:r w:rsidRPr="004A054C">
        <w:rPr>
          <w:rtl/>
        </w:rPr>
        <w:t xml:space="preserve"> </w:t>
      </w:r>
      <w:r w:rsidRPr="004A054C">
        <w:rPr>
          <w:rtl/>
        </w:rPr>
        <w:t>الاحتجاز</w:t>
      </w:r>
      <w:r w:rsidRPr="004A054C">
        <w:rPr>
          <w:rtl/>
        </w:rPr>
        <w:t xml:space="preserve"> </w:t>
      </w:r>
      <w:r w:rsidRPr="004A054C">
        <w:rPr>
          <w:rtl/>
        </w:rPr>
        <w:t>(المادة</w:t>
      </w:r>
      <w:r w:rsidRPr="004A054C">
        <w:rPr>
          <w:rtl/>
        </w:rPr>
        <w:t xml:space="preserve"> 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r w:rsidR="00D40BC3" w:rsidRPr="00D40BC3">
        <w:rPr>
          <w:rtl/>
        </w:rPr>
        <w:t>).</w:t>
      </w:r>
    </w:p>
    <w:p w14:paraId="1D94E070" w14:textId="09AF5B67" w:rsidR="004A054C" w:rsidRPr="00BE78C5" w:rsidRDefault="004A054C" w:rsidP="004A054C">
      <w:pPr>
        <w:pStyle w:val="SingleTxtGA"/>
        <w:rPr>
          <w:lang w:val="en-US" w:eastAsia="zh-TW" w:bidi="en-GB"/>
        </w:rPr>
      </w:pPr>
      <w:r w:rsidRPr="00835005">
        <w:rPr>
          <w:rtl/>
        </w:rPr>
        <w:t>34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تتخذ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للقضاء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ممارسة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العقوبة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البدنية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للأطفال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تمشيا</w:t>
      </w:r>
      <w:r w:rsidR="000E7237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التوصيات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الأخيرة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حقوق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الطفل</w:t>
      </w:r>
      <w:r w:rsidR="00D40BC3" w:rsidRPr="00835005">
        <w:rPr>
          <w:rStyle w:val="FootnoteReference"/>
          <w:sz w:val="22"/>
          <w:rtl/>
        </w:rPr>
        <w:t>(</w:t>
      </w:r>
      <w:r w:rsidR="00D40BC3" w:rsidRPr="00835005">
        <w:rPr>
          <w:rStyle w:val="FootnoteReference"/>
          <w:sz w:val="22"/>
          <w:lang w:val="en-US"/>
        </w:rPr>
        <w:footnoteReference w:id="5"/>
      </w:r>
      <w:r w:rsidR="00F45C5B" w:rsidRPr="00835005">
        <w:rPr>
          <w:rStyle w:val="FootnoteReference"/>
          <w:sz w:val="22"/>
          <w:rtl/>
        </w:rPr>
        <w:t>)</w:t>
      </w:r>
      <w:r w:rsidR="000E7237" w:rsidRPr="00835005">
        <w:rPr>
          <w:b/>
          <w:bCs/>
          <w:rtl/>
        </w:rPr>
        <w:t>.</w:t>
      </w:r>
    </w:p>
    <w:p w14:paraId="7372D857" w14:textId="27F8CECF" w:rsidR="004A054C" w:rsidRPr="00835005" w:rsidRDefault="004A054C" w:rsidP="004A054C">
      <w:pPr>
        <w:pStyle w:val="H23GA"/>
        <w:rPr>
          <w:lang w:val="en-US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جرائم</w:t>
      </w:r>
      <w:r w:rsidRPr="00835005">
        <w:rPr>
          <w:rtl/>
        </w:rPr>
        <w:t xml:space="preserve"> </w:t>
      </w:r>
      <w:r w:rsidRPr="00835005">
        <w:rPr>
          <w:rtl/>
        </w:rPr>
        <w:t>الكراهية</w:t>
      </w:r>
    </w:p>
    <w:p w14:paraId="53F18732" w14:textId="05EFB9DC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35</w:t>
      </w:r>
      <w:r w:rsidRPr="004A054C">
        <w:rPr>
          <w:rtl/>
        </w:rPr>
        <w:t>-</w:t>
      </w:r>
      <w:r w:rsidRPr="004A054C">
        <w:rPr>
          <w:rtl/>
        </w:rPr>
        <w:tab/>
        <w:t>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</w:t>
      </w:r>
      <w:r w:rsidRPr="004A054C">
        <w:rPr>
          <w:rtl/>
        </w:rPr>
        <w:t xml:space="preserve"> </w:t>
      </w:r>
      <w:r w:rsidRPr="004A054C">
        <w:rPr>
          <w:rtl/>
        </w:rPr>
        <w:t>تقدم</w:t>
      </w:r>
      <w:r w:rsidRPr="004A054C">
        <w:rPr>
          <w:rtl/>
        </w:rPr>
        <w:t xml:space="preserve"> </w:t>
      </w:r>
      <w:r w:rsidRPr="004A054C">
        <w:rPr>
          <w:rtl/>
        </w:rPr>
        <w:t>معلومات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التدابير</w:t>
      </w:r>
      <w:r w:rsidRPr="004A054C">
        <w:rPr>
          <w:rtl/>
        </w:rPr>
        <w:t xml:space="preserve"> </w:t>
      </w:r>
      <w:r w:rsidRPr="004A054C">
        <w:rPr>
          <w:rtl/>
        </w:rPr>
        <w:t>المتخذة</w:t>
      </w:r>
      <w:r w:rsidRPr="004A054C">
        <w:rPr>
          <w:rtl/>
        </w:rPr>
        <w:t xml:space="preserve"> </w:t>
      </w:r>
      <w:r w:rsidRPr="004A054C">
        <w:rPr>
          <w:rtl/>
        </w:rPr>
        <w:t>لمنع</w:t>
      </w:r>
      <w:r w:rsidRPr="004A054C">
        <w:rPr>
          <w:rtl/>
        </w:rPr>
        <w:t xml:space="preserve"> </w:t>
      </w:r>
      <w:r w:rsidRPr="004A054C">
        <w:rPr>
          <w:rtl/>
        </w:rPr>
        <w:t>جرائم</w:t>
      </w:r>
      <w:r w:rsidRPr="004A054C">
        <w:rPr>
          <w:rtl/>
        </w:rPr>
        <w:t xml:space="preserve"> </w:t>
      </w:r>
      <w:r w:rsidRPr="004A054C">
        <w:rPr>
          <w:rtl/>
        </w:rPr>
        <w:t>الكراهية</w:t>
      </w:r>
      <w:r w:rsidRPr="004A054C">
        <w:rPr>
          <w:rtl/>
        </w:rPr>
        <w:t xml:space="preserve"> </w:t>
      </w:r>
      <w:r w:rsidRPr="004A054C">
        <w:rPr>
          <w:rtl/>
        </w:rPr>
        <w:t>ومكافحتها،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العنف</w:t>
      </w:r>
      <w:r w:rsidRPr="004A054C">
        <w:rPr>
          <w:rtl/>
        </w:rPr>
        <w:t xml:space="preserve"> </w:t>
      </w:r>
      <w:r w:rsidRPr="004A054C">
        <w:rPr>
          <w:rtl/>
        </w:rPr>
        <w:t>ضد</w:t>
      </w:r>
      <w:r w:rsidRPr="004A054C">
        <w:rPr>
          <w:rtl/>
        </w:rPr>
        <w:t xml:space="preserve"> </w:t>
      </w:r>
      <w:r w:rsidRPr="004A054C">
        <w:rPr>
          <w:rtl/>
        </w:rPr>
        <w:t>الأفراد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أساس</w:t>
      </w:r>
      <w:r w:rsidRPr="004A054C">
        <w:rPr>
          <w:rtl/>
        </w:rPr>
        <w:t xml:space="preserve"> </w:t>
      </w:r>
      <w:r w:rsidRPr="004A054C">
        <w:rPr>
          <w:rtl/>
        </w:rPr>
        <w:t>ميولهم</w:t>
      </w:r>
      <w:r w:rsidRPr="004A054C">
        <w:rPr>
          <w:rtl/>
        </w:rPr>
        <w:t xml:space="preserve"> </w:t>
      </w:r>
      <w:r w:rsidRPr="004A054C">
        <w:rPr>
          <w:rtl/>
        </w:rPr>
        <w:t>الجنسية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هويتاهم</w:t>
      </w:r>
      <w:r w:rsidRPr="004A054C">
        <w:rPr>
          <w:rtl/>
        </w:rPr>
        <w:t xml:space="preserve"> </w:t>
      </w:r>
      <w:r w:rsidRPr="004A054C">
        <w:rPr>
          <w:rtl/>
        </w:rPr>
        <w:t>الجنسانية</w:t>
      </w:r>
      <w:r w:rsidRPr="004A054C">
        <w:rPr>
          <w:rtl/>
        </w:rPr>
        <w:t xml:space="preserve"> </w:t>
      </w:r>
      <w:r w:rsidRPr="004A054C">
        <w:rPr>
          <w:rtl/>
        </w:rPr>
        <w:t>الحقيقية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المتصورة</w:t>
      </w:r>
      <w:r w:rsidRPr="004A054C">
        <w:rPr>
          <w:rtl/>
        </w:rPr>
        <w:t xml:space="preserve"> </w:t>
      </w:r>
      <w:r w:rsidRPr="004A054C">
        <w:rPr>
          <w:rtl/>
        </w:rPr>
        <w:t>(المادة</w:t>
      </w:r>
      <w:r w:rsidRPr="004A054C">
        <w:rPr>
          <w:rtl/>
        </w:rPr>
        <w:t xml:space="preserve"> 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r w:rsidR="00D40BC3" w:rsidRPr="00D40BC3">
        <w:rPr>
          <w:rtl/>
        </w:rPr>
        <w:t>).</w:t>
      </w:r>
    </w:p>
    <w:p w14:paraId="64DD5380" w14:textId="7672E613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36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تتخذ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لمنع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الأفعال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الإجرامية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المرتكبة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بدافع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التمييز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التعصب</w:t>
      </w:r>
      <w:r w:rsidRPr="00835005">
        <w:rPr>
          <w:b/>
          <w:bCs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أو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الكراهية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أو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القوالب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النمطية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السلبية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ومقاضاة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الجناة،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من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خلال</w:t>
      </w:r>
      <w:r w:rsidR="00142229" w:rsidRPr="00835005">
        <w:rPr>
          <w:rFonts w:ascii="Times New Roman Bold" w:hAnsi="Times New Roman Bold"/>
          <w:b/>
          <w:bCs/>
          <w:spacing w:val="-2"/>
          <w:rtl/>
        </w:rPr>
        <w:t>: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(أ)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ضمان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فعالية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التحقيق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مع</w:t>
      </w:r>
      <w:r w:rsidRPr="00835005">
        <w:rPr>
          <w:rFonts w:ascii="Times New Roman Bold" w:hAnsi="Times New Roman Bold"/>
          <w:b/>
          <w:bCs/>
          <w:spacing w:val="-2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2"/>
          <w:rtl/>
        </w:rPr>
        <w:t>الجناة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وملاحقتهم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قضائيا</w:t>
      </w:r>
      <w:r w:rsidR="0028428B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ومعاقبتهم؛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(ب)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وإحصاءات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مفصلة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عدد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ونوع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جرائم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الكراهية،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الإدارية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والقضائية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المتخذة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للتحقيق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الجرائم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ومقاضاة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الجناة،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الأحكام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الصادرة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حقهم.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أيضا</w:t>
      </w:r>
      <w:r w:rsidR="0028428B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توفر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سبل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الجبر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للضحايا،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يشمل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إعادة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التأهيل.</w:t>
      </w:r>
    </w:p>
    <w:p w14:paraId="19D93DF4" w14:textId="4BAEA341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عدم</w:t>
      </w:r>
      <w:r w:rsidRPr="00835005">
        <w:rPr>
          <w:rtl/>
        </w:rPr>
        <w:t xml:space="preserve"> </w:t>
      </w:r>
      <w:r w:rsidRPr="00835005">
        <w:rPr>
          <w:rtl/>
        </w:rPr>
        <w:t>الإعادة</w:t>
      </w:r>
      <w:r w:rsidRPr="00835005">
        <w:rPr>
          <w:rtl/>
        </w:rPr>
        <w:t xml:space="preserve"> </w:t>
      </w:r>
      <w:r w:rsidRPr="00835005">
        <w:rPr>
          <w:rtl/>
        </w:rPr>
        <w:t>القسرية</w:t>
      </w:r>
      <w:r w:rsidRPr="00835005">
        <w:rPr>
          <w:rtl/>
        </w:rPr>
        <w:t xml:space="preserve"> </w:t>
      </w:r>
      <w:r w:rsidRPr="00835005">
        <w:rPr>
          <w:rtl/>
        </w:rPr>
        <w:t>والتسليم</w:t>
      </w:r>
      <w:r w:rsidRPr="00835005">
        <w:rPr>
          <w:rtl/>
        </w:rPr>
        <w:t xml:space="preserve"> </w:t>
      </w:r>
      <w:r w:rsidRPr="00835005">
        <w:rPr>
          <w:rtl/>
        </w:rPr>
        <w:t>غير</w:t>
      </w:r>
      <w:r w:rsidRPr="00835005">
        <w:rPr>
          <w:rtl/>
        </w:rPr>
        <w:t xml:space="preserve"> </w:t>
      </w:r>
      <w:r w:rsidRPr="00835005">
        <w:rPr>
          <w:rtl/>
        </w:rPr>
        <w:t>القانوني</w:t>
      </w:r>
    </w:p>
    <w:p w14:paraId="728A1D13" w14:textId="32B3F696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37</w:t>
      </w:r>
      <w:r w:rsidRPr="004A054C">
        <w:rPr>
          <w:rtl/>
        </w:rPr>
        <w:t>-</w:t>
      </w:r>
      <w:r w:rsidRPr="004A054C">
        <w:rPr>
          <w:rtl/>
        </w:rPr>
        <w:tab/>
        <w:t>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قلق</w:t>
      </w:r>
      <w:r w:rsidRPr="004A054C">
        <w:rPr>
          <w:rtl/>
        </w:rPr>
        <w:t xml:space="preserve"> </w:t>
      </w:r>
      <w:r w:rsidRPr="004A054C">
        <w:rPr>
          <w:rtl/>
        </w:rPr>
        <w:t>بالغ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باحتمال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تكون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قد</w:t>
      </w:r>
      <w:r w:rsidRPr="004A054C">
        <w:rPr>
          <w:rtl/>
        </w:rPr>
        <w:t xml:space="preserve"> </w:t>
      </w:r>
      <w:r w:rsidRPr="004A054C">
        <w:rPr>
          <w:rtl/>
        </w:rPr>
        <w:t>انتهكت</w:t>
      </w:r>
      <w:r w:rsidRPr="004A054C">
        <w:rPr>
          <w:rtl/>
        </w:rPr>
        <w:t xml:space="preserve"> </w:t>
      </w:r>
      <w:r w:rsidRPr="004A054C">
        <w:rPr>
          <w:rtl/>
        </w:rPr>
        <w:t>مبدأ</w:t>
      </w:r>
      <w:r w:rsidRPr="004A054C">
        <w:rPr>
          <w:rtl/>
        </w:rPr>
        <w:t xml:space="preserve"> </w:t>
      </w:r>
      <w:r w:rsidRPr="004A054C">
        <w:rPr>
          <w:rtl/>
        </w:rPr>
        <w:t>عدم</w:t>
      </w:r>
      <w:r w:rsidRPr="004A054C">
        <w:rPr>
          <w:rtl/>
        </w:rPr>
        <w:t xml:space="preserve"> </w:t>
      </w:r>
      <w:r w:rsidRPr="004A054C">
        <w:rPr>
          <w:rtl/>
        </w:rPr>
        <w:t>الإعادة</w:t>
      </w:r>
      <w:r w:rsidRPr="004A054C">
        <w:rPr>
          <w:rtl/>
        </w:rPr>
        <w:t xml:space="preserve"> </w:t>
      </w:r>
      <w:r w:rsidRPr="004A054C">
        <w:rPr>
          <w:rtl/>
        </w:rPr>
        <w:t>القسرية</w:t>
      </w:r>
      <w:r w:rsidRPr="004A054C">
        <w:rPr>
          <w:rtl/>
        </w:rPr>
        <w:t xml:space="preserve"> </w:t>
      </w:r>
      <w:r w:rsidRPr="004A054C">
        <w:rPr>
          <w:rtl/>
        </w:rPr>
        <w:t>خلال</w:t>
      </w:r>
      <w:r w:rsidRPr="004A054C">
        <w:rPr>
          <w:rtl/>
        </w:rPr>
        <w:t xml:space="preserve"> </w:t>
      </w:r>
      <w:r w:rsidRPr="004A054C">
        <w:rPr>
          <w:rtl/>
        </w:rPr>
        <w:t>الفترة</w:t>
      </w:r>
      <w:r w:rsidRPr="004A054C">
        <w:rPr>
          <w:rtl/>
        </w:rPr>
        <w:t xml:space="preserve"> </w:t>
      </w:r>
      <w:r w:rsidRPr="004A054C">
        <w:rPr>
          <w:rtl/>
        </w:rPr>
        <w:t>قيد</w:t>
      </w:r>
      <w:r w:rsidRPr="004A054C">
        <w:rPr>
          <w:rtl/>
        </w:rPr>
        <w:t xml:space="preserve"> </w:t>
      </w:r>
      <w:r w:rsidRPr="004A054C">
        <w:rPr>
          <w:rtl/>
        </w:rPr>
        <w:t>الاستعراض.</w:t>
      </w:r>
      <w:r w:rsidRPr="004A054C">
        <w:rPr>
          <w:rtl/>
        </w:rPr>
        <w:t xml:space="preserve"> </w:t>
      </w:r>
      <w:r w:rsidRPr="004A054C">
        <w:rPr>
          <w:rtl/>
        </w:rPr>
        <w:t>وتحيط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EE23A7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بأحكام</w:t>
      </w:r>
      <w:r w:rsidRPr="004A054C">
        <w:rPr>
          <w:rtl/>
        </w:rPr>
        <w:t xml:space="preserve"> </w:t>
      </w:r>
      <w:r w:rsidRPr="004A054C">
        <w:rPr>
          <w:rtl/>
        </w:rPr>
        <w:t>المادة</w:t>
      </w:r>
      <w:r w:rsidRPr="004A054C">
        <w:rPr>
          <w:rtl/>
        </w:rPr>
        <w:t xml:space="preserve"> </w:t>
      </w:r>
      <w:r w:rsidRPr="00835005">
        <w:rPr>
          <w:rtl/>
        </w:rPr>
        <w:t>37</w:t>
      </w:r>
      <w:r w:rsidRPr="004A054C">
        <w:rPr>
          <w:rtl/>
        </w:rPr>
        <w:t>(</w:t>
      </w:r>
      <w:r w:rsidR="00D40BC3" w:rsidRPr="00835005">
        <w:rPr>
          <w:rtl/>
        </w:rPr>
        <w:t>1</w:t>
      </w:r>
      <w:r w:rsidR="00D40BC3" w:rsidRPr="00D40BC3">
        <w:rPr>
          <w:rtl/>
        </w:rPr>
        <w:t>)</w:t>
      </w:r>
      <w:r w:rsidR="00D40BC3" w:rsidRPr="00D40BC3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دستور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تكرس</w:t>
      </w:r>
      <w:r w:rsidRPr="004A054C">
        <w:rPr>
          <w:rtl/>
        </w:rPr>
        <w:t xml:space="preserve"> </w:t>
      </w:r>
      <w:r w:rsidRPr="004A054C">
        <w:rPr>
          <w:rtl/>
        </w:rPr>
        <w:t>مبدأ</w:t>
      </w:r>
      <w:r w:rsidRPr="004A054C">
        <w:rPr>
          <w:rtl/>
        </w:rPr>
        <w:t xml:space="preserve"> </w:t>
      </w:r>
      <w:r w:rsidRPr="004A054C">
        <w:rPr>
          <w:rtl/>
        </w:rPr>
        <w:t>عدم</w:t>
      </w:r>
      <w:r w:rsidRPr="004A054C">
        <w:rPr>
          <w:rtl/>
        </w:rPr>
        <w:t xml:space="preserve"> </w:t>
      </w:r>
      <w:r w:rsidRPr="004A054C">
        <w:rPr>
          <w:rtl/>
        </w:rPr>
        <w:t>الإعادة</w:t>
      </w:r>
      <w:r w:rsidRPr="004A054C">
        <w:rPr>
          <w:rtl/>
        </w:rPr>
        <w:t xml:space="preserve"> </w:t>
      </w:r>
      <w:r w:rsidRPr="004A054C">
        <w:rPr>
          <w:rtl/>
        </w:rPr>
        <w:t>القسرية،</w:t>
      </w:r>
      <w:r w:rsidRPr="004A054C">
        <w:rPr>
          <w:rtl/>
        </w:rPr>
        <w:t xml:space="preserve"> </w:t>
      </w:r>
      <w:r w:rsidRPr="004A054C">
        <w:rPr>
          <w:rtl/>
        </w:rPr>
        <w:t>لكنها</w:t>
      </w:r>
      <w:r w:rsidRPr="004A054C">
        <w:rPr>
          <w:rtl/>
        </w:rPr>
        <w:t xml:space="preserve"> </w:t>
      </w:r>
      <w:r w:rsidRPr="004A054C">
        <w:rPr>
          <w:rtl/>
        </w:rPr>
        <w:t>تعرب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</w:t>
      </w:r>
      <w:r w:rsidRPr="004A054C">
        <w:rPr>
          <w:rtl/>
        </w:rPr>
        <w:t xml:space="preserve"> </w:t>
      </w:r>
      <w:r w:rsidRPr="004A054C">
        <w:rPr>
          <w:rtl/>
        </w:rPr>
        <w:t>تقدم</w:t>
      </w:r>
      <w:r w:rsidRPr="004A054C">
        <w:rPr>
          <w:rtl/>
        </w:rPr>
        <w:t xml:space="preserve"> </w:t>
      </w:r>
      <w:r w:rsidRPr="004A054C">
        <w:rPr>
          <w:rtl/>
        </w:rPr>
        <w:t>معلومات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أحكام</w:t>
      </w:r>
      <w:r w:rsidRPr="004A054C">
        <w:rPr>
          <w:rtl/>
        </w:rPr>
        <w:t xml:space="preserve"> </w:t>
      </w:r>
      <w:r w:rsidRPr="004A054C">
        <w:rPr>
          <w:rtl/>
        </w:rPr>
        <w:t>التشريعات</w:t>
      </w:r>
      <w:r w:rsidRPr="004A054C">
        <w:rPr>
          <w:rtl/>
        </w:rPr>
        <w:t xml:space="preserve"> </w:t>
      </w:r>
      <w:r w:rsidRPr="004A054C">
        <w:rPr>
          <w:rtl/>
        </w:rPr>
        <w:t>المحلية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تجعل</w:t>
      </w:r>
      <w:r w:rsidRPr="004A054C">
        <w:rPr>
          <w:rtl/>
        </w:rPr>
        <w:t xml:space="preserve"> </w:t>
      </w:r>
      <w:r w:rsidRPr="004A054C">
        <w:rPr>
          <w:rtl/>
        </w:rPr>
        <w:t>مبدأ</w:t>
      </w:r>
      <w:r w:rsidRPr="004A054C">
        <w:rPr>
          <w:rtl/>
        </w:rPr>
        <w:t xml:space="preserve"> </w:t>
      </w:r>
      <w:r w:rsidRPr="004A054C">
        <w:rPr>
          <w:rtl/>
        </w:rPr>
        <w:t>عدم</w:t>
      </w:r>
      <w:r w:rsidRPr="004A054C">
        <w:rPr>
          <w:rtl/>
        </w:rPr>
        <w:t xml:space="preserve"> </w:t>
      </w:r>
      <w:r w:rsidRPr="004A054C">
        <w:rPr>
          <w:rtl/>
        </w:rPr>
        <w:t>الإعادة</w:t>
      </w:r>
      <w:r w:rsidRPr="004A054C">
        <w:rPr>
          <w:rtl/>
        </w:rPr>
        <w:t xml:space="preserve"> </w:t>
      </w:r>
      <w:r w:rsidRPr="004A054C">
        <w:rPr>
          <w:rtl/>
        </w:rPr>
        <w:t>القسرية</w:t>
      </w:r>
      <w:r w:rsidRPr="004A054C">
        <w:rPr>
          <w:rtl/>
        </w:rPr>
        <w:t xml:space="preserve"> </w:t>
      </w:r>
      <w:r w:rsidRPr="004A054C">
        <w:rPr>
          <w:rtl/>
        </w:rPr>
        <w:t>قابلا</w:t>
      </w:r>
      <w:r w:rsidR="00EE23A7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للإنفاذ،</w:t>
      </w:r>
      <w:r w:rsidRPr="004A054C">
        <w:rPr>
          <w:rtl/>
        </w:rPr>
        <w:t xml:space="preserve"> </w:t>
      </w:r>
      <w:r w:rsidRPr="004A054C">
        <w:rPr>
          <w:rtl/>
        </w:rPr>
        <w:t>مثل</w:t>
      </w:r>
      <w:r w:rsidRPr="004A054C">
        <w:rPr>
          <w:rtl/>
        </w:rPr>
        <w:t xml:space="preserve"> </w:t>
      </w:r>
      <w:r w:rsidRPr="004A054C">
        <w:rPr>
          <w:rtl/>
        </w:rPr>
        <w:t>آليات</w:t>
      </w:r>
      <w:r w:rsidRPr="004A054C">
        <w:rPr>
          <w:rtl/>
        </w:rPr>
        <w:t xml:space="preserve"> </w:t>
      </w:r>
      <w:r w:rsidRPr="004A054C">
        <w:rPr>
          <w:rtl/>
        </w:rPr>
        <w:t>الطعن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مقررات</w:t>
      </w:r>
      <w:r w:rsidRPr="004A054C">
        <w:rPr>
          <w:rtl/>
        </w:rPr>
        <w:t xml:space="preserve"> </w:t>
      </w:r>
      <w:r w:rsidRPr="004A054C">
        <w:rPr>
          <w:rtl/>
        </w:rPr>
        <w:t>الترحيل</w:t>
      </w:r>
      <w:r w:rsidRPr="004A054C">
        <w:rPr>
          <w:rtl/>
        </w:rPr>
        <w:t xml:space="preserve"> </w:t>
      </w:r>
      <w:r w:rsidRPr="004A054C">
        <w:rPr>
          <w:rtl/>
        </w:rPr>
        <w:t>ذات</w:t>
      </w:r>
      <w:r w:rsidRPr="004A054C">
        <w:rPr>
          <w:rtl/>
        </w:rPr>
        <w:t xml:space="preserve"> </w:t>
      </w:r>
      <w:r w:rsidRPr="004A054C">
        <w:rPr>
          <w:rtl/>
        </w:rPr>
        <w:t>الأثر</w:t>
      </w:r>
      <w:r w:rsidRPr="004A054C">
        <w:rPr>
          <w:rtl/>
        </w:rPr>
        <w:t xml:space="preserve"> </w:t>
      </w:r>
      <w:proofErr w:type="spellStart"/>
      <w:r w:rsidRPr="004A054C">
        <w:rPr>
          <w:rtl/>
        </w:rPr>
        <w:t>الإيقافي</w:t>
      </w:r>
      <w:proofErr w:type="spellEnd"/>
      <w:r w:rsidRPr="004A054C">
        <w:rPr>
          <w:rtl/>
        </w:rPr>
        <w:t>.</w:t>
      </w:r>
      <w:r w:rsidRPr="004A054C">
        <w:rPr>
          <w:rtl/>
        </w:rPr>
        <w:t xml:space="preserve"> </w:t>
      </w:r>
      <w:r w:rsidRPr="004A054C">
        <w:rPr>
          <w:rtl/>
        </w:rPr>
        <w:t>وتعرب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أيضاً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</w:t>
      </w:r>
      <w:r w:rsidRPr="004A054C">
        <w:rPr>
          <w:rtl/>
        </w:rPr>
        <w:t xml:space="preserve"> </w:t>
      </w:r>
      <w:r w:rsidRPr="004A054C">
        <w:rPr>
          <w:rtl/>
        </w:rPr>
        <w:t>تقدم</w:t>
      </w:r>
      <w:r w:rsidRPr="004A054C">
        <w:rPr>
          <w:rtl/>
        </w:rPr>
        <w:t xml:space="preserve"> </w:t>
      </w:r>
      <w:r w:rsidRPr="004A054C">
        <w:rPr>
          <w:rtl/>
        </w:rPr>
        <w:t>بيانات</w:t>
      </w:r>
      <w:r w:rsidRPr="004A054C">
        <w:rPr>
          <w:rtl/>
        </w:rPr>
        <w:t xml:space="preserve"> </w:t>
      </w:r>
      <w:r w:rsidRPr="004A054C">
        <w:rPr>
          <w:rtl/>
        </w:rPr>
        <w:t>إحصائية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عدد</w:t>
      </w:r>
      <w:r w:rsidRPr="004A054C">
        <w:rPr>
          <w:rtl/>
        </w:rPr>
        <w:t xml:space="preserve"> </w:t>
      </w:r>
      <w:r w:rsidRPr="004A054C">
        <w:rPr>
          <w:rtl/>
        </w:rPr>
        <w:t>حالات</w:t>
      </w:r>
      <w:r w:rsidRPr="004A054C">
        <w:rPr>
          <w:rtl/>
        </w:rPr>
        <w:t xml:space="preserve"> </w:t>
      </w:r>
      <w:r w:rsidRPr="004A054C">
        <w:rPr>
          <w:rtl/>
        </w:rPr>
        <w:t>الطرد</w:t>
      </w:r>
      <w:r w:rsidRPr="004A054C">
        <w:rPr>
          <w:rtl/>
        </w:rPr>
        <w:t xml:space="preserve"> </w:t>
      </w:r>
      <w:r w:rsidRPr="004A054C">
        <w:rPr>
          <w:rtl/>
        </w:rPr>
        <w:t>والترحيل</w:t>
      </w:r>
      <w:r w:rsidRPr="004A054C">
        <w:rPr>
          <w:rtl/>
        </w:rPr>
        <w:t xml:space="preserve"> </w:t>
      </w:r>
      <w:r w:rsidRPr="004A054C">
        <w:rPr>
          <w:rtl/>
        </w:rPr>
        <w:t>والتسليم.</w:t>
      </w:r>
      <w:r w:rsidRPr="004A054C">
        <w:rPr>
          <w:rtl/>
        </w:rPr>
        <w:t xml:space="preserve"> </w:t>
      </w:r>
      <w:r w:rsidRPr="004A054C">
        <w:rPr>
          <w:rtl/>
        </w:rPr>
        <w:t>ويساور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القلق</w:t>
      </w:r>
      <w:r w:rsidRPr="004A054C">
        <w:rPr>
          <w:rtl/>
        </w:rPr>
        <w:t xml:space="preserve"> </w:t>
      </w:r>
      <w:r w:rsidRPr="004A054C">
        <w:rPr>
          <w:rtl/>
        </w:rPr>
        <w:t>أيضا</w:t>
      </w:r>
      <w:r w:rsidR="00EE23A7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سلمت</w:t>
      </w:r>
      <w:r w:rsidRPr="004A054C">
        <w:rPr>
          <w:rtl/>
        </w:rPr>
        <w:t xml:space="preserve"> </w:t>
      </w:r>
      <w:r w:rsidRPr="004A054C">
        <w:rPr>
          <w:rtl/>
        </w:rPr>
        <w:t>بصورة</w:t>
      </w:r>
      <w:r w:rsidRPr="004A054C">
        <w:rPr>
          <w:rtl/>
        </w:rPr>
        <w:t xml:space="preserve"> </w:t>
      </w:r>
      <w:r w:rsidRPr="004A054C">
        <w:rPr>
          <w:rtl/>
        </w:rPr>
        <w:t>غير</w:t>
      </w:r>
      <w:r w:rsidRPr="004A054C">
        <w:rPr>
          <w:rtl/>
        </w:rPr>
        <w:t xml:space="preserve"> </w:t>
      </w:r>
      <w:r w:rsidRPr="004A054C">
        <w:rPr>
          <w:rtl/>
        </w:rPr>
        <w:t>قانونية</w:t>
      </w:r>
      <w:r w:rsidRPr="004A054C">
        <w:rPr>
          <w:rtl/>
        </w:rPr>
        <w:t xml:space="preserve"> </w:t>
      </w:r>
      <w:r w:rsidRPr="004A054C">
        <w:rPr>
          <w:rtl/>
        </w:rPr>
        <w:t>شخصا</w:t>
      </w:r>
      <w:r w:rsidR="00EE23A7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متهما</w:t>
      </w:r>
      <w:r w:rsidR="00EE23A7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بالإرهاب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إثيوبيا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انتهاك</w:t>
      </w:r>
      <w:r w:rsidRPr="004A054C">
        <w:rPr>
          <w:rtl/>
        </w:rPr>
        <w:t xml:space="preserve"> </w:t>
      </w:r>
      <w:r w:rsidRPr="004A054C">
        <w:rPr>
          <w:rtl/>
        </w:rPr>
        <w:t>للمادة</w:t>
      </w:r>
      <w:r w:rsidR="00EE23A7">
        <w:rPr>
          <w:rFonts w:hint="cs"/>
          <w:rtl/>
        </w:rPr>
        <w:t> </w:t>
      </w:r>
      <w:r w:rsidRPr="00835005">
        <w:rPr>
          <w:rtl/>
        </w:rPr>
        <w:t>36</w:t>
      </w:r>
      <w:r w:rsidRPr="004A054C">
        <w:rPr>
          <w:rtl/>
        </w:rPr>
        <w:t>(</w:t>
      </w:r>
      <w:r w:rsidR="00D40BC3" w:rsidRPr="00835005">
        <w:rPr>
          <w:rtl/>
        </w:rPr>
        <w:t>1</w:t>
      </w:r>
      <w:r w:rsidR="00D40BC3" w:rsidRPr="00D40BC3">
        <w:rPr>
          <w:rtl/>
        </w:rPr>
        <w:t>)</w:t>
      </w:r>
      <w:r w:rsidR="00D40BC3" w:rsidRPr="00D40BC3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دستورها،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تقضي</w:t>
      </w:r>
      <w:r w:rsidRPr="004A054C">
        <w:rPr>
          <w:rtl/>
        </w:rPr>
        <w:t xml:space="preserve"> </w:t>
      </w:r>
      <w:r w:rsidRPr="004A054C">
        <w:rPr>
          <w:rtl/>
        </w:rPr>
        <w:t>بعدم</w:t>
      </w:r>
      <w:r w:rsidRPr="004A054C">
        <w:rPr>
          <w:rtl/>
        </w:rPr>
        <w:t xml:space="preserve"> </w:t>
      </w:r>
      <w:r w:rsidRPr="004A054C">
        <w:rPr>
          <w:rtl/>
        </w:rPr>
        <w:t>جواز</w:t>
      </w:r>
      <w:r w:rsidRPr="004A054C">
        <w:rPr>
          <w:rtl/>
        </w:rPr>
        <w:t xml:space="preserve"> </w:t>
      </w:r>
      <w:r w:rsidRPr="004A054C">
        <w:rPr>
          <w:rtl/>
        </w:rPr>
        <w:t>تسليم</w:t>
      </w:r>
      <w:r w:rsidRPr="004A054C">
        <w:rPr>
          <w:rtl/>
        </w:rPr>
        <w:t xml:space="preserve"> </w:t>
      </w:r>
      <w:r w:rsidRPr="004A054C">
        <w:rPr>
          <w:rtl/>
        </w:rPr>
        <w:t>المطلوبين</w:t>
      </w:r>
      <w:r w:rsidRPr="004A054C">
        <w:rPr>
          <w:rtl/>
        </w:rPr>
        <w:t xml:space="preserve"> </w:t>
      </w:r>
      <w:r w:rsidRPr="004A054C">
        <w:rPr>
          <w:rtl/>
        </w:rPr>
        <w:t>إلا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أساس</w:t>
      </w:r>
      <w:r w:rsidRPr="004A054C">
        <w:rPr>
          <w:rtl/>
        </w:rPr>
        <w:t xml:space="preserve"> </w:t>
      </w:r>
      <w:r w:rsidRPr="004A054C">
        <w:rPr>
          <w:rtl/>
        </w:rPr>
        <w:t>معاهدة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اتفاقية</w:t>
      </w:r>
      <w:r w:rsidRPr="004A054C">
        <w:rPr>
          <w:rtl/>
        </w:rPr>
        <w:t xml:space="preserve"> </w:t>
      </w:r>
      <w:r w:rsidRPr="004A054C">
        <w:rPr>
          <w:rtl/>
        </w:rPr>
        <w:t>دولية،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حين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ليس</w:t>
      </w:r>
      <w:r w:rsidRPr="004A054C">
        <w:rPr>
          <w:rtl/>
        </w:rPr>
        <w:t xml:space="preserve"> </w:t>
      </w:r>
      <w:r w:rsidRPr="004A054C">
        <w:rPr>
          <w:rtl/>
        </w:rPr>
        <w:t>لديها</w:t>
      </w:r>
      <w:r w:rsidRPr="004A054C">
        <w:rPr>
          <w:rtl/>
        </w:rPr>
        <w:t xml:space="preserve"> </w:t>
      </w:r>
      <w:r w:rsidRPr="004A054C">
        <w:rPr>
          <w:rtl/>
        </w:rPr>
        <w:t>اتفاق</w:t>
      </w:r>
      <w:r w:rsidRPr="004A054C">
        <w:rPr>
          <w:rtl/>
        </w:rPr>
        <w:t xml:space="preserve"> </w:t>
      </w:r>
      <w:r w:rsidRPr="004A054C">
        <w:rPr>
          <w:rtl/>
        </w:rPr>
        <w:t>بشأن</w:t>
      </w:r>
      <w:r w:rsidRPr="004A054C">
        <w:rPr>
          <w:rtl/>
        </w:rPr>
        <w:t xml:space="preserve"> </w:t>
      </w:r>
      <w:r w:rsidRPr="004A054C">
        <w:rPr>
          <w:rtl/>
        </w:rPr>
        <w:t>تسليم</w:t>
      </w:r>
      <w:r w:rsidRPr="004A054C">
        <w:rPr>
          <w:rtl/>
        </w:rPr>
        <w:t xml:space="preserve"> </w:t>
      </w:r>
      <w:r w:rsidRPr="004A054C">
        <w:rPr>
          <w:rtl/>
        </w:rPr>
        <w:t>المطلوبين</w:t>
      </w:r>
      <w:r w:rsidRPr="004A054C">
        <w:rPr>
          <w:rtl/>
        </w:rPr>
        <w:t xml:space="preserve"> </w:t>
      </w:r>
      <w:r w:rsidRPr="004A054C">
        <w:rPr>
          <w:rtl/>
        </w:rPr>
        <w:t>مع</w:t>
      </w:r>
      <w:r w:rsidRPr="004A054C">
        <w:rPr>
          <w:rtl/>
        </w:rPr>
        <w:t xml:space="preserve"> </w:t>
      </w:r>
      <w:r w:rsidRPr="004A054C">
        <w:rPr>
          <w:rtl/>
        </w:rPr>
        <w:t>إثيوبيا.</w:t>
      </w:r>
      <w:r w:rsidRPr="004A054C">
        <w:rPr>
          <w:rtl/>
        </w:rPr>
        <w:t xml:space="preserve"> </w:t>
      </w:r>
      <w:r w:rsidRPr="004A054C">
        <w:rPr>
          <w:rtl/>
        </w:rPr>
        <w:t>وتلاحظ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أفادت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قانونها</w:t>
      </w:r>
      <w:r w:rsidRPr="004A054C">
        <w:rPr>
          <w:rtl/>
        </w:rPr>
        <w:t xml:space="preserve"> </w:t>
      </w:r>
      <w:r w:rsidRPr="004A054C">
        <w:rPr>
          <w:rtl/>
        </w:rPr>
        <w:t>المحلي</w:t>
      </w:r>
      <w:r w:rsidRPr="004A054C">
        <w:rPr>
          <w:rtl/>
        </w:rPr>
        <w:t xml:space="preserve"> </w:t>
      </w:r>
      <w:r w:rsidRPr="004A054C">
        <w:rPr>
          <w:rtl/>
        </w:rPr>
        <w:t>لا</w:t>
      </w:r>
      <w:r w:rsidRPr="004A054C">
        <w:rPr>
          <w:rtl/>
        </w:rPr>
        <w:t xml:space="preserve"> </w:t>
      </w:r>
      <w:r w:rsidRPr="004A054C">
        <w:rPr>
          <w:rtl/>
        </w:rPr>
        <w:t>يجيز</w:t>
      </w:r>
      <w:r w:rsidRPr="004A054C">
        <w:rPr>
          <w:rtl/>
        </w:rPr>
        <w:t xml:space="preserve"> </w:t>
      </w:r>
      <w:r w:rsidRPr="004A054C">
        <w:rPr>
          <w:rtl/>
        </w:rPr>
        <w:t>تسليم</w:t>
      </w:r>
      <w:r w:rsidRPr="004A054C">
        <w:rPr>
          <w:rtl/>
        </w:rPr>
        <w:t xml:space="preserve"> </w:t>
      </w:r>
      <w:r w:rsidRPr="004A054C">
        <w:rPr>
          <w:rtl/>
        </w:rPr>
        <w:t>المطلوبين</w:t>
      </w:r>
      <w:r w:rsidRPr="004A054C">
        <w:rPr>
          <w:rtl/>
        </w:rPr>
        <w:t xml:space="preserve"> </w:t>
      </w:r>
      <w:r w:rsidRPr="004A054C">
        <w:rPr>
          <w:rtl/>
        </w:rPr>
        <w:t>إلا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الدول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أبرمت</w:t>
      </w:r>
      <w:r w:rsidRPr="004A054C">
        <w:rPr>
          <w:rtl/>
        </w:rPr>
        <w:t xml:space="preserve"> </w:t>
      </w:r>
      <w:r w:rsidRPr="004A054C">
        <w:rPr>
          <w:rtl/>
        </w:rPr>
        <w:t>معها</w:t>
      </w:r>
      <w:r w:rsidRPr="004A054C">
        <w:rPr>
          <w:rtl/>
        </w:rPr>
        <w:t xml:space="preserve"> </w:t>
      </w:r>
      <w:r w:rsidRPr="004A054C">
        <w:rPr>
          <w:rtl/>
        </w:rPr>
        <w:t>اتفاقات</w:t>
      </w:r>
      <w:r w:rsidRPr="004A054C">
        <w:rPr>
          <w:rtl/>
        </w:rPr>
        <w:t xml:space="preserve"> </w:t>
      </w:r>
      <w:r w:rsidRPr="004A054C">
        <w:rPr>
          <w:rtl/>
        </w:rPr>
        <w:t>بشأن</w:t>
      </w:r>
      <w:r w:rsidRPr="004A054C">
        <w:rPr>
          <w:rtl/>
        </w:rPr>
        <w:t xml:space="preserve"> </w:t>
      </w:r>
      <w:r w:rsidRPr="004A054C">
        <w:rPr>
          <w:rtl/>
        </w:rPr>
        <w:t>تسليم</w:t>
      </w:r>
      <w:r w:rsidRPr="004A054C">
        <w:rPr>
          <w:rtl/>
        </w:rPr>
        <w:t xml:space="preserve"> </w:t>
      </w:r>
      <w:r w:rsidRPr="004A054C">
        <w:rPr>
          <w:rtl/>
        </w:rPr>
        <w:t>المطلوبين</w:t>
      </w:r>
      <w:r w:rsidRPr="004A054C">
        <w:rPr>
          <w:rtl/>
        </w:rPr>
        <w:t xml:space="preserve"> </w:t>
      </w:r>
      <w:r w:rsidRPr="004A054C">
        <w:rPr>
          <w:rtl/>
        </w:rPr>
        <w:t>(المادتان</w:t>
      </w:r>
      <w:r w:rsidRPr="004A054C">
        <w:rPr>
          <w:rtl/>
        </w:rPr>
        <w:t xml:space="preserve"> </w:t>
      </w:r>
      <w:r w:rsidRPr="00835005">
        <w:rPr>
          <w:rtl/>
        </w:rPr>
        <w:t>3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="00D40BC3" w:rsidRPr="00835005">
        <w:rPr>
          <w:rtl/>
        </w:rPr>
        <w:t>8</w:t>
      </w:r>
      <w:r w:rsidR="00D40BC3" w:rsidRPr="00D40BC3">
        <w:rPr>
          <w:rtl/>
        </w:rPr>
        <w:t>).</w:t>
      </w:r>
    </w:p>
    <w:p w14:paraId="7DD99BDC" w14:textId="5C0B15AC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38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تكفل،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القانون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والممارسة،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عدم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طرد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الأشخاص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إعادتهم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="00E842F5" w:rsidRPr="00835005">
        <w:rPr>
          <w:rFonts w:hint="cs"/>
          <w:b/>
          <w:bCs/>
          <w:rtl/>
        </w:rPr>
        <w:t> </w:t>
      </w:r>
      <w:r w:rsidRPr="00835005">
        <w:rPr>
          <w:b/>
          <w:bCs/>
          <w:rtl/>
        </w:rPr>
        <w:t>تسليمهم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أخرى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توافرت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لديها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أسباب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جوهرية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تدعو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الاعتقاد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بأنهم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سيواجهون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خطر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التعرض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تتأكد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عمليات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التسليم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تجري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وفقا</w:t>
      </w:r>
      <w:r w:rsidR="00E842F5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لمقتضيات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دستورها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واتفاقات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تسليم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الأشخاص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المطلوبين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فيها.</w:t>
      </w:r>
      <w:r w:rsidRPr="004A054C">
        <w:rPr>
          <w:rtl/>
        </w:rPr>
        <w:t xml:space="preserve"> </w:t>
      </w:r>
    </w:p>
    <w:p w14:paraId="203D37D7" w14:textId="72D6DA77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ملتمسو</w:t>
      </w:r>
      <w:r w:rsidRPr="00835005">
        <w:rPr>
          <w:rtl/>
        </w:rPr>
        <w:t xml:space="preserve"> </w:t>
      </w:r>
      <w:r w:rsidRPr="00835005">
        <w:rPr>
          <w:rtl/>
        </w:rPr>
        <w:t>اللجوء</w:t>
      </w:r>
      <w:r w:rsidRPr="00835005">
        <w:rPr>
          <w:rtl/>
        </w:rPr>
        <w:t xml:space="preserve"> </w:t>
      </w:r>
      <w:r w:rsidRPr="00835005">
        <w:rPr>
          <w:rtl/>
        </w:rPr>
        <w:t>واللاجئون</w:t>
      </w:r>
      <w:r w:rsidRPr="00835005">
        <w:rPr>
          <w:rtl/>
        </w:rPr>
        <w:t xml:space="preserve"> </w:t>
      </w:r>
      <w:r w:rsidRPr="00835005">
        <w:rPr>
          <w:rtl/>
        </w:rPr>
        <w:t>والمشردون</w:t>
      </w:r>
      <w:r w:rsidRPr="00835005">
        <w:rPr>
          <w:rtl/>
        </w:rPr>
        <w:t xml:space="preserve"> </w:t>
      </w:r>
      <w:r w:rsidRPr="00835005">
        <w:rPr>
          <w:rtl/>
        </w:rPr>
        <w:t>داخليا</w:t>
      </w:r>
      <w:r w:rsidR="000E0E3D" w:rsidRPr="00835005">
        <w:rPr>
          <w:rFonts w:hint="cs"/>
          <w:rtl/>
        </w:rPr>
        <w:t>ً</w:t>
      </w:r>
    </w:p>
    <w:p w14:paraId="5D0C1423" w14:textId="4833EA45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39</w:t>
      </w:r>
      <w:r w:rsidRPr="004A054C">
        <w:rPr>
          <w:rtl/>
        </w:rPr>
        <w:t>-</w:t>
      </w:r>
      <w:r w:rsidRPr="004A054C">
        <w:rPr>
          <w:rtl/>
        </w:rPr>
        <w:tab/>
        <w:t>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0E0E3D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بإنشاء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الوطنية</w:t>
      </w:r>
      <w:r w:rsidRPr="004A054C">
        <w:rPr>
          <w:rtl/>
        </w:rPr>
        <w:t xml:space="preserve"> </w:t>
      </w:r>
      <w:r w:rsidRPr="004A054C">
        <w:rPr>
          <w:rtl/>
        </w:rPr>
        <w:t>للاجئين</w:t>
      </w:r>
      <w:r w:rsidRPr="004A054C">
        <w:rPr>
          <w:rtl/>
        </w:rPr>
        <w:t xml:space="preserve"> </w:t>
      </w:r>
      <w:r w:rsidRPr="004A054C">
        <w:rPr>
          <w:rtl/>
        </w:rPr>
        <w:t>والمشردين</w:t>
      </w:r>
      <w:r w:rsidRPr="004A054C">
        <w:rPr>
          <w:rtl/>
        </w:rPr>
        <w:t xml:space="preserve"> </w:t>
      </w:r>
      <w:r w:rsidRPr="004A054C">
        <w:rPr>
          <w:rtl/>
        </w:rPr>
        <w:t>داخليا</w:t>
      </w:r>
      <w:r w:rsidR="000E0E3D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وبالخطوات</w:t>
      </w:r>
      <w:r w:rsidRPr="004A054C">
        <w:rPr>
          <w:rtl/>
        </w:rPr>
        <w:t xml:space="preserve"> </w:t>
      </w:r>
      <w:r w:rsidRPr="004A054C">
        <w:rPr>
          <w:rtl/>
        </w:rPr>
        <w:t>المتخذة</w:t>
      </w:r>
      <w:r w:rsidRPr="004A054C">
        <w:rPr>
          <w:rtl/>
        </w:rPr>
        <w:t xml:space="preserve"> </w:t>
      </w:r>
      <w:r w:rsidRPr="004A054C">
        <w:rPr>
          <w:rtl/>
        </w:rPr>
        <w:t>لاعتماد</w:t>
      </w:r>
      <w:r w:rsidRPr="004A054C">
        <w:rPr>
          <w:rtl/>
        </w:rPr>
        <w:t xml:space="preserve"> </w:t>
      </w:r>
      <w:r w:rsidRPr="004A054C">
        <w:rPr>
          <w:rtl/>
        </w:rPr>
        <w:t>سياسة</w:t>
      </w:r>
      <w:r w:rsidRPr="004A054C">
        <w:rPr>
          <w:rtl/>
        </w:rPr>
        <w:t xml:space="preserve"> </w:t>
      </w:r>
      <w:r w:rsidRPr="004A054C">
        <w:rPr>
          <w:rtl/>
        </w:rPr>
        <w:t>وطنية</w:t>
      </w:r>
      <w:r w:rsidRPr="004A054C">
        <w:rPr>
          <w:rtl/>
        </w:rPr>
        <w:t xml:space="preserve"> </w:t>
      </w:r>
      <w:r w:rsidRPr="004A054C">
        <w:rPr>
          <w:rtl/>
        </w:rPr>
        <w:t>بشأن</w:t>
      </w:r>
      <w:r w:rsidRPr="004A054C">
        <w:rPr>
          <w:rtl/>
        </w:rPr>
        <w:t xml:space="preserve"> </w:t>
      </w:r>
      <w:r w:rsidRPr="004A054C">
        <w:rPr>
          <w:rtl/>
        </w:rPr>
        <w:t>اللاجئين</w:t>
      </w:r>
      <w:r w:rsidRPr="004A054C">
        <w:rPr>
          <w:rtl/>
        </w:rPr>
        <w:t xml:space="preserve"> </w:t>
      </w:r>
      <w:r w:rsidRPr="004A054C">
        <w:rPr>
          <w:rtl/>
        </w:rPr>
        <w:t>-</w:t>
      </w:r>
      <w:r w:rsidRPr="004A054C">
        <w:rPr>
          <w:rtl/>
        </w:rPr>
        <w:t xml:space="preserve"> </w:t>
      </w:r>
      <w:r w:rsidRPr="004A054C">
        <w:rPr>
          <w:rtl/>
        </w:rPr>
        <w:t>العائدين</w:t>
      </w:r>
      <w:r w:rsidRPr="004A054C">
        <w:rPr>
          <w:rtl/>
        </w:rPr>
        <w:t xml:space="preserve"> </w:t>
      </w:r>
      <w:r w:rsidRPr="004A054C">
        <w:rPr>
          <w:rtl/>
        </w:rPr>
        <w:t>والمشردين</w:t>
      </w:r>
      <w:r w:rsidRPr="004A054C">
        <w:rPr>
          <w:rtl/>
        </w:rPr>
        <w:t xml:space="preserve"> </w:t>
      </w:r>
      <w:r w:rsidRPr="004A054C">
        <w:rPr>
          <w:rtl/>
        </w:rPr>
        <w:t>داخليا</w:t>
      </w:r>
      <w:r w:rsidR="000E0E3D">
        <w:rPr>
          <w:rFonts w:hint="cs"/>
          <w:rtl/>
        </w:rPr>
        <w:t>ً</w:t>
      </w:r>
      <w:r w:rsidRPr="004A054C">
        <w:rPr>
          <w:rtl/>
        </w:rPr>
        <w:t>.</w:t>
      </w:r>
      <w:r w:rsidRPr="004A054C">
        <w:rPr>
          <w:rtl/>
        </w:rPr>
        <w:t xml:space="preserve"> </w:t>
      </w:r>
      <w:r w:rsidRPr="004A054C">
        <w:rPr>
          <w:rtl/>
        </w:rPr>
        <w:t>بيد</w:t>
      </w:r>
      <w:r w:rsidRPr="004A054C">
        <w:rPr>
          <w:rtl/>
        </w:rPr>
        <w:t xml:space="preserve"> </w:t>
      </w:r>
      <w:r w:rsidRPr="004A054C">
        <w:rPr>
          <w:rtl/>
        </w:rPr>
        <w:t>أنها</w:t>
      </w:r>
      <w:r w:rsidRPr="004A054C">
        <w:rPr>
          <w:rtl/>
        </w:rPr>
        <w:t xml:space="preserve"> </w:t>
      </w:r>
      <w:r w:rsidRPr="004A054C">
        <w:rPr>
          <w:rtl/>
        </w:rPr>
        <w:t>تشعر</w:t>
      </w:r>
      <w:r w:rsidRPr="004A054C">
        <w:rPr>
          <w:rtl/>
        </w:rPr>
        <w:t xml:space="preserve"> </w:t>
      </w:r>
      <w:r w:rsidRPr="004A054C">
        <w:rPr>
          <w:rtl/>
        </w:rPr>
        <w:t>بالقلق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التقارير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تفيد</w:t>
      </w:r>
      <w:r w:rsidRPr="004A054C">
        <w:rPr>
          <w:rtl/>
        </w:rPr>
        <w:t xml:space="preserve"> </w:t>
      </w:r>
      <w:r w:rsidRPr="004A054C">
        <w:rPr>
          <w:rtl/>
        </w:rPr>
        <w:t>بأن</w:t>
      </w:r>
      <w:r w:rsidRPr="004A054C">
        <w:rPr>
          <w:rtl/>
        </w:rPr>
        <w:t xml:space="preserve"> </w:t>
      </w:r>
      <w:r w:rsidRPr="004A054C">
        <w:rPr>
          <w:rtl/>
        </w:rPr>
        <w:t>الأشخاص</w:t>
      </w:r>
      <w:r w:rsidRPr="004A054C">
        <w:rPr>
          <w:rtl/>
        </w:rPr>
        <w:t xml:space="preserve"> </w:t>
      </w:r>
      <w:r w:rsidRPr="004A054C">
        <w:rPr>
          <w:rtl/>
        </w:rPr>
        <w:t>المشردين</w:t>
      </w:r>
      <w:r w:rsidRPr="004A054C">
        <w:rPr>
          <w:rtl/>
        </w:rPr>
        <w:t xml:space="preserve"> </w:t>
      </w:r>
      <w:r w:rsidRPr="004A054C">
        <w:rPr>
          <w:rtl/>
        </w:rPr>
        <w:t>داخليا</w:t>
      </w:r>
      <w:r w:rsidR="000E0E3D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يواجهون</w:t>
      </w:r>
      <w:r w:rsidRPr="004A054C">
        <w:rPr>
          <w:rtl/>
        </w:rPr>
        <w:t xml:space="preserve"> </w:t>
      </w:r>
      <w:r w:rsidRPr="004A054C">
        <w:rPr>
          <w:rtl/>
        </w:rPr>
        <w:t>انتهاكات</w:t>
      </w:r>
      <w:r w:rsidRPr="004A054C">
        <w:rPr>
          <w:rtl/>
        </w:rPr>
        <w:t xml:space="preserve"> </w:t>
      </w:r>
      <w:r w:rsidRPr="004A054C">
        <w:rPr>
          <w:rtl/>
        </w:rPr>
        <w:t>خطيرة،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العنف</w:t>
      </w:r>
      <w:r w:rsidRPr="004A054C">
        <w:rPr>
          <w:rtl/>
        </w:rPr>
        <w:t xml:space="preserve"> </w:t>
      </w:r>
      <w:r w:rsidRPr="004A054C">
        <w:rPr>
          <w:rtl/>
        </w:rPr>
        <w:t>الجنسي</w:t>
      </w:r>
      <w:r w:rsidRPr="004A054C">
        <w:rPr>
          <w:rtl/>
        </w:rPr>
        <w:t xml:space="preserve"> </w:t>
      </w:r>
      <w:proofErr w:type="spellStart"/>
      <w:r w:rsidRPr="004A054C">
        <w:rPr>
          <w:rtl/>
        </w:rPr>
        <w:t>والجنساني</w:t>
      </w:r>
      <w:proofErr w:type="spellEnd"/>
      <w:r w:rsidRPr="004A054C">
        <w:rPr>
          <w:rtl/>
        </w:rPr>
        <w:t>،</w:t>
      </w:r>
      <w:r w:rsidRPr="004A054C">
        <w:rPr>
          <w:rtl/>
        </w:rPr>
        <w:t xml:space="preserve"> </w:t>
      </w:r>
      <w:r w:rsidRPr="004A054C">
        <w:rPr>
          <w:rtl/>
        </w:rPr>
        <w:t>وحملات</w:t>
      </w:r>
      <w:r w:rsidRPr="004A054C">
        <w:rPr>
          <w:rtl/>
        </w:rPr>
        <w:t xml:space="preserve"> </w:t>
      </w:r>
      <w:r w:rsidRPr="004A054C">
        <w:rPr>
          <w:rtl/>
        </w:rPr>
        <w:t>الإخلاء</w:t>
      </w:r>
      <w:r w:rsidRPr="004A054C">
        <w:rPr>
          <w:rtl/>
        </w:rPr>
        <w:t xml:space="preserve"> </w:t>
      </w:r>
      <w:r w:rsidRPr="004A054C">
        <w:rPr>
          <w:rtl/>
        </w:rPr>
        <w:t>القسري</w:t>
      </w:r>
      <w:r w:rsidRPr="004A054C">
        <w:rPr>
          <w:rtl/>
        </w:rPr>
        <w:t xml:space="preserve"> </w:t>
      </w:r>
      <w:r w:rsidRPr="004A054C">
        <w:rPr>
          <w:rtl/>
        </w:rPr>
        <w:t>المتكررة،</w:t>
      </w:r>
      <w:r w:rsidRPr="004A054C">
        <w:rPr>
          <w:rtl/>
        </w:rPr>
        <w:t xml:space="preserve"> </w:t>
      </w:r>
      <w:r w:rsidRPr="004A054C">
        <w:rPr>
          <w:rtl/>
        </w:rPr>
        <w:t>والفرص</w:t>
      </w:r>
      <w:r w:rsidRPr="004A054C">
        <w:rPr>
          <w:rtl/>
        </w:rPr>
        <w:t xml:space="preserve"> </w:t>
      </w:r>
      <w:r w:rsidRPr="004A054C">
        <w:rPr>
          <w:rtl/>
        </w:rPr>
        <w:t>المحدودة</w:t>
      </w:r>
      <w:r w:rsidRPr="004A054C">
        <w:rPr>
          <w:rtl/>
        </w:rPr>
        <w:t xml:space="preserve"> </w:t>
      </w:r>
      <w:r w:rsidRPr="004A054C">
        <w:rPr>
          <w:rtl/>
        </w:rPr>
        <w:t>للحصول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الرعاية</w:t>
      </w:r>
      <w:r w:rsidRPr="004A054C">
        <w:rPr>
          <w:rtl/>
        </w:rPr>
        <w:t xml:space="preserve"> </w:t>
      </w:r>
      <w:r w:rsidRPr="004A054C">
        <w:rPr>
          <w:rtl/>
        </w:rPr>
        <w:t>الصحية</w:t>
      </w:r>
      <w:r w:rsidRPr="004A054C">
        <w:rPr>
          <w:rtl/>
        </w:rPr>
        <w:t xml:space="preserve"> </w:t>
      </w:r>
      <w:r w:rsidRPr="004A054C">
        <w:rPr>
          <w:rtl/>
        </w:rPr>
        <w:t>والغذاء</w:t>
      </w:r>
      <w:r w:rsidRPr="004A054C">
        <w:rPr>
          <w:rtl/>
        </w:rPr>
        <w:t xml:space="preserve"> </w:t>
      </w:r>
      <w:r w:rsidRPr="004A054C">
        <w:rPr>
          <w:rtl/>
        </w:rPr>
        <w:t>والماء.</w:t>
      </w:r>
      <w:r w:rsidRPr="004A054C">
        <w:rPr>
          <w:rtl/>
        </w:rPr>
        <w:t xml:space="preserve"> </w:t>
      </w:r>
      <w:r w:rsidRPr="004A054C">
        <w:rPr>
          <w:rtl/>
        </w:rPr>
        <w:t>وتعرب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لعدم</w:t>
      </w:r>
      <w:r w:rsidRPr="004A054C">
        <w:rPr>
          <w:rtl/>
        </w:rPr>
        <w:t xml:space="preserve"> </w:t>
      </w:r>
      <w:r w:rsidRPr="004A054C">
        <w:rPr>
          <w:rtl/>
        </w:rPr>
        <w:t>وجود</w:t>
      </w:r>
      <w:r w:rsidRPr="004A054C">
        <w:rPr>
          <w:rtl/>
        </w:rPr>
        <w:t xml:space="preserve"> </w:t>
      </w:r>
      <w:r w:rsidRPr="004A054C">
        <w:rPr>
          <w:rtl/>
        </w:rPr>
        <w:t>إحصاءات</w:t>
      </w:r>
      <w:r w:rsidRPr="004A054C">
        <w:rPr>
          <w:rtl/>
        </w:rPr>
        <w:t xml:space="preserve"> </w:t>
      </w:r>
      <w:r w:rsidRPr="004A054C">
        <w:rPr>
          <w:rtl/>
        </w:rPr>
        <w:t>مصنفة</w:t>
      </w:r>
      <w:r w:rsidRPr="004A054C">
        <w:rPr>
          <w:rtl/>
        </w:rPr>
        <w:t xml:space="preserve"> </w:t>
      </w:r>
      <w:r w:rsidRPr="004A054C">
        <w:rPr>
          <w:rtl/>
        </w:rPr>
        <w:t>حسب</w:t>
      </w:r>
      <w:r w:rsidRPr="004A054C">
        <w:rPr>
          <w:rtl/>
        </w:rPr>
        <w:t xml:space="preserve"> </w:t>
      </w:r>
      <w:r w:rsidRPr="004A054C">
        <w:rPr>
          <w:rtl/>
        </w:rPr>
        <w:t>السن</w:t>
      </w:r>
      <w:r w:rsidRPr="004A054C">
        <w:rPr>
          <w:rtl/>
        </w:rPr>
        <w:t xml:space="preserve"> </w:t>
      </w:r>
      <w:r w:rsidRPr="004A054C">
        <w:rPr>
          <w:rtl/>
        </w:rPr>
        <w:t>والجنس</w:t>
      </w:r>
      <w:r w:rsidRPr="004A054C">
        <w:rPr>
          <w:rtl/>
        </w:rPr>
        <w:t xml:space="preserve"> </w:t>
      </w:r>
      <w:r w:rsidRPr="004A054C">
        <w:rPr>
          <w:rtl/>
        </w:rPr>
        <w:t>والموقع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عدد</w:t>
      </w:r>
      <w:r w:rsidRPr="004A054C">
        <w:rPr>
          <w:rtl/>
        </w:rPr>
        <w:t xml:space="preserve"> </w:t>
      </w:r>
      <w:r w:rsidRPr="004A054C">
        <w:rPr>
          <w:rtl/>
        </w:rPr>
        <w:t>المشردين</w:t>
      </w:r>
      <w:r w:rsidRPr="004A054C">
        <w:rPr>
          <w:rtl/>
        </w:rPr>
        <w:t xml:space="preserve"> </w:t>
      </w:r>
      <w:r w:rsidRPr="004A054C">
        <w:rPr>
          <w:rtl/>
        </w:rPr>
        <w:t>داخليا</w:t>
      </w:r>
      <w:r w:rsidR="000E0E3D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وعدد</w:t>
      </w:r>
      <w:r w:rsidRPr="004A054C">
        <w:rPr>
          <w:rtl/>
        </w:rPr>
        <w:t xml:space="preserve"> </w:t>
      </w:r>
      <w:r w:rsidRPr="004A054C">
        <w:rPr>
          <w:rtl/>
        </w:rPr>
        <w:t>الأشخاص</w:t>
      </w:r>
      <w:r w:rsidRPr="004A054C">
        <w:rPr>
          <w:rtl/>
        </w:rPr>
        <w:t xml:space="preserve"> </w:t>
      </w:r>
      <w:r w:rsidRPr="004A054C">
        <w:rPr>
          <w:rtl/>
        </w:rPr>
        <w:t>الذين</w:t>
      </w:r>
      <w:r w:rsidRPr="004A054C">
        <w:rPr>
          <w:rtl/>
        </w:rPr>
        <w:t xml:space="preserve"> </w:t>
      </w:r>
      <w:r w:rsidRPr="004A054C">
        <w:rPr>
          <w:rtl/>
        </w:rPr>
        <w:t>طردوا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المخيمات.</w:t>
      </w:r>
      <w:r w:rsidRPr="004A054C">
        <w:rPr>
          <w:rtl/>
        </w:rPr>
        <w:t xml:space="preserve"> </w:t>
      </w:r>
      <w:r w:rsidRPr="004A054C">
        <w:rPr>
          <w:rtl/>
        </w:rPr>
        <w:t>وتعرب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</w:t>
      </w:r>
      <w:r w:rsidRPr="004A054C">
        <w:rPr>
          <w:rtl/>
        </w:rPr>
        <w:t xml:space="preserve"> </w:t>
      </w:r>
      <w:r w:rsidRPr="004A054C">
        <w:rPr>
          <w:rtl/>
        </w:rPr>
        <w:t>تقدم</w:t>
      </w:r>
      <w:r w:rsidRPr="004A054C">
        <w:rPr>
          <w:rtl/>
        </w:rPr>
        <w:t xml:space="preserve"> </w:t>
      </w:r>
      <w:r w:rsidRPr="004A054C">
        <w:rPr>
          <w:rtl/>
        </w:rPr>
        <w:t>معلومات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الموارد</w:t>
      </w:r>
      <w:r w:rsidRPr="004A054C">
        <w:rPr>
          <w:rtl/>
        </w:rPr>
        <w:t xml:space="preserve"> </w:t>
      </w:r>
      <w:r w:rsidRPr="004A054C">
        <w:rPr>
          <w:rtl/>
        </w:rPr>
        <w:t>البشرية</w:t>
      </w:r>
      <w:r w:rsidRPr="004A054C">
        <w:rPr>
          <w:rtl/>
        </w:rPr>
        <w:t xml:space="preserve"> </w:t>
      </w:r>
      <w:proofErr w:type="spellStart"/>
      <w:r w:rsidRPr="004A054C">
        <w:rPr>
          <w:rtl/>
        </w:rPr>
        <w:t>والميزنية</w:t>
      </w:r>
      <w:proofErr w:type="spellEnd"/>
      <w:r w:rsidRPr="004A054C">
        <w:rPr>
          <w:rtl/>
        </w:rPr>
        <w:t xml:space="preserve"> </w:t>
      </w:r>
      <w:r w:rsidRPr="004A054C">
        <w:rPr>
          <w:rtl/>
        </w:rPr>
        <w:t>المخصصة</w:t>
      </w:r>
      <w:r w:rsidRPr="004A054C">
        <w:rPr>
          <w:rtl/>
        </w:rPr>
        <w:t xml:space="preserve"> </w:t>
      </w:r>
      <w:r w:rsidRPr="004A054C">
        <w:rPr>
          <w:rtl/>
        </w:rPr>
        <w:t>لمخيمات</w:t>
      </w:r>
      <w:r w:rsidRPr="004A054C">
        <w:rPr>
          <w:rtl/>
        </w:rPr>
        <w:t xml:space="preserve"> </w:t>
      </w:r>
      <w:r w:rsidRPr="004A054C">
        <w:rPr>
          <w:rtl/>
        </w:rPr>
        <w:t>المشردين</w:t>
      </w:r>
      <w:r w:rsidRPr="004A054C">
        <w:rPr>
          <w:rtl/>
        </w:rPr>
        <w:t xml:space="preserve"> </w:t>
      </w:r>
      <w:r w:rsidRPr="004A054C">
        <w:rPr>
          <w:rtl/>
        </w:rPr>
        <w:t>داخليا</w:t>
      </w:r>
      <w:r w:rsidR="000E0E3D">
        <w:rPr>
          <w:rFonts w:hint="cs"/>
          <w:rtl/>
        </w:rPr>
        <w:t>ً</w:t>
      </w:r>
      <w:r w:rsidRPr="004A054C">
        <w:rPr>
          <w:rtl/>
        </w:rPr>
        <w:t>.</w:t>
      </w:r>
      <w:r w:rsidRPr="004A054C">
        <w:rPr>
          <w:rtl/>
        </w:rPr>
        <w:t xml:space="preserve"> </w:t>
      </w:r>
      <w:r w:rsidRPr="004A054C">
        <w:rPr>
          <w:rtl/>
        </w:rPr>
        <w:t>وتعرب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أيضاً</w:t>
      </w:r>
      <w:r w:rsidRPr="004A054C">
        <w:rPr>
          <w:rtl/>
        </w:rPr>
        <w:t xml:space="preserve"> </w:t>
      </w:r>
      <w:r w:rsidRPr="004A054C">
        <w:rPr>
          <w:rtl/>
        </w:rPr>
        <w:t>إزاء</w:t>
      </w:r>
      <w:r w:rsidRPr="004A054C">
        <w:rPr>
          <w:rtl/>
        </w:rPr>
        <w:t xml:space="preserve"> </w:t>
      </w:r>
      <w:r w:rsidRPr="004A054C">
        <w:rPr>
          <w:rtl/>
        </w:rPr>
        <w:t>عدم</w:t>
      </w:r>
      <w:r w:rsidRPr="004A054C">
        <w:rPr>
          <w:rtl/>
        </w:rPr>
        <w:t xml:space="preserve"> </w:t>
      </w:r>
      <w:r w:rsidRPr="004A054C">
        <w:rPr>
          <w:rtl/>
        </w:rPr>
        <w:t>وجود</w:t>
      </w:r>
      <w:r w:rsidRPr="004A054C">
        <w:rPr>
          <w:rtl/>
        </w:rPr>
        <w:t xml:space="preserve"> </w:t>
      </w:r>
      <w:r w:rsidRPr="004A054C">
        <w:rPr>
          <w:rtl/>
        </w:rPr>
        <w:t>معلومات</w:t>
      </w:r>
      <w:r w:rsidRPr="004A054C">
        <w:rPr>
          <w:rtl/>
        </w:rPr>
        <w:t xml:space="preserve"> </w:t>
      </w:r>
      <w:r w:rsidRPr="004A054C">
        <w:rPr>
          <w:rtl/>
        </w:rPr>
        <w:t>إحصائية</w:t>
      </w:r>
      <w:r w:rsidRPr="004A054C">
        <w:rPr>
          <w:rtl/>
        </w:rPr>
        <w:t xml:space="preserve"> </w:t>
      </w:r>
      <w:r w:rsidRPr="004A054C">
        <w:rPr>
          <w:rtl/>
        </w:rPr>
        <w:t>مصنفة</w:t>
      </w:r>
      <w:r w:rsidRPr="004A054C">
        <w:rPr>
          <w:rtl/>
        </w:rPr>
        <w:t xml:space="preserve"> </w:t>
      </w:r>
      <w:r w:rsidRPr="004A054C">
        <w:rPr>
          <w:rtl/>
        </w:rPr>
        <w:t>حسب</w:t>
      </w:r>
      <w:r w:rsidRPr="004A054C">
        <w:rPr>
          <w:rtl/>
        </w:rPr>
        <w:t xml:space="preserve"> </w:t>
      </w:r>
      <w:r w:rsidRPr="004A054C">
        <w:rPr>
          <w:rtl/>
        </w:rPr>
        <w:t>السن</w:t>
      </w:r>
      <w:r w:rsidRPr="004A054C">
        <w:rPr>
          <w:rtl/>
        </w:rPr>
        <w:t xml:space="preserve"> </w:t>
      </w:r>
      <w:r w:rsidRPr="004A054C">
        <w:rPr>
          <w:rtl/>
        </w:rPr>
        <w:t>والجنس</w:t>
      </w:r>
      <w:r w:rsidRPr="004A054C">
        <w:rPr>
          <w:rtl/>
        </w:rPr>
        <w:t xml:space="preserve"> </w:t>
      </w:r>
      <w:r w:rsidRPr="004A054C">
        <w:rPr>
          <w:rtl/>
        </w:rPr>
        <w:t>وبلد</w:t>
      </w:r>
      <w:r w:rsidRPr="004A054C">
        <w:rPr>
          <w:rtl/>
        </w:rPr>
        <w:t xml:space="preserve"> </w:t>
      </w:r>
      <w:r w:rsidRPr="004A054C">
        <w:rPr>
          <w:rtl/>
        </w:rPr>
        <w:t>المنشأ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الأشخاص</w:t>
      </w:r>
      <w:r w:rsidRPr="004A054C">
        <w:rPr>
          <w:rtl/>
        </w:rPr>
        <w:t xml:space="preserve"> </w:t>
      </w:r>
      <w:r w:rsidRPr="004A054C">
        <w:rPr>
          <w:rtl/>
        </w:rPr>
        <w:t>الذين</w:t>
      </w:r>
      <w:r w:rsidRPr="004A054C">
        <w:rPr>
          <w:rtl/>
        </w:rPr>
        <w:t xml:space="preserve"> </w:t>
      </w:r>
      <w:r w:rsidRPr="004A054C">
        <w:rPr>
          <w:rtl/>
        </w:rPr>
        <w:t>التمسوا</w:t>
      </w:r>
      <w:r w:rsidRPr="004A054C">
        <w:rPr>
          <w:rtl/>
        </w:rPr>
        <w:t xml:space="preserve"> </w:t>
      </w:r>
      <w:r w:rsidRPr="004A054C">
        <w:rPr>
          <w:rtl/>
        </w:rPr>
        <w:t>اللجوء</w:t>
      </w:r>
      <w:r w:rsidRPr="004A054C">
        <w:rPr>
          <w:rtl/>
        </w:rPr>
        <w:t xml:space="preserve"> </w:t>
      </w:r>
      <w:r w:rsidRPr="004A054C">
        <w:rPr>
          <w:rtl/>
        </w:rPr>
        <w:t>ومُنحوه</w:t>
      </w:r>
      <w:r w:rsidRPr="004A054C">
        <w:rPr>
          <w:rtl/>
        </w:rPr>
        <w:t xml:space="preserve"> </w:t>
      </w:r>
      <w:r w:rsidRPr="004A054C">
        <w:rPr>
          <w:rtl/>
        </w:rPr>
        <w:t>(المادتان</w:t>
      </w:r>
      <w:r w:rsidRPr="004A054C">
        <w:rPr>
          <w:rtl/>
        </w:rPr>
        <w:t xml:space="preserve"> </w:t>
      </w:r>
      <w:r w:rsidRPr="00835005">
        <w:rPr>
          <w:rtl/>
        </w:rPr>
        <w:t>3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r w:rsidR="00D40BC3" w:rsidRPr="00D40BC3">
        <w:rPr>
          <w:rtl/>
        </w:rPr>
        <w:t>).</w:t>
      </w:r>
    </w:p>
    <w:p w14:paraId="343A832D" w14:textId="72BB8C1C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40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تعزز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حماية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ملتمسي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واللاجئين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والمشردين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داخليا</w:t>
      </w:r>
      <w:r w:rsidR="006623FC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دون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تعرضهم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وبوجه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خاص،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تخصص،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بالتعاون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الشركاء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الدوليين،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موارد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بشرية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ومالية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كافية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لمخيمات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ملتمسي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واللاجئين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والمشردين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داخليا</w:t>
      </w:r>
      <w:r w:rsidR="006623FC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حمايتهم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الانتهاكات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وحصولهم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كافٍ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وملائم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الغذاء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والماء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والمرافق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الصحية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والرعاية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الطبية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والنفسية.</w:t>
      </w:r>
      <w:r w:rsidRPr="004A054C">
        <w:rPr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تتأكد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عدم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حدوث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عمليات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إخلاء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غير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قانونية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يكون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المقيمون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المخيمات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بحقوقهم.</w:t>
      </w:r>
    </w:p>
    <w:p w14:paraId="43C71FC0" w14:textId="77777777" w:rsidR="004A054C" w:rsidRPr="00835005" w:rsidRDefault="004A054C" w:rsidP="004A054C">
      <w:pPr>
        <w:pStyle w:val="H23GA"/>
        <w:rPr>
          <w:lang w:val="ar-SA" w:eastAsia="zh-TW" w:bidi="en-GB"/>
        </w:rPr>
      </w:pPr>
      <w:bookmarkStart w:id="4" w:name="_Hlk119061955"/>
      <w:r w:rsidRPr="00835005">
        <w:rPr>
          <w:rtl/>
        </w:rPr>
        <w:tab/>
      </w:r>
      <w:r w:rsidRPr="00835005">
        <w:rPr>
          <w:rtl/>
        </w:rPr>
        <w:tab/>
        <w:t>التدريب</w:t>
      </w:r>
    </w:p>
    <w:p w14:paraId="22DAA79C" w14:textId="1FFAF474" w:rsidR="00D40BC3" w:rsidRPr="006623FC" w:rsidRDefault="004A054C" w:rsidP="004A054C">
      <w:pPr>
        <w:pStyle w:val="SingleTxtGA"/>
        <w:rPr>
          <w:lang w:val="en-US" w:eastAsia="zh-TW"/>
        </w:rPr>
      </w:pPr>
      <w:r w:rsidRPr="00835005">
        <w:rPr>
          <w:rtl/>
        </w:rPr>
        <w:t>41</w:t>
      </w:r>
      <w:r w:rsidRPr="004A054C">
        <w:rPr>
          <w:rtl/>
        </w:rPr>
        <w:t>-</w:t>
      </w:r>
      <w:r w:rsidRPr="004A054C">
        <w:rPr>
          <w:rtl/>
        </w:rPr>
        <w:tab/>
        <w:t>تحيط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علما</w:t>
      </w:r>
      <w:r w:rsidR="006623FC">
        <w:rPr>
          <w:rFonts w:hint="cs"/>
          <w:rtl/>
        </w:rPr>
        <w:t>ً</w:t>
      </w:r>
      <w:r w:rsidRPr="004A054C">
        <w:rPr>
          <w:rtl/>
        </w:rPr>
        <w:t xml:space="preserve"> </w:t>
      </w:r>
      <w:r w:rsidRPr="004A054C">
        <w:rPr>
          <w:rtl/>
        </w:rPr>
        <w:t>بالمعلومات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قدمتها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بشأن</w:t>
      </w:r>
      <w:r w:rsidRPr="004A054C">
        <w:rPr>
          <w:rtl/>
        </w:rPr>
        <w:t xml:space="preserve"> </w:t>
      </w:r>
      <w:r w:rsidRPr="004A054C">
        <w:rPr>
          <w:rtl/>
        </w:rPr>
        <w:t>برامج</w:t>
      </w:r>
      <w:r w:rsidRPr="004A054C">
        <w:rPr>
          <w:rtl/>
        </w:rPr>
        <w:t xml:space="preserve"> </w:t>
      </w:r>
      <w:r w:rsidRPr="004A054C">
        <w:rPr>
          <w:rtl/>
        </w:rPr>
        <w:t>تدريب</w:t>
      </w:r>
      <w:r w:rsidRPr="004A054C">
        <w:rPr>
          <w:rtl/>
        </w:rPr>
        <w:t xml:space="preserve"> </w:t>
      </w:r>
      <w:r w:rsidRPr="004A054C">
        <w:rPr>
          <w:rtl/>
        </w:rPr>
        <w:t>الموظفين</w:t>
      </w:r>
      <w:r w:rsidRPr="004A054C">
        <w:rPr>
          <w:rtl/>
        </w:rPr>
        <w:t xml:space="preserve"> </w:t>
      </w:r>
      <w:r w:rsidRPr="004A054C">
        <w:rPr>
          <w:rtl/>
        </w:rPr>
        <w:t>المكلفين</w:t>
      </w:r>
      <w:r w:rsidRPr="004A054C">
        <w:rPr>
          <w:rtl/>
        </w:rPr>
        <w:t xml:space="preserve"> </w:t>
      </w:r>
      <w:r w:rsidRPr="004A054C">
        <w:rPr>
          <w:rtl/>
        </w:rPr>
        <w:t>بإنفاذ</w:t>
      </w:r>
      <w:r w:rsidRPr="004A054C">
        <w:rPr>
          <w:rtl/>
        </w:rPr>
        <w:t xml:space="preserve"> </w:t>
      </w:r>
      <w:r w:rsidRPr="004A054C">
        <w:rPr>
          <w:rtl/>
        </w:rPr>
        <w:t>القوانين</w:t>
      </w:r>
      <w:r w:rsidRPr="004A054C">
        <w:rPr>
          <w:rtl/>
        </w:rPr>
        <w:t xml:space="preserve"> </w:t>
      </w:r>
      <w:r w:rsidRPr="004A054C">
        <w:rPr>
          <w:rtl/>
        </w:rPr>
        <w:t>والقضاة</w:t>
      </w:r>
      <w:r w:rsidRPr="004A054C">
        <w:rPr>
          <w:rtl/>
        </w:rPr>
        <w:t xml:space="preserve"> </w:t>
      </w:r>
      <w:r w:rsidRPr="004A054C">
        <w:rPr>
          <w:rtl/>
        </w:rPr>
        <w:t>والمدعين</w:t>
      </w:r>
      <w:r w:rsidRPr="004A054C">
        <w:rPr>
          <w:rtl/>
        </w:rPr>
        <w:t xml:space="preserve"> </w:t>
      </w:r>
      <w:r w:rsidRPr="004A054C">
        <w:rPr>
          <w:rtl/>
        </w:rPr>
        <w:t>العامين</w:t>
      </w:r>
      <w:r w:rsidRPr="004A054C">
        <w:rPr>
          <w:rtl/>
        </w:rPr>
        <w:t xml:space="preserve"> </w:t>
      </w:r>
      <w:r w:rsidRPr="004A054C">
        <w:rPr>
          <w:rtl/>
        </w:rPr>
        <w:t>وحرس</w:t>
      </w:r>
      <w:r w:rsidRPr="004A054C">
        <w:rPr>
          <w:rtl/>
        </w:rPr>
        <w:t xml:space="preserve"> </w:t>
      </w:r>
      <w:r w:rsidRPr="004A054C">
        <w:rPr>
          <w:rtl/>
        </w:rPr>
        <w:t>الحدود.</w:t>
      </w:r>
      <w:r w:rsidRPr="004A054C">
        <w:rPr>
          <w:rtl/>
        </w:rPr>
        <w:t xml:space="preserve"> </w:t>
      </w:r>
      <w:r w:rsidRPr="004A054C">
        <w:rPr>
          <w:rtl/>
        </w:rPr>
        <w:t>غير</w:t>
      </w:r>
      <w:r w:rsidRPr="004A054C">
        <w:rPr>
          <w:rtl/>
        </w:rPr>
        <w:t xml:space="preserve"> </w:t>
      </w:r>
      <w:r w:rsidRPr="004A054C">
        <w:rPr>
          <w:rtl/>
        </w:rPr>
        <w:t>أنها</w:t>
      </w:r>
      <w:r w:rsidRPr="004A054C">
        <w:rPr>
          <w:rtl/>
        </w:rPr>
        <w:t xml:space="preserve"> </w:t>
      </w:r>
      <w:r w:rsidRPr="004A054C">
        <w:rPr>
          <w:rtl/>
        </w:rPr>
        <w:t>تعرب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لعدم</w:t>
      </w:r>
      <w:r w:rsidRPr="004A054C">
        <w:rPr>
          <w:rtl/>
        </w:rPr>
        <w:t xml:space="preserve"> </w:t>
      </w:r>
      <w:r w:rsidRPr="004A054C">
        <w:rPr>
          <w:rtl/>
        </w:rPr>
        <w:t>ورود</w:t>
      </w:r>
      <w:r w:rsidRPr="004A054C">
        <w:rPr>
          <w:rtl/>
        </w:rPr>
        <w:t xml:space="preserve"> </w:t>
      </w:r>
      <w:r w:rsidRPr="004A054C">
        <w:rPr>
          <w:rtl/>
        </w:rPr>
        <w:t>ردود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على</w:t>
      </w:r>
      <w:r w:rsidRPr="004A054C">
        <w:rPr>
          <w:rtl/>
        </w:rPr>
        <w:t xml:space="preserve"> </w:t>
      </w:r>
      <w:r w:rsidRPr="004A054C">
        <w:rPr>
          <w:rtl/>
        </w:rPr>
        <w:t>بعض</w:t>
      </w:r>
      <w:r w:rsidRPr="004A054C">
        <w:rPr>
          <w:rtl/>
        </w:rPr>
        <w:t xml:space="preserve"> </w:t>
      </w:r>
      <w:r w:rsidRPr="004A054C">
        <w:rPr>
          <w:rtl/>
        </w:rPr>
        <w:t>أسئلتها</w:t>
      </w:r>
      <w:r w:rsidRPr="004A054C">
        <w:rPr>
          <w:rtl/>
        </w:rPr>
        <w:t xml:space="preserve"> </w:t>
      </w:r>
      <w:r w:rsidRPr="004A054C">
        <w:rPr>
          <w:rtl/>
        </w:rPr>
        <w:t>المحددة</w:t>
      </w:r>
      <w:r w:rsidRPr="004A054C">
        <w:rPr>
          <w:rtl/>
        </w:rPr>
        <w:t xml:space="preserve"> </w:t>
      </w:r>
      <w:r w:rsidRPr="004A054C">
        <w:rPr>
          <w:rtl/>
        </w:rPr>
        <w:t>فيما</w:t>
      </w:r>
      <w:r w:rsidRPr="004A054C">
        <w:rPr>
          <w:rtl/>
        </w:rPr>
        <w:t xml:space="preserve"> </w:t>
      </w:r>
      <w:r w:rsidRPr="004A054C">
        <w:rPr>
          <w:rtl/>
        </w:rPr>
        <w:t>يتعلق</w:t>
      </w:r>
      <w:r w:rsidRPr="004A054C">
        <w:rPr>
          <w:rtl/>
        </w:rPr>
        <w:t xml:space="preserve"> </w:t>
      </w:r>
      <w:r w:rsidRPr="004A054C">
        <w:rPr>
          <w:rtl/>
        </w:rPr>
        <w:t>بتدريب</w:t>
      </w:r>
      <w:r w:rsidRPr="004A054C">
        <w:rPr>
          <w:rtl/>
        </w:rPr>
        <w:t xml:space="preserve"> </w:t>
      </w:r>
      <w:r w:rsidRPr="004A054C">
        <w:rPr>
          <w:rtl/>
        </w:rPr>
        <w:t>القضاة</w:t>
      </w:r>
      <w:r w:rsidRPr="004A054C">
        <w:rPr>
          <w:rtl/>
        </w:rPr>
        <w:t xml:space="preserve"> </w:t>
      </w:r>
      <w:r w:rsidRPr="004A054C">
        <w:rPr>
          <w:rtl/>
        </w:rPr>
        <w:t>والمدعين</w:t>
      </w:r>
      <w:r w:rsidRPr="004A054C">
        <w:rPr>
          <w:rtl/>
        </w:rPr>
        <w:t xml:space="preserve"> </w:t>
      </w:r>
      <w:r w:rsidRPr="004A054C">
        <w:rPr>
          <w:rtl/>
        </w:rPr>
        <w:t>العامين</w:t>
      </w:r>
      <w:r w:rsidRPr="004A054C">
        <w:rPr>
          <w:rtl/>
        </w:rPr>
        <w:t xml:space="preserve"> </w:t>
      </w:r>
      <w:r w:rsidRPr="004A054C">
        <w:rPr>
          <w:rtl/>
        </w:rPr>
        <w:t>وموظفي</w:t>
      </w:r>
      <w:r w:rsidRPr="004A054C">
        <w:rPr>
          <w:rtl/>
        </w:rPr>
        <w:t xml:space="preserve"> </w:t>
      </w:r>
      <w:r w:rsidRPr="004A054C">
        <w:rPr>
          <w:rtl/>
        </w:rPr>
        <w:t>الطب</w:t>
      </w:r>
      <w:r w:rsidRPr="004A054C">
        <w:rPr>
          <w:rtl/>
        </w:rPr>
        <w:t xml:space="preserve"> </w:t>
      </w:r>
      <w:r w:rsidRPr="004A054C">
        <w:rPr>
          <w:rtl/>
        </w:rPr>
        <w:t>الشرعي</w:t>
      </w:r>
      <w:r w:rsidRPr="004A054C">
        <w:rPr>
          <w:rtl/>
        </w:rPr>
        <w:t xml:space="preserve"> </w:t>
      </w:r>
      <w:r w:rsidRPr="004A054C">
        <w:rPr>
          <w:rtl/>
        </w:rPr>
        <w:t>والموظفين</w:t>
      </w:r>
      <w:r w:rsidRPr="004A054C">
        <w:rPr>
          <w:rtl/>
        </w:rPr>
        <w:t xml:space="preserve"> </w:t>
      </w:r>
      <w:r w:rsidRPr="004A054C">
        <w:rPr>
          <w:rtl/>
        </w:rPr>
        <w:t>الطبيين،</w:t>
      </w:r>
      <w:r w:rsidRPr="004A054C">
        <w:rPr>
          <w:rtl/>
        </w:rPr>
        <w:t xml:space="preserve"> </w:t>
      </w:r>
      <w:r w:rsidRPr="004A054C">
        <w:rPr>
          <w:rtl/>
        </w:rPr>
        <w:t>مثل</w:t>
      </w:r>
      <w:r w:rsidRPr="004A054C">
        <w:rPr>
          <w:rtl/>
        </w:rPr>
        <w:t xml:space="preserve"> </w:t>
      </w:r>
      <w:r w:rsidRPr="004A054C">
        <w:rPr>
          <w:rtl/>
        </w:rPr>
        <w:t>تلك</w:t>
      </w:r>
      <w:r w:rsidRPr="004A054C">
        <w:rPr>
          <w:rtl/>
        </w:rPr>
        <w:t xml:space="preserve"> </w:t>
      </w:r>
      <w:r w:rsidRPr="004A054C">
        <w:rPr>
          <w:rtl/>
        </w:rPr>
        <w:t>المتعلقة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إذا</w:t>
      </w:r>
      <w:r w:rsidRPr="004A054C">
        <w:rPr>
          <w:rtl/>
        </w:rPr>
        <w:t xml:space="preserve"> </w:t>
      </w:r>
      <w:r w:rsidRPr="004A054C">
        <w:rPr>
          <w:rtl/>
        </w:rPr>
        <w:t>كانت</w:t>
      </w:r>
      <w:r w:rsidRPr="004A054C">
        <w:rPr>
          <w:rtl/>
        </w:rPr>
        <w:t xml:space="preserve"> </w:t>
      </w:r>
      <w:r w:rsidRPr="004A054C">
        <w:rPr>
          <w:rtl/>
        </w:rPr>
        <w:t>برامج</w:t>
      </w:r>
      <w:r w:rsidRPr="004A054C">
        <w:rPr>
          <w:rtl/>
        </w:rPr>
        <w:t xml:space="preserve"> </w:t>
      </w:r>
      <w:r w:rsidRPr="004A054C">
        <w:rPr>
          <w:rtl/>
        </w:rPr>
        <w:t>التدريب</w:t>
      </w:r>
      <w:r w:rsidRPr="004A054C">
        <w:rPr>
          <w:rtl/>
        </w:rPr>
        <w:t xml:space="preserve"> </w:t>
      </w:r>
      <w:r w:rsidRPr="004A054C">
        <w:rPr>
          <w:rtl/>
        </w:rPr>
        <w:t>المتاحة</w:t>
      </w:r>
      <w:r w:rsidRPr="004A054C">
        <w:rPr>
          <w:rtl/>
        </w:rPr>
        <w:t xml:space="preserve"> </w:t>
      </w:r>
      <w:r w:rsidRPr="004A054C">
        <w:rPr>
          <w:rtl/>
        </w:rPr>
        <w:t>تتضمن</w:t>
      </w:r>
      <w:r w:rsidRPr="004A054C">
        <w:rPr>
          <w:rtl/>
        </w:rPr>
        <w:t xml:space="preserve"> </w:t>
      </w:r>
      <w:r w:rsidRPr="004A054C">
        <w:rPr>
          <w:rtl/>
        </w:rPr>
        <w:t>إشارة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دليل</w:t>
      </w:r>
      <w:r w:rsidRPr="004A054C">
        <w:rPr>
          <w:rtl/>
        </w:rPr>
        <w:t xml:space="preserve"> </w:t>
      </w:r>
      <w:r w:rsidRPr="004A054C">
        <w:rPr>
          <w:rtl/>
        </w:rPr>
        <w:t>التقصي</w:t>
      </w:r>
      <w:r w:rsidRPr="004A054C">
        <w:rPr>
          <w:rtl/>
        </w:rPr>
        <w:t xml:space="preserve"> </w:t>
      </w:r>
      <w:r w:rsidRPr="004A054C">
        <w:rPr>
          <w:rtl/>
        </w:rPr>
        <w:t>والتوثيق</w:t>
      </w:r>
      <w:r w:rsidRPr="004A054C">
        <w:rPr>
          <w:rtl/>
        </w:rPr>
        <w:t xml:space="preserve"> </w:t>
      </w:r>
      <w:r w:rsidRPr="004A054C">
        <w:rPr>
          <w:rtl/>
        </w:rPr>
        <w:t>الفعالين</w:t>
      </w:r>
      <w:r w:rsidRPr="004A054C">
        <w:rPr>
          <w:rtl/>
        </w:rPr>
        <w:t xml:space="preserve"> </w:t>
      </w:r>
      <w:r w:rsidRPr="004A054C">
        <w:rPr>
          <w:rtl/>
        </w:rPr>
        <w:t>للتعذيب</w:t>
      </w:r>
      <w:r w:rsidRPr="004A054C">
        <w:rPr>
          <w:rtl/>
        </w:rPr>
        <w:t xml:space="preserve"> </w:t>
      </w:r>
      <w:r w:rsidRPr="004A054C">
        <w:rPr>
          <w:rtl/>
        </w:rPr>
        <w:t>وغيره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ضروب</w:t>
      </w:r>
      <w:r w:rsidRPr="004A054C">
        <w:rPr>
          <w:rtl/>
        </w:rPr>
        <w:t xml:space="preserve"> </w:t>
      </w:r>
      <w:r w:rsidRPr="004A054C">
        <w:rPr>
          <w:rtl/>
        </w:rPr>
        <w:t>المعاملة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العقوبة</w:t>
      </w:r>
      <w:r w:rsidRPr="004A054C">
        <w:rPr>
          <w:rtl/>
        </w:rPr>
        <w:t xml:space="preserve"> </w:t>
      </w:r>
      <w:r w:rsidRPr="004A054C">
        <w:rPr>
          <w:rtl/>
        </w:rPr>
        <w:t>القاسية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اللاإنسانية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المهينة</w:t>
      </w:r>
      <w:r w:rsidRPr="004A054C">
        <w:rPr>
          <w:rtl/>
        </w:rPr>
        <w:t xml:space="preserve"> </w:t>
      </w:r>
      <w:r w:rsidRPr="006623FC">
        <w:rPr>
          <w:spacing w:val="-2"/>
          <w:rtl/>
        </w:rPr>
        <w:t>(بروتوكول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اسطنبول،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بصيغته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المنقحة</w:t>
      </w:r>
      <w:r w:rsidR="00D40BC3" w:rsidRPr="006623FC">
        <w:rPr>
          <w:spacing w:val="-2"/>
          <w:rtl/>
        </w:rPr>
        <w:t>)،</w:t>
      </w:r>
      <w:r w:rsidR="00D40BC3"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وما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إذا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كانت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الدولة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الطرف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قد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وضعت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منهجية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لتقييم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فعالية</w:t>
      </w:r>
      <w:r w:rsidRPr="006623FC">
        <w:rPr>
          <w:spacing w:val="-2"/>
          <w:rtl/>
        </w:rPr>
        <w:t xml:space="preserve"> </w:t>
      </w:r>
      <w:r w:rsidRPr="006623FC">
        <w:rPr>
          <w:spacing w:val="-2"/>
          <w:rtl/>
        </w:rPr>
        <w:t>برامج</w:t>
      </w:r>
      <w:r w:rsidRPr="004A054C">
        <w:rPr>
          <w:rtl/>
        </w:rPr>
        <w:t xml:space="preserve"> </w:t>
      </w:r>
      <w:r w:rsidRPr="004A054C">
        <w:rPr>
          <w:rtl/>
        </w:rPr>
        <w:t>التدريب</w:t>
      </w:r>
      <w:r w:rsidRPr="004A054C">
        <w:rPr>
          <w:rtl/>
        </w:rPr>
        <w:t xml:space="preserve"> </w:t>
      </w:r>
      <w:r w:rsidRPr="004A054C">
        <w:rPr>
          <w:rtl/>
        </w:rPr>
        <w:t>القائمة،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ما</w:t>
      </w:r>
      <w:r w:rsidRPr="004A054C">
        <w:rPr>
          <w:rtl/>
        </w:rPr>
        <w:t xml:space="preserve"> </w:t>
      </w:r>
      <w:r w:rsidRPr="004A054C">
        <w:rPr>
          <w:rtl/>
        </w:rPr>
        <w:t>يتعلق</w:t>
      </w:r>
      <w:r w:rsidRPr="004A054C">
        <w:rPr>
          <w:rtl/>
        </w:rPr>
        <w:t xml:space="preserve"> </w:t>
      </w:r>
      <w:r w:rsidRPr="004A054C">
        <w:rPr>
          <w:rtl/>
        </w:rPr>
        <w:t>بخفض</w:t>
      </w:r>
      <w:r w:rsidRPr="004A054C">
        <w:rPr>
          <w:rtl/>
        </w:rPr>
        <w:t xml:space="preserve"> </w:t>
      </w:r>
      <w:r w:rsidRPr="004A054C">
        <w:rPr>
          <w:rtl/>
        </w:rPr>
        <w:t>عدد</w:t>
      </w:r>
      <w:r w:rsidRPr="004A054C">
        <w:rPr>
          <w:rtl/>
        </w:rPr>
        <w:t xml:space="preserve"> </w:t>
      </w:r>
      <w:r w:rsidRPr="004A054C">
        <w:rPr>
          <w:rtl/>
        </w:rPr>
        <w:t>حالات</w:t>
      </w:r>
      <w:r w:rsidRPr="004A054C">
        <w:rPr>
          <w:rtl/>
        </w:rPr>
        <w:t xml:space="preserve"> </w:t>
      </w:r>
      <w:r w:rsidRPr="004A054C">
        <w:rPr>
          <w:rtl/>
        </w:rPr>
        <w:t>التعذيب</w:t>
      </w:r>
      <w:r w:rsidRPr="004A054C">
        <w:rPr>
          <w:rtl/>
        </w:rPr>
        <w:t xml:space="preserve"> </w:t>
      </w:r>
      <w:r w:rsidRPr="004A054C">
        <w:rPr>
          <w:rtl/>
        </w:rPr>
        <w:t>وسوء</w:t>
      </w:r>
      <w:r w:rsidRPr="004A054C">
        <w:rPr>
          <w:rtl/>
        </w:rPr>
        <w:t xml:space="preserve"> </w:t>
      </w:r>
      <w:r w:rsidRPr="004A054C">
        <w:rPr>
          <w:rtl/>
        </w:rPr>
        <w:t>المعاملة</w:t>
      </w:r>
      <w:r w:rsidRPr="004A054C">
        <w:rPr>
          <w:rtl/>
        </w:rPr>
        <w:t xml:space="preserve"> </w:t>
      </w:r>
      <w:r w:rsidRPr="004A054C">
        <w:rPr>
          <w:rtl/>
        </w:rPr>
        <w:t>(المواد</w:t>
      </w:r>
      <w:r w:rsidRPr="004A054C">
        <w:rPr>
          <w:rtl/>
        </w:rPr>
        <w:t xml:space="preserve"> </w:t>
      </w:r>
      <w:r w:rsidRPr="00835005">
        <w:rPr>
          <w:rtl/>
        </w:rPr>
        <w:t>2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10</w:t>
      </w:r>
      <w:r w:rsidRPr="004A054C">
        <w:rPr>
          <w:rtl/>
        </w:rPr>
        <w:t xml:space="preserve"> </w:t>
      </w:r>
      <w:r w:rsidRPr="004A054C">
        <w:rPr>
          <w:rtl/>
        </w:rPr>
        <w:t>و</w:t>
      </w:r>
      <w:r w:rsidRPr="00835005">
        <w:rPr>
          <w:rtl/>
        </w:rPr>
        <w:t>1</w:t>
      </w:r>
      <w:r w:rsidR="00D40BC3" w:rsidRPr="00835005">
        <w:rPr>
          <w:rtl/>
        </w:rPr>
        <w:t>6</w:t>
      </w:r>
      <w:bookmarkEnd w:id="4"/>
      <w:r w:rsidR="00D40BC3" w:rsidRPr="00D40BC3">
        <w:rPr>
          <w:rtl/>
        </w:rPr>
        <w:t>).</w:t>
      </w:r>
    </w:p>
    <w:p w14:paraId="0335D417" w14:textId="36471CFD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42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القيام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يلي</w:t>
      </w:r>
      <w:r w:rsidR="00142229" w:rsidRPr="00835005">
        <w:rPr>
          <w:b/>
          <w:bCs/>
          <w:rtl/>
        </w:rPr>
        <w:t>:</w:t>
      </w:r>
    </w:p>
    <w:p w14:paraId="43161DC5" w14:textId="795E0A2E" w:rsidR="004A054C" w:rsidRPr="004A054C" w:rsidRDefault="004A054C" w:rsidP="004A054C">
      <w:pPr>
        <w:pStyle w:val="SingleTxtGA"/>
        <w:rPr>
          <w:lang w:val="ar-SA" w:eastAsia="zh-TW" w:bidi="en-GB"/>
        </w:rPr>
      </w:pPr>
      <w:r>
        <w:rPr>
          <w:rtl/>
        </w:rPr>
        <w:tab/>
      </w:r>
      <w:r w:rsidRPr="004A054C">
        <w:rPr>
          <w:rtl/>
        </w:rPr>
        <w:t>(أ)</w:t>
      </w:r>
      <w:r w:rsidRPr="004A054C">
        <w:rPr>
          <w:rtl/>
        </w:rPr>
        <w:tab/>
      </w:r>
      <w:r w:rsidRPr="00835005">
        <w:rPr>
          <w:b/>
          <w:bCs/>
          <w:rtl/>
        </w:rPr>
        <w:t>إصدار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تعليمات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ومواصلة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تطوير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برامج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تدريب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أثناء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الخدمة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إلمام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الموظفين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العموميين،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ولا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سيما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ضباط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إنفاذ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القوانين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والأمن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الوطني،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والأفراد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العسكريون،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وحرس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الحدود،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وموظفو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السجون،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والقضاة،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والمدعون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العامون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إلماماً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جيداً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بأحكام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الاتفاقية،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وبخاصة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المطلق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للتعذيب،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وإدراكهم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الانتهاكات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ستواجه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بصرامة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وسيُحقَّق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ويلاحَق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مرتكبوها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أمام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القضاء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ويعاقَبون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يتناسب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الجرم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المرتكب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ثبتت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إدانتهم؛</w:t>
      </w:r>
    </w:p>
    <w:p w14:paraId="6B1AC3F5" w14:textId="36301A20" w:rsidR="00D40BC3" w:rsidRPr="002C0C0C" w:rsidRDefault="004A054C" w:rsidP="004A054C">
      <w:pPr>
        <w:pStyle w:val="SingleTxtGA"/>
        <w:rPr>
          <w:lang w:val="en-US" w:eastAsia="zh-TW" w:bidi="en-GB"/>
        </w:rPr>
      </w:pPr>
      <w:r w:rsidRPr="002C0C0C">
        <w:rPr>
          <w:rtl/>
        </w:rPr>
        <w:tab/>
      </w:r>
      <w:r w:rsidRPr="002C0C0C">
        <w:rPr>
          <w:rtl/>
        </w:rPr>
        <w:t>(ب)</w:t>
      </w:r>
      <w:r w:rsidRPr="002C0C0C">
        <w:rPr>
          <w:rtl/>
        </w:rPr>
        <w:tab/>
      </w:r>
      <w:r w:rsidRPr="00835005">
        <w:rPr>
          <w:b/>
          <w:bCs/>
          <w:rtl/>
        </w:rPr>
        <w:t>ضمان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تلقي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الموظفين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المعنيين،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موظفو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الشرعي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والموظفون</w:t>
      </w:r>
      <w:r w:rsidRPr="00835005">
        <w:rPr>
          <w:b/>
          <w:bCs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الطبيون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والقضاة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والمدعون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العامون،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تدريبا</w:t>
      </w:r>
      <w:r w:rsidR="002C0C0C" w:rsidRPr="00835005">
        <w:rPr>
          <w:rFonts w:ascii="Times New Roman Bold" w:hAnsi="Times New Roman Bold" w:hint="cs"/>
          <w:b/>
          <w:bCs/>
          <w:spacing w:val="-3"/>
          <w:rtl/>
        </w:rPr>
        <w:t>ً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محددا</w:t>
      </w:r>
      <w:r w:rsidR="002C0C0C" w:rsidRPr="00835005">
        <w:rPr>
          <w:rFonts w:ascii="Times New Roman Bold" w:hAnsi="Times New Roman Bold" w:hint="cs"/>
          <w:b/>
          <w:bCs/>
          <w:spacing w:val="-3"/>
          <w:rtl/>
        </w:rPr>
        <w:t>ً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لتمكينهم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من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الكشف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عن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حالات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التعذيب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وسوء</w:t>
      </w:r>
      <w:r w:rsidRPr="00835005">
        <w:rPr>
          <w:rFonts w:ascii="Times New Roman Bold" w:hAnsi="Times New Roman Bold"/>
          <w:b/>
          <w:bCs/>
          <w:spacing w:val="-3"/>
          <w:rtl/>
        </w:rPr>
        <w:t xml:space="preserve"> </w:t>
      </w:r>
      <w:r w:rsidRPr="00835005">
        <w:rPr>
          <w:rFonts w:ascii="Times New Roman Bold" w:hAnsi="Times New Roman Bold"/>
          <w:b/>
          <w:bCs/>
          <w:spacing w:val="-3"/>
          <w:rtl/>
        </w:rPr>
        <w:t>المعاملة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وتوثيقها،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وإبلاغهم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السلطات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المختصة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المعنية،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وفقا</w:t>
      </w:r>
      <w:r w:rsidR="002C0C0C" w:rsidRPr="00835005">
        <w:rPr>
          <w:rFonts w:hint="cs"/>
          <w:b/>
          <w:bCs/>
          <w:rtl/>
        </w:rPr>
        <w:t>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لبروتوكول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اسطنبول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(بصيغته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المنقحة</w:t>
      </w:r>
      <w:r w:rsidR="00D40BC3" w:rsidRPr="00835005">
        <w:rPr>
          <w:b/>
          <w:bCs/>
          <w:rtl/>
        </w:rPr>
        <w:t>)؛</w:t>
      </w:r>
    </w:p>
    <w:p w14:paraId="05D03D0A" w14:textId="11B28D8B" w:rsidR="00D40BC3" w:rsidRPr="002C0C0C" w:rsidRDefault="004A054C" w:rsidP="004A054C">
      <w:pPr>
        <w:pStyle w:val="SingleTxtGA"/>
        <w:rPr>
          <w:lang w:val="en-US" w:eastAsia="zh-TW" w:bidi="en-GB"/>
        </w:rPr>
      </w:pPr>
      <w:r>
        <w:rPr>
          <w:rtl/>
        </w:rPr>
        <w:tab/>
      </w:r>
      <w:r w:rsidRPr="004A054C">
        <w:rPr>
          <w:rtl/>
        </w:rPr>
        <w:t>(ج)</w:t>
      </w:r>
      <w:r w:rsidRPr="004A054C">
        <w:rPr>
          <w:rtl/>
        </w:rPr>
        <w:tab/>
      </w:r>
      <w:r w:rsidRPr="00835005">
        <w:rPr>
          <w:b/>
          <w:bCs/>
          <w:rtl/>
        </w:rPr>
        <w:t>وضع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وتنفيذ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منهجية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لتقييم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مدى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فعالية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وتأثير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برامج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التثقيف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والتدريب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المتعلقة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بالاتفاقية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وببروتوكول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اسطنبول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(بصيغته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المنقحة</w:t>
      </w:r>
      <w:r w:rsidR="00D40BC3" w:rsidRPr="00835005">
        <w:rPr>
          <w:b/>
          <w:bCs/>
          <w:rtl/>
        </w:rPr>
        <w:t>).</w:t>
      </w:r>
    </w:p>
    <w:p w14:paraId="5D4D7C69" w14:textId="20C265DA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جبر</w:t>
      </w:r>
      <w:r w:rsidRPr="00835005">
        <w:rPr>
          <w:rtl/>
        </w:rPr>
        <w:t xml:space="preserve"> </w:t>
      </w:r>
      <w:r w:rsidRPr="00835005">
        <w:rPr>
          <w:rtl/>
        </w:rPr>
        <w:t>الضرر</w:t>
      </w:r>
    </w:p>
    <w:p w14:paraId="74BA5B0E" w14:textId="00CC642E" w:rsidR="00D40BC3" w:rsidRPr="00D40BC3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43</w:t>
      </w:r>
      <w:r w:rsidRPr="004A054C">
        <w:rPr>
          <w:rtl/>
        </w:rPr>
        <w:t>-</w:t>
      </w:r>
      <w:r w:rsidRPr="004A054C">
        <w:rPr>
          <w:rtl/>
        </w:rPr>
        <w:tab/>
        <w:t>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وفد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</w:t>
      </w:r>
      <w:r w:rsidRPr="004A054C">
        <w:rPr>
          <w:rtl/>
        </w:rPr>
        <w:t xml:space="preserve"> </w:t>
      </w:r>
      <w:r w:rsidRPr="004A054C">
        <w:rPr>
          <w:rtl/>
        </w:rPr>
        <w:t>يقدم</w:t>
      </w:r>
      <w:r w:rsidRPr="004A054C">
        <w:rPr>
          <w:rtl/>
        </w:rPr>
        <w:t xml:space="preserve"> </w:t>
      </w:r>
      <w:r w:rsidRPr="004A054C">
        <w:rPr>
          <w:rtl/>
        </w:rPr>
        <w:t>معلومات</w:t>
      </w:r>
      <w:r w:rsidRPr="004A054C">
        <w:rPr>
          <w:rtl/>
        </w:rPr>
        <w:t xml:space="preserve"> </w:t>
      </w:r>
      <w:r w:rsidRPr="004A054C">
        <w:rPr>
          <w:rtl/>
        </w:rPr>
        <w:t>محددة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الجبر،</w:t>
      </w:r>
      <w:r w:rsidRPr="004A054C">
        <w:rPr>
          <w:rtl/>
        </w:rPr>
        <w:t xml:space="preserve"> </w:t>
      </w:r>
      <w:r w:rsidRPr="004A054C">
        <w:rPr>
          <w:rtl/>
        </w:rPr>
        <w:t>بما</w:t>
      </w:r>
      <w:r w:rsidRPr="004A054C">
        <w:rPr>
          <w:rtl/>
        </w:rPr>
        <w:t xml:space="preserve"> </w:t>
      </w:r>
      <w:r w:rsidRPr="004A054C">
        <w:rPr>
          <w:rtl/>
        </w:rPr>
        <w:t>في</w:t>
      </w:r>
      <w:r w:rsidRPr="004A054C">
        <w:rPr>
          <w:rtl/>
        </w:rPr>
        <w:t xml:space="preserve"> </w:t>
      </w:r>
      <w:r w:rsidRPr="004A054C">
        <w:rPr>
          <w:rtl/>
        </w:rPr>
        <w:t>ذلك</w:t>
      </w:r>
      <w:r w:rsidRPr="004A054C">
        <w:rPr>
          <w:rtl/>
        </w:rPr>
        <w:t xml:space="preserve"> </w:t>
      </w:r>
      <w:r w:rsidRPr="004A054C">
        <w:rPr>
          <w:rtl/>
        </w:rPr>
        <w:t>الإطار</w:t>
      </w:r>
      <w:r w:rsidRPr="004A054C">
        <w:rPr>
          <w:rtl/>
        </w:rPr>
        <w:t xml:space="preserve"> </w:t>
      </w:r>
      <w:r w:rsidRPr="004A054C">
        <w:rPr>
          <w:rtl/>
        </w:rPr>
        <w:t>القانوني</w:t>
      </w:r>
      <w:r w:rsidRPr="004A054C">
        <w:rPr>
          <w:rtl/>
        </w:rPr>
        <w:t xml:space="preserve"> </w:t>
      </w:r>
      <w:r w:rsidRPr="004A054C">
        <w:rPr>
          <w:rtl/>
        </w:rPr>
        <w:t>المنطبق</w:t>
      </w:r>
      <w:r w:rsidRPr="004A054C">
        <w:rPr>
          <w:rtl/>
        </w:rPr>
        <w:t xml:space="preserve"> </w:t>
      </w:r>
      <w:r w:rsidRPr="004A054C">
        <w:rPr>
          <w:rtl/>
        </w:rPr>
        <w:t>وتدابير</w:t>
      </w:r>
      <w:r w:rsidRPr="004A054C">
        <w:rPr>
          <w:rtl/>
        </w:rPr>
        <w:t xml:space="preserve"> </w:t>
      </w:r>
      <w:r w:rsidRPr="004A054C">
        <w:rPr>
          <w:rtl/>
        </w:rPr>
        <w:t>التعويض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أمرت</w:t>
      </w:r>
      <w:r w:rsidRPr="004A054C">
        <w:rPr>
          <w:rtl/>
        </w:rPr>
        <w:t xml:space="preserve"> </w:t>
      </w:r>
      <w:r w:rsidRPr="004A054C">
        <w:rPr>
          <w:rtl/>
        </w:rPr>
        <w:t>بها</w:t>
      </w:r>
      <w:r w:rsidRPr="004A054C">
        <w:rPr>
          <w:rtl/>
        </w:rPr>
        <w:t xml:space="preserve"> </w:t>
      </w:r>
      <w:r w:rsidRPr="004A054C">
        <w:rPr>
          <w:rtl/>
        </w:rPr>
        <w:t>المحاكم</w:t>
      </w:r>
      <w:r w:rsidRPr="004A054C">
        <w:rPr>
          <w:rtl/>
        </w:rPr>
        <w:t xml:space="preserve"> </w:t>
      </w:r>
      <w:r w:rsidRPr="004A054C">
        <w:rPr>
          <w:rtl/>
        </w:rPr>
        <w:t>الوطنية</w:t>
      </w:r>
      <w:r w:rsidRPr="004A054C">
        <w:rPr>
          <w:rtl/>
        </w:rPr>
        <w:t xml:space="preserve"> </w:t>
      </w:r>
      <w:r w:rsidRPr="004A054C">
        <w:rPr>
          <w:rtl/>
        </w:rPr>
        <w:t>وغيرها</w:t>
      </w:r>
      <w:r w:rsidRPr="004A054C">
        <w:rPr>
          <w:rtl/>
        </w:rPr>
        <w:t xml:space="preserve"> </w:t>
      </w:r>
      <w:r w:rsidRPr="004A054C">
        <w:rPr>
          <w:rtl/>
        </w:rPr>
        <w:t>من</w:t>
      </w:r>
      <w:r w:rsidRPr="004A054C">
        <w:rPr>
          <w:rtl/>
        </w:rPr>
        <w:t xml:space="preserve"> </w:t>
      </w:r>
      <w:r w:rsidRPr="004A054C">
        <w:rPr>
          <w:rtl/>
        </w:rPr>
        <w:t>هيئات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والتي</w:t>
      </w:r>
      <w:r w:rsidRPr="004A054C">
        <w:rPr>
          <w:rtl/>
        </w:rPr>
        <w:t xml:space="preserve"> </w:t>
      </w:r>
      <w:r w:rsidRPr="004A054C">
        <w:rPr>
          <w:rtl/>
        </w:rPr>
        <w:t>قُدِّمت</w:t>
      </w:r>
      <w:r w:rsidRPr="004A054C">
        <w:rPr>
          <w:rtl/>
        </w:rPr>
        <w:t xml:space="preserve"> </w:t>
      </w:r>
      <w:r w:rsidRPr="004A054C">
        <w:rPr>
          <w:rtl/>
        </w:rPr>
        <w:t>بالفعل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ضحايا</w:t>
      </w:r>
      <w:r w:rsidRPr="004A054C">
        <w:rPr>
          <w:rtl/>
        </w:rPr>
        <w:t xml:space="preserve"> </w:t>
      </w:r>
      <w:r w:rsidRPr="004A054C">
        <w:rPr>
          <w:rtl/>
        </w:rPr>
        <w:t>التعذيب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أسرهم.</w:t>
      </w:r>
      <w:r w:rsidRPr="004A054C">
        <w:rPr>
          <w:rtl/>
        </w:rPr>
        <w:t xml:space="preserve"> </w:t>
      </w:r>
      <w:r w:rsidRPr="004A054C">
        <w:rPr>
          <w:rtl/>
        </w:rPr>
        <w:t>وتعرب</w:t>
      </w:r>
      <w:r w:rsidRPr="004A054C">
        <w:rPr>
          <w:rtl/>
        </w:rPr>
        <w:t xml:space="preserve"> </w:t>
      </w:r>
      <w:r w:rsidRPr="004A054C">
        <w:rPr>
          <w:rtl/>
        </w:rPr>
        <w:t>اللجنة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أسفها</w:t>
      </w:r>
      <w:r w:rsidRPr="004A054C">
        <w:rPr>
          <w:rtl/>
        </w:rPr>
        <w:t xml:space="preserve"> </w:t>
      </w:r>
      <w:r w:rsidRPr="004A054C">
        <w:rPr>
          <w:rtl/>
        </w:rPr>
        <w:t>أيضاً</w:t>
      </w:r>
      <w:r w:rsidRPr="004A054C">
        <w:rPr>
          <w:rtl/>
        </w:rPr>
        <w:t xml:space="preserve"> </w:t>
      </w:r>
      <w:r w:rsidRPr="004A054C">
        <w:rPr>
          <w:rtl/>
        </w:rPr>
        <w:t>لأن</w:t>
      </w:r>
      <w:r w:rsidRPr="004A054C">
        <w:rPr>
          <w:rtl/>
        </w:rPr>
        <w:t xml:space="preserve"> </w:t>
      </w:r>
      <w:r w:rsidRPr="004A054C">
        <w:rPr>
          <w:rtl/>
        </w:rPr>
        <w:t>الدولة</w:t>
      </w:r>
      <w:r w:rsidRPr="004A054C">
        <w:rPr>
          <w:rtl/>
        </w:rPr>
        <w:t xml:space="preserve"> </w:t>
      </w:r>
      <w:r w:rsidRPr="004A054C">
        <w:rPr>
          <w:rtl/>
        </w:rPr>
        <w:t>الطرف</w:t>
      </w:r>
      <w:r w:rsidRPr="004A054C">
        <w:rPr>
          <w:rtl/>
        </w:rPr>
        <w:t xml:space="preserve"> </w:t>
      </w:r>
      <w:r w:rsidRPr="004A054C">
        <w:rPr>
          <w:rtl/>
        </w:rPr>
        <w:t>لم</w:t>
      </w:r>
      <w:r w:rsidR="00440901">
        <w:rPr>
          <w:rFonts w:hint="cs"/>
          <w:rtl/>
        </w:rPr>
        <w:t> </w:t>
      </w:r>
      <w:r w:rsidRPr="004A054C">
        <w:rPr>
          <w:rtl/>
        </w:rPr>
        <w:t>تقدم</w:t>
      </w:r>
      <w:r w:rsidRPr="004A054C">
        <w:rPr>
          <w:rtl/>
        </w:rPr>
        <w:t xml:space="preserve"> </w:t>
      </w:r>
      <w:r w:rsidRPr="004A054C">
        <w:rPr>
          <w:rtl/>
        </w:rPr>
        <w:t>أي</w:t>
      </w:r>
      <w:r w:rsidRPr="004A054C">
        <w:rPr>
          <w:rtl/>
        </w:rPr>
        <w:t xml:space="preserve"> </w:t>
      </w:r>
      <w:r w:rsidRPr="004A054C">
        <w:rPr>
          <w:rtl/>
        </w:rPr>
        <w:t>معلومات</w:t>
      </w:r>
      <w:r w:rsidRPr="004A054C">
        <w:rPr>
          <w:rtl/>
        </w:rPr>
        <w:t xml:space="preserve"> </w:t>
      </w:r>
      <w:r w:rsidRPr="004A054C">
        <w:rPr>
          <w:rtl/>
        </w:rPr>
        <w:t>عن</w:t>
      </w:r>
      <w:r w:rsidRPr="004A054C">
        <w:rPr>
          <w:rtl/>
        </w:rPr>
        <w:t xml:space="preserve"> </w:t>
      </w:r>
      <w:r w:rsidRPr="004A054C">
        <w:rPr>
          <w:rtl/>
        </w:rPr>
        <w:t>برامج</w:t>
      </w:r>
      <w:r w:rsidRPr="004A054C">
        <w:rPr>
          <w:rtl/>
        </w:rPr>
        <w:t xml:space="preserve"> </w:t>
      </w:r>
      <w:r w:rsidRPr="004A054C">
        <w:rPr>
          <w:rtl/>
        </w:rPr>
        <w:t>جبر</w:t>
      </w:r>
      <w:r w:rsidRPr="004A054C">
        <w:rPr>
          <w:rtl/>
        </w:rPr>
        <w:t xml:space="preserve"> </w:t>
      </w:r>
      <w:r w:rsidRPr="004A054C">
        <w:rPr>
          <w:rtl/>
        </w:rPr>
        <w:t>الضرر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التدابير</w:t>
      </w:r>
      <w:r w:rsidRPr="004A054C">
        <w:rPr>
          <w:rtl/>
        </w:rPr>
        <w:t xml:space="preserve"> </w:t>
      </w:r>
      <w:r w:rsidRPr="004A054C">
        <w:rPr>
          <w:rtl/>
        </w:rPr>
        <w:t>المتخذة</w:t>
      </w:r>
      <w:r w:rsidRPr="004A054C">
        <w:rPr>
          <w:rtl/>
        </w:rPr>
        <w:t xml:space="preserve"> </w:t>
      </w:r>
      <w:r w:rsidRPr="004A054C">
        <w:rPr>
          <w:rtl/>
        </w:rPr>
        <w:t>لدعم</w:t>
      </w:r>
      <w:r w:rsidRPr="004A054C">
        <w:rPr>
          <w:rtl/>
        </w:rPr>
        <w:t xml:space="preserve"> </w:t>
      </w:r>
      <w:r w:rsidRPr="004A054C">
        <w:rPr>
          <w:rtl/>
        </w:rPr>
        <w:t>وتيسير</w:t>
      </w:r>
      <w:r w:rsidRPr="004A054C">
        <w:rPr>
          <w:rtl/>
        </w:rPr>
        <w:t xml:space="preserve"> </w:t>
      </w:r>
      <w:r w:rsidRPr="004A054C">
        <w:rPr>
          <w:rtl/>
        </w:rPr>
        <w:t>عمل</w:t>
      </w:r>
      <w:r w:rsidRPr="004A054C">
        <w:rPr>
          <w:rtl/>
        </w:rPr>
        <w:t xml:space="preserve"> </w:t>
      </w:r>
      <w:r w:rsidRPr="004A054C">
        <w:rPr>
          <w:rtl/>
        </w:rPr>
        <w:t>المنظمات</w:t>
      </w:r>
      <w:r w:rsidRPr="004A054C">
        <w:rPr>
          <w:rtl/>
        </w:rPr>
        <w:t xml:space="preserve"> </w:t>
      </w:r>
      <w:r w:rsidRPr="004A054C">
        <w:rPr>
          <w:rtl/>
        </w:rPr>
        <w:t>غير</w:t>
      </w:r>
      <w:r w:rsidRPr="004A054C">
        <w:rPr>
          <w:rtl/>
        </w:rPr>
        <w:t xml:space="preserve"> </w:t>
      </w:r>
      <w:r w:rsidRPr="004A054C">
        <w:rPr>
          <w:rtl/>
        </w:rPr>
        <w:t>الحكومية</w:t>
      </w:r>
      <w:r w:rsidRPr="004A054C">
        <w:rPr>
          <w:rtl/>
        </w:rPr>
        <w:t xml:space="preserve"> </w:t>
      </w:r>
      <w:r w:rsidRPr="004A054C">
        <w:rPr>
          <w:rtl/>
        </w:rPr>
        <w:t>التي</w:t>
      </w:r>
      <w:r w:rsidRPr="004A054C">
        <w:rPr>
          <w:rtl/>
        </w:rPr>
        <w:t xml:space="preserve"> </w:t>
      </w:r>
      <w:r w:rsidRPr="004A054C">
        <w:rPr>
          <w:rtl/>
        </w:rPr>
        <w:t>تسعى</w:t>
      </w:r>
      <w:r w:rsidRPr="004A054C">
        <w:rPr>
          <w:rtl/>
        </w:rPr>
        <w:t xml:space="preserve"> </w:t>
      </w:r>
      <w:r w:rsidRPr="004A054C">
        <w:rPr>
          <w:rtl/>
        </w:rPr>
        <w:t>إلى</w:t>
      </w:r>
      <w:r w:rsidRPr="004A054C">
        <w:rPr>
          <w:rtl/>
        </w:rPr>
        <w:t xml:space="preserve"> </w:t>
      </w:r>
      <w:r w:rsidRPr="004A054C">
        <w:rPr>
          <w:rtl/>
        </w:rPr>
        <w:t>إعادة</w:t>
      </w:r>
      <w:r w:rsidRPr="004A054C">
        <w:rPr>
          <w:rtl/>
        </w:rPr>
        <w:t xml:space="preserve"> </w:t>
      </w:r>
      <w:r w:rsidRPr="004A054C">
        <w:rPr>
          <w:rtl/>
        </w:rPr>
        <w:t>تأهيل</w:t>
      </w:r>
      <w:r w:rsidRPr="004A054C">
        <w:rPr>
          <w:rtl/>
        </w:rPr>
        <w:t xml:space="preserve"> </w:t>
      </w:r>
      <w:r w:rsidRPr="004A054C">
        <w:rPr>
          <w:rtl/>
        </w:rPr>
        <w:t>ضحايا</w:t>
      </w:r>
      <w:r w:rsidRPr="004A054C">
        <w:rPr>
          <w:rtl/>
        </w:rPr>
        <w:t xml:space="preserve"> </w:t>
      </w:r>
      <w:r w:rsidRPr="004A054C">
        <w:rPr>
          <w:rtl/>
        </w:rPr>
        <w:t>التعذيب</w:t>
      </w:r>
      <w:r w:rsidRPr="004A054C">
        <w:rPr>
          <w:rtl/>
        </w:rPr>
        <w:t xml:space="preserve"> </w:t>
      </w:r>
      <w:r w:rsidRPr="004A054C">
        <w:rPr>
          <w:rtl/>
        </w:rPr>
        <w:t>أو</w:t>
      </w:r>
      <w:r w:rsidRPr="004A054C">
        <w:rPr>
          <w:rtl/>
        </w:rPr>
        <w:t xml:space="preserve"> </w:t>
      </w:r>
      <w:r w:rsidRPr="004A054C">
        <w:rPr>
          <w:rtl/>
        </w:rPr>
        <w:t>سوء</w:t>
      </w:r>
      <w:r w:rsidRPr="004A054C">
        <w:rPr>
          <w:rtl/>
        </w:rPr>
        <w:t xml:space="preserve"> </w:t>
      </w:r>
      <w:r w:rsidRPr="004A054C">
        <w:rPr>
          <w:rtl/>
        </w:rPr>
        <w:t>المعاملة</w:t>
      </w:r>
      <w:r w:rsidRPr="004A054C">
        <w:rPr>
          <w:rtl/>
        </w:rPr>
        <w:t xml:space="preserve"> </w:t>
      </w:r>
      <w:r w:rsidRPr="004A054C">
        <w:rPr>
          <w:rtl/>
        </w:rPr>
        <w:t>(المادة</w:t>
      </w:r>
      <w:r w:rsidRPr="004A054C">
        <w:rPr>
          <w:rtl/>
        </w:rPr>
        <w:t xml:space="preserve"> </w:t>
      </w:r>
      <w:r w:rsidRPr="00835005">
        <w:rPr>
          <w:rtl/>
        </w:rPr>
        <w:t>1</w:t>
      </w:r>
      <w:r w:rsidR="00D40BC3" w:rsidRPr="00835005">
        <w:rPr>
          <w:rtl/>
        </w:rPr>
        <w:t>4</w:t>
      </w:r>
      <w:r w:rsidR="00D40BC3" w:rsidRPr="00D40BC3">
        <w:rPr>
          <w:rtl/>
        </w:rPr>
        <w:t>).</w:t>
      </w:r>
    </w:p>
    <w:p w14:paraId="2F933582" w14:textId="7AEBE848" w:rsidR="004A054C" w:rsidRPr="00835005" w:rsidRDefault="004A054C" w:rsidP="004A054C">
      <w:pPr>
        <w:pStyle w:val="SingleTxtGA"/>
        <w:rPr>
          <w:b/>
          <w:bCs/>
          <w:lang w:val="ar-SA" w:eastAsia="zh-TW" w:bidi="en-GB"/>
        </w:rPr>
      </w:pPr>
      <w:r w:rsidRPr="00835005">
        <w:rPr>
          <w:rtl/>
        </w:rPr>
        <w:t>44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تكفل،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خلال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التعاون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الدولي،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حصول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جميع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ضحايا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الجبر،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يشمل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النافذ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الحصول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تعويض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عادل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ومناسب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ووسائل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إعادة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التأهيل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أكمل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وجه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ممكن.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وتلفت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انتباه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التعليق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العام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رقم</w:t>
      </w:r>
      <w:r w:rsidR="00440901" w:rsidRPr="00835005">
        <w:rPr>
          <w:rFonts w:hint="cs"/>
          <w:b/>
          <w:bCs/>
          <w:rtl/>
        </w:rPr>
        <w:t> </w:t>
      </w:r>
      <w:r w:rsidRPr="00835005">
        <w:rPr>
          <w:b/>
          <w:bCs/>
          <w:rtl/>
        </w:rPr>
        <w:t>3(2012</w:t>
      </w:r>
      <w:r w:rsidR="00D40BC3" w:rsidRPr="00835005">
        <w:rPr>
          <w:b/>
          <w:bCs/>
          <w:rtl/>
        </w:rPr>
        <w:t>)،</w:t>
      </w:r>
      <w:r w:rsidR="00D40BC3"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الذي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توضح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مضمون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ونطاق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التزامات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الأطراف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بتوفير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سبل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الجبر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الكامل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لضحايا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التعذيب.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وينبغي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تجمع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تدابير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الجبر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والتعويض،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وسائل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إعادة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التأهيل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أمرت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المحاكم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غيرها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هيئات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قُدّمت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بالفعل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ضحايا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سوء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المعاملة،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وتزود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اللجنة.</w:t>
      </w:r>
    </w:p>
    <w:p w14:paraId="3D789B76" w14:textId="75AFFF13" w:rsidR="004A054C" w:rsidRPr="00835005" w:rsidRDefault="004A054C" w:rsidP="004A054C">
      <w:pPr>
        <w:pStyle w:val="H23GA"/>
        <w:rPr>
          <w:rFonts w:eastAsia="Calibri"/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إجراءات</w:t>
      </w:r>
      <w:r w:rsidRPr="00835005">
        <w:rPr>
          <w:rtl/>
        </w:rPr>
        <w:t xml:space="preserve"> </w:t>
      </w:r>
      <w:r w:rsidRPr="00835005">
        <w:rPr>
          <w:rtl/>
        </w:rPr>
        <w:t>المتابعة</w:t>
      </w:r>
    </w:p>
    <w:p w14:paraId="56F0DE09" w14:textId="6B5213FA" w:rsidR="004A054C" w:rsidRPr="00835005" w:rsidRDefault="004A054C" w:rsidP="004A054C">
      <w:pPr>
        <w:pStyle w:val="SingleTxtGA"/>
        <w:rPr>
          <w:b/>
          <w:bCs/>
          <w:lang w:val="ar-SA" w:eastAsia="zh-TW" w:bidi="en-GB"/>
        </w:rPr>
      </w:pPr>
      <w:r w:rsidRPr="00835005">
        <w:rPr>
          <w:rtl/>
        </w:rPr>
        <w:t>45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تطلب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تقدم،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بحلول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25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تشرين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الثاني/نوفمبر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2023،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معلومات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متابعة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تنفيذ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توصيات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بشأن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تعريف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وتجريمه،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المؤسسة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الوطنية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لحقوق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الإنسان،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والتحقيقات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أعمال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التعذيب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المزعومة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(انظر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الفقرات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8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و12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و18(أ)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أعلاه</w:t>
      </w:r>
      <w:r w:rsidR="00D40BC3" w:rsidRPr="00835005">
        <w:rPr>
          <w:b/>
          <w:bCs/>
          <w:rtl/>
        </w:rPr>
        <w:t>).</w:t>
      </w:r>
      <w:r w:rsidR="00D40BC3"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السياق،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تُدعى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إبلاغ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بخططها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الرامية،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غضون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الفترة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المشمولة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بالتقرير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المقبل،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تنفيذ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بعض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التوصيات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المتبقية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الملاحظات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الختامية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كلها.</w:t>
      </w:r>
    </w:p>
    <w:p w14:paraId="7182F175" w14:textId="5D2965F5" w:rsidR="004A054C" w:rsidRPr="00835005" w:rsidRDefault="004A054C" w:rsidP="004A054C">
      <w:pPr>
        <w:pStyle w:val="H23GA"/>
        <w:rPr>
          <w:lang w:val="ar-SA" w:eastAsia="zh-TW" w:bidi="en-GB"/>
        </w:rPr>
      </w:pPr>
      <w:r w:rsidRPr="00835005">
        <w:rPr>
          <w:rtl/>
        </w:rPr>
        <w:tab/>
      </w:r>
      <w:r w:rsidRPr="00835005">
        <w:rPr>
          <w:rtl/>
        </w:rPr>
        <w:tab/>
        <w:t>مسائل</w:t>
      </w:r>
      <w:r w:rsidRPr="00835005">
        <w:rPr>
          <w:rtl/>
        </w:rPr>
        <w:t xml:space="preserve"> </w:t>
      </w:r>
      <w:r w:rsidRPr="00835005">
        <w:rPr>
          <w:rtl/>
        </w:rPr>
        <w:t>أخرى</w:t>
      </w:r>
    </w:p>
    <w:p w14:paraId="47760ED0" w14:textId="0A5EED9E" w:rsidR="004A054C" w:rsidRPr="00835005" w:rsidRDefault="004A054C" w:rsidP="004A054C">
      <w:pPr>
        <w:pStyle w:val="SingleTxtGA"/>
        <w:rPr>
          <w:b/>
          <w:bCs/>
          <w:lang w:val="ar-SA" w:eastAsia="zh-TW" w:bidi="en-GB"/>
        </w:rPr>
      </w:pPr>
      <w:r w:rsidRPr="00835005">
        <w:rPr>
          <w:rtl/>
        </w:rPr>
        <w:t>46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توصي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إصدار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الإعلان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المنصوص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عليه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المادة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22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الاتفاقية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الذي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يعترف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باختصاص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تلقي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ودراسة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البلاغات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الواردة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أفراد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نيابة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أفراد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يخضعون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لولايتها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القانونية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ويدعون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أنهم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ضحايا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لانتهاك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لأحكام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الاتفاقية.</w:t>
      </w:r>
    </w:p>
    <w:p w14:paraId="17231E67" w14:textId="0B5640D5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47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ويُطلب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تنشر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نطاق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واسع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التقرير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المقدّم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وهذه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الملاحظات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الختامية،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باللغات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المناسبة،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وذلك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طريق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المواقع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الرسمية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الإنترنت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ووسائط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الإعلام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والمنظمات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غير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الحكومية،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تبلغ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بأنشطةَ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النشر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اضطلعت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بها.</w:t>
      </w:r>
    </w:p>
    <w:p w14:paraId="39520AEB" w14:textId="224992C5" w:rsidR="004A054C" w:rsidRPr="004A054C" w:rsidRDefault="004A054C" w:rsidP="004A054C">
      <w:pPr>
        <w:pStyle w:val="SingleTxtGA"/>
        <w:rPr>
          <w:lang w:val="ar-SA" w:eastAsia="zh-TW" w:bidi="en-GB"/>
        </w:rPr>
      </w:pPr>
      <w:r w:rsidRPr="00835005">
        <w:rPr>
          <w:rtl/>
        </w:rPr>
        <w:t>48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والدولة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مدعوة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تقديم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وثيقتها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الأساسية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الموحدة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وفقاً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للمتطلّبات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الواردة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المبادئ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التوجيهية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المنسّقة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لتقديم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التقارير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بموجب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المعاهدات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الدولية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لحقوق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الإنسان</w:t>
      </w:r>
      <w:r w:rsidR="00D40BC3" w:rsidRPr="00835005">
        <w:rPr>
          <w:rStyle w:val="FootnoteReference"/>
          <w:sz w:val="22"/>
          <w:rtl/>
        </w:rPr>
        <w:t>(</w:t>
      </w:r>
      <w:r w:rsidR="00D40BC3" w:rsidRPr="00835005">
        <w:rPr>
          <w:rStyle w:val="FootnoteReference"/>
          <w:sz w:val="22"/>
          <w:lang w:val="en-US"/>
        </w:rPr>
        <w:footnoteReference w:id="6"/>
      </w:r>
      <w:r w:rsidR="00F45C5B" w:rsidRPr="00835005">
        <w:rPr>
          <w:rStyle w:val="FootnoteReference"/>
          <w:sz w:val="22"/>
          <w:rtl/>
        </w:rPr>
        <w:t>)</w:t>
      </w:r>
      <w:r w:rsidR="00440901" w:rsidRPr="00835005">
        <w:rPr>
          <w:b/>
          <w:bCs/>
          <w:rtl/>
        </w:rPr>
        <w:t>.</w:t>
      </w:r>
    </w:p>
    <w:p w14:paraId="1B79A760" w14:textId="62C1F456" w:rsidR="004A054C" w:rsidRPr="00835005" w:rsidRDefault="004A054C" w:rsidP="004A054C">
      <w:pPr>
        <w:pStyle w:val="SingleTxtGA"/>
        <w:rPr>
          <w:b/>
          <w:bCs/>
          <w:lang w:val="ar-SA" w:eastAsia="zh-TW" w:bidi="en-GB"/>
        </w:rPr>
      </w:pPr>
      <w:r w:rsidRPr="00835005">
        <w:rPr>
          <w:rtl/>
        </w:rPr>
        <w:t>49</w:t>
      </w:r>
      <w:r w:rsidRPr="004A054C">
        <w:rPr>
          <w:rtl/>
        </w:rPr>
        <w:t>-</w:t>
      </w:r>
      <w:r w:rsidRPr="004A054C">
        <w:rPr>
          <w:rtl/>
        </w:rPr>
        <w:tab/>
      </w:r>
      <w:r w:rsidRPr="00835005">
        <w:rPr>
          <w:b/>
          <w:bCs/>
          <w:rtl/>
        </w:rPr>
        <w:t>وتطلب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تقدّم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تقريرها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المقبل،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الذي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سيكون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تقريرها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الثاني،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بحلول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25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تشرين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الثاني/نوفمبر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202</w:t>
      </w:r>
      <w:r w:rsidR="00D40BC3" w:rsidRPr="00835005">
        <w:rPr>
          <w:b/>
          <w:bCs/>
          <w:rtl/>
        </w:rPr>
        <w:t>6.</w:t>
      </w:r>
      <w:r w:rsidR="00D40BC3"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ولهذا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الغرض،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وبالنظر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وافقت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تقديم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تقاريرها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عملاً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بالإجراء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المبسّط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لتقديم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التقارير،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فإن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ستحيل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إليها،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الوقت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المناسب،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قائمة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مسائل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قبل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تقديم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تقريرها.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وستشكل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ردود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قائمة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المسائل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هذه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تقريرها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الدوري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الثاني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بموجب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المادة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19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من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الاتفاقية،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الذي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تحث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اللجنة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الدولة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الطرف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على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تقديمه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في</w:t>
      </w:r>
      <w:r w:rsidRPr="00835005">
        <w:rPr>
          <w:b/>
          <w:bCs/>
          <w:rtl/>
        </w:rPr>
        <w:t xml:space="preserve"> </w:t>
      </w:r>
      <w:r w:rsidRPr="00835005">
        <w:rPr>
          <w:b/>
          <w:bCs/>
          <w:rtl/>
        </w:rPr>
        <w:t>أوانه.</w:t>
      </w:r>
    </w:p>
    <w:p w14:paraId="79EF5F22" w14:textId="2C84DBF0" w:rsidR="004A054C" w:rsidRPr="004A054C" w:rsidRDefault="004A054C" w:rsidP="004A054C">
      <w:pPr>
        <w:pStyle w:val="SingleTxtGA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4A054C" w:rsidRPr="004A054C" w:rsidSect="00D77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C27A" w14:textId="77777777" w:rsidR="00185003" w:rsidRPr="002901D9" w:rsidRDefault="00185003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75E1E916" w14:textId="77777777" w:rsidR="00185003" w:rsidRDefault="00185003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43A" w14:textId="06C6A329" w:rsidR="009D79A1" w:rsidRPr="009D79A1" w:rsidRDefault="009D79A1" w:rsidP="009D79A1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GE.22-26902</w:t>
    </w:r>
    <w:r>
      <w:rPr>
        <w:lang w:val="en-US"/>
      </w:rPr>
      <w:tab/>
    </w:r>
    <w:r w:rsidRPr="009D79A1">
      <w:rPr>
        <w:b/>
        <w:sz w:val="18"/>
        <w:lang w:val="en-US"/>
      </w:rPr>
      <w:fldChar w:fldCharType="begin"/>
    </w:r>
    <w:r w:rsidRPr="009D79A1">
      <w:rPr>
        <w:b/>
        <w:sz w:val="18"/>
        <w:lang w:val="en-US"/>
      </w:rPr>
      <w:instrText xml:space="preserve"> PAGE  \* MERGEFORMAT </w:instrText>
    </w:r>
    <w:r w:rsidRPr="009D79A1">
      <w:rPr>
        <w:b/>
        <w:sz w:val="18"/>
        <w:lang w:val="en-US"/>
      </w:rPr>
      <w:fldChar w:fldCharType="separate"/>
    </w:r>
    <w:r w:rsidRPr="009D79A1">
      <w:rPr>
        <w:b/>
        <w:noProof/>
        <w:sz w:val="18"/>
        <w:lang w:val="en-US"/>
      </w:rPr>
      <w:t>2</w:t>
    </w:r>
    <w:r w:rsidRPr="009D79A1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0880" w14:textId="409291D4" w:rsidR="006959B0" w:rsidRPr="009D79A1" w:rsidRDefault="009D79A1" w:rsidP="009D79A1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GE.22-26902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744D" w14:textId="1007252B" w:rsidR="00261289" w:rsidRPr="009D79A1" w:rsidRDefault="009D79A1" w:rsidP="009D79A1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59C7899A" wp14:editId="7930604B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22-26902</w:t>
    </w:r>
    <w:r w:rsidR="004A054C">
      <w:rPr>
        <w:sz w:val="20"/>
        <w:lang w:val="en-US"/>
      </w:rPr>
      <w:t xml:space="preserve"> </w:t>
    </w:r>
    <w:r>
      <w:rPr>
        <w:sz w:val="20"/>
        <w:lang w:val="en-US"/>
      </w:rPr>
      <w:t>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2200A44A" wp14:editId="4315A6F3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99AB" w14:textId="77777777" w:rsidR="00185003" w:rsidRPr="00C111C6" w:rsidRDefault="00185003" w:rsidP="00C111C6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1150D05E" w14:textId="77777777" w:rsidR="00185003" w:rsidRDefault="00185003" w:rsidP="00656392">
      <w:pPr>
        <w:spacing w:line="240" w:lineRule="auto"/>
      </w:pPr>
      <w:r>
        <w:continuationSeparator/>
      </w:r>
    </w:p>
  </w:footnote>
  <w:footnote w:id="1">
    <w:p w14:paraId="018C407A" w14:textId="57C82798" w:rsidR="00F45C5B" w:rsidRPr="00F45C5B" w:rsidRDefault="00F45C5B" w:rsidP="00F45C5B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>
        <w:rPr>
          <w:rtl/>
        </w:rPr>
        <w:t xml:space="preserve">اعتمدته اللجنة في دورتها الخامسة والسبعين </w:t>
      </w:r>
      <w:r w:rsidRPr="00F45C5B">
        <w:rPr>
          <w:rtl/>
        </w:rPr>
        <w:t>(</w:t>
      </w:r>
      <w:r w:rsidRPr="00835005">
        <w:rPr>
          <w:rtl/>
        </w:rPr>
        <w:t>31</w:t>
      </w:r>
      <w:r>
        <w:rPr>
          <w:rtl/>
        </w:rPr>
        <w:t xml:space="preserve"> تشرين الأول/أكتوبر - </w:t>
      </w:r>
      <w:r w:rsidRPr="00835005">
        <w:rPr>
          <w:rtl/>
        </w:rPr>
        <w:t>25</w:t>
      </w:r>
      <w:r>
        <w:rPr>
          <w:rtl/>
        </w:rPr>
        <w:t xml:space="preserve"> تشرين الثاني/نوفمبر </w:t>
      </w:r>
      <w:r w:rsidRPr="00835005">
        <w:rPr>
          <w:rtl/>
        </w:rPr>
        <w:t>2022</w:t>
      </w:r>
      <w:r w:rsidR="00D40BC3" w:rsidRPr="00D40BC3">
        <w:rPr>
          <w:rtl/>
        </w:rPr>
        <w:t>)</w:t>
      </w:r>
      <w:r w:rsidR="00D40BC3" w:rsidRPr="00D40BC3">
        <w:rPr>
          <w:rtl/>
        </w:rPr>
        <w:t xml:space="preserve">. </w:t>
      </w:r>
    </w:p>
  </w:footnote>
  <w:footnote w:id="2">
    <w:p w14:paraId="3C043245" w14:textId="77777777" w:rsidR="00D40BC3" w:rsidRPr="00F45C5B" w:rsidRDefault="00D40BC3" w:rsidP="00D40BC3">
      <w:pPr>
        <w:pStyle w:val="FootnoteText1"/>
        <w:textDirection w:val="tbRlV"/>
      </w:pPr>
      <w:r w:rsidRPr="00F45C5B">
        <w:rPr>
          <w:rtl/>
        </w:rPr>
        <w:t>(</w:t>
      </w:r>
      <w:r w:rsidRPr="00835005">
        <w:footnoteRef/>
      </w:r>
      <w:r w:rsidRPr="00F45C5B">
        <w:rPr>
          <w:rtl/>
        </w:rPr>
        <w:t>)</w:t>
      </w:r>
      <w:r>
        <w:rPr>
          <w:rtl/>
        </w:rPr>
        <w:tab/>
      </w:r>
      <w:hyperlink r:id="rId1" w:history="1">
        <w:r w:rsidRPr="00D40BC3">
          <w:rPr>
            <w:rStyle w:val="Hyperlink"/>
          </w:rPr>
          <w:t>CAT/C/SOM/</w:t>
        </w:r>
        <w:r w:rsidRPr="00835005">
          <w:rPr>
            <w:rStyle w:val="Hyperlink"/>
          </w:rPr>
          <w:t>1</w:t>
        </w:r>
      </w:hyperlink>
      <w:r w:rsidRPr="00D40BC3">
        <w:rPr>
          <w:rtl/>
        </w:rPr>
        <w:t xml:space="preserve">. </w:t>
      </w:r>
    </w:p>
  </w:footnote>
  <w:footnote w:id="3">
    <w:p w14:paraId="0FC88DA4" w14:textId="77777777" w:rsidR="00D40BC3" w:rsidRPr="00F45C5B" w:rsidRDefault="00D40BC3" w:rsidP="00D40BC3">
      <w:pPr>
        <w:pStyle w:val="FootnoteText1"/>
        <w:textDirection w:val="tbRlV"/>
      </w:pPr>
      <w:r w:rsidRPr="00F45C5B">
        <w:rPr>
          <w:rtl/>
        </w:rPr>
        <w:t>(</w:t>
      </w:r>
      <w:r w:rsidRPr="00835005">
        <w:footnoteRef/>
      </w:r>
      <w:r w:rsidRPr="00F45C5B">
        <w:rPr>
          <w:rtl/>
        </w:rPr>
        <w:t>)</w:t>
      </w:r>
      <w:r>
        <w:rPr>
          <w:rtl/>
        </w:rPr>
        <w:tab/>
      </w:r>
      <w:hyperlink r:id="rId2" w:history="1">
        <w:r w:rsidRPr="00D40BC3">
          <w:rPr>
            <w:rStyle w:val="Hyperlink"/>
          </w:rPr>
          <w:t>CAT/C/SR.</w:t>
        </w:r>
        <w:r w:rsidRPr="00835005">
          <w:rPr>
            <w:rStyle w:val="Hyperlink"/>
          </w:rPr>
          <w:t>1949</w:t>
        </w:r>
      </w:hyperlink>
      <w:r>
        <w:rPr>
          <w:rtl/>
        </w:rPr>
        <w:t xml:space="preserve"> </w:t>
      </w:r>
      <w:r>
        <w:rPr>
          <w:rtl/>
        </w:rPr>
        <w:t>و</w:t>
      </w:r>
      <w:hyperlink r:id="rId3" w:history="1">
        <w:r w:rsidRPr="00D40BC3">
          <w:rPr>
            <w:rStyle w:val="Hyperlink"/>
          </w:rPr>
          <w:t>CAT/C/SR.</w:t>
        </w:r>
        <w:r w:rsidRPr="00835005">
          <w:rPr>
            <w:rStyle w:val="Hyperlink"/>
          </w:rPr>
          <w:t>1952</w:t>
        </w:r>
      </w:hyperlink>
      <w:r w:rsidRPr="00D40BC3">
        <w:rPr>
          <w:rtl/>
        </w:rPr>
        <w:t xml:space="preserve">. </w:t>
      </w:r>
    </w:p>
  </w:footnote>
  <w:footnote w:id="4">
    <w:p w14:paraId="142FC016" w14:textId="77777777" w:rsidR="00D40BC3" w:rsidRPr="00F45C5B" w:rsidRDefault="00D40BC3" w:rsidP="00D40BC3">
      <w:pPr>
        <w:pStyle w:val="FootnoteText1"/>
        <w:textDirection w:val="tbRlV"/>
      </w:pPr>
      <w:r w:rsidRPr="00F45C5B">
        <w:rPr>
          <w:rtl/>
        </w:rPr>
        <w:t>(</w:t>
      </w:r>
      <w:r w:rsidRPr="00835005">
        <w:footnoteRef/>
      </w:r>
      <w:r w:rsidRPr="00F45C5B">
        <w:rPr>
          <w:rtl/>
        </w:rPr>
        <w:t>)</w:t>
      </w:r>
      <w:r>
        <w:rPr>
          <w:rtl/>
        </w:rPr>
        <w:tab/>
      </w:r>
      <w:hyperlink r:id="rId4" w:history="1">
        <w:r w:rsidRPr="00D40BC3">
          <w:rPr>
            <w:rStyle w:val="Hyperlink"/>
          </w:rPr>
          <w:t>A/HRC/</w:t>
        </w:r>
        <w:r w:rsidRPr="00835005">
          <w:rPr>
            <w:rStyle w:val="Hyperlink"/>
          </w:rPr>
          <w:t>45</w:t>
        </w:r>
        <w:r w:rsidRPr="00D40BC3">
          <w:rPr>
            <w:rStyle w:val="Hyperlink"/>
          </w:rPr>
          <w:t>/</w:t>
        </w:r>
        <w:r w:rsidRPr="00835005">
          <w:rPr>
            <w:rStyle w:val="Hyperlink"/>
          </w:rPr>
          <w:t>52</w:t>
        </w:r>
      </w:hyperlink>
      <w:r>
        <w:rPr>
          <w:rtl/>
        </w:rPr>
        <w:t>،</w:t>
      </w:r>
      <w:r>
        <w:rPr>
          <w:rtl/>
        </w:rPr>
        <w:t xml:space="preserve"> </w:t>
      </w:r>
      <w:r>
        <w:rPr>
          <w:rtl/>
        </w:rPr>
        <w:t>الفقرتان</w:t>
      </w:r>
      <w:r>
        <w:rPr>
          <w:rtl/>
        </w:rPr>
        <w:t xml:space="preserve"> </w:t>
      </w:r>
      <w:r w:rsidRPr="00835005">
        <w:rPr>
          <w:rtl/>
        </w:rPr>
        <w:t>77</w:t>
      </w:r>
      <w:r w:rsidRPr="00F45C5B">
        <w:rPr>
          <w:rtl/>
        </w:rPr>
        <w:t xml:space="preserve"> </w:t>
      </w:r>
      <w:r w:rsidRPr="00F45C5B">
        <w:rPr>
          <w:rtl/>
        </w:rPr>
        <w:t>و</w:t>
      </w:r>
      <w:r w:rsidRPr="00835005">
        <w:rPr>
          <w:rtl/>
        </w:rPr>
        <w:t>78</w:t>
      </w:r>
      <w:r w:rsidRPr="00D40BC3">
        <w:rPr>
          <w:rtl/>
        </w:rPr>
        <w:t xml:space="preserve">. </w:t>
      </w:r>
    </w:p>
  </w:footnote>
  <w:footnote w:id="5">
    <w:p w14:paraId="35E741C2" w14:textId="77777777" w:rsidR="00D40BC3" w:rsidRPr="00F45C5B" w:rsidRDefault="00D40BC3" w:rsidP="00D40BC3">
      <w:pPr>
        <w:pStyle w:val="FootnoteText1"/>
        <w:textDirection w:val="tbRlV"/>
      </w:pPr>
      <w:r w:rsidRPr="00F45C5B">
        <w:rPr>
          <w:rtl/>
        </w:rPr>
        <w:t>(</w:t>
      </w:r>
      <w:r w:rsidRPr="00835005">
        <w:footnoteRef/>
      </w:r>
      <w:r w:rsidRPr="00F45C5B">
        <w:rPr>
          <w:rtl/>
        </w:rPr>
        <w:t>)</w:t>
      </w:r>
      <w:r>
        <w:rPr>
          <w:rtl/>
        </w:rPr>
        <w:tab/>
      </w:r>
      <w:hyperlink r:id="rId5" w:history="1">
        <w:r w:rsidRPr="00D40BC3">
          <w:rPr>
            <w:rStyle w:val="Hyperlink"/>
          </w:rPr>
          <w:t>CRC/C/SOM/CO/</w:t>
        </w:r>
        <w:r w:rsidRPr="00835005">
          <w:rPr>
            <w:rStyle w:val="Hyperlink"/>
          </w:rPr>
          <w:t>1</w:t>
        </w:r>
      </w:hyperlink>
      <w:r>
        <w:rPr>
          <w:rtl/>
        </w:rPr>
        <w:t>،</w:t>
      </w:r>
      <w:r>
        <w:rPr>
          <w:rtl/>
        </w:rPr>
        <w:t xml:space="preserve"> </w:t>
      </w:r>
      <w:r>
        <w:rPr>
          <w:rtl/>
        </w:rPr>
        <w:t>الفقرة</w:t>
      </w:r>
      <w:r>
        <w:rPr>
          <w:rtl/>
        </w:rPr>
        <w:t xml:space="preserve"> </w:t>
      </w:r>
      <w:r w:rsidRPr="00835005">
        <w:rPr>
          <w:rtl/>
        </w:rPr>
        <w:t>37</w:t>
      </w:r>
      <w:r w:rsidRPr="00D40BC3">
        <w:rPr>
          <w:rtl/>
        </w:rPr>
        <w:t xml:space="preserve">. </w:t>
      </w:r>
    </w:p>
  </w:footnote>
  <w:footnote w:id="6">
    <w:p w14:paraId="1BC6A822" w14:textId="24C01DAF" w:rsidR="00D40BC3" w:rsidRPr="00F45C5B" w:rsidRDefault="00D40BC3" w:rsidP="00D40BC3">
      <w:pPr>
        <w:pStyle w:val="FootnoteText1"/>
        <w:textDirection w:val="tbRlV"/>
      </w:pPr>
      <w:r w:rsidRPr="00F45C5B">
        <w:rPr>
          <w:rtl/>
        </w:rPr>
        <w:t>(</w:t>
      </w:r>
      <w:r w:rsidRPr="00835005">
        <w:footnoteRef/>
      </w:r>
      <w:r w:rsidRPr="00F45C5B">
        <w:rPr>
          <w:rtl/>
        </w:rPr>
        <w:t>)</w:t>
      </w:r>
      <w:r>
        <w:rPr>
          <w:rtl/>
        </w:rPr>
        <w:tab/>
      </w:r>
      <w:hyperlink r:id="rId6" w:history="1">
        <w:r w:rsidRPr="00D40BC3">
          <w:rPr>
            <w:rStyle w:val="Hyperlink"/>
          </w:rPr>
          <w:t>HRI/GEN/</w:t>
        </w:r>
        <w:r w:rsidRPr="00835005">
          <w:rPr>
            <w:rStyle w:val="Hyperlink"/>
          </w:rPr>
          <w:t>2</w:t>
        </w:r>
        <w:r w:rsidRPr="00D40BC3">
          <w:rPr>
            <w:rStyle w:val="Hyperlink"/>
          </w:rPr>
          <w:t>/Rev.</w:t>
        </w:r>
        <w:r w:rsidRPr="00835005">
          <w:rPr>
            <w:rStyle w:val="Hyperlink"/>
          </w:rPr>
          <w:t>6</w:t>
        </w:r>
      </w:hyperlink>
      <w:r w:rsidRPr="00D40BC3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A2DE" w14:textId="56A8377E" w:rsidR="009D79A1" w:rsidRPr="009D79A1" w:rsidRDefault="009D79A1" w:rsidP="009D79A1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84718">
      <w:t>CAT/C/SOM/CO/1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D16F" w14:textId="7218144E" w:rsidR="009D79A1" w:rsidRPr="009D79A1" w:rsidRDefault="009D79A1" w:rsidP="009D79A1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84718">
      <w:t>CAT/C/SOM/CO/1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D32F" w14:textId="77777777" w:rsidR="00143C39" w:rsidRDefault="00143C39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attachedTemplate r:id="rId1"/>
  <w:defaultTabStop w:val="567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03"/>
    <w:rsid w:val="000076D5"/>
    <w:rsid w:val="00043367"/>
    <w:rsid w:val="00043663"/>
    <w:rsid w:val="000456F3"/>
    <w:rsid w:val="000505CF"/>
    <w:rsid w:val="000704F0"/>
    <w:rsid w:val="00096441"/>
    <w:rsid w:val="000A2113"/>
    <w:rsid w:val="000D701C"/>
    <w:rsid w:val="000E0E3D"/>
    <w:rsid w:val="000E11D4"/>
    <w:rsid w:val="000E2A71"/>
    <w:rsid w:val="000E7237"/>
    <w:rsid w:val="000F71D2"/>
    <w:rsid w:val="00142229"/>
    <w:rsid w:val="00143C39"/>
    <w:rsid w:val="00160263"/>
    <w:rsid w:val="00166BD2"/>
    <w:rsid w:val="00167825"/>
    <w:rsid w:val="00170EB3"/>
    <w:rsid w:val="00181F96"/>
    <w:rsid w:val="00185003"/>
    <w:rsid w:val="001A1371"/>
    <w:rsid w:val="001B346A"/>
    <w:rsid w:val="001D6F7B"/>
    <w:rsid w:val="001E1CAD"/>
    <w:rsid w:val="001E290D"/>
    <w:rsid w:val="001F609D"/>
    <w:rsid w:val="00210DD4"/>
    <w:rsid w:val="002144FA"/>
    <w:rsid w:val="0021607C"/>
    <w:rsid w:val="0023469A"/>
    <w:rsid w:val="00243C8A"/>
    <w:rsid w:val="00261289"/>
    <w:rsid w:val="00266034"/>
    <w:rsid w:val="0026755E"/>
    <w:rsid w:val="00267A0E"/>
    <w:rsid w:val="00274D98"/>
    <w:rsid w:val="0028428B"/>
    <w:rsid w:val="002901D9"/>
    <w:rsid w:val="002976C2"/>
    <w:rsid w:val="002C0C0C"/>
    <w:rsid w:val="00323EC8"/>
    <w:rsid w:val="003260FF"/>
    <w:rsid w:val="00343D95"/>
    <w:rsid w:val="00344A21"/>
    <w:rsid w:val="00362E33"/>
    <w:rsid w:val="00374341"/>
    <w:rsid w:val="00384DA7"/>
    <w:rsid w:val="003D1062"/>
    <w:rsid w:val="00410ADA"/>
    <w:rsid w:val="00420D7B"/>
    <w:rsid w:val="00430D1C"/>
    <w:rsid w:val="00440901"/>
    <w:rsid w:val="00450B21"/>
    <w:rsid w:val="00453B63"/>
    <w:rsid w:val="00455780"/>
    <w:rsid w:val="00462F28"/>
    <w:rsid w:val="00472BE8"/>
    <w:rsid w:val="004811D5"/>
    <w:rsid w:val="004956DC"/>
    <w:rsid w:val="004A054C"/>
    <w:rsid w:val="004B0A1C"/>
    <w:rsid w:val="004C3FDA"/>
    <w:rsid w:val="004D2177"/>
    <w:rsid w:val="004D298E"/>
    <w:rsid w:val="004D312E"/>
    <w:rsid w:val="004D5A0D"/>
    <w:rsid w:val="00531DEA"/>
    <w:rsid w:val="0054472E"/>
    <w:rsid w:val="005662A9"/>
    <w:rsid w:val="00575E9A"/>
    <w:rsid w:val="005827D4"/>
    <w:rsid w:val="00593BE6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23FC"/>
    <w:rsid w:val="006646E9"/>
    <w:rsid w:val="0068781D"/>
    <w:rsid w:val="006959B0"/>
    <w:rsid w:val="006B2A7F"/>
    <w:rsid w:val="006B3E27"/>
    <w:rsid w:val="006B6507"/>
    <w:rsid w:val="006C104C"/>
    <w:rsid w:val="006D05CB"/>
    <w:rsid w:val="00706DFD"/>
    <w:rsid w:val="00712059"/>
    <w:rsid w:val="007175B2"/>
    <w:rsid w:val="00733704"/>
    <w:rsid w:val="0074737D"/>
    <w:rsid w:val="00761849"/>
    <w:rsid w:val="0078071A"/>
    <w:rsid w:val="007A3847"/>
    <w:rsid w:val="007D56C1"/>
    <w:rsid w:val="00817373"/>
    <w:rsid w:val="00835005"/>
    <w:rsid w:val="00852A9A"/>
    <w:rsid w:val="00860491"/>
    <w:rsid w:val="00874514"/>
    <w:rsid w:val="00884718"/>
    <w:rsid w:val="00893A8A"/>
    <w:rsid w:val="00897AA1"/>
    <w:rsid w:val="008C0B37"/>
    <w:rsid w:val="008F49E1"/>
    <w:rsid w:val="0090370F"/>
    <w:rsid w:val="00906A57"/>
    <w:rsid w:val="009269D2"/>
    <w:rsid w:val="00942135"/>
    <w:rsid w:val="009521B0"/>
    <w:rsid w:val="00963852"/>
    <w:rsid w:val="00972676"/>
    <w:rsid w:val="00981C12"/>
    <w:rsid w:val="009A7E9F"/>
    <w:rsid w:val="009D79A1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B07715"/>
    <w:rsid w:val="00B13763"/>
    <w:rsid w:val="00B20EB7"/>
    <w:rsid w:val="00B456A0"/>
    <w:rsid w:val="00B477A4"/>
    <w:rsid w:val="00B54045"/>
    <w:rsid w:val="00B82677"/>
    <w:rsid w:val="00BA39D4"/>
    <w:rsid w:val="00BD0805"/>
    <w:rsid w:val="00BE78C5"/>
    <w:rsid w:val="00C111C6"/>
    <w:rsid w:val="00C438D7"/>
    <w:rsid w:val="00C62476"/>
    <w:rsid w:val="00C64C7B"/>
    <w:rsid w:val="00C81B50"/>
    <w:rsid w:val="00C87F1F"/>
    <w:rsid w:val="00C96AFF"/>
    <w:rsid w:val="00CA2103"/>
    <w:rsid w:val="00CA35DF"/>
    <w:rsid w:val="00CD1801"/>
    <w:rsid w:val="00CF25FC"/>
    <w:rsid w:val="00D10EF1"/>
    <w:rsid w:val="00D317F1"/>
    <w:rsid w:val="00D3653E"/>
    <w:rsid w:val="00D40BC3"/>
    <w:rsid w:val="00D42810"/>
    <w:rsid w:val="00D662E6"/>
    <w:rsid w:val="00D7703F"/>
    <w:rsid w:val="00D914A7"/>
    <w:rsid w:val="00DB712F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842F5"/>
    <w:rsid w:val="00E92206"/>
    <w:rsid w:val="00EC05A7"/>
    <w:rsid w:val="00EC4B6B"/>
    <w:rsid w:val="00ED6587"/>
    <w:rsid w:val="00EE23A7"/>
    <w:rsid w:val="00EE56C3"/>
    <w:rsid w:val="00EF1EE5"/>
    <w:rsid w:val="00F158EB"/>
    <w:rsid w:val="00F1695F"/>
    <w:rsid w:val="00F45C5B"/>
    <w:rsid w:val="00F62057"/>
    <w:rsid w:val="00F72555"/>
    <w:rsid w:val="00F763B4"/>
    <w:rsid w:val="00F81AF1"/>
    <w:rsid w:val="00F900C3"/>
    <w:rsid w:val="00FA1316"/>
    <w:rsid w:val="00FF14ED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00298AD"/>
  <w15:docId w15:val="{BFE90B85-9F47-4BD8-8A09-1D262CE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E6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593BE6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593BE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93BE6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93BE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93BE6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93BE6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93BE6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93BE6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93BE6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A">
    <w:name w:val="_ H __M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593BE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593BE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593BE6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593BE6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593BE6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593BE6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593BE6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593BE6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593BE6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593BE6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593BE6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593BE6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593BE6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593BE6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593BE6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593BE6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593BE6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593BE6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593BE6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593BE6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593BE6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593BE6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593BE6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93BE6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93BE6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93BE6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593BE6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93BE6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593BE6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593BE6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593BE6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3BE6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93BE6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93BE6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22"/>
    <w:rsid w:val="00593BE6"/>
    <w:rPr>
      <w:b/>
      <w:bCs/>
    </w:rPr>
  </w:style>
  <w:style w:type="table" w:styleId="TableGrid">
    <w:name w:val="Table Grid"/>
    <w:basedOn w:val="TableNormal"/>
    <w:rsid w:val="00593BE6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3BE6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593BE6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593BE6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593BE6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593BE6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593BE6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593BE6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593BE6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table" w:customStyle="1" w:styleId="TABLEA">
    <w:name w:val="TABLE_A"/>
    <w:basedOn w:val="TableNormal"/>
    <w:uiPriority w:val="99"/>
    <w:rsid w:val="00593BE6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593BE6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593BE6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593BE6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593BE6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593BE6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593BE6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593BE6"/>
    <w:rPr>
      <w:rFonts w:ascii="Times New Roman" w:eastAsia="PMingLiU" w:hAnsi="Times New Roman" w:cs="Simplified Arabic"/>
      <w:lang w:val="en-GB" w:eastAsia="en-US"/>
    </w:rPr>
  </w:style>
  <w:style w:type="paragraph" w:customStyle="1" w:styleId="NormalA">
    <w:name w:val="Normal_A"/>
    <w:basedOn w:val="Normal"/>
    <w:qFormat/>
    <w:rsid w:val="00593BE6"/>
  </w:style>
  <w:style w:type="paragraph" w:customStyle="1" w:styleId="FootnoteGA">
    <w:name w:val="_Footnote_GA"/>
    <w:basedOn w:val="Normal"/>
    <w:qFormat/>
    <w:rsid w:val="00593BE6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593BE6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593BE6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593BE6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593BE6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593BE6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593BE6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uppressAutoHyphens/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styleId="Revision">
    <w:name w:val="Revision"/>
    <w:hidden/>
    <w:uiPriority w:val="99"/>
    <w:semiHidden/>
    <w:rsid w:val="00593BE6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C64C7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64C7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64C7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STitleLGA">
    <w:name w:val="S_Title_L_GA"/>
    <w:basedOn w:val="SLGA"/>
    <w:qFormat/>
    <w:rsid w:val="00593BE6"/>
    <w:rPr>
      <w:lang w:val="en-US" w:eastAsia="zh-TW"/>
    </w:rPr>
  </w:style>
  <w:style w:type="paragraph" w:customStyle="1" w:styleId="STitleMGA">
    <w:name w:val="S_Title_M_GA"/>
    <w:basedOn w:val="SMGA"/>
    <w:qFormat/>
    <w:rsid w:val="00593BE6"/>
    <w:rPr>
      <w:lang w:eastAsia="zh-TW"/>
    </w:rPr>
  </w:style>
  <w:style w:type="paragraph" w:customStyle="1" w:styleId="STitleSGA">
    <w:name w:val="S_Title_S_GA"/>
    <w:basedOn w:val="SSGA"/>
    <w:qFormat/>
    <w:rsid w:val="00593BE6"/>
    <w:rPr>
      <w:lang w:eastAsia="zh-TW"/>
    </w:rPr>
  </w:style>
  <w:style w:type="paragraph" w:customStyle="1" w:styleId="HChG">
    <w:name w:val="_ H _Ch_G"/>
    <w:basedOn w:val="Normal"/>
    <w:next w:val="Normal"/>
    <w:rsid w:val="004A054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  <w:outlineLvl w:val="1"/>
    </w:pPr>
    <w:rPr>
      <w:rFonts w:eastAsia="SimSun" w:hAnsiTheme="minorHAnsi" w:hint="cs"/>
      <w:b/>
      <w:sz w:val="28"/>
      <w:szCs w:val="30"/>
      <w:lang w:val="en-GB" w:eastAsia="zh-CN"/>
    </w:rPr>
  </w:style>
  <w:style w:type="paragraph" w:customStyle="1" w:styleId="H1G">
    <w:name w:val="_ H_1_G"/>
    <w:basedOn w:val="Normal"/>
    <w:next w:val="Normal"/>
    <w:rsid w:val="004A054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  <w:outlineLvl w:val="2"/>
    </w:pPr>
    <w:rPr>
      <w:rFonts w:eastAsia="SimSun" w:hAnsiTheme="minorHAnsi" w:hint="cs"/>
      <w:b/>
      <w:sz w:val="24"/>
      <w:szCs w:val="30"/>
      <w:lang w:val="en-GB" w:eastAsia="zh-CN"/>
    </w:rPr>
  </w:style>
  <w:style w:type="paragraph" w:customStyle="1" w:styleId="H23G">
    <w:name w:val="_ H_2/3_G"/>
    <w:basedOn w:val="Normal"/>
    <w:next w:val="Normal"/>
    <w:rsid w:val="004A054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  <w:outlineLvl w:val="3"/>
    </w:pPr>
    <w:rPr>
      <w:rFonts w:eastAsia="SimSun" w:hAnsiTheme="minorHAnsi" w:hint="cs"/>
      <w:b/>
      <w:szCs w:val="30"/>
      <w:lang w:val="en-GB" w:eastAsia="zh-CN"/>
    </w:rPr>
  </w:style>
  <w:style w:type="paragraph" w:customStyle="1" w:styleId="SingleTxtG">
    <w:name w:val="_ Single Txt_G"/>
    <w:basedOn w:val="Normal"/>
    <w:link w:val="SingleTxtGChar"/>
    <w:rsid w:val="004A054C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rFonts w:eastAsia="SimSun" w:hAnsiTheme="minorHAnsi"/>
      <w:szCs w:val="30"/>
      <w:lang w:val="en-GB" w:eastAsia="zh-CN"/>
    </w:rPr>
  </w:style>
  <w:style w:type="paragraph" w:styleId="FootnoteText">
    <w:name w:val="footnote text"/>
    <w:aliases w:val="5_G"/>
    <w:basedOn w:val="Normal"/>
    <w:link w:val="FootnoteTextChar"/>
    <w:rsid w:val="004A054C"/>
    <w:pPr>
      <w:tabs>
        <w:tab w:val="right" w:pos="1021"/>
      </w:tabs>
      <w:suppressAutoHyphens/>
      <w:bidi w:val="0"/>
      <w:spacing w:line="220" w:lineRule="exact"/>
      <w:ind w:left="1134" w:right="1134" w:hanging="1134"/>
      <w:jc w:val="left"/>
    </w:pPr>
    <w:rPr>
      <w:rFonts w:eastAsia="SimSun" w:hAnsiTheme="minorHAnsi" w:hint="cs"/>
      <w:sz w:val="18"/>
      <w:szCs w:val="30"/>
      <w:lang w:val="en-GB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A054C"/>
    <w:rPr>
      <w:rFonts w:ascii="Times New Roman" w:eastAsia="SimSun" w:hAnsiTheme="minorHAnsi" w:cs="Simplified Arabic"/>
      <w:sz w:val="18"/>
      <w:szCs w:val="30"/>
      <w:lang w:val="en-GB" w:eastAsia="zh-CN"/>
    </w:rPr>
  </w:style>
  <w:style w:type="character" w:styleId="FootnoteReference">
    <w:name w:val="footnote reference"/>
    <w:aliases w:val="4_G"/>
    <w:rsid w:val="004A054C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basedOn w:val="DefaultParagraphFont"/>
    <w:link w:val="SingleTxtG"/>
    <w:locked/>
    <w:rsid w:val="004A054C"/>
    <w:rPr>
      <w:rFonts w:ascii="Times New Roman" w:eastAsia="SimSun" w:hAnsiTheme="minorHAnsi" w:cs="Simplified Arabic"/>
      <w:szCs w:val="30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4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r/CAT/C/SR.1952" TargetMode="External"/><Relationship Id="rId2" Type="http://schemas.openxmlformats.org/officeDocument/2006/relationships/hyperlink" Target="https://undocs.org/ar/CAT/C/SR.1949" TargetMode="External"/><Relationship Id="rId1" Type="http://schemas.openxmlformats.org/officeDocument/2006/relationships/hyperlink" Target="https://undocs.org/ar/CAT/C/SOM/1" TargetMode="External"/><Relationship Id="rId6" Type="http://schemas.openxmlformats.org/officeDocument/2006/relationships/hyperlink" Target="https://undocs.org/ar/HRI/GEN/2/Rev.6" TargetMode="External"/><Relationship Id="rId5" Type="http://schemas.openxmlformats.org/officeDocument/2006/relationships/hyperlink" Target="https://undocs.org/ar/CRC/C/SOM/CO/1" TargetMode="External"/><Relationship Id="rId4" Type="http://schemas.openxmlformats.org/officeDocument/2006/relationships/hyperlink" Target="https://undocs.org/ar/A/HRC/45/5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11</Pages>
  <Words>4471</Words>
  <Characters>23250</Characters>
  <Application>Microsoft Office Word</Application>
  <DocSecurity>0</DocSecurity>
  <Lines>369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CAT/C/SOM/CO/1</vt:lpstr>
      <vt:lpstr>    الملاحظات الختامية بشأن التقرير الأولي للصومال*</vt:lpstr>
      <vt:lpstr>        ألف-	مقدمة</vt:lpstr>
      <vt:lpstr>        باء-	الجوانب الإيجابية</vt:lpstr>
      <vt:lpstr>        جيم-	دواعي القلق الرئيسية والتوصيات </vt:lpstr>
    </vt:vector>
  </TitlesOfParts>
  <Company>DCM</Company>
  <LinksUpToDate>false</LinksUpToDate>
  <CharactersWithSpaces>27584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CAT/C/SOM/CO/1</dc:title>
  <dc:subject>GE.2226902(A)</dc:subject>
  <dc:creator>Jamila CHEDAD - ASEF</dc:creator>
  <cp:keywords>GE.(A)</cp:keywords>
  <dc:description>General_x000d_
2 December 2022_x000d_
Arabic_x000d_
English</dc:description>
  <cp:lastModifiedBy>Jamila Chedad</cp:lastModifiedBy>
  <cp:revision>3</cp:revision>
  <cp:lastPrinted>2023-01-27T15:59:00Z</cp:lastPrinted>
  <dcterms:created xsi:type="dcterms:W3CDTF">2023-01-27T15:59:00Z</dcterms:created>
  <dcterms:modified xsi:type="dcterms:W3CDTF">2023-01-27T15:59:00Z</dcterms:modified>
  <cp:category>Final</cp:category>
</cp:coreProperties>
</file>