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647CB8">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647CB8" w:rsidRDefault="00B238BA" w:rsidP="00B238BA">
            <w:pPr>
              <w:jc w:val="right"/>
              <w:rPr>
                <w:lang w:val="en-US"/>
              </w:rPr>
            </w:pPr>
            <w:r w:rsidRPr="00647CB8">
              <w:rPr>
                <w:sz w:val="40"/>
                <w:lang w:val="en-US"/>
              </w:rPr>
              <w:t>CCPR</w:t>
            </w:r>
            <w:r w:rsidRPr="00647CB8">
              <w:rPr>
                <w:lang w:val="en-US"/>
              </w:rPr>
              <w:t>/C/CHE/CO/3/Add.</w:t>
            </w:r>
            <w:r w:rsidR="000906D6" w:rsidRPr="00647CB8">
              <w:rPr>
                <w:lang w:val="en-US"/>
              </w:rPr>
              <w:t>2</w:t>
            </w:r>
          </w:p>
        </w:tc>
      </w:tr>
      <w:tr w:rsidR="00AF1CE8" w:rsidRPr="00DB58B5">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238BA" w:rsidRDefault="00B238BA" w:rsidP="00B238BA">
            <w:pPr>
              <w:spacing w:before="240" w:line="240" w:lineRule="exact"/>
            </w:pPr>
            <w:r>
              <w:t>Distr.: générale</w:t>
            </w:r>
          </w:p>
          <w:p w:rsidR="00B238BA" w:rsidRDefault="00936B21" w:rsidP="00B238BA">
            <w:pPr>
              <w:spacing w:line="240" w:lineRule="exact"/>
            </w:pPr>
            <w:r>
              <w:t>2</w:t>
            </w:r>
            <w:r w:rsidR="001E4324">
              <w:t xml:space="preserve"> août </w:t>
            </w:r>
            <w:r w:rsidR="000906D6">
              <w:t xml:space="preserve"> 2011</w:t>
            </w:r>
          </w:p>
          <w:p w:rsidR="00B238BA" w:rsidRDefault="00B238BA" w:rsidP="00B238BA">
            <w:pPr>
              <w:spacing w:line="240" w:lineRule="exact"/>
            </w:pPr>
          </w:p>
          <w:p w:rsidR="00AF1CE8" w:rsidRPr="00DB58B5" w:rsidRDefault="00B238BA" w:rsidP="00B238BA">
            <w:pPr>
              <w:spacing w:line="240" w:lineRule="exact"/>
            </w:pPr>
            <w:r>
              <w:t xml:space="preserve">Original: </w:t>
            </w:r>
            <w:r w:rsidR="00936B21">
              <w:t>f</w:t>
            </w:r>
            <w:r w:rsidR="00DA6F02">
              <w:t>rançais</w:t>
            </w:r>
          </w:p>
        </w:tc>
      </w:tr>
    </w:tbl>
    <w:p w:rsidR="00DF3BF1" w:rsidRDefault="00DF3BF1" w:rsidP="00B238BA">
      <w:pPr>
        <w:spacing w:before="120"/>
        <w:rPr>
          <w:b/>
          <w:sz w:val="24"/>
          <w:szCs w:val="24"/>
        </w:rPr>
      </w:pPr>
      <w:r w:rsidRPr="00DF3BF1">
        <w:rPr>
          <w:b/>
          <w:sz w:val="24"/>
          <w:szCs w:val="24"/>
        </w:rPr>
        <w:t>Comité des droits de l’homme</w:t>
      </w:r>
    </w:p>
    <w:p w:rsidR="00B238BA" w:rsidRPr="00647CB8" w:rsidRDefault="00B238BA" w:rsidP="00B238BA">
      <w:pPr>
        <w:pStyle w:val="HMG"/>
        <w:rPr>
          <w:lang w:val="fr-FR"/>
        </w:rPr>
      </w:pPr>
      <w:r w:rsidRPr="00647CB8">
        <w:rPr>
          <w:lang w:val="fr-FR"/>
        </w:rPr>
        <w:tab/>
      </w:r>
      <w:r w:rsidRPr="00647CB8">
        <w:rPr>
          <w:lang w:val="fr-FR"/>
        </w:rPr>
        <w:tab/>
        <w:t>Examen des rapports soumis par les États parties en application de l’article 40 du Pacte</w:t>
      </w:r>
    </w:p>
    <w:p w:rsidR="00B238BA" w:rsidRDefault="00B238BA" w:rsidP="00B238BA">
      <w:pPr>
        <w:pStyle w:val="HMG"/>
        <w:rPr>
          <w:szCs w:val="24"/>
        </w:rPr>
      </w:pPr>
      <w:r w:rsidRPr="00647CB8">
        <w:rPr>
          <w:lang w:val="fr-FR"/>
        </w:rPr>
        <w:tab/>
      </w:r>
      <w:r w:rsidRPr="00647CB8">
        <w:rPr>
          <w:lang w:val="fr-FR"/>
        </w:rPr>
        <w:tab/>
      </w:r>
      <w:r>
        <w:rPr>
          <w:lang w:val="en-GB"/>
        </w:rPr>
        <w:t>Suisse</w:t>
      </w:r>
    </w:p>
    <w:p w:rsidR="00C74640" w:rsidRDefault="00B238BA" w:rsidP="000906D6">
      <w:pPr>
        <w:pStyle w:val="HChG"/>
        <w:rPr>
          <w:lang w:val="fr-FR"/>
        </w:rPr>
      </w:pPr>
      <w:r>
        <w:rPr>
          <w:lang w:val="en-GB"/>
        </w:rPr>
        <w:tab/>
      </w:r>
      <w:r>
        <w:rPr>
          <w:lang w:val="en-GB"/>
        </w:rPr>
        <w:tab/>
      </w:r>
      <w:r w:rsidRPr="00647CB8">
        <w:rPr>
          <w:lang w:val="fr-FR"/>
        </w:rPr>
        <w:t xml:space="preserve">Informations reçues de la Suisse sur la suite donnée aux observations finales du Comité des droits de l’homme (CCPR/C/CHE/CO/3) </w:t>
      </w:r>
      <w:r w:rsidR="000906D6" w:rsidRPr="00647CB8">
        <w:rPr>
          <w:lang w:val="fr-FR"/>
        </w:rPr>
        <w:tab/>
      </w:r>
      <w:r w:rsidR="000906D6" w:rsidRPr="00647CB8">
        <w:rPr>
          <w:lang w:val="fr-FR"/>
        </w:rPr>
        <w:tab/>
      </w:r>
      <w:r w:rsidR="000906D6" w:rsidRPr="00647CB8">
        <w:rPr>
          <w:lang w:val="fr-FR"/>
        </w:rPr>
        <w:tab/>
      </w:r>
      <w:r w:rsidR="000906D6" w:rsidRPr="00647CB8">
        <w:rPr>
          <w:lang w:val="fr-FR"/>
        </w:rPr>
        <w:tab/>
      </w:r>
      <w:r w:rsidR="000906D6" w:rsidRPr="00647CB8">
        <w:rPr>
          <w:lang w:val="fr-FR"/>
        </w:rPr>
        <w:tab/>
      </w:r>
      <w:r w:rsidR="000906D6" w:rsidRPr="00647CB8">
        <w:rPr>
          <w:lang w:val="fr-FR"/>
        </w:rPr>
        <w:tab/>
      </w:r>
    </w:p>
    <w:p w:rsidR="00C74640" w:rsidRDefault="00C74640" w:rsidP="000906D6">
      <w:pPr>
        <w:pStyle w:val="HChG"/>
        <w:rPr>
          <w:lang w:val="fr-FR"/>
        </w:rPr>
      </w:pPr>
    </w:p>
    <w:p w:rsidR="00B238BA" w:rsidRPr="000906D6" w:rsidRDefault="00B238BA" w:rsidP="00647CB8">
      <w:pPr>
        <w:pStyle w:val="HChG"/>
        <w:jc w:val="right"/>
        <w:rPr>
          <w:rStyle w:val="SingleTxtGChar"/>
          <w:b w:val="0"/>
          <w:sz w:val="24"/>
          <w:szCs w:val="24"/>
        </w:rPr>
      </w:pPr>
      <w:r w:rsidRPr="00647CB8">
        <w:rPr>
          <w:rStyle w:val="SingleTxtGChar"/>
          <w:b w:val="0"/>
          <w:sz w:val="18"/>
          <w:szCs w:val="18"/>
        </w:rPr>
        <w:t>[</w:t>
      </w:r>
      <w:r w:rsidR="000906D6" w:rsidRPr="00647CB8">
        <w:rPr>
          <w:rStyle w:val="SingleTxtGChar"/>
          <w:b w:val="0"/>
          <w:sz w:val="18"/>
          <w:szCs w:val="18"/>
        </w:rPr>
        <w:t>12</w:t>
      </w:r>
      <w:r w:rsidRPr="00647CB8">
        <w:rPr>
          <w:rStyle w:val="SingleTxtGChar"/>
          <w:b w:val="0"/>
          <w:sz w:val="18"/>
          <w:szCs w:val="18"/>
        </w:rPr>
        <w:t xml:space="preserve"> </w:t>
      </w:r>
      <w:r w:rsidR="000906D6" w:rsidRPr="00647CB8">
        <w:rPr>
          <w:rStyle w:val="SingleTxtGChar"/>
          <w:b w:val="0"/>
          <w:sz w:val="18"/>
          <w:szCs w:val="18"/>
        </w:rPr>
        <w:t>juillet</w:t>
      </w:r>
      <w:r w:rsidRPr="00647CB8">
        <w:rPr>
          <w:rStyle w:val="SingleTxtGChar"/>
          <w:b w:val="0"/>
          <w:sz w:val="18"/>
          <w:szCs w:val="18"/>
        </w:rPr>
        <w:t xml:space="preserve"> 201</w:t>
      </w:r>
      <w:r w:rsidR="000906D6" w:rsidRPr="00647CB8">
        <w:rPr>
          <w:rStyle w:val="SingleTxtGChar"/>
          <w:b w:val="0"/>
          <w:sz w:val="18"/>
          <w:szCs w:val="18"/>
        </w:rPr>
        <w:t>1</w:t>
      </w:r>
      <w:r w:rsidRPr="00C74640">
        <w:rPr>
          <w:rStyle w:val="SingleTxtGChar"/>
          <w:b w:val="0"/>
          <w:sz w:val="24"/>
          <w:szCs w:val="24"/>
        </w:rPr>
        <w:t>]</w:t>
      </w:r>
    </w:p>
    <w:p w:rsidR="00C74640" w:rsidRDefault="00B238BA" w:rsidP="00F42509">
      <w:pPr>
        <w:pStyle w:val="H1G"/>
        <w:rPr>
          <w:lang w:val="fr-FR"/>
        </w:rPr>
      </w:pPr>
      <w:r>
        <w:rPr>
          <w:lang w:val="fr-FR"/>
        </w:rPr>
        <w:tab/>
      </w:r>
      <w:r>
        <w:rPr>
          <w:lang w:val="fr-FR"/>
        </w:rPr>
        <w:tab/>
      </w:r>
    </w:p>
    <w:p w:rsidR="00C74640" w:rsidRDefault="00C74640" w:rsidP="00F42509">
      <w:pPr>
        <w:pStyle w:val="H1G"/>
        <w:rPr>
          <w:lang w:val="fr-FR"/>
        </w:rPr>
      </w:pPr>
      <w:r>
        <w:rPr>
          <w:lang w:val="fr-FR"/>
        </w:rPr>
        <w:tab/>
      </w:r>
      <w:r>
        <w:rPr>
          <w:lang w:val="fr-FR"/>
        </w:rPr>
        <w:tab/>
      </w:r>
    </w:p>
    <w:p w:rsidR="00F42509" w:rsidRDefault="00C74640" w:rsidP="00647CB8">
      <w:pPr>
        <w:pStyle w:val="H1G"/>
        <w:ind w:firstLine="0"/>
        <w:rPr>
          <w:lang w:val="fr-FR"/>
        </w:rPr>
      </w:pPr>
      <w:r>
        <w:rPr>
          <w:lang w:val="fr-FR"/>
        </w:rPr>
        <w:br w:type="page"/>
      </w:r>
      <w:r w:rsidR="00F42509" w:rsidRPr="00B875CC">
        <w:rPr>
          <w:lang w:val="fr-FR"/>
        </w:rPr>
        <w:t xml:space="preserve">Réponses de la Suisse aux questions du Rapporteur spécial chargé du suivi des observations finales </w:t>
      </w:r>
      <w:r w:rsidR="002948B8" w:rsidRPr="00647CB8">
        <w:rPr>
          <w:lang w:val="fr-FR"/>
        </w:rPr>
        <w:t xml:space="preserve">du Comité des droits de l’homme </w:t>
      </w:r>
    </w:p>
    <w:p w:rsidR="00F42509" w:rsidRPr="00F42509" w:rsidRDefault="00F42509" w:rsidP="00F42509">
      <w:pPr>
        <w:pStyle w:val="SingleTxtG"/>
        <w:ind w:firstLine="567"/>
      </w:pPr>
      <w:r w:rsidRPr="00F42509">
        <w:t>C’est avec beaucoup d’attention que nous avons pris note de votre lettre du 9 mai 2011 concernant l’examen du troisième rapport périodique de la Suisse. En réponse à vos questions, nous vous transmettons les renseignements suivants</w:t>
      </w:r>
      <w:r w:rsidR="00936B21">
        <w:t>.</w:t>
      </w:r>
    </w:p>
    <w:p w:rsidR="00F42509" w:rsidRPr="00F42509" w:rsidRDefault="00DF5766" w:rsidP="00DF5766">
      <w:pPr>
        <w:pStyle w:val="H23G"/>
      </w:pPr>
      <w:r>
        <w:tab/>
      </w:r>
      <w:r>
        <w:tab/>
      </w:r>
      <w:r w:rsidR="00361BCD">
        <w:t>Paragraphe</w:t>
      </w:r>
      <w:r w:rsidR="00F42509" w:rsidRPr="00F42509">
        <w:t xml:space="preserve"> 14 des observations finales, question </w:t>
      </w:r>
      <w:r w:rsidR="00F42509" w:rsidRPr="00647CB8">
        <w:rPr>
          <w:i/>
        </w:rPr>
        <w:t>a</w:t>
      </w:r>
      <w:r w:rsidR="006A0369">
        <w:t>:</w:t>
      </w:r>
    </w:p>
    <w:p w:rsidR="00F42509" w:rsidRPr="00F42509" w:rsidRDefault="00F42509" w:rsidP="00DF5766">
      <w:pPr>
        <w:pStyle w:val="SingleTxtG"/>
        <w:ind w:firstLine="567"/>
      </w:pPr>
      <w:r w:rsidRPr="00F42509">
        <w:t xml:space="preserve">Pour la préparation des informations fournies au Comité le </w:t>
      </w:r>
      <w:r w:rsidR="00647CB8">
        <w:t xml:space="preserve">5 </w:t>
      </w:r>
      <w:r w:rsidRPr="00F42509">
        <w:t xml:space="preserve">novembre 2010 </w:t>
      </w:r>
      <w:r w:rsidR="00016487" w:rsidRPr="00F42509">
        <w:t>(</w:t>
      </w:r>
      <w:r w:rsidR="00016487" w:rsidRPr="00016487">
        <w:t>CCPR</w:t>
      </w:r>
      <w:r w:rsidR="00016487">
        <w:t>/C/CHE/CO/3/Add.1</w:t>
      </w:r>
      <w:r w:rsidR="00016487" w:rsidRPr="00F42509">
        <w:t>)</w:t>
      </w:r>
      <w:r w:rsidR="00016487">
        <w:t xml:space="preserve"> </w:t>
      </w:r>
      <w:r w:rsidRPr="00F42509">
        <w:t xml:space="preserve">sur la mise en œuvre des </w:t>
      </w:r>
      <w:r w:rsidR="00B875CC">
        <w:t>paragraphes</w:t>
      </w:r>
      <w:r w:rsidRPr="00F42509">
        <w:t> 10, 14 et 18 des observations finales du Comité</w:t>
      </w:r>
      <w:r w:rsidR="00016487">
        <w:t xml:space="preserve"> </w:t>
      </w:r>
      <w:r w:rsidR="00016487">
        <w:rPr>
          <w:lang w:val="fr-FR"/>
        </w:rPr>
        <w:t>(CCPR/C/CHE/CO/3)</w:t>
      </w:r>
      <w:r w:rsidRPr="00F42509">
        <w:t>, nous avons consulté l’ensemble des cantons. Le résultat de cette consultation a été intégré dans le</w:t>
      </w:r>
      <w:r w:rsidR="00016487">
        <w:t>s</w:t>
      </w:r>
      <w:r w:rsidRPr="00F42509">
        <w:t xml:space="preserve"> </w:t>
      </w:r>
      <w:r w:rsidR="00016487">
        <w:t>informations fournies</w:t>
      </w:r>
      <w:r w:rsidR="00016487" w:rsidRPr="00F42509">
        <w:t xml:space="preserve"> </w:t>
      </w:r>
      <w:r w:rsidRPr="00F42509">
        <w:t xml:space="preserve">au Comité. </w:t>
      </w:r>
      <w:r w:rsidR="00995530">
        <w:t xml:space="preserve">Compte tenu qu’il </w:t>
      </w:r>
      <w:r w:rsidRPr="00F42509">
        <w:t xml:space="preserve">ne nous est pas possible de procéder à une nouvelle consultation des cantons sur le même </w:t>
      </w:r>
      <w:r w:rsidR="00016487">
        <w:t>sujet</w:t>
      </w:r>
      <w:r w:rsidR="00995530">
        <w:t>,</w:t>
      </w:r>
      <w:r w:rsidRPr="00F42509">
        <w:t xml:space="preserve"> nous renvoyons le Comité aux </w:t>
      </w:r>
      <w:r w:rsidR="00016487">
        <w:t>paragraphes</w:t>
      </w:r>
      <w:r w:rsidRPr="00F42509">
        <w:t> 20 à 23 d</w:t>
      </w:r>
      <w:r w:rsidR="000E4E7C">
        <w:t>e notre</w:t>
      </w:r>
      <w:r w:rsidR="006A0369">
        <w:t xml:space="preserve"> </w:t>
      </w:r>
      <w:r w:rsidRPr="00F42509">
        <w:t xml:space="preserve">document. </w:t>
      </w:r>
    </w:p>
    <w:p w:rsidR="00F42509" w:rsidRPr="00F42509" w:rsidRDefault="00DF5766" w:rsidP="00DF5766">
      <w:pPr>
        <w:pStyle w:val="H23G"/>
      </w:pPr>
      <w:r>
        <w:tab/>
      </w:r>
      <w:r>
        <w:tab/>
      </w:r>
      <w:r w:rsidR="00086377">
        <w:t>Paragraphe</w:t>
      </w:r>
      <w:r w:rsidR="00F42509" w:rsidRPr="00F42509">
        <w:t xml:space="preserve"> 14 des observations finales, question </w:t>
      </w:r>
      <w:r w:rsidR="00F42509" w:rsidRPr="00647CB8">
        <w:rPr>
          <w:i/>
        </w:rPr>
        <w:t>b</w:t>
      </w:r>
      <w:r w:rsidR="006A0369">
        <w:t>:</w:t>
      </w:r>
    </w:p>
    <w:p w:rsidR="00F42509" w:rsidRPr="00F42509" w:rsidRDefault="00F42509" w:rsidP="00DF5766">
      <w:pPr>
        <w:pStyle w:val="SingleTxtG"/>
        <w:ind w:firstLine="567"/>
      </w:pPr>
      <w:r w:rsidRPr="00F42509">
        <w:t xml:space="preserve">La nouvelle statistique policière de criminalité est </w:t>
      </w:r>
      <w:r w:rsidR="00065E75">
        <w:t>tenue</w:t>
      </w:r>
      <w:r w:rsidRPr="00F42509">
        <w:t xml:space="preserve">, depuis 2010, par l’Office fédéral des statistiques (OFS) en coopération avec les autorités de police des cantons. Elle renseigne, de manière générale, sur le nombre, la structure et l’évolution des infractions enregistrées, ainsi que sur les personnes prévenues. Elle </w:t>
      </w:r>
      <w:r w:rsidR="00A6519F">
        <w:t>repose sur</w:t>
      </w:r>
      <w:r w:rsidRPr="00F42509">
        <w:t xml:space="preserve"> </w:t>
      </w:r>
      <w:r w:rsidR="00304C36">
        <w:t>l</w:t>
      </w:r>
      <w:r w:rsidRPr="00F42509">
        <w:t xml:space="preserve">es dénonciations et fournit des données de base pour </w:t>
      </w:r>
      <w:r w:rsidR="00065E75">
        <w:t>l’</w:t>
      </w:r>
      <w:r w:rsidRPr="00F42509">
        <w:t>analyse</w:t>
      </w:r>
      <w:r w:rsidR="00065E75">
        <w:t xml:space="preserve"> de</w:t>
      </w:r>
      <w:r w:rsidRPr="00F42509">
        <w:t xml:space="preserve"> la criminalité et l’évaluation de la poursuite pénale et des carrières criminelles. </w:t>
      </w:r>
    </w:p>
    <w:p w:rsidR="00F42509" w:rsidRPr="00F42509" w:rsidRDefault="00F42509" w:rsidP="00DF5766">
      <w:pPr>
        <w:pStyle w:val="SingleTxtG"/>
        <w:ind w:firstLine="567"/>
      </w:pPr>
      <w:r w:rsidRPr="00F42509">
        <w:t>La statistique policière de criminalité relève tous les actes d’abus de pouvoir (art. 312</w:t>
      </w:r>
      <w:r w:rsidR="00791966">
        <w:t>,</w:t>
      </w:r>
      <w:r w:rsidRPr="00F42509">
        <w:t xml:space="preserve"> CP). Cependant, elle renseigne uniquement sur la question de savoir si un acte a été perpétré dans l’exercice de la fonction (oui/non) et ne répartit pas les événements par profession. L’abus de pouvoir commis par des policiers y est donc </w:t>
      </w:r>
      <w:r w:rsidR="00791966">
        <w:t>signalé</w:t>
      </w:r>
      <w:r w:rsidR="00791966" w:rsidRPr="00F42509">
        <w:t xml:space="preserve"> </w:t>
      </w:r>
      <w:r w:rsidRPr="00F42509">
        <w:t xml:space="preserve">dans le cadre plus large de l’abus de pouvoir commis par </w:t>
      </w:r>
      <w:r w:rsidR="00791966">
        <w:t>l’ensemble d</w:t>
      </w:r>
      <w:r w:rsidRPr="00F42509">
        <w:t xml:space="preserve">es fonctionnaires étatiques. </w:t>
      </w:r>
      <w:r w:rsidRPr="00F42509">
        <w:rPr>
          <w:i/>
        </w:rPr>
        <w:t>Quid autres infractions pertinentes ?</w:t>
      </w:r>
    </w:p>
    <w:p w:rsidR="00F42509" w:rsidRPr="00F42509" w:rsidRDefault="00DF5766" w:rsidP="00DF5766">
      <w:pPr>
        <w:pStyle w:val="H23G"/>
      </w:pPr>
      <w:r>
        <w:tab/>
      </w:r>
      <w:r>
        <w:tab/>
      </w:r>
      <w:r w:rsidR="00791966">
        <w:t xml:space="preserve">Paragraphe </w:t>
      </w:r>
      <w:r w:rsidR="00F42509" w:rsidRPr="00F42509">
        <w:t xml:space="preserve">10 des observations finales, question </w:t>
      </w:r>
      <w:r w:rsidR="00F42509" w:rsidRPr="00647CB8">
        <w:rPr>
          <w:i/>
        </w:rPr>
        <w:t>a</w:t>
      </w:r>
      <w:r w:rsidR="006A0369">
        <w:t>:</w:t>
      </w:r>
    </w:p>
    <w:p w:rsidR="00F42509" w:rsidRPr="00F42509" w:rsidRDefault="00F42509" w:rsidP="00DF5766">
      <w:pPr>
        <w:pStyle w:val="SingleTxtG"/>
        <w:ind w:firstLine="567"/>
      </w:pPr>
      <w:r w:rsidRPr="00F42509">
        <w:t xml:space="preserve">Par rapport à la question </w:t>
      </w:r>
      <w:r w:rsidRPr="00647CB8">
        <w:rPr>
          <w:i/>
        </w:rPr>
        <w:t>a</w:t>
      </w:r>
      <w:r w:rsidRPr="00F42509">
        <w:t xml:space="preserve"> concernant le</w:t>
      </w:r>
      <w:r w:rsidR="00AA5A90">
        <w:t xml:space="preserve"> paragraphe</w:t>
      </w:r>
      <w:r w:rsidRPr="00F42509">
        <w:t xml:space="preserve"> 10 des observations finales du Comité, nous vous rappelons </w:t>
      </w:r>
      <w:r w:rsidR="00C1655B">
        <w:t>la décision du</w:t>
      </w:r>
      <w:r w:rsidRPr="00F42509">
        <w:t xml:space="preserve"> Conseil fédéral, le 1</w:t>
      </w:r>
      <w:r w:rsidRPr="00F42509">
        <w:rPr>
          <w:vertAlign w:val="superscript"/>
        </w:rPr>
        <w:t>er</w:t>
      </w:r>
      <w:r w:rsidRPr="00F42509">
        <w:t xml:space="preserve"> juillet 2009, </w:t>
      </w:r>
      <w:r w:rsidR="00AA5A90">
        <w:t xml:space="preserve">de </w:t>
      </w:r>
      <w:r w:rsidRPr="00F42509">
        <w:t>cré</w:t>
      </w:r>
      <w:r w:rsidR="00C1655B">
        <w:t xml:space="preserve">er </w:t>
      </w:r>
      <w:r w:rsidRPr="00F42509">
        <w:t>un Centre de compétence pour les droits de l’homme</w:t>
      </w:r>
      <w:r w:rsidR="00C1655B">
        <w:t>,</w:t>
      </w:r>
      <w:r w:rsidRPr="00F42509">
        <w:t xml:space="preserve"> </w:t>
      </w:r>
      <w:r w:rsidR="009374A3">
        <w:t>qui fonctionnera pendant</w:t>
      </w:r>
      <w:r w:rsidR="006A0369">
        <w:t xml:space="preserve"> </w:t>
      </w:r>
      <w:r w:rsidRPr="009374A3">
        <w:t>une phase pilote de cinq ans</w:t>
      </w:r>
      <w:r w:rsidR="00C1655B">
        <w:t>,</w:t>
      </w:r>
      <w:r w:rsidRPr="009374A3">
        <w:t xml:space="preserve"> auprès d’une ou de plusieurs universités suisses. Suite à une procédure d’appel d’offres, un projet des universités de Berne, Fribourg, Neuchâtel et Zurich </w:t>
      </w:r>
      <w:r w:rsidR="009374A3">
        <w:t>a été</w:t>
      </w:r>
      <w:r w:rsidR="009374A3" w:rsidRPr="009374A3">
        <w:t xml:space="preserve"> choisi </w:t>
      </w:r>
      <w:r w:rsidR="009374A3">
        <w:t>auquel</w:t>
      </w:r>
      <w:r w:rsidR="009374A3" w:rsidRPr="009374A3">
        <w:t xml:space="preserve"> </w:t>
      </w:r>
      <w:r w:rsidRPr="009374A3">
        <w:t>collabor</w:t>
      </w:r>
      <w:r w:rsidR="009374A3">
        <w:t xml:space="preserve">ent </w:t>
      </w:r>
      <w:r w:rsidRPr="009374A3">
        <w:t xml:space="preserve">l’Institut universitaire Kurt Bösch, la Haute école pédagogique de Suisse centrale et l’association Humanrights.ch. Cette décision </w:t>
      </w:r>
      <w:r w:rsidR="009374A3">
        <w:t>a été</w:t>
      </w:r>
      <w:r w:rsidR="006A0369">
        <w:t xml:space="preserve"> </w:t>
      </w:r>
      <w:r w:rsidR="00647CB8">
        <w:t>rendue publique</w:t>
      </w:r>
      <w:r w:rsidR="00647CB8" w:rsidRPr="009374A3">
        <w:t xml:space="preserve"> </w:t>
      </w:r>
      <w:r w:rsidRPr="009374A3">
        <w:t xml:space="preserve">le 3 septembre 2010. Le Centre </w:t>
      </w:r>
      <w:r w:rsidR="009374A3">
        <w:t>a été</w:t>
      </w:r>
      <w:r w:rsidR="009374A3" w:rsidRPr="009374A3">
        <w:t xml:space="preserve"> </w:t>
      </w:r>
      <w:r w:rsidRPr="009374A3">
        <w:t>inauguré publiquement le 6 mai 2011.</w:t>
      </w:r>
    </w:p>
    <w:p w:rsidR="00F42509" w:rsidRPr="00F42509" w:rsidRDefault="00F42509" w:rsidP="00DF5766">
      <w:pPr>
        <w:pStyle w:val="SingleTxtG"/>
        <w:ind w:firstLine="567"/>
      </w:pPr>
      <w:r w:rsidRPr="00F42509">
        <w:t xml:space="preserve">Le Centre </w:t>
      </w:r>
      <w:r w:rsidR="00896185">
        <w:t>s’articule autour de</w:t>
      </w:r>
      <w:r w:rsidRPr="00F42509">
        <w:t xml:space="preserve"> six domaines thématiques</w:t>
      </w:r>
      <w:r w:rsidR="006A0369">
        <w:t>:</w:t>
      </w:r>
      <w:r w:rsidRPr="00F42509">
        <w:t xml:space="preserve"> police et justice, migration, politique genre, politique de l’enfance et de la jeunesse, droits humains et économie</w:t>
      </w:r>
      <w:r w:rsidR="00896185">
        <w:t>,</w:t>
      </w:r>
      <w:r w:rsidRPr="00F42509">
        <w:t xml:space="preserve"> et questions institutionnelles. Cha</w:t>
      </w:r>
      <w:r w:rsidR="00896185">
        <w:t xml:space="preserve">cune des </w:t>
      </w:r>
      <w:r w:rsidRPr="00F42509">
        <w:t>institution</w:t>
      </w:r>
      <w:r w:rsidR="00896185">
        <w:t>s</w:t>
      </w:r>
      <w:r w:rsidRPr="00F42509">
        <w:t xml:space="preserve"> constituant le Centre est responsable d’un domaine thématique. </w:t>
      </w:r>
    </w:p>
    <w:p w:rsidR="00F42509" w:rsidRPr="00F42509" w:rsidRDefault="00F42509" w:rsidP="00DF5766">
      <w:pPr>
        <w:pStyle w:val="SingleTxtG"/>
        <w:ind w:firstLine="567"/>
      </w:pPr>
      <w:r w:rsidRPr="00F42509">
        <w:t>L</w:t>
      </w:r>
      <w:r w:rsidR="00896185">
        <w:t xml:space="preserve">e </w:t>
      </w:r>
      <w:r w:rsidRPr="00F42509">
        <w:t xml:space="preserve">Centre </w:t>
      </w:r>
      <w:r w:rsidR="00896185">
        <w:t xml:space="preserve">a pour objectif </w:t>
      </w:r>
      <w:r w:rsidRPr="00F42509">
        <w:t xml:space="preserve">de renforcer les capacités des différents acteurs </w:t>
      </w:r>
      <w:r w:rsidR="00583B90">
        <w:t xml:space="preserve">à mettre </w:t>
      </w:r>
      <w:r w:rsidRPr="00F42509">
        <w:t xml:space="preserve">en œuvre </w:t>
      </w:r>
      <w:r w:rsidR="00583B90">
        <w:t>l</w:t>
      </w:r>
      <w:r w:rsidRPr="00F42509">
        <w:t xml:space="preserve">es droits de l’homme en Suisse. </w:t>
      </w:r>
      <w:r w:rsidR="001A699A">
        <w:t xml:space="preserve">En outre, </w:t>
      </w:r>
      <w:r w:rsidR="00AE308C">
        <w:t xml:space="preserve">il </w:t>
      </w:r>
      <w:r w:rsidR="00AE308C" w:rsidRPr="00F42509">
        <w:t>aide</w:t>
      </w:r>
      <w:r w:rsidR="00AE308C" w:rsidRPr="00AE308C">
        <w:t xml:space="preserve"> </w:t>
      </w:r>
      <w:r w:rsidRPr="00F42509">
        <w:t xml:space="preserve">les autorités à identifier </w:t>
      </w:r>
      <w:r w:rsidR="00583B90">
        <w:t>l</w:t>
      </w:r>
      <w:r w:rsidRPr="00F42509">
        <w:t>es lacunes dans la mise en œuvre des droits de l’homme</w:t>
      </w:r>
      <w:r w:rsidR="00583B90">
        <w:t>,</w:t>
      </w:r>
      <w:r w:rsidRPr="00F42509">
        <w:t xml:space="preserve"> et formule des propositions concrètes pour remédier</w:t>
      </w:r>
      <w:r w:rsidR="00583B90">
        <w:t xml:space="preserve"> à celles-ci</w:t>
      </w:r>
      <w:r w:rsidRPr="00F42509">
        <w:t>. Il produi</w:t>
      </w:r>
      <w:r w:rsidR="00AE308C">
        <w:t>t</w:t>
      </w:r>
      <w:r w:rsidR="00583B90">
        <w:t>,</w:t>
      </w:r>
      <w:r w:rsidRPr="00F42509">
        <w:t xml:space="preserve"> ou</w:t>
      </w:r>
      <w:r w:rsidR="00583B90">
        <w:t xml:space="preserve"> assure la</w:t>
      </w:r>
      <w:r w:rsidRPr="00F42509">
        <w:t xml:space="preserve"> coord</w:t>
      </w:r>
      <w:r w:rsidR="00583B90">
        <w:t>ination,</w:t>
      </w:r>
      <w:r w:rsidRPr="00F42509">
        <w:t xml:space="preserve"> des rapports, colloques, informations et formations pratiques</w:t>
      </w:r>
      <w:r w:rsidR="0091356E">
        <w:t>,</w:t>
      </w:r>
      <w:r w:rsidRPr="00F42509">
        <w:t xml:space="preserve"> </w:t>
      </w:r>
      <w:r w:rsidR="0091356E">
        <w:t>de même qu’il</w:t>
      </w:r>
      <w:r w:rsidR="0091356E" w:rsidRPr="00F42509">
        <w:t xml:space="preserve"> </w:t>
      </w:r>
      <w:r w:rsidRPr="00F42509">
        <w:t xml:space="preserve">traite </w:t>
      </w:r>
      <w:r w:rsidR="00AE308C">
        <w:t>l</w:t>
      </w:r>
      <w:r w:rsidRPr="00F42509">
        <w:t>es demandes émanant d</w:t>
      </w:r>
      <w:r w:rsidR="00AE308C">
        <w:t>es organismes</w:t>
      </w:r>
      <w:r w:rsidRPr="00F42509">
        <w:t xml:space="preserve"> publiques, du secteur privé et de la société civile. Il ne s’occupe pas de cas individuels. </w:t>
      </w:r>
    </w:p>
    <w:p w:rsidR="00F42509" w:rsidRPr="00F42509" w:rsidRDefault="00F42509" w:rsidP="00DF5766">
      <w:pPr>
        <w:pStyle w:val="SingleTxtG"/>
        <w:ind w:firstLine="567"/>
      </w:pPr>
      <w:r w:rsidRPr="00F42509">
        <w:t xml:space="preserve">Il bénéficie d’un financement </w:t>
      </w:r>
      <w:r w:rsidR="00AE308C">
        <w:t xml:space="preserve">annuel </w:t>
      </w:r>
      <w:r w:rsidRPr="00F42509">
        <w:t xml:space="preserve">de base </w:t>
      </w:r>
      <w:r w:rsidR="00C85BD9" w:rsidRPr="00F42509">
        <w:t>d’un million de francs</w:t>
      </w:r>
      <w:r w:rsidR="00C85BD9">
        <w:t>,</w:t>
      </w:r>
      <w:r w:rsidR="00C85BD9" w:rsidRPr="00F42509">
        <w:t xml:space="preserve"> </w:t>
      </w:r>
      <w:r w:rsidRPr="00F42509">
        <w:t>alloué par le Département fédéral des affaires étrangères et le Département fédéral de justice et police, de</w:t>
      </w:r>
      <w:r w:rsidR="00C85BD9">
        <w:t>s</w:t>
      </w:r>
      <w:r w:rsidRPr="00F42509">
        <w:t xml:space="preserve"> moyens accordés par les universités partenaires et de moyens supplémentaires </w:t>
      </w:r>
      <w:r w:rsidR="00C85BD9">
        <w:t xml:space="preserve">provenant de la </w:t>
      </w:r>
      <w:r w:rsidRPr="00F42509">
        <w:t xml:space="preserve">rétribution des mandats qu’il effectue. </w:t>
      </w:r>
    </w:p>
    <w:p w:rsidR="00F42509" w:rsidRPr="00F42509" w:rsidRDefault="004E1221" w:rsidP="00DF5766">
      <w:pPr>
        <w:pStyle w:val="SingleTxtG"/>
        <w:ind w:firstLine="567"/>
      </w:pPr>
      <w:r w:rsidRPr="00647CB8">
        <w:t xml:space="preserve">Dans </w:t>
      </w:r>
      <w:r w:rsidR="00F42509" w:rsidRPr="001D4368">
        <w:t>quatre ans</w:t>
      </w:r>
      <w:r w:rsidR="00F42509" w:rsidRPr="00F42509">
        <w:t xml:space="preserve">, les activités du Centre seront évaluées, puis le Conseil fédéral décidera de la suite à donner à ce projet pilote. </w:t>
      </w:r>
    </w:p>
    <w:p w:rsidR="00F42509" w:rsidRPr="00F42509" w:rsidRDefault="00DF5766" w:rsidP="00DF5766">
      <w:pPr>
        <w:pStyle w:val="H23G"/>
      </w:pPr>
      <w:r>
        <w:tab/>
      </w:r>
      <w:r>
        <w:tab/>
      </w:r>
      <w:r w:rsidR="00FD2A6C">
        <w:t xml:space="preserve">Paragraphe </w:t>
      </w:r>
      <w:r w:rsidR="00F42509" w:rsidRPr="00F42509">
        <w:t xml:space="preserve">10 des observations finales, questions </w:t>
      </w:r>
      <w:r w:rsidR="00F42509" w:rsidRPr="00647CB8">
        <w:rPr>
          <w:i/>
        </w:rPr>
        <w:t>b</w:t>
      </w:r>
      <w:r w:rsidR="00F42509" w:rsidRPr="00F42509">
        <w:t xml:space="preserve"> et </w:t>
      </w:r>
      <w:r w:rsidR="00F42509" w:rsidRPr="00647CB8">
        <w:rPr>
          <w:i/>
        </w:rPr>
        <w:t>c</w:t>
      </w:r>
      <w:r w:rsidR="006A0369">
        <w:t>:</w:t>
      </w:r>
    </w:p>
    <w:p w:rsidR="00995530" w:rsidRDefault="0055468A" w:rsidP="00DF5766">
      <w:pPr>
        <w:pStyle w:val="SingleTxtG"/>
        <w:ind w:firstLine="567"/>
      </w:pPr>
      <w:r>
        <w:t>L</w:t>
      </w:r>
      <w:r w:rsidR="00F42509" w:rsidRPr="00F42509">
        <w:t xml:space="preserve">es questions </w:t>
      </w:r>
      <w:r w:rsidR="00F42509" w:rsidRPr="00647CB8">
        <w:rPr>
          <w:i/>
        </w:rPr>
        <w:t>b</w:t>
      </w:r>
      <w:r w:rsidR="00F42509" w:rsidRPr="00F42509">
        <w:t xml:space="preserve"> et </w:t>
      </w:r>
      <w:r w:rsidR="00F42509" w:rsidRPr="00647CB8">
        <w:rPr>
          <w:i/>
        </w:rPr>
        <w:t>c</w:t>
      </w:r>
      <w:r w:rsidR="00F42509" w:rsidRPr="00F42509">
        <w:t xml:space="preserve"> se rapportant au</w:t>
      </w:r>
      <w:r>
        <w:t xml:space="preserve"> paragraphe </w:t>
      </w:r>
      <w:r w:rsidR="00F42509" w:rsidRPr="00F42509">
        <w:t>10 des observations finales du Comité</w:t>
      </w:r>
      <w:r>
        <w:t xml:space="preserve"> sont </w:t>
      </w:r>
      <w:r w:rsidR="00F42509" w:rsidRPr="00F42509">
        <w:t>de</w:t>
      </w:r>
      <w:r>
        <w:t>s</w:t>
      </w:r>
      <w:r w:rsidR="00F42509" w:rsidRPr="00F42509">
        <w:t xml:space="preserve"> questions </w:t>
      </w:r>
      <w:r w:rsidR="00F42509" w:rsidRPr="004E1221">
        <w:t>nouvelles</w:t>
      </w:r>
      <w:r w:rsidR="00F42509" w:rsidRPr="00F42509">
        <w:t xml:space="preserve">, </w:t>
      </w:r>
      <w:r w:rsidR="00F42509" w:rsidRPr="001068B2">
        <w:t>qui n’ont pas été soulevées par</w:t>
      </w:r>
      <w:r w:rsidR="00F42509" w:rsidRPr="00F42509">
        <w:t xml:space="preserve"> le Comité dans le cadre de l’examen du troisième rapport périodique de la Suisse. Par rapport à la question </w:t>
      </w:r>
      <w:r w:rsidR="00F42509" w:rsidRPr="00647CB8">
        <w:rPr>
          <w:i/>
        </w:rPr>
        <w:t>c</w:t>
      </w:r>
      <w:r w:rsidR="00F42509" w:rsidRPr="00F42509">
        <w:t>, nous vous rappelons également que la Suisse a formulé une réserve à l’article 26 du Pacte, selon laquelle «L’égalité de toutes les personnes devant la loi et leur droit à une égale protection de la loi sans discrimination ne seront garantis qu’en liaison avec d’autres droits contenus dans le présent Pacte». Dans la mesure où cette réserve ne trouve pas à s’appliquer, nous tiendrons dûment compte des questions mentionnées lors de la préparation du quatrième rapport périodique de la Suisse.</w:t>
      </w:r>
    </w:p>
    <w:p w:rsidR="00F42509" w:rsidRPr="00647CB8" w:rsidRDefault="00F42509" w:rsidP="00DF5766">
      <w:pPr>
        <w:spacing w:before="240"/>
        <w:ind w:left="1134" w:right="1134"/>
        <w:jc w:val="center"/>
        <w:rPr>
          <w:sz w:val="24"/>
          <w:szCs w:val="24"/>
          <w:u w:val="single"/>
          <w:lang w:val="fr-FR"/>
        </w:rPr>
      </w:pPr>
      <w:r w:rsidRPr="00F42509">
        <w:t xml:space="preserve"> </w:t>
      </w:r>
      <w:r w:rsidR="00DF5766" w:rsidRPr="00647CB8">
        <w:rPr>
          <w:sz w:val="24"/>
          <w:szCs w:val="24"/>
          <w:u w:val="single"/>
          <w:lang w:val="fr-FR"/>
        </w:rPr>
        <w:tab/>
      </w:r>
      <w:r w:rsidR="00DF5766" w:rsidRPr="00647CB8">
        <w:rPr>
          <w:sz w:val="24"/>
          <w:szCs w:val="24"/>
          <w:u w:val="single"/>
          <w:lang w:val="fr-FR"/>
        </w:rPr>
        <w:tab/>
      </w:r>
      <w:r w:rsidR="00DF5766" w:rsidRPr="00647CB8">
        <w:rPr>
          <w:sz w:val="24"/>
          <w:szCs w:val="24"/>
          <w:u w:val="single"/>
          <w:lang w:val="fr-FR"/>
        </w:rPr>
        <w:tab/>
      </w:r>
    </w:p>
    <w:sectPr w:rsidR="00F42509" w:rsidRPr="00647CB8" w:rsidSect="00B238B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A3" w:rsidRDefault="004308A3"/>
  </w:endnote>
  <w:endnote w:type="continuationSeparator" w:id="0">
    <w:p w:rsidR="004308A3" w:rsidRDefault="004308A3"/>
  </w:endnote>
  <w:endnote w:type="continuationNotice" w:id="1">
    <w:p w:rsidR="004308A3" w:rsidRDefault="004308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A" w:rsidRPr="00B238BA" w:rsidRDefault="00B238BA" w:rsidP="00B238BA">
    <w:pPr>
      <w:pStyle w:val="Footer"/>
      <w:tabs>
        <w:tab w:val="right" w:pos="9638"/>
      </w:tabs>
    </w:pPr>
    <w:r w:rsidRPr="00B238BA">
      <w:rPr>
        <w:b/>
        <w:sz w:val="18"/>
      </w:rPr>
      <w:fldChar w:fldCharType="begin"/>
    </w:r>
    <w:r w:rsidRPr="00B238BA">
      <w:rPr>
        <w:b/>
        <w:sz w:val="18"/>
      </w:rPr>
      <w:instrText xml:space="preserve"> PAGE  \* MERGEFORMAT </w:instrText>
    </w:r>
    <w:r w:rsidRPr="00B238BA">
      <w:rPr>
        <w:b/>
        <w:sz w:val="18"/>
      </w:rPr>
      <w:fldChar w:fldCharType="separate"/>
    </w:r>
    <w:r w:rsidR="00EB1078">
      <w:rPr>
        <w:b/>
        <w:noProof/>
        <w:sz w:val="18"/>
      </w:rPr>
      <w:t>2</w:t>
    </w:r>
    <w:r w:rsidRPr="00B238B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A" w:rsidRPr="00B238BA" w:rsidRDefault="00B238BA" w:rsidP="00B238BA">
    <w:pPr>
      <w:pStyle w:val="Footer"/>
      <w:tabs>
        <w:tab w:val="right" w:pos="9638"/>
      </w:tabs>
      <w:rPr>
        <w:b/>
        <w:sz w:val="18"/>
      </w:rPr>
    </w:pPr>
    <w:r>
      <w:tab/>
    </w:r>
    <w:r w:rsidRPr="00B238BA">
      <w:rPr>
        <w:b/>
        <w:sz w:val="18"/>
      </w:rPr>
      <w:fldChar w:fldCharType="begin"/>
    </w:r>
    <w:r w:rsidRPr="00B238BA">
      <w:rPr>
        <w:b/>
        <w:sz w:val="18"/>
      </w:rPr>
      <w:instrText xml:space="preserve"> PAGE  \* MERGEFORMAT </w:instrText>
    </w:r>
    <w:r w:rsidRPr="00B238BA">
      <w:rPr>
        <w:b/>
        <w:sz w:val="18"/>
      </w:rPr>
      <w:fldChar w:fldCharType="separate"/>
    </w:r>
    <w:r w:rsidR="00EB1078">
      <w:rPr>
        <w:b/>
        <w:noProof/>
        <w:sz w:val="18"/>
      </w:rPr>
      <w:t>3</w:t>
    </w:r>
    <w:r w:rsidRPr="00B238B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2E" w:rsidRPr="00B238BA" w:rsidRDefault="001B102E">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sidR="00B238BA">
      <w:rPr>
        <w:sz w:val="20"/>
      </w:rPr>
      <w:t>GE.</w:t>
    </w:r>
    <w:r w:rsidR="00CB5A66">
      <w:rPr>
        <w:sz w:val="20"/>
      </w:rPr>
      <w:t>11-</w:t>
    </w:r>
    <w:r w:rsidR="00EB1078">
      <w:rPr>
        <w:sz w:val="20"/>
      </w:rPr>
      <w:t>44574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A3" w:rsidRPr="00D27D5E" w:rsidRDefault="004308A3" w:rsidP="00D27D5E">
      <w:pPr>
        <w:tabs>
          <w:tab w:val="right" w:pos="2155"/>
        </w:tabs>
        <w:spacing w:after="80"/>
        <w:ind w:left="680"/>
        <w:rPr>
          <w:u w:val="single"/>
        </w:rPr>
      </w:pPr>
      <w:r>
        <w:rPr>
          <w:u w:val="single"/>
        </w:rPr>
        <w:tab/>
      </w:r>
    </w:p>
  </w:footnote>
  <w:footnote w:type="continuationSeparator" w:id="0">
    <w:p w:rsidR="004308A3" w:rsidRPr="00091505" w:rsidRDefault="004308A3" w:rsidP="00091505">
      <w:pPr>
        <w:tabs>
          <w:tab w:val="right" w:pos="2155"/>
        </w:tabs>
        <w:spacing w:after="80"/>
        <w:ind w:left="680"/>
        <w:rPr>
          <w:u w:val="single"/>
        </w:rPr>
      </w:pPr>
      <w:r w:rsidRPr="00091505">
        <w:rPr>
          <w:u w:val="single"/>
        </w:rPr>
        <w:tab/>
      </w:r>
    </w:p>
  </w:footnote>
  <w:footnote w:type="continuationNotice" w:id="1">
    <w:p w:rsidR="004308A3" w:rsidRDefault="004308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A" w:rsidRPr="00647CB8" w:rsidRDefault="000906D6">
    <w:pPr>
      <w:pStyle w:val="Header"/>
      <w:rPr>
        <w:lang w:val="en-US"/>
      </w:rPr>
    </w:pPr>
    <w:r w:rsidRPr="00647CB8">
      <w:rPr>
        <w:lang w:val="en-US"/>
      </w:rPr>
      <w:t>CCPR/C/CHE/CO/3/Add.2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A" w:rsidRPr="00647CB8" w:rsidRDefault="00B238BA" w:rsidP="00B238BA">
    <w:pPr>
      <w:pStyle w:val="Header"/>
      <w:jc w:val="right"/>
      <w:rPr>
        <w:lang w:val="en-US"/>
      </w:rPr>
    </w:pPr>
    <w:r w:rsidRPr="00647CB8">
      <w:rPr>
        <w:lang w:val="en-US"/>
      </w:rPr>
      <w:t>CCPR/C/CHE/CO/3/Add.</w:t>
    </w:r>
    <w:r w:rsidR="000906D6" w:rsidRPr="00647CB8">
      <w:rPr>
        <w:lang w:val="en-U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8BA"/>
    <w:rsid w:val="000135CD"/>
    <w:rsid w:val="00016487"/>
    <w:rsid w:val="00016AC5"/>
    <w:rsid w:val="00024B3B"/>
    <w:rsid w:val="00044BEC"/>
    <w:rsid w:val="00065E75"/>
    <w:rsid w:val="00086377"/>
    <w:rsid w:val="000906D6"/>
    <w:rsid w:val="00091505"/>
    <w:rsid w:val="000A147A"/>
    <w:rsid w:val="000E4E7C"/>
    <w:rsid w:val="000F41F2"/>
    <w:rsid w:val="001068B2"/>
    <w:rsid w:val="00126317"/>
    <w:rsid w:val="00160540"/>
    <w:rsid w:val="001858A5"/>
    <w:rsid w:val="00192EEB"/>
    <w:rsid w:val="001A20FB"/>
    <w:rsid w:val="001A699A"/>
    <w:rsid w:val="001B102E"/>
    <w:rsid w:val="001C3080"/>
    <w:rsid w:val="001D4368"/>
    <w:rsid w:val="001D7F8A"/>
    <w:rsid w:val="001E14F6"/>
    <w:rsid w:val="001E3FEB"/>
    <w:rsid w:val="001E4324"/>
    <w:rsid w:val="001E4A02"/>
    <w:rsid w:val="001F087A"/>
    <w:rsid w:val="001F25C4"/>
    <w:rsid w:val="00225A8C"/>
    <w:rsid w:val="002659F1"/>
    <w:rsid w:val="00267B7C"/>
    <w:rsid w:val="00287E79"/>
    <w:rsid w:val="002928F9"/>
    <w:rsid w:val="002948B8"/>
    <w:rsid w:val="002A5D07"/>
    <w:rsid w:val="002E0222"/>
    <w:rsid w:val="002E1A7F"/>
    <w:rsid w:val="002F54FD"/>
    <w:rsid w:val="003016B7"/>
    <w:rsid w:val="00304C36"/>
    <w:rsid w:val="003515AA"/>
    <w:rsid w:val="0035573F"/>
    <w:rsid w:val="00361BCD"/>
    <w:rsid w:val="00366F5B"/>
    <w:rsid w:val="00374106"/>
    <w:rsid w:val="003976D5"/>
    <w:rsid w:val="003B7535"/>
    <w:rsid w:val="003D6C68"/>
    <w:rsid w:val="00413543"/>
    <w:rsid w:val="00413931"/>
    <w:rsid w:val="004159D0"/>
    <w:rsid w:val="004308A3"/>
    <w:rsid w:val="00464EEE"/>
    <w:rsid w:val="004E1221"/>
    <w:rsid w:val="00502304"/>
    <w:rsid w:val="00543D5E"/>
    <w:rsid w:val="0055468A"/>
    <w:rsid w:val="00570E40"/>
    <w:rsid w:val="00571F41"/>
    <w:rsid w:val="00583B90"/>
    <w:rsid w:val="005B35F4"/>
    <w:rsid w:val="005E5D1F"/>
    <w:rsid w:val="00611D43"/>
    <w:rsid w:val="00612D48"/>
    <w:rsid w:val="00616B45"/>
    <w:rsid w:val="00630D9B"/>
    <w:rsid w:val="00631953"/>
    <w:rsid w:val="006439EC"/>
    <w:rsid w:val="00647CB8"/>
    <w:rsid w:val="006A0369"/>
    <w:rsid w:val="006B4590"/>
    <w:rsid w:val="006C340C"/>
    <w:rsid w:val="0070347C"/>
    <w:rsid w:val="0071451B"/>
    <w:rsid w:val="007176C1"/>
    <w:rsid w:val="00725DC9"/>
    <w:rsid w:val="00737DEE"/>
    <w:rsid w:val="00746E54"/>
    <w:rsid w:val="007578EB"/>
    <w:rsid w:val="00775D99"/>
    <w:rsid w:val="00791966"/>
    <w:rsid w:val="00796940"/>
    <w:rsid w:val="007A5FC1"/>
    <w:rsid w:val="007C7846"/>
    <w:rsid w:val="007F55CB"/>
    <w:rsid w:val="00844750"/>
    <w:rsid w:val="00873B3C"/>
    <w:rsid w:val="00892241"/>
    <w:rsid w:val="00896185"/>
    <w:rsid w:val="008973BB"/>
    <w:rsid w:val="008A39ED"/>
    <w:rsid w:val="008B44C4"/>
    <w:rsid w:val="008E7FAE"/>
    <w:rsid w:val="008F53ED"/>
    <w:rsid w:val="00911BF7"/>
    <w:rsid w:val="0091356E"/>
    <w:rsid w:val="00936B21"/>
    <w:rsid w:val="009374A3"/>
    <w:rsid w:val="00943FFD"/>
    <w:rsid w:val="00977EC8"/>
    <w:rsid w:val="00993DE6"/>
    <w:rsid w:val="00995530"/>
    <w:rsid w:val="009D3A8C"/>
    <w:rsid w:val="009E7956"/>
    <w:rsid w:val="00A228B4"/>
    <w:rsid w:val="00A2492E"/>
    <w:rsid w:val="00A6519F"/>
    <w:rsid w:val="00A720C2"/>
    <w:rsid w:val="00AA3390"/>
    <w:rsid w:val="00AA5A90"/>
    <w:rsid w:val="00AB51C8"/>
    <w:rsid w:val="00AC67A1"/>
    <w:rsid w:val="00AC7977"/>
    <w:rsid w:val="00AE308C"/>
    <w:rsid w:val="00AE352C"/>
    <w:rsid w:val="00AF1CE8"/>
    <w:rsid w:val="00B238BA"/>
    <w:rsid w:val="00B32E2D"/>
    <w:rsid w:val="00B40B4B"/>
    <w:rsid w:val="00B61990"/>
    <w:rsid w:val="00B73E32"/>
    <w:rsid w:val="00B875CC"/>
    <w:rsid w:val="00B93051"/>
    <w:rsid w:val="00BC4AA5"/>
    <w:rsid w:val="00BF0556"/>
    <w:rsid w:val="00C1655B"/>
    <w:rsid w:val="00C261F8"/>
    <w:rsid w:val="00C32B26"/>
    <w:rsid w:val="00C33100"/>
    <w:rsid w:val="00C4083C"/>
    <w:rsid w:val="00C50989"/>
    <w:rsid w:val="00C6548B"/>
    <w:rsid w:val="00C74640"/>
    <w:rsid w:val="00C85BD9"/>
    <w:rsid w:val="00CA6A02"/>
    <w:rsid w:val="00CB5A09"/>
    <w:rsid w:val="00CB5A66"/>
    <w:rsid w:val="00CC3B6A"/>
    <w:rsid w:val="00CD1A71"/>
    <w:rsid w:val="00CD1FBB"/>
    <w:rsid w:val="00CE2CAF"/>
    <w:rsid w:val="00CE64C7"/>
    <w:rsid w:val="00CF30D1"/>
    <w:rsid w:val="00CF5128"/>
    <w:rsid w:val="00CF69E3"/>
    <w:rsid w:val="00D016B5"/>
    <w:rsid w:val="00D034F1"/>
    <w:rsid w:val="00D27D5E"/>
    <w:rsid w:val="00D35B2D"/>
    <w:rsid w:val="00DA6F02"/>
    <w:rsid w:val="00DE6D90"/>
    <w:rsid w:val="00DF002F"/>
    <w:rsid w:val="00DF3BF1"/>
    <w:rsid w:val="00DF5766"/>
    <w:rsid w:val="00E0244D"/>
    <w:rsid w:val="00E144C5"/>
    <w:rsid w:val="00E368FF"/>
    <w:rsid w:val="00E81E94"/>
    <w:rsid w:val="00E82607"/>
    <w:rsid w:val="00E928CF"/>
    <w:rsid w:val="00EB1078"/>
    <w:rsid w:val="00ED2098"/>
    <w:rsid w:val="00F33865"/>
    <w:rsid w:val="00F42509"/>
    <w:rsid w:val="00FA5A79"/>
    <w:rsid w:val="00FB0BFE"/>
    <w:rsid w:val="00FB4C51"/>
    <w:rsid w:val="00FD2A6C"/>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paragraph" w:customStyle="1" w:styleId="Default">
    <w:name w:val="Default"/>
    <w:rsid w:val="00B238BA"/>
    <w:pPr>
      <w:autoSpaceDE w:val="0"/>
      <w:autoSpaceDN w:val="0"/>
      <w:adjustRightInd w:val="0"/>
    </w:pPr>
    <w:rPr>
      <w:rFonts w:ascii="Arial" w:hAnsi="Arial" w:cs="Arial"/>
      <w:color w:val="000000"/>
      <w:sz w:val="24"/>
      <w:szCs w:val="24"/>
      <w:lang w:val="de-CH" w:eastAsia="de-CH"/>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0906D6"/>
    <w:rPr>
      <w:lang w:val="fr-CH" w:eastAsia="en-US" w:bidi="ar-SA"/>
    </w:rPr>
  </w:style>
  <w:style w:type="paragraph" w:styleId="BalloonText">
    <w:name w:val="Balloon Text"/>
    <w:basedOn w:val="Normal"/>
    <w:semiHidden/>
    <w:rsid w:val="001F087A"/>
    <w:rPr>
      <w:rFonts w:ascii="Tahoma" w:hAnsi="Tahoma" w:cs="Tahoma"/>
      <w:sz w:val="16"/>
      <w:szCs w:val="16"/>
    </w:rPr>
  </w:style>
  <w:style w:type="character" w:styleId="CommentReference">
    <w:name w:val="annotation reference"/>
    <w:semiHidden/>
    <w:rsid w:val="002948B8"/>
    <w:rPr>
      <w:sz w:val="16"/>
      <w:szCs w:val="16"/>
    </w:rPr>
  </w:style>
  <w:style w:type="paragraph" w:styleId="CommentText">
    <w:name w:val="annotation text"/>
    <w:basedOn w:val="Normal"/>
    <w:semiHidden/>
    <w:rsid w:val="002948B8"/>
  </w:style>
  <w:style w:type="paragraph" w:styleId="CommentSubject">
    <w:name w:val="annotation subject"/>
    <w:basedOn w:val="CommentText"/>
    <w:next w:val="CommentText"/>
    <w:semiHidden/>
    <w:rsid w:val="002948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815</Words>
  <Characters>4442</Characters>
  <Application>Microsoft Office Outlook</Application>
  <DocSecurity>4</DocSecurity>
  <Lines>87</Lines>
  <Paragraphs>30</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cp:lastModifiedBy>DCM</cp:lastModifiedBy>
  <cp:revision>2</cp:revision>
  <cp:lastPrinted>2011-08-02T09:41:00Z</cp:lastPrinted>
  <dcterms:created xsi:type="dcterms:W3CDTF">2011-08-04T13:00:00Z</dcterms:created>
  <dcterms:modified xsi:type="dcterms:W3CDTF">2011-08-04T13:00:00Z</dcterms:modified>
</cp:coreProperties>
</file>