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8F1497" w:rsidP="008F1497">
            <w:pPr>
              <w:jc w:val="right"/>
            </w:pPr>
            <w:r w:rsidRPr="008F1497">
              <w:rPr>
                <w:sz w:val="40"/>
              </w:rPr>
              <w:t>CCPR</w:t>
            </w:r>
            <w:r>
              <w:t>/C/CHN-HKG/CO/3/Add.1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F1497" w:rsidRDefault="008F1497" w:rsidP="00464EEE">
            <w:pPr>
              <w:spacing w:before="240"/>
            </w:pPr>
            <w:r>
              <w:t>Distr. générale</w:t>
            </w:r>
          </w:p>
          <w:p w:rsidR="008F1497" w:rsidRDefault="008F1497" w:rsidP="008F1497">
            <w:pPr>
              <w:spacing w:line="240" w:lineRule="exact"/>
            </w:pPr>
            <w:r>
              <w:t>5 mai 2014</w:t>
            </w:r>
          </w:p>
          <w:p w:rsidR="008F1497" w:rsidRDefault="008F1497" w:rsidP="008F1497">
            <w:pPr>
              <w:spacing w:line="240" w:lineRule="exact"/>
            </w:pPr>
            <w:r>
              <w:t>Français</w:t>
            </w:r>
          </w:p>
          <w:p w:rsidR="00AF1CE8" w:rsidRPr="00DB58B5" w:rsidRDefault="008F1497" w:rsidP="008F1497">
            <w:pPr>
              <w:spacing w:line="240" w:lineRule="exact"/>
            </w:pPr>
            <w:r>
              <w:t>Original: chinois et anglais</w:t>
            </w:r>
          </w:p>
        </w:tc>
      </w:tr>
    </w:tbl>
    <w:p w:rsidR="00DF3BF1" w:rsidRDefault="00DF3BF1" w:rsidP="008F1497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172EFA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8F1497" w:rsidRPr="008F1497" w:rsidRDefault="008F1497" w:rsidP="008F1497">
      <w:pPr>
        <w:pStyle w:val="HChG"/>
        <w:rPr>
          <w:lang w:val="fr-FR"/>
        </w:rPr>
      </w:pPr>
      <w:r w:rsidRPr="008F1497">
        <w:rPr>
          <w:lang w:val="fr-FR"/>
        </w:rPr>
        <w:tab/>
      </w:r>
      <w:r w:rsidRPr="008F1497">
        <w:rPr>
          <w:lang w:val="fr-FR"/>
        </w:rPr>
        <w:tab/>
        <w:t>Observations finales concernant le troisième rapport périodique de Hong Kong (Chine)</w:t>
      </w:r>
    </w:p>
    <w:p w:rsidR="008F1497" w:rsidRPr="008F1497" w:rsidRDefault="008F1497" w:rsidP="008F1497">
      <w:pPr>
        <w:pStyle w:val="H23G"/>
        <w:rPr>
          <w:lang w:val="fr-FR"/>
        </w:rPr>
      </w:pPr>
      <w:r w:rsidRPr="008F1497">
        <w:rPr>
          <w:lang w:val="fr-FR"/>
        </w:rPr>
        <w:tab/>
      </w:r>
      <w:r w:rsidRPr="008F1497">
        <w:rPr>
          <w:lang w:val="fr-FR"/>
        </w:rPr>
        <w:tab/>
        <w:t>Additif</w:t>
      </w:r>
    </w:p>
    <w:p w:rsidR="008F1497" w:rsidRPr="008F1497" w:rsidRDefault="008F1497" w:rsidP="008F1497">
      <w:pPr>
        <w:pStyle w:val="H1G"/>
        <w:rPr>
          <w:lang w:val="fr-FR"/>
        </w:rPr>
      </w:pPr>
      <w:r w:rsidRPr="008F1497">
        <w:rPr>
          <w:lang w:val="fr-FR"/>
        </w:rPr>
        <w:tab/>
      </w:r>
      <w:r w:rsidRPr="008F1497">
        <w:rPr>
          <w:lang w:val="fr-FR"/>
        </w:rPr>
        <w:tab/>
        <w:t>Renseignements reçus de Hong Kong (Chine) au sujet de la suite donnée aux observations finales</w:t>
      </w:r>
      <w:r w:rsidRPr="008F149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F1497" w:rsidRPr="008F1497" w:rsidRDefault="008F1497" w:rsidP="008F1497">
      <w:pPr>
        <w:pStyle w:val="SingleTxtG"/>
        <w:jc w:val="right"/>
        <w:rPr>
          <w:lang w:val="fr-FR"/>
        </w:rPr>
      </w:pPr>
      <w:r w:rsidRPr="008F1497">
        <w:rPr>
          <w:lang w:val="fr-FR"/>
        </w:rPr>
        <w:t>[Date de réception: 25 mars 2014]</w:t>
      </w:r>
    </w:p>
    <w:p w:rsidR="008F1497" w:rsidRPr="008F1497" w:rsidRDefault="008F1497" w:rsidP="008F1497">
      <w:pPr>
        <w:pStyle w:val="HChG"/>
        <w:rPr>
          <w:lang w:val="fr-FR"/>
        </w:rPr>
      </w:pPr>
      <w:r w:rsidRPr="008F1497">
        <w:rPr>
          <w:lang w:val="fr-FR"/>
        </w:rPr>
        <w:tab/>
      </w:r>
      <w:r w:rsidRPr="008F1497">
        <w:rPr>
          <w:lang w:val="fr-FR"/>
        </w:rPr>
        <w:tab/>
        <w:t>Introduction</w:t>
      </w:r>
    </w:p>
    <w:p w:rsidR="008F1497" w:rsidRPr="008F1497" w:rsidRDefault="008F1497" w:rsidP="008F1497">
      <w:pPr>
        <w:pStyle w:val="ParNoG"/>
        <w:rPr>
          <w:lang w:val="fr-FR"/>
        </w:rPr>
      </w:pPr>
      <w:r w:rsidRPr="008F1497">
        <w:rPr>
          <w:lang w:val="fr-FR"/>
        </w:rPr>
        <w:t>À l</w:t>
      </w:r>
      <w:r w:rsidR="00172EFA">
        <w:rPr>
          <w:lang w:val="fr-FR"/>
        </w:rPr>
        <w:t>’</w:t>
      </w:r>
      <w:r w:rsidRPr="008F1497">
        <w:rPr>
          <w:lang w:val="fr-FR"/>
        </w:rPr>
        <w:t>issue de l</w:t>
      </w:r>
      <w:r w:rsidR="00172EFA">
        <w:rPr>
          <w:lang w:val="fr-FR"/>
        </w:rPr>
        <w:t>’</w:t>
      </w:r>
      <w:r w:rsidRPr="008F1497">
        <w:rPr>
          <w:lang w:val="fr-FR"/>
        </w:rPr>
        <w:t>examen, les 12 et 13 mars 2013, du troisième rapport périodique de la Région administrative spéciale de Hong Kong (RAS</w:t>
      </w:r>
      <w:r>
        <w:rPr>
          <w:lang w:val="fr-FR"/>
        </w:rPr>
        <w:t xml:space="preserve"> de Hong </w:t>
      </w:r>
      <w:r w:rsidRPr="008F1497">
        <w:rPr>
          <w:lang w:val="fr-FR"/>
        </w:rPr>
        <w:t>Kong), au titre du Pacte international relatif aux droits civils et politiques (le Pacte), le Comité des droits de l</w:t>
      </w:r>
      <w:r w:rsidR="00172EFA">
        <w:rPr>
          <w:lang w:val="fr-FR"/>
        </w:rPr>
        <w:t>’</w:t>
      </w:r>
      <w:r w:rsidRPr="008F1497">
        <w:rPr>
          <w:lang w:val="fr-FR"/>
        </w:rPr>
        <w:t>homme a adopté des observations finales le 26 mars 2013. Au paragraphe 26 de celles-ci, il demande expressément à la RAS</w:t>
      </w:r>
      <w:r>
        <w:rPr>
          <w:lang w:val="fr-FR"/>
        </w:rPr>
        <w:t xml:space="preserve"> de Hong </w:t>
      </w:r>
      <w:r w:rsidRPr="008F1497">
        <w:rPr>
          <w:lang w:val="fr-FR"/>
        </w:rPr>
        <w:t>Kong de «présenter dans un délai d</w:t>
      </w:r>
      <w:r w:rsidR="00172EFA">
        <w:rPr>
          <w:lang w:val="fr-FR"/>
        </w:rPr>
        <w:t>’</w:t>
      </w:r>
      <w:r w:rsidRPr="008F1497">
        <w:rPr>
          <w:lang w:val="fr-FR"/>
        </w:rPr>
        <w:t>un an des renseignements sur la suite qu</w:t>
      </w:r>
      <w:r w:rsidR="00172EFA">
        <w:rPr>
          <w:lang w:val="fr-FR"/>
        </w:rPr>
        <w:t>’</w:t>
      </w:r>
      <w:r w:rsidRPr="008F1497">
        <w:rPr>
          <w:lang w:val="fr-FR"/>
        </w:rPr>
        <w:t>elle aura donnée aux recommandations du Comité figurant aux paragraphes 6, 21 et 22»</w:t>
      </w:r>
      <w:r>
        <w:rPr>
          <w:lang w:val="fr-FR"/>
        </w:rPr>
        <w:t>.</w:t>
      </w:r>
    </w:p>
    <w:p w:rsidR="008F1497" w:rsidRPr="008F1497" w:rsidRDefault="008F1497" w:rsidP="008F1497">
      <w:pPr>
        <w:pStyle w:val="ParNoG"/>
        <w:keepNext/>
        <w:rPr>
          <w:lang w:val="fr-FR"/>
        </w:rPr>
      </w:pPr>
      <w:r w:rsidRPr="008F1497">
        <w:rPr>
          <w:lang w:val="fr-FR"/>
        </w:rPr>
        <w:t>Aux p</w:t>
      </w:r>
      <w:r w:rsidRPr="008F1497">
        <w:rPr>
          <w:rFonts w:hint="eastAsia"/>
          <w:lang w:val="fr-FR"/>
        </w:rPr>
        <w:t>aragraph</w:t>
      </w:r>
      <w:r w:rsidRPr="008F1497">
        <w:rPr>
          <w:lang w:val="fr-FR"/>
        </w:rPr>
        <w:t>e</w:t>
      </w:r>
      <w:r w:rsidRPr="008F1497">
        <w:rPr>
          <w:rFonts w:hint="eastAsia"/>
          <w:lang w:val="fr-FR"/>
        </w:rPr>
        <w:t>s</w:t>
      </w:r>
      <w:r w:rsidRPr="008F1497">
        <w:rPr>
          <w:lang w:val="fr-FR"/>
        </w:rPr>
        <w:t> </w:t>
      </w:r>
      <w:r w:rsidRPr="008F1497">
        <w:rPr>
          <w:rFonts w:hint="eastAsia"/>
          <w:lang w:val="fr-FR"/>
        </w:rPr>
        <w:t xml:space="preserve">6, 21 </w:t>
      </w:r>
      <w:r w:rsidRPr="008F1497">
        <w:rPr>
          <w:lang w:val="fr-FR"/>
        </w:rPr>
        <w:t>et</w:t>
      </w:r>
      <w:r w:rsidRPr="008F1497">
        <w:rPr>
          <w:rFonts w:hint="eastAsia"/>
          <w:lang w:val="fr-FR"/>
        </w:rPr>
        <w:t xml:space="preserve"> 22</w:t>
      </w:r>
      <w:r w:rsidRPr="008F1497">
        <w:rPr>
          <w:lang w:val="fr-FR"/>
        </w:rPr>
        <w:t xml:space="preserve"> des observations finales, il est recommandé à la RAS de Hong Kong de:</w:t>
      </w:r>
    </w:p>
    <w:p w:rsidR="008F1497" w:rsidRPr="008F1497" w:rsidRDefault="008F1497" w:rsidP="008F1497">
      <w:pPr>
        <w:pStyle w:val="SingleTxtG"/>
        <w:keepNext/>
        <w:ind w:firstLine="567"/>
        <w:rPr>
          <w:i/>
          <w:lang w:val="fr-FR"/>
        </w:rPr>
      </w:pPr>
      <w:r w:rsidRPr="008F1497">
        <w:rPr>
          <w:i/>
          <w:lang w:val="fr-FR"/>
        </w:rPr>
        <w:t>Paragraphe 6</w:t>
      </w:r>
    </w:p>
    <w:p w:rsidR="008F1497" w:rsidRPr="008F1497" w:rsidRDefault="008F1497" w:rsidP="008F1497">
      <w:pPr>
        <w:pStyle w:val="SingleTxtG"/>
        <w:ind w:left="1701" w:firstLine="567"/>
        <w:rPr>
          <w:lang w:val="fr-FR"/>
        </w:rPr>
      </w:pPr>
      <w:r w:rsidRPr="008F1497">
        <w:rPr>
          <w:i/>
          <w:lang w:val="fr-FR"/>
        </w:rPr>
        <w:t>Prendre toutes les mesures nécessaires pour instaurer dans les meilleurs délais le suffrage universel et égal pour toutes les élections à venir, conformément au Pacte. Concevoir des plans précis et détaillés indiquant les modalités selon lesquelles le suffrage universel et égal pourrait être instauré et garantir à tous les citoyens, dans le cadre du nouveau système électoral, le droit de voter et de se présenter aux élections conformément à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article 25 du Pacte, en tenant dûment compte de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 xml:space="preserve">Observation générale </w:t>
      </w:r>
      <w:r w:rsidRPr="008F1497">
        <w:rPr>
          <w:rFonts w:eastAsia="MS Mincho"/>
          <w:i/>
          <w:lang w:val="fr-FR"/>
        </w:rPr>
        <w:t>n</w:t>
      </w:r>
      <w:r w:rsidRPr="008F1497">
        <w:rPr>
          <w:rFonts w:eastAsia="MS Mincho"/>
          <w:i/>
          <w:vertAlign w:val="superscript"/>
          <w:lang w:val="fr-FR"/>
        </w:rPr>
        <w:t>o</w:t>
      </w:r>
      <w:r>
        <w:rPr>
          <w:i/>
          <w:lang w:val="fr-FR"/>
        </w:rPr>
        <w:t> </w:t>
      </w:r>
      <w:r w:rsidRPr="008F1497">
        <w:rPr>
          <w:i/>
          <w:lang w:val="fr-FR"/>
        </w:rPr>
        <w:t>25 du Comité (1996) sur le droit de prendre part à la direction des affaires publiques, de voter et d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être élu et d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accéder, dans des conditions d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égalité, aux fonctions publiques.</w:t>
      </w:r>
      <w:r w:rsidRPr="008F1497">
        <w:rPr>
          <w:bCs/>
          <w:i/>
          <w:lang w:val="fr-FR"/>
        </w:rPr>
        <w:t xml:space="preserve"> Envisager de prendre des mesures en vue de retirer sa réserve à l</w:t>
      </w:r>
      <w:r w:rsidR="00172EFA">
        <w:rPr>
          <w:bCs/>
          <w:i/>
          <w:lang w:val="fr-FR"/>
        </w:rPr>
        <w:t>’</w:t>
      </w:r>
      <w:r w:rsidRPr="008F1497">
        <w:rPr>
          <w:bCs/>
          <w:i/>
          <w:lang w:val="fr-FR"/>
        </w:rPr>
        <w:t>article 25 b) du Pacte</w:t>
      </w:r>
      <w:r w:rsidRPr="008F1497">
        <w:rPr>
          <w:lang w:val="fr-FR"/>
        </w:rPr>
        <w:t>;</w:t>
      </w:r>
    </w:p>
    <w:p w:rsidR="008F1497" w:rsidRPr="008F1497" w:rsidRDefault="008F1497" w:rsidP="008F1497">
      <w:pPr>
        <w:pStyle w:val="SingleTxtG"/>
        <w:keepNext/>
        <w:ind w:firstLine="567"/>
        <w:rPr>
          <w:i/>
          <w:lang w:val="fr-FR"/>
        </w:rPr>
      </w:pPr>
      <w:r w:rsidRPr="008F1497">
        <w:rPr>
          <w:i/>
          <w:lang w:val="fr-FR"/>
        </w:rPr>
        <w:t>Paragraphe 21</w:t>
      </w:r>
    </w:p>
    <w:p w:rsidR="008F1497" w:rsidRPr="008F1497" w:rsidRDefault="008F1497" w:rsidP="008F1497">
      <w:pPr>
        <w:pStyle w:val="SingleTxtG"/>
        <w:ind w:left="1701" w:firstLine="567"/>
        <w:rPr>
          <w:lang w:val="fr-FR"/>
        </w:rPr>
      </w:pPr>
      <w:r w:rsidRPr="008F1497">
        <w:rPr>
          <w:i/>
          <w:lang w:val="fr-FR"/>
        </w:rPr>
        <w:t>Adopter des mesures pour permettre à tous les travailleurs de jouir de leurs droits fondamentaux, quelle que soit leur situation au regard de la législation relative à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immigration, et mettre en place des mécanismes effectifs, d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un coût abordable, pour que les employeurs qui commettent des abus aient à répondre de leurs actes. Envisager d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abroger la règle dite des deux semaines (qui impose aux immigrés qui sont employés co</w:t>
      </w:r>
      <w:r>
        <w:rPr>
          <w:i/>
          <w:lang w:val="fr-FR"/>
        </w:rPr>
        <w:t>mme domestiques de quitter Hong </w:t>
      </w:r>
      <w:r w:rsidRPr="008F1497">
        <w:rPr>
          <w:i/>
          <w:lang w:val="fr-FR"/>
        </w:rPr>
        <w:t>Kong dans un délai de deux semaines après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expiration de leur contrat, tout comme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obligation de vivre chez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employeur</w:t>
      </w:r>
      <w:r w:rsidRPr="008F1497">
        <w:rPr>
          <w:lang w:val="fr-FR"/>
        </w:rPr>
        <w:t>;</w:t>
      </w:r>
    </w:p>
    <w:p w:rsidR="008F1497" w:rsidRPr="008F1497" w:rsidRDefault="008F1497" w:rsidP="008F1497">
      <w:pPr>
        <w:pStyle w:val="SingleTxtG"/>
        <w:ind w:firstLine="567"/>
        <w:rPr>
          <w:i/>
          <w:lang w:val="fr-FR"/>
        </w:rPr>
      </w:pPr>
      <w:r w:rsidRPr="008F1497">
        <w:rPr>
          <w:i/>
          <w:lang w:val="fr-FR"/>
        </w:rPr>
        <w:t>Paragraphe 22</w:t>
      </w:r>
    </w:p>
    <w:p w:rsidR="008F1497" w:rsidRPr="008F1497" w:rsidRDefault="008F1497" w:rsidP="008F1497">
      <w:pPr>
        <w:pStyle w:val="SingleTxtG"/>
        <w:ind w:left="1701" w:firstLine="567"/>
        <w:rPr>
          <w:lang w:val="fr-FR"/>
        </w:rPr>
      </w:pPr>
      <w:r w:rsidRPr="008F1497">
        <w:rPr>
          <w:i/>
          <w:lang w:val="fr-FR"/>
        </w:rPr>
        <w:t>Compte tenu de la recommandation formulée par le Comité pour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élimination de la discrimination raciale, intensifier ses efforts pour améliorer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enseignement du chinois à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intention des minorités ethniques et des élèves non sinophones issus de familles immigrées, en collaboration avec la Commission de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égalité des chances et d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autres groupes concernés. Intensifier ses efforts pour encourager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intégration des élèves appartenant à des minorités ethniques dans l</w:t>
      </w:r>
      <w:r w:rsidR="00172EFA">
        <w:rPr>
          <w:i/>
          <w:lang w:val="fr-FR"/>
        </w:rPr>
        <w:t>’</w:t>
      </w:r>
      <w:r w:rsidRPr="008F1497">
        <w:rPr>
          <w:i/>
          <w:lang w:val="fr-FR"/>
        </w:rPr>
        <w:t>enseignement public</w:t>
      </w:r>
      <w:r w:rsidRPr="008F1497">
        <w:rPr>
          <w:lang w:val="fr-FR"/>
        </w:rPr>
        <w:t>.</w:t>
      </w:r>
    </w:p>
    <w:p w:rsidR="008F1497" w:rsidRPr="008F1497" w:rsidRDefault="008F1497" w:rsidP="008F1497">
      <w:pPr>
        <w:pStyle w:val="ParNoG"/>
        <w:rPr>
          <w:lang w:val="fr-FR"/>
        </w:rPr>
      </w:pPr>
      <w:r w:rsidRPr="008F1497">
        <w:rPr>
          <w:lang w:val="fr-FR"/>
        </w:rPr>
        <w:t xml:space="preserve">Conformément </w:t>
      </w:r>
      <w:r w:rsidR="003B6230">
        <w:rPr>
          <w:lang w:val="fr-FR"/>
        </w:rPr>
        <w:t xml:space="preserve">à </w:t>
      </w:r>
      <w:r w:rsidRPr="008F1497">
        <w:rPr>
          <w:lang w:val="fr-FR"/>
        </w:rPr>
        <w:t>la demande de renseignements complémentaires formulée par le Comité des droits de l</w:t>
      </w:r>
      <w:r w:rsidR="00172EFA">
        <w:rPr>
          <w:lang w:val="fr-FR"/>
        </w:rPr>
        <w:t>’</w:t>
      </w:r>
      <w:r w:rsidRPr="008F1497">
        <w:rPr>
          <w:lang w:val="fr-FR"/>
        </w:rPr>
        <w:t>homme,</w:t>
      </w:r>
      <w:r w:rsidRPr="008F1497">
        <w:rPr>
          <w:rFonts w:hint="eastAsia"/>
          <w:lang w:val="fr-FR"/>
        </w:rPr>
        <w:t xml:space="preserve"> </w:t>
      </w:r>
      <w:r w:rsidR="003B6230">
        <w:rPr>
          <w:lang w:val="fr-FR"/>
        </w:rPr>
        <w:t xml:space="preserve">on trouvera ci-après </w:t>
      </w:r>
      <w:r w:rsidRPr="008F1497">
        <w:rPr>
          <w:lang w:val="fr-FR"/>
        </w:rPr>
        <w:t>les renseignem</w:t>
      </w:r>
      <w:r w:rsidR="003B6230">
        <w:rPr>
          <w:lang w:val="fr-FR"/>
        </w:rPr>
        <w:t>ents fournis par la RAS de Hong </w:t>
      </w:r>
      <w:r w:rsidRPr="008F1497">
        <w:rPr>
          <w:lang w:val="fr-FR"/>
        </w:rPr>
        <w:t>Kong sur la suite donnée aux</w:t>
      </w:r>
      <w:r w:rsidR="003B6230">
        <w:rPr>
          <w:lang w:val="fr-FR"/>
        </w:rPr>
        <w:t xml:space="preserve"> recommandations susmentionnées</w:t>
      </w:r>
      <w:r w:rsidRPr="008F1497">
        <w:rPr>
          <w:rFonts w:hint="eastAsia"/>
          <w:lang w:val="fr-FR"/>
        </w:rPr>
        <w:t>.</w:t>
      </w:r>
    </w:p>
    <w:p w:rsidR="008F1497" w:rsidRPr="008F1497" w:rsidRDefault="008F1497" w:rsidP="008F1497">
      <w:pPr>
        <w:pStyle w:val="H1G"/>
        <w:rPr>
          <w:rFonts w:hint="eastAsia"/>
          <w:lang w:val="fr-FR"/>
        </w:rPr>
      </w:pPr>
      <w:r w:rsidRPr="008F1497">
        <w:rPr>
          <w:lang w:val="fr-FR"/>
        </w:rPr>
        <w:tab/>
      </w:r>
      <w:r w:rsidRPr="008F1497">
        <w:rPr>
          <w:lang w:val="fr-FR"/>
        </w:rPr>
        <w:tab/>
      </w:r>
      <w:r w:rsidRPr="008F1497">
        <w:rPr>
          <w:rFonts w:hint="eastAsia"/>
          <w:lang w:val="fr-FR"/>
        </w:rPr>
        <w:t>R</w:t>
      </w:r>
      <w:r w:rsidRPr="008F1497">
        <w:rPr>
          <w:lang w:val="fr-FR"/>
        </w:rPr>
        <w:t>é</w:t>
      </w:r>
      <w:r w:rsidRPr="008F1497">
        <w:rPr>
          <w:rFonts w:hint="eastAsia"/>
          <w:lang w:val="fr-FR"/>
        </w:rPr>
        <w:t>ponse</w:t>
      </w:r>
      <w:r w:rsidRPr="008F1497">
        <w:rPr>
          <w:lang w:val="fr-FR"/>
        </w:rPr>
        <w:t xml:space="preserve"> au</w:t>
      </w:r>
      <w:r w:rsidRPr="008F1497">
        <w:rPr>
          <w:rFonts w:hint="eastAsia"/>
          <w:lang w:val="fr-FR"/>
        </w:rPr>
        <w:t xml:space="preserve"> paragraph</w:t>
      </w:r>
      <w:r w:rsidRPr="008F1497">
        <w:rPr>
          <w:lang w:val="fr-FR"/>
        </w:rPr>
        <w:t>e</w:t>
      </w:r>
      <w:r w:rsidRPr="008F1497">
        <w:rPr>
          <w:rFonts w:hint="eastAsia"/>
          <w:lang w:val="fr-FR"/>
        </w:rPr>
        <w:t xml:space="preserve"> 6 </w:t>
      </w:r>
      <w:r w:rsidRPr="008F1497">
        <w:rPr>
          <w:lang w:val="fr-FR"/>
        </w:rPr>
        <w:t>des observations finales</w:t>
      </w:r>
    </w:p>
    <w:p w:rsidR="008F1497" w:rsidRPr="00172EFA" w:rsidRDefault="008F1497" w:rsidP="008F1497">
      <w:pPr>
        <w:pStyle w:val="ParNoG"/>
        <w:rPr>
          <w:spacing w:val="-2"/>
          <w:lang w:val="fr-FR"/>
        </w:rPr>
      </w:pPr>
      <w:r w:rsidRPr="00172EFA">
        <w:rPr>
          <w:spacing w:val="-2"/>
          <w:lang w:val="fr-FR"/>
        </w:rPr>
        <w:t>Le Gouvernement populaire central de la Répub</w:t>
      </w:r>
      <w:r w:rsidR="003B6230" w:rsidRPr="00172EFA">
        <w:rPr>
          <w:spacing w:val="-2"/>
          <w:lang w:val="fr-FR"/>
        </w:rPr>
        <w:t>lique populaire de Chine, le </w:t>
      </w:r>
      <w:r w:rsidRPr="00172EFA">
        <w:rPr>
          <w:spacing w:val="-2"/>
          <w:lang w:val="fr-FR"/>
        </w:rPr>
        <w:t>Gouvernement</w:t>
      </w:r>
      <w:r w:rsidR="003B6230" w:rsidRPr="00172EFA">
        <w:rPr>
          <w:spacing w:val="-2"/>
          <w:lang w:val="fr-FR"/>
        </w:rPr>
        <w:t xml:space="preserve"> et le peuple de la RAS de Hong </w:t>
      </w:r>
      <w:r w:rsidRPr="00172EFA">
        <w:rPr>
          <w:spacing w:val="-2"/>
          <w:lang w:val="fr-FR"/>
        </w:rPr>
        <w:t xml:space="preserve">Kong </w:t>
      </w:r>
      <w:r w:rsidR="003B6230" w:rsidRPr="00172EFA">
        <w:rPr>
          <w:spacing w:val="-2"/>
          <w:lang w:val="fr-FR"/>
        </w:rPr>
        <w:t xml:space="preserve">partagent la même </w:t>
      </w:r>
      <w:r w:rsidRPr="00172EFA">
        <w:rPr>
          <w:spacing w:val="-2"/>
          <w:lang w:val="fr-FR"/>
        </w:rPr>
        <w:t>aspir</w:t>
      </w:r>
      <w:r w:rsidR="003B6230" w:rsidRPr="00172EFA">
        <w:rPr>
          <w:spacing w:val="-2"/>
          <w:lang w:val="fr-FR"/>
        </w:rPr>
        <w:t>ation</w:t>
      </w:r>
      <w:r w:rsidRPr="00172EFA">
        <w:rPr>
          <w:spacing w:val="-2"/>
          <w:lang w:val="fr-FR"/>
        </w:rPr>
        <w:t xml:space="preserve"> </w:t>
      </w:r>
      <w:r w:rsidR="003B6230" w:rsidRPr="00172EFA">
        <w:rPr>
          <w:spacing w:val="-2"/>
          <w:lang w:val="fr-FR"/>
        </w:rPr>
        <w:t>à l</w:t>
      </w:r>
      <w:r w:rsidR="00172EFA" w:rsidRPr="00172EFA">
        <w:rPr>
          <w:spacing w:val="-2"/>
          <w:lang w:val="fr-FR"/>
        </w:rPr>
        <w:t>’</w:t>
      </w:r>
      <w:r w:rsidR="003B6230" w:rsidRPr="00172EFA">
        <w:rPr>
          <w:spacing w:val="-2"/>
          <w:lang w:val="fr-FR"/>
        </w:rPr>
        <w:t xml:space="preserve">instauration du </w:t>
      </w:r>
      <w:r w:rsidRPr="00172EFA">
        <w:rPr>
          <w:spacing w:val="-2"/>
          <w:lang w:val="fr-FR"/>
        </w:rPr>
        <w:t>suffrage universel pour l</w:t>
      </w:r>
      <w:r w:rsidR="00172EFA" w:rsidRPr="00172EFA">
        <w:rPr>
          <w:spacing w:val="-2"/>
          <w:lang w:val="fr-FR"/>
        </w:rPr>
        <w:t>’</w:t>
      </w:r>
      <w:r w:rsidRPr="00172EFA">
        <w:rPr>
          <w:spacing w:val="-2"/>
          <w:lang w:val="fr-FR"/>
        </w:rPr>
        <w:t>élection du Chef de l</w:t>
      </w:r>
      <w:r w:rsidR="00172EFA" w:rsidRPr="00172EFA">
        <w:rPr>
          <w:spacing w:val="-2"/>
          <w:lang w:val="fr-FR"/>
        </w:rPr>
        <w:t>’</w:t>
      </w:r>
      <w:r w:rsidRPr="00172EFA">
        <w:rPr>
          <w:spacing w:val="-2"/>
          <w:lang w:val="fr-FR"/>
        </w:rPr>
        <w:t>exécutif en 2017,</w:t>
      </w:r>
      <w:r w:rsidRPr="00172EFA">
        <w:rPr>
          <w:rFonts w:hint="eastAsia"/>
          <w:spacing w:val="-2"/>
          <w:lang w:val="fr-FR"/>
        </w:rPr>
        <w:t xml:space="preserve"> </w:t>
      </w:r>
      <w:r w:rsidRPr="00172EFA">
        <w:rPr>
          <w:spacing w:val="-2"/>
          <w:lang w:val="fr-FR"/>
        </w:rPr>
        <w:t xml:space="preserve">conformément à la Loi fondamentale et </w:t>
      </w:r>
      <w:r w:rsidR="003B6230" w:rsidRPr="00172EFA">
        <w:rPr>
          <w:spacing w:val="-2"/>
          <w:lang w:val="fr-FR"/>
        </w:rPr>
        <w:t xml:space="preserve">aux </w:t>
      </w:r>
      <w:r w:rsidRPr="00172EFA">
        <w:rPr>
          <w:spacing w:val="-2"/>
          <w:lang w:val="fr-FR"/>
        </w:rPr>
        <w:t>interprétation</w:t>
      </w:r>
      <w:r w:rsidR="003B6230" w:rsidRPr="00172EFA">
        <w:rPr>
          <w:spacing w:val="-2"/>
          <w:lang w:val="fr-FR"/>
        </w:rPr>
        <w:t>s</w:t>
      </w:r>
      <w:r w:rsidRPr="00172EFA">
        <w:rPr>
          <w:spacing w:val="-2"/>
          <w:lang w:val="fr-FR"/>
        </w:rPr>
        <w:t xml:space="preserve"> </w:t>
      </w:r>
      <w:r w:rsidR="003B6230" w:rsidRPr="00172EFA">
        <w:rPr>
          <w:spacing w:val="-2"/>
          <w:lang w:val="fr-FR"/>
        </w:rPr>
        <w:t>et décisions</w:t>
      </w:r>
      <w:r w:rsidRPr="00172EFA">
        <w:rPr>
          <w:spacing w:val="-2"/>
          <w:lang w:val="fr-FR"/>
        </w:rPr>
        <w:t xml:space="preserve"> pertinentes </w:t>
      </w:r>
      <w:r w:rsidR="003B6230" w:rsidRPr="00172EFA">
        <w:rPr>
          <w:spacing w:val="-2"/>
          <w:lang w:val="fr-FR"/>
        </w:rPr>
        <w:t xml:space="preserve">du </w:t>
      </w:r>
      <w:r w:rsidRPr="00172EFA">
        <w:rPr>
          <w:spacing w:val="-2"/>
          <w:lang w:val="fr-FR"/>
        </w:rPr>
        <w:t>Comité permanent de l</w:t>
      </w:r>
      <w:r w:rsidR="00172EFA" w:rsidRPr="00172EFA">
        <w:rPr>
          <w:spacing w:val="-2"/>
          <w:lang w:val="fr-FR"/>
        </w:rPr>
        <w:t>’</w:t>
      </w:r>
      <w:r w:rsidRPr="00172EFA">
        <w:rPr>
          <w:spacing w:val="-2"/>
          <w:lang w:val="fr-FR"/>
        </w:rPr>
        <w:t>Assemblée nationale populaire de la République populaire de Chine.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 xml:space="preserve">Le 4 décembre </w:t>
      </w:r>
      <w:r w:rsidRPr="008F1497">
        <w:rPr>
          <w:rFonts w:hint="eastAsia"/>
          <w:lang w:val="fr-FR"/>
        </w:rPr>
        <w:t>2013</w:t>
      </w:r>
      <w:r w:rsidRPr="008F1497">
        <w:rPr>
          <w:lang w:val="fr-FR"/>
        </w:rPr>
        <w:t>, le</w:t>
      </w:r>
      <w:r w:rsidR="003B6230">
        <w:rPr>
          <w:lang w:val="fr-FR"/>
        </w:rPr>
        <w:t xml:space="preserve"> Gouvernement de la RAS de Hong </w:t>
      </w:r>
      <w:r w:rsidRPr="008F1497">
        <w:rPr>
          <w:lang w:val="fr-FR"/>
        </w:rPr>
        <w:t>Kong a officiellement engagé une large consultation publique sur le</w:t>
      </w:r>
      <w:r w:rsidR="003B6230">
        <w:rPr>
          <w:lang w:val="fr-FR"/>
        </w:rPr>
        <w:t xml:space="preserve">s modalités à retenir pour désigner le </w:t>
      </w:r>
      <w:r w:rsidRPr="008F1497">
        <w:rPr>
          <w:lang w:val="fr-FR"/>
        </w:rPr>
        <w:t>Chef de l</w:t>
      </w:r>
      <w:r w:rsidR="00172EFA">
        <w:rPr>
          <w:lang w:val="fr-FR"/>
        </w:rPr>
        <w:t>’</w:t>
      </w:r>
      <w:r w:rsidRPr="008F1497">
        <w:rPr>
          <w:lang w:val="fr-FR"/>
        </w:rPr>
        <w:t>exécutif</w:t>
      </w:r>
      <w:r w:rsidR="003B6230">
        <w:rPr>
          <w:lang w:val="fr-FR"/>
        </w:rPr>
        <w:t>,</w:t>
      </w:r>
      <w:r w:rsidRPr="008F1497">
        <w:rPr>
          <w:lang w:val="fr-FR"/>
        </w:rPr>
        <w:t xml:space="preserve"> en 2017</w:t>
      </w:r>
      <w:r w:rsidR="003B6230">
        <w:rPr>
          <w:lang w:val="fr-FR"/>
        </w:rPr>
        <w:t>,</w:t>
      </w:r>
      <w:r w:rsidRPr="008F1497">
        <w:rPr>
          <w:lang w:val="fr-FR"/>
        </w:rPr>
        <w:t xml:space="preserve"> et </w:t>
      </w:r>
      <w:r w:rsidR="003B6230">
        <w:rPr>
          <w:lang w:val="fr-FR"/>
        </w:rPr>
        <w:t xml:space="preserve">constituer le </w:t>
      </w:r>
      <w:r w:rsidRPr="008F1497">
        <w:rPr>
          <w:lang w:val="fr-FR"/>
        </w:rPr>
        <w:t>Conseil législatif</w:t>
      </w:r>
      <w:r w:rsidR="003B6230">
        <w:rPr>
          <w:lang w:val="fr-FR"/>
        </w:rPr>
        <w:t>,</w:t>
      </w:r>
      <w:r w:rsidRPr="008F1497">
        <w:rPr>
          <w:lang w:val="fr-FR"/>
        </w:rPr>
        <w:t xml:space="preserve"> en 2016</w:t>
      </w:r>
      <w:r w:rsidRPr="008F1497">
        <w:rPr>
          <w:rFonts w:hint="eastAsia"/>
          <w:lang w:val="fr-FR"/>
        </w:rPr>
        <w:t>.</w:t>
      </w:r>
      <w:r w:rsidRPr="008F1497">
        <w:rPr>
          <w:lang w:val="fr-FR"/>
        </w:rPr>
        <w:t xml:space="preserve"> Cette consultation doit durer </w:t>
      </w:r>
      <w:r w:rsidR="003B6230">
        <w:rPr>
          <w:lang w:val="fr-FR"/>
        </w:rPr>
        <w:t xml:space="preserve">cinq mois, soit </w:t>
      </w:r>
      <w:r w:rsidRPr="008F1497">
        <w:rPr>
          <w:lang w:val="fr-FR"/>
        </w:rPr>
        <w:t>jusqu</w:t>
      </w:r>
      <w:r w:rsidR="00172EFA">
        <w:rPr>
          <w:lang w:val="fr-FR"/>
        </w:rPr>
        <w:t>’</w:t>
      </w:r>
      <w:r w:rsidRPr="008F1497">
        <w:rPr>
          <w:lang w:val="fr-FR"/>
        </w:rPr>
        <w:t>au 3 mai 2014.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>Le</w:t>
      </w:r>
      <w:r w:rsidR="003B6230">
        <w:rPr>
          <w:lang w:val="fr-FR"/>
        </w:rPr>
        <w:t xml:space="preserve"> Gouvernement de la RAS de Hong </w:t>
      </w:r>
      <w:r w:rsidRPr="008F1497">
        <w:rPr>
          <w:lang w:val="fr-FR"/>
        </w:rPr>
        <w:t xml:space="preserve">Kong va continuer à recueillir et écouter </w:t>
      </w:r>
      <w:r w:rsidR="003B6230">
        <w:rPr>
          <w:lang w:val="fr-FR"/>
        </w:rPr>
        <w:t xml:space="preserve">les vues </w:t>
      </w:r>
      <w:r w:rsidRPr="008F1497">
        <w:rPr>
          <w:lang w:val="fr-FR"/>
        </w:rPr>
        <w:t>et propositions de différents groupes de la société ainsi que du grand public. À l</w:t>
      </w:r>
      <w:r w:rsidR="00172EFA">
        <w:rPr>
          <w:lang w:val="fr-FR"/>
        </w:rPr>
        <w:t>’</w:t>
      </w:r>
      <w:r w:rsidRPr="008F1497">
        <w:rPr>
          <w:lang w:val="fr-FR"/>
        </w:rPr>
        <w:t>issue de cette consultation publique</w:t>
      </w:r>
      <w:r w:rsidRPr="008F1497">
        <w:rPr>
          <w:rFonts w:hint="eastAsia"/>
          <w:lang w:val="fr-FR"/>
        </w:rPr>
        <w:t xml:space="preserve">, </w:t>
      </w:r>
      <w:r w:rsidRPr="008F1497">
        <w:rPr>
          <w:lang w:val="fr-FR"/>
        </w:rPr>
        <w:t>les points de vus exprimés seront récapitulés et synthétisés de manière à ce que le Chef de l</w:t>
      </w:r>
      <w:r w:rsidR="00172EFA">
        <w:rPr>
          <w:lang w:val="fr-FR"/>
        </w:rPr>
        <w:t>’</w:t>
      </w:r>
      <w:r w:rsidRPr="008F1497">
        <w:rPr>
          <w:lang w:val="fr-FR"/>
        </w:rPr>
        <w:t>exécutif puisse plus aisément faire remonter l</w:t>
      </w:r>
      <w:r w:rsidR="00172EFA">
        <w:rPr>
          <w:lang w:val="fr-FR"/>
        </w:rPr>
        <w:t>’</w:t>
      </w:r>
      <w:r w:rsidRPr="008F1497">
        <w:rPr>
          <w:lang w:val="fr-FR"/>
        </w:rPr>
        <w:t>information au Comité permanent de l</w:t>
      </w:r>
      <w:r w:rsidR="00172EFA">
        <w:rPr>
          <w:lang w:val="fr-FR"/>
        </w:rPr>
        <w:t>’</w:t>
      </w:r>
      <w:r w:rsidRPr="008F1497">
        <w:rPr>
          <w:lang w:val="fr-FR"/>
        </w:rPr>
        <w:t>Assemblée nationale populaire, qui lancera officiellement le processus constitutionnel de réforme électorale.</w:t>
      </w:r>
    </w:p>
    <w:p w:rsidR="008F1497" w:rsidRPr="008F1497" w:rsidRDefault="008F1497" w:rsidP="008F1497">
      <w:pPr>
        <w:pStyle w:val="H1G"/>
        <w:rPr>
          <w:rFonts w:hint="eastAsia"/>
          <w:lang w:val="fr-FR"/>
        </w:rPr>
      </w:pPr>
      <w:r w:rsidRPr="008F1497">
        <w:rPr>
          <w:lang w:val="fr-FR"/>
        </w:rPr>
        <w:tab/>
      </w:r>
      <w:r w:rsidRPr="008F1497">
        <w:rPr>
          <w:lang w:val="fr-FR"/>
        </w:rPr>
        <w:tab/>
      </w:r>
      <w:r w:rsidRPr="008F1497">
        <w:rPr>
          <w:rFonts w:hint="eastAsia"/>
          <w:lang w:val="fr-FR"/>
        </w:rPr>
        <w:t>R</w:t>
      </w:r>
      <w:r w:rsidRPr="008F1497">
        <w:rPr>
          <w:lang w:val="fr-FR"/>
        </w:rPr>
        <w:t>é</w:t>
      </w:r>
      <w:r w:rsidRPr="008F1497">
        <w:rPr>
          <w:rFonts w:hint="eastAsia"/>
          <w:lang w:val="fr-FR"/>
        </w:rPr>
        <w:t>ponse</w:t>
      </w:r>
      <w:r w:rsidRPr="008F1497">
        <w:rPr>
          <w:lang w:val="fr-FR"/>
        </w:rPr>
        <w:t xml:space="preserve"> au</w:t>
      </w:r>
      <w:r w:rsidRPr="008F1497">
        <w:rPr>
          <w:rFonts w:hint="eastAsia"/>
          <w:lang w:val="fr-FR"/>
        </w:rPr>
        <w:t xml:space="preserve"> paragraph</w:t>
      </w:r>
      <w:r w:rsidRPr="008F1497">
        <w:rPr>
          <w:lang w:val="fr-FR"/>
        </w:rPr>
        <w:t>e </w:t>
      </w:r>
      <w:r w:rsidRPr="008F1497">
        <w:rPr>
          <w:rFonts w:hint="eastAsia"/>
          <w:lang w:val="fr-FR"/>
        </w:rPr>
        <w:t xml:space="preserve">21 </w:t>
      </w:r>
      <w:r w:rsidRPr="008F1497">
        <w:rPr>
          <w:lang w:val="fr-FR"/>
        </w:rPr>
        <w:t>des observations finales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 xml:space="preserve">Le Gouvernement de la RAS </w:t>
      </w:r>
      <w:r w:rsidR="003B6230">
        <w:rPr>
          <w:lang w:val="fr-FR"/>
        </w:rPr>
        <w:t>de Hong </w:t>
      </w:r>
      <w:r w:rsidRPr="008F1497">
        <w:rPr>
          <w:lang w:val="fr-FR"/>
        </w:rPr>
        <w:t>Kong attache une grande importance à la protection des droits et intérêts des employés de maison étrangers</w:t>
      </w:r>
      <w:r w:rsidRPr="008F1497">
        <w:rPr>
          <w:rFonts w:hint="eastAsia"/>
          <w:lang w:val="fr-FR"/>
        </w:rPr>
        <w:t xml:space="preserve">, </w:t>
      </w:r>
      <w:r w:rsidRPr="008F1497">
        <w:rPr>
          <w:lang w:val="fr-FR"/>
        </w:rPr>
        <w:t>qui représentent une part importante d</w:t>
      </w:r>
      <w:r w:rsidR="00172EFA">
        <w:rPr>
          <w:lang w:val="fr-FR"/>
        </w:rPr>
        <w:t>’</w:t>
      </w:r>
      <w:r w:rsidRPr="008F1497">
        <w:rPr>
          <w:lang w:val="fr-FR"/>
        </w:rPr>
        <w:t>une main d</w:t>
      </w:r>
      <w:r w:rsidR="00172EFA">
        <w:rPr>
          <w:lang w:val="fr-FR"/>
        </w:rPr>
        <w:t>’</w:t>
      </w:r>
      <w:r w:rsidRPr="008F1497">
        <w:rPr>
          <w:lang w:val="fr-FR"/>
        </w:rPr>
        <w:t>œuvre essentielle pour la RAS. Tous les employés de maison étrangers bénéficient au même titre que les travailleurs locaux d</w:t>
      </w:r>
      <w:r w:rsidR="00172EFA">
        <w:rPr>
          <w:lang w:val="fr-FR"/>
        </w:rPr>
        <w:t>’</w:t>
      </w:r>
      <w:r w:rsidRPr="008F1497">
        <w:rPr>
          <w:lang w:val="fr-FR"/>
        </w:rPr>
        <w:t>une protection égale et effective, ainsi que de droits, au titre de</w:t>
      </w:r>
      <w:r w:rsidRPr="008F1497">
        <w:rPr>
          <w:rFonts w:hint="eastAsia"/>
          <w:lang w:val="fr-FR"/>
        </w:rPr>
        <w:t xml:space="preserve"> </w:t>
      </w:r>
      <w:r w:rsidRPr="008F1497">
        <w:rPr>
          <w:lang w:val="fr-FR"/>
        </w:rPr>
        <w:t>l</w:t>
      </w:r>
      <w:r w:rsidR="00172EFA">
        <w:rPr>
          <w:lang w:val="fr-FR"/>
        </w:rPr>
        <w:t>’</w:t>
      </w:r>
      <w:r w:rsidRPr="008F1497">
        <w:rPr>
          <w:lang w:val="fr-FR"/>
        </w:rPr>
        <w:t>ordonnance relative à l</w:t>
      </w:r>
      <w:r w:rsidR="00172EFA">
        <w:rPr>
          <w:lang w:val="fr-FR"/>
        </w:rPr>
        <w:t>’</w:t>
      </w:r>
      <w:r w:rsidRPr="008F1497">
        <w:rPr>
          <w:lang w:val="fr-FR"/>
        </w:rPr>
        <w:t>emploi</w:t>
      </w:r>
      <w:r w:rsidRPr="008F1497">
        <w:rPr>
          <w:rFonts w:hint="eastAsia"/>
          <w:lang w:val="fr-FR"/>
        </w:rPr>
        <w:t xml:space="preserve"> </w:t>
      </w:r>
      <w:r w:rsidRPr="008F1497">
        <w:rPr>
          <w:lang w:val="fr-FR"/>
        </w:rPr>
        <w:t>(chap. </w:t>
      </w:r>
      <w:r w:rsidRPr="008F1497">
        <w:rPr>
          <w:rFonts w:hint="eastAsia"/>
          <w:lang w:val="fr-FR"/>
        </w:rPr>
        <w:t xml:space="preserve">57), </w:t>
      </w:r>
      <w:r w:rsidRPr="008F1497">
        <w:rPr>
          <w:lang w:val="fr-FR"/>
        </w:rPr>
        <w:t>notamment en ce qui concerne le versement d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un salaire, la </w:t>
      </w:r>
      <w:r w:rsidR="003B6230">
        <w:rPr>
          <w:lang w:val="fr-FR"/>
        </w:rPr>
        <w:t>protection de la maternité, les </w:t>
      </w:r>
      <w:r w:rsidRPr="008F1497">
        <w:rPr>
          <w:lang w:val="fr-FR"/>
        </w:rPr>
        <w:t>jours de repos, les jours fériés officiels, les congés annuels rémunérés, les primes d</w:t>
      </w:r>
      <w:r w:rsidR="00172EFA">
        <w:rPr>
          <w:lang w:val="fr-FR"/>
        </w:rPr>
        <w:t>’</w:t>
      </w:r>
      <w:r w:rsidRPr="008F1497">
        <w:rPr>
          <w:lang w:val="fr-FR"/>
        </w:rPr>
        <w:t>ancienneté, etc.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>Outre la protection conférée par la loi, au titre de l</w:t>
      </w:r>
      <w:r w:rsidR="00172EFA">
        <w:rPr>
          <w:lang w:val="fr-FR"/>
        </w:rPr>
        <w:t>’</w:t>
      </w:r>
      <w:r w:rsidRPr="008F1497">
        <w:rPr>
          <w:lang w:val="fr-FR"/>
        </w:rPr>
        <w:t>Ordonnance relative à l</w:t>
      </w:r>
      <w:r w:rsidR="00172EFA">
        <w:rPr>
          <w:lang w:val="fr-FR"/>
        </w:rPr>
        <w:t>’</w:t>
      </w:r>
      <w:r w:rsidRPr="008F1497">
        <w:rPr>
          <w:lang w:val="fr-FR"/>
        </w:rPr>
        <w:t>emploi, tous les employés de maison étrangers bénéficient également de la protection découlant d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un contrat de travail </w:t>
      </w:r>
      <w:r w:rsidR="003B6230">
        <w:rPr>
          <w:lang w:val="fr-FR"/>
        </w:rPr>
        <w:t>type établi par le Gouvernement qui leu</w:t>
      </w:r>
      <w:r w:rsidR="00172EFA">
        <w:rPr>
          <w:lang w:val="fr-FR"/>
        </w:rPr>
        <w:t>r donne droit, entre autres, au </w:t>
      </w:r>
      <w:r w:rsidRPr="008F1497">
        <w:rPr>
          <w:lang w:val="fr-FR"/>
        </w:rPr>
        <w:t>salaire minimum légal</w:t>
      </w:r>
      <w:r w:rsidR="003B6230">
        <w:rPr>
          <w:lang w:val="fr-FR"/>
        </w:rPr>
        <w:t xml:space="preserve"> et à la gratuité des repas</w:t>
      </w:r>
      <w:r w:rsidRPr="008F1497">
        <w:rPr>
          <w:lang w:val="fr-FR"/>
        </w:rPr>
        <w:t xml:space="preserve"> (ou </w:t>
      </w:r>
      <w:r w:rsidR="003B6230">
        <w:rPr>
          <w:lang w:val="fr-FR"/>
        </w:rPr>
        <w:t>à une allocation</w:t>
      </w:r>
      <w:r w:rsidRPr="008F1497">
        <w:rPr>
          <w:lang w:val="fr-FR"/>
        </w:rPr>
        <w:t xml:space="preserve"> repas), </w:t>
      </w:r>
      <w:r w:rsidR="003B6230">
        <w:rPr>
          <w:lang w:val="fr-FR"/>
        </w:rPr>
        <w:t>ainsi qu</w:t>
      </w:r>
      <w:r w:rsidR="00172EFA">
        <w:rPr>
          <w:lang w:val="fr-FR"/>
        </w:rPr>
        <w:t>’</w:t>
      </w:r>
      <w:r w:rsidR="003B6230">
        <w:rPr>
          <w:lang w:val="fr-FR"/>
        </w:rPr>
        <w:t>à la gratuité</w:t>
      </w:r>
      <w:r w:rsidRPr="008F1497">
        <w:rPr>
          <w:lang w:val="fr-FR"/>
        </w:rPr>
        <w:t xml:space="preserve"> du transport entre leur lieu de travail et leur lieu de résidence, de</w:t>
      </w:r>
      <w:r w:rsidR="003B6230">
        <w:rPr>
          <w:lang w:val="fr-FR"/>
        </w:rPr>
        <w:t>s</w:t>
      </w:r>
      <w:r w:rsidRPr="008F1497">
        <w:rPr>
          <w:lang w:val="fr-FR"/>
        </w:rPr>
        <w:t xml:space="preserve"> soins médicaux et du logement, </w:t>
      </w:r>
      <w:r w:rsidR="003B6230">
        <w:rPr>
          <w:lang w:val="fr-FR"/>
        </w:rPr>
        <w:t>lequel doit satisfaire à des critères</w:t>
      </w:r>
      <w:r w:rsidRPr="008F1497">
        <w:rPr>
          <w:lang w:val="fr-FR"/>
        </w:rPr>
        <w:t xml:space="preserve"> raisonnables de respect de leur vie privée.</w:t>
      </w:r>
      <w:r w:rsidRPr="008F1497">
        <w:rPr>
          <w:rFonts w:hint="eastAsia"/>
          <w:lang w:val="fr-FR"/>
        </w:rPr>
        <w:t xml:space="preserve"> </w:t>
      </w:r>
      <w:r w:rsidR="003B6230">
        <w:rPr>
          <w:lang w:val="fr-FR"/>
        </w:rPr>
        <w:t xml:space="preserve">Tout </w:t>
      </w:r>
      <w:r w:rsidRPr="008F1497">
        <w:rPr>
          <w:lang w:val="fr-FR"/>
        </w:rPr>
        <w:t>employeur qui</w:t>
      </w:r>
      <w:r w:rsidR="003B6230">
        <w:rPr>
          <w:lang w:val="fr-FR"/>
        </w:rPr>
        <w:t>,</w:t>
      </w:r>
      <w:r w:rsidRPr="008F1497">
        <w:rPr>
          <w:lang w:val="fr-FR"/>
        </w:rPr>
        <w:t xml:space="preserve"> délibérément et sans </w:t>
      </w:r>
      <w:r w:rsidR="003B6230">
        <w:rPr>
          <w:lang w:val="fr-FR"/>
        </w:rPr>
        <w:t>motif</w:t>
      </w:r>
      <w:r w:rsidRPr="008F1497">
        <w:rPr>
          <w:lang w:val="fr-FR"/>
        </w:rPr>
        <w:t xml:space="preserve"> raisonnable</w:t>
      </w:r>
      <w:r w:rsidR="003B6230">
        <w:rPr>
          <w:lang w:val="fr-FR"/>
        </w:rPr>
        <w:t>,</w:t>
      </w:r>
      <w:r w:rsidRPr="008F1497">
        <w:rPr>
          <w:lang w:val="fr-FR"/>
        </w:rPr>
        <w:t xml:space="preserve"> sous-paye un employé de maison étranger est passible de poursuites et, en cas de condamnation, d</w:t>
      </w:r>
      <w:r w:rsidR="00172EFA">
        <w:rPr>
          <w:lang w:val="fr-FR"/>
        </w:rPr>
        <w:t>’</w:t>
      </w:r>
      <w:r w:rsidRPr="008F1497">
        <w:rPr>
          <w:lang w:val="fr-FR"/>
        </w:rPr>
        <w:t>une am</w:t>
      </w:r>
      <w:r w:rsidR="003B6230">
        <w:rPr>
          <w:lang w:val="fr-FR"/>
        </w:rPr>
        <w:t>ende de 350 000 dollars de Hong </w:t>
      </w:r>
      <w:r w:rsidRPr="008F1497">
        <w:rPr>
          <w:lang w:val="fr-FR"/>
        </w:rPr>
        <w:t>Kong ainsi que d</w:t>
      </w:r>
      <w:r w:rsidR="00172EFA">
        <w:rPr>
          <w:lang w:val="fr-FR"/>
        </w:rPr>
        <w:t>’</w:t>
      </w:r>
      <w:r w:rsidRPr="008F1497">
        <w:rPr>
          <w:lang w:val="fr-FR"/>
        </w:rPr>
        <w:t>une peine de trois ans d</w:t>
      </w:r>
      <w:r w:rsidR="00172EFA">
        <w:rPr>
          <w:lang w:val="fr-FR"/>
        </w:rPr>
        <w:t>’</w:t>
      </w:r>
      <w:r w:rsidRPr="008F1497">
        <w:rPr>
          <w:lang w:val="fr-FR"/>
        </w:rPr>
        <w:t>emprisonnement.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>Au même titre que les travailleurs locaux</w:t>
      </w:r>
      <w:r w:rsidRPr="008F1497">
        <w:rPr>
          <w:rFonts w:hint="eastAsia"/>
          <w:lang w:val="fr-FR"/>
        </w:rPr>
        <w:t xml:space="preserve">, </w:t>
      </w:r>
      <w:r w:rsidRPr="008F1497">
        <w:rPr>
          <w:lang w:val="fr-FR"/>
        </w:rPr>
        <w:t xml:space="preserve">les employés de maison étrangers ont pleinement accès aux services gratuits proposés par le </w:t>
      </w:r>
      <w:r w:rsidR="003B6230">
        <w:rPr>
          <w:lang w:val="fr-FR"/>
        </w:rPr>
        <w:t>Ministère</w:t>
      </w:r>
      <w:r w:rsidRPr="008F1497">
        <w:rPr>
          <w:lang w:val="fr-FR"/>
        </w:rPr>
        <w:t xml:space="preserve"> du travail, notamment les services de consultation et de conciliation </w:t>
      </w:r>
      <w:r w:rsidR="003B6230">
        <w:rPr>
          <w:lang w:val="fr-FR"/>
        </w:rPr>
        <w:t xml:space="preserve">pouvant </w:t>
      </w:r>
      <w:r w:rsidRPr="008F1497">
        <w:rPr>
          <w:lang w:val="fr-FR"/>
        </w:rPr>
        <w:t>les aider à résoudre leurs différends avec leurs employeurs. Lorsqu</w:t>
      </w:r>
      <w:r w:rsidR="00172EFA">
        <w:rPr>
          <w:lang w:val="fr-FR"/>
        </w:rPr>
        <w:t>’</w:t>
      </w:r>
      <w:r w:rsidRPr="008F1497">
        <w:rPr>
          <w:lang w:val="fr-FR"/>
        </w:rPr>
        <w:t>un litige ne peut être résolu par voie de conciliation, il est porté devant la Commission chargée du règlement des litiges mineurs liés au travail ou devant le Tribunal du travail.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>L</w:t>
      </w:r>
      <w:r w:rsidR="00172EFA">
        <w:rPr>
          <w:lang w:val="fr-FR"/>
        </w:rPr>
        <w:t>’</w:t>
      </w:r>
      <w:r w:rsidRPr="008F1497">
        <w:rPr>
          <w:lang w:val="fr-FR"/>
        </w:rPr>
        <w:t>objectif principal de la «règle des deux semaines» est de laisser suffisamment de temps aux employés de maison étrangers pour préparer leur départ et non de leur faciliter la recherche d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un nouvel employeur. </w:t>
      </w:r>
      <w:r w:rsidR="003B6230">
        <w:rPr>
          <w:lang w:val="fr-FR"/>
        </w:rPr>
        <w:t>Cette règle</w:t>
      </w:r>
      <w:r w:rsidRPr="008F1497">
        <w:rPr>
          <w:lang w:val="fr-FR"/>
        </w:rPr>
        <w:t xml:space="preserve"> est absolument essentielle pour contrôler efficacement l</w:t>
      </w:r>
      <w:r w:rsidR="00172EFA">
        <w:rPr>
          <w:lang w:val="fr-FR"/>
        </w:rPr>
        <w:t>’</w:t>
      </w:r>
      <w:r w:rsidRPr="008F1497">
        <w:rPr>
          <w:lang w:val="fr-FR"/>
        </w:rPr>
        <w:t>immigration. Elle contribue à prévenir les changements d</w:t>
      </w:r>
      <w:r w:rsidR="00172EFA">
        <w:rPr>
          <w:lang w:val="fr-FR"/>
        </w:rPr>
        <w:t>’</w:t>
      </w:r>
      <w:r w:rsidRPr="008F1497">
        <w:rPr>
          <w:lang w:val="fr-FR"/>
        </w:rPr>
        <w:t>emplois fréquents et le travail illégal des employés de maison étrangers à l</w:t>
      </w:r>
      <w:r w:rsidR="00172EFA">
        <w:rPr>
          <w:lang w:val="fr-FR"/>
        </w:rPr>
        <w:t>’</w:t>
      </w:r>
      <w:r w:rsidRPr="008F1497">
        <w:rPr>
          <w:lang w:val="fr-FR"/>
        </w:rPr>
        <w:t>issue de leur contrat.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>La politique en vigueur n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empêche pas les employés de maison étrangers de travailler à nouveau dans la RAS </w:t>
      </w:r>
      <w:r w:rsidR="003B6230">
        <w:rPr>
          <w:lang w:val="fr-FR"/>
        </w:rPr>
        <w:t>de Hong </w:t>
      </w:r>
      <w:r w:rsidRPr="008F1497">
        <w:rPr>
          <w:lang w:val="fr-FR"/>
        </w:rPr>
        <w:t>Kong après être retournés dans leur pays d</w:t>
      </w:r>
      <w:r w:rsidR="00172EFA">
        <w:rPr>
          <w:lang w:val="fr-FR"/>
        </w:rPr>
        <w:t>’</w:t>
      </w:r>
      <w:r w:rsidRPr="008F1497">
        <w:rPr>
          <w:lang w:val="fr-FR"/>
        </w:rPr>
        <w:t>origine.</w:t>
      </w:r>
      <w:r w:rsidRPr="008F1497">
        <w:rPr>
          <w:rFonts w:hint="eastAsia"/>
          <w:lang w:val="fr-FR"/>
        </w:rPr>
        <w:t xml:space="preserve"> </w:t>
      </w:r>
      <w:r w:rsidRPr="008F1497">
        <w:rPr>
          <w:lang w:val="fr-FR"/>
        </w:rPr>
        <w:t>En outre</w:t>
      </w:r>
      <w:r w:rsidRPr="008F1497">
        <w:rPr>
          <w:rFonts w:hint="eastAsia"/>
          <w:lang w:val="fr-FR"/>
        </w:rPr>
        <w:t xml:space="preserve">, </w:t>
      </w:r>
      <w:r w:rsidRPr="008F1497">
        <w:rPr>
          <w:lang w:val="fr-FR"/>
        </w:rPr>
        <w:t>le prix du billet de retour est entièrement pris en charge par leur employeur, ainsi qu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il est stipulé dans le contrat de travail type </w:t>
      </w:r>
      <w:r w:rsidR="003B6230">
        <w:rPr>
          <w:lang w:val="fr-FR"/>
        </w:rPr>
        <w:t>pour le recrutement d</w:t>
      </w:r>
      <w:r w:rsidR="00172EFA">
        <w:rPr>
          <w:lang w:val="fr-FR"/>
        </w:rPr>
        <w:t>’</w:t>
      </w:r>
      <w:r w:rsidRPr="008F1497">
        <w:rPr>
          <w:lang w:val="fr-FR"/>
        </w:rPr>
        <w:t>employés de maison étrangers.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>Cette politique offre une souplesse adéquate</w:t>
      </w:r>
      <w:r w:rsidRPr="008F1497">
        <w:rPr>
          <w:rFonts w:hint="eastAsia"/>
          <w:lang w:val="fr-FR"/>
        </w:rPr>
        <w:t xml:space="preserve">. </w:t>
      </w:r>
      <w:r w:rsidRPr="008F1497">
        <w:rPr>
          <w:lang w:val="fr-FR"/>
        </w:rPr>
        <w:t>Dans des situations exceptionnelles, lorsque l</w:t>
      </w:r>
      <w:r w:rsidR="00172EFA">
        <w:rPr>
          <w:lang w:val="fr-FR"/>
        </w:rPr>
        <w:t>’</w:t>
      </w:r>
      <w:r w:rsidRPr="008F1497">
        <w:rPr>
          <w:lang w:val="fr-FR"/>
        </w:rPr>
        <w:t>employeur ne peut poursuivre l</w:t>
      </w:r>
      <w:r w:rsidR="00172EFA">
        <w:rPr>
          <w:lang w:val="fr-FR"/>
        </w:rPr>
        <w:t>’</w:t>
      </w:r>
      <w:r w:rsidRPr="008F1497">
        <w:rPr>
          <w:lang w:val="fr-FR"/>
        </w:rPr>
        <w:t>exécution du contrat pour cause, par exemple, d</w:t>
      </w:r>
      <w:r w:rsidR="00172EFA">
        <w:rPr>
          <w:lang w:val="fr-FR"/>
        </w:rPr>
        <w:t>’</w:t>
      </w:r>
      <w:r w:rsidRPr="008F1497">
        <w:rPr>
          <w:lang w:val="fr-FR"/>
        </w:rPr>
        <w:t>émigration, d</w:t>
      </w:r>
      <w:r w:rsidR="00172EFA">
        <w:rPr>
          <w:lang w:val="fr-FR"/>
        </w:rPr>
        <w:t>’</w:t>
      </w:r>
      <w:r w:rsidRPr="008F1497">
        <w:rPr>
          <w:lang w:val="fr-FR"/>
        </w:rPr>
        <w:t>expatriation, de décès ou de difficultés financières, ou lorsqu</w:t>
      </w:r>
      <w:r w:rsidR="00172EFA">
        <w:rPr>
          <w:lang w:val="fr-FR"/>
        </w:rPr>
        <w:t>’</w:t>
      </w:r>
      <w:r w:rsidRPr="008F1497">
        <w:rPr>
          <w:lang w:val="fr-FR"/>
        </w:rPr>
        <w:t>il est prouvé que l</w:t>
      </w:r>
      <w:r w:rsidR="00172EFA">
        <w:rPr>
          <w:lang w:val="fr-FR"/>
        </w:rPr>
        <w:t>’</w:t>
      </w:r>
      <w:r w:rsidRPr="008F1497">
        <w:rPr>
          <w:lang w:val="fr-FR"/>
        </w:rPr>
        <w:t>employé de maison a été maltraité ou exploité</w:t>
      </w:r>
      <w:r w:rsidRPr="008F1497">
        <w:rPr>
          <w:rFonts w:hint="eastAsia"/>
          <w:lang w:val="fr-FR"/>
        </w:rPr>
        <w:t>,</w:t>
      </w:r>
      <w:r w:rsidRPr="008F1497">
        <w:rPr>
          <w:lang w:val="fr-FR"/>
        </w:rPr>
        <w:t xml:space="preserve"> ce dernier peut demander à changer d</w:t>
      </w:r>
      <w:r w:rsidR="00172EFA">
        <w:rPr>
          <w:lang w:val="fr-FR"/>
        </w:rPr>
        <w:t>’</w:t>
      </w:r>
      <w:r w:rsidR="003B6230">
        <w:rPr>
          <w:lang w:val="fr-FR"/>
        </w:rPr>
        <w:t>emploi à Hong </w:t>
      </w:r>
      <w:r w:rsidRPr="008F1497">
        <w:rPr>
          <w:lang w:val="fr-FR"/>
        </w:rPr>
        <w:t>Kong, sans devoir préalablement retourner dans son pays d</w:t>
      </w:r>
      <w:r w:rsidR="00172EFA">
        <w:rPr>
          <w:lang w:val="fr-FR"/>
        </w:rPr>
        <w:t>’</w:t>
      </w:r>
      <w:r w:rsidRPr="008F1497">
        <w:rPr>
          <w:lang w:val="fr-FR"/>
        </w:rPr>
        <w:t>origine.</w:t>
      </w:r>
    </w:p>
    <w:p w:rsidR="008F1497" w:rsidRPr="008F1497" w:rsidRDefault="008F1497" w:rsidP="008F1497">
      <w:pPr>
        <w:pStyle w:val="ParNoG"/>
        <w:rPr>
          <w:lang w:val="fr-FR"/>
        </w:rPr>
      </w:pPr>
      <w:r w:rsidRPr="008F1497">
        <w:rPr>
          <w:lang w:val="fr-FR"/>
        </w:rPr>
        <w:t>L</w:t>
      </w:r>
      <w:r w:rsidR="00172EFA">
        <w:rPr>
          <w:lang w:val="fr-FR"/>
        </w:rPr>
        <w:t>’</w:t>
      </w:r>
      <w:r w:rsidRPr="008F1497">
        <w:rPr>
          <w:lang w:val="fr-FR"/>
        </w:rPr>
        <w:t>obligation d</w:t>
      </w:r>
      <w:r w:rsidR="00172EFA">
        <w:rPr>
          <w:lang w:val="fr-FR"/>
        </w:rPr>
        <w:t>’</w:t>
      </w:r>
      <w:r w:rsidRPr="008F1497">
        <w:rPr>
          <w:lang w:val="fr-FR"/>
        </w:rPr>
        <w:t>habiter chez l</w:t>
      </w:r>
      <w:r w:rsidR="00172EFA">
        <w:rPr>
          <w:lang w:val="fr-FR"/>
        </w:rPr>
        <w:t>’</w:t>
      </w:r>
      <w:r w:rsidRPr="008F1497">
        <w:rPr>
          <w:lang w:val="fr-FR"/>
        </w:rPr>
        <w:t>employeur est la pierre an</w:t>
      </w:r>
      <w:r w:rsidR="003B6230">
        <w:rPr>
          <w:lang w:val="fr-FR"/>
        </w:rPr>
        <w:t>gulaire de la politique de Hong </w:t>
      </w:r>
      <w:r w:rsidRPr="008F1497">
        <w:rPr>
          <w:lang w:val="fr-FR"/>
        </w:rPr>
        <w:t>Kong à l</w:t>
      </w:r>
      <w:r w:rsidR="00172EFA">
        <w:rPr>
          <w:lang w:val="fr-FR"/>
        </w:rPr>
        <w:t>’</w:t>
      </w:r>
      <w:r w:rsidRPr="008F1497">
        <w:rPr>
          <w:lang w:val="fr-FR"/>
        </w:rPr>
        <w:t>égard des travailleurs domestiques que l</w:t>
      </w:r>
      <w:r w:rsidR="00172EFA">
        <w:rPr>
          <w:lang w:val="fr-FR"/>
        </w:rPr>
        <w:t>’</w:t>
      </w:r>
      <w:r w:rsidRPr="008F1497">
        <w:rPr>
          <w:lang w:val="fr-FR"/>
        </w:rPr>
        <w:t>on fait venir de l</w:t>
      </w:r>
      <w:r w:rsidR="00172EFA">
        <w:rPr>
          <w:lang w:val="fr-FR"/>
        </w:rPr>
        <w:t>’</w:t>
      </w:r>
      <w:r w:rsidRPr="008F1497">
        <w:rPr>
          <w:lang w:val="fr-FR"/>
        </w:rPr>
        <w:t>étranger. Comme dans de nombreux autres pays, le Gouvernem</w:t>
      </w:r>
      <w:r w:rsidR="003B6230">
        <w:rPr>
          <w:lang w:val="fr-FR"/>
        </w:rPr>
        <w:t>ent de la RAS de Hong </w:t>
      </w:r>
      <w:r w:rsidRPr="008F1497">
        <w:rPr>
          <w:lang w:val="fr-FR"/>
        </w:rPr>
        <w:t xml:space="preserve">Kong a pour principe </w:t>
      </w:r>
      <w:r w:rsidR="003B6230">
        <w:rPr>
          <w:lang w:val="fr-FR"/>
        </w:rPr>
        <w:t>de donner la priorité à la main-</w:t>
      </w:r>
      <w:r w:rsidRPr="008F1497">
        <w:rPr>
          <w:lang w:val="fr-FR"/>
        </w:rPr>
        <w:t>d</w:t>
      </w:r>
      <w:r w:rsidR="00172EFA">
        <w:rPr>
          <w:lang w:val="fr-FR"/>
        </w:rPr>
        <w:t>’</w:t>
      </w:r>
      <w:r w:rsidRPr="008F1497">
        <w:rPr>
          <w:lang w:val="fr-FR"/>
        </w:rPr>
        <w:t>œuvre locale et de ne faire venir des travailleurs étrangers qu</w:t>
      </w:r>
      <w:r w:rsidR="00172EFA">
        <w:rPr>
          <w:lang w:val="fr-FR"/>
        </w:rPr>
        <w:t>’</w:t>
      </w:r>
      <w:r w:rsidRPr="008F1497">
        <w:rPr>
          <w:lang w:val="fr-FR"/>
        </w:rPr>
        <w:t>en cas de pénurie avérée de main d</w:t>
      </w:r>
      <w:r w:rsidR="00172EFA">
        <w:rPr>
          <w:lang w:val="fr-FR"/>
        </w:rPr>
        <w:t>’</w:t>
      </w:r>
      <w:r w:rsidRPr="008F1497">
        <w:rPr>
          <w:lang w:val="fr-FR"/>
        </w:rPr>
        <w:t>œuvre dans des secteurs précis, qui ne peut être comblée par des travailleurs locaux. En application de ce principe, des travailleurs domestiques viennent de l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étranger depuis le début des années </w:t>
      </w:r>
      <w:r w:rsidR="003B6230">
        <w:rPr>
          <w:lang w:val="fr-FR"/>
        </w:rPr>
        <w:t>19</w:t>
      </w:r>
      <w:r w:rsidRPr="008F1497">
        <w:rPr>
          <w:lang w:val="fr-FR"/>
        </w:rPr>
        <w:t xml:space="preserve">70 pour pallier </w:t>
      </w:r>
      <w:r w:rsidR="003B6230">
        <w:rPr>
          <w:lang w:val="fr-FR"/>
        </w:rPr>
        <w:t>la pénurie marquée</w:t>
      </w:r>
      <w:r w:rsidRPr="008F1497">
        <w:rPr>
          <w:lang w:val="fr-FR"/>
        </w:rPr>
        <w:t xml:space="preserve"> d</w:t>
      </w:r>
      <w:r w:rsidR="003B6230">
        <w:rPr>
          <w:lang w:val="fr-FR"/>
        </w:rPr>
        <w:t>e</w:t>
      </w:r>
      <w:r w:rsidRPr="008F1497">
        <w:rPr>
          <w:lang w:val="fr-FR"/>
        </w:rPr>
        <w:t xml:space="preserve"> personnel loca</w:t>
      </w:r>
      <w:r w:rsidR="003B6230">
        <w:rPr>
          <w:lang w:val="fr-FR"/>
        </w:rPr>
        <w:t>l logé. Le Gouvernement de Hong </w:t>
      </w:r>
      <w:r w:rsidRPr="008F1497">
        <w:rPr>
          <w:lang w:val="fr-FR"/>
        </w:rPr>
        <w:t>Kong considère qu</w:t>
      </w:r>
      <w:r w:rsidR="00172EFA">
        <w:rPr>
          <w:lang w:val="fr-FR"/>
        </w:rPr>
        <w:t>’</w:t>
      </w:r>
      <w:r w:rsidRPr="008F1497">
        <w:rPr>
          <w:lang w:val="fr-FR"/>
        </w:rPr>
        <w:t>il est nécessaire de continuer à imposer aux employés de maison étrangers l</w:t>
      </w:r>
      <w:r w:rsidR="00172EFA">
        <w:rPr>
          <w:lang w:val="fr-FR"/>
        </w:rPr>
        <w:t>’</w:t>
      </w:r>
      <w:r w:rsidRPr="008F1497">
        <w:rPr>
          <w:lang w:val="fr-FR"/>
        </w:rPr>
        <w:t>obligation d</w:t>
      </w:r>
      <w:r w:rsidR="00172EFA">
        <w:rPr>
          <w:lang w:val="fr-FR"/>
        </w:rPr>
        <w:t>’</w:t>
      </w:r>
      <w:r w:rsidRPr="008F1497">
        <w:rPr>
          <w:lang w:val="fr-FR"/>
        </w:rPr>
        <w:t>habiter chez leur employeur.</w:t>
      </w:r>
    </w:p>
    <w:p w:rsidR="008F1497" w:rsidRPr="008F1497" w:rsidRDefault="008F1497" w:rsidP="008F1497">
      <w:pPr>
        <w:pStyle w:val="H1G"/>
        <w:rPr>
          <w:rFonts w:hint="eastAsia"/>
          <w:lang w:val="fr-FR"/>
        </w:rPr>
      </w:pPr>
      <w:r w:rsidRPr="008F1497">
        <w:rPr>
          <w:lang w:val="fr-FR"/>
        </w:rPr>
        <w:tab/>
      </w:r>
      <w:r w:rsidRPr="008F1497">
        <w:rPr>
          <w:lang w:val="fr-FR"/>
        </w:rPr>
        <w:tab/>
      </w:r>
      <w:r w:rsidRPr="008F1497">
        <w:rPr>
          <w:rFonts w:hint="eastAsia"/>
          <w:lang w:val="fr-FR"/>
        </w:rPr>
        <w:t>R</w:t>
      </w:r>
      <w:r w:rsidRPr="008F1497">
        <w:rPr>
          <w:lang w:val="fr-FR"/>
        </w:rPr>
        <w:t>é</w:t>
      </w:r>
      <w:r w:rsidRPr="008F1497">
        <w:rPr>
          <w:rFonts w:hint="eastAsia"/>
          <w:lang w:val="fr-FR"/>
        </w:rPr>
        <w:t xml:space="preserve">ponse </w:t>
      </w:r>
      <w:r w:rsidRPr="008F1497">
        <w:rPr>
          <w:lang w:val="fr-FR"/>
        </w:rPr>
        <w:t xml:space="preserve">au </w:t>
      </w:r>
      <w:r w:rsidRPr="008F1497">
        <w:rPr>
          <w:rFonts w:hint="eastAsia"/>
          <w:lang w:val="fr-FR"/>
        </w:rPr>
        <w:t>paragraph</w:t>
      </w:r>
      <w:r w:rsidRPr="008F1497">
        <w:rPr>
          <w:lang w:val="fr-FR"/>
        </w:rPr>
        <w:t>e </w:t>
      </w:r>
      <w:r w:rsidRPr="008F1497">
        <w:rPr>
          <w:rFonts w:hint="eastAsia"/>
          <w:lang w:val="fr-FR"/>
        </w:rPr>
        <w:t xml:space="preserve">22 </w:t>
      </w:r>
      <w:r w:rsidRPr="008F1497">
        <w:rPr>
          <w:lang w:val="fr-FR"/>
        </w:rPr>
        <w:t>des observations finales</w:t>
      </w:r>
    </w:p>
    <w:p w:rsidR="008F1497" w:rsidRPr="008F1497" w:rsidRDefault="008F1497" w:rsidP="008F1497">
      <w:pPr>
        <w:pStyle w:val="ParNoG"/>
        <w:rPr>
          <w:rFonts w:hint="eastAsia"/>
          <w:lang w:val="fr-FR"/>
        </w:rPr>
      </w:pPr>
      <w:r w:rsidRPr="008F1497">
        <w:rPr>
          <w:lang w:val="fr-FR"/>
        </w:rPr>
        <w:t>Comme l</w:t>
      </w:r>
      <w:r w:rsidR="00172EFA">
        <w:rPr>
          <w:lang w:val="fr-FR"/>
        </w:rPr>
        <w:t>’</w:t>
      </w:r>
      <w:r w:rsidRPr="008F1497">
        <w:rPr>
          <w:lang w:val="fr-FR"/>
        </w:rPr>
        <w:t>a annoncé le Chef de l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exécutif dans son discours de politique générale du 15 janvier </w:t>
      </w:r>
      <w:r w:rsidRPr="008F1497">
        <w:rPr>
          <w:rFonts w:hint="eastAsia"/>
          <w:lang w:val="fr-FR"/>
        </w:rPr>
        <w:t xml:space="preserve">2014, </w:t>
      </w:r>
      <w:r w:rsidRPr="008F1497">
        <w:rPr>
          <w:lang w:val="fr-FR"/>
        </w:rPr>
        <w:t>à compter de l</w:t>
      </w:r>
      <w:r w:rsidR="00172EFA">
        <w:rPr>
          <w:lang w:val="fr-FR"/>
        </w:rPr>
        <w:t>’</w:t>
      </w:r>
      <w:r w:rsidRPr="008F1497">
        <w:rPr>
          <w:lang w:val="fr-FR"/>
        </w:rPr>
        <w:t>année scolaire 2014/15, le</w:t>
      </w:r>
      <w:r w:rsidR="00172EFA">
        <w:rPr>
          <w:lang w:val="fr-FR"/>
        </w:rPr>
        <w:t xml:space="preserve"> Gouvernement de la RAS de Hong </w:t>
      </w:r>
      <w:r w:rsidRPr="008F1497">
        <w:rPr>
          <w:lang w:val="fr-FR"/>
        </w:rPr>
        <w:t xml:space="preserve">Kong allouera annuellement </w:t>
      </w:r>
      <w:r w:rsidR="00172EFA">
        <w:rPr>
          <w:lang w:val="fr-FR"/>
        </w:rPr>
        <w:t>200 millions de dollars de Hong </w:t>
      </w:r>
      <w:r w:rsidRPr="008F1497">
        <w:rPr>
          <w:lang w:val="fr-FR"/>
        </w:rPr>
        <w:t xml:space="preserve">Kong au renforcement du soutien accordé aux élèves non sinophones, notamment ceux issus des minorités ethniques, afin de favoriser un apprentissage efficace du chinois et de créer un environnement </w:t>
      </w:r>
      <w:r w:rsidR="00172EFA">
        <w:rPr>
          <w:lang w:val="fr-FR"/>
        </w:rPr>
        <w:t xml:space="preserve">favorable à l’intégration </w:t>
      </w:r>
      <w:r w:rsidRPr="008F1497">
        <w:rPr>
          <w:lang w:val="fr-FR"/>
        </w:rPr>
        <w:t>dans les écoles. Les importantes mesures de soutien mises en place comprennent notamment l</w:t>
      </w:r>
      <w:r w:rsidR="00172EFA">
        <w:rPr>
          <w:lang w:val="fr-FR"/>
        </w:rPr>
        <w:t>’</w:t>
      </w:r>
      <w:r w:rsidRPr="008F1497">
        <w:rPr>
          <w:lang w:val="fr-FR"/>
        </w:rPr>
        <w:t>instauration d</w:t>
      </w:r>
      <w:r w:rsidR="00172EFA">
        <w:rPr>
          <w:lang w:val="fr-FR"/>
        </w:rPr>
        <w:t>’</w:t>
      </w:r>
      <w:r w:rsidRPr="008F1497">
        <w:rPr>
          <w:lang w:val="fr-FR"/>
        </w:rPr>
        <w:t>un «cadre d</w:t>
      </w:r>
      <w:r w:rsidR="00172EFA">
        <w:rPr>
          <w:lang w:val="fr-FR"/>
        </w:rPr>
        <w:t>’</w:t>
      </w:r>
      <w:r w:rsidRPr="008F1497">
        <w:rPr>
          <w:lang w:val="fr-FR"/>
        </w:rPr>
        <w:t>apprentissage pour un programme d</w:t>
      </w:r>
      <w:r w:rsidR="00172EFA">
        <w:rPr>
          <w:lang w:val="fr-FR"/>
        </w:rPr>
        <w:t>’</w:t>
      </w:r>
      <w:r w:rsidRPr="008F1497">
        <w:rPr>
          <w:lang w:val="fr-FR"/>
        </w:rPr>
        <w:t>enseignement du chinois en tant que deuxième langue» destiné aux élèves non sinophones du primaire et du secondaire, accompagné de matériel pédagogique visant à permettre un apprentissage efficace. L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objectif est de permettre à ces élèves de réussir une transition vers des cours </w:t>
      </w:r>
      <w:r w:rsidR="00172EFA" w:rsidRPr="008F1497">
        <w:rPr>
          <w:lang w:val="fr-FR"/>
        </w:rPr>
        <w:t xml:space="preserve">ordinaires </w:t>
      </w:r>
      <w:r w:rsidR="00172EFA">
        <w:rPr>
          <w:lang w:val="fr-FR"/>
        </w:rPr>
        <w:t>en</w:t>
      </w:r>
      <w:r w:rsidRPr="008F1497">
        <w:rPr>
          <w:lang w:val="fr-FR"/>
        </w:rPr>
        <w:t xml:space="preserve"> chinois et un cours d</w:t>
      </w:r>
      <w:r w:rsidR="00172EFA">
        <w:rPr>
          <w:lang w:val="fr-FR"/>
        </w:rPr>
        <w:t>’</w:t>
      </w:r>
      <w:r w:rsidRPr="008F1497">
        <w:rPr>
          <w:lang w:val="fr-FR"/>
        </w:rPr>
        <w:t>apprentissage appliqué (de la langue chinoise) dans le deuxième cycle du secondaire, de manière à ce qu</w:t>
      </w:r>
      <w:r w:rsidR="00172EFA">
        <w:rPr>
          <w:lang w:val="fr-FR"/>
        </w:rPr>
        <w:t>’ils atteignent le niveau </w:t>
      </w:r>
      <w:r w:rsidRPr="008F1497">
        <w:rPr>
          <w:lang w:val="fr-FR"/>
        </w:rPr>
        <w:t>1 à 3 du Cadre des certifications, ce qui représenterait une qualification alternative propre à accroître leurs chances de trouver un emploi. Parallè</w:t>
      </w:r>
      <w:r w:rsidR="00172EFA">
        <w:rPr>
          <w:lang w:val="fr-FR"/>
        </w:rPr>
        <w:t>lement, le Gouvernement de Hong </w:t>
      </w:r>
      <w:r w:rsidRPr="008F1497">
        <w:rPr>
          <w:lang w:val="fr-FR"/>
        </w:rPr>
        <w:t xml:space="preserve">Kong va continuer à soutenir financièrement les élèves non sinophones passant les épreuves de langue chinoise du </w:t>
      </w:r>
      <w:r w:rsidRPr="008F1497">
        <w:rPr>
          <w:i/>
          <w:lang w:val="fr-FR"/>
        </w:rPr>
        <w:t>General Certificate of Secondary Education</w:t>
      </w:r>
      <w:r w:rsidRPr="008F1497">
        <w:rPr>
          <w:lang w:val="fr-FR"/>
        </w:rPr>
        <w:t>, de l</w:t>
      </w:r>
      <w:r w:rsidR="00172EFA">
        <w:rPr>
          <w:lang w:val="fr-FR"/>
        </w:rPr>
        <w:t>’</w:t>
      </w:r>
      <w:r w:rsidRPr="008F1497">
        <w:rPr>
          <w:i/>
          <w:lang w:val="fr-FR"/>
        </w:rPr>
        <w:t>International General Certificate of Secondary Education</w:t>
      </w:r>
      <w:r w:rsidRPr="008F1497">
        <w:rPr>
          <w:lang w:val="fr-FR"/>
        </w:rPr>
        <w:t xml:space="preserve"> et du </w:t>
      </w:r>
      <w:r w:rsidRPr="008F1497">
        <w:rPr>
          <w:i/>
          <w:lang w:val="fr-FR"/>
        </w:rPr>
        <w:t>General Certificate of Education</w:t>
      </w:r>
      <w:r w:rsidRPr="008F1497">
        <w:rPr>
          <w:lang w:val="fr-FR"/>
        </w:rPr>
        <w:t>. Les résultats de ces examens sont reconnus sur le plan international et sont pris en considération en tant que diplômes alternatifs en langue chinoise pour l</w:t>
      </w:r>
      <w:r w:rsidR="00172EFA">
        <w:rPr>
          <w:lang w:val="fr-FR"/>
        </w:rPr>
        <w:t>’</w:t>
      </w:r>
      <w:r w:rsidRPr="008F1497">
        <w:rPr>
          <w:lang w:val="fr-FR"/>
        </w:rPr>
        <w:t>admission dans les institutions locales d</w:t>
      </w:r>
      <w:r w:rsidR="00172EFA">
        <w:rPr>
          <w:lang w:val="fr-FR"/>
        </w:rPr>
        <w:t>’enseignement post</w:t>
      </w:r>
      <w:r w:rsidRPr="008F1497">
        <w:rPr>
          <w:lang w:val="fr-FR"/>
        </w:rPr>
        <w:t>secondaire et les universités. Des cours de langue à orientation professionnelle reconnus par le Cadre de certification vont également être mis en place pour les élèves non sinophones sortant du système scolaire.</w:t>
      </w:r>
    </w:p>
    <w:p w:rsidR="008F1497" w:rsidRPr="008F1497" w:rsidRDefault="008F1497" w:rsidP="00172EFA">
      <w:pPr>
        <w:pStyle w:val="ParNoG"/>
        <w:tabs>
          <w:tab w:val="clear" w:pos="1701"/>
        </w:tabs>
        <w:rPr>
          <w:lang w:val="fr-FR"/>
        </w:rPr>
      </w:pPr>
      <w:r w:rsidRPr="008F1497">
        <w:rPr>
          <w:lang w:val="fr-FR"/>
        </w:rPr>
        <w:t>Afin de faciliter l</w:t>
      </w:r>
      <w:r w:rsidR="00172EFA">
        <w:rPr>
          <w:lang w:val="fr-FR"/>
        </w:rPr>
        <w:t>’</w:t>
      </w:r>
      <w:r w:rsidRPr="008F1497">
        <w:rPr>
          <w:lang w:val="fr-FR"/>
        </w:rPr>
        <w:t>application par les établissements du cadre d</w:t>
      </w:r>
      <w:r w:rsidR="00172EFA">
        <w:rPr>
          <w:lang w:val="fr-FR"/>
        </w:rPr>
        <w:t>’</w:t>
      </w:r>
      <w:r w:rsidRPr="008F1497">
        <w:rPr>
          <w:lang w:val="fr-FR"/>
        </w:rPr>
        <w:t>enseignement susmentionné, à compter de l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année scolaire 2014/15, les établissements recevant des élèves non sinophones </w:t>
      </w:r>
      <w:r w:rsidR="00172EFA">
        <w:rPr>
          <w:lang w:val="fr-FR"/>
        </w:rPr>
        <w:t>recevront</w:t>
      </w:r>
      <w:r w:rsidRPr="008F1497">
        <w:rPr>
          <w:lang w:val="fr-FR"/>
        </w:rPr>
        <w:t xml:space="preserve"> des crédits supplémentaires pour le suivi et l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évaluation </w:t>
      </w:r>
      <w:r w:rsidR="00172EFA">
        <w:rPr>
          <w:lang w:val="fr-FR"/>
        </w:rPr>
        <w:t>qui leur permettront d’aider ces élèves à</w:t>
      </w:r>
      <w:r w:rsidRPr="008F1497">
        <w:rPr>
          <w:lang w:val="fr-FR"/>
        </w:rPr>
        <w:t xml:space="preserve"> intégrer des classes ordinaires</w:t>
      </w:r>
      <w:r w:rsidR="00172EFA">
        <w:rPr>
          <w:lang w:val="fr-FR"/>
        </w:rPr>
        <w:t xml:space="preserve"> en chinois</w:t>
      </w:r>
      <w:r w:rsidRPr="008F1497">
        <w:rPr>
          <w:lang w:val="fr-FR"/>
        </w:rPr>
        <w:t xml:space="preserve">. En outre, un programme de subvention en faveur du </w:t>
      </w:r>
      <w:r w:rsidR="00172EFA">
        <w:rPr>
          <w:lang w:val="fr-FR"/>
        </w:rPr>
        <w:t>perfectionnement</w:t>
      </w:r>
      <w:r w:rsidRPr="008F1497">
        <w:rPr>
          <w:lang w:val="fr-FR"/>
        </w:rPr>
        <w:t xml:space="preserve"> des professeurs de chinois en matière d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enseignement du chinois comme seconde langue sera lancé au premier trimestre </w:t>
      </w:r>
      <w:r w:rsidRPr="008F1497">
        <w:rPr>
          <w:rFonts w:hint="eastAsia"/>
          <w:lang w:val="fr-FR"/>
        </w:rPr>
        <w:t>2014</w:t>
      </w:r>
      <w:r w:rsidRPr="008F1497">
        <w:rPr>
          <w:lang w:val="fr-FR"/>
        </w:rPr>
        <w:t>. Parallèlement, des sessions de formation et des possibilités d</w:t>
      </w:r>
      <w:r w:rsidR="00172EFA">
        <w:rPr>
          <w:lang w:val="fr-FR"/>
        </w:rPr>
        <w:t>’</w:t>
      </w:r>
      <w:r w:rsidRPr="008F1497">
        <w:rPr>
          <w:lang w:val="fr-FR"/>
        </w:rPr>
        <w:t>échange d</w:t>
      </w:r>
      <w:r w:rsidR="00172EFA">
        <w:rPr>
          <w:lang w:val="fr-FR"/>
        </w:rPr>
        <w:t>’</w:t>
      </w:r>
      <w:r w:rsidRPr="008F1497">
        <w:rPr>
          <w:lang w:val="fr-FR"/>
        </w:rPr>
        <w:t>expériences plus nombreuses devraient être proposées dans ce domaine. Concernant la promotion de l</w:t>
      </w:r>
      <w:r w:rsidR="00172EFA">
        <w:rPr>
          <w:lang w:val="fr-FR"/>
        </w:rPr>
        <w:t>’</w:t>
      </w:r>
      <w:r w:rsidRPr="008F1497">
        <w:rPr>
          <w:lang w:val="fr-FR"/>
        </w:rPr>
        <w:t>adaptation précoce, les parents d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élèves non sinophones sont encouragés à faire </w:t>
      </w:r>
      <w:r w:rsidR="00172EFA">
        <w:rPr>
          <w:lang w:val="fr-FR"/>
        </w:rPr>
        <w:t xml:space="preserve">en sorte que </w:t>
      </w:r>
      <w:r w:rsidRPr="008F1497">
        <w:rPr>
          <w:lang w:val="fr-FR"/>
        </w:rPr>
        <w:t xml:space="preserve">leurs enfants </w:t>
      </w:r>
      <w:r w:rsidR="00172EFA">
        <w:rPr>
          <w:lang w:val="fr-FR"/>
        </w:rPr>
        <w:t xml:space="preserve">commencent à apprendre le chinois </w:t>
      </w:r>
      <w:r w:rsidRPr="008F1497">
        <w:rPr>
          <w:lang w:val="fr-FR"/>
        </w:rPr>
        <w:t>dès le stade préprimaire. En outr</w:t>
      </w:r>
      <w:r w:rsidRPr="008F1497">
        <w:rPr>
          <w:rFonts w:hint="eastAsia"/>
          <w:lang w:val="fr-FR"/>
        </w:rPr>
        <w:t>e</w:t>
      </w:r>
      <w:r w:rsidRPr="008F1497">
        <w:rPr>
          <w:lang w:val="fr-FR"/>
        </w:rPr>
        <w:t xml:space="preserve">, </w:t>
      </w:r>
      <w:r w:rsidR="00172EFA">
        <w:rPr>
          <w:lang w:val="fr-FR"/>
        </w:rPr>
        <w:t>des </w:t>
      </w:r>
      <w:r w:rsidRPr="008F1497">
        <w:rPr>
          <w:lang w:val="fr-FR"/>
        </w:rPr>
        <w:t>projets/programmes au niveau des districts vis</w:t>
      </w:r>
      <w:r w:rsidR="00172EFA">
        <w:rPr>
          <w:lang w:val="fr-FR"/>
        </w:rPr>
        <w:t>e</w:t>
      </w:r>
      <w:r w:rsidRPr="008F1497">
        <w:rPr>
          <w:lang w:val="fr-FR"/>
        </w:rPr>
        <w:t xml:space="preserve">nt à inciter les élèves non sinophones </w:t>
      </w:r>
      <w:r w:rsidR="00172EFA">
        <w:rPr>
          <w:lang w:val="fr-FR"/>
        </w:rPr>
        <w:t>de 3 à 9 </w:t>
      </w:r>
      <w:r w:rsidRPr="008F1497">
        <w:rPr>
          <w:lang w:val="fr-FR"/>
        </w:rPr>
        <w:t xml:space="preserve">ans à apprendre le chinois </w:t>
      </w:r>
      <w:r w:rsidR="00172EFA">
        <w:rPr>
          <w:lang w:val="fr-FR"/>
        </w:rPr>
        <w:t xml:space="preserve">dans le cadre </w:t>
      </w:r>
      <w:r w:rsidRPr="008F1497">
        <w:rPr>
          <w:lang w:val="fr-FR"/>
        </w:rPr>
        <w:t>d</w:t>
      </w:r>
      <w:r w:rsidR="00172EFA">
        <w:rPr>
          <w:lang w:val="fr-FR"/>
        </w:rPr>
        <w:t>’</w:t>
      </w:r>
      <w:r w:rsidRPr="008F1497">
        <w:rPr>
          <w:lang w:val="fr-FR"/>
        </w:rPr>
        <w:t>activités ludiques. Les parents d</w:t>
      </w:r>
      <w:r w:rsidR="00172EFA">
        <w:rPr>
          <w:lang w:val="fr-FR"/>
        </w:rPr>
        <w:t>’</w:t>
      </w:r>
      <w:r w:rsidRPr="008F1497">
        <w:rPr>
          <w:lang w:val="fr-FR"/>
        </w:rPr>
        <w:t>élèves non sinophones sont également encouragés à participer au Programme passerelle de cours d</w:t>
      </w:r>
      <w:r w:rsidR="00172EFA">
        <w:rPr>
          <w:lang w:val="fr-FR"/>
        </w:rPr>
        <w:t>’</w:t>
      </w:r>
      <w:r w:rsidRPr="008F1497">
        <w:rPr>
          <w:lang w:val="fr-FR"/>
        </w:rPr>
        <w:t xml:space="preserve">été avec leurs enfants entrant en </w:t>
      </w:r>
      <w:r w:rsidR="00172EFA">
        <w:rPr>
          <w:lang w:val="fr-FR"/>
        </w:rPr>
        <w:t xml:space="preserve">primaire </w:t>
      </w:r>
      <w:r w:rsidRPr="008F1497">
        <w:rPr>
          <w:lang w:val="fr-FR"/>
        </w:rPr>
        <w:t>ou passant en deuxième, troisième ou quatrième année de primaire.</w:t>
      </w:r>
    </w:p>
    <w:p w:rsidR="008F1497" w:rsidRDefault="008F1497" w:rsidP="008F1497">
      <w:pPr>
        <w:pStyle w:val="ParNoG"/>
        <w:tabs>
          <w:tab w:val="clear" w:pos="1701"/>
        </w:tabs>
        <w:rPr>
          <w:lang w:val="fr-FR"/>
        </w:rPr>
      </w:pPr>
      <w:r w:rsidRPr="008F1497">
        <w:rPr>
          <w:lang w:val="fr-FR"/>
        </w:rPr>
        <w:t>À la suite du discours de politique générale mentionné</w:t>
      </w:r>
      <w:r w:rsidR="00172EFA">
        <w:rPr>
          <w:lang w:val="fr-FR"/>
        </w:rPr>
        <w:t xml:space="preserve"> plus haut</w:t>
      </w:r>
      <w:r w:rsidRPr="008F1497">
        <w:rPr>
          <w:rFonts w:hint="eastAsia"/>
          <w:lang w:val="fr-FR"/>
        </w:rPr>
        <w:t>,</w:t>
      </w:r>
      <w:r w:rsidRPr="008F1497">
        <w:rPr>
          <w:lang w:val="fr-FR"/>
        </w:rPr>
        <w:t xml:space="preserve"> le grand public a réagi favorablement aux nouvelles initiatives prises</w:t>
      </w:r>
      <w:r w:rsidRPr="008F1497">
        <w:rPr>
          <w:rFonts w:hint="eastAsia"/>
          <w:lang w:val="fr-FR"/>
        </w:rPr>
        <w:t xml:space="preserve">. </w:t>
      </w:r>
      <w:r w:rsidR="00172EFA">
        <w:rPr>
          <w:lang w:val="fr-FR"/>
        </w:rPr>
        <w:t>Le Gouvernement de Hong </w:t>
      </w:r>
      <w:r w:rsidRPr="008F1497">
        <w:rPr>
          <w:lang w:val="fr-FR"/>
        </w:rPr>
        <w:t>Kong entend continuer à recueillir et écouter l</w:t>
      </w:r>
      <w:r w:rsidR="00172EFA">
        <w:rPr>
          <w:lang w:val="fr-FR"/>
        </w:rPr>
        <w:t>’</w:t>
      </w:r>
      <w:r w:rsidRPr="008F1497">
        <w:rPr>
          <w:lang w:val="fr-FR"/>
        </w:rPr>
        <w:t>avis des principales parties prenantes, en liaison avec la Commission de l</w:t>
      </w:r>
      <w:r w:rsidR="00172EFA">
        <w:rPr>
          <w:lang w:val="fr-FR"/>
        </w:rPr>
        <w:t>’</w:t>
      </w:r>
      <w:r w:rsidRPr="008F1497">
        <w:rPr>
          <w:lang w:val="fr-FR"/>
        </w:rPr>
        <w:t>égalité des chances établie par la loi, de manière à adapter, s</w:t>
      </w:r>
      <w:r w:rsidR="00172EFA">
        <w:rPr>
          <w:lang w:val="fr-FR"/>
        </w:rPr>
        <w:t>’</w:t>
      </w:r>
      <w:r w:rsidRPr="008F1497">
        <w:rPr>
          <w:lang w:val="fr-FR"/>
        </w:rPr>
        <w:t>il y a lieu, ses mesures de soutien à l</w:t>
      </w:r>
      <w:r w:rsidR="00172EFA">
        <w:rPr>
          <w:lang w:val="fr-FR"/>
        </w:rPr>
        <w:t>’</w:t>
      </w:r>
      <w:r w:rsidRPr="008F1497">
        <w:rPr>
          <w:lang w:val="fr-FR"/>
        </w:rPr>
        <w:t>éducation.</w:t>
      </w:r>
    </w:p>
    <w:p w:rsidR="008F1497" w:rsidRPr="008F1497" w:rsidRDefault="008F1497" w:rsidP="008F149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F1497" w:rsidRPr="008F1497" w:rsidSect="008F14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48" w:rsidRDefault="00AC0948"/>
  </w:endnote>
  <w:endnote w:type="continuationSeparator" w:id="0">
    <w:p w:rsidR="00AC0948" w:rsidRDefault="00AC0948"/>
  </w:endnote>
  <w:endnote w:type="continuationNotice" w:id="1">
    <w:p w:rsidR="00AC0948" w:rsidRPr="00903B66" w:rsidRDefault="00AC0948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48" w:rsidRPr="008F1497" w:rsidRDefault="00AC0948" w:rsidP="008F1497">
    <w:pPr>
      <w:pStyle w:val="Footer"/>
      <w:tabs>
        <w:tab w:val="right" w:pos="9638"/>
      </w:tabs>
    </w:pPr>
    <w:r w:rsidRPr="008F1497">
      <w:rPr>
        <w:b/>
        <w:sz w:val="18"/>
      </w:rPr>
      <w:fldChar w:fldCharType="begin"/>
    </w:r>
    <w:r w:rsidRPr="008F1497">
      <w:rPr>
        <w:b/>
        <w:sz w:val="18"/>
      </w:rPr>
      <w:instrText xml:space="preserve"> PAGE  \* MERGEFORMAT </w:instrText>
    </w:r>
    <w:r w:rsidRPr="008F1497">
      <w:rPr>
        <w:b/>
        <w:sz w:val="18"/>
      </w:rPr>
      <w:fldChar w:fldCharType="separate"/>
    </w:r>
    <w:r w:rsidR="00FA0882">
      <w:rPr>
        <w:b/>
        <w:noProof/>
        <w:sz w:val="18"/>
      </w:rPr>
      <w:t>2</w:t>
    </w:r>
    <w:r w:rsidRPr="008F1497">
      <w:rPr>
        <w:b/>
        <w:sz w:val="18"/>
      </w:rPr>
      <w:fldChar w:fldCharType="end"/>
    </w:r>
    <w:r>
      <w:rPr>
        <w:b/>
        <w:sz w:val="18"/>
      </w:rPr>
      <w:tab/>
    </w:r>
    <w:r>
      <w:t>GE.14-02535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48" w:rsidRPr="008F1497" w:rsidRDefault="00AC0948" w:rsidP="008F1497">
    <w:pPr>
      <w:pStyle w:val="Footer"/>
      <w:tabs>
        <w:tab w:val="right" w:pos="9638"/>
      </w:tabs>
      <w:rPr>
        <w:b/>
        <w:sz w:val="18"/>
      </w:rPr>
    </w:pPr>
    <w:r>
      <w:t>GE.14-02535</w:t>
    </w:r>
    <w:r>
      <w:tab/>
    </w:r>
    <w:r w:rsidRPr="008F1497">
      <w:rPr>
        <w:b/>
        <w:sz w:val="18"/>
      </w:rPr>
      <w:fldChar w:fldCharType="begin"/>
    </w:r>
    <w:r w:rsidRPr="008F1497">
      <w:rPr>
        <w:b/>
        <w:sz w:val="18"/>
      </w:rPr>
      <w:instrText xml:space="preserve"> PAGE  \* MERGEFORMAT </w:instrText>
    </w:r>
    <w:r w:rsidRPr="008F1497">
      <w:rPr>
        <w:b/>
        <w:sz w:val="18"/>
      </w:rPr>
      <w:fldChar w:fldCharType="separate"/>
    </w:r>
    <w:r w:rsidR="00FA0882">
      <w:rPr>
        <w:b/>
        <w:noProof/>
        <w:sz w:val="18"/>
      </w:rPr>
      <w:t>3</w:t>
    </w:r>
    <w:r w:rsidRPr="008F1497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48" w:rsidRDefault="00AC0948" w:rsidP="008F1497">
    <w:pPr>
      <w:pStyle w:val="Footer"/>
      <w:spacing w:before="120"/>
    </w:pPr>
    <w:r>
      <w:rPr>
        <w:sz w:val="20"/>
      </w:rPr>
      <w:t>GE.14-02535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    100614    100614</w:t>
    </w:r>
    <w:r>
      <w:rPr>
        <w:sz w:val="20"/>
      </w:rPr>
      <w:br/>
    </w:r>
    <w:r w:rsidRPr="008F1497">
      <w:rPr>
        <w:rFonts w:ascii="C39T30Lfz" w:hAnsi="C39T30Lfz"/>
        <w:sz w:val="56"/>
      </w:rPr>
      <w:t></w:t>
    </w:r>
    <w:r w:rsidRPr="008F1497">
      <w:rPr>
        <w:rFonts w:ascii="C39T30Lfz" w:hAnsi="C39T30Lfz"/>
        <w:sz w:val="56"/>
      </w:rPr>
      <w:t></w:t>
    </w:r>
    <w:r w:rsidRPr="008F1497">
      <w:rPr>
        <w:rFonts w:ascii="C39T30Lfz" w:hAnsi="C39T30Lfz"/>
        <w:sz w:val="56"/>
      </w:rPr>
      <w:t></w:t>
    </w:r>
    <w:r w:rsidRPr="008F1497">
      <w:rPr>
        <w:rFonts w:ascii="C39T30Lfz" w:hAnsi="C39T30Lfz"/>
        <w:sz w:val="56"/>
      </w:rPr>
      <w:t></w:t>
    </w:r>
    <w:r w:rsidRPr="008F1497">
      <w:rPr>
        <w:rFonts w:ascii="C39T30Lfz" w:hAnsi="C39T30Lfz"/>
        <w:sz w:val="56"/>
      </w:rPr>
      <w:t></w:t>
    </w:r>
    <w:r w:rsidRPr="008F1497">
      <w:rPr>
        <w:rFonts w:ascii="C39T30Lfz" w:hAnsi="C39T30Lfz"/>
        <w:sz w:val="56"/>
      </w:rPr>
      <w:t></w:t>
    </w:r>
    <w:r w:rsidRPr="008F1497">
      <w:rPr>
        <w:rFonts w:ascii="C39T30Lfz" w:hAnsi="C39T30Lfz"/>
        <w:sz w:val="56"/>
      </w:rPr>
      <w:t></w:t>
    </w:r>
    <w:r w:rsidRPr="008F1497">
      <w:rPr>
        <w:rFonts w:ascii="C39T30Lfz" w:hAnsi="C39T30Lfz"/>
        <w:sz w:val="56"/>
      </w:rPr>
      <w:t></w:t>
    </w:r>
    <w:r w:rsidRPr="008F1497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Add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48" w:rsidRPr="00D27D5E" w:rsidRDefault="00AC094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0948" w:rsidRPr="00091505" w:rsidRDefault="00AC0948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AC0948" w:rsidRPr="00903B66" w:rsidRDefault="00AC0948" w:rsidP="00903B66">
      <w:pPr>
        <w:spacing w:line="240" w:lineRule="auto"/>
        <w:rPr>
          <w:sz w:val="2"/>
          <w:szCs w:val="2"/>
        </w:rPr>
      </w:pPr>
    </w:p>
  </w:footnote>
  <w:footnote w:id="2">
    <w:p w:rsidR="00AC0948" w:rsidRPr="008F1497" w:rsidRDefault="00AC0948">
      <w:pPr>
        <w:pStyle w:val="FootnoteText"/>
      </w:pPr>
      <w:r>
        <w:tab/>
      </w:r>
      <w:r w:rsidRPr="008F149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Le présent document n’a pas été revu par les services d’édition.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48" w:rsidRPr="008F1497" w:rsidRDefault="00AC0948">
    <w:pPr>
      <w:pStyle w:val="Header"/>
    </w:pPr>
    <w:r>
      <w:t>CCPR/C/CHN-HKG/CO/3/Add.1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48" w:rsidRPr="008F1497" w:rsidRDefault="00AC0948" w:rsidP="008F1497">
    <w:pPr>
      <w:pStyle w:val="Header"/>
      <w:jc w:val="right"/>
    </w:pPr>
    <w:r>
      <w:t>CCPR/C/CHN-HKG/CO/3/Add.1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762B2BAE"/>
    <w:multiLevelType w:val="hybridMultilevel"/>
    <w:tmpl w:val="CDB06162"/>
    <w:lvl w:ilvl="0" w:tplc="1C7C24AC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024"/>
    <w:rsid w:val="00016AC5"/>
    <w:rsid w:val="00091505"/>
    <w:rsid w:val="000A147A"/>
    <w:rsid w:val="000E61F8"/>
    <w:rsid w:val="000F41F2"/>
    <w:rsid w:val="00160540"/>
    <w:rsid w:val="00172EFA"/>
    <w:rsid w:val="00192EEB"/>
    <w:rsid w:val="001A20FB"/>
    <w:rsid w:val="001B102E"/>
    <w:rsid w:val="001C3080"/>
    <w:rsid w:val="001D7F8A"/>
    <w:rsid w:val="001E3FEB"/>
    <w:rsid w:val="001E4A02"/>
    <w:rsid w:val="001F25C4"/>
    <w:rsid w:val="00225A8C"/>
    <w:rsid w:val="002659F1"/>
    <w:rsid w:val="0027751F"/>
    <w:rsid w:val="00287E79"/>
    <w:rsid w:val="002928F9"/>
    <w:rsid w:val="002A5D07"/>
    <w:rsid w:val="002E0222"/>
    <w:rsid w:val="002E1A7F"/>
    <w:rsid w:val="003016B7"/>
    <w:rsid w:val="00326067"/>
    <w:rsid w:val="003515AA"/>
    <w:rsid w:val="00366F5B"/>
    <w:rsid w:val="00374106"/>
    <w:rsid w:val="003976D5"/>
    <w:rsid w:val="003B6230"/>
    <w:rsid w:val="003D6C68"/>
    <w:rsid w:val="00413931"/>
    <w:rsid w:val="004159D0"/>
    <w:rsid w:val="00464EEE"/>
    <w:rsid w:val="00543D5E"/>
    <w:rsid w:val="00571F41"/>
    <w:rsid w:val="00576024"/>
    <w:rsid w:val="005E5D1F"/>
    <w:rsid w:val="00611D43"/>
    <w:rsid w:val="00612D48"/>
    <w:rsid w:val="00616B45"/>
    <w:rsid w:val="00630D9B"/>
    <w:rsid w:val="00631953"/>
    <w:rsid w:val="006439EC"/>
    <w:rsid w:val="006B4590"/>
    <w:rsid w:val="006C340C"/>
    <w:rsid w:val="006E0D16"/>
    <w:rsid w:val="0070347C"/>
    <w:rsid w:val="0071451B"/>
    <w:rsid w:val="007176C1"/>
    <w:rsid w:val="00725DC9"/>
    <w:rsid w:val="00737DEE"/>
    <w:rsid w:val="00775D99"/>
    <w:rsid w:val="00796940"/>
    <w:rsid w:val="007C7846"/>
    <w:rsid w:val="007F55CB"/>
    <w:rsid w:val="00844750"/>
    <w:rsid w:val="00873B3C"/>
    <w:rsid w:val="00877628"/>
    <w:rsid w:val="00892241"/>
    <w:rsid w:val="008A39ED"/>
    <w:rsid w:val="008B44C4"/>
    <w:rsid w:val="008E7FAE"/>
    <w:rsid w:val="008F1497"/>
    <w:rsid w:val="008F53ED"/>
    <w:rsid w:val="00903B66"/>
    <w:rsid w:val="00911BF7"/>
    <w:rsid w:val="00943FFD"/>
    <w:rsid w:val="0097435C"/>
    <w:rsid w:val="00977EC8"/>
    <w:rsid w:val="00993DE6"/>
    <w:rsid w:val="009D3A8C"/>
    <w:rsid w:val="009E7956"/>
    <w:rsid w:val="00A228B4"/>
    <w:rsid w:val="00A2492E"/>
    <w:rsid w:val="00A720C2"/>
    <w:rsid w:val="00A9469F"/>
    <w:rsid w:val="00AA3390"/>
    <w:rsid w:val="00AB51C8"/>
    <w:rsid w:val="00AC0948"/>
    <w:rsid w:val="00AC67A1"/>
    <w:rsid w:val="00AC7977"/>
    <w:rsid w:val="00AE352C"/>
    <w:rsid w:val="00AF1CE8"/>
    <w:rsid w:val="00B32E2D"/>
    <w:rsid w:val="00B61990"/>
    <w:rsid w:val="00B93051"/>
    <w:rsid w:val="00BF0556"/>
    <w:rsid w:val="00BF6AF3"/>
    <w:rsid w:val="00C261F8"/>
    <w:rsid w:val="00C33100"/>
    <w:rsid w:val="00C4083C"/>
    <w:rsid w:val="00C7555F"/>
    <w:rsid w:val="00CA6A02"/>
    <w:rsid w:val="00CB5A09"/>
    <w:rsid w:val="00CD1A71"/>
    <w:rsid w:val="00CD1FBB"/>
    <w:rsid w:val="00CF5128"/>
    <w:rsid w:val="00D016B5"/>
    <w:rsid w:val="00D034F1"/>
    <w:rsid w:val="00D27D5E"/>
    <w:rsid w:val="00D35B2D"/>
    <w:rsid w:val="00DE6D90"/>
    <w:rsid w:val="00DF002F"/>
    <w:rsid w:val="00DF3BF1"/>
    <w:rsid w:val="00E0244D"/>
    <w:rsid w:val="00E144C5"/>
    <w:rsid w:val="00E368FF"/>
    <w:rsid w:val="00E81E94"/>
    <w:rsid w:val="00E82607"/>
    <w:rsid w:val="00EF318A"/>
    <w:rsid w:val="00F33865"/>
    <w:rsid w:val="00FA0882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basedOn w:val="DefaultParagraphFont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366F5B"/>
    <w:rPr>
      <w:color w:val="auto"/>
      <w:u w:val="none"/>
    </w:rPr>
  </w:style>
  <w:style w:type="character" w:styleId="FollowedHyperlink">
    <w:name w:val="FollowedHyperlink"/>
    <w:basedOn w:val="DefaultParagraphFont"/>
    <w:rsid w:val="00366F5B"/>
    <w:rPr>
      <w:color w:val="auto"/>
      <w:u w:val="none"/>
    </w:rPr>
  </w:style>
  <w:style w:type="paragraph" w:customStyle="1" w:styleId="ParNoG">
    <w:name w:val="_ParNo_G"/>
    <w:basedOn w:val="SingleTxtG"/>
    <w:rsid w:val="0032606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4</Pages>
  <Words>1865</Words>
  <Characters>10262</Characters>
  <Application>Microsoft Office Outlook</Application>
  <DocSecurity>4</DocSecurity>
  <Lines>168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CCPR/C/CHN-HKG/CO/3/Add.1</vt:lpstr>
    </vt:vector>
  </TitlesOfParts>
  <Company>CSD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CCPR/C/CHN-HKG/CO/3/Add.1</dc:title>
  <dc:subject/>
  <dc:creator>Clere</dc:creator>
  <cp:keywords/>
  <dc:description/>
  <cp:lastModifiedBy>Clere</cp:lastModifiedBy>
  <cp:revision>3</cp:revision>
  <cp:lastPrinted>2014-06-10T14:46:00Z</cp:lastPrinted>
  <dcterms:created xsi:type="dcterms:W3CDTF">2014-06-10T14:46:00Z</dcterms:created>
  <dcterms:modified xsi:type="dcterms:W3CDTF">2014-06-10T14:47:00Z</dcterms:modified>
</cp:coreProperties>
</file>