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7760B2" w:rsidP="00B51E7A">
            <w:pPr>
              <w:spacing w:line="240" w:lineRule="atLeast"/>
              <w:jc w:val="right"/>
              <w:rPr>
                <w:szCs w:val="21"/>
              </w:rPr>
            </w:pPr>
            <w:proofErr w:type="spellStart"/>
            <w:r>
              <w:rPr>
                <w:rFonts w:hint="eastAsia"/>
                <w:sz w:val="40"/>
                <w:szCs w:val="40"/>
              </w:rPr>
              <w:t>CCPR</w:t>
            </w:r>
            <w:r w:rsidR="00C7462D" w:rsidRPr="00BB67F9">
              <w:rPr>
                <w:sz w:val="20"/>
              </w:rPr>
              <w:t>/</w:t>
            </w:r>
            <w:r>
              <w:t>C/CHN-HKG/CO/3/Add.1</w:t>
            </w:r>
            <w:proofErr w:type="spellEnd"/>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7760B2" w:rsidP="00BB67F9">
            <w:pPr>
              <w:spacing w:before="240" w:line="240" w:lineRule="atLeast"/>
              <w:rPr>
                <w:rFonts w:hint="eastAsia"/>
                <w:sz w:val="20"/>
              </w:rPr>
            </w:pPr>
            <w:r>
              <w:rPr>
                <w:sz w:val="20"/>
              </w:rPr>
              <w:t xml:space="preserve">Distr.: </w:t>
            </w:r>
            <w:r w:rsidR="00E94AFD" w:rsidRPr="00E94AFD">
              <w:rPr>
                <w:sz w:val="20"/>
              </w:rPr>
              <w:t>General</w:t>
            </w:r>
          </w:p>
          <w:p w:rsidR="00C7462D" w:rsidRPr="00BB67F9" w:rsidRDefault="00E94AFD" w:rsidP="00BB67F9">
            <w:pPr>
              <w:spacing w:line="240" w:lineRule="atLeast"/>
              <w:rPr>
                <w:rFonts w:hint="eastAsia"/>
                <w:sz w:val="20"/>
              </w:rPr>
            </w:pPr>
            <w:r>
              <w:rPr>
                <w:rFonts w:hint="eastAsia"/>
                <w:sz w:val="20"/>
              </w:rPr>
              <w:t xml:space="preserve">5 </w:t>
            </w:r>
            <w:r w:rsidRPr="00E94AFD">
              <w:rPr>
                <w:sz w:val="20"/>
              </w:rPr>
              <w:t>May</w:t>
            </w:r>
            <w:r w:rsidR="00911A84">
              <w:rPr>
                <w:sz w:val="20"/>
              </w:rPr>
              <w:t xml:space="preserve"> </w:t>
            </w:r>
            <w:r w:rsidR="007760B2">
              <w:rPr>
                <w:sz w:val="20"/>
              </w:rPr>
              <w:t>2</w:t>
            </w:r>
            <w:r w:rsidR="00911A84">
              <w:rPr>
                <w:sz w:val="20"/>
              </w:rPr>
              <w:t>0</w:t>
            </w:r>
            <w:r w:rsidR="007760B2">
              <w:rPr>
                <w:rFonts w:hint="eastAsia"/>
                <w:sz w:val="20"/>
              </w:rPr>
              <w:t>14</w:t>
            </w:r>
          </w:p>
          <w:p w:rsidR="00C7462D" w:rsidRPr="00BB67F9" w:rsidRDefault="007760B2" w:rsidP="00BB67F9">
            <w:pPr>
              <w:spacing w:line="240" w:lineRule="atLeast"/>
              <w:rPr>
                <w:sz w:val="20"/>
              </w:rPr>
            </w:pPr>
            <w:r>
              <w:rPr>
                <w:sz w:val="20"/>
              </w:rPr>
              <w:t>Chinese</w:t>
            </w:r>
            <w:r w:rsidR="00C7462D" w:rsidRPr="00BB67F9">
              <w:rPr>
                <w:sz w:val="20"/>
              </w:rPr>
              <w:t xml:space="preserve"> </w:t>
            </w:r>
          </w:p>
          <w:p w:rsidR="00C7462D" w:rsidRPr="00BB67F9" w:rsidRDefault="007760B2" w:rsidP="00BB67F9">
            <w:pPr>
              <w:spacing w:line="240" w:lineRule="atLeast"/>
              <w:rPr>
                <w:rFonts w:hint="eastAsia"/>
                <w:sz w:val="20"/>
              </w:rPr>
            </w:pPr>
            <w:r>
              <w:rPr>
                <w:sz w:val="20"/>
              </w:rPr>
              <w:t xml:space="preserve">Original: </w:t>
            </w:r>
            <w:r w:rsidR="00D33E95">
              <w:t>Chinese and</w:t>
            </w:r>
            <w:r w:rsidR="00D33E95">
              <w:rPr>
                <w:sz w:val="20"/>
              </w:rPr>
              <w:t xml:space="preserve"> </w:t>
            </w:r>
            <w:r>
              <w:rPr>
                <w:sz w:val="20"/>
              </w:rPr>
              <w:t>English</w:t>
            </w:r>
          </w:p>
        </w:tc>
      </w:tr>
    </w:tbl>
    <w:p w:rsidR="00C7462D" w:rsidRDefault="00C7462D">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7760B2" w:rsidRPr="007760B2" w:rsidRDefault="007760B2" w:rsidP="00D33E95">
      <w:pPr>
        <w:pStyle w:val="HChGC"/>
        <w:spacing w:before="560"/>
        <w:rPr>
          <w:rFonts w:hint="eastAsia"/>
          <w:lang w:val="fr-CH"/>
        </w:rPr>
      </w:pPr>
      <w:r w:rsidRPr="007760B2">
        <w:tab/>
      </w:r>
      <w:r w:rsidRPr="007760B2">
        <w:tab/>
      </w:r>
      <w:r w:rsidRPr="007760B2">
        <w:rPr>
          <w:rFonts w:hint="eastAsia"/>
          <w:lang w:val="fr-CH"/>
        </w:rPr>
        <w:t>关于中国香港第三次定期报告的结论性意见</w:t>
      </w:r>
    </w:p>
    <w:p w:rsidR="007760B2" w:rsidRPr="007760B2" w:rsidRDefault="007760B2" w:rsidP="00E94AFD">
      <w:pPr>
        <w:pStyle w:val="H23GC"/>
        <w:rPr>
          <w:rFonts w:hint="eastAsia"/>
        </w:rPr>
      </w:pPr>
      <w:r w:rsidRPr="007760B2">
        <w:tab/>
      </w:r>
      <w:r w:rsidRPr="007760B2">
        <w:tab/>
      </w:r>
      <w:r w:rsidRPr="007760B2">
        <w:rPr>
          <w:rFonts w:hint="eastAsia"/>
        </w:rPr>
        <w:t>增编</w:t>
      </w:r>
    </w:p>
    <w:p w:rsidR="007760B2" w:rsidRPr="007760B2" w:rsidRDefault="007760B2" w:rsidP="00E94AFD">
      <w:pPr>
        <w:pStyle w:val="HChGC"/>
        <w:rPr>
          <w:rFonts w:hint="eastAsia"/>
          <w:lang w:val="fr-CH"/>
        </w:rPr>
      </w:pPr>
      <w:r w:rsidRPr="007760B2">
        <w:tab/>
      </w:r>
      <w:r w:rsidRPr="007760B2">
        <w:tab/>
      </w:r>
      <w:r w:rsidRPr="007760B2">
        <w:rPr>
          <w:rFonts w:hint="eastAsia"/>
          <w:lang w:val="fr-CH"/>
        </w:rPr>
        <w:t>中国香港</w:t>
      </w:r>
      <w:r w:rsidRPr="007760B2">
        <w:rPr>
          <w:rFonts w:hint="eastAsia"/>
        </w:rPr>
        <w:t>提供的关于结论性意见后续行动的资料</w:t>
      </w:r>
      <w:r w:rsidRPr="007760B2">
        <w:footnoteReference w:customMarkFollows="1" w:id="1"/>
        <w:t>*</w:t>
      </w:r>
    </w:p>
    <w:p w:rsidR="007760B2" w:rsidRPr="007760B2" w:rsidRDefault="007760B2" w:rsidP="00E94AFD">
      <w:pPr>
        <w:pStyle w:val="SingleTxtGC"/>
        <w:jc w:val="right"/>
        <w:rPr>
          <w:rFonts w:hint="eastAsia"/>
          <w:lang w:val="fr-CH"/>
        </w:rPr>
      </w:pPr>
      <w:r w:rsidRPr="007760B2">
        <w:rPr>
          <w:lang w:val="fr-CH"/>
        </w:rPr>
        <w:t>[</w:t>
      </w:r>
      <w:r w:rsidRPr="007760B2">
        <w:rPr>
          <w:rFonts w:hint="eastAsia"/>
        </w:rPr>
        <w:t>收到日期</w:t>
      </w:r>
      <w:r w:rsidRPr="007760B2">
        <w:rPr>
          <w:rFonts w:hint="eastAsia"/>
          <w:lang w:val="fr-CH"/>
        </w:rPr>
        <w:t>：</w:t>
      </w:r>
      <w:r>
        <w:rPr>
          <w:rFonts w:hint="eastAsia"/>
          <w:lang w:val="fr-CH"/>
        </w:rPr>
        <w:t>2</w:t>
      </w:r>
      <w:r w:rsidRPr="007760B2">
        <w:rPr>
          <w:rFonts w:hint="eastAsia"/>
          <w:lang w:val="fr-CH"/>
        </w:rPr>
        <w:t>0</w:t>
      </w:r>
      <w:r>
        <w:rPr>
          <w:rFonts w:hint="eastAsia"/>
          <w:lang w:val="fr-CH"/>
        </w:rPr>
        <w:t>14</w:t>
      </w:r>
      <w:r w:rsidRPr="007760B2">
        <w:rPr>
          <w:rFonts w:hint="eastAsia"/>
          <w:lang w:val="fr-CH"/>
        </w:rPr>
        <w:t>年</w:t>
      </w:r>
      <w:r>
        <w:rPr>
          <w:rFonts w:hint="eastAsia"/>
          <w:lang w:val="fr-CH"/>
        </w:rPr>
        <w:t>3</w:t>
      </w:r>
      <w:r w:rsidRPr="007760B2">
        <w:rPr>
          <w:rFonts w:hint="eastAsia"/>
          <w:lang w:val="fr-CH"/>
        </w:rPr>
        <w:t>月</w:t>
      </w:r>
      <w:r>
        <w:rPr>
          <w:rFonts w:hint="eastAsia"/>
          <w:lang w:val="fr-CH"/>
        </w:rPr>
        <w:t>25</w:t>
      </w:r>
      <w:r w:rsidRPr="007760B2">
        <w:rPr>
          <w:rFonts w:hint="eastAsia"/>
          <w:lang w:val="fr-CH"/>
        </w:rPr>
        <w:t>日</w:t>
      </w:r>
      <w:r w:rsidRPr="007760B2">
        <w:rPr>
          <w:lang w:val="fr-CH"/>
        </w:rPr>
        <w:t>]</w:t>
      </w:r>
    </w:p>
    <w:p w:rsidR="007760B2" w:rsidRPr="007760B2" w:rsidRDefault="007760B2" w:rsidP="00E94AFD">
      <w:pPr>
        <w:pStyle w:val="H1GC"/>
      </w:pPr>
      <w:r w:rsidRPr="007760B2">
        <w:tab/>
      </w:r>
      <w:r w:rsidRPr="007760B2">
        <w:tab/>
      </w:r>
      <w:r w:rsidRPr="007760B2">
        <w:rPr>
          <w:rFonts w:hint="eastAsia"/>
        </w:rPr>
        <w:t>引言</w:t>
      </w:r>
    </w:p>
    <w:p w:rsidR="007760B2" w:rsidRPr="007760B2" w:rsidRDefault="007760B2" w:rsidP="007760B2">
      <w:pPr>
        <w:pStyle w:val="SingleTxtGC"/>
      </w:pPr>
      <w:r>
        <w:t>1</w:t>
      </w:r>
      <w:r w:rsidRPr="007760B2">
        <w:t>.</w:t>
      </w:r>
      <w:r w:rsidRPr="007760B2">
        <w:tab/>
      </w:r>
      <w:r w:rsidRPr="007760B2">
        <w:rPr>
          <w:rFonts w:hint="eastAsia"/>
        </w:rPr>
        <w:t>联合国人权事务委员会在</w:t>
      </w:r>
      <w:r>
        <w:t>2</w:t>
      </w:r>
      <w:r w:rsidRPr="007760B2">
        <w:t>0</w:t>
      </w:r>
      <w:r>
        <w:t>13</w:t>
      </w:r>
      <w:r w:rsidRPr="007760B2">
        <w:rPr>
          <w:rFonts w:hint="eastAsia"/>
        </w:rPr>
        <w:t>年</w:t>
      </w:r>
      <w:r>
        <w:t>3</w:t>
      </w:r>
      <w:r w:rsidRPr="007760B2">
        <w:rPr>
          <w:rFonts w:hint="eastAsia"/>
        </w:rPr>
        <w:t>月</w:t>
      </w:r>
      <w:r>
        <w:t>12</w:t>
      </w:r>
      <w:r w:rsidRPr="007760B2">
        <w:rPr>
          <w:rFonts w:hint="eastAsia"/>
        </w:rPr>
        <w:t>及</w:t>
      </w:r>
      <w:r>
        <w:t>13</w:t>
      </w:r>
      <w:r w:rsidRPr="007760B2">
        <w:rPr>
          <w:rFonts w:hint="eastAsia"/>
        </w:rPr>
        <w:t>日审议香港特别行政区</w:t>
      </w:r>
      <w:r>
        <w:rPr>
          <w:rFonts w:hint="eastAsia"/>
        </w:rPr>
        <w:t>(</w:t>
      </w:r>
      <w:r w:rsidRPr="007760B2">
        <w:rPr>
          <w:rFonts w:hint="eastAsia"/>
        </w:rPr>
        <w:t>香港特区</w:t>
      </w:r>
      <w:r>
        <w:rPr>
          <w:rFonts w:hint="eastAsia"/>
        </w:rPr>
        <w:t>)</w:t>
      </w:r>
      <w:r w:rsidRPr="007760B2">
        <w:rPr>
          <w:rFonts w:hint="eastAsia"/>
        </w:rPr>
        <w:t>参照《公民权利和政治权利国际公约》</w:t>
      </w:r>
      <w:r>
        <w:rPr>
          <w:rFonts w:hint="eastAsia"/>
        </w:rPr>
        <w:t>(</w:t>
      </w:r>
      <w:r w:rsidRPr="007760B2">
        <w:rPr>
          <w:rFonts w:hint="eastAsia"/>
        </w:rPr>
        <w:t>《公约》</w:t>
      </w:r>
      <w:r>
        <w:rPr>
          <w:rFonts w:hint="eastAsia"/>
        </w:rPr>
        <w:t>)</w:t>
      </w:r>
      <w:r w:rsidRPr="007760B2">
        <w:rPr>
          <w:rFonts w:hint="eastAsia"/>
        </w:rPr>
        <w:t>所提交的第三次报告后，于</w:t>
      </w:r>
      <w:r>
        <w:t>2</w:t>
      </w:r>
      <w:r w:rsidRPr="007760B2">
        <w:t>0</w:t>
      </w:r>
      <w:r>
        <w:t>13</w:t>
      </w:r>
      <w:r w:rsidRPr="007760B2">
        <w:rPr>
          <w:rFonts w:hint="eastAsia"/>
        </w:rPr>
        <w:t>年</w:t>
      </w:r>
      <w:r>
        <w:t>3</w:t>
      </w:r>
      <w:r w:rsidRPr="007760B2">
        <w:rPr>
          <w:rFonts w:hint="eastAsia"/>
        </w:rPr>
        <w:t>月</w:t>
      </w:r>
      <w:r>
        <w:t>26</w:t>
      </w:r>
      <w:r w:rsidRPr="007760B2">
        <w:rPr>
          <w:rFonts w:hint="eastAsia"/>
        </w:rPr>
        <w:t>日通过了审议结论。审议结论中第</w:t>
      </w:r>
      <w:r>
        <w:t>26</w:t>
      </w:r>
      <w:r w:rsidRPr="007760B2">
        <w:rPr>
          <w:rFonts w:hint="eastAsia"/>
        </w:rPr>
        <w:t>段要求香港特区「在一年之内提供相关数据，说明其执行第</w:t>
      </w:r>
      <w:r>
        <w:t>6</w:t>
      </w:r>
      <w:r w:rsidRPr="007760B2">
        <w:rPr>
          <w:rFonts w:hint="eastAsia"/>
        </w:rPr>
        <w:t>、第</w:t>
      </w:r>
      <w:r>
        <w:t>21</w:t>
      </w:r>
      <w:r w:rsidRPr="007760B2">
        <w:rPr>
          <w:rFonts w:hint="eastAsia"/>
        </w:rPr>
        <w:t>和第</w:t>
      </w:r>
      <w:r>
        <w:t>22</w:t>
      </w:r>
      <w:r w:rsidRPr="007760B2">
        <w:rPr>
          <w:rFonts w:hint="eastAsia"/>
        </w:rPr>
        <w:t>段所载委员会建议的情况」。</w:t>
      </w:r>
    </w:p>
    <w:p w:rsidR="007760B2" w:rsidRPr="007760B2" w:rsidRDefault="007760B2" w:rsidP="007760B2">
      <w:pPr>
        <w:pStyle w:val="SingleTxtGC"/>
        <w:rPr>
          <w:rFonts w:hint="eastAsia"/>
        </w:rPr>
      </w:pPr>
      <w:r>
        <w:t>2</w:t>
      </w:r>
      <w:r w:rsidRPr="007760B2">
        <w:t>.</w:t>
      </w:r>
      <w:r w:rsidRPr="007760B2">
        <w:tab/>
      </w:r>
      <w:r w:rsidRPr="007760B2">
        <w:rPr>
          <w:rFonts w:hint="eastAsia"/>
        </w:rPr>
        <w:t>审议结论中第</w:t>
      </w:r>
      <w:r>
        <w:t>6</w:t>
      </w:r>
      <w:r w:rsidRPr="007760B2">
        <w:rPr>
          <w:rFonts w:hint="eastAsia"/>
        </w:rPr>
        <w:t>、</w:t>
      </w:r>
      <w:r>
        <w:t>21</w:t>
      </w:r>
      <w:r w:rsidRPr="007760B2">
        <w:rPr>
          <w:rFonts w:hint="eastAsia"/>
        </w:rPr>
        <w:t>和</w:t>
      </w:r>
      <w:r>
        <w:t>22</w:t>
      </w:r>
      <w:r w:rsidRPr="007760B2">
        <w:rPr>
          <w:rFonts w:hint="eastAsia"/>
        </w:rPr>
        <w:t>段建议香港特区应：</w:t>
      </w:r>
    </w:p>
    <w:p w:rsidR="007760B2" w:rsidRPr="007760B2" w:rsidRDefault="007760B2" w:rsidP="00E94AFD">
      <w:pPr>
        <w:pStyle w:val="H4GC"/>
        <w:rPr>
          <w:rFonts w:hint="eastAsia"/>
        </w:rPr>
      </w:pPr>
      <w:r w:rsidRPr="007760B2">
        <w:rPr>
          <w:rFonts w:hint="eastAsia"/>
        </w:rPr>
        <w:tab/>
      </w:r>
      <w:r w:rsidR="00E94AFD">
        <w:rPr>
          <w:rFonts w:hint="eastAsia"/>
        </w:rPr>
        <w:tab/>
      </w:r>
      <w:r w:rsidRPr="007760B2">
        <w:rPr>
          <w:rFonts w:hint="eastAsia"/>
        </w:rPr>
        <w:t>第</w:t>
      </w:r>
      <w:r>
        <w:t>6</w:t>
      </w:r>
      <w:r w:rsidRPr="007760B2">
        <w:rPr>
          <w:rFonts w:hint="eastAsia"/>
        </w:rPr>
        <w:t>段</w:t>
      </w:r>
    </w:p>
    <w:p w:rsidR="007760B2" w:rsidRPr="00E94AFD" w:rsidRDefault="007760B2" w:rsidP="007760B2">
      <w:pPr>
        <w:pStyle w:val="SingleTxtGC"/>
        <w:rPr>
          <w:rFonts w:eastAsia="KaiTi_GB2312" w:hint="eastAsia"/>
        </w:rPr>
      </w:pPr>
      <w:r w:rsidRPr="00E94AFD">
        <w:rPr>
          <w:rFonts w:eastAsia="KaiTi_GB2312"/>
        </w:rPr>
        <w:tab/>
      </w:r>
      <w:r w:rsidRPr="00E94AFD">
        <w:rPr>
          <w:rFonts w:eastAsia="KaiTi_GB2312" w:hint="eastAsia"/>
        </w:rPr>
        <w:t>“采取一切必要措施，作为优先事项，依照《公约》的规定，在今后的所有选举中实行普遍的和平等的选举制度。它应充分考虑到委员会关于参与公共事务和投票权以及平等参加公务权利的第</w:t>
      </w:r>
      <w:r w:rsidRPr="00E94AFD">
        <w:rPr>
          <w:rFonts w:eastAsia="KaiTi_GB2312"/>
        </w:rPr>
        <w:t>25</w:t>
      </w:r>
      <w:r w:rsidRPr="00E94AFD">
        <w:rPr>
          <w:rFonts w:eastAsia="KaiTi_GB2312" w:hint="eastAsia"/>
        </w:rPr>
        <w:t>号一般性意见</w:t>
      </w:r>
      <w:r w:rsidRPr="00E94AFD">
        <w:rPr>
          <w:rFonts w:eastAsia="KaiTi_GB2312" w:hint="eastAsia"/>
        </w:rPr>
        <w:t>(</w:t>
      </w:r>
      <w:r w:rsidRPr="00E94AFD">
        <w:rPr>
          <w:rFonts w:eastAsia="KaiTi_GB2312"/>
        </w:rPr>
        <w:t>1996</w:t>
      </w:r>
      <w:r w:rsidRPr="00E94AFD">
        <w:rPr>
          <w:rFonts w:eastAsia="KaiTi_GB2312" w:hint="eastAsia"/>
        </w:rPr>
        <w:t>年</w:t>
      </w:r>
      <w:r w:rsidRPr="00E94AFD">
        <w:rPr>
          <w:rFonts w:eastAsia="KaiTi_GB2312" w:hint="eastAsia"/>
        </w:rPr>
        <w:t>)</w:t>
      </w:r>
      <w:r w:rsidRPr="00E94AFD">
        <w:rPr>
          <w:rFonts w:eastAsia="KaiTi_GB2312" w:hint="eastAsia"/>
        </w:rPr>
        <w:t>，就如何实行普遍的和平等的选举制度并确保所有公民在新的选举制度中能够根据《公约》第二十五条享有选举和被选举的权利，制定明确和详细的计划。还建议考虑采取步骤，撤回对《公约》第二十五条</w:t>
      </w:r>
      <w:r w:rsidRPr="00E94AFD">
        <w:rPr>
          <w:rFonts w:eastAsia="KaiTi_GB2312" w:hint="eastAsia"/>
        </w:rPr>
        <w:t>(</w:t>
      </w:r>
      <w:r w:rsidRPr="00E94AFD">
        <w:rPr>
          <w:rFonts w:eastAsia="KaiTi_GB2312" w:hint="eastAsia"/>
        </w:rPr>
        <w:t>乙</w:t>
      </w:r>
      <w:r w:rsidRPr="00E94AFD">
        <w:rPr>
          <w:rFonts w:eastAsia="KaiTi_GB2312" w:hint="eastAsia"/>
        </w:rPr>
        <w:t>)</w:t>
      </w:r>
      <w:r w:rsidRPr="00E94AFD">
        <w:rPr>
          <w:rFonts w:eastAsia="KaiTi_GB2312" w:hint="eastAsia"/>
        </w:rPr>
        <w:t>项所作的保留”；</w:t>
      </w:r>
    </w:p>
    <w:p w:rsidR="007760B2" w:rsidRPr="007760B2" w:rsidRDefault="00E94AFD" w:rsidP="00E94AFD">
      <w:pPr>
        <w:pStyle w:val="H4GC"/>
        <w:rPr>
          <w:rFonts w:hint="eastAsia"/>
        </w:rPr>
      </w:pPr>
      <w:r>
        <w:rPr>
          <w:rFonts w:hint="eastAsia"/>
        </w:rPr>
        <w:tab/>
      </w:r>
      <w:r>
        <w:rPr>
          <w:rFonts w:hint="eastAsia"/>
        </w:rPr>
        <w:tab/>
      </w:r>
      <w:r w:rsidR="007760B2" w:rsidRPr="007760B2">
        <w:rPr>
          <w:rFonts w:hint="eastAsia"/>
        </w:rPr>
        <w:t>第</w:t>
      </w:r>
      <w:r w:rsidR="007760B2">
        <w:t>21</w:t>
      </w:r>
      <w:r w:rsidR="007760B2" w:rsidRPr="007760B2">
        <w:rPr>
          <w:rFonts w:hint="eastAsia"/>
        </w:rPr>
        <w:t>段</w:t>
      </w:r>
    </w:p>
    <w:p w:rsidR="007760B2" w:rsidRPr="00E94AFD" w:rsidRDefault="007760B2" w:rsidP="007760B2">
      <w:pPr>
        <w:pStyle w:val="SingleTxtGC"/>
        <w:rPr>
          <w:rFonts w:eastAsia="KaiTi_GB2312" w:hint="eastAsia"/>
        </w:rPr>
      </w:pPr>
      <w:r w:rsidRPr="00E94AFD">
        <w:rPr>
          <w:rFonts w:eastAsia="KaiTi_GB2312" w:hint="eastAsia"/>
        </w:rPr>
        <w:tab/>
      </w:r>
      <w:r w:rsidRPr="00E94AFD">
        <w:rPr>
          <w:rFonts w:eastAsia="KaiTi_GB2312" w:hint="eastAsia"/>
        </w:rPr>
        <w:t>“采取措施，确保所有工人无论其移民身份均能享有基本权利，并建立负担得起的有效机制，确保追究虐待工人的雇主的责任。委员会还建议考虑废除「两周制」</w:t>
      </w:r>
      <w:r w:rsidRPr="00E94AFD">
        <w:rPr>
          <w:rFonts w:eastAsia="KaiTi_GB2312" w:hint="eastAsia"/>
        </w:rPr>
        <w:t>(</w:t>
      </w:r>
      <w:r w:rsidRPr="00E94AFD">
        <w:rPr>
          <w:rFonts w:eastAsia="KaiTi_GB2312" w:hint="eastAsia"/>
        </w:rPr>
        <w:t>即外籍家庭佣工必须在合同结束两周内离开香港</w:t>
      </w:r>
      <w:r w:rsidRPr="00E94AFD">
        <w:rPr>
          <w:rFonts w:eastAsia="KaiTi_GB2312" w:hint="eastAsia"/>
        </w:rPr>
        <w:t>)</w:t>
      </w:r>
      <w:r w:rsidRPr="00E94AFD">
        <w:rPr>
          <w:rFonts w:eastAsia="KaiTi_GB2312" w:hint="eastAsia"/>
        </w:rPr>
        <w:t>和留宿要求”；</w:t>
      </w:r>
    </w:p>
    <w:p w:rsidR="007760B2" w:rsidRPr="007760B2" w:rsidRDefault="00E94AFD" w:rsidP="00E94AFD">
      <w:pPr>
        <w:pStyle w:val="H4GC"/>
      </w:pPr>
      <w:r>
        <w:rPr>
          <w:rFonts w:hint="eastAsia"/>
        </w:rPr>
        <w:tab/>
      </w:r>
      <w:r>
        <w:rPr>
          <w:rFonts w:hint="eastAsia"/>
        </w:rPr>
        <w:tab/>
      </w:r>
      <w:r w:rsidR="007760B2" w:rsidRPr="007760B2">
        <w:rPr>
          <w:rFonts w:hint="eastAsia"/>
        </w:rPr>
        <w:t>第</w:t>
      </w:r>
      <w:r w:rsidR="007760B2">
        <w:t>22</w:t>
      </w:r>
      <w:r w:rsidR="007760B2" w:rsidRPr="007760B2">
        <w:rPr>
          <w:rFonts w:hint="eastAsia"/>
        </w:rPr>
        <w:t>段</w:t>
      </w:r>
    </w:p>
    <w:p w:rsidR="007760B2" w:rsidRPr="00E94AFD" w:rsidRDefault="007760B2" w:rsidP="007760B2">
      <w:pPr>
        <w:pStyle w:val="SingleTxtGC"/>
        <w:rPr>
          <w:rFonts w:eastAsia="KaiTi_GB2312"/>
        </w:rPr>
      </w:pPr>
      <w:r w:rsidRPr="00E94AFD">
        <w:rPr>
          <w:rFonts w:eastAsia="KaiTi_GB2312" w:hint="eastAsia"/>
        </w:rPr>
        <w:tab/>
      </w:r>
      <w:r w:rsidRPr="00E94AFD">
        <w:rPr>
          <w:rFonts w:eastAsia="KaiTi_GB2312" w:hint="eastAsia"/>
        </w:rPr>
        <w:t>“按照消除种族歧视委员会的建议加大努力，与平等机会委员会及其它有关团体协作，改进少数族裔和有移民背景的非华语学生的中文教学质量。香港特区还应加大努力，鼓励将少数族裔学生纳入公立学校教育。”</w:t>
      </w:r>
    </w:p>
    <w:p w:rsidR="007760B2" w:rsidRPr="007760B2" w:rsidRDefault="007760B2" w:rsidP="007760B2">
      <w:pPr>
        <w:pStyle w:val="SingleTxtGC"/>
      </w:pPr>
      <w:r>
        <w:t>3</w:t>
      </w:r>
      <w:r w:rsidRPr="007760B2">
        <w:t>.</w:t>
      </w:r>
      <w:r w:rsidRPr="007760B2">
        <w:tab/>
      </w:r>
      <w:r w:rsidRPr="007760B2">
        <w:rPr>
          <w:rFonts w:hint="eastAsia"/>
        </w:rPr>
        <w:t>就人权事务委员会要求提供相关跟进资料，以下阐释香港特区就上述建议的跟进响应。</w:t>
      </w:r>
    </w:p>
    <w:p w:rsidR="007760B2" w:rsidRPr="007760B2" w:rsidRDefault="00E94AFD" w:rsidP="00E94AFD">
      <w:pPr>
        <w:pStyle w:val="H1GC"/>
      </w:pPr>
      <w:r>
        <w:rPr>
          <w:rFonts w:hint="eastAsia"/>
        </w:rPr>
        <w:tab/>
      </w:r>
      <w:r>
        <w:rPr>
          <w:rFonts w:hint="eastAsia"/>
        </w:rPr>
        <w:tab/>
      </w:r>
      <w:r w:rsidR="007760B2" w:rsidRPr="007760B2">
        <w:rPr>
          <w:rFonts w:hint="eastAsia"/>
        </w:rPr>
        <w:t>回应审议结论第</w:t>
      </w:r>
      <w:r w:rsidR="007760B2">
        <w:t>6</w:t>
      </w:r>
      <w:r w:rsidR="007760B2" w:rsidRPr="007760B2">
        <w:rPr>
          <w:rFonts w:hint="eastAsia"/>
        </w:rPr>
        <w:t>段</w:t>
      </w:r>
    </w:p>
    <w:p w:rsidR="007760B2" w:rsidRPr="007760B2" w:rsidRDefault="007760B2" w:rsidP="007760B2">
      <w:pPr>
        <w:pStyle w:val="SingleTxtGC"/>
      </w:pPr>
      <w:r>
        <w:t>4</w:t>
      </w:r>
      <w:r w:rsidRPr="007760B2">
        <w:t>.</w:t>
      </w:r>
      <w:r w:rsidRPr="007760B2">
        <w:tab/>
      </w:r>
      <w:r w:rsidRPr="007760B2">
        <w:rPr>
          <w:rFonts w:hint="eastAsia"/>
        </w:rPr>
        <w:t>按照《基本法》和中华人民共和国全国人民代表大会常务委员会</w:t>
      </w:r>
      <w:r>
        <w:rPr>
          <w:rFonts w:hint="eastAsia"/>
        </w:rPr>
        <w:t>(</w:t>
      </w:r>
      <w:r w:rsidRPr="007760B2">
        <w:rPr>
          <w:rFonts w:hint="eastAsia"/>
        </w:rPr>
        <w:t>全国人大常委会</w:t>
      </w:r>
      <w:r>
        <w:rPr>
          <w:rFonts w:hint="eastAsia"/>
        </w:rPr>
        <w:t>)</w:t>
      </w:r>
      <w:r w:rsidRPr="007760B2">
        <w:rPr>
          <w:rFonts w:hint="eastAsia"/>
        </w:rPr>
        <w:t>的相关解释和决定，成功落实</w:t>
      </w:r>
      <w:r>
        <w:t>2</w:t>
      </w:r>
      <w:r w:rsidRPr="007760B2">
        <w:t>0</w:t>
      </w:r>
      <w:r>
        <w:t>17</w:t>
      </w:r>
      <w:r w:rsidRPr="007760B2">
        <w:rPr>
          <w:rFonts w:hint="eastAsia"/>
        </w:rPr>
        <w:t>年普选行政长官，是中央人民政府、香港特区政府和广大市民的共同愿望。</w:t>
      </w:r>
    </w:p>
    <w:p w:rsidR="007760B2" w:rsidRPr="007760B2" w:rsidRDefault="007760B2" w:rsidP="007760B2">
      <w:pPr>
        <w:pStyle w:val="SingleTxtGC"/>
      </w:pPr>
      <w:r>
        <w:t>5</w:t>
      </w:r>
      <w:r w:rsidRPr="007760B2">
        <w:t>.</w:t>
      </w:r>
      <w:r w:rsidRPr="007760B2">
        <w:tab/>
      </w:r>
      <w:r w:rsidRPr="007760B2">
        <w:rPr>
          <w:rFonts w:hint="eastAsia"/>
        </w:rPr>
        <w:t>香港特区政府在</w:t>
      </w:r>
      <w:r>
        <w:t>2</w:t>
      </w:r>
      <w:r w:rsidRPr="007760B2">
        <w:t>0</w:t>
      </w:r>
      <w:r>
        <w:t>13</w:t>
      </w:r>
      <w:r w:rsidRPr="007760B2">
        <w:rPr>
          <w:rFonts w:hint="eastAsia"/>
        </w:rPr>
        <w:t>年</w:t>
      </w:r>
      <w:r>
        <w:t>12</w:t>
      </w:r>
      <w:r w:rsidRPr="007760B2">
        <w:rPr>
          <w:rFonts w:hint="eastAsia"/>
        </w:rPr>
        <w:t>月</w:t>
      </w:r>
      <w:r>
        <w:t>4</w:t>
      </w:r>
      <w:r w:rsidRPr="007760B2">
        <w:rPr>
          <w:rFonts w:hint="eastAsia"/>
        </w:rPr>
        <w:t>日正式就</w:t>
      </w:r>
      <w:r>
        <w:t>2</w:t>
      </w:r>
      <w:r w:rsidRPr="007760B2">
        <w:t>0</w:t>
      </w:r>
      <w:r>
        <w:t>17</w:t>
      </w:r>
      <w:r w:rsidRPr="007760B2">
        <w:rPr>
          <w:rFonts w:hint="eastAsia"/>
        </w:rPr>
        <w:t>年行政长官及</w:t>
      </w:r>
      <w:r>
        <w:t>2</w:t>
      </w:r>
      <w:r w:rsidRPr="007760B2">
        <w:t>0</w:t>
      </w:r>
      <w:r>
        <w:t>16</w:t>
      </w:r>
      <w:r w:rsidRPr="007760B2">
        <w:rPr>
          <w:rFonts w:hint="eastAsia"/>
        </w:rPr>
        <w:t>年立法会产生办法展开广泛公众咨询。咨询为期五个月，至</w:t>
      </w:r>
      <w:r>
        <w:t>2</w:t>
      </w:r>
      <w:r w:rsidRPr="007760B2">
        <w:t>0</w:t>
      </w:r>
      <w:r>
        <w:t>14</w:t>
      </w:r>
      <w:r w:rsidRPr="007760B2">
        <w:rPr>
          <w:rFonts w:hint="eastAsia"/>
        </w:rPr>
        <w:t>年</w:t>
      </w:r>
      <w:r>
        <w:t>5</w:t>
      </w:r>
      <w:r w:rsidRPr="007760B2">
        <w:rPr>
          <w:rFonts w:hint="eastAsia"/>
        </w:rPr>
        <w:t>月</w:t>
      </w:r>
      <w:r>
        <w:t>3</w:t>
      </w:r>
      <w:r w:rsidRPr="007760B2">
        <w:rPr>
          <w:rFonts w:hint="eastAsia"/>
        </w:rPr>
        <w:t>日止。</w:t>
      </w:r>
    </w:p>
    <w:p w:rsidR="007760B2" w:rsidRPr="007760B2" w:rsidRDefault="007760B2" w:rsidP="007760B2">
      <w:pPr>
        <w:pStyle w:val="SingleTxtGC"/>
      </w:pPr>
      <w:r>
        <w:t>6</w:t>
      </w:r>
      <w:r w:rsidRPr="007760B2">
        <w:t>.</w:t>
      </w:r>
      <w:r w:rsidRPr="007760B2">
        <w:tab/>
      </w:r>
      <w:r w:rsidRPr="007760B2">
        <w:rPr>
          <w:rFonts w:hint="eastAsia"/>
        </w:rPr>
        <w:t>香港特区政府会继续以开放态度，征询及聆听社会各界和广大市民的意见和建议。在咨询期完结后，我们会把所收集到的意见整理及归纳，以协助行政长官会向全国人大常委会提交报告，正式启动修改选举办法的宪制程序。</w:t>
      </w:r>
    </w:p>
    <w:p w:rsidR="007760B2" w:rsidRPr="007760B2" w:rsidRDefault="00E94AFD" w:rsidP="00E94AFD">
      <w:pPr>
        <w:pStyle w:val="H1GC"/>
      </w:pPr>
      <w:r>
        <w:rPr>
          <w:rFonts w:hint="eastAsia"/>
        </w:rPr>
        <w:tab/>
      </w:r>
      <w:r>
        <w:rPr>
          <w:rFonts w:hint="eastAsia"/>
        </w:rPr>
        <w:tab/>
      </w:r>
      <w:r w:rsidR="007760B2" w:rsidRPr="007760B2">
        <w:rPr>
          <w:rFonts w:hint="eastAsia"/>
        </w:rPr>
        <w:t>回应审议结论第</w:t>
      </w:r>
      <w:r w:rsidR="007760B2">
        <w:t>21</w:t>
      </w:r>
      <w:r w:rsidR="007760B2" w:rsidRPr="007760B2">
        <w:rPr>
          <w:rFonts w:hint="eastAsia"/>
        </w:rPr>
        <w:t>段</w:t>
      </w:r>
    </w:p>
    <w:p w:rsidR="007760B2" w:rsidRPr="007760B2" w:rsidRDefault="007760B2" w:rsidP="007760B2">
      <w:pPr>
        <w:pStyle w:val="SingleTxtGC"/>
      </w:pPr>
      <w:r>
        <w:t>7</w:t>
      </w:r>
      <w:r w:rsidRPr="007760B2">
        <w:t>.</w:t>
      </w:r>
      <w:r w:rsidRPr="007760B2">
        <w:tab/>
      </w:r>
      <w:r w:rsidRPr="007760B2">
        <w:rPr>
          <w:rFonts w:hint="eastAsia"/>
        </w:rPr>
        <w:t>香港特区政府十分重视保障在港工作的外籍家庭佣工</w:t>
      </w:r>
      <w:r>
        <w:rPr>
          <w:rFonts w:hint="eastAsia"/>
        </w:rPr>
        <w:t>(</w:t>
      </w:r>
      <w:r w:rsidRPr="007760B2">
        <w:rPr>
          <w:rFonts w:hint="eastAsia"/>
        </w:rPr>
        <w:t>外佣</w:t>
      </w:r>
      <w:r>
        <w:rPr>
          <w:rFonts w:hint="eastAsia"/>
        </w:rPr>
        <w:t>)</w:t>
      </w:r>
      <w:r w:rsidRPr="007760B2">
        <w:rPr>
          <w:rFonts w:hint="eastAsia"/>
        </w:rPr>
        <w:t>的权益。外佣作为香港特区宝贵人力资源的重要组成部份，与本地雇员一样享有《雇佣条例》</w:t>
      </w:r>
      <w:r>
        <w:rPr>
          <w:rFonts w:hint="eastAsia"/>
        </w:rPr>
        <w:t>(</w:t>
      </w:r>
      <w:r w:rsidRPr="007760B2">
        <w:rPr>
          <w:rFonts w:hint="eastAsia"/>
        </w:rPr>
        <w:t>第</w:t>
      </w:r>
      <w:r>
        <w:t>57</w:t>
      </w:r>
      <w:r w:rsidRPr="007760B2">
        <w:rPr>
          <w:rFonts w:hint="eastAsia"/>
        </w:rPr>
        <w:t>章</w:t>
      </w:r>
      <w:r>
        <w:rPr>
          <w:rFonts w:hint="eastAsia"/>
        </w:rPr>
        <w:t>)</w:t>
      </w:r>
      <w:r w:rsidRPr="007760B2">
        <w:rPr>
          <w:rFonts w:hint="eastAsia"/>
        </w:rPr>
        <w:t>下的保障及权益。这包括工资的支付、生育保障、休息日、有薪假日、年假、长期服务金等。</w:t>
      </w:r>
    </w:p>
    <w:p w:rsidR="007760B2" w:rsidRPr="007760B2" w:rsidRDefault="007760B2" w:rsidP="007760B2">
      <w:pPr>
        <w:pStyle w:val="SingleTxtGC"/>
        <w:rPr>
          <w:rFonts w:hint="eastAsia"/>
        </w:rPr>
      </w:pPr>
      <w:r>
        <w:t>8</w:t>
      </w:r>
      <w:r w:rsidRPr="007760B2">
        <w:t>.</w:t>
      </w:r>
      <w:r w:rsidRPr="007760B2">
        <w:tab/>
      </w:r>
      <w:r w:rsidRPr="007760B2">
        <w:rPr>
          <w:rFonts w:hint="eastAsia"/>
        </w:rPr>
        <w:t>除《雇佣条例》的法定权益外，所有外佣均享有由香港特区政府订明的「标准雇佣合约」的额外保障，包括「规定最低工资」、免费膳食</w:t>
      </w:r>
      <w:r>
        <w:rPr>
          <w:rFonts w:hint="eastAsia"/>
        </w:rPr>
        <w:t>(</w:t>
      </w:r>
      <w:r w:rsidRPr="007760B2">
        <w:rPr>
          <w:rFonts w:hint="eastAsia"/>
        </w:rPr>
        <w:t>或以膳食津贴代替</w:t>
      </w:r>
      <w:r>
        <w:rPr>
          <w:rFonts w:hint="eastAsia"/>
        </w:rPr>
        <w:t>)</w:t>
      </w:r>
      <w:r w:rsidRPr="007760B2">
        <w:rPr>
          <w:rFonts w:hint="eastAsia"/>
        </w:rPr>
        <w:t>、往来原居地的旅费、免费医疗保障以及有合理私隐度的免费住宿等。雇主如蓄意及无合理辩解短付外佣工资，可被检控，一经定罪，最高可被罚款港币</w:t>
      </w:r>
      <w:r>
        <w:t>350,</w:t>
      </w:r>
      <w:r w:rsidRPr="007760B2">
        <w:t>000</w:t>
      </w:r>
      <w:r w:rsidRPr="007760B2">
        <w:rPr>
          <w:rFonts w:hint="eastAsia"/>
        </w:rPr>
        <w:t>元及监禁三年。</w:t>
      </w:r>
    </w:p>
    <w:p w:rsidR="007760B2" w:rsidRPr="007760B2" w:rsidRDefault="007760B2" w:rsidP="007760B2">
      <w:pPr>
        <w:pStyle w:val="SingleTxtGC"/>
      </w:pPr>
      <w:r>
        <w:t>9</w:t>
      </w:r>
      <w:r w:rsidRPr="007760B2">
        <w:t>.</w:t>
      </w:r>
      <w:r w:rsidRPr="007760B2">
        <w:tab/>
      </w:r>
      <w:r w:rsidRPr="007760B2">
        <w:rPr>
          <w:rFonts w:hint="eastAsia"/>
        </w:rPr>
        <w:t>与本地工人一样，外佣可利用劳工处提供的免费服务，包括但不限于协助雇员解决与雇主纠纷的咨询和调停服务。如果他们的个案未能透过调停得到解决，会获转介至小额薪酬索偿仲裁处或劳资审裁处裁决。</w:t>
      </w:r>
    </w:p>
    <w:p w:rsidR="007760B2" w:rsidRPr="007760B2" w:rsidRDefault="007760B2" w:rsidP="007760B2">
      <w:pPr>
        <w:pStyle w:val="SingleTxtGC"/>
      </w:pPr>
      <w:r>
        <w:t>1</w:t>
      </w:r>
      <w:r w:rsidRPr="007760B2">
        <w:t>0.</w:t>
      </w:r>
      <w:r w:rsidRPr="007760B2">
        <w:tab/>
      </w:r>
      <w:r w:rsidRPr="007760B2">
        <w:rPr>
          <w:rFonts w:hint="eastAsia"/>
        </w:rPr>
        <w:t>「两星期规则」的主要目的是给予外佣足够时间安排离境，而并非方便他们在港寻找新雇主。「两星期规则」对维持有效的入境管制至关重要，并有助防止外佣经常转换雇主或于终止合约后在港非法工作。</w:t>
      </w:r>
    </w:p>
    <w:p w:rsidR="007760B2" w:rsidRPr="007760B2" w:rsidRDefault="007760B2" w:rsidP="007760B2">
      <w:pPr>
        <w:pStyle w:val="SingleTxtGC"/>
      </w:pPr>
      <w:r>
        <w:t>11</w:t>
      </w:r>
      <w:r w:rsidRPr="007760B2">
        <w:t>.</w:t>
      </w:r>
      <w:r w:rsidRPr="007760B2">
        <w:tab/>
      </w:r>
      <w:r w:rsidRPr="007760B2">
        <w:rPr>
          <w:rFonts w:hint="eastAsia"/>
        </w:rPr>
        <w:t>现行政策不会影响外佣返回原居地后再申请来港工作。再者，根据聘用外佣的「标准雇佣合约」的规定，外佣雇主须负责外佣返回原居地的全部旅费。</w:t>
      </w:r>
    </w:p>
    <w:p w:rsidR="007760B2" w:rsidRPr="007760B2" w:rsidRDefault="007760B2" w:rsidP="007760B2">
      <w:pPr>
        <w:pStyle w:val="SingleTxtGC"/>
      </w:pPr>
      <w:r>
        <w:t>12</w:t>
      </w:r>
      <w:r w:rsidRPr="007760B2">
        <w:t>.</w:t>
      </w:r>
      <w:r w:rsidRPr="007760B2">
        <w:tab/>
      </w:r>
      <w:r w:rsidRPr="007760B2">
        <w:rPr>
          <w:rFonts w:hint="eastAsia"/>
        </w:rPr>
        <w:t>现行政策提供适当弹性。在特殊情况下，例如原来的雇主因移民、外调、逝世或经济原因以致不能继续履行合约，或有证据显示该外佣曾遭受苛待或剥削，外佣可申请在香港特区转换雇主而无须先返回原居地。</w:t>
      </w:r>
    </w:p>
    <w:p w:rsidR="007760B2" w:rsidRPr="007760B2" w:rsidRDefault="007760B2" w:rsidP="007760B2">
      <w:pPr>
        <w:pStyle w:val="SingleTxtGC"/>
      </w:pPr>
      <w:r>
        <w:t>13</w:t>
      </w:r>
      <w:r w:rsidRPr="007760B2">
        <w:t>.</w:t>
      </w:r>
      <w:r w:rsidRPr="007760B2">
        <w:tab/>
      </w:r>
      <w:r w:rsidRPr="007760B2">
        <w:rPr>
          <w:rFonts w:hint="eastAsia"/>
        </w:rPr>
        <w:t>「留宿规定」是香港输入外佣政策的基石。一如很多其它司法管辖区，香港特区政府一贯的政策是让本地劳工优先就业，只有在确定某些特定行业的本地劳工供应短缺，才容许输入外劳。根据这原则，香港自</w:t>
      </w:r>
      <w:r>
        <w:t>197</w:t>
      </w:r>
      <w:r w:rsidRPr="007760B2">
        <w:t>0</w:t>
      </w:r>
      <w:r w:rsidRPr="007760B2">
        <w:rPr>
          <w:rFonts w:hint="eastAsia"/>
        </w:rPr>
        <w:t>年代初开始输入外佣，以应付本地留宿家庭佣工严重不足的情况。香港特区政府认为有必要保留现时外佣的「留宿规定」。</w:t>
      </w:r>
    </w:p>
    <w:p w:rsidR="007760B2" w:rsidRPr="007760B2" w:rsidRDefault="00E94AFD" w:rsidP="00E94AFD">
      <w:pPr>
        <w:pStyle w:val="H1GC"/>
      </w:pPr>
      <w:r>
        <w:rPr>
          <w:rFonts w:hint="eastAsia"/>
        </w:rPr>
        <w:tab/>
      </w:r>
      <w:r>
        <w:rPr>
          <w:rFonts w:hint="eastAsia"/>
        </w:rPr>
        <w:tab/>
      </w:r>
      <w:r w:rsidR="007760B2" w:rsidRPr="007760B2">
        <w:rPr>
          <w:rFonts w:hint="eastAsia"/>
        </w:rPr>
        <w:t>回应审议结论第</w:t>
      </w:r>
      <w:r w:rsidR="007760B2">
        <w:t>22</w:t>
      </w:r>
      <w:r w:rsidR="007760B2" w:rsidRPr="007760B2">
        <w:rPr>
          <w:rFonts w:hint="eastAsia"/>
        </w:rPr>
        <w:t>段</w:t>
      </w:r>
    </w:p>
    <w:p w:rsidR="007760B2" w:rsidRPr="007760B2" w:rsidRDefault="007760B2" w:rsidP="007760B2">
      <w:pPr>
        <w:pStyle w:val="SingleTxtGC"/>
        <w:rPr>
          <w:rFonts w:hint="eastAsia"/>
        </w:rPr>
      </w:pPr>
      <w:r>
        <w:t>14</w:t>
      </w:r>
      <w:r w:rsidRPr="007760B2">
        <w:t>.</w:t>
      </w:r>
      <w:r w:rsidRPr="007760B2">
        <w:tab/>
      </w:r>
      <w:r w:rsidRPr="007760B2">
        <w:rPr>
          <w:rFonts w:hint="eastAsia"/>
        </w:rPr>
        <w:t>在</w:t>
      </w:r>
      <w:r>
        <w:t>2</w:t>
      </w:r>
      <w:r w:rsidRPr="007760B2">
        <w:t>0</w:t>
      </w:r>
      <w:r>
        <w:t>14</w:t>
      </w:r>
      <w:r w:rsidRPr="007760B2">
        <w:rPr>
          <w:rFonts w:hint="eastAsia"/>
        </w:rPr>
        <w:t>年</w:t>
      </w:r>
      <w:r>
        <w:t>1</w:t>
      </w:r>
      <w:r w:rsidRPr="007760B2">
        <w:rPr>
          <w:rFonts w:hint="eastAsia"/>
        </w:rPr>
        <w:t>月</w:t>
      </w:r>
      <w:r>
        <w:t>15</w:t>
      </w:r>
      <w:r w:rsidRPr="007760B2">
        <w:rPr>
          <w:rFonts w:hint="eastAsia"/>
        </w:rPr>
        <w:t>日，行政长官的施政报告公布，由</w:t>
      </w:r>
      <w:r>
        <w:t>2</w:t>
      </w:r>
      <w:r w:rsidRPr="007760B2">
        <w:t>0</w:t>
      </w:r>
      <w:r>
        <w:t>14</w:t>
      </w:r>
      <w:r w:rsidRPr="007760B2">
        <w:t>/</w:t>
      </w:r>
      <w:r>
        <w:t>15</w:t>
      </w:r>
      <w:r w:rsidRPr="007760B2">
        <w:rPr>
          <w:rFonts w:hint="eastAsia"/>
        </w:rPr>
        <w:t>学年开始，香港特区政府每年会提供约港币</w:t>
      </w:r>
      <w:r>
        <w:t>2</w:t>
      </w:r>
      <w:r w:rsidRPr="007760B2">
        <w:rPr>
          <w:rFonts w:hint="eastAsia"/>
        </w:rPr>
        <w:t>亿元，进一步加强支持非华语学生</w:t>
      </w:r>
      <w:r>
        <w:rPr>
          <w:rFonts w:hint="eastAsia"/>
        </w:rPr>
        <w:t>(</w:t>
      </w:r>
      <w:r w:rsidRPr="007760B2">
        <w:rPr>
          <w:rFonts w:hint="eastAsia"/>
        </w:rPr>
        <w:t>特别是少数族裔学生</w:t>
      </w:r>
      <w:r>
        <w:rPr>
          <w:rFonts w:hint="eastAsia"/>
        </w:rPr>
        <w:t>)</w:t>
      </w:r>
      <w:r w:rsidRPr="007760B2">
        <w:rPr>
          <w:rFonts w:hint="eastAsia"/>
        </w:rPr>
        <w:t>有效地学习中文，建构共融校园。在一系列全面支持措施当中，包括提供「中国语文课程第二语言学习架构」和支持教学材料，帮助就读中小学的非华语学生有效学习中文作为第二语言，以期促成他们衔接主流中文课堂；以及在高中提供应用学习</w:t>
      </w:r>
      <w:r>
        <w:rPr>
          <w:rFonts w:hint="eastAsia"/>
        </w:rPr>
        <w:t>(</w:t>
      </w:r>
      <w:r w:rsidRPr="007760B2">
        <w:rPr>
          <w:rFonts w:hint="eastAsia"/>
        </w:rPr>
        <w:t>中国语文</w:t>
      </w:r>
      <w:r>
        <w:rPr>
          <w:rFonts w:hint="eastAsia"/>
        </w:rPr>
        <w:t>)</w:t>
      </w:r>
      <w:r w:rsidRPr="007760B2">
        <w:rPr>
          <w:rFonts w:hint="eastAsia"/>
        </w:rPr>
        <w:t>科目，作为与资历架构第一至三级挂钩的另一中文资历，以提升非华语学生求职的竞争力。同时，香港特区政府会继续资助非华语学生报考综合中等教育证书、国际普通中学教育文凭及普通教育文凭的中文考试。他们考取的成绩获得国际认可，且在报读本地专上院校和大学时，获接受为其它中国语文科资历。我们也会为肄业离校的非华语学生发展获资历架构认可的职业中文课程。</w:t>
      </w:r>
    </w:p>
    <w:p w:rsidR="007760B2" w:rsidRPr="007760B2" w:rsidRDefault="007760B2" w:rsidP="007760B2">
      <w:pPr>
        <w:pStyle w:val="SingleTxtGC"/>
        <w:rPr>
          <w:rFonts w:hint="eastAsia"/>
        </w:rPr>
      </w:pPr>
      <w:r>
        <w:t>15</w:t>
      </w:r>
      <w:r w:rsidRPr="007760B2">
        <w:t>.</w:t>
      </w:r>
      <w:r w:rsidRPr="007760B2">
        <w:tab/>
      </w:r>
      <w:r w:rsidRPr="007760B2">
        <w:rPr>
          <w:rFonts w:hint="eastAsia"/>
        </w:rPr>
        <w:t>为协助学校实施上述学习架构，香港特区政府会由</w:t>
      </w:r>
      <w:r>
        <w:t>2</w:t>
      </w:r>
      <w:r w:rsidRPr="007760B2">
        <w:t>0</w:t>
      </w:r>
      <w:r>
        <w:t>14</w:t>
      </w:r>
      <w:r w:rsidRPr="007760B2">
        <w:t>/</w:t>
      </w:r>
      <w:r>
        <w:t>15</w:t>
      </w:r>
      <w:r w:rsidRPr="007760B2">
        <w:rPr>
          <w:rFonts w:hint="eastAsia"/>
        </w:rPr>
        <w:t>学年开始增加取录非华语学生的学校的拨款，并予以监管及评估，以期促成非华语学生衔接主流中文课堂。此外，我们会在</w:t>
      </w:r>
      <w:r>
        <w:t>2</w:t>
      </w:r>
      <w:r w:rsidRPr="007760B2">
        <w:t>0</w:t>
      </w:r>
      <w:r>
        <w:t>14</w:t>
      </w:r>
      <w:r w:rsidRPr="007760B2">
        <w:rPr>
          <w:rFonts w:hint="eastAsia"/>
        </w:rPr>
        <w:t>年第一季推出专业进修津贴计划，以提升中文教师教授「中文作为第二语言」的专业能力。同时，我们亦会提供更多教授中文作为第二语言的教师培训课程和经验分享机会。在鼓励尽早融入方面，我们鼓励非华语学生的家长让子女在学前阶段开始学习中文。此外，我们为三至九岁的非华语儿童举办地区为本计划，透过有趣的活动，激发他们学习中文的兴趣。我们亦鼓励非华语学生的家长与入读小一，以及升读小二、小三或小四的子女一同参加暑期衔接课程。</w:t>
      </w:r>
    </w:p>
    <w:p w:rsidR="007760B2" w:rsidRPr="007760B2" w:rsidRDefault="007760B2" w:rsidP="007760B2">
      <w:pPr>
        <w:pStyle w:val="SingleTxtGC"/>
      </w:pPr>
      <w:r>
        <w:t>16</w:t>
      </w:r>
      <w:r w:rsidRPr="007760B2">
        <w:t>.</w:t>
      </w:r>
      <w:r w:rsidRPr="007760B2">
        <w:tab/>
      </w:r>
      <w:r w:rsidRPr="007760B2">
        <w:rPr>
          <w:rFonts w:hint="eastAsia"/>
        </w:rPr>
        <w:t>施政报告公布这些新措施后，各界的反应正面。香港特区政府会继续收集及听取主要持份者的意见，并与法定机构平等机会委员会协作，以期因应需要完善有关教育支持措施。</w:t>
      </w:r>
    </w:p>
    <w:p w:rsidR="00521EAF" w:rsidRDefault="00521EAF" w:rsidP="007760B2">
      <w:pPr>
        <w:pStyle w:val="SingleTxtGC"/>
        <w:rPr>
          <w:rFonts w:hint="eastAsia"/>
          <w:u w:val="single"/>
        </w:rPr>
      </w:pPr>
    </w:p>
    <w:p w:rsidR="007760B2" w:rsidRPr="00521EAF" w:rsidRDefault="00521EAF" w:rsidP="00521EAF">
      <w:pPr>
        <w:spacing w:before="240"/>
        <w:jc w:val="center"/>
        <w:rPr>
          <w:rFonts w:hint="eastAsia"/>
          <w:u w:val="single"/>
        </w:rPr>
      </w:pPr>
      <w:r w:rsidRPr="00521EAF">
        <w:rPr>
          <w:rFonts w:hint="eastAsia"/>
          <w:u w:val="single"/>
        </w:rPr>
        <w:tab/>
      </w:r>
      <w:r w:rsidRPr="00521EAF">
        <w:rPr>
          <w:rFonts w:hint="eastAsia"/>
          <w:u w:val="single"/>
        </w:rPr>
        <w:tab/>
      </w:r>
      <w:r w:rsidRPr="00521EAF">
        <w:rPr>
          <w:rFonts w:hint="eastAsia"/>
          <w:u w:val="single"/>
        </w:rPr>
        <w:tab/>
      </w:r>
      <w:r w:rsidRPr="00521EAF">
        <w:rPr>
          <w:u w:val="single"/>
        </w:rPr>
        <w:tab/>
      </w:r>
    </w:p>
    <w:sectPr w:rsidR="007760B2" w:rsidRPr="00521EA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D7" w:rsidRPr="008C40EB" w:rsidRDefault="00D054D7"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D054D7" w:rsidRDefault="00D054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D7" w:rsidRPr="007760B2" w:rsidRDefault="00D054D7"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626DFF">
      <w:rPr>
        <w:rStyle w:val="PageNumber"/>
        <w:noProof/>
      </w:rPr>
      <w:t>4</w:t>
    </w:r>
    <w:r>
      <w:rPr>
        <w:rStyle w:val="PageNumber"/>
      </w:rPr>
      <w:fldChar w:fldCharType="end"/>
    </w:r>
    <w:r>
      <w:rPr>
        <w:rStyle w:val="PageNumber"/>
        <w:rFonts w:eastAsia="SimSun" w:hint="eastAsia"/>
        <w:lang w:eastAsia="zh-CN"/>
      </w:rPr>
      <w:tab/>
    </w:r>
    <w:r w:rsidRPr="007760B2">
      <w:rPr>
        <w:rFonts w:eastAsia="SimSun"/>
      </w:rPr>
      <w:t>GE.14-02533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D7" w:rsidRDefault="00D054D7">
    <w:pPr>
      <w:pStyle w:val="Footer"/>
      <w:tabs>
        <w:tab w:val="right" w:pos="9639"/>
      </w:tabs>
    </w:pPr>
    <w:r w:rsidRPr="007760B2">
      <w:rPr>
        <w:rFonts w:eastAsia="SimSun"/>
      </w:rPr>
      <w:t>GE.14-02533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26DFF">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D7" w:rsidRDefault="00D054D7" w:rsidP="002E57F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Add"/>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02533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17</w:t>
    </w:r>
    <w:r>
      <w:rPr>
        <w:rFonts w:eastAsia="SimSun"/>
        <w:sz w:val="20"/>
        <w:lang w:eastAsia="zh-CN"/>
      </w:rPr>
      <w:t>0</w:t>
    </w:r>
    <w:r>
      <w:rPr>
        <w:rFonts w:eastAsia="SimSun" w:hint="eastAsia"/>
        <w:sz w:val="20"/>
        <w:lang w:eastAsia="zh-CN"/>
      </w:rPr>
      <w:t>614</w:t>
    </w:r>
    <w:r>
      <w:rPr>
        <w:rFonts w:eastAsia="SimSun"/>
        <w:sz w:val="20"/>
        <w:lang w:eastAsia="zh-CN"/>
      </w:rPr>
      <w:tab/>
    </w:r>
    <w:r>
      <w:rPr>
        <w:rFonts w:eastAsia="SimSun" w:hint="eastAsia"/>
        <w:sz w:val="20"/>
        <w:lang w:eastAsia="zh-CN"/>
      </w:rPr>
      <w:t>17</w:t>
    </w:r>
    <w:r>
      <w:rPr>
        <w:rFonts w:eastAsia="SimSun"/>
        <w:sz w:val="20"/>
        <w:lang w:eastAsia="zh-CN"/>
      </w:rPr>
      <w:t>0</w:t>
    </w:r>
    <w:r>
      <w:rPr>
        <w:rFonts w:eastAsia="SimSun" w:hint="eastAsia"/>
        <w:sz w:val="20"/>
        <w:lang w:eastAsia="zh-CN"/>
      </w:rPr>
      <w:t>614</w:t>
    </w:r>
  </w:p>
  <w:p w:rsidR="00D054D7" w:rsidRPr="00E04D00" w:rsidRDefault="00D054D7" w:rsidP="00DA42CE">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7760B2">
      <w:rPr>
        <w:rFonts w:ascii="C39T30Lfz" w:eastAsia="SimSun" w:hAnsi="C39T30Lfz"/>
        <w:sz w:val="56"/>
        <w:szCs w:val="56"/>
        <w:lang w:eastAsia="zh-CN"/>
      </w:rPr>
      <w:t></w:t>
    </w:r>
    <w:r w:rsidRPr="007760B2">
      <w:rPr>
        <w:rFonts w:ascii="C39T30Lfz" w:eastAsia="SimSun" w:hAnsi="C39T30Lfz"/>
        <w:sz w:val="56"/>
        <w:szCs w:val="56"/>
        <w:lang w:eastAsia="zh-CN"/>
      </w:rPr>
      <w:t></w:t>
    </w:r>
    <w:r w:rsidRPr="007760B2">
      <w:rPr>
        <w:rFonts w:ascii="C39T30Lfz" w:eastAsia="SimSun" w:hAnsi="C39T30Lfz"/>
        <w:sz w:val="56"/>
        <w:szCs w:val="56"/>
        <w:lang w:eastAsia="zh-CN"/>
      </w:rPr>
      <w:t></w:t>
    </w:r>
    <w:r w:rsidRPr="007760B2">
      <w:rPr>
        <w:rFonts w:ascii="C39T30Lfz" w:eastAsia="SimSun" w:hAnsi="C39T30Lfz"/>
        <w:sz w:val="56"/>
        <w:szCs w:val="56"/>
        <w:lang w:eastAsia="zh-CN"/>
      </w:rPr>
      <w:t></w:t>
    </w:r>
    <w:r w:rsidRPr="007760B2">
      <w:rPr>
        <w:rFonts w:ascii="C39T30Lfz" w:eastAsia="SimSun" w:hAnsi="C39T30Lfz"/>
        <w:sz w:val="56"/>
        <w:szCs w:val="56"/>
        <w:lang w:eastAsia="zh-CN"/>
      </w:rPr>
      <w:t></w:t>
    </w:r>
    <w:r w:rsidRPr="007760B2">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D7" w:rsidRPr="005749F7" w:rsidRDefault="00D054D7"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D054D7" w:rsidRPr="005749F7" w:rsidRDefault="00D054D7"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D054D7" w:rsidRPr="00550B50" w:rsidRDefault="00D054D7" w:rsidP="007760B2">
      <w:pPr>
        <w:pStyle w:val="FootnoteText"/>
        <w:rPr>
          <w:rFonts w:hint="eastAsia"/>
        </w:rPr>
      </w:pPr>
      <w:r w:rsidRPr="00550B50">
        <w:tab/>
      </w:r>
      <w:r w:rsidRPr="00E94AFD">
        <w:rPr>
          <w:rStyle w:val="FootnoteReference"/>
          <w:color w:val="auto"/>
          <w:szCs w:val="21"/>
          <w:vertAlign w:val="baseline"/>
        </w:rPr>
        <w:t>*</w:t>
      </w:r>
      <w:r w:rsidRPr="00550B50">
        <w:tab/>
      </w:r>
      <w:r>
        <w:rPr>
          <w:rFonts w:hint="eastAsia"/>
        </w:rPr>
        <w:t>本文件</w:t>
      </w:r>
      <w:r w:rsidRPr="00550B50">
        <w:rPr>
          <w:rFonts w:hint="eastAsia"/>
        </w:rPr>
        <w:t>未经正式编辑</w:t>
      </w:r>
      <w:r>
        <w:rPr>
          <w:rFonts w:hint="eastAsia"/>
        </w:rPr>
        <w:t>而印发</w:t>
      </w:r>
      <w:r w:rsidRPr="00550B50">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D7" w:rsidRPr="007760B2" w:rsidRDefault="00D054D7">
    <w:pPr>
      <w:pStyle w:val="Header"/>
    </w:pPr>
    <w:r w:rsidRPr="007760B2">
      <w:t>CCPR/C/CHN-HKG/CO/3/Add.1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D7" w:rsidRPr="007760B2" w:rsidRDefault="00D054D7">
    <w:pPr>
      <w:pStyle w:val="Header"/>
      <w:jc w:val="right"/>
    </w:pPr>
    <w:r w:rsidRPr="007760B2">
      <w:t>CCPR/C/CHN-HKG/CO/3/Add.1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22"/>
  </w:num>
  <w:num w:numId="14">
    <w:abstractNumId w:val="12"/>
  </w:num>
  <w:num w:numId="15">
    <w:abstractNumId w:val="13"/>
  </w:num>
  <w:num w:numId="16">
    <w:abstractNumId w:val="24"/>
  </w:num>
  <w:num w:numId="17">
    <w:abstractNumId w:val="12"/>
  </w:num>
  <w:num w:numId="18">
    <w:abstractNumId w:val="12"/>
  </w:num>
  <w:num w:numId="19">
    <w:abstractNumId w:val="24"/>
  </w:num>
  <w:num w:numId="20">
    <w:abstractNumId w:val="13"/>
  </w:num>
  <w:num w:numId="21">
    <w:abstractNumId w:val="13"/>
  </w:num>
  <w:num w:numId="22">
    <w:abstractNumId w:val="18"/>
  </w:num>
  <w:num w:numId="23">
    <w:abstractNumId w:val="10"/>
  </w:num>
  <w:num w:numId="24">
    <w:abstractNumId w:val="16"/>
  </w:num>
  <w:num w:numId="25">
    <w:abstractNumId w:val="23"/>
  </w:num>
  <w:num w:numId="26">
    <w:abstractNumId w:val="17"/>
  </w:num>
  <w:num w:numId="27">
    <w:abstractNumId w:val="14"/>
  </w:num>
  <w:num w:numId="28">
    <w:abstractNumId w:val="18"/>
  </w:num>
  <w:num w:numId="29">
    <w:abstractNumId w:val="10"/>
  </w:num>
  <w:num w:numId="30">
    <w:abstractNumId w:val="16"/>
  </w:num>
  <w:num w:numId="31">
    <w:abstractNumId w:val="26"/>
  </w:num>
  <w:num w:numId="32">
    <w:abstractNumId w:val="23"/>
  </w:num>
  <w:num w:numId="33">
    <w:abstractNumId w:val="17"/>
  </w:num>
  <w:num w:numId="34">
    <w:abstractNumId w:val="14"/>
  </w:num>
  <w:num w:numId="35">
    <w:abstractNumId w:val="18"/>
  </w:num>
  <w:num w:numId="36">
    <w:abstractNumId w:val="10"/>
  </w:num>
  <w:num w:numId="37">
    <w:abstractNumId w:val="16"/>
  </w:num>
  <w:num w:numId="38">
    <w:abstractNumId w:val="26"/>
  </w:num>
  <w:num w:numId="39">
    <w:abstractNumId w:val="20"/>
  </w:num>
  <w:num w:numId="40">
    <w:abstractNumId w:val="15"/>
  </w:num>
  <w:num w:numId="41">
    <w:abstractNumId w:val="11"/>
  </w:num>
  <w:num w:numId="42">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60B2"/>
    <w:rsid w:val="00002034"/>
    <w:rsid w:val="00020C87"/>
    <w:rsid w:val="00022C6D"/>
    <w:rsid w:val="00030AD2"/>
    <w:rsid w:val="000475C3"/>
    <w:rsid w:val="000511D6"/>
    <w:rsid w:val="00055382"/>
    <w:rsid w:val="0007052C"/>
    <w:rsid w:val="00085DDB"/>
    <w:rsid w:val="000B5C2E"/>
    <w:rsid w:val="000C3594"/>
    <w:rsid w:val="000C6A2D"/>
    <w:rsid w:val="000D6051"/>
    <w:rsid w:val="000E4FF4"/>
    <w:rsid w:val="000F04AE"/>
    <w:rsid w:val="00102FBD"/>
    <w:rsid w:val="00112244"/>
    <w:rsid w:val="0012413E"/>
    <w:rsid w:val="001259F1"/>
    <w:rsid w:val="0014003F"/>
    <w:rsid w:val="00152893"/>
    <w:rsid w:val="00172BD1"/>
    <w:rsid w:val="001D0F8B"/>
    <w:rsid w:val="001D1874"/>
    <w:rsid w:val="001E0E36"/>
    <w:rsid w:val="001F2D62"/>
    <w:rsid w:val="002336D2"/>
    <w:rsid w:val="00251218"/>
    <w:rsid w:val="00253703"/>
    <w:rsid w:val="0026330B"/>
    <w:rsid w:val="00283897"/>
    <w:rsid w:val="00295F1A"/>
    <w:rsid w:val="0029644C"/>
    <w:rsid w:val="002A77DF"/>
    <w:rsid w:val="002D7642"/>
    <w:rsid w:val="002E1CDE"/>
    <w:rsid w:val="002E57F0"/>
    <w:rsid w:val="00302259"/>
    <w:rsid w:val="003024F1"/>
    <w:rsid w:val="00327B3E"/>
    <w:rsid w:val="0033248F"/>
    <w:rsid w:val="00334EDE"/>
    <w:rsid w:val="0035477D"/>
    <w:rsid w:val="00360908"/>
    <w:rsid w:val="0038336D"/>
    <w:rsid w:val="00384758"/>
    <w:rsid w:val="00386DC8"/>
    <w:rsid w:val="003E130D"/>
    <w:rsid w:val="003F1942"/>
    <w:rsid w:val="00411F1E"/>
    <w:rsid w:val="004303A9"/>
    <w:rsid w:val="0044403E"/>
    <w:rsid w:val="00487142"/>
    <w:rsid w:val="00496D5F"/>
    <w:rsid w:val="004B208D"/>
    <w:rsid w:val="004B3CB5"/>
    <w:rsid w:val="004C3C01"/>
    <w:rsid w:val="005060D3"/>
    <w:rsid w:val="00511D61"/>
    <w:rsid w:val="00521EAF"/>
    <w:rsid w:val="00547E6A"/>
    <w:rsid w:val="00566A63"/>
    <w:rsid w:val="005749F7"/>
    <w:rsid w:val="0058774F"/>
    <w:rsid w:val="00587F08"/>
    <w:rsid w:val="005A783C"/>
    <w:rsid w:val="005C3406"/>
    <w:rsid w:val="005C365E"/>
    <w:rsid w:val="005D73FB"/>
    <w:rsid w:val="00626DFF"/>
    <w:rsid w:val="00666AB7"/>
    <w:rsid w:val="00676167"/>
    <w:rsid w:val="0068582B"/>
    <w:rsid w:val="006D1BB2"/>
    <w:rsid w:val="006F34E0"/>
    <w:rsid w:val="00700C0F"/>
    <w:rsid w:val="00704F21"/>
    <w:rsid w:val="007109CC"/>
    <w:rsid w:val="00741758"/>
    <w:rsid w:val="007471AC"/>
    <w:rsid w:val="0075219B"/>
    <w:rsid w:val="00756446"/>
    <w:rsid w:val="007760B2"/>
    <w:rsid w:val="00794610"/>
    <w:rsid w:val="00796148"/>
    <w:rsid w:val="007A39CF"/>
    <w:rsid w:val="007E15C7"/>
    <w:rsid w:val="007F752C"/>
    <w:rsid w:val="0080101E"/>
    <w:rsid w:val="00833FBA"/>
    <w:rsid w:val="00834F13"/>
    <w:rsid w:val="00854C3E"/>
    <w:rsid w:val="00883F5B"/>
    <w:rsid w:val="00892535"/>
    <w:rsid w:val="008A4C1F"/>
    <w:rsid w:val="008B041C"/>
    <w:rsid w:val="008B39E2"/>
    <w:rsid w:val="008C40EB"/>
    <w:rsid w:val="008E7C19"/>
    <w:rsid w:val="008F23EE"/>
    <w:rsid w:val="008F2A60"/>
    <w:rsid w:val="008F6D12"/>
    <w:rsid w:val="009066FA"/>
    <w:rsid w:val="00911A84"/>
    <w:rsid w:val="0091645A"/>
    <w:rsid w:val="00932962"/>
    <w:rsid w:val="009336BD"/>
    <w:rsid w:val="009448E2"/>
    <w:rsid w:val="0096650C"/>
    <w:rsid w:val="00976169"/>
    <w:rsid w:val="00985AAE"/>
    <w:rsid w:val="009902E4"/>
    <w:rsid w:val="009A4F47"/>
    <w:rsid w:val="009B7C5E"/>
    <w:rsid w:val="009C62AD"/>
    <w:rsid w:val="009E146E"/>
    <w:rsid w:val="00A11BC5"/>
    <w:rsid w:val="00A328C0"/>
    <w:rsid w:val="00A43331"/>
    <w:rsid w:val="00A50B88"/>
    <w:rsid w:val="00A900DA"/>
    <w:rsid w:val="00A93A29"/>
    <w:rsid w:val="00AB73F5"/>
    <w:rsid w:val="00AE65DA"/>
    <w:rsid w:val="00AF3863"/>
    <w:rsid w:val="00B03657"/>
    <w:rsid w:val="00B063C6"/>
    <w:rsid w:val="00B115C8"/>
    <w:rsid w:val="00B51E7A"/>
    <w:rsid w:val="00B676D5"/>
    <w:rsid w:val="00B77980"/>
    <w:rsid w:val="00BA27E0"/>
    <w:rsid w:val="00BB67F9"/>
    <w:rsid w:val="00BE01D0"/>
    <w:rsid w:val="00BE3010"/>
    <w:rsid w:val="00BF3898"/>
    <w:rsid w:val="00C157B9"/>
    <w:rsid w:val="00C219B1"/>
    <w:rsid w:val="00C53E8D"/>
    <w:rsid w:val="00C7462D"/>
    <w:rsid w:val="00C80503"/>
    <w:rsid w:val="00C84DDE"/>
    <w:rsid w:val="00CC6B5C"/>
    <w:rsid w:val="00CE0E43"/>
    <w:rsid w:val="00CF59E4"/>
    <w:rsid w:val="00CF5A57"/>
    <w:rsid w:val="00CF7146"/>
    <w:rsid w:val="00D054D7"/>
    <w:rsid w:val="00D33E95"/>
    <w:rsid w:val="00D42589"/>
    <w:rsid w:val="00D4597B"/>
    <w:rsid w:val="00D62149"/>
    <w:rsid w:val="00D769E5"/>
    <w:rsid w:val="00D935F8"/>
    <w:rsid w:val="00DA42CE"/>
    <w:rsid w:val="00DA74D3"/>
    <w:rsid w:val="00DB258F"/>
    <w:rsid w:val="00DC3250"/>
    <w:rsid w:val="00DD132F"/>
    <w:rsid w:val="00E12397"/>
    <w:rsid w:val="00E155E7"/>
    <w:rsid w:val="00E754D2"/>
    <w:rsid w:val="00E77525"/>
    <w:rsid w:val="00E94AFD"/>
    <w:rsid w:val="00EA3661"/>
    <w:rsid w:val="00EA62B1"/>
    <w:rsid w:val="00EB6660"/>
    <w:rsid w:val="00EE5D22"/>
    <w:rsid w:val="00EF093E"/>
    <w:rsid w:val="00F0104A"/>
    <w:rsid w:val="00F1312C"/>
    <w:rsid w:val="00F15D03"/>
    <w:rsid w:val="00F25F14"/>
    <w:rsid w:val="00F377B3"/>
    <w:rsid w:val="00F418CC"/>
    <w:rsid w:val="00F44EBF"/>
    <w:rsid w:val="00F64CE1"/>
    <w:rsid w:val="00F81CE4"/>
    <w:rsid w:val="00F9137E"/>
    <w:rsid w:val="00FA29FC"/>
    <w:rsid w:val="00FA3CA8"/>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basedOn w:val="DefaultParagraphFont"/>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0</TotalTime>
  <Pages>4</Pages>
  <Words>1302</Words>
  <Characters>1381</Characters>
  <Application>Microsoft Office Outlook</Application>
  <DocSecurity>4</DocSecurity>
  <Lines>55</Lines>
  <Paragraphs>38</Paragraphs>
  <ScaleCrop>false</ScaleCrop>
  <Company>CSD</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2014-06-17T13:00:00Z</cp:lastPrinted>
  <dcterms:created xsi:type="dcterms:W3CDTF">2014-06-17T13:00:00Z</dcterms:created>
  <dcterms:modified xsi:type="dcterms:W3CDTF">2014-06-17T13:00:00Z</dcterms:modified>
</cp:coreProperties>
</file>