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74EA9" w:rsidP="00832493">
            <w:pPr>
              <w:bidi w:val="0"/>
              <w:spacing w:after="20"/>
              <w:jc w:val="left"/>
              <w:rPr>
                <w:szCs w:val="20"/>
              </w:rPr>
            </w:pPr>
            <w:r w:rsidRPr="00F74EA9">
              <w:rPr>
                <w:sz w:val="40"/>
                <w:szCs w:val="20"/>
              </w:rPr>
              <w:t>C</w:t>
            </w:r>
            <w:r w:rsidRPr="00CA75E9">
              <w:rPr>
                <w:sz w:val="40"/>
                <w:szCs w:val="40"/>
              </w:rPr>
              <w:t>ERD</w:t>
            </w:r>
            <w:r>
              <w:rPr>
                <w:szCs w:val="20"/>
              </w:rPr>
              <w:t>/C/ARE/CO/18-21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32493" w:rsidRDefault="00832493" w:rsidP="00832493">
            <w:pPr>
              <w:spacing w:before="120" w:after="40" w:line="640" w:lineRule="exact"/>
              <w:ind w:right="421"/>
              <w:rPr>
                <w:b/>
                <w:bCs/>
                <w:sz w:val="56"/>
                <w:szCs w:val="56"/>
                <w:lang w:bidi="ar-DZ"/>
              </w:rPr>
            </w:pPr>
            <w:r>
              <w:rPr>
                <w:rFonts w:hint="cs"/>
                <w:b/>
                <w:bCs/>
                <w:sz w:val="56"/>
                <w:szCs w:val="56"/>
                <w:rtl/>
                <w:lang w:bidi="ar-DZ"/>
              </w:rPr>
              <w:t xml:space="preserve">الاتفاقية الدولية للقضاء على جميع أشكال التمييز العنصري </w:t>
            </w:r>
          </w:p>
        </w:tc>
        <w:tc>
          <w:tcPr>
            <w:tcW w:w="3402" w:type="dxa"/>
            <w:tcBorders>
              <w:top w:val="single" w:sz="4" w:space="0" w:color="auto"/>
              <w:bottom w:val="single" w:sz="12" w:space="0" w:color="auto"/>
            </w:tcBorders>
          </w:tcPr>
          <w:p w:rsidR="006B3E27" w:rsidRDefault="00832493" w:rsidP="00832493">
            <w:pPr>
              <w:bidi w:val="0"/>
              <w:spacing w:before="240"/>
              <w:jc w:val="left"/>
              <w:rPr>
                <w:szCs w:val="20"/>
              </w:rPr>
            </w:pPr>
            <w:r>
              <w:rPr>
                <w:szCs w:val="20"/>
              </w:rPr>
              <w:t>Distr.: General</w:t>
            </w:r>
          </w:p>
          <w:p w:rsidR="00832493" w:rsidRDefault="00832493" w:rsidP="00832493">
            <w:pPr>
              <w:bidi w:val="0"/>
              <w:jc w:val="left"/>
              <w:rPr>
                <w:szCs w:val="20"/>
              </w:rPr>
            </w:pPr>
            <w:r>
              <w:rPr>
                <w:szCs w:val="20"/>
              </w:rPr>
              <w:t>13 September 2017</w:t>
            </w:r>
          </w:p>
          <w:p w:rsidR="00832493" w:rsidRDefault="00832493" w:rsidP="00832493">
            <w:pPr>
              <w:bidi w:val="0"/>
              <w:jc w:val="left"/>
              <w:rPr>
                <w:szCs w:val="20"/>
              </w:rPr>
            </w:pPr>
            <w:r>
              <w:rPr>
                <w:szCs w:val="20"/>
              </w:rPr>
              <w:t>Arabic</w:t>
            </w:r>
          </w:p>
          <w:p w:rsidR="00832493" w:rsidRPr="003E159A" w:rsidRDefault="00832493" w:rsidP="00832493">
            <w:pPr>
              <w:bidi w:val="0"/>
              <w:jc w:val="left"/>
              <w:rPr>
                <w:szCs w:val="20"/>
              </w:rPr>
            </w:pPr>
            <w:r>
              <w:rPr>
                <w:szCs w:val="20"/>
              </w:rPr>
              <w:t>Original: English</w:t>
            </w:r>
          </w:p>
        </w:tc>
      </w:tr>
    </w:tbl>
    <w:p w:rsidR="00832493" w:rsidRPr="00832493" w:rsidRDefault="00832493" w:rsidP="00003270">
      <w:pPr>
        <w:spacing w:before="120" w:after="240" w:line="380" w:lineRule="exact"/>
        <w:textDirection w:val="tbRlV"/>
        <w:rPr>
          <w:b/>
          <w:sz w:val="36"/>
          <w:szCs w:val="36"/>
          <w:rtl/>
          <w:lang w:eastAsia="zh-TW"/>
        </w:rPr>
      </w:pPr>
      <w:r w:rsidRPr="00832493">
        <w:rPr>
          <w:b/>
          <w:bCs/>
          <w:sz w:val="36"/>
          <w:szCs w:val="36"/>
          <w:rtl/>
          <w:cs/>
          <w:lang w:eastAsia="zh-TW"/>
        </w:rPr>
        <w:t>لجنة القضاء على التمييز ال</w:t>
      </w:r>
      <w:bookmarkStart w:id="0" w:name="_GoBack"/>
      <w:bookmarkEnd w:id="0"/>
      <w:r w:rsidRPr="00832493">
        <w:rPr>
          <w:b/>
          <w:bCs/>
          <w:sz w:val="36"/>
          <w:szCs w:val="36"/>
          <w:rtl/>
          <w:cs/>
          <w:lang w:eastAsia="zh-TW"/>
        </w:rPr>
        <w:t>عنصري</w:t>
      </w:r>
      <w:r w:rsidRPr="00832493">
        <w:rPr>
          <w:sz w:val="36"/>
          <w:szCs w:val="36"/>
          <w:rtl/>
          <w:cs/>
          <w:lang w:eastAsia="zh-TW"/>
        </w:rPr>
        <w:t>‏</w:t>
      </w:r>
    </w:p>
    <w:p w:rsidR="00832493" w:rsidRPr="009400E6" w:rsidRDefault="009F545A" w:rsidP="002B35A1">
      <w:pPr>
        <w:pStyle w:val="HChGA"/>
        <w:rPr>
          <w:rtl/>
          <w:lang w:eastAsia="zh-TW"/>
        </w:rPr>
      </w:pPr>
      <w:r>
        <w:rPr>
          <w:rtl/>
          <w:lang w:eastAsia="zh-TW"/>
        </w:rPr>
        <w:tab/>
      </w:r>
      <w:r>
        <w:rPr>
          <w:rtl/>
          <w:lang w:eastAsia="zh-TW"/>
        </w:rPr>
        <w:tab/>
      </w:r>
      <w:r w:rsidR="00832493" w:rsidRPr="009400E6">
        <w:rPr>
          <w:rtl/>
          <w:lang w:eastAsia="zh-TW"/>
        </w:rPr>
        <w:t>الملاحظات الختامية بشأن التقرير الجامع للتقارير الدورية من الثامن عشر إلى الحادي والعشرين للإمارات العربية المتحدة</w:t>
      </w:r>
      <w:r w:rsidR="00832493" w:rsidRPr="00832493">
        <w:rPr>
          <w:rStyle w:val="FootnoteReference"/>
          <w:sz w:val="20"/>
          <w:vertAlign w:val="baseline"/>
          <w:rtl/>
          <w:lang w:eastAsia="zh-TW"/>
        </w:rPr>
        <w:footnoteReference w:customMarkFollows="1" w:id="1"/>
        <w:t>*</w:t>
      </w:r>
    </w:p>
    <w:p w:rsidR="00832493" w:rsidRPr="002B35A1" w:rsidRDefault="00832493" w:rsidP="00832493">
      <w:pPr>
        <w:pStyle w:val="SingleTxtGA"/>
        <w:rPr>
          <w:spacing w:val="-2"/>
          <w:rtl/>
          <w:lang w:eastAsia="zh-TW"/>
        </w:rPr>
      </w:pPr>
      <w:r w:rsidRPr="002B35A1">
        <w:rPr>
          <w:spacing w:val="-2"/>
          <w:rtl/>
          <w:lang w:eastAsia="zh-TW"/>
        </w:rPr>
        <w:t>١-</w:t>
      </w:r>
      <w:r w:rsidR="009F545A">
        <w:rPr>
          <w:spacing w:val="-2"/>
          <w:rtl/>
          <w:lang w:eastAsia="zh-TW"/>
        </w:rPr>
        <w:tab/>
      </w:r>
      <w:r w:rsidRPr="002B35A1">
        <w:rPr>
          <w:spacing w:val="-2"/>
          <w:rtl/>
          <w:lang w:eastAsia="zh-TW"/>
        </w:rPr>
        <w:t>نظرت اللجنة في التقرير الجامع للتقارير الدورية من الثامن عشر إلى الحادي والعشرين للإمارات العربية المتحدة (</w:t>
      </w:r>
      <w:r w:rsidRPr="002B35A1">
        <w:rPr>
          <w:spacing w:val="-2"/>
          <w:lang w:eastAsia="zh-TW"/>
        </w:rPr>
        <w:t>CERD/C/ARE/18-21</w:t>
      </w:r>
      <w:r w:rsidRPr="002B35A1">
        <w:rPr>
          <w:spacing w:val="-2"/>
          <w:rtl/>
          <w:lang w:eastAsia="zh-TW"/>
        </w:rPr>
        <w:t>)، المقدمة في وثيقة واحدة، في جلستيها 2556 و2557 (</w:t>
      </w:r>
      <w:r w:rsidRPr="002B35A1">
        <w:rPr>
          <w:spacing w:val="-2"/>
          <w:lang w:eastAsia="zh-TW"/>
        </w:rPr>
        <w:t>CERD/C/SR.2556</w:t>
      </w:r>
      <w:r w:rsidRPr="002B35A1">
        <w:rPr>
          <w:spacing w:val="-2"/>
          <w:rtl/>
          <w:lang w:eastAsia="zh-TW"/>
        </w:rPr>
        <w:t xml:space="preserve"> و</w:t>
      </w:r>
      <w:r w:rsidRPr="002B35A1">
        <w:rPr>
          <w:spacing w:val="-2"/>
          <w:lang w:eastAsia="zh-TW"/>
        </w:rPr>
        <w:t>2557</w:t>
      </w:r>
      <w:r w:rsidRPr="002B35A1">
        <w:rPr>
          <w:spacing w:val="-2"/>
          <w:rtl/>
          <w:lang w:eastAsia="zh-TW"/>
        </w:rPr>
        <w:t xml:space="preserve">)، المعقودتين في 7 و8 آب/أغسطس 2017. </w:t>
      </w:r>
      <w:r w:rsidRPr="002B35A1">
        <w:rPr>
          <w:rFonts w:ascii="Traditional Arabic" w:hAnsi="Traditional Arabic" w:hint="cs"/>
          <w:spacing w:val="-2"/>
          <w:rtl/>
          <w:lang w:eastAsia="zh-TW"/>
        </w:rPr>
        <w:t>واعتمدت</w:t>
      </w:r>
      <w:r w:rsidRPr="002B35A1">
        <w:rPr>
          <w:spacing w:val="-2"/>
          <w:rtl/>
          <w:lang w:eastAsia="zh-TW"/>
        </w:rPr>
        <w:t xml:space="preserve"> </w:t>
      </w:r>
      <w:r w:rsidRPr="002B35A1">
        <w:rPr>
          <w:rFonts w:ascii="Traditional Arabic" w:hAnsi="Traditional Arabic" w:hint="cs"/>
          <w:spacing w:val="-2"/>
          <w:rtl/>
          <w:lang w:eastAsia="zh-TW"/>
        </w:rPr>
        <w:t>في</w:t>
      </w:r>
      <w:r w:rsidRPr="002B35A1">
        <w:rPr>
          <w:spacing w:val="-2"/>
          <w:rtl/>
          <w:lang w:eastAsia="zh-TW"/>
        </w:rPr>
        <w:t xml:space="preserve"> </w:t>
      </w:r>
      <w:r w:rsidRPr="002B35A1">
        <w:rPr>
          <w:rFonts w:ascii="Traditional Arabic" w:hAnsi="Traditional Arabic" w:hint="cs"/>
          <w:spacing w:val="-2"/>
          <w:rtl/>
          <w:lang w:eastAsia="zh-TW"/>
        </w:rPr>
        <w:t>جلستها</w:t>
      </w:r>
      <w:r w:rsidRPr="002B35A1">
        <w:rPr>
          <w:spacing w:val="-2"/>
          <w:rtl/>
          <w:lang w:eastAsia="zh-TW"/>
        </w:rPr>
        <w:t xml:space="preserve"> 2571 </w:t>
      </w:r>
      <w:r w:rsidRPr="002B35A1">
        <w:rPr>
          <w:rFonts w:ascii="Traditional Arabic" w:hAnsi="Traditional Arabic" w:hint="cs"/>
          <w:spacing w:val="-2"/>
          <w:rtl/>
          <w:lang w:eastAsia="zh-TW"/>
        </w:rPr>
        <w:t>المعقودة</w:t>
      </w:r>
      <w:r w:rsidRPr="002B35A1">
        <w:rPr>
          <w:spacing w:val="-2"/>
          <w:rtl/>
          <w:lang w:eastAsia="zh-TW"/>
        </w:rPr>
        <w:t xml:space="preserve"> </w:t>
      </w:r>
      <w:r w:rsidRPr="002B35A1">
        <w:rPr>
          <w:rFonts w:ascii="Traditional Arabic" w:hAnsi="Traditional Arabic" w:hint="cs"/>
          <w:spacing w:val="-2"/>
          <w:rtl/>
          <w:lang w:eastAsia="zh-TW"/>
        </w:rPr>
        <w:t>في</w:t>
      </w:r>
      <w:r w:rsidRPr="002B35A1">
        <w:rPr>
          <w:spacing w:val="-2"/>
          <w:rtl/>
          <w:lang w:eastAsia="zh-TW"/>
        </w:rPr>
        <w:t xml:space="preserve"> </w:t>
      </w:r>
      <w:r w:rsidRPr="002B35A1">
        <w:rPr>
          <w:rFonts w:ascii="Traditional Arabic" w:hAnsi="Traditional Arabic" w:hint="cs"/>
          <w:spacing w:val="-2"/>
          <w:rtl/>
          <w:lang w:eastAsia="zh-TW"/>
        </w:rPr>
        <w:t>١٧</w:t>
      </w:r>
      <w:r w:rsidRPr="002B35A1">
        <w:rPr>
          <w:spacing w:val="-2"/>
          <w:rtl/>
          <w:lang w:eastAsia="zh-TW"/>
        </w:rPr>
        <w:t xml:space="preserve"> </w:t>
      </w:r>
      <w:r w:rsidRPr="002B35A1">
        <w:rPr>
          <w:rFonts w:ascii="Traditional Arabic" w:hAnsi="Traditional Arabic" w:hint="cs"/>
          <w:spacing w:val="-2"/>
          <w:rtl/>
          <w:lang w:eastAsia="zh-TW"/>
        </w:rPr>
        <w:t>آب</w:t>
      </w:r>
      <w:r w:rsidRPr="002B35A1">
        <w:rPr>
          <w:spacing w:val="-2"/>
          <w:rtl/>
          <w:lang w:eastAsia="zh-TW"/>
        </w:rPr>
        <w:t>/</w:t>
      </w:r>
      <w:r w:rsidRPr="002B35A1">
        <w:rPr>
          <w:rFonts w:ascii="Traditional Arabic" w:hAnsi="Traditional Arabic" w:hint="cs"/>
          <w:spacing w:val="-2"/>
          <w:rtl/>
          <w:lang w:eastAsia="zh-TW"/>
        </w:rPr>
        <w:t>أغسطس</w:t>
      </w:r>
      <w:r w:rsidRPr="002B35A1">
        <w:rPr>
          <w:spacing w:val="-2"/>
          <w:rtl/>
          <w:lang w:eastAsia="zh-TW"/>
        </w:rPr>
        <w:t xml:space="preserve"> </w:t>
      </w:r>
      <w:r w:rsidRPr="002B35A1">
        <w:rPr>
          <w:rFonts w:ascii="Traditional Arabic" w:hAnsi="Traditional Arabic" w:hint="cs"/>
          <w:spacing w:val="-2"/>
          <w:rtl/>
          <w:lang w:eastAsia="zh-TW"/>
        </w:rPr>
        <w:t>هذه</w:t>
      </w:r>
      <w:r w:rsidRPr="002B35A1">
        <w:rPr>
          <w:spacing w:val="-2"/>
          <w:rtl/>
          <w:lang w:eastAsia="zh-TW"/>
        </w:rPr>
        <w:t xml:space="preserve"> </w:t>
      </w:r>
      <w:r w:rsidRPr="002B35A1">
        <w:rPr>
          <w:rFonts w:ascii="Traditional Arabic" w:hAnsi="Traditional Arabic" w:hint="cs"/>
          <w:spacing w:val="-2"/>
          <w:rtl/>
          <w:lang w:eastAsia="zh-TW"/>
        </w:rPr>
        <w:t>الملاحظات</w:t>
      </w:r>
      <w:r w:rsidRPr="002B35A1">
        <w:rPr>
          <w:spacing w:val="-2"/>
          <w:rtl/>
          <w:lang w:eastAsia="zh-TW"/>
        </w:rPr>
        <w:t xml:space="preserve"> </w:t>
      </w:r>
      <w:r w:rsidRPr="002B35A1">
        <w:rPr>
          <w:rFonts w:ascii="Traditional Arabic" w:hAnsi="Traditional Arabic" w:hint="cs"/>
          <w:spacing w:val="-2"/>
          <w:rtl/>
          <w:lang w:eastAsia="zh-TW"/>
        </w:rPr>
        <w:t>الختامية</w:t>
      </w:r>
      <w:r w:rsidRPr="002B35A1">
        <w:rPr>
          <w:spacing w:val="-2"/>
          <w:rtl/>
          <w:lang w:eastAsia="zh-TW"/>
        </w:rPr>
        <w:t xml:space="preserve">. </w:t>
      </w:r>
    </w:p>
    <w:p w:rsidR="00832493" w:rsidRPr="00536551" w:rsidRDefault="009F545A" w:rsidP="00832493">
      <w:pPr>
        <w:pStyle w:val="H1GA"/>
        <w:rPr>
          <w:rtl/>
          <w:lang w:eastAsia="zh-TW"/>
        </w:rPr>
      </w:pPr>
      <w:r>
        <w:rPr>
          <w:rtl/>
          <w:lang w:eastAsia="zh-TW"/>
        </w:rPr>
        <w:tab/>
      </w:r>
      <w:r w:rsidR="00832493" w:rsidRPr="00536551">
        <w:rPr>
          <w:rtl/>
          <w:lang w:eastAsia="zh-TW"/>
        </w:rPr>
        <w:t>ألف</w:t>
      </w:r>
      <w:r w:rsidR="00832493">
        <w:rPr>
          <w:rtl/>
          <w:lang w:eastAsia="zh-TW"/>
        </w:rPr>
        <w:t>-</w:t>
      </w:r>
      <w:r>
        <w:rPr>
          <w:rtl/>
          <w:lang w:eastAsia="zh-TW"/>
        </w:rPr>
        <w:tab/>
      </w:r>
      <w:r w:rsidR="00832493" w:rsidRPr="00536551">
        <w:rPr>
          <w:rtl/>
          <w:lang w:eastAsia="zh-TW"/>
        </w:rPr>
        <w:t>مقدمة</w:t>
      </w:r>
    </w:p>
    <w:p w:rsidR="00832493" w:rsidRDefault="00832493" w:rsidP="002E44C0">
      <w:pPr>
        <w:pStyle w:val="SingleTxtGA"/>
        <w:rPr>
          <w:rtl/>
          <w:lang w:eastAsia="zh-TW"/>
        </w:rPr>
      </w:pPr>
      <w:r>
        <w:rPr>
          <w:rtl/>
          <w:lang w:eastAsia="zh-TW"/>
        </w:rPr>
        <w:t>٢-</w:t>
      </w:r>
      <w:r w:rsidR="009F545A">
        <w:rPr>
          <w:rtl/>
          <w:lang w:eastAsia="zh-TW"/>
        </w:rPr>
        <w:tab/>
      </w:r>
      <w:r>
        <w:rPr>
          <w:rtl/>
          <w:lang w:eastAsia="zh-TW"/>
        </w:rPr>
        <w:t>ترحب اللجنة بتقديم الدولة الطرف التقرير الجامع للتقارير الدورية من الثامن عشر إلى الحادي والعشرين للدولة الطرف، الذي يتضمن ردوداً على الشواغل التي أثارتها اللجنة في ملاحظاتها الختامية السابقة</w:t>
      </w:r>
      <w:r w:rsidR="002E44C0">
        <w:rPr>
          <w:rFonts w:hint="cs"/>
          <w:rtl/>
          <w:lang w:eastAsia="zh-TW"/>
        </w:rPr>
        <w:t xml:space="preserve"> (</w:t>
      </w:r>
      <w:r w:rsidRPr="00832008">
        <w:t>CERD/C/ARE/CO/17</w:t>
      </w:r>
      <w:r w:rsidR="002E44C0">
        <w:rPr>
          <w:rFonts w:hint="cs"/>
          <w:rtl/>
          <w:lang w:eastAsia="zh-TW"/>
        </w:rPr>
        <w:t xml:space="preserve">). </w:t>
      </w:r>
      <w:r>
        <w:rPr>
          <w:rtl/>
          <w:lang w:eastAsia="zh-TW"/>
        </w:rPr>
        <w:t>وترحب اللجنة بالحوار المفتوح والبناء الذي جرى مع وفد الدولة الطرف الرفيع المستوى.</w:t>
      </w:r>
    </w:p>
    <w:p w:rsidR="00832493" w:rsidRPr="00536551" w:rsidRDefault="009F545A" w:rsidP="00832493">
      <w:pPr>
        <w:pStyle w:val="H1GA"/>
        <w:rPr>
          <w:rtl/>
          <w:lang w:eastAsia="zh-TW"/>
        </w:rPr>
      </w:pPr>
      <w:r>
        <w:rPr>
          <w:rtl/>
          <w:lang w:eastAsia="zh-TW"/>
        </w:rPr>
        <w:tab/>
      </w:r>
      <w:r w:rsidR="00832493" w:rsidRPr="00536551">
        <w:rPr>
          <w:rtl/>
          <w:lang w:eastAsia="zh-TW"/>
        </w:rPr>
        <w:t>باء</w:t>
      </w:r>
      <w:r w:rsidR="00832493">
        <w:rPr>
          <w:rtl/>
          <w:lang w:eastAsia="zh-TW"/>
        </w:rPr>
        <w:t>-</w:t>
      </w:r>
      <w:r>
        <w:rPr>
          <w:rtl/>
          <w:lang w:eastAsia="zh-TW"/>
        </w:rPr>
        <w:tab/>
      </w:r>
      <w:r w:rsidR="00832493" w:rsidRPr="00536551">
        <w:rPr>
          <w:rtl/>
          <w:lang w:eastAsia="zh-TW"/>
        </w:rPr>
        <w:t>الجوانب الايجابية</w:t>
      </w:r>
    </w:p>
    <w:p w:rsidR="00832493" w:rsidRPr="00832008" w:rsidRDefault="00832493" w:rsidP="00832493">
      <w:pPr>
        <w:pStyle w:val="SingleTxtGA"/>
        <w:rPr>
          <w:rtl/>
          <w:lang w:eastAsia="zh-TW"/>
        </w:rPr>
      </w:pPr>
      <w:r>
        <w:rPr>
          <w:rtl/>
          <w:lang w:eastAsia="zh-TW"/>
        </w:rPr>
        <w:t>٣-</w:t>
      </w:r>
      <w:r w:rsidR="009F545A">
        <w:rPr>
          <w:rtl/>
          <w:lang w:eastAsia="zh-TW"/>
        </w:rPr>
        <w:tab/>
      </w:r>
      <w:r>
        <w:rPr>
          <w:rtl/>
          <w:lang w:eastAsia="zh-TW"/>
        </w:rPr>
        <w:t xml:space="preserve">ترحب اللجنة بالتدابير التشريعية </w:t>
      </w:r>
      <w:proofErr w:type="spellStart"/>
      <w:r>
        <w:rPr>
          <w:rtl/>
          <w:lang w:eastAsia="zh-TW"/>
        </w:rPr>
        <w:t>والسياساتية</w:t>
      </w:r>
      <w:proofErr w:type="spellEnd"/>
      <w:r>
        <w:rPr>
          <w:rtl/>
          <w:lang w:eastAsia="zh-TW"/>
        </w:rPr>
        <w:t xml:space="preserve"> التالية التي اتخذتها الدولة الطرف: </w:t>
      </w:r>
    </w:p>
    <w:p w:rsidR="00832493" w:rsidRPr="002E44C0" w:rsidRDefault="009F545A" w:rsidP="00832493">
      <w:pPr>
        <w:pStyle w:val="SingleTxtGA"/>
        <w:rPr>
          <w:spacing w:val="-7"/>
          <w:rtl/>
          <w:lang w:eastAsia="zh-TW"/>
        </w:rPr>
      </w:pPr>
      <w:r>
        <w:rPr>
          <w:spacing w:val="-7"/>
          <w:rtl/>
          <w:lang w:eastAsia="zh-TW"/>
        </w:rPr>
        <w:tab/>
      </w:r>
      <w:r w:rsidR="00832493" w:rsidRPr="002E44C0">
        <w:rPr>
          <w:rFonts w:hint="cs"/>
          <w:spacing w:val="-7"/>
          <w:rtl/>
          <w:lang w:eastAsia="zh-TW"/>
        </w:rPr>
        <w:t>(</w:t>
      </w:r>
      <w:r w:rsidR="00832493" w:rsidRPr="002E44C0">
        <w:rPr>
          <w:spacing w:val="-7"/>
          <w:rtl/>
          <w:lang w:eastAsia="zh-TW"/>
        </w:rPr>
        <w:t>أ)</w:t>
      </w:r>
      <w:r>
        <w:rPr>
          <w:spacing w:val="-7"/>
          <w:rtl/>
          <w:lang w:eastAsia="zh-TW"/>
        </w:rPr>
        <w:tab/>
      </w:r>
      <w:r w:rsidR="00832493" w:rsidRPr="002E44C0">
        <w:rPr>
          <w:spacing w:val="-7"/>
          <w:rtl/>
          <w:lang w:eastAsia="zh-TW"/>
        </w:rPr>
        <w:t>اعتماد المرسوم بقانون اتحادي رقم 2 لسنة 2015 بشأن مكافحة التمييز والكراهية؛</w:t>
      </w:r>
    </w:p>
    <w:p w:rsidR="00832493" w:rsidRPr="00832008" w:rsidRDefault="009F545A" w:rsidP="00832493">
      <w:pPr>
        <w:pStyle w:val="SingleTxtGA"/>
        <w:rPr>
          <w:rtl/>
          <w:lang w:eastAsia="zh-TW"/>
        </w:rPr>
      </w:pPr>
      <w:r>
        <w:rPr>
          <w:rtl/>
          <w:lang w:eastAsia="zh-TW"/>
        </w:rPr>
        <w:tab/>
      </w:r>
      <w:r w:rsidR="00832493">
        <w:rPr>
          <w:rtl/>
          <w:lang w:eastAsia="zh-TW"/>
        </w:rPr>
        <w:t>(ب)</w:t>
      </w:r>
      <w:r>
        <w:rPr>
          <w:rtl/>
          <w:lang w:eastAsia="zh-TW"/>
        </w:rPr>
        <w:tab/>
      </w:r>
      <w:r w:rsidR="00832493">
        <w:rPr>
          <w:rtl/>
          <w:lang w:eastAsia="zh-TW"/>
        </w:rPr>
        <w:t>إطلاق البرنامج الوطني للتسامح في عام ٢٠١٦ الرامي إلى مكافحة التمييز على أساس العرق أو الدين أو الأصل القومي وتشجيع التسامح والتعايش، بما في ذلك إنشاء وزارة للتسامح وتعيين وزيرة للتسامح في شباط/فبراير ٢٠١٦؛</w:t>
      </w:r>
    </w:p>
    <w:p w:rsidR="00832493" w:rsidRPr="002E44C0" w:rsidRDefault="009F545A" w:rsidP="00832493">
      <w:pPr>
        <w:pStyle w:val="SingleTxtGA"/>
        <w:rPr>
          <w:spacing w:val="-4"/>
          <w:rtl/>
          <w:lang w:eastAsia="zh-TW" w:bidi="ar-DZ"/>
        </w:rPr>
      </w:pPr>
      <w:r>
        <w:rPr>
          <w:spacing w:val="-4"/>
          <w:rtl/>
          <w:lang w:eastAsia="zh-TW"/>
        </w:rPr>
        <w:tab/>
      </w:r>
      <w:r w:rsidR="00832493" w:rsidRPr="002E44C0">
        <w:rPr>
          <w:spacing w:val="-4"/>
          <w:rtl/>
          <w:lang w:eastAsia="zh-TW"/>
        </w:rPr>
        <w:t>(ج)</w:t>
      </w:r>
      <w:r>
        <w:rPr>
          <w:spacing w:val="-4"/>
          <w:rtl/>
          <w:lang w:eastAsia="zh-TW"/>
        </w:rPr>
        <w:tab/>
      </w:r>
      <w:r w:rsidR="00832493" w:rsidRPr="002E44C0">
        <w:rPr>
          <w:spacing w:val="-4"/>
          <w:rtl/>
          <w:lang w:eastAsia="zh-TW"/>
        </w:rPr>
        <w:t xml:space="preserve">إعداد ميثاق المعلمين للتسامح ونشره في المؤسسات التعليمية الحكومية والخاصة؛ </w:t>
      </w:r>
    </w:p>
    <w:p w:rsidR="00832493" w:rsidRPr="00832493" w:rsidRDefault="009F545A" w:rsidP="00832493">
      <w:pPr>
        <w:pStyle w:val="SingleTxtGA"/>
        <w:rPr>
          <w:lang w:eastAsia="zh-TW" w:bidi="ar-DZ"/>
        </w:rPr>
      </w:pPr>
      <w:r>
        <w:rPr>
          <w:rtl/>
          <w:lang w:eastAsia="zh-TW"/>
        </w:rPr>
        <w:lastRenderedPageBreak/>
        <w:tab/>
      </w:r>
      <w:r w:rsidR="00832493">
        <w:rPr>
          <w:rtl/>
          <w:lang w:eastAsia="zh-TW"/>
        </w:rPr>
        <w:t>(د)</w:t>
      </w:r>
      <w:r>
        <w:rPr>
          <w:rtl/>
          <w:lang w:eastAsia="zh-TW"/>
        </w:rPr>
        <w:tab/>
      </w:r>
      <w:r w:rsidR="00832493">
        <w:rPr>
          <w:rtl/>
          <w:lang w:eastAsia="zh-TW"/>
        </w:rPr>
        <w:t xml:space="preserve">اعتماد القرار الوزاري رقم 764 لسنة 2015 بشأن العمل بنماذج العقود المعتمدة من وزارة </w:t>
      </w:r>
      <w:r w:rsidR="00832493" w:rsidRPr="00EB2E3B">
        <w:rPr>
          <w:rtl/>
          <w:lang w:eastAsia="zh-TW"/>
        </w:rPr>
        <w:t>العمل</w:t>
      </w:r>
      <w:r w:rsidR="00832493">
        <w:rPr>
          <w:rtl/>
          <w:lang w:eastAsia="zh-TW"/>
        </w:rPr>
        <w:t xml:space="preserve">، وهو قرار يشير </w:t>
      </w:r>
      <w:r w:rsidR="00832493" w:rsidRPr="00EB2E3B">
        <w:rPr>
          <w:rtl/>
          <w:lang w:eastAsia="zh-TW"/>
        </w:rPr>
        <w:t>إلى وجوب ترجمة نموذج عقد العمل المعتمد من وزارة الموارد البشرية والتوطين إلى اللغتين الإنكليزية والعربية وإلى</w:t>
      </w:r>
      <w:r w:rsidR="00832493">
        <w:rPr>
          <w:rtl/>
          <w:lang w:eastAsia="zh-TW"/>
        </w:rPr>
        <w:t xml:space="preserve"> لغة العامل؛</w:t>
      </w:r>
      <w:r w:rsidR="00832493">
        <w:rPr>
          <w:rtl/>
          <w:lang w:eastAsia="zh-TW" w:bidi="ar-DZ"/>
        </w:rPr>
        <w:t xml:space="preserve"> </w:t>
      </w:r>
    </w:p>
    <w:p w:rsidR="00832493" w:rsidRPr="00832008" w:rsidRDefault="009F545A" w:rsidP="00832493">
      <w:pPr>
        <w:pStyle w:val="SingleTxtGA"/>
        <w:rPr>
          <w:rtl/>
          <w:lang w:eastAsia="zh-TW"/>
        </w:rPr>
      </w:pPr>
      <w:r>
        <w:rPr>
          <w:rtl/>
          <w:lang w:eastAsia="zh-TW"/>
        </w:rPr>
        <w:tab/>
      </w:r>
      <w:r w:rsidR="00832493">
        <w:rPr>
          <w:rtl/>
          <w:lang w:eastAsia="zh-TW"/>
        </w:rPr>
        <w:t>(هـ)</w:t>
      </w:r>
      <w:r>
        <w:rPr>
          <w:rtl/>
          <w:lang w:eastAsia="zh-TW"/>
        </w:rPr>
        <w:tab/>
      </w:r>
      <w:r w:rsidR="00832493">
        <w:rPr>
          <w:rtl/>
          <w:lang w:eastAsia="zh-TW"/>
        </w:rPr>
        <w:t xml:space="preserve">اعتماد </w:t>
      </w:r>
      <w:r w:rsidR="00832493" w:rsidRPr="00CB6F6B">
        <w:rPr>
          <w:rtl/>
          <w:lang w:eastAsia="zh-TW"/>
        </w:rPr>
        <w:t>الاستراتيجية الوطنية لتمكين وريادة المرأة في الإمارات العربية المتحدة</w:t>
      </w:r>
      <w:r w:rsidR="00832493">
        <w:rPr>
          <w:rtl/>
          <w:lang w:eastAsia="zh-TW"/>
        </w:rPr>
        <w:t xml:space="preserve"> للفترة 2015-2021.</w:t>
      </w:r>
    </w:p>
    <w:p w:rsidR="00832493" w:rsidRPr="00832008" w:rsidRDefault="00832493" w:rsidP="00832493">
      <w:pPr>
        <w:pStyle w:val="SingleTxtGA"/>
        <w:rPr>
          <w:rtl/>
          <w:lang w:eastAsia="zh-TW"/>
        </w:rPr>
      </w:pPr>
      <w:r>
        <w:rPr>
          <w:rtl/>
          <w:lang w:eastAsia="zh-TW"/>
        </w:rPr>
        <w:t>٤-</w:t>
      </w:r>
      <w:r w:rsidR="009F545A">
        <w:rPr>
          <w:rtl/>
          <w:lang w:eastAsia="zh-TW"/>
        </w:rPr>
        <w:tab/>
      </w:r>
      <w:r>
        <w:rPr>
          <w:rtl/>
          <w:lang w:eastAsia="zh-TW"/>
        </w:rPr>
        <w:t xml:space="preserve">وترحب اللجنة بتصديق الدولة الطرف على الصكوك الدولية التالية: </w:t>
      </w:r>
    </w:p>
    <w:p w:rsidR="00832493" w:rsidRPr="00832008" w:rsidRDefault="009F545A" w:rsidP="00832493">
      <w:pPr>
        <w:pStyle w:val="SingleTxtGA"/>
        <w:rPr>
          <w:rtl/>
          <w:lang w:eastAsia="zh-TW"/>
        </w:rPr>
      </w:pPr>
      <w:r>
        <w:rPr>
          <w:rtl/>
          <w:lang w:eastAsia="zh-TW"/>
        </w:rPr>
        <w:tab/>
      </w:r>
      <w:r w:rsidR="00832493">
        <w:rPr>
          <w:rtl/>
          <w:lang w:eastAsia="zh-TW"/>
        </w:rPr>
        <w:t>(أ)</w:t>
      </w:r>
      <w:r>
        <w:rPr>
          <w:rtl/>
          <w:lang w:eastAsia="zh-TW"/>
        </w:rPr>
        <w:tab/>
      </w:r>
      <w:r w:rsidR="00832493">
        <w:rPr>
          <w:rtl/>
          <w:lang w:eastAsia="zh-TW"/>
        </w:rPr>
        <w:t>اتفاقية حقوق الأشخاص ذوي الإعاقة، في عام 2010؛</w:t>
      </w:r>
    </w:p>
    <w:p w:rsidR="00832493" w:rsidRPr="00832008" w:rsidRDefault="009F545A" w:rsidP="002E44C0">
      <w:pPr>
        <w:pStyle w:val="SingleTxtGA"/>
        <w:rPr>
          <w:rtl/>
          <w:lang w:eastAsia="zh-TW"/>
        </w:rPr>
      </w:pPr>
      <w:r>
        <w:rPr>
          <w:rtl/>
          <w:lang w:eastAsia="zh-TW"/>
        </w:rPr>
        <w:tab/>
      </w:r>
      <w:r w:rsidR="00832493">
        <w:rPr>
          <w:rtl/>
          <w:lang w:eastAsia="zh-TW"/>
        </w:rPr>
        <w:t>(ب)</w:t>
      </w:r>
      <w:r>
        <w:rPr>
          <w:rtl/>
          <w:lang w:eastAsia="zh-TW"/>
        </w:rPr>
        <w:tab/>
      </w:r>
      <w:r w:rsidR="00832493">
        <w:rPr>
          <w:rtl/>
          <w:lang w:eastAsia="zh-TW"/>
        </w:rPr>
        <w:t>اتفاقية مناهضة التعذيب وغيره من ضروب المعاملة أو العقوبة القاسية أو</w:t>
      </w:r>
      <w:r w:rsidR="002E44C0">
        <w:rPr>
          <w:rFonts w:hint="cs"/>
          <w:rtl/>
          <w:lang w:eastAsia="zh-TW"/>
        </w:rPr>
        <w:t> </w:t>
      </w:r>
      <w:r w:rsidR="00832493">
        <w:rPr>
          <w:rtl/>
          <w:lang w:eastAsia="zh-TW"/>
        </w:rPr>
        <w:t>اللاإنسانية أو المهينة، في عام 2012؛</w:t>
      </w:r>
    </w:p>
    <w:p w:rsidR="00832493" w:rsidRPr="00832008" w:rsidRDefault="009F545A" w:rsidP="007A42E5">
      <w:pPr>
        <w:pStyle w:val="SingleTxtGA"/>
        <w:rPr>
          <w:rtl/>
          <w:lang w:eastAsia="zh-TW"/>
        </w:rPr>
      </w:pPr>
      <w:r>
        <w:rPr>
          <w:rtl/>
          <w:lang w:eastAsia="zh-TW"/>
        </w:rPr>
        <w:tab/>
      </w:r>
      <w:r w:rsidR="00832493">
        <w:rPr>
          <w:rtl/>
          <w:lang w:eastAsia="zh-TW"/>
        </w:rPr>
        <w:t>(ج)</w:t>
      </w:r>
      <w:r>
        <w:rPr>
          <w:rtl/>
          <w:lang w:eastAsia="zh-TW"/>
        </w:rPr>
        <w:tab/>
      </w:r>
      <w:r w:rsidR="00832493">
        <w:rPr>
          <w:rtl/>
          <w:lang w:eastAsia="zh-TW"/>
        </w:rPr>
        <w:t>البروتوكول الاختياري الملحق باتفاقية حقوق الطفل بشأن بيع الأطفال واستغلال الأطفال في البغاء وفي المواد الإباحية، في عام 2016؛</w:t>
      </w:r>
    </w:p>
    <w:p w:rsidR="00832493" w:rsidRPr="00536551" w:rsidRDefault="009F545A" w:rsidP="00832493">
      <w:pPr>
        <w:pStyle w:val="H1GA"/>
        <w:rPr>
          <w:rtl/>
          <w:lang w:eastAsia="zh-TW"/>
        </w:rPr>
      </w:pPr>
      <w:r>
        <w:rPr>
          <w:rtl/>
          <w:lang w:eastAsia="zh-TW"/>
        </w:rPr>
        <w:tab/>
      </w:r>
      <w:r w:rsidR="00832493" w:rsidRPr="00536551">
        <w:rPr>
          <w:rtl/>
          <w:lang w:eastAsia="zh-TW"/>
        </w:rPr>
        <w:t>جيم</w:t>
      </w:r>
      <w:r w:rsidR="00832493">
        <w:rPr>
          <w:rtl/>
          <w:lang w:eastAsia="zh-TW"/>
        </w:rPr>
        <w:t>-</w:t>
      </w:r>
      <w:r>
        <w:rPr>
          <w:rtl/>
          <w:lang w:eastAsia="zh-TW"/>
        </w:rPr>
        <w:tab/>
      </w:r>
      <w:r w:rsidR="00832493" w:rsidRPr="00536551">
        <w:rPr>
          <w:rtl/>
          <w:lang w:eastAsia="zh-TW"/>
        </w:rPr>
        <w:t>دواعي القلق والتوصيات</w:t>
      </w:r>
    </w:p>
    <w:p w:rsidR="00832493" w:rsidRPr="00832008" w:rsidRDefault="009F545A" w:rsidP="00832493">
      <w:pPr>
        <w:pStyle w:val="H23GA"/>
        <w:rPr>
          <w:rtl/>
        </w:rPr>
      </w:pPr>
      <w:r>
        <w:rPr>
          <w:rtl/>
        </w:rPr>
        <w:tab/>
      </w:r>
      <w:r>
        <w:rPr>
          <w:rtl/>
        </w:rPr>
        <w:tab/>
      </w:r>
      <w:r w:rsidR="00832493" w:rsidRPr="00536551">
        <w:rPr>
          <w:rtl/>
        </w:rPr>
        <w:t>بيانات إحصائية</w:t>
      </w:r>
      <w:r w:rsidR="00832493">
        <w:rPr>
          <w:rtl/>
        </w:rPr>
        <w:t xml:space="preserve"> </w:t>
      </w:r>
    </w:p>
    <w:p w:rsidR="00832493" w:rsidRPr="00832008" w:rsidRDefault="00832493" w:rsidP="00003270">
      <w:pPr>
        <w:pStyle w:val="SingleTxtGA"/>
        <w:rPr>
          <w:rtl/>
          <w:lang w:eastAsia="zh-TW" w:bidi="ar-DZ"/>
        </w:rPr>
      </w:pPr>
      <w:r>
        <w:rPr>
          <w:rtl/>
          <w:lang w:eastAsia="zh-TW"/>
        </w:rPr>
        <w:t>٥-</w:t>
      </w:r>
      <w:r w:rsidR="009F545A">
        <w:rPr>
          <w:rtl/>
          <w:lang w:eastAsia="zh-TW"/>
        </w:rPr>
        <w:tab/>
      </w:r>
      <w:r>
        <w:rPr>
          <w:rtl/>
          <w:lang w:eastAsia="zh-TW"/>
        </w:rPr>
        <w:t>تلاحظ اللجنة محدودية البيانات الإحصائية التي قدمتها الدولة الطرف أثناء الحوار، بما</w:t>
      </w:r>
      <w:r w:rsidR="00003270">
        <w:rPr>
          <w:rFonts w:hint="cs"/>
          <w:rtl/>
          <w:lang w:eastAsia="zh-TW"/>
        </w:rPr>
        <w:t> </w:t>
      </w:r>
      <w:r>
        <w:rPr>
          <w:rtl/>
          <w:lang w:eastAsia="zh-TW"/>
        </w:rPr>
        <w:t xml:space="preserve">في ذلك بيانات </w:t>
      </w:r>
      <w:r w:rsidRPr="00130F60">
        <w:rPr>
          <w:rtl/>
          <w:lang w:eastAsia="zh-TW"/>
        </w:rPr>
        <w:t>تعداد</w:t>
      </w:r>
      <w:r>
        <w:rPr>
          <w:rtl/>
          <w:lang w:eastAsia="zh-TW"/>
        </w:rPr>
        <w:t>ات مجموع السكان</w:t>
      </w:r>
      <w:r w:rsidRPr="00130F60">
        <w:rPr>
          <w:rtl/>
          <w:lang w:eastAsia="zh-TW"/>
        </w:rPr>
        <w:t xml:space="preserve"> المحدثة لعام ٢٠١٦ </w:t>
      </w:r>
      <w:r>
        <w:rPr>
          <w:rtl/>
          <w:lang w:eastAsia="zh-TW"/>
        </w:rPr>
        <w:t>وال</w:t>
      </w:r>
      <w:r w:rsidRPr="00130F60">
        <w:rPr>
          <w:rtl/>
          <w:lang w:eastAsia="zh-TW"/>
        </w:rPr>
        <w:t xml:space="preserve">مصنفة حسب نوع الجنس، لكنها </w:t>
      </w:r>
      <w:r>
        <w:rPr>
          <w:rtl/>
          <w:lang w:eastAsia="zh-TW"/>
        </w:rPr>
        <w:t>تأسف</w:t>
      </w:r>
      <w:r w:rsidRPr="00130F60">
        <w:rPr>
          <w:rtl/>
          <w:lang w:eastAsia="zh-TW"/>
        </w:rPr>
        <w:t xml:space="preserve"> لنقص المعلومات الديمغرافية عن التركيبة </w:t>
      </w:r>
      <w:proofErr w:type="spellStart"/>
      <w:r w:rsidRPr="00130F60">
        <w:rPr>
          <w:rtl/>
          <w:lang w:eastAsia="zh-TW"/>
        </w:rPr>
        <w:t>الإثنية</w:t>
      </w:r>
      <w:proofErr w:type="spellEnd"/>
      <w:r w:rsidRPr="00130F60">
        <w:rPr>
          <w:rtl/>
          <w:lang w:eastAsia="zh-TW"/>
        </w:rPr>
        <w:t xml:space="preserve"> للسكان،</w:t>
      </w:r>
      <w:r>
        <w:rPr>
          <w:rtl/>
          <w:lang w:eastAsia="zh-TW"/>
        </w:rPr>
        <w:t xml:space="preserve"> بمن فيهم غير المواطنين، ولعدم وجود بيانات عن مدى تمتع المجموعات </w:t>
      </w:r>
      <w:proofErr w:type="spellStart"/>
      <w:r>
        <w:rPr>
          <w:rtl/>
          <w:lang w:eastAsia="zh-TW"/>
        </w:rPr>
        <w:t>الإثنية</w:t>
      </w:r>
      <w:proofErr w:type="spellEnd"/>
      <w:r>
        <w:rPr>
          <w:rtl/>
          <w:lang w:eastAsia="zh-TW"/>
        </w:rPr>
        <w:t xml:space="preserve"> بالحقوق الاقتصادية والاجتماعية والثقافية في الدولة الطرف. </w:t>
      </w:r>
      <w:r>
        <w:rPr>
          <w:rtl/>
          <w:lang w:val="ru-RU" w:eastAsia="zh-TW" w:bidi="ar-DZ"/>
        </w:rPr>
        <w:t>وتأسف اللجنة</w:t>
      </w:r>
      <w:r>
        <w:rPr>
          <w:rtl/>
          <w:lang w:eastAsia="zh-TW"/>
        </w:rPr>
        <w:t xml:space="preserve"> أيضاً لعدم وجود بيانات عن التركيبة </w:t>
      </w:r>
      <w:proofErr w:type="spellStart"/>
      <w:r>
        <w:rPr>
          <w:rtl/>
          <w:lang w:eastAsia="zh-TW"/>
        </w:rPr>
        <w:t>الإثنية</w:t>
      </w:r>
      <w:proofErr w:type="spellEnd"/>
      <w:r>
        <w:rPr>
          <w:rtl/>
          <w:lang w:eastAsia="zh-TW"/>
        </w:rPr>
        <w:t xml:space="preserve"> للسجناء (المادتان 1 و5). </w:t>
      </w:r>
    </w:p>
    <w:p w:rsidR="00832493" w:rsidRPr="00DE3353" w:rsidRDefault="00832493" w:rsidP="00832493">
      <w:pPr>
        <w:pStyle w:val="SingleTxtGA"/>
        <w:rPr>
          <w:bCs/>
          <w:rtl/>
          <w:lang w:eastAsia="zh-TW"/>
        </w:rPr>
      </w:pPr>
      <w:r>
        <w:rPr>
          <w:rtl/>
          <w:lang w:eastAsia="zh-TW"/>
        </w:rPr>
        <w:t>٦-</w:t>
      </w:r>
      <w:r w:rsidR="009F545A">
        <w:rPr>
          <w:rtl/>
          <w:lang w:eastAsia="zh-TW"/>
        </w:rPr>
        <w:tab/>
      </w:r>
      <w:r>
        <w:rPr>
          <w:rtl/>
          <w:lang w:eastAsia="zh-TW"/>
        </w:rPr>
        <w:t>وترحب اللجنة بالتزام الدولة الطرف بتقديم بيانات مصنفة إلى اللجنة. وتشير اللجنة إلى الفقرات 10-12 من مبادئها التوجيهية لتقديم التقارير بموجب الاتفاقية (</w:t>
      </w:r>
      <w:r>
        <w:rPr>
          <w:lang w:eastAsia="zh-TW"/>
        </w:rPr>
        <w:t>CERD/C/2007/1</w:t>
      </w:r>
      <w:r>
        <w:rPr>
          <w:rtl/>
          <w:lang w:eastAsia="zh-TW"/>
        </w:rPr>
        <w:t>)، وتوصي الدولة الطرف بأن تقوم بما يلي:</w:t>
      </w:r>
    </w:p>
    <w:p w:rsidR="00832493" w:rsidRPr="00DE3353" w:rsidRDefault="009F545A" w:rsidP="00832493">
      <w:pPr>
        <w:pStyle w:val="SingleTxtGA"/>
        <w:rPr>
          <w:bCs/>
          <w:rtl/>
          <w:lang w:eastAsia="zh-TW"/>
        </w:rPr>
      </w:pPr>
      <w:r>
        <w:rPr>
          <w:bCs/>
          <w:rtl/>
          <w:lang w:eastAsia="zh-TW"/>
        </w:rPr>
        <w:tab/>
      </w:r>
      <w:r w:rsidR="00832493" w:rsidRPr="003400DF">
        <w:rPr>
          <w:b/>
          <w:rtl/>
          <w:lang w:eastAsia="zh-TW"/>
        </w:rPr>
        <w:t>(أ)</w:t>
      </w:r>
      <w:r>
        <w:rPr>
          <w:b/>
          <w:rtl/>
          <w:lang w:eastAsia="zh-TW"/>
        </w:rPr>
        <w:tab/>
      </w:r>
      <w:r w:rsidR="00832493">
        <w:rPr>
          <w:bCs/>
          <w:rtl/>
          <w:lang w:eastAsia="zh-TW"/>
        </w:rPr>
        <w:t xml:space="preserve">أن تقدم </w:t>
      </w:r>
      <w:r w:rsidR="00832493" w:rsidRPr="00DE3353">
        <w:rPr>
          <w:bCs/>
          <w:rtl/>
          <w:lang w:eastAsia="zh-TW"/>
        </w:rPr>
        <w:t>في تقريرها الدوري المقبل بيانات إحصائية عن التركيبة الديمغرافية للسكان، مصنفة على النحو المحدد في المادة ١</w:t>
      </w:r>
      <w:r w:rsidR="003400DF">
        <w:rPr>
          <w:bCs/>
          <w:rtl/>
          <w:lang w:eastAsia="zh-TW"/>
        </w:rPr>
        <w:t>(</w:t>
      </w:r>
      <w:r w:rsidR="00832493" w:rsidRPr="00DE3353">
        <w:rPr>
          <w:bCs/>
          <w:rtl/>
          <w:lang w:eastAsia="zh-TW"/>
        </w:rPr>
        <w:t xml:space="preserve">1) من الاتفاقية، </w:t>
      </w:r>
      <w:r w:rsidR="00832493">
        <w:rPr>
          <w:bCs/>
          <w:rtl/>
          <w:lang w:eastAsia="zh-TW"/>
        </w:rPr>
        <w:t>بالاستناد إلى</w:t>
      </w:r>
      <w:r w:rsidR="00832493" w:rsidRPr="00DE3353">
        <w:rPr>
          <w:bCs/>
          <w:rtl/>
          <w:lang w:eastAsia="zh-TW"/>
        </w:rPr>
        <w:t xml:space="preserve"> تعريف المجموعات </w:t>
      </w:r>
      <w:proofErr w:type="spellStart"/>
      <w:r w:rsidR="00832493" w:rsidRPr="00DE3353">
        <w:rPr>
          <w:bCs/>
          <w:rtl/>
          <w:lang w:eastAsia="zh-TW"/>
        </w:rPr>
        <w:t>الإثنية</w:t>
      </w:r>
      <w:proofErr w:type="spellEnd"/>
      <w:r w:rsidR="00832493" w:rsidRPr="00DE3353">
        <w:rPr>
          <w:bCs/>
          <w:rtl/>
          <w:lang w:eastAsia="zh-TW"/>
        </w:rPr>
        <w:t xml:space="preserve"> الذاتي بهويتها؛ </w:t>
      </w:r>
    </w:p>
    <w:p w:rsidR="00832493" w:rsidRPr="00DE3353" w:rsidRDefault="009F545A" w:rsidP="00832493">
      <w:pPr>
        <w:pStyle w:val="SingleTxtGA"/>
        <w:rPr>
          <w:bCs/>
          <w:rtl/>
          <w:lang w:eastAsia="zh-TW"/>
        </w:rPr>
      </w:pPr>
      <w:r>
        <w:rPr>
          <w:bCs/>
          <w:rtl/>
          <w:lang w:eastAsia="zh-TW"/>
        </w:rPr>
        <w:tab/>
      </w:r>
      <w:r w:rsidR="00832493" w:rsidRPr="003400DF">
        <w:rPr>
          <w:b/>
          <w:rtl/>
          <w:lang w:eastAsia="zh-TW"/>
        </w:rPr>
        <w:t>(ب)</w:t>
      </w:r>
      <w:r>
        <w:rPr>
          <w:bCs/>
          <w:rtl/>
          <w:lang w:eastAsia="zh-TW"/>
        </w:rPr>
        <w:tab/>
      </w:r>
      <w:r w:rsidR="00832493">
        <w:rPr>
          <w:bCs/>
          <w:rtl/>
          <w:lang w:eastAsia="zh-TW"/>
        </w:rPr>
        <w:t xml:space="preserve">أن توافيها </w:t>
      </w:r>
      <w:r w:rsidR="00832493" w:rsidRPr="00DE3353">
        <w:rPr>
          <w:bCs/>
          <w:rtl/>
          <w:lang w:eastAsia="zh-TW"/>
        </w:rPr>
        <w:t xml:space="preserve">بمعلومات إحصائية مفصلة عن تمتع المجموعات </w:t>
      </w:r>
      <w:proofErr w:type="spellStart"/>
      <w:r w:rsidR="00832493" w:rsidRPr="00DE3353">
        <w:rPr>
          <w:bCs/>
          <w:rtl/>
          <w:lang w:eastAsia="zh-TW"/>
        </w:rPr>
        <w:t>الإثنية</w:t>
      </w:r>
      <w:proofErr w:type="spellEnd"/>
      <w:r w:rsidR="00832493" w:rsidRPr="00DE3353">
        <w:rPr>
          <w:bCs/>
          <w:rtl/>
          <w:lang w:eastAsia="zh-TW"/>
        </w:rPr>
        <w:t xml:space="preserve"> بالحقوق الاقتصادية والاجتماعية والثقافية، وذلك لتزويد اللجنة بأساس تجريبي </w:t>
      </w:r>
      <w:r w:rsidR="00832493">
        <w:rPr>
          <w:bCs/>
          <w:rtl/>
          <w:lang w:eastAsia="zh-TW"/>
        </w:rPr>
        <w:t>ل</w:t>
      </w:r>
      <w:r w:rsidR="00832493" w:rsidRPr="00DE3353">
        <w:rPr>
          <w:bCs/>
          <w:rtl/>
          <w:lang w:eastAsia="zh-TW"/>
        </w:rPr>
        <w:t xml:space="preserve">تقييم </w:t>
      </w:r>
      <w:r w:rsidR="00832493">
        <w:rPr>
          <w:bCs/>
          <w:rtl/>
          <w:lang w:eastAsia="zh-TW"/>
        </w:rPr>
        <w:t xml:space="preserve">مدى تحقيق </w:t>
      </w:r>
      <w:r w:rsidR="00832493" w:rsidRPr="00DE3353">
        <w:rPr>
          <w:bCs/>
          <w:rtl/>
          <w:lang w:eastAsia="zh-TW"/>
        </w:rPr>
        <w:t xml:space="preserve">المساواة في التمتع بالحقوق </w:t>
      </w:r>
      <w:r w:rsidR="00832493">
        <w:rPr>
          <w:bCs/>
          <w:rtl/>
          <w:lang w:eastAsia="zh-TW"/>
        </w:rPr>
        <w:t>بموجب</w:t>
      </w:r>
      <w:r w:rsidR="00003270">
        <w:rPr>
          <w:bCs/>
          <w:rtl/>
          <w:lang w:eastAsia="zh-TW"/>
        </w:rPr>
        <w:t xml:space="preserve"> الاتفاقية</w:t>
      </w:r>
      <w:r w:rsidR="00003270">
        <w:rPr>
          <w:rFonts w:hint="cs"/>
          <w:bCs/>
          <w:rtl/>
          <w:lang w:eastAsia="zh-TW"/>
        </w:rPr>
        <w:t>؛</w:t>
      </w:r>
    </w:p>
    <w:p w:rsidR="00832493" w:rsidRPr="00832008" w:rsidRDefault="009F545A" w:rsidP="00832493">
      <w:pPr>
        <w:pStyle w:val="SingleTxtGA"/>
        <w:rPr>
          <w:rtl/>
          <w:lang w:eastAsia="zh-TW"/>
        </w:rPr>
      </w:pPr>
      <w:r>
        <w:rPr>
          <w:b/>
          <w:rtl/>
          <w:lang w:eastAsia="zh-TW"/>
        </w:rPr>
        <w:tab/>
      </w:r>
      <w:r w:rsidR="00832493" w:rsidRPr="003400DF">
        <w:rPr>
          <w:b/>
          <w:rtl/>
          <w:lang w:eastAsia="zh-TW"/>
        </w:rPr>
        <w:t>(ج)</w:t>
      </w:r>
      <w:r>
        <w:rPr>
          <w:b/>
          <w:rtl/>
          <w:lang w:eastAsia="zh-TW"/>
        </w:rPr>
        <w:tab/>
      </w:r>
      <w:r w:rsidR="00832493">
        <w:rPr>
          <w:bCs/>
          <w:rtl/>
          <w:lang w:eastAsia="zh-TW"/>
        </w:rPr>
        <w:t>أن توافيها</w:t>
      </w:r>
      <w:r w:rsidR="00832493" w:rsidRPr="00DE3353">
        <w:rPr>
          <w:bCs/>
          <w:rtl/>
          <w:lang w:eastAsia="zh-TW"/>
        </w:rPr>
        <w:t xml:space="preserve"> ببيانات عن التركيبة </w:t>
      </w:r>
      <w:proofErr w:type="spellStart"/>
      <w:r w:rsidR="00832493" w:rsidRPr="00DE3353">
        <w:rPr>
          <w:bCs/>
          <w:rtl/>
          <w:lang w:eastAsia="zh-TW"/>
        </w:rPr>
        <w:t>الإثنية</w:t>
      </w:r>
      <w:proofErr w:type="spellEnd"/>
      <w:r w:rsidR="00832493" w:rsidRPr="00DE3353">
        <w:rPr>
          <w:bCs/>
          <w:rtl/>
          <w:lang w:eastAsia="zh-TW"/>
        </w:rPr>
        <w:t xml:space="preserve"> للسجناء</w:t>
      </w:r>
      <w:r w:rsidR="00832493">
        <w:rPr>
          <w:rtl/>
          <w:lang w:eastAsia="zh-TW"/>
        </w:rPr>
        <w:t xml:space="preserve">. </w:t>
      </w:r>
    </w:p>
    <w:p w:rsidR="00832493" w:rsidRPr="00DE3353" w:rsidRDefault="009F545A" w:rsidP="00832493">
      <w:pPr>
        <w:pStyle w:val="H23GA"/>
        <w:spacing w:before="120"/>
        <w:rPr>
          <w:rtl/>
        </w:rPr>
      </w:pPr>
      <w:r>
        <w:rPr>
          <w:rtl/>
        </w:rPr>
        <w:lastRenderedPageBreak/>
        <w:tab/>
      </w:r>
      <w:r>
        <w:rPr>
          <w:rtl/>
        </w:rPr>
        <w:tab/>
      </w:r>
      <w:r w:rsidR="00832493" w:rsidRPr="00DE3353">
        <w:rPr>
          <w:rtl/>
        </w:rPr>
        <w:t>المؤسسة الوطنية لحقوق الإنسان</w:t>
      </w:r>
    </w:p>
    <w:p w:rsidR="00832493" w:rsidRPr="00832008" w:rsidRDefault="00832493" w:rsidP="00832493">
      <w:pPr>
        <w:pStyle w:val="SingleTxtGA"/>
        <w:rPr>
          <w:rtl/>
          <w:lang w:eastAsia="zh-TW"/>
        </w:rPr>
      </w:pPr>
      <w:r>
        <w:rPr>
          <w:rtl/>
          <w:lang w:eastAsia="zh-TW"/>
        </w:rPr>
        <w:t>٧-</w:t>
      </w:r>
      <w:r w:rsidR="009F545A">
        <w:rPr>
          <w:rtl/>
          <w:lang w:eastAsia="zh-TW"/>
        </w:rPr>
        <w:tab/>
      </w:r>
      <w:r>
        <w:rPr>
          <w:rtl/>
          <w:lang w:eastAsia="zh-TW"/>
        </w:rPr>
        <w:t xml:space="preserve">ترحب اللجنة بالمعلومات التي تفيد بأن الدولة الطرف تعتزم إنشاء مؤسسة وطنية لحقوق الإنسان مصممة في شكل يتيح لها الحصول على اعتماد من الفئة "ألف"، لكنها تأسف لأن هذه المؤسسة لم تُنشأ بعد. </w:t>
      </w:r>
    </w:p>
    <w:p w:rsidR="00832493" w:rsidRPr="009E7F4C" w:rsidRDefault="00832493" w:rsidP="00832493">
      <w:pPr>
        <w:pStyle w:val="SingleTxtGA"/>
        <w:rPr>
          <w:rtl/>
          <w:lang w:eastAsia="zh-TW"/>
        </w:rPr>
      </w:pPr>
      <w:r>
        <w:rPr>
          <w:rtl/>
          <w:lang w:eastAsia="zh-TW"/>
        </w:rPr>
        <w:t>٨-</w:t>
      </w:r>
      <w:r w:rsidR="009F545A">
        <w:rPr>
          <w:rtl/>
          <w:lang w:eastAsia="zh-TW"/>
        </w:rPr>
        <w:tab/>
      </w:r>
      <w:r w:rsidRPr="00DE3353">
        <w:rPr>
          <w:bCs/>
          <w:rtl/>
          <w:lang w:eastAsia="zh-TW"/>
        </w:rPr>
        <w:t xml:space="preserve"> تذكّر اللجنة بتوصيتها العامة رقم 17(1993) بشأن إنشاء مؤسسات وطنية لتيسير تنفيذ الاتفاقية، </w:t>
      </w:r>
      <w:r>
        <w:rPr>
          <w:bCs/>
          <w:rtl/>
          <w:lang w:eastAsia="zh-TW"/>
        </w:rPr>
        <w:t>و</w:t>
      </w:r>
      <w:r w:rsidRPr="00DE3353">
        <w:rPr>
          <w:bCs/>
          <w:rtl/>
          <w:lang w:eastAsia="zh-TW"/>
        </w:rPr>
        <w:t xml:space="preserve">توصي الدولة الطرف بأن تتخذ على الفور تدابير لإنشاء مؤسسة وطنية لحقوق الإنسان بالتقيد التام بالمبادئ المتعلقة بمركز المؤسسات الوطنية لتعزيز وحماية حقوق الإنسان (مبادئ باريس) </w:t>
      </w:r>
      <w:r>
        <w:rPr>
          <w:bCs/>
          <w:rtl/>
          <w:lang w:eastAsia="zh-TW"/>
        </w:rPr>
        <w:t xml:space="preserve">على أن تكون </w:t>
      </w:r>
      <w:r w:rsidRPr="00DE3353">
        <w:rPr>
          <w:bCs/>
          <w:rtl/>
          <w:lang w:eastAsia="zh-TW"/>
        </w:rPr>
        <w:t xml:space="preserve">مكلفة بتعزيز حقوق الإنسان وحمايتها </w:t>
      </w:r>
      <w:r>
        <w:rPr>
          <w:bCs/>
          <w:rtl/>
          <w:lang w:eastAsia="zh-TW"/>
        </w:rPr>
        <w:t>ولديها ما يكفي من ا</w:t>
      </w:r>
      <w:r w:rsidRPr="00DE3353">
        <w:rPr>
          <w:bCs/>
          <w:rtl/>
          <w:lang w:eastAsia="zh-TW"/>
        </w:rPr>
        <w:t>لموارد للوفاء بولايتها بفعالية واستقلالية</w:t>
      </w:r>
      <w:r>
        <w:rPr>
          <w:rtl/>
          <w:lang w:eastAsia="zh-TW"/>
        </w:rPr>
        <w:t xml:space="preserve">. </w:t>
      </w:r>
    </w:p>
    <w:p w:rsidR="00832493" w:rsidRPr="00536551" w:rsidRDefault="009F545A" w:rsidP="00832493">
      <w:pPr>
        <w:pStyle w:val="H23GA"/>
        <w:rPr>
          <w:rFonts w:hint="cs"/>
          <w:rtl/>
        </w:rPr>
      </w:pPr>
      <w:r>
        <w:rPr>
          <w:rtl/>
        </w:rPr>
        <w:tab/>
      </w:r>
      <w:r>
        <w:rPr>
          <w:rtl/>
        </w:rPr>
        <w:tab/>
      </w:r>
      <w:r w:rsidR="00832493">
        <w:rPr>
          <w:rtl/>
        </w:rPr>
        <w:t>ال</w:t>
      </w:r>
      <w:r w:rsidR="00832493" w:rsidRPr="00536551">
        <w:rPr>
          <w:rtl/>
        </w:rPr>
        <w:t xml:space="preserve">حظر </w:t>
      </w:r>
      <w:r w:rsidR="00832493">
        <w:rPr>
          <w:rtl/>
        </w:rPr>
        <w:t>الدستوري ل</w:t>
      </w:r>
      <w:r w:rsidR="00832493" w:rsidRPr="00536551">
        <w:rPr>
          <w:rtl/>
        </w:rPr>
        <w:t xml:space="preserve">لتمييز العنصري </w:t>
      </w:r>
    </w:p>
    <w:p w:rsidR="00832493" w:rsidRPr="00832008" w:rsidRDefault="00832493" w:rsidP="00832493">
      <w:pPr>
        <w:pStyle w:val="SingleTxtGA"/>
        <w:rPr>
          <w:rtl/>
          <w:lang w:eastAsia="zh-TW"/>
        </w:rPr>
      </w:pPr>
      <w:r>
        <w:rPr>
          <w:rtl/>
          <w:lang w:eastAsia="zh-TW"/>
        </w:rPr>
        <w:t>٩-</w:t>
      </w:r>
      <w:r w:rsidR="009F545A">
        <w:rPr>
          <w:rtl/>
          <w:lang w:eastAsia="zh-TW"/>
        </w:rPr>
        <w:tab/>
      </w:r>
      <w:r>
        <w:rPr>
          <w:rtl/>
          <w:lang w:eastAsia="zh-TW"/>
        </w:rPr>
        <w:t xml:space="preserve">تشعر اللجنة بالقلق لأن المادة ٢٥ من الدستور التي تحظر التمييز على أساس "الأصل أو الموطن أو العقيدة الدينية أو المركز الاجتماعي"، لا تشمل جميع الأسباب المحددة في المادة ١ من الاتفاقية، بما في ذلك اللون أو النسب أو الأصل </w:t>
      </w:r>
      <w:proofErr w:type="spellStart"/>
      <w:r>
        <w:rPr>
          <w:rtl/>
          <w:lang w:eastAsia="zh-TW"/>
        </w:rPr>
        <w:t>الإثني</w:t>
      </w:r>
      <w:proofErr w:type="spellEnd"/>
      <w:r>
        <w:rPr>
          <w:rtl/>
          <w:lang w:eastAsia="zh-TW"/>
        </w:rPr>
        <w:t xml:space="preserve">. وتشعر اللجنة بالقلق كذلك لأن المادة ٢٥ تنص على أن حظر التمييز ينطبق على "مواطني الاتحاد"، وقد لا ينطبق بدرجة مساوية على غير المواطنين الذين يشكلون ما يقارب ٩٠ في المائة من السكان (المادة ١). </w:t>
      </w:r>
    </w:p>
    <w:p w:rsidR="00832493" w:rsidRPr="00D052AE" w:rsidRDefault="00832493" w:rsidP="00832493">
      <w:pPr>
        <w:pStyle w:val="SingleTxtGA"/>
        <w:rPr>
          <w:rtl/>
          <w:lang w:eastAsia="zh-TW"/>
        </w:rPr>
      </w:pPr>
      <w:r>
        <w:rPr>
          <w:rtl/>
          <w:lang w:eastAsia="zh-TW"/>
        </w:rPr>
        <w:t>١٠-</w:t>
      </w:r>
      <w:r w:rsidR="009F545A">
        <w:rPr>
          <w:rtl/>
          <w:lang w:eastAsia="zh-TW"/>
        </w:rPr>
        <w:tab/>
      </w:r>
      <w:r w:rsidRPr="00DE3353">
        <w:rPr>
          <w:bCs/>
          <w:rtl/>
          <w:lang w:eastAsia="zh-TW"/>
        </w:rPr>
        <w:t>توصي اللجنة الدولة الطرف ب</w:t>
      </w:r>
      <w:r>
        <w:rPr>
          <w:bCs/>
          <w:rtl/>
          <w:lang w:eastAsia="zh-TW"/>
        </w:rPr>
        <w:t>أن تسنّ</w:t>
      </w:r>
      <w:r w:rsidRPr="00DE3353">
        <w:rPr>
          <w:bCs/>
          <w:rtl/>
          <w:lang w:eastAsia="zh-TW"/>
        </w:rPr>
        <w:t xml:space="preserve"> تشريعات لجعل قوانينها متماشية تماماً مع أحكام الاتفاقية، بإدراج جميع أسباب التمييز المحظورة، على النحو المحدد في المادة ١ وكفالة انطب</w:t>
      </w:r>
      <w:r>
        <w:rPr>
          <w:bCs/>
          <w:rtl/>
          <w:lang w:eastAsia="zh-TW"/>
        </w:rPr>
        <w:t>ا</w:t>
      </w:r>
      <w:r w:rsidRPr="00DE3353">
        <w:rPr>
          <w:bCs/>
          <w:rtl/>
          <w:lang w:eastAsia="zh-TW"/>
        </w:rPr>
        <w:t xml:space="preserve">ق حظر التمييز فيما يتعلق </w:t>
      </w:r>
      <w:r>
        <w:rPr>
          <w:bCs/>
          <w:rtl/>
          <w:lang w:eastAsia="zh-TW"/>
        </w:rPr>
        <w:t>ب</w:t>
      </w:r>
      <w:r w:rsidRPr="00DE3353">
        <w:rPr>
          <w:bCs/>
          <w:rtl/>
          <w:lang w:eastAsia="zh-TW"/>
        </w:rPr>
        <w:t>الحقوق الأساسية بصورة متساوية على المواطنين وغير المواطنين مع مراعاة الحكم الوارد في المادة ١</w:t>
      </w:r>
      <w:r w:rsidR="003400DF">
        <w:rPr>
          <w:bCs/>
          <w:rtl/>
          <w:lang w:eastAsia="zh-TW"/>
        </w:rPr>
        <w:t>(</w:t>
      </w:r>
      <w:r w:rsidRPr="00DE3353">
        <w:rPr>
          <w:bCs/>
          <w:rtl/>
          <w:lang w:eastAsia="zh-TW"/>
        </w:rPr>
        <w:t xml:space="preserve">2) </w:t>
      </w:r>
      <w:r w:rsidRPr="00ED759F">
        <w:rPr>
          <w:bCs/>
          <w:rtl/>
          <w:lang w:eastAsia="zh-TW"/>
        </w:rPr>
        <w:t xml:space="preserve">بشأن </w:t>
      </w:r>
      <w:r>
        <w:rPr>
          <w:bCs/>
          <w:rtl/>
          <w:lang w:eastAsia="zh-TW"/>
        </w:rPr>
        <w:t>الفوارق</w:t>
      </w:r>
      <w:r w:rsidRPr="00ED759F">
        <w:rPr>
          <w:bCs/>
          <w:rtl/>
          <w:lang w:eastAsia="zh-TW"/>
        </w:rPr>
        <w:t xml:space="preserve"> بين المواطنين وغير المواطنين</w:t>
      </w:r>
      <w:r>
        <w:rPr>
          <w:rtl/>
          <w:lang w:eastAsia="zh-TW"/>
        </w:rPr>
        <w:t xml:space="preserve">. </w:t>
      </w:r>
    </w:p>
    <w:p w:rsidR="00832493" w:rsidRPr="00832008" w:rsidRDefault="009F545A" w:rsidP="00832493">
      <w:pPr>
        <w:pStyle w:val="H23GA"/>
        <w:rPr>
          <w:rtl/>
        </w:rPr>
      </w:pPr>
      <w:r>
        <w:rPr>
          <w:rtl/>
        </w:rPr>
        <w:tab/>
      </w:r>
      <w:r>
        <w:rPr>
          <w:rtl/>
        </w:rPr>
        <w:tab/>
      </w:r>
      <w:r w:rsidR="00832493" w:rsidRPr="00536551">
        <w:rPr>
          <w:rtl/>
        </w:rPr>
        <w:t>القانون المتعلق بالتمييز وخطاب الكراهية</w:t>
      </w:r>
    </w:p>
    <w:p w:rsidR="00832493" w:rsidRPr="00DE3353" w:rsidRDefault="00832493" w:rsidP="00832493">
      <w:pPr>
        <w:pStyle w:val="SingleTxtGA"/>
        <w:rPr>
          <w:bCs/>
          <w:rtl/>
          <w:lang w:eastAsia="zh-TW"/>
        </w:rPr>
      </w:pPr>
      <w:r>
        <w:rPr>
          <w:rtl/>
          <w:lang w:eastAsia="zh-TW"/>
        </w:rPr>
        <w:t>١١-</w:t>
      </w:r>
      <w:r w:rsidR="009F545A">
        <w:rPr>
          <w:rtl/>
          <w:lang w:eastAsia="zh-TW"/>
        </w:rPr>
        <w:tab/>
      </w:r>
      <w:r>
        <w:rPr>
          <w:rtl/>
          <w:lang w:eastAsia="zh-TW"/>
        </w:rPr>
        <w:t xml:space="preserve">تلاحظ اللجنة سنّ المرسوم بقانون اتحادي رقم 2 لسنة 2015 بشأن مكافحة التمييز والكراهية الذي </w:t>
      </w:r>
      <w:r w:rsidRPr="00936484">
        <w:rPr>
          <w:rtl/>
          <w:lang w:eastAsia="zh-TW"/>
        </w:rPr>
        <w:t>يجرّم التجديف وتشويه صورة</w:t>
      </w:r>
      <w:r>
        <w:rPr>
          <w:rtl/>
          <w:lang w:eastAsia="zh-TW"/>
        </w:rPr>
        <w:t xml:space="preserve"> الأديان والتمييز وخطاب الكراهية، من بين جرائم أخرى. وتشعر اللجنة بالقلق لأن تعريف التمييز في القانون لا يتماشى تمام</w:t>
      </w:r>
      <w:r w:rsidR="00003270">
        <w:rPr>
          <w:rtl/>
          <w:lang w:eastAsia="zh-TW"/>
        </w:rPr>
        <w:t xml:space="preserve">اً </w:t>
      </w:r>
      <w:r>
        <w:rPr>
          <w:rtl/>
          <w:lang w:eastAsia="zh-TW"/>
        </w:rPr>
        <w:t>مع المادة ١ من الاتفاقية، لأنه لا يتضمن حظراً للتمييز بسبب النسب والأصل القومي. وتشعر اللجنة بالقلق أيض</w:t>
      </w:r>
      <w:r w:rsidR="00003270">
        <w:rPr>
          <w:rtl/>
          <w:lang w:eastAsia="zh-TW"/>
        </w:rPr>
        <w:t xml:space="preserve">اً </w:t>
      </w:r>
      <w:r>
        <w:rPr>
          <w:rtl/>
          <w:lang w:eastAsia="zh-TW"/>
        </w:rPr>
        <w:t xml:space="preserve">لأن العقوبات المحددة قد لا تكون متناسبة مع الجرائم (المادتان 1 و4). </w:t>
      </w:r>
    </w:p>
    <w:p w:rsidR="00832493" w:rsidRPr="00DE3353" w:rsidRDefault="00832493" w:rsidP="00832493">
      <w:pPr>
        <w:pStyle w:val="SingleTxtGA"/>
        <w:rPr>
          <w:bCs/>
          <w:rtl/>
          <w:lang w:eastAsia="zh-TW"/>
        </w:rPr>
      </w:pPr>
      <w:r w:rsidRPr="00832493">
        <w:rPr>
          <w:b/>
          <w:rtl/>
          <w:lang w:eastAsia="zh-TW"/>
        </w:rPr>
        <w:t>١٢-</w:t>
      </w:r>
      <w:r w:rsidR="009F545A">
        <w:rPr>
          <w:bCs/>
          <w:rtl/>
          <w:lang w:eastAsia="zh-TW"/>
        </w:rPr>
        <w:tab/>
      </w:r>
      <w:r w:rsidRPr="00DE3353">
        <w:rPr>
          <w:bCs/>
          <w:rtl/>
          <w:lang w:eastAsia="zh-TW"/>
        </w:rPr>
        <w:t xml:space="preserve">تذكّر اللجنة بتوصيتها العامة رقم 35(2013) بشأن </w:t>
      </w:r>
      <w:r w:rsidRPr="008E3971">
        <w:rPr>
          <w:bCs/>
          <w:rtl/>
          <w:lang w:eastAsia="zh-TW"/>
        </w:rPr>
        <w:t>مكافحة خطاب التحريض على الكراهية العنصرية،</w:t>
      </w:r>
      <w:r w:rsidRPr="00DE3353">
        <w:rPr>
          <w:bCs/>
          <w:rtl/>
          <w:lang w:eastAsia="zh-TW"/>
        </w:rPr>
        <w:t xml:space="preserve"> </w:t>
      </w:r>
      <w:r>
        <w:rPr>
          <w:bCs/>
          <w:rtl/>
          <w:lang w:eastAsia="zh-TW"/>
        </w:rPr>
        <w:t>و</w:t>
      </w:r>
      <w:r w:rsidRPr="00DE3353">
        <w:rPr>
          <w:bCs/>
          <w:rtl/>
          <w:lang w:eastAsia="zh-TW"/>
        </w:rPr>
        <w:t xml:space="preserve">تحث الدولة الطرف على </w:t>
      </w:r>
      <w:r>
        <w:rPr>
          <w:bCs/>
          <w:rtl/>
          <w:lang w:eastAsia="zh-TW"/>
        </w:rPr>
        <w:t>أن تضمن</w:t>
      </w:r>
      <w:r w:rsidRPr="00DE3353">
        <w:rPr>
          <w:bCs/>
          <w:rtl/>
          <w:lang w:eastAsia="zh-TW"/>
        </w:rPr>
        <w:t xml:space="preserve"> ما يلي:</w:t>
      </w:r>
    </w:p>
    <w:p w:rsidR="00832493" w:rsidRPr="00DE3353" w:rsidRDefault="009F545A" w:rsidP="00832493">
      <w:pPr>
        <w:pStyle w:val="SingleTxtGA"/>
        <w:rPr>
          <w:bCs/>
          <w:rtl/>
          <w:lang w:eastAsia="zh-TW"/>
        </w:rPr>
      </w:pPr>
      <w:r>
        <w:rPr>
          <w:b/>
          <w:rtl/>
          <w:lang w:eastAsia="zh-TW"/>
        </w:rPr>
        <w:tab/>
      </w:r>
      <w:r w:rsidR="00832493" w:rsidRPr="003400DF">
        <w:rPr>
          <w:b/>
          <w:rtl/>
          <w:lang w:eastAsia="zh-TW"/>
        </w:rPr>
        <w:t>(أ)</w:t>
      </w:r>
      <w:r>
        <w:rPr>
          <w:bCs/>
          <w:rtl/>
          <w:lang w:eastAsia="zh-TW"/>
        </w:rPr>
        <w:tab/>
      </w:r>
      <w:r w:rsidR="00832493" w:rsidRPr="00DE3353">
        <w:rPr>
          <w:bCs/>
          <w:rtl/>
          <w:lang w:eastAsia="zh-TW"/>
        </w:rPr>
        <w:t xml:space="preserve">أن </w:t>
      </w:r>
      <w:r w:rsidR="00832493">
        <w:rPr>
          <w:bCs/>
          <w:rtl/>
          <w:lang w:eastAsia="zh-TW"/>
        </w:rPr>
        <w:t>يكون كل تشريع تسّنه بشأن حظر التمييز العنصري متماشياً</w:t>
      </w:r>
      <w:r w:rsidR="00832493" w:rsidRPr="00DE3353">
        <w:rPr>
          <w:bCs/>
          <w:rtl/>
          <w:lang w:eastAsia="zh-TW"/>
        </w:rPr>
        <w:t xml:space="preserve"> </w:t>
      </w:r>
      <w:r w:rsidR="00832493">
        <w:rPr>
          <w:bCs/>
          <w:rtl/>
          <w:lang w:eastAsia="zh-TW"/>
        </w:rPr>
        <w:t xml:space="preserve">تماماً </w:t>
      </w:r>
      <w:r w:rsidR="00832493" w:rsidRPr="00DE3353">
        <w:rPr>
          <w:bCs/>
          <w:rtl/>
          <w:lang w:eastAsia="zh-TW"/>
        </w:rPr>
        <w:t xml:space="preserve">مع أحكام الاتفاقية؛ </w:t>
      </w:r>
    </w:p>
    <w:p w:rsidR="00832493" w:rsidRPr="00DE3353" w:rsidRDefault="009F545A" w:rsidP="00832493">
      <w:pPr>
        <w:pStyle w:val="SingleTxtGA"/>
        <w:rPr>
          <w:bCs/>
          <w:rtl/>
          <w:lang w:eastAsia="zh-TW"/>
        </w:rPr>
      </w:pPr>
      <w:r>
        <w:rPr>
          <w:bCs/>
          <w:rtl/>
          <w:lang w:eastAsia="zh-TW"/>
        </w:rPr>
        <w:tab/>
      </w:r>
      <w:r w:rsidR="00832493" w:rsidRPr="003400DF">
        <w:rPr>
          <w:b/>
          <w:rtl/>
          <w:lang w:eastAsia="zh-TW"/>
        </w:rPr>
        <w:t>(ب)</w:t>
      </w:r>
      <w:r>
        <w:rPr>
          <w:bCs/>
          <w:rtl/>
          <w:lang w:eastAsia="zh-TW"/>
        </w:rPr>
        <w:tab/>
      </w:r>
      <w:r w:rsidR="00832493" w:rsidRPr="00DE3353">
        <w:rPr>
          <w:bCs/>
          <w:rtl/>
          <w:lang w:eastAsia="zh-TW"/>
        </w:rPr>
        <w:t xml:space="preserve">أن </w:t>
      </w:r>
      <w:r w:rsidR="00832493">
        <w:rPr>
          <w:bCs/>
          <w:rtl/>
          <w:lang w:eastAsia="zh-TW"/>
        </w:rPr>
        <w:t>يكون</w:t>
      </w:r>
      <w:r w:rsidR="00832493" w:rsidRPr="00DE3353">
        <w:rPr>
          <w:bCs/>
          <w:rtl/>
          <w:lang w:eastAsia="zh-TW"/>
        </w:rPr>
        <w:t xml:space="preserve"> تعريف التمييز الوارد في المرسوم بقانون اتحادي رقم ٢ ل</w:t>
      </w:r>
      <w:r w:rsidR="00832493">
        <w:rPr>
          <w:bCs/>
          <w:rtl/>
          <w:lang w:val="ru-RU" w:eastAsia="zh-TW" w:bidi="ar-DZ"/>
        </w:rPr>
        <w:t>سنة</w:t>
      </w:r>
      <w:r w:rsidR="00832493">
        <w:rPr>
          <w:rFonts w:hint="cs"/>
          <w:bCs/>
          <w:rtl/>
          <w:lang w:eastAsia="zh-TW"/>
        </w:rPr>
        <w:t> </w:t>
      </w:r>
      <w:r w:rsidR="00832493" w:rsidRPr="00DE3353">
        <w:rPr>
          <w:bCs/>
          <w:rtl/>
          <w:lang w:eastAsia="zh-TW"/>
        </w:rPr>
        <w:t xml:space="preserve">٢٠١٥ </w:t>
      </w:r>
      <w:r w:rsidR="00832493">
        <w:rPr>
          <w:bCs/>
          <w:rtl/>
          <w:lang w:eastAsia="zh-TW"/>
        </w:rPr>
        <w:t>متماشياً تماماً</w:t>
      </w:r>
      <w:r w:rsidR="00832493" w:rsidRPr="00DE3353">
        <w:rPr>
          <w:bCs/>
          <w:rtl/>
          <w:lang w:eastAsia="zh-TW"/>
        </w:rPr>
        <w:t xml:space="preserve"> مع المادة ١ من الاتفاقية؛</w:t>
      </w:r>
    </w:p>
    <w:p w:rsidR="00832493" w:rsidRPr="00DE3353" w:rsidRDefault="009F545A" w:rsidP="00832493">
      <w:pPr>
        <w:pStyle w:val="SingleTxtGA"/>
        <w:rPr>
          <w:bCs/>
          <w:rtl/>
          <w:lang w:eastAsia="zh-TW"/>
        </w:rPr>
      </w:pPr>
      <w:r>
        <w:rPr>
          <w:b/>
          <w:rtl/>
          <w:lang w:eastAsia="zh-TW"/>
        </w:rPr>
        <w:lastRenderedPageBreak/>
        <w:tab/>
      </w:r>
      <w:r w:rsidR="00832493" w:rsidRPr="003400DF">
        <w:rPr>
          <w:b/>
          <w:rtl/>
          <w:lang w:eastAsia="zh-TW"/>
        </w:rPr>
        <w:t>(ج)</w:t>
      </w:r>
      <w:r>
        <w:rPr>
          <w:b/>
          <w:rtl/>
          <w:lang w:eastAsia="zh-TW"/>
        </w:rPr>
        <w:tab/>
      </w:r>
      <w:r w:rsidR="00832493" w:rsidRPr="00DE3353">
        <w:rPr>
          <w:bCs/>
          <w:rtl/>
          <w:lang w:eastAsia="zh-TW"/>
        </w:rPr>
        <w:t xml:space="preserve">أن </w:t>
      </w:r>
      <w:r w:rsidR="00832493">
        <w:rPr>
          <w:bCs/>
          <w:rtl/>
          <w:lang w:eastAsia="zh-TW"/>
        </w:rPr>
        <w:t>يستوفي كل تشريع</w:t>
      </w:r>
      <w:r w:rsidR="00832493" w:rsidRPr="003C3C28">
        <w:rPr>
          <w:bCs/>
          <w:rtl/>
          <w:lang w:eastAsia="zh-TW"/>
        </w:rPr>
        <w:t xml:space="preserve"> </w:t>
      </w:r>
      <w:r w:rsidR="00832493">
        <w:rPr>
          <w:bCs/>
          <w:rtl/>
          <w:lang w:eastAsia="zh-TW"/>
        </w:rPr>
        <w:t>تسّنه</w:t>
      </w:r>
      <w:r w:rsidR="00832493" w:rsidRPr="003C3C28">
        <w:rPr>
          <w:bCs/>
          <w:rtl/>
          <w:lang w:eastAsia="zh-TW"/>
        </w:rPr>
        <w:t xml:space="preserve"> بشأن خطاب الكراهية شروط</w:t>
      </w:r>
      <w:r w:rsidR="00832493" w:rsidRPr="00DE3353">
        <w:rPr>
          <w:bCs/>
          <w:rtl/>
          <w:lang w:eastAsia="zh-TW"/>
        </w:rPr>
        <w:t xml:space="preserve"> المادة 4 من الاتفاقية التي</w:t>
      </w:r>
      <w:r w:rsidR="00832493">
        <w:rPr>
          <w:bCs/>
          <w:rtl/>
          <w:lang w:eastAsia="zh-TW"/>
        </w:rPr>
        <w:t xml:space="preserve"> </w:t>
      </w:r>
      <w:r w:rsidR="00832493" w:rsidRPr="00DE3353">
        <w:rPr>
          <w:bCs/>
          <w:rtl/>
          <w:lang w:eastAsia="zh-TW"/>
        </w:rPr>
        <w:t>تط</w:t>
      </w:r>
      <w:r w:rsidR="00832493">
        <w:rPr>
          <w:bCs/>
          <w:rtl/>
          <w:lang w:eastAsia="zh-TW"/>
        </w:rPr>
        <w:t>ا</w:t>
      </w:r>
      <w:r w:rsidR="00832493" w:rsidRPr="00DE3353">
        <w:rPr>
          <w:bCs/>
          <w:rtl/>
          <w:lang w:eastAsia="zh-TW"/>
        </w:rPr>
        <w:t xml:space="preserve">لب الدول الأطراف </w:t>
      </w:r>
      <w:r w:rsidR="00832493">
        <w:rPr>
          <w:bCs/>
          <w:rtl/>
          <w:lang w:eastAsia="zh-TW"/>
        </w:rPr>
        <w:t>ب</w:t>
      </w:r>
      <w:r w:rsidR="00832493" w:rsidRPr="00DE3353">
        <w:rPr>
          <w:bCs/>
          <w:rtl/>
          <w:lang w:eastAsia="zh-TW"/>
        </w:rPr>
        <w:t xml:space="preserve">حظر نشر الأفكار القائمة على التفوق العنصري أو الكراهية العنصرية وكل تحريض على الكراهيــة العنصريــة وكل عمل من أعمال العنف أو تحريض على هذه الأعمال يرتكب ضد أي عرق أو أية جماعة من الأشخاص من لون أو أصل </w:t>
      </w:r>
      <w:proofErr w:type="spellStart"/>
      <w:r w:rsidR="00832493" w:rsidRPr="00DE3353">
        <w:rPr>
          <w:bCs/>
          <w:rtl/>
          <w:lang w:eastAsia="zh-TW"/>
        </w:rPr>
        <w:t>إثني</w:t>
      </w:r>
      <w:proofErr w:type="spellEnd"/>
      <w:r w:rsidR="00832493" w:rsidRPr="00DE3353">
        <w:rPr>
          <w:bCs/>
          <w:rtl/>
          <w:lang w:eastAsia="zh-TW"/>
        </w:rPr>
        <w:t xml:space="preserve"> آخر؛</w:t>
      </w:r>
    </w:p>
    <w:p w:rsidR="00832493" w:rsidRPr="00C05EDB" w:rsidRDefault="009F545A" w:rsidP="00832493">
      <w:pPr>
        <w:pStyle w:val="SingleTxtGA"/>
        <w:rPr>
          <w:rtl/>
          <w:lang w:eastAsia="zh-TW"/>
        </w:rPr>
      </w:pPr>
      <w:r>
        <w:rPr>
          <w:b/>
          <w:rtl/>
          <w:lang w:eastAsia="zh-TW"/>
        </w:rPr>
        <w:tab/>
      </w:r>
      <w:r w:rsidR="00832493" w:rsidRPr="003400DF">
        <w:rPr>
          <w:b/>
          <w:rtl/>
          <w:lang w:eastAsia="zh-TW"/>
        </w:rPr>
        <w:t>(د)</w:t>
      </w:r>
      <w:r>
        <w:rPr>
          <w:bCs/>
          <w:rtl/>
          <w:lang w:eastAsia="zh-TW"/>
        </w:rPr>
        <w:tab/>
      </w:r>
      <w:r w:rsidR="00832493" w:rsidRPr="00DE3353">
        <w:rPr>
          <w:bCs/>
          <w:rtl/>
          <w:lang w:eastAsia="zh-TW"/>
        </w:rPr>
        <w:t>أن يكون تطبيق العقوبات الجنائية محكوماً بمبادئ الشرعية والتناسب والضرورة</w:t>
      </w:r>
      <w:r w:rsidR="00832493">
        <w:rPr>
          <w:rtl/>
          <w:lang w:eastAsia="zh-TW"/>
        </w:rPr>
        <w:t>.</w:t>
      </w:r>
    </w:p>
    <w:p w:rsidR="00832493" w:rsidRPr="00832008" w:rsidRDefault="009F545A" w:rsidP="00832493">
      <w:pPr>
        <w:pStyle w:val="H23GA"/>
        <w:rPr>
          <w:rtl/>
        </w:rPr>
      </w:pPr>
      <w:r>
        <w:rPr>
          <w:rtl/>
        </w:rPr>
        <w:tab/>
      </w:r>
      <w:r>
        <w:rPr>
          <w:rtl/>
        </w:rPr>
        <w:tab/>
      </w:r>
      <w:r w:rsidR="00832493" w:rsidRPr="00536551">
        <w:rPr>
          <w:rtl/>
        </w:rPr>
        <w:t>الشكاوى المتعلقة بالتمييز العنصري</w:t>
      </w:r>
      <w:r w:rsidR="00832493">
        <w:rPr>
          <w:rtl/>
        </w:rPr>
        <w:t xml:space="preserve"> </w:t>
      </w:r>
    </w:p>
    <w:p w:rsidR="00832493" w:rsidRPr="00DE3353" w:rsidRDefault="00832493" w:rsidP="00832493">
      <w:pPr>
        <w:pStyle w:val="SingleTxtGA"/>
        <w:rPr>
          <w:bCs/>
          <w:rtl/>
          <w:lang w:eastAsia="zh-TW"/>
        </w:rPr>
      </w:pPr>
      <w:r>
        <w:rPr>
          <w:rtl/>
          <w:lang w:eastAsia="zh-TW"/>
        </w:rPr>
        <w:t>١٣-</w:t>
      </w:r>
      <w:r w:rsidR="009F545A">
        <w:rPr>
          <w:rtl/>
          <w:lang w:eastAsia="zh-TW"/>
        </w:rPr>
        <w:tab/>
      </w:r>
      <w:r>
        <w:rPr>
          <w:rtl/>
          <w:lang w:eastAsia="zh-TW"/>
        </w:rPr>
        <w:t>ترحب اللجنة بالبيانات التي قدمتها الدولة الطرف أثناء الحوار عن عدد الدعاوى التي قدمت سنوي</w:t>
      </w:r>
      <w:r w:rsidR="00003270">
        <w:rPr>
          <w:rtl/>
          <w:lang w:eastAsia="zh-TW"/>
        </w:rPr>
        <w:t xml:space="preserve">اً </w:t>
      </w:r>
      <w:r>
        <w:rPr>
          <w:rtl/>
          <w:lang w:eastAsia="zh-TW"/>
        </w:rPr>
        <w:t xml:space="preserve">في الفترة ما بين عامي ٢٠١٥ و٢٠١٧ بموجب المرسوم بقانون اتحادي رقم 2 لسنة 2015 بشأن مكافحة التمييز والكراهية. وتأسف اللجنة لعدم توافر معلومات مفصلة عن طابع الشكاوى ونتائجها، بما في ذلك بيانات عن عدد التحقيقات والملاحقات القضائية والإدانات الناشئة عن الشكاوى والأصل القومي أو </w:t>
      </w:r>
      <w:proofErr w:type="spellStart"/>
      <w:r>
        <w:rPr>
          <w:rtl/>
          <w:lang w:eastAsia="zh-TW"/>
        </w:rPr>
        <w:t>الإثني</w:t>
      </w:r>
      <w:proofErr w:type="spellEnd"/>
      <w:r>
        <w:rPr>
          <w:rtl/>
          <w:lang w:eastAsia="zh-TW"/>
        </w:rPr>
        <w:t xml:space="preserve"> للضحايا. وتلاحظ اللجنة أن القانون لم يصدر إلا مؤخراً، لكنها تشعر بالقلق إزاء انخفاض عدد الشكاوى المقدمة، وتذكّر الدولة الطرف بأن انخفاض عدد الشكاوى لا يعني عدم وجود تمييز عنصري في الدولة الطرف، بل قد يعني وجود حواجز تقف عائقاً دون الاحتجاج بالحقوق الواردة في الاتفاقية على الصعيد المحلي (المادتان ٦-٧). </w:t>
      </w:r>
    </w:p>
    <w:p w:rsidR="00832493" w:rsidRPr="00DE3353" w:rsidRDefault="00832493" w:rsidP="00832493">
      <w:pPr>
        <w:pStyle w:val="SingleTxtGA"/>
        <w:rPr>
          <w:bCs/>
          <w:rtl/>
          <w:lang w:eastAsia="zh-TW"/>
        </w:rPr>
      </w:pPr>
      <w:r w:rsidRPr="00832493">
        <w:rPr>
          <w:b/>
          <w:rtl/>
          <w:lang w:eastAsia="zh-TW"/>
        </w:rPr>
        <w:t>١٤-</w:t>
      </w:r>
      <w:r w:rsidR="009F545A">
        <w:rPr>
          <w:b/>
          <w:rtl/>
          <w:lang w:eastAsia="zh-TW"/>
        </w:rPr>
        <w:tab/>
      </w:r>
      <w:r w:rsidRPr="00DE3353">
        <w:rPr>
          <w:bCs/>
          <w:rtl/>
          <w:lang w:eastAsia="zh-TW"/>
        </w:rPr>
        <w:t xml:space="preserve">توصي اللجنة الدولة الطرف </w:t>
      </w:r>
      <w:r>
        <w:rPr>
          <w:bCs/>
          <w:rtl/>
          <w:lang w:eastAsia="zh-TW"/>
        </w:rPr>
        <w:t xml:space="preserve">بأن تقوم </w:t>
      </w:r>
      <w:r w:rsidRPr="00DE3353">
        <w:rPr>
          <w:bCs/>
          <w:rtl/>
          <w:lang w:eastAsia="zh-TW"/>
        </w:rPr>
        <w:t xml:space="preserve">بما يلي: </w:t>
      </w:r>
    </w:p>
    <w:p w:rsidR="00832493" w:rsidRPr="00DE3353" w:rsidRDefault="009F545A" w:rsidP="00832493">
      <w:pPr>
        <w:pStyle w:val="SingleTxtGA"/>
        <w:rPr>
          <w:bCs/>
          <w:rtl/>
          <w:lang w:eastAsia="zh-TW" w:bidi="ar-DZ"/>
        </w:rPr>
      </w:pPr>
      <w:r>
        <w:rPr>
          <w:b/>
          <w:rtl/>
          <w:lang w:eastAsia="zh-TW"/>
        </w:rPr>
        <w:tab/>
      </w:r>
      <w:r w:rsidR="00832493" w:rsidRPr="00832493">
        <w:rPr>
          <w:b/>
          <w:rtl/>
          <w:lang w:eastAsia="zh-TW"/>
        </w:rPr>
        <w:t>(أ)</w:t>
      </w:r>
      <w:r>
        <w:rPr>
          <w:bCs/>
          <w:rtl/>
          <w:lang w:eastAsia="zh-TW"/>
        </w:rPr>
        <w:tab/>
      </w:r>
      <w:r w:rsidR="00832493">
        <w:rPr>
          <w:bCs/>
          <w:rtl/>
          <w:lang w:eastAsia="zh-TW"/>
        </w:rPr>
        <w:t>أن توافيها</w:t>
      </w:r>
      <w:r w:rsidR="00832493" w:rsidRPr="00DE3353">
        <w:rPr>
          <w:bCs/>
          <w:rtl/>
          <w:lang w:eastAsia="zh-TW"/>
        </w:rPr>
        <w:t xml:space="preserve"> بمعلومات مفصلة في</w:t>
      </w:r>
      <w:r w:rsidR="00832493">
        <w:rPr>
          <w:bCs/>
          <w:rtl/>
          <w:lang w:eastAsia="zh-TW"/>
        </w:rPr>
        <w:t xml:space="preserve"> تقريرها </w:t>
      </w:r>
      <w:r w:rsidR="00832493" w:rsidRPr="00DE3353">
        <w:rPr>
          <w:bCs/>
          <w:rtl/>
          <w:lang w:eastAsia="zh-TW"/>
        </w:rPr>
        <w:t>الدوري المقبل عن تنفيذ المرسوم بقانون اتحادي رقم ٢ لسنة ٢٠١٥ بشأن مكافحة التمييز والكراهية و</w:t>
      </w:r>
      <w:r w:rsidR="00832493">
        <w:rPr>
          <w:bCs/>
          <w:rtl/>
          <w:lang w:eastAsia="zh-TW"/>
        </w:rPr>
        <w:t xml:space="preserve">مدى </w:t>
      </w:r>
      <w:r w:rsidR="00832493" w:rsidRPr="00DE3353">
        <w:rPr>
          <w:bCs/>
          <w:rtl/>
          <w:lang w:eastAsia="zh-TW"/>
        </w:rPr>
        <w:t xml:space="preserve">تأثيره، بما </w:t>
      </w:r>
      <w:r w:rsidR="00832493">
        <w:rPr>
          <w:bCs/>
          <w:rtl/>
          <w:lang w:eastAsia="zh-TW"/>
        </w:rPr>
        <w:t>فيها</w:t>
      </w:r>
      <w:r w:rsidR="00832493" w:rsidRPr="00DE3353">
        <w:rPr>
          <w:bCs/>
          <w:rtl/>
          <w:lang w:eastAsia="zh-TW"/>
        </w:rPr>
        <w:t xml:space="preserve"> بيانات إحصائية </w:t>
      </w:r>
      <w:r w:rsidR="00832493" w:rsidRPr="002B32B0">
        <w:rPr>
          <w:bCs/>
          <w:rtl/>
          <w:lang w:eastAsia="zh-TW"/>
        </w:rPr>
        <w:t>تتعلق بعدد الشكاوى المتعلقة بالتمييز العنصري وخطاب الكراهية وأنواعها وعدد حالات مقاضاة مرتكبيها وإدانتهم</w:t>
      </w:r>
      <w:r w:rsidR="00832493">
        <w:rPr>
          <w:bCs/>
          <w:rtl/>
          <w:lang w:eastAsia="zh-TW"/>
        </w:rPr>
        <w:t xml:space="preserve"> </w:t>
      </w:r>
      <w:r w:rsidR="00832493" w:rsidRPr="00DE3353">
        <w:rPr>
          <w:bCs/>
          <w:rtl/>
          <w:lang w:eastAsia="zh-TW"/>
        </w:rPr>
        <w:t xml:space="preserve">مصنفة حسب العمر ونوع الجنس والأصل </w:t>
      </w:r>
      <w:proofErr w:type="spellStart"/>
      <w:r w:rsidR="00832493" w:rsidRPr="00DE3353">
        <w:rPr>
          <w:bCs/>
          <w:rtl/>
          <w:lang w:eastAsia="zh-TW"/>
        </w:rPr>
        <w:t>الإثني</w:t>
      </w:r>
      <w:proofErr w:type="spellEnd"/>
      <w:r w:rsidR="00832493" w:rsidRPr="00DE3353">
        <w:rPr>
          <w:bCs/>
          <w:rtl/>
          <w:lang w:eastAsia="zh-TW"/>
        </w:rPr>
        <w:t xml:space="preserve"> للضحايا، فضل</w:t>
      </w:r>
      <w:r w:rsidR="00003270">
        <w:rPr>
          <w:bCs/>
          <w:rtl/>
          <w:lang w:eastAsia="zh-TW"/>
        </w:rPr>
        <w:t xml:space="preserve">اً </w:t>
      </w:r>
      <w:r w:rsidR="00832493" w:rsidRPr="00DE3353">
        <w:rPr>
          <w:bCs/>
          <w:rtl/>
          <w:lang w:eastAsia="zh-TW"/>
        </w:rPr>
        <w:t xml:space="preserve">عن معلومات تتعلق بالتعويضات المقدمة إلى الضحايا؛ </w:t>
      </w:r>
    </w:p>
    <w:p w:rsidR="00832493" w:rsidRPr="00DE3353" w:rsidRDefault="009F545A" w:rsidP="00832493">
      <w:pPr>
        <w:pStyle w:val="SingleTxtGA"/>
        <w:rPr>
          <w:bCs/>
          <w:rtl/>
          <w:lang w:eastAsia="zh-TW"/>
        </w:rPr>
      </w:pPr>
      <w:r>
        <w:rPr>
          <w:bCs/>
          <w:rtl/>
          <w:lang w:eastAsia="zh-TW"/>
        </w:rPr>
        <w:tab/>
      </w:r>
      <w:r w:rsidR="00832493" w:rsidRPr="00832493">
        <w:rPr>
          <w:b/>
          <w:rtl/>
          <w:lang w:eastAsia="zh-TW"/>
        </w:rPr>
        <w:t>(ب)</w:t>
      </w:r>
      <w:r>
        <w:rPr>
          <w:b/>
          <w:rtl/>
          <w:lang w:eastAsia="zh-TW"/>
        </w:rPr>
        <w:tab/>
      </w:r>
      <w:r w:rsidR="00832493">
        <w:rPr>
          <w:bCs/>
          <w:rtl/>
          <w:lang w:eastAsia="zh-TW"/>
        </w:rPr>
        <w:t>أن تنظم</w:t>
      </w:r>
      <w:r w:rsidR="00832493" w:rsidRPr="00DE3353">
        <w:rPr>
          <w:bCs/>
          <w:rtl/>
          <w:lang w:eastAsia="zh-TW"/>
        </w:rPr>
        <w:t xml:space="preserve"> حملات تثقيفية عامة تتعلق تحديداً بالحقوق </w:t>
      </w:r>
      <w:r w:rsidR="00832493">
        <w:rPr>
          <w:bCs/>
          <w:rtl/>
          <w:lang w:eastAsia="zh-TW"/>
        </w:rPr>
        <w:t xml:space="preserve">المنصوص عليها </w:t>
      </w:r>
      <w:r w:rsidR="00832493" w:rsidRPr="00DE3353">
        <w:rPr>
          <w:bCs/>
          <w:rtl/>
          <w:lang w:eastAsia="zh-TW"/>
        </w:rPr>
        <w:t>في الاتفاقية والتشريعات المحلية التي يمكن الاحتجاج بمقتضاها بتلك الحقوق، وب</w:t>
      </w:r>
      <w:r w:rsidR="00832493">
        <w:rPr>
          <w:bCs/>
          <w:rtl/>
          <w:lang w:eastAsia="zh-TW"/>
        </w:rPr>
        <w:t>أساليب</w:t>
      </w:r>
      <w:r w:rsidR="00832493" w:rsidRPr="00DE3353">
        <w:rPr>
          <w:bCs/>
          <w:rtl/>
          <w:lang w:eastAsia="zh-TW"/>
        </w:rPr>
        <w:t xml:space="preserve"> تقديم الشكاوى المتعلقة بالتمييز العنصري وبخطاب الكراهية؛</w:t>
      </w:r>
      <w:r w:rsidR="00832493" w:rsidRPr="009271A8">
        <w:rPr>
          <w:bCs/>
          <w:rtl/>
          <w:lang w:eastAsia="zh-TW"/>
        </w:rPr>
        <w:t xml:space="preserve"> </w:t>
      </w:r>
    </w:p>
    <w:p w:rsidR="00832493" w:rsidRDefault="009F545A" w:rsidP="00832493">
      <w:pPr>
        <w:pStyle w:val="SingleTxtGA"/>
        <w:rPr>
          <w:bCs/>
          <w:rtl/>
          <w:lang w:eastAsia="zh-TW"/>
        </w:rPr>
      </w:pPr>
      <w:r>
        <w:rPr>
          <w:bCs/>
          <w:rtl/>
          <w:lang w:eastAsia="zh-TW"/>
        </w:rPr>
        <w:tab/>
      </w:r>
      <w:r w:rsidR="00832493" w:rsidRPr="00832493">
        <w:rPr>
          <w:b/>
          <w:rtl/>
          <w:lang w:eastAsia="zh-TW"/>
        </w:rPr>
        <w:t>(ج)</w:t>
      </w:r>
      <w:r>
        <w:rPr>
          <w:b/>
          <w:rtl/>
          <w:lang w:eastAsia="zh-TW"/>
        </w:rPr>
        <w:tab/>
      </w:r>
      <w:r w:rsidR="00832493">
        <w:rPr>
          <w:bCs/>
          <w:rtl/>
          <w:lang w:eastAsia="zh-TW"/>
        </w:rPr>
        <w:t xml:space="preserve">أن تتأكد </w:t>
      </w:r>
      <w:r w:rsidR="00832493" w:rsidRPr="00884671">
        <w:rPr>
          <w:bCs/>
          <w:rtl/>
          <w:lang w:eastAsia="zh-TW"/>
        </w:rPr>
        <w:t>من أن أساليب التماس سبل الانتصاف القضائية تدار بطريقة مفتوحة ومتاحة لجميع الضحايا، بما في ذلك ما يتعلق بتقديم الشكاوى</w:t>
      </w:r>
      <w:r w:rsidR="00832493" w:rsidRPr="00DE3353">
        <w:rPr>
          <w:bCs/>
          <w:rtl/>
          <w:lang w:eastAsia="zh-TW"/>
        </w:rPr>
        <w:t xml:space="preserve">؛ </w:t>
      </w:r>
    </w:p>
    <w:p w:rsidR="00832493" w:rsidRPr="001F5023" w:rsidRDefault="009F545A" w:rsidP="00832493">
      <w:pPr>
        <w:pStyle w:val="SingleTxtGA"/>
        <w:rPr>
          <w:rtl/>
          <w:lang w:eastAsia="zh-TW"/>
        </w:rPr>
      </w:pPr>
      <w:r>
        <w:rPr>
          <w:b/>
          <w:rtl/>
          <w:lang w:eastAsia="zh-TW"/>
        </w:rPr>
        <w:tab/>
      </w:r>
      <w:r w:rsidR="00832493" w:rsidRPr="00832493">
        <w:rPr>
          <w:b/>
          <w:rtl/>
          <w:lang w:eastAsia="zh-TW"/>
        </w:rPr>
        <w:t>(د)</w:t>
      </w:r>
      <w:r>
        <w:rPr>
          <w:b/>
          <w:rtl/>
          <w:lang w:eastAsia="zh-TW"/>
        </w:rPr>
        <w:tab/>
      </w:r>
      <w:r w:rsidR="00832493">
        <w:rPr>
          <w:bCs/>
          <w:rtl/>
          <w:lang w:eastAsia="zh-TW"/>
        </w:rPr>
        <w:t>أن تقدم</w:t>
      </w:r>
      <w:r w:rsidR="00832493" w:rsidRPr="00DE3353">
        <w:rPr>
          <w:bCs/>
          <w:rtl/>
          <w:lang w:eastAsia="zh-TW"/>
        </w:rPr>
        <w:t xml:space="preserve"> معلومات في التقرير الدوري المقبل عن تدريب قوات الأمن والمدعين العامين والقضاة ومفتشي العمل وغيرهم من الموظفين العموميين في </w:t>
      </w:r>
      <w:r w:rsidR="00832493">
        <w:rPr>
          <w:bCs/>
          <w:rtl/>
          <w:lang w:eastAsia="zh-TW"/>
        </w:rPr>
        <w:t xml:space="preserve">مجال </w:t>
      </w:r>
      <w:r w:rsidR="00832493" w:rsidRPr="00DE3353">
        <w:rPr>
          <w:bCs/>
          <w:rtl/>
          <w:lang w:eastAsia="zh-TW"/>
        </w:rPr>
        <w:t xml:space="preserve">تحديد </w:t>
      </w:r>
      <w:r w:rsidR="00832493">
        <w:rPr>
          <w:bCs/>
          <w:rtl/>
          <w:lang w:eastAsia="zh-TW"/>
        </w:rPr>
        <w:t>ال</w:t>
      </w:r>
      <w:r w:rsidR="00832493" w:rsidRPr="00DE3353">
        <w:rPr>
          <w:bCs/>
          <w:rtl/>
          <w:lang w:eastAsia="zh-TW"/>
        </w:rPr>
        <w:t>حوادث العنصرية وتسجيلها</w:t>
      </w:r>
      <w:r w:rsidR="00832493">
        <w:rPr>
          <w:rtl/>
          <w:lang w:eastAsia="zh-TW"/>
        </w:rPr>
        <w:t xml:space="preserve">. </w:t>
      </w:r>
    </w:p>
    <w:p w:rsidR="00832493" w:rsidRPr="00536551" w:rsidRDefault="009F545A" w:rsidP="00832493">
      <w:pPr>
        <w:pStyle w:val="H23GA"/>
        <w:spacing w:before="120"/>
        <w:rPr>
          <w:rtl/>
        </w:rPr>
      </w:pPr>
      <w:r>
        <w:rPr>
          <w:rtl/>
        </w:rPr>
        <w:tab/>
      </w:r>
      <w:r>
        <w:rPr>
          <w:rtl/>
        </w:rPr>
        <w:tab/>
      </w:r>
      <w:r w:rsidR="00832493" w:rsidRPr="00536551">
        <w:rPr>
          <w:rtl/>
        </w:rPr>
        <w:t xml:space="preserve">إمكانية اللجوء إلى القضاء </w:t>
      </w:r>
    </w:p>
    <w:p w:rsidR="00832493" w:rsidRPr="00DE3353" w:rsidRDefault="00832493" w:rsidP="00832493">
      <w:pPr>
        <w:pStyle w:val="SingleTxtGA"/>
        <w:rPr>
          <w:bCs/>
          <w:rtl/>
          <w:lang w:eastAsia="zh-TW"/>
        </w:rPr>
      </w:pPr>
      <w:r>
        <w:rPr>
          <w:rtl/>
          <w:lang w:eastAsia="zh-TW"/>
        </w:rPr>
        <w:t>١٥-</w:t>
      </w:r>
      <w:r w:rsidR="009F545A">
        <w:rPr>
          <w:rtl/>
          <w:lang w:eastAsia="zh-TW"/>
        </w:rPr>
        <w:tab/>
      </w:r>
      <w:r>
        <w:rPr>
          <w:rtl/>
          <w:lang w:eastAsia="zh-TW"/>
        </w:rPr>
        <w:t xml:space="preserve">تلاحظ اللجنة باهتمام المعلومات التي قدمتها الدولة الطرف بشأن إنشاء آليات لشكاوى العمل، بما </w:t>
      </w:r>
      <w:r w:rsidRPr="00992678">
        <w:rPr>
          <w:rtl/>
          <w:lang w:eastAsia="zh-TW"/>
        </w:rPr>
        <w:t>في ذلك آليات الشكاوى الإلكترونية</w:t>
      </w:r>
      <w:r>
        <w:rPr>
          <w:rtl/>
          <w:lang w:eastAsia="zh-TW"/>
        </w:rPr>
        <w:t xml:space="preserve"> للعمال، والجهود الرامية إلى تثقيف </w:t>
      </w:r>
      <w:r>
        <w:rPr>
          <w:rtl/>
          <w:lang w:eastAsia="zh-TW"/>
        </w:rPr>
        <w:lastRenderedPageBreak/>
        <w:t xml:space="preserve">العمال بحقوقهم القانونية بموجب قوانين العمل، لكنها تأسف لعدم وجود معلومات مفصلة عن عدد الشكاوى التي يقدمها العمال الأجانب إلى آليات الشكاوى أو إلى المحاكم الوطنية بشأن ممارسات </w:t>
      </w:r>
      <w:r w:rsidRPr="004F2099">
        <w:rPr>
          <w:rtl/>
          <w:lang w:eastAsia="zh-TW"/>
        </w:rPr>
        <w:t>العمل التعسفية</w:t>
      </w:r>
      <w:r>
        <w:rPr>
          <w:rtl/>
          <w:lang w:eastAsia="zh-TW"/>
        </w:rPr>
        <w:t xml:space="preserve"> وعن نتائج هذه الشكاوى. وتشعر اللجنة بالقلق كذلك لأن العمال الأجانب قد يواجهون عقبات </w:t>
      </w:r>
      <w:r w:rsidRPr="00992678">
        <w:rPr>
          <w:rtl/>
          <w:lang w:eastAsia="zh-TW"/>
        </w:rPr>
        <w:t xml:space="preserve">في اللجوء إلى القضاء، </w:t>
      </w:r>
      <w:r w:rsidRPr="00376835">
        <w:rPr>
          <w:rtl/>
          <w:lang w:eastAsia="zh-TW"/>
        </w:rPr>
        <w:t>مثل عدم تمكنهم من تقديم الشكاوى خوف</w:t>
      </w:r>
      <w:r w:rsidR="00003270">
        <w:rPr>
          <w:rtl/>
          <w:lang w:eastAsia="zh-TW"/>
        </w:rPr>
        <w:t xml:space="preserve">اً </w:t>
      </w:r>
      <w:r w:rsidRPr="00376835">
        <w:rPr>
          <w:rtl/>
          <w:lang w:eastAsia="zh-TW"/>
        </w:rPr>
        <w:t>من العواقب</w:t>
      </w:r>
      <w:r>
        <w:rPr>
          <w:rtl/>
          <w:lang w:eastAsia="zh-TW"/>
        </w:rPr>
        <w:t xml:space="preserve"> الوخيمة (المادتان ٥-٦).</w:t>
      </w:r>
    </w:p>
    <w:p w:rsidR="00832493" w:rsidRPr="00DE3353" w:rsidRDefault="00832493" w:rsidP="00832493">
      <w:pPr>
        <w:pStyle w:val="SingleTxtGA"/>
        <w:rPr>
          <w:bCs/>
          <w:rtl/>
          <w:lang w:eastAsia="zh-TW"/>
        </w:rPr>
      </w:pPr>
      <w:r w:rsidRPr="00832493">
        <w:rPr>
          <w:b/>
          <w:rtl/>
          <w:lang w:eastAsia="zh-TW"/>
        </w:rPr>
        <w:t>١٦-</w:t>
      </w:r>
      <w:r w:rsidR="009F545A">
        <w:rPr>
          <w:b/>
          <w:rtl/>
          <w:lang w:eastAsia="zh-TW"/>
        </w:rPr>
        <w:tab/>
      </w:r>
      <w:r w:rsidRPr="00DE3353">
        <w:rPr>
          <w:bCs/>
          <w:rtl/>
          <w:lang w:eastAsia="zh-TW"/>
        </w:rPr>
        <w:t xml:space="preserve">توصي اللجنة الدولة الطرف، في ضوء توصيتها العامة رقم 31(2005) بشأن منع التمييز العنصري في إدارة وسير عمل نظام العدالة الجنائية </w:t>
      </w:r>
      <w:r>
        <w:rPr>
          <w:bCs/>
          <w:rtl/>
          <w:lang w:eastAsia="zh-TW"/>
        </w:rPr>
        <w:t>بأن تقوم بما يلي</w:t>
      </w:r>
      <w:r w:rsidRPr="00DE3353">
        <w:rPr>
          <w:bCs/>
          <w:rtl/>
          <w:lang w:eastAsia="zh-TW"/>
        </w:rPr>
        <w:t xml:space="preserve">: </w:t>
      </w:r>
    </w:p>
    <w:p w:rsidR="00832493" w:rsidRPr="00DE3353" w:rsidRDefault="009F545A" w:rsidP="00832493">
      <w:pPr>
        <w:pStyle w:val="SingleTxtGA"/>
        <w:rPr>
          <w:bCs/>
          <w:rtl/>
          <w:lang w:eastAsia="zh-TW"/>
        </w:rPr>
      </w:pPr>
      <w:r>
        <w:rPr>
          <w:b/>
          <w:rtl/>
          <w:lang w:eastAsia="zh-TW"/>
        </w:rPr>
        <w:tab/>
      </w:r>
      <w:r w:rsidR="00832493" w:rsidRPr="003400DF">
        <w:rPr>
          <w:b/>
          <w:rtl/>
          <w:lang w:eastAsia="zh-TW"/>
        </w:rPr>
        <w:t>(أ)</w:t>
      </w:r>
      <w:r>
        <w:rPr>
          <w:bCs/>
          <w:rtl/>
          <w:lang w:eastAsia="zh-TW"/>
        </w:rPr>
        <w:tab/>
      </w:r>
      <w:r w:rsidR="00832493">
        <w:rPr>
          <w:bCs/>
          <w:rtl/>
          <w:lang w:eastAsia="zh-TW"/>
        </w:rPr>
        <w:t>أن تتخذ</w:t>
      </w:r>
      <w:r w:rsidR="00832493" w:rsidRPr="00DE3353">
        <w:rPr>
          <w:bCs/>
          <w:rtl/>
          <w:lang w:eastAsia="zh-TW"/>
        </w:rPr>
        <w:t xml:space="preserve"> تدابير لإزالة </w:t>
      </w:r>
      <w:r w:rsidR="00832493" w:rsidRPr="00E042B9">
        <w:rPr>
          <w:bCs/>
          <w:rtl/>
          <w:lang w:eastAsia="zh-TW"/>
        </w:rPr>
        <w:t>الحواجز التي</w:t>
      </w:r>
      <w:r w:rsidR="00832493" w:rsidRPr="00DE3353">
        <w:rPr>
          <w:bCs/>
          <w:rtl/>
          <w:lang w:eastAsia="zh-TW"/>
        </w:rPr>
        <w:t xml:space="preserve"> تقف عائقاً دون لجوء العمال الأجانب إلى </w:t>
      </w:r>
      <w:r w:rsidR="00832493">
        <w:rPr>
          <w:bCs/>
          <w:rtl/>
          <w:lang w:eastAsia="zh-TW"/>
        </w:rPr>
        <w:t>القضاء</w:t>
      </w:r>
      <w:r w:rsidR="00832493" w:rsidRPr="00DE3353">
        <w:rPr>
          <w:bCs/>
          <w:rtl/>
          <w:lang w:eastAsia="zh-TW"/>
        </w:rPr>
        <w:t xml:space="preserve"> في الدولة الطرف؛</w:t>
      </w:r>
    </w:p>
    <w:p w:rsidR="00832493" w:rsidRPr="00DE3353" w:rsidRDefault="009F545A" w:rsidP="00832493">
      <w:pPr>
        <w:pStyle w:val="SingleTxtGA"/>
        <w:rPr>
          <w:bCs/>
          <w:rtl/>
          <w:lang w:eastAsia="zh-TW"/>
        </w:rPr>
      </w:pPr>
      <w:r>
        <w:rPr>
          <w:bCs/>
          <w:rtl/>
          <w:lang w:eastAsia="zh-TW"/>
        </w:rPr>
        <w:tab/>
      </w:r>
      <w:r w:rsidR="00832493" w:rsidRPr="003400DF">
        <w:rPr>
          <w:b/>
          <w:rtl/>
          <w:lang w:eastAsia="zh-TW"/>
        </w:rPr>
        <w:t>(ب)</w:t>
      </w:r>
      <w:r>
        <w:rPr>
          <w:bCs/>
          <w:rtl/>
          <w:lang w:eastAsia="zh-TW"/>
        </w:rPr>
        <w:tab/>
      </w:r>
      <w:r w:rsidR="00832493">
        <w:rPr>
          <w:bCs/>
          <w:rtl/>
          <w:lang w:eastAsia="zh-TW"/>
        </w:rPr>
        <w:t>أن تتأكد</w:t>
      </w:r>
      <w:r w:rsidR="00832493" w:rsidRPr="00DE3353">
        <w:rPr>
          <w:bCs/>
          <w:rtl/>
          <w:lang w:eastAsia="zh-TW"/>
        </w:rPr>
        <w:t xml:space="preserve"> من أن العمال الأجانب يمكنهم تقديم شك</w:t>
      </w:r>
      <w:r w:rsidR="00832493">
        <w:rPr>
          <w:bCs/>
          <w:rtl/>
          <w:lang w:eastAsia="zh-TW"/>
        </w:rPr>
        <w:t>ا</w:t>
      </w:r>
      <w:r w:rsidR="00832493" w:rsidRPr="00DE3353">
        <w:rPr>
          <w:bCs/>
          <w:rtl/>
          <w:lang w:eastAsia="zh-TW"/>
        </w:rPr>
        <w:t>وى بشأن ممارسات العمل التعسفية إلى آليات مستقلة وفعالة؛</w:t>
      </w:r>
    </w:p>
    <w:p w:rsidR="00832493" w:rsidRPr="00DE3353" w:rsidRDefault="009F545A" w:rsidP="00832493">
      <w:pPr>
        <w:pStyle w:val="SingleTxtGA"/>
        <w:rPr>
          <w:bCs/>
          <w:rtl/>
          <w:lang w:eastAsia="zh-TW"/>
        </w:rPr>
      </w:pPr>
      <w:r>
        <w:rPr>
          <w:b/>
          <w:rtl/>
          <w:lang w:eastAsia="zh-TW"/>
        </w:rPr>
        <w:tab/>
      </w:r>
      <w:r w:rsidR="00832493" w:rsidRPr="003400DF">
        <w:rPr>
          <w:b/>
          <w:rtl/>
          <w:lang w:eastAsia="zh-TW"/>
        </w:rPr>
        <w:t>(ج)</w:t>
      </w:r>
      <w:r>
        <w:rPr>
          <w:b/>
          <w:rtl/>
          <w:lang w:eastAsia="zh-TW"/>
        </w:rPr>
        <w:tab/>
      </w:r>
      <w:r w:rsidR="00832493">
        <w:rPr>
          <w:bCs/>
          <w:rtl/>
          <w:lang w:eastAsia="zh-TW"/>
        </w:rPr>
        <w:t>أن تنظر</w:t>
      </w:r>
      <w:r w:rsidR="00832493" w:rsidRPr="00DE3353">
        <w:rPr>
          <w:bCs/>
          <w:rtl/>
          <w:lang w:eastAsia="zh-TW"/>
        </w:rPr>
        <w:t xml:space="preserve"> في </w:t>
      </w:r>
      <w:r w:rsidR="00832493">
        <w:rPr>
          <w:bCs/>
          <w:rtl/>
          <w:lang w:eastAsia="zh-TW"/>
        </w:rPr>
        <w:t>تعيين أمين مظالم لقضايا العمل</w:t>
      </w:r>
      <w:r w:rsidR="00832493" w:rsidRPr="00DE3353">
        <w:rPr>
          <w:bCs/>
          <w:rtl/>
          <w:lang w:eastAsia="zh-TW"/>
        </w:rPr>
        <w:t xml:space="preserve"> من أجل رصد نزاعات العمل وتسويتها بفعالية؛</w:t>
      </w:r>
    </w:p>
    <w:p w:rsidR="00832493" w:rsidRPr="00DE3353" w:rsidRDefault="009F545A" w:rsidP="00832493">
      <w:pPr>
        <w:pStyle w:val="SingleTxtGA"/>
        <w:rPr>
          <w:bCs/>
          <w:rtl/>
          <w:lang w:eastAsia="zh-TW"/>
        </w:rPr>
      </w:pPr>
      <w:r>
        <w:rPr>
          <w:b/>
          <w:rtl/>
          <w:lang w:eastAsia="zh-TW"/>
        </w:rPr>
        <w:tab/>
      </w:r>
      <w:r w:rsidR="00832493" w:rsidRPr="003400DF">
        <w:rPr>
          <w:b/>
          <w:rtl/>
          <w:lang w:eastAsia="zh-TW"/>
        </w:rPr>
        <w:t>(د)</w:t>
      </w:r>
      <w:r>
        <w:rPr>
          <w:bCs/>
          <w:rtl/>
          <w:lang w:eastAsia="zh-TW"/>
        </w:rPr>
        <w:tab/>
      </w:r>
      <w:r w:rsidR="00832493">
        <w:rPr>
          <w:bCs/>
          <w:rtl/>
          <w:lang w:eastAsia="zh-TW"/>
        </w:rPr>
        <w:t>أن تقدم</w:t>
      </w:r>
      <w:r w:rsidR="00832493" w:rsidRPr="00DE3353">
        <w:rPr>
          <w:bCs/>
          <w:rtl/>
          <w:lang w:eastAsia="zh-TW"/>
        </w:rPr>
        <w:t xml:space="preserve"> معلومات مفصلة في تقريرها الدوري المقبل عن عدد الشكاوى المقدمة من العمال الأجانب وعدد زيارات التفتيش وال</w:t>
      </w:r>
      <w:r w:rsidR="00832493">
        <w:rPr>
          <w:bCs/>
          <w:rtl/>
          <w:lang w:eastAsia="zh-TW"/>
        </w:rPr>
        <w:t>ملاحقات القضائية</w:t>
      </w:r>
      <w:r w:rsidR="00832493" w:rsidRPr="00DE3353">
        <w:rPr>
          <w:bCs/>
          <w:rtl/>
          <w:lang w:eastAsia="zh-TW"/>
        </w:rPr>
        <w:t xml:space="preserve"> والمحاكمات والإدانات النا</w:t>
      </w:r>
      <w:r w:rsidR="00832493">
        <w:rPr>
          <w:bCs/>
          <w:rtl/>
          <w:lang w:eastAsia="zh-TW"/>
        </w:rPr>
        <w:t xml:space="preserve">شئة </w:t>
      </w:r>
      <w:r w:rsidR="00832493" w:rsidRPr="00DE3353">
        <w:rPr>
          <w:bCs/>
          <w:rtl/>
          <w:lang w:eastAsia="zh-TW"/>
        </w:rPr>
        <w:t>عن هذه الشكاوى، فضل</w:t>
      </w:r>
      <w:r w:rsidR="00003270">
        <w:rPr>
          <w:bCs/>
          <w:rtl/>
          <w:lang w:eastAsia="zh-TW"/>
        </w:rPr>
        <w:t xml:space="preserve">اً </w:t>
      </w:r>
      <w:r w:rsidR="00832493" w:rsidRPr="00DE3353">
        <w:rPr>
          <w:bCs/>
          <w:rtl/>
          <w:lang w:eastAsia="zh-TW"/>
        </w:rPr>
        <w:t>عن التعويضات المقدمة إلى الضحايا.</w:t>
      </w:r>
    </w:p>
    <w:p w:rsidR="00832493" w:rsidRPr="00832008" w:rsidRDefault="009F545A" w:rsidP="00832493">
      <w:pPr>
        <w:pStyle w:val="H23GA"/>
        <w:rPr>
          <w:rtl/>
        </w:rPr>
      </w:pPr>
      <w:r>
        <w:rPr>
          <w:rtl/>
        </w:rPr>
        <w:tab/>
      </w:r>
      <w:r>
        <w:rPr>
          <w:rtl/>
        </w:rPr>
        <w:tab/>
      </w:r>
      <w:r w:rsidR="00832493" w:rsidRPr="00536551">
        <w:rPr>
          <w:rtl/>
        </w:rPr>
        <w:t>التمييز في العمالة</w:t>
      </w:r>
    </w:p>
    <w:p w:rsidR="00832493" w:rsidRDefault="00832493" w:rsidP="00832493">
      <w:pPr>
        <w:pStyle w:val="SingleTxtGA"/>
        <w:rPr>
          <w:u w:val="single"/>
          <w:rtl/>
          <w:lang w:bidi="ar-DZ"/>
        </w:rPr>
      </w:pPr>
      <w:r>
        <w:rPr>
          <w:rtl/>
          <w:lang w:eastAsia="zh-TW"/>
        </w:rPr>
        <w:t>١٧-</w:t>
      </w:r>
      <w:r w:rsidR="009F545A">
        <w:rPr>
          <w:rtl/>
          <w:lang w:eastAsia="zh-TW"/>
        </w:rPr>
        <w:tab/>
      </w:r>
      <w:r>
        <w:rPr>
          <w:rtl/>
          <w:lang w:eastAsia="zh-TW"/>
        </w:rPr>
        <w:t xml:space="preserve">تلاحظ اللجنة أن المرسوم بقانون اتحادي رقم ٢ لسنة ٢٠١٥ بشأن مكافحة التمييز والكراهية يتضمن بعض المواد التي تفرض عقوبات على التمييز في العمالة، لكنها تعرب عن قلقها إزاء عدم وجود معلومات عن تنفيذ تلك الأحكام المتعلقة بمنع التمييز العنصري في مكان العمل وتأثيرها. وتشعر </w:t>
      </w:r>
      <w:r w:rsidRPr="007B5DF7">
        <w:rPr>
          <w:rtl/>
          <w:lang w:eastAsia="zh-TW"/>
        </w:rPr>
        <w:t>اللجنة بالقلق أيض</w:t>
      </w:r>
      <w:r w:rsidR="00003270">
        <w:rPr>
          <w:rtl/>
          <w:lang w:eastAsia="zh-TW"/>
        </w:rPr>
        <w:t xml:space="preserve">اً </w:t>
      </w:r>
      <w:r w:rsidRPr="007B5DF7">
        <w:rPr>
          <w:rtl/>
          <w:lang w:eastAsia="zh-TW"/>
        </w:rPr>
        <w:t>إزاء ورود تقارير عن ال</w:t>
      </w:r>
      <w:r>
        <w:rPr>
          <w:rtl/>
          <w:lang w:eastAsia="zh-TW"/>
        </w:rPr>
        <w:t>فوارق في الأجور</w:t>
      </w:r>
      <w:r w:rsidRPr="007B5DF7">
        <w:rPr>
          <w:rtl/>
          <w:lang w:eastAsia="zh-TW"/>
        </w:rPr>
        <w:t xml:space="preserve"> بين العمال الأجانب من مختلف المناطق الجغرافية</w:t>
      </w:r>
      <w:r>
        <w:rPr>
          <w:rtl/>
          <w:lang w:eastAsia="zh-TW"/>
        </w:rPr>
        <w:t xml:space="preserve"> (المادة ٥).</w:t>
      </w:r>
    </w:p>
    <w:p w:rsidR="00832493" w:rsidRPr="002F061A" w:rsidRDefault="00832493" w:rsidP="00832493">
      <w:pPr>
        <w:pStyle w:val="SingleTxtGA"/>
        <w:rPr>
          <w:rtl/>
          <w:lang w:eastAsia="zh-TW"/>
        </w:rPr>
      </w:pPr>
      <w:r>
        <w:rPr>
          <w:rtl/>
          <w:lang w:eastAsia="zh-TW"/>
        </w:rPr>
        <w:t>١٨-</w:t>
      </w:r>
      <w:r w:rsidR="009F545A">
        <w:rPr>
          <w:rtl/>
          <w:lang w:eastAsia="zh-TW"/>
        </w:rPr>
        <w:tab/>
      </w:r>
      <w:r w:rsidRPr="00516F89">
        <w:rPr>
          <w:bCs/>
          <w:rtl/>
          <w:lang w:eastAsia="zh-TW"/>
        </w:rPr>
        <w:t xml:space="preserve">تطلب اللجنة إلى الدولة الطرف </w:t>
      </w:r>
      <w:r>
        <w:rPr>
          <w:bCs/>
          <w:rtl/>
          <w:lang w:eastAsia="zh-TW"/>
        </w:rPr>
        <w:t>أن تقد</w:t>
      </w:r>
      <w:r w:rsidRPr="00516F89">
        <w:rPr>
          <w:bCs/>
          <w:rtl/>
          <w:lang w:eastAsia="zh-TW"/>
        </w:rPr>
        <w:t xml:space="preserve">م في تقريرها الدوري المقبل معلومات مفصلة عن تأثير التشريعات وتنفيذها من أجل منع التمييز في العمالة وفي مكان العمل. </w:t>
      </w:r>
      <w:r>
        <w:rPr>
          <w:bCs/>
          <w:rtl/>
          <w:lang w:eastAsia="zh-TW"/>
        </w:rPr>
        <w:t>و</w:t>
      </w:r>
      <w:r w:rsidRPr="00516F89">
        <w:rPr>
          <w:bCs/>
          <w:rtl/>
          <w:lang w:eastAsia="zh-TW"/>
        </w:rPr>
        <w:t>توصي اللجنة الدولة الطرف ب</w:t>
      </w:r>
      <w:r>
        <w:rPr>
          <w:bCs/>
          <w:rtl/>
          <w:lang w:eastAsia="zh-TW"/>
        </w:rPr>
        <w:t>أن تنف</w:t>
      </w:r>
      <w:r w:rsidRPr="00516F89">
        <w:rPr>
          <w:bCs/>
          <w:rtl/>
          <w:lang w:eastAsia="zh-TW"/>
        </w:rPr>
        <w:t xml:space="preserve">ذ التشريعات </w:t>
      </w:r>
      <w:r w:rsidRPr="00B734C1">
        <w:rPr>
          <w:bCs/>
          <w:rtl/>
          <w:lang w:eastAsia="zh-TW"/>
        </w:rPr>
        <w:t>القائمة ب</w:t>
      </w:r>
      <w:r>
        <w:rPr>
          <w:bCs/>
          <w:rtl/>
          <w:lang w:eastAsia="zh-TW"/>
        </w:rPr>
        <w:t>حزم</w:t>
      </w:r>
      <w:r w:rsidRPr="00B734C1">
        <w:rPr>
          <w:bCs/>
          <w:rtl/>
          <w:lang w:eastAsia="zh-TW"/>
        </w:rPr>
        <w:t xml:space="preserve"> بهدف القضاء على </w:t>
      </w:r>
      <w:r>
        <w:rPr>
          <w:bCs/>
          <w:rtl/>
          <w:lang w:eastAsia="zh-TW"/>
        </w:rPr>
        <w:t>الفروق التمييزية</w:t>
      </w:r>
      <w:r w:rsidRPr="00B734C1">
        <w:rPr>
          <w:bCs/>
          <w:rtl/>
          <w:lang w:eastAsia="zh-TW"/>
        </w:rPr>
        <w:t xml:space="preserve"> في الأجور التي قد تكون قائمة على الأصل </w:t>
      </w:r>
      <w:proofErr w:type="spellStart"/>
      <w:r w:rsidRPr="00B734C1">
        <w:rPr>
          <w:bCs/>
          <w:rtl/>
          <w:lang w:eastAsia="zh-TW"/>
        </w:rPr>
        <w:t>الإثني</w:t>
      </w:r>
      <w:proofErr w:type="spellEnd"/>
      <w:r w:rsidRPr="00B734C1">
        <w:rPr>
          <w:bCs/>
          <w:rtl/>
          <w:lang w:eastAsia="zh-TW"/>
        </w:rPr>
        <w:t xml:space="preserve"> والقومي، تمشي</w:t>
      </w:r>
      <w:r w:rsidR="00003270">
        <w:rPr>
          <w:bCs/>
          <w:rtl/>
          <w:lang w:eastAsia="zh-TW"/>
        </w:rPr>
        <w:t xml:space="preserve">اً </w:t>
      </w:r>
      <w:r w:rsidRPr="00B734C1">
        <w:rPr>
          <w:bCs/>
          <w:rtl/>
          <w:lang w:eastAsia="zh-TW"/>
        </w:rPr>
        <w:t>مع المادة ٥ من الاتفاقية</w:t>
      </w:r>
      <w:r>
        <w:rPr>
          <w:rtl/>
          <w:lang w:eastAsia="zh-TW"/>
        </w:rPr>
        <w:t xml:space="preserve">. </w:t>
      </w:r>
    </w:p>
    <w:p w:rsidR="00832493" w:rsidRPr="00FD2990" w:rsidRDefault="009F545A" w:rsidP="00832493">
      <w:pPr>
        <w:pStyle w:val="H23GA"/>
        <w:rPr>
          <w:rtl/>
        </w:rPr>
      </w:pPr>
      <w:r>
        <w:rPr>
          <w:rtl/>
        </w:rPr>
        <w:tab/>
      </w:r>
      <w:r>
        <w:rPr>
          <w:rtl/>
        </w:rPr>
        <w:tab/>
      </w:r>
      <w:r w:rsidR="00832493" w:rsidRPr="00FD2990">
        <w:rPr>
          <w:rtl/>
        </w:rPr>
        <w:t>نظــام الكفالـــة</w:t>
      </w:r>
    </w:p>
    <w:p w:rsidR="00832493" w:rsidRPr="00832008" w:rsidRDefault="00832493" w:rsidP="003400DF">
      <w:pPr>
        <w:pStyle w:val="SingleTxtGA"/>
        <w:rPr>
          <w:rtl/>
          <w:lang w:eastAsia="zh-TW"/>
        </w:rPr>
      </w:pPr>
      <w:r>
        <w:rPr>
          <w:rtl/>
          <w:lang w:eastAsia="zh-TW"/>
        </w:rPr>
        <w:t>١٩-</w:t>
      </w:r>
      <w:r w:rsidR="009F545A">
        <w:rPr>
          <w:rtl/>
          <w:lang w:eastAsia="zh-TW"/>
        </w:rPr>
        <w:tab/>
      </w:r>
      <w:r>
        <w:rPr>
          <w:rtl/>
          <w:lang w:eastAsia="zh-TW"/>
        </w:rPr>
        <w:t>ترحب اللجنة باعتماد وزارة العمل مؤخراً تدابير، مثل ما</w:t>
      </w:r>
      <w:r>
        <w:rPr>
          <w:rFonts w:hint="cs"/>
          <w:rtl/>
          <w:lang w:eastAsia="zh-TW"/>
        </w:rPr>
        <w:t xml:space="preserve"> </w:t>
      </w:r>
      <w:r>
        <w:rPr>
          <w:rtl/>
          <w:lang w:eastAsia="zh-TW"/>
        </w:rPr>
        <w:t>يلي: (أ) القرار رقم</w:t>
      </w:r>
      <w:r w:rsidR="003400DF">
        <w:rPr>
          <w:rFonts w:hint="eastAsia"/>
          <w:rtl/>
          <w:lang w:eastAsia="zh-TW"/>
        </w:rPr>
        <w:t> </w:t>
      </w:r>
      <w:r>
        <w:rPr>
          <w:rtl/>
          <w:lang w:eastAsia="zh-TW"/>
        </w:rPr>
        <w:t>٧٦٦/2015 الذي ألغت بموجبه القرار رقم 1186/2010 و(ب) القرار رقم</w:t>
      </w:r>
      <w:r>
        <w:rPr>
          <w:rFonts w:hint="cs"/>
          <w:rtl/>
          <w:lang w:eastAsia="zh-TW"/>
        </w:rPr>
        <w:t> </w:t>
      </w:r>
      <w:r>
        <w:rPr>
          <w:rtl/>
          <w:lang w:eastAsia="zh-TW"/>
        </w:rPr>
        <w:t xml:space="preserve">١٠٩٤/2016 الذي عدّلت بموجبه القرار رقم 766/2015 بشأن منح العامل تصريح عمل جديد للانتقال من منشأة إلى أخرى. غير أنها تشعر بالقلق لأن الثغرات القائمة في مجال حماية العمال الأجانب في إطار نظام الكفالة الذي يحكم العلاقة التعاقدية لا تزال قائمة. </w:t>
      </w:r>
      <w:r>
        <w:rPr>
          <w:rtl/>
          <w:lang w:eastAsia="zh-TW"/>
        </w:rPr>
        <w:lastRenderedPageBreak/>
        <w:t>وتأسف اللجنة أيض</w:t>
      </w:r>
      <w:r w:rsidR="00003270">
        <w:rPr>
          <w:rtl/>
          <w:lang w:eastAsia="zh-TW"/>
        </w:rPr>
        <w:t xml:space="preserve">اً </w:t>
      </w:r>
      <w:r w:rsidRPr="00E50298">
        <w:rPr>
          <w:rtl/>
          <w:lang w:eastAsia="zh-TW"/>
        </w:rPr>
        <w:t>لعدم وجود معلومات عن التنفيذ الفعال لتدابير الحماية وتأثير هذه التدابير</w:t>
      </w:r>
      <w:r>
        <w:rPr>
          <w:rtl/>
          <w:lang w:eastAsia="zh-TW"/>
        </w:rPr>
        <w:t xml:space="preserve"> (المادتان ٥ و٦). </w:t>
      </w:r>
    </w:p>
    <w:p w:rsidR="00832493" w:rsidRPr="00AD6A69" w:rsidRDefault="00832493" w:rsidP="00832493">
      <w:pPr>
        <w:pStyle w:val="SingleTxtGA"/>
        <w:rPr>
          <w:rtl/>
          <w:lang w:eastAsia="zh-TW"/>
        </w:rPr>
      </w:pPr>
      <w:r>
        <w:rPr>
          <w:rtl/>
          <w:lang w:eastAsia="zh-TW"/>
        </w:rPr>
        <w:t>٢٠-</w:t>
      </w:r>
      <w:r w:rsidR="009F545A">
        <w:rPr>
          <w:rtl/>
          <w:lang w:eastAsia="zh-TW"/>
        </w:rPr>
        <w:tab/>
      </w:r>
      <w:r w:rsidRPr="00516F89">
        <w:rPr>
          <w:bCs/>
          <w:rtl/>
          <w:lang w:eastAsia="zh-TW"/>
        </w:rPr>
        <w:t>توصي اللجنة الدولة الطرف ب</w:t>
      </w:r>
      <w:r>
        <w:rPr>
          <w:bCs/>
          <w:rtl/>
          <w:lang w:eastAsia="zh-TW"/>
        </w:rPr>
        <w:t>أن تنهي نظام الكفالة وتنظ</w:t>
      </w:r>
      <w:r w:rsidRPr="00516F89">
        <w:rPr>
          <w:bCs/>
          <w:rtl/>
          <w:lang w:eastAsia="zh-TW"/>
        </w:rPr>
        <w:t xml:space="preserve">م تصاريح الإقامة عن طريق وزاراتها. وتوصي اللجنة </w:t>
      </w:r>
      <w:r>
        <w:rPr>
          <w:bCs/>
          <w:rtl/>
          <w:lang w:eastAsia="zh-TW"/>
        </w:rPr>
        <w:t xml:space="preserve">الدولة الطرف </w:t>
      </w:r>
      <w:r w:rsidRPr="00516F89">
        <w:rPr>
          <w:bCs/>
          <w:rtl/>
          <w:lang w:eastAsia="zh-TW"/>
        </w:rPr>
        <w:t>كذلك</w:t>
      </w:r>
      <w:r>
        <w:rPr>
          <w:bCs/>
          <w:rtl/>
          <w:lang w:eastAsia="zh-TW"/>
        </w:rPr>
        <w:t xml:space="preserve"> بأن تنفذ</w:t>
      </w:r>
      <w:r w:rsidRPr="00516F89">
        <w:rPr>
          <w:bCs/>
          <w:rtl/>
          <w:lang w:eastAsia="zh-TW"/>
        </w:rPr>
        <w:t xml:space="preserve"> السياسات والتدابير التي تحمي العمال الأجانب </w:t>
      </w:r>
      <w:r>
        <w:rPr>
          <w:bCs/>
          <w:rtl/>
          <w:lang w:eastAsia="zh-TW"/>
        </w:rPr>
        <w:t>الخاضعين حالي</w:t>
      </w:r>
      <w:r w:rsidR="00003270">
        <w:rPr>
          <w:bCs/>
          <w:rtl/>
          <w:lang w:eastAsia="zh-TW"/>
        </w:rPr>
        <w:t xml:space="preserve">اً </w:t>
      </w:r>
      <w:r>
        <w:rPr>
          <w:bCs/>
          <w:rtl/>
          <w:lang w:eastAsia="zh-TW"/>
        </w:rPr>
        <w:t>ل</w:t>
      </w:r>
      <w:r w:rsidRPr="00516F89">
        <w:rPr>
          <w:bCs/>
          <w:rtl/>
          <w:lang w:eastAsia="zh-TW"/>
        </w:rPr>
        <w:t>نظام الكفالة تنفيذ</w:t>
      </w:r>
      <w:r w:rsidR="00003270">
        <w:rPr>
          <w:bCs/>
          <w:rtl/>
          <w:lang w:eastAsia="zh-TW"/>
        </w:rPr>
        <w:t xml:space="preserve">اً </w:t>
      </w:r>
      <w:r w:rsidRPr="00516F89">
        <w:rPr>
          <w:bCs/>
          <w:rtl/>
          <w:lang w:eastAsia="zh-TW"/>
        </w:rPr>
        <w:t>كامل</w:t>
      </w:r>
      <w:r w:rsidR="00003270">
        <w:rPr>
          <w:bCs/>
          <w:rtl/>
          <w:lang w:eastAsia="zh-TW"/>
        </w:rPr>
        <w:t xml:space="preserve">اً، </w:t>
      </w:r>
      <w:r w:rsidRPr="00516F89">
        <w:rPr>
          <w:bCs/>
          <w:rtl/>
          <w:lang w:eastAsia="zh-TW"/>
        </w:rPr>
        <w:t>و</w:t>
      </w:r>
      <w:r>
        <w:rPr>
          <w:bCs/>
          <w:rtl/>
          <w:lang w:eastAsia="zh-TW"/>
        </w:rPr>
        <w:t>أن تمكّن</w:t>
      </w:r>
      <w:r w:rsidRPr="00516F89">
        <w:rPr>
          <w:bCs/>
          <w:rtl/>
          <w:lang w:eastAsia="zh-TW"/>
        </w:rPr>
        <w:t xml:space="preserve"> أي عامل يتعرض </w:t>
      </w:r>
      <w:r>
        <w:rPr>
          <w:bCs/>
          <w:rtl/>
          <w:lang w:eastAsia="zh-TW"/>
        </w:rPr>
        <w:t>للإيذاء</w:t>
      </w:r>
      <w:r w:rsidRPr="00516F89">
        <w:rPr>
          <w:bCs/>
          <w:rtl/>
          <w:lang w:eastAsia="zh-TW"/>
        </w:rPr>
        <w:t xml:space="preserve"> أو للاستغلال بموجب هذا النظام، من الوصول الكامل إلى سبل انتصاف مناسبة. </w:t>
      </w:r>
      <w:r>
        <w:rPr>
          <w:bCs/>
          <w:rtl/>
          <w:lang w:eastAsia="zh-TW"/>
        </w:rPr>
        <w:t>و</w:t>
      </w:r>
      <w:r w:rsidRPr="00516F89">
        <w:rPr>
          <w:bCs/>
          <w:rtl/>
          <w:lang w:eastAsia="zh-TW"/>
        </w:rPr>
        <w:t>توصي اللجنة الدولة الطرف ب</w:t>
      </w:r>
      <w:r>
        <w:rPr>
          <w:bCs/>
          <w:rtl/>
          <w:lang w:eastAsia="zh-TW"/>
        </w:rPr>
        <w:t xml:space="preserve">أن تدرج في </w:t>
      </w:r>
      <w:r w:rsidRPr="00516F89">
        <w:rPr>
          <w:bCs/>
          <w:rtl/>
          <w:lang w:eastAsia="zh-TW"/>
        </w:rPr>
        <w:t xml:space="preserve">تقريرها الدوري </w:t>
      </w:r>
      <w:r w:rsidRPr="006B39E0">
        <w:rPr>
          <w:bCs/>
          <w:rtl/>
          <w:lang w:eastAsia="zh-TW"/>
        </w:rPr>
        <w:t xml:space="preserve">القادم معلومات مفصلة عن حالة نظام الكفالة وعن تنفيذ تدابير الحماية وتأثيرها </w:t>
      </w:r>
      <w:r>
        <w:rPr>
          <w:bCs/>
          <w:rtl/>
          <w:lang w:eastAsia="zh-TW"/>
        </w:rPr>
        <w:t>في</w:t>
      </w:r>
      <w:r w:rsidRPr="006B39E0">
        <w:rPr>
          <w:bCs/>
          <w:rtl/>
          <w:lang w:eastAsia="zh-TW"/>
        </w:rPr>
        <w:t xml:space="preserve"> حالة العمال الأجانب</w:t>
      </w:r>
      <w:r>
        <w:rPr>
          <w:rtl/>
          <w:lang w:eastAsia="zh-TW"/>
        </w:rPr>
        <w:t xml:space="preserve">. </w:t>
      </w:r>
    </w:p>
    <w:p w:rsidR="00832493" w:rsidRPr="00832008" w:rsidRDefault="009F545A" w:rsidP="00832493">
      <w:pPr>
        <w:pStyle w:val="H23GA"/>
        <w:rPr>
          <w:rtl/>
        </w:rPr>
      </w:pPr>
      <w:r>
        <w:rPr>
          <w:rtl/>
        </w:rPr>
        <w:tab/>
      </w:r>
      <w:r>
        <w:rPr>
          <w:rtl/>
        </w:rPr>
        <w:tab/>
      </w:r>
      <w:r w:rsidR="00832493" w:rsidRPr="00FD2990">
        <w:rPr>
          <w:rtl/>
        </w:rPr>
        <w:t>حالة العمال المهاجرين</w:t>
      </w:r>
    </w:p>
    <w:p w:rsidR="00832493" w:rsidRDefault="00832493" w:rsidP="00003270">
      <w:pPr>
        <w:pStyle w:val="SingleTxtGA"/>
        <w:rPr>
          <w:rtl/>
          <w:lang w:eastAsia="zh-TW"/>
        </w:rPr>
      </w:pPr>
      <w:r>
        <w:rPr>
          <w:rtl/>
          <w:lang w:eastAsia="zh-TW"/>
        </w:rPr>
        <w:t>٢١-</w:t>
      </w:r>
      <w:r w:rsidR="009F545A">
        <w:rPr>
          <w:rtl/>
          <w:lang w:eastAsia="zh-TW"/>
        </w:rPr>
        <w:tab/>
      </w:r>
      <w:r>
        <w:rPr>
          <w:rtl/>
          <w:lang w:eastAsia="zh-TW"/>
        </w:rPr>
        <w:t xml:space="preserve">تلاحظ اللجنة بتقدير الجهود التي تبذلها الدولة الطرف لتحسين حالة العمال الأجانب في الدولة الطرف، مثل الجهود الرامية إلى زيادة شفافية التوظيف ومنع استبدال العقود، ومنع المصادرة غير القانونية لجوازات السفر، وإنشاء نظم لحماية الأجور، وإجراء عمليات تفتيش </w:t>
      </w:r>
      <w:r w:rsidRPr="006B39E0">
        <w:rPr>
          <w:rtl/>
          <w:lang w:eastAsia="zh-TW"/>
        </w:rPr>
        <w:t>لضبط ساعات العمل وت</w:t>
      </w:r>
      <w:r>
        <w:rPr>
          <w:rtl/>
          <w:lang w:eastAsia="zh-TW"/>
        </w:rPr>
        <w:t>عريف</w:t>
      </w:r>
      <w:r w:rsidRPr="006B39E0">
        <w:rPr>
          <w:rtl/>
          <w:lang w:eastAsia="zh-TW"/>
        </w:rPr>
        <w:t xml:space="preserve"> العمال </w:t>
      </w:r>
      <w:r>
        <w:rPr>
          <w:rtl/>
          <w:lang w:eastAsia="zh-TW"/>
        </w:rPr>
        <w:t>ب</w:t>
      </w:r>
      <w:r w:rsidRPr="006B39E0">
        <w:rPr>
          <w:rtl/>
          <w:lang w:eastAsia="zh-TW"/>
        </w:rPr>
        <w:t>حقوقهم</w:t>
      </w:r>
      <w:r>
        <w:rPr>
          <w:rtl/>
          <w:lang w:eastAsia="zh-TW"/>
        </w:rPr>
        <w:t xml:space="preserve"> القانونية، وغير ذلك من الممارسات الجيدة. بيد أن اللجنة تشعر بالقلق لأن ممارسات العمل التعسفية، </w:t>
      </w:r>
      <w:r w:rsidRPr="006B39E0">
        <w:rPr>
          <w:rtl/>
          <w:lang w:eastAsia="zh-TW"/>
        </w:rPr>
        <w:t>مثل مصادرة جوازات</w:t>
      </w:r>
      <w:r>
        <w:rPr>
          <w:rtl/>
          <w:lang w:eastAsia="zh-TW"/>
        </w:rPr>
        <w:t xml:space="preserve"> السفر، والسجن بدون سند قانوني، وتدني ظروف العمل، وطول ساعات العمل وعدم دفع الأجور، وعدم دفع مقابل ساعات العمل الإضافي، والاستقطاعات غير القانونية من الأجور، وعدم كفاية فترات الراحة </w:t>
      </w:r>
      <w:r>
        <w:rPr>
          <w:rtl/>
          <w:lang w:eastAsia="zh-TW" w:bidi="ar-DZ"/>
        </w:rPr>
        <w:t>أ</w:t>
      </w:r>
      <w:r>
        <w:rPr>
          <w:rtl/>
          <w:lang w:eastAsia="zh-TW"/>
        </w:rPr>
        <w:t xml:space="preserve">و الانقطاع عن العمل وظروف العيش في الاكتظاظ ستظل مستمرة ضد العمال الأجانب </w:t>
      </w:r>
      <w:r w:rsidRPr="00D658D4">
        <w:rPr>
          <w:rtl/>
          <w:lang w:eastAsia="zh-TW"/>
        </w:rPr>
        <w:t xml:space="preserve">ما لم </w:t>
      </w:r>
      <w:r>
        <w:rPr>
          <w:rtl/>
          <w:lang w:eastAsia="zh-TW"/>
        </w:rPr>
        <w:t>ترصد سياسات الحماية وتدابيرها وتنفذ بانتظام. ويبدو أن العمال الأجانب لا</w:t>
      </w:r>
      <w:r w:rsidR="00003270">
        <w:rPr>
          <w:rFonts w:hint="cs"/>
          <w:rtl/>
          <w:lang w:eastAsia="zh-TW"/>
        </w:rPr>
        <w:t> </w:t>
      </w:r>
      <w:r>
        <w:rPr>
          <w:rtl/>
          <w:lang w:eastAsia="zh-TW"/>
        </w:rPr>
        <w:t xml:space="preserve">يتمتعون بحقهم في لمّ شمل الأسرة في الدولة الطرف (المادة ٥). </w:t>
      </w:r>
    </w:p>
    <w:p w:rsidR="00832493" w:rsidRPr="00516F89" w:rsidRDefault="00832493" w:rsidP="00832493">
      <w:pPr>
        <w:pStyle w:val="SingleTxtGA"/>
        <w:rPr>
          <w:bCs/>
          <w:rtl/>
          <w:lang w:eastAsia="zh-TW"/>
        </w:rPr>
      </w:pPr>
      <w:r>
        <w:rPr>
          <w:rtl/>
          <w:lang w:eastAsia="zh-TW"/>
        </w:rPr>
        <w:t>٢٢-</w:t>
      </w:r>
      <w:r w:rsidR="009F545A">
        <w:rPr>
          <w:rtl/>
          <w:lang w:eastAsia="zh-TW"/>
        </w:rPr>
        <w:tab/>
      </w:r>
      <w:r w:rsidRPr="00516F89">
        <w:rPr>
          <w:bCs/>
          <w:rtl/>
          <w:lang w:eastAsia="zh-TW"/>
        </w:rPr>
        <w:t>توصي اللجنة الدولة الطرف بما يلي:</w:t>
      </w:r>
    </w:p>
    <w:p w:rsidR="00832493" w:rsidRPr="00516F89" w:rsidRDefault="009F545A" w:rsidP="00832493">
      <w:pPr>
        <w:pStyle w:val="SingleTxtGA"/>
        <w:rPr>
          <w:bCs/>
          <w:rtl/>
          <w:lang w:eastAsia="zh-TW"/>
        </w:rPr>
      </w:pPr>
      <w:r>
        <w:rPr>
          <w:bCs/>
          <w:rtl/>
          <w:lang w:eastAsia="zh-TW"/>
        </w:rPr>
        <w:tab/>
      </w:r>
      <w:r w:rsidR="00832493" w:rsidRPr="003400DF">
        <w:rPr>
          <w:b/>
          <w:rtl/>
          <w:lang w:eastAsia="zh-TW"/>
        </w:rPr>
        <w:t>(أ)</w:t>
      </w:r>
      <w:r>
        <w:rPr>
          <w:bCs/>
          <w:rtl/>
          <w:lang w:eastAsia="zh-TW"/>
        </w:rPr>
        <w:tab/>
      </w:r>
      <w:r w:rsidR="00832493">
        <w:rPr>
          <w:bCs/>
          <w:rtl/>
          <w:lang w:eastAsia="zh-TW"/>
        </w:rPr>
        <w:t>أن تواصل</w:t>
      </w:r>
      <w:r w:rsidR="00832493" w:rsidRPr="00516F89">
        <w:rPr>
          <w:bCs/>
          <w:rtl/>
          <w:lang w:eastAsia="zh-TW"/>
        </w:rPr>
        <w:t xml:space="preserve"> جهودها من أجل س</w:t>
      </w:r>
      <w:r w:rsidR="00832493">
        <w:rPr>
          <w:bCs/>
          <w:rtl/>
          <w:lang w:eastAsia="zh-TW"/>
        </w:rPr>
        <w:t>ّ</w:t>
      </w:r>
      <w:r w:rsidR="00832493" w:rsidRPr="00516F89">
        <w:rPr>
          <w:bCs/>
          <w:rtl/>
          <w:lang w:eastAsia="zh-TW"/>
        </w:rPr>
        <w:t>ن قوانين لحماية العمال الأجانب من ممارسات العمل الاستغلالي</w:t>
      </w:r>
      <w:r w:rsidR="00832493">
        <w:rPr>
          <w:bCs/>
          <w:rtl/>
          <w:lang w:eastAsia="zh-TW"/>
        </w:rPr>
        <w:t>ة</w:t>
      </w:r>
      <w:r w:rsidR="00832493" w:rsidRPr="00516F89">
        <w:rPr>
          <w:bCs/>
          <w:rtl/>
          <w:lang w:eastAsia="zh-TW"/>
        </w:rPr>
        <w:t>؛</w:t>
      </w:r>
    </w:p>
    <w:p w:rsidR="00832493" w:rsidRPr="00516F89" w:rsidRDefault="009F545A" w:rsidP="00832493">
      <w:pPr>
        <w:pStyle w:val="SingleTxtGA"/>
        <w:rPr>
          <w:bCs/>
          <w:rtl/>
          <w:lang w:eastAsia="zh-TW"/>
        </w:rPr>
      </w:pPr>
      <w:r>
        <w:rPr>
          <w:b/>
          <w:rtl/>
          <w:lang w:eastAsia="zh-TW"/>
        </w:rPr>
        <w:tab/>
      </w:r>
      <w:r w:rsidR="00832493" w:rsidRPr="003400DF">
        <w:rPr>
          <w:b/>
          <w:rtl/>
          <w:lang w:eastAsia="zh-TW"/>
        </w:rPr>
        <w:t>(ب)</w:t>
      </w:r>
      <w:r>
        <w:rPr>
          <w:bCs/>
          <w:rtl/>
          <w:lang w:eastAsia="zh-TW"/>
        </w:rPr>
        <w:tab/>
      </w:r>
      <w:r w:rsidR="00832493">
        <w:rPr>
          <w:bCs/>
          <w:rtl/>
          <w:lang w:eastAsia="zh-TW"/>
        </w:rPr>
        <w:t>أن تضمن إجراء عمليات تفتيش من جانب موظفين مؤهلين بطريقة فعالة</w:t>
      </w:r>
      <w:r w:rsidR="00832493" w:rsidRPr="00516F89">
        <w:rPr>
          <w:bCs/>
          <w:rtl/>
          <w:lang w:eastAsia="zh-TW"/>
        </w:rPr>
        <w:t xml:space="preserve"> لتحديد الممارسات التعسفية ووضع حد لها؛ </w:t>
      </w:r>
    </w:p>
    <w:p w:rsidR="00832493" w:rsidRPr="00C47AC1" w:rsidRDefault="009F545A" w:rsidP="00832493">
      <w:pPr>
        <w:pStyle w:val="SingleTxtGA"/>
        <w:rPr>
          <w:rtl/>
          <w:lang w:eastAsia="zh-TW"/>
        </w:rPr>
      </w:pPr>
      <w:r>
        <w:rPr>
          <w:b/>
          <w:rtl/>
          <w:lang w:eastAsia="zh-TW"/>
        </w:rPr>
        <w:tab/>
      </w:r>
      <w:r w:rsidR="00832493" w:rsidRPr="003400DF">
        <w:rPr>
          <w:b/>
          <w:rtl/>
          <w:lang w:eastAsia="zh-TW"/>
        </w:rPr>
        <w:t>(ج)</w:t>
      </w:r>
      <w:r>
        <w:rPr>
          <w:b/>
          <w:rtl/>
          <w:lang w:eastAsia="zh-TW"/>
        </w:rPr>
        <w:tab/>
      </w:r>
      <w:r w:rsidR="00832493">
        <w:rPr>
          <w:bCs/>
          <w:rtl/>
          <w:lang w:eastAsia="zh-TW"/>
        </w:rPr>
        <w:t>أن تقد</w:t>
      </w:r>
      <w:r w:rsidR="00832493" w:rsidRPr="00516F89">
        <w:rPr>
          <w:bCs/>
          <w:rtl/>
          <w:lang w:eastAsia="zh-TW"/>
        </w:rPr>
        <w:t>م في تقريرها الدوري المقبل معلومات مفصلة عن تأثير السياسات والتدابير الرامية إلى حماية العمال الأجانب من ممارسات العمل الاستغلالي</w:t>
      </w:r>
      <w:r w:rsidR="00832493">
        <w:rPr>
          <w:bCs/>
          <w:rtl/>
          <w:lang w:eastAsia="zh-TW"/>
        </w:rPr>
        <w:t>ة</w:t>
      </w:r>
      <w:r w:rsidR="00832493">
        <w:rPr>
          <w:rtl/>
          <w:lang w:eastAsia="zh-TW"/>
        </w:rPr>
        <w:t>؛</w:t>
      </w:r>
    </w:p>
    <w:p w:rsidR="00832493" w:rsidRPr="00C47AC1" w:rsidRDefault="009F545A" w:rsidP="00832493">
      <w:pPr>
        <w:pStyle w:val="SingleTxtGA"/>
        <w:rPr>
          <w:rtl/>
          <w:lang w:eastAsia="zh-TW"/>
        </w:rPr>
      </w:pPr>
      <w:r>
        <w:rPr>
          <w:b/>
          <w:rtl/>
          <w:lang w:eastAsia="zh-TW"/>
        </w:rPr>
        <w:tab/>
      </w:r>
      <w:r w:rsidR="00832493" w:rsidRPr="003400DF">
        <w:rPr>
          <w:b/>
          <w:rtl/>
          <w:lang w:eastAsia="zh-TW"/>
        </w:rPr>
        <w:t>(د)</w:t>
      </w:r>
      <w:r>
        <w:rPr>
          <w:bCs/>
          <w:rtl/>
          <w:lang w:eastAsia="zh-TW"/>
        </w:rPr>
        <w:tab/>
      </w:r>
      <w:r w:rsidR="00832493">
        <w:rPr>
          <w:bCs/>
          <w:rtl/>
          <w:lang w:eastAsia="zh-TW"/>
        </w:rPr>
        <w:t>أن تضمن</w:t>
      </w:r>
      <w:r w:rsidR="00832493" w:rsidRPr="00516F89">
        <w:rPr>
          <w:bCs/>
          <w:rtl/>
          <w:lang w:eastAsia="zh-TW"/>
        </w:rPr>
        <w:t xml:space="preserve"> حق العمال الأجانب في لم شمل أسرهم</w:t>
      </w:r>
      <w:r w:rsidR="00832493">
        <w:rPr>
          <w:rtl/>
          <w:lang w:eastAsia="zh-TW"/>
        </w:rPr>
        <w:t xml:space="preserve">. </w:t>
      </w:r>
    </w:p>
    <w:p w:rsidR="00832493" w:rsidRPr="00832008" w:rsidRDefault="009F545A" w:rsidP="00832493">
      <w:pPr>
        <w:pStyle w:val="H23GA"/>
        <w:rPr>
          <w:rtl/>
        </w:rPr>
      </w:pPr>
      <w:r>
        <w:rPr>
          <w:rtl/>
        </w:rPr>
        <w:tab/>
      </w:r>
      <w:r>
        <w:rPr>
          <w:rtl/>
        </w:rPr>
        <w:tab/>
      </w:r>
      <w:r w:rsidR="00832493" w:rsidRPr="00FD2990">
        <w:rPr>
          <w:rtl/>
        </w:rPr>
        <w:t>المعاشات التقاعدية للعمال المهاجرين</w:t>
      </w:r>
    </w:p>
    <w:p w:rsidR="00832493" w:rsidRDefault="00832493" w:rsidP="00832493">
      <w:pPr>
        <w:pStyle w:val="SingleTxtGA"/>
        <w:rPr>
          <w:rtl/>
          <w:lang w:eastAsia="zh-TW"/>
        </w:rPr>
      </w:pPr>
      <w:r>
        <w:rPr>
          <w:rtl/>
          <w:lang w:eastAsia="zh-TW"/>
        </w:rPr>
        <w:t>٢٣-</w:t>
      </w:r>
      <w:r w:rsidR="009F545A">
        <w:rPr>
          <w:rtl/>
          <w:lang w:eastAsia="zh-TW"/>
        </w:rPr>
        <w:tab/>
      </w:r>
      <w:r>
        <w:rPr>
          <w:rtl/>
          <w:lang w:eastAsia="zh-TW"/>
        </w:rPr>
        <w:t>تلاحظ اللجنة أن الدولة الطرف تعد واحدة من أكثر الوجهات جذب</w:t>
      </w:r>
      <w:r w:rsidR="00003270">
        <w:rPr>
          <w:rtl/>
          <w:lang w:eastAsia="zh-TW"/>
        </w:rPr>
        <w:t xml:space="preserve">اً </w:t>
      </w:r>
      <w:r>
        <w:rPr>
          <w:rtl/>
          <w:lang w:eastAsia="zh-TW"/>
        </w:rPr>
        <w:t xml:space="preserve">للعمال الأجانب، وهي ثالث أعلى مصدر للتحويلات الأجنبية التي يقوم بها عمال متعاقدون أجانب من أكثر من 200 جنسية مختلفة (انظر </w:t>
      </w:r>
      <w:r>
        <w:rPr>
          <w:lang w:eastAsia="zh-TW"/>
        </w:rPr>
        <w:t>CERD/C/ARE/18-21</w:t>
      </w:r>
      <w:r>
        <w:rPr>
          <w:rtl/>
          <w:lang w:eastAsia="zh-TW"/>
        </w:rPr>
        <w:t xml:space="preserve">، الفقرتان 21 و94). بيد أن اللجنة تشعر بالقلق لأن العمال الأجانب الذين يعودون إلى بلدانهم الأصلية </w:t>
      </w:r>
      <w:r w:rsidRPr="006F1BF8">
        <w:rPr>
          <w:rtl/>
          <w:lang w:eastAsia="zh-TW"/>
        </w:rPr>
        <w:t xml:space="preserve">قد لا </w:t>
      </w:r>
      <w:r>
        <w:rPr>
          <w:rtl/>
          <w:lang w:eastAsia="zh-TW"/>
        </w:rPr>
        <w:t>يحق لهم</w:t>
      </w:r>
      <w:r w:rsidRPr="006F1BF8">
        <w:rPr>
          <w:rtl/>
          <w:lang w:eastAsia="zh-TW"/>
        </w:rPr>
        <w:t xml:space="preserve"> الحصول</w:t>
      </w:r>
      <w:r>
        <w:rPr>
          <w:rtl/>
          <w:lang w:eastAsia="zh-TW"/>
        </w:rPr>
        <w:t xml:space="preserve"> على معاشات تقاعدية حتى بعد فترات طويلة من الخدمة. </w:t>
      </w:r>
    </w:p>
    <w:p w:rsidR="00832493" w:rsidRPr="001C0EC0" w:rsidRDefault="00832493" w:rsidP="00832493">
      <w:pPr>
        <w:pStyle w:val="SingleTxtGA"/>
        <w:rPr>
          <w:rtl/>
          <w:lang w:eastAsia="zh-TW"/>
        </w:rPr>
      </w:pPr>
      <w:r>
        <w:rPr>
          <w:rtl/>
          <w:lang w:eastAsia="zh-TW"/>
        </w:rPr>
        <w:lastRenderedPageBreak/>
        <w:t>٢٤-</w:t>
      </w:r>
      <w:r w:rsidR="009F545A">
        <w:rPr>
          <w:rtl/>
          <w:lang w:eastAsia="zh-TW"/>
        </w:rPr>
        <w:tab/>
      </w:r>
      <w:r w:rsidRPr="00516F89">
        <w:rPr>
          <w:bCs/>
          <w:rtl/>
          <w:lang w:eastAsia="zh-TW"/>
        </w:rPr>
        <w:t xml:space="preserve">توصي اللجنة الدولة الطرف بالنظر في جدوى إنشاء نظام تديره الدولة لمعاشات </w:t>
      </w:r>
      <w:r>
        <w:rPr>
          <w:bCs/>
          <w:rtl/>
          <w:lang w:eastAsia="zh-TW"/>
        </w:rPr>
        <w:t>العمال الأجانب التقاعدية</w:t>
      </w:r>
      <w:r w:rsidRPr="00516F89">
        <w:rPr>
          <w:bCs/>
          <w:rtl/>
          <w:lang w:eastAsia="zh-TW"/>
        </w:rPr>
        <w:t xml:space="preserve">، </w:t>
      </w:r>
      <w:r>
        <w:rPr>
          <w:bCs/>
          <w:rtl/>
          <w:lang w:eastAsia="zh-TW"/>
        </w:rPr>
        <w:t>و</w:t>
      </w:r>
      <w:r w:rsidRPr="00516F89">
        <w:rPr>
          <w:bCs/>
          <w:rtl/>
          <w:lang w:eastAsia="zh-TW"/>
        </w:rPr>
        <w:t xml:space="preserve">ربما يموله </w:t>
      </w:r>
      <w:r>
        <w:rPr>
          <w:bCs/>
          <w:rtl/>
          <w:lang w:eastAsia="zh-TW"/>
        </w:rPr>
        <w:t>أصحاب</w:t>
      </w:r>
      <w:r w:rsidRPr="00516F89">
        <w:rPr>
          <w:bCs/>
          <w:rtl/>
          <w:lang w:eastAsia="zh-TW"/>
        </w:rPr>
        <w:t xml:space="preserve"> العمل والموظفون على أساس طول مدة الخدمة و</w:t>
      </w:r>
      <w:r>
        <w:rPr>
          <w:bCs/>
          <w:rtl/>
          <w:lang w:eastAsia="zh-TW"/>
        </w:rPr>
        <w:t>م</w:t>
      </w:r>
      <w:r w:rsidRPr="00516F89">
        <w:rPr>
          <w:bCs/>
          <w:rtl/>
          <w:lang w:eastAsia="zh-TW"/>
        </w:rPr>
        <w:t>عايير أخرى ذات صلة</w:t>
      </w:r>
      <w:r>
        <w:rPr>
          <w:rtl/>
          <w:lang w:eastAsia="zh-TW"/>
        </w:rPr>
        <w:t xml:space="preserve">. </w:t>
      </w:r>
    </w:p>
    <w:p w:rsidR="00832493" w:rsidRPr="00FD2990" w:rsidRDefault="009F545A" w:rsidP="00832493">
      <w:pPr>
        <w:pStyle w:val="H23GA"/>
        <w:rPr>
          <w:rtl/>
        </w:rPr>
      </w:pPr>
      <w:r>
        <w:rPr>
          <w:rtl/>
        </w:rPr>
        <w:tab/>
      </w:r>
      <w:r>
        <w:rPr>
          <w:rtl/>
        </w:rPr>
        <w:tab/>
      </w:r>
      <w:r w:rsidR="00832493" w:rsidRPr="00FD2990">
        <w:rPr>
          <w:rtl/>
        </w:rPr>
        <w:t>حماية العمّال المنزليين الأجانب</w:t>
      </w:r>
    </w:p>
    <w:p w:rsidR="00832493" w:rsidRPr="00832008" w:rsidRDefault="00832493" w:rsidP="00003270">
      <w:pPr>
        <w:pStyle w:val="SingleTxtGA"/>
        <w:rPr>
          <w:rtl/>
          <w:lang w:eastAsia="zh-TW"/>
        </w:rPr>
      </w:pPr>
      <w:r>
        <w:rPr>
          <w:rtl/>
          <w:lang w:eastAsia="zh-TW"/>
        </w:rPr>
        <w:t>٢٥-</w:t>
      </w:r>
      <w:r w:rsidR="009F545A">
        <w:rPr>
          <w:rtl/>
          <w:lang w:eastAsia="zh-TW"/>
        </w:rPr>
        <w:tab/>
      </w:r>
      <w:r>
        <w:rPr>
          <w:rtl/>
          <w:lang w:eastAsia="zh-TW"/>
        </w:rPr>
        <w:t>يساور اللجنة القلق من أن العمال المنزليين، ومعظمهم من النساء الأجنبيات، لا</w:t>
      </w:r>
      <w:r w:rsidR="00003270">
        <w:rPr>
          <w:rFonts w:hint="cs"/>
          <w:rtl/>
          <w:lang w:eastAsia="zh-TW"/>
        </w:rPr>
        <w:t> </w:t>
      </w:r>
      <w:r>
        <w:rPr>
          <w:rtl/>
          <w:lang w:eastAsia="zh-TW"/>
        </w:rPr>
        <w:t xml:space="preserve">يتمتعون بالحماية بموجب قوانين العمل الوطنية. وتشعر اللجنة بالقلق كذلك إزاء التقارير التي تفيد بأن العمال المنزليين الأجانب يعانون من عدم دفع أجورهم ومن طول أيام العمل بدون الحصول على ما يكفي من أيام الإجازة أو فترات الراحة، والقيود المفروضة على حرية التنقل، وفي بعض الحالات، الاستغلال الجنسي من جانب </w:t>
      </w:r>
      <w:r w:rsidRPr="00182099">
        <w:rPr>
          <w:rtl/>
          <w:lang w:eastAsia="zh-TW"/>
        </w:rPr>
        <w:t>أ</w:t>
      </w:r>
      <w:r>
        <w:rPr>
          <w:rtl/>
          <w:lang w:eastAsia="zh-TW"/>
        </w:rPr>
        <w:t xml:space="preserve">صحاب العمل. وترحب اللجنة بالمعلومات التي قدمتها الدولة الطرف أثناء الحوار بأن </w:t>
      </w:r>
      <w:r w:rsidRPr="006F1BF8">
        <w:rPr>
          <w:rtl/>
          <w:lang w:eastAsia="zh-TW"/>
        </w:rPr>
        <w:t xml:space="preserve">مشروع القانون المتعلق بالعمال المنزليين هو </w:t>
      </w:r>
      <w:r>
        <w:rPr>
          <w:rtl/>
          <w:lang w:eastAsia="zh-TW"/>
        </w:rPr>
        <w:t xml:space="preserve">حالياً </w:t>
      </w:r>
      <w:r w:rsidRPr="006F1BF8">
        <w:rPr>
          <w:rtl/>
          <w:lang w:eastAsia="zh-TW"/>
        </w:rPr>
        <w:t xml:space="preserve">قيد </w:t>
      </w:r>
      <w:r>
        <w:rPr>
          <w:rtl/>
          <w:lang w:eastAsia="zh-TW"/>
        </w:rPr>
        <w:t xml:space="preserve">الدراسة (المادة ٥). </w:t>
      </w:r>
    </w:p>
    <w:p w:rsidR="00832493" w:rsidRPr="008A019E" w:rsidRDefault="00832493" w:rsidP="00003270">
      <w:pPr>
        <w:pStyle w:val="SingleTxtGA"/>
        <w:rPr>
          <w:rtl/>
          <w:lang w:val="fr-CH" w:eastAsia="zh-TW" w:bidi="ar-DZ"/>
        </w:rPr>
      </w:pPr>
      <w:r>
        <w:rPr>
          <w:rtl/>
          <w:lang w:eastAsia="zh-TW"/>
        </w:rPr>
        <w:t>٢٦-</w:t>
      </w:r>
      <w:r w:rsidR="009F545A">
        <w:rPr>
          <w:rtl/>
          <w:lang w:eastAsia="zh-TW"/>
        </w:rPr>
        <w:tab/>
      </w:r>
      <w:r w:rsidRPr="00516F89">
        <w:rPr>
          <w:bCs/>
          <w:rtl/>
          <w:lang w:eastAsia="zh-TW"/>
        </w:rPr>
        <w:t>تذك</w:t>
      </w:r>
      <w:r>
        <w:rPr>
          <w:bCs/>
          <w:rtl/>
          <w:lang w:eastAsia="zh-TW"/>
        </w:rPr>
        <w:t>ر اللجنة بتوصيتها العامة رقم ٢٥</w:t>
      </w:r>
      <w:r w:rsidRPr="00516F89">
        <w:rPr>
          <w:bCs/>
          <w:rtl/>
          <w:lang w:eastAsia="zh-TW"/>
        </w:rPr>
        <w:t xml:space="preserve">(2000) بشأن أبعاد التمييز العنصري المتعلقة بنوع الجنس، </w:t>
      </w:r>
      <w:r>
        <w:rPr>
          <w:bCs/>
          <w:rtl/>
          <w:lang w:eastAsia="zh-TW"/>
        </w:rPr>
        <w:t>و</w:t>
      </w:r>
      <w:r w:rsidRPr="00516F89">
        <w:rPr>
          <w:bCs/>
          <w:rtl/>
          <w:lang w:eastAsia="zh-TW"/>
        </w:rPr>
        <w:t>توصي الدولة الطرف بأن</w:t>
      </w:r>
      <w:r>
        <w:rPr>
          <w:bCs/>
          <w:rtl/>
          <w:lang w:eastAsia="zh-TW"/>
        </w:rPr>
        <w:t xml:space="preserve"> تكفل تضمين</w:t>
      </w:r>
      <w:r w:rsidRPr="00516F89">
        <w:rPr>
          <w:bCs/>
          <w:rtl/>
          <w:lang w:eastAsia="zh-TW"/>
        </w:rPr>
        <w:t xml:space="preserve"> </w:t>
      </w:r>
      <w:r w:rsidRPr="00807230">
        <w:rPr>
          <w:bCs/>
          <w:rtl/>
          <w:lang w:eastAsia="zh-TW"/>
        </w:rPr>
        <w:t xml:space="preserve">مشروع قانون حقوق العمال المنزليين لعام ٢٠١٧ </w:t>
      </w:r>
      <w:r w:rsidRPr="00516F89">
        <w:rPr>
          <w:bCs/>
          <w:rtl/>
          <w:lang w:eastAsia="zh-TW"/>
        </w:rPr>
        <w:t xml:space="preserve">أحكام حماية العمال المنزليين من </w:t>
      </w:r>
      <w:r>
        <w:rPr>
          <w:bCs/>
          <w:rtl/>
          <w:lang w:eastAsia="zh-TW"/>
        </w:rPr>
        <w:t>الإيذاء</w:t>
      </w:r>
      <w:r w:rsidRPr="00516F89">
        <w:rPr>
          <w:bCs/>
          <w:rtl/>
          <w:lang w:eastAsia="zh-TW"/>
        </w:rPr>
        <w:t xml:space="preserve"> والاستغلال في العمل، بما</w:t>
      </w:r>
      <w:r w:rsidR="00003270">
        <w:rPr>
          <w:rFonts w:hint="cs"/>
          <w:bCs/>
          <w:rtl/>
          <w:lang w:eastAsia="zh-TW"/>
        </w:rPr>
        <w:t> </w:t>
      </w:r>
      <w:r w:rsidRPr="00516F89">
        <w:rPr>
          <w:bCs/>
          <w:rtl/>
          <w:lang w:eastAsia="zh-TW"/>
        </w:rPr>
        <w:t xml:space="preserve">يتماشى مع القانون الدولي والاتفاقية، </w:t>
      </w:r>
      <w:r>
        <w:rPr>
          <w:bCs/>
          <w:rtl/>
          <w:lang w:eastAsia="zh-TW"/>
        </w:rPr>
        <w:t>وهو ما يشمل</w:t>
      </w:r>
      <w:r w:rsidRPr="00516F89">
        <w:rPr>
          <w:bCs/>
          <w:rtl/>
          <w:lang w:eastAsia="zh-TW"/>
        </w:rPr>
        <w:t xml:space="preserve"> الحماية من </w:t>
      </w:r>
      <w:r w:rsidRPr="00182099">
        <w:rPr>
          <w:bCs/>
          <w:rtl/>
          <w:lang w:eastAsia="zh-TW"/>
        </w:rPr>
        <w:t>حجز أجورهم</w:t>
      </w:r>
      <w:r w:rsidRPr="00516F89">
        <w:rPr>
          <w:bCs/>
          <w:rtl/>
          <w:lang w:eastAsia="zh-TW"/>
        </w:rPr>
        <w:t xml:space="preserve"> </w:t>
      </w:r>
      <w:r>
        <w:rPr>
          <w:bCs/>
          <w:rtl/>
          <w:lang w:eastAsia="zh-TW"/>
        </w:rPr>
        <w:t>ومن العمل لأيام طويلة</w:t>
      </w:r>
      <w:r w:rsidRPr="00516F89">
        <w:rPr>
          <w:bCs/>
          <w:rtl/>
          <w:lang w:eastAsia="zh-TW"/>
        </w:rPr>
        <w:t xml:space="preserve"> بدون فترات راحة كافية و</w:t>
      </w:r>
      <w:r>
        <w:rPr>
          <w:bCs/>
          <w:rtl/>
          <w:lang w:eastAsia="zh-TW"/>
        </w:rPr>
        <w:t xml:space="preserve">من </w:t>
      </w:r>
      <w:r w:rsidRPr="00516F89">
        <w:rPr>
          <w:bCs/>
          <w:rtl/>
          <w:lang w:eastAsia="zh-TW"/>
        </w:rPr>
        <w:t xml:space="preserve">القيود المفروضة على حرية التنقل والاستغلال الجنسي. وتوصي اللجنة الدولة الطرف </w:t>
      </w:r>
      <w:r>
        <w:rPr>
          <w:bCs/>
          <w:rtl/>
          <w:lang w:eastAsia="zh-TW"/>
        </w:rPr>
        <w:t>كذلك بأن تسرّع</w:t>
      </w:r>
      <w:r w:rsidRPr="00516F89">
        <w:rPr>
          <w:bCs/>
          <w:rtl/>
          <w:lang w:eastAsia="zh-TW"/>
        </w:rPr>
        <w:t xml:space="preserve"> س</w:t>
      </w:r>
      <w:r>
        <w:rPr>
          <w:bCs/>
          <w:rtl/>
          <w:lang w:eastAsia="zh-TW"/>
        </w:rPr>
        <w:t>ّ</w:t>
      </w:r>
      <w:r w:rsidRPr="00516F89">
        <w:rPr>
          <w:bCs/>
          <w:rtl/>
          <w:lang w:eastAsia="zh-TW"/>
        </w:rPr>
        <w:t>ن القانون المتعلق بالعمال المنزليين، بالتشاور مع المجتمع المدني، و</w:t>
      </w:r>
      <w:r>
        <w:rPr>
          <w:bCs/>
          <w:rtl/>
          <w:lang w:eastAsia="zh-TW"/>
        </w:rPr>
        <w:t>أن تضمن</w:t>
      </w:r>
      <w:r w:rsidRPr="00516F89">
        <w:rPr>
          <w:bCs/>
          <w:rtl/>
          <w:lang w:eastAsia="zh-TW"/>
        </w:rPr>
        <w:t xml:space="preserve"> توافر ما يكفي من آليات الرصد لتنفيذه بفعالية. وتوصي اللجنة الدولة الطرف ب</w:t>
      </w:r>
      <w:r>
        <w:rPr>
          <w:bCs/>
          <w:rtl/>
          <w:lang w:eastAsia="zh-TW"/>
        </w:rPr>
        <w:t>أن تصدق</w:t>
      </w:r>
      <w:r w:rsidRPr="00516F89">
        <w:rPr>
          <w:bCs/>
          <w:rtl/>
          <w:lang w:eastAsia="zh-TW"/>
        </w:rPr>
        <w:t xml:space="preserve"> على اتفاقية منظمة العمل الدولية لعام</w:t>
      </w:r>
      <w:r>
        <w:rPr>
          <w:rFonts w:hint="cs"/>
          <w:bCs/>
          <w:rtl/>
          <w:lang w:eastAsia="zh-TW"/>
        </w:rPr>
        <w:t> </w:t>
      </w:r>
      <w:r w:rsidRPr="00516F89">
        <w:rPr>
          <w:bCs/>
          <w:rtl/>
          <w:lang w:eastAsia="zh-TW"/>
        </w:rPr>
        <w:t xml:space="preserve">2011 بشأن العمال المنزليين (الاتفاقية رقم 189). وتطلب اللجنة إلى الدولة الطرف </w:t>
      </w:r>
      <w:r>
        <w:rPr>
          <w:bCs/>
          <w:rtl/>
          <w:lang w:eastAsia="zh-TW"/>
        </w:rPr>
        <w:t>أن تقدم</w:t>
      </w:r>
      <w:r w:rsidRPr="00516F89">
        <w:rPr>
          <w:bCs/>
          <w:rtl/>
          <w:lang w:eastAsia="zh-TW"/>
        </w:rPr>
        <w:t xml:space="preserve"> في تقريرها الدوري القادم</w:t>
      </w:r>
      <w:r>
        <w:rPr>
          <w:bCs/>
          <w:rtl/>
          <w:lang w:eastAsia="zh-TW"/>
        </w:rPr>
        <w:t xml:space="preserve"> </w:t>
      </w:r>
      <w:r w:rsidRPr="00516F89">
        <w:rPr>
          <w:bCs/>
          <w:rtl/>
          <w:lang w:eastAsia="zh-TW"/>
        </w:rPr>
        <w:t>معلومات مفصلة عن س</w:t>
      </w:r>
      <w:r>
        <w:rPr>
          <w:bCs/>
          <w:rtl/>
          <w:lang w:eastAsia="zh-TW"/>
        </w:rPr>
        <w:t>ّ</w:t>
      </w:r>
      <w:r w:rsidRPr="00516F89">
        <w:rPr>
          <w:bCs/>
          <w:rtl/>
          <w:lang w:eastAsia="zh-TW"/>
        </w:rPr>
        <w:t xml:space="preserve">ن مشروع القانون، </w:t>
      </w:r>
      <w:r w:rsidRPr="00B0676B">
        <w:rPr>
          <w:bCs/>
          <w:rtl/>
          <w:lang w:eastAsia="zh-TW"/>
        </w:rPr>
        <w:t>وتنفيذه ورصده لاحقاً</w:t>
      </w:r>
      <w:r w:rsidRPr="00B0676B">
        <w:rPr>
          <w:bCs/>
          <w:rtl/>
          <w:lang w:eastAsia="zh-TW" w:bidi="ar-DZ"/>
        </w:rPr>
        <w:t xml:space="preserve"> وتأثيره</w:t>
      </w:r>
      <w:r w:rsidRPr="00516F89">
        <w:rPr>
          <w:bCs/>
          <w:rtl/>
          <w:lang w:eastAsia="zh-TW"/>
        </w:rPr>
        <w:t xml:space="preserve"> فيما يتعلق بتحسين حالة العمال المنزليين الأجانب</w:t>
      </w:r>
      <w:r>
        <w:rPr>
          <w:rtl/>
          <w:lang w:eastAsia="zh-TW"/>
        </w:rPr>
        <w:t xml:space="preserve">. </w:t>
      </w:r>
    </w:p>
    <w:p w:rsidR="00832493" w:rsidRPr="00FD2990" w:rsidRDefault="009F545A" w:rsidP="00832493">
      <w:pPr>
        <w:pStyle w:val="H23GA"/>
        <w:rPr>
          <w:rtl/>
        </w:rPr>
      </w:pPr>
      <w:r>
        <w:rPr>
          <w:rtl/>
        </w:rPr>
        <w:tab/>
      </w:r>
      <w:r>
        <w:rPr>
          <w:rtl/>
        </w:rPr>
        <w:tab/>
      </w:r>
      <w:r w:rsidR="00832493" w:rsidRPr="00FD2990">
        <w:rPr>
          <w:rtl/>
        </w:rPr>
        <w:t xml:space="preserve">حالة </w:t>
      </w:r>
      <w:proofErr w:type="spellStart"/>
      <w:r w:rsidR="00832493" w:rsidRPr="00FD2990">
        <w:rPr>
          <w:rtl/>
        </w:rPr>
        <w:t>البدون</w:t>
      </w:r>
      <w:proofErr w:type="spellEnd"/>
      <w:r w:rsidR="00832493" w:rsidRPr="00FD2990">
        <w:rPr>
          <w:rtl/>
        </w:rPr>
        <w:t xml:space="preserve"> (الأشخاص عديمو الجنسية)</w:t>
      </w:r>
    </w:p>
    <w:p w:rsidR="00832493" w:rsidRDefault="00832493" w:rsidP="00832493">
      <w:pPr>
        <w:pStyle w:val="SingleTxtGA"/>
        <w:rPr>
          <w:rtl/>
          <w:lang w:eastAsia="zh-TW"/>
        </w:rPr>
      </w:pPr>
      <w:r>
        <w:rPr>
          <w:rtl/>
          <w:lang w:eastAsia="zh-TW"/>
        </w:rPr>
        <w:t>٢٧-</w:t>
      </w:r>
      <w:r w:rsidR="009F545A">
        <w:rPr>
          <w:rtl/>
          <w:lang w:eastAsia="zh-TW"/>
        </w:rPr>
        <w:tab/>
      </w:r>
      <w:r>
        <w:rPr>
          <w:rtl/>
          <w:lang w:eastAsia="zh-TW"/>
        </w:rPr>
        <w:t xml:space="preserve">تلاحظ اللجنة </w:t>
      </w:r>
      <w:r w:rsidRPr="00182099">
        <w:rPr>
          <w:rtl/>
          <w:lang w:eastAsia="zh-TW"/>
        </w:rPr>
        <w:t xml:space="preserve">المعلومات التي قدمتها الدولة الطرف أثناء الحوار بأن بعض </w:t>
      </w:r>
      <w:proofErr w:type="spellStart"/>
      <w:r w:rsidRPr="00182099">
        <w:rPr>
          <w:rtl/>
          <w:lang w:eastAsia="zh-TW"/>
        </w:rPr>
        <w:t>البدون</w:t>
      </w:r>
      <w:proofErr w:type="spellEnd"/>
      <w:r w:rsidRPr="00182099">
        <w:rPr>
          <w:rtl/>
          <w:lang w:eastAsia="zh-TW"/>
        </w:rPr>
        <w:t xml:space="preserve"> سمح لهم بالحصول على الجنسية خلال </w:t>
      </w:r>
      <w:r w:rsidRPr="00B8034F">
        <w:rPr>
          <w:rtl/>
          <w:lang w:eastAsia="zh-TW"/>
        </w:rPr>
        <w:t>فترة سماح كانوا يتمتعون فيها بالحقوق ولا يخضعون</w:t>
      </w:r>
      <w:r>
        <w:rPr>
          <w:rtl/>
          <w:lang w:eastAsia="zh-TW"/>
        </w:rPr>
        <w:t xml:space="preserve"> لعقوبات. بيد أن اللجنة تشعر بالقلق إزاء الافتقار إلى معلومات مفصلة، منها بيانات إحصائية عن حالة أفراد </w:t>
      </w:r>
      <w:proofErr w:type="spellStart"/>
      <w:r>
        <w:rPr>
          <w:rtl/>
          <w:lang w:eastAsia="zh-TW"/>
        </w:rPr>
        <w:t>البدون</w:t>
      </w:r>
      <w:proofErr w:type="spellEnd"/>
      <w:r>
        <w:rPr>
          <w:rtl/>
          <w:lang w:eastAsia="zh-TW"/>
        </w:rPr>
        <w:t xml:space="preserve"> الذين لم يحصلوا على الجنسية في الدولة الطرف، بما في ذلك تأثير انعدام الجنسية على قدرتهم على الحصول دون تمييز على الرعاية الصحية والتعليم والعمالة والخدمات التي توفرها الدولة (المادة ٥). </w:t>
      </w:r>
    </w:p>
    <w:p w:rsidR="00832493" w:rsidRPr="00CE259D" w:rsidRDefault="00832493" w:rsidP="00832493">
      <w:pPr>
        <w:pStyle w:val="SingleTxtGA"/>
        <w:rPr>
          <w:rtl/>
          <w:lang w:eastAsia="zh-TW"/>
        </w:rPr>
      </w:pPr>
      <w:r>
        <w:rPr>
          <w:rtl/>
          <w:lang w:eastAsia="zh-TW"/>
        </w:rPr>
        <w:t>٢٨-</w:t>
      </w:r>
      <w:r w:rsidR="009F545A">
        <w:rPr>
          <w:rtl/>
          <w:lang w:eastAsia="zh-TW"/>
        </w:rPr>
        <w:tab/>
      </w:r>
      <w:r w:rsidRPr="00516F89">
        <w:rPr>
          <w:bCs/>
          <w:rtl/>
          <w:lang w:eastAsia="zh-TW"/>
        </w:rPr>
        <w:t>تذك</w:t>
      </w:r>
      <w:r>
        <w:rPr>
          <w:bCs/>
          <w:rtl/>
          <w:lang w:eastAsia="zh-TW"/>
        </w:rPr>
        <w:t>ر اللجنة بتوصيتها العامة رقم ٣٠</w:t>
      </w:r>
      <w:r w:rsidRPr="00516F89">
        <w:rPr>
          <w:bCs/>
          <w:rtl/>
          <w:lang w:eastAsia="zh-TW"/>
        </w:rPr>
        <w:t xml:space="preserve">(2004) بشأن التمييز ضد غير المواطنين، </w:t>
      </w:r>
      <w:r>
        <w:rPr>
          <w:bCs/>
          <w:rtl/>
          <w:lang w:eastAsia="zh-TW"/>
        </w:rPr>
        <w:t>و</w:t>
      </w:r>
      <w:r w:rsidRPr="00516F89">
        <w:rPr>
          <w:bCs/>
          <w:rtl/>
          <w:lang w:eastAsia="zh-TW"/>
        </w:rPr>
        <w:t xml:space="preserve">توصي الدولة الطرف </w:t>
      </w:r>
      <w:r>
        <w:rPr>
          <w:bCs/>
          <w:rtl/>
          <w:lang w:eastAsia="zh-TW"/>
        </w:rPr>
        <w:t>بأن تتخذ</w:t>
      </w:r>
      <w:r w:rsidRPr="00516F89">
        <w:rPr>
          <w:bCs/>
          <w:rtl/>
          <w:lang w:eastAsia="zh-TW"/>
        </w:rPr>
        <w:t xml:space="preserve"> التدابير اللازمة للنظر في طلبات الحصول على الجنسية المقدمة من </w:t>
      </w:r>
      <w:proofErr w:type="spellStart"/>
      <w:r w:rsidRPr="00516F89">
        <w:rPr>
          <w:bCs/>
          <w:rtl/>
          <w:lang w:eastAsia="zh-TW"/>
        </w:rPr>
        <w:t>البدون</w:t>
      </w:r>
      <w:proofErr w:type="spellEnd"/>
      <w:r w:rsidRPr="00516F89">
        <w:rPr>
          <w:bCs/>
          <w:rtl/>
          <w:lang w:eastAsia="zh-TW"/>
        </w:rPr>
        <w:t xml:space="preserve"> الذين يقيمون في الدولة الطرف. وتوصي اللجنة الدولة الطرف أيض</w:t>
      </w:r>
      <w:r w:rsidR="00003270">
        <w:rPr>
          <w:bCs/>
          <w:rtl/>
          <w:lang w:eastAsia="zh-TW"/>
        </w:rPr>
        <w:t xml:space="preserve">اً </w:t>
      </w:r>
      <w:r w:rsidRPr="00516F89">
        <w:rPr>
          <w:bCs/>
          <w:rtl/>
          <w:lang w:eastAsia="zh-TW"/>
        </w:rPr>
        <w:t>ب</w:t>
      </w:r>
      <w:r>
        <w:rPr>
          <w:bCs/>
          <w:rtl/>
          <w:lang w:eastAsia="zh-TW"/>
        </w:rPr>
        <w:t>أن تمنح</w:t>
      </w:r>
      <w:r w:rsidRPr="00516F89">
        <w:rPr>
          <w:bCs/>
          <w:rtl/>
          <w:lang w:eastAsia="zh-TW"/>
        </w:rPr>
        <w:t xml:space="preserve"> </w:t>
      </w:r>
      <w:proofErr w:type="spellStart"/>
      <w:r w:rsidRPr="00516F89">
        <w:rPr>
          <w:bCs/>
          <w:rtl/>
          <w:lang w:eastAsia="zh-TW"/>
        </w:rPr>
        <w:t>البدون</w:t>
      </w:r>
      <w:proofErr w:type="spellEnd"/>
      <w:r w:rsidRPr="00516F89">
        <w:rPr>
          <w:bCs/>
          <w:rtl/>
          <w:lang w:eastAsia="zh-TW"/>
        </w:rPr>
        <w:t xml:space="preserve"> الوثائق اللازمة للحصول </w:t>
      </w:r>
      <w:r>
        <w:rPr>
          <w:bCs/>
          <w:rtl/>
          <w:lang w:eastAsia="zh-TW"/>
        </w:rPr>
        <w:t xml:space="preserve">دون تمييز </w:t>
      </w:r>
      <w:r w:rsidRPr="00516F89">
        <w:rPr>
          <w:bCs/>
          <w:rtl/>
          <w:lang w:eastAsia="zh-TW"/>
        </w:rPr>
        <w:t>على الرعاية الصحية والتعليم والعمل والخدما</w:t>
      </w:r>
      <w:r>
        <w:rPr>
          <w:bCs/>
          <w:rtl/>
          <w:lang w:eastAsia="zh-TW"/>
        </w:rPr>
        <w:t>ت التي توفرها الدولة</w:t>
      </w:r>
      <w:r w:rsidRPr="00516F89">
        <w:rPr>
          <w:bCs/>
          <w:rtl/>
          <w:lang w:eastAsia="zh-TW"/>
        </w:rPr>
        <w:t xml:space="preserve">. وتوصي اللجنة الدولة الطرف </w:t>
      </w:r>
      <w:r>
        <w:rPr>
          <w:bCs/>
          <w:rtl/>
          <w:lang w:eastAsia="zh-TW"/>
        </w:rPr>
        <w:t>بأن تنضم</w:t>
      </w:r>
      <w:r w:rsidRPr="00516F89">
        <w:rPr>
          <w:bCs/>
          <w:rtl/>
          <w:lang w:eastAsia="zh-TW"/>
        </w:rPr>
        <w:t xml:space="preserve"> إلى الاتفاقية المتعلقة بخفض حالات انعدام الجنسية والاتفاقية بشأن وضع الأشخاص عديمي الجنسية</w:t>
      </w:r>
      <w:r>
        <w:rPr>
          <w:rtl/>
          <w:lang w:eastAsia="zh-TW"/>
        </w:rPr>
        <w:t xml:space="preserve">. </w:t>
      </w:r>
    </w:p>
    <w:p w:rsidR="00832493" w:rsidRPr="00FD2990" w:rsidRDefault="009F545A" w:rsidP="00003270">
      <w:pPr>
        <w:pStyle w:val="H23GA"/>
        <w:spacing w:before="120"/>
        <w:rPr>
          <w:rtl/>
        </w:rPr>
      </w:pPr>
      <w:r>
        <w:rPr>
          <w:rtl/>
        </w:rPr>
        <w:lastRenderedPageBreak/>
        <w:tab/>
      </w:r>
      <w:r>
        <w:rPr>
          <w:rtl/>
        </w:rPr>
        <w:tab/>
      </w:r>
      <w:r w:rsidR="00832493" w:rsidRPr="00FD2990">
        <w:rPr>
          <w:rtl/>
        </w:rPr>
        <w:t>حقوق الجنسية</w:t>
      </w:r>
    </w:p>
    <w:p w:rsidR="00832493" w:rsidRPr="00832008" w:rsidRDefault="00832493" w:rsidP="00832493">
      <w:pPr>
        <w:pStyle w:val="SingleTxtGA"/>
        <w:rPr>
          <w:rtl/>
          <w:lang w:eastAsia="zh-TW"/>
        </w:rPr>
      </w:pPr>
      <w:r>
        <w:rPr>
          <w:rtl/>
          <w:lang w:eastAsia="zh-TW"/>
        </w:rPr>
        <w:t>٢٩-</w:t>
      </w:r>
      <w:r w:rsidR="009F545A">
        <w:rPr>
          <w:rtl/>
          <w:lang w:eastAsia="zh-TW"/>
        </w:rPr>
        <w:tab/>
      </w:r>
      <w:r>
        <w:rPr>
          <w:rtl/>
          <w:lang w:eastAsia="zh-TW"/>
        </w:rPr>
        <w:t xml:space="preserve">ترحب اللجنة بكون </w:t>
      </w:r>
      <w:r w:rsidRPr="00471ACA">
        <w:rPr>
          <w:rtl/>
          <w:lang w:eastAsia="zh-TW"/>
        </w:rPr>
        <w:t xml:space="preserve">الأمر السامي </w:t>
      </w:r>
      <w:r>
        <w:rPr>
          <w:rtl/>
          <w:lang w:eastAsia="zh-TW"/>
        </w:rPr>
        <w:t>الصادر</w:t>
      </w:r>
      <w:r w:rsidRPr="00471ACA">
        <w:rPr>
          <w:rtl/>
          <w:lang w:eastAsia="zh-TW"/>
        </w:rPr>
        <w:t xml:space="preserve"> في ٢ </w:t>
      </w:r>
      <w:r>
        <w:rPr>
          <w:rtl/>
          <w:lang w:eastAsia="zh-TW"/>
        </w:rPr>
        <w:t xml:space="preserve">كانون الأول/ديسمبر ٢٠١١ يجيز منح أبناء المواطنات المتزوجات من أجانب الجنسية، لكنها تأسف لأن الجنسية لا يجوز أن تمنح للطفل قبل أن يبلغ سن الثامنة عشرة (المادتان ٢ و٥). </w:t>
      </w:r>
    </w:p>
    <w:p w:rsidR="00832493" w:rsidRPr="00D66C65" w:rsidRDefault="00832493" w:rsidP="00003270">
      <w:pPr>
        <w:pStyle w:val="SingleTxtGA"/>
        <w:rPr>
          <w:rtl/>
          <w:lang w:eastAsia="zh-TW" w:bidi="ar-DZ"/>
        </w:rPr>
      </w:pPr>
      <w:r>
        <w:rPr>
          <w:rtl/>
          <w:lang w:eastAsia="zh-TW"/>
        </w:rPr>
        <w:t>٣٠-</w:t>
      </w:r>
      <w:r w:rsidR="009F545A">
        <w:rPr>
          <w:rtl/>
          <w:lang w:eastAsia="zh-TW"/>
        </w:rPr>
        <w:tab/>
      </w:r>
      <w:r w:rsidRPr="00516F89">
        <w:rPr>
          <w:bCs/>
          <w:rtl/>
          <w:lang w:eastAsia="zh-TW"/>
        </w:rPr>
        <w:t xml:space="preserve">تذكر اللجنة بتوصيتها العامة رقم ٣٠، وبخاصة الفقرة ١٦ بشأن خفض حالات انعدام الجنسية، ولا سيما بين الأطفال، </w:t>
      </w:r>
      <w:r>
        <w:rPr>
          <w:bCs/>
          <w:rtl/>
          <w:lang w:eastAsia="zh-TW"/>
        </w:rPr>
        <w:t>و</w:t>
      </w:r>
      <w:r w:rsidRPr="00516F89">
        <w:rPr>
          <w:bCs/>
          <w:rtl/>
          <w:lang w:eastAsia="zh-TW"/>
        </w:rPr>
        <w:t xml:space="preserve">توصي الدولة الطرف </w:t>
      </w:r>
      <w:r>
        <w:rPr>
          <w:bCs/>
          <w:rtl/>
          <w:lang w:eastAsia="zh-TW"/>
        </w:rPr>
        <w:t>بأن تراجع</w:t>
      </w:r>
      <w:r w:rsidRPr="00516F89">
        <w:rPr>
          <w:bCs/>
          <w:rtl/>
          <w:lang w:eastAsia="zh-TW"/>
        </w:rPr>
        <w:t xml:space="preserve"> الأمر الصادر في</w:t>
      </w:r>
      <w:r w:rsidR="00003270">
        <w:rPr>
          <w:rFonts w:hint="cs"/>
          <w:bCs/>
          <w:rtl/>
          <w:lang w:eastAsia="zh-TW"/>
        </w:rPr>
        <w:t> </w:t>
      </w:r>
      <w:r w:rsidRPr="00516F89">
        <w:rPr>
          <w:bCs/>
          <w:rtl/>
          <w:lang w:eastAsia="zh-TW"/>
        </w:rPr>
        <w:t xml:space="preserve">2 كانون الأول/ديسمبر ٢٠١١ للسماح للمرأة بنقل جنسيتها </w:t>
      </w:r>
      <w:r>
        <w:rPr>
          <w:bCs/>
          <w:rtl/>
          <w:lang w:eastAsia="zh-TW"/>
        </w:rPr>
        <w:t xml:space="preserve">إلى </w:t>
      </w:r>
      <w:r w:rsidRPr="00516F89">
        <w:rPr>
          <w:bCs/>
          <w:rtl/>
          <w:lang w:eastAsia="zh-TW"/>
        </w:rPr>
        <w:t>أبنائها منذ ولادتهم دون</w:t>
      </w:r>
      <w:r>
        <w:rPr>
          <w:rFonts w:hint="cs"/>
          <w:bCs/>
          <w:rtl/>
          <w:lang w:eastAsia="zh-TW"/>
        </w:rPr>
        <w:t> </w:t>
      </w:r>
      <w:r w:rsidRPr="00516F89">
        <w:rPr>
          <w:bCs/>
          <w:rtl/>
          <w:lang w:eastAsia="zh-TW"/>
        </w:rPr>
        <w:t>تمييز</w:t>
      </w:r>
      <w:r>
        <w:rPr>
          <w:rtl/>
          <w:lang w:eastAsia="zh-TW"/>
        </w:rPr>
        <w:t>.</w:t>
      </w:r>
    </w:p>
    <w:p w:rsidR="00832493" w:rsidRPr="00FD2990" w:rsidRDefault="009F545A" w:rsidP="00832493">
      <w:pPr>
        <w:pStyle w:val="H23GA"/>
        <w:rPr>
          <w:rtl/>
        </w:rPr>
      </w:pPr>
      <w:r>
        <w:rPr>
          <w:rtl/>
        </w:rPr>
        <w:tab/>
      </w:r>
      <w:r>
        <w:rPr>
          <w:rtl/>
        </w:rPr>
        <w:tab/>
      </w:r>
      <w:r w:rsidR="00832493" w:rsidRPr="00FD2990">
        <w:rPr>
          <w:rtl/>
        </w:rPr>
        <w:t xml:space="preserve">الدورات التدريبية المتعلقة بالتمييز العنصري </w:t>
      </w:r>
    </w:p>
    <w:p w:rsidR="00832493" w:rsidRPr="00832008" w:rsidRDefault="00832493" w:rsidP="00832493">
      <w:pPr>
        <w:pStyle w:val="SingleTxtGA"/>
        <w:rPr>
          <w:rtl/>
          <w:lang w:eastAsia="zh-TW"/>
        </w:rPr>
      </w:pPr>
      <w:r>
        <w:rPr>
          <w:rtl/>
          <w:lang w:eastAsia="zh-TW"/>
        </w:rPr>
        <w:t>٣١-</w:t>
      </w:r>
      <w:r w:rsidR="009F545A">
        <w:rPr>
          <w:rtl/>
          <w:lang w:eastAsia="zh-TW"/>
        </w:rPr>
        <w:tab/>
      </w:r>
      <w:r>
        <w:rPr>
          <w:rtl/>
          <w:lang w:eastAsia="zh-TW"/>
        </w:rPr>
        <w:t>ترحب اللجنة بالمعلومات الواردة عن تنظيم دورات تدريبية تتعلق بحقوق الإنسان لصالح الموظفين وأفراد الشرطة والعاملين في القضاء، فضل</w:t>
      </w:r>
      <w:r w:rsidR="00003270">
        <w:rPr>
          <w:rtl/>
          <w:lang w:eastAsia="zh-TW"/>
        </w:rPr>
        <w:t xml:space="preserve">اً </w:t>
      </w:r>
      <w:r>
        <w:rPr>
          <w:rtl/>
          <w:lang w:eastAsia="zh-TW"/>
        </w:rPr>
        <w:t xml:space="preserve">عن اتخاذ مبادرات ترمي إلى التشجيع على التسامح في الدولة الطرف، بما في ذلك في المدارس. وتشعر اللجنة بالقلق لعدم وجود معلومات وإحصاءات مفصلة عن تنظيم دورات تدريبية تتعلق تحديداً بالحقوق المكرسة في الاتفاقية وعن تأثير تلك الدورات التدريبية على القضاء على التمييز العنصري (المادة ٧). </w:t>
      </w:r>
    </w:p>
    <w:p w:rsidR="00832493" w:rsidRPr="00732E4D" w:rsidRDefault="00832493" w:rsidP="00832493">
      <w:pPr>
        <w:pStyle w:val="SingleTxtGA"/>
        <w:rPr>
          <w:rtl/>
          <w:lang w:eastAsia="zh-TW"/>
        </w:rPr>
      </w:pPr>
      <w:r>
        <w:rPr>
          <w:rtl/>
          <w:lang w:eastAsia="zh-TW"/>
        </w:rPr>
        <w:t>٣٢-</w:t>
      </w:r>
      <w:r w:rsidR="009F545A">
        <w:rPr>
          <w:rtl/>
          <w:lang w:eastAsia="zh-TW"/>
        </w:rPr>
        <w:tab/>
      </w:r>
      <w:r w:rsidRPr="00516F89">
        <w:rPr>
          <w:bCs/>
          <w:rtl/>
          <w:lang w:eastAsia="zh-TW"/>
        </w:rPr>
        <w:t xml:space="preserve">توصي اللجنة الدولة الطرف </w:t>
      </w:r>
      <w:r>
        <w:rPr>
          <w:bCs/>
          <w:rtl/>
          <w:lang w:eastAsia="zh-TW"/>
        </w:rPr>
        <w:t>بأن تواصل</w:t>
      </w:r>
      <w:r w:rsidRPr="00516F89">
        <w:rPr>
          <w:bCs/>
          <w:rtl/>
          <w:lang w:eastAsia="zh-TW"/>
        </w:rPr>
        <w:t xml:space="preserve"> جهودها الرامية إلى زيادة التسامح واحترام التنوع في الدولة الطرف، و</w:t>
      </w:r>
      <w:r>
        <w:rPr>
          <w:bCs/>
          <w:rtl/>
          <w:lang w:eastAsia="zh-TW"/>
        </w:rPr>
        <w:t>أن تستمر في</w:t>
      </w:r>
      <w:r w:rsidRPr="00516F89">
        <w:rPr>
          <w:bCs/>
          <w:rtl/>
          <w:lang w:eastAsia="zh-TW"/>
        </w:rPr>
        <w:t xml:space="preserve"> </w:t>
      </w:r>
      <w:r>
        <w:rPr>
          <w:bCs/>
          <w:rtl/>
          <w:lang w:eastAsia="zh-TW"/>
        </w:rPr>
        <w:t>تنظيم</w:t>
      </w:r>
      <w:r w:rsidRPr="00516F89">
        <w:rPr>
          <w:bCs/>
          <w:rtl/>
          <w:lang w:eastAsia="zh-TW"/>
        </w:rPr>
        <w:t xml:space="preserve"> دورات تدريبية بشأن حقوق الإنسان. وتوصي اللجنة الدولة الطرف أيض</w:t>
      </w:r>
      <w:r w:rsidR="00003270">
        <w:rPr>
          <w:bCs/>
          <w:rtl/>
          <w:lang w:eastAsia="zh-TW"/>
        </w:rPr>
        <w:t xml:space="preserve">اً </w:t>
      </w:r>
      <w:r>
        <w:rPr>
          <w:bCs/>
          <w:rtl/>
          <w:lang w:eastAsia="zh-TW"/>
        </w:rPr>
        <w:t>بأن تجري</w:t>
      </w:r>
      <w:r w:rsidRPr="00516F89">
        <w:rPr>
          <w:bCs/>
          <w:rtl/>
          <w:lang w:eastAsia="zh-TW"/>
        </w:rPr>
        <w:t xml:space="preserve"> دورات تدريبية من أجل موظفي إنفاذ القانون والقضاة والمحامين وموظفي الدولة بشأن الحقوق </w:t>
      </w:r>
      <w:r>
        <w:rPr>
          <w:bCs/>
          <w:rtl/>
          <w:lang w:eastAsia="zh-TW"/>
        </w:rPr>
        <w:t>المكرسة</w:t>
      </w:r>
      <w:r w:rsidRPr="00516F89">
        <w:rPr>
          <w:bCs/>
          <w:rtl/>
          <w:lang w:eastAsia="zh-TW"/>
        </w:rPr>
        <w:t xml:space="preserve"> في الاتفاقية، بما في ذلك </w:t>
      </w:r>
      <w:r>
        <w:rPr>
          <w:bCs/>
          <w:rtl/>
          <w:lang w:eastAsia="zh-TW"/>
        </w:rPr>
        <w:t>تنظيم دورة تدريبية متخصصة</w:t>
      </w:r>
      <w:r w:rsidRPr="00516F89">
        <w:rPr>
          <w:bCs/>
          <w:rtl/>
          <w:lang w:eastAsia="zh-TW"/>
        </w:rPr>
        <w:t xml:space="preserve"> بشأن منع التمييز العنصري. وتطلب اللجنة إلى الدولة الطرف أن تقدم في تقريرها الدوري المقبل معلومات وإحصاءات مفصلة ومحدثة عن هذه </w:t>
      </w:r>
      <w:r>
        <w:rPr>
          <w:bCs/>
          <w:rtl/>
          <w:lang w:eastAsia="zh-TW"/>
        </w:rPr>
        <w:t>الدورات</w:t>
      </w:r>
      <w:r w:rsidRPr="00516F89">
        <w:rPr>
          <w:bCs/>
          <w:rtl/>
          <w:lang w:eastAsia="zh-TW"/>
        </w:rPr>
        <w:t xml:space="preserve"> التدريبية وعن </w:t>
      </w:r>
      <w:r>
        <w:rPr>
          <w:bCs/>
          <w:rtl/>
          <w:lang w:eastAsia="zh-TW"/>
        </w:rPr>
        <w:t>ت</w:t>
      </w:r>
      <w:r w:rsidRPr="00516F89">
        <w:rPr>
          <w:bCs/>
          <w:rtl/>
          <w:lang w:eastAsia="zh-TW"/>
        </w:rPr>
        <w:t>أث</w:t>
      </w:r>
      <w:r>
        <w:rPr>
          <w:bCs/>
          <w:rtl/>
          <w:lang w:eastAsia="zh-TW"/>
        </w:rPr>
        <w:t>ي</w:t>
      </w:r>
      <w:r w:rsidRPr="00516F89">
        <w:rPr>
          <w:bCs/>
          <w:rtl/>
          <w:lang w:eastAsia="zh-TW"/>
        </w:rPr>
        <w:t>ر</w:t>
      </w:r>
      <w:r>
        <w:rPr>
          <w:bCs/>
          <w:rtl/>
          <w:lang w:eastAsia="zh-TW"/>
        </w:rPr>
        <w:t>ها</w:t>
      </w:r>
      <w:r w:rsidRPr="00516F89">
        <w:rPr>
          <w:bCs/>
          <w:rtl/>
          <w:lang w:eastAsia="zh-TW"/>
        </w:rPr>
        <w:t xml:space="preserve"> على القضاء على التمييز العنصري في الدولة الطرف</w:t>
      </w:r>
      <w:r>
        <w:rPr>
          <w:rtl/>
          <w:lang w:eastAsia="zh-TW"/>
        </w:rPr>
        <w:t xml:space="preserve">. </w:t>
      </w:r>
    </w:p>
    <w:p w:rsidR="00832493" w:rsidRPr="00FD2990" w:rsidRDefault="009F545A" w:rsidP="00832493">
      <w:pPr>
        <w:pStyle w:val="H1GA"/>
        <w:rPr>
          <w:rtl/>
          <w:lang w:eastAsia="zh-TW"/>
        </w:rPr>
      </w:pPr>
      <w:r>
        <w:rPr>
          <w:rtl/>
          <w:lang w:eastAsia="zh-TW"/>
        </w:rPr>
        <w:tab/>
      </w:r>
      <w:r w:rsidR="00832493" w:rsidRPr="00FD2990">
        <w:rPr>
          <w:rtl/>
          <w:lang w:eastAsia="zh-TW"/>
        </w:rPr>
        <w:t>دال</w:t>
      </w:r>
      <w:r w:rsidR="00832493">
        <w:rPr>
          <w:rtl/>
          <w:lang w:eastAsia="zh-TW"/>
        </w:rPr>
        <w:t>-</w:t>
      </w:r>
      <w:r>
        <w:rPr>
          <w:rtl/>
          <w:lang w:eastAsia="zh-TW"/>
        </w:rPr>
        <w:tab/>
      </w:r>
      <w:r w:rsidR="00832493" w:rsidRPr="00FD2990">
        <w:rPr>
          <w:rtl/>
          <w:lang w:eastAsia="zh-TW"/>
        </w:rPr>
        <w:t>توصيات أخرى</w:t>
      </w:r>
    </w:p>
    <w:p w:rsidR="00832493" w:rsidRPr="00832008" w:rsidRDefault="009F545A" w:rsidP="00832493">
      <w:pPr>
        <w:pStyle w:val="H23GA"/>
        <w:rPr>
          <w:rtl/>
        </w:rPr>
      </w:pPr>
      <w:r>
        <w:rPr>
          <w:rtl/>
        </w:rPr>
        <w:tab/>
      </w:r>
      <w:r>
        <w:rPr>
          <w:rtl/>
        </w:rPr>
        <w:tab/>
      </w:r>
      <w:r w:rsidR="00832493" w:rsidRPr="00FD2990">
        <w:rPr>
          <w:rtl/>
        </w:rPr>
        <w:t>التصديق على المعاهدات الأخرى</w:t>
      </w:r>
    </w:p>
    <w:p w:rsidR="00832493" w:rsidRDefault="00832493" w:rsidP="00832493">
      <w:pPr>
        <w:pStyle w:val="SingleTxtGA"/>
        <w:rPr>
          <w:rtl/>
        </w:rPr>
      </w:pPr>
      <w:r>
        <w:rPr>
          <w:rtl/>
          <w:lang w:eastAsia="zh-TW"/>
        </w:rPr>
        <w:t>٣٣-</w:t>
      </w:r>
      <w:r w:rsidR="009F545A">
        <w:rPr>
          <w:rtl/>
          <w:lang w:eastAsia="zh-TW"/>
        </w:rPr>
        <w:tab/>
      </w:r>
      <w:r w:rsidRPr="00FC3213">
        <w:rPr>
          <w:bCs/>
          <w:rtl/>
          <w:lang w:eastAsia="zh-TW"/>
        </w:rPr>
        <w:t>إذ تضع اللجنة في اعتبارها عدم قابلية جميع حقوق الإنسان للتجزئة، تشجع الدولة الطرف على النظر في التصديق على المعاهدات الدولية لحقوق الإنسان التي لم تصد</w:t>
      </w:r>
      <w:r>
        <w:rPr>
          <w:bCs/>
          <w:rtl/>
          <w:lang w:eastAsia="zh-TW" w:bidi="ar-DZ"/>
        </w:rPr>
        <w:t>ّ</w:t>
      </w:r>
      <w:r w:rsidRPr="00FC3213">
        <w:rPr>
          <w:bCs/>
          <w:rtl/>
          <w:lang w:eastAsia="zh-TW"/>
        </w:rPr>
        <w:t>ق عليها بعد، و</w:t>
      </w:r>
      <w:r>
        <w:rPr>
          <w:bCs/>
          <w:rtl/>
          <w:lang w:eastAsia="zh-TW"/>
        </w:rPr>
        <w:t>لا سيما</w:t>
      </w:r>
      <w:r w:rsidRPr="00FC3213">
        <w:rPr>
          <w:bCs/>
          <w:rtl/>
          <w:lang w:eastAsia="zh-TW"/>
        </w:rPr>
        <w:t xml:space="preserve"> المعاهدات ذات الأحكام التي لها صلة مباشرة بالجماعات التي قد تتعرض للتمييز العنصري، بما في ذلك العهد الدولي الخاص بالحقوق المدنية والسياسية‏‏ والعهد الدولي الخاص بالحقوق الاقتصادية والاجتماعية والثقافية والاتفاقية الدولية لحماية حقوق جميع العمال المهاجرين وأفراد أسرهم، واتفاقية منظمة العمل الدولية بشأن العمال المنزليين لعام 2011 (الاتفاقية رقم 189)</w:t>
      </w:r>
      <w:r>
        <w:rPr>
          <w:rtl/>
          <w:lang w:eastAsia="zh-TW"/>
        </w:rPr>
        <w:t xml:space="preserve">. </w:t>
      </w:r>
    </w:p>
    <w:p w:rsidR="00832493" w:rsidRPr="00832008" w:rsidRDefault="009F545A" w:rsidP="00832493">
      <w:pPr>
        <w:pStyle w:val="H23GA"/>
        <w:rPr>
          <w:rtl/>
        </w:rPr>
      </w:pPr>
      <w:r>
        <w:rPr>
          <w:rtl/>
        </w:rPr>
        <w:tab/>
      </w:r>
      <w:r>
        <w:rPr>
          <w:rtl/>
        </w:rPr>
        <w:tab/>
      </w:r>
      <w:r w:rsidR="00832493" w:rsidRPr="00FD2990">
        <w:rPr>
          <w:rtl/>
        </w:rPr>
        <w:t>متابعة إعلان وبرنامج عمل ديربان</w:t>
      </w:r>
    </w:p>
    <w:p w:rsidR="00832493" w:rsidRPr="00C621C6" w:rsidRDefault="00832493" w:rsidP="00832493">
      <w:pPr>
        <w:pStyle w:val="SingleTxtGA"/>
        <w:rPr>
          <w:rtl/>
          <w:lang w:eastAsia="zh-TW"/>
        </w:rPr>
      </w:pPr>
      <w:r>
        <w:rPr>
          <w:rtl/>
          <w:lang w:eastAsia="zh-TW"/>
        </w:rPr>
        <w:t>٣٤-</w:t>
      </w:r>
      <w:r w:rsidR="009F545A">
        <w:rPr>
          <w:rtl/>
          <w:lang w:eastAsia="zh-TW"/>
        </w:rPr>
        <w:tab/>
      </w:r>
      <w:r w:rsidRPr="00516F89">
        <w:rPr>
          <w:bCs/>
          <w:rtl/>
          <w:lang w:eastAsia="zh-TW"/>
        </w:rPr>
        <w:t xml:space="preserve">توصي اللجنة في ضوء توصيتها العامة رقم 33(2009) بشأن متابعة مؤتمر استعراض نتائج ديربان، بأن تنفذ الدولة الطرف، عند تطبيق أحكام الاتفاقية في نظامها </w:t>
      </w:r>
      <w:r w:rsidRPr="00516F89">
        <w:rPr>
          <w:bCs/>
          <w:rtl/>
          <w:lang w:eastAsia="zh-TW"/>
        </w:rPr>
        <w:lastRenderedPageBreak/>
        <w:t>القانوني الداخلي إعلان وبرنامج عمل ديربان اللذين اعتمدهما المؤتمر العالمي لمكافحة</w:t>
      </w:r>
      <w:r>
        <w:rPr>
          <w:rFonts w:hint="cs"/>
          <w:bCs/>
          <w:rtl/>
          <w:lang w:eastAsia="zh-TW"/>
        </w:rPr>
        <w:t> </w:t>
      </w:r>
      <w:r w:rsidRPr="00516F89">
        <w:rPr>
          <w:bCs/>
          <w:rtl/>
          <w:lang w:eastAsia="zh-TW"/>
        </w:rPr>
        <w:t>العنصرية والتمييز العنصري وكره الأجانب وما يتصل بذلك من تعصب، في أيلول/سبتمبر 2001، مع مراعاة الوثيقة الختامية لمؤتمر استعراض نتائج ديربان، المعقود في جنيف في نيسان/أبريل 2009. 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w:t>
      </w:r>
      <w:r>
        <w:rPr>
          <w:rtl/>
          <w:lang w:eastAsia="zh-TW"/>
        </w:rPr>
        <w:t xml:space="preserve">. </w:t>
      </w:r>
    </w:p>
    <w:p w:rsidR="00832493" w:rsidRPr="00FD2990" w:rsidRDefault="009F545A" w:rsidP="00832493">
      <w:pPr>
        <w:pStyle w:val="H23GA"/>
        <w:rPr>
          <w:rtl/>
        </w:rPr>
      </w:pPr>
      <w:r>
        <w:rPr>
          <w:rtl/>
        </w:rPr>
        <w:tab/>
      </w:r>
      <w:r>
        <w:rPr>
          <w:rtl/>
        </w:rPr>
        <w:tab/>
      </w:r>
      <w:r w:rsidR="00832493" w:rsidRPr="00FD2990">
        <w:rPr>
          <w:rtl/>
        </w:rPr>
        <w:t xml:space="preserve">العقد الدولي للمنحدرين من أصل أفريقي </w:t>
      </w:r>
    </w:p>
    <w:p w:rsidR="00832493" w:rsidRPr="00E95402" w:rsidRDefault="00832493" w:rsidP="00832493">
      <w:pPr>
        <w:pStyle w:val="SingleTxtGA"/>
        <w:rPr>
          <w:rtl/>
          <w:lang w:eastAsia="zh-TW"/>
        </w:rPr>
      </w:pPr>
      <w:r>
        <w:rPr>
          <w:rtl/>
          <w:lang w:eastAsia="zh-TW"/>
        </w:rPr>
        <w:t>٣٥-</w:t>
      </w:r>
      <w:r w:rsidR="009F545A">
        <w:rPr>
          <w:rtl/>
          <w:lang w:eastAsia="zh-TW"/>
        </w:rPr>
        <w:tab/>
      </w:r>
      <w:r w:rsidRPr="00516F89">
        <w:rPr>
          <w:bCs/>
          <w:rtl/>
          <w:lang w:eastAsia="zh-TW"/>
        </w:rPr>
        <w:t>في ضوء قرار الجمعية العامة 68/237، الذي أعلنت فيه الجمعية العامة الفترة</w:t>
      </w:r>
      <w:r>
        <w:rPr>
          <w:rFonts w:hint="cs"/>
          <w:bCs/>
          <w:rtl/>
          <w:lang w:eastAsia="zh-TW"/>
        </w:rPr>
        <w:t> </w:t>
      </w:r>
      <w:r w:rsidRPr="00516F89">
        <w:rPr>
          <w:bCs/>
          <w:rtl/>
          <w:lang w:eastAsia="zh-TW"/>
        </w:rPr>
        <w:t>2015-2024 عقداً دولياً للمنحدرين من أصل أفريقي، وقرار الجمعية 69/16 بشأن برنامج الأنشطة لتنفيذ العقد، توصي اللجنة الدولة الطرف بأن تعد وتنفذ برنامج تدابير وسياسات مناسباً. وتطلب اللجنة إلى الدولة الطرف أن تدرج في تقريرها الدوري المقبل معلومات دقيقة عن التدابير الملموسة المعتمدة في ذلك الإطار، مع مراعاة توصيتها العامة رقم 34(2011) بشأن التمييز العنصري ضد المنحدرين من أصل أفريقي</w:t>
      </w:r>
      <w:r>
        <w:rPr>
          <w:rtl/>
          <w:lang w:eastAsia="zh-TW"/>
        </w:rPr>
        <w:t xml:space="preserve">. </w:t>
      </w:r>
    </w:p>
    <w:p w:rsidR="00832493" w:rsidRPr="00832008" w:rsidRDefault="009F545A" w:rsidP="00832493">
      <w:pPr>
        <w:pStyle w:val="H23GA"/>
        <w:rPr>
          <w:rtl/>
          <w:lang w:bidi="ar-DZ"/>
        </w:rPr>
      </w:pPr>
      <w:r>
        <w:rPr>
          <w:rtl/>
        </w:rPr>
        <w:tab/>
      </w:r>
      <w:r>
        <w:rPr>
          <w:rtl/>
        </w:rPr>
        <w:tab/>
      </w:r>
      <w:r w:rsidR="00832493">
        <w:rPr>
          <w:rFonts w:hint="cs"/>
          <w:rtl/>
        </w:rPr>
        <w:t>ال</w:t>
      </w:r>
      <w:r w:rsidR="00832493" w:rsidRPr="00FD2990">
        <w:rPr>
          <w:rFonts w:hint="cs"/>
          <w:rtl/>
        </w:rPr>
        <w:t>تشاور</w:t>
      </w:r>
      <w:r w:rsidR="00832493" w:rsidRPr="00FD2990">
        <w:rPr>
          <w:rtl/>
        </w:rPr>
        <w:t xml:space="preserve"> </w:t>
      </w:r>
      <w:r w:rsidR="00832493" w:rsidRPr="00FD2990">
        <w:rPr>
          <w:rFonts w:hint="cs"/>
          <w:rtl/>
        </w:rPr>
        <w:t>مع</w:t>
      </w:r>
      <w:r w:rsidR="00832493" w:rsidRPr="00FD2990">
        <w:rPr>
          <w:rtl/>
        </w:rPr>
        <w:t xml:space="preserve"> </w:t>
      </w:r>
      <w:r w:rsidR="00832493" w:rsidRPr="00FD2990">
        <w:rPr>
          <w:rFonts w:hint="cs"/>
          <w:rtl/>
        </w:rPr>
        <w:t>المجتمع</w:t>
      </w:r>
      <w:r w:rsidR="00832493" w:rsidRPr="00FD2990">
        <w:rPr>
          <w:rtl/>
        </w:rPr>
        <w:t xml:space="preserve"> </w:t>
      </w:r>
      <w:r w:rsidR="00832493" w:rsidRPr="00FD2990">
        <w:rPr>
          <w:rFonts w:hint="cs"/>
          <w:rtl/>
        </w:rPr>
        <w:t>المدني</w:t>
      </w:r>
    </w:p>
    <w:p w:rsidR="00003270" w:rsidRDefault="00832493" w:rsidP="00003270">
      <w:pPr>
        <w:pStyle w:val="SingleTxtGA"/>
        <w:rPr>
          <w:rtl/>
        </w:rPr>
      </w:pPr>
      <w:r>
        <w:rPr>
          <w:rtl/>
          <w:lang w:eastAsia="zh-TW"/>
        </w:rPr>
        <w:t>٣٦-</w:t>
      </w:r>
      <w:r w:rsidR="009F545A">
        <w:rPr>
          <w:rtl/>
          <w:lang w:eastAsia="zh-TW"/>
        </w:rPr>
        <w:tab/>
      </w:r>
      <w:r w:rsidRPr="00516F89">
        <w:rPr>
          <w:bCs/>
          <w:rtl/>
          <w:lang w:eastAsia="zh-TW"/>
        </w:rPr>
        <w:t xml:space="preserve">تود اللجنة أن تشدد على الأهمية التي توليها للتقارير المقدمة من المنظمات غير الحكومية، وهي تقارير تثري الحوار بين اللجنة ووفد الدولة الطرف خلال النظر في تقارير الدول الأطراف. </w:t>
      </w:r>
      <w:r>
        <w:rPr>
          <w:bCs/>
          <w:rtl/>
          <w:lang w:eastAsia="zh-TW"/>
        </w:rPr>
        <w:t>و</w:t>
      </w:r>
      <w:r w:rsidRPr="00516F89">
        <w:rPr>
          <w:bCs/>
          <w:rtl/>
          <w:lang w:eastAsia="zh-TW"/>
        </w:rPr>
        <w:t>توصي اللجنة الدولة الطرف بزيادة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w:t>
      </w:r>
      <w:r>
        <w:rPr>
          <w:rtl/>
          <w:lang w:eastAsia="zh-TW"/>
        </w:rPr>
        <w:t>.</w:t>
      </w:r>
    </w:p>
    <w:p w:rsidR="00832493" w:rsidRPr="00832008" w:rsidRDefault="009F545A" w:rsidP="00003270">
      <w:pPr>
        <w:pStyle w:val="H23GA"/>
        <w:rPr>
          <w:rtl/>
          <w:lang w:bidi="ar-DZ"/>
        </w:rPr>
      </w:pPr>
      <w:r>
        <w:rPr>
          <w:rtl/>
        </w:rPr>
        <w:tab/>
      </w:r>
      <w:r>
        <w:rPr>
          <w:rtl/>
        </w:rPr>
        <w:tab/>
      </w:r>
      <w:r w:rsidR="00832493" w:rsidRPr="00FD2990">
        <w:rPr>
          <w:rtl/>
        </w:rPr>
        <w:t>تعديل المادة 8 من الاتفاقية</w:t>
      </w:r>
    </w:p>
    <w:p w:rsidR="00832493" w:rsidRPr="007A183B" w:rsidRDefault="00832493" w:rsidP="00832493">
      <w:pPr>
        <w:pStyle w:val="SingleTxtGA"/>
        <w:rPr>
          <w:rtl/>
          <w:lang w:eastAsia="zh-TW"/>
        </w:rPr>
      </w:pPr>
      <w:r>
        <w:rPr>
          <w:rtl/>
          <w:lang w:eastAsia="zh-TW"/>
        </w:rPr>
        <w:t>٣٧-</w:t>
      </w:r>
      <w:r w:rsidR="009F545A">
        <w:rPr>
          <w:rtl/>
          <w:lang w:eastAsia="zh-TW"/>
        </w:rPr>
        <w:tab/>
      </w:r>
      <w:r w:rsidRPr="00516F89">
        <w:rPr>
          <w:bCs/>
          <w:rtl/>
          <w:lang w:eastAsia="zh-TW"/>
        </w:rPr>
        <w:t>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w:t>
      </w:r>
      <w:r>
        <w:rPr>
          <w:rtl/>
          <w:lang w:eastAsia="zh-TW"/>
        </w:rPr>
        <w:t xml:space="preserve">. </w:t>
      </w:r>
    </w:p>
    <w:p w:rsidR="00832493" w:rsidRPr="00832008" w:rsidRDefault="009F545A" w:rsidP="00832493">
      <w:pPr>
        <w:pStyle w:val="H23GA"/>
        <w:rPr>
          <w:rtl/>
        </w:rPr>
      </w:pPr>
      <w:r>
        <w:rPr>
          <w:rtl/>
        </w:rPr>
        <w:tab/>
      </w:r>
      <w:r>
        <w:rPr>
          <w:rtl/>
        </w:rPr>
        <w:tab/>
      </w:r>
      <w:r w:rsidR="00832493" w:rsidRPr="00FD2990">
        <w:rPr>
          <w:rtl/>
        </w:rPr>
        <w:t>الإعلان المنصوص عليه في المادة 14 من الاتفاقية</w:t>
      </w:r>
    </w:p>
    <w:p w:rsidR="00832493" w:rsidRPr="007A183B" w:rsidRDefault="00832493" w:rsidP="00832493">
      <w:pPr>
        <w:pStyle w:val="SingleTxtGA"/>
        <w:rPr>
          <w:rtl/>
          <w:lang w:eastAsia="zh-TW"/>
        </w:rPr>
      </w:pPr>
      <w:r>
        <w:rPr>
          <w:rtl/>
          <w:lang w:eastAsia="zh-TW"/>
        </w:rPr>
        <w:t>٣٨-</w:t>
      </w:r>
      <w:r w:rsidR="009F545A">
        <w:rPr>
          <w:rtl/>
          <w:lang w:eastAsia="zh-TW"/>
        </w:rPr>
        <w:tab/>
      </w:r>
      <w:r w:rsidRPr="00516F89">
        <w:rPr>
          <w:bCs/>
          <w:rtl/>
          <w:lang w:eastAsia="zh-TW"/>
        </w:rPr>
        <w:t>تشجع اللجنة الدولة الطرف على إصدار الإعلان الاختياري المنصوص عليه في المادة 14 من الاتفاقية والاعتراف بذلك باختصاص اللجنة في تلقي الشكاوى من الأفراد والنظر فيها</w:t>
      </w:r>
      <w:r>
        <w:rPr>
          <w:rtl/>
          <w:lang w:eastAsia="zh-TW"/>
        </w:rPr>
        <w:t>.</w:t>
      </w:r>
    </w:p>
    <w:p w:rsidR="00832493" w:rsidRPr="00FD2990" w:rsidRDefault="009F545A" w:rsidP="00832493">
      <w:pPr>
        <w:pStyle w:val="H23GA"/>
        <w:rPr>
          <w:rtl/>
        </w:rPr>
      </w:pPr>
      <w:r>
        <w:rPr>
          <w:rtl/>
        </w:rPr>
        <w:tab/>
      </w:r>
      <w:r>
        <w:rPr>
          <w:rtl/>
        </w:rPr>
        <w:tab/>
      </w:r>
      <w:r w:rsidR="00832493" w:rsidRPr="00FD2990">
        <w:rPr>
          <w:rtl/>
        </w:rPr>
        <w:t xml:space="preserve">الوثيقة الأساسية الموحدة </w:t>
      </w:r>
    </w:p>
    <w:p w:rsidR="00003270" w:rsidRPr="009F545A" w:rsidRDefault="00832493" w:rsidP="009F545A">
      <w:pPr>
        <w:pStyle w:val="SingleTxtGA"/>
        <w:rPr>
          <w:bCs/>
          <w:rtl/>
          <w:lang w:eastAsia="zh-TW"/>
        </w:rPr>
      </w:pPr>
      <w:r>
        <w:rPr>
          <w:rtl/>
          <w:lang w:eastAsia="zh-TW"/>
        </w:rPr>
        <w:t>٣٩-</w:t>
      </w:r>
      <w:r w:rsidR="009F545A">
        <w:rPr>
          <w:rtl/>
          <w:lang w:eastAsia="zh-TW"/>
        </w:rPr>
        <w:tab/>
      </w:r>
      <w:r w:rsidRPr="00516F89">
        <w:rPr>
          <w:bCs/>
          <w:rtl/>
          <w:lang w:eastAsia="zh-TW"/>
        </w:rPr>
        <w:t xml:space="preserve">تشجع اللجنة الدولة الطرف على </w:t>
      </w:r>
      <w:r>
        <w:rPr>
          <w:bCs/>
          <w:rtl/>
          <w:lang w:eastAsia="zh-TW"/>
        </w:rPr>
        <w:t>تقديم</w:t>
      </w:r>
      <w:r w:rsidRPr="00516F89">
        <w:rPr>
          <w:bCs/>
          <w:rtl/>
          <w:lang w:eastAsia="zh-TW"/>
        </w:rPr>
        <w:t xml:space="preserve"> وثيق</w:t>
      </w:r>
      <w:r>
        <w:rPr>
          <w:bCs/>
          <w:rtl/>
          <w:lang w:eastAsia="zh-TW"/>
        </w:rPr>
        <w:t>ة</w:t>
      </w:r>
      <w:r w:rsidRPr="00516F89">
        <w:rPr>
          <w:bCs/>
          <w:rtl/>
          <w:lang w:eastAsia="zh-TW"/>
        </w:rPr>
        <w:t xml:space="preserve"> أساسية </w:t>
      </w:r>
      <w:r>
        <w:rPr>
          <w:bCs/>
          <w:rtl/>
          <w:lang w:eastAsia="zh-TW"/>
        </w:rPr>
        <w:t>م</w:t>
      </w:r>
      <w:r w:rsidRPr="00516F89">
        <w:rPr>
          <w:bCs/>
          <w:rtl/>
          <w:lang w:eastAsia="zh-TW"/>
        </w:rPr>
        <w:t>وحدة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w:t>
      </w:r>
      <w:proofErr w:type="gramStart"/>
      <w:r w:rsidRPr="00516F89">
        <w:rPr>
          <w:bCs/>
          <w:rtl/>
          <w:lang w:eastAsia="zh-TW"/>
        </w:rPr>
        <w:t>يونيه</w:t>
      </w:r>
      <w:proofErr w:type="gramEnd"/>
      <w:r w:rsidRPr="00516F89">
        <w:rPr>
          <w:bCs/>
          <w:rtl/>
          <w:lang w:eastAsia="zh-TW"/>
        </w:rPr>
        <w:t xml:space="preserve"> 2006</w:t>
      </w:r>
      <w:r w:rsidR="009F545A">
        <w:rPr>
          <w:rFonts w:hint="cs"/>
          <w:bCs/>
          <w:rtl/>
          <w:lang w:eastAsia="zh-TW"/>
        </w:rPr>
        <w:t xml:space="preserve"> </w:t>
      </w:r>
      <w:r w:rsidR="009F545A" w:rsidRPr="009F545A">
        <w:rPr>
          <w:b/>
          <w:bCs/>
          <w:rtl/>
          <w:lang w:eastAsia="zh-TW"/>
        </w:rPr>
        <w:lastRenderedPageBreak/>
        <w:t>(</w:t>
      </w:r>
      <w:r w:rsidR="009F545A" w:rsidRPr="009F545A">
        <w:rPr>
          <w:b/>
          <w:bCs/>
          <w:lang w:eastAsia="zh-TW"/>
        </w:rPr>
        <w:t>HRI/GEN/2/Rev.6</w:t>
      </w:r>
      <w:r w:rsidR="009F545A" w:rsidRPr="009F545A">
        <w:rPr>
          <w:b/>
          <w:bCs/>
          <w:rtl/>
          <w:lang w:eastAsia="zh-TW"/>
        </w:rPr>
        <w:t>،</w:t>
      </w:r>
      <w:r w:rsidR="009F545A" w:rsidRPr="009F545A">
        <w:rPr>
          <w:bCs/>
          <w:rtl/>
          <w:lang w:eastAsia="zh-TW"/>
        </w:rPr>
        <w:t xml:space="preserve"> الفصل الأول)</w:t>
      </w:r>
      <w:r w:rsidRPr="009F545A">
        <w:rPr>
          <w:bCs/>
          <w:rtl/>
          <w:lang w:eastAsia="zh-TW"/>
        </w:rPr>
        <w:t>. وفي ضوء قرار الجمعية العامة 68/268، تحث اللجنة الدولة الطرف على التقيد بالحد الأقصى لعدد الكلمات في هذه الوثائق، وهو</w:t>
      </w:r>
      <w:r w:rsidRPr="009F545A">
        <w:rPr>
          <w:rFonts w:hint="cs"/>
          <w:bCs/>
          <w:rtl/>
          <w:lang w:eastAsia="zh-TW"/>
        </w:rPr>
        <w:t> </w:t>
      </w:r>
      <w:r w:rsidR="00003270" w:rsidRPr="009F545A">
        <w:rPr>
          <w:bCs/>
          <w:rtl/>
          <w:lang w:eastAsia="zh-TW"/>
        </w:rPr>
        <w:t>400 42 كلم</w:t>
      </w:r>
      <w:r w:rsidR="00003270" w:rsidRPr="009F545A">
        <w:rPr>
          <w:rFonts w:hint="cs"/>
          <w:bCs/>
          <w:rtl/>
          <w:lang w:eastAsia="zh-TW"/>
        </w:rPr>
        <w:t>ة.</w:t>
      </w:r>
    </w:p>
    <w:p w:rsidR="00832493" w:rsidRPr="00832008" w:rsidRDefault="009F545A" w:rsidP="00003270">
      <w:pPr>
        <w:pStyle w:val="H23GA"/>
        <w:rPr>
          <w:rtl/>
          <w:lang w:bidi="ar-DZ"/>
        </w:rPr>
      </w:pPr>
      <w:r>
        <w:rPr>
          <w:rtl/>
        </w:rPr>
        <w:tab/>
      </w:r>
      <w:r>
        <w:rPr>
          <w:rtl/>
        </w:rPr>
        <w:tab/>
      </w:r>
      <w:r w:rsidR="00832493" w:rsidRPr="00FD2990">
        <w:rPr>
          <w:rtl/>
        </w:rPr>
        <w:t>متابعة هذه الملاحظات الختامية</w:t>
      </w:r>
    </w:p>
    <w:p w:rsidR="00832493" w:rsidRPr="007A183B" w:rsidRDefault="00832493" w:rsidP="00832493">
      <w:pPr>
        <w:pStyle w:val="SingleTxtGA"/>
        <w:rPr>
          <w:rtl/>
          <w:lang w:eastAsia="zh-TW"/>
        </w:rPr>
      </w:pPr>
      <w:r>
        <w:rPr>
          <w:rtl/>
          <w:lang w:eastAsia="zh-TW"/>
        </w:rPr>
        <w:t>٤٠-</w:t>
      </w:r>
      <w:r w:rsidR="009F545A">
        <w:rPr>
          <w:rtl/>
          <w:lang w:eastAsia="zh-TW"/>
        </w:rPr>
        <w:tab/>
      </w:r>
      <w:r w:rsidRPr="00516F89">
        <w:rPr>
          <w:bCs/>
          <w:rtl/>
          <w:lang w:eastAsia="zh-TW"/>
        </w:rPr>
        <w:t>تطلب اللجنة إلى الدولة الطرف، وفقاً للفقرة (1) من المادة 9 من الاتفاقية والمادة 65 من نظامها الداخلي، أن تقدم في غضون سنة واحدة من اعتماد هذه الملاحظات الختامية، معلومات عن تنفيذها التوصيات الواردة في الفقرتين 26</w:t>
      </w:r>
      <w:r>
        <w:rPr>
          <w:bCs/>
          <w:rtl/>
          <w:lang w:eastAsia="zh-TW"/>
        </w:rPr>
        <w:t xml:space="preserve"> و</w:t>
      </w:r>
      <w:r w:rsidRPr="00516F89">
        <w:rPr>
          <w:bCs/>
          <w:rtl/>
          <w:lang w:eastAsia="zh-TW"/>
        </w:rPr>
        <w:t>28 أعلاه</w:t>
      </w:r>
      <w:r>
        <w:rPr>
          <w:rtl/>
          <w:lang w:eastAsia="zh-TW"/>
        </w:rPr>
        <w:t xml:space="preserve">. </w:t>
      </w:r>
    </w:p>
    <w:p w:rsidR="00832493" w:rsidRPr="00832008" w:rsidRDefault="009F545A" w:rsidP="00832493">
      <w:pPr>
        <w:pStyle w:val="H23GA"/>
        <w:rPr>
          <w:rtl/>
        </w:rPr>
      </w:pPr>
      <w:r>
        <w:rPr>
          <w:rtl/>
        </w:rPr>
        <w:tab/>
      </w:r>
      <w:r>
        <w:rPr>
          <w:rtl/>
        </w:rPr>
        <w:tab/>
      </w:r>
      <w:r w:rsidR="00832493" w:rsidRPr="00FD2990">
        <w:rPr>
          <w:rtl/>
        </w:rPr>
        <w:t>الفقرات ذات الأهمية الخاصة</w:t>
      </w:r>
    </w:p>
    <w:p w:rsidR="00832493" w:rsidRPr="007A183B" w:rsidRDefault="00832493" w:rsidP="00832493">
      <w:pPr>
        <w:pStyle w:val="SingleTxtGA"/>
        <w:rPr>
          <w:rtl/>
          <w:lang w:eastAsia="zh-TW"/>
        </w:rPr>
      </w:pPr>
      <w:r>
        <w:rPr>
          <w:rtl/>
          <w:lang w:eastAsia="zh-TW"/>
        </w:rPr>
        <w:t>٤١-</w:t>
      </w:r>
      <w:r w:rsidR="009F545A">
        <w:rPr>
          <w:rtl/>
          <w:lang w:eastAsia="zh-TW"/>
        </w:rPr>
        <w:tab/>
      </w:r>
      <w:r w:rsidRPr="00516F89">
        <w:rPr>
          <w:bCs/>
          <w:rtl/>
          <w:lang w:eastAsia="zh-TW"/>
        </w:rPr>
        <w:t>تود اللجنة أن توجه انتباه الدولة الطرف إلى الأهمية الخاصة للتوصيات الواردة في الفقرات 8</w:t>
      </w:r>
      <w:r>
        <w:rPr>
          <w:bCs/>
          <w:rtl/>
          <w:lang w:eastAsia="zh-TW"/>
        </w:rPr>
        <w:t xml:space="preserve"> و</w:t>
      </w:r>
      <w:r w:rsidRPr="00516F89">
        <w:rPr>
          <w:bCs/>
          <w:rtl/>
          <w:lang w:eastAsia="zh-TW"/>
        </w:rPr>
        <w:t>22</w:t>
      </w:r>
      <w:r>
        <w:rPr>
          <w:bCs/>
          <w:rtl/>
          <w:lang w:eastAsia="zh-TW"/>
        </w:rPr>
        <w:t xml:space="preserve"> و</w:t>
      </w:r>
      <w:r w:rsidRPr="00516F89">
        <w:rPr>
          <w:bCs/>
          <w:rtl/>
          <w:lang w:eastAsia="zh-TW"/>
        </w:rPr>
        <w:t>24 أعلاه وتطلب إلى الدولة الطرف أن تقدم في تقريرها الدوري المقبل معلومات مفصلة عن التدابير الملموسة المتخذة لتنفيذ تلك التوصيات</w:t>
      </w:r>
      <w:r>
        <w:rPr>
          <w:rtl/>
          <w:lang w:eastAsia="zh-TW"/>
        </w:rPr>
        <w:t xml:space="preserve">. </w:t>
      </w:r>
    </w:p>
    <w:p w:rsidR="00832493" w:rsidRPr="00FD2990" w:rsidRDefault="009F545A" w:rsidP="00832493">
      <w:pPr>
        <w:pStyle w:val="H23GA"/>
        <w:rPr>
          <w:rtl/>
        </w:rPr>
      </w:pPr>
      <w:r>
        <w:rPr>
          <w:rtl/>
        </w:rPr>
        <w:tab/>
      </w:r>
      <w:r>
        <w:rPr>
          <w:rtl/>
        </w:rPr>
        <w:tab/>
      </w:r>
      <w:r w:rsidR="00832493" w:rsidRPr="00FD2990">
        <w:rPr>
          <w:rtl/>
        </w:rPr>
        <w:t>نشر المعلومات</w:t>
      </w:r>
    </w:p>
    <w:p w:rsidR="00832493" w:rsidRPr="007A183B" w:rsidRDefault="00832493" w:rsidP="00832493">
      <w:pPr>
        <w:pStyle w:val="SingleTxtGA"/>
        <w:rPr>
          <w:rtl/>
          <w:lang w:eastAsia="zh-TW"/>
        </w:rPr>
      </w:pPr>
      <w:r>
        <w:rPr>
          <w:rtl/>
          <w:lang w:eastAsia="zh-TW"/>
        </w:rPr>
        <w:t>٤٢-</w:t>
      </w:r>
      <w:r w:rsidR="009F545A">
        <w:rPr>
          <w:rtl/>
          <w:lang w:eastAsia="zh-TW"/>
        </w:rPr>
        <w:tab/>
      </w:r>
      <w:r w:rsidRPr="00516F89">
        <w:rPr>
          <w:bCs/>
          <w:rtl/>
          <w:lang w:eastAsia="zh-TW"/>
        </w:rPr>
        <w:t>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الاقتضاء</w:t>
      </w:r>
      <w:r>
        <w:rPr>
          <w:rtl/>
          <w:lang w:eastAsia="zh-TW"/>
        </w:rPr>
        <w:t xml:space="preserve">. </w:t>
      </w:r>
    </w:p>
    <w:p w:rsidR="00832493" w:rsidRPr="00516F89" w:rsidRDefault="009F545A" w:rsidP="00832493">
      <w:pPr>
        <w:pStyle w:val="H23GA"/>
        <w:rPr>
          <w:rtl/>
        </w:rPr>
      </w:pPr>
      <w:r>
        <w:rPr>
          <w:rtl/>
        </w:rPr>
        <w:tab/>
      </w:r>
      <w:r>
        <w:rPr>
          <w:rtl/>
        </w:rPr>
        <w:tab/>
      </w:r>
      <w:r w:rsidR="00832493" w:rsidRPr="00516F89">
        <w:rPr>
          <w:rtl/>
        </w:rPr>
        <w:t>إعداد التقرير الدوري المقبل</w:t>
      </w:r>
    </w:p>
    <w:p w:rsidR="00832493" w:rsidRDefault="00832493" w:rsidP="003400DF">
      <w:pPr>
        <w:pStyle w:val="SingleTxtGA"/>
        <w:rPr>
          <w:rtl/>
          <w:lang w:eastAsia="zh-TW"/>
        </w:rPr>
      </w:pPr>
      <w:r>
        <w:rPr>
          <w:rtl/>
          <w:lang w:eastAsia="zh-TW"/>
        </w:rPr>
        <w:t>٤٣-</w:t>
      </w:r>
      <w:r w:rsidR="009F545A">
        <w:rPr>
          <w:rtl/>
          <w:lang w:eastAsia="zh-TW"/>
        </w:rPr>
        <w:tab/>
      </w:r>
      <w:r w:rsidRPr="00516F89">
        <w:rPr>
          <w:bCs/>
          <w:rtl/>
          <w:lang w:eastAsia="zh-TW"/>
        </w:rPr>
        <w:t>توصي اللجنة الدولة الطرف بأن تقدم تقريرها الجامع للتقريرين الدوريين الثاني والعشرين والثالث والعشرين، في وثيقة واحدة، في موعد أقصاه 20 تموز/يوليه 2021، مع مراعاة المبادئ التوجيهية لتقديم التقارير التي اعتمدتها اللجنة أثناء دورتها الحادية والسبعين</w:t>
      </w:r>
      <w:r w:rsidRPr="007D3547">
        <w:rPr>
          <w:b/>
          <w:rtl/>
          <w:lang w:eastAsia="zh-TW"/>
        </w:rPr>
        <w:t xml:space="preserve"> (</w:t>
      </w:r>
      <w:r w:rsidRPr="007D3547">
        <w:rPr>
          <w:b/>
          <w:lang w:eastAsia="zh-TW"/>
        </w:rPr>
        <w:t>CERD/C/2007/1</w:t>
      </w:r>
      <w:r w:rsidRPr="007D3547">
        <w:rPr>
          <w:b/>
          <w:rtl/>
          <w:lang w:eastAsia="zh-TW"/>
        </w:rPr>
        <w:t>)،</w:t>
      </w:r>
      <w:r w:rsidRPr="00516F89">
        <w:rPr>
          <w:bCs/>
          <w:rtl/>
          <w:lang w:eastAsia="zh-TW"/>
        </w:rPr>
        <w:t xml:space="preserve">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r>
        <w:rPr>
          <w:rtl/>
          <w:lang w:eastAsia="zh-TW"/>
        </w:rPr>
        <w:t>.</w:t>
      </w:r>
    </w:p>
    <w:p w:rsidR="00832493" w:rsidRDefault="009F545A" w:rsidP="00832493">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832493" w:rsidSect="00F74EA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5F" w:rsidRPr="002901D9" w:rsidRDefault="00126B5F" w:rsidP="002901D9">
      <w:pPr>
        <w:spacing w:after="60" w:line="240" w:lineRule="auto"/>
        <w:rPr>
          <w:i/>
          <w:iCs/>
        </w:rPr>
      </w:pPr>
      <w:r>
        <w:rPr>
          <w:rFonts w:hint="cs"/>
          <w:i/>
          <w:iCs/>
          <w:rtl/>
        </w:rPr>
        <w:t>الحواشي</w:t>
      </w:r>
    </w:p>
  </w:endnote>
  <w:endnote w:type="continuationSeparator" w:id="0">
    <w:p w:rsidR="00126B5F" w:rsidRDefault="00126B5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9" w:rsidRPr="00832493" w:rsidRDefault="00832493" w:rsidP="00832493">
    <w:pPr>
      <w:pStyle w:val="Footer"/>
      <w:tabs>
        <w:tab w:val="right" w:pos="9598"/>
      </w:tabs>
      <w:rPr>
        <w:sz w:val="17"/>
      </w:rPr>
    </w:pPr>
    <w:r>
      <w:rPr>
        <w:sz w:val="17"/>
      </w:rPr>
      <w:t>GE.17-15987</w:t>
    </w:r>
    <w:r w:rsidR="009F545A">
      <w:rPr>
        <w:sz w:val="17"/>
      </w:rPr>
      <w:tab/>
    </w:r>
    <w:r w:rsidRPr="00832493">
      <w:rPr>
        <w:b/>
        <w:sz w:val="18"/>
      </w:rPr>
      <w:fldChar w:fldCharType="begin"/>
    </w:r>
    <w:r w:rsidRPr="00832493">
      <w:rPr>
        <w:b/>
        <w:sz w:val="18"/>
      </w:rPr>
      <w:instrText xml:space="preserve"> PAGE  \* MERGEFORMAT </w:instrText>
    </w:r>
    <w:r w:rsidRPr="00832493">
      <w:rPr>
        <w:b/>
        <w:sz w:val="18"/>
      </w:rPr>
      <w:fldChar w:fldCharType="separate"/>
    </w:r>
    <w:r w:rsidR="004A320F">
      <w:rPr>
        <w:b/>
        <w:noProof/>
        <w:sz w:val="18"/>
      </w:rPr>
      <w:t>10</w:t>
    </w:r>
    <w:r w:rsidRPr="0083249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32493" w:rsidRDefault="00832493" w:rsidP="006959B0">
    <w:pPr>
      <w:pStyle w:val="Footer"/>
      <w:tabs>
        <w:tab w:val="right" w:pos="9599"/>
      </w:tabs>
      <w:jc w:val="left"/>
      <w:rPr>
        <w:b/>
        <w:sz w:val="18"/>
        <w:lang w:val="en-US"/>
      </w:rPr>
    </w:pPr>
    <w:r w:rsidRPr="00832493">
      <w:rPr>
        <w:b/>
        <w:sz w:val="18"/>
        <w:lang w:val="en-US"/>
      </w:rPr>
      <w:fldChar w:fldCharType="begin"/>
    </w:r>
    <w:r w:rsidRPr="00832493">
      <w:rPr>
        <w:b/>
        <w:sz w:val="18"/>
        <w:lang w:val="en-US"/>
      </w:rPr>
      <w:instrText xml:space="preserve"> PAGE  \* MERGEFORMAT </w:instrText>
    </w:r>
    <w:r w:rsidRPr="00832493">
      <w:rPr>
        <w:b/>
        <w:sz w:val="18"/>
        <w:lang w:val="en-US"/>
      </w:rPr>
      <w:fldChar w:fldCharType="separate"/>
    </w:r>
    <w:r w:rsidR="004A320F">
      <w:rPr>
        <w:b/>
        <w:noProof/>
        <w:sz w:val="18"/>
        <w:lang w:val="en-US"/>
      </w:rPr>
      <w:t>9</w:t>
    </w:r>
    <w:r w:rsidRPr="00832493">
      <w:rPr>
        <w:b/>
        <w:sz w:val="18"/>
        <w:lang w:val="en-US"/>
      </w:rPr>
      <w:fldChar w:fldCharType="end"/>
    </w:r>
    <w:r w:rsidR="009F545A">
      <w:rPr>
        <w:b/>
        <w:sz w:val="18"/>
        <w:lang w:val="en-US"/>
      </w:rPr>
      <w:tab/>
    </w:r>
    <w:r>
      <w:rPr>
        <w:sz w:val="17"/>
        <w:lang w:val="en-US"/>
      </w:rPr>
      <w:t>GE.17-15987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F74EA9" w:rsidP="00F6741C">
    <w:pPr>
      <w:pStyle w:val="Footer"/>
      <w:spacing w:before="360"/>
      <w:jc w:val="right"/>
      <w:rPr>
        <w:sz w:val="20"/>
        <w:szCs w:val="20"/>
      </w:rPr>
    </w:pPr>
    <w:r>
      <w:rPr>
        <w:sz w:val="20"/>
        <w:szCs w:val="20"/>
      </w:rPr>
      <w:t>GE.17-15987</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74EA9" w:rsidRPr="00F74EA9" w:rsidRDefault="00F74EA9" w:rsidP="00F74EA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5F" w:rsidRPr="0054762C" w:rsidRDefault="00126B5F" w:rsidP="000E524A">
      <w:pPr>
        <w:pStyle w:val="Footer"/>
        <w:bidi/>
        <w:spacing w:after="80" w:line="200" w:lineRule="exact"/>
        <w:ind w:left="680"/>
      </w:pPr>
      <w:r>
        <w:rPr>
          <w:rtl/>
        </w:rPr>
        <w:t>__________</w:t>
      </w:r>
    </w:p>
  </w:footnote>
  <w:footnote w:type="continuationSeparator" w:id="0">
    <w:p w:rsidR="00126B5F" w:rsidRDefault="00126B5F" w:rsidP="00656392">
      <w:pPr>
        <w:spacing w:line="240" w:lineRule="auto"/>
      </w:pPr>
      <w:r>
        <w:continuationSeparator/>
      </w:r>
    </w:p>
  </w:footnote>
  <w:footnote w:id="1">
    <w:p w:rsidR="00832493" w:rsidRPr="00832493" w:rsidRDefault="00832493" w:rsidP="00832493">
      <w:pPr>
        <w:pStyle w:val="FootnoteText1"/>
        <w:rPr>
          <w:rtl/>
        </w:rPr>
      </w:pPr>
      <w:r>
        <w:rPr>
          <w:rtl/>
          <w:lang w:bidi="ar-DZ"/>
        </w:rPr>
        <w:t>*</w:t>
      </w:r>
      <w:r w:rsidR="009F545A">
        <w:rPr>
          <w:rtl/>
          <w:lang w:bidi="ar-DZ"/>
        </w:rPr>
        <w:tab/>
      </w:r>
      <w:r>
        <w:rPr>
          <w:rtl/>
          <w:lang w:eastAsia="zh-TW"/>
        </w:rPr>
        <w:t>اعتمدتها اللجنة في دورتها الثالثة والتسعين (من 31 تموز/يوليه إلى 25 آب/أغسطس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9" w:rsidRPr="00832493" w:rsidRDefault="00832493" w:rsidP="00832493">
    <w:pPr>
      <w:pStyle w:val="Header"/>
      <w:jc w:val="right"/>
    </w:pPr>
    <w:r w:rsidRPr="00832493">
      <w:t>CERD/C/ARE/CO/18-21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9" w:rsidRPr="00832493" w:rsidRDefault="00832493" w:rsidP="00832493">
    <w:pPr>
      <w:pStyle w:val="Header"/>
      <w:jc w:val="left"/>
    </w:pPr>
    <w:r w:rsidRPr="00832493">
      <w:t>CERD/C/ARE/CO/18-21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26B5F"/>
    <w:rsid w:val="00003270"/>
    <w:rsid w:val="000076D5"/>
    <w:rsid w:val="00043663"/>
    <w:rsid w:val="000505CF"/>
    <w:rsid w:val="000D701C"/>
    <w:rsid w:val="000E2A71"/>
    <w:rsid w:val="000E524A"/>
    <w:rsid w:val="00126B5F"/>
    <w:rsid w:val="00160263"/>
    <w:rsid w:val="001773DB"/>
    <w:rsid w:val="00181F96"/>
    <w:rsid w:val="001A1371"/>
    <w:rsid w:val="001B346A"/>
    <w:rsid w:val="001E1CAD"/>
    <w:rsid w:val="001E290D"/>
    <w:rsid w:val="002144FA"/>
    <w:rsid w:val="0023469A"/>
    <w:rsid w:val="00243C8A"/>
    <w:rsid w:val="00267A0E"/>
    <w:rsid w:val="002901D9"/>
    <w:rsid w:val="002976C2"/>
    <w:rsid w:val="002B35A1"/>
    <w:rsid w:val="002E44C0"/>
    <w:rsid w:val="00325CC1"/>
    <w:rsid w:val="003260FF"/>
    <w:rsid w:val="003378E7"/>
    <w:rsid w:val="003400DF"/>
    <w:rsid w:val="00343D95"/>
    <w:rsid w:val="00374341"/>
    <w:rsid w:val="003D1062"/>
    <w:rsid w:val="003E159A"/>
    <w:rsid w:val="004205C7"/>
    <w:rsid w:val="00420D7B"/>
    <w:rsid w:val="00450B21"/>
    <w:rsid w:val="00453B63"/>
    <w:rsid w:val="00455780"/>
    <w:rsid w:val="004A320F"/>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110B"/>
    <w:rsid w:val="00733704"/>
    <w:rsid w:val="00740188"/>
    <w:rsid w:val="0078071A"/>
    <w:rsid w:val="007A42E5"/>
    <w:rsid w:val="007A70BB"/>
    <w:rsid w:val="007D3547"/>
    <w:rsid w:val="00832493"/>
    <w:rsid w:val="00852A9A"/>
    <w:rsid w:val="00871544"/>
    <w:rsid w:val="008930DB"/>
    <w:rsid w:val="00895D16"/>
    <w:rsid w:val="008F49E1"/>
    <w:rsid w:val="0090370F"/>
    <w:rsid w:val="009269D2"/>
    <w:rsid w:val="00942135"/>
    <w:rsid w:val="009521B0"/>
    <w:rsid w:val="009A7E9F"/>
    <w:rsid w:val="009E5018"/>
    <w:rsid w:val="009F545A"/>
    <w:rsid w:val="00A12B37"/>
    <w:rsid w:val="00A50EC0"/>
    <w:rsid w:val="00A74331"/>
    <w:rsid w:val="00AB6758"/>
    <w:rsid w:val="00B13763"/>
    <w:rsid w:val="00B477A4"/>
    <w:rsid w:val="00B54045"/>
    <w:rsid w:val="00BA5E8B"/>
    <w:rsid w:val="00C022F5"/>
    <w:rsid w:val="00C438D7"/>
    <w:rsid w:val="00C53FE8"/>
    <w:rsid w:val="00C81B50"/>
    <w:rsid w:val="00CA655B"/>
    <w:rsid w:val="00CA75E9"/>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4EA9"/>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67FB5A7-0CFA-4709-BC50-298CB646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3249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83249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83249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832493"/>
    <w:pPr>
      <w:suppressAutoHyphens/>
      <w:bidi w:val="0"/>
      <w:spacing w:after="120"/>
      <w:ind w:left="1134" w:right="1134"/>
      <w:jc w:val="both"/>
    </w:pPr>
    <w:rPr>
      <w:rFonts w:eastAsia="SimSun" w:hAnsiTheme="minorHAnsi" w:hint="cs"/>
      <w:lang w:val="en-GB" w:eastAsia="zh-CN"/>
    </w:rPr>
  </w:style>
  <w:style w:type="paragraph" w:styleId="HTMLPreformatted">
    <w:name w:val="HTML Preformatted"/>
    <w:basedOn w:val="Normal"/>
    <w:link w:val="HTMLPreformattedChar"/>
    <w:uiPriority w:val="99"/>
    <w:semiHidden/>
    <w:unhideWhenUsed/>
    <w:rsid w:val="00832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3249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FFC7-2B20-4CCD-A290-F7B59A44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10</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CERD/C/ARE/CO/18-21</vt:lpstr>
    </vt:vector>
  </TitlesOfParts>
  <Company>DCM</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CERD/C/ARE/CO/18-21</dc:title>
  <dc:subject>GE.1715987A</dc:subject>
  <dc:creator>MBU,  fadel-Ostojic</dc:creator>
  <cp:keywords>ODS No.</cp:keywords>
  <dc:description>Original: English _x000d_
Distribution: General_x000d_
Date: 13 September 2017</dc:description>
  <cp:lastModifiedBy>Gamal MAHMOUD</cp:lastModifiedBy>
  <cp:revision>2</cp:revision>
  <cp:lastPrinted>2017-10-09T10:06:00Z</cp:lastPrinted>
  <dcterms:created xsi:type="dcterms:W3CDTF">2017-10-09T15:37:00Z</dcterms:created>
  <dcterms:modified xsi:type="dcterms:W3CDTF">2017-10-09T15:37:00Z</dcterms:modified>
  <cp:category>Final</cp:category>
</cp:coreProperties>
</file>