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184DF3B7" w14:textId="77777777" w:rsidTr="004C4D99">
        <w:trPr>
          <w:trHeight w:hRule="exact" w:val="851"/>
        </w:trPr>
        <w:tc>
          <w:tcPr>
            <w:tcW w:w="1276" w:type="dxa"/>
            <w:tcBorders>
              <w:bottom w:val="single" w:sz="4" w:space="0" w:color="auto"/>
            </w:tcBorders>
          </w:tcPr>
          <w:p w14:paraId="4D55C28E" w14:textId="77777777" w:rsidR="00392B1D" w:rsidRPr="00DB58B5" w:rsidRDefault="00392B1D" w:rsidP="004C4D99"/>
        </w:tc>
        <w:tc>
          <w:tcPr>
            <w:tcW w:w="2268" w:type="dxa"/>
            <w:tcBorders>
              <w:bottom w:val="single" w:sz="4" w:space="0" w:color="auto"/>
            </w:tcBorders>
            <w:vAlign w:val="bottom"/>
          </w:tcPr>
          <w:p w14:paraId="6E15AC6E"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84F8E9" w14:textId="1FA496F3" w:rsidR="00392B1D" w:rsidRPr="00A63C58" w:rsidRDefault="00A63C58" w:rsidP="00A63C58">
            <w:pPr>
              <w:jc w:val="right"/>
            </w:pPr>
            <w:r w:rsidRPr="00A63C58">
              <w:rPr>
                <w:sz w:val="40"/>
              </w:rPr>
              <w:t>CED</w:t>
            </w:r>
            <w:r>
              <w:t>/C/NER/CO/1</w:t>
            </w:r>
          </w:p>
        </w:tc>
      </w:tr>
      <w:tr w:rsidR="00392B1D" w:rsidRPr="00DB58B5" w14:paraId="3FE00BC9" w14:textId="77777777" w:rsidTr="004C4D99">
        <w:trPr>
          <w:trHeight w:hRule="exact" w:val="2835"/>
        </w:trPr>
        <w:tc>
          <w:tcPr>
            <w:tcW w:w="1276" w:type="dxa"/>
            <w:tcBorders>
              <w:top w:val="single" w:sz="4" w:space="0" w:color="auto"/>
              <w:bottom w:val="single" w:sz="12" w:space="0" w:color="auto"/>
            </w:tcBorders>
          </w:tcPr>
          <w:p w14:paraId="018B6AA2" w14:textId="77777777" w:rsidR="00392B1D" w:rsidRPr="00DB58B5" w:rsidRDefault="00392B1D" w:rsidP="004C4D99">
            <w:pPr>
              <w:spacing w:before="120"/>
              <w:jc w:val="center"/>
            </w:pPr>
            <w:r>
              <w:rPr>
                <w:noProof/>
                <w:lang w:eastAsia="fr-CH"/>
              </w:rPr>
              <w:drawing>
                <wp:inline distT="0" distB="0" distL="0" distR="0" wp14:anchorId="56F4DCC3" wp14:editId="0AC60B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867056"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4A6BF2C5" w14:textId="77777777" w:rsidR="00392B1D" w:rsidRDefault="00BB6AD2" w:rsidP="004C4D99">
            <w:pPr>
              <w:spacing w:before="240"/>
            </w:pPr>
            <w:r>
              <w:t>Distr. générale</w:t>
            </w:r>
          </w:p>
          <w:p w14:paraId="7416D4A7" w14:textId="2F9A60E8" w:rsidR="00BB6AD2" w:rsidRDefault="00BB6AD2" w:rsidP="00BB6AD2">
            <w:pPr>
              <w:spacing w:line="240" w:lineRule="exact"/>
            </w:pPr>
            <w:r>
              <w:t>5 mai 2022</w:t>
            </w:r>
          </w:p>
          <w:p w14:paraId="2693C05F" w14:textId="0C10CC43" w:rsidR="00BB6AD2" w:rsidRDefault="00BB6AD2" w:rsidP="00BB6AD2">
            <w:pPr>
              <w:spacing w:line="240" w:lineRule="exact"/>
            </w:pPr>
          </w:p>
          <w:p w14:paraId="2C9088E2" w14:textId="278681A6" w:rsidR="00BB6AD2" w:rsidRPr="00DB58B5" w:rsidRDefault="00BB6AD2" w:rsidP="00BB6AD2">
            <w:pPr>
              <w:spacing w:line="240" w:lineRule="exact"/>
            </w:pPr>
            <w:r>
              <w:t>Original : français</w:t>
            </w:r>
          </w:p>
        </w:tc>
      </w:tr>
    </w:tbl>
    <w:p w14:paraId="1130F504" w14:textId="77777777" w:rsidR="00392B1D" w:rsidRPr="00D55CFF" w:rsidRDefault="00392B1D" w:rsidP="00392B1D">
      <w:pPr>
        <w:spacing w:before="120"/>
        <w:rPr>
          <w:b/>
          <w:sz w:val="24"/>
          <w:szCs w:val="24"/>
        </w:rPr>
      </w:pPr>
      <w:r w:rsidRPr="00D55CFF">
        <w:rPr>
          <w:b/>
          <w:sz w:val="24"/>
          <w:szCs w:val="24"/>
        </w:rPr>
        <w:t>Comité des disparitions forcées</w:t>
      </w:r>
    </w:p>
    <w:p w14:paraId="1C2EC42B" w14:textId="38F35133" w:rsidR="00BB6AD2" w:rsidRDefault="00BB6AD2" w:rsidP="00BB6AD2">
      <w:pPr>
        <w:pStyle w:val="HChG"/>
      </w:pPr>
      <w:r>
        <w:tab/>
      </w:r>
      <w:r>
        <w:tab/>
      </w:r>
      <w:r>
        <w:rPr>
          <w:lang w:val="fr-FR"/>
        </w:rPr>
        <w:t xml:space="preserve">Observations finales concernant le rapport soumis </w:t>
      </w:r>
      <w:r>
        <w:rPr>
          <w:lang w:val="fr-FR"/>
        </w:rPr>
        <w:br/>
        <w:t xml:space="preserve">par le Niger en </w:t>
      </w:r>
      <w:r w:rsidRPr="00443CBE">
        <w:rPr>
          <w:lang w:val="fr-FR"/>
        </w:rPr>
        <w:t>application de l</w:t>
      </w:r>
      <w:r w:rsidR="00E81836">
        <w:rPr>
          <w:lang w:val="fr-FR"/>
        </w:rPr>
        <w:t>’</w:t>
      </w:r>
      <w:r w:rsidRPr="00443CBE">
        <w:rPr>
          <w:lang w:val="fr-FR"/>
        </w:rPr>
        <w:t>article</w:t>
      </w:r>
      <w:r>
        <w:rPr>
          <w:lang w:val="fr-FR"/>
        </w:rPr>
        <w:t> </w:t>
      </w:r>
      <w:r w:rsidRPr="00443CBE">
        <w:rPr>
          <w:lang w:val="fr-FR"/>
        </w:rPr>
        <w:t xml:space="preserve">29 </w:t>
      </w:r>
      <w:r>
        <w:rPr>
          <w:lang w:val="fr-FR"/>
        </w:rPr>
        <w:t>(par. </w:t>
      </w:r>
      <w:r w:rsidRPr="00443CBE">
        <w:rPr>
          <w:lang w:val="fr-FR"/>
        </w:rPr>
        <w:t>1</w:t>
      </w:r>
      <w:r>
        <w:rPr>
          <w:lang w:val="fr-FR"/>
        </w:rPr>
        <w:t>)</w:t>
      </w:r>
      <w:r w:rsidRPr="00443CBE">
        <w:rPr>
          <w:lang w:val="fr-FR"/>
        </w:rPr>
        <w:t xml:space="preserve"> </w:t>
      </w:r>
      <w:r>
        <w:rPr>
          <w:lang w:val="fr-FR"/>
        </w:rPr>
        <w:br/>
      </w:r>
      <w:r w:rsidRPr="00443CBE">
        <w:rPr>
          <w:lang w:val="fr-FR"/>
        </w:rPr>
        <w:t>de la Convention</w:t>
      </w:r>
      <w:r w:rsidRPr="00FE4193">
        <w:rPr>
          <w:rStyle w:val="Appelnotedebasdep"/>
          <w:b w:val="0"/>
          <w:bCs/>
          <w:sz w:val="20"/>
          <w:vertAlign w:val="baseline"/>
        </w:rPr>
        <w:footnoteReference w:customMarkFollows="1" w:id="2"/>
        <w:t>*</w:t>
      </w:r>
    </w:p>
    <w:p w14:paraId="4928756B" w14:textId="44467043" w:rsidR="00BB6AD2" w:rsidRPr="00407492" w:rsidRDefault="00BB6AD2" w:rsidP="00BB6AD2">
      <w:pPr>
        <w:pStyle w:val="SingleTxtG"/>
        <w:rPr>
          <w:lang w:val="fr-FR"/>
        </w:rPr>
      </w:pPr>
      <w:r>
        <w:rPr>
          <w:lang w:val="fr-FR"/>
        </w:rPr>
        <w:t>1.</w:t>
      </w:r>
      <w:r>
        <w:rPr>
          <w:lang w:val="fr-FR"/>
        </w:rPr>
        <w:tab/>
      </w:r>
      <w:r w:rsidRPr="00407492">
        <w:rPr>
          <w:lang w:val="fr-FR"/>
        </w:rPr>
        <w:t xml:space="preserve">Le Comité des disparitions forcées a examiné le rapport </w:t>
      </w:r>
      <w:r>
        <w:rPr>
          <w:lang w:val="fr-FR"/>
        </w:rPr>
        <w:t>soumis</w:t>
      </w:r>
      <w:r w:rsidRPr="00407492">
        <w:rPr>
          <w:lang w:val="fr-FR"/>
        </w:rPr>
        <w:t xml:space="preserve"> par le Niger en application de l</w:t>
      </w:r>
      <w:r w:rsidR="00E81836">
        <w:rPr>
          <w:lang w:val="fr-FR"/>
        </w:rPr>
        <w:t>’</w:t>
      </w:r>
      <w:r w:rsidRPr="00407492">
        <w:rPr>
          <w:lang w:val="fr-FR"/>
        </w:rPr>
        <w:t>article 29 (par. 1) de la Convention</w:t>
      </w:r>
      <w:r w:rsidRPr="00407492">
        <w:rPr>
          <w:rStyle w:val="Appelnotedebasdep"/>
          <w:sz w:val="20"/>
          <w:lang w:val="fr-FR"/>
        </w:rPr>
        <w:footnoteReference w:id="3"/>
      </w:r>
      <w:r w:rsidRPr="00407492">
        <w:rPr>
          <w:lang w:val="fr-FR"/>
        </w:rPr>
        <w:t xml:space="preserve"> à ses 385</w:t>
      </w:r>
      <w:r w:rsidRPr="00091998">
        <w:rPr>
          <w:vertAlign w:val="superscript"/>
          <w:lang w:val="fr-FR"/>
        </w:rPr>
        <w:t>e</w:t>
      </w:r>
      <w:r w:rsidRPr="00407492">
        <w:rPr>
          <w:lang w:val="fr-FR"/>
        </w:rPr>
        <w:t xml:space="preserve"> et 386</w:t>
      </w:r>
      <w:r w:rsidRPr="00091998">
        <w:rPr>
          <w:vertAlign w:val="superscript"/>
          <w:lang w:val="fr-FR"/>
        </w:rPr>
        <w:t>e</w:t>
      </w:r>
      <w:r w:rsidRPr="00407492">
        <w:rPr>
          <w:lang w:val="fr-FR"/>
        </w:rPr>
        <w:t> séances</w:t>
      </w:r>
      <w:r w:rsidRPr="00407492">
        <w:rPr>
          <w:rStyle w:val="Appelnotedebasdep"/>
          <w:sz w:val="20"/>
          <w:lang w:val="fr-FR"/>
        </w:rPr>
        <w:footnoteReference w:id="4"/>
      </w:r>
      <w:r>
        <w:rPr>
          <w:lang w:val="fr-FR"/>
        </w:rPr>
        <w:t>,</w:t>
      </w:r>
      <w:r w:rsidRPr="00407492">
        <w:rPr>
          <w:lang w:val="fr-FR"/>
        </w:rPr>
        <w:t xml:space="preserve"> les 29 et 30 mars 2022. À sa 399</w:t>
      </w:r>
      <w:r w:rsidRPr="00091998">
        <w:rPr>
          <w:vertAlign w:val="superscript"/>
          <w:lang w:val="fr-FR"/>
        </w:rPr>
        <w:t>e</w:t>
      </w:r>
      <w:r w:rsidRPr="00407492">
        <w:rPr>
          <w:lang w:val="fr-FR"/>
        </w:rPr>
        <w:t> séance, le 7</w:t>
      </w:r>
      <w:r w:rsidR="005F24B1">
        <w:rPr>
          <w:lang w:val="fr-FR"/>
        </w:rPr>
        <w:t> </w:t>
      </w:r>
      <w:r w:rsidRPr="00407492">
        <w:rPr>
          <w:lang w:val="fr-FR"/>
        </w:rPr>
        <w:t xml:space="preserve">avril 2022, il a adopté les </w:t>
      </w:r>
      <w:r>
        <w:rPr>
          <w:lang w:val="fr-FR"/>
        </w:rPr>
        <w:t xml:space="preserve">présentes </w:t>
      </w:r>
      <w:r w:rsidRPr="00407492">
        <w:rPr>
          <w:lang w:val="fr-FR"/>
        </w:rPr>
        <w:t>observations finales.</w:t>
      </w:r>
    </w:p>
    <w:p w14:paraId="302D74DF" w14:textId="77777777" w:rsidR="00BB6AD2" w:rsidRPr="00407492" w:rsidRDefault="00BB6AD2" w:rsidP="00BB6AD2">
      <w:pPr>
        <w:pStyle w:val="H1G"/>
        <w:rPr>
          <w:lang w:val="fr-FR"/>
        </w:rPr>
      </w:pPr>
      <w:r>
        <w:rPr>
          <w:lang w:val="fr-FR"/>
        </w:rPr>
        <w:tab/>
        <w:t>A.</w:t>
      </w:r>
      <w:r>
        <w:rPr>
          <w:lang w:val="fr-FR"/>
        </w:rPr>
        <w:tab/>
      </w:r>
      <w:r w:rsidRPr="00407492">
        <w:rPr>
          <w:lang w:val="fr-FR"/>
        </w:rPr>
        <w:t>Introduction</w:t>
      </w:r>
    </w:p>
    <w:p w14:paraId="5AE9512C" w14:textId="6F6FCEDC" w:rsidR="00BB6AD2" w:rsidRPr="006146C5" w:rsidRDefault="00BB6AD2" w:rsidP="00BB6AD2">
      <w:pPr>
        <w:pStyle w:val="SingleTxtG"/>
      </w:pPr>
      <w:r>
        <w:t>2.</w:t>
      </w:r>
      <w:r>
        <w:tab/>
      </w:r>
      <w:r w:rsidRPr="006146C5">
        <w:t>Le Comité accueille avec satisfaction le rapport établi par le Niger en application de l</w:t>
      </w:r>
      <w:r w:rsidR="00E81836">
        <w:t>’</w:t>
      </w:r>
      <w:r w:rsidRPr="006146C5">
        <w:t>article 29 (par. 1) de la Convention, qui a été élaboré conformément à ses directives. En</w:t>
      </w:r>
      <w:r w:rsidR="005F24B1">
        <w:t> </w:t>
      </w:r>
      <w:r w:rsidRPr="006146C5">
        <w:t>outre, il remercie l</w:t>
      </w:r>
      <w:r w:rsidR="00E81836">
        <w:t>’</w:t>
      </w:r>
      <w:r w:rsidRPr="006146C5">
        <w:t>État partie pour ses réponses écrites</w:t>
      </w:r>
      <w:r w:rsidRPr="00091998">
        <w:rPr>
          <w:rStyle w:val="Appelnotedebasdep"/>
          <w:sz w:val="20"/>
        </w:rPr>
        <w:footnoteReference w:id="5"/>
      </w:r>
      <w:r w:rsidRPr="006146C5">
        <w:t xml:space="preserve"> à la liste de points à traiter</w:t>
      </w:r>
      <w:r w:rsidRPr="00091998">
        <w:rPr>
          <w:rStyle w:val="Appelnotedebasdep"/>
          <w:sz w:val="20"/>
        </w:rPr>
        <w:footnoteReference w:id="6"/>
      </w:r>
      <w:r>
        <w:t>.</w:t>
      </w:r>
    </w:p>
    <w:p w14:paraId="43DBEDBC" w14:textId="477E5B02" w:rsidR="00BB6AD2" w:rsidRPr="006146C5" w:rsidRDefault="00BB6AD2" w:rsidP="00BB6AD2">
      <w:pPr>
        <w:pStyle w:val="SingleTxtG"/>
      </w:pPr>
      <w:r>
        <w:t>3.</w:t>
      </w:r>
      <w:r>
        <w:tab/>
        <w:t>Le Comité</w:t>
      </w:r>
      <w:r w:rsidRPr="006146C5">
        <w:t xml:space="preserve"> se félicite également du dialogue constructif qu</w:t>
      </w:r>
      <w:r w:rsidR="00E81836">
        <w:t>’</w:t>
      </w:r>
      <w:r w:rsidRPr="006146C5">
        <w:t>il a eu avec la délégation de haut niveau de l</w:t>
      </w:r>
      <w:r w:rsidR="00E81836">
        <w:t>’</w:t>
      </w:r>
      <w:r w:rsidRPr="006146C5">
        <w:t>État partie sur les mesures prises pour appliquer les dispositions de la Convention, qui a permis de dissiper plusieurs de ses préoccupations, et salue en particulier l</w:t>
      </w:r>
      <w:r w:rsidR="00E81836">
        <w:t>’</w:t>
      </w:r>
      <w:r w:rsidRPr="006146C5">
        <w:t>ouverture d</w:t>
      </w:r>
      <w:r w:rsidR="00E81836">
        <w:t>’</w:t>
      </w:r>
      <w:r w:rsidRPr="006146C5">
        <w:t>esprit avec laquelle la délégation a répondu aux questions qu</w:t>
      </w:r>
      <w:r w:rsidR="00E81836">
        <w:t>’</w:t>
      </w:r>
      <w:r w:rsidRPr="006146C5">
        <w:t>il a posées. Il</w:t>
      </w:r>
      <w:r w:rsidR="005F24B1">
        <w:t> </w:t>
      </w:r>
      <w:r w:rsidRPr="006146C5">
        <w:t>remercie l</w:t>
      </w:r>
      <w:r w:rsidR="00E81836">
        <w:t>’</w:t>
      </w:r>
      <w:r w:rsidRPr="006146C5">
        <w:t>État partie pour les renseignements complémentaires qu</w:t>
      </w:r>
      <w:r w:rsidR="00E81836">
        <w:t>’</w:t>
      </w:r>
      <w:r w:rsidRPr="006146C5">
        <w:t>il a fournis et les précisions qu</w:t>
      </w:r>
      <w:r w:rsidR="00E81836">
        <w:t>’</w:t>
      </w:r>
      <w:r w:rsidRPr="006146C5">
        <w:t>il a apportées oralement.</w:t>
      </w:r>
    </w:p>
    <w:p w14:paraId="673C1C96" w14:textId="77777777" w:rsidR="00BB6AD2" w:rsidRPr="00407492" w:rsidRDefault="00BB6AD2" w:rsidP="00BB6AD2">
      <w:pPr>
        <w:pStyle w:val="H1G"/>
        <w:rPr>
          <w:lang w:val="fr-FR"/>
        </w:rPr>
      </w:pPr>
      <w:r>
        <w:rPr>
          <w:lang w:val="fr-FR"/>
        </w:rPr>
        <w:tab/>
        <w:t>B.</w:t>
      </w:r>
      <w:r>
        <w:rPr>
          <w:lang w:val="fr-FR"/>
        </w:rPr>
        <w:tab/>
      </w:r>
      <w:r w:rsidRPr="00407492">
        <w:rPr>
          <w:lang w:val="fr-FR"/>
        </w:rPr>
        <w:t>Aspects positifs</w:t>
      </w:r>
    </w:p>
    <w:p w14:paraId="082197CA" w14:textId="0896E3DC" w:rsidR="00BB6AD2" w:rsidRPr="006146C5" w:rsidRDefault="00BB6AD2" w:rsidP="00BB6AD2">
      <w:pPr>
        <w:pStyle w:val="SingleTxtG"/>
      </w:pPr>
      <w:r>
        <w:t>4.</w:t>
      </w:r>
      <w:r>
        <w:tab/>
      </w:r>
      <w:r w:rsidRPr="006146C5">
        <w:t>Le Comité félicite l</w:t>
      </w:r>
      <w:r w:rsidR="00E81836">
        <w:t>’</w:t>
      </w:r>
      <w:r w:rsidRPr="006146C5">
        <w:t>État partie d</w:t>
      </w:r>
      <w:r w:rsidR="00E81836">
        <w:t>’</w:t>
      </w:r>
      <w:r w:rsidRPr="006146C5">
        <w:t>avoir ratifié tous les principaux instruments des Nations</w:t>
      </w:r>
      <w:r w:rsidR="005F24B1">
        <w:t> </w:t>
      </w:r>
      <w:r w:rsidRPr="006146C5">
        <w:t xml:space="preserve">Unies relatifs aux droits </w:t>
      </w:r>
      <w:r>
        <w:t>humains</w:t>
      </w:r>
      <w:r w:rsidRPr="006146C5">
        <w:t xml:space="preserve"> et la plupart des protocoles facultatifs s</w:t>
      </w:r>
      <w:r w:rsidR="00E81836">
        <w:t>’</w:t>
      </w:r>
      <w:r w:rsidRPr="006146C5">
        <w:t>y rapportant, ainsi que le Statut de Rome de la Cour pénale internationale, ou d</w:t>
      </w:r>
      <w:r w:rsidR="00E81836">
        <w:t>’</w:t>
      </w:r>
      <w:r w:rsidRPr="006146C5">
        <w:t>y avoir adhéré.</w:t>
      </w:r>
    </w:p>
    <w:p w14:paraId="0BC8C613" w14:textId="47655932" w:rsidR="00BB6AD2" w:rsidRPr="006146C5" w:rsidRDefault="00BB6AD2" w:rsidP="00BB6AD2">
      <w:pPr>
        <w:pStyle w:val="SingleTxtG"/>
      </w:pPr>
      <w:r>
        <w:t>5.</w:t>
      </w:r>
      <w:r>
        <w:tab/>
      </w:r>
      <w:r w:rsidRPr="006146C5">
        <w:t>Le Comité accueille avec satisfaction les mesures prises par l</w:t>
      </w:r>
      <w:r w:rsidR="00E81836">
        <w:t>’</w:t>
      </w:r>
      <w:r w:rsidRPr="006146C5">
        <w:t>État partie dans des domaines intéressant la Convention, notamment l</w:t>
      </w:r>
      <w:r w:rsidR="00E81836">
        <w:t>’</w:t>
      </w:r>
      <w:r w:rsidRPr="006146C5">
        <w:t>adoption de la loi n</w:t>
      </w:r>
      <w:r w:rsidR="005F24B1" w:rsidRPr="00701C9E">
        <w:rPr>
          <w:vertAlign w:val="superscript"/>
        </w:rPr>
        <w:t>o</w:t>
      </w:r>
      <w:r w:rsidR="005F24B1">
        <w:t> </w:t>
      </w:r>
      <w:r w:rsidRPr="006146C5">
        <w:t>2020-02 du 6</w:t>
      </w:r>
      <w:r w:rsidR="005F24B1">
        <w:t> </w:t>
      </w:r>
      <w:r w:rsidRPr="006146C5">
        <w:t xml:space="preserve">mai 2020, instituant le </w:t>
      </w:r>
      <w:r>
        <w:t>m</w:t>
      </w:r>
      <w:r w:rsidRPr="006146C5">
        <w:t xml:space="preserve">écanisme </w:t>
      </w:r>
      <w:r>
        <w:t>n</w:t>
      </w:r>
      <w:r w:rsidRPr="006146C5">
        <w:t xml:space="preserve">ational de </w:t>
      </w:r>
      <w:r>
        <w:t>p</w:t>
      </w:r>
      <w:r w:rsidRPr="006146C5">
        <w:t xml:space="preserve">révention de la </w:t>
      </w:r>
      <w:r>
        <w:t>t</w:t>
      </w:r>
      <w:r w:rsidRPr="006146C5">
        <w:t>orture.</w:t>
      </w:r>
    </w:p>
    <w:p w14:paraId="30638864" w14:textId="05A7843D" w:rsidR="00BB6AD2" w:rsidRDefault="00BB6AD2" w:rsidP="00BB6AD2">
      <w:pPr>
        <w:pStyle w:val="SingleTxtG"/>
        <w:rPr>
          <w:lang w:val="fr-FR"/>
        </w:rPr>
      </w:pPr>
      <w:r>
        <w:t>6.</w:t>
      </w:r>
      <w:r>
        <w:tab/>
      </w:r>
      <w:r w:rsidRPr="006146C5">
        <w:t>Le Comité se félicite que l</w:t>
      </w:r>
      <w:r w:rsidR="00E81836">
        <w:t>’</w:t>
      </w:r>
      <w:r w:rsidRPr="006146C5">
        <w:t>État partie ait adressé une invitation permanente à tous titulaires de mandat</w:t>
      </w:r>
      <w:r w:rsidRPr="00407492">
        <w:rPr>
          <w:lang w:val="fr-FR"/>
        </w:rPr>
        <w:t xml:space="preserve"> au titre des procédures spéciales du Conseil des droits de l</w:t>
      </w:r>
      <w:r w:rsidR="00E81836">
        <w:rPr>
          <w:lang w:val="fr-FR"/>
        </w:rPr>
        <w:t>’</w:t>
      </w:r>
      <w:r w:rsidRPr="00407492">
        <w:rPr>
          <w:lang w:val="fr-FR"/>
        </w:rPr>
        <w:t>homme.</w:t>
      </w:r>
    </w:p>
    <w:p w14:paraId="757434B9" w14:textId="77777777" w:rsidR="00BB6AD2" w:rsidRPr="00407492" w:rsidRDefault="00BB6AD2" w:rsidP="00BB6AD2">
      <w:pPr>
        <w:pStyle w:val="H1G"/>
        <w:rPr>
          <w:lang w:val="fr-FR"/>
        </w:rPr>
      </w:pPr>
      <w:r>
        <w:rPr>
          <w:lang w:val="fr-FR"/>
        </w:rPr>
        <w:lastRenderedPageBreak/>
        <w:tab/>
        <w:t>C.</w:t>
      </w:r>
      <w:r>
        <w:rPr>
          <w:lang w:val="fr-FR"/>
        </w:rPr>
        <w:tab/>
      </w:r>
      <w:r w:rsidRPr="00407492">
        <w:rPr>
          <w:lang w:val="fr-FR"/>
        </w:rPr>
        <w:t>Principaux sujets de préoccupation et recommandations</w:t>
      </w:r>
    </w:p>
    <w:p w14:paraId="06179998" w14:textId="3DFB492B" w:rsidR="00BB6AD2" w:rsidRPr="00407492" w:rsidRDefault="00BB6AD2" w:rsidP="00BB6AD2">
      <w:pPr>
        <w:pStyle w:val="SingleTxtG"/>
        <w:rPr>
          <w:lang w:val="fr-FR"/>
        </w:rPr>
      </w:pPr>
      <w:r>
        <w:rPr>
          <w:lang w:val="fr-FR"/>
        </w:rPr>
        <w:t>7.</w:t>
      </w:r>
      <w:r>
        <w:rPr>
          <w:lang w:val="fr-FR"/>
        </w:rPr>
        <w:tab/>
      </w:r>
      <w:r w:rsidRPr="00407492">
        <w:rPr>
          <w:lang w:val="fr-FR"/>
        </w:rPr>
        <w:t>Le Comité est conscient des graves difficultés auxquelles fait face l</w:t>
      </w:r>
      <w:r w:rsidR="00E81836">
        <w:rPr>
          <w:lang w:val="fr-FR"/>
        </w:rPr>
        <w:t>’</w:t>
      </w:r>
      <w:r w:rsidRPr="00407492">
        <w:rPr>
          <w:lang w:val="fr-FR"/>
        </w:rPr>
        <w:t>État partie et prend note avec empathie de l</w:t>
      </w:r>
      <w:r w:rsidR="00E81836">
        <w:rPr>
          <w:lang w:val="fr-FR"/>
        </w:rPr>
        <w:t>’</w:t>
      </w:r>
      <w:r w:rsidRPr="00407492">
        <w:rPr>
          <w:lang w:val="fr-FR"/>
        </w:rPr>
        <w:t xml:space="preserve">affirmation faite </w:t>
      </w:r>
      <w:r>
        <w:rPr>
          <w:lang w:val="fr-FR"/>
        </w:rPr>
        <w:t xml:space="preserve">par la délégation </w:t>
      </w:r>
      <w:r w:rsidRPr="00407492">
        <w:rPr>
          <w:lang w:val="fr-FR"/>
        </w:rPr>
        <w:t xml:space="preserve">au cours du dialogue selon laquelle </w:t>
      </w:r>
      <w:r>
        <w:rPr>
          <w:lang w:val="fr-FR"/>
        </w:rPr>
        <w:t>« toutes les familles ont chacune en leur sein un disparu ou un enlevé ». Cela étant</w:t>
      </w:r>
      <w:r w:rsidRPr="00407492">
        <w:rPr>
          <w:lang w:val="fr-FR"/>
        </w:rPr>
        <w:t xml:space="preserve">, </w:t>
      </w:r>
      <w:r>
        <w:rPr>
          <w:lang w:val="fr-FR"/>
        </w:rPr>
        <w:t>il</w:t>
      </w:r>
      <w:r w:rsidRPr="00407492">
        <w:rPr>
          <w:lang w:val="fr-FR"/>
        </w:rPr>
        <w:t xml:space="preserve"> considère qu</w:t>
      </w:r>
      <w:r w:rsidR="00E81836">
        <w:rPr>
          <w:lang w:val="fr-FR"/>
        </w:rPr>
        <w:t>’</w:t>
      </w:r>
      <w:r w:rsidRPr="00407492">
        <w:rPr>
          <w:lang w:val="fr-FR"/>
        </w:rPr>
        <w:t>au moment de l</w:t>
      </w:r>
      <w:r w:rsidR="00E81836">
        <w:rPr>
          <w:lang w:val="fr-FR"/>
        </w:rPr>
        <w:t>’</w:t>
      </w:r>
      <w:r w:rsidRPr="00407492">
        <w:rPr>
          <w:lang w:val="fr-FR"/>
        </w:rPr>
        <w:t>adoption des présentes observations finales, la législation en vigueur dans l</w:t>
      </w:r>
      <w:r w:rsidR="00E81836">
        <w:rPr>
          <w:lang w:val="fr-FR"/>
        </w:rPr>
        <w:t>’</w:t>
      </w:r>
      <w:r w:rsidRPr="00407492">
        <w:rPr>
          <w:lang w:val="fr-FR"/>
        </w:rPr>
        <w:t xml:space="preserve">État partie visant à prévenir et </w:t>
      </w:r>
      <w:r>
        <w:rPr>
          <w:lang w:val="fr-FR"/>
        </w:rPr>
        <w:t xml:space="preserve">à </w:t>
      </w:r>
      <w:r w:rsidRPr="00407492">
        <w:rPr>
          <w:lang w:val="fr-FR"/>
        </w:rPr>
        <w:t>réprimer les disparitions forcées et à garantir les droits des victimes ainsi que le comportement de certaines de ses autorités compétentes n</w:t>
      </w:r>
      <w:r w:rsidR="00E81836">
        <w:rPr>
          <w:lang w:val="fr-FR"/>
        </w:rPr>
        <w:t>’</w:t>
      </w:r>
      <w:r w:rsidRPr="00407492">
        <w:rPr>
          <w:lang w:val="fr-FR"/>
        </w:rPr>
        <w:t>étaient pas pleinement conformes aux obligations découlant de la Convention. Il encourage l</w:t>
      </w:r>
      <w:r w:rsidR="00E81836">
        <w:rPr>
          <w:lang w:val="fr-FR"/>
        </w:rPr>
        <w:t>’</w:t>
      </w:r>
      <w:r w:rsidRPr="00407492">
        <w:rPr>
          <w:lang w:val="fr-FR"/>
        </w:rPr>
        <w:t>État partie à appliquer ses recommandations, formulées dans un esprit constructif de coopération, afin de garantir en droit et dans la pratique la pleine application de la Convention. À ce propos, il l</w:t>
      </w:r>
      <w:r w:rsidR="00E81836">
        <w:rPr>
          <w:lang w:val="fr-FR"/>
        </w:rPr>
        <w:t>’</w:t>
      </w:r>
      <w:r w:rsidRPr="00407492">
        <w:rPr>
          <w:lang w:val="fr-FR"/>
        </w:rPr>
        <w:t>invite à mettre à profit les débats en cours sur différents projets de loi dans des domaines intéressant la Convention pour donner suite aux recommandations formulées dans les présentes observations finales.</w:t>
      </w:r>
    </w:p>
    <w:p w14:paraId="526BFD69" w14:textId="7337DEC3" w:rsidR="00BB6AD2" w:rsidRPr="00407492" w:rsidRDefault="00BB6AD2" w:rsidP="00BB6AD2">
      <w:pPr>
        <w:pStyle w:val="H23G"/>
        <w:rPr>
          <w:lang w:val="fr-FR"/>
        </w:rPr>
      </w:pPr>
      <w:r>
        <w:rPr>
          <w:lang w:val="fr-FR"/>
        </w:rPr>
        <w:tab/>
        <w:t>1.</w:t>
      </w:r>
      <w:r>
        <w:rPr>
          <w:lang w:val="fr-FR"/>
        </w:rPr>
        <w:tab/>
      </w:r>
      <w:r w:rsidRPr="00407492">
        <w:rPr>
          <w:lang w:val="fr-FR"/>
        </w:rPr>
        <w:t>Renseignements d</w:t>
      </w:r>
      <w:r w:rsidR="00E81836">
        <w:rPr>
          <w:lang w:val="fr-FR"/>
        </w:rPr>
        <w:t>’</w:t>
      </w:r>
      <w:r w:rsidRPr="00407492">
        <w:rPr>
          <w:lang w:val="fr-FR"/>
        </w:rPr>
        <w:t>ordre général</w:t>
      </w:r>
    </w:p>
    <w:p w14:paraId="13E590E5" w14:textId="147F07AE" w:rsidR="00BB6AD2" w:rsidRPr="00407492" w:rsidRDefault="00BB6AD2" w:rsidP="00BB6AD2">
      <w:pPr>
        <w:pStyle w:val="H23G"/>
        <w:rPr>
          <w:lang w:val="fr-FR"/>
        </w:rPr>
      </w:pPr>
      <w:r>
        <w:rPr>
          <w:lang w:val="fr-FR"/>
        </w:rPr>
        <w:tab/>
      </w:r>
      <w:r>
        <w:rPr>
          <w:lang w:val="fr-FR"/>
        </w:rPr>
        <w:tab/>
      </w:r>
      <w:r w:rsidRPr="00407492">
        <w:rPr>
          <w:lang w:val="fr-FR"/>
        </w:rPr>
        <w:t>Procédure d</w:t>
      </w:r>
      <w:r w:rsidR="00E81836">
        <w:rPr>
          <w:lang w:val="fr-FR"/>
        </w:rPr>
        <w:t>’</w:t>
      </w:r>
      <w:r w:rsidRPr="00407492">
        <w:rPr>
          <w:lang w:val="fr-FR"/>
        </w:rPr>
        <w:t>action en urgence</w:t>
      </w:r>
    </w:p>
    <w:p w14:paraId="68F45C4F" w14:textId="58B66946" w:rsidR="00BB6AD2" w:rsidRPr="00407492" w:rsidRDefault="00BB6AD2" w:rsidP="00BB6AD2">
      <w:pPr>
        <w:pStyle w:val="SingleTxtG"/>
        <w:rPr>
          <w:lang w:val="fr-FR"/>
        </w:rPr>
      </w:pPr>
      <w:r>
        <w:rPr>
          <w:lang w:val="fr-FR"/>
        </w:rPr>
        <w:t>8.</w:t>
      </w:r>
      <w:r>
        <w:rPr>
          <w:lang w:val="fr-FR"/>
        </w:rPr>
        <w:tab/>
      </w:r>
      <w:r w:rsidRPr="00407492">
        <w:rPr>
          <w:lang w:val="fr-FR"/>
        </w:rPr>
        <w:t>Le Comité prend note des informations reçues au cours du dialogue quant au cas qui a fait l</w:t>
      </w:r>
      <w:r w:rsidR="00E81836">
        <w:rPr>
          <w:lang w:val="fr-FR"/>
        </w:rPr>
        <w:t>’</w:t>
      </w:r>
      <w:r w:rsidRPr="00407492">
        <w:rPr>
          <w:lang w:val="fr-FR"/>
        </w:rPr>
        <w:t>objet de la demande d</w:t>
      </w:r>
      <w:r w:rsidR="00E81836">
        <w:rPr>
          <w:lang w:val="fr-FR"/>
        </w:rPr>
        <w:t>’</w:t>
      </w:r>
      <w:r w:rsidRPr="00407492">
        <w:rPr>
          <w:lang w:val="fr-FR"/>
        </w:rPr>
        <w:t>action en urgence transmise à l</w:t>
      </w:r>
      <w:r w:rsidR="00E81836">
        <w:rPr>
          <w:lang w:val="fr-FR"/>
        </w:rPr>
        <w:t>’</w:t>
      </w:r>
      <w:r w:rsidRPr="00407492">
        <w:rPr>
          <w:lang w:val="fr-FR"/>
        </w:rPr>
        <w:t>État partie en 2020. Néanmoins, il regrette de n</w:t>
      </w:r>
      <w:r w:rsidR="00E81836">
        <w:rPr>
          <w:lang w:val="fr-FR"/>
        </w:rPr>
        <w:t>’</w:t>
      </w:r>
      <w:r w:rsidRPr="00407492">
        <w:rPr>
          <w:lang w:val="fr-FR"/>
        </w:rPr>
        <w:t>avoir reçu aucune réponse aux demandes d</w:t>
      </w:r>
      <w:r w:rsidR="00E81836">
        <w:rPr>
          <w:lang w:val="fr-FR"/>
        </w:rPr>
        <w:t>’</w:t>
      </w:r>
      <w:r w:rsidRPr="00407492">
        <w:rPr>
          <w:lang w:val="fr-FR"/>
        </w:rPr>
        <w:t xml:space="preserve">informations communiquées </w:t>
      </w:r>
      <w:r w:rsidRPr="00407492">
        <w:rPr>
          <w:bCs/>
          <w:lang w:val="fr-FR"/>
        </w:rPr>
        <w:t>dans le cadre de la procédure, et ce</w:t>
      </w:r>
      <w:r>
        <w:rPr>
          <w:bCs/>
          <w:lang w:val="fr-FR"/>
        </w:rPr>
        <w:t>,</w:t>
      </w:r>
      <w:r w:rsidRPr="00407492">
        <w:rPr>
          <w:bCs/>
          <w:lang w:val="fr-FR"/>
        </w:rPr>
        <w:t xml:space="preserve"> malgré </w:t>
      </w:r>
      <w:r w:rsidRPr="00407492">
        <w:rPr>
          <w:lang w:val="fr-FR"/>
        </w:rPr>
        <w:t>plusieurs rappels (art. 30).</w:t>
      </w:r>
    </w:p>
    <w:p w14:paraId="0186289B" w14:textId="1BED0645" w:rsidR="00BB6AD2" w:rsidRPr="00407492" w:rsidRDefault="00BB6AD2" w:rsidP="00BB6AD2">
      <w:pPr>
        <w:pStyle w:val="SingleTxtG"/>
        <w:rPr>
          <w:lang w:val="fr-FR"/>
        </w:rPr>
      </w:pPr>
      <w:r>
        <w:rPr>
          <w:lang w:val="fr-FR"/>
        </w:rPr>
        <w:t>9.</w:t>
      </w:r>
      <w:r>
        <w:rPr>
          <w:lang w:val="fr-FR"/>
        </w:rPr>
        <w:tab/>
      </w:r>
      <w:r w:rsidRPr="006146C5">
        <w:rPr>
          <w:b/>
          <w:bCs/>
          <w:lang w:val="fr-FR"/>
        </w:rPr>
        <w:t>Le Comité engage l</w:t>
      </w:r>
      <w:r w:rsidR="00E81836">
        <w:rPr>
          <w:b/>
          <w:bCs/>
          <w:lang w:val="fr-FR"/>
        </w:rPr>
        <w:t>’</w:t>
      </w:r>
      <w:r w:rsidRPr="006146C5">
        <w:rPr>
          <w:b/>
          <w:bCs/>
          <w:lang w:val="fr-FR"/>
        </w:rPr>
        <w:t>État partie à renforcer sa coopération dans le cadre de la procédure d</w:t>
      </w:r>
      <w:r w:rsidR="00E81836">
        <w:rPr>
          <w:b/>
          <w:bCs/>
          <w:lang w:val="fr-FR"/>
        </w:rPr>
        <w:t>’</w:t>
      </w:r>
      <w:r w:rsidRPr="006146C5">
        <w:rPr>
          <w:b/>
          <w:bCs/>
          <w:lang w:val="fr-FR"/>
        </w:rPr>
        <w:t>action en urgence et à répondre sans délai aux communications transmises par le Comité pour donner des informations sur les mesures prises en vue de rechercher les personnes disparues et d</w:t>
      </w:r>
      <w:r w:rsidR="00E81836">
        <w:rPr>
          <w:b/>
          <w:bCs/>
          <w:lang w:val="fr-FR"/>
        </w:rPr>
        <w:t>’</w:t>
      </w:r>
      <w:r w:rsidRPr="006146C5">
        <w:rPr>
          <w:b/>
          <w:bCs/>
          <w:lang w:val="fr-FR"/>
        </w:rPr>
        <w:t xml:space="preserve">enquêter sur leur disparition. Il </w:t>
      </w:r>
      <w:r>
        <w:rPr>
          <w:b/>
          <w:bCs/>
          <w:lang w:val="fr-FR"/>
        </w:rPr>
        <w:t>l</w:t>
      </w:r>
      <w:r w:rsidR="00E81836">
        <w:rPr>
          <w:b/>
          <w:bCs/>
        </w:rPr>
        <w:t>’</w:t>
      </w:r>
      <w:r w:rsidRPr="006146C5">
        <w:rPr>
          <w:b/>
          <w:bCs/>
          <w:lang w:val="fr-FR"/>
        </w:rPr>
        <w:t>invite en outre à diffuser l</w:t>
      </w:r>
      <w:r w:rsidR="00E81836">
        <w:rPr>
          <w:b/>
          <w:bCs/>
          <w:lang w:val="fr-FR"/>
        </w:rPr>
        <w:t>’</w:t>
      </w:r>
      <w:r w:rsidRPr="006146C5">
        <w:rPr>
          <w:b/>
          <w:bCs/>
          <w:lang w:val="fr-FR"/>
        </w:rPr>
        <w:t>information sur la procédure d</w:t>
      </w:r>
      <w:r w:rsidR="00E81836">
        <w:rPr>
          <w:b/>
          <w:bCs/>
          <w:lang w:val="fr-FR"/>
        </w:rPr>
        <w:t>’</w:t>
      </w:r>
      <w:r w:rsidRPr="006146C5">
        <w:rPr>
          <w:b/>
          <w:bCs/>
          <w:lang w:val="fr-FR"/>
        </w:rPr>
        <w:t>action en urgence auprès des acteurs de la société civile et de la population en général.</w:t>
      </w:r>
    </w:p>
    <w:p w14:paraId="12D076FC" w14:textId="77777777" w:rsidR="00BB6AD2" w:rsidRPr="00407492" w:rsidRDefault="00BB6AD2" w:rsidP="00BB6AD2">
      <w:pPr>
        <w:pStyle w:val="H23G"/>
        <w:rPr>
          <w:lang w:val="fr-FR"/>
        </w:rPr>
      </w:pPr>
      <w:r>
        <w:rPr>
          <w:lang w:val="fr-FR"/>
        </w:rPr>
        <w:tab/>
      </w:r>
      <w:r>
        <w:rPr>
          <w:lang w:val="fr-FR"/>
        </w:rPr>
        <w:tab/>
      </w:r>
      <w:r w:rsidRPr="00407492">
        <w:rPr>
          <w:lang w:val="fr-FR"/>
        </w:rPr>
        <w:t>Communications individuelles ou interétatiques</w:t>
      </w:r>
    </w:p>
    <w:p w14:paraId="62716F9F" w14:textId="0FC1543F" w:rsidR="00BB6AD2" w:rsidRPr="00407492" w:rsidRDefault="00BB6AD2" w:rsidP="00BB6AD2">
      <w:pPr>
        <w:pStyle w:val="SingleTxtG"/>
        <w:rPr>
          <w:lang w:val="fr-FR"/>
        </w:rPr>
      </w:pPr>
      <w:r>
        <w:rPr>
          <w:lang w:val="fr-FR"/>
        </w:rPr>
        <w:t>10.</w:t>
      </w:r>
      <w:r>
        <w:rPr>
          <w:lang w:val="fr-FR"/>
        </w:rPr>
        <w:tab/>
      </w:r>
      <w:r w:rsidRPr="00407492">
        <w:rPr>
          <w:lang w:val="fr-FR"/>
        </w:rPr>
        <w:t>Le Comité constate que l</w:t>
      </w:r>
      <w:r w:rsidR="00E81836">
        <w:rPr>
          <w:lang w:val="fr-FR"/>
        </w:rPr>
        <w:t>’</w:t>
      </w:r>
      <w:r w:rsidRPr="00407492">
        <w:rPr>
          <w:lang w:val="fr-FR"/>
        </w:rPr>
        <w:t>État partie n</w:t>
      </w:r>
      <w:r w:rsidR="00E81836">
        <w:rPr>
          <w:lang w:val="fr-FR"/>
        </w:rPr>
        <w:t>’</w:t>
      </w:r>
      <w:r w:rsidRPr="00407492">
        <w:rPr>
          <w:lang w:val="fr-FR"/>
        </w:rPr>
        <w:t>a pas encore reconnu la compétence du Comité pour recevoir et examiner des communications individuelles ou interétatiques. Cependant, il salue l</w:t>
      </w:r>
      <w:r w:rsidR="00E81836">
        <w:rPr>
          <w:lang w:val="fr-FR"/>
        </w:rPr>
        <w:t>’</w:t>
      </w:r>
      <w:r w:rsidRPr="00407492">
        <w:rPr>
          <w:lang w:val="fr-FR"/>
        </w:rPr>
        <w:t xml:space="preserve">annonce faite au cours du dialogue selon laquelle le Ministre des </w:t>
      </w:r>
      <w:r>
        <w:rPr>
          <w:lang w:val="fr-FR"/>
        </w:rPr>
        <w:t>a</w:t>
      </w:r>
      <w:r w:rsidRPr="00407492">
        <w:rPr>
          <w:lang w:val="fr-FR"/>
        </w:rPr>
        <w:t xml:space="preserve">ffaires </w:t>
      </w:r>
      <w:r>
        <w:rPr>
          <w:lang w:val="fr-FR"/>
        </w:rPr>
        <w:t>étrangères</w:t>
      </w:r>
      <w:r w:rsidRPr="00407492">
        <w:rPr>
          <w:lang w:val="fr-FR"/>
        </w:rPr>
        <w:t xml:space="preserve"> fera bientôt la déclaration conformément à l</w:t>
      </w:r>
      <w:r w:rsidR="00E81836">
        <w:rPr>
          <w:lang w:val="fr-FR"/>
        </w:rPr>
        <w:t>’</w:t>
      </w:r>
      <w:r w:rsidRPr="00407492">
        <w:rPr>
          <w:lang w:val="fr-FR"/>
        </w:rPr>
        <w:t>article</w:t>
      </w:r>
      <w:r w:rsidR="005F24B1">
        <w:rPr>
          <w:lang w:val="fr-FR"/>
        </w:rPr>
        <w:t> </w:t>
      </w:r>
      <w:r w:rsidRPr="00407492">
        <w:rPr>
          <w:lang w:val="fr-FR"/>
        </w:rPr>
        <w:t>31</w:t>
      </w:r>
      <w:r>
        <w:rPr>
          <w:lang w:val="fr-FR"/>
        </w:rPr>
        <w:t xml:space="preserve"> de la Convention</w:t>
      </w:r>
      <w:r w:rsidRPr="00407492">
        <w:rPr>
          <w:lang w:val="fr-FR"/>
        </w:rPr>
        <w:t xml:space="preserve"> (art. 31 et 32).</w:t>
      </w:r>
    </w:p>
    <w:p w14:paraId="34D41671" w14:textId="00A05139" w:rsidR="00BB6AD2" w:rsidRPr="00407492" w:rsidRDefault="00BB6AD2" w:rsidP="00BB6AD2">
      <w:pPr>
        <w:pStyle w:val="SingleTxtG"/>
        <w:rPr>
          <w:lang w:val="fr-FR"/>
        </w:rPr>
      </w:pPr>
      <w:r w:rsidRPr="006146C5">
        <w:t>11</w:t>
      </w:r>
      <w:r>
        <w:t>.</w:t>
      </w:r>
      <w:r>
        <w:tab/>
      </w:r>
      <w:r w:rsidRPr="006146C5">
        <w:rPr>
          <w:b/>
          <w:bCs/>
        </w:rPr>
        <w:t>Le</w:t>
      </w:r>
      <w:r w:rsidRPr="006146C5">
        <w:rPr>
          <w:b/>
          <w:bCs/>
          <w:lang w:val="fr-FR"/>
        </w:rPr>
        <w:t xml:space="preserve"> Comité encourage l</w:t>
      </w:r>
      <w:r w:rsidR="00E81836">
        <w:rPr>
          <w:b/>
          <w:bCs/>
          <w:lang w:val="fr-FR"/>
        </w:rPr>
        <w:t>’</w:t>
      </w:r>
      <w:r w:rsidRPr="006146C5">
        <w:rPr>
          <w:b/>
          <w:bCs/>
          <w:lang w:val="fr-FR"/>
        </w:rPr>
        <w:t>État partie à reconnaître sa compétence pour recevoir et examiner des communications individuelles et interétatiques conformément aux articles 31 et 32 de la Convention, en vue de renforcer le régime de protection contre les disparitions forcées.</w:t>
      </w:r>
    </w:p>
    <w:p w14:paraId="476DCFF5" w14:textId="77777777" w:rsidR="00BB6AD2" w:rsidRPr="00407492" w:rsidRDefault="00BB6AD2" w:rsidP="00BB6AD2">
      <w:pPr>
        <w:pStyle w:val="H23G"/>
        <w:rPr>
          <w:lang w:val="fr-FR"/>
        </w:rPr>
      </w:pPr>
      <w:r>
        <w:rPr>
          <w:lang w:val="fr-FR"/>
        </w:rPr>
        <w:tab/>
      </w:r>
      <w:r>
        <w:rPr>
          <w:lang w:val="fr-FR"/>
        </w:rPr>
        <w:tab/>
      </w:r>
      <w:r w:rsidRPr="00407492">
        <w:rPr>
          <w:lang w:val="fr-FR"/>
        </w:rPr>
        <w:t>Applicabilité de la Convention</w:t>
      </w:r>
    </w:p>
    <w:p w14:paraId="5ACFBADA" w14:textId="76695F62" w:rsidR="00BB6AD2" w:rsidRPr="00407492" w:rsidRDefault="00BB6AD2" w:rsidP="00BB6AD2">
      <w:pPr>
        <w:pStyle w:val="SingleTxtG"/>
        <w:rPr>
          <w:lang w:val="fr-FR"/>
        </w:rPr>
      </w:pPr>
      <w:r>
        <w:rPr>
          <w:lang w:val="fr-FR"/>
        </w:rPr>
        <w:t>12.</w:t>
      </w:r>
      <w:r>
        <w:rPr>
          <w:lang w:val="fr-FR"/>
        </w:rPr>
        <w:tab/>
      </w:r>
      <w:r w:rsidRPr="00407492">
        <w:rPr>
          <w:lang w:val="fr-FR"/>
        </w:rPr>
        <w:t>Le Comité regrette qu</w:t>
      </w:r>
      <w:r w:rsidR="00E81836">
        <w:rPr>
          <w:lang w:val="fr-FR"/>
        </w:rPr>
        <w:t>’</w:t>
      </w:r>
      <w:r w:rsidRPr="00407492">
        <w:rPr>
          <w:lang w:val="fr-FR"/>
        </w:rPr>
        <w:t>aucune décision de justice relative à des cas de disparition forcée n</w:t>
      </w:r>
      <w:r w:rsidR="00E81836">
        <w:rPr>
          <w:lang w:val="fr-FR"/>
        </w:rPr>
        <w:t>’</w:t>
      </w:r>
      <w:r w:rsidRPr="00407492">
        <w:rPr>
          <w:lang w:val="fr-FR"/>
        </w:rPr>
        <w:t>ait été recensée et que, selon l</w:t>
      </w:r>
      <w:r w:rsidR="00E81836">
        <w:rPr>
          <w:lang w:val="fr-FR"/>
        </w:rPr>
        <w:t>’</w:t>
      </w:r>
      <w:r w:rsidRPr="00407492">
        <w:rPr>
          <w:lang w:val="fr-FR"/>
        </w:rPr>
        <w:t>État partie, la non</w:t>
      </w:r>
      <w:r>
        <w:rPr>
          <w:lang w:val="fr-FR"/>
        </w:rPr>
        <w:t>-</w:t>
      </w:r>
      <w:r w:rsidRPr="00407492">
        <w:rPr>
          <w:lang w:val="fr-FR"/>
        </w:rPr>
        <w:t xml:space="preserve">application de la Convention </w:t>
      </w:r>
      <w:r>
        <w:rPr>
          <w:lang w:val="fr-FR"/>
        </w:rPr>
        <w:t>soit</w:t>
      </w:r>
      <w:r w:rsidRPr="00407492">
        <w:rPr>
          <w:lang w:val="fr-FR"/>
        </w:rPr>
        <w:t xml:space="preserve"> notamment due </w:t>
      </w:r>
      <w:r>
        <w:rPr>
          <w:lang w:val="fr-FR"/>
        </w:rPr>
        <w:t>au fait</w:t>
      </w:r>
      <w:r w:rsidRPr="00407492">
        <w:rPr>
          <w:lang w:val="fr-FR"/>
        </w:rPr>
        <w:t xml:space="preserve"> que les magistrats et autres acteurs judiciaires ignorent l</w:t>
      </w:r>
      <w:r w:rsidR="00E81836">
        <w:rPr>
          <w:lang w:val="fr-FR"/>
        </w:rPr>
        <w:t>’</w:t>
      </w:r>
      <w:r w:rsidRPr="00407492">
        <w:rPr>
          <w:lang w:val="fr-FR"/>
        </w:rPr>
        <w:t>existence même de la Convention</w:t>
      </w:r>
      <w:r w:rsidRPr="00407492">
        <w:rPr>
          <w:rStyle w:val="Appelnotedebasdep"/>
          <w:sz w:val="20"/>
          <w:lang w:val="fr-FR"/>
        </w:rPr>
        <w:footnoteReference w:id="7"/>
      </w:r>
      <w:r>
        <w:rPr>
          <w:lang w:val="fr-FR"/>
        </w:rPr>
        <w:t>.</w:t>
      </w:r>
      <w:r w:rsidRPr="00407492">
        <w:rPr>
          <w:lang w:val="fr-FR"/>
        </w:rPr>
        <w:t xml:space="preserve"> À cet égard, le Comité note avec satisfaction les informations transmises au cours du dialogue sur les efforts mis en œuvre pour faire connaître la Convention (art.</w:t>
      </w:r>
      <w:r w:rsidR="005F24B1">
        <w:rPr>
          <w:lang w:val="fr-FR"/>
        </w:rPr>
        <w:t> </w:t>
      </w:r>
      <w:r w:rsidRPr="00407492">
        <w:rPr>
          <w:lang w:val="fr-FR"/>
        </w:rPr>
        <w:t>23).</w:t>
      </w:r>
    </w:p>
    <w:p w14:paraId="6E4016A8" w14:textId="558F2CBC" w:rsidR="00BB6AD2" w:rsidRPr="00407492" w:rsidRDefault="00BB6AD2" w:rsidP="00BB6AD2">
      <w:pPr>
        <w:pStyle w:val="SingleTxtG"/>
        <w:rPr>
          <w:b/>
          <w:bCs/>
          <w:lang w:val="fr-FR"/>
        </w:rPr>
      </w:pPr>
      <w:r>
        <w:rPr>
          <w:lang w:val="fr-FR"/>
        </w:rPr>
        <w:t>13.</w:t>
      </w:r>
      <w:r>
        <w:rPr>
          <w:lang w:val="fr-FR"/>
        </w:rPr>
        <w:tab/>
      </w:r>
      <w:r w:rsidRPr="006146C5">
        <w:rPr>
          <w:b/>
          <w:bCs/>
          <w:lang w:val="fr-FR"/>
        </w:rPr>
        <w:t>Le Comité recommande à l</w:t>
      </w:r>
      <w:r w:rsidR="00E81836">
        <w:rPr>
          <w:b/>
          <w:bCs/>
          <w:lang w:val="fr-FR"/>
        </w:rPr>
        <w:t>’</w:t>
      </w:r>
      <w:r w:rsidRPr="006146C5">
        <w:rPr>
          <w:b/>
          <w:bCs/>
          <w:lang w:val="fr-FR"/>
        </w:rPr>
        <w:t>État partie d</w:t>
      </w:r>
      <w:r w:rsidR="00E81836">
        <w:rPr>
          <w:b/>
          <w:bCs/>
          <w:lang w:val="fr-FR"/>
        </w:rPr>
        <w:t>’</w:t>
      </w:r>
      <w:r w:rsidRPr="006146C5">
        <w:rPr>
          <w:b/>
          <w:bCs/>
          <w:lang w:val="fr-FR"/>
        </w:rPr>
        <w:t xml:space="preserve">intensifier ses efforts pour assurer la formation des juges, </w:t>
      </w:r>
      <w:r>
        <w:rPr>
          <w:b/>
          <w:bCs/>
          <w:lang w:val="fr-FR"/>
        </w:rPr>
        <w:t xml:space="preserve">des </w:t>
      </w:r>
      <w:r w:rsidRPr="006146C5">
        <w:rPr>
          <w:b/>
          <w:bCs/>
          <w:lang w:val="fr-FR"/>
        </w:rPr>
        <w:t xml:space="preserve">procureurs et </w:t>
      </w:r>
      <w:r>
        <w:rPr>
          <w:b/>
          <w:bCs/>
          <w:lang w:val="fr-FR"/>
        </w:rPr>
        <w:t xml:space="preserve">des </w:t>
      </w:r>
      <w:r w:rsidRPr="006146C5">
        <w:rPr>
          <w:b/>
          <w:bCs/>
          <w:lang w:val="fr-FR"/>
        </w:rPr>
        <w:t>avocats sur la Convention, de sorte qu</w:t>
      </w:r>
      <w:r w:rsidR="00E81836">
        <w:rPr>
          <w:b/>
          <w:bCs/>
          <w:lang w:val="fr-FR"/>
        </w:rPr>
        <w:t>’</w:t>
      </w:r>
      <w:r w:rsidRPr="006146C5">
        <w:rPr>
          <w:b/>
          <w:bCs/>
          <w:lang w:val="fr-FR"/>
        </w:rPr>
        <w:t>elle soit appliquée et prise en compte par les tribunaux nationaux.</w:t>
      </w:r>
    </w:p>
    <w:p w14:paraId="2BB22697" w14:textId="77777777" w:rsidR="00BB6AD2" w:rsidRPr="00407492" w:rsidRDefault="00BB6AD2" w:rsidP="00BB6AD2">
      <w:pPr>
        <w:pStyle w:val="H23G"/>
        <w:rPr>
          <w:lang w:val="fr-FR"/>
        </w:rPr>
      </w:pPr>
      <w:r>
        <w:rPr>
          <w:lang w:val="fr-FR"/>
        </w:rPr>
        <w:lastRenderedPageBreak/>
        <w:tab/>
        <w:t>2.</w:t>
      </w:r>
      <w:r>
        <w:rPr>
          <w:lang w:val="fr-FR"/>
        </w:rPr>
        <w:tab/>
      </w:r>
      <w:r w:rsidRPr="00407492">
        <w:rPr>
          <w:lang w:val="fr-FR"/>
        </w:rPr>
        <w:t>Définition et incrimination de la disparition forcée (art. 1</w:t>
      </w:r>
      <w:r w:rsidRPr="00091998">
        <w:rPr>
          <w:vertAlign w:val="superscript"/>
          <w:lang w:val="fr-FR"/>
        </w:rPr>
        <w:t>er</w:t>
      </w:r>
      <w:r w:rsidRPr="00407492">
        <w:rPr>
          <w:lang w:val="fr-FR"/>
        </w:rPr>
        <w:t xml:space="preserve"> à 7)</w:t>
      </w:r>
    </w:p>
    <w:p w14:paraId="6C7F368F" w14:textId="77777777" w:rsidR="00BB6AD2" w:rsidRPr="00407492" w:rsidRDefault="00BB6AD2" w:rsidP="00BB6AD2">
      <w:pPr>
        <w:pStyle w:val="H23G"/>
        <w:rPr>
          <w:lang w:val="fr-FR"/>
        </w:rPr>
      </w:pPr>
      <w:r>
        <w:rPr>
          <w:lang w:val="fr-FR"/>
        </w:rPr>
        <w:tab/>
      </w:r>
      <w:r>
        <w:rPr>
          <w:lang w:val="fr-FR"/>
        </w:rPr>
        <w:tab/>
      </w:r>
      <w:r w:rsidRPr="00407492">
        <w:rPr>
          <w:lang w:val="fr-FR"/>
        </w:rPr>
        <w:t>Informations statistiques</w:t>
      </w:r>
    </w:p>
    <w:p w14:paraId="675D05A1" w14:textId="2A89BAD8" w:rsidR="00BB6AD2" w:rsidRPr="00407492" w:rsidRDefault="00BB6AD2" w:rsidP="00BB6AD2">
      <w:pPr>
        <w:pStyle w:val="SingleTxtG"/>
        <w:rPr>
          <w:lang w:val="fr-FR"/>
        </w:rPr>
      </w:pPr>
      <w:r>
        <w:rPr>
          <w:lang w:val="fr-FR"/>
        </w:rPr>
        <w:t>14.</w:t>
      </w:r>
      <w:r>
        <w:rPr>
          <w:lang w:val="fr-FR"/>
        </w:rPr>
        <w:tab/>
      </w:r>
      <w:r w:rsidRPr="00407492">
        <w:rPr>
          <w:lang w:val="fr-FR"/>
        </w:rPr>
        <w:t xml:space="preserve">Le Comité rappelle que, dans ses réponses à la liste de </w:t>
      </w:r>
      <w:r>
        <w:rPr>
          <w:lang w:val="fr-FR"/>
        </w:rPr>
        <w:t>points</w:t>
      </w:r>
      <w:r w:rsidRPr="00407492">
        <w:rPr>
          <w:lang w:val="fr-FR"/>
        </w:rPr>
        <w:t>, l</w:t>
      </w:r>
      <w:r w:rsidR="00E81836">
        <w:rPr>
          <w:lang w:val="fr-FR"/>
        </w:rPr>
        <w:t>’</w:t>
      </w:r>
      <w:r w:rsidRPr="00407492">
        <w:rPr>
          <w:lang w:val="fr-FR"/>
        </w:rPr>
        <w:t>État partie a affirmé ne pas disposer de données statistiques ventilées sur les personnes disparues</w:t>
      </w:r>
      <w:r w:rsidRPr="00407492">
        <w:rPr>
          <w:rStyle w:val="Appelnotedebasdep"/>
          <w:lang w:val="fr-FR"/>
        </w:rPr>
        <w:footnoteReference w:id="8"/>
      </w:r>
      <w:r>
        <w:rPr>
          <w:lang w:val="fr-FR"/>
        </w:rPr>
        <w:t>.</w:t>
      </w:r>
      <w:r w:rsidRPr="00407492">
        <w:rPr>
          <w:lang w:val="fr-FR"/>
        </w:rPr>
        <w:t xml:space="preserve"> Au cours du dialogue, l</w:t>
      </w:r>
      <w:r w:rsidR="00E81836">
        <w:rPr>
          <w:lang w:val="fr-FR"/>
        </w:rPr>
        <w:t>’</w:t>
      </w:r>
      <w:r w:rsidRPr="00407492">
        <w:rPr>
          <w:lang w:val="fr-FR"/>
        </w:rPr>
        <w:t>État partie a toutefois affirmé qu</w:t>
      </w:r>
      <w:r w:rsidR="00E81836">
        <w:rPr>
          <w:lang w:val="fr-FR"/>
        </w:rPr>
        <w:t>’</w:t>
      </w:r>
      <w:r w:rsidRPr="00407492">
        <w:rPr>
          <w:lang w:val="fr-FR"/>
        </w:rPr>
        <w:t>il dispos</w:t>
      </w:r>
      <w:r>
        <w:rPr>
          <w:lang w:val="fr-FR"/>
        </w:rPr>
        <w:t>ait</w:t>
      </w:r>
      <w:r w:rsidRPr="00407492">
        <w:rPr>
          <w:lang w:val="fr-FR"/>
        </w:rPr>
        <w:t xml:space="preserve"> de statistiques par région sur les disparitions commises par des groupes armés. Le Comité regrette de </w:t>
      </w:r>
      <w:r>
        <w:rPr>
          <w:lang w:val="fr-FR"/>
        </w:rPr>
        <w:t>n</w:t>
      </w:r>
      <w:r w:rsidR="00E81836">
        <w:rPr>
          <w:lang w:val="fr-FR"/>
        </w:rPr>
        <w:t>’</w:t>
      </w:r>
      <w:r w:rsidRPr="00407492">
        <w:rPr>
          <w:lang w:val="fr-FR"/>
        </w:rPr>
        <w:t xml:space="preserve">avoir </w:t>
      </w:r>
      <w:r>
        <w:rPr>
          <w:lang w:val="fr-FR"/>
        </w:rPr>
        <w:t xml:space="preserve">pas </w:t>
      </w:r>
      <w:r w:rsidRPr="00407492">
        <w:rPr>
          <w:lang w:val="fr-FR"/>
        </w:rPr>
        <w:t>reçu de telles informations (art. 1</w:t>
      </w:r>
      <w:r w:rsidRPr="00091998">
        <w:rPr>
          <w:vertAlign w:val="superscript"/>
          <w:lang w:val="fr-FR"/>
        </w:rPr>
        <w:t>er</w:t>
      </w:r>
      <w:r w:rsidRPr="00407492">
        <w:rPr>
          <w:lang w:val="fr-FR"/>
        </w:rPr>
        <w:t>, 2, 3, 12 et 24).</w:t>
      </w:r>
    </w:p>
    <w:p w14:paraId="76ADF117" w14:textId="31AAF5BF" w:rsidR="00BB6AD2" w:rsidRPr="00407492" w:rsidRDefault="00BB6AD2" w:rsidP="00BB6AD2">
      <w:pPr>
        <w:pStyle w:val="SingleTxtG"/>
        <w:rPr>
          <w:lang w:val="fr-FR"/>
        </w:rPr>
      </w:pPr>
      <w:r>
        <w:rPr>
          <w:lang w:val="fr-FR"/>
        </w:rPr>
        <w:t>15.</w:t>
      </w:r>
      <w:r>
        <w:rPr>
          <w:lang w:val="fr-FR"/>
        </w:rPr>
        <w:tab/>
      </w:r>
      <w:r w:rsidRPr="006146C5">
        <w:rPr>
          <w:b/>
          <w:bCs/>
          <w:lang w:val="fr-FR"/>
        </w:rPr>
        <w:t>L</w:t>
      </w:r>
      <w:r w:rsidR="00E81836">
        <w:rPr>
          <w:b/>
          <w:bCs/>
          <w:lang w:val="fr-FR"/>
        </w:rPr>
        <w:t>’</w:t>
      </w:r>
      <w:r w:rsidRPr="006146C5">
        <w:rPr>
          <w:b/>
          <w:bCs/>
          <w:lang w:val="fr-FR"/>
        </w:rPr>
        <w:t xml:space="preserve">État partie devrait générer sans délai des informations statistiques précises et à jour sur les personnes disparues, ventilées par sexe, </w:t>
      </w:r>
      <w:r>
        <w:rPr>
          <w:b/>
          <w:bCs/>
          <w:lang w:val="fr-FR"/>
        </w:rPr>
        <w:t xml:space="preserve">orientation sexuelle, identité de genre, </w:t>
      </w:r>
      <w:r w:rsidRPr="006146C5">
        <w:rPr>
          <w:b/>
          <w:bCs/>
          <w:lang w:val="fr-FR"/>
        </w:rPr>
        <w:t>âge, nationalité, lieu d</w:t>
      </w:r>
      <w:r w:rsidR="00E81836">
        <w:rPr>
          <w:b/>
          <w:bCs/>
          <w:lang w:val="fr-FR"/>
        </w:rPr>
        <w:t>’</w:t>
      </w:r>
      <w:r w:rsidRPr="006146C5">
        <w:rPr>
          <w:b/>
          <w:bCs/>
          <w:lang w:val="fr-FR"/>
        </w:rPr>
        <w:t>origine et origine raciale ou ethnique. Ces informations devraient comprendre la date de la disparition ; le nombre de personnes disparues qui ont été localisées, vivantes ou non ; et le nombre de cas dans lesquels l</w:t>
      </w:r>
      <w:r w:rsidR="00E81836">
        <w:rPr>
          <w:b/>
          <w:bCs/>
          <w:lang w:val="fr-FR"/>
        </w:rPr>
        <w:t>’</w:t>
      </w:r>
      <w:r w:rsidRPr="006146C5">
        <w:rPr>
          <w:b/>
          <w:bCs/>
          <w:lang w:val="fr-FR"/>
        </w:rPr>
        <w:t>État aurait participé, d</w:t>
      </w:r>
      <w:r w:rsidR="00E81836">
        <w:rPr>
          <w:b/>
          <w:bCs/>
          <w:lang w:val="fr-FR"/>
        </w:rPr>
        <w:t>’</w:t>
      </w:r>
      <w:r w:rsidRPr="006146C5">
        <w:rPr>
          <w:b/>
          <w:bCs/>
          <w:lang w:val="fr-FR"/>
        </w:rPr>
        <w:t>une manière ou d</w:t>
      </w:r>
      <w:r w:rsidR="00E81836">
        <w:rPr>
          <w:b/>
          <w:bCs/>
          <w:lang w:val="fr-FR"/>
        </w:rPr>
        <w:t>’</w:t>
      </w:r>
      <w:r w:rsidRPr="006146C5">
        <w:rPr>
          <w:b/>
          <w:bCs/>
          <w:lang w:val="fr-FR"/>
        </w:rPr>
        <w:t>une autre, au sens de l</w:t>
      </w:r>
      <w:r w:rsidR="00E81836">
        <w:rPr>
          <w:b/>
          <w:bCs/>
          <w:lang w:val="fr-FR"/>
        </w:rPr>
        <w:t>’</w:t>
      </w:r>
      <w:r w:rsidRPr="006146C5">
        <w:rPr>
          <w:b/>
          <w:bCs/>
          <w:lang w:val="fr-FR"/>
        </w:rPr>
        <w:t>article 2 de la Convention.</w:t>
      </w:r>
    </w:p>
    <w:p w14:paraId="0A06E603" w14:textId="77777777" w:rsidR="00BB6AD2" w:rsidRPr="00407492" w:rsidRDefault="00BB6AD2" w:rsidP="00BB6AD2">
      <w:pPr>
        <w:pStyle w:val="H23G"/>
        <w:rPr>
          <w:lang w:val="fr-FR"/>
        </w:rPr>
      </w:pPr>
      <w:r>
        <w:rPr>
          <w:lang w:val="fr-FR"/>
        </w:rPr>
        <w:tab/>
      </w:r>
      <w:r>
        <w:rPr>
          <w:lang w:val="fr-FR"/>
        </w:rPr>
        <w:tab/>
      </w:r>
      <w:r w:rsidRPr="00407492">
        <w:rPr>
          <w:lang w:val="fr-FR"/>
        </w:rPr>
        <w:t>Infraction de disparition forcée</w:t>
      </w:r>
    </w:p>
    <w:p w14:paraId="45B2AEDF" w14:textId="1E7D7FAE" w:rsidR="00BB6AD2" w:rsidRPr="00407492" w:rsidRDefault="00BB6AD2" w:rsidP="00BB6AD2">
      <w:pPr>
        <w:pStyle w:val="SingleTxtG"/>
        <w:rPr>
          <w:lang w:val="fr-FR"/>
        </w:rPr>
      </w:pPr>
      <w:r>
        <w:rPr>
          <w:lang w:val="fr-FR"/>
        </w:rPr>
        <w:t>16.</w:t>
      </w:r>
      <w:r>
        <w:rPr>
          <w:lang w:val="fr-FR"/>
        </w:rPr>
        <w:tab/>
      </w:r>
      <w:r w:rsidRPr="00407492">
        <w:rPr>
          <w:lang w:val="fr-FR"/>
        </w:rPr>
        <w:t xml:space="preserve">Le Comité constate avec préoccupation que la disparition forcée ne constitue pas encore </w:t>
      </w:r>
      <w:r w:rsidRPr="00407492">
        <w:rPr>
          <w:bCs/>
          <w:lang w:val="fr-FR"/>
        </w:rPr>
        <w:t>une</w:t>
      </w:r>
      <w:r w:rsidRPr="00407492">
        <w:rPr>
          <w:lang w:val="fr-FR"/>
        </w:rPr>
        <w:t xml:space="preserve"> infraction autonome en droit interne. Il </w:t>
      </w:r>
      <w:r>
        <w:rPr>
          <w:lang w:val="fr-FR"/>
        </w:rPr>
        <w:t>note</w:t>
      </w:r>
      <w:r w:rsidRPr="00407492">
        <w:rPr>
          <w:lang w:val="fr-FR"/>
        </w:rPr>
        <w:t xml:space="preserve"> toutefois avec satisfaction </w:t>
      </w:r>
      <w:r w:rsidRPr="00407492">
        <w:rPr>
          <w:bCs/>
          <w:lang w:val="fr-FR"/>
        </w:rPr>
        <w:t>qu</w:t>
      </w:r>
      <w:r w:rsidR="00E81836">
        <w:rPr>
          <w:bCs/>
          <w:lang w:val="fr-FR"/>
        </w:rPr>
        <w:t>’</w:t>
      </w:r>
      <w:r w:rsidRPr="00407492">
        <w:rPr>
          <w:bCs/>
          <w:lang w:val="fr-FR"/>
        </w:rPr>
        <w:t xml:space="preserve">un projet de loi incriminant les actes de disparition forcée a été adopté par le Conseil des </w:t>
      </w:r>
      <w:r>
        <w:rPr>
          <w:bCs/>
          <w:lang w:val="fr-FR"/>
        </w:rPr>
        <w:t>m</w:t>
      </w:r>
      <w:r w:rsidRPr="00407492">
        <w:rPr>
          <w:bCs/>
          <w:lang w:val="fr-FR"/>
        </w:rPr>
        <w:t>inistres le 24</w:t>
      </w:r>
      <w:r w:rsidR="005F24B1">
        <w:rPr>
          <w:bCs/>
          <w:lang w:val="fr-FR"/>
        </w:rPr>
        <w:t> </w:t>
      </w:r>
      <w:r w:rsidRPr="00407492">
        <w:rPr>
          <w:bCs/>
          <w:lang w:val="fr-FR"/>
        </w:rPr>
        <w:t xml:space="preserve">février 2022, lequel sera prochainement soumis au Parlement </w:t>
      </w:r>
      <w:r w:rsidRPr="00407492">
        <w:rPr>
          <w:lang w:val="fr-FR"/>
        </w:rPr>
        <w:t>(art. 2, 4, 6, 7 et 8).</w:t>
      </w:r>
    </w:p>
    <w:p w14:paraId="72EB7A2C" w14:textId="0560B668" w:rsidR="00BB6AD2" w:rsidRPr="00407492" w:rsidRDefault="00BB6AD2" w:rsidP="00BB6AD2">
      <w:pPr>
        <w:pStyle w:val="SingleTxtG"/>
        <w:rPr>
          <w:lang w:val="fr-FR"/>
        </w:rPr>
      </w:pPr>
      <w:r>
        <w:rPr>
          <w:lang w:val="fr-FR"/>
        </w:rPr>
        <w:t>17.</w:t>
      </w:r>
      <w:r>
        <w:rPr>
          <w:lang w:val="fr-FR"/>
        </w:rPr>
        <w:tab/>
      </w:r>
      <w:r w:rsidRPr="006146C5">
        <w:rPr>
          <w:b/>
          <w:bCs/>
          <w:lang w:val="fr-FR"/>
        </w:rPr>
        <w:t>Le Comité invite l</w:t>
      </w:r>
      <w:r w:rsidR="00E81836">
        <w:rPr>
          <w:b/>
          <w:bCs/>
          <w:lang w:val="fr-FR"/>
        </w:rPr>
        <w:t>’</w:t>
      </w:r>
      <w:r w:rsidRPr="006146C5">
        <w:rPr>
          <w:b/>
          <w:bCs/>
          <w:lang w:val="fr-FR"/>
        </w:rPr>
        <w:t>État partie à conclure sans attendre la procédure d</w:t>
      </w:r>
      <w:r w:rsidR="00E81836">
        <w:rPr>
          <w:b/>
          <w:bCs/>
          <w:lang w:val="fr-FR"/>
        </w:rPr>
        <w:t>’</w:t>
      </w:r>
      <w:r w:rsidRPr="006146C5">
        <w:rPr>
          <w:b/>
          <w:bCs/>
          <w:lang w:val="fr-FR"/>
        </w:rPr>
        <w:t>adoption d</w:t>
      </w:r>
      <w:r w:rsidR="00E81836">
        <w:rPr>
          <w:b/>
          <w:bCs/>
          <w:lang w:val="fr-FR"/>
        </w:rPr>
        <w:t>’</w:t>
      </w:r>
      <w:r w:rsidRPr="006146C5">
        <w:rPr>
          <w:b/>
          <w:bCs/>
          <w:lang w:val="fr-FR"/>
        </w:rPr>
        <w:t xml:space="preserve">une loi incriminant les actes de disparition forcée qui soit pleinement conforme au texte </w:t>
      </w:r>
      <w:r>
        <w:rPr>
          <w:b/>
          <w:bCs/>
          <w:lang w:val="fr-FR"/>
        </w:rPr>
        <w:t>de</w:t>
      </w:r>
      <w:r w:rsidRPr="006146C5">
        <w:rPr>
          <w:b/>
          <w:bCs/>
          <w:lang w:val="fr-FR"/>
        </w:rPr>
        <w:t xml:space="preserve"> la Convention</w:t>
      </w:r>
      <w:r>
        <w:rPr>
          <w:b/>
          <w:bCs/>
          <w:lang w:val="fr-FR"/>
        </w:rPr>
        <w:t>,</w:t>
      </w:r>
      <w:r w:rsidRPr="006146C5">
        <w:rPr>
          <w:b/>
          <w:bCs/>
          <w:lang w:val="fr-FR"/>
        </w:rPr>
        <w:t xml:space="preserve"> et </w:t>
      </w:r>
      <w:r>
        <w:rPr>
          <w:b/>
          <w:bCs/>
          <w:lang w:val="fr-FR"/>
        </w:rPr>
        <w:t>prévoie</w:t>
      </w:r>
      <w:r w:rsidRPr="006146C5">
        <w:rPr>
          <w:b/>
          <w:bCs/>
          <w:lang w:val="fr-FR"/>
        </w:rPr>
        <w:t xml:space="preserve"> notamment un délai de prescription de longue durée et proportionné à l</w:t>
      </w:r>
      <w:r w:rsidR="00E81836">
        <w:rPr>
          <w:b/>
          <w:bCs/>
          <w:lang w:val="fr-FR"/>
        </w:rPr>
        <w:t>’</w:t>
      </w:r>
      <w:r w:rsidRPr="006146C5">
        <w:rPr>
          <w:b/>
          <w:bCs/>
          <w:lang w:val="fr-FR"/>
        </w:rPr>
        <w:t>extrême gravité du crime qui, compte tenu du caractère continu de la disparition forcée, commence à courir lorsque cesse l</w:t>
      </w:r>
      <w:r w:rsidR="00E81836">
        <w:rPr>
          <w:b/>
          <w:bCs/>
          <w:lang w:val="fr-FR"/>
        </w:rPr>
        <w:t>’</w:t>
      </w:r>
      <w:r w:rsidRPr="006146C5">
        <w:rPr>
          <w:b/>
          <w:bCs/>
          <w:lang w:val="fr-FR"/>
        </w:rPr>
        <w:t>infraction.</w:t>
      </w:r>
    </w:p>
    <w:p w14:paraId="4EBAF008" w14:textId="0DA04D42" w:rsidR="00BB6AD2" w:rsidRPr="00407492" w:rsidRDefault="00BB6AD2" w:rsidP="00BB6AD2">
      <w:pPr>
        <w:pStyle w:val="H23G"/>
        <w:rPr>
          <w:lang w:val="fr-FR"/>
        </w:rPr>
      </w:pPr>
      <w:r>
        <w:rPr>
          <w:lang w:val="fr-FR"/>
        </w:rPr>
        <w:tab/>
      </w:r>
      <w:r>
        <w:rPr>
          <w:lang w:val="fr-FR"/>
        </w:rPr>
        <w:tab/>
      </w:r>
      <w:r w:rsidRPr="00407492">
        <w:rPr>
          <w:lang w:val="fr-FR"/>
        </w:rPr>
        <w:t>Actes commis par des acteurs non étatiques sans participation de l</w:t>
      </w:r>
      <w:r w:rsidR="00E81836">
        <w:rPr>
          <w:lang w:val="fr-FR"/>
        </w:rPr>
        <w:t>’</w:t>
      </w:r>
      <w:r w:rsidRPr="00407492">
        <w:rPr>
          <w:lang w:val="fr-FR"/>
        </w:rPr>
        <w:t>État</w:t>
      </w:r>
    </w:p>
    <w:p w14:paraId="74973B18" w14:textId="2F0657EB" w:rsidR="00BB6AD2" w:rsidRPr="00407492" w:rsidRDefault="00BB6AD2" w:rsidP="00BB6AD2">
      <w:pPr>
        <w:pStyle w:val="SingleTxtG"/>
        <w:rPr>
          <w:lang w:val="fr-FR"/>
        </w:rPr>
      </w:pPr>
      <w:r>
        <w:rPr>
          <w:lang w:val="fr-FR"/>
        </w:rPr>
        <w:t>18.</w:t>
      </w:r>
      <w:r>
        <w:rPr>
          <w:lang w:val="fr-FR"/>
        </w:rPr>
        <w:tab/>
      </w:r>
      <w:r w:rsidRPr="00407492">
        <w:rPr>
          <w:lang w:val="fr-FR"/>
        </w:rPr>
        <w:t>Le Comité est conscient des nombreux défis auxquels l</w:t>
      </w:r>
      <w:r w:rsidR="00E81836">
        <w:rPr>
          <w:lang w:val="fr-FR"/>
        </w:rPr>
        <w:t>’</w:t>
      </w:r>
      <w:r w:rsidRPr="00407492">
        <w:rPr>
          <w:lang w:val="fr-FR"/>
        </w:rPr>
        <w:t>État partie est confronté en raison des graves exactions, y</w:t>
      </w:r>
      <w:r w:rsidR="005F24B1">
        <w:rPr>
          <w:lang w:val="fr-FR"/>
        </w:rPr>
        <w:t> </w:t>
      </w:r>
      <w:r w:rsidRPr="00407492">
        <w:rPr>
          <w:lang w:val="fr-FR"/>
        </w:rPr>
        <w:t xml:space="preserve">compris des disparitions, commises par des groupes armés non étatiques. Néanmoins, il regrette de </w:t>
      </w:r>
      <w:r>
        <w:rPr>
          <w:lang w:val="fr-FR"/>
        </w:rPr>
        <w:t>n</w:t>
      </w:r>
      <w:r w:rsidR="00E81836">
        <w:rPr>
          <w:lang w:val="fr-FR"/>
        </w:rPr>
        <w:t>’</w:t>
      </w:r>
      <w:r w:rsidRPr="00407492">
        <w:rPr>
          <w:lang w:val="fr-FR"/>
        </w:rPr>
        <w:t xml:space="preserve">avoir </w:t>
      </w:r>
      <w:r>
        <w:rPr>
          <w:lang w:val="fr-FR"/>
        </w:rPr>
        <w:t xml:space="preserve">pas </w:t>
      </w:r>
      <w:r w:rsidRPr="00407492">
        <w:rPr>
          <w:lang w:val="fr-FR"/>
        </w:rPr>
        <w:t>reçu d</w:t>
      </w:r>
      <w:r w:rsidR="00E81836">
        <w:rPr>
          <w:lang w:val="fr-FR"/>
        </w:rPr>
        <w:t>’</w:t>
      </w:r>
      <w:r w:rsidRPr="00407492">
        <w:rPr>
          <w:lang w:val="fr-FR"/>
        </w:rPr>
        <w:t>informations sur les enquêtes menées sur ces disparitions et leurs résultats, y</w:t>
      </w:r>
      <w:r w:rsidR="005F24B1">
        <w:rPr>
          <w:lang w:val="fr-FR"/>
        </w:rPr>
        <w:t> </w:t>
      </w:r>
      <w:r w:rsidRPr="00407492">
        <w:rPr>
          <w:lang w:val="fr-FR"/>
        </w:rPr>
        <w:t>compris les sanctions infligées aux auteurs, ainsi que sur l</w:t>
      </w:r>
      <w:r w:rsidR="00E81836">
        <w:rPr>
          <w:lang w:val="fr-FR"/>
        </w:rPr>
        <w:t>’</w:t>
      </w:r>
      <w:r w:rsidRPr="00407492">
        <w:rPr>
          <w:lang w:val="fr-FR"/>
        </w:rPr>
        <w:t>assistance apportée aux victimes et sur la recherche et la localisation des personnes disparues (art. 3).</w:t>
      </w:r>
    </w:p>
    <w:p w14:paraId="68C2FFE7" w14:textId="2E666768" w:rsidR="00BB6AD2" w:rsidRPr="00407492" w:rsidRDefault="00BB6AD2" w:rsidP="00BB6AD2">
      <w:pPr>
        <w:pStyle w:val="SingleTxtG"/>
        <w:rPr>
          <w:lang w:val="fr-FR"/>
        </w:rPr>
      </w:pPr>
      <w:r>
        <w:rPr>
          <w:lang w:val="fr-FR"/>
        </w:rPr>
        <w:t>19.</w:t>
      </w:r>
      <w:r>
        <w:rPr>
          <w:lang w:val="fr-FR"/>
        </w:rPr>
        <w:tab/>
      </w:r>
      <w:r w:rsidRPr="006146C5">
        <w:rPr>
          <w:b/>
          <w:bCs/>
          <w:lang w:val="fr-FR"/>
        </w:rPr>
        <w:t>Le Comité recommande à l</w:t>
      </w:r>
      <w:r w:rsidR="00E81836">
        <w:rPr>
          <w:b/>
          <w:bCs/>
          <w:lang w:val="fr-FR"/>
        </w:rPr>
        <w:t>’</w:t>
      </w:r>
      <w:r w:rsidRPr="006146C5">
        <w:rPr>
          <w:b/>
          <w:bCs/>
          <w:lang w:val="fr-FR"/>
        </w:rPr>
        <w:t>État partie de redoubler ses efforts pour que les allégations faisant état d</w:t>
      </w:r>
      <w:r w:rsidR="00E81836">
        <w:rPr>
          <w:b/>
          <w:bCs/>
          <w:lang w:val="fr-FR"/>
        </w:rPr>
        <w:t>’</w:t>
      </w:r>
      <w:r w:rsidRPr="006146C5">
        <w:rPr>
          <w:b/>
          <w:bCs/>
          <w:lang w:val="fr-FR"/>
        </w:rPr>
        <w:t>agissements définis à l</w:t>
      </w:r>
      <w:r w:rsidR="00E81836">
        <w:rPr>
          <w:b/>
          <w:bCs/>
          <w:lang w:val="fr-FR"/>
        </w:rPr>
        <w:t>’</w:t>
      </w:r>
      <w:r w:rsidRPr="006146C5">
        <w:rPr>
          <w:b/>
          <w:bCs/>
          <w:lang w:val="fr-FR"/>
        </w:rPr>
        <w:t>article 2 de la Convention commis par des groupes armés sans l</w:t>
      </w:r>
      <w:r w:rsidR="00E81836">
        <w:rPr>
          <w:b/>
          <w:bCs/>
          <w:lang w:val="fr-FR"/>
        </w:rPr>
        <w:t>’</w:t>
      </w:r>
      <w:r w:rsidRPr="006146C5">
        <w:rPr>
          <w:b/>
          <w:bCs/>
          <w:lang w:val="fr-FR"/>
        </w:rPr>
        <w:t>autorisation, l</w:t>
      </w:r>
      <w:r w:rsidR="00E81836">
        <w:rPr>
          <w:b/>
          <w:bCs/>
          <w:lang w:val="fr-FR"/>
        </w:rPr>
        <w:t>’</w:t>
      </w:r>
      <w:r w:rsidRPr="006146C5">
        <w:rPr>
          <w:b/>
          <w:bCs/>
          <w:lang w:val="fr-FR"/>
        </w:rPr>
        <w:t>appui ou l</w:t>
      </w:r>
      <w:r w:rsidR="00E81836">
        <w:rPr>
          <w:b/>
          <w:bCs/>
          <w:lang w:val="fr-FR"/>
        </w:rPr>
        <w:t>’</w:t>
      </w:r>
      <w:r w:rsidRPr="006146C5">
        <w:rPr>
          <w:b/>
          <w:bCs/>
          <w:lang w:val="fr-FR"/>
        </w:rPr>
        <w:t>acquiescement d</w:t>
      </w:r>
      <w:r w:rsidR="00E81836">
        <w:rPr>
          <w:b/>
          <w:bCs/>
          <w:lang w:val="fr-FR"/>
        </w:rPr>
        <w:t>’</w:t>
      </w:r>
      <w:r w:rsidRPr="006146C5">
        <w:rPr>
          <w:b/>
          <w:bCs/>
          <w:lang w:val="fr-FR"/>
        </w:rPr>
        <w:t>agents de l</w:t>
      </w:r>
      <w:r w:rsidR="00E81836">
        <w:rPr>
          <w:b/>
          <w:bCs/>
          <w:lang w:val="fr-FR"/>
        </w:rPr>
        <w:t>’</w:t>
      </w:r>
      <w:r w:rsidRPr="006146C5">
        <w:rPr>
          <w:b/>
          <w:bCs/>
          <w:lang w:val="fr-FR"/>
        </w:rPr>
        <w:t>État fassent l</w:t>
      </w:r>
      <w:r w:rsidR="00E81836">
        <w:rPr>
          <w:b/>
          <w:bCs/>
          <w:lang w:val="fr-FR"/>
        </w:rPr>
        <w:t>’</w:t>
      </w:r>
      <w:r w:rsidRPr="006146C5">
        <w:rPr>
          <w:b/>
          <w:bCs/>
          <w:lang w:val="fr-FR"/>
        </w:rPr>
        <w:t>objet d</w:t>
      </w:r>
      <w:r w:rsidR="00E81836">
        <w:rPr>
          <w:b/>
          <w:bCs/>
          <w:lang w:val="fr-FR"/>
        </w:rPr>
        <w:t>’</w:t>
      </w:r>
      <w:r w:rsidRPr="006146C5">
        <w:rPr>
          <w:b/>
          <w:bCs/>
          <w:lang w:val="fr-FR"/>
        </w:rPr>
        <w:t>enquêtes immédiates, approfondies et impartiales</w:t>
      </w:r>
      <w:r>
        <w:rPr>
          <w:b/>
          <w:bCs/>
          <w:lang w:val="fr-FR"/>
        </w:rPr>
        <w:t>,</w:t>
      </w:r>
      <w:r w:rsidRPr="006146C5">
        <w:rPr>
          <w:b/>
          <w:bCs/>
          <w:lang w:val="fr-FR"/>
        </w:rPr>
        <w:t xml:space="preserve"> et que les auteurs présumés soient traduits en justice et, s</w:t>
      </w:r>
      <w:r w:rsidR="00E81836">
        <w:rPr>
          <w:b/>
          <w:bCs/>
          <w:lang w:val="fr-FR"/>
        </w:rPr>
        <w:t>’</w:t>
      </w:r>
      <w:r w:rsidRPr="006146C5">
        <w:rPr>
          <w:b/>
          <w:bCs/>
          <w:lang w:val="fr-FR"/>
        </w:rPr>
        <w:t>ils sont reconnus coupables, condamnés à des peines proportionnées à la gravité de leurs actes. Le Comité recommande en outre à l</w:t>
      </w:r>
      <w:r w:rsidR="00E81836">
        <w:rPr>
          <w:b/>
          <w:bCs/>
          <w:lang w:val="fr-FR"/>
        </w:rPr>
        <w:t>’</w:t>
      </w:r>
      <w:r w:rsidRPr="006146C5">
        <w:rPr>
          <w:b/>
          <w:bCs/>
          <w:lang w:val="fr-FR"/>
        </w:rPr>
        <w:t>État partie</w:t>
      </w:r>
      <w:r>
        <w:rPr>
          <w:b/>
          <w:bCs/>
          <w:lang w:val="fr-FR"/>
        </w:rPr>
        <w:t xml:space="preserve"> </w:t>
      </w:r>
      <w:r w:rsidRPr="006146C5">
        <w:rPr>
          <w:b/>
          <w:bCs/>
          <w:lang w:val="fr-FR"/>
        </w:rPr>
        <w:t>de prendre toutes les mesures nécessaires pour porter assistance aux victimes</w:t>
      </w:r>
      <w:r>
        <w:rPr>
          <w:b/>
          <w:bCs/>
          <w:lang w:val="fr-FR"/>
        </w:rPr>
        <w:t>,</w:t>
      </w:r>
      <w:r w:rsidRPr="006146C5">
        <w:rPr>
          <w:b/>
          <w:bCs/>
          <w:lang w:val="fr-FR"/>
        </w:rPr>
        <w:t xml:space="preserve"> pour rechercher et localiser les personnes disparues</w:t>
      </w:r>
      <w:r>
        <w:rPr>
          <w:b/>
          <w:bCs/>
          <w:lang w:val="fr-FR"/>
        </w:rPr>
        <w:t xml:space="preserve"> par </w:t>
      </w:r>
      <w:r w:rsidRPr="006146C5">
        <w:rPr>
          <w:b/>
          <w:bCs/>
          <w:lang w:val="fr-FR"/>
        </w:rPr>
        <w:t xml:space="preserve">suite </w:t>
      </w:r>
      <w:r>
        <w:rPr>
          <w:b/>
          <w:bCs/>
          <w:lang w:val="fr-FR"/>
        </w:rPr>
        <w:t>des</w:t>
      </w:r>
      <w:r w:rsidRPr="006146C5">
        <w:rPr>
          <w:b/>
          <w:bCs/>
          <w:lang w:val="fr-FR"/>
        </w:rPr>
        <w:t xml:space="preserve"> agissements</w:t>
      </w:r>
      <w:r>
        <w:rPr>
          <w:b/>
          <w:bCs/>
          <w:lang w:val="fr-FR"/>
        </w:rPr>
        <w:t xml:space="preserve"> </w:t>
      </w:r>
      <w:r w:rsidRPr="006146C5">
        <w:rPr>
          <w:b/>
          <w:bCs/>
          <w:lang w:val="fr-FR"/>
        </w:rPr>
        <w:t>de ces groupes armés et pour prévenir de tels actes.</w:t>
      </w:r>
    </w:p>
    <w:p w14:paraId="1BE0283F" w14:textId="77777777" w:rsidR="00BB6AD2" w:rsidRPr="00407492" w:rsidRDefault="00BB6AD2" w:rsidP="00BB6AD2">
      <w:pPr>
        <w:pStyle w:val="H23G"/>
        <w:rPr>
          <w:lang w:val="fr-FR"/>
        </w:rPr>
      </w:pPr>
      <w:r>
        <w:rPr>
          <w:lang w:val="fr-FR"/>
        </w:rPr>
        <w:tab/>
        <w:t>3.</w:t>
      </w:r>
      <w:r>
        <w:rPr>
          <w:lang w:val="fr-FR"/>
        </w:rPr>
        <w:tab/>
      </w:r>
      <w:r w:rsidRPr="00407492">
        <w:rPr>
          <w:lang w:val="fr-FR"/>
        </w:rPr>
        <w:t xml:space="preserve">Responsabilité pénale et coopération judiciaire en matière de disparition forcée </w:t>
      </w:r>
      <w:r>
        <w:rPr>
          <w:lang w:val="fr-FR"/>
        </w:rPr>
        <w:br/>
      </w:r>
      <w:r w:rsidRPr="00407492">
        <w:rPr>
          <w:lang w:val="fr-FR"/>
        </w:rPr>
        <w:t>(art. 8 à 15)</w:t>
      </w:r>
    </w:p>
    <w:p w14:paraId="0174BEE0" w14:textId="77777777" w:rsidR="00BB6AD2" w:rsidRPr="00407492" w:rsidRDefault="00BB6AD2" w:rsidP="00BB6AD2">
      <w:pPr>
        <w:pStyle w:val="H23G"/>
        <w:rPr>
          <w:lang w:val="fr-FR"/>
        </w:rPr>
      </w:pPr>
      <w:r>
        <w:rPr>
          <w:lang w:val="fr-FR"/>
        </w:rPr>
        <w:tab/>
      </w:r>
      <w:r>
        <w:rPr>
          <w:lang w:val="fr-FR"/>
        </w:rPr>
        <w:tab/>
      </w:r>
      <w:r w:rsidRPr="00407492">
        <w:rPr>
          <w:lang w:val="fr-FR"/>
        </w:rPr>
        <w:t>Juridiction militaire</w:t>
      </w:r>
    </w:p>
    <w:p w14:paraId="76CB3D83" w14:textId="500C28F3" w:rsidR="00BB6AD2" w:rsidRPr="00407492" w:rsidRDefault="00BB6AD2" w:rsidP="00BB6AD2">
      <w:pPr>
        <w:pStyle w:val="SingleTxtG"/>
        <w:rPr>
          <w:lang w:val="fr-FR"/>
        </w:rPr>
      </w:pPr>
      <w:r>
        <w:rPr>
          <w:lang w:val="fr-FR"/>
        </w:rPr>
        <w:t>20.</w:t>
      </w:r>
      <w:r>
        <w:rPr>
          <w:lang w:val="fr-FR"/>
        </w:rPr>
        <w:tab/>
      </w:r>
      <w:r w:rsidRPr="00407492">
        <w:rPr>
          <w:lang w:val="fr-FR"/>
        </w:rPr>
        <w:t>Le Comité constate que le tribunal militaire est compétent pour enquêter sur des cas de disparition forcée lorsqu</w:t>
      </w:r>
      <w:r w:rsidR="00E81836">
        <w:rPr>
          <w:lang w:val="fr-FR"/>
        </w:rPr>
        <w:t>’</w:t>
      </w:r>
      <w:r w:rsidRPr="00407492">
        <w:rPr>
          <w:lang w:val="fr-FR"/>
        </w:rPr>
        <w:t>ils sont perpétrés par du personnel militaire ou pendant un état d</w:t>
      </w:r>
      <w:r w:rsidR="00E81836">
        <w:rPr>
          <w:lang w:val="fr-FR"/>
        </w:rPr>
        <w:t>’</w:t>
      </w:r>
      <w:r w:rsidRPr="00407492">
        <w:rPr>
          <w:lang w:val="fr-FR"/>
        </w:rPr>
        <w:t>urgence. Il prend note des informations reçues au cours du dialogue concernant les garanties judiciaires qui s</w:t>
      </w:r>
      <w:r w:rsidR="00E81836">
        <w:rPr>
          <w:lang w:val="fr-FR"/>
        </w:rPr>
        <w:t>’</w:t>
      </w:r>
      <w:r w:rsidRPr="00407492">
        <w:rPr>
          <w:lang w:val="fr-FR"/>
        </w:rPr>
        <w:t>appliquent à la juridiction militaire, y</w:t>
      </w:r>
      <w:r w:rsidR="005F24B1">
        <w:rPr>
          <w:lang w:val="fr-FR"/>
        </w:rPr>
        <w:t> </w:t>
      </w:r>
      <w:r w:rsidRPr="00407492">
        <w:rPr>
          <w:lang w:val="fr-FR"/>
        </w:rPr>
        <w:t xml:space="preserve">compris sur sa composition mixte. Cependant, le Comité rappelle que la compétence de la juridiction militaire doit être </w:t>
      </w:r>
      <w:r w:rsidRPr="00407492">
        <w:rPr>
          <w:lang w:val="fr-FR"/>
        </w:rPr>
        <w:lastRenderedPageBreak/>
        <w:t xml:space="preserve">exclue dans les cas de violations graves des droits </w:t>
      </w:r>
      <w:r>
        <w:rPr>
          <w:lang w:val="fr-FR"/>
        </w:rPr>
        <w:t>humains</w:t>
      </w:r>
      <w:r w:rsidRPr="00407492">
        <w:rPr>
          <w:lang w:val="fr-FR"/>
        </w:rPr>
        <w:t>, notamment les disparitions forcées (art. 11).</w:t>
      </w:r>
    </w:p>
    <w:p w14:paraId="6E03B5E3" w14:textId="218FC81E" w:rsidR="00BB6AD2" w:rsidRPr="00407492" w:rsidRDefault="00BB6AD2" w:rsidP="00BB6AD2">
      <w:pPr>
        <w:pStyle w:val="SingleTxtG"/>
        <w:rPr>
          <w:lang w:val="fr-FR"/>
        </w:rPr>
      </w:pPr>
      <w:r>
        <w:rPr>
          <w:lang w:val="fr-FR"/>
        </w:rPr>
        <w:t>21.</w:t>
      </w:r>
      <w:r>
        <w:rPr>
          <w:lang w:val="fr-FR"/>
        </w:rPr>
        <w:tab/>
      </w:r>
      <w:r w:rsidRPr="006146C5">
        <w:rPr>
          <w:b/>
          <w:bCs/>
          <w:lang w:val="fr-FR"/>
        </w:rPr>
        <w:t>Rappelant sa déclaration sur les disparitions forcées et la juridiction militaire</w:t>
      </w:r>
      <w:r w:rsidRPr="00091998">
        <w:rPr>
          <w:rStyle w:val="Appelnotedebasdep"/>
          <w:sz w:val="20"/>
          <w:lang w:val="fr-FR"/>
        </w:rPr>
        <w:footnoteReference w:id="9"/>
      </w:r>
      <w:r>
        <w:rPr>
          <w:b/>
          <w:bCs/>
          <w:lang w:val="fr-FR"/>
        </w:rPr>
        <w:t>,</w:t>
      </w:r>
      <w:r w:rsidRPr="006146C5">
        <w:rPr>
          <w:b/>
          <w:bCs/>
          <w:lang w:val="fr-FR"/>
        </w:rPr>
        <w:t xml:space="preserve"> le Comité recommande à l</w:t>
      </w:r>
      <w:r w:rsidR="00E81836">
        <w:rPr>
          <w:b/>
          <w:bCs/>
          <w:lang w:val="fr-FR"/>
        </w:rPr>
        <w:t>’</w:t>
      </w:r>
      <w:r w:rsidRPr="006146C5">
        <w:rPr>
          <w:b/>
          <w:bCs/>
          <w:lang w:val="fr-FR"/>
        </w:rPr>
        <w:t>État partie de prendre les mesures législatives nécessaires afin d</w:t>
      </w:r>
      <w:r w:rsidR="00E81836">
        <w:rPr>
          <w:b/>
          <w:bCs/>
          <w:lang w:val="fr-FR"/>
        </w:rPr>
        <w:t>’</w:t>
      </w:r>
      <w:r w:rsidRPr="006146C5">
        <w:rPr>
          <w:b/>
          <w:bCs/>
          <w:lang w:val="fr-FR"/>
        </w:rPr>
        <w:t xml:space="preserve">exclure de la juridiction militaire les enquêtes et poursuites </w:t>
      </w:r>
      <w:r>
        <w:rPr>
          <w:b/>
          <w:bCs/>
          <w:lang w:val="fr-FR"/>
        </w:rPr>
        <w:t xml:space="preserve">relatives à </w:t>
      </w:r>
      <w:r w:rsidRPr="006146C5">
        <w:rPr>
          <w:b/>
          <w:bCs/>
          <w:lang w:val="fr-FR"/>
        </w:rPr>
        <w:t>des disparitions forcées dans tous les cas.</w:t>
      </w:r>
    </w:p>
    <w:p w14:paraId="1F65AF0B" w14:textId="77777777" w:rsidR="00BB6AD2" w:rsidRPr="00407492" w:rsidRDefault="00BB6AD2" w:rsidP="00BB6AD2">
      <w:pPr>
        <w:pStyle w:val="H23G"/>
        <w:rPr>
          <w:lang w:val="fr-FR"/>
        </w:rPr>
      </w:pPr>
      <w:r>
        <w:rPr>
          <w:lang w:val="fr-FR"/>
        </w:rPr>
        <w:tab/>
      </w:r>
      <w:r>
        <w:rPr>
          <w:lang w:val="fr-FR"/>
        </w:rPr>
        <w:tab/>
      </w:r>
      <w:r w:rsidRPr="00407492">
        <w:rPr>
          <w:lang w:val="fr-FR"/>
        </w:rPr>
        <w:t>Protection des personnes qui participent à une enquête</w:t>
      </w:r>
    </w:p>
    <w:p w14:paraId="1AF8E9ED" w14:textId="07D834D3" w:rsidR="00BB6AD2" w:rsidRPr="00407492" w:rsidRDefault="00BB6AD2" w:rsidP="00BB6AD2">
      <w:pPr>
        <w:pStyle w:val="SingleTxtG"/>
        <w:rPr>
          <w:lang w:val="fr-FR"/>
        </w:rPr>
      </w:pPr>
      <w:r>
        <w:rPr>
          <w:lang w:val="fr-FR"/>
        </w:rPr>
        <w:t>22.</w:t>
      </w:r>
      <w:r>
        <w:rPr>
          <w:lang w:val="fr-FR"/>
        </w:rPr>
        <w:tab/>
      </w:r>
      <w:r w:rsidRPr="00407492">
        <w:rPr>
          <w:lang w:val="fr-FR"/>
        </w:rPr>
        <w:t>Le Comité prend note de l</w:t>
      </w:r>
      <w:r w:rsidR="00E81836">
        <w:rPr>
          <w:lang w:val="fr-FR"/>
        </w:rPr>
        <w:t>’</w:t>
      </w:r>
      <w:r w:rsidRPr="00407492">
        <w:rPr>
          <w:lang w:val="fr-FR"/>
        </w:rPr>
        <w:t>affirmation de l</w:t>
      </w:r>
      <w:r w:rsidR="00E81836">
        <w:rPr>
          <w:lang w:val="fr-FR"/>
        </w:rPr>
        <w:t>’</w:t>
      </w:r>
      <w:r w:rsidRPr="00407492">
        <w:rPr>
          <w:lang w:val="fr-FR"/>
        </w:rPr>
        <w:t xml:space="preserve">État partie selon laquelle les familles des personnes disparues ne courent pas de risques de représailles car les auteurs ne connaissent pas les personnes enlevées. Néanmoins, </w:t>
      </w:r>
      <w:r>
        <w:rPr>
          <w:lang w:val="fr-FR"/>
        </w:rPr>
        <w:t>il</w:t>
      </w:r>
      <w:r w:rsidRPr="00407492">
        <w:rPr>
          <w:lang w:val="fr-FR"/>
        </w:rPr>
        <w:t xml:space="preserve"> regrette </w:t>
      </w:r>
      <w:r>
        <w:rPr>
          <w:lang w:val="fr-FR"/>
        </w:rPr>
        <w:t>de n</w:t>
      </w:r>
      <w:r w:rsidR="00E81836">
        <w:rPr>
          <w:lang w:val="fr-FR"/>
        </w:rPr>
        <w:t>’</w:t>
      </w:r>
      <w:r w:rsidRPr="00407492">
        <w:rPr>
          <w:lang w:val="fr-FR"/>
        </w:rPr>
        <w:t xml:space="preserve">avoir </w:t>
      </w:r>
      <w:r>
        <w:rPr>
          <w:lang w:val="fr-FR"/>
        </w:rPr>
        <w:t xml:space="preserve">pas </w:t>
      </w:r>
      <w:r w:rsidRPr="00407492">
        <w:rPr>
          <w:lang w:val="fr-FR"/>
        </w:rPr>
        <w:t>reçu d</w:t>
      </w:r>
      <w:r w:rsidR="00E81836">
        <w:rPr>
          <w:lang w:val="fr-FR"/>
        </w:rPr>
        <w:t>’</w:t>
      </w:r>
      <w:r w:rsidRPr="00407492">
        <w:rPr>
          <w:lang w:val="fr-FR"/>
        </w:rPr>
        <w:t>information</w:t>
      </w:r>
      <w:r>
        <w:rPr>
          <w:lang w:val="fr-FR"/>
        </w:rPr>
        <w:t>s</w:t>
      </w:r>
      <w:r w:rsidRPr="00407492">
        <w:rPr>
          <w:lang w:val="fr-FR"/>
        </w:rPr>
        <w:t xml:space="preserve"> sur les mesures concrètes qui ont été prises pour assurer la protection des victimes et des témoins (art. 12).</w:t>
      </w:r>
    </w:p>
    <w:p w14:paraId="5A32F406" w14:textId="0601FCB8" w:rsidR="00BB6AD2" w:rsidRPr="00407492" w:rsidRDefault="00BB6AD2" w:rsidP="00BB6AD2">
      <w:pPr>
        <w:pStyle w:val="SingleTxtG"/>
        <w:rPr>
          <w:lang w:val="fr-FR"/>
        </w:rPr>
      </w:pPr>
      <w:r>
        <w:rPr>
          <w:lang w:val="fr-FR"/>
        </w:rPr>
        <w:t>23.</w:t>
      </w:r>
      <w:r>
        <w:rPr>
          <w:lang w:val="fr-FR"/>
        </w:rPr>
        <w:tab/>
      </w:r>
      <w:r w:rsidRPr="006146C5">
        <w:rPr>
          <w:b/>
          <w:bCs/>
          <w:lang w:val="fr-FR"/>
        </w:rPr>
        <w:t>Le Comité recommande à l</w:t>
      </w:r>
      <w:r w:rsidR="00E81836">
        <w:rPr>
          <w:b/>
          <w:bCs/>
          <w:lang w:val="fr-FR"/>
        </w:rPr>
        <w:t>’</w:t>
      </w:r>
      <w:r w:rsidRPr="006146C5">
        <w:rPr>
          <w:b/>
          <w:bCs/>
          <w:lang w:val="fr-FR"/>
        </w:rPr>
        <w:t>État partie d</w:t>
      </w:r>
      <w:r w:rsidR="00E81836">
        <w:rPr>
          <w:b/>
          <w:bCs/>
          <w:lang w:val="fr-FR"/>
        </w:rPr>
        <w:t>’</w:t>
      </w:r>
      <w:r w:rsidRPr="006146C5">
        <w:rPr>
          <w:b/>
          <w:bCs/>
          <w:lang w:val="fr-FR"/>
        </w:rPr>
        <w:t>établir des mécanismes, y</w:t>
      </w:r>
      <w:r w:rsidR="005F24B1">
        <w:rPr>
          <w:b/>
          <w:bCs/>
          <w:lang w:val="fr-FR"/>
        </w:rPr>
        <w:t> </w:t>
      </w:r>
      <w:r w:rsidRPr="006146C5">
        <w:rPr>
          <w:b/>
          <w:bCs/>
          <w:lang w:val="fr-FR"/>
        </w:rPr>
        <w:t xml:space="preserve">compris un programme structuré, pour assurer la protection efficace de toutes les personnes visées </w:t>
      </w:r>
      <w:r>
        <w:rPr>
          <w:b/>
          <w:bCs/>
          <w:lang w:val="fr-FR"/>
        </w:rPr>
        <w:t>à</w:t>
      </w:r>
      <w:r w:rsidRPr="006146C5">
        <w:rPr>
          <w:b/>
          <w:bCs/>
          <w:lang w:val="fr-FR"/>
        </w:rPr>
        <w:t xml:space="preserve"> l</w:t>
      </w:r>
      <w:r w:rsidR="00E81836">
        <w:rPr>
          <w:b/>
          <w:bCs/>
          <w:lang w:val="fr-FR"/>
        </w:rPr>
        <w:t>’</w:t>
      </w:r>
      <w:r w:rsidRPr="006146C5">
        <w:rPr>
          <w:b/>
          <w:bCs/>
          <w:lang w:val="fr-FR"/>
        </w:rPr>
        <w:t>article</w:t>
      </w:r>
      <w:r w:rsidR="005F24B1">
        <w:rPr>
          <w:b/>
          <w:bCs/>
          <w:lang w:val="fr-FR"/>
        </w:rPr>
        <w:t> </w:t>
      </w:r>
      <w:r w:rsidRPr="006146C5">
        <w:rPr>
          <w:b/>
          <w:bCs/>
          <w:lang w:val="fr-FR"/>
        </w:rPr>
        <w:t>12 (par.</w:t>
      </w:r>
      <w:r w:rsidR="005F24B1">
        <w:rPr>
          <w:b/>
          <w:bCs/>
          <w:lang w:val="fr-FR"/>
        </w:rPr>
        <w:t> </w:t>
      </w:r>
      <w:r w:rsidRPr="006146C5">
        <w:rPr>
          <w:b/>
          <w:bCs/>
          <w:lang w:val="fr-FR"/>
        </w:rPr>
        <w:t>1) de la Convention contre tout mauvais traitement ou toute intimidation en raison de la plainte déposée ou de toute déposition faite.</w:t>
      </w:r>
    </w:p>
    <w:p w14:paraId="6FC87C98" w14:textId="77777777" w:rsidR="00BB6AD2" w:rsidRPr="00407492" w:rsidRDefault="00BB6AD2" w:rsidP="00BB6AD2">
      <w:pPr>
        <w:pStyle w:val="H23G"/>
        <w:rPr>
          <w:lang w:val="fr-FR"/>
        </w:rPr>
      </w:pPr>
      <w:r>
        <w:rPr>
          <w:lang w:val="fr-FR"/>
        </w:rPr>
        <w:tab/>
      </w:r>
      <w:r>
        <w:rPr>
          <w:lang w:val="fr-FR"/>
        </w:rPr>
        <w:tab/>
      </w:r>
      <w:r w:rsidRPr="00407492">
        <w:rPr>
          <w:lang w:val="fr-FR"/>
        </w:rPr>
        <w:t>Allégations de disparitions forcées</w:t>
      </w:r>
    </w:p>
    <w:p w14:paraId="7960BB11" w14:textId="67B47126" w:rsidR="00BB6AD2" w:rsidRPr="00407492" w:rsidRDefault="00BB6AD2" w:rsidP="00BB6AD2">
      <w:pPr>
        <w:pStyle w:val="SingleTxtG"/>
        <w:rPr>
          <w:lang w:val="fr-FR"/>
        </w:rPr>
      </w:pPr>
      <w:r>
        <w:rPr>
          <w:lang w:val="fr-FR"/>
        </w:rPr>
        <w:t>24.</w:t>
      </w:r>
      <w:r>
        <w:rPr>
          <w:lang w:val="fr-FR"/>
        </w:rPr>
        <w:tab/>
      </w:r>
      <w:r w:rsidRPr="00407492">
        <w:rPr>
          <w:lang w:val="fr-FR"/>
        </w:rPr>
        <w:t>Le Comité est préoccupé par les allégations concernant la disparition forcée de plus de 100</w:t>
      </w:r>
      <w:r w:rsidR="005F24B1">
        <w:rPr>
          <w:lang w:val="fr-FR"/>
        </w:rPr>
        <w:t> </w:t>
      </w:r>
      <w:r w:rsidRPr="00407492">
        <w:rPr>
          <w:lang w:val="fr-FR"/>
        </w:rPr>
        <w:t>personnes entre le 27</w:t>
      </w:r>
      <w:r w:rsidR="005F24B1">
        <w:rPr>
          <w:lang w:val="fr-FR"/>
        </w:rPr>
        <w:t> </w:t>
      </w:r>
      <w:r w:rsidRPr="00407492">
        <w:rPr>
          <w:lang w:val="fr-FR"/>
        </w:rPr>
        <w:t>mars et le 2</w:t>
      </w:r>
      <w:r w:rsidR="005F24B1">
        <w:rPr>
          <w:lang w:val="fr-FR"/>
        </w:rPr>
        <w:t> </w:t>
      </w:r>
      <w:r w:rsidRPr="00407492">
        <w:rPr>
          <w:lang w:val="fr-FR"/>
        </w:rPr>
        <w:t>avril 2020 dans le département d</w:t>
      </w:r>
      <w:r w:rsidR="00E81836">
        <w:rPr>
          <w:lang w:val="fr-FR"/>
        </w:rPr>
        <w:t>’</w:t>
      </w:r>
      <w:r w:rsidRPr="00407492">
        <w:rPr>
          <w:lang w:val="fr-FR"/>
        </w:rPr>
        <w:t xml:space="preserve">Ayorou, région de </w:t>
      </w:r>
      <w:proofErr w:type="spellStart"/>
      <w:r w:rsidRPr="00407492">
        <w:rPr>
          <w:lang w:val="fr-FR"/>
        </w:rPr>
        <w:t>Tillabéri</w:t>
      </w:r>
      <w:proofErr w:type="spellEnd"/>
      <w:r w:rsidRPr="00407492">
        <w:rPr>
          <w:lang w:val="fr-FR"/>
        </w:rPr>
        <w:t xml:space="preserve">. Il prend note des conclusions du rapport de la Commission nationale des droits humains relatif à ces allégations, notamment que les auteurs seraient des éléments des Forces de </w:t>
      </w:r>
      <w:r>
        <w:rPr>
          <w:lang w:val="fr-FR"/>
        </w:rPr>
        <w:t>d</w:t>
      </w:r>
      <w:r w:rsidRPr="00407492">
        <w:rPr>
          <w:lang w:val="fr-FR"/>
        </w:rPr>
        <w:t xml:space="preserve">éfense et de </w:t>
      </w:r>
      <w:r>
        <w:rPr>
          <w:lang w:val="fr-FR"/>
        </w:rPr>
        <w:t>s</w:t>
      </w:r>
      <w:r w:rsidRPr="00407492">
        <w:rPr>
          <w:lang w:val="fr-FR"/>
        </w:rPr>
        <w:t>écurité, ainsi que des affirmations de l</w:t>
      </w:r>
      <w:r w:rsidR="00E81836">
        <w:rPr>
          <w:lang w:val="fr-FR"/>
        </w:rPr>
        <w:t>’</w:t>
      </w:r>
      <w:r w:rsidRPr="00407492">
        <w:rPr>
          <w:lang w:val="fr-FR"/>
        </w:rPr>
        <w:t xml:space="preserve">État partie selon lesquelles différents services </w:t>
      </w:r>
      <w:r>
        <w:rPr>
          <w:lang w:val="fr-FR"/>
        </w:rPr>
        <w:t>ont</w:t>
      </w:r>
      <w:r w:rsidRPr="00407492">
        <w:rPr>
          <w:lang w:val="fr-FR"/>
        </w:rPr>
        <w:t xml:space="preserve"> conclu que ces disparitions auraient été commises par des terroristes ayant utilisé des tenues et </w:t>
      </w:r>
      <w:r>
        <w:rPr>
          <w:lang w:val="fr-FR"/>
        </w:rPr>
        <w:t xml:space="preserve">des </w:t>
      </w:r>
      <w:r w:rsidRPr="00407492">
        <w:rPr>
          <w:lang w:val="fr-FR"/>
        </w:rPr>
        <w:t>véhicules militaires officiels. Le Comité prend également note de l</w:t>
      </w:r>
      <w:r w:rsidR="00E81836">
        <w:rPr>
          <w:lang w:val="fr-FR"/>
        </w:rPr>
        <w:t>’</w:t>
      </w:r>
      <w:r w:rsidRPr="00407492">
        <w:rPr>
          <w:lang w:val="fr-FR"/>
        </w:rPr>
        <w:t>affirmation selon laquelle l</w:t>
      </w:r>
      <w:r w:rsidR="00E81836">
        <w:rPr>
          <w:lang w:val="fr-FR"/>
        </w:rPr>
        <w:t>’</w:t>
      </w:r>
      <w:r w:rsidRPr="00407492">
        <w:rPr>
          <w:lang w:val="fr-FR"/>
        </w:rPr>
        <w:t>identification des auteurs ne sera</w:t>
      </w:r>
      <w:r>
        <w:rPr>
          <w:lang w:val="fr-FR"/>
        </w:rPr>
        <w:t>it</w:t>
      </w:r>
      <w:r w:rsidRPr="00407492">
        <w:rPr>
          <w:lang w:val="fr-FR"/>
        </w:rPr>
        <w:t xml:space="preserve"> possible qu</w:t>
      </w:r>
      <w:r w:rsidR="00E81836">
        <w:rPr>
          <w:lang w:val="fr-FR"/>
        </w:rPr>
        <w:t>’</w:t>
      </w:r>
      <w:r w:rsidRPr="00407492">
        <w:rPr>
          <w:lang w:val="fr-FR"/>
        </w:rPr>
        <w:t xml:space="preserve">après la finalisation des enquêtes qui sont en cours devant les juridictions militaires et civiles, alors même que, comme </w:t>
      </w:r>
      <w:r>
        <w:rPr>
          <w:lang w:val="fr-FR"/>
        </w:rPr>
        <w:t xml:space="preserve">cela a été </w:t>
      </w:r>
      <w:r w:rsidRPr="00407492">
        <w:rPr>
          <w:lang w:val="fr-FR"/>
        </w:rPr>
        <w:t xml:space="preserve">rappelé antérieurement, tous les cas de disparition forcée </w:t>
      </w:r>
      <w:r>
        <w:rPr>
          <w:lang w:val="fr-FR"/>
        </w:rPr>
        <w:t>devraient</w:t>
      </w:r>
      <w:r w:rsidRPr="00407492">
        <w:rPr>
          <w:lang w:val="fr-FR"/>
        </w:rPr>
        <w:t xml:space="preserve"> par principe être du ressort exclusif des autorités civiles ordinaires. Le Comité est préoccupé par d</w:t>
      </w:r>
      <w:r w:rsidR="00E81836">
        <w:rPr>
          <w:lang w:val="fr-FR"/>
        </w:rPr>
        <w:t>’</w:t>
      </w:r>
      <w:r w:rsidRPr="00407492">
        <w:rPr>
          <w:lang w:val="fr-FR"/>
        </w:rPr>
        <w:t xml:space="preserve">autres allégations de disparitions forcées qui auraient été commises par des agents des Forces de </w:t>
      </w:r>
      <w:r>
        <w:rPr>
          <w:lang w:val="fr-FR"/>
        </w:rPr>
        <w:t>d</w:t>
      </w:r>
      <w:r w:rsidRPr="00407492">
        <w:rPr>
          <w:lang w:val="fr-FR"/>
        </w:rPr>
        <w:t xml:space="preserve">éfense et de </w:t>
      </w:r>
      <w:r>
        <w:rPr>
          <w:lang w:val="fr-FR"/>
        </w:rPr>
        <w:t>s</w:t>
      </w:r>
      <w:r w:rsidRPr="00407492">
        <w:rPr>
          <w:lang w:val="fr-FR"/>
        </w:rPr>
        <w:t xml:space="preserve">écurité dans le contexte du conflit. En outre, </w:t>
      </w:r>
      <w:r>
        <w:rPr>
          <w:lang w:val="fr-FR"/>
        </w:rPr>
        <w:t>il</w:t>
      </w:r>
      <w:r w:rsidRPr="00407492">
        <w:rPr>
          <w:lang w:val="fr-FR"/>
        </w:rPr>
        <w:t xml:space="preserve"> regrette de </w:t>
      </w:r>
      <w:r>
        <w:rPr>
          <w:lang w:val="fr-FR"/>
        </w:rPr>
        <w:t>n</w:t>
      </w:r>
      <w:r w:rsidR="00E81836">
        <w:rPr>
          <w:lang w:val="fr-FR"/>
        </w:rPr>
        <w:t>’</w:t>
      </w:r>
      <w:r w:rsidRPr="00407492">
        <w:rPr>
          <w:lang w:val="fr-FR"/>
        </w:rPr>
        <w:t xml:space="preserve">avoir </w:t>
      </w:r>
      <w:r>
        <w:rPr>
          <w:lang w:val="fr-FR"/>
        </w:rPr>
        <w:t xml:space="preserve">pas </w:t>
      </w:r>
      <w:r w:rsidRPr="00407492">
        <w:rPr>
          <w:lang w:val="fr-FR"/>
        </w:rPr>
        <w:t>reçu d</w:t>
      </w:r>
      <w:r w:rsidR="00E81836">
        <w:rPr>
          <w:lang w:val="fr-FR"/>
        </w:rPr>
        <w:t>’</w:t>
      </w:r>
      <w:r w:rsidRPr="00407492">
        <w:rPr>
          <w:lang w:val="fr-FR"/>
        </w:rPr>
        <w:t>informations précises quant à l</w:t>
      </w:r>
      <w:r w:rsidR="00E81836">
        <w:rPr>
          <w:lang w:val="fr-FR"/>
        </w:rPr>
        <w:t>’</w:t>
      </w:r>
      <w:r w:rsidRPr="00407492">
        <w:rPr>
          <w:lang w:val="fr-FR"/>
        </w:rPr>
        <w:t>existence de mécanismes permettant d</w:t>
      </w:r>
      <w:r w:rsidR="00E81836">
        <w:rPr>
          <w:lang w:val="fr-FR"/>
        </w:rPr>
        <w:t>’</w:t>
      </w:r>
      <w:r w:rsidRPr="00407492">
        <w:rPr>
          <w:lang w:val="fr-FR"/>
        </w:rPr>
        <w:t>écarter de l</w:t>
      </w:r>
      <w:r w:rsidR="00E81836">
        <w:rPr>
          <w:lang w:val="fr-FR"/>
        </w:rPr>
        <w:t>’</w:t>
      </w:r>
      <w:r w:rsidRPr="00407492">
        <w:rPr>
          <w:lang w:val="fr-FR"/>
        </w:rPr>
        <w:t>enquête sur une disparition forcée toute personne qui pourrait être impliquée dans l</w:t>
      </w:r>
      <w:r w:rsidR="00E81836">
        <w:rPr>
          <w:lang w:val="fr-FR"/>
        </w:rPr>
        <w:t>’</w:t>
      </w:r>
      <w:r w:rsidRPr="00407492">
        <w:rPr>
          <w:lang w:val="fr-FR"/>
        </w:rPr>
        <w:t>affaire (art.</w:t>
      </w:r>
      <w:r w:rsidR="005F24B1">
        <w:rPr>
          <w:lang w:val="fr-FR"/>
        </w:rPr>
        <w:t> </w:t>
      </w:r>
      <w:r w:rsidRPr="00407492">
        <w:rPr>
          <w:lang w:val="fr-FR"/>
        </w:rPr>
        <w:t>1</w:t>
      </w:r>
      <w:r w:rsidRPr="00091998">
        <w:rPr>
          <w:vertAlign w:val="superscript"/>
          <w:lang w:val="fr-FR"/>
        </w:rPr>
        <w:t>er</w:t>
      </w:r>
      <w:r w:rsidRPr="00407492">
        <w:rPr>
          <w:lang w:val="fr-FR"/>
        </w:rPr>
        <w:t>, 11, 12 et 24).</w:t>
      </w:r>
    </w:p>
    <w:p w14:paraId="0EF57217" w14:textId="1D97D604" w:rsidR="00BB6AD2" w:rsidRPr="00407492" w:rsidRDefault="00BB6AD2" w:rsidP="00BB6AD2">
      <w:pPr>
        <w:pStyle w:val="SingleTxtG"/>
        <w:rPr>
          <w:lang w:val="fr-FR"/>
        </w:rPr>
      </w:pPr>
      <w:r>
        <w:rPr>
          <w:lang w:val="fr-FR"/>
        </w:rPr>
        <w:t>25.</w:t>
      </w:r>
      <w:r>
        <w:rPr>
          <w:lang w:val="fr-FR"/>
        </w:rPr>
        <w:tab/>
      </w:r>
      <w:r w:rsidRPr="006146C5">
        <w:rPr>
          <w:b/>
          <w:bCs/>
          <w:lang w:val="fr-FR"/>
        </w:rPr>
        <w:t>Le Comité recommande à l</w:t>
      </w:r>
      <w:r w:rsidR="00E81836">
        <w:rPr>
          <w:b/>
          <w:bCs/>
          <w:lang w:val="fr-FR"/>
        </w:rPr>
        <w:t>’</w:t>
      </w:r>
      <w:r w:rsidRPr="006146C5">
        <w:rPr>
          <w:b/>
          <w:bCs/>
          <w:lang w:val="fr-FR"/>
        </w:rPr>
        <w:t xml:space="preserve">État partie de redoubler ses efforts afin que toutes les mesures prises pour lutter contre le terrorisme soient pleinement conformes à la Convention et de garantir le droit de toutes les victimes de disparition forcée à la justice, </w:t>
      </w:r>
      <w:r>
        <w:rPr>
          <w:b/>
          <w:bCs/>
          <w:lang w:val="fr-FR"/>
        </w:rPr>
        <w:t xml:space="preserve">à </w:t>
      </w:r>
      <w:r w:rsidRPr="006146C5">
        <w:rPr>
          <w:b/>
          <w:bCs/>
          <w:lang w:val="fr-FR"/>
        </w:rPr>
        <w:t xml:space="preserve">la vérité et </w:t>
      </w:r>
      <w:r>
        <w:rPr>
          <w:b/>
          <w:bCs/>
          <w:lang w:val="fr-FR"/>
        </w:rPr>
        <w:t xml:space="preserve">à la </w:t>
      </w:r>
      <w:r w:rsidRPr="006146C5">
        <w:rPr>
          <w:b/>
          <w:bCs/>
          <w:lang w:val="fr-FR"/>
        </w:rPr>
        <w:t>réparation. En ce sens, l</w:t>
      </w:r>
      <w:r w:rsidR="00E81836">
        <w:rPr>
          <w:b/>
          <w:bCs/>
          <w:lang w:val="fr-FR"/>
        </w:rPr>
        <w:t>’</w:t>
      </w:r>
      <w:r w:rsidRPr="006146C5">
        <w:rPr>
          <w:b/>
          <w:bCs/>
          <w:lang w:val="fr-FR"/>
        </w:rPr>
        <w:t>État partie doit :</w:t>
      </w:r>
    </w:p>
    <w:p w14:paraId="79269A05" w14:textId="056449AC" w:rsidR="00BB6AD2" w:rsidRPr="00407492" w:rsidRDefault="00BB6AD2" w:rsidP="00701C9E">
      <w:pPr>
        <w:pStyle w:val="SingleTxtG"/>
        <w:ind w:firstLine="567"/>
        <w:rPr>
          <w:lang w:val="fr-FR"/>
        </w:rPr>
      </w:pPr>
      <w:r w:rsidRPr="00091998">
        <w:rPr>
          <w:b/>
          <w:bCs/>
          <w:lang w:val="fr-FR"/>
        </w:rPr>
        <w:t>a)</w:t>
      </w:r>
      <w:r>
        <w:rPr>
          <w:lang w:val="fr-FR"/>
        </w:rPr>
        <w:tab/>
      </w:r>
      <w:r w:rsidRPr="00E06A2A">
        <w:rPr>
          <w:b/>
          <w:bCs/>
          <w:lang w:val="fr-FR"/>
        </w:rPr>
        <w:t>Assurer que toutes les allégations de disparition forcée fassent l</w:t>
      </w:r>
      <w:r w:rsidR="00E81836">
        <w:rPr>
          <w:b/>
          <w:bCs/>
          <w:lang w:val="fr-FR"/>
        </w:rPr>
        <w:t>’</w:t>
      </w:r>
      <w:r w:rsidRPr="00E06A2A">
        <w:rPr>
          <w:b/>
          <w:bCs/>
          <w:lang w:val="fr-FR"/>
        </w:rPr>
        <w:t>objet d</w:t>
      </w:r>
      <w:r w:rsidR="00E81836">
        <w:rPr>
          <w:b/>
          <w:bCs/>
          <w:lang w:val="fr-FR"/>
        </w:rPr>
        <w:t>’</w:t>
      </w:r>
      <w:r w:rsidRPr="00E06A2A">
        <w:rPr>
          <w:b/>
          <w:bCs/>
          <w:lang w:val="fr-FR"/>
        </w:rPr>
        <w:t>une enquête immédiate, approfondie et impartiale, même en l</w:t>
      </w:r>
      <w:r w:rsidR="00E81836">
        <w:rPr>
          <w:b/>
          <w:bCs/>
          <w:lang w:val="fr-FR"/>
        </w:rPr>
        <w:t>’</w:t>
      </w:r>
      <w:r w:rsidRPr="00E06A2A">
        <w:rPr>
          <w:b/>
          <w:bCs/>
          <w:lang w:val="fr-FR"/>
        </w:rPr>
        <w:t>absence de plainte pénale officielle, et que les auteurs soient poursuivis et condamnés à une peine proportionnée à la gravité de leurs actes ;</w:t>
      </w:r>
    </w:p>
    <w:p w14:paraId="58EF9E76" w14:textId="75694BD6" w:rsidR="00BB6AD2" w:rsidRPr="00407492" w:rsidRDefault="00BB6AD2" w:rsidP="00701C9E">
      <w:pPr>
        <w:pStyle w:val="SingleTxtG"/>
        <w:ind w:firstLine="567"/>
        <w:rPr>
          <w:lang w:val="fr-FR"/>
        </w:rPr>
      </w:pPr>
      <w:r w:rsidRPr="00091998">
        <w:rPr>
          <w:b/>
          <w:bCs/>
          <w:lang w:val="fr-FR"/>
        </w:rPr>
        <w:t>b)</w:t>
      </w:r>
      <w:r>
        <w:rPr>
          <w:lang w:val="fr-FR"/>
        </w:rPr>
        <w:tab/>
      </w:r>
      <w:r w:rsidRPr="00E06A2A">
        <w:rPr>
          <w:b/>
          <w:bCs/>
          <w:lang w:val="fr-FR"/>
        </w:rPr>
        <w:t>Assurer que les agents de l</w:t>
      </w:r>
      <w:r w:rsidR="00E81836">
        <w:rPr>
          <w:b/>
          <w:bCs/>
          <w:lang w:val="fr-FR"/>
        </w:rPr>
        <w:t>’</w:t>
      </w:r>
      <w:r w:rsidRPr="00E06A2A">
        <w:rPr>
          <w:b/>
          <w:bCs/>
          <w:lang w:val="fr-FR"/>
        </w:rPr>
        <w:t>État soupçonnés d</w:t>
      </w:r>
      <w:r w:rsidR="00E81836">
        <w:rPr>
          <w:b/>
          <w:bCs/>
          <w:lang w:val="fr-FR"/>
        </w:rPr>
        <w:t>’</w:t>
      </w:r>
      <w:r w:rsidRPr="00E06A2A">
        <w:rPr>
          <w:b/>
          <w:bCs/>
          <w:lang w:val="fr-FR"/>
        </w:rPr>
        <w:t>être impliqués dans la commissi</w:t>
      </w:r>
      <w:r>
        <w:rPr>
          <w:b/>
          <w:bCs/>
          <w:lang w:val="fr-FR"/>
        </w:rPr>
        <w:t>o</w:t>
      </w:r>
      <w:r w:rsidRPr="00E06A2A">
        <w:rPr>
          <w:b/>
          <w:bCs/>
          <w:lang w:val="fr-FR"/>
        </w:rPr>
        <w:t>n d</w:t>
      </w:r>
      <w:r w:rsidR="00E81836">
        <w:rPr>
          <w:b/>
          <w:bCs/>
          <w:lang w:val="fr-FR"/>
        </w:rPr>
        <w:t>’</w:t>
      </w:r>
      <w:r w:rsidRPr="00E06A2A">
        <w:rPr>
          <w:b/>
          <w:bCs/>
          <w:lang w:val="fr-FR"/>
        </w:rPr>
        <w:t>un crime de disparition forcée soient suspendus de leurs fonctions dès le début de l</w:t>
      </w:r>
      <w:r w:rsidR="00E81836">
        <w:rPr>
          <w:b/>
          <w:bCs/>
          <w:lang w:val="fr-FR"/>
        </w:rPr>
        <w:t>’</w:t>
      </w:r>
      <w:r w:rsidRPr="00E06A2A">
        <w:rPr>
          <w:b/>
          <w:bCs/>
          <w:lang w:val="fr-FR"/>
        </w:rPr>
        <w:t>enquête et pendant toute sa durée, sans préjudice du respect du principe de la présomption d</w:t>
      </w:r>
      <w:r w:rsidR="00E81836">
        <w:rPr>
          <w:b/>
          <w:bCs/>
          <w:lang w:val="fr-FR"/>
        </w:rPr>
        <w:t>’</w:t>
      </w:r>
      <w:r w:rsidRPr="00E06A2A">
        <w:rPr>
          <w:b/>
          <w:bCs/>
          <w:lang w:val="fr-FR"/>
        </w:rPr>
        <w:t>innocence</w:t>
      </w:r>
      <w:r>
        <w:rPr>
          <w:b/>
          <w:bCs/>
          <w:lang w:val="fr-FR"/>
        </w:rPr>
        <w:t>,</w:t>
      </w:r>
      <w:r w:rsidRPr="00E06A2A">
        <w:rPr>
          <w:b/>
          <w:bCs/>
          <w:lang w:val="fr-FR"/>
        </w:rPr>
        <w:t xml:space="preserve"> et que les forces de l</w:t>
      </w:r>
      <w:r w:rsidR="00E81836">
        <w:rPr>
          <w:b/>
          <w:bCs/>
          <w:lang w:val="fr-FR"/>
        </w:rPr>
        <w:t>’</w:t>
      </w:r>
      <w:r w:rsidRPr="00E06A2A">
        <w:rPr>
          <w:b/>
          <w:bCs/>
          <w:lang w:val="fr-FR"/>
        </w:rPr>
        <w:t>ordre ou de sécurité dont les membres sont soupçonnés d</w:t>
      </w:r>
      <w:r w:rsidR="00E81836">
        <w:rPr>
          <w:b/>
          <w:bCs/>
          <w:lang w:val="fr-FR"/>
        </w:rPr>
        <w:t>’</w:t>
      </w:r>
      <w:r w:rsidRPr="00E06A2A">
        <w:rPr>
          <w:b/>
          <w:bCs/>
          <w:lang w:val="fr-FR"/>
        </w:rPr>
        <w:t>avoir participé à la commission du crime ne puissent pas prendre part à l</w:t>
      </w:r>
      <w:r w:rsidR="00E81836">
        <w:rPr>
          <w:b/>
          <w:bCs/>
          <w:lang w:val="fr-FR"/>
        </w:rPr>
        <w:t>’</w:t>
      </w:r>
      <w:r w:rsidRPr="00E06A2A">
        <w:rPr>
          <w:b/>
          <w:bCs/>
          <w:lang w:val="fr-FR"/>
        </w:rPr>
        <w:t>enquête ;</w:t>
      </w:r>
    </w:p>
    <w:p w14:paraId="7B9EFD64" w14:textId="22795BB2" w:rsidR="00BB6AD2" w:rsidRPr="00E06A2A" w:rsidRDefault="00BB6AD2" w:rsidP="00701C9E">
      <w:pPr>
        <w:pStyle w:val="SingleTxtG"/>
        <w:ind w:firstLine="567"/>
      </w:pPr>
      <w:r w:rsidRPr="00091998">
        <w:rPr>
          <w:b/>
          <w:bCs/>
        </w:rPr>
        <w:t>c)</w:t>
      </w:r>
      <w:r>
        <w:tab/>
      </w:r>
      <w:r w:rsidRPr="00E06A2A">
        <w:rPr>
          <w:b/>
          <w:bCs/>
        </w:rPr>
        <w:t xml:space="preserve">Encourager et faciliter le dépôt de plaintes en toute sécurité ainsi que la </w:t>
      </w:r>
      <w:r w:rsidRPr="00701C9E">
        <w:rPr>
          <w:b/>
          <w:bCs/>
          <w:lang w:val="fr-FR"/>
        </w:rPr>
        <w:t>participation</w:t>
      </w:r>
      <w:r w:rsidRPr="00E06A2A">
        <w:rPr>
          <w:b/>
          <w:bCs/>
        </w:rPr>
        <w:t xml:space="preserve"> aux enquêtes, active et sans réserve, des victimes, y</w:t>
      </w:r>
      <w:r w:rsidR="005F24B1">
        <w:rPr>
          <w:b/>
          <w:bCs/>
        </w:rPr>
        <w:t> </w:t>
      </w:r>
      <w:r w:rsidRPr="00E06A2A">
        <w:rPr>
          <w:b/>
          <w:bCs/>
        </w:rPr>
        <w:t>compris les proches de la personne disparue qui le souhaitent ;</w:t>
      </w:r>
    </w:p>
    <w:p w14:paraId="1D6BCE15" w14:textId="7AF89B70" w:rsidR="00BB6AD2" w:rsidRPr="00E06A2A" w:rsidRDefault="00BB6AD2" w:rsidP="00701C9E">
      <w:pPr>
        <w:pStyle w:val="SingleTxtG"/>
        <w:ind w:firstLine="567"/>
      </w:pPr>
      <w:r w:rsidRPr="00091998">
        <w:rPr>
          <w:b/>
          <w:bCs/>
        </w:rPr>
        <w:lastRenderedPageBreak/>
        <w:t>d)</w:t>
      </w:r>
      <w:r>
        <w:tab/>
      </w:r>
      <w:r w:rsidRPr="00E06A2A">
        <w:rPr>
          <w:b/>
          <w:bCs/>
        </w:rPr>
        <w:t>Veiller à ce que le droit des victimes à la vérité soit pleinement respecté à toutes les phases de la procédure, en particulier en assurant qu</w:t>
      </w:r>
      <w:r w:rsidR="00E81836">
        <w:rPr>
          <w:b/>
          <w:bCs/>
        </w:rPr>
        <w:t>’</w:t>
      </w:r>
      <w:r w:rsidRPr="00E06A2A">
        <w:rPr>
          <w:b/>
          <w:bCs/>
        </w:rPr>
        <w:t>elles soient régulièrement informées du déroulement et des résultats des enquêtes, même lorsqu</w:t>
      </w:r>
      <w:r w:rsidR="00E81836">
        <w:rPr>
          <w:b/>
          <w:bCs/>
        </w:rPr>
        <w:t>’</w:t>
      </w:r>
      <w:r w:rsidRPr="00E06A2A">
        <w:rPr>
          <w:b/>
          <w:bCs/>
        </w:rPr>
        <w:t>elles ne se sont pas constituées parties civiles</w:t>
      </w:r>
      <w:r w:rsidR="005F24B1">
        <w:rPr>
          <w:b/>
          <w:bCs/>
        </w:rPr>
        <w:t> </w:t>
      </w:r>
      <w:r w:rsidRPr="00E06A2A">
        <w:rPr>
          <w:b/>
          <w:bCs/>
        </w:rPr>
        <w:t>;</w:t>
      </w:r>
    </w:p>
    <w:p w14:paraId="4BCDACB5" w14:textId="079F45E0" w:rsidR="00BB6AD2" w:rsidRPr="00E06A2A" w:rsidRDefault="00BB6AD2" w:rsidP="00701C9E">
      <w:pPr>
        <w:pStyle w:val="SingleTxtG"/>
        <w:ind w:firstLine="567"/>
      </w:pPr>
      <w:r w:rsidRPr="00091998">
        <w:rPr>
          <w:b/>
          <w:bCs/>
        </w:rPr>
        <w:t>e)</w:t>
      </w:r>
      <w:r>
        <w:tab/>
      </w:r>
      <w:r w:rsidRPr="00E06A2A">
        <w:rPr>
          <w:b/>
          <w:bCs/>
        </w:rPr>
        <w:t>Prendre toutes les mesures nécessaires pour retrouver, libérer et, en cas de décès, identifier toutes les personnes victimes de disparition forcée dont le sort n</w:t>
      </w:r>
      <w:r w:rsidR="00E81836">
        <w:rPr>
          <w:b/>
          <w:bCs/>
        </w:rPr>
        <w:t>’</w:t>
      </w:r>
      <w:r w:rsidRPr="00E06A2A">
        <w:rPr>
          <w:b/>
          <w:bCs/>
        </w:rPr>
        <w:t xml:space="preserve">a pas encore été élucidé, et veiller à ce que les procédures de recherche mises en œuvre soient conformes aux </w:t>
      </w:r>
      <w:r>
        <w:rPr>
          <w:b/>
          <w:bCs/>
        </w:rPr>
        <w:t>p</w:t>
      </w:r>
      <w:r w:rsidRPr="00E06A2A">
        <w:rPr>
          <w:b/>
          <w:bCs/>
        </w:rPr>
        <w:t>rincipes directeurs du Comité concernant la recherche de personnes disparues</w:t>
      </w:r>
      <w:r w:rsidRPr="00091998">
        <w:rPr>
          <w:rStyle w:val="Appelnotedebasdep"/>
          <w:sz w:val="20"/>
        </w:rPr>
        <w:footnoteReference w:id="10"/>
      </w:r>
      <w:r>
        <w:rPr>
          <w:b/>
          <w:bCs/>
        </w:rPr>
        <w:t> ;</w:t>
      </w:r>
      <w:r w:rsidRPr="00E06A2A">
        <w:rPr>
          <w:b/>
          <w:bCs/>
        </w:rPr>
        <w:t xml:space="preserve"> </w:t>
      </w:r>
      <w:r>
        <w:rPr>
          <w:b/>
          <w:bCs/>
        </w:rPr>
        <w:t>à</w:t>
      </w:r>
      <w:r w:rsidRPr="00E06A2A">
        <w:rPr>
          <w:b/>
          <w:bCs/>
        </w:rPr>
        <w:t xml:space="preserve"> cet égard, il lui recommande également de mettre en place le</w:t>
      </w:r>
      <w:r>
        <w:rPr>
          <w:b/>
          <w:bCs/>
        </w:rPr>
        <w:t>s</w:t>
      </w:r>
      <w:r w:rsidRPr="00E06A2A">
        <w:rPr>
          <w:b/>
          <w:bCs/>
        </w:rPr>
        <w:t xml:space="preserve"> protocole</w:t>
      </w:r>
      <w:r>
        <w:rPr>
          <w:b/>
          <w:bCs/>
        </w:rPr>
        <w:t>s</w:t>
      </w:r>
      <w:r w:rsidRPr="00E06A2A">
        <w:rPr>
          <w:b/>
          <w:bCs/>
        </w:rPr>
        <w:t xml:space="preserve"> et mécanismes mentionnés par l</w:t>
      </w:r>
      <w:r w:rsidR="00E81836">
        <w:rPr>
          <w:b/>
          <w:bCs/>
        </w:rPr>
        <w:t>’</w:t>
      </w:r>
      <w:r>
        <w:rPr>
          <w:b/>
          <w:bCs/>
        </w:rPr>
        <w:t>É</w:t>
      </w:r>
      <w:r w:rsidRPr="00E06A2A">
        <w:rPr>
          <w:b/>
          <w:bCs/>
        </w:rPr>
        <w:t>tat partie aux paragraphes</w:t>
      </w:r>
      <w:r w:rsidR="005F24B1">
        <w:rPr>
          <w:b/>
          <w:bCs/>
        </w:rPr>
        <w:t> </w:t>
      </w:r>
      <w:r w:rsidRPr="00E06A2A">
        <w:rPr>
          <w:b/>
          <w:bCs/>
        </w:rPr>
        <w:t>196</w:t>
      </w:r>
      <w:r>
        <w:rPr>
          <w:b/>
          <w:bCs/>
        </w:rPr>
        <w:t xml:space="preserve"> à </w:t>
      </w:r>
      <w:r w:rsidRPr="00E06A2A">
        <w:rPr>
          <w:b/>
          <w:bCs/>
        </w:rPr>
        <w:t xml:space="preserve">198 de son rapport </w:t>
      </w:r>
      <w:r>
        <w:rPr>
          <w:b/>
          <w:bCs/>
        </w:rPr>
        <w:t>soumis en application de l</w:t>
      </w:r>
      <w:r w:rsidR="00E81836">
        <w:rPr>
          <w:b/>
          <w:bCs/>
        </w:rPr>
        <w:t>’</w:t>
      </w:r>
      <w:r>
        <w:rPr>
          <w:b/>
          <w:bCs/>
        </w:rPr>
        <w:t>article 29 (par. 1) de la Convention </w:t>
      </w:r>
      <w:r w:rsidRPr="00E06A2A">
        <w:rPr>
          <w:b/>
          <w:bCs/>
        </w:rPr>
        <w:t>;</w:t>
      </w:r>
    </w:p>
    <w:p w14:paraId="2C67749F" w14:textId="4D707EBB" w:rsidR="00BB6AD2" w:rsidRPr="00E06A2A" w:rsidRDefault="00BB6AD2" w:rsidP="00701C9E">
      <w:pPr>
        <w:pStyle w:val="SingleTxtG"/>
        <w:ind w:firstLine="567"/>
      </w:pPr>
      <w:r w:rsidRPr="00091998">
        <w:rPr>
          <w:b/>
          <w:bCs/>
        </w:rPr>
        <w:t>f)</w:t>
      </w:r>
      <w:r>
        <w:tab/>
      </w:r>
      <w:r w:rsidRPr="00E06A2A">
        <w:rPr>
          <w:b/>
          <w:bCs/>
        </w:rPr>
        <w:t>Assurer une coordination et une coopération efficaces entre tous les organes prenant part aux enquêtes et aux recherches</w:t>
      </w:r>
      <w:r>
        <w:rPr>
          <w:b/>
          <w:bCs/>
        </w:rPr>
        <w:t>,</w:t>
      </w:r>
      <w:r w:rsidRPr="00E06A2A">
        <w:rPr>
          <w:b/>
          <w:bCs/>
        </w:rPr>
        <w:t xml:space="preserve"> et veiller à ce qu</w:t>
      </w:r>
      <w:r w:rsidR="00E81836">
        <w:rPr>
          <w:b/>
          <w:bCs/>
        </w:rPr>
        <w:t>’</w:t>
      </w:r>
      <w:r w:rsidRPr="00E06A2A">
        <w:rPr>
          <w:b/>
          <w:bCs/>
        </w:rPr>
        <w:t xml:space="preserve">ils disposent des structures et </w:t>
      </w:r>
      <w:r>
        <w:rPr>
          <w:b/>
          <w:bCs/>
        </w:rPr>
        <w:t xml:space="preserve">des </w:t>
      </w:r>
      <w:r w:rsidRPr="00E06A2A">
        <w:rPr>
          <w:b/>
          <w:bCs/>
        </w:rPr>
        <w:t>ressources financières, techniques et humaines ainsi que de l</w:t>
      </w:r>
      <w:r w:rsidR="00E81836">
        <w:rPr>
          <w:b/>
          <w:bCs/>
        </w:rPr>
        <w:t>’</w:t>
      </w:r>
      <w:r w:rsidRPr="00E06A2A">
        <w:rPr>
          <w:b/>
          <w:bCs/>
        </w:rPr>
        <w:t>expertise nécessaires pour s</w:t>
      </w:r>
      <w:r w:rsidR="00E81836">
        <w:rPr>
          <w:b/>
          <w:bCs/>
        </w:rPr>
        <w:t>’</w:t>
      </w:r>
      <w:r w:rsidRPr="00E06A2A">
        <w:rPr>
          <w:b/>
          <w:bCs/>
        </w:rPr>
        <w:t>acquitter de leurs tâches avec diligence et efficacité.</w:t>
      </w:r>
    </w:p>
    <w:p w14:paraId="17F1BB93" w14:textId="063E28BC" w:rsidR="00BB6AD2" w:rsidRPr="00407492" w:rsidRDefault="00BB6AD2" w:rsidP="00BB6AD2">
      <w:pPr>
        <w:pStyle w:val="H23G"/>
        <w:rPr>
          <w:lang w:val="fr-FR"/>
        </w:rPr>
      </w:pPr>
      <w:r>
        <w:rPr>
          <w:lang w:val="fr-FR"/>
        </w:rPr>
        <w:tab/>
        <w:t>4.</w:t>
      </w:r>
      <w:r>
        <w:rPr>
          <w:lang w:val="fr-FR"/>
        </w:rPr>
        <w:tab/>
      </w:r>
      <w:r w:rsidRPr="00407492">
        <w:rPr>
          <w:lang w:val="fr-FR"/>
        </w:rPr>
        <w:t>Mesures de prévention des disparitions forcées (art.</w:t>
      </w:r>
      <w:r w:rsidR="005F24B1">
        <w:rPr>
          <w:lang w:val="fr-FR"/>
        </w:rPr>
        <w:t> </w:t>
      </w:r>
      <w:r w:rsidRPr="00407492">
        <w:rPr>
          <w:lang w:val="fr-FR"/>
        </w:rPr>
        <w:t>16 à 23)</w:t>
      </w:r>
    </w:p>
    <w:p w14:paraId="2FB5B8A4" w14:textId="77777777" w:rsidR="00BB6AD2" w:rsidRPr="00407492" w:rsidRDefault="00BB6AD2" w:rsidP="00BB6AD2">
      <w:pPr>
        <w:pStyle w:val="H23G"/>
        <w:rPr>
          <w:lang w:val="fr-FR"/>
        </w:rPr>
      </w:pPr>
      <w:r>
        <w:rPr>
          <w:lang w:val="fr-FR"/>
        </w:rPr>
        <w:tab/>
      </w:r>
      <w:r>
        <w:rPr>
          <w:lang w:val="fr-FR"/>
        </w:rPr>
        <w:tab/>
      </w:r>
      <w:r w:rsidRPr="00407492">
        <w:rPr>
          <w:lang w:val="fr-FR"/>
        </w:rPr>
        <w:t>Non</w:t>
      </w:r>
      <w:r>
        <w:rPr>
          <w:lang w:val="fr-FR"/>
        </w:rPr>
        <w:t>-</w:t>
      </w:r>
      <w:r w:rsidRPr="00407492">
        <w:rPr>
          <w:lang w:val="fr-FR"/>
        </w:rPr>
        <w:t>refoulement et protection des personnes migrantes contre les disparitions forcées</w:t>
      </w:r>
    </w:p>
    <w:p w14:paraId="697934EE" w14:textId="3AC04B3D" w:rsidR="00BB6AD2" w:rsidRPr="00407492" w:rsidRDefault="00BB6AD2" w:rsidP="00BB6AD2">
      <w:pPr>
        <w:pStyle w:val="SingleTxtG"/>
        <w:rPr>
          <w:lang w:val="fr-FR"/>
        </w:rPr>
      </w:pPr>
      <w:r>
        <w:rPr>
          <w:lang w:val="fr-FR"/>
        </w:rPr>
        <w:t>26.</w:t>
      </w:r>
      <w:r>
        <w:rPr>
          <w:lang w:val="fr-FR"/>
        </w:rPr>
        <w:tab/>
      </w:r>
      <w:r w:rsidRPr="00407492">
        <w:rPr>
          <w:lang w:val="fr-FR"/>
        </w:rPr>
        <w:t xml:space="preserve">Le Comité est préoccupé par </w:t>
      </w:r>
      <w:r>
        <w:rPr>
          <w:lang w:val="fr-FR"/>
        </w:rPr>
        <w:t>les</w:t>
      </w:r>
      <w:r w:rsidRPr="00407492">
        <w:rPr>
          <w:lang w:val="fr-FR"/>
        </w:rPr>
        <w:t xml:space="preserve"> allégations selon lesquelles des individus auraient été éloignés du Niger dans le cadre de procédures administratives ou extraditionnelles, en dépit de risques avérés qu</w:t>
      </w:r>
      <w:r w:rsidR="00E81836">
        <w:rPr>
          <w:lang w:val="fr-FR"/>
        </w:rPr>
        <w:t>’</w:t>
      </w:r>
      <w:r w:rsidRPr="00407492">
        <w:rPr>
          <w:lang w:val="fr-FR"/>
        </w:rPr>
        <w:t>ils soient exposés à des tortures ou des mauvais traitements dans le pays de renvoi</w:t>
      </w:r>
      <w:r w:rsidRPr="00407492">
        <w:rPr>
          <w:rStyle w:val="Appelnotedebasdep"/>
          <w:sz w:val="20"/>
          <w:lang w:val="fr-FR"/>
        </w:rPr>
        <w:footnoteReference w:id="11"/>
      </w:r>
      <w:r>
        <w:rPr>
          <w:lang w:val="fr-FR"/>
        </w:rPr>
        <w:t>.</w:t>
      </w:r>
      <w:r w:rsidRPr="00407492">
        <w:rPr>
          <w:lang w:val="fr-FR"/>
        </w:rPr>
        <w:t xml:space="preserve"> </w:t>
      </w:r>
      <w:r>
        <w:rPr>
          <w:lang w:val="fr-FR"/>
        </w:rPr>
        <w:t>Il</w:t>
      </w:r>
      <w:r w:rsidRPr="00407492">
        <w:rPr>
          <w:lang w:val="fr-FR"/>
        </w:rPr>
        <w:t xml:space="preserve"> est préoccupé également par des informations indiquant que, en raison de leur approche répressive, certaines dispositions de la loi n</w:t>
      </w:r>
      <w:r w:rsidRPr="00091998">
        <w:rPr>
          <w:vertAlign w:val="superscript"/>
          <w:lang w:val="fr-FR"/>
        </w:rPr>
        <w:t>o</w:t>
      </w:r>
      <w:r>
        <w:rPr>
          <w:lang w:val="fr-FR"/>
        </w:rPr>
        <w:t> </w:t>
      </w:r>
      <w:r w:rsidRPr="00407492">
        <w:rPr>
          <w:lang w:val="fr-FR"/>
        </w:rPr>
        <w:t>2015-36 du 26</w:t>
      </w:r>
      <w:r w:rsidR="00166101">
        <w:rPr>
          <w:lang w:val="fr-FR"/>
        </w:rPr>
        <w:t> </w:t>
      </w:r>
      <w:r w:rsidRPr="00407492">
        <w:rPr>
          <w:lang w:val="fr-FR"/>
        </w:rPr>
        <w:t>mai 2015 relative au trafic illicite de migrants inciteraient des migrants à vivre dans la clandestinité</w:t>
      </w:r>
      <w:r>
        <w:rPr>
          <w:lang w:val="fr-FR"/>
        </w:rPr>
        <w:t>,</w:t>
      </w:r>
      <w:r w:rsidRPr="00407492">
        <w:rPr>
          <w:lang w:val="fr-FR"/>
        </w:rPr>
        <w:t xml:space="preserve"> dans des conditions les exposant à de nombreux abus qui pourrai</w:t>
      </w:r>
      <w:r>
        <w:rPr>
          <w:lang w:val="fr-FR"/>
        </w:rPr>
        <w:t>en</w:t>
      </w:r>
      <w:r w:rsidRPr="00407492">
        <w:rPr>
          <w:lang w:val="fr-FR"/>
        </w:rPr>
        <w:t>t inclure le risque d</w:t>
      </w:r>
      <w:r w:rsidR="00E81836">
        <w:rPr>
          <w:lang w:val="fr-FR"/>
        </w:rPr>
        <w:t>’</w:t>
      </w:r>
      <w:r w:rsidRPr="00407492">
        <w:rPr>
          <w:lang w:val="fr-FR"/>
        </w:rPr>
        <w:t>être victime de disparition forcée. À cet égard, le Comité note avec satisfaction que, selon l</w:t>
      </w:r>
      <w:r w:rsidR="00E81836">
        <w:rPr>
          <w:lang w:val="fr-FR"/>
        </w:rPr>
        <w:t>’</w:t>
      </w:r>
      <w:r w:rsidRPr="00407492">
        <w:rPr>
          <w:lang w:val="fr-FR"/>
        </w:rPr>
        <w:t>État partie, cette loi est en cours de révision (art.</w:t>
      </w:r>
      <w:r w:rsidR="00166101">
        <w:rPr>
          <w:lang w:val="fr-FR"/>
        </w:rPr>
        <w:t> </w:t>
      </w:r>
      <w:r w:rsidRPr="00407492">
        <w:rPr>
          <w:lang w:val="fr-FR"/>
        </w:rPr>
        <w:t>16).</w:t>
      </w:r>
    </w:p>
    <w:p w14:paraId="69F087FE" w14:textId="6AA3AB81" w:rsidR="00BB6AD2" w:rsidRPr="00407492" w:rsidRDefault="00BB6AD2" w:rsidP="00BB6AD2">
      <w:pPr>
        <w:pStyle w:val="SingleTxtG"/>
        <w:rPr>
          <w:lang w:val="fr-FR"/>
        </w:rPr>
      </w:pPr>
      <w:r>
        <w:rPr>
          <w:lang w:val="fr-FR"/>
        </w:rPr>
        <w:t>27.</w:t>
      </w:r>
      <w:r>
        <w:rPr>
          <w:lang w:val="fr-FR"/>
        </w:rPr>
        <w:tab/>
      </w:r>
      <w:r w:rsidRPr="00D6774C">
        <w:rPr>
          <w:b/>
          <w:bCs/>
          <w:lang w:val="fr-FR"/>
        </w:rPr>
        <w:t>Le Comité recommande à l</w:t>
      </w:r>
      <w:r w:rsidR="00E81836">
        <w:rPr>
          <w:b/>
          <w:bCs/>
          <w:lang w:val="fr-FR"/>
        </w:rPr>
        <w:t>’</w:t>
      </w:r>
      <w:r w:rsidRPr="00D6774C">
        <w:rPr>
          <w:b/>
          <w:bCs/>
          <w:lang w:val="fr-FR"/>
        </w:rPr>
        <w:t>État partie de veiller à ce que le principe de non</w:t>
      </w:r>
      <w:r w:rsidR="00166101">
        <w:rPr>
          <w:b/>
          <w:bCs/>
          <w:lang w:val="fr-FR"/>
        </w:rPr>
        <w:noBreakHyphen/>
      </w:r>
      <w:r w:rsidRPr="00D6774C">
        <w:rPr>
          <w:b/>
          <w:bCs/>
          <w:lang w:val="fr-FR"/>
        </w:rPr>
        <w:t>refoulement que consacre l</w:t>
      </w:r>
      <w:r w:rsidR="00E81836">
        <w:rPr>
          <w:b/>
          <w:bCs/>
          <w:lang w:val="fr-FR"/>
        </w:rPr>
        <w:t>’</w:t>
      </w:r>
      <w:r w:rsidRPr="00D6774C">
        <w:rPr>
          <w:b/>
          <w:bCs/>
          <w:lang w:val="fr-FR"/>
        </w:rPr>
        <w:t>article</w:t>
      </w:r>
      <w:r w:rsidR="00166101">
        <w:rPr>
          <w:b/>
          <w:bCs/>
          <w:lang w:val="fr-FR"/>
        </w:rPr>
        <w:t> </w:t>
      </w:r>
      <w:r w:rsidRPr="00D6774C">
        <w:rPr>
          <w:b/>
          <w:bCs/>
          <w:lang w:val="fr-FR"/>
        </w:rPr>
        <w:t>16 (par.</w:t>
      </w:r>
      <w:r w:rsidR="00166101">
        <w:rPr>
          <w:b/>
          <w:bCs/>
          <w:lang w:val="fr-FR"/>
        </w:rPr>
        <w:t> </w:t>
      </w:r>
      <w:r w:rsidRPr="00D6774C">
        <w:rPr>
          <w:b/>
          <w:bCs/>
          <w:lang w:val="fr-FR"/>
        </w:rPr>
        <w:t>1) de la Convention soit strictement respecté en toutes circonstances. En particulier, le Comité recommande à l</w:t>
      </w:r>
      <w:r w:rsidR="00E81836">
        <w:rPr>
          <w:b/>
          <w:bCs/>
          <w:lang w:val="fr-FR"/>
        </w:rPr>
        <w:t>’</w:t>
      </w:r>
      <w:r w:rsidRPr="00D6774C">
        <w:rPr>
          <w:b/>
          <w:bCs/>
          <w:lang w:val="fr-FR"/>
        </w:rPr>
        <w:t>État partie</w:t>
      </w:r>
      <w:r>
        <w:rPr>
          <w:b/>
          <w:bCs/>
          <w:lang w:val="fr-FR"/>
        </w:rPr>
        <w:t> </w:t>
      </w:r>
      <w:r w:rsidRPr="00D6774C">
        <w:rPr>
          <w:b/>
          <w:bCs/>
          <w:lang w:val="fr-FR"/>
        </w:rPr>
        <w:t>:</w:t>
      </w:r>
    </w:p>
    <w:p w14:paraId="4B9E0CF0" w14:textId="68A6424B" w:rsidR="00BB6AD2" w:rsidRPr="00D6774C" w:rsidRDefault="00BB6AD2" w:rsidP="00701C9E">
      <w:pPr>
        <w:pStyle w:val="SingleTxtG"/>
        <w:ind w:firstLine="567"/>
      </w:pPr>
      <w:r w:rsidRPr="00091998">
        <w:rPr>
          <w:b/>
          <w:bCs/>
        </w:rPr>
        <w:t>a)</w:t>
      </w:r>
      <w:r>
        <w:tab/>
      </w:r>
      <w:r w:rsidRPr="00091998">
        <w:rPr>
          <w:b/>
        </w:rPr>
        <w:t>D</w:t>
      </w:r>
      <w:r w:rsidR="00E81836">
        <w:rPr>
          <w:b/>
        </w:rPr>
        <w:t>’</w:t>
      </w:r>
      <w:r w:rsidRPr="00091998">
        <w:rPr>
          <w:b/>
        </w:rPr>
        <w:t>envisager d</w:t>
      </w:r>
      <w:r w:rsidR="00E81836">
        <w:rPr>
          <w:b/>
        </w:rPr>
        <w:t>’</w:t>
      </w:r>
      <w:r w:rsidRPr="00091998">
        <w:rPr>
          <w:b/>
        </w:rPr>
        <w:t>i</w:t>
      </w:r>
      <w:r w:rsidRPr="00383FBF">
        <w:rPr>
          <w:b/>
          <w:bCs/>
        </w:rPr>
        <w:t>nscrire</w:t>
      </w:r>
      <w:r w:rsidRPr="00D6774C">
        <w:rPr>
          <w:b/>
          <w:bCs/>
        </w:rPr>
        <w:t xml:space="preserve"> expressément dans la législation nationale l</w:t>
      </w:r>
      <w:r w:rsidR="00E81836">
        <w:rPr>
          <w:b/>
          <w:bCs/>
        </w:rPr>
        <w:t>’</w:t>
      </w:r>
      <w:r w:rsidRPr="00D6774C">
        <w:rPr>
          <w:b/>
          <w:bCs/>
        </w:rPr>
        <w:t>interdiction d</w:t>
      </w:r>
      <w:r w:rsidR="00E81836">
        <w:rPr>
          <w:b/>
          <w:bCs/>
        </w:rPr>
        <w:t>’</w:t>
      </w:r>
      <w:r w:rsidRPr="00D6774C">
        <w:rPr>
          <w:b/>
          <w:bCs/>
        </w:rPr>
        <w:t>expulser, de refouler, de remettre ou d</w:t>
      </w:r>
      <w:r w:rsidR="00E81836">
        <w:rPr>
          <w:b/>
          <w:bCs/>
        </w:rPr>
        <w:t>’</w:t>
      </w:r>
      <w:r w:rsidRPr="00D6774C">
        <w:rPr>
          <w:b/>
          <w:bCs/>
        </w:rPr>
        <w:t>extrader une personne s</w:t>
      </w:r>
      <w:r w:rsidR="00E81836">
        <w:rPr>
          <w:b/>
          <w:bCs/>
        </w:rPr>
        <w:t>’</w:t>
      </w:r>
      <w:r w:rsidRPr="00D6774C">
        <w:rPr>
          <w:b/>
          <w:bCs/>
        </w:rPr>
        <w:t>il y a des motifs sérieux de croire qu</w:t>
      </w:r>
      <w:r w:rsidR="00E81836">
        <w:rPr>
          <w:b/>
          <w:bCs/>
        </w:rPr>
        <w:t>’</w:t>
      </w:r>
      <w:r w:rsidRPr="00D6774C">
        <w:rPr>
          <w:b/>
          <w:bCs/>
        </w:rPr>
        <w:t>elle risque d</w:t>
      </w:r>
      <w:r w:rsidR="00E81836">
        <w:rPr>
          <w:b/>
          <w:bCs/>
        </w:rPr>
        <w:t>’</w:t>
      </w:r>
      <w:r w:rsidRPr="00D6774C">
        <w:rPr>
          <w:b/>
          <w:bCs/>
        </w:rPr>
        <w:t>être victime d</w:t>
      </w:r>
      <w:r w:rsidR="00E81836">
        <w:rPr>
          <w:b/>
          <w:bCs/>
        </w:rPr>
        <w:t>’</w:t>
      </w:r>
      <w:r w:rsidRPr="00D6774C">
        <w:rPr>
          <w:b/>
          <w:bCs/>
        </w:rPr>
        <w:t>une disparition forcée</w:t>
      </w:r>
      <w:r>
        <w:rPr>
          <w:b/>
          <w:bCs/>
        </w:rPr>
        <w:t> </w:t>
      </w:r>
      <w:r w:rsidRPr="00D6774C">
        <w:rPr>
          <w:b/>
          <w:bCs/>
        </w:rPr>
        <w:t>;</w:t>
      </w:r>
    </w:p>
    <w:p w14:paraId="09634216" w14:textId="42C3AE35" w:rsidR="00BB6AD2" w:rsidRPr="00D6774C" w:rsidRDefault="00BB6AD2" w:rsidP="00701C9E">
      <w:pPr>
        <w:pStyle w:val="SingleTxtG"/>
        <w:ind w:firstLine="567"/>
      </w:pPr>
      <w:r w:rsidRPr="00091998">
        <w:rPr>
          <w:b/>
          <w:bCs/>
        </w:rPr>
        <w:t>b)</w:t>
      </w:r>
      <w:r>
        <w:tab/>
      </w:r>
      <w:r w:rsidRPr="00091998">
        <w:rPr>
          <w:b/>
        </w:rPr>
        <w:t xml:space="preserve">De </w:t>
      </w:r>
      <w:r w:rsidRPr="00383FBF">
        <w:rPr>
          <w:b/>
          <w:bCs/>
        </w:rPr>
        <w:t>g</w:t>
      </w:r>
      <w:r w:rsidRPr="00D6774C">
        <w:rPr>
          <w:b/>
          <w:bCs/>
        </w:rPr>
        <w:t>arantir qu</w:t>
      </w:r>
      <w:r w:rsidR="00E81836">
        <w:rPr>
          <w:b/>
          <w:bCs/>
        </w:rPr>
        <w:t>’</w:t>
      </w:r>
      <w:r w:rsidRPr="00D6774C">
        <w:rPr>
          <w:b/>
          <w:bCs/>
        </w:rPr>
        <w:t xml:space="preserve">avant de procéder à une expulsion, </w:t>
      </w:r>
      <w:r>
        <w:rPr>
          <w:b/>
          <w:bCs/>
        </w:rPr>
        <w:t xml:space="preserve">à un </w:t>
      </w:r>
      <w:r w:rsidRPr="00D6774C">
        <w:rPr>
          <w:b/>
          <w:bCs/>
        </w:rPr>
        <w:t xml:space="preserve">refoulement, </w:t>
      </w:r>
      <w:r>
        <w:rPr>
          <w:b/>
          <w:bCs/>
        </w:rPr>
        <w:t xml:space="preserve">à </w:t>
      </w:r>
      <w:r w:rsidRPr="00D6774C">
        <w:rPr>
          <w:b/>
          <w:bCs/>
        </w:rPr>
        <w:t xml:space="preserve">une remise ou </w:t>
      </w:r>
      <w:r>
        <w:rPr>
          <w:b/>
          <w:bCs/>
        </w:rPr>
        <w:t xml:space="preserve">à une </w:t>
      </w:r>
      <w:r w:rsidRPr="00D6774C">
        <w:rPr>
          <w:b/>
          <w:bCs/>
        </w:rPr>
        <w:t xml:space="preserve">extradition, toutes les procédures pertinentes </w:t>
      </w:r>
      <w:r>
        <w:rPr>
          <w:b/>
          <w:bCs/>
        </w:rPr>
        <w:t>ont</w:t>
      </w:r>
      <w:r w:rsidRPr="00D6774C">
        <w:rPr>
          <w:b/>
          <w:bCs/>
        </w:rPr>
        <w:t xml:space="preserve"> été épuisées et un examen individuel approfondi a été effectué afin de déterminer s</w:t>
      </w:r>
      <w:r w:rsidR="00E81836">
        <w:rPr>
          <w:b/>
          <w:bCs/>
        </w:rPr>
        <w:t>’</w:t>
      </w:r>
      <w:r w:rsidRPr="00D6774C">
        <w:rPr>
          <w:b/>
          <w:bCs/>
        </w:rPr>
        <w:t>il existe des motifs sérieux de croire que la personne concernée risquerait d</w:t>
      </w:r>
      <w:r w:rsidR="00E81836">
        <w:rPr>
          <w:b/>
          <w:bCs/>
        </w:rPr>
        <w:t>’</w:t>
      </w:r>
      <w:r w:rsidRPr="00D6774C">
        <w:rPr>
          <w:b/>
          <w:bCs/>
        </w:rPr>
        <w:t>être victime d</w:t>
      </w:r>
      <w:r w:rsidR="00E81836">
        <w:rPr>
          <w:b/>
          <w:bCs/>
        </w:rPr>
        <w:t>’</w:t>
      </w:r>
      <w:r w:rsidRPr="00D6774C">
        <w:rPr>
          <w:b/>
          <w:bCs/>
        </w:rPr>
        <w:t xml:space="preserve">une disparition forcée et, si de tels motifs existent, que la personne concernée </w:t>
      </w:r>
      <w:r>
        <w:rPr>
          <w:b/>
          <w:bCs/>
        </w:rPr>
        <w:t>n</w:t>
      </w:r>
      <w:r w:rsidR="00E81836">
        <w:rPr>
          <w:b/>
          <w:bCs/>
        </w:rPr>
        <w:t>’</w:t>
      </w:r>
      <w:r>
        <w:rPr>
          <w:b/>
          <w:bCs/>
        </w:rPr>
        <w:t>est</w:t>
      </w:r>
      <w:r w:rsidRPr="00D6774C">
        <w:rPr>
          <w:b/>
          <w:bCs/>
        </w:rPr>
        <w:t xml:space="preserve"> pas expulsée, extradée, remise ou refoulée</w:t>
      </w:r>
      <w:r w:rsidR="00166101">
        <w:rPr>
          <w:b/>
          <w:bCs/>
        </w:rPr>
        <w:t> </w:t>
      </w:r>
      <w:r w:rsidRPr="00D6774C">
        <w:rPr>
          <w:b/>
          <w:bCs/>
        </w:rPr>
        <w:t>;</w:t>
      </w:r>
    </w:p>
    <w:p w14:paraId="3FEAF2E0" w14:textId="17489BC7" w:rsidR="00BB6AD2" w:rsidRPr="00D6774C" w:rsidRDefault="00BB6AD2" w:rsidP="00701C9E">
      <w:pPr>
        <w:pStyle w:val="SingleTxtG"/>
        <w:ind w:firstLine="567"/>
      </w:pPr>
      <w:r w:rsidRPr="00091998">
        <w:rPr>
          <w:b/>
          <w:bCs/>
        </w:rPr>
        <w:t>c)</w:t>
      </w:r>
      <w:r>
        <w:tab/>
      </w:r>
      <w:r w:rsidRPr="00091998">
        <w:rPr>
          <w:b/>
        </w:rPr>
        <w:t xml:space="preserve">De </w:t>
      </w:r>
      <w:r w:rsidRPr="00383FBF">
        <w:rPr>
          <w:b/>
          <w:bCs/>
        </w:rPr>
        <w:t>g</w:t>
      </w:r>
      <w:r w:rsidRPr="00D6774C">
        <w:rPr>
          <w:b/>
          <w:bCs/>
        </w:rPr>
        <w:t xml:space="preserve">arantir </w:t>
      </w:r>
      <w:r>
        <w:rPr>
          <w:b/>
          <w:bCs/>
        </w:rPr>
        <w:t xml:space="preserve">en droit et dans la pratique </w:t>
      </w:r>
      <w:r w:rsidRPr="00D6774C">
        <w:rPr>
          <w:b/>
          <w:bCs/>
        </w:rPr>
        <w:t>l</w:t>
      </w:r>
      <w:r w:rsidR="00E81836">
        <w:rPr>
          <w:b/>
          <w:bCs/>
        </w:rPr>
        <w:t>’</w:t>
      </w:r>
      <w:r w:rsidRPr="00D6774C">
        <w:rPr>
          <w:b/>
          <w:bCs/>
        </w:rPr>
        <w:t xml:space="preserve">effet suspensif des recours contre </w:t>
      </w:r>
      <w:r>
        <w:rPr>
          <w:b/>
          <w:bCs/>
        </w:rPr>
        <w:t>les</w:t>
      </w:r>
      <w:r w:rsidRPr="00D6774C">
        <w:rPr>
          <w:b/>
          <w:bCs/>
        </w:rPr>
        <w:t xml:space="preserve"> décision</w:t>
      </w:r>
      <w:r>
        <w:rPr>
          <w:b/>
          <w:bCs/>
        </w:rPr>
        <w:t>s</w:t>
      </w:r>
      <w:r w:rsidRPr="00D6774C">
        <w:rPr>
          <w:b/>
          <w:bCs/>
        </w:rPr>
        <w:t xml:space="preserve"> d</w:t>
      </w:r>
      <w:r w:rsidR="00E81836">
        <w:rPr>
          <w:b/>
          <w:bCs/>
        </w:rPr>
        <w:t>’</w:t>
      </w:r>
      <w:r w:rsidRPr="00D6774C">
        <w:rPr>
          <w:b/>
          <w:bCs/>
        </w:rPr>
        <w:t>expulsion, de refoulement, de remise ou d</w:t>
      </w:r>
      <w:r w:rsidR="00E81836">
        <w:rPr>
          <w:b/>
          <w:bCs/>
        </w:rPr>
        <w:t>’</w:t>
      </w:r>
      <w:r w:rsidRPr="00D6774C">
        <w:rPr>
          <w:b/>
          <w:bCs/>
        </w:rPr>
        <w:t>extradition.</w:t>
      </w:r>
    </w:p>
    <w:p w14:paraId="33744DA6" w14:textId="50E25A34" w:rsidR="00BB6AD2" w:rsidRPr="00407492" w:rsidRDefault="00BB6AD2" w:rsidP="00BB6AD2">
      <w:pPr>
        <w:pStyle w:val="SingleTxtG"/>
        <w:rPr>
          <w:lang w:val="fr-FR"/>
        </w:rPr>
      </w:pPr>
      <w:r>
        <w:rPr>
          <w:lang w:val="fr-FR"/>
        </w:rPr>
        <w:t>28.</w:t>
      </w:r>
      <w:r>
        <w:rPr>
          <w:lang w:val="fr-FR"/>
        </w:rPr>
        <w:tab/>
      </w:r>
      <w:r w:rsidRPr="00D6774C">
        <w:rPr>
          <w:b/>
          <w:bCs/>
          <w:lang w:val="fr-FR"/>
        </w:rPr>
        <w:t>Le Comité recommande à l</w:t>
      </w:r>
      <w:r w:rsidR="00E81836">
        <w:rPr>
          <w:b/>
          <w:bCs/>
          <w:lang w:val="fr-FR"/>
        </w:rPr>
        <w:t>’</w:t>
      </w:r>
      <w:r w:rsidRPr="00D6774C">
        <w:rPr>
          <w:b/>
          <w:bCs/>
          <w:lang w:val="fr-FR"/>
        </w:rPr>
        <w:t>État partie également de prévenir les disparitions forcées des migrants, y</w:t>
      </w:r>
      <w:r w:rsidR="00166101">
        <w:rPr>
          <w:b/>
          <w:bCs/>
          <w:lang w:val="fr-FR"/>
        </w:rPr>
        <w:t> </w:t>
      </w:r>
      <w:r w:rsidRPr="00D6774C">
        <w:rPr>
          <w:b/>
          <w:bCs/>
          <w:lang w:val="fr-FR"/>
        </w:rPr>
        <w:t>compris en révisant la loi n</w:t>
      </w:r>
      <w:r w:rsidR="00166101" w:rsidRPr="00701C9E">
        <w:rPr>
          <w:b/>
          <w:bCs/>
          <w:vertAlign w:val="superscript"/>
          <w:lang w:val="fr-FR"/>
        </w:rPr>
        <w:t>o</w:t>
      </w:r>
      <w:r w:rsidR="00166101">
        <w:rPr>
          <w:b/>
          <w:bCs/>
          <w:lang w:val="fr-FR"/>
        </w:rPr>
        <w:t> </w:t>
      </w:r>
      <w:r w:rsidRPr="00D6774C">
        <w:rPr>
          <w:b/>
          <w:bCs/>
          <w:lang w:val="fr-FR"/>
        </w:rPr>
        <w:t>2015-36 à la lumière des normes internationales pertinentes.</w:t>
      </w:r>
    </w:p>
    <w:p w14:paraId="0FD39DB8" w14:textId="77777777" w:rsidR="00BB6AD2" w:rsidRPr="00407492" w:rsidRDefault="00BB6AD2" w:rsidP="00BB6AD2">
      <w:pPr>
        <w:pStyle w:val="H23G"/>
        <w:rPr>
          <w:lang w:val="fr-FR"/>
        </w:rPr>
      </w:pPr>
      <w:r>
        <w:rPr>
          <w:lang w:val="fr-FR"/>
        </w:rPr>
        <w:tab/>
      </w:r>
      <w:r>
        <w:rPr>
          <w:lang w:val="fr-FR"/>
        </w:rPr>
        <w:tab/>
      </w:r>
      <w:r w:rsidRPr="00407492">
        <w:rPr>
          <w:lang w:val="fr-FR"/>
        </w:rPr>
        <w:t>Détention en secret et garanties juridiques fondamentales</w:t>
      </w:r>
    </w:p>
    <w:p w14:paraId="4456491A" w14:textId="51B437D8" w:rsidR="00BB6AD2" w:rsidRPr="00407492" w:rsidRDefault="00BB6AD2" w:rsidP="00BB6AD2">
      <w:pPr>
        <w:pStyle w:val="SingleTxtG"/>
        <w:rPr>
          <w:lang w:val="fr-FR"/>
        </w:rPr>
      </w:pPr>
      <w:r>
        <w:rPr>
          <w:lang w:val="fr-FR"/>
        </w:rPr>
        <w:t>29.</w:t>
      </w:r>
      <w:r>
        <w:rPr>
          <w:lang w:val="fr-FR"/>
        </w:rPr>
        <w:tab/>
      </w:r>
      <w:r w:rsidRPr="00407492">
        <w:rPr>
          <w:lang w:val="fr-FR"/>
        </w:rPr>
        <w:t>Tout en prenant note de l</w:t>
      </w:r>
      <w:r w:rsidR="00E81836">
        <w:rPr>
          <w:lang w:val="fr-FR"/>
        </w:rPr>
        <w:t>’</w:t>
      </w:r>
      <w:r w:rsidRPr="00407492">
        <w:rPr>
          <w:lang w:val="fr-FR"/>
        </w:rPr>
        <w:t>affirmation de l</w:t>
      </w:r>
      <w:r w:rsidR="00E81836">
        <w:rPr>
          <w:lang w:val="fr-FR"/>
        </w:rPr>
        <w:t>’</w:t>
      </w:r>
      <w:r w:rsidRPr="00407492">
        <w:rPr>
          <w:lang w:val="fr-FR"/>
        </w:rPr>
        <w:t>État partie selon laquelle la détention secrète est interdite dans tout autre lieu que ceux fixés par la loi</w:t>
      </w:r>
      <w:r w:rsidRPr="00407492">
        <w:rPr>
          <w:rStyle w:val="Appelnotedebasdep"/>
          <w:sz w:val="20"/>
          <w:lang w:val="fr-FR"/>
        </w:rPr>
        <w:footnoteReference w:id="12"/>
      </w:r>
      <w:r>
        <w:rPr>
          <w:lang w:val="fr-FR"/>
        </w:rPr>
        <w:t>,</w:t>
      </w:r>
      <w:r w:rsidRPr="00407492">
        <w:rPr>
          <w:lang w:val="fr-FR"/>
        </w:rPr>
        <w:t xml:space="preserve"> le Comité est préoccupé par les allégations soulevées par le Comité contre la torture selon lesquelles certains individus </w:t>
      </w:r>
      <w:r w:rsidRPr="00407492">
        <w:rPr>
          <w:lang w:val="fr-FR"/>
        </w:rPr>
        <w:lastRenderedPageBreak/>
        <w:t>seraient placés en garde à vue ou en détention provisoire dans des lieux tenus secrets, non prévus par la loi, à l</w:t>
      </w:r>
      <w:r w:rsidR="00E81836">
        <w:rPr>
          <w:lang w:val="fr-FR"/>
        </w:rPr>
        <w:t>’</w:t>
      </w:r>
      <w:r w:rsidRPr="00407492">
        <w:rPr>
          <w:lang w:val="fr-FR"/>
        </w:rPr>
        <w:t>instar de la Direction générale de la documentation et de la sécurité extérieure, l</w:t>
      </w:r>
      <w:r w:rsidR="00E81836">
        <w:rPr>
          <w:lang w:val="fr-FR"/>
        </w:rPr>
        <w:t>’</w:t>
      </w:r>
      <w:r w:rsidRPr="00407492">
        <w:rPr>
          <w:lang w:val="fr-FR"/>
        </w:rPr>
        <w:t>École nationale de police et certains camps militaires</w:t>
      </w:r>
      <w:r w:rsidRPr="00407492">
        <w:rPr>
          <w:rStyle w:val="Appelnotedebasdep"/>
          <w:sz w:val="20"/>
          <w:lang w:val="fr-FR"/>
        </w:rPr>
        <w:footnoteReference w:id="13"/>
      </w:r>
      <w:r>
        <w:rPr>
          <w:lang w:val="fr-FR"/>
        </w:rPr>
        <w:t>.</w:t>
      </w:r>
      <w:r w:rsidRPr="00407492">
        <w:rPr>
          <w:lang w:val="fr-FR"/>
        </w:rPr>
        <w:t xml:space="preserve"> Il est également préoccupé </w:t>
      </w:r>
      <w:r>
        <w:rPr>
          <w:lang w:val="fr-FR"/>
        </w:rPr>
        <w:t xml:space="preserve">par le fait </w:t>
      </w:r>
      <w:r w:rsidRPr="00407492">
        <w:rPr>
          <w:lang w:val="fr-FR"/>
        </w:rPr>
        <w:t>que le Code de procédure pénale ne garantit pas le droit des personnes en garde à vue d</w:t>
      </w:r>
      <w:r w:rsidR="00E81836">
        <w:rPr>
          <w:lang w:val="fr-FR"/>
        </w:rPr>
        <w:t>’</w:t>
      </w:r>
      <w:r w:rsidRPr="00407492">
        <w:rPr>
          <w:lang w:val="fr-FR"/>
        </w:rPr>
        <w:t>informer leur famille de la privation de liberté</w:t>
      </w:r>
      <w:r w:rsidRPr="00407492">
        <w:rPr>
          <w:rStyle w:val="Appelnotedebasdep"/>
          <w:lang w:val="fr-FR"/>
        </w:rPr>
        <w:footnoteReference w:id="14"/>
      </w:r>
      <w:r>
        <w:rPr>
          <w:lang w:val="fr-FR"/>
        </w:rPr>
        <w:t>.</w:t>
      </w:r>
      <w:r w:rsidRPr="00407492">
        <w:rPr>
          <w:lang w:val="fr-FR"/>
        </w:rPr>
        <w:t xml:space="preserve"> Tout en prenant note des informations relatives aux registres de détention, le Comité s</w:t>
      </w:r>
      <w:r w:rsidR="00E81836">
        <w:rPr>
          <w:lang w:val="fr-FR"/>
        </w:rPr>
        <w:t>’</w:t>
      </w:r>
      <w:r w:rsidRPr="00407492">
        <w:rPr>
          <w:lang w:val="fr-FR"/>
        </w:rPr>
        <w:t>inquiète des rapports faisant état de défaillances dans la tenue de registres des personnes privées de liberté</w:t>
      </w:r>
      <w:r w:rsidRPr="00407492">
        <w:rPr>
          <w:rStyle w:val="Appelnotedebasdep"/>
          <w:sz w:val="20"/>
          <w:lang w:val="fr-FR"/>
        </w:rPr>
        <w:footnoteReference w:id="15"/>
      </w:r>
      <w:r>
        <w:rPr>
          <w:lang w:val="fr-FR"/>
        </w:rPr>
        <w:t>.</w:t>
      </w:r>
      <w:r w:rsidRPr="00407492">
        <w:rPr>
          <w:lang w:val="fr-FR"/>
        </w:rPr>
        <w:t xml:space="preserve"> Il regrette également l</w:t>
      </w:r>
      <w:r w:rsidR="00E81836">
        <w:rPr>
          <w:lang w:val="fr-FR"/>
        </w:rPr>
        <w:t>’</w:t>
      </w:r>
      <w:r w:rsidRPr="00407492">
        <w:rPr>
          <w:lang w:val="fr-FR"/>
        </w:rPr>
        <w:t>absence de clarté quant aux dispositions du droit interne établissant un recours spécifique conformément à l</w:t>
      </w:r>
      <w:r w:rsidR="00E81836">
        <w:rPr>
          <w:lang w:val="fr-FR"/>
        </w:rPr>
        <w:t>’</w:t>
      </w:r>
      <w:r w:rsidRPr="00407492">
        <w:rPr>
          <w:lang w:val="fr-FR"/>
        </w:rPr>
        <w:t>article</w:t>
      </w:r>
      <w:r w:rsidR="00166101">
        <w:rPr>
          <w:lang w:val="fr-FR"/>
        </w:rPr>
        <w:t> </w:t>
      </w:r>
      <w:r w:rsidRPr="00407492">
        <w:rPr>
          <w:lang w:val="fr-FR"/>
        </w:rPr>
        <w:t>17 (par.</w:t>
      </w:r>
      <w:r w:rsidR="00166101">
        <w:rPr>
          <w:lang w:val="fr-FR"/>
        </w:rPr>
        <w:t> </w:t>
      </w:r>
      <w:r w:rsidRPr="00407492">
        <w:rPr>
          <w:lang w:val="fr-FR"/>
        </w:rPr>
        <w:t>2</w:t>
      </w:r>
      <w:r>
        <w:rPr>
          <w:lang w:val="fr-FR"/>
        </w:rPr>
        <w:t> </w:t>
      </w:r>
      <w:r w:rsidRPr="00407492">
        <w:rPr>
          <w:lang w:val="fr-FR"/>
        </w:rPr>
        <w:t>f)</w:t>
      </w:r>
      <w:r>
        <w:rPr>
          <w:lang w:val="fr-FR"/>
        </w:rPr>
        <w:t>)</w:t>
      </w:r>
      <w:r w:rsidRPr="00407492">
        <w:rPr>
          <w:lang w:val="fr-FR"/>
        </w:rPr>
        <w:t xml:space="preserve"> de la Convention (art.</w:t>
      </w:r>
      <w:r w:rsidR="00166101">
        <w:rPr>
          <w:lang w:val="fr-FR"/>
        </w:rPr>
        <w:t> </w:t>
      </w:r>
      <w:r w:rsidRPr="00407492">
        <w:rPr>
          <w:lang w:val="fr-FR"/>
        </w:rPr>
        <w:t>17, 18 et 21).</w:t>
      </w:r>
    </w:p>
    <w:p w14:paraId="3D3F3932" w14:textId="2D9A7A2B" w:rsidR="00BB6AD2" w:rsidRPr="00D6774C" w:rsidRDefault="00BB6AD2" w:rsidP="00BB6AD2">
      <w:pPr>
        <w:pStyle w:val="SingleTxtG"/>
        <w:rPr>
          <w:b/>
          <w:bCs/>
          <w:lang w:val="fr-FR"/>
        </w:rPr>
      </w:pPr>
      <w:r>
        <w:rPr>
          <w:lang w:val="fr-FR"/>
        </w:rPr>
        <w:t>30.</w:t>
      </w:r>
      <w:r>
        <w:rPr>
          <w:lang w:val="fr-FR"/>
        </w:rPr>
        <w:tab/>
      </w:r>
      <w:r w:rsidRPr="00D6774C">
        <w:rPr>
          <w:b/>
          <w:bCs/>
          <w:lang w:val="fr-FR"/>
        </w:rPr>
        <w:t>Le Comité recommande à l</w:t>
      </w:r>
      <w:r w:rsidR="00E81836">
        <w:rPr>
          <w:b/>
          <w:bCs/>
          <w:lang w:val="fr-FR"/>
        </w:rPr>
        <w:t>’</w:t>
      </w:r>
      <w:r w:rsidRPr="00D6774C">
        <w:rPr>
          <w:b/>
          <w:bCs/>
          <w:lang w:val="fr-FR"/>
        </w:rPr>
        <w:t>État partie de garantir que nul ne soit détenu en secret, y</w:t>
      </w:r>
      <w:r w:rsidR="00166101">
        <w:rPr>
          <w:b/>
          <w:bCs/>
          <w:lang w:val="fr-FR"/>
        </w:rPr>
        <w:t> </w:t>
      </w:r>
      <w:r w:rsidRPr="00D6774C">
        <w:rPr>
          <w:b/>
          <w:bCs/>
          <w:lang w:val="fr-FR"/>
        </w:rPr>
        <w:t>compris en veillant à ce que toute personne privée de liberté jouisse de toutes les garanties juridiques fondamentales énoncées à l</w:t>
      </w:r>
      <w:r w:rsidR="00E81836">
        <w:rPr>
          <w:b/>
          <w:bCs/>
          <w:lang w:val="fr-FR"/>
        </w:rPr>
        <w:t>’</w:t>
      </w:r>
      <w:r w:rsidRPr="00D6774C">
        <w:rPr>
          <w:b/>
          <w:bCs/>
          <w:lang w:val="fr-FR"/>
        </w:rPr>
        <w:t>article</w:t>
      </w:r>
      <w:r w:rsidR="00166101">
        <w:rPr>
          <w:b/>
          <w:bCs/>
          <w:lang w:val="fr-FR"/>
        </w:rPr>
        <w:t> </w:t>
      </w:r>
      <w:r w:rsidRPr="00D6774C">
        <w:rPr>
          <w:b/>
          <w:bCs/>
          <w:lang w:val="fr-FR"/>
        </w:rPr>
        <w:t xml:space="preserve">17 de la Convention et dans les autres instruments relatifs aux droits </w:t>
      </w:r>
      <w:r>
        <w:rPr>
          <w:b/>
          <w:bCs/>
          <w:lang w:val="fr-FR"/>
        </w:rPr>
        <w:t>humains</w:t>
      </w:r>
      <w:r w:rsidRPr="00D6774C">
        <w:rPr>
          <w:b/>
          <w:bCs/>
          <w:lang w:val="fr-FR"/>
        </w:rPr>
        <w:t xml:space="preserve"> auxquels le Niger est partie. En ce sens, l</w:t>
      </w:r>
      <w:r w:rsidR="00E81836">
        <w:rPr>
          <w:b/>
          <w:bCs/>
          <w:lang w:val="fr-FR"/>
        </w:rPr>
        <w:t>’</w:t>
      </w:r>
      <w:r w:rsidRPr="00D6774C">
        <w:rPr>
          <w:b/>
          <w:bCs/>
          <w:lang w:val="fr-FR"/>
        </w:rPr>
        <w:t>État partie doit</w:t>
      </w:r>
      <w:r>
        <w:rPr>
          <w:b/>
          <w:bCs/>
          <w:lang w:val="fr-FR"/>
        </w:rPr>
        <w:t> </w:t>
      </w:r>
      <w:r w:rsidRPr="00D6774C">
        <w:rPr>
          <w:b/>
          <w:bCs/>
          <w:lang w:val="fr-FR"/>
        </w:rPr>
        <w:t>:</w:t>
      </w:r>
    </w:p>
    <w:p w14:paraId="3D820955" w14:textId="5B94C68A" w:rsidR="00BB6AD2" w:rsidRPr="00D6774C" w:rsidRDefault="00BB6AD2" w:rsidP="00701C9E">
      <w:pPr>
        <w:pStyle w:val="SingleTxtG"/>
        <w:ind w:firstLine="567"/>
      </w:pPr>
      <w:r w:rsidRPr="00091998">
        <w:rPr>
          <w:b/>
          <w:bCs/>
        </w:rPr>
        <w:t>a)</w:t>
      </w:r>
      <w:r>
        <w:tab/>
      </w:r>
      <w:r w:rsidRPr="00D6774C">
        <w:rPr>
          <w:b/>
          <w:bCs/>
        </w:rPr>
        <w:t>Assurer que les personnes privées de liberté soient uniquement placées dans des lieux de privation de liberté officiellement reconnus et contrôlés à toutes les étapes de la procédure</w:t>
      </w:r>
      <w:r>
        <w:rPr>
          <w:b/>
          <w:bCs/>
        </w:rPr>
        <w:t> </w:t>
      </w:r>
      <w:r w:rsidRPr="00D6774C">
        <w:rPr>
          <w:b/>
          <w:bCs/>
        </w:rPr>
        <w:t>;</w:t>
      </w:r>
    </w:p>
    <w:p w14:paraId="40ACD75F" w14:textId="6B81F79E" w:rsidR="00BB6AD2" w:rsidRPr="00D6774C" w:rsidRDefault="00BB6AD2" w:rsidP="00701C9E">
      <w:pPr>
        <w:pStyle w:val="SingleTxtG"/>
        <w:ind w:firstLine="567"/>
        <w:rPr>
          <w:b/>
          <w:bCs/>
        </w:rPr>
      </w:pPr>
      <w:r w:rsidRPr="00091998">
        <w:rPr>
          <w:b/>
          <w:bCs/>
        </w:rPr>
        <w:t>b)</w:t>
      </w:r>
      <w:r>
        <w:tab/>
      </w:r>
      <w:r>
        <w:rPr>
          <w:b/>
          <w:bCs/>
        </w:rPr>
        <w:t>Garantir, d</w:t>
      </w:r>
      <w:r w:rsidRPr="00D6774C">
        <w:rPr>
          <w:b/>
          <w:bCs/>
        </w:rPr>
        <w:t xml:space="preserve">ès le début de </w:t>
      </w:r>
      <w:r>
        <w:rPr>
          <w:b/>
          <w:bCs/>
        </w:rPr>
        <w:t>sa</w:t>
      </w:r>
      <w:r w:rsidRPr="00D6774C">
        <w:rPr>
          <w:b/>
          <w:bCs/>
        </w:rPr>
        <w:t xml:space="preserve"> privation de liberté</w:t>
      </w:r>
      <w:r>
        <w:rPr>
          <w:b/>
          <w:bCs/>
        </w:rPr>
        <w:t>,</w:t>
      </w:r>
      <w:r w:rsidRPr="00D6774C">
        <w:rPr>
          <w:b/>
          <w:bCs/>
        </w:rPr>
        <w:t xml:space="preserve"> que toute personne, quelle que soit l</w:t>
      </w:r>
      <w:r w:rsidR="00E81836">
        <w:rPr>
          <w:b/>
          <w:bCs/>
        </w:rPr>
        <w:t>’</w:t>
      </w:r>
      <w:r w:rsidRPr="00D6774C">
        <w:rPr>
          <w:b/>
          <w:bCs/>
        </w:rPr>
        <w:t>infraction dont elle est accusée, a un accès effectif à un avocat</w:t>
      </w:r>
      <w:r>
        <w:rPr>
          <w:b/>
          <w:bCs/>
        </w:rPr>
        <w:t>,</w:t>
      </w:r>
      <w:r w:rsidRPr="00D6774C">
        <w:rPr>
          <w:b/>
          <w:bCs/>
        </w:rPr>
        <w:t xml:space="preserve"> et que ses proches, toute autre personne de son choix et, s</w:t>
      </w:r>
      <w:r w:rsidR="00E81836">
        <w:rPr>
          <w:b/>
          <w:bCs/>
        </w:rPr>
        <w:t>’</w:t>
      </w:r>
      <w:r w:rsidRPr="00D6774C">
        <w:rPr>
          <w:b/>
          <w:bCs/>
        </w:rPr>
        <w:t>il s</w:t>
      </w:r>
      <w:r w:rsidR="00E81836">
        <w:rPr>
          <w:b/>
          <w:bCs/>
        </w:rPr>
        <w:t>’</w:t>
      </w:r>
      <w:r w:rsidRPr="00D6774C">
        <w:rPr>
          <w:b/>
          <w:bCs/>
        </w:rPr>
        <w:t>agit d</w:t>
      </w:r>
      <w:r w:rsidR="00E81836">
        <w:rPr>
          <w:b/>
          <w:bCs/>
        </w:rPr>
        <w:t>’</w:t>
      </w:r>
      <w:r w:rsidRPr="00D6774C">
        <w:rPr>
          <w:b/>
          <w:bCs/>
        </w:rPr>
        <w:t>un étranger, les autorités consulaires de son pays sont effectivement informés de sa privation de liberté et de son lieu de détention;</w:t>
      </w:r>
    </w:p>
    <w:p w14:paraId="41CF3B04" w14:textId="5F93E697" w:rsidR="00BB6AD2" w:rsidRPr="00D6774C" w:rsidRDefault="00BB6AD2" w:rsidP="00701C9E">
      <w:pPr>
        <w:pStyle w:val="SingleTxtG"/>
        <w:ind w:firstLine="567"/>
        <w:rPr>
          <w:b/>
          <w:bCs/>
        </w:rPr>
      </w:pPr>
      <w:r w:rsidRPr="00091998">
        <w:rPr>
          <w:b/>
          <w:bCs/>
        </w:rPr>
        <w:t>c)</w:t>
      </w:r>
      <w:r>
        <w:tab/>
      </w:r>
      <w:r w:rsidRPr="00D6774C">
        <w:rPr>
          <w:b/>
          <w:bCs/>
        </w:rPr>
        <w:t>Inscrire toutes les privations de liberté, sans exception</w:t>
      </w:r>
      <w:r>
        <w:rPr>
          <w:b/>
          <w:bCs/>
        </w:rPr>
        <w:t xml:space="preserve"> et</w:t>
      </w:r>
      <w:r w:rsidRPr="00D6774C">
        <w:rPr>
          <w:b/>
          <w:bCs/>
        </w:rPr>
        <w:t xml:space="preserve"> dès leur commencement</w:t>
      </w:r>
      <w:r>
        <w:rPr>
          <w:b/>
          <w:bCs/>
        </w:rPr>
        <w:t>,</w:t>
      </w:r>
      <w:r w:rsidRPr="00D6774C">
        <w:rPr>
          <w:b/>
          <w:bCs/>
        </w:rPr>
        <w:t xml:space="preserve"> dans des registres et/ou dossiers uniformes qui contiennent au moins les informations requises par l</w:t>
      </w:r>
      <w:r w:rsidR="00E81836">
        <w:rPr>
          <w:b/>
          <w:bCs/>
        </w:rPr>
        <w:t>’</w:t>
      </w:r>
      <w:r w:rsidRPr="00D6774C">
        <w:rPr>
          <w:b/>
          <w:bCs/>
        </w:rPr>
        <w:t>article</w:t>
      </w:r>
      <w:r w:rsidR="00166101">
        <w:rPr>
          <w:b/>
          <w:bCs/>
        </w:rPr>
        <w:t> </w:t>
      </w:r>
      <w:r w:rsidRPr="00D6774C">
        <w:rPr>
          <w:b/>
          <w:bCs/>
        </w:rPr>
        <w:t>17 (par.</w:t>
      </w:r>
      <w:r w:rsidR="00166101">
        <w:rPr>
          <w:b/>
          <w:bCs/>
        </w:rPr>
        <w:t> </w:t>
      </w:r>
      <w:r w:rsidRPr="00D6774C">
        <w:rPr>
          <w:b/>
          <w:bCs/>
        </w:rPr>
        <w:t xml:space="preserve">3) de la Convention, sont remplis et tenus à jour avec précision et sans retard, et </w:t>
      </w:r>
      <w:r>
        <w:rPr>
          <w:b/>
          <w:bCs/>
        </w:rPr>
        <w:t>font</w:t>
      </w:r>
      <w:r w:rsidRPr="00D6774C">
        <w:rPr>
          <w:b/>
          <w:bCs/>
        </w:rPr>
        <w:t xml:space="preserve"> l</w:t>
      </w:r>
      <w:r w:rsidR="00E81836">
        <w:rPr>
          <w:b/>
          <w:bCs/>
        </w:rPr>
        <w:t>’</w:t>
      </w:r>
      <w:r w:rsidRPr="00D6774C">
        <w:rPr>
          <w:b/>
          <w:bCs/>
        </w:rPr>
        <w:t>objet de vérifications régulières</w:t>
      </w:r>
      <w:r>
        <w:rPr>
          <w:b/>
          <w:bCs/>
        </w:rPr>
        <w:t> </w:t>
      </w:r>
      <w:r w:rsidRPr="00D6774C">
        <w:rPr>
          <w:b/>
          <w:bCs/>
        </w:rPr>
        <w:t>;</w:t>
      </w:r>
    </w:p>
    <w:p w14:paraId="4617EAAF" w14:textId="2C7CD647" w:rsidR="00BB6AD2" w:rsidRPr="00D6774C" w:rsidRDefault="00BB6AD2" w:rsidP="00701C9E">
      <w:pPr>
        <w:pStyle w:val="SingleTxtG"/>
        <w:ind w:firstLine="567"/>
      </w:pPr>
      <w:r w:rsidRPr="00091998">
        <w:rPr>
          <w:b/>
          <w:bCs/>
        </w:rPr>
        <w:t>d)</w:t>
      </w:r>
      <w:r>
        <w:tab/>
      </w:r>
      <w:r w:rsidRPr="00D6774C">
        <w:rPr>
          <w:b/>
          <w:bCs/>
        </w:rPr>
        <w:t xml:space="preserve">Garantir </w:t>
      </w:r>
      <w:r>
        <w:rPr>
          <w:b/>
          <w:bCs/>
        </w:rPr>
        <w:t>à</w:t>
      </w:r>
      <w:r w:rsidRPr="00D6774C">
        <w:rPr>
          <w:b/>
          <w:bCs/>
        </w:rPr>
        <w:t xml:space="preserve"> toute personne privée de liberté, y</w:t>
      </w:r>
      <w:r w:rsidR="00166101">
        <w:rPr>
          <w:b/>
          <w:bCs/>
        </w:rPr>
        <w:t> </w:t>
      </w:r>
      <w:r w:rsidRPr="00D6774C">
        <w:rPr>
          <w:b/>
          <w:bCs/>
        </w:rPr>
        <w:t>compris en garde à vue, et, en cas de soupçon de disparition forcée, la personne privée de liberté se trouvant dans l</w:t>
      </w:r>
      <w:r w:rsidR="00E81836">
        <w:rPr>
          <w:b/>
          <w:bCs/>
        </w:rPr>
        <w:t>’</w:t>
      </w:r>
      <w:r w:rsidRPr="00D6774C">
        <w:rPr>
          <w:b/>
          <w:bCs/>
        </w:rPr>
        <w:t>incapacité de l</w:t>
      </w:r>
      <w:r w:rsidR="00E81836">
        <w:rPr>
          <w:b/>
          <w:bCs/>
        </w:rPr>
        <w:t>’</w:t>
      </w:r>
      <w:r w:rsidRPr="00D6774C">
        <w:rPr>
          <w:b/>
          <w:bCs/>
        </w:rPr>
        <w:t>exercer elle-même, à toute personne ayant un intérêt légitime, le droit d</w:t>
      </w:r>
      <w:r w:rsidR="00E81836">
        <w:rPr>
          <w:b/>
          <w:bCs/>
        </w:rPr>
        <w:t>’</w:t>
      </w:r>
      <w:r w:rsidRPr="00D6774C">
        <w:rPr>
          <w:b/>
          <w:bCs/>
        </w:rPr>
        <w:t>introduire un recours devant un tribunal afin que celui-ci statue à bref délai sur la légalité de la privation de liberté et ordonne la libération si cette privation de liberté est illégale.</w:t>
      </w:r>
    </w:p>
    <w:p w14:paraId="1E931A70" w14:textId="5022FCB0" w:rsidR="00BB6AD2" w:rsidRPr="00407492" w:rsidRDefault="00BB6AD2" w:rsidP="00BB6AD2">
      <w:pPr>
        <w:pStyle w:val="H23G"/>
        <w:rPr>
          <w:lang w:val="fr-FR"/>
        </w:rPr>
      </w:pPr>
      <w:r>
        <w:rPr>
          <w:lang w:val="fr-FR"/>
        </w:rPr>
        <w:tab/>
        <w:t>5.</w:t>
      </w:r>
      <w:r>
        <w:rPr>
          <w:lang w:val="fr-FR"/>
        </w:rPr>
        <w:tab/>
      </w:r>
      <w:r w:rsidRPr="00407492">
        <w:rPr>
          <w:lang w:val="fr-FR"/>
        </w:rPr>
        <w:t xml:space="preserve">Mesures pour protéger et garantir les droits des victimes de disparition forcée </w:t>
      </w:r>
      <w:r>
        <w:rPr>
          <w:lang w:val="fr-FR"/>
        </w:rPr>
        <w:br/>
      </w:r>
      <w:r w:rsidRPr="00407492">
        <w:rPr>
          <w:lang w:val="fr-FR"/>
        </w:rPr>
        <w:t>(art.</w:t>
      </w:r>
      <w:r w:rsidR="00166101">
        <w:rPr>
          <w:lang w:val="fr-FR"/>
        </w:rPr>
        <w:t> </w:t>
      </w:r>
      <w:r w:rsidRPr="00407492">
        <w:rPr>
          <w:lang w:val="fr-FR"/>
        </w:rPr>
        <w:t>24)</w:t>
      </w:r>
    </w:p>
    <w:p w14:paraId="0C69EC85" w14:textId="2DDF2E53" w:rsidR="00BB6AD2" w:rsidRPr="00407492" w:rsidRDefault="00BB6AD2" w:rsidP="00BB6AD2">
      <w:pPr>
        <w:pStyle w:val="H23G"/>
        <w:rPr>
          <w:lang w:val="fr-FR"/>
        </w:rPr>
      </w:pPr>
      <w:r>
        <w:rPr>
          <w:lang w:val="fr-FR"/>
        </w:rPr>
        <w:tab/>
      </w:r>
      <w:r>
        <w:rPr>
          <w:lang w:val="fr-FR"/>
        </w:rPr>
        <w:tab/>
      </w:r>
      <w:r w:rsidRPr="00407492">
        <w:rPr>
          <w:lang w:val="fr-FR"/>
        </w:rPr>
        <w:t>Droit d</w:t>
      </w:r>
      <w:r w:rsidR="00E81836">
        <w:rPr>
          <w:lang w:val="fr-FR"/>
        </w:rPr>
        <w:t>’</w:t>
      </w:r>
      <w:r w:rsidRPr="00407492">
        <w:rPr>
          <w:lang w:val="fr-FR"/>
        </w:rPr>
        <w:t>obtenir réparation</w:t>
      </w:r>
    </w:p>
    <w:p w14:paraId="56A355C6" w14:textId="3572B51C" w:rsidR="00BB6AD2" w:rsidRPr="00407492" w:rsidRDefault="00BB6AD2" w:rsidP="00BB6AD2">
      <w:pPr>
        <w:pStyle w:val="SingleTxtG"/>
        <w:rPr>
          <w:lang w:val="fr-FR"/>
        </w:rPr>
      </w:pPr>
      <w:r>
        <w:rPr>
          <w:lang w:val="fr-FR"/>
        </w:rPr>
        <w:t>31.</w:t>
      </w:r>
      <w:r>
        <w:rPr>
          <w:lang w:val="fr-FR"/>
        </w:rPr>
        <w:tab/>
      </w:r>
      <w:r w:rsidRPr="00407492">
        <w:rPr>
          <w:lang w:val="fr-FR"/>
        </w:rPr>
        <w:t xml:space="preserve">Le Comité constate avec inquiétude que le droit interne ne prévoit pas de système de réparation intégrale qui soit pleinement conforme </w:t>
      </w:r>
      <w:r w:rsidRPr="00407492">
        <w:rPr>
          <w:bCs/>
          <w:lang w:val="fr-FR"/>
        </w:rPr>
        <w:t>à l</w:t>
      </w:r>
      <w:r w:rsidR="00E81836">
        <w:rPr>
          <w:bCs/>
          <w:lang w:val="fr-FR"/>
        </w:rPr>
        <w:t>’</w:t>
      </w:r>
      <w:r w:rsidRPr="00407492">
        <w:rPr>
          <w:bCs/>
          <w:lang w:val="fr-FR"/>
        </w:rPr>
        <w:t>article</w:t>
      </w:r>
      <w:r w:rsidR="00166101">
        <w:rPr>
          <w:bCs/>
          <w:lang w:val="fr-FR"/>
        </w:rPr>
        <w:t> </w:t>
      </w:r>
      <w:r w:rsidRPr="00407492">
        <w:rPr>
          <w:bCs/>
          <w:lang w:val="fr-FR"/>
        </w:rPr>
        <w:t>24 (par.</w:t>
      </w:r>
      <w:r w:rsidR="00166101">
        <w:rPr>
          <w:bCs/>
          <w:lang w:val="fr-FR"/>
        </w:rPr>
        <w:t> </w:t>
      </w:r>
      <w:r w:rsidRPr="00407492">
        <w:rPr>
          <w:bCs/>
          <w:lang w:val="fr-FR"/>
        </w:rPr>
        <w:t xml:space="preserve">4 et 5) </w:t>
      </w:r>
      <w:r w:rsidRPr="00407492">
        <w:rPr>
          <w:lang w:val="fr-FR"/>
        </w:rPr>
        <w:t>de la Convention. Il s</w:t>
      </w:r>
      <w:r w:rsidR="00E81836">
        <w:rPr>
          <w:lang w:val="fr-FR"/>
        </w:rPr>
        <w:t>’</w:t>
      </w:r>
      <w:r w:rsidRPr="00407492">
        <w:rPr>
          <w:lang w:val="fr-FR"/>
        </w:rPr>
        <w:t>inquiète également de ce que les « fonds spéciaux » pour les victimes de terrorisme et de la traite d</w:t>
      </w:r>
      <w:r w:rsidR="00E81836">
        <w:rPr>
          <w:lang w:val="fr-FR"/>
        </w:rPr>
        <w:t>’</w:t>
      </w:r>
      <w:r w:rsidRPr="00407492">
        <w:rPr>
          <w:lang w:val="fr-FR"/>
        </w:rPr>
        <w:t xml:space="preserve">êtres humains </w:t>
      </w:r>
      <w:r>
        <w:rPr>
          <w:lang w:val="fr-FR"/>
        </w:rPr>
        <w:t>ont</w:t>
      </w:r>
      <w:r w:rsidRPr="00407492">
        <w:rPr>
          <w:lang w:val="fr-FR"/>
        </w:rPr>
        <w:t xml:space="preserve"> été créés mais n</w:t>
      </w:r>
      <w:r w:rsidR="00E81836">
        <w:rPr>
          <w:lang w:val="fr-FR"/>
        </w:rPr>
        <w:t>’</w:t>
      </w:r>
      <w:r>
        <w:rPr>
          <w:lang w:val="fr-FR"/>
        </w:rPr>
        <w:t>ont</w:t>
      </w:r>
      <w:r w:rsidRPr="00407492">
        <w:rPr>
          <w:lang w:val="fr-FR"/>
        </w:rPr>
        <w:t xml:space="preserve"> pas été rendus opérationnels. Le Comité est également préoccupé de ce que l</w:t>
      </w:r>
      <w:r w:rsidR="00E81836">
        <w:rPr>
          <w:lang w:val="fr-FR"/>
        </w:rPr>
        <w:t>’</w:t>
      </w:r>
      <w:r w:rsidRPr="00407492">
        <w:rPr>
          <w:lang w:val="fr-FR"/>
        </w:rPr>
        <w:t xml:space="preserve">État partie ne semble pas avoir pris en considération </w:t>
      </w:r>
      <w:r>
        <w:rPr>
          <w:lang w:val="fr-FR"/>
        </w:rPr>
        <w:t>les</w:t>
      </w:r>
      <w:r w:rsidRPr="00407492">
        <w:rPr>
          <w:lang w:val="fr-FR"/>
        </w:rPr>
        <w:t xml:space="preserve"> recommandations de la Commission nationale des droits humains </w:t>
      </w:r>
      <w:r>
        <w:rPr>
          <w:lang w:val="fr-FR"/>
        </w:rPr>
        <w:t xml:space="preserve">et y avoir répondu, </w:t>
      </w:r>
      <w:r w:rsidRPr="00407492">
        <w:rPr>
          <w:lang w:val="fr-FR"/>
        </w:rPr>
        <w:t>relativement à la réparation à accorder aux victimes des</w:t>
      </w:r>
      <w:r w:rsidRPr="00407492">
        <w:rPr>
          <w:bCs/>
          <w:lang w:val="fr-FR"/>
        </w:rPr>
        <w:t xml:space="preserve"> disparitions forcées intervenues entre le 27</w:t>
      </w:r>
      <w:r w:rsidR="00166101">
        <w:rPr>
          <w:bCs/>
          <w:lang w:val="fr-FR"/>
        </w:rPr>
        <w:t> </w:t>
      </w:r>
      <w:r w:rsidRPr="00407492">
        <w:rPr>
          <w:bCs/>
          <w:lang w:val="fr-FR"/>
        </w:rPr>
        <w:t>mars et le 2</w:t>
      </w:r>
      <w:r w:rsidR="00166101">
        <w:rPr>
          <w:bCs/>
          <w:lang w:val="fr-FR"/>
        </w:rPr>
        <w:t> </w:t>
      </w:r>
      <w:r w:rsidRPr="00407492">
        <w:rPr>
          <w:bCs/>
          <w:lang w:val="fr-FR"/>
        </w:rPr>
        <w:t>avril 2020 dans le département d</w:t>
      </w:r>
      <w:r w:rsidR="00E81836">
        <w:rPr>
          <w:bCs/>
          <w:lang w:val="fr-FR"/>
        </w:rPr>
        <w:t>’</w:t>
      </w:r>
      <w:r w:rsidRPr="00407492">
        <w:rPr>
          <w:bCs/>
          <w:lang w:val="fr-FR"/>
        </w:rPr>
        <w:t xml:space="preserve">Ayorou, région de </w:t>
      </w:r>
      <w:proofErr w:type="spellStart"/>
      <w:r w:rsidRPr="00407492">
        <w:rPr>
          <w:bCs/>
          <w:lang w:val="fr-FR"/>
        </w:rPr>
        <w:t>Tillabéri</w:t>
      </w:r>
      <w:proofErr w:type="spellEnd"/>
      <w:r w:rsidRPr="00407492">
        <w:rPr>
          <w:bCs/>
          <w:lang w:val="fr-FR"/>
        </w:rPr>
        <w:t xml:space="preserve"> (art.</w:t>
      </w:r>
      <w:r w:rsidR="00166101">
        <w:rPr>
          <w:bCs/>
          <w:lang w:val="fr-FR"/>
        </w:rPr>
        <w:t> </w:t>
      </w:r>
      <w:r w:rsidRPr="00407492">
        <w:rPr>
          <w:bCs/>
          <w:lang w:val="fr-FR"/>
        </w:rPr>
        <w:t>24).</w:t>
      </w:r>
    </w:p>
    <w:p w14:paraId="531E7441" w14:textId="1AB405C3" w:rsidR="00BB6AD2" w:rsidRPr="00407492" w:rsidRDefault="00BB6AD2" w:rsidP="00BB6AD2">
      <w:pPr>
        <w:pStyle w:val="SingleTxtG"/>
        <w:rPr>
          <w:lang w:val="fr-FR"/>
        </w:rPr>
      </w:pPr>
      <w:r>
        <w:rPr>
          <w:lang w:val="fr-FR"/>
        </w:rPr>
        <w:t>32.</w:t>
      </w:r>
      <w:r>
        <w:rPr>
          <w:lang w:val="fr-FR"/>
        </w:rPr>
        <w:tab/>
      </w:r>
      <w:r w:rsidRPr="00D6774C">
        <w:rPr>
          <w:b/>
          <w:bCs/>
          <w:lang w:val="fr-FR"/>
        </w:rPr>
        <w:t>Le Comit</w:t>
      </w:r>
      <w:r>
        <w:rPr>
          <w:b/>
          <w:bCs/>
          <w:lang w:val="fr-FR"/>
        </w:rPr>
        <w:t>é</w:t>
      </w:r>
      <w:r w:rsidRPr="00D6774C">
        <w:rPr>
          <w:b/>
          <w:bCs/>
          <w:lang w:val="fr-FR"/>
        </w:rPr>
        <w:t xml:space="preserve"> recommande à l</w:t>
      </w:r>
      <w:r w:rsidR="00E81836">
        <w:rPr>
          <w:b/>
          <w:bCs/>
          <w:lang w:val="fr-FR"/>
        </w:rPr>
        <w:t>’</w:t>
      </w:r>
      <w:r w:rsidRPr="00D6774C">
        <w:rPr>
          <w:b/>
          <w:bCs/>
          <w:lang w:val="fr-FR"/>
        </w:rPr>
        <w:t xml:space="preserve">État partie </w:t>
      </w:r>
      <w:r>
        <w:rPr>
          <w:b/>
          <w:bCs/>
          <w:lang w:val="fr-FR"/>
        </w:rPr>
        <w:t>d</w:t>
      </w:r>
      <w:r w:rsidR="00E81836">
        <w:rPr>
          <w:b/>
          <w:bCs/>
          <w:lang w:val="fr-FR"/>
        </w:rPr>
        <w:t>’</w:t>
      </w:r>
      <w:r>
        <w:rPr>
          <w:b/>
          <w:bCs/>
          <w:lang w:val="fr-FR"/>
        </w:rPr>
        <w:t>inclure dans</w:t>
      </w:r>
      <w:r w:rsidRPr="00D6774C">
        <w:rPr>
          <w:b/>
          <w:bCs/>
          <w:lang w:val="fr-FR"/>
        </w:rPr>
        <w:t xml:space="preserve"> la législation nationale un système de réparation complet qui</w:t>
      </w:r>
      <w:r>
        <w:rPr>
          <w:b/>
          <w:bCs/>
          <w:lang w:val="fr-FR"/>
        </w:rPr>
        <w:t> : a)</w:t>
      </w:r>
      <w:r w:rsidR="00166101">
        <w:rPr>
          <w:b/>
          <w:bCs/>
          <w:lang w:val="fr-FR"/>
        </w:rPr>
        <w:t> </w:t>
      </w:r>
      <w:r w:rsidRPr="00D6774C">
        <w:rPr>
          <w:b/>
          <w:bCs/>
          <w:lang w:val="fr-FR"/>
        </w:rPr>
        <w:t>soit pleinement conforme aux dispositions de l</w:t>
      </w:r>
      <w:r w:rsidR="00E81836">
        <w:rPr>
          <w:b/>
          <w:bCs/>
          <w:lang w:val="fr-FR"/>
        </w:rPr>
        <w:t>’</w:t>
      </w:r>
      <w:r w:rsidRPr="00D6774C">
        <w:rPr>
          <w:b/>
          <w:bCs/>
          <w:lang w:val="fr-FR"/>
        </w:rPr>
        <w:t>article</w:t>
      </w:r>
      <w:r w:rsidR="00166101">
        <w:rPr>
          <w:b/>
          <w:bCs/>
          <w:lang w:val="fr-FR"/>
        </w:rPr>
        <w:t> </w:t>
      </w:r>
      <w:r w:rsidRPr="00D6774C">
        <w:rPr>
          <w:b/>
          <w:bCs/>
          <w:lang w:val="fr-FR"/>
        </w:rPr>
        <w:t xml:space="preserve">24 </w:t>
      </w:r>
      <w:r>
        <w:rPr>
          <w:b/>
          <w:bCs/>
          <w:lang w:val="fr-FR"/>
        </w:rPr>
        <w:t xml:space="preserve">(par 4 et 5) </w:t>
      </w:r>
      <w:r w:rsidRPr="00D6774C">
        <w:rPr>
          <w:b/>
          <w:bCs/>
          <w:lang w:val="fr-FR"/>
        </w:rPr>
        <w:t xml:space="preserve">de la Convention et </w:t>
      </w:r>
      <w:r>
        <w:rPr>
          <w:b/>
          <w:bCs/>
          <w:lang w:val="fr-FR"/>
        </w:rPr>
        <w:t xml:space="preserve">des </w:t>
      </w:r>
      <w:r w:rsidRPr="00D6774C">
        <w:rPr>
          <w:b/>
          <w:bCs/>
          <w:lang w:val="fr-FR"/>
        </w:rPr>
        <w:t xml:space="preserve">autres normes internationales en la matière et assurant ainsi des garanties de </w:t>
      </w:r>
      <w:proofErr w:type="spellStart"/>
      <w:r w:rsidRPr="00D6774C">
        <w:rPr>
          <w:b/>
          <w:bCs/>
          <w:lang w:val="fr-FR"/>
        </w:rPr>
        <w:t>non-répétition</w:t>
      </w:r>
      <w:proofErr w:type="spellEnd"/>
      <w:r>
        <w:rPr>
          <w:b/>
          <w:bCs/>
          <w:lang w:val="fr-FR"/>
        </w:rPr>
        <w:t> ; b)</w:t>
      </w:r>
      <w:r w:rsidR="00166101">
        <w:rPr>
          <w:b/>
          <w:bCs/>
          <w:lang w:val="fr-FR"/>
        </w:rPr>
        <w:t> </w:t>
      </w:r>
      <w:r>
        <w:rPr>
          <w:b/>
          <w:bCs/>
          <w:lang w:val="fr-FR"/>
        </w:rPr>
        <w:t>soit applicable même lorsqu</w:t>
      </w:r>
      <w:r w:rsidR="00E81836">
        <w:rPr>
          <w:b/>
          <w:bCs/>
          <w:lang w:val="fr-FR"/>
        </w:rPr>
        <w:t>’</w:t>
      </w:r>
      <w:r>
        <w:rPr>
          <w:b/>
          <w:bCs/>
          <w:lang w:val="fr-FR"/>
        </w:rPr>
        <w:t>aucune procédure judiciaire n</w:t>
      </w:r>
      <w:r w:rsidR="00E81836">
        <w:rPr>
          <w:b/>
          <w:bCs/>
          <w:lang w:val="fr-FR"/>
        </w:rPr>
        <w:t>’</w:t>
      </w:r>
      <w:r>
        <w:rPr>
          <w:b/>
          <w:bCs/>
          <w:lang w:val="fr-FR"/>
        </w:rPr>
        <w:t>a été engagée ; et c)</w:t>
      </w:r>
      <w:r w:rsidR="00166101">
        <w:rPr>
          <w:b/>
          <w:bCs/>
          <w:lang w:val="fr-FR"/>
        </w:rPr>
        <w:t> </w:t>
      </w:r>
      <w:r>
        <w:rPr>
          <w:b/>
          <w:bCs/>
          <w:lang w:val="fr-FR"/>
        </w:rPr>
        <w:t xml:space="preserve">se fonde sur une approche différenciée tenant compte de la situation particulière de chaque victime, notamment le </w:t>
      </w:r>
      <w:r>
        <w:rPr>
          <w:b/>
          <w:bCs/>
          <w:lang w:val="fr-FR"/>
        </w:rPr>
        <w:lastRenderedPageBreak/>
        <w:t>sexe, l</w:t>
      </w:r>
      <w:r w:rsidR="00E81836">
        <w:rPr>
          <w:b/>
          <w:bCs/>
          <w:lang w:val="fr-FR"/>
        </w:rPr>
        <w:t>’</w:t>
      </w:r>
      <w:r>
        <w:rPr>
          <w:b/>
          <w:bCs/>
          <w:lang w:val="fr-FR"/>
        </w:rPr>
        <w:t>orientation sexuelle, l</w:t>
      </w:r>
      <w:r w:rsidR="00E81836">
        <w:rPr>
          <w:b/>
          <w:bCs/>
          <w:lang w:val="fr-FR"/>
        </w:rPr>
        <w:t>’</w:t>
      </w:r>
      <w:r>
        <w:rPr>
          <w:b/>
          <w:bCs/>
          <w:lang w:val="fr-FR"/>
        </w:rPr>
        <w:t>identité de genre, l</w:t>
      </w:r>
      <w:r w:rsidR="00E81836">
        <w:rPr>
          <w:b/>
          <w:bCs/>
          <w:lang w:val="fr-FR"/>
        </w:rPr>
        <w:t>’</w:t>
      </w:r>
      <w:r>
        <w:rPr>
          <w:b/>
          <w:bCs/>
          <w:lang w:val="fr-FR"/>
        </w:rPr>
        <w:t>âge, l</w:t>
      </w:r>
      <w:r w:rsidR="00E81836">
        <w:rPr>
          <w:b/>
          <w:bCs/>
          <w:lang w:val="fr-FR"/>
        </w:rPr>
        <w:t>’</w:t>
      </w:r>
      <w:r>
        <w:rPr>
          <w:b/>
          <w:bCs/>
          <w:lang w:val="fr-FR"/>
        </w:rPr>
        <w:t>appartenance ethnique, la condition sociale et le handicap</w:t>
      </w:r>
      <w:r w:rsidRPr="00D6774C">
        <w:rPr>
          <w:b/>
          <w:bCs/>
          <w:lang w:val="fr-FR"/>
        </w:rPr>
        <w:t>. Il recommande également à l</w:t>
      </w:r>
      <w:r w:rsidR="00E81836">
        <w:rPr>
          <w:b/>
          <w:bCs/>
          <w:lang w:val="fr-FR"/>
        </w:rPr>
        <w:t>’</w:t>
      </w:r>
      <w:r>
        <w:rPr>
          <w:b/>
          <w:bCs/>
          <w:lang w:val="fr-FR"/>
        </w:rPr>
        <w:t>É</w:t>
      </w:r>
      <w:r w:rsidRPr="00D6774C">
        <w:rPr>
          <w:b/>
          <w:bCs/>
          <w:lang w:val="fr-FR"/>
        </w:rPr>
        <w:t>tat partie de rendre opérationnels les fonds spéciaux créés en faveur des victimes du terrorisme et de la traite des êtres humains. L</w:t>
      </w:r>
      <w:r w:rsidR="00E81836">
        <w:rPr>
          <w:b/>
          <w:bCs/>
          <w:lang w:val="fr-FR"/>
        </w:rPr>
        <w:t>’</w:t>
      </w:r>
      <w:r w:rsidRPr="00D6774C">
        <w:rPr>
          <w:b/>
          <w:bCs/>
          <w:lang w:val="fr-FR"/>
        </w:rPr>
        <w:t xml:space="preserve">État partie devrait </w:t>
      </w:r>
      <w:r>
        <w:rPr>
          <w:b/>
          <w:bCs/>
          <w:lang w:val="fr-FR"/>
        </w:rPr>
        <w:t>en outre</w:t>
      </w:r>
      <w:r w:rsidRPr="00D6774C">
        <w:rPr>
          <w:b/>
          <w:bCs/>
          <w:lang w:val="fr-FR"/>
        </w:rPr>
        <w:t xml:space="preserve"> examiner soigneusement les recommandations sur la réparation faite par la Commission nationale des droits humains dans son rapport d</w:t>
      </w:r>
      <w:r w:rsidR="00E81836">
        <w:rPr>
          <w:b/>
          <w:bCs/>
          <w:lang w:val="fr-FR"/>
        </w:rPr>
        <w:t>’</w:t>
      </w:r>
      <w:r w:rsidRPr="00D6774C">
        <w:rPr>
          <w:b/>
          <w:bCs/>
          <w:lang w:val="fr-FR"/>
        </w:rPr>
        <w:t xml:space="preserve">enquête sur les disparitions forcées à </w:t>
      </w:r>
      <w:proofErr w:type="spellStart"/>
      <w:r w:rsidRPr="00D6774C">
        <w:rPr>
          <w:b/>
          <w:bCs/>
          <w:lang w:val="fr-FR"/>
        </w:rPr>
        <w:t>Tillabéri</w:t>
      </w:r>
      <w:proofErr w:type="spellEnd"/>
      <w:r>
        <w:rPr>
          <w:b/>
          <w:bCs/>
          <w:lang w:val="fr-FR"/>
        </w:rPr>
        <w:t>,</w:t>
      </w:r>
      <w:r w:rsidRPr="00D6774C">
        <w:rPr>
          <w:b/>
          <w:bCs/>
          <w:lang w:val="fr-FR"/>
        </w:rPr>
        <w:t xml:space="preserve"> et y</w:t>
      </w:r>
      <w:r w:rsidR="00166101">
        <w:rPr>
          <w:b/>
          <w:bCs/>
          <w:lang w:val="fr-FR"/>
        </w:rPr>
        <w:t> </w:t>
      </w:r>
      <w:r w:rsidRPr="00D6774C">
        <w:rPr>
          <w:b/>
          <w:bCs/>
          <w:lang w:val="fr-FR"/>
        </w:rPr>
        <w:t>apporter une réponse circonstanciée dans les meilleurs délais.</w:t>
      </w:r>
    </w:p>
    <w:p w14:paraId="525ECDF5" w14:textId="4F66FB70" w:rsidR="00BB6AD2" w:rsidRPr="00407492" w:rsidRDefault="00BB6AD2" w:rsidP="00BB6AD2">
      <w:pPr>
        <w:pStyle w:val="H23G"/>
        <w:rPr>
          <w:lang w:val="fr-FR"/>
        </w:rPr>
      </w:pPr>
      <w:r>
        <w:rPr>
          <w:lang w:val="fr-FR"/>
        </w:rPr>
        <w:tab/>
      </w:r>
      <w:r>
        <w:rPr>
          <w:lang w:val="fr-FR"/>
        </w:rPr>
        <w:tab/>
      </w:r>
      <w:r w:rsidRPr="00407492">
        <w:rPr>
          <w:lang w:val="fr-FR"/>
        </w:rPr>
        <w:t>Situation des femmes membres de la famille d</w:t>
      </w:r>
      <w:r w:rsidR="00E81836">
        <w:rPr>
          <w:lang w:val="fr-FR"/>
        </w:rPr>
        <w:t>’</w:t>
      </w:r>
      <w:r w:rsidRPr="00407492">
        <w:rPr>
          <w:lang w:val="fr-FR"/>
        </w:rPr>
        <w:t>un disparu</w:t>
      </w:r>
    </w:p>
    <w:p w14:paraId="1A1022DF" w14:textId="6F7BA89B" w:rsidR="00BB6AD2" w:rsidRPr="00407492" w:rsidRDefault="00BB6AD2" w:rsidP="00BB6AD2">
      <w:pPr>
        <w:pStyle w:val="SingleTxtG"/>
        <w:rPr>
          <w:lang w:val="fr-FR"/>
        </w:rPr>
      </w:pPr>
      <w:r>
        <w:rPr>
          <w:lang w:val="fr-FR"/>
        </w:rPr>
        <w:t>33.</w:t>
      </w:r>
      <w:r>
        <w:rPr>
          <w:lang w:val="fr-FR"/>
        </w:rPr>
        <w:tab/>
      </w:r>
      <w:r w:rsidRPr="00407492">
        <w:rPr>
          <w:lang w:val="fr-FR"/>
        </w:rPr>
        <w:t xml:space="preserve">Le Comité rappelle les limitations </w:t>
      </w:r>
      <w:r>
        <w:rPr>
          <w:lang w:val="fr-FR"/>
        </w:rPr>
        <w:t>subies par</w:t>
      </w:r>
      <w:r w:rsidRPr="00407492">
        <w:rPr>
          <w:lang w:val="fr-FR"/>
        </w:rPr>
        <w:t xml:space="preserve"> les femmes nigériennes en matière d</w:t>
      </w:r>
      <w:r w:rsidR="00E81836">
        <w:rPr>
          <w:lang w:val="fr-FR"/>
        </w:rPr>
        <w:t>’</w:t>
      </w:r>
      <w:r w:rsidRPr="00407492">
        <w:rPr>
          <w:lang w:val="fr-FR"/>
        </w:rPr>
        <w:t>héritage et d</w:t>
      </w:r>
      <w:r w:rsidR="00E81836">
        <w:rPr>
          <w:lang w:val="fr-FR"/>
        </w:rPr>
        <w:t>’</w:t>
      </w:r>
      <w:r w:rsidRPr="00407492">
        <w:rPr>
          <w:lang w:val="fr-FR"/>
        </w:rPr>
        <w:t>accès aux prestations sociales</w:t>
      </w:r>
      <w:r>
        <w:rPr>
          <w:lang w:val="fr-FR"/>
        </w:rPr>
        <w:t>,</w:t>
      </w:r>
      <w:r w:rsidRPr="00407492">
        <w:rPr>
          <w:lang w:val="fr-FR"/>
        </w:rPr>
        <w:t xml:space="preserve"> qui ont été signalées par le Comité </w:t>
      </w:r>
      <w:r>
        <w:rPr>
          <w:lang w:val="fr-FR"/>
        </w:rPr>
        <w:t>pour</w:t>
      </w:r>
      <w:r w:rsidRPr="00407492">
        <w:rPr>
          <w:lang w:val="fr-FR"/>
        </w:rPr>
        <w:t xml:space="preserve"> l</w:t>
      </w:r>
      <w:r w:rsidR="00E81836">
        <w:rPr>
          <w:lang w:val="fr-FR"/>
        </w:rPr>
        <w:t>’</w:t>
      </w:r>
      <w:r w:rsidRPr="00407492">
        <w:rPr>
          <w:lang w:val="fr-FR"/>
        </w:rPr>
        <w:t>élimination de la discrimination à l</w:t>
      </w:r>
      <w:r w:rsidR="00E81836">
        <w:rPr>
          <w:lang w:val="fr-FR"/>
        </w:rPr>
        <w:t>’</w:t>
      </w:r>
      <w:r w:rsidRPr="00407492">
        <w:rPr>
          <w:lang w:val="fr-FR"/>
        </w:rPr>
        <w:t>égard des femmes</w:t>
      </w:r>
      <w:r w:rsidRPr="00407492">
        <w:rPr>
          <w:rStyle w:val="Appelnotedebasdep"/>
          <w:bCs/>
          <w:lang w:val="fr-FR"/>
        </w:rPr>
        <w:footnoteReference w:id="16"/>
      </w:r>
      <w:r w:rsidRPr="00407492">
        <w:rPr>
          <w:lang w:val="fr-FR"/>
        </w:rPr>
        <w:t>, et s</w:t>
      </w:r>
      <w:r w:rsidR="00E81836">
        <w:rPr>
          <w:lang w:val="fr-FR"/>
        </w:rPr>
        <w:t>’</w:t>
      </w:r>
      <w:r w:rsidRPr="00407492">
        <w:rPr>
          <w:lang w:val="fr-FR"/>
        </w:rPr>
        <w:t>inquiète du potentiel impact négatif de ces limitations sur la pleine jouissance par les femmes des droits consacrés à l</w:t>
      </w:r>
      <w:r w:rsidR="00E81836">
        <w:rPr>
          <w:lang w:val="fr-FR"/>
        </w:rPr>
        <w:t>’</w:t>
      </w:r>
      <w:r w:rsidRPr="00407492">
        <w:rPr>
          <w:lang w:val="fr-FR"/>
        </w:rPr>
        <w:t>article</w:t>
      </w:r>
      <w:r w:rsidR="00166101">
        <w:rPr>
          <w:lang w:val="fr-FR"/>
        </w:rPr>
        <w:t> </w:t>
      </w:r>
      <w:r w:rsidRPr="00407492">
        <w:rPr>
          <w:lang w:val="fr-FR"/>
        </w:rPr>
        <w:t>24 de la Convention (art.</w:t>
      </w:r>
      <w:r w:rsidR="00166101">
        <w:rPr>
          <w:lang w:val="fr-FR"/>
        </w:rPr>
        <w:t> </w:t>
      </w:r>
      <w:r w:rsidRPr="00407492">
        <w:rPr>
          <w:lang w:val="fr-FR"/>
        </w:rPr>
        <w:t>24).</w:t>
      </w:r>
    </w:p>
    <w:p w14:paraId="781689F1" w14:textId="55B0831C" w:rsidR="00BB6AD2" w:rsidRPr="00407492" w:rsidRDefault="00BB6AD2" w:rsidP="00BB6AD2">
      <w:pPr>
        <w:pStyle w:val="SingleTxtG"/>
        <w:rPr>
          <w:lang w:val="fr-FR"/>
        </w:rPr>
      </w:pPr>
      <w:r>
        <w:rPr>
          <w:lang w:val="fr-FR"/>
        </w:rPr>
        <w:t>34.</w:t>
      </w:r>
      <w:r>
        <w:rPr>
          <w:lang w:val="fr-FR"/>
        </w:rPr>
        <w:tab/>
      </w:r>
      <w:r w:rsidRPr="00D6774C">
        <w:rPr>
          <w:b/>
          <w:bCs/>
          <w:lang w:val="fr-FR"/>
        </w:rPr>
        <w:t>Le Comité recommande</w:t>
      </w:r>
      <w:r>
        <w:rPr>
          <w:b/>
          <w:bCs/>
          <w:lang w:val="fr-FR"/>
        </w:rPr>
        <w:t xml:space="preserve"> à</w:t>
      </w:r>
      <w:r w:rsidRPr="00D6774C">
        <w:rPr>
          <w:b/>
          <w:bCs/>
          <w:lang w:val="fr-FR"/>
        </w:rPr>
        <w:t xml:space="preserve"> l</w:t>
      </w:r>
      <w:r w:rsidR="00E81836">
        <w:rPr>
          <w:b/>
          <w:bCs/>
          <w:lang w:val="fr-FR"/>
        </w:rPr>
        <w:t>’</w:t>
      </w:r>
      <w:r w:rsidRPr="00D6774C">
        <w:rPr>
          <w:b/>
          <w:bCs/>
          <w:lang w:val="fr-FR"/>
        </w:rPr>
        <w:t>État partie d</w:t>
      </w:r>
      <w:r w:rsidR="00E81836">
        <w:rPr>
          <w:b/>
          <w:bCs/>
          <w:lang w:val="fr-FR"/>
        </w:rPr>
        <w:t>’</w:t>
      </w:r>
      <w:r w:rsidRPr="00D6774C">
        <w:rPr>
          <w:b/>
          <w:bCs/>
          <w:lang w:val="fr-FR"/>
        </w:rPr>
        <w:t>assurer que toutes les femmes et filles membres des familles des personnes disparues puissent exercer sans restrictions tous les droits consacrés par la Convention, y</w:t>
      </w:r>
      <w:r w:rsidR="00166101">
        <w:rPr>
          <w:b/>
          <w:bCs/>
          <w:lang w:val="fr-FR"/>
        </w:rPr>
        <w:t> </w:t>
      </w:r>
      <w:r w:rsidRPr="00D6774C">
        <w:rPr>
          <w:b/>
          <w:bCs/>
          <w:lang w:val="fr-FR"/>
        </w:rPr>
        <w:t xml:space="preserve">compris ceux </w:t>
      </w:r>
      <w:r>
        <w:rPr>
          <w:b/>
          <w:bCs/>
          <w:lang w:val="fr-FR"/>
        </w:rPr>
        <w:t>qui figurent</w:t>
      </w:r>
      <w:r w:rsidRPr="00D6774C">
        <w:rPr>
          <w:b/>
          <w:bCs/>
          <w:lang w:val="fr-FR"/>
        </w:rPr>
        <w:t xml:space="preserve"> à l</w:t>
      </w:r>
      <w:r w:rsidR="00E81836">
        <w:rPr>
          <w:b/>
          <w:bCs/>
          <w:lang w:val="fr-FR"/>
        </w:rPr>
        <w:t>’</w:t>
      </w:r>
      <w:r w:rsidRPr="00D6774C">
        <w:rPr>
          <w:b/>
          <w:bCs/>
          <w:lang w:val="fr-FR"/>
        </w:rPr>
        <w:t>article</w:t>
      </w:r>
      <w:r>
        <w:rPr>
          <w:b/>
          <w:bCs/>
          <w:lang w:val="fr-FR"/>
        </w:rPr>
        <w:t> </w:t>
      </w:r>
      <w:r w:rsidRPr="00D6774C">
        <w:rPr>
          <w:b/>
          <w:bCs/>
          <w:lang w:val="fr-FR"/>
        </w:rPr>
        <w:t>24.</w:t>
      </w:r>
    </w:p>
    <w:p w14:paraId="13B6E6F4" w14:textId="77777777" w:rsidR="00BB6AD2" w:rsidRPr="00407492" w:rsidRDefault="00BB6AD2" w:rsidP="00BB6AD2">
      <w:pPr>
        <w:pStyle w:val="H23G"/>
        <w:rPr>
          <w:lang w:val="fr-FR"/>
        </w:rPr>
      </w:pPr>
      <w:r>
        <w:rPr>
          <w:lang w:val="fr-FR"/>
        </w:rPr>
        <w:tab/>
      </w:r>
      <w:r>
        <w:rPr>
          <w:lang w:val="fr-FR"/>
        </w:rPr>
        <w:tab/>
      </w:r>
      <w:r w:rsidRPr="00407492">
        <w:rPr>
          <w:lang w:val="fr-FR"/>
        </w:rPr>
        <w:t>Droit de former des organisations et des associations</w:t>
      </w:r>
    </w:p>
    <w:p w14:paraId="6AC6D09E" w14:textId="11482D29" w:rsidR="00BB6AD2" w:rsidRPr="00407492" w:rsidRDefault="00BB6AD2" w:rsidP="00BB6AD2">
      <w:pPr>
        <w:pStyle w:val="SingleTxtG"/>
        <w:rPr>
          <w:lang w:val="fr-FR"/>
        </w:rPr>
      </w:pPr>
      <w:r>
        <w:rPr>
          <w:lang w:val="fr-FR"/>
        </w:rPr>
        <w:t>35.</w:t>
      </w:r>
      <w:r>
        <w:rPr>
          <w:lang w:val="fr-FR"/>
        </w:rPr>
        <w:tab/>
      </w:r>
      <w:r w:rsidRPr="00407492">
        <w:rPr>
          <w:lang w:val="fr-FR"/>
        </w:rPr>
        <w:t>Le Comité est préoccupé par l</w:t>
      </w:r>
      <w:r w:rsidR="00E81836">
        <w:rPr>
          <w:lang w:val="fr-FR"/>
        </w:rPr>
        <w:t>’</w:t>
      </w:r>
      <w:r w:rsidRPr="00407492">
        <w:rPr>
          <w:lang w:val="fr-FR"/>
        </w:rPr>
        <w:t xml:space="preserve">information </w:t>
      </w:r>
      <w:r>
        <w:rPr>
          <w:lang w:val="fr-FR"/>
        </w:rPr>
        <w:t>fournie par</w:t>
      </w:r>
      <w:r w:rsidRPr="00407492">
        <w:rPr>
          <w:lang w:val="fr-FR"/>
        </w:rPr>
        <w:t xml:space="preserve"> l</w:t>
      </w:r>
      <w:r w:rsidR="00E81836">
        <w:rPr>
          <w:lang w:val="fr-FR"/>
        </w:rPr>
        <w:t>’</w:t>
      </w:r>
      <w:r w:rsidRPr="00407492">
        <w:rPr>
          <w:lang w:val="fr-FR"/>
        </w:rPr>
        <w:t>État partie selon laquelle il n</w:t>
      </w:r>
      <w:r w:rsidR="00E81836">
        <w:rPr>
          <w:lang w:val="fr-FR"/>
        </w:rPr>
        <w:t>’</w:t>
      </w:r>
      <w:r w:rsidRPr="00407492">
        <w:rPr>
          <w:lang w:val="fr-FR"/>
        </w:rPr>
        <w:t>existerait pas d</w:t>
      </w:r>
      <w:r w:rsidR="00E81836">
        <w:rPr>
          <w:lang w:val="fr-FR"/>
        </w:rPr>
        <w:t>’</w:t>
      </w:r>
      <w:r w:rsidRPr="00407492">
        <w:rPr>
          <w:lang w:val="fr-FR"/>
        </w:rPr>
        <w:t>associations de victimes de disparitions forcées dans le pays. Il note également avec inquiétude les préoccupations exprimées notamment par le Comité des droits de l</w:t>
      </w:r>
      <w:r w:rsidR="00E81836">
        <w:rPr>
          <w:lang w:val="fr-FR"/>
        </w:rPr>
        <w:t>’</w:t>
      </w:r>
      <w:r w:rsidRPr="00407492">
        <w:rPr>
          <w:lang w:val="fr-FR"/>
        </w:rPr>
        <w:t>homme</w:t>
      </w:r>
      <w:r w:rsidRPr="00407492">
        <w:rPr>
          <w:vertAlign w:val="superscript"/>
          <w:lang w:val="fr-FR"/>
        </w:rPr>
        <w:footnoteReference w:id="17"/>
      </w:r>
      <w:r w:rsidRPr="00407492">
        <w:rPr>
          <w:lang w:val="fr-FR"/>
        </w:rPr>
        <w:t xml:space="preserve"> et par la Haute</w:t>
      </w:r>
      <w:r>
        <w:rPr>
          <w:lang w:val="fr-FR"/>
        </w:rPr>
        <w:t>-</w:t>
      </w:r>
      <w:r w:rsidRPr="00407492">
        <w:rPr>
          <w:lang w:val="fr-FR"/>
        </w:rPr>
        <w:t xml:space="preserve">Commissaire </w:t>
      </w:r>
      <w:r>
        <w:rPr>
          <w:lang w:val="fr-FR"/>
        </w:rPr>
        <w:t>des Nations</w:t>
      </w:r>
      <w:r w:rsidR="00166101">
        <w:rPr>
          <w:lang w:val="fr-FR"/>
        </w:rPr>
        <w:t> </w:t>
      </w:r>
      <w:r>
        <w:rPr>
          <w:lang w:val="fr-FR"/>
        </w:rPr>
        <w:t xml:space="preserve">Unies </w:t>
      </w:r>
      <w:r w:rsidRPr="00407492">
        <w:rPr>
          <w:lang w:val="fr-FR"/>
        </w:rPr>
        <w:t>aux droits de l</w:t>
      </w:r>
      <w:r w:rsidR="00E81836">
        <w:rPr>
          <w:lang w:val="fr-FR"/>
        </w:rPr>
        <w:t>’</w:t>
      </w:r>
      <w:r>
        <w:rPr>
          <w:lang w:val="fr-FR"/>
        </w:rPr>
        <w:t>h</w:t>
      </w:r>
      <w:r w:rsidRPr="00407492">
        <w:rPr>
          <w:lang w:val="fr-FR"/>
        </w:rPr>
        <w:t>omme</w:t>
      </w:r>
      <w:r w:rsidRPr="00407492">
        <w:rPr>
          <w:vertAlign w:val="superscript"/>
          <w:lang w:val="fr-FR"/>
        </w:rPr>
        <w:footnoteReference w:id="18"/>
      </w:r>
      <w:r w:rsidRPr="00407492">
        <w:rPr>
          <w:lang w:val="fr-FR"/>
        </w:rPr>
        <w:t xml:space="preserve">, ainsi que par le Rapporteur spécial sur </w:t>
      </w:r>
      <w:r>
        <w:rPr>
          <w:lang w:val="fr-FR"/>
        </w:rPr>
        <w:t xml:space="preserve">les droits à </w:t>
      </w:r>
      <w:r w:rsidRPr="00407492">
        <w:rPr>
          <w:lang w:val="fr-FR"/>
        </w:rPr>
        <w:t xml:space="preserve">la liberté de réunion </w:t>
      </w:r>
      <w:r>
        <w:rPr>
          <w:lang w:val="fr-FR"/>
        </w:rPr>
        <w:t xml:space="preserve">pacifique </w:t>
      </w:r>
      <w:r w:rsidRPr="00407492">
        <w:rPr>
          <w:lang w:val="fr-FR"/>
        </w:rPr>
        <w:t xml:space="preserve">et </w:t>
      </w:r>
      <w:r>
        <w:rPr>
          <w:lang w:val="fr-FR"/>
        </w:rPr>
        <w:t xml:space="preserve">à </w:t>
      </w:r>
      <w:r w:rsidRPr="00407492">
        <w:rPr>
          <w:lang w:val="fr-FR"/>
        </w:rPr>
        <w:t>la liberté d</w:t>
      </w:r>
      <w:r w:rsidR="00E81836">
        <w:rPr>
          <w:lang w:val="fr-FR"/>
        </w:rPr>
        <w:t>’</w:t>
      </w:r>
      <w:r w:rsidRPr="00407492">
        <w:rPr>
          <w:lang w:val="fr-FR"/>
        </w:rPr>
        <w:t>association</w:t>
      </w:r>
      <w:r w:rsidRPr="00407492">
        <w:rPr>
          <w:vertAlign w:val="superscript"/>
          <w:lang w:val="fr-FR"/>
        </w:rPr>
        <w:footnoteReference w:id="19"/>
      </w:r>
      <w:r w:rsidRPr="00407492">
        <w:rPr>
          <w:lang w:val="fr-FR"/>
        </w:rPr>
        <w:t>, concernant les restrictions à la liberté d</w:t>
      </w:r>
      <w:r w:rsidR="00E81836">
        <w:rPr>
          <w:lang w:val="fr-FR"/>
        </w:rPr>
        <w:t>’</w:t>
      </w:r>
      <w:r w:rsidRPr="00407492">
        <w:rPr>
          <w:lang w:val="fr-FR"/>
        </w:rPr>
        <w:t>association</w:t>
      </w:r>
      <w:r>
        <w:rPr>
          <w:lang w:val="fr-FR"/>
        </w:rPr>
        <w:t xml:space="preserve"> qui sont en vigueur dans l</w:t>
      </w:r>
      <w:r w:rsidR="00E81836">
        <w:rPr>
          <w:lang w:val="fr-FR"/>
        </w:rPr>
        <w:t>’</w:t>
      </w:r>
      <w:r>
        <w:rPr>
          <w:lang w:val="fr-FR"/>
        </w:rPr>
        <w:t>État partie</w:t>
      </w:r>
      <w:r w:rsidRPr="00407492">
        <w:rPr>
          <w:lang w:val="fr-FR"/>
        </w:rPr>
        <w:t xml:space="preserve"> (art</w:t>
      </w:r>
      <w:r>
        <w:rPr>
          <w:lang w:val="fr-FR"/>
        </w:rPr>
        <w:t>.</w:t>
      </w:r>
      <w:r w:rsidR="00166101">
        <w:rPr>
          <w:lang w:val="fr-FR"/>
        </w:rPr>
        <w:t> </w:t>
      </w:r>
      <w:r w:rsidRPr="00407492">
        <w:rPr>
          <w:lang w:val="fr-FR"/>
        </w:rPr>
        <w:t>24)</w:t>
      </w:r>
      <w:r>
        <w:rPr>
          <w:lang w:val="fr-FR"/>
        </w:rPr>
        <w:t>.</w:t>
      </w:r>
    </w:p>
    <w:p w14:paraId="683E1D28" w14:textId="5A76FEE6" w:rsidR="00BB6AD2" w:rsidRPr="00407492" w:rsidRDefault="00BB6AD2" w:rsidP="00BB6AD2">
      <w:pPr>
        <w:pStyle w:val="SingleTxtG"/>
        <w:rPr>
          <w:lang w:val="fr-FR"/>
        </w:rPr>
      </w:pPr>
      <w:r>
        <w:rPr>
          <w:lang w:val="fr-FR"/>
        </w:rPr>
        <w:t>36.</w:t>
      </w:r>
      <w:r>
        <w:rPr>
          <w:lang w:val="fr-FR"/>
        </w:rPr>
        <w:tab/>
      </w:r>
      <w:r w:rsidRPr="00D6774C">
        <w:rPr>
          <w:b/>
          <w:bCs/>
          <w:lang w:val="fr-FR"/>
        </w:rPr>
        <w:t>Le Comité recommande à l</w:t>
      </w:r>
      <w:r w:rsidR="00E81836">
        <w:rPr>
          <w:b/>
          <w:bCs/>
          <w:lang w:val="fr-FR"/>
        </w:rPr>
        <w:t>’</w:t>
      </w:r>
      <w:r w:rsidRPr="00D6774C">
        <w:rPr>
          <w:b/>
          <w:bCs/>
          <w:lang w:val="fr-FR"/>
        </w:rPr>
        <w:t>État partie de réviser sa législation relative à la liberté d</w:t>
      </w:r>
      <w:r w:rsidR="00E81836">
        <w:rPr>
          <w:b/>
          <w:bCs/>
          <w:lang w:val="fr-FR"/>
        </w:rPr>
        <w:t>’</w:t>
      </w:r>
      <w:r w:rsidRPr="00D6774C">
        <w:rPr>
          <w:b/>
          <w:bCs/>
          <w:lang w:val="fr-FR"/>
        </w:rPr>
        <w:t xml:space="preserve">association pour la rendre pleinement conforme </w:t>
      </w:r>
      <w:r>
        <w:rPr>
          <w:b/>
          <w:bCs/>
          <w:lang w:val="fr-FR"/>
        </w:rPr>
        <w:t>à</w:t>
      </w:r>
      <w:r w:rsidRPr="00D6774C">
        <w:rPr>
          <w:b/>
          <w:bCs/>
          <w:lang w:val="fr-FR"/>
        </w:rPr>
        <w:t xml:space="preserve"> l</w:t>
      </w:r>
      <w:r w:rsidR="00E81836">
        <w:rPr>
          <w:b/>
          <w:bCs/>
          <w:lang w:val="fr-FR"/>
        </w:rPr>
        <w:t>’</w:t>
      </w:r>
      <w:r w:rsidRPr="00D6774C">
        <w:rPr>
          <w:b/>
          <w:bCs/>
          <w:lang w:val="fr-FR"/>
        </w:rPr>
        <w:t>article</w:t>
      </w:r>
      <w:r>
        <w:rPr>
          <w:b/>
          <w:bCs/>
          <w:lang w:val="fr-FR"/>
        </w:rPr>
        <w:t> </w:t>
      </w:r>
      <w:r w:rsidRPr="00D6774C">
        <w:rPr>
          <w:b/>
          <w:bCs/>
          <w:lang w:val="fr-FR"/>
        </w:rPr>
        <w:t>24</w:t>
      </w:r>
      <w:r>
        <w:rPr>
          <w:b/>
          <w:bCs/>
          <w:lang w:val="fr-FR"/>
        </w:rPr>
        <w:t xml:space="preserve"> (par. 7)</w:t>
      </w:r>
      <w:r w:rsidRPr="00D6774C">
        <w:rPr>
          <w:b/>
          <w:bCs/>
          <w:lang w:val="fr-FR"/>
        </w:rPr>
        <w:t xml:space="preserve"> de la Convention</w:t>
      </w:r>
      <w:r>
        <w:rPr>
          <w:b/>
          <w:bCs/>
          <w:lang w:val="fr-FR"/>
        </w:rPr>
        <w:t>,</w:t>
      </w:r>
      <w:r w:rsidRPr="00D6774C">
        <w:rPr>
          <w:b/>
          <w:bCs/>
          <w:lang w:val="fr-FR"/>
        </w:rPr>
        <w:t xml:space="preserve"> et de créer un cadre propice à la création d</w:t>
      </w:r>
      <w:r w:rsidR="00E81836">
        <w:rPr>
          <w:b/>
          <w:bCs/>
          <w:lang w:val="fr-FR"/>
        </w:rPr>
        <w:t>’</w:t>
      </w:r>
      <w:r w:rsidRPr="00D6774C">
        <w:rPr>
          <w:b/>
          <w:bCs/>
          <w:lang w:val="fr-FR"/>
        </w:rPr>
        <w:t>associations indépendantes de victimes de disparitions forcées.</w:t>
      </w:r>
    </w:p>
    <w:p w14:paraId="31F166C4" w14:textId="77777777" w:rsidR="00BB6AD2" w:rsidRDefault="00BB6AD2" w:rsidP="00BB6AD2">
      <w:pPr>
        <w:pStyle w:val="H23G"/>
        <w:rPr>
          <w:lang w:val="fr-FR"/>
        </w:rPr>
      </w:pPr>
      <w:r>
        <w:tab/>
      </w:r>
      <w:r w:rsidRPr="00C217E9">
        <w:t>6.</w:t>
      </w:r>
      <w:r>
        <w:tab/>
      </w:r>
      <w:r w:rsidRPr="00C217E9">
        <w:t xml:space="preserve">Mesures </w:t>
      </w:r>
      <w:r>
        <w:t xml:space="preserve">de protection des </w:t>
      </w:r>
      <w:r w:rsidRPr="00C217E9">
        <w:t>enfants contre l</w:t>
      </w:r>
      <w:r>
        <w:t>a</w:t>
      </w:r>
      <w:r w:rsidRPr="00C217E9">
        <w:t xml:space="preserve"> disparition forcée (art.</w:t>
      </w:r>
      <w:r>
        <w:t> </w:t>
      </w:r>
      <w:r w:rsidRPr="00C217E9">
        <w:t>25)</w:t>
      </w:r>
    </w:p>
    <w:p w14:paraId="150041E0" w14:textId="65C13E4A" w:rsidR="00BB6AD2" w:rsidRPr="00407492" w:rsidRDefault="00BB6AD2" w:rsidP="00BB6AD2">
      <w:pPr>
        <w:pStyle w:val="H23G"/>
        <w:rPr>
          <w:lang w:val="fr-FR"/>
        </w:rPr>
      </w:pPr>
      <w:r>
        <w:rPr>
          <w:lang w:val="fr-FR"/>
        </w:rPr>
        <w:tab/>
      </w:r>
      <w:r>
        <w:rPr>
          <w:lang w:val="fr-FR"/>
        </w:rPr>
        <w:tab/>
      </w:r>
      <w:r w:rsidRPr="00407492">
        <w:rPr>
          <w:lang w:val="fr-FR"/>
        </w:rPr>
        <w:t>Soustraction d</w:t>
      </w:r>
      <w:r w:rsidR="00E81836">
        <w:rPr>
          <w:lang w:val="fr-FR"/>
        </w:rPr>
        <w:t>’</w:t>
      </w:r>
      <w:r w:rsidRPr="00407492">
        <w:rPr>
          <w:lang w:val="fr-FR"/>
        </w:rPr>
        <w:t>enfants</w:t>
      </w:r>
    </w:p>
    <w:p w14:paraId="45EBEB97" w14:textId="08D1EE00" w:rsidR="00BB6AD2" w:rsidRPr="00407492" w:rsidRDefault="00BB6AD2" w:rsidP="00BB6AD2">
      <w:pPr>
        <w:pStyle w:val="SingleTxtG"/>
        <w:rPr>
          <w:lang w:val="fr-FR"/>
        </w:rPr>
      </w:pPr>
      <w:r>
        <w:rPr>
          <w:lang w:val="fr-FR"/>
        </w:rPr>
        <w:t>37.</w:t>
      </w:r>
      <w:r>
        <w:rPr>
          <w:lang w:val="fr-FR"/>
        </w:rPr>
        <w:tab/>
      </w:r>
      <w:r w:rsidRPr="00407492">
        <w:rPr>
          <w:lang w:val="fr-FR"/>
        </w:rPr>
        <w:t xml:space="preserve">Le Comité prend note des articles du Code </w:t>
      </w:r>
      <w:r>
        <w:rPr>
          <w:lang w:val="fr-FR"/>
        </w:rPr>
        <w:t>p</w:t>
      </w:r>
      <w:r w:rsidRPr="00407492">
        <w:rPr>
          <w:lang w:val="fr-FR"/>
        </w:rPr>
        <w:t>énal concernant les crimes et délits contre l</w:t>
      </w:r>
      <w:r w:rsidR="00E81836">
        <w:rPr>
          <w:lang w:val="fr-FR"/>
        </w:rPr>
        <w:t>’</w:t>
      </w:r>
      <w:r w:rsidRPr="00407492">
        <w:rPr>
          <w:lang w:val="fr-FR"/>
        </w:rPr>
        <w:t>enfant et la famille, en particulier l</w:t>
      </w:r>
      <w:r w:rsidR="00E81836">
        <w:rPr>
          <w:lang w:val="fr-FR"/>
        </w:rPr>
        <w:t>’</w:t>
      </w:r>
      <w:r w:rsidRPr="00407492">
        <w:rPr>
          <w:lang w:val="fr-FR"/>
        </w:rPr>
        <w:t>article</w:t>
      </w:r>
      <w:r w:rsidR="00166101">
        <w:rPr>
          <w:lang w:val="fr-FR"/>
        </w:rPr>
        <w:t> </w:t>
      </w:r>
      <w:r w:rsidRPr="00407492">
        <w:rPr>
          <w:lang w:val="fr-FR"/>
        </w:rPr>
        <w:t>248. Cependant, il constate avec préoccupation que la législation en vigueur n</w:t>
      </w:r>
      <w:r w:rsidR="00E81836">
        <w:rPr>
          <w:lang w:val="fr-FR"/>
        </w:rPr>
        <w:t>’</w:t>
      </w:r>
      <w:r w:rsidRPr="00407492">
        <w:rPr>
          <w:lang w:val="fr-FR"/>
        </w:rPr>
        <w:t>est pas entièrement conforme à l</w:t>
      </w:r>
      <w:r w:rsidR="00E81836">
        <w:rPr>
          <w:lang w:val="fr-FR"/>
        </w:rPr>
        <w:t>’</w:t>
      </w:r>
      <w:r w:rsidRPr="00407492">
        <w:rPr>
          <w:lang w:val="fr-FR"/>
        </w:rPr>
        <w:t>article</w:t>
      </w:r>
      <w:r w:rsidR="00166101">
        <w:rPr>
          <w:lang w:val="fr-FR"/>
        </w:rPr>
        <w:t> </w:t>
      </w:r>
      <w:r w:rsidRPr="00407492">
        <w:rPr>
          <w:lang w:val="fr-FR"/>
        </w:rPr>
        <w:t>25 de la Convention. En outre, le Comité s</w:t>
      </w:r>
      <w:r w:rsidR="00E81836">
        <w:rPr>
          <w:lang w:val="fr-FR"/>
        </w:rPr>
        <w:t>’</w:t>
      </w:r>
      <w:r w:rsidRPr="00407492">
        <w:rPr>
          <w:lang w:val="fr-FR"/>
        </w:rPr>
        <w:t>inquiète de ce que dans l</w:t>
      </w:r>
      <w:r w:rsidR="00E81836">
        <w:rPr>
          <w:lang w:val="fr-FR"/>
        </w:rPr>
        <w:t>’</w:t>
      </w:r>
      <w:r w:rsidRPr="00407492">
        <w:rPr>
          <w:lang w:val="fr-FR"/>
        </w:rPr>
        <w:t>affaire dite des « bébés importés », l</w:t>
      </w:r>
      <w:r w:rsidR="00E81836">
        <w:rPr>
          <w:lang w:val="fr-FR"/>
        </w:rPr>
        <w:t>’</w:t>
      </w:r>
      <w:r w:rsidRPr="00407492">
        <w:rPr>
          <w:lang w:val="fr-FR"/>
        </w:rPr>
        <w:t>État partie n</w:t>
      </w:r>
      <w:r w:rsidR="00E81836">
        <w:rPr>
          <w:lang w:val="fr-FR"/>
        </w:rPr>
        <w:t>’</w:t>
      </w:r>
      <w:r w:rsidRPr="00407492">
        <w:rPr>
          <w:lang w:val="fr-FR"/>
        </w:rPr>
        <w:t>a pas pris les mesures nécessaires pour identifier les enfants victimes de soustraction ou de disparition forcée et pour les rendre à leurs familles d</w:t>
      </w:r>
      <w:r w:rsidR="00E81836">
        <w:rPr>
          <w:lang w:val="fr-FR"/>
        </w:rPr>
        <w:t>’</w:t>
      </w:r>
      <w:r w:rsidRPr="00407492">
        <w:rPr>
          <w:lang w:val="fr-FR"/>
        </w:rPr>
        <w:t>origine, y</w:t>
      </w:r>
      <w:r w:rsidR="00166101">
        <w:rPr>
          <w:lang w:val="fr-FR"/>
        </w:rPr>
        <w:t> </w:t>
      </w:r>
      <w:r w:rsidRPr="00407492">
        <w:rPr>
          <w:lang w:val="fr-FR"/>
        </w:rPr>
        <w:t>compris en coopération avec le Nig</w:t>
      </w:r>
      <w:r>
        <w:rPr>
          <w:lang w:val="fr-FR"/>
        </w:rPr>
        <w:t>é</w:t>
      </w:r>
      <w:r w:rsidRPr="00407492">
        <w:rPr>
          <w:lang w:val="fr-FR"/>
        </w:rPr>
        <w:t xml:space="preserve">ria, </w:t>
      </w:r>
      <w:r>
        <w:rPr>
          <w:lang w:val="fr-FR"/>
        </w:rPr>
        <w:t xml:space="preserve">qui est </w:t>
      </w:r>
      <w:r w:rsidRPr="00407492">
        <w:rPr>
          <w:lang w:val="fr-FR"/>
        </w:rPr>
        <w:t xml:space="preserve">également partie à la Convention. Le Comité regrette également de </w:t>
      </w:r>
      <w:r>
        <w:rPr>
          <w:lang w:val="fr-FR"/>
        </w:rPr>
        <w:t>n</w:t>
      </w:r>
      <w:r w:rsidR="00E81836">
        <w:rPr>
          <w:lang w:val="fr-FR"/>
        </w:rPr>
        <w:t>’</w:t>
      </w:r>
      <w:r w:rsidRPr="00407492">
        <w:rPr>
          <w:lang w:val="fr-FR"/>
        </w:rPr>
        <w:t xml:space="preserve">avoir </w:t>
      </w:r>
      <w:r>
        <w:rPr>
          <w:lang w:val="fr-FR"/>
        </w:rPr>
        <w:t xml:space="preserve">pas </w:t>
      </w:r>
      <w:r w:rsidRPr="00407492">
        <w:rPr>
          <w:lang w:val="fr-FR"/>
        </w:rPr>
        <w:t>reçu d</w:t>
      </w:r>
      <w:r w:rsidR="00E81836">
        <w:rPr>
          <w:lang w:val="fr-FR"/>
        </w:rPr>
        <w:t>’</w:t>
      </w:r>
      <w:r w:rsidRPr="00407492">
        <w:rPr>
          <w:lang w:val="fr-FR"/>
        </w:rPr>
        <w:t xml:space="preserve">informations sur les mesures prises </w:t>
      </w:r>
      <w:r>
        <w:rPr>
          <w:lang w:val="fr-FR"/>
        </w:rPr>
        <w:t>pour</w:t>
      </w:r>
      <w:r w:rsidRPr="00407492">
        <w:rPr>
          <w:lang w:val="fr-FR"/>
        </w:rPr>
        <w:t xml:space="preserve"> prévenir tout risque de soustraction d</w:t>
      </w:r>
      <w:r w:rsidR="00E81836">
        <w:rPr>
          <w:lang w:val="fr-FR"/>
        </w:rPr>
        <w:t>’</w:t>
      </w:r>
      <w:r w:rsidRPr="00407492">
        <w:rPr>
          <w:lang w:val="fr-FR"/>
        </w:rPr>
        <w:t>enfant qui pourrait être le résultat d</w:t>
      </w:r>
      <w:r w:rsidR="00E81836">
        <w:rPr>
          <w:lang w:val="fr-FR"/>
        </w:rPr>
        <w:t>’</w:t>
      </w:r>
      <w:r w:rsidRPr="00407492">
        <w:rPr>
          <w:lang w:val="fr-FR"/>
        </w:rPr>
        <w:t>actes de corruption (art.</w:t>
      </w:r>
      <w:r w:rsidR="00166101">
        <w:rPr>
          <w:lang w:val="fr-FR"/>
        </w:rPr>
        <w:t> </w:t>
      </w:r>
      <w:r w:rsidRPr="00407492">
        <w:rPr>
          <w:lang w:val="fr-FR"/>
        </w:rPr>
        <w:t>25).</w:t>
      </w:r>
    </w:p>
    <w:p w14:paraId="06B9E90F" w14:textId="43671A05" w:rsidR="00BB6AD2" w:rsidRPr="00D6774C" w:rsidRDefault="00BB6AD2" w:rsidP="00BB6AD2">
      <w:pPr>
        <w:pStyle w:val="SingleTxtG"/>
        <w:rPr>
          <w:b/>
          <w:bCs/>
          <w:lang w:val="fr-FR"/>
        </w:rPr>
      </w:pPr>
      <w:r>
        <w:rPr>
          <w:lang w:val="fr-FR"/>
        </w:rPr>
        <w:t>38.</w:t>
      </w:r>
      <w:r>
        <w:rPr>
          <w:lang w:val="fr-FR"/>
        </w:rPr>
        <w:tab/>
      </w:r>
      <w:r w:rsidRPr="00D6774C">
        <w:rPr>
          <w:b/>
          <w:bCs/>
          <w:lang w:val="fr-FR"/>
        </w:rPr>
        <w:t>Le Comité recommande à l</w:t>
      </w:r>
      <w:r w:rsidR="00E81836">
        <w:rPr>
          <w:b/>
          <w:bCs/>
          <w:lang w:val="fr-FR"/>
        </w:rPr>
        <w:t>’</w:t>
      </w:r>
      <w:r w:rsidRPr="00D6774C">
        <w:rPr>
          <w:b/>
          <w:bCs/>
          <w:lang w:val="fr-FR"/>
        </w:rPr>
        <w:t>État partie d</w:t>
      </w:r>
      <w:r w:rsidR="00E81836">
        <w:rPr>
          <w:b/>
          <w:bCs/>
          <w:lang w:val="fr-FR"/>
        </w:rPr>
        <w:t>’</w:t>
      </w:r>
      <w:r w:rsidRPr="00D6774C">
        <w:rPr>
          <w:b/>
          <w:bCs/>
          <w:lang w:val="fr-FR"/>
        </w:rPr>
        <w:t>incriminer expressément les actes visés à l</w:t>
      </w:r>
      <w:r w:rsidR="00E81836">
        <w:rPr>
          <w:b/>
          <w:bCs/>
          <w:lang w:val="fr-FR"/>
        </w:rPr>
        <w:t>’</w:t>
      </w:r>
      <w:r w:rsidRPr="00D6774C">
        <w:rPr>
          <w:b/>
          <w:bCs/>
          <w:lang w:val="fr-FR"/>
        </w:rPr>
        <w:t>article</w:t>
      </w:r>
      <w:r w:rsidR="00166101">
        <w:rPr>
          <w:b/>
          <w:bCs/>
          <w:lang w:val="fr-FR"/>
        </w:rPr>
        <w:t> </w:t>
      </w:r>
      <w:r w:rsidRPr="00D6774C">
        <w:rPr>
          <w:b/>
          <w:bCs/>
          <w:lang w:val="fr-FR"/>
        </w:rPr>
        <w:t>25 de la Convention et d</w:t>
      </w:r>
      <w:r w:rsidR="00E81836">
        <w:rPr>
          <w:b/>
          <w:bCs/>
          <w:lang w:val="fr-FR"/>
        </w:rPr>
        <w:t>’</w:t>
      </w:r>
      <w:r w:rsidRPr="00D6774C">
        <w:rPr>
          <w:b/>
          <w:bCs/>
          <w:lang w:val="fr-FR"/>
        </w:rPr>
        <w:t xml:space="preserve">adapter sa législation nationale pour la rendre pleinement conforme à cette disposition. Il lui recommande également </w:t>
      </w:r>
      <w:r>
        <w:rPr>
          <w:b/>
          <w:bCs/>
          <w:lang w:val="fr-FR"/>
        </w:rPr>
        <w:t>d</w:t>
      </w:r>
      <w:r w:rsidR="00E81836">
        <w:rPr>
          <w:b/>
          <w:bCs/>
          <w:lang w:val="fr-FR"/>
        </w:rPr>
        <w:t>’</w:t>
      </w:r>
      <w:r>
        <w:rPr>
          <w:b/>
          <w:bCs/>
          <w:lang w:val="fr-FR"/>
        </w:rPr>
        <w:t>assurer la prévention des</w:t>
      </w:r>
      <w:r w:rsidRPr="00D6774C">
        <w:rPr>
          <w:b/>
          <w:bCs/>
          <w:lang w:val="fr-FR"/>
        </w:rPr>
        <w:t xml:space="preserve"> actes visés à l</w:t>
      </w:r>
      <w:r w:rsidR="00E81836">
        <w:rPr>
          <w:b/>
          <w:bCs/>
          <w:lang w:val="fr-FR"/>
        </w:rPr>
        <w:t>’</w:t>
      </w:r>
      <w:r w:rsidRPr="00D6774C">
        <w:rPr>
          <w:b/>
          <w:bCs/>
          <w:lang w:val="fr-FR"/>
        </w:rPr>
        <w:t>article</w:t>
      </w:r>
      <w:r w:rsidR="00166101">
        <w:rPr>
          <w:b/>
          <w:bCs/>
          <w:lang w:val="fr-FR"/>
        </w:rPr>
        <w:t> </w:t>
      </w:r>
      <w:r w:rsidRPr="00D6774C">
        <w:rPr>
          <w:b/>
          <w:bCs/>
          <w:lang w:val="fr-FR"/>
        </w:rPr>
        <w:t xml:space="preserve">25, </w:t>
      </w:r>
      <w:r>
        <w:rPr>
          <w:b/>
          <w:bCs/>
          <w:lang w:val="fr-FR"/>
        </w:rPr>
        <w:t>de</w:t>
      </w:r>
      <w:r w:rsidRPr="00D6774C">
        <w:rPr>
          <w:b/>
          <w:bCs/>
          <w:lang w:val="fr-FR"/>
        </w:rPr>
        <w:t xml:space="preserve"> rechercher et </w:t>
      </w:r>
      <w:r>
        <w:rPr>
          <w:b/>
          <w:bCs/>
          <w:lang w:val="fr-FR"/>
        </w:rPr>
        <w:t>d</w:t>
      </w:r>
      <w:r w:rsidR="00E81836">
        <w:rPr>
          <w:b/>
          <w:bCs/>
          <w:lang w:val="fr-FR"/>
        </w:rPr>
        <w:t>’</w:t>
      </w:r>
      <w:r w:rsidRPr="00D6774C">
        <w:rPr>
          <w:b/>
          <w:bCs/>
          <w:lang w:val="fr-FR"/>
        </w:rPr>
        <w:t xml:space="preserve">identifier les enfants victimes </w:t>
      </w:r>
      <w:r>
        <w:rPr>
          <w:b/>
          <w:bCs/>
          <w:lang w:val="fr-FR"/>
        </w:rPr>
        <w:lastRenderedPageBreak/>
        <w:t>afin de</w:t>
      </w:r>
      <w:r w:rsidRPr="00D6774C">
        <w:rPr>
          <w:b/>
          <w:bCs/>
          <w:lang w:val="fr-FR"/>
        </w:rPr>
        <w:t xml:space="preserve"> les rendre à leurs familles d</w:t>
      </w:r>
      <w:r w:rsidR="00E81836">
        <w:rPr>
          <w:b/>
          <w:bCs/>
          <w:lang w:val="fr-FR"/>
        </w:rPr>
        <w:t>’</w:t>
      </w:r>
      <w:r w:rsidRPr="00D6774C">
        <w:rPr>
          <w:b/>
          <w:bCs/>
          <w:lang w:val="fr-FR"/>
        </w:rPr>
        <w:t>origine et</w:t>
      </w:r>
      <w:r>
        <w:rPr>
          <w:b/>
          <w:bCs/>
          <w:lang w:val="fr-FR"/>
        </w:rPr>
        <w:t>,</w:t>
      </w:r>
      <w:r w:rsidRPr="00D6774C">
        <w:rPr>
          <w:b/>
          <w:bCs/>
          <w:lang w:val="fr-FR"/>
        </w:rPr>
        <w:t xml:space="preserve"> à cette fin, </w:t>
      </w:r>
      <w:r>
        <w:rPr>
          <w:b/>
          <w:bCs/>
          <w:lang w:val="fr-FR"/>
        </w:rPr>
        <w:t xml:space="preserve">de </w:t>
      </w:r>
      <w:r w:rsidRPr="00D6774C">
        <w:rPr>
          <w:b/>
          <w:bCs/>
          <w:lang w:val="fr-FR"/>
        </w:rPr>
        <w:t xml:space="preserve">solliciter autant que </w:t>
      </w:r>
      <w:r>
        <w:rPr>
          <w:b/>
          <w:bCs/>
          <w:lang w:val="fr-FR"/>
        </w:rPr>
        <w:t>nécessaire</w:t>
      </w:r>
      <w:r w:rsidRPr="00D6774C">
        <w:rPr>
          <w:b/>
          <w:bCs/>
          <w:lang w:val="fr-FR"/>
        </w:rPr>
        <w:t xml:space="preserve"> la coopération des pays d</w:t>
      </w:r>
      <w:r w:rsidR="00E81836">
        <w:rPr>
          <w:b/>
          <w:bCs/>
          <w:lang w:val="fr-FR"/>
        </w:rPr>
        <w:t>’</w:t>
      </w:r>
      <w:r w:rsidRPr="00D6774C">
        <w:rPr>
          <w:b/>
          <w:bCs/>
          <w:lang w:val="fr-FR"/>
        </w:rPr>
        <w:t xml:space="preserve">origine, notamment </w:t>
      </w:r>
      <w:r>
        <w:rPr>
          <w:b/>
          <w:bCs/>
          <w:lang w:val="fr-FR"/>
        </w:rPr>
        <w:t>le</w:t>
      </w:r>
      <w:r w:rsidRPr="00D6774C">
        <w:rPr>
          <w:b/>
          <w:bCs/>
          <w:lang w:val="fr-FR"/>
        </w:rPr>
        <w:t xml:space="preserve"> Nig</w:t>
      </w:r>
      <w:r>
        <w:rPr>
          <w:b/>
          <w:bCs/>
          <w:lang w:val="fr-FR"/>
        </w:rPr>
        <w:t>é</w:t>
      </w:r>
      <w:r w:rsidRPr="00D6774C">
        <w:rPr>
          <w:b/>
          <w:bCs/>
          <w:lang w:val="fr-FR"/>
        </w:rPr>
        <w:t>ria.</w:t>
      </w:r>
    </w:p>
    <w:p w14:paraId="252E98D3" w14:textId="77777777" w:rsidR="00BB6AD2" w:rsidRPr="00407492" w:rsidRDefault="00BB6AD2" w:rsidP="00BB6AD2">
      <w:pPr>
        <w:pStyle w:val="H1G"/>
        <w:rPr>
          <w:lang w:val="fr-FR"/>
        </w:rPr>
      </w:pPr>
      <w:r>
        <w:rPr>
          <w:lang w:val="fr-FR"/>
        </w:rPr>
        <w:tab/>
        <w:t>D.</w:t>
      </w:r>
      <w:r>
        <w:rPr>
          <w:lang w:val="fr-FR"/>
        </w:rPr>
        <w:tab/>
      </w:r>
      <w:r w:rsidRPr="00407492">
        <w:rPr>
          <w:lang w:val="fr-FR"/>
        </w:rPr>
        <w:t>Mise en œuvre des droits et obligations énoncés par la Convention, diffusion et suivi</w:t>
      </w:r>
    </w:p>
    <w:p w14:paraId="07A9AF39" w14:textId="7E2530DB" w:rsidR="00BB6AD2" w:rsidRPr="00D6774C" w:rsidRDefault="00BB6AD2" w:rsidP="00BB6AD2">
      <w:pPr>
        <w:pStyle w:val="SingleTxtG"/>
      </w:pPr>
      <w:r>
        <w:t>39.</w:t>
      </w:r>
      <w:r>
        <w:tab/>
      </w:r>
      <w:r w:rsidRPr="00D6774C">
        <w:rPr>
          <w:b/>
          <w:bCs/>
        </w:rPr>
        <w:t>Le Comité tient à rappeler les obligations que les États ont contractées en devenant parties à la Convention et, à cet égard, engage l</w:t>
      </w:r>
      <w:r w:rsidR="00E81836">
        <w:rPr>
          <w:b/>
          <w:bCs/>
        </w:rPr>
        <w:t>’</w:t>
      </w:r>
      <w:r w:rsidRPr="00D6774C">
        <w:rPr>
          <w:b/>
          <w:bCs/>
        </w:rPr>
        <w:t>État partie à veiller à ce que toutes les mesures qu</w:t>
      </w:r>
      <w:r w:rsidR="00E81836">
        <w:rPr>
          <w:b/>
          <w:bCs/>
        </w:rPr>
        <w:t>’</w:t>
      </w:r>
      <w:r w:rsidRPr="00D6774C">
        <w:rPr>
          <w:b/>
          <w:bCs/>
        </w:rPr>
        <w:t>il adopte soient pleinement conformes à la Convention et à d</w:t>
      </w:r>
      <w:r w:rsidR="00E81836">
        <w:rPr>
          <w:b/>
          <w:bCs/>
        </w:rPr>
        <w:t>’</w:t>
      </w:r>
      <w:r w:rsidRPr="00D6774C">
        <w:rPr>
          <w:b/>
          <w:bCs/>
        </w:rPr>
        <w:t>autres instruments internationaux pertinents.</w:t>
      </w:r>
    </w:p>
    <w:p w14:paraId="13B3C5A6" w14:textId="41F64AE7" w:rsidR="00BB6AD2" w:rsidRPr="00D6774C" w:rsidRDefault="00BB6AD2" w:rsidP="00BB6AD2">
      <w:pPr>
        <w:pStyle w:val="SingleTxtG"/>
        <w:rPr>
          <w:b/>
          <w:bCs/>
        </w:rPr>
      </w:pPr>
      <w:r>
        <w:t>40.</w:t>
      </w:r>
      <w:r>
        <w:tab/>
      </w:r>
      <w:r w:rsidRPr="00D6774C">
        <w:rPr>
          <w:b/>
          <w:bCs/>
        </w:rPr>
        <w:t>Le Comité tient à souligner l</w:t>
      </w:r>
      <w:r w:rsidR="00E81836">
        <w:rPr>
          <w:b/>
          <w:bCs/>
        </w:rPr>
        <w:t>’</w:t>
      </w:r>
      <w:r w:rsidRPr="00D6774C">
        <w:rPr>
          <w:b/>
          <w:bCs/>
        </w:rPr>
        <w:t>effet particulièrement cruel qu</w:t>
      </w:r>
      <w:r w:rsidR="00E81836">
        <w:rPr>
          <w:b/>
          <w:bCs/>
        </w:rPr>
        <w:t>’</w:t>
      </w:r>
      <w:r w:rsidRPr="00D6774C">
        <w:rPr>
          <w:b/>
          <w:bCs/>
        </w:rPr>
        <w:t>ont les disparitions forcées sur les femmes et les enfants qu</w:t>
      </w:r>
      <w:r w:rsidR="00E81836">
        <w:rPr>
          <w:b/>
          <w:bCs/>
        </w:rPr>
        <w:t>’</w:t>
      </w:r>
      <w:r w:rsidRPr="00D6774C">
        <w:rPr>
          <w:b/>
          <w:bCs/>
        </w:rPr>
        <w:t>elles touchent. Les femmes soumises à une disparition forcée sont particulièrement vulnérables à la violence sexuelle et aux autres formes de violence fondée sur le genre. Les femmes parentes d</w:t>
      </w:r>
      <w:r w:rsidR="00E81836">
        <w:rPr>
          <w:b/>
          <w:bCs/>
        </w:rPr>
        <w:t>’</w:t>
      </w:r>
      <w:r w:rsidRPr="00D6774C">
        <w:rPr>
          <w:b/>
          <w:bCs/>
        </w:rPr>
        <w:t>une personne disparue sont particulièrement susceptibles d</w:t>
      </w:r>
      <w:r w:rsidR="00E81836">
        <w:rPr>
          <w:b/>
          <w:bCs/>
        </w:rPr>
        <w:t>’</w:t>
      </w:r>
      <w:r w:rsidRPr="00D6774C">
        <w:rPr>
          <w:b/>
          <w:bCs/>
        </w:rPr>
        <w:t>être gravement défavorisées sur les plans économique et social</w:t>
      </w:r>
      <w:r>
        <w:rPr>
          <w:b/>
          <w:bCs/>
        </w:rPr>
        <w:t>,</w:t>
      </w:r>
      <w:r w:rsidRPr="00D6774C">
        <w:rPr>
          <w:b/>
          <w:bCs/>
        </w:rPr>
        <w:t xml:space="preserve"> et de subir des violences, des persécutions et des représailles du fait des efforts qu</w:t>
      </w:r>
      <w:r w:rsidR="00E81836">
        <w:rPr>
          <w:b/>
          <w:bCs/>
        </w:rPr>
        <w:t>’</w:t>
      </w:r>
      <w:r w:rsidRPr="00D6774C">
        <w:rPr>
          <w:b/>
          <w:bCs/>
        </w:rPr>
        <w:t>elles déploient pour localiser leur proche. Les enfants victimes d</w:t>
      </w:r>
      <w:r w:rsidR="00E81836">
        <w:rPr>
          <w:b/>
          <w:bCs/>
        </w:rPr>
        <w:t>’</w:t>
      </w:r>
      <w:r w:rsidRPr="00D6774C">
        <w:rPr>
          <w:b/>
          <w:bCs/>
        </w:rPr>
        <w:t>une disparition forcée, qu</w:t>
      </w:r>
      <w:r w:rsidR="00E81836">
        <w:rPr>
          <w:b/>
          <w:bCs/>
        </w:rPr>
        <w:t>’</w:t>
      </w:r>
      <w:r w:rsidRPr="00D6774C">
        <w:rPr>
          <w:b/>
          <w:bCs/>
        </w:rPr>
        <w:t>ils y soient soumis eux-mêmes ou qu</w:t>
      </w:r>
      <w:r w:rsidR="00E81836">
        <w:rPr>
          <w:b/>
          <w:bCs/>
        </w:rPr>
        <w:t>’</w:t>
      </w:r>
      <w:r w:rsidRPr="00D6774C">
        <w:rPr>
          <w:b/>
          <w:bCs/>
        </w:rPr>
        <w:t>ils subissent les conséquences de la disparition d</w:t>
      </w:r>
      <w:r w:rsidR="00E81836">
        <w:rPr>
          <w:b/>
          <w:bCs/>
        </w:rPr>
        <w:t>’</w:t>
      </w:r>
      <w:r w:rsidRPr="00D6774C">
        <w:rPr>
          <w:b/>
          <w:bCs/>
        </w:rPr>
        <w:t xml:space="preserve">un membre de leur famille, sont particulièrement exposés à de nombreuses violations des droits </w:t>
      </w:r>
      <w:r>
        <w:rPr>
          <w:b/>
          <w:bCs/>
        </w:rPr>
        <w:t>humains</w:t>
      </w:r>
      <w:r w:rsidRPr="00D6774C">
        <w:rPr>
          <w:b/>
          <w:bCs/>
        </w:rPr>
        <w:t>. C</w:t>
      </w:r>
      <w:r w:rsidR="00E81836">
        <w:rPr>
          <w:b/>
          <w:bCs/>
        </w:rPr>
        <w:t>’</w:t>
      </w:r>
      <w:r w:rsidRPr="00D6774C">
        <w:rPr>
          <w:b/>
          <w:bCs/>
        </w:rPr>
        <w:t>est pourquoi le Comité insiste particulièrement sur la nécessité, pour l</w:t>
      </w:r>
      <w:r w:rsidR="00E81836">
        <w:rPr>
          <w:b/>
          <w:bCs/>
        </w:rPr>
        <w:t>’</w:t>
      </w:r>
      <w:r w:rsidRPr="00D6774C">
        <w:rPr>
          <w:b/>
          <w:bCs/>
        </w:rPr>
        <w:t xml:space="preserve">État partie, de tenir systématiquement compte des questions de genre et des besoins particuliers des femmes et des enfants lors de la mise en œuvre des recommandations formulées dans les présentes observations finales, ainsi que </w:t>
      </w:r>
      <w:r>
        <w:rPr>
          <w:b/>
          <w:bCs/>
        </w:rPr>
        <w:t>des</w:t>
      </w:r>
      <w:r w:rsidRPr="00D6774C">
        <w:rPr>
          <w:b/>
          <w:bCs/>
        </w:rPr>
        <w:t xml:space="preserve"> droits et obligations énoncés dans la Convention.</w:t>
      </w:r>
    </w:p>
    <w:p w14:paraId="665E37D9" w14:textId="5DF23237" w:rsidR="00BB6AD2" w:rsidRDefault="00BB6AD2" w:rsidP="00BB6AD2">
      <w:pPr>
        <w:pStyle w:val="SingleTxtG"/>
        <w:rPr>
          <w:b/>
          <w:bCs/>
        </w:rPr>
      </w:pPr>
      <w:r>
        <w:t>41.</w:t>
      </w:r>
      <w:r>
        <w:tab/>
      </w:r>
      <w:r w:rsidRPr="00D6774C">
        <w:rPr>
          <w:b/>
          <w:bCs/>
        </w:rPr>
        <w:t>L</w:t>
      </w:r>
      <w:r w:rsidR="00E81836">
        <w:rPr>
          <w:b/>
          <w:bCs/>
        </w:rPr>
        <w:t>’</w:t>
      </w:r>
      <w:r w:rsidRPr="00D6774C">
        <w:rPr>
          <w:b/>
          <w:bCs/>
        </w:rPr>
        <w:t>État partie est invité à diffuser largement la Convention, le rapport qu</w:t>
      </w:r>
      <w:r w:rsidR="00E81836">
        <w:rPr>
          <w:b/>
          <w:bCs/>
        </w:rPr>
        <w:t>’</w:t>
      </w:r>
      <w:r w:rsidRPr="00D6774C">
        <w:rPr>
          <w:b/>
          <w:bCs/>
        </w:rPr>
        <w:t>il a soumis en application de l</w:t>
      </w:r>
      <w:r w:rsidR="00E81836">
        <w:rPr>
          <w:b/>
          <w:bCs/>
        </w:rPr>
        <w:t>’</w:t>
      </w:r>
      <w:r w:rsidRPr="00D6774C">
        <w:rPr>
          <w:b/>
          <w:bCs/>
        </w:rPr>
        <w:t>article</w:t>
      </w:r>
      <w:r w:rsidR="00166101">
        <w:rPr>
          <w:b/>
          <w:bCs/>
        </w:rPr>
        <w:t> </w:t>
      </w:r>
      <w:r w:rsidRPr="00D6774C">
        <w:rPr>
          <w:b/>
          <w:bCs/>
        </w:rPr>
        <w:t>29 (par.</w:t>
      </w:r>
      <w:r w:rsidR="00166101">
        <w:rPr>
          <w:b/>
          <w:bCs/>
        </w:rPr>
        <w:t> </w:t>
      </w:r>
      <w:r w:rsidRPr="00D6774C">
        <w:rPr>
          <w:b/>
          <w:bCs/>
        </w:rPr>
        <w:t>1) de la Convention, ses réponses écrites à la liste de points établie par le Comité et les présentes observations finales, en vue de sensibiliser les autorités judiciaires, législatives et administratives, la société civile, les organisations non gouvernementales actives dans le pays et le grand public. Le Comité encourage aussi l</w:t>
      </w:r>
      <w:r w:rsidR="00E81836">
        <w:rPr>
          <w:b/>
          <w:bCs/>
        </w:rPr>
        <w:t>’</w:t>
      </w:r>
      <w:r w:rsidRPr="00D6774C">
        <w:rPr>
          <w:b/>
          <w:bCs/>
        </w:rPr>
        <w:t>État partie à promouvoir la participation de la société civile au processus de mise en œuvre des recommandations figurant dans les présentes observations finales.</w:t>
      </w:r>
    </w:p>
    <w:p w14:paraId="2443EDED" w14:textId="1C63EBDF" w:rsidR="00446FE5" w:rsidRDefault="00BB6AD2" w:rsidP="00BB6AD2">
      <w:pPr>
        <w:pStyle w:val="SingleTxtG"/>
        <w:rPr>
          <w:b/>
          <w:bCs/>
        </w:rPr>
      </w:pPr>
      <w:r w:rsidRPr="00091998">
        <w:t>42.</w:t>
      </w:r>
      <w:r w:rsidRPr="00091998">
        <w:tab/>
      </w:r>
      <w:r w:rsidRPr="00D6774C">
        <w:rPr>
          <w:b/>
          <w:bCs/>
        </w:rPr>
        <w:t>En application de l</w:t>
      </w:r>
      <w:r w:rsidR="00E81836">
        <w:rPr>
          <w:b/>
          <w:bCs/>
        </w:rPr>
        <w:t>’</w:t>
      </w:r>
      <w:r w:rsidRPr="00D6774C">
        <w:rPr>
          <w:b/>
          <w:bCs/>
        </w:rPr>
        <w:t>article</w:t>
      </w:r>
      <w:r w:rsidR="00166101">
        <w:rPr>
          <w:b/>
          <w:bCs/>
        </w:rPr>
        <w:t> </w:t>
      </w:r>
      <w:r w:rsidRPr="00D6774C">
        <w:rPr>
          <w:b/>
          <w:bCs/>
        </w:rPr>
        <w:t>29 (par.</w:t>
      </w:r>
      <w:r w:rsidR="00166101">
        <w:rPr>
          <w:b/>
          <w:bCs/>
        </w:rPr>
        <w:t> </w:t>
      </w:r>
      <w:r w:rsidRPr="00D6774C">
        <w:rPr>
          <w:b/>
          <w:bCs/>
        </w:rPr>
        <w:t>4) de la Convention</w:t>
      </w:r>
      <w:r>
        <w:rPr>
          <w:b/>
          <w:bCs/>
        </w:rPr>
        <w:t xml:space="preserve"> et en vue de renforcer sa coopération avec l</w:t>
      </w:r>
      <w:r w:rsidR="00E81836">
        <w:rPr>
          <w:b/>
          <w:bCs/>
        </w:rPr>
        <w:t>’</w:t>
      </w:r>
      <w:r>
        <w:rPr>
          <w:b/>
          <w:bCs/>
        </w:rPr>
        <w:t>État partie</w:t>
      </w:r>
      <w:r w:rsidRPr="00D6774C">
        <w:rPr>
          <w:b/>
          <w:bCs/>
        </w:rPr>
        <w:t>, le Comité demande à l</w:t>
      </w:r>
      <w:r w:rsidR="00E81836">
        <w:rPr>
          <w:b/>
          <w:bCs/>
        </w:rPr>
        <w:t>’</w:t>
      </w:r>
      <w:r w:rsidRPr="00D6774C">
        <w:rPr>
          <w:b/>
          <w:bCs/>
        </w:rPr>
        <w:t xml:space="preserve">État partie de lui soumettre, au plus tard </w:t>
      </w:r>
      <w:r w:rsidRPr="001B3F54">
        <w:rPr>
          <w:b/>
          <w:bCs/>
        </w:rPr>
        <w:t>le 8</w:t>
      </w:r>
      <w:r w:rsidR="00166101">
        <w:rPr>
          <w:b/>
          <w:bCs/>
        </w:rPr>
        <w:t> </w:t>
      </w:r>
      <w:r w:rsidRPr="001B3F54">
        <w:rPr>
          <w:b/>
          <w:bCs/>
        </w:rPr>
        <w:t>avril 2025</w:t>
      </w:r>
      <w:r w:rsidRPr="00D6774C">
        <w:rPr>
          <w:b/>
          <w:bCs/>
        </w:rPr>
        <w:t>, des informations précises et à jour sur la mise en œuvre de toutes ses recommandations, ainsi que tout renseignement nouveau touchant l</w:t>
      </w:r>
      <w:r w:rsidR="00E81836">
        <w:rPr>
          <w:b/>
          <w:bCs/>
        </w:rPr>
        <w:t>’</w:t>
      </w:r>
      <w:r w:rsidRPr="00D6774C">
        <w:rPr>
          <w:b/>
          <w:bCs/>
        </w:rPr>
        <w:t>exécution des obligations énoncées par la Convention</w:t>
      </w:r>
      <w:r>
        <w:rPr>
          <w:b/>
          <w:bCs/>
        </w:rPr>
        <w:t xml:space="preserve"> depuis l</w:t>
      </w:r>
      <w:r w:rsidR="00E81836">
        <w:rPr>
          <w:b/>
          <w:bCs/>
        </w:rPr>
        <w:t>’</w:t>
      </w:r>
      <w:r>
        <w:rPr>
          <w:b/>
          <w:bCs/>
        </w:rPr>
        <w:t>adoption des présentes observations finales. Ce</w:t>
      </w:r>
      <w:r w:rsidRPr="00D6774C">
        <w:rPr>
          <w:b/>
          <w:bCs/>
        </w:rPr>
        <w:t xml:space="preserve"> document </w:t>
      </w:r>
      <w:r>
        <w:rPr>
          <w:b/>
          <w:bCs/>
        </w:rPr>
        <w:t>doit être préparé</w:t>
      </w:r>
      <w:r w:rsidRPr="00D6774C">
        <w:rPr>
          <w:b/>
          <w:bCs/>
        </w:rPr>
        <w:t xml:space="preserve"> conformément aux directives concernant la forme et le contenu des rapports que les États parties doivent soumettre en application de l</w:t>
      </w:r>
      <w:r w:rsidR="00E81836">
        <w:rPr>
          <w:b/>
          <w:bCs/>
        </w:rPr>
        <w:t>’</w:t>
      </w:r>
      <w:r w:rsidRPr="00D6774C">
        <w:rPr>
          <w:b/>
          <w:bCs/>
        </w:rPr>
        <w:t>article</w:t>
      </w:r>
      <w:r w:rsidR="00166101">
        <w:rPr>
          <w:b/>
          <w:bCs/>
        </w:rPr>
        <w:t> </w:t>
      </w:r>
      <w:r w:rsidRPr="00D6774C">
        <w:rPr>
          <w:b/>
          <w:bCs/>
        </w:rPr>
        <w:t>29 de la Convention</w:t>
      </w:r>
      <w:r w:rsidRPr="00091998">
        <w:rPr>
          <w:rStyle w:val="Appelnotedebasdep"/>
        </w:rPr>
        <w:footnoteReference w:id="20"/>
      </w:r>
      <w:r w:rsidRPr="00D6774C">
        <w:rPr>
          <w:b/>
          <w:bCs/>
        </w:rPr>
        <w:t>. Le Comité encourage l</w:t>
      </w:r>
      <w:r w:rsidR="00E81836">
        <w:rPr>
          <w:b/>
          <w:bCs/>
        </w:rPr>
        <w:t>’</w:t>
      </w:r>
      <w:r w:rsidRPr="00D6774C">
        <w:rPr>
          <w:b/>
          <w:bCs/>
        </w:rPr>
        <w:t>État partie à associer la société civile à la compilation de ces informations.</w:t>
      </w:r>
    </w:p>
    <w:p w14:paraId="33D86BB8" w14:textId="10A93D99" w:rsidR="00BB6AD2" w:rsidRPr="00BB6AD2" w:rsidRDefault="00BB6AD2" w:rsidP="00BB6AD2">
      <w:pPr>
        <w:pStyle w:val="SingleTxtG"/>
        <w:spacing w:before="240" w:after="0"/>
        <w:jc w:val="center"/>
        <w:rPr>
          <w:u w:val="single"/>
        </w:rPr>
      </w:pPr>
      <w:r>
        <w:rPr>
          <w:u w:val="single"/>
        </w:rPr>
        <w:tab/>
      </w:r>
      <w:r>
        <w:rPr>
          <w:u w:val="single"/>
        </w:rPr>
        <w:tab/>
      </w:r>
      <w:r>
        <w:rPr>
          <w:u w:val="single"/>
        </w:rPr>
        <w:tab/>
      </w:r>
    </w:p>
    <w:sectPr w:rsidR="00BB6AD2" w:rsidRPr="00BB6AD2" w:rsidSect="00BB6A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15EB" w14:textId="77777777" w:rsidR="00A07559" w:rsidRDefault="00A07559" w:rsidP="00F95C08">
      <w:pPr>
        <w:spacing w:line="240" w:lineRule="auto"/>
      </w:pPr>
    </w:p>
  </w:endnote>
  <w:endnote w:type="continuationSeparator" w:id="0">
    <w:p w14:paraId="6975A1A9" w14:textId="77777777" w:rsidR="00A07559" w:rsidRPr="00AC3823" w:rsidRDefault="00A07559" w:rsidP="00AC3823">
      <w:pPr>
        <w:pStyle w:val="Pieddepage"/>
      </w:pPr>
    </w:p>
  </w:endnote>
  <w:endnote w:type="continuationNotice" w:id="1">
    <w:p w14:paraId="67590BC7" w14:textId="77777777" w:rsidR="00A07559" w:rsidRDefault="00A075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43DE" w14:textId="394092A9" w:rsidR="00BB6AD2" w:rsidRPr="00BB6AD2" w:rsidRDefault="00BB6AD2" w:rsidP="00BB6AD2">
    <w:pPr>
      <w:pStyle w:val="Pieddepage"/>
      <w:tabs>
        <w:tab w:val="right" w:pos="9638"/>
      </w:tabs>
    </w:pPr>
    <w:r w:rsidRPr="00BB6AD2">
      <w:rPr>
        <w:b/>
        <w:sz w:val="18"/>
      </w:rPr>
      <w:fldChar w:fldCharType="begin"/>
    </w:r>
    <w:r w:rsidRPr="00BB6AD2">
      <w:rPr>
        <w:b/>
        <w:sz w:val="18"/>
      </w:rPr>
      <w:instrText xml:space="preserve"> PAGE  \* MERGEFORMAT </w:instrText>
    </w:r>
    <w:r w:rsidRPr="00BB6AD2">
      <w:rPr>
        <w:b/>
        <w:sz w:val="18"/>
      </w:rPr>
      <w:fldChar w:fldCharType="separate"/>
    </w:r>
    <w:r w:rsidRPr="00BB6AD2">
      <w:rPr>
        <w:b/>
        <w:noProof/>
        <w:sz w:val="18"/>
      </w:rPr>
      <w:t>2</w:t>
    </w:r>
    <w:r w:rsidRPr="00BB6AD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5F37" w14:textId="7D472E50" w:rsidR="00BB6AD2" w:rsidRPr="00BB6AD2" w:rsidRDefault="00BB6AD2" w:rsidP="00BB6AD2">
    <w:pPr>
      <w:pStyle w:val="Pieddepage"/>
      <w:tabs>
        <w:tab w:val="right" w:pos="9638"/>
      </w:tabs>
      <w:rPr>
        <w:b/>
        <w:sz w:val="18"/>
      </w:rPr>
    </w:pPr>
    <w:r>
      <w:tab/>
    </w:r>
    <w:r w:rsidRPr="00BB6AD2">
      <w:rPr>
        <w:b/>
        <w:sz w:val="18"/>
      </w:rPr>
      <w:fldChar w:fldCharType="begin"/>
    </w:r>
    <w:r w:rsidRPr="00BB6AD2">
      <w:rPr>
        <w:b/>
        <w:sz w:val="18"/>
      </w:rPr>
      <w:instrText xml:space="preserve"> PAGE  \* MERGEFORMAT </w:instrText>
    </w:r>
    <w:r w:rsidRPr="00BB6AD2">
      <w:rPr>
        <w:b/>
        <w:sz w:val="18"/>
      </w:rPr>
      <w:fldChar w:fldCharType="separate"/>
    </w:r>
    <w:r w:rsidRPr="00BB6AD2">
      <w:rPr>
        <w:b/>
        <w:noProof/>
        <w:sz w:val="18"/>
      </w:rPr>
      <w:t>3</w:t>
    </w:r>
    <w:r w:rsidRPr="00BB6A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680B" w14:textId="61A9DC8F" w:rsidR="00133EDE" w:rsidRPr="00A63C58" w:rsidRDefault="00A63C58" w:rsidP="00A63C58">
    <w:pPr>
      <w:pStyle w:val="Pieddepage"/>
      <w:tabs>
        <w:tab w:val="left" w:pos="6520"/>
        <w:tab w:val="right" w:pos="9638"/>
      </w:tabs>
      <w:spacing w:before="120"/>
      <w:rPr>
        <w:sz w:val="20"/>
      </w:rPr>
    </w:pPr>
    <w:r>
      <w:rPr>
        <w:sz w:val="20"/>
      </w:rPr>
      <w:t>GE.22-06696  (F)</w:t>
    </w:r>
    <w:bookmarkStart w:id="0" w:name="_GoBack"/>
    <w:bookmarkEnd w:id="0"/>
    <w:r>
      <w:rPr>
        <w:sz w:val="20"/>
      </w:rPr>
      <w:tab/>
    </w:r>
    <w:r w:rsidRPr="00A63C58">
      <w:rPr>
        <w:noProof/>
        <w:sz w:val="20"/>
        <w:lang w:eastAsia="fr-CH"/>
      </w:rPr>
      <w:drawing>
        <wp:inline distT="0" distB="0" distL="0" distR="0" wp14:anchorId="79972FCE" wp14:editId="3811EA06">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8F7401A" wp14:editId="3C8CD774">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B017" w14:textId="77777777" w:rsidR="00A07559" w:rsidRPr="00AC3823" w:rsidRDefault="00A07559" w:rsidP="00AC3823">
      <w:pPr>
        <w:pStyle w:val="Pieddepage"/>
        <w:tabs>
          <w:tab w:val="right" w:pos="2155"/>
        </w:tabs>
        <w:spacing w:after="80" w:line="240" w:lineRule="atLeast"/>
        <w:ind w:left="680"/>
        <w:rPr>
          <w:u w:val="single"/>
        </w:rPr>
      </w:pPr>
      <w:r>
        <w:rPr>
          <w:u w:val="single"/>
        </w:rPr>
        <w:tab/>
      </w:r>
    </w:p>
  </w:footnote>
  <w:footnote w:type="continuationSeparator" w:id="0">
    <w:p w14:paraId="1D059F76" w14:textId="77777777" w:rsidR="00A07559" w:rsidRPr="00AC3823" w:rsidRDefault="00A07559" w:rsidP="00AC3823">
      <w:pPr>
        <w:pStyle w:val="Pieddepage"/>
        <w:tabs>
          <w:tab w:val="right" w:pos="2155"/>
        </w:tabs>
        <w:spacing w:after="80" w:line="240" w:lineRule="atLeast"/>
        <w:ind w:left="680"/>
        <w:rPr>
          <w:u w:val="single"/>
        </w:rPr>
      </w:pPr>
      <w:r>
        <w:rPr>
          <w:u w:val="single"/>
        </w:rPr>
        <w:tab/>
      </w:r>
    </w:p>
  </w:footnote>
  <w:footnote w:type="continuationNotice" w:id="1">
    <w:p w14:paraId="0876B2E7" w14:textId="77777777" w:rsidR="00A07559" w:rsidRPr="00AC3823" w:rsidRDefault="00A07559">
      <w:pPr>
        <w:spacing w:line="240" w:lineRule="auto"/>
        <w:rPr>
          <w:sz w:val="2"/>
          <w:szCs w:val="2"/>
        </w:rPr>
      </w:pPr>
    </w:p>
  </w:footnote>
  <w:footnote w:id="2">
    <w:p w14:paraId="55F1CA5E" w14:textId="30CCBF4B" w:rsidR="00BB6AD2" w:rsidRPr="009339B0" w:rsidRDefault="00BB6AD2" w:rsidP="00BB6AD2">
      <w:pPr>
        <w:pStyle w:val="Notedebasdepage"/>
      </w:pPr>
      <w:r>
        <w:rPr>
          <w:rStyle w:val="Appelnotedebasdep"/>
        </w:rPr>
        <w:tab/>
      </w:r>
      <w:r w:rsidRPr="00E939CE">
        <w:rPr>
          <w:rStyle w:val="Appelnotedebasdep"/>
          <w:sz w:val="20"/>
          <w:vertAlign w:val="baseline"/>
        </w:rPr>
        <w:t>*</w:t>
      </w:r>
      <w:r>
        <w:rPr>
          <w:rStyle w:val="Appelnotedebasdep"/>
          <w:sz w:val="20"/>
          <w:vertAlign w:val="baseline"/>
        </w:rPr>
        <w:tab/>
      </w:r>
      <w:r w:rsidRPr="001D2C6B">
        <w:rPr>
          <w:lang w:val="fr-FR"/>
        </w:rPr>
        <w:t>Adoptées par le Comité à sa vingt</w:t>
      </w:r>
      <w:r>
        <w:rPr>
          <w:lang w:val="fr-FR"/>
        </w:rPr>
        <w:t>-deuxième</w:t>
      </w:r>
      <w:r w:rsidRPr="001D2C6B">
        <w:rPr>
          <w:lang w:val="fr-FR"/>
        </w:rPr>
        <w:t xml:space="preserve"> session (</w:t>
      </w:r>
      <w:r>
        <w:rPr>
          <w:lang w:val="fr-FR"/>
        </w:rPr>
        <w:t>28</w:t>
      </w:r>
      <w:r w:rsidR="005F24B1">
        <w:rPr>
          <w:lang w:val="fr-FR"/>
        </w:rPr>
        <w:t> </w:t>
      </w:r>
      <w:r>
        <w:rPr>
          <w:lang w:val="fr-FR"/>
        </w:rPr>
        <w:t>mars-8</w:t>
      </w:r>
      <w:r w:rsidR="005F24B1">
        <w:rPr>
          <w:lang w:val="fr-FR"/>
        </w:rPr>
        <w:t> </w:t>
      </w:r>
      <w:r>
        <w:rPr>
          <w:lang w:val="fr-FR"/>
        </w:rPr>
        <w:t>avril 2022</w:t>
      </w:r>
      <w:r w:rsidRPr="001D2C6B">
        <w:rPr>
          <w:lang w:val="fr-FR"/>
        </w:rPr>
        <w:t>).</w:t>
      </w:r>
    </w:p>
  </w:footnote>
  <w:footnote w:id="3">
    <w:p w14:paraId="37ED501D" w14:textId="775BF67D" w:rsidR="00BB6AD2" w:rsidRPr="00AA40B3" w:rsidRDefault="00BB6AD2" w:rsidP="00BB6AD2">
      <w:pPr>
        <w:pStyle w:val="Notedebasdepage"/>
        <w:rPr>
          <w:lang w:val="en-GB"/>
        </w:rPr>
      </w:pPr>
      <w:r w:rsidRPr="006C27B1">
        <w:rPr>
          <w:lang w:val="fr-FR"/>
        </w:rPr>
        <w:tab/>
      </w:r>
      <w:r w:rsidRPr="006C27B1">
        <w:rPr>
          <w:rStyle w:val="Appelnotedebasdep"/>
          <w:lang w:val="fr-FR"/>
        </w:rPr>
        <w:footnoteRef/>
      </w:r>
      <w:r w:rsidRPr="00AA40B3">
        <w:rPr>
          <w:lang w:val="en-GB"/>
        </w:rPr>
        <w:t xml:space="preserve"> </w:t>
      </w:r>
      <w:r w:rsidRPr="00AA40B3">
        <w:rPr>
          <w:lang w:val="en-GB"/>
        </w:rPr>
        <w:tab/>
      </w:r>
      <w:hyperlink r:id="rId1" w:history="1">
        <w:r w:rsidRPr="00495701">
          <w:rPr>
            <w:rStyle w:val="Lienhypertexte"/>
            <w:lang w:val="en-GB"/>
          </w:rPr>
          <w:t>CED/C/NER/1</w:t>
        </w:r>
      </w:hyperlink>
      <w:r>
        <w:rPr>
          <w:lang w:val="en-GB"/>
        </w:rPr>
        <w:t>.</w:t>
      </w:r>
    </w:p>
  </w:footnote>
  <w:footnote w:id="4">
    <w:p w14:paraId="26274BD1" w14:textId="4F8D49B2" w:rsidR="00BB6AD2" w:rsidRPr="00AA40B3" w:rsidRDefault="00BB6AD2" w:rsidP="00BB6AD2">
      <w:pPr>
        <w:pStyle w:val="Notedebasdepage"/>
        <w:rPr>
          <w:lang w:val="en-GB"/>
        </w:rPr>
      </w:pPr>
      <w:r w:rsidRPr="00AA40B3">
        <w:rPr>
          <w:lang w:val="en-GB"/>
        </w:rPr>
        <w:tab/>
      </w:r>
      <w:r w:rsidRPr="006C27B1">
        <w:rPr>
          <w:rStyle w:val="Appelnotedebasdep"/>
          <w:lang w:val="fr-FR"/>
        </w:rPr>
        <w:footnoteRef/>
      </w:r>
      <w:r w:rsidRPr="00AA40B3">
        <w:rPr>
          <w:lang w:val="en-GB"/>
        </w:rPr>
        <w:t xml:space="preserve"> </w:t>
      </w:r>
      <w:r w:rsidRPr="00AA40B3">
        <w:rPr>
          <w:lang w:val="en-GB"/>
        </w:rPr>
        <w:tab/>
      </w:r>
      <w:hyperlink r:id="rId2" w:history="1">
        <w:r w:rsidRPr="00495701">
          <w:rPr>
            <w:rStyle w:val="Lienhypertexte"/>
            <w:lang w:val="en-GB"/>
          </w:rPr>
          <w:t>CED/C/SR.385</w:t>
        </w:r>
      </w:hyperlink>
      <w:r w:rsidRPr="00AA40B3">
        <w:rPr>
          <w:lang w:val="en-GB"/>
        </w:rPr>
        <w:t xml:space="preserve"> et </w:t>
      </w:r>
      <w:hyperlink r:id="rId3" w:history="1">
        <w:r w:rsidRPr="00495701">
          <w:rPr>
            <w:rStyle w:val="Lienhypertexte"/>
            <w:lang w:val="en-GB"/>
          </w:rPr>
          <w:t>CED/C/SR.386</w:t>
        </w:r>
      </w:hyperlink>
      <w:r>
        <w:rPr>
          <w:lang w:val="en-GB"/>
        </w:rPr>
        <w:t>.</w:t>
      </w:r>
    </w:p>
  </w:footnote>
  <w:footnote w:id="5">
    <w:p w14:paraId="4C945E40" w14:textId="50BC2387" w:rsidR="00BB6AD2" w:rsidRPr="00AA40B3" w:rsidRDefault="00BB6AD2" w:rsidP="00BB6AD2">
      <w:pPr>
        <w:pStyle w:val="Notedebasdepage"/>
        <w:rPr>
          <w:lang w:val="en-GB"/>
        </w:rPr>
      </w:pPr>
      <w:r w:rsidRPr="00AA40B3">
        <w:rPr>
          <w:lang w:val="en-GB"/>
        </w:rPr>
        <w:tab/>
      </w:r>
      <w:r w:rsidRPr="006C27B1">
        <w:rPr>
          <w:rStyle w:val="Appelnotedebasdep"/>
          <w:lang w:val="fr-FR"/>
        </w:rPr>
        <w:footnoteRef/>
      </w:r>
      <w:r w:rsidRPr="00AA40B3">
        <w:rPr>
          <w:lang w:val="en-GB"/>
        </w:rPr>
        <w:t xml:space="preserve"> </w:t>
      </w:r>
      <w:r w:rsidRPr="00AA40B3">
        <w:rPr>
          <w:lang w:val="en-GB"/>
        </w:rPr>
        <w:tab/>
      </w:r>
      <w:hyperlink r:id="rId4" w:history="1">
        <w:r w:rsidRPr="00495701">
          <w:rPr>
            <w:rStyle w:val="Lienhypertexte"/>
            <w:lang w:val="en-GB"/>
          </w:rPr>
          <w:t>CED/C/NER/RQ/1</w:t>
        </w:r>
      </w:hyperlink>
      <w:r>
        <w:rPr>
          <w:lang w:val="en-GB"/>
        </w:rPr>
        <w:t>.</w:t>
      </w:r>
    </w:p>
  </w:footnote>
  <w:footnote w:id="6">
    <w:p w14:paraId="72F0A878" w14:textId="4D04A670" w:rsidR="00BB6AD2" w:rsidRPr="00AA40B3" w:rsidRDefault="00BB6AD2" w:rsidP="00BB6AD2">
      <w:pPr>
        <w:pStyle w:val="Notedebasdepage"/>
        <w:rPr>
          <w:lang w:val="en-GB"/>
        </w:rPr>
      </w:pPr>
      <w:r w:rsidRPr="00AA40B3">
        <w:rPr>
          <w:lang w:val="en-GB"/>
        </w:rPr>
        <w:tab/>
      </w:r>
      <w:r w:rsidRPr="006C27B1">
        <w:rPr>
          <w:rStyle w:val="Appelnotedebasdep"/>
          <w:lang w:val="fr-FR"/>
        </w:rPr>
        <w:footnoteRef/>
      </w:r>
      <w:r w:rsidRPr="00AA40B3">
        <w:rPr>
          <w:lang w:val="en-GB"/>
        </w:rPr>
        <w:t xml:space="preserve"> </w:t>
      </w:r>
      <w:r w:rsidRPr="00AA40B3">
        <w:rPr>
          <w:lang w:val="en-GB"/>
        </w:rPr>
        <w:tab/>
      </w:r>
      <w:hyperlink r:id="rId5" w:history="1">
        <w:r w:rsidRPr="00495701">
          <w:rPr>
            <w:rStyle w:val="Lienhypertexte"/>
            <w:lang w:val="en-GB"/>
          </w:rPr>
          <w:t>CED/C/NER/Q/1</w:t>
        </w:r>
      </w:hyperlink>
      <w:r>
        <w:rPr>
          <w:lang w:val="en-GB"/>
        </w:rPr>
        <w:t>.</w:t>
      </w:r>
    </w:p>
  </w:footnote>
  <w:footnote w:id="7">
    <w:p w14:paraId="157C0107" w14:textId="0E5909E1" w:rsidR="00BB6AD2" w:rsidRPr="00091998" w:rsidRDefault="00BB6AD2" w:rsidP="00BB6AD2">
      <w:pPr>
        <w:pStyle w:val="Notedebasdepage"/>
        <w:rPr>
          <w:lang w:val="en-US"/>
        </w:rPr>
      </w:pPr>
      <w:r w:rsidRPr="00091998">
        <w:rPr>
          <w:lang w:val="en-GB"/>
        </w:rPr>
        <w:tab/>
      </w:r>
      <w:r w:rsidRPr="006C27B1">
        <w:rPr>
          <w:rStyle w:val="Appelnotedebasdep"/>
          <w:lang w:val="fr-FR"/>
        </w:rPr>
        <w:footnoteRef/>
      </w:r>
      <w:r w:rsidRPr="00091998">
        <w:rPr>
          <w:lang w:val="en-US"/>
        </w:rPr>
        <w:t xml:space="preserve"> </w:t>
      </w:r>
      <w:r w:rsidRPr="00091998">
        <w:rPr>
          <w:lang w:val="en-US"/>
        </w:rPr>
        <w:tab/>
      </w:r>
      <w:hyperlink r:id="rId6" w:history="1">
        <w:r w:rsidRPr="00495701">
          <w:rPr>
            <w:rStyle w:val="Lienhypertexte"/>
            <w:lang w:val="en-US"/>
          </w:rPr>
          <w:t>CED/C/NER/RQ/1</w:t>
        </w:r>
      </w:hyperlink>
      <w:r w:rsidRPr="00091998">
        <w:rPr>
          <w:lang w:val="en-US"/>
        </w:rPr>
        <w:t>, par. 3.</w:t>
      </w:r>
    </w:p>
  </w:footnote>
  <w:footnote w:id="8">
    <w:p w14:paraId="51401FB7" w14:textId="77777777" w:rsidR="00BB6AD2" w:rsidRPr="00091998" w:rsidRDefault="00BB6AD2" w:rsidP="00BB6AD2">
      <w:pPr>
        <w:pStyle w:val="Notedebasdepage"/>
        <w:rPr>
          <w:lang w:val="en-US"/>
        </w:rPr>
      </w:pPr>
      <w:r w:rsidRPr="00091998">
        <w:rPr>
          <w:lang w:val="en-US"/>
        </w:rPr>
        <w:tab/>
      </w:r>
      <w:r>
        <w:rPr>
          <w:rStyle w:val="Appelnotedebasdep"/>
        </w:rPr>
        <w:footnoteRef/>
      </w:r>
      <w:r w:rsidRPr="00091998">
        <w:rPr>
          <w:lang w:val="en-US"/>
        </w:rPr>
        <w:t xml:space="preserve"> </w:t>
      </w:r>
      <w:r w:rsidRPr="00091998">
        <w:rPr>
          <w:lang w:val="en-US"/>
        </w:rPr>
        <w:tab/>
        <w:t>Ibid., par. 28.</w:t>
      </w:r>
    </w:p>
  </w:footnote>
  <w:footnote w:id="9">
    <w:p w14:paraId="240D95D6" w14:textId="39D36628" w:rsidR="00BB6AD2" w:rsidRPr="0087659C" w:rsidRDefault="00BB6AD2" w:rsidP="00BB6AD2">
      <w:pPr>
        <w:pStyle w:val="Notedebasdepage"/>
        <w:rPr>
          <w:lang w:val="en-GB"/>
        </w:rPr>
      </w:pPr>
      <w:r w:rsidRPr="00091998">
        <w:rPr>
          <w:lang w:val="en-US"/>
        </w:rPr>
        <w:tab/>
      </w:r>
      <w:r w:rsidRPr="006C27B1">
        <w:rPr>
          <w:rStyle w:val="Appelnotedebasdep"/>
          <w:lang w:val="fr-FR"/>
        </w:rPr>
        <w:footnoteRef/>
      </w:r>
      <w:r w:rsidRPr="0087659C">
        <w:rPr>
          <w:lang w:val="en-GB"/>
        </w:rPr>
        <w:t xml:space="preserve"> </w:t>
      </w:r>
      <w:r w:rsidRPr="0087659C">
        <w:rPr>
          <w:lang w:val="en-GB"/>
        </w:rPr>
        <w:tab/>
      </w:r>
      <w:hyperlink r:id="rId7" w:history="1">
        <w:r w:rsidRPr="00495701">
          <w:rPr>
            <w:rStyle w:val="Lienhypertexte"/>
            <w:lang w:val="en-GB"/>
          </w:rPr>
          <w:t>A/70/56</w:t>
        </w:r>
      </w:hyperlink>
      <w:r w:rsidRPr="0087659C">
        <w:rPr>
          <w:lang w:val="en-GB"/>
        </w:rPr>
        <w:t>, annexe</w:t>
      </w:r>
      <w:r w:rsidR="005F24B1">
        <w:rPr>
          <w:lang w:val="en-GB"/>
        </w:rPr>
        <w:t> </w:t>
      </w:r>
      <w:r w:rsidRPr="0087659C">
        <w:rPr>
          <w:lang w:val="en-GB"/>
        </w:rPr>
        <w:t>III.</w:t>
      </w:r>
    </w:p>
  </w:footnote>
  <w:footnote w:id="10">
    <w:p w14:paraId="3839EADD" w14:textId="278D5F82" w:rsidR="00BB6AD2" w:rsidRPr="0061537C" w:rsidRDefault="00BB6AD2" w:rsidP="00BB6AD2">
      <w:pPr>
        <w:pStyle w:val="Notedebasdepage"/>
        <w:rPr>
          <w:lang w:val="en-US"/>
        </w:rPr>
      </w:pPr>
      <w:r w:rsidRPr="0061537C">
        <w:rPr>
          <w:lang w:val="en-US"/>
        </w:rPr>
        <w:tab/>
      </w:r>
      <w:r>
        <w:rPr>
          <w:rStyle w:val="Appelnotedebasdep"/>
        </w:rPr>
        <w:footnoteRef/>
      </w:r>
      <w:r w:rsidRPr="0061537C">
        <w:rPr>
          <w:lang w:val="en-US"/>
        </w:rPr>
        <w:t xml:space="preserve"> </w:t>
      </w:r>
      <w:r w:rsidRPr="0061537C">
        <w:rPr>
          <w:lang w:val="en-US"/>
        </w:rPr>
        <w:tab/>
      </w:r>
      <w:hyperlink r:id="rId8" w:history="1">
        <w:r w:rsidRPr="00495701">
          <w:rPr>
            <w:rStyle w:val="Lienhypertexte"/>
            <w:lang w:val="en-US"/>
          </w:rPr>
          <w:t>CED/C/7</w:t>
        </w:r>
      </w:hyperlink>
      <w:r w:rsidRPr="0061537C">
        <w:rPr>
          <w:lang w:val="en-US"/>
        </w:rPr>
        <w:t>.</w:t>
      </w:r>
    </w:p>
  </w:footnote>
  <w:footnote w:id="11">
    <w:p w14:paraId="20F3FC00" w14:textId="53490BAE" w:rsidR="00BB6AD2" w:rsidRPr="0087659C" w:rsidRDefault="00BB6AD2" w:rsidP="00BB6AD2">
      <w:pPr>
        <w:pStyle w:val="Notedebasdepage"/>
        <w:rPr>
          <w:lang w:val="en-GB"/>
        </w:rPr>
      </w:pPr>
      <w:r w:rsidRPr="0087659C">
        <w:rPr>
          <w:lang w:val="en-GB"/>
        </w:rPr>
        <w:tab/>
      </w:r>
      <w:r>
        <w:rPr>
          <w:rStyle w:val="Appelnotedebasdep"/>
        </w:rPr>
        <w:footnoteRef/>
      </w:r>
      <w:r w:rsidRPr="0087659C">
        <w:rPr>
          <w:lang w:val="en-GB"/>
        </w:rPr>
        <w:t xml:space="preserve"> </w:t>
      </w:r>
      <w:r w:rsidRPr="0087659C">
        <w:rPr>
          <w:lang w:val="en-GB"/>
        </w:rPr>
        <w:tab/>
      </w:r>
      <w:hyperlink r:id="rId9" w:history="1">
        <w:r w:rsidRPr="00495701">
          <w:rPr>
            <w:rStyle w:val="Lienhypertexte"/>
            <w:lang w:val="en-GB"/>
          </w:rPr>
          <w:t>CAT/C/NER/CO/1</w:t>
        </w:r>
      </w:hyperlink>
      <w:r w:rsidRPr="0087659C">
        <w:rPr>
          <w:lang w:val="en-GB"/>
        </w:rPr>
        <w:t>, par.</w:t>
      </w:r>
      <w:r>
        <w:rPr>
          <w:lang w:val="en-GB"/>
        </w:rPr>
        <w:t> </w:t>
      </w:r>
      <w:r w:rsidRPr="0087659C">
        <w:rPr>
          <w:lang w:val="en-GB"/>
        </w:rPr>
        <w:t>17.</w:t>
      </w:r>
    </w:p>
  </w:footnote>
  <w:footnote w:id="12">
    <w:p w14:paraId="4B174C10" w14:textId="65EC143F" w:rsidR="00BB6AD2" w:rsidRPr="008758A8" w:rsidRDefault="00BB6AD2" w:rsidP="00BB6AD2">
      <w:pPr>
        <w:pStyle w:val="Notedebasdepage"/>
        <w:rPr>
          <w:lang w:val="en-GB"/>
        </w:rPr>
      </w:pPr>
      <w:r w:rsidRPr="0087659C">
        <w:rPr>
          <w:lang w:val="en-GB"/>
        </w:rPr>
        <w:tab/>
      </w:r>
      <w:r>
        <w:rPr>
          <w:rStyle w:val="Appelnotedebasdep"/>
        </w:rPr>
        <w:footnoteRef/>
      </w:r>
      <w:r w:rsidRPr="008758A8">
        <w:rPr>
          <w:lang w:val="en-GB"/>
        </w:rPr>
        <w:t xml:space="preserve"> </w:t>
      </w:r>
      <w:r w:rsidRPr="008758A8">
        <w:rPr>
          <w:lang w:val="en-GB"/>
        </w:rPr>
        <w:tab/>
      </w:r>
      <w:hyperlink r:id="rId10" w:history="1">
        <w:r w:rsidRPr="00495701">
          <w:rPr>
            <w:rStyle w:val="Lienhypertexte"/>
            <w:lang w:val="en-GB"/>
          </w:rPr>
          <w:t>CED/C/NER/RQ/1</w:t>
        </w:r>
      </w:hyperlink>
      <w:r w:rsidRPr="008758A8">
        <w:rPr>
          <w:lang w:val="en-GB"/>
        </w:rPr>
        <w:t>, par.</w:t>
      </w:r>
      <w:r>
        <w:rPr>
          <w:lang w:val="en-GB"/>
        </w:rPr>
        <w:t> </w:t>
      </w:r>
      <w:r w:rsidRPr="008758A8">
        <w:rPr>
          <w:lang w:val="en-GB"/>
        </w:rPr>
        <w:t>59.</w:t>
      </w:r>
    </w:p>
  </w:footnote>
  <w:footnote w:id="13">
    <w:p w14:paraId="57CDE744" w14:textId="69B45E34" w:rsidR="00BB6AD2" w:rsidRPr="008758A8" w:rsidRDefault="00BB6AD2" w:rsidP="00BB6AD2">
      <w:pPr>
        <w:pStyle w:val="Notedebasdepage"/>
        <w:rPr>
          <w:lang w:val="en-GB"/>
        </w:rPr>
      </w:pPr>
      <w:r w:rsidRPr="008758A8">
        <w:rPr>
          <w:lang w:val="en-GB"/>
        </w:rPr>
        <w:tab/>
      </w:r>
      <w:r>
        <w:rPr>
          <w:rStyle w:val="Appelnotedebasdep"/>
        </w:rPr>
        <w:footnoteRef/>
      </w:r>
      <w:r w:rsidRPr="008758A8">
        <w:rPr>
          <w:lang w:val="en-GB"/>
        </w:rPr>
        <w:t xml:space="preserve"> </w:t>
      </w:r>
      <w:r w:rsidRPr="008758A8">
        <w:rPr>
          <w:lang w:val="en-GB"/>
        </w:rPr>
        <w:tab/>
      </w:r>
      <w:hyperlink r:id="rId11" w:history="1">
        <w:r w:rsidRPr="00495701">
          <w:rPr>
            <w:rStyle w:val="Lienhypertexte"/>
            <w:lang w:val="en-GB"/>
          </w:rPr>
          <w:t>CAT/C/NER/CO/1</w:t>
        </w:r>
      </w:hyperlink>
      <w:r w:rsidRPr="008758A8">
        <w:rPr>
          <w:lang w:val="en-GB"/>
        </w:rPr>
        <w:t>, par.</w:t>
      </w:r>
      <w:r>
        <w:rPr>
          <w:lang w:val="en-GB"/>
        </w:rPr>
        <w:t> </w:t>
      </w:r>
      <w:r w:rsidRPr="008758A8">
        <w:rPr>
          <w:lang w:val="en-GB"/>
        </w:rPr>
        <w:t>11.</w:t>
      </w:r>
    </w:p>
  </w:footnote>
  <w:footnote w:id="14">
    <w:p w14:paraId="112DF34C" w14:textId="6C88145E" w:rsidR="00BB6AD2" w:rsidRPr="00091998" w:rsidRDefault="00BB6AD2" w:rsidP="00BB6AD2">
      <w:pPr>
        <w:pStyle w:val="Notedebasdepage"/>
      </w:pPr>
      <w:r w:rsidRPr="008758A8">
        <w:rPr>
          <w:lang w:val="en-GB"/>
        </w:rPr>
        <w:tab/>
      </w:r>
      <w:r>
        <w:rPr>
          <w:rStyle w:val="Appelnotedebasdep"/>
        </w:rPr>
        <w:footnoteRef/>
      </w:r>
      <w:r w:rsidRPr="00091998">
        <w:t xml:space="preserve"> </w:t>
      </w:r>
      <w:r w:rsidRPr="00091998">
        <w:tab/>
      </w:r>
      <w:hyperlink r:id="rId12" w:history="1">
        <w:r w:rsidRPr="00495701">
          <w:rPr>
            <w:rStyle w:val="Lienhypertexte"/>
          </w:rPr>
          <w:t>CAT/OP/NER/1</w:t>
        </w:r>
      </w:hyperlink>
      <w:r w:rsidRPr="00091998">
        <w:t>, par. 51.</w:t>
      </w:r>
    </w:p>
  </w:footnote>
  <w:footnote w:id="15">
    <w:p w14:paraId="2ADB6B0D" w14:textId="0020C81C" w:rsidR="00BB6AD2" w:rsidRPr="00091998" w:rsidRDefault="00BB6AD2" w:rsidP="00BB6AD2">
      <w:pPr>
        <w:pStyle w:val="Notedebasdepage"/>
      </w:pPr>
      <w:r w:rsidRPr="00091998">
        <w:tab/>
      </w:r>
      <w:r>
        <w:rPr>
          <w:rStyle w:val="Appelnotedebasdep"/>
        </w:rPr>
        <w:footnoteRef/>
      </w:r>
      <w:r w:rsidRPr="00091998">
        <w:t xml:space="preserve"> </w:t>
      </w:r>
      <w:r w:rsidRPr="00091998">
        <w:tab/>
      </w:r>
      <w:hyperlink r:id="rId13" w:history="1">
        <w:r w:rsidRPr="00495701">
          <w:rPr>
            <w:rStyle w:val="Lienhypertexte"/>
          </w:rPr>
          <w:t>CAT/C/NER/CO/1</w:t>
        </w:r>
      </w:hyperlink>
      <w:r w:rsidRPr="00091998">
        <w:t xml:space="preserve">, par. 9 ; et </w:t>
      </w:r>
      <w:hyperlink r:id="rId14" w:history="1">
        <w:r w:rsidRPr="00495701">
          <w:rPr>
            <w:rStyle w:val="Lienhypertexte"/>
          </w:rPr>
          <w:t>CAT/OP/NER/1</w:t>
        </w:r>
      </w:hyperlink>
      <w:r w:rsidRPr="00091998">
        <w:t>, par. 59 et 60.</w:t>
      </w:r>
    </w:p>
  </w:footnote>
  <w:footnote w:id="16">
    <w:p w14:paraId="3EA68D4B" w14:textId="20E7416D" w:rsidR="00BB6AD2" w:rsidRPr="008758A8" w:rsidRDefault="00BB6AD2" w:rsidP="00BB6AD2">
      <w:pPr>
        <w:pStyle w:val="Notedebasdepage"/>
        <w:rPr>
          <w:lang w:val="en-US"/>
        </w:rPr>
      </w:pPr>
      <w:r w:rsidRPr="00091998">
        <w:tab/>
      </w:r>
      <w:r>
        <w:rPr>
          <w:rStyle w:val="Appelnotedebasdep"/>
        </w:rPr>
        <w:footnoteRef/>
      </w:r>
      <w:r w:rsidRPr="008758A8">
        <w:rPr>
          <w:lang w:val="en-US"/>
        </w:rPr>
        <w:t xml:space="preserve"> </w:t>
      </w:r>
      <w:r w:rsidRPr="008758A8">
        <w:rPr>
          <w:lang w:val="en-US"/>
        </w:rPr>
        <w:tab/>
      </w:r>
      <w:hyperlink r:id="rId15" w:history="1">
        <w:r w:rsidRPr="00495701">
          <w:rPr>
            <w:rStyle w:val="Lienhypertexte"/>
            <w:lang w:val="en-US"/>
          </w:rPr>
          <w:t>CEDAW/C/NER/CO/3-4</w:t>
        </w:r>
      </w:hyperlink>
      <w:r>
        <w:rPr>
          <w:lang w:val="en-US"/>
        </w:rPr>
        <w:t>, par. </w:t>
      </w:r>
      <w:r w:rsidRPr="008758A8">
        <w:rPr>
          <w:lang w:val="en-US"/>
        </w:rPr>
        <w:t>34.</w:t>
      </w:r>
    </w:p>
  </w:footnote>
  <w:footnote w:id="17">
    <w:p w14:paraId="1687393C" w14:textId="1B6443D1" w:rsidR="00BB6AD2" w:rsidRPr="00091998" w:rsidRDefault="00BB6AD2" w:rsidP="00BB6AD2">
      <w:pPr>
        <w:pStyle w:val="Notedebasdepage"/>
      </w:pPr>
      <w:r>
        <w:rPr>
          <w:lang w:val="en-US"/>
        </w:rPr>
        <w:tab/>
      </w:r>
      <w:r w:rsidRPr="00407492">
        <w:rPr>
          <w:vertAlign w:val="superscript"/>
          <w:lang w:val="en-US"/>
        </w:rPr>
        <w:footnoteRef/>
      </w:r>
      <w:r w:rsidRPr="00091998">
        <w:t xml:space="preserve"> </w:t>
      </w:r>
      <w:r w:rsidRPr="00091998">
        <w:tab/>
      </w:r>
      <w:hyperlink r:id="rId16" w:history="1">
        <w:r w:rsidRPr="00495701">
          <w:rPr>
            <w:rStyle w:val="Lienhypertexte"/>
          </w:rPr>
          <w:t>CCPR/C/NER/CO/2</w:t>
        </w:r>
      </w:hyperlink>
      <w:r w:rsidRPr="00091998">
        <w:t>, par. 14 et 15.</w:t>
      </w:r>
    </w:p>
  </w:footnote>
  <w:footnote w:id="18">
    <w:p w14:paraId="5CAB751B" w14:textId="2FFE84F2" w:rsidR="00BB6AD2" w:rsidRPr="00407492" w:rsidRDefault="00BB6AD2" w:rsidP="00BB6AD2">
      <w:pPr>
        <w:pStyle w:val="Notedebasdepage"/>
        <w:rPr>
          <w:lang w:val="fr-FR"/>
        </w:rPr>
      </w:pPr>
      <w:r w:rsidRPr="00091998">
        <w:tab/>
      </w:r>
      <w:r>
        <w:rPr>
          <w:rStyle w:val="Appelnotedebasdep"/>
        </w:rPr>
        <w:footnoteRef/>
      </w:r>
      <w:r w:rsidRPr="00342AE7">
        <w:rPr>
          <w:lang w:val="fr-FR"/>
        </w:rPr>
        <w:t xml:space="preserve"> </w:t>
      </w:r>
      <w:r w:rsidRPr="00342AE7">
        <w:rPr>
          <w:lang w:val="fr-FR"/>
        </w:rPr>
        <w:tab/>
      </w:r>
      <w:r>
        <w:rPr>
          <w:lang w:val="fr-FR"/>
        </w:rPr>
        <w:t>Haut-Commissariat des Nations</w:t>
      </w:r>
      <w:r w:rsidR="00166101">
        <w:rPr>
          <w:lang w:val="fr-FR"/>
        </w:rPr>
        <w:t> </w:t>
      </w:r>
      <w:r>
        <w:rPr>
          <w:lang w:val="fr-FR"/>
        </w:rPr>
        <w:t>Unies aux droits de l</w:t>
      </w:r>
      <w:r w:rsidR="00E81836">
        <w:rPr>
          <w:lang w:val="fr-FR"/>
        </w:rPr>
        <w:t>’</w:t>
      </w:r>
      <w:r>
        <w:rPr>
          <w:lang w:val="fr-FR"/>
        </w:rPr>
        <w:t xml:space="preserve">homme, « La </w:t>
      </w:r>
      <w:r w:rsidRPr="008156F7">
        <w:rPr>
          <w:lang w:val="fr-FR"/>
        </w:rPr>
        <w:t>Haute-Commissaire des Nations</w:t>
      </w:r>
      <w:r w:rsidR="00166101">
        <w:rPr>
          <w:lang w:val="fr-FR"/>
        </w:rPr>
        <w:t> </w:t>
      </w:r>
      <w:r w:rsidRPr="008156F7">
        <w:rPr>
          <w:lang w:val="fr-FR"/>
        </w:rPr>
        <w:t>Unies aux droits de l</w:t>
      </w:r>
      <w:r w:rsidR="00E81836">
        <w:rPr>
          <w:lang w:val="fr-FR"/>
        </w:rPr>
        <w:t>’</w:t>
      </w:r>
      <w:r w:rsidRPr="008156F7">
        <w:rPr>
          <w:lang w:val="fr-FR"/>
        </w:rPr>
        <w:t>homme, Michelle Bachelet, termine sa visite officielle au Niger (2</w:t>
      </w:r>
      <w:r w:rsidR="00166101">
        <w:rPr>
          <w:lang w:val="fr-FR"/>
        </w:rPr>
        <w:noBreakHyphen/>
      </w:r>
      <w:r w:rsidRPr="008156F7">
        <w:rPr>
          <w:lang w:val="fr-FR"/>
        </w:rPr>
        <w:t>4</w:t>
      </w:r>
      <w:r>
        <w:rPr>
          <w:lang w:val="fr-FR"/>
        </w:rPr>
        <w:t> </w:t>
      </w:r>
      <w:r w:rsidRPr="008156F7">
        <w:rPr>
          <w:lang w:val="fr-FR"/>
        </w:rPr>
        <w:t>décembre)</w:t>
      </w:r>
      <w:r>
        <w:rPr>
          <w:lang w:val="fr-FR"/>
        </w:rPr>
        <w:t> », c</w:t>
      </w:r>
      <w:r w:rsidRPr="00342AE7">
        <w:rPr>
          <w:lang w:val="fr-FR"/>
        </w:rPr>
        <w:t>ommuniqué de presse</w:t>
      </w:r>
      <w:r>
        <w:rPr>
          <w:lang w:val="fr-FR"/>
        </w:rPr>
        <w:t>,</w:t>
      </w:r>
      <w:r w:rsidRPr="00342AE7">
        <w:rPr>
          <w:lang w:val="fr-FR"/>
        </w:rPr>
        <w:t xml:space="preserve"> 4</w:t>
      </w:r>
      <w:r w:rsidR="00166101">
        <w:rPr>
          <w:lang w:val="fr-FR"/>
        </w:rPr>
        <w:t> </w:t>
      </w:r>
      <w:r w:rsidRPr="00342AE7">
        <w:rPr>
          <w:lang w:val="fr-FR"/>
        </w:rPr>
        <w:t>décembre 2021.</w:t>
      </w:r>
    </w:p>
  </w:footnote>
  <w:footnote w:id="19">
    <w:p w14:paraId="38B8837F" w14:textId="4576586D" w:rsidR="00BB6AD2" w:rsidRPr="00407492" w:rsidRDefault="00BB6AD2" w:rsidP="00BB6AD2">
      <w:pPr>
        <w:pStyle w:val="Notedebasdepage"/>
        <w:rPr>
          <w:lang w:val="fr-FR"/>
        </w:rPr>
      </w:pPr>
      <w:r w:rsidRPr="00342AE7">
        <w:rPr>
          <w:lang w:val="fr-FR"/>
        </w:rPr>
        <w:tab/>
      </w:r>
      <w:r>
        <w:rPr>
          <w:rStyle w:val="Appelnotedebasdep"/>
        </w:rPr>
        <w:footnoteRef/>
      </w:r>
      <w:r w:rsidRPr="00342AE7">
        <w:rPr>
          <w:lang w:val="fr-FR"/>
        </w:rPr>
        <w:t xml:space="preserve"> </w:t>
      </w:r>
      <w:r w:rsidRPr="00342AE7">
        <w:rPr>
          <w:lang w:val="fr-FR"/>
        </w:rPr>
        <w:tab/>
      </w:r>
      <w:r>
        <w:rPr>
          <w:lang w:val="fr-FR"/>
        </w:rPr>
        <w:t>Haut-Commissariat des Nations</w:t>
      </w:r>
      <w:r w:rsidR="00166101">
        <w:rPr>
          <w:lang w:val="fr-FR"/>
        </w:rPr>
        <w:t> </w:t>
      </w:r>
      <w:r>
        <w:rPr>
          <w:lang w:val="fr-FR"/>
        </w:rPr>
        <w:t>Unies aux droits de l</w:t>
      </w:r>
      <w:r w:rsidR="00E81836">
        <w:rPr>
          <w:lang w:val="fr-FR"/>
        </w:rPr>
        <w:t>’</w:t>
      </w:r>
      <w:r>
        <w:rPr>
          <w:lang w:val="fr-FR"/>
        </w:rPr>
        <w:t>homme, « </w:t>
      </w:r>
      <w:r w:rsidRPr="00342AE7">
        <w:rPr>
          <w:lang w:val="fr-FR"/>
        </w:rPr>
        <w:t>Observations préliminaires du</w:t>
      </w:r>
      <w:r w:rsidR="00166101">
        <w:rPr>
          <w:lang w:val="fr-FR"/>
        </w:rPr>
        <w:t> </w:t>
      </w:r>
      <w:r w:rsidRPr="00342AE7">
        <w:rPr>
          <w:lang w:val="fr-FR"/>
        </w:rPr>
        <w:t xml:space="preserve">Rapporteur spécial </w:t>
      </w:r>
      <w:r>
        <w:rPr>
          <w:lang w:val="fr-FR"/>
        </w:rPr>
        <w:t>des Nations</w:t>
      </w:r>
      <w:r w:rsidR="00166101">
        <w:rPr>
          <w:lang w:val="fr-FR"/>
        </w:rPr>
        <w:t> </w:t>
      </w:r>
      <w:r>
        <w:rPr>
          <w:lang w:val="fr-FR"/>
        </w:rPr>
        <w:t>Unies sur le droit de réunion pacifique et d</w:t>
      </w:r>
      <w:r w:rsidR="00E81836">
        <w:rPr>
          <w:lang w:val="fr-FR"/>
        </w:rPr>
        <w:t>’</w:t>
      </w:r>
      <w:r>
        <w:rPr>
          <w:lang w:val="fr-FR"/>
        </w:rPr>
        <w:t>association, Clément</w:t>
      </w:r>
      <w:r w:rsidR="00166101">
        <w:rPr>
          <w:lang w:val="fr-FR"/>
        </w:rPr>
        <w:t> </w:t>
      </w:r>
      <w:proofErr w:type="spellStart"/>
      <w:r>
        <w:rPr>
          <w:lang w:val="fr-FR"/>
        </w:rPr>
        <w:t>Nyaletsossi</w:t>
      </w:r>
      <w:proofErr w:type="spellEnd"/>
      <w:r>
        <w:rPr>
          <w:lang w:val="fr-FR"/>
        </w:rPr>
        <w:t xml:space="preserve"> </w:t>
      </w:r>
      <w:proofErr w:type="spellStart"/>
      <w:r>
        <w:rPr>
          <w:lang w:val="fr-FR"/>
        </w:rPr>
        <w:t>Voule</w:t>
      </w:r>
      <w:proofErr w:type="spellEnd"/>
      <w:r>
        <w:rPr>
          <w:lang w:val="fr-FR"/>
        </w:rPr>
        <w:t xml:space="preserve">, </w:t>
      </w:r>
      <w:r w:rsidRPr="00342AE7">
        <w:rPr>
          <w:lang w:val="fr-FR"/>
        </w:rPr>
        <w:t>à l</w:t>
      </w:r>
      <w:r w:rsidR="00E81836">
        <w:rPr>
          <w:lang w:val="fr-FR"/>
        </w:rPr>
        <w:t>’</w:t>
      </w:r>
      <w:r w:rsidRPr="00342AE7">
        <w:rPr>
          <w:lang w:val="fr-FR"/>
        </w:rPr>
        <w:t>issue de sa visite au Niger</w:t>
      </w:r>
      <w:r>
        <w:rPr>
          <w:lang w:val="fr-FR"/>
        </w:rPr>
        <w:t> »</w:t>
      </w:r>
      <w:r w:rsidRPr="00342AE7">
        <w:rPr>
          <w:lang w:val="fr-FR"/>
        </w:rPr>
        <w:t xml:space="preserve">, </w:t>
      </w:r>
      <w:r>
        <w:rPr>
          <w:lang w:val="fr-FR"/>
        </w:rPr>
        <w:t xml:space="preserve">déclaration, </w:t>
      </w:r>
      <w:r w:rsidRPr="00342AE7">
        <w:rPr>
          <w:lang w:val="fr-FR"/>
        </w:rPr>
        <w:t>16</w:t>
      </w:r>
      <w:r w:rsidR="00166101">
        <w:rPr>
          <w:lang w:val="fr-FR"/>
        </w:rPr>
        <w:t> </w:t>
      </w:r>
      <w:r w:rsidRPr="00342AE7">
        <w:rPr>
          <w:lang w:val="fr-FR"/>
        </w:rPr>
        <w:t>décembre 2021.</w:t>
      </w:r>
    </w:p>
  </w:footnote>
  <w:footnote w:id="20">
    <w:p w14:paraId="19996E30" w14:textId="67488C16" w:rsidR="00BB6AD2" w:rsidRDefault="00BB6AD2" w:rsidP="00BB6AD2">
      <w:pPr>
        <w:pStyle w:val="Notedebasdepage"/>
      </w:pPr>
      <w:r>
        <w:tab/>
      </w:r>
      <w:r>
        <w:rPr>
          <w:rStyle w:val="Appelnotedebasdep"/>
        </w:rPr>
        <w:footnoteRef/>
      </w:r>
      <w:r>
        <w:tab/>
      </w:r>
      <w:hyperlink r:id="rId17" w:history="1">
        <w:r w:rsidRPr="00495701">
          <w:rPr>
            <w:rStyle w:val="Lienhypertexte"/>
          </w:rPr>
          <w:t>CED/C/2</w:t>
        </w:r>
      </w:hyperlink>
      <w:r>
        <w:t>, par.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C7B5" w14:textId="6A2777EE" w:rsidR="00BB6AD2" w:rsidRPr="00BB6AD2" w:rsidRDefault="00E81836">
    <w:pPr>
      <w:pStyle w:val="En-tte"/>
    </w:pPr>
    <w:r>
      <w:fldChar w:fldCharType="begin"/>
    </w:r>
    <w:r>
      <w:instrText xml:space="preserve"> TITLE  \* MERGEFORMAT </w:instrText>
    </w:r>
    <w:r>
      <w:fldChar w:fldCharType="separate"/>
    </w:r>
    <w:r w:rsidR="00BB6AD2">
      <w:t>CED/C/NER/CO/1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73FF" w14:textId="4C3EFFEE" w:rsidR="00BB6AD2" w:rsidRPr="00BB6AD2" w:rsidRDefault="00E81836" w:rsidP="00BB6AD2">
    <w:pPr>
      <w:pStyle w:val="En-tte"/>
      <w:jc w:val="right"/>
    </w:pPr>
    <w:r>
      <w:fldChar w:fldCharType="begin"/>
    </w:r>
    <w:r>
      <w:instrText xml:space="preserve"> TITLE  \* MERGEFORMAT </w:instrText>
    </w:r>
    <w:r>
      <w:fldChar w:fldCharType="separate"/>
    </w:r>
    <w:r w:rsidR="00BB6AD2">
      <w:t>CED/C/NER/CO/1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8F"/>
    <w:rsid w:val="00017F94"/>
    <w:rsid w:val="00022D2E"/>
    <w:rsid w:val="00023842"/>
    <w:rsid w:val="000334F9"/>
    <w:rsid w:val="0007796D"/>
    <w:rsid w:val="000B7790"/>
    <w:rsid w:val="00111F2F"/>
    <w:rsid w:val="00133EDE"/>
    <w:rsid w:val="0014365E"/>
    <w:rsid w:val="00166101"/>
    <w:rsid w:val="00176178"/>
    <w:rsid w:val="001F525A"/>
    <w:rsid w:val="002201F1"/>
    <w:rsid w:val="00223272"/>
    <w:rsid w:val="0024779E"/>
    <w:rsid w:val="00392B1D"/>
    <w:rsid w:val="00446FE5"/>
    <w:rsid w:val="00452396"/>
    <w:rsid w:val="00495701"/>
    <w:rsid w:val="004C4D99"/>
    <w:rsid w:val="005505B7"/>
    <w:rsid w:val="00573BE5"/>
    <w:rsid w:val="00586ED3"/>
    <w:rsid w:val="00596AA9"/>
    <w:rsid w:val="005E5E04"/>
    <w:rsid w:val="005F24B1"/>
    <w:rsid w:val="006646D0"/>
    <w:rsid w:val="00674E82"/>
    <w:rsid w:val="006F75FB"/>
    <w:rsid w:val="00701C9E"/>
    <w:rsid w:val="0071601D"/>
    <w:rsid w:val="0077586E"/>
    <w:rsid w:val="007A62E6"/>
    <w:rsid w:val="007E042C"/>
    <w:rsid w:val="0080684C"/>
    <w:rsid w:val="00871C75"/>
    <w:rsid w:val="008776DC"/>
    <w:rsid w:val="008E5C66"/>
    <w:rsid w:val="009507F3"/>
    <w:rsid w:val="009705C8"/>
    <w:rsid w:val="00A07559"/>
    <w:rsid w:val="00A30353"/>
    <w:rsid w:val="00A63C58"/>
    <w:rsid w:val="00AC3823"/>
    <w:rsid w:val="00AE323C"/>
    <w:rsid w:val="00B00181"/>
    <w:rsid w:val="00B765F7"/>
    <w:rsid w:val="00B9212A"/>
    <w:rsid w:val="00BA0CA9"/>
    <w:rsid w:val="00BB6AD2"/>
    <w:rsid w:val="00C02897"/>
    <w:rsid w:val="00C7158F"/>
    <w:rsid w:val="00CE2527"/>
    <w:rsid w:val="00CF2BDE"/>
    <w:rsid w:val="00D3439C"/>
    <w:rsid w:val="00DB1831"/>
    <w:rsid w:val="00DD3BFD"/>
    <w:rsid w:val="00DE4CCE"/>
    <w:rsid w:val="00DF6678"/>
    <w:rsid w:val="00E8183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485F0"/>
  <w15:docId w15:val="{2C4AFD45-3EEB-4572-9473-3B357C10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t,Text,fn,nota"/>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t Car,Text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495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D/C/7" TargetMode="External"/><Relationship Id="rId13" Type="http://schemas.openxmlformats.org/officeDocument/2006/relationships/hyperlink" Target="https://undocs.org/fr/CAT/C/NER/CO/1" TargetMode="External"/><Relationship Id="rId3" Type="http://schemas.openxmlformats.org/officeDocument/2006/relationships/hyperlink" Target="https://undocs.org/fr/CED/C/SR.386" TargetMode="External"/><Relationship Id="rId7" Type="http://schemas.openxmlformats.org/officeDocument/2006/relationships/hyperlink" Target="https://undocs.org/fr/A/70/56" TargetMode="External"/><Relationship Id="rId12" Type="http://schemas.openxmlformats.org/officeDocument/2006/relationships/hyperlink" Target="https://undocs.org/fr/CAT/OP/NER/1" TargetMode="External"/><Relationship Id="rId17" Type="http://schemas.openxmlformats.org/officeDocument/2006/relationships/hyperlink" Target="https://undocs.org/fr/CED/C/2" TargetMode="External"/><Relationship Id="rId2" Type="http://schemas.openxmlformats.org/officeDocument/2006/relationships/hyperlink" Target="https://undocs.org/fr/CED/C/SR.385" TargetMode="External"/><Relationship Id="rId16" Type="http://schemas.openxmlformats.org/officeDocument/2006/relationships/hyperlink" Target="https://undocs.org/fr/CCPR/C/NER/CO/2" TargetMode="External"/><Relationship Id="rId1" Type="http://schemas.openxmlformats.org/officeDocument/2006/relationships/hyperlink" Target="https://undocs.org/fr/CED/C/NER/1" TargetMode="External"/><Relationship Id="rId6" Type="http://schemas.openxmlformats.org/officeDocument/2006/relationships/hyperlink" Target="https://undocs.org/fr/CED/C/NER/RQ/1" TargetMode="External"/><Relationship Id="rId11" Type="http://schemas.openxmlformats.org/officeDocument/2006/relationships/hyperlink" Target="https://undocs.org/fr/CAT/C/NER/CO/1" TargetMode="External"/><Relationship Id="rId5" Type="http://schemas.openxmlformats.org/officeDocument/2006/relationships/hyperlink" Target="https://undocs.org/fr/CED/C/NER/Q/1" TargetMode="External"/><Relationship Id="rId15" Type="http://schemas.openxmlformats.org/officeDocument/2006/relationships/hyperlink" Target="https://undocs.org/fr/CEDAW/C/NER/CO/3-4" TargetMode="External"/><Relationship Id="rId10" Type="http://schemas.openxmlformats.org/officeDocument/2006/relationships/hyperlink" Target="https://undocs.org/fr/CED/C/NER/RQ/1" TargetMode="External"/><Relationship Id="rId4" Type="http://schemas.openxmlformats.org/officeDocument/2006/relationships/hyperlink" Target="https://undocs.org/fr/CED/C/NER/RQ/1" TargetMode="External"/><Relationship Id="rId9" Type="http://schemas.openxmlformats.org/officeDocument/2006/relationships/hyperlink" Target="https://undocs.org/fr/CAT/C/NER/CO/1" TargetMode="External"/><Relationship Id="rId14" Type="http://schemas.openxmlformats.org/officeDocument/2006/relationships/hyperlink" Target="https://undocs.org/fr/CAT/OP/NE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8</Pages>
  <Words>4289</Words>
  <Characters>23078</Characters>
  <Application>Microsoft Office Word</Application>
  <DocSecurity>0</DocSecurity>
  <Lines>360</Lines>
  <Paragraphs>104</Paragraphs>
  <ScaleCrop>false</ScaleCrop>
  <HeadingPairs>
    <vt:vector size="2" baseType="variant">
      <vt:variant>
        <vt:lpstr>Titre</vt:lpstr>
      </vt:variant>
      <vt:variant>
        <vt:i4>1</vt:i4>
      </vt:variant>
    </vt:vector>
  </HeadingPairs>
  <TitlesOfParts>
    <vt:vector size="1" baseType="lpstr">
      <vt:lpstr>CED/C/NER/CO/1</vt:lpstr>
    </vt:vector>
  </TitlesOfParts>
  <Company>DCM</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CED/C/NER/CO/1</dc:title>
  <dc:subject/>
  <dc:creator>Marie DESCHAMPS</dc:creator>
  <cp:keywords/>
  <cp:lastModifiedBy>Nicolas Morin</cp:lastModifiedBy>
  <cp:revision>2</cp:revision>
  <cp:lastPrinted>2014-05-14T10:59:00Z</cp:lastPrinted>
  <dcterms:created xsi:type="dcterms:W3CDTF">2022-05-09T10:07:00Z</dcterms:created>
  <dcterms:modified xsi:type="dcterms:W3CDTF">2022-05-09T10:07:00Z</dcterms:modified>
</cp:coreProperties>
</file>