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0017F65C" w14:textId="77777777" w:rsidTr="006E444F">
        <w:trPr>
          <w:trHeight w:hRule="exact" w:val="851"/>
        </w:trPr>
        <w:tc>
          <w:tcPr>
            <w:tcW w:w="1274" w:type="dxa"/>
            <w:tcBorders>
              <w:bottom w:val="single" w:sz="4" w:space="0" w:color="auto"/>
            </w:tcBorders>
          </w:tcPr>
          <w:p w14:paraId="31280603" w14:textId="77777777" w:rsidR="006B3E27" w:rsidRPr="006E4C12" w:rsidRDefault="006B3E27" w:rsidP="00B92435">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677B65F2"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0402F259" w14:textId="3D090EBB" w:rsidR="006B3E27" w:rsidRPr="00D45DD9" w:rsidRDefault="00D45DD9" w:rsidP="00D45DD9">
            <w:pPr>
              <w:bidi w:val="0"/>
              <w:jc w:val="left"/>
            </w:pPr>
            <w:r w:rsidRPr="009770BA">
              <w:rPr>
                <w:sz w:val="40"/>
              </w:rPr>
              <w:t>CRC</w:t>
            </w:r>
            <w:r w:rsidRPr="009770BA">
              <w:t>/C/</w:t>
            </w:r>
            <w:r w:rsidRPr="00582767">
              <w:t>91</w:t>
            </w:r>
            <w:r w:rsidRPr="009770BA">
              <w:t>/D/</w:t>
            </w:r>
            <w:r w:rsidRPr="00582767">
              <w:t>100</w:t>
            </w:r>
            <w:r w:rsidRPr="009770BA">
              <w:t>/</w:t>
            </w:r>
            <w:r w:rsidRPr="00582767">
              <w:t>2019</w:t>
            </w:r>
          </w:p>
        </w:tc>
      </w:tr>
      <w:tr w:rsidR="006B3E27" w:rsidRPr="00DB7679" w14:paraId="03C266B5" w14:textId="77777777" w:rsidTr="006E444F">
        <w:trPr>
          <w:trHeight w:hRule="exact" w:val="2835"/>
        </w:trPr>
        <w:tc>
          <w:tcPr>
            <w:tcW w:w="1274" w:type="dxa"/>
            <w:tcBorders>
              <w:top w:val="single" w:sz="4" w:space="0" w:color="auto"/>
              <w:bottom w:val="single" w:sz="12" w:space="0" w:color="auto"/>
            </w:tcBorders>
          </w:tcPr>
          <w:p w14:paraId="3252D97A" w14:textId="77777777" w:rsidR="006B3E27" w:rsidRPr="00DB7679" w:rsidRDefault="0059622A" w:rsidP="006E444F">
            <w:pPr>
              <w:jc w:val="center"/>
              <w:rPr>
                <w:rtl/>
              </w:rPr>
            </w:pPr>
            <w:r>
              <w:rPr>
                <w:noProof/>
              </w:rPr>
              <w:drawing>
                <wp:inline distT="0" distB="0" distL="0" distR="0" wp14:anchorId="73CF919D" wp14:editId="7D1222ED">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2F6DDDB0" w14:textId="77777777" w:rsidR="006B3E27" w:rsidRPr="00582767" w:rsidRDefault="001E1CAD" w:rsidP="00073FE2">
            <w:pPr>
              <w:spacing w:before="240" w:after="40" w:line="640" w:lineRule="exact"/>
              <w:ind w:left="57"/>
              <w:jc w:val="left"/>
              <w:rPr>
                <w:rFonts w:ascii="Times New Roman Bold" w:hAnsi="Times New Roman Bold" w:hint="eastAsia"/>
                <w:b/>
                <w:bCs/>
                <w:sz w:val="50"/>
                <w:szCs w:val="50"/>
                <w:rtl/>
              </w:rPr>
            </w:pPr>
            <w:r w:rsidRPr="00582767">
              <w:rPr>
                <w:rFonts w:ascii="Times New Roman Bold" w:hAnsi="Times New Roman Bold" w:hint="cs"/>
                <w:b/>
                <w:bCs/>
                <w:sz w:val="50"/>
                <w:szCs w:val="50"/>
                <w:rtl/>
              </w:rPr>
              <w:t>ا</w:t>
            </w:r>
            <w:r w:rsidR="004A14A6" w:rsidRPr="00582767">
              <w:rPr>
                <w:rFonts w:ascii="Times New Roman Bold" w:hAnsi="Times New Roman Bold" w:hint="cs"/>
                <w:b/>
                <w:bCs/>
                <w:sz w:val="50"/>
                <w:szCs w:val="50"/>
                <w:rtl/>
              </w:rPr>
              <w:t>تفاقي</w:t>
            </w:r>
            <w:r w:rsidR="00523BAE" w:rsidRPr="00582767">
              <w:rPr>
                <w:rFonts w:ascii="Times New Roman Bold" w:hAnsi="Times New Roman Bold" w:hint="cs"/>
                <w:b/>
                <w:bCs/>
                <w:sz w:val="50"/>
                <w:szCs w:val="50"/>
                <w:rtl/>
              </w:rPr>
              <w:t>ـ</w:t>
            </w:r>
            <w:r w:rsidR="004A14A6" w:rsidRPr="00582767">
              <w:rPr>
                <w:rFonts w:ascii="Times New Roman Bold" w:hAnsi="Times New Roman Bold" w:hint="cs"/>
                <w:b/>
                <w:bCs/>
                <w:sz w:val="50"/>
                <w:szCs w:val="50"/>
                <w:rtl/>
              </w:rPr>
              <w:t xml:space="preserve">ة </w:t>
            </w:r>
            <w:r w:rsidR="0045649E" w:rsidRPr="00582767">
              <w:rPr>
                <w:rFonts w:ascii="Times New Roman Bold" w:hAnsi="Times New Roman Bold" w:hint="cs"/>
                <w:b/>
                <w:bCs/>
                <w:sz w:val="50"/>
                <w:szCs w:val="50"/>
                <w:rtl/>
              </w:rPr>
              <w:t xml:space="preserve">حقوق </w:t>
            </w:r>
            <w:r w:rsidR="00A65558" w:rsidRPr="00582767">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671C1D76" w14:textId="0ADB9456" w:rsidR="006E3C06" w:rsidRPr="006E3C06" w:rsidRDefault="006E3C06" w:rsidP="006E3C06">
            <w:pPr>
              <w:suppressAutoHyphens/>
              <w:bidi w:val="0"/>
              <w:spacing w:before="240"/>
              <w:jc w:val="left"/>
              <w:rPr>
                <w:rFonts w:eastAsia="Times New Roman" w:cs="Times New Roman"/>
                <w:lang w:val="en-GB"/>
              </w:rPr>
            </w:pPr>
            <w:r w:rsidRPr="006E3C06">
              <w:rPr>
                <w:rFonts w:eastAsia="Times New Roman" w:cs="Times New Roman"/>
                <w:lang w:val="en-GB"/>
              </w:rPr>
              <w:t>Dist</w:t>
            </w:r>
            <w:r w:rsidR="009770BA" w:rsidRPr="006E3C06">
              <w:rPr>
                <w:rFonts w:eastAsia="Times New Roman" w:cs="Times New Roman"/>
                <w:lang w:val="en-GB"/>
              </w:rPr>
              <w:t>r.:</w:t>
            </w:r>
            <w:r w:rsidRPr="006E3C06">
              <w:rPr>
                <w:rFonts w:eastAsia="Times New Roman" w:cs="Times New Roman"/>
                <w:lang w:val="en-GB"/>
              </w:rPr>
              <w:t xml:space="preserve"> General</w:t>
            </w:r>
          </w:p>
          <w:p w14:paraId="3CA31B73" w14:textId="77777777" w:rsidR="006E3C06" w:rsidRPr="006E3C06" w:rsidRDefault="006E3C06" w:rsidP="006E3C06">
            <w:pPr>
              <w:bidi w:val="0"/>
              <w:jc w:val="left"/>
              <w:rPr>
                <w:rFonts w:eastAsia="Times New Roman" w:cs="Times New Roman"/>
                <w:lang w:val="en-GB"/>
              </w:rPr>
            </w:pPr>
            <w:r w:rsidRPr="006E3C06">
              <w:rPr>
                <w:rFonts w:eastAsia="Times New Roman" w:cs="Times New Roman"/>
                <w:lang w:val="en-GB"/>
              </w:rPr>
              <w:t>20 October 2022</w:t>
            </w:r>
          </w:p>
          <w:p w14:paraId="5860CD9D" w14:textId="67AE4308" w:rsidR="006E3C06" w:rsidRPr="006E3C06" w:rsidRDefault="006E3C06" w:rsidP="006E3C06">
            <w:pPr>
              <w:bidi w:val="0"/>
              <w:jc w:val="left"/>
              <w:rPr>
                <w:rFonts w:eastAsia="Times New Roman" w:cs="Times New Roman"/>
                <w:lang w:val="en-GB"/>
              </w:rPr>
            </w:pPr>
            <w:r>
              <w:rPr>
                <w:rFonts w:eastAsia="Times New Roman" w:cs="Times New Roman"/>
                <w:lang w:val="en-GB"/>
              </w:rPr>
              <w:t>Arabic</w:t>
            </w:r>
          </w:p>
          <w:p w14:paraId="24DE6B2D" w14:textId="4E765F2F" w:rsidR="00D45DD9" w:rsidRPr="006E3C06" w:rsidRDefault="006E3C06" w:rsidP="006E3C06">
            <w:pPr>
              <w:bidi w:val="0"/>
              <w:spacing w:line="240" w:lineRule="exact"/>
              <w:jc w:val="left"/>
              <w:rPr>
                <w:lang w:val="en-GB"/>
              </w:rPr>
            </w:pPr>
            <w:r w:rsidRPr="006E3C06">
              <w:rPr>
                <w:rFonts w:eastAsia="Times New Roman" w:cs="Times New Roman"/>
                <w:lang w:val="en-GB" w:eastAsia="en-US"/>
              </w:rPr>
              <w:t>Origina</w:t>
            </w:r>
            <w:r w:rsidR="009770BA" w:rsidRPr="009770BA">
              <w:rPr>
                <w:rFonts w:eastAsia="Times New Roman" w:cs="Times New Roman"/>
                <w:lang w:val="en-GB" w:eastAsia="en-US"/>
              </w:rPr>
              <w:t xml:space="preserve">l: </w:t>
            </w:r>
            <w:r w:rsidRPr="006E3C06">
              <w:rPr>
                <w:rFonts w:eastAsia="Times New Roman" w:cs="Times New Roman"/>
                <w:lang w:val="en-GB" w:eastAsia="en-US"/>
              </w:rPr>
              <w:t>English</w:t>
            </w:r>
          </w:p>
        </w:tc>
      </w:tr>
    </w:tbl>
    <w:p w14:paraId="60F336F1" w14:textId="77B1D9A8" w:rsidR="00A02D6F" w:rsidRPr="00582767" w:rsidRDefault="00A02D6F" w:rsidP="00A02D6F">
      <w:pPr>
        <w:pStyle w:val="SingleTxtGA"/>
        <w:spacing w:before="120"/>
        <w:ind w:left="0"/>
        <w:rPr>
          <w:b/>
          <w:bCs/>
          <w:sz w:val="26"/>
          <w:szCs w:val="26"/>
          <w:rtl/>
        </w:rPr>
      </w:pPr>
      <w:r w:rsidRPr="00582767">
        <w:rPr>
          <w:b/>
          <w:bCs/>
          <w:sz w:val="26"/>
          <w:szCs w:val="26"/>
          <w:rtl/>
        </w:rPr>
        <w:t>لجنة حقوق الطفل</w:t>
      </w:r>
    </w:p>
    <w:p w14:paraId="6D8F92FD" w14:textId="4F16B99C" w:rsidR="00A02D6F" w:rsidRPr="00582767" w:rsidRDefault="00A02D6F" w:rsidP="00A02D6F">
      <w:pPr>
        <w:pStyle w:val="HChGA"/>
        <w:rPr>
          <w:rFonts w:hint="cs"/>
          <w:rtl/>
          <w:lang w:val="en-US"/>
        </w:rPr>
      </w:pPr>
      <w:r w:rsidRPr="00582767">
        <w:rPr>
          <w:rtl/>
        </w:rPr>
        <w:tab/>
      </w:r>
      <w:r w:rsidRPr="00582767">
        <w:rPr>
          <w:rtl/>
        </w:rPr>
        <w:tab/>
        <w:t>آراء اعتمدتها اللجنة بموجب البروتوكول الاختياري لاتفاقية حقوق الطفل المتعلق بإجراء تقديم البلاغات، بشأن البلاغ رقم 100/2019</w:t>
      </w:r>
      <w:r w:rsidRPr="00582767">
        <w:rPr>
          <w:rStyle w:val="FootnoteReference"/>
          <w:rFonts w:ascii="Times New Roman Bold" w:hAnsi="Times New Roman Bold"/>
          <w:position w:val="4"/>
          <w:sz w:val="28"/>
          <w:szCs w:val="26"/>
          <w:vertAlign w:val="baseline"/>
          <w:rtl/>
        </w:rPr>
        <w:footnoteReference w:customMarkFollows="1" w:id="1"/>
        <w:t>*</w:t>
      </w:r>
      <w:r w:rsidRPr="00582767">
        <w:rPr>
          <w:rFonts w:ascii="Times New Roman Bold" w:hAnsi="Times New Roman Bold" w:hint="cs"/>
          <w:position w:val="4"/>
          <w:sz w:val="36"/>
          <w:szCs w:val="34"/>
          <w:rtl/>
          <w:lang w:val="en-US"/>
        </w:rPr>
        <w:t xml:space="preserve"> </w:t>
      </w:r>
      <w:r w:rsidRPr="00582767">
        <w:rPr>
          <w:rStyle w:val="FootnoteReference"/>
          <w:rFonts w:ascii="Times New Roman Bold" w:hAnsi="Times New Roman Bold"/>
          <w:position w:val="4"/>
          <w:sz w:val="28"/>
          <w:szCs w:val="26"/>
          <w:vertAlign w:val="baseline"/>
          <w:rtl/>
          <w:lang w:val="en-US"/>
        </w:rPr>
        <w:footnoteReference w:customMarkFollows="1" w:id="2"/>
        <w:t>**</w:t>
      </w:r>
      <w:r w:rsidRPr="00582767">
        <w:rPr>
          <w:rFonts w:ascii="Times New Roman Bold" w:hAnsi="Times New Roman Bold" w:hint="cs"/>
          <w:position w:val="4"/>
          <w:sz w:val="36"/>
          <w:szCs w:val="34"/>
          <w:rtl/>
          <w:lang w:val="en-US"/>
        </w:rPr>
        <w:t xml:space="preserve"> </w:t>
      </w:r>
      <w:r w:rsidRPr="00582767">
        <w:rPr>
          <w:rStyle w:val="FootnoteReference"/>
          <w:rFonts w:ascii="Times New Roman Bold" w:hAnsi="Times New Roman Bold"/>
          <w:position w:val="4"/>
          <w:sz w:val="28"/>
          <w:szCs w:val="26"/>
          <w:vertAlign w:val="baseline"/>
          <w:rtl/>
          <w:lang w:val="en-US"/>
        </w:rPr>
        <w:footnoteReference w:customMarkFollows="1" w:id="3"/>
        <w:t>***</w:t>
      </w:r>
    </w:p>
    <w:p w14:paraId="3806F324" w14:textId="0858A988"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بلاغ مقدم من</w:t>
      </w:r>
      <w:r w:rsidR="006E3C06" w:rsidRPr="00582767">
        <w:rPr>
          <w:i/>
          <w:iCs/>
          <w:rtl/>
        </w:rPr>
        <w:t>:</w:t>
      </w:r>
      <w:r w:rsidR="006E3C06">
        <w:rPr>
          <w:rtl/>
        </w:rPr>
        <w:tab/>
      </w:r>
      <w:r w:rsidRPr="006E3C06">
        <w:rPr>
          <w:spacing w:val="-4"/>
          <w:rtl/>
        </w:rPr>
        <w:t>ب. ن.،</w:t>
      </w:r>
      <w:r w:rsidR="006E3C06" w:rsidRPr="006E3C06">
        <w:rPr>
          <w:spacing w:val="-4"/>
          <w:rtl/>
        </w:rPr>
        <w:t xml:space="preserve"> و</w:t>
      </w:r>
      <w:r w:rsidRPr="006E3C06">
        <w:rPr>
          <w:spacing w:val="-4"/>
          <w:rtl/>
        </w:rPr>
        <w:t>ك. ك.،</w:t>
      </w:r>
      <w:r w:rsidR="006E3C06" w:rsidRPr="006E3C06">
        <w:rPr>
          <w:spacing w:val="-4"/>
          <w:rtl/>
        </w:rPr>
        <w:t xml:space="preserve"> </w:t>
      </w:r>
      <w:proofErr w:type="spellStart"/>
      <w:r w:rsidR="006E3C06" w:rsidRPr="006E3C06">
        <w:rPr>
          <w:spacing w:val="-4"/>
          <w:rtl/>
        </w:rPr>
        <w:t>و</w:t>
      </w:r>
      <w:r w:rsidRPr="006E3C06">
        <w:rPr>
          <w:spacing w:val="-4"/>
          <w:rtl/>
        </w:rPr>
        <w:t>أُ</w:t>
      </w:r>
      <w:proofErr w:type="spellEnd"/>
      <w:r w:rsidRPr="006E3C06">
        <w:rPr>
          <w:spacing w:val="-4"/>
          <w:rtl/>
        </w:rPr>
        <w:t>. م. (تمثلهن المحامية يوهانا نيمي)</w:t>
      </w:r>
    </w:p>
    <w:p w14:paraId="7DAA7009" w14:textId="7832910C"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الأشخاص المدعى أنهم ضحايا</w:t>
      </w:r>
      <w:r w:rsidR="006E3C06" w:rsidRPr="00582767">
        <w:rPr>
          <w:i/>
          <w:iCs/>
          <w:rtl/>
        </w:rPr>
        <w:t>:</w:t>
      </w:r>
      <w:r w:rsidR="006E3C06">
        <w:rPr>
          <w:rtl/>
        </w:rPr>
        <w:tab/>
      </w:r>
      <w:r w:rsidRPr="006E3C06">
        <w:rPr>
          <w:spacing w:val="-4"/>
          <w:rtl/>
        </w:rPr>
        <w:t>س. ن.،</w:t>
      </w:r>
      <w:r w:rsidR="006E3C06" w:rsidRPr="006E3C06">
        <w:rPr>
          <w:spacing w:val="-4"/>
          <w:rtl/>
        </w:rPr>
        <w:t xml:space="preserve"> و</w:t>
      </w:r>
      <w:r w:rsidRPr="006E3C06">
        <w:rPr>
          <w:spacing w:val="-4"/>
          <w:rtl/>
        </w:rPr>
        <w:t>مُح. ك.،</w:t>
      </w:r>
      <w:r w:rsidR="006E3C06" w:rsidRPr="006E3C06">
        <w:rPr>
          <w:spacing w:val="-4"/>
          <w:rtl/>
        </w:rPr>
        <w:t xml:space="preserve"> </w:t>
      </w:r>
      <w:proofErr w:type="spellStart"/>
      <w:r w:rsidR="006E3C06" w:rsidRPr="006E3C06">
        <w:rPr>
          <w:spacing w:val="-4"/>
          <w:rtl/>
        </w:rPr>
        <w:t>و</w:t>
      </w:r>
      <w:r w:rsidRPr="006E3C06">
        <w:rPr>
          <w:spacing w:val="-4"/>
          <w:rtl/>
        </w:rPr>
        <w:t>مو</w:t>
      </w:r>
      <w:proofErr w:type="spellEnd"/>
      <w:r w:rsidRPr="006E3C06">
        <w:rPr>
          <w:spacing w:val="-4"/>
          <w:rtl/>
        </w:rPr>
        <w:t>. ك.،</w:t>
      </w:r>
      <w:r w:rsidR="006E3C06" w:rsidRPr="006E3C06">
        <w:rPr>
          <w:spacing w:val="-4"/>
          <w:rtl/>
        </w:rPr>
        <w:t xml:space="preserve"> </w:t>
      </w:r>
      <w:proofErr w:type="spellStart"/>
      <w:r w:rsidR="006E3C06" w:rsidRPr="006E3C06">
        <w:rPr>
          <w:spacing w:val="-4"/>
          <w:rtl/>
        </w:rPr>
        <w:t>و</w:t>
      </w:r>
      <w:r w:rsidRPr="006E3C06">
        <w:rPr>
          <w:spacing w:val="-4"/>
          <w:rtl/>
        </w:rPr>
        <w:t>س</w:t>
      </w:r>
      <w:proofErr w:type="spellEnd"/>
      <w:r w:rsidRPr="006E3C06">
        <w:rPr>
          <w:spacing w:val="-4"/>
          <w:rtl/>
        </w:rPr>
        <w:t>. م.،</w:t>
      </w:r>
      <w:r w:rsidR="006E3C06" w:rsidRPr="006E3C06">
        <w:rPr>
          <w:spacing w:val="-4"/>
          <w:rtl/>
        </w:rPr>
        <w:t xml:space="preserve"> و</w:t>
      </w:r>
      <w:r w:rsidRPr="006E3C06">
        <w:rPr>
          <w:spacing w:val="-4"/>
          <w:rtl/>
        </w:rPr>
        <w:t>ك. م.،</w:t>
      </w:r>
      <w:r w:rsidR="006E3C06" w:rsidRPr="006E3C06">
        <w:rPr>
          <w:spacing w:val="-4"/>
          <w:rtl/>
        </w:rPr>
        <w:t xml:space="preserve"> </w:t>
      </w:r>
      <w:proofErr w:type="spellStart"/>
      <w:r w:rsidR="006E3C06" w:rsidRPr="006E3C06">
        <w:rPr>
          <w:spacing w:val="-4"/>
          <w:rtl/>
        </w:rPr>
        <w:t>و</w:t>
      </w:r>
      <w:r w:rsidRPr="006E3C06">
        <w:rPr>
          <w:spacing w:val="-4"/>
          <w:rtl/>
        </w:rPr>
        <w:t>ج</w:t>
      </w:r>
      <w:proofErr w:type="spellEnd"/>
      <w:r w:rsidRPr="006E3C06">
        <w:rPr>
          <w:spacing w:val="-4"/>
          <w:rtl/>
        </w:rPr>
        <w:t>. م.</w:t>
      </w:r>
    </w:p>
    <w:p w14:paraId="0E98FFCF" w14:textId="64D5105C"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دولة طرف</w:t>
      </w:r>
      <w:r w:rsidR="006E3C06" w:rsidRPr="00582767">
        <w:rPr>
          <w:i/>
          <w:iCs/>
          <w:rtl/>
        </w:rPr>
        <w:t>:</w:t>
      </w:r>
      <w:r w:rsidR="006E3C06">
        <w:rPr>
          <w:rtl/>
        </w:rPr>
        <w:tab/>
      </w:r>
      <w:r w:rsidRPr="006E3C06">
        <w:rPr>
          <w:rtl/>
        </w:rPr>
        <w:t>فنلندا</w:t>
      </w:r>
    </w:p>
    <w:p w14:paraId="1E9A6977" w14:textId="1B99250F"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تاريخ تقديم البلاغ</w:t>
      </w:r>
      <w:r w:rsidR="006E3C06" w:rsidRPr="00582767">
        <w:rPr>
          <w:i/>
          <w:iCs/>
          <w:rtl/>
        </w:rPr>
        <w:t>:</w:t>
      </w:r>
      <w:r w:rsidR="006E3C06">
        <w:rPr>
          <w:rtl/>
        </w:rPr>
        <w:tab/>
      </w:r>
      <w:r w:rsidRPr="00582767">
        <w:rPr>
          <w:rtl/>
        </w:rPr>
        <w:t>30</w:t>
      </w:r>
      <w:r w:rsidRPr="006E3C06">
        <w:rPr>
          <w:rtl/>
        </w:rPr>
        <w:t xml:space="preserve"> أيلول/سبتمبر </w:t>
      </w:r>
      <w:r w:rsidRPr="00582767">
        <w:rPr>
          <w:rtl/>
        </w:rPr>
        <w:t>2019</w:t>
      </w:r>
      <w:r w:rsidRPr="006E3C06">
        <w:rPr>
          <w:rtl/>
        </w:rPr>
        <w:t xml:space="preserve"> (تاريخ الرسالة الأولى)</w:t>
      </w:r>
    </w:p>
    <w:p w14:paraId="24CCB5BA" w14:textId="51F84290"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تاريخ اعتماد الآراء</w:t>
      </w:r>
      <w:r w:rsidR="006E3C06" w:rsidRPr="00582767">
        <w:rPr>
          <w:i/>
          <w:iCs/>
          <w:rtl/>
        </w:rPr>
        <w:t>:</w:t>
      </w:r>
      <w:r w:rsidR="006E3C06">
        <w:rPr>
          <w:rtl/>
        </w:rPr>
        <w:tab/>
      </w:r>
      <w:r w:rsidRPr="00582767">
        <w:rPr>
          <w:rtl/>
        </w:rPr>
        <w:t>12</w:t>
      </w:r>
      <w:r w:rsidRPr="006E3C06">
        <w:rPr>
          <w:rtl/>
        </w:rPr>
        <w:t xml:space="preserve"> أيلول/سبتمبر </w:t>
      </w:r>
      <w:r w:rsidRPr="00582767">
        <w:rPr>
          <w:rtl/>
        </w:rPr>
        <w:t>2022</w:t>
      </w:r>
    </w:p>
    <w:p w14:paraId="5C645C96" w14:textId="755C698E"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الموضوع</w:t>
      </w:r>
      <w:r w:rsidR="006E3C06" w:rsidRPr="00582767">
        <w:rPr>
          <w:i/>
          <w:iCs/>
          <w:rtl/>
        </w:rPr>
        <w:t>:</w:t>
      </w:r>
      <w:r w:rsidR="006E3C06">
        <w:rPr>
          <w:rtl/>
        </w:rPr>
        <w:tab/>
      </w:r>
      <w:r w:rsidRPr="006E3C06">
        <w:rPr>
          <w:rtl/>
        </w:rPr>
        <w:t>إعادة أطفال ارتبط آباؤهم بأنشطة إرهابية من مخيمات اللاجئين في الجمهورية العربية السورية إلى وطنهم</w:t>
      </w:r>
    </w:p>
    <w:p w14:paraId="1140D34B" w14:textId="61F10E44"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المسائل الإجرائية</w:t>
      </w:r>
      <w:r w:rsidR="006E3C06" w:rsidRPr="00582767">
        <w:rPr>
          <w:i/>
          <w:iCs/>
          <w:rtl/>
        </w:rPr>
        <w:t>:</w:t>
      </w:r>
      <w:r w:rsidR="006E3C06">
        <w:rPr>
          <w:rtl/>
        </w:rPr>
        <w:tab/>
      </w:r>
      <w:r w:rsidRPr="006E3C06">
        <w:rPr>
          <w:rtl/>
        </w:rPr>
        <w:t xml:space="preserve">الولاية القضائية؛ استنفاد سبل الانتصاف المحلية؛ </w:t>
      </w:r>
      <w:r w:rsidRPr="00582767">
        <w:rPr>
          <w:i/>
          <w:iCs/>
          <w:rtl/>
        </w:rPr>
        <w:t>الاختصاص الزمني</w:t>
      </w:r>
      <w:r w:rsidRPr="006E3C06">
        <w:rPr>
          <w:rtl/>
        </w:rPr>
        <w:t xml:space="preserve">؛ </w:t>
      </w:r>
      <w:r w:rsidRPr="00582767">
        <w:rPr>
          <w:i/>
          <w:iCs/>
          <w:rtl/>
        </w:rPr>
        <w:t>الحق في التقاضي</w:t>
      </w:r>
    </w:p>
    <w:p w14:paraId="7EF68DD4" w14:textId="5B8A699B"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المسائل الموضوعية</w:t>
      </w:r>
      <w:r w:rsidR="006E3C06" w:rsidRPr="00582767">
        <w:rPr>
          <w:i/>
          <w:iCs/>
          <w:rtl/>
        </w:rPr>
        <w:t>:</w:t>
      </w:r>
      <w:r w:rsidR="006E3C06">
        <w:rPr>
          <w:rtl/>
        </w:rPr>
        <w:tab/>
      </w:r>
      <w:r w:rsidRPr="006E3C06">
        <w:rPr>
          <w:spacing w:val="-4"/>
          <w:rtl/>
        </w:rPr>
        <w:t>التدابير الوقائية؛ الحق في الحياة؛ الحصول على الرعاية</w:t>
      </w:r>
      <w:r w:rsidRPr="006E3C06">
        <w:rPr>
          <w:rtl/>
        </w:rPr>
        <w:t xml:space="preserve"> الطبية؛ الاحتجاز التعسفي</w:t>
      </w:r>
    </w:p>
    <w:p w14:paraId="53ABF6F3" w14:textId="30B334C1"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مواد الاتفاقية</w:t>
      </w:r>
      <w:r w:rsidR="006E3C06" w:rsidRPr="00582767">
        <w:rPr>
          <w:i/>
          <w:iCs/>
          <w:rtl/>
        </w:rPr>
        <w:t>:</w:t>
      </w:r>
      <w:r w:rsidR="006E3C06">
        <w:rPr>
          <w:rtl/>
        </w:rPr>
        <w:tab/>
      </w:r>
      <w:r w:rsidRPr="00582767">
        <w:rPr>
          <w:rtl/>
        </w:rPr>
        <w:t>2</w:t>
      </w:r>
      <w:r w:rsidRPr="006E3C06">
        <w:rPr>
          <w:rtl/>
        </w:rPr>
        <w:t>، و</w:t>
      </w:r>
      <w:r w:rsidRPr="00582767">
        <w:rPr>
          <w:rtl/>
        </w:rPr>
        <w:t>6</w:t>
      </w:r>
      <w:r w:rsidRPr="006E3C06">
        <w:rPr>
          <w:rtl/>
        </w:rPr>
        <w:t>، و</w:t>
      </w:r>
      <w:r w:rsidRPr="00582767">
        <w:rPr>
          <w:rtl/>
        </w:rPr>
        <w:t>19</w:t>
      </w:r>
      <w:r w:rsidRPr="006E3C06">
        <w:rPr>
          <w:rtl/>
        </w:rPr>
        <w:t>، و</w:t>
      </w:r>
      <w:r w:rsidRPr="00582767">
        <w:rPr>
          <w:rtl/>
        </w:rPr>
        <w:t>20</w:t>
      </w:r>
      <w:r w:rsidRPr="006E3C06">
        <w:rPr>
          <w:rtl/>
        </w:rPr>
        <w:t>، و</w:t>
      </w:r>
      <w:r w:rsidRPr="00582767">
        <w:rPr>
          <w:rtl/>
        </w:rPr>
        <w:t>24</w:t>
      </w:r>
      <w:r w:rsidRPr="006E3C06">
        <w:rPr>
          <w:rtl/>
        </w:rPr>
        <w:t>، و</w:t>
      </w:r>
      <w:r w:rsidRPr="00582767">
        <w:rPr>
          <w:rtl/>
        </w:rPr>
        <w:t>27</w:t>
      </w:r>
      <w:r w:rsidRPr="006E3C06">
        <w:rPr>
          <w:rtl/>
        </w:rPr>
        <w:t>، و</w:t>
      </w:r>
      <w:r w:rsidRPr="00582767">
        <w:rPr>
          <w:rtl/>
        </w:rPr>
        <w:t>28</w:t>
      </w:r>
      <w:r w:rsidRPr="006E3C06">
        <w:rPr>
          <w:rtl/>
        </w:rPr>
        <w:t>، و</w:t>
      </w:r>
      <w:r w:rsidRPr="00582767">
        <w:rPr>
          <w:rtl/>
        </w:rPr>
        <w:t>37</w:t>
      </w:r>
      <w:r w:rsidRPr="006E3C06">
        <w:rPr>
          <w:rtl/>
        </w:rPr>
        <w:t>، و</w:t>
      </w:r>
      <w:r w:rsidRPr="00582767">
        <w:rPr>
          <w:rtl/>
        </w:rPr>
        <w:t>39</w:t>
      </w:r>
      <w:r w:rsidRPr="006E3C06">
        <w:rPr>
          <w:rtl/>
        </w:rPr>
        <w:t>، و</w:t>
      </w:r>
      <w:r w:rsidRPr="00582767">
        <w:rPr>
          <w:rtl/>
        </w:rPr>
        <w:t>40</w:t>
      </w:r>
    </w:p>
    <w:p w14:paraId="072DA8B7" w14:textId="77777777" w:rsidR="00A02D6F"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 xml:space="preserve">مادة البروتوكول الاختياري بشأن اشتراك الأطفال في المنازعات </w:t>
      </w:r>
      <w:r w:rsidRPr="00582767">
        <w:rPr>
          <w:i/>
          <w:iCs/>
          <w:rtl/>
        </w:rPr>
        <w:t>المسلحة:</w:t>
      </w:r>
      <w:r>
        <w:rPr>
          <w:rtl/>
        </w:rPr>
        <w:tab/>
      </w:r>
      <w:r w:rsidRPr="00582767">
        <w:rPr>
          <w:rtl/>
        </w:rPr>
        <w:t>7</w:t>
      </w:r>
    </w:p>
    <w:p w14:paraId="7DAE1F30" w14:textId="412E42D7" w:rsidR="00A02D6F" w:rsidRPr="006E3C06" w:rsidRDefault="00A02D6F" w:rsidP="006E3C06">
      <w:pPr>
        <w:pStyle w:val="SingleTxtGA"/>
        <w:tabs>
          <w:tab w:val="clear" w:pos="1928"/>
          <w:tab w:val="clear" w:pos="2608"/>
          <w:tab w:val="clear" w:pos="3289"/>
          <w:tab w:val="clear" w:pos="3969"/>
          <w:tab w:val="clear" w:pos="4649"/>
          <w:tab w:val="clear" w:pos="5330"/>
        </w:tabs>
        <w:ind w:left="4649" w:hanging="2721"/>
        <w:rPr>
          <w:rtl/>
        </w:rPr>
      </w:pPr>
      <w:r w:rsidRPr="00582767">
        <w:rPr>
          <w:i/>
          <w:iCs/>
          <w:rtl/>
        </w:rPr>
        <w:t>مواد البروتوكول الاختياري المتعلق بإجراء تقديم البلاغات</w:t>
      </w:r>
      <w:r w:rsidR="006E3C06" w:rsidRPr="00582767">
        <w:rPr>
          <w:i/>
          <w:iCs/>
          <w:rtl/>
        </w:rPr>
        <w:t>:</w:t>
      </w:r>
      <w:r w:rsidR="006E3C06">
        <w:rPr>
          <w:rtl/>
        </w:rPr>
        <w:tab/>
      </w:r>
      <w:r w:rsidRPr="00582767">
        <w:rPr>
          <w:rtl/>
        </w:rPr>
        <w:t>5</w:t>
      </w:r>
      <w:r w:rsidRPr="006E3C06">
        <w:rPr>
          <w:rtl/>
        </w:rPr>
        <w:t>(</w:t>
      </w:r>
      <w:r w:rsidR="009770BA" w:rsidRPr="00582767">
        <w:rPr>
          <w:rtl/>
        </w:rPr>
        <w:t>1</w:t>
      </w:r>
      <w:r w:rsidR="009770BA" w:rsidRPr="009770BA">
        <w:rPr>
          <w:rtl/>
        </w:rPr>
        <w:t xml:space="preserve">) </w:t>
      </w:r>
      <w:r w:rsidRPr="006E3C06">
        <w:rPr>
          <w:rtl/>
        </w:rPr>
        <w:t>و(</w:t>
      </w:r>
      <w:r w:rsidRPr="00582767">
        <w:rPr>
          <w:rtl/>
        </w:rPr>
        <w:t>2</w:t>
      </w:r>
      <w:r w:rsidR="009770BA" w:rsidRPr="009770BA">
        <w:rPr>
          <w:rtl/>
        </w:rPr>
        <w:t xml:space="preserve">)، </w:t>
      </w:r>
      <w:r w:rsidRPr="006E3C06">
        <w:rPr>
          <w:rtl/>
        </w:rPr>
        <w:t>و</w:t>
      </w:r>
      <w:r w:rsidRPr="00582767">
        <w:rPr>
          <w:rtl/>
        </w:rPr>
        <w:t>7</w:t>
      </w:r>
      <w:r w:rsidRPr="006E3C06">
        <w:rPr>
          <w:rtl/>
        </w:rPr>
        <w:t>(ه)</w:t>
      </w:r>
      <w:r w:rsidR="006E3C06">
        <w:rPr>
          <w:rtl/>
        </w:rPr>
        <w:t xml:space="preserve"> و</w:t>
      </w:r>
      <w:r w:rsidRPr="006E3C06">
        <w:rPr>
          <w:rtl/>
        </w:rPr>
        <w:t>(و)</w:t>
      </w:r>
    </w:p>
    <w:p w14:paraId="072E9ED6" w14:textId="4B21C8F2" w:rsidR="009770BA" w:rsidRPr="009770BA" w:rsidRDefault="00A02D6F" w:rsidP="00A02D6F">
      <w:pPr>
        <w:pStyle w:val="SingleTxtGA"/>
        <w:rPr>
          <w:rtl/>
        </w:rPr>
      </w:pPr>
      <w:r w:rsidRPr="00582767">
        <w:rPr>
          <w:rtl/>
        </w:rPr>
        <w:lastRenderedPageBreak/>
        <w:t>1</w:t>
      </w:r>
      <w:r>
        <w:rPr>
          <w:rtl/>
        </w:rPr>
        <w:t>-</w:t>
      </w:r>
      <w:r w:rsidRPr="00582767">
        <w:rPr>
          <w:rtl/>
        </w:rPr>
        <w:t>1</w:t>
      </w:r>
      <w:r>
        <w:rPr>
          <w:rtl/>
        </w:rPr>
        <w:tab/>
      </w:r>
      <w:r w:rsidRPr="006E3C06">
        <w:rPr>
          <w:spacing w:val="-4"/>
          <w:rtl/>
        </w:rPr>
        <w:t xml:space="preserve">صاحبات البلاغ هنّ ب. ن.، التي تتصرف نيابة عن ابنة أخيها س. ن. (المولودة في عام </w:t>
      </w:r>
      <w:r w:rsidRPr="00582767">
        <w:rPr>
          <w:spacing w:val="-4"/>
          <w:rtl/>
        </w:rPr>
        <w:t>2017</w:t>
      </w:r>
      <w:r w:rsidR="009770BA" w:rsidRPr="009770BA">
        <w:rPr>
          <w:spacing w:val="-4"/>
          <w:rtl/>
        </w:rPr>
        <w:t>)،</w:t>
      </w:r>
      <w:r w:rsidR="009770BA" w:rsidRPr="009770BA">
        <w:rPr>
          <w:rtl/>
        </w:rPr>
        <w:t xml:space="preserve"> </w:t>
      </w:r>
      <w:r w:rsidR="006E3C06" w:rsidRPr="006E3C06">
        <w:rPr>
          <w:spacing w:val="-5"/>
          <w:rtl/>
        </w:rPr>
        <w:t>و</w:t>
      </w:r>
      <w:r w:rsidRPr="006E3C06">
        <w:rPr>
          <w:spacing w:val="-5"/>
          <w:rtl/>
        </w:rPr>
        <w:t xml:space="preserve">ك. ك.، التي تتصرف نيابة عن حفيديها مُح. ك. (المولود في عام </w:t>
      </w:r>
      <w:r w:rsidRPr="00582767">
        <w:rPr>
          <w:spacing w:val="-5"/>
          <w:rtl/>
        </w:rPr>
        <w:t>201</w:t>
      </w:r>
      <w:r w:rsidR="009770BA" w:rsidRPr="00582767">
        <w:rPr>
          <w:spacing w:val="-5"/>
          <w:rtl/>
        </w:rPr>
        <w:t>7</w:t>
      </w:r>
      <w:r w:rsidR="009770BA" w:rsidRPr="009770BA">
        <w:rPr>
          <w:spacing w:val="-5"/>
          <w:rtl/>
        </w:rPr>
        <w:t>)</w:t>
      </w:r>
      <w:r w:rsidR="009770BA" w:rsidRPr="009770BA">
        <w:rPr>
          <w:spacing w:val="-5"/>
          <w:rtl/>
        </w:rPr>
        <w:t xml:space="preserve"> </w:t>
      </w:r>
      <w:proofErr w:type="spellStart"/>
      <w:r w:rsidR="006E3C06" w:rsidRPr="006E3C06">
        <w:rPr>
          <w:spacing w:val="-5"/>
          <w:rtl/>
        </w:rPr>
        <w:t>و</w:t>
      </w:r>
      <w:r w:rsidRPr="006E3C06">
        <w:rPr>
          <w:spacing w:val="-5"/>
          <w:rtl/>
        </w:rPr>
        <w:t>مو</w:t>
      </w:r>
      <w:proofErr w:type="spellEnd"/>
      <w:r w:rsidRPr="006E3C06">
        <w:rPr>
          <w:spacing w:val="-5"/>
          <w:rtl/>
        </w:rPr>
        <w:t xml:space="preserve">. ك. (المولود في عام </w:t>
      </w:r>
      <w:r w:rsidRPr="00582767">
        <w:rPr>
          <w:spacing w:val="-5"/>
          <w:rtl/>
        </w:rPr>
        <w:t>2016</w:t>
      </w:r>
      <w:r w:rsidR="009770BA" w:rsidRPr="009770BA">
        <w:rPr>
          <w:spacing w:val="-5"/>
          <w:rtl/>
        </w:rPr>
        <w:t>)،</w:t>
      </w:r>
      <w:r w:rsidR="009770BA" w:rsidRPr="009770BA">
        <w:rPr>
          <w:rtl/>
        </w:rPr>
        <w:t xml:space="preserve"> </w:t>
      </w:r>
      <w:proofErr w:type="spellStart"/>
      <w:r w:rsidR="006E3C06" w:rsidRPr="006E3C06">
        <w:rPr>
          <w:spacing w:val="-5"/>
          <w:rtl/>
        </w:rPr>
        <w:t>و</w:t>
      </w:r>
      <w:r w:rsidRPr="006E3C06">
        <w:rPr>
          <w:spacing w:val="-5"/>
          <w:rtl/>
        </w:rPr>
        <w:t>أُ</w:t>
      </w:r>
      <w:proofErr w:type="spellEnd"/>
      <w:r w:rsidRPr="006E3C06">
        <w:rPr>
          <w:spacing w:val="-5"/>
          <w:rtl/>
        </w:rPr>
        <w:t xml:space="preserve">. م.، التي تتصرف نيابة عن أحفادها س. م. (المولود في عام </w:t>
      </w:r>
      <w:r w:rsidRPr="00582767">
        <w:rPr>
          <w:spacing w:val="-5"/>
          <w:rtl/>
        </w:rPr>
        <w:t>2017</w:t>
      </w:r>
      <w:r w:rsidR="009770BA" w:rsidRPr="009770BA">
        <w:rPr>
          <w:spacing w:val="-5"/>
          <w:rtl/>
        </w:rPr>
        <w:t>)،</w:t>
      </w:r>
      <w:r w:rsidR="009770BA" w:rsidRPr="009770BA">
        <w:rPr>
          <w:spacing w:val="-5"/>
          <w:rtl/>
        </w:rPr>
        <w:t xml:space="preserve"> </w:t>
      </w:r>
      <w:r w:rsidR="006E3C06" w:rsidRPr="006E3C06">
        <w:rPr>
          <w:spacing w:val="-5"/>
          <w:rtl/>
        </w:rPr>
        <w:t>و</w:t>
      </w:r>
      <w:r w:rsidRPr="006E3C06">
        <w:rPr>
          <w:spacing w:val="-5"/>
          <w:rtl/>
        </w:rPr>
        <w:t xml:space="preserve">ك. م. (المولود في عام </w:t>
      </w:r>
      <w:r w:rsidRPr="00582767">
        <w:rPr>
          <w:spacing w:val="-5"/>
          <w:rtl/>
        </w:rPr>
        <w:t>2014</w:t>
      </w:r>
      <w:r w:rsidR="009770BA" w:rsidRPr="009770BA">
        <w:rPr>
          <w:spacing w:val="-5"/>
          <w:rtl/>
        </w:rPr>
        <w:t>)،</w:t>
      </w:r>
      <w:r w:rsidR="009770BA" w:rsidRPr="009770BA">
        <w:rPr>
          <w:rtl/>
        </w:rPr>
        <w:t xml:space="preserve"> </w:t>
      </w:r>
      <w:proofErr w:type="spellStart"/>
      <w:r w:rsidR="006E3C06" w:rsidRPr="00F977A5">
        <w:rPr>
          <w:spacing w:val="-2"/>
          <w:rtl/>
        </w:rPr>
        <w:t>و</w:t>
      </w:r>
      <w:r w:rsidRPr="00F977A5">
        <w:rPr>
          <w:spacing w:val="-2"/>
          <w:rtl/>
        </w:rPr>
        <w:t>ج</w:t>
      </w:r>
      <w:proofErr w:type="spellEnd"/>
      <w:r w:rsidRPr="00F977A5">
        <w:rPr>
          <w:spacing w:val="-2"/>
          <w:rtl/>
        </w:rPr>
        <w:t xml:space="preserve">. م (المولود في عام </w:t>
      </w:r>
      <w:r w:rsidRPr="00582767">
        <w:rPr>
          <w:spacing w:val="-2"/>
          <w:rtl/>
        </w:rPr>
        <w:t>201</w:t>
      </w:r>
      <w:r w:rsidR="009770BA" w:rsidRPr="00582767">
        <w:rPr>
          <w:spacing w:val="-2"/>
          <w:rtl/>
        </w:rPr>
        <w:t>3</w:t>
      </w:r>
      <w:r w:rsidR="009770BA" w:rsidRPr="00F977A5">
        <w:rPr>
          <w:spacing w:val="-2"/>
          <w:rtl/>
        </w:rPr>
        <w:t xml:space="preserve">). </w:t>
      </w:r>
      <w:r w:rsidRPr="00F977A5">
        <w:rPr>
          <w:spacing w:val="-2"/>
          <w:rtl/>
        </w:rPr>
        <w:t>وصاحبات البلاغ مواطنات فنلنديات. ويقدمن هذا البلاغ نيابة عن الأطفال</w:t>
      </w:r>
      <w:r w:rsidRPr="00F977A5">
        <w:rPr>
          <w:spacing w:val="-4"/>
          <w:rtl/>
        </w:rPr>
        <w:t xml:space="preserve"> المذكورين أعلاه، وهم</w:t>
      </w:r>
      <w:r w:rsidR="006E3C06" w:rsidRPr="00F977A5">
        <w:rPr>
          <w:spacing w:val="-4"/>
          <w:rtl/>
        </w:rPr>
        <w:t xml:space="preserve"> أيضاً </w:t>
      </w:r>
      <w:r w:rsidRPr="00F977A5">
        <w:rPr>
          <w:spacing w:val="-4"/>
          <w:rtl/>
        </w:rPr>
        <w:t>مواطنون فنلنديون، ونيابة</w:t>
      </w:r>
      <w:r w:rsidR="006E3C06" w:rsidRPr="00F977A5">
        <w:rPr>
          <w:spacing w:val="-4"/>
          <w:rtl/>
        </w:rPr>
        <w:t xml:space="preserve"> أيضاً </w:t>
      </w:r>
      <w:r w:rsidRPr="00F977A5">
        <w:rPr>
          <w:spacing w:val="-4"/>
          <w:rtl/>
        </w:rPr>
        <w:t xml:space="preserve">عن </w:t>
      </w:r>
      <w:r w:rsidRPr="00582767">
        <w:rPr>
          <w:spacing w:val="-4"/>
          <w:rtl/>
        </w:rPr>
        <w:t>33</w:t>
      </w:r>
      <w:r w:rsidRPr="00F977A5">
        <w:rPr>
          <w:spacing w:val="-4"/>
          <w:rtl/>
        </w:rPr>
        <w:t xml:space="preserve"> طفلاً فنلندياً آخرين محتجزين في مخيم</w:t>
      </w:r>
      <w:r>
        <w:rPr>
          <w:rtl/>
        </w:rPr>
        <w:t xml:space="preserve"> </w:t>
      </w:r>
      <w:r w:rsidRPr="006E3C06">
        <w:rPr>
          <w:spacing w:val="-5"/>
          <w:rtl/>
        </w:rPr>
        <w:t>الهول ولا يستفيدون من المعونة القضائية أو المعلومات القانونية التي من شأنها أن تمكّنهم من تقديم بلاغاتهم.</w:t>
      </w:r>
      <w:r>
        <w:rPr>
          <w:rtl/>
        </w:rPr>
        <w:t xml:space="preserve"> </w:t>
      </w:r>
      <w:r w:rsidRPr="006E3C06">
        <w:rPr>
          <w:spacing w:val="-5"/>
          <w:rtl/>
        </w:rPr>
        <w:t>ويُدعى أن آباء هؤلاء الأطفال الضحايا تعاونوا مع تنظيم داعش. ووُلد هؤلاء الأطفال الضحايا في الجمهورية</w:t>
      </w:r>
      <w:r>
        <w:rPr>
          <w:rtl/>
        </w:rPr>
        <w:t xml:space="preserve"> </w:t>
      </w:r>
      <w:r w:rsidRPr="006E3C06">
        <w:rPr>
          <w:spacing w:val="-5"/>
          <w:rtl/>
        </w:rPr>
        <w:t>العربية السورية، وهم محتجزون حالياً في مخيم الهول في شمال شرق البلد، الذي تسيطر عليه قوات سوريا</w:t>
      </w:r>
      <w:r>
        <w:rPr>
          <w:rtl/>
        </w:rPr>
        <w:t xml:space="preserve"> الديمقراطية. وتدعي صاحبات البلاغ أن الدولة الطرف لم تتخذ التدابير اللازمة لإعادة الأطفال الضحايا </w:t>
      </w:r>
      <w:r w:rsidRPr="006E3C06">
        <w:rPr>
          <w:spacing w:val="-5"/>
          <w:rtl/>
        </w:rPr>
        <w:t xml:space="preserve">إلى فنلندا وأن إخفاقها هذا يشكل انتهاكاً للمواد </w:t>
      </w:r>
      <w:r w:rsidRPr="00582767">
        <w:rPr>
          <w:spacing w:val="-5"/>
          <w:rtl/>
        </w:rPr>
        <w:t>2</w:t>
      </w:r>
      <w:r w:rsidRPr="006E3C06">
        <w:rPr>
          <w:spacing w:val="-5"/>
          <w:rtl/>
        </w:rPr>
        <w:t>، و</w:t>
      </w:r>
      <w:r w:rsidRPr="00582767">
        <w:rPr>
          <w:spacing w:val="-5"/>
          <w:rtl/>
        </w:rPr>
        <w:t>6</w:t>
      </w:r>
      <w:r w:rsidRPr="006E3C06">
        <w:rPr>
          <w:spacing w:val="-5"/>
          <w:rtl/>
        </w:rPr>
        <w:t>، و</w:t>
      </w:r>
      <w:r w:rsidRPr="00582767">
        <w:rPr>
          <w:spacing w:val="-5"/>
          <w:rtl/>
        </w:rPr>
        <w:t>19</w:t>
      </w:r>
      <w:r w:rsidRPr="006E3C06">
        <w:rPr>
          <w:spacing w:val="-5"/>
          <w:rtl/>
        </w:rPr>
        <w:t>، و</w:t>
      </w:r>
      <w:r w:rsidRPr="00582767">
        <w:rPr>
          <w:spacing w:val="-5"/>
          <w:rtl/>
        </w:rPr>
        <w:t>20</w:t>
      </w:r>
      <w:r w:rsidRPr="006E3C06">
        <w:rPr>
          <w:spacing w:val="-5"/>
          <w:rtl/>
        </w:rPr>
        <w:t>، و</w:t>
      </w:r>
      <w:r w:rsidRPr="00582767">
        <w:rPr>
          <w:spacing w:val="-5"/>
          <w:rtl/>
        </w:rPr>
        <w:t>24</w:t>
      </w:r>
      <w:r w:rsidRPr="006E3C06">
        <w:rPr>
          <w:spacing w:val="-5"/>
          <w:rtl/>
        </w:rPr>
        <w:t>، و</w:t>
      </w:r>
      <w:r w:rsidRPr="00582767">
        <w:rPr>
          <w:spacing w:val="-5"/>
          <w:rtl/>
        </w:rPr>
        <w:t>27</w:t>
      </w:r>
      <w:r w:rsidRPr="006E3C06">
        <w:rPr>
          <w:spacing w:val="-5"/>
          <w:rtl/>
        </w:rPr>
        <w:t>، و</w:t>
      </w:r>
      <w:r w:rsidRPr="00582767">
        <w:rPr>
          <w:spacing w:val="-5"/>
          <w:rtl/>
        </w:rPr>
        <w:t>28</w:t>
      </w:r>
      <w:r w:rsidRPr="006E3C06">
        <w:rPr>
          <w:spacing w:val="-5"/>
          <w:rtl/>
        </w:rPr>
        <w:t>، و</w:t>
      </w:r>
      <w:r w:rsidRPr="00582767">
        <w:rPr>
          <w:spacing w:val="-5"/>
          <w:rtl/>
        </w:rPr>
        <w:t>37</w:t>
      </w:r>
      <w:r w:rsidRPr="006E3C06">
        <w:rPr>
          <w:spacing w:val="-5"/>
          <w:rtl/>
        </w:rPr>
        <w:t>، و</w:t>
      </w:r>
      <w:r w:rsidRPr="00582767">
        <w:rPr>
          <w:spacing w:val="-5"/>
          <w:rtl/>
        </w:rPr>
        <w:t>39</w:t>
      </w:r>
      <w:r w:rsidRPr="006E3C06">
        <w:rPr>
          <w:spacing w:val="-5"/>
          <w:rtl/>
        </w:rPr>
        <w:t>، و</w:t>
      </w:r>
      <w:r w:rsidRPr="00582767">
        <w:rPr>
          <w:spacing w:val="-5"/>
          <w:rtl/>
        </w:rPr>
        <w:t>40</w:t>
      </w:r>
      <w:r>
        <w:rPr>
          <w:rtl/>
        </w:rPr>
        <w:t xml:space="preserve"> من </w:t>
      </w:r>
      <w:r w:rsidRPr="006E3C06">
        <w:rPr>
          <w:spacing w:val="-4"/>
          <w:rtl/>
        </w:rPr>
        <w:t xml:space="preserve">الاتفاقية، إضافة إلى المادة </w:t>
      </w:r>
      <w:r w:rsidRPr="00582767">
        <w:rPr>
          <w:spacing w:val="-4"/>
          <w:rtl/>
        </w:rPr>
        <w:t>7</w:t>
      </w:r>
      <w:r w:rsidRPr="006E3C06">
        <w:rPr>
          <w:spacing w:val="-4"/>
          <w:rtl/>
        </w:rPr>
        <w:t xml:space="preserve"> من البروتوكول الاختياري للاتفاقية بشأن اشتراك الأطفال في المنازعات المسلحة.</w:t>
      </w:r>
      <w:r>
        <w:rPr>
          <w:rtl/>
        </w:rPr>
        <w:t xml:space="preserve"> </w:t>
      </w:r>
      <w:r w:rsidRPr="00E4149B">
        <w:rPr>
          <w:rtl/>
        </w:rPr>
        <w:t>وتمثل محاميةٌ صاحبات البلاغ. ودخل البروتوكول الاختياري لاتفاقية حقوق الطفل المتعلق بإجراء تقديم البلاغات</w:t>
      </w:r>
      <w:r>
        <w:rPr>
          <w:rtl/>
        </w:rPr>
        <w:t xml:space="preserve"> حيز النفاذ بالنسبة للدولة الطرف في </w:t>
      </w:r>
      <w:r w:rsidRPr="00582767">
        <w:rPr>
          <w:rtl/>
        </w:rPr>
        <w:t>12</w:t>
      </w:r>
      <w:r>
        <w:rPr>
          <w:rtl/>
        </w:rPr>
        <w:t xml:space="preserve"> شباط/فبراير </w:t>
      </w:r>
      <w:r w:rsidRPr="00582767">
        <w:rPr>
          <w:rtl/>
        </w:rPr>
        <w:t>201</w:t>
      </w:r>
      <w:r w:rsidR="009770BA" w:rsidRPr="00582767">
        <w:rPr>
          <w:rtl/>
        </w:rPr>
        <w:t>6</w:t>
      </w:r>
      <w:r w:rsidR="009770BA" w:rsidRPr="009770BA">
        <w:rPr>
          <w:rtl/>
        </w:rPr>
        <w:t>.</w:t>
      </w:r>
    </w:p>
    <w:p w14:paraId="49AE681B" w14:textId="6BA745DE" w:rsidR="00A02D6F" w:rsidRDefault="00A02D6F" w:rsidP="00A02D6F">
      <w:pPr>
        <w:pStyle w:val="SingleTxtGA"/>
        <w:rPr>
          <w:rtl/>
        </w:rPr>
      </w:pPr>
      <w:r w:rsidRPr="00582767">
        <w:rPr>
          <w:rtl/>
        </w:rPr>
        <w:t>1</w:t>
      </w:r>
      <w:r>
        <w:rPr>
          <w:rtl/>
        </w:rPr>
        <w:t>-</w:t>
      </w:r>
      <w:r w:rsidRPr="00582767">
        <w:rPr>
          <w:rtl/>
        </w:rPr>
        <w:t>2</w:t>
      </w:r>
      <w:r>
        <w:rPr>
          <w:rtl/>
        </w:rPr>
        <w:tab/>
        <w:t xml:space="preserve">وعملاً بالمادة </w:t>
      </w:r>
      <w:r w:rsidRPr="00582767">
        <w:rPr>
          <w:rtl/>
        </w:rPr>
        <w:t>6</w:t>
      </w:r>
      <w:r>
        <w:rPr>
          <w:rtl/>
        </w:rPr>
        <w:t xml:space="preserve"> من البروتوكول الاختياري المتعلق بإجراء تقديم البلاغات، ونيابة عن اللجنة، </w:t>
      </w:r>
      <w:r w:rsidRPr="006E3C06">
        <w:rPr>
          <w:spacing w:val="-4"/>
          <w:rtl/>
        </w:rPr>
        <w:t xml:space="preserve">رفض الفريق العامل المعني بالبلاغات، في </w:t>
      </w:r>
      <w:r w:rsidRPr="00582767">
        <w:rPr>
          <w:spacing w:val="-4"/>
          <w:rtl/>
        </w:rPr>
        <w:t>10</w:t>
      </w:r>
      <w:r w:rsidRPr="006E3C06">
        <w:rPr>
          <w:spacing w:val="-4"/>
          <w:rtl/>
        </w:rPr>
        <w:t xml:space="preserve"> تشرين الأول/أكتوبر </w:t>
      </w:r>
      <w:r w:rsidRPr="00582767">
        <w:rPr>
          <w:spacing w:val="-4"/>
          <w:rtl/>
        </w:rPr>
        <w:t>2019</w:t>
      </w:r>
      <w:r w:rsidRPr="006E3C06">
        <w:rPr>
          <w:spacing w:val="-4"/>
          <w:rtl/>
        </w:rPr>
        <w:t>، طلب صاحبات البلاغ العمل</w:t>
      </w:r>
      <w:r>
        <w:rPr>
          <w:rtl/>
        </w:rPr>
        <w:t xml:space="preserve"> بالتدابير المؤقتة لإعادة الأطفال إلى فنلندا. ومع ذلك، طلبت اللجنة إلى الدولة الطرف اتخاذ كل التدابير اللازمة لضمان سلامة الأطفال ورفاههم، بما في ذلك عن طريق ضمان استفادتهم من أي رعاية طبية قد</w:t>
      </w:r>
      <w:r w:rsidR="00F977A5">
        <w:rPr>
          <w:rFonts w:hint="cs"/>
          <w:rtl/>
        </w:rPr>
        <w:t> </w:t>
      </w:r>
      <w:r>
        <w:rPr>
          <w:rtl/>
        </w:rPr>
        <w:t>يحتاجون إليها.</w:t>
      </w:r>
    </w:p>
    <w:p w14:paraId="42DCA388" w14:textId="77777777" w:rsidR="00A02D6F" w:rsidRPr="00582767" w:rsidRDefault="00A02D6F" w:rsidP="006E3C06">
      <w:pPr>
        <w:pStyle w:val="H23GA"/>
        <w:rPr>
          <w:rtl/>
        </w:rPr>
      </w:pPr>
      <w:r w:rsidRPr="00582767">
        <w:rPr>
          <w:rtl/>
        </w:rPr>
        <w:tab/>
      </w:r>
      <w:r w:rsidRPr="00582767">
        <w:rPr>
          <w:rtl/>
        </w:rPr>
        <w:tab/>
        <w:t>الوقائع كما عرضتها صاحبات البلاغ</w:t>
      </w:r>
    </w:p>
    <w:p w14:paraId="257A7C70" w14:textId="052F5F34" w:rsidR="00A02D6F" w:rsidRDefault="00A02D6F" w:rsidP="00A02D6F">
      <w:pPr>
        <w:pStyle w:val="SingleTxtGA"/>
        <w:rPr>
          <w:rtl/>
        </w:rPr>
      </w:pPr>
      <w:r w:rsidRPr="00582767">
        <w:rPr>
          <w:rtl/>
        </w:rPr>
        <w:t>2</w:t>
      </w:r>
      <w:r>
        <w:rPr>
          <w:rtl/>
        </w:rPr>
        <w:t>-</w:t>
      </w:r>
      <w:r w:rsidRPr="00582767">
        <w:rPr>
          <w:rtl/>
        </w:rPr>
        <w:t>1</w:t>
      </w:r>
      <w:r>
        <w:rPr>
          <w:rtl/>
        </w:rPr>
        <w:tab/>
        <w:t xml:space="preserve">وفقاً لصاحبات البلاغ، أُجليت في تاريخ غير معروف إلى مخيم الهول أمهاتُ الأطفال الضحايا من مدينة </w:t>
      </w:r>
      <w:proofErr w:type="spellStart"/>
      <w:r>
        <w:rPr>
          <w:rtl/>
        </w:rPr>
        <w:t>الباغوز</w:t>
      </w:r>
      <w:proofErr w:type="spellEnd"/>
      <w:r>
        <w:rPr>
          <w:rtl/>
        </w:rPr>
        <w:t xml:space="preserve"> ومناطق أخرى من الجمهورية العربية السورية كانت في السابق تحت سيطرة تنظيم داعش. ويدّعين أن حكومة فنلندا أعلنت أنها لن تساعد هؤلاء الأطفال الضحايا أو تعيدهم إلى وطنهم بالرغم من علمها أنهم</w:t>
      </w:r>
      <w:r w:rsidR="006E3C06">
        <w:rPr>
          <w:rtl/>
        </w:rPr>
        <w:t xml:space="preserve"> </w:t>
      </w:r>
      <w:r>
        <w:rPr>
          <w:rtl/>
        </w:rPr>
        <w:t>معرضون، في مخيم الهول، لخطر لا يمكن جبره.</w:t>
      </w:r>
    </w:p>
    <w:p w14:paraId="67049AF8" w14:textId="77777777" w:rsidR="00A02D6F" w:rsidRDefault="00A02D6F" w:rsidP="00A02D6F">
      <w:pPr>
        <w:pStyle w:val="SingleTxtGA"/>
        <w:rPr>
          <w:rtl/>
        </w:rPr>
      </w:pPr>
      <w:r w:rsidRPr="00582767">
        <w:rPr>
          <w:rtl/>
        </w:rPr>
        <w:t>2</w:t>
      </w:r>
      <w:r>
        <w:rPr>
          <w:rtl/>
        </w:rPr>
        <w:t>-</w:t>
      </w:r>
      <w:r w:rsidRPr="00582767">
        <w:rPr>
          <w:rtl/>
        </w:rPr>
        <w:t>2</w:t>
      </w:r>
      <w:r>
        <w:rPr>
          <w:rtl/>
        </w:rPr>
        <w:tab/>
        <w:t xml:space="preserve">ويعرف هذا المخيم ظروفاً سيئة للغاية بسبب الاكتظاظ والأحوال الصحية السيئة وندرة الغذاء </w:t>
      </w:r>
      <w:r w:rsidRPr="006E3C06">
        <w:rPr>
          <w:spacing w:val="-4"/>
          <w:rtl/>
        </w:rPr>
        <w:t>ونقص مياه الشرب النظيفة. وإضافة إلى ذلك، تذكر صاحبات البلاغ أن أشكالاً من "ضغط وإكراه المتشددين</w:t>
      </w:r>
      <w:r>
        <w:rPr>
          <w:rtl/>
        </w:rPr>
        <w:t xml:space="preserve">" تسود المخيم. وكثيراً ما تنهار الخيام المتاحة بسبب الرياح والأمطار. ولا توجد تدفئة في فصل الشتاء. </w:t>
      </w:r>
      <w:r w:rsidRPr="006E3C06">
        <w:rPr>
          <w:spacing w:val="-2"/>
          <w:rtl/>
        </w:rPr>
        <w:t>ونتيجة لهذه الظروف، يعاني الأطفال في المخيم في الكثير من الأحيان من سوء التغذية ومختلف الأمراض</w:t>
      </w:r>
      <w:r>
        <w:rPr>
          <w:rtl/>
        </w:rPr>
        <w:t>.</w:t>
      </w:r>
    </w:p>
    <w:p w14:paraId="36BA0478" w14:textId="1918E334" w:rsidR="00A02D6F" w:rsidRDefault="00A02D6F" w:rsidP="00A02D6F">
      <w:pPr>
        <w:pStyle w:val="SingleTxtGA"/>
        <w:rPr>
          <w:rtl/>
        </w:rPr>
      </w:pPr>
      <w:r w:rsidRPr="00582767">
        <w:rPr>
          <w:rtl/>
        </w:rPr>
        <w:t>2</w:t>
      </w:r>
      <w:r>
        <w:rPr>
          <w:rtl/>
        </w:rPr>
        <w:t>-</w:t>
      </w:r>
      <w:r w:rsidRPr="00582767">
        <w:rPr>
          <w:rtl/>
        </w:rPr>
        <w:t>3</w:t>
      </w:r>
      <w:r>
        <w:rPr>
          <w:rtl/>
        </w:rPr>
        <w:tab/>
        <w:t xml:space="preserve">ويعاني </w:t>
      </w:r>
      <w:proofErr w:type="spellStart"/>
      <w:r>
        <w:rPr>
          <w:rtl/>
        </w:rPr>
        <w:t>مو</w:t>
      </w:r>
      <w:proofErr w:type="spellEnd"/>
      <w:r>
        <w:rPr>
          <w:rtl/>
        </w:rPr>
        <w:t xml:space="preserve">. ك. من سوء التغذية الشديد والإسهال المتكرر. ولم يتلق أي رعاية طبية، ولم ينمُ بمعدل طبيعي نتيجة لذلك. وفي صيف عام </w:t>
      </w:r>
      <w:r w:rsidRPr="00582767">
        <w:rPr>
          <w:rtl/>
        </w:rPr>
        <w:t>2019</w:t>
      </w:r>
      <w:r>
        <w:rPr>
          <w:rtl/>
        </w:rPr>
        <w:t xml:space="preserve">، عندما كان عمره عاماً واحداً وتسعة أشهر، بلغ طوله </w:t>
      </w:r>
      <w:r w:rsidRPr="00582767">
        <w:rPr>
          <w:rtl/>
        </w:rPr>
        <w:t>73</w:t>
      </w:r>
      <w:r>
        <w:rPr>
          <w:rtl/>
        </w:rPr>
        <w:t xml:space="preserve"> سنتمتر ووزنه </w:t>
      </w:r>
      <w:r w:rsidRPr="00582767">
        <w:rPr>
          <w:rtl/>
        </w:rPr>
        <w:t>7</w:t>
      </w:r>
      <w:r>
        <w:rPr>
          <w:rtl/>
        </w:rPr>
        <w:t>,</w:t>
      </w:r>
      <w:r w:rsidRPr="00582767">
        <w:rPr>
          <w:rtl/>
        </w:rPr>
        <w:t>9</w:t>
      </w:r>
      <w:r>
        <w:rPr>
          <w:rtl/>
        </w:rPr>
        <w:t xml:space="preserve"> كيلوغرام. وعانت ج. مؤخراً من التهاب رئوي ونُقلت إلى المستشفى. وهي تتعافى حالياً، لكنها تعاني من إسهال متكرر وأمراض أخرى. وكاد س.</w:t>
      </w:r>
      <w:r w:rsidR="006E3C06">
        <w:rPr>
          <w:rtl/>
        </w:rPr>
        <w:t>،</w:t>
      </w:r>
      <w:r>
        <w:rPr>
          <w:rtl/>
        </w:rPr>
        <w:t xml:space="preserve"> وعمره عامان، أن يقضي نحبه في عدة</w:t>
      </w:r>
      <w:r w:rsidR="006E3C06">
        <w:rPr>
          <w:rFonts w:hint="cs"/>
          <w:rtl/>
        </w:rPr>
        <w:t> </w:t>
      </w:r>
      <w:r>
        <w:rPr>
          <w:rtl/>
        </w:rPr>
        <w:t>مناسبات. فهو يعاني من سوء التغذية والإسهال، وتأخر نموه، ويواجه صعوبات في الكلام والحركة. وتعاني س. ن. من إصابة في الورك ولا تستطيع المشي.</w:t>
      </w:r>
    </w:p>
    <w:p w14:paraId="194A4A69" w14:textId="77777777" w:rsidR="00A02D6F" w:rsidRDefault="00A02D6F" w:rsidP="00A02D6F">
      <w:pPr>
        <w:pStyle w:val="SingleTxtGA"/>
        <w:rPr>
          <w:rtl/>
        </w:rPr>
      </w:pPr>
      <w:r w:rsidRPr="00582767">
        <w:rPr>
          <w:rtl/>
        </w:rPr>
        <w:t>2</w:t>
      </w:r>
      <w:r>
        <w:rPr>
          <w:rtl/>
        </w:rPr>
        <w:t>-</w:t>
      </w:r>
      <w:r w:rsidRPr="00582767">
        <w:rPr>
          <w:rtl/>
        </w:rPr>
        <w:t>4</w:t>
      </w:r>
      <w:r>
        <w:rPr>
          <w:rtl/>
        </w:rPr>
        <w:tab/>
        <w:t>وتدفع صاحبات البلاغ بأن سبل الانتصاف المحلية في الدولة الطرف غير متاحة وغير فعالة لأنه لا يجوز الطعن في تقاعس السلطات الفنلندية عن طريق الإجراءات الإدارية أو القضائية.</w:t>
      </w:r>
    </w:p>
    <w:p w14:paraId="52155750" w14:textId="77777777" w:rsidR="00A02D6F" w:rsidRPr="00582767" w:rsidRDefault="00A02D6F" w:rsidP="006E3C06">
      <w:pPr>
        <w:pStyle w:val="H23GA"/>
        <w:rPr>
          <w:rtl/>
        </w:rPr>
      </w:pPr>
      <w:r w:rsidRPr="00582767">
        <w:rPr>
          <w:rtl/>
        </w:rPr>
        <w:lastRenderedPageBreak/>
        <w:tab/>
      </w:r>
      <w:r w:rsidRPr="00582767">
        <w:rPr>
          <w:rtl/>
        </w:rPr>
        <w:tab/>
        <w:t>الشكوى</w:t>
      </w:r>
    </w:p>
    <w:p w14:paraId="13FFF13F" w14:textId="11345012" w:rsidR="009770BA" w:rsidRPr="00F977A5" w:rsidRDefault="00A02D6F" w:rsidP="00A02D6F">
      <w:pPr>
        <w:pStyle w:val="SingleTxtGA"/>
        <w:rPr>
          <w:spacing w:val="4"/>
          <w:rtl/>
        </w:rPr>
      </w:pPr>
      <w:r w:rsidRPr="00582767">
        <w:rPr>
          <w:spacing w:val="2"/>
          <w:rtl/>
        </w:rPr>
        <w:t>3</w:t>
      </w:r>
      <w:r w:rsidRPr="00E4149B">
        <w:rPr>
          <w:spacing w:val="2"/>
          <w:rtl/>
        </w:rPr>
        <w:t>-</w:t>
      </w:r>
      <w:r w:rsidRPr="00582767">
        <w:rPr>
          <w:spacing w:val="2"/>
          <w:rtl/>
        </w:rPr>
        <w:t>1</w:t>
      </w:r>
      <w:r w:rsidRPr="00E4149B">
        <w:rPr>
          <w:spacing w:val="2"/>
          <w:rtl/>
        </w:rPr>
        <w:tab/>
        <w:t xml:space="preserve">تدفع صاحبات البلاغ بأن الدولة الطرف، بتقاعسها هذا، انتهكت المواد </w:t>
      </w:r>
      <w:r w:rsidRPr="00582767">
        <w:rPr>
          <w:spacing w:val="2"/>
          <w:rtl/>
        </w:rPr>
        <w:t>2</w:t>
      </w:r>
      <w:r w:rsidRPr="00E4149B">
        <w:rPr>
          <w:spacing w:val="2"/>
          <w:rtl/>
        </w:rPr>
        <w:t>، و</w:t>
      </w:r>
      <w:r w:rsidRPr="00582767">
        <w:rPr>
          <w:spacing w:val="2"/>
          <w:rtl/>
        </w:rPr>
        <w:t>6</w:t>
      </w:r>
      <w:r w:rsidRPr="00E4149B">
        <w:rPr>
          <w:spacing w:val="2"/>
          <w:rtl/>
        </w:rPr>
        <w:t>، و</w:t>
      </w:r>
      <w:r w:rsidRPr="00582767">
        <w:rPr>
          <w:spacing w:val="2"/>
          <w:rtl/>
        </w:rPr>
        <w:t>19</w:t>
      </w:r>
      <w:r w:rsidRPr="00E4149B">
        <w:rPr>
          <w:spacing w:val="2"/>
          <w:rtl/>
        </w:rPr>
        <w:t>، و</w:t>
      </w:r>
      <w:r w:rsidRPr="00582767">
        <w:rPr>
          <w:spacing w:val="2"/>
          <w:rtl/>
        </w:rPr>
        <w:t>20</w:t>
      </w:r>
      <w:r w:rsidRPr="00E4149B">
        <w:rPr>
          <w:spacing w:val="2"/>
          <w:rtl/>
        </w:rPr>
        <w:t>، و</w:t>
      </w:r>
      <w:r w:rsidRPr="00582767">
        <w:rPr>
          <w:spacing w:val="2"/>
          <w:rtl/>
        </w:rPr>
        <w:t>24</w:t>
      </w:r>
      <w:r w:rsidRPr="00E4149B">
        <w:rPr>
          <w:spacing w:val="2"/>
          <w:rtl/>
        </w:rPr>
        <w:t>، و</w:t>
      </w:r>
      <w:r w:rsidRPr="00582767">
        <w:rPr>
          <w:spacing w:val="2"/>
          <w:rtl/>
        </w:rPr>
        <w:t>27</w:t>
      </w:r>
      <w:r w:rsidRPr="00E4149B">
        <w:rPr>
          <w:spacing w:val="2"/>
          <w:rtl/>
        </w:rPr>
        <w:t>، و</w:t>
      </w:r>
      <w:r w:rsidRPr="00582767">
        <w:rPr>
          <w:spacing w:val="2"/>
          <w:rtl/>
        </w:rPr>
        <w:t>28</w:t>
      </w:r>
      <w:r w:rsidRPr="00E4149B">
        <w:rPr>
          <w:spacing w:val="2"/>
          <w:rtl/>
        </w:rPr>
        <w:t>، و</w:t>
      </w:r>
      <w:r w:rsidRPr="00582767">
        <w:rPr>
          <w:spacing w:val="2"/>
          <w:rtl/>
        </w:rPr>
        <w:t>37</w:t>
      </w:r>
      <w:r w:rsidRPr="00E4149B">
        <w:rPr>
          <w:spacing w:val="2"/>
          <w:rtl/>
        </w:rPr>
        <w:t>، و</w:t>
      </w:r>
      <w:r w:rsidRPr="00582767">
        <w:rPr>
          <w:spacing w:val="2"/>
          <w:rtl/>
        </w:rPr>
        <w:t>39</w:t>
      </w:r>
      <w:r w:rsidRPr="00E4149B">
        <w:rPr>
          <w:spacing w:val="2"/>
          <w:rtl/>
        </w:rPr>
        <w:t>، و</w:t>
      </w:r>
      <w:r w:rsidRPr="00582767">
        <w:rPr>
          <w:spacing w:val="2"/>
          <w:rtl/>
        </w:rPr>
        <w:t>40</w:t>
      </w:r>
      <w:r w:rsidRPr="00E4149B">
        <w:rPr>
          <w:spacing w:val="2"/>
          <w:rtl/>
        </w:rPr>
        <w:t xml:space="preserve"> من اتفاقية حقوق الطفل، إضافة إلى المادة </w:t>
      </w:r>
      <w:r w:rsidRPr="00582767">
        <w:rPr>
          <w:spacing w:val="2"/>
          <w:rtl/>
        </w:rPr>
        <w:t>7</w:t>
      </w:r>
      <w:r w:rsidRPr="00E4149B">
        <w:rPr>
          <w:spacing w:val="2"/>
          <w:rtl/>
        </w:rPr>
        <w:t xml:space="preserve"> من البروتوكول الاختياري</w:t>
      </w:r>
      <w:r w:rsidR="006E3C06" w:rsidRPr="00E4149B">
        <w:rPr>
          <w:spacing w:val="2"/>
          <w:rtl/>
        </w:rPr>
        <w:t xml:space="preserve"> </w:t>
      </w:r>
      <w:r w:rsidRPr="00E4149B">
        <w:rPr>
          <w:spacing w:val="2"/>
          <w:rtl/>
        </w:rPr>
        <w:t xml:space="preserve">بشأن اشتراك الأطفال في المنازعات المسلحة. ويؤكّدن أن الدولة الطرف لم تمكِّن هؤلاء الأطفال من الاستعانة بالخدمات القنصلية بسبب انتمائهم الإثني أو معتقدات أمهاتهم الدينية أو سنهم (المادة </w:t>
      </w:r>
      <w:r w:rsidRPr="00582767">
        <w:rPr>
          <w:spacing w:val="2"/>
          <w:rtl/>
        </w:rPr>
        <w:t>2</w:t>
      </w:r>
      <w:r w:rsidR="009770BA" w:rsidRPr="009770BA">
        <w:rPr>
          <w:spacing w:val="2"/>
          <w:rtl/>
        </w:rPr>
        <w:t xml:space="preserve">)، </w:t>
      </w:r>
      <w:r w:rsidRPr="00E4149B">
        <w:rPr>
          <w:spacing w:val="2"/>
          <w:rtl/>
        </w:rPr>
        <w:t xml:space="preserve">ولم تساعدهم على مغادرة المخيم (المادة </w:t>
      </w:r>
      <w:r w:rsidRPr="00582767">
        <w:rPr>
          <w:spacing w:val="2"/>
          <w:rtl/>
        </w:rPr>
        <w:t>37</w:t>
      </w:r>
      <w:r w:rsidR="009770BA" w:rsidRPr="009770BA">
        <w:rPr>
          <w:spacing w:val="2"/>
          <w:rtl/>
        </w:rPr>
        <w:t xml:space="preserve">)، </w:t>
      </w:r>
      <w:r w:rsidRPr="00E4149B">
        <w:rPr>
          <w:spacing w:val="2"/>
          <w:rtl/>
        </w:rPr>
        <w:t xml:space="preserve">ولم تُعدهم إلى وطنهم من مخيم تسوده ظروف معيشية مزرية، وأنها عرضت حياتهم وصحتهم ونماءهم للخطر (المواد </w:t>
      </w:r>
      <w:r w:rsidRPr="00582767">
        <w:rPr>
          <w:spacing w:val="2"/>
          <w:rtl/>
        </w:rPr>
        <w:t>6</w:t>
      </w:r>
      <w:r w:rsidRPr="00E4149B">
        <w:rPr>
          <w:spacing w:val="2"/>
          <w:rtl/>
        </w:rPr>
        <w:t>، و</w:t>
      </w:r>
      <w:r w:rsidRPr="00582767">
        <w:rPr>
          <w:spacing w:val="2"/>
          <w:rtl/>
        </w:rPr>
        <w:t>19</w:t>
      </w:r>
      <w:r w:rsidRPr="00E4149B">
        <w:rPr>
          <w:spacing w:val="2"/>
          <w:rtl/>
        </w:rPr>
        <w:t>، و</w:t>
      </w:r>
      <w:r w:rsidRPr="00582767">
        <w:rPr>
          <w:spacing w:val="2"/>
          <w:rtl/>
        </w:rPr>
        <w:t>24</w:t>
      </w:r>
      <w:r w:rsidRPr="00E4149B">
        <w:rPr>
          <w:spacing w:val="2"/>
          <w:rtl/>
        </w:rPr>
        <w:t>، و</w:t>
      </w:r>
      <w:r w:rsidRPr="00582767">
        <w:rPr>
          <w:spacing w:val="2"/>
          <w:rtl/>
        </w:rPr>
        <w:t>27</w:t>
      </w:r>
      <w:r w:rsidR="009770BA" w:rsidRPr="009770BA">
        <w:rPr>
          <w:spacing w:val="2"/>
          <w:rtl/>
        </w:rPr>
        <w:t xml:space="preserve">)، </w:t>
      </w:r>
      <w:r w:rsidRPr="00F977A5">
        <w:rPr>
          <w:spacing w:val="4"/>
          <w:rtl/>
        </w:rPr>
        <w:t xml:space="preserve">ولم تُعد </w:t>
      </w:r>
      <w:proofErr w:type="gramStart"/>
      <w:r w:rsidRPr="00F977A5">
        <w:rPr>
          <w:spacing w:val="4"/>
          <w:rtl/>
        </w:rPr>
        <w:t>تأهليهم</w:t>
      </w:r>
      <w:proofErr w:type="gramEnd"/>
      <w:r w:rsidRPr="00F977A5">
        <w:rPr>
          <w:spacing w:val="4"/>
          <w:rtl/>
        </w:rPr>
        <w:t xml:space="preserve"> (المادة </w:t>
      </w:r>
      <w:r w:rsidRPr="00582767">
        <w:rPr>
          <w:spacing w:val="4"/>
          <w:rtl/>
        </w:rPr>
        <w:t>39</w:t>
      </w:r>
      <w:r w:rsidRPr="00F977A5">
        <w:rPr>
          <w:spacing w:val="4"/>
          <w:rtl/>
        </w:rPr>
        <w:t xml:space="preserve"> من الاتفاقية والمادة </w:t>
      </w:r>
      <w:r w:rsidRPr="00582767">
        <w:rPr>
          <w:spacing w:val="4"/>
          <w:rtl/>
        </w:rPr>
        <w:t>7</w:t>
      </w:r>
      <w:r w:rsidRPr="00F977A5">
        <w:rPr>
          <w:spacing w:val="4"/>
          <w:rtl/>
        </w:rPr>
        <w:t xml:space="preserve"> من البروتوكول الاختياري بشأن اشتراك الأطفال في المنازعات المسلحة</w:t>
      </w:r>
      <w:r w:rsidR="009770BA" w:rsidRPr="00F977A5">
        <w:rPr>
          <w:spacing w:val="4"/>
          <w:rtl/>
        </w:rPr>
        <w:t>).</w:t>
      </w:r>
    </w:p>
    <w:p w14:paraId="435C7567" w14:textId="1C0B5710" w:rsidR="00A02D6F" w:rsidRDefault="00A02D6F" w:rsidP="00A02D6F">
      <w:pPr>
        <w:pStyle w:val="SingleTxtGA"/>
        <w:rPr>
          <w:rtl/>
        </w:rPr>
      </w:pPr>
      <w:r w:rsidRPr="00582767">
        <w:rPr>
          <w:rtl/>
        </w:rPr>
        <w:t>3</w:t>
      </w:r>
      <w:r>
        <w:rPr>
          <w:rtl/>
        </w:rPr>
        <w:t>-</w:t>
      </w:r>
      <w:r w:rsidRPr="00582767">
        <w:rPr>
          <w:rtl/>
        </w:rPr>
        <w:t>2</w:t>
      </w:r>
      <w:r>
        <w:rPr>
          <w:rtl/>
        </w:rPr>
        <w:tab/>
        <w:t xml:space="preserve">وتذكّر صاحبات البلاغ بأن المادة </w:t>
      </w:r>
      <w:r w:rsidRPr="00582767">
        <w:rPr>
          <w:rtl/>
        </w:rPr>
        <w:t>20</w:t>
      </w:r>
      <w:r>
        <w:rPr>
          <w:rtl/>
        </w:rPr>
        <w:t xml:space="preserve"> من الاتفاقية تنص على أنه عندما لا تستطيع الأسرة </w:t>
      </w:r>
      <w:r w:rsidRPr="005F6DC7">
        <w:rPr>
          <w:spacing w:val="-4"/>
          <w:rtl/>
        </w:rPr>
        <w:t>حماية الطفل، يكون للطفل الحق في حماية الدولة. وتدفع صاحبات البلاغ</w:t>
      </w:r>
      <w:r w:rsidR="006E3C06" w:rsidRPr="005F6DC7">
        <w:rPr>
          <w:spacing w:val="-4"/>
          <w:rtl/>
        </w:rPr>
        <w:t xml:space="preserve"> أيضاً </w:t>
      </w:r>
      <w:r w:rsidRPr="005F6DC7">
        <w:rPr>
          <w:spacing w:val="-4"/>
          <w:rtl/>
        </w:rPr>
        <w:t>بأن من المحتمل أن بعض</w:t>
      </w:r>
      <w:r>
        <w:rPr>
          <w:rtl/>
        </w:rPr>
        <w:t xml:space="preserve"> الأطفال الأكبر سناً في المخيم ارتكبوا "أعمالاً وحشية" تحت الإكراه أو بسبب التلاعب بعقولهم. وإذا كان الأمر كذلك، فينبغي التحقيق في أفعالهم وفقاً للضمانات المنصوص عليها في المادة </w:t>
      </w:r>
      <w:r w:rsidRPr="00582767">
        <w:rPr>
          <w:rtl/>
        </w:rPr>
        <w:t>4</w:t>
      </w:r>
      <w:r w:rsidR="009770BA" w:rsidRPr="00582767">
        <w:rPr>
          <w:rtl/>
        </w:rPr>
        <w:t>0</w:t>
      </w:r>
      <w:r w:rsidR="009770BA" w:rsidRPr="009770BA">
        <w:rPr>
          <w:rtl/>
        </w:rPr>
        <w:t xml:space="preserve">. </w:t>
      </w:r>
      <w:r>
        <w:rPr>
          <w:rtl/>
        </w:rPr>
        <w:t>وترى صاحبات البالغ أن هذه الضمانات الإجرائية وغيرها من الحمايات لم تُستوفَ ولا يمكن استيفاؤها في ظل الظروف السائدة في المخيم.</w:t>
      </w:r>
    </w:p>
    <w:p w14:paraId="4D10DB1E" w14:textId="30C1BDCD" w:rsidR="00A02D6F" w:rsidRDefault="00A02D6F" w:rsidP="00A02D6F">
      <w:pPr>
        <w:pStyle w:val="SingleTxtGA"/>
        <w:rPr>
          <w:rtl/>
        </w:rPr>
      </w:pPr>
      <w:r w:rsidRPr="00582767">
        <w:rPr>
          <w:rtl/>
        </w:rPr>
        <w:t>3</w:t>
      </w:r>
      <w:r>
        <w:rPr>
          <w:rtl/>
        </w:rPr>
        <w:t>-</w:t>
      </w:r>
      <w:r w:rsidRPr="00582767">
        <w:rPr>
          <w:rtl/>
        </w:rPr>
        <w:t>3</w:t>
      </w:r>
      <w:r>
        <w:rPr>
          <w:rtl/>
        </w:rPr>
        <w:tab/>
      </w:r>
      <w:r w:rsidRPr="005F6DC7">
        <w:rPr>
          <w:spacing w:val="-4"/>
          <w:rtl/>
        </w:rPr>
        <w:t>وتشدد صاحبات البلاغ على أن الدولة الطرف تدرك جيداً الظروف الصحية المزرية التي يعيشها</w:t>
      </w:r>
      <w:r>
        <w:rPr>
          <w:rtl/>
        </w:rPr>
        <w:t xml:space="preserve"> الأطفال، وأنها قادرة على التفاوض بشأن إطلاق سراحهم من مخيم الهول وإعادتهم إلى وطنهم. وتدفعن بأن وقوع الانتهاكات خارج إقليم الدولة الطرف لا يعفيها من التزاماتها بموجب الاتفاقية، لأن الدولة الطرف، بتقاعسها هذا، تسهم إسهام</w:t>
      </w:r>
      <w:r>
        <w:rPr>
          <w:rtl/>
        </w:rPr>
        <w:t>اً</w:t>
      </w:r>
      <w:r>
        <w:rPr>
          <w:rtl/>
        </w:rPr>
        <w:t xml:space="preserve"> مباشر</w:t>
      </w:r>
      <w:r>
        <w:rPr>
          <w:rtl/>
        </w:rPr>
        <w:t>اً</w:t>
      </w:r>
      <w:r>
        <w:rPr>
          <w:rtl/>
        </w:rPr>
        <w:t xml:space="preserve"> في الانتهاكات المستمرة لحقوق الأطفال الضحايا. وتلاحظ صاحبات البلاغ أنه لا يوجد أي عائق يحول دون إعادة الدولة الطرف الأطفال الضحايا إلى وطنهم لأن السلطات التي تدير المخيم أعلنت أنها لا تعارض إعادة المواطنين الأوروبيين إلى بلدانهم الأصلية وأنها تشجعهم على ذلك.</w:t>
      </w:r>
    </w:p>
    <w:p w14:paraId="1AB2DA8D" w14:textId="77777777" w:rsidR="00A02D6F" w:rsidRPr="00582767" w:rsidRDefault="00A02D6F" w:rsidP="005F6DC7">
      <w:pPr>
        <w:pStyle w:val="H23GA"/>
        <w:rPr>
          <w:rtl/>
        </w:rPr>
      </w:pPr>
      <w:r w:rsidRPr="00582767">
        <w:rPr>
          <w:rtl/>
        </w:rPr>
        <w:tab/>
      </w:r>
      <w:r w:rsidRPr="00582767">
        <w:rPr>
          <w:rtl/>
        </w:rPr>
        <w:tab/>
        <w:t>ملاحظات الدولة الطرف بشأن المقبولية</w:t>
      </w:r>
    </w:p>
    <w:p w14:paraId="5A772618" w14:textId="77777777" w:rsidR="00A02D6F" w:rsidRDefault="00A02D6F" w:rsidP="00A02D6F">
      <w:pPr>
        <w:pStyle w:val="SingleTxtGA"/>
        <w:rPr>
          <w:rtl/>
        </w:rPr>
      </w:pPr>
      <w:r w:rsidRPr="00582767">
        <w:rPr>
          <w:rtl/>
        </w:rPr>
        <w:t>4</w:t>
      </w:r>
      <w:r>
        <w:rPr>
          <w:rtl/>
        </w:rPr>
        <w:t>-</w:t>
      </w:r>
      <w:r w:rsidRPr="00582767">
        <w:rPr>
          <w:rtl/>
        </w:rPr>
        <w:t>1</w:t>
      </w:r>
      <w:r>
        <w:rPr>
          <w:rtl/>
        </w:rPr>
        <w:tab/>
        <w:t xml:space="preserve">تدفع الدولة الطرف، في ملاحظاتها المؤرخة </w:t>
      </w:r>
      <w:r w:rsidRPr="00582767">
        <w:rPr>
          <w:rtl/>
        </w:rPr>
        <w:t>10</w:t>
      </w:r>
      <w:r>
        <w:rPr>
          <w:rtl/>
        </w:rPr>
        <w:t xml:space="preserve"> كانون الأول/ديسمبر </w:t>
      </w:r>
      <w:r w:rsidRPr="00582767">
        <w:rPr>
          <w:rtl/>
        </w:rPr>
        <w:t>2019</w:t>
      </w:r>
      <w:r>
        <w:rPr>
          <w:rtl/>
        </w:rPr>
        <w:t xml:space="preserve">، بأن البلاغ غير مقبول لعدم امتلاك صاحبات البلاغ الصفة القانونية، وعدم أهلية اللجنة من حيث </w:t>
      </w:r>
      <w:r w:rsidRPr="00F977A5">
        <w:rPr>
          <w:i/>
          <w:iCs/>
          <w:rtl/>
        </w:rPr>
        <w:t>الاختصاص الزمني</w:t>
      </w:r>
      <w:r>
        <w:rPr>
          <w:rtl/>
        </w:rPr>
        <w:t xml:space="preserve">، وعدم استنفاد سبل الانتصاف المحلية، وعدم انطباق ولاية الدولة الطرف القضائية على الأطفال. </w:t>
      </w:r>
    </w:p>
    <w:p w14:paraId="27FD3C83" w14:textId="5332F93A" w:rsidR="00A02D6F" w:rsidRDefault="00A02D6F" w:rsidP="00A02D6F">
      <w:pPr>
        <w:pStyle w:val="SingleTxtGA"/>
        <w:rPr>
          <w:rtl/>
        </w:rPr>
      </w:pPr>
      <w:r w:rsidRPr="00582767">
        <w:rPr>
          <w:rtl/>
        </w:rPr>
        <w:t>4</w:t>
      </w:r>
      <w:r>
        <w:rPr>
          <w:rtl/>
        </w:rPr>
        <w:t>-</w:t>
      </w:r>
      <w:r w:rsidRPr="00582767">
        <w:rPr>
          <w:rtl/>
        </w:rPr>
        <w:t>2</w:t>
      </w:r>
      <w:r>
        <w:rPr>
          <w:rtl/>
        </w:rPr>
        <w:tab/>
        <w:t xml:space="preserve">وتشير الدولة الطرف إلى المادة </w:t>
      </w:r>
      <w:r w:rsidRPr="00582767">
        <w:rPr>
          <w:rtl/>
        </w:rPr>
        <w:t>5</w:t>
      </w:r>
      <w:r>
        <w:rPr>
          <w:rtl/>
        </w:rPr>
        <w:t>(</w:t>
      </w:r>
      <w:r w:rsidR="009770BA" w:rsidRPr="00582767">
        <w:rPr>
          <w:rtl/>
        </w:rPr>
        <w:t>2</w:t>
      </w:r>
      <w:r w:rsidR="009770BA" w:rsidRPr="009770BA">
        <w:rPr>
          <w:rtl/>
        </w:rPr>
        <w:t xml:space="preserve">) </w:t>
      </w:r>
      <w:r>
        <w:rPr>
          <w:rtl/>
        </w:rPr>
        <w:t xml:space="preserve">من البروتوكول الاختياري المتعلق بإجراء تقديم البلاغات، </w:t>
      </w:r>
      <w:r w:rsidRPr="00F977A5">
        <w:rPr>
          <w:spacing w:val="2"/>
          <w:rtl/>
        </w:rPr>
        <w:t>وتدفع بأن صاحبات البلاغ لم يثبتن أنهن يتصرفن بموافقة الأوصياء القانونيين لأقاربهن الأطفال.</w:t>
      </w:r>
      <w:r w:rsidR="006E3C06" w:rsidRPr="00F977A5">
        <w:rPr>
          <w:spacing w:val="2"/>
          <w:rtl/>
        </w:rPr>
        <w:t xml:space="preserve"> </w:t>
      </w:r>
      <w:r>
        <w:rPr>
          <w:rtl/>
        </w:rPr>
        <w:t>وتختلف</w:t>
      </w:r>
      <w:r w:rsidR="005F6DC7">
        <w:rPr>
          <w:rFonts w:hint="cs"/>
          <w:rtl/>
        </w:rPr>
        <w:t> </w:t>
      </w:r>
      <w:r>
        <w:rPr>
          <w:rtl/>
        </w:rPr>
        <w:t xml:space="preserve">الحالة في هذه القضية عن قضايا مماثلة ضد فرنسا سبق أن بتت فيها اللجنة، حيث قدم فيها </w:t>
      </w:r>
      <w:r w:rsidRPr="004F0035">
        <w:rPr>
          <w:spacing w:val="-4"/>
          <w:rtl/>
        </w:rPr>
        <w:t>معظم أوصياء الأطفال موافقتهم عبر الهاتف</w:t>
      </w:r>
      <w:r w:rsidR="009770BA" w:rsidRPr="00582767">
        <w:rPr>
          <w:rStyle w:val="FootnoteReference"/>
          <w:rtl/>
        </w:rPr>
        <w:t>(</w:t>
      </w:r>
      <w:r w:rsidR="009770BA" w:rsidRPr="00582767">
        <w:rPr>
          <w:rStyle w:val="FootnoteReference"/>
          <w:lang w:val="en-US"/>
        </w:rPr>
        <w:footnoteReference w:id="4"/>
      </w:r>
      <w:r w:rsidR="009770BA" w:rsidRPr="009770BA">
        <w:rPr>
          <w:vertAlign w:val="superscript"/>
          <w:rtl/>
        </w:rPr>
        <w:t>)</w:t>
      </w:r>
      <w:r w:rsidR="009770BA" w:rsidRPr="009770BA">
        <w:rPr>
          <w:rtl/>
        </w:rPr>
        <w:t>.</w:t>
      </w:r>
      <w:r w:rsidR="009770BA" w:rsidRPr="009770BA">
        <w:rPr>
          <w:rtl/>
        </w:rPr>
        <w:t xml:space="preserve"> </w:t>
      </w:r>
      <w:r>
        <w:rPr>
          <w:rtl/>
        </w:rPr>
        <w:t>وفيما يتعلق بالأطفال ال</w:t>
      </w:r>
      <w:r w:rsidR="005F6DC7">
        <w:rPr>
          <w:rFonts w:hint="cs"/>
          <w:rtl/>
        </w:rPr>
        <w:t>‍ </w:t>
      </w:r>
      <w:r w:rsidRPr="00582767">
        <w:rPr>
          <w:rtl/>
        </w:rPr>
        <w:t>33</w:t>
      </w:r>
      <w:r>
        <w:rPr>
          <w:rtl/>
        </w:rPr>
        <w:t xml:space="preserve"> الآخرين الذين قدمت صاحبات البلاغ</w:t>
      </w:r>
      <w:r w:rsidR="006E3C06">
        <w:rPr>
          <w:rtl/>
        </w:rPr>
        <w:t xml:space="preserve"> أيضاً </w:t>
      </w:r>
      <w:r>
        <w:rPr>
          <w:rtl/>
        </w:rPr>
        <w:t xml:space="preserve">هذا البلاغ نيابة عنهم، تلاحظ الدولة الطرف أن تفاصيلهم الشخصية أو هوياتهم غير محددة، وأن صاحبات البلاغ لم يقدمن أي دليل على الإذن لهن بالتصرف نيابة عنهم. ولا تعلم الدولة الطرف </w:t>
      </w:r>
      <w:proofErr w:type="gramStart"/>
      <w:r>
        <w:rPr>
          <w:rtl/>
        </w:rPr>
        <w:t>إن</w:t>
      </w:r>
      <w:proofErr w:type="gramEnd"/>
      <w:r w:rsidR="00F977A5">
        <w:rPr>
          <w:rFonts w:hint="cs"/>
          <w:rtl/>
        </w:rPr>
        <w:t> </w:t>
      </w:r>
      <w:r>
        <w:rPr>
          <w:rtl/>
        </w:rPr>
        <w:t>كان الأوصياء القانونيون لهؤلاء الأطفال ال</w:t>
      </w:r>
      <w:r w:rsidR="005F6DC7">
        <w:rPr>
          <w:rFonts w:hint="cs"/>
          <w:rtl/>
        </w:rPr>
        <w:t>‍</w:t>
      </w:r>
      <w:r>
        <w:rPr>
          <w:rtl/>
        </w:rPr>
        <w:t xml:space="preserve"> </w:t>
      </w:r>
      <w:r w:rsidRPr="00582767">
        <w:rPr>
          <w:rtl/>
        </w:rPr>
        <w:t>33</w:t>
      </w:r>
      <w:r>
        <w:rPr>
          <w:rtl/>
        </w:rPr>
        <w:t xml:space="preserve"> على علم بهذا البلاغ. ولهذا السبب، ترى الدولة الطرف أنه ينبغي إعلان عدم مقبولية البلاغ المقدم نيابة عنهم لأنهم مجهولي الهوية.</w:t>
      </w:r>
    </w:p>
    <w:p w14:paraId="3907469B" w14:textId="18A09251" w:rsidR="00A02D6F" w:rsidRDefault="00A02D6F" w:rsidP="00A02D6F">
      <w:pPr>
        <w:pStyle w:val="SingleTxtGA"/>
        <w:rPr>
          <w:rtl/>
        </w:rPr>
      </w:pPr>
      <w:r w:rsidRPr="00582767">
        <w:rPr>
          <w:rtl/>
        </w:rPr>
        <w:lastRenderedPageBreak/>
        <w:t>4</w:t>
      </w:r>
      <w:r>
        <w:rPr>
          <w:rtl/>
        </w:rPr>
        <w:t>-</w:t>
      </w:r>
      <w:r w:rsidRPr="00582767">
        <w:rPr>
          <w:rtl/>
        </w:rPr>
        <w:t>3</w:t>
      </w:r>
      <w:r>
        <w:rPr>
          <w:rtl/>
        </w:rPr>
        <w:tab/>
        <w:t xml:space="preserve">وتشير الدولة الطرف إلى أن البروتوكول الاختياري، وفقاً للقواعد العامة للقانون الدولي ومبادئ </w:t>
      </w:r>
      <w:r w:rsidRPr="004F0035">
        <w:rPr>
          <w:spacing w:val="-4"/>
          <w:rtl/>
        </w:rPr>
        <w:t>عدم رجعية المعاهدات، لا يُلزم الدولة الطرف بأي عمل حدث أو واقعة نشأت أو أي حالة زالت من الوجود</w:t>
      </w:r>
      <w:r>
        <w:rPr>
          <w:rtl/>
        </w:rPr>
        <w:t xml:space="preserve"> قبل </w:t>
      </w:r>
      <w:r w:rsidRPr="004F0035">
        <w:rPr>
          <w:spacing w:val="-4"/>
          <w:rtl/>
        </w:rPr>
        <w:t>تاريخ دخول البروتوكول الاختياري حيز النفاذ. وتلاحظ الدولة الطرف أن صاحبات البلاغ لا</w:t>
      </w:r>
      <w:r w:rsidR="005F6DC7" w:rsidRPr="004F0035">
        <w:rPr>
          <w:rFonts w:hint="cs"/>
          <w:spacing w:val="-4"/>
          <w:rtl/>
        </w:rPr>
        <w:t> </w:t>
      </w:r>
      <w:r w:rsidRPr="004F0035">
        <w:rPr>
          <w:spacing w:val="-4"/>
          <w:rtl/>
        </w:rPr>
        <w:t>يذكرن أي إطار</w:t>
      </w:r>
      <w:r>
        <w:rPr>
          <w:rtl/>
        </w:rPr>
        <w:t xml:space="preserve"> زمني يحدد وقت وقوع الانتهاكات المزعومة، ومن ثم ترى أنه ينبغي إعلان البلاغ غير</w:t>
      </w:r>
      <w:r w:rsidR="005F6DC7">
        <w:rPr>
          <w:rFonts w:hint="cs"/>
          <w:rtl/>
        </w:rPr>
        <w:t> </w:t>
      </w:r>
      <w:r>
        <w:rPr>
          <w:rtl/>
        </w:rPr>
        <w:t xml:space="preserve">مقبول من </w:t>
      </w:r>
      <w:r w:rsidRPr="004F0035">
        <w:rPr>
          <w:spacing w:val="-4"/>
          <w:rtl/>
        </w:rPr>
        <w:t xml:space="preserve">حيث </w:t>
      </w:r>
      <w:r w:rsidRPr="00F977A5">
        <w:rPr>
          <w:i/>
          <w:iCs/>
          <w:rtl/>
        </w:rPr>
        <w:t>الاختصاص الزمني</w:t>
      </w:r>
      <w:r w:rsidRPr="009770BA">
        <w:rPr>
          <w:rtl/>
        </w:rPr>
        <w:t xml:space="preserve"> بقدر ما وقعت أي من الوقائع أو الانتهاكات المزعومة قبل </w:t>
      </w:r>
      <w:r w:rsidRPr="00582767">
        <w:rPr>
          <w:rtl/>
        </w:rPr>
        <w:t>12</w:t>
      </w:r>
      <w:r w:rsidRPr="009770BA">
        <w:rPr>
          <w:rtl/>
        </w:rPr>
        <w:t xml:space="preserve"> شباط/فبراير </w:t>
      </w:r>
      <w:r w:rsidRPr="00582767">
        <w:rPr>
          <w:rtl/>
        </w:rPr>
        <w:t>2016</w:t>
      </w:r>
      <w:r w:rsidRPr="009770BA">
        <w:rPr>
          <w:rtl/>
        </w:rPr>
        <w:t>،</w:t>
      </w:r>
      <w:r>
        <w:rPr>
          <w:rtl/>
        </w:rPr>
        <w:t xml:space="preserve"> عندما</w:t>
      </w:r>
      <w:r w:rsidR="009770BA">
        <w:t> </w:t>
      </w:r>
      <w:r>
        <w:rPr>
          <w:rtl/>
        </w:rPr>
        <w:t>دخل البروتوكول الاختياري حيز النفاذ بالنسبة للدولة الطرف.</w:t>
      </w:r>
    </w:p>
    <w:p w14:paraId="672C7A0E" w14:textId="620B6BC9" w:rsidR="00A02D6F" w:rsidRDefault="00A02D6F" w:rsidP="00A02D6F">
      <w:pPr>
        <w:pStyle w:val="SingleTxtGA"/>
        <w:rPr>
          <w:rtl/>
        </w:rPr>
      </w:pPr>
      <w:r w:rsidRPr="00582767">
        <w:rPr>
          <w:rtl/>
        </w:rPr>
        <w:t>4</w:t>
      </w:r>
      <w:r>
        <w:rPr>
          <w:rtl/>
        </w:rPr>
        <w:t>-</w:t>
      </w:r>
      <w:r w:rsidRPr="00582767">
        <w:rPr>
          <w:rtl/>
        </w:rPr>
        <w:t>4</w:t>
      </w:r>
      <w:r>
        <w:rPr>
          <w:rtl/>
        </w:rPr>
        <w:tab/>
        <w:t>وتشير الدولة الطرف إلى أن أياً من مواد الاتفاقية التي أثارتها صاحبات البلاغ أمام اللجنة لم</w:t>
      </w:r>
      <w:r w:rsidR="00F977A5">
        <w:rPr>
          <w:rFonts w:hint="cs"/>
          <w:rtl/>
        </w:rPr>
        <w:t> </w:t>
      </w:r>
      <w:r>
        <w:rPr>
          <w:rtl/>
        </w:rPr>
        <w:t>يُحتج بها أمام السلطات المحلية، ومن ثم فإنهن لم يستنفدن سبل الانتصاف المحلية.</w:t>
      </w:r>
    </w:p>
    <w:p w14:paraId="13C1F1B0" w14:textId="77567BBA" w:rsidR="009770BA" w:rsidRPr="009770BA" w:rsidRDefault="00A02D6F" w:rsidP="00A02D6F">
      <w:pPr>
        <w:pStyle w:val="SingleTxtGA"/>
        <w:rPr>
          <w:rtl/>
        </w:rPr>
      </w:pPr>
      <w:r w:rsidRPr="00582767">
        <w:rPr>
          <w:rtl/>
        </w:rPr>
        <w:t>4</w:t>
      </w:r>
      <w:r>
        <w:rPr>
          <w:rtl/>
        </w:rPr>
        <w:t>-</w:t>
      </w:r>
      <w:r w:rsidRPr="00582767">
        <w:rPr>
          <w:rtl/>
        </w:rPr>
        <w:t>5</w:t>
      </w:r>
      <w:r>
        <w:rPr>
          <w:rtl/>
        </w:rPr>
        <w:tab/>
      </w:r>
      <w:r w:rsidRPr="00E4149B">
        <w:rPr>
          <w:spacing w:val="-2"/>
          <w:rtl/>
        </w:rPr>
        <w:t>وتعترض الدولة الطرف على اختصاص اللجنة، وتدفع بأن التزاماتها بموجب الاتفاقية وبروتوكوليها</w:t>
      </w:r>
      <w:r>
        <w:rPr>
          <w:rtl/>
        </w:rPr>
        <w:t xml:space="preserve"> </w:t>
      </w:r>
      <w:r w:rsidRPr="00E4149B">
        <w:rPr>
          <w:spacing w:val="4"/>
          <w:rtl/>
        </w:rPr>
        <w:t xml:space="preserve">الاختياريين تحددها الولاية القضائية وليس جنسية الأفراد. وقد سبق للجنة أن ذكرت في تعليقها العام رقم </w:t>
      </w:r>
      <w:r w:rsidRPr="00582767">
        <w:rPr>
          <w:rtl/>
        </w:rPr>
        <w:t>6</w:t>
      </w:r>
      <w:r>
        <w:rPr>
          <w:rtl/>
        </w:rPr>
        <w:t>(</w:t>
      </w:r>
      <w:r w:rsidRPr="00582767">
        <w:rPr>
          <w:rtl/>
        </w:rPr>
        <w:t>200</w:t>
      </w:r>
      <w:r w:rsidR="009770BA" w:rsidRPr="00582767">
        <w:rPr>
          <w:rtl/>
        </w:rPr>
        <w:t>5</w:t>
      </w:r>
      <w:r w:rsidR="009770BA" w:rsidRPr="009770BA">
        <w:rPr>
          <w:rtl/>
        </w:rPr>
        <w:t xml:space="preserve">) </w:t>
      </w:r>
      <w:r>
        <w:rPr>
          <w:rtl/>
        </w:rPr>
        <w:t>بشأن معاملة الأطفال غير المصحوبين والمنفصلين عن ذويهم خارج بلدانهم الأصلية أن</w:t>
      </w:r>
      <w:r w:rsidR="009770BA">
        <w:rPr>
          <w:rFonts w:hint="cs"/>
          <w:rtl/>
        </w:rPr>
        <w:t> </w:t>
      </w:r>
      <w:r w:rsidRPr="009770BA">
        <w:rPr>
          <w:rtl/>
        </w:rPr>
        <w:t>التمتع بالحقوق المنصوص عليها في الاتفاقية لا يقتصر على الأطفال الذين هم من مواطني الدولة الطرف</w:t>
      </w:r>
      <w:r w:rsidRPr="00E4149B">
        <w:rPr>
          <w:spacing w:val="4"/>
          <w:rtl/>
        </w:rPr>
        <w:t xml:space="preserve"> ويجب لذلك، ما لم تنص الاتفاقية صراحة على خلاف ذلك، أن تتاح هذه الحقوق لجميع </w:t>
      </w:r>
      <w:r w:rsidRPr="00E4149B">
        <w:rPr>
          <w:spacing w:val="-4"/>
          <w:rtl/>
        </w:rPr>
        <w:t>الأطفال - بمن فيهم ملتمسو اللجوء والأطفال اللاجئون والمهاجرون - بغض النظر عن جنسيتهم ووضعهم</w:t>
      </w:r>
      <w:r>
        <w:rPr>
          <w:rtl/>
        </w:rPr>
        <w:t xml:space="preserve"> كمهاجرين أو كعديمي الجنسية</w:t>
      </w:r>
      <w:r w:rsidR="009770BA" w:rsidRPr="00582767">
        <w:rPr>
          <w:rStyle w:val="FootnoteReference"/>
          <w:rtl/>
        </w:rPr>
        <w:t>(</w:t>
      </w:r>
      <w:r w:rsidR="009770BA" w:rsidRPr="00582767">
        <w:rPr>
          <w:rStyle w:val="FootnoteReference"/>
          <w:lang w:val="en-US"/>
        </w:rPr>
        <w:footnoteReference w:id="5"/>
      </w:r>
      <w:r w:rsidR="009770BA" w:rsidRPr="009770BA">
        <w:rPr>
          <w:vertAlign w:val="superscript"/>
          <w:rtl/>
        </w:rPr>
        <w:t>)</w:t>
      </w:r>
      <w:r w:rsidR="009770BA" w:rsidRPr="009770BA">
        <w:rPr>
          <w:rtl/>
        </w:rPr>
        <w:t>.</w:t>
      </w:r>
    </w:p>
    <w:p w14:paraId="06821E86" w14:textId="1261B58C" w:rsidR="00A02D6F" w:rsidRDefault="00A02D6F" w:rsidP="00A02D6F">
      <w:pPr>
        <w:pStyle w:val="SingleTxtGA"/>
        <w:rPr>
          <w:rtl/>
        </w:rPr>
      </w:pPr>
      <w:r w:rsidRPr="00582767">
        <w:rPr>
          <w:rtl/>
        </w:rPr>
        <w:t>4</w:t>
      </w:r>
      <w:r>
        <w:rPr>
          <w:rtl/>
        </w:rPr>
        <w:t>-</w:t>
      </w:r>
      <w:r w:rsidRPr="00582767">
        <w:rPr>
          <w:rtl/>
        </w:rPr>
        <w:t>6</w:t>
      </w:r>
      <w:r>
        <w:rPr>
          <w:rtl/>
        </w:rPr>
        <w:tab/>
        <w:t>وتدفع الدولة الطرف بأنها لم توافق إلا على احترام الحقوق المنصوص عليها في الاتفاقية في الحالات التي تقع ضمن سيادتها واختصاصها والتي يُحتمل أن تكون لها سيطرة فعلية عليها. وتضيف الدولة الطرف أنه لا يجوز مساءلتها عن الحالات التي لم تنشئها هي وليس لها سيطرة فعلية عليها.</w:t>
      </w:r>
    </w:p>
    <w:p w14:paraId="48D9A071" w14:textId="17DE8D1B" w:rsidR="00A02D6F" w:rsidRDefault="00A02D6F" w:rsidP="00A02D6F">
      <w:pPr>
        <w:pStyle w:val="SingleTxtGA"/>
        <w:rPr>
          <w:rtl/>
        </w:rPr>
      </w:pPr>
      <w:r w:rsidRPr="00582767">
        <w:rPr>
          <w:rtl/>
        </w:rPr>
        <w:t>4</w:t>
      </w:r>
      <w:r>
        <w:rPr>
          <w:rtl/>
        </w:rPr>
        <w:t>-</w:t>
      </w:r>
      <w:r w:rsidRPr="00582767">
        <w:rPr>
          <w:rtl/>
        </w:rPr>
        <w:t>7</w:t>
      </w:r>
      <w:r>
        <w:rPr>
          <w:rtl/>
        </w:rPr>
        <w:tab/>
        <w:t xml:space="preserve">وتشير الدولة الطرف إلى المادة </w:t>
      </w:r>
      <w:r w:rsidRPr="00582767">
        <w:rPr>
          <w:rtl/>
        </w:rPr>
        <w:t>29</w:t>
      </w:r>
      <w:r>
        <w:rPr>
          <w:rtl/>
        </w:rPr>
        <w:t xml:space="preserve"> من اتفاقية فيينا لقانون المعاهدات، وإلى قرار المحكمة الأوروبية لحقوق الإنسان في قضية </w:t>
      </w:r>
      <w:proofErr w:type="spellStart"/>
      <w:r w:rsidRPr="00582767">
        <w:rPr>
          <w:i/>
          <w:iCs/>
          <w:rtl/>
        </w:rPr>
        <w:t>بنكوفيتش</w:t>
      </w:r>
      <w:proofErr w:type="spellEnd"/>
      <w:r w:rsidRPr="00582767">
        <w:rPr>
          <w:i/>
          <w:iCs/>
          <w:rtl/>
        </w:rPr>
        <w:t xml:space="preserve"> وآخرون ضد بلجيكا وآخرين</w:t>
      </w:r>
      <w:r w:rsidR="009770BA" w:rsidRPr="00582767">
        <w:rPr>
          <w:rStyle w:val="FootnoteReference"/>
          <w:rtl/>
        </w:rPr>
        <w:t>(</w:t>
      </w:r>
      <w:r w:rsidR="009770BA" w:rsidRPr="00582767">
        <w:rPr>
          <w:rStyle w:val="FootnoteReference"/>
          <w:lang w:val="en-US"/>
        </w:rPr>
        <w:footnoteReference w:id="6"/>
      </w:r>
      <w:r w:rsidRPr="00A02D6F">
        <w:rPr>
          <w:vertAlign w:val="superscript"/>
          <w:rtl/>
        </w:rPr>
        <w:t>)</w:t>
      </w:r>
      <w:r>
        <w:rPr>
          <w:rtl/>
        </w:rPr>
        <w:t xml:space="preserve"> وإلى الاجتهادات السابقة للجنة مناهضة التعذيب</w:t>
      </w:r>
      <w:r w:rsidR="009770BA" w:rsidRPr="00582767">
        <w:rPr>
          <w:rStyle w:val="FootnoteReference"/>
          <w:rtl/>
        </w:rPr>
        <w:t>(</w:t>
      </w:r>
      <w:r w:rsidR="009770BA" w:rsidRPr="00582767">
        <w:rPr>
          <w:rStyle w:val="FootnoteReference"/>
          <w:lang w:val="en-US"/>
        </w:rPr>
        <w:footnoteReference w:id="7"/>
      </w:r>
      <w:r w:rsidR="009770BA" w:rsidRPr="009770BA">
        <w:rPr>
          <w:vertAlign w:val="superscript"/>
          <w:rtl/>
        </w:rPr>
        <w:t>)</w:t>
      </w:r>
      <w:r w:rsidR="009770BA" w:rsidRPr="009770BA">
        <w:rPr>
          <w:rtl/>
        </w:rPr>
        <w:t>.</w:t>
      </w:r>
      <w:r w:rsidR="009770BA" w:rsidRPr="009770BA">
        <w:rPr>
          <w:rtl/>
        </w:rPr>
        <w:t xml:space="preserve"> </w:t>
      </w:r>
      <w:r>
        <w:rPr>
          <w:rtl/>
        </w:rPr>
        <w:t>وتدفع الدولة الطرف بأن مفهوم الولاية القضائية في القانون الدولي العام مفهومٌ يسري على إقليم الدولة في المقام الأول، ما لم يتضح من المعاهدة مقصد مغاير أو لم يُثبَت هذا المقصد بطريقة مغايرة، وبأن ولاية الدولة خارج حدودها الوطنية تنشأ عن السيطرة الفعلية التي يُحتمل أن تمارسها خارج هذه الحدود</w:t>
      </w:r>
      <w:r w:rsidR="009770BA" w:rsidRPr="00582767">
        <w:rPr>
          <w:rStyle w:val="FootnoteReference"/>
          <w:rtl/>
        </w:rPr>
        <w:t>(</w:t>
      </w:r>
      <w:r w:rsidR="009770BA" w:rsidRPr="00582767">
        <w:rPr>
          <w:rStyle w:val="FootnoteReference"/>
          <w:lang w:val="en-US"/>
        </w:rPr>
        <w:footnoteReference w:id="8"/>
      </w:r>
      <w:r w:rsidR="009770BA" w:rsidRPr="009770BA">
        <w:rPr>
          <w:vertAlign w:val="superscript"/>
          <w:rtl/>
        </w:rPr>
        <w:t>)</w:t>
      </w:r>
      <w:r w:rsidR="009770BA" w:rsidRPr="009770BA">
        <w:rPr>
          <w:rtl/>
        </w:rPr>
        <w:t>.</w:t>
      </w:r>
      <w:r w:rsidR="009770BA" w:rsidRPr="009770BA">
        <w:rPr>
          <w:rtl/>
        </w:rPr>
        <w:t xml:space="preserve"> </w:t>
      </w:r>
      <w:r>
        <w:rPr>
          <w:rtl/>
        </w:rPr>
        <w:t>وتشير الدولة الطرف إلى الاجتهادات القضائية للمحكمة الأوروبية لحقوق الإنسان</w:t>
      </w:r>
      <w:r w:rsidR="009770BA" w:rsidRPr="00582767">
        <w:rPr>
          <w:rStyle w:val="FootnoteReference"/>
          <w:rtl/>
        </w:rPr>
        <w:t>(</w:t>
      </w:r>
      <w:r w:rsidR="009770BA" w:rsidRPr="00582767">
        <w:rPr>
          <w:rStyle w:val="FootnoteReference"/>
          <w:lang w:val="en-US"/>
        </w:rPr>
        <w:footnoteReference w:id="9"/>
      </w:r>
      <w:r w:rsidR="009770BA" w:rsidRPr="009770BA">
        <w:rPr>
          <w:vertAlign w:val="superscript"/>
          <w:rtl/>
        </w:rPr>
        <w:t>)</w:t>
      </w:r>
      <w:r w:rsidR="009770BA" w:rsidRPr="009770BA">
        <w:rPr>
          <w:rtl/>
        </w:rPr>
        <w:t>،</w:t>
      </w:r>
      <w:r w:rsidR="009770BA" w:rsidRPr="009770BA">
        <w:rPr>
          <w:rtl/>
        </w:rPr>
        <w:t xml:space="preserve"> </w:t>
      </w:r>
      <w:r>
        <w:rPr>
          <w:rtl/>
        </w:rPr>
        <w:t>ومحكمة العدل الدولية</w:t>
      </w:r>
      <w:r w:rsidR="009770BA" w:rsidRPr="00582767">
        <w:rPr>
          <w:rStyle w:val="FootnoteReference"/>
          <w:rtl/>
        </w:rPr>
        <w:t>(</w:t>
      </w:r>
      <w:r w:rsidR="009770BA" w:rsidRPr="00582767">
        <w:rPr>
          <w:rStyle w:val="FootnoteReference"/>
          <w:lang w:val="en-US"/>
        </w:rPr>
        <w:footnoteReference w:id="10"/>
      </w:r>
      <w:r w:rsidR="009770BA" w:rsidRPr="009770BA">
        <w:rPr>
          <w:vertAlign w:val="superscript"/>
          <w:rtl/>
        </w:rPr>
        <w:t>)</w:t>
      </w:r>
      <w:r w:rsidR="009770BA" w:rsidRPr="009770BA">
        <w:rPr>
          <w:rtl/>
        </w:rPr>
        <w:t>،</w:t>
      </w:r>
      <w:r w:rsidR="009770BA" w:rsidRPr="009770BA">
        <w:rPr>
          <w:rtl/>
        </w:rPr>
        <w:t xml:space="preserve"> </w:t>
      </w:r>
      <w:r>
        <w:rPr>
          <w:rtl/>
        </w:rPr>
        <w:t>ولجنة البلدان الأمريكية لحقوق الإنسان</w:t>
      </w:r>
      <w:r w:rsidR="009770BA" w:rsidRPr="00582767">
        <w:rPr>
          <w:rStyle w:val="FootnoteReference"/>
          <w:rtl/>
        </w:rPr>
        <w:t>(</w:t>
      </w:r>
      <w:r w:rsidR="009770BA" w:rsidRPr="00582767">
        <w:rPr>
          <w:rStyle w:val="FootnoteReference"/>
          <w:lang w:val="en-US"/>
        </w:rPr>
        <w:footnoteReference w:id="11"/>
      </w:r>
      <w:r w:rsidR="009770BA" w:rsidRPr="009770BA">
        <w:rPr>
          <w:vertAlign w:val="superscript"/>
          <w:rtl/>
        </w:rPr>
        <w:t>)</w:t>
      </w:r>
      <w:r w:rsidR="009770BA" w:rsidRPr="009770BA">
        <w:rPr>
          <w:rtl/>
        </w:rPr>
        <w:t>،</w:t>
      </w:r>
      <w:r w:rsidR="009770BA" w:rsidRPr="009770BA">
        <w:rPr>
          <w:rtl/>
        </w:rPr>
        <w:t xml:space="preserve"> </w:t>
      </w:r>
      <w:r>
        <w:rPr>
          <w:rtl/>
        </w:rPr>
        <w:t xml:space="preserve">وتذكّر بأنه لكي يخضع الأطفال للولاية القضائية للدولة الطرف، يجب على صاحبات البلاغ إثبات خضوعهم للسيطرة الفعلية لفنلندا، </w:t>
      </w:r>
      <w:r>
        <w:rPr>
          <w:rtl/>
        </w:rPr>
        <w:lastRenderedPageBreak/>
        <w:t>سواء</w:t>
      </w:r>
      <w:r w:rsidR="00E4149B">
        <w:rPr>
          <w:rFonts w:hint="cs"/>
          <w:rtl/>
        </w:rPr>
        <w:t> </w:t>
      </w:r>
      <w:r>
        <w:rPr>
          <w:rtl/>
        </w:rPr>
        <w:t>عن طريق أعوانها أو سلطة محلية تكون لفنلندا سيطرة كبيرة عليها، بحيث تصبح هذه السلطة معتمدة عليها في الواقع. وفي هذه القضية، تلاحظ الدولة الطرف أن صاحبات البلاغ لم يقدمن أي دليل على أن فنلندا تمارس أي سيطرة أو سلطة على الأطفال أو على الإقليم ذي الصلة.</w:t>
      </w:r>
    </w:p>
    <w:p w14:paraId="5FECFDDE" w14:textId="77777777" w:rsidR="00A02D6F" w:rsidRDefault="00A02D6F" w:rsidP="00A02D6F">
      <w:pPr>
        <w:pStyle w:val="SingleTxtGA"/>
        <w:rPr>
          <w:rtl/>
        </w:rPr>
      </w:pPr>
      <w:r w:rsidRPr="00582767">
        <w:rPr>
          <w:rtl/>
        </w:rPr>
        <w:t>4</w:t>
      </w:r>
      <w:r>
        <w:rPr>
          <w:rtl/>
        </w:rPr>
        <w:t>-</w:t>
      </w:r>
      <w:r w:rsidRPr="00582767">
        <w:rPr>
          <w:rtl/>
        </w:rPr>
        <w:t>8</w:t>
      </w:r>
      <w:r>
        <w:rPr>
          <w:rtl/>
        </w:rPr>
        <w:tab/>
        <w:t>وفي الختام، تلاحظ الدولة الطرف أن الادعاءات التي أثارتها صاحبات البلاغ لا تدعمها أدلة لأنها عامة بطبيعتها ولا علاقة لها بالوقائع الفردية للأطفال المذكورين في هذا البلاغ.</w:t>
      </w:r>
    </w:p>
    <w:p w14:paraId="21D4204A" w14:textId="77777777" w:rsidR="00A02D6F" w:rsidRPr="00582767" w:rsidRDefault="00A02D6F" w:rsidP="00E4149B">
      <w:pPr>
        <w:pStyle w:val="H23GA"/>
        <w:rPr>
          <w:rtl/>
        </w:rPr>
      </w:pPr>
      <w:r w:rsidRPr="00582767">
        <w:rPr>
          <w:rtl/>
        </w:rPr>
        <w:tab/>
      </w:r>
      <w:r w:rsidRPr="00582767">
        <w:rPr>
          <w:rtl/>
        </w:rPr>
        <w:tab/>
        <w:t>تعليقات صاحبات البلاغ على ملاحظات الدولة الطرف بشأن المقبولية</w:t>
      </w:r>
    </w:p>
    <w:p w14:paraId="61E78D46" w14:textId="048D559E" w:rsidR="00A02D6F" w:rsidRDefault="00A02D6F" w:rsidP="00A02D6F">
      <w:pPr>
        <w:pStyle w:val="SingleTxtGA"/>
        <w:rPr>
          <w:rtl/>
        </w:rPr>
      </w:pPr>
      <w:r w:rsidRPr="00582767">
        <w:rPr>
          <w:rtl/>
        </w:rPr>
        <w:t>5</w:t>
      </w:r>
      <w:r>
        <w:rPr>
          <w:rtl/>
        </w:rPr>
        <w:t>-</w:t>
      </w:r>
      <w:r w:rsidRPr="00582767">
        <w:rPr>
          <w:rtl/>
        </w:rPr>
        <w:t>1</w:t>
      </w:r>
      <w:r>
        <w:rPr>
          <w:rtl/>
        </w:rPr>
        <w:tab/>
        <w:t xml:space="preserve">في </w:t>
      </w:r>
      <w:r w:rsidRPr="00582767">
        <w:rPr>
          <w:rtl/>
        </w:rPr>
        <w:t>17</w:t>
      </w:r>
      <w:r>
        <w:rPr>
          <w:rtl/>
        </w:rPr>
        <w:t xml:space="preserve"> شباط/فبراير </w:t>
      </w:r>
      <w:r w:rsidRPr="00582767">
        <w:rPr>
          <w:rtl/>
        </w:rPr>
        <w:t>2020</w:t>
      </w:r>
      <w:r>
        <w:rPr>
          <w:rtl/>
        </w:rPr>
        <w:t xml:space="preserve">، قدمت صاحبات البلاغ تعليقاتها رداً على ملاحظات الدولة الطرف بشأن المقبولية. ويذكرن بأنهن من أقرب الأقارب للأطفال المذكورين في هذا البلاغ، المحتجزين مع </w:t>
      </w:r>
      <w:r w:rsidRPr="009770BA">
        <w:rPr>
          <w:spacing w:val="-2"/>
          <w:rtl/>
        </w:rPr>
        <w:t>أمهاتهم في مخيم يقع تحت سيطرة قوات سوريا الديمقراطية. وضمن ملابسات هذه القضية، تتمتع صاحبات</w:t>
      </w:r>
      <w:r>
        <w:rPr>
          <w:rtl/>
        </w:rPr>
        <w:t xml:space="preserve"> البلاغ بأهلية التصرف بما يخدم المصالح الفضلى للأطفال المذكورين في البلاغ. وبالنظر إلى</w:t>
      </w:r>
      <w:r w:rsidR="006E3C06">
        <w:rPr>
          <w:rtl/>
        </w:rPr>
        <w:t xml:space="preserve"> </w:t>
      </w:r>
      <w:r>
        <w:rPr>
          <w:rtl/>
        </w:rPr>
        <w:t xml:space="preserve">أن جميع الأطفال الآخرين الذين هم مواطنون فنلنديون في مخيم الهول هم في وضع مماثل، تدعي صاحبات البلاغ </w:t>
      </w:r>
      <w:r w:rsidRPr="009770BA">
        <w:rPr>
          <w:spacing w:val="-2"/>
          <w:rtl/>
        </w:rPr>
        <w:t>أن لديهن</w:t>
      </w:r>
      <w:r w:rsidR="006E3C06" w:rsidRPr="009770BA">
        <w:rPr>
          <w:spacing w:val="-2"/>
          <w:rtl/>
        </w:rPr>
        <w:t xml:space="preserve"> أيضاً </w:t>
      </w:r>
      <w:r w:rsidRPr="009770BA">
        <w:rPr>
          <w:spacing w:val="-2"/>
          <w:rtl/>
        </w:rPr>
        <w:t>أهلية التصرف نيابة عن كامل الأطفال ذوي الوضع المماثل. والدولة الطرف تعرف هويات</w:t>
      </w:r>
      <w:r>
        <w:rPr>
          <w:rtl/>
        </w:rPr>
        <w:t xml:space="preserve"> جميع الأطفال المواطنين الفنلنديين الموجودين في مخيم الهول. وفي حال لم تقبل اللجنة بأهلية صاحبات البلاغ نيابة عن المجموعة بأكملها، فينبغي لها عندئذ أن تشرع في النظر في الأسس الموضوعية ذات الصلة بالأطفال الذين ترد أسماؤهم في البلاغ.</w:t>
      </w:r>
    </w:p>
    <w:p w14:paraId="0B23A0D5" w14:textId="7E2A9C50" w:rsidR="00A02D6F" w:rsidRDefault="00A02D6F" w:rsidP="00A02D6F">
      <w:pPr>
        <w:pStyle w:val="SingleTxtGA"/>
        <w:rPr>
          <w:rtl/>
        </w:rPr>
      </w:pPr>
      <w:r w:rsidRPr="00582767">
        <w:rPr>
          <w:rtl/>
        </w:rPr>
        <w:t>5</w:t>
      </w:r>
      <w:r>
        <w:rPr>
          <w:rtl/>
        </w:rPr>
        <w:t>-</w:t>
      </w:r>
      <w:r w:rsidRPr="00582767">
        <w:rPr>
          <w:rtl/>
        </w:rPr>
        <w:t>2</w:t>
      </w:r>
      <w:r>
        <w:rPr>
          <w:rtl/>
        </w:rPr>
        <w:tab/>
      </w:r>
      <w:r w:rsidRPr="00E4149B">
        <w:rPr>
          <w:spacing w:val="-4"/>
          <w:rtl/>
        </w:rPr>
        <w:t xml:space="preserve">وبالنسبة إلى حجة الدولة الطرف بشأن التعارض من حيث </w:t>
      </w:r>
      <w:r w:rsidRPr="00582767">
        <w:rPr>
          <w:i/>
          <w:iCs/>
          <w:spacing w:val="-4"/>
          <w:rtl/>
        </w:rPr>
        <w:t>الاختصاص الزمني</w:t>
      </w:r>
      <w:r w:rsidRPr="00E4149B">
        <w:rPr>
          <w:spacing w:val="-4"/>
          <w:rtl/>
        </w:rPr>
        <w:t>، توضح صاحبات</w:t>
      </w:r>
      <w:r>
        <w:rPr>
          <w:rtl/>
        </w:rPr>
        <w:t xml:space="preserve"> البلاغ أن البلاغ يتعلق بانتهاكات وقعت منذ آذار/مارس </w:t>
      </w:r>
      <w:r w:rsidRPr="00582767">
        <w:rPr>
          <w:rtl/>
        </w:rPr>
        <w:t>2019</w:t>
      </w:r>
      <w:r w:rsidR="009770BA" w:rsidRPr="00582767">
        <w:rPr>
          <w:rStyle w:val="FootnoteReference"/>
          <w:rtl/>
        </w:rPr>
        <w:t>(</w:t>
      </w:r>
      <w:r w:rsidR="009770BA" w:rsidRPr="00582767">
        <w:rPr>
          <w:rStyle w:val="FootnoteReference"/>
          <w:lang w:val="en-US"/>
        </w:rPr>
        <w:footnoteReference w:id="12"/>
      </w:r>
      <w:r w:rsidR="009770BA" w:rsidRPr="009770BA">
        <w:rPr>
          <w:vertAlign w:val="superscript"/>
          <w:rtl/>
        </w:rPr>
        <w:t>)</w:t>
      </w:r>
      <w:r w:rsidR="009770BA" w:rsidRPr="009770BA">
        <w:rPr>
          <w:rtl/>
        </w:rPr>
        <w:t>،</w:t>
      </w:r>
      <w:r w:rsidR="009770BA" w:rsidRPr="009770BA">
        <w:rPr>
          <w:rtl/>
        </w:rPr>
        <w:t xml:space="preserve"> </w:t>
      </w:r>
      <w:r>
        <w:rPr>
          <w:rtl/>
        </w:rPr>
        <w:t>وأن لها طابع</w:t>
      </w:r>
      <w:r>
        <w:rPr>
          <w:rtl/>
        </w:rPr>
        <w:t>اً</w:t>
      </w:r>
      <w:r>
        <w:rPr>
          <w:rtl/>
        </w:rPr>
        <w:t xml:space="preserve"> مستمر</w:t>
      </w:r>
      <w:r>
        <w:rPr>
          <w:rtl/>
        </w:rPr>
        <w:t>اً</w:t>
      </w:r>
      <w:r>
        <w:rPr>
          <w:rtl/>
        </w:rPr>
        <w:t>.</w:t>
      </w:r>
    </w:p>
    <w:p w14:paraId="70DDBC28" w14:textId="2D389DA2" w:rsidR="00A02D6F" w:rsidRDefault="00A02D6F" w:rsidP="00A02D6F">
      <w:pPr>
        <w:pStyle w:val="SingleTxtGA"/>
        <w:rPr>
          <w:rtl/>
        </w:rPr>
      </w:pPr>
      <w:r w:rsidRPr="00582767">
        <w:rPr>
          <w:rtl/>
        </w:rPr>
        <w:t>5</w:t>
      </w:r>
      <w:r>
        <w:rPr>
          <w:rtl/>
        </w:rPr>
        <w:t>-</w:t>
      </w:r>
      <w:r w:rsidRPr="00582767">
        <w:rPr>
          <w:rtl/>
        </w:rPr>
        <w:t>3</w:t>
      </w:r>
      <w:r>
        <w:rPr>
          <w:rtl/>
        </w:rPr>
        <w:tab/>
        <w:t>وتبرز صاحبات البلاغ أن الدولة الطرف لم تذكر ولو سبيل انتصاف محلي</w:t>
      </w:r>
      <w:r>
        <w:rPr>
          <w:rtl/>
        </w:rPr>
        <w:t>اً</w:t>
      </w:r>
      <w:r>
        <w:rPr>
          <w:rtl/>
        </w:rPr>
        <w:t xml:space="preserve"> واحد</w:t>
      </w:r>
      <w:r>
        <w:rPr>
          <w:rtl/>
        </w:rPr>
        <w:t>اً</w:t>
      </w:r>
      <w:r>
        <w:rPr>
          <w:rtl/>
        </w:rPr>
        <w:t xml:space="preserve"> فيما يتعلق بأي انتهاك مزعوم احتُج به. وشدّدن على أنهن قدّمن طلبات للعمل بتدابير حماية الطفل إلى هيئة حماية الطفل في هلسنكي، لكن طلباتهن رُفضت. ورفعن شكوى</w:t>
      </w:r>
      <w:r w:rsidR="006E3C06">
        <w:rPr>
          <w:rtl/>
        </w:rPr>
        <w:t xml:space="preserve"> أيضاً </w:t>
      </w:r>
      <w:r>
        <w:rPr>
          <w:rtl/>
        </w:rPr>
        <w:t xml:space="preserve">إلى وزير العدل، الذي أصدر قراراً في </w:t>
      </w:r>
      <w:r w:rsidRPr="00582767">
        <w:rPr>
          <w:rtl/>
        </w:rPr>
        <w:t>9</w:t>
      </w:r>
      <w:r>
        <w:rPr>
          <w:rtl/>
        </w:rPr>
        <w:t xml:space="preserve"> تشرين الأول/أكتوبر </w:t>
      </w:r>
      <w:r w:rsidRPr="00582767">
        <w:rPr>
          <w:rtl/>
        </w:rPr>
        <w:t>2019</w:t>
      </w:r>
      <w:r w:rsidR="009770BA" w:rsidRPr="00582767">
        <w:rPr>
          <w:rStyle w:val="FootnoteReference"/>
          <w:rtl/>
        </w:rPr>
        <w:t>(</w:t>
      </w:r>
      <w:r w:rsidR="009770BA" w:rsidRPr="00582767">
        <w:rPr>
          <w:rStyle w:val="FootnoteReference"/>
          <w:lang w:val="en-US"/>
        </w:rPr>
        <w:footnoteReference w:id="13"/>
      </w:r>
      <w:r w:rsidR="009770BA" w:rsidRPr="009770BA">
        <w:rPr>
          <w:vertAlign w:val="superscript"/>
          <w:rtl/>
        </w:rPr>
        <w:t>)</w:t>
      </w:r>
      <w:r w:rsidR="009770BA" w:rsidRPr="009770BA">
        <w:rPr>
          <w:rtl/>
        </w:rPr>
        <w:t>.</w:t>
      </w:r>
      <w:r w:rsidR="009770BA" w:rsidRPr="009770BA">
        <w:rPr>
          <w:rtl/>
        </w:rPr>
        <w:t xml:space="preserve"> </w:t>
      </w:r>
      <w:r>
        <w:rPr>
          <w:rtl/>
        </w:rPr>
        <w:t>لكن لا يجوز للوزير إلغاء قرارات هيئة حماية الطفل، ولا قرارات الحكومة.</w:t>
      </w:r>
    </w:p>
    <w:p w14:paraId="05882DE4" w14:textId="1CF991C5" w:rsidR="00A02D6F" w:rsidRDefault="00A02D6F" w:rsidP="00A02D6F">
      <w:pPr>
        <w:pStyle w:val="SingleTxtGA"/>
        <w:rPr>
          <w:rtl/>
        </w:rPr>
      </w:pPr>
      <w:r w:rsidRPr="00582767">
        <w:rPr>
          <w:rtl/>
        </w:rPr>
        <w:t>5</w:t>
      </w:r>
      <w:r>
        <w:rPr>
          <w:rtl/>
        </w:rPr>
        <w:t>-</w:t>
      </w:r>
      <w:r w:rsidRPr="00582767">
        <w:rPr>
          <w:rtl/>
        </w:rPr>
        <w:t>4</w:t>
      </w:r>
      <w:r>
        <w:rPr>
          <w:rtl/>
        </w:rPr>
        <w:tab/>
        <w:t xml:space="preserve">وتذكر صاحبات البلاغ أن الحكومة أصدرت في </w:t>
      </w:r>
      <w:r w:rsidRPr="00582767">
        <w:rPr>
          <w:rtl/>
        </w:rPr>
        <w:t>16</w:t>
      </w:r>
      <w:r>
        <w:rPr>
          <w:rtl/>
        </w:rPr>
        <w:t xml:space="preserve"> كانون الأول/ديسمبر </w:t>
      </w:r>
      <w:r w:rsidRPr="00582767">
        <w:rPr>
          <w:rtl/>
        </w:rPr>
        <w:t>2019</w:t>
      </w:r>
      <w:r>
        <w:rPr>
          <w:rtl/>
        </w:rPr>
        <w:t xml:space="preserve"> قرار</w:t>
      </w:r>
      <w:r>
        <w:rPr>
          <w:rtl/>
        </w:rPr>
        <w:t>اً</w:t>
      </w:r>
      <w:r>
        <w:rPr>
          <w:rtl/>
        </w:rPr>
        <w:t xml:space="preserve"> مبدئي</w:t>
      </w:r>
      <w:r>
        <w:rPr>
          <w:rtl/>
        </w:rPr>
        <w:t>اً</w:t>
      </w:r>
      <w:r>
        <w:rPr>
          <w:rtl/>
        </w:rPr>
        <w:t xml:space="preserve"> بشأن الإعادة من مخيم الهول إلى الوطن. ولا تمنح هذه المبادئ التوجيهية حقوق</w:t>
      </w:r>
      <w:r>
        <w:rPr>
          <w:rtl/>
        </w:rPr>
        <w:t>اً</w:t>
      </w:r>
      <w:r>
        <w:rPr>
          <w:rtl/>
        </w:rPr>
        <w:t xml:space="preserve"> للأفراد، وليس لها أي</w:t>
      </w:r>
      <w:r w:rsidR="00F977A5">
        <w:rPr>
          <w:rFonts w:hint="cs"/>
          <w:rtl/>
        </w:rPr>
        <w:t> </w:t>
      </w:r>
      <w:r>
        <w:rPr>
          <w:rtl/>
        </w:rPr>
        <w:t xml:space="preserve">أثر على أرض الواقع. </w:t>
      </w:r>
      <w:r w:rsidRPr="00F977A5">
        <w:rPr>
          <w:spacing w:val="-2"/>
          <w:rtl/>
        </w:rPr>
        <w:t>وتدعي صاحبات البلاغ أنه لا يوجد سبيل</w:t>
      </w:r>
      <w:r>
        <w:rPr>
          <w:rtl/>
        </w:rPr>
        <w:t xml:space="preserve"> انتصاف فيما يتعلق بمثل هذا القرار، ويذكِّرن أن صاحبة البلاغ ك. ك. رفعت في </w:t>
      </w:r>
      <w:r w:rsidRPr="00582767">
        <w:rPr>
          <w:rtl/>
        </w:rPr>
        <w:t>22</w:t>
      </w:r>
      <w:r>
        <w:rPr>
          <w:rtl/>
        </w:rPr>
        <w:t xml:space="preserve"> أيار/مايو </w:t>
      </w:r>
      <w:r w:rsidRPr="00582767">
        <w:rPr>
          <w:rtl/>
        </w:rPr>
        <w:t>2019</w:t>
      </w:r>
      <w:r>
        <w:rPr>
          <w:rtl/>
        </w:rPr>
        <w:t xml:space="preserve"> شكوى إلى أمين المظالم البرلماني، ما</w:t>
      </w:r>
      <w:r w:rsidR="009770BA">
        <w:rPr>
          <w:rFonts w:hint="cs"/>
          <w:rtl/>
        </w:rPr>
        <w:t> </w:t>
      </w:r>
      <w:r>
        <w:rPr>
          <w:rtl/>
        </w:rPr>
        <w:t>تزال قيد النظر. لكن هذه الشكوى ليست</w:t>
      </w:r>
      <w:r w:rsidR="006E3C06">
        <w:rPr>
          <w:rtl/>
        </w:rPr>
        <w:t xml:space="preserve"> أيضاً </w:t>
      </w:r>
      <w:r>
        <w:rPr>
          <w:rtl/>
        </w:rPr>
        <w:t>سبيل انتصاف فعال</w:t>
      </w:r>
      <w:r>
        <w:rPr>
          <w:rtl/>
        </w:rPr>
        <w:t>اً</w:t>
      </w:r>
      <w:r>
        <w:rPr>
          <w:rtl/>
        </w:rPr>
        <w:t>، بالنظر إلى أنه لا يجوز لأمين المظالم إلغاء أي قرارات تتخذها السلطات.</w:t>
      </w:r>
    </w:p>
    <w:p w14:paraId="545531E8" w14:textId="77777777" w:rsidR="00A02D6F" w:rsidRDefault="00A02D6F" w:rsidP="00A02D6F">
      <w:pPr>
        <w:pStyle w:val="SingleTxtGA"/>
        <w:rPr>
          <w:rtl/>
        </w:rPr>
      </w:pPr>
      <w:r w:rsidRPr="00582767">
        <w:rPr>
          <w:rtl/>
        </w:rPr>
        <w:t>5</w:t>
      </w:r>
      <w:r>
        <w:rPr>
          <w:rtl/>
        </w:rPr>
        <w:t>-</w:t>
      </w:r>
      <w:r w:rsidRPr="00582767">
        <w:rPr>
          <w:rtl/>
        </w:rPr>
        <w:t>5</w:t>
      </w:r>
      <w:r>
        <w:rPr>
          <w:rtl/>
        </w:rPr>
        <w:tab/>
        <w:t>وفيما يتعلق بالولاية القضائية، تدفع صاحبات البلاغ بأن البلاغ ينحصر في أفعال أو الامتناع عن أفعال تقع ضمن ولاية الدولة الطرف. ولا تدعي صاحبات البلاغ أنه ينبغي للدولة الطرف اتخاذ تدابير الإعادة إلى الوطن دون مفاوضات مناسبة واتفاق مع السلطات التي تسيطر على الإقليم.</w:t>
      </w:r>
    </w:p>
    <w:p w14:paraId="63688651" w14:textId="77777777" w:rsidR="00A02D6F" w:rsidRPr="00582767" w:rsidRDefault="00A02D6F" w:rsidP="00E4149B">
      <w:pPr>
        <w:pStyle w:val="H23GA"/>
        <w:rPr>
          <w:rtl/>
        </w:rPr>
      </w:pPr>
      <w:r w:rsidRPr="00582767">
        <w:rPr>
          <w:rtl/>
        </w:rPr>
        <w:tab/>
      </w:r>
      <w:r w:rsidRPr="00582767">
        <w:rPr>
          <w:rtl/>
        </w:rPr>
        <w:tab/>
        <w:t>ملاحظات إضافية من الدولة الطرف</w:t>
      </w:r>
    </w:p>
    <w:p w14:paraId="364513FF" w14:textId="52F75CE8" w:rsidR="009770BA" w:rsidRPr="009770BA" w:rsidRDefault="00A02D6F" w:rsidP="00A02D6F">
      <w:pPr>
        <w:pStyle w:val="SingleTxtGA"/>
        <w:rPr>
          <w:rtl/>
        </w:rPr>
      </w:pPr>
      <w:r w:rsidRPr="00582767">
        <w:rPr>
          <w:rtl/>
        </w:rPr>
        <w:t>6</w:t>
      </w:r>
      <w:r>
        <w:rPr>
          <w:rtl/>
        </w:rPr>
        <w:t>-</w:t>
      </w:r>
      <w:r w:rsidRPr="00582767">
        <w:rPr>
          <w:rtl/>
        </w:rPr>
        <w:t>1</w:t>
      </w:r>
      <w:r>
        <w:rPr>
          <w:rtl/>
        </w:rPr>
        <w:tab/>
        <w:t xml:space="preserve">أبلغت الدولة الطرف اللجنة، في رسالتها المؤرخة </w:t>
      </w:r>
      <w:r w:rsidRPr="00582767">
        <w:rPr>
          <w:rtl/>
        </w:rPr>
        <w:t>4</w:t>
      </w:r>
      <w:r>
        <w:rPr>
          <w:rtl/>
        </w:rPr>
        <w:t xml:space="preserve"> آب/أغسطس </w:t>
      </w:r>
      <w:r w:rsidRPr="00582767">
        <w:rPr>
          <w:rtl/>
        </w:rPr>
        <w:t>2020</w:t>
      </w:r>
      <w:r>
        <w:rPr>
          <w:rtl/>
        </w:rPr>
        <w:t xml:space="preserve">، بأن حكومة الدولة الطرف أصدرت في </w:t>
      </w:r>
      <w:r w:rsidRPr="00582767">
        <w:rPr>
          <w:rtl/>
        </w:rPr>
        <w:t>16</w:t>
      </w:r>
      <w:r>
        <w:rPr>
          <w:rtl/>
        </w:rPr>
        <w:t xml:space="preserve"> كانون الأول/ديسمبر </w:t>
      </w:r>
      <w:r w:rsidRPr="00582767">
        <w:rPr>
          <w:rtl/>
        </w:rPr>
        <w:t>2019</w:t>
      </w:r>
      <w:r>
        <w:rPr>
          <w:rtl/>
        </w:rPr>
        <w:t xml:space="preserve"> مبادئ توجيهية لإعادة المواطنين الفنلنديين من </w:t>
      </w:r>
      <w:r>
        <w:rPr>
          <w:rtl/>
        </w:rPr>
        <w:lastRenderedPageBreak/>
        <w:t>مخيم الهول للاجئين في الجمهورية العربية السورية إلى وطنهم. واستناد</w:t>
      </w:r>
      <w:r>
        <w:rPr>
          <w:rtl/>
        </w:rPr>
        <w:t>اً</w:t>
      </w:r>
      <w:r>
        <w:rPr>
          <w:rtl/>
        </w:rPr>
        <w:t xml:space="preserve"> إلى هذه المبادئ التوجيهية، اعتُمد القرار الحكومي </w:t>
      </w:r>
      <w:r>
        <w:t>UM/</w:t>
      </w:r>
      <w:r w:rsidRPr="00582767">
        <w:t>2019</w:t>
      </w:r>
      <w:r>
        <w:t>/</w:t>
      </w:r>
      <w:r w:rsidRPr="00582767">
        <w:t>203</w:t>
      </w:r>
      <w:r>
        <w:rPr>
          <w:rtl/>
        </w:rPr>
        <w:t xml:space="preserve"> في </w:t>
      </w:r>
      <w:r w:rsidRPr="00582767">
        <w:rPr>
          <w:rtl/>
        </w:rPr>
        <w:t>19</w:t>
      </w:r>
      <w:r>
        <w:rPr>
          <w:rtl/>
        </w:rPr>
        <w:t xml:space="preserve"> كانون الأول/ديسمبر </w:t>
      </w:r>
      <w:r w:rsidRPr="00582767">
        <w:rPr>
          <w:rtl/>
        </w:rPr>
        <w:t>201</w:t>
      </w:r>
      <w:r w:rsidR="009770BA" w:rsidRPr="00582767">
        <w:rPr>
          <w:rtl/>
        </w:rPr>
        <w:t>9</w:t>
      </w:r>
      <w:r w:rsidR="009770BA" w:rsidRPr="009770BA">
        <w:rPr>
          <w:rtl/>
        </w:rPr>
        <w:t xml:space="preserve">. </w:t>
      </w:r>
      <w:r>
        <w:rPr>
          <w:rtl/>
        </w:rPr>
        <w:t>وأعلنت الدولة الطرف أن للحكومة عزم</w:t>
      </w:r>
      <w:r>
        <w:rPr>
          <w:rtl/>
        </w:rPr>
        <w:t>اً</w:t>
      </w:r>
      <w:r>
        <w:rPr>
          <w:rtl/>
        </w:rPr>
        <w:t xml:space="preserve"> مشترك</w:t>
      </w:r>
      <w:r>
        <w:rPr>
          <w:rtl/>
        </w:rPr>
        <w:t>اً</w:t>
      </w:r>
      <w:r>
        <w:rPr>
          <w:rtl/>
        </w:rPr>
        <w:t xml:space="preserve"> لا لبس فيه لإعادة الأطفال من المخيم إلى وطنهم في أقرب وقت ممكن. فقد أُعيد طفلان إلى وطنهما في ديسمبر/كانون الأول </w:t>
      </w:r>
      <w:r w:rsidRPr="00582767">
        <w:rPr>
          <w:rtl/>
        </w:rPr>
        <w:t>2019</w:t>
      </w:r>
      <w:r>
        <w:rPr>
          <w:rtl/>
        </w:rPr>
        <w:t xml:space="preserve">، </w:t>
      </w:r>
      <w:proofErr w:type="spellStart"/>
      <w:r>
        <w:rPr>
          <w:rtl/>
        </w:rPr>
        <w:t>وأُعيدت</w:t>
      </w:r>
      <w:proofErr w:type="spellEnd"/>
      <w:r>
        <w:rPr>
          <w:rtl/>
        </w:rPr>
        <w:t xml:space="preserve"> أم وأطفالها فرّوا من مخيم الهول إلى تركيا بمساعدة السلطات الفنلندية في آب</w:t>
      </w:r>
      <w:r w:rsidR="006E3C06">
        <w:rPr>
          <w:rtl/>
        </w:rPr>
        <w:t>/</w:t>
      </w:r>
      <w:r>
        <w:rPr>
          <w:rtl/>
        </w:rPr>
        <w:t xml:space="preserve">أغسطس </w:t>
      </w:r>
      <w:r w:rsidRPr="00582767">
        <w:rPr>
          <w:rtl/>
        </w:rPr>
        <w:t>202</w:t>
      </w:r>
      <w:r w:rsidR="009770BA" w:rsidRPr="00582767">
        <w:rPr>
          <w:rtl/>
        </w:rPr>
        <w:t>0</w:t>
      </w:r>
      <w:r w:rsidR="009770BA" w:rsidRPr="009770BA">
        <w:rPr>
          <w:rtl/>
        </w:rPr>
        <w:t>.</w:t>
      </w:r>
    </w:p>
    <w:p w14:paraId="5EDFB186" w14:textId="2AEE5645" w:rsidR="00A02D6F" w:rsidRDefault="00A02D6F" w:rsidP="00A02D6F">
      <w:pPr>
        <w:pStyle w:val="SingleTxtGA"/>
        <w:rPr>
          <w:rtl/>
        </w:rPr>
      </w:pPr>
      <w:r w:rsidRPr="00582767">
        <w:rPr>
          <w:rtl/>
        </w:rPr>
        <w:t>6</w:t>
      </w:r>
      <w:r>
        <w:rPr>
          <w:rtl/>
        </w:rPr>
        <w:t>-</w:t>
      </w:r>
      <w:r w:rsidRPr="00582767">
        <w:rPr>
          <w:rtl/>
        </w:rPr>
        <w:t>2</w:t>
      </w:r>
      <w:r>
        <w:rPr>
          <w:rtl/>
        </w:rPr>
        <w:tab/>
        <w:t>وتذكر الدولة الطرف كذلك أن ثلاث نساء وأطفالهن - بمن فيهم س. م.،</w:t>
      </w:r>
      <w:r w:rsidR="006E3C06">
        <w:rPr>
          <w:rtl/>
        </w:rPr>
        <w:t xml:space="preserve"> و</w:t>
      </w:r>
      <w:r>
        <w:rPr>
          <w:rtl/>
        </w:rPr>
        <w:t>ك. م.،</w:t>
      </w:r>
      <w:r w:rsidR="006E3C06">
        <w:rPr>
          <w:rtl/>
        </w:rPr>
        <w:t xml:space="preserve"> </w:t>
      </w:r>
      <w:proofErr w:type="spellStart"/>
      <w:r w:rsidR="006E3C06">
        <w:rPr>
          <w:rtl/>
        </w:rPr>
        <w:t>و</w:t>
      </w:r>
      <w:r>
        <w:rPr>
          <w:rtl/>
        </w:rPr>
        <w:t>ج</w:t>
      </w:r>
      <w:proofErr w:type="spellEnd"/>
      <w:r>
        <w:rPr>
          <w:rtl/>
        </w:rPr>
        <w:t xml:space="preserve">. م. - غادروا مخيم الهول بمبادرتهم وأنهم وصلوا إلى فنلندا في </w:t>
      </w:r>
      <w:r w:rsidRPr="00582767">
        <w:rPr>
          <w:rtl/>
        </w:rPr>
        <w:t>31</w:t>
      </w:r>
      <w:r>
        <w:rPr>
          <w:rtl/>
        </w:rPr>
        <w:t xml:space="preserve"> أيار/مايو </w:t>
      </w:r>
      <w:r w:rsidRPr="00582767">
        <w:rPr>
          <w:rtl/>
        </w:rPr>
        <w:t>202</w:t>
      </w:r>
      <w:r w:rsidR="009770BA" w:rsidRPr="00582767">
        <w:rPr>
          <w:rtl/>
        </w:rPr>
        <w:t>0</w:t>
      </w:r>
      <w:r w:rsidR="009770BA" w:rsidRPr="009770BA">
        <w:rPr>
          <w:rtl/>
        </w:rPr>
        <w:t xml:space="preserve">. </w:t>
      </w:r>
      <w:r>
        <w:rPr>
          <w:rtl/>
        </w:rPr>
        <w:t xml:space="preserve">ولمــَّا كان هؤلاء الأطفال </w:t>
      </w:r>
      <w:r w:rsidRPr="009770BA">
        <w:rPr>
          <w:spacing w:val="-4"/>
          <w:rtl/>
        </w:rPr>
        <w:t>الثلاثة قد أُفرج عنهم من مخيم الهول، لم يَعُد لصاحبة البلاغ، أُ. م.، وضع الضحية فيما يتعلق بالانتهاكات</w:t>
      </w:r>
      <w:r>
        <w:rPr>
          <w:rtl/>
        </w:rPr>
        <w:t xml:space="preserve"> المزعومة للحقوق المكرسة في الاتفاقية وبروتوكوليها الاختياريين. ولهذا السبب، تطلب الدولة الطرف إلى اللجنة أن تعلن عدم مقبولية البلاغ المتعلق ب</w:t>
      </w:r>
      <w:r w:rsidR="009770BA">
        <w:rPr>
          <w:rFonts w:hint="cs"/>
          <w:rtl/>
        </w:rPr>
        <w:t>‍</w:t>
      </w:r>
      <w:r>
        <w:rPr>
          <w:rtl/>
        </w:rPr>
        <w:t xml:space="preserve"> أُ. م.، تطبيقاً للمادة </w:t>
      </w:r>
      <w:r w:rsidRPr="00582767">
        <w:rPr>
          <w:rtl/>
        </w:rPr>
        <w:t>7</w:t>
      </w:r>
      <w:r>
        <w:rPr>
          <w:rtl/>
        </w:rPr>
        <w:t>(ج) من البروتوكول الاختياري المتعلق بإجراء تقديم البلاغات.</w:t>
      </w:r>
    </w:p>
    <w:p w14:paraId="46AA44CF" w14:textId="7BC894B8" w:rsidR="00A02D6F" w:rsidRDefault="00A02D6F" w:rsidP="00A02D6F">
      <w:pPr>
        <w:pStyle w:val="SingleTxtGA"/>
        <w:rPr>
          <w:rtl/>
        </w:rPr>
      </w:pPr>
      <w:r w:rsidRPr="00582767">
        <w:rPr>
          <w:rtl/>
        </w:rPr>
        <w:t>6</w:t>
      </w:r>
      <w:r>
        <w:rPr>
          <w:rtl/>
        </w:rPr>
        <w:t>-</w:t>
      </w:r>
      <w:r w:rsidRPr="00582767">
        <w:rPr>
          <w:rtl/>
        </w:rPr>
        <w:t>3</w:t>
      </w:r>
      <w:r>
        <w:rPr>
          <w:rtl/>
        </w:rPr>
        <w:tab/>
        <w:t xml:space="preserve">وفي </w:t>
      </w:r>
      <w:r w:rsidRPr="00582767">
        <w:rPr>
          <w:rtl/>
        </w:rPr>
        <w:t>17</w:t>
      </w:r>
      <w:r>
        <w:rPr>
          <w:rtl/>
        </w:rPr>
        <w:t xml:space="preserve"> كانون الأول/ديسمبر </w:t>
      </w:r>
      <w:r w:rsidRPr="00582767">
        <w:rPr>
          <w:rtl/>
        </w:rPr>
        <w:t>2021</w:t>
      </w:r>
      <w:r>
        <w:rPr>
          <w:rtl/>
        </w:rPr>
        <w:t xml:space="preserve">، أبلغت الدولة الطرف اللجنة بأنها أعادت في </w:t>
      </w:r>
      <w:r w:rsidRPr="00582767">
        <w:rPr>
          <w:rtl/>
        </w:rPr>
        <w:t>10</w:t>
      </w:r>
      <w:r>
        <w:rPr>
          <w:rtl/>
        </w:rPr>
        <w:t xml:space="preserve"> كانون الأول/ديسمبر </w:t>
      </w:r>
      <w:r w:rsidRPr="00582767">
        <w:rPr>
          <w:rtl/>
        </w:rPr>
        <w:t>2021</w:t>
      </w:r>
      <w:r>
        <w:rPr>
          <w:rtl/>
        </w:rPr>
        <w:t xml:space="preserve"> امرأةً وأطفالها الأربعة من مخيم الهول عبر تركيا، بالتعاون مع السلطات التركية. وفي </w:t>
      </w:r>
      <w:r w:rsidRPr="00582767">
        <w:rPr>
          <w:rtl/>
        </w:rPr>
        <w:t>16</w:t>
      </w:r>
      <w:r>
        <w:rPr>
          <w:rtl/>
        </w:rPr>
        <w:t xml:space="preserve"> تموز/يوليه </w:t>
      </w:r>
      <w:r w:rsidRPr="00582767">
        <w:rPr>
          <w:rtl/>
        </w:rPr>
        <w:t>2021</w:t>
      </w:r>
      <w:r>
        <w:rPr>
          <w:rtl/>
        </w:rPr>
        <w:t>، أعادت الدولة الطرف</w:t>
      </w:r>
      <w:r w:rsidR="006E3C06">
        <w:rPr>
          <w:rtl/>
        </w:rPr>
        <w:t xml:space="preserve"> أيضاً </w:t>
      </w:r>
      <w:r>
        <w:rPr>
          <w:rtl/>
        </w:rPr>
        <w:t xml:space="preserve">امرأةً وطفليها من مخيم روج إلى وطنهم. ومنذ </w:t>
      </w:r>
      <w:r w:rsidRPr="00061139">
        <w:rPr>
          <w:spacing w:val="-2"/>
          <w:rtl/>
        </w:rPr>
        <w:t xml:space="preserve">عام </w:t>
      </w:r>
      <w:r w:rsidRPr="00582767">
        <w:rPr>
          <w:spacing w:val="-2"/>
          <w:rtl/>
        </w:rPr>
        <w:t>2019</w:t>
      </w:r>
      <w:r w:rsidRPr="00061139">
        <w:rPr>
          <w:spacing w:val="-2"/>
          <w:rtl/>
        </w:rPr>
        <w:t xml:space="preserve">، أعادت الدولة الطرف ما مجموعه </w:t>
      </w:r>
      <w:r w:rsidRPr="00582767">
        <w:rPr>
          <w:spacing w:val="-2"/>
          <w:rtl/>
        </w:rPr>
        <w:t>35</w:t>
      </w:r>
      <w:r w:rsidRPr="00061139">
        <w:rPr>
          <w:spacing w:val="-2"/>
          <w:rtl/>
        </w:rPr>
        <w:t xml:space="preserve"> مواطن</w:t>
      </w:r>
      <w:r w:rsidRPr="00061139">
        <w:rPr>
          <w:spacing w:val="-2"/>
          <w:rtl/>
        </w:rPr>
        <w:t>اً</w:t>
      </w:r>
      <w:r w:rsidRPr="00061139">
        <w:rPr>
          <w:spacing w:val="-2"/>
          <w:rtl/>
        </w:rPr>
        <w:t xml:space="preserve"> فنلندي</w:t>
      </w:r>
      <w:r w:rsidRPr="00061139">
        <w:rPr>
          <w:spacing w:val="-2"/>
          <w:rtl/>
        </w:rPr>
        <w:t>اً</w:t>
      </w:r>
      <w:r w:rsidRPr="00061139">
        <w:rPr>
          <w:spacing w:val="-2"/>
          <w:rtl/>
        </w:rPr>
        <w:t xml:space="preserve"> (</w:t>
      </w:r>
      <w:r w:rsidRPr="00582767">
        <w:rPr>
          <w:spacing w:val="-2"/>
          <w:rtl/>
        </w:rPr>
        <w:t>26</w:t>
      </w:r>
      <w:r w:rsidRPr="00061139">
        <w:rPr>
          <w:spacing w:val="-2"/>
          <w:rtl/>
        </w:rPr>
        <w:t xml:space="preserve"> طفل</w:t>
      </w:r>
      <w:r w:rsidRPr="00061139">
        <w:rPr>
          <w:spacing w:val="-2"/>
          <w:rtl/>
        </w:rPr>
        <w:t>اً</w:t>
      </w:r>
      <w:r w:rsidRPr="00061139">
        <w:rPr>
          <w:spacing w:val="-2"/>
          <w:rtl/>
        </w:rPr>
        <w:t xml:space="preserve"> وتسعة بالغين) كانوا محتجزين</w:t>
      </w:r>
      <w:r>
        <w:rPr>
          <w:rtl/>
        </w:rPr>
        <w:t xml:space="preserve"> في شمال شرق الجمهورية العربية السورية. وما يزال حوالي </w:t>
      </w:r>
      <w:r w:rsidRPr="00582767">
        <w:rPr>
          <w:rtl/>
        </w:rPr>
        <w:t>10</w:t>
      </w:r>
      <w:r>
        <w:rPr>
          <w:rtl/>
        </w:rPr>
        <w:t xml:space="preserve"> مواطنين فنلنديين في المخيمات.</w:t>
      </w:r>
    </w:p>
    <w:p w14:paraId="0D1E9EF5" w14:textId="21F3437E" w:rsidR="00A02D6F" w:rsidRDefault="00A02D6F" w:rsidP="00A02D6F">
      <w:pPr>
        <w:pStyle w:val="SingleTxtGA"/>
        <w:rPr>
          <w:rtl/>
        </w:rPr>
      </w:pPr>
      <w:r w:rsidRPr="00582767">
        <w:rPr>
          <w:rtl/>
        </w:rPr>
        <w:t>6</w:t>
      </w:r>
      <w:r>
        <w:rPr>
          <w:rtl/>
        </w:rPr>
        <w:t>-</w:t>
      </w:r>
      <w:r w:rsidRPr="00582767">
        <w:rPr>
          <w:rtl/>
        </w:rPr>
        <w:t>4</w:t>
      </w:r>
      <w:r>
        <w:rPr>
          <w:rtl/>
        </w:rPr>
        <w:tab/>
        <w:t xml:space="preserve">وتؤكد الدولة الطرف عزمها، قدر الإمكان، على إعادة الأطفال الفنلنديين الذين ما زالوا محتجزين </w:t>
      </w:r>
      <w:r w:rsidRPr="009770BA">
        <w:rPr>
          <w:spacing w:val="-2"/>
          <w:rtl/>
        </w:rPr>
        <w:t>في المخيمات إلى وطنهم. وحين تعذّر إعادة هؤلاء إلى وطنهم، سعت الدولة الطرف، نظراً للظروف الصعبة</w:t>
      </w:r>
      <w:r>
        <w:rPr>
          <w:rtl/>
        </w:rPr>
        <w:t xml:space="preserve"> وحمايةً لسلامة الأطفال في المقام الأول، إلى ضمان حقوق ورفاه الأطفال الفنلنديين المقيمين في </w:t>
      </w:r>
      <w:r w:rsidRPr="00E4149B">
        <w:rPr>
          <w:spacing w:val="-4"/>
          <w:rtl/>
        </w:rPr>
        <w:t>مخيم الهول بغير ذلك من الوسائل المتاحة، بقدر ما كان ذلك ممكن</w:t>
      </w:r>
      <w:r w:rsidRPr="00E4149B">
        <w:rPr>
          <w:spacing w:val="-4"/>
          <w:rtl/>
        </w:rPr>
        <w:t>اً</w:t>
      </w:r>
      <w:r w:rsidRPr="00E4149B">
        <w:rPr>
          <w:spacing w:val="-4"/>
          <w:rtl/>
        </w:rPr>
        <w:t>. وشملت التدابير المتخذة إتاحة طبيب</w:t>
      </w:r>
      <w:r>
        <w:rPr>
          <w:rtl/>
        </w:rPr>
        <w:t xml:space="preserve"> أطفال عن بُعد، وإنشاء مدرسة عن بُعد للأطفال الفنلنديين في مخيم الهول.</w:t>
      </w:r>
    </w:p>
    <w:p w14:paraId="6AC4C3BD" w14:textId="77777777" w:rsidR="00A02D6F" w:rsidRPr="00582767" w:rsidRDefault="00A02D6F" w:rsidP="00E4149B">
      <w:pPr>
        <w:pStyle w:val="H23GA"/>
        <w:rPr>
          <w:rtl/>
        </w:rPr>
      </w:pPr>
      <w:r w:rsidRPr="00582767">
        <w:rPr>
          <w:rtl/>
        </w:rPr>
        <w:tab/>
      </w:r>
      <w:r w:rsidRPr="00582767">
        <w:rPr>
          <w:rtl/>
        </w:rPr>
        <w:tab/>
        <w:t>ملاحظات إضافية من صاحبات البلاغ</w:t>
      </w:r>
    </w:p>
    <w:p w14:paraId="19962658" w14:textId="3F6EC6C9" w:rsidR="00A02D6F" w:rsidRDefault="00A02D6F" w:rsidP="00A02D6F">
      <w:pPr>
        <w:pStyle w:val="SingleTxtGA"/>
        <w:rPr>
          <w:rtl/>
        </w:rPr>
      </w:pPr>
      <w:r w:rsidRPr="00582767">
        <w:rPr>
          <w:rtl/>
        </w:rPr>
        <w:t>7</w:t>
      </w:r>
      <w:r>
        <w:rPr>
          <w:rtl/>
        </w:rPr>
        <w:t>-</w:t>
      </w:r>
      <w:r w:rsidRPr="00582767">
        <w:rPr>
          <w:rtl/>
        </w:rPr>
        <w:t>1</w:t>
      </w:r>
      <w:r>
        <w:rPr>
          <w:rtl/>
        </w:rPr>
        <w:tab/>
        <w:t xml:space="preserve">أكدت صاحبات البلاغ في رسالتهن المؤرخة </w:t>
      </w:r>
      <w:r w:rsidRPr="00582767">
        <w:rPr>
          <w:rtl/>
        </w:rPr>
        <w:t>11</w:t>
      </w:r>
      <w:r>
        <w:rPr>
          <w:rtl/>
        </w:rPr>
        <w:t xml:space="preserve"> شباط/فبراير </w:t>
      </w:r>
      <w:r w:rsidRPr="00582767">
        <w:rPr>
          <w:rtl/>
        </w:rPr>
        <w:t>2021</w:t>
      </w:r>
      <w:r>
        <w:rPr>
          <w:rtl/>
        </w:rPr>
        <w:t xml:space="preserve"> أن س. م.،</w:t>
      </w:r>
      <w:r w:rsidR="006E3C06">
        <w:rPr>
          <w:rtl/>
        </w:rPr>
        <w:t xml:space="preserve"> و</w:t>
      </w:r>
      <w:r>
        <w:rPr>
          <w:rtl/>
        </w:rPr>
        <w:t>ك. م.،</w:t>
      </w:r>
      <w:r w:rsidR="006E3C06">
        <w:rPr>
          <w:rtl/>
        </w:rPr>
        <w:t xml:space="preserve"> </w:t>
      </w:r>
      <w:proofErr w:type="spellStart"/>
      <w:r w:rsidR="006E3C06">
        <w:rPr>
          <w:rtl/>
        </w:rPr>
        <w:t>و</w:t>
      </w:r>
      <w:r>
        <w:rPr>
          <w:rtl/>
        </w:rPr>
        <w:t>ج</w:t>
      </w:r>
      <w:proofErr w:type="spellEnd"/>
      <w:r>
        <w:rPr>
          <w:rtl/>
        </w:rPr>
        <w:t>.</w:t>
      </w:r>
      <w:r w:rsidR="00E4149B">
        <w:rPr>
          <w:rFonts w:hint="cs"/>
          <w:rtl/>
        </w:rPr>
        <w:t> </w:t>
      </w:r>
      <w:r>
        <w:rPr>
          <w:rtl/>
        </w:rPr>
        <w:t xml:space="preserve">م. </w:t>
      </w:r>
      <w:r w:rsidRPr="00E4149B">
        <w:rPr>
          <w:spacing w:val="-2"/>
          <w:rtl/>
        </w:rPr>
        <w:t xml:space="preserve">عادوا إلى فنلندا مع والدتهم في </w:t>
      </w:r>
      <w:r w:rsidRPr="00582767">
        <w:rPr>
          <w:spacing w:val="-2"/>
          <w:rtl/>
        </w:rPr>
        <w:t>31</w:t>
      </w:r>
      <w:r w:rsidRPr="00E4149B">
        <w:rPr>
          <w:spacing w:val="-2"/>
          <w:rtl/>
        </w:rPr>
        <w:t xml:space="preserve"> أيار/مايو </w:t>
      </w:r>
      <w:r w:rsidRPr="00582767">
        <w:rPr>
          <w:spacing w:val="-2"/>
          <w:rtl/>
        </w:rPr>
        <w:t>202</w:t>
      </w:r>
      <w:r w:rsidR="009770BA" w:rsidRPr="00582767">
        <w:rPr>
          <w:spacing w:val="-2"/>
          <w:rtl/>
        </w:rPr>
        <w:t>0</w:t>
      </w:r>
      <w:r w:rsidR="009770BA" w:rsidRPr="009770BA">
        <w:rPr>
          <w:spacing w:val="-2"/>
          <w:rtl/>
        </w:rPr>
        <w:t xml:space="preserve">. </w:t>
      </w:r>
      <w:r w:rsidRPr="00E4149B">
        <w:rPr>
          <w:spacing w:val="-2"/>
          <w:rtl/>
        </w:rPr>
        <w:t xml:space="preserve">ومع ذلك، تدفع صاحبات البلاغ بأنه لا ينبغي </w:t>
      </w:r>
      <w:r w:rsidRPr="00061139">
        <w:rPr>
          <w:spacing w:val="-4"/>
          <w:rtl/>
        </w:rPr>
        <w:t>إعلان عدم مقبولية البلاغ فيما يتعلق بصاحبة البلاغ، أُ. م.، لأن س. م.،</w:t>
      </w:r>
      <w:r w:rsidR="006E3C06" w:rsidRPr="00061139">
        <w:rPr>
          <w:spacing w:val="-4"/>
          <w:rtl/>
        </w:rPr>
        <w:t xml:space="preserve"> و</w:t>
      </w:r>
      <w:r w:rsidRPr="00061139">
        <w:rPr>
          <w:spacing w:val="-4"/>
          <w:rtl/>
        </w:rPr>
        <w:t>ك. م.،</w:t>
      </w:r>
      <w:r w:rsidR="006E3C06" w:rsidRPr="00061139">
        <w:rPr>
          <w:spacing w:val="-4"/>
          <w:rtl/>
        </w:rPr>
        <w:t xml:space="preserve"> </w:t>
      </w:r>
      <w:proofErr w:type="spellStart"/>
      <w:r w:rsidR="006E3C06" w:rsidRPr="00061139">
        <w:rPr>
          <w:spacing w:val="-4"/>
          <w:rtl/>
        </w:rPr>
        <w:t>و</w:t>
      </w:r>
      <w:r w:rsidRPr="00061139">
        <w:rPr>
          <w:spacing w:val="-4"/>
          <w:rtl/>
        </w:rPr>
        <w:t>ج</w:t>
      </w:r>
      <w:proofErr w:type="spellEnd"/>
      <w:r w:rsidRPr="00061139">
        <w:rPr>
          <w:spacing w:val="-4"/>
          <w:rtl/>
        </w:rPr>
        <w:t>. م. عانوا من انتهاكات</w:t>
      </w:r>
      <w:r>
        <w:rPr>
          <w:rtl/>
        </w:rPr>
        <w:t xml:space="preserve"> الاتفاقية أثناء وجودهم في المخيم، من ربيع عام </w:t>
      </w:r>
      <w:r w:rsidRPr="00582767">
        <w:rPr>
          <w:rtl/>
        </w:rPr>
        <w:t>2019</w:t>
      </w:r>
      <w:r>
        <w:rPr>
          <w:rtl/>
        </w:rPr>
        <w:t xml:space="preserve"> إلى أيار/مايو </w:t>
      </w:r>
      <w:r w:rsidRPr="00582767">
        <w:rPr>
          <w:rtl/>
        </w:rPr>
        <w:t>202</w:t>
      </w:r>
      <w:r w:rsidR="009770BA" w:rsidRPr="00582767">
        <w:rPr>
          <w:rtl/>
        </w:rPr>
        <w:t>0</w:t>
      </w:r>
      <w:r w:rsidR="009770BA" w:rsidRPr="009770BA">
        <w:rPr>
          <w:rtl/>
        </w:rPr>
        <w:t xml:space="preserve">. </w:t>
      </w:r>
      <w:r>
        <w:rPr>
          <w:rtl/>
        </w:rPr>
        <w:t>فخلال تلك الفترة، لم</w:t>
      </w:r>
      <w:r w:rsidR="00061139">
        <w:rPr>
          <w:rFonts w:hint="cs"/>
          <w:rtl/>
        </w:rPr>
        <w:t> </w:t>
      </w:r>
      <w:r>
        <w:rPr>
          <w:rtl/>
        </w:rPr>
        <w:t>تستخدم الدولة الطرف الوسائل المتاحة لحمايتهم.</w:t>
      </w:r>
    </w:p>
    <w:p w14:paraId="3049BB09" w14:textId="426EDD15" w:rsidR="00A02D6F" w:rsidRDefault="00A02D6F" w:rsidP="00A02D6F">
      <w:pPr>
        <w:pStyle w:val="SingleTxtGA"/>
        <w:rPr>
          <w:rtl/>
        </w:rPr>
      </w:pPr>
      <w:r w:rsidRPr="00582767">
        <w:rPr>
          <w:rtl/>
        </w:rPr>
        <w:t>7</w:t>
      </w:r>
      <w:r>
        <w:rPr>
          <w:rtl/>
        </w:rPr>
        <w:t>-</w:t>
      </w:r>
      <w:r w:rsidRPr="00582767">
        <w:rPr>
          <w:rtl/>
        </w:rPr>
        <w:t>2</w:t>
      </w:r>
      <w:r>
        <w:rPr>
          <w:rtl/>
        </w:rPr>
        <w:tab/>
        <w:t xml:space="preserve">وتذكر صاحبات البلاغ أن أمين المظالم في الدولة الطرف أصدر في </w:t>
      </w:r>
      <w:r w:rsidRPr="00582767">
        <w:rPr>
          <w:rtl/>
        </w:rPr>
        <w:t>16</w:t>
      </w:r>
      <w:r>
        <w:rPr>
          <w:rtl/>
        </w:rPr>
        <w:t xml:space="preserve"> كانون الأول/</w:t>
      </w:r>
      <w:r w:rsidR="00E4149B">
        <w:rPr>
          <w:rFonts w:hint="cs"/>
          <w:rtl/>
        </w:rPr>
        <w:t xml:space="preserve">         </w:t>
      </w:r>
      <w:r>
        <w:rPr>
          <w:rtl/>
        </w:rPr>
        <w:t xml:space="preserve">ديسمبر </w:t>
      </w:r>
      <w:r w:rsidRPr="00582767">
        <w:rPr>
          <w:rtl/>
        </w:rPr>
        <w:t>2020</w:t>
      </w:r>
      <w:r>
        <w:rPr>
          <w:rtl/>
        </w:rPr>
        <w:t xml:space="preserve"> قرار</w:t>
      </w:r>
      <w:r>
        <w:rPr>
          <w:rtl/>
        </w:rPr>
        <w:t>اً</w:t>
      </w:r>
      <w:r>
        <w:rPr>
          <w:rtl/>
        </w:rPr>
        <w:t xml:space="preserve"> بشأن ادعاء ك. ك. أقرَّ ضمنه أن وزارة الخارجية غير ملزمة بإعادة الأطفال إلى وطنهم، لكنه شدد على ضرورة احترام حقوق الإنسان الأساسية المكفولة للأطفال.</w:t>
      </w:r>
    </w:p>
    <w:p w14:paraId="17992389" w14:textId="2FB77BF5" w:rsidR="00A02D6F" w:rsidRDefault="00A02D6F" w:rsidP="00A02D6F">
      <w:pPr>
        <w:pStyle w:val="SingleTxtGA"/>
        <w:rPr>
          <w:rtl/>
        </w:rPr>
      </w:pPr>
      <w:r w:rsidRPr="00582767">
        <w:rPr>
          <w:rtl/>
        </w:rPr>
        <w:t>7</w:t>
      </w:r>
      <w:r>
        <w:rPr>
          <w:rtl/>
        </w:rPr>
        <w:t>-</w:t>
      </w:r>
      <w:r w:rsidRPr="00582767">
        <w:rPr>
          <w:rtl/>
        </w:rPr>
        <w:t>3</w:t>
      </w:r>
      <w:r>
        <w:rPr>
          <w:rtl/>
        </w:rPr>
        <w:tab/>
        <w:t xml:space="preserve">وتدفع صاحبات البلاغ بأنه في الوقت الذي أعلنت حكومة فنلندا في صيف عام </w:t>
      </w:r>
      <w:r w:rsidRPr="00582767">
        <w:rPr>
          <w:rtl/>
        </w:rPr>
        <w:t>2019</w:t>
      </w:r>
      <w:r>
        <w:rPr>
          <w:rtl/>
        </w:rPr>
        <w:t xml:space="preserve"> موقفها العام بعدم مساعدة الأطفال في المخيم، عادت وغيّرت موقفها مع ذلك في كانون الأول/ديسمبر </w:t>
      </w:r>
      <w:r w:rsidRPr="00582767">
        <w:rPr>
          <w:rtl/>
        </w:rPr>
        <w:t>2019</w:t>
      </w:r>
      <w:r>
        <w:rPr>
          <w:rtl/>
        </w:rPr>
        <w:t xml:space="preserve"> بالتزامها بإعادة الأطفال من مخيم الهول إلى وطنهم. وفي الوقت الذي منحت سفارة فنلندا في تركيا وثائق </w:t>
      </w:r>
      <w:r w:rsidRPr="00E4149B">
        <w:rPr>
          <w:spacing w:val="-2"/>
          <w:rtl/>
        </w:rPr>
        <w:t>سفر للأسر التي بادرت إلى مغادرة المخيم بمبادرة منها وبوسائلها الخاصة – بما في ذلك س. م.،</w:t>
      </w:r>
      <w:r w:rsidR="006E3C06" w:rsidRPr="00E4149B">
        <w:rPr>
          <w:spacing w:val="-2"/>
          <w:rtl/>
        </w:rPr>
        <w:t xml:space="preserve"> و</w:t>
      </w:r>
      <w:r w:rsidRPr="00E4149B">
        <w:rPr>
          <w:spacing w:val="-2"/>
          <w:rtl/>
        </w:rPr>
        <w:t>ك. م.،</w:t>
      </w:r>
      <w:r w:rsidR="006E3C06">
        <w:rPr>
          <w:rtl/>
        </w:rPr>
        <w:t xml:space="preserve"> </w:t>
      </w:r>
      <w:proofErr w:type="spellStart"/>
      <w:r w:rsidR="006E3C06">
        <w:rPr>
          <w:rtl/>
        </w:rPr>
        <w:t>و</w:t>
      </w:r>
      <w:r>
        <w:rPr>
          <w:rtl/>
        </w:rPr>
        <w:t>ج</w:t>
      </w:r>
      <w:proofErr w:type="spellEnd"/>
      <w:r>
        <w:rPr>
          <w:rtl/>
        </w:rPr>
        <w:t xml:space="preserve">. م. </w:t>
      </w:r>
      <w:r w:rsidRPr="00E4149B">
        <w:rPr>
          <w:spacing w:val="-2"/>
          <w:rtl/>
        </w:rPr>
        <w:t>ووالدتهم – لم تفعل أي شيء لمساعدة هذه الأسر على مغادرة المخيم. ومن ثم، تكون الدولة الطرف</w:t>
      </w:r>
      <w:r>
        <w:rPr>
          <w:rtl/>
        </w:rPr>
        <w:t xml:space="preserve"> قد انتهكت حقهم في الحماية أثناء إقامتهم في المخيم.</w:t>
      </w:r>
    </w:p>
    <w:p w14:paraId="68F4FB62" w14:textId="3D2C921D" w:rsidR="00A02D6F" w:rsidRDefault="00A02D6F" w:rsidP="00E4149B">
      <w:pPr>
        <w:pStyle w:val="SingleTxtGA"/>
        <w:spacing w:line="354" w:lineRule="exact"/>
        <w:rPr>
          <w:rtl/>
        </w:rPr>
      </w:pPr>
      <w:r w:rsidRPr="00582767">
        <w:rPr>
          <w:rtl/>
        </w:rPr>
        <w:lastRenderedPageBreak/>
        <w:t>7</w:t>
      </w:r>
      <w:r>
        <w:rPr>
          <w:rtl/>
        </w:rPr>
        <w:t>-</w:t>
      </w:r>
      <w:r w:rsidRPr="00582767">
        <w:rPr>
          <w:rtl/>
        </w:rPr>
        <w:t>4</w:t>
      </w:r>
      <w:r>
        <w:rPr>
          <w:rtl/>
        </w:rPr>
        <w:tab/>
        <w:t>وفيما يتعلق بادعاء الدولة الطرف بأنها سعت إلى ضمان رفاه الأطفال في المخيم، لم تتلق صاحبات البلاغ أي معلومات عن هذه التدابير من أقاربهم في المخيم. ومفوضية الأمم المتحدة لشؤون اللاجئين هي التي قدمت الدعم للأسر في مخيم الهول. ولم يرَ أقارب صاحبات البلاغ في المخيم قطُّ أي</w:t>
      </w:r>
      <w:r w:rsidR="00F977A5">
        <w:rPr>
          <w:rFonts w:hint="cs"/>
          <w:rtl/>
        </w:rPr>
        <w:t> </w:t>
      </w:r>
      <w:r>
        <w:rPr>
          <w:rtl/>
        </w:rPr>
        <w:t>وفد فنلندي يزور المخيم، في حين أنهم رأَوْا وفد</w:t>
      </w:r>
      <w:r>
        <w:rPr>
          <w:rtl/>
        </w:rPr>
        <w:t>اً</w:t>
      </w:r>
      <w:r>
        <w:rPr>
          <w:rtl/>
        </w:rPr>
        <w:t xml:space="preserve"> سويدي</w:t>
      </w:r>
      <w:r>
        <w:rPr>
          <w:rtl/>
        </w:rPr>
        <w:t>اً</w:t>
      </w:r>
      <w:r>
        <w:rPr>
          <w:rtl/>
        </w:rPr>
        <w:t>.</w:t>
      </w:r>
    </w:p>
    <w:p w14:paraId="195CDCC9" w14:textId="77777777" w:rsidR="00A02D6F" w:rsidRPr="00582767" w:rsidRDefault="00A02D6F" w:rsidP="00E4149B">
      <w:pPr>
        <w:pStyle w:val="H23GA"/>
        <w:rPr>
          <w:rtl/>
        </w:rPr>
      </w:pPr>
      <w:r w:rsidRPr="00582767">
        <w:rPr>
          <w:rtl/>
        </w:rPr>
        <w:tab/>
      </w:r>
      <w:r w:rsidRPr="00582767">
        <w:rPr>
          <w:rtl/>
        </w:rPr>
        <w:tab/>
        <w:t>ملاحظات الدولة الطرف بشأن المقبولية</w:t>
      </w:r>
    </w:p>
    <w:p w14:paraId="1A8EBA01" w14:textId="1A91C9D3" w:rsidR="00A02D6F" w:rsidRDefault="00A02D6F" w:rsidP="00E4149B">
      <w:pPr>
        <w:pStyle w:val="SingleTxtGA"/>
        <w:spacing w:line="354" w:lineRule="exact"/>
        <w:rPr>
          <w:rtl/>
        </w:rPr>
      </w:pPr>
      <w:r w:rsidRPr="00582767">
        <w:rPr>
          <w:rtl/>
        </w:rPr>
        <w:t>8</w:t>
      </w:r>
      <w:r>
        <w:rPr>
          <w:rtl/>
        </w:rPr>
        <w:t>-</w:t>
      </w:r>
      <w:r w:rsidRPr="00582767">
        <w:rPr>
          <w:rtl/>
        </w:rPr>
        <w:t>1</w:t>
      </w:r>
      <w:r>
        <w:rPr>
          <w:rtl/>
        </w:rPr>
        <w:tab/>
        <w:t xml:space="preserve">في </w:t>
      </w:r>
      <w:r w:rsidRPr="00582767">
        <w:rPr>
          <w:rtl/>
        </w:rPr>
        <w:t>9</w:t>
      </w:r>
      <w:r>
        <w:rPr>
          <w:rtl/>
        </w:rPr>
        <w:t xml:space="preserve"> حزيران/</w:t>
      </w:r>
      <w:proofErr w:type="gramStart"/>
      <w:r>
        <w:rPr>
          <w:rtl/>
        </w:rPr>
        <w:t>يونيه</w:t>
      </w:r>
      <w:proofErr w:type="gramEnd"/>
      <w:r>
        <w:rPr>
          <w:rtl/>
        </w:rPr>
        <w:t xml:space="preserve"> </w:t>
      </w:r>
      <w:r w:rsidRPr="00582767">
        <w:rPr>
          <w:rtl/>
        </w:rPr>
        <w:t>2022</w:t>
      </w:r>
      <w:r>
        <w:rPr>
          <w:rtl/>
        </w:rPr>
        <w:t xml:space="preserve">، قدمت الدولة الطرف ملاحظاتها بشأن الأسس الموضوعية، وأكدت مجدداً دعوتها إلى عدم قبول البلاغ، وأضافت أن الادعاءات المستندة إلى المادتين </w:t>
      </w:r>
      <w:r w:rsidRPr="00582767">
        <w:rPr>
          <w:rtl/>
        </w:rPr>
        <w:t>39</w:t>
      </w:r>
      <w:r>
        <w:rPr>
          <w:rtl/>
        </w:rPr>
        <w:t xml:space="preserve"> و</w:t>
      </w:r>
      <w:r w:rsidRPr="00582767">
        <w:rPr>
          <w:rtl/>
        </w:rPr>
        <w:t>40</w:t>
      </w:r>
      <w:r>
        <w:rPr>
          <w:rtl/>
        </w:rPr>
        <w:t xml:space="preserve"> من الاتفاقية والمادة </w:t>
      </w:r>
      <w:r w:rsidRPr="00582767">
        <w:rPr>
          <w:rtl/>
        </w:rPr>
        <w:t>7</w:t>
      </w:r>
      <w:r>
        <w:rPr>
          <w:rtl/>
        </w:rPr>
        <w:t xml:space="preserve"> من البروتوكول الاختياري بشأن اشتراك الأطفال في المنازعات المسلحة ادعاءاتٌ تخمينية تمام</w:t>
      </w:r>
      <w:r>
        <w:rPr>
          <w:rtl/>
        </w:rPr>
        <w:t>اً</w:t>
      </w:r>
      <w:r>
        <w:rPr>
          <w:rtl/>
        </w:rPr>
        <w:t xml:space="preserve">، لأنها لا تشير إلا إلى ظروف افتراضية محتملة في المستقبل. وتلاحظ الدولة الطرف أن صاحبات البلاغ يذكرن أنهن قدمن طلباً إلى هيئة حماية الطفل، ومع ذلك فإنهن لم يستأنفن القرار. وتذكّر الدولة الطرف بقرار الحكومة </w:t>
      </w:r>
      <w:r>
        <w:t>UM/</w:t>
      </w:r>
      <w:r w:rsidRPr="00582767">
        <w:t>2019</w:t>
      </w:r>
      <w:r>
        <w:t>/</w:t>
      </w:r>
      <w:r w:rsidRPr="00582767">
        <w:t>203</w:t>
      </w:r>
      <w:r>
        <w:rPr>
          <w:rtl/>
        </w:rPr>
        <w:t xml:space="preserve"> بشأن المبادئ التوجيهية لإعادة المواطنين الفنلنديين من مخيم اللاجئين في الهول بالجمهورية العربية السورية إلى وطنهم</w:t>
      </w:r>
      <w:r w:rsidR="009770BA" w:rsidRPr="00582767">
        <w:rPr>
          <w:rStyle w:val="FootnoteReference"/>
          <w:rtl/>
        </w:rPr>
        <w:t>(</w:t>
      </w:r>
      <w:r w:rsidR="009770BA" w:rsidRPr="00582767">
        <w:rPr>
          <w:rStyle w:val="FootnoteReference"/>
          <w:lang w:val="en-US"/>
        </w:rPr>
        <w:footnoteReference w:id="14"/>
      </w:r>
      <w:r w:rsidR="009770BA" w:rsidRPr="009770BA">
        <w:rPr>
          <w:vertAlign w:val="superscript"/>
          <w:rtl/>
        </w:rPr>
        <w:t>)</w:t>
      </w:r>
      <w:r w:rsidR="009770BA" w:rsidRPr="009770BA">
        <w:rPr>
          <w:rtl/>
        </w:rPr>
        <w:t>،</w:t>
      </w:r>
      <w:r w:rsidR="009770BA" w:rsidRPr="009770BA">
        <w:rPr>
          <w:rtl/>
        </w:rPr>
        <w:t xml:space="preserve"> </w:t>
      </w:r>
      <w:r>
        <w:rPr>
          <w:rtl/>
        </w:rPr>
        <w:t>وتؤكد مجدد</w:t>
      </w:r>
      <w:r>
        <w:rPr>
          <w:rtl/>
        </w:rPr>
        <w:t>اً</w:t>
      </w:r>
      <w:r>
        <w:rPr>
          <w:rtl/>
        </w:rPr>
        <w:t xml:space="preserve"> عزمها المشترك الذي لا لبس فيه على إعادة الأطفال من المخيمات إلى وطنهم في أقرب وقت ممكن.</w:t>
      </w:r>
    </w:p>
    <w:p w14:paraId="70826791" w14:textId="3A39784E" w:rsidR="00A02D6F" w:rsidRDefault="00A02D6F" w:rsidP="00E4149B">
      <w:pPr>
        <w:pStyle w:val="SingleTxtGA"/>
        <w:spacing w:line="354" w:lineRule="exact"/>
        <w:rPr>
          <w:rtl/>
        </w:rPr>
      </w:pPr>
      <w:r w:rsidRPr="00582767">
        <w:rPr>
          <w:rtl/>
        </w:rPr>
        <w:t>8</w:t>
      </w:r>
      <w:r>
        <w:rPr>
          <w:rtl/>
        </w:rPr>
        <w:t>-</w:t>
      </w:r>
      <w:r w:rsidRPr="00582767">
        <w:rPr>
          <w:rtl/>
        </w:rPr>
        <w:t>2</w:t>
      </w:r>
      <w:r>
        <w:rPr>
          <w:rtl/>
        </w:rPr>
        <w:tab/>
        <w:t xml:space="preserve">وفيما يتعلق بالأسس الموضوعية، ترى الدولة الطرف أنه لم يحدث أي انتهاك للمواد </w:t>
      </w:r>
      <w:r w:rsidRPr="00582767">
        <w:rPr>
          <w:rtl/>
        </w:rPr>
        <w:t>2</w:t>
      </w:r>
      <w:r>
        <w:rPr>
          <w:rtl/>
        </w:rPr>
        <w:t xml:space="preserve">، أو </w:t>
      </w:r>
      <w:r w:rsidRPr="00582767">
        <w:rPr>
          <w:rtl/>
        </w:rPr>
        <w:t>20</w:t>
      </w:r>
      <w:r>
        <w:rPr>
          <w:rtl/>
        </w:rPr>
        <w:t xml:space="preserve">، أو </w:t>
      </w:r>
      <w:r w:rsidRPr="00582767">
        <w:rPr>
          <w:spacing w:val="-4"/>
          <w:rtl/>
        </w:rPr>
        <w:t>24</w:t>
      </w:r>
      <w:r w:rsidRPr="00E4149B">
        <w:rPr>
          <w:spacing w:val="-4"/>
          <w:rtl/>
        </w:rPr>
        <w:t>(</w:t>
      </w:r>
      <w:r w:rsidRPr="00582767">
        <w:rPr>
          <w:spacing w:val="-4"/>
          <w:rtl/>
        </w:rPr>
        <w:t>4</w:t>
      </w:r>
      <w:r w:rsidR="009770BA" w:rsidRPr="009770BA">
        <w:rPr>
          <w:spacing w:val="-4"/>
          <w:rtl/>
        </w:rPr>
        <w:t xml:space="preserve">)، </w:t>
      </w:r>
      <w:r w:rsidRPr="00E4149B">
        <w:rPr>
          <w:spacing w:val="-4"/>
          <w:rtl/>
        </w:rPr>
        <w:t xml:space="preserve">أو </w:t>
      </w:r>
      <w:r w:rsidRPr="00582767">
        <w:rPr>
          <w:spacing w:val="-4"/>
          <w:rtl/>
        </w:rPr>
        <w:t>37</w:t>
      </w:r>
      <w:r w:rsidRPr="00E4149B">
        <w:rPr>
          <w:spacing w:val="-4"/>
          <w:rtl/>
        </w:rPr>
        <w:t xml:space="preserve"> من الاتفاقية. ويبدو أن الطلب المستند إلى المادة </w:t>
      </w:r>
      <w:r w:rsidRPr="00582767">
        <w:rPr>
          <w:spacing w:val="-4"/>
          <w:rtl/>
        </w:rPr>
        <w:t>2</w:t>
      </w:r>
      <w:r w:rsidRPr="00E4149B">
        <w:rPr>
          <w:spacing w:val="-4"/>
          <w:rtl/>
        </w:rPr>
        <w:t xml:space="preserve"> من الاتفاقية، على وجه الخصوص</w:t>
      </w:r>
      <w:r>
        <w:rPr>
          <w:rtl/>
        </w:rPr>
        <w:t xml:space="preserve">، مجرد تكهنات ومن ثم يفتقر إلى الأدلة لأغراض المقبولية. وتدفع الدولة الطرف بأنه في ظل الملابسات </w:t>
      </w:r>
      <w:r w:rsidRPr="00E4149B">
        <w:rPr>
          <w:spacing w:val="-4"/>
          <w:rtl/>
        </w:rPr>
        <w:t>الخاصة لهذه القضية، من غير الواضح ما إذا كان البلاغ متوافقاً مع أحكام الاتفاقية والبروتوكول الاختياري</w:t>
      </w:r>
      <w:r>
        <w:rPr>
          <w:rtl/>
        </w:rPr>
        <w:t xml:space="preserve"> بشأن اشتراك الأطفال في المنازعات المسلحة فيما يتصل بالولاية القضائية، لا سيما مادتيه </w:t>
      </w:r>
      <w:r w:rsidRPr="00582767">
        <w:rPr>
          <w:rtl/>
        </w:rPr>
        <w:t>2</w:t>
      </w:r>
      <w:r>
        <w:rPr>
          <w:rtl/>
        </w:rPr>
        <w:t xml:space="preserve"> و</w:t>
      </w:r>
      <w:r w:rsidRPr="00582767">
        <w:rPr>
          <w:rtl/>
        </w:rPr>
        <w:t>6</w:t>
      </w:r>
      <w:r>
        <w:rPr>
          <w:rtl/>
        </w:rPr>
        <w:t>(</w:t>
      </w:r>
      <w:r w:rsidR="009770BA" w:rsidRPr="00582767">
        <w:rPr>
          <w:rtl/>
        </w:rPr>
        <w:t>1</w:t>
      </w:r>
      <w:r w:rsidR="009770BA" w:rsidRPr="009770BA">
        <w:rPr>
          <w:rtl/>
        </w:rPr>
        <w:t xml:space="preserve">) </w:t>
      </w:r>
      <w:r>
        <w:rPr>
          <w:rtl/>
        </w:rPr>
        <w:t>على التوالي.</w:t>
      </w:r>
    </w:p>
    <w:p w14:paraId="55CC1026" w14:textId="1F066063" w:rsidR="00A02D6F" w:rsidRDefault="00A02D6F" w:rsidP="00E4149B">
      <w:pPr>
        <w:pStyle w:val="SingleTxtGA"/>
        <w:spacing w:line="354" w:lineRule="exact"/>
        <w:rPr>
          <w:rtl/>
        </w:rPr>
      </w:pPr>
      <w:r w:rsidRPr="00582767">
        <w:rPr>
          <w:rtl/>
        </w:rPr>
        <w:t>8</w:t>
      </w:r>
      <w:r>
        <w:rPr>
          <w:rtl/>
        </w:rPr>
        <w:t>-</w:t>
      </w:r>
      <w:r w:rsidRPr="00582767">
        <w:rPr>
          <w:rtl/>
        </w:rPr>
        <w:t>3</w:t>
      </w:r>
      <w:r>
        <w:rPr>
          <w:rtl/>
        </w:rPr>
        <w:tab/>
        <w:t xml:space="preserve">وتلاحظ الدولة الطرف أن قرارات إعادة عدد من الأطفال الفنلنديين مع أمهاتهم اتُخذت بعد تقييم كل حالة على حدة، مع إيلاء الاعتبار الأول لمصالح الطفل الفضلى، واستخدام جميع المعلومات المتاحة لتقييم المخاطر المحتملة على الأمن القومي. وسجلت الدوائر القنصلية التابعة لوزارة الخارجية طلبات </w:t>
      </w:r>
      <w:r w:rsidRPr="00E4149B">
        <w:rPr>
          <w:spacing w:val="-2"/>
          <w:rtl/>
        </w:rPr>
        <w:t>المساعدة القنصلية و/أو الإعادة إلى الوطن. وسُجلت طلبات كل من الأشخاص أنفسهم وأقاربهم (في فنلندا)</w:t>
      </w:r>
      <w:r>
        <w:rPr>
          <w:rtl/>
        </w:rPr>
        <w:t xml:space="preserve"> </w:t>
      </w:r>
      <w:r w:rsidRPr="00E4149B">
        <w:rPr>
          <w:spacing w:val="-2"/>
          <w:rtl/>
        </w:rPr>
        <w:t>وتمّ التصرف بناء عليها بشرط أن الأقارب لا يحق لهم دائم</w:t>
      </w:r>
      <w:r w:rsidRPr="00E4149B">
        <w:rPr>
          <w:spacing w:val="-2"/>
          <w:rtl/>
        </w:rPr>
        <w:t>اً</w:t>
      </w:r>
      <w:r w:rsidRPr="00E4149B">
        <w:rPr>
          <w:spacing w:val="-2"/>
          <w:rtl/>
        </w:rPr>
        <w:t>، وفقاً للتشريعات المنطبقة فيما يتعلق بالبيانات</w:t>
      </w:r>
      <w:r>
        <w:rPr>
          <w:rtl/>
        </w:rPr>
        <w:t xml:space="preserve"> الشخصية وضماناً لحماية الحق في الخصوصية، الحصولَ على جميع المعلومات الشخصية ذات الصلة بالأفراد المحتجزين.</w:t>
      </w:r>
    </w:p>
    <w:p w14:paraId="10945FFE" w14:textId="17034E83" w:rsidR="00A02D6F" w:rsidRDefault="00A02D6F" w:rsidP="00E4149B">
      <w:pPr>
        <w:pStyle w:val="SingleTxtGA"/>
        <w:spacing w:line="354" w:lineRule="exact"/>
        <w:rPr>
          <w:rtl/>
        </w:rPr>
      </w:pPr>
      <w:r w:rsidRPr="00582767">
        <w:rPr>
          <w:rtl/>
        </w:rPr>
        <w:t>8</w:t>
      </w:r>
      <w:r>
        <w:rPr>
          <w:rtl/>
        </w:rPr>
        <w:t>-</w:t>
      </w:r>
      <w:r w:rsidRPr="00582767">
        <w:rPr>
          <w:rtl/>
        </w:rPr>
        <w:t>4</w:t>
      </w:r>
      <w:r>
        <w:rPr>
          <w:rtl/>
        </w:rPr>
        <w:tab/>
        <w:t xml:space="preserve">وتدفع الدولة الطرف بأن السلطات الفنلندية المختصة ظلت، منذ أواخر عام </w:t>
      </w:r>
      <w:r w:rsidRPr="00582767">
        <w:rPr>
          <w:rtl/>
        </w:rPr>
        <w:t>2019</w:t>
      </w:r>
      <w:r>
        <w:rPr>
          <w:rtl/>
        </w:rPr>
        <w:t xml:space="preserve"> وأوائل عام</w:t>
      </w:r>
      <w:r w:rsidR="00E4149B">
        <w:rPr>
          <w:rFonts w:hint="cs"/>
          <w:rtl/>
        </w:rPr>
        <w:t> </w:t>
      </w:r>
      <w:r w:rsidRPr="00582767">
        <w:rPr>
          <w:rtl/>
        </w:rPr>
        <w:t>2020</w:t>
      </w:r>
      <w:r>
        <w:rPr>
          <w:rtl/>
        </w:rPr>
        <w:t>، على اتصال منتظم مع كل فرد محتجز</w:t>
      </w:r>
      <w:r w:rsidR="006E3C06">
        <w:rPr>
          <w:rtl/>
        </w:rPr>
        <w:t xml:space="preserve"> </w:t>
      </w:r>
      <w:r>
        <w:rPr>
          <w:rtl/>
        </w:rPr>
        <w:t>أعرب عن استعداده للتفاعل معها. وشمل ذلك تنظيم اجتماعات حضورية مع المحتجزين في المخيمات والتواصل معهم عن بعد بانتظام يكاد يكون يومي</w:t>
      </w:r>
      <w:r>
        <w:rPr>
          <w:rtl/>
        </w:rPr>
        <w:t>اً</w:t>
      </w:r>
      <w:r>
        <w:rPr>
          <w:rtl/>
        </w:rPr>
        <w:t xml:space="preserve">. ومن بين </w:t>
      </w:r>
      <w:r w:rsidRPr="00E4149B">
        <w:rPr>
          <w:spacing w:val="-2"/>
          <w:rtl/>
        </w:rPr>
        <w:t>الأفراد ال</w:t>
      </w:r>
      <w:r w:rsidR="00E4149B" w:rsidRPr="00E4149B">
        <w:rPr>
          <w:rFonts w:hint="cs"/>
          <w:spacing w:val="-2"/>
          <w:rtl/>
        </w:rPr>
        <w:t>‍</w:t>
      </w:r>
      <w:r w:rsidRPr="00E4149B">
        <w:rPr>
          <w:spacing w:val="-2"/>
          <w:rtl/>
        </w:rPr>
        <w:t xml:space="preserve"> </w:t>
      </w:r>
      <w:r w:rsidRPr="00582767">
        <w:rPr>
          <w:spacing w:val="-2"/>
          <w:rtl/>
        </w:rPr>
        <w:t>35</w:t>
      </w:r>
      <w:r w:rsidRPr="00E4149B">
        <w:rPr>
          <w:spacing w:val="-2"/>
          <w:rtl/>
        </w:rPr>
        <w:t xml:space="preserve"> الذين أُعيدوا إلى وطنهم بعد احتجازهم في مخيمات شمال شرق الجمهورية العربية السورية</w:t>
      </w:r>
      <w:r>
        <w:rPr>
          <w:rtl/>
        </w:rPr>
        <w:t xml:space="preserve"> يوجد جميع الذين طلبوا المساعدة القنصلية من فنلندا، سواء بشكل مباشر أو غير مباشر. وتعلن الدولة الطرف أنه على الرغم من الجهود الحثيثة التي تبذلها الحكومة، لم تتمكن السلطات الفنلندية حتى الآن، لأسباب خارجة عن سيطرة الحكومة، من إعادة ما يقرب من </w:t>
      </w:r>
      <w:r w:rsidRPr="00582767">
        <w:rPr>
          <w:rtl/>
        </w:rPr>
        <w:t>10</w:t>
      </w:r>
      <w:r>
        <w:rPr>
          <w:rtl/>
        </w:rPr>
        <w:t xml:space="preserve"> أفراد - معظمهم من الأطفال - ما زالوا في المخيمات.</w:t>
      </w:r>
    </w:p>
    <w:p w14:paraId="2733531D" w14:textId="77777777" w:rsidR="00A02D6F" w:rsidRDefault="00A02D6F" w:rsidP="00555668">
      <w:pPr>
        <w:pStyle w:val="SingleTxtGA"/>
        <w:spacing w:line="346" w:lineRule="exact"/>
        <w:rPr>
          <w:rtl/>
        </w:rPr>
      </w:pPr>
      <w:r w:rsidRPr="00582767">
        <w:rPr>
          <w:rtl/>
        </w:rPr>
        <w:lastRenderedPageBreak/>
        <w:t>8</w:t>
      </w:r>
      <w:r>
        <w:rPr>
          <w:rtl/>
        </w:rPr>
        <w:t>-</w:t>
      </w:r>
      <w:r w:rsidRPr="00582767">
        <w:rPr>
          <w:rtl/>
        </w:rPr>
        <w:t>5</w:t>
      </w:r>
      <w:r>
        <w:rPr>
          <w:rtl/>
        </w:rPr>
        <w:tab/>
        <w:t>وفي هذا الصدد، تلاحظ الدولة الطرف ألّا أحد من الأفراد البالغين الذين ما زالوا رهن الاحتجاز طلب المساعدة لأطفالهم أو لأنفسهم، أو أبدى أي استعداد للتواصل مع ممثلي حكومة فنلندا. وبموجب التشريعات القنصلية الوطنية، لا يجوز للسلطات العامة إعادة المواطنين إلى وطنهم رغماً عن إرادتهم.</w:t>
      </w:r>
    </w:p>
    <w:p w14:paraId="77085014" w14:textId="3160FBDB" w:rsidR="00A02D6F" w:rsidRDefault="00A02D6F" w:rsidP="00555668">
      <w:pPr>
        <w:pStyle w:val="SingleTxtGA"/>
        <w:spacing w:line="346" w:lineRule="exact"/>
        <w:rPr>
          <w:rtl/>
        </w:rPr>
      </w:pPr>
      <w:r w:rsidRPr="00582767">
        <w:rPr>
          <w:rtl/>
        </w:rPr>
        <w:t>8</w:t>
      </w:r>
      <w:r>
        <w:rPr>
          <w:rtl/>
        </w:rPr>
        <w:t>-</w:t>
      </w:r>
      <w:r w:rsidRPr="00582767">
        <w:rPr>
          <w:rtl/>
        </w:rPr>
        <w:t>6</w:t>
      </w:r>
      <w:r>
        <w:rPr>
          <w:rtl/>
        </w:rPr>
        <w:tab/>
        <w:t>وتذكر الدولة الطرف</w:t>
      </w:r>
      <w:r w:rsidR="006E3C06">
        <w:rPr>
          <w:rtl/>
        </w:rPr>
        <w:t xml:space="preserve"> أيضاً </w:t>
      </w:r>
      <w:r>
        <w:rPr>
          <w:rtl/>
        </w:rPr>
        <w:t xml:space="preserve">أن إعادة الأطفال الفنلنديين وأمهاتهم إلى وطنهم لم تقتصر في أي مرحلة على إرادة حكومتها وحدها، لأن ما يسمى بالإدارة الذاتية لشمال وشرق سوريا، وهي جهة فاعلة من غير الدول تسيطر على الإقليم، لم تكن مستعدة لتسليم الأسر - الأطفال مع أمهاتهم - إلى ممثلي الدولة دون إجراء مفاوضات مستفيضة بشأن طائفة واسعة من القضايا. فمنذ كانون الأول/ديسمبر </w:t>
      </w:r>
      <w:r w:rsidRPr="00582767">
        <w:rPr>
          <w:rtl/>
        </w:rPr>
        <w:t>2019</w:t>
      </w:r>
      <w:r>
        <w:rPr>
          <w:rtl/>
        </w:rPr>
        <w:t xml:space="preserve">، طلبت الدولة الطرف في الواقع، مراراً وصراحة، إعادة الأطفال الفنلنديين وأمهاتهم إلى وطنهم، لكن السلطة المحلية لم توافق على عمليات التسليم الفردية إلا بعد مشاورات مطولة. فعلى سبيل المثال، استمرت المفاوضات بشأن الإعادة المشتركة لبعض الأسر الفنلندية والألمانية في كانون الأول/ديسمبر </w:t>
      </w:r>
      <w:r w:rsidRPr="00582767">
        <w:rPr>
          <w:rtl/>
        </w:rPr>
        <w:t>2020</w:t>
      </w:r>
      <w:r>
        <w:rPr>
          <w:rtl/>
        </w:rPr>
        <w:t xml:space="preserve"> لمدة عام تقريب</w:t>
      </w:r>
      <w:r>
        <w:rPr>
          <w:rtl/>
        </w:rPr>
        <w:t>اً</w:t>
      </w:r>
      <w:r>
        <w:rPr>
          <w:rtl/>
        </w:rPr>
        <w:t xml:space="preserve"> قبل أن توافق السلطة المحلية على ذلك.</w:t>
      </w:r>
    </w:p>
    <w:p w14:paraId="14F51996" w14:textId="77777777" w:rsidR="00A02D6F" w:rsidRDefault="00A02D6F" w:rsidP="00555668">
      <w:pPr>
        <w:pStyle w:val="SingleTxtGA"/>
        <w:spacing w:line="346" w:lineRule="exact"/>
        <w:rPr>
          <w:rtl/>
        </w:rPr>
      </w:pPr>
      <w:r w:rsidRPr="00582767">
        <w:rPr>
          <w:rtl/>
        </w:rPr>
        <w:t>8</w:t>
      </w:r>
      <w:r>
        <w:rPr>
          <w:rtl/>
        </w:rPr>
        <w:t>-</w:t>
      </w:r>
      <w:r w:rsidRPr="00582767">
        <w:rPr>
          <w:rtl/>
        </w:rPr>
        <w:t>7</w:t>
      </w:r>
      <w:r>
        <w:rPr>
          <w:rtl/>
        </w:rPr>
        <w:tab/>
        <w:t>وقبل حزيران/</w:t>
      </w:r>
      <w:proofErr w:type="gramStart"/>
      <w:r>
        <w:rPr>
          <w:rtl/>
        </w:rPr>
        <w:t>يونيه</w:t>
      </w:r>
      <w:proofErr w:type="gramEnd"/>
      <w:r>
        <w:rPr>
          <w:rtl/>
        </w:rPr>
        <w:t xml:space="preserve"> </w:t>
      </w:r>
      <w:r w:rsidRPr="00582767">
        <w:rPr>
          <w:rtl/>
        </w:rPr>
        <w:t>2021</w:t>
      </w:r>
      <w:r>
        <w:rPr>
          <w:rtl/>
        </w:rPr>
        <w:t xml:space="preserve">، كانت السياسة المعلنة للإدارة المحلية، على نحو ما أُبلغت به الدولة الطرف، هي تسليم الأيتام والحالات الإنسانية الخاصة فقط لإعادتها إلى الوطن؛ أما بالنسبة للأغلبية الساحقة من المواطنين الأوروبيين، فإن الهدف الأساسي للإدارة هو تقديم البالغين للمحاكمة محلياً وليس تسليم الأسر لإعادتها إلى الوطن. وتلاحظ الدولة الطرف أن هذه المحاكمات المحلية لم تُجرَ. وبالرغم من الاتفاق المسبق، رفضت الإدارة المحلية، في أيار/مايو </w:t>
      </w:r>
      <w:r w:rsidRPr="00582767">
        <w:rPr>
          <w:rtl/>
        </w:rPr>
        <w:t>2021</w:t>
      </w:r>
      <w:r>
        <w:rPr>
          <w:rtl/>
        </w:rPr>
        <w:t>، تسليم أسرة واحدة إلى ممثلين فنلنديين سافروا إلى شمال شرق الجمهورية العربية السورية لهذا الغرض.</w:t>
      </w:r>
    </w:p>
    <w:p w14:paraId="37ED43C0" w14:textId="576399C2" w:rsidR="009770BA" w:rsidRPr="009770BA" w:rsidRDefault="00A02D6F" w:rsidP="00555668">
      <w:pPr>
        <w:pStyle w:val="SingleTxtGA"/>
        <w:spacing w:line="346" w:lineRule="exact"/>
        <w:rPr>
          <w:rtl/>
        </w:rPr>
      </w:pPr>
      <w:r w:rsidRPr="00582767">
        <w:rPr>
          <w:rtl/>
        </w:rPr>
        <w:t>8</w:t>
      </w:r>
      <w:r>
        <w:rPr>
          <w:rtl/>
        </w:rPr>
        <w:t>-</w:t>
      </w:r>
      <w:r w:rsidRPr="00582767">
        <w:rPr>
          <w:rtl/>
        </w:rPr>
        <w:t>8</w:t>
      </w:r>
      <w:r>
        <w:rPr>
          <w:rtl/>
        </w:rPr>
        <w:tab/>
        <w:t>وفي حزيران/</w:t>
      </w:r>
      <w:proofErr w:type="gramStart"/>
      <w:r>
        <w:rPr>
          <w:rtl/>
        </w:rPr>
        <w:t>يونيه</w:t>
      </w:r>
      <w:proofErr w:type="gramEnd"/>
      <w:r>
        <w:rPr>
          <w:rtl/>
        </w:rPr>
        <w:t xml:space="preserve"> </w:t>
      </w:r>
      <w:r w:rsidRPr="00582767">
        <w:rPr>
          <w:rtl/>
        </w:rPr>
        <w:t>2021</w:t>
      </w:r>
      <w:r>
        <w:rPr>
          <w:rtl/>
        </w:rPr>
        <w:t>، تغيّر موقف الإدارة المحلية. ومنذ ذلك الحين، أظهرت الإدارة مزيد</w:t>
      </w:r>
      <w:r>
        <w:rPr>
          <w:rtl/>
        </w:rPr>
        <w:t>اً</w:t>
      </w:r>
      <w:r>
        <w:rPr>
          <w:rtl/>
        </w:rPr>
        <w:t xml:space="preserve"> من الاستعداد لتسليم الرعايا الأوروبيين إلى دولهم. ويشمل ذلك الأسرة التي رفضت الإدارة تسليمها في أيار/مايو </w:t>
      </w:r>
      <w:r w:rsidRPr="00582767">
        <w:rPr>
          <w:rtl/>
        </w:rPr>
        <w:t>2021</w:t>
      </w:r>
      <w:r>
        <w:rPr>
          <w:rtl/>
        </w:rPr>
        <w:t xml:space="preserve">، حيث أُعيدت بنجاح إلى الوطن في تموز/يوليه </w:t>
      </w:r>
      <w:r w:rsidRPr="00582767">
        <w:rPr>
          <w:rtl/>
        </w:rPr>
        <w:t>202</w:t>
      </w:r>
      <w:r w:rsidR="009770BA" w:rsidRPr="00582767">
        <w:rPr>
          <w:rtl/>
        </w:rPr>
        <w:t>1</w:t>
      </w:r>
      <w:r w:rsidR="009770BA" w:rsidRPr="009770BA">
        <w:rPr>
          <w:rtl/>
        </w:rPr>
        <w:t>.</w:t>
      </w:r>
    </w:p>
    <w:p w14:paraId="4058E113" w14:textId="244CF458" w:rsidR="00A02D6F" w:rsidRDefault="00A02D6F" w:rsidP="00555668">
      <w:pPr>
        <w:pStyle w:val="SingleTxtGA"/>
        <w:spacing w:line="346" w:lineRule="exact"/>
        <w:rPr>
          <w:rtl/>
        </w:rPr>
      </w:pPr>
      <w:r w:rsidRPr="00582767">
        <w:rPr>
          <w:rtl/>
        </w:rPr>
        <w:t>8</w:t>
      </w:r>
      <w:r>
        <w:rPr>
          <w:rtl/>
        </w:rPr>
        <w:t>-</w:t>
      </w:r>
      <w:r w:rsidRPr="00582767">
        <w:rPr>
          <w:rtl/>
        </w:rPr>
        <w:t>9</w:t>
      </w:r>
      <w:r>
        <w:rPr>
          <w:rtl/>
        </w:rPr>
        <w:tab/>
      </w:r>
      <w:r w:rsidRPr="0036334C">
        <w:rPr>
          <w:spacing w:val="-4"/>
          <w:rtl/>
        </w:rPr>
        <w:t>وتلاحظ الدولة الطرف أنه لم يسعها إعادة الأطفال لوحدهم إلى وطنهم، وفصلهم من ثم عن أمهاتهم،</w:t>
      </w:r>
      <w:r>
        <w:rPr>
          <w:rtl/>
        </w:rPr>
        <w:t xml:space="preserve"> لأن الإدارة المحلية التي تسيطر على المخيمات - في إشارة صريحة إلى الاتفاقية - لم تسمح بفصلهم عن أمهاتهم إلا في الحالات الطبية الأشد إلحاح</w:t>
      </w:r>
      <w:r>
        <w:rPr>
          <w:rtl/>
        </w:rPr>
        <w:t>اً</w:t>
      </w:r>
      <w:r>
        <w:rPr>
          <w:rtl/>
        </w:rPr>
        <w:t>. وفي المقابل، لا يجوز للسلطات الفنلندية طلب فصل الأطفال عن أمهاتهم، لأن السلطة الوحيدة القادرة مادي</w:t>
      </w:r>
      <w:r>
        <w:rPr>
          <w:rtl/>
        </w:rPr>
        <w:t>اً</w:t>
      </w:r>
      <w:r>
        <w:rPr>
          <w:rtl/>
        </w:rPr>
        <w:t xml:space="preserve"> على ذلك جماعةٌ مسلحة من غير الدول.</w:t>
      </w:r>
    </w:p>
    <w:p w14:paraId="7B08F3DF" w14:textId="3423B799" w:rsidR="009770BA" w:rsidRPr="009770BA" w:rsidRDefault="00A02D6F" w:rsidP="00555668">
      <w:pPr>
        <w:pStyle w:val="SingleTxtGA"/>
        <w:spacing w:line="346" w:lineRule="exact"/>
        <w:rPr>
          <w:rtl/>
        </w:rPr>
      </w:pPr>
      <w:r w:rsidRPr="00582767">
        <w:rPr>
          <w:rtl/>
        </w:rPr>
        <w:t>8</w:t>
      </w:r>
      <w:r>
        <w:rPr>
          <w:rtl/>
        </w:rPr>
        <w:t>-</w:t>
      </w:r>
      <w:r w:rsidRPr="00582767">
        <w:rPr>
          <w:rtl/>
        </w:rPr>
        <w:t>10</w:t>
      </w:r>
      <w:r>
        <w:rPr>
          <w:rtl/>
        </w:rPr>
        <w:tab/>
        <w:t>وتلاحظ الدولة الطرف</w:t>
      </w:r>
      <w:r w:rsidR="006E3C06">
        <w:rPr>
          <w:rtl/>
        </w:rPr>
        <w:t xml:space="preserve"> أيضاً </w:t>
      </w:r>
      <w:r>
        <w:rPr>
          <w:rtl/>
        </w:rPr>
        <w:t xml:space="preserve">أن صاحبات البلاغ لم يحددن أو يثبتن بأي شكل من الأشكال الانتهاكات المزعومة للمواد </w:t>
      </w:r>
      <w:r w:rsidRPr="00582767">
        <w:rPr>
          <w:rtl/>
        </w:rPr>
        <w:t>6</w:t>
      </w:r>
      <w:r>
        <w:rPr>
          <w:rtl/>
        </w:rPr>
        <w:t>، و</w:t>
      </w:r>
      <w:r w:rsidRPr="00582767">
        <w:rPr>
          <w:rtl/>
        </w:rPr>
        <w:t>19</w:t>
      </w:r>
      <w:r>
        <w:rPr>
          <w:rtl/>
        </w:rPr>
        <w:t>، و</w:t>
      </w:r>
      <w:r w:rsidRPr="00582767">
        <w:rPr>
          <w:rtl/>
        </w:rPr>
        <w:t>24</w:t>
      </w:r>
      <w:r>
        <w:rPr>
          <w:rtl/>
        </w:rPr>
        <w:t>، و</w:t>
      </w:r>
      <w:r w:rsidRPr="00582767">
        <w:rPr>
          <w:rtl/>
        </w:rPr>
        <w:t>27</w:t>
      </w:r>
      <w:r>
        <w:rPr>
          <w:rtl/>
        </w:rPr>
        <w:t>، و</w:t>
      </w:r>
      <w:r w:rsidRPr="00582767">
        <w:rPr>
          <w:rtl/>
        </w:rPr>
        <w:t>2</w:t>
      </w:r>
      <w:r w:rsidR="009770BA" w:rsidRPr="00582767">
        <w:rPr>
          <w:rtl/>
        </w:rPr>
        <w:t>8</w:t>
      </w:r>
      <w:r w:rsidR="009770BA" w:rsidRPr="009770BA">
        <w:rPr>
          <w:rtl/>
        </w:rPr>
        <w:t xml:space="preserve">. </w:t>
      </w:r>
      <w:r>
        <w:rPr>
          <w:rtl/>
        </w:rPr>
        <w:t xml:space="preserve">وتلاحظ كذلك أن السلطات الفنلندية عيّنت في كانون الأول/ديسمبر </w:t>
      </w:r>
      <w:r w:rsidRPr="00582767">
        <w:rPr>
          <w:rtl/>
        </w:rPr>
        <w:t>2019</w:t>
      </w:r>
      <w:r>
        <w:rPr>
          <w:rtl/>
        </w:rPr>
        <w:t xml:space="preserve"> طبيب</w:t>
      </w:r>
      <w:r>
        <w:rPr>
          <w:rtl/>
        </w:rPr>
        <w:t>اً</w:t>
      </w:r>
      <w:r>
        <w:rPr>
          <w:rtl/>
        </w:rPr>
        <w:t xml:space="preserve"> للأطفال تحت الطلب وتحت تصرف الأمهات لإجراء مشاورات عبر الإنترنت بشأن صحة أطفالهن. وفي نيسان/أبريل </w:t>
      </w:r>
      <w:r w:rsidRPr="00582767">
        <w:rPr>
          <w:rtl/>
        </w:rPr>
        <w:t>2020</w:t>
      </w:r>
      <w:r>
        <w:rPr>
          <w:rtl/>
        </w:rPr>
        <w:t>، أُتيحت لهم خدمة عن بُعد إضافية - مدرسة فنلندية للتعليم عن بُعد. وقد نجحت خدمة التعليم هذه بفضل الأجهزة المحمولة التي كانت بحوزة الأمهات. وإجمال</w:t>
      </w:r>
      <w:r>
        <w:rPr>
          <w:rtl/>
        </w:rPr>
        <w:t>اً</w:t>
      </w:r>
      <w:r>
        <w:rPr>
          <w:rtl/>
        </w:rPr>
        <w:t xml:space="preserve">، شارك </w:t>
      </w:r>
      <w:r w:rsidRPr="00582767">
        <w:rPr>
          <w:rtl/>
        </w:rPr>
        <w:t>22</w:t>
      </w:r>
      <w:r>
        <w:rPr>
          <w:rtl/>
        </w:rPr>
        <w:t xml:space="preserve"> طفل</w:t>
      </w:r>
      <w:r>
        <w:rPr>
          <w:rtl/>
        </w:rPr>
        <w:t>اً</w:t>
      </w:r>
      <w:r>
        <w:rPr>
          <w:rtl/>
        </w:rPr>
        <w:t xml:space="preserve"> فنلندي</w:t>
      </w:r>
      <w:r>
        <w:rPr>
          <w:rtl/>
        </w:rPr>
        <w:t>اً</w:t>
      </w:r>
      <w:r>
        <w:rPr>
          <w:rtl/>
        </w:rPr>
        <w:t xml:space="preserve"> في مخيم الهول يومي</w:t>
      </w:r>
      <w:r>
        <w:rPr>
          <w:rtl/>
        </w:rPr>
        <w:t>اً</w:t>
      </w:r>
      <w:r>
        <w:rPr>
          <w:rtl/>
        </w:rPr>
        <w:t xml:space="preserve"> في الدروس والواجبات باللغة الفنلندية والعلوم والرياضيات واللغة الإنجليزية. وفي </w:t>
      </w:r>
      <w:r w:rsidRPr="00582767">
        <w:rPr>
          <w:rtl/>
        </w:rPr>
        <w:t>3</w:t>
      </w:r>
      <w:r>
        <w:rPr>
          <w:rtl/>
        </w:rPr>
        <w:t xml:space="preserve"> تشرين الثاني/نوفمبر </w:t>
      </w:r>
      <w:r w:rsidRPr="00582767">
        <w:rPr>
          <w:rtl/>
        </w:rPr>
        <w:t>2021</w:t>
      </w:r>
      <w:r>
        <w:rPr>
          <w:rtl/>
        </w:rPr>
        <w:t xml:space="preserve">، نشرت </w:t>
      </w:r>
      <w:proofErr w:type="spellStart"/>
      <w:r w:rsidRPr="00582767">
        <w:rPr>
          <w:i/>
          <w:iCs/>
          <w:rtl/>
        </w:rPr>
        <w:t>هيلسينغين</w:t>
      </w:r>
      <w:proofErr w:type="spellEnd"/>
      <w:r w:rsidRPr="00582767">
        <w:rPr>
          <w:i/>
          <w:iCs/>
          <w:rtl/>
        </w:rPr>
        <w:t xml:space="preserve"> </w:t>
      </w:r>
      <w:proofErr w:type="spellStart"/>
      <w:r w:rsidRPr="00582767">
        <w:rPr>
          <w:i/>
          <w:iCs/>
          <w:rtl/>
        </w:rPr>
        <w:t>سانومات</w:t>
      </w:r>
      <w:proofErr w:type="spellEnd"/>
      <w:r>
        <w:rPr>
          <w:rtl/>
        </w:rPr>
        <w:t>، الصحيفة ذات الانتشار الأوسع في فنلندا، مقابلة مع مدرس اضطلع بتدريس الأطفال الفنلنديين في المخيم</w:t>
      </w:r>
      <w:r w:rsidR="009770BA" w:rsidRPr="00582767">
        <w:rPr>
          <w:rStyle w:val="FootnoteReference"/>
          <w:rtl/>
        </w:rPr>
        <w:t>(</w:t>
      </w:r>
      <w:r w:rsidR="009770BA" w:rsidRPr="00582767">
        <w:rPr>
          <w:rStyle w:val="FootnoteReference"/>
          <w:lang w:val="en-US"/>
        </w:rPr>
        <w:footnoteReference w:id="15"/>
      </w:r>
      <w:r w:rsidR="009770BA" w:rsidRPr="009770BA">
        <w:rPr>
          <w:vertAlign w:val="superscript"/>
          <w:rtl/>
        </w:rPr>
        <w:t>)</w:t>
      </w:r>
      <w:r w:rsidR="009770BA" w:rsidRPr="009770BA">
        <w:rPr>
          <w:rtl/>
        </w:rPr>
        <w:t>.</w:t>
      </w:r>
    </w:p>
    <w:p w14:paraId="46096AE3" w14:textId="26592184" w:rsidR="00A02D6F" w:rsidRDefault="00A02D6F" w:rsidP="00555668">
      <w:pPr>
        <w:pStyle w:val="SingleTxtGA"/>
        <w:spacing w:line="346" w:lineRule="exact"/>
        <w:rPr>
          <w:rtl/>
        </w:rPr>
      </w:pPr>
      <w:r w:rsidRPr="00582767">
        <w:rPr>
          <w:rtl/>
        </w:rPr>
        <w:t>8</w:t>
      </w:r>
      <w:r>
        <w:rPr>
          <w:rtl/>
        </w:rPr>
        <w:t>-</w:t>
      </w:r>
      <w:r w:rsidRPr="00582767">
        <w:rPr>
          <w:rtl/>
        </w:rPr>
        <w:t>11</w:t>
      </w:r>
      <w:r>
        <w:rPr>
          <w:rtl/>
        </w:rPr>
        <w:tab/>
      </w:r>
      <w:r w:rsidRPr="008D21E5">
        <w:rPr>
          <w:spacing w:val="-4"/>
          <w:rtl/>
        </w:rPr>
        <w:t>وفي الوقت الحاضر، ما زالت الاستشارات مع طبيب الأطفال عن بُعد متاحة للأفراد في المخيمات،</w:t>
      </w:r>
      <w:r>
        <w:rPr>
          <w:rtl/>
        </w:rPr>
        <w:t xml:space="preserve"> بالرغم من أن الاتصال بالأجهزة المحمولة قد تدهور بشدة منذ صيف عام </w:t>
      </w:r>
      <w:r w:rsidRPr="00582767">
        <w:rPr>
          <w:rtl/>
        </w:rPr>
        <w:t>202</w:t>
      </w:r>
      <w:r w:rsidR="009770BA" w:rsidRPr="00582767">
        <w:rPr>
          <w:rtl/>
        </w:rPr>
        <w:t>1</w:t>
      </w:r>
      <w:r w:rsidR="009770BA" w:rsidRPr="009770BA">
        <w:rPr>
          <w:rtl/>
        </w:rPr>
        <w:t xml:space="preserve">. </w:t>
      </w:r>
      <w:r>
        <w:rPr>
          <w:rtl/>
        </w:rPr>
        <w:t>واضطرت المدرسة عن</w:t>
      </w:r>
      <w:r w:rsidR="008D21E5">
        <w:rPr>
          <w:rFonts w:hint="cs"/>
          <w:rtl/>
        </w:rPr>
        <w:t> </w:t>
      </w:r>
      <w:r>
        <w:rPr>
          <w:rtl/>
        </w:rPr>
        <w:t>بُعد إلى وقف عملياتها مؤقت</w:t>
      </w:r>
      <w:r>
        <w:rPr>
          <w:rtl/>
        </w:rPr>
        <w:t>اً</w:t>
      </w:r>
      <w:r>
        <w:rPr>
          <w:rtl/>
        </w:rPr>
        <w:t xml:space="preserve">، إلى حين استعادة الاتصال. وترى الدولة الطرف أنه من الواضح أن السلطات الفنلندية كفلت، في حدود ولايتها القضائية وإلى أقصى حد ممكن، بقاء الأطفال على قيد الحياة </w:t>
      </w:r>
      <w:r w:rsidRPr="008D21E5">
        <w:rPr>
          <w:spacing w:val="-2"/>
          <w:rtl/>
        </w:rPr>
        <w:t>ونموهم واتخذت جميع التدابير التشريعية والإدارية والاجتماعية والتعليمية المناسبة لحمايتهم من جميع أشكال</w:t>
      </w:r>
      <w:r>
        <w:rPr>
          <w:rtl/>
        </w:rPr>
        <w:t xml:space="preserve"> </w:t>
      </w:r>
      <w:r>
        <w:rPr>
          <w:rtl/>
        </w:rPr>
        <w:lastRenderedPageBreak/>
        <w:t>العنف البدني والعقلي، والضرر والإيذاء، والإهمال واللامبالاة،</w:t>
      </w:r>
      <w:r w:rsidR="006E3C06">
        <w:rPr>
          <w:rtl/>
        </w:rPr>
        <w:t xml:space="preserve"> </w:t>
      </w:r>
      <w:r>
        <w:rPr>
          <w:rtl/>
        </w:rPr>
        <w:t>وسوء المعاملة والاستغلال، بما في ذلك الاعتداء الجنسي.</w:t>
      </w:r>
    </w:p>
    <w:p w14:paraId="72565E34" w14:textId="77777777" w:rsidR="00A02D6F" w:rsidRDefault="00A02D6F" w:rsidP="00555668">
      <w:pPr>
        <w:pStyle w:val="SingleTxtGA"/>
        <w:spacing w:line="340" w:lineRule="exact"/>
        <w:rPr>
          <w:rtl/>
        </w:rPr>
      </w:pPr>
      <w:r w:rsidRPr="00582767">
        <w:rPr>
          <w:rtl/>
        </w:rPr>
        <w:t>8</w:t>
      </w:r>
      <w:r>
        <w:rPr>
          <w:rtl/>
        </w:rPr>
        <w:t>-</w:t>
      </w:r>
      <w:r w:rsidRPr="00582767">
        <w:rPr>
          <w:rtl/>
        </w:rPr>
        <w:t>12</w:t>
      </w:r>
      <w:r>
        <w:rPr>
          <w:rtl/>
        </w:rPr>
        <w:tab/>
        <w:t xml:space="preserve">وفيما يتعلق بالانتهاكات المزعومة للمادتين </w:t>
      </w:r>
      <w:r w:rsidRPr="00582767">
        <w:rPr>
          <w:rtl/>
        </w:rPr>
        <w:t>39</w:t>
      </w:r>
      <w:r>
        <w:rPr>
          <w:rtl/>
        </w:rPr>
        <w:t xml:space="preserve"> و</w:t>
      </w:r>
      <w:r w:rsidRPr="00582767">
        <w:rPr>
          <w:rtl/>
        </w:rPr>
        <w:t>40</w:t>
      </w:r>
      <w:r>
        <w:rPr>
          <w:rtl/>
        </w:rPr>
        <w:t xml:space="preserve"> من الاتفاقية والمادة </w:t>
      </w:r>
      <w:r w:rsidRPr="00582767">
        <w:rPr>
          <w:rtl/>
        </w:rPr>
        <w:t>7</w:t>
      </w:r>
      <w:r>
        <w:rPr>
          <w:rtl/>
        </w:rPr>
        <w:t xml:space="preserve"> من البروتوكول الاختياري بشأن اشتراك الأطفال في المنازعات المسلحة، تلاحظ الدولة الطرف في الختام أن الأطفال </w:t>
      </w:r>
      <w:r w:rsidRPr="009770BA">
        <w:rPr>
          <w:spacing w:val="-2"/>
          <w:rtl/>
        </w:rPr>
        <w:t>الذين عادوا بالفعل إلى فنلندا استفادوا، على سبيل المثال، من التدابير المشار إليها في قانون رعاية الطفل</w:t>
      </w:r>
      <w:r>
        <w:rPr>
          <w:rtl/>
        </w:rPr>
        <w:t>. ومن ثم، فقد أُتيحت لهم فرصة الالتحاق بالمدرسة أو بالتعليم قبل الابتدائي. وبالنسبة للدولة الطرف، من الواضح أن السلطات الفنلندية اتخذت، في إطار ولايتها القضائية، جميع التدابير المناسبة لتعزيز التعافي البدني والنفسي للأطفال وإعادة إدماجهم في المجتمع وإعادة تأهيلهم.</w:t>
      </w:r>
    </w:p>
    <w:p w14:paraId="7668E5A0" w14:textId="474BBE8C" w:rsidR="00A02D6F" w:rsidRDefault="00A02D6F" w:rsidP="00555668">
      <w:pPr>
        <w:pStyle w:val="SingleTxtGA"/>
        <w:spacing w:line="340" w:lineRule="exact"/>
        <w:rPr>
          <w:rtl/>
        </w:rPr>
      </w:pPr>
      <w:r w:rsidRPr="00582767">
        <w:rPr>
          <w:rtl/>
        </w:rPr>
        <w:t>8</w:t>
      </w:r>
      <w:r>
        <w:rPr>
          <w:rtl/>
        </w:rPr>
        <w:t>-</w:t>
      </w:r>
      <w:r w:rsidRPr="00582767">
        <w:rPr>
          <w:rtl/>
        </w:rPr>
        <w:t>13</w:t>
      </w:r>
      <w:r>
        <w:rPr>
          <w:rtl/>
        </w:rPr>
        <w:tab/>
      </w:r>
      <w:r w:rsidRPr="009770BA">
        <w:rPr>
          <w:spacing w:val="-4"/>
          <w:rtl/>
        </w:rPr>
        <w:t xml:space="preserve">وفي </w:t>
      </w:r>
      <w:r w:rsidRPr="00582767">
        <w:rPr>
          <w:spacing w:val="-4"/>
          <w:rtl/>
        </w:rPr>
        <w:t>15</w:t>
      </w:r>
      <w:r w:rsidRPr="009770BA">
        <w:rPr>
          <w:spacing w:val="-4"/>
          <w:rtl/>
        </w:rPr>
        <w:t xml:space="preserve"> آب/أغسطس </w:t>
      </w:r>
      <w:r w:rsidRPr="00582767">
        <w:rPr>
          <w:spacing w:val="-4"/>
          <w:rtl/>
        </w:rPr>
        <w:t>2022</w:t>
      </w:r>
      <w:r w:rsidRPr="009770BA">
        <w:rPr>
          <w:spacing w:val="-4"/>
          <w:rtl/>
        </w:rPr>
        <w:t>، قدمت الدولة الطرف مزيد</w:t>
      </w:r>
      <w:r w:rsidRPr="009770BA">
        <w:rPr>
          <w:spacing w:val="-4"/>
          <w:rtl/>
        </w:rPr>
        <w:t>اً</w:t>
      </w:r>
      <w:r w:rsidRPr="009770BA">
        <w:rPr>
          <w:spacing w:val="-4"/>
          <w:rtl/>
        </w:rPr>
        <w:t xml:space="preserve"> من التفاصيل بشأن تدابير الدعم المتاحة</w:t>
      </w:r>
      <w:r>
        <w:rPr>
          <w:rtl/>
        </w:rPr>
        <w:t xml:space="preserve"> للأطفال العائدين من مناطق النزاع ولأقرب أقاربهم.</w:t>
      </w:r>
    </w:p>
    <w:p w14:paraId="313E2B54" w14:textId="77777777" w:rsidR="00A02D6F" w:rsidRPr="00582767" w:rsidRDefault="00A02D6F" w:rsidP="00555668">
      <w:pPr>
        <w:pStyle w:val="H23GA"/>
        <w:spacing w:line="340" w:lineRule="exact"/>
        <w:rPr>
          <w:rtl/>
        </w:rPr>
      </w:pPr>
      <w:r w:rsidRPr="00582767">
        <w:rPr>
          <w:rtl/>
        </w:rPr>
        <w:tab/>
      </w:r>
      <w:r w:rsidRPr="00582767">
        <w:rPr>
          <w:rtl/>
        </w:rPr>
        <w:tab/>
        <w:t>تعليقات صاحبات البلاغ على ملاحظات الدولة الطرف بشأن المقبولية</w:t>
      </w:r>
    </w:p>
    <w:p w14:paraId="39110743" w14:textId="64318C42" w:rsidR="00A02D6F" w:rsidRDefault="00A02D6F" w:rsidP="00555668">
      <w:pPr>
        <w:pStyle w:val="SingleTxtGA"/>
        <w:spacing w:line="340" w:lineRule="exact"/>
        <w:rPr>
          <w:rtl/>
        </w:rPr>
      </w:pPr>
      <w:r w:rsidRPr="00582767">
        <w:rPr>
          <w:rtl/>
        </w:rPr>
        <w:t>9</w:t>
      </w:r>
      <w:r>
        <w:rPr>
          <w:rtl/>
        </w:rPr>
        <w:t>-</w:t>
      </w:r>
      <w:r>
        <w:rPr>
          <w:rtl/>
        </w:rPr>
        <w:tab/>
        <w:t xml:space="preserve">اعترضت صاحبات البلاغ في تعليقاتهن المؤرخة </w:t>
      </w:r>
      <w:r w:rsidRPr="00582767">
        <w:rPr>
          <w:rtl/>
        </w:rPr>
        <w:t>11</w:t>
      </w:r>
      <w:r>
        <w:rPr>
          <w:rtl/>
        </w:rPr>
        <w:t xml:space="preserve"> تموز/يوليه </w:t>
      </w:r>
      <w:r w:rsidRPr="00582767">
        <w:rPr>
          <w:rtl/>
        </w:rPr>
        <w:t>2022</w:t>
      </w:r>
      <w:r>
        <w:rPr>
          <w:rtl/>
        </w:rPr>
        <w:t xml:space="preserve"> على ملاحظات الدولة الطرف</w:t>
      </w:r>
      <w:r w:rsidR="009770BA" w:rsidRPr="00582767">
        <w:rPr>
          <w:rStyle w:val="FootnoteReference"/>
          <w:rtl/>
        </w:rPr>
        <w:t>(</w:t>
      </w:r>
      <w:r w:rsidR="009770BA" w:rsidRPr="00582767">
        <w:rPr>
          <w:rStyle w:val="FootnoteReference"/>
          <w:lang w:val="en-US"/>
        </w:rPr>
        <w:footnoteReference w:id="16"/>
      </w:r>
      <w:r w:rsidR="009770BA" w:rsidRPr="009770BA">
        <w:rPr>
          <w:vertAlign w:val="superscript"/>
          <w:rtl/>
        </w:rPr>
        <w:t>)</w:t>
      </w:r>
      <w:r w:rsidR="009770BA" w:rsidRPr="009770BA">
        <w:rPr>
          <w:rtl/>
        </w:rPr>
        <w:t>.</w:t>
      </w:r>
      <w:r w:rsidR="009770BA" w:rsidRPr="009770BA">
        <w:rPr>
          <w:rtl/>
        </w:rPr>
        <w:t xml:space="preserve"> </w:t>
      </w:r>
      <w:r>
        <w:rPr>
          <w:rtl/>
        </w:rPr>
        <w:t>وأصررْن، على وجه الخصوص، على أنهن لم يتلقّيْن أي قرار رسمي من هيئة حماية الطفل؛ ولهذا السبب، لم يكن ثمة قرار بعينه كان بإمكانهن استئنافه.</w:t>
      </w:r>
    </w:p>
    <w:p w14:paraId="5D5075B2" w14:textId="77777777" w:rsidR="00A02D6F" w:rsidRPr="00582767" w:rsidRDefault="00A02D6F" w:rsidP="00555668">
      <w:pPr>
        <w:pStyle w:val="H23GA"/>
        <w:rPr>
          <w:rtl/>
        </w:rPr>
      </w:pPr>
      <w:r w:rsidRPr="00582767">
        <w:rPr>
          <w:rtl/>
        </w:rPr>
        <w:tab/>
      </w:r>
      <w:r w:rsidRPr="00582767">
        <w:rPr>
          <w:rtl/>
        </w:rPr>
        <w:tab/>
        <w:t>المسائل والإجراءات المعروضة على اللجنة</w:t>
      </w:r>
    </w:p>
    <w:p w14:paraId="72C01E21" w14:textId="77777777" w:rsidR="00A02D6F" w:rsidRPr="00582767" w:rsidRDefault="00A02D6F" w:rsidP="00555668">
      <w:pPr>
        <w:pStyle w:val="H4GA"/>
        <w:rPr>
          <w:rtl/>
        </w:rPr>
      </w:pPr>
      <w:r w:rsidRPr="00582767">
        <w:rPr>
          <w:rtl/>
        </w:rPr>
        <w:tab/>
      </w:r>
      <w:r w:rsidRPr="00582767">
        <w:rPr>
          <w:rtl/>
        </w:rPr>
        <w:tab/>
        <w:t>النظر في المقبولية</w:t>
      </w:r>
    </w:p>
    <w:p w14:paraId="4F50CA7A" w14:textId="77777777" w:rsidR="00A02D6F" w:rsidRDefault="00A02D6F" w:rsidP="00555668">
      <w:pPr>
        <w:pStyle w:val="SingleTxtGA"/>
        <w:spacing w:line="340" w:lineRule="exact"/>
        <w:rPr>
          <w:rtl/>
        </w:rPr>
      </w:pPr>
      <w:r w:rsidRPr="00582767">
        <w:rPr>
          <w:rtl/>
        </w:rPr>
        <w:t>10</w:t>
      </w:r>
      <w:r>
        <w:rPr>
          <w:rtl/>
        </w:rPr>
        <w:t>-</w:t>
      </w:r>
      <w:r w:rsidRPr="00582767">
        <w:rPr>
          <w:rtl/>
        </w:rPr>
        <w:t>1</w:t>
      </w:r>
      <w:r>
        <w:rPr>
          <w:rtl/>
        </w:rPr>
        <w:tab/>
        <w:t xml:space="preserve">قبل النظر في أي ادعاء يرد في بلاغ ما، يتعين على اللجنة، وفقاً للمادة </w:t>
      </w:r>
      <w:r w:rsidRPr="00582767">
        <w:rPr>
          <w:rtl/>
        </w:rPr>
        <w:t>20</w:t>
      </w:r>
      <w:r>
        <w:rPr>
          <w:rtl/>
        </w:rPr>
        <w:t xml:space="preserve"> من نظامها الداخلي، أن تقرر ما إذا كان البلاغ مقبولاً أم لا بموجب البروتوكول الاختياري.</w:t>
      </w:r>
    </w:p>
    <w:p w14:paraId="69749923" w14:textId="35FD2918" w:rsidR="00A02D6F" w:rsidRDefault="00A02D6F" w:rsidP="00555668">
      <w:pPr>
        <w:pStyle w:val="SingleTxtGA"/>
        <w:spacing w:line="340" w:lineRule="exact"/>
        <w:rPr>
          <w:rtl/>
        </w:rPr>
      </w:pPr>
      <w:r w:rsidRPr="00582767">
        <w:rPr>
          <w:rtl/>
        </w:rPr>
        <w:t>10</w:t>
      </w:r>
      <w:r>
        <w:rPr>
          <w:rtl/>
        </w:rPr>
        <w:t>-</w:t>
      </w:r>
      <w:r w:rsidRPr="00582767">
        <w:rPr>
          <w:rtl/>
        </w:rPr>
        <w:t>2</w:t>
      </w:r>
      <w:r>
        <w:rPr>
          <w:rtl/>
        </w:rPr>
        <w:tab/>
        <w:t>وتحيط اللجنة علم</w:t>
      </w:r>
      <w:r>
        <w:rPr>
          <w:rtl/>
        </w:rPr>
        <w:t>اً</w:t>
      </w:r>
      <w:r>
        <w:rPr>
          <w:rtl/>
        </w:rPr>
        <w:t xml:space="preserve"> ببيان الدولة الطرف، الذي لم يُعترض عليه، أن س. م.،</w:t>
      </w:r>
      <w:r w:rsidR="006E3C06">
        <w:rPr>
          <w:rtl/>
        </w:rPr>
        <w:t xml:space="preserve"> و</w:t>
      </w:r>
      <w:r>
        <w:rPr>
          <w:rtl/>
        </w:rPr>
        <w:t>ك. م.،</w:t>
      </w:r>
      <w:r w:rsidR="006E3C06">
        <w:rPr>
          <w:rtl/>
        </w:rPr>
        <w:t xml:space="preserve"> </w:t>
      </w:r>
      <w:proofErr w:type="spellStart"/>
      <w:r w:rsidR="006E3C06">
        <w:rPr>
          <w:rtl/>
        </w:rPr>
        <w:t>و</w:t>
      </w:r>
      <w:r>
        <w:rPr>
          <w:rtl/>
        </w:rPr>
        <w:t>ج</w:t>
      </w:r>
      <w:proofErr w:type="spellEnd"/>
      <w:r>
        <w:rPr>
          <w:rtl/>
        </w:rPr>
        <w:t xml:space="preserve">. م. غادروا مخيم الهول بمبادرة منهم برفقة أمهاتهم، ووصلوا إلى فنلندا في </w:t>
      </w:r>
      <w:r w:rsidRPr="00582767">
        <w:rPr>
          <w:rtl/>
        </w:rPr>
        <w:t>31</w:t>
      </w:r>
      <w:r>
        <w:rPr>
          <w:rtl/>
        </w:rPr>
        <w:t xml:space="preserve"> أيار/مايو </w:t>
      </w:r>
      <w:r w:rsidRPr="00582767">
        <w:rPr>
          <w:rtl/>
        </w:rPr>
        <w:t>202</w:t>
      </w:r>
      <w:r w:rsidR="009770BA" w:rsidRPr="00582767">
        <w:rPr>
          <w:rtl/>
        </w:rPr>
        <w:t>0</w:t>
      </w:r>
      <w:r w:rsidR="009770BA" w:rsidRPr="009770BA">
        <w:rPr>
          <w:rtl/>
        </w:rPr>
        <w:t xml:space="preserve">. </w:t>
      </w:r>
      <w:r>
        <w:rPr>
          <w:rtl/>
        </w:rPr>
        <w:t xml:space="preserve">وفي ضوء </w:t>
      </w:r>
      <w:r w:rsidRPr="008D21E5">
        <w:rPr>
          <w:spacing w:val="-2"/>
          <w:rtl/>
        </w:rPr>
        <w:t>هذه المعلومات، ترى اللجنة أن البلاغ المستند إلى إخفاق الدولة الطرف في إعادة س. م.،</w:t>
      </w:r>
      <w:r w:rsidR="006E3C06" w:rsidRPr="008D21E5">
        <w:rPr>
          <w:spacing w:val="-2"/>
          <w:rtl/>
        </w:rPr>
        <w:t xml:space="preserve"> و</w:t>
      </w:r>
      <w:r w:rsidRPr="008D21E5">
        <w:rPr>
          <w:spacing w:val="-2"/>
          <w:rtl/>
        </w:rPr>
        <w:t>ك. م.</w:t>
      </w:r>
      <w:r w:rsidR="006E3C06" w:rsidRPr="008D21E5">
        <w:rPr>
          <w:spacing w:val="-2"/>
          <w:rtl/>
        </w:rPr>
        <w:t xml:space="preserve"> </w:t>
      </w:r>
      <w:proofErr w:type="spellStart"/>
      <w:r w:rsidR="006E3C06" w:rsidRPr="008D21E5">
        <w:rPr>
          <w:spacing w:val="-2"/>
          <w:rtl/>
        </w:rPr>
        <w:t>و</w:t>
      </w:r>
      <w:r w:rsidRPr="008D21E5">
        <w:rPr>
          <w:spacing w:val="-2"/>
          <w:rtl/>
        </w:rPr>
        <w:t>ج</w:t>
      </w:r>
      <w:proofErr w:type="spellEnd"/>
      <w:r w:rsidRPr="008D21E5">
        <w:rPr>
          <w:spacing w:val="-2"/>
          <w:rtl/>
        </w:rPr>
        <w:t>. م.</w:t>
      </w:r>
      <w:r>
        <w:rPr>
          <w:rtl/>
        </w:rPr>
        <w:t xml:space="preserve"> إلى وطنهم قد أصبح دون جدوى، وتقرر حفظ هذا الجزء من البلاغ.</w:t>
      </w:r>
    </w:p>
    <w:p w14:paraId="3923C65B" w14:textId="77C7AA38" w:rsidR="00A02D6F" w:rsidRDefault="00A02D6F" w:rsidP="00555668">
      <w:pPr>
        <w:pStyle w:val="SingleTxtGA"/>
        <w:spacing w:line="340" w:lineRule="exact"/>
        <w:rPr>
          <w:rtl/>
        </w:rPr>
      </w:pPr>
      <w:r w:rsidRPr="00582767">
        <w:rPr>
          <w:rtl/>
        </w:rPr>
        <w:t>10</w:t>
      </w:r>
      <w:r>
        <w:rPr>
          <w:rtl/>
        </w:rPr>
        <w:t>-</w:t>
      </w:r>
      <w:r w:rsidRPr="00582767">
        <w:rPr>
          <w:rtl/>
        </w:rPr>
        <w:t>3</w:t>
      </w:r>
      <w:r>
        <w:rPr>
          <w:rtl/>
        </w:rPr>
        <w:tab/>
      </w:r>
      <w:r w:rsidRPr="008D21E5">
        <w:rPr>
          <w:spacing w:val="-3"/>
          <w:rtl/>
        </w:rPr>
        <w:t>وتحيط اللجنة علم</w:t>
      </w:r>
      <w:r w:rsidRPr="008D21E5">
        <w:rPr>
          <w:spacing w:val="-3"/>
          <w:rtl/>
        </w:rPr>
        <w:t>اً</w:t>
      </w:r>
      <w:r w:rsidRPr="008D21E5">
        <w:rPr>
          <w:spacing w:val="-3"/>
          <w:rtl/>
        </w:rPr>
        <w:t xml:space="preserve"> بحجة الدولة الطرف بأن صاحبات البلاغ لم يثبتن أنهن تصرفن بموافقة الأطفال</w:t>
      </w:r>
      <w:r>
        <w:rPr>
          <w:rtl/>
        </w:rPr>
        <w:t xml:space="preserve"> أو بموافقة أمهاتهم، خلافاً للشروط الواردة في المادة </w:t>
      </w:r>
      <w:r w:rsidRPr="00582767">
        <w:rPr>
          <w:rtl/>
        </w:rPr>
        <w:t>5</w:t>
      </w:r>
      <w:r>
        <w:rPr>
          <w:rtl/>
        </w:rPr>
        <w:t xml:space="preserve"> من البروتوكول الاختياري. وتحيط اللجنة علم</w:t>
      </w:r>
      <w:r>
        <w:rPr>
          <w:rtl/>
        </w:rPr>
        <w:t>اً</w:t>
      </w:r>
      <w:r w:rsidR="006E3C06">
        <w:rPr>
          <w:rtl/>
        </w:rPr>
        <w:t xml:space="preserve"> </w:t>
      </w:r>
      <w:r w:rsidR="006E3C06" w:rsidRPr="008D21E5">
        <w:rPr>
          <w:spacing w:val="-3"/>
          <w:rtl/>
        </w:rPr>
        <w:t xml:space="preserve">أيضاً </w:t>
      </w:r>
      <w:r w:rsidRPr="008D21E5">
        <w:rPr>
          <w:spacing w:val="-3"/>
          <w:rtl/>
        </w:rPr>
        <w:t>بحجة الدولة الطرف بأن صاحبات البلاغ لم يحددْن هوية الأطفال الفنلنديين ال</w:t>
      </w:r>
      <w:r w:rsidR="008D21E5">
        <w:rPr>
          <w:rFonts w:hint="cs"/>
          <w:spacing w:val="-3"/>
          <w:rtl/>
        </w:rPr>
        <w:t>‍</w:t>
      </w:r>
      <w:r w:rsidRPr="008D21E5">
        <w:rPr>
          <w:spacing w:val="-3"/>
          <w:rtl/>
        </w:rPr>
        <w:t xml:space="preserve"> </w:t>
      </w:r>
      <w:r w:rsidRPr="00582767">
        <w:rPr>
          <w:spacing w:val="-3"/>
          <w:rtl/>
        </w:rPr>
        <w:t>33</w:t>
      </w:r>
      <w:r w:rsidRPr="008D21E5">
        <w:rPr>
          <w:spacing w:val="-3"/>
          <w:rtl/>
        </w:rPr>
        <w:t xml:space="preserve"> الآخرين المحتجزين</w:t>
      </w:r>
      <w:r>
        <w:rPr>
          <w:rtl/>
        </w:rPr>
        <w:t xml:space="preserve"> في المخيمات أو أمهاتهم ولم يثبتْن أنهن يتصرفْن بموافقتهم. وتحيط اللجنة علم</w:t>
      </w:r>
      <w:r>
        <w:rPr>
          <w:rtl/>
        </w:rPr>
        <w:t>اً</w:t>
      </w:r>
      <w:r>
        <w:rPr>
          <w:rtl/>
        </w:rPr>
        <w:t xml:space="preserve"> كذلك بحجة صاحبات </w:t>
      </w:r>
      <w:r w:rsidRPr="008D21E5">
        <w:rPr>
          <w:spacing w:val="-4"/>
          <w:rtl/>
        </w:rPr>
        <w:t xml:space="preserve">البلاغ فيما يتعلق بأعمار الأطفال الضحايا، وعدم توافر وسائل التواصل، وحقيقة أن هذا البلاغ يخدم بشكل واضح مصالح الأطفال الفضلى لأن الهدف هو إنهاء احتجازهم في ظل الظروف المزرية التي تهدد حياتهم في المخيم. وتلاحظ اللجنة حجة صاحبات البلاغ بأن </w:t>
      </w:r>
      <w:r w:rsidRPr="00582767">
        <w:rPr>
          <w:spacing w:val="-4"/>
          <w:rtl/>
        </w:rPr>
        <w:t>33</w:t>
      </w:r>
      <w:r w:rsidRPr="008D21E5">
        <w:rPr>
          <w:spacing w:val="-4"/>
          <w:rtl/>
        </w:rPr>
        <w:t xml:space="preserve"> طفل</w:t>
      </w:r>
      <w:r w:rsidRPr="008D21E5">
        <w:rPr>
          <w:spacing w:val="-4"/>
          <w:rtl/>
        </w:rPr>
        <w:t>اً</w:t>
      </w:r>
      <w:r w:rsidRPr="008D21E5">
        <w:rPr>
          <w:spacing w:val="-4"/>
          <w:rtl/>
        </w:rPr>
        <w:t xml:space="preserve"> فنلندي</w:t>
      </w:r>
      <w:r w:rsidRPr="008D21E5">
        <w:rPr>
          <w:spacing w:val="-4"/>
          <w:rtl/>
        </w:rPr>
        <w:t>اً</w:t>
      </w:r>
      <w:r w:rsidRPr="008D21E5">
        <w:rPr>
          <w:spacing w:val="-4"/>
          <w:rtl/>
        </w:rPr>
        <w:t xml:space="preserve"> آخرين يوجدون في وضع مماثل. وتشير اللجنة إلى أنه، عمل</w:t>
      </w:r>
      <w:r w:rsidRPr="008D21E5">
        <w:rPr>
          <w:spacing w:val="-4"/>
          <w:rtl/>
        </w:rPr>
        <w:t>اً</w:t>
      </w:r>
      <w:r w:rsidRPr="008D21E5">
        <w:rPr>
          <w:spacing w:val="-4"/>
          <w:rtl/>
        </w:rPr>
        <w:t xml:space="preserve"> بالمادة </w:t>
      </w:r>
      <w:r w:rsidRPr="00582767">
        <w:rPr>
          <w:spacing w:val="-4"/>
          <w:rtl/>
        </w:rPr>
        <w:t>5</w:t>
      </w:r>
      <w:r w:rsidRPr="008D21E5">
        <w:rPr>
          <w:spacing w:val="-4"/>
          <w:rtl/>
        </w:rPr>
        <w:t>(</w:t>
      </w:r>
      <w:r w:rsidR="009770BA" w:rsidRPr="00582767">
        <w:rPr>
          <w:spacing w:val="-4"/>
          <w:rtl/>
        </w:rPr>
        <w:t>2</w:t>
      </w:r>
      <w:r w:rsidR="009770BA" w:rsidRPr="009770BA">
        <w:rPr>
          <w:spacing w:val="-4"/>
          <w:rtl/>
        </w:rPr>
        <w:t xml:space="preserve">) </w:t>
      </w:r>
      <w:r w:rsidRPr="008D21E5">
        <w:rPr>
          <w:spacing w:val="-4"/>
          <w:rtl/>
        </w:rPr>
        <w:t xml:space="preserve">من البروتوكول الاختياري، حيثما يُقدم بلاغٌ نيابة عن فرد أو مجموعة أفراد، </w:t>
      </w:r>
      <w:r w:rsidRPr="008D21E5">
        <w:rPr>
          <w:spacing w:val="-5"/>
          <w:rtl/>
        </w:rPr>
        <w:t>يكون ذلك بموافقتهم إلا إذا استطاع صاحب البلاغ أن يُبرر تصرفه نيابة عنهم دون الحصول على تلك الموافقة</w:t>
      </w:r>
      <w:r>
        <w:rPr>
          <w:rtl/>
        </w:rPr>
        <w:t xml:space="preserve">. وترى اللجنة، في ظل الظروف الخاصة لهذه القضية، أن تواصل الأطفال الضحايا وأمهاتهم مع صاحبات البلاغ محدود، وهو ما يمنعهم في واقع الأمر من تقديم موافقتهم الخطية. وتلاحظ أن هذا البلاغ يخدم في ظاهره مصالح الأطفال الضحايا الفضلى. ولهذا السبب، ترى اللجنة أن المادة </w:t>
      </w:r>
      <w:r w:rsidRPr="00582767">
        <w:rPr>
          <w:rtl/>
        </w:rPr>
        <w:t>5</w:t>
      </w:r>
      <w:r>
        <w:rPr>
          <w:rtl/>
        </w:rPr>
        <w:t xml:space="preserve"> من البروتوكول الاختياري لا تشكل عائق</w:t>
      </w:r>
      <w:r>
        <w:rPr>
          <w:rtl/>
        </w:rPr>
        <w:t>اً</w:t>
      </w:r>
      <w:r>
        <w:rPr>
          <w:rtl/>
        </w:rPr>
        <w:t xml:space="preserve"> أمام مقبولية هذا البلاغ المقدم نيابة عن س. ن.،</w:t>
      </w:r>
      <w:r w:rsidR="006E3C06">
        <w:rPr>
          <w:rtl/>
        </w:rPr>
        <w:t xml:space="preserve"> و</w:t>
      </w:r>
      <w:r>
        <w:rPr>
          <w:rtl/>
        </w:rPr>
        <w:t>مح. ك.،</w:t>
      </w:r>
      <w:r w:rsidR="006E3C06">
        <w:rPr>
          <w:rtl/>
        </w:rPr>
        <w:t xml:space="preserve"> </w:t>
      </w:r>
      <w:proofErr w:type="spellStart"/>
      <w:r w:rsidR="006E3C06">
        <w:rPr>
          <w:rtl/>
        </w:rPr>
        <w:t>و</w:t>
      </w:r>
      <w:r>
        <w:rPr>
          <w:rtl/>
        </w:rPr>
        <w:t>مو</w:t>
      </w:r>
      <w:proofErr w:type="spellEnd"/>
      <w:r>
        <w:rPr>
          <w:rtl/>
        </w:rPr>
        <w:t>. ك.</w:t>
      </w:r>
    </w:p>
    <w:p w14:paraId="2C7D6774" w14:textId="56946189" w:rsidR="00A02D6F" w:rsidRDefault="00A02D6F" w:rsidP="00555668">
      <w:pPr>
        <w:pStyle w:val="SingleTxtGA"/>
        <w:spacing w:line="340" w:lineRule="exact"/>
        <w:rPr>
          <w:rtl/>
        </w:rPr>
      </w:pPr>
      <w:r w:rsidRPr="00582767">
        <w:rPr>
          <w:rtl/>
        </w:rPr>
        <w:lastRenderedPageBreak/>
        <w:t>10</w:t>
      </w:r>
      <w:r>
        <w:rPr>
          <w:rtl/>
        </w:rPr>
        <w:t>-</w:t>
      </w:r>
      <w:r w:rsidRPr="00582767">
        <w:rPr>
          <w:rtl/>
        </w:rPr>
        <w:t>4</w:t>
      </w:r>
      <w:r>
        <w:rPr>
          <w:rtl/>
        </w:rPr>
        <w:tab/>
        <w:t xml:space="preserve">بيد أن اللجنة ترى أن صاحبات البلاغ لم يبررْن تصرفهن نيابة عن الأطفال الآخرين الذين ليسوا من أقاربهم، أو يبررْن أن أقارب هؤلاء الأطفال غير قادرين على تقديم بلاغ إلى اللجنة نيابة عنهم. </w:t>
      </w:r>
      <w:r w:rsidRPr="009770BA">
        <w:rPr>
          <w:spacing w:val="-4"/>
          <w:rtl/>
        </w:rPr>
        <w:t>ولهذا السبب، ترى اللجنة أن ليس لصاحبات البلاغ حق التقاضي لتمثيل الأطفال الفنلنديين الآخرين المحتجزين</w:t>
      </w:r>
      <w:r>
        <w:rPr>
          <w:rtl/>
        </w:rPr>
        <w:t xml:space="preserve"> في المخيم. وبناء على ذلك</w:t>
      </w:r>
      <w:r w:rsidR="006E3C06">
        <w:rPr>
          <w:rtl/>
        </w:rPr>
        <w:t>،</w:t>
      </w:r>
      <w:r>
        <w:rPr>
          <w:rtl/>
        </w:rPr>
        <w:t xml:space="preserve"> تعلن اللجنة أن البلاغ المقدم نيابة عن هؤلاء الأطفال غير مقبول عمل</w:t>
      </w:r>
      <w:r>
        <w:rPr>
          <w:rtl/>
        </w:rPr>
        <w:t>اً</w:t>
      </w:r>
      <w:r>
        <w:rPr>
          <w:rtl/>
        </w:rPr>
        <w:t xml:space="preserve"> بالمادة </w:t>
      </w:r>
      <w:r w:rsidRPr="00582767">
        <w:rPr>
          <w:rtl/>
        </w:rPr>
        <w:t>5</w:t>
      </w:r>
      <w:r>
        <w:rPr>
          <w:rtl/>
        </w:rPr>
        <w:t>(</w:t>
      </w:r>
      <w:r w:rsidR="009770BA" w:rsidRPr="00582767">
        <w:rPr>
          <w:rtl/>
        </w:rPr>
        <w:t>2</w:t>
      </w:r>
      <w:r w:rsidR="009770BA" w:rsidRPr="009770BA">
        <w:rPr>
          <w:rtl/>
        </w:rPr>
        <w:t xml:space="preserve">) </w:t>
      </w:r>
      <w:r>
        <w:rPr>
          <w:rtl/>
        </w:rPr>
        <w:t>من البروتوكول الاختياري.</w:t>
      </w:r>
    </w:p>
    <w:p w14:paraId="61F6912C" w14:textId="5CCF709F" w:rsidR="00A02D6F" w:rsidRDefault="00A02D6F" w:rsidP="00555668">
      <w:pPr>
        <w:pStyle w:val="SingleTxtGA"/>
        <w:spacing w:line="340" w:lineRule="exact"/>
        <w:rPr>
          <w:rtl/>
        </w:rPr>
      </w:pPr>
      <w:r w:rsidRPr="00582767">
        <w:rPr>
          <w:rtl/>
        </w:rPr>
        <w:t>10</w:t>
      </w:r>
      <w:r>
        <w:rPr>
          <w:rtl/>
        </w:rPr>
        <w:t>-</w:t>
      </w:r>
      <w:r w:rsidRPr="00582767">
        <w:rPr>
          <w:rtl/>
        </w:rPr>
        <w:t>5</w:t>
      </w:r>
      <w:r>
        <w:rPr>
          <w:rtl/>
        </w:rPr>
        <w:tab/>
        <w:t xml:space="preserve">وتحيط اللجنة علماً بحجة الدولة الطرف أنه ينبغي اعتبار البلاغ غير مقبول لعدم استنفاد سبل </w:t>
      </w:r>
      <w:r w:rsidRPr="00582767">
        <w:rPr>
          <w:i/>
          <w:iCs/>
          <w:rtl/>
        </w:rPr>
        <w:t>الانتصاف المحلية</w:t>
      </w:r>
      <w:r>
        <w:rPr>
          <w:rtl/>
        </w:rPr>
        <w:t>. وتحيط اللجنة علم</w:t>
      </w:r>
      <w:r>
        <w:rPr>
          <w:rtl/>
        </w:rPr>
        <w:t>اً</w:t>
      </w:r>
      <w:r w:rsidR="006E3C06">
        <w:rPr>
          <w:rtl/>
        </w:rPr>
        <w:t xml:space="preserve"> أيضاً </w:t>
      </w:r>
      <w:r>
        <w:rPr>
          <w:rtl/>
        </w:rPr>
        <w:t>ببيان صاحبات البلاغ بأنهن قدَّمن إلى هيئة حماية الطفل في هلسنكي وإلى وزير العدل طلباً</w:t>
      </w:r>
      <w:r w:rsidR="006E3C06">
        <w:rPr>
          <w:rtl/>
        </w:rPr>
        <w:t xml:space="preserve"> </w:t>
      </w:r>
      <w:r>
        <w:rPr>
          <w:rtl/>
        </w:rPr>
        <w:t>لفرض تدابير حماية الطفل، لكن دون جدوى، وأن سبل الانتصاف المحلية لم تكن متاحة وهي غير فعالة في سياق جميع طلبات الحماية و/أو إعادة الأطفال وأمهاتهم إلى وطنهم. وتحيط اللجنة علم</w:t>
      </w:r>
      <w:r>
        <w:rPr>
          <w:rtl/>
        </w:rPr>
        <w:t>اً</w:t>
      </w:r>
      <w:r>
        <w:rPr>
          <w:rtl/>
        </w:rPr>
        <w:t xml:space="preserve"> كذلك بأن الدولة الطرف لم تثبت، بما في ذلك استناداً إلى السوابق القضائية </w:t>
      </w:r>
      <w:r w:rsidRPr="009770BA">
        <w:rPr>
          <w:spacing w:val="-2"/>
          <w:rtl/>
        </w:rPr>
        <w:t xml:space="preserve">لمحاكمها الوطنية، أنه كان في متناول صاحبات البلاغ أي سبيل </w:t>
      </w:r>
      <w:r w:rsidRPr="00582767">
        <w:rPr>
          <w:i/>
          <w:iCs/>
          <w:spacing w:val="-2"/>
          <w:rtl/>
        </w:rPr>
        <w:t>انتصاف قضائي</w:t>
      </w:r>
      <w:r w:rsidRPr="009770BA">
        <w:rPr>
          <w:spacing w:val="-2"/>
          <w:rtl/>
        </w:rPr>
        <w:t xml:space="preserve"> فعال للطعن في الرفض</w:t>
      </w:r>
      <w:r>
        <w:rPr>
          <w:rtl/>
        </w:rPr>
        <w:t xml:space="preserve"> الإداري لإعادة أقاربهم إلى وطنهم. وفي ظل هذه الملابسات، ترى اللجنة أنه لا يوجد ما يحول دون قبول البلاغ بموجب المادة </w:t>
      </w:r>
      <w:r w:rsidRPr="00582767">
        <w:rPr>
          <w:rtl/>
        </w:rPr>
        <w:t>7</w:t>
      </w:r>
      <w:r>
        <w:rPr>
          <w:rtl/>
        </w:rPr>
        <w:t>(ه) من البروتوكول الاختياري.</w:t>
      </w:r>
    </w:p>
    <w:p w14:paraId="4B2C427D" w14:textId="1D207A4D" w:rsidR="00A02D6F" w:rsidRDefault="00A02D6F" w:rsidP="00555668">
      <w:pPr>
        <w:pStyle w:val="SingleTxtGA"/>
        <w:spacing w:line="340" w:lineRule="exact"/>
        <w:rPr>
          <w:rtl/>
        </w:rPr>
      </w:pPr>
      <w:r w:rsidRPr="00582767">
        <w:rPr>
          <w:rtl/>
        </w:rPr>
        <w:t>10</w:t>
      </w:r>
      <w:r>
        <w:rPr>
          <w:rtl/>
        </w:rPr>
        <w:t>-</w:t>
      </w:r>
      <w:r w:rsidRPr="00582767">
        <w:rPr>
          <w:rtl/>
        </w:rPr>
        <w:t>6</w:t>
      </w:r>
      <w:r>
        <w:rPr>
          <w:rtl/>
        </w:rPr>
        <w:tab/>
        <w:t>وتحيط اللجنة علم</w:t>
      </w:r>
      <w:r>
        <w:rPr>
          <w:rtl/>
        </w:rPr>
        <w:t>اً</w:t>
      </w:r>
      <w:r>
        <w:rPr>
          <w:rtl/>
        </w:rPr>
        <w:t xml:space="preserve"> بحجة الدولة الطرف أن ادعاءات صاحبات البلاغ غير مقبولة من حيث الاختصاص الزمني بقدر ما هي ادعاءات تشير إلى أحداث وقعت قبل بدء نفاذ الاتفاقية بالنسبة للدولة الطرف. غير أن اللجنة تلاحظ</w:t>
      </w:r>
      <w:r w:rsidR="006E3C06">
        <w:rPr>
          <w:rtl/>
        </w:rPr>
        <w:t xml:space="preserve"> أيضاً </w:t>
      </w:r>
      <w:r>
        <w:rPr>
          <w:rtl/>
        </w:rPr>
        <w:t xml:space="preserve">إعلان صاحبات البلاغ أن بلاغهن يشير إلى أحداث وقعت بعد بدء </w:t>
      </w:r>
      <w:r w:rsidRPr="008D21E5">
        <w:rPr>
          <w:spacing w:val="-4"/>
          <w:rtl/>
        </w:rPr>
        <w:t>نفاذ الاتفاقية بالنسبة للدولة الطرف، وأن الدولة الطرف، بتقاعسها عن العمل، قد سمحت باستمرار الانتهاكات</w:t>
      </w:r>
      <w:r>
        <w:rPr>
          <w:rtl/>
        </w:rPr>
        <w:t xml:space="preserve"> المزعومة بعد ذلك التاريخ. وفي هذا الصدد، تلاحظ اللجنة كذلك تأكيد الدولة الطرف أنها تواصلت بشكل منتظم مع كل شخص محتجز أعرب عن استعداده للتفاعل معها، سواء بتنظيم اجتماعات حضورية في المخيمات أو بالتواصل معهم عن بُعد، يومي</w:t>
      </w:r>
      <w:r>
        <w:rPr>
          <w:rtl/>
        </w:rPr>
        <w:t>اً</w:t>
      </w:r>
      <w:r>
        <w:rPr>
          <w:rtl/>
        </w:rPr>
        <w:t xml:space="preserve"> تقريب</w:t>
      </w:r>
      <w:r>
        <w:rPr>
          <w:rtl/>
        </w:rPr>
        <w:t>اً</w:t>
      </w:r>
      <w:r>
        <w:rPr>
          <w:rtl/>
        </w:rPr>
        <w:t xml:space="preserve">. وفي ضوء استمرار الحالة السائدة في المخيمات التي تشكل خطرا على الحياة وحقيقة أن الدولة الطرف كانت على علم كامل بهذه الحالة بعد دخول البروتوكول </w:t>
      </w:r>
      <w:r w:rsidRPr="008D21E5">
        <w:rPr>
          <w:spacing w:val="-4"/>
          <w:rtl/>
        </w:rPr>
        <w:t>الاختياري حيز النفاذ، ترى اللجنة أن عدم تصحيح الدولة الطرف لهذه الأحوال يمنحها الاختصاص الزمني</w:t>
      </w:r>
      <w:r>
        <w:rPr>
          <w:rtl/>
        </w:rPr>
        <w:t xml:space="preserve"> للنظر في الانتهاكات المزعومة للاتفاقية. وبناء على ذلك، ترى اللجنة أن المادة </w:t>
      </w:r>
      <w:r w:rsidRPr="00582767">
        <w:rPr>
          <w:rtl/>
        </w:rPr>
        <w:t>7</w:t>
      </w:r>
      <w:r>
        <w:rPr>
          <w:rtl/>
        </w:rPr>
        <w:t>(ز) من البروتوكول الاختياري لا تمنعها من النظر في هذا البلاغ.</w:t>
      </w:r>
    </w:p>
    <w:p w14:paraId="7BFF98C3" w14:textId="2D91FB7D" w:rsidR="00A02D6F" w:rsidRDefault="00A02D6F" w:rsidP="00555668">
      <w:pPr>
        <w:pStyle w:val="SingleTxtGA"/>
        <w:spacing w:line="340" w:lineRule="exact"/>
        <w:rPr>
          <w:rtl/>
        </w:rPr>
      </w:pPr>
      <w:r w:rsidRPr="00582767">
        <w:rPr>
          <w:rtl/>
        </w:rPr>
        <w:t>10</w:t>
      </w:r>
      <w:r>
        <w:rPr>
          <w:rtl/>
        </w:rPr>
        <w:t>-</w:t>
      </w:r>
      <w:r w:rsidRPr="00582767">
        <w:rPr>
          <w:rtl/>
        </w:rPr>
        <w:t>7</w:t>
      </w:r>
      <w:r>
        <w:rPr>
          <w:rtl/>
        </w:rPr>
        <w:tab/>
      </w:r>
      <w:r w:rsidRPr="008D21E5">
        <w:rPr>
          <w:spacing w:val="-4"/>
          <w:rtl/>
        </w:rPr>
        <w:t>وفيما يتعلق بمسألة الولاية القضائية، تحيط اللجنة علم</w:t>
      </w:r>
      <w:r w:rsidRPr="008D21E5">
        <w:rPr>
          <w:spacing w:val="-4"/>
          <w:rtl/>
        </w:rPr>
        <w:t>اً</w:t>
      </w:r>
      <w:r w:rsidRPr="008D21E5">
        <w:rPr>
          <w:spacing w:val="-4"/>
          <w:rtl/>
        </w:rPr>
        <w:t xml:space="preserve"> بحجة الدولة الطرف بأنه لا يجوز مساءلتها </w:t>
      </w:r>
      <w:r>
        <w:rPr>
          <w:rtl/>
        </w:rPr>
        <w:t xml:space="preserve">عن الحالات التي لم تنشئها هي، وليس لها سيطرة فعلية عليها، وهي أفعال دول أخرى أو جهات فاعلة </w:t>
      </w:r>
      <w:r w:rsidRPr="008D21E5">
        <w:rPr>
          <w:spacing w:val="-4"/>
          <w:rtl/>
        </w:rPr>
        <w:t>من غير الدول، لمجرد أن الأطفال من رعاياها. وتدفع الدولة الطرف كذلك بأن الأطفال غير خاضعين لولايتها</w:t>
      </w:r>
      <w:r>
        <w:rPr>
          <w:rtl/>
        </w:rPr>
        <w:t xml:space="preserve"> </w:t>
      </w:r>
      <w:r w:rsidRPr="008D21E5">
        <w:rPr>
          <w:spacing w:val="-4"/>
          <w:rtl/>
        </w:rPr>
        <w:t>القضائية لأنهم ليسوا تحت سيطرتها الفعلية، سواء عن طريق أعوانها أو عن طريق إدارة محلية تسيطر عليها</w:t>
      </w:r>
      <w:r>
        <w:rPr>
          <w:rtl/>
        </w:rPr>
        <w:t xml:space="preserve"> الدولة الطرف.</w:t>
      </w:r>
    </w:p>
    <w:p w14:paraId="0F74C387" w14:textId="42C2133A" w:rsidR="009770BA" w:rsidRPr="009770BA" w:rsidRDefault="00A02D6F" w:rsidP="00555668">
      <w:pPr>
        <w:pStyle w:val="SingleTxtGA"/>
        <w:spacing w:line="340" w:lineRule="exact"/>
        <w:rPr>
          <w:rtl/>
        </w:rPr>
      </w:pPr>
      <w:r w:rsidRPr="00582767">
        <w:rPr>
          <w:rtl/>
        </w:rPr>
        <w:t>10</w:t>
      </w:r>
      <w:r>
        <w:rPr>
          <w:rtl/>
        </w:rPr>
        <w:t>-</w:t>
      </w:r>
      <w:r w:rsidRPr="00582767">
        <w:rPr>
          <w:rtl/>
        </w:rPr>
        <w:t>8</w:t>
      </w:r>
      <w:r>
        <w:rPr>
          <w:rtl/>
        </w:rPr>
        <w:tab/>
        <w:t>ودُعيت اللجنة إلى تحديد ما إذا كانت للدولة الطرف</w:t>
      </w:r>
      <w:r w:rsidR="006E3C06">
        <w:rPr>
          <w:rtl/>
        </w:rPr>
        <w:t xml:space="preserve"> </w:t>
      </w:r>
      <w:r>
        <w:rPr>
          <w:rtl/>
        </w:rPr>
        <w:t xml:space="preserve">اختصاص قائم على </w:t>
      </w:r>
      <w:r w:rsidRPr="00582767">
        <w:rPr>
          <w:i/>
          <w:iCs/>
          <w:rtl/>
        </w:rPr>
        <w:t>الصفة الشخصية</w:t>
      </w:r>
      <w:r>
        <w:rPr>
          <w:rtl/>
        </w:rPr>
        <w:t xml:space="preserve"> فيما</w:t>
      </w:r>
      <w:r w:rsidR="008D21E5">
        <w:rPr>
          <w:rFonts w:hint="cs"/>
          <w:rtl/>
        </w:rPr>
        <w:t> </w:t>
      </w:r>
      <w:r>
        <w:rPr>
          <w:rtl/>
        </w:rPr>
        <w:t xml:space="preserve">يتعلق بالأطفال المحتجزين في مخيم الهول في شمال شرق الجمهورية العربية السورية. وتذكّر اللجنة بأن </w:t>
      </w:r>
      <w:r w:rsidRPr="008D21E5">
        <w:rPr>
          <w:spacing w:val="-4"/>
          <w:rtl/>
        </w:rPr>
        <w:t>الدول ملزمة، بموجب الاتفاقية، باحترام وضمان حقوق الأطفال الخاضعين لولايتها، لكن الاتفاقية لا تحصر</w:t>
      </w:r>
      <w:r>
        <w:rPr>
          <w:rtl/>
        </w:rPr>
        <w:t xml:space="preserve"> ولاية الدولة في "الإقليم"</w:t>
      </w:r>
      <w:r w:rsidR="009770BA" w:rsidRPr="00582767">
        <w:rPr>
          <w:rStyle w:val="FootnoteReference"/>
          <w:rtl/>
        </w:rPr>
        <w:t>(</w:t>
      </w:r>
      <w:r w:rsidR="009770BA" w:rsidRPr="00582767">
        <w:rPr>
          <w:rStyle w:val="FootnoteReference"/>
          <w:lang w:val="en-US"/>
        </w:rPr>
        <w:footnoteReference w:id="17"/>
      </w:r>
      <w:r w:rsidR="009770BA" w:rsidRPr="009770BA">
        <w:rPr>
          <w:vertAlign w:val="superscript"/>
          <w:rtl/>
        </w:rPr>
        <w:t>)</w:t>
      </w:r>
      <w:r w:rsidR="009770BA" w:rsidRPr="009770BA">
        <w:rPr>
          <w:rtl/>
        </w:rPr>
        <w:t>.</w:t>
      </w:r>
      <w:r w:rsidR="009770BA" w:rsidRPr="009770BA">
        <w:rPr>
          <w:rtl/>
        </w:rPr>
        <w:t xml:space="preserve"> </w:t>
      </w:r>
      <w:r>
        <w:rPr>
          <w:rtl/>
        </w:rPr>
        <w:t>وقد تكون للدولة</w:t>
      </w:r>
      <w:r w:rsidR="006E3C06">
        <w:rPr>
          <w:rtl/>
        </w:rPr>
        <w:t xml:space="preserve"> أيضاً </w:t>
      </w:r>
      <w:r>
        <w:rPr>
          <w:rtl/>
        </w:rPr>
        <w:t xml:space="preserve">ولاية قضائية فيما يتعلق بالأفعال التي تُنفذ، أو تترتب </w:t>
      </w:r>
      <w:r w:rsidRPr="00555668">
        <w:rPr>
          <w:spacing w:val="-4"/>
          <w:rtl/>
        </w:rPr>
        <w:t>عليها آثار، خارج حدودها الوطنية</w:t>
      </w:r>
      <w:r w:rsidR="009770BA" w:rsidRPr="00582767">
        <w:rPr>
          <w:rStyle w:val="FootnoteReference"/>
          <w:spacing w:val="-4"/>
          <w:rtl/>
        </w:rPr>
        <w:t>(</w:t>
      </w:r>
      <w:r w:rsidR="009770BA" w:rsidRPr="00582767">
        <w:rPr>
          <w:rStyle w:val="FootnoteReference"/>
          <w:spacing w:val="-4"/>
          <w:lang w:val="en-US"/>
        </w:rPr>
        <w:footnoteReference w:id="18"/>
      </w:r>
      <w:r w:rsidR="009770BA" w:rsidRPr="009770BA">
        <w:rPr>
          <w:spacing w:val="-4"/>
          <w:vertAlign w:val="superscript"/>
          <w:rtl/>
        </w:rPr>
        <w:t>)</w:t>
      </w:r>
      <w:r w:rsidR="009770BA" w:rsidRPr="009770BA">
        <w:rPr>
          <w:spacing w:val="-4"/>
          <w:rtl/>
        </w:rPr>
        <w:t>.</w:t>
      </w:r>
      <w:r w:rsidR="009770BA" w:rsidRPr="009770BA">
        <w:rPr>
          <w:spacing w:val="-4"/>
          <w:rtl/>
        </w:rPr>
        <w:t xml:space="preserve"> </w:t>
      </w:r>
      <w:r w:rsidRPr="00555668">
        <w:rPr>
          <w:spacing w:val="-4"/>
          <w:rtl/>
        </w:rPr>
        <w:t>وفي سياق حركات الهجرة، ترى اللجنة أنه يجب على الدول، بموجب الاتفاقية، تحمل المسؤولية خارج حدودها الوطنية فيما يخص حماية رعاياها الأطفال الموجودين خارج أراضيها،</w:t>
      </w:r>
      <w:r w:rsidRPr="008D21E5">
        <w:rPr>
          <w:spacing w:val="-2"/>
          <w:rtl/>
        </w:rPr>
        <w:t xml:space="preserve"> </w:t>
      </w:r>
      <w:r w:rsidRPr="008D21E5">
        <w:rPr>
          <w:spacing w:val="-2"/>
          <w:rtl/>
        </w:rPr>
        <w:lastRenderedPageBreak/>
        <w:t>بإتاحة حماية قنصلية تراعي احتياجاتهم وتحمي حقوقهم</w:t>
      </w:r>
      <w:r w:rsidR="009770BA" w:rsidRPr="00582767">
        <w:rPr>
          <w:rStyle w:val="FootnoteReference"/>
          <w:spacing w:val="-2"/>
          <w:rtl/>
        </w:rPr>
        <w:t>(</w:t>
      </w:r>
      <w:r w:rsidR="009770BA" w:rsidRPr="00582767">
        <w:rPr>
          <w:rStyle w:val="FootnoteReference"/>
          <w:spacing w:val="-2"/>
          <w:lang w:val="en-US"/>
        </w:rPr>
        <w:footnoteReference w:id="19"/>
      </w:r>
      <w:r w:rsidR="009770BA" w:rsidRPr="009770BA">
        <w:rPr>
          <w:spacing w:val="-2"/>
          <w:vertAlign w:val="superscript"/>
          <w:rtl/>
        </w:rPr>
        <w:t>)</w:t>
      </w:r>
      <w:r w:rsidR="009770BA" w:rsidRPr="009770BA">
        <w:rPr>
          <w:spacing w:val="-2"/>
          <w:rtl/>
        </w:rPr>
        <w:t>.</w:t>
      </w:r>
      <w:r w:rsidR="009770BA" w:rsidRPr="009770BA">
        <w:rPr>
          <w:spacing w:val="-2"/>
          <w:rtl/>
        </w:rPr>
        <w:t xml:space="preserve"> </w:t>
      </w:r>
      <w:r w:rsidRPr="008D21E5">
        <w:rPr>
          <w:spacing w:val="-2"/>
          <w:rtl/>
        </w:rPr>
        <w:t xml:space="preserve">ففي قضية </w:t>
      </w:r>
      <w:r w:rsidRPr="00582767">
        <w:rPr>
          <w:i/>
          <w:iCs/>
          <w:spacing w:val="-2"/>
          <w:rtl/>
        </w:rPr>
        <w:t>س. إ. ضد بلجيكا</w:t>
      </w:r>
      <w:r w:rsidRPr="008D21E5">
        <w:rPr>
          <w:spacing w:val="-2"/>
          <w:rtl/>
        </w:rPr>
        <w:t>،</w:t>
      </w:r>
      <w:r>
        <w:rPr>
          <w:rtl/>
        </w:rPr>
        <w:t xml:space="preserve"> اعتبرت اللجنة أن بلجيكا تتمتع بالولاية القضائية اللازمة لكفالة حقوق طفلة تعيش في المغرب فُصلت عن </w:t>
      </w:r>
      <w:r w:rsidRPr="008D21E5">
        <w:rPr>
          <w:spacing w:val="-2"/>
          <w:rtl/>
        </w:rPr>
        <w:t xml:space="preserve">أبوين يحملان الجنسية البلجيكية والجنسية المغربية، بعد أن أُودعت رهن الرعاية في إطار نظام </w:t>
      </w:r>
      <w:r w:rsidRPr="00582767">
        <w:rPr>
          <w:i/>
          <w:iCs/>
          <w:spacing w:val="-2"/>
          <w:rtl/>
        </w:rPr>
        <w:t>الكفالة</w:t>
      </w:r>
      <w:r w:rsidR="009770BA" w:rsidRPr="00582767">
        <w:rPr>
          <w:rStyle w:val="FootnoteReference"/>
          <w:rtl/>
        </w:rPr>
        <w:t>(</w:t>
      </w:r>
      <w:r w:rsidR="009770BA" w:rsidRPr="00582767">
        <w:rPr>
          <w:rStyle w:val="FootnoteReference"/>
          <w:lang w:val="en-US"/>
        </w:rPr>
        <w:footnoteReference w:id="20"/>
      </w:r>
      <w:r w:rsidR="009770BA" w:rsidRPr="009770BA">
        <w:rPr>
          <w:vertAlign w:val="superscript"/>
          <w:rtl/>
        </w:rPr>
        <w:t>)</w:t>
      </w:r>
      <w:r w:rsidR="009770BA" w:rsidRPr="009770BA">
        <w:rPr>
          <w:rtl/>
        </w:rPr>
        <w:t>.</w:t>
      </w:r>
      <w:r w:rsidR="009770BA" w:rsidRPr="009770BA">
        <w:rPr>
          <w:rtl/>
        </w:rPr>
        <w:t xml:space="preserve"> </w:t>
      </w:r>
      <w:r>
        <w:rPr>
          <w:rtl/>
        </w:rPr>
        <w:t xml:space="preserve">وتشير اللجنة إلى أنها نظرت بالفعل في </w:t>
      </w:r>
      <w:proofErr w:type="gramStart"/>
      <w:r>
        <w:rPr>
          <w:rtl/>
        </w:rPr>
        <w:t>ثلاثة</w:t>
      </w:r>
      <w:proofErr w:type="gramEnd"/>
      <w:r>
        <w:rPr>
          <w:rtl/>
        </w:rPr>
        <w:t xml:space="preserve"> بلاغات مماثلة ضد فرنسا وخلصت بشأنها إلى أن لفرنسا بالفعل ولاية قضائية على الأطفال المحتجزين في مخيمات شمال شرق الجمهورية العربية السورية</w:t>
      </w:r>
      <w:r w:rsidR="009770BA" w:rsidRPr="00582767">
        <w:rPr>
          <w:rStyle w:val="FootnoteReference"/>
          <w:rtl/>
        </w:rPr>
        <w:t>(</w:t>
      </w:r>
      <w:r w:rsidR="009770BA" w:rsidRPr="00582767">
        <w:rPr>
          <w:rStyle w:val="FootnoteReference"/>
          <w:lang w:val="en-US"/>
        </w:rPr>
        <w:footnoteReference w:id="21"/>
      </w:r>
      <w:r w:rsidR="009770BA" w:rsidRPr="009770BA">
        <w:rPr>
          <w:vertAlign w:val="superscript"/>
          <w:rtl/>
        </w:rPr>
        <w:t>)</w:t>
      </w:r>
      <w:r w:rsidR="009770BA" w:rsidRPr="009770BA">
        <w:rPr>
          <w:rtl/>
        </w:rPr>
        <w:t>.</w:t>
      </w:r>
    </w:p>
    <w:p w14:paraId="24BDF915" w14:textId="0445E4E6" w:rsidR="009770BA" w:rsidRPr="009770BA" w:rsidRDefault="00A02D6F" w:rsidP="00555668">
      <w:pPr>
        <w:pStyle w:val="SingleTxtGA"/>
        <w:spacing w:line="350" w:lineRule="exact"/>
        <w:rPr>
          <w:spacing w:val="-2"/>
          <w:rtl/>
        </w:rPr>
      </w:pPr>
      <w:r w:rsidRPr="00582767">
        <w:rPr>
          <w:rtl/>
        </w:rPr>
        <w:t>10</w:t>
      </w:r>
      <w:r>
        <w:rPr>
          <w:rtl/>
        </w:rPr>
        <w:t>-</w:t>
      </w:r>
      <w:r w:rsidRPr="00582767">
        <w:rPr>
          <w:rtl/>
        </w:rPr>
        <w:t>9</w:t>
      </w:r>
      <w:r>
        <w:rPr>
          <w:rtl/>
        </w:rPr>
        <w:tab/>
        <w:t>وفي هذه القضية، تلاحظ اللجنة ألا اعتراض على أن الدولة الطرف كانت على علم بحالة الضعف الشديد للأطفال المحتجزين في مخيم اللاجئين في إحدى مناطق النزاع. فقد أُفيد عبر العالم بأن ظروف الاحتجاز هناك مزرية</w:t>
      </w:r>
      <w:r w:rsidR="009770BA" w:rsidRPr="00582767">
        <w:rPr>
          <w:rStyle w:val="FootnoteReference"/>
          <w:rtl/>
        </w:rPr>
        <w:t>(</w:t>
      </w:r>
      <w:r w:rsidR="009770BA" w:rsidRPr="00582767">
        <w:rPr>
          <w:rStyle w:val="FootnoteReference"/>
          <w:lang w:val="en-US"/>
        </w:rPr>
        <w:footnoteReference w:id="22"/>
      </w:r>
      <w:r w:rsidR="009770BA" w:rsidRPr="009770BA">
        <w:rPr>
          <w:vertAlign w:val="superscript"/>
          <w:rtl/>
        </w:rPr>
        <w:t>)</w:t>
      </w:r>
      <w:r w:rsidR="009770BA" w:rsidRPr="009770BA">
        <w:rPr>
          <w:rtl/>
        </w:rPr>
        <w:t>.</w:t>
      </w:r>
      <w:r w:rsidR="009770BA" w:rsidRPr="009770BA">
        <w:rPr>
          <w:rtl/>
        </w:rPr>
        <w:t xml:space="preserve"> </w:t>
      </w:r>
      <w:r>
        <w:rPr>
          <w:rtl/>
        </w:rPr>
        <w:t>وتشكل ظروف الاحتجاز هذه خطراً وشيكاً يتمثل في إلحاق ضرر لا</w:t>
      </w:r>
      <w:r w:rsidR="008D21E5">
        <w:rPr>
          <w:rFonts w:hint="cs"/>
          <w:rtl/>
        </w:rPr>
        <w:t> </w:t>
      </w:r>
      <w:r>
        <w:rPr>
          <w:rtl/>
        </w:rPr>
        <w:t xml:space="preserve">يمكن جبره يهدد </w:t>
      </w:r>
      <w:proofErr w:type="gramStart"/>
      <w:r>
        <w:rPr>
          <w:rtl/>
        </w:rPr>
        <w:t>حياة</w:t>
      </w:r>
      <w:proofErr w:type="gramEnd"/>
      <w:r>
        <w:rPr>
          <w:rtl/>
        </w:rPr>
        <w:t xml:space="preserve"> ونمو الأطفال وسلامتهم البدنية والعقلية. وتسلّم اللجنة بأن جهة فاعلة من غير الدول هي التي تسيطر فعلياً على المخيم، وبأن هذه الجهة أعلنت عدم امتلاكها الوسائل أو الإرادة لرعاية الأطفال والنساء المحتجزين في المخيمات، وأنها تتوقع أن تعيد البلدان رعاياها إلى وطنهم. وتلاحظ اللجنة</w:t>
      </w:r>
      <w:r w:rsidR="006E3C06">
        <w:rPr>
          <w:rtl/>
        </w:rPr>
        <w:t xml:space="preserve"> أيضاً </w:t>
      </w:r>
      <w:r>
        <w:rPr>
          <w:rtl/>
        </w:rPr>
        <w:t>أن لجنة التحقيق الدولية المستقلة المعنية بالجمهورية العربية السورية أوصت بلدان منشأ المقاتلين الأجانب باتخاذ خطوات فورية لإعادة هؤلاء الأطفال إلى وطنهم في أقرب وقت ممكن</w:t>
      </w:r>
      <w:r w:rsidR="009770BA" w:rsidRPr="00582767">
        <w:rPr>
          <w:rStyle w:val="FootnoteReference"/>
          <w:rtl/>
        </w:rPr>
        <w:t>(</w:t>
      </w:r>
      <w:r w:rsidR="009770BA" w:rsidRPr="00582767">
        <w:rPr>
          <w:rStyle w:val="FootnoteReference"/>
          <w:lang w:val="en-US"/>
        </w:rPr>
        <w:footnoteReference w:id="23"/>
      </w:r>
      <w:r w:rsidR="009770BA" w:rsidRPr="009770BA">
        <w:rPr>
          <w:vertAlign w:val="superscript"/>
          <w:rtl/>
        </w:rPr>
        <w:t>)</w:t>
      </w:r>
      <w:r w:rsidR="009770BA" w:rsidRPr="009770BA">
        <w:rPr>
          <w:rtl/>
        </w:rPr>
        <w:t>.</w:t>
      </w:r>
      <w:r w:rsidR="009770BA" w:rsidRPr="009770BA">
        <w:rPr>
          <w:rtl/>
        </w:rPr>
        <w:t xml:space="preserve"> </w:t>
      </w:r>
      <w:r>
        <w:rPr>
          <w:rtl/>
        </w:rPr>
        <w:t xml:space="preserve">وفي ظل السياق الخاص بهذا البلاغ، تعتبر اللجنة أن للدولة الطرف، بصفتها دولة جنسية الأطفال المحتجزين في هذه المخيمات، القدرة والسلطة اللازمتين لحماية حقوق الأطفال المعنيين، وذلك باتخاذ تدابير لإعادتهم إلى وطنهم أو اتخاذ غير ذلك من التدابير القنصلية. وتشمل هذه الظروف علاقة الدولة الطرف بقوات سوريا الديمقراطية، واستعداد هذه الأخيرة المعلن للتعاون في عمليات الإعادة إلى الوطن، وإعادة ما لا يقل </w:t>
      </w:r>
      <w:r w:rsidRPr="008D21E5">
        <w:rPr>
          <w:spacing w:val="-2"/>
          <w:rtl/>
        </w:rPr>
        <w:t xml:space="preserve">عن </w:t>
      </w:r>
      <w:r w:rsidRPr="00582767">
        <w:rPr>
          <w:spacing w:val="-2"/>
          <w:rtl/>
        </w:rPr>
        <w:t>26</w:t>
      </w:r>
      <w:r w:rsidRPr="008D21E5">
        <w:rPr>
          <w:spacing w:val="-2"/>
          <w:rtl/>
        </w:rPr>
        <w:t xml:space="preserve"> طفل</w:t>
      </w:r>
      <w:r w:rsidRPr="008D21E5">
        <w:rPr>
          <w:spacing w:val="-2"/>
          <w:rtl/>
        </w:rPr>
        <w:t>اً</w:t>
      </w:r>
      <w:r w:rsidRPr="008D21E5">
        <w:rPr>
          <w:spacing w:val="-2"/>
          <w:rtl/>
        </w:rPr>
        <w:t xml:space="preserve">، منذ عام </w:t>
      </w:r>
      <w:r w:rsidRPr="00582767">
        <w:rPr>
          <w:spacing w:val="-2"/>
          <w:rtl/>
        </w:rPr>
        <w:t>2019</w:t>
      </w:r>
      <w:r w:rsidRPr="008D21E5">
        <w:rPr>
          <w:spacing w:val="-2"/>
          <w:rtl/>
        </w:rPr>
        <w:t>، إلى وطنهم بنجاح من مخيمات شمال شرق الجمهورية العربية السورية</w:t>
      </w:r>
      <w:r w:rsidR="009770BA" w:rsidRPr="00582767">
        <w:rPr>
          <w:rStyle w:val="FootnoteReference"/>
          <w:spacing w:val="-2"/>
          <w:rtl/>
        </w:rPr>
        <w:t>(</w:t>
      </w:r>
      <w:r w:rsidR="009770BA" w:rsidRPr="00582767">
        <w:rPr>
          <w:rStyle w:val="FootnoteReference"/>
          <w:spacing w:val="-2"/>
          <w:lang w:val="en-US"/>
        </w:rPr>
        <w:footnoteReference w:id="24"/>
      </w:r>
      <w:r w:rsidR="009770BA" w:rsidRPr="009770BA">
        <w:rPr>
          <w:spacing w:val="-2"/>
          <w:vertAlign w:val="superscript"/>
          <w:rtl/>
        </w:rPr>
        <w:t>)</w:t>
      </w:r>
      <w:r w:rsidR="009770BA" w:rsidRPr="009770BA">
        <w:rPr>
          <w:spacing w:val="-2"/>
          <w:rtl/>
        </w:rPr>
        <w:t>.</w:t>
      </w:r>
    </w:p>
    <w:p w14:paraId="1EB3B179" w14:textId="2709652F" w:rsidR="00A02D6F" w:rsidRDefault="00A02D6F" w:rsidP="00555668">
      <w:pPr>
        <w:pStyle w:val="SingleTxtGA"/>
        <w:spacing w:line="350" w:lineRule="exact"/>
        <w:rPr>
          <w:rtl/>
        </w:rPr>
      </w:pPr>
      <w:r w:rsidRPr="00582767">
        <w:rPr>
          <w:rtl/>
        </w:rPr>
        <w:t>10</w:t>
      </w:r>
      <w:r>
        <w:rPr>
          <w:rtl/>
        </w:rPr>
        <w:t>-</w:t>
      </w:r>
      <w:r w:rsidRPr="00582767">
        <w:rPr>
          <w:rtl/>
        </w:rPr>
        <w:t>10</w:t>
      </w:r>
      <w:r>
        <w:rPr>
          <w:rtl/>
        </w:rPr>
        <w:tab/>
        <w:t>وفي ضوء ما تقدم، تخلص اللجنة إلى أن للدولة الطرف بالفعل الولاية القضائية على الأطفال موضوع البلاغ.</w:t>
      </w:r>
    </w:p>
    <w:p w14:paraId="6EAC43B3" w14:textId="104498F6" w:rsidR="00A02D6F" w:rsidRDefault="00A02D6F" w:rsidP="00555668">
      <w:pPr>
        <w:pStyle w:val="SingleTxtGA"/>
        <w:spacing w:line="350" w:lineRule="exact"/>
        <w:rPr>
          <w:rtl/>
        </w:rPr>
      </w:pPr>
      <w:r w:rsidRPr="00582767">
        <w:rPr>
          <w:rtl/>
        </w:rPr>
        <w:t>10</w:t>
      </w:r>
      <w:r>
        <w:rPr>
          <w:rtl/>
        </w:rPr>
        <w:t>-</w:t>
      </w:r>
      <w:r w:rsidRPr="00582767">
        <w:rPr>
          <w:rtl/>
        </w:rPr>
        <w:t>11</w:t>
      </w:r>
      <w:r>
        <w:rPr>
          <w:rtl/>
        </w:rPr>
        <w:tab/>
        <w:t xml:space="preserve">وترى اللجنة أن صاحبات البلاغ لم يقدمن أدلة كافية لإثبات ادعاءاتهن بموجب المادة </w:t>
      </w:r>
      <w:r w:rsidRPr="00582767">
        <w:rPr>
          <w:rtl/>
        </w:rPr>
        <w:t>40</w:t>
      </w:r>
      <w:r>
        <w:rPr>
          <w:rtl/>
        </w:rPr>
        <w:t xml:space="preserve"> من الاتفاقية والمادة </w:t>
      </w:r>
      <w:r w:rsidRPr="00582767">
        <w:rPr>
          <w:rtl/>
        </w:rPr>
        <w:t>7</w:t>
      </w:r>
      <w:r>
        <w:rPr>
          <w:rtl/>
        </w:rPr>
        <w:t xml:space="preserve"> من بروتوكولها الاختياري بشأن اشتراك الأطفال في المنازعات المسلحة، وتعلن عدم مقبوليتها بموجب المادة </w:t>
      </w:r>
      <w:r w:rsidRPr="00582767">
        <w:rPr>
          <w:rtl/>
        </w:rPr>
        <w:t>7</w:t>
      </w:r>
      <w:r>
        <w:rPr>
          <w:rtl/>
        </w:rPr>
        <w:t>(و) من البروتوكول الاختياري.</w:t>
      </w:r>
    </w:p>
    <w:p w14:paraId="61AE1493" w14:textId="77777777" w:rsidR="00A02D6F" w:rsidRDefault="00A02D6F" w:rsidP="00555668">
      <w:pPr>
        <w:pStyle w:val="SingleTxtGA"/>
        <w:spacing w:line="350" w:lineRule="exact"/>
        <w:rPr>
          <w:rtl/>
        </w:rPr>
      </w:pPr>
      <w:r w:rsidRPr="00582767">
        <w:rPr>
          <w:rtl/>
        </w:rPr>
        <w:t>10</w:t>
      </w:r>
      <w:r>
        <w:rPr>
          <w:rtl/>
        </w:rPr>
        <w:t>-</w:t>
      </w:r>
      <w:r w:rsidRPr="00582767">
        <w:rPr>
          <w:rtl/>
        </w:rPr>
        <w:t>12</w:t>
      </w:r>
      <w:r>
        <w:rPr>
          <w:rtl/>
        </w:rPr>
        <w:tab/>
      </w:r>
      <w:r w:rsidRPr="008D21E5">
        <w:rPr>
          <w:spacing w:val="-4"/>
          <w:rtl/>
        </w:rPr>
        <w:t xml:space="preserve">غير أن اللجنة ترى أن ادعاءات صاحبات البلاغ بموجب المواد </w:t>
      </w:r>
      <w:r w:rsidRPr="00582767">
        <w:rPr>
          <w:spacing w:val="-4"/>
          <w:rtl/>
        </w:rPr>
        <w:t>2</w:t>
      </w:r>
      <w:r w:rsidRPr="008D21E5">
        <w:rPr>
          <w:spacing w:val="-4"/>
          <w:rtl/>
        </w:rPr>
        <w:t>، و</w:t>
      </w:r>
      <w:r w:rsidRPr="00582767">
        <w:rPr>
          <w:spacing w:val="-4"/>
          <w:rtl/>
        </w:rPr>
        <w:t>6</w:t>
      </w:r>
      <w:r w:rsidRPr="008D21E5">
        <w:rPr>
          <w:spacing w:val="-4"/>
          <w:rtl/>
        </w:rPr>
        <w:t>، و</w:t>
      </w:r>
      <w:r w:rsidRPr="00582767">
        <w:rPr>
          <w:spacing w:val="-4"/>
          <w:rtl/>
        </w:rPr>
        <w:t>19</w:t>
      </w:r>
      <w:r w:rsidRPr="008D21E5">
        <w:rPr>
          <w:spacing w:val="-4"/>
          <w:rtl/>
        </w:rPr>
        <w:t>، و</w:t>
      </w:r>
      <w:r w:rsidRPr="00582767">
        <w:rPr>
          <w:spacing w:val="-4"/>
          <w:rtl/>
        </w:rPr>
        <w:t>20</w:t>
      </w:r>
      <w:r w:rsidRPr="008D21E5">
        <w:rPr>
          <w:spacing w:val="-4"/>
          <w:rtl/>
        </w:rPr>
        <w:t>، و</w:t>
      </w:r>
      <w:r w:rsidRPr="00582767">
        <w:rPr>
          <w:spacing w:val="-4"/>
          <w:rtl/>
        </w:rPr>
        <w:t>24</w:t>
      </w:r>
      <w:r w:rsidRPr="008D21E5">
        <w:rPr>
          <w:spacing w:val="-4"/>
          <w:rtl/>
        </w:rPr>
        <w:t>، و</w:t>
      </w:r>
      <w:r w:rsidRPr="00582767">
        <w:rPr>
          <w:spacing w:val="-4"/>
          <w:rtl/>
        </w:rPr>
        <w:t>27</w:t>
      </w:r>
      <w:r w:rsidRPr="008D21E5">
        <w:rPr>
          <w:spacing w:val="-4"/>
          <w:rtl/>
        </w:rPr>
        <w:t>،</w:t>
      </w:r>
      <w:r>
        <w:rPr>
          <w:rtl/>
        </w:rPr>
        <w:t xml:space="preserve"> و</w:t>
      </w:r>
      <w:r w:rsidRPr="00582767">
        <w:rPr>
          <w:rtl/>
        </w:rPr>
        <w:t>28</w:t>
      </w:r>
      <w:r>
        <w:rPr>
          <w:rtl/>
        </w:rPr>
        <w:t>، و</w:t>
      </w:r>
      <w:r w:rsidRPr="00582767">
        <w:rPr>
          <w:rtl/>
        </w:rPr>
        <w:t>37</w:t>
      </w:r>
      <w:r>
        <w:rPr>
          <w:rtl/>
        </w:rPr>
        <w:t>، و</w:t>
      </w:r>
      <w:r w:rsidRPr="00582767">
        <w:rPr>
          <w:rtl/>
        </w:rPr>
        <w:t>39</w:t>
      </w:r>
      <w:r>
        <w:rPr>
          <w:rtl/>
        </w:rPr>
        <w:t xml:space="preserve"> من الاتفاقية تدعمها أدلة كافية، وتشرع في النظر فيها من حيث أسسها الموضوعية.</w:t>
      </w:r>
    </w:p>
    <w:p w14:paraId="6E5830A1" w14:textId="77777777" w:rsidR="00A02D6F" w:rsidRPr="00582767" w:rsidRDefault="00A02D6F" w:rsidP="00555668">
      <w:pPr>
        <w:pStyle w:val="H4GA"/>
        <w:rPr>
          <w:rtl/>
        </w:rPr>
      </w:pPr>
      <w:r w:rsidRPr="00582767">
        <w:rPr>
          <w:rtl/>
        </w:rPr>
        <w:tab/>
      </w:r>
      <w:r w:rsidRPr="00582767">
        <w:rPr>
          <w:rtl/>
        </w:rPr>
        <w:tab/>
        <w:t>النظر في الأسس الموضوعية</w:t>
      </w:r>
    </w:p>
    <w:p w14:paraId="484E798A" w14:textId="6E2E3961" w:rsidR="00A02D6F" w:rsidRDefault="00A02D6F" w:rsidP="00555668">
      <w:pPr>
        <w:pStyle w:val="SingleTxtGA"/>
        <w:spacing w:line="350" w:lineRule="exact"/>
        <w:rPr>
          <w:rtl/>
        </w:rPr>
      </w:pPr>
      <w:r w:rsidRPr="00582767">
        <w:rPr>
          <w:rtl/>
        </w:rPr>
        <w:t>11</w:t>
      </w:r>
      <w:r>
        <w:rPr>
          <w:rtl/>
        </w:rPr>
        <w:t>-</w:t>
      </w:r>
      <w:r w:rsidRPr="00582767">
        <w:rPr>
          <w:rtl/>
        </w:rPr>
        <w:t>1</w:t>
      </w:r>
      <w:r>
        <w:rPr>
          <w:rtl/>
        </w:rPr>
        <w:tab/>
      </w:r>
      <w:r w:rsidRPr="008D21E5">
        <w:rPr>
          <w:spacing w:val="-4"/>
          <w:rtl/>
        </w:rPr>
        <w:t xml:space="preserve">نظرت اللجنة في هذا البلاغ في ضوء جميع المعلومات التي أتاحها لها الطرفان، وفقاً للمادة </w:t>
      </w:r>
      <w:r w:rsidRPr="00582767">
        <w:rPr>
          <w:spacing w:val="-4"/>
          <w:rtl/>
        </w:rPr>
        <w:t>10</w:t>
      </w:r>
      <w:r w:rsidRPr="008D21E5">
        <w:rPr>
          <w:spacing w:val="-4"/>
          <w:rtl/>
        </w:rPr>
        <w:t>(</w:t>
      </w:r>
      <w:r w:rsidR="009770BA" w:rsidRPr="00582767">
        <w:rPr>
          <w:spacing w:val="-4"/>
          <w:rtl/>
        </w:rPr>
        <w:t>1</w:t>
      </w:r>
      <w:r w:rsidR="009770BA" w:rsidRPr="009770BA">
        <w:rPr>
          <w:spacing w:val="-4"/>
          <w:rtl/>
        </w:rPr>
        <w:t xml:space="preserve">) </w:t>
      </w:r>
      <w:r>
        <w:rPr>
          <w:rtl/>
        </w:rPr>
        <w:t>من البروتوكول الاختياري.</w:t>
      </w:r>
    </w:p>
    <w:p w14:paraId="05997017" w14:textId="0BBF6434" w:rsidR="00A02D6F" w:rsidRDefault="00A02D6F" w:rsidP="00A02D6F">
      <w:pPr>
        <w:pStyle w:val="SingleTxtGA"/>
        <w:rPr>
          <w:rtl/>
        </w:rPr>
      </w:pPr>
      <w:r w:rsidRPr="00582767">
        <w:rPr>
          <w:rtl/>
        </w:rPr>
        <w:lastRenderedPageBreak/>
        <w:t>11</w:t>
      </w:r>
      <w:r>
        <w:rPr>
          <w:rtl/>
        </w:rPr>
        <w:t>-</w:t>
      </w:r>
      <w:r w:rsidRPr="00582767">
        <w:rPr>
          <w:rtl/>
        </w:rPr>
        <w:t>2</w:t>
      </w:r>
      <w:r>
        <w:rPr>
          <w:rtl/>
        </w:rPr>
        <w:tab/>
        <w:t xml:space="preserve">ويتعين على اللجنة على وجه الخصوص البت، في القضية محل النظر، في مسألة ما إن كان </w:t>
      </w:r>
      <w:r w:rsidRPr="008D21E5">
        <w:rPr>
          <w:spacing w:val="-2"/>
          <w:rtl/>
        </w:rPr>
        <w:t>عدم اعتماد الدولة الطرف تدابير الحماية المكفولة للأطفال الضحايا المحتجزين في مخيم الهول يشكل انتهاكاً</w:t>
      </w:r>
      <w:r>
        <w:rPr>
          <w:rtl/>
        </w:rPr>
        <w:t xml:space="preserve"> </w:t>
      </w:r>
      <w:r w:rsidRPr="008D21E5">
        <w:rPr>
          <w:spacing w:val="-2"/>
          <w:rtl/>
        </w:rPr>
        <w:t>لحقوقهم المكرسة في الاتفاقية. وتتهم صاحبات البلاغ الدولة الطرف تحديد</w:t>
      </w:r>
      <w:r w:rsidRPr="008D21E5">
        <w:rPr>
          <w:spacing w:val="-2"/>
          <w:rtl/>
        </w:rPr>
        <w:t>اً</w:t>
      </w:r>
      <w:r w:rsidRPr="008D21E5">
        <w:rPr>
          <w:spacing w:val="-2"/>
          <w:rtl/>
        </w:rPr>
        <w:t xml:space="preserve"> بعدم إعادة الأطفال إلى وطنهم</w:t>
      </w:r>
      <w:r>
        <w:rPr>
          <w:rtl/>
        </w:rPr>
        <w:t>، ويدعين أن إعادة هؤلاء إلى وطنهم هي الوسيلة الوحيدة الممكنة لضمان حصولهم على الرعاية الصحية اللازمة، فضل</w:t>
      </w:r>
      <w:r>
        <w:rPr>
          <w:rtl/>
        </w:rPr>
        <w:t>اً</w:t>
      </w:r>
      <w:r>
        <w:rPr>
          <w:rtl/>
        </w:rPr>
        <w:t xml:space="preserve"> عن حقهم في الحياة والنمو، وحمايتهم من الاحتجاز التعسفي وسوء المعاملة.</w:t>
      </w:r>
    </w:p>
    <w:p w14:paraId="6A6DC45F" w14:textId="699E5B05" w:rsidR="00A02D6F" w:rsidRPr="008D21E5" w:rsidRDefault="00A02D6F" w:rsidP="00A02D6F">
      <w:pPr>
        <w:pStyle w:val="SingleTxtGA"/>
        <w:rPr>
          <w:spacing w:val="-2"/>
          <w:rtl/>
        </w:rPr>
      </w:pPr>
      <w:r w:rsidRPr="00582767">
        <w:rPr>
          <w:spacing w:val="-2"/>
          <w:rtl/>
        </w:rPr>
        <w:t>11</w:t>
      </w:r>
      <w:r w:rsidRPr="008D21E5">
        <w:rPr>
          <w:spacing w:val="-2"/>
          <w:rtl/>
        </w:rPr>
        <w:t>-</w:t>
      </w:r>
      <w:r w:rsidRPr="00582767">
        <w:rPr>
          <w:spacing w:val="-2"/>
          <w:rtl/>
        </w:rPr>
        <w:t>3</w:t>
      </w:r>
      <w:r w:rsidRPr="008D21E5">
        <w:rPr>
          <w:spacing w:val="-2"/>
          <w:rtl/>
        </w:rPr>
        <w:tab/>
        <w:t>وتحيط اللجنة علم</w:t>
      </w:r>
      <w:r w:rsidRPr="008D21E5">
        <w:rPr>
          <w:spacing w:val="-2"/>
          <w:rtl/>
        </w:rPr>
        <w:t>اً</w:t>
      </w:r>
      <w:r w:rsidRPr="008D21E5">
        <w:rPr>
          <w:spacing w:val="-2"/>
          <w:rtl/>
        </w:rPr>
        <w:t xml:space="preserve"> بحجة الدولة الطرف بأن إعادة الأطفال الفنلنديين المحتجزين في مخيم الهول إلى وطنهم لا تتوقف على استعداد الدولة الطرف فحسب، بل تتوقف</w:t>
      </w:r>
      <w:r w:rsidR="006E3C06" w:rsidRPr="008D21E5">
        <w:rPr>
          <w:spacing w:val="-2"/>
          <w:rtl/>
        </w:rPr>
        <w:t xml:space="preserve"> أيضاً </w:t>
      </w:r>
      <w:r w:rsidRPr="008D21E5">
        <w:rPr>
          <w:spacing w:val="-2"/>
          <w:rtl/>
        </w:rPr>
        <w:t xml:space="preserve">على موافقة السلطات في شمال شرق الجمهورية العربية السورية وموافقة أمهات الأطفال. وتؤكد اللجنة مجدداً النقطة التي أثارتها في قضايا مماثلة سابقة تعلقت بالإعادة إلى الوطن رُفعت ضد </w:t>
      </w:r>
      <w:proofErr w:type="gramStart"/>
      <w:r w:rsidRPr="008D21E5">
        <w:rPr>
          <w:spacing w:val="-2"/>
          <w:rtl/>
        </w:rPr>
        <w:t>فرنسا</w:t>
      </w:r>
      <w:r w:rsidR="009770BA" w:rsidRPr="00582767">
        <w:rPr>
          <w:spacing w:val="-2"/>
          <w:vertAlign w:val="superscript"/>
          <w:rtl/>
        </w:rPr>
        <w:t>(</w:t>
      </w:r>
      <w:proofErr w:type="gramEnd"/>
      <w:r w:rsidR="009770BA" w:rsidRPr="00582767">
        <w:rPr>
          <w:spacing w:val="-2"/>
          <w:vertAlign w:val="superscript"/>
          <w:lang w:val="en-US"/>
        </w:rPr>
        <w:footnoteReference w:id="25"/>
      </w:r>
      <w:r w:rsidR="009770BA" w:rsidRPr="009770BA">
        <w:rPr>
          <w:spacing w:val="-2"/>
          <w:vertAlign w:val="superscript"/>
          <w:rtl/>
        </w:rPr>
        <w:t>)</w:t>
      </w:r>
      <w:r w:rsidR="009770BA" w:rsidRPr="009770BA">
        <w:rPr>
          <w:spacing w:val="-2"/>
          <w:rtl/>
        </w:rPr>
        <w:t>،</w:t>
      </w:r>
      <w:r w:rsidR="009770BA" w:rsidRPr="009770BA">
        <w:rPr>
          <w:spacing w:val="-2"/>
          <w:rtl/>
        </w:rPr>
        <w:t xml:space="preserve"> </w:t>
      </w:r>
      <w:r w:rsidRPr="008D21E5">
        <w:rPr>
          <w:spacing w:val="-2"/>
          <w:rtl/>
        </w:rPr>
        <w:t xml:space="preserve">وترى أن للدولة الطرف، بصفتها الدولة التي يحمل الأطفال جنسيتها، وبحكم المعلومات المتاحة لها عن الأطفال الفنلنديين المحتجزين في مخيم الهول، وبالنظر إلى علاقتها مع السلطات السورية، القدرةَ والسلطةَ لحماية حقوق الأطفال المعنيين باتخاذ إجراءات لإعادتهم إلى وطنهم، أو إتاحة غير ذلك من الخدمات القنصلية. وتتجلى هذه القدرة في أن الدولة الطرف نجحت بالفعل في إعادة ما لا يقل عن </w:t>
      </w:r>
      <w:r w:rsidRPr="00582767">
        <w:rPr>
          <w:spacing w:val="-2"/>
          <w:rtl/>
        </w:rPr>
        <w:t>26</w:t>
      </w:r>
      <w:r w:rsidRPr="008D21E5">
        <w:rPr>
          <w:spacing w:val="-2"/>
          <w:rtl/>
        </w:rPr>
        <w:t xml:space="preserve"> طفل</w:t>
      </w:r>
      <w:r w:rsidRPr="008D21E5">
        <w:rPr>
          <w:spacing w:val="-2"/>
          <w:rtl/>
        </w:rPr>
        <w:t>اً</w:t>
      </w:r>
      <w:r w:rsidRPr="008D21E5">
        <w:rPr>
          <w:spacing w:val="-2"/>
          <w:rtl/>
        </w:rPr>
        <w:t xml:space="preserve"> فنلندي</w:t>
      </w:r>
      <w:r w:rsidRPr="008D21E5">
        <w:rPr>
          <w:spacing w:val="-2"/>
          <w:rtl/>
        </w:rPr>
        <w:t>اً</w:t>
      </w:r>
      <w:r w:rsidRPr="008D21E5">
        <w:rPr>
          <w:spacing w:val="-2"/>
          <w:rtl/>
        </w:rPr>
        <w:t xml:space="preserve"> إلى وطنهم ولم تُبلغ بأي حادث وقع عند إعادتهم إلى وطنهم، باستثناء التأخير الذي طرأ على المفاوضات مع السلطات المحلية، أو رفض قوات سوريا الديمقراطية التعاون معها. وتلاحظ اللجنة أن قادة قوات سوريا الديمقراطية أعربوا، على العكس من ذلك، مراراً عن رغبتهم في أن يُعاد جميع الرعايا الأجانب المحتجزين في المخيمات إلى بلدان جنسياتهم، وهو ما أتاح للدولة الطرف تقرير ما إذا كانت ستمضي قدم</w:t>
      </w:r>
      <w:r w:rsidRPr="008D21E5">
        <w:rPr>
          <w:spacing w:val="-2"/>
          <w:rtl/>
        </w:rPr>
        <w:t>اً</w:t>
      </w:r>
      <w:r w:rsidRPr="008D21E5">
        <w:rPr>
          <w:spacing w:val="-2"/>
          <w:rtl/>
        </w:rPr>
        <w:t xml:space="preserve"> في إعادتهم إلى وطنهم أم لا.</w:t>
      </w:r>
    </w:p>
    <w:p w14:paraId="10135C30" w14:textId="56BBAE6B" w:rsidR="00A02D6F" w:rsidRDefault="00A02D6F" w:rsidP="00A02D6F">
      <w:pPr>
        <w:pStyle w:val="SingleTxtGA"/>
        <w:rPr>
          <w:rtl/>
        </w:rPr>
      </w:pPr>
      <w:r w:rsidRPr="00582767">
        <w:rPr>
          <w:rtl/>
        </w:rPr>
        <w:t>11</w:t>
      </w:r>
      <w:r>
        <w:rPr>
          <w:rtl/>
        </w:rPr>
        <w:t>-</w:t>
      </w:r>
      <w:r w:rsidRPr="00582767">
        <w:rPr>
          <w:rtl/>
        </w:rPr>
        <w:t>4</w:t>
      </w:r>
      <w:r>
        <w:rPr>
          <w:rtl/>
        </w:rPr>
        <w:tab/>
      </w:r>
      <w:r w:rsidRPr="00061139">
        <w:rPr>
          <w:spacing w:val="-2"/>
          <w:rtl/>
        </w:rPr>
        <w:t>وتحيط اللجنة علم</w:t>
      </w:r>
      <w:r w:rsidRPr="00061139">
        <w:rPr>
          <w:spacing w:val="-2"/>
          <w:rtl/>
        </w:rPr>
        <w:t>اً</w:t>
      </w:r>
      <w:r w:rsidRPr="00061139">
        <w:rPr>
          <w:spacing w:val="-2"/>
          <w:rtl/>
        </w:rPr>
        <w:t xml:space="preserve"> بحجة صاحبات البلاغ بأن الأطفال الضحايا، ومعظمهم من الأطفال الصغار،</w:t>
      </w:r>
      <w:r>
        <w:rPr>
          <w:rtl/>
        </w:rPr>
        <w:t xml:space="preserve"> مهددون بالموت في مخيم الهول الذي تسيطر عليه قوات سوريا الديمقراطية ويقع في منطقة حرب. فهؤلاء الأطفال يعيشون ظروف</w:t>
      </w:r>
      <w:r>
        <w:rPr>
          <w:rtl/>
        </w:rPr>
        <w:t>اً</w:t>
      </w:r>
      <w:r>
        <w:rPr>
          <w:rtl/>
        </w:rPr>
        <w:t xml:space="preserve"> صحية غير إنسانية، ويفتقرون إلى الضروريات الأساسية، بما في ذلك المياه والغذاء والرعاية الصحية، ويواجهون من ثم خطر</w:t>
      </w:r>
      <w:r>
        <w:rPr>
          <w:rtl/>
        </w:rPr>
        <w:t>اً</w:t>
      </w:r>
      <w:r>
        <w:rPr>
          <w:rtl/>
        </w:rPr>
        <w:t xml:space="preserve"> وشيك</w:t>
      </w:r>
      <w:r>
        <w:rPr>
          <w:rtl/>
        </w:rPr>
        <w:t>اً</w:t>
      </w:r>
      <w:r>
        <w:rPr>
          <w:rtl/>
        </w:rPr>
        <w:t xml:space="preserve"> بالموت. وتذكّر اللجنة بأن الدول الأطراف ملزمة باعتماد تدابير إيجابية للإعمال الكامل لحقوق جميع الأطفال الخاضعين لولايتها، وذلك عمل</w:t>
      </w:r>
      <w:r>
        <w:rPr>
          <w:rtl/>
        </w:rPr>
        <w:t>اً</w:t>
      </w:r>
      <w:r>
        <w:rPr>
          <w:rtl/>
        </w:rPr>
        <w:t xml:space="preserve"> بالمادة </w:t>
      </w:r>
      <w:r w:rsidRPr="00582767">
        <w:rPr>
          <w:rtl/>
        </w:rPr>
        <w:t>4</w:t>
      </w:r>
      <w:r>
        <w:rPr>
          <w:rtl/>
        </w:rPr>
        <w:t xml:space="preserve"> من الاتفاقية. وترى اللجنة أن هذا الالتزام يصبح مشدداً بوجه خاص عندما يتعلق الأمر بحماية الأطفال من سوء المعاملة والانتهاكات المحتملة لحقهم في الحياة</w:t>
      </w:r>
      <w:r w:rsidR="009770BA" w:rsidRPr="00582767">
        <w:rPr>
          <w:rStyle w:val="FootnoteReference"/>
          <w:rtl/>
        </w:rPr>
        <w:t>(</w:t>
      </w:r>
      <w:r w:rsidR="009770BA" w:rsidRPr="00582767">
        <w:rPr>
          <w:rStyle w:val="FootnoteReference"/>
          <w:lang w:val="en-US"/>
        </w:rPr>
        <w:footnoteReference w:id="26"/>
      </w:r>
      <w:r w:rsidR="009770BA" w:rsidRPr="009770BA">
        <w:rPr>
          <w:vertAlign w:val="superscript"/>
          <w:rtl/>
        </w:rPr>
        <w:t>)</w:t>
      </w:r>
      <w:r w:rsidR="009770BA" w:rsidRPr="009770BA">
        <w:rPr>
          <w:rtl/>
        </w:rPr>
        <w:t>.</w:t>
      </w:r>
      <w:r w:rsidR="009770BA" w:rsidRPr="009770BA">
        <w:rPr>
          <w:rtl/>
        </w:rPr>
        <w:t xml:space="preserve"> </w:t>
      </w:r>
      <w:r>
        <w:rPr>
          <w:rtl/>
        </w:rPr>
        <w:t xml:space="preserve">وفي هذه القضية، تلاحظ اللجنة أن خطر الموت الوشيك الذي </w:t>
      </w:r>
      <w:proofErr w:type="spellStart"/>
      <w:r>
        <w:rPr>
          <w:rtl/>
        </w:rPr>
        <w:t>يواجهه</w:t>
      </w:r>
      <w:proofErr w:type="spellEnd"/>
      <w:r>
        <w:rPr>
          <w:rtl/>
        </w:rPr>
        <w:t xml:space="preserve"> الأطفال المحتجزون في مخيمات بالجمهورية العربية السورية أُشير إليه في عدة تقارير، بما في ذلك ضمن ورقة غرفة اجتماعات للجنة التحقيق الدولية المستقلة المعنية بالجمهورية العربية السورية التي قُدمت إلى مجلس حقوق الإنسان في دورته الثالثة والأربعين. والدولة الطرف تدرك جيد</w:t>
      </w:r>
      <w:r>
        <w:rPr>
          <w:rtl/>
        </w:rPr>
        <w:t>اً</w:t>
      </w:r>
      <w:r>
        <w:rPr>
          <w:rtl/>
        </w:rPr>
        <w:t xml:space="preserve"> هذه الحالة، وأعادت العديد من الأطفال من تلقاء نفسها إلى وطنهم.</w:t>
      </w:r>
    </w:p>
    <w:p w14:paraId="2E91F024" w14:textId="32ACD9C7" w:rsidR="009770BA" w:rsidRPr="009770BA" w:rsidRDefault="00A02D6F" w:rsidP="00A02D6F">
      <w:pPr>
        <w:pStyle w:val="SingleTxtGA"/>
        <w:rPr>
          <w:rtl/>
        </w:rPr>
      </w:pPr>
      <w:r w:rsidRPr="00582767">
        <w:rPr>
          <w:rtl/>
        </w:rPr>
        <w:t>11</w:t>
      </w:r>
      <w:r>
        <w:rPr>
          <w:rtl/>
        </w:rPr>
        <w:t>-</w:t>
      </w:r>
      <w:r w:rsidRPr="00582767">
        <w:rPr>
          <w:rtl/>
        </w:rPr>
        <w:t>5</w:t>
      </w:r>
      <w:r>
        <w:rPr>
          <w:rtl/>
        </w:rPr>
        <w:tab/>
        <w:t xml:space="preserve">وفيما يتعلق بالمادة </w:t>
      </w:r>
      <w:r w:rsidRPr="00582767">
        <w:rPr>
          <w:rtl/>
        </w:rPr>
        <w:t>6</w:t>
      </w:r>
      <w:r>
        <w:rPr>
          <w:rtl/>
        </w:rPr>
        <w:t xml:space="preserve"> من الاتفاقية، تحيط اللجنة علم</w:t>
      </w:r>
      <w:r>
        <w:rPr>
          <w:rtl/>
        </w:rPr>
        <w:t>اً</w:t>
      </w:r>
      <w:r>
        <w:rPr>
          <w:rtl/>
        </w:rPr>
        <w:t xml:space="preserve"> بحجج صاحبات البلاغ، المدعومة بالأدلة، بأن الظروف المعيشية المذكورة، بما في ذلك نقص الغذاء والمياه، تشكل تهديد</w:t>
      </w:r>
      <w:r>
        <w:rPr>
          <w:rtl/>
        </w:rPr>
        <w:t>اً</w:t>
      </w:r>
      <w:r>
        <w:rPr>
          <w:rtl/>
        </w:rPr>
        <w:t xml:space="preserve"> بالموت وشيك</w:t>
      </w:r>
      <w:r>
        <w:rPr>
          <w:rtl/>
        </w:rPr>
        <w:t>اً</w:t>
      </w:r>
      <w:r>
        <w:rPr>
          <w:rtl/>
        </w:rPr>
        <w:t xml:space="preserve"> ومتوقع</w:t>
      </w:r>
      <w:r>
        <w:rPr>
          <w:rtl/>
        </w:rPr>
        <w:t>اً</w:t>
      </w:r>
      <w:r>
        <w:rPr>
          <w:rtl/>
        </w:rPr>
        <w:t xml:space="preserve"> لجميع الأطفال المحتجزين في مخيم الهول. وتلاحظ اللجنة أن الدولة الطرف لا تنكر أن الظروف السائدة في المخيم لا تختلف عما وصفت صاحبات البلاغ. وفي ضوء ما تقدم، ترى اللجنة أن هناك معلومات كافية تثبت أن ظروف الاحتجاز تشكل تهديد</w:t>
      </w:r>
      <w:r>
        <w:rPr>
          <w:rtl/>
        </w:rPr>
        <w:t>اً</w:t>
      </w:r>
      <w:r>
        <w:rPr>
          <w:rtl/>
        </w:rPr>
        <w:t xml:space="preserve"> بالموت وشيك</w:t>
      </w:r>
      <w:r>
        <w:rPr>
          <w:rtl/>
        </w:rPr>
        <w:t>اً</w:t>
      </w:r>
      <w:r>
        <w:rPr>
          <w:rtl/>
        </w:rPr>
        <w:t xml:space="preserve"> ومتوقع</w:t>
      </w:r>
      <w:r>
        <w:rPr>
          <w:rtl/>
        </w:rPr>
        <w:t>اً</w:t>
      </w:r>
      <w:r>
        <w:rPr>
          <w:rtl/>
        </w:rPr>
        <w:t xml:space="preserve"> للأطفال الضحايا، وأن عدم حماية الدولة الطرف لهم يشكل انتهاك</w:t>
      </w:r>
      <w:r>
        <w:rPr>
          <w:rtl/>
        </w:rPr>
        <w:t>اً</w:t>
      </w:r>
      <w:r>
        <w:rPr>
          <w:rtl/>
        </w:rPr>
        <w:t xml:space="preserve"> للمادة </w:t>
      </w:r>
      <w:r w:rsidRPr="00582767">
        <w:rPr>
          <w:rtl/>
        </w:rPr>
        <w:t>6</w:t>
      </w:r>
      <w:r>
        <w:rPr>
          <w:rtl/>
        </w:rPr>
        <w:t>(</w:t>
      </w:r>
      <w:r w:rsidR="009770BA" w:rsidRPr="00582767">
        <w:rPr>
          <w:rtl/>
        </w:rPr>
        <w:t>1</w:t>
      </w:r>
      <w:r w:rsidR="009770BA" w:rsidRPr="009770BA">
        <w:rPr>
          <w:rtl/>
        </w:rPr>
        <w:t xml:space="preserve">) </w:t>
      </w:r>
      <w:r>
        <w:rPr>
          <w:rtl/>
        </w:rPr>
        <w:t>من الاتفاقية</w:t>
      </w:r>
      <w:r w:rsidR="009770BA" w:rsidRPr="00582767">
        <w:rPr>
          <w:rStyle w:val="FootnoteReference"/>
          <w:rtl/>
        </w:rPr>
        <w:t>(</w:t>
      </w:r>
      <w:r w:rsidR="009770BA" w:rsidRPr="00582767">
        <w:rPr>
          <w:rStyle w:val="FootnoteReference"/>
          <w:lang w:val="en-US"/>
        </w:rPr>
        <w:footnoteReference w:id="27"/>
      </w:r>
      <w:r w:rsidR="009770BA" w:rsidRPr="009770BA">
        <w:rPr>
          <w:vertAlign w:val="superscript"/>
          <w:rtl/>
        </w:rPr>
        <w:t>)</w:t>
      </w:r>
      <w:r w:rsidR="009770BA" w:rsidRPr="009770BA">
        <w:rPr>
          <w:rtl/>
        </w:rPr>
        <w:t>.</w:t>
      </w:r>
    </w:p>
    <w:p w14:paraId="0686CC95" w14:textId="36CB42BE" w:rsidR="009770BA" w:rsidRPr="009770BA" w:rsidRDefault="00A02D6F" w:rsidP="00A02D6F">
      <w:pPr>
        <w:pStyle w:val="SingleTxtGA"/>
        <w:rPr>
          <w:rtl/>
        </w:rPr>
      </w:pPr>
      <w:r w:rsidRPr="00582767">
        <w:rPr>
          <w:rtl/>
        </w:rPr>
        <w:lastRenderedPageBreak/>
        <w:t>11</w:t>
      </w:r>
      <w:r>
        <w:rPr>
          <w:rtl/>
        </w:rPr>
        <w:t>-</w:t>
      </w:r>
      <w:r w:rsidRPr="00582767">
        <w:rPr>
          <w:rtl/>
        </w:rPr>
        <w:t>6</w:t>
      </w:r>
      <w:r>
        <w:rPr>
          <w:rtl/>
        </w:rPr>
        <w:tab/>
      </w:r>
      <w:r w:rsidRPr="008D21E5">
        <w:rPr>
          <w:spacing w:val="-2"/>
          <w:rtl/>
        </w:rPr>
        <w:t xml:space="preserve">وفيما يخص ادعاءات صاحبات البلاغ بموجب المادة </w:t>
      </w:r>
      <w:r w:rsidRPr="00582767">
        <w:rPr>
          <w:spacing w:val="-2"/>
          <w:rtl/>
        </w:rPr>
        <w:t>37</w:t>
      </w:r>
      <w:r w:rsidRPr="008D21E5">
        <w:rPr>
          <w:spacing w:val="-2"/>
          <w:rtl/>
        </w:rPr>
        <w:t xml:space="preserve"> من الاتفاقية، ترى اللجنة أن هناك أدلة</w:t>
      </w:r>
      <w:r>
        <w:rPr>
          <w:rtl/>
        </w:rPr>
        <w:t xml:space="preserve"> </w:t>
      </w:r>
      <w:r w:rsidRPr="008D21E5">
        <w:rPr>
          <w:spacing w:val="-2"/>
          <w:rtl/>
        </w:rPr>
        <w:t>كافية تثبت أن الاحتجاز المطول للأطفال الضحايا في المخيمات في الظروف المذكورة، بما في ذلك انعدام</w:t>
      </w:r>
      <w:r>
        <w:rPr>
          <w:rtl/>
        </w:rPr>
        <w:t xml:space="preserve"> الرعاية الصحية والغذاء والمياه والمرافق الصحية والتعليم على وجه الخصوص، يشكل معاملة أو عقوبة قاسية أو لا إنسانية أو مهينة، وأن في ذلك انتهاك</w:t>
      </w:r>
      <w:r>
        <w:rPr>
          <w:rtl/>
        </w:rPr>
        <w:t>اً</w:t>
      </w:r>
      <w:r>
        <w:rPr>
          <w:rtl/>
        </w:rPr>
        <w:t xml:space="preserve"> للمادة </w:t>
      </w:r>
      <w:r w:rsidRPr="00582767">
        <w:rPr>
          <w:rtl/>
        </w:rPr>
        <w:t>37</w:t>
      </w:r>
      <w:r>
        <w:rPr>
          <w:rtl/>
        </w:rPr>
        <w:t>(أ) من الاتفاقية</w:t>
      </w:r>
      <w:r w:rsidR="009770BA" w:rsidRPr="00582767">
        <w:rPr>
          <w:rStyle w:val="FootnoteReference"/>
          <w:rtl/>
        </w:rPr>
        <w:t>(</w:t>
      </w:r>
      <w:r w:rsidR="009770BA" w:rsidRPr="00582767">
        <w:rPr>
          <w:rStyle w:val="FootnoteReference"/>
          <w:lang w:val="en-US"/>
        </w:rPr>
        <w:footnoteReference w:id="28"/>
      </w:r>
      <w:r w:rsidR="009770BA" w:rsidRPr="009770BA">
        <w:rPr>
          <w:vertAlign w:val="superscript"/>
          <w:rtl/>
        </w:rPr>
        <w:t>)</w:t>
      </w:r>
      <w:r w:rsidR="009770BA" w:rsidRPr="009770BA">
        <w:rPr>
          <w:rtl/>
        </w:rPr>
        <w:t>.</w:t>
      </w:r>
    </w:p>
    <w:p w14:paraId="2DD68DC2" w14:textId="6E13ACE0" w:rsidR="009770BA" w:rsidRPr="009770BA" w:rsidRDefault="00A02D6F" w:rsidP="00A02D6F">
      <w:pPr>
        <w:pStyle w:val="SingleTxtGA"/>
        <w:rPr>
          <w:rtl/>
        </w:rPr>
      </w:pPr>
      <w:r w:rsidRPr="00582767">
        <w:rPr>
          <w:rtl/>
        </w:rPr>
        <w:t>11</w:t>
      </w:r>
      <w:r>
        <w:rPr>
          <w:rtl/>
        </w:rPr>
        <w:t>-</w:t>
      </w:r>
      <w:r w:rsidRPr="00582767">
        <w:rPr>
          <w:rtl/>
        </w:rPr>
        <w:t>7</w:t>
      </w:r>
      <w:r>
        <w:rPr>
          <w:rtl/>
        </w:rPr>
        <w:tab/>
        <w:t>وبالنظر إلى أن الدولة الطرف على علم بالاحتجاز المطول لهؤلاء الأطفال الفنلنديين في ظروف تهدد حياتهم، وأنها قادرة على اتخاذ إجراءات بشأن ذلك، ترى اللجنة أن على الدولة الطرف التزام</w:t>
      </w:r>
      <w:r>
        <w:rPr>
          <w:rtl/>
        </w:rPr>
        <w:t>اً</w:t>
      </w:r>
      <w:r>
        <w:rPr>
          <w:rtl/>
        </w:rPr>
        <w:t xml:space="preserve"> إيجابي</w:t>
      </w:r>
      <w:r>
        <w:rPr>
          <w:rtl/>
        </w:rPr>
        <w:t>اً</w:t>
      </w:r>
      <w:r>
        <w:rPr>
          <w:rtl/>
        </w:rPr>
        <w:t xml:space="preserve"> بحماية الأطفال من خطر وشيك بانتهاك حقهم في الحياة وانتهاك فعلي لحقهم في عدم التعرض لمعاملة قاسية و</w:t>
      </w:r>
      <w:r w:rsidR="00BA181F">
        <w:rPr>
          <w:rtl/>
        </w:rPr>
        <w:t>لا إنسانية</w:t>
      </w:r>
      <w:r>
        <w:rPr>
          <w:rtl/>
        </w:rPr>
        <w:t xml:space="preserve"> أو مهينة</w:t>
      </w:r>
      <w:r w:rsidR="009770BA" w:rsidRPr="00582767">
        <w:rPr>
          <w:rStyle w:val="FootnoteReference"/>
          <w:rtl/>
        </w:rPr>
        <w:t>(</w:t>
      </w:r>
      <w:r w:rsidR="009770BA" w:rsidRPr="00582767">
        <w:rPr>
          <w:rStyle w:val="FootnoteReference"/>
          <w:lang w:val="en-US"/>
        </w:rPr>
        <w:footnoteReference w:id="29"/>
      </w:r>
      <w:r w:rsidR="009770BA" w:rsidRPr="009770BA">
        <w:rPr>
          <w:vertAlign w:val="superscript"/>
          <w:rtl/>
        </w:rPr>
        <w:t>)</w:t>
      </w:r>
      <w:r w:rsidR="009770BA" w:rsidRPr="009770BA">
        <w:rPr>
          <w:rtl/>
        </w:rPr>
        <w:t>.</w:t>
      </w:r>
    </w:p>
    <w:p w14:paraId="3597B977" w14:textId="3D358A80" w:rsidR="009770BA" w:rsidRPr="009770BA" w:rsidRDefault="00A02D6F" w:rsidP="00A02D6F">
      <w:pPr>
        <w:pStyle w:val="SingleTxtGA"/>
        <w:rPr>
          <w:rtl/>
        </w:rPr>
      </w:pPr>
      <w:r w:rsidRPr="00582767">
        <w:rPr>
          <w:rtl/>
        </w:rPr>
        <w:t>11</w:t>
      </w:r>
      <w:r>
        <w:rPr>
          <w:rtl/>
        </w:rPr>
        <w:t>-</w:t>
      </w:r>
      <w:r w:rsidRPr="00582767">
        <w:rPr>
          <w:rtl/>
        </w:rPr>
        <w:t>8</w:t>
      </w:r>
      <w:r>
        <w:rPr>
          <w:rtl/>
        </w:rPr>
        <w:tab/>
        <w:t xml:space="preserve">وفي ضوء كل ما تقدم، وضمن الملابسات الخاصة للقضية موضع النظر، تخلص اللجنة إلى </w:t>
      </w:r>
      <w:r w:rsidRPr="008D21E5">
        <w:rPr>
          <w:spacing w:val="-4"/>
          <w:rtl/>
        </w:rPr>
        <w:t>أن عدم حماية الدولة الطرف للأطفال الضحايا ينتهك حقوقهم المنصوص عليها في</w:t>
      </w:r>
      <w:r w:rsidR="006E3C06" w:rsidRPr="008D21E5">
        <w:rPr>
          <w:spacing w:val="-4"/>
          <w:rtl/>
        </w:rPr>
        <w:t xml:space="preserve"> </w:t>
      </w:r>
      <w:r w:rsidRPr="008D21E5">
        <w:rPr>
          <w:spacing w:val="-4"/>
          <w:rtl/>
        </w:rPr>
        <w:t xml:space="preserve">المادة </w:t>
      </w:r>
      <w:r w:rsidRPr="00582767">
        <w:rPr>
          <w:spacing w:val="-4"/>
          <w:rtl/>
        </w:rPr>
        <w:t>37</w:t>
      </w:r>
      <w:r w:rsidRPr="008D21E5">
        <w:rPr>
          <w:spacing w:val="-4"/>
          <w:rtl/>
        </w:rPr>
        <w:t>(أ) من الاتفاقية</w:t>
      </w:r>
      <w:r>
        <w:rPr>
          <w:rtl/>
        </w:rPr>
        <w:t xml:space="preserve">، وأن تقاعسها عن حماية هؤلاء الأطفال من تهديد وشيك ومتوقع لحياتهم يشكل انتهاكاً للمادة </w:t>
      </w:r>
      <w:r w:rsidRPr="00582767">
        <w:rPr>
          <w:rtl/>
        </w:rPr>
        <w:t>6</w:t>
      </w:r>
      <w:r>
        <w:rPr>
          <w:rtl/>
        </w:rPr>
        <w:t>(</w:t>
      </w:r>
      <w:r w:rsidR="009770BA" w:rsidRPr="00582767">
        <w:rPr>
          <w:rtl/>
        </w:rPr>
        <w:t>1</w:t>
      </w:r>
      <w:r w:rsidR="009770BA" w:rsidRPr="009770BA">
        <w:rPr>
          <w:rtl/>
        </w:rPr>
        <w:t xml:space="preserve">) </w:t>
      </w:r>
      <w:r>
        <w:rPr>
          <w:rtl/>
        </w:rPr>
        <w:t>من</w:t>
      </w:r>
      <w:r w:rsidR="008D21E5">
        <w:rPr>
          <w:rFonts w:hint="cs"/>
          <w:rtl/>
        </w:rPr>
        <w:t> </w:t>
      </w:r>
      <w:r>
        <w:rPr>
          <w:rtl/>
        </w:rPr>
        <w:t>الاتفاقية</w:t>
      </w:r>
      <w:r w:rsidR="009770BA" w:rsidRPr="00582767">
        <w:rPr>
          <w:rStyle w:val="FootnoteReference"/>
          <w:rtl/>
        </w:rPr>
        <w:t>(</w:t>
      </w:r>
      <w:r w:rsidR="009770BA" w:rsidRPr="00582767">
        <w:rPr>
          <w:rStyle w:val="FootnoteReference"/>
          <w:lang w:val="en-US"/>
        </w:rPr>
        <w:footnoteReference w:id="30"/>
      </w:r>
      <w:r w:rsidR="009770BA" w:rsidRPr="009770BA">
        <w:rPr>
          <w:vertAlign w:val="superscript"/>
          <w:rtl/>
        </w:rPr>
        <w:t>)</w:t>
      </w:r>
      <w:r w:rsidR="009770BA" w:rsidRPr="009770BA">
        <w:rPr>
          <w:rtl/>
        </w:rPr>
        <w:t>.</w:t>
      </w:r>
    </w:p>
    <w:p w14:paraId="03781C03" w14:textId="7F3D6459" w:rsidR="009770BA" w:rsidRPr="009770BA" w:rsidRDefault="00A02D6F" w:rsidP="00A02D6F">
      <w:pPr>
        <w:pStyle w:val="SingleTxtGA"/>
        <w:rPr>
          <w:rtl/>
        </w:rPr>
      </w:pPr>
      <w:r w:rsidRPr="00582767">
        <w:rPr>
          <w:rtl/>
        </w:rPr>
        <w:t>11</w:t>
      </w:r>
      <w:r>
        <w:rPr>
          <w:rtl/>
        </w:rPr>
        <w:t>-</w:t>
      </w:r>
      <w:r w:rsidRPr="00582767">
        <w:rPr>
          <w:rtl/>
        </w:rPr>
        <w:t>9</w:t>
      </w:r>
      <w:r>
        <w:rPr>
          <w:rtl/>
        </w:rPr>
        <w:tab/>
      </w:r>
      <w:r w:rsidRPr="008D21E5">
        <w:rPr>
          <w:spacing w:val="-2"/>
          <w:rtl/>
        </w:rPr>
        <w:t xml:space="preserve">وبعد أن خلصت اللجنة إلى هذا الاستنتاج، لا ترى أن من الضروري النظر فيما إن كانت الوقائع </w:t>
      </w:r>
      <w:r>
        <w:rPr>
          <w:rtl/>
        </w:rPr>
        <w:t xml:space="preserve">نفسها تنتهك المواد </w:t>
      </w:r>
      <w:r w:rsidRPr="00582767">
        <w:rPr>
          <w:rtl/>
        </w:rPr>
        <w:t>2</w:t>
      </w:r>
      <w:r>
        <w:rPr>
          <w:rtl/>
        </w:rPr>
        <w:t>، و</w:t>
      </w:r>
      <w:r w:rsidRPr="00582767">
        <w:rPr>
          <w:rtl/>
        </w:rPr>
        <w:t>19</w:t>
      </w:r>
      <w:r>
        <w:rPr>
          <w:rtl/>
        </w:rPr>
        <w:t>، و</w:t>
      </w:r>
      <w:r w:rsidRPr="00582767">
        <w:rPr>
          <w:rtl/>
        </w:rPr>
        <w:t>20</w:t>
      </w:r>
      <w:r>
        <w:rPr>
          <w:rtl/>
        </w:rPr>
        <w:t>، و</w:t>
      </w:r>
      <w:r w:rsidRPr="00582767">
        <w:rPr>
          <w:rtl/>
        </w:rPr>
        <w:t>24</w:t>
      </w:r>
      <w:r>
        <w:rPr>
          <w:rtl/>
        </w:rPr>
        <w:t>، و</w:t>
      </w:r>
      <w:r w:rsidRPr="00582767">
        <w:rPr>
          <w:rtl/>
        </w:rPr>
        <w:t>27</w:t>
      </w:r>
      <w:r>
        <w:rPr>
          <w:rtl/>
        </w:rPr>
        <w:t>، و</w:t>
      </w:r>
      <w:r w:rsidRPr="00582767">
        <w:rPr>
          <w:rtl/>
        </w:rPr>
        <w:t>28</w:t>
      </w:r>
      <w:r>
        <w:rPr>
          <w:rtl/>
        </w:rPr>
        <w:t>، و</w:t>
      </w:r>
      <w:r w:rsidRPr="00582767">
        <w:rPr>
          <w:rtl/>
        </w:rPr>
        <w:t>39</w:t>
      </w:r>
      <w:r>
        <w:rPr>
          <w:rtl/>
        </w:rPr>
        <w:t xml:space="preserve"> من الاتفاقية</w:t>
      </w:r>
      <w:r w:rsidR="009770BA" w:rsidRPr="00582767">
        <w:rPr>
          <w:rStyle w:val="FootnoteReference"/>
          <w:rtl/>
        </w:rPr>
        <w:t>(</w:t>
      </w:r>
      <w:r w:rsidR="009770BA" w:rsidRPr="00582767">
        <w:rPr>
          <w:rStyle w:val="FootnoteReference"/>
          <w:lang w:val="en-US"/>
        </w:rPr>
        <w:footnoteReference w:id="31"/>
      </w:r>
      <w:r w:rsidR="009770BA" w:rsidRPr="009770BA">
        <w:rPr>
          <w:vertAlign w:val="superscript"/>
          <w:rtl/>
        </w:rPr>
        <w:t>)</w:t>
      </w:r>
      <w:r w:rsidR="009770BA" w:rsidRPr="009770BA">
        <w:rPr>
          <w:rtl/>
        </w:rPr>
        <w:t>.</w:t>
      </w:r>
    </w:p>
    <w:p w14:paraId="0CB7E395" w14:textId="1367672E" w:rsidR="00A02D6F" w:rsidRDefault="00A02D6F" w:rsidP="00A02D6F">
      <w:pPr>
        <w:pStyle w:val="SingleTxtGA"/>
        <w:rPr>
          <w:rtl/>
        </w:rPr>
      </w:pPr>
      <w:r w:rsidRPr="00582767">
        <w:rPr>
          <w:rtl/>
        </w:rPr>
        <w:t>12</w:t>
      </w:r>
      <w:r>
        <w:rPr>
          <w:rtl/>
        </w:rPr>
        <w:t>-</w:t>
      </w:r>
      <w:r>
        <w:rPr>
          <w:rtl/>
        </w:rPr>
        <w:tab/>
        <w:t xml:space="preserve">واللجنة، إذ تتصرف وفقاً للمادة </w:t>
      </w:r>
      <w:r w:rsidRPr="00582767">
        <w:rPr>
          <w:rtl/>
        </w:rPr>
        <w:t>10</w:t>
      </w:r>
      <w:r>
        <w:rPr>
          <w:rtl/>
        </w:rPr>
        <w:t>(</w:t>
      </w:r>
      <w:r w:rsidR="009770BA" w:rsidRPr="00582767">
        <w:rPr>
          <w:rtl/>
        </w:rPr>
        <w:t>5</w:t>
      </w:r>
      <w:r w:rsidR="009770BA" w:rsidRPr="009770BA">
        <w:rPr>
          <w:rtl/>
        </w:rPr>
        <w:t xml:space="preserve">) </w:t>
      </w:r>
      <w:r>
        <w:rPr>
          <w:rtl/>
        </w:rPr>
        <w:t xml:space="preserve">من البروتوكول الاختياري للاتفاقية المتعلق بإجراء تقديم البلاغات، ترى أن الوقائع المعروضة عليها تكشف عن انتهاك للمادتين </w:t>
      </w:r>
      <w:r w:rsidRPr="00582767">
        <w:rPr>
          <w:rtl/>
        </w:rPr>
        <w:t>6</w:t>
      </w:r>
      <w:r>
        <w:rPr>
          <w:rtl/>
        </w:rPr>
        <w:t>(</w:t>
      </w:r>
      <w:r w:rsidR="009770BA" w:rsidRPr="00582767">
        <w:rPr>
          <w:rtl/>
        </w:rPr>
        <w:t>1</w:t>
      </w:r>
      <w:r w:rsidR="009770BA" w:rsidRPr="009770BA">
        <w:rPr>
          <w:rtl/>
        </w:rPr>
        <w:t xml:space="preserve">) </w:t>
      </w:r>
      <w:r>
        <w:rPr>
          <w:rtl/>
        </w:rPr>
        <w:t>و</w:t>
      </w:r>
      <w:r w:rsidRPr="00582767">
        <w:rPr>
          <w:rtl/>
        </w:rPr>
        <w:t>37</w:t>
      </w:r>
      <w:r>
        <w:rPr>
          <w:rtl/>
        </w:rPr>
        <w:t>(أ) من الاتفاقية.</w:t>
      </w:r>
    </w:p>
    <w:p w14:paraId="05A270E6" w14:textId="7F837C52" w:rsidR="00A02D6F" w:rsidRDefault="00A02D6F" w:rsidP="00A02D6F">
      <w:pPr>
        <w:pStyle w:val="SingleTxtGA"/>
        <w:rPr>
          <w:rtl/>
        </w:rPr>
      </w:pPr>
      <w:r w:rsidRPr="00582767">
        <w:rPr>
          <w:rtl/>
        </w:rPr>
        <w:t>13</w:t>
      </w:r>
      <w:r>
        <w:rPr>
          <w:rtl/>
        </w:rPr>
        <w:t>-</w:t>
      </w:r>
      <w:r>
        <w:rPr>
          <w:rtl/>
        </w:rPr>
        <w:tab/>
        <w:t>ولهذا السبب، ينبغي للدولة الطرف أن تقدم لصاحبات البلاغ والأطفال الضحايا جبر</w:t>
      </w:r>
      <w:r>
        <w:rPr>
          <w:rtl/>
        </w:rPr>
        <w:t>اً</w:t>
      </w:r>
      <w:r>
        <w:rPr>
          <w:rtl/>
        </w:rPr>
        <w:t xml:space="preserve"> فعال</w:t>
      </w:r>
      <w:r>
        <w:rPr>
          <w:rtl/>
        </w:rPr>
        <w:t>اً</w:t>
      </w:r>
      <w:r>
        <w:rPr>
          <w:rtl/>
        </w:rPr>
        <w:t xml:space="preserve"> عن الانتهاكات التي طالتهم. والدولة الطرف ملزمة</w:t>
      </w:r>
      <w:r w:rsidR="006E3C06">
        <w:rPr>
          <w:rtl/>
        </w:rPr>
        <w:t xml:space="preserve"> أيضاً </w:t>
      </w:r>
      <w:r>
        <w:rPr>
          <w:rtl/>
        </w:rPr>
        <w:t>بتفادي وقوع انتهاكات مماثلة في المستقبل. وفي هذا الصدد، توصي اللجنة الدولة الطرف بما يلي:</w:t>
      </w:r>
    </w:p>
    <w:p w14:paraId="43D1C9A6" w14:textId="77777777" w:rsidR="00A02D6F" w:rsidRDefault="00A02D6F" w:rsidP="00A02D6F">
      <w:pPr>
        <w:pStyle w:val="SingleTxtGA"/>
        <w:rPr>
          <w:rtl/>
        </w:rPr>
      </w:pPr>
      <w:r>
        <w:rPr>
          <w:rtl/>
        </w:rPr>
        <w:tab/>
        <w:t>(أ)</w:t>
      </w:r>
      <w:r>
        <w:rPr>
          <w:rtl/>
        </w:rPr>
        <w:tab/>
        <w:t>اتخاذ تدابير إيجابية عاجلة، بحسن نية، لإعادة الأطفال الضحايا إلى وطنهم؛</w:t>
      </w:r>
    </w:p>
    <w:p w14:paraId="6231B194" w14:textId="77777777" w:rsidR="00A02D6F" w:rsidRDefault="00A02D6F" w:rsidP="00A02D6F">
      <w:pPr>
        <w:pStyle w:val="SingleTxtGA"/>
        <w:rPr>
          <w:rtl/>
        </w:rPr>
      </w:pPr>
      <w:r>
        <w:rPr>
          <w:rtl/>
        </w:rPr>
        <w:tab/>
        <w:t>(ب)</w:t>
      </w:r>
      <w:r>
        <w:rPr>
          <w:rtl/>
        </w:rPr>
        <w:tab/>
        <w:t>دعم إعادة إدماج وإعادة توطين كل طفل يُعاد إلى وطنه أو يُعاد توطينه؛</w:t>
      </w:r>
    </w:p>
    <w:p w14:paraId="27767786" w14:textId="77777777" w:rsidR="00A02D6F" w:rsidRDefault="00A02D6F" w:rsidP="00A02D6F">
      <w:pPr>
        <w:pStyle w:val="SingleTxtGA"/>
        <w:rPr>
          <w:rtl/>
        </w:rPr>
      </w:pPr>
      <w:r>
        <w:rPr>
          <w:rtl/>
        </w:rPr>
        <w:tab/>
        <w:t>(ج)</w:t>
      </w:r>
      <w:r>
        <w:rPr>
          <w:rtl/>
        </w:rPr>
        <w:tab/>
      </w:r>
      <w:r w:rsidRPr="00061139">
        <w:rPr>
          <w:spacing w:val="-2"/>
          <w:rtl/>
        </w:rPr>
        <w:t>اتخاذ، في غضون ذلك، تدابير إضافية للتخفيف من المخاطر التي تهدد حياة الأطفال</w:t>
      </w:r>
      <w:r>
        <w:rPr>
          <w:rtl/>
        </w:rPr>
        <w:t xml:space="preserve"> الضحايا وبقاءهم ونموهم أثناء إقامتهم في شمال شرق الجمهورية العربية السورية.</w:t>
      </w:r>
    </w:p>
    <w:p w14:paraId="1D2B6DFA" w14:textId="03DC0830" w:rsidR="007F7C9B" w:rsidRDefault="00A02D6F" w:rsidP="00BA181F">
      <w:pPr>
        <w:pStyle w:val="SingleTxtGA"/>
        <w:rPr>
          <w:b/>
          <w:bCs/>
          <w:sz w:val="20"/>
          <w:rtl/>
          <w:lang w:val="en-US"/>
        </w:rPr>
      </w:pPr>
      <w:r w:rsidRPr="00582767">
        <w:rPr>
          <w:rtl/>
        </w:rPr>
        <w:t>14</w:t>
      </w:r>
      <w:r>
        <w:rPr>
          <w:rtl/>
        </w:rPr>
        <w:t>-</w:t>
      </w:r>
      <w:r>
        <w:rPr>
          <w:rtl/>
        </w:rPr>
        <w:tab/>
        <w:t xml:space="preserve">ووفقاً لأحكام المادة </w:t>
      </w:r>
      <w:r w:rsidRPr="00582767">
        <w:rPr>
          <w:rtl/>
        </w:rPr>
        <w:t>11</w:t>
      </w:r>
      <w:r>
        <w:rPr>
          <w:rtl/>
        </w:rPr>
        <w:t xml:space="preserve"> من البروتوكول الاختياري، تود اللجنة أن تتلقى من الدولة الطرف، في أقرب وقت ممكن وفي غضون </w:t>
      </w:r>
      <w:r w:rsidRPr="00582767">
        <w:rPr>
          <w:rtl/>
        </w:rPr>
        <w:t>180</w:t>
      </w:r>
      <w:r>
        <w:rPr>
          <w:rtl/>
        </w:rPr>
        <w:t xml:space="preserve"> يوماً، معلومات عن التدابير المتخذة لتنفيذ آرائها. وتطلب إلى الدولة الطرف أن تدرج معلومات عن هذه التدابير في تقاريرها المقدمة إلى اللجنة بموجب المادة </w:t>
      </w:r>
      <w:r w:rsidRPr="00582767">
        <w:rPr>
          <w:rtl/>
        </w:rPr>
        <w:t>44</w:t>
      </w:r>
      <w:r>
        <w:rPr>
          <w:rtl/>
        </w:rPr>
        <w:t xml:space="preserve"> من الاتفاقية. والدولة الطرف مدعوة إلى نشر هذه الاستنتاجات وتعميمها على نطاق واسع.</w:t>
      </w:r>
    </w:p>
    <w:p w14:paraId="2626E3BE" w14:textId="77777777" w:rsidR="007F7C9B" w:rsidRPr="00582767" w:rsidRDefault="007F7C9B" w:rsidP="006E3C06">
      <w:pPr>
        <w:pStyle w:val="HChGA"/>
        <w:rPr>
          <w:rtl/>
        </w:rPr>
        <w:sectPr w:rsidR="007F7C9B" w:rsidRPr="00582767" w:rsidSect="00D45DD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11D1859F" w14:textId="0120F18C" w:rsidR="00A02D6F" w:rsidRPr="00582767" w:rsidRDefault="00A02D6F" w:rsidP="007F7C9B">
      <w:pPr>
        <w:pStyle w:val="HChGA"/>
        <w:spacing w:before="120"/>
        <w:rPr>
          <w:rtl/>
        </w:rPr>
      </w:pPr>
      <w:r w:rsidRPr="00582767">
        <w:rPr>
          <w:rtl/>
        </w:rPr>
        <w:lastRenderedPageBreak/>
        <w:tab/>
        <w:t>المرفق</w:t>
      </w:r>
    </w:p>
    <w:p w14:paraId="2DFFEA12" w14:textId="28F35520" w:rsidR="00A02D6F" w:rsidRPr="00582767" w:rsidRDefault="00A02D6F" w:rsidP="006E3C06">
      <w:pPr>
        <w:pStyle w:val="HChGA"/>
        <w:rPr>
          <w:rFonts w:ascii="Times New Roman Bold" w:hAnsi="Times New Roman Bold"/>
          <w:spacing w:val="-4"/>
          <w:rtl/>
        </w:rPr>
      </w:pPr>
      <w:r w:rsidRPr="00582767">
        <w:rPr>
          <w:rtl/>
        </w:rPr>
        <w:tab/>
      </w:r>
      <w:r w:rsidRPr="00582767">
        <w:rPr>
          <w:rtl/>
        </w:rPr>
        <w:tab/>
      </w:r>
      <w:r w:rsidRPr="00582767">
        <w:rPr>
          <w:rFonts w:ascii="Times New Roman Bold" w:hAnsi="Times New Roman Bold"/>
          <w:spacing w:val="-4"/>
          <w:rtl/>
        </w:rPr>
        <w:t xml:space="preserve">رأي مشترك (متفِق) صاغه لويس </w:t>
      </w:r>
      <w:proofErr w:type="spellStart"/>
      <w:r w:rsidRPr="00582767">
        <w:rPr>
          <w:rFonts w:ascii="Times New Roman Bold" w:hAnsi="Times New Roman Bold"/>
          <w:spacing w:val="-4"/>
          <w:rtl/>
        </w:rPr>
        <w:t>إرنستو</w:t>
      </w:r>
      <w:proofErr w:type="spellEnd"/>
      <w:r w:rsidRPr="00582767">
        <w:rPr>
          <w:rFonts w:ascii="Times New Roman Bold" w:hAnsi="Times New Roman Bold"/>
          <w:spacing w:val="-4"/>
          <w:rtl/>
        </w:rPr>
        <w:t xml:space="preserve"> </w:t>
      </w:r>
      <w:proofErr w:type="spellStart"/>
      <w:r w:rsidRPr="00582767">
        <w:rPr>
          <w:rFonts w:ascii="Times New Roman Bold" w:hAnsi="Times New Roman Bold"/>
          <w:spacing w:val="-4"/>
          <w:rtl/>
        </w:rPr>
        <w:t>بيدرنيرا</w:t>
      </w:r>
      <w:proofErr w:type="spellEnd"/>
      <w:r w:rsidRPr="00582767">
        <w:rPr>
          <w:rFonts w:ascii="Times New Roman Bold" w:hAnsi="Times New Roman Bold"/>
          <w:spacing w:val="-4"/>
          <w:rtl/>
        </w:rPr>
        <w:t xml:space="preserve"> رينا، وبونوا فان </w:t>
      </w:r>
      <w:proofErr w:type="spellStart"/>
      <w:r w:rsidRPr="00582767">
        <w:rPr>
          <w:rFonts w:ascii="Times New Roman Bold" w:hAnsi="Times New Roman Bold"/>
          <w:spacing w:val="-4"/>
          <w:rtl/>
        </w:rPr>
        <w:t>كايرسبليك</w:t>
      </w:r>
      <w:proofErr w:type="spellEnd"/>
    </w:p>
    <w:p w14:paraId="4DC38F0D" w14:textId="4637783D" w:rsidR="00A02D6F" w:rsidRDefault="00A02D6F" w:rsidP="009962DB">
      <w:pPr>
        <w:pStyle w:val="SingleTxtGA"/>
        <w:spacing w:line="346" w:lineRule="exact"/>
        <w:rPr>
          <w:rtl/>
        </w:rPr>
      </w:pPr>
      <w:r w:rsidRPr="00582767">
        <w:rPr>
          <w:rtl/>
        </w:rPr>
        <w:t>1</w:t>
      </w:r>
      <w:r>
        <w:rPr>
          <w:rtl/>
        </w:rPr>
        <w:t>-</w:t>
      </w:r>
      <w:r>
        <w:rPr>
          <w:rtl/>
        </w:rPr>
        <w:tab/>
        <w:t xml:space="preserve">على الرغم من أننا نتفق مع الاستنتاج الذي خلصت إليه اللجنة في هذه القضية البالغة الصعوبة والحساسية، نعتقد أنه كان ينبغي للجنة أن تنظر في انتهاك المادتين </w:t>
      </w:r>
      <w:r w:rsidRPr="00582767">
        <w:rPr>
          <w:rtl/>
        </w:rPr>
        <w:t>6</w:t>
      </w:r>
      <w:r>
        <w:rPr>
          <w:rtl/>
        </w:rPr>
        <w:t>(</w:t>
      </w:r>
      <w:r w:rsidR="009770BA" w:rsidRPr="00582767">
        <w:rPr>
          <w:rtl/>
        </w:rPr>
        <w:t>2</w:t>
      </w:r>
      <w:r w:rsidR="009770BA" w:rsidRPr="009770BA">
        <w:rPr>
          <w:rtl/>
        </w:rPr>
        <w:t xml:space="preserve">) </w:t>
      </w:r>
      <w:r>
        <w:rPr>
          <w:rtl/>
        </w:rPr>
        <w:t>و</w:t>
      </w:r>
      <w:r w:rsidRPr="00582767">
        <w:rPr>
          <w:rtl/>
        </w:rPr>
        <w:t>37</w:t>
      </w:r>
      <w:r>
        <w:rPr>
          <w:rtl/>
        </w:rPr>
        <w:t>(ب) من الاتفاقية.</w:t>
      </w:r>
    </w:p>
    <w:p w14:paraId="6253CFBF" w14:textId="3C1166F5" w:rsidR="00A02D6F" w:rsidRDefault="00A02D6F" w:rsidP="009962DB">
      <w:pPr>
        <w:pStyle w:val="SingleTxtGA"/>
        <w:spacing w:line="346" w:lineRule="exact"/>
        <w:rPr>
          <w:rtl/>
        </w:rPr>
      </w:pPr>
      <w:r w:rsidRPr="00582767">
        <w:rPr>
          <w:rtl/>
        </w:rPr>
        <w:t>2</w:t>
      </w:r>
      <w:r>
        <w:rPr>
          <w:rtl/>
        </w:rPr>
        <w:t>-</w:t>
      </w:r>
      <w:r>
        <w:rPr>
          <w:rtl/>
        </w:rPr>
        <w:tab/>
        <w:t>فهذه القضية مشابهة جد</w:t>
      </w:r>
      <w:r>
        <w:rPr>
          <w:rtl/>
        </w:rPr>
        <w:t>اً</w:t>
      </w:r>
      <w:r>
        <w:rPr>
          <w:rtl/>
        </w:rPr>
        <w:t xml:space="preserve"> لقضية </w:t>
      </w:r>
      <w:r w:rsidRPr="00582767">
        <w:rPr>
          <w:i/>
          <w:iCs/>
          <w:rtl/>
        </w:rPr>
        <w:t>س. ب. وآخرون ضد فرنسا</w:t>
      </w:r>
      <w:r w:rsidR="009770BA" w:rsidRPr="00582767">
        <w:rPr>
          <w:rStyle w:val="FootnoteReference"/>
          <w:rtl/>
        </w:rPr>
        <w:t>(</w:t>
      </w:r>
      <w:r w:rsidR="009770BA" w:rsidRPr="00582767">
        <w:rPr>
          <w:rStyle w:val="FootnoteReference"/>
          <w:lang w:val="en-US"/>
        </w:rPr>
        <w:footnoteReference w:id="32"/>
      </w:r>
      <w:r w:rsidR="009770BA" w:rsidRPr="009770BA">
        <w:rPr>
          <w:vertAlign w:val="superscript"/>
          <w:rtl/>
        </w:rPr>
        <w:t>)</w:t>
      </w:r>
      <w:r w:rsidR="009770BA" w:rsidRPr="009770BA">
        <w:rPr>
          <w:rtl/>
        </w:rPr>
        <w:t>،</w:t>
      </w:r>
      <w:r w:rsidR="009770BA" w:rsidRPr="009770BA">
        <w:rPr>
          <w:rtl/>
        </w:rPr>
        <w:t xml:space="preserve"> </w:t>
      </w:r>
      <w:r>
        <w:rPr>
          <w:rtl/>
        </w:rPr>
        <w:t>على الرغم من وجود بعض الاختلافات. ففي تلك القضية، كان أصحاب البلاغ أكبر سن</w:t>
      </w:r>
      <w:r>
        <w:rPr>
          <w:rtl/>
        </w:rPr>
        <w:t>اً</w:t>
      </w:r>
      <w:r>
        <w:rPr>
          <w:rtl/>
        </w:rPr>
        <w:t xml:space="preserve"> بعض الشيء ووُلد معظمهم في فرنسا، بينما وُلد بعضهم في الجمهورية العربية السورية. وفي هذه القضية، وُلد جميع الأطفال في الجمهورية العربية السورية وكانت أعمارهم أقل من </w:t>
      </w:r>
      <w:r w:rsidRPr="00582767">
        <w:rPr>
          <w:rtl/>
        </w:rPr>
        <w:t>3</w:t>
      </w:r>
      <w:r>
        <w:rPr>
          <w:rtl/>
        </w:rPr>
        <w:t xml:space="preserve"> سنوات في وقت تقديم البلاغ. </w:t>
      </w:r>
    </w:p>
    <w:p w14:paraId="4455AD0D" w14:textId="55A64A57" w:rsidR="00A02D6F" w:rsidRDefault="00A02D6F" w:rsidP="009962DB">
      <w:pPr>
        <w:pStyle w:val="SingleTxtGA"/>
        <w:spacing w:line="346" w:lineRule="exact"/>
        <w:rPr>
          <w:rtl/>
        </w:rPr>
      </w:pPr>
      <w:r w:rsidRPr="00582767">
        <w:rPr>
          <w:rtl/>
        </w:rPr>
        <w:t>3</w:t>
      </w:r>
      <w:r>
        <w:rPr>
          <w:rtl/>
        </w:rPr>
        <w:t>-</w:t>
      </w:r>
      <w:r>
        <w:rPr>
          <w:rtl/>
        </w:rPr>
        <w:tab/>
      </w:r>
      <w:r w:rsidRPr="009962DB">
        <w:rPr>
          <w:spacing w:val="-2"/>
          <w:rtl/>
        </w:rPr>
        <w:t>وارتأت اللجنة بحقٍ أن صاحبات البلاغ أثبتن ادعاءاتهن بأدلة كافية فيما يتعلق بالظروف المعيشية</w:t>
      </w:r>
      <w:r>
        <w:rPr>
          <w:rtl/>
        </w:rPr>
        <w:t xml:space="preserve"> اللاإنسانية وانعدام الضروريات الأساسية، بما في ذلك المياه والغذاء والرعاية الصحية، وهي أمور تشكل </w:t>
      </w:r>
      <w:r w:rsidRPr="009962DB">
        <w:rPr>
          <w:spacing w:val="-4"/>
          <w:rtl/>
        </w:rPr>
        <w:t>تهديد</w:t>
      </w:r>
      <w:r w:rsidRPr="009962DB">
        <w:rPr>
          <w:spacing w:val="-4"/>
          <w:rtl/>
        </w:rPr>
        <w:t>اً</w:t>
      </w:r>
      <w:r w:rsidRPr="009962DB">
        <w:rPr>
          <w:spacing w:val="-4"/>
          <w:rtl/>
        </w:rPr>
        <w:t xml:space="preserve"> بالموت وشيك</w:t>
      </w:r>
      <w:r w:rsidRPr="009962DB">
        <w:rPr>
          <w:spacing w:val="-4"/>
          <w:rtl/>
        </w:rPr>
        <w:t>اً</w:t>
      </w:r>
      <w:r w:rsidRPr="009962DB">
        <w:rPr>
          <w:spacing w:val="-4"/>
          <w:rtl/>
        </w:rPr>
        <w:t>. وعلاوة على ذلك، هناك أدلة على أن الأطفال في المخيمات في شمال شرق الجمهورية</w:t>
      </w:r>
      <w:r>
        <w:rPr>
          <w:rtl/>
        </w:rPr>
        <w:t xml:space="preserve"> العربية السورية محتجزون في ظروف مزرية وهم محرومون من حقوقهم في التعليم واللعب، والعديد من الحقوق الأخرى.</w:t>
      </w:r>
    </w:p>
    <w:p w14:paraId="7B29DCC4" w14:textId="38EA116E" w:rsidR="009770BA" w:rsidRPr="009770BA" w:rsidRDefault="00A02D6F" w:rsidP="009962DB">
      <w:pPr>
        <w:pStyle w:val="SingleTxtGA"/>
        <w:spacing w:line="346" w:lineRule="exact"/>
        <w:rPr>
          <w:rtl/>
        </w:rPr>
      </w:pPr>
      <w:r w:rsidRPr="00582767">
        <w:rPr>
          <w:rtl/>
        </w:rPr>
        <w:t>4</w:t>
      </w:r>
      <w:r>
        <w:rPr>
          <w:rtl/>
        </w:rPr>
        <w:t>-</w:t>
      </w:r>
      <w:r>
        <w:rPr>
          <w:rtl/>
        </w:rPr>
        <w:tab/>
        <w:t>ونحيط علم</w:t>
      </w:r>
      <w:r>
        <w:rPr>
          <w:rtl/>
        </w:rPr>
        <w:t>اً</w:t>
      </w:r>
      <w:r>
        <w:rPr>
          <w:rtl/>
        </w:rPr>
        <w:t xml:space="preserve"> بتقرير لجنة التحقيق الدولية المستقلة المعنية بالجمهورية العربية السورية المقدم إلى مجلس حقوق الإنسان في دورته الحادية والخمسين، الذي ذكرت ضمنه اللجنة ما يلي</w:t>
      </w:r>
      <w:r w:rsidR="009770BA" w:rsidRPr="00582767">
        <w:rPr>
          <w:rStyle w:val="FootnoteReference"/>
          <w:rtl/>
        </w:rPr>
        <w:t>(</w:t>
      </w:r>
      <w:r w:rsidR="009770BA" w:rsidRPr="00582767">
        <w:rPr>
          <w:rStyle w:val="FootnoteReference"/>
          <w:lang w:val="en-US"/>
        </w:rPr>
        <w:footnoteReference w:id="33"/>
      </w:r>
      <w:r w:rsidR="009770BA" w:rsidRPr="009770BA">
        <w:rPr>
          <w:vertAlign w:val="superscript"/>
          <w:rtl/>
        </w:rPr>
        <w:t>)</w:t>
      </w:r>
      <w:r w:rsidR="009770BA" w:rsidRPr="009770BA">
        <w:rPr>
          <w:rFonts w:hint="cs"/>
          <w:rtl/>
        </w:rPr>
        <w:t>:</w:t>
      </w:r>
    </w:p>
    <w:p w14:paraId="1B8C2536" w14:textId="1007432B" w:rsidR="00A02D6F" w:rsidRPr="009962DB" w:rsidRDefault="00A02D6F" w:rsidP="009962DB">
      <w:pPr>
        <w:pStyle w:val="SingleTxtGA"/>
        <w:spacing w:line="346" w:lineRule="exact"/>
        <w:ind w:left="1928"/>
        <w:rPr>
          <w:spacing w:val="-2"/>
          <w:rtl/>
        </w:rPr>
      </w:pPr>
      <w:r w:rsidRPr="00582767">
        <w:rPr>
          <w:spacing w:val="-2"/>
          <w:rtl/>
        </w:rPr>
        <w:t>97</w:t>
      </w:r>
      <w:r w:rsidRPr="009962DB">
        <w:rPr>
          <w:spacing w:val="-2"/>
          <w:rtl/>
        </w:rPr>
        <w:t>-</w:t>
      </w:r>
      <w:r w:rsidR="006E3C06" w:rsidRPr="009962DB">
        <w:rPr>
          <w:spacing w:val="-2"/>
          <w:rtl/>
        </w:rPr>
        <w:tab/>
      </w:r>
      <w:r w:rsidRPr="009962DB">
        <w:rPr>
          <w:spacing w:val="-2"/>
          <w:rtl/>
        </w:rPr>
        <w:t xml:space="preserve">لا يزال نحو </w:t>
      </w:r>
      <w:r w:rsidRPr="00582767">
        <w:rPr>
          <w:spacing w:val="-2"/>
          <w:rtl/>
        </w:rPr>
        <w:t>000</w:t>
      </w:r>
      <w:r w:rsidRPr="009962DB">
        <w:rPr>
          <w:spacing w:val="-2"/>
          <w:rtl/>
        </w:rPr>
        <w:t xml:space="preserve"> </w:t>
      </w:r>
      <w:r w:rsidRPr="00582767">
        <w:rPr>
          <w:spacing w:val="-2"/>
          <w:rtl/>
        </w:rPr>
        <w:t>58</w:t>
      </w:r>
      <w:r w:rsidRPr="009962DB">
        <w:rPr>
          <w:spacing w:val="-2"/>
          <w:rtl/>
        </w:rPr>
        <w:t xml:space="preserve"> شخص، بمن فيهم ما يقرب </w:t>
      </w:r>
      <w:r w:rsidRPr="00582767">
        <w:rPr>
          <w:spacing w:val="-2"/>
          <w:rtl/>
        </w:rPr>
        <w:t>000</w:t>
      </w:r>
      <w:r w:rsidRPr="009962DB">
        <w:rPr>
          <w:spacing w:val="-2"/>
          <w:rtl/>
        </w:rPr>
        <w:t xml:space="preserve"> </w:t>
      </w:r>
      <w:r w:rsidRPr="00582767">
        <w:rPr>
          <w:spacing w:val="-2"/>
          <w:rtl/>
        </w:rPr>
        <w:t>17</w:t>
      </w:r>
      <w:r w:rsidRPr="009962DB">
        <w:rPr>
          <w:spacing w:val="-2"/>
          <w:rtl/>
        </w:rPr>
        <w:t xml:space="preserve"> امرأة و</w:t>
      </w:r>
      <w:r w:rsidRPr="00582767">
        <w:rPr>
          <w:spacing w:val="-2"/>
          <w:rtl/>
        </w:rPr>
        <w:t>000</w:t>
      </w:r>
      <w:r w:rsidRPr="009962DB">
        <w:rPr>
          <w:spacing w:val="-2"/>
          <w:rtl/>
        </w:rPr>
        <w:t xml:space="preserve"> </w:t>
      </w:r>
      <w:r w:rsidRPr="00582767">
        <w:rPr>
          <w:spacing w:val="-2"/>
          <w:rtl/>
        </w:rPr>
        <w:t>37</w:t>
      </w:r>
      <w:r w:rsidRPr="009962DB">
        <w:rPr>
          <w:spacing w:val="-2"/>
          <w:rtl/>
        </w:rPr>
        <w:t xml:space="preserve"> طفل، محتجزين بشكل غير قانوني في مخيمي الهول وروج. وأكثر من </w:t>
      </w:r>
      <w:r w:rsidRPr="00582767">
        <w:rPr>
          <w:spacing w:val="-2"/>
          <w:rtl/>
        </w:rPr>
        <w:t>000</w:t>
      </w:r>
      <w:r w:rsidRPr="009962DB">
        <w:rPr>
          <w:spacing w:val="-2"/>
          <w:rtl/>
        </w:rPr>
        <w:t xml:space="preserve"> </w:t>
      </w:r>
      <w:r w:rsidRPr="00582767">
        <w:rPr>
          <w:spacing w:val="-2"/>
          <w:rtl/>
        </w:rPr>
        <w:t>17</w:t>
      </w:r>
      <w:r w:rsidRPr="009962DB">
        <w:rPr>
          <w:spacing w:val="-2"/>
          <w:rtl/>
        </w:rPr>
        <w:t xml:space="preserve"> طفل عراقيون. وبسبب </w:t>
      </w:r>
      <w:r w:rsidRPr="00483393">
        <w:rPr>
          <w:rtl/>
        </w:rPr>
        <w:t>جائحة كوفيد-</w:t>
      </w:r>
      <w:r w:rsidRPr="00582767">
        <w:rPr>
          <w:rtl/>
        </w:rPr>
        <w:t>19</w:t>
      </w:r>
      <w:r w:rsidRPr="00483393">
        <w:rPr>
          <w:rtl/>
        </w:rPr>
        <w:t xml:space="preserve"> والانهيار الاقتصادي في جميع أنحاء الجمهورية العربية السورية، تدهورت الأوضاع</w:t>
      </w:r>
      <w:r w:rsidRPr="009962DB">
        <w:rPr>
          <w:spacing w:val="-2"/>
          <w:rtl/>
        </w:rPr>
        <w:t xml:space="preserve"> الإنسانية في المخيمات. فعملية التزويد بالمياه غير منتظمة؛ ومرافق الإصحاح غير كافية؛ والتغذية والرعاية الصحية والمرافق السكنية الملائمة منعدمة؛ والخيام في المخيمات تحتاج إلى إصلاح ما أفسدته عناصر الطبيعة على مر السنوات. وفي بعض المناطق، تشترك </w:t>
      </w:r>
      <w:r w:rsidRPr="00582767">
        <w:rPr>
          <w:spacing w:val="-2"/>
          <w:rtl/>
        </w:rPr>
        <w:t>10</w:t>
      </w:r>
      <w:r w:rsidRPr="009962DB">
        <w:rPr>
          <w:spacing w:val="-2"/>
          <w:rtl/>
        </w:rPr>
        <w:t xml:space="preserve"> أسر في مرحاض واحد. ولا يزال بقاء الأطفال على قيد الحياة يمثل صراعاً يومياً.</w:t>
      </w:r>
    </w:p>
    <w:p w14:paraId="6A7C5AF6" w14:textId="3F672B71" w:rsidR="00A02D6F" w:rsidRDefault="00A02D6F" w:rsidP="009962DB">
      <w:pPr>
        <w:pStyle w:val="SingleTxtGA"/>
        <w:spacing w:line="346" w:lineRule="exact"/>
        <w:ind w:left="1928"/>
        <w:rPr>
          <w:rtl/>
        </w:rPr>
      </w:pPr>
      <w:r w:rsidRPr="00582767">
        <w:rPr>
          <w:rtl/>
        </w:rPr>
        <w:t>98</w:t>
      </w:r>
      <w:r>
        <w:rPr>
          <w:rtl/>
        </w:rPr>
        <w:t>-</w:t>
      </w:r>
      <w:r w:rsidR="006E3C06">
        <w:rPr>
          <w:rtl/>
        </w:rPr>
        <w:tab/>
      </w:r>
      <w:r>
        <w:rPr>
          <w:rtl/>
        </w:rPr>
        <w:t>... وحالة الأطفال في المخيمات تثير قلقاً بالغاً. وهم يحرمون من الرعاية الصحية الكافية ومن إمكانية التعليم، ويعاني العديد منهم من الصدمة بسبب العنف داخل المخيم. ويواجه الفتيان الصغار في المخيمات خطر نقلهم إلى مراكز الاحتجاز العسكرية إلى جانب أشخاص مشتبه في أنهم مقاتلون سابقون في داعش بمجرد بلوغهم سن</w:t>
      </w:r>
      <w:r w:rsidR="006E3C06">
        <w:rPr>
          <w:rtl/>
        </w:rPr>
        <w:t xml:space="preserve"> </w:t>
      </w:r>
      <w:r>
        <w:rPr>
          <w:rtl/>
        </w:rPr>
        <w:t xml:space="preserve">المراهقة، وسيكون مصيرهم الاحتجاز إلى أجل غير مسمى دون إمكانية اللجوء إلى القضاء. وعشرات الفتيان ممن تتراوح أعمارهم بين </w:t>
      </w:r>
      <w:r w:rsidRPr="00582767">
        <w:rPr>
          <w:rtl/>
        </w:rPr>
        <w:t>10</w:t>
      </w:r>
      <w:r>
        <w:rPr>
          <w:rtl/>
        </w:rPr>
        <w:t xml:space="preserve"> سنوات و</w:t>
      </w:r>
      <w:r w:rsidRPr="00582767">
        <w:rPr>
          <w:rtl/>
        </w:rPr>
        <w:t>12</w:t>
      </w:r>
      <w:r>
        <w:rPr>
          <w:rtl/>
        </w:rPr>
        <w:t xml:space="preserve"> سنة ويحتجزون في ملحق مخيم الهول مفصولون عن أمهاتهم، ووُضع بعضهم في الاحتجاز العسكري مع رجال بالغين. </w:t>
      </w:r>
    </w:p>
    <w:p w14:paraId="3FBA811C" w14:textId="77777777" w:rsidR="00A02D6F" w:rsidRDefault="00A02D6F" w:rsidP="009962DB">
      <w:pPr>
        <w:pStyle w:val="SingleTxtGA"/>
        <w:spacing w:line="346" w:lineRule="exact"/>
        <w:ind w:left="1928"/>
        <w:rPr>
          <w:rtl/>
        </w:rPr>
      </w:pPr>
      <w:r>
        <w:rPr>
          <w:rtl/>
        </w:rPr>
        <w:t>...</w:t>
      </w:r>
    </w:p>
    <w:p w14:paraId="70F7DEAB" w14:textId="3C14F446" w:rsidR="00A02D6F" w:rsidRDefault="00A02D6F" w:rsidP="009962DB">
      <w:pPr>
        <w:pStyle w:val="SingleTxtGA"/>
        <w:spacing w:line="346" w:lineRule="exact"/>
        <w:ind w:left="1928"/>
        <w:rPr>
          <w:rtl/>
        </w:rPr>
      </w:pPr>
      <w:r w:rsidRPr="00582767">
        <w:rPr>
          <w:rtl/>
        </w:rPr>
        <w:t>103</w:t>
      </w:r>
      <w:r>
        <w:rPr>
          <w:rtl/>
        </w:rPr>
        <w:t>-</w:t>
      </w:r>
      <w:r>
        <w:rPr>
          <w:rtl/>
        </w:rPr>
        <w:tab/>
        <w:t xml:space="preserve">ولا يمكن تبرير استمرار الاعتقال الشامل لنحو </w:t>
      </w:r>
      <w:r w:rsidRPr="00582767">
        <w:rPr>
          <w:rtl/>
        </w:rPr>
        <w:t>000</w:t>
      </w:r>
      <w:r>
        <w:rPr>
          <w:rtl/>
        </w:rPr>
        <w:t xml:space="preserve"> </w:t>
      </w:r>
      <w:r w:rsidRPr="00582767">
        <w:rPr>
          <w:rtl/>
        </w:rPr>
        <w:t>58</w:t>
      </w:r>
      <w:r>
        <w:rPr>
          <w:rtl/>
        </w:rPr>
        <w:t xml:space="preserve"> فرد في مخيمي الهول وروج، الذي يرقى إلى مستوى السلب غير القانوني للحرية. ويحرم أطفال هذه المجموعة البالغ عددهم</w:t>
      </w:r>
      <w:r w:rsidR="009962DB" w:rsidRPr="009962DB">
        <w:rPr>
          <w:rFonts w:hint="cs"/>
          <w:spacing w:val="-4"/>
          <w:rtl/>
        </w:rPr>
        <w:t> </w:t>
      </w:r>
      <w:r w:rsidRPr="00582767">
        <w:rPr>
          <w:spacing w:val="-4"/>
          <w:rtl/>
        </w:rPr>
        <w:t>000</w:t>
      </w:r>
      <w:r w:rsidRPr="009962DB">
        <w:rPr>
          <w:spacing w:val="-4"/>
          <w:rtl/>
        </w:rPr>
        <w:t xml:space="preserve"> </w:t>
      </w:r>
      <w:r w:rsidRPr="00582767">
        <w:rPr>
          <w:spacing w:val="-4"/>
          <w:rtl/>
        </w:rPr>
        <w:t>37</w:t>
      </w:r>
      <w:r w:rsidRPr="009962DB">
        <w:rPr>
          <w:spacing w:val="-4"/>
          <w:rtl/>
        </w:rPr>
        <w:t xml:space="preserve"> طفل من أبسط حقوقهم الأساسية كأطفال. وهناك أسباب معقولة تدعو إلى الاعتقاد </w:t>
      </w:r>
      <w:r>
        <w:rPr>
          <w:rtl/>
        </w:rPr>
        <w:lastRenderedPageBreak/>
        <w:t xml:space="preserve">بأن الظروف السائدة في كلا المخيمين قد ترقى إلى مستوى المعاملة القاسية أو اللاإنسانية، ويزيد من تفاقمها تدهور الحالة الأمنية داخل المخيمين وما يتصل بذلك من </w:t>
      </w:r>
      <w:proofErr w:type="gramStart"/>
      <w:r>
        <w:rPr>
          <w:rtl/>
        </w:rPr>
        <w:t>مخاطر</w:t>
      </w:r>
      <w:proofErr w:type="gramEnd"/>
      <w:r>
        <w:rPr>
          <w:rtl/>
        </w:rPr>
        <w:t xml:space="preserve"> متزايدة يتعرض لها المعتقلون. </w:t>
      </w:r>
    </w:p>
    <w:p w14:paraId="70263B9B" w14:textId="44824271" w:rsidR="00A02D6F" w:rsidRDefault="00A02D6F" w:rsidP="00A02D6F">
      <w:pPr>
        <w:pStyle w:val="SingleTxtGA"/>
        <w:rPr>
          <w:rtl/>
        </w:rPr>
      </w:pPr>
      <w:r>
        <w:rPr>
          <w:rtl/>
        </w:rPr>
        <w:t>والدول تدرك هذه البيانات جيد</w:t>
      </w:r>
      <w:r>
        <w:rPr>
          <w:rtl/>
        </w:rPr>
        <w:t>اً</w:t>
      </w:r>
      <w:r>
        <w:rPr>
          <w:rtl/>
        </w:rPr>
        <w:t>، وهي بيانات ما فتئت تثير المزيد من القلق، وينبغي أن تدفعها إلى العمل بالسرعة والتصميم الواجبين.</w:t>
      </w:r>
    </w:p>
    <w:p w14:paraId="05C9A252" w14:textId="06594D99" w:rsidR="00A02D6F" w:rsidRDefault="00A02D6F" w:rsidP="00A02D6F">
      <w:pPr>
        <w:pStyle w:val="SingleTxtGA"/>
        <w:rPr>
          <w:rtl/>
        </w:rPr>
      </w:pPr>
      <w:r w:rsidRPr="00582767">
        <w:rPr>
          <w:rtl/>
        </w:rPr>
        <w:t>5</w:t>
      </w:r>
      <w:r>
        <w:rPr>
          <w:rtl/>
        </w:rPr>
        <w:t>-</w:t>
      </w:r>
      <w:r>
        <w:rPr>
          <w:rtl/>
        </w:rPr>
        <w:tab/>
        <w:t xml:space="preserve">وبموجب المادة </w:t>
      </w:r>
      <w:r w:rsidRPr="00582767">
        <w:rPr>
          <w:rtl/>
        </w:rPr>
        <w:t>6</w:t>
      </w:r>
      <w:r>
        <w:rPr>
          <w:rtl/>
        </w:rPr>
        <w:t>(</w:t>
      </w:r>
      <w:r w:rsidR="009770BA" w:rsidRPr="00582767">
        <w:rPr>
          <w:rtl/>
        </w:rPr>
        <w:t>2</w:t>
      </w:r>
      <w:r w:rsidR="009770BA" w:rsidRPr="009770BA">
        <w:rPr>
          <w:rtl/>
        </w:rPr>
        <w:t xml:space="preserve">) </w:t>
      </w:r>
      <w:r>
        <w:rPr>
          <w:rtl/>
        </w:rPr>
        <w:t xml:space="preserve">من الاتفاقية، يقع على عاتق الدول الأطراف التزام بأن تكفل إلى أقصى </w:t>
      </w:r>
      <w:r w:rsidRPr="00555668">
        <w:rPr>
          <w:spacing w:val="-2"/>
          <w:rtl/>
        </w:rPr>
        <w:t>حد ممكن بقاء الطفل ونموه. وتبين هذه القضية أن حق الأطفال في البقاء على قيد الحياة قد تعرض لتهديد</w:t>
      </w:r>
      <w:r>
        <w:rPr>
          <w:rtl/>
        </w:rPr>
        <w:t xml:space="preserve"> </w:t>
      </w:r>
      <w:r w:rsidRPr="00555668">
        <w:rPr>
          <w:spacing w:val="-2"/>
          <w:rtl/>
        </w:rPr>
        <w:t>خطير (كاد أحد الأطفال أن يموت في عدة مناسبات</w:t>
      </w:r>
      <w:r w:rsidR="009770BA" w:rsidRPr="009770BA">
        <w:rPr>
          <w:spacing w:val="-2"/>
          <w:rtl/>
        </w:rPr>
        <w:t xml:space="preserve">)، </w:t>
      </w:r>
      <w:r w:rsidRPr="00555668">
        <w:rPr>
          <w:spacing w:val="-2"/>
          <w:rtl/>
        </w:rPr>
        <w:t>وأنه يستحيل إعمال حقهم في النمو، حتى بأقل قدر</w:t>
      </w:r>
      <w:r>
        <w:rPr>
          <w:rtl/>
        </w:rPr>
        <w:t xml:space="preserve">. </w:t>
      </w:r>
      <w:r w:rsidRPr="00555668">
        <w:rPr>
          <w:spacing w:val="-2"/>
          <w:rtl/>
        </w:rPr>
        <w:t>والأطفال الضحايا معرضون جميعاً لخطر سوء التغذية، الذي يؤثر تأثيراً دائماً على نموهم. وسيكون التأثير</w:t>
      </w:r>
      <w:r>
        <w:rPr>
          <w:rtl/>
        </w:rPr>
        <w:t xml:space="preserve"> </w:t>
      </w:r>
      <w:r w:rsidRPr="00555668">
        <w:rPr>
          <w:spacing w:val="-2"/>
          <w:rtl/>
        </w:rPr>
        <w:t>أشد في حالة الأطفال الصغار جد</w:t>
      </w:r>
      <w:r w:rsidRPr="00555668">
        <w:rPr>
          <w:spacing w:val="-2"/>
          <w:rtl/>
        </w:rPr>
        <w:t>اً</w:t>
      </w:r>
      <w:r w:rsidRPr="00555668">
        <w:rPr>
          <w:spacing w:val="-2"/>
          <w:rtl/>
        </w:rPr>
        <w:t xml:space="preserve"> الذين يعانون من إصابات أو أمراض بعينها، وهو ما ينطبق على جميع الأطفال المذكورين في هذا البلاغ. وسيُضر عدم حصولهم على التعليم في مرحلة الطفولة</w:t>
      </w:r>
      <w:r>
        <w:rPr>
          <w:rtl/>
        </w:rPr>
        <w:t xml:space="preserve"> المبكرة بنموهم على المدى الطويل.</w:t>
      </w:r>
    </w:p>
    <w:p w14:paraId="2364E4C1" w14:textId="2C2B7AEA" w:rsidR="00A02D6F" w:rsidRDefault="00A02D6F" w:rsidP="00A02D6F">
      <w:pPr>
        <w:pStyle w:val="SingleTxtGA"/>
        <w:rPr>
          <w:rtl/>
        </w:rPr>
      </w:pPr>
      <w:r w:rsidRPr="00582767">
        <w:rPr>
          <w:rtl/>
        </w:rPr>
        <w:t>6</w:t>
      </w:r>
      <w:r>
        <w:rPr>
          <w:rtl/>
        </w:rPr>
        <w:t>-</w:t>
      </w:r>
      <w:r>
        <w:rPr>
          <w:rtl/>
        </w:rPr>
        <w:tab/>
      </w:r>
      <w:r w:rsidRPr="00555668">
        <w:rPr>
          <w:spacing w:val="-2"/>
          <w:rtl/>
        </w:rPr>
        <w:t xml:space="preserve">وبعد أن خلصت اللجنة إلى انتهاك المادة </w:t>
      </w:r>
      <w:r w:rsidRPr="00582767">
        <w:rPr>
          <w:spacing w:val="-2"/>
          <w:rtl/>
        </w:rPr>
        <w:t>37</w:t>
      </w:r>
      <w:r w:rsidRPr="00555668">
        <w:rPr>
          <w:spacing w:val="-2"/>
          <w:rtl/>
        </w:rPr>
        <w:t>(أ) من الاتفاقية، وأن هذه القضية تبلغ حد الانتهاك</w:t>
      </w:r>
      <w:r>
        <w:rPr>
          <w:rtl/>
        </w:rPr>
        <w:t xml:space="preserve"> الفعلي لحقوق الأطفال الضحايا في عدم التعرض لمعاملة قاسية أو لا إنسانية أو مهينة، كان ينبغي لها أن تواصل تعليلها لاستنتاج أن هناك</w:t>
      </w:r>
      <w:r w:rsidR="006E3C06">
        <w:rPr>
          <w:rtl/>
        </w:rPr>
        <w:t xml:space="preserve"> أيضاً </w:t>
      </w:r>
      <w:r>
        <w:rPr>
          <w:rtl/>
        </w:rPr>
        <w:t xml:space="preserve">انتهاكاً للمادة </w:t>
      </w:r>
      <w:r w:rsidRPr="00582767">
        <w:rPr>
          <w:rtl/>
        </w:rPr>
        <w:t>6</w:t>
      </w:r>
      <w:r>
        <w:rPr>
          <w:rtl/>
        </w:rPr>
        <w:t>(</w:t>
      </w:r>
      <w:r w:rsidRPr="00582767">
        <w:rPr>
          <w:rtl/>
        </w:rPr>
        <w:t>2</w:t>
      </w:r>
      <w:r w:rsidR="009770BA" w:rsidRPr="009770BA">
        <w:rPr>
          <w:rtl/>
        </w:rPr>
        <w:t xml:space="preserve">)، </w:t>
      </w:r>
      <w:r>
        <w:rPr>
          <w:rtl/>
        </w:rPr>
        <w:t xml:space="preserve">على أساس أن الطفل لا يستطيع ببساطة أن ينمو نمواً كاملاً في سياق معاملة لا إنسانية ومهينة. ويتداخل التزام الدولة الطرف بحماية الأطفال من انتهاك المادة </w:t>
      </w:r>
      <w:r w:rsidRPr="00582767">
        <w:rPr>
          <w:rtl/>
        </w:rPr>
        <w:t>37</w:t>
      </w:r>
      <w:r>
        <w:rPr>
          <w:rtl/>
        </w:rPr>
        <w:t xml:space="preserve">(أ) مع التزامها بحماية الأطفال من انتهاك المادة </w:t>
      </w:r>
      <w:r w:rsidRPr="00582767">
        <w:rPr>
          <w:rtl/>
        </w:rPr>
        <w:t>6</w:t>
      </w:r>
      <w:r>
        <w:rPr>
          <w:rtl/>
        </w:rPr>
        <w:t>(</w:t>
      </w:r>
      <w:r w:rsidR="009770BA" w:rsidRPr="00582767">
        <w:rPr>
          <w:rtl/>
        </w:rPr>
        <w:t>2</w:t>
      </w:r>
      <w:r w:rsidR="009770BA" w:rsidRPr="009770BA">
        <w:rPr>
          <w:rtl/>
        </w:rPr>
        <w:t xml:space="preserve">). </w:t>
      </w:r>
      <w:r>
        <w:rPr>
          <w:rtl/>
        </w:rPr>
        <w:t>والدول الأطراف مسؤولة</w:t>
      </w:r>
      <w:r w:rsidR="006E3C06">
        <w:rPr>
          <w:rtl/>
        </w:rPr>
        <w:t xml:space="preserve"> أيضاً </w:t>
      </w:r>
      <w:r>
        <w:rPr>
          <w:rtl/>
        </w:rPr>
        <w:t>عن حالات</w:t>
      </w:r>
      <w:r w:rsidR="006E3C06">
        <w:rPr>
          <w:rtl/>
        </w:rPr>
        <w:t xml:space="preserve"> </w:t>
      </w:r>
      <w:r>
        <w:rPr>
          <w:rtl/>
        </w:rPr>
        <w:t>الامتناع عن العمل، عمل</w:t>
      </w:r>
      <w:r>
        <w:rPr>
          <w:rtl/>
        </w:rPr>
        <w:t>اً</w:t>
      </w:r>
      <w:r>
        <w:rPr>
          <w:rtl/>
        </w:rPr>
        <w:t xml:space="preserve"> بالمادة </w:t>
      </w:r>
      <w:r w:rsidRPr="00582767">
        <w:rPr>
          <w:rtl/>
        </w:rPr>
        <w:t>4</w:t>
      </w:r>
      <w:r>
        <w:rPr>
          <w:rtl/>
        </w:rPr>
        <w:t xml:space="preserve"> من الاتفاقية. فإذا كان على الدولة الطرف التزام التصرف </w:t>
      </w:r>
      <w:r w:rsidRPr="006B1BED">
        <w:rPr>
          <w:spacing w:val="-4"/>
          <w:rtl/>
        </w:rPr>
        <w:t>لكنها لم تتخذ أي تدابير لضمان الحقوق المكرسة في الاتفاقية، فيجب مساءلتها عن هذا الامتناع. ولضمان</w:t>
      </w:r>
      <w:r>
        <w:rPr>
          <w:rtl/>
        </w:rPr>
        <w:t xml:space="preserve"> تنفيذ المادة </w:t>
      </w:r>
      <w:r w:rsidRPr="00582767">
        <w:rPr>
          <w:rtl/>
        </w:rPr>
        <w:t>6</w:t>
      </w:r>
      <w:r>
        <w:rPr>
          <w:rtl/>
        </w:rPr>
        <w:t>(</w:t>
      </w:r>
      <w:r w:rsidRPr="00582767">
        <w:rPr>
          <w:rtl/>
        </w:rPr>
        <w:t>2</w:t>
      </w:r>
      <w:r w:rsidR="009770BA" w:rsidRPr="009770BA">
        <w:rPr>
          <w:rtl/>
        </w:rPr>
        <w:t xml:space="preserve">)، </w:t>
      </w:r>
      <w:r>
        <w:rPr>
          <w:rtl/>
        </w:rPr>
        <w:t>كان ينبغي للدولة الطرف إعادة الأطفال إلى وطنهم. ولم تقدم الدولة الطرف أي حجج معقولة بشأن سبب عدم إمكانية إعادة هؤلاء الأطفال بعينهم إلى وطنهم، في حين أنها أعادت غيرهم</w:t>
      </w:r>
      <w:r w:rsidR="006E3C06">
        <w:rPr>
          <w:rtl/>
        </w:rPr>
        <w:t>.</w:t>
      </w:r>
      <w:r>
        <w:rPr>
          <w:rtl/>
        </w:rPr>
        <w:t xml:space="preserve"> وبناء على ذلك، تكون الدولة الطرف قد انتهكت المادة </w:t>
      </w:r>
      <w:r w:rsidRPr="00582767">
        <w:rPr>
          <w:rtl/>
        </w:rPr>
        <w:t>6</w:t>
      </w:r>
      <w:r>
        <w:rPr>
          <w:rtl/>
        </w:rPr>
        <w:t>(</w:t>
      </w:r>
      <w:r w:rsidR="009770BA" w:rsidRPr="00582767">
        <w:rPr>
          <w:rtl/>
        </w:rPr>
        <w:t>2</w:t>
      </w:r>
      <w:r w:rsidR="009770BA" w:rsidRPr="009770BA">
        <w:rPr>
          <w:rtl/>
        </w:rPr>
        <w:t xml:space="preserve">) </w:t>
      </w:r>
      <w:r>
        <w:rPr>
          <w:rtl/>
        </w:rPr>
        <w:t>من الاتفاقية.</w:t>
      </w:r>
    </w:p>
    <w:p w14:paraId="78A41E80" w14:textId="63DCB5A4" w:rsidR="009770BA" w:rsidRPr="009770BA" w:rsidRDefault="00A02D6F" w:rsidP="00A02D6F">
      <w:pPr>
        <w:pStyle w:val="SingleTxtGA"/>
        <w:rPr>
          <w:rtl/>
        </w:rPr>
      </w:pPr>
      <w:r w:rsidRPr="00582767">
        <w:rPr>
          <w:rtl/>
        </w:rPr>
        <w:t>7</w:t>
      </w:r>
      <w:r>
        <w:rPr>
          <w:rtl/>
        </w:rPr>
        <w:t>-</w:t>
      </w:r>
      <w:r>
        <w:rPr>
          <w:rtl/>
        </w:rPr>
        <w:tab/>
        <w:t xml:space="preserve">وفيما يتعلق بالمادة </w:t>
      </w:r>
      <w:r w:rsidRPr="00582767">
        <w:rPr>
          <w:rtl/>
        </w:rPr>
        <w:t>37</w:t>
      </w:r>
      <w:r>
        <w:rPr>
          <w:rtl/>
        </w:rPr>
        <w:t xml:space="preserve">(ب) من الاتفاقية، نؤكد مجدداً أن لجنة التحقيق الدولية المستقلة المعنية بالجمهورية العربية السورية ذكرت أن آلاف النساء والأطفال ما زالوا محتجزين بصورة غير قانونية </w:t>
      </w:r>
      <w:r w:rsidRPr="009770BA">
        <w:rPr>
          <w:spacing w:val="-2"/>
          <w:rtl/>
        </w:rPr>
        <w:t>في</w:t>
      </w:r>
      <w:r w:rsidR="009770BA" w:rsidRPr="009770BA">
        <w:rPr>
          <w:rFonts w:hint="cs"/>
          <w:spacing w:val="-2"/>
          <w:rtl/>
        </w:rPr>
        <w:t> </w:t>
      </w:r>
      <w:r w:rsidRPr="009770BA">
        <w:rPr>
          <w:spacing w:val="-2"/>
          <w:rtl/>
        </w:rPr>
        <w:t>مخيمات في جميع أنحاء شمال شرق الجمهورية العربية السورية في الأراضي التي يسيطر عليها تحالف</w:t>
      </w:r>
      <w:r>
        <w:rPr>
          <w:rtl/>
        </w:rPr>
        <w:t xml:space="preserve"> قوات سوريا الديمقراطية الذي يقوده الأكراد. ونظر</w:t>
      </w:r>
      <w:r>
        <w:rPr>
          <w:rtl/>
        </w:rPr>
        <w:t>اً</w:t>
      </w:r>
      <w:r>
        <w:rPr>
          <w:rtl/>
        </w:rPr>
        <w:t xml:space="preserve"> للاشتباه في علاقتهم بداعش، لم يتمكنوا من اللجوء إلى القضاء، ومعرفة تاريخ انتهاء محنتهم، وتُركوا لتدبر أمورهم بأنفسهم في ظروف قد تبلغ حد </w:t>
      </w:r>
      <w:r w:rsidRPr="009770BA">
        <w:rPr>
          <w:spacing w:val="-2"/>
          <w:rtl/>
        </w:rPr>
        <w:t>المعاملة القاسية أو اللاإنسانية. ومع ذلك، ما زال معظم الأطفال الأجانب محرومين من حريتهم، لأن بلدانهم</w:t>
      </w:r>
      <w:r>
        <w:rPr>
          <w:rtl/>
        </w:rPr>
        <w:t xml:space="preserve"> الأصلية ترفض إعادتهم إلى وطنهم. ومعظم هؤلاء دون سن </w:t>
      </w:r>
      <w:r w:rsidRPr="00582767">
        <w:rPr>
          <w:rtl/>
        </w:rPr>
        <w:t>12</w:t>
      </w:r>
      <w:r>
        <w:rPr>
          <w:rtl/>
        </w:rPr>
        <w:t xml:space="preserve"> عاماً. ولا أحد يتهمهم بارتكاب جرائم، ومع ذلك، فهم محتجزون منذ أكثر من ثلاث سنوات في ظروف مروعة، وحُرموا حقهم في التعليم واللعب والرعاية الصحية المناسبة</w:t>
      </w:r>
      <w:r w:rsidR="009770BA" w:rsidRPr="00582767">
        <w:rPr>
          <w:rStyle w:val="FootnoteReference"/>
          <w:rtl/>
        </w:rPr>
        <w:t>(</w:t>
      </w:r>
      <w:r w:rsidR="009770BA" w:rsidRPr="00582767">
        <w:rPr>
          <w:rStyle w:val="FootnoteReference"/>
          <w:lang w:val="en-US"/>
        </w:rPr>
        <w:footnoteReference w:id="34"/>
      </w:r>
      <w:r w:rsidR="009770BA" w:rsidRPr="009770BA">
        <w:rPr>
          <w:vertAlign w:val="superscript"/>
          <w:rtl/>
        </w:rPr>
        <w:t>)</w:t>
      </w:r>
      <w:r w:rsidR="009770BA" w:rsidRPr="009770BA">
        <w:rPr>
          <w:rtl/>
        </w:rPr>
        <w:t>.</w:t>
      </w:r>
    </w:p>
    <w:p w14:paraId="0C2D3996" w14:textId="4B33112E" w:rsidR="00A02D6F" w:rsidRDefault="00A02D6F" w:rsidP="00A02D6F">
      <w:pPr>
        <w:pStyle w:val="SingleTxtGA"/>
        <w:rPr>
          <w:rtl/>
        </w:rPr>
      </w:pPr>
      <w:r w:rsidRPr="00582767">
        <w:rPr>
          <w:rtl/>
        </w:rPr>
        <w:t>8</w:t>
      </w:r>
      <w:r>
        <w:rPr>
          <w:rtl/>
        </w:rPr>
        <w:t>-</w:t>
      </w:r>
      <w:r>
        <w:rPr>
          <w:rtl/>
        </w:rPr>
        <w:tab/>
        <w:t>ولا يخضع الأطفال الضحايا لأي أوامر احتجاز ولم تُتخذ في حقهم أي إجراءات قانونية محلي</w:t>
      </w:r>
      <w:r>
        <w:rPr>
          <w:rtl/>
        </w:rPr>
        <w:t>اً</w:t>
      </w:r>
      <w:r>
        <w:rPr>
          <w:rtl/>
        </w:rPr>
        <w:t>. وعلاوة على ذلك، يُعتبر استمرار احتجاز أطفال صغار ليسوا أطراف</w:t>
      </w:r>
      <w:r>
        <w:rPr>
          <w:rtl/>
        </w:rPr>
        <w:t>اً</w:t>
      </w:r>
      <w:r>
        <w:rPr>
          <w:rtl/>
        </w:rPr>
        <w:t xml:space="preserve"> في النزاع، وينبغي معاملتهم ضحايا في المقام الأول، إجراءً غير قانوني وغير متناسب يبلغ حد الاحتجاز التعسفي، وهو ما يشكل انتهاك</w:t>
      </w:r>
      <w:r>
        <w:rPr>
          <w:rtl/>
        </w:rPr>
        <w:t>اً</w:t>
      </w:r>
      <w:r>
        <w:rPr>
          <w:rtl/>
        </w:rPr>
        <w:t xml:space="preserve"> للمادة </w:t>
      </w:r>
      <w:r w:rsidRPr="00582767">
        <w:rPr>
          <w:rtl/>
        </w:rPr>
        <w:t>37</w:t>
      </w:r>
      <w:r>
        <w:rPr>
          <w:rtl/>
        </w:rPr>
        <w:t>(ب) من الاتفاقية، بما في ذلك مبدأي استخدام الاحتجاز ملاذاً أخيراً ولأقصر فترة مناسبة.</w:t>
      </w:r>
    </w:p>
    <w:p w14:paraId="3E06F480" w14:textId="53098271" w:rsidR="00A02D6F" w:rsidRDefault="00A02D6F" w:rsidP="00A02D6F">
      <w:pPr>
        <w:pStyle w:val="SingleTxtGA"/>
        <w:rPr>
          <w:rtl/>
        </w:rPr>
      </w:pPr>
      <w:r w:rsidRPr="00582767">
        <w:rPr>
          <w:rtl/>
        </w:rPr>
        <w:lastRenderedPageBreak/>
        <w:t>9</w:t>
      </w:r>
      <w:r>
        <w:rPr>
          <w:rtl/>
        </w:rPr>
        <w:t>-</w:t>
      </w:r>
      <w:r>
        <w:rPr>
          <w:rtl/>
        </w:rPr>
        <w:tab/>
        <w:t xml:space="preserve">والسؤال المطروح هو ما إذا كانت الدولة الطرف مسؤولة عن احتجاز الأطفال </w:t>
      </w:r>
      <w:proofErr w:type="gramStart"/>
      <w:r>
        <w:rPr>
          <w:rtl/>
        </w:rPr>
        <w:t xml:space="preserve">الضحايا، </w:t>
      </w:r>
      <w:r w:rsidR="00BA181F">
        <w:rPr>
          <w:rFonts w:hint="cs"/>
          <w:rtl/>
        </w:rPr>
        <w:t xml:space="preserve">  </w:t>
      </w:r>
      <w:proofErr w:type="gramEnd"/>
      <w:r w:rsidR="00BA181F">
        <w:rPr>
          <w:rFonts w:hint="cs"/>
          <w:rtl/>
        </w:rPr>
        <w:t xml:space="preserve">        </w:t>
      </w:r>
      <w:r>
        <w:rPr>
          <w:rtl/>
        </w:rPr>
        <w:t xml:space="preserve">ومن ثم مسؤولة عن انتهاك المادة </w:t>
      </w:r>
      <w:r w:rsidRPr="00582767">
        <w:rPr>
          <w:rtl/>
        </w:rPr>
        <w:t>37</w:t>
      </w:r>
      <w:r>
        <w:rPr>
          <w:rtl/>
        </w:rPr>
        <w:t>(ب) من الاتفاقية. فهي لم تتخذ أي إجراء مباشر أفضى إلى احتجازهم. غير أنها ملزمة، بصفتها دولة طرف</w:t>
      </w:r>
      <w:r>
        <w:rPr>
          <w:rtl/>
        </w:rPr>
        <w:t>اً</w:t>
      </w:r>
      <w:r>
        <w:rPr>
          <w:rtl/>
        </w:rPr>
        <w:t>، باتخاذ تدابير لضمان عودتهم، وفق</w:t>
      </w:r>
      <w:r>
        <w:rPr>
          <w:rtl/>
        </w:rPr>
        <w:t>اً</w:t>
      </w:r>
      <w:r>
        <w:rPr>
          <w:rtl/>
        </w:rPr>
        <w:t xml:space="preserve"> للمادة </w:t>
      </w:r>
      <w:r w:rsidRPr="00582767">
        <w:rPr>
          <w:rtl/>
        </w:rPr>
        <w:t>4</w:t>
      </w:r>
      <w:r>
        <w:rPr>
          <w:rtl/>
        </w:rPr>
        <w:t xml:space="preserve"> من الاتفاقية. ولم تُعِد الدولة الطرف الأطفال الضحايا إلى وطنهم، الأمر الذي أفضى إلى احتجازهم التعسفي المطول وغير القانوني. وبناء على ذلك، نرى أن الدولة الطرف ملزمة بذلك وكان بإمكانها فعلي</w:t>
      </w:r>
      <w:r>
        <w:rPr>
          <w:rtl/>
        </w:rPr>
        <w:t>اً</w:t>
      </w:r>
      <w:r>
        <w:rPr>
          <w:rtl/>
        </w:rPr>
        <w:t xml:space="preserve"> منع الاحتجاز المطول </w:t>
      </w:r>
      <w:r w:rsidRPr="00555668">
        <w:rPr>
          <w:spacing w:val="-4"/>
          <w:rtl/>
        </w:rPr>
        <w:t>للأطفال الضحايا بإعادتهم إلى وطنهم، وهي من ثم مسؤولة عن عدم اضطلاعها بذلك بموجب المادة</w:t>
      </w:r>
      <w:r w:rsidR="00BA181F">
        <w:rPr>
          <w:rFonts w:hint="cs"/>
          <w:spacing w:val="-4"/>
          <w:rtl/>
        </w:rPr>
        <w:t> </w:t>
      </w:r>
      <w:r w:rsidRPr="00582767">
        <w:rPr>
          <w:spacing w:val="-4"/>
          <w:rtl/>
        </w:rPr>
        <w:t>37</w:t>
      </w:r>
      <w:r w:rsidRPr="00555668">
        <w:rPr>
          <w:spacing w:val="-4"/>
          <w:rtl/>
        </w:rPr>
        <w:t>(ب)</w:t>
      </w:r>
      <w:r>
        <w:rPr>
          <w:rtl/>
        </w:rPr>
        <w:t xml:space="preserve"> من الاتفاقية.</w:t>
      </w:r>
    </w:p>
    <w:p w14:paraId="46DB77EC" w14:textId="5116752E" w:rsidR="00B92435" w:rsidRDefault="00A02D6F" w:rsidP="00A02D6F">
      <w:pPr>
        <w:pStyle w:val="SingleTxtGA"/>
        <w:rPr>
          <w:rtl/>
        </w:rPr>
      </w:pPr>
      <w:r w:rsidRPr="00582767">
        <w:rPr>
          <w:rtl/>
        </w:rPr>
        <w:t>10</w:t>
      </w:r>
      <w:r>
        <w:rPr>
          <w:rFonts w:hint="cs"/>
          <w:rtl/>
        </w:rPr>
        <w:t>-</w:t>
      </w:r>
      <w:r>
        <w:rPr>
          <w:rtl/>
        </w:rPr>
        <w:tab/>
        <w:t>وختاماً فيما يتعلق بالأطفال ال</w:t>
      </w:r>
      <w:r w:rsidR="00555668">
        <w:rPr>
          <w:rFonts w:hint="cs"/>
          <w:rtl/>
        </w:rPr>
        <w:t>‍</w:t>
      </w:r>
      <w:r>
        <w:rPr>
          <w:rtl/>
        </w:rPr>
        <w:t xml:space="preserve"> </w:t>
      </w:r>
      <w:r w:rsidRPr="00582767">
        <w:rPr>
          <w:rtl/>
        </w:rPr>
        <w:t>33</w:t>
      </w:r>
      <w:r>
        <w:rPr>
          <w:rtl/>
        </w:rPr>
        <w:t xml:space="preserve"> المذكورين في البلاغ الذين لم يتم التعرف عليهم بطريقة أدق، وهو ما أفضى إلى عدم تمكن اللجنة من دراسة حالتهم في هذا البلاغ، نرى أن جميع المعلومات المتاحة للمجتمع الدولي، بما في ذلك الدولة الطرف، تتطلب إجراء تحقيقات شاملة للغاية لمحاولة التعرف عليهم وتزويدهم بأشد المساعدات إلحاح</w:t>
      </w:r>
      <w:r>
        <w:rPr>
          <w:rtl/>
        </w:rPr>
        <w:t>اً</w:t>
      </w:r>
      <w:r>
        <w:rPr>
          <w:rtl/>
        </w:rPr>
        <w:t xml:space="preserve"> التي تقتضيها حالتهم. ويدل عدم تمكن أي شخص بالغ، على ما يبدو، من الحديث نيابة عنهم والدفاع عن حقوقهم على أنهم في وضع أشد ضعف</w:t>
      </w:r>
      <w:r>
        <w:rPr>
          <w:rtl/>
        </w:rPr>
        <w:t>اً</w:t>
      </w:r>
      <w:r>
        <w:rPr>
          <w:rtl/>
        </w:rPr>
        <w:t>، وهذا الأمر يعني أنه يجب على الدولة الطرف بذل جهود أكبر لضمان احترام حقوقهم الأساسية.</w:t>
      </w:r>
    </w:p>
    <w:p w14:paraId="435D75EA" w14:textId="738160FB" w:rsidR="00555668" w:rsidRPr="00555668" w:rsidRDefault="00555668" w:rsidP="00555668">
      <w:pPr>
        <w:pStyle w:val="SingleTxtGA"/>
        <w:jc w:val="center"/>
        <w:rPr>
          <w:u w:val="single"/>
          <w:rtl/>
        </w:rPr>
      </w:pPr>
      <w:r>
        <w:rPr>
          <w:u w:val="single"/>
          <w:rtl/>
        </w:rPr>
        <w:tab/>
      </w:r>
      <w:r>
        <w:rPr>
          <w:u w:val="single"/>
          <w:rtl/>
        </w:rPr>
        <w:tab/>
      </w:r>
      <w:r>
        <w:rPr>
          <w:u w:val="single"/>
          <w:rtl/>
        </w:rPr>
        <w:tab/>
      </w:r>
    </w:p>
    <w:sectPr w:rsidR="00555668" w:rsidRPr="00555668" w:rsidSect="007F7C9B">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0E5E" w14:textId="77777777" w:rsidR="008F52C5" w:rsidRPr="002901D9" w:rsidRDefault="008F52C5" w:rsidP="00A749D0">
      <w:pPr>
        <w:spacing w:after="60" w:line="240" w:lineRule="auto"/>
        <w:ind w:left="57"/>
        <w:rPr>
          <w:i/>
          <w:iCs/>
        </w:rPr>
      </w:pPr>
      <w:r>
        <w:rPr>
          <w:rFonts w:hint="cs"/>
          <w:i/>
          <w:iCs/>
          <w:rtl/>
        </w:rPr>
        <w:t>الحواشي</w:t>
      </w:r>
    </w:p>
  </w:endnote>
  <w:endnote w:type="continuationSeparator" w:id="0">
    <w:p w14:paraId="1994ECF9" w14:textId="77777777" w:rsidR="008F52C5" w:rsidRDefault="008F52C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50C7" w14:textId="6BE31170" w:rsidR="00B92435" w:rsidRPr="007F7C9B" w:rsidRDefault="007F7C9B" w:rsidP="007F7C9B">
    <w:pPr>
      <w:pStyle w:val="Footer"/>
      <w:tabs>
        <w:tab w:val="right" w:pos="9638"/>
      </w:tabs>
      <w:rPr>
        <w:b/>
        <w:sz w:val="18"/>
        <w:lang w:val="en-US"/>
      </w:rPr>
    </w:pPr>
    <w:r>
      <w:rPr>
        <w:lang w:val="en-US"/>
      </w:rPr>
      <w:t>GE.</w:t>
    </w:r>
    <w:r w:rsidRPr="007F7C9B">
      <w:rPr>
        <w:lang w:val="en-US"/>
      </w:rPr>
      <w:t>22</w:t>
    </w:r>
    <w:r>
      <w:rPr>
        <w:lang w:val="en-US"/>
      </w:rPr>
      <w:t>-</w:t>
    </w:r>
    <w:r w:rsidRPr="007F7C9B">
      <w:rPr>
        <w:lang w:val="en-US"/>
      </w:rPr>
      <w:t>17170</w:t>
    </w:r>
    <w:r>
      <w:rPr>
        <w:lang w:val="en-US"/>
      </w:rPr>
      <w:tab/>
    </w: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15</w:t>
    </w:r>
    <w:r>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10F0" w14:textId="138FBEA2" w:rsidR="006959B0" w:rsidRPr="00B92435" w:rsidRDefault="00B92435" w:rsidP="00B92435">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GE.22-17170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8F03" w14:textId="044F3600" w:rsidR="001D5AC0" w:rsidRPr="00B92435" w:rsidRDefault="00B92435" w:rsidP="00B92435">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3041F656" wp14:editId="5807CFD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66" name="Picture 66"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22-17170 (A)</w:t>
    </w:r>
    <w:r>
      <w:rPr>
        <w:noProof/>
        <w:sz w:val="20"/>
        <w:lang w:val="en-US"/>
      </w:rPr>
      <w:drawing>
        <wp:anchor distT="0" distB="0" distL="114300" distR="114300" simplePos="0" relativeHeight="251659264" behindDoc="0" locked="0" layoutInCell="1" allowOverlap="1" wp14:anchorId="020387EA" wp14:editId="78FACC13">
          <wp:simplePos x="0" y="0"/>
          <wp:positionH relativeFrom="margin">
            <wp:posOffset>0</wp:posOffset>
          </wp:positionH>
          <wp:positionV relativeFrom="margin">
            <wp:posOffset>8891905</wp:posOffset>
          </wp:positionV>
          <wp:extent cx="561975" cy="561975"/>
          <wp:effectExtent l="0" t="0" r="9525" b="9525"/>
          <wp:wrapNone/>
          <wp:docPr id="67"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3CD" w14:textId="13FD70B5" w:rsidR="007F7C9B" w:rsidRPr="007F7C9B" w:rsidRDefault="007F7C9B" w:rsidP="007F7C9B">
    <w:pPr>
      <w:pStyle w:val="Footer"/>
      <w:tabs>
        <w:tab w:val="right" w:pos="9638"/>
      </w:tabs>
      <w:rPr>
        <w:b/>
        <w:sz w:val="18"/>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2</w:t>
    </w:r>
    <w:r>
      <w:rPr>
        <w:b/>
        <w:sz w:val="18"/>
        <w:lang w:val="en-US"/>
      </w:rPr>
      <w:fldChar w:fldCharType="end"/>
    </w:r>
    <w:r>
      <w:rPr>
        <w:b/>
        <w:sz w:val="18"/>
        <w:rtl/>
        <w:lang w:val="en-US"/>
      </w:rPr>
      <w:tab/>
    </w:r>
    <w:r w:rsidRPr="007F7C9B">
      <w:rPr>
        <w:lang w:val="en-US"/>
      </w:rPr>
      <w:t>GE</w:t>
    </w:r>
    <w:r w:rsidRPr="007F7C9B">
      <w:rPr>
        <w:rtl/>
        <w:lang w:val="en-US"/>
      </w:rPr>
      <w:t>.</w:t>
    </w:r>
    <w:r w:rsidRPr="007F7C9B">
      <w:rPr>
        <w:lang w:val="en-US"/>
      </w:rPr>
      <w:t>22</w:t>
    </w:r>
    <w:r w:rsidRPr="007F7C9B">
      <w:rPr>
        <w:rtl/>
        <w:lang w:val="en-US"/>
      </w:rPr>
      <w:t>-</w:t>
    </w:r>
    <w:r w:rsidRPr="007F7C9B">
      <w:rPr>
        <w:lang w:val="en-US"/>
      </w:rPr>
      <w:t>17170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E0E3" w14:textId="77777777" w:rsidR="007F7C9B" w:rsidRPr="00B92435" w:rsidRDefault="007F7C9B" w:rsidP="00B92435">
    <w:pPr>
      <w:pStyle w:val="Footer"/>
      <w:spacing w:before="600"/>
      <w:ind w:left="567"/>
      <w:jc w:val="right"/>
      <w:rPr>
        <w:sz w:val="20"/>
        <w:lang w:val="en-US"/>
      </w:rPr>
    </w:pPr>
    <w:r>
      <w:rPr>
        <w:sz w:val="20"/>
        <w:lang w:val="en-US"/>
      </w:rPr>
      <w:t>GE.</w:t>
    </w:r>
    <w:r>
      <w:rPr>
        <w:noProof/>
      </w:rPr>
      <w:drawing>
        <wp:anchor distT="0" distB="0" distL="114300" distR="114300" simplePos="0" relativeHeight="251661312" behindDoc="1" locked="1" layoutInCell="0" allowOverlap="1" wp14:anchorId="1D492AFA" wp14:editId="1B02696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68" name="Picture 68"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22-17170 (A)</w:t>
    </w:r>
    <w:r>
      <w:rPr>
        <w:noProof/>
        <w:sz w:val="20"/>
        <w:lang w:val="en-US"/>
      </w:rPr>
      <w:drawing>
        <wp:anchor distT="0" distB="0" distL="114300" distR="114300" simplePos="0" relativeHeight="251662336" behindDoc="0" locked="0" layoutInCell="1" allowOverlap="1" wp14:anchorId="46915653" wp14:editId="50A98ECF">
          <wp:simplePos x="0" y="0"/>
          <wp:positionH relativeFrom="margin">
            <wp:posOffset>0</wp:posOffset>
          </wp:positionH>
          <wp:positionV relativeFrom="margin">
            <wp:posOffset>8891905</wp:posOffset>
          </wp:positionV>
          <wp:extent cx="561975" cy="561975"/>
          <wp:effectExtent l="0" t="0" r="9525" b="9525"/>
          <wp:wrapNone/>
          <wp:docPr id="69"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D7B5" w14:textId="77777777" w:rsidR="008F52C5" w:rsidRPr="00FB280F" w:rsidRDefault="008F52C5"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0C569D2" w14:textId="77777777" w:rsidR="008F52C5" w:rsidRDefault="008F52C5" w:rsidP="00656392">
      <w:pPr>
        <w:spacing w:line="240" w:lineRule="auto"/>
      </w:pPr>
      <w:r>
        <w:continuationSeparator/>
      </w:r>
    </w:p>
  </w:footnote>
  <w:footnote w:id="1">
    <w:p w14:paraId="3FD5EB0A" w14:textId="20185E9D" w:rsidR="00A02D6F" w:rsidRPr="00A02D6F" w:rsidRDefault="00A02D6F" w:rsidP="00A02D6F">
      <w:pPr>
        <w:pStyle w:val="FootnoteText1"/>
        <w:rPr>
          <w:rFonts w:hint="cs"/>
        </w:rPr>
      </w:pPr>
      <w:r>
        <w:rPr>
          <w:rtl/>
        </w:rPr>
        <w:t>*</w:t>
      </w:r>
      <w:r>
        <w:rPr>
          <w:rtl/>
        </w:rPr>
        <w:tab/>
      </w:r>
      <w:r w:rsidRPr="00A02D6F">
        <w:rPr>
          <w:rtl/>
        </w:rPr>
        <w:t>اعتمدتها اللجنة في دورتها الحادية والتسعين (</w:t>
      </w:r>
      <w:r w:rsidRPr="00582767">
        <w:rPr>
          <w:rtl/>
        </w:rPr>
        <w:t>29</w:t>
      </w:r>
      <w:r w:rsidRPr="00A02D6F">
        <w:rPr>
          <w:rtl/>
        </w:rPr>
        <w:t xml:space="preserve"> آب/أغسطس - </w:t>
      </w:r>
      <w:r w:rsidRPr="00582767">
        <w:rPr>
          <w:rtl/>
        </w:rPr>
        <w:t>23</w:t>
      </w:r>
      <w:r w:rsidRPr="00A02D6F">
        <w:rPr>
          <w:rtl/>
        </w:rPr>
        <w:t xml:space="preserve"> أيلول/سبتمبر </w:t>
      </w:r>
      <w:r w:rsidRPr="00582767">
        <w:rPr>
          <w:rtl/>
        </w:rPr>
        <w:t>2022</w:t>
      </w:r>
      <w:r w:rsidR="009770BA" w:rsidRPr="009770BA">
        <w:rPr>
          <w:rtl/>
        </w:rPr>
        <w:t>)</w:t>
      </w:r>
      <w:r w:rsidR="009770BA" w:rsidRPr="009770BA">
        <w:rPr>
          <w:rtl/>
        </w:rPr>
        <w:t xml:space="preserve">. </w:t>
      </w:r>
    </w:p>
  </w:footnote>
  <w:footnote w:id="2">
    <w:p w14:paraId="55CDB176" w14:textId="576EF249" w:rsidR="00A02D6F" w:rsidRPr="00A02D6F" w:rsidRDefault="00A02D6F" w:rsidP="00A02D6F">
      <w:pPr>
        <w:pStyle w:val="FootnoteText1"/>
        <w:rPr>
          <w:rFonts w:hint="cs"/>
        </w:rPr>
      </w:pPr>
      <w:r>
        <w:rPr>
          <w:rtl/>
        </w:rPr>
        <w:t>**</w:t>
      </w:r>
      <w:r>
        <w:rPr>
          <w:rtl/>
        </w:rPr>
        <w:tab/>
      </w:r>
      <w:r w:rsidRPr="00A02D6F">
        <w:rPr>
          <w:rtl/>
        </w:rPr>
        <w:t xml:space="preserve">شارك في دراسة هذه البلاغات أعضاء اللجنة التالية أسماؤهم: سوزان أهو، </w:t>
      </w:r>
      <w:proofErr w:type="spellStart"/>
      <w:r w:rsidRPr="00A02D6F">
        <w:rPr>
          <w:rtl/>
        </w:rPr>
        <w:t>وعيْستو</w:t>
      </w:r>
      <w:proofErr w:type="spellEnd"/>
      <w:r w:rsidRPr="00A02D6F">
        <w:rPr>
          <w:rtl/>
        </w:rPr>
        <w:t xml:space="preserve"> </w:t>
      </w:r>
      <w:proofErr w:type="spellStart"/>
      <w:r w:rsidRPr="00A02D6F">
        <w:rPr>
          <w:rtl/>
        </w:rPr>
        <w:t>ألسان</w:t>
      </w:r>
      <w:proofErr w:type="spellEnd"/>
      <w:r w:rsidRPr="00A02D6F">
        <w:rPr>
          <w:rtl/>
        </w:rPr>
        <w:t xml:space="preserve"> مولاي، وهند الأيوبي الإدريسي، </w:t>
      </w:r>
      <w:proofErr w:type="spellStart"/>
      <w:r w:rsidRPr="00E4149B">
        <w:rPr>
          <w:spacing w:val="-4"/>
          <w:rtl/>
        </w:rPr>
        <w:t>ورينتشن</w:t>
      </w:r>
      <w:proofErr w:type="spellEnd"/>
      <w:r w:rsidRPr="00E4149B">
        <w:rPr>
          <w:spacing w:val="-4"/>
          <w:rtl/>
        </w:rPr>
        <w:t xml:space="preserve"> </w:t>
      </w:r>
      <w:proofErr w:type="spellStart"/>
      <w:r w:rsidRPr="00E4149B">
        <w:rPr>
          <w:spacing w:val="-4"/>
          <w:rtl/>
        </w:rPr>
        <w:t>تشوبهيل</w:t>
      </w:r>
      <w:proofErr w:type="spellEnd"/>
      <w:r w:rsidRPr="00E4149B">
        <w:rPr>
          <w:spacing w:val="-4"/>
          <w:rtl/>
        </w:rPr>
        <w:t xml:space="preserve">، وبراغي </w:t>
      </w:r>
      <w:proofErr w:type="spellStart"/>
      <w:r w:rsidRPr="00E4149B">
        <w:rPr>
          <w:spacing w:val="-4"/>
          <w:rtl/>
        </w:rPr>
        <w:t>غودبرانسون</w:t>
      </w:r>
      <w:proofErr w:type="spellEnd"/>
      <w:r w:rsidRPr="00E4149B">
        <w:rPr>
          <w:spacing w:val="-4"/>
          <w:rtl/>
        </w:rPr>
        <w:t xml:space="preserve">، وفيليب يافي، </w:t>
      </w:r>
      <w:proofErr w:type="spellStart"/>
      <w:r w:rsidRPr="00E4149B">
        <w:rPr>
          <w:spacing w:val="-4"/>
          <w:rtl/>
        </w:rPr>
        <w:t>وصوبيو</w:t>
      </w:r>
      <w:proofErr w:type="spellEnd"/>
      <w:r w:rsidRPr="00E4149B">
        <w:rPr>
          <w:spacing w:val="-4"/>
          <w:rtl/>
        </w:rPr>
        <w:t xml:space="preserve"> </w:t>
      </w:r>
      <w:proofErr w:type="spellStart"/>
      <w:r w:rsidRPr="00E4149B">
        <w:rPr>
          <w:spacing w:val="-4"/>
          <w:rtl/>
        </w:rPr>
        <w:t>كيالدزي</w:t>
      </w:r>
      <w:proofErr w:type="spellEnd"/>
      <w:r w:rsidRPr="00E4149B">
        <w:rPr>
          <w:spacing w:val="-4"/>
          <w:rtl/>
        </w:rPr>
        <w:t xml:space="preserve">، وجهاد ماضي، </w:t>
      </w:r>
      <w:proofErr w:type="spellStart"/>
      <w:r w:rsidRPr="00E4149B">
        <w:rPr>
          <w:spacing w:val="-4"/>
          <w:rtl/>
        </w:rPr>
        <w:t>وفييث</w:t>
      </w:r>
      <w:proofErr w:type="spellEnd"/>
      <w:r w:rsidRPr="00E4149B">
        <w:rPr>
          <w:spacing w:val="-4"/>
          <w:rtl/>
        </w:rPr>
        <w:t xml:space="preserve"> مارشال - هاريس، وبنيام داويت مزمور،</w:t>
      </w:r>
      <w:r w:rsidRPr="00A02D6F">
        <w:rPr>
          <w:rtl/>
        </w:rPr>
        <w:t xml:space="preserve"> وكلارنس نيلسون، وأوتاني </w:t>
      </w:r>
      <w:proofErr w:type="spellStart"/>
      <w:r w:rsidRPr="00A02D6F">
        <w:rPr>
          <w:rtl/>
        </w:rPr>
        <w:t>ميكيكو</w:t>
      </w:r>
      <w:proofErr w:type="spellEnd"/>
      <w:r w:rsidRPr="00A02D6F">
        <w:rPr>
          <w:rtl/>
        </w:rPr>
        <w:t xml:space="preserve">، ولويس </w:t>
      </w:r>
      <w:proofErr w:type="spellStart"/>
      <w:r w:rsidRPr="00A02D6F">
        <w:rPr>
          <w:rtl/>
        </w:rPr>
        <w:t>إرنستو</w:t>
      </w:r>
      <w:proofErr w:type="spellEnd"/>
      <w:r w:rsidRPr="00A02D6F">
        <w:rPr>
          <w:rtl/>
        </w:rPr>
        <w:t xml:space="preserve"> </w:t>
      </w:r>
      <w:proofErr w:type="spellStart"/>
      <w:r w:rsidRPr="00A02D6F">
        <w:rPr>
          <w:rtl/>
        </w:rPr>
        <w:t>بيدرنيرا</w:t>
      </w:r>
      <w:proofErr w:type="spellEnd"/>
      <w:r w:rsidRPr="00A02D6F">
        <w:rPr>
          <w:rtl/>
        </w:rPr>
        <w:t xml:space="preserve"> رينا، وخوسيه أنخيل </w:t>
      </w:r>
      <w:proofErr w:type="spellStart"/>
      <w:r w:rsidRPr="00A02D6F">
        <w:rPr>
          <w:rtl/>
        </w:rPr>
        <w:t>رودريغيس</w:t>
      </w:r>
      <w:proofErr w:type="spellEnd"/>
      <w:r w:rsidRPr="00A02D6F">
        <w:rPr>
          <w:rtl/>
        </w:rPr>
        <w:t xml:space="preserve"> </w:t>
      </w:r>
      <w:proofErr w:type="spellStart"/>
      <w:r w:rsidRPr="00A02D6F">
        <w:rPr>
          <w:rtl/>
        </w:rPr>
        <w:t>رييس</w:t>
      </w:r>
      <w:proofErr w:type="spellEnd"/>
      <w:r w:rsidRPr="00A02D6F">
        <w:rPr>
          <w:rtl/>
        </w:rPr>
        <w:t xml:space="preserve">، وآن </w:t>
      </w:r>
      <w:proofErr w:type="spellStart"/>
      <w:r w:rsidRPr="00A02D6F">
        <w:rPr>
          <w:rtl/>
        </w:rPr>
        <w:t>سكيلتون</w:t>
      </w:r>
      <w:proofErr w:type="spellEnd"/>
      <w:r w:rsidRPr="00A02D6F">
        <w:rPr>
          <w:rtl/>
        </w:rPr>
        <w:t xml:space="preserve">، وفيلينا </w:t>
      </w:r>
      <w:proofErr w:type="spellStart"/>
      <w:r w:rsidRPr="00A02D6F">
        <w:rPr>
          <w:rtl/>
        </w:rPr>
        <w:t>تودوروفا</w:t>
      </w:r>
      <w:proofErr w:type="spellEnd"/>
      <w:r w:rsidRPr="00A02D6F">
        <w:rPr>
          <w:rtl/>
        </w:rPr>
        <w:t xml:space="preserve">، وبونوا فان </w:t>
      </w:r>
      <w:proofErr w:type="spellStart"/>
      <w:r w:rsidRPr="00A02D6F">
        <w:rPr>
          <w:rtl/>
        </w:rPr>
        <w:t>كايرسبليك</w:t>
      </w:r>
      <w:proofErr w:type="spellEnd"/>
      <w:r w:rsidRPr="00A02D6F">
        <w:rPr>
          <w:rtl/>
        </w:rPr>
        <w:t xml:space="preserve">، </w:t>
      </w:r>
      <w:proofErr w:type="spellStart"/>
      <w:r w:rsidRPr="00A02D6F">
        <w:rPr>
          <w:rtl/>
        </w:rPr>
        <w:t>وراتو</w:t>
      </w:r>
      <w:proofErr w:type="spellEnd"/>
      <w:r w:rsidRPr="00A02D6F">
        <w:rPr>
          <w:rtl/>
        </w:rPr>
        <w:t xml:space="preserve"> زارة</w:t>
      </w:r>
      <w:r w:rsidR="009770BA">
        <w:rPr>
          <w:rtl/>
        </w:rPr>
        <w:t xml:space="preserve">. </w:t>
      </w:r>
    </w:p>
  </w:footnote>
  <w:footnote w:id="3">
    <w:p w14:paraId="35DB7954" w14:textId="19F962A5" w:rsidR="00A02D6F" w:rsidRPr="00A02D6F" w:rsidRDefault="00A02D6F" w:rsidP="00A02D6F">
      <w:pPr>
        <w:pStyle w:val="FootnoteText1"/>
        <w:rPr>
          <w:rFonts w:hint="cs"/>
        </w:rPr>
      </w:pPr>
      <w:r>
        <w:rPr>
          <w:rtl/>
        </w:rPr>
        <w:t>***</w:t>
      </w:r>
      <w:r>
        <w:rPr>
          <w:rtl/>
        </w:rPr>
        <w:tab/>
      </w:r>
      <w:r w:rsidRPr="00A02D6F">
        <w:rPr>
          <w:rtl/>
        </w:rPr>
        <w:t xml:space="preserve">يرد في مرفق هذه الآراء رأي مشترك (متفِق) صاغه لويس </w:t>
      </w:r>
      <w:proofErr w:type="spellStart"/>
      <w:r w:rsidRPr="00A02D6F">
        <w:rPr>
          <w:rtl/>
        </w:rPr>
        <w:t>إرنستو</w:t>
      </w:r>
      <w:proofErr w:type="spellEnd"/>
      <w:r w:rsidRPr="00A02D6F">
        <w:rPr>
          <w:rtl/>
        </w:rPr>
        <w:t xml:space="preserve"> </w:t>
      </w:r>
      <w:proofErr w:type="spellStart"/>
      <w:r w:rsidRPr="00A02D6F">
        <w:rPr>
          <w:rtl/>
        </w:rPr>
        <w:t>بيدرنيرا</w:t>
      </w:r>
      <w:proofErr w:type="spellEnd"/>
      <w:r w:rsidRPr="00A02D6F">
        <w:rPr>
          <w:rtl/>
        </w:rPr>
        <w:t xml:space="preserve"> رينا، وبونوا فان </w:t>
      </w:r>
      <w:proofErr w:type="spellStart"/>
      <w:r w:rsidRPr="00A02D6F">
        <w:rPr>
          <w:rtl/>
        </w:rPr>
        <w:t>كايرسبليك</w:t>
      </w:r>
      <w:proofErr w:type="spellEnd"/>
      <w:r w:rsidR="009770BA">
        <w:rPr>
          <w:rtl/>
        </w:rPr>
        <w:t xml:space="preserve">. </w:t>
      </w:r>
    </w:p>
  </w:footnote>
  <w:footnote w:id="4">
    <w:p w14:paraId="3ECA06D7" w14:textId="77777777" w:rsidR="009770BA" w:rsidRPr="00A02D6F" w:rsidRDefault="009770BA" w:rsidP="009770BA">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582767">
        <w:rPr>
          <w:i/>
          <w:iCs/>
          <w:rtl/>
        </w:rPr>
        <w:t>س. ه. وآخرون ضد فرنسا</w:t>
      </w:r>
      <w:r w:rsidRPr="007F1676">
        <w:rPr>
          <w:rtl/>
        </w:rPr>
        <w:t xml:space="preserve"> </w:t>
      </w:r>
      <w:r w:rsidRPr="00A02D6F">
        <w:rPr>
          <w:rtl/>
        </w:rPr>
        <w:t>(</w:t>
      </w:r>
      <w:hyperlink r:id="rId1" w:history="1">
        <w:r w:rsidRPr="009770BA">
          <w:rPr>
            <w:rStyle w:val="Hyperlink"/>
          </w:rPr>
          <w:t>CRC/C/</w:t>
        </w:r>
        <w:r w:rsidRPr="00582767">
          <w:rPr>
            <w:rStyle w:val="Hyperlink"/>
          </w:rPr>
          <w:t>85</w:t>
        </w:r>
        <w:r w:rsidRPr="009770BA">
          <w:rPr>
            <w:rStyle w:val="Hyperlink"/>
          </w:rPr>
          <w:t>/D/</w:t>
        </w:r>
        <w:r w:rsidRPr="00582767">
          <w:rPr>
            <w:rStyle w:val="Hyperlink"/>
          </w:rPr>
          <w:t>79</w:t>
        </w:r>
        <w:r w:rsidRPr="009770BA">
          <w:rPr>
            <w:rStyle w:val="Hyperlink"/>
          </w:rPr>
          <w:t>/</w:t>
        </w:r>
        <w:r w:rsidRPr="00582767">
          <w:rPr>
            <w:rStyle w:val="Hyperlink"/>
          </w:rPr>
          <w:t>2019</w:t>
        </w:r>
        <w:r w:rsidRPr="009770BA">
          <w:rPr>
            <w:rStyle w:val="Hyperlink"/>
          </w:rPr>
          <w:t>-CRC/C/</w:t>
        </w:r>
        <w:r w:rsidRPr="00582767">
          <w:rPr>
            <w:rStyle w:val="Hyperlink"/>
          </w:rPr>
          <w:t>85</w:t>
        </w:r>
        <w:r w:rsidRPr="009770BA">
          <w:rPr>
            <w:rStyle w:val="Hyperlink"/>
          </w:rPr>
          <w:t>/D/</w:t>
        </w:r>
        <w:r w:rsidRPr="00582767">
          <w:rPr>
            <w:rStyle w:val="Hyperlink"/>
          </w:rPr>
          <w:t>109</w:t>
        </w:r>
        <w:r w:rsidRPr="009770BA">
          <w:rPr>
            <w:rStyle w:val="Hyperlink"/>
          </w:rPr>
          <w:t>/</w:t>
        </w:r>
        <w:r w:rsidRPr="00582767">
          <w:rPr>
            <w:rStyle w:val="Hyperlink"/>
          </w:rPr>
          <w:t>2019</w:t>
        </w:r>
      </w:hyperlink>
      <w:r w:rsidRPr="009770BA">
        <w:rPr>
          <w:rtl/>
        </w:rPr>
        <w:t xml:space="preserve">)، </w:t>
      </w:r>
      <w:r w:rsidRPr="007F1676">
        <w:rPr>
          <w:rtl/>
        </w:rPr>
        <w:t xml:space="preserve">الفقرة </w:t>
      </w:r>
      <w:r w:rsidRPr="00582767">
        <w:rPr>
          <w:rtl/>
        </w:rPr>
        <w:t>9</w:t>
      </w:r>
      <w:r w:rsidRPr="00A02D6F">
        <w:rPr>
          <w:rtl/>
        </w:rPr>
        <w:t>-</w:t>
      </w:r>
      <w:r w:rsidRPr="00582767">
        <w:rPr>
          <w:rtl/>
        </w:rPr>
        <w:t>4</w:t>
      </w:r>
      <w:r w:rsidRPr="009770BA">
        <w:rPr>
          <w:rtl/>
        </w:rPr>
        <w:t xml:space="preserve">. </w:t>
      </w:r>
    </w:p>
  </w:footnote>
  <w:footnote w:id="5">
    <w:p w14:paraId="2E6ADE61"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الفقرة </w:t>
      </w:r>
      <w:r w:rsidRPr="00582767">
        <w:rPr>
          <w:rtl/>
        </w:rPr>
        <w:t>12</w:t>
      </w:r>
      <w:r w:rsidRPr="009770BA">
        <w:rPr>
          <w:rtl/>
        </w:rPr>
        <w:t xml:space="preserve">. </w:t>
      </w:r>
    </w:p>
  </w:footnote>
  <w:footnote w:id="6">
    <w:p w14:paraId="7AAA658E"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Pr>
          <w:noProof/>
        </w:rPr>
        <w:t>Application N</w:t>
      </w:r>
      <w:r w:rsidRPr="009770BA">
        <w:rPr>
          <w:noProof/>
        </w:rPr>
        <w:t xml:space="preserve">o. </w:t>
      </w:r>
      <w:r w:rsidRPr="00582767">
        <w:rPr>
          <w:noProof/>
        </w:rPr>
        <w:t>52207</w:t>
      </w:r>
      <w:r w:rsidRPr="00EC339C">
        <w:rPr>
          <w:noProof/>
        </w:rPr>
        <w:t>/</w:t>
      </w:r>
      <w:r w:rsidRPr="00582767">
        <w:rPr>
          <w:noProof/>
        </w:rPr>
        <w:t>99</w:t>
      </w:r>
      <w:r w:rsidRPr="009770BA">
        <w:rPr>
          <w:noProof/>
        </w:rPr>
        <w:t xml:space="preserve">, </w:t>
      </w:r>
      <w:r>
        <w:rPr>
          <w:noProof/>
        </w:rPr>
        <w:t>Decisio</w:t>
      </w:r>
      <w:r w:rsidRPr="009770BA">
        <w:rPr>
          <w:noProof/>
        </w:rPr>
        <w:t>n,</w:t>
      </w:r>
      <w:r w:rsidRPr="009770BA">
        <w:t xml:space="preserve"> </w:t>
      </w:r>
      <w:r w:rsidRPr="00582767">
        <w:t>12</w:t>
      </w:r>
      <w:r>
        <w:t xml:space="preserve"> December </w:t>
      </w:r>
      <w:r w:rsidRPr="00582767">
        <w:t>2001</w:t>
      </w:r>
      <w:r w:rsidRPr="009770BA">
        <w:t>,</w:t>
      </w:r>
      <w:r w:rsidRPr="009770BA">
        <w:rPr>
          <w:noProof/>
        </w:rPr>
        <w:t xml:space="preserve"> </w:t>
      </w:r>
      <w:r>
        <w:rPr>
          <w:noProof/>
        </w:rPr>
        <w:t>para</w:t>
      </w:r>
      <w:r w:rsidRPr="009770BA">
        <w:rPr>
          <w:noProof/>
        </w:rPr>
        <w:t xml:space="preserve">s. </w:t>
      </w:r>
      <w:r w:rsidRPr="00582767">
        <w:rPr>
          <w:noProof/>
        </w:rPr>
        <w:t>59</w:t>
      </w:r>
      <w:r w:rsidRPr="00EC339C">
        <w:rPr>
          <w:noProof/>
        </w:rPr>
        <w:t xml:space="preserve"> </w:t>
      </w:r>
      <w:r>
        <w:rPr>
          <w:noProof/>
        </w:rPr>
        <w:t>f</w:t>
      </w:r>
      <w:r w:rsidRPr="009770BA">
        <w:rPr>
          <w:noProof/>
        </w:rPr>
        <w:t>f</w:t>
      </w:r>
      <w:r w:rsidRPr="009770BA">
        <w:rPr>
          <w:rtl/>
        </w:rPr>
        <w:t xml:space="preserve">. </w:t>
      </w:r>
    </w:p>
  </w:footnote>
  <w:footnote w:id="7">
    <w:p w14:paraId="5C460D59" w14:textId="77777777" w:rsidR="009770BA" w:rsidRPr="00A02D6F" w:rsidRDefault="009770BA" w:rsidP="009770BA">
      <w:pPr>
        <w:pStyle w:val="FootnoteText1"/>
        <w:textDirection w:val="tbRlV"/>
      </w:pPr>
      <w:r w:rsidRPr="00A02D6F">
        <w:rPr>
          <w:rtl/>
        </w:rPr>
        <w:t>(</w:t>
      </w:r>
      <w:r w:rsidRPr="00582767">
        <w:rPr>
          <w:rStyle w:val="FootnoteReference"/>
          <w:vertAlign w:val="baseline"/>
        </w:rPr>
        <w:footnoteRef/>
      </w:r>
      <w:r w:rsidRPr="00A02D6F">
        <w:rPr>
          <w:rtl/>
        </w:rPr>
        <w:t>)</w:t>
      </w:r>
      <w:r>
        <w:rPr>
          <w:rtl/>
        </w:rPr>
        <w:tab/>
      </w:r>
      <w:proofErr w:type="spellStart"/>
      <w:r w:rsidRPr="00582767">
        <w:rPr>
          <w:i/>
          <w:iCs/>
          <w:spacing w:val="-2"/>
        </w:rPr>
        <w:t>Roitman</w:t>
      </w:r>
      <w:proofErr w:type="spellEnd"/>
      <w:r w:rsidRPr="00582767">
        <w:rPr>
          <w:i/>
          <w:iCs/>
          <w:spacing w:val="-2"/>
        </w:rPr>
        <w:t xml:space="preserve"> </w:t>
      </w:r>
      <w:proofErr w:type="spellStart"/>
      <w:r w:rsidRPr="00582767">
        <w:rPr>
          <w:i/>
          <w:iCs/>
          <w:spacing w:val="-2"/>
        </w:rPr>
        <w:t>Rosenmann</w:t>
      </w:r>
      <w:proofErr w:type="spellEnd"/>
      <w:r w:rsidRPr="00582767">
        <w:rPr>
          <w:i/>
          <w:iCs/>
          <w:spacing w:val="-2"/>
        </w:rPr>
        <w:t xml:space="preserve"> v. Spain</w:t>
      </w:r>
      <w:r w:rsidRPr="00780BCC">
        <w:rPr>
          <w:spacing w:val="-2"/>
        </w:rPr>
        <w:t xml:space="preserve"> (</w:t>
      </w:r>
      <w:hyperlink r:id="rId2" w:history="1">
        <w:r w:rsidRPr="009770BA">
          <w:rPr>
            <w:rStyle w:val="Hyperlink"/>
          </w:rPr>
          <w:t>CAT/C/</w:t>
        </w:r>
        <w:r w:rsidRPr="00582767">
          <w:rPr>
            <w:rStyle w:val="Hyperlink"/>
          </w:rPr>
          <w:t>28</w:t>
        </w:r>
        <w:r w:rsidRPr="009770BA">
          <w:rPr>
            <w:rStyle w:val="Hyperlink"/>
          </w:rPr>
          <w:t>/D/</w:t>
        </w:r>
        <w:r w:rsidRPr="00582767">
          <w:rPr>
            <w:rStyle w:val="Hyperlink"/>
          </w:rPr>
          <w:t>176</w:t>
        </w:r>
        <w:r w:rsidRPr="009770BA">
          <w:rPr>
            <w:rStyle w:val="Hyperlink"/>
          </w:rPr>
          <w:t>/</w:t>
        </w:r>
        <w:r w:rsidRPr="00582767">
          <w:rPr>
            <w:rStyle w:val="Hyperlink"/>
          </w:rPr>
          <w:t>2000</w:t>
        </w:r>
      </w:hyperlink>
      <w:r w:rsidRPr="00780BCC">
        <w:rPr>
          <w:spacing w:val="-2"/>
        </w:rPr>
        <w:t xml:space="preserve"> and </w:t>
      </w:r>
      <w:hyperlink r:id="rId3" w:history="1">
        <w:r w:rsidRPr="009770BA">
          <w:rPr>
            <w:rStyle w:val="Hyperlink"/>
          </w:rPr>
          <w:t>CAT/C/</w:t>
        </w:r>
        <w:r w:rsidRPr="00582767">
          <w:rPr>
            <w:rStyle w:val="Hyperlink"/>
          </w:rPr>
          <w:t>28</w:t>
        </w:r>
        <w:r w:rsidRPr="009770BA">
          <w:rPr>
            <w:rStyle w:val="Hyperlink"/>
          </w:rPr>
          <w:t>/D/</w:t>
        </w:r>
        <w:r w:rsidRPr="00582767">
          <w:rPr>
            <w:rStyle w:val="Hyperlink"/>
          </w:rPr>
          <w:t>176</w:t>
        </w:r>
        <w:r w:rsidRPr="009770BA">
          <w:rPr>
            <w:rStyle w:val="Hyperlink"/>
          </w:rPr>
          <w:t>/</w:t>
        </w:r>
        <w:r w:rsidRPr="00582767">
          <w:rPr>
            <w:rStyle w:val="Hyperlink"/>
          </w:rPr>
          <w:t>2000</w:t>
        </w:r>
        <w:r w:rsidRPr="009770BA">
          <w:rPr>
            <w:rStyle w:val="Hyperlink"/>
          </w:rPr>
          <w:t>/Corr.</w:t>
        </w:r>
        <w:r w:rsidRPr="00582767">
          <w:rPr>
            <w:rStyle w:val="Hyperlink"/>
          </w:rPr>
          <w:t>1</w:t>
        </w:r>
      </w:hyperlink>
      <w:r w:rsidRPr="009770BA">
        <w:rPr>
          <w:spacing w:val="-2"/>
        </w:rPr>
        <w:t xml:space="preserve">), </w:t>
      </w:r>
      <w:r w:rsidRPr="00780BCC">
        <w:rPr>
          <w:spacing w:val="-2"/>
        </w:rPr>
        <w:t>par</w:t>
      </w:r>
      <w:r w:rsidRPr="009770BA">
        <w:rPr>
          <w:spacing w:val="-2"/>
        </w:rPr>
        <w:t xml:space="preserve">a. </w:t>
      </w:r>
      <w:r w:rsidRPr="00582767">
        <w:rPr>
          <w:spacing w:val="-2"/>
        </w:rPr>
        <w:t>6</w:t>
      </w:r>
      <w:r w:rsidRPr="00780BCC">
        <w:rPr>
          <w:spacing w:val="-2"/>
        </w:rPr>
        <w:t>.</w:t>
      </w:r>
      <w:r w:rsidRPr="00582767">
        <w:rPr>
          <w:spacing w:val="-2"/>
        </w:rPr>
        <w:t>6</w:t>
      </w:r>
      <w:r w:rsidRPr="00780BCC">
        <w:rPr>
          <w:rFonts w:hint="cs"/>
          <w:spacing w:val="-2"/>
          <w:rtl/>
        </w:rPr>
        <w:t>؛</w:t>
      </w:r>
      <w:r>
        <w:rPr>
          <w:rtl/>
        </w:rPr>
        <w:t xml:space="preserve"> و</w:t>
      </w:r>
      <w:r w:rsidRPr="00582767">
        <w:rPr>
          <w:i/>
          <w:iCs/>
          <w:rtl/>
        </w:rPr>
        <w:t>ز. ضد أستراليا</w:t>
      </w:r>
      <w:r w:rsidRPr="00A02D6F">
        <w:rPr>
          <w:rtl/>
        </w:rPr>
        <w:t xml:space="preserve"> (</w:t>
      </w:r>
      <w:hyperlink r:id="rId4" w:history="1">
        <w:r w:rsidRPr="009770BA">
          <w:rPr>
            <w:rStyle w:val="Hyperlink"/>
          </w:rPr>
          <w:t>CAT/C/</w:t>
        </w:r>
        <w:r w:rsidRPr="00582767">
          <w:rPr>
            <w:rStyle w:val="Hyperlink"/>
          </w:rPr>
          <w:t>53</w:t>
        </w:r>
        <w:r w:rsidRPr="009770BA">
          <w:rPr>
            <w:rStyle w:val="Hyperlink"/>
          </w:rPr>
          <w:t>/D/</w:t>
        </w:r>
        <w:r w:rsidRPr="00582767">
          <w:rPr>
            <w:rStyle w:val="Hyperlink"/>
          </w:rPr>
          <w:t>511</w:t>
        </w:r>
        <w:r w:rsidRPr="009770BA">
          <w:rPr>
            <w:rStyle w:val="Hyperlink"/>
          </w:rPr>
          <w:t>/</w:t>
        </w:r>
        <w:r w:rsidRPr="00582767">
          <w:rPr>
            <w:rStyle w:val="Hyperlink"/>
          </w:rPr>
          <w:t>2012</w:t>
        </w:r>
      </w:hyperlink>
      <w:r w:rsidRPr="009770BA">
        <w:rPr>
          <w:rtl/>
        </w:rPr>
        <w:t xml:space="preserve">)؛ </w:t>
      </w:r>
      <w:r w:rsidRPr="007F1676">
        <w:rPr>
          <w:rtl/>
        </w:rPr>
        <w:t>و</w:t>
      </w:r>
      <w:r w:rsidRPr="00582767">
        <w:rPr>
          <w:i/>
          <w:iCs/>
          <w:rtl/>
        </w:rPr>
        <w:t>عجيزة ضد السويد</w:t>
      </w:r>
      <w:r w:rsidRPr="00A02D6F">
        <w:rPr>
          <w:rtl/>
        </w:rPr>
        <w:t xml:space="preserve"> (</w:t>
      </w:r>
      <w:hyperlink r:id="rId5" w:history="1">
        <w:r w:rsidRPr="009770BA">
          <w:rPr>
            <w:rStyle w:val="Hyperlink"/>
          </w:rPr>
          <w:t>CAT/C/</w:t>
        </w:r>
        <w:r w:rsidRPr="00582767">
          <w:rPr>
            <w:rStyle w:val="Hyperlink"/>
          </w:rPr>
          <w:t>34</w:t>
        </w:r>
        <w:r w:rsidRPr="009770BA">
          <w:rPr>
            <w:rStyle w:val="Hyperlink"/>
          </w:rPr>
          <w:t>/D/</w:t>
        </w:r>
        <w:r w:rsidRPr="00582767">
          <w:rPr>
            <w:rStyle w:val="Hyperlink"/>
          </w:rPr>
          <w:t>233</w:t>
        </w:r>
        <w:r w:rsidRPr="009770BA">
          <w:rPr>
            <w:rStyle w:val="Hyperlink"/>
          </w:rPr>
          <w:t>/</w:t>
        </w:r>
        <w:r w:rsidRPr="00582767">
          <w:rPr>
            <w:rStyle w:val="Hyperlink"/>
          </w:rPr>
          <w:t>2003</w:t>
        </w:r>
      </w:hyperlink>
      <w:r w:rsidRPr="009770BA">
        <w:rPr>
          <w:rtl/>
        </w:rPr>
        <w:t>)</w:t>
      </w:r>
      <w:r w:rsidRPr="009770BA">
        <w:rPr>
          <w:rtl/>
        </w:rPr>
        <w:t xml:space="preserve">. </w:t>
      </w:r>
    </w:p>
  </w:footnote>
  <w:footnote w:id="8">
    <w:p w14:paraId="5AF8E9E2" w14:textId="77777777" w:rsidR="009770BA" w:rsidRPr="00A02D6F" w:rsidRDefault="009770BA" w:rsidP="00A02D6F">
      <w:pPr>
        <w:pStyle w:val="FootnoteText1"/>
        <w:textDirection w:val="tbRlV"/>
        <w:rPr>
          <w:rtl/>
          <w:lang w:bidi="en-GB"/>
        </w:rPr>
      </w:pPr>
      <w:r w:rsidRPr="00A02D6F">
        <w:rPr>
          <w:rtl/>
        </w:rPr>
        <w:t>(</w:t>
      </w:r>
      <w:r w:rsidRPr="00582767">
        <w:rPr>
          <w:rStyle w:val="FootnoteReference"/>
          <w:vertAlign w:val="baseline"/>
        </w:rPr>
        <w:footnoteRef/>
      </w:r>
      <w:r w:rsidRPr="00A02D6F">
        <w:rPr>
          <w:rtl/>
        </w:rPr>
        <w:t>)</w:t>
      </w:r>
      <w:r>
        <w:rPr>
          <w:rtl/>
        </w:rPr>
        <w:tab/>
      </w:r>
      <w:r w:rsidRPr="007F1676">
        <w:rPr>
          <w:rtl/>
        </w:rPr>
        <w:t xml:space="preserve">تحيل الدولة الطرف إلى التعليق العام المشترك رقم </w:t>
      </w:r>
      <w:r w:rsidRPr="00582767">
        <w:rPr>
          <w:rtl/>
        </w:rPr>
        <w:t>3</w:t>
      </w:r>
      <w:r w:rsidRPr="007F1676">
        <w:rPr>
          <w:rtl/>
        </w:rPr>
        <w:t xml:space="preserve"> للجنة المعنية بحماية حقوق جميع العمال المهاجرين وأفراد أسرهم ورقم </w:t>
      </w:r>
      <w:r w:rsidRPr="00582767">
        <w:rPr>
          <w:rtl/>
        </w:rPr>
        <w:t>22</w:t>
      </w:r>
      <w:r w:rsidRPr="007F1676">
        <w:rPr>
          <w:rtl/>
        </w:rPr>
        <w:t xml:space="preserve"> للجنة حقوق الطفل </w:t>
      </w:r>
      <w:r w:rsidRPr="00A02D6F">
        <w:rPr>
          <w:rtl/>
        </w:rPr>
        <w:t>(</w:t>
      </w:r>
      <w:r w:rsidRPr="00582767">
        <w:rPr>
          <w:rtl/>
        </w:rPr>
        <w:t>2017</w:t>
      </w:r>
      <w:r w:rsidRPr="009770BA">
        <w:rPr>
          <w:rtl/>
        </w:rPr>
        <w:t xml:space="preserve">)، </w:t>
      </w:r>
      <w:r w:rsidRPr="007F1676">
        <w:rPr>
          <w:rtl/>
        </w:rPr>
        <w:t xml:space="preserve">الفقرة </w:t>
      </w:r>
      <w:r w:rsidRPr="00582767">
        <w:rPr>
          <w:rtl/>
        </w:rPr>
        <w:t>12</w:t>
      </w:r>
      <w:r w:rsidRPr="009770BA">
        <w:rPr>
          <w:rtl/>
        </w:rPr>
        <w:t xml:space="preserve">. </w:t>
      </w:r>
      <w:r w:rsidRPr="007F1676">
        <w:rPr>
          <w:rtl/>
        </w:rPr>
        <w:t xml:space="preserve">والتعليق العام رقم </w:t>
      </w:r>
      <w:r w:rsidRPr="00582767">
        <w:rPr>
          <w:rtl/>
        </w:rPr>
        <w:t>31</w:t>
      </w:r>
      <w:r w:rsidRPr="00A02D6F">
        <w:rPr>
          <w:rtl/>
        </w:rPr>
        <w:t>(</w:t>
      </w:r>
      <w:r w:rsidRPr="00582767">
        <w:rPr>
          <w:rtl/>
        </w:rPr>
        <w:t>2004</w:t>
      </w:r>
      <w:r w:rsidRPr="009770BA">
        <w:rPr>
          <w:rtl/>
        </w:rPr>
        <w:t xml:space="preserve">) </w:t>
      </w:r>
      <w:r w:rsidRPr="007F1676">
        <w:rPr>
          <w:rtl/>
        </w:rPr>
        <w:t>للجنة المعنية بحقوق الإنسان؛</w:t>
      </w:r>
      <w:r>
        <w:rPr>
          <w:rFonts w:hint="cs"/>
          <w:rtl/>
        </w:rPr>
        <w:t xml:space="preserve"> </w:t>
      </w:r>
      <w:r w:rsidRPr="00E60210">
        <w:rPr>
          <w:noProof/>
        </w:rPr>
        <w:t>European Court of Human Right</w:t>
      </w:r>
      <w:r w:rsidRPr="009770BA">
        <w:rPr>
          <w:noProof/>
        </w:rPr>
        <w:t xml:space="preserve">s, </w:t>
      </w:r>
      <w:r w:rsidRPr="00582767">
        <w:rPr>
          <w:i/>
          <w:iCs/>
          <w:noProof/>
        </w:rPr>
        <w:t>Al Skeini and others v. United Kingdom</w:t>
      </w:r>
      <w:r w:rsidRPr="009770BA">
        <w:rPr>
          <w:noProof/>
        </w:rPr>
        <w:t>,</w:t>
      </w:r>
      <w:r w:rsidRPr="00582767">
        <w:rPr>
          <w:i/>
          <w:iCs/>
          <w:noProof/>
        </w:rPr>
        <w:t xml:space="preserve"> </w:t>
      </w:r>
      <w:r w:rsidRPr="00203296">
        <w:rPr>
          <w:noProof/>
        </w:rPr>
        <w:t>A</w:t>
      </w:r>
      <w:r w:rsidRPr="00E60210">
        <w:rPr>
          <w:noProof/>
        </w:rPr>
        <w:t>pplication N</w:t>
      </w:r>
      <w:r w:rsidRPr="009770BA">
        <w:rPr>
          <w:noProof/>
        </w:rPr>
        <w:t xml:space="preserve">o. </w:t>
      </w:r>
      <w:r w:rsidRPr="00582767">
        <w:rPr>
          <w:noProof/>
        </w:rPr>
        <w:t>55721</w:t>
      </w:r>
      <w:r w:rsidRPr="00E60210">
        <w:rPr>
          <w:noProof/>
        </w:rPr>
        <w:t>/</w:t>
      </w:r>
      <w:r w:rsidRPr="00582767">
        <w:rPr>
          <w:noProof/>
        </w:rPr>
        <w:t>07</w:t>
      </w:r>
      <w:r w:rsidRPr="009770BA">
        <w:rPr>
          <w:noProof/>
        </w:rPr>
        <w:t xml:space="preserve">, </w:t>
      </w:r>
      <w:r w:rsidRPr="00203296">
        <w:rPr>
          <w:noProof/>
        </w:rPr>
        <w:t>J</w:t>
      </w:r>
      <w:r>
        <w:rPr>
          <w:noProof/>
        </w:rPr>
        <w:t>u</w:t>
      </w:r>
      <w:r w:rsidRPr="00E60210">
        <w:rPr>
          <w:noProof/>
        </w:rPr>
        <w:t>dgmen</w:t>
      </w:r>
      <w:r w:rsidRPr="009770BA">
        <w:rPr>
          <w:noProof/>
        </w:rPr>
        <w:t xml:space="preserve">t, </w:t>
      </w:r>
      <w:r w:rsidRPr="00582767">
        <w:rPr>
          <w:noProof/>
        </w:rPr>
        <w:t>7</w:t>
      </w:r>
      <w:r w:rsidRPr="00E60210">
        <w:rPr>
          <w:noProof/>
        </w:rPr>
        <w:t xml:space="preserve"> July </w:t>
      </w:r>
      <w:r w:rsidRPr="00582767">
        <w:rPr>
          <w:noProof/>
        </w:rPr>
        <w:t>2011</w:t>
      </w:r>
      <w:r w:rsidRPr="009770BA">
        <w:rPr>
          <w:noProof/>
        </w:rPr>
        <w:t xml:space="preserve">, </w:t>
      </w:r>
      <w:r w:rsidRPr="001F6F29">
        <w:rPr>
          <w:noProof/>
        </w:rPr>
        <w:t>par</w:t>
      </w:r>
      <w:r w:rsidRPr="009770BA">
        <w:rPr>
          <w:noProof/>
        </w:rPr>
        <w:t xml:space="preserve">a. </w:t>
      </w:r>
      <w:r w:rsidRPr="00582767">
        <w:rPr>
          <w:noProof/>
        </w:rPr>
        <w:t>138</w:t>
      </w:r>
      <w:r w:rsidRPr="009770BA">
        <w:rPr>
          <w:noProof/>
        </w:rPr>
        <w:t xml:space="preserve">; </w:t>
      </w:r>
      <w:r w:rsidRPr="001B3B59">
        <w:rPr>
          <w:noProof/>
        </w:rPr>
        <w:t xml:space="preserve">and </w:t>
      </w:r>
      <w:r w:rsidRPr="001B3B59">
        <w:t>Inter-American Commission on Human Right</w:t>
      </w:r>
      <w:r w:rsidRPr="009770BA">
        <w:t>s</w:t>
      </w:r>
      <w:r w:rsidRPr="009770BA">
        <w:rPr>
          <w:noProof/>
        </w:rPr>
        <w:t xml:space="preserve">, </w:t>
      </w:r>
      <w:r w:rsidRPr="00582767">
        <w:rPr>
          <w:i/>
          <w:iCs/>
          <w:noProof/>
        </w:rPr>
        <w:t>Djamel Ameziane v. United States</w:t>
      </w:r>
      <w:r w:rsidRPr="009770BA">
        <w:rPr>
          <w:noProof/>
        </w:rPr>
        <w:t xml:space="preserve">, </w:t>
      </w:r>
      <w:r>
        <w:rPr>
          <w:noProof/>
        </w:rPr>
        <w:t>Admissibilit</w:t>
      </w:r>
      <w:r w:rsidRPr="009770BA">
        <w:rPr>
          <w:noProof/>
        </w:rPr>
        <w:t xml:space="preserve">y, </w:t>
      </w:r>
      <w:r w:rsidRPr="00582767">
        <w:rPr>
          <w:noProof/>
        </w:rPr>
        <w:t>20</w:t>
      </w:r>
      <w:r w:rsidRPr="009C7BF9">
        <w:rPr>
          <w:noProof/>
        </w:rPr>
        <w:t xml:space="preserve"> March </w:t>
      </w:r>
      <w:r w:rsidRPr="00582767">
        <w:rPr>
          <w:noProof/>
        </w:rPr>
        <w:t>2012</w:t>
      </w:r>
      <w:r w:rsidRPr="009770BA">
        <w:rPr>
          <w:noProof/>
        </w:rPr>
        <w:t xml:space="preserve">, </w:t>
      </w:r>
      <w:r w:rsidRPr="009C7BF9">
        <w:rPr>
          <w:noProof/>
        </w:rPr>
        <w:t>par</w:t>
      </w:r>
      <w:r w:rsidRPr="009770BA">
        <w:rPr>
          <w:noProof/>
        </w:rPr>
        <w:t xml:space="preserve">a. </w:t>
      </w:r>
      <w:r w:rsidRPr="00582767">
        <w:rPr>
          <w:noProof/>
        </w:rPr>
        <w:t>30</w:t>
      </w:r>
      <w:r w:rsidRPr="009770BA">
        <w:rPr>
          <w:rtl/>
        </w:rPr>
        <w:t xml:space="preserve">. </w:t>
      </w:r>
    </w:p>
  </w:footnote>
  <w:footnote w:id="9">
    <w:p w14:paraId="36FD500C"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582767">
        <w:rPr>
          <w:i/>
          <w:iCs/>
          <w:noProof/>
        </w:rPr>
        <w:t>Al Skeini and others v. United Kingdom</w:t>
      </w:r>
      <w:r w:rsidRPr="009770BA">
        <w:rPr>
          <w:noProof/>
        </w:rPr>
        <w:t xml:space="preserve">, </w:t>
      </w:r>
      <w:r>
        <w:rPr>
          <w:noProof/>
        </w:rPr>
        <w:t>par</w:t>
      </w:r>
      <w:r w:rsidRPr="009770BA">
        <w:rPr>
          <w:noProof/>
        </w:rPr>
        <w:t xml:space="preserve">a. </w:t>
      </w:r>
      <w:r w:rsidRPr="00582767">
        <w:rPr>
          <w:noProof/>
        </w:rPr>
        <w:t>134</w:t>
      </w:r>
      <w:r w:rsidRPr="009770BA">
        <w:rPr>
          <w:rtl/>
        </w:rPr>
        <w:t xml:space="preserve">. </w:t>
      </w:r>
    </w:p>
  </w:footnote>
  <w:footnote w:id="10">
    <w:p w14:paraId="65FBA37E"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582767">
        <w:rPr>
          <w:i/>
          <w:iCs/>
          <w:rtl/>
        </w:rPr>
        <w:t>الآثار القانونية الناشئة عن تشييد جدار في الأرض الفلسطينية المحتلة، فتوى، تقارير محكمة العدل الدولية</w:t>
      </w:r>
      <w:r w:rsidRPr="00A02D6F">
        <w:rPr>
          <w:rtl/>
        </w:rPr>
        <w:t xml:space="preserve"> لعام </w:t>
      </w:r>
      <w:r w:rsidRPr="00582767">
        <w:rPr>
          <w:rtl/>
        </w:rPr>
        <w:t>2004</w:t>
      </w:r>
      <w:r w:rsidRPr="007F1676">
        <w:rPr>
          <w:rtl/>
        </w:rPr>
        <w:t xml:space="preserve">، </w:t>
      </w:r>
      <w:r w:rsidRPr="00A02D6F">
        <w:rPr>
          <w:rtl/>
        </w:rPr>
        <w:t>الصفحة</w:t>
      </w:r>
      <w:r>
        <w:rPr>
          <w:rFonts w:hint="cs"/>
          <w:rtl/>
        </w:rPr>
        <w:t> </w:t>
      </w:r>
      <w:r w:rsidRPr="00582767">
        <w:rPr>
          <w:rtl/>
        </w:rPr>
        <w:t>136</w:t>
      </w:r>
      <w:r w:rsidRPr="007F1676">
        <w:rPr>
          <w:rtl/>
        </w:rPr>
        <w:t xml:space="preserve">، </w:t>
      </w:r>
      <w:r w:rsidRPr="00A02D6F">
        <w:rPr>
          <w:rtl/>
        </w:rPr>
        <w:t>الفقرات</w:t>
      </w:r>
      <w:r w:rsidRPr="007F1676">
        <w:rPr>
          <w:rtl/>
        </w:rPr>
        <w:t xml:space="preserve"> </w:t>
      </w:r>
      <w:r w:rsidRPr="00582767">
        <w:rPr>
          <w:rtl/>
        </w:rPr>
        <w:t>109</w:t>
      </w:r>
      <w:r w:rsidRPr="00A02D6F">
        <w:rPr>
          <w:rtl/>
        </w:rPr>
        <w:t>-</w:t>
      </w:r>
      <w:r w:rsidRPr="00582767">
        <w:rPr>
          <w:rtl/>
        </w:rPr>
        <w:t>111</w:t>
      </w:r>
      <w:r w:rsidRPr="009770BA">
        <w:rPr>
          <w:rtl/>
        </w:rPr>
        <w:t xml:space="preserve">. </w:t>
      </w:r>
    </w:p>
  </w:footnote>
  <w:footnote w:id="11">
    <w:p w14:paraId="4FD7FAAE"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582767">
        <w:rPr>
          <w:i/>
          <w:iCs/>
          <w:noProof/>
        </w:rPr>
        <w:t>Ameziane v. United States</w:t>
      </w:r>
      <w:r w:rsidRPr="009770BA">
        <w:rPr>
          <w:noProof/>
        </w:rPr>
        <w:t xml:space="preserve">, </w:t>
      </w:r>
      <w:r w:rsidRPr="00EC339C">
        <w:rPr>
          <w:noProof/>
        </w:rPr>
        <w:t>para</w:t>
      </w:r>
      <w:r w:rsidRPr="009770BA">
        <w:rPr>
          <w:noProof/>
        </w:rPr>
        <w:t xml:space="preserve">s. </w:t>
      </w:r>
      <w:r w:rsidRPr="00582767">
        <w:rPr>
          <w:noProof/>
        </w:rPr>
        <w:t>30</w:t>
      </w:r>
      <w:r>
        <w:rPr>
          <w:noProof/>
        </w:rPr>
        <w:t>–</w:t>
      </w:r>
      <w:r w:rsidRPr="00582767">
        <w:rPr>
          <w:noProof/>
        </w:rPr>
        <w:t>35</w:t>
      </w:r>
      <w:r w:rsidRPr="009770BA">
        <w:rPr>
          <w:rtl/>
        </w:rPr>
        <w:t xml:space="preserve">. </w:t>
      </w:r>
    </w:p>
  </w:footnote>
  <w:footnote w:id="12">
    <w:p w14:paraId="43BBAFEF"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A02D6F">
        <w:rPr>
          <w:rtl/>
        </w:rPr>
        <w:t>لم يُقدّمن مزيد</w:t>
      </w:r>
      <w:r>
        <w:rPr>
          <w:rtl/>
        </w:rPr>
        <w:t>اً</w:t>
      </w:r>
      <w:r w:rsidRPr="00A02D6F">
        <w:rPr>
          <w:rtl/>
        </w:rPr>
        <w:t xml:space="preserve"> من التفاصيل</w:t>
      </w:r>
      <w:r>
        <w:rPr>
          <w:rtl/>
        </w:rPr>
        <w:t xml:space="preserve">. </w:t>
      </w:r>
    </w:p>
  </w:footnote>
  <w:footnote w:id="13">
    <w:p w14:paraId="70042A23"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A02D6F">
        <w:rPr>
          <w:rtl/>
        </w:rPr>
        <w:t>لم يُقدّمن أي تفاصيل أخرى أو نسخ من الوثائق الصادرة عن السلطات المحلية</w:t>
      </w:r>
      <w:r>
        <w:rPr>
          <w:rtl/>
        </w:rPr>
        <w:t xml:space="preserve">. </w:t>
      </w:r>
    </w:p>
  </w:footnote>
  <w:footnote w:id="14">
    <w:p w14:paraId="65F8626C"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A02D6F">
        <w:rPr>
          <w:rtl/>
        </w:rPr>
        <w:t xml:space="preserve">الهيئة المختصة المعيّنة موظفٌ في السلك الدبلوماسي هو المبعوث الخاص الذي عينه وزير الخارجية. ويوجه المبعوث الخاص أنشطة السلطات ويتخذ قرارات الإعادة إلى الوطن وفقاً لدستور فنلندا والالتزامات </w:t>
      </w:r>
      <w:proofErr w:type="spellStart"/>
      <w:r w:rsidRPr="00A02D6F">
        <w:rPr>
          <w:rtl/>
        </w:rPr>
        <w:t>التعاهدية</w:t>
      </w:r>
      <w:proofErr w:type="spellEnd"/>
      <w:r w:rsidRPr="00A02D6F">
        <w:rPr>
          <w:rtl/>
        </w:rPr>
        <w:t xml:space="preserve"> الدولية والتشريعات الوطنية المنطبقة، وعلى أساس كل حالة على حدة</w:t>
      </w:r>
      <w:r>
        <w:rPr>
          <w:rtl/>
        </w:rPr>
        <w:t xml:space="preserve">. </w:t>
      </w:r>
    </w:p>
  </w:footnote>
  <w:footnote w:id="15">
    <w:p w14:paraId="594726FF"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A02D6F">
        <w:rPr>
          <w:rtl/>
        </w:rPr>
        <w:t>توجد نسخة من المقابلة في الملف</w:t>
      </w:r>
      <w:r>
        <w:rPr>
          <w:rtl/>
        </w:rPr>
        <w:t xml:space="preserve">. </w:t>
      </w:r>
    </w:p>
  </w:footnote>
  <w:footnote w:id="16">
    <w:p w14:paraId="5BDEBA68"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A02D6F">
        <w:rPr>
          <w:rtl/>
        </w:rPr>
        <w:t xml:space="preserve">أشرْن </w:t>
      </w:r>
      <w:r w:rsidRPr="007F1676">
        <w:rPr>
          <w:rtl/>
        </w:rPr>
        <w:t xml:space="preserve">إلى قرار اللجنة في قضية </w:t>
      </w:r>
      <w:r w:rsidRPr="00582767">
        <w:rPr>
          <w:i/>
          <w:iCs/>
          <w:rtl/>
        </w:rPr>
        <w:t>س. ه. وآخرون ضد فرنسا</w:t>
      </w:r>
      <w:r>
        <w:rPr>
          <w:rtl/>
        </w:rPr>
        <w:t xml:space="preserve">. </w:t>
      </w:r>
    </w:p>
  </w:footnote>
  <w:footnote w:id="17">
    <w:p w14:paraId="01CD201B" w14:textId="4741F916"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A02D6F">
        <w:rPr>
          <w:rtl/>
        </w:rPr>
        <w:t>استُبعدت الولاية القضائية الإقليمية عمد</w:t>
      </w:r>
      <w:r>
        <w:rPr>
          <w:rtl/>
        </w:rPr>
        <w:t>اً</w:t>
      </w:r>
      <w:r w:rsidRPr="00A02D6F">
        <w:rPr>
          <w:rtl/>
        </w:rPr>
        <w:t xml:space="preserve"> من المادة</w:t>
      </w:r>
      <w:r w:rsidRPr="007F1676">
        <w:rPr>
          <w:rtl/>
        </w:rPr>
        <w:t xml:space="preserve"> </w:t>
      </w:r>
      <w:r w:rsidRPr="00582767">
        <w:rPr>
          <w:rtl/>
        </w:rPr>
        <w:t>2</w:t>
      </w:r>
      <w:r w:rsidRPr="00A02D6F">
        <w:rPr>
          <w:rtl/>
        </w:rPr>
        <w:t>(</w:t>
      </w:r>
      <w:r w:rsidRPr="00582767">
        <w:rPr>
          <w:rtl/>
        </w:rPr>
        <w:t>1</w:t>
      </w:r>
      <w:r w:rsidRPr="009770BA">
        <w:rPr>
          <w:rtl/>
        </w:rPr>
        <w:t xml:space="preserve">) </w:t>
      </w:r>
      <w:r w:rsidRPr="00A02D6F">
        <w:rPr>
          <w:rtl/>
        </w:rPr>
        <w:t xml:space="preserve">من </w:t>
      </w:r>
      <w:proofErr w:type="gramStart"/>
      <w:r w:rsidRPr="00A02D6F">
        <w:rPr>
          <w:rtl/>
        </w:rPr>
        <w:t>الاتفاقية</w:t>
      </w:r>
      <w:r w:rsidRPr="007F1676">
        <w:rPr>
          <w:rtl/>
        </w:rPr>
        <w:t>،</w:t>
      </w:r>
      <w:r>
        <w:rPr>
          <w:noProof/>
        </w:rPr>
        <w:t>(</w:t>
      </w:r>
      <w:proofErr w:type="gramEnd"/>
      <w:r w:rsidRPr="00F273DD">
        <w:rPr>
          <w:noProof/>
        </w:rPr>
        <w:t>Office of the United Nations High Commissioner for Human Right</w:t>
      </w:r>
      <w:r w:rsidRPr="009770BA">
        <w:rPr>
          <w:noProof/>
        </w:rPr>
        <w:t xml:space="preserve">s, </w:t>
      </w:r>
      <w:r w:rsidRPr="00582767">
        <w:rPr>
          <w:i/>
          <w:iCs/>
          <w:noProof/>
        </w:rPr>
        <w:t>Legislative History of the Convention on the Rights of the Child</w:t>
      </w:r>
      <w:r w:rsidRPr="009770BA">
        <w:rPr>
          <w:noProof/>
        </w:rPr>
        <w:t xml:space="preserve">, </w:t>
      </w:r>
      <w:r>
        <w:rPr>
          <w:noProof/>
        </w:rPr>
        <w:t>vo</w:t>
      </w:r>
      <w:r w:rsidRPr="009770BA">
        <w:rPr>
          <w:noProof/>
        </w:rPr>
        <w:t xml:space="preserve">l. </w:t>
      </w:r>
      <w:r w:rsidRPr="00582767">
        <w:rPr>
          <w:noProof/>
        </w:rPr>
        <w:t>1</w:t>
      </w:r>
      <w:r w:rsidRPr="00EC339C">
        <w:rPr>
          <w:noProof/>
        </w:rPr>
        <w:t xml:space="preserve"> </w:t>
      </w:r>
      <w:r w:rsidRPr="007F2453">
        <w:rPr>
          <w:noProof/>
        </w:rPr>
        <w:t>(</w:t>
      </w:r>
      <w:r w:rsidRPr="00EC339C">
        <w:rPr>
          <w:noProof/>
        </w:rPr>
        <w:t>New York</w:t>
      </w:r>
      <w:r>
        <w:rPr>
          <w:noProof/>
        </w:rPr>
        <w:t xml:space="preserve"> and Genev</w:t>
      </w:r>
      <w:r w:rsidRPr="009770BA">
        <w:rPr>
          <w:noProof/>
        </w:rPr>
        <w:t xml:space="preserve">a, </w:t>
      </w:r>
      <w:r w:rsidRPr="00582767">
        <w:rPr>
          <w:noProof/>
        </w:rPr>
        <w:t>2007</w:t>
      </w:r>
      <w:r w:rsidRPr="009770BA">
        <w:rPr>
          <w:noProof/>
        </w:rPr>
        <w:t xml:space="preserve">), </w:t>
      </w:r>
      <w:r w:rsidRPr="0032257B">
        <w:rPr>
          <w:noProof/>
        </w:rPr>
        <w:t>p</w:t>
      </w:r>
      <w:r w:rsidRPr="009770BA">
        <w:rPr>
          <w:noProof/>
        </w:rPr>
        <w:t xml:space="preserve">p. </w:t>
      </w:r>
      <w:r w:rsidRPr="00582767">
        <w:rPr>
          <w:noProof/>
        </w:rPr>
        <w:t>332</w:t>
      </w:r>
      <w:r w:rsidRPr="0032257B">
        <w:rPr>
          <w:noProof/>
        </w:rPr>
        <w:t>–</w:t>
      </w:r>
      <w:r w:rsidRPr="00582767">
        <w:rPr>
          <w:noProof/>
        </w:rPr>
        <w:t>333</w:t>
      </w:r>
      <w:r w:rsidRPr="009770BA">
        <w:rPr>
          <w:rtl/>
        </w:rPr>
        <w:t xml:space="preserve">. </w:t>
      </w:r>
    </w:p>
  </w:footnote>
  <w:footnote w:id="18">
    <w:p w14:paraId="0A06F30C" w14:textId="77777777" w:rsidR="009770BA" w:rsidRPr="00A02D6F" w:rsidRDefault="009770BA" w:rsidP="009770BA">
      <w:pPr>
        <w:pStyle w:val="FootnoteText1"/>
        <w:jc w:val="left"/>
        <w:textDirection w:val="tbRlV"/>
        <w:rPr>
          <w:rtl/>
          <w:lang w:bidi="en-GB"/>
        </w:rPr>
      </w:pPr>
      <w:r w:rsidRPr="00A02D6F">
        <w:rPr>
          <w:rtl/>
        </w:rPr>
        <w:t>(</w:t>
      </w:r>
      <w:r w:rsidRPr="00582767">
        <w:rPr>
          <w:rStyle w:val="FootnoteReference"/>
          <w:vertAlign w:val="baseline"/>
        </w:rPr>
        <w:footnoteRef/>
      </w:r>
      <w:r w:rsidRPr="00A02D6F">
        <w:rPr>
          <w:rtl/>
        </w:rPr>
        <w:t>)</w:t>
      </w:r>
      <w:r>
        <w:rPr>
          <w:rtl/>
        </w:rPr>
        <w:tab/>
      </w:r>
      <w:hyperlink r:id="rId6" w:history="1">
        <w:r w:rsidRPr="009770BA">
          <w:rPr>
            <w:rStyle w:val="Hyperlink"/>
          </w:rPr>
          <w:t>A/</w:t>
        </w:r>
        <w:r w:rsidRPr="00582767">
          <w:rPr>
            <w:rStyle w:val="Hyperlink"/>
          </w:rPr>
          <w:t>70</w:t>
        </w:r>
        <w:r w:rsidRPr="009770BA">
          <w:rPr>
            <w:rStyle w:val="Hyperlink"/>
          </w:rPr>
          <w:t>/</w:t>
        </w:r>
        <w:r w:rsidRPr="00582767">
          <w:rPr>
            <w:rStyle w:val="Hyperlink"/>
          </w:rPr>
          <w:t>303</w:t>
        </w:r>
      </w:hyperlink>
      <w:r w:rsidRPr="007F1676">
        <w:rPr>
          <w:rtl/>
        </w:rPr>
        <w:t xml:space="preserve">، الفقرة </w:t>
      </w:r>
      <w:r w:rsidRPr="00582767">
        <w:rPr>
          <w:rtl/>
        </w:rPr>
        <w:t>33</w:t>
      </w:r>
      <w:r w:rsidRPr="007F1676">
        <w:rPr>
          <w:rtl/>
        </w:rPr>
        <w:t xml:space="preserve">؛ </w:t>
      </w:r>
      <w:hyperlink r:id="rId7" w:history="1">
        <w:r w:rsidRPr="009770BA">
          <w:rPr>
            <w:rStyle w:val="Hyperlink"/>
          </w:rPr>
          <w:t>www.ohchr.org/Documents/Issues/Terrorism/UNSRsPublicJurisdictionAnalysis</w:t>
        </w:r>
        <w:r w:rsidRPr="00582767">
          <w:rPr>
            <w:rStyle w:val="Hyperlink"/>
          </w:rPr>
          <w:t>2020</w:t>
        </w:r>
        <w:r w:rsidRPr="009770BA">
          <w:rPr>
            <w:rStyle w:val="Hyperlink"/>
          </w:rPr>
          <w:t>.pdf</w:t>
        </w:r>
      </w:hyperlink>
      <w:r w:rsidRPr="009770BA">
        <w:rPr>
          <w:noProof/>
          <w:lang w:val="es-ES"/>
        </w:rPr>
        <w:t xml:space="preserve">, </w:t>
      </w:r>
      <w:r w:rsidRPr="00BD503B">
        <w:rPr>
          <w:noProof/>
          <w:lang w:val="es-ES"/>
        </w:rPr>
        <w:t>par</w:t>
      </w:r>
      <w:r w:rsidRPr="009770BA">
        <w:rPr>
          <w:noProof/>
          <w:lang w:val="es-ES"/>
        </w:rPr>
        <w:t xml:space="preserve">a. </w:t>
      </w:r>
      <w:r w:rsidRPr="00582767">
        <w:rPr>
          <w:noProof/>
        </w:rPr>
        <w:t>8</w:t>
      </w:r>
      <w:r w:rsidRPr="009770BA">
        <w:rPr>
          <w:rtl/>
        </w:rPr>
        <w:t xml:space="preserve">. </w:t>
      </w:r>
    </w:p>
  </w:footnote>
  <w:footnote w:id="19">
    <w:p w14:paraId="00FC3305"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التعليق العام المشترك رقم </w:t>
      </w:r>
      <w:r w:rsidRPr="00582767">
        <w:rPr>
          <w:rtl/>
        </w:rPr>
        <w:t>4</w:t>
      </w:r>
      <w:r w:rsidRPr="007F1676">
        <w:rPr>
          <w:rtl/>
        </w:rPr>
        <w:t xml:space="preserve"> للجنة المعنية بحماية حقوق جميع العمال المهاجرين وأفراد أسرهم ورقم </w:t>
      </w:r>
      <w:r w:rsidRPr="00582767">
        <w:rPr>
          <w:rtl/>
        </w:rPr>
        <w:t>23</w:t>
      </w:r>
      <w:r w:rsidRPr="007F1676">
        <w:rPr>
          <w:rtl/>
        </w:rPr>
        <w:t xml:space="preserve"> للجنة حقوق الطفل </w:t>
      </w:r>
      <w:r w:rsidRPr="00A02D6F">
        <w:rPr>
          <w:rtl/>
        </w:rPr>
        <w:t>(</w:t>
      </w:r>
      <w:r w:rsidRPr="00582767">
        <w:rPr>
          <w:rtl/>
        </w:rPr>
        <w:t>2017</w:t>
      </w:r>
      <w:r w:rsidRPr="009770BA">
        <w:rPr>
          <w:rtl/>
        </w:rPr>
        <w:t xml:space="preserve">)، </w:t>
      </w:r>
      <w:r w:rsidRPr="007F1676">
        <w:rPr>
          <w:rtl/>
        </w:rPr>
        <w:t xml:space="preserve">الفقرتان </w:t>
      </w:r>
      <w:r w:rsidRPr="00582767">
        <w:rPr>
          <w:rtl/>
        </w:rPr>
        <w:t>17</w:t>
      </w:r>
      <w:r w:rsidRPr="00A02D6F">
        <w:rPr>
          <w:rtl/>
        </w:rPr>
        <w:t>(</w:t>
      </w:r>
      <w:r w:rsidRPr="007F1676">
        <w:rPr>
          <w:rtl/>
        </w:rPr>
        <w:t>ه</w:t>
      </w:r>
      <w:r w:rsidRPr="00A02D6F">
        <w:rPr>
          <w:rtl/>
        </w:rPr>
        <w:t>)</w:t>
      </w:r>
      <w:r w:rsidRPr="007F1676">
        <w:rPr>
          <w:rtl/>
        </w:rPr>
        <w:t xml:space="preserve"> و</w:t>
      </w:r>
      <w:r w:rsidRPr="00582767">
        <w:rPr>
          <w:rtl/>
        </w:rPr>
        <w:t>19</w:t>
      </w:r>
      <w:r w:rsidRPr="009770BA">
        <w:rPr>
          <w:rtl/>
        </w:rPr>
        <w:t xml:space="preserve">. </w:t>
      </w:r>
    </w:p>
  </w:footnote>
  <w:footnote w:id="20">
    <w:p w14:paraId="0A544B56" w14:textId="77777777" w:rsidR="009770BA" w:rsidRPr="00A02D6F" w:rsidRDefault="009770BA" w:rsidP="009770BA">
      <w:pPr>
        <w:pStyle w:val="FootnoteText1"/>
        <w:textDirection w:val="tbRlV"/>
        <w:rPr>
          <w:rtl/>
          <w:lang w:bidi="en-GB"/>
        </w:rPr>
      </w:pPr>
      <w:r w:rsidRPr="00A02D6F">
        <w:rPr>
          <w:rtl/>
        </w:rPr>
        <w:t>(</w:t>
      </w:r>
      <w:r w:rsidRPr="00582767">
        <w:rPr>
          <w:rStyle w:val="FootnoteReference"/>
          <w:vertAlign w:val="baseline"/>
        </w:rPr>
        <w:footnoteRef/>
      </w:r>
      <w:r w:rsidRPr="00A02D6F">
        <w:rPr>
          <w:rtl/>
        </w:rPr>
        <w:t>)</w:t>
      </w:r>
      <w:r>
        <w:rPr>
          <w:rtl/>
        </w:rPr>
        <w:tab/>
      </w:r>
      <w:hyperlink r:id="rId8" w:history="1">
        <w:r w:rsidRPr="009770BA">
          <w:rPr>
            <w:rStyle w:val="Hyperlink"/>
          </w:rPr>
          <w:t>CRC</w:t>
        </w:r>
        <w:r w:rsidRPr="009770BA">
          <w:rPr>
            <w:rStyle w:val="Hyperlink"/>
            <w:rFonts w:hint="cs"/>
          </w:rPr>
          <w:t>/</w:t>
        </w:r>
        <w:r w:rsidRPr="009770BA">
          <w:rPr>
            <w:rStyle w:val="Hyperlink"/>
          </w:rPr>
          <w:t>C/</w:t>
        </w:r>
        <w:r w:rsidRPr="00582767">
          <w:rPr>
            <w:rStyle w:val="Hyperlink"/>
          </w:rPr>
          <w:t>79</w:t>
        </w:r>
        <w:r w:rsidRPr="009770BA">
          <w:rPr>
            <w:rStyle w:val="Hyperlink"/>
          </w:rPr>
          <w:t>/D/</w:t>
        </w:r>
        <w:r w:rsidRPr="00582767">
          <w:rPr>
            <w:rStyle w:val="Hyperlink"/>
          </w:rPr>
          <w:t>12</w:t>
        </w:r>
        <w:r w:rsidRPr="009770BA">
          <w:rPr>
            <w:rStyle w:val="Hyperlink"/>
          </w:rPr>
          <w:t>/</w:t>
        </w:r>
        <w:r w:rsidRPr="00582767">
          <w:rPr>
            <w:rStyle w:val="Hyperlink"/>
          </w:rPr>
          <w:t>2017</w:t>
        </w:r>
      </w:hyperlink>
      <w:r w:rsidRPr="009770BA">
        <w:rPr>
          <w:rtl/>
        </w:rPr>
        <w:t xml:space="preserve">. </w:t>
      </w:r>
    </w:p>
  </w:footnote>
  <w:footnote w:id="21">
    <w:p w14:paraId="2A686912" w14:textId="77777777" w:rsidR="009770BA" w:rsidRPr="00A02D6F" w:rsidRDefault="009770BA" w:rsidP="009770BA">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582767">
        <w:rPr>
          <w:i/>
          <w:iCs/>
          <w:rtl/>
        </w:rPr>
        <w:t>س. ه. وآخرون ضد فرنسا</w:t>
      </w:r>
      <w:r w:rsidRPr="007F1676">
        <w:rPr>
          <w:rtl/>
        </w:rPr>
        <w:t>.</w:t>
      </w:r>
      <w:r>
        <w:rPr>
          <w:rtl/>
        </w:rPr>
        <w:t xml:space="preserve"> </w:t>
      </w:r>
      <w:proofErr w:type="spellStart"/>
      <w:r>
        <w:rPr>
          <w:rtl/>
        </w:rPr>
        <w:t>و</w:t>
      </w:r>
      <w:r w:rsidRPr="00582767">
        <w:rPr>
          <w:i/>
          <w:iCs/>
          <w:rtl/>
        </w:rPr>
        <w:t>س</w:t>
      </w:r>
      <w:proofErr w:type="spellEnd"/>
      <w:r w:rsidRPr="00582767">
        <w:rPr>
          <w:i/>
          <w:iCs/>
          <w:rtl/>
        </w:rPr>
        <w:t>. ب. وآخرون ضد فرنسا</w:t>
      </w:r>
      <w:r w:rsidRPr="007F1676">
        <w:rPr>
          <w:rtl/>
        </w:rPr>
        <w:t xml:space="preserve"> </w:t>
      </w:r>
      <w:r w:rsidRPr="00A02D6F">
        <w:rPr>
          <w:rtl/>
        </w:rPr>
        <w:t>(</w:t>
      </w:r>
      <w:hyperlink r:id="rId9" w:history="1">
        <w:r w:rsidRPr="009770BA">
          <w:rPr>
            <w:rStyle w:val="Hyperlink"/>
          </w:rPr>
          <w:t>CRC/C/</w:t>
        </w:r>
        <w:r w:rsidRPr="00582767">
          <w:rPr>
            <w:rStyle w:val="Hyperlink"/>
          </w:rPr>
          <w:t>89</w:t>
        </w:r>
        <w:r w:rsidRPr="009770BA">
          <w:rPr>
            <w:rStyle w:val="Hyperlink"/>
          </w:rPr>
          <w:t>/D/</w:t>
        </w:r>
        <w:r w:rsidRPr="00582767">
          <w:rPr>
            <w:rStyle w:val="Hyperlink"/>
          </w:rPr>
          <w:t>77</w:t>
        </w:r>
        <w:r w:rsidRPr="009770BA">
          <w:rPr>
            <w:rStyle w:val="Hyperlink"/>
          </w:rPr>
          <w:t>/</w:t>
        </w:r>
        <w:r w:rsidRPr="00582767">
          <w:rPr>
            <w:rStyle w:val="Hyperlink"/>
          </w:rPr>
          <w:t>2019</w:t>
        </w:r>
        <w:r w:rsidRPr="009770BA">
          <w:rPr>
            <w:rStyle w:val="Hyperlink"/>
          </w:rPr>
          <w:t>-CRC/C/</w:t>
        </w:r>
        <w:r w:rsidRPr="00582767">
          <w:rPr>
            <w:rStyle w:val="Hyperlink"/>
          </w:rPr>
          <w:t>89</w:t>
        </w:r>
        <w:r w:rsidRPr="009770BA">
          <w:rPr>
            <w:rStyle w:val="Hyperlink"/>
          </w:rPr>
          <w:t>/D/</w:t>
        </w:r>
        <w:r w:rsidRPr="00582767">
          <w:rPr>
            <w:rStyle w:val="Hyperlink"/>
          </w:rPr>
          <w:t>79</w:t>
        </w:r>
        <w:r w:rsidRPr="009770BA">
          <w:rPr>
            <w:rStyle w:val="Hyperlink"/>
          </w:rPr>
          <w:t>/</w:t>
        </w:r>
        <w:r w:rsidRPr="00582767">
          <w:rPr>
            <w:rStyle w:val="Hyperlink"/>
          </w:rPr>
          <w:t>2019</w:t>
        </w:r>
        <w:r w:rsidRPr="009770BA">
          <w:rPr>
            <w:rStyle w:val="Hyperlink"/>
          </w:rPr>
          <w:t>-CRC/C/</w:t>
        </w:r>
        <w:r w:rsidRPr="00582767">
          <w:rPr>
            <w:rStyle w:val="Hyperlink"/>
          </w:rPr>
          <w:t>89</w:t>
        </w:r>
        <w:r w:rsidRPr="009770BA">
          <w:rPr>
            <w:rStyle w:val="Hyperlink"/>
          </w:rPr>
          <w:t>/D/</w:t>
        </w:r>
        <w:r w:rsidRPr="00582767">
          <w:rPr>
            <w:rStyle w:val="Hyperlink"/>
          </w:rPr>
          <w:t>109</w:t>
        </w:r>
        <w:r w:rsidRPr="009770BA">
          <w:rPr>
            <w:rStyle w:val="Hyperlink"/>
          </w:rPr>
          <w:t>/</w:t>
        </w:r>
        <w:r w:rsidRPr="00582767">
          <w:rPr>
            <w:rStyle w:val="Hyperlink"/>
          </w:rPr>
          <w:t>2019</w:t>
        </w:r>
      </w:hyperlink>
      <w:r w:rsidRPr="009770BA">
        <w:rPr>
          <w:rtl/>
        </w:rPr>
        <w:t>)</w:t>
      </w:r>
      <w:r w:rsidRPr="009770BA">
        <w:rPr>
          <w:rtl/>
        </w:rPr>
        <w:t xml:space="preserve">. </w:t>
      </w:r>
    </w:p>
  </w:footnote>
  <w:footnote w:id="22">
    <w:p w14:paraId="33BF360C" w14:textId="6930F871" w:rsidR="009770BA" w:rsidRPr="00A02D6F" w:rsidRDefault="009770BA" w:rsidP="009770BA">
      <w:pPr>
        <w:pStyle w:val="FootnoteText1"/>
        <w:textDirection w:val="tbRlV"/>
        <w:rPr>
          <w:rtl/>
          <w:lang w:bidi="en-GB"/>
        </w:rPr>
      </w:pPr>
      <w:r w:rsidRPr="00A02D6F">
        <w:rPr>
          <w:rtl/>
        </w:rPr>
        <w:t>(</w:t>
      </w:r>
      <w:r w:rsidRPr="00582767">
        <w:rPr>
          <w:rStyle w:val="FootnoteReference"/>
          <w:vertAlign w:val="baseline"/>
        </w:rPr>
        <w:footnoteRef/>
      </w:r>
      <w:r w:rsidRPr="00A02D6F">
        <w:rPr>
          <w:rtl/>
        </w:rPr>
        <w:t>)</w:t>
      </w:r>
      <w:r>
        <w:rPr>
          <w:rtl/>
        </w:rPr>
        <w:tab/>
      </w:r>
      <w:r w:rsidRPr="007F1676">
        <w:rPr>
          <w:rtl/>
        </w:rPr>
        <w:t>انظر: ورقة غرفة الاجتماعات الصادرة عن لجنة التحقيق الدولية المستقلة المعنية بالجمهورية العربية السورية، المنشورة على</w:t>
      </w:r>
      <w:r w:rsidR="00BA181F">
        <w:rPr>
          <w:rFonts w:hint="cs"/>
          <w:rtl/>
        </w:rPr>
        <w:t> </w:t>
      </w:r>
      <w:r w:rsidRPr="007F1676">
        <w:rPr>
          <w:rtl/>
        </w:rPr>
        <w:t xml:space="preserve">صفحة الإنترنت المكرسة للدورة السادسة والأربعين لمجلس حقوق الإنسان </w:t>
      </w:r>
      <w:r w:rsidRPr="00A02D6F">
        <w:rPr>
          <w:rtl/>
        </w:rPr>
        <w:t>(</w:t>
      </w:r>
      <w:hyperlink r:id="rId10" w:history="1">
        <w:r w:rsidRPr="009770BA">
          <w:rPr>
            <w:rStyle w:val="Hyperlink"/>
          </w:rPr>
          <w:t>www.ohchr.org/EN/HRBodies/HRC/RegularSessions/Session</w:t>
        </w:r>
        <w:r w:rsidRPr="00582767">
          <w:rPr>
            <w:rStyle w:val="Hyperlink"/>
          </w:rPr>
          <w:t>43</w:t>
        </w:r>
        <w:r w:rsidRPr="009770BA">
          <w:rPr>
            <w:rStyle w:val="Hyperlink"/>
          </w:rPr>
          <w:t>/Pages/ListReports.aspx</w:t>
        </w:r>
      </w:hyperlink>
      <w:r w:rsidRPr="009770BA">
        <w:rPr>
          <w:rtl/>
        </w:rPr>
        <w:t>)</w:t>
      </w:r>
      <w:r w:rsidRPr="009770BA">
        <w:rPr>
          <w:rtl/>
        </w:rPr>
        <w:t xml:space="preserve">. </w:t>
      </w:r>
    </w:p>
  </w:footnote>
  <w:footnote w:id="23">
    <w:p w14:paraId="380BDACB"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المرجع نفسه، الفقرة </w:t>
      </w:r>
      <w:r w:rsidRPr="00582767">
        <w:rPr>
          <w:rtl/>
        </w:rPr>
        <w:t>99</w:t>
      </w:r>
      <w:r w:rsidRPr="00A02D6F">
        <w:rPr>
          <w:rtl/>
        </w:rPr>
        <w:t>(</w:t>
      </w:r>
      <w:r w:rsidRPr="007F1676">
        <w:rPr>
          <w:rtl/>
        </w:rPr>
        <w:t>ج</w:t>
      </w:r>
      <w:r w:rsidRPr="009770BA">
        <w:rPr>
          <w:rtl/>
        </w:rPr>
        <w:t>)</w:t>
      </w:r>
      <w:r w:rsidRPr="009770BA">
        <w:rPr>
          <w:rtl/>
        </w:rPr>
        <w:t xml:space="preserve">. </w:t>
      </w:r>
    </w:p>
  </w:footnote>
  <w:footnote w:id="24">
    <w:p w14:paraId="086AF4D8"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582767">
        <w:rPr>
          <w:i/>
          <w:iCs/>
          <w:rtl/>
        </w:rPr>
        <w:t>س. ه. وآخرون ضد فرنسا</w:t>
      </w:r>
      <w:r w:rsidRPr="007F1676">
        <w:rPr>
          <w:rtl/>
        </w:rPr>
        <w:t xml:space="preserve">، الفقرة </w:t>
      </w:r>
      <w:r w:rsidRPr="00582767">
        <w:rPr>
          <w:rtl/>
        </w:rPr>
        <w:t>9</w:t>
      </w:r>
      <w:r w:rsidRPr="00A02D6F">
        <w:rPr>
          <w:rtl/>
        </w:rPr>
        <w:t>-</w:t>
      </w:r>
      <w:r w:rsidRPr="00582767">
        <w:rPr>
          <w:rtl/>
        </w:rPr>
        <w:t>7</w:t>
      </w:r>
      <w:r w:rsidRPr="007F1676">
        <w:rPr>
          <w:rtl/>
        </w:rPr>
        <w:t xml:space="preserve">؛ </w:t>
      </w:r>
      <w:r w:rsidRPr="00582767">
        <w:rPr>
          <w:i/>
          <w:iCs/>
          <w:rtl/>
        </w:rPr>
        <w:t>س. ه. وآخرون ضد فرنسا</w:t>
      </w:r>
      <w:r w:rsidRPr="007F1676">
        <w:rPr>
          <w:rtl/>
        </w:rPr>
        <w:t xml:space="preserve">، الفقرة </w:t>
      </w:r>
      <w:r w:rsidRPr="00582767">
        <w:rPr>
          <w:rtl/>
        </w:rPr>
        <w:t>6</w:t>
      </w:r>
      <w:r w:rsidRPr="00A02D6F">
        <w:rPr>
          <w:rtl/>
        </w:rPr>
        <w:t>-</w:t>
      </w:r>
      <w:r w:rsidRPr="00582767">
        <w:rPr>
          <w:rtl/>
        </w:rPr>
        <w:t>4</w:t>
      </w:r>
      <w:r w:rsidRPr="009770BA">
        <w:rPr>
          <w:rtl/>
        </w:rPr>
        <w:t xml:space="preserve">. </w:t>
      </w:r>
    </w:p>
  </w:footnote>
  <w:footnote w:id="25">
    <w:p w14:paraId="7B16B384"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582767">
        <w:rPr>
          <w:i/>
          <w:iCs/>
          <w:rtl/>
        </w:rPr>
        <w:t>س. ب. وآخرون ضد فرنسا</w:t>
      </w:r>
      <w:r w:rsidRPr="007F1676">
        <w:rPr>
          <w:rtl/>
        </w:rPr>
        <w:t xml:space="preserve">، الفقرة </w:t>
      </w:r>
      <w:r w:rsidRPr="00582767">
        <w:rPr>
          <w:rtl/>
        </w:rPr>
        <w:t>6</w:t>
      </w:r>
      <w:r w:rsidRPr="00A02D6F">
        <w:rPr>
          <w:rtl/>
        </w:rPr>
        <w:t>-</w:t>
      </w:r>
      <w:r w:rsidRPr="00582767">
        <w:rPr>
          <w:rtl/>
        </w:rPr>
        <w:t>4</w:t>
      </w:r>
      <w:r w:rsidRPr="009770BA">
        <w:rPr>
          <w:rtl/>
        </w:rPr>
        <w:t xml:space="preserve">. </w:t>
      </w:r>
    </w:p>
  </w:footnote>
  <w:footnote w:id="26">
    <w:p w14:paraId="791F0FF1"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المرجع نفسه، الفقرة </w:t>
      </w:r>
      <w:r w:rsidRPr="00582767">
        <w:rPr>
          <w:rtl/>
        </w:rPr>
        <w:t>6</w:t>
      </w:r>
      <w:r w:rsidRPr="00A02D6F">
        <w:rPr>
          <w:rtl/>
        </w:rPr>
        <w:t>-</w:t>
      </w:r>
      <w:r w:rsidRPr="00582767">
        <w:rPr>
          <w:rtl/>
        </w:rPr>
        <w:t>6</w:t>
      </w:r>
      <w:r w:rsidRPr="009770BA">
        <w:rPr>
          <w:rtl/>
        </w:rPr>
        <w:t xml:space="preserve">. </w:t>
      </w:r>
    </w:p>
  </w:footnote>
  <w:footnote w:id="27">
    <w:p w14:paraId="5D5F58FB"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المرجع نفسه، الفقرة </w:t>
      </w:r>
      <w:r w:rsidRPr="00582767">
        <w:rPr>
          <w:rtl/>
        </w:rPr>
        <w:t>6</w:t>
      </w:r>
      <w:r w:rsidRPr="00A02D6F">
        <w:rPr>
          <w:rtl/>
        </w:rPr>
        <w:t>-</w:t>
      </w:r>
      <w:r w:rsidRPr="00582767">
        <w:rPr>
          <w:rtl/>
        </w:rPr>
        <w:t>7</w:t>
      </w:r>
      <w:r w:rsidRPr="009770BA">
        <w:rPr>
          <w:rtl/>
        </w:rPr>
        <w:t xml:space="preserve">. </w:t>
      </w:r>
    </w:p>
  </w:footnote>
  <w:footnote w:id="28">
    <w:p w14:paraId="2ECC3A95"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المرجع نفسه، الفقرة </w:t>
      </w:r>
      <w:r w:rsidRPr="00582767">
        <w:rPr>
          <w:rtl/>
        </w:rPr>
        <w:t>6</w:t>
      </w:r>
      <w:r w:rsidRPr="00A02D6F">
        <w:rPr>
          <w:rtl/>
        </w:rPr>
        <w:t>-</w:t>
      </w:r>
      <w:r w:rsidRPr="00582767">
        <w:rPr>
          <w:rtl/>
        </w:rPr>
        <w:t>8</w:t>
      </w:r>
      <w:r w:rsidRPr="009770BA">
        <w:rPr>
          <w:rtl/>
        </w:rPr>
        <w:t xml:space="preserve">. </w:t>
      </w:r>
    </w:p>
  </w:footnote>
  <w:footnote w:id="29">
    <w:p w14:paraId="7D304EA1"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المرجع نفسه، الفقرة </w:t>
      </w:r>
      <w:r w:rsidRPr="00582767">
        <w:rPr>
          <w:rtl/>
        </w:rPr>
        <w:t>6</w:t>
      </w:r>
      <w:r w:rsidRPr="00A02D6F">
        <w:rPr>
          <w:rtl/>
        </w:rPr>
        <w:t>-</w:t>
      </w:r>
      <w:r w:rsidRPr="00582767">
        <w:rPr>
          <w:rtl/>
        </w:rPr>
        <w:t>9</w:t>
      </w:r>
      <w:r w:rsidRPr="009770BA">
        <w:rPr>
          <w:rtl/>
        </w:rPr>
        <w:t xml:space="preserve">. </w:t>
      </w:r>
    </w:p>
  </w:footnote>
  <w:footnote w:id="30">
    <w:p w14:paraId="4A0F1AAE"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المرجع نفسه، الفقرة</w:t>
      </w:r>
      <w:r w:rsidRPr="00A02D6F">
        <w:rPr>
          <w:rtl/>
        </w:rPr>
        <w:t xml:space="preserve"> </w:t>
      </w:r>
      <w:r w:rsidRPr="00582767">
        <w:rPr>
          <w:rtl/>
        </w:rPr>
        <w:t>6</w:t>
      </w:r>
      <w:r w:rsidRPr="00A02D6F">
        <w:rPr>
          <w:rtl/>
        </w:rPr>
        <w:t xml:space="preserve">- </w:t>
      </w:r>
      <w:r w:rsidRPr="00582767">
        <w:rPr>
          <w:rtl/>
        </w:rPr>
        <w:t>11</w:t>
      </w:r>
      <w:r w:rsidRPr="009770BA">
        <w:rPr>
          <w:rtl/>
        </w:rPr>
        <w:t xml:space="preserve">. </w:t>
      </w:r>
    </w:p>
  </w:footnote>
  <w:footnote w:id="31">
    <w:p w14:paraId="713FA2D0"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7F1676">
        <w:rPr>
          <w:rtl/>
        </w:rPr>
        <w:t xml:space="preserve">المرجع نفسه، الفقرة </w:t>
      </w:r>
      <w:r w:rsidRPr="00582767">
        <w:rPr>
          <w:rtl/>
        </w:rPr>
        <w:t>6</w:t>
      </w:r>
      <w:r w:rsidRPr="00A02D6F">
        <w:rPr>
          <w:rtl/>
        </w:rPr>
        <w:t>-</w:t>
      </w:r>
      <w:r w:rsidRPr="00582767">
        <w:rPr>
          <w:rtl/>
        </w:rPr>
        <w:t>12</w:t>
      </w:r>
      <w:r w:rsidRPr="009770BA">
        <w:rPr>
          <w:rtl/>
        </w:rPr>
        <w:t xml:space="preserve">. </w:t>
      </w:r>
    </w:p>
  </w:footnote>
  <w:footnote w:id="32">
    <w:p w14:paraId="02A78B5E" w14:textId="77777777" w:rsidR="009770BA" w:rsidRPr="00A02D6F" w:rsidRDefault="009770BA" w:rsidP="009770BA">
      <w:pPr>
        <w:pStyle w:val="FootnoteText1"/>
        <w:textDirection w:val="tbRlV"/>
        <w:rPr>
          <w:rtl/>
          <w:lang w:bidi="en-GB"/>
        </w:rPr>
      </w:pPr>
      <w:r w:rsidRPr="00A02D6F">
        <w:rPr>
          <w:rtl/>
        </w:rPr>
        <w:t>(</w:t>
      </w:r>
      <w:r w:rsidRPr="00582767">
        <w:rPr>
          <w:rStyle w:val="FootnoteReference"/>
          <w:vertAlign w:val="baseline"/>
        </w:rPr>
        <w:footnoteRef/>
      </w:r>
      <w:r w:rsidRPr="00A02D6F">
        <w:rPr>
          <w:rtl/>
        </w:rPr>
        <w:t>)</w:t>
      </w:r>
      <w:r>
        <w:rPr>
          <w:rtl/>
        </w:rPr>
        <w:tab/>
      </w:r>
      <w:hyperlink r:id="rId11" w:history="1">
        <w:r w:rsidRPr="009770BA">
          <w:rPr>
            <w:rStyle w:val="Hyperlink"/>
          </w:rPr>
          <w:t>CRC/C/</w:t>
        </w:r>
        <w:r w:rsidRPr="00582767">
          <w:rPr>
            <w:rStyle w:val="Hyperlink"/>
          </w:rPr>
          <w:t>89</w:t>
        </w:r>
        <w:r w:rsidRPr="009770BA">
          <w:rPr>
            <w:rStyle w:val="Hyperlink"/>
          </w:rPr>
          <w:t>/D/</w:t>
        </w:r>
        <w:r w:rsidRPr="00582767">
          <w:rPr>
            <w:rStyle w:val="Hyperlink"/>
          </w:rPr>
          <w:t>77</w:t>
        </w:r>
        <w:r w:rsidRPr="009770BA">
          <w:rPr>
            <w:rStyle w:val="Hyperlink"/>
          </w:rPr>
          <w:t>/</w:t>
        </w:r>
        <w:r w:rsidRPr="00582767">
          <w:rPr>
            <w:rStyle w:val="Hyperlink"/>
          </w:rPr>
          <w:t>2019</w:t>
        </w:r>
        <w:r w:rsidRPr="009770BA">
          <w:rPr>
            <w:rStyle w:val="Hyperlink"/>
          </w:rPr>
          <w:t>-CRC/C/</w:t>
        </w:r>
        <w:r w:rsidRPr="00582767">
          <w:rPr>
            <w:rStyle w:val="Hyperlink"/>
          </w:rPr>
          <w:t>89</w:t>
        </w:r>
        <w:r w:rsidRPr="009770BA">
          <w:rPr>
            <w:rStyle w:val="Hyperlink"/>
          </w:rPr>
          <w:t>/D/</w:t>
        </w:r>
        <w:r w:rsidRPr="00582767">
          <w:rPr>
            <w:rStyle w:val="Hyperlink"/>
          </w:rPr>
          <w:t>79</w:t>
        </w:r>
        <w:r w:rsidRPr="009770BA">
          <w:rPr>
            <w:rStyle w:val="Hyperlink"/>
          </w:rPr>
          <w:t>/</w:t>
        </w:r>
        <w:r w:rsidRPr="00582767">
          <w:rPr>
            <w:rStyle w:val="Hyperlink"/>
          </w:rPr>
          <w:t>2019</w:t>
        </w:r>
        <w:r w:rsidRPr="009770BA">
          <w:rPr>
            <w:rStyle w:val="Hyperlink"/>
          </w:rPr>
          <w:t>-CRC/C/</w:t>
        </w:r>
        <w:r w:rsidRPr="00582767">
          <w:rPr>
            <w:rStyle w:val="Hyperlink"/>
          </w:rPr>
          <w:t>89</w:t>
        </w:r>
        <w:r w:rsidRPr="009770BA">
          <w:rPr>
            <w:rStyle w:val="Hyperlink"/>
          </w:rPr>
          <w:t>/D/</w:t>
        </w:r>
        <w:r w:rsidRPr="00582767">
          <w:rPr>
            <w:rStyle w:val="Hyperlink"/>
          </w:rPr>
          <w:t>109</w:t>
        </w:r>
        <w:r w:rsidRPr="009770BA">
          <w:rPr>
            <w:rStyle w:val="Hyperlink"/>
          </w:rPr>
          <w:t>/</w:t>
        </w:r>
        <w:r w:rsidRPr="00582767">
          <w:rPr>
            <w:rStyle w:val="Hyperlink"/>
          </w:rPr>
          <w:t>2019</w:t>
        </w:r>
      </w:hyperlink>
      <w:r w:rsidRPr="009770BA">
        <w:rPr>
          <w:rtl/>
        </w:rPr>
        <w:t xml:space="preserve">. </w:t>
      </w:r>
    </w:p>
  </w:footnote>
  <w:footnote w:id="33">
    <w:p w14:paraId="06AB8367" w14:textId="77777777" w:rsidR="009770BA" w:rsidRPr="00A02D6F" w:rsidRDefault="009770BA" w:rsidP="009770BA">
      <w:pPr>
        <w:pStyle w:val="FootnoteText1"/>
        <w:textDirection w:val="tbRlV"/>
        <w:rPr>
          <w:lang w:bidi="en-GB"/>
        </w:rPr>
      </w:pPr>
      <w:r w:rsidRPr="00A02D6F">
        <w:rPr>
          <w:rtl/>
        </w:rPr>
        <w:t>(</w:t>
      </w:r>
      <w:r w:rsidRPr="00582767">
        <w:rPr>
          <w:rStyle w:val="FootnoteReference"/>
          <w:vertAlign w:val="baseline"/>
        </w:rPr>
        <w:footnoteRef/>
      </w:r>
      <w:r w:rsidRPr="00A02D6F">
        <w:rPr>
          <w:rtl/>
        </w:rPr>
        <w:t>)</w:t>
      </w:r>
      <w:r>
        <w:rPr>
          <w:rtl/>
        </w:rPr>
        <w:tab/>
      </w:r>
      <w:hyperlink r:id="rId12" w:history="1">
        <w:r w:rsidRPr="009770BA">
          <w:rPr>
            <w:rStyle w:val="Hyperlink"/>
          </w:rPr>
          <w:t>A</w:t>
        </w:r>
        <w:r w:rsidRPr="009770BA">
          <w:rPr>
            <w:rStyle w:val="Hyperlink"/>
            <w:rFonts w:hint="cs"/>
          </w:rPr>
          <w:t>/</w:t>
        </w:r>
        <w:r w:rsidRPr="009770BA">
          <w:rPr>
            <w:rStyle w:val="Hyperlink"/>
          </w:rPr>
          <w:t>HRC/</w:t>
        </w:r>
        <w:r w:rsidRPr="00582767">
          <w:rPr>
            <w:rStyle w:val="Hyperlink"/>
          </w:rPr>
          <w:t>51</w:t>
        </w:r>
        <w:r w:rsidRPr="009770BA">
          <w:rPr>
            <w:rStyle w:val="Hyperlink"/>
          </w:rPr>
          <w:t>/</w:t>
        </w:r>
        <w:r w:rsidRPr="00582767">
          <w:rPr>
            <w:rStyle w:val="Hyperlink"/>
          </w:rPr>
          <w:t>45</w:t>
        </w:r>
      </w:hyperlink>
      <w:r w:rsidRPr="009770BA">
        <w:rPr>
          <w:rtl/>
        </w:rPr>
        <w:t xml:space="preserve">. </w:t>
      </w:r>
    </w:p>
  </w:footnote>
  <w:footnote w:id="34">
    <w:p w14:paraId="6DFD69F9" w14:textId="77777777" w:rsidR="009770BA" w:rsidRPr="00A02D6F" w:rsidRDefault="009770BA" w:rsidP="00A02D6F">
      <w:pPr>
        <w:pStyle w:val="FootnoteText1"/>
        <w:textDirection w:val="tbRlV"/>
      </w:pPr>
      <w:r w:rsidRPr="00A02D6F">
        <w:rPr>
          <w:rtl/>
        </w:rPr>
        <w:t>(</w:t>
      </w:r>
      <w:r w:rsidRPr="00582767">
        <w:rPr>
          <w:rStyle w:val="FootnoteReference"/>
          <w:vertAlign w:val="baseline"/>
        </w:rPr>
        <w:footnoteRef/>
      </w:r>
      <w:r w:rsidRPr="00A02D6F">
        <w:rPr>
          <w:rtl/>
        </w:rPr>
        <w:t>)</w:t>
      </w:r>
      <w:r>
        <w:rPr>
          <w:rtl/>
        </w:rPr>
        <w:tab/>
      </w:r>
      <w:r w:rsidRPr="00A02D6F">
        <w:rPr>
          <w:rtl/>
        </w:rPr>
        <w:t>مفوضية الأمم المتحدة السامية لحقوق الإنسان،</w:t>
      </w:r>
      <w:r>
        <w:rPr>
          <w:rtl/>
        </w:rPr>
        <w:t xml:space="preserve"> </w:t>
      </w:r>
      <w:r w:rsidRPr="00A02D6F">
        <w:rPr>
          <w:rtl/>
        </w:rPr>
        <w:t>"لجنة الأمم المتحدة للتحقيق بشأن سوريا: تصاعد العنف والقتال يؤدي إلى تفاقم المحن في سوريا، ما يجعلها غير آمنة للعودة"،</w:t>
      </w:r>
      <w:r w:rsidRPr="007F1676">
        <w:rPr>
          <w:rtl/>
        </w:rPr>
        <w:t xml:space="preserve"> </w:t>
      </w:r>
      <w:r w:rsidRPr="00582767">
        <w:rPr>
          <w:rtl/>
        </w:rPr>
        <w:t>14</w:t>
      </w:r>
      <w:r w:rsidRPr="007F1676">
        <w:rPr>
          <w:rtl/>
        </w:rPr>
        <w:t xml:space="preserve"> </w:t>
      </w:r>
      <w:r w:rsidRPr="00A02D6F">
        <w:rPr>
          <w:rtl/>
        </w:rPr>
        <w:t>أيلول/سبتمبر</w:t>
      </w:r>
      <w:r w:rsidRPr="007F1676">
        <w:rPr>
          <w:rtl/>
        </w:rPr>
        <w:t xml:space="preserve"> </w:t>
      </w:r>
      <w:r w:rsidRPr="00582767">
        <w:rPr>
          <w:rtl/>
        </w:rPr>
        <w:t>2021</w:t>
      </w:r>
      <w:r w:rsidRPr="009770B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5051" w14:textId="6B40E245" w:rsidR="00B92435" w:rsidRPr="00B92435" w:rsidRDefault="00B92435" w:rsidP="00B9243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CRC/C/91/D/100/2019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C657" w14:textId="3E5F86E0" w:rsidR="00B92435" w:rsidRPr="00B92435" w:rsidRDefault="00B92435" w:rsidP="00B9243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CRC/C/91/D/100/2019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47B" w14:textId="4D2F1DCB" w:rsidR="007F7C9B" w:rsidRPr="007F7C9B" w:rsidRDefault="007F7C9B" w:rsidP="007F7C9B">
    <w:pPr>
      <w:pStyle w:val="Header"/>
      <w:jc w:val="right"/>
      <w:rPr>
        <w:rFonts w:hint="cs"/>
      </w:rPr>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t>CRC/C/91/D/100/2019</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2258" w14:textId="2A5E62B6" w:rsidR="007F7C9B" w:rsidRPr="007F7C9B" w:rsidRDefault="007F7C9B" w:rsidP="007F7C9B">
    <w:pPr>
      <w:pStyle w:val="Header"/>
      <w:jc w:val="left"/>
      <w:rPr>
        <w:rFonts w:hint="cs"/>
      </w:rPr>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t>CRC/C/91/D/100/2019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644049982">
    <w:abstractNumId w:val="15"/>
  </w:num>
  <w:num w:numId="2" w16cid:durableId="1154639872">
    <w:abstractNumId w:val="12"/>
  </w:num>
  <w:num w:numId="3" w16cid:durableId="1421097091">
    <w:abstractNumId w:val="2"/>
  </w:num>
  <w:num w:numId="4" w16cid:durableId="1120951422">
    <w:abstractNumId w:val="11"/>
  </w:num>
  <w:num w:numId="5" w16cid:durableId="579829041">
    <w:abstractNumId w:val="8"/>
  </w:num>
  <w:num w:numId="6" w16cid:durableId="997196899">
    <w:abstractNumId w:val="5"/>
  </w:num>
  <w:num w:numId="7" w16cid:durableId="1099637824">
    <w:abstractNumId w:val="17"/>
  </w:num>
  <w:num w:numId="8" w16cid:durableId="1538352405">
    <w:abstractNumId w:val="2"/>
  </w:num>
  <w:num w:numId="9" w16cid:durableId="258872998">
    <w:abstractNumId w:val="11"/>
  </w:num>
  <w:num w:numId="10" w16cid:durableId="534195619">
    <w:abstractNumId w:val="5"/>
  </w:num>
  <w:num w:numId="11" w16cid:durableId="859321418">
    <w:abstractNumId w:val="17"/>
  </w:num>
  <w:num w:numId="12" w16cid:durableId="1968465761">
    <w:abstractNumId w:val="4"/>
  </w:num>
  <w:num w:numId="13" w16cid:durableId="988752848">
    <w:abstractNumId w:val="3"/>
  </w:num>
  <w:num w:numId="14" w16cid:durableId="1731732895">
    <w:abstractNumId w:val="16"/>
  </w:num>
  <w:num w:numId="15" w16cid:durableId="896555040">
    <w:abstractNumId w:val="13"/>
  </w:num>
  <w:num w:numId="16" w16cid:durableId="1127310906">
    <w:abstractNumId w:val="1"/>
  </w:num>
  <w:num w:numId="17" w16cid:durableId="98260237">
    <w:abstractNumId w:val="14"/>
  </w:num>
  <w:num w:numId="18" w16cid:durableId="1392344302">
    <w:abstractNumId w:val="0"/>
  </w:num>
  <w:num w:numId="19" w16cid:durableId="922638949">
    <w:abstractNumId w:val="9"/>
  </w:num>
  <w:num w:numId="20" w16cid:durableId="6122489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14726757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7687404">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575869971">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56919850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1328635622">
    <w:abstractNumId w:val="7"/>
  </w:num>
  <w:num w:numId="26" w16cid:durableId="1664239697">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1287741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C5"/>
    <w:rsid w:val="000076D5"/>
    <w:rsid w:val="00043663"/>
    <w:rsid w:val="000505CF"/>
    <w:rsid w:val="00061139"/>
    <w:rsid w:val="00073FE2"/>
    <w:rsid w:val="000A40EF"/>
    <w:rsid w:val="000B6B9A"/>
    <w:rsid w:val="000D701C"/>
    <w:rsid w:val="000E2A71"/>
    <w:rsid w:val="001571D5"/>
    <w:rsid w:val="00160263"/>
    <w:rsid w:val="00181F96"/>
    <w:rsid w:val="00184C73"/>
    <w:rsid w:val="001A1371"/>
    <w:rsid w:val="001B346A"/>
    <w:rsid w:val="001C7D82"/>
    <w:rsid w:val="001D5AC0"/>
    <w:rsid w:val="001E1CAD"/>
    <w:rsid w:val="001E290D"/>
    <w:rsid w:val="001E5A9B"/>
    <w:rsid w:val="001F222B"/>
    <w:rsid w:val="00211FFB"/>
    <w:rsid w:val="002144FA"/>
    <w:rsid w:val="0023469A"/>
    <w:rsid w:val="00243C8A"/>
    <w:rsid w:val="00267A0E"/>
    <w:rsid w:val="002901D9"/>
    <w:rsid w:val="002976C2"/>
    <w:rsid w:val="002A0BA3"/>
    <w:rsid w:val="002D2D42"/>
    <w:rsid w:val="00320C48"/>
    <w:rsid w:val="003260FF"/>
    <w:rsid w:val="0033251A"/>
    <w:rsid w:val="00343D95"/>
    <w:rsid w:val="0036334C"/>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83393"/>
    <w:rsid w:val="004A14A6"/>
    <w:rsid w:val="004B0A1C"/>
    <w:rsid w:val="004D298E"/>
    <w:rsid w:val="004F0035"/>
    <w:rsid w:val="005020CD"/>
    <w:rsid w:val="00502BC6"/>
    <w:rsid w:val="00512DB2"/>
    <w:rsid w:val="00523BAE"/>
    <w:rsid w:val="0054472E"/>
    <w:rsid w:val="00555668"/>
    <w:rsid w:val="005662A9"/>
    <w:rsid w:val="00582767"/>
    <w:rsid w:val="005827D4"/>
    <w:rsid w:val="0059622A"/>
    <w:rsid w:val="005C5878"/>
    <w:rsid w:val="005C7CEA"/>
    <w:rsid w:val="005D3C0B"/>
    <w:rsid w:val="005E5217"/>
    <w:rsid w:val="005F0FA4"/>
    <w:rsid w:val="005F30EE"/>
    <w:rsid w:val="005F31AD"/>
    <w:rsid w:val="005F6DC7"/>
    <w:rsid w:val="0060473A"/>
    <w:rsid w:val="006533CD"/>
    <w:rsid w:val="00656392"/>
    <w:rsid w:val="00662F2B"/>
    <w:rsid w:val="0068781D"/>
    <w:rsid w:val="006959B0"/>
    <w:rsid w:val="006B1BED"/>
    <w:rsid w:val="006B3E27"/>
    <w:rsid w:val="006B6507"/>
    <w:rsid w:val="006C104C"/>
    <w:rsid w:val="006E3C06"/>
    <w:rsid w:val="006E444F"/>
    <w:rsid w:val="006E4C12"/>
    <w:rsid w:val="006E5093"/>
    <w:rsid w:val="00733704"/>
    <w:rsid w:val="0078071A"/>
    <w:rsid w:val="00780BCC"/>
    <w:rsid w:val="007F7C9B"/>
    <w:rsid w:val="00852A9A"/>
    <w:rsid w:val="008661B5"/>
    <w:rsid w:val="008D21E5"/>
    <w:rsid w:val="008D5409"/>
    <w:rsid w:val="008F49E1"/>
    <w:rsid w:val="008F52C5"/>
    <w:rsid w:val="0090370F"/>
    <w:rsid w:val="00910CCA"/>
    <w:rsid w:val="009269D2"/>
    <w:rsid w:val="009317AA"/>
    <w:rsid w:val="00942135"/>
    <w:rsid w:val="009521B0"/>
    <w:rsid w:val="009770BA"/>
    <w:rsid w:val="00994130"/>
    <w:rsid w:val="009962DB"/>
    <w:rsid w:val="009A7E9F"/>
    <w:rsid w:val="009E5018"/>
    <w:rsid w:val="00A02D6F"/>
    <w:rsid w:val="00A12B37"/>
    <w:rsid w:val="00A65558"/>
    <w:rsid w:val="00A737DB"/>
    <w:rsid w:val="00A749D0"/>
    <w:rsid w:val="00A81EDC"/>
    <w:rsid w:val="00AB6758"/>
    <w:rsid w:val="00AD4EE8"/>
    <w:rsid w:val="00B13763"/>
    <w:rsid w:val="00B177F9"/>
    <w:rsid w:val="00B250A3"/>
    <w:rsid w:val="00B335E0"/>
    <w:rsid w:val="00B477A4"/>
    <w:rsid w:val="00B54045"/>
    <w:rsid w:val="00B9024B"/>
    <w:rsid w:val="00B92435"/>
    <w:rsid w:val="00B92C13"/>
    <w:rsid w:val="00BA181F"/>
    <w:rsid w:val="00C04C24"/>
    <w:rsid w:val="00C438D7"/>
    <w:rsid w:val="00C81B50"/>
    <w:rsid w:val="00C83D67"/>
    <w:rsid w:val="00C94084"/>
    <w:rsid w:val="00C97DB1"/>
    <w:rsid w:val="00CB28F9"/>
    <w:rsid w:val="00CD1801"/>
    <w:rsid w:val="00D10EF1"/>
    <w:rsid w:val="00D42810"/>
    <w:rsid w:val="00D45DD9"/>
    <w:rsid w:val="00D735C9"/>
    <w:rsid w:val="00D914A7"/>
    <w:rsid w:val="00DB0957"/>
    <w:rsid w:val="00DB2132"/>
    <w:rsid w:val="00DD13C3"/>
    <w:rsid w:val="00DD596E"/>
    <w:rsid w:val="00DD621E"/>
    <w:rsid w:val="00DF0575"/>
    <w:rsid w:val="00E0104F"/>
    <w:rsid w:val="00E01E1A"/>
    <w:rsid w:val="00E4149B"/>
    <w:rsid w:val="00E7070E"/>
    <w:rsid w:val="00E70E04"/>
    <w:rsid w:val="00E76499"/>
    <w:rsid w:val="00EC05A7"/>
    <w:rsid w:val="00EC4B6B"/>
    <w:rsid w:val="00ED751B"/>
    <w:rsid w:val="00EF1A9A"/>
    <w:rsid w:val="00EF1EE5"/>
    <w:rsid w:val="00F763B4"/>
    <w:rsid w:val="00F900C3"/>
    <w:rsid w:val="00F977A5"/>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2C012"/>
  <w15:docId w15:val="{5F565C64-8C94-4938-895F-CF693FD5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A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317AA"/>
    <w:pPr>
      <w:bidi w:val="0"/>
      <w:outlineLvl w:val="0"/>
    </w:pPr>
  </w:style>
  <w:style w:type="paragraph" w:styleId="Heading2">
    <w:name w:val="heading 2"/>
    <w:basedOn w:val="Normal"/>
    <w:next w:val="Normal"/>
    <w:link w:val="Heading2Char"/>
    <w:uiPriority w:val="9"/>
    <w:unhideWhenUsed/>
    <w:rsid w:val="009317A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317AA"/>
    <w:pPr>
      <w:keepNext/>
      <w:keepLines/>
      <w:spacing w:before="200"/>
      <w:outlineLvl w:val="2"/>
    </w:pPr>
    <w:rPr>
      <w:b/>
      <w:bCs/>
      <w:color w:val="4F81BD"/>
    </w:rPr>
  </w:style>
  <w:style w:type="paragraph" w:styleId="Heading4">
    <w:name w:val="heading 4"/>
    <w:basedOn w:val="Normal"/>
    <w:next w:val="Normal"/>
    <w:link w:val="Heading4Char"/>
    <w:uiPriority w:val="9"/>
    <w:unhideWhenUsed/>
    <w:rsid w:val="009317A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317AA"/>
    <w:pPr>
      <w:keepNext/>
      <w:keepLines/>
      <w:spacing w:before="200"/>
      <w:outlineLvl w:val="4"/>
    </w:pPr>
    <w:rPr>
      <w:color w:val="243F60"/>
    </w:rPr>
  </w:style>
  <w:style w:type="paragraph" w:styleId="Heading6">
    <w:name w:val="heading 6"/>
    <w:basedOn w:val="Normal"/>
    <w:next w:val="Normal"/>
    <w:link w:val="Heading6Char"/>
    <w:uiPriority w:val="9"/>
    <w:unhideWhenUsed/>
    <w:rsid w:val="009317AA"/>
    <w:pPr>
      <w:keepNext/>
      <w:keepLines/>
      <w:spacing w:before="200"/>
      <w:outlineLvl w:val="5"/>
    </w:pPr>
    <w:rPr>
      <w:i/>
      <w:iCs/>
      <w:color w:val="243F60"/>
    </w:rPr>
  </w:style>
  <w:style w:type="paragraph" w:styleId="Heading7">
    <w:name w:val="heading 7"/>
    <w:basedOn w:val="Normal"/>
    <w:next w:val="Normal"/>
    <w:link w:val="Heading7Char"/>
    <w:uiPriority w:val="9"/>
    <w:unhideWhenUsed/>
    <w:rsid w:val="009317AA"/>
    <w:pPr>
      <w:keepNext/>
      <w:keepLines/>
      <w:spacing w:before="200"/>
      <w:outlineLvl w:val="6"/>
    </w:pPr>
    <w:rPr>
      <w:i/>
      <w:iCs/>
      <w:color w:val="404040"/>
    </w:rPr>
  </w:style>
  <w:style w:type="paragraph" w:styleId="Heading8">
    <w:name w:val="heading 8"/>
    <w:basedOn w:val="Normal"/>
    <w:next w:val="Normal"/>
    <w:link w:val="Heading8Char"/>
    <w:uiPriority w:val="9"/>
    <w:unhideWhenUsed/>
    <w:rsid w:val="009317A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317AA"/>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9317A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317A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317A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317A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317A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317A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317A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317A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317A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317A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317A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317A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317A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317AA"/>
    <w:pPr>
      <w:numPr>
        <w:numId w:val="5"/>
      </w:numPr>
      <w:bidi w:val="0"/>
    </w:pPr>
    <w:rPr>
      <w:lang w:val="en-US"/>
    </w:rPr>
  </w:style>
  <w:style w:type="paragraph" w:customStyle="1" w:styleId="Roman1GA">
    <w:name w:val="_Roman 1_GA"/>
    <w:basedOn w:val="Bullet1GA"/>
    <w:qFormat/>
    <w:rsid w:val="009317AA"/>
    <w:pPr>
      <w:numPr>
        <w:numId w:val="6"/>
      </w:numPr>
      <w:tabs>
        <w:tab w:val="clear" w:pos="2310"/>
        <w:tab w:val="left" w:pos="2486"/>
      </w:tabs>
      <w:ind w:left="2486" w:hanging="378"/>
    </w:pPr>
  </w:style>
  <w:style w:type="paragraph" w:customStyle="1" w:styleId="Roman2GA">
    <w:name w:val="_Roman 2_GA"/>
    <w:basedOn w:val="Bullet2GA"/>
    <w:qFormat/>
    <w:rsid w:val="009317A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9317A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9317AA"/>
    <w:rPr>
      <w:rFonts w:ascii="Times New Roman" w:eastAsia="PMingLiU" w:hAnsi="Times New Roman" w:cs="Simplified Arabic"/>
      <w:sz w:val="18"/>
      <w:szCs w:val="20"/>
      <w:lang w:val="en-GB"/>
    </w:rPr>
  </w:style>
  <w:style w:type="character" w:customStyle="1" w:styleId="EndtnoteReference">
    <w:name w:val="Endtnote Reference"/>
    <w:aliases w:val="1_GA"/>
    <w:qFormat/>
    <w:rsid w:val="009317A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317AA"/>
    <w:pPr>
      <w:suppressAutoHyphens/>
      <w:bidi w:val="0"/>
      <w:spacing w:line="240" w:lineRule="auto"/>
    </w:pPr>
    <w:rPr>
      <w:sz w:val="16"/>
      <w:lang w:val="en-GB"/>
    </w:rPr>
  </w:style>
  <w:style w:type="character" w:customStyle="1" w:styleId="FooterChar">
    <w:name w:val="Footer Char"/>
    <w:aliases w:val="3_GA Char,3_G Char"/>
    <w:link w:val="Footer"/>
    <w:rsid w:val="009317AA"/>
    <w:rPr>
      <w:rFonts w:ascii="Times New Roman" w:eastAsia="PMingLiU" w:hAnsi="Times New Roman" w:cs="Simplified Arabic"/>
      <w:sz w:val="16"/>
      <w:lang w:val="en-GB"/>
    </w:rPr>
  </w:style>
  <w:style w:type="paragraph" w:customStyle="1" w:styleId="FootnoteText1">
    <w:name w:val="Footnote Text1"/>
    <w:aliases w:val="5_GA"/>
    <w:basedOn w:val="Normal"/>
    <w:qFormat/>
    <w:rsid w:val="009317A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317A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317A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317AA"/>
    <w:rPr>
      <w:rFonts w:ascii="Times New Roman" w:eastAsia="PMingLiU" w:hAnsi="Times New Roman" w:cs="Simplified Arabic"/>
      <w:lang w:val="en-GB"/>
    </w:rPr>
  </w:style>
  <w:style w:type="character" w:styleId="PageNumber">
    <w:name w:val="page number"/>
    <w:aliases w:val="7_GA,7_G"/>
    <w:qFormat/>
    <w:rsid w:val="009317AA"/>
    <w:rPr>
      <w:rFonts w:ascii="Times New Roman Bold" w:hAnsi="Times New Roman Bold"/>
      <w:b/>
      <w:i w:val="0"/>
      <w:sz w:val="18"/>
      <w:szCs w:val="18"/>
    </w:rPr>
  </w:style>
  <w:style w:type="paragraph" w:customStyle="1" w:styleId="XXLargeGA">
    <w:name w:val="XXLarge_GA"/>
    <w:basedOn w:val="Normal"/>
    <w:next w:val="SingleTxtGA"/>
    <w:qFormat/>
    <w:rsid w:val="009317AA"/>
    <w:pPr>
      <w:suppressAutoHyphens/>
      <w:spacing w:line="820" w:lineRule="exact"/>
    </w:pPr>
    <w:rPr>
      <w:spacing w:val="-8"/>
      <w:w w:val="96"/>
      <w:sz w:val="57"/>
      <w:szCs w:val="86"/>
      <w:lang w:val="en-GB"/>
    </w:rPr>
  </w:style>
  <w:style w:type="character" w:customStyle="1" w:styleId="Heading2Char">
    <w:name w:val="Heading 2 Char"/>
    <w:link w:val="Heading2"/>
    <w:uiPriority w:val="9"/>
    <w:rsid w:val="009317AA"/>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9317AA"/>
    <w:rPr>
      <w:rFonts w:ascii="Times New Roman" w:eastAsia="PMingLiU" w:hAnsi="Times New Roman" w:cs="Simplified Arabic"/>
      <w:b/>
      <w:bCs/>
      <w:color w:val="4F81BD"/>
      <w:sz w:val="20"/>
    </w:rPr>
  </w:style>
  <w:style w:type="character" w:customStyle="1" w:styleId="Heading4Char">
    <w:name w:val="Heading 4 Char"/>
    <w:link w:val="Heading4"/>
    <w:uiPriority w:val="9"/>
    <w:rsid w:val="009317A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317AA"/>
    <w:rPr>
      <w:rFonts w:ascii="Times New Roman" w:eastAsia="PMingLiU" w:hAnsi="Times New Roman" w:cs="Simplified Arabic"/>
      <w:color w:val="243F60"/>
      <w:sz w:val="20"/>
    </w:rPr>
  </w:style>
  <w:style w:type="character" w:customStyle="1" w:styleId="Heading6Char">
    <w:name w:val="Heading 6 Char"/>
    <w:link w:val="Heading6"/>
    <w:uiPriority w:val="9"/>
    <w:rsid w:val="009317AA"/>
    <w:rPr>
      <w:rFonts w:ascii="Times New Roman" w:eastAsia="PMingLiU" w:hAnsi="Times New Roman" w:cs="Simplified Arabic"/>
      <w:i/>
      <w:iCs/>
      <w:color w:val="243F60"/>
      <w:sz w:val="20"/>
    </w:rPr>
  </w:style>
  <w:style w:type="character" w:customStyle="1" w:styleId="Heading7Char">
    <w:name w:val="Heading 7 Char"/>
    <w:link w:val="Heading7"/>
    <w:uiPriority w:val="9"/>
    <w:rsid w:val="009317AA"/>
    <w:rPr>
      <w:rFonts w:ascii="Times New Roman" w:eastAsia="PMingLiU" w:hAnsi="Times New Roman" w:cs="Simplified Arabic"/>
      <w:i/>
      <w:iCs/>
      <w:color w:val="404040"/>
      <w:sz w:val="20"/>
    </w:rPr>
  </w:style>
  <w:style w:type="character" w:customStyle="1" w:styleId="Heading8Char">
    <w:name w:val="Heading 8 Char"/>
    <w:link w:val="Heading8"/>
    <w:uiPriority w:val="9"/>
    <w:rsid w:val="009317A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317A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317A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317A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317AA"/>
    <w:pPr>
      <w:numPr>
        <w:ilvl w:val="1"/>
      </w:numPr>
    </w:pPr>
    <w:rPr>
      <w:i/>
      <w:iCs/>
      <w:color w:val="4F81BD"/>
      <w:spacing w:val="15"/>
      <w:sz w:val="24"/>
      <w:szCs w:val="24"/>
    </w:rPr>
  </w:style>
  <w:style w:type="character" w:customStyle="1" w:styleId="SubtitleChar">
    <w:name w:val="Subtitle Char"/>
    <w:link w:val="Subtitle"/>
    <w:uiPriority w:val="11"/>
    <w:rsid w:val="009317AA"/>
    <w:rPr>
      <w:rFonts w:ascii="Times New Roman" w:eastAsia="PMingLiU" w:hAnsi="Times New Roman" w:cs="Simplified Arabic"/>
      <w:i/>
      <w:iCs/>
      <w:color w:val="4F81BD"/>
      <w:spacing w:val="15"/>
      <w:sz w:val="24"/>
      <w:szCs w:val="24"/>
    </w:rPr>
  </w:style>
  <w:style w:type="character" w:styleId="Strong">
    <w:name w:val="Strong"/>
    <w:uiPriority w:val="22"/>
    <w:rsid w:val="009317AA"/>
    <w:rPr>
      <w:b/>
      <w:bCs/>
    </w:rPr>
  </w:style>
  <w:style w:type="table" w:styleId="TableGrid">
    <w:name w:val="Table Grid"/>
    <w:basedOn w:val="TableNormal"/>
    <w:rsid w:val="009317A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7AA"/>
    <w:rPr>
      <w:color w:val="0000FF"/>
      <w:u w:val="none"/>
    </w:rPr>
  </w:style>
  <w:style w:type="paragraph" w:styleId="TOC1">
    <w:name w:val="toc 1"/>
    <w:basedOn w:val="Normal"/>
    <w:link w:val="TOC1Char"/>
    <w:autoRedefine/>
    <w:uiPriority w:val="39"/>
    <w:unhideWhenUsed/>
    <w:rsid w:val="009317A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317A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317A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317AA"/>
    <w:rPr>
      <w:rFonts w:eastAsia="DengXian"/>
      <w:color w:val="auto"/>
      <w:sz w:val="20"/>
      <w:szCs w:val="20"/>
      <w:u w:val="none"/>
      <w:lang w:eastAsia="zh-CN" w:bidi="ar-EG"/>
    </w:rPr>
  </w:style>
  <w:style w:type="paragraph" w:styleId="TOC4">
    <w:name w:val="toc 4"/>
    <w:basedOn w:val="Normal"/>
    <w:link w:val="TOC4Char"/>
    <w:autoRedefine/>
    <w:uiPriority w:val="39"/>
    <w:unhideWhenUsed/>
    <w:rsid w:val="009317A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317A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317A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9317A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317AA"/>
    <w:rPr>
      <w:rFonts w:ascii="Times New Roman" w:eastAsia="PMingLiU" w:hAnsi="Times New Roman" w:cs="Simplified Arabic"/>
      <w:lang w:val="en-GB"/>
    </w:rPr>
  </w:style>
  <w:style w:type="character" w:customStyle="1" w:styleId="TOC1Char">
    <w:name w:val="TOC 1 Char"/>
    <w:basedOn w:val="DefaultParagraphFont"/>
    <w:link w:val="TOC1"/>
    <w:uiPriority w:val="39"/>
    <w:rsid w:val="009317A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317A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317A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317A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317A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317AA"/>
    <w:rPr>
      <w:rFonts w:ascii="Times New Roman" w:eastAsia="PMingLiU" w:hAnsi="Times New Roman" w:cs="Simplified Arabic"/>
      <w:sz w:val="20"/>
      <w:szCs w:val="20"/>
      <w:lang w:val="en-GB"/>
    </w:rPr>
  </w:style>
  <w:style w:type="paragraph" w:customStyle="1" w:styleId="NormalA">
    <w:name w:val="Normal_A"/>
    <w:basedOn w:val="Normal"/>
    <w:qFormat/>
    <w:rsid w:val="009317AA"/>
  </w:style>
  <w:style w:type="paragraph" w:customStyle="1" w:styleId="FootnoteGA">
    <w:name w:val="_Footnote_GA"/>
    <w:basedOn w:val="Normal"/>
    <w:qFormat/>
    <w:rsid w:val="009317A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317AA"/>
    <w:rPr>
      <w:sz w:val="44"/>
      <w:szCs w:val="44"/>
      <w:lang w:val="en-US" w:bidi="ar-DZ"/>
    </w:rPr>
  </w:style>
  <w:style w:type="paragraph" w:customStyle="1" w:styleId="FootnoteGA0">
    <w:name w:val="Footnote_GA"/>
    <w:basedOn w:val="Normal"/>
    <w:qFormat/>
    <w:rsid w:val="009317A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9317A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9317AA"/>
    <w:pPr>
      <w:spacing w:line="240" w:lineRule="exact"/>
    </w:pPr>
    <w:rPr>
      <w:spacing w:val="6"/>
      <w:w w:val="106"/>
      <w:sz w:val="14"/>
      <w:szCs w:val="21"/>
    </w:rPr>
  </w:style>
  <w:style w:type="paragraph" w:customStyle="1" w:styleId="Original">
    <w:name w:val="Original"/>
    <w:basedOn w:val="Normal"/>
    <w:next w:val="Normal"/>
    <w:qFormat/>
    <w:rsid w:val="009317A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9317A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9317A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9317AA"/>
    <w:rPr>
      <w:lang w:val="en-US" w:eastAsia="zh-TW"/>
    </w:rPr>
  </w:style>
  <w:style w:type="paragraph" w:customStyle="1" w:styleId="STitleMGA">
    <w:name w:val="S_Title_M_GA"/>
    <w:basedOn w:val="SMGA"/>
    <w:qFormat/>
    <w:rsid w:val="009317AA"/>
    <w:rPr>
      <w:lang w:eastAsia="zh-TW"/>
    </w:rPr>
  </w:style>
  <w:style w:type="paragraph" w:customStyle="1" w:styleId="STitleSGA">
    <w:name w:val="S_Title_S_GA"/>
    <w:basedOn w:val="SSGA"/>
    <w:qFormat/>
    <w:rsid w:val="009317AA"/>
    <w:rPr>
      <w:lang w:eastAsia="zh-TW"/>
    </w:rPr>
  </w:style>
  <w:style w:type="character" w:styleId="EndnoteReference">
    <w:name w:val="endnote reference"/>
    <w:aliases w:val="1_G"/>
    <w:basedOn w:val="DefaultParagraphFont"/>
    <w:unhideWhenUsed/>
    <w:qFormat/>
    <w:rsid w:val="00A02D6F"/>
    <w:rPr>
      <w:vertAlign w:val="superscript"/>
    </w:rPr>
  </w:style>
  <w:style w:type="paragraph" w:styleId="FootnoteText">
    <w:name w:val="footnote text"/>
    <w:basedOn w:val="Normal"/>
    <w:link w:val="FootnoteTextChar"/>
    <w:semiHidden/>
    <w:unhideWhenUsed/>
    <w:qFormat/>
    <w:rsid w:val="00A02D6F"/>
    <w:pPr>
      <w:spacing w:line="240" w:lineRule="auto"/>
    </w:pPr>
    <w:rPr>
      <w:szCs w:val="20"/>
    </w:rPr>
  </w:style>
  <w:style w:type="character" w:customStyle="1" w:styleId="FootnoteTextChar">
    <w:name w:val="Footnote Text Char"/>
    <w:basedOn w:val="DefaultParagraphFont"/>
    <w:link w:val="FootnoteText"/>
    <w:semiHidden/>
    <w:rsid w:val="00A02D6F"/>
    <w:rPr>
      <w:rFonts w:ascii="Times New Roman" w:eastAsia="PMingLiU" w:hAnsi="Times New Roman" w:cs="Simplified Arabic"/>
      <w:sz w:val="20"/>
      <w:szCs w:val="20"/>
    </w:rPr>
  </w:style>
  <w:style w:type="character" w:styleId="FootnoteReference">
    <w:name w:val="footnote reference"/>
    <w:basedOn w:val="DefaultParagraphFont"/>
    <w:semiHidden/>
    <w:unhideWhenUsed/>
    <w:qFormat/>
    <w:rsid w:val="00A02D6F"/>
    <w:rPr>
      <w:vertAlign w:val="superscript"/>
    </w:rPr>
  </w:style>
  <w:style w:type="character" w:styleId="UnresolvedMention">
    <w:name w:val="Unresolved Mention"/>
    <w:basedOn w:val="DefaultParagraphFont"/>
    <w:uiPriority w:val="99"/>
    <w:semiHidden/>
    <w:unhideWhenUsed/>
    <w:rsid w:val="00977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79/D/12/2017" TargetMode="External"/><Relationship Id="rId3" Type="http://schemas.openxmlformats.org/officeDocument/2006/relationships/hyperlink" Target="https://undocs.org/ar/CAT/C/28/D/176/2000/Corr.1" TargetMode="External"/><Relationship Id="rId7" Type="http://schemas.openxmlformats.org/officeDocument/2006/relationships/hyperlink" Target="http://www.ohchr.org/Documents/Issues/Terrorism/UNSRsPublicJurisdictionAnalysis2020.pdf" TargetMode="External"/><Relationship Id="rId12" Type="http://schemas.openxmlformats.org/officeDocument/2006/relationships/hyperlink" Target="https://undocs.org/ar/A/HRC/51/45" TargetMode="External"/><Relationship Id="rId2" Type="http://schemas.openxmlformats.org/officeDocument/2006/relationships/hyperlink" Target="https://undocs.org/ar/CAT/C/28/D/176/2000" TargetMode="External"/><Relationship Id="rId1" Type="http://schemas.openxmlformats.org/officeDocument/2006/relationships/hyperlink" Target="https://undocs.org/ar/CRC/C/85/D/79/2019-CRC/C/85/D/109/2019" TargetMode="External"/><Relationship Id="rId6" Type="http://schemas.openxmlformats.org/officeDocument/2006/relationships/hyperlink" Target="https://undocs.org/ar/A/70/303" TargetMode="External"/><Relationship Id="rId11" Type="http://schemas.openxmlformats.org/officeDocument/2006/relationships/hyperlink" Target="https://undocs.org/ar/CRC/C/89/D/77/2019-CRC/C/89/D/79/2019-CRC/C/89/D/109/2019" TargetMode="External"/><Relationship Id="rId5" Type="http://schemas.openxmlformats.org/officeDocument/2006/relationships/hyperlink" Target="https://undocs.org/ar/CAT/C/34/D/233/2003" TargetMode="External"/><Relationship Id="rId10" Type="http://schemas.openxmlformats.org/officeDocument/2006/relationships/hyperlink" Target="http://www.ohchr.org/EN/HRBodies/HRC/RegularSessions/Session43/Pages/ListReports.aspx" TargetMode="External"/><Relationship Id="rId4" Type="http://schemas.openxmlformats.org/officeDocument/2006/relationships/hyperlink" Target="https://undocs.org/ar/CAT/C/53/D/511/2012" TargetMode="External"/><Relationship Id="rId9" Type="http://schemas.openxmlformats.org/officeDocument/2006/relationships/hyperlink" Target="https://undocs.org/ar/CRC/C/89/D/77/2019-CRC/C/89/D/79/2019-CRC/C/89/D/109/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4737</Words>
  <Characters>36815</Characters>
  <Application>Microsoft Office Word</Application>
  <DocSecurity>0</DocSecurity>
  <Lines>5259</Lines>
  <Paragraphs>3462</Paragraphs>
  <ScaleCrop>false</ScaleCrop>
  <HeadingPairs>
    <vt:vector size="2" baseType="variant">
      <vt:variant>
        <vt:lpstr>Title</vt:lpstr>
      </vt:variant>
      <vt:variant>
        <vt:i4>1</vt:i4>
      </vt:variant>
    </vt:vector>
  </HeadingPairs>
  <TitlesOfParts>
    <vt:vector size="1" baseType="lpstr">
      <vt:lpstr>CRC/C/91/D/100/2019</vt:lpstr>
    </vt:vector>
  </TitlesOfParts>
  <Company>DCM</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CRC/C/91/D/100/2019</dc:title>
  <dc:subject>GE.2217170(A)</dc:subject>
  <dc:creator>Gamal MAHMOUD - kegham.tamamian </dc:creator>
  <cp:keywords>GE.2252984(A)</cp:keywords>
  <dc:description>Distr.: General_x000d_
20 October 2022_x000d_
Original: English</dc:description>
  <cp:lastModifiedBy>Gamal Mohamed Abdelhamid Mahmoud</cp:lastModifiedBy>
  <cp:revision>2</cp:revision>
  <dcterms:created xsi:type="dcterms:W3CDTF">2022-12-14T13:29:00Z</dcterms:created>
  <dcterms:modified xsi:type="dcterms:W3CDTF">2022-12-14T13:29:00Z</dcterms:modified>
</cp:coreProperties>
</file>