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3BAEE8DE" w14:textId="77777777" w:rsidTr="008F3CA0">
        <w:trPr>
          <w:trHeight w:hRule="exact" w:val="851"/>
        </w:trPr>
        <w:tc>
          <w:tcPr>
            <w:tcW w:w="1276" w:type="dxa"/>
            <w:tcBorders>
              <w:bottom w:val="single" w:sz="4" w:space="0" w:color="auto"/>
            </w:tcBorders>
          </w:tcPr>
          <w:p w14:paraId="01F4FC07" w14:textId="77777777" w:rsidR="000354E9" w:rsidRPr="00DB58B5" w:rsidRDefault="000354E9" w:rsidP="00B50725"/>
        </w:tc>
        <w:tc>
          <w:tcPr>
            <w:tcW w:w="2268" w:type="dxa"/>
            <w:tcBorders>
              <w:bottom w:val="single" w:sz="4" w:space="0" w:color="auto"/>
            </w:tcBorders>
            <w:vAlign w:val="bottom"/>
          </w:tcPr>
          <w:p w14:paraId="2E754EB8"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559A8D5" w14:textId="2247C00B" w:rsidR="000354E9" w:rsidRPr="004C6D26" w:rsidRDefault="004C6D26" w:rsidP="004C6D26">
            <w:pPr>
              <w:jc w:val="right"/>
            </w:pPr>
            <w:r w:rsidRPr="004C6D26">
              <w:rPr>
                <w:sz w:val="40"/>
              </w:rPr>
              <w:t>CRC</w:t>
            </w:r>
            <w:r>
              <w:t>/C/91/D/141/2021</w:t>
            </w:r>
          </w:p>
        </w:tc>
      </w:tr>
      <w:tr w:rsidR="000354E9" w:rsidRPr="00DB58B5" w14:paraId="3F71D094" w14:textId="77777777" w:rsidTr="008F3CA0">
        <w:trPr>
          <w:trHeight w:hRule="exact" w:val="2835"/>
        </w:trPr>
        <w:tc>
          <w:tcPr>
            <w:tcW w:w="1276" w:type="dxa"/>
            <w:tcBorders>
              <w:top w:val="single" w:sz="4" w:space="0" w:color="auto"/>
              <w:bottom w:val="single" w:sz="12" w:space="0" w:color="auto"/>
            </w:tcBorders>
          </w:tcPr>
          <w:p w14:paraId="40285F4B" w14:textId="77777777" w:rsidR="000354E9" w:rsidRPr="00DB58B5" w:rsidRDefault="000354E9" w:rsidP="008F3CA0">
            <w:pPr>
              <w:spacing w:before="120"/>
              <w:jc w:val="center"/>
            </w:pPr>
            <w:r>
              <w:rPr>
                <w:noProof/>
                <w:lang w:val="en-GB" w:eastAsia="en-GB"/>
              </w:rPr>
              <w:drawing>
                <wp:inline distT="0" distB="0" distL="0" distR="0" wp14:anchorId="76338B9F" wp14:editId="3280500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DCA77F"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1E4747FA" w14:textId="77777777" w:rsidR="000354E9" w:rsidRDefault="00B50725" w:rsidP="008F3CA0">
            <w:pPr>
              <w:spacing w:before="240"/>
            </w:pPr>
            <w:r>
              <w:t>Distr. générale</w:t>
            </w:r>
          </w:p>
          <w:p w14:paraId="2CC7D8B8" w14:textId="4F898B40" w:rsidR="00B50725" w:rsidRDefault="00B50725" w:rsidP="00B50725">
            <w:pPr>
              <w:spacing w:line="240" w:lineRule="exact"/>
            </w:pPr>
            <w:r>
              <w:t>1</w:t>
            </w:r>
            <w:r w:rsidR="00BB60B5">
              <w:t>8</w:t>
            </w:r>
            <w:r>
              <w:t xml:space="preserve"> octobre 2022</w:t>
            </w:r>
          </w:p>
          <w:p w14:paraId="22F20402" w14:textId="3DBBFEEE" w:rsidR="00B50725" w:rsidRDefault="00B50725" w:rsidP="00B50725">
            <w:pPr>
              <w:spacing w:line="240" w:lineRule="exact"/>
            </w:pPr>
          </w:p>
          <w:p w14:paraId="17129884" w14:textId="76F1B31C" w:rsidR="00B50725" w:rsidRPr="00DB58B5" w:rsidRDefault="00B50725" w:rsidP="00B50725">
            <w:pPr>
              <w:spacing w:line="240" w:lineRule="exact"/>
            </w:pPr>
            <w:r>
              <w:t>Original : français</w:t>
            </w:r>
          </w:p>
        </w:tc>
      </w:tr>
    </w:tbl>
    <w:p w14:paraId="0C5B8254" w14:textId="77777777" w:rsidR="002D14A3" w:rsidRDefault="002D14A3" w:rsidP="002D14A3">
      <w:pPr>
        <w:spacing w:before="120"/>
        <w:rPr>
          <w:b/>
          <w:sz w:val="24"/>
          <w:szCs w:val="24"/>
        </w:rPr>
      </w:pPr>
      <w:r w:rsidRPr="00DA3BE9">
        <w:rPr>
          <w:b/>
          <w:sz w:val="24"/>
          <w:szCs w:val="24"/>
        </w:rPr>
        <w:t>Comité des droits de l’enfant</w:t>
      </w:r>
    </w:p>
    <w:p w14:paraId="46919CA6" w14:textId="320A997C" w:rsidR="006835A2" w:rsidRDefault="006835A2" w:rsidP="007B7D57">
      <w:pPr>
        <w:pStyle w:val="HChG"/>
        <w:rPr>
          <w:b w:val="0"/>
          <w:sz w:val="20"/>
          <w:lang w:val="fr-FR"/>
        </w:rPr>
      </w:pPr>
      <w:r w:rsidRPr="00360A1A">
        <w:rPr>
          <w:lang w:val="fr-FR"/>
        </w:rPr>
        <w:tab/>
      </w:r>
      <w:r w:rsidRPr="00360A1A">
        <w:rPr>
          <w:lang w:val="fr-FR"/>
        </w:rPr>
        <w:tab/>
        <w:t>D</w:t>
      </w:r>
      <w:r>
        <w:rPr>
          <w:lang w:val="fr-FR"/>
        </w:rPr>
        <w:t>é</w:t>
      </w:r>
      <w:r w:rsidRPr="00360A1A">
        <w:rPr>
          <w:lang w:val="fr-FR"/>
        </w:rPr>
        <w:t xml:space="preserve">cision adoptée par le Comité </w:t>
      </w:r>
      <w:r>
        <w:rPr>
          <w:lang w:val="fr-FR"/>
        </w:rPr>
        <w:t>au titre</w:t>
      </w:r>
      <w:r w:rsidRPr="00360A1A">
        <w:rPr>
          <w:lang w:val="fr-FR"/>
        </w:rPr>
        <w:t xml:space="preserve"> du Protocole facultatif à la Convention relative aux droits </w:t>
      </w:r>
      <w:r w:rsidR="007B7D57">
        <w:rPr>
          <w:lang w:val="fr-FR"/>
        </w:rPr>
        <w:br/>
      </w:r>
      <w:r w:rsidRPr="00360A1A">
        <w:rPr>
          <w:lang w:val="fr-FR"/>
        </w:rPr>
        <w:t>de l</w:t>
      </w:r>
      <w:r>
        <w:rPr>
          <w:lang w:val="fr-FR"/>
        </w:rPr>
        <w:t>’</w:t>
      </w:r>
      <w:r w:rsidRPr="00360A1A">
        <w:rPr>
          <w:lang w:val="fr-FR"/>
        </w:rPr>
        <w:t xml:space="preserve">enfant </w:t>
      </w:r>
      <w:r>
        <w:rPr>
          <w:lang w:val="fr-FR"/>
        </w:rPr>
        <w:t>établissant</w:t>
      </w:r>
      <w:r w:rsidRPr="00360A1A">
        <w:rPr>
          <w:lang w:val="fr-FR"/>
        </w:rPr>
        <w:t xml:space="preserve"> une procédure </w:t>
      </w:r>
      <w:r w:rsidR="007B7D57">
        <w:rPr>
          <w:lang w:val="fr-FR"/>
        </w:rPr>
        <w:br/>
      </w:r>
      <w:r w:rsidRPr="00360A1A">
        <w:rPr>
          <w:lang w:val="fr-FR"/>
        </w:rPr>
        <w:t xml:space="preserve">de </w:t>
      </w:r>
      <w:r>
        <w:rPr>
          <w:lang w:val="fr-FR"/>
        </w:rPr>
        <w:t xml:space="preserve">présentation de </w:t>
      </w:r>
      <w:r w:rsidRPr="00360A1A">
        <w:rPr>
          <w:lang w:val="fr-FR"/>
        </w:rPr>
        <w:t>communication</w:t>
      </w:r>
      <w:r>
        <w:rPr>
          <w:lang w:val="fr-FR"/>
        </w:rPr>
        <w:t>s,</w:t>
      </w:r>
      <w:r w:rsidRPr="00360A1A">
        <w:rPr>
          <w:lang w:val="fr-FR"/>
        </w:rPr>
        <w:t xml:space="preserve"> </w:t>
      </w:r>
      <w:r w:rsidR="007B7D57">
        <w:rPr>
          <w:lang w:val="fr-FR"/>
        </w:rPr>
        <w:br/>
      </w:r>
      <w:r>
        <w:rPr>
          <w:lang w:val="fr-FR"/>
        </w:rPr>
        <w:t>concernant</w:t>
      </w:r>
      <w:r w:rsidRPr="00360A1A">
        <w:rPr>
          <w:lang w:val="fr-FR"/>
        </w:rPr>
        <w:t xml:space="preserve"> la communication n</w:t>
      </w:r>
      <w:r w:rsidR="007B7D57" w:rsidRPr="007B7D57">
        <w:rPr>
          <w:vertAlign w:val="superscript"/>
          <w:lang w:val="fr-FR"/>
        </w:rPr>
        <w:t>o</w:t>
      </w:r>
      <w:r w:rsidR="007B7D57">
        <w:rPr>
          <w:lang w:val="fr-FR"/>
        </w:rPr>
        <w:t> </w:t>
      </w:r>
      <w:r w:rsidRPr="00360A1A">
        <w:rPr>
          <w:lang w:val="fr-FR"/>
        </w:rPr>
        <w:t>141/2021</w:t>
      </w:r>
      <w:r w:rsidRPr="007B7D57">
        <w:rPr>
          <w:rStyle w:val="Appelnotedebasdep"/>
          <w:b w:val="0"/>
          <w:sz w:val="20"/>
          <w:vertAlign w:val="baseline"/>
          <w:lang w:val="fr-FR"/>
        </w:rPr>
        <w:footnoteReference w:customMarkFollows="1" w:id="2"/>
        <w:t>*</w:t>
      </w:r>
      <w:r w:rsidRPr="007B7D57">
        <w:rPr>
          <w:sz w:val="20"/>
          <w:vertAlign w:val="superscript"/>
          <w:lang w:val="fr-FR"/>
        </w:rPr>
        <w:t xml:space="preserve">, </w:t>
      </w:r>
      <w:r w:rsidRPr="007B7D57">
        <w:rPr>
          <w:rStyle w:val="Appelnotedebasdep"/>
          <w:b w:val="0"/>
          <w:sz w:val="20"/>
          <w:vertAlign w:val="baseline"/>
          <w:lang w:val="fr-FR"/>
        </w:rPr>
        <w:footnoteReference w:customMarkFollows="1" w:id="3"/>
        <w:t>**</w:t>
      </w:r>
      <w:r w:rsidRPr="007B7D57">
        <w:rPr>
          <w:sz w:val="20"/>
          <w:vertAlign w:val="superscript"/>
          <w:lang w:val="fr-FR"/>
        </w:rPr>
        <w:t xml:space="preserve">, </w:t>
      </w:r>
      <w:r w:rsidRPr="007B7D57">
        <w:rPr>
          <w:rStyle w:val="Appelnotedebasdep"/>
          <w:b w:val="0"/>
          <w:sz w:val="20"/>
          <w:vertAlign w:val="baseline"/>
          <w:lang w:val="fr-FR"/>
        </w:rPr>
        <w:footnoteReference w:customMarkFollows="1" w:id="4"/>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7B7D57" w14:paraId="225F9C7E" w14:textId="77777777">
        <w:tc>
          <w:tcPr>
            <w:tcW w:w="2552" w:type="dxa"/>
          </w:tcPr>
          <w:p w14:paraId="1D4890C0" w14:textId="77777777" w:rsidR="007B7D57" w:rsidRDefault="007B7D57">
            <w:pPr>
              <w:pStyle w:val="SingleTxtG"/>
              <w:ind w:left="0" w:right="0"/>
              <w:jc w:val="left"/>
              <w:rPr>
                <w:i/>
              </w:rPr>
            </w:pPr>
            <w:r>
              <w:rPr>
                <w:i/>
              </w:rPr>
              <w:t>Communication présentée par</w:t>
            </w:r>
            <w:r>
              <w:t> :</w:t>
            </w:r>
          </w:p>
        </w:tc>
        <w:tc>
          <w:tcPr>
            <w:tcW w:w="4253" w:type="dxa"/>
          </w:tcPr>
          <w:p w14:paraId="03E5CFC0" w14:textId="6DC7D7E7" w:rsidR="007B7D57" w:rsidRDefault="007B7D57">
            <w:pPr>
              <w:pStyle w:val="SingleTxtG"/>
              <w:ind w:left="0" w:right="0"/>
              <w:jc w:val="left"/>
            </w:pPr>
            <w:r w:rsidRPr="00360A1A">
              <w:rPr>
                <w:color w:val="000000"/>
                <w:lang w:val="fr-FR"/>
              </w:rPr>
              <w:t>M.</w:t>
            </w:r>
            <w:r>
              <w:rPr>
                <w:color w:val="000000"/>
                <w:lang w:val="fr-FR"/>
              </w:rPr>
              <w:t> </w:t>
            </w:r>
            <w:r w:rsidRPr="00360A1A">
              <w:rPr>
                <w:color w:val="000000"/>
                <w:lang w:val="fr-FR"/>
              </w:rPr>
              <w:t>A.</w:t>
            </w:r>
            <w:r>
              <w:rPr>
                <w:color w:val="000000"/>
                <w:lang w:val="fr-FR"/>
              </w:rPr>
              <w:t> </w:t>
            </w:r>
            <w:r w:rsidRPr="00360A1A">
              <w:rPr>
                <w:color w:val="000000"/>
                <w:lang w:val="fr-FR"/>
              </w:rPr>
              <w:t>M.</w:t>
            </w:r>
            <w:r>
              <w:rPr>
                <w:color w:val="000000"/>
                <w:lang w:val="fr-FR"/>
              </w:rPr>
              <w:t xml:space="preserve"> (représenté par </w:t>
            </w:r>
            <w:r w:rsidRPr="008A5DFD">
              <w:rPr>
                <w:color w:val="000000"/>
                <w:lang w:val="fr-FR"/>
              </w:rPr>
              <w:t>Jean-Louis Berardi</w:t>
            </w:r>
            <w:r>
              <w:rPr>
                <w:color w:val="000000"/>
                <w:lang w:val="fr-FR"/>
              </w:rPr>
              <w:t>)</w:t>
            </w:r>
          </w:p>
        </w:tc>
      </w:tr>
      <w:tr w:rsidR="007B7D57" w14:paraId="37CD1E27" w14:textId="77777777">
        <w:tc>
          <w:tcPr>
            <w:tcW w:w="2552" w:type="dxa"/>
          </w:tcPr>
          <w:p w14:paraId="490359E6" w14:textId="3BBEB5CB" w:rsidR="007B7D57" w:rsidRDefault="007B7D57">
            <w:pPr>
              <w:pStyle w:val="SingleTxtG"/>
              <w:ind w:left="0" w:right="0"/>
              <w:jc w:val="left"/>
              <w:rPr>
                <w:i/>
              </w:rPr>
            </w:pPr>
            <w:r w:rsidRPr="00360A1A">
              <w:rPr>
                <w:i/>
                <w:lang w:val="fr-FR"/>
              </w:rPr>
              <w:t>Victime</w:t>
            </w:r>
            <w:r>
              <w:rPr>
                <w:i/>
                <w:lang w:val="fr-FR"/>
              </w:rPr>
              <w:t>(s)</w:t>
            </w:r>
            <w:r w:rsidRPr="00360A1A">
              <w:rPr>
                <w:i/>
                <w:lang w:val="fr-FR"/>
              </w:rPr>
              <w:t xml:space="preserve"> présumée</w:t>
            </w:r>
            <w:r>
              <w:rPr>
                <w:i/>
                <w:lang w:val="fr-FR"/>
              </w:rPr>
              <w:t>(s) </w:t>
            </w:r>
            <w:r>
              <w:t>:</w:t>
            </w:r>
          </w:p>
        </w:tc>
        <w:tc>
          <w:tcPr>
            <w:tcW w:w="4253" w:type="dxa"/>
          </w:tcPr>
          <w:p w14:paraId="209CBB60" w14:textId="2F74EC6D" w:rsidR="007B7D57" w:rsidRDefault="007B7D57">
            <w:pPr>
              <w:pStyle w:val="SingleTxtG"/>
              <w:ind w:left="0" w:right="0"/>
              <w:jc w:val="left"/>
            </w:pPr>
            <w:r>
              <w:rPr>
                <w:color w:val="000000"/>
                <w:lang w:val="fr-FR"/>
              </w:rPr>
              <w:t>L’auteur</w:t>
            </w:r>
          </w:p>
        </w:tc>
      </w:tr>
      <w:tr w:rsidR="007B7D57" w14:paraId="7E365978" w14:textId="77777777">
        <w:tc>
          <w:tcPr>
            <w:tcW w:w="2552" w:type="dxa"/>
          </w:tcPr>
          <w:p w14:paraId="530A948F" w14:textId="77777777" w:rsidR="007B7D57" w:rsidRDefault="007B7D57">
            <w:pPr>
              <w:pStyle w:val="SingleTxtG"/>
              <w:ind w:left="0" w:right="0"/>
              <w:jc w:val="left"/>
              <w:rPr>
                <w:i/>
              </w:rPr>
            </w:pPr>
            <w:r>
              <w:rPr>
                <w:i/>
              </w:rPr>
              <w:t>État partie</w:t>
            </w:r>
            <w:r>
              <w:t> :</w:t>
            </w:r>
          </w:p>
        </w:tc>
        <w:tc>
          <w:tcPr>
            <w:tcW w:w="4253" w:type="dxa"/>
          </w:tcPr>
          <w:p w14:paraId="57F21C59" w14:textId="6B8C9816" w:rsidR="007B7D57" w:rsidRDefault="007B7D57">
            <w:pPr>
              <w:pStyle w:val="SingleTxtG"/>
              <w:ind w:left="0" w:right="0"/>
              <w:jc w:val="left"/>
            </w:pPr>
            <w:r w:rsidRPr="00360A1A">
              <w:rPr>
                <w:color w:val="000000"/>
                <w:lang w:val="fr-FR"/>
              </w:rPr>
              <w:t>Suisse</w:t>
            </w:r>
          </w:p>
        </w:tc>
      </w:tr>
      <w:tr w:rsidR="007B7D57" w14:paraId="56CDE0E6" w14:textId="77777777">
        <w:tc>
          <w:tcPr>
            <w:tcW w:w="2552" w:type="dxa"/>
          </w:tcPr>
          <w:p w14:paraId="06135A51" w14:textId="29E21503" w:rsidR="007B7D57" w:rsidRDefault="007B7D57">
            <w:pPr>
              <w:pStyle w:val="SingleTxtG"/>
              <w:ind w:left="0" w:right="0"/>
              <w:jc w:val="left"/>
              <w:rPr>
                <w:i/>
              </w:rPr>
            </w:pPr>
            <w:r w:rsidRPr="00360A1A">
              <w:rPr>
                <w:i/>
                <w:lang w:val="fr-FR"/>
              </w:rPr>
              <w:t>Date de la communication</w:t>
            </w:r>
            <w:r>
              <w:rPr>
                <w:i/>
                <w:lang w:val="fr-FR"/>
              </w:rPr>
              <w:t> </w:t>
            </w:r>
            <w:r>
              <w:t>:</w:t>
            </w:r>
          </w:p>
        </w:tc>
        <w:tc>
          <w:tcPr>
            <w:tcW w:w="4253" w:type="dxa"/>
          </w:tcPr>
          <w:p w14:paraId="2F7C8382" w14:textId="56831D60" w:rsidR="007B7D57" w:rsidRDefault="007B7D57">
            <w:pPr>
              <w:pStyle w:val="SingleTxtG"/>
              <w:ind w:left="0" w:right="0"/>
              <w:jc w:val="left"/>
            </w:pPr>
            <w:r w:rsidRPr="00360A1A">
              <w:rPr>
                <w:color w:val="000000"/>
                <w:lang w:val="fr-FR"/>
              </w:rPr>
              <w:t>18 février 2021</w:t>
            </w:r>
            <w:r>
              <w:rPr>
                <w:color w:val="000000"/>
                <w:lang w:val="fr-FR"/>
              </w:rPr>
              <w:t xml:space="preserve"> (date de la lettre initiale)</w:t>
            </w:r>
          </w:p>
        </w:tc>
      </w:tr>
      <w:tr w:rsidR="007B7D57" w14:paraId="2829C170" w14:textId="77777777">
        <w:tc>
          <w:tcPr>
            <w:tcW w:w="2552" w:type="dxa"/>
          </w:tcPr>
          <w:p w14:paraId="30E8E949" w14:textId="21D18248" w:rsidR="007B7D57" w:rsidRDefault="007B7D57">
            <w:pPr>
              <w:pStyle w:val="SingleTxtG"/>
              <w:ind w:left="0" w:right="0"/>
              <w:jc w:val="left"/>
              <w:rPr>
                <w:i/>
              </w:rPr>
            </w:pPr>
            <w:r w:rsidRPr="00360A1A">
              <w:rPr>
                <w:i/>
                <w:iCs/>
                <w:lang w:val="fr-FR"/>
              </w:rPr>
              <w:t xml:space="preserve">Objet </w:t>
            </w:r>
            <w:r w:rsidRPr="007B7D57">
              <w:rPr>
                <w:lang w:val="fr-FR"/>
              </w:rPr>
              <w:t>:</w:t>
            </w:r>
          </w:p>
        </w:tc>
        <w:tc>
          <w:tcPr>
            <w:tcW w:w="4253" w:type="dxa"/>
            <w:vAlign w:val="bottom"/>
          </w:tcPr>
          <w:p w14:paraId="724A519C" w14:textId="6B395775" w:rsidR="007B7D57" w:rsidRDefault="007B7D57">
            <w:pPr>
              <w:pStyle w:val="SingleTxtG"/>
              <w:ind w:left="0" w:right="0"/>
              <w:jc w:val="left"/>
            </w:pPr>
            <w:r w:rsidRPr="00360A1A">
              <w:rPr>
                <w:lang w:val="fr-FR"/>
              </w:rPr>
              <w:t>Durée de la procédure de recours en matière d</w:t>
            </w:r>
            <w:r>
              <w:rPr>
                <w:lang w:val="fr-FR"/>
              </w:rPr>
              <w:t>’</w:t>
            </w:r>
            <w:r w:rsidRPr="00360A1A">
              <w:rPr>
                <w:lang w:val="fr-FR"/>
              </w:rPr>
              <w:t xml:space="preserve">asile pour un </w:t>
            </w:r>
            <w:r>
              <w:rPr>
                <w:lang w:val="fr-FR"/>
              </w:rPr>
              <w:t>enfant</w:t>
            </w:r>
            <w:r w:rsidRPr="00360A1A">
              <w:rPr>
                <w:lang w:val="fr-FR"/>
              </w:rPr>
              <w:t xml:space="preserve"> non accompagné</w:t>
            </w:r>
            <w:r>
              <w:rPr>
                <w:lang w:val="fr-FR"/>
              </w:rPr>
              <w:t> </w:t>
            </w:r>
            <w:r w:rsidRPr="00360A1A">
              <w:rPr>
                <w:lang w:val="fr-FR"/>
              </w:rPr>
              <w:t>; expulsion vers le Maroc</w:t>
            </w:r>
          </w:p>
        </w:tc>
      </w:tr>
      <w:tr w:rsidR="007B7D57" w14:paraId="3EF09A6C" w14:textId="77777777">
        <w:tc>
          <w:tcPr>
            <w:tcW w:w="2552" w:type="dxa"/>
          </w:tcPr>
          <w:p w14:paraId="7623447F" w14:textId="4E6A0FEB" w:rsidR="007B7D57" w:rsidRPr="007B7D57" w:rsidRDefault="007B7D57">
            <w:pPr>
              <w:pStyle w:val="SingleTxtG"/>
              <w:ind w:left="0" w:right="0"/>
              <w:jc w:val="left"/>
              <w:rPr>
                <w:lang w:val="fr-FR"/>
              </w:rPr>
            </w:pPr>
            <w:r w:rsidRPr="00360A1A">
              <w:rPr>
                <w:i/>
                <w:iCs/>
                <w:lang w:val="fr-FR"/>
              </w:rPr>
              <w:t>Question</w:t>
            </w:r>
            <w:r>
              <w:rPr>
                <w:i/>
                <w:iCs/>
                <w:lang w:val="fr-FR"/>
              </w:rPr>
              <w:t>(s)</w:t>
            </w:r>
            <w:r w:rsidRPr="00360A1A">
              <w:rPr>
                <w:i/>
                <w:iCs/>
                <w:lang w:val="fr-FR"/>
              </w:rPr>
              <w:t xml:space="preserve"> de procédure</w:t>
            </w:r>
            <w:r>
              <w:rPr>
                <w:lang w:val="fr-FR"/>
              </w:rPr>
              <w:t> :</w:t>
            </w:r>
          </w:p>
        </w:tc>
        <w:tc>
          <w:tcPr>
            <w:tcW w:w="4253" w:type="dxa"/>
            <w:vAlign w:val="bottom"/>
          </w:tcPr>
          <w:p w14:paraId="4207C3D5" w14:textId="2AE14733" w:rsidR="007B7D57" w:rsidRPr="00360A1A" w:rsidRDefault="007B7D57">
            <w:pPr>
              <w:pStyle w:val="SingleTxtG"/>
              <w:ind w:left="0" w:right="0"/>
              <w:jc w:val="left"/>
              <w:rPr>
                <w:lang w:val="fr-FR"/>
              </w:rPr>
            </w:pPr>
            <w:r>
              <w:rPr>
                <w:iCs/>
                <w:lang w:val="fr-FR"/>
              </w:rPr>
              <w:t>É</w:t>
            </w:r>
            <w:r w:rsidRPr="00360A1A">
              <w:rPr>
                <w:iCs/>
                <w:lang w:val="fr-FR"/>
              </w:rPr>
              <w:t>puisement des voies de recours internes</w:t>
            </w:r>
            <w:r>
              <w:rPr>
                <w:iCs/>
                <w:lang w:val="fr-FR"/>
              </w:rPr>
              <w:t> </w:t>
            </w:r>
            <w:r w:rsidRPr="00360A1A">
              <w:rPr>
                <w:iCs/>
                <w:lang w:val="fr-FR"/>
              </w:rPr>
              <w:t xml:space="preserve">; </w:t>
            </w:r>
            <w:r>
              <w:rPr>
                <w:iCs/>
                <w:lang w:val="fr-FR"/>
              </w:rPr>
              <w:t>d</w:t>
            </w:r>
            <w:r w:rsidRPr="00360A1A">
              <w:rPr>
                <w:iCs/>
                <w:lang w:val="fr-FR"/>
              </w:rPr>
              <w:t>éfaut de fondement des griefs</w:t>
            </w:r>
          </w:p>
        </w:tc>
      </w:tr>
      <w:tr w:rsidR="007B7D57" w14:paraId="5CE5B1BE" w14:textId="77777777">
        <w:tc>
          <w:tcPr>
            <w:tcW w:w="2552" w:type="dxa"/>
          </w:tcPr>
          <w:p w14:paraId="58B0BB11" w14:textId="0F86289E" w:rsidR="007B7D57" w:rsidRPr="007B7D57" w:rsidRDefault="007B7D57">
            <w:pPr>
              <w:pStyle w:val="SingleTxtG"/>
              <w:ind w:left="0" w:right="0"/>
              <w:jc w:val="left"/>
              <w:rPr>
                <w:lang w:val="fr-FR"/>
              </w:rPr>
            </w:pPr>
            <w:r w:rsidRPr="00360A1A">
              <w:rPr>
                <w:i/>
                <w:iCs/>
                <w:lang w:val="fr-FR"/>
              </w:rPr>
              <w:t>Article</w:t>
            </w:r>
            <w:r>
              <w:rPr>
                <w:i/>
                <w:iCs/>
                <w:lang w:val="fr-FR"/>
              </w:rPr>
              <w:t>(s)</w:t>
            </w:r>
            <w:r w:rsidRPr="00360A1A">
              <w:rPr>
                <w:i/>
                <w:iCs/>
                <w:lang w:val="fr-FR"/>
              </w:rPr>
              <w:t xml:space="preserve"> de la Convention</w:t>
            </w:r>
            <w:r>
              <w:rPr>
                <w:lang w:val="fr-FR"/>
              </w:rPr>
              <w:t> :</w:t>
            </w:r>
          </w:p>
        </w:tc>
        <w:tc>
          <w:tcPr>
            <w:tcW w:w="4253" w:type="dxa"/>
            <w:vAlign w:val="bottom"/>
          </w:tcPr>
          <w:p w14:paraId="0F05644E" w14:textId="28D0E2BB" w:rsidR="007B7D57" w:rsidRDefault="007B7D57">
            <w:pPr>
              <w:pStyle w:val="SingleTxtG"/>
              <w:ind w:left="0" w:right="0"/>
              <w:jc w:val="left"/>
              <w:rPr>
                <w:iCs/>
                <w:lang w:val="fr-FR"/>
              </w:rPr>
            </w:pPr>
            <w:r>
              <w:rPr>
                <w:iCs/>
                <w:lang w:val="fr-FR"/>
              </w:rPr>
              <w:t>3</w:t>
            </w:r>
          </w:p>
        </w:tc>
      </w:tr>
      <w:tr w:rsidR="007B7D57" w14:paraId="5CB82A9E" w14:textId="77777777">
        <w:tc>
          <w:tcPr>
            <w:tcW w:w="2552" w:type="dxa"/>
          </w:tcPr>
          <w:p w14:paraId="787689BB" w14:textId="0A01D402" w:rsidR="007B7D57" w:rsidRPr="007B7D57" w:rsidRDefault="007B7D57">
            <w:pPr>
              <w:pStyle w:val="SingleTxtG"/>
              <w:ind w:left="0" w:right="0"/>
              <w:jc w:val="left"/>
              <w:rPr>
                <w:lang w:val="fr-FR"/>
              </w:rPr>
            </w:pPr>
            <w:r w:rsidRPr="00360A1A">
              <w:rPr>
                <w:i/>
                <w:iCs/>
                <w:lang w:val="fr-FR"/>
              </w:rPr>
              <w:t>Article</w:t>
            </w:r>
            <w:r>
              <w:rPr>
                <w:i/>
                <w:iCs/>
                <w:lang w:val="fr-FR"/>
              </w:rPr>
              <w:t>(</w:t>
            </w:r>
            <w:r w:rsidRPr="00360A1A">
              <w:rPr>
                <w:i/>
                <w:iCs/>
                <w:lang w:val="fr-FR"/>
              </w:rPr>
              <w:t>s</w:t>
            </w:r>
            <w:r>
              <w:rPr>
                <w:i/>
                <w:iCs/>
                <w:lang w:val="fr-FR"/>
              </w:rPr>
              <w:t>)</w:t>
            </w:r>
            <w:r w:rsidRPr="00360A1A">
              <w:rPr>
                <w:i/>
                <w:iCs/>
                <w:lang w:val="fr-FR"/>
              </w:rPr>
              <w:t xml:space="preserve"> du Protocole facultatif</w:t>
            </w:r>
            <w:r>
              <w:rPr>
                <w:lang w:val="fr-FR"/>
              </w:rPr>
              <w:t> :</w:t>
            </w:r>
          </w:p>
        </w:tc>
        <w:tc>
          <w:tcPr>
            <w:tcW w:w="4253" w:type="dxa"/>
            <w:vAlign w:val="bottom"/>
          </w:tcPr>
          <w:p w14:paraId="768EBB66" w14:textId="3759BE48" w:rsidR="007B7D57" w:rsidRDefault="007B7D57">
            <w:pPr>
              <w:pStyle w:val="SingleTxtG"/>
              <w:ind w:left="0" w:right="0"/>
              <w:jc w:val="left"/>
              <w:rPr>
                <w:iCs/>
                <w:lang w:val="fr-FR"/>
              </w:rPr>
            </w:pPr>
            <w:r w:rsidRPr="00360A1A">
              <w:rPr>
                <w:iCs/>
                <w:lang w:val="fr-FR"/>
              </w:rPr>
              <w:t>6</w:t>
            </w:r>
            <w:r>
              <w:rPr>
                <w:iCs/>
                <w:lang w:val="fr-FR"/>
              </w:rPr>
              <w:t xml:space="preserve"> et</w:t>
            </w:r>
            <w:r w:rsidRPr="00360A1A">
              <w:rPr>
                <w:iCs/>
                <w:lang w:val="fr-FR"/>
              </w:rPr>
              <w:t xml:space="preserve"> 7 (</w:t>
            </w:r>
            <w:r>
              <w:rPr>
                <w:iCs/>
                <w:lang w:val="fr-FR"/>
              </w:rPr>
              <w:t>al. </w:t>
            </w:r>
            <w:r w:rsidRPr="00360A1A">
              <w:rPr>
                <w:iCs/>
                <w:lang w:val="fr-FR"/>
              </w:rPr>
              <w:t>e) et f)</w:t>
            </w:r>
            <w:r>
              <w:rPr>
                <w:iCs/>
                <w:lang w:val="fr-FR"/>
              </w:rPr>
              <w:t>)</w:t>
            </w:r>
          </w:p>
        </w:tc>
      </w:tr>
    </w:tbl>
    <w:p w14:paraId="13FF2367" w14:textId="460993C5" w:rsidR="006835A2" w:rsidRPr="00360A1A" w:rsidRDefault="006835A2" w:rsidP="00592313">
      <w:pPr>
        <w:pStyle w:val="SingleTxtG"/>
        <w:spacing w:before="120"/>
        <w:rPr>
          <w:lang w:val="fr-FR"/>
        </w:rPr>
      </w:pPr>
      <w:r w:rsidRPr="00360A1A">
        <w:rPr>
          <w:lang w:val="fr-FR"/>
        </w:rPr>
        <w:t>1.</w:t>
      </w:r>
      <w:r w:rsidRPr="00360A1A">
        <w:rPr>
          <w:lang w:val="fr-FR"/>
        </w:rPr>
        <w:tab/>
        <w:t>L</w:t>
      </w:r>
      <w:r>
        <w:rPr>
          <w:lang w:val="fr-FR"/>
        </w:rPr>
        <w:t>’</w:t>
      </w:r>
      <w:r w:rsidRPr="00360A1A">
        <w:rPr>
          <w:lang w:val="fr-FR"/>
        </w:rPr>
        <w:t>auteur de la communication est M.</w:t>
      </w:r>
      <w:r>
        <w:rPr>
          <w:lang w:val="fr-FR"/>
        </w:rPr>
        <w:t> </w:t>
      </w:r>
      <w:r w:rsidRPr="00360A1A">
        <w:rPr>
          <w:lang w:val="fr-FR"/>
        </w:rPr>
        <w:t>A.</w:t>
      </w:r>
      <w:r>
        <w:rPr>
          <w:lang w:val="fr-FR"/>
        </w:rPr>
        <w:t> </w:t>
      </w:r>
      <w:r w:rsidRPr="00360A1A">
        <w:rPr>
          <w:lang w:val="fr-FR"/>
        </w:rPr>
        <w:t xml:space="preserve">M., </w:t>
      </w:r>
      <w:r>
        <w:rPr>
          <w:lang w:val="fr-FR"/>
        </w:rPr>
        <w:t>de nationalité</w:t>
      </w:r>
      <w:r w:rsidRPr="00360A1A">
        <w:rPr>
          <w:lang w:val="fr-FR"/>
        </w:rPr>
        <w:t xml:space="preserve"> marocain</w:t>
      </w:r>
      <w:r>
        <w:rPr>
          <w:lang w:val="fr-FR"/>
        </w:rPr>
        <w:t>e,</w:t>
      </w:r>
      <w:r w:rsidRPr="00360A1A">
        <w:rPr>
          <w:lang w:val="fr-FR"/>
        </w:rPr>
        <w:t xml:space="preserve"> né le </w:t>
      </w:r>
      <w:r w:rsidR="00E6779D" w:rsidRPr="00360A1A">
        <w:rPr>
          <w:lang w:val="fr-FR"/>
        </w:rPr>
        <w:t>2</w:t>
      </w:r>
      <w:r w:rsidR="00E6779D">
        <w:rPr>
          <w:lang w:val="fr-FR"/>
        </w:rPr>
        <w:t> </w:t>
      </w:r>
      <w:r w:rsidRPr="00360A1A">
        <w:rPr>
          <w:lang w:val="fr-FR"/>
        </w:rPr>
        <w:t xml:space="preserve">février 2005. Il </w:t>
      </w:r>
      <w:r w:rsidRPr="002E3340">
        <w:rPr>
          <w:lang w:val="fr-FR"/>
        </w:rPr>
        <w:t>allègue</w:t>
      </w:r>
      <w:r w:rsidRPr="00360A1A">
        <w:rPr>
          <w:lang w:val="fr-FR"/>
        </w:rPr>
        <w:t xml:space="preserve"> que le retard des autorités de l</w:t>
      </w:r>
      <w:r>
        <w:rPr>
          <w:lang w:val="fr-FR"/>
        </w:rPr>
        <w:t>’</w:t>
      </w:r>
      <w:r w:rsidRPr="00360A1A">
        <w:rPr>
          <w:lang w:val="fr-FR"/>
        </w:rPr>
        <w:t>État partie dans le traitement d</w:t>
      </w:r>
      <w:r>
        <w:rPr>
          <w:lang w:val="fr-FR"/>
        </w:rPr>
        <w:t>’</w:t>
      </w:r>
      <w:r w:rsidRPr="00360A1A">
        <w:rPr>
          <w:lang w:val="fr-FR"/>
        </w:rPr>
        <w:t>un recours lié à sa demande d</w:t>
      </w:r>
      <w:r>
        <w:rPr>
          <w:lang w:val="fr-FR"/>
        </w:rPr>
        <w:t>’</w:t>
      </w:r>
      <w:r w:rsidRPr="00360A1A">
        <w:rPr>
          <w:lang w:val="fr-FR"/>
        </w:rPr>
        <w:t xml:space="preserve">asile constitue une violation de ses droits au titre de </w:t>
      </w:r>
      <w:r w:rsidR="00E6779D" w:rsidRPr="00360A1A">
        <w:rPr>
          <w:lang w:val="fr-FR"/>
        </w:rPr>
        <w:t>l</w:t>
      </w:r>
      <w:r w:rsidR="00E6779D">
        <w:rPr>
          <w:lang w:val="fr-FR"/>
        </w:rPr>
        <w:t>’</w:t>
      </w:r>
      <w:r w:rsidR="00E6779D" w:rsidRPr="00360A1A">
        <w:rPr>
          <w:lang w:val="fr-FR"/>
        </w:rPr>
        <w:t>article</w:t>
      </w:r>
      <w:r w:rsidR="00E6779D">
        <w:rPr>
          <w:lang w:val="fr-FR"/>
        </w:rPr>
        <w:t> </w:t>
      </w:r>
      <w:r w:rsidRPr="00360A1A">
        <w:rPr>
          <w:lang w:val="fr-FR"/>
        </w:rPr>
        <w:t>3 de la Convention. Le Protocole facultatif est entré en vigueur pour l</w:t>
      </w:r>
      <w:r>
        <w:rPr>
          <w:lang w:val="fr-FR"/>
        </w:rPr>
        <w:t>’</w:t>
      </w:r>
      <w:r w:rsidRPr="00360A1A">
        <w:rPr>
          <w:lang w:val="fr-FR"/>
        </w:rPr>
        <w:t xml:space="preserve">État partie le </w:t>
      </w:r>
      <w:r w:rsidR="00E6779D" w:rsidRPr="00360A1A">
        <w:rPr>
          <w:lang w:val="fr-FR"/>
        </w:rPr>
        <w:t>24</w:t>
      </w:r>
      <w:r w:rsidR="00E6779D">
        <w:rPr>
          <w:lang w:val="fr-FR"/>
        </w:rPr>
        <w:t> </w:t>
      </w:r>
      <w:r w:rsidRPr="00360A1A">
        <w:rPr>
          <w:lang w:val="fr-FR"/>
        </w:rPr>
        <w:t>juillet 2017.</w:t>
      </w:r>
    </w:p>
    <w:p w14:paraId="3DFDD5EC" w14:textId="01131681" w:rsidR="006835A2" w:rsidRPr="00360A1A" w:rsidRDefault="006835A2" w:rsidP="00592313">
      <w:pPr>
        <w:pStyle w:val="SingleTxtG"/>
        <w:rPr>
          <w:lang w:val="fr-FR"/>
        </w:rPr>
      </w:pPr>
      <w:r w:rsidRPr="00360A1A">
        <w:rPr>
          <w:lang w:val="fr-FR"/>
        </w:rPr>
        <w:t>2.</w:t>
      </w:r>
      <w:r w:rsidRPr="00360A1A">
        <w:rPr>
          <w:lang w:val="fr-FR"/>
        </w:rPr>
        <w:tab/>
        <w:t xml:space="preserve">Le </w:t>
      </w:r>
      <w:r w:rsidR="00E6779D" w:rsidRPr="00360A1A">
        <w:rPr>
          <w:lang w:val="fr-FR"/>
        </w:rPr>
        <w:t>4</w:t>
      </w:r>
      <w:r w:rsidR="00E6779D">
        <w:rPr>
          <w:lang w:val="fr-FR"/>
        </w:rPr>
        <w:t> </w:t>
      </w:r>
      <w:r w:rsidRPr="00360A1A">
        <w:rPr>
          <w:lang w:val="fr-FR"/>
        </w:rPr>
        <w:t>juillet 2017, l</w:t>
      </w:r>
      <w:r>
        <w:rPr>
          <w:lang w:val="fr-FR"/>
        </w:rPr>
        <w:t>’</w:t>
      </w:r>
      <w:r w:rsidRPr="00360A1A">
        <w:rPr>
          <w:lang w:val="fr-FR"/>
        </w:rPr>
        <w:t>auteur a déposé une demande d</w:t>
      </w:r>
      <w:r>
        <w:rPr>
          <w:lang w:val="fr-FR"/>
        </w:rPr>
        <w:t>’</w:t>
      </w:r>
      <w:r w:rsidRPr="00360A1A">
        <w:rPr>
          <w:lang w:val="fr-FR"/>
        </w:rPr>
        <w:t>asile en Suisse en tant qu</w:t>
      </w:r>
      <w:r>
        <w:rPr>
          <w:lang w:val="fr-FR"/>
        </w:rPr>
        <w:t>’</w:t>
      </w:r>
      <w:r w:rsidRPr="00360A1A">
        <w:rPr>
          <w:lang w:val="fr-FR"/>
        </w:rPr>
        <w:t xml:space="preserve">enfant non accompagné. </w:t>
      </w:r>
      <w:r>
        <w:rPr>
          <w:lang w:val="fr-FR"/>
        </w:rPr>
        <w:t>Il</w:t>
      </w:r>
      <w:r w:rsidRPr="00360A1A">
        <w:rPr>
          <w:lang w:val="fr-FR"/>
        </w:rPr>
        <w:t xml:space="preserve"> soutenait que son père était au chômage depuis 2005, que ses parents avaient divorcé et que sa mère</w:t>
      </w:r>
      <w:r>
        <w:rPr>
          <w:lang w:val="fr-FR"/>
        </w:rPr>
        <w:t xml:space="preserve"> et lui</w:t>
      </w:r>
      <w:r w:rsidRPr="00360A1A">
        <w:rPr>
          <w:lang w:val="fr-FR"/>
        </w:rPr>
        <w:t xml:space="preserve"> s</w:t>
      </w:r>
      <w:r>
        <w:rPr>
          <w:lang w:val="fr-FR"/>
        </w:rPr>
        <w:t>’</w:t>
      </w:r>
      <w:r w:rsidRPr="00360A1A">
        <w:rPr>
          <w:lang w:val="fr-FR"/>
        </w:rPr>
        <w:t>étaient retrouvés à la rue</w:t>
      </w:r>
      <w:r>
        <w:rPr>
          <w:lang w:val="fr-FR"/>
        </w:rPr>
        <w:t>,</w:t>
      </w:r>
      <w:r w:rsidRPr="00360A1A">
        <w:rPr>
          <w:lang w:val="fr-FR"/>
        </w:rPr>
        <w:t xml:space="preserve"> après avoir été expulsés pour non-paiement du loyer. Il affirmait que ses oncles et tantes ne l</w:t>
      </w:r>
      <w:r>
        <w:rPr>
          <w:lang w:val="fr-FR"/>
        </w:rPr>
        <w:t>’</w:t>
      </w:r>
      <w:r w:rsidRPr="00360A1A">
        <w:rPr>
          <w:lang w:val="fr-FR"/>
        </w:rPr>
        <w:t xml:space="preserve">avaient jamais aidé. Le </w:t>
      </w:r>
      <w:r w:rsidR="00E6779D" w:rsidRPr="00360A1A">
        <w:rPr>
          <w:lang w:val="fr-FR"/>
        </w:rPr>
        <w:t>14</w:t>
      </w:r>
      <w:r w:rsidR="00E6779D">
        <w:rPr>
          <w:lang w:val="fr-FR"/>
        </w:rPr>
        <w:t> </w:t>
      </w:r>
      <w:r w:rsidRPr="00360A1A">
        <w:rPr>
          <w:lang w:val="fr-FR"/>
        </w:rPr>
        <w:t>août 2017, le Secrétariat d</w:t>
      </w:r>
      <w:r>
        <w:rPr>
          <w:lang w:val="fr-FR"/>
        </w:rPr>
        <w:t>’</w:t>
      </w:r>
      <w:r w:rsidRPr="00360A1A">
        <w:rPr>
          <w:lang w:val="fr-FR"/>
        </w:rPr>
        <w:t>État aux migrations a rejeté la demande d</w:t>
      </w:r>
      <w:r>
        <w:rPr>
          <w:lang w:val="fr-FR"/>
        </w:rPr>
        <w:t>’</w:t>
      </w:r>
      <w:r w:rsidRPr="00360A1A">
        <w:rPr>
          <w:lang w:val="fr-FR"/>
        </w:rPr>
        <w:t>asile de l</w:t>
      </w:r>
      <w:r>
        <w:rPr>
          <w:lang w:val="fr-FR"/>
        </w:rPr>
        <w:t>’</w:t>
      </w:r>
      <w:r w:rsidRPr="00360A1A">
        <w:rPr>
          <w:lang w:val="fr-FR"/>
        </w:rPr>
        <w:t xml:space="preserve">auteur, </w:t>
      </w:r>
      <w:r w:rsidRPr="00360A1A">
        <w:rPr>
          <w:lang w:val="fr-FR"/>
        </w:rPr>
        <w:lastRenderedPageBreak/>
        <w:t xml:space="preserve">estimant </w:t>
      </w:r>
      <w:r>
        <w:rPr>
          <w:lang w:val="fr-FR"/>
        </w:rPr>
        <w:t>que ce dernier</w:t>
      </w:r>
      <w:r w:rsidRPr="00360A1A">
        <w:rPr>
          <w:lang w:val="fr-FR"/>
        </w:rPr>
        <w:t xml:space="preserve"> n</w:t>
      </w:r>
      <w:r>
        <w:rPr>
          <w:lang w:val="fr-FR"/>
        </w:rPr>
        <w:t>’</w:t>
      </w:r>
      <w:r w:rsidRPr="00360A1A">
        <w:rPr>
          <w:lang w:val="fr-FR"/>
        </w:rPr>
        <w:t xml:space="preserve">avait pas justifié sa demande, que ses parents </w:t>
      </w:r>
      <w:r>
        <w:rPr>
          <w:lang w:val="fr-FR"/>
        </w:rPr>
        <w:t>habitaient</w:t>
      </w:r>
      <w:r w:rsidRPr="00360A1A">
        <w:rPr>
          <w:lang w:val="fr-FR"/>
        </w:rPr>
        <w:t xml:space="preserve"> au Maroc et qu</w:t>
      </w:r>
      <w:r>
        <w:rPr>
          <w:lang w:val="fr-FR"/>
        </w:rPr>
        <w:t>’</w:t>
      </w:r>
      <w:r w:rsidRPr="00360A1A">
        <w:rPr>
          <w:lang w:val="fr-FR"/>
        </w:rPr>
        <w:t xml:space="preserve">il était en assez bonne santé. Le </w:t>
      </w:r>
      <w:r w:rsidR="008922CF" w:rsidRPr="00360A1A">
        <w:rPr>
          <w:lang w:val="fr-FR"/>
        </w:rPr>
        <w:t>22</w:t>
      </w:r>
      <w:r w:rsidR="008922CF">
        <w:rPr>
          <w:lang w:val="fr-FR"/>
        </w:rPr>
        <w:t> </w:t>
      </w:r>
      <w:r w:rsidRPr="00360A1A">
        <w:rPr>
          <w:lang w:val="fr-FR"/>
        </w:rPr>
        <w:t>août 2017, l</w:t>
      </w:r>
      <w:r>
        <w:rPr>
          <w:lang w:val="fr-FR"/>
        </w:rPr>
        <w:t>’</w:t>
      </w:r>
      <w:r w:rsidRPr="00360A1A">
        <w:rPr>
          <w:lang w:val="fr-FR"/>
        </w:rPr>
        <w:t>auteur a déposé un recours contre cette décision devant le Tribunal administratif fédéral. Il a fait valoir que les autorités de l</w:t>
      </w:r>
      <w:r>
        <w:rPr>
          <w:lang w:val="fr-FR"/>
        </w:rPr>
        <w:t>’</w:t>
      </w:r>
      <w:r w:rsidRPr="00360A1A">
        <w:rPr>
          <w:lang w:val="fr-FR"/>
        </w:rPr>
        <w:t>État partie avaient l</w:t>
      </w:r>
      <w:r>
        <w:rPr>
          <w:lang w:val="fr-FR"/>
        </w:rPr>
        <w:t>’</w:t>
      </w:r>
      <w:r w:rsidRPr="00360A1A">
        <w:rPr>
          <w:lang w:val="fr-FR"/>
        </w:rPr>
        <w:t>obligation d</w:t>
      </w:r>
      <w:r>
        <w:rPr>
          <w:lang w:val="fr-FR"/>
        </w:rPr>
        <w:t>’</w:t>
      </w:r>
      <w:r w:rsidRPr="00360A1A">
        <w:rPr>
          <w:lang w:val="fr-FR"/>
        </w:rPr>
        <w:t>enquêter pour savoir si l</w:t>
      </w:r>
      <w:r>
        <w:rPr>
          <w:lang w:val="fr-FR"/>
        </w:rPr>
        <w:t>’</w:t>
      </w:r>
      <w:r w:rsidRPr="00360A1A">
        <w:rPr>
          <w:lang w:val="fr-FR"/>
        </w:rPr>
        <w:t xml:space="preserve">auteur pouvait être pris en charge au Maroc par un tuteur ou une institution pouvant garantir sa protection. Le </w:t>
      </w:r>
      <w:r w:rsidR="00411D15" w:rsidRPr="00360A1A">
        <w:rPr>
          <w:lang w:val="fr-FR"/>
        </w:rPr>
        <w:t>31</w:t>
      </w:r>
      <w:r w:rsidR="00411D15">
        <w:rPr>
          <w:lang w:val="fr-FR"/>
        </w:rPr>
        <w:t> </w:t>
      </w:r>
      <w:r w:rsidRPr="00360A1A">
        <w:rPr>
          <w:lang w:val="fr-FR"/>
        </w:rPr>
        <w:t>août 2017, le Tribunal administratif fédéral a annulé la décision du Secrétariat d</w:t>
      </w:r>
      <w:r>
        <w:rPr>
          <w:lang w:val="fr-FR"/>
        </w:rPr>
        <w:t>’</w:t>
      </w:r>
      <w:r w:rsidRPr="00360A1A">
        <w:rPr>
          <w:lang w:val="fr-FR"/>
        </w:rPr>
        <w:t>État aux migrations et a demandé à ce dernier d</w:t>
      </w:r>
      <w:r>
        <w:rPr>
          <w:lang w:val="fr-FR"/>
        </w:rPr>
        <w:t>’</w:t>
      </w:r>
      <w:r w:rsidRPr="00360A1A">
        <w:rPr>
          <w:lang w:val="fr-FR"/>
        </w:rPr>
        <w:t>enquêter pour savoir si l</w:t>
      </w:r>
      <w:r>
        <w:rPr>
          <w:lang w:val="fr-FR"/>
        </w:rPr>
        <w:t>’</w:t>
      </w:r>
      <w:r w:rsidRPr="00360A1A">
        <w:rPr>
          <w:lang w:val="fr-FR"/>
        </w:rPr>
        <w:t xml:space="preserve">auteur serait pris en charge en cas de retour au Maroc. Le </w:t>
      </w:r>
      <w:r w:rsidR="00411D15" w:rsidRPr="00360A1A">
        <w:rPr>
          <w:lang w:val="fr-FR"/>
        </w:rPr>
        <w:t>16</w:t>
      </w:r>
      <w:r w:rsidR="00411D15">
        <w:rPr>
          <w:lang w:val="fr-FR"/>
        </w:rPr>
        <w:t> </w:t>
      </w:r>
      <w:r w:rsidRPr="00360A1A">
        <w:rPr>
          <w:lang w:val="fr-FR"/>
        </w:rPr>
        <w:t>septembre 2019, le Secrétariat d</w:t>
      </w:r>
      <w:r>
        <w:rPr>
          <w:lang w:val="fr-FR"/>
        </w:rPr>
        <w:t>’</w:t>
      </w:r>
      <w:r w:rsidRPr="00360A1A">
        <w:rPr>
          <w:lang w:val="fr-FR"/>
        </w:rPr>
        <w:t>État aux migrations, après avoir examiné la question, a conclu que l</w:t>
      </w:r>
      <w:r>
        <w:rPr>
          <w:lang w:val="fr-FR"/>
        </w:rPr>
        <w:t>’</w:t>
      </w:r>
      <w:r w:rsidRPr="00360A1A">
        <w:rPr>
          <w:lang w:val="fr-FR"/>
        </w:rPr>
        <w:t xml:space="preserve">auteur serait accueilli </w:t>
      </w:r>
      <w:r>
        <w:rPr>
          <w:lang w:val="fr-FR"/>
        </w:rPr>
        <w:t xml:space="preserve">au Maroc </w:t>
      </w:r>
      <w:r w:rsidRPr="00360A1A">
        <w:rPr>
          <w:lang w:val="fr-FR"/>
        </w:rPr>
        <w:t xml:space="preserve">par un cercle social et familial qui pourrait le prendre en charge. Le </w:t>
      </w:r>
      <w:r w:rsidR="00411D15" w:rsidRPr="00360A1A">
        <w:rPr>
          <w:lang w:val="fr-FR"/>
        </w:rPr>
        <w:t>23</w:t>
      </w:r>
      <w:r w:rsidR="00411D15">
        <w:rPr>
          <w:lang w:val="fr-FR"/>
        </w:rPr>
        <w:t> </w:t>
      </w:r>
      <w:r w:rsidRPr="00360A1A">
        <w:rPr>
          <w:lang w:val="fr-FR"/>
        </w:rPr>
        <w:t>septembre 2019, l</w:t>
      </w:r>
      <w:r>
        <w:rPr>
          <w:lang w:val="fr-FR"/>
        </w:rPr>
        <w:t>’</w:t>
      </w:r>
      <w:r w:rsidRPr="00360A1A">
        <w:rPr>
          <w:lang w:val="fr-FR"/>
        </w:rPr>
        <w:t xml:space="preserve">auteur a formé un recours contre cette dernière décision devant le Tribunal administratif fédéral. Le </w:t>
      </w:r>
      <w:r w:rsidR="00411D15" w:rsidRPr="00360A1A">
        <w:rPr>
          <w:lang w:val="fr-FR"/>
        </w:rPr>
        <w:t>12</w:t>
      </w:r>
      <w:r w:rsidR="00411D15">
        <w:rPr>
          <w:lang w:val="fr-FR"/>
        </w:rPr>
        <w:t> </w:t>
      </w:r>
      <w:r w:rsidRPr="00360A1A">
        <w:rPr>
          <w:lang w:val="fr-FR"/>
        </w:rPr>
        <w:t>décembre 2019, le Secrétariat d</w:t>
      </w:r>
      <w:r>
        <w:rPr>
          <w:lang w:val="fr-FR"/>
        </w:rPr>
        <w:t>’</w:t>
      </w:r>
      <w:r w:rsidRPr="00360A1A">
        <w:rPr>
          <w:lang w:val="fr-FR"/>
        </w:rPr>
        <w:t xml:space="preserve">État aux migrations a répondu à ce recours. Le </w:t>
      </w:r>
      <w:r w:rsidR="00411D15" w:rsidRPr="00360A1A">
        <w:rPr>
          <w:lang w:val="fr-FR"/>
        </w:rPr>
        <w:t>16</w:t>
      </w:r>
      <w:r w:rsidR="00411D15">
        <w:rPr>
          <w:lang w:val="fr-FR"/>
        </w:rPr>
        <w:t> </w:t>
      </w:r>
      <w:r w:rsidRPr="00360A1A">
        <w:rPr>
          <w:lang w:val="fr-FR"/>
        </w:rPr>
        <w:t>janvier 2020, l</w:t>
      </w:r>
      <w:r>
        <w:rPr>
          <w:lang w:val="fr-FR"/>
        </w:rPr>
        <w:t>’</w:t>
      </w:r>
      <w:r w:rsidRPr="00360A1A">
        <w:rPr>
          <w:lang w:val="fr-FR"/>
        </w:rPr>
        <w:t xml:space="preserve">auteur a soumis ses commentaires. Le </w:t>
      </w:r>
      <w:r w:rsidR="00411D15" w:rsidRPr="00360A1A">
        <w:rPr>
          <w:lang w:val="fr-FR"/>
        </w:rPr>
        <w:t>28</w:t>
      </w:r>
      <w:r w:rsidR="00411D15">
        <w:rPr>
          <w:lang w:val="fr-FR"/>
        </w:rPr>
        <w:t> </w:t>
      </w:r>
      <w:r w:rsidRPr="00360A1A">
        <w:rPr>
          <w:lang w:val="fr-FR"/>
        </w:rPr>
        <w:t>octobre 2020, l</w:t>
      </w:r>
      <w:r>
        <w:rPr>
          <w:lang w:val="fr-FR"/>
        </w:rPr>
        <w:t>’</w:t>
      </w:r>
      <w:r w:rsidRPr="00360A1A">
        <w:rPr>
          <w:lang w:val="fr-FR"/>
        </w:rPr>
        <w:t>auteur a demandé au Tribunal administratif fédéral d</w:t>
      </w:r>
      <w:r>
        <w:rPr>
          <w:lang w:val="fr-FR"/>
        </w:rPr>
        <w:t>’</w:t>
      </w:r>
      <w:r w:rsidRPr="00360A1A">
        <w:rPr>
          <w:lang w:val="fr-FR"/>
        </w:rPr>
        <w:t xml:space="preserve">accélérer le traitement de son affaire. Le </w:t>
      </w:r>
      <w:r w:rsidR="00411D15" w:rsidRPr="00360A1A">
        <w:rPr>
          <w:lang w:val="fr-FR"/>
        </w:rPr>
        <w:t>3</w:t>
      </w:r>
      <w:r w:rsidR="00411D15">
        <w:rPr>
          <w:lang w:val="fr-FR"/>
        </w:rPr>
        <w:t> </w:t>
      </w:r>
      <w:r w:rsidRPr="00360A1A">
        <w:rPr>
          <w:lang w:val="fr-FR"/>
        </w:rPr>
        <w:t>décembre 2020, le juge du Tribunal a déclaré qu</w:t>
      </w:r>
      <w:r>
        <w:rPr>
          <w:lang w:val="fr-FR"/>
        </w:rPr>
        <w:t>’</w:t>
      </w:r>
      <w:r w:rsidRPr="00360A1A">
        <w:rPr>
          <w:lang w:val="fr-FR"/>
        </w:rPr>
        <w:t>il n</w:t>
      </w:r>
      <w:r>
        <w:rPr>
          <w:lang w:val="fr-FR"/>
        </w:rPr>
        <w:t>’</w:t>
      </w:r>
      <w:r w:rsidRPr="00360A1A">
        <w:rPr>
          <w:lang w:val="fr-FR"/>
        </w:rPr>
        <w:t>était pas possible à ce moment-là d</w:t>
      </w:r>
      <w:r>
        <w:rPr>
          <w:lang w:val="fr-FR"/>
        </w:rPr>
        <w:t>’</w:t>
      </w:r>
      <w:r w:rsidRPr="00360A1A">
        <w:rPr>
          <w:lang w:val="fr-FR"/>
        </w:rPr>
        <w:t>indiquer quand le cas de l</w:t>
      </w:r>
      <w:r>
        <w:rPr>
          <w:lang w:val="fr-FR"/>
        </w:rPr>
        <w:t>’</w:t>
      </w:r>
      <w:r w:rsidRPr="00360A1A">
        <w:rPr>
          <w:lang w:val="fr-FR"/>
        </w:rPr>
        <w:t>auteur serait examiné, mais qu</w:t>
      </w:r>
      <w:r>
        <w:rPr>
          <w:lang w:val="fr-FR"/>
        </w:rPr>
        <w:t>’</w:t>
      </w:r>
      <w:r w:rsidRPr="00360A1A">
        <w:rPr>
          <w:lang w:val="fr-FR"/>
        </w:rPr>
        <w:t xml:space="preserve">il ferait de son mieux pour le faire dès que possible. </w:t>
      </w:r>
    </w:p>
    <w:p w14:paraId="4E049EB8" w14:textId="0FCC62A4" w:rsidR="006835A2" w:rsidRPr="00360A1A" w:rsidRDefault="006835A2" w:rsidP="00592313">
      <w:pPr>
        <w:pStyle w:val="SingleTxtG"/>
        <w:rPr>
          <w:lang w:val="fr-FR"/>
        </w:rPr>
      </w:pPr>
      <w:r w:rsidRPr="00360A1A">
        <w:rPr>
          <w:lang w:val="fr-FR"/>
        </w:rPr>
        <w:t>3.</w:t>
      </w:r>
      <w:r w:rsidRPr="00360A1A">
        <w:rPr>
          <w:lang w:val="fr-FR"/>
        </w:rPr>
        <w:tab/>
        <w:t xml:space="preserve">Le </w:t>
      </w:r>
      <w:r w:rsidR="00411D15" w:rsidRPr="00360A1A">
        <w:rPr>
          <w:lang w:val="fr-FR"/>
        </w:rPr>
        <w:t>17</w:t>
      </w:r>
      <w:r w:rsidR="00411D15">
        <w:rPr>
          <w:lang w:val="fr-FR"/>
        </w:rPr>
        <w:t> </w:t>
      </w:r>
      <w:r w:rsidRPr="00360A1A">
        <w:rPr>
          <w:lang w:val="fr-FR"/>
        </w:rPr>
        <w:t>juin 2021, l</w:t>
      </w:r>
      <w:r>
        <w:rPr>
          <w:lang w:val="fr-FR"/>
        </w:rPr>
        <w:t>’</w:t>
      </w:r>
      <w:r w:rsidRPr="00360A1A">
        <w:rPr>
          <w:lang w:val="fr-FR"/>
        </w:rPr>
        <w:t xml:space="preserve">auteur a </w:t>
      </w:r>
      <w:r>
        <w:rPr>
          <w:lang w:val="fr-FR"/>
        </w:rPr>
        <w:t>indiqué</w:t>
      </w:r>
      <w:r w:rsidRPr="00360A1A">
        <w:rPr>
          <w:lang w:val="fr-FR"/>
        </w:rPr>
        <w:t xml:space="preserve"> que</w:t>
      </w:r>
      <w:r>
        <w:rPr>
          <w:lang w:val="fr-FR"/>
        </w:rPr>
        <w:t>,</w:t>
      </w:r>
      <w:r w:rsidRPr="00360A1A">
        <w:rPr>
          <w:lang w:val="fr-FR"/>
        </w:rPr>
        <w:t xml:space="preserve"> le </w:t>
      </w:r>
      <w:r w:rsidR="00411D15" w:rsidRPr="00360A1A">
        <w:rPr>
          <w:lang w:val="fr-FR"/>
        </w:rPr>
        <w:t>26</w:t>
      </w:r>
      <w:r w:rsidR="00411D15">
        <w:rPr>
          <w:lang w:val="fr-FR"/>
        </w:rPr>
        <w:t> </w:t>
      </w:r>
      <w:r w:rsidRPr="00360A1A">
        <w:rPr>
          <w:lang w:val="fr-FR"/>
        </w:rPr>
        <w:t xml:space="preserve">mars 2021, le Tribunal administratif fédéral avait rejeté son recours daté du </w:t>
      </w:r>
      <w:r w:rsidR="00411D15" w:rsidRPr="00360A1A">
        <w:rPr>
          <w:lang w:val="fr-FR"/>
        </w:rPr>
        <w:t>23</w:t>
      </w:r>
      <w:r w:rsidR="00411D15">
        <w:rPr>
          <w:lang w:val="fr-FR"/>
        </w:rPr>
        <w:t> </w:t>
      </w:r>
      <w:r w:rsidRPr="00360A1A">
        <w:rPr>
          <w:lang w:val="fr-FR"/>
        </w:rPr>
        <w:t>septembre 2019 et confirmé qu</w:t>
      </w:r>
      <w:r>
        <w:rPr>
          <w:lang w:val="fr-FR"/>
        </w:rPr>
        <w:t>’</w:t>
      </w:r>
      <w:r w:rsidRPr="00360A1A">
        <w:rPr>
          <w:lang w:val="fr-FR"/>
        </w:rPr>
        <w:t xml:space="preserve">il devait être renvoyé au Maroc. </w:t>
      </w:r>
    </w:p>
    <w:p w14:paraId="2249C679" w14:textId="22D8F09F" w:rsidR="006835A2" w:rsidRPr="00360A1A" w:rsidRDefault="006835A2" w:rsidP="00592313">
      <w:pPr>
        <w:pStyle w:val="SingleTxtG"/>
        <w:rPr>
          <w:lang w:val="fr-FR"/>
        </w:rPr>
      </w:pPr>
      <w:r w:rsidRPr="00360A1A">
        <w:rPr>
          <w:lang w:val="fr-FR"/>
        </w:rPr>
        <w:t>4.</w:t>
      </w:r>
      <w:r w:rsidRPr="00360A1A">
        <w:rPr>
          <w:lang w:val="fr-FR"/>
        </w:rPr>
        <w:tab/>
        <w:t xml:space="preserve">Conformément à </w:t>
      </w:r>
      <w:r w:rsidR="00411D15" w:rsidRPr="00360A1A">
        <w:rPr>
          <w:lang w:val="fr-FR"/>
        </w:rPr>
        <w:t>l</w:t>
      </w:r>
      <w:r w:rsidR="00411D15">
        <w:rPr>
          <w:lang w:val="fr-FR"/>
        </w:rPr>
        <w:t>’</w:t>
      </w:r>
      <w:r w:rsidR="00411D15" w:rsidRPr="00360A1A">
        <w:rPr>
          <w:lang w:val="fr-FR"/>
        </w:rPr>
        <w:t>article</w:t>
      </w:r>
      <w:r w:rsidR="00411D15">
        <w:rPr>
          <w:lang w:val="fr-FR"/>
        </w:rPr>
        <w:t> </w:t>
      </w:r>
      <w:r w:rsidRPr="00360A1A">
        <w:rPr>
          <w:lang w:val="fr-FR"/>
        </w:rPr>
        <w:t xml:space="preserve">6 du Protocole facultatif, le </w:t>
      </w:r>
      <w:r w:rsidR="00411D15" w:rsidRPr="00360A1A">
        <w:rPr>
          <w:lang w:val="fr-FR"/>
        </w:rPr>
        <w:t>22</w:t>
      </w:r>
      <w:r w:rsidR="00411D15">
        <w:rPr>
          <w:lang w:val="fr-FR"/>
        </w:rPr>
        <w:t> </w:t>
      </w:r>
      <w:r w:rsidRPr="00360A1A">
        <w:rPr>
          <w:lang w:val="fr-FR"/>
        </w:rPr>
        <w:t xml:space="preserve">juin 2021, le </w:t>
      </w:r>
      <w:r>
        <w:rPr>
          <w:lang w:val="fr-FR"/>
        </w:rPr>
        <w:t xml:space="preserve">Comité, agissant par l’intermédiaire de son </w:t>
      </w:r>
      <w:r w:rsidRPr="00360A1A">
        <w:rPr>
          <w:lang w:val="fr-FR"/>
        </w:rPr>
        <w:t>groupe de travail sur les communications, a rejeté la demande de mesures provisoires de l</w:t>
      </w:r>
      <w:r>
        <w:rPr>
          <w:lang w:val="fr-FR"/>
        </w:rPr>
        <w:t>’</w:t>
      </w:r>
      <w:r w:rsidRPr="00360A1A">
        <w:rPr>
          <w:lang w:val="fr-FR"/>
        </w:rPr>
        <w:t>auteur</w:t>
      </w:r>
      <w:r>
        <w:rPr>
          <w:lang w:val="fr-FR"/>
        </w:rPr>
        <w:t>,</w:t>
      </w:r>
      <w:r w:rsidRPr="00360A1A">
        <w:rPr>
          <w:lang w:val="fr-FR"/>
        </w:rPr>
        <w:t xml:space="preserve"> à savoir</w:t>
      </w:r>
      <w:r>
        <w:rPr>
          <w:lang w:val="fr-FR"/>
        </w:rPr>
        <w:t xml:space="preserve"> la suspension de son</w:t>
      </w:r>
      <w:r w:rsidRPr="00360A1A">
        <w:rPr>
          <w:lang w:val="fr-FR"/>
        </w:rPr>
        <w:t xml:space="preserve"> renvoi </w:t>
      </w:r>
      <w:r>
        <w:rPr>
          <w:lang w:val="fr-FR"/>
        </w:rPr>
        <w:t>tant que son cas serait à</w:t>
      </w:r>
      <w:r w:rsidRPr="00360A1A">
        <w:rPr>
          <w:lang w:val="fr-FR"/>
        </w:rPr>
        <w:t xml:space="preserve"> l</w:t>
      </w:r>
      <w:r>
        <w:rPr>
          <w:lang w:val="fr-FR"/>
        </w:rPr>
        <w:t>’</w:t>
      </w:r>
      <w:r w:rsidRPr="00360A1A">
        <w:rPr>
          <w:lang w:val="fr-FR"/>
        </w:rPr>
        <w:t>examen par le Comité.</w:t>
      </w:r>
    </w:p>
    <w:p w14:paraId="034FCA55" w14:textId="7793B6EF" w:rsidR="006835A2" w:rsidRPr="00360A1A" w:rsidRDefault="006835A2" w:rsidP="00592313">
      <w:pPr>
        <w:pStyle w:val="SingleTxtG"/>
        <w:rPr>
          <w:lang w:val="fr-FR"/>
        </w:rPr>
      </w:pPr>
      <w:r w:rsidRPr="00360A1A">
        <w:rPr>
          <w:lang w:val="fr-FR"/>
        </w:rPr>
        <w:t>5.</w:t>
      </w:r>
      <w:r w:rsidRPr="00360A1A">
        <w:rPr>
          <w:lang w:val="fr-FR"/>
        </w:rPr>
        <w:tab/>
        <w:t xml:space="preserve">Le </w:t>
      </w:r>
      <w:r w:rsidR="00411D15" w:rsidRPr="00360A1A">
        <w:rPr>
          <w:lang w:val="fr-FR"/>
        </w:rPr>
        <w:t>18</w:t>
      </w:r>
      <w:r w:rsidR="00411D15">
        <w:rPr>
          <w:lang w:val="fr-FR"/>
        </w:rPr>
        <w:t> </w:t>
      </w:r>
      <w:r w:rsidRPr="00360A1A">
        <w:rPr>
          <w:lang w:val="fr-FR"/>
        </w:rPr>
        <w:t>novembre 2021, l</w:t>
      </w:r>
      <w:r>
        <w:rPr>
          <w:lang w:val="fr-FR"/>
        </w:rPr>
        <w:t>’</w:t>
      </w:r>
      <w:r w:rsidRPr="00360A1A">
        <w:rPr>
          <w:lang w:val="fr-FR"/>
        </w:rPr>
        <w:t xml:space="preserve">État partie a présenté ses observations sur la recevabilité et le fond de la communication. </w:t>
      </w:r>
    </w:p>
    <w:p w14:paraId="2711BF1A" w14:textId="78DDF159" w:rsidR="006835A2" w:rsidRPr="00360A1A" w:rsidRDefault="006835A2" w:rsidP="00592313">
      <w:pPr>
        <w:pStyle w:val="SingleTxtG"/>
        <w:rPr>
          <w:lang w:val="fr-FR"/>
        </w:rPr>
      </w:pPr>
      <w:r w:rsidRPr="00360A1A">
        <w:rPr>
          <w:lang w:val="fr-FR"/>
        </w:rPr>
        <w:t>6.</w:t>
      </w:r>
      <w:r w:rsidRPr="00360A1A">
        <w:rPr>
          <w:lang w:val="fr-FR"/>
        </w:rPr>
        <w:tab/>
        <w:t xml:space="preserve">Le </w:t>
      </w:r>
      <w:r w:rsidR="00411D15" w:rsidRPr="00360A1A">
        <w:rPr>
          <w:lang w:val="fr-FR"/>
        </w:rPr>
        <w:t>8</w:t>
      </w:r>
      <w:r w:rsidR="00411D15">
        <w:rPr>
          <w:lang w:val="fr-FR"/>
        </w:rPr>
        <w:t> </w:t>
      </w:r>
      <w:r w:rsidRPr="00360A1A">
        <w:rPr>
          <w:lang w:val="fr-FR"/>
        </w:rPr>
        <w:t>février 2022, l</w:t>
      </w:r>
      <w:r>
        <w:rPr>
          <w:lang w:val="fr-FR"/>
        </w:rPr>
        <w:t>’</w:t>
      </w:r>
      <w:r w:rsidRPr="00360A1A">
        <w:rPr>
          <w:lang w:val="fr-FR"/>
        </w:rPr>
        <w:t>auteur a présenté ses commentaires sur les observations de l</w:t>
      </w:r>
      <w:r>
        <w:rPr>
          <w:lang w:val="fr-FR"/>
        </w:rPr>
        <w:t>’</w:t>
      </w:r>
      <w:r w:rsidRPr="00360A1A">
        <w:rPr>
          <w:lang w:val="fr-FR"/>
        </w:rPr>
        <w:t xml:space="preserve">État partie sur la recevabilité et le fond et a demandé une nouvelle fois des mesures provisoires. </w:t>
      </w:r>
    </w:p>
    <w:p w14:paraId="6EDCFFF8" w14:textId="7580CD5A" w:rsidR="006835A2" w:rsidRPr="00360A1A" w:rsidRDefault="006835A2" w:rsidP="00592313">
      <w:pPr>
        <w:pStyle w:val="SingleTxtG"/>
        <w:rPr>
          <w:lang w:val="fr-FR"/>
        </w:rPr>
      </w:pPr>
      <w:r w:rsidRPr="00360A1A">
        <w:rPr>
          <w:lang w:val="fr-FR"/>
        </w:rPr>
        <w:t>7.</w:t>
      </w:r>
      <w:r w:rsidRPr="00360A1A">
        <w:rPr>
          <w:lang w:val="fr-FR"/>
        </w:rPr>
        <w:tab/>
        <w:t xml:space="preserve">Le </w:t>
      </w:r>
      <w:r w:rsidR="00411D15" w:rsidRPr="00360A1A">
        <w:rPr>
          <w:lang w:val="fr-FR"/>
        </w:rPr>
        <w:t>3</w:t>
      </w:r>
      <w:r w:rsidR="00411D15">
        <w:rPr>
          <w:lang w:val="fr-FR"/>
        </w:rPr>
        <w:t> </w:t>
      </w:r>
      <w:r w:rsidRPr="00360A1A">
        <w:rPr>
          <w:lang w:val="fr-FR"/>
        </w:rPr>
        <w:t>avril 2022, l</w:t>
      </w:r>
      <w:r>
        <w:rPr>
          <w:lang w:val="fr-FR"/>
        </w:rPr>
        <w:t>’</w:t>
      </w:r>
      <w:r w:rsidRPr="00360A1A">
        <w:rPr>
          <w:lang w:val="fr-FR"/>
        </w:rPr>
        <w:t>État partie a demandé</w:t>
      </w:r>
      <w:r>
        <w:rPr>
          <w:lang w:val="fr-FR"/>
        </w:rPr>
        <w:t xml:space="preserve"> au Comité</w:t>
      </w:r>
      <w:r w:rsidRPr="00360A1A">
        <w:rPr>
          <w:lang w:val="fr-FR"/>
        </w:rPr>
        <w:t xml:space="preserve"> </w:t>
      </w:r>
      <w:r w:rsidRPr="00DA1A59">
        <w:rPr>
          <w:lang w:val="fr-FR"/>
        </w:rPr>
        <w:t>de mettre fin à l</w:t>
      </w:r>
      <w:r>
        <w:rPr>
          <w:lang w:val="fr-FR"/>
        </w:rPr>
        <w:t>’</w:t>
      </w:r>
      <w:r w:rsidRPr="00DA1A59">
        <w:rPr>
          <w:lang w:val="fr-FR"/>
        </w:rPr>
        <w:t>examen de la communication</w:t>
      </w:r>
      <w:r w:rsidRPr="00360A1A">
        <w:rPr>
          <w:lang w:val="fr-FR"/>
        </w:rPr>
        <w:t>. L</w:t>
      </w:r>
      <w:r>
        <w:rPr>
          <w:lang w:val="fr-FR"/>
        </w:rPr>
        <w:t>’</w:t>
      </w:r>
      <w:r w:rsidRPr="00360A1A">
        <w:rPr>
          <w:lang w:val="fr-FR"/>
        </w:rPr>
        <w:t>État partie a fait savoir que l</w:t>
      </w:r>
      <w:r>
        <w:rPr>
          <w:lang w:val="fr-FR"/>
        </w:rPr>
        <w:t>’</w:t>
      </w:r>
      <w:r w:rsidRPr="00360A1A">
        <w:rPr>
          <w:lang w:val="fr-FR"/>
        </w:rPr>
        <w:t>auteur avait été admis provisoirement et qu</w:t>
      </w:r>
      <w:r>
        <w:rPr>
          <w:lang w:val="fr-FR"/>
        </w:rPr>
        <w:t>’</w:t>
      </w:r>
      <w:r w:rsidRPr="00360A1A">
        <w:rPr>
          <w:lang w:val="fr-FR"/>
        </w:rPr>
        <w:t>il ne risquait donc plus d</w:t>
      </w:r>
      <w:r>
        <w:rPr>
          <w:lang w:val="fr-FR"/>
        </w:rPr>
        <w:t>’</w:t>
      </w:r>
      <w:r w:rsidRPr="00360A1A">
        <w:rPr>
          <w:lang w:val="fr-FR"/>
        </w:rPr>
        <w:t xml:space="preserve">être renvoyé au Maroc. </w:t>
      </w:r>
    </w:p>
    <w:p w14:paraId="2F54AE6D" w14:textId="3F53E56B" w:rsidR="006835A2" w:rsidRDefault="006835A2" w:rsidP="00411D15">
      <w:pPr>
        <w:pStyle w:val="SingleTxtG"/>
        <w:rPr>
          <w:lang w:val="fr-FR"/>
        </w:rPr>
      </w:pPr>
      <w:r w:rsidRPr="00360A1A">
        <w:rPr>
          <w:lang w:val="fr-FR"/>
        </w:rPr>
        <w:t>8.</w:t>
      </w:r>
      <w:r w:rsidRPr="00360A1A">
        <w:rPr>
          <w:lang w:val="fr-FR"/>
        </w:rPr>
        <w:tab/>
      </w:r>
      <w:r>
        <w:rPr>
          <w:lang w:val="fr-FR"/>
        </w:rPr>
        <w:t>Réuni le</w:t>
      </w:r>
      <w:r w:rsidRPr="00360A1A">
        <w:rPr>
          <w:lang w:val="fr-FR"/>
        </w:rPr>
        <w:t xml:space="preserve"> </w:t>
      </w:r>
      <w:r w:rsidR="00411D15" w:rsidRPr="00360A1A">
        <w:rPr>
          <w:lang w:val="fr-FR"/>
        </w:rPr>
        <w:t>12</w:t>
      </w:r>
      <w:r w:rsidR="00411D15">
        <w:rPr>
          <w:lang w:val="fr-FR"/>
        </w:rPr>
        <w:t> </w:t>
      </w:r>
      <w:r w:rsidRPr="00360A1A">
        <w:rPr>
          <w:lang w:val="fr-FR"/>
        </w:rPr>
        <w:t>septembre 2022, le Comité, ayant considéré que l</w:t>
      </w:r>
      <w:r>
        <w:rPr>
          <w:lang w:val="fr-FR"/>
        </w:rPr>
        <w:t>’</w:t>
      </w:r>
      <w:r w:rsidRPr="00360A1A">
        <w:rPr>
          <w:lang w:val="fr-FR"/>
        </w:rPr>
        <w:t>auteur ne risquait plus d</w:t>
      </w:r>
      <w:r>
        <w:rPr>
          <w:lang w:val="fr-FR"/>
        </w:rPr>
        <w:t>’</w:t>
      </w:r>
      <w:r w:rsidRPr="00360A1A">
        <w:rPr>
          <w:lang w:val="fr-FR"/>
        </w:rPr>
        <w:t>être expulsé vers le Maroc, a conclu que la communication était devenu</w:t>
      </w:r>
      <w:r>
        <w:rPr>
          <w:lang w:val="fr-FR"/>
        </w:rPr>
        <w:t>e</w:t>
      </w:r>
      <w:r w:rsidRPr="00360A1A">
        <w:rPr>
          <w:lang w:val="fr-FR"/>
        </w:rPr>
        <w:t xml:space="preserve"> sans objet et a décidé de mettre fin à l</w:t>
      </w:r>
      <w:r>
        <w:rPr>
          <w:lang w:val="fr-FR"/>
        </w:rPr>
        <w:t>’</w:t>
      </w:r>
      <w:r w:rsidRPr="00360A1A">
        <w:rPr>
          <w:lang w:val="fr-FR"/>
        </w:rPr>
        <w:t xml:space="preserve">examen de la communication </w:t>
      </w:r>
      <w:r>
        <w:rPr>
          <w:lang w:val="fr-FR"/>
        </w:rPr>
        <w:t>n</w:t>
      </w:r>
      <w:r w:rsidRPr="00F30EDA">
        <w:rPr>
          <w:vertAlign w:val="superscript"/>
          <w:lang w:val="fr-FR"/>
        </w:rPr>
        <w:t>o</w:t>
      </w:r>
      <w:r>
        <w:rPr>
          <w:lang w:val="fr-FR"/>
        </w:rPr>
        <w:t> </w:t>
      </w:r>
      <w:r w:rsidRPr="00360A1A">
        <w:rPr>
          <w:lang w:val="fr-FR"/>
        </w:rPr>
        <w:t xml:space="preserve">141/2021, </w:t>
      </w:r>
      <w:r w:rsidRPr="00DA1A59">
        <w:rPr>
          <w:lang w:val="fr-FR"/>
        </w:rPr>
        <w:t xml:space="preserve">conformément à </w:t>
      </w:r>
      <w:r w:rsidR="00411D15" w:rsidRPr="00DA1A59">
        <w:rPr>
          <w:lang w:val="fr-FR"/>
        </w:rPr>
        <w:t>l</w:t>
      </w:r>
      <w:r w:rsidR="00411D15">
        <w:rPr>
          <w:lang w:val="fr-FR"/>
        </w:rPr>
        <w:t>’</w:t>
      </w:r>
      <w:r w:rsidR="00411D15" w:rsidRPr="00DA1A59">
        <w:rPr>
          <w:lang w:val="fr-FR"/>
        </w:rPr>
        <w:t>article</w:t>
      </w:r>
      <w:r w:rsidR="00411D15">
        <w:rPr>
          <w:lang w:val="fr-FR"/>
        </w:rPr>
        <w:t> </w:t>
      </w:r>
      <w:r w:rsidRPr="00DA1A59">
        <w:rPr>
          <w:lang w:val="fr-FR"/>
        </w:rPr>
        <w:t>26 de son règlement intérieur au titre du Protocole facultatif à la Convention relative aux droits de l</w:t>
      </w:r>
      <w:r>
        <w:rPr>
          <w:lang w:val="fr-FR"/>
        </w:rPr>
        <w:t>’</w:t>
      </w:r>
      <w:r w:rsidRPr="00DA1A59">
        <w:rPr>
          <w:lang w:val="fr-FR"/>
        </w:rPr>
        <w:t>enfant établissant une procédure de présentation de communications</w:t>
      </w:r>
      <w:r w:rsidRPr="00360A1A">
        <w:rPr>
          <w:lang w:val="fr-FR"/>
        </w:rPr>
        <w:t xml:space="preserve">. </w:t>
      </w:r>
    </w:p>
    <w:p w14:paraId="713957D4" w14:textId="46546D11" w:rsidR="00411D15" w:rsidRPr="00592313" w:rsidRDefault="00411D15" w:rsidP="0059231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11D15" w:rsidRPr="00592313" w:rsidSect="00B5072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9DCB" w14:textId="77777777" w:rsidR="00A972BC" w:rsidRDefault="00A972BC" w:rsidP="00F95C08">
      <w:pPr>
        <w:spacing w:line="240" w:lineRule="auto"/>
      </w:pPr>
    </w:p>
  </w:endnote>
  <w:endnote w:type="continuationSeparator" w:id="0">
    <w:p w14:paraId="6040EFF0" w14:textId="77777777" w:rsidR="00A972BC" w:rsidRPr="00AC3823" w:rsidRDefault="00A972BC" w:rsidP="00AC3823">
      <w:pPr>
        <w:pStyle w:val="Pieddepage"/>
      </w:pPr>
    </w:p>
  </w:endnote>
  <w:endnote w:type="continuationNotice" w:id="1">
    <w:p w14:paraId="1063A507" w14:textId="77777777" w:rsidR="00A972BC" w:rsidRDefault="00A972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1875" w14:textId="6A4FF295" w:rsidR="00B50725" w:rsidRPr="00B50725" w:rsidRDefault="00B50725" w:rsidP="00B50725">
    <w:pPr>
      <w:pStyle w:val="Pieddepage"/>
      <w:tabs>
        <w:tab w:val="right" w:pos="9638"/>
      </w:tabs>
    </w:pPr>
    <w:r w:rsidRPr="00B50725">
      <w:rPr>
        <w:b/>
        <w:sz w:val="18"/>
      </w:rPr>
      <w:fldChar w:fldCharType="begin"/>
    </w:r>
    <w:r w:rsidRPr="00B50725">
      <w:rPr>
        <w:b/>
        <w:sz w:val="18"/>
      </w:rPr>
      <w:instrText xml:space="preserve"> PAGE  \* MERGEFORMAT </w:instrText>
    </w:r>
    <w:r w:rsidRPr="00B50725">
      <w:rPr>
        <w:b/>
        <w:sz w:val="18"/>
      </w:rPr>
      <w:fldChar w:fldCharType="separate"/>
    </w:r>
    <w:r w:rsidR="00653B3D">
      <w:rPr>
        <w:b/>
        <w:noProof/>
        <w:sz w:val="18"/>
      </w:rPr>
      <w:t>2</w:t>
    </w:r>
    <w:r w:rsidRPr="00B5072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A030" w14:textId="420416C1" w:rsidR="00B50725" w:rsidRPr="00B50725" w:rsidRDefault="00B50725" w:rsidP="00B50725">
    <w:pPr>
      <w:pStyle w:val="Pieddepage"/>
      <w:tabs>
        <w:tab w:val="right" w:pos="9638"/>
      </w:tabs>
      <w:rPr>
        <w:b/>
        <w:sz w:val="18"/>
      </w:rPr>
    </w:pPr>
    <w:r>
      <w:t>GE.22-16310</w:t>
    </w:r>
    <w:r>
      <w:tab/>
    </w:r>
    <w:r w:rsidRPr="00B50725">
      <w:rPr>
        <w:b/>
        <w:sz w:val="18"/>
      </w:rPr>
      <w:fldChar w:fldCharType="begin"/>
    </w:r>
    <w:r w:rsidRPr="00B50725">
      <w:rPr>
        <w:b/>
        <w:sz w:val="18"/>
      </w:rPr>
      <w:instrText xml:space="preserve"> PAGE  \* MERGEFORMAT </w:instrText>
    </w:r>
    <w:r w:rsidRPr="00B50725">
      <w:rPr>
        <w:b/>
        <w:sz w:val="18"/>
      </w:rPr>
      <w:fldChar w:fldCharType="separate"/>
    </w:r>
    <w:r w:rsidRPr="00B50725">
      <w:rPr>
        <w:b/>
        <w:noProof/>
        <w:sz w:val="18"/>
      </w:rPr>
      <w:t>3</w:t>
    </w:r>
    <w:r w:rsidRPr="00B507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A876" w14:textId="0DADCC02" w:rsidR="004C6D26" w:rsidRPr="004C6D26" w:rsidRDefault="004C6D26" w:rsidP="004C6D26">
    <w:pPr>
      <w:pStyle w:val="Pieddepage"/>
      <w:tabs>
        <w:tab w:val="left" w:pos="6520"/>
        <w:tab w:val="right" w:pos="9638"/>
      </w:tabs>
      <w:spacing w:before="120"/>
      <w:rPr>
        <w:sz w:val="20"/>
      </w:rPr>
    </w:pPr>
    <w:r>
      <w:rPr>
        <w:sz w:val="20"/>
      </w:rPr>
      <w:t>GE.22-17012  (F)</w:t>
    </w:r>
    <w:bookmarkStart w:id="0" w:name="_GoBack"/>
    <w:bookmarkEnd w:id="0"/>
    <w:r>
      <w:rPr>
        <w:sz w:val="20"/>
      </w:rPr>
      <w:tab/>
    </w:r>
    <w:r w:rsidRPr="004C6D26">
      <w:rPr>
        <w:noProof/>
        <w:sz w:val="20"/>
        <w:lang w:eastAsia="fr-CH"/>
      </w:rPr>
      <w:drawing>
        <wp:inline distT="0" distB="0" distL="0" distR="0" wp14:anchorId="0DB1E344" wp14:editId="7C6870E8">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6CFCE4D" wp14:editId="3F64BDE1">
          <wp:extent cx="564515" cy="564515"/>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9D15" w14:textId="77777777" w:rsidR="00A972BC" w:rsidRPr="00AC3823" w:rsidRDefault="00A972BC" w:rsidP="00AC3823">
      <w:pPr>
        <w:pStyle w:val="Pieddepage"/>
        <w:tabs>
          <w:tab w:val="right" w:pos="2155"/>
        </w:tabs>
        <w:spacing w:after="80" w:line="240" w:lineRule="atLeast"/>
        <w:ind w:left="680"/>
        <w:rPr>
          <w:u w:val="single"/>
        </w:rPr>
      </w:pPr>
      <w:r>
        <w:rPr>
          <w:u w:val="single"/>
        </w:rPr>
        <w:tab/>
      </w:r>
    </w:p>
  </w:footnote>
  <w:footnote w:type="continuationSeparator" w:id="0">
    <w:p w14:paraId="788E0E77" w14:textId="77777777" w:rsidR="00A972BC" w:rsidRPr="00AC3823" w:rsidRDefault="00A972BC" w:rsidP="00AC3823">
      <w:pPr>
        <w:pStyle w:val="Pieddepage"/>
        <w:tabs>
          <w:tab w:val="right" w:pos="2155"/>
        </w:tabs>
        <w:spacing w:after="80" w:line="240" w:lineRule="atLeast"/>
        <w:ind w:left="680"/>
        <w:rPr>
          <w:u w:val="single"/>
        </w:rPr>
      </w:pPr>
      <w:r>
        <w:rPr>
          <w:u w:val="single"/>
        </w:rPr>
        <w:tab/>
      </w:r>
    </w:p>
  </w:footnote>
  <w:footnote w:type="continuationNotice" w:id="1">
    <w:p w14:paraId="016F22DA" w14:textId="77777777" w:rsidR="00A972BC" w:rsidRPr="00AC3823" w:rsidRDefault="00A972BC">
      <w:pPr>
        <w:spacing w:line="240" w:lineRule="auto"/>
        <w:rPr>
          <w:sz w:val="2"/>
          <w:szCs w:val="2"/>
        </w:rPr>
      </w:pPr>
    </w:p>
  </w:footnote>
  <w:footnote w:id="2">
    <w:p w14:paraId="6851F46F" w14:textId="77777777" w:rsidR="006835A2" w:rsidRPr="00635A6E" w:rsidRDefault="006835A2" w:rsidP="00411D15">
      <w:pPr>
        <w:pStyle w:val="Notedebasdepage"/>
        <w:rPr>
          <w:lang w:val="fr-FR"/>
        </w:rPr>
      </w:pPr>
      <w:r w:rsidRPr="00592313">
        <w:rPr>
          <w:rStyle w:val="Appelnotedebasdep"/>
          <w:sz w:val="20"/>
          <w:szCs w:val="22"/>
          <w:vertAlign w:val="baseline"/>
          <w:lang w:val="fr-FR"/>
        </w:rPr>
        <w:tab/>
      </w:r>
      <w:r w:rsidRPr="00592313">
        <w:rPr>
          <w:rStyle w:val="Appelnotedebasdep"/>
          <w:sz w:val="20"/>
          <w:vertAlign w:val="baseline"/>
          <w:lang w:val="fr-FR"/>
        </w:rPr>
        <w:t>*</w:t>
      </w:r>
      <w:r w:rsidRPr="00592313">
        <w:rPr>
          <w:rStyle w:val="Appelnotedebasdep"/>
          <w:sz w:val="22"/>
          <w:szCs w:val="22"/>
          <w:vertAlign w:val="baseline"/>
          <w:lang w:val="fr-FR"/>
        </w:rPr>
        <w:tab/>
      </w:r>
      <w:r w:rsidRPr="00635A6E">
        <w:rPr>
          <w:lang w:val="fr-FR"/>
        </w:rPr>
        <w:t>Adoptée par le Comité à sa quatre-vingt-onzième session (29 août-23 septembre 2022).</w:t>
      </w:r>
    </w:p>
  </w:footnote>
  <w:footnote w:id="3">
    <w:p w14:paraId="2B1B31EC" w14:textId="7111ECA4" w:rsidR="006835A2" w:rsidRPr="00635A6E" w:rsidRDefault="006835A2" w:rsidP="00592313">
      <w:pPr>
        <w:pStyle w:val="Notedebasdepage"/>
        <w:rPr>
          <w:lang w:val="fr-FR"/>
        </w:rPr>
      </w:pPr>
      <w:r w:rsidRPr="00635A6E">
        <w:rPr>
          <w:lang w:val="fr-FR"/>
        </w:rPr>
        <w:tab/>
      </w:r>
      <w:r w:rsidRPr="00592313">
        <w:rPr>
          <w:sz w:val="20"/>
          <w:szCs w:val="22"/>
          <w:lang w:val="fr-FR"/>
        </w:rPr>
        <w:t>**</w:t>
      </w:r>
      <w:r w:rsidRPr="00592313">
        <w:rPr>
          <w:rStyle w:val="Appelnotedebasdep"/>
          <w:sz w:val="20"/>
          <w:szCs w:val="22"/>
          <w:lang w:val="fr-FR"/>
        </w:rPr>
        <w:tab/>
      </w:r>
      <w:r w:rsidRPr="00635A6E">
        <w:rPr>
          <w:lang w:val="fr-FR"/>
        </w:rPr>
        <w:t>Les membres du Comité</w:t>
      </w:r>
      <w:r>
        <w:rPr>
          <w:lang w:val="fr-FR"/>
        </w:rPr>
        <w:t xml:space="preserve"> dont le nom suit</w:t>
      </w:r>
      <w:r w:rsidRPr="00635A6E">
        <w:rPr>
          <w:lang w:val="fr-FR"/>
        </w:rPr>
        <w:t xml:space="preserve"> ont participé à l</w:t>
      </w:r>
      <w:r>
        <w:rPr>
          <w:lang w:val="fr-FR"/>
        </w:rPr>
        <w:t>’</w:t>
      </w:r>
      <w:r w:rsidRPr="00635A6E">
        <w:rPr>
          <w:lang w:val="fr-FR"/>
        </w:rPr>
        <w:t>examen de la communication</w:t>
      </w:r>
      <w:r>
        <w:rPr>
          <w:lang w:val="fr-FR"/>
        </w:rPr>
        <w:t> </w:t>
      </w:r>
      <w:r w:rsidRPr="00635A6E">
        <w:rPr>
          <w:lang w:val="fr-FR"/>
        </w:rPr>
        <w:t xml:space="preserve">: </w:t>
      </w:r>
      <w:r w:rsidR="00411D15" w:rsidRPr="00635A6E">
        <w:rPr>
          <w:lang w:val="fr-FR"/>
        </w:rPr>
        <w:t>Suzanne</w:t>
      </w:r>
      <w:r w:rsidR="00411D15">
        <w:rPr>
          <w:lang w:val="fr-FR"/>
        </w:rPr>
        <w:t> </w:t>
      </w:r>
      <w:r w:rsidRPr="00635A6E">
        <w:rPr>
          <w:lang w:val="fr-FR"/>
        </w:rPr>
        <w:t xml:space="preserve">Aho, Aïssatou Alassane Moulaye, Hynd Ayoubi Idrissi, Rinchen Chophel, </w:t>
      </w:r>
      <w:r w:rsidR="00411D15" w:rsidRPr="00635A6E">
        <w:rPr>
          <w:lang w:val="fr-FR"/>
        </w:rPr>
        <w:t>Bragi</w:t>
      </w:r>
      <w:r w:rsidR="00411D15">
        <w:rPr>
          <w:lang w:val="fr-FR"/>
        </w:rPr>
        <w:t> </w:t>
      </w:r>
      <w:r w:rsidRPr="00635A6E">
        <w:rPr>
          <w:lang w:val="fr-FR"/>
        </w:rPr>
        <w:t xml:space="preserve">Gudbrandsson, Sopio Kiladze, Gehad Madi, Faith Marshall-Harris, Benyam Dawit Mezmur, </w:t>
      </w:r>
      <w:r w:rsidR="00411D15" w:rsidRPr="00635A6E">
        <w:rPr>
          <w:lang w:val="fr-FR"/>
        </w:rPr>
        <w:t>Clarence</w:t>
      </w:r>
      <w:r w:rsidR="00411D15">
        <w:rPr>
          <w:lang w:val="fr-FR"/>
        </w:rPr>
        <w:t> </w:t>
      </w:r>
      <w:r w:rsidRPr="00635A6E">
        <w:rPr>
          <w:lang w:val="fr-FR"/>
        </w:rPr>
        <w:t xml:space="preserve">Nelson, Otani Mikiko, Luis Ernesto Pedernera Reyna, José </w:t>
      </w:r>
      <w:r>
        <w:rPr>
          <w:lang w:val="fr-FR"/>
        </w:rPr>
        <w:t>Á</w:t>
      </w:r>
      <w:r w:rsidRPr="00635A6E">
        <w:rPr>
          <w:lang w:val="fr-FR"/>
        </w:rPr>
        <w:t xml:space="preserve">ngel Rodríguez Reyes, </w:t>
      </w:r>
      <w:r w:rsidR="00411D15" w:rsidRPr="00635A6E">
        <w:rPr>
          <w:lang w:val="fr-FR"/>
        </w:rPr>
        <w:t>Ann</w:t>
      </w:r>
      <w:r w:rsidR="00411D15">
        <w:rPr>
          <w:lang w:val="fr-FR"/>
        </w:rPr>
        <w:t> </w:t>
      </w:r>
      <w:r w:rsidRPr="00635A6E">
        <w:rPr>
          <w:lang w:val="fr-FR"/>
        </w:rPr>
        <w:t>Skelton, Velina Todorova, Benoit Van Keirsbilck et Ratou Zara.</w:t>
      </w:r>
    </w:p>
  </w:footnote>
  <w:footnote w:id="4">
    <w:p w14:paraId="4D56FE47" w14:textId="77777777" w:rsidR="006835A2" w:rsidRPr="009349B4" w:rsidRDefault="006835A2" w:rsidP="006835A2">
      <w:pPr>
        <w:pStyle w:val="Notedebasdepage"/>
      </w:pPr>
      <w:r w:rsidRPr="00F30EDA">
        <w:rPr>
          <w:lang w:val="fr-FR"/>
        </w:rPr>
        <w:tab/>
      </w:r>
      <w:r w:rsidRPr="00592313">
        <w:rPr>
          <w:rStyle w:val="Appelnotedebasdep"/>
          <w:sz w:val="20"/>
          <w:szCs w:val="22"/>
          <w:vertAlign w:val="baseline"/>
        </w:rPr>
        <w:t>***</w:t>
      </w:r>
      <w:r w:rsidRPr="00592313">
        <w:rPr>
          <w:rStyle w:val="Appelnotedebasdep"/>
          <w:sz w:val="20"/>
          <w:szCs w:val="22"/>
          <w:vertAlign w:val="baseline"/>
        </w:rPr>
        <w:tab/>
      </w:r>
      <w:r w:rsidRPr="003A5D9E">
        <w:rPr>
          <w:lang w:val="fr-FR"/>
        </w:rPr>
        <w:t xml:space="preserve">Conformément </w:t>
      </w:r>
      <w:r>
        <w:rPr>
          <w:lang w:val="fr-FR"/>
        </w:rPr>
        <w:t>à</w:t>
      </w:r>
      <w:r w:rsidRPr="003A5D9E">
        <w:rPr>
          <w:lang w:val="fr-FR"/>
        </w:rPr>
        <w:t xml:space="preserve"> l</w:t>
      </w:r>
      <w:r>
        <w:rPr>
          <w:lang w:val="fr-FR"/>
        </w:rPr>
        <w:t>’</w:t>
      </w:r>
      <w:r w:rsidRPr="003A5D9E">
        <w:rPr>
          <w:lang w:val="fr-FR"/>
        </w:rPr>
        <w:t>article</w:t>
      </w:r>
      <w:r>
        <w:rPr>
          <w:lang w:val="fr-FR"/>
        </w:rPr>
        <w:t> </w:t>
      </w:r>
      <w:r w:rsidRPr="003A5D9E">
        <w:rPr>
          <w:lang w:val="fr-FR"/>
        </w:rPr>
        <w:t>8</w:t>
      </w:r>
      <w:r>
        <w:rPr>
          <w:lang w:val="fr-FR"/>
        </w:rPr>
        <w:t xml:space="preserve"> (par. 1a ))</w:t>
      </w:r>
      <w:r w:rsidRPr="003A5D9E">
        <w:rPr>
          <w:lang w:val="fr-FR"/>
        </w:rPr>
        <w:t xml:space="preserve"> du </w:t>
      </w:r>
      <w:r>
        <w:rPr>
          <w:lang w:val="fr-FR"/>
        </w:rPr>
        <w:t>Règlement intérieur au titre du Protocole facultatif à la Convention relative aux droits de l’enfant établissant une procédure de présentation de communications, Philip Jaffé n’a pas pris part à l’examen de la communication.</w:t>
      </w:r>
      <w:r w:rsidRPr="00F30E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7040" w14:textId="5DFB5B90" w:rsidR="00B50725" w:rsidRPr="00B50725" w:rsidRDefault="00522588">
    <w:pPr>
      <w:pStyle w:val="En-tte"/>
    </w:pPr>
    <w:r>
      <w:fldChar w:fldCharType="begin"/>
    </w:r>
    <w:r>
      <w:instrText xml:space="preserve"> TITLE  \* MERGEFORMAT </w:instrText>
    </w:r>
    <w:r>
      <w:fldChar w:fldCharType="separate"/>
    </w:r>
    <w:r w:rsidR="00B50725">
      <w:t>CRC/C/91/D/141/2021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BAB2" w14:textId="22EA2033" w:rsidR="00B50725" w:rsidRPr="00B50725" w:rsidRDefault="00522588" w:rsidP="00B50725">
    <w:pPr>
      <w:pStyle w:val="En-tte"/>
      <w:jc w:val="right"/>
    </w:pPr>
    <w:r>
      <w:fldChar w:fldCharType="begin"/>
    </w:r>
    <w:r>
      <w:instrText xml:space="preserve"> TITLE  \* MERGEFORMAT </w:instrText>
    </w:r>
    <w:r>
      <w:fldChar w:fldCharType="separate"/>
    </w:r>
    <w:r w:rsidR="00B50725">
      <w:t>CRC/C/91/D/141/2021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38560469">
    <w:abstractNumId w:val="12"/>
  </w:num>
  <w:num w:numId="2" w16cid:durableId="2111730750">
    <w:abstractNumId w:val="11"/>
  </w:num>
  <w:num w:numId="3" w16cid:durableId="2107849805">
    <w:abstractNumId w:val="10"/>
  </w:num>
  <w:num w:numId="4" w16cid:durableId="497120191">
    <w:abstractNumId w:val="8"/>
  </w:num>
  <w:num w:numId="5" w16cid:durableId="425463774">
    <w:abstractNumId w:val="3"/>
  </w:num>
  <w:num w:numId="6" w16cid:durableId="1121917789">
    <w:abstractNumId w:val="2"/>
  </w:num>
  <w:num w:numId="7" w16cid:durableId="1963883059">
    <w:abstractNumId w:val="1"/>
  </w:num>
  <w:num w:numId="8" w16cid:durableId="1040786782">
    <w:abstractNumId w:val="0"/>
  </w:num>
  <w:num w:numId="9" w16cid:durableId="1284339485">
    <w:abstractNumId w:val="9"/>
  </w:num>
  <w:num w:numId="10" w16cid:durableId="1138915849">
    <w:abstractNumId w:val="7"/>
  </w:num>
  <w:num w:numId="11" w16cid:durableId="536895328">
    <w:abstractNumId w:val="6"/>
  </w:num>
  <w:num w:numId="12" w16cid:durableId="217055270">
    <w:abstractNumId w:val="5"/>
  </w:num>
  <w:num w:numId="13" w16cid:durableId="1894659888">
    <w:abstractNumId w:val="4"/>
  </w:num>
  <w:num w:numId="14" w16cid:durableId="1041713584">
    <w:abstractNumId w:val="12"/>
  </w:num>
  <w:num w:numId="15" w16cid:durableId="1112020960">
    <w:abstractNumId w:val="11"/>
  </w:num>
  <w:num w:numId="16" w16cid:durableId="1352802939">
    <w:abstractNumId w:val="10"/>
  </w:num>
  <w:num w:numId="17" w16cid:durableId="212742975">
    <w:abstractNumId w:val="12"/>
  </w:num>
  <w:num w:numId="18" w16cid:durableId="1837303832">
    <w:abstractNumId w:val="11"/>
  </w:num>
  <w:num w:numId="19" w16cid:durableId="12895522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DF"/>
    <w:rsid w:val="00017F94"/>
    <w:rsid w:val="00023842"/>
    <w:rsid w:val="000334F9"/>
    <w:rsid w:val="000354E9"/>
    <w:rsid w:val="0007796D"/>
    <w:rsid w:val="000B7790"/>
    <w:rsid w:val="00111F2F"/>
    <w:rsid w:val="0014365E"/>
    <w:rsid w:val="00176178"/>
    <w:rsid w:val="001826E6"/>
    <w:rsid w:val="001D0BA5"/>
    <w:rsid w:val="001F525A"/>
    <w:rsid w:val="00223272"/>
    <w:rsid w:val="0024779E"/>
    <w:rsid w:val="00260A30"/>
    <w:rsid w:val="002D14A3"/>
    <w:rsid w:val="00311E81"/>
    <w:rsid w:val="00340ED0"/>
    <w:rsid w:val="00386A5D"/>
    <w:rsid w:val="00411C8E"/>
    <w:rsid w:val="00411D15"/>
    <w:rsid w:val="00446FE5"/>
    <w:rsid w:val="00452396"/>
    <w:rsid w:val="00485B35"/>
    <w:rsid w:val="004C6D26"/>
    <w:rsid w:val="004D7A2C"/>
    <w:rsid w:val="005505B7"/>
    <w:rsid w:val="00573BE5"/>
    <w:rsid w:val="00586ED3"/>
    <w:rsid w:val="00592313"/>
    <w:rsid w:val="00596AA9"/>
    <w:rsid w:val="00653B3D"/>
    <w:rsid w:val="006835A2"/>
    <w:rsid w:val="00700E7D"/>
    <w:rsid w:val="0071601D"/>
    <w:rsid w:val="007341B7"/>
    <w:rsid w:val="00760CBC"/>
    <w:rsid w:val="007A62E6"/>
    <w:rsid w:val="007B7D57"/>
    <w:rsid w:val="007F61AD"/>
    <w:rsid w:val="0080684C"/>
    <w:rsid w:val="00840413"/>
    <w:rsid w:val="00871C75"/>
    <w:rsid w:val="008776DC"/>
    <w:rsid w:val="008922CF"/>
    <w:rsid w:val="008C54BD"/>
    <w:rsid w:val="008F3CA0"/>
    <w:rsid w:val="00937504"/>
    <w:rsid w:val="009705C8"/>
    <w:rsid w:val="00A30353"/>
    <w:rsid w:val="00A757D8"/>
    <w:rsid w:val="00A972BC"/>
    <w:rsid w:val="00AC3823"/>
    <w:rsid w:val="00AE323C"/>
    <w:rsid w:val="00B00181"/>
    <w:rsid w:val="00B24A9B"/>
    <w:rsid w:val="00B50725"/>
    <w:rsid w:val="00B765F7"/>
    <w:rsid w:val="00BA0CA9"/>
    <w:rsid w:val="00BB60B5"/>
    <w:rsid w:val="00C02897"/>
    <w:rsid w:val="00D3439C"/>
    <w:rsid w:val="00DB1831"/>
    <w:rsid w:val="00DD3BFD"/>
    <w:rsid w:val="00DF6678"/>
    <w:rsid w:val="00E6779D"/>
    <w:rsid w:val="00ED4BDF"/>
    <w:rsid w:val="00F660DF"/>
    <w:rsid w:val="00F95C08"/>
    <w:rsid w:val="00FE5D6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297A2"/>
  <w15:docId w15:val="{711A68EF-9427-43DB-8391-144272D3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7B7D57"/>
    <w:rPr>
      <w:rFonts w:ascii="Times New Roman" w:eastAsiaTheme="minorHAnsi" w:hAnsi="Times New Roman" w:cs="Times New Roman"/>
      <w:sz w:val="20"/>
      <w:szCs w:val="20"/>
      <w:lang w:eastAsia="en-US"/>
    </w:rPr>
  </w:style>
  <w:style w:type="paragraph" w:styleId="Rvision">
    <w:name w:val="Revision"/>
    <w:hidden/>
    <w:uiPriority w:val="99"/>
    <w:semiHidden/>
    <w:rsid w:val="00E6779D"/>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Pages>
  <Words>776</Words>
  <Characters>3901</Characters>
  <Application>Microsoft Office Word</Application>
  <DocSecurity>0</DocSecurity>
  <Lines>83</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CRC/C/91/D/141/2021</vt:lpstr>
      <vt:lpstr>CRC/C/91/D/141/2021</vt:lpstr>
    </vt:vector>
  </TitlesOfParts>
  <Company>DCM</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CRC/C/91/D/141/2021</dc:title>
  <dc:subject/>
  <dc:creator>Christine CHAUTAGNAT</dc:creator>
  <cp:keywords/>
  <cp:lastModifiedBy>Marie Deschamps</cp:lastModifiedBy>
  <cp:revision>2</cp:revision>
  <cp:lastPrinted>2014-05-14T10:59:00Z</cp:lastPrinted>
  <dcterms:created xsi:type="dcterms:W3CDTF">2022-10-18T10:50:00Z</dcterms:created>
  <dcterms:modified xsi:type="dcterms:W3CDTF">2022-10-18T10:50:00Z</dcterms:modified>
</cp:coreProperties>
</file>