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22C7BDA8" w14:textId="77777777" w:rsidTr="0021363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81552FE" w14:textId="77777777" w:rsidR="002D5AAC" w:rsidRDefault="002D5AAC" w:rsidP="00815B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51DCC18" w14:textId="77777777"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332B64D3" w14:textId="65DAB207" w:rsidR="002D5AAC" w:rsidRDefault="00815BDC" w:rsidP="00815BDC">
            <w:pPr>
              <w:jc w:val="right"/>
            </w:pPr>
            <w:r w:rsidRPr="00815BDC">
              <w:rPr>
                <w:sz w:val="40"/>
              </w:rPr>
              <w:t>CERD</w:t>
            </w:r>
            <w:r>
              <w:t>/C/PHL/Q/21-25</w:t>
            </w:r>
          </w:p>
        </w:tc>
      </w:tr>
      <w:tr w:rsidR="002D5AAC" w14:paraId="67126080" w14:textId="77777777" w:rsidTr="0021363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C3A90D" w14:textId="77777777" w:rsidR="002D5AAC" w:rsidRDefault="00CC15A3" w:rsidP="0021363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AE5D8F8" wp14:editId="3EC18F44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393B73" w14:textId="77777777"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3B6EF6B2" w14:textId="77777777" w:rsidR="002D5AAC" w:rsidRDefault="00815BDC" w:rsidP="00213632">
            <w:pPr>
              <w:spacing w:before="240"/>
            </w:pPr>
            <w:r>
              <w:t>Distr. general</w:t>
            </w:r>
          </w:p>
          <w:p w14:paraId="51026D5F" w14:textId="77777777" w:rsidR="00815BDC" w:rsidRDefault="00815BDC" w:rsidP="00815BDC">
            <w:pPr>
              <w:spacing w:line="240" w:lineRule="exact"/>
            </w:pPr>
            <w:r>
              <w:t>6 de marzo de 2023</w:t>
            </w:r>
          </w:p>
          <w:p w14:paraId="2276AC7C" w14:textId="77777777" w:rsidR="00815BDC" w:rsidRDefault="00815BDC" w:rsidP="00815BDC">
            <w:pPr>
              <w:spacing w:line="240" w:lineRule="exact"/>
            </w:pPr>
            <w:r>
              <w:t>Español</w:t>
            </w:r>
          </w:p>
          <w:p w14:paraId="143F625F" w14:textId="77777777" w:rsidR="00815BDC" w:rsidRDefault="00815BDC" w:rsidP="00815BDC">
            <w:pPr>
              <w:spacing w:line="240" w:lineRule="exact"/>
            </w:pPr>
            <w:r>
              <w:t>Original: inglés</w:t>
            </w:r>
          </w:p>
          <w:p w14:paraId="02AAA1EB" w14:textId="48FBA4AD" w:rsidR="0045500B" w:rsidRDefault="0045500B" w:rsidP="00815BDC">
            <w:pPr>
              <w:spacing w:line="240" w:lineRule="exact"/>
            </w:pPr>
            <w:r>
              <w:t>Español, francés e inglés únicamente</w:t>
            </w:r>
          </w:p>
        </w:tc>
      </w:tr>
    </w:tbl>
    <w:p w14:paraId="47E572F0" w14:textId="77777777" w:rsidR="009335B3" w:rsidRPr="009335B3" w:rsidRDefault="009335B3" w:rsidP="009335B3">
      <w:pPr>
        <w:spacing w:before="120"/>
        <w:rPr>
          <w:b/>
          <w:bCs/>
          <w:sz w:val="24"/>
          <w:szCs w:val="24"/>
        </w:rPr>
      </w:pPr>
      <w:r w:rsidRPr="009335B3">
        <w:rPr>
          <w:b/>
          <w:bCs/>
          <w:sz w:val="24"/>
          <w:szCs w:val="24"/>
        </w:rPr>
        <w:t>Comité para la Eliminación de la Discriminación Racial</w:t>
      </w:r>
    </w:p>
    <w:p w14:paraId="487741B2" w14:textId="192D831B" w:rsidR="009335B3" w:rsidRPr="009335B3" w:rsidRDefault="009335B3" w:rsidP="009335B3">
      <w:pPr>
        <w:rPr>
          <w:b/>
          <w:bCs/>
        </w:rPr>
      </w:pPr>
      <w:r w:rsidRPr="009335B3">
        <w:rPr>
          <w:b/>
          <w:bCs/>
        </w:rPr>
        <w:t>109º período de sesiones</w:t>
      </w:r>
    </w:p>
    <w:p w14:paraId="222021B5" w14:textId="77777777" w:rsidR="009335B3" w:rsidRPr="00166A61" w:rsidRDefault="009335B3" w:rsidP="009335B3">
      <w:r w:rsidRPr="00166A61">
        <w:t>11 a 28 de abril de 2023</w:t>
      </w:r>
    </w:p>
    <w:p w14:paraId="45B9E0A4" w14:textId="77777777" w:rsidR="009335B3" w:rsidRPr="00166A61" w:rsidRDefault="009335B3" w:rsidP="009335B3">
      <w:pPr>
        <w:rPr>
          <w:b/>
          <w:bCs/>
        </w:rPr>
      </w:pPr>
      <w:r w:rsidRPr="00166A61">
        <w:t>Tema 4 del programa provisional</w:t>
      </w:r>
    </w:p>
    <w:p w14:paraId="1CB63041" w14:textId="792E95AE" w:rsidR="009335B3" w:rsidRPr="00166A61" w:rsidRDefault="009335B3" w:rsidP="009335B3">
      <w:pPr>
        <w:rPr>
          <w:b/>
          <w:bCs/>
        </w:rPr>
      </w:pPr>
      <w:r w:rsidRPr="00166A61">
        <w:rPr>
          <w:b/>
          <w:bCs/>
        </w:rPr>
        <w:t>Examen de los informes, las observaciones y la información</w:t>
      </w:r>
      <w:r>
        <w:rPr>
          <w:b/>
          <w:bCs/>
        </w:rPr>
        <w:br/>
      </w:r>
      <w:r w:rsidRPr="00166A61">
        <w:rPr>
          <w:b/>
          <w:bCs/>
        </w:rPr>
        <w:t>presentados</w:t>
      </w:r>
      <w:r>
        <w:rPr>
          <w:b/>
          <w:bCs/>
        </w:rPr>
        <w:t xml:space="preserve"> </w:t>
      </w:r>
      <w:r w:rsidRPr="00166A61">
        <w:rPr>
          <w:b/>
          <w:bCs/>
        </w:rPr>
        <w:t>por los Estados partes en virtud del</w:t>
      </w:r>
      <w:r>
        <w:rPr>
          <w:b/>
          <w:bCs/>
        </w:rPr>
        <w:br/>
        <w:t>a</w:t>
      </w:r>
      <w:r w:rsidRPr="00166A61">
        <w:rPr>
          <w:b/>
          <w:bCs/>
        </w:rPr>
        <w:t>rtículo 9 de la Convención</w:t>
      </w:r>
    </w:p>
    <w:p w14:paraId="14660129" w14:textId="0B311E76" w:rsidR="009335B3" w:rsidRPr="00166A61" w:rsidRDefault="009335B3" w:rsidP="009335B3">
      <w:pPr>
        <w:pStyle w:val="HChG"/>
      </w:pPr>
      <w:r>
        <w:tab/>
      </w:r>
      <w:r>
        <w:tab/>
      </w:r>
      <w:r w:rsidRPr="00166A61">
        <w:t>Lista de temas relativa a los informes periódicos 21º a 25º combinados de Filipinas</w:t>
      </w:r>
    </w:p>
    <w:p w14:paraId="284749AD" w14:textId="4D851468" w:rsidR="009335B3" w:rsidRPr="00166A61" w:rsidRDefault="009335B3" w:rsidP="009335B3">
      <w:pPr>
        <w:pStyle w:val="H1G"/>
      </w:pPr>
      <w:r>
        <w:tab/>
      </w:r>
      <w:r>
        <w:tab/>
      </w:r>
      <w:r w:rsidRPr="00166A61">
        <w:t>Nota del Relator para el país</w:t>
      </w:r>
      <w:r w:rsidRPr="009335B3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</w:p>
    <w:p w14:paraId="51E24C23" w14:textId="77777777" w:rsidR="009335B3" w:rsidRPr="00166A61" w:rsidRDefault="009335B3" w:rsidP="009335B3">
      <w:pPr>
        <w:pStyle w:val="SingleTxtG"/>
      </w:pPr>
      <w:r w:rsidRPr="00166A61">
        <w:t>1.</w:t>
      </w:r>
      <w:r w:rsidRPr="00166A61">
        <w:tab/>
        <w:t>El Comité para la Eliminación de la Discriminación Racial decidió en su 76º período de sesiones</w:t>
      </w:r>
      <w:r w:rsidRPr="00166A61">
        <w:rPr>
          <w:rStyle w:val="Refdenotaalpie"/>
        </w:rPr>
        <w:footnoteReference w:id="2"/>
      </w:r>
      <w:r w:rsidRPr="00166A61">
        <w:t xml:space="preserve">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exhaustiva; durante el diálogo con el Estado parte podrán abordarse otros asuntos. No se requieren respuestas por escrito.</w:t>
      </w:r>
    </w:p>
    <w:p w14:paraId="718FAFD5" w14:textId="056CC575" w:rsidR="009335B3" w:rsidRPr="00166A61" w:rsidRDefault="009335B3" w:rsidP="009335B3">
      <w:pPr>
        <w:pStyle w:val="H23G"/>
      </w:pPr>
      <w:r>
        <w:tab/>
      </w:r>
      <w:r>
        <w:tab/>
      </w:r>
      <w:r w:rsidRPr="00166A61">
        <w:t>Datos estadísticos</w:t>
      </w:r>
    </w:p>
    <w:p w14:paraId="30596568" w14:textId="77777777" w:rsidR="009335B3" w:rsidRPr="00166A61" w:rsidRDefault="009335B3" w:rsidP="009335B3">
      <w:pPr>
        <w:pStyle w:val="SingleTxtG"/>
      </w:pPr>
      <w:r w:rsidRPr="00166A61">
        <w:t>2.</w:t>
      </w:r>
      <w:r w:rsidRPr="00166A61">
        <w:tab/>
        <w:t>Datos estadísticos sobre la composición étnica de la población y sobre el disfrute de los derechos económicos, sociales y culturales, desglosados por origen nacional y étnico, e información sobre los datos recabados en este contexto a través del censo nacional de población de 2020</w:t>
      </w:r>
      <w:r w:rsidRPr="00166A61">
        <w:rPr>
          <w:rStyle w:val="Refdenotaalpie"/>
        </w:rPr>
        <w:footnoteReference w:id="3"/>
      </w:r>
      <w:r w:rsidRPr="00166A61">
        <w:t>.</w:t>
      </w:r>
    </w:p>
    <w:p w14:paraId="70941754" w14:textId="6EA085F6" w:rsidR="009335B3" w:rsidRPr="00166A61" w:rsidRDefault="009335B3" w:rsidP="009335B3">
      <w:pPr>
        <w:pStyle w:val="H23G"/>
      </w:pPr>
      <w:r>
        <w:tab/>
      </w:r>
      <w:r>
        <w:tab/>
      </w:r>
      <w:r w:rsidRPr="00166A61">
        <w:t>La Convención en el derecho interno y el marco institucional y normativo</w:t>
      </w:r>
      <w:r>
        <w:br/>
      </w:r>
      <w:r w:rsidRPr="00166A61">
        <w:t>para su aplicación (arts. 1, 2, 4, 6 y 7)</w:t>
      </w:r>
    </w:p>
    <w:p w14:paraId="7C4FD577" w14:textId="77777777" w:rsidR="009335B3" w:rsidRPr="00166A61" w:rsidRDefault="009335B3" w:rsidP="009335B3">
      <w:pPr>
        <w:pStyle w:val="SingleTxtG"/>
      </w:pPr>
      <w:r w:rsidRPr="00166A61">
        <w:t>3.</w:t>
      </w:r>
      <w:r w:rsidRPr="00166A61">
        <w:tab/>
        <w:t>Ejemplos de casos en que la Convención se ha aplicado e invocado en los tribunales nacionales. Información actualizada sobre las medidas adoptadas para dar a conocer mejor la Convención tanto entre el público como entre los jueces, abogados y otros funcionarios encargados de hacer cumplir la ley, y sobre el efecto de esas medidas</w:t>
      </w:r>
      <w:r w:rsidRPr="00166A61">
        <w:rPr>
          <w:rStyle w:val="Refdenotaalpie"/>
        </w:rPr>
        <w:footnoteReference w:id="4"/>
      </w:r>
      <w:r w:rsidRPr="00166A61">
        <w:t>.</w:t>
      </w:r>
    </w:p>
    <w:p w14:paraId="1DBD426C" w14:textId="77777777" w:rsidR="009335B3" w:rsidRPr="00166A61" w:rsidRDefault="009335B3" w:rsidP="009335B3">
      <w:pPr>
        <w:pStyle w:val="SingleTxtG"/>
      </w:pPr>
      <w:r w:rsidRPr="00166A61">
        <w:t>4.</w:t>
      </w:r>
      <w:r w:rsidRPr="00166A61">
        <w:tab/>
        <w:t xml:space="preserve">Información sobre las medidas tomadas con miras a adoptar una ley general para eliminar y prohibir la discriminación racial directa e indirecta por motivos de raza, color, linaje u origen nacional o étnico que abarque todos los derechos y libertades protegidos en la Convención, e información actualizada sobre la situación de los proyectos de ley de lucha </w:t>
      </w:r>
      <w:r w:rsidRPr="00166A61">
        <w:lastRenderedPageBreak/>
        <w:t>contra la discriminación que seguían pendientes en el Estado parte en diversas fases del procedimiento</w:t>
      </w:r>
      <w:r w:rsidRPr="00166A61">
        <w:rPr>
          <w:rStyle w:val="Refdenotaalpie"/>
        </w:rPr>
        <w:footnoteReference w:id="5"/>
      </w:r>
      <w:r w:rsidRPr="00166A61">
        <w:t>.</w:t>
      </w:r>
    </w:p>
    <w:p w14:paraId="00A9FD62" w14:textId="77777777" w:rsidR="009335B3" w:rsidRPr="00166A61" w:rsidRDefault="009335B3" w:rsidP="009335B3">
      <w:pPr>
        <w:pStyle w:val="SingleTxtG"/>
      </w:pPr>
      <w:r w:rsidRPr="00166A61">
        <w:t>5.</w:t>
      </w:r>
      <w:r w:rsidRPr="00166A61">
        <w:tab/>
        <w:t>Información sobre las medidas adoptadas para ampliar el mandato de la Comisión de Derechos Humanos de modo que abarque la promoción y protección de todos los derechos —e información actualizada sobre los proyectos de ley a tal efecto— y para garantizar la plena conformidad de la Comisión con los principios relativos al estatuto de las instituciones nacionales de promoción y protección de los derechos humanos (Principios de París)</w:t>
      </w:r>
      <w:r w:rsidRPr="00166A61">
        <w:rPr>
          <w:rStyle w:val="Refdenotaalpie"/>
        </w:rPr>
        <w:footnoteReference w:id="6"/>
      </w:r>
      <w:r w:rsidRPr="00166A61">
        <w:t>.</w:t>
      </w:r>
    </w:p>
    <w:p w14:paraId="146A4B68" w14:textId="77777777" w:rsidR="009335B3" w:rsidRPr="00166A61" w:rsidRDefault="009335B3" w:rsidP="009335B3">
      <w:pPr>
        <w:pStyle w:val="SingleTxtG"/>
      </w:pPr>
      <w:r w:rsidRPr="00166A61">
        <w:t>6.</w:t>
      </w:r>
      <w:r w:rsidRPr="00166A61">
        <w:tab/>
        <w:t>Ejemplos de casos en los que los motivos raciales se consideraron una circunstancia agravante en la legislación penal nacional.</w:t>
      </w:r>
    </w:p>
    <w:p w14:paraId="4CDB8E1A" w14:textId="00CB705F" w:rsidR="009335B3" w:rsidRPr="00166A61" w:rsidRDefault="009335B3" w:rsidP="009335B3">
      <w:pPr>
        <w:pStyle w:val="SingleTxtG"/>
      </w:pPr>
      <w:r w:rsidRPr="00166A61">
        <w:t>7.</w:t>
      </w:r>
      <w:r w:rsidRPr="00166A61">
        <w:tab/>
        <w:t xml:space="preserve">Información sobre las medidas adoptadas para proteger eficazmente los espacios cívicos y para evitar la persecución, el acoso, el </w:t>
      </w:r>
      <w:r w:rsidR="004A2821">
        <w:t>“</w:t>
      </w:r>
      <w:r w:rsidRPr="00166A61">
        <w:t>etiquetado rojo</w:t>
      </w:r>
      <w:r w:rsidR="004A2821">
        <w:t>”</w:t>
      </w:r>
      <w:r w:rsidRPr="00166A61">
        <w:t>, la desaparición forzada y el asesinato de defensores de los derechos humanos, así como otras formas de violencia contra miembros de organizaciones de la sociedad civil, pueblos indígenas y defensores de los derechos humanos, incluidos aquellos que trabajan para erradicar la discriminación racial y proteger los derechos de los pueblos indígenas. Información sobre las medidas adoptadas para investigar esos actos y enjuiciar a sus autores.</w:t>
      </w:r>
    </w:p>
    <w:p w14:paraId="1DE75F11" w14:textId="54D71B2F" w:rsidR="009335B3" w:rsidRPr="00166A61" w:rsidRDefault="009335B3" w:rsidP="009335B3">
      <w:pPr>
        <w:pStyle w:val="H23G"/>
      </w:pPr>
      <w:r>
        <w:tab/>
      </w:r>
      <w:r>
        <w:tab/>
      </w:r>
      <w:r w:rsidRPr="00166A61">
        <w:t>Discurso de odio racista, incitación al odio racial y delitos de odio</w:t>
      </w:r>
      <w:r>
        <w:br/>
      </w:r>
      <w:r w:rsidRPr="00166A61">
        <w:t>racista (arts. 2, 4 y 6)</w:t>
      </w:r>
    </w:p>
    <w:p w14:paraId="5036C247" w14:textId="77777777" w:rsidR="009335B3" w:rsidRPr="00166A61" w:rsidRDefault="009335B3" w:rsidP="009335B3">
      <w:pPr>
        <w:pStyle w:val="SingleTxtG"/>
      </w:pPr>
      <w:r w:rsidRPr="00166A61">
        <w:t>8.</w:t>
      </w:r>
      <w:r w:rsidRPr="00166A61">
        <w:tab/>
        <w:t>Información detallada sobre las medidas para tipificar como delito la difusión de ideas basadas en la superioridad o en el odio racial y toda incitación al odio y la discriminación raciales, así como para prohibir todas las organizaciones y las actividades que promuevan la discriminación racial e inciten a ella, de conformidad con lo dispuesto en el artículo 4 de la Convención</w:t>
      </w:r>
      <w:r w:rsidRPr="00166A61">
        <w:rPr>
          <w:rStyle w:val="Refdenotaalpie"/>
        </w:rPr>
        <w:footnoteReference w:id="7"/>
      </w:r>
      <w:r w:rsidRPr="00166A61">
        <w:t>.</w:t>
      </w:r>
    </w:p>
    <w:p w14:paraId="5FC7F2FC" w14:textId="77777777" w:rsidR="009335B3" w:rsidRPr="00166A61" w:rsidRDefault="009335B3" w:rsidP="009335B3">
      <w:pPr>
        <w:pStyle w:val="SingleTxtG"/>
      </w:pPr>
      <w:r w:rsidRPr="00166A61">
        <w:t>9.</w:t>
      </w:r>
      <w:r w:rsidRPr="00166A61">
        <w:tab/>
        <w:t>Información actualizada sobre las causas o las decisiones adoptadas por los tribunales nacionales en relación con actos de discriminación racial, en particular con los delitos a los que se refiere el artículo 4 a) y b) de la Convención. Datos estadísticos, desglosados por sexo, edad y origen étnico o nacional, sobre las denuncias presentadas, entre otras instancias a la policía, la Comisión de Derechos Humanos y el Defensor del Pueblo, así como sobre las actuaciones judiciales emprendidas y las sentencias dictadas por actos prohibidos en virtud del artículo 4 de la Convención, y la indemnización que se haya otorgado a las víctimas</w:t>
      </w:r>
      <w:r w:rsidRPr="00166A61">
        <w:rPr>
          <w:rStyle w:val="Refdenotaalpie"/>
        </w:rPr>
        <w:footnoteReference w:id="8"/>
      </w:r>
      <w:r w:rsidRPr="00166A61">
        <w:t>.</w:t>
      </w:r>
    </w:p>
    <w:p w14:paraId="14C19B8B" w14:textId="77777777" w:rsidR="009335B3" w:rsidRPr="00166A61" w:rsidRDefault="009335B3" w:rsidP="009335B3">
      <w:pPr>
        <w:pStyle w:val="SingleTxtG"/>
      </w:pPr>
      <w:r w:rsidRPr="00166A61">
        <w:t>10.</w:t>
      </w:r>
      <w:r w:rsidRPr="00166A61">
        <w:tab/>
        <w:t>Medidas adoptadas para rechazar y condenar toda forma de discurso de odio e incitación al odio y la violencia por parte de funcionarios públicos de alto nivel o locales para deslegitimar la labor realizada por los pueblos indígenas y los defensores de los derechos humanos.</w:t>
      </w:r>
    </w:p>
    <w:p w14:paraId="6278EFD9" w14:textId="5B3AC898" w:rsidR="009335B3" w:rsidRPr="00166A61" w:rsidRDefault="009335B3" w:rsidP="009335B3">
      <w:pPr>
        <w:pStyle w:val="H23G"/>
      </w:pPr>
      <w:r>
        <w:tab/>
      </w:r>
      <w:r>
        <w:tab/>
      </w:r>
      <w:r w:rsidRPr="00166A61">
        <w:t>Situación de los grupos minoritarios y los pueblos indígenas (arts. 5 y 6)</w:t>
      </w:r>
    </w:p>
    <w:p w14:paraId="54963531" w14:textId="77777777" w:rsidR="009335B3" w:rsidRPr="00166A61" w:rsidRDefault="009335B3" w:rsidP="009335B3">
      <w:pPr>
        <w:pStyle w:val="SingleTxtG"/>
      </w:pPr>
      <w:r w:rsidRPr="00166A61">
        <w:t>11.</w:t>
      </w:r>
      <w:r w:rsidRPr="00166A61">
        <w:tab/>
        <w:t>Medidas adoptadas para que los pueblos indígenas puedan ejercer plenamente los derechos que los asisten en virtud de la Convención, incluidos el derecho a reparaciones por la vulneración de sus derechos culturales y el derecho al acceso efectivo de los niños indígenas a una educación de calidad acorde con su identidad cultural, su idioma y sus valores.</w:t>
      </w:r>
    </w:p>
    <w:p w14:paraId="21837F15" w14:textId="77777777" w:rsidR="009335B3" w:rsidRPr="00166A61" w:rsidRDefault="009335B3" w:rsidP="009335B3">
      <w:pPr>
        <w:pStyle w:val="SingleTxtG"/>
      </w:pPr>
      <w:r w:rsidRPr="00166A61">
        <w:t>12.</w:t>
      </w:r>
      <w:r w:rsidRPr="00166A61">
        <w:tab/>
        <w:t>Información sobre el examen independiente del marco legislativo relacionado con la propiedad indígena, así como sobre las formas en que se ha consultado a los pueblos indígenas acerca de dicho marco. Medidas adoptadas para aplicar plena y efectivamente la Ley de Derechos de los Pueblos Indígenas de 1997, a fin de velar por que estos disfruten efectivamente de sus derechos</w:t>
      </w:r>
      <w:r w:rsidRPr="00166A61">
        <w:rPr>
          <w:rStyle w:val="Refdenotaalpie"/>
        </w:rPr>
        <w:footnoteReference w:id="9"/>
      </w:r>
      <w:r w:rsidRPr="00166A61">
        <w:t>.</w:t>
      </w:r>
    </w:p>
    <w:p w14:paraId="4CAEF9C8" w14:textId="77777777" w:rsidR="009335B3" w:rsidRPr="00166A61" w:rsidRDefault="009335B3" w:rsidP="009335B3">
      <w:pPr>
        <w:pStyle w:val="SingleTxtG"/>
      </w:pPr>
      <w:r w:rsidRPr="00166A61">
        <w:t>13.</w:t>
      </w:r>
      <w:r w:rsidRPr="00166A61">
        <w:tab/>
        <w:t xml:space="preserve">Gestiones emprendidas para garantizar que se obtenga el consentimiento libre, previo e informado de los pueblos indígenas, de acuerdo con sus derechos, antes de adoptar y aplicar </w:t>
      </w:r>
      <w:r w:rsidRPr="00166A61">
        <w:lastRenderedPageBreak/>
        <w:t>medidas legislativas o administrativas que los afecten, en particular medidas relacionadas con sus tierras, territorios u otros recursos naturales</w:t>
      </w:r>
      <w:r w:rsidRPr="00166A61">
        <w:rPr>
          <w:rStyle w:val="Refdenotaalpie"/>
        </w:rPr>
        <w:footnoteReference w:id="10"/>
      </w:r>
      <w:r w:rsidRPr="00166A61">
        <w:t>.</w:t>
      </w:r>
    </w:p>
    <w:p w14:paraId="6FB14D7D" w14:textId="77777777" w:rsidR="009335B3" w:rsidRPr="00166A61" w:rsidRDefault="009335B3" w:rsidP="009335B3">
      <w:pPr>
        <w:pStyle w:val="SingleTxtG"/>
      </w:pPr>
      <w:r w:rsidRPr="00166A61">
        <w:t>14.</w:t>
      </w:r>
      <w:r w:rsidRPr="00166A61">
        <w:tab/>
        <w:t>Medidas concretas adoptadas para prevenir y mitigar los efectos adversos de las actividades económicas llevadas a cabo en los territorios de los pueblos indígenas sobre el disfrute de sus derechos, así como sobre sus formas de vida tradicionales. Medidas tomadas para garantizar la participación justa y equitativa de los pueblos indígenas en los beneficios obtenidos de las actividades económicas llevadas a cabo en sus territorios</w:t>
      </w:r>
      <w:r w:rsidRPr="00166A61">
        <w:rPr>
          <w:rStyle w:val="Refdenotaalpie"/>
        </w:rPr>
        <w:footnoteReference w:id="11"/>
      </w:r>
      <w:r w:rsidRPr="00166A61">
        <w:t>.</w:t>
      </w:r>
    </w:p>
    <w:p w14:paraId="7FF69A75" w14:textId="77777777" w:rsidR="009335B3" w:rsidRPr="00166A61" w:rsidRDefault="009335B3" w:rsidP="009335B3">
      <w:pPr>
        <w:pStyle w:val="SingleTxtG"/>
      </w:pPr>
      <w:r w:rsidRPr="00166A61">
        <w:t>15.</w:t>
      </w:r>
      <w:r w:rsidRPr="00166A61">
        <w:tab/>
        <w:t>Información actualizada sobre las medidas tomadas para hacer frente a los problemas que enfrenta el pueblo subanon del Monte Canatuan y para evitar el reclutamiento de niños indígenas y niños de otros grupos étnicos por las fuerzas y los grupos armados</w:t>
      </w:r>
      <w:r w:rsidRPr="00166A61">
        <w:rPr>
          <w:rStyle w:val="Refdenotaalpie"/>
        </w:rPr>
        <w:footnoteReference w:id="12"/>
      </w:r>
      <w:r w:rsidRPr="00166A61">
        <w:t>.</w:t>
      </w:r>
    </w:p>
    <w:p w14:paraId="329089FE" w14:textId="77777777" w:rsidR="009335B3" w:rsidRPr="00166A61" w:rsidRDefault="009335B3" w:rsidP="009335B3">
      <w:pPr>
        <w:pStyle w:val="SingleTxtG"/>
        <w:rPr>
          <w:bCs/>
        </w:rPr>
      </w:pPr>
      <w:r w:rsidRPr="00166A61">
        <w:t>16.</w:t>
      </w:r>
      <w:r w:rsidRPr="00166A61">
        <w:tab/>
        <w:t>Medidas tomadas para prevenir el acoso a los docentes y estudiantes de las comunidades indígenas, incluido el acoso por parte de las Fuerzas Armadas de Filipinas, y para promover la cultura, las tradiciones y los conocimientos de los diversos pueblos indígenas del país.</w:t>
      </w:r>
    </w:p>
    <w:p w14:paraId="6E0AA91E" w14:textId="792E45FC" w:rsidR="009335B3" w:rsidRPr="00166A61" w:rsidRDefault="009335B3" w:rsidP="009335B3">
      <w:pPr>
        <w:pStyle w:val="H23G"/>
      </w:pPr>
      <w:r>
        <w:tab/>
      </w:r>
      <w:r>
        <w:tab/>
      </w:r>
      <w:r w:rsidRPr="00166A61">
        <w:t>Situación de los desplazados internos (art. 5)</w:t>
      </w:r>
    </w:p>
    <w:p w14:paraId="2A06C78E" w14:textId="77777777" w:rsidR="009335B3" w:rsidRPr="00166A61" w:rsidRDefault="009335B3" w:rsidP="009335B3">
      <w:pPr>
        <w:pStyle w:val="SingleTxtG"/>
      </w:pPr>
      <w:r w:rsidRPr="00166A61">
        <w:t>17.</w:t>
      </w:r>
      <w:r w:rsidRPr="00166A61">
        <w:tab/>
        <w:t>Medidas tomadas para que los desplazados internos puedan disfrutar de los derechos que los asisten en virtud del artículo 5 de la Convención, en particular el derecho a la seguridad y sus derechos económicos, sociales y culturales, e información actualizada sobre la situación de los proyectos de ley modificados relativos a los derechos de los desplazados internos</w:t>
      </w:r>
      <w:r w:rsidRPr="00166A61">
        <w:rPr>
          <w:rStyle w:val="Refdenotaalpie"/>
        </w:rPr>
        <w:footnoteReference w:id="13"/>
      </w:r>
      <w:r w:rsidRPr="00166A61">
        <w:t>.</w:t>
      </w:r>
    </w:p>
    <w:p w14:paraId="61225C8A" w14:textId="77777777" w:rsidR="009335B3" w:rsidRPr="00166A61" w:rsidRDefault="009335B3" w:rsidP="009335B3">
      <w:pPr>
        <w:pStyle w:val="H23G"/>
      </w:pPr>
      <w:r>
        <w:tab/>
      </w:r>
      <w:r w:rsidRPr="00166A61">
        <w:tab/>
        <w:t>No ciudadanos, refugiados, solicitantes de asilo y apátridas (arts. 2 y 5)</w:t>
      </w:r>
    </w:p>
    <w:p w14:paraId="7E44FEAF" w14:textId="77777777" w:rsidR="009335B3" w:rsidRPr="00166A61" w:rsidRDefault="009335B3" w:rsidP="009335B3">
      <w:pPr>
        <w:pStyle w:val="SingleTxtG"/>
      </w:pPr>
      <w:r w:rsidRPr="00166A61">
        <w:t>18.</w:t>
      </w:r>
      <w:r w:rsidRPr="00166A61">
        <w:tab/>
        <w:t>Información sobre las leyes y los mecanismos de aplicación para garantizar los derechos humanos básicos de los solicitantes de asilo y los refugiados, incluido el acceso sin discriminación a la educación, el mercado de trabajo, la vivienda y la atención de la salud.</w:t>
      </w:r>
    </w:p>
    <w:p w14:paraId="37EB76A3" w14:textId="7F3FBB6B" w:rsidR="009335B3" w:rsidRPr="00166A61" w:rsidRDefault="009335B3" w:rsidP="009335B3">
      <w:pPr>
        <w:pStyle w:val="H23G"/>
      </w:pPr>
      <w:r>
        <w:tab/>
      </w:r>
      <w:r>
        <w:tab/>
      </w:r>
      <w:r w:rsidRPr="00166A61">
        <w:t>Cursos de capacitación sobre discriminación racial (art. 7)</w:t>
      </w:r>
    </w:p>
    <w:p w14:paraId="43F838D9" w14:textId="22EE9696" w:rsidR="00381C24" w:rsidRDefault="009335B3" w:rsidP="009335B3">
      <w:pPr>
        <w:pStyle w:val="SingleTxtG"/>
      </w:pPr>
      <w:r w:rsidRPr="00166A61">
        <w:t>19.</w:t>
      </w:r>
      <w:r w:rsidRPr="00166A61">
        <w:tab/>
        <w:t>Información sobre las iniciativas educativas para combatir los prejuicios y mejorar la tolerancia y la convivencia, en particular en las escuelas, y sobre las actividades de capacitación específicamente relacionadas con la discriminación racial y los derechos consagrados en la Convención dirigidas a los profesionales de los medios de comunicación, los funcionarios encargados de hacer cumplir la ley, los jueces, los abogados y los representantes de los órganos estatales, las entidades de la administración local y las asociaciones pertinentes, así como sobre las repercusiones de esos programas de capacitación</w:t>
      </w:r>
      <w:r w:rsidRPr="00166A61">
        <w:rPr>
          <w:rStyle w:val="Refdenotaalpie"/>
        </w:rPr>
        <w:footnoteReference w:id="14"/>
      </w:r>
      <w:r w:rsidRPr="00166A61">
        <w:t>.</w:t>
      </w:r>
    </w:p>
    <w:p w14:paraId="3613D075" w14:textId="3130FBC9" w:rsidR="009335B3" w:rsidRPr="009335B3" w:rsidRDefault="009335B3" w:rsidP="009335B3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335B3" w:rsidRPr="009335B3" w:rsidSect="00815BD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A320" w14:textId="77777777" w:rsidR="00E06383" w:rsidRPr="00D43FF0" w:rsidRDefault="00E06383" w:rsidP="00D43FF0">
      <w:pPr>
        <w:pStyle w:val="Piedepgina"/>
      </w:pPr>
    </w:p>
  </w:endnote>
  <w:endnote w:type="continuationSeparator" w:id="0">
    <w:p w14:paraId="195A5F40" w14:textId="77777777" w:rsidR="00E06383" w:rsidRPr="00D43FF0" w:rsidRDefault="00E06383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32C4" w14:textId="3CCB80C6" w:rsidR="00815BDC" w:rsidRPr="00815BDC" w:rsidRDefault="00815BDC" w:rsidP="00815BDC">
    <w:pPr>
      <w:pStyle w:val="Piedepgina"/>
      <w:tabs>
        <w:tab w:val="right" w:pos="9638"/>
      </w:tabs>
    </w:pPr>
    <w:r w:rsidRPr="00815BDC">
      <w:rPr>
        <w:b/>
        <w:sz w:val="18"/>
      </w:rPr>
      <w:fldChar w:fldCharType="begin"/>
    </w:r>
    <w:r w:rsidRPr="00815BDC">
      <w:rPr>
        <w:b/>
        <w:sz w:val="18"/>
      </w:rPr>
      <w:instrText xml:space="preserve"> PAGE  \* MERGEFORMAT </w:instrText>
    </w:r>
    <w:r w:rsidRPr="00815BDC">
      <w:rPr>
        <w:b/>
        <w:sz w:val="18"/>
      </w:rPr>
      <w:fldChar w:fldCharType="separate"/>
    </w:r>
    <w:r w:rsidRPr="00815BDC">
      <w:rPr>
        <w:b/>
        <w:noProof/>
        <w:sz w:val="18"/>
      </w:rPr>
      <w:t>2</w:t>
    </w:r>
    <w:r w:rsidRPr="00815BDC">
      <w:rPr>
        <w:b/>
        <w:sz w:val="18"/>
      </w:rPr>
      <w:fldChar w:fldCharType="end"/>
    </w:r>
    <w:r>
      <w:rPr>
        <w:b/>
        <w:sz w:val="18"/>
      </w:rPr>
      <w:tab/>
    </w:r>
    <w:r>
      <w:t>GE.23-02558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7938" w14:textId="4BFCE2E9" w:rsidR="00815BDC" w:rsidRPr="00815BDC" w:rsidRDefault="00815BDC" w:rsidP="00815BDC">
    <w:pPr>
      <w:pStyle w:val="Piedepgina"/>
      <w:tabs>
        <w:tab w:val="right" w:pos="9638"/>
      </w:tabs>
      <w:rPr>
        <w:b/>
        <w:sz w:val="18"/>
      </w:rPr>
    </w:pPr>
    <w:r>
      <w:t>GE.23-02558</w:t>
    </w:r>
    <w:r>
      <w:tab/>
    </w:r>
    <w:r w:rsidRPr="00815BDC">
      <w:rPr>
        <w:b/>
        <w:sz w:val="18"/>
      </w:rPr>
      <w:fldChar w:fldCharType="begin"/>
    </w:r>
    <w:r w:rsidRPr="00815BDC">
      <w:rPr>
        <w:b/>
        <w:sz w:val="18"/>
      </w:rPr>
      <w:instrText xml:space="preserve"> PAGE  \* MERGEFORMAT </w:instrText>
    </w:r>
    <w:r w:rsidRPr="00815BDC">
      <w:rPr>
        <w:b/>
        <w:sz w:val="18"/>
      </w:rPr>
      <w:fldChar w:fldCharType="separate"/>
    </w:r>
    <w:r w:rsidRPr="00815BDC">
      <w:rPr>
        <w:b/>
        <w:noProof/>
        <w:sz w:val="18"/>
      </w:rPr>
      <w:t>3</w:t>
    </w:r>
    <w:r w:rsidRPr="00815B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3CEC" w14:textId="7FD6E4D9" w:rsidR="00C63C2A" w:rsidRPr="00815BDC" w:rsidRDefault="00815BDC" w:rsidP="00815BDC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</w:rPr>
      <w:drawing>
        <wp:anchor distT="0" distB="0" distL="114300" distR="114300" simplePos="0" relativeHeight="251657728" behindDoc="0" locked="1" layoutInCell="1" allowOverlap="1" wp14:anchorId="6CFCC08E" wp14:editId="22FF002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23-02558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A0A003D" wp14:editId="24E6B26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836">
      <w:rPr>
        <w:sz w:val="20"/>
      </w:rPr>
      <w:t xml:space="preserve">    100323    030423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F022" w14:textId="77777777" w:rsidR="00E06383" w:rsidRPr="001075E9" w:rsidRDefault="00E0638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AD3394" w14:textId="77777777" w:rsidR="00E06383" w:rsidRDefault="00E06383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3374211" w14:textId="73486989" w:rsidR="009335B3" w:rsidRPr="009335B3" w:rsidRDefault="009335B3">
      <w:pPr>
        <w:pStyle w:val="Textonotapie"/>
        <w:rPr>
          <w:sz w:val="20"/>
        </w:rPr>
      </w:pPr>
      <w:r>
        <w:tab/>
      </w:r>
      <w:r w:rsidRPr="009335B3">
        <w:rPr>
          <w:rStyle w:val="Refdenotaalpie"/>
          <w:sz w:val="20"/>
          <w:vertAlign w:val="baseline"/>
        </w:rPr>
        <w:t>*</w:t>
      </w:r>
      <w:r w:rsidRPr="009335B3">
        <w:rPr>
          <w:rStyle w:val="Refdenotaalpie"/>
          <w:vertAlign w:val="baseline"/>
        </w:rPr>
        <w:tab/>
      </w:r>
      <w:r w:rsidRPr="00166A61">
        <w:t>Se acordó publicar este documento tras la fecha prevista debido a circunstancias que escapan al control de quien lo presenta.</w:t>
      </w:r>
    </w:p>
  </w:footnote>
  <w:footnote w:id="2">
    <w:p w14:paraId="7A5E5904" w14:textId="7FDD06BE" w:rsidR="009335B3" w:rsidRPr="00166A61" w:rsidRDefault="009335B3" w:rsidP="009335B3">
      <w:pPr>
        <w:pStyle w:val="Textonotapie"/>
      </w:pPr>
      <w:r w:rsidRPr="00166A61">
        <w:tab/>
      </w:r>
      <w:r w:rsidRPr="00166A61">
        <w:rPr>
          <w:rStyle w:val="Refdenotaalpie"/>
        </w:rPr>
        <w:footnoteRef/>
      </w:r>
      <w:r w:rsidRPr="00166A61">
        <w:t xml:space="preserve"> </w:t>
      </w:r>
      <w:r w:rsidRPr="00166A61">
        <w:tab/>
      </w:r>
      <w:hyperlink r:id="rId1" w:history="1">
        <w:r w:rsidRPr="008E74F4">
          <w:rPr>
            <w:rStyle w:val="Hipervnculo"/>
          </w:rPr>
          <w:t>A/65/18</w:t>
        </w:r>
      </w:hyperlink>
      <w:r w:rsidRPr="00166A61">
        <w:t>, párr. 85.</w:t>
      </w:r>
    </w:p>
  </w:footnote>
  <w:footnote w:id="3">
    <w:p w14:paraId="1089E2BF" w14:textId="03A8957C" w:rsidR="009335B3" w:rsidRPr="00166A61" w:rsidRDefault="009335B3" w:rsidP="009335B3">
      <w:pPr>
        <w:pStyle w:val="Textonotapie"/>
      </w:pPr>
      <w:r w:rsidRPr="00166A61">
        <w:tab/>
      </w:r>
      <w:r w:rsidRPr="00166A61">
        <w:rPr>
          <w:rStyle w:val="Refdenotaalpie"/>
        </w:rPr>
        <w:footnoteRef/>
      </w:r>
      <w:r w:rsidRPr="00166A61">
        <w:tab/>
      </w:r>
      <w:hyperlink r:id="rId2" w:history="1">
        <w:proofErr w:type="spellStart"/>
        <w:r w:rsidRPr="008E74F4">
          <w:rPr>
            <w:rStyle w:val="Hipervnculo"/>
          </w:rPr>
          <w:t>CERD</w:t>
        </w:r>
        <w:proofErr w:type="spellEnd"/>
        <w:r w:rsidRPr="008E74F4">
          <w:rPr>
            <w:rStyle w:val="Hipervnculo"/>
          </w:rPr>
          <w:t>/C/</w:t>
        </w:r>
        <w:proofErr w:type="spellStart"/>
        <w:r w:rsidRPr="008E74F4">
          <w:rPr>
            <w:rStyle w:val="Hipervnculo"/>
          </w:rPr>
          <w:t>PHL</w:t>
        </w:r>
        <w:proofErr w:type="spellEnd"/>
        <w:r w:rsidRPr="008E74F4">
          <w:rPr>
            <w:rStyle w:val="Hipervnculo"/>
          </w:rPr>
          <w:t>/CO/20</w:t>
        </w:r>
      </w:hyperlink>
      <w:r w:rsidRPr="00166A61">
        <w:t xml:space="preserve">, párr. 17, y </w:t>
      </w:r>
      <w:hyperlink r:id="rId3" w:history="1">
        <w:proofErr w:type="spellStart"/>
        <w:r w:rsidRPr="008E74F4">
          <w:rPr>
            <w:rStyle w:val="Hipervnculo"/>
          </w:rPr>
          <w:t>CERD</w:t>
        </w:r>
        <w:proofErr w:type="spellEnd"/>
        <w:r w:rsidRPr="008E74F4">
          <w:rPr>
            <w:rStyle w:val="Hipervnculo"/>
          </w:rPr>
          <w:t>/C/</w:t>
        </w:r>
        <w:proofErr w:type="spellStart"/>
        <w:r w:rsidRPr="008E74F4">
          <w:rPr>
            <w:rStyle w:val="Hipervnculo"/>
          </w:rPr>
          <w:t>PHL</w:t>
        </w:r>
        <w:proofErr w:type="spellEnd"/>
        <w:r w:rsidRPr="008E74F4">
          <w:rPr>
            <w:rStyle w:val="Hipervnculo"/>
          </w:rPr>
          <w:t>/21-25</w:t>
        </w:r>
      </w:hyperlink>
      <w:r w:rsidRPr="00166A61">
        <w:t xml:space="preserve">, párrs. </w:t>
      </w:r>
      <w:r w:rsidRPr="00166A61">
        <w:rPr>
          <w:lang w:val="en-US"/>
        </w:rPr>
        <w:t>23 a 25.</w:t>
      </w:r>
    </w:p>
  </w:footnote>
  <w:footnote w:id="4">
    <w:p w14:paraId="14CC6945" w14:textId="276B34EB" w:rsidR="009335B3" w:rsidRPr="00166A61" w:rsidRDefault="009335B3" w:rsidP="009335B3">
      <w:pPr>
        <w:pStyle w:val="Textonotapie"/>
      </w:pPr>
      <w:r w:rsidRPr="00166A61">
        <w:rPr>
          <w:lang w:val="en-US"/>
        </w:rPr>
        <w:tab/>
      </w:r>
      <w:r w:rsidRPr="00166A61">
        <w:rPr>
          <w:rStyle w:val="Refdenotaalpie"/>
        </w:rPr>
        <w:footnoteRef/>
      </w:r>
      <w:r w:rsidRPr="00166A61">
        <w:rPr>
          <w:lang w:val="en-US"/>
        </w:rPr>
        <w:tab/>
      </w:r>
      <w:hyperlink r:id="rId4" w:history="1">
        <w:proofErr w:type="spellStart"/>
        <w:r w:rsidRPr="008E74F4">
          <w:rPr>
            <w:rStyle w:val="Hipervnculo"/>
            <w:lang w:val="en-US"/>
          </w:rPr>
          <w:t>CERD</w:t>
        </w:r>
        <w:proofErr w:type="spellEnd"/>
        <w:r w:rsidRPr="008E74F4">
          <w:rPr>
            <w:rStyle w:val="Hipervnculo"/>
            <w:lang w:val="en-US"/>
          </w:rPr>
          <w:t>/C/</w:t>
        </w:r>
        <w:proofErr w:type="spellStart"/>
        <w:r w:rsidRPr="008E74F4">
          <w:rPr>
            <w:rStyle w:val="Hipervnculo"/>
            <w:lang w:val="en-US"/>
          </w:rPr>
          <w:t>PHL</w:t>
        </w:r>
        <w:proofErr w:type="spellEnd"/>
        <w:r w:rsidRPr="008E74F4">
          <w:rPr>
            <w:rStyle w:val="Hipervnculo"/>
            <w:lang w:val="en-US"/>
          </w:rPr>
          <w:t>/CO/20</w:t>
        </w:r>
      </w:hyperlink>
      <w:r w:rsidRPr="00166A61">
        <w:rPr>
          <w:lang w:val="en-US"/>
        </w:rPr>
        <w:t xml:space="preserve">, párr. </w:t>
      </w:r>
      <w:r w:rsidRPr="00166A61">
        <w:t xml:space="preserve">14, y </w:t>
      </w:r>
      <w:hyperlink r:id="rId5" w:history="1">
        <w:proofErr w:type="spellStart"/>
        <w:r w:rsidRPr="008E74F4">
          <w:rPr>
            <w:rStyle w:val="Hipervnculo"/>
          </w:rPr>
          <w:t>CERD</w:t>
        </w:r>
        <w:proofErr w:type="spellEnd"/>
        <w:r w:rsidRPr="008E74F4">
          <w:rPr>
            <w:rStyle w:val="Hipervnculo"/>
          </w:rPr>
          <w:t>/C/</w:t>
        </w:r>
        <w:proofErr w:type="spellStart"/>
        <w:r w:rsidRPr="008E74F4">
          <w:rPr>
            <w:rStyle w:val="Hipervnculo"/>
          </w:rPr>
          <w:t>PHL</w:t>
        </w:r>
        <w:proofErr w:type="spellEnd"/>
        <w:r w:rsidRPr="008E74F4">
          <w:rPr>
            <w:rStyle w:val="Hipervnculo"/>
          </w:rPr>
          <w:t>/21-25</w:t>
        </w:r>
      </w:hyperlink>
      <w:r w:rsidRPr="00166A61">
        <w:t>, párrs. 8 a 13.</w:t>
      </w:r>
    </w:p>
  </w:footnote>
  <w:footnote w:id="5">
    <w:p w14:paraId="00EF322B" w14:textId="71D1B605" w:rsidR="009335B3" w:rsidRPr="00166A61" w:rsidRDefault="009335B3" w:rsidP="009335B3">
      <w:pPr>
        <w:pStyle w:val="Textonotapie"/>
      </w:pPr>
      <w:r w:rsidRPr="00166A61">
        <w:tab/>
      </w:r>
      <w:r w:rsidRPr="00166A61">
        <w:rPr>
          <w:rStyle w:val="Refdenotaalpie"/>
        </w:rPr>
        <w:footnoteRef/>
      </w:r>
      <w:r w:rsidRPr="00166A61">
        <w:rPr>
          <w:lang w:val="en-US"/>
        </w:rPr>
        <w:tab/>
      </w:r>
      <w:hyperlink r:id="rId6" w:history="1">
        <w:proofErr w:type="spellStart"/>
        <w:r w:rsidRPr="008E74F4">
          <w:rPr>
            <w:rStyle w:val="Hipervnculo"/>
            <w:lang w:val="en-US"/>
          </w:rPr>
          <w:t>CERD</w:t>
        </w:r>
        <w:proofErr w:type="spellEnd"/>
        <w:r w:rsidRPr="008E74F4">
          <w:rPr>
            <w:rStyle w:val="Hipervnculo"/>
            <w:lang w:val="en-US"/>
          </w:rPr>
          <w:t>/C/</w:t>
        </w:r>
        <w:proofErr w:type="spellStart"/>
        <w:r w:rsidRPr="008E74F4">
          <w:rPr>
            <w:rStyle w:val="Hipervnculo"/>
            <w:lang w:val="en-US"/>
          </w:rPr>
          <w:t>PHL</w:t>
        </w:r>
        <w:proofErr w:type="spellEnd"/>
        <w:r w:rsidRPr="008E74F4">
          <w:rPr>
            <w:rStyle w:val="Hipervnculo"/>
            <w:lang w:val="en-US"/>
          </w:rPr>
          <w:t>/CO/20</w:t>
        </w:r>
      </w:hyperlink>
      <w:r w:rsidRPr="00166A61">
        <w:rPr>
          <w:lang w:val="en-US"/>
        </w:rPr>
        <w:t xml:space="preserve">, párr. </w:t>
      </w:r>
      <w:r w:rsidRPr="00166A61">
        <w:t xml:space="preserve">15, y </w:t>
      </w:r>
      <w:hyperlink r:id="rId7" w:history="1">
        <w:proofErr w:type="spellStart"/>
        <w:r w:rsidRPr="008E74F4">
          <w:rPr>
            <w:rStyle w:val="Hipervnculo"/>
          </w:rPr>
          <w:t>CERD</w:t>
        </w:r>
        <w:proofErr w:type="spellEnd"/>
        <w:r w:rsidRPr="008E74F4">
          <w:rPr>
            <w:rStyle w:val="Hipervnculo"/>
          </w:rPr>
          <w:t>/C/</w:t>
        </w:r>
        <w:proofErr w:type="spellStart"/>
        <w:r w:rsidRPr="008E74F4">
          <w:rPr>
            <w:rStyle w:val="Hipervnculo"/>
          </w:rPr>
          <w:t>PHL</w:t>
        </w:r>
        <w:proofErr w:type="spellEnd"/>
        <w:r w:rsidRPr="008E74F4">
          <w:rPr>
            <w:rStyle w:val="Hipervnculo"/>
          </w:rPr>
          <w:t>/21-25</w:t>
        </w:r>
      </w:hyperlink>
      <w:r w:rsidRPr="00166A61">
        <w:t>, párrs. 14 a 21.</w:t>
      </w:r>
    </w:p>
  </w:footnote>
  <w:footnote w:id="6">
    <w:p w14:paraId="736454A4" w14:textId="4FB140A1" w:rsidR="009335B3" w:rsidRPr="00166A61" w:rsidRDefault="009335B3" w:rsidP="009335B3">
      <w:pPr>
        <w:pStyle w:val="Textonotapie"/>
      </w:pPr>
      <w:r w:rsidRPr="00166A61">
        <w:tab/>
      </w:r>
      <w:r w:rsidRPr="00166A61">
        <w:rPr>
          <w:rStyle w:val="Refdenotaalpie"/>
        </w:rPr>
        <w:footnoteRef/>
      </w:r>
      <w:r w:rsidRPr="00166A61">
        <w:rPr>
          <w:lang w:val="en-US"/>
        </w:rPr>
        <w:tab/>
      </w:r>
      <w:hyperlink r:id="rId8" w:history="1">
        <w:proofErr w:type="spellStart"/>
        <w:r w:rsidRPr="008E74F4">
          <w:rPr>
            <w:rStyle w:val="Hipervnculo"/>
            <w:lang w:val="en-US"/>
          </w:rPr>
          <w:t>CERD</w:t>
        </w:r>
        <w:proofErr w:type="spellEnd"/>
        <w:r w:rsidRPr="008E74F4">
          <w:rPr>
            <w:rStyle w:val="Hipervnculo"/>
            <w:lang w:val="en-US"/>
          </w:rPr>
          <w:t>/C/</w:t>
        </w:r>
        <w:proofErr w:type="spellStart"/>
        <w:r w:rsidRPr="008E74F4">
          <w:rPr>
            <w:rStyle w:val="Hipervnculo"/>
            <w:lang w:val="en-US"/>
          </w:rPr>
          <w:t>PHL</w:t>
        </w:r>
        <w:proofErr w:type="spellEnd"/>
        <w:r w:rsidRPr="008E74F4">
          <w:rPr>
            <w:rStyle w:val="Hipervnculo"/>
            <w:lang w:val="en-US"/>
          </w:rPr>
          <w:t>/CO/20</w:t>
        </w:r>
      </w:hyperlink>
      <w:r w:rsidRPr="00166A61">
        <w:rPr>
          <w:lang w:val="en-US"/>
        </w:rPr>
        <w:t xml:space="preserve">, párr. </w:t>
      </w:r>
      <w:r w:rsidRPr="00166A61">
        <w:t xml:space="preserve">21, y </w:t>
      </w:r>
      <w:hyperlink r:id="rId9" w:history="1">
        <w:proofErr w:type="spellStart"/>
        <w:r w:rsidRPr="008E74F4">
          <w:rPr>
            <w:rStyle w:val="Hipervnculo"/>
          </w:rPr>
          <w:t>CERD</w:t>
        </w:r>
        <w:proofErr w:type="spellEnd"/>
        <w:r w:rsidRPr="008E74F4">
          <w:rPr>
            <w:rStyle w:val="Hipervnculo"/>
          </w:rPr>
          <w:t>/C/</w:t>
        </w:r>
        <w:proofErr w:type="spellStart"/>
        <w:r w:rsidRPr="008E74F4">
          <w:rPr>
            <w:rStyle w:val="Hipervnculo"/>
          </w:rPr>
          <w:t>PHL</w:t>
        </w:r>
        <w:proofErr w:type="spellEnd"/>
        <w:r w:rsidRPr="008E74F4">
          <w:rPr>
            <w:rStyle w:val="Hipervnculo"/>
          </w:rPr>
          <w:t>/21-25</w:t>
        </w:r>
      </w:hyperlink>
      <w:r w:rsidRPr="00166A61">
        <w:t>, párrs. 106 y 107.</w:t>
      </w:r>
    </w:p>
  </w:footnote>
  <w:footnote w:id="7">
    <w:p w14:paraId="6B0FFA2F" w14:textId="37E61A4C" w:rsidR="009335B3" w:rsidRPr="00166A61" w:rsidRDefault="009335B3" w:rsidP="009335B3">
      <w:pPr>
        <w:pStyle w:val="Textonotapie"/>
      </w:pPr>
      <w:r w:rsidRPr="00166A61">
        <w:tab/>
      </w:r>
      <w:r w:rsidRPr="00166A61">
        <w:rPr>
          <w:rStyle w:val="Refdenotaalpie"/>
        </w:rPr>
        <w:footnoteRef/>
      </w:r>
      <w:r w:rsidRPr="00166A61">
        <w:rPr>
          <w:lang w:val="en-US"/>
        </w:rPr>
        <w:tab/>
      </w:r>
      <w:hyperlink r:id="rId10" w:history="1">
        <w:proofErr w:type="spellStart"/>
        <w:r w:rsidRPr="008E74F4">
          <w:rPr>
            <w:rStyle w:val="Hipervnculo"/>
            <w:lang w:val="en-US"/>
          </w:rPr>
          <w:t>CERD</w:t>
        </w:r>
        <w:proofErr w:type="spellEnd"/>
        <w:r w:rsidRPr="008E74F4">
          <w:rPr>
            <w:rStyle w:val="Hipervnculo"/>
            <w:lang w:val="en-US"/>
          </w:rPr>
          <w:t>/C/</w:t>
        </w:r>
        <w:proofErr w:type="spellStart"/>
        <w:r w:rsidRPr="008E74F4">
          <w:rPr>
            <w:rStyle w:val="Hipervnculo"/>
            <w:lang w:val="en-US"/>
          </w:rPr>
          <w:t>PHL</w:t>
        </w:r>
        <w:proofErr w:type="spellEnd"/>
        <w:r w:rsidRPr="008E74F4">
          <w:rPr>
            <w:rStyle w:val="Hipervnculo"/>
            <w:lang w:val="en-US"/>
          </w:rPr>
          <w:t>/CO/20</w:t>
        </w:r>
      </w:hyperlink>
      <w:r w:rsidRPr="00166A61">
        <w:rPr>
          <w:lang w:val="en-US"/>
        </w:rPr>
        <w:t xml:space="preserve">, párr. </w:t>
      </w:r>
      <w:r w:rsidRPr="00166A61">
        <w:t xml:space="preserve">16, y </w:t>
      </w:r>
      <w:hyperlink r:id="rId11" w:history="1">
        <w:proofErr w:type="spellStart"/>
        <w:r w:rsidRPr="008E74F4">
          <w:rPr>
            <w:rStyle w:val="Hipervnculo"/>
          </w:rPr>
          <w:t>CERD</w:t>
        </w:r>
        <w:proofErr w:type="spellEnd"/>
        <w:r w:rsidRPr="008E74F4">
          <w:rPr>
            <w:rStyle w:val="Hipervnculo"/>
          </w:rPr>
          <w:t>/C/</w:t>
        </w:r>
        <w:proofErr w:type="spellStart"/>
        <w:r w:rsidRPr="008E74F4">
          <w:rPr>
            <w:rStyle w:val="Hipervnculo"/>
          </w:rPr>
          <w:t>PHL</w:t>
        </w:r>
        <w:proofErr w:type="spellEnd"/>
        <w:r w:rsidRPr="008E74F4">
          <w:rPr>
            <w:rStyle w:val="Hipervnculo"/>
          </w:rPr>
          <w:t>/21-25</w:t>
        </w:r>
      </w:hyperlink>
      <w:r w:rsidRPr="00166A61">
        <w:t xml:space="preserve">, párr. </w:t>
      </w:r>
      <w:r w:rsidRPr="00166A61">
        <w:rPr>
          <w:lang w:val="en-US"/>
        </w:rPr>
        <w:t>22.</w:t>
      </w:r>
    </w:p>
  </w:footnote>
  <w:footnote w:id="8">
    <w:p w14:paraId="5EFDC3F3" w14:textId="6E98618F" w:rsidR="009335B3" w:rsidRPr="00166A61" w:rsidRDefault="009335B3" w:rsidP="009335B3">
      <w:pPr>
        <w:pStyle w:val="Textonotapie"/>
      </w:pPr>
      <w:r w:rsidRPr="00166A61">
        <w:rPr>
          <w:lang w:val="en-US"/>
        </w:rPr>
        <w:tab/>
      </w:r>
      <w:r w:rsidRPr="00166A61">
        <w:rPr>
          <w:rStyle w:val="Refdenotaalpie"/>
        </w:rPr>
        <w:footnoteRef/>
      </w:r>
      <w:r w:rsidRPr="00166A61">
        <w:rPr>
          <w:lang w:val="en-US"/>
        </w:rPr>
        <w:tab/>
      </w:r>
      <w:hyperlink r:id="rId12" w:history="1">
        <w:proofErr w:type="spellStart"/>
        <w:r w:rsidRPr="008E74F4">
          <w:rPr>
            <w:rStyle w:val="Hipervnculo"/>
            <w:lang w:val="en-US"/>
          </w:rPr>
          <w:t>CERD</w:t>
        </w:r>
        <w:proofErr w:type="spellEnd"/>
        <w:r w:rsidRPr="008E74F4">
          <w:rPr>
            <w:rStyle w:val="Hipervnculo"/>
            <w:lang w:val="en-US"/>
          </w:rPr>
          <w:t>/C/</w:t>
        </w:r>
        <w:proofErr w:type="spellStart"/>
        <w:r w:rsidRPr="008E74F4">
          <w:rPr>
            <w:rStyle w:val="Hipervnculo"/>
            <w:lang w:val="en-US"/>
          </w:rPr>
          <w:t>PHL</w:t>
        </w:r>
        <w:proofErr w:type="spellEnd"/>
        <w:r w:rsidRPr="008E74F4">
          <w:rPr>
            <w:rStyle w:val="Hipervnculo"/>
            <w:lang w:val="en-US"/>
          </w:rPr>
          <w:t>/CO/20</w:t>
        </w:r>
      </w:hyperlink>
      <w:r w:rsidRPr="00166A61">
        <w:rPr>
          <w:lang w:val="en-US"/>
        </w:rPr>
        <w:t xml:space="preserve">, párr. </w:t>
      </w:r>
      <w:r w:rsidRPr="00166A61">
        <w:t xml:space="preserve">20, y </w:t>
      </w:r>
      <w:hyperlink r:id="rId13" w:history="1">
        <w:proofErr w:type="spellStart"/>
        <w:r w:rsidRPr="008E74F4">
          <w:rPr>
            <w:rStyle w:val="Hipervnculo"/>
          </w:rPr>
          <w:t>CERD</w:t>
        </w:r>
        <w:proofErr w:type="spellEnd"/>
        <w:r w:rsidRPr="008E74F4">
          <w:rPr>
            <w:rStyle w:val="Hipervnculo"/>
          </w:rPr>
          <w:t>/C/</w:t>
        </w:r>
        <w:proofErr w:type="spellStart"/>
        <w:r w:rsidRPr="008E74F4">
          <w:rPr>
            <w:rStyle w:val="Hipervnculo"/>
          </w:rPr>
          <w:t>PHL</w:t>
        </w:r>
        <w:proofErr w:type="spellEnd"/>
        <w:r w:rsidRPr="008E74F4">
          <w:rPr>
            <w:rStyle w:val="Hipervnculo"/>
          </w:rPr>
          <w:t>/21-25</w:t>
        </w:r>
      </w:hyperlink>
      <w:r w:rsidRPr="00166A61">
        <w:t>, párrs. 100 a 104.</w:t>
      </w:r>
    </w:p>
  </w:footnote>
  <w:footnote w:id="9">
    <w:p w14:paraId="48532A40" w14:textId="5BBC3315" w:rsidR="009335B3" w:rsidRPr="00166A61" w:rsidRDefault="009335B3" w:rsidP="009335B3">
      <w:pPr>
        <w:pStyle w:val="Textonotapie"/>
      </w:pPr>
      <w:r w:rsidRPr="00166A61">
        <w:tab/>
      </w:r>
      <w:r w:rsidRPr="00166A61">
        <w:rPr>
          <w:rStyle w:val="Refdenotaalpie"/>
        </w:rPr>
        <w:footnoteRef/>
      </w:r>
      <w:r w:rsidRPr="00166A61">
        <w:rPr>
          <w:lang w:val="en-US"/>
        </w:rPr>
        <w:tab/>
      </w:r>
      <w:hyperlink r:id="rId14" w:history="1">
        <w:proofErr w:type="spellStart"/>
        <w:r w:rsidRPr="008E74F4">
          <w:rPr>
            <w:rStyle w:val="Hipervnculo"/>
            <w:lang w:val="en-US"/>
          </w:rPr>
          <w:t>CERD</w:t>
        </w:r>
        <w:proofErr w:type="spellEnd"/>
        <w:r w:rsidRPr="008E74F4">
          <w:rPr>
            <w:rStyle w:val="Hipervnculo"/>
            <w:lang w:val="en-US"/>
          </w:rPr>
          <w:t>/C/</w:t>
        </w:r>
        <w:proofErr w:type="spellStart"/>
        <w:r w:rsidRPr="008E74F4">
          <w:rPr>
            <w:rStyle w:val="Hipervnculo"/>
            <w:lang w:val="en-US"/>
          </w:rPr>
          <w:t>PHL</w:t>
        </w:r>
        <w:proofErr w:type="spellEnd"/>
        <w:r w:rsidRPr="008E74F4">
          <w:rPr>
            <w:rStyle w:val="Hipervnculo"/>
            <w:lang w:val="en-US"/>
          </w:rPr>
          <w:t>/CO/20</w:t>
        </w:r>
      </w:hyperlink>
      <w:r w:rsidRPr="00166A61">
        <w:rPr>
          <w:lang w:val="en-US"/>
        </w:rPr>
        <w:t xml:space="preserve">, párr. </w:t>
      </w:r>
      <w:r w:rsidRPr="00166A61">
        <w:t xml:space="preserve">22, y </w:t>
      </w:r>
      <w:hyperlink r:id="rId15" w:history="1">
        <w:proofErr w:type="spellStart"/>
        <w:r w:rsidRPr="008E74F4">
          <w:rPr>
            <w:rStyle w:val="Hipervnculo"/>
          </w:rPr>
          <w:t>CERD</w:t>
        </w:r>
        <w:proofErr w:type="spellEnd"/>
        <w:r w:rsidRPr="008E74F4">
          <w:rPr>
            <w:rStyle w:val="Hipervnculo"/>
          </w:rPr>
          <w:t>/C/</w:t>
        </w:r>
        <w:proofErr w:type="spellStart"/>
        <w:r w:rsidRPr="008E74F4">
          <w:rPr>
            <w:rStyle w:val="Hipervnculo"/>
          </w:rPr>
          <w:t>PHL</w:t>
        </w:r>
        <w:proofErr w:type="spellEnd"/>
        <w:r w:rsidRPr="008E74F4">
          <w:rPr>
            <w:rStyle w:val="Hipervnculo"/>
          </w:rPr>
          <w:t>/21-25</w:t>
        </w:r>
      </w:hyperlink>
      <w:r w:rsidRPr="00166A61">
        <w:t>, párrs. 108 a 113.</w:t>
      </w:r>
    </w:p>
  </w:footnote>
  <w:footnote w:id="10">
    <w:p w14:paraId="3988C572" w14:textId="3BABD86A" w:rsidR="009335B3" w:rsidRPr="00166A61" w:rsidRDefault="009335B3" w:rsidP="009335B3">
      <w:pPr>
        <w:pStyle w:val="Textonotapie"/>
      </w:pPr>
      <w:r w:rsidRPr="00166A61">
        <w:tab/>
      </w:r>
      <w:r w:rsidRPr="00166A61">
        <w:rPr>
          <w:rStyle w:val="Refdenotaalpie"/>
        </w:rPr>
        <w:footnoteRef/>
      </w:r>
      <w:r w:rsidRPr="00166A61">
        <w:rPr>
          <w:lang w:val="en-US"/>
        </w:rPr>
        <w:tab/>
      </w:r>
      <w:hyperlink r:id="rId16" w:history="1">
        <w:proofErr w:type="spellStart"/>
        <w:r w:rsidRPr="008E74F4">
          <w:rPr>
            <w:rStyle w:val="Hipervnculo"/>
            <w:lang w:val="en-US"/>
          </w:rPr>
          <w:t>CERD</w:t>
        </w:r>
        <w:proofErr w:type="spellEnd"/>
        <w:r w:rsidRPr="008E74F4">
          <w:rPr>
            <w:rStyle w:val="Hipervnculo"/>
            <w:lang w:val="en-US"/>
          </w:rPr>
          <w:t>/C/</w:t>
        </w:r>
        <w:proofErr w:type="spellStart"/>
        <w:r w:rsidRPr="008E74F4">
          <w:rPr>
            <w:rStyle w:val="Hipervnculo"/>
            <w:lang w:val="en-US"/>
          </w:rPr>
          <w:t>PHL</w:t>
        </w:r>
        <w:proofErr w:type="spellEnd"/>
        <w:r w:rsidRPr="008E74F4">
          <w:rPr>
            <w:rStyle w:val="Hipervnculo"/>
            <w:lang w:val="en-US"/>
          </w:rPr>
          <w:t>/CO/20</w:t>
        </w:r>
      </w:hyperlink>
      <w:r w:rsidRPr="00166A61">
        <w:rPr>
          <w:lang w:val="en-US"/>
        </w:rPr>
        <w:t xml:space="preserve">, párr. </w:t>
      </w:r>
      <w:r w:rsidRPr="00166A61">
        <w:t xml:space="preserve">24, y </w:t>
      </w:r>
      <w:hyperlink r:id="rId17" w:history="1">
        <w:proofErr w:type="spellStart"/>
        <w:r w:rsidRPr="008E74F4">
          <w:rPr>
            <w:rStyle w:val="Hipervnculo"/>
          </w:rPr>
          <w:t>CERD</w:t>
        </w:r>
        <w:proofErr w:type="spellEnd"/>
        <w:r w:rsidRPr="008E74F4">
          <w:rPr>
            <w:rStyle w:val="Hipervnculo"/>
          </w:rPr>
          <w:t>/C/</w:t>
        </w:r>
        <w:proofErr w:type="spellStart"/>
        <w:r w:rsidRPr="008E74F4">
          <w:rPr>
            <w:rStyle w:val="Hipervnculo"/>
          </w:rPr>
          <w:t>PHL</w:t>
        </w:r>
        <w:proofErr w:type="spellEnd"/>
        <w:r w:rsidRPr="008E74F4">
          <w:rPr>
            <w:rStyle w:val="Hipervnculo"/>
          </w:rPr>
          <w:t>/21-25</w:t>
        </w:r>
      </w:hyperlink>
      <w:r w:rsidRPr="00166A61">
        <w:t>, párrs. 116 a 120.</w:t>
      </w:r>
    </w:p>
  </w:footnote>
  <w:footnote w:id="11">
    <w:p w14:paraId="4F0B8B58" w14:textId="6717229A" w:rsidR="009335B3" w:rsidRPr="00166A61" w:rsidRDefault="009335B3" w:rsidP="009335B3">
      <w:pPr>
        <w:pStyle w:val="Textonotapie"/>
      </w:pPr>
      <w:r w:rsidRPr="00166A61">
        <w:tab/>
      </w:r>
      <w:r w:rsidRPr="00166A61">
        <w:rPr>
          <w:rStyle w:val="Refdenotaalpie"/>
        </w:rPr>
        <w:footnoteRef/>
      </w:r>
      <w:r w:rsidRPr="00166A61">
        <w:rPr>
          <w:lang w:val="en-US"/>
        </w:rPr>
        <w:tab/>
      </w:r>
      <w:hyperlink r:id="rId18" w:history="1">
        <w:proofErr w:type="spellStart"/>
        <w:r w:rsidRPr="008E74F4">
          <w:rPr>
            <w:rStyle w:val="Hipervnculo"/>
            <w:lang w:val="en-US"/>
          </w:rPr>
          <w:t>CERD</w:t>
        </w:r>
        <w:proofErr w:type="spellEnd"/>
        <w:r w:rsidRPr="008E74F4">
          <w:rPr>
            <w:rStyle w:val="Hipervnculo"/>
            <w:lang w:val="en-US"/>
          </w:rPr>
          <w:t>/C/</w:t>
        </w:r>
        <w:proofErr w:type="spellStart"/>
        <w:r w:rsidRPr="008E74F4">
          <w:rPr>
            <w:rStyle w:val="Hipervnculo"/>
            <w:lang w:val="en-US"/>
          </w:rPr>
          <w:t>PHL</w:t>
        </w:r>
        <w:proofErr w:type="spellEnd"/>
        <w:r w:rsidRPr="008E74F4">
          <w:rPr>
            <w:rStyle w:val="Hipervnculo"/>
            <w:lang w:val="en-US"/>
          </w:rPr>
          <w:t>/CO/20</w:t>
        </w:r>
      </w:hyperlink>
      <w:r w:rsidRPr="00166A61">
        <w:rPr>
          <w:lang w:val="en-US"/>
        </w:rPr>
        <w:t xml:space="preserve">, párr. </w:t>
      </w:r>
      <w:r w:rsidRPr="00166A61">
        <w:t xml:space="preserve">22, y </w:t>
      </w:r>
      <w:hyperlink r:id="rId19" w:history="1">
        <w:proofErr w:type="spellStart"/>
        <w:r w:rsidRPr="008E74F4">
          <w:rPr>
            <w:rStyle w:val="Hipervnculo"/>
          </w:rPr>
          <w:t>CERD</w:t>
        </w:r>
        <w:proofErr w:type="spellEnd"/>
        <w:r w:rsidRPr="008E74F4">
          <w:rPr>
            <w:rStyle w:val="Hipervnculo"/>
          </w:rPr>
          <w:t>/C/</w:t>
        </w:r>
        <w:proofErr w:type="spellStart"/>
        <w:r w:rsidRPr="008E74F4">
          <w:rPr>
            <w:rStyle w:val="Hipervnculo"/>
          </w:rPr>
          <w:t>PHL</w:t>
        </w:r>
        <w:proofErr w:type="spellEnd"/>
        <w:r w:rsidRPr="008E74F4">
          <w:rPr>
            <w:rStyle w:val="Hipervnculo"/>
          </w:rPr>
          <w:t>/21-25</w:t>
        </w:r>
      </w:hyperlink>
      <w:r w:rsidRPr="00166A61">
        <w:t>, párrs. 108 a 113.</w:t>
      </w:r>
    </w:p>
  </w:footnote>
  <w:footnote w:id="12">
    <w:p w14:paraId="08ED7C26" w14:textId="7B52B421" w:rsidR="009335B3" w:rsidRPr="00166A61" w:rsidRDefault="009335B3" w:rsidP="009335B3">
      <w:pPr>
        <w:pStyle w:val="Textonotapie"/>
      </w:pPr>
      <w:r w:rsidRPr="00166A61">
        <w:tab/>
      </w:r>
      <w:r w:rsidRPr="00166A61">
        <w:rPr>
          <w:rStyle w:val="Refdenotaalpie"/>
        </w:rPr>
        <w:footnoteRef/>
      </w:r>
      <w:r w:rsidRPr="00166A61">
        <w:rPr>
          <w:lang w:val="en-US"/>
        </w:rPr>
        <w:tab/>
      </w:r>
      <w:hyperlink r:id="rId20" w:history="1">
        <w:proofErr w:type="spellStart"/>
        <w:r w:rsidRPr="008E74F4">
          <w:rPr>
            <w:rStyle w:val="Hipervnculo"/>
            <w:lang w:val="en-US"/>
          </w:rPr>
          <w:t>CERD</w:t>
        </w:r>
        <w:proofErr w:type="spellEnd"/>
        <w:r w:rsidRPr="008E74F4">
          <w:rPr>
            <w:rStyle w:val="Hipervnculo"/>
            <w:lang w:val="en-US"/>
          </w:rPr>
          <w:t>/C/</w:t>
        </w:r>
        <w:proofErr w:type="spellStart"/>
        <w:r w:rsidRPr="008E74F4">
          <w:rPr>
            <w:rStyle w:val="Hipervnculo"/>
            <w:lang w:val="en-US"/>
          </w:rPr>
          <w:t>PHL</w:t>
        </w:r>
        <w:proofErr w:type="spellEnd"/>
        <w:r w:rsidRPr="008E74F4">
          <w:rPr>
            <w:rStyle w:val="Hipervnculo"/>
            <w:lang w:val="en-US"/>
          </w:rPr>
          <w:t>/CO/20</w:t>
        </w:r>
      </w:hyperlink>
      <w:r w:rsidRPr="00166A61">
        <w:rPr>
          <w:lang w:val="en-US"/>
        </w:rPr>
        <w:t xml:space="preserve">, párr. </w:t>
      </w:r>
      <w:r w:rsidRPr="00166A61">
        <w:t xml:space="preserve">18, y </w:t>
      </w:r>
      <w:hyperlink r:id="rId21" w:history="1">
        <w:proofErr w:type="spellStart"/>
        <w:r w:rsidRPr="008E74F4">
          <w:rPr>
            <w:rStyle w:val="Hipervnculo"/>
          </w:rPr>
          <w:t>CERD</w:t>
        </w:r>
        <w:proofErr w:type="spellEnd"/>
        <w:r w:rsidRPr="008E74F4">
          <w:rPr>
            <w:rStyle w:val="Hipervnculo"/>
          </w:rPr>
          <w:t>/C/</w:t>
        </w:r>
        <w:proofErr w:type="spellStart"/>
        <w:r w:rsidRPr="008E74F4">
          <w:rPr>
            <w:rStyle w:val="Hipervnculo"/>
          </w:rPr>
          <w:t>PHL</w:t>
        </w:r>
        <w:proofErr w:type="spellEnd"/>
        <w:r w:rsidRPr="008E74F4">
          <w:rPr>
            <w:rStyle w:val="Hipervnculo"/>
          </w:rPr>
          <w:t>/21-25</w:t>
        </w:r>
      </w:hyperlink>
      <w:r w:rsidRPr="00166A61">
        <w:t>, párrs. 26 a 42.</w:t>
      </w:r>
    </w:p>
  </w:footnote>
  <w:footnote w:id="13">
    <w:p w14:paraId="19C074BB" w14:textId="26592765" w:rsidR="009335B3" w:rsidRPr="00166A61" w:rsidRDefault="009335B3" w:rsidP="009335B3">
      <w:pPr>
        <w:pStyle w:val="Textonotapie"/>
      </w:pPr>
      <w:r w:rsidRPr="00166A61">
        <w:tab/>
      </w:r>
      <w:r w:rsidRPr="00166A61">
        <w:rPr>
          <w:rStyle w:val="Refdenotaalpie"/>
        </w:rPr>
        <w:footnoteRef/>
      </w:r>
      <w:r w:rsidRPr="00166A61">
        <w:rPr>
          <w:lang w:val="en-US"/>
        </w:rPr>
        <w:tab/>
      </w:r>
      <w:hyperlink r:id="rId22" w:history="1">
        <w:proofErr w:type="spellStart"/>
        <w:r w:rsidRPr="008E74F4">
          <w:rPr>
            <w:rStyle w:val="Hipervnculo"/>
            <w:lang w:val="en-US"/>
          </w:rPr>
          <w:t>CERD</w:t>
        </w:r>
        <w:proofErr w:type="spellEnd"/>
        <w:r w:rsidRPr="008E74F4">
          <w:rPr>
            <w:rStyle w:val="Hipervnculo"/>
            <w:lang w:val="en-US"/>
          </w:rPr>
          <w:t>/C/</w:t>
        </w:r>
        <w:proofErr w:type="spellStart"/>
        <w:r w:rsidRPr="008E74F4">
          <w:rPr>
            <w:rStyle w:val="Hipervnculo"/>
            <w:lang w:val="en-US"/>
          </w:rPr>
          <w:t>PHL</w:t>
        </w:r>
        <w:proofErr w:type="spellEnd"/>
        <w:r w:rsidRPr="008E74F4">
          <w:rPr>
            <w:rStyle w:val="Hipervnculo"/>
            <w:lang w:val="en-US"/>
          </w:rPr>
          <w:t>/CO/20</w:t>
        </w:r>
      </w:hyperlink>
      <w:r w:rsidRPr="00166A61">
        <w:rPr>
          <w:lang w:val="en-US"/>
        </w:rPr>
        <w:t xml:space="preserve">, párr. </w:t>
      </w:r>
      <w:r w:rsidRPr="00166A61">
        <w:t xml:space="preserve">19, y </w:t>
      </w:r>
      <w:hyperlink r:id="rId23" w:history="1">
        <w:proofErr w:type="spellStart"/>
        <w:r w:rsidRPr="008E74F4">
          <w:rPr>
            <w:rStyle w:val="Hipervnculo"/>
          </w:rPr>
          <w:t>CERD</w:t>
        </w:r>
        <w:proofErr w:type="spellEnd"/>
        <w:r w:rsidRPr="008E74F4">
          <w:rPr>
            <w:rStyle w:val="Hipervnculo"/>
          </w:rPr>
          <w:t>/C/</w:t>
        </w:r>
        <w:proofErr w:type="spellStart"/>
        <w:r w:rsidRPr="008E74F4">
          <w:rPr>
            <w:rStyle w:val="Hipervnculo"/>
          </w:rPr>
          <w:t>PHL</w:t>
        </w:r>
        <w:proofErr w:type="spellEnd"/>
        <w:r w:rsidRPr="008E74F4">
          <w:rPr>
            <w:rStyle w:val="Hipervnculo"/>
          </w:rPr>
          <w:t>/21-25</w:t>
        </w:r>
      </w:hyperlink>
      <w:r w:rsidRPr="00166A61">
        <w:t>, párrs. 92 a 99.</w:t>
      </w:r>
    </w:p>
  </w:footnote>
  <w:footnote w:id="14">
    <w:p w14:paraId="074AE2E2" w14:textId="2F70FA53" w:rsidR="009335B3" w:rsidRPr="00166A61" w:rsidRDefault="009335B3" w:rsidP="009335B3">
      <w:pPr>
        <w:pStyle w:val="Textonotapie"/>
      </w:pPr>
      <w:r w:rsidRPr="00166A61">
        <w:tab/>
      </w:r>
      <w:r w:rsidRPr="00166A61">
        <w:rPr>
          <w:rStyle w:val="Refdenotaalpie"/>
        </w:rPr>
        <w:footnoteRef/>
      </w:r>
      <w:r w:rsidRPr="00166A61">
        <w:tab/>
      </w:r>
      <w:hyperlink r:id="rId24" w:history="1">
        <w:proofErr w:type="spellStart"/>
        <w:r w:rsidRPr="008E74F4">
          <w:rPr>
            <w:rStyle w:val="Hipervnculo"/>
          </w:rPr>
          <w:t>CERD</w:t>
        </w:r>
        <w:proofErr w:type="spellEnd"/>
        <w:r w:rsidRPr="008E74F4">
          <w:rPr>
            <w:rStyle w:val="Hipervnculo"/>
          </w:rPr>
          <w:t>/C/</w:t>
        </w:r>
        <w:proofErr w:type="spellStart"/>
        <w:r w:rsidRPr="008E74F4">
          <w:rPr>
            <w:rStyle w:val="Hipervnculo"/>
          </w:rPr>
          <w:t>PHL</w:t>
        </w:r>
        <w:proofErr w:type="spellEnd"/>
        <w:r w:rsidRPr="008E74F4">
          <w:rPr>
            <w:rStyle w:val="Hipervnculo"/>
          </w:rPr>
          <w:t>/21-25</w:t>
        </w:r>
      </w:hyperlink>
      <w:r w:rsidRPr="00166A61">
        <w:t>, párrs. 75 a 81.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EFC7" w14:textId="2D93D8EB" w:rsidR="00815BDC" w:rsidRPr="00815BDC" w:rsidRDefault="00815BDC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B1383F">
      <w:t>CERD</w:t>
    </w:r>
    <w:proofErr w:type="spellEnd"/>
    <w:r w:rsidR="00B1383F">
      <w:t>/C/</w:t>
    </w:r>
    <w:proofErr w:type="spellStart"/>
    <w:r w:rsidR="00B1383F">
      <w:t>PHL</w:t>
    </w:r>
    <w:proofErr w:type="spellEnd"/>
    <w:r w:rsidR="00B1383F">
      <w:t>/Q/21-25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8894" w14:textId="3416BFE1" w:rsidR="00815BDC" w:rsidRPr="00815BDC" w:rsidRDefault="00815BDC" w:rsidP="00815BDC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B1383F">
      <w:t>CERD</w:t>
    </w:r>
    <w:proofErr w:type="spellEnd"/>
    <w:r w:rsidR="00B1383F">
      <w:t>/C/</w:t>
    </w:r>
    <w:proofErr w:type="spellStart"/>
    <w:r w:rsidR="00B1383F">
      <w:t>PHL</w:t>
    </w:r>
    <w:proofErr w:type="spellEnd"/>
    <w:r w:rsidR="00B1383F">
      <w:t>/Q/21-25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E29DA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784885124">
    <w:abstractNumId w:val="14"/>
  </w:num>
  <w:num w:numId="2" w16cid:durableId="1308974132">
    <w:abstractNumId w:val="11"/>
  </w:num>
  <w:num w:numId="3" w16cid:durableId="318920358">
    <w:abstractNumId w:val="16"/>
  </w:num>
  <w:num w:numId="4" w16cid:durableId="1057438441">
    <w:abstractNumId w:val="15"/>
  </w:num>
  <w:num w:numId="5" w16cid:durableId="1523475112">
    <w:abstractNumId w:val="13"/>
  </w:num>
  <w:num w:numId="6" w16cid:durableId="2098406987">
    <w:abstractNumId w:val="8"/>
  </w:num>
  <w:num w:numId="7" w16cid:durableId="875578006">
    <w:abstractNumId w:val="3"/>
  </w:num>
  <w:num w:numId="8" w16cid:durableId="404568979">
    <w:abstractNumId w:val="2"/>
  </w:num>
  <w:num w:numId="9" w16cid:durableId="618802510">
    <w:abstractNumId w:val="1"/>
  </w:num>
  <w:num w:numId="10" w16cid:durableId="1573348785">
    <w:abstractNumId w:val="0"/>
  </w:num>
  <w:num w:numId="11" w16cid:durableId="1690453072">
    <w:abstractNumId w:val="9"/>
  </w:num>
  <w:num w:numId="12" w16cid:durableId="592205460">
    <w:abstractNumId w:val="7"/>
  </w:num>
  <w:num w:numId="13" w16cid:durableId="2085637701">
    <w:abstractNumId w:val="6"/>
  </w:num>
  <w:num w:numId="14" w16cid:durableId="503127271">
    <w:abstractNumId w:val="5"/>
  </w:num>
  <w:num w:numId="15" w16cid:durableId="1540582733">
    <w:abstractNumId w:val="4"/>
  </w:num>
  <w:num w:numId="16" w16cid:durableId="88738855">
    <w:abstractNumId w:val="10"/>
  </w:num>
  <w:num w:numId="17" w16cid:durableId="1365328140">
    <w:abstractNumId w:val="14"/>
  </w:num>
  <w:num w:numId="18" w16cid:durableId="1246497305">
    <w:abstractNumId w:val="11"/>
  </w:num>
  <w:num w:numId="19" w16cid:durableId="1107700041">
    <w:abstractNumId w:val="10"/>
  </w:num>
  <w:num w:numId="20" w16cid:durableId="1733653801">
    <w:abstractNumId w:val="16"/>
  </w:num>
  <w:num w:numId="21" w16cid:durableId="15663566">
    <w:abstractNumId w:val="15"/>
  </w:num>
  <w:num w:numId="22" w16cid:durableId="883056661">
    <w:abstractNumId w:val="12"/>
  </w:num>
  <w:num w:numId="23" w16cid:durableId="1708866694">
    <w:abstractNumId w:val="12"/>
  </w:num>
  <w:num w:numId="24" w16cid:durableId="1479180265">
    <w:abstractNumId w:val="13"/>
  </w:num>
  <w:num w:numId="25" w16cid:durableId="1787381828">
    <w:abstractNumId w:val="9"/>
  </w:num>
  <w:num w:numId="26" w16cid:durableId="1894845659">
    <w:abstractNumId w:val="7"/>
  </w:num>
  <w:num w:numId="27" w16cid:durableId="1471053649">
    <w:abstractNumId w:val="6"/>
  </w:num>
  <w:num w:numId="28" w16cid:durableId="1067919642">
    <w:abstractNumId w:val="5"/>
  </w:num>
  <w:num w:numId="29" w16cid:durableId="1660960595">
    <w:abstractNumId w:val="4"/>
  </w:num>
  <w:num w:numId="30" w16cid:durableId="1094591191">
    <w:abstractNumId w:val="8"/>
  </w:num>
  <w:num w:numId="31" w16cid:durableId="759525157">
    <w:abstractNumId w:val="3"/>
  </w:num>
  <w:num w:numId="32" w16cid:durableId="58670330">
    <w:abstractNumId w:val="2"/>
  </w:num>
  <w:num w:numId="33" w16cid:durableId="656422179">
    <w:abstractNumId w:val="1"/>
  </w:num>
  <w:num w:numId="34" w16cid:durableId="98192899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3"/>
    <w:rsid w:val="00006BB9"/>
    <w:rsid w:val="000107A1"/>
    <w:rsid w:val="0002339D"/>
    <w:rsid w:val="00036733"/>
    <w:rsid w:val="000B57E7"/>
    <w:rsid w:val="000F09DF"/>
    <w:rsid w:val="000F5804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13632"/>
    <w:rsid w:val="002433EC"/>
    <w:rsid w:val="0025226E"/>
    <w:rsid w:val="00281DDE"/>
    <w:rsid w:val="00283ED7"/>
    <w:rsid w:val="002A2EFC"/>
    <w:rsid w:val="002C0E18"/>
    <w:rsid w:val="002C33BB"/>
    <w:rsid w:val="002D5AAC"/>
    <w:rsid w:val="00301299"/>
    <w:rsid w:val="00322004"/>
    <w:rsid w:val="003402C2"/>
    <w:rsid w:val="00381C24"/>
    <w:rsid w:val="003958D0"/>
    <w:rsid w:val="004031F0"/>
    <w:rsid w:val="00454E07"/>
    <w:rsid w:val="0045500B"/>
    <w:rsid w:val="00471CB3"/>
    <w:rsid w:val="004A2821"/>
    <w:rsid w:val="004B5CEF"/>
    <w:rsid w:val="0050108D"/>
    <w:rsid w:val="0051740C"/>
    <w:rsid w:val="00531836"/>
    <w:rsid w:val="00572E19"/>
    <w:rsid w:val="005F0B42"/>
    <w:rsid w:val="00634841"/>
    <w:rsid w:val="00655A21"/>
    <w:rsid w:val="0067198A"/>
    <w:rsid w:val="006725B3"/>
    <w:rsid w:val="006808A9"/>
    <w:rsid w:val="006B12B8"/>
    <w:rsid w:val="006D631C"/>
    <w:rsid w:val="006F35EE"/>
    <w:rsid w:val="007021FF"/>
    <w:rsid w:val="007076CB"/>
    <w:rsid w:val="007967DF"/>
    <w:rsid w:val="007F6465"/>
    <w:rsid w:val="00815BDC"/>
    <w:rsid w:val="00834B71"/>
    <w:rsid w:val="0086445C"/>
    <w:rsid w:val="00865A80"/>
    <w:rsid w:val="00865FAC"/>
    <w:rsid w:val="008728CD"/>
    <w:rsid w:val="008A08D7"/>
    <w:rsid w:val="008A13F9"/>
    <w:rsid w:val="008C0F65"/>
    <w:rsid w:val="008C29C4"/>
    <w:rsid w:val="008E74F4"/>
    <w:rsid w:val="00906890"/>
    <w:rsid w:val="009335B3"/>
    <w:rsid w:val="00951972"/>
    <w:rsid w:val="00954E65"/>
    <w:rsid w:val="00A17DFD"/>
    <w:rsid w:val="00A414EF"/>
    <w:rsid w:val="00A4674B"/>
    <w:rsid w:val="00A917B3"/>
    <w:rsid w:val="00AB4B51"/>
    <w:rsid w:val="00B066FC"/>
    <w:rsid w:val="00B10CC7"/>
    <w:rsid w:val="00B1383F"/>
    <w:rsid w:val="00B62458"/>
    <w:rsid w:val="00B778C8"/>
    <w:rsid w:val="00BA3587"/>
    <w:rsid w:val="00BB36EA"/>
    <w:rsid w:val="00BD33EE"/>
    <w:rsid w:val="00C60F0C"/>
    <w:rsid w:val="00C63C2A"/>
    <w:rsid w:val="00C805C9"/>
    <w:rsid w:val="00C907F0"/>
    <w:rsid w:val="00CA1679"/>
    <w:rsid w:val="00CC15A3"/>
    <w:rsid w:val="00D05347"/>
    <w:rsid w:val="00D43FF0"/>
    <w:rsid w:val="00D90138"/>
    <w:rsid w:val="00DA26B8"/>
    <w:rsid w:val="00DD4E25"/>
    <w:rsid w:val="00E05C6B"/>
    <w:rsid w:val="00E06383"/>
    <w:rsid w:val="00E2656E"/>
    <w:rsid w:val="00E73F76"/>
    <w:rsid w:val="00EA31D8"/>
    <w:rsid w:val="00EA5579"/>
    <w:rsid w:val="00EF1360"/>
    <w:rsid w:val="00EF3220"/>
    <w:rsid w:val="00EF7198"/>
    <w:rsid w:val="00F41883"/>
    <w:rsid w:val="00F45524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2E69E"/>
  <w15:docId w15:val="{6AC15666-6333-443A-9DF4-455172B7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7F6465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7F646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7F646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7F6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7F64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7F64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7F646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7F646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7F646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7F64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7F646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7F646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uiPriority w:val="1"/>
    <w:qFormat/>
    <w:rsid w:val="007F64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7F646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7F646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7F646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7F6465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7F646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7F646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7F6465"/>
    <w:pPr>
      <w:numPr>
        <w:numId w:val="3"/>
      </w:numPr>
    </w:pPr>
  </w:style>
  <w:style w:type="numbering" w:styleId="1ai">
    <w:name w:val="Outline List 1"/>
    <w:basedOn w:val="Sinlista"/>
    <w:rsid w:val="007F646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7F6465"/>
  </w:style>
  <w:style w:type="numbering" w:styleId="ArtculoSeccin">
    <w:name w:val="Outline List 3"/>
    <w:basedOn w:val="Sinlista"/>
    <w:rsid w:val="007F6465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7F6465"/>
    <w:pPr>
      <w:ind w:left="4252"/>
    </w:pPr>
  </w:style>
  <w:style w:type="character" w:styleId="CitaHTML">
    <w:name w:val="HTML Cite"/>
    <w:semiHidden/>
    <w:rsid w:val="007F6465"/>
    <w:rPr>
      <w:i/>
      <w:iCs/>
    </w:rPr>
  </w:style>
  <w:style w:type="character" w:styleId="CdigoHTML">
    <w:name w:val="HTML Code"/>
    <w:semiHidden/>
    <w:rsid w:val="007F646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7F6465"/>
    <w:pPr>
      <w:spacing w:after="120"/>
      <w:ind w:left="283"/>
    </w:pPr>
  </w:style>
  <w:style w:type="paragraph" w:styleId="Continuarlista2">
    <w:name w:val="List Continue 2"/>
    <w:basedOn w:val="Normal"/>
    <w:semiHidden/>
    <w:rsid w:val="007F6465"/>
    <w:pPr>
      <w:spacing w:after="120"/>
      <w:ind w:left="566"/>
    </w:pPr>
  </w:style>
  <w:style w:type="paragraph" w:styleId="Continuarlista3">
    <w:name w:val="List Continue 3"/>
    <w:basedOn w:val="Normal"/>
    <w:semiHidden/>
    <w:rsid w:val="007F6465"/>
    <w:pPr>
      <w:spacing w:after="120"/>
      <w:ind w:left="849"/>
    </w:pPr>
  </w:style>
  <w:style w:type="paragraph" w:styleId="Continuarlista4">
    <w:name w:val="List Continue 4"/>
    <w:basedOn w:val="Normal"/>
    <w:semiHidden/>
    <w:rsid w:val="007F6465"/>
    <w:pPr>
      <w:spacing w:after="120"/>
      <w:ind w:left="1132"/>
    </w:pPr>
  </w:style>
  <w:style w:type="paragraph" w:styleId="Continuarlista5">
    <w:name w:val="List Continue 5"/>
    <w:basedOn w:val="Normal"/>
    <w:semiHidden/>
    <w:rsid w:val="007F6465"/>
    <w:pPr>
      <w:spacing w:after="120"/>
      <w:ind w:left="1415"/>
    </w:pPr>
  </w:style>
  <w:style w:type="character" w:styleId="DefinicinHTML">
    <w:name w:val="HTML Definition"/>
    <w:semiHidden/>
    <w:rsid w:val="007F6465"/>
    <w:rPr>
      <w:i/>
      <w:iCs/>
    </w:rPr>
  </w:style>
  <w:style w:type="paragraph" w:styleId="DireccinHTML">
    <w:name w:val="HTML Address"/>
    <w:basedOn w:val="Normal"/>
    <w:link w:val="DireccinHTMLCar"/>
    <w:semiHidden/>
    <w:rsid w:val="007F6465"/>
    <w:rPr>
      <w:i/>
      <w:iCs/>
    </w:rPr>
  </w:style>
  <w:style w:type="paragraph" w:styleId="Direccinsobre">
    <w:name w:val="envelope address"/>
    <w:basedOn w:val="Normal"/>
    <w:semiHidden/>
    <w:rsid w:val="007F646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7F6465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7F64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7F6465"/>
  </w:style>
  <w:style w:type="character" w:styleId="nfasis">
    <w:name w:val="Emphasis"/>
    <w:semiHidden/>
    <w:rsid w:val="007F6465"/>
    <w:rPr>
      <w:i/>
      <w:iCs/>
    </w:rPr>
  </w:style>
  <w:style w:type="paragraph" w:styleId="Fecha">
    <w:name w:val="Date"/>
    <w:basedOn w:val="Normal"/>
    <w:next w:val="Normal"/>
    <w:link w:val="FechaCar"/>
    <w:semiHidden/>
    <w:rsid w:val="007F6465"/>
  </w:style>
  <w:style w:type="paragraph" w:styleId="Firma">
    <w:name w:val="Signature"/>
    <w:basedOn w:val="Normal"/>
    <w:link w:val="FirmaCar"/>
    <w:semiHidden/>
    <w:rsid w:val="007F6465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7F6465"/>
  </w:style>
  <w:style w:type="character" w:styleId="Hipervnculo">
    <w:name w:val="Hyperlink"/>
    <w:uiPriority w:val="4"/>
    <w:rsid w:val="007F6465"/>
    <w:rPr>
      <w:color w:val="0000FF"/>
      <w:u w:val="none"/>
    </w:rPr>
  </w:style>
  <w:style w:type="character" w:styleId="Hipervnculovisitado">
    <w:name w:val="FollowedHyperlink"/>
    <w:uiPriority w:val="4"/>
    <w:rsid w:val="007F6465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7F6465"/>
    <w:rPr>
      <w:rFonts w:ascii="Courier New" w:hAnsi="Courier New" w:cs="Courier New"/>
    </w:rPr>
  </w:style>
  <w:style w:type="paragraph" w:styleId="Lista">
    <w:name w:val="List"/>
    <w:basedOn w:val="Normal"/>
    <w:semiHidden/>
    <w:rsid w:val="007F6465"/>
    <w:pPr>
      <w:ind w:left="283" w:hanging="283"/>
    </w:pPr>
  </w:style>
  <w:style w:type="paragraph" w:styleId="Lista2">
    <w:name w:val="List 2"/>
    <w:basedOn w:val="Normal"/>
    <w:semiHidden/>
    <w:rsid w:val="007F6465"/>
    <w:pPr>
      <w:ind w:left="566" w:hanging="283"/>
    </w:pPr>
  </w:style>
  <w:style w:type="paragraph" w:styleId="Lista3">
    <w:name w:val="List 3"/>
    <w:basedOn w:val="Normal"/>
    <w:semiHidden/>
    <w:rsid w:val="007F6465"/>
    <w:pPr>
      <w:ind w:left="849" w:hanging="283"/>
    </w:pPr>
  </w:style>
  <w:style w:type="paragraph" w:styleId="Lista4">
    <w:name w:val="List 4"/>
    <w:basedOn w:val="Normal"/>
    <w:semiHidden/>
    <w:rsid w:val="007F6465"/>
    <w:pPr>
      <w:ind w:left="1132" w:hanging="283"/>
    </w:pPr>
  </w:style>
  <w:style w:type="paragraph" w:styleId="Lista5">
    <w:name w:val="List 5"/>
    <w:basedOn w:val="Normal"/>
    <w:semiHidden/>
    <w:rsid w:val="007F6465"/>
    <w:pPr>
      <w:ind w:left="1415" w:hanging="283"/>
    </w:pPr>
  </w:style>
  <w:style w:type="paragraph" w:styleId="Listaconnmeros">
    <w:name w:val="List Number"/>
    <w:basedOn w:val="Normal"/>
    <w:semiHidden/>
    <w:rsid w:val="007F6465"/>
    <w:pPr>
      <w:numPr>
        <w:numId w:val="30"/>
      </w:numPr>
    </w:pPr>
  </w:style>
  <w:style w:type="paragraph" w:styleId="Listaconnmeros2">
    <w:name w:val="List Number 2"/>
    <w:basedOn w:val="Normal"/>
    <w:semiHidden/>
    <w:rsid w:val="007F6465"/>
    <w:pPr>
      <w:numPr>
        <w:numId w:val="31"/>
      </w:numPr>
    </w:pPr>
  </w:style>
  <w:style w:type="paragraph" w:styleId="Listaconnmeros3">
    <w:name w:val="List Number 3"/>
    <w:basedOn w:val="Normal"/>
    <w:semiHidden/>
    <w:rsid w:val="007F6465"/>
    <w:pPr>
      <w:numPr>
        <w:numId w:val="32"/>
      </w:numPr>
    </w:pPr>
  </w:style>
  <w:style w:type="paragraph" w:styleId="Listaconnmeros4">
    <w:name w:val="List Number 4"/>
    <w:basedOn w:val="Normal"/>
    <w:semiHidden/>
    <w:rsid w:val="007F6465"/>
    <w:pPr>
      <w:numPr>
        <w:numId w:val="33"/>
      </w:numPr>
    </w:pPr>
  </w:style>
  <w:style w:type="paragraph" w:styleId="Listaconnmeros5">
    <w:name w:val="List Number 5"/>
    <w:basedOn w:val="Normal"/>
    <w:semiHidden/>
    <w:rsid w:val="007F6465"/>
    <w:pPr>
      <w:numPr>
        <w:numId w:val="34"/>
      </w:numPr>
    </w:pPr>
  </w:style>
  <w:style w:type="paragraph" w:styleId="Listaconvietas">
    <w:name w:val="List Bullet"/>
    <w:basedOn w:val="Normal"/>
    <w:semiHidden/>
    <w:rsid w:val="007F6465"/>
    <w:pPr>
      <w:numPr>
        <w:numId w:val="25"/>
      </w:numPr>
    </w:pPr>
  </w:style>
  <w:style w:type="paragraph" w:styleId="Listaconvietas2">
    <w:name w:val="List Bullet 2"/>
    <w:basedOn w:val="Normal"/>
    <w:semiHidden/>
    <w:rsid w:val="007F6465"/>
    <w:pPr>
      <w:numPr>
        <w:numId w:val="26"/>
      </w:numPr>
    </w:pPr>
  </w:style>
  <w:style w:type="paragraph" w:styleId="Listaconvietas3">
    <w:name w:val="List Bullet 3"/>
    <w:basedOn w:val="Normal"/>
    <w:semiHidden/>
    <w:rsid w:val="007F6465"/>
    <w:pPr>
      <w:numPr>
        <w:numId w:val="27"/>
      </w:numPr>
    </w:pPr>
  </w:style>
  <w:style w:type="paragraph" w:styleId="Listaconvietas4">
    <w:name w:val="List Bullet 4"/>
    <w:basedOn w:val="Normal"/>
    <w:semiHidden/>
    <w:rsid w:val="007F6465"/>
    <w:pPr>
      <w:numPr>
        <w:numId w:val="28"/>
      </w:numPr>
    </w:pPr>
  </w:style>
  <w:style w:type="paragraph" w:styleId="Listaconvietas5">
    <w:name w:val="List Bullet 5"/>
    <w:basedOn w:val="Normal"/>
    <w:semiHidden/>
    <w:rsid w:val="007F6465"/>
    <w:pPr>
      <w:numPr>
        <w:numId w:val="29"/>
      </w:numPr>
    </w:pPr>
  </w:style>
  <w:style w:type="character" w:styleId="MquinadeescribirHTML">
    <w:name w:val="HTML Typewriter"/>
    <w:semiHidden/>
    <w:rsid w:val="007F646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7F6465"/>
    <w:rPr>
      <w:sz w:val="24"/>
      <w:szCs w:val="24"/>
    </w:rPr>
  </w:style>
  <w:style w:type="character" w:styleId="Nmerodelnea">
    <w:name w:val="line number"/>
    <w:basedOn w:val="Fuentedeprrafopredeter"/>
    <w:semiHidden/>
    <w:rsid w:val="007F6465"/>
  </w:style>
  <w:style w:type="character" w:styleId="Nmerodepgina">
    <w:name w:val="page number"/>
    <w:aliases w:val="7_G"/>
    <w:uiPriority w:val="3"/>
    <w:qFormat/>
    <w:rsid w:val="007F6465"/>
    <w:rPr>
      <w:b/>
      <w:sz w:val="18"/>
    </w:rPr>
  </w:style>
  <w:style w:type="character" w:styleId="Refdenotaalfinal">
    <w:name w:val="endnote reference"/>
    <w:aliases w:val="1_G"/>
    <w:uiPriority w:val="3"/>
    <w:qFormat/>
    <w:rsid w:val="007F646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7F6465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7F6465"/>
  </w:style>
  <w:style w:type="paragraph" w:styleId="Sangra2detindependiente">
    <w:name w:val="Body Text Indent 2"/>
    <w:basedOn w:val="Normal"/>
    <w:link w:val="Sangra2detindependienteCar"/>
    <w:semiHidden/>
    <w:rsid w:val="007F646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7F646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7F6465"/>
    <w:pPr>
      <w:spacing w:after="120"/>
      <w:ind w:left="283"/>
    </w:pPr>
  </w:style>
  <w:style w:type="paragraph" w:styleId="Sangranormal">
    <w:name w:val="Normal Indent"/>
    <w:basedOn w:val="Normal"/>
    <w:semiHidden/>
    <w:rsid w:val="007F6465"/>
    <w:pPr>
      <w:ind w:left="567"/>
    </w:pPr>
  </w:style>
  <w:style w:type="paragraph" w:styleId="Subttulo">
    <w:name w:val="Subtitle"/>
    <w:basedOn w:val="Normal"/>
    <w:link w:val="SubttuloCar"/>
    <w:semiHidden/>
    <w:rsid w:val="007F646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F6465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F6465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7F6465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7F6465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7F6465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7F6465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7F6465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7F6465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7F6465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7F6465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7F6465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7F6465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7F6465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7F6465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7F6465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7F6465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7F646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7F6465"/>
    <w:pPr>
      <w:spacing w:after="120"/>
      <w:ind w:left="1440" w:right="1440"/>
    </w:pPr>
  </w:style>
  <w:style w:type="character" w:styleId="Textoennegrita">
    <w:name w:val="Strong"/>
    <w:semiHidden/>
    <w:rsid w:val="007F6465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7F6465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7F646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7F646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7F6465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7F6465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7F6465"/>
  </w:style>
  <w:style w:type="paragraph" w:styleId="Textosinformato">
    <w:name w:val="Plain Text"/>
    <w:basedOn w:val="Normal"/>
    <w:link w:val="TextosinformatoCar"/>
    <w:semiHidden/>
    <w:rsid w:val="007F6465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7F646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7F6465"/>
    <w:rPr>
      <w:i/>
      <w:iCs/>
    </w:rPr>
  </w:style>
  <w:style w:type="paragraph" w:customStyle="1" w:styleId="Bullet1G">
    <w:name w:val="_Bullet 1_G"/>
    <w:basedOn w:val="Normal"/>
    <w:uiPriority w:val="1"/>
    <w:qFormat/>
    <w:rsid w:val="007F6465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7F6465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7F64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F6465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7F6465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7F6465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7F6465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7F6465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F6465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6465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F6465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7F6465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F6465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7F6465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F6465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F6465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7F6465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7F6465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7F6465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7F6465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7F6465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7F6465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7F6465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7F6465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7F6465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7F6465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rsid w:val="007F6465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rsid w:val="007F646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7F6465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7F6465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7F6465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F6465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7F6465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7F6465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7F6465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7F646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7F6465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7F6465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7F6465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7F6465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7F6465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7F6465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7F6465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7F6465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7F6465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7F6465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8E7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es/CERD/C/PHL/CO/20" TargetMode="External"/><Relationship Id="rId13" Type="http://schemas.openxmlformats.org/officeDocument/2006/relationships/hyperlink" Target="https://undocs.org/es/CERD/C/PHL/21-25" TargetMode="External"/><Relationship Id="rId18" Type="http://schemas.openxmlformats.org/officeDocument/2006/relationships/hyperlink" Target="https://undocs.org/es/CERD/C/PHL/CO/20" TargetMode="External"/><Relationship Id="rId3" Type="http://schemas.openxmlformats.org/officeDocument/2006/relationships/hyperlink" Target="https://undocs.org/es/CERD/C/PHL/21-25" TargetMode="External"/><Relationship Id="rId21" Type="http://schemas.openxmlformats.org/officeDocument/2006/relationships/hyperlink" Target="https://undocs.org/es/CERD/C/PHL/21-25" TargetMode="External"/><Relationship Id="rId7" Type="http://schemas.openxmlformats.org/officeDocument/2006/relationships/hyperlink" Target="https://undocs.org/es/CERD/C/PHL/21-25" TargetMode="External"/><Relationship Id="rId12" Type="http://schemas.openxmlformats.org/officeDocument/2006/relationships/hyperlink" Target="https://undocs.org/es/CERD/C/PHL/CO/20" TargetMode="External"/><Relationship Id="rId17" Type="http://schemas.openxmlformats.org/officeDocument/2006/relationships/hyperlink" Target="https://undocs.org/es/CERD/C/PHL/21-25" TargetMode="External"/><Relationship Id="rId2" Type="http://schemas.openxmlformats.org/officeDocument/2006/relationships/hyperlink" Target="https://undocs.org/es/CERD/C/PHL/CO/20" TargetMode="External"/><Relationship Id="rId16" Type="http://schemas.openxmlformats.org/officeDocument/2006/relationships/hyperlink" Target="https://undocs.org/es/CERD/C/PHL/CO/20" TargetMode="External"/><Relationship Id="rId20" Type="http://schemas.openxmlformats.org/officeDocument/2006/relationships/hyperlink" Target="https://undocs.org/es/CERD/C/PHL/CO/20" TargetMode="External"/><Relationship Id="rId1" Type="http://schemas.openxmlformats.org/officeDocument/2006/relationships/hyperlink" Target="https://undocs.org/es/A/65/18" TargetMode="External"/><Relationship Id="rId6" Type="http://schemas.openxmlformats.org/officeDocument/2006/relationships/hyperlink" Target="https://undocs.org/es/CERD/C/PHL/CO/20" TargetMode="External"/><Relationship Id="rId11" Type="http://schemas.openxmlformats.org/officeDocument/2006/relationships/hyperlink" Target="https://undocs.org/es/CERD/C/PHL/21-25" TargetMode="External"/><Relationship Id="rId24" Type="http://schemas.openxmlformats.org/officeDocument/2006/relationships/hyperlink" Target="https://undocs.org/es/CERD/C/PHL/21-25" TargetMode="External"/><Relationship Id="rId5" Type="http://schemas.openxmlformats.org/officeDocument/2006/relationships/hyperlink" Target="https://undocs.org/es/CERD/C/PHL/21-25" TargetMode="External"/><Relationship Id="rId15" Type="http://schemas.openxmlformats.org/officeDocument/2006/relationships/hyperlink" Target="https://undocs.org/es/CERD/C/PHL/21-25" TargetMode="External"/><Relationship Id="rId23" Type="http://schemas.openxmlformats.org/officeDocument/2006/relationships/hyperlink" Target="https://undocs.org/es/CERD/C/PHL/21-25" TargetMode="External"/><Relationship Id="rId10" Type="http://schemas.openxmlformats.org/officeDocument/2006/relationships/hyperlink" Target="https://undocs.org/es/CERD/C/PHL/CO/20" TargetMode="External"/><Relationship Id="rId19" Type="http://schemas.openxmlformats.org/officeDocument/2006/relationships/hyperlink" Target="https://undocs.org/es/CERD/C/PHL/21-25" TargetMode="External"/><Relationship Id="rId4" Type="http://schemas.openxmlformats.org/officeDocument/2006/relationships/hyperlink" Target="https://undocs.org/es/CERD/C/PHL/CO/20" TargetMode="External"/><Relationship Id="rId9" Type="http://schemas.openxmlformats.org/officeDocument/2006/relationships/hyperlink" Target="https://undocs.org/es/CERD/C/PHL/21-25" TargetMode="External"/><Relationship Id="rId14" Type="http://schemas.openxmlformats.org/officeDocument/2006/relationships/hyperlink" Target="https://undocs.org/es/CERD/C/PHL/CO/20" TargetMode="External"/><Relationship Id="rId22" Type="http://schemas.openxmlformats.org/officeDocument/2006/relationships/hyperlink" Target="https://undocs.org/es/CERD/C/PHL/CO/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56</TotalTime>
  <Pages>3</Pages>
  <Words>1352</Words>
  <Characters>7160</Characters>
  <Application>Microsoft Office Word</Application>
  <DocSecurity>0</DocSecurity>
  <Lines>125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</vt:lpstr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CERD/C/PHL/Q/21-25</dc:title>
  <dc:subject/>
  <dc:creator>Romina Valeria MERINO MAC-KAY</dc:creator>
  <cp:keywords/>
  <cp:lastModifiedBy>Romina Merino Mac-Kay</cp:lastModifiedBy>
  <cp:revision>3</cp:revision>
  <cp:lastPrinted>2023-04-03T08:35:00Z</cp:lastPrinted>
  <dcterms:created xsi:type="dcterms:W3CDTF">2023-04-03T08:35:00Z</dcterms:created>
  <dcterms:modified xsi:type="dcterms:W3CDTF">2023-04-03T08:36:00Z</dcterms:modified>
</cp:coreProperties>
</file>