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8930DB">
        <w:trPr>
          <w:trHeight w:hRule="exact" w:val="851"/>
        </w:trPr>
        <w:tc>
          <w:tcPr>
            <w:tcW w:w="1274" w:type="dxa"/>
            <w:tcBorders>
              <w:bottom w:val="single" w:sz="4" w:space="0" w:color="auto"/>
            </w:tcBorders>
          </w:tcPr>
          <w:p w:rsidR="006B3E27" w:rsidRPr="003E159A" w:rsidRDefault="006B3E27" w:rsidP="003E159A">
            <w:pPr>
              <w:bidi w:val="0"/>
              <w:jc w:val="right"/>
              <w:rPr>
                <w:szCs w:val="20"/>
              </w:rPr>
            </w:pPr>
            <w:bookmarkStart w:id="0" w:name="_GoBack"/>
            <w:bookmarkEnd w:id="0"/>
          </w:p>
        </w:tc>
        <w:tc>
          <w:tcPr>
            <w:tcW w:w="4963"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1F753C" w:rsidP="00E52476">
            <w:pPr>
              <w:bidi w:val="0"/>
              <w:spacing w:after="20"/>
              <w:jc w:val="left"/>
              <w:rPr>
                <w:szCs w:val="20"/>
              </w:rPr>
            </w:pPr>
            <w:r w:rsidRPr="001F753C">
              <w:rPr>
                <w:sz w:val="40"/>
                <w:szCs w:val="20"/>
              </w:rPr>
              <w:t>C</w:t>
            </w:r>
            <w:r w:rsidRPr="00E52476">
              <w:rPr>
                <w:sz w:val="40"/>
                <w:szCs w:val="20"/>
              </w:rPr>
              <w:t>ED</w:t>
            </w:r>
            <w:r>
              <w:rPr>
                <w:szCs w:val="20"/>
              </w:rPr>
              <w:t>/C/TUN/CO/1</w:t>
            </w:r>
          </w:p>
        </w:tc>
      </w:tr>
      <w:tr w:rsidR="006B3E27" w:rsidRPr="00ED7442" w:rsidTr="008930DB">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05B6A784" wp14:editId="4B452DC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454D29" w:rsidRDefault="00454D29" w:rsidP="00454D29">
            <w:pPr>
              <w:spacing w:before="120" w:after="40" w:line="640" w:lineRule="exact"/>
              <w:rPr>
                <w:b/>
                <w:bCs/>
                <w:sz w:val="58"/>
                <w:szCs w:val="58"/>
              </w:rPr>
            </w:pPr>
            <w:r w:rsidRPr="00454D29">
              <w:rPr>
                <w:rFonts w:hint="cs"/>
                <w:b/>
                <w:bCs/>
                <w:sz w:val="58"/>
                <w:szCs w:val="58"/>
                <w:rtl/>
              </w:rPr>
              <w:t>الاتفاقية الدولية لحماية جميع الأشخاص من الاختفاء القسري</w:t>
            </w:r>
          </w:p>
        </w:tc>
        <w:tc>
          <w:tcPr>
            <w:tcW w:w="3402" w:type="dxa"/>
            <w:tcBorders>
              <w:top w:val="single" w:sz="4" w:space="0" w:color="auto"/>
              <w:bottom w:val="single" w:sz="12" w:space="0" w:color="auto"/>
            </w:tcBorders>
          </w:tcPr>
          <w:p w:rsidR="006B3E27" w:rsidRDefault="00E52476" w:rsidP="00E52476">
            <w:pPr>
              <w:bidi w:val="0"/>
              <w:spacing w:before="240"/>
              <w:jc w:val="left"/>
              <w:rPr>
                <w:szCs w:val="20"/>
              </w:rPr>
            </w:pPr>
            <w:r>
              <w:rPr>
                <w:szCs w:val="20"/>
              </w:rPr>
              <w:t>Distr.: General</w:t>
            </w:r>
          </w:p>
          <w:p w:rsidR="00E52476" w:rsidRDefault="00E52476" w:rsidP="00E52476">
            <w:pPr>
              <w:bidi w:val="0"/>
              <w:jc w:val="left"/>
              <w:rPr>
                <w:szCs w:val="20"/>
              </w:rPr>
            </w:pPr>
            <w:r>
              <w:rPr>
                <w:szCs w:val="20"/>
              </w:rPr>
              <w:t>25 May 2016</w:t>
            </w:r>
          </w:p>
          <w:p w:rsidR="00E52476" w:rsidRDefault="00E52476" w:rsidP="00E52476">
            <w:pPr>
              <w:bidi w:val="0"/>
              <w:jc w:val="left"/>
              <w:rPr>
                <w:szCs w:val="20"/>
              </w:rPr>
            </w:pPr>
            <w:r>
              <w:rPr>
                <w:szCs w:val="20"/>
              </w:rPr>
              <w:t>Arabic</w:t>
            </w:r>
          </w:p>
          <w:p w:rsidR="00E52476" w:rsidRPr="003E159A" w:rsidRDefault="00E52476" w:rsidP="00E52476">
            <w:pPr>
              <w:bidi w:val="0"/>
              <w:jc w:val="left"/>
              <w:rPr>
                <w:szCs w:val="20"/>
              </w:rPr>
            </w:pPr>
            <w:r>
              <w:rPr>
                <w:szCs w:val="20"/>
              </w:rPr>
              <w:t>Original: English</w:t>
            </w:r>
          </w:p>
        </w:tc>
      </w:tr>
    </w:tbl>
    <w:p w:rsidR="00E52476" w:rsidRPr="00E52476" w:rsidRDefault="00E52476" w:rsidP="00E52476">
      <w:pPr>
        <w:spacing w:before="120" w:after="120" w:line="380" w:lineRule="exact"/>
        <w:textDirection w:val="tbRlV"/>
        <w:rPr>
          <w:b/>
          <w:bCs/>
          <w:sz w:val="36"/>
          <w:szCs w:val="36"/>
          <w:rtl/>
          <w:lang w:eastAsia="zh-TW"/>
        </w:rPr>
      </w:pPr>
      <w:r w:rsidRPr="00E52476">
        <w:rPr>
          <w:b/>
          <w:bCs/>
          <w:sz w:val="36"/>
          <w:szCs w:val="36"/>
          <w:rtl/>
          <w:lang w:eastAsia="zh-TW"/>
        </w:rPr>
        <w:t>اللجنة المعنية بحالات الاختفاء القسري</w:t>
      </w:r>
    </w:p>
    <w:p w:rsidR="00E52476" w:rsidRPr="00DE4941" w:rsidRDefault="00E52476" w:rsidP="0071202B">
      <w:pPr>
        <w:pStyle w:val="HChGA"/>
        <w:rPr>
          <w:rtl/>
          <w:lang w:eastAsia="zh-TW"/>
        </w:rPr>
      </w:pPr>
      <w:r w:rsidRPr="00E406EF">
        <w:rPr>
          <w:rFonts w:hint="cs"/>
          <w:rtl/>
          <w:lang w:eastAsia="zh-TW"/>
        </w:rPr>
        <w:tab/>
      </w:r>
      <w:r w:rsidRPr="00E406EF">
        <w:rPr>
          <w:rFonts w:hint="cs"/>
          <w:rtl/>
          <w:lang w:eastAsia="zh-TW"/>
        </w:rPr>
        <w:tab/>
      </w:r>
      <w:r w:rsidRPr="00E406EF">
        <w:rPr>
          <w:rtl/>
          <w:lang w:eastAsia="zh-TW"/>
        </w:rPr>
        <w:t>الملاحظات الختامية بشأن التقرير المقدم من تونس بموجب المادة</w:t>
      </w:r>
      <w:r w:rsidR="00550F28">
        <w:rPr>
          <w:rFonts w:hint="cs"/>
          <w:rtl/>
          <w:lang w:eastAsia="zh-TW"/>
        </w:rPr>
        <w:t> </w:t>
      </w:r>
      <w:r w:rsidRPr="00E406EF">
        <w:rPr>
          <w:rtl/>
          <w:lang w:eastAsia="zh-TW"/>
        </w:rPr>
        <w:t>29(</w:t>
      </w:r>
      <w:r w:rsidR="0071202B">
        <w:rPr>
          <w:rFonts w:hint="cs"/>
          <w:rtl/>
          <w:lang w:eastAsia="zh-TW"/>
        </w:rPr>
        <w:t>1</w:t>
      </w:r>
      <w:r w:rsidRPr="00E406EF">
        <w:rPr>
          <w:rtl/>
          <w:lang w:eastAsia="zh-TW"/>
        </w:rPr>
        <w:t>)</w:t>
      </w:r>
      <w:r w:rsidRPr="00DE4941">
        <w:rPr>
          <w:rtl/>
          <w:lang w:eastAsia="zh-TW"/>
        </w:rPr>
        <w:t xml:space="preserve"> من الاتفاقية</w:t>
      </w:r>
      <w:r w:rsidRPr="00E406EF">
        <w:rPr>
          <w:rStyle w:val="FootnoteReference"/>
          <w:sz w:val="38"/>
          <w:vertAlign w:val="baseline"/>
          <w:rtl/>
          <w:lang w:eastAsia="zh-TW"/>
        </w:rPr>
        <w:footnoteReference w:customMarkFollows="1" w:id="1"/>
        <w:t>*</w:t>
      </w:r>
    </w:p>
    <w:p w:rsidR="00E52476" w:rsidRPr="00E406EF" w:rsidRDefault="00E52476" w:rsidP="0071202B">
      <w:pPr>
        <w:pStyle w:val="SingleTxtGA"/>
        <w:rPr>
          <w:rtl/>
        </w:rPr>
      </w:pPr>
      <w:r>
        <w:rPr>
          <w:rtl/>
          <w:lang w:eastAsia="zh-TW"/>
        </w:rPr>
        <w:t>١-</w:t>
      </w:r>
      <w:r>
        <w:rPr>
          <w:rFonts w:hint="cs"/>
          <w:rtl/>
          <w:lang w:eastAsia="zh-TW"/>
        </w:rPr>
        <w:tab/>
      </w:r>
      <w:r w:rsidRPr="00E406EF">
        <w:rPr>
          <w:rtl/>
        </w:rPr>
        <w:t>نظرت اللجنة المعنية بحالات الاختفاء القسري في التقرير المقدم من تونس بموجب الفقرة 1 من المادة 29 من الاتفاقية (</w:t>
      </w:r>
      <w:r w:rsidRPr="00E406EF">
        <w:t>CED/C/TUN/1</w:t>
      </w:r>
      <w:r w:rsidRPr="00E406EF">
        <w:rPr>
          <w:rFonts w:hint="cs"/>
          <w:rtl/>
        </w:rPr>
        <w:t>)</w:t>
      </w:r>
      <w:r w:rsidRPr="00E406EF">
        <w:rPr>
          <w:rtl/>
        </w:rPr>
        <w:t xml:space="preserve"> في جلستيها 158 و159 (انظر</w:t>
      </w:r>
      <w:r w:rsidR="006F3B09" w:rsidRPr="00E406EF">
        <w:rPr>
          <w:rFonts w:hint="cs"/>
          <w:rtl/>
        </w:rPr>
        <w:t> </w:t>
      </w:r>
      <w:r w:rsidRPr="00E406EF">
        <w:t>CED/C/SR.158</w:t>
      </w:r>
      <w:r w:rsidRPr="00E406EF">
        <w:rPr>
          <w:rtl/>
        </w:rPr>
        <w:t xml:space="preserve"> و</w:t>
      </w:r>
      <w:r w:rsidR="0071202B">
        <w:t>159</w:t>
      </w:r>
      <w:r w:rsidRPr="00E406EF">
        <w:rPr>
          <w:rtl/>
        </w:rPr>
        <w:t>) المعقودتين في 7 و8 آذار/مارس 2016.</w:t>
      </w:r>
      <w:r w:rsidRPr="00E406EF">
        <w:t>‬</w:t>
      </w:r>
      <w:r w:rsidRPr="00E406EF">
        <w:rPr>
          <w:rtl/>
        </w:rPr>
        <w:t xml:space="preserve"> </w:t>
      </w:r>
      <w:dir w:val="rtl">
        <w:r w:rsidRPr="00E406EF">
          <w:rPr>
            <w:rtl/>
          </w:rPr>
          <w:t>واعتمدت هذه الملاحظات الختامية في جلستها 170 المعقودة في 15 آذار/مارس 2016.</w:t>
        </w:r>
        <w:r w:rsidRPr="00E406EF">
          <w:t>‬</w:t>
        </w:r>
        <w:r w:rsidRPr="00E406EF">
          <w:t>‬</w:t>
        </w:r>
        <w:r w:rsidR="00565AAB">
          <w:t>‬</w:t>
        </w:r>
        <w:r w:rsidR="00F9414A">
          <w:t>‬</w:t>
        </w:r>
      </w:dir>
    </w:p>
    <w:p w:rsidR="00E52476" w:rsidRPr="00DE4941" w:rsidRDefault="00E52476" w:rsidP="00E52476">
      <w:pPr>
        <w:pStyle w:val="H1GA"/>
        <w:rPr>
          <w:rtl/>
          <w:lang w:eastAsia="zh-TW"/>
        </w:rPr>
      </w:pPr>
      <w:r>
        <w:rPr>
          <w:rFonts w:hint="cs"/>
          <w:sz w:val="30"/>
          <w:rtl/>
          <w:lang w:eastAsia="zh-TW"/>
        </w:rPr>
        <w:tab/>
      </w:r>
      <w:r>
        <w:rPr>
          <w:rtl/>
          <w:lang w:eastAsia="zh-TW"/>
        </w:rPr>
        <w:t>ألف-</w:t>
      </w:r>
      <w:r>
        <w:rPr>
          <w:rFonts w:hint="cs"/>
          <w:rtl/>
          <w:lang w:eastAsia="zh-TW"/>
        </w:rPr>
        <w:tab/>
      </w:r>
      <w:r w:rsidRPr="00DE4941">
        <w:rPr>
          <w:rtl/>
          <w:lang w:eastAsia="zh-TW"/>
        </w:rPr>
        <w:t>مقدمة</w:t>
      </w:r>
    </w:p>
    <w:p w:rsidR="00E52476" w:rsidRPr="00E112BF" w:rsidRDefault="00E52476" w:rsidP="00E52476">
      <w:pPr>
        <w:pStyle w:val="SingleTxtGA"/>
        <w:rPr>
          <w:rtl/>
          <w:lang w:eastAsia="zh-TW"/>
        </w:rPr>
      </w:pPr>
      <w:r>
        <w:rPr>
          <w:rtl/>
          <w:lang w:eastAsia="zh-TW"/>
        </w:rPr>
        <w:t>٢-</w:t>
      </w:r>
      <w:r>
        <w:rPr>
          <w:rFonts w:hint="cs"/>
          <w:rtl/>
          <w:lang w:eastAsia="zh-TW"/>
        </w:rPr>
        <w:tab/>
      </w:r>
      <w:r w:rsidRPr="00E112BF">
        <w:rPr>
          <w:rtl/>
          <w:lang w:eastAsia="zh-TW"/>
        </w:rPr>
        <w:t>ترحب اللجنة بالتقرير الذي قدمته تونس بموجب الفقرة 1 من المادة 29 من الاتفاقية والذي أُعد وفقاً للمبادئ التوجيهية لتقديم التقارير،</w:t>
      </w:r>
      <w:r>
        <w:rPr>
          <w:rFonts w:hint="cs"/>
          <w:rtl/>
          <w:lang w:eastAsia="zh-TW"/>
        </w:rPr>
        <w:t xml:space="preserve"> كما ترحب</w:t>
      </w:r>
      <w:r w:rsidRPr="00E112BF">
        <w:rPr>
          <w:rtl/>
          <w:lang w:eastAsia="zh-TW"/>
        </w:rPr>
        <w:t xml:space="preserve"> بالمعلومات الواردة فيه. </w:t>
      </w:r>
      <w:dir w:val="rtl">
        <w:r w:rsidRPr="00E112BF">
          <w:rPr>
            <w:rtl/>
            <w:lang w:eastAsia="zh-TW"/>
          </w:rPr>
          <w:t xml:space="preserve">وتُعرب </w:t>
        </w:r>
        <w:r>
          <w:rPr>
            <w:rtl/>
            <w:lang w:eastAsia="zh-TW"/>
          </w:rPr>
          <w:t xml:space="preserve">عن تقديرها للحوار البناء </w:t>
        </w:r>
        <w:r w:rsidRPr="00E112BF">
          <w:rPr>
            <w:rtl/>
            <w:lang w:eastAsia="zh-TW"/>
          </w:rPr>
          <w:t xml:space="preserve">مع وفد الدولة الطرف الرفيع </w:t>
        </w:r>
        <w:r>
          <w:rPr>
            <w:rFonts w:hint="cs"/>
            <w:rtl/>
            <w:lang w:eastAsia="zh-TW"/>
          </w:rPr>
          <w:t>بشأن</w:t>
        </w:r>
        <w:r w:rsidRPr="00E112BF">
          <w:rPr>
            <w:rtl/>
            <w:lang w:eastAsia="zh-TW"/>
          </w:rPr>
          <w:t xml:space="preserve"> التدابير المتخذة لتنفيذ أحكام الاتفاقية.</w:t>
        </w:r>
        <w:r w:rsidRPr="00E112BF">
          <w:rPr>
            <w:lang w:eastAsia="zh-TW"/>
          </w:rPr>
          <w:t>‬</w:t>
        </w:r>
        <w:r w:rsidRPr="00E112BF">
          <w:rPr>
            <w:rtl/>
            <w:lang w:eastAsia="zh-TW"/>
          </w:rPr>
          <w:t xml:space="preserve"> وتشكر اللجنة الدولة الطرف على ردودها المكتوبة (</w:t>
        </w:r>
        <w:r w:rsidRPr="006F3B09">
          <w:t>CED/C/TUN/Q/1/Add.1</w:t>
        </w:r>
        <w:r>
          <w:rPr>
            <w:rFonts w:hint="cs"/>
            <w:rtl/>
            <w:lang w:eastAsia="zh-TW"/>
          </w:rPr>
          <w:t>)</w:t>
        </w:r>
        <w:r w:rsidRPr="00E112BF">
          <w:rPr>
            <w:rtl/>
            <w:lang w:eastAsia="zh-TW"/>
          </w:rPr>
          <w:t xml:space="preserve"> على قائمة المسائل (</w:t>
        </w:r>
        <w:r w:rsidRPr="006F3B09">
          <w:t>CED/C/TUN/Q/1</w:t>
        </w:r>
        <w:r w:rsidRPr="00E112BF">
          <w:rPr>
            <w:rtl/>
            <w:lang w:eastAsia="zh-TW"/>
          </w:rPr>
          <w:t>)، التي استُكملت بالردود الشفوية التي قدمها الوفد أثناء الحوار، وتشكرها أيضاً على المعلومات الإضافية التي قدّمتها كتابةً.</w:t>
        </w:r>
        <w:r>
          <w:t>‬</w:t>
        </w:r>
        <w:r w:rsidR="00565AAB">
          <w:t>‬</w:t>
        </w:r>
        <w:r w:rsidR="00F9414A">
          <w:t>‬</w:t>
        </w:r>
      </w:dir>
    </w:p>
    <w:p w:rsidR="00E52476" w:rsidRPr="00A350C4" w:rsidRDefault="00E52476" w:rsidP="00E52476">
      <w:pPr>
        <w:pStyle w:val="H1GA"/>
        <w:rPr>
          <w:rtl/>
          <w:lang w:eastAsia="zh-TW"/>
        </w:rPr>
      </w:pPr>
      <w:r>
        <w:rPr>
          <w:rFonts w:hint="cs"/>
          <w:sz w:val="30"/>
          <w:rtl/>
          <w:lang w:eastAsia="zh-TW"/>
        </w:rPr>
        <w:tab/>
      </w:r>
      <w:r>
        <w:rPr>
          <w:rtl/>
          <w:lang w:eastAsia="zh-TW"/>
        </w:rPr>
        <w:t>باء-</w:t>
      </w:r>
      <w:r>
        <w:rPr>
          <w:rFonts w:hint="cs"/>
          <w:rtl/>
          <w:lang w:eastAsia="zh-TW"/>
        </w:rPr>
        <w:tab/>
      </w:r>
      <w:r w:rsidRPr="00A350C4">
        <w:rPr>
          <w:rtl/>
          <w:lang w:eastAsia="zh-TW"/>
        </w:rPr>
        <w:t>الجوانب الإيجابية</w:t>
      </w:r>
    </w:p>
    <w:p w:rsidR="00E52476" w:rsidRPr="00E112BF" w:rsidRDefault="00E52476" w:rsidP="00E52476">
      <w:pPr>
        <w:pStyle w:val="SingleTxtGA"/>
        <w:rPr>
          <w:rtl/>
          <w:lang w:eastAsia="zh-TW"/>
        </w:rPr>
      </w:pPr>
      <w:r>
        <w:rPr>
          <w:rtl/>
          <w:lang w:eastAsia="zh-TW"/>
        </w:rPr>
        <w:t>٣-</w:t>
      </w:r>
      <w:r>
        <w:rPr>
          <w:rFonts w:hint="cs"/>
          <w:rtl/>
          <w:lang w:eastAsia="zh-TW"/>
        </w:rPr>
        <w:tab/>
      </w:r>
      <w:r w:rsidRPr="00E112BF">
        <w:rPr>
          <w:rtl/>
          <w:lang w:eastAsia="zh-TW"/>
        </w:rPr>
        <w:t>تثني اللجنة على الدولة الطرف لتصديقها على معظم صكوك الأمم المتحدة الأساسية لحقوق الإنسان وجلّ بروتوكولاتها الاختيارية.</w:t>
      </w:r>
    </w:p>
    <w:p w:rsidR="00E52476" w:rsidRPr="00E112BF" w:rsidRDefault="00E52476" w:rsidP="00E52476">
      <w:pPr>
        <w:pStyle w:val="SingleTxtGA"/>
        <w:rPr>
          <w:rtl/>
          <w:lang w:eastAsia="zh-TW"/>
        </w:rPr>
      </w:pPr>
      <w:r>
        <w:rPr>
          <w:rtl/>
          <w:lang w:eastAsia="zh-TW"/>
        </w:rPr>
        <w:t>٤-</w:t>
      </w:r>
      <w:r>
        <w:rPr>
          <w:rFonts w:hint="cs"/>
          <w:rtl/>
          <w:lang w:eastAsia="zh-TW"/>
        </w:rPr>
        <w:tab/>
      </w:r>
      <w:r w:rsidRPr="00E112BF">
        <w:rPr>
          <w:rtl/>
          <w:lang w:eastAsia="zh-TW"/>
        </w:rPr>
        <w:t>وتثني عليها أيض</w:t>
      </w:r>
      <w:r w:rsidR="006F3B09">
        <w:rPr>
          <w:rtl/>
          <w:lang w:eastAsia="zh-TW"/>
        </w:rPr>
        <w:t xml:space="preserve">اً </w:t>
      </w:r>
      <w:r w:rsidRPr="00E112BF">
        <w:rPr>
          <w:rtl/>
          <w:lang w:eastAsia="zh-TW"/>
        </w:rPr>
        <w:t>للتدابير التي اتخذتها في مجالات تتعلق بالاتفاقية، منها ما يلي:</w:t>
      </w:r>
      <w:r w:rsidRPr="00E112BF">
        <w:rPr>
          <w:lang w:eastAsia="zh-TW"/>
        </w:rPr>
        <w:t>‬</w:t>
      </w:r>
    </w:p>
    <w:p w:rsidR="00E52476" w:rsidRPr="00E112BF" w:rsidRDefault="00E52476" w:rsidP="00E52476">
      <w:pPr>
        <w:pStyle w:val="SingleTxtGA"/>
        <w:rPr>
          <w:rtl/>
          <w:lang w:eastAsia="zh-TW"/>
        </w:rPr>
      </w:pPr>
      <w:r>
        <w:rPr>
          <w:rFonts w:hint="cs"/>
          <w:rtl/>
          <w:lang w:eastAsia="zh-TW"/>
        </w:rPr>
        <w:tab/>
      </w:r>
      <w:r>
        <w:rPr>
          <w:rtl/>
          <w:lang w:eastAsia="zh-TW"/>
        </w:rPr>
        <w:t>(أ)</w:t>
      </w:r>
      <w:r>
        <w:rPr>
          <w:rFonts w:hint="cs"/>
          <w:rtl/>
          <w:lang w:eastAsia="zh-TW"/>
        </w:rPr>
        <w:tab/>
      </w:r>
      <w:r w:rsidRPr="00E112BF">
        <w:rPr>
          <w:rtl/>
          <w:lang w:eastAsia="zh-TW"/>
        </w:rPr>
        <w:t>اعتماد دستور تونس الجديد، في 26 كانون الثاني/يناير 2014؛</w:t>
      </w:r>
    </w:p>
    <w:p w:rsidR="00E52476" w:rsidRPr="00E406EF" w:rsidRDefault="00E52476" w:rsidP="0071202B">
      <w:pPr>
        <w:pStyle w:val="SingleTxtGA"/>
        <w:rPr>
          <w:spacing w:val="-2"/>
          <w:rtl/>
          <w:lang w:eastAsia="zh-TW"/>
        </w:rPr>
      </w:pPr>
      <w:r w:rsidRPr="00E406EF">
        <w:rPr>
          <w:rFonts w:hint="cs"/>
          <w:spacing w:val="-2"/>
          <w:rtl/>
          <w:lang w:eastAsia="zh-TW"/>
        </w:rPr>
        <w:lastRenderedPageBreak/>
        <w:tab/>
      </w:r>
      <w:r w:rsidRPr="00E406EF">
        <w:rPr>
          <w:spacing w:val="-2"/>
          <w:rtl/>
          <w:lang w:eastAsia="zh-TW"/>
        </w:rPr>
        <w:t>(ب)</w:t>
      </w:r>
      <w:r w:rsidRPr="00E406EF">
        <w:rPr>
          <w:rFonts w:hint="cs"/>
          <w:spacing w:val="-2"/>
          <w:rtl/>
          <w:lang w:eastAsia="zh-TW"/>
        </w:rPr>
        <w:tab/>
      </w:r>
      <w:r w:rsidRPr="00E406EF">
        <w:rPr>
          <w:spacing w:val="-2"/>
          <w:rtl/>
          <w:lang w:eastAsia="zh-TW"/>
        </w:rPr>
        <w:t xml:space="preserve">اعتماد القانون الأساسي عدد 53 المتعلق بإرساء العدالة الانتقالية وتنظيمها، في 24 كانون الأول/ديسمبر </w:t>
      </w:r>
      <w:r w:rsidR="0071202B">
        <w:rPr>
          <w:rFonts w:hint="cs"/>
          <w:spacing w:val="-2"/>
          <w:rtl/>
          <w:lang w:eastAsia="zh-TW"/>
        </w:rPr>
        <w:t>2014</w:t>
      </w:r>
      <w:r w:rsidRPr="00E406EF">
        <w:rPr>
          <w:spacing w:val="-2"/>
          <w:rtl/>
          <w:lang w:eastAsia="zh-TW"/>
        </w:rPr>
        <w:t>، وإنشاء "هيئة الحقيقة والكرامة" في 30 أيار/مايو 2014؛</w:t>
      </w:r>
    </w:p>
    <w:p w:rsidR="00E52476" w:rsidRPr="00E112BF" w:rsidRDefault="00E52476" w:rsidP="00E52476">
      <w:pPr>
        <w:pStyle w:val="SingleTxtGA"/>
        <w:rPr>
          <w:rtl/>
          <w:lang w:eastAsia="zh-TW"/>
        </w:rPr>
      </w:pPr>
      <w:r>
        <w:rPr>
          <w:rFonts w:hint="cs"/>
          <w:rtl/>
          <w:lang w:eastAsia="zh-TW"/>
        </w:rPr>
        <w:tab/>
      </w:r>
      <w:r>
        <w:rPr>
          <w:rtl/>
          <w:lang w:eastAsia="zh-TW"/>
        </w:rPr>
        <w:t>(ج)</w:t>
      </w:r>
      <w:r>
        <w:rPr>
          <w:rFonts w:hint="cs"/>
          <w:rtl/>
          <w:lang w:eastAsia="zh-TW"/>
        </w:rPr>
        <w:tab/>
      </w:r>
      <w:r w:rsidRPr="00E112BF">
        <w:rPr>
          <w:rtl/>
          <w:lang w:eastAsia="zh-TW"/>
        </w:rPr>
        <w:t>اعتماد القانون الأساسي عدد 43 المتعلق بـ</w:t>
      </w:r>
      <w:r w:rsidR="00E406EF">
        <w:rPr>
          <w:rFonts w:hint="eastAsia"/>
          <w:rtl/>
          <w:lang w:eastAsia="zh-TW"/>
        </w:rPr>
        <w:t> </w:t>
      </w:r>
      <w:r w:rsidRPr="00E112BF">
        <w:rPr>
          <w:rtl/>
          <w:lang w:eastAsia="zh-TW"/>
        </w:rPr>
        <w:t>"الهيئة الوطنية للوقاية من التعذيب"، في 21 تشرين الأول/أكتوبر 2013.</w:t>
      </w:r>
    </w:p>
    <w:p w:rsidR="00E52476" w:rsidRPr="00E112BF" w:rsidRDefault="00E52476" w:rsidP="00E52476">
      <w:pPr>
        <w:pStyle w:val="SingleTxtGA"/>
        <w:rPr>
          <w:rtl/>
          <w:lang w:eastAsia="zh-TW"/>
        </w:rPr>
      </w:pPr>
      <w:r>
        <w:rPr>
          <w:rtl/>
          <w:lang w:eastAsia="zh-TW"/>
        </w:rPr>
        <w:t>٥-</w:t>
      </w:r>
      <w:r>
        <w:rPr>
          <w:rFonts w:hint="cs"/>
          <w:rtl/>
          <w:lang w:eastAsia="zh-TW"/>
        </w:rPr>
        <w:tab/>
      </w:r>
      <w:r w:rsidRPr="00E112BF">
        <w:rPr>
          <w:rtl/>
          <w:lang w:eastAsia="zh-TW"/>
        </w:rPr>
        <w:t>وتقدر اللجنة المعلومات التي قدمتها الدولة الطرف عن المشاورات مع المجتمع المدني في إعداد تقريرها بموجب المادة 29(1) من الاتفاقية وردودها على قائمة المسائل.</w:t>
      </w:r>
    </w:p>
    <w:p w:rsidR="00E52476" w:rsidRPr="00E112BF" w:rsidRDefault="00E52476" w:rsidP="00E52476">
      <w:pPr>
        <w:pStyle w:val="SingleTxtGA"/>
        <w:rPr>
          <w:rtl/>
          <w:lang w:eastAsia="zh-TW"/>
        </w:rPr>
      </w:pPr>
      <w:r>
        <w:rPr>
          <w:rtl/>
          <w:lang w:eastAsia="zh-TW"/>
        </w:rPr>
        <w:t>٦-</w:t>
      </w:r>
      <w:r>
        <w:rPr>
          <w:rFonts w:hint="cs"/>
          <w:rtl/>
          <w:lang w:eastAsia="zh-TW"/>
        </w:rPr>
        <w:tab/>
      </w:r>
      <w:r w:rsidRPr="00E112BF">
        <w:rPr>
          <w:rtl/>
          <w:lang w:eastAsia="zh-TW"/>
        </w:rPr>
        <w:t>وتحيط اللجنة علم</w:t>
      </w:r>
      <w:r w:rsidR="00550F28">
        <w:rPr>
          <w:rtl/>
          <w:lang w:eastAsia="zh-TW"/>
        </w:rPr>
        <w:t xml:space="preserve">اً </w:t>
      </w:r>
      <w:r w:rsidRPr="00E112BF">
        <w:rPr>
          <w:rtl/>
          <w:lang w:eastAsia="zh-TW"/>
        </w:rPr>
        <w:t>بتوجيه الدولة الطرف دعوة مفتوحة إلى جميع المكلفين بولايات في إطار الإجراءات الخاصة لمجلس حقوق الإنسان لزيارة البلد.</w:t>
      </w:r>
    </w:p>
    <w:p w:rsidR="00E52476" w:rsidRPr="00A350C4" w:rsidRDefault="00E52476" w:rsidP="00E52476">
      <w:pPr>
        <w:pStyle w:val="H1GA"/>
        <w:rPr>
          <w:rtl/>
          <w:lang w:eastAsia="zh-TW"/>
        </w:rPr>
      </w:pPr>
      <w:r>
        <w:rPr>
          <w:rFonts w:hint="cs"/>
          <w:sz w:val="30"/>
          <w:rtl/>
          <w:lang w:eastAsia="zh-TW"/>
        </w:rPr>
        <w:tab/>
      </w:r>
      <w:r>
        <w:rPr>
          <w:rtl/>
          <w:lang w:eastAsia="zh-TW"/>
        </w:rPr>
        <w:t>جيم-</w:t>
      </w:r>
      <w:r>
        <w:rPr>
          <w:rFonts w:hint="cs"/>
          <w:rtl/>
          <w:lang w:eastAsia="zh-TW"/>
        </w:rPr>
        <w:tab/>
      </w:r>
      <w:dir w:val="rtl">
        <w:r w:rsidRPr="00A350C4">
          <w:rPr>
            <w:rtl/>
            <w:lang w:eastAsia="zh-TW"/>
          </w:rPr>
          <w:t>دواعي القلق الرئيسية والتوصيات</w:t>
        </w:r>
        <w:r w:rsidRPr="00A350C4">
          <w:rPr>
            <w:rFonts w:cs="Times New Roman" w:hint="cs"/>
            <w:rtl/>
            <w:lang w:eastAsia="zh-TW"/>
          </w:rPr>
          <w:t>‬</w:t>
        </w:r>
        <w:r>
          <w:t>‬</w:t>
        </w:r>
        <w:r w:rsidR="00565AAB">
          <w:t>‬</w:t>
        </w:r>
        <w:r w:rsidR="00F9414A">
          <w:t>‬</w:t>
        </w:r>
      </w:dir>
    </w:p>
    <w:p w:rsidR="00E52476" w:rsidRPr="00E112BF" w:rsidRDefault="00E52476" w:rsidP="00E52476">
      <w:pPr>
        <w:pStyle w:val="SingleTxtGA"/>
        <w:rPr>
          <w:rtl/>
          <w:lang w:eastAsia="zh-TW"/>
        </w:rPr>
      </w:pPr>
      <w:r>
        <w:rPr>
          <w:rtl/>
          <w:lang w:eastAsia="zh-TW"/>
        </w:rPr>
        <w:t>٧-</w:t>
      </w:r>
      <w:r>
        <w:rPr>
          <w:rFonts w:hint="cs"/>
          <w:rtl/>
          <w:lang w:eastAsia="zh-TW"/>
        </w:rPr>
        <w:tab/>
      </w:r>
      <w:r w:rsidRPr="00E112BF">
        <w:rPr>
          <w:rtl/>
          <w:lang w:eastAsia="zh-TW"/>
        </w:rPr>
        <w:t>ترحب اللجنة بالجهود الكبيرة التي بذلتها الدولة الطرف وبالتقدم الهائل الذي حققته في ميدان حقوق الإنسان منذ ثورة عا</w:t>
      </w:r>
      <w:r>
        <w:rPr>
          <w:rtl/>
          <w:lang w:eastAsia="zh-TW"/>
        </w:rPr>
        <w:t>م 2011</w:t>
      </w:r>
      <w:r>
        <w:rPr>
          <w:rFonts w:hint="cs"/>
          <w:rtl/>
          <w:lang w:eastAsia="zh-TW"/>
        </w:rPr>
        <w:t>، لكنها</w:t>
      </w:r>
      <w:r w:rsidRPr="00E112BF">
        <w:rPr>
          <w:rtl/>
          <w:lang w:eastAsia="zh-TW"/>
        </w:rPr>
        <w:t xml:space="preserve"> ترى أن ما كان سارياً من تشريعات في الدولة الطرف وأداء بعض سلطاتها المختصة، وقت اعتماد هذه الملاحظات الختامية، لم يكن يمتثل امتثالاً تاماً للالتزامات الواقعة على الدول التي أصبحت أطراف</w:t>
      </w:r>
      <w:r w:rsidR="00550F28">
        <w:rPr>
          <w:rtl/>
          <w:lang w:eastAsia="zh-TW"/>
        </w:rPr>
        <w:t xml:space="preserve">اً </w:t>
      </w:r>
      <w:r w:rsidRPr="00E112BF">
        <w:rPr>
          <w:rtl/>
          <w:lang w:eastAsia="zh-TW"/>
        </w:rPr>
        <w:t>في الاتفاقية. وتدعو اللجنة الدولة الطرف إلى تنفيذ توصياتها التي قدمت</w:t>
      </w:r>
      <w:r>
        <w:rPr>
          <w:rFonts w:hint="cs"/>
          <w:rtl/>
          <w:lang w:eastAsia="zh-TW"/>
        </w:rPr>
        <w:t>ها</w:t>
      </w:r>
      <w:r w:rsidRPr="00E112BF">
        <w:rPr>
          <w:rtl/>
          <w:lang w:eastAsia="zh-TW"/>
        </w:rPr>
        <w:t xml:space="preserve"> بروح بناءة من التعاو</w:t>
      </w:r>
      <w:r>
        <w:rPr>
          <w:rtl/>
          <w:lang w:eastAsia="zh-TW"/>
        </w:rPr>
        <w:t xml:space="preserve">ن لمساعدة الدولة الطرف على </w:t>
      </w:r>
      <w:r>
        <w:rPr>
          <w:rFonts w:hint="cs"/>
          <w:rtl/>
          <w:lang w:eastAsia="zh-TW"/>
        </w:rPr>
        <w:t>تطبيق</w:t>
      </w:r>
      <w:r w:rsidRPr="00E112BF">
        <w:rPr>
          <w:rtl/>
          <w:lang w:eastAsia="zh-TW"/>
        </w:rPr>
        <w:t xml:space="preserve"> التزاماتها بموجب الاتفاقية في القانون والممارسة. وتشجعها على </w:t>
      </w:r>
      <w:r>
        <w:rPr>
          <w:rFonts w:hint="cs"/>
          <w:rtl/>
          <w:lang w:eastAsia="zh-TW"/>
        </w:rPr>
        <w:t xml:space="preserve">الاستفادة من </w:t>
      </w:r>
      <w:r w:rsidRPr="00E112BF">
        <w:rPr>
          <w:rtl/>
          <w:lang w:eastAsia="zh-TW"/>
        </w:rPr>
        <w:t xml:space="preserve">عدد من المبادرات التشريعية </w:t>
      </w:r>
      <w:r>
        <w:rPr>
          <w:rFonts w:hint="cs"/>
          <w:rtl/>
          <w:lang w:eastAsia="zh-TW"/>
        </w:rPr>
        <w:t xml:space="preserve">التي ينظر فيها الآن </w:t>
      </w:r>
      <w:r w:rsidRPr="00E112BF">
        <w:rPr>
          <w:rtl/>
          <w:lang w:eastAsia="zh-TW"/>
        </w:rPr>
        <w:t>باعتبارها فرصة لتنفيذ التوصيات ذات الطابع التشريعي المقدمة في هذه الملاحظات الختامية وتفعيل أي التزامات بموجب الاتفاقية لا يشتمل عليها القانون المحلي بالكامل.</w:t>
      </w:r>
    </w:p>
    <w:p w:rsidR="00E52476" w:rsidRPr="00A350C4" w:rsidRDefault="00E52476" w:rsidP="00E52476">
      <w:pPr>
        <w:pStyle w:val="H1GA"/>
        <w:rPr>
          <w:rtl/>
          <w:lang w:eastAsia="zh-TW"/>
        </w:rPr>
      </w:pPr>
      <w:r w:rsidRPr="00A350C4">
        <w:rPr>
          <w:rtl/>
          <w:lang w:eastAsia="zh-TW"/>
        </w:rPr>
        <w:tab/>
      </w:r>
      <w:r w:rsidRPr="00A350C4">
        <w:rPr>
          <w:rtl/>
          <w:lang w:eastAsia="zh-TW"/>
        </w:rPr>
        <w:tab/>
      </w:r>
      <w:dir w:val="rtl">
        <w:r w:rsidRPr="00A350C4">
          <w:rPr>
            <w:rtl/>
            <w:lang w:eastAsia="zh-TW"/>
          </w:rPr>
          <w:t>معلومات عامة</w:t>
        </w:r>
        <w:r w:rsidRPr="00A350C4">
          <w:rPr>
            <w:rFonts w:cs="Times New Roman" w:hint="cs"/>
            <w:rtl/>
            <w:lang w:eastAsia="zh-TW"/>
          </w:rPr>
          <w:t>‬</w:t>
        </w:r>
        <w:r>
          <w:t>‬</w:t>
        </w:r>
        <w:r w:rsidR="00565AAB">
          <w:t>‬</w:t>
        </w:r>
        <w:r w:rsidR="00F9414A">
          <w:t>‬</w:t>
        </w:r>
      </w:dir>
    </w:p>
    <w:p w:rsidR="00E52476" w:rsidRPr="00A350C4" w:rsidRDefault="00E52476" w:rsidP="00E52476">
      <w:pPr>
        <w:pStyle w:val="H23GA"/>
        <w:rPr>
          <w:rtl/>
        </w:rPr>
      </w:pPr>
      <w:r w:rsidRPr="00A350C4">
        <w:rPr>
          <w:rtl/>
        </w:rPr>
        <w:tab/>
      </w:r>
      <w:r w:rsidRPr="00A350C4">
        <w:rPr>
          <w:rtl/>
        </w:rPr>
        <w:tab/>
      </w:r>
      <w:dir w:val="rtl">
        <w:r w:rsidRPr="00A350C4">
          <w:rPr>
            <w:rtl/>
          </w:rPr>
          <w:t>البلاغات المقدمة من الأفراد ومن دولة بشأن أخرى</w:t>
        </w:r>
        <w:r w:rsidRPr="00A350C4">
          <w:rPr>
            <w:rFonts w:cs="Times New Roman" w:hint="cs"/>
            <w:rtl/>
          </w:rPr>
          <w:t>‬</w:t>
        </w:r>
        <w:r>
          <w:t>‬</w:t>
        </w:r>
        <w:r w:rsidR="00565AAB">
          <w:t>‬</w:t>
        </w:r>
        <w:r w:rsidR="00F9414A">
          <w:t>‬</w:t>
        </w:r>
      </w:dir>
    </w:p>
    <w:p w:rsidR="00E52476" w:rsidRPr="00E112BF" w:rsidRDefault="00E52476" w:rsidP="00E52476">
      <w:pPr>
        <w:pStyle w:val="SingleTxtGA"/>
        <w:rPr>
          <w:rFonts w:eastAsia="SimSun"/>
          <w:rtl/>
          <w:lang w:eastAsia="zh-TW"/>
        </w:rPr>
      </w:pPr>
      <w:r>
        <w:rPr>
          <w:rtl/>
          <w:lang w:eastAsia="zh-TW"/>
        </w:rPr>
        <w:t>٨-</w:t>
      </w:r>
      <w:r>
        <w:rPr>
          <w:rFonts w:hint="cs"/>
          <w:rtl/>
          <w:lang w:eastAsia="zh-TW"/>
        </w:rPr>
        <w:tab/>
      </w:r>
      <w:r w:rsidRPr="00E112BF">
        <w:rPr>
          <w:rtl/>
          <w:lang w:eastAsia="zh-TW"/>
        </w:rPr>
        <w:t>تلاحظ اللجنة أن الدولة الطرف لم تعترف بعد باختصاص اللجنة في تلقي البلاغات المقدمة من الأفراد ومن دولة بشأن أخرى ودراستها عملاً بالمادتين 31 و32 من الاتفاقية.</w:t>
      </w:r>
      <w:r w:rsidRPr="00E112BF">
        <w:rPr>
          <w:lang w:eastAsia="zh-TW"/>
        </w:rPr>
        <w:t>‬</w:t>
      </w:r>
      <w:r w:rsidRPr="00E112BF">
        <w:rPr>
          <w:rtl/>
          <w:lang w:eastAsia="zh-TW"/>
        </w:rPr>
        <w:t xml:space="preserve"> ومع ذلك، </w:t>
      </w:r>
      <w:r>
        <w:rPr>
          <w:rFonts w:hint="cs"/>
          <w:rtl/>
          <w:lang w:eastAsia="zh-TW"/>
        </w:rPr>
        <w:t xml:space="preserve">فإنها </w:t>
      </w:r>
      <w:r w:rsidRPr="00E112BF">
        <w:rPr>
          <w:rtl/>
          <w:lang w:eastAsia="zh-TW"/>
        </w:rPr>
        <w:t>تلاحظ باهتمام أن الدولة الطرف تعتزم إصدار الإعلانين المنصوص عليهما في هاتين المادتين، وأنها شرعت في الإجراءات ذات الصلة بذلك (المادتان 31-32).</w:t>
      </w:r>
    </w:p>
    <w:p w:rsidR="00E52476" w:rsidRPr="00E52476" w:rsidRDefault="00E52476" w:rsidP="00E52476">
      <w:pPr>
        <w:pStyle w:val="SingleTxtGA"/>
        <w:rPr>
          <w:b/>
          <w:bCs/>
          <w:rtl/>
          <w:lang w:eastAsia="zh-TW"/>
        </w:rPr>
      </w:pPr>
      <w:r>
        <w:rPr>
          <w:rtl/>
          <w:lang w:eastAsia="zh-TW"/>
        </w:rPr>
        <w:t>٩-</w:t>
      </w:r>
      <w:r>
        <w:rPr>
          <w:rFonts w:hint="cs"/>
          <w:rtl/>
          <w:lang w:eastAsia="zh-TW"/>
        </w:rPr>
        <w:tab/>
      </w:r>
      <w:r w:rsidRPr="00E52476">
        <w:rPr>
          <w:b/>
          <w:bCs/>
          <w:rtl/>
          <w:lang w:eastAsia="zh-TW"/>
        </w:rPr>
        <w:t>تشجع اللجنة الدولة الطرف على التعجيل بإجراءات تقديم الإعلانين المنصوص عليهما في المادتين 31 و32 من الاتفاقية، ال</w:t>
      </w:r>
      <w:r w:rsidRPr="00E52476">
        <w:rPr>
          <w:rFonts w:hint="cs"/>
          <w:b/>
          <w:bCs/>
          <w:rtl/>
          <w:lang w:eastAsia="zh-TW"/>
        </w:rPr>
        <w:t xml:space="preserve">لذين يتصلان </w:t>
      </w:r>
      <w:r w:rsidRPr="00E52476">
        <w:rPr>
          <w:b/>
          <w:bCs/>
          <w:rtl/>
          <w:lang w:eastAsia="zh-TW"/>
        </w:rPr>
        <w:t>باختصاص اللجنة في تلقي شكاوى الأفراد وشكاوى الدول بشأن أخرى ودراستها، بغية تدعيم إطار الحماية من الاختفاء القسري المنصوص عليه في الاتفاقية.</w:t>
      </w:r>
    </w:p>
    <w:p w:rsidR="00E52476" w:rsidRPr="00A350C4" w:rsidRDefault="00E52476" w:rsidP="00E52476">
      <w:pPr>
        <w:pStyle w:val="H23GA"/>
        <w:rPr>
          <w:rtl/>
        </w:rPr>
      </w:pPr>
      <w:r w:rsidRPr="00A350C4">
        <w:rPr>
          <w:rtl/>
        </w:rPr>
        <w:lastRenderedPageBreak/>
        <w:tab/>
      </w:r>
      <w:r w:rsidRPr="00A350C4">
        <w:rPr>
          <w:rtl/>
        </w:rPr>
        <w:tab/>
        <w:t>المؤسسة الوطنية لحقوق الإنسان</w:t>
      </w:r>
    </w:p>
    <w:p w:rsidR="00E52476" w:rsidRPr="00E112BF" w:rsidRDefault="00E52476" w:rsidP="00E52476">
      <w:pPr>
        <w:pStyle w:val="SingleTxtGA"/>
        <w:rPr>
          <w:rtl/>
          <w:lang w:eastAsia="zh-TW"/>
        </w:rPr>
      </w:pPr>
      <w:r>
        <w:rPr>
          <w:rtl/>
          <w:lang w:eastAsia="zh-TW"/>
        </w:rPr>
        <w:t>١٠-</w:t>
      </w:r>
      <w:r>
        <w:rPr>
          <w:rFonts w:hint="cs"/>
          <w:rtl/>
          <w:lang w:eastAsia="zh-TW"/>
        </w:rPr>
        <w:tab/>
      </w:r>
      <w:r w:rsidRPr="00E112BF">
        <w:rPr>
          <w:rtl/>
          <w:lang w:eastAsia="zh-TW"/>
        </w:rPr>
        <w:t>يساور اللجنة القلق لأن الهيئة العليا لحقوق الإنسان والحريات الأساسية لا تتقيد كلي</w:t>
      </w:r>
      <w:r w:rsidR="00550F28">
        <w:rPr>
          <w:rtl/>
          <w:lang w:eastAsia="zh-TW"/>
        </w:rPr>
        <w:t xml:space="preserve">اً </w:t>
      </w:r>
      <w:r w:rsidRPr="00E112BF">
        <w:rPr>
          <w:rtl/>
          <w:lang w:eastAsia="zh-TW"/>
        </w:rPr>
        <w:t>بالمبادئ المتعلقة بمركز المؤسسات الوطنية لتعزيز وحماية حقوق الإنسان (مبادئ باريس).</w:t>
      </w:r>
      <w:r w:rsidRPr="00E112BF">
        <w:rPr>
          <w:lang w:eastAsia="zh-TW"/>
        </w:rPr>
        <w:t>‬</w:t>
      </w:r>
      <w:r w:rsidRPr="00E112BF">
        <w:rPr>
          <w:rtl/>
          <w:lang w:eastAsia="zh-TW"/>
        </w:rPr>
        <w:t xml:space="preserve"> ومع ذلك، تلاحظ اللجنة بتقدير أن الدولة الطرف تعمل حالي</w:t>
      </w:r>
      <w:r w:rsidR="00550F28">
        <w:rPr>
          <w:rtl/>
          <w:lang w:eastAsia="zh-TW"/>
        </w:rPr>
        <w:t xml:space="preserve">اً </w:t>
      </w:r>
      <w:r w:rsidRPr="00E112BF">
        <w:rPr>
          <w:rtl/>
          <w:lang w:eastAsia="zh-TW"/>
        </w:rPr>
        <w:t>على وضع مشروع قانون يحكم المؤسسة المستقلة لحقوق الإنسان المنصوص عليها في المادة 128 من دستور عام 2014، تمشي</w:t>
      </w:r>
      <w:r w:rsidR="00550F28">
        <w:rPr>
          <w:rtl/>
          <w:lang w:eastAsia="zh-TW"/>
        </w:rPr>
        <w:t xml:space="preserve">اً </w:t>
      </w:r>
      <w:r w:rsidRPr="00E112BF">
        <w:rPr>
          <w:rtl/>
          <w:lang w:eastAsia="zh-TW"/>
        </w:rPr>
        <w:t>مع مبادئ باريس.</w:t>
      </w:r>
    </w:p>
    <w:p w:rsidR="00E52476" w:rsidRPr="00E52476" w:rsidRDefault="00E52476" w:rsidP="00E52476">
      <w:pPr>
        <w:pStyle w:val="SingleTxtGA"/>
        <w:rPr>
          <w:b/>
          <w:bCs/>
          <w:rtl/>
          <w:lang w:eastAsia="zh-TW"/>
        </w:rPr>
      </w:pPr>
      <w:r>
        <w:rPr>
          <w:rtl/>
          <w:lang w:eastAsia="zh-TW"/>
        </w:rPr>
        <w:t>١١-</w:t>
      </w:r>
      <w:r>
        <w:rPr>
          <w:rFonts w:hint="cs"/>
          <w:rtl/>
          <w:lang w:eastAsia="zh-TW"/>
        </w:rPr>
        <w:tab/>
      </w:r>
      <w:r w:rsidRPr="00E52476">
        <w:rPr>
          <w:b/>
          <w:bCs/>
          <w:rtl/>
          <w:lang w:eastAsia="zh-TW"/>
        </w:rPr>
        <w:t>توصي اللجنة الدولة الطرف بالتعجيل باعتماد مشروع قانون يحكم المؤسسة المستقلة لحقوق الإنسان المنصوص عليها في المادة 128 من الدستور، وضمان امتثال المؤسسة الجديدة لمبادئ باريس امتثالا</w:t>
      </w:r>
      <w:r w:rsidR="00550F28">
        <w:rPr>
          <w:rFonts w:hint="cs"/>
          <w:b/>
          <w:bCs/>
          <w:rtl/>
          <w:lang w:eastAsia="zh-TW"/>
        </w:rPr>
        <w:t>ً</w:t>
      </w:r>
      <w:r w:rsidRPr="00E52476">
        <w:rPr>
          <w:b/>
          <w:bCs/>
          <w:rtl/>
          <w:lang w:eastAsia="zh-TW"/>
        </w:rPr>
        <w:t xml:space="preserve"> كاملا</w:t>
      </w:r>
      <w:r w:rsidR="00550F28">
        <w:rPr>
          <w:rFonts w:hint="cs"/>
          <w:b/>
          <w:bCs/>
          <w:rtl/>
          <w:lang w:eastAsia="zh-TW"/>
        </w:rPr>
        <w:t>ً</w:t>
      </w:r>
      <w:r w:rsidRPr="00E52476">
        <w:rPr>
          <w:b/>
          <w:bCs/>
          <w:rtl/>
          <w:lang w:eastAsia="zh-TW"/>
        </w:rPr>
        <w:t>.</w:t>
      </w:r>
    </w:p>
    <w:p w:rsidR="00E52476" w:rsidRPr="00A350C4" w:rsidRDefault="00E52476" w:rsidP="00E52476">
      <w:pPr>
        <w:pStyle w:val="H1GA"/>
        <w:rPr>
          <w:rtl/>
          <w:lang w:eastAsia="zh-TW"/>
        </w:rPr>
      </w:pPr>
      <w:r w:rsidRPr="00A350C4">
        <w:rPr>
          <w:rFonts w:hint="cs"/>
          <w:rtl/>
          <w:lang w:eastAsia="zh-TW"/>
        </w:rPr>
        <w:tab/>
      </w:r>
      <w:r w:rsidRPr="00A350C4">
        <w:rPr>
          <w:rFonts w:hint="cs"/>
          <w:rtl/>
          <w:lang w:eastAsia="zh-TW"/>
        </w:rPr>
        <w:tab/>
      </w:r>
      <w:dir w:val="rtl">
        <w:r w:rsidRPr="00A350C4">
          <w:rPr>
            <w:rtl/>
            <w:lang w:eastAsia="zh-TW"/>
          </w:rPr>
          <w:t>تعريف الاختفاء القسري وتجريمه (المواد 1-7)</w:t>
        </w:r>
        <w:r w:rsidRPr="00A350C4">
          <w:rPr>
            <w:lang w:eastAsia="zh-TW"/>
          </w:rPr>
          <w:t>‬</w:t>
        </w:r>
        <w:r>
          <w:t>‬</w:t>
        </w:r>
        <w:r w:rsidR="00565AAB">
          <w:t>‬</w:t>
        </w:r>
        <w:r w:rsidR="00F9414A">
          <w:t>‬</w:t>
        </w:r>
      </w:dir>
    </w:p>
    <w:p w:rsidR="00E52476" w:rsidRPr="00A350C4" w:rsidRDefault="00E52476" w:rsidP="00E52476">
      <w:pPr>
        <w:pStyle w:val="H23GA"/>
        <w:rPr>
          <w:rtl/>
        </w:rPr>
      </w:pPr>
      <w:r w:rsidRPr="00A350C4">
        <w:rPr>
          <w:rtl/>
        </w:rPr>
        <w:tab/>
      </w:r>
      <w:r w:rsidRPr="00A350C4">
        <w:rPr>
          <w:rtl/>
        </w:rPr>
        <w:tab/>
        <w:t>عدم جواز تقييد حظر الاختفاء القسري</w:t>
      </w:r>
    </w:p>
    <w:p w:rsidR="00E52476" w:rsidRPr="00E112BF" w:rsidRDefault="00E52476" w:rsidP="00E52476">
      <w:pPr>
        <w:pStyle w:val="SingleTxtGA"/>
        <w:rPr>
          <w:rtl/>
          <w:lang w:eastAsia="zh-TW"/>
        </w:rPr>
      </w:pPr>
      <w:r>
        <w:rPr>
          <w:rtl/>
          <w:lang w:eastAsia="zh-TW"/>
        </w:rPr>
        <w:t>١٢-</w:t>
      </w:r>
      <w:r>
        <w:rPr>
          <w:rFonts w:hint="cs"/>
          <w:rtl/>
          <w:lang w:eastAsia="zh-TW"/>
        </w:rPr>
        <w:tab/>
      </w:r>
      <w:r w:rsidRPr="00E112BF">
        <w:rPr>
          <w:rtl/>
          <w:lang w:eastAsia="zh-TW"/>
        </w:rPr>
        <w:t>تلاحظ اللجنة بقلق أن القانون المحلي لا ينص تحديد</w:t>
      </w:r>
      <w:r w:rsidR="00550F28">
        <w:rPr>
          <w:rtl/>
          <w:lang w:eastAsia="zh-TW"/>
        </w:rPr>
        <w:t xml:space="preserve">اً </w:t>
      </w:r>
      <w:r w:rsidRPr="00E112BF">
        <w:rPr>
          <w:rtl/>
          <w:lang w:eastAsia="zh-TW"/>
        </w:rPr>
        <w:t>على عدم جواز تقيي</w:t>
      </w:r>
      <w:r>
        <w:rPr>
          <w:rtl/>
          <w:lang w:eastAsia="zh-TW"/>
        </w:rPr>
        <w:t>د حظر الاختفاء القسري تحت أي ظر</w:t>
      </w:r>
      <w:r w:rsidRPr="00E112BF">
        <w:rPr>
          <w:rtl/>
          <w:lang w:eastAsia="zh-TW"/>
        </w:rPr>
        <w:t>ف استثنائي (المادة 1).</w:t>
      </w:r>
    </w:p>
    <w:p w:rsidR="00E52476" w:rsidRPr="00E406EF" w:rsidRDefault="00E52476" w:rsidP="00E52476">
      <w:pPr>
        <w:pStyle w:val="SingleTxtGA"/>
        <w:rPr>
          <w:b/>
          <w:bCs/>
          <w:spacing w:val="-2"/>
          <w:rtl/>
          <w:lang w:eastAsia="zh-TW"/>
        </w:rPr>
      </w:pPr>
      <w:r w:rsidRPr="00E406EF">
        <w:rPr>
          <w:spacing w:val="-2"/>
          <w:rtl/>
          <w:lang w:eastAsia="zh-TW"/>
        </w:rPr>
        <w:t>١٣-</w:t>
      </w:r>
      <w:r w:rsidRPr="00E406EF">
        <w:rPr>
          <w:rFonts w:hint="cs"/>
          <w:spacing w:val="-2"/>
          <w:rtl/>
          <w:lang w:eastAsia="zh-TW"/>
        </w:rPr>
        <w:tab/>
      </w:r>
      <w:r w:rsidRPr="00E406EF">
        <w:rPr>
          <w:b/>
          <w:bCs/>
          <w:spacing w:val="-2"/>
          <w:rtl/>
          <w:lang w:eastAsia="zh-TW"/>
        </w:rPr>
        <w:t>توصي اللجنة الدولة الطرف باتخاذ التدابير التشريعية اللازمة بحيث تُضمّن تحديد</w:t>
      </w:r>
      <w:r w:rsidR="00550F28">
        <w:rPr>
          <w:b/>
          <w:bCs/>
          <w:spacing w:val="-2"/>
          <w:rtl/>
          <w:lang w:eastAsia="zh-TW"/>
        </w:rPr>
        <w:t xml:space="preserve">اً </w:t>
      </w:r>
      <w:r w:rsidRPr="00E406EF">
        <w:rPr>
          <w:b/>
          <w:bCs/>
          <w:spacing w:val="-2"/>
          <w:rtl/>
          <w:lang w:eastAsia="zh-TW"/>
        </w:rPr>
        <w:t>القانون المحلي الحظر المطلق للاختفاء القسري، وفق</w:t>
      </w:r>
      <w:r w:rsidR="00550F28">
        <w:rPr>
          <w:b/>
          <w:bCs/>
          <w:spacing w:val="-2"/>
          <w:rtl/>
          <w:lang w:eastAsia="zh-TW"/>
        </w:rPr>
        <w:t xml:space="preserve">اً </w:t>
      </w:r>
      <w:r w:rsidRPr="00E406EF">
        <w:rPr>
          <w:b/>
          <w:bCs/>
          <w:spacing w:val="-2"/>
          <w:rtl/>
          <w:lang w:eastAsia="zh-TW"/>
        </w:rPr>
        <w:t>للمادة 1(2) من الاتفاقية.</w:t>
      </w:r>
    </w:p>
    <w:p w:rsidR="00E52476" w:rsidRPr="009E7337" w:rsidRDefault="00E52476" w:rsidP="00E52476">
      <w:pPr>
        <w:pStyle w:val="H23GA"/>
        <w:rPr>
          <w:rtl/>
        </w:rPr>
      </w:pPr>
      <w:r w:rsidRPr="009E7337">
        <w:rPr>
          <w:rtl/>
        </w:rPr>
        <w:tab/>
      </w:r>
      <w:r w:rsidRPr="009E7337">
        <w:rPr>
          <w:rtl/>
        </w:rPr>
        <w:tab/>
      </w:r>
      <w:dir w:val="rtl">
        <w:r w:rsidRPr="009E7337">
          <w:rPr>
            <w:rtl/>
          </w:rPr>
          <w:t>جريمة الاختفاء القسري</w:t>
        </w:r>
        <w:r w:rsidRPr="009E7337">
          <w:rPr>
            <w:rFonts w:cs="Times New Roman" w:hint="cs"/>
            <w:rtl/>
          </w:rPr>
          <w:t>‬</w:t>
        </w:r>
        <w:r w:rsidRPr="009E7337">
          <w:rPr>
            <w:rtl/>
          </w:rPr>
          <w:t xml:space="preserve"> </w:t>
        </w:r>
        <w:r>
          <w:t>‬</w:t>
        </w:r>
        <w:r w:rsidR="00565AAB">
          <w:t>‬</w:t>
        </w:r>
        <w:r w:rsidR="00F9414A">
          <w:t>‬</w:t>
        </w:r>
      </w:dir>
    </w:p>
    <w:p w:rsidR="00E52476" w:rsidRPr="00E406EF" w:rsidRDefault="00E52476" w:rsidP="00565AAB">
      <w:pPr>
        <w:pStyle w:val="SingleTxtGA"/>
        <w:rPr>
          <w:rtl/>
        </w:rPr>
      </w:pPr>
      <w:r w:rsidRPr="00E406EF">
        <w:rPr>
          <w:rtl/>
        </w:rPr>
        <w:t>١٤-</w:t>
      </w:r>
      <w:r w:rsidRPr="00E406EF">
        <w:rPr>
          <w:rFonts w:hint="cs"/>
          <w:rtl/>
        </w:rPr>
        <w:tab/>
      </w:r>
      <w:r w:rsidRPr="00E406EF">
        <w:rPr>
          <w:rtl/>
        </w:rPr>
        <w:t>تشعر اللجنة بالقلق إذ لم يُدرج</w:t>
      </w:r>
      <w:r w:rsidRPr="00E406EF">
        <w:rPr>
          <w:rFonts w:hint="cs"/>
          <w:rtl/>
        </w:rPr>
        <w:t xml:space="preserve"> </w:t>
      </w:r>
      <w:r w:rsidRPr="00E406EF">
        <w:rPr>
          <w:rtl/>
        </w:rPr>
        <w:t>الاختفاء القسري في تشريعات الدولة الطرف بعدُ باعتباره جريمة مستقلة.</w:t>
      </w:r>
      <w:r w:rsidRPr="00E406EF">
        <w:t>‬</w:t>
      </w:r>
      <w:r w:rsidRPr="00E406EF">
        <w:rPr>
          <w:rtl/>
        </w:rPr>
        <w:t xml:space="preserve"> </w:t>
      </w:r>
      <w:r w:rsidRPr="00E406EF">
        <w:rPr>
          <w:rFonts w:hint="cs"/>
          <w:rtl/>
        </w:rPr>
        <w:t>و</w:t>
      </w:r>
      <w:r w:rsidRPr="00E406EF">
        <w:rPr>
          <w:rtl/>
        </w:rPr>
        <w:t>تحيط اللجنة علما</w:t>
      </w:r>
      <w:r w:rsidRPr="00E406EF">
        <w:rPr>
          <w:rFonts w:hint="cs"/>
          <w:rtl/>
        </w:rPr>
        <w:t xml:space="preserve">ً، </w:t>
      </w:r>
      <w:r w:rsidRPr="00E406EF">
        <w:rPr>
          <w:rtl/>
        </w:rPr>
        <w:t>وفي هذا الصدد</w:t>
      </w:r>
      <w:r w:rsidRPr="00E406EF">
        <w:rPr>
          <w:rFonts w:hint="cs"/>
          <w:rtl/>
        </w:rPr>
        <w:t>،</w:t>
      </w:r>
      <w:r w:rsidRPr="00E406EF">
        <w:rPr>
          <w:rtl/>
        </w:rPr>
        <w:t xml:space="preserve"> بالمعلومات التي قدمتها الدولة الطرف والتي تشير إلى أن مشروع القانون المقترح بشأن الاختفاء القسري الذي أرفقته بتقريرها (</w:t>
      </w:r>
      <w:r w:rsidRPr="00E406EF">
        <w:t>CED/C/TUN/1</w:t>
      </w:r>
      <w:r w:rsidRPr="00E406EF">
        <w:rPr>
          <w:rFonts w:hint="cs"/>
          <w:rtl/>
        </w:rPr>
        <w:t>)</w:t>
      </w:r>
      <w:r w:rsidRPr="00E406EF">
        <w:rPr>
          <w:rtl/>
        </w:rPr>
        <w:t xml:space="preserve"> والذي أزالته منه لاحق</w:t>
      </w:r>
      <w:r w:rsidR="00550F28">
        <w:rPr>
          <w:rtl/>
        </w:rPr>
        <w:t xml:space="preserve">اً </w:t>
      </w:r>
      <w:r w:rsidRPr="00E406EF">
        <w:rPr>
          <w:rtl/>
        </w:rPr>
        <w:t xml:space="preserve">(انظر </w:t>
      </w:r>
      <w:r w:rsidRPr="00E406EF">
        <w:t>CED/C/TUN/Q/1/Add.1</w:t>
      </w:r>
      <w:r w:rsidRPr="00E406EF">
        <w:rPr>
          <w:rtl/>
        </w:rPr>
        <w:t>، الفقرة 8)</w:t>
      </w:r>
      <w:r w:rsidR="0071202B">
        <w:rPr>
          <w:rFonts w:hint="cs"/>
          <w:rtl/>
        </w:rPr>
        <w:t>،</w:t>
      </w:r>
      <w:r w:rsidRPr="00E406EF">
        <w:rPr>
          <w:rtl/>
        </w:rPr>
        <w:t xml:space="preserve"> لم</w:t>
      </w:r>
      <w:r w:rsidR="00565AAB">
        <w:rPr>
          <w:rFonts w:hint="cs"/>
          <w:rtl/>
        </w:rPr>
        <w:t> </w:t>
      </w:r>
      <w:r w:rsidRPr="00E406EF">
        <w:rPr>
          <w:rtl/>
        </w:rPr>
        <w:t>يقدَّم لا إلى مجلس الوزراء ولا إلى البرلمان؛ وأن لجنة</w:t>
      </w:r>
      <w:r w:rsidRPr="00E406EF">
        <w:rPr>
          <w:rFonts w:hint="cs"/>
          <w:rtl/>
        </w:rPr>
        <w:t>ً</w:t>
      </w:r>
      <w:r w:rsidRPr="00E406EF">
        <w:rPr>
          <w:rtl/>
        </w:rPr>
        <w:t xml:space="preserve"> تقنية ستراجع مشروع القانون الأولي مراعيةً ملاحظات اللجنة المعنية بحالات الاختفاء القسري؛ وأن مشروع قانون جديد</w:t>
      </w:r>
      <w:r w:rsidR="00550F28">
        <w:rPr>
          <w:rtl/>
        </w:rPr>
        <w:t xml:space="preserve">اً </w:t>
      </w:r>
      <w:r w:rsidRPr="00E406EF">
        <w:rPr>
          <w:rtl/>
        </w:rPr>
        <w:t xml:space="preserve">سيقدم إلى البرلمان في عام 2016. وتأسف اللجنة </w:t>
      </w:r>
      <w:r w:rsidR="0071202B">
        <w:rPr>
          <w:rFonts w:hint="cs"/>
          <w:rtl/>
        </w:rPr>
        <w:t>ل</w:t>
      </w:r>
      <w:r w:rsidRPr="00E406EF">
        <w:rPr>
          <w:rFonts w:hint="cs"/>
          <w:rtl/>
        </w:rPr>
        <w:t xml:space="preserve">عدم </w:t>
      </w:r>
      <w:r w:rsidRPr="00E406EF">
        <w:rPr>
          <w:rtl/>
        </w:rPr>
        <w:t>تلقيها معلومات عن الحالة الراهنة لمشروع القانون المتعلق بالجرائم في حق الإنسانية المشار إليه في الفقرة 67 من تقرير الدولة الطرف، وتلاحظ أن التشريعات الوطنية لا تنص تحديد</w:t>
      </w:r>
      <w:r w:rsidR="00550F28">
        <w:rPr>
          <w:rtl/>
        </w:rPr>
        <w:t xml:space="preserve">اً </w:t>
      </w:r>
      <w:r w:rsidRPr="00E406EF">
        <w:rPr>
          <w:rtl/>
        </w:rPr>
        <w:t>حتى الآن على تجريم الاختفاء القسري بوصفه جريمة في حق الإنسانية وفق</w:t>
      </w:r>
      <w:r w:rsidR="00550F28">
        <w:rPr>
          <w:rtl/>
        </w:rPr>
        <w:t xml:space="preserve">اً </w:t>
      </w:r>
      <w:r w:rsidRPr="00E406EF">
        <w:rPr>
          <w:rtl/>
        </w:rPr>
        <w:t>للمعايير المنصوص عليها في المادة 5 من الاتفاقية (المواد 2 و4-7).</w:t>
      </w:r>
    </w:p>
    <w:p w:rsidR="00E52476" w:rsidRPr="00E52476" w:rsidRDefault="00E52476" w:rsidP="00E52476">
      <w:pPr>
        <w:pStyle w:val="SingleTxtGA"/>
        <w:rPr>
          <w:b/>
          <w:bCs/>
          <w:rtl/>
          <w:lang w:eastAsia="zh-TW"/>
        </w:rPr>
      </w:pPr>
      <w:r>
        <w:rPr>
          <w:rtl/>
          <w:lang w:eastAsia="zh-TW"/>
        </w:rPr>
        <w:t>١٥-</w:t>
      </w:r>
      <w:r>
        <w:rPr>
          <w:rFonts w:hint="cs"/>
          <w:rtl/>
          <w:lang w:eastAsia="zh-TW"/>
        </w:rPr>
        <w:tab/>
      </w:r>
      <w:r w:rsidRPr="00E52476">
        <w:rPr>
          <w:b/>
          <w:bCs/>
          <w:rtl/>
          <w:lang w:eastAsia="zh-TW"/>
        </w:rPr>
        <w:t xml:space="preserve">توصي اللجنة بأن تعتمد الدولة الطرف التدابير التشريعية اللازمة لتحقيق </w:t>
      </w:r>
      <w:r>
        <w:rPr>
          <w:rFonts w:hint="cs"/>
          <w:b/>
          <w:bCs/>
          <w:rtl/>
          <w:lang w:eastAsia="zh-TW"/>
        </w:rPr>
        <w:t xml:space="preserve">ما يلي </w:t>
      </w:r>
      <w:r w:rsidRPr="00E52476">
        <w:rPr>
          <w:b/>
          <w:bCs/>
          <w:rtl/>
          <w:lang w:eastAsia="zh-TW"/>
        </w:rPr>
        <w:t>في أقرب وقت ممكن:</w:t>
      </w:r>
      <w:r w:rsidRPr="00E52476">
        <w:rPr>
          <w:b/>
          <w:bCs/>
          <w:lang w:eastAsia="zh-TW"/>
        </w:rPr>
        <w:t>‬</w:t>
      </w:r>
    </w:p>
    <w:p w:rsidR="00E52476" w:rsidRPr="00E52476" w:rsidRDefault="00E52476" w:rsidP="00E52476">
      <w:pPr>
        <w:pStyle w:val="SingleTxtGA"/>
        <w:rPr>
          <w:b/>
          <w:bCs/>
          <w:rtl/>
          <w:lang w:eastAsia="zh-TW"/>
        </w:rPr>
      </w:pPr>
      <w:r>
        <w:rPr>
          <w:rFonts w:hint="cs"/>
          <w:rtl/>
          <w:lang w:eastAsia="zh-TW"/>
        </w:rPr>
        <w:tab/>
      </w:r>
      <w:r>
        <w:rPr>
          <w:rtl/>
          <w:lang w:eastAsia="zh-TW"/>
        </w:rPr>
        <w:t>(أ)</w:t>
      </w:r>
      <w:r>
        <w:rPr>
          <w:rFonts w:hint="cs"/>
          <w:rtl/>
          <w:lang w:eastAsia="zh-TW"/>
        </w:rPr>
        <w:tab/>
      </w:r>
      <w:r>
        <w:rPr>
          <w:rFonts w:hint="cs"/>
          <w:b/>
          <w:bCs/>
          <w:rtl/>
          <w:lang w:eastAsia="zh-TW"/>
        </w:rPr>
        <w:t xml:space="preserve">إدراج </w:t>
      </w:r>
      <w:r w:rsidRPr="00E52476">
        <w:rPr>
          <w:b/>
          <w:bCs/>
          <w:rtl/>
          <w:lang w:eastAsia="zh-TW"/>
        </w:rPr>
        <w:t>الاختفاء القسري في قانونها المحلي باعتباره جريمة مستقلة وفقاً للتعريف الوارد في المادة 2 من الاتفاقية، و</w:t>
      </w:r>
      <w:r>
        <w:rPr>
          <w:rFonts w:hint="cs"/>
          <w:b/>
          <w:bCs/>
          <w:rtl/>
          <w:lang w:eastAsia="zh-TW"/>
        </w:rPr>
        <w:t xml:space="preserve">فرض </w:t>
      </w:r>
      <w:r w:rsidRPr="00E52476">
        <w:rPr>
          <w:b/>
          <w:bCs/>
          <w:rtl/>
          <w:lang w:eastAsia="zh-TW"/>
        </w:rPr>
        <w:t xml:space="preserve">العقوبات المناسبة التي تأخذ في </w:t>
      </w:r>
      <w:r w:rsidRPr="00E52476">
        <w:rPr>
          <w:b/>
          <w:bCs/>
          <w:rtl/>
          <w:lang w:eastAsia="zh-TW"/>
        </w:rPr>
        <w:lastRenderedPageBreak/>
        <w:t>الحسبان خطورتها البالغة</w:t>
      </w:r>
      <w:r>
        <w:rPr>
          <w:b/>
          <w:bCs/>
          <w:rtl/>
          <w:lang w:eastAsia="zh-TW"/>
        </w:rPr>
        <w:t xml:space="preserve"> على </w:t>
      </w:r>
      <w:r>
        <w:rPr>
          <w:rFonts w:hint="cs"/>
          <w:b/>
          <w:bCs/>
          <w:rtl/>
          <w:lang w:eastAsia="zh-TW"/>
        </w:rPr>
        <w:t xml:space="preserve">من يقترف </w:t>
      </w:r>
      <w:r>
        <w:rPr>
          <w:b/>
          <w:bCs/>
          <w:rtl/>
          <w:lang w:eastAsia="zh-TW"/>
        </w:rPr>
        <w:t>هذه الجريمة</w:t>
      </w:r>
      <w:r w:rsidRPr="00E52476">
        <w:rPr>
          <w:b/>
          <w:bCs/>
          <w:rtl/>
          <w:lang w:eastAsia="zh-TW"/>
        </w:rPr>
        <w:t>، متجنّبةً عقوبة الإعدام</w:t>
      </w:r>
      <w:r w:rsidRPr="00E52476">
        <w:rPr>
          <w:rFonts w:hint="cs"/>
          <w:b/>
          <w:bCs/>
          <w:rtl/>
          <w:lang w:eastAsia="zh-TW"/>
        </w:rPr>
        <w:t xml:space="preserve">. </w:t>
      </w:r>
      <w:r w:rsidRPr="00E52476">
        <w:rPr>
          <w:b/>
          <w:bCs/>
          <w:rtl/>
          <w:lang w:eastAsia="zh-TW"/>
        </w:rPr>
        <w:t>وتدعو اللجنة الدولة الطرف إلى الدلالة على الظروف المخففة والمشددة المحددة المنصوص عليها في المادة 27(2) من الاتفاقية؛</w:t>
      </w:r>
    </w:p>
    <w:p w:rsidR="00E52476" w:rsidRPr="00E52476" w:rsidRDefault="00E52476" w:rsidP="00E52476">
      <w:pPr>
        <w:pStyle w:val="SingleTxtGA"/>
        <w:rPr>
          <w:b/>
          <w:bCs/>
          <w:rtl/>
          <w:lang w:eastAsia="zh-TW"/>
        </w:rPr>
      </w:pPr>
      <w:r>
        <w:rPr>
          <w:rFonts w:hint="cs"/>
          <w:rtl/>
          <w:lang w:eastAsia="zh-TW"/>
        </w:rPr>
        <w:tab/>
      </w:r>
      <w:r>
        <w:rPr>
          <w:rtl/>
          <w:lang w:eastAsia="zh-TW"/>
        </w:rPr>
        <w:t>(ب)</w:t>
      </w:r>
      <w:r>
        <w:rPr>
          <w:rFonts w:hint="cs"/>
          <w:rtl/>
          <w:lang w:eastAsia="zh-TW"/>
        </w:rPr>
        <w:tab/>
      </w:r>
      <w:r>
        <w:rPr>
          <w:rFonts w:hint="cs"/>
          <w:b/>
          <w:bCs/>
          <w:rtl/>
          <w:lang w:eastAsia="zh-TW"/>
        </w:rPr>
        <w:t xml:space="preserve">تجريم </w:t>
      </w:r>
      <w:r w:rsidRPr="00E52476">
        <w:rPr>
          <w:b/>
          <w:bCs/>
          <w:rtl/>
          <w:lang w:eastAsia="zh-TW"/>
        </w:rPr>
        <w:t>الاختفاء القسري باعتباره جريمة في حق الإنسانية وفقاً للمعايير المنصوص عليها في المادة 5 من الاتفاقية.</w:t>
      </w:r>
      <w:r w:rsidRPr="00E52476">
        <w:rPr>
          <w:b/>
          <w:bCs/>
          <w:lang w:eastAsia="zh-TW"/>
        </w:rPr>
        <w:t>‬</w:t>
      </w:r>
    </w:p>
    <w:p w:rsidR="00E52476" w:rsidRPr="00790326" w:rsidRDefault="00E52476" w:rsidP="00E52476">
      <w:pPr>
        <w:pStyle w:val="H23GA"/>
        <w:rPr>
          <w:rtl/>
        </w:rPr>
      </w:pPr>
      <w:r w:rsidRPr="00790326">
        <w:rPr>
          <w:rtl/>
        </w:rPr>
        <w:tab/>
      </w:r>
      <w:r w:rsidRPr="00790326">
        <w:rPr>
          <w:rtl/>
        </w:rPr>
        <w:tab/>
      </w:r>
      <w:dir w:val="rtl">
        <w:r w:rsidRPr="00790326">
          <w:rPr>
            <w:rtl/>
          </w:rPr>
          <w:t>المسؤولية الجنائية للرؤساء المباشرين</w:t>
        </w:r>
        <w:r>
          <w:t>‬</w:t>
        </w:r>
        <w:r w:rsidR="00565AAB">
          <w:t>‬</w:t>
        </w:r>
        <w:r w:rsidR="00F9414A">
          <w:t>‬</w:t>
        </w:r>
      </w:dir>
    </w:p>
    <w:p w:rsidR="00E52476" w:rsidRPr="00E112BF" w:rsidRDefault="00E52476" w:rsidP="00E52476">
      <w:pPr>
        <w:pStyle w:val="SingleTxtGA"/>
        <w:rPr>
          <w:rtl/>
          <w:lang w:eastAsia="zh-TW"/>
        </w:rPr>
      </w:pPr>
      <w:r>
        <w:rPr>
          <w:rtl/>
          <w:lang w:eastAsia="zh-TW"/>
        </w:rPr>
        <w:t>١٦-</w:t>
      </w:r>
      <w:r>
        <w:rPr>
          <w:rFonts w:hint="cs"/>
          <w:rtl/>
          <w:lang w:eastAsia="zh-TW"/>
        </w:rPr>
        <w:tab/>
      </w:r>
      <w:r w:rsidRPr="00E112BF">
        <w:rPr>
          <w:rtl/>
          <w:lang w:eastAsia="zh-TW"/>
        </w:rPr>
        <w:t xml:space="preserve">تلاحظ اللجنة بقلق أن التشريعات النافذة في الدولة الطرف ليست منسجمة </w:t>
      </w:r>
      <w:r>
        <w:rPr>
          <w:rFonts w:hint="cs"/>
          <w:rtl/>
          <w:lang w:eastAsia="zh-TW"/>
        </w:rPr>
        <w:t>تمام</w:t>
      </w:r>
      <w:r w:rsidR="00550F28">
        <w:rPr>
          <w:rFonts w:hint="cs"/>
          <w:rtl/>
          <w:lang w:eastAsia="zh-TW"/>
        </w:rPr>
        <w:t xml:space="preserve">اً </w:t>
      </w:r>
      <w:r>
        <w:rPr>
          <w:rtl/>
          <w:lang w:eastAsia="zh-TW"/>
        </w:rPr>
        <w:t xml:space="preserve">مع الالتزام الناشئ </w:t>
      </w:r>
      <w:r>
        <w:rPr>
          <w:rFonts w:hint="cs"/>
          <w:rtl/>
          <w:lang w:eastAsia="zh-TW"/>
        </w:rPr>
        <w:t>من</w:t>
      </w:r>
      <w:r w:rsidRPr="00E112BF">
        <w:rPr>
          <w:rtl/>
          <w:lang w:eastAsia="zh-TW"/>
        </w:rPr>
        <w:t xml:space="preserve"> المادة 6(1)(ب) من الاتفاقية والمتعلق بالمسؤولية الجنائية للرؤساء المباشرين.</w:t>
      </w:r>
      <w:r w:rsidRPr="00E112BF">
        <w:rPr>
          <w:lang w:eastAsia="zh-TW"/>
        </w:rPr>
        <w:t>‬</w:t>
      </w:r>
    </w:p>
    <w:p w:rsidR="00E52476" w:rsidRPr="00E406EF" w:rsidRDefault="00E52476" w:rsidP="00E406EF">
      <w:pPr>
        <w:pStyle w:val="SingleTxtGA"/>
        <w:rPr>
          <w:b/>
          <w:bCs/>
          <w:rtl/>
          <w:lang w:eastAsia="zh-TW"/>
        </w:rPr>
      </w:pPr>
      <w:r w:rsidRPr="00E406EF">
        <w:rPr>
          <w:rtl/>
          <w:lang w:eastAsia="zh-TW"/>
        </w:rPr>
        <w:t>١٧-</w:t>
      </w:r>
      <w:r w:rsidRPr="00E406EF">
        <w:rPr>
          <w:rFonts w:hint="cs"/>
          <w:rtl/>
          <w:lang w:eastAsia="zh-TW"/>
        </w:rPr>
        <w:tab/>
      </w:r>
      <w:r w:rsidRPr="00E406EF">
        <w:rPr>
          <w:b/>
          <w:bCs/>
          <w:rtl/>
          <w:lang w:eastAsia="zh-TW"/>
        </w:rPr>
        <w:t>توصي اللجنة الدولة الطرف بأن تعتمد التدابير التشريعية اللازمة بحيث ينص</w:t>
      </w:r>
      <w:r w:rsidR="00E406EF">
        <w:rPr>
          <w:rFonts w:hint="cs"/>
          <w:b/>
          <w:bCs/>
          <w:rtl/>
          <w:lang w:eastAsia="zh-TW"/>
        </w:rPr>
        <w:t> </w:t>
      </w:r>
      <w:r w:rsidRPr="00E406EF">
        <w:rPr>
          <w:b/>
          <w:bCs/>
          <w:rtl/>
          <w:lang w:eastAsia="zh-TW"/>
        </w:rPr>
        <w:t>القانون المحلي تحديد</w:t>
      </w:r>
      <w:r w:rsidR="00550F28">
        <w:rPr>
          <w:b/>
          <w:bCs/>
          <w:rtl/>
          <w:lang w:eastAsia="zh-TW"/>
        </w:rPr>
        <w:t xml:space="preserve">اً </w:t>
      </w:r>
      <w:r w:rsidRPr="00E406EF">
        <w:rPr>
          <w:b/>
          <w:bCs/>
          <w:rtl/>
          <w:lang w:eastAsia="zh-TW"/>
        </w:rPr>
        <w:t>على المسؤولية الجنائية للرؤساء المباشرين عمل</w:t>
      </w:r>
      <w:r w:rsidR="00550F28">
        <w:rPr>
          <w:b/>
          <w:bCs/>
          <w:rtl/>
          <w:lang w:eastAsia="zh-TW"/>
        </w:rPr>
        <w:t xml:space="preserve">اً </w:t>
      </w:r>
      <w:r w:rsidRPr="00E406EF">
        <w:rPr>
          <w:b/>
          <w:bCs/>
          <w:rtl/>
          <w:lang w:eastAsia="zh-TW"/>
        </w:rPr>
        <w:t>بالمادة</w:t>
      </w:r>
      <w:r w:rsidR="00E406EF">
        <w:rPr>
          <w:rFonts w:hint="cs"/>
          <w:b/>
          <w:bCs/>
          <w:rtl/>
          <w:lang w:eastAsia="zh-TW"/>
        </w:rPr>
        <w:t> </w:t>
      </w:r>
      <w:r w:rsidRPr="00E406EF">
        <w:rPr>
          <w:b/>
          <w:bCs/>
          <w:rtl/>
          <w:lang w:eastAsia="zh-TW"/>
        </w:rPr>
        <w:t>6(1)(ب) من الاتفاقية.</w:t>
      </w:r>
    </w:p>
    <w:p w:rsidR="00E52476" w:rsidRPr="00E406EF" w:rsidRDefault="00E52476" w:rsidP="00E52476">
      <w:pPr>
        <w:pStyle w:val="H1GA"/>
        <w:rPr>
          <w:spacing w:val="-4"/>
          <w:rtl/>
          <w:lang w:eastAsia="zh-TW"/>
        </w:rPr>
      </w:pPr>
      <w:r w:rsidRPr="00E406EF">
        <w:rPr>
          <w:rFonts w:hint="cs"/>
          <w:spacing w:val="-4"/>
          <w:rtl/>
          <w:lang w:eastAsia="zh-TW"/>
        </w:rPr>
        <w:tab/>
      </w:r>
      <w:r w:rsidRPr="00E406EF">
        <w:rPr>
          <w:rFonts w:hint="cs"/>
          <w:spacing w:val="-4"/>
          <w:rtl/>
          <w:lang w:eastAsia="zh-TW"/>
        </w:rPr>
        <w:tab/>
      </w:r>
      <w:dir w:val="rtl">
        <w:r w:rsidRPr="00E406EF">
          <w:rPr>
            <w:spacing w:val="-4"/>
            <w:rtl/>
            <w:lang w:eastAsia="zh-TW"/>
          </w:rPr>
          <w:t>المسؤولية الجنائية والتعاون القضائي في مجال الاختفاء القسري (المواد 8-15)</w:t>
        </w:r>
        <w:r w:rsidRPr="00E406EF">
          <w:rPr>
            <w:spacing w:val="-4"/>
            <w:lang w:eastAsia="zh-TW"/>
          </w:rPr>
          <w:t>‬</w:t>
        </w:r>
        <w:r w:rsidRPr="00E406EF">
          <w:rPr>
            <w:spacing w:val="-4"/>
          </w:rPr>
          <w:t>‬</w:t>
        </w:r>
        <w:r w:rsidR="00565AAB">
          <w:t>‬</w:t>
        </w:r>
        <w:r w:rsidR="00F9414A">
          <w:t>‬</w:t>
        </w:r>
      </w:dir>
    </w:p>
    <w:p w:rsidR="00E52476" w:rsidRPr="00B33A79" w:rsidRDefault="00E52476" w:rsidP="00E52476">
      <w:pPr>
        <w:pStyle w:val="H23GA"/>
        <w:rPr>
          <w:rtl/>
        </w:rPr>
      </w:pPr>
      <w:r w:rsidRPr="00B33A79">
        <w:rPr>
          <w:rtl/>
        </w:rPr>
        <w:tab/>
      </w:r>
      <w:r w:rsidRPr="00B33A79">
        <w:rPr>
          <w:rtl/>
        </w:rPr>
        <w:tab/>
        <w:t>التقادم</w:t>
      </w:r>
    </w:p>
    <w:p w:rsidR="00E52476" w:rsidRPr="00E112BF" w:rsidRDefault="00E52476" w:rsidP="00E52476">
      <w:pPr>
        <w:pStyle w:val="SingleTxtGA"/>
        <w:rPr>
          <w:rtl/>
          <w:lang w:eastAsia="zh-TW"/>
        </w:rPr>
      </w:pPr>
      <w:r>
        <w:rPr>
          <w:rtl/>
          <w:lang w:eastAsia="zh-TW"/>
        </w:rPr>
        <w:t>١٨-</w:t>
      </w:r>
      <w:r>
        <w:rPr>
          <w:rFonts w:hint="cs"/>
          <w:rtl/>
          <w:lang w:eastAsia="zh-TW"/>
        </w:rPr>
        <w:tab/>
      </w:r>
      <w:r w:rsidRPr="00E112BF">
        <w:rPr>
          <w:rtl/>
          <w:lang w:eastAsia="zh-TW"/>
        </w:rPr>
        <w:t xml:space="preserve">تلاحظ اللجنة بتقدير أن </w:t>
      </w:r>
      <w:proofErr w:type="spellStart"/>
      <w:r w:rsidRPr="00E112BF">
        <w:rPr>
          <w:rtl/>
          <w:lang w:eastAsia="zh-TW"/>
        </w:rPr>
        <w:t>الاختفاءا</w:t>
      </w:r>
      <w:r>
        <w:rPr>
          <w:rFonts w:hint="cs"/>
          <w:rtl/>
          <w:lang w:eastAsia="zh-TW"/>
        </w:rPr>
        <w:t>ت</w:t>
      </w:r>
      <w:proofErr w:type="spellEnd"/>
      <w:r w:rsidRPr="00E112BF">
        <w:rPr>
          <w:rtl/>
          <w:lang w:eastAsia="zh-TW"/>
        </w:rPr>
        <w:t xml:space="preserve"> القسرية التي يشملها القانون الأساسي عدد 53 لا تخضع للتقاد</w:t>
      </w:r>
      <w:r>
        <w:rPr>
          <w:rtl/>
          <w:lang w:eastAsia="zh-TW"/>
        </w:rPr>
        <w:t>م</w:t>
      </w:r>
      <w:r>
        <w:rPr>
          <w:rFonts w:hint="cs"/>
          <w:rtl/>
          <w:lang w:eastAsia="zh-TW"/>
        </w:rPr>
        <w:t>،</w:t>
      </w:r>
      <w:r w:rsidRPr="00E112BF">
        <w:rPr>
          <w:rtl/>
          <w:lang w:eastAsia="zh-TW"/>
        </w:rPr>
        <w:t xml:space="preserve"> بيد أنها تعرب عن أسفها لعدم تلقيها معلومات كافية عن نظام التقادم الذي سيطبق على أفعال الاختفاء القسري إذا ارتكبت بعد الفترة التي يغطيها القانون (المادة 8).</w:t>
      </w:r>
    </w:p>
    <w:p w:rsidR="00E52476" w:rsidRPr="00E52476" w:rsidRDefault="00E52476" w:rsidP="00E52476">
      <w:pPr>
        <w:pStyle w:val="SingleTxtGA"/>
        <w:rPr>
          <w:b/>
          <w:bCs/>
          <w:rtl/>
          <w:lang w:eastAsia="zh-TW"/>
        </w:rPr>
      </w:pPr>
      <w:r w:rsidRPr="00755E26">
        <w:rPr>
          <w:rtl/>
          <w:lang w:eastAsia="zh-TW"/>
        </w:rPr>
        <w:t>١٩-</w:t>
      </w:r>
      <w:r>
        <w:rPr>
          <w:rFonts w:hint="cs"/>
          <w:rtl/>
          <w:lang w:eastAsia="zh-TW"/>
        </w:rPr>
        <w:tab/>
      </w:r>
      <w:r w:rsidRPr="00E52476">
        <w:rPr>
          <w:b/>
          <w:bCs/>
          <w:rtl/>
          <w:lang w:eastAsia="zh-TW"/>
        </w:rPr>
        <w:t>في ضوء المادة 8 من الاتفاقية، توصي اللجنة الدولة الطرف باعتماد التدابير التشريعية أو غيرها من التدابير اللازمة بحيث تكون مدة تقادم الإجراءات الجنائية، المتعلقة بحالات الاختفاء القسري التي لا يشملها القانون الأساسي عدد 53، طويلة الأمد؛ وأن</w:t>
      </w:r>
      <w:r w:rsidRPr="00E52476">
        <w:rPr>
          <w:rFonts w:hint="cs"/>
          <w:b/>
          <w:bCs/>
          <w:rtl/>
          <w:lang w:eastAsia="zh-TW"/>
        </w:rPr>
        <w:t xml:space="preserve"> تتناسب</w:t>
      </w:r>
      <w:r w:rsidRPr="00E52476">
        <w:rPr>
          <w:b/>
          <w:bCs/>
          <w:rtl/>
          <w:lang w:eastAsia="zh-TW"/>
        </w:rPr>
        <w:t xml:space="preserve"> مع جسامة الجريمة؛ وأن تبدأ، مع مراعاة الطابع المستمر للاختفاء القسري، من لحظة انتهاء الجريمة (في جملة أمور، من اللحظة التي يوجد فيها المختفي وهو على قيد الحياة</w:t>
      </w:r>
      <w:r w:rsidRPr="00E52476">
        <w:rPr>
          <w:rFonts w:hint="cs"/>
          <w:b/>
          <w:bCs/>
          <w:rtl/>
          <w:lang w:eastAsia="zh-TW"/>
        </w:rPr>
        <w:t>؛</w:t>
      </w:r>
      <w:r w:rsidRPr="00E52476">
        <w:rPr>
          <w:b/>
          <w:bCs/>
          <w:rtl/>
          <w:lang w:eastAsia="zh-TW"/>
        </w:rPr>
        <w:t xml:space="preserve"> </w:t>
      </w:r>
      <w:r w:rsidRPr="00E52476">
        <w:rPr>
          <w:rFonts w:hint="cs"/>
          <w:b/>
          <w:bCs/>
          <w:rtl/>
          <w:lang w:eastAsia="zh-TW"/>
        </w:rPr>
        <w:t xml:space="preserve">أو </w:t>
      </w:r>
      <w:r w:rsidRPr="00E52476">
        <w:rPr>
          <w:b/>
          <w:bCs/>
          <w:rtl/>
          <w:lang w:eastAsia="zh-TW"/>
        </w:rPr>
        <w:t>عند الوفاة، عندما يوجد رفاته وتحدد هويته،</w:t>
      </w:r>
      <w:r w:rsidRPr="00E52476">
        <w:rPr>
          <w:rFonts w:hint="cs"/>
          <w:b/>
          <w:bCs/>
          <w:rtl/>
          <w:lang w:eastAsia="zh-TW"/>
        </w:rPr>
        <w:t xml:space="preserve"> أو</w:t>
      </w:r>
      <w:r w:rsidRPr="00E52476">
        <w:rPr>
          <w:b/>
          <w:bCs/>
          <w:rtl/>
          <w:lang w:eastAsia="zh-TW"/>
        </w:rPr>
        <w:t xml:space="preserve"> عند استرجاع هوية طفل انتُزع). وتشجع اللجنة الدولة الطرف، عند تجريمها الاختفاء القسري باعتباره جريمة مستقلة، على أن تنص</w:t>
      </w:r>
      <w:r w:rsidRPr="00E52476">
        <w:rPr>
          <w:rFonts w:hint="cs"/>
          <w:b/>
          <w:bCs/>
          <w:rtl/>
          <w:lang w:eastAsia="zh-TW"/>
        </w:rPr>
        <w:t xml:space="preserve"> تشريعاتها</w:t>
      </w:r>
      <w:r w:rsidRPr="00E52476">
        <w:rPr>
          <w:b/>
          <w:bCs/>
          <w:rtl/>
          <w:lang w:eastAsia="zh-TW"/>
        </w:rPr>
        <w:t xml:space="preserve"> على أن الجريمة لا تسقط بالتقادم.</w:t>
      </w:r>
    </w:p>
    <w:p w:rsidR="00E52476" w:rsidRPr="00755E26" w:rsidRDefault="00E52476" w:rsidP="00E52476">
      <w:pPr>
        <w:pStyle w:val="H23GA"/>
        <w:rPr>
          <w:rtl/>
        </w:rPr>
      </w:pPr>
      <w:r w:rsidRPr="00755E26">
        <w:rPr>
          <w:rtl/>
        </w:rPr>
        <w:tab/>
      </w:r>
      <w:r w:rsidRPr="00755E26">
        <w:rPr>
          <w:rtl/>
        </w:rPr>
        <w:tab/>
        <w:t>القضاء العسكري</w:t>
      </w:r>
    </w:p>
    <w:p w:rsidR="00E52476" w:rsidRPr="00E112BF" w:rsidRDefault="00E52476" w:rsidP="00E52476">
      <w:pPr>
        <w:pStyle w:val="SingleTxtGA"/>
        <w:rPr>
          <w:rtl/>
          <w:lang w:eastAsia="zh-TW"/>
        </w:rPr>
      </w:pPr>
      <w:r>
        <w:rPr>
          <w:rtl/>
          <w:lang w:eastAsia="zh-TW"/>
        </w:rPr>
        <w:t>٢٠-</w:t>
      </w:r>
      <w:r>
        <w:rPr>
          <w:rFonts w:hint="cs"/>
          <w:rtl/>
          <w:lang w:eastAsia="zh-TW"/>
        </w:rPr>
        <w:tab/>
      </w:r>
      <w:r w:rsidRPr="00E112BF">
        <w:rPr>
          <w:rtl/>
          <w:lang w:eastAsia="zh-TW"/>
        </w:rPr>
        <w:t>تشعر اللجنة بالقلق لأن أفعال الاختفاء القسري قد تندرج ضمن اختصاص المحاكم العسكرية بالنظر إلى أن التشريعات النافذة في الوقت الراهن تنص على أن عناصر الجيش المتهمين بارتكاب جريمة في إطار القانون العادي أو العسكري، إضافة إلى المدنيين في حالات محددة، يقدّمون إلى المحاكم العسكرية، باستثناء الجرائم الإرهابية. وتحيط اللجنة علم</w:t>
      </w:r>
      <w:r w:rsidR="00550F28">
        <w:rPr>
          <w:rtl/>
          <w:lang w:eastAsia="zh-TW"/>
        </w:rPr>
        <w:t xml:space="preserve">اً </w:t>
      </w:r>
      <w:r w:rsidRPr="00E112BF">
        <w:rPr>
          <w:rtl/>
          <w:lang w:eastAsia="zh-TW"/>
        </w:rPr>
        <w:t>باهتمام، في معرض تذكيرها بموقفها المتمثل في أن المحاكم العسكرية لا توفر، مبدئيا</w:t>
      </w:r>
      <w:r w:rsidR="00550F28">
        <w:rPr>
          <w:rFonts w:hint="cs"/>
          <w:rtl/>
          <w:lang w:eastAsia="zh-TW"/>
        </w:rPr>
        <w:t>ً</w:t>
      </w:r>
      <w:r w:rsidRPr="00E112BF">
        <w:rPr>
          <w:rtl/>
          <w:lang w:eastAsia="zh-TW"/>
        </w:rPr>
        <w:t xml:space="preserve">، الاستقلالية والنزاهة </w:t>
      </w:r>
      <w:r w:rsidRPr="00E112BF">
        <w:rPr>
          <w:rtl/>
          <w:lang w:eastAsia="zh-TW"/>
        </w:rPr>
        <w:lastRenderedPageBreak/>
        <w:t xml:space="preserve">التي </w:t>
      </w:r>
      <w:proofErr w:type="spellStart"/>
      <w:r w:rsidRPr="00E112BF">
        <w:rPr>
          <w:rtl/>
          <w:lang w:eastAsia="zh-TW"/>
        </w:rPr>
        <w:t>تتطلبها</w:t>
      </w:r>
      <w:proofErr w:type="spellEnd"/>
      <w:r w:rsidRPr="00E112BF">
        <w:rPr>
          <w:rtl/>
          <w:lang w:eastAsia="zh-TW"/>
        </w:rPr>
        <w:t xml:space="preserve"> الاتفاقية للنظر في القضايا التي تنطوي على انتهاكات لحقوق الإنسان مثل الاختفاء القسري، بالمعلومات التي قدمتها الدولة الطرف والتي جاء فيها أن لجنة</w:t>
      </w:r>
      <w:r>
        <w:rPr>
          <w:rFonts w:hint="cs"/>
          <w:rtl/>
          <w:lang w:eastAsia="zh-TW"/>
        </w:rPr>
        <w:t>ً</w:t>
      </w:r>
      <w:r w:rsidRPr="00E112BF">
        <w:rPr>
          <w:rtl/>
          <w:lang w:eastAsia="zh-TW"/>
        </w:rPr>
        <w:t xml:space="preserve"> تقنية </w:t>
      </w:r>
      <w:r>
        <w:rPr>
          <w:rFonts w:hint="cs"/>
          <w:rtl/>
          <w:lang w:eastAsia="zh-TW"/>
        </w:rPr>
        <w:t xml:space="preserve">تنكب </w:t>
      </w:r>
      <w:r w:rsidRPr="00E112BF">
        <w:rPr>
          <w:rtl/>
          <w:lang w:eastAsia="zh-TW"/>
        </w:rPr>
        <w:t>حاليا</w:t>
      </w:r>
      <w:r>
        <w:rPr>
          <w:rFonts w:hint="cs"/>
          <w:rtl/>
          <w:lang w:eastAsia="zh-TW"/>
        </w:rPr>
        <w:t>ً</w:t>
      </w:r>
      <w:r w:rsidRPr="00E112BF">
        <w:rPr>
          <w:rtl/>
          <w:lang w:eastAsia="zh-TW"/>
        </w:rPr>
        <w:t xml:space="preserve"> </w:t>
      </w:r>
      <w:r>
        <w:rPr>
          <w:rFonts w:hint="cs"/>
          <w:rtl/>
          <w:lang w:eastAsia="zh-TW"/>
        </w:rPr>
        <w:t xml:space="preserve">على وضع </w:t>
      </w:r>
      <w:r w:rsidRPr="00E112BF">
        <w:rPr>
          <w:rtl/>
          <w:lang w:eastAsia="zh-TW"/>
        </w:rPr>
        <w:t xml:space="preserve">مشروع قانون </w:t>
      </w:r>
      <w:r>
        <w:rPr>
          <w:rFonts w:hint="cs"/>
          <w:rtl/>
          <w:lang w:eastAsia="zh-TW"/>
        </w:rPr>
        <w:t xml:space="preserve">الهدف منه تحقيق اتساق </w:t>
      </w:r>
      <w:r w:rsidRPr="00E112BF">
        <w:rPr>
          <w:rtl/>
          <w:lang w:eastAsia="zh-TW"/>
        </w:rPr>
        <w:t>القانون الداخلي المتعلق بالقضاء العسكري مع المعايير الدستورية والدولية ذات الصلة (المادة 11).</w:t>
      </w:r>
    </w:p>
    <w:p w:rsidR="00E52476" w:rsidRPr="00E52476" w:rsidRDefault="00E52476" w:rsidP="00E52476">
      <w:pPr>
        <w:pStyle w:val="SingleTxtGA"/>
        <w:rPr>
          <w:b/>
          <w:bCs/>
          <w:rtl/>
          <w:lang w:eastAsia="zh-TW"/>
        </w:rPr>
      </w:pPr>
      <w:r>
        <w:rPr>
          <w:rtl/>
          <w:lang w:eastAsia="zh-TW"/>
        </w:rPr>
        <w:t>٢١-</w:t>
      </w:r>
      <w:r>
        <w:rPr>
          <w:rFonts w:hint="cs"/>
          <w:rtl/>
          <w:lang w:eastAsia="zh-TW"/>
        </w:rPr>
        <w:tab/>
      </w:r>
      <w:r w:rsidRPr="00E52476">
        <w:rPr>
          <w:b/>
          <w:bCs/>
          <w:rtl/>
          <w:lang w:eastAsia="zh-TW"/>
        </w:rPr>
        <w:t xml:space="preserve">إذ تذكّر اللجنة ببيانها المتعلق بالاختفاء القسري والقضاء العسكري (انظر </w:t>
      </w:r>
      <w:r w:rsidRPr="00E52476">
        <w:rPr>
          <w:b/>
          <w:bCs/>
          <w:sz w:val="22"/>
          <w:szCs w:val="22"/>
          <w:lang w:eastAsia="zh-TW"/>
        </w:rPr>
        <w:t>A/70/56</w:t>
      </w:r>
      <w:r w:rsidRPr="00E52476">
        <w:rPr>
          <w:b/>
          <w:bCs/>
          <w:rtl/>
          <w:lang w:eastAsia="zh-TW"/>
        </w:rPr>
        <w:t>، المرفق الثالث)، توصي الدولة الطرف باتخاذ تدابير تشريعية أو غيرها من التدابير اللازمة بحيث تُستثنى حالات الاختفاء القسري صراحة من القضاء العسكري</w:t>
      </w:r>
      <w:r w:rsidRPr="00E52476">
        <w:rPr>
          <w:rFonts w:hint="cs"/>
          <w:b/>
          <w:bCs/>
          <w:rtl/>
          <w:lang w:eastAsia="zh-TW"/>
        </w:rPr>
        <w:t>،</w:t>
      </w:r>
      <w:r w:rsidRPr="00E52476">
        <w:rPr>
          <w:b/>
          <w:bCs/>
          <w:rtl/>
          <w:lang w:eastAsia="zh-TW"/>
        </w:rPr>
        <w:t xml:space="preserve"> وأن تكون المحاكم المدنية المختصة هي الوحيدة التي يمكنها التحقيق فيها ومحاكمة المتورطين فيها.</w:t>
      </w:r>
    </w:p>
    <w:p w:rsidR="00E52476" w:rsidRPr="006170E7" w:rsidRDefault="00E52476" w:rsidP="00E52476">
      <w:pPr>
        <w:pStyle w:val="H23GA"/>
        <w:rPr>
          <w:rtl/>
        </w:rPr>
      </w:pPr>
      <w:r w:rsidRPr="006170E7">
        <w:rPr>
          <w:rtl/>
        </w:rPr>
        <w:tab/>
      </w:r>
      <w:r w:rsidRPr="006170E7">
        <w:rPr>
          <w:rtl/>
        </w:rPr>
        <w:tab/>
        <w:t>العدالة الانتقالية</w:t>
      </w:r>
    </w:p>
    <w:p w:rsidR="00E52476" w:rsidRPr="00E112BF" w:rsidRDefault="00E52476" w:rsidP="00E406EF">
      <w:pPr>
        <w:pStyle w:val="SingleTxtGA"/>
        <w:rPr>
          <w:rtl/>
          <w:lang w:eastAsia="zh-TW"/>
        </w:rPr>
      </w:pPr>
      <w:r>
        <w:rPr>
          <w:rtl/>
          <w:lang w:eastAsia="zh-TW"/>
        </w:rPr>
        <w:t>٢٢-</w:t>
      </w:r>
      <w:r>
        <w:rPr>
          <w:rFonts w:hint="cs"/>
          <w:rtl/>
          <w:lang w:eastAsia="zh-TW"/>
        </w:rPr>
        <w:tab/>
      </w:r>
      <w:r w:rsidRPr="00E112BF">
        <w:rPr>
          <w:rtl/>
          <w:lang w:eastAsia="zh-TW"/>
        </w:rPr>
        <w:t>ترحب اللجنة بنظام</w:t>
      </w:r>
      <w:r>
        <w:rPr>
          <w:rtl/>
          <w:lang w:eastAsia="zh-TW"/>
        </w:rPr>
        <w:t xml:space="preserve"> العدالة الانتقالية المنشأ بم</w:t>
      </w:r>
      <w:r>
        <w:rPr>
          <w:rFonts w:hint="cs"/>
          <w:rtl/>
          <w:lang w:eastAsia="zh-TW"/>
        </w:rPr>
        <w:t>قتضى</w:t>
      </w:r>
      <w:r w:rsidRPr="00E112BF">
        <w:rPr>
          <w:rtl/>
          <w:lang w:eastAsia="zh-TW"/>
        </w:rPr>
        <w:t xml:space="preserve"> القانون الأساسي عدد 53، بما في ذلك إشاراته إلى الاختفاء القسري. وتشير اللجنة، في معرض ملاحظتها بقلق عدم الانتهاء بعد من التحقيق في حالة كل من كمال </w:t>
      </w:r>
      <w:proofErr w:type="spellStart"/>
      <w:r w:rsidRPr="00E112BF">
        <w:rPr>
          <w:rtl/>
          <w:lang w:eastAsia="zh-TW"/>
        </w:rPr>
        <w:t>المطماطي</w:t>
      </w:r>
      <w:proofErr w:type="spellEnd"/>
      <w:r w:rsidRPr="00E112BF">
        <w:rPr>
          <w:rtl/>
          <w:lang w:eastAsia="zh-TW"/>
        </w:rPr>
        <w:t xml:space="preserve"> (منذ عام 1991)، وفتحي </w:t>
      </w:r>
      <w:proofErr w:type="spellStart"/>
      <w:r w:rsidRPr="00E112BF">
        <w:rPr>
          <w:rtl/>
          <w:lang w:eastAsia="zh-TW"/>
        </w:rPr>
        <w:t>الوحيشي</w:t>
      </w:r>
      <w:proofErr w:type="spellEnd"/>
      <w:r w:rsidRPr="00E112BF">
        <w:rPr>
          <w:rtl/>
          <w:lang w:eastAsia="zh-TW"/>
        </w:rPr>
        <w:t xml:space="preserve"> (منذ عام</w:t>
      </w:r>
      <w:r w:rsidR="00E406EF">
        <w:rPr>
          <w:rFonts w:hint="cs"/>
          <w:rtl/>
          <w:lang w:eastAsia="zh-TW"/>
        </w:rPr>
        <w:t> </w:t>
      </w:r>
      <w:r w:rsidRPr="00E112BF">
        <w:rPr>
          <w:rtl/>
          <w:lang w:eastAsia="zh-TW"/>
        </w:rPr>
        <w:t>1996)، ووليد حسني (منذ عام 2009)،</w:t>
      </w:r>
      <w:r w:rsidR="006F3B09">
        <w:rPr>
          <w:rtl/>
          <w:lang w:eastAsia="zh-TW"/>
        </w:rPr>
        <w:t xml:space="preserve"> </w:t>
      </w:r>
      <w:r w:rsidRPr="00E112BF">
        <w:rPr>
          <w:rtl/>
          <w:lang w:eastAsia="zh-TW"/>
        </w:rPr>
        <w:t>رغم ما مضى من وقت منذ أن بُلغ باختفائهم، إلى أن هيئة الحقيقة والكرامة شرعت في إجراءات التحقيق في تلك الحالات. وتشير أيض</w:t>
      </w:r>
      <w:r w:rsidR="00550F28">
        <w:rPr>
          <w:rtl/>
          <w:lang w:eastAsia="zh-TW"/>
        </w:rPr>
        <w:t xml:space="preserve">اً </w:t>
      </w:r>
      <w:r w:rsidRPr="00E112BF">
        <w:rPr>
          <w:rtl/>
          <w:lang w:eastAsia="zh-TW"/>
        </w:rPr>
        <w:t>إلى أن الهيئة تلقت عدد</w:t>
      </w:r>
      <w:r w:rsidR="00550F28">
        <w:rPr>
          <w:rtl/>
          <w:lang w:eastAsia="zh-TW"/>
        </w:rPr>
        <w:t xml:space="preserve">اً </w:t>
      </w:r>
      <w:r w:rsidRPr="00E112BF">
        <w:rPr>
          <w:rtl/>
          <w:lang w:eastAsia="zh-TW"/>
        </w:rPr>
        <w:t xml:space="preserve">من الشكاوى المتصلة </w:t>
      </w:r>
      <w:proofErr w:type="spellStart"/>
      <w:r w:rsidRPr="00E112BF">
        <w:rPr>
          <w:rtl/>
          <w:lang w:eastAsia="zh-TW"/>
        </w:rPr>
        <w:t>بالاختفاءات</w:t>
      </w:r>
      <w:proofErr w:type="spellEnd"/>
      <w:r w:rsidRPr="00E112BF">
        <w:rPr>
          <w:rtl/>
          <w:lang w:eastAsia="zh-TW"/>
        </w:rPr>
        <w:t xml:space="preserve"> القسري</w:t>
      </w:r>
      <w:r>
        <w:rPr>
          <w:rFonts w:hint="cs"/>
          <w:rtl/>
          <w:lang w:eastAsia="zh-TW"/>
        </w:rPr>
        <w:t>ة</w:t>
      </w:r>
      <w:r w:rsidRPr="00E112BF">
        <w:rPr>
          <w:rtl/>
          <w:lang w:eastAsia="zh-TW"/>
        </w:rPr>
        <w:t>، وأنها تعمل على تحديد الأماكن التي دفنت فيها جثث الضحايا. وتحيط اللجنة علم</w:t>
      </w:r>
      <w:r w:rsidR="00550F28">
        <w:rPr>
          <w:rtl/>
          <w:lang w:eastAsia="zh-TW"/>
        </w:rPr>
        <w:t xml:space="preserve">اً </w:t>
      </w:r>
      <w:r w:rsidRPr="00E112BF">
        <w:rPr>
          <w:rtl/>
          <w:lang w:eastAsia="zh-TW"/>
        </w:rPr>
        <w:t>باهتمام بال</w:t>
      </w:r>
      <w:r>
        <w:rPr>
          <w:rtl/>
          <w:lang w:eastAsia="zh-TW"/>
        </w:rPr>
        <w:t xml:space="preserve">تدابير التي اتخذتها الهيئة </w:t>
      </w:r>
      <w:r>
        <w:rPr>
          <w:rFonts w:hint="cs"/>
          <w:rtl/>
          <w:lang w:eastAsia="zh-TW"/>
        </w:rPr>
        <w:t xml:space="preserve">بخصوص </w:t>
      </w:r>
      <w:r w:rsidRPr="00E112BF">
        <w:rPr>
          <w:rtl/>
          <w:lang w:eastAsia="zh-TW"/>
        </w:rPr>
        <w:t>جبر</w:t>
      </w:r>
      <w:r>
        <w:rPr>
          <w:rFonts w:hint="cs"/>
          <w:rtl/>
          <w:lang w:eastAsia="zh-TW"/>
        </w:rPr>
        <w:t xml:space="preserve"> الأضرار</w:t>
      </w:r>
      <w:r w:rsidRPr="00E112BF">
        <w:rPr>
          <w:rtl/>
          <w:lang w:eastAsia="zh-TW"/>
        </w:rPr>
        <w:t>، بما في ذلك التعويضات العاجلة لتلبية الاحتياجات الصحية؛ وتلاحظ أنها تعمل على وضع برنامج شامل للتعويضات (المواد 11-12 و24).</w:t>
      </w:r>
    </w:p>
    <w:p w:rsidR="00E52476" w:rsidRPr="00E406EF" w:rsidRDefault="00E52476" w:rsidP="00E406EF">
      <w:pPr>
        <w:pStyle w:val="SingleTxtGA"/>
        <w:rPr>
          <w:b/>
          <w:bCs/>
          <w:rtl/>
          <w:lang w:eastAsia="zh-TW"/>
        </w:rPr>
      </w:pPr>
      <w:r w:rsidRPr="00E406EF">
        <w:rPr>
          <w:rtl/>
          <w:lang w:eastAsia="zh-TW"/>
        </w:rPr>
        <w:t>٢٣-</w:t>
      </w:r>
      <w:r w:rsidRPr="00E406EF">
        <w:rPr>
          <w:rFonts w:hint="cs"/>
          <w:rtl/>
          <w:lang w:eastAsia="zh-TW"/>
        </w:rPr>
        <w:tab/>
      </w:r>
      <w:r w:rsidRPr="00E406EF">
        <w:rPr>
          <w:b/>
          <w:bCs/>
          <w:rtl/>
          <w:lang w:eastAsia="zh-TW"/>
        </w:rPr>
        <w:t>توصي اللجنة بأن تبذل الدولة الطرف مزيد</w:t>
      </w:r>
      <w:r w:rsidR="00550F28">
        <w:rPr>
          <w:b/>
          <w:bCs/>
          <w:rtl/>
          <w:lang w:eastAsia="zh-TW"/>
        </w:rPr>
        <w:t xml:space="preserve">اً </w:t>
      </w:r>
      <w:r w:rsidRPr="00E406EF">
        <w:rPr>
          <w:b/>
          <w:bCs/>
          <w:rtl/>
          <w:lang w:eastAsia="zh-TW"/>
        </w:rPr>
        <w:t>من الجهود لإنجاز ما يلي على جناح</w:t>
      </w:r>
      <w:r w:rsidR="00E406EF">
        <w:rPr>
          <w:rFonts w:hint="cs"/>
          <w:b/>
          <w:bCs/>
          <w:rtl/>
          <w:lang w:eastAsia="zh-TW"/>
        </w:rPr>
        <w:t> </w:t>
      </w:r>
      <w:r w:rsidRPr="00E406EF">
        <w:rPr>
          <w:b/>
          <w:bCs/>
          <w:rtl/>
          <w:lang w:eastAsia="zh-TW"/>
        </w:rPr>
        <w:t xml:space="preserve">السرعة: </w:t>
      </w:r>
    </w:p>
    <w:p w:rsidR="00E52476" w:rsidRPr="00E52476" w:rsidRDefault="00E52476" w:rsidP="00E52476">
      <w:pPr>
        <w:pStyle w:val="SingleTxtGA"/>
        <w:rPr>
          <w:b/>
          <w:bCs/>
          <w:rtl/>
          <w:lang w:eastAsia="zh-TW"/>
        </w:rPr>
      </w:pPr>
      <w:r w:rsidRPr="006170E7">
        <w:rPr>
          <w:rtl/>
          <w:lang w:eastAsia="zh-TW"/>
        </w:rPr>
        <w:tab/>
        <w:t>(أ)</w:t>
      </w:r>
      <w:r w:rsidRPr="006170E7">
        <w:rPr>
          <w:rtl/>
          <w:lang w:eastAsia="zh-TW"/>
        </w:rPr>
        <w:tab/>
      </w:r>
      <w:r w:rsidRPr="00E52476">
        <w:rPr>
          <w:b/>
          <w:bCs/>
          <w:rtl/>
          <w:lang w:eastAsia="zh-TW"/>
        </w:rPr>
        <w:t xml:space="preserve">التحقيق الشامل والنزيه في جميع </w:t>
      </w:r>
      <w:r>
        <w:rPr>
          <w:rFonts w:hint="cs"/>
          <w:b/>
          <w:bCs/>
          <w:rtl/>
          <w:lang w:eastAsia="zh-TW"/>
        </w:rPr>
        <w:t xml:space="preserve">حالات الاختفاء القسري </w:t>
      </w:r>
      <w:r w:rsidRPr="00E52476">
        <w:rPr>
          <w:b/>
          <w:bCs/>
          <w:rtl/>
          <w:lang w:eastAsia="zh-TW"/>
        </w:rPr>
        <w:t>السابقة، واستمرار التحقيقات حتى يُكشف مصير المختفين؛</w:t>
      </w:r>
    </w:p>
    <w:p w:rsidR="00E52476" w:rsidRPr="00E52476" w:rsidRDefault="00E52476" w:rsidP="00E52476">
      <w:pPr>
        <w:pStyle w:val="SingleTxtGA"/>
        <w:rPr>
          <w:b/>
          <w:bCs/>
          <w:rtl/>
          <w:lang w:eastAsia="zh-TW"/>
        </w:rPr>
      </w:pPr>
      <w:r w:rsidRPr="006170E7">
        <w:rPr>
          <w:rtl/>
          <w:lang w:eastAsia="zh-TW"/>
        </w:rPr>
        <w:tab/>
        <w:t>(ب)</w:t>
      </w:r>
      <w:r w:rsidRPr="006170E7">
        <w:rPr>
          <w:rtl/>
          <w:lang w:eastAsia="zh-TW"/>
        </w:rPr>
        <w:tab/>
      </w:r>
      <w:r w:rsidRPr="00E52476">
        <w:rPr>
          <w:b/>
          <w:bCs/>
          <w:rtl/>
          <w:lang w:eastAsia="zh-TW"/>
        </w:rPr>
        <w:t xml:space="preserve">محاكمة جميع الضالعين في </w:t>
      </w:r>
      <w:r>
        <w:rPr>
          <w:rFonts w:hint="cs"/>
          <w:b/>
          <w:bCs/>
          <w:rtl/>
          <w:lang w:eastAsia="zh-TW"/>
        </w:rPr>
        <w:t xml:space="preserve">حالات </w:t>
      </w:r>
      <w:r>
        <w:rPr>
          <w:b/>
          <w:bCs/>
          <w:rtl/>
          <w:lang w:eastAsia="zh-TW"/>
        </w:rPr>
        <w:t>الاختفاء القسري</w:t>
      </w:r>
      <w:r w:rsidRPr="00E52476">
        <w:rPr>
          <w:b/>
          <w:bCs/>
          <w:rtl/>
          <w:lang w:eastAsia="zh-TW"/>
        </w:rPr>
        <w:t>، بمن فيهم عناصر الجيش والرؤساء المباشرون المدنيون، ومعاقبتهم إذا ثبتت إدانتهم بما يتناسب وخطورة أفعالهم؛</w:t>
      </w:r>
    </w:p>
    <w:p w:rsidR="00E52476" w:rsidRPr="00E52476" w:rsidRDefault="00E52476" w:rsidP="00E52476">
      <w:pPr>
        <w:pStyle w:val="SingleTxtGA"/>
        <w:rPr>
          <w:b/>
          <w:bCs/>
          <w:rtl/>
          <w:lang w:eastAsia="zh-TW"/>
        </w:rPr>
      </w:pPr>
      <w:r w:rsidRPr="006170E7">
        <w:rPr>
          <w:rtl/>
          <w:lang w:eastAsia="zh-TW"/>
        </w:rPr>
        <w:tab/>
        <w:t>(ج)</w:t>
      </w:r>
      <w:r w:rsidRPr="006170E7">
        <w:rPr>
          <w:rtl/>
          <w:lang w:eastAsia="zh-TW"/>
        </w:rPr>
        <w:tab/>
      </w:r>
      <w:r w:rsidRPr="00E52476">
        <w:rPr>
          <w:b/>
          <w:bCs/>
          <w:rtl/>
          <w:lang w:eastAsia="zh-TW"/>
        </w:rPr>
        <w:t>البحث عن جميع من اختفوا قسر</w:t>
      </w:r>
      <w:r w:rsidR="00550F28">
        <w:rPr>
          <w:b/>
          <w:bCs/>
          <w:rtl/>
          <w:lang w:eastAsia="zh-TW"/>
        </w:rPr>
        <w:t xml:space="preserve">اً </w:t>
      </w:r>
      <w:r w:rsidRPr="00E52476">
        <w:rPr>
          <w:b/>
          <w:bCs/>
          <w:rtl/>
          <w:lang w:eastAsia="zh-TW"/>
        </w:rPr>
        <w:t xml:space="preserve">ولا يُعرف مصيرهم وتحديد أماكن وجودهم، وتحديد </w:t>
      </w:r>
      <w:r>
        <w:rPr>
          <w:rFonts w:hint="cs"/>
          <w:b/>
          <w:bCs/>
          <w:rtl/>
          <w:lang w:eastAsia="zh-TW"/>
        </w:rPr>
        <w:t xml:space="preserve">رفاتهم </w:t>
      </w:r>
      <w:r w:rsidRPr="00E52476">
        <w:rPr>
          <w:b/>
          <w:bCs/>
          <w:rtl/>
          <w:lang w:eastAsia="zh-TW"/>
        </w:rPr>
        <w:t>واحترامها وإعادتها في حال وفاتهم؛</w:t>
      </w:r>
    </w:p>
    <w:p w:rsidR="00E52476" w:rsidRPr="00E52476" w:rsidRDefault="00E52476" w:rsidP="00550F28">
      <w:pPr>
        <w:pStyle w:val="SingleTxtGA"/>
        <w:rPr>
          <w:b/>
          <w:bCs/>
          <w:rtl/>
          <w:lang w:eastAsia="zh-TW"/>
        </w:rPr>
      </w:pPr>
      <w:r>
        <w:rPr>
          <w:rFonts w:hint="cs"/>
          <w:rtl/>
          <w:lang w:eastAsia="zh-TW"/>
        </w:rPr>
        <w:tab/>
      </w:r>
      <w:r>
        <w:rPr>
          <w:rtl/>
          <w:lang w:eastAsia="zh-TW"/>
        </w:rPr>
        <w:t>(د)</w:t>
      </w:r>
      <w:r>
        <w:rPr>
          <w:rFonts w:hint="cs"/>
          <w:rtl/>
          <w:lang w:eastAsia="zh-TW"/>
        </w:rPr>
        <w:tab/>
      </w:r>
      <w:r w:rsidRPr="00E52476">
        <w:rPr>
          <w:b/>
          <w:bCs/>
          <w:rtl/>
          <w:lang w:eastAsia="zh-TW"/>
        </w:rPr>
        <w:t xml:space="preserve">منح جميع من تضرروا مباشرة من الاختفاء القسري ما يكفي لجبر </w:t>
      </w:r>
      <w:r w:rsidRPr="00E52476">
        <w:rPr>
          <w:rFonts w:hint="cs"/>
          <w:b/>
          <w:bCs/>
          <w:rtl/>
          <w:lang w:eastAsia="zh-TW"/>
        </w:rPr>
        <w:t>ما</w:t>
      </w:r>
      <w:r w:rsidR="00550F28">
        <w:rPr>
          <w:rFonts w:hint="eastAsia"/>
          <w:b/>
          <w:bCs/>
          <w:rtl/>
          <w:lang w:eastAsia="zh-TW"/>
        </w:rPr>
        <w:t> </w:t>
      </w:r>
      <w:r w:rsidRPr="00E52476">
        <w:rPr>
          <w:rFonts w:hint="cs"/>
          <w:b/>
          <w:bCs/>
          <w:rtl/>
          <w:lang w:eastAsia="zh-TW"/>
        </w:rPr>
        <w:t>أصابهم من أضرار</w:t>
      </w:r>
      <w:r w:rsidRPr="00E52476">
        <w:rPr>
          <w:b/>
          <w:bCs/>
          <w:rtl/>
          <w:lang w:eastAsia="zh-TW"/>
        </w:rPr>
        <w:t xml:space="preserve">، ويشمل </w:t>
      </w:r>
      <w:r w:rsidRPr="00E52476">
        <w:rPr>
          <w:rFonts w:hint="cs"/>
          <w:b/>
          <w:bCs/>
          <w:rtl/>
          <w:lang w:eastAsia="zh-TW"/>
        </w:rPr>
        <w:t>الجبر</w:t>
      </w:r>
      <w:r w:rsidRPr="00E52476">
        <w:rPr>
          <w:b/>
          <w:bCs/>
          <w:rtl/>
          <w:lang w:eastAsia="zh-TW"/>
        </w:rPr>
        <w:t xml:space="preserve"> وسائل إعادة تأهيلهم ويراعي قضايا الجنسين، إضافة إلى التعويض السريع والعادل والكافي.</w:t>
      </w:r>
    </w:p>
    <w:p w:rsidR="00E52476" w:rsidRPr="00E406EF" w:rsidRDefault="00E52476" w:rsidP="00E52476">
      <w:pPr>
        <w:pStyle w:val="SingleTxtGA"/>
        <w:rPr>
          <w:b/>
          <w:bCs/>
          <w:spacing w:val="-2"/>
          <w:rtl/>
          <w:lang w:eastAsia="zh-TW"/>
        </w:rPr>
      </w:pPr>
      <w:r w:rsidRPr="00E406EF">
        <w:rPr>
          <w:spacing w:val="-2"/>
          <w:rtl/>
          <w:lang w:eastAsia="zh-TW"/>
        </w:rPr>
        <w:lastRenderedPageBreak/>
        <w:t>٢٤-</w:t>
      </w:r>
      <w:r w:rsidRPr="00E406EF">
        <w:rPr>
          <w:rFonts w:hint="cs"/>
          <w:spacing w:val="-2"/>
          <w:rtl/>
          <w:lang w:eastAsia="zh-TW"/>
        </w:rPr>
        <w:tab/>
      </w:r>
      <w:r w:rsidRPr="00E406EF">
        <w:rPr>
          <w:b/>
          <w:bCs/>
          <w:spacing w:val="-2"/>
          <w:rtl/>
          <w:lang w:eastAsia="zh-TW"/>
        </w:rPr>
        <w:t xml:space="preserve">وتوصي اللجنة الدولة الطرف بما يلي في هذا الصدد: (أ) الاستمرار في العمل على أن تحصل جميع الأجهزة المسؤولة عن التحقيق في </w:t>
      </w:r>
      <w:r w:rsidRPr="00E406EF">
        <w:rPr>
          <w:rFonts w:hint="cs"/>
          <w:b/>
          <w:bCs/>
          <w:spacing w:val="-2"/>
          <w:rtl/>
          <w:lang w:eastAsia="zh-TW"/>
        </w:rPr>
        <w:t xml:space="preserve">حالات </w:t>
      </w:r>
      <w:r w:rsidRPr="00E406EF">
        <w:rPr>
          <w:b/>
          <w:bCs/>
          <w:spacing w:val="-2"/>
          <w:rtl/>
          <w:lang w:eastAsia="zh-TW"/>
        </w:rPr>
        <w:t>الاختفاء القسري التي يشملها القانون الأساسي عدد 53، و</w:t>
      </w:r>
      <w:r w:rsidRPr="00E406EF">
        <w:rPr>
          <w:rFonts w:hint="cs"/>
          <w:b/>
          <w:bCs/>
          <w:spacing w:val="-2"/>
          <w:rtl/>
          <w:lang w:eastAsia="zh-TW"/>
        </w:rPr>
        <w:t xml:space="preserve">عن </w:t>
      </w:r>
      <w:r w:rsidRPr="00E406EF">
        <w:rPr>
          <w:b/>
          <w:bCs/>
          <w:spacing w:val="-2"/>
          <w:rtl/>
          <w:lang w:eastAsia="zh-TW"/>
        </w:rPr>
        <w:t xml:space="preserve">البحث عن المختفين وجبر </w:t>
      </w:r>
      <w:r w:rsidRPr="00E406EF">
        <w:rPr>
          <w:rFonts w:hint="cs"/>
          <w:b/>
          <w:bCs/>
          <w:spacing w:val="-2"/>
          <w:rtl/>
          <w:lang w:eastAsia="zh-TW"/>
        </w:rPr>
        <w:t xml:space="preserve">أضرار </w:t>
      </w:r>
      <w:r w:rsidRPr="00E406EF">
        <w:rPr>
          <w:b/>
          <w:bCs/>
          <w:spacing w:val="-2"/>
          <w:rtl/>
          <w:lang w:eastAsia="zh-TW"/>
        </w:rPr>
        <w:t xml:space="preserve">الضحايا، خاصة هيئة الحقيقة والكرامة، على الموارد المالية والتقنية والبشرية التي تُقْدرها على </w:t>
      </w:r>
      <w:r w:rsidRPr="00E406EF">
        <w:rPr>
          <w:rFonts w:hint="cs"/>
          <w:b/>
          <w:bCs/>
          <w:spacing w:val="-2"/>
          <w:rtl/>
          <w:lang w:eastAsia="zh-TW"/>
        </w:rPr>
        <w:t>أداء</w:t>
      </w:r>
      <w:r w:rsidRPr="00E406EF">
        <w:rPr>
          <w:b/>
          <w:bCs/>
          <w:spacing w:val="-2"/>
          <w:rtl/>
          <w:lang w:eastAsia="zh-TW"/>
        </w:rPr>
        <w:t xml:space="preserve"> مهامها بسرعة وفاعلية؛ (ب) اتخاذ التدابير اللازمة التي تكفل تعاون جميع الكيانات العامة مع تلك الأجهزة وتوفر لها جميع أنواع المساعدة التي تحتاجها قدر ما تسمح به سلطتها.</w:t>
      </w:r>
    </w:p>
    <w:p w:rsidR="00E52476" w:rsidRPr="006170E7" w:rsidRDefault="00E52476" w:rsidP="00E52476">
      <w:pPr>
        <w:pStyle w:val="H23GA"/>
        <w:rPr>
          <w:rtl/>
        </w:rPr>
      </w:pPr>
      <w:r w:rsidRPr="006170E7">
        <w:rPr>
          <w:rtl/>
        </w:rPr>
        <w:tab/>
      </w:r>
      <w:r w:rsidRPr="006170E7">
        <w:rPr>
          <w:rtl/>
        </w:rPr>
        <w:tab/>
      </w:r>
      <w:dir w:val="rtl">
        <w:r w:rsidRPr="006170E7">
          <w:rPr>
            <w:rtl/>
          </w:rPr>
          <w:t>حماية المشاركين في التحقيقات</w:t>
        </w:r>
        <w:r w:rsidRPr="006170E7">
          <w:rPr>
            <w:rFonts w:cs="Times New Roman" w:hint="cs"/>
            <w:rtl/>
          </w:rPr>
          <w:t>‬</w:t>
        </w:r>
        <w:r>
          <w:t>‬</w:t>
        </w:r>
        <w:r w:rsidR="00565AAB">
          <w:t>‬</w:t>
        </w:r>
        <w:r w:rsidR="00F9414A">
          <w:t>‬</w:t>
        </w:r>
      </w:dir>
    </w:p>
    <w:p w:rsidR="00E52476" w:rsidRPr="00E406EF" w:rsidRDefault="00E52476" w:rsidP="00E406EF">
      <w:pPr>
        <w:pStyle w:val="SingleTxtGA"/>
        <w:rPr>
          <w:rtl/>
        </w:rPr>
      </w:pPr>
      <w:r w:rsidRPr="00E406EF">
        <w:rPr>
          <w:rtl/>
        </w:rPr>
        <w:t>٢٥-</w:t>
      </w:r>
      <w:r w:rsidRPr="00E406EF">
        <w:rPr>
          <w:rFonts w:hint="cs"/>
          <w:rtl/>
        </w:rPr>
        <w:tab/>
      </w:r>
      <w:r w:rsidRPr="00E406EF">
        <w:rPr>
          <w:rtl/>
        </w:rPr>
        <w:t>ترحب اللجنة بكون المادة 40 من القانون الأساسي عدد 53 تجيز لهيئة الحقيقة والكرامة اعتماد التدابير الملائمة لحماية الضحايا والشهود والخبراء وجميع من يُستمع إلى البيانات التي يدلون بها مما له علاقة بانتهاكات حقوق الإنسان. وتحيط اللجنة علم</w:t>
      </w:r>
      <w:r w:rsidR="00550F28">
        <w:rPr>
          <w:rtl/>
        </w:rPr>
        <w:t xml:space="preserve">اً </w:t>
      </w:r>
      <w:r w:rsidRPr="00E406EF">
        <w:rPr>
          <w:rtl/>
        </w:rPr>
        <w:t xml:space="preserve">بالمادة 65 من قانون الإجراءات </w:t>
      </w:r>
      <w:r w:rsidRPr="00E406EF">
        <w:rPr>
          <w:rFonts w:hint="cs"/>
          <w:rtl/>
        </w:rPr>
        <w:t>الجنائية</w:t>
      </w:r>
      <w:r w:rsidRPr="00E406EF">
        <w:rPr>
          <w:rtl/>
        </w:rPr>
        <w:t xml:space="preserve"> التي تنص على أنه لا ينبغي الاستماع إلى الشهود بحضور المدّعى عليهم، وكذلك بالمعلومات التي قدمتها الدولة الطرف ومفادها أن التشريعات الأخرى تشمل أيض</w:t>
      </w:r>
      <w:r w:rsidR="00550F28">
        <w:rPr>
          <w:rtl/>
        </w:rPr>
        <w:t xml:space="preserve">اً </w:t>
      </w:r>
      <w:r w:rsidRPr="00E406EF">
        <w:rPr>
          <w:rtl/>
        </w:rPr>
        <w:t>تدابير لحماية الشهود. وتحيط علم</w:t>
      </w:r>
      <w:r w:rsidR="00550F28">
        <w:rPr>
          <w:rtl/>
        </w:rPr>
        <w:t xml:space="preserve">اً </w:t>
      </w:r>
      <w:r w:rsidRPr="00E406EF">
        <w:rPr>
          <w:rFonts w:hint="cs"/>
          <w:rtl/>
        </w:rPr>
        <w:t>أيض</w:t>
      </w:r>
      <w:r w:rsidR="00550F28">
        <w:rPr>
          <w:rFonts w:hint="cs"/>
          <w:rtl/>
        </w:rPr>
        <w:t xml:space="preserve">اً </w:t>
      </w:r>
      <w:r w:rsidRPr="00E406EF">
        <w:rPr>
          <w:rtl/>
        </w:rPr>
        <w:t>باهتمام بالمعلومات التي قدمتها الدولة الطرف والتي تفيد بأن اللجنة التابعة لوزارة العدل والمسؤولة عن تعديل القانون الجنائي ت</w:t>
      </w:r>
      <w:r w:rsidRPr="00E406EF">
        <w:rPr>
          <w:rFonts w:hint="cs"/>
          <w:rtl/>
        </w:rPr>
        <w:t>عكف</w:t>
      </w:r>
      <w:r w:rsidRPr="00E406EF">
        <w:rPr>
          <w:rtl/>
        </w:rPr>
        <w:t xml:space="preserve"> حالي</w:t>
      </w:r>
      <w:r w:rsidR="00550F28">
        <w:rPr>
          <w:rtl/>
        </w:rPr>
        <w:t xml:space="preserve">اً </w:t>
      </w:r>
      <w:r w:rsidRPr="00E406EF">
        <w:rPr>
          <w:rFonts w:hint="cs"/>
          <w:rtl/>
        </w:rPr>
        <w:t>على إعادة النظر في</w:t>
      </w:r>
      <w:r w:rsidRPr="00E406EF">
        <w:rPr>
          <w:rtl/>
        </w:rPr>
        <w:t xml:space="preserve"> آليات حماية المشتكين والشهود والأقارب من جميع أشكال التخويف (انظر</w:t>
      </w:r>
      <w:r w:rsidR="00E406EF">
        <w:rPr>
          <w:rFonts w:hint="cs"/>
          <w:rtl/>
        </w:rPr>
        <w:t> </w:t>
      </w:r>
      <w:r w:rsidRPr="00E406EF">
        <w:t>CED/C/TUN/Q/1/Add.1</w:t>
      </w:r>
      <w:r w:rsidRPr="00E406EF">
        <w:rPr>
          <w:rtl/>
        </w:rPr>
        <w:t>، الفقرة 14) (المادة 12).</w:t>
      </w:r>
    </w:p>
    <w:p w:rsidR="00E52476" w:rsidRPr="00E52476" w:rsidRDefault="00E52476" w:rsidP="00E52476">
      <w:pPr>
        <w:pStyle w:val="SingleTxtGA"/>
        <w:rPr>
          <w:b/>
          <w:bCs/>
          <w:rtl/>
          <w:lang w:eastAsia="zh-TW"/>
        </w:rPr>
      </w:pPr>
      <w:r>
        <w:rPr>
          <w:rtl/>
          <w:lang w:eastAsia="zh-TW"/>
        </w:rPr>
        <w:t>٢٦-</w:t>
      </w:r>
      <w:r>
        <w:rPr>
          <w:rFonts w:hint="cs"/>
          <w:rtl/>
          <w:lang w:eastAsia="zh-TW"/>
        </w:rPr>
        <w:tab/>
      </w:r>
      <w:r w:rsidRPr="00E52476">
        <w:rPr>
          <w:b/>
          <w:bCs/>
          <w:rtl/>
          <w:lang w:eastAsia="zh-TW"/>
        </w:rPr>
        <w:t>توصي اللجنة الدولة الطرف باعتماد التدابير اللازمة بحيث ينعم الأشخاص المشار إليهم في المادة 12(1) من الاتفاقية، في القانون والممارسة، بالحماية من أي سوء معاملة أو تخويف نتيجة شكوى قدموها أو شهادة أدلوا بها في إطار تحقيق في اختفاء قسري.</w:t>
      </w:r>
    </w:p>
    <w:p w:rsidR="00E52476" w:rsidRPr="006170E7" w:rsidRDefault="00E52476" w:rsidP="00E52476">
      <w:pPr>
        <w:pStyle w:val="H1GA"/>
        <w:rPr>
          <w:rtl/>
          <w:lang w:eastAsia="zh-TW"/>
        </w:rPr>
      </w:pPr>
      <w:r w:rsidRPr="006170E7">
        <w:rPr>
          <w:rFonts w:hint="cs"/>
          <w:rtl/>
          <w:lang w:eastAsia="zh-TW"/>
        </w:rPr>
        <w:tab/>
      </w:r>
      <w:r w:rsidRPr="006170E7">
        <w:rPr>
          <w:rFonts w:hint="cs"/>
          <w:rtl/>
          <w:lang w:eastAsia="zh-TW"/>
        </w:rPr>
        <w:tab/>
      </w:r>
      <w:dir w:val="rtl">
        <w:r w:rsidRPr="006170E7">
          <w:rPr>
            <w:rtl/>
            <w:lang w:eastAsia="zh-TW"/>
          </w:rPr>
          <w:t xml:space="preserve">تدابير منع </w:t>
        </w:r>
        <w:proofErr w:type="spellStart"/>
        <w:r w:rsidRPr="006170E7">
          <w:rPr>
            <w:rtl/>
            <w:lang w:eastAsia="zh-TW"/>
          </w:rPr>
          <w:t>الاختفاءات</w:t>
        </w:r>
        <w:proofErr w:type="spellEnd"/>
        <w:r w:rsidRPr="006170E7">
          <w:rPr>
            <w:rtl/>
            <w:lang w:eastAsia="zh-TW"/>
          </w:rPr>
          <w:t xml:space="preserve"> القسرية (المواد 16-23)</w:t>
        </w:r>
        <w:r w:rsidRPr="006170E7">
          <w:rPr>
            <w:lang w:eastAsia="zh-TW"/>
          </w:rPr>
          <w:t>‬</w:t>
        </w:r>
        <w:r>
          <w:t>‬</w:t>
        </w:r>
        <w:r w:rsidR="00565AAB">
          <w:t>‬</w:t>
        </w:r>
        <w:r w:rsidR="00F9414A">
          <w:t>‬</w:t>
        </w:r>
      </w:dir>
    </w:p>
    <w:p w:rsidR="00E52476" w:rsidRPr="006170E7" w:rsidRDefault="00E52476" w:rsidP="00E52476">
      <w:pPr>
        <w:pStyle w:val="H23GA"/>
        <w:rPr>
          <w:rFonts w:eastAsia="Calibri"/>
          <w:rtl/>
        </w:rPr>
      </w:pPr>
      <w:r w:rsidRPr="006170E7">
        <w:rPr>
          <w:rtl/>
        </w:rPr>
        <w:tab/>
      </w:r>
      <w:r w:rsidRPr="006170E7">
        <w:rPr>
          <w:rtl/>
        </w:rPr>
        <w:tab/>
        <w:t>عدم الإعادة القسرية</w:t>
      </w:r>
    </w:p>
    <w:p w:rsidR="00E52476" w:rsidRPr="00E112BF" w:rsidRDefault="00E52476" w:rsidP="00E52476">
      <w:pPr>
        <w:pStyle w:val="SingleTxtGA"/>
        <w:rPr>
          <w:rFonts w:eastAsia="Calibri"/>
          <w:color w:val="000000"/>
          <w:rtl/>
          <w:lang w:eastAsia="zh-TW"/>
        </w:rPr>
      </w:pPr>
      <w:r>
        <w:rPr>
          <w:rtl/>
          <w:lang w:eastAsia="zh-TW"/>
        </w:rPr>
        <w:t>٢٧-</w:t>
      </w:r>
      <w:r>
        <w:rPr>
          <w:rFonts w:hint="cs"/>
          <w:rtl/>
          <w:lang w:eastAsia="zh-TW"/>
        </w:rPr>
        <w:tab/>
      </w:r>
      <w:r w:rsidRPr="00E112BF">
        <w:rPr>
          <w:rtl/>
          <w:lang w:eastAsia="zh-TW"/>
        </w:rPr>
        <w:t>تشعر اللجنة بالقلق لأن الدولة الطرف لم تعتمد بعد إطار</w:t>
      </w:r>
      <w:r w:rsidR="00550F28">
        <w:rPr>
          <w:rtl/>
          <w:lang w:eastAsia="zh-TW"/>
        </w:rPr>
        <w:t xml:space="preserve">اً </w:t>
      </w:r>
      <w:r w:rsidRPr="00E112BF">
        <w:rPr>
          <w:rtl/>
          <w:lang w:eastAsia="zh-TW"/>
        </w:rPr>
        <w:t>قانوني</w:t>
      </w:r>
      <w:r w:rsidR="00550F28">
        <w:rPr>
          <w:rtl/>
          <w:lang w:eastAsia="zh-TW"/>
        </w:rPr>
        <w:t xml:space="preserve">اً </w:t>
      </w:r>
      <w:r>
        <w:rPr>
          <w:rtl/>
          <w:lang w:eastAsia="zh-TW"/>
        </w:rPr>
        <w:t>بشأن اللجوء، وإن كانت ت</w:t>
      </w:r>
      <w:r>
        <w:rPr>
          <w:rFonts w:hint="cs"/>
          <w:rtl/>
          <w:lang w:eastAsia="zh-TW"/>
        </w:rPr>
        <w:t>لاحظ</w:t>
      </w:r>
      <w:r w:rsidRPr="00E112BF">
        <w:rPr>
          <w:rtl/>
          <w:lang w:eastAsia="zh-TW"/>
        </w:rPr>
        <w:t xml:space="preserve"> باهتمام المعلومات التي قدمتها الدولة الطرف بأن مشروع قانون بشأن الحق في اللجوء قيد الصياغة حالي</w:t>
      </w:r>
      <w:r w:rsidR="00550F28">
        <w:rPr>
          <w:rtl/>
          <w:lang w:eastAsia="zh-TW"/>
        </w:rPr>
        <w:t xml:space="preserve">اً </w:t>
      </w:r>
      <w:r w:rsidRPr="00E112BF">
        <w:rPr>
          <w:rtl/>
          <w:lang w:eastAsia="zh-TW"/>
        </w:rPr>
        <w:t>وأن هذا المشروع سيكون متوافق</w:t>
      </w:r>
      <w:r w:rsidR="00550F28">
        <w:rPr>
          <w:rtl/>
          <w:lang w:eastAsia="zh-TW"/>
        </w:rPr>
        <w:t xml:space="preserve">اً </w:t>
      </w:r>
      <w:r w:rsidRPr="00E112BF">
        <w:rPr>
          <w:rtl/>
          <w:lang w:eastAsia="zh-TW"/>
        </w:rPr>
        <w:t xml:space="preserve">مع الاتفاقية. وتلاحظ اللجنة أن القانون المحلي لا ينص بعد على حظر قانوني صريح للإعادة القسرية متى وجدت أسباب وجيهة تدعو إلى الاعتقاد بأن الشخص المعني سيواجه خطر </w:t>
      </w:r>
      <w:r>
        <w:rPr>
          <w:rFonts w:hint="cs"/>
          <w:rtl/>
          <w:lang w:eastAsia="zh-TW"/>
        </w:rPr>
        <w:t>ا</w:t>
      </w:r>
      <w:r w:rsidRPr="00E112BF">
        <w:rPr>
          <w:rtl/>
          <w:lang w:eastAsia="zh-TW"/>
        </w:rPr>
        <w:t>لاختفاء القسري (المادة 16).</w:t>
      </w:r>
    </w:p>
    <w:p w:rsidR="00E52476" w:rsidRPr="00E52476" w:rsidRDefault="00E52476" w:rsidP="00E52476">
      <w:pPr>
        <w:pStyle w:val="SingleTxtGA"/>
        <w:rPr>
          <w:b/>
          <w:bCs/>
          <w:rtl/>
          <w:lang w:eastAsia="zh-TW"/>
        </w:rPr>
      </w:pPr>
      <w:r>
        <w:rPr>
          <w:rtl/>
          <w:lang w:eastAsia="zh-TW"/>
        </w:rPr>
        <w:t>٢٨-</w:t>
      </w:r>
      <w:r>
        <w:rPr>
          <w:rFonts w:hint="cs"/>
          <w:rtl/>
          <w:lang w:eastAsia="zh-TW"/>
        </w:rPr>
        <w:tab/>
      </w:r>
      <w:r w:rsidRPr="00E52476">
        <w:rPr>
          <w:b/>
          <w:bCs/>
          <w:rtl/>
          <w:lang w:eastAsia="zh-TW"/>
        </w:rPr>
        <w:t>توصي اللجنة الدولة الطرف باعتماد التدابير اللازمة بحيث يُحترم مبدأ عدم الإعادة القسرية الذي تنص عليه المادة 16(1) من الاتفاقية</w:t>
      </w:r>
      <w:r w:rsidRPr="00E52476">
        <w:rPr>
          <w:rFonts w:hint="cs"/>
          <w:b/>
          <w:bCs/>
          <w:rtl/>
          <w:lang w:eastAsia="zh-TW"/>
        </w:rPr>
        <w:t>،</w:t>
      </w:r>
      <w:r w:rsidRPr="00E52476">
        <w:rPr>
          <w:b/>
          <w:bCs/>
          <w:rtl/>
          <w:lang w:eastAsia="zh-TW"/>
        </w:rPr>
        <w:t xml:space="preserve"> في القانون والممارسة</w:t>
      </w:r>
      <w:r w:rsidRPr="00E52476">
        <w:rPr>
          <w:rFonts w:hint="cs"/>
          <w:b/>
          <w:bCs/>
          <w:rtl/>
          <w:lang w:eastAsia="zh-TW"/>
        </w:rPr>
        <w:t>،</w:t>
      </w:r>
      <w:r w:rsidRPr="00E52476">
        <w:rPr>
          <w:b/>
          <w:bCs/>
          <w:rtl/>
          <w:lang w:eastAsia="zh-TW"/>
        </w:rPr>
        <w:t xml:space="preserve"> احترام</w:t>
      </w:r>
      <w:r w:rsidR="00550F28">
        <w:rPr>
          <w:b/>
          <w:bCs/>
          <w:rtl/>
          <w:lang w:eastAsia="zh-TW"/>
        </w:rPr>
        <w:t xml:space="preserve">اً </w:t>
      </w:r>
      <w:r w:rsidRPr="00E52476">
        <w:rPr>
          <w:b/>
          <w:bCs/>
          <w:rtl/>
          <w:lang w:eastAsia="zh-TW"/>
        </w:rPr>
        <w:t>تام</w:t>
      </w:r>
      <w:r w:rsidR="00550F28">
        <w:rPr>
          <w:b/>
          <w:bCs/>
          <w:rtl/>
          <w:lang w:eastAsia="zh-TW"/>
        </w:rPr>
        <w:t xml:space="preserve">اً </w:t>
      </w:r>
      <w:r w:rsidRPr="00E52476">
        <w:rPr>
          <w:b/>
          <w:bCs/>
          <w:rtl/>
          <w:lang w:eastAsia="zh-TW"/>
        </w:rPr>
        <w:t xml:space="preserve">في كل الظروف. وتوصيها بما يلي على وجه الخصوص: (أ) التعجيل باعتماد </w:t>
      </w:r>
      <w:r w:rsidRPr="00E52476">
        <w:rPr>
          <w:b/>
          <w:bCs/>
          <w:rtl/>
          <w:lang w:eastAsia="zh-TW"/>
        </w:rPr>
        <w:lastRenderedPageBreak/>
        <w:t>إطار قانوني بشأن اللجوء، وتوفير الضمانات اللازمة لاتّقاء أي خطر إعادة قسرية متى وُجدت أسباب وجيهة تحمل على الاعتقاد بأن الشخص المعني سيكون معرض</w:t>
      </w:r>
      <w:r w:rsidR="00550F28">
        <w:rPr>
          <w:b/>
          <w:bCs/>
          <w:rtl/>
          <w:lang w:eastAsia="zh-TW"/>
        </w:rPr>
        <w:t xml:space="preserve">اً </w:t>
      </w:r>
      <w:r w:rsidRPr="00E52476">
        <w:rPr>
          <w:b/>
          <w:bCs/>
          <w:rtl/>
          <w:lang w:eastAsia="zh-TW"/>
        </w:rPr>
        <w:t>لخطر الإعادة القسرية؛ (ب) النظر في إدراج حظر صريح للطرد أو الرد أو التقديم أو التسليم متى وُجدت أسباب وجيهة تدعو إلى الاعتقاد بأن الشخص المعني سيكون معرض</w:t>
      </w:r>
      <w:r w:rsidR="00550F28">
        <w:rPr>
          <w:b/>
          <w:bCs/>
          <w:rtl/>
          <w:lang w:eastAsia="zh-TW"/>
        </w:rPr>
        <w:t xml:space="preserve">اً </w:t>
      </w:r>
      <w:r w:rsidRPr="00E52476">
        <w:rPr>
          <w:b/>
          <w:bCs/>
          <w:rtl/>
          <w:lang w:eastAsia="zh-TW"/>
        </w:rPr>
        <w:t>لخطر الاختفاء القسري.</w:t>
      </w:r>
    </w:p>
    <w:p w:rsidR="00E52476" w:rsidRPr="00A37B53" w:rsidRDefault="00E52476" w:rsidP="00E52476">
      <w:pPr>
        <w:pStyle w:val="H1GA"/>
        <w:rPr>
          <w:rtl/>
          <w:lang w:eastAsia="zh-TW"/>
        </w:rPr>
      </w:pPr>
      <w:r w:rsidRPr="00A37B53">
        <w:rPr>
          <w:rtl/>
          <w:lang w:eastAsia="zh-TW"/>
        </w:rPr>
        <w:tab/>
      </w:r>
      <w:r w:rsidRPr="00A37B53">
        <w:rPr>
          <w:rtl/>
          <w:lang w:eastAsia="zh-TW"/>
        </w:rPr>
        <w:tab/>
      </w:r>
      <w:dir w:val="rtl">
        <w:r w:rsidRPr="00A37B53">
          <w:rPr>
            <w:rtl/>
            <w:lang w:eastAsia="zh-TW"/>
          </w:rPr>
          <w:t>الضمانات القانونية الأساسية</w:t>
        </w:r>
        <w:r w:rsidRPr="00A37B53">
          <w:rPr>
            <w:rFonts w:cs="Times New Roman" w:hint="cs"/>
            <w:rtl/>
            <w:lang w:eastAsia="zh-TW"/>
          </w:rPr>
          <w:t>‬</w:t>
        </w:r>
        <w:r>
          <w:t>‬</w:t>
        </w:r>
        <w:r w:rsidR="00565AAB">
          <w:t>‬</w:t>
        </w:r>
        <w:r w:rsidR="00F9414A">
          <w:t>‬</w:t>
        </w:r>
      </w:dir>
    </w:p>
    <w:p w:rsidR="00E52476" w:rsidRPr="00E112BF" w:rsidRDefault="00E52476" w:rsidP="00E406EF">
      <w:pPr>
        <w:pStyle w:val="SingleTxtGA"/>
        <w:rPr>
          <w:rtl/>
          <w:lang w:eastAsia="zh-TW"/>
        </w:rPr>
      </w:pPr>
      <w:r>
        <w:rPr>
          <w:rtl/>
          <w:lang w:eastAsia="zh-TW"/>
        </w:rPr>
        <w:t>٢٩-</w:t>
      </w:r>
      <w:r>
        <w:rPr>
          <w:rFonts w:hint="cs"/>
          <w:rtl/>
          <w:lang w:eastAsia="zh-TW"/>
        </w:rPr>
        <w:tab/>
      </w:r>
      <w:r w:rsidRPr="00E112BF">
        <w:rPr>
          <w:rtl/>
          <w:lang w:eastAsia="zh-TW"/>
        </w:rPr>
        <w:t>تشعر اللجنة بالقلق إزاء الادعاءات التي تشير إلى وقوع ما يلي في بعض الأحيان: (أ)</w:t>
      </w:r>
      <w:r>
        <w:rPr>
          <w:rFonts w:hint="cs"/>
          <w:rtl/>
          <w:lang w:eastAsia="zh-TW"/>
        </w:rPr>
        <w:t> </w:t>
      </w:r>
      <w:r w:rsidRPr="00E112BF">
        <w:rPr>
          <w:rtl/>
          <w:lang w:eastAsia="zh-TW"/>
        </w:rPr>
        <w:t>لم تخطر السلطات المختصة على الفور أقارب الأشخاص الذين يوضعون في عهدة التدابير المتخذة في حق هؤلاء الأشخاص وأماكن احتجازهم أو ت</w:t>
      </w:r>
      <w:r>
        <w:rPr>
          <w:rFonts w:hint="cs"/>
          <w:rtl/>
          <w:lang w:eastAsia="zh-TW"/>
        </w:rPr>
        <w:t>ُ</w:t>
      </w:r>
      <w:r w:rsidRPr="00E112BF">
        <w:rPr>
          <w:rtl/>
          <w:lang w:eastAsia="zh-TW"/>
        </w:rPr>
        <w:t>يسّر للأقرباء والمحامين الحصول على معلومات عمن سُلبت حريتهم؛ (ب) لم تُملأ سجلات من سُلبت حريتهم بسرعة ودقة ولم</w:t>
      </w:r>
      <w:r w:rsidR="00E406EF">
        <w:rPr>
          <w:rFonts w:hint="cs"/>
          <w:rtl/>
          <w:lang w:eastAsia="zh-TW"/>
        </w:rPr>
        <w:t> </w:t>
      </w:r>
      <w:r w:rsidRPr="00E112BF">
        <w:rPr>
          <w:rtl/>
          <w:lang w:eastAsia="zh-TW"/>
        </w:rPr>
        <w:t>تُحدَّث. وتشعر اللجنة بالقلق أيض</w:t>
      </w:r>
      <w:r w:rsidR="00550F28">
        <w:rPr>
          <w:rtl/>
          <w:lang w:eastAsia="zh-TW"/>
        </w:rPr>
        <w:t xml:space="preserve">اً </w:t>
      </w:r>
      <w:r w:rsidRPr="00E112BF">
        <w:rPr>
          <w:rtl/>
          <w:lang w:eastAsia="zh-TW"/>
        </w:rPr>
        <w:t>إزاء المعلومات التي تلقتها والتي تفيد بأن القانون الأساسي عدد 22/2015 المتعلق بمكافحة الإرهاب ومنع غسل الأموال المؤرخ 24 تموز/</w:t>
      </w:r>
      <w:r w:rsidR="00E406EF">
        <w:rPr>
          <w:rFonts w:hint="cs"/>
          <w:rtl/>
          <w:lang w:eastAsia="zh-TW"/>
        </w:rPr>
        <w:t xml:space="preserve"> </w:t>
      </w:r>
      <w:r w:rsidRPr="00E112BF">
        <w:rPr>
          <w:rtl/>
          <w:lang w:eastAsia="zh-TW"/>
        </w:rPr>
        <w:t>يوليه</w:t>
      </w:r>
      <w:r w:rsidR="00E406EF">
        <w:rPr>
          <w:rFonts w:hint="cs"/>
          <w:rtl/>
          <w:lang w:eastAsia="zh-TW"/>
        </w:rPr>
        <w:t> </w:t>
      </w:r>
      <w:r w:rsidRPr="00E112BF">
        <w:rPr>
          <w:rtl/>
          <w:lang w:eastAsia="zh-TW"/>
        </w:rPr>
        <w:t>2015 لا يضمن توكيل محامين أو أقارب أثناء الاحتجاز، الأمر الذي يبيح للشرطة أن تحتجز المشتبه في أنهم إرهابيون في الحبس الانفرادي لمدة تصل إلى 15 يوم</w:t>
      </w:r>
      <w:r w:rsidR="00550F28">
        <w:rPr>
          <w:rtl/>
          <w:lang w:eastAsia="zh-TW"/>
        </w:rPr>
        <w:t xml:space="preserve">اً </w:t>
      </w:r>
      <w:r w:rsidRPr="00E112BF">
        <w:rPr>
          <w:rtl/>
          <w:lang w:eastAsia="zh-TW"/>
        </w:rPr>
        <w:t xml:space="preserve">بموافقة المدعي العام بعد </w:t>
      </w:r>
      <w:r>
        <w:rPr>
          <w:rFonts w:hint="cs"/>
          <w:rtl/>
          <w:lang w:eastAsia="zh-TW"/>
        </w:rPr>
        <w:t>ال</w:t>
      </w:r>
      <w:r w:rsidRPr="00E112BF">
        <w:rPr>
          <w:rtl/>
          <w:lang w:eastAsia="zh-TW"/>
        </w:rPr>
        <w:t>يوم الخامس. وترحب اللجنة في هذا الصدد بكون التعديل الذي أدخل على قانون الإجراءات الجنائية والذي اعتمد في شباط/فبراير 2016 وسوف يدخل حيز النفاذ في حزيران/يونيه 2016 يضمن توكيل محام منذ بداية سلب الحرية، لكنها لا تزال تشعر بالقلق لأن التعديل ينص على ا</w:t>
      </w:r>
      <w:r>
        <w:rPr>
          <w:rtl/>
          <w:lang w:eastAsia="zh-TW"/>
        </w:rPr>
        <w:t>ستثناء المشتبه في أنهم إرهابيون</w:t>
      </w:r>
      <w:r w:rsidRPr="00E112BF">
        <w:rPr>
          <w:rtl/>
          <w:lang w:eastAsia="zh-TW"/>
        </w:rPr>
        <w:t xml:space="preserve"> الذين يمكن منعهم من مقابلة محاميهم لمدة تصل إلى 48 ساعة (المواد 17-18 و20 و22).</w:t>
      </w:r>
    </w:p>
    <w:p w:rsidR="00E52476" w:rsidRPr="00E52476" w:rsidRDefault="00E52476" w:rsidP="00E52476">
      <w:pPr>
        <w:pStyle w:val="SingleTxtGA"/>
        <w:rPr>
          <w:b/>
          <w:bCs/>
          <w:rtl/>
          <w:lang w:eastAsia="zh-TW"/>
        </w:rPr>
      </w:pPr>
      <w:r>
        <w:rPr>
          <w:rtl/>
          <w:lang w:eastAsia="zh-TW"/>
        </w:rPr>
        <w:t>٣٠-</w:t>
      </w:r>
      <w:r>
        <w:rPr>
          <w:rFonts w:hint="cs"/>
          <w:rtl/>
          <w:lang w:eastAsia="zh-TW"/>
        </w:rPr>
        <w:tab/>
      </w:r>
      <w:r w:rsidRPr="00E52476">
        <w:rPr>
          <w:b/>
          <w:bCs/>
          <w:rtl/>
          <w:lang w:eastAsia="zh-TW"/>
        </w:rPr>
        <w:t xml:space="preserve">توصي اللجنة بأن تعتمد الدولة الطرف جميع التدابير اللازمة بحيث يُمنح جميع من سُلبت حريتهم، بغض النظر عن الجرائم التي اتهموا بها، بحكم القانون وبحكم الواقع، منذ اللحظة الأولى لسلب حريتهم، </w:t>
      </w:r>
      <w:r w:rsidRPr="00E52476">
        <w:rPr>
          <w:rFonts w:hint="cs"/>
          <w:b/>
          <w:bCs/>
          <w:rtl/>
          <w:lang w:eastAsia="zh-TW"/>
        </w:rPr>
        <w:t>كل</w:t>
      </w:r>
      <w:r w:rsidRPr="00E52476">
        <w:rPr>
          <w:b/>
          <w:bCs/>
          <w:rtl/>
          <w:lang w:eastAsia="zh-TW"/>
        </w:rPr>
        <w:t xml:space="preserve"> الضمانات القانونية الأساسية التي تنص عليها المادة 17 من الاتفاقية. وتوصيها خاصة بضمان </w:t>
      </w:r>
      <w:r>
        <w:rPr>
          <w:rFonts w:hint="cs"/>
          <w:b/>
          <w:bCs/>
          <w:rtl/>
          <w:lang w:eastAsia="zh-TW"/>
        </w:rPr>
        <w:t>ما يلي</w:t>
      </w:r>
      <w:r w:rsidRPr="00E52476">
        <w:rPr>
          <w:b/>
          <w:bCs/>
          <w:rtl/>
          <w:lang w:eastAsia="zh-TW"/>
        </w:rPr>
        <w:t>:</w:t>
      </w:r>
    </w:p>
    <w:p w:rsidR="00E52476" w:rsidRPr="00E52476" w:rsidRDefault="00E52476" w:rsidP="00E52476">
      <w:pPr>
        <w:pStyle w:val="SingleTxtGA"/>
        <w:rPr>
          <w:b/>
          <w:bCs/>
          <w:rtl/>
          <w:lang w:eastAsia="zh-TW"/>
        </w:rPr>
      </w:pPr>
      <w:r w:rsidRPr="00F66B7A">
        <w:rPr>
          <w:rtl/>
          <w:lang w:eastAsia="zh-TW"/>
        </w:rPr>
        <w:tab/>
        <w:t>(أ)</w:t>
      </w:r>
      <w:r w:rsidRPr="00F66B7A">
        <w:rPr>
          <w:rtl/>
          <w:lang w:eastAsia="zh-TW"/>
        </w:rPr>
        <w:tab/>
      </w:r>
      <w:r w:rsidRPr="00E52476">
        <w:rPr>
          <w:b/>
          <w:bCs/>
          <w:rtl/>
          <w:lang w:eastAsia="zh-TW"/>
        </w:rPr>
        <w:t>تَمكّن جميع من سُلبت حريتهم من الاستعانة بمحام منذ بداية سلبهم حريتهم ومن الاتصال دون إبطاء بأقاربهم أو أي شخص من اختيارهم أو بسلطاتهم القنصلية إن كانوا أجانب؛</w:t>
      </w:r>
    </w:p>
    <w:p w:rsidR="00E52476" w:rsidRPr="00E52476" w:rsidRDefault="00E52476" w:rsidP="00E52476">
      <w:pPr>
        <w:pStyle w:val="SingleTxtGA"/>
        <w:rPr>
          <w:b/>
          <w:bCs/>
          <w:rtl/>
          <w:lang w:eastAsia="zh-TW"/>
        </w:rPr>
      </w:pPr>
      <w:r>
        <w:rPr>
          <w:rFonts w:hint="cs"/>
          <w:rtl/>
          <w:lang w:eastAsia="zh-TW"/>
        </w:rPr>
        <w:tab/>
      </w:r>
      <w:r>
        <w:rPr>
          <w:rtl/>
          <w:lang w:eastAsia="zh-TW"/>
        </w:rPr>
        <w:t>(ب)</w:t>
      </w:r>
      <w:r>
        <w:rPr>
          <w:rFonts w:hint="cs"/>
          <w:rtl/>
          <w:lang w:eastAsia="zh-TW"/>
        </w:rPr>
        <w:tab/>
      </w:r>
      <w:r w:rsidRPr="00E52476">
        <w:rPr>
          <w:b/>
          <w:bCs/>
          <w:rtl/>
          <w:lang w:eastAsia="zh-TW"/>
        </w:rPr>
        <w:t>تَمكّن أي شخص له مصلحة مشروعة في أن يحصل بسرعة وسهولة على أقل تقدير على المعلومات الواردة في المادة 18(1) من الاتفاقية، بما في ذلك أثناء احتجازه؛</w:t>
      </w:r>
    </w:p>
    <w:p w:rsidR="00E52476" w:rsidRPr="00E406EF" w:rsidRDefault="00E52476" w:rsidP="00E52476">
      <w:pPr>
        <w:pStyle w:val="SingleTxtGA"/>
        <w:rPr>
          <w:b/>
          <w:bCs/>
          <w:spacing w:val="-4"/>
          <w:rtl/>
          <w:lang w:eastAsia="zh-TW"/>
        </w:rPr>
      </w:pPr>
      <w:r w:rsidRPr="00E406EF">
        <w:rPr>
          <w:rFonts w:hint="cs"/>
          <w:spacing w:val="-4"/>
          <w:rtl/>
          <w:lang w:eastAsia="zh-TW"/>
        </w:rPr>
        <w:tab/>
      </w:r>
      <w:r w:rsidRPr="00E406EF">
        <w:rPr>
          <w:spacing w:val="-4"/>
          <w:rtl/>
          <w:lang w:eastAsia="zh-TW"/>
        </w:rPr>
        <w:t>(ج)</w:t>
      </w:r>
      <w:r w:rsidRPr="00E406EF">
        <w:rPr>
          <w:rFonts w:hint="cs"/>
          <w:spacing w:val="-4"/>
          <w:rtl/>
          <w:lang w:eastAsia="zh-TW"/>
        </w:rPr>
        <w:tab/>
      </w:r>
      <w:r w:rsidRPr="00E406EF">
        <w:rPr>
          <w:rFonts w:hint="cs"/>
          <w:b/>
          <w:bCs/>
          <w:spacing w:val="-4"/>
          <w:rtl/>
          <w:lang w:eastAsia="zh-TW"/>
        </w:rPr>
        <w:t xml:space="preserve">تدوين </w:t>
      </w:r>
      <w:r w:rsidRPr="00E406EF">
        <w:rPr>
          <w:b/>
          <w:bCs/>
          <w:spacing w:val="-4"/>
          <w:rtl/>
          <w:lang w:eastAsia="zh-TW"/>
        </w:rPr>
        <w:t>جميع حالات سلب الحرية، دون استثناء، في سجلات و/أو ملفات موحَّدة تتضمن على الأقل المعلومات المطلوبة بموجب المادة 17(3) من الاتفاقية؛</w:t>
      </w:r>
      <w:r w:rsidRPr="00E406EF">
        <w:rPr>
          <w:b/>
          <w:bCs/>
          <w:spacing w:val="-4"/>
          <w:lang w:eastAsia="zh-TW"/>
        </w:rPr>
        <w:t>‬</w:t>
      </w:r>
    </w:p>
    <w:p w:rsidR="00E52476" w:rsidRPr="00E406EF" w:rsidRDefault="00E52476" w:rsidP="00E52476">
      <w:pPr>
        <w:pStyle w:val="SingleTxtGA"/>
        <w:rPr>
          <w:b/>
          <w:bCs/>
          <w:spacing w:val="-6"/>
          <w:rtl/>
          <w:lang w:eastAsia="zh-TW"/>
        </w:rPr>
      </w:pPr>
      <w:r w:rsidRPr="00E406EF">
        <w:rPr>
          <w:rFonts w:hint="cs"/>
          <w:spacing w:val="-6"/>
          <w:rtl/>
          <w:lang w:eastAsia="zh-TW"/>
        </w:rPr>
        <w:lastRenderedPageBreak/>
        <w:tab/>
      </w:r>
      <w:r w:rsidRPr="00E406EF">
        <w:rPr>
          <w:spacing w:val="-6"/>
          <w:rtl/>
          <w:lang w:eastAsia="zh-TW"/>
        </w:rPr>
        <w:t>(د)</w:t>
      </w:r>
      <w:r w:rsidRPr="00E406EF">
        <w:rPr>
          <w:rFonts w:hint="cs"/>
          <w:spacing w:val="-6"/>
          <w:rtl/>
          <w:lang w:eastAsia="zh-TW"/>
        </w:rPr>
        <w:tab/>
      </w:r>
      <w:r w:rsidRPr="00E406EF">
        <w:rPr>
          <w:rFonts w:hint="cs"/>
          <w:b/>
          <w:bCs/>
          <w:spacing w:val="-6"/>
          <w:rtl/>
          <w:lang w:eastAsia="zh-TW"/>
        </w:rPr>
        <w:t xml:space="preserve">استيفاء </w:t>
      </w:r>
      <w:r w:rsidRPr="00E406EF">
        <w:rPr>
          <w:b/>
          <w:bCs/>
          <w:spacing w:val="-6"/>
          <w:rtl/>
          <w:lang w:eastAsia="zh-TW"/>
        </w:rPr>
        <w:t>السجلات و/أو الملفات عن مسلوبي الحرية وتحديثها بسرعة ودقة وإخضاعها للتدقيق الدوري، ومعاقبة الموظفين المسؤولين العقاب اللازم</w:t>
      </w:r>
      <w:r w:rsidRPr="00E406EF">
        <w:rPr>
          <w:rFonts w:hint="cs"/>
          <w:b/>
          <w:bCs/>
          <w:spacing w:val="-6"/>
          <w:rtl/>
          <w:lang w:eastAsia="zh-TW"/>
        </w:rPr>
        <w:t xml:space="preserve"> </w:t>
      </w:r>
      <w:r w:rsidRPr="00E406EF">
        <w:rPr>
          <w:b/>
          <w:bCs/>
          <w:spacing w:val="-6"/>
          <w:rtl/>
          <w:lang w:eastAsia="zh-TW"/>
        </w:rPr>
        <w:t>متى حدثت مخالفات.</w:t>
      </w:r>
    </w:p>
    <w:p w:rsidR="00E52476" w:rsidRPr="00F66B7A" w:rsidRDefault="00E52476" w:rsidP="00E52476">
      <w:pPr>
        <w:pStyle w:val="H1GA"/>
        <w:rPr>
          <w:rtl/>
          <w:lang w:eastAsia="zh-TW"/>
        </w:rPr>
      </w:pPr>
      <w:r>
        <w:rPr>
          <w:rFonts w:hint="cs"/>
          <w:sz w:val="30"/>
          <w:rtl/>
          <w:lang w:eastAsia="zh-TW"/>
        </w:rPr>
        <w:tab/>
      </w:r>
      <w:r>
        <w:rPr>
          <w:rFonts w:hint="cs"/>
          <w:sz w:val="30"/>
          <w:rtl/>
          <w:lang w:eastAsia="zh-TW"/>
        </w:rPr>
        <w:tab/>
      </w:r>
      <w:r w:rsidRPr="00F66B7A">
        <w:rPr>
          <w:rtl/>
          <w:lang w:eastAsia="zh-TW"/>
        </w:rPr>
        <w:t xml:space="preserve">تدابير جبر </w:t>
      </w:r>
      <w:r>
        <w:rPr>
          <w:rFonts w:hint="cs"/>
          <w:rtl/>
          <w:lang w:eastAsia="zh-TW"/>
        </w:rPr>
        <w:t xml:space="preserve">الأضرار </w:t>
      </w:r>
      <w:r w:rsidRPr="00F66B7A">
        <w:rPr>
          <w:rtl/>
          <w:lang w:eastAsia="zh-TW"/>
        </w:rPr>
        <w:t>وحماية الأطفال من الاختفاء القسري (المادتان 24-25)</w:t>
      </w:r>
      <w:r w:rsidRPr="00F66B7A">
        <w:rPr>
          <w:lang w:eastAsia="zh-TW"/>
        </w:rPr>
        <w:t>‬</w:t>
      </w:r>
      <w:r>
        <w:t>‬</w:t>
      </w:r>
    </w:p>
    <w:p w:rsidR="00E52476" w:rsidRPr="00E406EF" w:rsidRDefault="00E52476" w:rsidP="00E52476">
      <w:pPr>
        <w:pStyle w:val="H23GA"/>
        <w:rPr>
          <w:spacing w:val="-6"/>
          <w:rtl/>
        </w:rPr>
      </w:pPr>
      <w:r w:rsidRPr="00E406EF">
        <w:rPr>
          <w:spacing w:val="-6"/>
          <w:rtl/>
        </w:rPr>
        <w:tab/>
      </w:r>
      <w:r w:rsidRPr="00E406EF">
        <w:rPr>
          <w:spacing w:val="-6"/>
          <w:rtl/>
        </w:rPr>
        <w:tab/>
        <w:t>تعريف الضحية و</w:t>
      </w:r>
      <w:dir w:val="rtl">
        <w:r w:rsidRPr="00E406EF">
          <w:rPr>
            <w:spacing w:val="-6"/>
            <w:rtl/>
          </w:rPr>
          <w:t xml:space="preserve">الحق في الحصول على </w:t>
        </w:r>
        <w:r w:rsidRPr="00E406EF">
          <w:rPr>
            <w:rFonts w:hint="cs"/>
            <w:spacing w:val="-6"/>
            <w:rtl/>
          </w:rPr>
          <w:t xml:space="preserve">ما يجبر الضرر </w:t>
        </w:r>
        <w:r w:rsidRPr="00E406EF">
          <w:rPr>
            <w:spacing w:val="-6"/>
            <w:rtl/>
          </w:rPr>
          <w:t>والتعويض السريع والمنصف والكافي</w:t>
        </w:r>
        <w:r w:rsidRPr="00E406EF">
          <w:rPr>
            <w:rFonts w:cs="Times New Roman" w:hint="cs"/>
            <w:spacing w:val="-6"/>
            <w:rtl/>
          </w:rPr>
          <w:t>‬</w:t>
        </w:r>
        <w:r w:rsidRPr="00E406EF">
          <w:rPr>
            <w:spacing w:val="-6"/>
          </w:rPr>
          <w:t>‬</w:t>
        </w:r>
        <w:r w:rsidR="00565AAB">
          <w:t>‬</w:t>
        </w:r>
        <w:r w:rsidR="00F9414A">
          <w:t>‬</w:t>
        </w:r>
      </w:dir>
    </w:p>
    <w:p w:rsidR="00E52476" w:rsidRPr="00E112BF" w:rsidRDefault="00E52476" w:rsidP="00E52476">
      <w:pPr>
        <w:pStyle w:val="SingleTxtGA"/>
        <w:rPr>
          <w:rtl/>
          <w:lang w:eastAsia="zh-TW"/>
        </w:rPr>
      </w:pPr>
      <w:r>
        <w:rPr>
          <w:rtl/>
          <w:lang w:eastAsia="zh-TW"/>
        </w:rPr>
        <w:t>٣١-</w:t>
      </w:r>
      <w:r>
        <w:rPr>
          <w:rFonts w:hint="cs"/>
          <w:rtl/>
          <w:lang w:eastAsia="zh-TW"/>
        </w:rPr>
        <w:tab/>
      </w:r>
      <w:r w:rsidRPr="00E112BF">
        <w:rPr>
          <w:rtl/>
          <w:lang w:eastAsia="zh-TW"/>
        </w:rPr>
        <w:t xml:space="preserve">تلاحظ اللجنة بتقدير نظام جبر </w:t>
      </w:r>
      <w:r>
        <w:rPr>
          <w:rFonts w:hint="cs"/>
          <w:rtl/>
          <w:lang w:eastAsia="zh-TW"/>
        </w:rPr>
        <w:t xml:space="preserve">الضرر </w:t>
      </w:r>
      <w:r w:rsidRPr="00E112BF">
        <w:rPr>
          <w:rtl/>
          <w:lang w:eastAsia="zh-TW"/>
        </w:rPr>
        <w:t>المنصوص عليه في القانون الأساسي عد</w:t>
      </w:r>
      <w:r>
        <w:rPr>
          <w:rtl/>
          <w:lang w:eastAsia="zh-TW"/>
        </w:rPr>
        <w:t>د 53</w:t>
      </w:r>
      <w:r>
        <w:rPr>
          <w:rFonts w:hint="cs"/>
          <w:rtl/>
          <w:lang w:eastAsia="zh-TW"/>
        </w:rPr>
        <w:t>،</w:t>
      </w:r>
      <w:r w:rsidRPr="00E112BF">
        <w:rPr>
          <w:rtl/>
          <w:lang w:eastAsia="zh-TW"/>
        </w:rPr>
        <w:t xml:space="preserve"> بيد أنها تشعر بالقلق لأن القانون المحلي، خارج نطاق القانون المذكور، لا ينص على تعريف للضحية يتفق مع التعريف الوارد في المادة 24(1) من الاتفاقية ولا يتضمن نظام</w:t>
      </w:r>
      <w:r w:rsidR="00550F28">
        <w:rPr>
          <w:rtl/>
          <w:lang w:eastAsia="zh-TW"/>
        </w:rPr>
        <w:t xml:space="preserve">اً </w:t>
      </w:r>
      <w:r w:rsidRPr="00E112BF">
        <w:rPr>
          <w:rtl/>
          <w:lang w:eastAsia="zh-TW"/>
        </w:rPr>
        <w:t xml:space="preserve">للتعويض الشامل تكون الدولة الطرف هي المسؤولة عنه ويشمل، إضافة إلى التعويض، جميع تدابير جبر </w:t>
      </w:r>
      <w:r>
        <w:rPr>
          <w:rFonts w:hint="cs"/>
          <w:rtl/>
          <w:lang w:eastAsia="zh-TW"/>
        </w:rPr>
        <w:t xml:space="preserve">الضرر </w:t>
      </w:r>
      <w:r w:rsidRPr="00E112BF">
        <w:rPr>
          <w:rtl/>
          <w:lang w:eastAsia="zh-TW"/>
        </w:rPr>
        <w:t>التي تنص عليها المادة 24(5) من الاتفاقية (المادة 24).</w:t>
      </w:r>
    </w:p>
    <w:p w:rsidR="00E52476" w:rsidRPr="00E52476" w:rsidRDefault="00E52476" w:rsidP="00E52476">
      <w:pPr>
        <w:pStyle w:val="SingleTxtGA"/>
        <w:rPr>
          <w:b/>
          <w:bCs/>
          <w:rtl/>
          <w:lang w:eastAsia="zh-TW"/>
        </w:rPr>
      </w:pPr>
      <w:r>
        <w:rPr>
          <w:rtl/>
          <w:lang w:eastAsia="zh-TW"/>
        </w:rPr>
        <w:t>٣٢-</w:t>
      </w:r>
      <w:r>
        <w:rPr>
          <w:rFonts w:hint="cs"/>
          <w:rtl/>
          <w:lang w:eastAsia="zh-TW"/>
        </w:rPr>
        <w:tab/>
      </w:r>
      <w:r w:rsidRPr="00E52476">
        <w:rPr>
          <w:b/>
          <w:bCs/>
          <w:rtl/>
          <w:lang w:eastAsia="zh-TW"/>
        </w:rPr>
        <w:t>توصي اللجنة الدولة الطرف باتخاذ التدابير اللازمة بحيث ينص القانون المحلي على ما يلي، خارج نطاق القانون الأساسي عدد 53:</w:t>
      </w:r>
    </w:p>
    <w:p w:rsidR="00E52476" w:rsidRPr="00E52476" w:rsidRDefault="00E52476" w:rsidP="00E52476">
      <w:pPr>
        <w:pStyle w:val="SingleTxtGA"/>
        <w:rPr>
          <w:b/>
          <w:bCs/>
          <w:rtl/>
          <w:lang w:eastAsia="zh-TW"/>
        </w:rPr>
      </w:pPr>
      <w:r>
        <w:rPr>
          <w:rFonts w:hint="cs"/>
          <w:rtl/>
          <w:lang w:eastAsia="zh-TW"/>
        </w:rPr>
        <w:tab/>
      </w:r>
      <w:r>
        <w:rPr>
          <w:rtl/>
          <w:lang w:eastAsia="zh-TW"/>
        </w:rPr>
        <w:t>(أ)</w:t>
      </w:r>
      <w:r>
        <w:rPr>
          <w:rFonts w:hint="cs"/>
          <w:rtl/>
          <w:lang w:eastAsia="zh-TW"/>
        </w:rPr>
        <w:tab/>
      </w:r>
      <w:r w:rsidRPr="00E52476">
        <w:rPr>
          <w:b/>
          <w:bCs/>
          <w:rtl/>
          <w:lang w:eastAsia="zh-TW"/>
        </w:rPr>
        <w:t>تعريف للضحية يتقيد بما يرد في المادة 24(1) من الاتفاقية بحيث يتمتع كل فرد تكبد ضرر</w:t>
      </w:r>
      <w:r w:rsidR="00550F28">
        <w:rPr>
          <w:b/>
          <w:bCs/>
          <w:rtl/>
          <w:lang w:eastAsia="zh-TW"/>
        </w:rPr>
        <w:t xml:space="preserve">اً </w:t>
      </w:r>
      <w:r w:rsidRPr="00E52476">
        <w:rPr>
          <w:b/>
          <w:bCs/>
          <w:rtl/>
          <w:lang w:eastAsia="zh-TW"/>
        </w:rPr>
        <w:t>ناجم</w:t>
      </w:r>
      <w:r w:rsidR="00550F28">
        <w:rPr>
          <w:b/>
          <w:bCs/>
          <w:rtl/>
          <w:lang w:eastAsia="zh-TW"/>
        </w:rPr>
        <w:t xml:space="preserve">اً </w:t>
      </w:r>
      <w:r w:rsidRPr="00E52476">
        <w:rPr>
          <w:b/>
          <w:bCs/>
          <w:rtl/>
          <w:lang w:eastAsia="zh-TW"/>
        </w:rPr>
        <w:t>مباشرة عن اختفاء قسري تمتع</w:t>
      </w:r>
      <w:r w:rsidR="00550F28">
        <w:rPr>
          <w:b/>
          <w:bCs/>
          <w:rtl/>
          <w:lang w:eastAsia="zh-TW"/>
        </w:rPr>
        <w:t xml:space="preserve">اً </w:t>
      </w:r>
      <w:r w:rsidRPr="00E52476">
        <w:rPr>
          <w:b/>
          <w:bCs/>
          <w:rtl/>
          <w:lang w:eastAsia="zh-TW"/>
        </w:rPr>
        <w:t>كامل</w:t>
      </w:r>
      <w:r w:rsidR="00550F28">
        <w:rPr>
          <w:b/>
          <w:bCs/>
          <w:rtl/>
          <w:lang w:eastAsia="zh-TW"/>
        </w:rPr>
        <w:t xml:space="preserve">اً </w:t>
      </w:r>
      <w:r w:rsidRPr="00E52476">
        <w:rPr>
          <w:b/>
          <w:bCs/>
          <w:rtl/>
          <w:lang w:eastAsia="zh-TW"/>
        </w:rPr>
        <w:t>بالحقوق المنصوص عليها في الاتفاقية، مثل الحق في جبر</w:t>
      </w:r>
      <w:r>
        <w:rPr>
          <w:rFonts w:hint="cs"/>
          <w:b/>
          <w:bCs/>
          <w:rtl/>
          <w:lang w:eastAsia="zh-TW"/>
        </w:rPr>
        <w:t xml:space="preserve"> الضرر</w:t>
      </w:r>
      <w:r w:rsidRPr="00E52476">
        <w:rPr>
          <w:b/>
          <w:bCs/>
          <w:rtl/>
          <w:lang w:eastAsia="zh-TW"/>
        </w:rPr>
        <w:t>؛</w:t>
      </w:r>
    </w:p>
    <w:p w:rsidR="00E52476" w:rsidRPr="00E52476" w:rsidRDefault="00E52476" w:rsidP="00E52476">
      <w:pPr>
        <w:pStyle w:val="SingleTxtGA"/>
        <w:rPr>
          <w:b/>
          <w:bCs/>
          <w:rtl/>
          <w:lang w:eastAsia="zh-TW"/>
        </w:rPr>
      </w:pPr>
      <w:r>
        <w:rPr>
          <w:rFonts w:hint="cs"/>
          <w:rtl/>
          <w:lang w:eastAsia="zh-TW"/>
        </w:rPr>
        <w:tab/>
      </w:r>
      <w:r>
        <w:rPr>
          <w:rtl/>
          <w:lang w:eastAsia="zh-TW"/>
        </w:rPr>
        <w:t>(ب)</w:t>
      </w:r>
      <w:r>
        <w:rPr>
          <w:rFonts w:hint="cs"/>
          <w:rtl/>
          <w:lang w:eastAsia="zh-TW"/>
        </w:rPr>
        <w:tab/>
      </w:r>
      <w:r w:rsidRPr="00E52476">
        <w:rPr>
          <w:rFonts w:hint="cs"/>
          <w:b/>
          <w:bCs/>
          <w:rtl/>
          <w:lang w:eastAsia="zh-TW"/>
        </w:rPr>
        <w:t>إقامة</w:t>
      </w:r>
      <w:r>
        <w:rPr>
          <w:rFonts w:hint="cs"/>
          <w:rtl/>
          <w:lang w:eastAsia="zh-TW"/>
        </w:rPr>
        <w:t xml:space="preserve"> </w:t>
      </w:r>
      <w:r w:rsidRPr="00E52476">
        <w:rPr>
          <w:b/>
          <w:bCs/>
          <w:rtl/>
          <w:lang w:eastAsia="zh-TW"/>
        </w:rPr>
        <w:t xml:space="preserve">نظام جبر </w:t>
      </w:r>
      <w:r>
        <w:rPr>
          <w:rFonts w:hint="cs"/>
          <w:b/>
          <w:bCs/>
          <w:rtl/>
          <w:lang w:eastAsia="zh-TW"/>
        </w:rPr>
        <w:t xml:space="preserve">الضرر </w:t>
      </w:r>
      <w:r w:rsidRPr="00E52476">
        <w:rPr>
          <w:b/>
          <w:bCs/>
          <w:rtl/>
          <w:lang w:eastAsia="zh-TW"/>
        </w:rPr>
        <w:t xml:space="preserve">والتعويض </w:t>
      </w:r>
      <w:r>
        <w:rPr>
          <w:rFonts w:hint="cs"/>
          <w:b/>
          <w:bCs/>
          <w:rtl/>
          <w:lang w:eastAsia="zh-TW"/>
        </w:rPr>
        <w:t>يكون شاملاً مراعياً ل</w:t>
      </w:r>
      <w:r w:rsidRPr="00E52476">
        <w:rPr>
          <w:b/>
          <w:bCs/>
          <w:rtl/>
          <w:lang w:eastAsia="zh-TW"/>
        </w:rPr>
        <w:t>نوع الجنس ويتماشى كلي</w:t>
      </w:r>
      <w:r w:rsidR="00550F28">
        <w:rPr>
          <w:b/>
          <w:bCs/>
          <w:rtl/>
          <w:lang w:eastAsia="zh-TW"/>
        </w:rPr>
        <w:t xml:space="preserve">اً </w:t>
      </w:r>
      <w:r w:rsidRPr="00E52476">
        <w:rPr>
          <w:b/>
          <w:bCs/>
          <w:rtl/>
          <w:lang w:eastAsia="zh-TW"/>
        </w:rPr>
        <w:t xml:space="preserve">مع المادتين 24(4) و5 من الاتفاقية والمعايير الدولية الأخرى المتصلة بالموضوع، </w:t>
      </w:r>
      <w:r>
        <w:rPr>
          <w:rFonts w:hint="cs"/>
          <w:b/>
          <w:bCs/>
          <w:rtl/>
          <w:lang w:eastAsia="zh-TW"/>
        </w:rPr>
        <w:t>و</w:t>
      </w:r>
      <w:r w:rsidRPr="00E52476">
        <w:rPr>
          <w:b/>
          <w:bCs/>
          <w:rtl/>
          <w:lang w:eastAsia="zh-TW"/>
        </w:rPr>
        <w:t>تكون الدولة مسؤولة عنه ويكون قابل</w:t>
      </w:r>
      <w:r w:rsidR="00550F28">
        <w:rPr>
          <w:b/>
          <w:bCs/>
          <w:rtl/>
          <w:lang w:eastAsia="zh-TW"/>
        </w:rPr>
        <w:t xml:space="preserve">اً </w:t>
      </w:r>
      <w:r w:rsidRPr="00E52476">
        <w:rPr>
          <w:b/>
          <w:bCs/>
          <w:rtl/>
          <w:lang w:eastAsia="zh-TW"/>
        </w:rPr>
        <w:t>للتطبيق حتى إن لم تُتخذ أي إجراءات جنائية.</w:t>
      </w:r>
    </w:p>
    <w:p w:rsidR="00E52476" w:rsidRPr="00F66B7A" w:rsidRDefault="00E52476" w:rsidP="00E52476">
      <w:pPr>
        <w:pStyle w:val="H23GA"/>
        <w:rPr>
          <w:rtl/>
        </w:rPr>
      </w:pPr>
      <w:r w:rsidRPr="00F66B7A">
        <w:rPr>
          <w:rtl/>
        </w:rPr>
        <w:tab/>
      </w:r>
      <w:r w:rsidRPr="00F66B7A">
        <w:rPr>
          <w:rtl/>
        </w:rPr>
        <w:tab/>
      </w:r>
      <w:dir w:val="rtl">
        <w:r w:rsidRPr="00F66B7A">
          <w:rPr>
            <w:rtl/>
          </w:rPr>
          <w:t>التشريعات المتعلقة بانتزاع الأطفال بغير وجه حق</w:t>
        </w:r>
        <w:r w:rsidRPr="00F66B7A">
          <w:rPr>
            <w:rFonts w:cs="Times New Roman" w:hint="cs"/>
            <w:rtl/>
          </w:rPr>
          <w:t>‬</w:t>
        </w:r>
        <w:r>
          <w:t>‬</w:t>
        </w:r>
        <w:r w:rsidR="00565AAB">
          <w:t>‬</w:t>
        </w:r>
        <w:r w:rsidR="00F9414A">
          <w:t>‬</w:t>
        </w:r>
      </w:dir>
    </w:p>
    <w:p w:rsidR="00E52476" w:rsidRPr="00E112BF" w:rsidRDefault="00E52476" w:rsidP="00E406EF">
      <w:pPr>
        <w:pStyle w:val="SingleTxtGA"/>
        <w:rPr>
          <w:rtl/>
          <w:lang w:eastAsia="zh-TW"/>
        </w:rPr>
      </w:pPr>
      <w:r>
        <w:rPr>
          <w:rtl/>
          <w:lang w:eastAsia="zh-TW"/>
        </w:rPr>
        <w:t>٣٣-</w:t>
      </w:r>
      <w:r>
        <w:rPr>
          <w:rFonts w:hint="cs"/>
          <w:rtl/>
          <w:lang w:eastAsia="zh-TW"/>
        </w:rPr>
        <w:tab/>
      </w:r>
      <w:r w:rsidRPr="00E112BF">
        <w:rPr>
          <w:rtl/>
          <w:lang w:eastAsia="zh-TW"/>
        </w:rPr>
        <w:t>تحيط اللجنة علم</w:t>
      </w:r>
      <w:r w:rsidR="00550F28">
        <w:rPr>
          <w:rtl/>
          <w:lang w:eastAsia="zh-TW"/>
        </w:rPr>
        <w:t xml:space="preserve">اً </w:t>
      </w:r>
      <w:r w:rsidRPr="00E112BF">
        <w:rPr>
          <w:rtl/>
          <w:lang w:eastAsia="zh-TW"/>
        </w:rPr>
        <w:t xml:space="preserve">بأحكام القانون الجنائي الحالي التي تتناول اختطاف الأطفال والتزوير، </w:t>
      </w:r>
      <w:r>
        <w:rPr>
          <w:rFonts w:hint="cs"/>
          <w:rtl/>
          <w:lang w:eastAsia="zh-TW"/>
        </w:rPr>
        <w:t>إلا أنها تشعر ب</w:t>
      </w:r>
      <w:r w:rsidRPr="00E112BF">
        <w:rPr>
          <w:rtl/>
          <w:lang w:eastAsia="zh-TW"/>
        </w:rPr>
        <w:t>القلق لأن الأفعال المتعلقة بانتزاع الأطفال بغير حق المشار إليها في المادة</w:t>
      </w:r>
      <w:r w:rsidR="00E406EF">
        <w:rPr>
          <w:rFonts w:hint="cs"/>
          <w:rtl/>
          <w:lang w:eastAsia="zh-TW"/>
        </w:rPr>
        <w:t> </w:t>
      </w:r>
      <w:r w:rsidRPr="00E112BF">
        <w:rPr>
          <w:rtl/>
          <w:lang w:eastAsia="zh-TW"/>
        </w:rPr>
        <w:t>25(1) من الاتفاقية لا تجرّ</w:t>
      </w:r>
      <w:r>
        <w:rPr>
          <w:rFonts w:hint="cs"/>
          <w:rtl/>
          <w:lang w:eastAsia="zh-TW"/>
        </w:rPr>
        <w:t>َ</w:t>
      </w:r>
      <w:r w:rsidRPr="00E112BF">
        <w:rPr>
          <w:rtl/>
          <w:lang w:eastAsia="zh-TW"/>
        </w:rPr>
        <w:t>م تحديد</w:t>
      </w:r>
      <w:r w:rsidR="00550F28">
        <w:rPr>
          <w:rtl/>
          <w:lang w:eastAsia="zh-TW"/>
        </w:rPr>
        <w:t xml:space="preserve">اً </w:t>
      </w:r>
      <w:r w:rsidRPr="00E112BF">
        <w:rPr>
          <w:rtl/>
          <w:lang w:eastAsia="zh-TW"/>
        </w:rPr>
        <w:t>(المادة 25).</w:t>
      </w:r>
    </w:p>
    <w:p w:rsidR="00E52476" w:rsidRPr="00E52476" w:rsidRDefault="00E52476" w:rsidP="00E52476">
      <w:pPr>
        <w:pStyle w:val="SingleTxtGA"/>
        <w:rPr>
          <w:b/>
          <w:bCs/>
          <w:rtl/>
          <w:lang w:eastAsia="zh-TW"/>
        </w:rPr>
      </w:pPr>
      <w:r>
        <w:rPr>
          <w:rtl/>
          <w:lang w:eastAsia="zh-TW"/>
        </w:rPr>
        <w:t>٣٤-</w:t>
      </w:r>
      <w:r>
        <w:rPr>
          <w:rFonts w:hint="cs"/>
          <w:rtl/>
          <w:lang w:eastAsia="zh-TW"/>
        </w:rPr>
        <w:tab/>
      </w:r>
      <w:r w:rsidRPr="00E52476">
        <w:rPr>
          <w:b/>
          <w:bCs/>
          <w:rtl/>
          <w:lang w:eastAsia="zh-TW"/>
        </w:rPr>
        <w:t xml:space="preserve">توصي اللجنة بأن تعتمد الدولة الطرف التدابير التشريعية اللازمة لجعل الأفعال المبينة في الفقرة 1 من المادة 25 من الاتفاقية جرائم قائمة بذاتها، وأن تفرض على مرتكبي </w:t>
      </w:r>
      <w:r w:rsidRPr="00E52476">
        <w:rPr>
          <w:rFonts w:hint="cs"/>
          <w:b/>
          <w:bCs/>
          <w:rtl/>
          <w:lang w:eastAsia="zh-TW"/>
        </w:rPr>
        <w:t>تلك</w:t>
      </w:r>
      <w:r w:rsidRPr="00E52476">
        <w:rPr>
          <w:b/>
          <w:bCs/>
          <w:rtl/>
          <w:lang w:eastAsia="zh-TW"/>
        </w:rPr>
        <w:t xml:space="preserve"> الأفعال عقوبات تتناسب مع خطورتها البالغة.</w:t>
      </w:r>
      <w:r w:rsidRPr="00E52476">
        <w:rPr>
          <w:b/>
          <w:bCs/>
          <w:lang w:eastAsia="zh-TW"/>
        </w:rPr>
        <w:t>‬</w:t>
      </w:r>
    </w:p>
    <w:p w:rsidR="00E52476" w:rsidRPr="00F66B7A" w:rsidRDefault="00E52476" w:rsidP="00E52476">
      <w:pPr>
        <w:pStyle w:val="H1GA"/>
        <w:rPr>
          <w:rtl/>
          <w:lang w:eastAsia="zh-TW"/>
        </w:rPr>
      </w:pPr>
      <w:r w:rsidRPr="00F66B7A">
        <w:rPr>
          <w:rFonts w:hint="cs"/>
          <w:rtl/>
          <w:lang w:eastAsia="zh-TW"/>
        </w:rPr>
        <w:tab/>
      </w:r>
      <w:r>
        <w:rPr>
          <w:rtl/>
          <w:lang w:eastAsia="zh-TW"/>
        </w:rPr>
        <w:t>دال-</w:t>
      </w:r>
      <w:r>
        <w:rPr>
          <w:rFonts w:hint="cs"/>
          <w:rtl/>
          <w:lang w:eastAsia="zh-TW"/>
        </w:rPr>
        <w:tab/>
      </w:r>
      <w:dir w:val="rtl">
        <w:r w:rsidRPr="00F66B7A">
          <w:rPr>
            <w:rtl/>
            <w:lang w:eastAsia="zh-TW"/>
          </w:rPr>
          <w:t>النشر والمتابعة</w:t>
        </w:r>
        <w:r w:rsidRPr="00F66B7A">
          <w:rPr>
            <w:rFonts w:cs="Times New Roman" w:hint="cs"/>
            <w:rtl/>
            <w:lang w:eastAsia="zh-TW"/>
          </w:rPr>
          <w:t>‬</w:t>
        </w:r>
        <w:r>
          <w:t>‬</w:t>
        </w:r>
        <w:r w:rsidR="00565AAB">
          <w:t>‬</w:t>
        </w:r>
        <w:r w:rsidR="00F9414A">
          <w:t>‬</w:t>
        </w:r>
      </w:dir>
    </w:p>
    <w:p w:rsidR="00E52476" w:rsidRPr="00E112BF" w:rsidRDefault="00E52476" w:rsidP="00E52476">
      <w:pPr>
        <w:pStyle w:val="SingleTxtGA"/>
        <w:rPr>
          <w:rtl/>
          <w:lang w:eastAsia="zh-TW"/>
        </w:rPr>
      </w:pPr>
      <w:r>
        <w:rPr>
          <w:rtl/>
          <w:lang w:eastAsia="zh-TW"/>
        </w:rPr>
        <w:t>٣٥-</w:t>
      </w:r>
      <w:r>
        <w:rPr>
          <w:rFonts w:hint="cs"/>
          <w:rtl/>
          <w:lang w:eastAsia="zh-TW"/>
        </w:rPr>
        <w:tab/>
      </w:r>
      <w:r w:rsidRPr="00E112BF">
        <w:rPr>
          <w:rtl/>
          <w:lang w:eastAsia="zh-TW"/>
        </w:rPr>
        <w:t>تود اللجنة أن تذكِّر بالالتزامات التي قطعتها الدول على نفسها عندما أصبح</w:t>
      </w:r>
      <w:r>
        <w:rPr>
          <w:rtl/>
          <w:lang w:eastAsia="zh-TW"/>
        </w:rPr>
        <w:t>ت أطراف</w:t>
      </w:r>
      <w:r w:rsidR="00550F28">
        <w:rPr>
          <w:rtl/>
          <w:lang w:eastAsia="zh-TW"/>
        </w:rPr>
        <w:t xml:space="preserve">اً </w:t>
      </w:r>
      <w:r>
        <w:rPr>
          <w:rtl/>
          <w:lang w:eastAsia="zh-TW"/>
        </w:rPr>
        <w:t>في الاتفاقية</w:t>
      </w:r>
      <w:r>
        <w:rPr>
          <w:rFonts w:hint="cs"/>
          <w:rtl/>
          <w:lang w:eastAsia="zh-TW"/>
        </w:rPr>
        <w:t>،</w:t>
      </w:r>
      <w:r w:rsidRPr="00E112BF">
        <w:rPr>
          <w:rtl/>
          <w:lang w:eastAsia="zh-TW"/>
        </w:rPr>
        <w:t xml:space="preserve"> و</w:t>
      </w:r>
      <w:r>
        <w:rPr>
          <w:rFonts w:hint="cs"/>
          <w:rtl/>
          <w:lang w:eastAsia="zh-TW"/>
        </w:rPr>
        <w:t>تحث في</w:t>
      </w:r>
      <w:r w:rsidRPr="00E112BF">
        <w:rPr>
          <w:rtl/>
          <w:lang w:eastAsia="zh-TW"/>
        </w:rPr>
        <w:t xml:space="preserve"> هذا السياق الدولة الطرف على أن تحرص على اتفاق جميع ما تعتمده من تدابير، أياً كانت طبيعتها وأياً كانت السلطة التي تتخذها، اتفاقاً تاماً مع الالتزامات التي </w:t>
      </w:r>
      <w:r w:rsidRPr="00E112BF">
        <w:rPr>
          <w:rtl/>
          <w:lang w:eastAsia="zh-TW"/>
        </w:rPr>
        <w:lastRenderedPageBreak/>
        <w:t>تعهدت بالوفاء بها عندما أصبحت طرف</w:t>
      </w:r>
      <w:r w:rsidR="00550F28">
        <w:rPr>
          <w:rtl/>
          <w:lang w:eastAsia="zh-TW"/>
        </w:rPr>
        <w:t xml:space="preserve">اً </w:t>
      </w:r>
      <w:r w:rsidRPr="00E112BF">
        <w:rPr>
          <w:rtl/>
          <w:lang w:eastAsia="zh-TW"/>
        </w:rPr>
        <w:t>في الاتفاقية وغيرها من الصكوك الد</w:t>
      </w:r>
      <w:r>
        <w:rPr>
          <w:rtl/>
          <w:lang w:eastAsia="zh-TW"/>
        </w:rPr>
        <w:t>ولية</w:t>
      </w:r>
      <w:r>
        <w:rPr>
          <w:rFonts w:hint="cs"/>
          <w:rtl/>
          <w:lang w:eastAsia="zh-TW"/>
        </w:rPr>
        <w:t xml:space="preserve"> المتصلة بالموضوع</w:t>
      </w:r>
      <w:r w:rsidRPr="00E112BF">
        <w:rPr>
          <w:rtl/>
          <w:lang w:eastAsia="zh-TW"/>
        </w:rPr>
        <w:t>.</w:t>
      </w:r>
      <w:r w:rsidRPr="00E112BF">
        <w:rPr>
          <w:lang w:eastAsia="zh-TW"/>
        </w:rPr>
        <w:t>‬</w:t>
      </w:r>
      <w:r w:rsidRPr="00E112BF">
        <w:rPr>
          <w:rtl/>
          <w:lang w:eastAsia="zh-TW"/>
        </w:rPr>
        <w:t xml:space="preserve"> </w:t>
      </w:r>
      <w:dir w:val="rtl">
        <w:r w:rsidRPr="00E112BF">
          <w:rPr>
            <w:rtl/>
            <w:lang w:eastAsia="zh-TW"/>
          </w:rPr>
          <w:t xml:space="preserve">وتحث اللجنة بالخصوص الدولة الطرف على التحقيق الفعال في جميع </w:t>
        </w:r>
        <w:proofErr w:type="spellStart"/>
        <w:r w:rsidRPr="00E112BF">
          <w:rPr>
            <w:rtl/>
            <w:lang w:eastAsia="zh-TW"/>
          </w:rPr>
          <w:t>الاختفاءات</w:t>
        </w:r>
        <w:proofErr w:type="spellEnd"/>
        <w:r w:rsidRPr="00E112BF">
          <w:rPr>
            <w:rtl/>
            <w:lang w:eastAsia="zh-TW"/>
          </w:rPr>
          <w:t xml:space="preserve"> القسرية وإعمال حقوق الضحايا إعمال</w:t>
        </w:r>
        <w:r w:rsidR="00550F28">
          <w:rPr>
            <w:rtl/>
            <w:lang w:eastAsia="zh-TW"/>
          </w:rPr>
          <w:t xml:space="preserve">اً </w:t>
        </w:r>
        <w:r w:rsidRPr="00E112BF">
          <w:rPr>
            <w:rtl/>
            <w:lang w:eastAsia="zh-TW"/>
          </w:rPr>
          <w:t>تام</w:t>
        </w:r>
        <w:r w:rsidR="00550F28">
          <w:rPr>
            <w:rtl/>
            <w:lang w:eastAsia="zh-TW"/>
          </w:rPr>
          <w:t xml:space="preserve">اً </w:t>
        </w:r>
        <w:r w:rsidRPr="00E112BF">
          <w:rPr>
            <w:rtl/>
            <w:lang w:eastAsia="zh-TW"/>
          </w:rPr>
          <w:t>على النحو المبين في الاتفاقية.</w:t>
        </w:r>
        <w:r w:rsidRPr="00E112BF">
          <w:rPr>
            <w:lang w:eastAsia="zh-TW"/>
          </w:rPr>
          <w:t>‬</w:t>
        </w:r>
        <w:r>
          <w:t>‬</w:t>
        </w:r>
        <w:r w:rsidR="00565AAB">
          <w:t>‬</w:t>
        </w:r>
        <w:r w:rsidR="00F9414A">
          <w:t>‬</w:t>
        </w:r>
      </w:dir>
    </w:p>
    <w:p w:rsidR="00E52476" w:rsidRPr="00E406EF" w:rsidRDefault="00E52476" w:rsidP="00E52476">
      <w:pPr>
        <w:pStyle w:val="SingleTxtGA"/>
        <w:rPr>
          <w:spacing w:val="-2"/>
          <w:rtl/>
          <w:lang w:eastAsia="zh-TW"/>
        </w:rPr>
      </w:pPr>
      <w:r w:rsidRPr="00E406EF">
        <w:rPr>
          <w:spacing w:val="-2"/>
          <w:rtl/>
          <w:lang w:eastAsia="zh-TW"/>
        </w:rPr>
        <w:t>٣٦-</w:t>
      </w:r>
      <w:r w:rsidRPr="00E406EF">
        <w:rPr>
          <w:rFonts w:hint="cs"/>
          <w:spacing w:val="-2"/>
          <w:rtl/>
          <w:lang w:eastAsia="zh-TW"/>
        </w:rPr>
        <w:tab/>
      </w:r>
      <w:r w:rsidRPr="00E406EF">
        <w:rPr>
          <w:spacing w:val="-2"/>
          <w:rtl/>
          <w:lang w:eastAsia="zh-TW"/>
        </w:rPr>
        <w:t>وتود اللجنة أيض</w:t>
      </w:r>
      <w:r w:rsidR="00550F28">
        <w:rPr>
          <w:spacing w:val="-2"/>
          <w:rtl/>
          <w:lang w:eastAsia="zh-TW"/>
        </w:rPr>
        <w:t xml:space="preserve">اً </w:t>
      </w:r>
      <w:r w:rsidRPr="00E406EF">
        <w:rPr>
          <w:spacing w:val="-2"/>
          <w:rtl/>
          <w:lang w:eastAsia="zh-TW"/>
        </w:rPr>
        <w:t xml:space="preserve">أن تؤكد ما لحالات الاختفاء القسري من أثرٍ شديد القسوة على حقوق الإنسان المكفولة للنساء والأطفال. </w:t>
      </w:r>
      <w:dir w:val="rtl">
        <w:r w:rsidRPr="00E406EF">
          <w:rPr>
            <w:spacing w:val="-2"/>
            <w:rtl/>
            <w:lang w:eastAsia="zh-TW"/>
          </w:rPr>
          <w:t>والنساء ضحايا الاختفاء القسري عرضة بوجه خاص للاستغلال الجنسي وغيره من أشكال العنف القائم على نوع الجنس.</w:t>
        </w:r>
        <w:r w:rsidRPr="00E406EF">
          <w:rPr>
            <w:spacing w:val="-2"/>
            <w:lang w:eastAsia="zh-TW"/>
          </w:rPr>
          <w:t>‬</w:t>
        </w:r>
        <w:r w:rsidRPr="00E406EF">
          <w:rPr>
            <w:spacing w:val="-2"/>
            <w:rtl/>
            <w:lang w:eastAsia="zh-TW"/>
          </w:rPr>
          <w:t xml:space="preserve"> </w:t>
        </w:r>
        <w:dir w:val="rtl">
          <w:r w:rsidRPr="00E406EF">
            <w:rPr>
              <w:spacing w:val="-2"/>
              <w:rtl/>
              <w:lang w:eastAsia="zh-TW"/>
            </w:rPr>
            <w:t xml:space="preserve">ويُرجح </w:t>
          </w:r>
          <w:r w:rsidRPr="00E406EF">
            <w:rPr>
              <w:rFonts w:hint="cs"/>
              <w:spacing w:val="-2"/>
              <w:rtl/>
              <w:lang w:eastAsia="zh-TW"/>
            </w:rPr>
            <w:t>خصوص</w:t>
          </w:r>
          <w:r w:rsidR="00550F28">
            <w:rPr>
              <w:rFonts w:hint="cs"/>
              <w:spacing w:val="-2"/>
              <w:rtl/>
              <w:lang w:eastAsia="zh-TW"/>
            </w:rPr>
            <w:t xml:space="preserve">اً </w:t>
          </w:r>
          <w:r w:rsidRPr="00E406EF">
            <w:rPr>
              <w:spacing w:val="-2"/>
              <w:rtl/>
              <w:lang w:eastAsia="zh-TW"/>
            </w:rPr>
            <w:t>أن تتعرض النساء أقارب المختفين لشتى أنواع الحرمان الشديد من المزايا الاجتماعية والاقتصادية وأن يتعرضن</w:t>
          </w:r>
          <w:r w:rsidRPr="00E406EF">
            <w:rPr>
              <w:rFonts w:hint="cs"/>
              <w:spacing w:val="-2"/>
              <w:rtl/>
              <w:lang w:eastAsia="zh-TW"/>
            </w:rPr>
            <w:t xml:space="preserve"> أيض</w:t>
          </w:r>
          <w:r w:rsidR="00550F28">
            <w:rPr>
              <w:rFonts w:hint="cs"/>
              <w:spacing w:val="-2"/>
              <w:rtl/>
              <w:lang w:eastAsia="zh-TW"/>
            </w:rPr>
            <w:t xml:space="preserve">اً </w:t>
          </w:r>
          <w:r w:rsidRPr="00E406EF">
            <w:rPr>
              <w:spacing w:val="-2"/>
              <w:rtl/>
              <w:lang w:eastAsia="zh-TW"/>
            </w:rPr>
            <w:t>للعنف والاضطهاد والانتقام نتيجة سعيهن إلى العثور على ذويهن.</w:t>
          </w:r>
          <w:r w:rsidRPr="00E406EF">
            <w:rPr>
              <w:spacing w:val="-2"/>
              <w:lang w:eastAsia="zh-TW"/>
            </w:rPr>
            <w:t>‬</w:t>
          </w:r>
          <w:r w:rsidRPr="00E406EF">
            <w:rPr>
              <w:spacing w:val="-2"/>
              <w:rtl/>
              <w:lang w:eastAsia="zh-TW"/>
            </w:rPr>
            <w:t xml:space="preserve"> </w:t>
          </w:r>
          <w:dir w:val="rtl">
            <w:r w:rsidRPr="00E406EF">
              <w:rPr>
                <w:spacing w:val="-2"/>
                <w:rtl/>
                <w:lang w:eastAsia="zh-TW"/>
              </w:rPr>
              <w:t>والأطفال ضحايا الاختفاء القسري، إما ل</w:t>
            </w:r>
            <w:r w:rsidRPr="00E406EF">
              <w:rPr>
                <w:rFonts w:hint="cs"/>
                <w:spacing w:val="-2"/>
                <w:rtl/>
                <w:lang w:eastAsia="zh-TW"/>
              </w:rPr>
              <w:t>معاناتهم</w:t>
            </w:r>
            <w:r w:rsidRPr="00E406EF">
              <w:rPr>
                <w:spacing w:val="-2"/>
                <w:rtl/>
                <w:lang w:eastAsia="zh-TW"/>
              </w:rPr>
              <w:t xml:space="preserve"> هم أنفسهم </w:t>
            </w:r>
            <w:r w:rsidRPr="00E406EF">
              <w:rPr>
                <w:rFonts w:hint="cs"/>
                <w:spacing w:val="-2"/>
                <w:rtl/>
                <w:lang w:eastAsia="zh-TW"/>
              </w:rPr>
              <w:t>من ا</w:t>
            </w:r>
            <w:r w:rsidRPr="00E406EF">
              <w:rPr>
                <w:spacing w:val="-2"/>
                <w:rtl/>
                <w:lang w:eastAsia="zh-TW"/>
              </w:rPr>
              <w:t>لاختفاء أو بسبب عواقب اختفاء أقاربهم، معرضون خاصة للعديد من انتهاكات حقوق الإنسان، بما فيها استبدال الهوية.</w:t>
            </w:r>
            <w:r w:rsidRPr="00E406EF">
              <w:rPr>
                <w:spacing w:val="-2"/>
                <w:lang w:eastAsia="zh-TW"/>
              </w:rPr>
              <w:t>‬</w:t>
            </w:r>
            <w:r w:rsidRPr="00E406EF">
              <w:rPr>
                <w:spacing w:val="-2"/>
                <w:rtl/>
                <w:lang w:eastAsia="zh-TW"/>
              </w:rPr>
              <w:t xml:space="preserve"> و</w:t>
            </w:r>
            <w:dir w:val="rtl">
              <w:r w:rsidRPr="00E406EF">
                <w:rPr>
                  <w:spacing w:val="-2"/>
                  <w:rtl/>
                  <w:lang w:eastAsia="zh-TW"/>
                </w:rPr>
                <w:t>ت</w:t>
              </w:r>
              <w:r w:rsidRPr="00E406EF">
                <w:rPr>
                  <w:rFonts w:hint="cs"/>
                  <w:spacing w:val="-2"/>
                  <w:rtl/>
                  <w:lang w:eastAsia="zh-TW"/>
                </w:rPr>
                <w:t>ركز</w:t>
              </w:r>
              <w:r w:rsidRPr="00E406EF">
                <w:rPr>
                  <w:spacing w:val="-2"/>
                  <w:rtl/>
                  <w:lang w:eastAsia="zh-TW"/>
                </w:rPr>
                <w:t xml:space="preserve"> اللجنة </w:t>
              </w:r>
              <w:r w:rsidRPr="00E406EF">
                <w:rPr>
                  <w:rFonts w:hint="cs"/>
                  <w:spacing w:val="-2"/>
                  <w:rtl/>
                  <w:lang w:eastAsia="zh-TW"/>
                </w:rPr>
                <w:t xml:space="preserve">خاصة </w:t>
              </w:r>
              <w:r w:rsidRPr="00E406EF">
                <w:rPr>
                  <w:spacing w:val="-2"/>
                  <w:rtl/>
                  <w:lang w:eastAsia="zh-TW"/>
                </w:rPr>
                <w:t xml:space="preserve">في هذا السياق على ضرورة أن تحرص الدولة الطرف على مراعاة المنظور </w:t>
              </w:r>
              <w:proofErr w:type="spellStart"/>
              <w:r w:rsidRPr="00E406EF">
                <w:rPr>
                  <w:spacing w:val="-2"/>
                  <w:rtl/>
                  <w:lang w:eastAsia="zh-TW"/>
                </w:rPr>
                <w:t>الجنساني</w:t>
              </w:r>
              <w:proofErr w:type="spellEnd"/>
              <w:r w:rsidRPr="00E406EF">
                <w:rPr>
                  <w:spacing w:val="-2"/>
                  <w:rtl/>
                  <w:lang w:eastAsia="zh-TW"/>
                </w:rPr>
                <w:t xml:space="preserve"> واعتماد نه</w:t>
              </w:r>
              <w:r w:rsidRPr="00E406EF">
                <w:rPr>
                  <w:rFonts w:hint="cs"/>
                  <w:spacing w:val="-2"/>
                  <w:rtl/>
                  <w:lang w:eastAsia="zh-TW"/>
                </w:rPr>
                <w:t>و</w:t>
              </w:r>
              <w:r w:rsidRPr="00E406EF">
                <w:rPr>
                  <w:spacing w:val="-2"/>
                  <w:rtl/>
                  <w:lang w:eastAsia="zh-TW"/>
                </w:rPr>
                <w:t xml:space="preserve">ج </w:t>
              </w:r>
              <w:r w:rsidRPr="00E406EF">
                <w:rPr>
                  <w:rFonts w:hint="cs"/>
                  <w:spacing w:val="-2"/>
                  <w:rtl/>
                  <w:lang w:eastAsia="zh-TW"/>
                </w:rPr>
                <w:t>تراعي ا</w:t>
              </w:r>
              <w:r w:rsidRPr="00E406EF">
                <w:rPr>
                  <w:spacing w:val="-2"/>
                  <w:rtl/>
                  <w:lang w:eastAsia="zh-TW"/>
                </w:rPr>
                <w:t>لطفل في الإجراءات المتخذة لإعمال الحقوق والوفاء بالالتزامات المبينة في الاتفاقية.</w:t>
              </w:r>
              <w:r w:rsidRPr="00E406EF">
                <w:rPr>
                  <w:spacing w:val="-2"/>
                  <w:lang w:eastAsia="zh-TW"/>
                </w:rPr>
                <w:t>‬</w:t>
              </w:r>
              <w:r w:rsidRPr="00E406EF">
                <w:rPr>
                  <w:spacing w:val="-2"/>
                </w:rPr>
                <w:t>‬</w:t>
              </w:r>
              <w:r w:rsidRPr="00E406EF">
                <w:rPr>
                  <w:spacing w:val="-2"/>
                </w:rPr>
                <w:t>‬</w:t>
              </w:r>
              <w:r w:rsidRPr="00E406EF">
                <w:rPr>
                  <w:spacing w:val="-2"/>
                </w:rPr>
                <w:t>‬</w:t>
              </w:r>
              <w:r w:rsidRPr="00E406EF">
                <w:rPr>
                  <w:spacing w:val="-2"/>
                </w:rPr>
                <w:t>‬</w:t>
              </w:r>
              <w:r w:rsidR="00565AAB">
                <w:t>‬</w:t>
              </w:r>
              <w:r w:rsidR="00565AAB">
                <w:t>‬</w:t>
              </w:r>
              <w:r w:rsidR="00565AAB">
                <w:t>‬</w:t>
              </w:r>
              <w:r w:rsidR="00565AAB">
                <w:t>‬</w:t>
              </w:r>
              <w:r w:rsidR="00F9414A">
                <w:t>‬</w:t>
              </w:r>
              <w:r w:rsidR="00F9414A">
                <w:t>‬</w:t>
              </w:r>
              <w:r w:rsidR="00F9414A">
                <w:t>‬</w:t>
              </w:r>
              <w:r w:rsidR="00F9414A">
                <w:t>‬</w:t>
              </w:r>
            </w:dir>
          </w:dir>
        </w:dir>
      </w:dir>
    </w:p>
    <w:p w:rsidR="00E52476" w:rsidRPr="00E112BF" w:rsidRDefault="00E52476" w:rsidP="00E52476">
      <w:pPr>
        <w:pStyle w:val="SingleTxtGA"/>
        <w:rPr>
          <w:rtl/>
          <w:lang w:eastAsia="zh-TW"/>
        </w:rPr>
      </w:pPr>
      <w:r>
        <w:rPr>
          <w:rtl/>
          <w:lang w:eastAsia="zh-TW"/>
        </w:rPr>
        <w:t>٣٧-</w:t>
      </w:r>
      <w:r>
        <w:rPr>
          <w:rFonts w:hint="cs"/>
          <w:rtl/>
          <w:lang w:eastAsia="zh-TW"/>
        </w:rPr>
        <w:tab/>
      </w:r>
      <w:r w:rsidRPr="00E112BF">
        <w:rPr>
          <w:rtl/>
          <w:lang w:eastAsia="zh-TW"/>
        </w:rPr>
        <w:t>وتشجع اللجنة الدولة الطرف على نشر الاتفاقية على نطاق واسع، وكذلك تقريرها المقدم بموجب الفقرة 1 من المادة 29 من الاتفاقية، وردودها الكتابية على قائمة المسائل التي وضعتها اللجنة، وهذه الملاحظات الختامية، من أجل رفع درجة الوعي لدى السلطات القضائية والتشريعية والإدارية، ولدى المجتمع المدني والمنظمات غير الحكومية العاملة في الدولة الطرف</w:t>
      </w:r>
      <w:r>
        <w:rPr>
          <w:rFonts w:hint="cs"/>
          <w:rtl/>
          <w:lang w:eastAsia="zh-TW"/>
        </w:rPr>
        <w:t>،</w:t>
      </w:r>
      <w:r w:rsidRPr="00E112BF">
        <w:rPr>
          <w:rtl/>
          <w:lang w:eastAsia="zh-TW"/>
        </w:rPr>
        <w:t xml:space="preserve"> وعامة الناس. </w:t>
      </w:r>
      <w:dir w:val="rtl">
        <w:r w:rsidRPr="00E112BF">
          <w:rPr>
            <w:rtl/>
            <w:lang w:eastAsia="zh-TW"/>
          </w:rPr>
          <w:t>وتشجع اللجنة الدولة الطرف أيضاً على حضّ المجتمع المدني، لا سيما منظمات الضحايا، على المشاركة في الإجراءات المتخذة عملاً بهذه الملاحظات الختامية.</w:t>
        </w:r>
        <w:r w:rsidRPr="00E112BF">
          <w:rPr>
            <w:lang w:eastAsia="zh-TW"/>
          </w:rPr>
          <w:t>‬</w:t>
        </w:r>
        <w:r>
          <w:t>‬</w:t>
        </w:r>
        <w:r w:rsidR="00565AAB">
          <w:t>‬</w:t>
        </w:r>
        <w:r w:rsidR="00F9414A">
          <w:t>‬</w:t>
        </w:r>
      </w:dir>
    </w:p>
    <w:p w:rsidR="00E52476" w:rsidRPr="00E406EF" w:rsidRDefault="00E52476" w:rsidP="00E52476">
      <w:pPr>
        <w:pStyle w:val="SingleTxtGA"/>
        <w:rPr>
          <w:rtl/>
        </w:rPr>
      </w:pPr>
      <w:r w:rsidRPr="00E406EF">
        <w:rPr>
          <w:rtl/>
        </w:rPr>
        <w:t>٣٨-</w:t>
      </w:r>
      <w:r w:rsidRPr="00E406EF">
        <w:rPr>
          <w:rFonts w:hint="cs"/>
          <w:rtl/>
        </w:rPr>
        <w:tab/>
      </w:r>
      <w:r w:rsidRPr="00E406EF">
        <w:rPr>
          <w:rtl/>
        </w:rPr>
        <w:t>وتدعو اللجنة الدولة الطرف، في معرض إشارتها إلى أنها قدمت وثيقتها الأساسية (</w:t>
      </w:r>
      <w:r w:rsidRPr="00E406EF">
        <w:t>HRI/CORE/1/Add.46</w:t>
      </w:r>
      <w:r w:rsidRPr="00E406EF">
        <w:rPr>
          <w:rFonts w:hint="cs"/>
          <w:rtl/>
        </w:rPr>
        <w:t>)</w:t>
      </w:r>
      <w:r w:rsidRPr="00E406EF">
        <w:rPr>
          <w:rtl/>
        </w:rPr>
        <w:t xml:space="preserve"> في عام 1994، إلى تحديث هذه الوثيقة وفقاً للمتطلبات الواردة في الوثيقة الأساسية الموحدة المدرجة ضمن المبادئ التوجيهية المنسقة لتقديم التقارير بموجب المعاهدات الدولية لحقوق الإنسان (انظر </w:t>
      </w:r>
      <w:r w:rsidRPr="00E406EF">
        <w:t>HRI/GEN.2/Rev.6</w:t>
      </w:r>
      <w:r w:rsidRPr="00E406EF">
        <w:rPr>
          <w:rtl/>
        </w:rPr>
        <w:t>، الفصل أولاً).</w:t>
      </w:r>
    </w:p>
    <w:p w:rsidR="00E52476" w:rsidRPr="00E406EF" w:rsidRDefault="00E52476" w:rsidP="00E406EF">
      <w:pPr>
        <w:pStyle w:val="SingleTxtGA"/>
        <w:rPr>
          <w:spacing w:val="-4"/>
          <w:rtl/>
          <w:lang w:eastAsia="zh-TW"/>
        </w:rPr>
      </w:pPr>
      <w:r w:rsidRPr="00E406EF">
        <w:rPr>
          <w:spacing w:val="-4"/>
          <w:rtl/>
          <w:lang w:eastAsia="zh-TW"/>
        </w:rPr>
        <w:t>٣٩-</w:t>
      </w:r>
      <w:r w:rsidRPr="00E406EF">
        <w:rPr>
          <w:rFonts w:hint="cs"/>
          <w:spacing w:val="-4"/>
          <w:rtl/>
          <w:lang w:eastAsia="zh-TW"/>
        </w:rPr>
        <w:tab/>
      </w:r>
      <w:r w:rsidRPr="00E406EF">
        <w:rPr>
          <w:spacing w:val="-4"/>
          <w:rtl/>
          <w:lang w:eastAsia="zh-TW"/>
        </w:rPr>
        <w:t>ووفقاً للنظام الداخلي للجنة، يتعين على الدولة الطرف أن تقدم، بحلول 18 آذار/</w:t>
      </w:r>
      <w:r w:rsidR="00E406EF">
        <w:rPr>
          <w:rFonts w:hint="cs"/>
          <w:spacing w:val="-4"/>
          <w:rtl/>
          <w:lang w:eastAsia="zh-TW"/>
        </w:rPr>
        <w:t xml:space="preserve"> </w:t>
      </w:r>
      <w:r w:rsidRPr="00E406EF">
        <w:rPr>
          <w:spacing w:val="-4"/>
          <w:rtl/>
          <w:lang w:eastAsia="zh-TW"/>
        </w:rPr>
        <w:t>مارس</w:t>
      </w:r>
      <w:r w:rsidR="00E406EF">
        <w:rPr>
          <w:rFonts w:hint="cs"/>
          <w:spacing w:val="-4"/>
          <w:rtl/>
          <w:lang w:eastAsia="zh-TW"/>
        </w:rPr>
        <w:t> </w:t>
      </w:r>
      <w:r w:rsidRPr="00E406EF">
        <w:rPr>
          <w:spacing w:val="-4"/>
          <w:rtl/>
          <w:lang w:eastAsia="zh-TW"/>
        </w:rPr>
        <w:t>2017 على أقل تقدير، معلومات عن تنفيذ التوصيات الواردة في الفقرات 15 و23 و30.</w:t>
      </w:r>
    </w:p>
    <w:p w:rsidR="00E52476" w:rsidRPr="00E406EF" w:rsidRDefault="00E52476" w:rsidP="00E406EF">
      <w:pPr>
        <w:pStyle w:val="SingleTxtGA"/>
        <w:rPr>
          <w:rtl/>
        </w:rPr>
      </w:pPr>
      <w:r w:rsidRPr="00E406EF">
        <w:rPr>
          <w:rtl/>
        </w:rPr>
        <w:t>٤٠-</w:t>
      </w:r>
      <w:r w:rsidRPr="00E406EF">
        <w:rPr>
          <w:rFonts w:hint="cs"/>
          <w:rtl/>
        </w:rPr>
        <w:tab/>
      </w:r>
      <w:r w:rsidRPr="00E406EF">
        <w:rPr>
          <w:rtl/>
        </w:rPr>
        <w:t>وتطلب اللجنة إلى الدولة الطرف، عملاً بالفقرة 4 من المادة 29 في الاتفاقية، أن تقدم إليها، في موعد أقصاه 18 آذار/مارس 2022، معلومات محددة ومستكملة عن تنفيذ جميع توصياتها وأية معلومات أخرى جديدة عن الوفاء بالالتزامات المنصوص عليها في الاتفاقية، وذلك في وثيقة تُعدّ وفقاً للمبادئ التوجيهية المتعلقة بشكل ومحتوى التقارير التي ي</w:t>
      </w:r>
      <w:r w:rsidRPr="00E406EF">
        <w:rPr>
          <w:rFonts w:hint="cs"/>
          <w:rtl/>
        </w:rPr>
        <w:t>جب</w:t>
      </w:r>
      <w:r w:rsidRPr="00E406EF">
        <w:rPr>
          <w:rtl/>
        </w:rPr>
        <w:t xml:space="preserve"> على الدول الأطراف في الاتفاقية تقديمها بموجب المادة 29 من الاتفاقية (انظر</w:t>
      </w:r>
      <w:r w:rsidR="006F3B09" w:rsidRPr="00E406EF">
        <w:rPr>
          <w:rtl/>
        </w:rPr>
        <w:t xml:space="preserve"> </w:t>
      </w:r>
      <w:r w:rsidRPr="00E406EF">
        <w:t>CED/C/2</w:t>
      </w:r>
      <w:r w:rsidRPr="00E406EF">
        <w:rPr>
          <w:rtl/>
        </w:rPr>
        <w:t>، الفقرة</w:t>
      </w:r>
      <w:r w:rsidR="00E406EF" w:rsidRPr="00E406EF">
        <w:rPr>
          <w:rFonts w:hint="cs"/>
          <w:rtl/>
        </w:rPr>
        <w:t> </w:t>
      </w:r>
      <w:r w:rsidRPr="00E406EF">
        <w:rPr>
          <w:rtl/>
        </w:rPr>
        <w:t>39). وتشجع اللجنة الدولة الطرف، عند إعداد هذه المعلومات، على الاستمرار في استشارة منظمات المجتمع المدني، بما فيها منظمات الضحايا.</w:t>
      </w:r>
    </w:p>
    <w:p w:rsidR="00E52476" w:rsidRPr="00E52476" w:rsidRDefault="00E52476" w:rsidP="00E406EF">
      <w:pPr>
        <w:spacing w:before="120" w:line="340" w:lineRule="exact"/>
        <w:jc w:val="center"/>
        <w:rPr>
          <w:u w:val="single"/>
          <w:rtl/>
        </w:rPr>
      </w:pPr>
      <w:r>
        <w:rPr>
          <w:u w:val="single"/>
          <w:rtl/>
        </w:rPr>
        <w:tab/>
      </w:r>
      <w:r>
        <w:rPr>
          <w:u w:val="single"/>
          <w:rtl/>
        </w:rPr>
        <w:tab/>
      </w:r>
      <w:r>
        <w:rPr>
          <w:u w:val="single"/>
          <w:rtl/>
        </w:rPr>
        <w:tab/>
      </w:r>
    </w:p>
    <w:sectPr w:rsidR="00E52476" w:rsidRPr="00E52476" w:rsidSect="001F753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A53" w:rsidRPr="002901D9" w:rsidRDefault="00495A53" w:rsidP="002901D9">
      <w:pPr>
        <w:spacing w:after="60" w:line="240" w:lineRule="auto"/>
        <w:rPr>
          <w:i/>
          <w:iCs/>
        </w:rPr>
      </w:pPr>
      <w:r>
        <w:rPr>
          <w:rFonts w:hint="cs"/>
          <w:i/>
          <w:iCs/>
          <w:rtl/>
        </w:rPr>
        <w:t>الحواشي</w:t>
      </w:r>
    </w:p>
  </w:endnote>
  <w:endnote w:type="continuationSeparator" w:id="0">
    <w:p w:rsidR="00495A53" w:rsidRDefault="00495A5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76" w:rsidRPr="00E52476" w:rsidRDefault="00E52476" w:rsidP="00E52476">
    <w:pPr>
      <w:pStyle w:val="Footer"/>
      <w:tabs>
        <w:tab w:val="right" w:pos="9598"/>
      </w:tabs>
      <w:rPr>
        <w:sz w:val="17"/>
      </w:rPr>
    </w:pPr>
    <w:r>
      <w:rPr>
        <w:sz w:val="17"/>
      </w:rPr>
      <w:t>GE.16-08090</w:t>
    </w:r>
    <w:r>
      <w:rPr>
        <w:sz w:val="17"/>
      </w:rPr>
      <w:tab/>
    </w:r>
    <w:r w:rsidRPr="00E52476">
      <w:rPr>
        <w:b/>
        <w:sz w:val="18"/>
      </w:rPr>
      <w:fldChar w:fldCharType="begin"/>
    </w:r>
    <w:r w:rsidRPr="00E52476">
      <w:rPr>
        <w:b/>
        <w:sz w:val="18"/>
      </w:rPr>
      <w:instrText xml:space="preserve"> PAGE  \* MERGEFORMAT </w:instrText>
    </w:r>
    <w:r w:rsidRPr="00E52476">
      <w:rPr>
        <w:b/>
        <w:sz w:val="18"/>
      </w:rPr>
      <w:fldChar w:fldCharType="separate"/>
    </w:r>
    <w:r w:rsidR="00B826EE">
      <w:rPr>
        <w:b/>
        <w:noProof/>
        <w:sz w:val="18"/>
      </w:rPr>
      <w:t>8</w:t>
    </w:r>
    <w:r w:rsidRPr="00E5247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E52476" w:rsidRDefault="00E52476" w:rsidP="006959B0">
    <w:pPr>
      <w:pStyle w:val="Footer"/>
      <w:tabs>
        <w:tab w:val="right" w:pos="9599"/>
      </w:tabs>
      <w:jc w:val="left"/>
      <w:rPr>
        <w:b/>
        <w:sz w:val="18"/>
        <w:lang w:val="en-US"/>
      </w:rPr>
    </w:pPr>
    <w:r w:rsidRPr="00E52476">
      <w:rPr>
        <w:b/>
        <w:sz w:val="18"/>
        <w:lang w:val="en-US"/>
      </w:rPr>
      <w:fldChar w:fldCharType="begin"/>
    </w:r>
    <w:r w:rsidRPr="00E52476">
      <w:rPr>
        <w:b/>
        <w:sz w:val="18"/>
        <w:lang w:val="en-US"/>
      </w:rPr>
      <w:instrText xml:space="preserve"> PAGE  \* MERGEFORMAT </w:instrText>
    </w:r>
    <w:r w:rsidRPr="00E52476">
      <w:rPr>
        <w:b/>
        <w:sz w:val="18"/>
        <w:lang w:val="en-US"/>
      </w:rPr>
      <w:fldChar w:fldCharType="separate"/>
    </w:r>
    <w:r w:rsidR="00B826EE">
      <w:rPr>
        <w:b/>
        <w:noProof/>
        <w:sz w:val="18"/>
        <w:lang w:val="en-US"/>
      </w:rPr>
      <w:t>9</w:t>
    </w:r>
    <w:r w:rsidRPr="00E52476">
      <w:rPr>
        <w:b/>
        <w:sz w:val="18"/>
        <w:lang w:val="en-US"/>
      </w:rPr>
      <w:fldChar w:fldCharType="end"/>
    </w:r>
    <w:r>
      <w:rPr>
        <w:b/>
        <w:sz w:val="18"/>
        <w:lang w:val="en-US"/>
      </w:rPr>
      <w:tab/>
    </w:r>
    <w:r>
      <w:rPr>
        <w:sz w:val="17"/>
        <w:lang w:val="en-US"/>
      </w:rPr>
      <w:t>GE.16-08090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1F753C" w:rsidP="00FD4BC9">
    <w:pPr>
      <w:pStyle w:val="Footer"/>
      <w:jc w:val="right"/>
      <w:rPr>
        <w:sz w:val="20"/>
        <w:szCs w:val="20"/>
      </w:rPr>
    </w:pPr>
    <w:r>
      <w:rPr>
        <w:sz w:val="20"/>
        <w:szCs w:val="20"/>
      </w:rPr>
      <w:t>GE.16-08090</w:t>
    </w:r>
    <w:r w:rsidR="00FD4BC9">
      <w:rPr>
        <w:noProof/>
        <w:lang w:val="en-US"/>
      </w:rPr>
      <w:drawing>
        <wp:anchor distT="0" distB="0" distL="114300" distR="114300" simplePos="0" relativeHeight="251659264" behindDoc="1" locked="1" layoutInCell="0" allowOverlap="1" wp14:anchorId="1F3E897E" wp14:editId="3D2D589A">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1F753C" w:rsidRPr="001F753C" w:rsidRDefault="001F753C" w:rsidP="001F753C">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0FACDDC5" wp14:editId="75C48F87">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ED/C/TUN/CO/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TUN/CO/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A53" w:rsidRPr="0054762C" w:rsidRDefault="00495A53" w:rsidP="00173565">
      <w:pPr>
        <w:pStyle w:val="Footer"/>
        <w:bidi/>
        <w:spacing w:after="80" w:line="200" w:lineRule="exact"/>
        <w:ind w:left="680"/>
      </w:pPr>
      <w:r>
        <w:rPr>
          <w:rtl/>
        </w:rPr>
        <w:t>__________</w:t>
      </w:r>
    </w:p>
  </w:footnote>
  <w:footnote w:type="continuationSeparator" w:id="0">
    <w:p w:rsidR="00495A53" w:rsidRDefault="00495A53" w:rsidP="00656392">
      <w:pPr>
        <w:spacing w:line="240" w:lineRule="auto"/>
      </w:pPr>
      <w:r>
        <w:continuationSeparator/>
      </w:r>
    </w:p>
  </w:footnote>
  <w:footnote w:id="1">
    <w:p w:rsidR="00E52476" w:rsidRPr="00E112BF" w:rsidRDefault="00E52476" w:rsidP="006F3B09">
      <w:pPr>
        <w:pStyle w:val="FootnoteText"/>
        <w:spacing w:after="60" w:line="300" w:lineRule="exact"/>
        <w:ind w:left="1247" w:right="1247" w:hanging="567"/>
        <w:textDirection w:val="tbRlV"/>
        <w:rPr>
          <w:rFonts w:ascii="Traditional Arabic" w:hAnsi="Traditional Arabic"/>
          <w:sz w:val="26"/>
          <w:szCs w:val="26"/>
          <w:rtl/>
          <w:lang w:val="en-GB" w:eastAsia="zh-TW"/>
        </w:rPr>
      </w:pPr>
      <w:r w:rsidRPr="00E112BF">
        <w:rPr>
          <w:rFonts w:ascii="Traditional Arabic" w:hAnsi="Traditional Arabic"/>
          <w:sz w:val="26"/>
          <w:szCs w:val="26"/>
          <w:lang w:val="en-GB" w:eastAsia="zh-TW"/>
        </w:rPr>
        <w:t>*</w:t>
      </w:r>
      <w:r w:rsidR="006F3B09">
        <w:rPr>
          <w:rFonts w:ascii="Traditional Arabic" w:hAnsi="Traditional Arabic" w:hint="cs"/>
          <w:sz w:val="26"/>
          <w:szCs w:val="26"/>
          <w:rtl/>
          <w:lang w:val="en-GB" w:eastAsia="zh-TW"/>
        </w:rPr>
        <w:tab/>
      </w:r>
      <w:r w:rsidRPr="00E112BF">
        <w:rPr>
          <w:rFonts w:ascii="Traditional Arabic" w:hAnsi="Traditional Arabic"/>
          <w:sz w:val="26"/>
          <w:szCs w:val="26"/>
          <w:rtl/>
          <w:lang w:val="en-GB" w:eastAsia="zh-TW"/>
        </w:rPr>
        <w:t>اعتمدتها اللجنة في دورتها العاشرة</w:t>
      </w:r>
      <w:r>
        <w:rPr>
          <w:rFonts w:ascii="Traditional Arabic" w:hAnsi="Traditional Arabic" w:hint="cs"/>
          <w:sz w:val="26"/>
          <w:szCs w:val="26"/>
          <w:rtl/>
          <w:lang w:val="en-GB" w:eastAsia="zh-TW"/>
        </w:rPr>
        <w:t xml:space="preserve"> (7-18 آذار/مارس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76" w:rsidRPr="00E52476" w:rsidRDefault="00E52476" w:rsidP="00E52476">
    <w:pPr>
      <w:pStyle w:val="Header"/>
      <w:jc w:val="right"/>
    </w:pPr>
    <w:r w:rsidRPr="00E52476">
      <w:t>CED/C/TUN/CO/1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76" w:rsidRPr="00E52476" w:rsidRDefault="00E52476" w:rsidP="00E52476">
    <w:pPr>
      <w:pStyle w:val="Header"/>
      <w:jc w:val="left"/>
    </w:pPr>
    <w:r w:rsidRPr="00E52476">
      <w:t>CED/C/TUN/CO/1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7"/>
  </w:num>
  <w:num w:numId="8">
    <w:abstractNumId w:val="1"/>
  </w:num>
  <w:num w:numId="9">
    <w:abstractNumId w:val="4"/>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95A53"/>
    <w:rsid w:val="000076D5"/>
    <w:rsid w:val="00043663"/>
    <w:rsid w:val="000505CF"/>
    <w:rsid w:val="000D701C"/>
    <w:rsid w:val="000E2A71"/>
    <w:rsid w:val="00160263"/>
    <w:rsid w:val="00173565"/>
    <w:rsid w:val="00181F96"/>
    <w:rsid w:val="001A1371"/>
    <w:rsid w:val="001B346A"/>
    <w:rsid w:val="001E1CAD"/>
    <w:rsid w:val="001E290D"/>
    <w:rsid w:val="001F753C"/>
    <w:rsid w:val="002144FA"/>
    <w:rsid w:val="0023469A"/>
    <w:rsid w:val="00243C8A"/>
    <w:rsid w:val="00267A0E"/>
    <w:rsid w:val="002901D9"/>
    <w:rsid w:val="002976C2"/>
    <w:rsid w:val="003260FF"/>
    <w:rsid w:val="00343D95"/>
    <w:rsid w:val="003662EF"/>
    <w:rsid w:val="00374341"/>
    <w:rsid w:val="003D1062"/>
    <w:rsid w:val="003D4C4E"/>
    <w:rsid w:val="003E159A"/>
    <w:rsid w:val="00420D7B"/>
    <w:rsid w:val="00450B21"/>
    <w:rsid w:val="00453B63"/>
    <w:rsid w:val="00454D29"/>
    <w:rsid w:val="00455780"/>
    <w:rsid w:val="00495A53"/>
    <w:rsid w:val="004A3FF8"/>
    <w:rsid w:val="004B0A1C"/>
    <w:rsid w:val="004D298E"/>
    <w:rsid w:val="00517BC9"/>
    <w:rsid w:val="0054472E"/>
    <w:rsid w:val="0054762C"/>
    <w:rsid w:val="00550F28"/>
    <w:rsid w:val="00565AAB"/>
    <w:rsid w:val="005662A9"/>
    <w:rsid w:val="005827D4"/>
    <w:rsid w:val="0059622A"/>
    <w:rsid w:val="005C281C"/>
    <w:rsid w:val="005C5878"/>
    <w:rsid w:val="005C7CEA"/>
    <w:rsid w:val="005D3C0B"/>
    <w:rsid w:val="005E5217"/>
    <w:rsid w:val="005F0FA4"/>
    <w:rsid w:val="005F30EE"/>
    <w:rsid w:val="0060473A"/>
    <w:rsid w:val="00606EDF"/>
    <w:rsid w:val="00656392"/>
    <w:rsid w:val="00687200"/>
    <w:rsid w:val="0068781D"/>
    <w:rsid w:val="006959B0"/>
    <w:rsid w:val="006B3E27"/>
    <w:rsid w:val="006B6507"/>
    <w:rsid w:val="006C104C"/>
    <w:rsid w:val="006F3B09"/>
    <w:rsid w:val="0071202B"/>
    <w:rsid w:val="00733704"/>
    <w:rsid w:val="0078071A"/>
    <w:rsid w:val="007A70BB"/>
    <w:rsid w:val="00852A9A"/>
    <w:rsid w:val="008930DB"/>
    <w:rsid w:val="00895D16"/>
    <w:rsid w:val="008F49E1"/>
    <w:rsid w:val="0090370F"/>
    <w:rsid w:val="009269D2"/>
    <w:rsid w:val="00942135"/>
    <w:rsid w:val="009521B0"/>
    <w:rsid w:val="009A7E9F"/>
    <w:rsid w:val="009E5018"/>
    <w:rsid w:val="00A12B37"/>
    <w:rsid w:val="00A50EC0"/>
    <w:rsid w:val="00AB6758"/>
    <w:rsid w:val="00B13763"/>
    <w:rsid w:val="00B477A4"/>
    <w:rsid w:val="00B54045"/>
    <w:rsid w:val="00B826EE"/>
    <w:rsid w:val="00C022F5"/>
    <w:rsid w:val="00C438D7"/>
    <w:rsid w:val="00C53FE8"/>
    <w:rsid w:val="00C70A7C"/>
    <w:rsid w:val="00C81B50"/>
    <w:rsid w:val="00CA655B"/>
    <w:rsid w:val="00CD1801"/>
    <w:rsid w:val="00D10EF1"/>
    <w:rsid w:val="00D42810"/>
    <w:rsid w:val="00D4456B"/>
    <w:rsid w:val="00D914A7"/>
    <w:rsid w:val="00DD13C3"/>
    <w:rsid w:val="00DD596E"/>
    <w:rsid w:val="00DD621E"/>
    <w:rsid w:val="00DF0575"/>
    <w:rsid w:val="00E406EF"/>
    <w:rsid w:val="00E52476"/>
    <w:rsid w:val="00E70E04"/>
    <w:rsid w:val="00EC05A7"/>
    <w:rsid w:val="00EC4B6B"/>
    <w:rsid w:val="00ED7442"/>
    <w:rsid w:val="00EE0B18"/>
    <w:rsid w:val="00EF1EE5"/>
    <w:rsid w:val="00F16633"/>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C70A7C"/>
    <w:pPr>
      <w:keepNext/>
      <w:keepLines/>
      <w:tabs>
        <w:tab w:val="right" w:pos="1021"/>
      </w:tabs>
      <w:suppressAutoHyphen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E52476"/>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paragraph" w:customStyle="1" w:styleId="SingleTxtG">
    <w:name w:val="_ Single Txt_G"/>
    <w:basedOn w:val="Normal"/>
    <w:rsid w:val="00E52476"/>
    <w:pPr>
      <w:suppressAutoHyphens/>
      <w:bidi w:val="0"/>
      <w:spacing w:after="120"/>
      <w:ind w:left="1134" w:right="1134"/>
      <w:jc w:val="both"/>
    </w:pPr>
    <w:rPr>
      <w:rFonts w:cs="Times New Roman"/>
      <w:lang w:val="en-GB"/>
    </w:rPr>
  </w:style>
  <w:style w:type="paragraph" w:customStyle="1" w:styleId="H1G">
    <w:name w:val="_ H_1_G"/>
    <w:basedOn w:val="Normal"/>
    <w:next w:val="Normal"/>
    <w:rsid w:val="00E52476"/>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paragraph" w:customStyle="1" w:styleId="H23G">
    <w:name w:val="_ H_2/3_G"/>
    <w:basedOn w:val="Normal"/>
    <w:next w:val="Normal"/>
    <w:rsid w:val="00E52476"/>
    <w:pPr>
      <w:keepNext/>
      <w:keepLines/>
      <w:tabs>
        <w:tab w:val="right" w:pos="851"/>
      </w:tabs>
      <w:suppressAutoHyphens/>
      <w:bidi w:val="0"/>
      <w:spacing w:before="240" w:after="120" w:line="240" w:lineRule="exact"/>
      <w:ind w:left="1134" w:right="1134" w:hanging="1134"/>
      <w:jc w:val="left"/>
    </w:pPr>
    <w:rPr>
      <w:rFonts w:cs="Times New Roman"/>
      <w:b/>
      <w:lang w:val="en-GB"/>
    </w:rPr>
  </w:style>
  <w:style w:type="paragraph" w:styleId="ListBullet3">
    <w:name w:val="List Bullet 3"/>
    <w:basedOn w:val="Normal"/>
    <w:semiHidden/>
    <w:rsid w:val="00E52476"/>
    <w:pPr>
      <w:numPr>
        <w:numId w:val="12"/>
      </w:numPr>
      <w:suppressAutoHyphens/>
      <w:bidi w:val="0"/>
      <w:jc w:val="left"/>
    </w:pPr>
    <w:rPr>
      <w:rFonts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C70A7C"/>
    <w:pPr>
      <w:keepNext/>
      <w:keepLines/>
      <w:tabs>
        <w:tab w:val="right" w:pos="1021"/>
      </w:tabs>
      <w:suppressAutoHyphen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E52476"/>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paragraph" w:customStyle="1" w:styleId="SingleTxtG">
    <w:name w:val="_ Single Txt_G"/>
    <w:basedOn w:val="Normal"/>
    <w:rsid w:val="00E52476"/>
    <w:pPr>
      <w:suppressAutoHyphens/>
      <w:bidi w:val="0"/>
      <w:spacing w:after="120"/>
      <w:ind w:left="1134" w:right="1134"/>
      <w:jc w:val="both"/>
    </w:pPr>
    <w:rPr>
      <w:rFonts w:cs="Times New Roman"/>
      <w:lang w:val="en-GB"/>
    </w:rPr>
  </w:style>
  <w:style w:type="paragraph" w:customStyle="1" w:styleId="H1G">
    <w:name w:val="_ H_1_G"/>
    <w:basedOn w:val="Normal"/>
    <w:next w:val="Normal"/>
    <w:rsid w:val="00E52476"/>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paragraph" w:customStyle="1" w:styleId="H23G">
    <w:name w:val="_ H_2/3_G"/>
    <w:basedOn w:val="Normal"/>
    <w:next w:val="Normal"/>
    <w:rsid w:val="00E52476"/>
    <w:pPr>
      <w:keepNext/>
      <w:keepLines/>
      <w:tabs>
        <w:tab w:val="right" w:pos="851"/>
      </w:tabs>
      <w:suppressAutoHyphens/>
      <w:bidi w:val="0"/>
      <w:spacing w:before="240" w:after="120" w:line="240" w:lineRule="exact"/>
      <w:ind w:left="1134" w:right="1134" w:hanging="1134"/>
      <w:jc w:val="left"/>
    </w:pPr>
    <w:rPr>
      <w:rFonts w:cs="Times New Roman"/>
      <w:b/>
      <w:lang w:val="en-GB"/>
    </w:rPr>
  </w:style>
  <w:style w:type="paragraph" w:styleId="ListBullet3">
    <w:name w:val="List Bullet 3"/>
    <w:basedOn w:val="Normal"/>
    <w:semiHidden/>
    <w:rsid w:val="00E52476"/>
    <w:pPr>
      <w:numPr>
        <w:numId w:val="12"/>
      </w:numPr>
      <w:suppressAutoHyphens/>
      <w:bidi w:val="0"/>
      <w:jc w:val="left"/>
    </w:pPr>
    <w:rPr>
      <w:rFont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8A3DC-6486-4AB6-B5EC-537803AF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9</Pages>
  <Words>2766</Words>
  <Characters>15770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CED/C/TUN/CO/1</vt:lpstr>
    </vt:vector>
  </TitlesOfParts>
  <Company>DCM</Company>
  <LinksUpToDate>false</LinksUpToDate>
  <CharactersWithSpaces>18500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CED/C/TUN/CO/1</dc:title>
  <dc:subject>GE.1608090A</dc:subject>
  <dc:creator>Bahnassawy Mohamed</dc:creator>
  <cp:keywords>ODS No.1610237</cp:keywords>
  <dc:description>Distr.: General
25 May 2016
Original: English</dc:description>
  <cp:lastModifiedBy>El-Maseri M.</cp:lastModifiedBy>
  <cp:revision>2</cp:revision>
  <dcterms:created xsi:type="dcterms:W3CDTF">2016-06-17T12:32:00Z</dcterms:created>
  <dcterms:modified xsi:type="dcterms:W3CDTF">2016-06-17T12:32:00Z</dcterms:modified>
  <cp:category>Final</cp:category>
</cp:coreProperties>
</file>