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9D167C"/>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9D167C" w:rsidP="009D167C">
            <w:pPr>
              <w:jc w:val="right"/>
            </w:pPr>
            <w:r w:rsidRPr="009D167C">
              <w:rPr>
                <w:sz w:val="40"/>
              </w:rPr>
              <w:t>CRC</w:t>
            </w:r>
            <w:r>
              <w:t>/C/83/D/60/2018</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9D167C" w:rsidP="008F3CA0">
            <w:pPr>
              <w:spacing w:before="240"/>
            </w:pPr>
            <w:proofErr w:type="spellStart"/>
            <w:r>
              <w:t>Distr</w:t>
            </w:r>
            <w:proofErr w:type="spellEnd"/>
            <w:r>
              <w:t>. générale</w:t>
            </w:r>
          </w:p>
          <w:p w:rsidR="009D167C" w:rsidRDefault="009D167C" w:rsidP="009D167C">
            <w:pPr>
              <w:spacing w:line="240" w:lineRule="exact"/>
            </w:pPr>
            <w:r>
              <w:t>10 mars 2020</w:t>
            </w:r>
          </w:p>
          <w:p w:rsidR="009D167C" w:rsidRDefault="009D167C" w:rsidP="009D167C">
            <w:pPr>
              <w:spacing w:line="240" w:lineRule="exact"/>
            </w:pPr>
            <w:r>
              <w:t>Français</w:t>
            </w:r>
          </w:p>
          <w:p w:rsidR="009D167C" w:rsidRPr="00DB58B5" w:rsidRDefault="009D167C" w:rsidP="009D167C">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2A7DFB" w:rsidRPr="00C83578" w:rsidRDefault="002A7DFB" w:rsidP="00C83578">
      <w:pPr>
        <w:pStyle w:val="HChG"/>
        <w:rPr>
          <w:b w:val="0"/>
          <w:bCs/>
        </w:rPr>
      </w:pPr>
      <w:r>
        <w:tab/>
      </w:r>
      <w:r>
        <w:tab/>
      </w:r>
      <w:r w:rsidRPr="003F1C2D">
        <w:t>Décision adoptée par le Comité au titre du Protocole facultatif</w:t>
      </w:r>
      <w:r>
        <w:t xml:space="preserve"> </w:t>
      </w:r>
      <w:r w:rsidRPr="003F1C2D">
        <w:t>à la Convention relative aux droits de l</w:t>
      </w:r>
      <w:r>
        <w:t>’</w:t>
      </w:r>
      <w:r w:rsidRPr="003F1C2D">
        <w:t xml:space="preserve">enfant établissant une procédure de présentation </w:t>
      </w:r>
      <w:r>
        <w:br/>
      </w:r>
      <w:r w:rsidRPr="003F1C2D">
        <w:t xml:space="preserve">de communications, concernant </w:t>
      </w:r>
      <w:r w:rsidRPr="003F1C2D">
        <w:rPr>
          <w:szCs w:val="28"/>
        </w:rPr>
        <w:t xml:space="preserve">la communication </w:t>
      </w:r>
      <w:r w:rsidRPr="003F1C2D">
        <w:rPr>
          <w:rFonts w:eastAsia="MS Mincho"/>
          <w:szCs w:val="28"/>
        </w:rPr>
        <w:t>n</w:t>
      </w:r>
      <w:r w:rsidRPr="003F1C2D">
        <w:rPr>
          <w:rFonts w:eastAsia="MS Mincho"/>
          <w:szCs w:val="28"/>
          <w:vertAlign w:val="superscript"/>
        </w:rPr>
        <w:t>o</w:t>
      </w:r>
      <w:r w:rsidRPr="003F1C2D">
        <w:rPr>
          <w:rFonts w:eastAsia="MS Mincho"/>
          <w:szCs w:val="28"/>
        </w:rPr>
        <w:t> </w:t>
      </w:r>
      <w:r w:rsidRPr="003F1C2D">
        <w:rPr>
          <w:szCs w:val="28"/>
        </w:rPr>
        <w:t>60/2018</w:t>
      </w:r>
      <w:r w:rsidRPr="00C83578">
        <w:rPr>
          <w:b w:val="0"/>
          <w:sz w:val="20"/>
          <w:lang w:val="en-GB"/>
        </w:rPr>
        <w:footnoteReference w:customMarkFollows="1" w:id="2"/>
        <w:sym w:font="Symbol" w:char="F02A"/>
      </w:r>
      <w:r w:rsidRPr="00C83578">
        <w:rPr>
          <w:b w:val="0"/>
          <w:sz w:val="20"/>
          <w:vertAlign w:val="superscript"/>
        </w:rPr>
        <w:t>,</w:t>
      </w:r>
      <w:r w:rsidRPr="00C83578">
        <w:rPr>
          <w:bCs/>
        </w:rPr>
        <w:t xml:space="preserve"> </w:t>
      </w:r>
      <w:r w:rsidRPr="00C83578">
        <w:rPr>
          <w:b w:val="0"/>
          <w:sz w:val="20"/>
          <w:lang w:val="en-GB"/>
        </w:rPr>
        <w:footnoteReference w:customMarkFollows="1" w:id="3"/>
        <w:sym w:font="Symbol" w:char="F02A"/>
      </w:r>
      <w:r w:rsidRPr="00C83578">
        <w:rPr>
          <w:b w:val="0"/>
          <w:sz w:val="20"/>
          <w:lang w:val="en-GB"/>
        </w:rPr>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2A7DFB" w:rsidTr="00C83578">
        <w:tc>
          <w:tcPr>
            <w:tcW w:w="2835" w:type="dxa"/>
          </w:tcPr>
          <w:p w:rsidR="002A7DFB" w:rsidRDefault="002A7DFB" w:rsidP="00C30123">
            <w:pPr>
              <w:pStyle w:val="SingleTxtG"/>
              <w:ind w:left="0" w:right="0"/>
              <w:jc w:val="left"/>
              <w:rPr>
                <w:i/>
              </w:rPr>
            </w:pPr>
            <w:r>
              <w:rPr>
                <w:i/>
              </w:rPr>
              <w:t>Communication présentée par</w:t>
            </w:r>
            <w:r>
              <w:t> :</w:t>
            </w:r>
          </w:p>
        </w:tc>
        <w:tc>
          <w:tcPr>
            <w:tcW w:w="3969" w:type="dxa"/>
          </w:tcPr>
          <w:p w:rsidR="002A7DFB" w:rsidRDefault="002A7DFB" w:rsidP="00C83578">
            <w:pPr>
              <w:pStyle w:val="SingleTxtG"/>
              <w:ind w:left="57" w:right="0"/>
              <w:jc w:val="left"/>
            </w:pPr>
            <w:r>
              <w:t>D.</w:t>
            </w:r>
            <w:r w:rsidR="00C83578">
              <w:t> </w:t>
            </w:r>
            <w:r>
              <w:t xml:space="preserve">C. (représenté par un conseil, </w:t>
            </w:r>
            <w:r>
              <w:br/>
              <w:t>Kurt-Peter </w:t>
            </w:r>
            <w:proofErr w:type="spellStart"/>
            <w:r>
              <w:t>Merk</w:t>
            </w:r>
            <w:proofErr w:type="spellEnd"/>
            <w:r>
              <w:t>)</w:t>
            </w:r>
          </w:p>
        </w:tc>
      </w:tr>
      <w:tr w:rsidR="002A7DFB" w:rsidTr="00C83578">
        <w:tc>
          <w:tcPr>
            <w:tcW w:w="2835" w:type="dxa"/>
          </w:tcPr>
          <w:p w:rsidR="002A7DFB" w:rsidRDefault="002A7DFB" w:rsidP="00C30123">
            <w:pPr>
              <w:pStyle w:val="SingleTxtG"/>
              <w:ind w:left="0" w:right="0"/>
              <w:jc w:val="left"/>
              <w:rPr>
                <w:i/>
              </w:rPr>
            </w:pPr>
            <w:r>
              <w:rPr>
                <w:i/>
              </w:rPr>
              <w:t>Victime(s) présumée(s)</w:t>
            </w:r>
            <w:r>
              <w:t> :</w:t>
            </w:r>
          </w:p>
        </w:tc>
        <w:tc>
          <w:tcPr>
            <w:tcW w:w="3969" w:type="dxa"/>
          </w:tcPr>
          <w:p w:rsidR="002A7DFB" w:rsidRDefault="002A7DFB" w:rsidP="00C83578">
            <w:pPr>
              <w:pStyle w:val="SingleTxtG"/>
              <w:ind w:left="57" w:right="0"/>
              <w:jc w:val="left"/>
            </w:pPr>
            <w:r>
              <w:t>L’auteur</w:t>
            </w:r>
          </w:p>
        </w:tc>
      </w:tr>
      <w:tr w:rsidR="002A7DFB" w:rsidTr="00C83578">
        <w:tc>
          <w:tcPr>
            <w:tcW w:w="2835" w:type="dxa"/>
          </w:tcPr>
          <w:p w:rsidR="002A7DFB" w:rsidRDefault="002A7DFB" w:rsidP="00C30123">
            <w:pPr>
              <w:pStyle w:val="SingleTxtG"/>
              <w:ind w:left="0" w:right="0"/>
              <w:jc w:val="left"/>
              <w:rPr>
                <w:i/>
              </w:rPr>
            </w:pPr>
            <w:r>
              <w:rPr>
                <w:i/>
              </w:rPr>
              <w:t>État partie</w:t>
            </w:r>
            <w:r>
              <w:t> :</w:t>
            </w:r>
          </w:p>
        </w:tc>
        <w:tc>
          <w:tcPr>
            <w:tcW w:w="3969" w:type="dxa"/>
          </w:tcPr>
          <w:p w:rsidR="002A7DFB" w:rsidRDefault="002A7DFB" w:rsidP="00C83578">
            <w:pPr>
              <w:pStyle w:val="SingleTxtG"/>
              <w:ind w:left="57" w:right="0"/>
              <w:jc w:val="left"/>
            </w:pPr>
            <w:r>
              <w:t>Allemagne</w:t>
            </w:r>
          </w:p>
        </w:tc>
      </w:tr>
      <w:tr w:rsidR="002A7DFB" w:rsidTr="00C83578">
        <w:tc>
          <w:tcPr>
            <w:tcW w:w="2835" w:type="dxa"/>
          </w:tcPr>
          <w:p w:rsidR="002A7DFB" w:rsidRDefault="002A7DFB" w:rsidP="00C30123">
            <w:pPr>
              <w:pStyle w:val="SingleTxtG"/>
              <w:ind w:left="0" w:right="0"/>
              <w:jc w:val="left"/>
              <w:rPr>
                <w:i/>
              </w:rPr>
            </w:pPr>
            <w:r>
              <w:rPr>
                <w:i/>
              </w:rPr>
              <w:t>Date de la plainte</w:t>
            </w:r>
            <w:r>
              <w:t> :</w:t>
            </w:r>
          </w:p>
        </w:tc>
        <w:tc>
          <w:tcPr>
            <w:tcW w:w="3969" w:type="dxa"/>
          </w:tcPr>
          <w:p w:rsidR="002A7DFB" w:rsidRDefault="002A7DFB" w:rsidP="00C83578">
            <w:pPr>
              <w:pStyle w:val="SingleTxtG"/>
              <w:ind w:left="57" w:right="0"/>
              <w:jc w:val="left"/>
            </w:pPr>
            <w:r w:rsidRPr="00A166E8">
              <w:t>27 août 2018</w:t>
            </w:r>
            <w:r>
              <w:t xml:space="preserve"> (date de la lettre initiale)</w:t>
            </w:r>
          </w:p>
        </w:tc>
      </w:tr>
      <w:tr w:rsidR="002A7DFB" w:rsidTr="00C83578">
        <w:tc>
          <w:tcPr>
            <w:tcW w:w="2835" w:type="dxa"/>
          </w:tcPr>
          <w:p w:rsidR="002A7DFB" w:rsidRDefault="002A7DFB" w:rsidP="00C30123">
            <w:pPr>
              <w:pStyle w:val="SingleTxtG"/>
              <w:ind w:left="0" w:right="0"/>
              <w:jc w:val="left"/>
              <w:rPr>
                <w:i/>
              </w:rPr>
            </w:pPr>
            <w:r>
              <w:rPr>
                <w:i/>
              </w:rPr>
              <w:t>Date de la décision</w:t>
            </w:r>
            <w:r>
              <w:t> :</w:t>
            </w:r>
          </w:p>
        </w:tc>
        <w:tc>
          <w:tcPr>
            <w:tcW w:w="3969" w:type="dxa"/>
            <w:vAlign w:val="bottom"/>
          </w:tcPr>
          <w:p w:rsidR="002A7DFB" w:rsidRDefault="002A7DFB" w:rsidP="00C83578">
            <w:pPr>
              <w:pStyle w:val="SingleTxtG"/>
              <w:ind w:left="57" w:right="0"/>
              <w:jc w:val="left"/>
            </w:pPr>
            <w:r>
              <w:t>4 février 2020</w:t>
            </w:r>
          </w:p>
        </w:tc>
      </w:tr>
      <w:tr w:rsidR="002A7DFB" w:rsidTr="00C83578">
        <w:tc>
          <w:tcPr>
            <w:tcW w:w="2835" w:type="dxa"/>
          </w:tcPr>
          <w:p w:rsidR="002A7DFB" w:rsidRDefault="002A7DFB" w:rsidP="00C30123">
            <w:pPr>
              <w:pStyle w:val="SingleTxtG"/>
              <w:ind w:left="0" w:right="0"/>
              <w:jc w:val="left"/>
            </w:pPr>
            <w:r>
              <w:rPr>
                <w:i/>
              </w:rPr>
              <w:t>Objet</w:t>
            </w:r>
            <w:r>
              <w:t> :</w:t>
            </w:r>
          </w:p>
        </w:tc>
        <w:tc>
          <w:tcPr>
            <w:tcW w:w="3969" w:type="dxa"/>
            <w:vAlign w:val="bottom"/>
          </w:tcPr>
          <w:p w:rsidR="002A7DFB" w:rsidRDefault="002A7DFB" w:rsidP="00C83578">
            <w:pPr>
              <w:pStyle w:val="SingleTxtG"/>
              <w:ind w:left="57" w:right="0"/>
              <w:jc w:val="left"/>
            </w:pPr>
            <w:r w:rsidRPr="00FB7087">
              <w:t>Exclusion du droit de vote</w:t>
            </w:r>
            <w:r>
              <w:t xml:space="preserve"> fondée sur l’âge</w:t>
            </w:r>
          </w:p>
        </w:tc>
      </w:tr>
      <w:tr w:rsidR="002A7DFB" w:rsidTr="00C83578">
        <w:tc>
          <w:tcPr>
            <w:tcW w:w="2835" w:type="dxa"/>
          </w:tcPr>
          <w:p w:rsidR="002A7DFB" w:rsidRDefault="002A7DFB" w:rsidP="00C30123">
            <w:pPr>
              <w:pStyle w:val="SingleTxtG"/>
              <w:ind w:left="0" w:right="0"/>
              <w:jc w:val="left"/>
            </w:pPr>
            <w:r>
              <w:rPr>
                <w:i/>
              </w:rPr>
              <w:t>Questions de procédure</w:t>
            </w:r>
            <w:r>
              <w:t> :</w:t>
            </w:r>
          </w:p>
        </w:tc>
        <w:tc>
          <w:tcPr>
            <w:tcW w:w="3969" w:type="dxa"/>
            <w:vAlign w:val="bottom"/>
          </w:tcPr>
          <w:p w:rsidR="002A7DFB" w:rsidRDefault="002A7DFB" w:rsidP="00C83578">
            <w:pPr>
              <w:pStyle w:val="SingleTxtG"/>
              <w:ind w:left="57" w:right="0"/>
              <w:jc w:val="left"/>
            </w:pPr>
            <w:r>
              <w:t>Épuisement des recours internes</w:t>
            </w:r>
          </w:p>
        </w:tc>
      </w:tr>
      <w:tr w:rsidR="002A7DFB" w:rsidTr="00C83578">
        <w:tc>
          <w:tcPr>
            <w:tcW w:w="2835" w:type="dxa"/>
          </w:tcPr>
          <w:p w:rsidR="002A7DFB" w:rsidRDefault="002A7DFB" w:rsidP="00C30123">
            <w:pPr>
              <w:pStyle w:val="SingleTxtG"/>
              <w:ind w:left="0" w:right="0"/>
              <w:jc w:val="left"/>
            </w:pPr>
            <w:r>
              <w:rPr>
                <w:i/>
              </w:rPr>
              <w:t>Questions de fond</w:t>
            </w:r>
            <w:r>
              <w:t> :</w:t>
            </w:r>
          </w:p>
        </w:tc>
        <w:tc>
          <w:tcPr>
            <w:tcW w:w="3969" w:type="dxa"/>
            <w:vAlign w:val="bottom"/>
          </w:tcPr>
          <w:p w:rsidR="002A7DFB" w:rsidRDefault="002A7DFB" w:rsidP="00C83578">
            <w:pPr>
              <w:pStyle w:val="SingleTxtG"/>
              <w:ind w:left="57" w:right="0"/>
              <w:jc w:val="left"/>
            </w:pPr>
            <w:r>
              <w:t>Intérêt supérieur de l’enfant ; droit de vote</w:t>
            </w:r>
          </w:p>
        </w:tc>
      </w:tr>
      <w:tr w:rsidR="002A7DFB" w:rsidTr="00C83578">
        <w:tc>
          <w:tcPr>
            <w:tcW w:w="2835" w:type="dxa"/>
          </w:tcPr>
          <w:p w:rsidR="002A7DFB" w:rsidRDefault="002A7DFB" w:rsidP="00C30123">
            <w:pPr>
              <w:pStyle w:val="SingleTxtG"/>
              <w:ind w:left="0" w:right="0"/>
              <w:jc w:val="left"/>
            </w:pPr>
            <w:r>
              <w:rPr>
                <w:i/>
              </w:rPr>
              <w:t>Article(s) de la Convention</w:t>
            </w:r>
            <w:r>
              <w:t> :</w:t>
            </w:r>
          </w:p>
        </w:tc>
        <w:tc>
          <w:tcPr>
            <w:tcW w:w="3969" w:type="dxa"/>
            <w:vAlign w:val="bottom"/>
          </w:tcPr>
          <w:p w:rsidR="002A7DFB" w:rsidRDefault="002A7DFB" w:rsidP="00C83578">
            <w:pPr>
              <w:pStyle w:val="SingleTxtG"/>
              <w:ind w:left="57" w:right="0"/>
              <w:jc w:val="left"/>
            </w:pPr>
            <w:r>
              <w:t>2 (par. 1), 3 (par. 1), 4 et 12 (par. 1)</w:t>
            </w:r>
          </w:p>
        </w:tc>
      </w:tr>
      <w:tr w:rsidR="002A7DFB" w:rsidTr="00C83578">
        <w:tc>
          <w:tcPr>
            <w:tcW w:w="2835" w:type="dxa"/>
          </w:tcPr>
          <w:p w:rsidR="002A7DFB" w:rsidRDefault="002A7DFB" w:rsidP="00C30123">
            <w:pPr>
              <w:pStyle w:val="SingleTxtG"/>
              <w:ind w:left="0" w:right="0"/>
              <w:jc w:val="left"/>
              <w:rPr>
                <w:i/>
              </w:rPr>
            </w:pPr>
            <w:r>
              <w:rPr>
                <w:i/>
              </w:rPr>
              <w:t>Article(s) du Protocole facultatif </w:t>
            </w:r>
            <w:r w:rsidRPr="0080069A">
              <w:t>:</w:t>
            </w:r>
          </w:p>
        </w:tc>
        <w:tc>
          <w:tcPr>
            <w:tcW w:w="3969" w:type="dxa"/>
            <w:vAlign w:val="bottom"/>
          </w:tcPr>
          <w:p w:rsidR="002A7DFB" w:rsidRDefault="002A7DFB" w:rsidP="00C83578">
            <w:pPr>
              <w:pStyle w:val="SingleTxtG"/>
              <w:ind w:left="57" w:right="0"/>
              <w:jc w:val="left"/>
            </w:pPr>
            <w:r>
              <w:t>7 e)</w:t>
            </w:r>
          </w:p>
        </w:tc>
      </w:tr>
    </w:tbl>
    <w:p w:rsidR="00C83578" w:rsidRDefault="00C83578" w:rsidP="002A7DFB">
      <w:pPr>
        <w:pStyle w:val="SingleTxtG"/>
      </w:pPr>
    </w:p>
    <w:p w:rsidR="002A7DFB" w:rsidRPr="004D7FAF" w:rsidRDefault="00C83578" w:rsidP="00C83578">
      <w:pPr>
        <w:pStyle w:val="SingleTxtG"/>
      </w:pPr>
      <w:r>
        <w:br w:type="page"/>
      </w:r>
      <w:r w:rsidR="002A7DFB" w:rsidRPr="004D7FAF">
        <w:lastRenderedPageBreak/>
        <w:t>1.1</w:t>
      </w:r>
      <w:r w:rsidR="002A7DFB" w:rsidRPr="004D7FAF">
        <w:tab/>
        <w:t>L</w:t>
      </w:r>
      <w:r w:rsidR="002A7DFB">
        <w:t>’</w:t>
      </w:r>
      <w:r w:rsidR="002A7DFB" w:rsidRPr="004D7FAF">
        <w:t>auteur de la communication est D.</w:t>
      </w:r>
      <w:r w:rsidR="002A7DFB">
        <w:t> </w:t>
      </w:r>
      <w:r w:rsidR="002A7DFB" w:rsidRPr="004D7FAF">
        <w:t>C., de nationalité espagnole, né le 12</w:t>
      </w:r>
      <w:r w:rsidR="002A7DFB">
        <w:t> </w:t>
      </w:r>
      <w:r w:rsidR="002A7DFB" w:rsidRPr="004D7FAF">
        <w:t>avril 1999. L</w:t>
      </w:r>
      <w:r w:rsidR="002A7DFB">
        <w:t>’</w:t>
      </w:r>
      <w:r w:rsidR="002A7DFB" w:rsidRPr="004D7FAF">
        <w:t>auteur, qui avait 16</w:t>
      </w:r>
      <w:r w:rsidR="002A7DFB">
        <w:t> </w:t>
      </w:r>
      <w:r w:rsidR="002A7DFB" w:rsidRPr="004D7FAF">
        <w:t>ans au moment des faits en question, affirme que les droits qu</w:t>
      </w:r>
      <w:r w:rsidR="002A7DFB">
        <w:t>’</w:t>
      </w:r>
      <w:r w:rsidR="002A7DFB" w:rsidRPr="004D7FAF">
        <w:t>il tient des articles 2 (par.</w:t>
      </w:r>
      <w:r w:rsidR="002A7DFB">
        <w:t> </w:t>
      </w:r>
      <w:r w:rsidR="002A7DFB" w:rsidRPr="004D7FAF">
        <w:t>1), 3 (par.</w:t>
      </w:r>
      <w:r w:rsidR="002A7DFB">
        <w:t> </w:t>
      </w:r>
      <w:r w:rsidR="002A7DFB" w:rsidRPr="004D7FAF">
        <w:t>1), 4 et 12 (par.</w:t>
      </w:r>
      <w:r w:rsidR="002A7DFB">
        <w:t> </w:t>
      </w:r>
      <w:r w:rsidR="002A7DFB" w:rsidRPr="004D7FAF">
        <w:t>1) de la Convention ont été violés par l</w:t>
      </w:r>
      <w:r w:rsidR="002A7DFB">
        <w:t>’</w:t>
      </w:r>
      <w:r w:rsidR="002A7DFB" w:rsidRPr="004D7FAF">
        <w:t>État partie, qui l</w:t>
      </w:r>
      <w:r w:rsidR="002A7DFB">
        <w:t>’</w:t>
      </w:r>
      <w:r w:rsidR="002A7DFB" w:rsidRPr="004D7FAF">
        <w:t xml:space="preserve">a </w:t>
      </w:r>
      <w:r w:rsidR="002A7DFB">
        <w:t>privé de</w:t>
      </w:r>
      <w:r w:rsidR="002A7DFB" w:rsidRPr="004D7FAF">
        <w:t xml:space="preserve"> son droit de vote lors d</w:t>
      </w:r>
      <w:r w:rsidR="002A7DFB">
        <w:t>’</w:t>
      </w:r>
      <w:r w:rsidR="002A7DFB" w:rsidRPr="004D7FAF">
        <w:t>élections locales, en raison de son âge. L</w:t>
      </w:r>
      <w:r w:rsidR="002A7DFB">
        <w:t>’</w:t>
      </w:r>
      <w:r w:rsidR="002A7DFB" w:rsidRPr="004D7FAF">
        <w:t>auteur est représenté par un conseil. Le Protocole facultatif est entré en vigueur pour l</w:t>
      </w:r>
      <w:r w:rsidR="002A7DFB">
        <w:t>’</w:t>
      </w:r>
      <w:r w:rsidR="002A7DFB" w:rsidRPr="004D7FAF">
        <w:t>État partie le 14</w:t>
      </w:r>
      <w:r w:rsidR="002A7DFB">
        <w:t> </w:t>
      </w:r>
      <w:r w:rsidR="002A7DFB" w:rsidRPr="004D7FAF">
        <w:t>avril 2014.</w:t>
      </w:r>
    </w:p>
    <w:p w:rsidR="002A7DFB" w:rsidRPr="004D7FAF" w:rsidRDefault="002A7DFB" w:rsidP="00C83578">
      <w:pPr>
        <w:pStyle w:val="SingleTxtG"/>
      </w:pPr>
      <w:r w:rsidRPr="004D7FAF">
        <w:t>1.2</w:t>
      </w:r>
      <w:r w:rsidRPr="004D7FAF">
        <w:tab/>
        <w:t>Le 7</w:t>
      </w:r>
      <w:r>
        <w:t> </w:t>
      </w:r>
      <w:r w:rsidRPr="004D7FAF">
        <w:t>mai 2019, le Comité, agissant par l</w:t>
      </w:r>
      <w:r>
        <w:t>’</w:t>
      </w:r>
      <w:r w:rsidRPr="004D7FAF">
        <w:t>intermédiaire de son groupe de travail des communications, a décidé d</w:t>
      </w:r>
      <w:r>
        <w:t>’</w:t>
      </w:r>
      <w:r w:rsidRPr="004D7FAF">
        <w:t>examiner la recevabilité de la communication séparément du</w:t>
      </w:r>
      <w:r>
        <w:t> </w:t>
      </w:r>
      <w:r w:rsidRPr="004D7FAF">
        <w:t>fond.</w:t>
      </w:r>
    </w:p>
    <w:p w:rsidR="002A7DFB" w:rsidRPr="004D7FAF" w:rsidRDefault="002A7DFB" w:rsidP="00C83578">
      <w:pPr>
        <w:pStyle w:val="H23G"/>
      </w:pPr>
      <w:r>
        <w:tab/>
      </w:r>
      <w:r>
        <w:tab/>
      </w:r>
      <w:r w:rsidRPr="004D7FAF">
        <w:t>Rappel des faits présentés par l</w:t>
      </w:r>
      <w:r>
        <w:t>’</w:t>
      </w:r>
      <w:r w:rsidRPr="004D7FAF">
        <w:t>auteur</w:t>
      </w:r>
    </w:p>
    <w:p w:rsidR="002A7DFB" w:rsidRPr="004D7FAF" w:rsidRDefault="002A7DFB" w:rsidP="00C83578">
      <w:pPr>
        <w:pStyle w:val="SingleTxtG"/>
      </w:pPr>
      <w:r w:rsidRPr="004D7FAF">
        <w:t>2.1</w:t>
      </w:r>
      <w:r w:rsidRPr="004D7FAF">
        <w:tab/>
      </w:r>
      <w:r w:rsidRPr="004E6A4D">
        <w:t>En</w:t>
      </w:r>
      <w:r w:rsidR="00C83578">
        <w:t xml:space="preserve"> </w:t>
      </w:r>
      <w:r w:rsidRPr="004E6A4D">
        <w:t>2015, l</w:t>
      </w:r>
      <w:r>
        <w:t>’</w:t>
      </w:r>
      <w:r w:rsidRPr="004E6A4D">
        <w:t>auteur vivait depuis plus de trois mois</w:t>
      </w:r>
      <w:r w:rsidRPr="004D7FAF">
        <w:t xml:space="preserve"> avec ses parents dans la commune de Perl (Sarre), en Allemagne</w:t>
      </w:r>
      <w:r w:rsidRPr="00731C97">
        <w:rPr>
          <w:rStyle w:val="Appelnotedebasdep"/>
        </w:rPr>
        <w:footnoteReference w:id="4"/>
      </w:r>
      <w:r w:rsidRPr="004D7FAF">
        <w:t>. L</w:t>
      </w:r>
      <w:r>
        <w:t>’</w:t>
      </w:r>
      <w:r w:rsidRPr="004D7FAF">
        <w:t>auteur voulait participer à l</w:t>
      </w:r>
      <w:r>
        <w:t>’</w:t>
      </w:r>
      <w:r w:rsidRPr="004D7FAF">
        <w:t>élection du maire, qui devait avoir lieu le 28</w:t>
      </w:r>
      <w:r>
        <w:t> </w:t>
      </w:r>
      <w:r w:rsidRPr="004D7FAF">
        <w:t>juin 2015.</w:t>
      </w:r>
    </w:p>
    <w:p w:rsidR="002A7DFB" w:rsidRPr="004D7FAF" w:rsidRDefault="002A7DFB" w:rsidP="00C83578">
      <w:pPr>
        <w:pStyle w:val="SingleTxtG"/>
      </w:pPr>
      <w:r w:rsidRPr="004D7FAF">
        <w:t>2.2</w:t>
      </w:r>
      <w:r w:rsidRPr="004D7FAF">
        <w:tab/>
        <w:t>Le 7</w:t>
      </w:r>
      <w:r>
        <w:t> </w:t>
      </w:r>
      <w:r w:rsidRPr="004D7FAF">
        <w:t>avril 2015, l</w:t>
      </w:r>
      <w:r>
        <w:t>’</w:t>
      </w:r>
      <w:r w:rsidRPr="004D7FAF">
        <w:t xml:space="preserve">auteur a déposé une demande auprès du </w:t>
      </w:r>
      <w:r w:rsidR="00B56E83">
        <w:t>b</w:t>
      </w:r>
      <w:r w:rsidRPr="004D7FAF">
        <w:t>ureau de vote de la commune de Perl tendant à ce qu</w:t>
      </w:r>
      <w:r>
        <w:t>’</w:t>
      </w:r>
      <w:r w:rsidRPr="004D7FAF">
        <w:t xml:space="preserve">il puisse exercer </w:t>
      </w:r>
      <w:r>
        <w:t>son</w:t>
      </w:r>
      <w:r w:rsidRPr="004D7FAF">
        <w:t xml:space="preserve"> droit de vote aux élections. </w:t>
      </w:r>
      <w:r>
        <w:t>Le</w:t>
      </w:r>
      <w:r w:rsidR="00B56E83">
        <w:t> </w:t>
      </w:r>
      <w:r w:rsidRPr="004D7FAF">
        <w:t>8</w:t>
      </w:r>
      <w:r>
        <w:t> </w:t>
      </w:r>
      <w:r w:rsidRPr="004D7FAF">
        <w:t>avril 2015</w:t>
      </w:r>
      <w:r>
        <w:t xml:space="preserve">, </w:t>
      </w:r>
      <w:r w:rsidRPr="004D7FAF">
        <w:t xml:space="preserve">la </w:t>
      </w:r>
      <w:r>
        <w:t>commune</w:t>
      </w:r>
      <w:r w:rsidRPr="004D7FAF">
        <w:t xml:space="preserve"> </w:t>
      </w:r>
      <w:r>
        <w:t>a décidé de rejeter sa demande</w:t>
      </w:r>
      <w:r w:rsidRPr="004D7FAF">
        <w:t>.</w:t>
      </w:r>
    </w:p>
    <w:p w:rsidR="002A7DFB" w:rsidRPr="004D7FAF" w:rsidRDefault="002A7DFB" w:rsidP="00C83578">
      <w:pPr>
        <w:pStyle w:val="SingleTxtG"/>
      </w:pPr>
      <w:r w:rsidRPr="004D7FAF">
        <w:t>2.3</w:t>
      </w:r>
      <w:r w:rsidRPr="004D7FAF">
        <w:tab/>
        <w:t>Le 15</w:t>
      </w:r>
      <w:r>
        <w:t> </w:t>
      </w:r>
      <w:r w:rsidRPr="004D7FAF">
        <w:t>mai 2015, l</w:t>
      </w:r>
      <w:r>
        <w:t>’</w:t>
      </w:r>
      <w:r w:rsidRPr="004D7FAF">
        <w:t xml:space="preserve">auteur a présenté un recours à la </w:t>
      </w:r>
      <w:r>
        <w:t>commune</w:t>
      </w:r>
      <w:r w:rsidRPr="004D7FAF">
        <w:t>, affirmant qu</w:t>
      </w:r>
      <w:r>
        <w:t>’</w:t>
      </w:r>
      <w:r w:rsidRPr="004D7FAF">
        <w:t xml:space="preserve">il avait </w:t>
      </w:r>
      <w:r>
        <w:t>le</w:t>
      </w:r>
      <w:r w:rsidRPr="004D7FAF">
        <w:t xml:space="preserve"> droit de vote</w:t>
      </w:r>
      <w:r>
        <w:t>r aux</w:t>
      </w:r>
      <w:r w:rsidRPr="004D7FAF">
        <w:t xml:space="preserve"> élections municipales dans son pays de résidence, en tant que citoyen </w:t>
      </w:r>
      <w:r>
        <w:t xml:space="preserve">d’un </w:t>
      </w:r>
      <w:r w:rsidR="00B56E83">
        <w:t>É</w:t>
      </w:r>
      <w:r>
        <w:t xml:space="preserve">tat membre </w:t>
      </w:r>
      <w:r w:rsidRPr="004D7FAF">
        <w:t>de l</w:t>
      </w:r>
      <w:r>
        <w:t>’</w:t>
      </w:r>
      <w:r w:rsidRPr="004D7FAF">
        <w:t>Union européenne. L</w:t>
      </w:r>
      <w:r>
        <w:t>e recours</w:t>
      </w:r>
      <w:r w:rsidRPr="004D7FAF">
        <w:t xml:space="preserve"> a été rejeté le 24</w:t>
      </w:r>
      <w:r>
        <w:t> </w:t>
      </w:r>
      <w:r w:rsidRPr="004D7FAF">
        <w:t>juin 2015 au motif que le demandeur ne répondait pas à la condition de</w:t>
      </w:r>
      <w:r w:rsidR="00C83578">
        <w:t xml:space="preserve"> </w:t>
      </w:r>
      <w:r w:rsidRPr="004D7FAF">
        <w:t>l</w:t>
      </w:r>
      <w:r>
        <w:t>’</w:t>
      </w:r>
      <w:r w:rsidRPr="004D7FAF">
        <w:t>âge minimum</w:t>
      </w:r>
      <w:r w:rsidR="00C83578">
        <w:t xml:space="preserve"> </w:t>
      </w:r>
      <w:r w:rsidRPr="004D7FAF">
        <w:t>prévue par la loi</w:t>
      </w:r>
      <w:r w:rsidR="00C83578">
        <w:t xml:space="preserve"> </w:t>
      </w:r>
      <w:r w:rsidRPr="004D7FAF">
        <w:t>de la Sarre relative aux élections</w:t>
      </w:r>
      <w:r>
        <w:t xml:space="preserve"> locales</w:t>
      </w:r>
      <w:r w:rsidRPr="00731C97">
        <w:rPr>
          <w:rStyle w:val="Appelnotedebasdep"/>
        </w:rPr>
        <w:footnoteReference w:id="5"/>
      </w:r>
      <w:r w:rsidRPr="004D7FAF">
        <w:t>.</w:t>
      </w:r>
    </w:p>
    <w:p w:rsidR="002A7DFB" w:rsidRPr="004D7FAF" w:rsidRDefault="002A7DFB" w:rsidP="002A7DFB">
      <w:pPr>
        <w:pStyle w:val="SingleTxtG"/>
      </w:pPr>
      <w:r w:rsidRPr="004D7FAF">
        <w:t>2.4</w:t>
      </w:r>
      <w:r w:rsidRPr="004D7FAF">
        <w:tab/>
      </w:r>
      <w:r>
        <w:t>Les élections ont eu lieu</w:t>
      </w:r>
      <w:r w:rsidRPr="004D7FAF">
        <w:t xml:space="preserve"> le 28</w:t>
      </w:r>
      <w:r>
        <w:t> </w:t>
      </w:r>
      <w:r w:rsidRPr="004D7FAF">
        <w:t>juin 2015 et l</w:t>
      </w:r>
      <w:r>
        <w:t>’</w:t>
      </w:r>
      <w:r w:rsidRPr="004D7FAF">
        <w:t>auteur n</w:t>
      </w:r>
      <w:r>
        <w:t>’</w:t>
      </w:r>
      <w:r w:rsidRPr="004D7FAF">
        <w:t>a pas pu</w:t>
      </w:r>
      <w:r>
        <w:t> </w:t>
      </w:r>
      <w:r w:rsidRPr="004D7FAF">
        <w:t>voter.</w:t>
      </w:r>
    </w:p>
    <w:p w:rsidR="002A7DFB" w:rsidRPr="004D7FAF" w:rsidRDefault="002A7DFB" w:rsidP="002A7DFB">
      <w:pPr>
        <w:pStyle w:val="SingleTxtG"/>
      </w:pPr>
      <w:r w:rsidRPr="004D7FAF">
        <w:t>2.5</w:t>
      </w:r>
      <w:r w:rsidRPr="004D7FAF">
        <w:tab/>
        <w:t>Le 29</w:t>
      </w:r>
      <w:r>
        <w:t> </w:t>
      </w:r>
      <w:r w:rsidRPr="004D7FAF">
        <w:t>juillet 2015, l</w:t>
      </w:r>
      <w:r>
        <w:t>’</w:t>
      </w:r>
      <w:r w:rsidRPr="004D7FAF">
        <w:t xml:space="preserve">auteur a intenté une action devant le </w:t>
      </w:r>
      <w:r>
        <w:t>T</w:t>
      </w:r>
      <w:r w:rsidRPr="004D7FAF">
        <w:t>ribunal administratif de la Sarre</w:t>
      </w:r>
      <w:r>
        <w:t xml:space="preserve"> et a été débouté </w:t>
      </w:r>
      <w:r w:rsidRPr="004D7FAF">
        <w:t>par une décision en date du 4</w:t>
      </w:r>
      <w:r>
        <w:t> </w:t>
      </w:r>
      <w:r w:rsidRPr="004D7FAF">
        <w:t>novembre 2016</w:t>
      </w:r>
      <w:r w:rsidRPr="00731C97">
        <w:rPr>
          <w:rStyle w:val="Appelnotedebasdep"/>
        </w:rPr>
        <w:footnoteReference w:id="6"/>
      </w:r>
      <w:r w:rsidRPr="004D7FAF">
        <w:t xml:space="preserve">. Le </w:t>
      </w:r>
      <w:r>
        <w:t>T</w:t>
      </w:r>
      <w:r w:rsidRPr="004D7FAF">
        <w:t>ribunal</w:t>
      </w:r>
      <w:r w:rsidR="00C83578">
        <w:t xml:space="preserve"> </w:t>
      </w:r>
      <w:r w:rsidRPr="004D7FAF">
        <w:t xml:space="preserve">a conclu </w:t>
      </w:r>
      <w:r>
        <w:t xml:space="preserve">qu’il était tout à fait justifié de priver </w:t>
      </w:r>
      <w:r w:rsidRPr="004D7FAF">
        <w:t>les enfants du droit de vote</w:t>
      </w:r>
      <w:r>
        <w:t>,</w:t>
      </w:r>
      <w:r w:rsidRPr="004D7FAF">
        <w:t xml:space="preserve"> </w:t>
      </w:r>
      <w:r>
        <w:t>car il n’avaient pas</w:t>
      </w:r>
      <w:r w:rsidR="00C83578">
        <w:t xml:space="preserve"> </w:t>
      </w:r>
      <w:r w:rsidRPr="004D7FAF">
        <w:t xml:space="preserve">la maturité politique et </w:t>
      </w:r>
      <w:r>
        <w:t>le</w:t>
      </w:r>
      <w:r w:rsidRPr="004D7FAF">
        <w:t xml:space="preserve"> discernement nécessaires à l</w:t>
      </w:r>
      <w:r>
        <w:t>’</w:t>
      </w:r>
      <w:r w:rsidRPr="004D7FAF">
        <w:t xml:space="preserve">exercice </w:t>
      </w:r>
      <w:r>
        <w:t>de ce</w:t>
      </w:r>
      <w:r w:rsidR="00C83578">
        <w:t xml:space="preserve"> </w:t>
      </w:r>
      <w:r w:rsidRPr="004D7FAF">
        <w:t>droit.</w:t>
      </w:r>
    </w:p>
    <w:p w:rsidR="002A7DFB" w:rsidRPr="004D7FAF" w:rsidRDefault="002A7DFB" w:rsidP="00C83578">
      <w:pPr>
        <w:pStyle w:val="SingleTxtG"/>
      </w:pPr>
      <w:r w:rsidRPr="004D7FAF">
        <w:t>2.6</w:t>
      </w:r>
      <w:r w:rsidRPr="004D7FAF">
        <w:tab/>
        <w:t>L</w:t>
      </w:r>
      <w:r>
        <w:t>’</w:t>
      </w:r>
      <w:r w:rsidRPr="004D7FAF">
        <w:t xml:space="preserve">auteur a </w:t>
      </w:r>
      <w:r>
        <w:t xml:space="preserve">demandé à interjeter appel devant </w:t>
      </w:r>
      <w:r w:rsidRPr="004D7FAF">
        <w:t>la Haute Cour administrative de la Sarre</w:t>
      </w:r>
      <w:r w:rsidRPr="00731C97">
        <w:rPr>
          <w:rStyle w:val="Appelnotedebasdep"/>
        </w:rPr>
        <w:footnoteReference w:id="7"/>
      </w:r>
      <w:r>
        <w:t>, mais la</w:t>
      </w:r>
      <w:r w:rsidR="00C83578">
        <w:t xml:space="preserve"> </w:t>
      </w:r>
      <w:r w:rsidRPr="004D7FAF">
        <w:t>Cour a rejeté sa demande le 7</w:t>
      </w:r>
      <w:r>
        <w:t> </w:t>
      </w:r>
      <w:r w:rsidRPr="004D7FAF">
        <w:t>novembre 2017</w:t>
      </w:r>
      <w:r w:rsidRPr="00731C97">
        <w:rPr>
          <w:rStyle w:val="Appelnotedebasdep"/>
        </w:rPr>
        <w:footnoteReference w:id="8"/>
      </w:r>
      <w:r w:rsidRPr="004D7FAF">
        <w:t>.</w:t>
      </w:r>
    </w:p>
    <w:p w:rsidR="002A7DFB" w:rsidRPr="004D7FAF" w:rsidRDefault="002A7DFB" w:rsidP="002A7DFB">
      <w:pPr>
        <w:pStyle w:val="H23G"/>
      </w:pPr>
      <w:r>
        <w:tab/>
      </w:r>
      <w:r>
        <w:tab/>
      </w:r>
      <w:r w:rsidRPr="004D7FAF">
        <w:t>Teneur de la plainte</w:t>
      </w:r>
    </w:p>
    <w:p w:rsidR="002A7DFB" w:rsidRPr="004D7FAF" w:rsidRDefault="002A7DFB" w:rsidP="002A7DFB">
      <w:pPr>
        <w:pStyle w:val="SingleTxtG"/>
      </w:pPr>
      <w:r w:rsidRPr="004D7FAF">
        <w:t>3.1</w:t>
      </w:r>
      <w:r w:rsidRPr="004D7FAF">
        <w:tab/>
        <w:t>L</w:t>
      </w:r>
      <w:r>
        <w:t>’</w:t>
      </w:r>
      <w:r w:rsidRPr="004D7FAF">
        <w:t>auteur affirme que les droits qu</w:t>
      </w:r>
      <w:r>
        <w:t>’</w:t>
      </w:r>
      <w:r w:rsidRPr="004D7FAF">
        <w:t>il tient de l</w:t>
      </w:r>
      <w:r>
        <w:t>’</w:t>
      </w:r>
      <w:r w:rsidRPr="004D7FAF">
        <w:t>article</w:t>
      </w:r>
      <w:r>
        <w:t> </w:t>
      </w:r>
      <w:r w:rsidRPr="004D7FAF">
        <w:t>12 (par.</w:t>
      </w:r>
      <w:r>
        <w:t> </w:t>
      </w:r>
      <w:r w:rsidRPr="004D7FAF">
        <w:t>1) de la Convention ont été violés car l</w:t>
      </w:r>
      <w:r>
        <w:t>’</w:t>
      </w:r>
      <w:r w:rsidRPr="004D7FAF">
        <w:t>actuelle législation de la Sarre prive les enfants de moins de 18</w:t>
      </w:r>
      <w:r>
        <w:t> </w:t>
      </w:r>
      <w:r w:rsidRPr="004D7FAF">
        <w:t>ans du droit d</w:t>
      </w:r>
      <w:r>
        <w:t>’</w:t>
      </w:r>
      <w:r w:rsidRPr="004D7FAF">
        <w:t xml:space="preserve">exprimer librement leurs opinions politiques </w:t>
      </w:r>
      <w:r>
        <w:t xml:space="preserve">sur </w:t>
      </w:r>
      <w:r w:rsidRPr="004D7FAF">
        <w:t>de</w:t>
      </w:r>
      <w:r>
        <w:t>s</w:t>
      </w:r>
      <w:r w:rsidRPr="004D7FAF">
        <w:t xml:space="preserve"> questions qui les concernent. L</w:t>
      </w:r>
      <w:r>
        <w:t>’</w:t>
      </w:r>
      <w:r w:rsidRPr="004D7FAF">
        <w:t>auteur soutient que les élections locales le concernent et qu</w:t>
      </w:r>
      <w:r>
        <w:t>’</w:t>
      </w:r>
      <w:r w:rsidRPr="004D7FAF">
        <w:t>à 16</w:t>
      </w:r>
      <w:r>
        <w:t> </w:t>
      </w:r>
      <w:r w:rsidRPr="004D7FAF">
        <w:t>ans</w:t>
      </w:r>
      <w:r w:rsidR="00B56E83">
        <w:t>,</w:t>
      </w:r>
      <w:r w:rsidRPr="004D7FAF">
        <w:t xml:space="preserve"> il a la maturité suffisante pour</w:t>
      </w:r>
      <w:r w:rsidR="00C83578">
        <w:t xml:space="preserve"> </w:t>
      </w:r>
      <w:r w:rsidRPr="004D7FAF">
        <w:t xml:space="preserve">voter, </w:t>
      </w:r>
      <w:r>
        <w:t>puisque cette maturité est reconnue aux jeunes de 16</w:t>
      </w:r>
      <w:r w:rsidR="00B56E83">
        <w:t> </w:t>
      </w:r>
      <w:r>
        <w:t>ans dans</w:t>
      </w:r>
      <w:r w:rsidR="00C83578">
        <w:t xml:space="preserve"> </w:t>
      </w:r>
      <w:r w:rsidRPr="004D7FAF">
        <w:t>d</w:t>
      </w:r>
      <w:r>
        <w:t>’</w:t>
      </w:r>
      <w:r w:rsidRPr="004D7FAF">
        <w:t>autres États fédérés.</w:t>
      </w:r>
    </w:p>
    <w:p w:rsidR="002A7DFB" w:rsidRPr="004D7FAF" w:rsidRDefault="002A7DFB" w:rsidP="002A7DFB">
      <w:pPr>
        <w:pStyle w:val="SingleTxtG"/>
      </w:pPr>
      <w:r w:rsidRPr="004D7FAF">
        <w:t>3.2</w:t>
      </w:r>
      <w:r w:rsidRPr="004D7FAF">
        <w:tab/>
        <w:t>L</w:t>
      </w:r>
      <w:r>
        <w:t>’</w:t>
      </w:r>
      <w:r w:rsidRPr="004D7FAF">
        <w:t xml:space="preserve">auteur </w:t>
      </w:r>
      <w:r>
        <w:t xml:space="preserve">affirme aussi </w:t>
      </w:r>
      <w:r w:rsidRPr="004D7FAF">
        <w:t xml:space="preserve">que les arguments avancés par le </w:t>
      </w:r>
      <w:r>
        <w:t>T</w:t>
      </w:r>
      <w:r w:rsidRPr="004D7FAF">
        <w:t>ribunal administratif</w:t>
      </w:r>
      <w:r>
        <w:t xml:space="preserve"> selon lesquels,</w:t>
      </w:r>
      <w:r w:rsidRPr="004D7FAF">
        <w:t xml:space="preserve"> pour pouvoir exercer le droit de vote, il faut avoir un minimum de capacité de discernement et de maturité politique</w:t>
      </w:r>
      <w:r>
        <w:t>,</w:t>
      </w:r>
      <w:r w:rsidRPr="004D7FAF">
        <w:t xml:space="preserve"> ne peuvent plus se justifier sur le plan juridique, puisque l</w:t>
      </w:r>
      <w:r>
        <w:t>’</w:t>
      </w:r>
      <w:r w:rsidRPr="004D7FAF">
        <w:t>absence d</w:t>
      </w:r>
      <w:r>
        <w:t>’</w:t>
      </w:r>
      <w:r w:rsidRPr="004D7FAF">
        <w:t>une certaine capacité de discernement politique</w:t>
      </w:r>
      <w:r w:rsidR="00B56E83">
        <w:t xml:space="preserve"> </w:t>
      </w:r>
      <w:r w:rsidRPr="004D7FAF">
        <w:t xml:space="preserve">ne peut pas, par </w:t>
      </w:r>
      <w:r w:rsidRPr="004D7FAF">
        <w:lastRenderedPageBreak/>
        <w:t xml:space="preserve">exemple, être invoquée pour empêcher </w:t>
      </w:r>
      <w:r>
        <w:t>d</w:t>
      </w:r>
      <w:r w:rsidRPr="004D7FAF">
        <w:t>es personnes handicapées d</w:t>
      </w:r>
      <w:r>
        <w:t>’</w:t>
      </w:r>
      <w:r w:rsidRPr="004D7FAF">
        <w:t>exercer leur droit de vote. L</w:t>
      </w:r>
      <w:r>
        <w:t>’</w:t>
      </w:r>
      <w:r w:rsidRPr="004D7FAF">
        <w:t>auteur renvoie en particulier à l</w:t>
      </w:r>
      <w:r>
        <w:t>’</w:t>
      </w:r>
      <w:r w:rsidRPr="004D7FAF">
        <w:t>article</w:t>
      </w:r>
      <w:r w:rsidR="00B56E83">
        <w:t> </w:t>
      </w:r>
      <w:r w:rsidRPr="004D7FAF">
        <w:t>29 de la Convention relative aux droits des personnes handicapées, qui énonce l</w:t>
      </w:r>
      <w:r>
        <w:t>’</w:t>
      </w:r>
      <w:r w:rsidRPr="004D7FAF">
        <w:t>obligation pour les États parties de veiller à ce que les personnes handicapées puissent exercer leurs droits politiques, y compris le droit de voter et d</w:t>
      </w:r>
      <w:r>
        <w:t>’</w:t>
      </w:r>
      <w:r w:rsidRPr="004D7FAF">
        <w:t>être élues</w:t>
      </w:r>
      <w:r w:rsidRPr="00731C97">
        <w:rPr>
          <w:rStyle w:val="Appelnotedebasdep"/>
        </w:rPr>
        <w:footnoteReference w:id="9"/>
      </w:r>
      <w:r w:rsidRPr="004D7FAF">
        <w:t>.</w:t>
      </w:r>
    </w:p>
    <w:p w:rsidR="002A7DFB" w:rsidRPr="004D7FAF" w:rsidRDefault="002A7DFB" w:rsidP="002A7DFB">
      <w:pPr>
        <w:pStyle w:val="SingleTxtG"/>
      </w:pPr>
      <w:r w:rsidRPr="004D7FAF">
        <w:t>3.3</w:t>
      </w:r>
      <w:r w:rsidRPr="004D7FAF">
        <w:tab/>
        <w:t>L</w:t>
      </w:r>
      <w:r>
        <w:t>’</w:t>
      </w:r>
      <w:r w:rsidRPr="004D7FAF">
        <w:t xml:space="preserve">auteur </w:t>
      </w:r>
      <w:r>
        <w:t>ajoute</w:t>
      </w:r>
      <w:r w:rsidRPr="004D7FAF">
        <w:t xml:space="preserve"> que le fait </w:t>
      </w:r>
      <w:r>
        <w:t>de</w:t>
      </w:r>
      <w:r w:rsidR="00C83578">
        <w:t xml:space="preserve"> </w:t>
      </w:r>
      <w:r>
        <w:t>priver</w:t>
      </w:r>
      <w:r w:rsidR="00C83578">
        <w:t xml:space="preserve"> </w:t>
      </w:r>
      <w:r w:rsidRPr="004D7FAF">
        <w:t xml:space="preserve">les </w:t>
      </w:r>
      <w:r>
        <w:t>personnes</w:t>
      </w:r>
      <w:r w:rsidR="00C83578">
        <w:t xml:space="preserve"> </w:t>
      </w:r>
      <w:r>
        <w:t>de moins</w:t>
      </w:r>
      <w:r w:rsidR="00C83578">
        <w:t xml:space="preserve"> </w:t>
      </w:r>
      <w:r w:rsidRPr="004D7FAF">
        <w:t>de 18</w:t>
      </w:r>
      <w:r w:rsidR="00B56E83">
        <w:t> </w:t>
      </w:r>
      <w:r w:rsidRPr="004D7FAF">
        <w:t xml:space="preserve">ans du droit de vote, qui </w:t>
      </w:r>
      <w:r>
        <w:t>est un</w:t>
      </w:r>
      <w:r w:rsidR="00C83578">
        <w:t xml:space="preserve"> </w:t>
      </w:r>
      <w:r w:rsidRPr="004D7FAF">
        <w:t xml:space="preserve">droit politique fondamental et </w:t>
      </w:r>
      <w:r>
        <w:t>une</w:t>
      </w:r>
      <w:r w:rsidR="00C83578">
        <w:t xml:space="preserve"> </w:t>
      </w:r>
      <w:r w:rsidRPr="004D7FAF">
        <w:t>base</w:t>
      </w:r>
      <w:r w:rsidR="00C83578">
        <w:t xml:space="preserve"> </w:t>
      </w:r>
      <w:r w:rsidRPr="004D7FAF">
        <w:t>de la démocratie, viole le principe de non</w:t>
      </w:r>
      <w:r w:rsidR="00B56E83">
        <w:noBreakHyphen/>
      </w:r>
      <w:r w:rsidRPr="004D7FAF">
        <w:t>discrimination énoncé à l</w:t>
      </w:r>
      <w:r>
        <w:t>’</w:t>
      </w:r>
      <w:r w:rsidRPr="004D7FAF">
        <w:t>article</w:t>
      </w:r>
      <w:r>
        <w:t> </w:t>
      </w:r>
      <w:r w:rsidRPr="004D7FAF">
        <w:t>2 de la Convention</w:t>
      </w:r>
      <w:r w:rsidRPr="00731C97">
        <w:rPr>
          <w:rStyle w:val="Appelnotedebasdep"/>
        </w:rPr>
        <w:footnoteReference w:id="10"/>
      </w:r>
      <w:r w:rsidRPr="004D7FAF">
        <w:t>. À ce sujet, l</w:t>
      </w:r>
      <w:r>
        <w:t>’</w:t>
      </w:r>
      <w:r w:rsidRPr="004D7FAF">
        <w:t>auteur affirme qu</w:t>
      </w:r>
      <w:r>
        <w:t>’</w:t>
      </w:r>
      <w:r w:rsidRPr="004D7FAF">
        <w:t xml:space="preserve">au moment des faits un grand nombre </w:t>
      </w:r>
      <w:r w:rsidRPr="009722D1">
        <w:t>d</w:t>
      </w:r>
      <w:r>
        <w:t>’</w:t>
      </w:r>
      <w:r w:rsidRPr="009722D1">
        <w:t>États fédérés d</w:t>
      </w:r>
      <w:r>
        <w:t>’</w:t>
      </w:r>
      <w:r w:rsidRPr="009722D1">
        <w:t>Allemagne</w:t>
      </w:r>
      <w:r w:rsidRPr="004D7FAF">
        <w:t xml:space="preserve"> et d</w:t>
      </w:r>
      <w:r>
        <w:t>’</w:t>
      </w:r>
      <w:r w:rsidRPr="004D7FAF">
        <w:t xml:space="preserve">États </w:t>
      </w:r>
      <w:r>
        <w:t xml:space="preserve">membres </w:t>
      </w:r>
      <w:r w:rsidRPr="004D7FAF">
        <w:t>de l</w:t>
      </w:r>
      <w:r>
        <w:t>’</w:t>
      </w:r>
      <w:r w:rsidRPr="004D7FAF">
        <w:t>Union européenne avai</w:t>
      </w:r>
      <w:r>
        <w:t>en</w:t>
      </w:r>
      <w:r w:rsidRPr="004D7FAF">
        <w:t>t décidé d</w:t>
      </w:r>
      <w:r>
        <w:t>’</w:t>
      </w:r>
      <w:r w:rsidRPr="004D7FAF">
        <w:t>abaisser à 16</w:t>
      </w:r>
      <w:r>
        <w:t> </w:t>
      </w:r>
      <w:r w:rsidRPr="004D7FAF">
        <w:t>ans l</w:t>
      </w:r>
      <w:r>
        <w:t>’</w:t>
      </w:r>
      <w:r w:rsidRPr="004D7FAF">
        <w:t>âge auquel il est possible d</w:t>
      </w:r>
      <w:r>
        <w:t>’</w:t>
      </w:r>
      <w:r w:rsidRPr="004D7FAF">
        <w:t xml:space="preserve">exercer </w:t>
      </w:r>
      <w:r>
        <w:t>le</w:t>
      </w:r>
      <w:r w:rsidRPr="004D7FAF">
        <w:t xml:space="preserve"> droit de vote. </w:t>
      </w:r>
      <w:r>
        <w:t>La</w:t>
      </w:r>
      <w:r w:rsidRPr="00F70B9B">
        <w:t xml:space="preserve"> situation</w:t>
      </w:r>
      <w:r w:rsidRPr="004D7FAF">
        <w:t xml:space="preserve"> </w:t>
      </w:r>
      <w:r>
        <w:t xml:space="preserve">actuelle </w:t>
      </w:r>
      <w:r w:rsidRPr="004D7FAF">
        <w:t>entraîne par conséquent une discrimination arbitraire fondée sur l</w:t>
      </w:r>
      <w:r>
        <w:t>’</w:t>
      </w:r>
      <w:r w:rsidRPr="004D7FAF">
        <w:t>âge</w:t>
      </w:r>
      <w:r>
        <w:t>,</w:t>
      </w:r>
      <w:r w:rsidRPr="004D7FAF">
        <w:t xml:space="preserve"> le lieu de résidence ou</w:t>
      </w:r>
      <w:r w:rsidR="00C83578">
        <w:t xml:space="preserve"> </w:t>
      </w:r>
      <w:r w:rsidRPr="004D7FAF">
        <w:t>la nationalité de l</w:t>
      </w:r>
      <w:r>
        <w:t>’</w:t>
      </w:r>
      <w:r w:rsidRPr="004D7FAF">
        <w:t>enfant</w:t>
      </w:r>
      <w:r w:rsidRPr="00731C97">
        <w:rPr>
          <w:rStyle w:val="Appelnotedebasdep"/>
        </w:rPr>
        <w:footnoteReference w:id="11"/>
      </w:r>
      <w:r w:rsidRPr="004D7FAF">
        <w:t>.</w:t>
      </w:r>
    </w:p>
    <w:p w:rsidR="002A7DFB" w:rsidRPr="004D7FAF" w:rsidRDefault="002A7DFB" w:rsidP="002A7DFB">
      <w:pPr>
        <w:pStyle w:val="SingleTxtG"/>
      </w:pPr>
      <w:r w:rsidRPr="004D7FAF">
        <w:t>3.4</w:t>
      </w:r>
      <w:r w:rsidRPr="004D7FAF">
        <w:tab/>
        <w:t>L</w:t>
      </w:r>
      <w:r>
        <w:t>’</w:t>
      </w:r>
      <w:r w:rsidRPr="004D7FAF">
        <w:t xml:space="preserve">auteur </w:t>
      </w:r>
      <w:r>
        <w:t>avance</w:t>
      </w:r>
      <w:r w:rsidRPr="004D7FAF">
        <w:t xml:space="preserve"> que le fait qu</w:t>
      </w:r>
      <w:r>
        <w:t>’</w:t>
      </w:r>
      <w:r w:rsidRPr="004D7FAF">
        <w:t xml:space="preserve">il </w:t>
      </w:r>
      <w:r>
        <w:t>soit privé du</w:t>
      </w:r>
      <w:r w:rsidR="00C83578">
        <w:t xml:space="preserve"> </w:t>
      </w:r>
      <w:r w:rsidRPr="004D7FAF">
        <w:t>droit de voter est contraire au principe de</w:t>
      </w:r>
      <w:r w:rsidR="00C83578">
        <w:t xml:space="preserve"> </w:t>
      </w:r>
      <w:r w:rsidRPr="004D7FAF">
        <w:t>l</w:t>
      </w:r>
      <w:r>
        <w:t>’</w:t>
      </w:r>
      <w:r w:rsidRPr="004D7FAF">
        <w:t>intérêt supérieur de l</w:t>
      </w:r>
      <w:r>
        <w:t>’</w:t>
      </w:r>
      <w:r w:rsidRPr="004D7FAF">
        <w:t>enfant, consacré par l</w:t>
      </w:r>
      <w:r>
        <w:t>’</w:t>
      </w:r>
      <w:r w:rsidRPr="004D7FAF">
        <w:t>article</w:t>
      </w:r>
      <w:r>
        <w:t> </w:t>
      </w:r>
      <w:r w:rsidRPr="004D7FAF">
        <w:t>3 (par.</w:t>
      </w:r>
      <w:r>
        <w:t> </w:t>
      </w:r>
      <w:r w:rsidRPr="004D7FAF">
        <w:t>1) de la Convention. L</w:t>
      </w:r>
      <w:r>
        <w:t xml:space="preserve">e fait de priver </w:t>
      </w:r>
      <w:r w:rsidRPr="004D7FAF">
        <w:t xml:space="preserve">du droit de vote </w:t>
      </w:r>
      <w:r>
        <w:t>les personnes</w:t>
      </w:r>
      <w:r w:rsidR="00C83578">
        <w:t xml:space="preserve"> </w:t>
      </w:r>
      <w:r w:rsidRPr="004D7FAF">
        <w:t>de moins de 18</w:t>
      </w:r>
      <w:r w:rsidR="00B56E83">
        <w:t> </w:t>
      </w:r>
      <w:r w:rsidRPr="004D7FAF">
        <w:t>ans constitue une restriction législative qui ne peut pas être dans l</w:t>
      </w:r>
      <w:r>
        <w:t>’</w:t>
      </w:r>
      <w:r w:rsidRPr="004D7FAF">
        <w:t>intérêt supérieur de l</w:t>
      </w:r>
      <w:r>
        <w:t>’</w:t>
      </w:r>
      <w:r w:rsidRPr="004D7FAF">
        <w:t>enfant.</w:t>
      </w:r>
    </w:p>
    <w:p w:rsidR="002A7DFB" w:rsidRPr="004D7FAF" w:rsidRDefault="002A7DFB" w:rsidP="002A7DFB">
      <w:pPr>
        <w:pStyle w:val="SingleTxtG"/>
      </w:pPr>
      <w:r w:rsidRPr="004D7FAF">
        <w:t>3.5</w:t>
      </w:r>
      <w:r w:rsidRPr="004D7FAF">
        <w:tab/>
        <w:t>L</w:t>
      </w:r>
      <w:r>
        <w:t>’</w:t>
      </w:r>
      <w:r w:rsidRPr="004D7FAF">
        <w:t>auteur conclut que, dans la Sarre, une mesure législative devrait être prise immédiatement en vue d</w:t>
      </w:r>
      <w:r>
        <w:t>’</w:t>
      </w:r>
      <w:r w:rsidRPr="004D7FAF">
        <w:t>abaisser l</w:t>
      </w:r>
      <w:r>
        <w:t>’</w:t>
      </w:r>
      <w:r w:rsidRPr="004D7FAF">
        <w:t>âge minimum du droit de vote à 16</w:t>
      </w:r>
      <w:r>
        <w:t> </w:t>
      </w:r>
      <w:r w:rsidRPr="004D7FAF">
        <w:t>ans au moins, conformément à l</w:t>
      </w:r>
      <w:r>
        <w:t>’</w:t>
      </w:r>
      <w:r w:rsidRPr="004D7FAF">
        <w:t>article</w:t>
      </w:r>
      <w:r>
        <w:t> </w:t>
      </w:r>
      <w:r w:rsidRPr="004D7FAF">
        <w:t>4 de la Convention.</w:t>
      </w:r>
    </w:p>
    <w:p w:rsidR="002A7DFB" w:rsidRPr="004D7FAF" w:rsidRDefault="002A7DFB" w:rsidP="002A7DFB">
      <w:pPr>
        <w:pStyle w:val="SingleTxtG"/>
      </w:pPr>
      <w:r w:rsidRPr="004D7FAF">
        <w:t>3.6</w:t>
      </w:r>
      <w:r w:rsidRPr="004D7FAF">
        <w:tab/>
        <w:t>L</w:t>
      </w:r>
      <w:r>
        <w:t>’</w:t>
      </w:r>
      <w:r w:rsidRPr="004D7FAF">
        <w:t xml:space="preserve">auteur affirme que tous les recours internes disponibles </w:t>
      </w:r>
      <w:r>
        <w:t xml:space="preserve">et utiles </w:t>
      </w:r>
      <w:r w:rsidRPr="004D7FAF">
        <w:t>ont été épuisés après le rejet de sa demande par la Haute Cour administrative de la Sarre. L</w:t>
      </w:r>
      <w:r>
        <w:t>’</w:t>
      </w:r>
      <w:r w:rsidRPr="004D7FAF">
        <w:t xml:space="preserve">auteur </w:t>
      </w:r>
      <w:r>
        <w:t>aurait pu</w:t>
      </w:r>
      <w:r w:rsidR="00C83578">
        <w:t xml:space="preserve"> </w:t>
      </w:r>
      <w:r>
        <w:t>introduire un recours devant</w:t>
      </w:r>
      <w:r w:rsidR="00C83578">
        <w:t xml:space="preserve"> </w:t>
      </w:r>
      <w:r w:rsidRPr="004D7FAF">
        <w:t xml:space="preserve">la Cour constitutionnelle de la Sarre, mais </w:t>
      </w:r>
      <w:r w:rsidRPr="00122421">
        <w:t>ce recours</w:t>
      </w:r>
      <w:r w:rsidRPr="004D7FAF">
        <w:t xml:space="preserve"> aurait été voué à l</w:t>
      </w:r>
      <w:r>
        <w:t>’</w:t>
      </w:r>
      <w:r w:rsidRPr="004D7FAF">
        <w:t xml:space="preserve">échec dès le départ, car la Cour constitutionnelle </w:t>
      </w:r>
      <w:r>
        <w:t>est en faveur de</w:t>
      </w:r>
      <w:r w:rsidR="00C83578">
        <w:t xml:space="preserve"> </w:t>
      </w:r>
      <w:r w:rsidRPr="004D7FAF">
        <w:t>l</w:t>
      </w:r>
      <w:r>
        <w:t>’</w:t>
      </w:r>
      <w:r w:rsidRPr="004D7FAF">
        <w:t xml:space="preserve">exclusion catégorique des mineurs du droit de vote et </w:t>
      </w:r>
      <w:r>
        <w:t>aurait fondé sa décision</w:t>
      </w:r>
      <w:r w:rsidR="00C83578">
        <w:t xml:space="preserve"> </w:t>
      </w:r>
      <w:r w:rsidRPr="004D7FAF">
        <w:t>sur la jurisprudence permanente de la Cour constitutionnelle fédérale qui, depuis des décennies, justifie l</w:t>
      </w:r>
      <w:r>
        <w:t>’</w:t>
      </w:r>
      <w:r w:rsidRPr="004D7FAF">
        <w:t xml:space="preserve">exclusion des mineurs du droit de vote sans aucun débat et sans </w:t>
      </w:r>
      <w:r>
        <w:t xml:space="preserve">solliciter </w:t>
      </w:r>
      <w:r w:rsidRPr="004D7FAF">
        <w:t>le point de vue des mineurs</w:t>
      </w:r>
      <w:r w:rsidRPr="00731C97">
        <w:rPr>
          <w:rStyle w:val="Appelnotedebasdep"/>
        </w:rPr>
        <w:footnoteReference w:id="12"/>
      </w:r>
      <w:r w:rsidRPr="004D7FAF">
        <w:t>. La dernière décision des autorités nationales ayant été notifiée à l</w:t>
      </w:r>
      <w:r>
        <w:t>’</w:t>
      </w:r>
      <w:r w:rsidRPr="004D7FAF">
        <w:t>auteur le 7</w:t>
      </w:r>
      <w:r>
        <w:t> </w:t>
      </w:r>
      <w:r w:rsidRPr="004D7FAF">
        <w:t>décembre 2017, la présente communication a été soumise dans les délais</w:t>
      </w:r>
      <w:r>
        <w:t xml:space="preserve"> prévus à l’article</w:t>
      </w:r>
      <w:r w:rsidR="00B56E83">
        <w:t> </w:t>
      </w:r>
      <w:r>
        <w:t>7</w:t>
      </w:r>
      <w:r w:rsidR="00B56E83">
        <w:t> </w:t>
      </w:r>
      <w:r>
        <w:t>h) du Protocole facultatif établissant une procédure de présentation de communications</w:t>
      </w:r>
      <w:r w:rsidRPr="004D7FAF">
        <w:t>.</w:t>
      </w:r>
    </w:p>
    <w:p w:rsidR="002A7DFB" w:rsidRPr="004D7FAF" w:rsidRDefault="002A7DFB" w:rsidP="00B56E83">
      <w:pPr>
        <w:pStyle w:val="H23G"/>
      </w:pPr>
      <w:r>
        <w:tab/>
      </w:r>
      <w:r>
        <w:tab/>
      </w:r>
      <w:r w:rsidRPr="004D7FAF">
        <w:t>Observations de l</w:t>
      </w:r>
      <w:r>
        <w:t>’</w:t>
      </w:r>
      <w:r w:rsidRPr="004D7FAF">
        <w:t>État partie sur la recevabilité</w:t>
      </w:r>
    </w:p>
    <w:p w:rsidR="002A7DFB" w:rsidRPr="004D7FAF" w:rsidRDefault="002A7DFB" w:rsidP="00B56E83">
      <w:pPr>
        <w:pStyle w:val="SingleTxtG"/>
        <w:spacing w:line="242" w:lineRule="atLeast"/>
      </w:pPr>
      <w:r w:rsidRPr="004D7FAF">
        <w:t>4.1</w:t>
      </w:r>
      <w:r w:rsidRPr="004D7FAF">
        <w:tab/>
        <w:t>Dans ses observations soumises le 15</w:t>
      </w:r>
      <w:r>
        <w:t> </w:t>
      </w:r>
      <w:r w:rsidRPr="004D7FAF">
        <w:t>janvier 2019, l</w:t>
      </w:r>
      <w:r>
        <w:t>’</w:t>
      </w:r>
      <w:r w:rsidRPr="004D7FAF">
        <w:t>État partie affirme que la communication est irrecevable parce que l</w:t>
      </w:r>
      <w:r>
        <w:t>’</w:t>
      </w:r>
      <w:r w:rsidRPr="004D7FAF">
        <w:t>auteur n</w:t>
      </w:r>
      <w:r>
        <w:t>’</w:t>
      </w:r>
      <w:r w:rsidRPr="004D7FAF">
        <w:t>a pas épuisé les recours internes, comme prévu par l</w:t>
      </w:r>
      <w:r>
        <w:t>’</w:t>
      </w:r>
      <w:r w:rsidRPr="004D7FAF">
        <w:t>article</w:t>
      </w:r>
      <w:r>
        <w:t> </w:t>
      </w:r>
      <w:r w:rsidRPr="004D7FAF">
        <w:t>7</w:t>
      </w:r>
      <w:r>
        <w:t> </w:t>
      </w:r>
      <w:r w:rsidRPr="004D7FAF">
        <w:t>e) du Protocole facultatif. L</w:t>
      </w:r>
      <w:r>
        <w:t>’</w:t>
      </w:r>
      <w:r w:rsidRPr="004D7FAF">
        <w:t>État partie fait observer que l</w:t>
      </w:r>
      <w:r>
        <w:t>’</w:t>
      </w:r>
      <w:r w:rsidRPr="004D7FAF">
        <w:t>auteur n</w:t>
      </w:r>
      <w:r>
        <w:t>’</w:t>
      </w:r>
      <w:r w:rsidRPr="004D7FAF">
        <w:t xml:space="preserve">a </w:t>
      </w:r>
      <w:r>
        <w:t>pas</w:t>
      </w:r>
      <w:r w:rsidRPr="004D7FAF">
        <w:t xml:space="preserve"> </w:t>
      </w:r>
      <w:r>
        <w:t>introduit de recours devant</w:t>
      </w:r>
      <w:r w:rsidR="00C83578">
        <w:t xml:space="preserve"> </w:t>
      </w:r>
      <w:r w:rsidRPr="004D7FAF">
        <w:t xml:space="preserve">la Cour constitutionnelle de la Sarre </w:t>
      </w:r>
      <w:r>
        <w:t>et n’a pas</w:t>
      </w:r>
      <w:r w:rsidRPr="004D7FAF">
        <w:t xml:space="preserve"> soulevé la question soumise au Comité devant les tribunaux nationaux. L</w:t>
      </w:r>
      <w:r>
        <w:t>’</w:t>
      </w:r>
      <w:r w:rsidRPr="004D7FAF">
        <w:t>État partie affirme qu</w:t>
      </w:r>
      <w:r>
        <w:t>’</w:t>
      </w:r>
      <w:r w:rsidRPr="004D7FAF">
        <w:t>en portant immédiatement l</w:t>
      </w:r>
      <w:r>
        <w:t>’</w:t>
      </w:r>
      <w:r w:rsidRPr="004D7FAF">
        <w:t>affaire devant le Comité, l</w:t>
      </w:r>
      <w:r>
        <w:t>’</w:t>
      </w:r>
      <w:r w:rsidRPr="004D7FAF">
        <w:t xml:space="preserve">auteur a privé la Cour constitutionnelle de la possibilité de commenter les relations découlant de la loi de la Sarre relative aux élections </w:t>
      </w:r>
      <w:r>
        <w:t>locales</w:t>
      </w:r>
      <w:r w:rsidRPr="004D7FAF">
        <w:t xml:space="preserve"> et leurs conséquences sur l</w:t>
      </w:r>
      <w:r>
        <w:t>’</w:t>
      </w:r>
      <w:r w:rsidRPr="004D7FAF">
        <w:t>application de la Convention.</w:t>
      </w:r>
    </w:p>
    <w:p w:rsidR="002A7DFB" w:rsidRPr="004D7FAF" w:rsidRDefault="002A7DFB" w:rsidP="00B56E83">
      <w:pPr>
        <w:pStyle w:val="SingleTxtG"/>
        <w:spacing w:line="242" w:lineRule="atLeast"/>
      </w:pPr>
      <w:r w:rsidRPr="004D7FAF">
        <w:t>4.2</w:t>
      </w:r>
      <w:r w:rsidRPr="004D7FAF">
        <w:tab/>
        <w:t>L</w:t>
      </w:r>
      <w:r>
        <w:t>’</w:t>
      </w:r>
      <w:r w:rsidRPr="004D7FAF">
        <w:t>État partie souligne également que, comme prévu par l</w:t>
      </w:r>
      <w:r>
        <w:t>’</w:t>
      </w:r>
      <w:r w:rsidRPr="004D7FAF">
        <w:t>article</w:t>
      </w:r>
      <w:r>
        <w:t> </w:t>
      </w:r>
      <w:r w:rsidRPr="004D7FAF">
        <w:t>7</w:t>
      </w:r>
      <w:r>
        <w:t> </w:t>
      </w:r>
      <w:r w:rsidRPr="004D7FAF">
        <w:t xml:space="preserve">d) du Protocole facultatif, </w:t>
      </w:r>
      <w:r>
        <w:t>la communication devrait être jugée</w:t>
      </w:r>
      <w:r w:rsidR="00C83578">
        <w:t xml:space="preserve"> </w:t>
      </w:r>
      <w:r w:rsidRPr="004D7FAF">
        <w:t xml:space="preserve">irrecevable si la même question a déjà été examinée par le Comité ou a été ou </w:t>
      </w:r>
      <w:r>
        <w:t>est</w:t>
      </w:r>
      <w:r w:rsidRPr="004D7FAF">
        <w:t xml:space="preserve"> examinée au titre d</w:t>
      </w:r>
      <w:r>
        <w:t>’</w:t>
      </w:r>
      <w:r w:rsidRPr="004D7FAF">
        <w:t xml:space="preserve">une autre procédure </w:t>
      </w:r>
      <w:r w:rsidRPr="004D7FAF">
        <w:lastRenderedPageBreak/>
        <w:t>internationale d</w:t>
      </w:r>
      <w:r>
        <w:t>’</w:t>
      </w:r>
      <w:r w:rsidRPr="004D7FAF">
        <w:t>enquête ou de règlement. À ce propos, l</w:t>
      </w:r>
      <w:r>
        <w:t>’</w:t>
      </w:r>
      <w:r w:rsidRPr="004D7FAF">
        <w:t>État partie fait observer que l</w:t>
      </w:r>
      <w:r>
        <w:t>’</w:t>
      </w:r>
      <w:r w:rsidRPr="004D7FAF">
        <w:t>auteur ne fournit aucune information sur la question de savoir s</w:t>
      </w:r>
      <w:r>
        <w:t>’</w:t>
      </w:r>
      <w:r w:rsidRPr="004D7FAF">
        <w:t>il a porté l</w:t>
      </w:r>
      <w:r>
        <w:t>’</w:t>
      </w:r>
      <w:r w:rsidRPr="004D7FAF">
        <w:t>affaire devant d</w:t>
      </w:r>
      <w:r>
        <w:t>’</w:t>
      </w:r>
      <w:r w:rsidRPr="004D7FAF">
        <w:t>autres instances internationales.</w:t>
      </w:r>
    </w:p>
    <w:p w:rsidR="002A7DFB" w:rsidRPr="004D7FAF" w:rsidRDefault="002A7DFB" w:rsidP="008519E4">
      <w:pPr>
        <w:pStyle w:val="H23G"/>
      </w:pPr>
      <w:r>
        <w:tab/>
      </w:r>
      <w:r>
        <w:tab/>
      </w:r>
      <w:r w:rsidRPr="004D7FAF">
        <w:t>Commentaires de l</w:t>
      </w:r>
      <w:r>
        <w:t>’</w:t>
      </w:r>
      <w:r w:rsidRPr="004D7FAF">
        <w:t>auteur sur les observations de l</w:t>
      </w:r>
      <w:r>
        <w:t>’</w:t>
      </w:r>
      <w:r w:rsidRPr="004D7FAF">
        <w:t>État partie</w:t>
      </w:r>
    </w:p>
    <w:p w:rsidR="002A7DFB" w:rsidRPr="004D7FAF" w:rsidRDefault="002A7DFB" w:rsidP="002A7DFB">
      <w:pPr>
        <w:pStyle w:val="SingleTxtG"/>
      </w:pPr>
      <w:r w:rsidRPr="004D7FAF">
        <w:t>5.1</w:t>
      </w:r>
      <w:r w:rsidRPr="004D7FAF">
        <w:tab/>
        <w:t>Dans les commentaires qu</w:t>
      </w:r>
      <w:r>
        <w:t>’</w:t>
      </w:r>
      <w:r w:rsidRPr="004D7FAF">
        <w:t>il a soumis le 15</w:t>
      </w:r>
      <w:r>
        <w:t> </w:t>
      </w:r>
      <w:r w:rsidRPr="004D7FAF">
        <w:t>avril 2019 relatifs à l</w:t>
      </w:r>
      <w:r>
        <w:t>’</w:t>
      </w:r>
      <w:r w:rsidRPr="004D7FAF">
        <w:t>épuisement des recours internes prévu par l</w:t>
      </w:r>
      <w:r>
        <w:t>’</w:t>
      </w:r>
      <w:r w:rsidRPr="004D7FAF">
        <w:t>article</w:t>
      </w:r>
      <w:r>
        <w:t> </w:t>
      </w:r>
      <w:r w:rsidRPr="004D7FAF">
        <w:t>7</w:t>
      </w:r>
      <w:r>
        <w:t> </w:t>
      </w:r>
      <w:r w:rsidRPr="004D7FAF">
        <w:t>e) du Protocole facultatif, l</w:t>
      </w:r>
      <w:r>
        <w:t>’</w:t>
      </w:r>
      <w:r w:rsidRPr="004D7FAF">
        <w:t xml:space="preserve">auteur note que, dans la législation allemande, </w:t>
      </w:r>
      <w:r>
        <w:t xml:space="preserve">la procédure judiciaire </w:t>
      </w:r>
      <w:r w:rsidRPr="00FA2292">
        <w:t>ne concerne que</w:t>
      </w:r>
      <w:r w:rsidRPr="004D7FAF">
        <w:t xml:space="preserve"> les juridictions civiles, pénales et administratives et pas la Cour constitutionnelle</w:t>
      </w:r>
      <w:r w:rsidRPr="00731C97">
        <w:rPr>
          <w:rStyle w:val="Appelnotedebasdep"/>
        </w:rPr>
        <w:footnoteReference w:id="13"/>
      </w:r>
      <w:r w:rsidRPr="004D7FAF">
        <w:t>.</w:t>
      </w:r>
    </w:p>
    <w:p w:rsidR="002A7DFB" w:rsidRPr="004D7FAF" w:rsidRDefault="002A7DFB" w:rsidP="002A7DFB">
      <w:pPr>
        <w:pStyle w:val="SingleTxtG"/>
      </w:pPr>
      <w:r w:rsidRPr="004D7FAF">
        <w:t>5.2</w:t>
      </w:r>
      <w:r w:rsidRPr="004D7FAF">
        <w:tab/>
        <w:t>L</w:t>
      </w:r>
      <w:r>
        <w:t>’</w:t>
      </w:r>
      <w:r w:rsidRPr="004D7FAF">
        <w:t xml:space="preserve">auteur </w:t>
      </w:r>
      <w:r>
        <w:t>avance</w:t>
      </w:r>
      <w:r w:rsidRPr="004D7FAF">
        <w:t xml:space="preserve"> que, </w:t>
      </w:r>
      <w:r>
        <w:t xml:space="preserve">même </w:t>
      </w:r>
      <w:r w:rsidRPr="004D7FAF">
        <w:t>si l</w:t>
      </w:r>
      <w:r>
        <w:t>’</w:t>
      </w:r>
      <w:r w:rsidRPr="004D7FAF">
        <w:t>introduction d</w:t>
      </w:r>
      <w:r>
        <w:t>’</w:t>
      </w:r>
      <w:r w:rsidRPr="004D7FAF">
        <w:t xml:space="preserve">un </w:t>
      </w:r>
      <w:r>
        <w:t>recours</w:t>
      </w:r>
      <w:r w:rsidRPr="004D7FAF">
        <w:t xml:space="preserve"> devant la Cour constitutionnelle était requise pour que soit remplie la condition de l</w:t>
      </w:r>
      <w:r>
        <w:t>’</w:t>
      </w:r>
      <w:r w:rsidRPr="004D7FAF">
        <w:t>épuisement des recours internes au titre de l</w:t>
      </w:r>
      <w:r>
        <w:t>’</w:t>
      </w:r>
      <w:r w:rsidRPr="004D7FAF">
        <w:t>article</w:t>
      </w:r>
      <w:r>
        <w:t> </w:t>
      </w:r>
      <w:r w:rsidRPr="004D7FAF">
        <w:t>7</w:t>
      </w:r>
      <w:r>
        <w:t> </w:t>
      </w:r>
      <w:r w:rsidRPr="004D7FAF">
        <w:t xml:space="preserve">e) du Protocole facultatif, un </w:t>
      </w:r>
      <w:r>
        <w:t>tel recours</w:t>
      </w:r>
      <w:r w:rsidR="00C83578">
        <w:t xml:space="preserve"> </w:t>
      </w:r>
      <w:r w:rsidRPr="004D7FAF">
        <w:t>n</w:t>
      </w:r>
      <w:r>
        <w:t>’</w:t>
      </w:r>
      <w:r w:rsidRPr="004D7FAF">
        <w:t>avait aucune chance d</w:t>
      </w:r>
      <w:r>
        <w:t>’</w:t>
      </w:r>
      <w:r w:rsidRPr="004D7FAF">
        <w:t xml:space="preserve">aboutir dans son affaire. </w:t>
      </w:r>
      <w:r>
        <w:t>L’auteur</w:t>
      </w:r>
      <w:r w:rsidRPr="004D7FAF">
        <w:t xml:space="preserve"> </w:t>
      </w:r>
      <w:r>
        <w:t xml:space="preserve">attire l’attention sur </w:t>
      </w:r>
      <w:r w:rsidRPr="004D7FAF">
        <w:t>l</w:t>
      </w:r>
      <w:r>
        <w:t>’</w:t>
      </w:r>
      <w:r w:rsidRPr="004D7FAF">
        <w:t>article</w:t>
      </w:r>
      <w:r>
        <w:t> </w:t>
      </w:r>
      <w:r w:rsidRPr="004D7FAF">
        <w:t>64 de la Constitution de la Sarre</w:t>
      </w:r>
      <w:r>
        <w:t>, qui</w:t>
      </w:r>
      <w:r w:rsidR="00C83578">
        <w:t xml:space="preserve"> </w:t>
      </w:r>
      <w:r w:rsidRPr="004D7FAF">
        <w:t>dispos</w:t>
      </w:r>
      <w:r>
        <w:t>e</w:t>
      </w:r>
      <w:r w:rsidRPr="004D7FAF">
        <w:t xml:space="preserve"> que tous les Allemands âgés de plus de 18</w:t>
      </w:r>
      <w:r>
        <w:t> </w:t>
      </w:r>
      <w:r w:rsidRPr="004D7FAF">
        <w:t>ans ont le droit de vote</w:t>
      </w:r>
      <w:r w:rsidR="008519E4">
        <w:t>r</w:t>
      </w:r>
      <w:r w:rsidRPr="00731C97">
        <w:rPr>
          <w:rStyle w:val="Appelnotedebasdep"/>
        </w:rPr>
        <w:footnoteReference w:id="14"/>
      </w:r>
      <w:r w:rsidRPr="004D7FAF">
        <w:t xml:space="preserve">, </w:t>
      </w:r>
      <w:r>
        <w:t xml:space="preserve">et avance que </w:t>
      </w:r>
      <w:r w:rsidRPr="004D7FAF">
        <w:t>l</w:t>
      </w:r>
      <w:r>
        <w:t>’</w:t>
      </w:r>
      <w:r w:rsidRPr="004D7FAF">
        <w:t>interprétation de la Cour constitutionnelle de la Sarre serait conforme à cette disposition. Il soutient également que la Cour se fonderait sur la Loi fondamentale de</w:t>
      </w:r>
      <w:r>
        <w:t xml:space="preserve"> l’</w:t>
      </w:r>
      <w:r w:rsidRPr="004D7FAF">
        <w:t xml:space="preserve">Allemagne et sur la jurisprudence de la Cour constitutionnelle fédérale, qui ne </w:t>
      </w:r>
      <w:r w:rsidRPr="00B91687">
        <w:t xml:space="preserve">protègent </w:t>
      </w:r>
      <w:r w:rsidRPr="00EE5F0B">
        <w:t>ni l</w:t>
      </w:r>
      <w:r>
        <w:t>’</w:t>
      </w:r>
      <w:r w:rsidRPr="00EE5F0B">
        <w:t>une ni l</w:t>
      </w:r>
      <w:r>
        <w:t>’</w:t>
      </w:r>
      <w:r w:rsidRPr="00EE5F0B">
        <w:t xml:space="preserve">autre </w:t>
      </w:r>
      <w:r w:rsidRPr="004D7FAF">
        <w:t>le droit de vote</w:t>
      </w:r>
      <w:r>
        <w:t xml:space="preserve"> des</w:t>
      </w:r>
      <w:r w:rsidR="00C83578">
        <w:t xml:space="preserve"> </w:t>
      </w:r>
      <w:r w:rsidRPr="004D7FAF">
        <w:t>mineurs</w:t>
      </w:r>
      <w:r w:rsidRPr="00731C97">
        <w:rPr>
          <w:rStyle w:val="Appelnotedebasdep"/>
        </w:rPr>
        <w:footnoteReference w:id="15"/>
      </w:r>
      <w:r w:rsidRPr="004D7FAF">
        <w:t>.</w:t>
      </w:r>
    </w:p>
    <w:p w:rsidR="002A7DFB" w:rsidRPr="004D7FAF" w:rsidRDefault="002A7DFB" w:rsidP="002A7DFB">
      <w:pPr>
        <w:pStyle w:val="SingleTxtG"/>
      </w:pPr>
      <w:r w:rsidRPr="004D7FAF">
        <w:t>5.3</w:t>
      </w:r>
      <w:r w:rsidRPr="004D7FAF">
        <w:tab/>
        <w:t>L</w:t>
      </w:r>
      <w:r>
        <w:t>’</w:t>
      </w:r>
      <w:r w:rsidRPr="004D7FAF">
        <w:t xml:space="preserve">auteur </w:t>
      </w:r>
      <w:r>
        <w:t>affirme</w:t>
      </w:r>
      <w:r w:rsidRPr="004D7FAF">
        <w:t xml:space="preserve"> que </w:t>
      </w:r>
      <w:r>
        <w:t xml:space="preserve">la présente </w:t>
      </w:r>
      <w:r w:rsidRPr="004D7FAF">
        <w:t xml:space="preserve">communication a été soumise au Comité </w:t>
      </w:r>
      <w:r>
        <w:t xml:space="preserve">uniquement et n’a été portée devant aucune </w:t>
      </w:r>
      <w:r w:rsidRPr="004D7FAF">
        <w:t>autre instance internationale.</w:t>
      </w:r>
    </w:p>
    <w:p w:rsidR="002A7DFB" w:rsidRPr="004D7FAF" w:rsidRDefault="002A7DFB" w:rsidP="008519E4">
      <w:pPr>
        <w:pStyle w:val="H23G"/>
      </w:pPr>
      <w:r>
        <w:tab/>
      </w:r>
      <w:r>
        <w:tab/>
      </w:r>
      <w:r w:rsidRPr="004D7FAF">
        <w:t>Délibérations du Comité</w:t>
      </w:r>
    </w:p>
    <w:p w:rsidR="002A7DFB" w:rsidRPr="004D7FAF" w:rsidRDefault="002A7DFB" w:rsidP="008519E4">
      <w:pPr>
        <w:pStyle w:val="H4G"/>
      </w:pPr>
      <w:r>
        <w:tab/>
      </w:r>
      <w:r>
        <w:tab/>
      </w:r>
      <w:r w:rsidRPr="004D7FAF">
        <w:t>Examen de la recevabilité</w:t>
      </w:r>
    </w:p>
    <w:p w:rsidR="002A7DFB" w:rsidRPr="004D7FAF" w:rsidRDefault="002A7DFB" w:rsidP="002A7DFB">
      <w:pPr>
        <w:pStyle w:val="SingleTxtG"/>
      </w:pPr>
      <w:r w:rsidRPr="004D7FAF">
        <w:t>6.1</w:t>
      </w:r>
      <w:r w:rsidRPr="004D7FAF">
        <w:tab/>
        <w:t>Avant d</w:t>
      </w:r>
      <w:r>
        <w:t>’</w:t>
      </w:r>
      <w:r w:rsidRPr="004D7FAF">
        <w:t xml:space="preserve">examiner toute plainte soumise dans une </w:t>
      </w:r>
      <w:r>
        <w:t>c</w:t>
      </w:r>
      <w:r w:rsidRPr="004D7FAF">
        <w:t>ommunication, le Comité doit, conformément à l</w:t>
      </w:r>
      <w:r>
        <w:t>’</w:t>
      </w:r>
      <w:r w:rsidRPr="004D7FAF">
        <w:t>article</w:t>
      </w:r>
      <w:r>
        <w:t> </w:t>
      </w:r>
      <w:r w:rsidRPr="004D7FAF">
        <w:t xml:space="preserve">20 de son règlement intérieur, déterminer si la communication est recevable au regard du </w:t>
      </w:r>
      <w:r>
        <w:t>P</w:t>
      </w:r>
      <w:r w:rsidRPr="004D7FAF">
        <w:t>rotocole facultatif.</w:t>
      </w:r>
    </w:p>
    <w:p w:rsidR="002A7DFB" w:rsidRPr="004D7FAF" w:rsidRDefault="002A7DFB" w:rsidP="002A7DFB">
      <w:pPr>
        <w:pStyle w:val="SingleTxtG"/>
      </w:pPr>
      <w:r w:rsidRPr="004D7FAF">
        <w:t>6.2</w:t>
      </w:r>
      <w:r w:rsidRPr="004D7FAF">
        <w:tab/>
        <w:t>En ce qui concerne la question de savoir si la même affaire a été ou est examinée au titre d</w:t>
      </w:r>
      <w:r>
        <w:t>’</w:t>
      </w:r>
      <w:r w:rsidRPr="004D7FAF">
        <w:t>une autre procédure internationale d</w:t>
      </w:r>
      <w:r>
        <w:t>’</w:t>
      </w:r>
      <w:r w:rsidRPr="004D7FAF">
        <w:t>enquête ou de règlement, le Comité note que, dans ses observations en date du 15</w:t>
      </w:r>
      <w:r>
        <w:t> </w:t>
      </w:r>
      <w:r w:rsidRPr="004D7FAF">
        <w:t>janvier 2019, l</w:t>
      </w:r>
      <w:r>
        <w:t>’É</w:t>
      </w:r>
      <w:r w:rsidRPr="004D7FAF">
        <w:t>tat partie affirme que l</w:t>
      </w:r>
      <w:r>
        <w:t>’</w:t>
      </w:r>
      <w:r w:rsidRPr="004D7FAF">
        <w:t>on ne sait pas si l</w:t>
      </w:r>
      <w:r>
        <w:t>’</w:t>
      </w:r>
      <w:r w:rsidRPr="004D7FAF">
        <w:t>affaire de l</w:t>
      </w:r>
      <w:r>
        <w:t>’</w:t>
      </w:r>
      <w:r w:rsidRPr="004D7FAF">
        <w:t>auteur a été ou est examinée au titre d</w:t>
      </w:r>
      <w:r>
        <w:t>’</w:t>
      </w:r>
      <w:r w:rsidRPr="004D7FAF">
        <w:t>une autre procédure et que, dans ses commentaires du 15</w:t>
      </w:r>
      <w:r>
        <w:t> </w:t>
      </w:r>
      <w:r w:rsidRPr="004D7FAF">
        <w:t>avril 2019, l</w:t>
      </w:r>
      <w:r>
        <w:t>’</w:t>
      </w:r>
      <w:r w:rsidRPr="004D7FAF">
        <w:t>auteur indique que la même affaire n</w:t>
      </w:r>
      <w:r>
        <w:t>’</w:t>
      </w:r>
      <w:r w:rsidRPr="004D7FAF">
        <w:t>a pas été examinée au titre d</w:t>
      </w:r>
      <w:r>
        <w:t>’</w:t>
      </w:r>
      <w:r w:rsidRPr="004D7FAF">
        <w:t>une autre procédure internationale d</w:t>
      </w:r>
      <w:r>
        <w:t>’</w:t>
      </w:r>
      <w:r w:rsidRPr="004D7FAF">
        <w:t>enquête ou de règlement.</w:t>
      </w:r>
    </w:p>
    <w:p w:rsidR="002A7DFB" w:rsidRPr="004D7FAF" w:rsidRDefault="002A7DFB" w:rsidP="002A7DFB">
      <w:pPr>
        <w:pStyle w:val="SingleTxtG"/>
      </w:pPr>
      <w:r w:rsidRPr="004D7FAF">
        <w:t>6.3</w:t>
      </w:r>
      <w:r w:rsidRPr="004D7FAF">
        <w:tab/>
        <w:t xml:space="preserve">En conséquence, le Comité considère que la </w:t>
      </w:r>
      <w:r>
        <w:t>présente communication</w:t>
      </w:r>
      <w:r w:rsidR="00C83578">
        <w:t xml:space="preserve"> </w:t>
      </w:r>
      <w:r w:rsidRPr="004D7FAF">
        <w:t>est recevable au regard de l</w:t>
      </w:r>
      <w:r>
        <w:t>’</w:t>
      </w:r>
      <w:r w:rsidRPr="004D7FAF">
        <w:t>article</w:t>
      </w:r>
      <w:r>
        <w:t> </w:t>
      </w:r>
      <w:r w:rsidRPr="004D7FAF">
        <w:t>7</w:t>
      </w:r>
      <w:r>
        <w:t> </w:t>
      </w:r>
      <w:r w:rsidRPr="004D7FAF">
        <w:t>d) du Protocole facultatif.</w:t>
      </w:r>
    </w:p>
    <w:p w:rsidR="002A7DFB" w:rsidRPr="004D7FAF" w:rsidRDefault="002A7DFB" w:rsidP="002A7DFB">
      <w:pPr>
        <w:pStyle w:val="SingleTxtG"/>
      </w:pPr>
      <w:r w:rsidRPr="004D7FAF">
        <w:t>6.4</w:t>
      </w:r>
      <w:r w:rsidRPr="004D7FAF">
        <w:tab/>
        <w:t>Le Comité note</w:t>
      </w:r>
      <w:r w:rsidR="00C83578">
        <w:t xml:space="preserve"> </w:t>
      </w:r>
      <w:r w:rsidRPr="004D7FAF">
        <w:t>que, dans ses observations en date du 15</w:t>
      </w:r>
      <w:r>
        <w:t> </w:t>
      </w:r>
      <w:r w:rsidRPr="004D7FAF">
        <w:t>janvier 2019, l</w:t>
      </w:r>
      <w:r>
        <w:t>’</w:t>
      </w:r>
      <w:r w:rsidRPr="004D7FAF">
        <w:t>État partie conteste la recevabilité de la communication au motif que l</w:t>
      </w:r>
      <w:r>
        <w:t>’</w:t>
      </w:r>
      <w:r w:rsidRPr="004D7FAF">
        <w:t>auteur n</w:t>
      </w:r>
      <w:r>
        <w:t>’</w:t>
      </w:r>
      <w:r w:rsidRPr="004D7FAF">
        <w:t>a pas épuisé les recours internes</w:t>
      </w:r>
      <w:r>
        <w:t>,</w:t>
      </w:r>
      <w:r w:rsidRPr="004D7FAF">
        <w:t xml:space="preserve"> car il n</w:t>
      </w:r>
      <w:r>
        <w:t>’</w:t>
      </w:r>
      <w:r w:rsidRPr="004D7FAF">
        <w:t>a pas introduit de recours devant la Cour constitutionnelle. À ce sujet, le Comité prend note du courrier du 15</w:t>
      </w:r>
      <w:r>
        <w:t> </w:t>
      </w:r>
      <w:r w:rsidRPr="004D7FAF">
        <w:t>avril 2019, dans lequel l</w:t>
      </w:r>
      <w:r>
        <w:t>’</w:t>
      </w:r>
      <w:r w:rsidRPr="004D7FAF">
        <w:t>auteur indique que la Cour constitutionnelle n</w:t>
      </w:r>
      <w:r>
        <w:t>’</w:t>
      </w:r>
      <w:r w:rsidRPr="004D7FAF">
        <w:t xml:space="preserve">aurait pas </w:t>
      </w:r>
      <w:r w:rsidRPr="00C96CAD">
        <w:t>constitué</w:t>
      </w:r>
      <w:r w:rsidRPr="004D7FAF">
        <w:t xml:space="preserve"> un recours utile puisqu</w:t>
      </w:r>
      <w:r>
        <w:t>’</w:t>
      </w:r>
      <w:r w:rsidRPr="004D7FAF">
        <w:t xml:space="preserve">elle aurait </w:t>
      </w:r>
      <w:r>
        <w:t xml:space="preserve">d’emblée </w:t>
      </w:r>
      <w:r w:rsidRPr="004D7FAF">
        <w:t>rendu une décision conforme à la disposition constitutionnelle qui prévoit clairement que seules les personnes de plus de 18</w:t>
      </w:r>
      <w:r>
        <w:t> </w:t>
      </w:r>
      <w:r w:rsidRPr="004D7FAF">
        <w:t>ans ont le droit de voter, et aurait</w:t>
      </w:r>
      <w:r w:rsidR="00C83578">
        <w:t xml:space="preserve"> </w:t>
      </w:r>
      <w:r w:rsidRPr="004D7FAF">
        <w:t>tranché en sa défaveur.</w:t>
      </w:r>
    </w:p>
    <w:p w:rsidR="002A7DFB" w:rsidRPr="004D7FAF" w:rsidRDefault="002A7DFB" w:rsidP="002A7DFB">
      <w:pPr>
        <w:pStyle w:val="SingleTxtG"/>
      </w:pPr>
      <w:r w:rsidRPr="004D7FAF">
        <w:t>6.5</w:t>
      </w:r>
      <w:r w:rsidRPr="004D7FAF">
        <w:tab/>
        <w:t>Le Comité rappelle qu</w:t>
      </w:r>
      <w:r>
        <w:t>’</w:t>
      </w:r>
      <w:r w:rsidRPr="004D7FAF">
        <w:t xml:space="preserve">un auteur doit avoir exercé toutes les voies de recours judiciaires et administratives qui </w:t>
      </w:r>
      <w:r>
        <w:t xml:space="preserve">peuvent </w:t>
      </w:r>
      <w:r w:rsidRPr="004D7FAF">
        <w:t>lui offr</w:t>
      </w:r>
      <w:r>
        <w:t>ir</w:t>
      </w:r>
      <w:r w:rsidRPr="004D7FAF">
        <w:t xml:space="preserve"> une perspective raisonnable de réparation. </w:t>
      </w:r>
      <w:r>
        <w:t>De plus, le Comité</w:t>
      </w:r>
      <w:r w:rsidR="00C83578">
        <w:t xml:space="preserve"> </w:t>
      </w:r>
      <w:r w:rsidRPr="004D7FAF">
        <w:t>considère</w:t>
      </w:r>
      <w:r w:rsidR="00C83578">
        <w:t xml:space="preserve"> </w:t>
      </w:r>
      <w:r w:rsidRPr="004D7FAF">
        <w:t>qu</w:t>
      </w:r>
      <w:r>
        <w:t>’</w:t>
      </w:r>
      <w:r w:rsidRPr="004D7FAF">
        <w:t>il n</w:t>
      </w:r>
      <w:r>
        <w:t>’</w:t>
      </w:r>
      <w:r w:rsidRPr="004D7FAF">
        <w:t>est pas nécessaire d</w:t>
      </w:r>
      <w:r>
        <w:t>’</w:t>
      </w:r>
      <w:r w:rsidRPr="004D7FAF">
        <w:t>avoir épuisé les recours internes si ceux-ci n</w:t>
      </w:r>
      <w:r>
        <w:t>’</w:t>
      </w:r>
      <w:r w:rsidRPr="004D7FAF">
        <w:t>ont objectivement aucune chance d</w:t>
      </w:r>
      <w:r>
        <w:t>’</w:t>
      </w:r>
      <w:r w:rsidRPr="004D7FAF">
        <w:t xml:space="preserve">aboutir, </w:t>
      </w:r>
      <w:r>
        <w:t xml:space="preserve">par exemple dans les cas où, </w:t>
      </w:r>
      <w:r w:rsidRPr="004D7FAF">
        <w:t xml:space="preserve">en vertu de la législation interne applicable, la demande serait immanquablement rejetée ou lorsque la jurisprudence établie des plus hautes instances judiciaires nationales </w:t>
      </w:r>
      <w:r w:rsidRPr="004D7FAF">
        <w:lastRenderedPageBreak/>
        <w:t>exclurait une issue positive</w:t>
      </w:r>
      <w:r w:rsidRPr="00731C97">
        <w:rPr>
          <w:rStyle w:val="Appelnotedebasdep"/>
        </w:rPr>
        <w:footnoteReference w:id="16"/>
      </w:r>
      <w:r w:rsidRPr="004D7FAF">
        <w:t>. Le</w:t>
      </w:r>
      <w:r w:rsidR="008519E4">
        <w:t xml:space="preserve"> </w:t>
      </w:r>
      <w:r w:rsidRPr="004D7FAF">
        <w:t xml:space="preserve">Comité note toutefois que de simples doutes ou supputations </w:t>
      </w:r>
      <w:r>
        <w:t>quant</w:t>
      </w:r>
      <w:r w:rsidR="00C83578">
        <w:t xml:space="preserve"> </w:t>
      </w:r>
      <w:r>
        <w:t>à</w:t>
      </w:r>
      <w:r w:rsidRPr="004D7FAF">
        <w:t xml:space="preserve"> l</w:t>
      </w:r>
      <w:r>
        <w:t>’</w:t>
      </w:r>
      <w:r w:rsidRPr="004D7FAF">
        <w:t>utilité des recours internes ou leurs chances d</w:t>
      </w:r>
      <w:r>
        <w:t>’</w:t>
      </w:r>
      <w:r w:rsidRPr="004D7FAF">
        <w:t>aboutir ne dispensent pas les auteurs de les épuiser</w:t>
      </w:r>
      <w:r w:rsidRPr="00731C97">
        <w:rPr>
          <w:rStyle w:val="Appelnotedebasdep"/>
        </w:rPr>
        <w:footnoteReference w:id="17"/>
      </w:r>
      <w:r w:rsidRPr="004D7FAF">
        <w:t>.</w:t>
      </w:r>
    </w:p>
    <w:p w:rsidR="002A7DFB" w:rsidRPr="004D7FAF" w:rsidRDefault="002A7DFB" w:rsidP="002A7DFB">
      <w:pPr>
        <w:pStyle w:val="SingleTxtG"/>
      </w:pPr>
      <w:r w:rsidRPr="004D7FAF">
        <w:t>6.6</w:t>
      </w:r>
      <w:r w:rsidRPr="004D7FAF">
        <w:tab/>
        <w:t>En l</w:t>
      </w:r>
      <w:r>
        <w:t>’</w:t>
      </w:r>
      <w:r w:rsidRPr="004D7FAF">
        <w:t xml:space="preserve">espèce, le Comité considère </w:t>
      </w:r>
      <w:r>
        <w:t xml:space="preserve">que, pour porter ses griefs au niveau national, l’auteur aurait logiquement pu soumettre </w:t>
      </w:r>
      <w:r w:rsidRPr="004D7FAF">
        <w:t>un</w:t>
      </w:r>
      <w:r>
        <w:t xml:space="preserve"> recours en inconstitutionnalité, </w:t>
      </w:r>
      <w:r w:rsidRPr="004D7FAF">
        <w:t xml:space="preserve">possibilité </w:t>
      </w:r>
      <w:r>
        <w:t xml:space="preserve">qui </w:t>
      </w:r>
      <w:r w:rsidRPr="004D7FAF">
        <w:t>lui était ouverte au moment des faits</w:t>
      </w:r>
      <w:r>
        <w:t xml:space="preserve"> en question</w:t>
      </w:r>
      <w:r w:rsidRPr="004D7FAF">
        <w:t xml:space="preserve">. Le Comité prend note de </w:t>
      </w:r>
      <w:r>
        <w:t>l’</w:t>
      </w:r>
      <w:r w:rsidRPr="004D7FAF">
        <w:t>allégation de l</w:t>
      </w:r>
      <w:r>
        <w:t>’</w:t>
      </w:r>
      <w:r w:rsidRPr="004D7FAF">
        <w:t>auteur qui affirme qu</w:t>
      </w:r>
      <w:r>
        <w:t>’</w:t>
      </w:r>
      <w:r w:rsidRPr="004D7FAF">
        <w:t>un</w:t>
      </w:r>
      <w:r>
        <w:t xml:space="preserve"> </w:t>
      </w:r>
      <w:r w:rsidRPr="00614F41">
        <w:t>recours constitutionn</w:t>
      </w:r>
      <w:r w:rsidRPr="00731C97">
        <w:t>el</w:t>
      </w:r>
      <w:r w:rsidRPr="004D7FAF">
        <w:t xml:space="preserve"> n</w:t>
      </w:r>
      <w:r>
        <w:t>’</w:t>
      </w:r>
      <w:r w:rsidRPr="004D7FAF">
        <w:t>a aucune chance d</w:t>
      </w:r>
      <w:r>
        <w:t>’</w:t>
      </w:r>
      <w:r w:rsidRPr="004D7FAF">
        <w:t>aboutir, mais il note également que l</w:t>
      </w:r>
      <w:r>
        <w:t>’</w:t>
      </w:r>
      <w:r w:rsidRPr="004D7FAF">
        <w:t>auteur n</w:t>
      </w:r>
      <w:r>
        <w:t>’</w:t>
      </w:r>
      <w:r w:rsidRPr="004D7FAF">
        <w:t>a pas étayé ses allégations en citant la jurisprudence de la Cour constitutionnelle de la Sarre ou celle de la Cour constitutionnelle fédérale. Le Comité estime qu</w:t>
      </w:r>
      <w:r>
        <w:t>’</w:t>
      </w:r>
      <w:r w:rsidRPr="004D7FAF">
        <w:t>un</w:t>
      </w:r>
      <w:r>
        <w:t xml:space="preserve"> </w:t>
      </w:r>
      <w:r w:rsidRPr="00FE46A4">
        <w:t>recours en inconstitutionnalité</w:t>
      </w:r>
      <w:r w:rsidRPr="004D7FAF">
        <w:t xml:space="preserve"> ne devrait pas être considéré comme voué à l</w:t>
      </w:r>
      <w:r>
        <w:t>’</w:t>
      </w:r>
      <w:r w:rsidRPr="004D7FAF">
        <w:t xml:space="preserve">échec simplement au vu des textes constitutionnels en vigueur et de quelques précédents </w:t>
      </w:r>
      <w:r>
        <w:t>généraux</w:t>
      </w:r>
      <w:r w:rsidRPr="004D7FAF">
        <w:t>. Le Comité considère également qu</w:t>
      </w:r>
      <w:r>
        <w:t>’</w:t>
      </w:r>
      <w:r w:rsidRPr="004D7FAF">
        <w:t>il aurait fallu donner à la Cour constitutionnelle de la Sarre l</w:t>
      </w:r>
      <w:r>
        <w:t>’</w:t>
      </w:r>
      <w:r w:rsidRPr="004D7FAF">
        <w:t>occasion d</w:t>
      </w:r>
      <w:r>
        <w:t>’</w:t>
      </w:r>
      <w:r w:rsidRPr="004D7FAF">
        <w:t>interpréter la Constitution de la Sarre à la lumière des allégations de l</w:t>
      </w:r>
      <w:r>
        <w:t>’</w:t>
      </w:r>
      <w:r w:rsidRPr="004D7FAF">
        <w:t>auteur et des dispositions de la Convention qu</w:t>
      </w:r>
      <w:r>
        <w:t>’</w:t>
      </w:r>
      <w:r w:rsidRPr="004D7FAF">
        <w:t>il a invoquées. L</w:t>
      </w:r>
      <w:r>
        <w:t>’</w:t>
      </w:r>
      <w:r w:rsidRPr="004D7FAF">
        <w:t>auteur n</w:t>
      </w:r>
      <w:r>
        <w:t>’</w:t>
      </w:r>
      <w:r w:rsidRPr="004D7FAF">
        <w:t>ayant fourni, pour expliquer le fait qu</w:t>
      </w:r>
      <w:r>
        <w:t>’</w:t>
      </w:r>
      <w:r w:rsidRPr="004D7FAF">
        <w:t>il n</w:t>
      </w:r>
      <w:r>
        <w:t>’</w:t>
      </w:r>
      <w:r w:rsidRPr="004D7FAF">
        <w:t xml:space="preserve">avait pas tenté </w:t>
      </w:r>
      <w:r>
        <w:t xml:space="preserve">d’exercer </w:t>
      </w:r>
      <w:r w:rsidRPr="004D7FAF">
        <w:t>un</w:t>
      </w:r>
      <w:r>
        <w:t xml:space="preserve"> recours</w:t>
      </w:r>
      <w:r w:rsidR="00C83578">
        <w:t xml:space="preserve"> </w:t>
      </w:r>
      <w:r w:rsidRPr="004D7FAF">
        <w:t>constitutionn</w:t>
      </w:r>
      <w:r>
        <w:t>el</w:t>
      </w:r>
      <w:r w:rsidRPr="004D7FAF">
        <w:t>, aucun motif allant au-delà des simples doutes quant aux chances de succès, le Comité considère que l</w:t>
      </w:r>
      <w:r>
        <w:t>’</w:t>
      </w:r>
      <w:r w:rsidRPr="004D7FAF">
        <w:t>auteur n</w:t>
      </w:r>
      <w:r>
        <w:t>’</w:t>
      </w:r>
      <w:r w:rsidRPr="004D7FAF">
        <w:t>a pas épuisé tous les recours internes dont il disposait raisonnablement pour demander réparation de la violation présumée des droits qu</w:t>
      </w:r>
      <w:r>
        <w:t>’</w:t>
      </w:r>
      <w:r w:rsidRPr="004D7FAF">
        <w:t>il tient des articles</w:t>
      </w:r>
      <w:r>
        <w:t> </w:t>
      </w:r>
      <w:r w:rsidRPr="004D7FAF">
        <w:t>2 (par.</w:t>
      </w:r>
      <w:r>
        <w:t> </w:t>
      </w:r>
      <w:r w:rsidRPr="004D7FAF">
        <w:t>1), 3 (par.</w:t>
      </w:r>
      <w:r>
        <w:t> </w:t>
      </w:r>
      <w:r w:rsidRPr="004D7FAF">
        <w:t>1), 4 et 12 (par.</w:t>
      </w:r>
      <w:r>
        <w:t> </w:t>
      </w:r>
      <w:r w:rsidRPr="004D7FAF">
        <w:t>1) de la Convention.</w:t>
      </w:r>
    </w:p>
    <w:p w:rsidR="002A7DFB" w:rsidRPr="004D7FAF" w:rsidRDefault="002A7DFB" w:rsidP="002A7DFB">
      <w:pPr>
        <w:pStyle w:val="SingleTxtG"/>
      </w:pPr>
      <w:r w:rsidRPr="004D7FAF">
        <w:t>6.7</w:t>
      </w:r>
      <w:r w:rsidRPr="004D7FAF">
        <w:tab/>
        <w:t xml:space="preserve">En conséquence, le Comité déclare que </w:t>
      </w:r>
      <w:r>
        <w:t>la communication</w:t>
      </w:r>
      <w:r w:rsidR="00C83578">
        <w:t xml:space="preserve"> </w:t>
      </w:r>
      <w:r w:rsidRPr="004D7FAF">
        <w:t>est irrecevable au regard de l</w:t>
      </w:r>
      <w:r>
        <w:t>’</w:t>
      </w:r>
      <w:r w:rsidRPr="004D7FAF">
        <w:t>article</w:t>
      </w:r>
      <w:r>
        <w:t> </w:t>
      </w:r>
      <w:r w:rsidRPr="004D7FAF">
        <w:t>7</w:t>
      </w:r>
      <w:r w:rsidR="001666D0">
        <w:t> </w:t>
      </w:r>
      <w:r w:rsidRPr="004D7FAF">
        <w:t xml:space="preserve">e) du Protocole facultatif </w:t>
      </w:r>
      <w:r w:rsidRPr="00731C97">
        <w:t>au motif que les recours internes n</w:t>
      </w:r>
      <w:r>
        <w:t>’</w:t>
      </w:r>
      <w:r w:rsidRPr="00731C97">
        <w:t>ont pas été épuisés.</w:t>
      </w:r>
      <w:r w:rsidRPr="004D7FAF">
        <w:t xml:space="preserve"> </w:t>
      </w:r>
    </w:p>
    <w:p w:rsidR="002A7DFB" w:rsidRPr="004D7FAF" w:rsidRDefault="002A7DFB" w:rsidP="001666D0">
      <w:pPr>
        <w:pStyle w:val="SingleTxtG"/>
        <w:keepNext/>
      </w:pPr>
      <w:r w:rsidRPr="004D7FAF">
        <w:t>7.</w:t>
      </w:r>
      <w:r w:rsidRPr="004D7FAF">
        <w:tab/>
        <w:t>Le Comité des droits de l</w:t>
      </w:r>
      <w:r>
        <w:t>’</w:t>
      </w:r>
      <w:r w:rsidRPr="004D7FAF">
        <w:t>enfant décide :</w:t>
      </w:r>
    </w:p>
    <w:p w:rsidR="002A7DFB" w:rsidRDefault="002A7DFB" w:rsidP="002A7DFB">
      <w:pPr>
        <w:pStyle w:val="SingleTxtG"/>
        <w:ind w:firstLine="567"/>
      </w:pPr>
      <w:r w:rsidRPr="004D7FAF">
        <w:t>a)</w:t>
      </w:r>
      <w:r w:rsidRPr="004D7FAF">
        <w:tab/>
        <w:t>Que la communication est irrecevable au regard de l</w:t>
      </w:r>
      <w:r>
        <w:t>’</w:t>
      </w:r>
      <w:r w:rsidRPr="004D7FAF">
        <w:t>article</w:t>
      </w:r>
      <w:r>
        <w:t> </w:t>
      </w:r>
      <w:r w:rsidRPr="004D7FAF">
        <w:t>7</w:t>
      </w:r>
      <w:r w:rsidR="001666D0">
        <w:t> </w:t>
      </w:r>
      <w:bookmarkStart w:id="0" w:name="_GoBack"/>
      <w:bookmarkEnd w:id="0"/>
      <w:r w:rsidRPr="004D7FAF">
        <w:t>e) du Protocole facultatif ;</w:t>
      </w:r>
    </w:p>
    <w:p w:rsidR="007341B7" w:rsidRDefault="002A7DFB" w:rsidP="002A7DFB">
      <w:pPr>
        <w:pStyle w:val="SingleTxtG"/>
        <w:ind w:firstLine="567"/>
      </w:pPr>
      <w:r w:rsidRPr="004D7FAF">
        <w:t>b)</w:t>
      </w:r>
      <w:r w:rsidRPr="004D7FAF">
        <w:tab/>
        <w:t>Que la présente décision sera communiquée à l</w:t>
      </w:r>
      <w:r>
        <w:t>’</w:t>
      </w:r>
      <w:r w:rsidRPr="004D7FAF">
        <w:t>auteur de la communication et, pour information, à l</w:t>
      </w:r>
      <w:r>
        <w:t>’</w:t>
      </w:r>
      <w:r w:rsidRPr="004D7FAF">
        <w:t>État partie.</w:t>
      </w:r>
    </w:p>
    <w:p w:rsidR="002A7DFB" w:rsidRPr="002A7DFB" w:rsidRDefault="002A7DFB" w:rsidP="002A7DFB">
      <w:pPr>
        <w:pStyle w:val="SingleTxtG"/>
        <w:spacing w:before="240" w:after="0"/>
        <w:jc w:val="center"/>
        <w:rPr>
          <w:u w:val="single"/>
        </w:rPr>
      </w:pPr>
      <w:r>
        <w:rPr>
          <w:u w:val="single"/>
        </w:rPr>
        <w:tab/>
      </w:r>
      <w:r>
        <w:rPr>
          <w:u w:val="single"/>
        </w:rPr>
        <w:tab/>
      </w:r>
      <w:r>
        <w:rPr>
          <w:u w:val="single"/>
        </w:rPr>
        <w:tab/>
      </w:r>
    </w:p>
    <w:sectPr w:rsidR="002A7DFB" w:rsidRPr="002A7DFB" w:rsidSect="009D16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5D0" w:rsidRDefault="00D955D0" w:rsidP="00F95C08">
      <w:pPr>
        <w:spacing w:line="240" w:lineRule="auto"/>
      </w:pPr>
    </w:p>
  </w:endnote>
  <w:endnote w:type="continuationSeparator" w:id="0">
    <w:p w:rsidR="00D955D0" w:rsidRPr="00AC3823" w:rsidRDefault="00D955D0" w:rsidP="00AC3823">
      <w:pPr>
        <w:pStyle w:val="Pieddepage"/>
      </w:pPr>
    </w:p>
  </w:endnote>
  <w:endnote w:type="continuationNotice" w:id="1">
    <w:p w:rsidR="00D955D0" w:rsidRDefault="00D955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7C" w:rsidRPr="009D167C" w:rsidRDefault="009D167C" w:rsidP="009D167C">
    <w:pPr>
      <w:pStyle w:val="Pieddepage"/>
      <w:tabs>
        <w:tab w:val="right" w:pos="9638"/>
      </w:tabs>
    </w:pPr>
    <w:r w:rsidRPr="009D167C">
      <w:rPr>
        <w:b/>
        <w:sz w:val="18"/>
      </w:rPr>
      <w:fldChar w:fldCharType="begin"/>
    </w:r>
    <w:r w:rsidRPr="009D167C">
      <w:rPr>
        <w:b/>
        <w:sz w:val="18"/>
      </w:rPr>
      <w:instrText xml:space="preserve"> PAGE  \* MERGEFORMAT </w:instrText>
    </w:r>
    <w:r w:rsidRPr="009D167C">
      <w:rPr>
        <w:b/>
        <w:sz w:val="18"/>
      </w:rPr>
      <w:fldChar w:fldCharType="separate"/>
    </w:r>
    <w:r w:rsidRPr="009D167C">
      <w:rPr>
        <w:b/>
        <w:noProof/>
        <w:sz w:val="18"/>
      </w:rPr>
      <w:t>2</w:t>
    </w:r>
    <w:r w:rsidRPr="009D167C">
      <w:rPr>
        <w:b/>
        <w:sz w:val="18"/>
      </w:rPr>
      <w:fldChar w:fldCharType="end"/>
    </w:r>
    <w:r>
      <w:rPr>
        <w:b/>
        <w:sz w:val="18"/>
      </w:rPr>
      <w:tab/>
    </w:r>
    <w:r>
      <w:t>GE.20-03702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7C" w:rsidRPr="009D167C" w:rsidRDefault="009D167C" w:rsidP="009D167C">
    <w:pPr>
      <w:pStyle w:val="Pieddepage"/>
      <w:tabs>
        <w:tab w:val="right" w:pos="9638"/>
      </w:tabs>
      <w:rPr>
        <w:b/>
        <w:sz w:val="18"/>
      </w:rPr>
    </w:pPr>
    <w:r>
      <w:t>GE.20-03702</w:t>
    </w:r>
    <w:r>
      <w:tab/>
    </w:r>
    <w:r w:rsidRPr="009D167C">
      <w:rPr>
        <w:b/>
        <w:sz w:val="18"/>
      </w:rPr>
      <w:fldChar w:fldCharType="begin"/>
    </w:r>
    <w:r w:rsidRPr="009D167C">
      <w:rPr>
        <w:b/>
        <w:sz w:val="18"/>
      </w:rPr>
      <w:instrText xml:space="preserve"> PAGE  \* MERGEFORMAT </w:instrText>
    </w:r>
    <w:r w:rsidRPr="009D167C">
      <w:rPr>
        <w:b/>
        <w:sz w:val="18"/>
      </w:rPr>
      <w:fldChar w:fldCharType="separate"/>
    </w:r>
    <w:r w:rsidRPr="009D167C">
      <w:rPr>
        <w:b/>
        <w:noProof/>
        <w:sz w:val="18"/>
      </w:rPr>
      <w:t>3</w:t>
    </w:r>
    <w:r w:rsidRPr="009D16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9D167C" w:rsidRDefault="009D167C" w:rsidP="009D167C">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20-03702</w:t>
    </w:r>
    <w:r w:rsidR="00C83578">
      <w:rPr>
        <w:sz w:val="20"/>
      </w:rPr>
      <w:t xml:space="preserve">  </w:t>
    </w:r>
    <w:r>
      <w:rPr>
        <w:sz w:val="20"/>
      </w:rPr>
      <w:t>(F)</w:t>
    </w:r>
    <w:r w:rsidR="00C83578">
      <w:rPr>
        <w:sz w:val="20"/>
      </w:rPr>
      <w:t xml:space="preserve">    </w:t>
    </w:r>
    <w:r>
      <w:rPr>
        <w:sz w:val="20"/>
      </w:rPr>
      <w:t>291020</w:t>
    </w:r>
    <w:r w:rsidR="00C83578">
      <w:rPr>
        <w:sz w:val="20"/>
      </w:rPr>
      <w:t xml:space="preserve">    </w:t>
    </w:r>
    <w:r>
      <w:rPr>
        <w:sz w:val="20"/>
      </w:rPr>
      <w:t>301020</w:t>
    </w:r>
    <w:r>
      <w:rPr>
        <w:sz w:val="20"/>
      </w:rPr>
      <w:br/>
    </w:r>
    <w:r w:rsidRPr="009D167C">
      <w:rPr>
        <w:rFonts w:ascii="C39T30Lfz" w:hAnsi="C39T30Lfz"/>
        <w:sz w:val="56"/>
      </w:rPr>
      <w:t>*2003702*</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5D0" w:rsidRPr="00AC3823" w:rsidRDefault="00D955D0" w:rsidP="00AC3823">
      <w:pPr>
        <w:pStyle w:val="Pieddepage"/>
        <w:tabs>
          <w:tab w:val="right" w:pos="2155"/>
        </w:tabs>
        <w:spacing w:after="80" w:line="240" w:lineRule="atLeast"/>
        <w:ind w:left="680"/>
        <w:rPr>
          <w:u w:val="single"/>
        </w:rPr>
      </w:pPr>
      <w:r>
        <w:rPr>
          <w:u w:val="single"/>
        </w:rPr>
        <w:tab/>
      </w:r>
    </w:p>
  </w:footnote>
  <w:footnote w:type="continuationSeparator" w:id="0">
    <w:p w:rsidR="00D955D0" w:rsidRPr="00AC3823" w:rsidRDefault="00D955D0" w:rsidP="00AC3823">
      <w:pPr>
        <w:pStyle w:val="Pieddepage"/>
        <w:tabs>
          <w:tab w:val="right" w:pos="2155"/>
        </w:tabs>
        <w:spacing w:after="80" w:line="240" w:lineRule="atLeast"/>
        <w:ind w:left="680"/>
        <w:rPr>
          <w:u w:val="single"/>
        </w:rPr>
      </w:pPr>
      <w:r>
        <w:rPr>
          <w:u w:val="single"/>
        </w:rPr>
        <w:tab/>
      </w:r>
    </w:p>
  </w:footnote>
  <w:footnote w:type="continuationNotice" w:id="1">
    <w:p w:rsidR="00D955D0" w:rsidRPr="00AC3823" w:rsidRDefault="00D955D0">
      <w:pPr>
        <w:spacing w:line="240" w:lineRule="auto"/>
        <w:rPr>
          <w:sz w:val="2"/>
          <w:szCs w:val="2"/>
        </w:rPr>
      </w:pPr>
    </w:p>
  </w:footnote>
  <w:footnote w:id="2">
    <w:p w:rsidR="002A7DFB" w:rsidRPr="009B31D1" w:rsidRDefault="002A7DFB" w:rsidP="002A7DFB">
      <w:pPr>
        <w:pStyle w:val="Notedebasdepage"/>
      </w:pPr>
      <w:r>
        <w:tab/>
      </w:r>
      <w:r w:rsidRPr="00C83578">
        <w:rPr>
          <w:rStyle w:val="Appelnotedebasdep"/>
          <w:sz w:val="20"/>
          <w:vertAlign w:val="baseline"/>
        </w:rPr>
        <w:sym w:font="Symbol" w:char="F02A"/>
      </w:r>
      <w:r>
        <w:tab/>
      </w:r>
      <w:r w:rsidRPr="009B31D1">
        <w:t>Adopt</w:t>
      </w:r>
      <w:r>
        <w:t>é</w:t>
      </w:r>
      <w:r w:rsidRPr="009B31D1">
        <w:t>e</w:t>
      </w:r>
      <w:r>
        <w:t xml:space="preserve"> par le Comité à sa quatre-vingt-troisième </w:t>
      </w:r>
      <w:r w:rsidRPr="009B31D1">
        <w:t>session (</w:t>
      </w:r>
      <w:r>
        <w:t>20 janvier</w:t>
      </w:r>
      <w:r w:rsidR="00C83578">
        <w:t>-</w:t>
      </w:r>
      <w:r w:rsidRPr="009B31D1">
        <w:t xml:space="preserve">7 </w:t>
      </w:r>
      <w:r>
        <w:t>février 2020</w:t>
      </w:r>
      <w:r w:rsidRPr="009B31D1">
        <w:t>).</w:t>
      </w:r>
    </w:p>
  </w:footnote>
  <w:footnote w:id="3">
    <w:p w:rsidR="002A7DFB" w:rsidRPr="009B31D1" w:rsidRDefault="002A7DFB" w:rsidP="002A7DFB">
      <w:pPr>
        <w:pStyle w:val="Notedebasdepage"/>
      </w:pPr>
      <w:r w:rsidRPr="00C83578">
        <w:rPr>
          <w:rStyle w:val="Appelnotedebasdep"/>
          <w:vertAlign w:val="baseline"/>
        </w:rPr>
        <w:tab/>
      </w:r>
      <w:r w:rsidRPr="00C83578">
        <w:rPr>
          <w:rStyle w:val="Appelnotedebasdep"/>
          <w:sz w:val="20"/>
          <w:vertAlign w:val="baseline"/>
        </w:rPr>
        <w:sym w:font="Symbol" w:char="F02A"/>
      </w:r>
      <w:r w:rsidRPr="00C83578">
        <w:rPr>
          <w:rStyle w:val="Appelnotedebasdep"/>
          <w:sz w:val="20"/>
          <w:vertAlign w:val="baseline"/>
        </w:rPr>
        <w:sym w:font="Symbol" w:char="F02A"/>
      </w:r>
      <w:r>
        <w:tab/>
        <w:t>Les membres du Comité dont le nom suit ont participé à l</w:t>
      </w:r>
      <w:r w:rsidR="00B56E83">
        <w:t>’</w:t>
      </w:r>
      <w:r>
        <w:t>examen de la communication</w:t>
      </w:r>
      <w:r w:rsidR="00C83578">
        <w:t> </w:t>
      </w:r>
      <w:r w:rsidRPr="00D2611F">
        <w:t>:</w:t>
      </w:r>
      <w:r>
        <w:t xml:space="preserve"> </w:t>
      </w:r>
      <w:r w:rsidRPr="00DE2178">
        <w:t xml:space="preserve">Suzanne Aho </w:t>
      </w:r>
      <w:proofErr w:type="spellStart"/>
      <w:r w:rsidRPr="00DE2178">
        <w:t>Assouma</w:t>
      </w:r>
      <w:proofErr w:type="spellEnd"/>
      <w:r w:rsidRPr="00DE2178">
        <w:t xml:space="preserve">, Aissatou Alassane </w:t>
      </w:r>
      <w:proofErr w:type="spellStart"/>
      <w:r w:rsidRPr="00DE2178">
        <w:t>Sidikou</w:t>
      </w:r>
      <w:proofErr w:type="spellEnd"/>
      <w:r w:rsidRPr="00DE2178">
        <w:t xml:space="preserve">, Amal Salman </w:t>
      </w:r>
      <w:proofErr w:type="spellStart"/>
      <w:r w:rsidRPr="00DE2178">
        <w:t>Aldoseri</w:t>
      </w:r>
      <w:proofErr w:type="spellEnd"/>
      <w:r w:rsidRPr="00DE2178">
        <w:t xml:space="preserve">, Hynd </w:t>
      </w:r>
      <w:proofErr w:type="spellStart"/>
      <w:r w:rsidRPr="00DE2178">
        <w:t>Ayoubi</w:t>
      </w:r>
      <w:proofErr w:type="spellEnd"/>
      <w:r w:rsidRPr="00DE2178">
        <w:t xml:space="preserve"> Idrissi, Bragi </w:t>
      </w:r>
      <w:proofErr w:type="spellStart"/>
      <w:r w:rsidRPr="00DE2178">
        <w:t>Gudbrandsson</w:t>
      </w:r>
      <w:proofErr w:type="spellEnd"/>
      <w:r w:rsidRPr="00DE2178">
        <w:t xml:space="preserve">, Philip Jaffe, Olga A. </w:t>
      </w:r>
      <w:proofErr w:type="spellStart"/>
      <w:r w:rsidRPr="00DE2178">
        <w:t>Khazova</w:t>
      </w:r>
      <w:proofErr w:type="spellEnd"/>
      <w:r w:rsidRPr="00DE2178">
        <w:t xml:space="preserve">, </w:t>
      </w:r>
      <w:proofErr w:type="spellStart"/>
      <w:r w:rsidRPr="00DE2178">
        <w:t>Cephas</w:t>
      </w:r>
      <w:proofErr w:type="spellEnd"/>
      <w:r w:rsidRPr="00DE2178">
        <w:t xml:space="preserve"> </w:t>
      </w:r>
      <w:proofErr w:type="spellStart"/>
      <w:r w:rsidRPr="00DE2178">
        <w:t>Lumina</w:t>
      </w:r>
      <w:proofErr w:type="spellEnd"/>
      <w:r w:rsidRPr="00DE2178">
        <w:t xml:space="preserve">, </w:t>
      </w:r>
      <w:proofErr w:type="spellStart"/>
      <w:r w:rsidRPr="00DE2178">
        <w:t>Gehad</w:t>
      </w:r>
      <w:proofErr w:type="spellEnd"/>
      <w:r w:rsidRPr="00DE2178">
        <w:t xml:space="preserve"> Madi, Faith Marshall</w:t>
      </w:r>
      <w:r w:rsidR="00C83578">
        <w:noBreakHyphen/>
      </w:r>
      <w:r w:rsidRPr="00DE2178">
        <w:t xml:space="preserve">Harris, </w:t>
      </w:r>
      <w:proofErr w:type="spellStart"/>
      <w:r w:rsidRPr="00DE2178">
        <w:t>Benyam</w:t>
      </w:r>
      <w:proofErr w:type="spellEnd"/>
      <w:r w:rsidRPr="00DE2178">
        <w:t xml:space="preserve"> </w:t>
      </w:r>
      <w:proofErr w:type="spellStart"/>
      <w:r w:rsidRPr="00DE2178">
        <w:t>Dawit</w:t>
      </w:r>
      <w:proofErr w:type="spellEnd"/>
      <w:r w:rsidRPr="00DE2178">
        <w:t xml:space="preserve"> </w:t>
      </w:r>
      <w:proofErr w:type="spellStart"/>
      <w:r w:rsidRPr="00DE2178">
        <w:t>Mezmur</w:t>
      </w:r>
      <w:proofErr w:type="spellEnd"/>
      <w:r w:rsidRPr="00DE2178">
        <w:t>,</w:t>
      </w:r>
      <w:r>
        <w:t xml:space="preserve"> </w:t>
      </w:r>
      <w:r w:rsidRPr="007A0F03">
        <w:t>Clarence Nelson</w:t>
      </w:r>
      <w:r>
        <w:t>,</w:t>
      </w:r>
      <w:r w:rsidRPr="00DE2178">
        <w:t xml:space="preserve"> </w:t>
      </w:r>
      <w:proofErr w:type="spellStart"/>
      <w:r w:rsidRPr="00DE2178">
        <w:t>Mikiko</w:t>
      </w:r>
      <w:proofErr w:type="spellEnd"/>
      <w:r w:rsidRPr="00DE2178">
        <w:t xml:space="preserve"> </w:t>
      </w:r>
      <w:proofErr w:type="spellStart"/>
      <w:r w:rsidRPr="00DE2178">
        <w:t>Otani</w:t>
      </w:r>
      <w:proofErr w:type="spellEnd"/>
      <w:r w:rsidRPr="00DE2178">
        <w:t xml:space="preserve">, Luis Ernesto </w:t>
      </w:r>
      <w:proofErr w:type="spellStart"/>
      <w:r w:rsidRPr="00DE2178">
        <w:t>Pedernera</w:t>
      </w:r>
      <w:proofErr w:type="spellEnd"/>
      <w:r w:rsidRPr="00DE2178">
        <w:t xml:space="preserve"> </w:t>
      </w:r>
      <w:proofErr w:type="spellStart"/>
      <w:r w:rsidRPr="00DE2178">
        <w:t>Reyna</w:t>
      </w:r>
      <w:proofErr w:type="spellEnd"/>
      <w:r w:rsidRPr="00DE2178">
        <w:t xml:space="preserve">, José </w:t>
      </w:r>
      <w:proofErr w:type="spellStart"/>
      <w:r w:rsidRPr="00DE2178">
        <w:t>Ángel</w:t>
      </w:r>
      <w:proofErr w:type="spellEnd"/>
      <w:r w:rsidRPr="00DE2178">
        <w:t xml:space="preserve"> </w:t>
      </w:r>
      <w:proofErr w:type="spellStart"/>
      <w:r w:rsidRPr="00DE2178">
        <w:t>Rodríguez</w:t>
      </w:r>
      <w:proofErr w:type="spellEnd"/>
      <w:r w:rsidRPr="00DE2178">
        <w:t xml:space="preserve"> Reyes, Ann Marie Skelton, Velina </w:t>
      </w:r>
      <w:proofErr w:type="spellStart"/>
      <w:r w:rsidRPr="00DE2178">
        <w:t>Todorova</w:t>
      </w:r>
      <w:proofErr w:type="spellEnd"/>
      <w:r w:rsidRPr="00DE2178">
        <w:t xml:space="preserve"> </w:t>
      </w:r>
      <w:r>
        <w:t>et</w:t>
      </w:r>
      <w:r w:rsidRPr="00DE2178">
        <w:t xml:space="preserve"> Renate Winter.</w:t>
      </w:r>
    </w:p>
  </w:footnote>
  <w:footnote w:id="4">
    <w:p w:rsidR="002A7DFB" w:rsidRDefault="002A7DFB" w:rsidP="002A7DFB">
      <w:pPr>
        <w:pStyle w:val="Notedebasdepage"/>
      </w:pPr>
      <w:r>
        <w:tab/>
      </w:r>
      <w:r w:rsidRPr="00731C97">
        <w:rPr>
          <w:rStyle w:val="Appelnotedebasdep"/>
        </w:rPr>
        <w:footnoteRef/>
      </w:r>
      <w:r>
        <w:tab/>
        <w:t>L</w:t>
      </w:r>
      <w:r w:rsidR="00B56E83">
        <w:t>’</w:t>
      </w:r>
      <w:r>
        <w:t>auteur indique qu</w:t>
      </w:r>
      <w:r w:rsidR="00B56E83">
        <w:t>’</w:t>
      </w:r>
      <w:r>
        <w:t>il n</w:t>
      </w:r>
      <w:r w:rsidR="00B56E83">
        <w:t>’</w:t>
      </w:r>
      <w:r>
        <w:t>avait pas la nationalité allemande au moment des faits.</w:t>
      </w:r>
    </w:p>
  </w:footnote>
  <w:footnote w:id="5">
    <w:p w:rsidR="002A7DFB" w:rsidRDefault="002A7DFB" w:rsidP="002A7DFB">
      <w:pPr>
        <w:pStyle w:val="Notedebasdepage"/>
      </w:pPr>
      <w:r>
        <w:tab/>
      </w:r>
      <w:r w:rsidRPr="00731C97">
        <w:rPr>
          <w:rStyle w:val="Appelnotedebasdep"/>
        </w:rPr>
        <w:footnoteRef/>
      </w:r>
      <w:r>
        <w:tab/>
        <w:t>La loi</w:t>
      </w:r>
      <w:r w:rsidR="00C83578">
        <w:t xml:space="preserve"> </w:t>
      </w:r>
      <w:r>
        <w:t xml:space="preserve">de la Sarre relative aux élections locales dispose que tous les citoyens </w:t>
      </w:r>
      <w:r w:rsidRPr="00217857">
        <w:t xml:space="preserve">allemands, ainsi que </w:t>
      </w:r>
      <w:r>
        <w:t xml:space="preserve">tous </w:t>
      </w:r>
      <w:r w:rsidRPr="00217857">
        <w:t>les citoyens de</w:t>
      </w:r>
      <w:r>
        <w:t xml:space="preserve">s autres </w:t>
      </w:r>
      <w:r w:rsidR="00B56E83">
        <w:t>É</w:t>
      </w:r>
      <w:r>
        <w:t>tats membres de</w:t>
      </w:r>
      <w:r w:rsidR="00C83578">
        <w:t xml:space="preserve"> </w:t>
      </w:r>
      <w:r w:rsidRPr="00217857">
        <w:t>l</w:t>
      </w:r>
      <w:r w:rsidR="00B56E83">
        <w:t>’</w:t>
      </w:r>
      <w:r w:rsidRPr="00217857">
        <w:t>Union européenne qui</w:t>
      </w:r>
      <w:r w:rsidR="00C83578">
        <w:t xml:space="preserve"> </w:t>
      </w:r>
      <w:r w:rsidRPr="00217857">
        <w:t>résid</w:t>
      </w:r>
      <w:r>
        <w:t>ent dans la commune depuis plus de trois mois et qui sont âgés d</w:t>
      </w:r>
      <w:r w:rsidR="00B56E83">
        <w:t>’</w:t>
      </w:r>
      <w:r>
        <w:t>au moins 18</w:t>
      </w:r>
      <w:r w:rsidR="00B56E83">
        <w:t> </w:t>
      </w:r>
      <w:r>
        <w:t>ans ont le droit de voter (art.</w:t>
      </w:r>
      <w:r w:rsidR="00B56E83">
        <w:t> </w:t>
      </w:r>
      <w:r>
        <w:t>13 (par.</w:t>
      </w:r>
      <w:r w:rsidR="00B56E83">
        <w:t> </w:t>
      </w:r>
      <w:r>
        <w:t xml:space="preserve">1)). </w:t>
      </w:r>
    </w:p>
  </w:footnote>
  <w:footnote w:id="6">
    <w:p w:rsidR="002A7DFB" w:rsidRDefault="002A7DFB" w:rsidP="002A7DFB">
      <w:pPr>
        <w:pStyle w:val="Notedebasdepage"/>
      </w:pPr>
      <w:r>
        <w:tab/>
      </w:r>
      <w:r w:rsidRPr="00731C97">
        <w:rPr>
          <w:rStyle w:val="Appelnotedebasdep"/>
        </w:rPr>
        <w:footnoteRef/>
      </w:r>
      <w:r>
        <w:tab/>
        <w:t>L</w:t>
      </w:r>
      <w:r w:rsidR="00B56E83">
        <w:t>’</w:t>
      </w:r>
      <w:r>
        <w:t>auteur indique que le jugement a été enregistré sous le numéro</w:t>
      </w:r>
      <w:r w:rsidR="00B56E83">
        <w:t> </w:t>
      </w:r>
      <w:r>
        <w:t>3</w:t>
      </w:r>
      <w:r w:rsidR="00B56E83">
        <w:t> </w:t>
      </w:r>
      <w:r>
        <w:t>K 921/15.</w:t>
      </w:r>
    </w:p>
  </w:footnote>
  <w:footnote w:id="7">
    <w:p w:rsidR="002A7DFB" w:rsidRDefault="002A7DFB" w:rsidP="002A7DFB">
      <w:pPr>
        <w:pStyle w:val="Notedebasdepage"/>
      </w:pPr>
      <w:r>
        <w:tab/>
      </w:r>
      <w:r w:rsidRPr="00731C97">
        <w:rPr>
          <w:rStyle w:val="Appelnotedebasdep"/>
        </w:rPr>
        <w:footnoteRef/>
      </w:r>
      <w:r>
        <w:tab/>
        <w:t>L</w:t>
      </w:r>
      <w:r w:rsidR="00B56E83">
        <w:t>’</w:t>
      </w:r>
      <w:r>
        <w:t>auteur indique que son recours était fondé</w:t>
      </w:r>
      <w:r w:rsidR="00C83578">
        <w:t xml:space="preserve"> </w:t>
      </w:r>
      <w:r>
        <w:t>sur l</w:t>
      </w:r>
      <w:r w:rsidR="00B56E83">
        <w:t>’</w:t>
      </w:r>
      <w:r>
        <w:t>article</w:t>
      </w:r>
      <w:r w:rsidR="00B56E83">
        <w:t> </w:t>
      </w:r>
      <w:r>
        <w:t>124 (par.</w:t>
      </w:r>
      <w:r w:rsidR="00B56E83">
        <w:t> </w:t>
      </w:r>
      <w:r>
        <w:t>2) du Code du Tribunal administratif, qui dispose qu</w:t>
      </w:r>
      <w:r w:rsidR="00B56E83">
        <w:t>’</w:t>
      </w:r>
      <w:r>
        <w:t>un recours concernant des points de fait et de droit peut être recevable</w:t>
      </w:r>
      <w:r w:rsidR="00B56E83">
        <w:t xml:space="preserve"> </w:t>
      </w:r>
      <w:r>
        <w:t>lorsqu</w:t>
      </w:r>
      <w:r w:rsidR="00B56E83">
        <w:t>’</w:t>
      </w:r>
      <w:r>
        <w:t>il existe des doutes sérieux quant au bien-fondé du jugement, si l</w:t>
      </w:r>
      <w:r w:rsidR="00B56E83">
        <w:t>’</w:t>
      </w:r>
      <w:r>
        <w:t>affaire revêt une importance fondamentale, et l</w:t>
      </w:r>
      <w:r w:rsidRPr="002D2F51">
        <w:t>orsqu</w:t>
      </w:r>
      <w:r w:rsidR="00B56E83">
        <w:t>’</w:t>
      </w:r>
      <w:r w:rsidRPr="002D2F51">
        <w:t>un vice de procédure soumis à l</w:t>
      </w:r>
      <w:r w:rsidR="00B56E83">
        <w:t>’</w:t>
      </w:r>
      <w:r w:rsidRPr="002D2F51">
        <w:t>appréciat</w:t>
      </w:r>
      <w:r>
        <w:t>i</w:t>
      </w:r>
      <w:r w:rsidRPr="002D2F51">
        <w:t>on de la juridiction d</w:t>
      </w:r>
      <w:r w:rsidR="00B56E83">
        <w:t>’</w:t>
      </w:r>
      <w:r w:rsidRPr="002D2F51">
        <w:t>appel et sur lequel la décision est su</w:t>
      </w:r>
      <w:r>
        <w:t>s</w:t>
      </w:r>
      <w:r w:rsidRPr="002D2F51">
        <w:t>ceptible de se fonder est invoqué et avéré.</w:t>
      </w:r>
      <w:r>
        <w:t> </w:t>
      </w:r>
    </w:p>
  </w:footnote>
  <w:footnote w:id="8">
    <w:p w:rsidR="002A7DFB" w:rsidRDefault="002A7DFB" w:rsidP="002A7DFB">
      <w:pPr>
        <w:pStyle w:val="Notedebasdepage"/>
      </w:pPr>
      <w:r>
        <w:tab/>
      </w:r>
      <w:r w:rsidRPr="00731C97">
        <w:rPr>
          <w:rStyle w:val="Appelnotedebasdep"/>
        </w:rPr>
        <w:footnoteRef/>
      </w:r>
      <w:r>
        <w:tab/>
        <w:t>L</w:t>
      </w:r>
      <w:r w:rsidR="00B56E83">
        <w:t>’</w:t>
      </w:r>
      <w:r>
        <w:t>auteur indique que le jugement est enregistré sous le numéro</w:t>
      </w:r>
      <w:r w:rsidR="00B56E83">
        <w:t> </w:t>
      </w:r>
      <w:r>
        <w:t>2</w:t>
      </w:r>
      <w:r w:rsidR="00B56E83">
        <w:t> </w:t>
      </w:r>
      <w:r>
        <w:t>A 433/16. Le raisonnement suivi par la Haute Cour administrative de la Sarre pour motiver le rejet de sa demande n</w:t>
      </w:r>
      <w:r w:rsidR="00B56E83">
        <w:t>’</w:t>
      </w:r>
      <w:r>
        <w:t>a pas été communiqué à l</w:t>
      </w:r>
      <w:r w:rsidR="00B56E83">
        <w:t>’</w:t>
      </w:r>
      <w:r>
        <w:t>auteur.</w:t>
      </w:r>
    </w:p>
  </w:footnote>
  <w:footnote w:id="9">
    <w:p w:rsidR="002A7DFB" w:rsidRDefault="002A7DFB" w:rsidP="002A7DFB">
      <w:pPr>
        <w:pStyle w:val="Notedebasdepage"/>
      </w:pPr>
      <w:r>
        <w:tab/>
      </w:r>
      <w:r w:rsidRPr="00731C97">
        <w:rPr>
          <w:rStyle w:val="Appelnotedebasdep"/>
        </w:rPr>
        <w:footnoteRef/>
      </w:r>
      <w:r>
        <w:tab/>
        <w:t>L</w:t>
      </w:r>
      <w:r w:rsidR="00B56E83">
        <w:t>’</w:t>
      </w:r>
      <w:r>
        <w:t>État partie a ratifié la Convention relative aux droits des personnes handicapées le 24</w:t>
      </w:r>
      <w:r w:rsidR="00B56E83">
        <w:t> </w:t>
      </w:r>
      <w:r>
        <w:t>février 2009. L</w:t>
      </w:r>
      <w:r w:rsidR="00B56E83">
        <w:t>’</w:t>
      </w:r>
      <w:r>
        <w:t>auteur affirme que le Tribunal administratif n</w:t>
      </w:r>
      <w:r w:rsidR="00B56E83">
        <w:t>’</w:t>
      </w:r>
      <w:r>
        <w:t>a pas pris en considération la jurisprudence de la Cour de justice de l</w:t>
      </w:r>
      <w:r w:rsidR="00B56E83">
        <w:t>’</w:t>
      </w:r>
      <w:r>
        <w:t>Union européenne, à laquelle l</w:t>
      </w:r>
      <w:r w:rsidR="00B56E83">
        <w:t>’</w:t>
      </w:r>
      <w:r>
        <w:t>auteur lui avait suggéré de soumettre l</w:t>
      </w:r>
      <w:r w:rsidR="00B56E83">
        <w:t>’</w:t>
      </w:r>
      <w:r>
        <w:t>affaire, ce que le Tribunal a refusé</w:t>
      </w:r>
      <w:r w:rsidRPr="00AB6C60">
        <w:t xml:space="preserve"> </w:t>
      </w:r>
      <w:r>
        <w:t>au motif que la Cour de justice de l</w:t>
      </w:r>
      <w:r w:rsidR="00B56E83">
        <w:t>’</w:t>
      </w:r>
      <w:r>
        <w:t>Union européenne n</w:t>
      </w:r>
      <w:r w:rsidR="00B56E83">
        <w:t>’</w:t>
      </w:r>
      <w:r>
        <w:t xml:space="preserve">est </w:t>
      </w:r>
      <w:r w:rsidRPr="00AB6C60">
        <w:t>pas une juridiction de dernière instance.</w:t>
      </w:r>
    </w:p>
  </w:footnote>
  <w:footnote w:id="10">
    <w:p w:rsidR="002A7DFB" w:rsidRDefault="002A7DFB" w:rsidP="002A7DFB">
      <w:pPr>
        <w:pStyle w:val="Notedebasdepage"/>
      </w:pPr>
      <w:r>
        <w:tab/>
      </w:r>
      <w:r w:rsidRPr="00731C97">
        <w:rPr>
          <w:rStyle w:val="Appelnotedebasdep"/>
        </w:rPr>
        <w:footnoteRef/>
      </w:r>
      <w:r>
        <w:tab/>
        <w:t>L</w:t>
      </w:r>
      <w:r w:rsidR="00B56E83">
        <w:t>’</w:t>
      </w:r>
      <w:r>
        <w:t>auteur insiste sur le fait que la privation du droit de vote constitue une violation de la dignité humaine et fait que les intérêts politiques et économiques des enfants qui ne jouissent pas de ce droit sont subordonnés aux intérêts des citoyens qui ont le droit de voter.</w:t>
      </w:r>
    </w:p>
  </w:footnote>
  <w:footnote w:id="11">
    <w:p w:rsidR="002A7DFB" w:rsidRDefault="002A7DFB" w:rsidP="002A7DFB">
      <w:pPr>
        <w:pStyle w:val="Notedebasdepage"/>
      </w:pPr>
      <w:r>
        <w:tab/>
      </w:r>
      <w:r w:rsidRPr="00731C97">
        <w:rPr>
          <w:rStyle w:val="Appelnotedebasdep"/>
        </w:rPr>
        <w:footnoteRef/>
      </w:r>
      <w:r>
        <w:tab/>
        <w:t>L</w:t>
      </w:r>
      <w:r w:rsidR="00B56E83">
        <w:t>’</w:t>
      </w:r>
      <w:r>
        <w:t>auteur affirme que la situation est aussi contraire aux articles 21, 24 (par. 1) et 40 de la Charte des droits fondamentaux de l</w:t>
      </w:r>
      <w:r w:rsidR="00B56E83">
        <w:t>’</w:t>
      </w:r>
      <w:r>
        <w:t>Union européenne, ainsi qu</w:t>
      </w:r>
      <w:r w:rsidR="00B56E83">
        <w:t>’</w:t>
      </w:r>
      <w:r>
        <w:t>à l</w:t>
      </w:r>
      <w:r w:rsidR="00B56E83">
        <w:t>’</w:t>
      </w:r>
      <w:r>
        <w:t>article 12 de la Convention de l</w:t>
      </w:r>
      <w:r w:rsidR="00B56E83">
        <w:t>’</w:t>
      </w:r>
      <w:r>
        <w:t>Union européenne sur l</w:t>
      </w:r>
      <w:r w:rsidR="00B56E83">
        <w:t>’</w:t>
      </w:r>
      <w:r>
        <w:t>exercice des droits de l</w:t>
      </w:r>
      <w:r w:rsidR="00B56E83">
        <w:t>’</w:t>
      </w:r>
      <w:r>
        <w:t>enfant.</w:t>
      </w:r>
    </w:p>
  </w:footnote>
  <w:footnote w:id="12">
    <w:p w:rsidR="002A7DFB" w:rsidRDefault="002A7DFB" w:rsidP="002A7DFB">
      <w:pPr>
        <w:pStyle w:val="Notedebasdepage"/>
      </w:pPr>
      <w:r>
        <w:tab/>
      </w:r>
      <w:r w:rsidRPr="00731C97">
        <w:rPr>
          <w:rStyle w:val="Appelnotedebasdep"/>
        </w:rPr>
        <w:footnoteRef/>
      </w:r>
      <w:r>
        <w:tab/>
        <w:t>L</w:t>
      </w:r>
      <w:r w:rsidR="00B56E83">
        <w:t>’</w:t>
      </w:r>
      <w:r>
        <w:t>auteur ne donne pas de précisions sur la jurisprudence de la Cour constitutionnelle</w:t>
      </w:r>
      <w:r w:rsidRPr="0024262B">
        <w:t xml:space="preserve"> </w:t>
      </w:r>
      <w:r>
        <w:t>fédérale.</w:t>
      </w:r>
    </w:p>
  </w:footnote>
  <w:footnote w:id="13">
    <w:p w:rsidR="002A7DFB" w:rsidRDefault="002A7DFB" w:rsidP="002A7DFB">
      <w:pPr>
        <w:pStyle w:val="Notedebasdepage"/>
      </w:pPr>
      <w:r>
        <w:tab/>
      </w:r>
      <w:r w:rsidRPr="00731C97">
        <w:rPr>
          <w:rStyle w:val="Appelnotedebasdep"/>
        </w:rPr>
        <w:footnoteRef/>
      </w:r>
      <w:r>
        <w:tab/>
        <w:t xml:space="preserve">On ne comprend pas très bien </w:t>
      </w:r>
      <w:r w:rsidRPr="003F379C">
        <w:t>à quelle loi l</w:t>
      </w:r>
      <w:r w:rsidR="00B56E83">
        <w:t>’</w:t>
      </w:r>
      <w:r w:rsidRPr="003F379C">
        <w:t xml:space="preserve">auteur </w:t>
      </w:r>
      <w:r>
        <w:t xml:space="preserve">fait </w:t>
      </w:r>
      <w:r w:rsidRPr="003F379C">
        <w:t>référence</w:t>
      </w:r>
      <w:r>
        <w:t>.</w:t>
      </w:r>
    </w:p>
  </w:footnote>
  <w:footnote w:id="14">
    <w:p w:rsidR="002A7DFB" w:rsidRDefault="002A7DFB" w:rsidP="002A7DFB">
      <w:pPr>
        <w:pStyle w:val="Notedebasdepage"/>
      </w:pPr>
      <w:r>
        <w:tab/>
      </w:r>
      <w:r w:rsidRPr="00731C97">
        <w:rPr>
          <w:rStyle w:val="Appelnotedebasdep"/>
        </w:rPr>
        <w:footnoteRef/>
      </w:r>
      <w:r>
        <w:tab/>
        <w:t>Voir la Constitution de la Sarre (</w:t>
      </w:r>
      <w:hyperlink r:id="rId1" w:history="1">
        <w:r w:rsidRPr="008519E4">
          <w:rPr>
            <w:rStyle w:val="Lienhypertextesuivivisit"/>
          </w:rPr>
          <w:t>www.bijus.eu/?p=10314</w:t>
        </w:r>
      </w:hyperlink>
      <w:r>
        <w:t>).</w:t>
      </w:r>
    </w:p>
  </w:footnote>
  <w:footnote w:id="15">
    <w:p w:rsidR="002A7DFB" w:rsidRDefault="002A7DFB" w:rsidP="002A7DFB">
      <w:pPr>
        <w:pStyle w:val="Notedebasdepage"/>
      </w:pPr>
      <w:r>
        <w:tab/>
      </w:r>
      <w:r w:rsidRPr="00731C97">
        <w:rPr>
          <w:rStyle w:val="Appelnotedebasdep"/>
        </w:rPr>
        <w:footnoteRef/>
      </w:r>
      <w:r>
        <w:tab/>
        <w:t>Dans sa lettre, l</w:t>
      </w:r>
      <w:r w:rsidR="00B56E83">
        <w:t>’</w:t>
      </w:r>
      <w:r>
        <w:t>auteur renvoie expressément à l</w:t>
      </w:r>
      <w:r w:rsidR="00B56E83">
        <w:t>’</w:t>
      </w:r>
      <w:r>
        <w:t>article 16 de la Loi fondamentale de l</w:t>
      </w:r>
      <w:r w:rsidR="00B56E83">
        <w:t>’</w:t>
      </w:r>
      <w:r>
        <w:t>Allemagne qui, toutefois,</w:t>
      </w:r>
      <w:r w:rsidR="00C83578">
        <w:t xml:space="preserve"> </w:t>
      </w:r>
      <w:r>
        <w:t>ne semble pas correspondre au contexte. L</w:t>
      </w:r>
      <w:r w:rsidR="00B56E83">
        <w:t>’</w:t>
      </w:r>
      <w:r>
        <w:t>auteur a été</w:t>
      </w:r>
      <w:r w:rsidR="00C83578">
        <w:t xml:space="preserve"> </w:t>
      </w:r>
      <w:r>
        <w:t>invité à indiquer à quel article de la Loi fondamentale et à quelle jurisprudence il se réf</w:t>
      </w:r>
      <w:r w:rsidR="008519E4">
        <w:t>é</w:t>
      </w:r>
      <w:r>
        <w:t>rait dans le présent</w:t>
      </w:r>
      <w:r w:rsidR="00C83578">
        <w:t xml:space="preserve"> </w:t>
      </w:r>
      <w:r>
        <w:t>contexte.</w:t>
      </w:r>
    </w:p>
  </w:footnote>
  <w:footnote w:id="16">
    <w:p w:rsidR="002A7DFB" w:rsidRDefault="002A7DFB" w:rsidP="002A7DFB">
      <w:pPr>
        <w:pStyle w:val="Notedebasdepage"/>
      </w:pPr>
      <w:r>
        <w:tab/>
      </w:r>
      <w:r w:rsidRPr="00731C97">
        <w:rPr>
          <w:rStyle w:val="Appelnotedebasdep"/>
        </w:rPr>
        <w:footnoteRef/>
      </w:r>
      <w:r>
        <w:tab/>
        <w:t>Voir par exemple,</w:t>
      </w:r>
      <w:r w:rsidR="00C83578">
        <w:t xml:space="preserve"> </w:t>
      </w:r>
      <w:r>
        <w:t>Comité des droits de l</w:t>
      </w:r>
      <w:r w:rsidR="00B56E83">
        <w:t>’</w:t>
      </w:r>
      <w:r>
        <w:t>homme,</w:t>
      </w:r>
      <w:r w:rsidR="00C83578">
        <w:t xml:space="preserve"> </w:t>
      </w:r>
      <w:r w:rsidRPr="00943936">
        <w:rPr>
          <w:i/>
          <w:iCs/>
        </w:rPr>
        <w:t xml:space="preserve">Pratt </w:t>
      </w:r>
      <w:r>
        <w:rPr>
          <w:i/>
          <w:iCs/>
        </w:rPr>
        <w:t>et</w:t>
      </w:r>
      <w:r w:rsidRPr="00943936">
        <w:rPr>
          <w:i/>
          <w:iCs/>
        </w:rPr>
        <w:t xml:space="preserve"> Morgan </w:t>
      </w:r>
      <w:r>
        <w:rPr>
          <w:i/>
          <w:iCs/>
        </w:rPr>
        <w:t>c</w:t>
      </w:r>
      <w:r w:rsidRPr="00943936">
        <w:rPr>
          <w:i/>
          <w:iCs/>
        </w:rPr>
        <w:t>. Jama</w:t>
      </w:r>
      <w:r>
        <w:rPr>
          <w:i/>
          <w:iCs/>
        </w:rPr>
        <w:t xml:space="preserve">ïque, </w:t>
      </w:r>
      <w:r w:rsidRPr="00731C97">
        <w:rPr>
          <w:iCs/>
        </w:rPr>
        <w:t>communication n</w:t>
      </w:r>
      <w:r w:rsidRPr="00731C97">
        <w:rPr>
          <w:iCs/>
          <w:vertAlign w:val="superscript"/>
        </w:rPr>
        <w:t>o</w:t>
      </w:r>
      <w:r w:rsidRPr="00731C97">
        <w:rPr>
          <w:i/>
          <w:iCs/>
          <w:vertAlign w:val="superscript"/>
        </w:rPr>
        <w:t xml:space="preserve"> </w:t>
      </w:r>
      <w:r w:rsidRPr="00943936">
        <w:t>225/1987, par.</w:t>
      </w:r>
      <w:r>
        <w:t> </w:t>
      </w:r>
      <w:r w:rsidRPr="00943936">
        <w:t>12.3</w:t>
      </w:r>
      <w:r>
        <w:t xml:space="preserve"> à </w:t>
      </w:r>
      <w:r w:rsidRPr="00943936">
        <w:t>12.5</w:t>
      </w:r>
      <w:r>
        <w:t> </w:t>
      </w:r>
      <w:r w:rsidRPr="00943936">
        <w:t xml:space="preserve">; </w:t>
      </w:r>
      <w:proofErr w:type="spellStart"/>
      <w:r w:rsidRPr="00943936">
        <w:rPr>
          <w:i/>
          <w:iCs/>
        </w:rPr>
        <w:t>Barzhig</w:t>
      </w:r>
      <w:proofErr w:type="spellEnd"/>
      <w:r w:rsidRPr="00943936">
        <w:rPr>
          <w:i/>
          <w:iCs/>
        </w:rPr>
        <w:t xml:space="preserve"> </w:t>
      </w:r>
      <w:r>
        <w:rPr>
          <w:i/>
          <w:iCs/>
        </w:rPr>
        <w:t>c</w:t>
      </w:r>
      <w:r w:rsidRPr="00943936">
        <w:rPr>
          <w:i/>
          <w:iCs/>
        </w:rPr>
        <w:t>. France</w:t>
      </w:r>
      <w:r w:rsidRPr="00731C97">
        <w:rPr>
          <w:iCs/>
        </w:rPr>
        <w:t>, communication n</w:t>
      </w:r>
      <w:r w:rsidRPr="00731C97">
        <w:rPr>
          <w:iCs/>
          <w:vertAlign w:val="superscript"/>
        </w:rPr>
        <w:t>o</w:t>
      </w:r>
      <w:r w:rsidRPr="00943936">
        <w:t xml:space="preserve"> </w:t>
      </w:r>
      <w:r w:rsidRPr="00943936">
        <w:rPr>
          <w:color w:val="000000"/>
        </w:rPr>
        <w:t>327/1988, par.</w:t>
      </w:r>
      <w:r>
        <w:rPr>
          <w:color w:val="000000"/>
        </w:rPr>
        <w:t> </w:t>
      </w:r>
      <w:r w:rsidRPr="00943936">
        <w:rPr>
          <w:color w:val="000000"/>
        </w:rPr>
        <w:t>5.1</w:t>
      </w:r>
      <w:r>
        <w:rPr>
          <w:color w:val="000000"/>
        </w:rPr>
        <w:t xml:space="preserve">; et </w:t>
      </w:r>
      <w:r w:rsidRPr="00943936">
        <w:rPr>
          <w:i/>
          <w:iCs/>
        </w:rPr>
        <w:t xml:space="preserve">Young </w:t>
      </w:r>
      <w:r>
        <w:rPr>
          <w:i/>
          <w:iCs/>
        </w:rPr>
        <w:t>c</w:t>
      </w:r>
      <w:r w:rsidRPr="00943936">
        <w:rPr>
          <w:i/>
          <w:iCs/>
        </w:rPr>
        <w:t>. Australi</w:t>
      </w:r>
      <w:r>
        <w:rPr>
          <w:i/>
          <w:iCs/>
        </w:rPr>
        <w:t xml:space="preserve">e </w:t>
      </w:r>
      <w:r w:rsidRPr="00943936">
        <w:t>(CCPR/C/78/D/941/2000), par. 9.4</w:t>
      </w:r>
      <w:r>
        <w:rPr>
          <w:i/>
          <w:iCs/>
        </w:rPr>
        <w:t xml:space="preserve"> </w:t>
      </w:r>
      <w:r w:rsidRPr="00943936">
        <w:rPr>
          <w:color w:val="000000"/>
        </w:rPr>
        <w:t>.</w:t>
      </w:r>
    </w:p>
  </w:footnote>
  <w:footnote w:id="17">
    <w:p w:rsidR="002A7DFB" w:rsidRDefault="002A7DFB" w:rsidP="002A7DFB">
      <w:pPr>
        <w:pStyle w:val="Notedebasdepage"/>
      </w:pPr>
      <w:r>
        <w:tab/>
      </w:r>
      <w:r w:rsidRPr="00731C97">
        <w:rPr>
          <w:rStyle w:val="Appelnotedebasdep"/>
        </w:rPr>
        <w:footnoteRef/>
      </w:r>
      <w:r>
        <w:tab/>
      </w:r>
      <w:r w:rsidRPr="00624BF5">
        <w:t>Voir, par exemple,</w:t>
      </w:r>
      <w:r w:rsidR="00C83578">
        <w:t xml:space="preserve"> </w:t>
      </w:r>
      <w:r w:rsidRPr="00624BF5">
        <w:t>Comité des droits de l</w:t>
      </w:r>
      <w:r w:rsidR="00B56E83">
        <w:t>’</w:t>
      </w:r>
      <w:r w:rsidRPr="00624BF5">
        <w:t xml:space="preserve">homme, </w:t>
      </w:r>
      <w:r w:rsidRPr="00624BF5">
        <w:rPr>
          <w:i/>
          <w:iCs/>
        </w:rPr>
        <w:t>R.</w:t>
      </w:r>
      <w:r>
        <w:rPr>
          <w:i/>
          <w:iCs/>
        </w:rPr>
        <w:t> </w:t>
      </w:r>
      <w:r w:rsidRPr="00624BF5">
        <w:rPr>
          <w:i/>
          <w:iCs/>
        </w:rPr>
        <w:t>T. c. France</w:t>
      </w:r>
      <w:r>
        <w:rPr>
          <w:i/>
          <w:iCs/>
        </w:rPr>
        <w:t xml:space="preserve">, </w:t>
      </w:r>
      <w:r w:rsidRPr="00731C97">
        <w:rPr>
          <w:iCs/>
        </w:rPr>
        <w:t>communication n</w:t>
      </w:r>
      <w:r w:rsidRPr="00731C97">
        <w:rPr>
          <w:iCs/>
          <w:vertAlign w:val="superscript"/>
        </w:rPr>
        <w:t>o</w:t>
      </w:r>
      <w:r w:rsidRPr="00731C97">
        <w:rPr>
          <w:iCs/>
        </w:rPr>
        <w:t xml:space="preserve"> </w:t>
      </w:r>
      <w:r w:rsidRPr="00624BF5">
        <w:t>262/1987, par.</w:t>
      </w:r>
      <w:r>
        <w:t> </w:t>
      </w:r>
      <w:r w:rsidRPr="00624BF5">
        <w:t>7.4</w:t>
      </w:r>
      <w:r>
        <w:t> </w:t>
      </w:r>
      <w:r w:rsidRPr="00624BF5">
        <w:t xml:space="preserve">; </w:t>
      </w:r>
      <w:r>
        <w:t xml:space="preserve">et </w:t>
      </w:r>
      <w:r w:rsidRPr="00624BF5">
        <w:rPr>
          <w:i/>
          <w:iCs/>
        </w:rPr>
        <w:t>S.</w:t>
      </w:r>
      <w:r>
        <w:rPr>
          <w:i/>
          <w:iCs/>
        </w:rPr>
        <w:t> </w:t>
      </w:r>
      <w:r w:rsidRPr="00624BF5">
        <w:rPr>
          <w:i/>
          <w:iCs/>
        </w:rPr>
        <w:t xml:space="preserve">S. </w:t>
      </w:r>
      <w:r>
        <w:rPr>
          <w:i/>
          <w:iCs/>
        </w:rPr>
        <w:t>c</w:t>
      </w:r>
      <w:r w:rsidRPr="00624BF5">
        <w:rPr>
          <w:i/>
          <w:iCs/>
        </w:rPr>
        <w:t>. Nor</w:t>
      </w:r>
      <w:r>
        <w:rPr>
          <w:i/>
          <w:iCs/>
        </w:rPr>
        <w:t xml:space="preserve">vège, </w:t>
      </w:r>
      <w:r w:rsidRPr="00B15F97">
        <w:rPr>
          <w:iCs/>
        </w:rPr>
        <w:t>communication n</w:t>
      </w:r>
      <w:r w:rsidRPr="00B15F97">
        <w:rPr>
          <w:iCs/>
          <w:vertAlign w:val="superscript"/>
        </w:rPr>
        <w:t>o</w:t>
      </w:r>
      <w:r w:rsidRPr="00624BF5">
        <w:rPr>
          <w:i/>
          <w:iCs/>
        </w:rPr>
        <w:t xml:space="preserve"> </w:t>
      </w:r>
      <w:r w:rsidRPr="008F7760">
        <w:rPr>
          <w:iCs/>
        </w:rPr>
        <w:t>79/1980</w:t>
      </w:r>
      <w:r w:rsidRPr="008F7760">
        <w:t>,</w:t>
      </w:r>
      <w:r w:rsidRPr="00624BF5">
        <w:t xml:space="preserve"> par.</w:t>
      </w:r>
      <w:r>
        <w:t> </w:t>
      </w:r>
      <w:r w:rsidRPr="00624BF5">
        <w:t xml:space="preserve">6.2. </w:t>
      </w:r>
      <w:r>
        <w:t>Voir aussi</w:t>
      </w:r>
      <w:r w:rsidRPr="00624BF5">
        <w:rPr>
          <w:i/>
          <w:iCs/>
        </w:rPr>
        <w:t xml:space="preserve"> </w:t>
      </w:r>
      <w:proofErr w:type="spellStart"/>
      <w:r w:rsidRPr="00624BF5">
        <w:rPr>
          <w:i/>
          <w:iCs/>
        </w:rPr>
        <w:t>Sadic</w:t>
      </w:r>
      <w:proofErr w:type="spellEnd"/>
      <w:r w:rsidRPr="00624BF5">
        <w:rPr>
          <w:i/>
          <w:iCs/>
        </w:rPr>
        <w:t xml:space="preserve"> </w:t>
      </w:r>
      <w:r>
        <w:rPr>
          <w:i/>
          <w:iCs/>
        </w:rPr>
        <w:t>c</w:t>
      </w:r>
      <w:r w:rsidRPr="00624BF5">
        <w:rPr>
          <w:i/>
          <w:iCs/>
        </w:rPr>
        <w:t>. D</w:t>
      </w:r>
      <w:r>
        <w:rPr>
          <w:i/>
          <w:iCs/>
        </w:rPr>
        <w:t>a</w:t>
      </w:r>
      <w:r w:rsidRPr="00624BF5">
        <w:rPr>
          <w:i/>
          <w:iCs/>
        </w:rPr>
        <w:t>n</w:t>
      </w:r>
      <w:r>
        <w:rPr>
          <w:i/>
          <w:iCs/>
        </w:rPr>
        <w:t>e</w:t>
      </w:r>
      <w:r w:rsidRPr="00624BF5">
        <w:rPr>
          <w:i/>
          <w:iCs/>
        </w:rPr>
        <w:t>mark</w:t>
      </w:r>
      <w:r>
        <w:rPr>
          <w:i/>
          <w:iCs/>
        </w:rPr>
        <w:t xml:space="preserve"> </w:t>
      </w:r>
      <w:r>
        <w:t>(</w:t>
      </w:r>
      <w:r w:rsidRPr="009B3478">
        <w:t>CERD/C/62/D/25/2002</w:t>
      </w:r>
      <w:r>
        <w:t>)</w:t>
      </w:r>
      <w:r w:rsidRPr="00624BF5">
        <w:t>, par.</w:t>
      </w:r>
      <w:r>
        <w:t> </w:t>
      </w:r>
      <w:r w:rsidRPr="00583FB9">
        <w:t>6.</w:t>
      </w:r>
      <w: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7C" w:rsidRPr="009D167C" w:rsidRDefault="005539EE">
    <w:pPr>
      <w:pStyle w:val="En-tte"/>
    </w:pPr>
    <w:r>
      <w:fldChar w:fldCharType="begin"/>
    </w:r>
    <w:r>
      <w:instrText xml:space="preserve"> TITLE  \* MERGEFORMAT </w:instrText>
    </w:r>
    <w:r>
      <w:fldChar w:fldCharType="separate"/>
    </w:r>
    <w:r w:rsidR="009D167C">
      <w:t>CRC/C/83/D/60/2018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7C" w:rsidRPr="009D167C" w:rsidRDefault="005539EE" w:rsidP="009D167C">
    <w:pPr>
      <w:pStyle w:val="En-tte"/>
      <w:jc w:val="right"/>
    </w:pPr>
    <w:r>
      <w:fldChar w:fldCharType="begin"/>
    </w:r>
    <w:r>
      <w:instrText xml:space="preserve"> TITLE  \* MERGEFORMAT </w:instrText>
    </w:r>
    <w:r>
      <w:fldChar w:fldCharType="separate"/>
    </w:r>
    <w:r w:rsidR="009D167C">
      <w:t>CRC/C/83/D/60/2018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55D0"/>
    <w:rsid w:val="00017F94"/>
    <w:rsid w:val="00023842"/>
    <w:rsid w:val="000334F9"/>
    <w:rsid w:val="000354E9"/>
    <w:rsid w:val="0007796D"/>
    <w:rsid w:val="000B7790"/>
    <w:rsid w:val="00111F2F"/>
    <w:rsid w:val="0014365E"/>
    <w:rsid w:val="001666D0"/>
    <w:rsid w:val="00176178"/>
    <w:rsid w:val="001F525A"/>
    <w:rsid w:val="00223272"/>
    <w:rsid w:val="0024779E"/>
    <w:rsid w:val="002A7DFB"/>
    <w:rsid w:val="002D14A3"/>
    <w:rsid w:val="00311E81"/>
    <w:rsid w:val="00340ED0"/>
    <w:rsid w:val="0038238B"/>
    <w:rsid w:val="00446FE5"/>
    <w:rsid w:val="00452396"/>
    <w:rsid w:val="00485B35"/>
    <w:rsid w:val="004D7A2C"/>
    <w:rsid w:val="005505B7"/>
    <w:rsid w:val="00573BE5"/>
    <w:rsid w:val="00586ED3"/>
    <w:rsid w:val="00596AA9"/>
    <w:rsid w:val="0071601D"/>
    <w:rsid w:val="007341B7"/>
    <w:rsid w:val="00760CBC"/>
    <w:rsid w:val="007A62E6"/>
    <w:rsid w:val="0080684C"/>
    <w:rsid w:val="00840413"/>
    <w:rsid w:val="008519E4"/>
    <w:rsid w:val="00871C75"/>
    <w:rsid w:val="008776DC"/>
    <w:rsid w:val="008C54BD"/>
    <w:rsid w:val="008F3CA0"/>
    <w:rsid w:val="009705C8"/>
    <w:rsid w:val="009D167C"/>
    <w:rsid w:val="00A30353"/>
    <w:rsid w:val="00AC3823"/>
    <w:rsid w:val="00AE323C"/>
    <w:rsid w:val="00B00181"/>
    <w:rsid w:val="00B24A9B"/>
    <w:rsid w:val="00B56E83"/>
    <w:rsid w:val="00B765F7"/>
    <w:rsid w:val="00BA0CA9"/>
    <w:rsid w:val="00C02897"/>
    <w:rsid w:val="00C83578"/>
    <w:rsid w:val="00CE79C5"/>
    <w:rsid w:val="00D3439C"/>
    <w:rsid w:val="00D955D0"/>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C1A0E"/>
  <w15:docId w15:val="{F9A41AFA-3EE3-4C58-BAC4-F3364930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2A7DF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ijus.eu/?p=103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2016</Words>
  <Characters>11093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CRC/C/83/D/60/2018</vt:lpstr>
    </vt:vector>
  </TitlesOfParts>
  <Company>DCM</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CRC/C/83/D/60/2018</dc:title>
  <dc:subject/>
  <dc:creator>Nathalie VITTOZ</dc:creator>
  <cp:keywords/>
  <cp:lastModifiedBy>Nathalie Vittoz</cp:lastModifiedBy>
  <cp:revision>2</cp:revision>
  <cp:lastPrinted>2014-05-14T10:59:00Z</cp:lastPrinted>
  <dcterms:created xsi:type="dcterms:W3CDTF">2020-10-30T07:39:00Z</dcterms:created>
  <dcterms:modified xsi:type="dcterms:W3CDTF">2020-10-30T07:39:00Z</dcterms:modified>
</cp:coreProperties>
</file>