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0B7434" w:rsidP="000B7434">
            <w:pPr>
              <w:bidi w:val="0"/>
              <w:spacing w:after="20"/>
              <w:jc w:val="left"/>
              <w:rPr>
                <w:szCs w:val="20"/>
              </w:rPr>
            </w:pPr>
            <w:r w:rsidRPr="000B7434">
              <w:rPr>
                <w:sz w:val="40"/>
                <w:szCs w:val="20"/>
              </w:rPr>
              <w:t>CEDAW</w:t>
            </w:r>
            <w:r>
              <w:rPr>
                <w:szCs w:val="20"/>
              </w:rPr>
              <w:t>/C/NPL/4-5</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0B7434" w:rsidRDefault="000B7434" w:rsidP="000B7434">
            <w:pPr>
              <w:bidi w:val="0"/>
              <w:spacing w:before="240"/>
              <w:jc w:val="left"/>
            </w:pPr>
            <w:r>
              <w:t>Distr.: General</w:t>
            </w:r>
          </w:p>
          <w:p w:rsidR="000B7434" w:rsidRDefault="000B7434" w:rsidP="000B7434">
            <w:pPr>
              <w:bidi w:val="0"/>
              <w:jc w:val="left"/>
            </w:pPr>
            <w:r>
              <w:t>9 November 2011</w:t>
            </w:r>
          </w:p>
          <w:p w:rsidR="000B7434" w:rsidRDefault="000B7434" w:rsidP="000B7434">
            <w:pPr>
              <w:bidi w:val="0"/>
              <w:jc w:val="left"/>
            </w:pPr>
            <w:r>
              <w:t>Arabic</w:t>
            </w:r>
          </w:p>
          <w:p w:rsidR="00257225" w:rsidRPr="008B4BC6" w:rsidRDefault="000B7434" w:rsidP="000B7434">
            <w:pPr>
              <w:bidi w:val="0"/>
              <w:jc w:val="left"/>
            </w:pPr>
            <w:r>
              <w:t>Original: English</w:t>
            </w:r>
          </w:p>
        </w:tc>
      </w:tr>
    </w:tbl>
    <w:p w:rsidR="000B7434" w:rsidRPr="000B7434" w:rsidRDefault="000B7434" w:rsidP="008B03DA">
      <w:pPr>
        <w:spacing w:before="120" w:after="720" w:line="380" w:lineRule="exact"/>
        <w:rPr>
          <w:rFonts w:hint="cs"/>
          <w:b/>
          <w:bCs/>
          <w:sz w:val="26"/>
          <w:szCs w:val="36"/>
          <w:rtl/>
          <w:lang w:bidi="ar-EG"/>
        </w:rPr>
      </w:pPr>
      <w:r w:rsidRPr="000B7434">
        <w:rPr>
          <w:rFonts w:hint="cs"/>
          <w:b/>
          <w:bCs/>
          <w:sz w:val="26"/>
          <w:szCs w:val="36"/>
          <w:rtl/>
          <w:lang w:bidi="ar-EG"/>
        </w:rPr>
        <w:t>اللجنة المعني</w:t>
      </w:r>
      <w:r>
        <w:rPr>
          <w:rFonts w:hint="cs"/>
          <w:b/>
          <w:bCs/>
          <w:sz w:val="26"/>
          <w:szCs w:val="36"/>
          <w:rtl/>
          <w:lang w:bidi="ar-EG"/>
        </w:rPr>
        <w:t>ة بالقضاء على التمييز ضد المرأة</w:t>
      </w:r>
    </w:p>
    <w:p w:rsidR="000B7434" w:rsidRPr="000B7434" w:rsidRDefault="000B7434" w:rsidP="000B7434">
      <w:pPr>
        <w:pStyle w:val="HMGA"/>
        <w:rPr>
          <w:rFonts w:hint="cs"/>
          <w:spacing w:val="-2"/>
          <w:sz w:val="28"/>
          <w:rtl/>
          <w:lang w:bidi="ar-EG"/>
        </w:rPr>
      </w:pPr>
      <w:r w:rsidRPr="000B7434">
        <w:rPr>
          <w:rFonts w:hint="cs"/>
          <w:spacing w:val="-2"/>
          <w:rtl/>
          <w:lang w:bidi="ar-EG"/>
        </w:rPr>
        <w:tab/>
      </w:r>
      <w:r w:rsidRPr="000B7434">
        <w:rPr>
          <w:rFonts w:hint="cs"/>
          <w:spacing w:val="-2"/>
          <w:rtl/>
          <w:lang w:bidi="ar-EG"/>
        </w:rPr>
        <w:tab/>
        <w:t>النظر في التقارير المقدمة من الدول الأطراف بموجب المادة 18 من اتفاقية القضاء على جميع أشكال التمييز ضد المرأة</w:t>
      </w:r>
    </w:p>
    <w:p w:rsidR="000B7434" w:rsidRDefault="000B7434" w:rsidP="000B7434">
      <w:pPr>
        <w:pStyle w:val="HChGA"/>
        <w:rPr>
          <w:rFonts w:hint="cs"/>
          <w:rtl/>
          <w:lang w:bidi="ar-EG"/>
        </w:rPr>
      </w:pPr>
      <w:r>
        <w:rPr>
          <w:rFonts w:hint="cs"/>
          <w:rtl/>
          <w:lang w:bidi="ar-EG"/>
        </w:rPr>
        <w:tab/>
      </w:r>
      <w:r>
        <w:rPr>
          <w:rFonts w:hint="cs"/>
          <w:rtl/>
          <w:lang w:bidi="ar-EG"/>
        </w:rPr>
        <w:tab/>
      </w:r>
      <w:r w:rsidRPr="00F2793A">
        <w:rPr>
          <w:rFonts w:hint="cs"/>
          <w:rtl/>
          <w:lang w:bidi="ar-EG"/>
        </w:rPr>
        <w:t>التقريران الدوريان الرابع والخامس</w:t>
      </w:r>
      <w:r>
        <w:rPr>
          <w:rFonts w:hint="cs"/>
          <w:rtl/>
          <w:lang w:bidi="ar-EG"/>
        </w:rPr>
        <w:t xml:space="preserve"> المدمجان للدول الأطراف</w:t>
      </w:r>
    </w:p>
    <w:p w:rsidR="000B7434" w:rsidRPr="000B7434" w:rsidRDefault="000B7434" w:rsidP="000B7434">
      <w:pPr>
        <w:pStyle w:val="HMGA"/>
        <w:rPr>
          <w:rFonts w:hint="cs"/>
          <w:rtl/>
          <w:lang w:bidi="ar-EG"/>
        </w:rPr>
      </w:pPr>
      <w:r>
        <w:rPr>
          <w:rFonts w:hint="cs"/>
          <w:rtl/>
          <w:lang w:bidi="ar-EG"/>
        </w:rPr>
        <w:tab/>
      </w:r>
      <w:r>
        <w:rPr>
          <w:rFonts w:hint="cs"/>
          <w:rtl/>
          <w:lang w:bidi="ar-EG"/>
        </w:rPr>
        <w:tab/>
        <w:t>نيبال</w:t>
      </w:r>
      <w:r w:rsidRPr="000B7434">
        <w:rPr>
          <w:rStyle w:val="FootnoteReference"/>
          <w:sz w:val="20"/>
          <w:vertAlign w:val="baseline"/>
          <w:rtl/>
          <w:lang w:bidi="ar-EG"/>
        </w:rPr>
        <w:footnoteReference w:customMarkFollows="1" w:id="1"/>
        <w:t>*</w:t>
      </w:r>
      <w:r>
        <w:rPr>
          <w:rFonts w:hint="cs"/>
          <w:rtl/>
          <w:lang w:bidi="ar-EG"/>
        </w:rPr>
        <w:t xml:space="preserve"> </w:t>
      </w:r>
      <w:r w:rsidRPr="000B7434">
        <w:rPr>
          <w:rStyle w:val="FootnoteReference"/>
          <w:sz w:val="20"/>
          <w:vertAlign w:val="baseline"/>
          <w:rtl/>
          <w:lang w:bidi="ar-EG"/>
        </w:rPr>
        <w:footnoteReference w:customMarkFollows="1" w:id="2"/>
        <w:t>**</w:t>
      </w:r>
    </w:p>
    <w:p w:rsidR="000B7434" w:rsidRPr="000B7434" w:rsidRDefault="000B7434" w:rsidP="000B7434">
      <w:pPr>
        <w:spacing w:line="360" w:lineRule="exact"/>
        <w:rPr>
          <w:rFonts w:hint="cs"/>
          <w:rtl/>
        </w:rPr>
      </w:pPr>
      <w:r>
        <w:rPr>
          <w:rtl/>
        </w:rPr>
        <w:br w:type="page"/>
      </w:r>
      <w:r>
        <w:rPr>
          <w:rFonts w:hint="cs"/>
          <w:sz w:val="36"/>
          <w:szCs w:val="36"/>
          <w:rtl/>
        </w:rPr>
        <w:t>المحتويات</w:t>
      </w:r>
    </w:p>
    <w:p w:rsidR="000B7434" w:rsidRPr="00E64ED3" w:rsidRDefault="000B7434">
      <w:pPr>
        <w:tabs>
          <w:tab w:val="left" w:pos="7917"/>
          <w:tab w:val="right" w:pos="9638"/>
        </w:tabs>
        <w:spacing w:before="120" w:after="120" w:line="240" w:lineRule="exact"/>
        <w:ind w:left="284"/>
        <w:rPr>
          <w:rFonts w:hint="cs"/>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0B7434" w:rsidRPr="000B7434" w:rsidRDefault="000B7434" w:rsidP="00416679">
      <w:pPr>
        <w:tabs>
          <w:tab w:val="right" w:pos="1021"/>
          <w:tab w:val="left" w:pos="1077"/>
          <w:tab w:val="left" w:pos="1525"/>
          <w:tab w:val="left" w:pos="1842"/>
          <w:tab w:val="left" w:pos="2206"/>
          <w:tab w:val="left" w:leader="dot" w:pos="8826"/>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0B7434">
        <w:rPr>
          <w:szCs w:val="28"/>
          <w:rtl/>
          <w:lang w:val="fr-CH"/>
        </w:rPr>
        <w:tab/>
      </w:r>
      <w:r w:rsidRPr="000B7434">
        <w:rPr>
          <w:rFonts w:hint="cs"/>
          <w:szCs w:val="28"/>
          <w:rtl/>
          <w:lang w:val="fr-CH"/>
        </w:rPr>
        <w:t>شكر وعرفان</w:t>
      </w:r>
      <w:r w:rsidRPr="000B7434">
        <w:rPr>
          <w:szCs w:val="28"/>
          <w:rtl/>
          <w:lang w:val="fr-CH"/>
        </w:rPr>
        <w:tab/>
      </w:r>
      <w:r w:rsidRPr="000B7434">
        <w:rPr>
          <w:rFonts w:hint="eastAsia"/>
          <w:szCs w:val="28"/>
          <w:rtl/>
          <w:lang w:val="fr-CH"/>
        </w:rPr>
        <w:tab/>
      </w:r>
      <w:r w:rsidR="00416679">
        <w:rPr>
          <w:rFonts w:hint="cs"/>
          <w:szCs w:val="28"/>
          <w:rtl/>
          <w:lang w:val="fr-CH"/>
        </w:rPr>
        <w:t>4</w:t>
      </w:r>
    </w:p>
    <w:p w:rsidR="000B7434" w:rsidRPr="000B7434" w:rsidRDefault="000B7434" w:rsidP="00416679">
      <w:pPr>
        <w:tabs>
          <w:tab w:val="right" w:pos="1021"/>
          <w:tab w:val="left" w:pos="1077"/>
          <w:tab w:val="left" w:pos="1525"/>
          <w:tab w:val="left" w:pos="1842"/>
          <w:tab w:val="left" w:leader="dot" w:pos="7469"/>
          <w:tab w:val="left" w:pos="7972"/>
          <w:tab w:val="right" w:pos="9638"/>
        </w:tabs>
        <w:spacing w:after="120" w:line="360" w:lineRule="exact"/>
        <w:rPr>
          <w:rFonts w:hint="cs"/>
          <w:szCs w:val="28"/>
          <w:rtl/>
          <w:lang w:val="fr-CH"/>
        </w:rPr>
      </w:pPr>
      <w:r>
        <w:rPr>
          <w:rFonts w:hint="cs"/>
          <w:szCs w:val="28"/>
          <w:rtl/>
          <w:lang w:val="fr-CH"/>
        </w:rPr>
        <w:tab/>
      </w:r>
      <w:r>
        <w:rPr>
          <w:rFonts w:hint="cs"/>
          <w:szCs w:val="28"/>
          <w:rtl/>
          <w:lang w:val="fr-CH"/>
        </w:rPr>
        <w:tab/>
      </w:r>
      <w:r w:rsidRPr="000B7434">
        <w:rPr>
          <w:szCs w:val="28"/>
          <w:rtl/>
          <w:lang w:val="fr-CH"/>
        </w:rPr>
        <w:tab/>
      </w:r>
      <w:r w:rsidRPr="000B7434">
        <w:rPr>
          <w:rFonts w:hint="cs"/>
          <w:szCs w:val="28"/>
          <w:rtl/>
          <w:lang w:val="fr-CH"/>
        </w:rPr>
        <w:t>الموجز</w:t>
      </w:r>
      <w:r w:rsidRPr="000B7434">
        <w:rPr>
          <w:szCs w:val="28"/>
          <w:rtl/>
          <w:lang w:val="fr-CH"/>
        </w:rPr>
        <w:tab/>
      </w:r>
      <w:r w:rsidRPr="000B7434">
        <w:rPr>
          <w:rFonts w:hint="cs"/>
          <w:szCs w:val="28"/>
          <w:rtl/>
          <w:lang w:val="fr-CH"/>
        </w:rPr>
        <w:tab/>
        <w:t>1-7</w:t>
      </w:r>
      <w:r w:rsidRPr="000B7434">
        <w:rPr>
          <w:rFonts w:hint="cs"/>
          <w:szCs w:val="28"/>
          <w:rtl/>
          <w:lang w:val="fr-CH"/>
        </w:rPr>
        <w:tab/>
      </w:r>
      <w:r w:rsidR="00416679">
        <w:rPr>
          <w:rFonts w:hint="cs"/>
          <w:szCs w:val="28"/>
          <w:rtl/>
          <w:lang w:val="fr-CH"/>
        </w:rPr>
        <w:t>5</w:t>
      </w:r>
    </w:p>
    <w:p w:rsidR="000B7434" w:rsidRPr="000B7434" w:rsidRDefault="000B7434" w:rsidP="000B7434">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0B7434">
        <w:rPr>
          <w:szCs w:val="28"/>
          <w:rtl/>
          <w:lang w:val="fr-CH"/>
        </w:rPr>
        <w:tab/>
      </w:r>
      <w:r w:rsidRPr="000B7434">
        <w:rPr>
          <w:rFonts w:hint="cs"/>
          <w:szCs w:val="28"/>
          <w:rtl/>
          <w:lang w:val="fr-CH"/>
        </w:rPr>
        <w:t>الجزء الأول</w:t>
      </w:r>
      <w:r w:rsidRPr="000B7434">
        <w:rPr>
          <w:szCs w:val="28"/>
          <w:rtl/>
          <w:lang w:val="fr-CH"/>
        </w:rPr>
        <w:tab/>
      </w:r>
      <w:r w:rsidR="002858D6">
        <w:rPr>
          <w:rFonts w:hint="cs"/>
          <w:szCs w:val="28"/>
          <w:rtl/>
          <w:lang w:val="fr-CH"/>
        </w:rPr>
        <w:t>-</w:t>
      </w:r>
      <w:r w:rsidR="002858D6">
        <w:rPr>
          <w:rFonts w:hint="cs"/>
          <w:szCs w:val="28"/>
          <w:rtl/>
          <w:lang w:val="fr-CH"/>
        </w:rPr>
        <w:tab/>
      </w:r>
      <w:r w:rsidRPr="000B7434">
        <w:rPr>
          <w:rFonts w:hint="cs"/>
          <w:szCs w:val="28"/>
          <w:rtl/>
          <w:lang w:val="fr-CH"/>
        </w:rPr>
        <w:t>التطورات في مواضع القلق وتوصيات اللجنة</w:t>
      </w:r>
      <w:r w:rsidRPr="000B7434">
        <w:rPr>
          <w:szCs w:val="28"/>
          <w:rtl/>
          <w:lang w:val="fr-CH"/>
        </w:rPr>
        <w:tab/>
      </w:r>
      <w:r w:rsidRPr="000B7434">
        <w:rPr>
          <w:szCs w:val="28"/>
          <w:rtl/>
          <w:lang w:val="fr-CH"/>
        </w:rPr>
        <w:tab/>
      </w:r>
      <w:r w:rsidR="00416679">
        <w:rPr>
          <w:rFonts w:hint="cs"/>
          <w:szCs w:val="28"/>
          <w:rtl/>
          <w:lang w:val="fr-CH"/>
        </w:rPr>
        <w:t>8-49</w:t>
      </w:r>
      <w:r w:rsidR="00416679">
        <w:rPr>
          <w:rFonts w:hint="cs"/>
          <w:szCs w:val="28"/>
          <w:rtl/>
          <w:lang w:val="fr-CH"/>
        </w:rPr>
        <w:tab/>
        <w:t>7</w:t>
      </w:r>
    </w:p>
    <w:p w:rsidR="000B7434" w:rsidRPr="000B7434" w:rsidRDefault="000B7434" w:rsidP="00416679">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sidRPr="000B7434">
        <w:rPr>
          <w:szCs w:val="28"/>
          <w:rtl/>
          <w:lang w:val="fr-CH"/>
        </w:rPr>
        <w:tab/>
      </w:r>
      <w:r w:rsidRPr="000B7434">
        <w:rPr>
          <w:rFonts w:hint="cs"/>
          <w:szCs w:val="28"/>
          <w:rtl/>
          <w:lang w:val="fr-CH"/>
        </w:rPr>
        <w:t>الجزء الثاني</w:t>
      </w:r>
      <w:r w:rsidRPr="000B7434">
        <w:rPr>
          <w:szCs w:val="28"/>
          <w:rtl/>
          <w:lang w:val="fr-CH"/>
        </w:rPr>
        <w:tab/>
      </w:r>
      <w:r w:rsidR="002858D6">
        <w:rPr>
          <w:rFonts w:hint="cs"/>
          <w:szCs w:val="28"/>
          <w:rtl/>
          <w:lang w:val="fr-CH"/>
        </w:rPr>
        <w:t>-</w:t>
      </w:r>
      <w:r w:rsidR="002858D6">
        <w:rPr>
          <w:rFonts w:hint="cs"/>
          <w:szCs w:val="28"/>
          <w:rtl/>
          <w:lang w:val="fr-CH"/>
        </w:rPr>
        <w:tab/>
      </w:r>
      <w:r w:rsidRPr="000B7434">
        <w:rPr>
          <w:rFonts w:hint="cs"/>
          <w:szCs w:val="28"/>
          <w:rtl/>
          <w:lang w:val="fr-CH"/>
        </w:rPr>
        <w:t xml:space="preserve">التطورات الجديدة </w:t>
      </w:r>
      <w:r w:rsidRPr="000B7434">
        <w:rPr>
          <w:szCs w:val="28"/>
          <w:rtl/>
          <w:lang w:val="fr-CH"/>
        </w:rPr>
        <w:tab/>
      </w:r>
      <w:r w:rsidRPr="000B7434">
        <w:rPr>
          <w:rFonts w:hint="cs"/>
          <w:szCs w:val="28"/>
          <w:rtl/>
          <w:lang w:val="fr-CH"/>
        </w:rPr>
        <w:tab/>
        <w:t>50-205</w:t>
      </w:r>
      <w:r w:rsidRPr="000B7434">
        <w:rPr>
          <w:rFonts w:hint="cs"/>
          <w:szCs w:val="28"/>
          <w:rtl/>
          <w:lang w:val="fr-CH"/>
        </w:rPr>
        <w:tab/>
      </w:r>
      <w:r w:rsidR="00416679">
        <w:rPr>
          <w:rFonts w:hint="cs"/>
          <w:szCs w:val="28"/>
          <w:rtl/>
          <w:lang w:val="fr-CH"/>
        </w:rPr>
        <w:t>20</w:t>
      </w:r>
    </w:p>
    <w:p w:rsidR="000B7434" w:rsidRPr="000B7434" w:rsidRDefault="002858D6" w:rsidP="00416679">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r>
      <w:r w:rsidR="000B7434" w:rsidRPr="000B7434">
        <w:rPr>
          <w:szCs w:val="28"/>
          <w:rtl/>
          <w:lang w:val="fr-CH"/>
        </w:rPr>
        <w:tab/>
      </w:r>
      <w:r w:rsidR="000B7434" w:rsidRPr="000B7434">
        <w:rPr>
          <w:szCs w:val="28"/>
          <w:rtl/>
          <w:lang w:val="fr-CH"/>
        </w:rPr>
        <w:tab/>
      </w:r>
      <w:r>
        <w:rPr>
          <w:rFonts w:hint="cs"/>
          <w:szCs w:val="28"/>
          <w:rtl/>
          <w:lang w:val="fr-CH"/>
        </w:rPr>
        <w:t>المادتان 1 و</w:t>
      </w:r>
      <w:r w:rsidR="000B7434" w:rsidRPr="000B7434">
        <w:rPr>
          <w:rFonts w:hint="cs"/>
          <w:szCs w:val="28"/>
          <w:rtl/>
          <w:lang w:val="fr-CH"/>
        </w:rPr>
        <w:t>2</w:t>
      </w:r>
      <w:r>
        <w:rPr>
          <w:rFonts w:hint="cs"/>
          <w:szCs w:val="28"/>
          <w:rtl/>
          <w:lang w:val="fr-CH"/>
        </w:rPr>
        <w:t xml:space="preserve">- </w:t>
      </w:r>
      <w:r w:rsidR="000B7434" w:rsidRPr="000B7434">
        <w:rPr>
          <w:rFonts w:hint="cs"/>
          <w:szCs w:val="28"/>
          <w:rtl/>
          <w:lang w:val="fr-CH"/>
        </w:rPr>
        <w:t>مراجعة وتعديل القوانين التمييزية</w:t>
      </w:r>
      <w:r w:rsidR="000B7434" w:rsidRPr="000B7434">
        <w:rPr>
          <w:szCs w:val="28"/>
          <w:rtl/>
          <w:lang w:val="fr-CH"/>
        </w:rPr>
        <w:tab/>
      </w:r>
      <w:r w:rsidR="000B7434" w:rsidRPr="000B7434">
        <w:rPr>
          <w:rFonts w:hint="cs"/>
          <w:szCs w:val="28"/>
          <w:rtl/>
          <w:lang w:val="fr-CH"/>
        </w:rPr>
        <w:tab/>
        <w:t>50-60</w:t>
      </w:r>
      <w:r w:rsidR="000B7434" w:rsidRPr="000B7434">
        <w:rPr>
          <w:rFonts w:hint="cs"/>
          <w:szCs w:val="28"/>
          <w:rtl/>
          <w:lang w:val="fr-CH"/>
        </w:rPr>
        <w:tab/>
      </w:r>
      <w:r w:rsidR="00416679">
        <w:rPr>
          <w:rFonts w:hint="cs"/>
          <w:szCs w:val="28"/>
          <w:rtl/>
          <w:lang w:val="fr-CH"/>
        </w:rPr>
        <w:t>20</w:t>
      </w:r>
    </w:p>
    <w:p w:rsidR="000B7434" w:rsidRPr="000B7434" w:rsidRDefault="002858D6" w:rsidP="00416679">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r>
      <w:r w:rsidR="000B7434" w:rsidRPr="000B7434">
        <w:rPr>
          <w:szCs w:val="28"/>
          <w:rtl/>
          <w:lang w:val="fr-CH"/>
        </w:rPr>
        <w:tab/>
      </w:r>
      <w:r w:rsidR="000B7434" w:rsidRPr="000B7434">
        <w:rPr>
          <w:szCs w:val="28"/>
          <w:rtl/>
          <w:lang w:val="fr-CH"/>
        </w:rPr>
        <w:tab/>
      </w:r>
      <w:r>
        <w:rPr>
          <w:rFonts w:hint="cs"/>
          <w:szCs w:val="28"/>
          <w:rtl/>
          <w:lang w:val="fr-CH"/>
        </w:rPr>
        <w:t>المادتان 3 و</w:t>
      </w:r>
      <w:r w:rsidR="000B7434" w:rsidRPr="000B7434">
        <w:rPr>
          <w:rFonts w:hint="cs"/>
          <w:szCs w:val="28"/>
          <w:rtl/>
          <w:lang w:val="fr-CH"/>
        </w:rPr>
        <w:t>4</w:t>
      </w:r>
      <w:r>
        <w:rPr>
          <w:rFonts w:hint="cs"/>
          <w:szCs w:val="28"/>
          <w:rtl/>
          <w:lang w:val="fr-CH"/>
        </w:rPr>
        <w:t>-</w:t>
      </w:r>
      <w:r w:rsidR="000B7434" w:rsidRPr="000B7434">
        <w:rPr>
          <w:rFonts w:hint="cs"/>
          <w:szCs w:val="28"/>
          <w:rtl/>
          <w:lang w:val="fr-CH"/>
        </w:rPr>
        <w:t xml:space="preserve"> تدابير للتعجيل بت</w:t>
      </w:r>
      <w:r>
        <w:rPr>
          <w:rFonts w:hint="cs"/>
          <w:szCs w:val="28"/>
          <w:rtl/>
          <w:lang w:val="fr-CH"/>
        </w:rPr>
        <w:t>حقيق المساواة بين المرأة والرجل</w:t>
      </w:r>
      <w:r w:rsidR="000B7434" w:rsidRPr="000B7434">
        <w:rPr>
          <w:szCs w:val="28"/>
          <w:rtl/>
          <w:lang w:val="fr-CH"/>
        </w:rPr>
        <w:tab/>
      </w:r>
      <w:r w:rsidR="000B7434" w:rsidRPr="000B7434">
        <w:rPr>
          <w:rFonts w:hint="cs"/>
          <w:szCs w:val="28"/>
          <w:rtl/>
          <w:lang w:val="fr-CH"/>
        </w:rPr>
        <w:tab/>
        <w:t>61-67</w:t>
      </w:r>
      <w:r w:rsidR="000B7434" w:rsidRPr="000B7434">
        <w:rPr>
          <w:rFonts w:hint="cs"/>
          <w:szCs w:val="28"/>
          <w:rtl/>
          <w:lang w:val="fr-CH"/>
        </w:rPr>
        <w:tab/>
      </w:r>
      <w:r w:rsidR="00416679">
        <w:rPr>
          <w:rFonts w:hint="cs"/>
          <w:szCs w:val="28"/>
          <w:rtl/>
          <w:lang w:val="fr-CH"/>
        </w:rPr>
        <w:t>23</w:t>
      </w:r>
    </w:p>
    <w:p w:rsidR="000B7434" w:rsidRPr="000B7434" w:rsidRDefault="002858D6" w:rsidP="00416679">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r>
      <w:r w:rsidR="000B7434" w:rsidRPr="000B7434">
        <w:rPr>
          <w:szCs w:val="28"/>
          <w:rtl/>
          <w:lang w:val="fr-CH"/>
        </w:rPr>
        <w:tab/>
      </w:r>
      <w:r w:rsidR="000B7434" w:rsidRPr="000B7434">
        <w:rPr>
          <w:szCs w:val="28"/>
          <w:rtl/>
          <w:lang w:val="fr-CH"/>
        </w:rPr>
        <w:tab/>
      </w:r>
      <w:r w:rsidR="000B7434" w:rsidRPr="000B7434">
        <w:rPr>
          <w:rFonts w:hint="cs"/>
          <w:szCs w:val="28"/>
          <w:rtl/>
          <w:lang w:val="fr-CH"/>
        </w:rPr>
        <w:t>المادة 5</w:t>
      </w:r>
      <w:r>
        <w:rPr>
          <w:rFonts w:hint="cs"/>
          <w:szCs w:val="28"/>
          <w:rtl/>
          <w:lang w:val="fr-CH"/>
        </w:rPr>
        <w:t>-</w:t>
      </w:r>
      <w:r w:rsidR="000B7434" w:rsidRPr="000B7434">
        <w:rPr>
          <w:rFonts w:hint="cs"/>
          <w:szCs w:val="28"/>
          <w:rtl/>
          <w:lang w:val="fr-CH"/>
        </w:rPr>
        <w:t xml:space="preserve"> الممارسات الثقافية التقليدية</w:t>
      </w:r>
      <w:r w:rsidR="000B7434" w:rsidRPr="000B7434">
        <w:rPr>
          <w:szCs w:val="28"/>
          <w:rtl/>
          <w:lang w:val="fr-CH"/>
        </w:rPr>
        <w:tab/>
      </w:r>
      <w:r w:rsidR="000B7434" w:rsidRPr="000B7434">
        <w:rPr>
          <w:rFonts w:hint="cs"/>
          <w:szCs w:val="28"/>
          <w:rtl/>
          <w:lang w:val="fr-CH"/>
        </w:rPr>
        <w:tab/>
        <w:t>68-76</w:t>
      </w:r>
      <w:r w:rsidR="000B7434" w:rsidRPr="000B7434">
        <w:rPr>
          <w:rFonts w:hint="cs"/>
          <w:szCs w:val="28"/>
          <w:rtl/>
          <w:lang w:val="fr-CH"/>
        </w:rPr>
        <w:tab/>
      </w:r>
      <w:r w:rsidR="00416679">
        <w:rPr>
          <w:rFonts w:hint="cs"/>
          <w:szCs w:val="28"/>
          <w:rtl/>
          <w:lang w:val="fr-CH"/>
        </w:rPr>
        <w:t>26</w:t>
      </w:r>
    </w:p>
    <w:p w:rsidR="000B7434" w:rsidRPr="000B7434" w:rsidRDefault="002858D6" w:rsidP="00416679">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r>
      <w:r w:rsidR="000B7434" w:rsidRPr="000B7434">
        <w:rPr>
          <w:szCs w:val="28"/>
          <w:rtl/>
          <w:lang w:val="fr-CH"/>
        </w:rPr>
        <w:tab/>
      </w:r>
      <w:r w:rsidR="000B7434" w:rsidRPr="000B7434">
        <w:rPr>
          <w:szCs w:val="28"/>
          <w:rtl/>
          <w:lang w:val="fr-CH"/>
        </w:rPr>
        <w:tab/>
      </w:r>
      <w:r>
        <w:rPr>
          <w:rFonts w:hint="cs"/>
          <w:szCs w:val="28"/>
          <w:rtl/>
          <w:lang w:val="fr-CH"/>
        </w:rPr>
        <w:t>المادة 6- الاتجار بالنساء</w:t>
      </w:r>
      <w:r w:rsidR="000B7434" w:rsidRPr="000B7434">
        <w:rPr>
          <w:szCs w:val="28"/>
          <w:rtl/>
          <w:lang w:val="fr-CH"/>
        </w:rPr>
        <w:tab/>
      </w:r>
      <w:r w:rsidR="000B7434" w:rsidRPr="000B7434">
        <w:rPr>
          <w:rFonts w:hint="cs"/>
          <w:szCs w:val="28"/>
          <w:rtl/>
          <w:lang w:val="fr-CH"/>
        </w:rPr>
        <w:tab/>
        <w:t>77-97</w:t>
      </w:r>
      <w:r w:rsidR="000B7434" w:rsidRPr="000B7434">
        <w:rPr>
          <w:rFonts w:hint="cs"/>
          <w:szCs w:val="28"/>
          <w:rtl/>
          <w:lang w:val="fr-CH"/>
        </w:rPr>
        <w:tab/>
      </w:r>
      <w:r w:rsidR="00416679">
        <w:rPr>
          <w:rFonts w:hint="cs"/>
          <w:szCs w:val="28"/>
          <w:rtl/>
          <w:lang w:val="fr-CH"/>
        </w:rPr>
        <w:t>28</w:t>
      </w:r>
    </w:p>
    <w:p w:rsidR="000B7434" w:rsidRPr="000B7434" w:rsidRDefault="002858D6" w:rsidP="00416679">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r>
      <w:r w:rsidR="000B7434" w:rsidRPr="000B7434">
        <w:rPr>
          <w:szCs w:val="28"/>
          <w:rtl/>
          <w:lang w:val="fr-CH"/>
        </w:rPr>
        <w:tab/>
      </w:r>
      <w:r w:rsidR="000B7434" w:rsidRPr="000B7434">
        <w:rPr>
          <w:szCs w:val="28"/>
          <w:rtl/>
          <w:lang w:val="fr-CH"/>
        </w:rPr>
        <w:tab/>
      </w:r>
      <w:r>
        <w:rPr>
          <w:rFonts w:hint="cs"/>
          <w:szCs w:val="28"/>
          <w:rtl/>
          <w:lang w:val="fr-CH"/>
        </w:rPr>
        <w:t>المادتان 7 و</w:t>
      </w:r>
      <w:r w:rsidR="000B7434" w:rsidRPr="000B7434">
        <w:rPr>
          <w:rFonts w:hint="cs"/>
          <w:szCs w:val="28"/>
          <w:rtl/>
          <w:lang w:val="fr-CH"/>
        </w:rPr>
        <w:t>8</w:t>
      </w:r>
      <w:r>
        <w:rPr>
          <w:rFonts w:hint="cs"/>
          <w:szCs w:val="28"/>
          <w:rtl/>
          <w:lang w:val="fr-CH"/>
        </w:rPr>
        <w:t>-</w:t>
      </w:r>
      <w:r w:rsidR="000B7434" w:rsidRPr="000B7434">
        <w:rPr>
          <w:rFonts w:hint="cs"/>
          <w:szCs w:val="28"/>
          <w:rtl/>
          <w:lang w:val="fr-CH"/>
        </w:rPr>
        <w:t xml:space="preserve"> المشاركة السياسية والعامة والدولية</w:t>
      </w:r>
      <w:r w:rsidR="000B7434" w:rsidRPr="000B7434">
        <w:rPr>
          <w:szCs w:val="28"/>
          <w:rtl/>
          <w:lang w:val="fr-CH"/>
        </w:rPr>
        <w:tab/>
      </w:r>
      <w:r w:rsidR="000B7434" w:rsidRPr="000B7434">
        <w:rPr>
          <w:rFonts w:hint="cs"/>
          <w:szCs w:val="28"/>
          <w:rtl/>
          <w:lang w:val="fr-CH"/>
        </w:rPr>
        <w:tab/>
        <w:t>98-106</w:t>
      </w:r>
      <w:r w:rsidR="000B7434" w:rsidRPr="000B7434">
        <w:rPr>
          <w:rFonts w:hint="cs"/>
          <w:szCs w:val="28"/>
          <w:rtl/>
          <w:lang w:val="fr-CH"/>
        </w:rPr>
        <w:tab/>
      </w:r>
      <w:r w:rsidR="00416679">
        <w:rPr>
          <w:rFonts w:hint="cs"/>
          <w:szCs w:val="28"/>
          <w:rtl/>
          <w:lang w:val="fr-CH"/>
        </w:rPr>
        <w:t>35</w:t>
      </w:r>
    </w:p>
    <w:p w:rsidR="000B7434" w:rsidRPr="000B7434" w:rsidRDefault="002858D6" w:rsidP="00416679">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r>
      <w:r w:rsidR="000B7434" w:rsidRPr="000B7434">
        <w:rPr>
          <w:szCs w:val="28"/>
          <w:rtl/>
          <w:lang w:val="fr-CH"/>
        </w:rPr>
        <w:tab/>
      </w:r>
      <w:r>
        <w:rPr>
          <w:rFonts w:hint="cs"/>
          <w:szCs w:val="28"/>
          <w:rtl/>
          <w:lang w:val="fr-CH"/>
        </w:rPr>
        <w:tab/>
        <w:t>المادة 9- الجنسية</w:t>
      </w:r>
      <w:r w:rsidR="000B7434" w:rsidRPr="000B7434">
        <w:rPr>
          <w:szCs w:val="28"/>
          <w:rtl/>
          <w:lang w:val="fr-CH"/>
        </w:rPr>
        <w:tab/>
      </w:r>
      <w:r w:rsidR="000B7434" w:rsidRPr="000B7434">
        <w:rPr>
          <w:rFonts w:hint="cs"/>
          <w:szCs w:val="28"/>
          <w:rtl/>
          <w:lang w:val="fr-CH"/>
        </w:rPr>
        <w:tab/>
        <w:t>107-108</w:t>
      </w:r>
      <w:r w:rsidR="000B7434" w:rsidRPr="000B7434">
        <w:rPr>
          <w:rFonts w:hint="cs"/>
          <w:szCs w:val="28"/>
          <w:rtl/>
          <w:lang w:val="fr-CH"/>
        </w:rPr>
        <w:tab/>
      </w:r>
      <w:r w:rsidR="00416679">
        <w:rPr>
          <w:rFonts w:hint="cs"/>
          <w:szCs w:val="28"/>
          <w:rtl/>
          <w:lang w:val="fr-CH"/>
        </w:rPr>
        <w:t>40</w:t>
      </w:r>
    </w:p>
    <w:p w:rsidR="000B7434" w:rsidRPr="000B7434" w:rsidRDefault="002858D6" w:rsidP="00416679">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r>
      <w:r w:rsidR="000B7434" w:rsidRPr="000B7434">
        <w:rPr>
          <w:szCs w:val="28"/>
          <w:rtl/>
          <w:lang w:val="fr-CH"/>
        </w:rPr>
        <w:tab/>
      </w:r>
      <w:r w:rsidR="000B7434" w:rsidRPr="000B7434">
        <w:rPr>
          <w:szCs w:val="28"/>
          <w:rtl/>
          <w:lang w:val="fr-CH"/>
        </w:rPr>
        <w:tab/>
      </w:r>
      <w:r>
        <w:rPr>
          <w:rFonts w:hint="cs"/>
          <w:szCs w:val="28"/>
          <w:rtl/>
          <w:lang w:val="fr-CH"/>
        </w:rPr>
        <w:t>المادة 10- التعليم</w:t>
      </w:r>
      <w:r w:rsidR="000B7434" w:rsidRPr="000B7434">
        <w:rPr>
          <w:szCs w:val="28"/>
          <w:rtl/>
          <w:lang w:val="fr-CH"/>
        </w:rPr>
        <w:tab/>
      </w:r>
      <w:r w:rsidR="000B7434" w:rsidRPr="000B7434">
        <w:rPr>
          <w:rFonts w:hint="cs"/>
          <w:szCs w:val="28"/>
          <w:rtl/>
          <w:lang w:val="fr-CH"/>
        </w:rPr>
        <w:tab/>
        <w:t>109-131</w:t>
      </w:r>
      <w:r w:rsidR="000B7434" w:rsidRPr="000B7434">
        <w:rPr>
          <w:rFonts w:hint="cs"/>
          <w:szCs w:val="28"/>
          <w:rtl/>
          <w:lang w:val="fr-CH"/>
        </w:rPr>
        <w:tab/>
      </w:r>
      <w:r w:rsidR="00416679">
        <w:rPr>
          <w:rFonts w:hint="cs"/>
          <w:szCs w:val="28"/>
          <w:rtl/>
          <w:lang w:val="fr-CH"/>
        </w:rPr>
        <w:t>40</w:t>
      </w:r>
    </w:p>
    <w:p w:rsidR="000B7434" w:rsidRPr="000B7434" w:rsidRDefault="002858D6" w:rsidP="00416679">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r>
      <w:r w:rsidR="000B7434" w:rsidRPr="000B7434">
        <w:rPr>
          <w:szCs w:val="28"/>
          <w:rtl/>
          <w:lang w:val="fr-CH"/>
        </w:rPr>
        <w:tab/>
      </w:r>
      <w:r w:rsidR="000B7434" w:rsidRPr="000B7434">
        <w:rPr>
          <w:szCs w:val="28"/>
          <w:rtl/>
          <w:lang w:val="fr-CH"/>
        </w:rPr>
        <w:tab/>
      </w:r>
      <w:r>
        <w:rPr>
          <w:rFonts w:hint="cs"/>
          <w:szCs w:val="28"/>
          <w:rtl/>
          <w:lang w:val="fr-CH"/>
        </w:rPr>
        <w:t>المادة 11- العمالة</w:t>
      </w:r>
      <w:r w:rsidR="000B7434" w:rsidRPr="000B7434">
        <w:rPr>
          <w:szCs w:val="28"/>
          <w:rtl/>
          <w:lang w:val="fr-CH"/>
        </w:rPr>
        <w:tab/>
      </w:r>
      <w:r w:rsidR="000B7434" w:rsidRPr="000B7434">
        <w:rPr>
          <w:rFonts w:hint="cs"/>
          <w:szCs w:val="28"/>
          <w:rtl/>
          <w:lang w:val="fr-CH"/>
        </w:rPr>
        <w:tab/>
        <w:t>132-142</w:t>
      </w:r>
      <w:r w:rsidR="000B7434" w:rsidRPr="000B7434">
        <w:rPr>
          <w:rFonts w:hint="cs"/>
          <w:szCs w:val="28"/>
          <w:rtl/>
          <w:lang w:val="fr-CH"/>
        </w:rPr>
        <w:tab/>
      </w:r>
      <w:r w:rsidR="00416679">
        <w:rPr>
          <w:rFonts w:hint="cs"/>
          <w:szCs w:val="28"/>
          <w:rtl/>
          <w:lang w:val="fr-CH"/>
        </w:rPr>
        <w:t>46</w:t>
      </w:r>
    </w:p>
    <w:p w:rsidR="000B7434" w:rsidRPr="000B7434" w:rsidRDefault="002858D6" w:rsidP="00416679">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r>
      <w:r>
        <w:rPr>
          <w:rFonts w:hint="cs"/>
          <w:szCs w:val="28"/>
          <w:rtl/>
          <w:lang w:val="fr-CH"/>
        </w:rPr>
        <w:tab/>
      </w:r>
      <w:r w:rsidR="000B7434" w:rsidRPr="000B7434">
        <w:rPr>
          <w:szCs w:val="28"/>
          <w:rtl/>
          <w:lang w:val="fr-CH"/>
        </w:rPr>
        <w:tab/>
      </w:r>
      <w:r w:rsidR="000B7434" w:rsidRPr="000B7434">
        <w:rPr>
          <w:rFonts w:hint="cs"/>
          <w:szCs w:val="28"/>
          <w:rtl/>
          <w:lang w:val="fr-CH"/>
        </w:rPr>
        <w:t>المادة</w:t>
      </w:r>
      <w:r>
        <w:rPr>
          <w:rFonts w:hint="cs"/>
          <w:szCs w:val="28"/>
          <w:rtl/>
          <w:lang w:val="fr-CH"/>
        </w:rPr>
        <w:t xml:space="preserve"> 12- الصحة</w:t>
      </w:r>
      <w:r w:rsidR="000B7434" w:rsidRPr="000B7434">
        <w:rPr>
          <w:szCs w:val="28"/>
          <w:rtl/>
          <w:lang w:val="fr-CH"/>
        </w:rPr>
        <w:tab/>
      </w:r>
      <w:r w:rsidR="000B7434" w:rsidRPr="000B7434">
        <w:rPr>
          <w:rFonts w:hint="cs"/>
          <w:szCs w:val="28"/>
          <w:rtl/>
          <w:lang w:val="fr-CH"/>
        </w:rPr>
        <w:tab/>
        <w:t>143-170</w:t>
      </w:r>
      <w:r w:rsidR="000B7434" w:rsidRPr="000B7434">
        <w:rPr>
          <w:rFonts w:hint="cs"/>
          <w:szCs w:val="28"/>
          <w:rtl/>
          <w:lang w:val="fr-CH"/>
        </w:rPr>
        <w:tab/>
      </w:r>
      <w:r w:rsidR="0087140E">
        <w:rPr>
          <w:rFonts w:hint="cs"/>
          <w:szCs w:val="28"/>
          <w:rtl/>
          <w:lang w:val="fr-CH"/>
        </w:rPr>
        <w:t>50</w:t>
      </w:r>
    </w:p>
    <w:p w:rsidR="000B7434" w:rsidRPr="000B7434" w:rsidRDefault="002858D6" w:rsidP="00416679">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r>
      <w:r w:rsidR="000B7434" w:rsidRPr="000B7434">
        <w:rPr>
          <w:szCs w:val="28"/>
          <w:rtl/>
          <w:lang w:val="fr-CH"/>
        </w:rPr>
        <w:tab/>
      </w:r>
      <w:r w:rsidR="000B7434" w:rsidRPr="000B7434">
        <w:rPr>
          <w:szCs w:val="28"/>
          <w:rtl/>
          <w:lang w:val="fr-CH"/>
        </w:rPr>
        <w:tab/>
      </w:r>
      <w:r w:rsidR="000B7434" w:rsidRPr="000B7434">
        <w:rPr>
          <w:rFonts w:hint="cs"/>
          <w:szCs w:val="28"/>
          <w:rtl/>
          <w:lang w:val="fr-CH"/>
        </w:rPr>
        <w:t>المادة 13</w:t>
      </w:r>
      <w:r>
        <w:rPr>
          <w:rFonts w:hint="cs"/>
          <w:szCs w:val="28"/>
          <w:rtl/>
          <w:lang w:val="fr-CH"/>
        </w:rPr>
        <w:t>-</w:t>
      </w:r>
      <w:r w:rsidR="000B7434" w:rsidRPr="000B7434">
        <w:rPr>
          <w:rFonts w:hint="cs"/>
          <w:szCs w:val="28"/>
          <w:rtl/>
          <w:lang w:val="fr-CH"/>
        </w:rPr>
        <w:t xml:space="preserve"> الحياة الاقتصادية والاجتماعية للمجتمع</w:t>
      </w:r>
      <w:r w:rsidR="000B7434" w:rsidRPr="000B7434">
        <w:rPr>
          <w:szCs w:val="28"/>
          <w:rtl/>
          <w:lang w:val="fr-CH"/>
        </w:rPr>
        <w:tab/>
      </w:r>
      <w:r w:rsidR="000B7434" w:rsidRPr="000B7434">
        <w:rPr>
          <w:rFonts w:hint="cs"/>
          <w:szCs w:val="28"/>
          <w:rtl/>
          <w:lang w:val="fr-CH"/>
        </w:rPr>
        <w:tab/>
        <w:t>171-182</w:t>
      </w:r>
      <w:r w:rsidR="000B7434" w:rsidRPr="000B7434">
        <w:rPr>
          <w:rFonts w:hint="cs"/>
          <w:szCs w:val="28"/>
          <w:rtl/>
          <w:lang w:val="fr-CH"/>
        </w:rPr>
        <w:tab/>
      </w:r>
      <w:r w:rsidR="0087140E">
        <w:rPr>
          <w:rFonts w:hint="cs"/>
          <w:szCs w:val="28"/>
          <w:rtl/>
          <w:lang w:val="fr-CH"/>
        </w:rPr>
        <w:t>59</w:t>
      </w:r>
    </w:p>
    <w:p w:rsidR="000B7434" w:rsidRPr="000B7434" w:rsidRDefault="002858D6" w:rsidP="00416679">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r>
      <w:r w:rsidR="000B7434" w:rsidRPr="000B7434">
        <w:rPr>
          <w:szCs w:val="28"/>
          <w:rtl/>
          <w:lang w:val="fr-CH"/>
        </w:rPr>
        <w:tab/>
      </w:r>
      <w:r w:rsidR="000B7434" w:rsidRPr="000B7434">
        <w:rPr>
          <w:szCs w:val="28"/>
          <w:rtl/>
          <w:lang w:val="fr-CH"/>
        </w:rPr>
        <w:tab/>
      </w:r>
      <w:r w:rsidR="000B7434" w:rsidRPr="000B7434">
        <w:rPr>
          <w:rFonts w:hint="cs"/>
          <w:szCs w:val="28"/>
          <w:rtl/>
          <w:lang w:val="fr-CH"/>
        </w:rPr>
        <w:t>المادة 14</w:t>
      </w:r>
      <w:r>
        <w:rPr>
          <w:rFonts w:hint="cs"/>
          <w:szCs w:val="28"/>
          <w:rtl/>
          <w:lang w:val="fr-CH"/>
        </w:rPr>
        <w:t>-</w:t>
      </w:r>
      <w:r w:rsidR="000B7434" w:rsidRPr="000B7434">
        <w:rPr>
          <w:rFonts w:hint="cs"/>
          <w:szCs w:val="28"/>
          <w:rtl/>
          <w:lang w:val="fr-CH"/>
        </w:rPr>
        <w:t xml:space="preserve"> المرأة في المناطق </w:t>
      </w:r>
      <w:r w:rsidR="0052259C">
        <w:rPr>
          <w:rFonts w:hint="cs"/>
          <w:szCs w:val="28"/>
          <w:rtl/>
          <w:lang w:val="fr-CH"/>
        </w:rPr>
        <w:t>الريفية</w:t>
      </w:r>
      <w:r w:rsidR="000B7434" w:rsidRPr="000B7434">
        <w:rPr>
          <w:szCs w:val="28"/>
          <w:rtl/>
          <w:lang w:val="fr-CH"/>
        </w:rPr>
        <w:tab/>
      </w:r>
      <w:r w:rsidR="000B7434" w:rsidRPr="000B7434">
        <w:rPr>
          <w:rFonts w:hint="cs"/>
          <w:szCs w:val="28"/>
          <w:rtl/>
          <w:lang w:val="fr-CH"/>
        </w:rPr>
        <w:tab/>
        <w:t>183-193</w:t>
      </w:r>
      <w:r w:rsidR="000B7434" w:rsidRPr="000B7434">
        <w:rPr>
          <w:rFonts w:hint="cs"/>
          <w:szCs w:val="28"/>
          <w:rtl/>
          <w:lang w:val="fr-CH"/>
        </w:rPr>
        <w:tab/>
      </w:r>
      <w:r w:rsidR="0087140E">
        <w:rPr>
          <w:rFonts w:hint="cs"/>
          <w:szCs w:val="28"/>
          <w:rtl/>
          <w:lang w:val="fr-CH"/>
        </w:rPr>
        <w:t>63</w:t>
      </w:r>
    </w:p>
    <w:p w:rsidR="000B7434" w:rsidRPr="000B7434" w:rsidRDefault="002858D6" w:rsidP="00416679">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r>
      <w:r w:rsidR="000B7434" w:rsidRPr="000B7434">
        <w:rPr>
          <w:szCs w:val="28"/>
          <w:rtl/>
          <w:lang w:val="fr-CH"/>
        </w:rPr>
        <w:tab/>
      </w:r>
      <w:r w:rsidR="000B7434" w:rsidRPr="000B7434">
        <w:rPr>
          <w:szCs w:val="28"/>
          <w:rtl/>
          <w:lang w:val="fr-CH"/>
        </w:rPr>
        <w:tab/>
      </w:r>
      <w:r w:rsidR="000B7434" w:rsidRPr="000B7434">
        <w:rPr>
          <w:rFonts w:hint="cs"/>
          <w:szCs w:val="28"/>
          <w:rtl/>
          <w:lang w:val="fr-CH"/>
        </w:rPr>
        <w:t>المادة 15</w:t>
      </w:r>
      <w:r>
        <w:rPr>
          <w:rFonts w:hint="cs"/>
          <w:szCs w:val="28"/>
          <w:rtl/>
          <w:lang w:val="fr-CH"/>
        </w:rPr>
        <w:t>-</w:t>
      </w:r>
      <w:r w:rsidR="0052259C">
        <w:rPr>
          <w:rFonts w:hint="cs"/>
          <w:szCs w:val="28"/>
          <w:rtl/>
          <w:lang w:val="fr-CH"/>
        </w:rPr>
        <w:t xml:space="preserve"> الحقوق القانونية</w:t>
      </w:r>
      <w:r w:rsidR="000B7434" w:rsidRPr="000B7434">
        <w:rPr>
          <w:szCs w:val="28"/>
          <w:rtl/>
          <w:lang w:val="fr-CH"/>
        </w:rPr>
        <w:tab/>
      </w:r>
      <w:r w:rsidR="000B7434" w:rsidRPr="000B7434">
        <w:rPr>
          <w:rFonts w:hint="cs"/>
          <w:szCs w:val="28"/>
          <w:rtl/>
          <w:lang w:val="fr-CH"/>
        </w:rPr>
        <w:tab/>
        <w:t>194-196</w:t>
      </w:r>
      <w:r w:rsidR="000B7434" w:rsidRPr="000B7434">
        <w:rPr>
          <w:rFonts w:hint="cs"/>
          <w:szCs w:val="28"/>
          <w:rtl/>
          <w:lang w:val="fr-CH"/>
        </w:rPr>
        <w:tab/>
      </w:r>
      <w:r w:rsidR="0087140E">
        <w:rPr>
          <w:rFonts w:hint="cs"/>
          <w:szCs w:val="28"/>
          <w:rtl/>
          <w:lang w:val="fr-CH"/>
        </w:rPr>
        <w:t>67</w:t>
      </w:r>
    </w:p>
    <w:p w:rsidR="000B7434" w:rsidRPr="000B7434" w:rsidRDefault="002858D6" w:rsidP="00416679">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Pr>
          <w:rFonts w:hint="cs"/>
          <w:szCs w:val="28"/>
          <w:rtl/>
          <w:lang w:val="fr-CH"/>
        </w:rPr>
        <w:tab/>
      </w:r>
      <w:r w:rsidR="000B7434" w:rsidRPr="000B7434">
        <w:rPr>
          <w:szCs w:val="28"/>
          <w:rtl/>
          <w:lang w:val="fr-CH"/>
        </w:rPr>
        <w:tab/>
      </w:r>
      <w:r w:rsidR="000B7434" w:rsidRPr="000B7434">
        <w:rPr>
          <w:szCs w:val="28"/>
          <w:rtl/>
          <w:lang w:val="fr-CH"/>
        </w:rPr>
        <w:tab/>
      </w:r>
      <w:r w:rsidR="000B7434" w:rsidRPr="000B7434">
        <w:rPr>
          <w:rFonts w:hint="cs"/>
          <w:szCs w:val="28"/>
          <w:rtl/>
          <w:lang w:val="fr-CH"/>
        </w:rPr>
        <w:t>المادة 16</w:t>
      </w:r>
      <w:r>
        <w:rPr>
          <w:rFonts w:hint="cs"/>
          <w:szCs w:val="28"/>
          <w:rtl/>
          <w:lang w:val="fr-CH"/>
        </w:rPr>
        <w:t>-</w:t>
      </w:r>
      <w:r w:rsidR="0052259C">
        <w:rPr>
          <w:rFonts w:hint="cs"/>
          <w:szCs w:val="28"/>
          <w:rtl/>
          <w:lang w:val="fr-CH"/>
        </w:rPr>
        <w:t xml:space="preserve"> الزواج والعلاقات الأسرية</w:t>
      </w:r>
      <w:r w:rsidR="000B7434" w:rsidRPr="000B7434">
        <w:rPr>
          <w:szCs w:val="28"/>
          <w:rtl/>
          <w:lang w:val="fr-CH"/>
        </w:rPr>
        <w:tab/>
      </w:r>
      <w:r w:rsidR="000B7434" w:rsidRPr="000B7434">
        <w:rPr>
          <w:rFonts w:hint="cs"/>
          <w:szCs w:val="28"/>
          <w:rtl/>
          <w:lang w:val="fr-CH"/>
        </w:rPr>
        <w:tab/>
        <w:t>197-205</w:t>
      </w:r>
      <w:r w:rsidR="000B7434" w:rsidRPr="000B7434">
        <w:rPr>
          <w:rFonts w:hint="cs"/>
          <w:szCs w:val="28"/>
          <w:rtl/>
          <w:lang w:val="fr-CH"/>
        </w:rPr>
        <w:tab/>
      </w:r>
      <w:r w:rsidR="0087140E">
        <w:rPr>
          <w:rFonts w:hint="cs"/>
          <w:szCs w:val="28"/>
          <w:rtl/>
          <w:lang w:val="fr-CH"/>
        </w:rPr>
        <w:t>68</w:t>
      </w:r>
    </w:p>
    <w:p w:rsidR="000B7434" w:rsidRPr="000B7434" w:rsidRDefault="000B7434" w:rsidP="00416679">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hint="cs"/>
          <w:szCs w:val="28"/>
          <w:rtl/>
          <w:lang w:val="fr-CH"/>
        </w:rPr>
      </w:pPr>
      <w:r w:rsidRPr="000B7434">
        <w:rPr>
          <w:szCs w:val="28"/>
          <w:rtl/>
          <w:lang w:val="fr-CH"/>
        </w:rPr>
        <w:tab/>
      </w:r>
      <w:r w:rsidRPr="000B7434">
        <w:rPr>
          <w:rFonts w:hint="cs"/>
          <w:szCs w:val="28"/>
          <w:rtl/>
          <w:lang w:val="fr-CH"/>
        </w:rPr>
        <w:t>الجزء الثالث</w:t>
      </w:r>
      <w:r w:rsidRPr="000B7434">
        <w:rPr>
          <w:szCs w:val="28"/>
          <w:rtl/>
          <w:lang w:val="fr-CH"/>
        </w:rPr>
        <w:tab/>
      </w:r>
      <w:r w:rsidR="002858D6">
        <w:rPr>
          <w:rFonts w:hint="cs"/>
          <w:szCs w:val="28"/>
          <w:rtl/>
          <w:lang w:val="fr-CH"/>
        </w:rPr>
        <w:t>-</w:t>
      </w:r>
      <w:r w:rsidRPr="000B7434">
        <w:rPr>
          <w:szCs w:val="28"/>
          <w:rtl/>
          <w:lang w:val="fr-CH"/>
        </w:rPr>
        <w:tab/>
      </w:r>
      <w:r w:rsidRPr="000B7434">
        <w:rPr>
          <w:rFonts w:hint="cs"/>
          <w:szCs w:val="28"/>
          <w:rtl/>
          <w:lang w:val="fr-CH"/>
        </w:rPr>
        <w:t>التقدم المحرز في تنفيذ منهاج عمل بيجين</w:t>
      </w:r>
      <w:r w:rsidRPr="000B7434">
        <w:rPr>
          <w:szCs w:val="28"/>
          <w:rtl/>
          <w:lang w:val="fr-CH"/>
        </w:rPr>
        <w:tab/>
      </w:r>
      <w:r w:rsidRPr="000B7434">
        <w:rPr>
          <w:szCs w:val="28"/>
          <w:rtl/>
          <w:lang w:val="fr-CH"/>
        </w:rPr>
        <w:tab/>
      </w:r>
      <w:r w:rsidRPr="000B7434">
        <w:rPr>
          <w:rFonts w:hint="cs"/>
          <w:szCs w:val="28"/>
          <w:rtl/>
          <w:lang w:val="fr-CH"/>
        </w:rPr>
        <w:t>206-259</w:t>
      </w:r>
      <w:r w:rsidRPr="000B7434">
        <w:rPr>
          <w:rFonts w:hint="cs"/>
          <w:szCs w:val="28"/>
          <w:rtl/>
          <w:lang w:val="fr-CH"/>
        </w:rPr>
        <w:tab/>
      </w:r>
      <w:r w:rsidR="0087140E">
        <w:rPr>
          <w:rFonts w:hint="cs"/>
          <w:szCs w:val="28"/>
          <w:rtl/>
          <w:lang w:val="fr-CH"/>
        </w:rPr>
        <w:t>71</w:t>
      </w:r>
    </w:p>
    <w:p w:rsidR="000B7434" w:rsidRPr="000B7434" w:rsidRDefault="000B7434" w:rsidP="00416679">
      <w:pPr>
        <w:tabs>
          <w:tab w:val="right" w:pos="1021"/>
          <w:tab w:val="left" w:pos="1077"/>
          <w:tab w:val="left" w:pos="1525"/>
          <w:tab w:val="left" w:pos="1842"/>
          <w:tab w:val="left" w:pos="2206"/>
          <w:tab w:val="left" w:leader="dot" w:pos="7469"/>
          <w:tab w:val="left" w:pos="7972"/>
          <w:tab w:val="right" w:pos="9638"/>
        </w:tabs>
        <w:spacing w:after="120" w:line="360" w:lineRule="exact"/>
        <w:rPr>
          <w:rFonts w:hint="cs"/>
          <w:szCs w:val="28"/>
          <w:rtl/>
          <w:lang w:val="fr-CH"/>
        </w:rPr>
      </w:pPr>
      <w:r w:rsidRPr="000B7434">
        <w:rPr>
          <w:szCs w:val="28"/>
          <w:rtl/>
          <w:lang w:val="fr-CH"/>
        </w:rPr>
        <w:tab/>
      </w:r>
      <w:r w:rsidRPr="000B7434">
        <w:rPr>
          <w:rFonts w:hint="cs"/>
          <w:szCs w:val="28"/>
          <w:rtl/>
          <w:lang w:val="fr-CH"/>
        </w:rPr>
        <w:t>الجزء الرابع</w:t>
      </w:r>
      <w:r w:rsidRPr="000B7434">
        <w:rPr>
          <w:szCs w:val="28"/>
          <w:rtl/>
          <w:lang w:val="fr-CH"/>
        </w:rPr>
        <w:tab/>
      </w:r>
      <w:r w:rsidR="002858D6">
        <w:rPr>
          <w:rFonts w:hint="cs"/>
          <w:szCs w:val="28"/>
          <w:rtl/>
          <w:lang w:val="fr-CH"/>
        </w:rPr>
        <w:t>-</w:t>
      </w:r>
      <w:r w:rsidRPr="000B7434">
        <w:rPr>
          <w:szCs w:val="28"/>
          <w:rtl/>
          <w:lang w:val="fr-CH"/>
        </w:rPr>
        <w:tab/>
      </w:r>
      <w:r w:rsidR="002858D6">
        <w:rPr>
          <w:rFonts w:hint="cs"/>
          <w:szCs w:val="28"/>
          <w:rtl/>
          <w:lang w:val="fr-CH"/>
        </w:rPr>
        <w:t>المسائل الناشئة</w:t>
      </w:r>
      <w:r w:rsidRPr="000B7434">
        <w:rPr>
          <w:szCs w:val="28"/>
          <w:rtl/>
          <w:lang w:val="fr-CH"/>
        </w:rPr>
        <w:tab/>
      </w:r>
      <w:r w:rsidRPr="000B7434">
        <w:rPr>
          <w:rFonts w:hint="cs"/>
          <w:szCs w:val="28"/>
          <w:rtl/>
          <w:lang w:val="fr-CH"/>
        </w:rPr>
        <w:tab/>
        <w:t>260-273</w:t>
      </w:r>
      <w:r w:rsidRPr="000B7434">
        <w:rPr>
          <w:rFonts w:hint="cs"/>
          <w:szCs w:val="28"/>
          <w:rtl/>
          <w:lang w:val="fr-CH"/>
        </w:rPr>
        <w:tab/>
      </w:r>
      <w:r w:rsidR="0087140E">
        <w:rPr>
          <w:rFonts w:hint="cs"/>
          <w:szCs w:val="28"/>
          <w:rtl/>
          <w:lang w:val="fr-CH"/>
        </w:rPr>
        <w:t>88</w:t>
      </w:r>
    </w:p>
    <w:p w:rsidR="000B7434" w:rsidRPr="000B7434" w:rsidRDefault="002858D6" w:rsidP="004B4D13">
      <w:pPr>
        <w:tabs>
          <w:tab w:val="right" w:pos="1021"/>
          <w:tab w:val="left" w:pos="1077"/>
          <w:tab w:val="left" w:pos="1525"/>
          <w:tab w:val="left" w:pos="1842"/>
          <w:tab w:val="left" w:pos="2206"/>
          <w:tab w:val="left" w:pos="2681"/>
          <w:tab w:val="left" w:leader="dot" w:pos="7469"/>
          <w:tab w:val="left" w:pos="7972"/>
          <w:tab w:val="right" w:pos="9638"/>
        </w:tabs>
        <w:spacing w:after="60" w:line="360" w:lineRule="exact"/>
        <w:rPr>
          <w:rFonts w:hint="cs"/>
          <w:szCs w:val="28"/>
          <w:rtl/>
          <w:lang w:val="fr-CH"/>
        </w:rPr>
      </w:pPr>
      <w:r>
        <w:rPr>
          <w:rFonts w:hint="cs"/>
          <w:szCs w:val="28"/>
          <w:rtl/>
          <w:lang w:val="fr-CH"/>
        </w:rPr>
        <w:tab/>
        <w:t>الجداول</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szCs w:val="28"/>
          <w:rtl/>
          <w:lang w:val="fr-CH"/>
        </w:rPr>
        <w:tab/>
      </w:r>
      <w:r w:rsidRPr="000B7434">
        <w:rPr>
          <w:rFonts w:hint="cs"/>
          <w:szCs w:val="28"/>
          <w:rtl/>
          <w:lang w:val="fr-CH"/>
        </w:rPr>
        <w:t>1</w:t>
      </w:r>
      <w:r w:rsidR="002858D6">
        <w:rPr>
          <w:rFonts w:hint="cs"/>
          <w:szCs w:val="28"/>
          <w:rtl/>
          <w:lang w:val="fr-CH"/>
        </w:rPr>
        <w:tab/>
      </w:r>
      <w:r w:rsidRPr="000B7434">
        <w:rPr>
          <w:rFonts w:hint="cs"/>
          <w:szCs w:val="28"/>
          <w:rtl/>
          <w:lang w:val="fr-CH"/>
        </w:rPr>
        <w:t>-</w:t>
      </w:r>
      <w:r w:rsidRPr="000B7434">
        <w:rPr>
          <w:szCs w:val="28"/>
          <w:rtl/>
          <w:lang w:val="fr-CH"/>
        </w:rPr>
        <w:tab/>
      </w:r>
      <w:r w:rsidRPr="000B7434">
        <w:rPr>
          <w:rFonts w:hint="cs"/>
          <w:szCs w:val="28"/>
          <w:rtl/>
          <w:lang w:val="fr-CH"/>
        </w:rPr>
        <w:t xml:space="preserve">أهداف الخطة الثلاثية السنوات المؤقتة </w:t>
      </w:r>
      <w:r w:rsidRPr="000B7434">
        <w:rPr>
          <w:szCs w:val="28"/>
          <w:rtl/>
          <w:lang w:val="fr-CH"/>
        </w:rPr>
        <w:tab/>
      </w:r>
      <w:r w:rsidRPr="000B7434">
        <w:rPr>
          <w:rFonts w:hint="cs"/>
          <w:szCs w:val="28"/>
          <w:rtl/>
          <w:lang w:val="fr-CH"/>
        </w:rPr>
        <w:tab/>
      </w:r>
      <w:r w:rsidR="00416679">
        <w:rPr>
          <w:rFonts w:hint="cs"/>
          <w:szCs w:val="28"/>
          <w:rtl/>
          <w:lang w:val="fr-CH"/>
        </w:rPr>
        <w:t>9</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2</w:t>
      </w:r>
      <w:r w:rsidR="002858D6">
        <w:rPr>
          <w:rFonts w:hint="cs"/>
          <w:szCs w:val="28"/>
          <w:rtl/>
          <w:lang w:val="fr-CH"/>
        </w:rPr>
        <w:tab/>
      </w:r>
      <w:r w:rsidRPr="000B7434">
        <w:rPr>
          <w:rFonts w:hint="cs"/>
          <w:szCs w:val="28"/>
          <w:rtl/>
          <w:lang w:val="fr-CH"/>
        </w:rPr>
        <w:t>-</w:t>
      </w:r>
      <w:r w:rsidRPr="000B7434">
        <w:rPr>
          <w:szCs w:val="28"/>
          <w:rtl/>
          <w:lang w:val="fr-CH"/>
        </w:rPr>
        <w:tab/>
      </w:r>
      <w:r w:rsidRPr="000B7434">
        <w:rPr>
          <w:rFonts w:hint="cs"/>
          <w:szCs w:val="28"/>
          <w:rtl/>
          <w:lang w:val="fr-CH"/>
        </w:rPr>
        <w:t>الحصة من التسجيل في المستوى الا</w:t>
      </w:r>
      <w:r w:rsidR="0052259C">
        <w:rPr>
          <w:rFonts w:hint="cs"/>
          <w:szCs w:val="28"/>
          <w:rtl/>
          <w:lang w:val="fr-CH"/>
        </w:rPr>
        <w:t>بتدائي حسب المجموعات الاجتماعية</w:t>
      </w:r>
      <w:r w:rsidRPr="000B7434">
        <w:rPr>
          <w:szCs w:val="28"/>
          <w:rtl/>
          <w:lang w:val="fr-CH"/>
        </w:rPr>
        <w:tab/>
      </w:r>
      <w:r w:rsidRPr="000B7434">
        <w:rPr>
          <w:rFonts w:hint="cs"/>
          <w:szCs w:val="28"/>
          <w:rtl/>
          <w:lang w:val="fr-CH"/>
        </w:rPr>
        <w:tab/>
      </w:r>
      <w:r w:rsidR="00416679">
        <w:rPr>
          <w:rFonts w:hint="cs"/>
          <w:szCs w:val="28"/>
          <w:rtl/>
          <w:lang w:val="fr-CH"/>
        </w:rPr>
        <w:t>13</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szCs w:val="28"/>
          <w:rtl/>
          <w:lang w:val="fr-CH"/>
        </w:rPr>
        <w:tab/>
      </w:r>
      <w:r w:rsidRPr="000B7434">
        <w:rPr>
          <w:rFonts w:hint="cs"/>
          <w:szCs w:val="28"/>
          <w:rtl/>
          <w:lang w:val="fr-CH"/>
        </w:rPr>
        <w:t>3</w:t>
      </w:r>
      <w:r w:rsidR="002858D6">
        <w:rPr>
          <w:rFonts w:hint="cs"/>
          <w:szCs w:val="28"/>
          <w:rtl/>
          <w:lang w:val="fr-CH"/>
        </w:rPr>
        <w:tab/>
      </w:r>
      <w:r w:rsidRPr="000B7434">
        <w:rPr>
          <w:rFonts w:hint="cs"/>
          <w:szCs w:val="28"/>
          <w:rtl/>
          <w:lang w:val="fr-CH"/>
        </w:rPr>
        <w:t>-</w:t>
      </w:r>
      <w:r w:rsidRPr="000B7434">
        <w:rPr>
          <w:szCs w:val="28"/>
          <w:rtl/>
          <w:lang w:val="fr-CH"/>
        </w:rPr>
        <w:tab/>
      </w:r>
      <w:r w:rsidRPr="000B7434">
        <w:rPr>
          <w:rFonts w:hint="cs"/>
          <w:szCs w:val="28"/>
          <w:rtl/>
          <w:lang w:val="fr-CH"/>
        </w:rPr>
        <w:t xml:space="preserve">عدد ضحايا الاتجار بالأشخاص حسب السن وعدد القضايا المرفوعة في المحاكم خلال الفترة من السنة </w:t>
      </w:r>
      <w:r w:rsidR="002858D6">
        <w:rPr>
          <w:szCs w:val="28"/>
          <w:rtl/>
          <w:lang w:val="fr-CH"/>
        </w:rPr>
        <w:br/>
      </w:r>
      <w:r w:rsidR="002858D6">
        <w:rPr>
          <w:rFonts w:hint="cs"/>
          <w:szCs w:val="28"/>
          <w:rtl/>
          <w:lang w:val="fr-CH"/>
        </w:rPr>
        <w:tab/>
      </w:r>
      <w:r w:rsidR="002858D6">
        <w:rPr>
          <w:rFonts w:hint="cs"/>
          <w:szCs w:val="28"/>
          <w:rtl/>
          <w:lang w:val="fr-CH"/>
        </w:rPr>
        <w:tab/>
      </w:r>
      <w:r w:rsidR="002858D6">
        <w:rPr>
          <w:rFonts w:hint="cs"/>
          <w:szCs w:val="28"/>
          <w:rtl/>
          <w:lang w:val="fr-CH"/>
        </w:rPr>
        <w:tab/>
      </w:r>
      <w:r w:rsidRPr="000B7434">
        <w:rPr>
          <w:rFonts w:hint="cs"/>
          <w:szCs w:val="28"/>
          <w:rtl/>
          <w:lang w:val="fr-CH"/>
        </w:rPr>
        <w:t>المالية 2003-2</w:t>
      </w:r>
      <w:r w:rsidR="002858D6">
        <w:rPr>
          <w:rFonts w:hint="cs"/>
          <w:szCs w:val="28"/>
          <w:rtl/>
          <w:lang w:val="fr-CH"/>
        </w:rPr>
        <w:t>004 إلى السنة المالية 2006/2007</w:t>
      </w:r>
      <w:r w:rsidRPr="000B7434">
        <w:rPr>
          <w:szCs w:val="28"/>
          <w:rtl/>
          <w:lang w:val="fr-CH"/>
        </w:rPr>
        <w:tab/>
      </w:r>
      <w:r w:rsidRPr="000B7434">
        <w:rPr>
          <w:rFonts w:hint="cs"/>
          <w:szCs w:val="28"/>
          <w:rtl/>
          <w:lang w:val="fr-CH"/>
        </w:rPr>
        <w:tab/>
      </w:r>
      <w:r w:rsidR="00416679">
        <w:rPr>
          <w:rFonts w:hint="cs"/>
          <w:szCs w:val="28"/>
          <w:rtl/>
          <w:lang w:val="fr-CH"/>
        </w:rPr>
        <w:t>29</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4</w:t>
      </w:r>
      <w:r w:rsidR="002858D6">
        <w:rPr>
          <w:rFonts w:hint="cs"/>
          <w:szCs w:val="28"/>
          <w:rtl/>
          <w:lang w:val="fr-CH"/>
        </w:rPr>
        <w:tab/>
      </w:r>
      <w:r w:rsidRPr="000B7434">
        <w:rPr>
          <w:rFonts w:hint="cs"/>
          <w:szCs w:val="28"/>
          <w:rtl/>
          <w:lang w:val="fr-CH"/>
        </w:rPr>
        <w:t>-</w:t>
      </w:r>
      <w:r w:rsidRPr="000B7434">
        <w:rPr>
          <w:szCs w:val="28"/>
          <w:rtl/>
          <w:lang w:val="fr-CH"/>
        </w:rPr>
        <w:tab/>
      </w:r>
      <w:r w:rsidRPr="000B7434">
        <w:rPr>
          <w:rFonts w:hint="cs"/>
          <w:szCs w:val="28"/>
          <w:rtl/>
          <w:lang w:val="fr-CH"/>
        </w:rPr>
        <w:t>حالة قضايا الاتجار بالأشخاص المسجلة في المحاكم</w:t>
      </w:r>
      <w:r w:rsidRPr="000B7434">
        <w:rPr>
          <w:szCs w:val="28"/>
          <w:rtl/>
          <w:lang w:val="fr-CH"/>
        </w:rPr>
        <w:tab/>
      </w:r>
      <w:r w:rsidRPr="000B7434">
        <w:rPr>
          <w:szCs w:val="28"/>
          <w:rtl/>
          <w:lang w:val="fr-CH"/>
        </w:rPr>
        <w:tab/>
      </w:r>
      <w:r w:rsidR="00416679">
        <w:rPr>
          <w:rFonts w:hint="cs"/>
          <w:szCs w:val="28"/>
          <w:rtl/>
          <w:lang w:val="fr-CH"/>
        </w:rPr>
        <w:t>29</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szCs w:val="28"/>
          <w:rtl/>
          <w:lang w:val="fr-CH"/>
        </w:rPr>
        <w:tab/>
      </w:r>
      <w:r w:rsidRPr="000B7434">
        <w:rPr>
          <w:rFonts w:hint="cs"/>
          <w:szCs w:val="28"/>
          <w:rtl/>
          <w:lang w:val="fr-CH"/>
        </w:rPr>
        <w:t>5</w:t>
      </w:r>
      <w:r w:rsidR="002858D6">
        <w:rPr>
          <w:rFonts w:hint="cs"/>
          <w:szCs w:val="28"/>
          <w:rtl/>
          <w:lang w:val="fr-CH"/>
        </w:rPr>
        <w:tab/>
      </w:r>
      <w:r w:rsidRPr="000B7434">
        <w:rPr>
          <w:rFonts w:hint="cs"/>
          <w:szCs w:val="28"/>
          <w:rtl/>
          <w:lang w:val="fr-CH"/>
        </w:rPr>
        <w:t>-</w:t>
      </w:r>
      <w:r w:rsidRPr="000B7434">
        <w:rPr>
          <w:szCs w:val="28"/>
          <w:rtl/>
          <w:lang w:val="fr-CH"/>
        </w:rPr>
        <w:tab/>
      </w:r>
      <w:r w:rsidRPr="000B7434">
        <w:rPr>
          <w:rFonts w:hint="cs"/>
          <w:szCs w:val="28"/>
          <w:rtl/>
          <w:lang w:val="fr-CH"/>
        </w:rPr>
        <w:t>انتخابات الجمع</w:t>
      </w:r>
      <w:r w:rsidR="0052259C">
        <w:rPr>
          <w:rFonts w:hint="cs"/>
          <w:szCs w:val="28"/>
          <w:rtl/>
          <w:lang w:val="fr-CH"/>
        </w:rPr>
        <w:t>ية التأسيسية: المرشحون والنتائج</w:t>
      </w:r>
      <w:r w:rsidRPr="000B7434">
        <w:rPr>
          <w:szCs w:val="28"/>
          <w:rtl/>
          <w:lang w:val="fr-CH"/>
        </w:rPr>
        <w:tab/>
      </w:r>
      <w:r w:rsidRPr="000B7434">
        <w:rPr>
          <w:rFonts w:hint="cs"/>
          <w:szCs w:val="28"/>
          <w:rtl/>
          <w:lang w:val="fr-CH"/>
        </w:rPr>
        <w:tab/>
      </w:r>
      <w:r w:rsidR="00416679">
        <w:rPr>
          <w:rFonts w:hint="cs"/>
          <w:szCs w:val="28"/>
          <w:rtl/>
          <w:lang w:val="fr-CH"/>
        </w:rPr>
        <w:t>35</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6</w:t>
      </w:r>
      <w:r w:rsidR="002858D6">
        <w:rPr>
          <w:rFonts w:hint="cs"/>
          <w:szCs w:val="28"/>
          <w:rtl/>
          <w:lang w:val="fr-CH"/>
        </w:rPr>
        <w:tab/>
      </w:r>
      <w:r w:rsidRPr="000B7434">
        <w:rPr>
          <w:rFonts w:hint="cs"/>
          <w:szCs w:val="28"/>
          <w:rtl/>
          <w:lang w:val="fr-CH"/>
        </w:rPr>
        <w:t>-</w:t>
      </w:r>
      <w:r w:rsidRPr="000B7434">
        <w:rPr>
          <w:szCs w:val="28"/>
          <w:rtl/>
          <w:lang w:val="fr-CH"/>
        </w:rPr>
        <w:tab/>
      </w:r>
      <w:r w:rsidRPr="000B7434">
        <w:rPr>
          <w:rFonts w:hint="cs"/>
          <w:szCs w:val="28"/>
          <w:rtl/>
          <w:lang w:val="fr-CH"/>
        </w:rPr>
        <w:t>انتخابات الجمع</w:t>
      </w:r>
      <w:r w:rsidR="0052259C">
        <w:rPr>
          <w:rFonts w:hint="cs"/>
          <w:szCs w:val="28"/>
          <w:rtl/>
          <w:lang w:val="fr-CH"/>
        </w:rPr>
        <w:t>ية التأسيسية: المرشحون والنتائج</w:t>
      </w:r>
      <w:r w:rsidRPr="000B7434">
        <w:rPr>
          <w:szCs w:val="28"/>
          <w:rtl/>
          <w:lang w:val="fr-CH"/>
        </w:rPr>
        <w:tab/>
      </w:r>
      <w:r w:rsidRPr="000B7434">
        <w:rPr>
          <w:szCs w:val="28"/>
          <w:rtl/>
          <w:lang w:val="fr-CH"/>
        </w:rPr>
        <w:tab/>
      </w:r>
      <w:r w:rsidR="00416679">
        <w:rPr>
          <w:rFonts w:hint="cs"/>
          <w:szCs w:val="28"/>
          <w:rtl/>
          <w:lang w:val="fr-CH"/>
        </w:rPr>
        <w:t>36</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7</w:t>
      </w:r>
      <w:r w:rsidR="002858D6">
        <w:rPr>
          <w:rFonts w:hint="cs"/>
          <w:szCs w:val="28"/>
          <w:rtl/>
          <w:lang w:val="fr-CH"/>
        </w:rPr>
        <w:tab/>
      </w:r>
      <w:r w:rsidRPr="000B7434">
        <w:rPr>
          <w:rFonts w:hint="cs"/>
          <w:szCs w:val="28"/>
          <w:rtl/>
          <w:lang w:val="fr-CH"/>
        </w:rPr>
        <w:t>-</w:t>
      </w:r>
      <w:r w:rsidRPr="000B7434">
        <w:rPr>
          <w:szCs w:val="28"/>
          <w:rtl/>
          <w:lang w:val="fr-CH"/>
        </w:rPr>
        <w:tab/>
      </w:r>
      <w:r w:rsidRPr="000B7434">
        <w:rPr>
          <w:rFonts w:hint="cs"/>
          <w:szCs w:val="28"/>
          <w:rtl/>
          <w:lang w:val="fr-CH"/>
        </w:rPr>
        <w:t xml:space="preserve">الإحصاءات المفصلة حسب الجنس لأعضاء الجمعية التأسيسية الممثلين لمختلف الأحزاب السياسية، </w:t>
      </w:r>
      <w:r w:rsidR="002858D6">
        <w:rPr>
          <w:szCs w:val="28"/>
          <w:rtl/>
          <w:lang w:val="fr-CH"/>
        </w:rPr>
        <w:br/>
      </w:r>
      <w:r w:rsidR="002858D6">
        <w:rPr>
          <w:rFonts w:hint="cs"/>
          <w:szCs w:val="28"/>
          <w:rtl/>
          <w:lang w:val="fr-CH"/>
        </w:rPr>
        <w:tab/>
      </w:r>
      <w:r w:rsidR="002858D6">
        <w:rPr>
          <w:rFonts w:hint="cs"/>
          <w:szCs w:val="28"/>
          <w:rtl/>
          <w:lang w:val="fr-CH"/>
        </w:rPr>
        <w:tab/>
      </w:r>
      <w:r w:rsidR="002858D6">
        <w:rPr>
          <w:rFonts w:hint="cs"/>
          <w:szCs w:val="28"/>
          <w:rtl/>
          <w:lang w:val="fr-CH"/>
        </w:rPr>
        <w:tab/>
      </w:r>
      <w:r w:rsidRPr="000B7434">
        <w:rPr>
          <w:rFonts w:hint="cs"/>
          <w:szCs w:val="28"/>
          <w:rtl/>
          <w:lang w:val="fr-CH"/>
        </w:rPr>
        <w:t>ولمن ترشحوا على أساس مستقل</w:t>
      </w:r>
      <w:r w:rsidRPr="000B7434">
        <w:rPr>
          <w:szCs w:val="28"/>
          <w:rtl/>
          <w:lang w:val="fr-CH"/>
        </w:rPr>
        <w:tab/>
      </w:r>
      <w:r w:rsidRPr="000B7434">
        <w:rPr>
          <w:szCs w:val="28"/>
          <w:rtl/>
          <w:lang w:val="fr-CH"/>
        </w:rPr>
        <w:tab/>
      </w:r>
      <w:r w:rsidR="00416679">
        <w:rPr>
          <w:rFonts w:hint="cs"/>
          <w:szCs w:val="28"/>
          <w:rtl/>
          <w:lang w:val="fr-CH"/>
        </w:rPr>
        <w:t>36</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8</w:t>
      </w:r>
      <w:r w:rsidR="002858D6">
        <w:rPr>
          <w:rFonts w:hint="cs"/>
          <w:szCs w:val="28"/>
          <w:rtl/>
          <w:lang w:val="fr-CH"/>
        </w:rPr>
        <w:tab/>
      </w:r>
      <w:r w:rsidRPr="000B7434">
        <w:rPr>
          <w:rFonts w:hint="cs"/>
          <w:szCs w:val="28"/>
          <w:rtl/>
          <w:lang w:val="fr-CH"/>
        </w:rPr>
        <w:t>-</w:t>
      </w:r>
      <w:r w:rsidRPr="000B7434">
        <w:rPr>
          <w:szCs w:val="28"/>
          <w:rtl/>
          <w:lang w:val="fr-CH"/>
        </w:rPr>
        <w:tab/>
      </w:r>
      <w:r w:rsidRPr="000B7434">
        <w:rPr>
          <w:rFonts w:hint="cs"/>
          <w:szCs w:val="28"/>
          <w:rtl/>
          <w:lang w:val="fr-CH"/>
        </w:rPr>
        <w:t>التوصيات بتعيينات على أساس جنساني 2006/2007</w:t>
      </w:r>
      <w:r w:rsidRPr="000B7434">
        <w:rPr>
          <w:szCs w:val="28"/>
          <w:rtl/>
          <w:lang w:val="fr-CH"/>
        </w:rPr>
        <w:tab/>
      </w:r>
      <w:r w:rsidRPr="000B7434">
        <w:rPr>
          <w:szCs w:val="28"/>
          <w:rtl/>
          <w:lang w:val="fr-CH"/>
        </w:rPr>
        <w:tab/>
      </w:r>
      <w:r w:rsidR="00416679">
        <w:rPr>
          <w:rFonts w:hint="cs"/>
          <w:szCs w:val="28"/>
          <w:rtl/>
          <w:lang w:val="fr-CH"/>
        </w:rPr>
        <w:t>38</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9</w:t>
      </w:r>
      <w:r w:rsidR="002858D6">
        <w:rPr>
          <w:rFonts w:hint="cs"/>
          <w:szCs w:val="28"/>
          <w:rtl/>
          <w:lang w:val="fr-CH"/>
        </w:rPr>
        <w:tab/>
      </w:r>
      <w:r w:rsidRPr="000B7434">
        <w:rPr>
          <w:rFonts w:hint="cs"/>
          <w:szCs w:val="28"/>
          <w:rtl/>
          <w:lang w:val="fr-CH"/>
        </w:rPr>
        <w:t>-</w:t>
      </w:r>
      <w:r w:rsidRPr="000B7434">
        <w:rPr>
          <w:szCs w:val="28"/>
          <w:rtl/>
          <w:lang w:val="fr-CH"/>
        </w:rPr>
        <w:tab/>
      </w:r>
      <w:r w:rsidRPr="000B7434">
        <w:rPr>
          <w:rFonts w:hint="cs"/>
          <w:szCs w:val="28"/>
          <w:rtl/>
          <w:lang w:val="fr-CH"/>
        </w:rPr>
        <w:t>مشاركة المرأة في القطاع القانوني، 2063/2064 (تقويم نيبال)</w:t>
      </w:r>
      <w:r w:rsidRPr="000B7434">
        <w:rPr>
          <w:szCs w:val="28"/>
          <w:rtl/>
          <w:lang w:val="fr-CH"/>
        </w:rPr>
        <w:tab/>
      </w:r>
      <w:r w:rsidRPr="000B7434">
        <w:rPr>
          <w:szCs w:val="28"/>
          <w:rtl/>
          <w:lang w:val="fr-CH"/>
        </w:rPr>
        <w:tab/>
      </w:r>
      <w:r w:rsidR="00416679">
        <w:rPr>
          <w:rFonts w:hint="cs"/>
          <w:szCs w:val="28"/>
          <w:rtl/>
          <w:lang w:val="fr-CH"/>
        </w:rPr>
        <w:t>39</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10</w:t>
      </w:r>
      <w:r w:rsidR="002858D6">
        <w:rPr>
          <w:rFonts w:hint="cs"/>
          <w:szCs w:val="28"/>
          <w:rtl/>
          <w:lang w:val="fr-CH"/>
        </w:rPr>
        <w:tab/>
      </w:r>
      <w:r w:rsidRPr="000B7434">
        <w:rPr>
          <w:rFonts w:hint="cs"/>
          <w:szCs w:val="28"/>
          <w:rtl/>
          <w:lang w:val="fr-CH"/>
        </w:rPr>
        <w:t>-</w:t>
      </w:r>
      <w:r w:rsidRPr="000B7434">
        <w:rPr>
          <w:szCs w:val="28"/>
          <w:rtl/>
          <w:lang w:val="fr-CH"/>
        </w:rPr>
        <w:tab/>
      </w:r>
      <w:r w:rsidRPr="000B7434">
        <w:rPr>
          <w:rFonts w:hint="cs"/>
          <w:szCs w:val="28"/>
          <w:rtl/>
          <w:lang w:val="fr-CH"/>
        </w:rPr>
        <w:t>إحصائيات عن القاضيات</w:t>
      </w:r>
      <w:r w:rsidRPr="000B7434">
        <w:rPr>
          <w:szCs w:val="28"/>
          <w:rtl/>
          <w:lang w:val="fr-CH"/>
        </w:rPr>
        <w:tab/>
      </w:r>
      <w:r w:rsidRPr="000B7434">
        <w:rPr>
          <w:szCs w:val="28"/>
          <w:rtl/>
          <w:lang w:val="fr-CH"/>
        </w:rPr>
        <w:tab/>
      </w:r>
      <w:r w:rsidR="00416679">
        <w:rPr>
          <w:rFonts w:hint="cs"/>
          <w:szCs w:val="28"/>
          <w:rtl/>
          <w:lang w:val="fr-CH"/>
        </w:rPr>
        <w:t>39</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11</w:t>
      </w:r>
      <w:r w:rsidR="002858D6">
        <w:rPr>
          <w:rFonts w:hint="cs"/>
          <w:szCs w:val="28"/>
          <w:rtl/>
          <w:lang w:val="fr-CH"/>
        </w:rPr>
        <w:tab/>
      </w:r>
      <w:r w:rsidRPr="000B7434">
        <w:rPr>
          <w:rFonts w:hint="cs"/>
          <w:szCs w:val="28"/>
          <w:rtl/>
          <w:lang w:val="fr-CH"/>
        </w:rPr>
        <w:t>-</w:t>
      </w:r>
      <w:r w:rsidRPr="000B7434">
        <w:rPr>
          <w:szCs w:val="28"/>
          <w:rtl/>
          <w:lang w:val="fr-CH"/>
        </w:rPr>
        <w:tab/>
      </w:r>
      <w:r w:rsidRPr="000B7434">
        <w:rPr>
          <w:rFonts w:hint="cs"/>
          <w:szCs w:val="28"/>
          <w:rtl/>
          <w:lang w:val="fr-CH"/>
        </w:rPr>
        <w:t>الطلبة المسجلون في التعليم العالي، حسب فرع الدراسة (بما في ذلك مستوى شهادة الكفاءة) في</w:t>
      </w:r>
      <w:r w:rsidR="002858D6">
        <w:rPr>
          <w:rFonts w:hint="cs"/>
          <w:szCs w:val="28"/>
          <w:rtl/>
          <w:lang w:val="fr-CH"/>
        </w:rPr>
        <w:t xml:space="preserve"> </w:t>
      </w:r>
      <w:r w:rsidRPr="000B7434">
        <w:rPr>
          <w:rFonts w:hint="cs"/>
          <w:szCs w:val="28"/>
          <w:rtl/>
          <w:lang w:val="fr-CH"/>
        </w:rPr>
        <w:t xml:space="preserve">كل </w:t>
      </w:r>
      <w:r w:rsidR="002858D6">
        <w:rPr>
          <w:szCs w:val="28"/>
          <w:rtl/>
          <w:lang w:val="fr-CH"/>
        </w:rPr>
        <w:br/>
      </w:r>
      <w:r w:rsidR="002858D6">
        <w:rPr>
          <w:rFonts w:hint="cs"/>
          <w:szCs w:val="28"/>
          <w:rtl/>
          <w:lang w:val="fr-CH"/>
        </w:rPr>
        <w:tab/>
      </w:r>
      <w:r w:rsidR="002858D6">
        <w:rPr>
          <w:rFonts w:hint="cs"/>
          <w:szCs w:val="28"/>
          <w:rtl/>
          <w:lang w:val="fr-CH"/>
        </w:rPr>
        <w:tab/>
      </w:r>
      <w:r w:rsidR="002858D6">
        <w:rPr>
          <w:rFonts w:hint="cs"/>
          <w:szCs w:val="28"/>
          <w:rtl/>
          <w:lang w:val="fr-CH"/>
        </w:rPr>
        <w:tab/>
      </w:r>
      <w:r w:rsidRPr="000B7434">
        <w:rPr>
          <w:rFonts w:hint="cs"/>
          <w:szCs w:val="28"/>
          <w:rtl/>
          <w:lang w:val="fr-CH"/>
        </w:rPr>
        <w:t>جامعات نيبال، 2004/2005</w:t>
      </w:r>
      <w:r w:rsidRPr="000B7434">
        <w:rPr>
          <w:szCs w:val="28"/>
          <w:rtl/>
          <w:lang w:val="fr-CH"/>
        </w:rPr>
        <w:tab/>
      </w:r>
      <w:r w:rsidRPr="000B7434">
        <w:rPr>
          <w:rFonts w:hint="cs"/>
          <w:szCs w:val="28"/>
          <w:rtl/>
          <w:lang w:val="fr-CH"/>
        </w:rPr>
        <w:tab/>
      </w:r>
      <w:r w:rsidR="00416679">
        <w:rPr>
          <w:rFonts w:hint="cs"/>
          <w:szCs w:val="28"/>
          <w:rtl/>
          <w:lang w:val="fr-CH"/>
        </w:rPr>
        <w:t>42</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12</w:t>
      </w:r>
      <w:r w:rsidR="002858D6">
        <w:rPr>
          <w:rFonts w:hint="cs"/>
          <w:szCs w:val="28"/>
          <w:rtl/>
          <w:lang w:val="fr-CH"/>
        </w:rPr>
        <w:tab/>
      </w:r>
      <w:r w:rsidRPr="000B7434">
        <w:rPr>
          <w:rFonts w:hint="cs"/>
          <w:szCs w:val="28"/>
          <w:rtl/>
          <w:lang w:val="fr-CH"/>
        </w:rPr>
        <w:t>-</w:t>
      </w:r>
      <w:r w:rsidRPr="000B7434">
        <w:rPr>
          <w:szCs w:val="28"/>
          <w:rtl/>
          <w:lang w:val="fr-CH"/>
        </w:rPr>
        <w:tab/>
      </w:r>
      <w:r w:rsidR="0052259C">
        <w:rPr>
          <w:rFonts w:hint="cs"/>
          <w:szCs w:val="28"/>
          <w:rtl/>
          <w:lang w:val="fr-CH"/>
        </w:rPr>
        <w:t>مشاركة المرأة في إدارة المدارس</w:t>
      </w:r>
      <w:r w:rsidRPr="000B7434">
        <w:rPr>
          <w:szCs w:val="28"/>
          <w:rtl/>
          <w:lang w:val="fr-CH"/>
        </w:rPr>
        <w:tab/>
      </w:r>
      <w:r w:rsidRPr="000B7434">
        <w:rPr>
          <w:rFonts w:hint="cs"/>
          <w:szCs w:val="28"/>
          <w:rtl/>
          <w:lang w:val="fr-CH"/>
        </w:rPr>
        <w:tab/>
      </w:r>
      <w:r w:rsidR="00416679">
        <w:rPr>
          <w:rFonts w:hint="cs"/>
          <w:szCs w:val="28"/>
          <w:rtl/>
          <w:lang w:val="fr-CH"/>
        </w:rPr>
        <w:t>43</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13</w:t>
      </w:r>
      <w:r w:rsidR="002858D6">
        <w:rPr>
          <w:rFonts w:hint="cs"/>
          <w:szCs w:val="28"/>
          <w:rtl/>
          <w:lang w:val="fr-CH"/>
        </w:rPr>
        <w:tab/>
      </w:r>
      <w:r w:rsidRPr="000B7434">
        <w:rPr>
          <w:rFonts w:hint="cs"/>
          <w:szCs w:val="28"/>
          <w:rtl/>
          <w:lang w:val="fr-CH"/>
        </w:rPr>
        <w:t>-</w:t>
      </w:r>
      <w:r w:rsidRPr="000B7434">
        <w:rPr>
          <w:szCs w:val="28"/>
          <w:rtl/>
          <w:lang w:val="fr-CH"/>
        </w:rPr>
        <w:tab/>
      </w:r>
      <w:r w:rsidRPr="000B7434">
        <w:rPr>
          <w:rFonts w:hint="cs"/>
          <w:szCs w:val="28"/>
          <w:rtl/>
          <w:lang w:val="fr-CH"/>
        </w:rPr>
        <w:t>المساهمة النسبية للرجال والنساء في القوة العاملة (1981-2001)</w:t>
      </w:r>
      <w:r w:rsidRPr="000B7434">
        <w:rPr>
          <w:szCs w:val="28"/>
          <w:rtl/>
          <w:lang w:val="fr-CH"/>
        </w:rPr>
        <w:tab/>
      </w:r>
      <w:r w:rsidRPr="000B7434">
        <w:rPr>
          <w:szCs w:val="28"/>
          <w:rtl/>
          <w:lang w:val="fr-CH"/>
        </w:rPr>
        <w:tab/>
      </w:r>
      <w:r w:rsidR="00416679">
        <w:rPr>
          <w:rFonts w:hint="cs"/>
          <w:szCs w:val="28"/>
          <w:rtl/>
          <w:lang w:val="fr-CH"/>
        </w:rPr>
        <w:t>47</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szCs w:val="28"/>
          <w:rtl/>
          <w:lang w:val="fr-CH"/>
        </w:rPr>
        <w:tab/>
      </w:r>
      <w:r w:rsidRPr="000B7434">
        <w:rPr>
          <w:rFonts w:hint="cs"/>
          <w:szCs w:val="28"/>
          <w:rtl/>
          <w:lang w:val="fr-CH"/>
        </w:rPr>
        <w:t>14</w:t>
      </w:r>
      <w:r w:rsidR="002858D6">
        <w:rPr>
          <w:rFonts w:hint="cs"/>
          <w:szCs w:val="28"/>
          <w:rtl/>
          <w:lang w:val="fr-CH"/>
        </w:rPr>
        <w:tab/>
      </w:r>
      <w:r w:rsidRPr="000B7434">
        <w:rPr>
          <w:rFonts w:hint="cs"/>
          <w:szCs w:val="28"/>
          <w:rtl/>
          <w:lang w:val="fr-CH"/>
        </w:rPr>
        <w:t>-</w:t>
      </w:r>
      <w:r w:rsidRPr="000B7434">
        <w:rPr>
          <w:szCs w:val="28"/>
          <w:rtl/>
          <w:lang w:val="fr-CH"/>
        </w:rPr>
        <w:tab/>
      </w:r>
      <w:r w:rsidRPr="000B7434">
        <w:rPr>
          <w:rFonts w:hint="cs"/>
          <w:szCs w:val="28"/>
          <w:rtl/>
          <w:lang w:val="fr-CH"/>
        </w:rPr>
        <w:t>الهجرة على أساس فردي</w:t>
      </w:r>
      <w:r w:rsidRPr="000B7434">
        <w:rPr>
          <w:szCs w:val="28"/>
          <w:rtl/>
          <w:lang w:val="fr-CH"/>
        </w:rPr>
        <w:tab/>
      </w:r>
      <w:r w:rsidRPr="000B7434">
        <w:rPr>
          <w:rFonts w:hint="cs"/>
          <w:szCs w:val="28"/>
          <w:rtl/>
          <w:lang w:val="fr-CH"/>
        </w:rPr>
        <w:tab/>
      </w:r>
      <w:r w:rsidR="00416679">
        <w:rPr>
          <w:rFonts w:hint="cs"/>
          <w:szCs w:val="28"/>
          <w:rtl/>
          <w:lang w:val="fr-CH"/>
        </w:rPr>
        <w:t>47</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15</w:t>
      </w:r>
      <w:r w:rsidR="002858D6">
        <w:rPr>
          <w:rFonts w:hint="cs"/>
          <w:szCs w:val="28"/>
          <w:rtl/>
          <w:lang w:val="fr-CH"/>
        </w:rPr>
        <w:tab/>
      </w:r>
      <w:r w:rsidRPr="000B7434">
        <w:rPr>
          <w:rFonts w:hint="cs"/>
          <w:szCs w:val="28"/>
          <w:rtl/>
          <w:lang w:val="fr-CH"/>
        </w:rPr>
        <w:t>-</w:t>
      </w:r>
      <w:r w:rsidRPr="000B7434">
        <w:rPr>
          <w:szCs w:val="28"/>
          <w:rtl/>
          <w:lang w:val="fr-CH"/>
        </w:rPr>
        <w:tab/>
      </w:r>
      <w:r w:rsidRPr="000B7434">
        <w:rPr>
          <w:rFonts w:hint="cs"/>
          <w:szCs w:val="28"/>
          <w:rtl/>
          <w:lang w:val="fr-CH"/>
        </w:rPr>
        <w:t>الهجرة</w:t>
      </w:r>
      <w:r w:rsidR="002858D6">
        <w:rPr>
          <w:rFonts w:hint="cs"/>
          <w:szCs w:val="28"/>
          <w:rtl/>
          <w:lang w:val="fr-CH"/>
        </w:rPr>
        <w:t xml:space="preserve"> عن طريق وكالات التوظيف الأجنبي</w:t>
      </w:r>
      <w:r w:rsidRPr="000B7434">
        <w:rPr>
          <w:szCs w:val="28"/>
          <w:rtl/>
          <w:lang w:val="fr-CH"/>
        </w:rPr>
        <w:tab/>
      </w:r>
      <w:r w:rsidRPr="000B7434">
        <w:rPr>
          <w:rFonts w:hint="cs"/>
          <w:szCs w:val="28"/>
          <w:rtl/>
          <w:lang w:val="fr-CH"/>
        </w:rPr>
        <w:tab/>
      </w:r>
      <w:r w:rsidR="0087140E">
        <w:rPr>
          <w:rFonts w:hint="cs"/>
          <w:szCs w:val="28"/>
          <w:rtl/>
          <w:lang w:val="fr-CH"/>
        </w:rPr>
        <w:t>48</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16</w:t>
      </w:r>
      <w:r w:rsidR="002858D6">
        <w:rPr>
          <w:rFonts w:hint="cs"/>
          <w:szCs w:val="28"/>
          <w:rtl/>
          <w:lang w:val="fr-CH"/>
        </w:rPr>
        <w:tab/>
      </w:r>
      <w:r w:rsidRPr="000B7434">
        <w:rPr>
          <w:rFonts w:hint="cs"/>
          <w:szCs w:val="28"/>
          <w:rtl/>
          <w:lang w:val="fr-CH"/>
        </w:rPr>
        <w:t>-</w:t>
      </w:r>
      <w:r w:rsidRPr="000B7434">
        <w:rPr>
          <w:szCs w:val="28"/>
          <w:rtl/>
          <w:lang w:val="fr-CH"/>
        </w:rPr>
        <w:tab/>
      </w:r>
      <w:r w:rsidRPr="000B7434">
        <w:rPr>
          <w:rFonts w:hint="cs"/>
          <w:szCs w:val="28"/>
          <w:rtl/>
          <w:lang w:val="fr-CH"/>
        </w:rPr>
        <w:t>عدد السكان المصابين بفيروس نقص المناعة البشرية</w:t>
      </w:r>
      <w:r w:rsidRPr="000B7434">
        <w:rPr>
          <w:szCs w:val="28"/>
          <w:rtl/>
          <w:lang w:val="fr-CH"/>
        </w:rPr>
        <w:tab/>
      </w:r>
      <w:r w:rsidRPr="000B7434">
        <w:rPr>
          <w:szCs w:val="28"/>
          <w:rtl/>
          <w:lang w:val="fr-CH"/>
        </w:rPr>
        <w:tab/>
      </w:r>
      <w:r w:rsidR="0087140E">
        <w:rPr>
          <w:rFonts w:hint="cs"/>
          <w:szCs w:val="28"/>
          <w:rtl/>
          <w:lang w:val="fr-CH"/>
        </w:rPr>
        <w:t>54</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17</w:t>
      </w:r>
      <w:r w:rsidR="002858D6">
        <w:rPr>
          <w:rFonts w:hint="cs"/>
          <w:szCs w:val="28"/>
          <w:rtl/>
          <w:lang w:val="fr-CH"/>
        </w:rPr>
        <w:tab/>
      </w:r>
      <w:r w:rsidRPr="000B7434">
        <w:rPr>
          <w:rFonts w:hint="cs"/>
          <w:szCs w:val="28"/>
          <w:rtl/>
          <w:lang w:val="fr-CH"/>
        </w:rPr>
        <w:t>-</w:t>
      </w:r>
      <w:r w:rsidRPr="000B7434">
        <w:rPr>
          <w:szCs w:val="28"/>
          <w:rtl/>
          <w:lang w:val="fr-CH"/>
        </w:rPr>
        <w:tab/>
      </w:r>
      <w:r w:rsidRPr="000B7434">
        <w:rPr>
          <w:rFonts w:hint="cs"/>
          <w:szCs w:val="28"/>
          <w:rtl/>
          <w:lang w:val="fr-CH"/>
        </w:rPr>
        <w:t>بيان السكان المصابين بفيروس نقص المناعة البشرية</w:t>
      </w:r>
      <w:r w:rsidRPr="000B7434">
        <w:rPr>
          <w:szCs w:val="28"/>
          <w:rtl/>
          <w:lang w:val="fr-CH"/>
        </w:rPr>
        <w:tab/>
      </w:r>
      <w:r w:rsidRPr="000B7434">
        <w:rPr>
          <w:szCs w:val="28"/>
          <w:rtl/>
          <w:lang w:val="fr-CH"/>
        </w:rPr>
        <w:tab/>
      </w:r>
      <w:r w:rsidR="0087140E">
        <w:rPr>
          <w:rFonts w:hint="cs"/>
          <w:szCs w:val="28"/>
          <w:rtl/>
          <w:lang w:val="fr-CH"/>
        </w:rPr>
        <w:t>54</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18</w:t>
      </w:r>
      <w:r w:rsidR="002858D6">
        <w:rPr>
          <w:rFonts w:hint="cs"/>
          <w:szCs w:val="28"/>
          <w:rtl/>
          <w:lang w:val="fr-CH"/>
        </w:rPr>
        <w:tab/>
      </w:r>
      <w:r w:rsidRPr="000B7434">
        <w:rPr>
          <w:rFonts w:hint="cs"/>
          <w:szCs w:val="28"/>
          <w:rtl/>
          <w:lang w:val="fr-CH"/>
        </w:rPr>
        <w:t>-</w:t>
      </w:r>
      <w:r w:rsidRPr="000B7434">
        <w:rPr>
          <w:szCs w:val="28"/>
          <w:rtl/>
          <w:lang w:val="fr-CH"/>
        </w:rPr>
        <w:tab/>
        <w:t>اشتراك الرجال والنساء في الأنشطة الاقتصادية والأنشطة غير</w:t>
      </w:r>
      <w:r w:rsidR="002858D6">
        <w:rPr>
          <w:rFonts w:hint="cs"/>
          <w:szCs w:val="28"/>
          <w:rtl/>
          <w:lang w:val="fr-CH"/>
        </w:rPr>
        <w:t xml:space="preserve"> </w:t>
      </w:r>
      <w:r w:rsidRPr="000B7434">
        <w:rPr>
          <w:szCs w:val="28"/>
          <w:rtl/>
          <w:lang w:val="fr-CH"/>
        </w:rPr>
        <w:t>الاقتصادية بصورة عامة</w:t>
      </w:r>
      <w:r w:rsidRPr="000B7434">
        <w:rPr>
          <w:szCs w:val="28"/>
          <w:rtl/>
          <w:lang w:val="fr-CH"/>
        </w:rPr>
        <w:tab/>
      </w:r>
      <w:r w:rsidRPr="000B7434">
        <w:rPr>
          <w:szCs w:val="28"/>
          <w:rtl/>
          <w:lang w:val="fr-CH"/>
        </w:rPr>
        <w:tab/>
      </w:r>
      <w:r w:rsidR="0087140E">
        <w:rPr>
          <w:rFonts w:hint="cs"/>
          <w:szCs w:val="28"/>
          <w:rtl/>
          <w:lang w:val="fr-CH"/>
        </w:rPr>
        <w:t>60</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19</w:t>
      </w:r>
      <w:r w:rsidR="002858D6">
        <w:rPr>
          <w:rFonts w:hint="cs"/>
          <w:szCs w:val="28"/>
          <w:rtl/>
          <w:lang w:val="fr-CH"/>
        </w:rPr>
        <w:tab/>
      </w:r>
      <w:r w:rsidRPr="000B7434">
        <w:rPr>
          <w:rFonts w:hint="cs"/>
          <w:szCs w:val="28"/>
          <w:rtl/>
          <w:lang w:val="fr-CH"/>
        </w:rPr>
        <w:t>-</w:t>
      </w:r>
      <w:r w:rsidRPr="000B7434">
        <w:rPr>
          <w:szCs w:val="28"/>
          <w:rtl/>
          <w:lang w:val="fr-CH"/>
        </w:rPr>
        <w:tab/>
        <w:t>رب الأسرة حسب الجنس</w:t>
      </w:r>
      <w:r w:rsidRPr="000B7434">
        <w:rPr>
          <w:szCs w:val="28"/>
          <w:rtl/>
          <w:lang w:val="fr-CH"/>
        </w:rPr>
        <w:tab/>
      </w:r>
      <w:r w:rsidRPr="000B7434">
        <w:rPr>
          <w:szCs w:val="28"/>
          <w:rtl/>
          <w:lang w:val="fr-CH"/>
        </w:rPr>
        <w:tab/>
      </w:r>
      <w:r w:rsidR="0087140E">
        <w:rPr>
          <w:rFonts w:hint="cs"/>
          <w:szCs w:val="28"/>
          <w:rtl/>
          <w:lang w:val="fr-CH"/>
        </w:rPr>
        <w:t>61</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20</w:t>
      </w:r>
      <w:r w:rsidR="002858D6">
        <w:rPr>
          <w:rFonts w:hint="cs"/>
          <w:szCs w:val="28"/>
          <w:rtl/>
          <w:lang w:val="fr-CH"/>
        </w:rPr>
        <w:tab/>
      </w:r>
      <w:r w:rsidRPr="000B7434">
        <w:rPr>
          <w:rFonts w:hint="cs"/>
          <w:szCs w:val="28"/>
          <w:rtl/>
          <w:lang w:val="fr-CH"/>
        </w:rPr>
        <w:t>-</w:t>
      </w:r>
      <w:r w:rsidRPr="000B7434">
        <w:rPr>
          <w:szCs w:val="28"/>
          <w:rtl/>
          <w:lang w:val="fr-CH"/>
        </w:rPr>
        <w:tab/>
        <w:t>الحالة الاقتصادية المقارنة للمرأة ال</w:t>
      </w:r>
      <w:r w:rsidR="008B03DA">
        <w:rPr>
          <w:szCs w:val="28"/>
          <w:rtl/>
          <w:lang w:val="fr-CH"/>
        </w:rPr>
        <w:t>نيبالية (في عامي 1996 و</w:t>
      </w:r>
      <w:r w:rsidRPr="000B7434">
        <w:rPr>
          <w:szCs w:val="28"/>
          <w:rtl/>
          <w:lang w:val="fr-CH"/>
        </w:rPr>
        <w:t>2004)</w:t>
      </w:r>
      <w:r w:rsidRPr="000B7434">
        <w:rPr>
          <w:szCs w:val="28"/>
          <w:rtl/>
          <w:lang w:val="fr-CH"/>
        </w:rPr>
        <w:tab/>
      </w:r>
      <w:r w:rsidRPr="000B7434">
        <w:rPr>
          <w:szCs w:val="28"/>
          <w:rtl/>
          <w:lang w:val="fr-CH"/>
        </w:rPr>
        <w:tab/>
      </w:r>
      <w:r w:rsidR="0087140E">
        <w:rPr>
          <w:rFonts w:hint="cs"/>
          <w:szCs w:val="28"/>
          <w:rtl/>
          <w:lang w:val="fr-CH"/>
        </w:rPr>
        <w:t>61</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21</w:t>
      </w:r>
      <w:r w:rsidR="002858D6">
        <w:rPr>
          <w:rFonts w:hint="cs"/>
          <w:szCs w:val="28"/>
          <w:rtl/>
          <w:lang w:val="fr-CH"/>
        </w:rPr>
        <w:tab/>
      </w:r>
      <w:r w:rsidRPr="000B7434">
        <w:rPr>
          <w:rFonts w:hint="cs"/>
          <w:szCs w:val="28"/>
          <w:rtl/>
          <w:lang w:val="fr-CH"/>
        </w:rPr>
        <w:t>-</w:t>
      </w:r>
      <w:r w:rsidRPr="000B7434">
        <w:rPr>
          <w:szCs w:val="28"/>
          <w:rtl/>
          <w:lang w:val="fr-CH"/>
        </w:rPr>
        <w:tab/>
        <w:t>النسبة المئوية للمدرسات والمدرسين في كل المستويات الذين تلقوا التدريب</w:t>
      </w:r>
      <w:r w:rsidRPr="000B7434">
        <w:rPr>
          <w:szCs w:val="28"/>
          <w:rtl/>
          <w:lang w:val="fr-CH"/>
        </w:rPr>
        <w:tab/>
      </w:r>
      <w:r w:rsidRPr="000B7434">
        <w:rPr>
          <w:szCs w:val="28"/>
          <w:rtl/>
          <w:lang w:val="fr-CH"/>
        </w:rPr>
        <w:tab/>
      </w:r>
      <w:r w:rsidR="0087140E">
        <w:rPr>
          <w:rFonts w:hint="cs"/>
          <w:szCs w:val="28"/>
          <w:rtl/>
          <w:lang w:val="fr-CH"/>
        </w:rPr>
        <w:t>73</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22</w:t>
      </w:r>
      <w:r w:rsidR="002858D6">
        <w:rPr>
          <w:rFonts w:hint="cs"/>
          <w:szCs w:val="28"/>
          <w:rtl/>
          <w:lang w:val="fr-CH"/>
        </w:rPr>
        <w:tab/>
      </w:r>
      <w:r w:rsidRPr="000B7434">
        <w:rPr>
          <w:rFonts w:hint="cs"/>
          <w:szCs w:val="28"/>
          <w:rtl/>
          <w:lang w:val="fr-CH"/>
        </w:rPr>
        <w:t>-</w:t>
      </w:r>
      <w:r w:rsidRPr="000B7434">
        <w:rPr>
          <w:szCs w:val="28"/>
          <w:rtl/>
          <w:lang w:val="fr-CH"/>
        </w:rPr>
        <w:tab/>
        <w:t>أنشطة تدريب التنظيمات المجتمعية، مفصلة حسب الجنس</w:t>
      </w:r>
      <w:r w:rsidRPr="000B7434">
        <w:rPr>
          <w:szCs w:val="28"/>
          <w:rtl/>
          <w:lang w:val="fr-CH"/>
        </w:rPr>
        <w:tab/>
      </w:r>
      <w:r w:rsidRPr="000B7434">
        <w:rPr>
          <w:szCs w:val="28"/>
          <w:rtl/>
          <w:lang w:val="fr-CH"/>
        </w:rPr>
        <w:tab/>
      </w:r>
      <w:r w:rsidR="0087140E">
        <w:rPr>
          <w:rFonts w:hint="cs"/>
          <w:szCs w:val="28"/>
          <w:rtl/>
          <w:lang w:val="fr-CH"/>
        </w:rPr>
        <w:t>74</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23</w:t>
      </w:r>
      <w:r w:rsidR="002858D6">
        <w:rPr>
          <w:rFonts w:hint="cs"/>
          <w:szCs w:val="28"/>
          <w:rtl/>
          <w:lang w:val="fr-CH"/>
        </w:rPr>
        <w:tab/>
      </w:r>
      <w:r w:rsidRPr="000B7434">
        <w:rPr>
          <w:rFonts w:hint="cs"/>
          <w:szCs w:val="28"/>
          <w:rtl/>
          <w:lang w:val="fr-CH"/>
        </w:rPr>
        <w:t>-</w:t>
      </w:r>
      <w:r w:rsidRPr="000B7434">
        <w:rPr>
          <w:szCs w:val="28"/>
          <w:rtl/>
          <w:lang w:val="fr-CH"/>
        </w:rPr>
        <w:tab/>
        <w:t>حالات العنف ضد المرأة المُبلغ عنها</w:t>
      </w:r>
      <w:r w:rsidRPr="000B7434">
        <w:rPr>
          <w:szCs w:val="28"/>
          <w:rtl/>
          <w:lang w:val="fr-CH"/>
        </w:rPr>
        <w:tab/>
      </w:r>
      <w:r w:rsidRPr="000B7434">
        <w:rPr>
          <w:szCs w:val="28"/>
          <w:rtl/>
          <w:lang w:val="fr-CH"/>
        </w:rPr>
        <w:tab/>
      </w:r>
      <w:r w:rsidR="0087140E">
        <w:rPr>
          <w:rFonts w:hint="cs"/>
          <w:szCs w:val="28"/>
          <w:rtl/>
          <w:lang w:val="fr-CH"/>
        </w:rPr>
        <w:t>75</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24</w:t>
      </w:r>
      <w:r w:rsidR="002858D6">
        <w:rPr>
          <w:rFonts w:hint="cs"/>
          <w:szCs w:val="28"/>
          <w:rtl/>
          <w:lang w:val="fr-CH"/>
        </w:rPr>
        <w:tab/>
      </w:r>
      <w:r w:rsidRPr="000B7434">
        <w:rPr>
          <w:rFonts w:hint="cs"/>
          <w:szCs w:val="28"/>
          <w:rtl/>
          <w:lang w:val="fr-CH"/>
        </w:rPr>
        <w:t>-</w:t>
      </w:r>
      <w:r w:rsidRPr="000B7434">
        <w:rPr>
          <w:szCs w:val="28"/>
          <w:rtl/>
          <w:lang w:val="fr-CH"/>
        </w:rPr>
        <w:tab/>
        <w:t>حالة محاكمة قضايا الاغتصاب</w:t>
      </w:r>
      <w:r w:rsidRPr="000B7434">
        <w:rPr>
          <w:szCs w:val="28"/>
          <w:rtl/>
          <w:lang w:val="fr-CH"/>
        </w:rPr>
        <w:tab/>
      </w:r>
      <w:r w:rsidRPr="000B7434">
        <w:rPr>
          <w:szCs w:val="28"/>
          <w:rtl/>
          <w:lang w:val="fr-CH"/>
        </w:rPr>
        <w:tab/>
      </w:r>
      <w:r w:rsidR="0087140E">
        <w:rPr>
          <w:rFonts w:hint="cs"/>
          <w:szCs w:val="28"/>
          <w:rtl/>
          <w:lang w:val="fr-CH"/>
        </w:rPr>
        <w:t>76</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szCs w:val="28"/>
          <w:rtl/>
          <w:lang w:val="fr-CH"/>
        </w:rPr>
        <w:tab/>
      </w:r>
      <w:r w:rsidRPr="000B7434">
        <w:rPr>
          <w:rFonts w:hint="cs"/>
          <w:szCs w:val="28"/>
          <w:rtl/>
          <w:lang w:val="fr-CH"/>
        </w:rPr>
        <w:t>25</w:t>
      </w:r>
      <w:r w:rsidR="002858D6">
        <w:rPr>
          <w:rFonts w:hint="cs"/>
          <w:szCs w:val="28"/>
          <w:rtl/>
          <w:lang w:val="fr-CH"/>
        </w:rPr>
        <w:tab/>
      </w:r>
      <w:r w:rsidRPr="000B7434">
        <w:rPr>
          <w:rFonts w:hint="cs"/>
          <w:szCs w:val="28"/>
          <w:rtl/>
          <w:lang w:val="fr-CH"/>
        </w:rPr>
        <w:t>-</w:t>
      </w:r>
      <w:r w:rsidRPr="000B7434">
        <w:rPr>
          <w:szCs w:val="28"/>
          <w:rtl/>
          <w:lang w:val="fr-CH"/>
        </w:rPr>
        <w:tab/>
        <w:t>الحالات المسجلة لدى اللجنة الوطنية للمرأة عن السنة المالية 2007/2008</w:t>
      </w:r>
      <w:r w:rsidRPr="000B7434">
        <w:rPr>
          <w:szCs w:val="28"/>
          <w:rtl/>
          <w:lang w:val="fr-CH"/>
        </w:rPr>
        <w:tab/>
      </w:r>
      <w:r w:rsidRPr="000B7434">
        <w:rPr>
          <w:szCs w:val="28"/>
          <w:rtl/>
          <w:lang w:val="fr-CH"/>
        </w:rPr>
        <w:tab/>
      </w:r>
      <w:r w:rsidR="0087140E">
        <w:rPr>
          <w:rFonts w:hint="cs"/>
          <w:szCs w:val="28"/>
          <w:rtl/>
          <w:lang w:val="fr-CH"/>
        </w:rPr>
        <w:t>76</w:t>
      </w:r>
    </w:p>
    <w:p w:rsidR="000B7434" w:rsidRPr="000B7434" w:rsidRDefault="000B7434" w:rsidP="002F5691">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26</w:t>
      </w:r>
      <w:r w:rsidR="002858D6">
        <w:rPr>
          <w:rFonts w:hint="cs"/>
          <w:szCs w:val="28"/>
          <w:rtl/>
          <w:lang w:val="fr-CH"/>
        </w:rPr>
        <w:tab/>
      </w:r>
      <w:r w:rsidRPr="000B7434">
        <w:rPr>
          <w:rFonts w:hint="cs"/>
          <w:szCs w:val="28"/>
          <w:rtl/>
          <w:lang w:val="fr-CH"/>
        </w:rPr>
        <w:t>-</w:t>
      </w:r>
      <w:r w:rsidRPr="000B7434">
        <w:rPr>
          <w:szCs w:val="28"/>
          <w:rtl/>
          <w:lang w:val="fr-CH"/>
        </w:rPr>
        <w:tab/>
        <w:t xml:space="preserve">مؤشرات الحصول على الخدمات أثناء </w:t>
      </w:r>
      <w:r w:rsidR="002F5691">
        <w:rPr>
          <w:rFonts w:hint="cs"/>
          <w:szCs w:val="28"/>
          <w:rtl/>
          <w:lang w:val="fr-CH"/>
        </w:rPr>
        <w:t xml:space="preserve">النزاع </w:t>
      </w:r>
      <w:r w:rsidRPr="000B7434">
        <w:rPr>
          <w:szCs w:val="28"/>
          <w:rtl/>
          <w:lang w:val="fr-CH"/>
        </w:rPr>
        <w:t>المسلح</w:t>
      </w:r>
      <w:r w:rsidRPr="000B7434">
        <w:rPr>
          <w:szCs w:val="28"/>
          <w:rtl/>
          <w:lang w:val="fr-CH"/>
        </w:rPr>
        <w:tab/>
      </w:r>
      <w:r w:rsidRPr="000B7434">
        <w:rPr>
          <w:szCs w:val="28"/>
          <w:rtl/>
          <w:lang w:val="fr-CH"/>
        </w:rPr>
        <w:tab/>
      </w:r>
      <w:r w:rsidR="0087140E">
        <w:rPr>
          <w:rFonts w:hint="cs"/>
          <w:szCs w:val="28"/>
          <w:rtl/>
          <w:lang w:val="fr-CH"/>
        </w:rPr>
        <w:t>79</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rFonts w:hint="cs"/>
          <w:szCs w:val="28"/>
          <w:rtl/>
          <w:lang w:val="fr-CH"/>
        </w:rPr>
        <w:tab/>
        <w:t>27</w:t>
      </w:r>
      <w:r w:rsidR="002858D6">
        <w:rPr>
          <w:rFonts w:hint="cs"/>
          <w:szCs w:val="28"/>
          <w:rtl/>
          <w:lang w:val="fr-CH"/>
        </w:rPr>
        <w:tab/>
      </w:r>
      <w:r w:rsidRPr="000B7434">
        <w:rPr>
          <w:rFonts w:hint="cs"/>
          <w:szCs w:val="28"/>
          <w:rtl/>
          <w:lang w:val="fr-CH"/>
        </w:rPr>
        <w:t>-</w:t>
      </w:r>
      <w:r w:rsidRPr="000B7434">
        <w:rPr>
          <w:szCs w:val="28"/>
          <w:rtl/>
          <w:lang w:val="fr-CH"/>
        </w:rPr>
        <w:tab/>
        <w:t>اشتراك المرأة في جمعيات تنمية المرأة</w:t>
      </w:r>
      <w:r w:rsidRPr="000B7434">
        <w:rPr>
          <w:szCs w:val="28"/>
          <w:rtl/>
          <w:lang w:val="fr-CH"/>
        </w:rPr>
        <w:tab/>
      </w:r>
      <w:r w:rsidRPr="000B7434">
        <w:rPr>
          <w:szCs w:val="28"/>
          <w:rtl/>
          <w:lang w:val="fr-CH"/>
        </w:rPr>
        <w:tab/>
      </w:r>
      <w:r w:rsidR="0087140E">
        <w:rPr>
          <w:rFonts w:hint="cs"/>
          <w:szCs w:val="28"/>
          <w:rtl/>
          <w:lang w:val="fr-CH"/>
        </w:rPr>
        <w:t>81</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60" w:line="360" w:lineRule="exact"/>
        <w:ind w:right="812"/>
        <w:rPr>
          <w:rFonts w:hint="cs"/>
          <w:szCs w:val="28"/>
          <w:rtl/>
          <w:lang w:val="fr-CH"/>
        </w:rPr>
      </w:pPr>
      <w:r w:rsidRPr="000B7434">
        <w:rPr>
          <w:szCs w:val="28"/>
          <w:rtl/>
          <w:lang w:val="fr-CH"/>
        </w:rPr>
        <w:tab/>
      </w:r>
      <w:r w:rsidRPr="000B7434">
        <w:rPr>
          <w:rFonts w:hint="cs"/>
          <w:szCs w:val="28"/>
          <w:rtl/>
          <w:lang w:val="fr-CH"/>
        </w:rPr>
        <w:t>28</w:t>
      </w:r>
      <w:r w:rsidR="002858D6">
        <w:rPr>
          <w:rFonts w:hint="cs"/>
          <w:szCs w:val="28"/>
          <w:rtl/>
          <w:lang w:val="fr-CH"/>
        </w:rPr>
        <w:tab/>
      </w:r>
      <w:r w:rsidRPr="000B7434">
        <w:rPr>
          <w:rFonts w:hint="cs"/>
          <w:szCs w:val="28"/>
          <w:rtl/>
          <w:lang w:val="fr-CH"/>
        </w:rPr>
        <w:t>-</w:t>
      </w:r>
      <w:r w:rsidRPr="000B7434">
        <w:rPr>
          <w:szCs w:val="28"/>
          <w:rtl/>
          <w:lang w:val="fr-CH"/>
        </w:rPr>
        <w:tab/>
        <w:t>اشتراك المرأة في وسائط الإعلام</w:t>
      </w:r>
      <w:r w:rsidRPr="000B7434">
        <w:rPr>
          <w:szCs w:val="28"/>
          <w:rtl/>
          <w:lang w:val="fr-CH"/>
        </w:rPr>
        <w:tab/>
      </w:r>
      <w:r w:rsidRPr="000B7434">
        <w:rPr>
          <w:szCs w:val="28"/>
          <w:rtl/>
          <w:lang w:val="fr-CH"/>
        </w:rPr>
        <w:tab/>
      </w:r>
      <w:r w:rsidR="0087140E">
        <w:rPr>
          <w:rFonts w:hint="cs"/>
          <w:szCs w:val="28"/>
          <w:rtl/>
          <w:lang w:val="fr-CH"/>
        </w:rPr>
        <w:t>84</w:t>
      </w:r>
    </w:p>
    <w:p w:rsidR="000B7434" w:rsidRPr="000B7434" w:rsidRDefault="000B7434" w:rsidP="00416679">
      <w:pPr>
        <w:tabs>
          <w:tab w:val="right" w:pos="1021"/>
          <w:tab w:val="left" w:pos="1077"/>
          <w:tab w:val="left" w:pos="1525"/>
          <w:tab w:val="left" w:pos="1842"/>
          <w:tab w:val="left" w:pos="2206"/>
          <w:tab w:val="left" w:pos="2681"/>
          <w:tab w:val="left" w:leader="dot" w:pos="8826"/>
          <w:tab w:val="right" w:pos="9638"/>
        </w:tabs>
        <w:spacing w:after="120" w:line="360" w:lineRule="exact"/>
        <w:ind w:right="812"/>
        <w:rPr>
          <w:rFonts w:hint="cs"/>
          <w:szCs w:val="28"/>
          <w:rtl/>
          <w:lang w:val="fr-CH"/>
        </w:rPr>
      </w:pPr>
      <w:r w:rsidRPr="000B7434">
        <w:rPr>
          <w:rFonts w:hint="cs"/>
          <w:szCs w:val="28"/>
          <w:rtl/>
          <w:lang w:val="fr-CH"/>
        </w:rPr>
        <w:tab/>
        <w:t>29</w:t>
      </w:r>
      <w:r w:rsidR="002858D6">
        <w:rPr>
          <w:rFonts w:hint="cs"/>
          <w:szCs w:val="28"/>
          <w:rtl/>
          <w:lang w:val="fr-CH"/>
        </w:rPr>
        <w:tab/>
      </w:r>
      <w:r w:rsidRPr="000B7434">
        <w:rPr>
          <w:rFonts w:hint="cs"/>
          <w:szCs w:val="28"/>
          <w:rtl/>
          <w:lang w:val="fr-CH"/>
        </w:rPr>
        <w:t>-</w:t>
      </w:r>
      <w:r w:rsidRPr="000B7434">
        <w:rPr>
          <w:szCs w:val="28"/>
          <w:rtl/>
          <w:lang w:val="fr-CH"/>
        </w:rPr>
        <w:tab/>
        <w:t>حالة المرأة العاملة في مختلف القنوات التلفزيونية</w:t>
      </w:r>
      <w:r w:rsidRPr="000B7434">
        <w:rPr>
          <w:szCs w:val="28"/>
          <w:rtl/>
          <w:lang w:val="fr-CH"/>
        </w:rPr>
        <w:tab/>
      </w:r>
      <w:r w:rsidRPr="000B7434">
        <w:rPr>
          <w:rFonts w:hint="cs"/>
          <w:szCs w:val="28"/>
          <w:rtl/>
          <w:lang w:val="fr-CH"/>
        </w:rPr>
        <w:tab/>
      </w:r>
      <w:r w:rsidR="0087140E">
        <w:rPr>
          <w:rFonts w:hint="cs"/>
          <w:szCs w:val="28"/>
          <w:rtl/>
          <w:lang w:val="fr-CH"/>
        </w:rPr>
        <w:t>84</w:t>
      </w:r>
    </w:p>
    <w:p w:rsidR="000B7434" w:rsidRPr="000B7434" w:rsidRDefault="000B7434" w:rsidP="00416679">
      <w:pPr>
        <w:tabs>
          <w:tab w:val="left" w:pos="777"/>
          <w:tab w:val="left" w:pos="1525"/>
          <w:tab w:val="left" w:leader="dot" w:pos="8826"/>
          <w:tab w:val="right" w:pos="9638"/>
        </w:tabs>
        <w:spacing w:after="120" w:line="360" w:lineRule="exact"/>
        <w:ind w:right="812"/>
        <w:rPr>
          <w:rFonts w:hint="cs"/>
          <w:szCs w:val="28"/>
          <w:rtl/>
          <w:lang w:val="fr-CH"/>
        </w:rPr>
      </w:pPr>
      <w:r w:rsidRPr="000B7434">
        <w:rPr>
          <w:szCs w:val="28"/>
          <w:rtl/>
          <w:lang w:val="fr-CH"/>
        </w:rPr>
        <w:tab/>
      </w:r>
      <w:r w:rsidRPr="000B7434">
        <w:rPr>
          <w:rFonts w:hint="cs"/>
          <w:szCs w:val="28"/>
          <w:rtl/>
          <w:lang w:val="fr-CH"/>
        </w:rPr>
        <w:t>ثبت المراجع</w:t>
      </w:r>
      <w:r w:rsidRPr="000B7434">
        <w:rPr>
          <w:szCs w:val="28"/>
          <w:rtl/>
          <w:lang w:val="fr-CH"/>
        </w:rPr>
        <w:tab/>
      </w:r>
      <w:r w:rsidRPr="000B7434">
        <w:rPr>
          <w:szCs w:val="28"/>
          <w:rtl/>
          <w:lang w:val="fr-CH"/>
        </w:rPr>
        <w:tab/>
      </w:r>
      <w:r w:rsidR="0087140E">
        <w:rPr>
          <w:rFonts w:hint="cs"/>
          <w:szCs w:val="28"/>
          <w:rtl/>
          <w:lang w:val="fr-CH"/>
        </w:rPr>
        <w:t>93</w:t>
      </w:r>
    </w:p>
    <w:p w:rsidR="000B7434" w:rsidRPr="0006515B" w:rsidRDefault="000B7434" w:rsidP="0076510E">
      <w:pPr>
        <w:pStyle w:val="HChGA"/>
        <w:spacing w:before="120"/>
        <w:rPr>
          <w:rFonts w:hint="cs"/>
          <w:rtl/>
          <w:lang w:bidi="ar-EG"/>
        </w:rPr>
      </w:pPr>
      <w:r>
        <w:rPr>
          <w:rtl/>
        </w:rPr>
        <w:br w:type="page"/>
      </w:r>
      <w:r>
        <w:rPr>
          <w:rFonts w:hint="cs"/>
          <w:rtl/>
        </w:rPr>
        <w:tab/>
      </w:r>
      <w:r>
        <w:rPr>
          <w:rFonts w:hint="cs"/>
          <w:rtl/>
        </w:rPr>
        <w:tab/>
      </w:r>
      <w:r w:rsidRPr="0006515B">
        <w:rPr>
          <w:rFonts w:hint="cs"/>
          <w:rtl/>
          <w:lang w:bidi="ar-EG"/>
        </w:rPr>
        <w:t>شكر وعرفان</w:t>
      </w:r>
    </w:p>
    <w:p w:rsidR="000B7434" w:rsidRDefault="000B7434" w:rsidP="0076510E">
      <w:pPr>
        <w:pStyle w:val="SingleTxtGA"/>
        <w:rPr>
          <w:rFonts w:hint="cs"/>
          <w:rtl/>
          <w:lang w:bidi="ar-EG"/>
        </w:rPr>
      </w:pPr>
      <w:r>
        <w:rPr>
          <w:rFonts w:hint="cs"/>
          <w:rtl/>
          <w:lang w:bidi="ar-EG"/>
        </w:rPr>
        <w:tab/>
      </w:r>
      <w:r w:rsidRPr="0006515B">
        <w:rPr>
          <w:rFonts w:hint="cs"/>
          <w:rtl/>
          <w:lang w:bidi="ar-EG"/>
        </w:rPr>
        <w:t>يسرني غاية الس</w:t>
      </w:r>
      <w:r w:rsidR="00AD68BC">
        <w:rPr>
          <w:rFonts w:hint="cs"/>
          <w:rtl/>
          <w:lang w:bidi="ar-EG"/>
        </w:rPr>
        <w:t>رور أن أقدم</w:t>
      </w:r>
      <w:r w:rsidRPr="0006515B">
        <w:rPr>
          <w:rFonts w:hint="cs"/>
          <w:rtl/>
          <w:lang w:bidi="ar-EG"/>
        </w:rPr>
        <w:t xml:space="preserve">، </w:t>
      </w:r>
      <w:r w:rsidR="00AD68BC">
        <w:rPr>
          <w:rFonts w:hint="cs"/>
          <w:rtl/>
          <w:lang w:bidi="ar-EG"/>
        </w:rPr>
        <w:t xml:space="preserve">باسم </w:t>
      </w:r>
      <w:r w:rsidRPr="0006515B">
        <w:rPr>
          <w:rFonts w:hint="cs"/>
          <w:rtl/>
          <w:lang w:bidi="ar-EG"/>
        </w:rPr>
        <w:t xml:space="preserve">حكومة نيبال، التقريرين الدوريين الرابع والخامس المدمجين، بموجب المادة 18 من اتفاقية القضاء </w:t>
      </w:r>
      <w:r w:rsidR="00AD68BC">
        <w:rPr>
          <w:rFonts w:hint="cs"/>
          <w:rtl/>
          <w:lang w:bidi="ar-EG"/>
        </w:rPr>
        <w:t xml:space="preserve">على </w:t>
      </w:r>
      <w:r w:rsidRPr="0006515B">
        <w:rPr>
          <w:rFonts w:hint="cs"/>
          <w:rtl/>
          <w:lang w:bidi="ar-EG"/>
        </w:rPr>
        <w:t>جميع أشكال التمييز ضد المرأة (</w:t>
      </w:r>
      <w:r w:rsidR="00D62BA8">
        <w:rPr>
          <w:rtl/>
          <w:lang w:bidi="ar-EG"/>
        </w:rPr>
        <w:t>"</w:t>
      </w:r>
      <w:r w:rsidRPr="0006515B">
        <w:rPr>
          <w:rFonts w:hint="cs"/>
          <w:rtl/>
          <w:lang w:bidi="ar-EG"/>
        </w:rPr>
        <w:t>الاتفاقية</w:t>
      </w:r>
      <w:r w:rsidR="00D62BA8">
        <w:rPr>
          <w:rtl/>
          <w:lang w:bidi="ar-EG"/>
        </w:rPr>
        <w:t>"</w:t>
      </w:r>
      <w:r w:rsidRPr="0006515B">
        <w:rPr>
          <w:rFonts w:hint="cs"/>
          <w:rtl/>
          <w:lang w:bidi="ar-EG"/>
        </w:rPr>
        <w:t>). وكانت نيبال قد قدمت تقريرها الأولي عام 1997 وتقريريها الثاني والثالث المدمجين عام 2003. ويغطي التقريران الرابع والخامس المدمجان هذان الفترة حتى عام</w:t>
      </w:r>
      <w:r>
        <w:rPr>
          <w:rFonts w:hint="eastAsia"/>
          <w:rtl/>
          <w:lang w:bidi="ar-EG"/>
        </w:rPr>
        <w:t> </w:t>
      </w:r>
      <w:r w:rsidRPr="0006515B">
        <w:rPr>
          <w:rFonts w:hint="cs"/>
          <w:rtl/>
          <w:lang w:bidi="ar-EG"/>
        </w:rPr>
        <w:t xml:space="preserve">2008. وخلال هذه الفترة أحرزت نيبال نجاحاً كبيراً في مجال حماية الحقوق النابعة من الاتفاقية وتعزيزها وإعمالها. كما صدّقت نيبال على البروتوكول الاختياري للاتفاقية، وأدمجت العديد من أحكامها الهامة في دستور نيبال المؤقت </w:t>
      </w:r>
      <w:r w:rsidRPr="0006515B">
        <w:rPr>
          <w:rFonts w:hint="cs"/>
          <w:rtl/>
          <w:lang w:bidi="ar-JO"/>
        </w:rPr>
        <w:t>ل</w:t>
      </w:r>
      <w:r w:rsidRPr="0006515B">
        <w:rPr>
          <w:rFonts w:hint="cs"/>
          <w:rtl/>
          <w:lang w:bidi="ar-EG"/>
        </w:rPr>
        <w:t xml:space="preserve">عام 2007 واستنّت العديد من التشريعات القيّمة، مثل قانون العنف الأسري (جريمة </w:t>
      </w:r>
      <w:r>
        <w:rPr>
          <w:rFonts w:hint="cs"/>
          <w:rtl/>
          <w:lang w:bidi="ar-EG"/>
        </w:rPr>
        <w:t>-</w:t>
      </w:r>
      <w:r w:rsidRPr="0006515B">
        <w:rPr>
          <w:rFonts w:hint="cs"/>
          <w:rtl/>
          <w:lang w:bidi="ar-EG"/>
        </w:rPr>
        <w:t xml:space="preserve"> والمعاقبة عليها)، وقانون اللجنة الوطنية للمرأة، وقانون الجنسية، كما </w:t>
      </w:r>
      <w:r>
        <w:rPr>
          <w:rFonts w:hint="cs"/>
          <w:rtl/>
          <w:lang w:bidi="ar-EG"/>
        </w:rPr>
        <w:t>ا</w:t>
      </w:r>
      <w:r w:rsidRPr="0006515B">
        <w:rPr>
          <w:rFonts w:hint="cs"/>
          <w:rtl/>
          <w:lang w:bidi="ar-EG"/>
        </w:rPr>
        <w:t>ستنّت قانوناً معدِّلا لبعض قوانين نيبال بغية المحافظة على المساواة بين الجنسين، وقانوناً بتعديل بعض قوانين نيبال المتصلة بإدارة المحاكم وإقامة العدل، والتعديل الحادي عشر لمدونة القوانين القُطرية. وبناء على ذلك، أصبحت قواعدُ عديدةٌ مؤطرةً، ويجري الآن تنفيذ المخططات وخطة العمل والبرامج.</w:t>
      </w:r>
    </w:p>
    <w:p w:rsidR="000B7434" w:rsidRDefault="000B7434" w:rsidP="0076510E">
      <w:pPr>
        <w:pStyle w:val="SingleTxtGA"/>
        <w:rPr>
          <w:rFonts w:hint="cs"/>
          <w:rtl/>
          <w:lang w:bidi="ar-EG"/>
        </w:rPr>
      </w:pPr>
      <w:r>
        <w:rPr>
          <w:rFonts w:hint="cs"/>
          <w:rtl/>
          <w:lang w:bidi="ar-EG"/>
        </w:rPr>
        <w:tab/>
      </w:r>
      <w:r w:rsidRPr="0006515B">
        <w:rPr>
          <w:rFonts w:hint="cs"/>
          <w:rtl/>
          <w:lang w:bidi="ar-EG"/>
        </w:rPr>
        <w:t xml:space="preserve">أما من حيثُ إعمالُ هذه الحقوق، فإن نسبة مشاركة المرأة في الجمعية التأسيسية، التي تعمل أيضاً بوصفها البرلمان التشريعي، تبلغ حوالي 33 في المائة. </w:t>
      </w:r>
      <w:r w:rsidR="00AD68BC">
        <w:rPr>
          <w:rFonts w:hint="cs"/>
          <w:rtl/>
          <w:lang w:bidi="ar-EG"/>
        </w:rPr>
        <w:t>و</w:t>
      </w:r>
      <w:r w:rsidRPr="0006515B">
        <w:rPr>
          <w:rFonts w:hint="cs"/>
          <w:rtl/>
          <w:lang w:bidi="ar-EG"/>
        </w:rPr>
        <w:t xml:space="preserve">خُصِّص </w:t>
      </w:r>
      <w:r w:rsidR="00AD68BC">
        <w:rPr>
          <w:rFonts w:hint="cs"/>
          <w:rtl/>
          <w:lang w:bidi="ar-EG"/>
        </w:rPr>
        <w:t xml:space="preserve">أيضاً </w:t>
      </w:r>
      <w:r w:rsidRPr="0006515B">
        <w:rPr>
          <w:rFonts w:hint="cs"/>
          <w:rtl/>
          <w:lang w:bidi="ar-EG"/>
        </w:rPr>
        <w:t xml:space="preserve">20 مقعداً من أصل 45 مقعداً محجوزاً للمرأة العاملة في الخدمات الحكومية. وطرأت زيادة هامة في محو أمية المرأة، وانخفضت نسبة </w:t>
      </w:r>
      <w:r w:rsidR="00AD68BC">
        <w:rPr>
          <w:rFonts w:hint="cs"/>
          <w:rtl/>
          <w:lang w:bidi="ar-EG"/>
        </w:rPr>
        <w:t xml:space="preserve">تسرب </w:t>
      </w:r>
      <w:r w:rsidRPr="0006515B">
        <w:rPr>
          <w:rFonts w:hint="cs"/>
          <w:rtl/>
          <w:lang w:bidi="ar-EG"/>
        </w:rPr>
        <w:t>الفتيات من المدارس. ويجدر بالذكر أن هبوطاً حاداً حدث في معدل وفيات النفاس، بينما وُسّعت مرافق الإجهاض والتوليد في أرجاء البلد كافة. وجرت زيادة وتوسيع استحقاقات الضمان الاجتماعي للمرأة بصورة عامة، وللأرامل بصورة خاصة، وبدأ الأخذ بنظام الميزنة المراعية للجنسين.</w:t>
      </w:r>
    </w:p>
    <w:p w:rsidR="000B7434" w:rsidRDefault="000B7434" w:rsidP="002F1301">
      <w:pPr>
        <w:pStyle w:val="SingleTxtGA"/>
        <w:rPr>
          <w:rFonts w:hint="cs"/>
          <w:rtl/>
          <w:lang w:bidi="ar-EG"/>
        </w:rPr>
      </w:pPr>
      <w:r>
        <w:rPr>
          <w:rFonts w:hint="cs"/>
          <w:rtl/>
          <w:lang w:bidi="ar-EG"/>
        </w:rPr>
        <w:tab/>
      </w:r>
      <w:r w:rsidRPr="0006515B">
        <w:rPr>
          <w:rFonts w:hint="cs"/>
          <w:rtl/>
          <w:lang w:bidi="ar-EG"/>
        </w:rPr>
        <w:t>ويحدوني الأمل في أن يكشف هذا التقرير عما تبذله نيبال من جهود في تنفيذ الاتفاقية وعن التقدم الذي أحرزته خلال هذه الفترة بحكم القانون وبحكم الواقع</w:t>
      </w:r>
      <w:r w:rsidR="00AD68BC">
        <w:rPr>
          <w:rFonts w:hint="cs"/>
          <w:rtl/>
          <w:lang w:bidi="ar-EG"/>
        </w:rPr>
        <w:t xml:space="preserve"> </w:t>
      </w:r>
      <w:r w:rsidR="00AD68BC" w:rsidRPr="0006515B">
        <w:rPr>
          <w:rFonts w:hint="cs"/>
          <w:rtl/>
          <w:lang w:bidi="ar-EG"/>
        </w:rPr>
        <w:t>رغم الصعوبات والعوامل المؤثرة على درجة الوفاء بالالتزامات مثل القيود على الموارد والأمية وتقاليد المجتمع ال</w:t>
      </w:r>
      <w:r w:rsidR="00AD68BC">
        <w:rPr>
          <w:rFonts w:hint="cs"/>
          <w:rtl/>
          <w:lang w:bidi="ar-EG"/>
        </w:rPr>
        <w:t>أبوي و</w:t>
      </w:r>
      <w:r w:rsidR="002F1301">
        <w:rPr>
          <w:rFonts w:hint="cs"/>
          <w:rtl/>
          <w:lang w:bidi="ar-EG"/>
        </w:rPr>
        <w:t>النزاع</w:t>
      </w:r>
      <w:r w:rsidR="00AD68BC">
        <w:rPr>
          <w:rFonts w:hint="cs"/>
          <w:rtl/>
          <w:lang w:bidi="ar-EG"/>
        </w:rPr>
        <w:t xml:space="preserve"> الذي دام عشر سنوات</w:t>
      </w:r>
      <w:r w:rsidRPr="0006515B">
        <w:rPr>
          <w:rFonts w:hint="cs"/>
          <w:rtl/>
          <w:lang w:bidi="ar-EG"/>
        </w:rPr>
        <w:t>.</w:t>
      </w:r>
    </w:p>
    <w:p w:rsidR="000B7434" w:rsidRPr="0006515B" w:rsidRDefault="000B7434" w:rsidP="0076510E">
      <w:pPr>
        <w:pStyle w:val="SingleTxtGA"/>
        <w:rPr>
          <w:rFonts w:hint="cs"/>
          <w:rtl/>
          <w:lang w:bidi="ar-EG"/>
        </w:rPr>
      </w:pPr>
      <w:r>
        <w:rPr>
          <w:rFonts w:hint="cs"/>
          <w:rtl/>
          <w:lang w:bidi="ar-EG"/>
        </w:rPr>
        <w:tab/>
      </w:r>
      <w:r w:rsidRPr="0006515B">
        <w:rPr>
          <w:rFonts w:hint="cs"/>
          <w:rtl/>
          <w:lang w:bidi="ar-EG"/>
        </w:rPr>
        <w:t>وأخيراً أود أن أشكر جميع الذين اشتركوا في إعداد هذا التقرير.</w:t>
      </w:r>
    </w:p>
    <w:p w:rsidR="002F5691" w:rsidRDefault="002F5691" w:rsidP="002F5691">
      <w:pPr>
        <w:pStyle w:val="SingleTxtGA"/>
        <w:tabs>
          <w:tab w:val="clear" w:pos="1928"/>
          <w:tab w:val="clear" w:pos="2608"/>
          <w:tab w:val="clear" w:pos="3289"/>
          <w:tab w:val="clear" w:pos="3969"/>
          <w:tab w:val="clear" w:pos="4649"/>
          <w:tab w:val="clear" w:pos="5330"/>
          <w:tab w:val="left" w:pos="4290"/>
        </w:tabs>
        <w:ind w:left="3227"/>
        <w:rPr>
          <w:rFonts w:hint="cs"/>
          <w:rtl/>
        </w:rPr>
      </w:pPr>
      <w:r w:rsidRPr="002F5691">
        <w:rPr>
          <w:rFonts w:hint="cs"/>
          <w:i/>
          <w:iCs/>
          <w:rtl/>
          <w:lang w:bidi="ar-EG"/>
        </w:rPr>
        <w:t>(التوقيع)</w:t>
      </w:r>
      <w:r>
        <w:rPr>
          <w:rFonts w:hint="cs"/>
          <w:i/>
          <w:iCs/>
          <w:rtl/>
          <w:lang w:bidi="ar-EG"/>
        </w:rPr>
        <w:tab/>
      </w:r>
      <w:proofErr w:type="spellStart"/>
      <w:r w:rsidRPr="0006515B">
        <w:rPr>
          <w:rFonts w:hint="cs"/>
          <w:rtl/>
          <w:lang w:bidi="ar-EG"/>
        </w:rPr>
        <w:t>بيندرا</w:t>
      </w:r>
      <w:proofErr w:type="spellEnd"/>
      <w:r w:rsidRPr="0006515B">
        <w:rPr>
          <w:rFonts w:hint="cs"/>
          <w:rtl/>
          <w:lang w:bidi="ar-EG"/>
        </w:rPr>
        <w:t xml:space="preserve"> </w:t>
      </w:r>
      <w:r w:rsidRPr="002F5691">
        <w:rPr>
          <w:rFonts w:hint="cs"/>
          <w:b/>
          <w:bCs/>
          <w:rtl/>
          <w:lang w:bidi="ar-EG"/>
        </w:rPr>
        <w:t>هادا</w:t>
      </w:r>
      <w:r w:rsidRPr="0006515B">
        <w:rPr>
          <w:rFonts w:hint="cs"/>
          <w:rtl/>
          <w:lang w:bidi="ar-EG"/>
        </w:rPr>
        <w:t xml:space="preserve"> </w:t>
      </w:r>
      <w:proofErr w:type="spellStart"/>
      <w:r w:rsidRPr="00F3021D">
        <w:rPr>
          <w:rFonts w:hint="cs"/>
          <w:b/>
          <w:bCs/>
          <w:rtl/>
          <w:lang w:bidi="ar-EG"/>
        </w:rPr>
        <w:t>لتاراي</w:t>
      </w:r>
      <w:proofErr w:type="spellEnd"/>
    </w:p>
    <w:p w:rsidR="000B7434" w:rsidRPr="0006515B" w:rsidRDefault="002F5691" w:rsidP="002F5691">
      <w:pPr>
        <w:pStyle w:val="SingleTxtGA"/>
        <w:tabs>
          <w:tab w:val="clear" w:pos="1928"/>
          <w:tab w:val="clear" w:pos="2608"/>
          <w:tab w:val="clear" w:pos="3289"/>
          <w:tab w:val="clear" w:pos="3969"/>
          <w:tab w:val="clear" w:pos="4649"/>
          <w:tab w:val="clear" w:pos="5330"/>
          <w:tab w:val="left" w:pos="4290"/>
        </w:tabs>
        <w:ind w:left="3227"/>
        <w:rPr>
          <w:rFonts w:hint="cs"/>
          <w:rtl/>
          <w:lang w:bidi="ar-EG"/>
        </w:rPr>
      </w:pPr>
      <w:r>
        <w:rPr>
          <w:rFonts w:hint="cs"/>
          <w:rtl/>
          <w:lang w:bidi="ar-EG"/>
        </w:rPr>
        <w:tab/>
      </w:r>
      <w:r w:rsidR="000B7434" w:rsidRPr="0006515B">
        <w:rPr>
          <w:rFonts w:hint="cs"/>
          <w:rtl/>
          <w:lang w:bidi="ar-EG"/>
        </w:rPr>
        <w:t>أمينة وزارة شؤون المرأة والطفل والرعاية الاجتماعية</w:t>
      </w:r>
    </w:p>
    <w:p w:rsidR="000B7434" w:rsidRPr="00C53766" w:rsidRDefault="000B7434" w:rsidP="008B03DA">
      <w:pPr>
        <w:pStyle w:val="HChGA"/>
        <w:spacing w:before="120"/>
        <w:rPr>
          <w:rFonts w:hint="cs"/>
          <w:rtl/>
          <w:lang w:bidi="ar-EG"/>
        </w:rPr>
      </w:pPr>
      <w:r>
        <w:rPr>
          <w:rtl/>
          <w:lang w:bidi="ar-EG"/>
        </w:rPr>
        <w:br w:type="page"/>
      </w:r>
      <w:r>
        <w:rPr>
          <w:rFonts w:hint="cs"/>
          <w:rtl/>
          <w:lang w:bidi="ar-EG"/>
        </w:rPr>
        <w:tab/>
      </w:r>
      <w:r>
        <w:rPr>
          <w:rFonts w:hint="cs"/>
          <w:rtl/>
          <w:lang w:bidi="ar-EG"/>
        </w:rPr>
        <w:tab/>
      </w:r>
      <w:r w:rsidRPr="00C53766">
        <w:rPr>
          <w:rFonts w:hint="cs"/>
          <w:rtl/>
          <w:lang w:bidi="ar-EG"/>
        </w:rPr>
        <w:t>موجز</w:t>
      </w:r>
    </w:p>
    <w:p w:rsidR="000B7434" w:rsidRPr="00C53766" w:rsidRDefault="004B4D13" w:rsidP="008B03DA">
      <w:pPr>
        <w:pStyle w:val="SingleTxtGA"/>
        <w:spacing w:line="370" w:lineRule="exact"/>
        <w:rPr>
          <w:rFonts w:hint="cs"/>
          <w:rtl/>
          <w:lang w:bidi="ar-EG"/>
        </w:rPr>
      </w:pPr>
      <w:r>
        <w:rPr>
          <w:rFonts w:hint="cs"/>
          <w:rtl/>
          <w:lang w:bidi="ar-EG"/>
        </w:rPr>
        <w:t>1</w:t>
      </w:r>
      <w:r w:rsidR="000B7434" w:rsidRPr="00C53766">
        <w:rPr>
          <w:rFonts w:hint="cs"/>
          <w:rtl/>
          <w:lang w:bidi="ar-EG"/>
        </w:rPr>
        <w:t>-</w:t>
      </w:r>
      <w:r w:rsidR="000B7434" w:rsidRPr="00C53766">
        <w:rPr>
          <w:rFonts w:hint="cs"/>
          <w:rtl/>
          <w:lang w:bidi="ar-EG"/>
        </w:rPr>
        <w:tab/>
        <w:t>قدمت نيبال، في تقريرها الأولي إلى اللجنة المعنية بالقضاء على التمييز ضد المرأة في</w:t>
      </w:r>
      <w:r w:rsidR="008B03DA">
        <w:rPr>
          <w:rFonts w:hint="cs"/>
          <w:rtl/>
          <w:lang w:bidi="ar-EG"/>
        </w:rPr>
        <w:t xml:space="preserve"> </w:t>
      </w:r>
      <w:r w:rsidR="000B7434" w:rsidRPr="00C53766">
        <w:rPr>
          <w:rFonts w:hint="cs"/>
          <w:rtl/>
          <w:lang w:bidi="ar-EG"/>
        </w:rPr>
        <w:t>أيار/مايو 1997، معلومات أساسية تمهيدية عن البلد. وفي أثناء الفترة الواقعة بين التقرير السابق وهذا التقرير، مرّت نيبال بتحوّل سياسي كبير، فألغت الملكية وأصبح البلد جمهورية. وأخذت العملية السلمية التي بدأت بتوقيع اتفاق سلام شامل بين الحكومة والحزب الشيوعي النيبالي (الجناح الماوي) في تشرين الثاني/نوفمبر 2006 تحرز تقدماً مطرداً. وأُجريت في نيسان/أبريل عام 2008 انتخاباتٌ لعضوية الجمعية التأسيسية على أساس تعدد الأحزاب اعتمد فيها نظاما التمثيل بالفائز الأول والتمثيل النسبي. وقد حظيت الجمعية التأسيسية التي تشكلت على هذا النحو، والتي تعمل بوصفها مجلساً تشريعياً وبرلمانا، بالإشادة بها لكونها واحدة من أكثر المؤسسات من نوعها اتساماً بالصفة التمثيلية. وتشكل المرأة قرابة الثلث من أعضاء الجمعية التأسيسية البالغ عددهم 601 عضو يعكفون حالياً على وضع دستور ديمقراطي جديد. كما أن إعادة تشكيل هيكل الدولة على أسس اتحادية تحتل درجة عالية من الأولوية في جدول أعمالها. وهذا تطور إيجابي عظيم بحق، يحمل في طيّاته احتمالات حدوث تغييرات أعظم في الحياة الاقتصادية والاجتماعية والسياسة للبلد في الأيام المقبلة.</w:t>
      </w:r>
    </w:p>
    <w:p w:rsidR="000B7434" w:rsidRPr="00C53766" w:rsidRDefault="004B4D13" w:rsidP="008B03DA">
      <w:pPr>
        <w:pStyle w:val="SingleTxtGA"/>
        <w:spacing w:line="370" w:lineRule="exact"/>
        <w:rPr>
          <w:rFonts w:hint="cs"/>
          <w:rtl/>
          <w:lang w:bidi="ar-EG"/>
        </w:rPr>
      </w:pPr>
      <w:r>
        <w:rPr>
          <w:rFonts w:hint="cs"/>
          <w:rtl/>
          <w:lang w:bidi="ar-EG"/>
        </w:rPr>
        <w:t>2</w:t>
      </w:r>
      <w:r w:rsidR="000B7434" w:rsidRPr="00C53766">
        <w:rPr>
          <w:rFonts w:hint="cs"/>
          <w:rtl/>
          <w:lang w:bidi="ar-EG"/>
        </w:rPr>
        <w:t>-</w:t>
      </w:r>
      <w:r w:rsidR="000B7434" w:rsidRPr="00C53766">
        <w:rPr>
          <w:rFonts w:hint="cs"/>
          <w:rtl/>
          <w:lang w:bidi="ar-EG"/>
        </w:rPr>
        <w:tab/>
        <w:t xml:space="preserve">وتعتبر الشمولية الاجتماعية ضرورة حتمية للتحوّل الاجتماعي </w:t>
      </w:r>
      <w:r w:rsidR="000B7434">
        <w:rPr>
          <w:rFonts w:hint="cs"/>
          <w:rtl/>
          <w:lang w:bidi="ar-EG"/>
        </w:rPr>
        <w:t>-</w:t>
      </w:r>
      <w:r w:rsidR="000B7434" w:rsidRPr="00C53766">
        <w:rPr>
          <w:rFonts w:hint="cs"/>
          <w:rtl/>
          <w:lang w:bidi="ar-EG"/>
        </w:rPr>
        <w:t xml:space="preserve"> الاقتصادي لنيبال. ويمثل الحكم الخاص بشأن مشاركة المرأة بنسبة 33 في المائة في كل آليات الدولة، وإعادة تشكيل هيكل الدولة مع تشديد على الشمولية تطورين هائلين. كما أن الإعلانَ الصادرَ عام</w:t>
      </w:r>
      <w:r w:rsidR="000B7434">
        <w:rPr>
          <w:rFonts w:hint="eastAsia"/>
          <w:rtl/>
          <w:lang w:bidi="ar-EG"/>
        </w:rPr>
        <w:t> </w:t>
      </w:r>
      <w:r w:rsidR="000B7434" w:rsidRPr="00C53766">
        <w:rPr>
          <w:rFonts w:hint="cs"/>
          <w:rtl/>
          <w:lang w:bidi="ar-EG"/>
        </w:rPr>
        <w:t>2006 عن مجلس النواب آنذاك (المرفق الأول)، والحكم الوارد في الدستور المؤقت لنيبال (المرفق الثاني) يُضفيان اعترافا صريحاً وأهمية واضحة على المساواة بين الجنسين وقد أدرج في</w:t>
      </w:r>
      <w:r w:rsidR="000B7434">
        <w:rPr>
          <w:rFonts w:hint="eastAsia"/>
          <w:rtl/>
          <w:lang w:bidi="ar-EG"/>
        </w:rPr>
        <w:t> </w:t>
      </w:r>
      <w:r w:rsidR="000B7434" w:rsidRPr="00C53766">
        <w:rPr>
          <w:rFonts w:hint="cs"/>
          <w:rtl/>
          <w:lang w:bidi="ar-EG"/>
        </w:rPr>
        <w:t>الدستور المؤقت عددٌ من الأحكام الإيجابية في صالح المرأة بغية كفالة الحق في المساواة للجميع. ويهدف الإطار الدستوري إلى زيادة الانسجام الاجتماعي عن طريق المساواة، والإنصاف، والشمولية، والتمثيل النسبي.</w:t>
      </w:r>
    </w:p>
    <w:p w:rsidR="000B7434" w:rsidRPr="00C53766" w:rsidRDefault="004B4D13" w:rsidP="008B03DA">
      <w:pPr>
        <w:pStyle w:val="SingleTxtGA"/>
        <w:spacing w:line="370" w:lineRule="exact"/>
        <w:rPr>
          <w:rFonts w:hint="cs"/>
          <w:rtl/>
          <w:lang w:bidi="ar-EG"/>
        </w:rPr>
      </w:pPr>
      <w:r>
        <w:rPr>
          <w:rFonts w:hint="cs"/>
          <w:rtl/>
          <w:lang w:bidi="ar-EG"/>
        </w:rPr>
        <w:t>3</w:t>
      </w:r>
      <w:r w:rsidR="000B7434" w:rsidRPr="00C53766">
        <w:rPr>
          <w:rFonts w:hint="cs"/>
          <w:rtl/>
          <w:lang w:bidi="ar-EG"/>
        </w:rPr>
        <w:t>-</w:t>
      </w:r>
      <w:r w:rsidR="000B7434" w:rsidRPr="00C53766">
        <w:rPr>
          <w:rFonts w:hint="cs"/>
          <w:rtl/>
          <w:lang w:bidi="ar-EG"/>
        </w:rPr>
        <w:tab/>
        <w:t>ويجري الآن عملياً في نيبال تنفيذ خطة العمل الوطنية لتطبيق اتفاقية القضاء على جميع أشكال التمييز ضد المرأة (</w:t>
      </w:r>
      <w:r>
        <w:rPr>
          <w:rFonts w:hint="cs"/>
          <w:rtl/>
          <w:lang w:bidi="ar-EG"/>
        </w:rPr>
        <w:t>"</w:t>
      </w:r>
      <w:r w:rsidR="000B7434" w:rsidRPr="00C53766">
        <w:rPr>
          <w:rFonts w:hint="cs"/>
          <w:rtl/>
          <w:lang w:bidi="ar-EG"/>
        </w:rPr>
        <w:t>الاتفاقية</w:t>
      </w:r>
      <w:r>
        <w:rPr>
          <w:rFonts w:hint="cs"/>
          <w:rtl/>
          <w:lang w:bidi="ar-EG"/>
        </w:rPr>
        <w:t>"</w:t>
      </w:r>
      <w:r w:rsidR="000B7434" w:rsidRPr="00C53766">
        <w:rPr>
          <w:rFonts w:hint="cs"/>
          <w:rtl/>
          <w:lang w:bidi="ar-EG"/>
        </w:rPr>
        <w:t>)، فالمرأة تشكل الآن قرابة 33 في المائة من أعضاء الجمعية ا</w:t>
      </w:r>
      <w:r w:rsidR="000B7434">
        <w:rPr>
          <w:rFonts w:hint="cs"/>
          <w:rtl/>
          <w:lang w:bidi="ar-EG"/>
        </w:rPr>
        <w:t>لتأسيسية. وهذا دليل واضح على الا</w:t>
      </w:r>
      <w:r w:rsidR="000B7434" w:rsidRPr="00C53766">
        <w:rPr>
          <w:rFonts w:hint="cs"/>
          <w:rtl/>
          <w:lang w:bidi="ar-EG"/>
        </w:rPr>
        <w:t>عتراف بدور المرأة ومساهماتها في عملية وضع الدستور، وكذلك على إيجاد بيئة سياسية شمولية في البلد. ومن المسائل التي تحتل مرتبة عالية في جدول الأعمال الوطني حالياً إدراج أحكام مراعية للجنسين في الدستور الجديد، وكفالة المشاركة المتزايدة للمرأة في مختلف مستويات الحكومة، وتشكيل جمعيات وهيئات نسائية لحماية حقوق المرأة وتعزيز مصالحها في المجتمع. وقد أدى المجتمع المدني النيبالي دوراً داعماً في</w:t>
      </w:r>
      <w:r w:rsidR="008B03DA">
        <w:rPr>
          <w:rFonts w:hint="cs"/>
          <w:rtl/>
          <w:lang w:bidi="ar-EG"/>
        </w:rPr>
        <w:t xml:space="preserve"> </w:t>
      </w:r>
      <w:r w:rsidR="000B7434" w:rsidRPr="00C53766">
        <w:rPr>
          <w:rFonts w:hint="cs"/>
          <w:rtl/>
          <w:lang w:bidi="ar-EG"/>
        </w:rPr>
        <w:t>تحقيق هذا التغيير الإيجابي.</w:t>
      </w:r>
    </w:p>
    <w:p w:rsidR="000B7434" w:rsidRPr="008B03DA" w:rsidRDefault="004B4D13" w:rsidP="008B03DA">
      <w:pPr>
        <w:pStyle w:val="SingleTxtGA"/>
        <w:spacing w:line="370" w:lineRule="exact"/>
        <w:rPr>
          <w:rFonts w:hint="cs"/>
          <w:spacing w:val="-4"/>
          <w:rtl/>
          <w:lang w:bidi="ar-EG"/>
        </w:rPr>
      </w:pPr>
      <w:r w:rsidRPr="008B03DA">
        <w:rPr>
          <w:rFonts w:hint="cs"/>
          <w:spacing w:val="-4"/>
          <w:rtl/>
          <w:lang w:bidi="ar-EG"/>
        </w:rPr>
        <w:t>4</w:t>
      </w:r>
      <w:r w:rsidR="000B7434" w:rsidRPr="008B03DA">
        <w:rPr>
          <w:rFonts w:hint="cs"/>
          <w:spacing w:val="-4"/>
          <w:rtl/>
          <w:lang w:bidi="ar-EG"/>
        </w:rPr>
        <w:t>-</w:t>
      </w:r>
      <w:r w:rsidR="000B7434" w:rsidRPr="008B03DA">
        <w:rPr>
          <w:rFonts w:hint="cs"/>
          <w:spacing w:val="-4"/>
          <w:rtl/>
          <w:lang w:bidi="ar-EG"/>
        </w:rPr>
        <w:tab/>
        <w:t>وتجري الآن، بتشاور ومشاركة أوسع نطاقاً مع أصحاب المصلحة، صياغة أجزاء خطة العمل التي تشمل قطاعات مختلفة مثل التعليم، والصحة، وتمكين المرأة، ومكافحة الاتجار بالأشخاص، وحماية الطفل ونمائه، والأشخاص ذوي الإعاقات، وكبار السن. وعلاوة على ذلك، فإنّ اللجنة الوطنية لحقوق الإنسان، ولجنة طائفة المنبوذين (الداليت) الوطنية، والمؤسسة الوطنية لتنمية القوميات الأصلية، تعمل كلها على حماية حقوق المواطنين المهمشين والنهوض بها. يضاف إلى ذلك أن اللجنة الوطنية للمرأة ملتزمة بحماية وتعزيز ما للمرأة في</w:t>
      </w:r>
      <w:r w:rsidR="000B7434" w:rsidRPr="008B03DA">
        <w:rPr>
          <w:rFonts w:hint="eastAsia"/>
          <w:spacing w:val="-4"/>
          <w:rtl/>
          <w:lang w:bidi="ar-EG"/>
        </w:rPr>
        <w:t> </w:t>
      </w:r>
      <w:r w:rsidR="000B7434" w:rsidRPr="008B03DA">
        <w:rPr>
          <w:rFonts w:hint="cs"/>
          <w:spacing w:val="-4"/>
          <w:rtl/>
          <w:lang w:bidi="ar-EG"/>
        </w:rPr>
        <w:t>نيبال من حقوق الإنسان.</w:t>
      </w:r>
    </w:p>
    <w:p w:rsidR="000B7434" w:rsidRPr="00A55826" w:rsidRDefault="00AD68BC" w:rsidP="008B03DA">
      <w:pPr>
        <w:pStyle w:val="SingleTxtGA"/>
        <w:spacing w:line="370" w:lineRule="exact"/>
        <w:rPr>
          <w:rFonts w:hint="cs"/>
          <w:rtl/>
          <w:lang w:bidi="ar-EG"/>
        </w:rPr>
      </w:pPr>
      <w:r>
        <w:rPr>
          <w:rFonts w:hint="cs"/>
          <w:rtl/>
          <w:lang w:bidi="ar-EG"/>
        </w:rPr>
        <w:t>5</w:t>
      </w:r>
      <w:r w:rsidR="000B7434" w:rsidRPr="00C53766">
        <w:rPr>
          <w:rFonts w:hint="cs"/>
          <w:rtl/>
          <w:lang w:bidi="ar-EG"/>
        </w:rPr>
        <w:t>-</w:t>
      </w:r>
      <w:r w:rsidR="000B7434" w:rsidRPr="00C53766">
        <w:rPr>
          <w:rFonts w:hint="cs"/>
          <w:rtl/>
          <w:lang w:bidi="ar-EG"/>
        </w:rPr>
        <w:tab/>
        <w:t xml:space="preserve">وكانت حكومة نيبال قد قدمت تقريرها الأولي في أيار/مايو 1997، </w:t>
      </w:r>
      <w:r w:rsidR="000B7434">
        <w:rPr>
          <w:rFonts w:hint="cs"/>
          <w:rtl/>
          <w:lang w:bidi="ar-EG"/>
        </w:rPr>
        <w:t>أ</w:t>
      </w:r>
      <w:r w:rsidR="000B7434" w:rsidRPr="00C53766">
        <w:rPr>
          <w:rFonts w:hint="cs"/>
          <w:rtl/>
          <w:lang w:bidi="ar-EG"/>
        </w:rPr>
        <w:t>تبعته ب</w:t>
      </w:r>
      <w:r w:rsidR="000B7434">
        <w:rPr>
          <w:rFonts w:hint="cs"/>
          <w:rtl/>
          <w:lang w:bidi="ar-EG"/>
        </w:rPr>
        <w:t>إ</w:t>
      </w:r>
      <w:r w:rsidR="000B7434" w:rsidRPr="00C53766">
        <w:rPr>
          <w:rFonts w:hint="cs"/>
          <w:rtl/>
          <w:lang w:bidi="ar-EG"/>
        </w:rPr>
        <w:t>ضافة ذلك التقرير في أيار/مايو عام 1998. وبعد ذلك، وامتثالاً لما ورد في التعليقات الختامية</w:t>
      </w:r>
      <w:r w:rsidR="000B7434" w:rsidRPr="00A55826">
        <w:rPr>
          <w:vertAlign w:val="superscript"/>
          <w:rtl/>
          <w:lang w:bidi="ar-EG"/>
        </w:rPr>
        <w:t>(</w:t>
      </w:r>
      <w:r w:rsidR="000B7434" w:rsidRPr="00A55826">
        <w:rPr>
          <w:rStyle w:val="FootnoteReference"/>
          <w:rtl/>
        </w:rPr>
        <w:footnoteReference w:id="3"/>
      </w:r>
      <w:r w:rsidR="000B7434" w:rsidRPr="00A55826">
        <w:rPr>
          <w:vertAlign w:val="superscript"/>
          <w:rtl/>
          <w:lang w:bidi="ar-EG"/>
        </w:rPr>
        <w:t>)</w:t>
      </w:r>
      <w:r w:rsidR="000B7434" w:rsidRPr="00C53766">
        <w:rPr>
          <w:rFonts w:hint="cs"/>
          <w:rtl/>
          <w:lang w:bidi="ar-EG"/>
        </w:rPr>
        <w:t>، قدمت الحكومة أيضاً تقريرها الثاني والثالث المدمجين في نيسان/أبريل 2002 (</w:t>
      </w:r>
      <w:r w:rsidR="000B7434" w:rsidRPr="00C53766">
        <w:rPr>
          <w:lang w:bidi="ar-EG"/>
        </w:rPr>
        <w:t>CEDAW/C/NPL/2-3</w:t>
      </w:r>
      <w:r w:rsidR="000B7434" w:rsidRPr="00C53766">
        <w:rPr>
          <w:rFonts w:hint="cs"/>
          <w:rtl/>
          <w:lang w:bidi="ar-EG"/>
        </w:rPr>
        <w:t>) اللذين نظر</w:t>
      </w:r>
      <w:r w:rsidR="0076510E">
        <w:rPr>
          <w:rFonts w:hint="cs"/>
          <w:rtl/>
          <w:lang w:bidi="ar-EG"/>
        </w:rPr>
        <w:t>ت فيهما اللجنة في جلستيها 630 و</w:t>
      </w:r>
      <w:r w:rsidR="000B7434" w:rsidRPr="00C53766">
        <w:rPr>
          <w:rFonts w:hint="cs"/>
          <w:rtl/>
          <w:lang w:bidi="ar-EG"/>
        </w:rPr>
        <w:t>631 المعقودتين في 13 كانون الثاني/يناير 2004</w:t>
      </w:r>
      <w:r w:rsidR="000B7434" w:rsidRPr="00A55826">
        <w:rPr>
          <w:vertAlign w:val="superscript"/>
          <w:rtl/>
          <w:lang w:bidi="ar-EG"/>
        </w:rPr>
        <w:t>(</w:t>
      </w:r>
      <w:r w:rsidR="000B7434" w:rsidRPr="00A55826">
        <w:rPr>
          <w:rStyle w:val="FootnoteReference"/>
          <w:rtl/>
        </w:rPr>
        <w:footnoteReference w:id="4"/>
      </w:r>
      <w:r w:rsidR="000B7434" w:rsidRPr="00A55826">
        <w:rPr>
          <w:vertAlign w:val="superscript"/>
          <w:rtl/>
          <w:lang w:bidi="ar-EG"/>
        </w:rPr>
        <w:t>)</w:t>
      </w:r>
    </w:p>
    <w:p w:rsidR="000B7434" w:rsidRPr="00C53766" w:rsidRDefault="00AD68BC" w:rsidP="008B03DA">
      <w:pPr>
        <w:pStyle w:val="SingleTxt"/>
        <w:spacing w:line="370" w:lineRule="exact"/>
        <w:rPr>
          <w:rFonts w:hint="cs"/>
          <w:rtl/>
          <w:lang w:bidi="ar-EG"/>
        </w:rPr>
      </w:pPr>
      <w:r>
        <w:rPr>
          <w:rFonts w:hint="cs"/>
          <w:rtl/>
          <w:lang w:bidi="ar-EG"/>
        </w:rPr>
        <w:t>6</w:t>
      </w:r>
      <w:r w:rsidR="000B7434" w:rsidRPr="00C53766">
        <w:rPr>
          <w:rFonts w:hint="cs"/>
          <w:rtl/>
          <w:lang w:bidi="ar-EG"/>
        </w:rPr>
        <w:t>-</w:t>
      </w:r>
      <w:r w:rsidR="000B7434" w:rsidRPr="00C53766">
        <w:rPr>
          <w:rFonts w:hint="cs"/>
          <w:rtl/>
          <w:lang w:bidi="ar-EG"/>
        </w:rPr>
        <w:tab/>
        <w:t>وقد أُعدّ هذا التقرير باتباع المبادئ التوجيهية التالية، وفقاً لما نصت عليه اللجنة. وتشمل الخطوات الرئيسية في هذه العملية ما يلي:</w:t>
      </w:r>
    </w:p>
    <w:p w:rsidR="000B7434" w:rsidRPr="008B03DA" w:rsidRDefault="000B7434" w:rsidP="008B03DA">
      <w:pPr>
        <w:pStyle w:val="SingleTxt"/>
        <w:tabs>
          <w:tab w:val="clear" w:pos="1267"/>
          <w:tab w:val="clear" w:pos="1930"/>
          <w:tab w:val="clear" w:pos="2592"/>
          <w:tab w:val="clear" w:pos="3254"/>
          <w:tab w:val="clear" w:pos="3917"/>
          <w:tab w:val="clear" w:pos="4579"/>
          <w:tab w:val="clear" w:pos="5242"/>
          <w:tab w:val="clear" w:pos="5904"/>
          <w:tab w:val="clear" w:pos="6566"/>
          <w:tab w:val="left" w:pos="1939"/>
        </w:tabs>
        <w:spacing w:after="60" w:line="350" w:lineRule="exact"/>
        <w:ind w:left="1928" w:right="1264" w:hanging="425"/>
        <w:rPr>
          <w:rFonts w:hint="cs"/>
          <w:w w:val="100"/>
          <w:kern w:val="0"/>
          <w:rtl/>
          <w:lang w:bidi="ar-EG"/>
        </w:rPr>
      </w:pPr>
      <w:r w:rsidRPr="008B03DA">
        <w:rPr>
          <w:rFonts w:hint="cs"/>
          <w:w w:val="100"/>
          <w:kern w:val="0"/>
          <w:rtl/>
          <w:lang w:bidi="ar-EG"/>
        </w:rPr>
        <w:t>•</w:t>
      </w:r>
      <w:r w:rsidRPr="008B03DA">
        <w:rPr>
          <w:rFonts w:hint="cs"/>
          <w:w w:val="100"/>
          <w:kern w:val="0"/>
          <w:rtl/>
          <w:lang w:bidi="ar-EG"/>
        </w:rPr>
        <w:tab/>
        <w:t>تشكيل لجنة تنسيق إعداد التقرير عن تنفيذ الاتفاقية برئاسة أمينة وزارة شؤون المرأة والطفل والرعاية الاجتماعية؛</w:t>
      </w:r>
    </w:p>
    <w:p w:rsidR="000B7434" w:rsidRPr="008B03DA" w:rsidRDefault="000B7434" w:rsidP="008B03DA">
      <w:pPr>
        <w:pStyle w:val="SingleTxt"/>
        <w:tabs>
          <w:tab w:val="clear" w:pos="1267"/>
          <w:tab w:val="clear" w:pos="1930"/>
          <w:tab w:val="clear" w:pos="2592"/>
          <w:tab w:val="clear" w:pos="3254"/>
          <w:tab w:val="clear" w:pos="3917"/>
          <w:tab w:val="clear" w:pos="4579"/>
          <w:tab w:val="clear" w:pos="5242"/>
          <w:tab w:val="clear" w:pos="5904"/>
          <w:tab w:val="clear" w:pos="6566"/>
          <w:tab w:val="left" w:pos="1939"/>
        </w:tabs>
        <w:spacing w:after="60" w:line="350" w:lineRule="exact"/>
        <w:ind w:left="1928" w:right="1264" w:hanging="425"/>
        <w:rPr>
          <w:rFonts w:hint="cs"/>
          <w:w w:val="100"/>
          <w:kern w:val="0"/>
          <w:rtl/>
          <w:lang w:bidi="ar-EG"/>
        </w:rPr>
      </w:pPr>
      <w:r w:rsidRPr="008B03DA">
        <w:rPr>
          <w:rFonts w:hint="cs"/>
          <w:w w:val="100"/>
          <w:kern w:val="0"/>
          <w:rtl/>
          <w:lang w:bidi="ar-EG"/>
        </w:rPr>
        <w:t>•</w:t>
      </w:r>
      <w:r w:rsidRPr="008B03DA">
        <w:rPr>
          <w:rFonts w:hint="cs"/>
          <w:w w:val="100"/>
          <w:kern w:val="0"/>
          <w:rtl/>
          <w:lang w:bidi="ar-EG"/>
        </w:rPr>
        <w:tab/>
        <w:t>صياغة خطة العمل؛</w:t>
      </w:r>
    </w:p>
    <w:p w:rsidR="000B7434" w:rsidRPr="008B03DA" w:rsidRDefault="000B7434" w:rsidP="008B03DA">
      <w:pPr>
        <w:pStyle w:val="SingleTxt"/>
        <w:tabs>
          <w:tab w:val="clear" w:pos="1267"/>
          <w:tab w:val="clear" w:pos="1930"/>
          <w:tab w:val="clear" w:pos="2592"/>
          <w:tab w:val="clear" w:pos="3254"/>
          <w:tab w:val="clear" w:pos="3917"/>
          <w:tab w:val="clear" w:pos="4579"/>
          <w:tab w:val="clear" w:pos="5242"/>
          <w:tab w:val="clear" w:pos="5904"/>
          <w:tab w:val="clear" w:pos="6566"/>
          <w:tab w:val="left" w:pos="1939"/>
        </w:tabs>
        <w:spacing w:after="60" w:line="350" w:lineRule="exact"/>
        <w:ind w:left="1928" w:right="1264" w:hanging="425"/>
        <w:rPr>
          <w:rFonts w:hint="cs"/>
          <w:w w:val="100"/>
          <w:kern w:val="0"/>
          <w:rtl/>
          <w:lang w:bidi="ar-EG"/>
        </w:rPr>
      </w:pPr>
      <w:r w:rsidRPr="008B03DA">
        <w:rPr>
          <w:rFonts w:hint="cs"/>
          <w:w w:val="100"/>
          <w:kern w:val="0"/>
          <w:rtl/>
          <w:lang w:bidi="ar-EG"/>
        </w:rPr>
        <w:t>•</w:t>
      </w:r>
      <w:r w:rsidRPr="008B03DA">
        <w:rPr>
          <w:rFonts w:hint="cs"/>
          <w:w w:val="100"/>
          <w:kern w:val="0"/>
          <w:rtl/>
          <w:lang w:bidi="ar-EG"/>
        </w:rPr>
        <w:tab/>
        <w:t>جمع المعلومات من مختلف الوكالات والمؤسسات، بما في ذلك المقابلات مع رؤساء الدوائر وجهات التنسيق في مختلف المنظمات؛</w:t>
      </w:r>
    </w:p>
    <w:p w:rsidR="000B7434" w:rsidRPr="008B03DA" w:rsidRDefault="000B7434" w:rsidP="008B03DA">
      <w:pPr>
        <w:pStyle w:val="SingleTxt"/>
        <w:tabs>
          <w:tab w:val="clear" w:pos="1267"/>
          <w:tab w:val="clear" w:pos="1930"/>
          <w:tab w:val="clear" w:pos="2592"/>
          <w:tab w:val="clear" w:pos="3254"/>
          <w:tab w:val="clear" w:pos="3917"/>
          <w:tab w:val="clear" w:pos="4579"/>
          <w:tab w:val="clear" w:pos="5242"/>
          <w:tab w:val="clear" w:pos="5904"/>
          <w:tab w:val="clear" w:pos="6566"/>
          <w:tab w:val="left" w:pos="1939"/>
        </w:tabs>
        <w:spacing w:after="60" w:line="350" w:lineRule="exact"/>
        <w:ind w:left="1928" w:right="1264" w:hanging="425"/>
        <w:rPr>
          <w:rFonts w:hint="cs"/>
          <w:w w:val="100"/>
          <w:kern w:val="0"/>
          <w:rtl/>
          <w:lang w:bidi="ar-EG"/>
        </w:rPr>
      </w:pPr>
      <w:r w:rsidRPr="008B03DA">
        <w:rPr>
          <w:rFonts w:hint="cs"/>
          <w:w w:val="100"/>
          <w:kern w:val="0"/>
          <w:rtl/>
          <w:lang w:bidi="ar-EG"/>
        </w:rPr>
        <w:t>•</w:t>
      </w:r>
      <w:r w:rsidRPr="008B03DA">
        <w:rPr>
          <w:rFonts w:hint="cs"/>
          <w:w w:val="100"/>
          <w:kern w:val="0"/>
          <w:rtl/>
          <w:lang w:bidi="ar-EG"/>
        </w:rPr>
        <w:tab/>
        <w:t>استعراض وتحليل المعلومات والبيانات المجمعة؛</w:t>
      </w:r>
    </w:p>
    <w:p w:rsidR="000B7434" w:rsidRPr="008B03DA" w:rsidRDefault="000B7434" w:rsidP="008B03DA">
      <w:pPr>
        <w:pStyle w:val="SingleTxt"/>
        <w:tabs>
          <w:tab w:val="clear" w:pos="1267"/>
          <w:tab w:val="clear" w:pos="1930"/>
          <w:tab w:val="clear" w:pos="2592"/>
          <w:tab w:val="clear" w:pos="3254"/>
          <w:tab w:val="clear" w:pos="3917"/>
          <w:tab w:val="clear" w:pos="4579"/>
          <w:tab w:val="clear" w:pos="5242"/>
          <w:tab w:val="clear" w:pos="5904"/>
          <w:tab w:val="clear" w:pos="6566"/>
          <w:tab w:val="left" w:pos="1939"/>
        </w:tabs>
        <w:spacing w:after="60" w:line="350" w:lineRule="exact"/>
        <w:ind w:left="1928" w:right="1264" w:hanging="425"/>
        <w:rPr>
          <w:rFonts w:hint="cs"/>
          <w:w w:val="100"/>
          <w:kern w:val="0"/>
          <w:rtl/>
          <w:lang w:bidi="ar-EG"/>
        </w:rPr>
      </w:pPr>
      <w:r w:rsidRPr="008B03DA">
        <w:rPr>
          <w:rFonts w:hint="cs"/>
          <w:w w:val="100"/>
          <w:kern w:val="0"/>
          <w:rtl/>
          <w:lang w:bidi="ar-EG"/>
        </w:rPr>
        <w:t>•</w:t>
      </w:r>
      <w:r w:rsidRPr="008B03DA">
        <w:rPr>
          <w:rFonts w:hint="cs"/>
          <w:w w:val="100"/>
          <w:kern w:val="0"/>
          <w:rtl/>
          <w:lang w:bidi="ar-EG"/>
        </w:rPr>
        <w:tab/>
        <w:t>وضع مشروع التقرير ونشره وجمع التعليقات عليه من اجتماعات التشاور الإقليمية</w:t>
      </w:r>
      <w:r w:rsidR="008B03DA">
        <w:rPr>
          <w:rFonts w:hint="cs"/>
          <w:w w:val="100"/>
          <w:kern w:val="0"/>
          <w:rtl/>
          <w:lang w:bidi="ar-EG"/>
        </w:rPr>
        <w:t xml:space="preserve"> </w:t>
      </w:r>
      <w:r w:rsidRPr="008B03DA">
        <w:rPr>
          <w:rFonts w:hint="cs"/>
          <w:w w:val="100"/>
          <w:kern w:val="0"/>
          <w:rtl/>
          <w:lang w:bidi="ar-EG"/>
        </w:rPr>
        <w:t>الأربعة؛</w:t>
      </w:r>
    </w:p>
    <w:p w:rsidR="000B7434" w:rsidRPr="008B03DA" w:rsidRDefault="000B7434" w:rsidP="008B03DA">
      <w:pPr>
        <w:pStyle w:val="SingleTxt"/>
        <w:tabs>
          <w:tab w:val="clear" w:pos="1267"/>
          <w:tab w:val="clear" w:pos="1930"/>
          <w:tab w:val="clear" w:pos="2592"/>
          <w:tab w:val="clear" w:pos="3254"/>
          <w:tab w:val="clear" w:pos="3917"/>
          <w:tab w:val="clear" w:pos="4579"/>
          <w:tab w:val="clear" w:pos="5242"/>
          <w:tab w:val="clear" w:pos="5904"/>
          <w:tab w:val="clear" w:pos="6566"/>
          <w:tab w:val="left" w:pos="1939"/>
        </w:tabs>
        <w:spacing w:after="60" w:line="350" w:lineRule="exact"/>
        <w:ind w:left="1928" w:right="1264" w:hanging="425"/>
        <w:rPr>
          <w:rFonts w:hint="cs"/>
          <w:w w:val="100"/>
          <w:kern w:val="0"/>
          <w:rtl/>
          <w:lang w:bidi="ar-EG"/>
        </w:rPr>
      </w:pPr>
      <w:r w:rsidRPr="008B03DA">
        <w:rPr>
          <w:rFonts w:hint="cs"/>
          <w:w w:val="100"/>
          <w:kern w:val="0"/>
          <w:rtl/>
          <w:lang w:bidi="ar-EG"/>
        </w:rPr>
        <w:t>•</w:t>
      </w:r>
      <w:r w:rsidRPr="008B03DA">
        <w:rPr>
          <w:rFonts w:hint="cs"/>
          <w:w w:val="100"/>
          <w:kern w:val="0"/>
          <w:rtl/>
          <w:lang w:bidi="ar-EG"/>
        </w:rPr>
        <w:tab/>
        <w:t>نشر مشروع التقرير بعد تحديثه لغرض المشاورات الوطنية؛</w:t>
      </w:r>
    </w:p>
    <w:p w:rsidR="000B7434" w:rsidRPr="008B03DA" w:rsidRDefault="000B7434" w:rsidP="008B03DA">
      <w:pPr>
        <w:pStyle w:val="SingleTxt"/>
        <w:tabs>
          <w:tab w:val="clear" w:pos="1267"/>
          <w:tab w:val="clear" w:pos="1930"/>
          <w:tab w:val="clear" w:pos="2592"/>
          <w:tab w:val="clear" w:pos="3254"/>
          <w:tab w:val="clear" w:pos="3917"/>
          <w:tab w:val="clear" w:pos="4579"/>
          <w:tab w:val="clear" w:pos="5242"/>
          <w:tab w:val="clear" w:pos="5904"/>
          <w:tab w:val="clear" w:pos="6566"/>
          <w:tab w:val="left" w:pos="1939"/>
        </w:tabs>
        <w:spacing w:after="60" w:line="350" w:lineRule="exact"/>
        <w:ind w:left="1928" w:right="1264" w:hanging="425"/>
        <w:rPr>
          <w:rFonts w:hint="cs"/>
          <w:w w:val="100"/>
          <w:kern w:val="0"/>
          <w:rtl/>
          <w:lang w:bidi="ar-EG"/>
        </w:rPr>
      </w:pPr>
      <w:r w:rsidRPr="008B03DA">
        <w:rPr>
          <w:rFonts w:hint="cs"/>
          <w:w w:val="100"/>
          <w:kern w:val="0"/>
          <w:rtl/>
          <w:lang w:bidi="ar-EG"/>
        </w:rPr>
        <w:t>•</w:t>
      </w:r>
      <w:r w:rsidRPr="008B03DA">
        <w:rPr>
          <w:rFonts w:hint="cs"/>
          <w:w w:val="100"/>
          <w:kern w:val="0"/>
          <w:rtl/>
          <w:lang w:bidi="ar-EG"/>
        </w:rPr>
        <w:tab/>
        <w:t>قيام لجنة تنسيق إعداد التقرير بوضع الصيغة النهائية للتقرير؛</w:t>
      </w:r>
    </w:p>
    <w:p w:rsidR="000B7434" w:rsidRPr="008B03DA" w:rsidRDefault="000B7434" w:rsidP="008B03DA">
      <w:pPr>
        <w:pStyle w:val="SingleTxt"/>
        <w:tabs>
          <w:tab w:val="clear" w:pos="1267"/>
          <w:tab w:val="clear" w:pos="1930"/>
          <w:tab w:val="clear" w:pos="2592"/>
          <w:tab w:val="clear" w:pos="3254"/>
          <w:tab w:val="clear" w:pos="3917"/>
          <w:tab w:val="clear" w:pos="4579"/>
          <w:tab w:val="clear" w:pos="5242"/>
          <w:tab w:val="clear" w:pos="5904"/>
          <w:tab w:val="clear" w:pos="6566"/>
          <w:tab w:val="left" w:pos="1939"/>
        </w:tabs>
        <w:spacing w:after="60" w:line="350" w:lineRule="exact"/>
        <w:ind w:left="1928" w:right="1264" w:hanging="425"/>
        <w:rPr>
          <w:rFonts w:hint="cs"/>
          <w:w w:val="100"/>
          <w:kern w:val="0"/>
          <w:rtl/>
          <w:lang w:bidi="ar-EG"/>
        </w:rPr>
      </w:pPr>
      <w:r w:rsidRPr="008B03DA">
        <w:rPr>
          <w:rFonts w:hint="cs"/>
          <w:w w:val="100"/>
          <w:kern w:val="0"/>
          <w:rtl/>
          <w:lang w:bidi="ar-EG"/>
        </w:rPr>
        <w:t>•</w:t>
      </w:r>
      <w:r w:rsidRPr="008B03DA">
        <w:rPr>
          <w:rFonts w:hint="cs"/>
          <w:w w:val="100"/>
          <w:kern w:val="0"/>
          <w:rtl/>
          <w:lang w:bidi="ar-EG"/>
        </w:rPr>
        <w:tab/>
        <w:t>التماس المدخلات/التعليقات/الاقتراحات من وزارة القانون والعدل وشؤون الجمعية</w:t>
      </w:r>
      <w:r w:rsidR="008B03DA">
        <w:rPr>
          <w:rFonts w:hint="cs"/>
          <w:w w:val="100"/>
          <w:kern w:val="0"/>
          <w:rtl/>
          <w:lang w:bidi="ar-EG"/>
        </w:rPr>
        <w:t xml:space="preserve"> </w:t>
      </w:r>
      <w:r w:rsidRPr="008B03DA">
        <w:rPr>
          <w:rFonts w:hint="cs"/>
          <w:w w:val="100"/>
          <w:kern w:val="0"/>
          <w:rtl/>
          <w:lang w:bidi="ar-EG"/>
        </w:rPr>
        <w:t>التأسيسية؛</w:t>
      </w:r>
    </w:p>
    <w:p w:rsidR="000B7434" w:rsidRPr="008B03DA" w:rsidRDefault="000B7434" w:rsidP="008B03DA">
      <w:pPr>
        <w:pStyle w:val="SingleTxt"/>
        <w:tabs>
          <w:tab w:val="clear" w:pos="1267"/>
          <w:tab w:val="clear" w:pos="1930"/>
          <w:tab w:val="clear" w:pos="2592"/>
          <w:tab w:val="clear" w:pos="3254"/>
          <w:tab w:val="clear" w:pos="3917"/>
          <w:tab w:val="clear" w:pos="4579"/>
          <w:tab w:val="clear" w:pos="5242"/>
          <w:tab w:val="clear" w:pos="5904"/>
          <w:tab w:val="clear" w:pos="6566"/>
          <w:tab w:val="left" w:pos="1939"/>
        </w:tabs>
        <w:spacing w:line="350" w:lineRule="exact"/>
        <w:ind w:left="1928" w:right="1264" w:hanging="425"/>
        <w:rPr>
          <w:rFonts w:hint="cs"/>
          <w:w w:val="100"/>
          <w:kern w:val="0"/>
          <w:rtl/>
          <w:lang w:bidi="ar-EG"/>
        </w:rPr>
      </w:pPr>
      <w:r w:rsidRPr="008B03DA">
        <w:rPr>
          <w:rFonts w:hint="cs"/>
          <w:w w:val="100"/>
          <w:kern w:val="0"/>
          <w:rtl/>
          <w:lang w:bidi="ar-EG"/>
        </w:rPr>
        <w:t>•</w:t>
      </w:r>
      <w:r w:rsidRPr="008B03DA">
        <w:rPr>
          <w:rFonts w:hint="cs"/>
          <w:w w:val="100"/>
          <w:kern w:val="0"/>
          <w:rtl/>
          <w:lang w:bidi="ar-EG"/>
        </w:rPr>
        <w:tab/>
        <w:t>موافقة نهائية من مجلس وزراء حكومة نيبال؛</w:t>
      </w:r>
    </w:p>
    <w:p w:rsidR="000B7434" w:rsidRPr="008B03DA" w:rsidRDefault="0076510E" w:rsidP="008B03DA">
      <w:pPr>
        <w:pStyle w:val="SingleTxtGA"/>
        <w:spacing w:line="370" w:lineRule="exact"/>
        <w:rPr>
          <w:rFonts w:hint="cs"/>
          <w:spacing w:val="-4"/>
          <w:rtl/>
          <w:lang w:bidi="ar-EG"/>
        </w:rPr>
      </w:pPr>
      <w:r w:rsidRPr="008B03DA">
        <w:rPr>
          <w:rFonts w:hint="cs"/>
          <w:spacing w:val="-4"/>
          <w:rtl/>
          <w:lang w:bidi="ar-EG"/>
        </w:rPr>
        <w:t>7</w:t>
      </w:r>
      <w:r w:rsidR="000B7434" w:rsidRPr="008B03DA">
        <w:rPr>
          <w:rFonts w:hint="cs"/>
          <w:spacing w:val="-4"/>
          <w:rtl/>
          <w:lang w:bidi="ar-EG"/>
        </w:rPr>
        <w:t>-</w:t>
      </w:r>
      <w:r w:rsidR="000B7434" w:rsidRPr="008B03DA">
        <w:rPr>
          <w:rFonts w:hint="cs"/>
          <w:spacing w:val="-4"/>
          <w:rtl/>
          <w:lang w:bidi="ar-EG"/>
        </w:rPr>
        <w:tab/>
        <w:t>ويغطي هذا التقرير الفترة من 2001 إلى 2008 ويتألف من أربعة أجزاء. الجزء الأول يحاول أن يتناول مواضع القلق الرئيسية والتوصيات التي قدمتها اللجنة بعد النظر في</w:t>
      </w:r>
      <w:r w:rsidR="000B7434" w:rsidRPr="008B03DA">
        <w:rPr>
          <w:rFonts w:hint="eastAsia"/>
          <w:spacing w:val="-4"/>
          <w:rtl/>
          <w:lang w:bidi="ar-EG"/>
        </w:rPr>
        <w:t> </w:t>
      </w:r>
      <w:r w:rsidR="000B7434" w:rsidRPr="008B03DA">
        <w:rPr>
          <w:rFonts w:hint="cs"/>
          <w:spacing w:val="-4"/>
          <w:rtl/>
          <w:lang w:bidi="ar-EG"/>
        </w:rPr>
        <w:t>التقريرين الثاني والثالث المدمجين. والجزء الثاني يقدم تفاصيل عن التطورات المستجدة بشأن الحقوق الجوهرية بموجب الاتفاقية، بما في ذلك التوصياتُ العامة للجنة، متبوعةً بمعلومات أساسية، وعن مبادرات التغيير، وتحديات المستقبل. ويشمل الجزء الثالث التقدم المحرز في المجالات الحرجة ا</w:t>
      </w:r>
      <w:r w:rsidRPr="008B03DA">
        <w:rPr>
          <w:rFonts w:hint="cs"/>
          <w:spacing w:val="-4"/>
          <w:rtl/>
          <w:lang w:bidi="ar-EG"/>
        </w:rPr>
        <w:t>ﻟ</w:t>
      </w:r>
      <w:r w:rsidR="000B7434" w:rsidRPr="008B03DA">
        <w:rPr>
          <w:rFonts w:hint="cs"/>
          <w:spacing w:val="-4"/>
          <w:rtl/>
          <w:lang w:bidi="ar-EG"/>
        </w:rPr>
        <w:t xml:space="preserve"> 12 التي حددها منهاج عمل بيجين. وأخيراً، يتناول الجزء الرابع بعض القضايا الناشئة.</w:t>
      </w:r>
    </w:p>
    <w:p w:rsidR="000B7434" w:rsidRPr="00C53766" w:rsidRDefault="000B7434" w:rsidP="008B03DA">
      <w:pPr>
        <w:pStyle w:val="HChGA"/>
        <w:spacing w:before="120" w:after="0"/>
        <w:rPr>
          <w:rFonts w:hint="cs"/>
          <w:rtl/>
          <w:lang w:bidi="ar-EG"/>
        </w:rPr>
      </w:pPr>
      <w:r>
        <w:rPr>
          <w:rFonts w:hint="cs"/>
          <w:rtl/>
          <w:lang w:bidi="ar-EG"/>
        </w:rPr>
        <w:tab/>
      </w:r>
      <w:r>
        <w:rPr>
          <w:rFonts w:hint="cs"/>
          <w:rtl/>
          <w:lang w:bidi="ar-EG"/>
        </w:rPr>
        <w:tab/>
        <w:t>الجزء الأول</w:t>
      </w:r>
    </w:p>
    <w:p w:rsidR="000B7434" w:rsidRPr="00C53766" w:rsidRDefault="000B7434" w:rsidP="0076510E">
      <w:pPr>
        <w:pStyle w:val="HChGA"/>
        <w:spacing w:before="120"/>
        <w:rPr>
          <w:rFonts w:hint="cs"/>
          <w:rtl/>
          <w:lang w:bidi="ar-EG"/>
        </w:rPr>
      </w:pPr>
      <w:r>
        <w:rPr>
          <w:rFonts w:hint="cs"/>
          <w:rtl/>
          <w:lang w:bidi="ar-EG"/>
        </w:rPr>
        <w:tab/>
      </w:r>
      <w:r>
        <w:rPr>
          <w:rFonts w:hint="cs"/>
          <w:rtl/>
          <w:lang w:bidi="ar-EG"/>
        </w:rPr>
        <w:tab/>
      </w:r>
      <w:r w:rsidRPr="00C53766">
        <w:rPr>
          <w:rFonts w:hint="cs"/>
          <w:rtl/>
          <w:lang w:bidi="ar-EG"/>
        </w:rPr>
        <w:t xml:space="preserve">التطورات في مواضع القلق وتوصيات اللجنة </w:t>
      </w:r>
    </w:p>
    <w:p w:rsidR="000B7434" w:rsidRPr="00C53766" w:rsidRDefault="000B7434" w:rsidP="0076510E">
      <w:pPr>
        <w:pStyle w:val="H1GA"/>
        <w:rPr>
          <w:rFonts w:hint="cs"/>
          <w:rtl/>
          <w:lang w:bidi="ar-EG"/>
        </w:rPr>
      </w:pPr>
      <w:r>
        <w:rPr>
          <w:rFonts w:hint="cs"/>
          <w:rtl/>
          <w:lang w:bidi="ar-EG"/>
        </w:rPr>
        <w:tab/>
      </w:r>
      <w:r>
        <w:rPr>
          <w:rFonts w:hint="cs"/>
          <w:rtl/>
          <w:lang w:bidi="ar-EG"/>
        </w:rPr>
        <w:tab/>
      </w:r>
      <w:r w:rsidRPr="00C53766">
        <w:rPr>
          <w:rFonts w:hint="cs"/>
          <w:rtl/>
          <w:lang w:bidi="ar-EG"/>
        </w:rPr>
        <w:t>إزالة القوانين التمييزية (الفقرات 196-199 من التع</w:t>
      </w:r>
      <w:r>
        <w:rPr>
          <w:rFonts w:hint="cs"/>
          <w:rtl/>
          <w:lang w:bidi="ar-EG"/>
        </w:rPr>
        <w:t>ليق</w:t>
      </w:r>
      <w:r w:rsidRPr="00C53766">
        <w:rPr>
          <w:rFonts w:hint="cs"/>
          <w:rtl/>
          <w:lang w:bidi="ar-EG"/>
        </w:rPr>
        <w:t>ات الختامية)</w:t>
      </w:r>
    </w:p>
    <w:p w:rsidR="000B7434" w:rsidRPr="00C53766" w:rsidRDefault="000B7434" w:rsidP="0076510E">
      <w:pPr>
        <w:pStyle w:val="SingleTxtGA"/>
        <w:rPr>
          <w:rFonts w:hint="cs"/>
          <w:rtl/>
          <w:lang w:bidi="ar-EG"/>
        </w:rPr>
      </w:pPr>
      <w:r w:rsidRPr="00C53766">
        <w:rPr>
          <w:rFonts w:hint="cs"/>
          <w:rtl/>
          <w:lang w:bidi="ar-EG"/>
        </w:rPr>
        <w:t>8-</w:t>
      </w:r>
      <w:r w:rsidRPr="00C53766">
        <w:rPr>
          <w:rFonts w:hint="cs"/>
          <w:rtl/>
          <w:lang w:bidi="ar-EG"/>
        </w:rPr>
        <w:tab/>
        <w:t>تم خلال الفترة المشمولة بهذا التقرير تعديل عدد كبير من القوانين التمييزية. وعلى</w:t>
      </w:r>
      <w:r>
        <w:rPr>
          <w:rFonts w:hint="eastAsia"/>
          <w:rtl/>
          <w:lang w:bidi="ar-EG"/>
        </w:rPr>
        <w:t> </w:t>
      </w:r>
      <w:r w:rsidRPr="00C53766">
        <w:rPr>
          <w:rFonts w:hint="cs"/>
          <w:rtl/>
          <w:lang w:bidi="ar-EG"/>
        </w:rPr>
        <w:t>أساس التقرير المقدم من لجنة رفيعة المستوى شُكّلت لمراجعة كل القوانين الموجودة التي</w:t>
      </w:r>
      <w:r>
        <w:rPr>
          <w:rFonts w:hint="eastAsia"/>
          <w:rtl/>
          <w:lang w:bidi="ar-EG"/>
        </w:rPr>
        <w:t> </w:t>
      </w:r>
      <w:r w:rsidRPr="00C53766">
        <w:rPr>
          <w:rFonts w:hint="cs"/>
          <w:rtl/>
          <w:lang w:bidi="ar-EG"/>
        </w:rPr>
        <w:t>تميّز ضد المرأة، المذكورة في التقرير السابق (</w:t>
      </w:r>
      <w:r w:rsidRPr="00C53766">
        <w:rPr>
          <w:lang w:bidi="ar-EG"/>
        </w:rPr>
        <w:t>CEDAW/C/NPL/2-3</w:t>
      </w:r>
      <w:r w:rsidRPr="00C53766">
        <w:rPr>
          <w:rFonts w:hint="cs"/>
          <w:rtl/>
          <w:lang w:bidi="ar-EG"/>
        </w:rPr>
        <w:t>)، عُِدِّلت أحكامٌ قانونية عديدة في مدونة القوانين القُطرية كما عُدلت أو أُلغيت قوانين أخرى، واستُنّ في</w:t>
      </w:r>
      <w:r>
        <w:rPr>
          <w:rFonts w:hint="eastAsia"/>
          <w:rtl/>
          <w:lang w:bidi="ar-EG"/>
        </w:rPr>
        <w:t> </w:t>
      </w:r>
      <w:r w:rsidRPr="00C53766">
        <w:rPr>
          <w:rFonts w:hint="cs"/>
          <w:rtl/>
          <w:lang w:bidi="ar-EG"/>
        </w:rPr>
        <w:t>عام</w:t>
      </w:r>
      <w:r>
        <w:rPr>
          <w:rFonts w:hint="eastAsia"/>
          <w:rtl/>
          <w:lang w:bidi="ar-EG"/>
        </w:rPr>
        <w:t> </w:t>
      </w:r>
      <w:r w:rsidRPr="00C53766">
        <w:rPr>
          <w:rFonts w:hint="cs"/>
          <w:rtl/>
          <w:lang w:bidi="ar-EG"/>
        </w:rPr>
        <w:t xml:space="preserve">2006 </w:t>
      </w:r>
      <w:r w:rsidR="0076510E">
        <w:rPr>
          <w:rFonts w:hint="cs"/>
          <w:rtl/>
          <w:lang w:bidi="ar-EG"/>
        </w:rPr>
        <w:t>"</w:t>
      </w:r>
      <w:r w:rsidRPr="00C53766">
        <w:rPr>
          <w:rFonts w:hint="cs"/>
          <w:rtl/>
          <w:lang w:bidi="ar-EG"/>
        </w:rPr>
        <w:t>قانون تعديل بعض القوانين النيبالية للمحافظة على المساواة بين الجنسين</w:t>
      </w:r>
      <w:r w:rsidR="0076510E">
        <w:rPr>
          <w:rFonts w:hint="cs"/>
          <w:rtl/>
          <w:lang w:bidi="ar-EG"/>
        </w:rPr>
        <w:t>"</w:t>
      </w:r>
      <w:r w:rsidRPr="00C53766">
        <w:rPr>
          <w:rFonts w:hint="cs"/>
          <w:rtl/>
          <w:lang w:bidi="ar-EG"/>
        </w:rPr>
        <w:t>. وأصبح للمرأة حق في وراثة الممتلكات مساو لحق الرجل ومضمونٌ ضماناً كاملاً في الدستور المؤقت وكذلك في المدونة القُطرية. وبالإضافة إلى الحق المتساوي في الممتلكات، أُجري عدد من التعديلات الهامة الأخرى في مختلف القوانين الجوهرية والإجرائية.</w:t>
      </w:r>
    </w:p>
    <w:p w:rsidR="000B7434" w:rsidRPr="00C53766" w:rsidRDefault="000B7434" w:rsidP="0076510E">
      <w:pPr>
        <w:pStyle w:val="SingleTxtGA"/>
        <w:rPr>
          <w:rFonts w:hint="cs"/>
          <w:rtl/>
          <w:lang w:bidi="ar-EG"/>
        </w:rPr>
      </w:pPr>
      <w:r w:rsidRPr="00C53766">
        <w:rPr>
          <w:rFonts w:hint="cs"/>
          <w:rtl/>
          <w:lang w:bidi="ar-EG"/>
        </w:rPr>
        <w:t>9-</w:t>
      </w:r>
      <w:r w:rsidRPr="00C53766">
        <w:rPr>
          <w:rFonts w:hint="cs"/>
          <w:rtl/>
          <w:lang w:bidi="ar-EG"/>
        </w:rPr>
        <w:tab/>
        <w:t>وتم الآن أيضاً إلغاء الشرط التمييزي الذي كان يستثني المرأة من منح جنسيتها لأطفالها في الدستور المؤقت لعام 2007 وبناء على ذلك استُنّ قانون جنسية جديد بهدي من</w:t>
      </w:r>
      <w:r>
        <w:rPr>
          <w:rFonts w:hint="eastAsia"/>
          <w:rtl/>
          <w:lang w:bidi="ar-EG"/>
        </w:rPr>
        <w:t> </w:t>
      </w:r>
      <w:r w:rsidRPr="00C53766">
        <w:rPr>
          <w:rFonts w:hint="cs"/>
          <w:rtl/>
          <w:lang w:bidi="ar-EG"/>
        </w:rPr>
        <w:t>روح الدستور المؤقت وتمشياً مع المادة 9 من اتفاقية القضاء على جميع أشكال التمييز ضد</w:t>
      </w:r>
      <w:r>
        <w:rPr>
          <w:rFonts w:hint="eastAsia"/>
          <w:rtl/>
          <w:lang w:bidi="ar-EG"/>
        </w:rPr>
        <w:t> </w:t>
      </w:r>
      <w:r w:rsidRPr="00C53766">
        <w:rPr>
          <w:rFonts w:hint="cs"/>
          <w:rtl/>
          <w:lang w:bidi="ar-EG"/>
        </w:rPr>
        <w:t>المرأة.</w:t>
      </w:r>
    </w:p>
    <w:p w:rsidR="000B7434" w:rsidRPr="00C53766" w:rsidRDefault="0076510E" w:rsidP="0076510E">
      <w:pPr>
        <w:pStyle w:val="SingleTxtGA"/>
        <w:rPr>
          <w:rFonts w:hint="cs"/>
          <w:rtl/>
          <w:lang w:bidi="ar-EG"/>
        </w:rPr>
      </w:pPr>
      <w:r>
        <w:rPr>
          <w:rFonts w:hint="cs"/>
          <w:rtl/>
          <w:lang w:bidi="ar-EG"/>
        </w:rPr>
        <w:t>10</w:t>
      </w:r>
      <w:r w:rsidR="000B7434" w:rsidRPr="00C53766">
        <w:rPr>
          <w:rFonts w:hint="cs"/>
          <w:rtl/>
          <w:lang w:bidi="ar-EG"/>
        </w:rPr>
        <w:t>-</w:t>
      </w:r>
      <w:r w:rsidR="000B7434" w:rsidRPr="00C53766">
        <w:rPr>
          <w:rFonts w:hint="cs"/>
          <w:rtl/>
          <w:lang w:bidi="ar-EG"/>
        </w:rPr>
        <w:tab/>
        <w:t xml:space="preserve">وتضمن المادة 20 من الدستور المؤقت الجديد </w:t>
      </w:r>
      <w:r>
        <w:rPr>
          <w:rFonts w:hint="cs"/>
          <w:rtl/>
          <w:lang w:bidi="ar-EG"/>
        </w:rPr>
        <w:t>"</w:t>
      </w:r>
      <w:r w:rsidR="000B7434" w:rsidRPr="00C53766">
        <w:rPr>
          <w:rFonts w:hint="cs"/>
          <w:rtl/>
          <w:lang w:bidi="ar-EG"/>
        </w:rPr>
        <w:t>حقوق المرأة</w:t>
      </w:r>
      <w:r>
        <w:rPr>
          <w:rFonts w:hint="cs"/>
          <w:rtl/>
          <w:lang w:bidi="ar-EG"/>
        </w:rPr>
        <w:t>"</w:t>
      </w:r>
      <w:r w:rsidR="000B7434" w:rsidRPr="00C53766">
        <w:rPr>
          <w:rFonts w:hint="cs"/>
          <w:rtl/>
          <w:lang w:bidi="ar-EG"/>
        </w:rPr>
        <w:t xml:space="preserve"> بوصفها حقوقاً أساسيةً. ويعلن الدستور المؤقت، في تساوق تام مع الاتفاقية، بوضوح أنه </w:t>
      </w:r>
      <w:r>
        <w:rPr>
          <w:rFonts w:hint="cs"/>
          <w:rtl/>
          <w:lang w:bidi="ar-EG"/>
        </w:rPr>
        <w:t>"</w:t>
      </w:r>
      <w:r w:rsidR="000B7434" w:rsidRPr="00C53766">
        <w:rPr>
          <w:rFonts w:hint="cs"/>
          <w:rtl/>
          <w:lang w:bidi="ar-EG"/>
        </w:rPr>
        <w:t>لا يميّز ضد أي امرأة، بأي طريقة، على أساس جنساني</w:t>
      </w:r>
      <w:r>
        <w:rPr>
          <w:rFonts w:hint="cs"/>
          <w:rtl/>
          <w:lang w:bidi="ar-EG"/>
        </w:rPr>
        <w:t>"</w:t>
      </w:r>
      <w:r w:rsidR="000B7434" w:rsidRPr="00C53766">
        <w:rPr>
          <w:rFonts w:hint="cs"/>
          <w:rtl/>
          <w:lang w:bidi="ar-EG"/>
        </w:rPr>
        <w:t>. ولا يكتفي الدستور المؤقت بضمان حماية المرأة من العنف الجسدي والذهني فحسب، بل يكفل أيضاً صحتها التناسلية وحقوقها في الإنجاب. وقد أعربت المحكمة العليا في نيبال في قضايا عديدة عن آرائها في أن مسائل التمييز على أساس جنساني ينبغي أن تعاملها أجهزة الدولة بجدية. ويشار إلى بعض آراء المحكمة العليا في</w:t>
      </w:r>
      <w:r w:rsidR="000B7434">
        <w:rPr>
          <w:rFonts w:hint="eastAsia"/>
          <w:rtl/>
          <w:lang w:bidi="ar-EG"/>
        </w:rPr>
        <w:t> </w:t>
      </w:r>
      <w:r w:rsidR="000B7434" w:rsidRPr="00C53766">
        <w:rPr>
          <w:rFonts w:hint="cs"/>
          <w:rtl/>
          <w:lang w:bidi="ar-EG"/>
        </w:rPr>
        <w:t>الجزء الثاني من هذا التقرير.</w:t>
      </w:r>
    </w:p>
    <w:p w:rsidR="000B7434" w:rsidRPr="00C53766" w:rsidRDefault="000B7434" w:rsidP="0076510E">
      <w:pPr>
        <w:pStyle w:val="H1GA"/>
        <w:rPr>
          <w:rFonts w:hint="cs"/>
          <w:rtl/>
          <w:lang w:bidi="ar-EG"/>
        </w:rPr>
      </w:pPr>
      <w:r>
        <w:rPr>
          <w:rFonts w:hint="cs"/>
          <w:rtl/>
          <w:lang w:bidi="ar-EG"/>
        </w:rPr>
        <w:tab/>
      </w:r>
      <w:r>
        <w:rPr>
          <w:rFonts w:hint="cs"/>
          <w:rtl/>
          <w:lang w:bidi="ar-EG"/>
        </w:rPr>
        <w:tab/>
      </w:r>
      <w:r w:rsidRPr="00C53766">
        <w:rPr>
          <w:rFonts w:hint="cs"/>
          <w:rtl/>
          <w:lang w:bidi="ar-EG"/>
        </w:rPr>
        <w:t xml:space="preserve">تعزيز الآلية </w:t>
      </w:r>
      <w:r w:rsidR="0076510E">
        <w:rPr>
          <w:rFonts w:hint="cs"/>
          <w:rtl/>
          <w:lang w:bidi="ar-EG"/>
        </w:rPr>
        <w:t>الوطنية القائمة (الفقرتان 200 و</w:t>
      </w:r>
      <w:r w:rsidRPr="00C53766">
        <w:rPr>
          <w:rFonts w:hint="cs"/>
          <w:rtl/>
          <w:lang w:bidi="ar-EG"/>
        </w:rPr>
        <w:t>201 من التعليقات الختامية)</w:t>
      </w:r>
    </w:p>
    <w:p w:rsidR="000B7434" w:rsidRPr="00C53766" w:rsidRDefault="0076510E" w:rsidP="0076510E">
      <w:pPr>
        <w:pStyle w:val="SingleTxtGA"/>
        <w:rPr>
          <w:rFonts w:hint="cs"/>
          <w:rtl/>
          <w:lang w:bidi="ar-EG"/>
        </w:rPr>
      </w:pPr>
      <w:r>
        <w:rPr>
          <w:rFonts w:hint="cs"/>
          <w:rtl/>
          <w:lang w:bidi="ar-EG"/>
        </w:rPr>
        <w:t>11</w:t>
      </w:r>
      <w:r w:rsidR="000B7434" w:rsidRPr="00C53766">
        <w:rPr>
          <w:rFonts w:hint="cs"/>
          <w:rtl/>
          <w:lang w:bidi="ar-EG"/>
        </w:rPr>
        <w:t>-</w:t>
      </w:r>
      <w:r w:rsidR="000B7434" w:rsidRPr="00C53766">
        <w:rPr>
          <w:rFonts w:hint="cs"/>
          <w:rtl/>
          <w:lang w:bidi="ar-EG"/>
        </w:rPr>
        <w:tab/>
        <w:t>تؤدي وكالتان مركزيتان في نيبال أدواراً حاسمة في عملية التخطيط والميزنة هما: لجنة التخطيط الوطني ووزارة المالية. وقد أوكلت إلى لجنة التخطيط الوطني مهمات تنسيق عمليات التخطيط لكل الوزارات العاملة وإعدادها والبت فيها ورصدها، وأوكل إلى وزارة المالية مهمة تخصيص الموارد لها. ولذلك، فإن أي اقتراح يرمي إلى تعزيز وكالات حكومية بغية التنفيذ الفعال لبرامجها وسياساتها يعتمد على قرارات التخطيط والميزنة الصادرة عن لجنة التخطيط الوطني ووزارة المالية.</w:t>
      </w:r>
    </w:p>
    <w:p w:rsidR="000B7434" w:rsidRPr="00C53766" w:rsidRDefault="0076510E" w:rsidP="0076510E">
      <w:pPr>
        <w:pStyle w:val="SingleTxtGA"/>
        <w:rPr>
          <w:rFonts w:hint="cs"/>
          <w:rtl/>
          <w:lang w:bidi="ar-EG"/>
        </w:rPr>
      </w:pPr>
      <w:r>
        <w:rPr>
          <w:rFonts w:hint="cs"/>
          <w:rtl/>
          <w:lang w:bidi="ar-EG"/>
        </w:rPr>
        <w:t>12</w:t>
      </w:r>
      <w:r w:rsidR="000B7434" w:rsidRPr="00C53766">
        <w:rPr>
          <w:rFonts w:hint="cs"/>
          <w:rtl/>
          <w:lang w:bidi="ar-EG"/>
        </w:rPr>
        <w:t>-</w:t>
      </w:r>
      <w:r w:rsidR="000B7434" w:rsidRPr="00C53766">
        <w:rPr>
          <w:rFonts w:hint="cs"/>
          <w:rtl/>
          <w:lang w:bidi="ar-EG"/>
        </w:rPr>
        <w:tab/>
        <w:t>وأثناء الفترة المشمولة بهذا التقرير، اعتمدت لجنة التخطيط الوطني الخطة العاشرة (2001 إلى 2007). وتهدف هذه الخطة إلى تعزيز الآليات الوطنية في مجال مراجعة الحسابات الجنسانية والميزنة المراعية للجنسانية. ولأول مرة عُيّن أشخاص ليكونوا منسقي الشؤون الجنسانية</w:t>
      </w:r>
      <w:r w:rsidR="000B7434" w:rsidRPr="00994A44">
        <w:rPr>
          <w:vertAlign w:val="superscript"/>
          <w:rtl/>
          <w:lang w:bidi="ar-EG"/>
        </w:rPr>
        <w:t>(</w:t>
      </w:r>
      <w:r w:rsidR="000B7434" w:rsidRPr="00994A44">
        <w:rPr>
          <w:rStyle w:val="FootnoteReference"/>
          <w:rtl/>
        </w:rPr>
        <w:footnoteReference w:id="5"/>
      </w:r>
      <w:r w:rsidR="000B7434" w:rsidRPr="00994A44">
        <w:rPr>
          <w:vertAlign w:val="superscript"/>
          <w:rtl/>
          <w:lang w:bidi="ar-EG"/>
        </w:rPr>
        <w:t>)</w:t>
      </w:r>
      <w:r w:rsidR="000B7434">
        <w:rPr>
          <w:rFonts w:hint="cs"/>
          <w:rtl/>
          <w:lang w:bidi="ar-EG"/>
        </w:rPr>
        <w:t xml:space="preserve"> </w:t>
      </w:r>
      <w:r w:rsidR="000B7434" w:rsidRPr="00C53766">
        <w:rPr>
          <w:rFonts w:hint="cs"/>
          <w:rtl/>
          <w:lang w:bidi="ar-EG"/>
        </w:rPr>
        <w:t>في كل الوزارات العاملة لإعطاء أولوية للمسائل الجنسانية.</w:t>
      </w:r>
    </w:p>
    <w:p w:rsidR="000B7434" w:rsidRPr="00C53766" w:rsidRDefault="0076510E" w:rsidP="002F1301">
      <w:pPr>
        <w:pStyle w:val="SingleTxtGA"/>
        <w:rPr>
          <w:rFonts w:hint="cs"/>
          <w:rtl/>
          <w:lang w:bidi="ar-EG"/>
        </w:rPr>
      </w:pPr>
      <w:r>
        <w:rPr>
          <w:rFonts w:hint="cs"/>
          <w:rtl/>
          <w:lang w:bidi="ar-EG"/>
        </w:rPr>
        <w:t>13</w:t>
      </w:r>
      <w:r w:rsidR="000B7434" w:rsidRPr="00C53766">
        <w:rPr>
          <w:rFonts w:hint="cs"/>
          <w:rtl/>
          <w:lang w:bidi="ar-EG"/>
        </w:rPr>
        <w:t>-</w:t>
      </w:r>
      <w:r w:rsidR="000B7434" w:rsidRPr="00C53766">
        <w:rPr>
          <w:rFonts w:hint="cs"/>
          <w:rtl/>
          <w:lang w:bidi="ar-EG"/>
        </w:rPr>
        <w:tab/>
        <w:t xml:space="preserve">وفي أعقاب </w:t>
      </w:r>
      <w:r w:rsidRPr="0076510E">
        <w:rPr>
          <w:rFonts w:hint="cs"/>
          <w:i/>
          <w:iCs/>
          <w:rtl/>
          <w:lang w:bidi="ar-EG"/>
        </w:rPr>
        <w:t>"</w:t>
      </w:r>
      <w:r w:rsidR="000B7434" w:rsidRPr="00C53766">
        <w:rPr>
          <w:rFonts w:hint="cs"/>
          <w:i/>
          <w:iCs/>
          <w:rtl/>
          <w:lang w:bidi="ar-EG"/>
        </w:rPr>
        <w:t>جان اندولان</w:t>
      </w:r>
      <w:r w:rsidR="000B7434" w:rsidRPr="00C53766">
        <w:rPr>
          <w:rFonts w:hint="cs"/>
          <w:rtl/>
          <w:lang w:bidi="ar-EG"/>
        </w:rPr>
        <w:t xml:space="preserve"> </w:t>
      </w:r>
      <w:r w:rsidR="000B7434" w:rsidRPr="00C53766">
        <w:rPr>
          <w:rFonts w:hint="cs"/>
          <w:i/>
          <w:iCs/>
          <w:rtl/>
          <w:lang w:bidi="ar-EG"/>
        </w:rPr>
        <w:t>الثانية</w:t>
      </w:r>
      <w:r w:rsidRPr="0076510E">
        <w:rPr>
          <w:rFonts w:hint="cs"/>
          <w:i/>
          <w:iCs/>
          <w:rtl/>
          <w:lang w:bidi="ar-EG"/>
        </w:rPr>
        <w:t>"</w:t>
      </w:r>
      <w:r w:rsidR="000B7434" w:rsidRPr="00994A44">
        <w:rPr>
          <w:vertAlign w:val="superscript"/>
          <w:rtl/>
          <w:lang w:bidi="ar-EG"/>
        </w:rPr>
        <w:t>(</w:t>
      </w:r>
      <w:r w:rsidR="000B7434" w:rsidRPr="00994A44">
        <w:rPr>
          <w:rStyle w:val="FootnoteReference"/>
          <w:rtl/>
        </w:rPr>
        <w:footnoteReference w:id="6"/>
      </w:r>
      <w:r w:rsidR="000B7434" w:rsidRPr="00994A44">
        <w:rPr>
          <w:vertAlign w:val="superscript"/>
          <w:rtl/>
          <w:lang w:bidi="ar-EG"/>
        </w:rPr>
        <w:t>)</w:t>
      </w:r>
      <w:r w:rsidR="000B7434" w:rsidRPr="00C53766">
        <w:rPr>
          <w:rFonts w:hint="cs"/>
          <w:rtl/>
          <w:lang w:bidi="ar-EG"/>
        </w:rPr>
        <w:t xml:space="preserve">، ووضعت الحكومة الخطة الثلاثية السنوات المؤقتة (2007/2008 إلى 2009/2010) ذات الهدف الواسع وهو بناء دولة رخاء عصرية وعادلة في نيبال. وأدمجت في الخطة الثلاثية برامج خاصة لصالح المرأة والفئات المحرومة، بما في ذلك الأشخاص ذوو الإعاقات، والمنبوذون (الداليت)، وطوائف الأديباسي والجناجاتي، والماديسي، والمسلمين، وكذلك المناطق الجغرافية المحرومة. وأولي تركيز رئيسي للمناطق الأكثر نأياً، بما في ذلك إقليم الكرنالي (في الجزء الغربي الأوسط من البلد)، التي ظلت حتى الآن مهملة في عملية التنمية الوطنية وتزداد تهميشاً نتيجة لذلك. وتشمل الخطة تحت عنوان </w:t>
      </w:r>
      <w:r>
        <w:rPr>
          <w:rFonts w:hint="cs"/>
          <w:rtl/>
          <w:lang w:bidi="ar-EG"/>
        </w:rPr>
        <w:t>"</w:t>
      </w:r>
      <w:r w:rsidR="000B7434" w:rsidRPr="00C53766">
        <w:rPr>
          <w:rFonts w:hint="cs"/>
          <w:rtl/>
          <w:lang w:bidi="ar-EG"/>
        </w:rPr>
        <w:t>تعميم المنظور الجنساني والشمولية الجنسانية</w:t>
      </w:r>
      <w:r>
        <w:rPr>
          <w:rFonts w:hint="cs"/>
          <w:rtl/>
          <w:lang w:bidi="ar-EG"/>
        </w:rPr>
        <w:t>"</w:t>
      </w:r>
      <w:r w:rsidR="000B7434" w:rsidRPr="00C53766">
        <w:rPr>
          <w:rFonts w:hint="cs"/>
          <w:rtl/>
          <w:lang w:bidi="ar-EG"/>
        </w:rPr>
        <w:t xml:space="preserve"> برامج تتصل </w:t>
      </w:r>
      <w:r>
        <w:rPr>
          <w:rFonts w:hint="cs"/>
          <w:rtl/>
          <w:lang w:bidi="ar-EG"/>
        </w:rPr>
        <w:t>"</w:t>
      </w:r>
      <w:r w:rsidR="000B7434" w:rsidRPr="00C53766">
        <w:rPr>
          <w:rFonts w:hint="cs"/>
          <w:rtl/>
          <w:lang w:bidi="ar-EG"/>
        </w:rPr>
        <w:t>بتمكين المرأة والمساواة بين الجنسين</w:t>
      </w:r>
      <w:r>
        <w:rPr>
          <w:rFonts w:hint="cs"/>
          <w:rtl/>
          <w:lang w:bidi="ar-EG"/>
        </w:rPr>
        <w:t>"</w:t>
      </w:r>
      <w:r w:rsidR="000B7434" w:rsidRPr="00C53766">
        <w:rPr>
          <w:rFonts w:hint="cs"/>
          <w:rtl/>
          <w:lang w:bidi="ar-EG"/>
        </w:rPr>
        <w:t xml:space="preserve">. ومن الأنشطة الهامة التي يُضطلع بها بموجب هذا البرنامج: إصلاح السياسة العامة والإصلاح القانوني؛ تنسيق أفضل للكيانات والمنظمات غير الحكومية الإقليمية المشتركة في الميادين المتصلة بالجنسانية؛ وتنمية الروح القيادية؛ ومشاركة المرأة في حل المنازعات والعملية السلمية، وإعداد خطة عمل وطنية للتأهيل الاجتماعي للمرأة المتأثرة </w:t>
      </w:r>
      <w:r w:rsidR="002F1301">
        <w:rPr>
          <w:rFonts w:hint="cs"/>
          <w:rtl/>
          <w:lang w:bidi="ar-EG"/>
        </w:rPr>
        <w:t xml:space="preserve">بالنزاع </w:t>
      </w:r>
      <w:r w:rsidR="000B7434" w:rsidRPr="00C53766">
        <w:rPr>
          <w:rFonts w:hint="cs"/>
          <w:rtl/>
          <w:lang w:bidi="ar-EG"/>
        </w:rPr>
        <w:t>وتنفيذها؛ وخدمات المشورة النفسانية</w:t>
      </w:r>
      <w:r w:rsidR="000B7434">
        <w:rPr>
          <w:rFonts w:hint="cs"/>
          <w:rtl/>
          <w:lang w:bidi="ar-EG"/>
        </w:rPr>
        <w:t xml:space="preserve"> </w:t>
      </w:r>
      <w:r w:rsidR="000B7434" w:rsidRPr="00C53766">
        <w:rPr>
          <w:rFonts w:hint="cs"/>
          <w:rtl/>
          <w:lang w:bidi="ar-EG"/>
        </w:rPr>
        <w:t>- الاجتماعية لتبديل الاضطراب العاطفي؛ والمساعدة القانونية؛ والتوعية بشأن المساواة بين الجنسين والدعوة لها.</w:t>
      </w:r>
    </w:p>
    <w:p w:rsidR="000B7434" w:rsidRPr="00C53766" w:rsidRDefault="0076510E" w:rsidP="0076510E">
      <w:pPr>
        <w:pStyle w:val="SingleTxtGA"/>
        <w:rPr>
          <w:rFonts w:hint="cs"/>
          <w:rtl/>
          <w:lang w:bidi="ar-EG"/>
        </w:rPr>
      </w:pPr>
      <w:r>
        <w:rPr>
          <w:rFonts w:hint="cs"/>
          <w:rtl/>
          <w:lang w:bidi="ar-EG"/>
        </w:rPr>
        <w:t>14</w:t>
      </w:r>
      <w:r w:rsidR="000B7434" w:rsidRPr="00C53766">
        <w:rPr>
          <w:rFonts w:hint="cs"/>
          <w:rtl/>
          <w:lang w:bidi="ar-EG"/>
        </w:rPr>
        <w:t>-</w:t>
      </w:r>
      <w:r w:rsidR="000B7434" w:rsidRPr="00C53766">
        <w:rPr>
          <w:rFonts w:hint="cs"/>
          <w:rtl/>
          <w:lang w:bidi="ar-EG"/>
        </w:rPr>
        <w:tab/>
        <w:t xml:space="preserve">ويشجع البرنامج الإنمائي للمرأة القيام، عن طريق تشكيل المجموعات، بالتعبئة الاجتماعية، والتمكين الاقتصادي، وحملات التوعية العامة. ويتم بموجب هذا البرنامج توحيد جهود المرأة لمناهضة العنف المنزلي والاتجار بالأشخاص. كما يتم تدريب النساء في تنمية المهارات، وتوليد الدخل، وتنمية ممارسة الأعمال الحرة، وتشجيع الأعمال التجارية بواسطة عملية صندوق دائر. وبين الأنشطة الهامة الأخرى، تعليم المراهقات سبل كسب أسباب المعيشة، والصحة التناسلية، وحماية الأطفال. وقد أصبحت التعاونيات النسائية وسيلة فعّالة لتوحيد النساء العاملات في القطاعين غير الرسمي وغير المنظم، وللقيام بحملات ضد مختلف الممارسات التقليدية السيئة، وتعزيز الأمن للنساء الأعضاء في تلك التعاونيات. وحددت للخطة الثلاثية السنوات </w:t>
      </w:r>
      <w:r>
        <w:rPr>
          <w:rFonts w:hint="cs"/>
          <w:rtl/>
          <w:lang w:bidi="ar-EG"/>
        </w:rPr>
        <w:t xml:space="preserve">المؤقتة الأهداف التالية (الجدول </w:t>
      </w:r>
      <w:r w:rsidR="000B7434">
        <w:rPr>
          <w:rFonts w:hint="cs"/>
          <w:rtl/>
          <w:lang w:bidi="ar-EG"/>
        </w:rPr>
        <w:t>-</w:t>
      </w:r>
      <w:r>
        <w:rPr>
          <w:rFonts w:hint="cs"/>
          <w:rtl/>
          <w:lang w:bidi="ar-EG"/>
        </w:rPr>
        <w:t xml:space="preserve"> </w:t>
      </w:r>
      <w:r w:rsidR="000B7434" w:rsidRPr="00C53766">
        <w:rPr>
          <w:rFonts w:hint="cs"/>
          <w:rtl/>
          <w:lang w:bidi="ar-EG"/>
        </w:rPr>
        <w:t>1):</w:t>
      </w:r>
    </w:p>
    <w:p w:rsidR="000B7434" w:rsidRPr="00C53766" w:rsidRDefault="008B03DA" w:rsidP="0076510E">
      <w:pPr>
        <w:pStyle w:val="SingleTxtGA"/>
        <w:spacing w:after="0"/>
        <w:rPr>
          <w:rFonts w:hint="cs"/>
          <w:rtl/>
          <w:lang w:bidi="ar-EG"/>
        </w:rPr>
      </w:pPr>
      <w:r>
        <w:rPr>
          <w:rtl/>
          <w:lang w:bidi="ar-EG"/>
        </w:rPr>
        <w:br w:type="page"/>
      </w:r>
      <w:r w:rsidR="000B7434">
        <w:rPr>
          <w:rFonts w:hint="cs"/>
          <w:rtl/>
          <w:lang w:bidi="ar-EG"/>
        </w:rPr>
        <w:t>الجدول 1</w:t>
      </w:r>
    </w:p>
    <w:p w:rsidR="000B7434" w:rsidRPr="0076510E" w:rsidRDefault="000B7434" w:rsidP="0076510E">
      <w:pPr>
        <w:pStyle w:val="SingleTxtGA"/>
        <w:rPr>
          <w:rFonts w:hint="cs"/>
          <w:b/>
          <w:bCs/>
          <w:rtl/>
          <w:lang w:bidi="ar-EG"/>
        </w:rPr>
      </w:pPr>
      <w:r w:rsidRPr="0076510E">
        <w:rPr>
          <w:rFonts w:hint="cs"/>
          <w:b/>
          <w:bCs/>
          <w:rtl/>
          <w:lang w:bidi="ar-EG"/>
        </w:rPr>
        <w:t>أهداف الخطة الثلاثية السنوات المؤقتة</w:t>
      </w:r>
    </w:p>
    <w:tbl>
      <w:tblPr>
        <w:bidiVisual/>
        <w:tblW w:w="0" w:type="auto"/>
        <w:tblInd w:w="1267" w:type="dxa"/>
        <w:tblLayout w:type="fixed"/>
        <w:tblCellMar>
          <w:left w:w="0" w:type="dxa"/>
          <w:right w:w="0" w:type="dxa"/>
        </w:tblCellMar>
        <w:tblLook w:val="0000" w:firstRow="0" w:lastRow="0" w:firstColumn="0" w:lastColumn="0" w:noHBand="0" w:noVBand="0"/>
      </w:tblPr>
      <w:tblGrid>
        <w:gridCol w:w="652"/>
        <w:gridCol w:w="4709"/>
        <w:gridCol w:w="1568"/>
        <w:gridCol w:w="1442"/>
      </w:tblGrid>
      <w:tr w:rsidR="000B7434" w:rsidRPr="00C26B77" w:rsidTr="002F5691">
        <w:tblPrEx>
          <w:tblCellMar>
            <w:top w:w="0" w:type="dxa"/>
            <w:bottom w:w="0" w:type="dxa"/>
          </w:tblCellMar>
        </w:tblPrEx>
        <w:trPr>
          <w:cantSplit/>
          <w:tblHeader/>
        </w:trPr>
        <w:tc>
          <w:tcPr>
            <w:tcW w:w="652" w:type="dxa"/>
            <w:tcBorders>
              <w:top w:val="single" w:sz="4" w:space="0" w:color="auto"/>
              <w:bottom w:val="single" w:sz="12" w:space="0" w:color="auto"/>
            </w:tcBorders>
            <w:shd w:val="clear" w:color="auto" w:fill="auto"/>
            <w:vAlign w:val="bottom"/>
          </w:tcPr>
          <w:p w:rsidR="000B7434" w:rsidRPr="0076510E" w:rsidRDefault="000B7434" w:rsidP="0076510E">
            <w:pPr>
              <w:spacing w:before="40" w:after="40" w:line="260" w:lineRule="exact"/>
              <w:ind w:left="57"/>
              <w:rPr>
                <w:rFonts w:hint="cs"/>
                <w:i/>
                <w:iCs/>
                <w:sz w:val="18"/>
                <w:szCs w:val="26"/>
                <w:rtl/>
                <w:lang w:bidi="ar-EG"/>
              </w:rPr>
            </w:pPr>
            <w:r w:rsidRPr="0076510E">
              <w:rPr>
                <w:rFonts w:hint="cs"/>
                <w:i/>
                <w:iCs/>
                <w:sz w:val="18"/>
                <w:szCs w:val="26"/>
                <w:rtl/>
                <w:lang w:bidi="ar-EG"/>
              </w:rPr>
              <w:t>الرقم</w:t>
            </w:r>
          </w:p>
        </w:tc>
        <w:tc>
          <w:tcPr>
            <w:tcW w:w="4709" w:type="dxa"/>
            <w:tcBorders>
              <w:top w:val="single" w:sz="4" w:space="0" w:color="auto"/>
              <w:bottom w:val="single" w:sz="12" w:space="0" w:color="auto"/>
            </w:tcBorders>
            <w:shd w:val="clear" w:color="auto" w:fill="auto"/>
            <w:vAlign w:val="bottom"/>
          </w:tcPr>
          <w:p w:rsidR="000B7434" w:rsidRPr="0076510E" w:rsidRDefault="000B7434" w:rsidP="0076510E">
            <w:pPr>
              <w:spacing w:before="40" w:after="40" w:line="260" w:lineRule="exact"/>
              <w:ind w:left="57"/>
              <w:rPr>
                <w:rFonts w:hint="cs"/>
                <w:i/>
                <w:iCs/>
                <w:sz w:val="18"/>
                <w:szCs w:val="26"/>
                <w:rtl/>
                <w:lang w:bidi="ar-EG"/>
              </w:rPr>
            </w:pPr>
            <w:r w:rsidRPr="0076510E">
              <w:rPr>
                <w:rFonts w:hint="cs"/>
                <w:i/>
                <w:iCs/>
                <w:sz w:val="18"/>
                <w:szCs w:val="26"/>
                <w:rtl/>
                <w:lang w:bidi="ar-EG"/>
              </w:rPr>
              <w:t>المؤشرات</w:t>
            </w:r>
          </w:p>
        </w:tc>
        <w:tc>
          <w:tcPr>
            <w:tcW w:w="1568" w:type="dxa"/>
            <w:tcBorders>
              <w:top w:val="single" w:sz="4" w:space="0" w:color="auto"/>
              <w:bottom w:val="single" w:sz="12" w:space="0" w:color="auto"/>
            </w:tcBorders>
            <w:shd w:val="clear" w:color="auto" w:fill="auto"/>
            <w:vAlign w:val="bottom"/>
          </w:tcPr>
          <w:p w:rsidR="000B7434" w:rsidRPr="0076510E" w:rsidRDefault="000B7434" w:rsidP="0076510E">
            <w:pPr>
              <w:spacing w:before="40" w:after="40" w:line="260" w:lineRule="exact"/>
              <w:ind w:left="57"/>
              <w:jc w:val="left"/>
              <w:rPr>
                <w:rFonts w:hint="cs"/>
                <w:i/>
                <w:iCs/>
                <w:sz w:val="18"/>
                <w:szCs w:val="26"/>
                <w:rtl/>
                <w:lang w:bidi="ar-EG"/>
              </w:rPr>
            </w:pPr>
            <w:r w:rsidRPr="0076510E">
              <w:rPr>
                <w:rFonts w:hint="cs"/>
                <w:i/>
                <w:iCs/>
                <w:sz w:val="18"/>
                <w:szCs w:val="26"/>
                <w:rtl/>
                <w:lang w:bidi="ar-EG"/>
              </w:rPr>
              <w:t xml:space="preserve">الحالة في السنة المالية </w:t>
            </w:r>
            <w:r w:rsidR="0076510E" w:rsidRPr="0076510E">
              <w:rPr>
                <w:i/>
                <w:iCs/>
                <w:sz w:val="18"/>
                <w:szCs w:val="26"/>
                <w:rtl/>
                <w:lang w:bidi="ar-EG"/>
              </w:rPr>
              <w:br/>
            </w:r>
            <w:r w:rsidRPr="0076510E">
              <w:rPr>
                <w:rFonts w:hint="cs"/>
                <w:i/>
                <w:iCs/>
                <w:sz w:val="18"/>
                <w:szCs w:val="26"/>
                <w:rtl/>
                <w:lang w:bidi="ar-EG"/>
              </w:rPr>
              <w:t>2009-2010</w:t>
            </w:r>
          </w:p>
        </w:tc>
        <w:tc>
          <w:tcPr>
            <w:tcW w:w="1442" w:type="dxa"/>
            <w:tcBorders>
              <w:top w:val="single" w:sz="4" w:space="0" w:color="auto"/>
              <w:bottom w:val="single" w:sz="12" w:space="0" w:color="auto"/>
            </w:tcBorders>
            <w:shd w:val="clear" w:color="auto" w:fill="auto"/>
            <w:vAlign w:val="bottom"/>
          </w:tcPr>
          <w:p w:rsidR="000B7434" w:rsidRPr="0076510E" w:rsidRDefault="000B7434" w:rsidP="0076510E">
            <w:pPr>
              <w:spacing w:before="40" w:after="40" w:line="260" w:lineRule="exact"/>
              <w:ind w:left="57"/>
              <w:rPr>
                <w:rFonts w:hint="cs"/>
                <w:i/>
                <w:iCs/>
                <w:sz w:val="18"/>
                <w:szCs w:val="26"/>
                <w:rtl/>
                <w:lang w:bidi="ar-EG"/>
              </w:rPr>
            </w:pPr>
            <w:r w:rsidRPr="0076510E">
              <w:rPr>
                <w:rFonts w:hint="cs"/>
                <w:i/>
                <w:iCs/>
                <w:sz w:val="18"/>
                <w:szCs w:val="26"/>
                <w:rtl/>
                <w:lang w:bidi="ar-EG"/>
              </w:rPr>
              <w:t>هدف الخطة المؤقتة</w:t>
            </w:r>
          </w:p>
        </w:tc>
      </w:tr>
      <w:tr w:rsidR="000B7434" w:rsidRPr="00C26B77" w:rsidTr="002F5691">
        <w:tblPrEx>
          <w:tblCellMar>
            <w:top w:w="0" w:type="dxa"/>
            <w:bottom w:w="0" w:type="dxa"/>
          </w:tblCellMar>
        </w:tblPrEx>
        <w:trPr>
          <w:cantSplit/>
        </w:trPr>
        <w:tc>
          <w:tcPr>
            <w:tcW w:w="652"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1</w:t>
            </w:r>
          </w:p>
        </w:tc>
        <w:tc>
          <w:tcPr>
            <w:tcW w:w="4709"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قياس تمكين المرأة</w:t>
            </w:r>
          </w:p>
        </w:tc>
        <w:tc>
          <w:tcPr>
            <w:tcW w:w="1568"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0.351</w:t>
            </w:r>
          </w:p>
        </w:tc>
        <w:tc>
          <w:tcPr>
            <w:tcW w:w="1442"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0.450</w:t>
            </w:r>
          </w:p>
        </w:tc>
      </w:tr>
      <w:tr w:rsidR="000B7434" w:rsidRPr="00C26B77" w:rsidTr="002F5691">
        <w:tblPrEx>
          <w:tblCellMar>
            <w:top w:w="0" w:type="dxa"/>
            <w:bottom w:w="0" w:type="dxa"/>
          </w:tblCellMar>
        </w:tblPrEx>
        <w:trPr>
          <w:cantSplit/>
        </w:trPr>
        <w:tc>
          <w:tcPr>
            <w:tcW w:w="652"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2</w:t>
            </w:r>
          </w:p>
        </w:tc>
        <w:tc>
          <w:tcPr>
            <w:tcW w:w="4709"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مؤشر تنمية المرأة</w:t>
            </w:r>
          </w:p>
        </w:tc>
        <w:tc>
          <w:tcPr>
            <w:tcW w:w="1568"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0.520</w:t>
            </w:r>
          </w:p>
        </w:tc>
        <w:tc>
          <w:tcPr>
            <w:tcW w:w="1442"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0.556</w:t>
            </w:r>
          </w:p>
        </w:tc>
      </w:tr>
      <w:tr w:rsidR="000B7434" w:rsidRPr="00C26B77" w:rsidTr="002F5691">
        <w:tblPrEx>
          <w:tblCellMar>
            <w:top w:w="0" w:type="dxa"/>
            <w:bottom w:w="0" w:type="dxa"/>
          </w:tblCellMar>
        </w:tblPrEx>
        <w:trPr>
          <w:cantSplit/>
        </w:trPr>
        <w:tc>
          <w:tcPr>
            <w:tcW w:w="652"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3</w:t>
            </w:r>
          </w:p>
        </w:tc>
        <w:tc>
          <w:tcPr>
            <w:tcW w:w="4709" w:type="dxa"/>
            <w:shd w:val="clear" w:color="auto" w:fill="auto"/>
            <w:vAlign w:val="bottom"/>
          </w:tcPr>
          <w:p w:rsidR="000B7434" w:rsidRPr="0076510E" w:rsidRDefault="000B7434" w:rsidP="002F5691">
            <w:pPr>
              <w:spacing w:before="40" w:after="40" w:line="260" w:lineRule="exact"/>
              <w:ind w:left="57"/>
              <w:jc w:val="left"/>
              <w:rPr>
                <w:rFonts w:hint="cs"/>
                <w:sz w:val="18"/>
                <w:szCs w:val="26"/>
                <w:rtl/>
                <w:lang w:bidi="ar-EG"/>
              </w:rPr>
            </w:pPr>
            <w:r w:rsidRPr="0076510E">
              <w:rPr>
                <w:rFonts w:hint="cs"/>
                <w:sz w:val="18"/>
                <w:szCs w:val="26"/>
                <w:rtl/>
                <w:lang w:bidi="ar-EG"/>
              </w:rPr>
              <w:t>النساء اللواتي يتلقين مساعدة في الوضع من عاملات صحيات (</w:t>
            </w:r>
            <w:r w:rsidR="00CA75D3" w:rsidRPr="002F5691">
              <w:rPr>
                <w:rFonts w:hint="cs"/>
                <w:sz w:val="14"/>
                <w:szCs w:val="22"/>
                <w:rtl/>
                <w:lang w:bidi="ar-EG"/>
              </w:rPr>
              <w:t>٪</w:t>
            </w:r>
            <w:r w:rsidRPr="0076510E">
              <w:rPr>
                <w:rFonts w:hint="cs"/>
                <w:sz w:val="18"/>
                <w:szCs w:val="26"/>
                <w:rtl/>
                <w:lang w:bidi="ar-EG"/>
              </w:rPr>
              <w:t>)</w:t>
            </w:r>
          </w:p>
        </w:tc>
        <w:tc>
          <w:tcPr>
            <w:tcW w:w="1568"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23.4</w:t>
            </w:r>
          </w:p>
        </w:tc>
        <w:tc>
          <w:tcPr>
            <w:tcW w:w="1442"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35</w:t>
            </w:r>
          </w:p>
        </w:tc>
      </w:tr>
      <w:tr w:rsidR="000B7434" w:rsidRPr="00C26B77" w:rsidTr="002F5691">
        <w:tblPrEx>
          <w:tblCellMar>
            <w:top w:w="0" w:type="dxa"/>
            <w:bottom w:w="0" w:type="dxa"/>
          </w:tblCellMar>
        </w:tblPrEx>
        <w:trPr>
          <w:cantSplit/>
        </w:trPr>
        <w:tc>
          <w:tcPr>
            <w:tcW w:w="652"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4</w:t>
            </w:r>
          </w:p>
        </w:tc>
        <w:tc>
          <w:tcPr>
            <w:tcW w:w="4709"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معدل انتشار وسائل منع الحمل (</w:t>
            </w:r>
            <w:r w:rsidR="00CA75D3" w:rsidRPr="002F5691">
              <w:rPr>
                <w:rFonts w:hint="cs"/>
                <w:sz w:val="14"/>
                <w:szCs w:val="22"/>
                <w:rtl/>
                <w:lang w:bidi="ar-EG"/>
              </w:rPr>
              <w:t>٪</w:t>
            </w:r>
            <w:r w:rsidRPr="0076510E">
              <w:rPr>
                <w:rFonts w:hint="cs"/>
                <w:sz w:val="18"/>
                <w:szCs w:val="26"/>
                <w:rtl/>
                <w:lang w:bidi="ar-EG"/>
              </w:rPr>
              <w:t>)</w:t>
            </w:r>
          </w:p>
        </w:tc>
        <w:tc>
          <w:tcPr>
            <w:tcW w:w="1568"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48</w:t>
            </w:r>
          </w:p>
        </w:tc>
        <w:tc>
          <w:tcPr>
            <w:tcW w:w="1442"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51</w:t>
            </w:r>
          </w:p>
        </w:tc>
      </w:tr>
      <w:tr w:rsidR="000B7434" w:rsidRPr="00C26B77" w:rsidTr="002F5691">
        <w:tblPrEx>
          <w:tblCellMar>
            <w:top w:w="0" w:type="dxa"/>
            <w:bottom w:w="0" w:type="dxa"/>
          </w:tblCellMar>
        </w:tblPrEx>
        <w:trPr>
          <w:cantSplit/>
        </w:trPr>
        <w:tc>
          <w:tcPr>
            <w:tcW w:w="652"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5</w:t>
            </w:r>
          </w:p>
        </w:tc>
        <w:tc>
          <w:tcPr>
            <w:tcW w:w="4709" w:type="dxa"/>
            <w:shd w:val="clear" w:color="auto" w:fill="auto"/>
            <w:vAlign w:val="bottom"/>
          </w:tcPr>
          <w:p w:rsidR="000B7434" w:rsidRPr="0076510E" w:rsidRDefault="0076510E" w:rsidP="0076510E">
            <w:pPr>
              <w:spacing w:before="40" w:after="40" w:line="260" w:lineRule="exact"/>
              <w:ind w:left="57"/>
              <w:rPr>
                <w:rFonts w:hint="cs"/>
                <w:sz w:val="18"/>
                <w:szCs w:val="26"/>
                <w:rtl/>
                <w:lang w:bidi="ar-EG"/>
              </w:rPr>
            </w:pPr>
            <w:r w:rsidRPr="0076510E">
              <w:rPr>
                <w:rFonts w:hint="cs"/>
                <w:sz w:val="18"/>
                <w:szCs w:val="26"/>
                <w:rtl/>
                <w:lang w:bidi="ar-EG"/>
              </w:rPr>
              <w:t>إ</w:t>
            </w:r>
            <w:r w:rsidR="000B7434" w:rsidRPr="0076510E">
              <w:rPr>
                <w:rFonts w:hint="cs"/>
                <w:sz w:val="18"/>
                <w:szCs w:val="26"/>
                <w:rtl/>
                <w:lang w:bidi="ar-EG"/>
              </w:rPr>
              <w:t>جمالي معدل الخصوبة (النساء في فئة العمر 15-49 سنة)</w:t>
            </w:r>
          </w:p>
        </w:tc>
        <w:tc>
          <w:tcPr>
            <w:tcW w:w="1568"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3.1</w:t>
            </w:r>
          </w:p>
        </w:tc>
        <w:tc>
          <w:tcPr>
            <w:tcW w:w="1442"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3.0</w:t>
            </w:r>
          </w:p>
        </w:tc>
      </w:tr>
      <w:tr w:rsidR="000B7434" w:rsidRPr="00C26B77" w:rsidTr="002F5691">
        <w:tblPrEx>
          <w:tblCellMar>
            <w:top w:w="0" w:type="dxa"/>
            <w:bottom w:w="0" w:type="dxa"/>
          </w:tblCellMar>
        </w:tblPrEx>
        <w:trPr>
          <w:cantSplit/>
        </w:trPr>
        <w:tc>
          <w:tcPr>
            <w:tcW w:w="652"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6</w:t>
            </w:r>
          </w:p>
        </w:tc>
        <w:tc>
          <w:tcPr>
            <w:tcW w:w="4709"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معدل وفيات النفاس (لكل 000 100 حالة ولادة حية)</w:t>
            </w:r>
          </w:p>
        </w:tc>
        <w:tc>
          <w:tcPr>
            <w:tcW w:w="1568"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281</w:t>
            </w:r>
          </w:p>
        </w:tc>
        <w:tc>
          <w:tcPr>
            <w:tcW w:w="1442" w:type="dxa"/>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250</w:t>
            </w:r>
          </w:p>
        </w:tc>
      </w:tr>
      <w:tr w:rsidR="000B7434" w:rsidRPr="00C26B77" w:rsidTr="002F5691">
        <w:tblPrEx>
          <w:tblCellMar>
            <w:top w:w="0" w:type="dxa"/>
            <w:bottom w:w="0" w:type="dxa"/>
          </w:tblCellMar>
        </w:tblPrEx>
        <w:trPr>
          <w:cantSplit/>
        </w:trPr>
        <w:tc>
          <w:tcPr>
            <w:tcW w:w="652" w:type="dxa"/>
            <w:tcBorders>
              <w:bottom w:val="single" w:sz="12" w:space="0" w:color="auto"/>
            </w:tcBorders>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7</w:t>
            </w:r>
          </w:p>
        </w:tc>
        <w:tc>
          <w:tcPr>
            <w:tcW w:w="4709" w:type="dxa"/>
            <w:tcBorders>
              <w:bottom w:val="single" w:sz="12" w:space="0" w:color="auto"/>
            </w:tcBorders>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تمثيل المرأة في أجهزة الدولة كافة (</w:t>
            </w:r>
            <w:r w:rsidR="00CA75D3" w:rsidRPr="002F5691">
              <w:rPr>
                <w:rFonts w:hint="cs"/>
                <w:sz w:val="14"/>
                <w:szCs w:val="22"/>
                <w:rtl/>
                <w:lang w:bidi="ar-EG"/>
              </w:rPr>
              <w:t>٪</w:t>
            </w:r>
            <w:r w:rsidRPr="0076510E">
              <w:rPr>
                <w:rFonts w:hint="cs"/>
                <w:sz w:val="18"/>
                <w:szCs w:val="26"/>
                <w:rtl/>
                <w:lang w:bidi="ar-EG"/>
              </w:rPr>
              <w:t>)</w:t>
            </w:r>
          </w:p>
        </w:tc>
        <w:tc>
          <w:tcPr>
            <w:tcW w:w="1568" w:type="dxa"/>
            <w:tcBorders>
              <w:bottom w:val="single" w:sz="12" w:space="0" w:color="auto"/>
            </w:tcBorders>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w:t>
            </w:r>
          </w:p>
        </w:tc>
        <w:tc>
          <w:tcPr>
            <w:tcW w:w="1442" w:type="dxa"/>
            <w:tcBorders>
              <w:bottom w:val="single" w:sz="12" w:space="0" w:color="auto"/>
            </w:tcBorders>
            <w:shd w:val="clear" w:color="auto" w:fill="auto"/>
            <w:vAlign w:val="bottom"/>
          </w:tcPr>
          <w:p w:rsidR="000B7434" w:rsidRPr="0076510E" w:rsidRDefault="000B7434" w:rsidP="0076510E">
            <w:pPr>
              <w:spacing w:before="40" w:after="40" w:line="260" w:lineRule="exact"/>
              <w:ind w:left="57"/>
              <w:rPr>
                <w:rFonts w:hint="cs"/>
                <w:sz w:val="18"/>
                <w:szCs w:val="26"/>
                <w:rtl/>
                <w:lang w:bidi="ar-EG"/>
              </w:rPr>
            </w:pPr>
            <w:r w:rsidRPr="0076510E">
              <w:rPr>
                <w:rFonts w:hint="cs"/>
                <w:sz w:val="18"/>
                <w:szCs w:val="26"/>
                <w:rtl/>
                <w:lang w:bidi="ar-EG"/>
              </w:rPr>
              <w:t>33</w:t>
            </w:r>
          </w:p>
        </w:tc>
      </w:tr>
    </w:tbl>
    <w:p w:rsidR="000B7434" w:rsidRPr="0076510E" w:rsidRDefault="008B03DA" w:rsidP="0076510E">
      <w:pPr>
        <w:pStyle w:val="FootnoteText"/>
        <w:tabs>
          <w:tab w:val="right" w:pos="1915"/>
          <w:tab w:val="left" w:pos="2016"/>
          <w:tab w:val="left" w:pos="2491"/>
          <w:tab w:val="left" w:pos="2966"/>
          <w:tab w:val="left" w:pos="3442"/>
          <w:tab w:val="left" w:pos="3917"/>
        </w:tabs>
        <w:spacing w:before="120" w:after="240" w:line="300" w:lineRule="exact"/>
        <w:ind w:left="2029" w:right="1264" w:hanging="765"/>
        <w:rPr>
          <w:rFonts w:hint="cs"/>
          <w:sz w:val="26"/>
          <w:szCs w:val="26"/>
          <w:rtl/>
          <w:lang w:bidi="ar-EG"/>
        </w:rPr>
      </w:pPr>
      <w:r>
        <w:rPr>
          <w:rFonts w:hint="cs"/>
          <w:i/>
          <w:iCs/>
          <w:sz w:val="26"/>
          <w:szCs w:val="26"/>
          <w:rtl/>
          <w:lang w:bidi="ar-EG"/>
        </w:rPr>
        <w:t xml:space="preserve"> </w:t>
      </w:r>
      <w:r w:rsidR="000B7434" w:rsidRPr="0076510E">
        <w:rPr>
          <w:rFonts w:hint="cs"/>
          <w:i/>
          <w:iCs/>
          <w:sz w:val="26"/>
          <w:szCs w:val="26"/>
          <w:rtl/>
          <w:lang w:bidi="ar-EG"/>
        </w:rPr>
        <w:t>المصدر</w:t>
      </w:r>
      <w:r w:rsidR="000B7434" w:rsidRPr="0076510E">
        <w:rPr>
          <w:rFonts w:hint="cs"/>
          <w:sz w:val="26"/>
          <w:szCs w:val="26"/>
          <w:rtl/>
          <w:lang w:bidi="ar-EG"/>
        </w:rPr>
        <w:t xml:space="preserve">: </w:t>
      </w:r>
      <w:r w:rsidR="0076510E">
        <w:rPr>
          <w:rFonts w:hint="cs"/>
          <w:sz w:val="26"/>
          <w:szCs w:val="26"/>
          <w:rtl/>
          <w:lang w:bidi="ar-EG"/>
        </w:rPr>
        <w:t xml:space="preserve"> </w:t>
      </w:r>
      <w:r w:rsidR="000B7434" w:rsidRPr="0076510E">
        <w:rPr>
          <w:rFonts w:hint="cs"/>
          <w:sz w:val="26"/>
          <w:szCs w:val="26"/>
          <w:rtl/>
          <w:lang w:bidi="ar-EG"/>
        </w:rPr>
        <w:t>الخطة الثلاثية السنوات المؤقتة (2007/2008-2009/2010)</w:t>
      </w:r>
      <w:r w:rsidR="0076510E">
        <w:rPr>
          <w:rFonts w:hint="cs"/>
          <w:sz w:val="26"/>
          <w:szCs w:val="26"/>
          <w:rtl/>
          <w:lang w:bidi="ar-EG"/>
        </w:rPr>
        <w:t>.</w:t>
      </w:r>
    </w:p>
    <w:p w:rsidR="000B7434" w:rsidRPr="00C53766" w:rsidRDefault="0076510E" w:rsidP="0076510E">
      <w:pPr>
        <w:pStyle w:val="SingleTxtGA"/>
        <w:rPr>
          <w:rFonts w:hint="cs"/>
          <w:rtl/>
          <w:lang w:bidi="ar-EG"/>
        </w:rPr>
      </w:pPr>
      <w:r>
        <w:rPr>
          <w:rtl/>
          <w:lang w:bidi="ar-EG"/>
        </w:rPr>
        <w:t>15</w:t>
      </w:r>
      <w:r w:rsidR="000B7434" w:rsidRPr="00C53766">
        <w:rPr>
          <w:rtl/>
          <w:lang w:bidi="ar-EG"/>
        </w:rPr>
        <w:t>-</w:t>
      </w:r>
      <w:r w:rsidR="000B7434" w:rsidRPr="00C53766">
        <w:rPr>
          <w:rtl/>
          <w:lang w:bidi="ar-EG"/>
        </w:rPr>
        <w:tab/>
        <w:t xml:space="preserve">وعُرضت سياسات وبرامج الحكومة للسنة المالية 2008/2009 على الهيئة التشريعية </w:t>
      </w:r>
      <w:r w:rsidR="000B7434">
        <w:rPr>
          <w:rFonts w:hint="cs"/>
          <w:rtl/>
          <w:lang w:bidi="ar-EG"/>
        </w:rPr>
        <w:t>-</w:t>
      </w:r>
      <w:r w:rsidR="000B7434" w:rsidRPr="00C53766">
        <w:rPr>
          <w:rtl/>
          <w:lang w:bidi="ar-EG"/>
        </w:rPr>
        <w:t xml:space="preserve"> البرلمان وكانت تشمل مجالات متنوعة تتصل بتعميم </w:t>
      </w:r>
      <w:r w:rsidR="000B7434" w:rsidRPr="00C53766">
        <w:rPr>
          <w:rFonts w:hint="cs"/>
          <w:rtl/>
          <w:lang w:bidi="ar-EG"/>
        </w:rPr>
        <w:t xml:space="preserve">المنظور الجنساني في الآليات الوطنية. وتُشدّد الميزانية على القضاء على جميع أشكال التمييز والإجحاف ضد المرأة عن طريق زيادة في معدل النمو الاقتصادي والتنمية، وزيادة سبل حصول جميع المواطنين على خدمات الصحة، وحصول المرأة </w:t>
      </w:r>
      <w:r>
        <w:rPr>
          <w:rFonts w:hint="cs"/>
          <w:rtl/>
          <w:lang w:bidi="ar-EG"/>
        </w:rPr>
        <w:t xml:space="preserve">على </w:t>
      </w:r>
      <w:r w:rsidR="000B7434" w:rsidRPr="00C53766">
        <w:rPr>
          <w:rFonts w:hint="cs"/>
          <w:rtl/>
          <w:lang w:bidi="ar-EG"/>
        </w:rPr>
        <w:t>خدمات أمومة مجانية ومأمونة، وتعليم مجاني للجميع حتى المستوى الثانوي، وتدابير إيجابية خاصة لزيادة حصول المرأة على التعليم، وسنّ قانون للحد من الجرائم ضد المرأة مثل الاستغلال الجسدي، والعنف المنزلي والاتجار بالأشخاص</w:t>
      </w:r>
      <w:r w:rsidR="000B7434">
        <w:rPr>
          <w:rFonts w:hint="eastAsia"/>
          <w:rtl/>
          <w:lang w:bidi="ar-EG"/>
        </w:rPr>
        <w:t> </w:t>
      </w:r>
      <w:r w:rsidR="000B7434" w:rsidRPr="00C53766">
        <w:rPr>
          <w:rFonts w:hint="cs"/>
          <w:rtl/>
          <w:lang w:bidi="ar-EG"/>
        </w:rPr>
        <w:t>إلخ.</w:t>
      </w:r>
    </w:p>
    <w:p w:rsidR="000B7434" w:rsidRPr="00C53766" w:rsidRDefault="0076510E" w:rsidP="0076510E">
      <w:pPr>
        <w:pStyle w:val="SingleTxtGA"/>
        <w:rPr>
          <w:rFonts w:hint="cs"/>
          <w:rtl/>
          <w:lang w:bidi="ar-EG"/>
        </w:rPr>
      </w:pPr>
      <w:r>
        <w:rPr>
          <w:rFonts w:hint="cs"/>
          <w:rtl/>
          <w:lang w:bidi="ar-EG"/>
        </w:rPr>
        <w:t>16</w:t>
      </w:r>
      <w:r w:rsidR="000B7434" w:rsidRPr="00C53766">
        <w:rPr>
          <w:rFonts w:hint="cs"/>
          <w:rtl/>
          <w:lang w:bidi="ar-EG"/>
        </w:rPr>
        <w:t>-</w:t>
      </w:r>
      <w:r w:rsidR="000B7434" w:rsidRPr="00C53766">
        <w:rPr>
          <w:rFonts w:hint="cs"/>
          <w:rtl/>
          <w:lang w:bidi="ar-EG"/>
        </w:rPr>
        <w:tab/>
        <w:t xml:space="preserve">ووفقاً لما تتوخاه الخطة الثلاثية السنوات المؤقتة، اعتمدت وزارة المالية سياسة شاملة بشأن </w:t>
      </w:r>
      <w:r>
        <w:rPr>
          <w:rFonts w:hint="cs"/>
          <w:rtl/>
          <w:lang w:bidi="ar-EG"/>
        </w:rPr>
        <w:t>"</w:t>
      </w:r>
      <w:r w:rsidR="000B7434" w:rsidRPr="00C53766">
        <w:rPr>
          <w:rFonts w:hint="cs"/>
          <w:rtl/>
          <w:lang w:bidi="ar-EG"/>
        </w:rPr>
        <w:t>الميزنة المراعية للجنسانية</w:t>
      </w:r>
      <w:r>
        <w:rPr>
          <w:rFonts w:hint="cs"/>
          <w:rtl/>
          <w:lang w:bidi="ar-EG"/>
        </w:rPr>
        <w:t>"</w:t>
      </w:r>
      <w:r w:rsidR="000B7434" w:rsidRPr="00C53766">
        <w:rPr>
          <w:rFonts w:hint="cs"/>
          <w:rtl/>
          <w:lang w:bidi="ar-EG"/>
        </w:rPr>
        <w:t xml:space="preserve">. وبغية إعمال هذه السياسة شكّلت الحكومة </w:t>
      </w:r>
      <w:r>
        <w:rPr>
          <w:rFonts w:hint="cs"/>
          <w:rtl/>
          <w:lang w:bidi="ar-EG"/>
        </w:rPr>
        <w:t>"</w:t>
      </w:r>
      <w:r w:rsidR="000B7434" w:rsidRPr="00C53766">
        <w:rPr>
          <w:rFonts w:hint="cs"/>
          <w:rtl/>
          <w:lang w:bidi="ar-EG"/>
        </w:rPr>
        <w:t>لجنة الميزنة المراعية للجنسانية</w:t>
      </w:r>
      <w:r>
        <w:rPr>
          <w:rFonts w:hint="cs"/>
          <w:rtl/>
          <w:lang w:bidi="ar-EG"/>
        </w:rPr>
        <w:t>"</w:t>
      </w:r>
      <w:r w:rsidR="000B7434" w:rsidRPr="00C53766">
        <w:rPr>
          <w:rFonts w:hint="cs"/>
          <w:rtl/>
          <w:lang w:bidi="ar-EG"/>
        </w:rPr>
        <w:t xml:space="preserve"> تتألف من الممثلين المعنيين من مختلف الوكالات، برئاسة وزارة المالية. وقد أعدت هذه اللجنة مبدأً توجيهياً يشمل ما يلي:</w:t>
      </w:r>
    </w:p>
    <w:p w:rsidR="000B7434" w:rsidRPr="00C53766" w:rsidRDefault="000B7434" w:rsidP="0076510E">
      <w:pPr>
        <w:pStyle w:val="SingleTxt"/>
        <w:tabs>
          <w:tab w:val="clear" w:pos="1267"/>
          <w:tab w:val="clear" w:pos="1930"/>
          <w:tab w:val="clear" w:pos="2592"/>
          <w:tab w:val="clear" w:pos="3254"/>
          <w:tab w:val="clear" w:pos="3917"/>
          <w:tab w:val="clear" w:pos="4579"/>
          <w:tab w:val="clear" w:pos="5242"/>
          <w:tab w:val="clear" w:pos="5904"/>
          <w:tab w:val="clear" w:pos="6566"/>
          <w:tab w:val="left" w:pos="1925"/>
        </w:tabs>
        <w:spacing w:after="60" w:line="360" w:lineRule="exact"/>
        <w:ind w:left="1923" w:right="1264" w:hanging="420"/>
        <w:rPr>
          <w:rFonts w:hint="cs"/>
          <w:rtl/>
          <w:lang w:bidi="ar-EG"/>
        </w:rPr>
      </w:pPr>
      <w:r>
        <w:rPr>
          <w:rFonts w:hint="cs"/>
          <w:rtl/>
          <w:lang w:bidi="ar-EG"/>
        </w:rPr>
        <w:t>•</w:t>
      </w:r>
      <w:r w:rsidRPr="00C53766">
        <w:rPr>
          <w:rFonts w:hint="cs"/>
          <w:rtl/>
          <w:lang w:bidi="ar-EG"/>
        </w:rPr>
        <w:tab/>
        <w:t>المرحلة الأولى: التخطيط، واختيار المشاريع، ووضع الصيغة النهائية للبرنامج</w:t>
      </w:r>
      <w:r w:rsidR="0076510E">
        <w:rPr>
          <w:rFonts w:hint="cs"/>
          <w:rtl/>
          <w:lang w:bidi="ar-EG"/>
        </w:rPr>
        <w:t>؛</w:t>
      </w:r>
    </w:p>
    <w:p w:rsidR="000B7434" w:rsidRPr="00C53766" w:rsidRDefault="000B7434" w:rsidP="0076510E">
      <w:pPr>
        <w:pStyle w:val="SingleTxt"/>
        <w:tabs>
          <w:tab w:val="clear" w:pos="1267"/>
          <w:tab w:val="clear" w:pos="1930"/>
          <w:tab w:val="clear" w:pos="2592"/>
          <w:tab w:val="clear" w:pos="3254"/>
          <w:tab w:val="clear" w:pos="3917"/>
          <w:tab w:val="clear" w:pos="4579"/>
          <w:tab w:val="clear" w:pos="5242"/>
          <w:tab w:val="clear" w:pos="5904"/>
          <w:tab w:val="clear" w:pos="6566"/>
          <w:tab w:val="left" w:pos="1925"/>
        </w:tabs>
        <w:spacing w:after="60" w:line="360" w:lineRule="exact"/>
        <w:ind w:left="1923" w:right="1264" w:hanging="420"/>
        <w:rPr>
          <w:rFonts w:hint="cs"/>
          <w:rtl/>
          <w:lang w:bidi="ar-EG"/>
        </w:rPr>
      </w:pPr>
      <w:r>
        <w:rPr>
          <w:rFonts w:hint="cs"/>
          <w:rtl/>
          <w:lang w:bidi="ar-EG"/>
        </w:rPr>
        <w:t>•</w:t>
      </w:r>
      <w:r w:rsidRPr="00C53766">
        <w:rPr>
          <w:rFonts w:hint="cs"/>
          <w:rtl/>
          <w:lang w:bidi="ar-EG"/>
        </w:rPr>
        <w:tab/>
        <w:t>المرحلة الثانية: تنفيذ البرنامج</w:t>
      </w:r>
      <w:r w:rsidR="0076510E">
        <w:rPr>
          <w:rFonts w:hint="cs"/>
          <w:rtl/>
          <w:lang w:bidi="ar-EG"/>
        </w:rPr>
        <w:t>؛</w:t>
      </w:r>
    </w:p>
    <w:p w:rsidR="000B7434" w:rsidRPr="00C53766" w:rsidRDefault="000B7434" w:rsidP="0076510E">
      <w:pPr>
        <w:pStyle w:val="SingleTxt"/>
        <w:tabs>
          <w:tab w:val="clear" w:pos="1267"/>
          <w:tab w:val="clear" w:pos="1930"/>
          <w:tab w:val="clear" w:pos="2592"/>
          <w:tab w:val="clear" w:pos="3254"/>
          <w:tab w:val="clear" w:pos="3917"/>
          <w:tab w:val="clear" w:pos="4579"/>
          <w:tab w:val="clear" w:pos="5242"/>
          <w:tab w:val="clear" w:pos="5904"/>
          <w:tab w:val="clear" w:pos="6566"/>
          <w:tab w:val="left" w:pos="1925"/>
        </w:tabs>
        <w:spacing w:after="60" w:line="360" w:lineRule="exact"/>
        <w:ind w:left="1923" w:right="1264" w:hanging="420"/>
        <w:rPr>
          <w:rFonts w:hint="cs"/>
          <w:rtl/>
          <w:lang w:bidi="ar-EG"/>
        </w:rPr>
      </w:pPr>
      <w:r>
        <w:rPr>
          <w:rFonts w:hint="cs"/>
          <w:rtl/>
          <w:lang w:bidi="ar-EG"/>
        </w:rPr>
        <w:t>•</w:t>
      </w:r>
      <w:r w:rsidRPr="00C53766">
        <w:rPr>
          <w:rFonts w:hint="cs"/>
          <w:rtl/>
          <w:lang w:bidi="ar-EG"/>
        </w:rPr>
        <w:tab/>
        <w:t xml:space="preserve">المرحلة الثالثة: </w:t>
      </w:r>
      <w:r>
        <w:rPr>
          <w:rFonts w:hint="cs"/>
          <w:rtl/>
          <w:lang w:bidi="ar-EG"/>
        </w:rPr>
        <w:t>إ</w:t>
      </w:r>
      <w:r w:rsidRPr="00C53766">
        <w:rPr>
          <w:rFonts w:hint="cs"/>
          <w:rtl/>
          <w:lang w:bidi="ar-EG"/>
        </w:rPr>
        <w:t>ضفاء الصبغ</w:t>
      </w:r>
      <w:r>
        <w:rPr>
          <w:rFonts w:hint="cs"/>
          <w:rtl/>
          <w:lang w:bidi="ar-EG"/>
        </w:rPr>
        <w:t>ة النظامية على البرنامج وتقييمه</w:t>
      </w:r>
      <w:r w:rsidR="0076510E">
        <w:rPr>
          <w:rFonts w:hint="cs"/>
          <w:rtl/>
          <w:lang w:bidi="ar-EG"/>
        </w:rPr>
        <w:t>؛</w:t>
      </w:r>
    </w:p>
    <w:p w:rsidR="000B7434" w:rsidRPr="00C53766" w:rsidRDefault="000B7434" w:rsidP="008B03DA">
      <w:pPr>
        <w:pStyle w:val="SingleTxt"/>
        <w:tabs>
          <w:tab w:val="clear" w:pos="1267"/>
          <w:tab w:val="clear" w:pos="1930"/>
          <w:tab w:val="clear" w:pos="2592"/>
          <w:tab w:val="clear" w:pos="3254"/>
          <w:tab w:val="clear" w:pos="3917"/>
          <w:tab w:val="clear" w:pos="4579"/>
          <w:tab w:val="clear" w:pos="5242"/>
          <w:tab w:val="clear" w:pos="5904"/>
          <w:tab w:val="clear" w:pos="6566"/>
          <w:tab w:val="left" w:pos="1925"/>
        </w:tabs>
        <w:spacing w:line="360" w:lineRule="exact"/>
        <w:ind w:left="1923" w:right="1264" w:hanging="420"/>
        <w:rPr>
          <w:rFonts w:hint="cs"/>
          <w:rtl/>
          <w:lang w:bidi="ar-EG"/>
        </w:rPr>
      </w:pPr>
      <w:r>
        <w:rPr>
          <w:rFonts w:hint="cs"/>
          <w:rtl/>
          <w:lang w:bidi="ar-EG"/>
        </w:rPr>
        <w:t>•</w:t>
      </w:r>
      <w:r w:rsidRPr="00C53766">
        <w:rPr>
          <w:rFonts w:hint="cs"/>
          <w:rtl/>
          <w:lang w:bidi="ar-EG"/>
        </w:rPr>
        <w:tab/>
        <w:t>المرحلة الرابعة: تقدير ت</w:t>
      </w:r>
      <w:r w:rsidR="0076510E">
        <w:rPr>
          <w:rFonts w:hint="cs"/>
          <w:rtl/>
          <w:lang w:bidi="ar-EG"/>
        </w:rPr>
        <w:t>أ</w:t>
      </w:r>
      <w:r w:rsidRPr="00C53766">
        <w:rPr>
          <w:rFonts w:hint="cs"/>
          <w:rtl/>
          <w:lang w:bidi="ar-EG"/>
        </w:rPr>
        <w:t>ثي</w:t>
      </w:r>
      <w:r>
        <w:rPr>
          <w:rFonts w:hint="cs"/>
          <w:rtl/>
          <w:lang w:bidi="ar-EG"/>
        </w:rPr>
        <w:t>ر هذه الميزانية (وخاصة فوائدها)</w:t>
      </w:r>
      <w:r w:rsidR="0076510E">
        <w:rPr>
          <w:rFonts w:hint="cs"/>
          <w:rtl/>
          <w:lang w:bidi="ar-EG"/>
        </w:rPr>
        <w:t>؛</w:t>
      </w:r>
    </w:p>
    <w:p w:rsidR="000B7434" w:rsidRPr="00C53766" w:rsidRDefault="0076510E" w:rsidP="0076510E">
      <w:pPr>
        <w:pStyle w:val="SingleTxtGA"/>
        <w:rPr>
          <w:rFonts w:hint="cs"/>
          <w:rtl/>
          <w:lang w:bidi="ar-EG"/>
        </w:rPr>
      </w:pPr>
      <w:r>
        <w:rPr>
          <w:rFonts w:hint="cs"/>
          <w:rtl/>
          <w:lang w:bidi="ar-EG"/>
        </w:rPr>
        <w:t>17</w:t>
      </w:r>
      <w:r w:rsidR="000B7434" w:rsidRPr="00C53766">
        <w:rPr>
          <w:rFonts w:hint="cs"/>
          <w:rtl/>
          <w:lang w:bidi="ar-EG"/>
        </w:rPr>
        <w:t>-</w:t>
      </w:r>
      <w:r w:rsidR="000B7434" w:rsidRPr="00C53766">
        <w:rPr>
          <w:rFonts w:hint="cs"/>
          <w:rtl/>
          <w:lang w:bidi="ar-EG"/>
        </w:rPr>
        <w:tab/>
      </w:r>
      <w:r w:rsidR="000B7434" w:rsidRPr="00C20E76">
        <w:rPr>
          <w:rFonts w:hint="cs"/>
          <w:w w:val="98"/>
          <w:rtl/>
          <w:lang w:bidi="ar-EG"/>
        </w:rPr>
        <w:t>وقد بدأ تنفيذ مبادرة الميزنة المراعية للجنسانية، منذ الخطة العاشرة (2002-2007). وبالنسبة إلى السنة المالية 2008/2009، يبلغ إجمالي مخصصات الميزانية 236 بليون روبية، خَصّص</w:t>
      </w:r>
      <w:r w:rsidR="008B03DA">
        <w:rPr>
          <w:rFonts w:hint="cs"/>
          <w:w w:val="98"/>
          <w:rtl/>
          <w:lang w:bidi="ar-EG"/>
        </w:rPr>
        <w:t>ت الحكومة منها مبلغَ 32 بليون و</w:t>
      </w:r>
      <w:r w:rsidR="000B7434" w:rsidRPr="00C20E76">
        <w:rPr>
          <w:rFonts w:hint="cs"/>
          <w:w w:val="98"/>
          <w:rtl/>
          <w:lang w:bidi="ar-EG"/>
        </w:rPr>
        <w:t>910 مليون روبية للبند</w:t>
      </w:r>
      <w:r w:rsidR="000B7434" w:rsidRPr="00C20E76">
        <w:rPr>
          <w:rFonts w:hint="cs"/>
          <w:w w:val="110"/>
          <w:rtl/>
          <w:lang w:bidi="ar-EG"/>
        </w:rPr>
        <w:t xml:space="preserve"> المعنون</w:t>
      </w:r>
      <w:r w:rsidR="000B7434" w:rsidRPr="00C53766">
        <w:rPr>
          <w:rFonts w:hint="cs"/>
          <w:rtl/>
          <w:lang w:bidi="ar-EG"/>
        </w:rPr>
        <w:t xml:space="preserve"> </w:t>
      </w:r>
      <w:r>
        <w:rPr>
          <w:rFonts w:hint="cs"/>
          <w:rtl/>
          <w:lang w:bidi="ar-EG"/>
        </w:rPr>
        <w:t>"</w:t>
      </w:r>
      <w:r w:rsidR="000B7434" w:rsidRPr="00C53766">
        <w:rPr>
          <w:rFonts w:hint="cs"/>
          <w:rtl/>
          <w:lang w:bidi="ar-EG"/>
        </w:rPr>
        <w:t>تمكين المرأة وتبدُّل مستوى المعيشة</w:t>
      </w:r>
      <w:r>
        <w:rPr>
          <w:rFonts w:hint="cs"/>
          <w:rtl/>
          <w:lang w:bidi="ar-EG"/>
        </w:rPr>
        <w:t>"</w:t>
      </w:r>
      <w:r w:rsidR="000B7434" w:rsidRPr="00C53766">
        <w:rPr>
          <w:rFonts w:hint="cs"/>
          <w:rtl/>
          <w:lang w:bidi="ar-EG"/>
        </w:rPr>
        <w:t xml:space="preserve"> الذي يُتوقع أن يفيد المرأة مباشرة.</w:t>
      </w:r>
      <w:r w:rsidR="000B7434">
        <w:rPr>
          <w:rFonts w:hint="cs"/>
          <w:rtl/>
          <w:lang w:bidi="ar-EG"/>
        </w:rPr>
        <w:t xml:space="preserve"> </w:t>
      </w:r>
      <w:r w:rsidR="000B7434" w:rsidRPr="00C53766">
        <w:rPr>
          <w:rFonts w:hint="cs"/>
          <w:rtl/>
          <w:lang w:bidi="ar-EG"/>
        </w:rPr>
        <w:t>وفي السنة المالية الحالية، زيدت نسبةُ مخصصات الميزانية المراعية للجنسانية إلى 13.9 في المائة. ومن المؤكد أن هذا سوف ييسّر تنفيذ البرامج الرامية إلى المساواة بين الجنسين وتنمية المرأة عن طريق كفالة مزيد من مشاركة المرأة في العمليات الاقتصادية والاجتماعية والسياسية. وبالإضافة إلى ذلك، يجري تدريجيا</w:t>
      </w:r>
      <w:r w:rsidR="008B03DA">
        <w:rPr>
          <w:rFonts w:hint="cs"/>
          <w:rtl/>
          <w:lang w:bidi="ar-EG"/>
        </w:rPr>
        <w:t>ً</w:t>
      </w:r>
      <w:r w:rsidR="000B7434" w:rsidRPr="00C53766">
        <w:rPr>
          <w:rFonts w:hint="cs"/>
          <w:rtl/>
          <w:lang w:bidi="ar-EG"/>
        </w:rPr>
        <w:t xml:space="preserve"> توسيع برامج تنمية المرأة في كل لجان التنمية القروية بحيث تحقق أهداف </w:t>
      </w:r>
      <w:r>
        <w:rPr>
          <w:rFonts w:hint="cs"/>
          <w:rtl/>
          <w:lang w:bidi="ar-EG"/>
        </w:rPr>
        <w:t>"</w:t>
      </w:r>
      <w:r w:rsidR="000B7434">
        <w:rPr>
          <w:rFonts w:hint="cs"/>
          <w:rtl/>
          <w:lang w:bidi="ar-EG"/>
        </w:rPr>
        <w:t>التخفيف من وطأ</w:t>
      </w:r>
      <w:r w:rsidR="000B7434" w:rsidRPr="00C53766">
        <w:rPr>
          <w:rFonts w:hint="cs"/>
          <w:rtl/>
          <w:lang w:bidi="ar-EG"/>
        </w:rPr>
        <w:t>ة الفقر، والمساواة بين الجنسين، والشمول الاجتماعي</w:t>
      </w:r>
      <w:r>
        <w:rPr>
          <w:rFonts w:hint="cs"/>
          <w:rtl/>
          <w:lang w:bidi="ar-EG"/>
        </w:rPr>
        <w:t>"</w:t>
      </w:r>
      <w:r w:rsidR="000B7434" w:rsidRPr="00C53766">
        <w:rPr>
          <w:rFonts w:hint="cs"/>
          <w:rtl/>
          <w:lang w:bidi="ar-EG"/>
        </w:rPr>
        <w:t>. وقد خصص مبلغ 3.45 مليون روبية لبرامج تنمية المرأة</w:t>
      </w:r>
      <w:r w:rsidR="000B7434" w:rsidRPr="00C53766">
        <w:rPr>
          <w:rFonts w:hint="eastAsia"/>
          <w:rtl/>
          <w:lang w:bidi="ar-EG"/>
        </w:rPr>
        <w:t> </w:t>
      </w:r>
      <w:r w:rsidR="000B7434" w:rsidRPr="00C53766">
        <w:rPr>
          <w:rFonts w:hint="cs"/>
          <w:rtl/>
          <w:lang w:bidi="ar-EG"/>
        </w:rPr>
        <w:t>هذه.</w:t>
      </w:r>
    </w:p>
    <w:p w:rsidR="000B7434" w:rsidRPr="00C53766" w:rsidRDefault="0076510E" w:rsidP="008B03DA">
      <w:pPr>
        <w:pStyle w:val="SingleTxtGA"/>
        <w:rPr>
          <w:rFonts w:hint="cs"/>
          <w:rtl/>
          <w:lang w:bidi="ar-EG"/>
        </w:rPr>
      </w:pPr>
      <w:r>
        <w:rPr>
          <w:rFonts w:hint="cs"/>
          <w:rtl/>
          <w:lang w:bidi="ar-EG"/>
        </w:rPr>
        <w:t>18</w:t>
      </w:r>
      <w:r w:rsidR="000B7434" w:rsidRPr="00C53766">
        <w:rPr>
          <w:rFonts w:hint="cs"/>
          <w:rtl/>
          <w:lang w:bidi="ar-EG"/>
        </w:rPr>
        <w:t>-</w:t>
      </w:r>
      <w:r w:rsidR="000B7434" w:rsidRPr="00C53766">
        <w:rPr>
          <w:rFonts w:hint="cs"/>
          <w:rtl/>
          <w:lang w:bidi="ar-EG"/>
        </w:rPr>
        <w:tab/>
        <w:t>وتعمل وزارة شؤون المرأة والطفل والرعاية الاجتماعية (</w:t>
      </w:r>
      <w:r w:rsidR="00D62BA8">
        <w:rPr>
          <w:rtl/>
          <w:lang w:bidi="ar-EG"/>
        </w:rPr>
        <w:t>"</w:t>
      </w:r>
      <w:r w:rsidR="000B7434" w:rsidRPr="00C53766">
        <w:rPr>
          <w:rFonts w:hint="cs"/>
          <w:rtl/>
          <w:lang w:bidi="ar-EG"/>
        </w:rPr>
        <w:t xml:space="preserve">وزارة </w:t>
      </w:r>
      <w:r w:rsidR="008B03DA">
        <w:rPr>
          <w:rFonts w:hint="cs"/>
          <w:rtl/>
          <w:lang w:bidi="ar-EG"/>
        </w:rPr>
        <w:t>شؤون</w:t>
      </w:r>
      <w:r w:rsidR="000B7434" w:rsidRPr="00C53766">
        <w:rPr>
          <w:rFonts w:hint="cs"/>
          <w:rtl/>
          <w:lang w:bidi="ar-EG"/>
        </w:rPr>
        <w:t xml:space="preserve"> المرأة</w:t>
      </w:r>
      <w:r w:rsidR="00D62BA8">
        <w:rPr>
          <w:rtl/>
          <w:lang w:bidi="ar-EG"/>
        </w:rPr>
        <w:t>"</w:t>
      </w:r>
      <w:r w:rsidR="000B7434" w:rsidRPr="00C53766">
        <w:rPr>
          <w:rFonts w:hint="cs"/>
          <w:rtl/>
          <w:lang w:bidi="ar-EG"/>
        </w:rPr>
        <w:t>) بوصفها الوكالة المنسقة للشؤون الجنسانية على الصعيد المركزي. وما فتئت هذه الوزارة تؤدي دوراً هاماً في صياغة القوانين والاضطلاع بالأنشطة الأخرى بشراكة مع 40 من المنظمات غير الحكومية، والمنظمات الدولية غير الحكومية، ووكالات الأمم المتحدة. وقد</w:t>
      </w:r>
      <w:r w:rsidR="000B7434">
        <w:rPr>
          <w:rFonts w:hint="eastAsia"/>
          <w:rtl/>
          <w:lang w:bidi="ar-EG"/>
        </w:rPr>
        <w:t> </w:t>
      </w:r>
      <w:r w:rsidR="000B7434" w:rsidRPr="00C53766">
        <w:rPr>
          <w:rFonts w:hint="cs"/>
          <w:rtl/>
          <w:lang w:bidi="ar-EG"/>
        </w:rPr>
        <w:t>وضعت اللجنة الوطنية المعنية بالاتفاقية التي ترأسها أمينة وزارة شؤون المرأة، خطة عمل وطنية لتنفيذ الاتفاقية</w:t>
      </w:r>
      <w:r w:rsidR="000B7434" w:rsidRPr="0091194F">
        <w:rPr>
          <w:vertAlign w:val="superscript"/>
          <w:rtl/>
          <w:lang w:bidi="ar-EG"/>
        </w:rPr>
        <w:t>(</w:t>
      </w:r>
      <w:r w:rsidR="000B7434" w:rsidRPr="0091194F">
        <w:rPr>
          <w:rStyle w:val="FootnoteReference"/>
          <w:rtl/>
        </w:rPr>
        <w:footnoteReference w:id="7"/>
      </w:r>
      <w:r w:rsidR="000B7434" w:rsidRPr="0091194F">
        <w:rPr>
          <w:vertAlign w:val="superscript"/>
          <w:rtl/>
          <w:lang w:bidi="ar-EG"/>
        </w:rPr>
        <w:t>)</w:t>
      </w:r>
      <w:r w:rsidR="000B7434" w:rsidRPr="00C53766">
        <w:rPr>
          <w:rFonts w:hint="cs"/>
          <w:rtl/>
          <w:lang w:bidi="ar-EG"/>
        </w:rPr>
        <w:t>. وتوجز هذه الخطة مختلف البرامج الموضوعة للنهوض بالمرأة وتمكينها عن طريق حملات التوعية. والتدريب، والمنشورات، والنشر. وتنسّق الوزارة أيضاً جهود الوزارات العاملة الأخرى الرامية إلى إدماج المزيد من الأنشطة التي تركز على مراعاة المنظور الجنساني في برامجها، وذلك عن طريق منسقي الشؤون الجنسانية في كل منها. وكانت الوثيقة الاستراتيجية بشأن الجنسانية والشمول الاجتماعي التي أعدتها الوزارة عام 2006، من أهم الأدوات الفعّالة في تعميم المنظور الجنساني وتعزيز المساواة على صعيد المنظمات الوطنية. ووضعت الوزارة أيضاً آلية بشأن مراجعة حسابات/تحليل البرامج والميزانيات المتصلة بالجنسانية التي تتبعها مختلف الوزارات</w:t>
      </w:r>
      <w:r w:rsidR="000B7434" w:rsidRPr="0091194F">
        <w:rPr>
          <w:vertAlign w:val="superscript"/>
          <w:rtl/>
          <w:lang w:bidi="ar-EG"/>
        </w:rPr>
        <w:t>(</w:t>
      </w:r>
      <w:r w:rsidR="000B7434" w:rsidRPr="0091194F">
        <w:rPr>
          <w:rStyle w:val="FootnoteReference"/>
          <w:rtl/>
        </w:rPr>
        <w:footnoteReference w:id="8"/>
      </w:r>
      <w:r w:rsidR="000B7434" w:rsidRPr="0091194F">
        <w:rPr>
          <w:vertAlign w:val="superscript"/>
          <w:rtl/>
          <w:lang w:bidi="ar-EG"/>
        </w:rPr>
        <w:t>)</w:t>
      </w:r>
      <w:r w:rsidR="000B7434" w:rsidRPr="00C53766">
        <w:rPr>
          <w:rFonts w:hint="cs"/>
          <w:rtl/>
          <w:lang w:bidi="ar-EG"/>
        </w:rPr>
        <w:t xml:space="preserve">. وقد قُدّم لمعظم الموظفات في مختلف الوزارات تدريب في مجال </w:t>
      </w:r>
      <w:r w:rsidR="00D62BA8">
        <w:rPr>
          <w:rtl/>
          <w:lang w:bidi="ar-EG"/>
        </w:rPr>
        <w:t>"</w:t>
      </w:r>
      <w:r w:rsidR="000B7434" w:rsidRPr="00C53766">
        <w:rPr>
          <w:rFonts w:hint="cs"/>
          <w:rtl/>
          <w:lang w:bidi="ar-EG"/>
        </w:rPr>
        <w:t>الجنسانية والصحة التناسلية والشمول الاجتماعي</w:t>
      </w:r>
      <w:r w:rsidR="00D62BA8">
        <w:rPr>
          <w:rtl/>
          <w:lang w:bidi="ar-EG"/>
        </w:rPr>
        <w:t>"</w:t>
      </w:r>
      <w:r w:rsidR="000B7434" w:rsidRPr="00C53766">
        <w:rPr>
          <w:rFonts w:hint="cs"/>
          <w:rtl/>
          <w:lang w:bidi="ar-EG"/>
        </w:rPr>
        <w:t xml:space="preserve"> وفرته وزارة شؤون المرأة</w:t>
      </w:r>
      <w:r w:rsidR="000B7434">
        <w:rPr>
          <w:rFonts w:hint="cs"/>
          <w:rtl/>
          <w:lang w:bidi="ar-EG"/>
        </w:rPr>
        <w:t xml:space="preserve"> </w:t>
      </w:r>
      <w:r w:rsidR="000B7434" w:rsidRPr="00C53766">
        <w:rPr>
          <w:rFonts w:hint="cs"/>
          <w:rtl/>
          <w:lang w:bidi="ar-EG"/>
        </w:rPr>
        <w:t>بالتعاون مع صندوق الأمم المتحدة للسكان، الأمر الذي يعد من مؤشرات بناء القد</w:t>
      </w:r>
      <w:r w:rsidR="000B7434">
        <w:rPr>
          <w:rFonts w:hint="cs"/>
          <w:rtl/>
          <w:lang w:bidi="ar-EG"/>
        </w:rPr>
        <w:t>رات المؤسسية. ومما له أهميته الإ</w:t>
      </w:r>
      <w:r w:rsidR="000B7434" w:rsidRPr="00C53766">
        <w:rPr>
          <w:rFonts w:hint="cs"/>
          <w:rtl/>
          <w:lang w:bidi="ar-EG"/>
        </w:rPr>
        <w:t>شارة إلى أن المناصب الرئيسية في وزارة شؤون المر</w:t>
      </w:r>
      <w:r w:rsidR="000B7434">
        <w:rPr>
          <w:rFonts w:hint="cs"/>
          <w:rtl/>
          <w:lang w:bidi="ar-EG"/>
        </w:rPr>
        <w:t>أ</w:t>
      </w:r>
      <w:r w:rsidR="000B7434" w:rsidRPr="00C53766">
        <w:rPr>
          <w:rFonts w:hint="cs"/>
          <w:rtl/>
          <w:lang w:bidi="ar-EG"/>
        </w:rPr>
        <w:t>ة وإدارة تنمية المرأة تشغلها نساء، بينها منصبا رئاسة أمانة وزارة شؤون المرأة، ورئاسة إدارة تنمية المرأة.</w:t>
      </w:r>
    </w:p>
    <w:p w:rsidR="000B7434" w:rsidRPr="00C53766" w:rsidRDefault="00D62BA8" w:rsidP="00D62BA8">
      <w:pPr>
        <w:pStyle w:val="SingleTxtGA"/>
        <w:rPr>
          <w:rFonts w:hint="cs"/>
          <w:rtl/>
          <w:lang w:bidi="ar-EG"/>
        </w:rPr>
      </w:pPr>
      <w:r>
        <w:rPr>
          <w:rFonts w:hint="cs"/>
          <w:rtl/>
          <w:lang w:bidi="ar-EG"/>
        </w:rPr>
        <w:t>19</w:t>
      </w:r>
      <w:r w:rsidR="000B7434" w:rsidRPr="00C53766">
        <w:rPr>
          <w:rFonts w:hint="cs"/>
          <w:rtl/>
          <w:lang w:bidi="ar-EG"/>
        </w:rPr>
        <w:t>-</w:t>
      </w:r>
      <w:r w:rsidR="000B7434" w:rsidRPr="00C53766">
        <w:rPr>
          <w:rFonts w:hint="cs"/>
          <w:rtl/>
          <w:lang w:bidi="ar-EG"/>
        </w:rPr>
        <w:tab/>
        <w:t>وتؤدي وزارة التنمية المحلية أيضا</w:t>
      </w:r>
      <w:r w:rsidR="002F5691">
        <w:rPr>
          <w:rFonts w:hint="cs"/>
          <w:rtl/>
          <w:lang w:bidi="ar-EG"/>
        </w:rPr>
        <w:t>ً</w:t>
      </w:r>
      <w:r w:rsidR="000B7434" w:rsidRPr="00C53766">
        <w:rPr>
          <w:rFonts w:hint="cs"/>
          <w:rtl/>
          <w:lang w:bidi="ar-EG"/>
        </w:rPr>
        <w:t xml:space="preserve"> دوراً هاما</w:t>
      </w:r>
      <w:r w:rsidR="002F5691">
        <w:rPr>
          <w:rFonts w:hint="cs"/>
          <w:rtl/>
          <w:lang w:bidi="ar-EG"/>
        </w:rPr>
        <w:t>ً</w:t>
      </w:r>
      <w:r w:rsidR="000B7434" w:rsidRPr="00C53766">
        <w:rPr>
          <w:rFonts w:hint="cs"/>
          <w:rtl/>
          <w:lang w:bidi="ar-EG"/>
        </w:rPr>
        <w:t xml:space="preserve"> في تعزيز تعميم المنظور الجنساني، وبرامج الشمول والتمكين. وينص قانون الحكم الذاتي المحلي على الاضطلاع بهذه الأنشطة عن طريق اعتماد مبادئ توجيهية إجرائية ومالية، كما ينص القانون على النهوض بالمرأة والفئات الاجتماعية الأخرى وتمكينها. وقد اعتمدت وزارة التنمية المحلية، مستخدمة الولاية التي يمنحها قانون الحكم الذاتي المحلي، عدداً من </w:t>
      </w:r>
      <w:r>
        <w:rPr>
          <w:rtl/>
          <w:lang w:bidi="ar-EG"/>
        </w:rPr>
        <w:t>"</w:t>
      </w:r>
      <w:r w:rsidR="000B7434" w:rsidRPr="00C53766">
        <w:rPr>
          <w:rFonts w:hint="cs"/>
          <w:rtl/>
          <w:lang w:bidi="ar-EG"/>
        </w:rPr>
        <w:t>المبادئ التوجيهية التشغيلية</w:t>
      </w:r>
      <w:r>
        <w:rPr>
          <w:rtl/>
          <w:lang w:bidi="ar-EG"/>
        </w:rPr>
        <w:t>"</w:t>
      </w:r>
      <w:r w:rsidR="000B7434" w:rsidRPr="00C53766">
        <w:rPr>
          <w:rFonts w:hint="cs"/>
          <w:rtl/>
          <w:lang w:bidi="ar-EG"/>
        </w:rPr>
        <w:t xml:space="preserve"> بغية تنفيذ خطة العمل الوطنية ومراجعة حسابات الميزانية المراعية للجنسانية</w:t>
      </w:r>
      <w:r w:rsidR="000B7434">
        <w:rPr>
          <w:rFonts w:hint="cs"/>
          <w:rtl/>
          <w:lang w:bidi="ar-EG"/>
        </w:rPr>
        <w:t>.</w:t>
      </w:r>
      <w:r w:rsidR="000B7434" w:rsidRPr="00C53766">
        <w:rPr>
          <w:rFonts w:hint="cs"/>
          <w:rtl/>
          <w:lang w:bidi="ar-EG"/>
        </w:rPr>
        <w:t xml:space="preserve"> ونفذت الوزارة برنامج دعم الإدارة المحلية اللامركزية مع تركيز رئيسي في السابق على إدماج المنظور الجنساني والشمول الاجتماعي على الصعيد المحلي. وقد أعدت هذه الوزارة الآن مزيداً من البرامج المتكاملة تحت اسم برنامج الإدارة المحلية للتنمية المجتمعية. وأحد المجالات الاستراتيجية لهذا البرنامج هو المساواة بين الجنسين والشمول الاجتماعي.</w:t>
      </w:r>
    </w:p>
    <w:p w:rsidR="000B7434" w:rsidRPr="00C53766" w:rsidRDefault="00D62BA8" w:rsidP="00D62BA8">
      <w:pPr>
        <w:pStyle w:val="SingleTxtGA"/>
        <w:rPr>
          <w:rFonts w:hint="cs"/>
          <w:rtl/>
          <w:lang w:bidi="ar-EG"/>
        </w:rPr>
      </w:pPr>
      <w:r>
        <w:rPr>
          <w:rFonts w:hint="cs"/>
          <w:rtl/>
          <w:lang w:bidi="ar-EG"/>
        </w:rPr>
        <w:t>20</w:t>
      </w:r>
      <w:r w:rsidR="000B7434" w:rsidRPr="00C53766">
        <w:rPr>
          <w:rFonts w:hint="cs"/>
          <w:rtl/>
          <w:lang w:bidi="ar-EG"/>
        </w:rPr>
        <w:t>-</w:t>
      </w:r>
      <w:r w:rsidR="000B7434" w:rsidRPr="00C53766">
        <w:rPr>
          <w:rFonts w:hint="cs"/>
          <w:rtl/>
          <w:lang w:bidi="ar-EG"/>
        </w:rPr>
        <w:tab/>
        <w:t>وعلى الصعيد الوطني، أُنشئت اللجنة الوطنية لحقوق الإنسان، ومنصب المقرّر الوطني المعني بالاتجار بالمرأة، واللجنة الوطنية للمرأة، والهيئة الوطنية للمنبوذين (الداليت)، والمؤسسة الوطنية لتنمية القوميات الأصلية، لحماية حقوق الإنسان وتعزيزها ورصدها، وخصصت لها موارد وافية.</w:t>
      </w:r>
    </w:p>
    <w:p w:rsidR="000B7434" w:rsidRPr="00C53766" w:rsidRDefault="000B7434" w:rsidP="002F1301">
      <w:pPr>
        <w:pStyle w:val="H1GA"/>
        <w:rPr>
          <w:rFonts w:hint="cs"/>
          <w:rtl/>
          <w:lang w:bidi="ar-EG"/>
        </w:rPr>
      </w:pPr>
      <w:r>
        <w:rPr>
          <w:rFonts w:hint="cs"/>
          <w:rtl/>
          <w:lang w:bidi="ar-EG"/>
        </w:rPr>
        <w:tab/>
      </w:r>
      <w:r>
        <w:rPr>
          <w:rFonts w:hint="cs"/>
          <w:rtl/>
          <w:lang w:bidi="ar-EG"/>
        </w:rPr>
        <w:tab/>
      </w:r>
      <w:r w:rsidRPr="00C53766">
        <w:rPr>
          <w:rFonts w:hint="cs"/>
          <w:rtl/>
          <w:lang w:bidi="ar-EG"/>
        </w:rPr>
        <w:t xml:space="preserve">تأثير </w:t>
      </w:r>
      <w:r w:rsidR="002F1301">
        <w:rPr>
          <w:rFonts w:hint="cs"/>
          <w:rtl/>
          <w:lang w:bidi="ar-EG"/>
        </w:rPr>
        <w:t xml:space="preserve">النزاع </w:t>
      </w:r>
      <w:r w:rsidRPr="00C53766">
        <w:rPr>
          <w:rFonts w:hint="cs"/>
          <w:rtl/>
          <w:lang w:bidi="ar-EG"/>
        </w:rPr>
        <w:t xml:space="preserve">المسلح ومشاركة المرأة في العملية السلمية (الفقرتان 202 </w:t>
      </w:r>
      <w:r w:rsidR="00D62BA8">
        <w:rPr>
          <w:rFonts w:hint="cs"/>
          <w:rtl/>
          <w:lang w:bidi="ar-EG"/>
        </w:rPr>
        <w:t>و</w:t>
      </w:r>
      <w:r w:rsidRPr="00C53766">
        <w:rPr>
          <w:rFonts w:hint="cs"/>
          <w:rtl/>
          <w:lang w:bidi="ar-EG"/>
        </w:rPr>
        <w:t>203 من</w:t>
      </w:r>
      <w:r w:rsidR="008B03DA">
        <w:rPr>
          <w:rFonts w:hint="cs"/>
          <w:rtl/>
          <w:lang w:bidi="ar-EG"/>
        </w:rPr>
        <w:t xml:space="preserve"> </w:t>
      </w:r>
      <w:r w:rsidRPr="00C53766">
        <w:rPr>
          <w:rFonts w:hint="cs"/>
          <w:rtl/>
          <w:lang w:bidi="ar-EG"/>
        </w:rPr>
        <w:t>التعليقات الختامية)</w:t>
      </w:r>
    </w:p>
    <w:p w:rsidR="000B7434" w:rsidRPr="00C53766" w:rsidRDefault="00D62BA8" w:rsidP="002F1301">
      <w:pPr>
        <w:pStyle w:val="SingleTxtGA"/>
        <w:rPr>
          <w:rFonts w:hint="cs"/>
          <w:rtl/>
          <w:lang w:bidi="ar-EG"/>
        </w:rPr>
      </w:pPr>
      <w:r>
        <w:rPr>
          <w:rFonts w:hint="cs"/>
          <w:rtl/>
          <w:lang w:bidi="ar-EG"/>
        </w:rPr>
        <w:t>21</w:t>
      </w:r>
      <w:r w:rsidR="000B7434" w:rsidRPr="00C53766">
        <w:rPr>
          <w:rFonts w:hint="cs"/>
          <w:rtl/>
          <w:lang w:bidi="ar-EG"/>
        </w:rPr>
        <w:t>-</w:t>
      </w:r>
      <w:r w:rsidR="000B7434" w:rsidRPr="00C53766">
        <w:rPr>
          <w:rFonts w:hint="cs"/>
          <w:rtl/>
          <w:lang w:bidi="ar-EG"/>
        </w:rPr>
        <w:tab/>
        <w:t xml:space="preserve">كان </w:t>
      </w:r>
      <w:r w:rsidR="002F1301">
        <w:rPr>
          <w:rFonts w:hint="cs"/>
          <w:rtl/>
          <w:lang w:bidi="ar-EG"/>
        </w:rPr>
        <w:t xml:space="preserve">للنزاع </w:t>
      </w:r>
      <w:r w:rsidR="000B7434" w:rsidRPr="00C53766">
        <w:rPr>
          <w:rFonts w:hint="cs"/>
          <w:rtl/>
          <w:lang w:bidi="ar-EG"/>
        </w:rPr>
        <w:t xml:space="preserve">الداخلي المسلح الذي دام عقداً من السنين (1996-2006) تأثير واسع على الحقوق المدنية والسياسية والاقتصادية والاجتماعية والثقافية للشعب. فقد أخلّ بالأنشطة الإنمائية، وألحق بالشعب أشكالاً لا تحصى من المعاناة، بما في ذلك عن طريق موجات نزوح ضخمة، وأدى إلى ضرر فادح في الهياكل الأساسية للتنمية وفي الممتلكات الوطنية. وأثناء </w:t>
      </w:r>
      <w:r w:rsidR="002F1301">
        <w:rPr>
          <w:rFonts w:hint="cs"/>
          <w:rtl/>
          <w:lang w:bidi="ar-EG"/>
        </w:rPr>
        <w:t xml:space="preserve">النزاع </w:t>
      </w:r>
      <w:r w:rsidR="000B7434" w:rsidRPr="00C53766">
        <w:rPr>
          <w:rFonts w:hint="cs"/>
          <w:rtl/>
          <w:lang w:bidi="ar-EG"/>
        </w:rPr>
        <w:t>أُبلغ عن حوادث انتهاك حقوق الإنسان للنساء والأطفال. كما</w:t>
      </w:r>
      <w:r w:rsidR="000B7434">
        <w:rPr>
          <w:rFonts w:hint="eastAsia"/>
          <w:rtl/>
          <w:lang w:bidi="ar-EG"/>
        </w:rPr>
        <w:t> </w:t>
      </w:r>
      <w:r w:rsidR="000B7434" w:rsidRPr="00C53766">
        <w:rPr>
          <w:rFonts w:hint="cs"/>
          <w:rtl/>
          <w:lang w:bidi="ar-EG"/>
        </w:rPr>
        <w:t>وردت تقارير عن اعتداء جنسي على النساء والفتيات.</w:t>
      </w:r>
    </w:p>
    <w:p w:rsidR="000B7434" w:rsidRPr="00C53766" w:rsidRDefault="00D62BA8" w:rsidP="002F1301">
      <w:pPr>
        <w:pStyle w:val="SingleTxtGA"/>
        <w:rPr>
          <w:rFonts w:hint="cs"/>
          <w:rtl/>
          <w:lang w:bidi="ar-EG"/>
        </w:rPr>
      </w:pPr>
      <w:r>
        <w:rPr>
          <w:rFonts w:hint="cs"/>
          <w:rtl/>
          <w:lang w:bidi="ar-EG"/>
        </w:rPr>
        <w:t>22</w:t>
      </w:r>
      <w:r w:rsidR="000B7434" w:rsidRPr="00C53766">
        <w:rPr>
          <w:rFonts w:hint="cs"/>
          <w:rtl/>
          <w:lang w:bidi="ar-EG"/>
        </w:rPr>
        <w:t>-</w:t>
      </w:r>
      <w:r w:rsidR="000B7434" w:rsidRPr="00C53766">
        <w:rPr>
          <w:rFonts w:hint="cs"/>
          <w:rtl/>
          <w:lang w:bidi="ar-EG"/>
        </w:rPr>
        <w:tab/>
        <w:t xml:space="preserve">وانتهت السنوات العشر من </w:t>
      </w:r>
      <w:r w:rsidR="002F1301">
        <w:rPr>
          <w:rFonts w:hint="cs"/>
          <w:rtl/>
          <w:lang w:bidi="ar-EG"/>
        </w:rPr>
        <w:t xml:space="preserve">النزاع </w:t>
      </w:r>
      <w:r w:rsidR="000B7434" w:rsidRPr="00C53766">
        <w:rPr>
          <w:rFonts w:hint="cs"/>
          <w:rtl/>
          <w:lang w:bidi="ar-EG"/>
        </w:rPr>
        <w:t xml:space="preserve">الداخلي المسلح بالتوقيع على اتفاق السلام الشامل بين الحكومة والحزب الشيوعي النيبالي (الجناح الماوي). ويذكر الحكم 7-6 من الاتفاق حقوق النساء والأطفال حيث ينص على أن </w:t>
      </w:r>
      <w:r>
        <w:rPr>
          <w:rtl/>
          <w:lang w:bidi="ar-EG"/>
        </w:rPr>
        <w:t>"</w:t>
      </w:r>
      <w:r w:rsidR="000B7434" w:rsidRPr="00C53766">
        <w:rPr>
          <w:rFonts w:hint="cs"/>
          <w:rtl/>
          <w:lang w:bidi="ar-EG"/>
        </w:rPr>
        <w:t>كلا الجانبين يوافقان موافقة تامة على توفير الحماية لحقوق النساء والأطفال، وعلى الحظر الفوري لكل ضروب العنف ضد النساء والأطفال، بما في ذلك عمالة الأطفال، وكذلك الاستغلال والتحرش الجنسيان، وعلى عدم شمل أو استخدام الأطفال ممن هم دون سن الثامنة عشرة. ويتم فوراً إنقاذ الأطفال المستخدمين على هذا النحو، وتقديم المساعدة اللازمة والملائمة من أجل إعادة تأهيلهم</w:t>
      </w:r>
      <w:r>
        <w:rPr>
          <w:rtl/>
          <w:lang w:bidi="ar-EG"/>
        </w:rPr>
        <w:t>"</w:t>
      </w:r>
      <w:r w:rsidR="000B7434" w:rsidRPr="00C53766">
        <w:rPr>
          <w:rFonts w:hint="cs"/>
          <w:rtl/>
          <w:lang w:bidi="ar-EG"/>
        </w:rPr>
        <w:t>.</w:t>
      </w:r>
    </w:p>
    <w:p w:rsidR="000B7434" w:rsidRPr="00C53766" w:rsidRDefault="00D62BA8" w:rsidP="002F1301">
      <w:pPr>
        <w:pStyle w:val="SingleTxtGA"/>
        <w:rPr>
          <w:rFonts w:hint="cs"/>
          <w:rtl/>
          <w:lang w:bidi="ar-EG"/>
        </w:rPr>
      </w:pPr>
      <w:r>
        <w:rPr>
          <w:rFonts w:hint="cs"/>
          <w:rtl/>
          <w:lang w:bidi="ar-EG"/>
        </w:rPr>
        <w:t>23</w:t>
      </w:r>
      <w:r w:rsidR="000B7434" w:rsidRPr="00C53766">
        <w:rPr>
          <w:rFonts w:hint="cs"/>
          <w:rtl/>
          <w:lang w:bidi="ar-EG"/>
        </w:rPr>
        <w:t>-</w:t>
      </w:r>
      <w:r w:rsidR="000B7434" w:rsidRPr="00C53766">
        <w:rPr>
          <w:rFonts w:hint="cs"/>
          <w:rtl/>
          <w:lang w:bidi="ar-EG"/>
        </w:rPr>
        <w:tab/>
        <w:t xml:space="preserve">وقد أسس الدستور المؤقت بعض آليات الجبر لضحايا </w:t>
      </w:r>
      <w:r w:rsidR="002F1301">
        <w:rPr>
          <w:rFonts w:hint="cs"/>
          <w:rtl/>
          <w:lang w:bidi="ar-EG"/>
        </w:rPr>
        <w:t>النزاع</w:t>
      </w:r>
      <w:r w:rsidR="000B7434" w:rsidRPr="00C53766">
        <w:rPr>
          <w:rFonts w:hint="cs"/>
          <w:rtl/>
          <w:lang w:bidi="ar-EG"/>
        </w:rPr>
        <w:t xml:space="preserve">، بما في ذلك أحكام محددة تتعلق بالمرأة (مذكورة أدناه في الجزء الثالث). كما تم إنشاء وزارة السلام والتعمير خصيصاً لتوفير العناية الشاملة بهؤلاء الضحايا وإدارة شؤونهم وإعادة تأهيلهم. وتم، داخل هذه الوزارة، إنشاء صندوق مستقل لهذا الغرض. وتتولى وزارة شؤون المرأة، عاملةً بوصفها الوكالة (المشرفة) التنفيذية للصندوق، وإدارةُ تنمية المرأة، بوصفها الوكالة المنفِّذة، تشغيل برنامج سُمّي </w:t>
      </w:r>
      <w:r>
        <w:rPr>
          <w:rtl/>
          <w:lang w:bidi="ar-EG"/>
        </w:rPr>
        <w:t>"</w:t>
      </w:r>
      <w:r w:rsidR="000B7434" w:rsidRPr="00C53766">
        <w:rPr>
          <w:rFonts w:hint="cs"/>
          <w:rtl/>
          <w:lang w:bidi="ar-EG"/>
        </w:rPr>
        <w:t>تعزيز الدعم اللامركز</w:t>
      </w:r>
      <w:r>
        <w:rPr>
          <w:rFonts w:hint="cs"/>
          <w:rtl/>
          <w:lang w:bidi="ar-EG"/>
        </w:rPr>
        <w:t>ي</w:t>
      </w:r>
      <w:r w:rsidR="000B7434" w:rsidRPr="00C53766">
        <w:rPr>
          <w:rFonts w:hint="cs"/>
          <w:rtl/>
          <w:lang w:bidi="ar-EG"/>
        </w:rPr>
        <w:t xml:space="preserve"> لضعاف الأسر والأطفال المتأثرين </w:t>
      </w:r>
      <w:r w:rsidR="002F1301">
        <w:rPr>
          <w:rFonts w:hint="cs"/>
          <w:rtl/>
          <w:lang w:bidi="ar-EG"/>
        </w:rPr>
        <w:t>بالنزاع</w:t>
      </w:r>
      <w:r>
        <w:rPr>
          <w:rtl/>
          <w:lang w:bidi="ar-EG"/>
        </w:rPr>
        <w:t>"</w:t>
      </w:r>
      <w:r w:rsidR="000B7434" w:rsidRPr="00C53766">
        <w:rPr>
          <w:rFonts w:hint="cs"/>
          <w:rtl/>
          <w:lang w:bidi="ar-EG"/>
        </w:rPr>
        <w:t>. وفي</w:t>
      </w:r>
      <w:r w:rsidR="000B7434">
        <w:rPr>
          <w:rFonts w:hint="eastAsia"/>
          <w:rtl/>
          <w:lang w:bidi="ar-EG"/>
        </w:rPr>
        <w:t> </w:t>
      </w:r>
      <w:r w:rsidR="000B7434" w:rsidRPr="00C53766">
        <w:rPr>
          <w:rFonts w:hint="cs"/>
          <w:rtl/>
          <w:lang w:bidi="ar-EG"/>
        </w:rPr>
        <w:t xml:space="preserve">إطار هذا البرنامج قُدّمت مساعدة إنسانية إلى 000 4 أسرة في 31 من لجان التنمية القروية تابعة للمقاطعات الخمس الضعيفة المتأثرة </w:t>
      </w:r>
      <w:r w:rsidR="002F1301">
        <w:rPr>
          <w:rFonts w:hint="cs"/>
          <w:rtl/>
          <w:lang w:bidi="ar-EG"/>
        </w:rPr>
        <w:t xml:space="preserve">بالنزاع </w:t>
      </w:r>
      <w:r w:rsidR="000B7434" w:rsidRPr="00C53766">
        <w:rPr>
          <w:rFonts w:hint="cs"/>
          <w:rtl/>
          <w:lang w:bidi="ar-EG"/>
        </w:rPr>
        <w:t xml:space="preserve">وهي: </w:t>
      </w:r>
      <w:proofErr w:type="spellStart"/>
      <w:r w:rsidR="000B7434" w:rsidRPr="00C53766">
        <w:rPr>
          <w:rFonts w:hint="cs"/>
          <w:rtl/>
          <w:lang w:bidi="ar-EG"/>
        </w:rPr>
        <w:t>أكشام</w:t>
      </w:r>
      <w:proofErr w:type="spellEnd"/>
      <w:r w:rsidR="000B7434" w:rsidRPr="00C53766">
        <w:rPr>
          <w:rFonts w:hint="cs"/>
          <w:rtl/>
          <w:lang w:bidi="ar-EG"/>
        </w:rPr>
        <w:t xml:space="preserve">، </w:t>
      </w:r>
      <w:proofErr w:type="spellStart"/>
      <w:r w:rsidR="000B7434" w:rsidRPr="00C53766">
        <w:rPr>
          <w:rFonts w:hint="cs"/>
          <w:rtl/>
          <w:lang w:bidi="ar-EG"/>
        </w:rPr>
        <w:t>وبانكي</w:t>
      </w:r>
      <w:proofErr w:type="spellEnd"/>
      <w:r w:rsidR="000B7434" w:rsidRPr="00C53766">
        <w:rPr>
          <w:rFonts w:hint="cs"/>
          <w:rtl/>
          <w:lang w:bidi="ar-EG"/>
        </w:rPr>
        <w:t>، وبرديّه، ورولبا،</w:t>
      </w:r>
      <w:r w:rsidR="000B7434">
        <w:rPr>
          <w:rFonts w:hint="eastAsia"/>
          <w:rtl/>
          <w:lang w:bidi="ar-EG"/>
        </w:rPr>
        <w:t> </w:t>
      </w:r>
      <w:r w:rsidR="000B7434" w:rsidRPr="00C53766">
        <w:rPr>
          <w:rFonts w:hint="cs"/>
          <w:rtl/>
          <w:lang w:bidi="ar-EG"/>
        </w:rPr>
        <w:t>ورُكُم.</w:t>
      </w:r>
    </w:p>
    <w:p w:rsidR="000B7434" w:rsidRPr="00C53766" w:rsidRDefault="00D62BA8" w:rsidP="002F1301">
      <w:pPr>
        <w:pStyle w:val="SingleTxtGA"/>
        <w:rPr>
          <w:rFonts w:hint="cs"/>
          <w:rtl/>
          <w:lang w:bidi="ar-EG"/>
        </w:rPr>
      </w:pPr>
      <w:r>
        <w:rPr>
          <w:rFonts w:hint="cs"/>
          <w:rtl/>
          <w:lang w:bidi="ar-EG"/>
        </w:rPr>
        <w:t>24</w:t>
      </w:r>
      <w:r w:rsidR="000B7434" w:rsidRPr="00C53766">
        <w:rPr>
          <w:rFonts w:hint="cs"/>
          <w:rtl/>
          <w:lang w:bidi="ar-EG"/>
        </w:rPr>
        <w:t>-</w:t>
      </w:r>
      <w:r w:rsidR="000B7434" w:rsidRPr="00C53766">
        <w:rPr>
          <w:rFonts w:hint="cs"/>
          <w:rtl/>
          <w:lang w:bidi="ar-EG"/>
        </w:rPr>
        <w:tab/>
        <w:t xml:space="preserve">ووضعت حكومةُ نيبال سياسات وخطةَ عمل وطنية تخصص ميزانيةً لإغاثة ضحايا </w:t>
      </w:r>
      <w:r w:rsidR="002F1301">
        <w:rPr>
          <w:rFonts w:hint="cs"/>
          <w:rtl/>
          <w:lang w:bidi="ar-EG"/>
        </w:rPr>
        <w:t xml:space="preserve">النزاع </w:t>
      </w:r>
      <w:r w:rsidR="000B7434" w:rsidRPr="00C53766">
        <w:rPr>
          <w:rFonts w:hint="cs"/>
          <w:rtl/>
          <w:lang w:bidi="ar-EG"/>
        </w:rPr>
        <w:t>سيتم توزيعها عن طريق الإدارة المحلية. وتم تعيين كبير موظفي المقاطعة، في</w:t>
      </w:r>
      <w:r w:rsidR="000B7434">
        <w:rPr>
          <w:rFonts w:hint="eastAsia"/>
          <w:rtl/>
          <w:lang w:bidi="ar-EG"/>
        </w:rPr>
        <w:t> </w:t>
      </w:r>
      <w:r w:rsidR="000B7434" w:rsidRPr="00C53766">
        <w:rPr>
          <w:rFonts w:hint="cs"/>
          <w:rtl/>
          <w:lang w:bidi="ar-EG"/>
        </w:rPr>
        <w:t>كل</w:t>
      </w:r>
      <w:r w:rsidR="002F1301">
        <w:rPr>
          <w:rFonts w:hint="cs"/>
          <w:rtl/>
          <w:lang w:bidi="ar-EG"/>
        </w:rPr>
        <w:t xml:space="preserve">    </w:t>
      </w:r>
      <w:r w:rsidR="000B7434" w:rsidRPr="00C53766">
        <w:rPr>
          <w:rFonts w:hint="cs"/>
          <w:rtl/>
          <w:lang w:bidi="ar-EG"/>
        </w:rPr>
        <w:t>حالة، منسقاً لتنفيذ هذه المساعدة من تدابير الإغاثة وإعادة التأهيل، ووضع مبادئ توجيهية للسياسة بغية تنظيم توزيع مجموعات المساعدة هذه على الأشخاص النازحين داخلياً. وقد بدأ توزيع هذه المجموعات بالفعل اعتبارا</w:t>
      </w:r>
      <w:r w:rsidR="002F5691">
        <w:rPr>
          <w:rFonts w:hint="cs"/>
          <w:rtl/>
          <w:lang w:bidi="ar-EG"/>
        </w:rPr>
        <w:t>ً</w:t>
      </w:r>
      <w:r w:rsidR="000B7434" w:rsidRPr="00C53766">
        <w:rPr>
          <w:rFonts w:hint="cs"/>
          <w:rtl/>
          <w:lang w:bidi="ar-EG"/>
        </w:rPr>
        <w:t xml:space="preserve"> من 7 تشرين الأول/أكتوبر 2007. وعلاوة على ذلك، خصصت الميزانية السنوية للفترة 2008-2009 أموالاً للأسر المتأثرة </w:t>
      </w:r>
      <w:r w:rsidR="002F1301">
        <w:rPr>
          <w:rFonts w:hint="cs"/>
          <w:rtl/>
          <w:lang w:bidi="ar-EG"/>
        </w:rPr>
        <w:t xml:space="preserve">بالنزاع </w:t>
      </w:r>
      <w:r w:rsidR="000B7434" w:rsidRPr="00C53766">
        <w:rPr>
          <w:rFonts w:hint="cs"/>
          <w:rtl/>
          <w:lang w:bidi="ar-EG"/>
        </w:rPr>
        <w:t xml:space="preserve">لتقديم مساعدة مالية تتألف من مبلغ إجمالي يدفع مرة واحدة هو مائة ألف روبية لكل </w:t>
      </w:r>
      <w:r w:rsidR="000B7434">
        <w:rPr>
          <w:rFonts w:hint="cs"/>
          <w:rtl/>
          <w:lang w:bidi="ar-EG"/>
        </w:rPr>
        <w:t>أ</w:t>
      </w:r>
      <w:r w:rsidR="000B7434" w:rsidRPr="00C53766">
        <w:rPr>
          <w:rFonts w:hint="cs"/>
          <w:rtl/>
          <w:lang w:bidi="ar-EG"/>
        </w:rPr>
        <w:t>سرة. وقد وُزع مبلغ 000 900 103 1 روبية نيبالية على 039 11 أسرة من أسر القتلى في</w:t>
      </w:r>
      <w:r w:rsidR="000B7434">
        <w:rPr>
          <w:rFonts w:hint="eastAsia"/>
          <w:rtl/>
          <w:lang w:bidi="ar-EG"/>
        </w:rPr>
        <w:t> </w:t>
      </w:r>
      <w:r w:rsidR="000B7434" w:rsidRPr="00C53766">
        <w:rPr>
          <w:rFonts w:hint="cs"/>
          <w:rtl/>
          <w:lang w:bidi="ar-EG"/>
        </w:rPr>
        <w:t>73</w:t>
      </w:r>
      <w:r w:rsidR="000B7434">
        <w:rPr>
          <w:rFonts w:hint="eastAsia"/>
          <w:rtl/>
          <w:lang w:bidi="ar-EG"/>
        </w:rPr>
        <w:t> </w:t>
      </w:r>
      <w:r w:rsidR="000B7434" w:rsidRPr="00C53766">
        <w:rPr>
          <w:rFonts w:hint="cs"/>
          <w:rtl/>
          <w:lang w:bidi="ar-EG"/>
        </w:rPr>
        <w:t xml:space="preserve">من أصل 75 مقاطعة عن طريق مشروع دعم السلام الطارئ بوزارة السلام والتعمير. كذلك، بدأ العمل ببرنامج منح دراسية لتعليم الأولاد الذين فقدوا الأبوين أثناء </w:t>
      </w:r>
      <w:r w:rsidR="002F1301">
        <w:rPr>
          <w:rFonts w:hint="cs"/>
          <w:rtl/>
          <w:lang w:bidi="ar-EG"/>
        </w:rPr>
        <w:t>النزاع</w:t>
      </w:r>
      <w:r w:rsidR="000B7434" w:rsidRPr="00C53766">
        <w:rPr>
          <w:rFonts w:hint="cs"/>
          <w:rtl/>
          <w:lang w:bidi="ar-EG"/>
        </w:rPr>
        <w:t xml:space="preserve">، وخصص </w:t>
      </w:r>
      <w:r w:rsidR="002F1301">
        <w:rPr>
          <w:rFonts w:hint="cs"/>
          <w:rtl/>
          <w:lang w:bidi="ar-EG"/>
        </w:rPr>
        <w:t xml:space="preserve">     </w:t>
      </w:r>
      <w:r w:rsidR="000B7434" w:rsidRPr="00C53766">
        <w:rPr>
          <w:rFonts w:hint="cs"/>
          <w:rtl/>
          <w:lang w:bidi="ar-EG"/>
        </w:rPr>
        <w:t xml:space="preserve">مبلغ 1.5 بليون روبية لهذا الغرض وحده. وقد حددت وزارة السلام والتعمير هوية </w:t>
      </w:r>
      <w:r w:rsidR="002F1301">
        <w:rPr>
          <w:rFonts w:hint="cs"/>
          <w:rtl/>
          <w:lang w:bidi="ar-EG"/>
        </w:rPr>
        <w:t xml:space="preserve">     </w:t>
      </w:r>
      <w:r w:rsidR="000B7434" w:rsidRPr="00C53766">
        <w:rPr>
          <w:rFonts w:hint="cs"/>
          <w:rtl/>
          <w:lang w:bidi="ar-EG"/>
        </w:rPr>
        <w:t>حوالي 000 25 شخص من النازحين داخلياً في</w:t>
      </w:r>
      <w:r w:rsidR="000B7434" w:rsidRPr="00C53766">
        <w:rPr>
          <w:rFonts w:hint="eastAsia"/>
          <w:rtl/>
          <w:lang w:bidi="ar-EG"/>
        </w:rPr>
        <w:t> </w:t>
      </w:r>
      <w:r w:rsidR="000B7434" w:rsidRPr="00C53766">
        <w:rPr>
          <w:rFonts w:hint="cs"/>
          <w:rtl/>
          <w:lang w:bidi="ar-EG"/>
        </w:rPr>
        <w:t>مختلف مقاطعات البلد حتى الآن. وقامت في الآونة الأخيرة بصرف الأموال اللازمة (189.5 مليون روبية في المجموع) لكل المكاتب الإدارية للمقاطعات في المقاطعات الخمس والسبعين.</w:t>
      </w:r>
    </w:p>
    <w:p w:rsidR="000B7434" w:rsidRPr="00C53766" w:rsidRDefault="00D62BA8" w:rsidP="002F1301">
      <w:pPr>
        <w:pStyle w:val="SingleTxtGA"/>
        <w:rPr>
          <w:rFonts w:hint="cs"/>
          <w:rtl/>
          <w:lang w:bidi="ar-EG"/>
        </w:rPr>
      </w:pPr>
      <w:r>
        <w:rPr>
          <w:rFonts w:hint="cs"/>
          <w:rtl/>
          <w:lang w:bidi="ar-EG"/>
        </w:rPr>
        <w:t>25</w:t>
      </w:r>
      <w:r w:rsidR="000B7434" w:rsidRPr="00C53766">
        <w:rPr>
          <w:rFonts w:hint="cs"/>
          <w:rtl/>
          <w:lang w:bidi="ar-EG"/>
        </w:rPr>
        <w:t>-</w:t>
      </w:r>
      <w:r w:rsidR="000B7434" w:rsidRPr="00C53766">
        <w:rPr>
          <w:rFonts w:hint="cs"/>
          <w:rtl/>
          <w:lang w:bidi="ar-EG"/>
        </w:rPr>
        <w:tab/>
        <w:t xml:space="preserve">وشكلت الحكومة أيضاً </w:t>
      </w:r>
      <w:r>
        <w:rPr>
          <w:rtl/>
          <w:lang w:bidi="ar-EG"/>
        </w:rPr>
        <w:t>"</w:t>
      </w:r>
      <w:r w:rsidR="000B7434" w:rsidRPr="00C53766">
        <w:rPr>
          <w:rFonts w:hint="cs"/>
          <w:rtl/>
          <w:lang w:bidi="ar-EG"/>
        </w:rPr>
        <w:t>اللجنة الوطنية للقانون الإنساني الدولي</w:t>
      </w:r>
      <w:r>
        <w:rPr>
          <w:rtl/>
          <w:lang w:bidi="ar-EG"/>
        </w:rPr>
        <w:t>"</w:t>
      </w:r>
      <w:r w:rsidR="000B7434" w:rsidRPr="00C53766">
        <w:rPr>
          <w:rFonts w:hint="cs"/>
          <w:rtl/>
          <w:lang w:bidi="ar-EG"/>
        </w:rPr>
        <w:t>، برئاسة وزير القانون والعدل وشؤون الجمعية التأسيسية، التي تأذن بتنفيذ القانون الإنساني الدولي، بما</w:t>
      </w:r>
      <w:r w:rsidR="000B7434">
        <w:rPr>
          <w:rFonts w:hint="eastAsia"/>
          <w:rtl/>
          <w:lang w:bidi="ar-EG"/>
        </w:rPr>
        <w:t> </w:t>
      </w:r>
      <w:r w:rsidR="000B7434" w:rsidRPr="00C53766">
        <w:rPr>
          <w:rFonts w:hint="cs"/>
          <w:rtl/>
          <w:lang w:bidi="ar-EG"/>
        </w:rPr>
        <w:t>في</w:t>
      </w:r>
      <w:r w:rsidR="000B7434">
        <w:rPr>
          <w:rFonts w:hint="eastAsia"/>
          <w:rtl/>
          <w:lang w:bidi="ar-EG"/>
        </w:rPr>
        <w:t> </w:t>
      </w:r>
      <w:r w:rsidR="000B7434" w:rsidRPr="00C53766">
        <w:rPr>
          <w:rFonts w:hint="cs"/>
          <w:rtl/>
          <w:lang w:bidi="ar-EG"/>
        </w:rPr>
        <w:t xml:space="preserve">ذلك المسائل المتصلة بضحايا </w:t>
      </w:r>
      <w:r w:rsidR="002F1301">
        <w:rPr>
          <w:rFonts w:hint="cs"/>
          <w:rtl/>
          <w:lang w:bidi="ar-EG"/>
        </w:rPr>
        <w:t xml:space="preserve">النزاع </w:t>
      </w:r>
      <w:r w:rsidR="000B7434" w:rsidRPr="00C53766">
        <w:rPr>
          <w:rFonts w:hint="cs"/>
          <w:rtl/>
          <w:lang w:bidi="ar-EG"/>
        </w:rPr>
        <w:t>المسلح. وقد حددت اللجنة القوانين المناسبة التي يتعين سنها والآليات التي ينبغي إيجادها لتنفيذ اتفاقيات جينيف وغيرها من صكوك القانون الإنساني الدولي التي من أطرافها نيبال.</w:t>
      </w:r>
    </w:p>
    <w:p w:rsidR="000B7434" w:rsidRPr="00C53766" w:rsidRDefault="00D62BA8" w:rsidP="002F1301">
      <w:pPr>
        <w:pStyle w:val="SingleTxtGA"/>
        <w:rPr>
          <w:rFonts w:hint="cs"/>
          <w:rtl/>
          <w:lang w:bidi="ar-EG"/>
        </w:rPr>
      </w:pPr>
      <w:r>
        <w:rPr>
          <w:rFonts w:hint="cs"/>
          <w:rtl/>
          <w:lang w:bidi="ar-EG"/>
        </w:rPr>
        <w:t>26</w:t>
      </w:r>
      <w:r w:rsidR="000B7434" w:rsidRPr="00C53766">
        <w:rPr>
          <w:rFonts w:hint="cs"/>
          <w:rtl/>
          <w:lang w:bidi="ar-EG"/>
        </w:rPr>
        <w:t>-</w:t>
      </w:r>
      <w:r w:rsidR="000B7434" w:rsidRPr="00C53766">
        <w:rPr>
          <w:rFonts w:hint="cs"/>
          <w:rtl/>
          <w:lang w:bidi="ar-EG"/>
        </w:rPr>
        <w:tab/>
        <w:t>وفيما يتعلق بشواغل لجنة القانون الإنساني الدولي وتوصياتها بشأن مشاركة المرأة في</w:t>
      </w:r>
      <w:r w:rsidR="000B7434">
        <w:rPr>
          <w:rFonts w:hint="eastAsia"/>
          <w:rtl/>
          <w:lang w:bidi="ar-EG"/>
        </w:rPr>
        <w:t> </w:t>
      </w:r>
      <w:r w:rsidR="000B7434" w:rsidRPr="00C53766">
        <w:rPr>
          <w:rFonts w:hint="cs"/>
          <w:rtl/>
          <w:lang w:bidi="ar-EG"/>
        </w:rPr>
        <w:t xml:space="preserve">عملية حل </w:t>
      </w:r>
      <w:r w:rsidR="002F1301">
        <w:rPr>
          <w:rFonts w:hint="cs"/>
          <w:rtl/>
          <w:lang w:bidi="ar-EG"/>
        </w:rPr>
        <w:t xml:space="preserve">النـزاع </w:t>
      </w:r>
      <w:r w:rsidR="000B7434" w:rsidRPr="00C53766">
        <w:rPr>
          <w:rFonts w:hint="cs"/>
          <w:rtl/>
          <w:lang w:bidi="ar-EG"/>
        </w:rPr>
        <w:t>وبناء السلام، اعتمدت الحكومة خطة عمل وتدابير أخرى لكفالة مثل هذه المشاركة. وقد شوهد معدل لم يسبق له مثيل من المشاركة النسائية أثناء</w:t>
      </w:r>
      <w:r w:rsidR="000B7434">
        <w:rPr>
          <w:rFonts w:hint="cs"/>
          <w:rtl/>
          <w:lang w:bidi="ar-EG"/>
        </w:rPr>
        <w:t xml:space="preserve"> </w:t>
      </w:r>
      <w:r>
        <w:rPr>
          <w:rtl/>
          <w:lang w:bidi="ar-EG"/>
        </w:rPr>
        <w:t>"</w:t>
      </w:r>
      <w:r w:rsidR="000B7434" w:rsidRPr="00C53766">
        <w:rPr>
          <w:rFonts w:hint="cs"/>
          <w:rtl/>
          <w:lang w:bidi="ar-EG"/>
        </w:rPr>
        <w:t>الحركة الشعبية الثانية (2006)</w:t>
      </w:r>
      <w:r>
        <w:rPr>
          <w:rtl/>
          <w:lang w:bidi="ar-EG"/>
        </w:rPr>
        <w:t>"</w:t>
      </w:r>
      <w:r w:rsidR="000B7434" w:rsidRPr="00C53766">
        <w:rPr>
          <w:rFonts w:hint="cs"/>
          <w:rtl/>
          <w:lang w:bidi="ar-EG"/>
        </w:rPr>
        <w:t>. وفي تطور لاحق، سُمّيت 57 امرأة (من مجموع 330 مرشحة)، أي 17 في المائة من المجموع، للتعيين في المجلس التشريعي</w:t>
      </w:r>
      <w:r w:rsidR="002F5691">
        <w:rPr>
          <w:rFonts w:hint="cs"/>
          <w:rtl/>
          <w:lang w:bidi="ar-EG"/>
        </w:rPr>
        <w:t xml:space="preserve"> </w:t>
      </w:r>
      <w:r w:rsidR="000B7434" w:rsidRPr="00C53766">
        <w:rPr>
          <w:rFonts w:hint="cs"/>
          <w:rtl/>
          <w:lang w:bidi="ar-EG"/>
        </w:rPr>
        <w:t>- البرلمان المؤقت كأعضاء في البرلمان. وبالمثل، سميت أربع نساء لعضوية لجنة صياغة الدستور المؤقت عام 2007 المؤلفة من 16 عضواً. وأثناء الانتخابات للجمعية التأسيسية، أجرت اللجنة الانتخابية مشاورات مع الأحزاب السياسية والمجتمع المدني ووضعت قواعد لكفالة تمثيل المرأة في الجمعية التأسيسية بنسبة 33 في المائة من العضوية. والوضع الراهن للتمثيل النسائي في الجمعية التأسيسية هو</w:t>
      </w:r>
      <w:r w:rsidR="000B7434">
        <w:rPr>
          <w:rFonts w:hint="eastAsia"/>
          <w:rtl/>
          <w:lang w:bidi="ar-EG"/>
        </w:rPr>
        <w:t> </w:t>
      </w:r>
      <w:r w:rsidR="000B7434" w:rsidRPr="00C53766">
        <w:rPr>
          <w:rFonts w:hint="cs"/>
          <w:rtl/>
          <w:lang w:bidi="ar-EG"/>
        </w:rPr>
        <w:t xml:space="preserve">197 امرأة بين الأعضاء البالغ عددهم 601، ويمكن اعتبار ذلك إنجازاً هاماً في التعميم السياسي للمرأة ومشاركتها في عملية بناء السلام، وشكلت الجمعية التأسيسية 14 لجنة عاملة، بينما </w:t>
      </w:r>
      <w:r>
        <w:rPr>
          <w:rtl/>
          <w:lang w:bidi="ar-EG"/>
        </w:rPr>
        <w:t>"</w:t>
      </w:r>
      <w:r w:rsidR="000B7434" w:rsidRPr="00C53766">
        <w:rPr>
          <w:rFonts w:hint="cs"/>
          <w:rtl/>
          <w:lang w:bidi="ar-EG"/>
        </w:rPr>
        <w:t>لجنة شؤون المرأة والطفل والرعاية الاجتماعية</w:t>
      </w:r>
      <w:r>
        <w:rPr>
          <w:rtl/>
          <w:lang w:bidi="ar-EG"/>
        </w:rPr>
        <w:t>"</w:t>
      </w:r>
      <w:r w:rsidR="000B7434" w:rsidRPr="00C53766">
        <w:rPr>
          <w:rFonts w:hint="cs"/>
          <w:rtl/>
          <w:lang w:bidi="ar-EG"/>
        </w:rPr>
        <w:t>.</w:t>
      </w:r>
    </w:p>
    <w:p w:rsidR="000B7434" w:rsidRPr="00B87BF2" w:rsidRDefault="00D62BA8" w:rsidP="002F1301">
      <w:pPr>
        <w:pStyle w:val="SingleTxtGA"/>
        <w:rPr>
          <w:rFonts w:hint="cs"/>
          <w:spacing w:val="-2"/>
          <w:rtl/>
          <w:lang w:bidi="ar-EG"/>
        </w:rPr>
      </w:pPr>
      <w:r>
        <w:rPr>
          <w:rFonts w:hint="cs"/>
          <w:rtl/>
          <w:lang w:bidi="ar-EG"/>
        </w:rPr>
        <w:t>27-</w:t>
      </w:r>
      <w:r>
        <w:rPr>
          <w:rFonts w:hint="cs"/>
          <w:rtl/>
          <w:lang w:bidi="ar-EG"/>
        </w:rPr>
        <w:tab/>
        <w:t>ويُستخدم القراران 1325 و</w:t>
      </w:r>
      <w:r w:rsidR="000B7434" w:rsidRPr="00C53766">
        <w:rPr>
          <w:rFonts w:hint="cs"/>
          <w:rtl/>
          <w:lang w:bidi="ar-EG"/>
        </w:rPr>
        <w:t xml:space="preserve">1820 الصادران عن مجلس الأمن للأمم المتحدة في المضي قُدُماً بالعملية. وتشترك وزارة السلام والتعمير وصندوق الأمم المتحدة الإنمائي للمرأة في تنفيذ مشروع بعنوان </w:t>
      </w:r>
      <w:r>
        <w:rPr>
          <w:rtl/>
          <w:lang w:bidi="ar-EG"/>
        </w:rPr>
        <w:t>"</w:t>
      </w:r>
      <w:r w:rsidR="000B7434" w:rsidRPr="00C53766">
        <w:rPr>
          <w:rFonts w:hint="cs"/>
          <w:rtl/>
          <w:lang w:bidi="ar-EG"/>
        </w:rPr>
        <w:t>مبادرة بناء القدرات لزيادة مشاركة المرأة في الإدارة والسلام</w:t>
      </w:r>
      <w:r w:rsidR="000B7434">
        <w:rPr>
          <w:rFonts w:hint="eastAsia"/>
          <w:rtl/>
          <w:lang w:bidi="ar-EG"/>
        </w:rPr>
        <w:t> </w:t>
      </w:r>
      <w:r w:rsidR="000B7434" w:rsidRPr="00C53766">
        <w:rPr>
          <w:rFonts w:hint="cs"/>
          <w:rtl/>
          <w:lang w:bidi="ar-EG"/>
        </w:rPr>
        <w:t>والأمن</w:t>
      </w:r>
      <w:r>
        <w:rPr>
          <w:rtl/>
          <w:lang w:bidi="ar-EG"/>
        </w:rPr>
        <w:t>"</w:t>
      </w:r>
      <w:r w:rsidR="000B7434" w:rsidRPr="00C53766">
        <w:rPr>
          <w:rFonts w:hint="cs"/>
          <w:rtl/>
          <w:lang w:bidi="ar-EG"/>
        </w:rPr>
        <w:t xml:space="preserve">. وقد أعدت الوزارة ورقة مفاهيمية لوضع مبادئ توجيهية استراتيجية لكفالة وجود آليات حماية فعّالة للنساء والفتيات من جميع أشكال العنف، بما في ذلك العنف الجنسي، والمشاركة ذات المغزى للمرأة في العملية السلمية، بما فيها الفترة الانتقالية وفترة </w:t>
      </w:r>
      <w:r w:rsidR="00B87BF2">
        <w:rPr>
          <w:rFonts w:hint="cs"/>
          <w:rtl/>
          <w:lang w:bidi="ar-EG"/>
        </w:rPr>
        <w:t xml:space="preserve">      </w:t>
      </w:r>
      <w:r w:rsidR="000B7434" w:rsidRPr="00B87BF2">
        <w:rPr>
          <w:rFonts w:hint="cs"/>
          <w:spacing w:val="-2"/>
          <w:rtl/>
          <w:lang w:bidi="ar-EG"/>
        </w:rPr>
        <w:t>ما بعد</w:t>
      </w:r>
      <w:r w:rsidR="002F1301">
        <w:rPr>
          <w:rFonts w:hint="cs"/>
          <w:spacing w:val="-2"/>
          <w:rtl/>
          <w:lang w:bidi="ar-EG"/>
        </w:rPr>
        <w:t xml:space="preserve"> النـزاع</w:t>
      </w:r>
      <w:r w:rsidR="000B7434" w:rsidRPr="00B87BF2">
        <w:rPr>
          <w:rFonts w:hint="cs"/>
          <w:spacing w:val="-2"/>
          <w:rtl/>
          <w:lang w:bidi="ar-EG"/>
        </w:rPr>
        <w:t>. وق</w:t>
      </w:r>
      <w:r w:rsidR="008B03DA" w:rsidRPr="00B87BF2">
        <w:rPr>
          <w:rFonts w:hint="cs"/>
          <w:spacing w:val="-2"/>
          <w:rtl/>
          <w:lang w:bidi="ar-EG"/>
        </w:rPr>
        <w:t>د تُرجم قرارا مجلس الأمن 1325 و</w:t>
      </w:r>
      <w:r w:rsidR="000B7434" w:rsidRPr="00B87BF2">
        <w:rPr>
          <w:rFonts w:hint="cs"/>
          <w:spacing w:val="-2"/>
          <w:rtl/>
          <w:lang w:bidi="ar-EG"/>
        </w:rPr>
        <w:t>1820 كلاهما إلى اللغة النيبالية ونشرا بمناسبة اليوم الوطني الثاني لمكافحة الاتجار بالأشخاص، في أيلول/سبتمبر 2008</w:t>
      </w:r>
      <w:r w:rsidR="000B7434" w:rsidRPr="00B87BF2">
        <w:rPr>
          <w:spacing w:val="-2"/>
          <w:vertAlign w:val="superscript"/>
          <w:rtl/>
          <w:lang w:bidi="ar-EG"/>
        </w:rPr>
        <w:t>(</w:t>
      </w:r>
      <w:r w:rsidR="000B7434" w:rsidRPr="00B87BF2">
        <w:rPr>
          <w:rStyle w:val="FootnoteReference"/>
          <w:spacing w:val="-2"/>
          <w:rtl/>
        </w:rPr>
        <w:footnoteReference w:id="9"/>
      </w:r>
      <w:r w:rsidR="000B7434" w:rsidRPr="00B87BF2">
        <w:rPr>
          <w:spacing w:val="-2"/>
          <w:vertAlign w:val="superscript"/>
          <w:rtl/>
          <w:lang w:bidi="ar-EG"/>
        </w:rPr>
        <w:t>)</w:t>
      </w:r>
      <w:r w:rsidR="000B7434" w:rsidRPr="00B87BF2">
        <w:rPr>
          <w:rFonts w:hint="cs"/>
          <w:spacing w:val="-2"/>
          <w:rtl/>
          <w:lang w:bidi="ar-EG"/>
        </w:rPr>
        <w:t xml:space="preserve">، ويجري توزيعهما على نطاق واسع للتوعية بتأثير </w:t>
      </w:r>
      <w:r w:rsidR="002F1301">
        <w:rPr>
          <w:rFonts w:hint="cs"/>
          <w:spacing w:val="-2"/>
          <w:rtl/>
          <w:lang w:bidi="ar-EG"/>
        </w:rPr>
        <w:t xml:space="preserve">النزاع </w:t>
      </w:r>
      <w:r w:rsidR="000B7434" w:rsidRPr="00B87BF2">
        <w:rPr>
          <w:rFonts w:hint="cs"/>
          <w:spacing w:val="-2"/>
          <w:rtl/>
          <w:lang w:bidi="ar-EG"/>
        </w:rPr>
        <w:t xml:space="preserve">على المرأة. ويتضمن هذا المنشور معلومات عن تعرّض المرأة للاعتداء الجنسي أثناء </w:t>
      </w:r>
      <w:r w:rsidR="002F1301">
        <w:rPr>
          <w:rFonts w:hint="cs"/>
          <w:spacing w:val="-2"/>
          <w:rtl/>
          <w:lang w:bidi="ar-EG"/>
        </w:rPr>
        <w:t xml:space="preserve">النزاع </w:t>
      </w:r>
      <w:r w:rsidR="000B7434" w:rsidRPr="00B87BF2">
        <w:rPr>
          <w:rFonts w:hint="cs"/>
          <w:spacing w:val="-2"/>
          <w:rtl/>
          <w:lang w:bidi="ar-EG"/>
        </w:rPr>
        <w:t xml:space="preserve">وكذلك عن دور المرأة في حل </w:t>
      </w:r>
      <w:r w:rsidR="002F1301">
        <w:rPr>
          <w:rFonts w:hint="cs"/>
          <w:spacing w:val="-2"/>
          <w:rtl/>
          <w:lang w:bidi="ar-EG"/>
        </w:rPr>
        <w:t xml:space="preserve">النزاع </w:t>
      </w:r>
      <w:r w:rsidR="000B7434" w:rsidRPr="00B87BF2">
        <w:rPr>
          <w:rFonts w:hint="cs"/>
          <w:spacing w:val="-2"/>
          <w:rtl/>
          <w:lang w:bidi="ar-EG"/>
        </w:rPr>
        <w:t>وعملية بناء السلام. وبالإضافة إلى ذلك، تدير اللجنة الوطنية للمرأة برامج مختلفة لتنفيذ هذين القرارين بالتعاون مع المجتمع المدني وبدعم من صندوق الأمم المتحدة الإنمائي للمرأة.</w:t>
      </w:r>
    </w:p>
    <w:p w:rsidR="000B7434" w:rsidRPr="00C53766" w:rsidRDefault="00D62BA8" w:rsidP="00D62BA8">
      <w:pPr>
        <w:pStyle w:val="H1GA"/>
        <w:rPr>
          <w:rFonts w:hint="cs"/>
          <w:rtl/>
          <w:lang w:bidi="ar-EG"/>
        </w:rPr>
      </w:pPr>
      <w:r>
        <w:rPr>
          <w:rFonts w:hint="cs"/>
          <w:rtl/>
          <w:lang w:bidi="ar-EG"/>
        </w:rPr>
        <w:tab/>
      </w:r>
      <w:r>
        <w:rPr>
          <w:rFonts w:hint="cs"/>
          <w:rtl/>
          <w:lang w:bidi="ar-EG"/>
        </w:rPr>
        <w:tab/>
        <w:t>التعليم (الفقرتان 204 و</w:t>
      </w:r>
      <w:r w:rsidR="000B7434" w:rsidRPr="00C53766">
        <w:rPr>
          <w:rFonts w:hint="cs"/>
          <w:rtl/>
          <w:lang w:bidi="ar-EG"/>
        </w:rPr>
        <w:t>205 من التعليقات الختامية)</w:t>
      </w:r>
    </w:p>
    <w:p w:rsidR="000B7434" w:rsidRPr="00C53766" w:rsidRDefault="00D62BA8" w:rsidP="00D62BA8">
      <w:pPr>
        <w:pStyle w:val="SingleTxtGA"/>
        <w:rPr>
          <w:rFonts w:hint="cs"/>
          <w:rtl/>
          <w:lang w:bidi="ar-EG"/>
        </w:rPr>
      </w:pPr>
      <w:r>
        <w:rPr>
          <w:rFonts w:hint="cs"/>
          <w:rtl/>
          <w:lang w:bidi="ar-EG"/>
        </w:rPr>
        <w:t>28</w:t>
      </w:r>
      <w:r w:rsidR="000B7434" w:rsidRPr="00C53766">
        <w:rPr>
          <w:rFonts w:hint="cs"/>
          <w:rtl/>
          <w:lang w:bidi="ar-EG"/>
        </w:rPr>
        <w:t>-</w:t>
      </w:r>
      <w:r w:rsidR="000B7434" w:rsidRPr="00C53766">
        <w:rPr>
          <w:rFonts w:hint="cs"/>
          <w:rtl/>
          <w:lang w:bidi="ar-EG"/>
        </w:rPr>
        <w:tab/>
        <w:t>تضطلع وزارة التربية، إلى جانب سعيها إلى تنفيذ برامج التعليم في كافة أرجاء البلد بنشر التقارير المستكملة سنوياً، بما في ذلك البيانات المفصلة حسب الجنسين. وتوفر الأرقام التالية لمحة عن حالة التعليم في المجموعات الاجتماعية:</w:t>
      </w:r>
    </w:p>
    <w:p w:rsidR="000B7434" w:rsidRPr="00C53766" w:rsidRDefault="000B7434" w:rsidP="00D62BA8">
      <w:pPr>
        <w:pStyle w:val="SingleTxtGA"/>
        <w:spacing w:after="0"/>
        <w:rPr>
          <w:rFonts w:hint="cs"/>
          <w:rtl/>
          <w:lang w:bidi="ar-EG"/>
        </w:rPr>
      </w:pPr>
      <w:r w:rsidRPr="00C53766">
        <w:rPr>
          <w:rFonts w:hint="cs"/>
          <w:rtl/>
          <w:lang w:bidi="ar-EG"/>
        </w:rPr>
        <w:t>الجدول 2</w:t>
      </w:r>
    </w:p>
    <w:p w:rsidR="000B7434" w:rsidRPr="00D62BA8" w:rsidRDefault="000B7434" w:rsidP="00D62BA8">
      <w:pPr>
        <w:pStyle w:val="SingleTxtGA"/>
        <w:rPr>
          <w:rFonts w:hint="cs"/>
          <w:b/>
          <w:bCs/>
          <w:rtl/>
          <w:lang w:bidi="ar-EG"/>
        </w:rPr>
      </w:pPr>
      <w:r w:rsidRPr="00D62BA8">
        <w:rPr>
          <w:rFonts w:hint="cs"/>
          <w:b/>
          <w:bCs/>
          <w:rtl/>
          <w:lang w:bidi="ar-EG"/>
        </w:rPr>
        <w:t>الحصة من التسجيل في المستوى الابتدائي حسب المجموعات الاجتماعية</w:t>
      </w:r>
    </w:p>
    <w:tbl>
      <w:tblPr>
        <w:bidiVisual/>
        <w:tblW w:w="8343" w:type="dxa"/>
        <w:tblInd w:w="1267" w:type="dxa"/>
        <w:tblLayout w:type="fixed"/>
        <w:tblCellMar>
          <w:left w:w="0" w:type="dxa"/>
          <w:right w:w="0" w:type="dxa"/>
        </w:tblCellMar>
        <w:tblLook w:val="0000" w:firstRow="0" w:lastRow="0" w:firstColumn="0" w:lastColumn="0" w:noHBand="0" w:noVBand="0"/>
      </w:tblPr>
      <w:tblGrid>
        <w:gridCol w:w="1941"/>
        <w:gridCol w:w="1332"/>
        <w:gridCol w:w="1612"/>
        <w:gridCol w:w="1358"/>
        <w:gridCol w:w="2100"/>
      </w:tblGrid>
      <w:tr w:rsidR="000B7434" w:rsidRPr="0040413B" w:rsidTr="00D62BA8">
        <w:tblPrEx>
          <w:tblCellMar>
            <w:top w:w="0" w:type="dxa"/>
            <w:bottom w:w="0" w:type="dxa"/>
          </w:tblCellMar>
        </w:tblPrEx>
        <w:trPr>
          <w:cantSplit/>
          <w:tblHeader/>
        </w:trPr>
        <w:tc>
          <w:tcPr>
            <w:tcW w:w="1941" w:type="dxa"/>
            <w:tcBorders>
              <w:top w:val="single" w:sz="4" w:space="0" w:color="auto"/>
              <w:bottom w:val="single" w:sz="12" w:space="0" w:color="auto"/>
            </w:tcBorders>
            <w:shd w:val="clear" w:color="auto" w:fill="auto"/>
            <w:vAlign w:val="bottom"/>
          </w:tcPr>
          <w:p w:rsidR="000B7434" w:rsidRPr="0040413B" w:rsidRDefault="000B7434" w:rsidP="00D62BA8">
            <w:pPr>
              <w:spacing w:before="60" w:after="60" w:line="300" w:lineRule="exact"/>
              <w:ind w:left="57"/>
              <w:rPr>
                <w:rFonts w:hint="cs"/>
                <w:i/>
                <w:iCs/>
                <w:sz w:val="16"/>
                <w:szCs w:val="24"/>
                <w:rtl/>
                <w:lang w:bidi="ar-EG"/>
              </w:rPr>
            </w:pPr>
            <w:r w:rsidRPr="0040413B">
              <w:rPr>
                <w:rFonts w:hint="cs"/>
                <w:i/>
                <w:iCs/>
                <w:sz w:val="16"/>
                <w:szCs w:val="24"/>
                <w:rtl/>
                <w:lang w:bidi="ar-EG"/>
              </w:rPr>
              <w:t>المجموعة الاجتماعية</w:t>
            </w:r>
          </w:p>
        </w:tc>
        <w:tc>
          <w:tcPr>
            <w:tcW w:w="1332" w:type="dxa"/>
            <w:tcBorders>
              <w:top w:val="single" w:sz="4" w:space="0" w:color="auto"/>
              <w:bottom w:val="single" w:sz="12" w:space="0" w:color="auto"/>
            </w:tcBorders>
            <w:shd w:val="clear" w:color="auto" w:fill="auto"/>
            <w:vAlign w:val="bottom"/>
          </w:tcPr>
          <w:p w:rsidR="000B7434" w:rsidRPr="0040413B" w:rsidRDefault="000B7434" w:rsidP="00D62BA8">
            <w:pPr>
              <w:spacing w:before="60" w:after="60" w:line="300" w:lineRule="exact"/>
              <w:ind w:left="57"/>
              <w:rPr>
                <w:rFonts w:hint="cs"/>
                <w:i/>
                <w:iCs/>
                <w:sz w:val="16"/>
                <w:szCs w:val="24"/>
                <w:rtl/>
                <w:lang w:bidi="ar-EG"/>
              </w:rPr>
            </w:pPr>
            <w:r w:rsidRPr="0040413B">
              <w:rPr>
                <w:rFonts w:hint="cs"/>
                <w:i/>
                <w:iCs/>
                <w:sz w:val="16"/>
                <w:szCs w:val="24"/>
                <w:rtl/>
                <w:lang w:bidi="ar-EG"/>
              </w:rPr>
              <w:t>الفتيات</w:t>
            </w:r>
          </w:p>
        </w:tc>
        <w:tc>
          <w:tcPr>
            <w:tcW w:w="1612" w:type="dxa"/>
            <w:tcBorders>
              <w:top w:val="single" w:sz="4" w:space="0" w:color="auto"/>
              <w:bottom w:val="single" w:sz="12" w:space="0" w:color="auto"/>
            </w:tcBorders>
            <w:shd w:val="clear" w:color="auto" w:fill="auto"/>
            <w:vAlign w:val="bottom"/>
          </w:tcPr>
          <w:p w:rsidR="000B7434" w:rsidRPr="0040413B" w:rsidRDefault="000B7434" w:rsidP="00D62BA8">
            <w:pPr>
              <w:spacing w:before="60" w:after="60" w:line="300" w:lineRule="exact"/>
              <w:ind w:left="57"/>
              <w:rPr>
                <w:rFonts w:hint="cs"/>
                <w:i/>
                <w:iCs/>
                <w:sz w:val="16"/>
                <w:szCs w:val="24"/>
                <w:rtl/>
                <w:lang w:bidi="ar-EG"/>
              </w:rPr>
            </w:pPr>
            <w:r w:rsidRPr="0040413B">
              <w:rPr>
                <w:rFonts w:hint="cs"/>
                <w:i/>
                <w:iCs/>
                <w:sz w:val="16"/>
                <w:szCs w:val="24"/>
                <w:rtl/>
                <w:lang w:bidi="ar-EG"/>
              </w:rPr>
              <w:t>الأولاد</w:t>
            </w:r>
          </w:p>
        </w:tc>
        <w:tc>
          <w:tcPr>
            <w:tcW w:w="1358" w:type="dxa"/>
            <w:tcBorders>
              <w:top w:val="single" w:sz="4" w:space="0" w:color="auto"/>
              <w:bottom w:val="single" w:sz="12" w:space="0" w:color="auto"/>
            </w:tcBorders>
            <w:shd w:val="clear" w:color="auto" w:fill="auto"/>
            <w:vAlign w:val="bottom"/>
          </w:tcPr>
          <w:p w:rsidR="000B7434" w:rsidRPr="0040413B" w:rsidRDefault="000B7434" w:rsidP="00D62BA8">
            <w:pPr>
              <w:spacing w:before="60" w:after="60" w:line="300" w:lineRule="exact"/>
              <w:ind w:left="57"/>
              <w:rPr>
                <w:rFonts w:hint="cs"/>
                <w:i/>
                <w:iCs/>
                <w:sz w:val="16"/>
                <w:szCs w:val="24"/>
                <w:rtl/>
                <w:lang w:bidi="ar-EG"/>
              </w:rPr>
            </w:pPr>
            <w:r w:rsidRPr="0040413B">
              <w:rPr>
                <w:rFonts w:hint="cs"/>
                <w:i/>
                <w:iCs/>
                <w:sz w:val="16"/>
                <w:szCs w:val="24"/>
                <w:rtl/>
                <w:lang w:bidi="ar-EG"/>
              </w:rPr>
              <w:t>المجموع</w:t>
            </w:r>
          </w:p>
        </w:tc>
        <w:tc>
          <w:tcPr>
            <w:tcW w:w="2100" w:type="dxa"/>
            <w:tcBorders>
              <w:top w:val="single" w:sz="4" w:space="0" w:color="auto"/>
              <w:bottom w:val="single" w:sz="12" w:space="0" w:color="auto"/>
            </w:tcBorders>
            <w:shd w:val="clear" w:color="auto" w:fill="auto"/>
            <w:vAlign w:val="bottom"/>
          </w:tcPr>
          <w:p w:rsidR="000B7434" w:rsidRPr="0040413B" w:rsidRDefault="000B7434" w:rsidP="00D62BA8">
            <w:pPr>
              <w:spacing w:before="60" w:after="60" w:line="300" w:lineRule="exact"/>
              <w:ind w:left="57"/>
              <w:rPr>
                <w:rFonts w:hint="cs"/>
                <w:i/>
                <w:iCs/>
                <w:sz w:val="16"/>
                <w:szCs w:val="24"/>
                <w:rtl/>
                <w:lang w:bidi="ar-EG"/>
              </w:rPr>
            </w:pPr>
            <w:r w:rsidRPr="0040413B">
              <w:rPr>
                <w:rFonts w:hint="cs"/>
                <w:i/>
                <w:iCs/>
                <w:sz w:val="16"/>
                <w:szCs w:val="24"/>
                <w:rtl/>
                <w:lang w:bidi="ar-EG"/>
              </w:rPr>
              <w:t>النسبة المئوية من إجمالي التسجيل</w:t>
            </w:r>
          </w:p>
        </w:tc>
      </w:tr>
      <w:tr w:rsidR="000B7434" w:rsidRPr="0040413B" w:rsidTr="00D62BA8">
        <w:tblPrEx>
          <w:tblCellMar>
            <w:top w:w="0" w:type="dxa"/>
            <w:bottom w:w="0" w:type="dxa"/>
          </w:tblCellMar>
        </w:tblPrEx>
        <w:trPr>
          <w:cantSplit/>
        </w:trPr>
        <w:tc>
          <w:tcPr>
            <w:tcW w:w="1941" w:type="dxa"/>
            <w:shd w:val="clear" w:color="auto" w:fill="auto"/>
            <w:vAlign w:val="bottom"/>
          </w:tcPr>
          <w:p w:rsidR="000B7434" w:rsidRPr="0040413B" w:rsidRDefault="000B7434" w:rsidP="00D62BA8">
            <w:pPr>
              <w:spacing w:before="60" w:after="60" w:line="300" w:lineRule="exact"/>
              <w:ind w:left="57"/>
              <w:rPr>
                <w:rFonts w:hint="cs"/>
                <w:sz w:val="16"/>
                <w:szCs w:val="24"/>
                <w:rtl/>
                <w:lang w:bidi="ar-EG"/>
              </w:rPr>
            </w:pPr>
            <w:r w:rsidRPr="0040413B">
              <w:rPr>
                <w:rFonts w:hint="cs"/>
                <w:sz w:val="16"/>
                <w:szCs w:val="24"/>
                <w:rtl/>
                <w:lang w:bidi="ar-EG"/>
              </w:rPr>
              <w:t>المنبوذين (الداليت)</w:t>
            </w:r>
          </w:p>
        </w:tc>
        <w:tc>
          <w:tcPr>
            <w:tcW w:w="1332" w:type="dxa"/>
            <w:shd w:val="clear" w:color="auto" w:fill="auto"/>
            <w:vAlign w:val="bottom"/>
          </w:tcPr>
          <w:p w:rsidR="000B7434" w:rsidRPr="0040413B" w:rsidRDefault="000B7434" w:rsidP="00D62BA8">
            <w:pPr>
              <w:spacing w:before="60" w:after="60" w:line="300" w:lineRule="exact"/>
              <w:ind w:left="57"/>
              <w:rPr>
                <w:rFonts w:hint="cs"/>
                <w:sz w:val="16"/>
                <w:szCs w:val="24"/>
                <w:rtl/>
                <w:lang w:bidi="ar-EG"/>
              </w:rPr>
            </w:pPr>
            <w:r w:rsidRPr="0040413B">
              <w:rPr>
                <w:rFonts w:hint="cs"/>
                <w:sz w:val="16"/>
                <w:szCs w:val="24"/>
                <w:rtl/>
                <w:lang w:bidi="ar-EG"/>
              </w:rPr>
              <w:t>036 412</w:t>
            </w:r>
          </w:p>
        </w:tc>
        <w:tc>
          <w:tcPr>
            <w:tcW w:w="1612" w:type="dxa"/>
            <w:shd w:val="clear" w:color="auto" w:fill="auto"/>
            <w:vAlign w:val="bottom"/>
          </w:tcPr>
          <w:p w:rsidR="000B7434" w:rsidRPr="0040413B" w:rsidRDefault="000B7434" w:rsidP="00D62BA8">
            <w:pPr>
              <w:spacing w:before="60" w:after="60" w:line="300" w:lineRule="exact"/>
              <w:ind w:left="57"/>
              <w:rPr>
                <w:rFonts w:hint="cs"/>
                <w:sz w:val="16"/>
                <w:szCs w:val="24"/>
                <w:rtl/>
                <w:lang w:bidi="ar-EG"/>
              </w:rPr>
            </w:pPr>
            <w:r w:rsidRPr="0040413B">
              <w:rPr>
                <w:rFonts w:hint="cs"/>
                <w:sz w:val="16"/>
                <w:szCs w:val="24"/>
                <w:rtl/>
                <w:lang w:bidi="ar-EG"/>
              </w:rPr>
              <w:t>497 435</w:t>
            </w:r>
          </w:p>
        </w:tc>
        <w:tc>
          <w:tcPr>
            <w:tcW w:w="1358" w:type="dxa"/>
            <w:shd w:val="clear" w:color="auto" w:fill="auto"/>
            <w:vAlign w:val="bottom"/>
          </w:tcPr>
          <w:p w:rsidR="000B7434" w:rsidRPr="0040413B" w:rsidRDefault="000B7434" w:rsidP="00D62BA8">
            <w:pPr>
              <w:spacing w:before="60" w:after="60" w:line="300" w:lineRule="exact"/>
              <w:ind w:left="57"/>
              <w:rPr>
                <w:rFonts w:hint="cs"/>
                <w:sz w:val="16"/>
                <w:szCs w:val="24"/>
                <w:rtl/>
                <w:lang w:bidi="ar-EG"/>
              </w:rPr>
            </w:pPr>
            <w:r w:rsidRPr="0040413B">
              <w:rPr>
                <w:rFonts w:hint="cs"/>
                <w:sz w:val="16"/>
                <w:szCs w:val="24"/>
                <w:rtl/>
                <w:lang w:bidi="ar-EG"/>
              </w:rPr>
              <w:t>412 847</w:t>
            </w:r>
          </w:p>
        </w:tc>
        <w:tc>
          <w:tcPr>
            <w:tcW w:w="2100" w:type="dxa"/>
            <w:shd w:val="clear" w:color="auto" w:fill="auto"/>
            <w:vAlign w:val="bottom"/>
          </w:tcPr>
          <w:p w:rsidR="000B7434" w:rsidRPr="0040413B" w:rsidRDefault="000B7434" w:rsidP="00D62BA8">
            <w:pPr>
              <w:spacing w:before="60" w:after="60" w:line="300" w:lineRule="exact"/>
              <w:ind w:left="57"/>
              <w:rPr>
                <w:rFonts w:hint="cs"/>
                <w:sz w:val="16"/>
                <w:szCs w:val="24"/>
                <w:rtl/>
                <w:lang w:bidi="ar-EG"/>
              </w:rPr>
            </w:pPr>
            <w:r w:rsidRPr="0040413B">
              <w:rPr>
                <w:rFonts w:hint="cs"/>
                <w:sz w:val="16"/>
                <w:szCs w:val="24"/>
                <w:rtl/>
                <w:lang w:bidi="ar-EG"/>
              </w:rPr>
              <w:t>19.2</w:t>
            </w:r>
          </w:p>
        </w:tc>
      </w:tr>
      <w:tr w:rsidR="000B7434" w:rsidRPr="0040413B" w:rsidTr="00D62BA8">
        <w:tblPrEx>
          <w:tblCellMar>
            <w:top w:w="0" w:type="dxa"/>
            <w:bottom w:w="0" w:type="dxa"/>
          </w:tblCellMar>
        </w:tblPrEx>
        <w:trPr>
          <w:cantSplit/>
        </w:trPr>
        <w:tc>
          <w:tcPr>
            <w:tcW w:w="1941" w:type="dxa"/>
            <w:shd w:val="clear" w:color="auto" w:fill="auto"/>
            <w:vAlign w:val="bottom"/>
          </w:tcPr>
          <w:p w:rsidR="000B7434" w:rsidRPr="0040413B" w:rsidRDefault="000B7434" w:rsidP="00D62BA8">
            <w:pPr>
              <w:spacing w:before="60" w:after="60" w:line="300" w:lineRule="exact"/>
              <w:ind w:left="57"/>
              <w:rPr>
                <w:rFonts w:hint="cs"/>
                <w:sz w:val="16"/>
                <w:szCs w:val="24"/>
                <w:rtl/>
                <w:lang w:bidi="ar-EG"/>
              </w:rPr>
            </w:pPr>
            <w:r w:rsidRPr="0040413B">
              <w:rPr>
                <w:rFonts w:hint="cs"/>
                <w:sz w:val="16"/>
                <w:szCs w:val="24"/>
                <w:rtl/>
                <w:lang w:bidi="ar-EG"/>
              </w:rPr>
              <w:t>الجانَجاتي (عرقية)</w:t>
            </w:r>
          </w:p>
        </w:tc>
        <w:tc>
          <w:tcPr>
            <w:tcW w:w="1332" w:type="dxa"/>
            <w:shd w:val="clear" w:color="auto" w:fill="auto"/>
            <w:vAlign w:val="bottom"/>
          </w:tcPr>
          <w:p w:rsidR="000B7434" w:rsidRPr="0040413B" w:rsidRDefault="000B7434" w:rsidP="00D62BA8">
            <w:pPr>
              <w:spacing w:before="60" w:after="60" w:line="300" w:lineRule="exact"/>
              <w:ind w:left="57"/>
              <w:rPr>
                <w:rFonts w:hint="cs"/>
                <w:sz w:val="16"/>
                <w:szCs w:val="24"/>
                <w:rtl/>
                <w:lang w:bidi="ar-EG"/>
              </w:rPr>
            </w:pPr>
            <w:r w:rsidRPr="0040413B">
              <w:rPr>
                <w:rFonts w:hint="cs"/>
                <w:sz w:val="16"/>
                <w:szCs w:val="24"/>
                <w:rtl/>
                <w:lang w:bidi="ar-EG"/>
              </w:rPr>
              <w:t xml:space="preserve">389 </w:t>
            </w:r>
            <w:r w:rsidR="002F5691">
              <w:rPr>
                <w:rFonts w:hint="cs"/>
                <w:sz w:val="16"/>
                <w:szCs w:val="24"/>
                <w:rtl/>
                <w:lang w:bidi="ar-EG"/>
              </w:rPr>
              <w:t>89</w:t>
            </w:r>
            <w:r w:rsidRPr="0040413B">
              <w:rPr>
                <w:rFonts w:hint="cs"/>
                <w:sz w:val="16"/>
                <w:szCs w:val="24"/>
                <w:rtl/>
                <w:lang w:bidi="ar-EG"/>
              </w:rPr>
              <w:t>6</w:t>
            </w:r>
          </w:p>
        </w:tc>
        <w:tc>
          <w:tcPr>
            <w:tcW w:w="1612" w:type="dxa"/>
            <w:shd w:val="clear" w:color="auto" w:fill="auto"/>
            <w:vAlign w:val="bottom"/>
          </w:tcPr>
          <w:p w:rsidR="000B7434" w:rsidRPr="0040413B" w:rsidRDefault="000B7434" w:rsidP="00D62BA8">
            <w:pPr>
              <w:spacing w:before="60" w:after="60" w:line="300" w:lineRule="exact"/>
              <w:ind w:left="57"/>
              <w:rPr>
                <w:rFonts w:hint="cs"/>
                <w:sz w:val="16"/>
                <w:szCs w:val="24"/>
                <w:rtl/>
                <w:lang w:bidi="ar-EG"/>
              </w:rPr>
            </w:pPr>
            <w:r w:rsidRPr="0040413B">
              <w:rPr>
                <w:rFonts w:hint="cs"/>
                <w:sz w:val="16"/>
                <w:szCs w:val="24"/>
                <w:rtl/>
                <w:lang w:bidi="ar-EG"/>
              </w:rPr>
              <w:t>772 911</w:t>
            </w:r>
          </w:p>
        </w:tc>
        <w:tc>
          <w:tcPr>
            <w:tcW w:w="1358" w:type="dxa"/>
            <w:shd w:val="clear" w:color="auto" w:fill="auto"/>
            <w:vAlign w:val="bottom"/>
          </w:tcPr>
          <w:p w:rsidR="000B7434" w:rsidRPr="0040413B" w:rsidRDefault="000B7434" w:rsidP="00D62BA8">
            <w:pPr>
              <w:spacing w:before="60" w:after="60" w:line="300" w:lineRule="exact"/>
              <w:ind w:left="57"/>
              <w:rPr>
                <w:rFonts w:hint="cs"/>
                <w:sz w:val="16"/>
                <w:szCs w:val="24"/>
                <w:rtl/>
                <w:lang w:bidi="ar-EG"/>
              </w:rPr>
            </w:pPr>
            <w:r w:rsidRPr="0040413B">
              <w:rPr>
                <w:rFonts w:hint="cs"/>
                <w:sz w:val="16"/>
                <w:szCs w:val="24"/>
                <w:rtl/>
                <w:lang w:bidi="ar-EG"/>
              </w:rPr>
              <w:t>931 807 1</w:t>
            </w:r>
          </w:p>
        </w:tc>
        <w:tc>
          <w:tcPr>
            <w:tcW w:w="2100" w:type="dxa"/>
            <w:shd w:val="clear" w:color="auto" w:fill="auto"/>
            <w:vAlign w:val="bottom"/>
          </w:tcPr>
          <w:p w:rsidR="000B7434" w:rsidRPr="0040413B" w:rsidRDefault="000B7434" w:rsidP="00D62BA8">
            <w:pPr>
              <w:spacing w:before="60" w:after="60" w:line="300" w:lineRule="exact"/>
              <w:ind w:left="57"/>
              <w:rPr>
                <w:rFonts w:hint="cs"/>
                <w:sz w:val="16"/>
                <w:szCs w:val="24"/>
                <w:rtl/>
                <w:lang w:bidi="ar-EG"/>
              </w:rPr>
            </w:pPr>
            <w:r w:rsidRPr="0040413B">
              <w:rPr>
                <w:rFonts w:hint="cs"/>
                <w:sz w:val="16"/>
                <w:szCs w:val="24"/>
                <w:rtl/>
                <w:lang w:bidi="ar-EG"/>
              </w:rPr>
              <w:t>40.9</w:t>
            </w:r>
          </w:p>
        </w:tc>
      </w:tr>
      <w:tr w:rsidR="000B7434" w:rsidRPr="0040413B" w:rsidTr="00D62BA8">
        <w:tblPrEx>
          <w:tblCellMar>
            <w:top w:w="0" w:type="dxa"/>
            <w:bottom w:w="0" w:type="dxa"/>
          </w:tblCellMar>
        </w:tblPrEx>
        <w:trPr>
          <w:cantSplit/>
        </w:trPr>
        <w:tc>
          <w:tcPr>
            <w:tcW w:w="1941" w:type="dxa"/>
            <w:tcBorders>
              <w:bottom w:val="single" w:sz="4" w:space="0" w:color="auto"/>
            </w:tcBorders>
            <w:shd w:val="clear" w:color="auto" w:fill="auto"/>
            <w:vAlign w:val="bottom"/>
          </w:tcPr>
          <w:p w:rsidR="000B7434" w:rsidRPr="0040413B" w:rsidRDefault="000B7434" w:rsidP="00D62BA8">
            <w:pPr>
              <w:spacing w:before="60" w:after="60" w:line="300" w:lineRule="exact"/>
              <w:ind w:left="57"/>
              <w:rPr>
                <w:rFonts w:hint="cs"/>
                <w:sz w:val="16"/>
                <w:szCs w:val="24"/>
                <w:rtl/>
                <w:lang w:bidi="ar-EG"/>
              </w:rPr>
            </w:pPr>
            <w:r w:rsidRPr="0040413B">
              <w:rPr>
                <w:rFonts w:hint="cs"/>
                <w:sz w:val="16"/>
                <w:szCs w:val="24"/>
                <w:rtl/>
                <w:lang w:bidi="ar-EG"/>
              </w:rPr>
              <w:t>الطوائف الأخرى</w:t>
            </w:r>
          </w:p>
        </w:tc>
        <w:tc>
          <w:tcPr>
            <w:tcW w:w="1332" w:type="dxa"/>
            <w:tcBorders>
              <w:bottom w:val="single" w:sz="4" w:space="0" w:color="auto"/>
            </w:tcBorders>
            <w:shd w:val="clear" w:color="auto" w:fill="auto"/>
            <w:vAlign w:val="bottom"/>
          </w:tcPr>
          <w:p w:rsidR="000B7434" w:rsidRPr="0040413B" w:rsidRDefault="000B7434" w:rsidP="00D62BA8">
            <w:pPr>
              <w:spacing w:before="60" w:after="60" w:line="300" w:lineRule="exact"/>
              <w:ind w:left="57"/>
              <w:rPr>
                <w:rFonts w:hint="cs"/>
                <w:sz w:val="16"/>
                <w:szCs w:val="24"/>
                <w:rtl/>
                <w:lang w:bidi="ar-EG"/>
              </w:rPr>
            </w:pPr>
            <w:r w:rsidRPr="0040413B">
              <w:rPr>
                <w:rFonts w:hint="cs"/>
                <w:sz w:val="16"/>
                <w:szCs w:val="24"/>
                <w:rtl/>
                <w:lang w:bidi="ar-EG"/>
              </w:rPr>
              <w:t>338 851</w:t>
            </w:r>
          </w:p>
        </w:tc>
        <w:tc>
          <w:tcPr>
            <w:tcW w:w="1612" w:type="dxa"/>
            <w:tcBorders>
              <w:bottom w:val="single" w:sz="4" w:space="0" w:color="auto"/>
            </w:tcBorders>
            <w:shd w:val="clear" w:color="auto" w:fill="auto"/>
            <w:vAlign w:val="bottom"/>
          </w:tcPr>
          <w:p w:rsidR="000B7434" w:rsidRPr="0040413B" w:rsidRDefault="000B7434" w:rsidP="00D62BA8">
            <w:pPr>
              <w:spacing w:before="60" w:after="60" w:line="300" w:lineRule="exact"/>
              <w:ind w:left="57"/>
              <w:rPr>
                <w:rFonts w:hint="cs"/>
                <w:sz w:val="16"/>
                <w:szCs w:val="24"/>
                <w:rtl/>
                <w:lang w:bidi="ar-EG"/>
              </w:rPr>
            </w:pPr>
            <w:r w:rsidRPr="0040413B">
              <w:rPr>
                <w:rFonts w:hint="cs"/>
                <w:sz w:val="16"/>
                <w:szCs w:val="24"/>
                <w:rtl/>
                <w:lang w:bidi="ar-EG"/>
              </w:rPr>
              <w:t>681 911</w:t>
            </w:r>
          </w:p>
        </w:tc>
        <w:tc>
          <w:tcPr>
            <w:tcW w:w="1358" w:type="dxa"/>
            <w:tcBorders>
              <w:bottom w:val="single" w:sz="4" w:space="0" w:color="auto"/>
            </w:tcBorders>
            <w:shd w:val="clear" w:color="auto" w:fill="auto"/>
            <w:vAlign w:val="bottom"/>
          </w:tcPr>
          <w:p w:rsidR="000B7434" w:rsidRPr="0040413B" w:rsidRDefault="000B7434" w:rsidP="00D62BA8">
            <w:pPr>
              <w:spacing w:before="60" w:after="60" w:line="300" w:lineRule="exact"/>
              <w:ind w:left="57"/>
              <w:rPr>
                <w:rFonts w:hint="cs"/>
                <w:sz w:val="16"/>
                <w:szCs w:val="24"/>
                <w:rtl/>
                <w:lang w:bidi="ar-EG"/>
              </w:rPr>
            </w:pPr>
            <w:r w:rsidRPr="0040413B">
              <w:rPr>
                <w:rFonts w:hint="cs"/>
                <w:sz w:val="16"/>
                <w:szCs w:val="24"/>
                <w:rtl/>
                <w:lang w:bidi="ar-EG"/>
              </w:rPr>
              <w:t>370 763 1</w:t>
            </w:r>
          </w:p>
        </w:tc>
        <w:tc>
          <w:tcPr>
            <w:tcW w:w="2100" w:type="dxa"/>
            <w:tcBorders>
              <w:bottom w:val="single" w:sz="4" w:space="0" w:color="auto"/>
            </w:tcBorders>
            <w:shd w:val="clear" w:color="auto" w:fill="auto"/>
            <w:vAlign w:val="bottom"/>
          </w:tcPr>
          <w:p w:rsidR="000B7434" w:rsidRPr="0040413B" w:rsidRDefault="00993385" w:rsidP="00D62BA8">
            <w:pPr>
              <w:spacing w:before="60" w:after="60" w:line="300" w:lineRule="exact"/>
              <w:ind w:left="57"/>
              <w:rPr>
                <w:rFonts w:hint="cs"/>
                <w:sz w:val="16"/>
                <w:szCs w:val="24"/>
                <w:rtl/>
                <w:lang w:bidi="ar-EG"/>
              </w:rPr>
            </w:pPr>
            <w:r>
              <w:rPr>
                <w:rFonts w:hint="cs"/>
                <w:sz w:val="16"/>
                <w:szCs w:val="24"/>
                <w:rtl/>
                <w:lang w:bidi="ar-EG"/>
              </w:rPr>
              <w:t>39.9</w:t>
            </w:r>
          </w:p>
        </w:tc>
      </w:tr>
      <w:tr w:rsidR="000B7434" w:rsidRPr="007546CF" w:rsidTr="00D62BA8">
        <w:tblPrEx>
          <w:tblCellMar>
            <w:top w:w="0" w:type="dxa"/>
            <w:bottom w:w="0" w:type="dxa"/>
          </w:tblCellMar>
        </w:tblPrEx>
        <w:trPr>
          <w:cantSplit/>
        </w:trPr>
        <w:tc>
          <w:tcPr>
            <w:tcW w:w="1941" w:type="dxa"/>
            <w:tcBorders>
              <w:top w:val="single" w:sz="4" w:space="0" w:color="auto"/>
              <w:bottom w:val="single" w:sz="12" w:space="0" w:color="auto"/>
            </w:tcBorders>
            <w:shd w:val="clear" w:color="auto" w:fill="auto"/>
            <w:vAlign w:val="bottom"/>
          </w:tcPr>
          <w:p w:rsidR="000B7434" w:rsidRPr="007546CF" w:rsidRDefault="00D62BA8" w:rsidP="00D62BA8">
            <w:pPr>
              <w:tabs>
                <w:tab w:val="left" w:pos="466"/>
              </w:tabs>
              <w:spacing w:before="60" w:after="60" w:line="300" w:lineRule="exact"/>
              <w:ind w:left="57"/>
              <w:rPr>
                <w:rFonts w:hint="cs"/>
                <w:bCs/>
                <w:sz w:val="16"/>
                <w:szCs w:val="24"/>
                <w:rtl/>
                <w:lang w:bidi="ar-EG"/>
              </w:rPr>
            </w:pPr>
            <w:r>
              <w:rPr>
                <w:bCs/>
                <w:sz w:val="16"/>
                <w:szCs w:val="24"/>
                <w:rtl/>
                <w:lang w:bidi="ar-EG"/>
              </w:rPr>
              <w:tab/>
            </w:r>
            <w:r w:rsidR="000B7434" w:rsidRPr="007546CF">
              <w:rPr>
                <w:rFonts w:hint="cs"/>
                <w:bCs/>
                <w:sz w:val="16"/>
                <w:szCs w:val="24"/>
                <w:rtl/>
                <w:lang w:bidi="ar-EG"/>
              </w:rPr>
              <w:t>المجموع</w:t>
            </w:r>
          </w:p>
        </w:tc>
        <w:tc>
          <w:tcPr>
            <w:tcW w:w="1332" w:type="dxa"/>
            <w:tcBorders>
              <w:top w:val="single" w:sz="4" w:space="0" w:color="auto"/>
              <w:bottom w:val="single" w:sz="12" w:space="0" w:color="auto"/>
            </w:tcBorders>
            <w:shd w:val="clear" w:color="auto" w:fill="auto"/>
            <w:vAlign w:val="bottom"/>
          </w:tcPr>
          <w:p w:rsidR="000B7434" w:rsidRPr="007546CF" w:rsidRDefault="000B7434" w:rsidP="00D62BA8">
            <w:pPr>
              <w:spacing w:before="60" w:after="60" w:line="300" w:lineRule="exact"/>
              <w:ind w:left="57"/>
              <w:rPr>
                <w:rFonts w:hint="cs"/>
                <w:bCs/>
                <w:sz w:val="16"/>
                <w:szCs w:val="24"/>
                <w:rtl/>
                <w:lang w:bidi="ar-EG"/>
              </w:rPr>
            </w:pPr>
            <w:r w:rsidRPr="007546CF">
              <w:rPr>
                <w:rFonts w:hint="cs"/>
                <w:bCs/>
                <w:sz w:val="16"/>
                <w:szCs w:val="24"/>
                <w:rtl/>
                <w:lang w:bidi="ar-EG"/>
              </w:rPr>
              <w:t>763 159 2</w:t>
            </w:r>
          </w:p>
        </w:tc>
        <w:tc>
          <w:tcPr>
            <w:tcW w:w="1612" w:type="dxa"/>
            <w:tcBorders>
              <w:top w:val="single" w:sz="4" w:space="0" w:color="auto"/>
              <w:bottom w:val="single" w:sz="12" w:space="0" w:color="auto"/>
            </w:tcBorders>
            <w:shd w:val="clear" w:color="auto" w:fill="auto"/>
            <w:vAlign w:val="bottom"/>
          </w:tcPr>
          <w:p w:rsidR="000B7434" w:rsidRPr="007546CF" w:rsidRDefault="000B7434" w:rsidP="00D62BA8">
            <w:pPr>
              <w:spacing w:before="60" w:after="60" w:line="300" w:lineRule="exact"/>
              <w:ind w:left="57"/>
              <w:rPr>
                <w:rFonts w:hint="cs"/>
                <w:bCs/>
                <w:sz w:val="16"/>
                <w:szCs w:val="24"/>
                <w:rtl/>
                <w:lang w:bidi="ar-EG"/>
              </w:rPr>
            </w:pPr>
            <w:r w:rsidRPr="007546CF">
              <w:rPr>
                <w:rFonts w:hint="cs"/>
                <w:bCs/>
                <w:sz w:val="16"/>
                <w:szCs w:val="24"/>
                <w:rtl/>
                <w:lang w:bidi="ar-EG"/>
              </w:rPr>
              <w:t>950 258 2</w:t>
            </w:r>
          </w:p>
        </w:tc>
        <w:tc>
          <w:tcPr>
            <w:tcW w:w="1358" w:type="dxa"/>
            <w:tcBorders>
              <w:top w:val="single" w:sz="4" w:space="0" w:color="auto"/>
              <w:bottom w:val="single" w:sz="12" w:space="0" w:color="auto"/>
            </w:tcBorders>
            <w:shd w:val="clear" w:color="auto" w:fill="auto"/>
            <w:vAlign w:val="bottom"/>
          </w:tcPr>
          <w:p w:rsidR="000B7434" w:rsidRPr="007546CF" w:rsidRDefault="000B7434" w:rsidP="00D62BA8">
            <w:pPr>
              <w:spacing w:before="60" w:after="60" w:line="300" w:lineRule="exact"/>
              <w:ind w:left="57"/>
              <w:rPr>
                <w:rFonts w:hint="cs"/>
                <w:bCs/>
                <w:sz w:val="16"/>
                <w:szCs w:val="24"/>
                <w:rtl/>
                <w:lang w:bidi="ar-EG"/>
              </w:rPr>
            </w:pPr>
            <w:r w:rsidRPr="007546CF">
              <w:rPr>
                <w:rFonts w:hint="cs"/>
                <w:bCs/>
                <w:sz w:val="16"/>
                <w:szCs w:val="24"/>
                <w:rtl/>
                <w:lang w:bidi="ar-EG"/>
              </w:rPr>
              <w:t>713 418 4</w:t>
            </w:r>
          </w:p>
        </w:tc>
        <w:tc>
          <w:tcPr>
            <w:tcW w:w="2100" w:type="dxa"/>
            <w:tcBorders>
              <w:top w:val="single" w:sz="4" w:space="0" w:color="auto"/>
              <w:bottom w:val="single" w:sz="12" w:space="0" w:color="auto"/>
            </w:tcBorders>
            <w:shd w:val="clear" w:color="auto" w:fill="auto"/>
            <w:vAlign w:val="bottom"/>
          </w:tcPr>
          <w:p w:rsidR="000B7434" w:rsidRPr="007546CF" w:rsidRDefault="000B7434" w:rsidP="00D62BA8">
            <w:pPr>
              <w:spacing w:before="60" w:after="60" w:line="300" w:lineRule="exact"/>
              <w:ind w:left="57"/>
              <w:rPr>
                <w:rFonts w:hint="cs"/>
                <w:bCs/>
                <w:sz w:val="16"/>
                <w:szCs w:val="24"/>
                <w:rtl/>
                <w:lang w:bidi="ar-EG"/>
              </w:rPr>
            </w:pPr>
            <w:r w:rsidRPr="007546CF">
              <w:rPr>
                <w:rFonts w:hint="cs"/>
                <w:bCs/>
                <w:sz w:val="16"/>
                <w:szCs w:val="24"/>
                <w:rtl/>
                <w:lang w:bidi="ar-EG"/>
              </w:rPr>
              <w:t>100</w:t>
            </w:r>
          </w:p>
        </w:tc>
      </w:tr>
    </w:tbl>
    <w:p w:rsidR="000B7434" w:rsidRPr="00C53766" w:rsidRDefault="00D62BA8" w:rsidP="00B87BF2">
      <w:pPr>
        <w:pStyle w:val="SingleTxtGA"/>
        <w:spacing w:before="240"/>
        <w:rPr>
          <w:rFonts w:hint="cs"/>
          <w:rtl/>
          <w:lang w:bidi="ar-EG"/>
        </w:rPr>
      </w:pPr>
      <w:r>
        <w:rPr>
          <w:rFonts w:hint="cs"/>
          <w:rtl/>
          <w:lang w:bidi="ar-EG"/>
        </w:rPr>
        <w:t>29</w:t>
      </w:r>
      <w:r w:rsidR="000B7434" w:rsidRPr="00C53766">
        <w:rPr>
          <w:rFonts w:hint="cs"/>
          <w:rtl/>
          <w:lang w:bidi="ar-EG"/>
        </w:rPr>
        <w:t>-</w:t>
      </w:r>
      <w:r w:rsidR="000B7434" w:rsidRPr="00C53766">
        <w:rPr>
          <w:rFonts w:hint="cs"/>
          <w:rtl/>
          <w:lang w:bidi="ar-EG"/>
        </w:rPr>
        <w:tab/>
        <w:t>ويوفر التقرير السريع لعام 2007 معلومات مفصلة عن التلاميذ، والمدارس والمدرسين، بما في ذلك رصد وتقييم نظام التعليم منذ عام 2004. وغرضه الرئيسي هو</w:t>
      </w:r>
      <w:r w:rsidR="00B87BF2">
        <w:rPr>
          <w:rFonts w:hint="cs"/>
          <w:rtl/>
          <w:lang w:bidi="ar-EG"/>
        </w:rPr>
        <w:t xml:space="preserve">     </w:t>
      </w:r>
      <w:r w:rsidR="000B7434" w:rsidRPr="00C53766">
        <w:rPr>
          <w:rFonts w:hint="cs"/>
          <w:rtl/>
          <w:lang w:bidi="ar-EG"/>
        </w:rPr>
        <w:t xml:space="preserve">توفير المعلومات عن حالة التعليم الراهنة على المستوى الوطني ومستوى المقاطعة من حيث يسر الحصول عليه، والكفاءة، والجودة ومؤشرات الإنصاف في توفير التعليم للجميع </w:t>
      </w:r>
      <w:r w:rsidR="00B87BF2">
        <w:rPr>
          <w:rFonts w:hint="cs"/>
          <w:rtl/>
          <w:lang w:bidi="ar-EG"/>
        </w:rPr>
        <w:t xml:space="preserve">       </w:t>
      </w:r>
      <w:r w:rsidR="000B7434" w:rsidRPr="00C53766">
        <w:rPr>
          <w:rFonts w:hint="cs"/>
          <w:rtl/>
          <w:lang w:bidi="ar-EG"/>
        </w:rPr>
        <w:t xml:space="preserve">بحلول عام 2015 (وفق المذكور في التقرير السابق) ولا سيما فيما يتعلق بإجمالي معدل الالتحاق بالمدارس وصافي معدل الالتحاق في مستويات الحضانة، والابتدائي، والإعدادي، والثانوي من التعليم، حسب كل من الجنسين، والإقليم الإيكولوجي، والمعدلات إلخ. </w:t>
      </w:r>
      <w:r w:rsidR="00B87BF2">
        <w:rPr>
          <w:rFonts w:hint="cs"/>
          <w:rtl/>
          <w:lang w:bidi="ar-EG"/>
        </w:rPr>
        <w:t xml:space="preserve">      </w:t>
      </w:r>
      <w:r w:rsidR="000B7434" w:rsidRPr="00C53766">
        <w:rPr>
          <w:rFonts w:hint="cs"/>
          <w:rtl/>
          <w:lang w:bidi="ar-EG"/>
        </w:rPr>
        <w:t>وفيما يلي بعض من المعلومات ذات الصلة:</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مؤشر التكافؤ بين الجنسين في النسبة المئوية للالتحاق بالمستوى الابتدائي هو 0.96 (وفق المبين في الجدول 2 أعلاه)؛</w:t>
      </w:r>
    </w:p>
    <w:p w:rsidR="000B7434" w:rsidRPr="00B87BF2" w:rsidRDefault="000B7434" w:rsidP="008B03DA">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إجمالي معدل الالتحاق وصافي معدل الالتحاق في المستوى الابتدائي هو 138.5 و89.1 في السنة المدرسية 2007-2008، بهذا الترتيب؛</w:t>
      </w:r>
    </w:p>
    <w:p w:rsidR="000B7434" w:rsidRPr="00B87BF2" w:rsidRDefault="000B7434" w:rsidP="008B03DA">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إجمالي معدل الالتحاق العام بالمستوى الابتدائي البالغ 138.5 في المائة</w:t>
      </w:r>
      <w:r w:rsidR="008B03DA" w:rsidRPr="00B87BF2">
        <w:rPr>
          <w:rFonts w:hint="cs"/>
          <w:w w:val="100"/>
          <w:kern w:val="0"/>
          <w:rtl/>
          <w:lang w:bidi="ar-EG"/>
        </w:rPr>
        <w:t>، بين 139.6 في المائة للفتيات و</w:t>
      </w:r>
      <w:r w:rsidRPr="00B87BF2">
        <w:rPr>
          <w:rFonts w:hint="cs"/>
          <w:w w:val="100"/>
          <w:kern w:val="0"/>
          <w:rtl/>
          <w:lang w:bidi="ar-EG"/>
        </w:rPr>
        <w:t>137.6 في المائة للأولاد، يظهر ارتفاعاً طفيفاً في</w:t>
      </w:r>
      <w:r w:rsidRPr="00B87BF2">
        <w:rPr>
          <w:rFonts w:hint="eastAsia"/>
          <w:w w:val="100"/>
          <w:kern w:val="0"/>
          <w:rtl/>
          <w:lang w:bidi="ar-EG"/>
        </w:rPr>
        <w:t> </w:t>
      </w:r>
      <w:r w:rsidRPr="00B87BF2">
        <w:rPr>
          <w:rFonts w:hint="cs"/>
          <w:w w:val="100"/>
          <w:kern w:val="0"/>
          <w:rtl/>
          <w:lang w:bidi="ar-EG"/>
        </w:rPr>
        <w:t xml:space="preserve">التحاق الفتيات وهبوطاً في </w:t>
      </w:r>
      <w:r w:rsidR="00D62BA8" w:rsidRPr="00B87BF2">
        <w:rPr>
          <w:rFonts w:hint="cs"/>
          <w:w w:val="100"/>
          <w:kern w:val="0"/>
          <w:rtl/>
          <w:lang w:bidi="ar-EG"/>
        </w:rPr>
        <w:t>ا</w:t>
      </w:r>
      <w:r w:rsidRPr="00B87BF2">
        <w:rPr>
          <w:rFonts w:hint="cs"/>
          <w:w w:val="100"/>
          <w:kern w:val="0"/>
          <w:rtl/>
          <w:lang w:bidi="ar-EG"/>
        </w:rPr>
        <w:t>لتحاق للأولاد عن السنة السابقة لذلك، كما أن التقرير السريع رقم 1، في السنة المدرسية 2007-2008، يسجل أن متوسط إجمالي معدل الالتحاق في الفصل الأول كان 145.2، بين 146.1 للفتيات و144.4 للأولاد</w:t>
      </w:r>
      <w:r w:rsidR="00D62BA8" w:rsidRPr="00B87BF2">
        <w:rPr>
          <w:rFonts w:hint="cs"/>
          <w:w w:val="100"/>
          <w:kern w:val="0"/>
          <w:rtl/>
          <w:lang w:bidi="ar-EG"/>
        </w:rPr>
        <w:t>؛</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حصة التحاق الفتيات بالمستوى الابتدائي هي 48.9، بين 48.6 في المائة للداليت و49.6 في المائة للجانجاتي. وكان إجمالي عدد الملتحقين بالمستوى الإعدادي هو</w:t>
      </w:r>
      <w:r w:rsidRPr="00B87BF2">
        <w:rPr>
          <w:rFonts w:hint="eastAsia"/>
          <w:w w:val="100"/>
          <w:kern w:val="0"/>
          <w:rtl/>
          <w:lang w:bidi="ar-EG"/>
        </w:rPr>
        <w:t> </w:t>
      </w:r>
      <w:r w:rsidRPr="00B87BF2">
        <w:rPr>
          <w:rFonts w:hint="cs"/>
          <w:w w:val="100"/>
          <w:kern w:val="0"/>
          <w:rtl/>
          <w:lang w:bidi="ar-EG"/>
        </w:rPr>
        <w:t>515 443 1 بينهم 073 680 من الإن</w:t>
      </w:r>
      <w:r w:rsidR="00D62BA8" w:rsidRPr="00B87BF2">
        <w:rPr>
          <w:rFonts w:hint="cs"/>
          <w:w w:val="100"/>
          <w:kern w:val="0"/>
          <w:rtl/>
          <w:lang w:bidi="ar-EG"/>
        </w:rPr>
        <w:t>اث (أي 47.1 في المائة)؛</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كان إجمالي عدد الأطفال الملتحقين بصفوف الحضانات في مرحلة تطوير الطفولة المبكرة 206</w:t>
      </w:r>
      <w:r w:rsidRPr="00B87BF2">
        <w:rPr>
          <w:rFonts w:hint="eastAsia"/>
          <w:w w:val="100"/>
          <w:kern w:val="0"/>
          <w:rtl/>
          <w:lang w:bidi="ar-EG"/>
        </w:rPr>
        <w:t> </w:t>
      </w:r>
      <w:r w:rsidR="008B03DA" w:rsidRPr="00B87BF2">
        <w:rPr>
          <w:rFonts w:hint="cs"/>
          <w:w w:val="100"/>
          <w:kern w:val="0"/>
          <w:rtl/>
          <w:lang w:bidi="ar-EG"/>
        </w:rPr>
        <w:t>823 منهم 437 378 من الإناث و</w:t>
      </w:r>
      <w:r w:rsidRPr="00B87BF2">
        <w:rPr>
          <w:rFonts w:hint="cs"/>
          <w:w w:val="100"/>
          <w:kern w:val="0"/>
          <w:rtl/>
          <w:lang w:bidi="ar-EG"/>
        </w:rPr>
        <w:t>669 444 من الذكور، مسجلاً زيادة بنسبة 48.6 في المائة في المجموع، مقارنة بالسنة المدرسية 2006/2007؛</w:t>
      </w:r>
    </w:p>
    <w:p w:rsidR="000B7434" w:rsidRPr="00B87BF2" w:rsidRDefault="000B7434" w:rsidP="00B87BF2">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تحسنت نسبة حضور الإناث إلى حضور الذكور في التعليم الثانوي من 0.67</w:t>
      </w:r>
      <w:r w:rsidR="00B87BF2">
        <w:rPr>
          <w:rFonts w:hint="cs"/>
          <w:w w:val="100"/>
          <w:kern w:val="0"/>
          <w:rtl/>
          <w:lang w:bidi="ar-EG"/>
        </w:rPr>
        <w:t xml:space="preserve"> </w:t>
      </w:r>
      <w:r w:rsidRPr="00B87BF2">
        <w:rPr>
          <w:rFonts w:hint="cs"/>
          <w:w w:val="100"/>
          <w:kern w:val="0"/>
          <w:rtl/>
          <w:lang w:bidi="ar-EG"/>
        </w:rPr>
        <w:t>إلى</w:t>
      </w:r>
      <w:r w:rsidRPr="00B87BF2">
        <w:rPr>
          <w:rFonts w:hint="eastAsia"/>
          <w:w w:val="100"/>
          <w:kern w:val="0"/>
          <w:rtl/>
          <w:lang w:bidi="ar-EG"/>
        </w:rPr>
        <w:t> </w:t>
      </w:r>
      <w:r w:rsidRPr="00B87BF2">
        <w:rPr>
          <w:rFonts w:hint="cs"/>
          <w:w w:val="100"/>
          <w:kern w:val="0"/>
          <w:rtl/>
          <w:lang w:bidi="ar-EG"/>
        </w:rPr>
        <w:t>0.83 بين عام 1996 وعام 2006</w:t>
      </w:r>
      <w:r w:rsidRPr="00B87BF2">
        <w:rPr>
          <w:w w:val="100"/>
          <w:kern w:val="0"/>
          <w:vertAlign w:val="superscript"/>
          <w:rtl/>
          <w:lang w:bidi="ar-EG"/>
        </w:rPr>
        <w:t>(</w:t>
      </w:r>
      <w:r w:rsidRPr="00B87BF2">
        <w:rPr>
          <w:rStyle w:val="FootnoteReference"/>
          <w:w w:val="100"/>
          <w:rtl/>
        </w:rPr>
        <w:footnoteReference w:id="10"/>
      </w:r>
      <w:r w:rsidRPr="00B87BF2">
        <w:rPr>
          <w:w w:val="100"/>
          <w:kern w:val="0"/>
          <w:vertAlign w:val="superscript"/>
          <w:rtl/>
          <w:lang w:bidi="ar-EG"/>
        </w:rPr>
        <w:t>)</w:t>
      </w:r>
      <w:r w:rsidRPr="00B87BF2">
        <w:rPr>
          <w:rFonts w:hint="cs"/>
          <w:w w:val="100"/>
          <w:kern w:val="0"/>
          <w:rtl/>
          <w:lang w:bidi="ar-EG"/>
        </w:rPr>
        <w:t>. وازدادت حصة التحاق الإناث بالمستوى الإعدادي في السنة المدرسية 2007-2008 بقرابة 1 في المائة مقارنة بالسنة المدرسية السابقة</w:t>
      </w:r>
      <w:r w:rsidR="00D62BA8" w:rsidRPr="00B87BF2">
        <w:rPr>
          <w:rFonts w:hint="cs"/>
          <w:w w:val="100"/>
          <w:kern w:val="0"/>
          <w:rtl/>
          <w:lang w:bidi="ar-EG"/>
        </w:rPr>
        <w:t>؛</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 xml:space="preserve">مؤشر التكافؤ بين الجنسين في الالتحاق بفصول مدارس الحضانة (بالنسبة المئوية) هو </w:t>
      </w:r>
      <w:r w:rsidR="008B03DA" w:rsidRPr="00B87BF2">
        <w:rPr>
          <w:rFonts w:hint="cs"/>
          <w:w w:val="100"/>
          <w:kern w:val="0"/>
          <w:rtl/>
          <w:lang w:bidi="ar-EG"/>
        </w:rPr>
        <w:t>0.91 للداليت و</w:t>
      </w:r>
      <w:r w:rsidR="00D62BA8" w:rsidRPr="00B87BF2">
        <w:rPr>
          <w:rFonts w:hint="cs"/>
          <w:w w:val="100"/>
          <w:kern w:val="0"/>
          <w:rtl/>
          <w:lang w:bidi="ar-EG"/>
        </w:rPr>
        <w:t>0.88 للجانجاتي و</w:t>
      </w:r>
      <w:r w:rsidRPr="00B87BF2">
        <w:rPr>
          <w:rFonts w:hint="cs"/>
          <w:w w:val="100"/>
          <w:kern w:val="0"/>
          <w:rtl/>
          <w:lang w:bidi="ar-EG"/>
        </w:rPr>
        <w:t>0.82 للطوائف الأخرى. وهذا يوفر صورة واضحة للفجوة الآخذة في التلاشي في مشاركة الإناث والذكور في برنامج التعليم في مراحل النماء المبكرة. وبين 999 43 تلميذاً يعانون في مختلف الإعاقات كانت هناك 141 22 فتاة</w:t>
      </w:r>
      <w:r w:rsidR="00D62BA8" w:rsidRPr="00B87BF2">
        <w:rPr>
          <w:rFonts w:hint="cs"/>
          <w:w w:val="100"/>
          <w:kern w:val="0"/>
          <w:rtl/>
          <w:lang w:bidi="ar-EG"/>
        </w:rPr>
        <w:t>؛</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 xml:space="preserve">وفيما يتعلق بشواغل اللجنة بشأن مسألة ترك الدراسة، تُظهر البيانات وجود اتجاه نحو التناقض في معدل ترك الدراسة بعد أن بدأت الحكومة العمل ببرنامج </w:t>
      </w:r>
      <w:r w:rsidR="00D62BA8" w:rsidRPr="00B87BF2">
        <w:rPr>
          <w:w w:val="100"/>
          <w:kern w:val="0"/>
          <w:rtl/>
          <w:lang w:bidi="ar-EG"/>
        </w:rPr>
        <w:t>"</w:t>
      </w:r>
      <w:r w:rsidRPr="00B87BF2">
        <w:rPr>
          <w:rFonts w:hint="cs"/>
          <w:w w:val="100"/>
          <w:kern w:val="0"/>
          <w:rtl/>
          <w:lang w:bidi="ar-EG"/>
        </w:rPr>
        <w:t>مرحباً بكم في المدرسة</w:t>
      </w:r>
      <w:r w:rsidR="00D62BA8" w:rsidRPr="00B87BF2">
        <w:rPr>
          <w:w w:val="100"/>
          <w:kern w:val="0"/>
          <w:rtl/>
          <w:lang w:bidi="ar-EG"/>
        </w:rPr>
        <w:t>"</w:t>
      </w:r>
      <w:r w:rsidRPr="00B87BF2">
        <w:rPr>
          <w:rFonts w:hint="cs"/>
          <w:w w:val="100"/>
          <w:kern w:val="0"/>
          <w:rtl/>
          <w:lang w:bidi="ar-EG"/>
        </w:rPr>
        <w:t xml:space="preserve"> مع بعض التسهيلات الإضافية للإناث. غير أن معدل ترك فتيات الداليت في المستويات العليا من الدراسة لم يتناقص بعد. وبغية التغلب على هذا التحدي أخذت الحكومة بخطة ملموسة للتعليم وبسياسة وبرنامج يشملان الميزانية المراعية للجنسانية التي تعطي أولوية للفئات الاجتماعية. وترد تفاصيل من ذلك في الجزء الثاني أدناه في إطار المادة</w:t>
      </w:r>
      <w:r w:rsidRPr="00B87BF2">
        <w:rPr>
          <w:rFonts w:hint="eastAsia"/>
          <w:w w:val="100"/>
          <w:kern w:val="0"/>
          <w:rtl/>
          <w:lang w:bidi="ar-EG"/>
        </w:rPr>
        <w:t> </w:t>
      </w:r>
      <w:r w:rsidRPr="00B87BF2">
        <w:rPr>
          <w:rFonts w:hint="cs"/>
          <w:w w:val="100"/>
          <w:kern w:val="0"/>
          <w:rtl/>
          <w:lang w:bidi="ar-EG"/>
        </w:rPr>
        <w:t>10.</w:t>
      </w:r>
    </w:p>
    <w:p w:rsidR="000B7434" w:rsidRPr="00C53766" w:rsidRDefault="00D62BA8" w:rsidP="00D62BA8">
      <w:pPr>
        <w:pStyle w:val="H1GA"/>
        <w:rPr>
          <w:rFonts w:hint="cs"/>
          <w:rtl/>
          <w:lang w:bidi="ar-EG"/>
        </w:rPr>
      </w:pPr>
      <w:r>
        <w:rPr>
          <w:rFonts w:hint="cs"/>
          <w:rtl/>
          <w:lang w:bidi="ar-EG"/>
        </w:rPr>
        <w:tab/>
      </w:r>
      <w:r>
        <w:rPr>
          <w:rFonts w:hint="cs"/>
          <w:rtl/>
          <w:lang w:bidi="ar-EG"/>
        </w:rPr>
        <w:tab/>
      </w:r>
      <w:r w:rsidR="000B7434" w:rsidRPr="00C53766">
        <w:rPr>
          <w:rFonts w:hint="cs"/>
          <w:rtl/>
          <w:lang w:bidi="ar-EG"/>
        </w:rPr>
        <w:t>الممارسات الثقافية التمييزية (الفقرات 206 إلى 209 من التعليقات الختامية)</w:t>
      </w:r>
    </w:p>
    <w:p w:rsidR="000B7434" w:rsidRPr="00C53766" w:rsidRDefault="00D62BA8" w:rsidP="00D62BA8">
      <w:pPr>
        <w:pStyle w:val="SingleTxtGA"/>
        <w:rPr>
          <w:rFonts w:hint="cs"/>
          <w:rtl/>
          <w:lang w:bidi="ar-EG"/>
        </w:rPr>
      </w:pPr>
      <w:r>
        <w:rPr>
          <w:rFonts w:hint="cs"/>
          <w:rtl/>
          <w:lang w:bidi="ar-EG"/>
        </w:rPr>
        <w:t>30</w:t>
      </w:r>
      <w:r w:rsidR="000B7434">
        <w:rPr>
          <w:rFonts w:hint="cs"/>
          <w:rtl/>
          <w:lang w:bidi="ar-EG"/>
        </w:rPr>
        <w:t>-</w:t>
      </w:r>
      <w:r w:rsidR="000B7434">
        <w:rPr>
          <w:rFonts w:hint="cs"/>
          <w:rtl/>
          <w:lang w:bidi="ar-EG"/>
        </w:rPr>
        <w:tab/>
      </w:r>
      <w:r w:rsidR="000B7434" w:rsidRPr="00C53766">
        <w:rPr>
          <w:rFonts w:hint="cs"/>
          <w:rtl/>
          <w:lang w:bidi="ar-EG"/>
        </w:rPr>
        <w:t>تم إدخال عدد من التغييرات، خلال الفترة المشمولة بالتقرير، عن طريق إصلاحات قانونية، وأوامر قضائية وأنشطة إنفاذ وتنفيذ وبالإضافة الضمانات الدستورية. وأصدرت المحكمة العليا، إيعازات إلى الحكومة في القضايا المتصلة بممارسات ثقافية وتقليدية قديمة وبالية تُخضع المرأة لمعاملة لا</w:t>
      </w:r>
      <w:r>
        <w:rPr>
          <w:rFonts w:hint="cs"/>
          <w:rtl/>
          <w:lang w:bidi="ar-EG"/>
        </w:rPr>
        <w:t xml:space="preserve"> </w:t>
      </w:r>
      <w:r w:rsidR="000B7434" w:rsidRPr="00C53766">
        <w:rPr>
          <w:rFonts w:hint="cs"/>
          <w:rtl/>
          <w:lang w:bidi="ar-EG"/>
        </w:rPr>
        <w:t>إنسانية ومهينة. مثلاً</w:t>
      </w:r>
      <w:r w:rsidR="000B7434">
        <w:rPr>
          <w:rFonts w:hint="cs"/>
          <w:rtl/>
          <w:lang w:bidi="ar-EG"/>
        </w:rPr>
        <w:t xml:space="preserve"> </w:t>
      </w:r>
      <w:r w:rsidR="000B7434" w:rsidRPr="00C53766">
        <w:rPr>
          <w:rFonts w:hint="cs"/>
          <w:rtl/>
          <w:lang w:bidi="ar-EG"/>
        </w:rPr>
        <w:t xml:space="preserve">نظام </w:t>
      </w:r>
      <w:r w:rsidR="000B7434" w:rsidRPr="00C53766">
        <w:rPr>
          <w:rFonts w:hint="cs"/>
          <w:i/>
          <w:iCs/>
          <w:rtl/>
          <w:lang w:bidi="ar-EG"/>
        </w:rPr>
        <w:t>التشاوبادي</w:t>
      </w:r>
      <w:r w:rsidR="000B7434" w:rsidRPr="00C53766">
        <w:rPr>
          <w:rFonts w:hint="cs"/>
          <w:rtl/>
          <w:lang w:bidi="ar-EG"/>
        </w:rPr>
        <w:t xml:space="preserve"> الذي لا يزال يمارس في الجزء الغربي الأقصى من البلد، يعامل المرأة معاملة المنبوذين أثناء فترات الحيض والوضع. وقد أصدرت المحكمة العليا إيعازاً إلى الحكومة بالبدء في إصلاح قانوني لحظر مثل هذه الممارسات. وترد تفاصيل عن القضية التي أقيمت ضد </w:t>
      </w:r>
      <w:r w:rsidR="000B7434" w:rsidRPr="00C53766">
        <w:rPr>
          <w:rFonts w:hint="cs"/>
          <w:i/>
          <w:iCs/>
          <w:rtl/>
          <w:lang w:bidi="ar-EG"/>
        </w:rPr>
        <w:t>التشاوبادي</w:t>
      </w:r>
      <w:r w:rsidR="000B7434" w:rsidRPr="00C53766">
        <w:rPr>
          <w:rFonts w:hint="cs"/>
          <w:rtl/>
          <w:lang w:bidi="ar-EG"/>
        </w:rPr>
        <w:t xml:space="preserve"> والتدابير المتخذة لتنفيذ </w:t>
      </w:r>
      <w:r>
        <w:rPr>
          <w:rFonts w:hint="cs"/>
          <w:rtl/>
          <w:lang w:bidi="ar-EG"/>
        </w:rPr>
        <w:t>أ</w:t>
      </w:r>
      <w:r w:rsidR="000B7434" w:rsidRPr="00C53766">
        <w:rPr>
          <w:rFonts w:hint="cs"/>
          <w:rtl/>
          <w:lang w:bidi="ar-EG"/>
        </w:rPr>
        <w:t>مر المحكمة أدناه في الجزء الثاني في إطار المادة 5.</w:t>
      </w:r>
    </w:p>
    <w:p w:rsidR="000B7434" w:rsidRPr="00B87BF2" w:rsidRDefault="00D62BA8" w:rsidP="00D62BA8">
      <w:pPr>
        <w:pStyle w:val="SingleTxtGA"/>
        <w:rPr>
          <w:rFonts w:hint="cs"/>
          <w:spacing w:val="-2"/>
          <w:rtl/>
          <w:lang w:bidi="ar-EG"/>
        </w:rPr>
      </w:pPr>
      <w:r w:rsidRPr="00B87BF2">
        <w:rPr>
          <w:rFonts w:hint="cs"/>
          <w:spacing w:val="-2"/>
          <w:rtl/>
          <w:lang w:bidi="ar-EG"/>
        </w:rPr>
        <w:t>31-</w:t>
      </w:r>
      <w:r w:rsidR="000B7434" w:rsidRPr="00B87BF2">
        <w:rPr>
          <w:rFonts w:hint="cs"/>
          <w:spacing w:val="-2"/>
          <w:rtl/>
          <w:lang w:bidi="ar-EG"/>
        </w:rPr>
        <w:tab/>
        <w:t>وتنظم وزارة شؤون المرأة ووزارة التنمية المحلية بشراكة مع المنظمات غير الحكومية الدولية برامج مختلفة للتوعية، بما في ذلك التدريب للرجال والنساء على القضاء على كل أشكال التمييز والاستغلال والعنف المتصلة بالجنسانية ضد المرأة استناداً إلى ممارسات ثقافية تقليدية. وأهم من ذلك أنه تم سن قانون(مكافحة ومعاقبة) العنف الأسري عام 2009 بوضع حد للعنف الأسري، استناداً إلى الدراسة التي أجرتها وزارة شؤون المرأة في عام 2008 بشأن مثل هذه الممارسات الثقافية التقليدية السيئة. وجرى التوسع في تقديم الضمان الاجتماعي للمرأة بصورة عامة، والأرملة/العزباء بصورة خاصة في ميزانية السنة المالية 2008/2009.</w:t>
      </w:r>
    </w:p>
    <w:p w:rsidR="000B7434" w:rsidRPr="00C53766" w:rsidRDefault="00D62BA8" w:rsidP="00D62BA8">
      <w:pPr>
        <w:pStyle w:val="H1GA"/>
        <w:rPr>
          <w:rFonts w:hint="cs"/>
          <w:rtl/>
          <w:lang w:bidi="ar-EG"/>
        </w:rPr>
      </w:pPr>
      <w:r>
        <w:rPr>
          <w:rFonts w:hint="cs"/>
          <w:rtl/>
          <w:lang w:bidi="ar-EG"/>
        </w:rPr>
        <w:tab/>
      </w:r>
      <w:r>
        <w:rPr>
          <w:rFonts w:hint="cs"/>
          <w:rtl/>
          <w:lang w:bidi="ar-EG"/>
        </w:rPr>
        <w:tab/>
      </w:r>
      <w:r w:rsidR="000B7434" w:rsidRPr="00C53766">
        <w:rPr>
          <w:rFonts w:hint="cs"/>
          <w:rtl/>
          <w:lang w:bidi="ar-EG"/>
        </w:rPr>
        <w:t>الاتجار ب</w:t>
      </w:r>
      <w:r>
        <w:rPr>
          <w:rFonts w:hint="cs"/>
          <w:rtl/>
          <w:lang w:bidi="ar-EG"/>
        </w:rPr>
        <w:t>النساء والفتيات (الفقرتان 210 و</w:t>
      </w:r>
      <w:r w:rsidR="000B7434" w:rsidRPr="00C53766">
        <w:rPr>
          <w:rFonts w:hint="cs"/>
          <w:rtl/>
          <w:lang w:bidi="ar-EG"/>
        </w:rPr>
        <w:t>211 من التعليقات الختامية)</w:t>
      </w:r>
    </w:p>
    <w:p w:rsidR="000B7434" w:rsidRPr="00C53766" w:rsidRDefault="00D62BA8" w:rsidP="00D62BA8">
      <w:pPr>
        <w:pStyle w:val="SingleTxtGA"/>
        <w:rPr>
          <w:rFonts w:hint="cs"/>
          <w:rtl/>
          <w:lang w:bidi="ar-EG"/>
        </w:rPr>
      </w:pPr>
      <w:r>
        <w:rPr>
          <w:rFonts w:hint="cs"/>
          <w:rtl/>
          <w:lang w:bidi="ar-EG"/>
        </w:rPr>
        <w:t>32</w:t>
      </w:r>
      <w:r w:rsidR="000B7434">
        <w:rPr>
          <w:rFonts w:hint="cs"/>
          <w:rtl/>
          <w:lang w:bidi="ar-EG"/>
        </w:rPr>
        <w:t>-</w:t>
      </w:r>
      <w:r w:rsidR="000B7434">
        <w:rPr>
          <w:rFonts w:hint="cs"/>
          <w:rtl/>
          <w:lang w:bidi="ar-EG"/>
        </w:rPr>
        <w:tab/>
      </w:r>
      <w:r w:rsidR="000B7434" w:rsidRPr="00C53766">
        <w:rPr>
          <w:rFonts w:hint="cs"/>
          <w:rtl/>
          <w:lang w:bidi="ar-EG"/>
        </w:rPr>
        <w:t>فيما يتعلق بشاغل اللجنة حيال الإطار القانوني، تم في عام 2007 سن قانون جديد هو قانون (مك</w:t>
      </w:r>
      <w:r w:rsidR="000B7434" w:rsidRPr="00C53766">
        <w:rPr>
          <w:rFonts w:hint="cs"/>
          <w:rtl/>
          <w:lang w:bidi="ar-JO"/>
        </w:rPr>
        <w:t>افح</w:t>
      </w:r>
      <w:r w:rsidR="000B7434" w:rsidRPr="00C53766">
        <w:rPr>
          <w:rFonts w:hint="cs"/>
          <w:rtl/>
          <w:lang w:bidi="ar-EG"/>
        </w:rPr>
        <w:t xml:space="preserve">ة) الاتجار بالبشر ونقلهم، وحل محل قانون (مكافحة) الاتجار بالبشر لعام 1986 السابق. ويُعرّف القانون </w:t>
      </w:r>
      <w:r>
        <w:rPr>
          <w:rtl/>
          <w:lang w:bidi="ar-EG"/>
        </w:rPr>
        <w:t>"</w:t>
      </w:r>
      <w:r w:rsidR="000B7434" w:rsidRPr="00C53766">
        <w:rPr>
          <w:rFonts w:hint="cs"/>
          <w:rtl/>
          <w:lang w:bidi="ar-EG"/>
        </w:rPr>
        <w:t>الاستغلال</w:t>
      </w:r>
      <w:r>
        <w:rPr>
          <w:rtl/>
          <w:lang w:bidi="ar-EG"/>
        </w:rPr>
        <w:t>"</w:t>
      </w:r>
      <w:r w:rsidR="000B7434" w:rsidRPr="00C53766">
        <w:rPr>
          <w:rFonts w:hint="cs"/>
          <w:rtl/>
          <w:lang w:bidi="ar-EG"/>
        </w:rPr>
        <w:t xml:space="preserve"> بأنه </w:t>
      </w:r>
      <w:r>
        <w:rPr>
          <w:rtl/>
          <w:lang w:bidi="ar-EG"/>
        </w:rPr>
        <w:t>"</w:t>
      </w:r>
      <w:r w:rsidR="000B7434" w:rsidRPr="00C53766">
        <w:rPr>
          <w:rFonts w:hint="cs"/>
          <w:rtl/>
          <w:lang w:bidi="ar-EG"/>
        </w:rPr>
        <w:t>فعل إبقاء كائن بشري مستعبداً كالرقيق</w:t>
      </w:r>
      <w:r>
        <w:rPr>
          <w:rtl/>
          <w:lang w:bidi="ar-EG"/>
        </w:rPr>
        <w:t>"</w:t>
      </w:r>
      <w:r w:rsidR="000B7434" w:rsidRPr="00C53766">
        <w:rPr>
          <w:rFonts w:hint="cs"/>
          <w:rtl/>
          <w:lang w:bidi="ar-EG"/>
        </w:rPr>
        <w:t>. وقد وسّع القانون نطاق الإبلاغ، والتحقيق، والملاحقة القانونية، والمقاضاة إلى</w:t>
      </w:r>
      <w:r w:rsidR="000B7434">
        <w:rPr>
          <w:rFonts w:hint="eastAsia"/>
          <w:rtl/>
          <w:lang w:bidi="ar-EG"/>
        </w:rPr>
        <w:t> </w:t>
      </w:r>
      <w:r w:rsidR="000B7434" w:rsidRPr="00C53766">
        <w:rPr>
          <w:rFonts w:hint="cs"/>
          <w:rtl/>
          <w:lang w:bidi="ar-EG"/>
        </w:rPr>
        <w:t>جانب الأحكام الإجرائية والجوهرية. كما أدخل أحكاماً هامة لتوفير العدالة من منظور الضحايا. والخصائص الرئيسية لهذا القانون هي:</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تعريف أوسع للاتجار بالأشخاص يتماشى مع بروتوكول باليرمو؛</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تجريم الاتجار بالأشخاص: حكم بالسجن مدة 20 عاماً مع غرامة تصل إلى 000</w:t>
      </w:r>
      <w:r w:rsidRPr="00B87BF2">
        <w:rPr>
          <w:rFonts w:hint="eastAsia"/>
          <w:w w:val="100"/>
          <w:kern w:val="0"/>
          <w:rtl/>
          <w:lang w:bidi="ar-EG"/>
        </w:rPr>
        <w:t> </w:t>
      </w:r>
      <w:r w:rsidRPr="00B87BF2">
        <w:rPr>
          <w:rFonts w:hint="cs"/>
          <w:w w:val="100"/>
          <w:kern w:val="0"/>
          <w:rtl/>
          <w:lang w:bidi="ar-EG"/>
        </w:rPr>
        <w:t>200 روبية، ومصادرة الممتلكات والعربات المستخدمة؛</w:t>
      </w:r>
    </w:p>
    <w:p w:rsidR="000B7434" w:rsidRPr="00B87BF2" w:rsidRDefault="000B7434" w:rsidP="002F5691">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 xml:space="preserve">نقل عدد </w:t>
      </w:r>
      <w:r w:rsidR="002F5691">
        <w:rPr>
          <w:rFonts w:hint="cs"/>
          <w:w w:val="100"/>
          <w:kern w:val="0"/>
          <w:rtl/>
          <w:lang w:bidi="ar-EG"/>
        </w:rPr>
        <w:t>"</w:t>
      </w:r>
      <w:r w:rsidRPr="00B87BF2">
        <w:rPr>
          <w:rFonts w:hint="cs"/>
          <w:w w:val="100"/>
          <w:kern w:val="0"/>
          <w:rtl/>
          <w:lang w:bidi="ar-EG"/>
        </w:rPr>
        <w:t>عبء الإثبات</w:t>
      </w:r>
      <w:r w:rsidR="002F5691">
        <w:rPr>
          <w:rFonts w:hint="cs"/>
          <w:w w:val="100"/>
          <w:kern w:val="0"/>
          <w:rtl/>
          <w:lang w:bidi="ar-EG"/>
        </w:rPr>
        <w:t>"</w:t>
      </w:r>
      <w:r w:rsidRPr="00B87BF2">
        <w:rPr>
          <w:rFonts w:hint="cs"/>
          <w:w w:val="100"/>
          <w:kern w:val="0"/>
          <w:rtl/>
          <w:lang w:bidi="ar-EG"/>
        </w:rPr>
        <w:t xml:space="preserve"> وجعله يقع على عاتق مرتكبي الجرم؛</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الاستماع إلى الإفادات في جلسة سرية؛</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إعادة تحديد سن الطفل بأنه دون الثامنة عشرة من العمر؛</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تعويض الضحايا ومن يتبعهن من القاصرين والمُعالين؛</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توفير مترجم؛</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حماية الشهود؛</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حماية الضحايا - الإفادة الأولى هي الإفادة النهائية؛</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الإنقاذ وإعادة التأهيل - مسؤولية الدولة؛</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لجان مكافحة الاتجار بالأشخاص على مستويين - المستوى الوطني ومستوى</w:t>
      </w:r>
      <w:r w:rsidRPr="00B87BF2">
        <w:rPr>
          <w:rFonts w:hint="eastAsia"/>
          <w:w w:val="100"/>
          <w:kern w:val="0"/>
          <w:rtl/>
          <w:lang w:bidi="ar-EG"/>
        </w:rPr>
        <w:t> </w:t>
      </w:r>
      <w:r w:rsidRPr="00B87BF2">
        <w:rPr>
          <w:rFonts w:hint="cs"/>
          <w:w w:val="100"/>
          <w:kern w:val="0"/>
          <w:rtl/>
          <w:lang w:bidi="ar-EG"/>
        </w:rPr>
        <w:t>المقاطعة؛</w:t>
      </w:r>
    </w:p>
    <w:p w:rsidR="000B7434" w:rsidRPr="00B87BF2" w:rsidRDefault="000B7434" w:rsidP="002F5691">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 xml:space="preserve">إنشاء </w:t>
      </w:r>
      <w:r w:rsidR="002F5691">
        <w:rPr>
          <w:rFonts w:hint="cs"/>
          <w:w w:val="100"/>
          <w:kern w:val="0"/>
          <w:rtl/>
          <w:lang w:bidi="ar-EG"/>
        </w:rPr>
        <w:t>"</w:t>
      </w:r>
      <w:r w:rsidRPr="00B87BF2">
        <w:rPr>
          <w:rFonts w:hint="cs"/>
          <w:w w:val="100"/>
          <w:kern w:val="0"/>
          <w:rtl/>
          <w:lang w:bidi="ar-EG"/>
        </w:rPr>
        <w:t>منازل إقامة عابرة</w:t>
      </w:r>
      <w:r w:rsidR="002F5691">
        <w:rPr>
          <w:rFonts w:hint="cs"/>
          <w:w w:val="100"/>
          <w:kern w:val="0"/>
          <w:rtl/>
          <w:lang w:bidi="ar-EG"/>
        </w:rPr>
        <w:t>"</w:t>
      </w:r>
      <w:r w:rsidRPr="00B87BF2">
        <w:rPr>
          <w:rFonts w:hint="cs"/>
          <w:w w:val="100"/>
          <w:kern w:val="0"/>
          <w:rtl/>
          <w:lang w:bidi="ar-EG"/>
        </w:rPr>
        <w:t>؛</w:t>
      </w:r>
    </w:p>
    <w:p w:rsidR="000B7434" w:rsidRPr="00B87BF2" w:rsidRDefault="000B7434" w:rsidP="002F5691">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ab/>
        <w:t>•</w:t>
      </w:r>
      <w:r w:rsidRPr="00B87BF2">
        <w:rPr>
          <w:rFonts w:hint="cs"/>
          <w:w w:val="100"/>
          <w:kern w:val="0"/>
          <w:rtl/>
          <w:lang w:bidi="ar-EG"/>
        </w:rPr>
        <w:tab/>
        <w:t xml:space="preserve">إيجاد </w:t>
      </w:r>
      <w:r w:rsidR="002F5691">
        <w:rPr>
          <w:rFonts w:hint="cs"/>
          <w:w w:val="100"/>
          <w:kern w:val="0"/>
          <w:rtl/>
          <w:lang w:bidi="ar-EG"/>
        </w:rPr>
        <w:t>"</w:t>
      </w:r>
      <w:r w:rsidRPr="00B87BF2">
        <w:rPr>
          <w:rFonts w:hint="cs"/>
          <w:w w:val="100"/>
          <w:kern w:val="0"/>
          <w:rtl/>
          <w:lang w:bidi="ar-EG"/>
        </w:rPr>
        <w:t>صندوق لإعادة التأهيل</w:t>
      </w:r>
      <w:r w:rsidR="002F5691">
        <w:rPr>
          <w:rFonts w:hint="cs"/>
          <w:w w:val="100"/>
          <w:kern w:val="0"/>
          <w:rtl/>
          <w:lang w:bidi="ar-EG"/>
        </w:rPr>
        <w:t>"</w:t>
      </w:r>
      <w:r w:rsidRPr="00B87BF2">
        <w:rPr>
          <w:rFonts w:hint="cs"/>
          <w:w w:val="100"/>
          <w:kern w:val="0"/>
          <w:rtl/>
          <w:lang w:bidi="ar-EG"/>
        </w:rPr>
        <w:t>؛</w:t>
      </w:r>
    </w:p>
    <w:p w:rsidR="000B7434" w:rsidRPr="00B87BF2" w:rsidRDefault="000B7434" w:rsidP="00B87BF2">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ولاية قضائية سارية خارج حدود البلد</w:t>
      </w:r>
      <w:r w:rsidR="00B87BF2">
        <w:rPr>
          <w:rFonts w:hint="cs"/>
          <w:w w:val="100"/>
          <w:kern w:val="0"/>
          <w:rtl/>
          <w:lang w:bidi="ar-EG"/>
        </w:rPr>
        <w:t>.</w:t>
      </w:r>
    </w:p>
    <w:p w:rsidR="000B7434" w:rsidRPr="00C53766" w:rsidRDefault="00D62BA8" w:rsidP="00D62BA8">
      <w:pPr>
        <w:pStyle w:val="SingleTxtGA"/>
        <w:rPr>
          <w:rFonts w:hint="cs"/>
          <w:rtl/>
          <w:lang w:bidi="ar-EG"/>
        </w:rPr>
      </w:pPr>
      <w:r>
        <w:rPr>
          <w:rFonts w:hint="cs"/>
          <w:rtl/>
          <w:lang w:bidi="ar-EG"/>
        </w:rPr>
        <w:t>33</w:t>
      </w:r>
      <w:r w:rsidR="000B7434" w:rsidRPr="00C53766">
        <w:rPr>
          <w:rFonts w:hint="cs"/>
          <w:rtl/>
          <w:lang w:bidi="ar-EG"/>
        </w:rPr>
        <w:t>-</w:t>
      </w:r>
      <w:r w:rsidR="000B7434" w:rsidRPr="00C53766">
        <w:rPr>
          <w:rFonts w:hint="cs"/>
          <w:rtl/>
          <w:lang w:bidi="ar-EG"/>
        </w:rPr>
        <w:tab/>
        <w:t xml:space="preserve">وعلاوة على ذلك، فإن القانون يتناول لا الاتجار عبر الحدود فحسب، بل وكذلك الاتجار الداخلي للاستغلال الجنسي ولأغراض أخرى. وبالإضافة إلى ذلك، فإن لائحة (مكافحة) الاتجار بالأشخاص ونقلهم لعام 2008، </w:t>
      </w:r>
      <w:r>
        <w:rPr>
          <w:rFonts w:hint="cs"/>
          <w:rtl/>
          <w:lang w:bidi="ar-EG"/>
        </w:rPr>
        <w:t>ا</w:t>
      </w:r>
      <w:r w:rsidR="000B7434" w:rsidRPr="00C53766">
        <w:rPr>
          <w:rFonts w:hint="cs"/>
          <w:rtl/>
          <w:lang w:bidi="ar-EG"/>
        </w:rPr>
        <w:t>عتمدت مؤخراً أيضاًَ بغية كفالة الإنفاذ الفعّال للأحكام الواردة في هذا القانون. وقد تم إبراز التفاصيل عن التطورات الأخيرة في الإصلاحات الهيكلية والمؤسسية، بما في ذلك الأحكام القانونية، والمبادرات القضائية وآليات الإنفاذ في الجزء الثاني أدناه في إطار المادة 6.</w:t>
      </w:r>
    </w:p>
    <w:p w:rsidR="000B7434" w:rsidRPr="00C53766" w:rsidRDefault="004B5FA8" w:rsidP="004B5FA8">
      <w:pPr>
        <w:pStyle w:val="H1GA"/>
        <w:rPr>
          <w:rFonts w:hint="cs"/>
          <w:rtl/>
          <w:lang w:bidi="ar-EG"/>
        </w:rPr>
      </w:pPr>
      <w:r>
        <w:rPr>
          <w:rFonts w:hint="cs"/>
          <w:rtl/>
          <w:lang w:bidi="ar-EG"/>
        </w:rPr>
        <w:tab/>
      </w:r>
      <w:r>
        <w:rPr>
          <w:rFonts w:hint="cs"/>
          <w:rtl/>
          <w:lang w:bidi="ar-EG"/>
        </w:rPr>
        <w:tab/>
      </w:r>
      <w:r w:rsidR="000B7434" w:rsidRPr="00C53766">
        <w:rPr>
          <w:rFonts w:hint="cs"/>
          <w:rtl/>
          <w:lang w:bidi="ar-EG"/>
        </w:rPr>
        <w:t>الوصول إلى</w:t>
      </w:r>
      <w:r>
        <w:rPr>
          <w:rFonts w:hint="cs"/>
          <w:rtl/>
          <w:lang w:bidi="ar-EG"/>
        </w:rPr>
        <w:t xml:space="preserve"> العناية الصحية (الفقرتان 212 و</w:t>
      </w:r>
      <w:r w:rsidR="000B7434" w:rsidRPr="00C53766">
        <w:rPr>
          <w:rFonts w:hint="cs"/>
          <w:rtl/>
          <w:lang w:bidi="ar-EG"/>
        </w:rPr>
        <w:t>213 من التعليقات الختامية)</w:t>
      </w:r>
    </w:p>
    <w:p w:rsidR="000B7434" w:rsidRPr="00C53766" w:rsidRDefault="004B5FA8" w:rsidP="004B5FA8">
      <w:pPr>
        <w:pStyle w:val="SingleTxtGA"/>
        <w:rPr>
          <w:rFonts w:hint="cs"/>
          <w:rtl/>
          <w:lang w:bidi="ar-EG"/>
        </w:rPr>
      </w:pPr>
      <w:r>
        <w:rPr>
          <w:rFonts w:hint="cs"/>
          <w:rtl/>
          <w:lang w:bidi="ar-EG"/>
        </w:rPr>
        <w:t>34</w:t>
      </w:r>
      <w:r w:rsidR="000B7434">
        <w:rPr>
          <w:rFonts w:hint="cs"/>
          <w:rtl/>
          <w:lang w:bidi="ar-EG"/>
        </w:rPr>
        <w:t>-</w:t>
      </w:r>
      <w:r w:rsidR="000B7434">
        <w:rPr>
          <w:rFonts w:hint="cs"/>
          <w:rtl/>
          <w:lang w:bidi="ar-EG"/>
        </w:rPr>
        <w:tab/>
      </w:r>
      <w:r w:rsidR="000B7434" w:rsidRPr="00C53766">
        <w:rPr>
          <w:rFonts w:hint="cs"/>
          <w:rtl/>
          <w:lang w:bidi="ar-EG"/>
        </w:rPr>
        <w:t>وبخصوص شاغل اللجنة بشأن مسائل منوعة تتصل بصحة المرأة، اتخذت نيبال تدابير قانونية وغيرها من التدابير المتصلة بالسياسات والإن</w:t>
      </w:r>
      <w:r w:rsidR="000B7434">
        <w:rPr>
          <w:rFonts w:hint="cs"/>
          <w:rtl/>
          <w:lang w:bidi="ar-EG"/>
        </w:rPr>
        <w:t>فاذ، بقدر واف. وتوفر الدراسة الا</w:t>
      </w:r>
      <w:r w:rsidR="000B7434" w:rsidRPr="00C53766">
        <w:rPr>
          <w:rFonts w:hint="cs"/>
          <w:rtl/>
          <w:lang w:bidi="ar-EG"/>
        </w:rPr>
        <w:t>ستقصائية الديمغرافية والصحية الوطنية معلومات تفصيلية تتعلق بالصورة الراهنة للصحة.</w:t>
      </w:r>
      <w:r w:rsidR="000B7434">
        <w:rPr>
          <w:rFonts w:hint="eastAsia"/>
          <w:rtl/>
          <w:lang w:bidi="ar-EG"/>
        </w:rPr>
        <w:t> </w:t>
      </w:r>
      <w:r w:rsidR="000B7434" w:rsidRPr="00C53766">
        <w:rPr>
          <w:rFonts w:hint="cs"/>
          <w:rtl/>
          <w:lang w:bidi="ar-EG"/>
        </w:rPr>
        <w:t>مثلاً:</w:t>
      </w:r>
    </w:p>
    <w:p w:rsidR="000B7434" w:rsidRPr="00B87BF2" w:rsidRDefault="000B7434" w:rsidP="004B5F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العمر المتوقع لكل من الذكور والإناث آخذ في الارتفاع التدريجي. والعمر المتوقع للمرأة، وهو 63 سنة، أعلى من العمر المتوقع للرجل</w:t>
      </w:r>
      <w:r w:rsidR="004B5FA8" w:rsidRPr="00B87BF2">
        <w:rPr>
          <w:rFonts w:hint="cs"/>
          <w:w w:val="100"/>
          <w:kern w:val="0"/>
          <w:rtl/>
          <w:lang w:bidi="ar-EG"/>
        </w:rPr>
        <w:t>؛</w:t>
      </w:r>
    </w:p>
    <w:p w:rsidR="000B7434" w:rsidRPr="00B87BF2" w:rsidRDefault="000B7434" w:rsidP="004B5F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 xml:space="preserve">معدل الوفيات النفاسية يظهر اتجاهاً نحو التناقض، وهو مسجل على أنه 281 لكل مائة </w:t>
      </w:r>
      <w:r w:rsidR="004B5FA8" w:rsidRPr="00B87BF2">
        <w:rPr>
          <w:rFonts w:hint="cs"/>
          <w:w w:val="100"/>
          <w:kern w:val="0"/>
          <w:rtl/>
          <w:lang w:bidi="ar-EG"/>
        </w:rPr>
        <w:t>أ</w:t>
      </w:r>
      <w:r w:rsidRPr="00B87BF2">
        <w:rPr>
          <w:rFonts w:hint="cs"/>
          <w:w w:val="100"/>
          <w:kern w:val="0"/>
          <w:rtl/>
          <w:lang w:bidi="ar-EG"/>
        </w:rPr>
        <w:t>لف (000 100) امرأة</w:t>
      </w:r>
      <w:r w:rsidR="004B5FA8" w:rsidRPr="00B87BF2">
        <w:rPr>
          <w:rFonts w:hint="cs"/>
          <w:w w:val="100"/>
          <w:kern w:val="0"/>
          <w:rtl/>
          <w:lang w:bidi="ar-EG"/>
        </w:rPr>
        <w:t>؛</w:t>
      </w:r>
    </w:p>
    <w:p w:rsidR="000B7434" w:rsidRPr="00B87BF2" w:rsidRDefault="000B7434" w:rsidP="004B5F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هبط معدل الخصوبة من 4.6 (كما سُجّل عام 1996) إلى 3.1 في عام 2006. ويبلغ معدل الخصوبة لدى النساء الريفيات 3.3 وهو أعلى من معدل خصوبة المرأة الحضرية البالغ 2.1</w:t>
      </w:r>
      <w:r w:rsidR="004B5FA8" w:rsidRPr="00B87BF2">
        <w:rPr>
          <w:rFonts w:hint="cs"/>
          <w:w w:val="100"/>
          <w:kern w:val="0"/>
          <w:rtl/>
          <w:lang w:bidi="ar-EG"/>
        </w:rPr>
        <w:t>؛</w:t>
      </w:r>
    </w:p>
    <w:p w:rsidR="000B7434" w:rsidRPr="00B87BF2" w:rsidRDefault="000B7434" w:rsidP="004B5F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متوسط عمر المرأة عند وضع أول مولود ارتفع إلى 20 سنة</w:t>
      </w:r>
      <w:r w:rsidR="004B5FA8" w:rsidRPr="00B87BF2">
        <w:rPr>
          <w:rFonts w:hint="cs"/>
          <w:w w:val="100"/>
          <w:kern w:val="0"/>
          <w:rtl/>
          <w:lang w:bidi="ar-EG"/>
        </w:rPr>
        <w:t>؛</w:t>
      </w:r>
    </w:p>
    <w:p w:rsidR="000B7434" w:rsidRPr="00B87BF2" w:rsidRDefault="000B7434" w:rsidP="004B5F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استخدام المرأة لوسائل منع الحمل سجل ازدياداً. في عام 2006، كانت نسبة 70</w:t>
      </w:r>
      <w:r w:rsidRPr="00B87BF2">
        <w:rPr>
          <w:rFonts w:hint="eastAsia"/>
          <w:w w:val="100"/>
          <w:kern w:val="0"/>
          <w:rtl/>
          <w:lang w:bidi="ar-EG"/>
        </w:rPr>
        <w:t> </w:t>
      </w:r>
      <w:r w:rsidRPr="00B87BF2">
        <w:rPr>
          <w:rFonts w:hint="cs"/>
          <w:w w:val="100"/>
          <w:kern w:val="0"/>
          <w:rtl/>
          <w:lang w:bidi="ar-EG"/>
        </w:rPr>
        <w:t>في المائة من النساء تستخدم وسائل منع الحمل، من بينهن 44 في المائة يستخدمن الأشكال الحديثة من وسائل منع الحمل</w:t>
      </w:r>
      <w:r w:rsidR="004B5FA8" w:rsidRPr="00B87BF2">
        <w:rPr>
          <w:rFonts w:hint="cs"/>
          <w:w w:val="100"/>
          <w:kern w:val="0"/>
          <w:rtl/>
          <w:lang w:bidi="ar-EG"/>
        </w:rPr>
        <w:t>؛</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تتلقى نسبة 40 في المائة من النساء عناية سابقة للوضع، 28 في المائة من بينهن يتلقين هذه العناية من مرشدات وعاملات صحيات ماهرات.</w:t>
      </w:r>
    </w:p>
    <w:p w:rsidR="000B7434" w:rsidRPr="00C53766" w:rsidRDefault="004B5FA8" w:rsidP="004B5FA8">
      <w:pPr>
        <w:pStyle w:val="SingleTxtGA"/>
        <w:rPr>
          <w:rFonts w:hint="cs"/>
          <w:rtl/>
          <w:lang w:bidi="ar-EG"/>
        </w:rPr>
      </w:pPr>
      <w:r>
        <w:rPr>
          <w:rFonts w:hint="cs"/>
          <w:rtl/>
          <w:lang w:bidi="ar-EG"/>
        </w:rPr>
        <w:t>35</w:t>
      </w:r>
      <w:r w:rsidR="000B7434">
        <w:rPr>
          <w:rFonts w:hint="cs"/>
          <w:rtl/>
          <w:lang w:bidi="ar-EG"/>
        </w:rPr>
        <w:t>-</w:t>
      </w:r>
      <w:r w:rsidR="000B7434">
        <w:rPr>
          <w:rFonts w:hint="cs"/>
          <w:rtl/>
          <w:lang w:bidi="ar-EG"/>
        </w:rPr>
        <w:tab/>
      </w:r>
      <w:r w:rsidR="000B7434" w:rsidRPr="00C53766">
        <w:rPr>
          <w:rFonts w:hint="cs"/>
          <w:rtl/>
          <w:lang w:bidi="ar-EG"/>
        </w:rPr>
        <w:t>أما شواغل اللجنة وتوصياتها بشأن مسائل متصلة بالصحة التناسلية، وحالة فيروس نقص المناعة البشرية/متلازمة نقص المناعة المكتسبة (الإيدز) والمسائل الأخرى المتصلة بذلك، فمبلّغ عنها في الجزء الثاني في إطار المادة 12 من هذا التقرير.</w:t>
      </w:r>
    </w:p>
    <w:p w:rsidR="000B7434" w:rsidRPr="00C53766" w:rsidRDefault="00B87BF2" w:rsidP="004B5FA8">
      <w:pPr>
        <w:pStyle w:val="H1GA"/>
        <w:rPr>
          <w:rFonts w:hint="cs"/>
          <w:rtl/>
          <w:lang w:bidi="ar-EG"/>
        </w:rPr>
      </w:pPr>
      <w:r>
        <w:rPr>
          <w:rFonts w:hint="cs"/>
          <w:rtl/>
          <w:lang w:bidi="ar-EG"/>
        </w:rPr>
        <w:tab/>
      </w:r>
      <w:r w:rsidR="004B5FA8">
        <w:rPr>
          <w:rFonts w:hint="cs"/>
          <w:rtl/>
          <w:lang w:bidi="ar-EG"/>
        </w:rPr>
        <w:tab/>
        <w:t>م</w:t>
      </w:r>
      <w:r w:rsidR="000B7434" w:rsidRPr="00C53766">
        <w:rPr>
          <w:rFonts w:hint="cs"/>
          <w:rtl/>
          <w:lang w:bidi="ar-EG"/>
        </w:rPr>
        <w:t>شاركة المرأ</w:t>
      </w:r>
      <w:r w:rsidR="004B5FA8">
        <w:rPr>
          <w:rFonts w:hint="cs"/>
          <w:rtl/>
          <w:lang w:bidi="ar-EG"/>
        </w:rPr>
        <w:t>ة في صنع القرار (الفقرتان 214 و</w:t>
      </w:r>
      <w:r w:rsidR="000B7434" w:rsidRPr="00C53766">
        <w:rPr>
          <w:rFonts w:hint="cs"/>
          <w:rtl/>
          <w:lang w:bidi="ar-EG"/>
        </w:rPr>
        <w:t>215 من التعليقات الختامية)</w:t>
      </w:r>
    </w:p>
    <w:p w:rsidR="000B7434" w:rsidRPr="00C53766" w:rsidRDefault="004B5FA8" w:rsidP="004B5FA8">
      <w:pPr>
        <w:pStyle w:val="SingleTxtGA"/>
        <w:rPr>
          <w:rFonts w:hint="cs"/>
          <w:rtl/>
          <w:lang w:bidi="ar-EG"/>
        </w:rPr>
      </w:pPr>
      <w:r>
        <w:rPr>
          <w:rFonts w:hint="cs"/>
          <w:rtl/>
          <w:lang w:bidi="ar-EG"/>
        </w:rPr>
        <w:t>36</w:t>
      </w:r>
      <w:r w:rsidR="000B7434">
        <w:rPr>
          <w:rFonts w:hint="cs"/>
          <w:rtl/>
          <w:lang w:bidi="ar-EG"/>
        </w:rPr>
        <w:t>-</w:t>
      </w:r>
      <w:r w:rsidR="000B7434">
        <w:rPr>
          <w:rFonts w:hint="cs"/>
          <w:rtl/>
          <w:lang w:bidi="ar-EG"/>
        </w:rPr>
        <w:tab/>
      </w:r>
      <w:r w:rsidR="000B7434" w:rsidRPr="00C53766">
        <w:rPr>
          <w:rFonts w:hint="cs"/>
          <w:rtl/>
          <w:lang w:bidi="ar-EG"/>
        </w:rPr>
        <w:t>المشاركة الأوسع للمرأة في السياسات الوطنية هو تغيير رئيسي حدث في نيبال. ويتناول الدستور المؤقت مسالة الجنسانية في ديباجته ويضمن للمرأة تمثيلاً شمولياً وتناسبياً في</w:t>
      </w:r>
      <w:r w:rsidR="000B7434">
        <w:rPr>
          <w:rFonts w:hint="eastAsia"/>
          <w:rtl/>
          <w:lang w:bidi="ar-EG"/>
        </w:rPr>
        <w:t> </w:t>
      </w:r>
      <w:r w:rsidR="000B7434" w:rsidRPr="00C53766">
        <w:rPr>
          <w:rFonts w:hint="cs"/>
          <w:rtl/>
          <w:lang w:bidi="ar-EG"/>
        </w:rPr>
        <w:t>إعادة تشكيل هيكل الدولة. وتقتضي المادة 63 من الدستور بوضوح من كل الأحزاب السياسية أن تجعل المرأة تمثل نسبة 33 في المائة من مرشحيها لكل من نظام الفائز الأول في</w:t>
      </w:r>
      <w:r w:rsidR="000B7434">
        <w:rPr>
          <w:rFonts w:hint="eastAsia"/>
          <w:rtl/>
          <w:lang w:bidi="ar-EG"/>
        </w:rPr>
        <w:t> </w:t>
      </w:r>
      <w:r w:rsidR="000B7434" w:rsidRPr="00C53766">
        <w:rPr>
          <w:rFonts w:hint="cs"/>
          <w:rtl/>
          <w:lang w:bidi="ar-EG"/>
        </w:rPr>
        <w:t>الانتخاب المباشر والانتخاب لنظام ال</w:t>
      </w:r>
      <w:r>
        <w:rPr>
          <w:rFonts w:hint="cs"/>
          <w:rtl/>
          <w:lang w:bidi="ar-EG"/>
        </w:rPr>
        <w:t>تمثيل التناسبي. وتقتضي الفقرة 3</w:t>
      </w:r>
      <w:r w:rsidR="000B7434" w:rsidRPr="00C53766">
        <w:rPr>
          <w:rFonts w:hint="cs"/>
          <w:rtl/>
          <w:lang w:bidi="ar-EG"/>
        </w:rPr>
        <w:t>(</w:t>
      </w:r>
      <w:r w:rsidRPr="004B5FA8">
        <w:rPr>
          <w:rFonts w:hint="cs"/>
          <w:sz w:val="30"/>
          <w:rtl/>
          <w:lang w:bidi="ar-EG"/>
        </w:rPr>
        <w:t>ﻫ</w:t>
      </w:r>
      <w:r>
        <w:rPr>
          <w:rFonts w:hint="cs"/>
          <w:rtl/>
          <w:lang w:bidi="ar-EG"/>
        </w:rPr>
        <w:t>)</w:t>
      </w:r>
      <w:r w:rsidR="000B7434" w:rsidRPr="00C53766">
        <w:rPr>
          <w:rFonts w:hint="cs"/>
          <w:rtl/>
          <w:lang w:bidi="ar-EG"/>
        </w:rPr>
        <w:t xml:space="preserve"> من المادة 142 من الدستور، كفالة لمشاركة المرأة في هيئات صنع القرار في كل من الأحزاب السياسية، أن يسجل كل حزب في اللجنة الانتخابية استيفاءه للشروط المبينة في هذه المادة إذا أراد الحصول على اعتراف رسمي به كحزب سياسي من اللجنة الانتخابية. وأحد شروط هذه المادة هو أنه ينبغي أن يكون هناك حكم يشمل النساء في اللجان التنفيذية على مختلف المستويات، وقام العديد من الأحزاب السياسية، من خلال برامجها السياسية، بالإعلان عن</w:t>
      </w:r>
      <w:r w:rsidR="000B7434">
        <w:rPr>
          <w:rFonts w:hint="eastAsia"/>
          <w:rtl/>
          <w:lang w:bidi="ar-EG"/>
        </w:rPr>
        <w:t> </w:t>
      </w:r>
      <w:r w:rsidR="000B7434" w:rsidRPr="00C53766">
        <w:rPr>
          <w:rFonts w:hint="cs"/>
          <w:rtl/>
          <w:lang w:bidi="ar-EG"/>
        </w:rPr>
        <w:t>مبادئ التمثيل الشمولي والتناسبي للمرأة في آليات الدولة وداخل الأحزاب السياسية</w:t>
      </w:r>
      <w:r w:rsidR="000B7434">
        <w:rPr>
          <w:rFonts w:hint="eastAsia"/>
          <w:rtl/>
          <w:lang w:bidi="ar-EG"/>
        </w:rPr>
        <w:t> </w:t>
      </w:r>
      <w:r w:rsidR="000B7434" w:rsidRPr="00C53766">
        <w:rPr>
          <w:rFonts w:hint="cs"/>
          <w:rtl/>
          <w:lang w:bidi="ar-EG"/>
        </w:rPr>
        <w:t>ذاتها.</w:t>
      </w:r>
    </w:p>
    <w:p w:rsidR="000B7434" w:rsidRPr="00C53766" w:rsidRDefault="004B5FA8" w:rsidP="004B5FA8">
      <w:pPr>
        <w:pStyle w:val="SingleTxtGA"/>
        <w:rPr>
          <w:rFonts w:hint="cs"/>
          <w:rtl/>
          <w:lang w:bidi="ar-EG"/>
        </w:rPr>
      </w:pPr>
      <w:r>
        <w:rPr>
          <w:rFonts w:hint="cs"/>
          <w:rtl/>
          <w:lang w:bidi="ar-EG"/>
        </w:rPr>
        <w:t>37</w:t>
      </w:r>
      <w:r w:rsidR="000B7434" w:rsidRPr="00C53766">
        <w:rPr>
          <w:rFonts w:hint="cs"/>
          <w:rtl/>
          <w:lang w:bidi="ar-EG"/>
        </w:rPr>
        <w:t>-</w:t>
      </w:r>
      <w:r w:rsidR="000B7434" w:rsidRPr="00C53766">
        <w:rPr>
          <w:rFonts w:hint="cs"/>
          <w:rtl/>
          <w:lang w:bidi="ar-EG"/>
        </w:rPr>
        <w:tab/>
        <w:t xml:space="preserve">وقد أسفر الحكم الدستوري المذكور عن نتيجة مشجعة، إذ </w:t>
      </w:r>
      <w:r>
        <w:rPr>
          <w:rFonts w:hint="cs"/>
          <w:rtl/>
          <w:lang w:bidi="ar-EG"/>
        </w:rPr>
        <w:t>إ</w:t>
      </w:r>
      <w:r w:rsidR="000B7434" w:rsidRPr="00C53766">
        <w:rPr>
          <w:rFonts w:hint="cs"/>
          <w:rtl/>
          <w:lang w:bidi="ar-EG"/>
        </w:rPr>
        <w:t xml:space="preserve">ن ثمة 197 امرأة </w:t>
      </w:r>
      <w:r>
        <w:rPr>
          <w:rFonts w:hint="cs"/>
          <w:rtl/>
          <w:lang w:bidi="ar-EG"/>
        </w:rPr>
        <w:t xml:space="preserve">     </w:t>
      </w:r>
      <w:r w:rsidR="000B7434" w:rsidRPr="00C53766">
        <w:rPr>
          <w:rFonts w:hint="cs"/>
          <w:rtl/>
          <w:lang w:bidi="ar-EG"/>
        </w:rPr>
        <w:t>بين 601 عضو منتخب/معين للجمعية التأسيسية (بنسبة 32.77 في المائة). وترد تفاصيل الأرقام المتصلة بمشاركة المرأة في السياسة الحزبية والقطاعات العامة الأخرى في الجزء الثاني من هذا التقرير في إطار المادة 7.</w:t>
      </w:r>
    </w:p>
    <w:p w:rsidR="000B7434" w:rsidRPr="00C53766" w:rsidRDefault="004B5FA8" w:rsidP="004B5FA8">
      <w:pPr>
        <w:pStyle w:val="H1GA"/>
        <w:rPr>
          <w:rFonts w:hint="cs"/>
          <w:rtl/>
          <w:lang w:bidi="ar-EG"/>
        </w:rPr>
      </w:pPr>
      <w:r>
        <w:rPr>
          <w:rFonts w:hint="cs"/>
          <w:rtl/>
          <w:lang w:bidi="ar-EG"/>
        </w:rPr>
        <w:tab/>
      </w:r>
      <w:r>
        <w:rPr>
          <w:rFonts w:hint="cs"/>
          <w:rtl/>
          <w:lang w:bidi="ar-EG"/>
        </w:rPr>
        <w:tab/>
      </w:r>
      <w:r w:rsidR="000B7434" w:rsidRPr="00C53766">
        <w:rPr>
          <w:rFonts w:hint="cs"/>
          <w:rtl/>
          <w:lang w:bidi="ar-EG"/>
        </w:rPr>
        <w:t>الحصول عل</w:t>
      </w:r>
      <w:r>
        <w:rPr>
          <w:rFonts w:hint="cs"/>
          <w:rtl/>
          <w:lang w:bidi="ar-EG"/>
        </w:rPr>
        <w:t>ى ملكية الأراضي (الفقرتان 216 و</w:t>
      </w:r>
      <w:r w:rsidR="000B7434" w:rsidRPr="00C53766">
        <w:rPr>
          <w:rFonts w:hint="cs"/>
          <w:rtl/>
          <w:lang w:bidi="ar-EG"/>
        </w:rPr>
        <w:t>217 من التعليقات الختامية)</w:t>
      </w:r>
    </w:p>
    <w:p w:rsidR="000B7434" w:rsidRPr="00C53766" w:rsidRDefault="004B5FA8" w:rsidP="004B5FA8">
      <w:pPr>
        <w:pStyle w:val="SingleTxtGA"/>
        <w:rPr>
          <w:rFonts w:hint="cs"/>
          <w:rtl/>
          <w:lang w:bidi="ar-EG"/>
        </w:rPr>
      </w:pPr>
      <w:r>
        <w:rPr>
          <w:rFonts w:hint="cs"/>
          <w:rtl/>
          <w:lang w:bidi="ar-EG"/>
        </w:rPr>
        <w:t>38</w:t>
      </w:r>
      <w:r w:rsidR="000B7434" w:rsidRPr="00C53766">
        <w:rPr>
          <w:rFonts w:hint="cs"/>
          <w:rtl/>
          <w:lang w:bidi="ar-EG"/>
        </w:rPr>
        <w:t>-</w:t>
      </w:r>
      <w:r w:rsidR="000B7434" w:rsidRPr="00C53766">
        <w:rPr>
          <w:rFonts w:hint="cs"/>
          <w:rtl/>
          <w:lang w:bidi="ar-EG"/>
        </w:rPr>
        <w:tab/>
        <w:t xml:space="preserve">يُتوقع أن تُحدث المادة 20 من الدستور المؤقت والتعديلات الأخيرة للعديد من القوانين الوطنية تغييراتٍ هامةً في المركز </w:t>
      </w:r>
      <w:r>
        <w:rPr>
          <w:rFonts w:hint="cs"/>
          <w:rtl/>
          <w:lang w:bidi="ar-EG"/>
        </w:rPr>
        <w:t>الا</w:t>
      </w:r>
      <w:r w:rsidR="000B7434" w:rsidRPr="00C53766">
        <w:rPr>
          <w:rFonts w:hint="cs"/>
          <w:rtl/>
          <w:lang w:bidi="ar-EG"/>
        </w:rPr>
        <w:t>قتصادي للمرأة بتناولها مسألة عدم وجود تكافؤ بين الجنسين بشأن ملكية العقارات.</w:t>
      </w:r>
    </w:p>
    <w:p w:rsidR="000B7434" w:rsidRPr="00C53766" w:rsidRDefault="004B5FA8" w:rsidP="004B5FA8">
      <w:pPr>
        <w:pStyle w:val="SingleTxtGA"/>
        <w:rPr>
          <w:rFonts w:hint="cs"/>
          <w:rtl/>
          <w:lang w:bidi="ar-EG"/>
        </w:rPr>
      </w:pPr>
      <w:r>
        <w:rPr>
          <w:rFonts w:hint="cs"/>
          <w:rtl/>
          <w:lang w:bidi="ar-EG"/>
        </w:rPr>
        <w:t>39</w:t>
      </w:r>
      <w:r w:rsidR="000B7434">
        <w:rPr>
          <w:rFonts w:hint="cs"/>
          <w:rtl/>
          <w:lang w:bidi="ar-EG"/>
        </w:rPr>
        <w:t>-</w:t>
      </w:r>
      <w:r w:rsidR="000B7434">
        <w:rPr>
          <w:rFonts w:hint="cs"/>
          <w:rtl/>
          <w:lang w:bidi="ar-EG"/>
        </w:rPr>
        <w:tab/>
      </w:r>
      <w:r w:rsidR="000B7434" w:rsidRPr="00C53766">
        <w:rPr>
          <w:rFonts w:hint="cs"/>
          <w:rtl/>
          <w:lang w:bidi="ar-EG"/>
        </w:rPr>
        <w:t>وتمنح الحكومة حسماً بنسبة 25 في المائة من رسوم تسجيل الأراضي للنساء وترد تفاصيل ذلك أدناه في الجزء الثاني في إطار المادة 15.</w:t>
      </w:r>
    </w:p>
    <w:p w:rsidR="000B7434" w:rsidRPr="00C53766" w:rsidRDefault="004B5FA8" w:rsidP="004B5FA8">
      <w:pPr>
        <w:pStyle w:val="SingleTxtGA"/>
        <w:rPr>
          <w:rFonts w:hint="cs"/>
          <w:rtl/>
          <w:lang w:bidi="ar-EG"/>
        </w:rPr>
      </w:pPr>
      <w:r>
        <w:rPr>
          <w:rFonts w:hint="cs"/>
          <w:rtl/>
          <w:lang w:bidi="ar-EG"/>
        </w:rPr>
        <w:t>40</w:t>
      </w:r>
      <w:r w:rsidR="000B7434">
        <w:rPr>
          <w:rFonts w:hint="cs"/>
          <w:rtl/>
          <w:lang w:bidi="ar-EG"/>
        </w:rPr>
        <w:t>-</w:t>
      </w:r>
      <w:r w:rsidR="000B7434">
        <w:rPr>
          <w:rFonts w:hint="cs"/>
          <w:rtl/>
          <w:lang w:bidi="ar-EG"/>
        </w:rPr>
        <w:tab/>
      </w:r>
      <w:r w:rsidR="000B7434" w:rsidRPr="00C53766">
        <w:rPr>
          <w:rFonts w:hint="cs"/>
          <w:rtl/>
          <w:lang w:bidi="ar-EG"/>
        </w:rPr>
        <w:t>وتهدف الحكومة عن طريق التدابير الخاصة المذكورة أعلاه إلى مكافحة العنف الأسري وتحسين الحالة الاقتصادية للمرأة. وقد اعتمدت الحكومة نهجاً كلياً حيال كفالة استدامة حقوق المرأة في الملكية العقارية عن طريق تدابير متصلة بالتثقيف والتعليم بحيث تستطيع المرأة أن تتمتع بالكامل بحقوقها، وفق المبلغ عنه في الجزء الثاني من هذا التقرير تحت العناوين ذات الصلة.</w:t>
      </w:r>
    </w:p>
    <w:p w:rsidR="000B7434" w:rsidRPr="00C53766" w:rsidRDefault="000B7434" w:rsidP="004B5FA8">
      <w:pPr>
        <w:pStyle w:val="H1GA"/>
        <w:rPr>
          <w:rFonts w:hint="cs"/>
          <w:rtl/>
          <w:lang w:bidi="ar-EG"/>
        </w:rPr>
      </w:pPr>
      <w:r>
        <w:rPr>
          <w:rFonts w:hint="cs"/>
          <w:rtl/>
          <w:lang w:bidi="ar-EG"/>
        </w:rPr>
        <w:tab/>
      </w:r>
      <w:r>
        <w:rPr>
          <w:rFonts w:hint="cs"/>
          <w:rtl/>
          <w:lang w:bidi="ar-EG"/>
        </w:rPr>
        <w:tab/>
      </w:r>
      <w:r w:rsidRPr="00C53766">
        <w:rPr>
          <w:rFonts w:hint="cs"/>
          <w:rtl/>
          <w:lang w:bidi="ar-EG"/>
        </w:rPr>
        <w:t>اللاجئات (ا</w:t>
      </w:r>
      <w:r>
        <w:rPr>
          <w:rFonts w:hint="cs"/>
          <w:rtl/>
          <w:lang w:bidi="ar-EG"/>
        </w:rPr>
        <w:t>لفقرة 219 من التعليقات الختامية</w:t>
      </w:r>
      <w:r w:rsidRPr="00C53766">
        <w:rPr>
          <w:rFonts w:hint="cs"/>
          <w:rtl/>
          <w:lang w:bidi="ar-EG"/>
        </w:rPr>
        <w:t>)</w:t>
      </w:r>
    </w:p>
    <w:p w:rsidR="000B7434" w:rsidRPr="00C53766" w:rsidRDefault="004B5FA8" w:rsidP="004B5FA8">
      <w:pPr>
        <w:pStyle w:val="SingleTxtGA"/>
        <w:rPr>
          <w:rFonts w:hint="cs"/>
          <w:rtl/>
          <w:lang w:bidi="ar-EG"/>
        </w:rPr>
      </w:pPr>
      <w:r>
        <w:rPr>
          <w:rFonts w:hint="cs"/>
          <w:rtl/>
          <w:lang w:bidi="ar-EG"/>
        </w:rPr>
        <w:t>41</w:t>
      </w:r>
      <w:r w:rsidR="000B7434" w:rsidRPr="00C53766">
        <w:rPr>
          <w:rFonts w:hint="cs"/>
          <w:rtl/>
          <w:lang w:bidi="ar-EG"/>
        </w:rPr>
        <w:t>-</w:t>
      </w:r>
      <w:r w:rsidR="000B7434" w:rsidRPr="00C53766">
        <w:rPr>
          <w:rFonts w:hint="cs"/>
          <w:rtl/>
          <w:lang w:bidi="ar-EG"/>
        </w:rPr>
        <w:tab/>
        <w:t>بشأن مخاوف اللجنة وتوصياتها المتعلقة بحالة المرأة في مخيمات اللاجئين، اتخذت الحكومة مبادرات لحفظ سجلات ووضع التدابير اللازمة وفقاً لذلك. ويستفاد من الإحصاءات التي تحتفظ بها وزارة الشؤون الداخلية، أن هناك عدداً إجمالياً من اللاجئين البوتانيين يبلغ 309 103 نسمة تضمهم سبعة مخيمات في مقاطعتين (جابا ومورانغ) من نيبال. وثمة 916 50 امرأة بين هؤلاء اللاجئين. كما أنّ من بين ما مجموعه 057 15 أسرة معيشية، ثمة 781 2 أسرة تترأسها نساء. وتضم هذه المخيمات أيضاً 883</w:t>
      </w:r>
      <w:r w:rsidR="000B7434" w:rsidRPr="00C53766">
        <w:rPr>
          <w:rFonts w:hint="eastAsia"/>
          <w:rtl/>
          <w:lang w:bidi="ar-EG"/>
        </w:rPr>
        <w:t> </w:t>
      </w:r>
      <w:r w:rsidR="000B7434" w:rsidRPr="00C53766">
        <w:rPr>
          <w:rFonts w:hint="cs"/>
          <w:rtl/>
          <w:lang w:bidi="ar-EG"/>
        </w:rPr>
        <w:t xml:space="preserve">27 تلميذاً </w:t>
      </w:r>
      <w:r>
        <w:rPr>
          <w:rFonts w:hint="cs"/>
          <w:rtl/>
          <w:lang w:bidi="ar-EG"/>
        </w:rPr>
        <w:t xml:space="preserve">    </w:t>
      </w:r>
      <w:r w:rsidR="000B7434" w:rsidRPr="00C53766">
        <w:rPr>
          <w:rFonts w:hint="cs"/>
          <w:rtl/>
          <w:lang w:bidi="ar-EG"/>
        </w:rPr>
        <w:t>بينهم 169 14 فتاة.</w:t>
      </w:r>
    </w:p>
    <w:p w:rsidR="000B7434" w:rsidRPr="00C53766" w:rsidRDefault="004B5FA8" w:rsidP="004B5FA8">
      <w:pPr>
        <w:pStyle w:val="SingleTxtGA"/>
        <w:rPr>
          <w:rFonts w:hint="cs"/>
          <w:rtl/>
          <w:lang w:bidi="ar-EG"/>
        </w:rPr>
      </w:pPr>
      <w:r>
        <w:rPr>
          <w:rFonts w:hint="cs"/>
          <w:rtl/>
          <w:lang w:bidi="ar-EG"/>
        </w:rPr>
        <w:t>42</w:t>
      </w:r>
      <w:r w:rsidR="000B7434" w:rsidRPr="00C53766">
        <w:rPr>
          <w:rFonts w:hint="cs"/>
          <w:rtl/>
          <w:lang w:bidi="ar-EG"/>
        </w:rPr>
        <w:t>-</w:t>
      </w:r>
      <w:r w:rsidR="000B7434" w:rsidRPr="00C53766">
        <w:rPr>
          <w:rFonts w:hint="cs"/>
          <w:rtl/>
          <w:lang w:bidi="ar-EG"/>
        </w:rPr>
        <w:tab/>
        <w:t>ويظل مركز اللاجئة، من حيث حقوقها كشخص لاجئ، على حاله دون تغيير حتى ولو دخلت في زواج مع رجل غير لاجئ، بينما لا يحق لأي امرأة تتزوج رجلاً غير لاجئ، قبل نيلها مركز اللاجئ، أن تتمتع بنفس الحق.</w:t>
      </w:r>
    </w:p>
    <w:p w:rsidR="000B7434" w:rsidRPr="00C53766" w:rsidRDefault="004B5FA8" w:rsidP="004B5FA8">
      <w:pPr>
        <w:pStyle w:val="SingleTxtGA"/>
        <w:rPr>
          <w:rFonts w:hint="cs"/>
          <w:rtl/>
          <w:lang w:bidi="ar-EG"/>
        </w:rPr>
      </w:pPr>
      <w:r>
        <w:rPr>
          <w:rFonts w:hint="cs"/>
          <w:rtl/>
          <w:lang w:bidi="ar-EG"/>
        </w:rPr>
        <w:t>43</w:t>
      </w:r>
      <w:r w:rsidR="000B7434">
        <w:rPr>
          <w:rFonts w:hint="cs"/>
          <w:rtl/>
          <w:lang w:bidi="ar-EG"/>
        </w:rPr>
        <w:t>-</w:t>
      </w:r>
      <w:r w:rsidR="000B7434">
        <w:rPr>
          <w:rFonts w:hint="cs"/>
          <w:rtl/>
          <w:lang w:bidi="ar-EG"/>
        </w:rPr>
        <w:tab/>
      </w:r>
      <w:r w:rsidR="000B7434" w:rsidRPr="00C53766">
        <w:rPr>
          <w:rFonts w:hint="cs"/>
          <w:rtl/>
          <w:lang w:bidi="ar-EG"/>
        </w:rPr>
        <w:t>ولا يميز الإطار القانوني لنيبال ضد أي شخص على أساس هويته كلاجئ أو</w:t>
      </w:r>
      <w:r w:rsidR="000B7434">
        <w:rPr>
          <w:rFonts w:hint="eastAsia"/>
          <w:rtl/>
          <w:lang w:bidi="ar-EG"/>
        </w:rPr>
        <w:t> </w:t>
      </w:r>
      <w:r w:rsidR="000B7434" w:rsidRPr="00C53766">
        <w:rPr>
          <w:rFonts w:hint="cs"/>
          <w:rtl/>
          <w:lang w:bidi="ar-EG"/>
        </w:rPr>
        <w:t>غير</w:t>
      </w:r>
      <w:r w:rsidR="000B7434">
        <w:rPr>
          <w:rFonts w:hint="eastAsia"/>
          <w:rtl/>
          <w:lang w:bidi="ar-EG"/>
        </w:rPr>
        <w:t> </w:t>
      </w:r>
      <w:r w:rsidR="000B7434" w:rsidRPr="00C53766">
        <w:rPr>
          <w:rFonts w:hint="cs"/>
          <w:rtl/>
          <w:lang w:bidi="ar-EG"/>
        </w:rPr>
        <w:t>لاجئ أثناء إجراءات التحقيق، والملاحقة القانونية، والمقاضاة وفي الأحكام العقابية. وقد تمت ملاحقة القضايا التي أبلغ عنها اللاجئون، في المحاكم.</w:t>
      </w:r>
    </w:p>
    <w:p w:rsidR="000B7434" w:rsidRPr="00C53766" w:rsidRDefault="004B5FA8" w:rsidP="004B5FA8">
      <w:pPr>
        <w:pStyle w:val="SingleTxtGA"/>
        <w:rPr>
          <w:rFonts w:hint="cs"/>
          <w:rtl/>
          <w:lang w:bidi="ar-EG"/>
        </w:rPr>
      </w:pPr>
      <w:r>
        <w:rPr>
          <w:rFonts w:hint="cs"/>
          <w:rtl/>
          <w:lang w:bidi="ar-EG"/>
        </w:rPr>
        <w:t>44</w:t>
      </w:r>
      <w:r w:rsidR="000B7434">
        <w:rPr>
          <w:rFonts w:hint="cs"/>
          <w:rtl/>
          <w:lang w:bidi="ar-EG"/>
        </w:rPr>
        <w:t>-</w:t>
      </w:r>
      <w:r w:rsidR="000B7434">
        <w:rPr>
          <w:rFonts w:hint="cs"/>
          <w:rtl/>
          <w:lang w:bidi="ar-EG"/>
        </w:rPr>
        <w:tab/>
      </w:r>
      <w:r w:rsidR="000B7434" w:rsidRPr="00C53766">
        <w:rPr>
          <w:rFonts w:hint="cs"/>
          <w:rtl/>
          <w:lang w:bidi="ar-EG"/>
        </w:rPr>
        <w:t xml:space="preserve">وما زالت الحكومة توفر، بالتعاون مع مفوضية الأمم المتحدة لشؤون اللاجئين، حماية ومعاملة وافية للاجئات ضحايا العنف القائم على أساس جنساني. ويشمل </w:t>
      </w:r>
      <w:r w:rsidR="00D62BA8">
        <w:rPr>
          <w:rtl/>
          <w:lang w:bidi="ar-EG"/>
        </w:rPr>
        <w:t>"</w:t>
      </w:r>
      <w:r w:rsidR="000B7434" w:rsidRPr="00C53766">
        <w:rPr>
          <w:rFonts w:hint="cs"/>
          <w:rtl/>
          <w:lang w:bidi="ar-EG"/>
        </w:rPr>
        <w:t>برنامج العنف القائم على أساس جنسي وجنساني</w:t>
      </w:r>
      <w:r w:rsidR="00D62BA8">
        <w:rPr>
          <w:rtl/>
          <w:lang w:bidi="ar-EG"/>
        </w:rPr>
        <w:t>"</w:t>
      </w:r>
      <w:r w:rsidR="000B7434" w:rsidRPr="00C53766">
        <w:rPr>
          <w:rFonts w:hint="cs"/>
          <w:rtl/>
          <w:lang w:bidi="ar-EG"/>
        </w:rPr>
        <w:t xml:space="preserve">، تسجيل الشكاوى، والاستماع إلى الإفادات، والتدريب وبرامج متصلة بالتوعية. ولكل مخيم، بموجب هذا البرنامج آلية مراجعة ومتابعة. وحرصاً على إدارة هذا البرنامج إدارة فعّالة، تم وضع </w:t>
      </w:r>
      <w:r w:rsidR="00D62BA8">
        <w:rPr>
          <w:rtl/>
          <w:lang w:bidi="ar-EG"/>
        </w:rPr>
        <w:t>"</w:t>
      </w:r>
      <w:r w:rsidR="000B7434" w:rsidRPr="00C53766">
        <w:rPr>
          <w:rFonts w:hint="cs"/>
          <w:rtl/>
          <w:lang w:bidi="ar-EG"/>
        </w:rPr>
        <w:t>مدونة لقواعد السلوك</w:t>
      </w:r>
      <w:r w:rsidR="00D62BA8">
        <w:rPr>
          <w:rtl/>
          <w:lang w:bidi="ar-EG"/>
        </w:rPr>
        <w:t>"</w:t>
      </w:r>
      <w:r w:rsidR="000B7434" w:rsidRPr="00C53766">
        <w:rPr>
          <w:rFonts w:hint="cs"/>
          <w:rtl/>
          <w:lang w:bidi="ar-EG"/>
        </w:rPr>
        <w:t>. وعلاوة على ذلك أعد حكم لكفالة مشاركة المرأة من بين اللاجئات</w:t>
      </w:r>
      <w:r w:rsidR="000B7434" w:rsidRPr="00514770">
        <w:rPr>
          <w:vertAlign w:val="superscript"/>
          <w:rtl/>
          <w:lang w:bidi="ar-EG"/>
        </w:rPr>
        <w:t>(</w:t>
      </w:r>
      <w:r w:rsidR="000B7434" w:rsidRPr="00514770">
        <w:rPr>
          <w:rStyle w:val="FootnoteReference"/>
          <w:rtl/>
        </w:rPr>
        <w:footnoteReference w:id="11"/>
      </w:r>
      <w:r w:rsidR="000B7434" w:rsidRPr="00514770">
        <w:rPr>
          <w:vertAlign w:val="superscript"/>
          <w:rtl/>
          <w:lang w:bidi="ar-EG"/>
        </w:rPr>
        <w:t>)</w:t>
      </w:r>
      <w:r w:rsidR="000B7434">
        <w:rPr>
          <w:rFonts w:hint="cs"/>
          <w:rtl/>
          <w:lang w:bidi="ar-EG"/>
        </w:rPr>
        <w:t xml:space="preserve"> </w:t>
      </w:r>
      <w:r w:rsidR="000B7434" w:rsidRPr="00C53766">
        <w:rPr>
          <w:rFonts w:hint="cs"/>
          <w:rtl/>
          <w:lang w:bidi="ar-EG"/>
        </w:rPr>
        <w:t>في المخيّمات بنسبة 50</w:t>
      </w:r>
      <w:r w:rsidR="000B7434">
        <w:rPr>
          <w:rFonts w:hint="eastAsia"/>
          <w:rtl/>
        </w:rPr>
        <w:t> </w:t>
      </w:r>
      <w:r w:rsidR="000B7434" w:rsidRPr="00C53766">
        <w:rPr>
          <w:rFonts w:hint="cs"/>
          <w:rtl/>
          <w:lang w:bidi="ar-EG"/>
        </w:rPr>
        <w:t>في</w:t>
      </w:r>
      <w:r w:rsidR="000B7434">
        <w:rPr>
          <w:rFonts w:hint="eastAsia"/>
          <w:rtl/>
          <w:lang w:bidi="ar-EG"/>
        </w:rPr>
        <w:t> </w:t>
      </w:r>
      <w:r w:rsidR="000B7434" w:rsidRPr="00C53766">
        <w:rPr>
          <w:rFonts w:hint="cs"/>
          <w:rtl/>
          <w:lang w:bidi="ar-EG"/>
        </w:rPr>
        <w:t xml:space="preserve">المائة في </w:t>
      </w:r>
      <w:r w:rsidR="00D62BA8">
        <w:rPr>
          <w:rtl/>
          <w:lang w:bidi="ar-EG"/>
        </w:rPr>
        <w:t>"</w:t>
      </w:r>
      <w:r w:rsidR="000B7434" w:rsidRPr="00C53766">
        <w:rPr>
          <w:rFonts w:hint="cs"/>
          <w:rtl/>
          <w:lang w:bidi="ar-EG"/>
        </w:rPr>
        <w:t>لجنة إدارة المخيم</w:t>
      </w:r>
      <w:r w:rsidR="00D62BA8">
        <w:rPr>
          <w:rtl/>
          <w:lang w:bidi="ar-EG"/>
        </w:rPr>
        <w:t>"</w:t>
      </w:r>
      <w:r w:rsidR="000B7434">
        <w:rPr>
          <w:rFonts w:hint="cs"/>
          <w:rtl/>
          <w:lang w:bidi="ar-EG"/>
        </w:rPr>
        <w:t xml:space="preserve"> في كل من المخيمات السبعة،</w:t>
      </w:r>
    </w:p>
    <w:p w:rsidR="000B7434" w:rsidRPr="00C53766" w:rsidRDefault="004B5FA8" w:rsidP="004B5FA8">
      <w:pPr>
        <w:pStyle w:val="H1GA"/>
        <w:rPr>
          <w:rFonts w:hint="cs"/>
          <w:rtl/>
          <w:lang w:bidi="ar-EG"/>
        </w:rPr>
      </w:pPr>
      <w:r>
        <w:rPr>
          <w:rFonts w:hint="cs"/>
          <w:rtl/>
          <w:lang w:bidi="ar-EG"/>
        </w:rPr>
        <w:tab/>
      </w:r>
      <w:r>
        <w:rPr>
          <w:rFonts w:hint="cs"/>
          <w:rtl/>
          <w:lang w:bidi="ar-EG"/>
        </w:rPr>
        <w:tab/>
      </w:r>
      <w:r w:rsidR="000B7434" w:rsidRPr="00C53766">
        <w:rPr>
          <w:rFonts w:hint="cs"/>
          <w:rtl/>
          <w:lang w:bidi="ar-EG"/>
        </w:rPr>
        <w:t xml:space="preserve">بخصوص الإحصاءات </w:t>
      </w:r>
    </w:p>
    <w:p w:rsidR="000B7434" w:rsidRPr="00C53766" w:rsidRDefault="004B5FA8" w:rsidP="004B5FA8">
      <w:pPr>
        <w:pStyle w:val="H23GA"/>
        <w:rPr>
          <w:rFonts w:hint="cs"/>
          <w:rtl/>
          <w:lang w:bidi="ar-EG"/>
        </w:rPr>
      </w:pPr>
      <w:r>
        <w:rPr>
          <w:rFonts w:hint="cs"/>
          <w:rtl/>
          <w:lang w:bidi="ar-EG"/>
        </w:rPr>
        <w:tab/>
      </w:r>
      <w:r>
        <w:rPr>
          <w:rFonts w:hint="cs"/>
          <w:rtl/>
          <w:lang w:bidi="ar-EG"/>
        </w:rPr>
        <w:tab/>
        <w:t>(الفقرتان 220 و</w:t>
      </w:r>
      <w:r w:rsidR="000B7434" w:rsidRPr="00C53766">
        <w:rPr>
          <w:rFonts w:hint="cs"/>
          <w:rtl/>
          <w:lang w:bidi="ar-EG"/>
        </w:rPr>
        <w:t>221 من التعليقات الختامية)</w:t>
      </w:r>
    </w:p>
    <w:p w:rsidR="000B7434" w:rsidRPr="00C53766" w:rsidRDefault="004B5FA8" w:rsidP="004B5FA8">
      <w:pPr>
        <w:pStyle w:val="SingleTxtGA"/>
        <w:rPr>
          <w:rFonts w:hint="cs"/>
          <w:rtl/>
          <w:lang w:bidi="ar-EG"/>
        </w:rPr>
      </w:pPr>
      <w:r>
        <w:rPr>
          <w:rFonts w:hint="cs"/>
          <w:rtl/>
          <w:lang w:bidi="ar-EG"/>
        </w:rPr>
        <w:t>45</w:t>
      </w:r>
      <w:r w:rsidR="000B7434">
        <w:rPr>
          <w:rFonts w:hint="cs"/>
          <w:rtl/>
          <w:lang w:bidi="ar-EG"/>
        </w:rPr>
        <w:t>-</w:t>
      </w:r>
      <w:r w:rsidR="000B7434">
        <w:rPr>
          <w:rFonts w:hint="cs"/>
          <w:rtl/>
          <w:lang w:bidi="ar-EG"/>
        </w:rPr>
        <w:tab/>
      </w:r>
      <w:r w:rsidR="000B7434" w:rsidRPr="00C53766">
        <w:rPr>
          <w:rFonts w:hint="cs"/>
          <w:rtl/>
          <w:lang w:bidi="ar-EG"/>
        </w:rPr>
        <w:t>يضطلع مكتب الإحصاء المركزي بتعداد وطني وينشر بيانات ذلك. ونشرت نتائج آخر تعداد للسكان في عام 2001 شاملة بيانات مفصلة حسب نوع الجنس، غير</w:t>
      </w:r>
      <w:r w:rsidR="000B7434">
        <w:rPr>
          <w:rFonts w:hint="eastAsia"/>
          <w:rtl/>
          <w:lang w:bidi="ar-EG"/>
        </w:rPr>
        <w:t> </w:t>
      </w:r>
      <w:r w:rsidR="000B7434" w:rsidRPr="00C53766">
        <w:rPr>
          <w:rFonts w:hint="cs"/>
          <w:rtl/>
          <w:lang w:bidi="ar-EG"/>
        </w:rPr>
        <w:t>أن</w:t>
      </w:r>
      <w:r w:rsidR="000B7434">
        <w:rPr>
          <w:rFonts w:hint="eastAsia"/>
          <w:rtl/>
          <w:lang w:bidi="ar-EG"/>
        </w:rPr>
        <w:t> </w:t>
      </w:r>
      <w:r w:rsidR="000B7434" w:rsidRPr="00C53766">
        <w:rPr>
          <w:rFonts w:hint="cs"/>
          <w:rtl/>
          <w:lang w:bidi="ar-EG"/>
        </w:rPr>
        <w:t xml:space="preserve">التقارير المستكملة تنشر في مجلدات مواضيعية دورياً متضمنة بعض المسائل المحددة المتصلة بالمرأة. وتغطي المجلدات ذات المنظور الجنساني مسائل متنوعة تشمل بيانات مفصلة عن كل من الجنسين وتركز بصورة رئيسية على مسائل اجتماعية </w:t>
      </w:r>
      <w:r>
        <w:rPr>
          <w:rFonts w:hint="cs"/>
          <w:rtl/>
          <w:lang w:bidi="ar-EG"/>
        </w:rPr>
        <w:t>-</w:t>
      </w:r>
      <w:r w:rsidR="000B7434" w:rsidRPr="00C53766">
        <w:rPr>
          <w:rFonts w:hint="cs"/>
          <w:rtl/>
          <w:lang w:bidi="ar-EG"/>
        </w:rPr>
        <w:t xml:space="preserve"> اقتصادية مثل الأسر المعيشية، والحالة الزوجية</w:t>
      </w:r>
      <w:r>
        <w:rPr>
          <w:rFonts w:hint="cs"/>
          <w:rtl/>
          <w:lang w:bidi="ar-EG"/>
        </w:rPr>
        <w:t>،</w:t>
      </w:r>
      <w:r w:rsidR="000B7434" w:rsidRPr="00C53766">
        <w:rPr>
          <w:rFonts w:hint="cs"/>
          <w:rtl/>
          <w:lang w:bidi="ar-EG"/>
        </w:rPr>
        <w:t xml:space="preserve"> </w:t>
      </w:r>
      <w:r>
        <w:rPr>
          <w:rFonts w:hint="cs"/>
          <w:rtl/>
          <w:lang w:bidi="ar-EG"/>
        </w:rPr>
        <w:t>إ</w:t>
      </w:r>
      <w:r w:rsidR="000B7434" w:rsidRPr="00C53766">
        <w:rPr>
          <w:rFonts w:hint="cs"/>
          <w:rtl/>
          <w:lang w:bidi="ar-EG"/>
        </w:rPr>
        <w:t>لخ.</w:t>
      </w:r>
    </w:p>
    <w:p w:rsidR="000B7434" w:rsidRPr="00C53766" w:rsidRDefault="004B5FA8" w:rsidP="004B5FA8">
      <w:pPr>
        <w:pStyle w:val="SingleTxtGA"/>
        <w:rPr>
          <w:rFonts w:hint="cs"/>
          <w:rtl/>
          <w:lang w:bidi="ar-EG"/>
        </w:rPr>
      </w:pPr>
      <w:r>
        <w:rPr>
          <w:rFonts w:hint="cs"/>
          <w:rtl/>
          <w:lang w:bidi="ar-EG"/>
        </w:rPr>
        <w:t>46</w:t>
      </w:r>
      <w:r w:rsidR="000B7434" w:rsidRPr="00C53766">
        <w:rPr>
          <w:rFonts w:hint="cs"/>
          <w:rtl/>
          <w:lang w:bidi="ar-EG"/>
        </w:rPr>
        <w:t>-</w:t>
      </w:r>
      <w:r w:rsidR="000B7434" w:rsidRPr="00C53766">
        <w:rPr>
          <w:rFonts w:hint="cs"/>
          <w:rtl/>
          <w:lang w:bidi="ar-EG"/>
        </w:rPr>
        <w:tab/>
        <w:t xml:space="preserve">ونشر مكتب الإحصاء المركزي </w:t>
      </w:r>
      <w:r w:rsidR="00D62BA8">
        <w:rPr>
          <w:rtl/>
          <w:lang w:bidi="ar-EG"/>
        </w:rPr>
        <w:t>"</w:t>
      </w:r>
      <w:r w:rsidR="000B7434" w:rsidRPr="00C53766">
        <w:rPr>
          <w:rFonts w:hint="cs"/>
          <w:rtl/>
          <w:lang w:bidi="ar-EG"/>
        </w:rPr>
        <w:t>بعض الحقائق الإحصائية عن المرأة النيبالية،</w:t>
      </w:r>
      <w:r w:rsidR="000B7434">
        <w:rPr>
          <w:rFonts w:hint="eastAsia"/>
          <w:rtl/>
          <w:lang w:bidi="ar-EG"/>
        </w:rPr>
        <w:t> </w:t>
      </w:r>
      <w:r w:rsidR="000B7434" w:rsidRPr="00C53766">
        <w:rPr>
          <w:rFonts w:hint="cs"/>
          <w:rtl/>
          <w:lang w:bidi="ar-EG"/>
        </w:rPr>
        <w:t>2007</w:t>
      </w:r>
      <w:r w:rsidR="00D62BA8">
        <w:rPr>
          <w:rtl/>
          <w:lang w:bidi="ar-EG"/>
        </w:rPr>
        <w:t>"</w:t>
      </w:r>
      <w:r w:rsidR="000B7434" w:rsidRPr="00C53766">
        <w:rPr>
          <w:rFonts w:hint="cs"/>
          <w:rtl/>
          <w:lang w:bidi="ar-EG"/>
        </w:rPr>
        <w:t>، تضمنت إحصائيات أساسية مفصلة على أساس جنساني بشأن التعليم، والصحة، والتوظيف، والمشاركة السياسية والعامة</w:t>
      </w:r>
      <w:r>
        <w:rPr>
          <w:rFonts w:hint="cs"/>
          <w:rtl/>
          <w:lang w:bidi="ar-EG"/>
        </w:rPr>
        <w:t>،</w:t>
      </w:r>
      <w:r w:rsidR="000B7434" w:rsidRPr="00C53766">
        <w:rPr>
          <w:rFonts w:hint="cs"/>
          <w:rtl/>
          <w:lang w:bidi="ar-EG"/>
        </w:rPr>
        <w:t xml:space="preserve"> </w:t>
      </w:r>
      <w:r>
        <w:rPr>
          <w:rFonts w:hint="cs"/>
          <w:rtl/>
          <w:lang w:bidi="ar-EG"/>
        </w:rPr>
        <w:t>إ</w:t>
      </w:r>
      <w:r w:rsidR="000B7434" w:rsidRPr="00C53766">
        <w:rPr>
          <w:rFonts w:hint="cs"/>
          <w:rtl/>
          <w:lang w:bidi="ar-EG"/>
        </w:rPr>
        <w:t>لخ.</w:t>
      </w:r>
    </w:p>
    <w:p w:rsidR="000B7434" w:rsidRPr="00C53766" w:rsidRDefault="004B5FA8" w:rsidP="004B5FA8">
      <w:pPr>
        <w:pStyle w:val="SingleTxtGA"/>
        <w:rPr>
          <w:rFonts w:hint="cs"/>
          <w:rtl/>
          <w:lang w:bidi="ar-EG"/>
        </w:rPr>
      </w:pPr>
      <w:r>
        <w:rPr>
          <w:rFonts w:hint="cs"/>
          <w:rtl/>
          <w:lang w:bidi="ar-EG"/>
        </w:rPr>
        <w:t>47</w:t>
      </w:r>
      <w:r w:rsidR="000B7434" w:rsidRPr="00C53766">
        <w:rPr>
          <w:rFonts w:hint="cs"/>
          <w:rtl/>
          <w:lang w:bidi="ar-EG"/>
        </w:rPr>
        <w:t>-</w:t>
      </w:r>
      <w:r w:rsidR="000B7434" w:rsidRPr="00C53766">
        <w:rPr>
          <w:rFonts w:hint="cs"/>
          <w:rtl/>
          <w:lang w:bidi="ar-EG"/>
        </w:rPr>
        <w:tab/>
        <w:t>وتنشر بعض الوزارات أيضاً مثل وزارة التربية ووزارة الصحة والسكان تحديثات واستكمالات دورية مع بيانات مفصلة عن الجنسين. وفي الجزء الثاني من هذا التقرير، نورد هذه الأرقام.</w:t>
      </w:r>
    </w:p>
    <w:p w:rsidR="000B7434" w:rsidRPr="00C53766" w:rsidRDefault="000B7434" w:rsidP="004B5FA8">
      <w:pPr>
        <w:pStyle w:val="H1GA"/>
        <w:rPr>
          <w:rFonts w:hint="cs"/>
          <w:rtl/>
          <w:lang w:bidi="ar-EG"/>
        </w:rPr>
      </w:pPr>
      <w:r>
        <w:rPr>
          <w:rFonts w:hint="cs"/>
          <w:rtl/>
          <w:lang w:bidi="ar-EG"/>
        </w:rPr>
        <w:tab/>
      </w:r>
      <w:r>
        <w:rPr>
          <w:rFonts w:hint="cs"/>
          <w:rtl/>
          <w:lang w:bidi="ar-EG"/>
        </w:rPr>
        <w:tab/>
      </w:r>
      <w:r w:rsidRPr="00C53766">
        <w:rPr>
          <w:rFonts w:hint="cs"/>
          <w:rtl/>
          <w:lang w:bidi="ar-EG"/>
        </w:rPr>
        <w:t>التصديق على البروتوكول الاختياري لاتفاقية القضاء على جميع أشكال التمييز ضد المرأة (الفقرة 222 من التعليقات الختامية)</w:t>
      </w:r>
    </w:p>
    <w:p w:rsidR="000B7434" w:rsidRPr="00C53766" w:rsidRDefault="004B5FA8" w:rsidP="004B5FA8">
      <w:pPr>
        <w:pStyle w:val="SingleTxtGA"/>
        <w:rPr>
          <w:rFonts w:hint="cs"/>
          <w:rtl/>
          <w:lang w:bidi="ar-EG"/>
        </w:rPr>
      </w:pPr>
      <w:r>
        <w:rPr>
          <w:rFonts w:hint="cs"/>
          <w:rtl/>
          <w:lang w:bidi="ar-EG"/>
        </w:rPr>
        <w:t>48</w:t>
      </w:r>
      <w:r w:rsidR="000B7434">
        <w:rPr>
          <w:rFonts w:hint="cs"/>
          <w:rtl/>
          <w:lang w:bidi="ar-EG"/>
        </w:rPr>
        <w:t>-</w:t>
      </w:r>
      <w:r w:rsidR="000B7434">
        <w:rPr>
          <w:rFonts w:hint="cs"/>
          <w:rtl/>
          <w:lang w:bidi="ar-EG"/>
        </w:rPr>
        <w:tab/>
      </w:r>
      <w:r w:rsidR="000B7434" w:rsidRPr="00C53766">
        <w:rPr>
          <w:rFonts w:hint="cs"/>
          <w:rtl/>
          <w:lang w:bidi="ar-EG"/>
        </w:rPr>
        <w:t>صدّقت نيبال على البروتوكول الاختياري لاتفاقية القضاء على جميع أشكال التمييز ضد المرأة في 15 حزيران/يونيه 2007. وقد ترجمت وزارة شؤون المرأة البروتوكول الاختياري إلى اللغة النيبالية لتوزيعه على نطاق أوسع في أرجاء البلد. وعلاوة على ذلك، اضطلعت الوزارة ببرامج تدريب وتوعية بالتعاون مع مختلف المنظمات غير الحكومية ومع وكالات الأمم المتحدة مثل صندوق الأمم المتحدة الإنمائي للمرأة، في هذا الخصوص.</w:t>
      </w:r>
    </w:p>
    <w:p w:rsidR="000B7434" w:rsidRPr="00C53766" w:rsidRDefault="000B7434" w:rsidP="004B5FA8">
      <w:pPr>
        <w:pStyle w:val="H1GA"/>
        <w:rPr>
          <w:rFonts w:hint="cs"/>
          <w:rtl/>
          <w:lang w:bidi="ar-EG"/>
        </w:rPr>
      </w:pPr>
      <w:r>
        <w:rPr>
          <w:rFonts w:hint="cs"/>
          <w:rtl/>
          <w:lang w:bidi="ar-EG"/>
        </w:rPr>
        <w:tab/>
      </w:r>
      <w:r>
        <w:rPr>
          <w:rFonts w:hint="cs"/>
          <w:rtl/>
          <w:lang w:bidi="ar-EG"/>
        </w:rPr>
        <w:tab/>
      </w:r>
      <w:r w:rsidRPr="00C53766">
        <w:rPr>
          <w:rFonts w:hint="cs"/>
          <w:rtl/>
          <w:lang w:bidi="ar-EG"/>
        </w:rPr>
        <w:t xml:space="preserve">تنفيذ إعلانات الأمم المتحدة ومناهج العمل الأخرى التي </w:t>
      </w:r>
      <w:r w:rsidR="004B5FA8">
        <w:rPr>
          <w:rFonts w:hint="cs"/>
          <w:rtl/>
          <w:lang w:bidi="ar-EG"/>
        </w:rPr>
        <w:t>ا</w:t>
      </w:r>
      <w:r w:rsidRPr="00C53766">
        <w:rPr>
          <w:rFonts w:hint="cs"/>
          <w:rtl/>
          <w:lang w:bidi="ar-EG"/>
        </w:rPr>
        <w:t>عتمدتها مؤتمرات واجتماعات القمة للأمم المتحدة ودوراتها الاستثنائية (الفقرة 224 من التعليقات الختامية)</w:t>
      </w:r>
    </w:p>
    <w:p w:rsidR="000B7434" w:rsidRPr="00C53766" w:rsidRDefault="004B5FA8" w:rsidP="002F5691">
      <w:pPr>
        <w:pStyle w:val="SingleTxtGA"/>
        <w:rPr>
          <w:rFonts w:hint="cs"/>
          <w:rtl/>
          <w:lang w:bidi="ar-EG"/>
        </w:rPr>
      </w:pPr>
      <w:r>
        <w:rPr>
          <w:rFonts w:hint="cs"/>
          <w:rtl/>
          <w:lang w:bidi="ar-EG"/>
        </w:rPr>
        <w:t>49</w:t>
      </w:r>
      <w:r w:rsidR="000B7434" w:rsidRPr="00C53766">
        <w:rPr>
          <w:rFonts w:hint="cs"/>
          <w:rtl/>
          <w:lang w:bidi="ar-EG"/>
        </w:rPr>
        <w:t>-</w:t>
      </w:r>
      <w:r w:rsidR="000B7434" w:rsidRPr="00C53766">
        <w:rPr>
          <w:rFonts w:hint="cs"/>
          <w:rtl/>
          <w:lang w:bidi="ar-EG"/>
        </w:rPr>
        <w:tab/>
        <w:t>كما ذكر في التقارير السابقة، اتخذت نيبال بالفعل إجراءات بشأن التوصيات المعتمدة في مؤتمرات الأمم المتحدة وإعلاناتها وقراراتها مثل منهاج عمل بيجين، وبما في ذلك الاجتماعات الاس</w:t>
      </w:r>
      <w:r>
        <w:rPr>
          <w:rFonts w:hint="cs"/>
          <w:rtl/>
          <w:lang w:bidi="ar-EG"/>
        </w:rPr>
        <w:t>تعراضية، وقرارا مجلس الأمن 1325(2000) و</w:t>
      </w:r>
      <w:r w:rsidR="000B7434" w:rsidRPr="00C53766">
        <w:rPr>
          <w:rFonts w:hint="cs"/>
          <w:rtl/>
          <w:lang w:bidi="ar-EG"/>
        </w:rPr>
        <w:t>1</w:t>
      </w:r>
      <w:r>
        <w:rPr>
          <w:rFonts w:hint="cs"/>
          <w:rtl/>
          <w:lang w:bidi="ar-EG"/>
        </w:rPr>
        <w:t>820</w:t>
      </w:r>
      <w:r w:rsidR="000B7434">
        <w:rPr>
          <w:rFonts w:hint="cs"/>
          <w:rtl/>
          <w:lang w:bidi="ar-EG"/>
        </w:rPr>
        <w:t>(2008). وترد تفاصيل في الجزأ</w:t>
      </w:r>
      <w:r w:rsidR="000B7434" w:rsidRPr="00C53766">
        <w:rPr>
          <w:rFonts w:hint="cs"/>
          <w:rtl/>
          <w:lang w:bidi="ar-EG"/>
        </w:rPr>
        <w:t>ين الثاني والثالث من هذا التقرير. وقد تم تناول مسائل حقوق النساء العازبات، والنساء ذوات الإعاقات والعاملات المهاجرات، والمحتجزات والسجينات</w:t>
      </w:r>
      <w:r>
        <w:rPr>
          <w:rFonts w:hint="cs"/>
          <w:rtl/>
          <w:lang w:bidi="ar-EG"/>
        </w:rPr>
        <w:t>،</w:t>
      </w:r>
      <w:r w:rsidR="000B7434" w:rsidRPr="00C53766">
        <w:rPr>
          <w:rFonts w:hint="cs"/>
          <w:rtl/>
          <w:lang w:bidi="ar-EG"/>
        </w:rPr>
        <w:t xml:space="preserve"> </w:t>
      </w:r>
      <w:r>
        <w:rPr>
          <w:rFonts w:hint="cs"/>
          <w:rtl/>
          <w:lang w:bidi="ar-EG"/>
        </w:rPr>
        <w:t>إ</w:t>
      </w:r>
      <w:r w:rsidR="000B7434" w:rsidRPr="00C53766">
        <w:rPr>
          <w:rFonts w:hint="cs"/>
          <w:rtl/>
          <w:lang w:bidi="ar-EG"/>
        </w:rPr>
        <w:t xml:space="preserve">لخ تحت عنوان </w:t>
      </w:r>
      <w:r w:rsidR="002F5691">
        <w:rPr>
          <w:rFonts w:hint="cs"/>
          <w:rtl/>
          <w:lang w:bidi="ar-EG"/>
        </w:rPr>
        <w:t>"</w:t>
      </w:r>
      <w:r w:rsidR="000B7434" w:rsidRPr="00C53766">
        <w:rPr>
          <w:rFonts w:hint="cs"/>
          <w:rtl/>
          <w:lang w:bidi="ar-EG"/>
        </w:rPr>
        <w:t>مسائل ناشئة</w:t>
      </w:r>
      <w:r w:rsidR="002F5691">
        <w:rPr>
          <w:rFonts w:hint="cs"/>
          <w:rtl/>
          <w:lang w:bidi="ar-EG"/>
        </w:rPr>
        <w:t>"</w:t>
      </w:r>
      <w:r w:rsidR="000B7434" w:rsidRPr="00C53766">
        <w:rPr>
          <w:rFonts w:hint="cs"/>
          <w:rtl/>
          <w:lang w:bidi="ar-EG"/>
        </w:rPr>
        <w:t xml:space="preserve"> في الجزء الرابع من هذا التقرير.</w:t>
      </w:r>
    </w:p>
    <w:p w:rsidR="000B7434" w:rsidRPr="00C53766" w:rsidRDefault="000B7434" w:rsidP="00B87BF2">
      <w:pPr>
        <w:pStyle w:val="HChGA"/>
        <w:spacing w:after="0"/>
        <w:rPr>
          <w:rFonts w:hint="cs"/>
          <w:rtl/>
          <w:lang w:bidi="ar-EG"/>
        </w:rPr>
      </w:pPr>
      <w:r>
        <w:rPr>
          <w:rFonts w:hint="cs"/>
          <w:rtl/>
          <w:lang w:bidi="ar-EG"/>
        </w:rPr>
        <w:tab/>
      </w:r>
      <w:r>
        <w:rPr>
          <w:rFonts w:hint="cs"/>
          <w:rtl/>
          <w:lang w:bidi="ar-EG"/>
        </w:rPr>
        <w:tab/>
      </w:r>
      <w:r w:rsidRPr="00C53766">
        <w:rPr>
          <w:rFonts w:hint="cs"/>
          <w:rtl/>
          <w:lang w:bidi="ar-EG"/>
        </w:rPr>
        <w:t>الجزء الثان</w:t>
      </w:r>
      <w:r w:rsidR="00F869D3">
        <w:rPr>
          <w:rFonts w:hint="cs"/>
          <w:rtl/>
          <w:lang w:bidi="ar-EG"/>
        </w:rPr>
        <w:t>ي</w:t>
      </w:r>
    </w:p>
    <w:p w:rsidR="004B5FA8" w:rsidRDefault="000B7434" w:rsidP="004B5FA8">
      <w:pPr>
        <w:pStyle w:val="HChGA"/>
        <w:spacing w:before="120"/>
        <w:jc w:val="left"/>
        <w:rPr>
          <w:rFonts w:hint="cs"/>
          <w:rtl/>
          <w:lang w:bidi="ar-EG"/>
        </w:rPr>
      </w:pPr>
      <w:r>
        <w:rPr>
          <w:rFonts w:hint="cs"/>
          <w:rtl/>
          <w:lang w:bidi="ar-EG"/>
        </w:rPr>
        <w:tab/>
      </w:r>
      <w:r>
        <w:rPr>
          <w:rFonts w:hint="cs"/>
          <w:rtl/>
          <w:lang w:bidi="ar-EG"/>
        </w:rPr>
        <w:tab/>
      </w:r>
      <w:r w:rsidRPr="00C53766">
        <w:rPr>
          <w:rFonts w:hint="cs"/>
          <w:rtl/>
          <w:lang w:bidi="ar-EG"/>
        </w:rPr>
        <w:t>التطورات الجديدة</w:t>
      </w:r>
    </w:p>
    <w:p w:rsidR="004B5FA8" w:rsidRDefault="004B5FA8" w:rsidP="004B5FA8">
      <w:pPr>
        <w:pStyle w:val="H1GA"/>
        <w:spacing w:after="0"/>
        <w:rPr>
          <w:rFonts w:hint="cs"/>
          <w:rtl/>
          <w:lang w:bidi="ar-EG"/>
        </w:rPr>
      </w:pPr>
      <w:r>
        <w:rPr>
          <w:rFonts w:hint="cs"/>
          <w:rtl/>
          <w:lang w:bidi="ar-EG"/>
        </w:rPr>
        <w:tab/>
      </w:r>
      <w:r>
        <w:rPr>
          <w:rFonts w:hint="cs"/>
          <w:rtl/>
          <w:lang w:bidi="ar-EG"/>
        </w:rPr>
        <w:tab/>
        <w:t>المادتان 1 و</w:t>
      </w:r>
      <w:r w:rsidR="000B7434" w:rsidRPr="00C53766">
        <w:rPr>
          <w:rFonts w:hint="cs"/>
          <w:rtl/>
          <w:lang w:bidi="ar-EG"/>
        </w:rPr>
        <w:t>2</w:t>
      </w:r>
    </w:p>
    <w:p w:rsidR="000B7434" w:rsidRPr="00C53766" w:rsidRDefault="004B5FA8" w:rsidP="004B5FA8">
      <w:pPr>
        <w:pStyle w:val="H1GA"/>
        <w:spacing w:before="0"/>
        <w:rPr>
          <w:rFonts w:hint="cs"/>
          <w:rtl/>
          <w:lang w:bidi="ar-EG"/>
        </w:rPr>
      </w:pPr>
      <w:r>
        <w:rPr>
          <w:rFonts w:hint="cs"/>
          <w:rtl/>
          <w:lang w:bidi="ar-EG"/>
        </w:rPr>
        <w:tab/>
      </w:r>
      <w:r>
        <w:rPr>
          <w:rFonts w:hint="cs"/>
          <w:rtl/>
          <w:lang w:bidi="ar-EG"/>
        </w:rPr>
        <w:tab/>
      </w:r>
      <w:r w:rsidR="000B7434" w:rsidRPr="00C53766">
        <w:rPr>
          <w:rFonts w:hint="cs"/>
          <w:rtl/>
          <w:lang w:bidi="ar-EG"/>
        </w:rPr>
        <w:t>مراجعة وتعديل القوانين التمييزية</w:t>
      </w:r>
    </w:p>
    <w:p w:rsidR="000B7434" w:rsidRPr="00C53766" w:rsidRDefault="004B5FA8" w:rsidP="00B87BF2">
      <w:pPr>
        <w:pStyle w:val="H23GA"/>
        <w:rPr>
          <w:rFonts w:hint="cs"/>
          <w:rtl/>
          <w:lang w:bidi="ar-EG"/>
        </w:rPr>
      </w:pPr>
      <w:r>
        <w:rPr>
          <w:rFonts w:hint="cs"/>
          <w:rtl/>
          <w:lang w:bidi="ar-EG"/>
        </w:rPr>
        <w:tab/>
      </w:r>
      <w:r>
        <w:rPr>
          <w:rFonts w:hint="cs"/>
          <w:rtl/>
          <w:lang w:bidi="ar-EG"/>
        </w:rPr>
        <w:tab/>
      </w:r>
      <w:r w:rsidR="000B7434" w:rsidRPr="00C53766">
        <w:rPr>
          <w:rFonts w:hint="cs"/>
          <w:rtl/>
          <w:lang w:bidi="ar-EG"/>
        </w:rPr>
        <w:t>معلومات أساسية</w:t>
      </w:r>
    </w:p>
    <w:p w:rsidR="000B7434" w:rsidRPr="00C53766" w:rsidRDefault="004B5FA8" w:rsidP="004B5FA8">
      <w:pPr>
        <w:pStyle w:val="SingleTxtGA"/>
        <w:rPr>
          <w:rFonts w:hint="cs"/>
          <w:rtl/>
          <w:lang w:bidi="ar-EG"/>
        </w:rPr>
      </w:pPr>
      <w:r>
        <w:rPr>
          <w:rFonts w:hint="cs"/>
          <w:rtl/>
          <w:lang w:bidi="ar-EG"/>
        </w:rPr>
        <w:t>50</w:t>
      </w:r>
      <w:r w:rsidR="000B7434">
        <w:rPr>
          <w:rFonts w:hint="cs"/>
          <w:rtl/>
          <w:lang w:bidi="ar-EG"/>
        </w:rPr>
        <w:t>-</w:t>
      </w:r>
      <w:r w:rsidR="000B7434">
        <w:rPr>
          <w:rFonts w:hint="cs"/>
          <w:rtl/>
          <w:lang w:bidi="ar-EG"/>
        </w:rPr>
        <w:tab/>
      </w:r>
      <w:r w:rsidR="000B7434" w:rsidRPr="00C53766">
        <w:rPr>
          <w:rFonts w:hint="cs"/>
          <w:rtl/>
          <w:lang w:bidi="ar-EG"/>
        </w:rPr>
        <w:t>أتمت لجنة إصلاح القوانين التمييزية التي أنشئت في إطار وزارة القانون والعدل والشؤون البرلمانية، عملها بسرعة. ونتيجة لذلك تم تعديل عشرات الأحكام القانونية أو</w:t>
      </w:r>
      <w:r w:rsidR="000B7434">
        <w:rPr>
          <w:rFonts w:hint="eastAsia"/>
          <w:rtl/>
          <w:lang w:bidi="ar-EG"/>
        </w:rPr>
        <w:t> </w:t>
      </w:r>
      <w:r w:rsidR="000B7434" w:rsidRPr="00C53766">
        <w:rPr>
          <w:rFonts w:hint="cs"/>
          <w:rtl/>
          <w:lang w:bidi="ar-EG"/>
        </w:rPr>
        <w:t>إلغاؤها، في مجالي القوانين المدنية والجنائية على حد سواء، مثل الممتلكات، والزواج والإرث، والتبنّي، والاغتصاب، والإجهاض، وتعدّد الزوجات الخ. وبالمثل، أدمجت في مدونة القوانين القُطرية بعض الأحكام لتجريم العنف ضد المرأة، مثل معاقبة جريمة التنديد بامرأة بزعم أنها تمارس السحر. وأجريت تعديلات أيضا</w:t>
      </w:r>
      <w:r>
        <w:rPr>
          <w:rFonts w:hint="cs"/>
          <w:rtl/>
          <w:lang w:bidi="ar-EG"/>
        </w:rPr>
        <w:t>ً</w:t>
      </w:r>
      <w:r w:rsidR="000B7434" w:rsidRPr="00C53766">
        <w:rPr>
          <w:rFonts w:hint="cs"/>
          <w:rtl/>
          <w:lang w:bidi="ar-EG"/>
        </w:rPr>
        <w:t xml:space="preserve"> لقوانين إجرائية من منظور المساواة بين</w:t>
      </w:r>
      <w:r w:rsidR="000B7434">
        <w:rPr>
          <w:rFonts w:hint="eastAsia"/>
          <w:rtl/>
          <w:lang w:bidi="ar-EG"/>
        </w:rPr>
        <w:t> </w:t>
      </w:r>
      <w:r w:rsidR="000B7434" w:rsidRPr="00C53766">
        <w:rPr>
          <w:rFonts w:hint="cs"/>
          <w:rtl/>
          <w:lang w:bidi="ar-EG"/>
        </w:rPr>
        <w:t>الجنسين ولصياغتها بلغة مراعية للجنسين. وفيما يلي بعض من المجالات التي أجريت تعديلات لها بالتعديل الحادي عشر في مدونة القوانين القطرية وعن طريق القانون التشريعي الذي استُنّ لتعديل بعض القوانين النيبالية ح</w:t>
      </w:r>
      <w:r w:rsidR="000B7434">
        <w:rPr>
          <w:rFonts w:hint="cs"/>
          <w:rtl/>
          <w:lang w:bidi="ar-EG"/>
        </w:rPr>
        <w:t>فاظاً على المساواة بين الجنسين.</w:t>
      </w:r>
    </w:p>
    <w:p w:rsidR="000B7434" w:rsidRPr="00C53766" w:rsidRDefault="000B7434" w:rsidP="00B87BF2">
      <w:pPr>
        <w:pStyle w:val="H23GA"/>
        <w:rPr>
          <w:rFonts w:hint="cs"/>
          <w:rtl/>
          <w:lang w:bidi="ar-EG"/>
        </w:rPr>
      </w:pPr>
      <w:r>
        <w:rPr>
          <w:rFonts w:hint="cs"/>
          <w:rtl/>
          <w:lang w:bidi="ar-EG"/>
        </w:rPr>
        <w:tab/>
      </w:r>
      <w:r>
        <w:rPr>
          <w:rFonts w:hint="cs"/>
          <w:rtl/>
          <w:lang w:bidi="ar-EG"/>
        </w:rPr>
        <w:tab/>
      </w:r>
      <w:r w:rsidRPr="00C53766">
        <w:rPr>
          <w:rFonts w:hint="cs"/>
          <w:rtl/>
          <w:lang w:bidi="ar-EG"/>
        </w:rPr>
        <w:t>قوانين الممتلكات</w:t>
      </w:r>
    </w:p>
    <w:p w:rsidR="000B7434" w:rsidRPr="00C53766" w:rsidRDefault="00F869D3" w:rsidP="00F869D3">
      <w:pPr>
        <w:pStyle w:val="SingleTxtGA"/>
        <w:rPr>
          <w:rFonts w:hint="cs"/>
          <w:rtl/>
          <w:lang w:bidi="ar-EG"/>
        </w:rPr>
      </w:pPr>
      <w:r>
        <w:rPr>
          <w:rFonts w:hint="cs"/>
          <w:rtl/>
          <w:lang w:bidi="ar-EG"/>
        </w:rPr>
        <w:t>51</w:t>
      </w:r>
      <w:r w:rsidR="000B7434" w:rsidRPr="00C53766">
        <w:rPr>
          <w:rFonts w:hint="cs"/>
          <w:rtl/>
          <w:lang w:bidi="ar-EG"/>
        </w:rPr>
        <w:t>-</w:t>
      </w:r>
      <w:r w:rsidR="000B7434" w:rsidRPr="00C53766">
        <w:rPr>
          <w:rFonts w:hint="cs"/>
          <w:rtl/>
          <w:lang w:bidi="ar-EG"/>
        </w:rPr>
        <w:tab/>
        <w:t xml:space="preserve">عُدّلت الأحكام التمييزية المتعلقة بالممتلكات الموروثة عن الأجداد والشروط المقيّدة لاستعمال تلك الممتلكات، بحيث توفر ضماناً كاملاً بالاعتراف بالمرأة كشريكة في الإرث سواء من حيث الحصول على الحقوق الخالصة في الإرث أو ممارستها على قدم المساواة مع الرجل. وقد عدّلت هذه القوانين في أعقاب الأمر الذي أصدرته المحكمة العليا بالمحافظة على المساواة بين الجنسين. وهناك بعض القضايا البارزة، التي أقيمت بوصفها من قضايا المصلحة العامة والتي فُصل فيها لصالح المرأة وحقوقها في الملكية خلال الفترة المشمولة بهذا التقرير. ففي قضية </w:t>
      </w:r>
      <w:r w:rsidR="000B7434" w:rsidRPr="00C53766">
        <w:rPr>
          <w:rFonts w:hint="cs"/>
          <w:i/>
          <w:iCs/>
          <w:rtl/>
          <w:lang w:bidi="ar-EG"/>
        </w:rPr>
        <w:t>ليلي ثابا ضد</w:t>
      </w:r>
      <w:r w:rsidR="000B7434" w:rsidRPr="00C53766">
        <w:rPr>
          <w:rFonts w:hint="cs"/>
          <w:rtl/>
          <w:lang w:bidi="ar-EG"/>
        </w:rPr>
        <w:t xml:space="preserve"> </w:t>
      </w:r>
      <w:r w:rsidR="000B7434" w:rsidRPr="00C53766">
        <w:rPr>
          <w:rFonts w:hint="cs"/>
          <w:i/>
          <w:iCs/>
          <w:rtl/>
          <w:lang w:bidi="ar-EG"/>
        </w:rPr>
        <w:t>مجلس الوزراء</w:t>
      </w:r>
      <w:r w:rsidR="000B7434" w:rsidRPr="00C53766">
        <w:rPr>
          <w:rFonts w:hint="cs"/>
          <w:rtl/>
          <w:lang w:bidi="ar-EG"/>
        </w:rPr>
        <w:t xml:space="preserve"> التي حسمت في 30/8/2062 حسب التقويم النيبالي (15 كانون الأول/ديسمبر 2005)، طعنت الملتمسة في الحكم الوارد في الفصل المتعلق بممتلكات المرأة الذي يضع قيوداً على تمتّع المرأة بحقوق الملكية الخالصة، بما في ذلك بيع ونفل ملكية حصتها. وأعاد القرار الصادر عن المحكمة العليا تأكيد </w:t>
      </w:r>
      <w:r w:rsidR="00D62BA8">
        <w:rPr>
          <w:rtl/>
          <w:lang w:bidi="ar-EG"/>
        </w:rPr>
        <w:t>"</w:t>
      </w:r>
      <w:r w:rsidR="000B7434" w:rsidRPr="00C53766">
        <w:rPr>
          <w:rFonts w:hint="cs"/>
          <w:rtl/>
          <w:lang w:bidi="ar-EG"/>
        </w:rPr>
        <w:t>ملكيتها للممتلكات</w:t>
      </w:r>
      <w:r w:rsidR="00D62BA8">
        <w:rPr>
          <w:rtl/>
          <w:lang w:bidi="ar-EG"/>
        </w:rPr>
        <w:t>"</w:t>
      </w:r>
      <w:r w:rsidR="000B7434" w:rsidRPr="00C53766">
        <w:rPr>
          <w:rFonts w:hint="cs"/>
          <w:rtl/>
          <w:lang w:bidi="ar-EG"/>
        </w:rPr>
        <w:t xml:space="preserve"> تمشياً مع الحقوق القانونية للمرأة في الممتلكات المضمونة بموجب المادة 15 من الاتفاقية. وقد</w:t>
      </w:r>
      <w:r w:rsidR="000B7434">
        <w:rPr>
          <w:rFonts w:hint="eastAsia"/>
          <w:rtl/>
          <w:lang w:bidi="ar-EG"/>
        </w:rPr>
        <w:t> </w:t>
      </w:r>
      <w:r w:rsidR="000B7434" w:rsidRPr="00C53766">
        <w:rPr>
          <w:rFonts w:hint="cs"/>
          <w:rtl/>
          <w:lang w:bidi="ar-EG"/>
        </w:rPr>
        <w:t>أجرى التعديل الحادي عشر لمدونة القوانين القُطرية الإصلاحات اللازمة وفقاً لذلك.</w:t>
      </w:r>
    </w:p>
    <w:p w:rsidR="000B7434" w:rsidRPr="00C53766" w:rsidRDefault="00F869D3" w:rsidP="00B87BF2">
      <w:pPr>
        <w:pStyle w:val="SingleTxtGA"/>
        <w:rPr>
          <w:rFonts w:hint="cs"/>
          <w:rtl/>
          <w:lang w:bidi="ar-EG"/>
        </w:rPr>
      </w:pPr>
      <w:r>
        <w:rPr>
          <w:rFonts w:hint="cs"/>
          <w:rtl/>
          <w:lang w:bidi="ar-EG"/>
        </w:rPr>
        <w:t>52</w:t>
      </w:r>
      <w:r w:rsidR="000B7434">
        <w:rPr>
          <w:rFonts w:hint="cs"/>
          <w:rtl/>
          <w:lang w:bidi="ar-EG"/>
        </w:rPr>
        <w:t>-</w:t>
      </w:r>
      <w:r w:rsidR="000B7434">
        <w:rPr>
          <w:rFonts w:hint="cs"/>
          <w:rtl/>
          <w:lang w:bidi="ar-EG"/>
        </w:rPr>
        <w:tab/>
      </w:r>
      <w:r w:rsidR="000B7434" w:rsidRPr="00C53766">
        <w:rPr>
          <w:rFonts w:hint="cs"/>
          <w:rtl/>
          <w:lang w:bidi="ar-EG"/>
        </w:rPr>
        <w:t xml:space="preserve">وبعد القضية الأولى التي أقامتها </w:t>
      </w:r>
      <w:r w:rsidR="000B7434" w:rsidRPr="00C53766">
        <w:rPr>
          <w:rFonts w:hint="cs"/>
          <w:i/>
          <w:iCs/>
          <w:rtl/>
          <w:lang w:bidi="ar-EG"/>
        </w:rPr>
        <w:t>ميرا دونغان</w:t>
      </w:r>
      <w:r w:rsidR="000B7434" w:rsidRPr="00C53766">
        <w:rPr>
          <w:rFonts w:hint="cs"/>
          <w:rtl/>
          <w:lang w:bidi="ar-EG"/>
        </w:rPr>
        <w:t xml:space="preserve"> بخصوص حقها في ممتلكات موروثة (المبلغ عنها في التقارير السابقة)، أجري التعديل الحادي عشر لمدونة القوانين القُطرية، الذي ألغى الحكم القائم على معيار فيه تمييز بين الجنسين استناداً إلى السن والحالة الزوجية. وقد اعترف التعديل الحادي عشر بالبنات شريكاتٍ في الإرث وبحقهن بموجب مولدهن في الممتلكات الموروثة، غير أن هذا الحكم ظل تمييزياً لأنه كان يقتضي من البنات أن يُع</w:t>
      </w:r>
      <w:r w:rsidR="000B7434" w:rsidRPr="00C53766">
        <w:rPr>
          <w:rFonts w:hint="cs"/>
          <w:rtl/>
          <w:lang w:bidi="ar-JO"/>
        </w:rPr>
        <w:t>ِ</w:t>
      </w:r>
      <w:r w:rsidR="000B7434" w:rsidRPr="00C53766">
        <w:rPr>
          <w:rFonts w:hint="cs"/>
          <w:rtl/>
          <w:lang w:bidi="ar-EG"/>
        </w:rPr>
        <w:t xml:space="preserve">دن، بعد زواجهن، ممتلكاتهن الموروثة. وقد تم الطعن فيه </w:t>
      </w:r>
      <w:r w:rsidR="00B87BF2">
        <w:rPr>
          <w:rFonts w:hint="cs"/>
          <w:rtl/>
          <w:lang w:bidi="ar-EG"/>
        </w:rPr>
        <w:t>أ</w:t>
      </w:r>
      <w:r w:rsidR="000B7434" w:rsidRPr="00C53766">
        <w:rPr>
          <w:rFonts w:hint="cs"/>
          <w:rtl/>
          <w:lang w:bidi="ar-EG"/>
        </w:rPr>
        <w:t xml:space="preserve">يضاً عن طريق قضيتي </w:t>
      </w:r>
      <w:r w:rsidR="000B7434" w:rsidRPr="00C53766">
        <w:rPr>
          <w:rFonts w:hint="cs"/>
          <w:i/>
          <w:iCs/>
          <w:rtl/>
          <w:lang w:bidi="ar-EG"/>
        </w:rPr>
        <w:t>ميرا دونغان ضد مجلس الوزراء</w:t>
      </w:r>
      <w:r w:rsidR="000B7434" w:rsidRPr="00C53766">
        <w:rPr>
          <w:rFonts w:hint="cs"/>
          <w:rtl/>
          <w:lang w:bidi="ar-EG"/>
        </w:rPr>
        <w:t xml:space="preserve"> التي فُصل فيها في 29 تموز/يوليه 2004، </w:t>
      </w:r>
      <w:r w:rsidR="000B7434" w:rsidRPr="00C53766">
        <w:rPr>
          <w:rFonts w:hint="cs"/>
          <w:i/>
          <w:iCs/>
          <w:rtl/>
          <w:lang w:bidi="ar-EG"/>
        </w:rPr>
        <w:t>وبراكش ماني شارما ضد مجلس الوزراء</w:t>
      </w:r>
      <w:r w:rsidR="000B7434" w:rsidRPr="00C53766">
        <w:rPr>
          <w:rFonts w:hint="cs"/>
          <w:rtl/>
          <w:lang w:bidi="ar-EG"/>
        </w:rPr>
        <w:t xml:space="preserve"> التي فُصل فيها في 15 كانون الأول/ديسمبر 2005</w:t>
      </w:r>
      <w:r w:rsidR="000B7434">
        <w:rPr>
          <w:rFonts w:hint="cs"/>
          <w:rtl/>
          <w:lang w:bidi="ar-EG"/>
        </w:rPr>
        <w:t>.</w:t>
      </w:r>
      <w:r w:rsidR="000B7434" w:rsidRPr="00C53766">
        <w:rPr>
          <w:rFonts w:hint="cs"/>
          <w:rtl/>
          <w:lang w:bidi="ar-EG"/>
        </w:rPr>
        <w:t xml:space="preserve"> ووفقاً للأمر الإيعازي الصادر عن المحكمة العليا إلى الحكومة، عُدّل الحكم التمييزي بشأن مسألة الحق في الممتلكات الموروثة الوارد في مدونة القوانين القطرية.</w:t>
      </w:r>
    </w:p>
    <w:p w:rsidR="000B7434" w:rsidRPr="00C53766" w:rsidRDefault="000B7434" w:rsidP="00B87BF2">
      <w:pPr>
        <w:pStyle w:val="H23GA"/>
        <w:rPr>
          <w:rFonts w:hint="cs"/>
          <w:rtl/>
          <w:lang w:bidi="ar-EG"/>
        </w:rPr>
      </w:pPr>
      <w:r>
        <w:rPr>
          <w:rFonts w:hint="cs"/>
          <w:rtl/>
          <w:lang w:bidi="ar-EG"/>
        </w:rPr>
        <w:tab/>
      </w:r>
      <w:r>
        <w:rPr>
          <w:rFonts w:hint="cs"/>
          <w:rtl/>
          <w:lang w:bidi="ar-EG"/>
        </w:rPr>
        <w:tab/>
      </w:r>
      <w:r w:rsidRPr="00C53766">
        <w:rPr>
          <w:rFonts w:hint="cs"/>
          <w:rtl/>
          <w:lang w:bidi="ar-EG"/>
        </w:rPr>
        <w:t>الأحكام المتعلقة بالزواج، والطلاق، وحضانة الأطفال، والتبني</w:t>
      </w:r>
    </w:p>
    <w:p w:rsidR="000B7434" w:rsidRPr="00C53766" w:rsidRDefault="00F869D3" w:rsidP="00B87BF2">
      <w:pPr>
        <w:pStyle w:val="SingleTxtGA"/>
        <w:rPr>
          <w:rFonts w:hint="cs"/>
          <w:rtl/>
          <w:lang w:bidi="ar-EG"/>
        </w:rPr>
      </w:pPr>
      <w:r>
        <w:rPr>
          <w:rFonts w:hint="cs"/>
          <w:rtl/>
          <w:lang w:bidi="ar-EG"/>
        </w:rPr>
        <w:t>53</w:t>
      </w:r>
      <w:r w:rsidR="000B7434" w:rsidRPr="00C53766">
        <w:rPr>
          <w:rFonts w:hint="cs"/>
          <w:rtl/>
          <w:lang w:bidi="ar-EG"/>
        </w:rPr>
        <w:t>-</w:t>
      </w:r>
      <w:r w:rsidR="000B7434" w:rsidRPr="00C53766">
        <w:rPr>
          <w:rFonts w:hint="cs"/>
          <w:rtl/>
          <w:lang w:bidi="ar-EG"/>
        </w:rPr>
        <w:tab/>
        <w:t xml:space="preserve">ألغيت الأحكام القائمة على التمييز الجنساني والمتعلقة بالزواج والطلاق وحضانة الأطفال والتبني وفقاً لما تتسم به من تمييز. وعلى سبيل المثال، بعد </w:t>
      </w:r>
      <w:r w:rsidR="00B87BF2">
        <w:rPr>
          <w:rFonts w:hint="cs"/>
          <w:rtl/>
          <w:lang w:bidi="ar-EG"/>
        </w:rPr>
        <w:t>أ</w:t>
      </w:r>
      <w:r w:rsidR="000B7434" w:rsidRPr="00C53766">
        <w:rPr>
          <w:rFonts w:hint="cs"/>
          <w:rtl/>
          <w:lang w:bidi="ar-EG"/>
        </w:rPr>
        <w:t xml:space="preserve">ن أصدرت المحكمة أمراً إيعازياً في قضية </w:t>
      </w:r>
      <w:r w:rsidR="000B7434" w:rsidRPr="00C53766">
        <w:rPr>
          <w:rFonts w:hint="cs"/>
          <w:i/>
          <w:iCs/>
          <w:rtl/>
          <w:lang w:bidi="ar-EG"/>
        </w:rPr>
        <w:t xml:space="preserve">شيام كريشنا ماسكي وأخريات </w:t>
      </w:r>
      <w:r w:rsidR="000B7434" w:rsidRPr="00C53766">
        <w:rPr>
          <w:rFonts w:hint="cs"/>
          <w:rtl/>
          <w:lang w:bidi="ar-EG"/>
        </w:rPr>
        <w:t>ضد</w:t>
      </w:r>
      <w:r w:rsidR="000B7434" w:rsidRPr="00C53766">
        <w:rPr>
          <w:rFonts w:hint="cs"/>
          <w:i/>
          <w:iCs/>
          <w:rtl/>
          <w:lang w:bidi="ar-EG"/>
        </w:rPr>
        <w:t xml:space="preserve"> وزارة القانون والعدل والشؤون البرلمانية وآخرين</w:t>
      </w:r>
      <w:r w:rsidR="000B7434" w:rsidRPr="00C53766">
        <w:rPr>
          <w:rFonts w:hint="cs"/>
          <w:rtl/>
          <w:lang w:bidi="ar-EG"/>
        </w:rPr>
        <w:t xml:space="preserve"> التي فصل فيها في 28/10/2061 بالتقويم النيبالي (10 شباط/فبراير 2005)، عُدّل الحكم الوارد في القانون بشأن الطلاق بحيث ينص على نفس الأسس بالنسبة إلى الرجال والنساء. وعلى المنوال ذاته، يمنح الحكم الحالي الوارد في القانون الأولوية الأولى في الحضانة للأم. وعُدّلت </w:t>
      </w:r>
      <w:r>
        <w:rPr>
          <w:rFonts w:hint="cs"/>
          <w:rtl/>
          <w:lang w:bidi="ar-EG"/>
        </w:rPr>
        <w:t>أ</w:t>
      </w:r>
      <w:r w:rsidR="000B7434" w:rsidRPr="00C53766">
        <w:rPr>
          <w:rFonts w:hint="cs"/>
          <w:rtl/>
          <w:lang w:bidi="ar-EG"/>
        </w:rPr>
        <w:t>يضا</w:t>
      </w:r>
      <w:r>
        <w:rPr>
          <w:rFonts w:hint="cs"/>
          <w:rtl/>
          <w:lang w:bidi="ar-EG"/>
        </w:rPr>
        <w:t>ً</w:t>
      </w:r>
      <w:r w:rsidR="000B7434" w:rsidRPr="00C53766">
        <w:rPr>
          <w:rFonts w:hint="cs"/>
          <w:rtl/>
          <w:lang w:bidi="ar-EG"/>
        </w:rPr>
        <w:t xml:space="preserve"> القوانين بشأن الزواج (المبلغ عنها أدناه في إطار التقدم المحرز بشأن المادة 16). مثلاً أصبح سن الأهلية للزواج واحداً بالنسبة إلى الرجال والنساء وكذلك تُرسي القوانين معاييرَ متساويةً لتبنّي الأطفال.</w:t>
      </w:r>
    </w:p>
    <w:p w:rsidR="000B7434" w:rsidRPr="00C53766" w:rsidRDefault="00B87BF2" w:rsidP="00B87BF2">
      <w:pPr>
        <w:pStyle w:val="H23GA"/>
        <w:rPr>
          <w:rFonts w:hint="cs"/>
          <w:rtl/>
          <w:lang w:bidi="ar-EG"/>
        </w:rPr>
      </w:pPr>
      <w:r>
        <w:rPr>
          <w:rtl/>
          <w:lang w:bidi="ar-EG"/>
        </w:rPr>
        <w:br w:type="page"/>
      </w:r>
      <w:r w:rsidR="00F869D3">
        <w:rPr>
          <w:rFonts w:hint="cs"/>
          <w:rtl/>
          <w:lang w:bidi="ar-EG"/>
        </w:rPr>
        <w:tab/>
      </w:r>
      <w:r w:rsidR="00F869D3">
        <w:rPr>
          <w:rFonts w:hint="cs"/>
          <w:rtl/>
          <w:lang w:bidi="ar-EG"/>
        </w:rPr>
        <w:tab/>
      </w:r>
      <w:r w:rsidR="000B7434" w:rsidRPr="00C53766">
        <w:rPr>
          <w:rFonts w:hint="cs"/>
          <w:rtl/>
          <w:lang w:bidi="ar-EG"/>
        </w:rPr>
        <w:t>الاعتراف بهوية المرأة في القوانين الإجرائية</w:t>
      </w:r>
    </w:p>
    <w:p w:rsidR="000B7434" w:rsidRPr="00C53766" w:rsidRDefault="00F869D3" w:rsidP="00F869D3">
      <w:pPr>
        <w:pStyle w:val="SingleTxtGA"/>
        <w:rPr>
          <w:rFonts w:hint="cs"/>
          <w:rtl/>
          <w:lang w:bidi="ar-EG"/>
        </w:rPr>
      </w:pPr>
      <w:r>
        <w:rPr>
          <w:rFonts w:hint="cs"/>
          <w:rtl/>
          <w:lang w:bidi="ar-EG"/>
        </w:rPr>
        <w:t>54</w:t>
      </w:r>
      <w:r w:rsidR="000B7434" w:rsidRPr="00C53766">
        <w:rPr>
          <w:rFonts w:hint="cs"/>
          <w:rtl/>
          <w:lang w:bidi="ar-EG"/>
        </w:rPr>
        <w:t>-</w:t>
      </w:r>
      <w:r w:rsidR="000B7434" w:rsidRPr="00C53766">
        <w:rPr>
          <w:rFonts w:hint="cs"/>
          <w:rtl/>
          <w:lang w:bidi="ar-EG"/>
        </w:rPr>
        <w:tab/>
        <w:t>عُدِّلت عدة أحكام في أعقاب الاعتراف بالمركز المستقل للمرأة في القوانين الإجرائية. ولم يكن يحق للمرأة في السابق أن تشترك في مسائل الإجراءات في المحاكم، على</w:t>
      </w:r>
      <w:r w:rsidR="000B7434">
        <w:rPr>
          <w:rFonts w:hint="eastAsia"/>
          <w:rtl/>
          <w:lang w:bidi="ar-EG"/>
        </w:rPr>
        <w:t> </w:t>
      </w:r>
      <w:r w:rsidR="000B7434" w:rsidRPr="00C53766">
        <w:rPr>
          <w:rFonts w:hint="cs"/>
          <w:rtl/>
          <w:lang w:bidi="ar-EG"/>
        </w:rPr>
        <w:t>النقيض من أفراد الأسرة الذكور. وكان القانون السابق يستثني المرأة من تسلّم ورقات الاستدعاء للمحكمة الصادرة باسم أعضاء الأسرة. وقد عُدِّلت هذه الأحكام بقانون تعديل بعض القوانين النيبالية المتصلة بإدارة المحاكم وإقامة العدل صدر عام 2002. وبالإضافة إلى ذلك، عُدِّل عددٌ من القوانين التي تنص على أحكام إيجابية خاصة في القضايا النسائية الحساسة، مثلاً إعطاء الأولوية للنظر في دعاوى الأرامل. كما أُدرج حكم يجعل المحاكمات سرية احتراماً لخصوصيات المرأة وكتمانها بهدف حمايتها من الوقوع ضحية مرة أخرى.</w:t>
      </w:r>
    </w:p>
    <w:p w:rsidR="000B7434" w:rsidRPr="00C53766" w:rsidRDefault="000B7434" w:rsidP="00B87BF2">
      <w:pPr>
        <w:pStyle w:val="H23GA"/>
        <w:rPr>
          <w:rFonts w:hint="cs"/>
          <w:rtl/>
          <w:lang w:bidi="ar-EG"/>
        </w:rPr>
      </w:pPr>
      <w:r>
        <w:rPr>
          <w:rFonts w:hint="cs"/>
          <w:rtl/>
          <w:lang w:bidi="ar-EG"/>
        </w:rPr>
        <w:tab/>
      </w:r>
      <w:r>
        <w:rPr>
          <w:rFonts w:hint="cs"/>
          <w:rtl/>
          <w:lang w:bidi="ar-EG"/>
        </w:rPr>
        <w:tab/>
      </w:r>
      <w:r w:rsidRPr="00C53766">
        <w:rPr>
          <w:rFonts w:hint="cs"/>
          <w:rtl/>
          <w:lang w:bidi="ar-EG"/>
        </w:rPr>
        <w:t>التعديلات في القوانين الجنائية</w:t>
      </w:r>
    </w:p>
    <w:p w:rsidR="000B7434" w:rsidRPr="00C53766" w:rsidRDefault="00F869D3" w:rsidP="00DF331A">
      <w:pPr>
        <w:pStyle w:val="SingleTxtGA"/>
        <w:rPr>
          <w:rFonts w:hint="cs"/>
          <w:rtl/>
          <w:lang w:bidi="ar-EG"/>
        </w:rPr>
      </w:pPr>
      <w:r>
        <w:rPr>
          <w:rFonts w:hint="cs"/>
          <w:rtl/>
          <w:lang w:bidi="ar-EG"/>
        </w:rPr>
        <w:t>55</w:t>
      </w:r>
      <w:r w:rsidR="000B7434" w:rsidRPr="00C53766">
        <w:rPr>
          <w:rFonts w:hint="cs"/>
          <w:rtl/>
          <w:lang w:bidi="ar-EG"/>
        </w:rPr>
        <w:t>-</w:t>
      </w:r>
      <w:r w:rsidR="000B7434" w:rsidRPr="00C53766">
        <w:rPr>
          <w:rFonts w:hint="cs"/>
          <w:rtl/>
          <w:lang w:bidi="ar-EG"/>
        </w:rPr>
        <w:tab/>
        <w:t xml:space="preserve">أجريت تعديلات لعدة أحكام تتصل بالقانون الجنائي في مدونة القوانين القُطرية، مثل تجريم الإجهاض على أساس التعرّف على جنس الجنين، وظروف الإجهاض ومشروعيته (وفق المبلغ في التقرير السابق)، وتجريم التحرش الجنسي، وتوسيع تعريف </w:t>
      </w:r>
      <w:r w:rsidR="00D62BA8">
        <w:rPr>
          <w:rtl/>
          <w:lang w:bidi="ar-EG"/>
        </w:rPr>
        <w:t>"</w:t>
      </w:r>
      <w:r w:rsidR="000B7434" w:rsidRPr="00C53766">
        <w:rPr>
          <w:rFonts w:hint="cs"/>
          <w:rtl/>
          <w:lang w:bidi="ar-EG"/>
        </w:rPr>
        <w:t>الاغتصاب</w:t>
      </w:r>
      <w:r w:rsidR="00D62BA8">
        <w:rPr>
          <w:rtl/>
          <w:lang w:bidi="ar-EG"/>
        </w:rPr>
        <w:t>"</w:t>
      </w:r>
      <w:r w:rsidR="000B7434" w:rsidRPr="00C53766">
        <w:rPr>
          <w:rFonts w:hint="cs"/>
          <w:rtl/>
          <w:lang w:bidi="ar-EG"/>
        </w:rPr>
        <w:t>، إلى</w:t>
      </w:r>
      <w:r w:rsidR="000B7434">
        <w:rPr>
          <w:rFonts w:hint="eastAsia"/>
          <w:rtl/>
          <w:lang w:bidi="ar-EG"/>
        </w:rPr>
        <w:t> </w:t>
      </w:r>
      <w:r w:rsidR="000B7434" w:rsidRPr="00C53766">
        <w:rPr>
          <w:rFonts w:hint="cs"/>
          <w:rtl/>
          <w:lang w:bidi="ar-EG"/>
        </w:rPr>
        <w:t xml:space="preserve">جانب مختلف مستويات العقاب وفقاً لجسامة الجريمة بناء على سن ضحايا الاغتصاب وأحوالهن الجسدية والذهنية </w:t>
      </w:r>
      <w:r w:rsidR="00DF331A">
        <w:rPr>
          <w:rFonts w:hint="cs"/>
          <w:rtl/>
          <w:lang w:bidi="ar-EG"/>
        </w:rPr>
        <w:t>وما إلى ذلك</w:t>
      </w:r>
      <w:r w:rsidR="000B7434" w:rsidRPr="00C53766">
        <w:rPr>
          <w:rFonts w:hint="cs"/>
          <w:rtl/>
          <w:lang w:bidi="ar-EG"/>
        </w:rPr>
        <w:t>. كذلك تم تجريم الاغتصاب الزوجي. وصدرت أحكام بعقوبات إضافية على جريمة اغتصاب النساء من جانب أشخاص مصابين بفيروس نقص المناعة البشرية/الإيدز، أو أثناء وجود المرأة قيد الاحتجاز وفي السجن. وثمة أحكام أيضاً تتصل بالتعويض، وبإجراء المحاكمات مغلقة في قضايا الاغتصاب والاتجار بالأشخاص.</w:t>
      </w:r>
    </w:p>
    <w:p w:rsidR="000B7434" w:rsidRDefault="00F869D3" w:rsidP="00F869D3">
      <w:pPr>
        <w:pStyle w:val="SingleTxtGA"/>
        <w:rPr>
          <w:rFonts w:hint="cs"/>
          <w:rtl/>
          <w:lang w:bidi="ar-EG"/>
        </w:rPr>
      </w:pPr>
      <w:r>
        <w:rPr>
          <w:rFonts w:hint="cs"/>
          <w:rtl/>
          <w:lang w:bidi="ar-EG"/>
        </w:rPr>
        <w:t>56</w:t>
      </w:r>
      <w:r w:rsidR="000B7434" w:rsidRPr="00C53766">
        <w:rPr>
          <w:rFonts w:hint="cs"/>
          <w:rtl/>
          <w:lang w:bidi="ar-EG"/>
        </w:rPr>
        <w:t>-</w:t>
      </w:r>
      <w:r w:rsidR="000B7434" w:rsidRPr="00C53766">
        <w:rPr>
          <w:rFonts w:hint="cs"/>
          <w:rtl/>
          <w:lang w:bidi="ar-EG"/>
        </w:rPr>
        <w:tab/>
        <w:t>وأهم من ذلك، أنه تم تعديل تشريعات محددة مستقلة من حيث مراعاة المساواة بين الجنسين، بما في ذلك تدابير خاصة لصالح المرأة. وعُدّلت أيضا</w:t>
      </w:r>
      <w:r w:rsidR="000C6FCD">
        <w:rPr>
          <w:rFonts w:hint="cs"/>
          <w:rtl/>
          <w:lang w:bidi="ar-EG"/>
        </w:rPr>
        <w:t>ً</w:t>
      </w:r>
      <w:r w:rsidR="000B7434" w:rsidRPr="00C53766">
        <w:rPr>
          <w:rFonts w:hint="cs"/>
          <w:rtl/>
          <w:lang w:bidi="ar-EG"/>
        </w:rPr>
        <w:t xml:space="preserve"> الأحكام القانونية التي تستثني النساء من الانضمام إلى القوات المسلحة. غير أنه حتى بعد هذا التعديل في قانون الجيش، لا</w:t>
      </w:r>
      <w:r w:rsidR="000B7434">
        <w:rPr>
          <w:rFonts w:hint="eastAsia"/>
          <w:rtl/>
          <w:lang w:bidi="ar-EG"/>
        </w:rPr>
        <w:t> </w:t>
      </w:r>
      <w:r w:rsidR="000B7434" w:rsidRPr="00C53766">
        <w:rPr>
          <w:rFonts w:hint="cs"/>
          <w:rtl/>
          <w:lang w:bidi="ar-EG"/>
        </w:rPr>
        <w:t xml:space="preserve">تزال بعض الأحكام التمييزية موجودة. مثلاً الحكم المتعلق باستحقاق الأسرة في المعاش التقاعدي وبدلات التعليم المقدمة لأسر أفراد الجيش تستثني البنات المتزوجات من هذه التسهيلات. وقد طُعن في هذا الحكم في قضية </w:t>
      </w:r>
      <w:r w:rsidR="000B7434" w:rsidRPr="00C53766">
        <w:rPr>
          <w:rFonts w:hint="cs"/>
          <w:i/>
          <w:iCs/>
          <w:rtl/>
          <w:lang w:bidi="ar-EG"/>
        </w:rPr>
        <w:t>منتدى المرأة والقانون والتنمية ضد حكومة نيبال</w:t>
      </w:r>
      <w:r w:rsidR="000B7434" w:rsidRPr="00C53766">
        <w:rPr>
          <w:rFonts w:hint="cs"/>
          <w:rtl/>
          <w:lang w:bidi="ar-EG"/>
        </w:rPr>
        <w:t xml:space="preserve"> التي بُتّ فيها بتاريخ 28</w:t>
      </w:r>
      <w:r w:rsidR="000B7434" w:rsidRPr="00C53766">
        <w:rPr>
          <w:rFonts w:hint="eastAsia"/>
          <w:rtl/>
          <w:lang w:bidi="ar-EG"/>
        </w:rPr>
        <w:t> </w:t>
      </w:r>
      <w:r w:rsidR="000B7434" w:rsidRPr="00C53766">
        <w:rPr>
          <w:rFonts w:hint="cs"/>
          <w:rtl/>
          <w:lang w:bidi="ar-EG"/>
        </w:rPr>
        <w:t>حزيران/يونيه 2007 حيث أصدرت المحكمة العليا أمراً يعلن ذلك الحكم منافياً للدستور، وغير متماشٍ أيضاً مع أحكام الصكوك الدولية لحقوق الإنسان التي من بين أطرافها نيبال.</w:t>
      </w:r>
    </w:p>
    <w:p w:rsidR="000B7434" w:rsidRPr="00EC4329" w:rsidRDefault="00F869D3" w:rsidP="00F869D3">
      <w:pPr>
        <w:pStyle w:val="SingleTxtGA"/>
        <w:rPr>
          <w:rFonts w:hint="cs"/>
          <w:rtl/>
          <w:lang w:bidi="ar-EG"/>
        </w:rPr>
      </w:pPr>
      <w:r>
        <w:rPr>
          <w:rFonts w:hint="cs"/>
          <w:rtl/>
          <w:lang w:bidi="ar-EG"/>
        </w:rPr>
        <w:t>57</w:t>
      </w:r>
      <w:r w:rsidR="000B7434" w:rsidRPr="00EC4329">
        <w:rPr>
          <w:rFonts w:hint="cs"/>
          <w:rtl/>
          <w:lang w:bidi="ar-EG"/>
        </w:rPr>
        <w:t>-</w:t>
      </w:r>
      <w:r w:rsidR="000B7434" w:rsidRPr="00EC4329">
        <w:rPr>
          <w:rFonts w:hint="cs"/>
          <w:rtl/>
          <w:lang w:bidi="ar-EG"/>
        </w:rPr>
        <w:tab/>
        <w:t xml:space="preserve">وقد أدخل التعديل الثاني لقانون الخدمة المدنية ولأنظمتها بعضَ التدابير الشمولية الخاصة في مجال تعيين الموظفين المدنيين. ومقصودٌ بهذه التدابير حجزُ وظائف للمرأة وللفئات المهمّشة الأخرى من المجتمع. وترد </w:t>
      </w:r>
      <w:r w:rsidR="008B03DA">
        <w:rPr>
          <w:rFonts w:hint="cs"/>
          <w:rtl/>
          <w:lang w:bidi="ar-EG"/>
        </w:rPr>
        <w:t>تفاصيل ذلك في إطار المادتين 7 و</w:t>
      </w:r>
      <w:r w:rsidR="000B7434" w:rsidRPr="00EC4329">
        <w:rPr>
          <w:rFonts w:hint="cs"/>
          <w:rtl/>
          <w:lang w:bidi="ar-EG"/>
        </w:rPr>
        <w:t>8 في هذا الجزء من</w:t>
      </w:r>
      <w:r w:rsidR="000B7434">
        <w:rPr>
          <w:rFonts w:hint="eastAsia"/>
          <w:rtl/>
          <w:lang w:bidi="ar-EG"/>
        </w:rPr>
        <w:t> </w:t>
      </w:r>
      <w:r w:rsidR="000B7434" w:rsidRPr="00EC4329">
        <w:rPr>
          <w:rFonts w:hint="cs"/>
          <w:rtl/>
          <w:lang w:bidi="ar-EG"/>
        </w:rPr>
        <w:t>التقرير.</w:t>
      </w:r>
    </w:p>
    <w:p w:rsidR="000B7434" w:rsidRPr="00EC4329" w:rsidRDefault="000B7434" w:rsidP="00F869D3">
      <w:pPr>
        <w:pStyle w:val="SingleTxtGA"/>
        <w:rPr>
          <w:rFonts w:hint="cs"/>
          <w:rtl/>
          <w:lang w:bidi="ar-EG"/>
        </w:rPr>
      </w:pPr>
      <w:r w:rsidRPr="00EC4329">
        <w:rPr>
          <w:rFonts w:hint="cs"/>
          <w:rtl/>
          <w:lang w:bidi="ar-EG"/>
        </w:rPr>
        <w:t>5</w:t>
      </w:r>
      <w:r w:rsidR="00F869D3">
        <w:rPr>
          <w:rFonts w:hint="cs"/>
          <w:rtl/>
          <w:lang w:bidi="ar-EG"/>
        </w:rPr>
        <w:t>8</w:t>
      </w:r>
      <w:r w:rsidRPr="00EC4329">
        <w:rPr>
          <w:rFonts w:hint="cs"/>
          <w:rtl/>
          <w:lang w:bidi="ar-EG"/>
        </w:rPr>
        <w:t>-</w:t>
      </w:r>
      <w:r w:rsidRPr="00EC4329">
        <w:rPr>
          <w:rFonts w:hint="cs"/>
          <w:rtl/>
          <w:lang w:bidi="ar-EG"/>
        </w:rPr>
        <w:tab/>
        <w:t>واستُنّت بعض القوانين الجديدة للنهوض بالمساواة بين الجنسين تجدر الإشارة من بينها إلى قانون العمالة الأجنبية لعام 2007، وقانون (مكافحة) الاتجار بالأشخاص ونقلهم لعام 2007 ولائحته لعام 2008. ويُبلّغ عن تفاصيل هذه الأحكام في إطار المواد ذات صلة من الاتفاقية، في هذا الجزء من التقرير.</w:t>
      </w:r>
    </w:p>
    <w:p w:rsidR="000B7434" w:rsidRPr="00EC4329" w:rsidRDefault="00FE168B" w:rsidP="00B87BF2">
      <w:pPr>
        <w:pStyle w:val="H23GA"/>
        <w:rPr>
          <w:rFonts w:hint="cs"/>
          <w:rtl/>
        </w:rPr>
      </w:pPr>
      <w:r>
        <w:rPr>
          <w:rFonts w:hint="cs"/>
          <w:rtl/>
          <w:lang w:bidi="ar-EG"/>
        </w:rPr>
        <w:tab/>
      </w:r>
      <w:r>
        <w:rPr>
          <w:rFonts w:hint="cs"/>
          <w:rtl/>
          <w:lang w:bidi="ar-EG"/>
        </w:rPr>
        <w:tab/>
      </w:r>
      <w:r w:rsidR="000B7434">
        <w:rPr>
          <w:rFonts w:hint="cs"/>
          <w:rtl/>
          <w:lang w:bidi="ar-EG"/>
        </w:rPr>
        <w:t>تحديات المستقبل</w:t>
      </w:r>
    </w:p>
    <w:p w:rsidR="000B7434" w:rsidRPr="00FE168B" w:rsidRDefault="00FE168B" w:rsidP="00FE168B">
      <w:pPr>
        <w:pStyle w:val="SingleTxtGA"/>
        <w:rPr>
          <w:rFonts w:hint="cs"/>
          <w:spacing w:val="-2"/>
          <w:rtl/>
          <w:lang w:bidi="ar-EG"/>
        </w:rPr>
      </w:pPr>
      <w:r w:rsidRPr="00FE168B">
        <w:rPr>
          <w:rFonts w:hint="cs"/>
          <w:spacing w:val="-2"/>
          <w:rtl/>
          <w:lang w:bidi="ar-EG"/>
        </w:rPr>
        <w:t>59</w:t>
      </w:r>
      <w:r w:rsidR="000B7434" w:rsidRPr="00FE168B">
        <w:rPr>
          <w:rFonts w:hint="cs"/>
          <w:spacing w:val="-2"/>
          <w:rtl/>
          <w:lang w:bidi="ar-EG"/>
        </w:rPr>
        <w:t>-</w:t>
      </w:r>
      <w:r w:rsidR="000B7434" w:rsidRPr="00FE168B">
        <w:rPr>
          <w:rFonts w:hint="cs"/>
          <w:spacing w:val="-2"/>
          <w:rtl/>
          <w:lang w:bidi="ar-EG"/>
        </w:rPr>
        <w:tab/>
        <w:t>رغم أن كل الأحكام القانونية التمييزية قد عدلت وأصبحت منسجمة مع فكرة المساواة بين الجنسين، فإن عدداً من التحديات يعتور طريق المرأة إلى الممارسة الكاملة لحقوقها والتمتع التام بها. وعليه، وبغية التصدي لهذه التحديات، درست الحكومة استراتيجيات للأجلين المتوسط والطويل لتحقيق تمتُّع المرأة تمتُّعاً كاملاً ومتساوياً بما لها من حقوق دستورية وقانونية.</w:t>
      </w:r>
    </w:p>
    <w:p w:rsidR="000B7434" w:rsidRPr="00EC4329" w:rsidRDefault="00FE168B" w:rsidP="00FE168B">
      <w:pPr>
        <w:pStyle w:val="SingleTxtGA"/>
        <w:rPr>
          <w:rFonts w:hint="cs"/>
          <w:rtl/>
          <w:lang w:bidi="ar-EG"/>
        </w:rPr>
      </w:pPr>
      <w:r>
        <w:rPr>
          <w:rFonts w:hint="cs"/>
          <w:rtl/>
          <w:lang w:bidi="ar-EG"/>
        </w:rPr>
        <w:t>60</w:t>
      </w:r>
      <w:r w:rsidR="000B7434" w:rsidRPr="00EC4329">
        <w:rPr>
          <w:rFonts w:hint="cs"/>
          <w:rtl/>
          <w:lang w:bidi="ar-EG"/>
        </w:rPr>
        <w:t>-</w:t>
      </w:r>
      <w:r w:rsidR="000B7434" w:rsidRPr="00EC4329">
        <w:rPr>
          <w:rFonts w:hint="cs"/>
          <w:rtl/>
          <w:lang w:bidi="ar-EG"/>
        </w:rPr>
        <w:tab/>
        <w:t>وفي أحيان كثيرة تنحو القيمُ الثقافيةُ والدينية والتقليدية إلى إدامة التمييز ضد المرأة والانتهاكات لحقوقها. وقد ساهم في حرمان المرأة من حقوقها عدمُ كفاية الالتزام السياسي، وضعفُ القدرات المؤسسية على الإنجاز، ووهنُ الآليات التنظيمية، وعدم وجود وعي في المناطق الريفية لتكنولوجيا المعلومات. وعلى الرغم من القدر الكبير من المبادرات المتخذة لحماية وتعزيز ما للمرأة من حقوق الإنسان، فإن حقوق المرأة الداليت، والنساء ذوات الإعاقات، والأقليات العرقية، والمصابات بفيروس نقص المناعة البشرية/الإيدز، لم يتم إحقاقها بعد على النحو الكامل. وبالنظر إلى هذه التحديات، اتخذت الحكومة تدابير تشريعية وتدابير أنصاف ملائمة أخرى لكفالة الشمول الاجتماعي لهذه الفئات الضعيفة والمهمشة من النساء.</w:t>
      </w:r>
    </w:p>
    <w:p w:rsidR="000B7434" w:rsidRPr="00EC4329" w:rsidRDefault="000B7434" w:rsidP="00FE168B">
      <w:pPr>
        <w:pStyle w:val="H1GA"/>
        <w:jc w:val="left"/>
        <w:rPr>
          <w:rFonts w:hint="cs"/>
          <w:rtl/>
          <w:lang w:bidi="ar-EG"/>
        </w:rPr>
      </w:pPr>
      <w:r>
        <w:rPr>
          <w:rFonts w:hint="cs"/>
          <w:rtl/>
          <w:lang w:bidi="ar-EG"/>
        </w:rPr>
        <w:tab/>
      </w:r>
      <w:r>
        <w:rPr>
          <w:rFonts w:hint="cs"/>
          <w:rtl/>
          <w:lang w:bidi="ar-EG"/>
        </w:rPr>
        <w:tab/>
      </w:r>
      <w:r w:rsidR="0075177C">
        <w:rPr>
          <w:rFonts w:hint="cs"/>
          <w:rtl/>
          <w:lang w:bidi="ar-EG"/>
        </w:rPr>
        <w:t>المادتان 3 و</w:t>
      </w:r>
      <w:r w:rsidRPr="00EC4329">
        <w:rPr>
          <w:rFonts w:hint="cs"/>
          <w:rtl/>
          <w:lang w:bidi="ar-EG"/>
        </w:rPr>
        <w:t>4</w:t>
      </w:r>
      <w:r>
        <w:rPr>
          <w:rtl/>
          <w:lang w:bidi="ar-EG"/>
        </w:rPr>
        <w:br/>
      </w:r>
      <w:r w:rsidRPr="00EC4329">
        <w:rPr>
          <w:rFonts w:hint="cs"/>
          <w:rtl/>
          <w:lang w:bidi="ar-EG"/>
        </w:rPr>
        <w:t>تدابير للتعجيل بتحقيق المساواة بين المرأة والرجل</w:t>
      </w:r>
    </w:p>
    <w:p w:rsidR="000B7434" w:rsidRPr="00EC4329" w:rsidRDefault="000B7434" w:rsidP="00B87BF2">
      <w:pPr>
        <w:pStyle w:val="H23GA"/>
        <w:rPr>
          <w:rFonts w:hint="cs"/>
          <w:rtl/>
          <w:lang w:bidi="ar-EG"/>
        </w:rPr>
      </w:pPr>
      <w:r>
        <w:rPr>
          <w:rFonts w:hint="cs"/>
          <w:rtl/>
          <w:lang w:bidi="ar-EG"/>
        </w:rPr>
        <w:tab/>
      </w:r>
      <w:r>
        <w:rPr>
          <w:rFonts w:hint="cs"/>
          <w:rtl/>
          <w:lang w:bidi="ar-EG"/>
        </w:rPr>
        <w:tab/>
      </w:r>
      <w:r w:rsidRPr="00EC4329">
        <w:rPr>
          <w:rFonts w:hint="cs"/>
          <w:rtl/>
          <w:lang w:bidi="ar-EG"/>
        </w:rPr>
        <w:t>معلومات أساسية</w:t>
      </w:r>
    </w:p>
    <w:p w:rsidR="000B7434" w:rsidRPr="00EC4329" w:rsidRDefault="00FE168B" w:rsidP="00FE168B">
      <w:pPr>
        <w:pStyle w:val="SingleTxtGA"/>
        <w:rPr>
          <w:rFonts w:hint="cs"/>
          <w:rtl/>
          <w:lang w:bidi="ar-EG"/>
        </w:rPr>
      </w:pPr>
      <w:r>
        <w:rPr>
          <w:rFonts w:hint="cs"/>
          <w:rtl/>
          <w:lang w:bidi="ar-EG"/>
        </w:rPr>
        <w:t>61</w:t>
      </w:r>
      <w:r w:rsidR="000B7434" w:rsidRPr="00EC4329">
        <w:rPr>
          <w:rFonts w:hint="cs"/>
          <w:rtl/>
          <w:lang w:bidi="ar-EG"/>
        </w:rPr>
        <w:t>-</w:t>
      </w:r>
      <w:r w:rsidR="000B7434" w:rsidRPr="00EC4329">
        <w:rPr>
          <w:rFonts w:hint="cs"/>
          <w:rtl/>
          <w:lang w:bidi="ar-EG"/>
        </w:rPr>
        <w:tab/>
        <w:t>اهتمت الحكومة بالتنمية الكاملة للمرأة والنهوض بها عن طريق اعتماد تدابير مؤقتة وخاصة. ويوفر الدستور المؤقت مجالاً كافياً لاتخاذ</w:t>
      </w:r>
      <w:r>
        <w:rPr>
          <w:rFonts w:hint="cs"/>
          <w:rtl/>
          <w:lang w:bidi="ar-EG"/>
        </w:rPr>
        <w:t xml:space="preserve"> تدابير خاصة، إذ تذكر المادة 13</w:t>
      </w:r>
      <w:r w:rsidR="000B7434" w:rsidRPr="00EC4329">
        <w:rPr>
          <w:rFonts w:hint="cs"/>
          <w:rtl/>
          <w:lang w:bidi="ar-EG"/>
        </w:rPr>
        <w:t xml:space="preserve">(3) منه صراحة: </w:t>
      </w:r>
      <w:r>
        <w:rPr>
          <w:rFonts w:hint="cs"/>
          <w:rtl/>
          <w:lang w:bidi="ar-EG"/>
        </w:rPr>
        <w:t>"</w:t>
      </w:r>
      <w:r w:rsidR="000B7434" w:rsidRPr="00EC4329">
        <w:rPr>
          <w:rFonts w:hint="cs"/>
          <w:rtl/>
          <w:lang w:bidi="ar-EG"/>
        </w:rPr>
        <w:t>...</w:t>
      </w:r>
      <w:r>
        <w:rPr>
          <w:rFonts w:hint="cs"/>
          <w:rtl/>
          <w:lang w:bidi="ar-EG"/>
        </w:rPr>
        <w:t xml:space="preserve"> </w:t>
      </w:r>
      <w:r w:rsidR="000B7434" w:rsidRPr="00EC4329">
        <w:rPr>
          <w:rFonts w:hint="cs"/>
          <w:rtl/>
          <w:lang w:bidi="ar-EG"/>
        </w:rPr>
        <w:t>وضع أحكام خاصة بواسطة القانون لحماية المرأة أو تمكينها أو النهوض بمصالحها</w:t>
      </w:r>
      <w:r>
        <w:rPr>
          <w:rFonts w:hint="cs"/>
          <w:rtl/>
          <w:lang w:bidi="ar-EG"/>
        </w:rPr>
        <w:t xml:space="preserve"> </w:t>
      </w:r>
      <w:r w:rsidR="000B7434" w:rsidRPr="00EC4329">
        <w:rPr>
          <w:rFonts w:hint="cs"/>
          <w:rtl/>
          <w:lang w:bidi="ar-EG"/>
        </w:rPr>
        <w:t>...</w:t>
      </w:r>
      <w:r>
        <w:rPr>
          <w:rFonts w:hint="cs"/>
          <w:rtl/>
          <w:lang w:bidi="ar-EG"/>
        </w:rPr>
        <w:t>"</w:t>
      </w:r>
      <w:r w:rsidR="000B7434" w:rsidRPr="00EC4329">
        <w:rPr>
          <w:rFonts w:hint="cs"/>
          <w:rtl/>
          <w:lang w:bidi="ar-EG"/>
        </w:rPr>
        <w:t>. ويوفر هذا الحكم الدستوري مبدأ</w:t>
      </w:r>
      <w:r w:rsidR="000B7434" w:rsidRPr="00EC4329">
        <w:rPr>
          <w:rFonts w:hint="cs"/>
          <w:rtl/>
          <w:lang w:bidi="ar-JO"/>
        </w:rPr>
        <w:t>ً</w:t>
      </w:r>
      <w:r w:rsidR="000B7434" w:rsidRPr="00EC4329">
        <w:rPr>
          <w:rFonts w:hint="cs"/>
          <w:rtl/>
          <w:lang w:bidi="ar-EG"/>
        </w:rPr>
        <w:t xml:space="preserve"> توجيهياً لإعمال حقوق المرأة وفق ما</w:t>
      </w:r>
      <w:r w:rsidR="000B7434">
        <w:rPr>
          <w:rFonts w:hint="eastAsia"/>
          <w:rtl/>
          <w:lang w:bidi="ar-EG"/>
        </w:rPr>
        <w:t> </w:t>
      </w:r>
      <w:r w:rsidR="000B7434" w:rsidRPr="00EC4329">
        <w:rPr>
          <w:rFonts w:hint="cs"/>
          <w:rtl/>
          <w:lang w:bidi="ar-EG"/>
        </w:rPr>
        <w:t>تضمنه المادة 20 من الدستور. وينص الباب الرابع من الدستور كذلك على تدابير إنفاذ في الوفاء بمسؤولية الدولة عن طريق اتباع المبادئ التوجيهية للدولة وسياساتها . وتتسم السياسات الموجزة في الدستور فيما يتعلق بالصحة، والتعليم، وتمكين المرأة الأرملة/العزباء وغيرها من النساء المهمشات اجتماعياً واقتصادياً، بأهمية خاصة.</w:t>
      </w:r>
    </w:p>
    <w:p w:rsidR="000B7434" w:rsidRPr="00EC4329" w:rsidRDefault="00B87BF2" w:rsidP="00B87BF2">
      <w:pPr>
        <w:pStyle w:val="H23GA"/>
        <w:rPr>
          <w:rFonts w:hint="cs"/>
          <w:rtl/>
          <w:lang w:bidi="ar-EG"/>
        </w:rPr>
      </w:pPr>
      <w:r>
        <w:rPr>
          <w:rtl/>
          <w:lang w:bidi="ar-EG"/>
        </w:rPr>
        <w:br w:type="page"/>
      </w:r>
      <w:r w:rsidR="00FE168B">
        <w:rPr>
          <w:rFonts w:hint="cs"/>
          <w:rtl/>
          <w:lang w:bidi="ar-EG"/>
        </w:rPr>
        <w:tab/>
      </w:r>
      <w:r w:rsidR="00FE168B">
        <w:rPr>
          <w:rFonts w:hint="cs"/>
          <w:rtl/>
          <w:lang w:bidi="ar-EG"/>
        </w:rPr>
        <w:tab/>
      </w:r>
      <w:r w:rsidR="000B7434" w:rsidRPr="00EC4329">
        <w:rPr>
          <w:rFonts w:hint="cs"/>
          <w:rtl/>
          <w:lang w:bidi="ar-EG"/>
        </w:rPr>
        <w:t>مبادرات التغيير</w:t>
      </w:r>
    </w:p>
    <w:p w:rsidR="000B7434" w:rsidRPr="00EC4329" w:rsidRDefault="00FE168B" w:rsidP="00FE168B">
      <w:pPr>
        <w:pStyle w:val="SingleTxtGA"/>
        <w:rPr>
          <w:rFonts w:hint="cs"/>
          <w:rtl/>
          <w:lang w:bidi="ar-EG"/>
        </w:rPr>
      </w:pPr>
      <w:r>
        <w:rPr>
          <w:rFonts w:hint="cs"/>
          <w:rtl/>
          <w:lang w:bidi="ar-EG"/>
        </w:rPr>
        <w:t>62</w:t>
      </w:r>
      <w:r w:rsidR="000B7434" w:rsidRPr="00EC4329">
        <w:rPr>
          <w:rFonts w:hint="cs"/>
          <w:rtl/>
          <w:lang w:bidi="ar-EG"/>
        </w:rPr>
        <w:t>-</w:t>
      </w:r>
      <w:r w:rsidR="000B7434" w:rsidRPr="00EC4329">
        <w:rPr>
          <w:rFonts w:hint="cs"/>
          <w:rtl/>
          <w:lang w:bidi="ar-EG"/>
        </w:rPr>
        <w:tab/>
        <w:t>فيما يتعلق بالتدابير الخاصة القصيرة الأجل، اعتمدت الحكومة تشريعات وسياسات وبرامج تستهدف الفئات المحرومة، بما فيها المرأة والطفلة. وقد تطور لدى المحكمة العليا منذ</w:t>
      </w:r>
      <w:r w:rsidR="000B7434">
        <w:rPr>
          <w:rFonts w:hint="eastAsia"/>
          <w:rtl/>
          <w:lang w:bidi="ar-EG"/>
        </w:rPr>
        <w:t> </w:t>
      </w:r>
      <w:r w:rsidR="000B7434" w:rsidRPr="00EC4329">
        <w:rPr>
          <w:rFonts w:hint="cs"/>
          <w:rtl/>
          <w:lang w:bidi="ar-EG"/>
        </w:rPr>
        <w:t xml:space="preserve">قضية </w:t>
      </w:r>
      <w:r w:rsidR="000B7434" w:rsidRPr="00EC4329">
        <w:rPr>
          <w:rFonts w:hint="cs"/>
          <w:i/>
          <w:iCs/>
          <w:rtl/>
          <w:lang w:bidi="ar-EG"/>
        </w:rPr>
        <w:t>سيتا</w:t>
      </w:r>
      <w:r w:rsidR="000B7434" w:rsidRPr="00EC4329">
        <w:rPr>
          <w:rFonts w:hint="cs"/>
          <w:rtl/>
          <w:lang w:bidi="ar-EG"/>
        </w:rPr>
        <w:t xml:space="preserve"> </w:t>
      </w:r>
      <w:r w:rsidR="000B7434" w:rsidRPr="00EC4329">
        <w:rPr>
          <w:rFonts w:hint="cs"/>
          <w:i/>
          <w:iCs/>
          <w:rtl/>
          <w:lang w:bidi="ar-EG"/>
        </w:rPr>
        <w:t xml:space="preserve">آشاريا </w:t>
      </w:r>
      <w:r w:rsidR="000B7434" w:rsidRPr="00EC4329">
        <w:rPr>
          <w:rFonts w:hint="cs"/>
          <w:rtl/>
          <w:lang w:bidi="ar-EG"/>
        </w:rPr>
        <w:t xml:space="preserve">(المذكورة في التقارير السابقة) الفقه القانوني في الأحكام الإيجابية بأن </w:t>
      </w:r>
      <w:r>
        <w:rPr>
          <w:rFonts w:hint="cs"/>
          <w:rtl/>
          <w:lang w:bidi="ar-EG"/>
        </w:rPr>
        <w:t>"</w:t>
      </w:r>
      <w:r w:rsidR="000B7434" w:rsidRPr="00EC4329">
        <w:rPr>
          <w:rFonts w:hint="cs"/>
          <w:rtl/>
          <w:lang w:bidi="ar-EG"/>
        </w:rPr>
        <w:t>المرأة تتطلب بيئة حماية خاصة طيلة فترة حملها، وحتى بعد الوضع، تُوفَر لها فيها الرعايةَ والتغذية، بل إن من واجب الدولة أن تكفل أن تُتاح لها كل هذه المتطلبات</w:t>
      </w:r>
      <w:r>
        <w:rPr>
          <w:rFonts w:hint="cs"/>
          <w:rtl/>
          <w:lang w:bidi="ar-EG"/>
        </w:rPr>
        <w:t>"</w:t>
      </w:r>
      <w:r w:rsidR="000B7434" w:rsidRPr="00EC4329">
        <w:rPr>
          <w:rFonts w:hint="cs"/>
          <w:rtl/>
          <w:lang w:bidi="ar-EG"/>
        </w:rPr>
        <w:t>. وعلى أسا</w:t>
      </w:r>
      <w:r>
        <w:rPr>
          <w:rFonts w:hint="cs"/>
          <w:rtl/>
          <w:lang w:bidi="ar-EG"/>
        </w:rPr>
        <w:t xml:space="preserve">س الاهتمام الاجتماعي بصحة الأم </w:t>
      </w:r>
      <w:r w:rsidR="000B7434" w:rsidRPr="00EC4329">
        <w:rPr>
          <w:rFonts w:hint="cs"/>
          <w:rtl/>
          <w:lang w:bidi="ar-EG"/>
        </w:rPr>
        <w:t xml:space="preserve">والطفل، واستناداً إلى القانون المستمد من المعاهدات الدولية، </w:t>
      </w:r>
      <w:r>
        <w:rPr>
          <w:rFonts w:hint="cs"/>
          <w:rtl/>
          <w:lang w:bidi="ar-EG"/>
        </w:rPr>
        <w:t>"</w:t>
      </w:r>
      <w:r w:rsidR="000B7434" w:rsidRPr="00EC4329">
        <w:rPr>
          <w:rFonts w:hint="cs"/>
          <w:rtl/>
          <w:lang w:bidi="ar-EG"/>
        </w:rPr>
        <w:t>ينبغي أن تُوفّر للعاملات النيباليات أيضاً الفرصة لممارسة حقوقهن التناسلية</w:t>
      </w:r>
      <w:r>
        <w:rPr>
          <w:rFonts w:hint="cs"/>
          <w:rtl/>
          <w:lang w:bidi="ar-EG"/>
        </w:rPr>
        <w:t>"</w:t>
      </w:r>
      <w:r w:rsidR="000B7434" w:rsidRPr="00EC4329">
        <w:rPr>
          <w:rFonts w:hint="cs"/>
          <w:rtl/>
          <w:lang w:bidi="ar-EG"/>
        </w:rPr>
        <w:t>. وقد</w:t>
      </w:r>
      <w:r w:rsidR="000B7434">
        <w:rPr>
          <w:rFonts w:hint="eastAsia"/>
          <w:rtl/>
          <w:lang w:bidi="ar-EG"/>
        </w:rPr>
        <w:t> </w:t>
      </w:r>
      <w:r w:rsidR="000B7434" w:rsidRPr="00EC4329">
        <w:rPr>
          <w:rFonts w:hint="cs"/>
          <w:rtl/>
          <w:lang w:bidi="ar-EG"/>
        </w:rPr>
        <w:t xml:space="preserve">تعززت هذه الجهود بالإيعازات الصادرة عن المحكمة العليا في قرارها في قضية </w:t>
      </w:r>
      <w:r w:rsidR="000B7434" w:rsidRPr="00EC4329">
        <w:rPr>
          <w:rFonts w:hint="cs"/>
          <w:i/>
          <w:iCs/>
          <w:rtl/>
          <w:lang w:bidi="ar-EG"/>
        </w:rPr>
        <w:t>براثوس تشيتري ضد مجلس الوزراء وآخرين،</w:t>
      </w:r>
      <w:r w:rsidR="000B7434" w:rsidRPr="00EC4329">
        <w:rPr>
          <w:rFonts w:hint="cs"/>
          <w:rtl/>
          <w:lang w:bidi="ar-EG"/>
        </w:rPr>
        <w:t xml:space="preserve"> الصادر في 29 تشرين الأول/أكتوبر 2004، بأن يتم سن تشريع لتنفيذ خطط تدخل من أجل الارتقاء بالمجتمع المحروم، بما فيه المرأة، والنهوض بتنميته على أساس منصف.</w:t>
      </w:r>
    </w:p>
    <w:p w:rsidR="000B7434" w:rsidRPr="00EC4329" w:rsidRDefault="00FE168B" w:rsidP="00FE168B">
      <w:pPr>
        <w:pStyle w:val="SingleTxtGA"/>
        <w:rPr>
          <w:rFonts w:hint="cs"/>
          <w:rtl/>
          <w:lang w:bidi="ar-EG"/>
        </w:rPr>
      </w:pPr>
      <w:r>
        <w:rPr>
          <w:rFonts w:hint="cs"/>
          <w:rtl/>
          <w:lang w:bidi="ar-EG"/>
        </w:rPr>
        <w:t>63</w:t>
      </w:r>
      <w:r w:rsidR="000B7434" w:rsidRPr="00EC4329">
        <w:rPr>
          <w:rFonts w:hint="cs"/>
          <w:rtl/>
          <w:lang w:bidi="ar-EG"/>
        </w:rPr>
        <w:t>-</w:t>
      </w:r>
      <w:r w:rsidR="000B7434" w:rsidRPr="00EC4329">
        <w:rPr>
          <w:rFonts w:hint="cs"/>
          <w:rtl/>
          <w:lang w:bidi="ar-EG"/>
        </w:rPr>
        <w:tab/>
        <w:t>واحتراماً من الحكومة لتوجيهات المحكمة العليا، وسّعت إلى حدّ كبير من برامج المنح الدراسية التي تستهدف الفتيات، والداليت، والجماعات المحرومة من المجتمع، ومدته إلى</w:t>
      </w:r>
      <w:r w:rsidR="000B7434">
        <w:rPr>
          <w:rFonts w:hint="eastAsia"/>
          <w:rtl/>
          <w:lang w:bidi="ar-EG"/>
        </w:rPr>
        <w:t> </w:t>
      </w:r>
      <w:r w:rsidR="000B7434" w:rsidRPr="00EC4329">
        <w:rPr>
          <w:rFonts w:hint="cs"/>
          <w:rtl/>
          <w:lang w:bidi="ar-EG"/>
        </w:rPr>
        <w:t>المناطق الجغرافية النائية، اعتباراً من السنة المالية 2006/2007. كما أنّ الخطة المؤقتة وضعت برامج خاصة للتمكين، ولإعادة التأهيل، ولتوليد الدخل لنساء طائفة البادي في</w:t>
      </w:r>
      <w:r w:rsidR="000B7434">
        <w:rPr>
          <w:rFonts w:hint="eastAsia"/>
          <w:rtl/>
          <w:lang w:bidi="ar-EG"/>
        </w:rPr>
        <w:t> </w:t>
      </w:r>
      <w:r w:rsidR="000B7434" w:rsidRPr="00EC4329">
        <w:rPr>
          <w:rFonts w:hint="cs"/>
          <w:rtl/>
          <w:lang w:bidi="ar-EG"/>
        </w:rPr>
        <w:t>المنطقتين الغربية القصوى والغربية الوسطى المعروف عنهن العمل في صناعة الجنس. كما</w:t>
      </w:r>
      <w:r w:rsidR="000B7434">
        <w:rPr>
          <w:rFonts w:hint="eastAsia"/>
          <w:rtl/>
          <w:lang w:bidi="ar-EG"/>
        </w:rPr>
        <w:t> </w:t>
      </w:r>
      <w:r w:rsidR="000B7434" w:rsidRPr="00EC4329">
        <w:rPr>
          <w:rFonts w:hint="cs"/>
          <w:rtl/>
          <w:lang w:bidi="ar-EG"/>
        </w:rPr>
        <w:t>تستهدف الخطة الاضطلاع ببرامج تنمية للأسر المعيشية لتوفير التدريب الموجّه نحو</w:t>
      </w:r>
      <w:r w:rsidR="000B7434">
        <w:rPr>
          <w:rFonts w:hint="eastAsia"/>
          <w:rtl/>
          <w:lang w:bidi="ar-EG"/>
        </w:rPr>
        <w:t> </w:t>
      </w:r>
      <w:r w:rsidR="000B7434" w:rsidRPr="00EC4329">
        <w:rPr>
          <w:rFonts w:hint="cs"/>
          <w:rtl/>
          <w:lang w:bidi="ar-EG"/>
        </w:rPr>
        <w:t>العمالة والتعليم المجاني لأطفال طائفة بادي. وتشدد الخطة على</w:t>
      </w:r>
      <w:r w:rsidR="000B7434">
        <w:rPr>
          <w:rFonts w:hint="cs"/>
          <w:rtl/>
          <w:lang w:bidi="ar-EG"/>
        </w:rPr>
        <w:t xml:space="preserve"> </w:t>
      </w:r>
      <w:r w:rsidR="000B7434" w:rsidRPr="00EC4329">
        <w:rPr>
          <w:rFonts w:hint="cs"/>
          <w:rtl/>
          <w:lang w:bidi="ar-EG"/>
        </w:rPr>
        <w:t>تنفيذ البرامج التي</w:t>
      </w:r>
      <w:r w:rsidR="000B7434">
        <w:rPr>
          <w:rFonts w:hint="eastAsia"/>
          <w:rtl/>
          <w:lang w:bidi="ar-EG"/>
        </w:rPr>
        <w:t> </w:t>
      </w:r>
      <w:r w:rsidR="000B7434" w:rsidRPr="00EC4329">
        <w:rPr>
          <w:rFonts w:hint="cs"/>
          <w:rtl/>
          <w:lang w:bidi="ar-EG"/>
        </w:rPr>
        <w:t>تستهدف زيادة وصول نساء الداليت إلى التعليم، والخدمات الصحية، وتوفير التعليم غير</w:t>
      </w:r>
      <w:r w:rsidR="000B7434">
        <w:rPr>
          <w:rFonts w:hint="eastAsia"/>
          <w:rtl/>
          <w:lang w:bidi="ar-EG"/>
        </w:rPr>
        <w:t> </w:t>
      </w:r>
      <w:r w:rsidR="000B7434" w:rsidRPr="00EC4329">
        <w:rPr>
          <w:rFonts w:hint="cs"/>
          <w:rtl/>
          <w:lang w:bidi="ar-EG"/>
        </w:rPr>
        <w:t>الرسمي لهن.</w:t>
      </w:r>
    </w:p>
    <w:p w:rsidR="000B7434" w:rsidRPr="00EC4329" w:rsidRDefault="000B7434" w:rsidP="001B601C">
      <w:pPr>
        <w:pStyle w:val="SingleTxtGA"/>
        <w:rPr>
          <w:rFonts w:hint="cs"/>
          <w:rtl/>
          <w:lang w:bidi="ar-EG"/>
        </w:rPr>
      </w:pPr>
      <w:r w:rsidRPr="00EC4329">
        <w:rPr>
          <w:rFonts w:hint="cs"/>
          <w:rtl/>
          <w:lang w:bidi="ar-EG"/>
        </w:rPr>
        <w:t>64-</w:t>
      </w:r>
      <w:r w:rsidRPr="00EC4329">
        <w:rPr>
          <w:rFonts w:hint="cs"/>
          <w:rtl/>
          <w:lang w:bidi="ar-EG"/>
        </w:rPr>
        <w:tab/>
        <w:t>وهناك أكثر من 150 قانوناً تنص على أحكام إيجابية لإشراك المرأة في التعليم، والصح</w:t>
      </w:r>
      <w:r w:rsidR="000C6FCD">
        <w:rPr>
          <w:rFonts w:hint="cs"/>
          <w:rtl/>
          <w:lang w:bidi="ar-EG"/>
        </w:rPr>
        <w:t>ة، والعمالة، والتوظيف في الخدمة</w:t>
      </w:r>
      <w:r w:rsidRPr="00EC4329">
        <w:rPr>
          <w:rFonts w:hint="cs"/>
          <w:rtl/>
          <w:lang w:bidi="ar-EG"/>
        </w:rPr>
        <w:t xml:space="preserve"> المدنية وما إلى ذلك. ويوفر الدستور المؤقت مجالاً لاتخاذ إجراءات توكيد للنهوض بالمرأة وتمكينها. وتشاهد نتيجة ذلك على الصعد المحلية في صورة تشكيل عدد من الجمعيات النسائية بموجب برنامج تنمية المرأة. وقد أنشئت مكاتب لتنمية المرأة في كل المقاطعات ا</w:t>
      </w:r>
      <w:r w:rsidR="001B601C">
        <w:rPr>
          <w:rFonts w:hint="cs"/>
          <w:rtl/>
          <w:lang w:bidi="ar-EG"/>
        </w:rPr>
        <w:t>ﻟ</w:t>
      </w:r>
      <w:r w:rsidRPr="00EC4329">
        <w:rPr>
          <w:rFonts w:hint="cs"/>
          <w:rtl/>
          <w:lang w:bidi="ar-EG"/>
        </w:rPr>
        <w:t xml:space="preserve"> 75 في البلد. ويركز برنامج تنمية المرأة على التعبئة الاجتماعية وعلى التمكين الاقتصادي عن طريق التعاونيات النسائية، وبذلك يجعل المرأة الريفية الفقيرة والمهمشة هدف الأنشطة عن طريق برامج التنمية الاقتصادية والاجتماعية</w:t>
      </w:r>
      <w:r w:rsidRPr="00841AA1">
        <w:rPr>
          <w:vertAlign w:val="superscript"/>
          <w:rtl/>
          <w:lang w:bidi="ar-EG"/>
        </w:rPr>
        <w:t>(</w:t>
      </w:r>
      <w:r w:rsidRPr="00841AA1">
        <w:rPr>
          <w:rStyle w:val="FootnoteReference"/>
          <w:rtl/>
        </w:rPr>
        <w:footnoteReference w:id="12"/>
      </w:r>
      <w:r w:rsidRPr="00841AA1">
        <w:rPr>
          <w:vertAlign w:val="superscript"/>
          <w:rtl/>
          <w:lang w:bidi="ar-EG"/>
        </w:rPr>
        <w:t>)</w:t>
      </w:r>
      <w:r>
        <w:rPr>
          <w:rFonts w:hint="cs"/>
          <w:rtl/>
          <w:lang w:bidi="ar-EG"/>
        </w:rPr>
        <w:t>.</w:t>
      </w:r>
    </w:p>
    <w:p w:rsidR="000B7434" w:rsidRPr="00EC4329" w:rsidRDefault="001B601C" w:rsidP="001B601C">
      <w:pPr>
        <w:pStyle w:val="SingleTxtGA"/>
        <w:rPr>
          <w:rFonts w:hint="cs"/>
          <w:rtl/>
          <w:lang w:bidi="ar-EG"/>
        </w:rPr>
      </w:pPr>
      <w:r>
        <w:rPr>
          <w:rFonts w:hint="cs"/>
          <w:rtl/>
          <w:lang w:bidi="ar-EG"/>
        </w:rPr>
        <w:t>65</w:t>
      </w:r>
      <w:r w:rsidR="000B7434" w:rsidRPr="00EC4329">
        <w:rPr>
          <w:rFonts w:hint="cs"/>
          <w:rtl/>
          <w:lang w:bidi="ar-EG"/>
        </w:rPr>
        <w:t>-</w:t>
      </w:r>
      <w:r w:rsidR="000B7434" w:rsidRPr="00EC4329">
        <w:rPr>
          <w:rFonts w:hint="cs"/>
          <w:rtl/>
          <w:lang w:bidi="ar-EG"/>
        </w:rPr>
        <w:tab/>
        <w:t>وأدمج في خطة العم</w:t>
      </w:r>
      <w:r w:rsidR="000B7434">
        <w:rPr>
          <w:rFonts w:hint="cs"/>
          <w:rtl/>
          <w:lang w:bidi="ar-EG"/>
        </w:rPr>
        <w:t>ل الوطنية عدد من التدابير التي ا</w:t>
      </w:r>
      <w:r w:rsidR="000B7434" w:rsidRPr="00EC4329">
        <w:rPr>
          <w:rFonts w:hint="cs"/>
          <w:rtl/>
          <w:lang w:bidi="ar-EG"/>
        </w:rPr>
        <w:t xml:space="preserve">عتُمدت لتمكين المرأة، بما في ذلك، التوعية، والدعوة، والتدريب، وما إلى ذلك. وقد حددت الحكم الخاص بجعل مشاركة المرأة بنسبة 33 في المائة هدفاً لها، الأمر الذي يجري تحقيقه بصورة تدريجية. وبغية تنفيذ الأهداف، زادت الحكومة ميزانيتها للسنة المالية 2008/2009، وتدرك الحكومة أن التمكين عملية متعددة الأبعاد تجعل بمقدور المرأة أن تمارس حقوق الإنسان وحرياته الأساسية وأن تتمتع بها على قدم المساواة مع الرجل. وقد ازداد مؤشر التمكين الجنساني للمرأة المستبعدة بنسبة 10 في المائة. وتعزو دراسة بحثية أجراها صندوق الأمم المتحدة للسكان هذه الزيادة إلى الأبعاد الثلاثة التالية في هذه العملية: </w:t>
      </w:r>
    </w:p>
    <w:p w:rsidR="000B7434" w:rsidRPr="00EC4329" w:rsidRDefault="000B7434" w:rsidP="000B7434">
      <w:pPr>
        <w:pStyle w:val="SingleTxt"/>
        <w:rPr>
          <w:rFonts w:hint="cs"/>
          <w:rtl/>
          <w:lang w:bidi="ar-EG"/>
        </w:rPr>
      </w:pPr>
      <w:r w:rsidRPr="00EC4329">
        <w:rPr>
          <w:rFonts w:hint="cs"/>
          <w:rtl/>
          <w:lang w:bidi="ar-EG"/>
        </w:rPr>
        <w:tab/>
        <w:t>(أ)</w:t>
      </w:r>
      <w:r w:rsidRPr="00EC4329">
        <w:rPr>
          <w:rFonts w:hint="cs"/>
          <w:rtl/>
          <w:lang w:bidi="ar-EG"/>
        </w:rPr>
        <w:tab/>
        <w:t>زيادة حصول المرأة على الفرص الاقتصادية والموارد عن طريق العمالة، والائتمان، والثروة بما في ذلك تملُّك الأراضي، والتكنولوجيا، والتعليم، والمعرفة، والصحة التي هي حيوية للتنمية البشرية؛</w:t>
      </w:r>
    </w:p>
    <w:p w:rsidR="000B7434" w:rsidRPr="00EC4329" w:rsidRDefault="000B7434" w:rsidP="000B7434">
      <w:pPr>
        <w:pStyle w:val="SingleTxt"/>
        <w:rPr>
          <w:rFonts w:hint="cs"/>
          <w:rtl/>
          <w:lang w:bidi="ar-EG"/>
        </w:rPr>
      </w:pPr>
      <w:r w:rsidRPr="00EC4329">
        <w:rPr>
          <w:rFonts w:hint="cs"/>
          <w:rtl/>
          <w:lang w:bidi="ar-EG"/>
        </w:rPr>
        <w:tab/>
        <w:t>(ب)</w:t>
      </w:r>
      <w:r w:rsidRPr="00EC4329">
        <w:rPr>
          <w:rFonts w:hint="cs"/>
          <w:rtl/>
          <w:lang w:bidi="ar-EG"/>
        </w:rPr>
        <w:tab/>
        <w:t>زيادة الوعي الاجتماعي لدى النساء والرجال بشأن أعراض وأسباب الممارسات القهرية الدينية والاقتصادية والثقافية والأسرية والقانونية وتعزيز قدرتهم على التغلّب على الأدوار النمطية التقليدية للجنسين؛</w:t>
      </w:r>
    </w:p>
    <w:p w:rsidR="000B7434" w:rsidRPr="00EC4329" w:rsidRDefault="000B7434" w:rsidP="000B7434">
      <w:pPr>
        <w:pStyle w:val="SingleTxt"/>
        <w:rPr>
          <w:rFonts w:hint="cs"/>
          <w:rtl/>
          <w:lang w:bidi="ar-EG"/>
        </w:rPr>
      </w:pPr>
      <w:r w:rsidRPr="00EC4329">
        <w:rPr>
          <w:rFonts w:hint="cs"/>
          <w:rtl/>
          <w:lang w:bidi="ar-EG"/>
        </w:rPr>
        <w:tab/>
        <w:t>(ج)</w:t>
      </w:r>
      <w:r w:rsidRPr="00EC4329">
        <w:rPr>
          <w:rFonts w:hint="cs"/>
          <w:rtl/>
          <w:lang w:bidi="ar-EG"/>
        </w:rPr>
        <w:tab/>
        <w:t>زيادة القوة السياسية للمرأة عن طريق المنظمات النسائية، والتضامن، والعمل الجماعي، والصوت المؤثر، والوجود الفعال في مناصب صنع القرار.</w:t>
      </w:r>
    </w:p>
    <w:p w:rsidR="000B7434" w:rsidRPr="00EC4329" w:rsidRDefault="001B601C" w:rsidP="001B601C">
      <w:pPr>
        <w:pStyle w:val="SingleTxtGA"/>
        <w:rPr>
          <w:rFonts w:hint="cs"/>
          <w:rtl/>
          <w:lang w:bidi="ar-EG"/>
        </w:rPr>
      </w:pPr>
      <w:r>
        <w:rPr>
          <w:rFonts w:hint="cs"/>
          <w:rtl/>
          <w:lang w:bidi="ar-EG"/>
        </w:rPr>
        <w:t>66</w:t>
      </w:r>
      <w:r w:rsidR="000B7434" w:rsidRPr="00EC4329">
        <w:rPr>
          <w:rFonts w:hint="cs"/>
          <w:rtl/>
          <w:lang w:bidi="ar-EG"/>
        </w:rPr>
        <w:t>-</w:t>
      </w:r>
      <w:r w:rsidR="000B7434" w:rsidRPr="00EC4329">
        <w:rPr>
          <w:rFonts w:hint="cs"/>
          <w:rtl/>
          <w:lang w:bidi="ar-EG"/>
        </w:rPr>
        <w:tab/>
        <w:t xml:space="preserve">وتنظر الحكومة والمنظمات غير الحكومية الآن في الأبعاد المذكورة أعلاه. وأحدها هو برنامج التوعية الذي تتولاه وزارة شؤون المرأة عن طريق موظفات شؤون تنمية المرأة بالتنسيق مع الوزارات الأخرى والوكالات المنفذة في كل المقاطعات. وتذكر سياسات الحكومة وبرامجها بوضوح وجوب أن </w:t>
      </w:r>
      <w:r>
        <w:rPr>
          <w:rFonts w:hint="cs"/>
          <w:rtl/>
          <w:lang w:bidi="ar-EG"/>
        </w:rPr>
        <w:t>"</w:t>
      </w:r>
      <w:r w:rsidR="000B7434" w:rsidRPr="00EC4329">
        <w:rPr>
          <w:rFonts w:hint="cs"/>
          <w:rtl/>
          <w:lang w:bidi="ar-EG"/>
        </w:rPr>
        <w:t>تكون المرأة مشمولة تناسبياً في كل هيئات الحكومة ومستوياتها عن طريق وضع أحكام قانونية خاصة وإيجابية. وتنشأ لجنة وطنية للشمول لتقديم التوصيات لغرض تحقيق ذلك</w:t>
      </w:r>
      <w:r>
        <w:rPr>
          <w:rFonts w:hint="cs"/>
          <w:rtl/>
          <w:lang w:bidi="ar-EG"/>
        </w:rPr>
        <w:t>"</w:t>
      </w:r>
      <w:r w:rsidR="000B7434" w:rsidRPr="00EC4329">
        <w:rPr>
          <w:rFonts w:hint="cs"/>
          <w:rtl/>
          <w:lang w:bidi="ar-EG"/>
        </w:rPr>
        <w:t xml:space="preserve">. وقد موّل مصرف التنمية الآسيوي برنامج المساواة بين الجنسين وتمكين المرأة، الذي يجري تنفيذه منذ تشرين الثاني/نوفمبر عام 2006 في المقاطعات النائية الواقعة في منطقة المرتفعات الغربية </w:t>
      </w:r>
      <w:r w:rsidR="000B7434">
        <w:rPr>
          <w:rFonts w:hint="cs"/>
          <w:rtl/>
          <w:lang w:bidi="ar-EG"/>
        </w:rPr>
        <w:t>القصوى والوسطى وفي المناطق المن</w:t>
      </w:r>
      <w:r w:rsidR="000B7434" w:rsidRPr="00EC4329">
        <w:rPr>
          <w:rFonts w:hint="cs"/>
          <w:rtl/>
          <w:lang w:bidi="ar-EG"/>
        </w:rPr>
        <w:t>بسطة في الإقليم الأوسط. ويبلغ مجموع المقاطعات المشمولة بهذا البرنامج 15 مقاطعة.</w:t>
      </w:r>
    </w:p>
    <w:p w:rsidR="000B7434" w:rsidRPr="00EC4329" w:rsidRDefault="000B7434" w:rsidP="00B87BF2">
      <w:pPr>
        <w:pStyle w:val="H23GA"/>
        <w:rPr>
          <w:rFonts w:hint="cs"/>
          <w:rtl/>
          <w:lang w:bidi="ar-EG"/>
        </w:rPr>
      </w:pPr>
      <w:r>
        <w:rPr>
          <w:rFonts w:hint="cs"/>
          <w:rtl/>
          <w:lang w:bidi="ar-EG"/>
        </w:rPr>
        <w:tab/>
      </w:r>
      <w:r>
        <w:rPr>
          <w:rFonts w:hint="cs"/>
          <w:rtl/>
          <w:lang w:bidi="ar-EG"/>
        </w:rPr>
        <w:tab/>
      </w:r>
      <w:r w:rsidRPr="00EC4329">
        <w:rPr>
          <w:rFonts w:hint="cs"/>
          <w:rtl/>
          <w:lang w:bidi="ar-EG"/>
        </w:rPr>
        <w:t>تحديات المستقبل</w:t>
      </w:r>
    </w:p>
    <w:p w:rsidR="000B7434" w:rsidRPr="00EC4329" w:rsidRDefault="001B601C" w:rsidP="001B601C">
      <w:pPr>
        <w:pStyle w:val="SingleTxtGA"/>
        <w:rPr>
          <w:rFonts w:hint="cs"/>
          <w:rtl/>
          <w:lang w:bidi="ar-EG"/>
        </w:rPr>
      </w:pPr>
      <w:r>
        <w:rPr>
          <w:rFonts w:hint="cs"/>
          <w:rtl/>
          <w:lang w:bidi="ar-EG"/>
        </w:rPr>
        <w:t>67</w:t>
      </w:r>
      <w:r w:rsidR="000B7434" w:rsidRPr="00EC4329">
        <w:rPr>
          <w:rFonts w:hint="cs"/>
          <w:rtl/>
          <w:lang w:bidi="ar-EG"/>
        </w:rPr>
        <w:t>-</w:t>
      </w:r>
      <w:r w:rsidR="000B7434" w:rsidRPr="00EC4329">
        <w:rPr>
          <w:rFonts w:hint="cs"/>
          <w:rtl/>
          <w:lang w:bidi="ar-EG"/>
        </w:rPr>
        <w:tab/>
        <w:t>لم يجر بعد إدخال الأساس المفاهيم</w:t>
      </w:r>
      <w:r w:rsidR="000B7434">
        <w:rPr>
          <w:rFonts w:hint="cs"/>
          <w:rtl/>
          <w:lang w:bidi="ar-EG"/>
        </w:rPr>
        <w:t>ي</w:t>
      </w:r>
      <w:r w:rsidR="000B7434" w:rsidRPr="00EC4329">
        <w:rPr>
          <w:rFonts w:hint="cs"/>
          <w:rtl/>
          <w:lang w:bidi="ar-EG"/>
        </w:rPr>
        <w:t xml:space="preserve"> للتدابير الخاصة قصيرة الأجل في الحسابات الداخلية نظراً إلى بطء النمو الاجتماعي</w:t>
      </w:r>
      <w:r w:rsidR="000B7434">
        <w:rPr>
          <w:rFonts w:hint="cs"/>
          <w:rtl/>
          <w:lang w:bidi="ar-EG"/>
        </w:rPr>
        <w:t xml:space="preserve"> </w:t>
      </w:r>
      <w:r w:rsidR="000B7434" w:rsidRPr="00EC4329">
        <w:rPr>
          <w:rFonts w:hint="cs"/>
          <w:rtl/>
          <w:lang w:bidi="ar-EG"/>
        </w:rPr>
        <w:t>- الاقتصادي. ولا تتحدد خيارات المعيشة للمرأة بالمساعدة المادية وحدها بل وتقررها أيضاً العقائدية العامة فيما يتعلق بالجنسين والتكوين الاجتماعي</w:t>
      </w:r>
      <w:r w:rsidR="000B7434">
        <w:rPr>
          <w:rFonts w:hint="cs"/>
          <w:rtl/>
          <w:lang w:bidi="ar-EG"/>
        </w:rPr>
        <w:t xml:space="preserve"> - </w:t>
      </w:r>
      <w:r w:rsidR="000B7434" w:rsidRPr="00EC4329">
        <w:rPr>
          <w:rFonts w:hint="cs"/>
          <w:rtl/>
          <w:lang w:bidi="ar-EG"/>
        </w:rPr>
        <w:t>الاقتصادي. وتعيق الممارساتُ التمييزية والنمطية عميقةُ الجذور عمليةَ</w:t>
      </w:r>
      <w:r w:rsidR="000B7434">
        <w:rPr>
          <w:rFonts w:hint="eastAsia"/>
          <w:rtl/>
          <w:lang w:bidi="ar-EG"/>
        </w:rPr>
        <w:t> </w:t>
      </w:r>
      <w:r w:rsidR="000B7434" w:rsidRPr="00EC4329">
        <w:rPr>
          <w:rFonts w:hint="cs"/>
          <w:rtl/>
          <w:lang w:bidi="ar-EG"/>
        </w:rPr>
        <w:t>التحوّل.</w:t>
      </w:r>
    </w:p>
    <w:p w:rsidR="000B7434" w:rsidRPr="00EC4329" w:rsidRDefault="000B7434" w:rsidP="00B87BF2">
      <w:pPr>
        <w:pStyle w:val="H1GA"/>
        <w:spacing w:before="120"/>
        <w:jc w:val="left"/>
        <w:rPr>
          <w:rFonts w:hint="cs"/>
          <w:rtl/>
          <w:lang w:bidi="ar-EG"/>
        </w:rPr>
      </w:pPr>
      <w:r>
        <w:rPr>
          <w:rFonts w:hint="cs"/>
          <w:rtl/>
          <w:lang w:bidi="ar-EG"/>
        </w:rPr>
        <w:tab/>
      </w:r>
      <w:r>
        <w:rPr>
          <w:rFonts w:hint="cs"/>
          <w:rtl/>
          <w:lang w:bidi="ar-EG"/>
        </w:rPr>
        <w:tab/>
      </w:r>
      <w:r w:rsidRPr="00EC4329">
        <w:rPr>
          <w:rFonts w:hint="cs"/>
          <w:rtl/>
          <w:lang w:bidi="ar-EG"/>
        </w:rPr>
        <w:t>المادة 5</w:t>
      </w:r>
      <w:r>
        <w:rPr>
          <w:rtl/>
          <w:lang w:bidi="ar-EG"/>
        </w:rPr>
        <w:br/>
      </w:r>
      <w:r w:rsidRPr="00EC4329">
        <w:rPr>
          <w:rFonts w:hint="cs"/>
          <w:rtl/>
          <w:lang w:bidi="ar-EG"/>
        </w:rPr>
        <w:t>الممارسات الثقافية التقليدية</w:t>
      </w:r>
    </w:p>
    <w:p w:rsidR="000B7434" w:rsidRPr="00EC4329" w:rsidRDefault="000B7434" w:rsidP="00B87BF2">
      <w:pPr>
        <w:pStyle w:val="H23GA"/>
        <w:rPr>
          <w:rFonts w:hint="cs"/>
          <w:rtl/>
          <w:lang w:bidi="ar-EG"/>
        </w:rPr>
      </w:pPr>
      <w:r>
        <w:rPr>
          <w:rFonts w:hint="cs"/>
          <w:rtl/>
          <w:lang w:bidi="ar-EG"/>
        </w:rPr>
        <w:tab/>
      </w:r>
      <w:r>
        <w:rPr>
          <w:rFonts w:hint="cs"/>
          <w:rtl/>
          <w:lang w:bidi="ar-EG"/>
        </w:rPr>
        <w:tab/>
      </w:r>
      <w:r w:rsidRPr="00EC4329">
        <w:rPr>
          <w:rFonts w:hint="cs"/>
          <w:rtl/>
          <w:lang w:bidi="ar-EG"/>
        </w:rPr>
        <w:t>معلومات أساسية</w:t>
      </w:r>
    </w:p>
    <w:p w:rsidR="000B7434" w:rsidRPr="00EC4329" w:rsidRDefault="001B601C" w:rsidP="001B601C">
      <w:pPr>
        <w:pStyle w:val="SingleTxtGA"/>
        <w:rPr>
          <w:rFonts w:hint="cs"/>
          <w:rtl/>
          <w:lang w:bidi="ar-EG"/>
        </w:rPr>
      </w:pPr>
      <w:r>
        <w:rPr>
          <w:rFonts w:hint="cs"/>
          <w:rtl/>
          <w:lang w:bidi="ar-EG"/>
        </w:rPr>
        <w:t>68</w:t>
      </w:r>
      <w:r w:rsidR="000B7434" w:rsidRPr="00EC4329">
        <w:rPr>
          <w:rFonts w:hint="cs"/>
          <w:rtl/>
          <w:lang w:bidi="ar-EG"/>
        </w:rPr>
        <w:t>-</w:t>
      </w:r>
      <w:r w:rsidR="000B7434" w:rsidRPr="00EC4329">
        <w:rPr>
          <w:rFonts w:hint="cs"/>
          <w:rtl/>
          <w:lang w:bidi="ar-EG"/>
        </w:rPr>
        <w:tab/>
        <w:t>لا يزال ممكناً ملاحظة القبول الاجتماعي أو ثقافة الصمت في بعض من المناطق التي</w:t>
      </w:r>
      <w:r w:rsidR="000B7434">
        <w:rPr>
          <w:rFonts w:hint="eastAsia"/>
          <w:rtl/>
          <w:lang w:bidi="ar-EG"/>
        </w:rPr>
        <w:t> </w:t>
      </w:r>
      <w:r w:rsidR="000B7434" w:rsidRPr="00EC4329">
        <w:rPr>
          <w:rFonts w:hint="cs"/>
          <w:rtl/>
          <w:lang w:bidi="ar-EG"/>
        </w:rPr>
        <w:t>تسود فيها القولبة النمطية لأدوار الجنسين. وفي مناسبات نادرة تبلِّغ وسائطُ الإعلام عن</w:t>
      </w:r>
      <w:r w:rsidR="000B7434">
        <w:rPr>
          <w:rFonts w:hint="eastAsia"/>
          <w:rtl/>
          <w:lang w:bidi="ar-EG"/>
        </w:rPr>
        <w:t> </w:t>
      </w:r>
      <w:r w:rsidR="000B7434" w:rsidRPr="00EC4329">
        <w:rPr>
          <w:rFonts w:hint="cs"/>
          <w:rtl/>
          <w:lang w:bidi="ar-EG"/>
        </w:rPr>
        <w:t>ممارسة نظام البائنة، وزواج الأطفال، وتعدد الزوجات، والترمل، والممارسات الأخرى المتصلة بالاستبعاد الاجتماعي. ومع ذلك فإنه نتيجة لمبادرات الحكومة وتدخلات المنظمات غير الحكومية، انخفضت كثيراً أثناء الفترة المشمولة بالتقرير هذه الممارسات السيئة باسم</w:t>
      </w:r>
      <w:r w:rsidR="000B7434">
        <w:rPr>
          <w:rFonts w:hint="eastAsia"/>
          <w:rtl/>
          <w:lang w:bidi="ar-EG"/>
        </w:rPr>
        <w:t> </w:t>
      </w:r>
      <w:r w:rsidR="000B7434" w:rsidRPr="00EC4329">
        <w:rPr>
          <w:rFonts w:hint="cs"/>
          <w:rtl/>
          <w:lang w:bidi="ar-EG"/>
        </w:rPr>
        <w:t>التقليد والثقافة.</w:t>
      </w:r>
    </w:p>
    <w:p w:rsidR="000B7434" w:rsidRPr="00EC4329" w:rsidRDefault="001B601C" w:rsidP="00B87BF2">
      <w:pPr>
        <w:pStyle w:val="H23GA"/>
        <w:rPr>
          <w:rFonts w:hint="cs"/>
          <w:rtl/>
          <w:lang w:bidi="ar-EG"/>
        </w:rPr>
      </w:pPr>
      <w:r>
        <w:rPr>
          <w:rFonts w:hint="cs"/>
          <w:rtl/>
          <w:lang w:bidi="ar-EG"/>
        </w:rPr>
        <w:tab/>
      </w:r>
      <w:r>
        <w:rPr>
          <w:rFonts w:hint="cs"/>
          <w:rtl/>
          <w:lang w:bidi="ar-EG"/>
        </w:rPr>
        <w:tab/>
      </w:r>
      <w:r w:rsidR="000B7434" w:rsidRPr="00EC4329">
        <w:rPr>
          <w:rFonts w:hint="cs"/>
          <w:rtl/>
          <w:lang w:bidi="ar-EG"/>
        </w:rPr>
        <w:t>مبادرات الإصلاح</w:t>
      </w:r>
    </w:p>
    <w:p w:rsidR="000B7434" w:rsidRPr="00EC4329" w:rsidRDefault="001B601C" w:rsidP="001B601C">
      <w:pPr>
        <w:pStyle w:val="SingleTxtGA"/>
        <w:rPr>
          <w:rFonts w:hint="cs"/>
          <w:rtl/>
          <w:lang w:bidi="ar-EG"/>
        </w:rPr>
      </w:pPr>
      <w:r>
        <w:rPr>
          <w:rFonts w:hint="cs"/>
          <w:rtl/>
          <w:lang w:bidi="ar-EG"/>
        </w:rPr>
        <w:t>69</w:t>
      </w:r>
      <w:r w:rsidR="000B7434" w:rsidRPr="00EC4329">
        <w:rPr>
          <w:rFonts w:hint="cs"/>
          <w:rtl/>
          <w:lang w:bidi="ar-EG"/>
        </w:rPr>
        <w:t>-</w:t>
      </w:r>
      <w:r w:rsidR="000B7434" w:rsidRPr="00EC4329">
        <w:rPr>
          <w:rFonts w:hint="cs"/>
          <w:rtl/>
          <w:lang w:bidi="ar-EG"/>
        </w:rPr>
        <w:tab/>
        <w:t xml:space="preserve">ينص الدستور المؤقت على ضمانات واضحة للمرأة من الممارسات المذكورة أعلاه. وتعلن المادة 20 من الدستور </w:t>
      </w:r>
      <w:r>
        <w:rPr>
          <w:rFonts w:hint="cs"/>
          <w:rtl/>
          <w:lang w:bidi="ar-EG"/>
        </w:rPr>
        <w:t>"</w:t>
      </w:r>
      <w:r w:rsidR="000B7434" w:rsidRPr="00EC4329">
        <w:rPr>
          <w:rFonts w:hint="cs"/>
          <w:rtl/>
          <w:lang w:bidi="ar-EG"/>
        </w:rPr>
        <w:t>لا يكون أي شخص عُرضة للتمييز بأي شكل لمجرد كون ذلك الشخص امرأة</w:t>
      </w:r>
      <w:r>
        <w:rPr>
          <w:rFonts w:hint="cs"/>
          <w:rtl/>
          <w:lang w:bidi="ar-EG"/>
        </w:rPr>
        <w:t>"</w:t>
      </w:r>
      <w:r w:rsidR="000B7434" w:rsidRPr="00EC4329">
        <w:rPr>
          <w:rFonts w:hint="cs"/>
          <w:rtl/>
          <w:lang w:bidi="ar-EG"/>
        </w:rPr>
        <w:t>. وهذا الحكم يوفر في نهاية المطاف مجالاً أوسع لتنفيذ الحقوق المناهضة لاستغلال المرأة واستخدام العنف ضدها.</w:t>
      </w:r>
    </w:p>
    <w:p w:rsidR="000B7434" w:rsidRPr="00EC4329" w:rsidRDefault="001B601C" w:rsidP="001B601C">
      <w:pPr>
        <w:pStyle w:val="SingleTxtGA"/>
        <w:rPr>
          <w:rFonts w:hint="cs"/>
          <w:rtl/>
          <w:lang w:bidi="ar-EG"/>
        </w:rPr>
      </w:pPr>
      <w:r>
        <w:rPr>
          <w:rFonts w:hint="cs"/>
          <w:rtl/>
          <w:lang w:bidi="ar-EG"/>
        </w:rPr>
        <w:t>70</w:t>
      </w:r>
      <w:r w:rsidR="000B7434" w:rsidRPr="00EC4329">
        <w:rPr>
          <w:rFonts w:hint="cs"/>
          <w:rtl/>
          <w:lang w:bidi="ar-EG"/>
        </w:rPr>
        <w:t>-</w:t>
      </w:r>
      <w:r w:rsidR="000B7434" w:rsidRPr="00EC4329">
        <w:rPr>
          <w:rFonts w:hint="cs"/>
          <w:rtl/>
          <w:lang w:bidi="ar-EG"/>
        </w:rPr>
        <w:tab/>
        <w:t xml:space="preserve">وعلاوة على ذلك، أحدثت الأوامر الإيعازية الصادرة عن المحكمة العليا قدراً كبيراً من مبادرات التغيير المتعلقة بإزالة التقاليد التمييزية العميقة الجذور في المجتمع والتي يجري اتباعها باسم الممارسات الثقافية أو العرفية أو الدينية. وتم الطعن بممارسة </w:t>
      </w:r>
      <w:r w:rsidR="000B7434" w:rsidRPr="00EC4329">
        <w:rPr>
          <w:rFonts w:hint="cs"/>
          <w:i/>
          <w:iCs/>
          <w:rtl/>
          <w:lang w:bidi="ar-EG"/>
        </w:rPr>
        <w:t>التشاوبادي</w:t>
      </w:r>
      <w:r w:rsidR="000B7434" w:rsidRPr="00EC4329">
        <w:rPr>
          <w:rFonts w:hint="cs"/>
          <w:rtl/>
          <w:lang w:bidi="ar-EG"/>
        </w:rPr>
        <w:t xml:space="preserve"> من خلال قضية </w:t>
      </w:r>
      <w:r w:rsidR="000B7434" w:rsidRPr="00EC4329">
        <w:rPr>
          <w:rFonts w:hint="cs"/>
          <w:i/>
          <w:iCs/>
          <w:rtl/>
          <w:lang w:bidi="ar-EG"/>
        </w:rPr>
        <w:t>ديل باهادور بيشوكارما</w:t>
      </w:r>
      <w:r w:rsidR="000B7434" w:rsidRPr="00EC4329">
        <w:rPr>
          <w:rFonts w:hint="cs"/>
          <w:rtl/>
          <w:lang w:bidi="ar-EG"/>
        </w:rPr>
        <w:t xml:space="preserve"> ضد </w:t>
      </w:r>
      <w:r w:rsidR="000B7434" w:rsidRPr="00EC4329">
        <w:rPr>
          <w:rFonts w:hint="cs"/>
          <w:i/>
          <w:iCs/>
          <w:rtl/>
          <w:lang w:bidi="ar-EG"/>
        </w:rPr>
        <w:t>حكومة جلالة الملك</w:t>
      </w:r>
      <w:r w:rsidR="000B7434" w:rsidRPr="00EC4329">
        <w:rPr>
          <w:rFonts w:hint="cs"/>
          <w:rtl/>
          <w:lang w:bidi="ar-EG"/>
        </w:rPr>
        <w:t xml:space="preserve"> حين أعلنت المحكمة العليا في</w:t>
      </w:r>
      <w:r w:rsidR="000B7434">
        <w:rPr>
          <w:rFonts w:hint="eastAsia"/>
          <w:rtl/>
          <w:lang w:bidi="ar-EG"/>
        </w:rPr>
        <w:t> </w:t>
      </w:r>
      <w:r w:rsidR="000B7434" w:rsidRPr="00EC4329">
        <w:rPr>
          <w:rFonts w:hint="cs"/>
          <w:rtl/>
          <w:lang w:bidi="ar-EG"/>
        </w:rPr>
        <w:t>1 أيار/مايو 2004 هذه الممارسة تمييزاً ضد المرأة وانتهاكاً لما لها من حقوق الإنسان. وأصدرت المحكمة العليا أيضاً مبدأ توجيهياً للتنفيذ وجهته للحكومة. كما وجهت أمراً إيعازياً إلى وزارة الصحة والسكان بتشكيل لجنة لإجراء دراسة متعمقة عن تأثير هذه الممارسة على صحة المرأة. وأُمرت وزارة شؤون المرأة أيضاً بأن تضع مبادئ توجيهية تتماشى مع روح القضاء على العنف والتمييز ضد المرأة. وأهم من ذلك أن المحكمة العليا لاحظت أهمية المنظمات غير الحكومية في القيام بحملات توعية ضد هذا النوع التمييزي واللاإنساني والمهين من الممارسات التقليدية</w:t>
      </w:r>
      <w:r w:rsidR="000B7434" w:rsidRPr="00EC4329">
        <w:rPr>
          <w:rFonts w:hint="eastAsia"/>
          <w:rtl/>
          <w:lang w:bidi="ar-EG"/>
        </w:rPr>
        <w:t> </w:t>
      </w:r>
      <w:r w:rsidR="000B7434" w:rsidRPr="00EC4329">
        <w:rPr>
          <w:rFonts w:hint="cs"/>
          <w:rtl/>
          <w:lang w:bidi="ar-EG"/>
        </w:rPr>
        <w:t>والعرفية.</w:t>
      </w:r>
    </w:p>
    <w:p w:rsidR="000B7434" w:rsidRPr="00EC4329" w:rsidRDefault="001B601C" w:rsidP="001B601C">
      <w:pPr>
        <w:pStyle w:val="SingleTxtGA"/>
        <w:rPr>
          <w:rFonts w:hint="cs"/>
          <w:rtl/>
          <w:lang w:bidi="ar-EG"/>
        </w:rPr>
      </w:pPr>
      <w:r>
        <w:rPr>
          <w:rFonts w:hint="cs"/>
          <w:rtl/>
          <w:lang w:bidi="ar-EG"/>
        </w:rPr>
        <w:t>71</w:t>
      </w:r>
      <w:r w:rsidR="000B7434" w:rsidRPr="00EC4329">
        <w:rPr>
          <w:rFonts w:hint="cs"/>
          <w:rtl/>
          <w:lang w:bidi="ar-EG"/>
        </w:rPr>
        <w:t>-</w:t>
      </w:r>
      <w:r w:rsidR="000B7434" w:rsidRPr="00EC4329">
        <w:rPr>
          <w:rFonts w:hint="cs"/>
          <w:rtl/>
          <w:lang w:bidi="ar-EG"/>
        </w:rPr>
        <w:tab/>
        <w:t xml:space="preserve">وفي أعقاب صدور الأمر الإيعازي عن المحكمة العليا، اتخذت الحكومة عدداً من تدابير التنفيذ. وقد أعلن مجلس الوزراء بالفعل أنّ ممارسة </w:t>
      </w:r>
      <w:r w:rsidR="000B7434" w:rsidRPr="00EC4329">
        <w:rPr>
          <w:rFonts w:hint="cs"/>
          <w:i/>
          <w:iCs/>
          <w:rtl/>
          <w:lang w:bidi="ar-EG"/>
        </w:rPr>
        <w:t>التشاوبادي</w:t>
      </w:r>
      <w:r w:rsidR="000B7434" w:rsidRPr="00EC4329">
        <w:rPr>
          <w:rFonts w:hint="cs"/>
          <w:rtl/>
          <w:lang w:bidi="ar-EG"/>
        </w:rPr>
        <w:t xml:space="preserve"> هي أسوأ أشكال الممارسات الاجتماعية. وأخذت وزارة شؤون المرأة تنفذ مشروعاً رائداً لمدة ثلاث سنوات بدعم من منظمة إنقاذ الأطفال بالنرويج. ويشمل المشروع أنشطةً مثل:</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بناء الوعي عن طريق وسائط الإعلام، والمواد الإعلامية والتعليمية، والاتصال (مثل برامج الإذاعة، والمنشورات اليدوية، والملصقات، والبرامج الوثائقية)؛</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الفحوصات الطبية الدورية، وتدابير السلامة، بما في ذلك النظافة الصحية مع توفير مراحيض مستقلة، واستخدام المناديل الصحية، وتوفير مستوصف، إلخ؛</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تشكيل لجان يقظة تضم كبار السن وكبار أعضاء المجتمع بغية الضغط من أجل مكافحة هذه الممارسات.</w:t>
      </w:r>
    </w:p>
    <w:p w:rsidR="000B7434" w:rsidRPr="00EC4329" w:rsidRDefault="001B601C" w:rsidP="001B601C">
      <w:pPr>
        <w:pStyle w:val="SingleTxtGA"/>
        <w:rPr>
          <w:rFonts w:hint="cs"/>
          <w:rtl/>
          <w:lang w:bidi="ar-EG"/>
        </w:rPr>
      </w:pPr>
      <w:r>
        <w:rPr>
          <w:rFonts w:hint="cs"/>
          <w:rtl/>
          <w:lang w:bidi="ar-EG"/>
        </w:rPr>
        <w:t>72</w:t>
      </w:r>
      <w:r w:rsidR="000B7434" w:rsidRPr="00EC4329">
        <w:rPr>
          <w:rFonts w:hint="cs"/>
          <w:rtl/>
          <w:lang w:bidi="ar-EG"/>
        </w:rPr>
        <w:t>-</w:t>
      </w:r>
      <w:r w:rsidR="000B7434" w:rsidRPr="00EC4329">
        <w:rPr>
          <w:rFonts w:hint="cs"/>
          <w:rtl/>
          <w:lang w:bidi="ar-EG"/>
        </w:rPr>
        <w:tab/>
        <w:t xml:space="preserve">وقد ساعد هذا التدخل في إحداث تغييرات إيجابية. وبدأت فكرة الناس عن ممارسة </w:t>
      </w:r>
      <w:r w:rsidR="000B7434" w:rsidRPr="00EC4329">
        <w:rPr>
          <w:rFonts w:hint="cs"/>
          <w:i/>
          <w:iCs/>
          <w:rtl/>
          <w:lang w:bidi="ar-EG"/>
        </w:rPr>
        <w:t>التشاوبادي</w:t>
      </w:r>
      <w:r w:rsidR="000B7434" w:rsidRPr="00EC4329">
        <w:rPr>
          <w:rFonts w:hint="cs"/>
          <w:rtl/>
          <w:lang w:bidi="ar-EG"/>
        </w:rPr>
        <w:t xml:space="preserve"> تتغير الآن. وقد خُفّضت مدة عزل المرأة أثناء الحيض وسُمح لها بأن تبقى في المنزل بدلاً من عزلها في حظيرة الأبقار. وبالإضافة إلى ذلك أنشأت وزارة الصحة والسكان لجنة أجرت بحثاً متعمقاً في التأثير الضار لمثل هذه الممارسات على صحة المرأة.</w:t>
      </w:r>
    </w:p>
    <w:p w:rsidR="000B7434" w:rsidRPr="00EC4329" w:rsidRDefault="000B7434" w:rsidP="001B601C">
      <w:pPr>
        <w:pStyle w:val="SingleTxtGA"/>
        <w:rPr>
          <w:rFonts w:hint="cs"/>
          <w:rtl/>
          <w:lang w:bidi="ar-EG"/>
        </w:rPr>
      </w:pPr>
      <w:r w:rsidRPr="00EC4329">
        <w:rPr>
          <w:rFonts w:hint="cs"/>
          <w:rtl/>
          <w:lang w:bidi="ar-EG"/>
        </w:rPr>
        <w:t>7</w:t>
      </w:r>
      <w:r w:rsidR="001B601C">
        <w:rPr>
          <w:rFonts w:hint="cs"/>
          <w:rtl/>
          <w:lang w:bidi="ar-EG"/>
        </w:rPr>
        <w:t>3</w:t>
      </w:r>
      <w:r w:rsidRPr="00EC4329">
        <w:rPr>
          <w:rFonts w:hint="cs"/>
          <w:rtl/>
          <w:lang w:bidi="ar-EG"/>
        </w:rPr>
        <w:t>-</w:t>
      </w:r>
      <w:r w:rsidRPr="00EC4329">
        <w:rPr>
          <w:rFonts w:hint="cs"/>
          <w:rtl/>
          <w:lang w:bidi="ar-EG"/>
        </w:rPr>
        <w:tab/>
        <w:t xml:space="preserve">وبالمثل فإنه في الدعوى التي أقامتها </w:t>
      </w:r>
      <w:r w:rsidRPr="00EC4329">
        <w:rPr>
          <w:rFonts w:hint="cs"/>
          <w:i/>
          <w:iCs/>
          <w:rtl/>
          <w:lang w:bidi="ar-EG"/>
        </w:rPr>
        <w:t>رِسما ثابا</w:t>
      </w:r>
      <w:r w:rsidRPr="00EC4329">
        <w:rPr>
          <w:rFonts w:hint="cs"/>
          <w:rtl/>
          <w:lang w:bidi="ar-EG"/>
        </w:rPr>
        <w:t xml:space="preserve"> ضد </w:t>
      </w:r>
      <w:r w:rsidRPr="00EC4329">
        <w:rPr>
          <w:rFonts w:hint="cs"/>
          <w:i/>
          <w:iCs/>
          <w:rtl/>
          <w:lang w:bidi="ar-EG"/>
        </w:rPr>
        <w:t>مجلس الوزراء</w:t>
      </w:r>
      <w:r w:rsidRPr="00EC4329">
        <w:rPr>
          <w:rFonts w:hint="cs"/>
          <w:rtl/>
          <w:lang w:bidi="ar-EG"/>
        </w:rPr>
        <w:t xml:space="preserve"> بشأن اتهام نساء بممارسة السحر، أصدرت المحكمة العليا، بتاريخ 10 آب/أ</w:t>
      </w:r>
      <w:r w:rsidR="001B601C">
        <w:rPr>
          <w:rFonts w:hint="cs"/>
          <w:rtl/>
          <w:lang w:bidi="ar-EG"/>
        </w:rPr>
        <w:t>غ</w:t>
      </w:r>
      <w:r w:rsidRPr="00EC4329">
        <w:rPr>
          <w:rFonts w:hint="cs"/>
          <w:rtl/>
          <w:lang w:bidi="ar-EG"/>
        </w:rPr>
        <w:t xml:space="preserve">سطس 2004 أمراً إيعازياً إلى الحكومة بأن تستن قوانين وافية وتتخذ تدابير منع وتعزيز ملائمة. وقد شددت الحكومة على جدية الإيعاز ونددت بهذا العمل بوصفه محرجاً ومهيناً ومسيئاً. وأعلنت أن </w:t>
      </w:r>
      <w:r w:rsidR="001B601C">
        <w:rPr>
          <w:rFonts w:hint="cs"/>
          <w:rtl/>
          <w:lang w:bidi="ar-EG"/>
        </w:rPr>
        <w:t>ا</w:t>
      </w:r>
      <w:r w:rsidRPr="00EC4329">
        <w:rPr>
          <w:rFonts w:hint="cs"/>
          <w:rtl/>
          <w:lang w:bidi="ar-EG"/>
        </w:rPr>
        <w:t xml:space="preserve">تّهامَ أي شخص بممارسة السحر سيعتبر جريمة خطيرة تُعاقب بالسجن بموجب قانون قضايا الدولة. وبالإضافة إلى ذلك، وضعت وزارة شؤون المرأة </w:t>
      </w:r>
      <w:r w:rsidR="001B601C">
        <w:rPr>
          <w:rFonts w:hint="cs"/>
          <w:rtl/>
          <w:lang w:bidi="ar-EG"/>
        </w:rPr>
        <w:t>"</w:t>
      </w:r>
      <w:r w:rsidRPr="00EC4329">
        <w:rPr>
          <w:rFonts w:hint="cs"/>
          <w:rtl/>
          <w:lang w:bidi="ar-EG"/>
        </w:rPr>
        <w:t>سياسة عدم التساهل المطلق</w:t>
      </w:r>
      <w:r w:rsidR="001B601C">
        <w:rPr>
          <w:rFonts w:hint="cs"/>
          <w:rtl/>
          <w:lang w:bidi="ar-EG"/>
        </w:rPr>
        <w:t>"</w:t>
      </w:r>
      <w:r w:rsidRPr="00EC4329">
        <w:rPr>
          <w:rFonts w:hint="cs"/>
          <w:rtl/>
          <w:lang w:bidi="ar-EG"/>
        </w:rPr>
        <w:t xml:space="preserve"> إزاء العنف ضد المرأة. وعلى نحو مماثل أُجيز قانون مكافحة العنف الأُسري ضد المرأة في الجمعية التشريعية</w:t>
      </w:r>
      <w:r w:rsidR="002F5691">
        <w:rPr>
          <w:rFonts w:hint="cs"/>
          <w:rtl/>
          <w:lang w:bidi="ar-EG"/>
        </w:rPr>
        <w:t xml:space="preserve"> </w:t>
      </w:r>
      <w:r w:rsidRPr="00EC4329">
        <w:rPr>
          <w:rFonts w:hint="cs"/>
          <w:rtl/>
          <w:lang w:bidi="ar-EG"/>
        </w:rPr>
        <w:t>-</w:t>
      </w:r>
      <w:r w:rsidR="002F5691">
        <w:rPr>
          <w:rFonts w:hint="cs"/>
          <w:rtl/>
          <w:lang w:bidi="ar-EG"/>
        </w:rPr>
        <w:t xml:space="preserve"> </w:t>
      </w:r>
      <w:r w:rsidRPr="00EC4329">
        <w:rPr>
          <w:rFonts w:hint="cs"/>
          <w:rtl/>
          <w:lang w:bidi="ar-EG"/>
        </w:rPr>
        <w:t>البرلمان في الآونة الأخيرة. وهذا القانون يعتبر أداة رئيسية في حماية المرأة من العنف الأسري.</w:t>
      </w:r>
    </w:p>
    <w:p w:rsidR="000B7434" w:rsidRPr="00EC4329" w:rsidRDefault="001B601C" w:rsidP="001B601C">
      <w:pPr>
        <w:pStyle w:val="SingleTxtGA"/>
        <w:rPr>
          <w:rFonts w:hint="cs"/>
          <w:rtl/>
          <w:lang w:bidi="ar-EG"/>
        </w:rPr>
      </w:pPr>
      <w:r>
        <w:rPr>
          <w:rFonts w:hint="cs"/>
          <w:rtl/>
          <w:lang w:bidi="ar-EG"/>
        </w:rPr>
        <w:t>74</w:t>
      </w:r>
      <w:r w:rsidR="000B7434" w:rsidRPr="00EC4329">
        <w:rPr>
          <w:rFonts w:hint="cs"/>
          <w:rtl/>
          <w:lang w:bidi="ar-EG"/>
        </w:rPr>
        <w:t>-</w:t>
      </w:r>
      <w:r w:rsidR="000B7434" w:rsidRPr="00EC4329">
        <w:rPr>
          <w:rFonts w:hint="cs"/>
          <w:rtl/>
          <w:lang w:bidi="ar-EG"/>
        </w:rPr>
        <w:tab/>
        <w:t>وما انفكت وزارة شؤون المرأة تنفذ برامج لتمكين الفتيات المراهقات وتدعو إلى حقهن في التعليم والصحة وكذلك في إنهاء التمييز ضدهن وضد جميع الإناث من الأطفال في كل المقاطعات ا</w:t>
      </w:r>
      <w:r>
        <w:rPr>
          <w:rFonts w:hint="cs"/>
          <w:rtl/>
          <w:lang w:bidi="ar-EG"/>
        </w:rPr>
        <w:t xml:space="preserve">ﻟ </w:t>
      </w:r>
      <w:r w:rsidR="000B7434" w:rsidRPr="00EC4329">
        <w:rPr>
          <w:rFonts w:hint="cs"/>
          <w:rtl/>
          <w:lang w:bidi="ar-EG"/>
        </w:rPr>
        <w:t>75. وتحقيقاً لهذه الغاية، تم تنفيذ عدد من البرامج المحددة الهدف مع تأكيد خاص على تمكين المرأة والطفلة عبر البلد. وفي غضون ذلك، تعمل المنظمات غير الحكومية بنشاط على التوعية في المجتمع لمناهضة التحيزات الاجتماعية الراهنة والممارسات التمييزية المفروضة على المرأة باسم الدين والثقافة. ومن المتوقع أن تؤدي السياسات المعتمدة في الخطط الدورية الأخيرة وجهود الحكومة المتضافرة عبر آليات الميزنة المراعية للجنسانية إلى</w:t>
      </w:r>
      <w:r w:rsidR="000B7434">
        <w:rPr>
          <w:rFonts w:hint="eastAsia"/>
          <w:rtl/>
          <w:lang w:bidi="ar-EG"/>
        </w:rPr>
        <w:t> </w:t>
      </w:r>
      <w:r w:rsidR="000B7434" w:rsidRPr="00EC4329">
        <w:rPr>
          <w:rFonts w:hint="cs"/>
          <w:rtl/>
          <w:lang w:bidi="ar-EG"/>
        </w:rPr>
        <w:t>التغيير المنشود في هذا المجال.</w:t>
      </w:r>
    </w:p>
    <w:p w:rsidR="000B7434" w:rsidRPr="00EC4329" w:rsidRDefault="001B601C" w:rsidP="00B87BF2">
      <w:pPr>
        <w:pStyle w:val="H23GA"/>
        <w:rPr>
          <w:rFonts w:hint="cs"/>
          <w:rtl/>
          <w:lang w:bidi="ar-EG"/>
        </w:rPr>
      </w:pPr>
      <w:r>
        <w:rPr>
          <w:rFonts w:hint="cs"/>
          <w:rtl/>
          <w:lang w:bidi="ar-EG"/>
        </w:rPr>
        <w:tab/>
      </w:r>
      <w:r>
        <w:rPr>
          <w:rFonts w:hint="cs"/>
          <w:rtl/>
          <w:lang w:bidi="ar-EG"/>
        </w:rPr>
        <w:tab/>
      </w:r>
      <w:r w:rsidR="000B7434" w:rsidRPr="00EC4329">
        <w:rPr>
          <w:rFonts w:hint="cs"/>
          <w:rtl/>
          <w:lang w:bidi="ar-EG"/>
        </w:rPr>
        <w:t>تحديات المستقبل</w:t>
      </w:r>
    </w:p>
    <w:p w:rsidR="000B7434" w:rsidRPr="00EC4329" w:rsidRDefault="001B601C" w:rsidP="0073285C">
      <w:pPr>
        <w:pStyle w:val="SingleTxtGA"/>
        <w:rPr>
          <w:rFonts w:hint="cs"/>
          <w:rtl/>
          <w:lang w:bidi="ar-EG"/>
        </w:rPr>
      </w:pPr>
      <w:r>
        <w:rPr>
          <w:rFonts w:hint="cs"/>
          <w:rtl/>
          <w:lang w:bidi="ar-EG"/>
        </w:rPr>
        <w:t>75</w:t>
      </w:r>
      <w:r w:rsidR="000B7434" w:rsidRPr="00EC4329">
        <w:rPr>
          <w:rFonts w:hint="cs"/>
          <w:rtl/>
          <w:lang w:bidi="ar-EG"/>
        </w:rPr>
        <w:t>-</w:t>
      </w:r>
      <w:r w:rsidR="000B7434" w:rsidRPr="00EC4329">
        <w:rPr>
          <w:rFonts w:hint="cs"/>
          <w:rtl/>
          <w:lang w:bidi="ar-EG"/>
        </w:rPr>
        <w:tab/>
        <w:t xml:space="preserve">إن بعضَ الممارسات متعمقةُ الجذور في المجتمع بحيث يصعب وصفُها بأنها تمييزية. وممارسة </w:t>
      </w:r>
      <w:r w:rsidR="000B7434" w:rsidRPr="00EC4329">
        <w:rPr>
          <w:rFonts w:hint="cs"/>
          <w:i/>
          <w:iCs/>
          <w:rtl/>
          <w:lang w:bidi="ar-EG"/>
        </w:rPr>
        <w:t>الكوماري</w:t>
      </w:r>
      <w:r w:rsidR="000B7434" w:rsidRPr="00EC4329">
        <w:rPr>
          <w:rFonts w:hint="cs"/>
          <w:rtl/>
          <w:lang w:bidi="ar-EG"/>
        </w:rPr>
        <w:t xml:space="preserve"> </w:t>
      </w:r>
      <w:r w:rsidR="000B7434">
        <w:rPr>
          <w:rFonts w:hint="cs"/>
          <w:rtl/>
          <w:lang w:bidi="ar-EG"/>
        </w:rPr>
        <w:t>-</w:t>
      </w:r>
      <w:r w:rsidR="000B7434" w:rsidRPr="00EC4329">
        <w:rPr>
          <w:rFonts w:hint="cs"/>
          <w:rtl/>
          <w:lang w:bidi="ar-EG"/>
        </w:rPr>
        <w:t xml:space="preserve"> </w:t>
      </w:r>
      <w:r w:rsidR="0073285C">
        <w:rPr>
          <w:rFonts w:hint="cs"/>
          <w:rtl/>
          <w:lang w:bidi="ar-EG"/>
        </w:rPr>
        <w:t>"</w:t>
      </w:r>
      <w:r w:rsidR="000B7434" w:rsidRPr="00EC4329">
        <w:rPr>
          <w:rFonts w:hint="cs"/>
          <w:rtl/>
          <w:lang w:bidi="ar-EG"/>
        </w:rPr>
        <w:t>الإلهة الحيّة</w:t>
      </w:r>
      <w:r w:rsidR="0073285C">
        <w:rPr>
          <w:rFonts w:hint="cs"/>
          <w:rtl/>
          <w:lang w:bidi="ar-EG"/>
        </w:rPr>
        <w:t>"</w:t>
      </w:r>
      <w:r w:rsidR="000B7434">
        <w:rPr>
          <w:rFonts w:hint="cs"/>
          <w:rtl/>
          <w:lang w:bidi="ar-EG"/>
        </w:rPr>
        <w:t xml:space="preserve"> </w:t>
      </w:r>
      <w:r w:rsidR="000B7434" w:rsidRPr="00EC4329">
        <w:rPr>
          <w:rFonts w:hint="cs"/>
          <w:rtl/>
          <w:lang w:bidi="ar-EG"/>
        </w:rPr>
        <w:t xml:space="preserve">- (المذكورة في التقرير الأولي والتقارير الدورية اللاحقة) هي إحدى هذه القضايا الصعبة. والسؤال هو ما إذا كان ينبغي المحافظة على هذه الممارسة الثقافية للمجتمع المتبعة منذ وقت طويل والمتمثلة في احترام فتاة صغيرة بوصفها إلهةً حية، </w:t>
      </w:r>
      <w:r w:rsidR="00B87BF2">
        <w:rPr>
          <w:rFonts w:hint="cs"/>
          <w:rtl/>
          <w:lang w:bidi="ar-EG"/>
        </w:rPr>
        <w:t xml:space="preserve">     </w:t>
      </w:r>
      <w:r w:rsidR="000B7434" w:rsidRPr="00EC4329">
        <w:rPr>
          <w:rFonts w:hint="cs"/>
          <w:rtl/>
          <w:lang w:bidi="ar-EG"/>
        </w:rPr>
        <w:t>أو ما إذا كان ينبغي اعتبار ذلك انتهاكاً لحقوق تلك الطفلة؟ لقد رُفعت إلى المحكمة العليا قضيتان متعارضتان في هذا الشأن.</w:t>
      </w:r>
    </w:p>
    <w:p w:rsidR="000B7434" w:rsidRPr="00EC4329" w:rsidRDefault="0073285C" w:rsidP="0073285C">
      <w:pPr>
        <w:pStyle w:val="SingleTxtGA"/>
        <w:rPr>
          <w:rFonts w:hint="cs"/>
          <w:rtl/>
          <w:lang w:bidi="ar-EG"/>
        </w:rPr>
      </w:pPr>
      <w:r>
        <w:rPr>
          <w:rFonts w:hint="cs"/>
          <w:rtl/>
          <w:lang w:bidi="ar-EG"/>
        </w:rPr>
        <w:t>76</w:t>
      </w:r>
      <w:r w:rsidR="000B7434" w:rsidRPr="00EC4329">
        <w:rPr>
          <w:rFonts w:hint="cs"/>
          <w:rtl/>
          <w:lang w:bidi="ar-EG"/>
        </w:rPr>
        <w:t>-</w:t>
      </w:r>
      <w:r w:rsidR="000B7434" w:rsidRPr="00EC4329">
        <w:rPr>
          <w:rFonts w:hint="cs"/>
          <w:rtl/>
          <w:lang w:bidi="ar-EG"/>
        </w:rPr>
        <w:tab/>
        <w:t>وتزيد من تعزيز المساوئ المتصلة بالتمييز القائم على أساس جنساني الممارساتُ الاجتماعية</w:t>
      </w:r>
      <w:r w:rsidR="000B7434">
        <w:rPr>
          <w:rFonts w:hint="cs"/>
          <w:rtl/>
          <w:lang w:bidi="ar-EG"/>
        </w:rPr>
        <w:t xml:space="preserve"> - </w:t>
      </w:r>
      <w:r w:rsidR="000B7434" w:rsidRPr="00EC4329">
        <w:rPr>
          <w:rFonts w:hint="cs"/>
          <w:rtl/>
          <w:lang w:bidi="ar-EG"/>
        </w:rPr>
        <w:t>الثقافية والمؤسسية وغيرُها التي تُميز ضد المرأة لسبب رئيسي هو انتماؤها إلى</w:t>
      </w:r>
      <w:r w:rsidR="000B7434">
        <w:rPr>
          <w:rFonts w:hint="eastAsia"/>
          <w:rtl/>
          <w:lang w:bidi="ar-EG"/>
        </w:rPr>
        <w:t> </w:t>
      </w:r>
      <w:r w:rsidR="000B7434" w:rsidRPr="00EC4329">
        <w:rPr>
          <w:rFonts w:hint="cs"/>
          <w:rtl/>
          <w:lang w:bidi="ar-EG"/>
        </w:rPr>
        <w:t>طبقات أو عرقيات مُهمّشة. وتكون هذه المرأة معرضة للتمييز بسبب ممارسات تقليدية تسترشد بعقائد دينية واجتماعية. ويمثل نظام البائنة الذي لا يزال يُمارس في بعض</w:t>
      </w:r>
      <w:r w:rsidR="000C6FCD">
        <w:rPr>
          <w:rFonts w:hint="cs"/>
          <w:rtl/>
          <w:lang w:bidi="ar-EG"/>
        </w:rPr>
        <w:t xml:space="preserve"> أرجاء البلد، تحدياً يعيق تمكين</w:t>
      </w:r>
      <w:r w:rsidR="000B7434" w:rsidRPr="00EC4329">
        <w:rPr>
          <w:rFonts w:hint="cs"/>
          <w:rtl/>
          <w:lang w:bidi="ar-EG"/>
        </w:rPr>
        <w:t xml:space="preserve"> المرأة وخاصة لدى طائفة الماديسي حيث مستوى الوعي والتعليم منخفض نسبياً.</w:t>
      </w:r>
    </w:p>
    <w:p w:rsidR="000B7434" w:rsidRPr="00EC4329" w:rsidRDefault="000B7434" w:rsidP="0073285C">
      <w:pPr>
        <w:pStyle w:val="H1GA"/>
        <w:jc w:val="left"/>
        <w:rPr>
          <w:rFonts w:hint="cs"/>
          <w:rtl/>
          <w:lang w:bidi="ar-EG"/>
        </w:rPr>
      </w:pPr>
      <w:r>
        <w:rPr>
          <w:rFonts w:hint="cs"/>
          <w:rtl/>
          <w:lang w:bidi="ar-EG"/>
        </w:rPr>
        <w:tab/>
      </w:r>
      <w:r>
        <w:rPr>
          <w:rFonts w:hint="cs"/>
          <w:rtl/>
          <w:lang w:bidi="ar-EG"/>
        </w:rPr>
        <w:tab/>
      </w:r>
      <w:r w:rsidRPr="00EC4329">
        <w:rPr>
          <w:rFonts w:hint="cs"/>
          <w:rtl/>
          <w:lang w:bidi="ar-EG"/>
        </w:rPr>
        <w:t>المادة 6</w:t>
      </w:r>
      <w:r>
        <w:rPr>
          <w:rtl/>
          <w:lang w:bidi="ar-EG"/>
        </w:rPr>
        <w:br/>
      </w:r>
      <w:r w:rsidRPr="00EC4329">
        <w:rPr>
          <w:rFonts w:hint="cs"/>
          <w:rtl/>
          <w:lang w:bidi="ar-EG"/>
        </w:rPr>
        <w:t>الاتجار بالنساء</w:t>
      </w:r>
    </w:p>
    <w:p w:rsidR="000B7434" w:rsidRPr="00EC4329" w:rsidRDefault="000B7434" w:rsidP="00B87BF2">
      <w:pPr>
        <w:pStyle w:val="H23GA"/>
        <w:rPr>
          <w:rFonts w:hint="cs"/>
          <w:rtl/>
          <w:lang w:bidi="ar-EG"/>
        </w:rPr>
      </w:pPr>
      <w:r>
        <w:rPr>
          <w:rFonts w:hint="cs"/>
          <w:rtl/>
          <w:lang w:bidi="ar-EG"/>
        </w:rPr>
        <w:tab/>
      </w:r>
      <w:r>
        <w:rPr>
          <w:rFonts w:hint="cs"/>
          <w:rtl/>
          <w:lang w:bidi="ar-EG"/>
        </w:rPr>
        <w:tab/>
      </w:r>
      <w:r w:rsidRPr="00EC4329">
        <w:rPr>
          <w:rFonts w:hint="cs"/>
          <w:rtl/>
          <w:lang w:bidi="ar-EG"/>
        </w:rPr>
        <w:t>معلومات أساسية</w:t>
      </w:r>
    </w:p>
    <w:p w:rsidR="000B7434" w:rsidRPr="0073285C" w:rsidRDefault="0073285C" w:rsidP="0073285C">
      <w:pPr>
        <w:pStyle w:val="SingleTxtGA"/>
        <w:rPr>
          <w:rFonts w:hint="cs"/>
          <w:spacing w:val="-2"/>
          <w:rtl/>
          <w:lang w:bidi="ar-EG"/>
        </w:rPr>
      </w:pPr>
      <w:r w:rsidRPr="0073285C">
        <w:rPr>
          <w:rFonts w:hint="cs"/>
          <w:spacing w:val="-2"/>
          <w:rtl/>
          <w:lang w:bidi="ar-EG"/>
        </w:rPr>
        <w:t>77</w:t>
      </w:r>
      <w:r w:rsidR="000B7434" w:rsidRPr="0073285C">
        <w:rPr>
          <w:rFonts w:hint="cs"/>
          <w:spacing w:val="-2"/>
          <w:rtl/>
          <w:lang w:bidi="ar-EG"/>
        </w:rPr>
        <w:t>-</w:t>
      </w:r>
      <w:r w:rsidR="000B7434" w:rsidRPr="0073285C">
        <w:rPr>
          <w:rFonts w:hint="cs"/>
          <w:spacing w:val="-2"/>
          <w:rtl/>
          <w:lang w:bidi="ar-EG"/>
        </w:rPr>
        <w:tab/>
        <w:t>لا توجد أية معلومات موثوقة تتعلق بالاتجار بالبشر. وقد ذكرت اللجنة الوطنية لحقوق الإنسان في نيبال أن نحو 000 12 امرأة يتجر بهن كل عام، من بينهن ما نسبته 20</w:t>
      </w:r>
      <w:r w:rsidR="000B7434" w:rsidRPr="0073285C">
        <w:rPr>
          <w:rFonts w:hint="eastAsia"/>
          <w:spacing w:val="-2"/>
          <w:rtl/>
          <w:lang w:bidi="ar-EG"/>
        </w:rPr>
        <w:t> </w:t>
      </w:r>
      <w:r w:rsidR="000B7434" w:rsidRPr="0073285C">
        <w:rPr>
          <w:rFonts w:hint="cs"/>
          <w:spacing w:val="-2"/>
          <w:rtl/>
          <w:lang w:bidi="ar-EG"/>
        </w:rPr>
        <w:t xml:space="preserve">في المائة فتيات في سن 16. وتقدم منظمة العمل الدولية رقماً مذهلاً للنساء المتجر بهن من بلدان العالم الثالث إلى المدن الهندية الميتروبولية (مثل مومباي ودلهي) وبلدان الخليج. وبالمثل تُقدّر تقارير أعدتها مختلف المنظمات أنّ نحو 000 100 إلى 000 250 من الفتيات والنساء المتجر بهن يعملن في تجارة الجنس في الهند. ويُظهر تحليل للمعلومات التي تم الحصول عليها من وسائط الإعلام المطبوعة والدراسات الإفرادية والدراسات الاستقصائية للناجيات من الاتجار أن الفتيات في فئة العمر من 11 إلى 18 سنة هن الأكثر عرضةً للاتجار. غير أن الحالات المبلغ عنها كل سنة قليلة جداً من حيث العدد (مثلاً 112 في سنة 2006/2007). ولا يوجد ما يُقارن به في الأرقام </w:t>
      </w:r>
      <w:r>
        <w:rPr>
          <w:rFonts w:hint="cs"/>
          <w:spacing w:val="-2"/>
          <w:rtl/>
          <w:lang w:bidi="ar-EG"/>
        </w:rPr>
        <w:t>"</w:t>
      </w:r>
      <w:r w:rsidR="000B7434" w:rsidRPr="0073285C">
        <w:rPr>
          <w:rFonts w:hint="cs"/>
          <w:spacing w:val="-2"/>
          <w:rtl/>
          <w:lang w:bidi="ar-EG"/>
        </w:rPr>
        <w:t>المستشهد بها عادة</w:t>
      </w:r>
      <w:r>
        <w:rPr>
          <w:rFonts w:hint="cs"/>
          <w:spacing w:val="-2"/>
          <w:rtl/>
          <w:lang w:bidi="ar-EG"/>
        </w:rPr>
        <w:t>"</w:t>
      </w:r>
      <w:r w:rsidR="000B7434" w:rsidRPr="0073285C">
        <w:rPr>
          <w:rFonts w:hint="cs"/>
          <w:spacing w:val="-2"/>
          <w:rtl/>
          <w:lang w:bidi="ar-EG"/>
        </w:rPr>
        <w:t xml:space="preserve"> والحالات المبلغ عنها. وتستند التقديرات إلى تكهنات وتشير إلى واحد أو غيره من التقارير التي هي أيضاً بدون أي أساس أكيد. غير أن بيانات إحصاء السكان الذي أجري عام 2001 تظهر أن هناك في المجموع 712 83 امرأة كانت غائبة عن الأسر المعيشية، بينهن 620 33</w:t>
      </w:r>
      <w:r w:rsidR="000B7434" w:rsidRPr="0073285C">
        <w:rPr>
          <w:rFonts w:hint="eastAsia"/>
          <w:spacing w:val="-2"/>
          <w:rtl/>
          <w:lang w:bidi="ar-EG"/>
        </w:rPr>
        <w:t> </w:t>
      </w:r>
      <w:r w:rsidR="000B7434" w:rsidRPr="0073285C">
        <w:rPr>
          <w:rFonts w:hint="cs"/>
          <w:spacing w:val="-2"/>
          <w:rtl/>
          <w:lang w:bidi="ar-EG"/>
        </w:rPr>
        <w:t>(أي</w:t>
      </w:r>
      <w:r w:rsidR="000B7434" w:rsidRPr="0073285C">
        <w:rPr>
          <w:rFonts w:hint="eastAsia"/>
          <w:spacing w:val="-2"/>
          <w:rtl/>
          <w:lang w:bidi="ar-EG"/>
        </w:rPr>
        <w:t> </w:t>
      </w:r>
      <w:r w:rsidR="000B7434" w:rsidRPr="0073285C">
        <w:rPr>
          <w:rFonts w:hint="cs"/>
          <w:spacing w:val="-2"/>
          <w:rtl/>
          <w:lang w:bidi="ar-EG"/>
        </w:rPr>
        <w:t xml:space="preserve">40.6 في المائة من النساء الغائبات) كن متغيبات لأسباب غير معروفة. </w:t>
      </w:r>
      <w:r w:rsidR="000B7434" w:rsidRPr="00DF331A">
        <w:rPr>
          <w:rFonts w:hint="cs"/>
          <w:i/>
          <w:iCs/>
          <w:spacing w:val="-2"/>
          <w:rtl/>
          <w:lang w:bidi="ar-EG"/>
        </w:rPr>
        <w:t>(</w:t>
      </w:r>
      <w:r w:rsidR="000B7434" w:rsidRPr="0073285C">
        <w:rPr>
          <w:rFonts w:hint="cs"/>
          <w:i/>
          <w:iCs/>
          <w:spacing w:val="-2"/>
          <w:rtl/>
          <w:lang w:bidi="ar-EG"/>
        </w:rPr>
        <w:t>المصدر: حالة وأبعاد الاتجار بالأشخاص داخل السياق النيبالي، دراسات التنمية المتكاملة وصندوق الأمم المتحدة الإنمائي للمرأة</w:t>
      </w:r>
      <w:r w:rsidR="000B7434" w:rsidRPr="0073285C">
        <w:rPr>
          <w:rFonts w:hint="cs"/>
          <w:spacing w:val="-2"/>
          <w:rtl/>
          <w:lang w:bidi="ar-EG"/>
        </w:rPr>
        <w:t xml:space="preserve">، </w:t>
      </w:r>
      <w:r w:rsidR="000B7434" w:rsidRPr="0073285C">
        <w:rPr>
          <w:rFonts w:hint="cs"/>
          <w:i/>
          <w:iCs/>
          <w:spacing w:val="-2"/>
          <w:rtl/>
          <w:lang w:bidi="ar-EG"/>
        </w:rPr>
        <w:t>2004</w:t>
      </w:r>
      <w:r w:rsidR="000B7434" w:rsidRPr="0073285C">
        <w:rPr>
          <w:rFonts w:hint="cs"/>
          <w:spacing w:val="-2"/>
          <w:rtl/>
          <w:lang w:bidi="ar-EG"/>
        </w:rPr>
        <w:t>).</w:t>
      </w:r>
    </w:p>
    <w:p w:rsidR="000B7434" w:rsidRPr="00EC4329" w:rsidRDefault="00DF331A" w:rsidP="00DF331A">
      <w:pPr>
        <w:pStyle w:val="SingleTxtGA"/>
        <w:rPr>
          <w:rFonts w:hint="cs"/>
          <w:rtl/>
          <w:lang w:bidi="ar-EG"/>
        </w:rPr>
      </w:pPr>
      <w:r>
        <w:rPr>
          <w:rFonts w:hint="cs"/>
          <w:rtl/>
          <w:lang w:bidi="ar-EG"/>
        </w:rPr>
        <w:t>78</w:t>
      </w:r>
      <w:r w:rsidR="000B7434" w:rsidRPr="00EC4329">
        <w:rPr>
          <w:rFonts w:hint="cs"/>
          <w:rtl/>
          <w:lang w:bidi="ar-EG"/>
        </w:rPr>
        <w:t>-</w:t>
      </w:r>
      <w:r w:rsidR="000B7434" w:rsidRPr="00EC4329">
        <w:rPr>
          <w:rFonts w:hint="cs"/>
          <w:rtl/>
          <w:lang w:bidi="ar-EG"/>
        </w:rPr>
        <w:tab/>
        <w:t>غير أنه هناك بعض البوادر التي تشير إلى وجوب تنبّه الدولة إلى مراقبة الاتجار بالأشخاص. أولاً لا بد من الانتباه إلى حركة الشابات على الحدود. وتُظهر البيانات المقدمة أدناه أن الفئة العمرية من 17 إلى 25 سنة هي الأكثر عرضةً للاتجار، تتبعها الفئة العمرية</w:t>
      </w:r>
      <w:r w:rsidR="00B3434A">
        <w:rPr>
          <w:rFonts w:hint="cs"/>
          <w:rtl/>
          <w:lang w:bidi="ar-EG"/>
        </w:rPr>
        <w:t xml:space="preserve">    </w:t>
      </w:r>
      <w:r w:rsidR="000B7434" w:rsidRPr="00EC4329">
        <w:rPr>
          <w:rFonts w:hint="cs"/>
          <w:rtl/>
          <w:lang w:bidi="ar-EG"/>
        </w:rPr>
        <w:t xml:space="preserve"> من 13 إلى 16 سنة. ويقع ما مجموعه 243 حالة (أو 81.54 في المائة من مجموع </w:t>
      </w:r>
      <w:r>
        <w:rPr>
          <w:rFonts w:hint="cs"/>
          <w:rtl/>
          <w:lang w:bidi="ar-EG"/>
        </w:rPr>
        <w:t>الح</w:t>
      </w:r>
      <w:r w:rsidR="000B7434" w:rsidRPr="00EC4329">
        <w:rPr>
          <w:rFonts w:hint="cs"/>
          <w:rtl/>
          <w:lang w:bidi="ar-EG"/>
        </w:rPr>
        <w:t>الات البالغ 298) ضمن هاتين الفئتين من العمر.</w:t>
      </w:r>
    </w:p>
    <w:p w:rsidR="000B7434" w:rsidRPr="00EC4329" w:rsidRDefault="000B7434" w:rsidP="00DF331A">
      <w:pPr>
        <w:pStyle w:val="SingleTxtGA"/>
        <w:rPr>
          <w:rFonts w:hint="cs"/>
          <w:rtl/>
          <w:lang w:bidi="ar-EG"/>
        </w:rPr>
      </w:pPr>
      <w:r w:rsidRPr="00EC4329">
        <w:rPr>
          <w:rFonts w:hint="cs"/>
          <w:rtl/>
          <w:lang w:bidi="ar-EG"/>
        </w:rPr>
        <w:t>الجدول 3</w:t>
      </w:r>
    </w:p>
    <w:p w:rsidR="000B7434" w:rsidRPr="00DF331A" w:rsidRDefault="000B7434" w:rsidP="00DF331A">
      <w:pPr>
        <w:pStyle w:val="SingleTxtGA"/>
        <w:rPr>
          <w:rFonts w:hint="cs"/>
          <w:b/>
          <w:bCs/>
          <w:rtl/>
          <w:lang w:bidi="ar-EG"/>
        </w:rPr>
      </w:pPr>
      <w:r w:rsidRPr="00DF331A">
        <w:rPr>
          <w:rFonts w:hint="cs"/>
          <w:b/>
          <w:bCs/>
          <w:rtl/>
          <w:lang w:bidi="ar-EG"/>
        </w:rPr>
        <w:t xml:space="preserve">عدد ضحايا الاتجار بالأشخاص حسب السن وعدد القضايا المرفوعة في المحاكم خلال الفترة من السنة المالية 2003-2004 إلى السنة المالية 2006/2007 </w:t>
      </w:r>
    </w:p>
    <w:tbl>
      <w:tblPr>
        <w:bidiVisual/>
        <w:tblW w:w="0" w:type="auto"/>
        <w:tblInd w:w="1267" w:type="dxa"/>
        <w:tblLayout w:type="fixed"/>
        <w:tblCellMar>
          <w:left w:w="0" w:type="dxa"/>
          <w:right w:w="0" w:type="dxa"/>
        </w:tblCellMar>
        <w:tblLook w:val="0000" w:firstRow="0" w:lastRow="0" w:firstColumn="0" w:lastColumn="0" w:noHBand="0" w:noVBand="0"/>
      </w:tblPr>
      <w:tblGrid>
        <w:gridCol w:w="1638"/>
        <w:gridCol w:w="749"/>
        <w:gridCol w:w="750"/>
        <w:gridCol w:w="750"/>
        <w:gridCol w:w="750"/>
        <w:gridCol w:w="750"/>
        <w:gridCol w:w="750"/>
        <w:gridCol w:w="750"/>
        <w:gridCol w:w="1484"/>
      </w:tblGrid>
      <w:tr w:rsidR="000B7434" w:rsidRPr="001B2A0E" w:rsidTr="00DF331A">
        <w:tblPrEx>
          <w:tblCellMar>
            <w:top w:w="0" w:type="dxa"/>
            <w:bottom w:w="0" w:type="dxa"/>
          </w:tblCellMar>
        </w:tblPrEx>
        <w:trPr>
          <w:cantSplit/>
          <w:tblHeader/>
        </w:trPr>
        <w:tc>
          <w:tcPr>
            <w:tcW w:w="1638" w:type="dxa"/>
            <w:tcBorders>
              <w:top w:val="single" w:sz="4" w:space="0" w:color="auto"/>
              <w:bottom w:val="single" w:sz="12" w:space="0" w:color="auto"/>
            </w:tcBorders>
            <w:shd w:val="clear" w:color="auto" w:fill="auto"/>
            <w:vAlign w:val="bottom"/>
          </w:tcPr>
          <w:p w:rsidR="000B7434" w:rsidRPr="00DF331A" w:rsidRDefault="000B7434" w:rsidP="00DF331A">
            <w:pPr>
              <w:tabs>
                <w:tab w:val="left" w:pos="288"/>
                <w:tab w:val="left" w:pos="576"/>
                <w:tab w:val="left" w:pos="864"/>
                <w:tab w:val="left" w:pos="1152"/>
              </w:tabs>
              <w:spacing w:before="60" w:after="60" w:line="280" w:lineRule="exact"/>
              <w:ind w:left="57"/>
              <w:rPr>
                <w:rFonts w:hint="cs"/>
                <w:i/>
                <w:iCs/>
                <w:sz w:val="18"/>
                <w:szCs w:val="26"/>
                <w:rtl/>
                <w:lang w:bidi="ar-EG"/>
              </w:rPr>
            </w:pPr>
            <w:r w:rsidRPr="00DF331A">
              <w:rPr>
                <w:rFonts w:hint="cs"/>
                <w:i/>
                <w:iCs/>
                <w:sz w:val="18"/>
                <w:szCs w:val="26"/>
                <w:rtl/>
                <w:lang w:bidi="ar-EG"/>
              </w:rPr>
              <w:t>السنة</w:t>
            </w:r>
          </w:p>
        </w:tc>
        <w:tc>
          <w:tcPr>
            <w:tcW w:w="749" w:type="dxa"/>
            <w:tcBorders>
              <w:top w:val="single" w:sz="4" w:space="0" w:color="auto"/>
              <w:bottom w:val="single" w:sz="12" w:space="0" w:color="auto"/>
            </w:tcBorders>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jc w:val="left"/>
              <w:rPr>
                <w:rFonts w:hint="cs"/>
                <w:i/>
                <w:iCs/>
                <w:sz w:val="18"/>
                <w:szCs w:val="26"/>
                <w:rtl/>
                <w:lang w:bidi="ar-EG"/>
              </w:rPr>
            </w:pPr>
            <w:r w:rsidRPr="00DF331A">
              <w:rPr>
                <w:rFonts w:hint="cs"/>
                <w:i/>
                <w:iCs/>
                <w:sz w:val="18"/>
                <w:szCs w:val="26"/>
                <w:rtl/>
                <w:lang w:bidi="ar-EG"/>
              </w:rPr>
              <w:t>دون 7 سنوات</w:t>
            </w:r>
          </w:p>
        </w:tc>
        <w:tc>
          <w:tcPr>
            <w:tcW w:w="750" w:type="dxa"/>
            <w:tcBorders>
              <w:top w:val="single" w:sz="4" w:space="0" w:color="auto"/>
              <w:bottom w:val="single" w:sz="12" w:space="0" w:color="auto"/>
            </w:tcBorders>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jc w:val="left"/>
              <w:rPr>
                <w:rFonts w:hint="cs"/>
                <w:i/>
                <w:iCs/>
                <w:sz w:val="18"/>
                <w:szCs w:val="26"/>
                <w:rtl/>
                <w:lang w:bidi="ar-EG"/>
              </w:rPr>
            </w:pPr>
            <w:r w:rsidRPr="00DF331A">
              <w:rPr>
                <w:rFonts w:hint="cs"/>
                <w:i/>
                <w:iCs/>
                <w:sz w:val="18"/>
                <w:szCs w:val="26"/>
                <w:rtl/>
                <w:lang w:bidi="ar-EG"/>
              </w:rPr>
              <w:t>8-12 سنة</w:t>
            </w:r>
          </w:p>
        </w:tc>
        <w:tc>
          <w:tcPr>
            <w:tcW w:w="750" w:type="dxa"/>
            <w:tcBorders>
              <w:top w:val="single" w:sz="4" w:space="0" w:color="auto"/>
              <w:bottom w:val="single" w:sz="12" w:space="0" w:color="auto"/>
            </w:tcBorders>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jc w:val="left"/>
              <w:rPr>
                <w:rFonts w:hint="cs"/>
                <w:i/>
                <w:iCs/>
                <w:sz w:val="18"/>
                <w:szCs w:val="26"/>
                <w:rtl/>
                <w:lang w:bidi="ar-EG"/>
              </w:rPr>
            </w:pPr>
            <w:r w:rsidRPr="00DF331A">
              <w:rPr>
                <w:rFonts w:hint="cs"/>
                <w:i/>
                <w:iCs/>
                <w:sz w:val="18"/>
                <w:szCs w:val="26"/>
                <w:rtl/>
                <w:lang w:bidi="ar-EG"/>
              </w:rPr>
              <w:t>13-16 سنة</w:t>
            </w:r>
          </w:p>
        </w:tc>
        <w:tc>
          <w:tcPr>
            <w:tcW w:w="750" w:type="dxa"/>
            <w:tcBorders>
              <w:top w:val="single" w:sz="4" w:space="0" w:color="auto"/>
              <w:bottom w:val="single" w:sz="12" w:space="0" w:color="auto"/>
            </w:tcBorders>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jc w:val="left"/>
              <w:rPr>
                <w:rFonts w:hint="cs"/>
                <w:i/>
                <w:iCs/>
                <w:sz w:val="18"/>
                <w:szCs w:val="26"/>
                <w:rtl/>
                <w:lang w:bidi="ar-EG"/>
              </w:rPr>
            </w:pPr>
            <w:r w:rsidRPr="00DF331A">
              <w:rPr>
                <w:rFonts w:hint="cs"/>
                <w:i/>
                <w:iCs/>
                <w:sz w:val="18"/>
                <w:szCs w:val="26"/>
                <w:rtl/>
                <w:lang w:bidi="ar-EG"/>
              </w:rPr>
              <w:t>17-25 سنة</w:t>
            </w:r>
          </w:p>
        </w:tc>
        <w:tc>
          <w:tcPr>
            <w:tcW w:w="750" w:type="dxa"/>
            <w:tcBorders>
              <w:top w:val="single" w:sz="4" w:space="0" w:color="auto"/>
              <w:bottom w:val="single" w:sz="12" w:space="0" w:color="auto"/>
            </w:tcBorders>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jc w:val="left"/>
              <w:rPr>
                <w:rFonts w:hint="cs"/>
                <w:i/>
                <w:iCs/>
                <w:sz w:val="18"/>
                <w:szCs w:val="26"/>
                <w:rtl/>
                <w:lang w:bidi="ar-EG"/>
              </w:rPr>
            </w:pPr>
            <w:r w:rsidRPr="00DF331A">
              <w:rPr>
                <w:rFonts w:hint="cs"/>
                <w:i/>
                <w:iCs/>
                <w:sz w:val="18"/>
                <w:szCs w:val="26"/>
                <w:rtl/>
                <w:lang w:bidi="ar-EG"/>
              </w:rPr>
              <w:t>26-36 سنة</w:t>
            </w:r>
          </w:p>
        </w:tc>
        <w:tc>
          <w:tcPr>
            <w:tcW w:w="750" w:type="dxa"/>
            <w:tcBorders>
              <w:top w:val="single" w:sz="4" w:space="0" w:color="auto"/>
              <w:bottom w:val="single" w:sz="12" w:space="0" w:color="auto"/>
            </w:tcBorders>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jc w:val="left"/>
              <w:rPr>
                <w:rFonts w:hint="cs"/>
                <w:i/>
                <w:iCs/>
                <w:sz w:val="18"/>
                <w:szCs w:val="26"/>
                <w:rtl/>
                <w:lang w:bidi="ar-EG"/>
              </w:rPr>
            </w:pPr>
            <w:r w:rsidRPr="00DF331A">
              <w:rPr>
                <w:rFonts w:hint="cs"/>
                <w:i/>
                <w:iCs/>
                <w:sz w:val="18"/>
                <w:szCs w:val="26"/>
                <w:rtl/>
                <w:lang w:bidi="ar-EG"/>
              </w:rPr>
              <w:t>36-45 سنة</w:t>
            </w:r>
          </w:p>
        </w:tc>
        <w:tc>
          <w:tcPr>
            <w:tcW w:w="750" w:type="dxa"/>
            <w:tcBorders>
              <w:top w:val="single" w:sz="4" w:space="0" w:color="auto"/>
              <w:bottom w:val="single" w:sz="12" w:space="0" w:color="auto"/>
            </w:tcBorders>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jc w:val="left"/>
              <w:rPr>
                <w:rFonts w:hint="cs"/>
                <w:i/>
                <w:iCs/>
                <w:sz w:val="18"/>
                <w:szCs w:val="26"/>
                <w:rtl/>
                <w:lang w:bidi="ar-EG"/>
              </w:rPr>
            </w:pPr>
            <w:r w:rsidRPr="00DF331A">
              <w:rPr>
                <w:rFonts w:hint="cs"/>
                <w:i/>
                <w:iCs/>
                <w:sz w:val="18"/>
                <w:szCs w:val="26"/>
                <w:rtl/>
                <w:lang w:bidi="ar-EG"/>
              </w:rPr>
              <w:t>فوق 46 سنة</w:t>
            </w:r>
          </w:p>
        </w:tc>
        <w:tc>
          <w:tcPr>
            <w:tcW w:w="1484" w:type="dxa"/>
            <w:tcBorders>
              <w:top w:val="single" w:sz="4" w:space="0" w:color="auto"/>
              <w:bottom w:val="single" w:sz="12" w:space="0" w:color="auto"/>
            </w:tcBorders>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i/>
                <w:iCs/>
                <w:sz w:val="18"/>
                <w:szCs w:val="26"/>
                <w:rtl/>
                <w:lang w:bidi="ar-EG"/>
              </w:rPr>
            </w:pPr>
            <w:r w:rsidRPr="00DF331A">
              <w:rPr>
                <w:rFonts w:hint="cs"/>
                <w:i/>
                <w:iCs/>
                <w:sz w:val="18"/>
                <w:szCs w:val="26"/>
                <w:rtl/>
                <w:lang w:bidi="ar-EG"/>
              </w:rPr>
              <w:t>عدد القضايا المرفوعة</w:t>
            </w:r>
          </w:p>
        </w:tc>
      </w:tr>
      <w:tr w:rsidR="000B7434" w:rsidRPr="001B2A0E" w:rsidTr="00DF331A">
        <w:tblPrEx>
          <w:tblCellMar>
            <w:top w:w="0" w:type="dxa"/>
            <w:bottom w:w="0" w:type="dxa"/>
          </w:tblCellMar>
        </w:tblPrEx>
        <w:trPr>
          <w:cantSplit/>
        </w:trPr>
        <w:tc>
          <w:tcPr>
            <w:tcW w:w="1638"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 xml:space="preserve">2003/2004 </w:t>
            </w:r>
          </w:p>
        </w:tc>
        <w:tc>
          <w:tcPr>
            <w:tcW w:w="749" w:type="dxa"/>
            <w:shd w:val="clear" w:color="auto" w:fill="auto"/>
            <w:vAlign w:val="bottom"/>
          </w:tcPr>
          <w:p w:rsidR="000B7434" w:rsidRPr="00DF331A" w:rsidRDefault="00B3434A" w:rsidP="00DF331A">
            <w:pPr>
              <w:tabs>
                <w:tab w:val="left" w:pos="662"/>
                <w:tab w:val="left" w:pos="1267"/>
                <w:tab w:val="left" w:pos="1987"/>
                <w:tab w:val="left" w:pos="2650"/>
              </w:tabs>
              <w:spacing w:before="60" w:after="60" w:line="280" w:lineRule="exact"/>
              <w:ind w:left="57"/>
              <w:rPr>
                <w:rFonts w:hint="cs"/>
                <w:sz w:val="18"/>
                <w:szCs w:val="26"/>
                <w:rtl/>
                <w:lang w:bidi="ar-EG"/>
              </w:rPr>
            </w:pPr>
            <w:r>
              <w:rPr>
                <w:rFonts w:hint="cs"/>
                <w:sz w:val="18"/>
                <w:szCs w:val="26"/>
                <w:rtl/>
                <w:lang w:bidi="ar-EG"/>
              </w:rPr>
              <w:t>2</w:t>
            </w:r>
          </w:p>
        </w:tc>
        <w:tc>
          <w:tcPr>
            <w:tcW w:w="750"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7</w:t>
            </w:r>
          </w:p>
        </w:tc>
        <w:tc>
          <w:tcPr>
            <w:tcW w:w="750"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26</w:t>
            </w:r>
          </w:p>
        </w:tc>
        <w:tc>
          <w:tcPr>
            <w:tcW w:w="750"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39</w:t>
            </w:r>
          </w:p>
        </w:tc>
        <w:tc>
          <w:tcPr>
            <w:tcW w:w="750"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1</w:t>
            </w:r>
          </w:p>
        </w:tc>
        <w:tc>
          <w:tcPr>
            <w:tcW w:w="750" w:type="dxa"/>
            <w:shd w:val="clear" w:color="auto" w:fill="auto"/>
            <w:vAlign w:val="bottom"/>
          </w:tcPr>
          <w:p w:rsidR="000B7434" w:rsidRPr="00DF331A" w:rsidRDefault="00DF331A" w:rsidP="00DF331A">
            <w:pPr>
              <w:tabs>
                <w:tab w:val="left" w:pos="662"/>
                <w:tab w:val="left" w:pos="1267"/>
                <w:tab w:val="left" w:pos="1987"/>
                <w:tab w:val="left" w:pos="2650"/>
              </w:tabs>
              <w:spacing w:before="60" w:after="60" w:line="280" w:lineRule="exact"/>
              <w:ind w:left="57"/>
              <w:rPr>
                <w:rFonts w:hint="cs"/>
                <w:sz w:val="18"/>
                <w:szCs w:val="26"/>
                <w:rtl/>
                <w:lang w:bidi="ar-EG"/>
              </w:rPr>
            </w:pPr>
            <w:r>
              <w:rPr>
                <w:rFonts w:hint="cs"/>
                <w:sz w:val="18"/>
                <w:szCs w:val="26"/>
                <w:rtl/>
                <w:lang w:bidi="ar-EG"/>
              </w:rPr>
              <w:t>صفر</w:t>
            </w:r>
          </w:p>
        </w:tc>
        <w:tc>
          <w:tcPr>
            <w:tcW w:w="750"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1</w:t>
            </w:r>
          </w:p>
        </w:tc>
        <w:tc>
          <w:tcPr>
            <w:tcW w:w="1484"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76</w:t>
            </w:r>
          </w:p>
        </w:tc>
      </w:tr>
      <w:tr w:rsidR="000B7434" w:rsidRPr="001B2A0E" w:rsidTr="00DF331A">
        <w:tblPrEx>
          <w:tblCellMar>
            <w:top w:w="0" w:type="dxa"/>
            <w:bottom w:w="0" w:type="dxa"/>
          </w:tblCellMar>
        </w:tblPrEx>
        <w:trPr>
          <w:cantSplit/>
        </w:trPr>
        <w:tc>
          <w:tcPr>
            <w:tcW w:w="1638"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 xml:space="preserve">2004/2005 </w:t>
            </w:r>
          </w:p>
        </w:tc>
        <w:tc>
          <w:tcPr>
            <w:tcW w:w="749"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3</w:t>
            </w:r>
          </w:p>
        </w:tc>
        <w:tc>
          <w:tcPr>
            <w:tcW w:w="750"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3</w:t>
            </w:r>
          </w:p>
        </w:tc>
        <w:tc>
          <w:tcPr>
            <w:tcW w:w="750"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22</w:t>
            </w:r>
          </w:p>
        </w:tc>
        <w:tc>
          <w:tcPr>
            <w:tcW w:w="750"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52</w:t>
            </w:r>
          </w:p>
        </w:tc>
        <w:tc>
          <w:tcPr>
            <w:tcW w:w="750"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8</w:t>
            </w:r>
          </w:p>
        </w:tc>
        <w:tc>
          <w:tcPr>
            <w:tcW w:w="750"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4</w:t>
            </w:r>
          </w:p>
        </w:tc>
        <w:tc>
          <w:tcPr>
            <w:tcW w:w="750"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2</w:t>
            </w:r>
          </w:p>
        </w:tc>
        <w:tc>
          <w:tcPr>
            <w:tcW w:w="1484"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94</w:t>
            </w:r>
          </w:p>
        </w:tc>
      </w:tr>
      <w:tr w:rsidR="000B7434" w:rsidRPr="001B2A0E" w:rsidTr="00DF331A">
        <w:tblPrEx>
          <w:tblCellMar>
            <w:top w:w="0" w:type="dxa"/>
            <w:bottom w:w="0" w:type="dxa"/>
          </w:tblCellMar>
        </w:tblPrEx>
        <w:trPr>
          <w:cantSplit/>
        </w:trPr>
        <w:tc>
          <w:tcPr>
            <w:tcW w:w="1638"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 xml:space="preserve">2005/2006 </w:t>
            </w:r>
          </w:p>
        </w:tc>
        <w:tc>
          <w:tcPr>
            <w:tcW w:w="749"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6</w:t>
            </w:r>
          </w:p>
        </w:tc>
        <w:tc>
          <w:tcPr>
            <w:tcW w:w="750"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7</w:t>
            </w:r>
          </w:p>
        </w:tc>
        <w:tc>
          <w:tcPr>
            <w:tcW w:w="750"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30</w:t>
            </w:r>
          </w:p>
        </w:tc>
        <w:tc>
          <w:tcPr>
            <w:tcW w:w="750"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74</w:t>
            </w:r>
          </w:p>
        </w:tc>
        <w:tc>
          <w:tcPr>
            <w:tcW w:w="750"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10</w:t>
            </w:r>
          </w:p>
        </w:tc>
        <w:tc>
          <w:tcPr>
            <w:tcW w:w="750"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1</w:t>
            </w:r>
          </w:p>
        </w:tc>
        <w:tc>
          <w:tcPr>
            <w:tcW w:w="750" w:type="dxa"/>
            <w:shd w:val="clear" w:color="auto" w:fill="auto"/>
            <w:vAlign w:val="bottom"/>
          </w:tcPr>
          <w:p w:rsidR="000B7434" w:rsidRPr="00DF331A" w:rsidRDefault="00DF331A" w:rsidP="00DF331A">
            <w:pPr>
              <w:tabs>
                <w:tab w:val="left" w:pos="662"/>
                <w:tab w:val="left" w:pos="1267"/>
                <w:tab w:val="left" w:pos="1987"/>
                <w:tab w:val="left" w:pos="2650"/>
              </w:tabs>
              <w:spacing w:before="60" w:after="60" w:line="280" w:lineRule="exact"/>
              <w:ind w:left="57"/>
              <w:rPr>
                <w:rFonts w:hint="cs"/>
                <w:sz w:val="18"/>
                <w:szCs w:val="26"/>
                <w:rtl/>
                <w:lang w:bidi="ar-EG"/>
              </w:rPr>
            </w:pPr>
            <w:r>
              <w:rPr>
                <w:rFonts w:hint="cs"/>
                <w:sz w:val="18"/>
                <w:szCs w:val="26"/>
                <w:rtl/>
                <w:lang w:bidi="ar-EG"/>
              </w:rPr>
              <w:t>صفر</w:t>
            </w:r>
          </w:p>
        </w:tc>
        <w:tc>
          <w:tcPr>
            <w:tcW w:w="1484" w:type="dxa"/>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128</w:t>
            </w:r>
          </w:p>
        </w:tc>
      </w:tr>
      <w:tr w:rsidR="000B7434" w:rsidRPr="001B2A0E" w:rsidTr="00DF331A">
        <w:tblPrEx>
          <w:tblCellMar>
            <w:top w:w="0" w:type="dxa"/>
            <w:bottom w:w="0" w:type="dxa"/>
          </w:tblCellMar>
        </w:tblPrEx>
        <w:trPr>
          <w:cantSplit/>
        </w:trPr>
        <w:tc>
          <w:tcPr>
            <w:tcW w:w="1638" w:type="dxa"/>
            <w:tcBorders>
              <w:bottom w:val="single" w:sz="12" w:space="0" w:color="auto"/>
            </w:tcBorders>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 xml:space="preserve">2006/2007 </w:t>
            </w:r>
          </w:p>
        </w:tc>
        <w:tc>
          <w:tcPr>
            <w:tcW w:w="749" w:type="dxa"/>
            <w:tcBorders>
              <w:bottom w:val="single" w:sz="12" w:space="0" w:color="auto"/>
            </w:tcBorders>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3</w:t>
            </w:r>
          </w:p>
        </w:tc>
        <w:tc>
          <w:tcPr>
            <w:tcW w:w="750" w:type="dxa"/>
            <w:tcBorders>
              <w:bottom w:val="single" w:sz="12" w:space="0" w:color="auto"/>
            </w:tcBorders>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12</w:t>
            </w:r>
          </w:p>
        </w:tc>
        <w:tc>
          <w:tcPr>
            <w:tcW w:w="750" w:type="dxa"/>
            <w:tcBorders>
              <w:bottom w:val="single" w:sz="12" w:space="0" w:color="auto"/>
            </w:tcBorders>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35</w:t>
            </w:r>
          </w:p>
        </w:tc>
        <w:tc>
          <w:tcPr>
            <w:tcW w:w="750" w:type="dxa"/>
            <w:tcBorders>
              <w:bottom w:val="single" w:sz="12" w:space="0" w:color="auto"/>
            </w:tcBorders>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83</w:t>
            </w:r>
          </w:p>
        </w:tc>
        <w:tc>
          <w:tcPr>
            <w:tcW w:w="750" w:type="dxa"/>
            <w:tcBorders>
              <w:bottom w:val="single" w:sz="12" w:space="0" w:color="auto"/>
            </w:tcBorders>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12</w:t>
            </w:r>
          </w:p>
        </w:tc>
        <w:tc>
          <w:tcPr>
            <w:tcW w:w="750" w:type="dxa"/>
            <w:tcBorders>
              <w:bottom w:val="single" w:sz="12" w:space="0" w:color="auto"/>
            </w:tcBorders>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2</w:t>
            </w:r>
          </w:p>
        </w:tc>
        <w:tc>
          <w:tcPr>
            <w:tcW w:w="750" w:type="dxa"/>
            <w:tcBorders>
              <w:bottom w:val="single" w:sz="12" w:space="0" w:color="auto"/>
            </w:tcBorders>
            <w:shd w:val="clear" w:color="auto" w:fill="auto"/>
            <w:vAlign w:val="bottom"/>
          </w:tcPr>
          <w:p w:rsidR="000B7434" w:rsidRPr="00DF331A" w:rsidRDefault="00DF331A" w:rsidP="00DF331A">
            <w:pPr>
              <w:tabs>
                <w:tab w:val="left" w:pos="662"/>
                <w:tab w:val="left" w:pos="1267"/>
                <w:tab w:val="left" w:pos="1987"/>
                <w:tab w:val="left" w:pos="2650"/>
              </w:tabs>
              <w:spacing w:before="60" w:after="60" w:line="280" w:lineRule="exact"/>
              <w:ind w:left="57"/>
              <w:rPr>
                <w:rFonts w:hint="cs"/>
                <w:sz w:val="18"/>
                <w:szCs w:val="26"/>
                <w:rtl/>
                <w:lang w:bidi="ar-EG"/>
              </w:rPr>
            </w:pPr>
            <w:r>
              <w:rPr>
                <w:rFonts w:hint="cs"/>
                <w:sz w:val="18"/>
                <w:szCs w:val="26"/>
                <w:rtl/>
                <w:lang w:bidi="ar-EG"/>
              </w:rPr>
              <w:t>صفر</w:t>
            </w:r>
          </w:p>
        </w:tc>
        <w:tc>
          <w:tcPr>
            <w:tcW w:w="1484" w:type="dxa"/>
            <w:tcBorders>
              <w:bottom w:val="single" w:sz="12" w:space="0" w:color="auto"/>
            </w:tcBorders>
            <w:shd w:val="clear" w:color="auto" w:fill="auto"/>
            <w:vAlign w:val="bottom"/>
          </w:tcPr>
          <w:p w:rsidR="000B7434" w:rsidRPr="00DF331A" w:rsidRDefault="000B7434" w:rsidP="00DF331A">
            <w:pPr>
              <w:tabs>
                <w:tab w:val="left" w:pos="662"/>
                <w:tab w:val="left" w:pos="1267"/>
                <w:tab w:val="left" w:pos="1987"/>
                <w:tab w:val="left" w:pos="2650"/>
              </w:tabs>
              <w:spacing w:before="60" w:after="60" w:line="280" w:lineRule="exact"/>
              <w:ind w:left="57"/>
              <w:rPr>
                <w:rFonts w:hint="cs"/>
                <w:sz w:val="18"/>
                <w:szCs w:val="26"/>
                <w:rtl/>
                <w:lang w:bidi="ar-EG"/>
              </w:rPr>
            </w:pPr>
            <w:r w:rsidRPr="00DF331A">
              <w:rPr>
                <w:rFonts w:hint="cs"/>
                <w:sz w:val="18"/>
                <w:szCs w:val="26"/>
                <w:rtl/>
                <w:lang w:bidi="ar-EG"/>
              </w:rPr>
              <w:t>147</w:t>
            </w:r>
          </w:p>
        </w:tc>
      </w:tr>
    </w:tbl>
    <w:p w:rsidR="000B7434" w:rsidRPr="0075177C" w:rsidRDefault="00B87BF2" w:rsidP="0075177C">
      <w:pPr>
        <w:pStyle w:val="FootnoteText"/>
        <w:tabs>
          <w:tab w:val="right" w:pos="1915"/>
          <w:tab w:val="left" w:pos="2016"/>
          <w:tab w:val="left" w:pos="2491"/>
          <w:tab w:val="left" w:pos="2966"/>
          <w:tab w:val="left" w:pos="3442"/>
          <w:tab w:val="left" w:pos="3917"/>
        </w:tabs>
        <w:spacing w:before="120" w:after="240" w:line="300" w:lineRule="exact"/>
        <w:ind w:left="2029" w:right="1264" w:hanging="765"/>
        <w:rPr>
          <w:rFonts w:hint="cs"/>
          <w:sz w:val="26"/>
          <w:szCs w:val="26"/>
          <w:rtl/>
          <w:lang w:bidi="ar-EG"/>
        </w:rPr>
      </w:pPr>
      <w:r>
        <w:rPr>
          <w:rFonts w:hint="cs"/>
          <w:i/>
          <w:iCs/>
          <w:sz w:val="26"/>
          <w:szCs w:val="26"/>
          <w:rtl/>
          <w:lang w:bidi="ar-EG"/>
        </w:rPr>
        <w:t xml:space="preserve"> </w:t>
      </w:r>
      <w:r w:rsidR="000B7434" w:rsidRPr="0075177C">
        <w:rPr>
          <w:rFonts w:hint="cs"/>
          <w:i/>
          <w:iCs/>
          <w:sz w:val="26"/>
          <w:szCs w:val="26"/>
          <w:rtl/>
          <w:lang w:bidi="ar-EG"/>
        </w:rPr>
        <w:t>(المصدر</w:t>
      </w:r>
      <w:r w:rsidR="000B7434" w:rsidRPr="0075177C">
        <w:rPr>
          <w:rFonts w:hint="cs"/>
          <w:sz w:val="26"/>
          <w:szCs w:val="26"/>
          <w:rtl/>
          <w:lang w:bidi="ar-EG"/>
        </w:rPr>
        <w:t>:</w:t>
      </w:r>
      <w:r w:rsidR="0075177C">
        <w:rPr>
          <w:rFonts w:hint="cs"/>
          <w:sz w:val="26"/>
          <w:szCs w:val="26"/>
          <w:rtl/>
          <w:lang w:bidi="ar-EG"/>
        </w:rPr>
        <w:t xml:space="preserve"> </w:t>
      </w:r>
      <w:r w:rsidR="000B7434" w:rsidRPr="0075177C">
        <w:rPr>
          <w:rFonts w:hint="cs"/>
          <w:sz w:val="26"/>
          <w:szCs w:val="26"/>
          <w:rtl/>
          <w:lang w:bidi="ar-EG"/>
        </w:rPr>
        <w:t xml:space="preserve"> مركز خدمات المرأة والطفل؛ شرطة نيبال، 2007)</w:t>
      </w:r>
      <w:r w:rsidR="0075177C">
        <w:rPr>
          <w:rFonts w:hint="cs"/>
          <w:sz w:val="26"/>
          <w:szCs w:val="26"/>
          <w:rtl/>
          <w:lang w:bidi="ar-EG"/>
        </w:rPr>
        <w:t>.</w:t>
      </w:r>
    </w:p>
    <w:p w:rsidR="000B7434" w:rsidRPr="00D9093B" w:rsidRDefault="000B7434" w:rsidP="0075177C">
      <w:pPr>
        <w:pStyle w:val="SingleTxtGA"/>
        <w:spacing w:after="0"/>
        <w:rPr>
          <w:rFonts w:hint="cs"/>
          <w:rtl/>
          <w:lang w:bidi="ar-EG"/>
        </w:rPr>
      </w:pPr>
      <w:r w:rsidRPr="00D9093B">
        <w:rPr>
          <w:rFonts w:hint="cs"/>
          <w:rtl/>
          <w:lang w:bidi="ar-EG"/>
        </w:rPr>
        <w:t>الجدول 4</w:t>
      </w:r>
    </w:p>
    <w:p w:rsidR="000B7434" w:rsidRPr="0075177C" w:rsidRDefault="000B7434" w:rsidP="0075177C">
      <w:pPr>
        <w:pStyle w:val="SingleTxtGA"/>
        <w:rPr>
          <w:rFonts w:hint="cs"/>
          <w:b/>
          <w:bCs/>
          <w:rtl/>
          <w:lang w:bidi="ar-EG"/>
        </w:rPr>
      </w:pPr>
      <w:r w:rsidRPr="0075177C">
        <w:rPr>
          <w:rFonts w:hint="cs"/>
          <w:b/>
          <w:bCs/>
          <w:rtl/>
          <w:lang w:bidi="ar-EG"/>
        </w:rPr>
        <w:t>حالة قضايا الاتجار بالأشخاص المسجلة في المحاكم</w:t>
      </w:r>
    </w:p>
    <w:tbl>
      <w:tblPr>
        <w:bidiVisual/>
        <w:tblW w:w="0" w:type="auto"/>
        <w:tblInd w:w="1267" w:type="dxa"/>
        <w:tblLayout w:type="fixed"/>
        <w:tblCellMar>
          <w:left w:w="0" w:type="dxa"/>
          <w:right w:w="0" w:type="dxa"/>
        </w:tblCellMar>
        <w:tblLook w:val="0000" w:firstRow="0" w:lastRow="0" w:firstColumn="0" w:lastColumn="0" w:noHBand="0" w:noVBand="0"/>
      </w:tblPr>
      <w:tblGrid>
        <w:gridCol w:w="1386"/>
        <w:gridCol w:w="1234"/>
        <w:gridCol w:w="1039"/>
        <w:gridCol w:w="1038"/>
        <w:gridCol w:w="1039"/>
        <w:gridCol w:w="1039"/>
        <w:gridCol w:w="1596"/>
      </w:tblGrid>
      <w:tr w:rsidR="000B7434" w:rsidRPr="009E2F68" w:rsidTr="0075177C">
        <w:tblPrEx>
          <w:tblCellMar>
            <w:top w:w="0" w:type="dxa"/>
            <w:bottom w:w="0" w:type="dxa"/>
          </w:tblCellMar>
        </w:tblPrEx>
        <w:trPr>
          <w:cantSplit/>
          <w:tblHeader/>
        </w:trPr>
        <w:tc>
          <w:tcPr>
            <w:tcW w:w="1386" w:type="dxa"/>
            <w:tcBorders>
              <w:top w:val="single" w:sz="4" w:space="0" w:color="auto"/>
              <w:bottom w:val="single" w:sz="12" w:space="0" w:color="auto"/>
            </w:tcBorders>
            <w:shd w:val="clear" w:color="auto" w:fill="auto"/>
            <w:vAlign w:val="bottom"/>
          </w:tcPr>
          <w:p w:rsidR="000B7434" w:rsidRPr="0075177C" w:rsidRDefault="000B7434" w:rsidP="0075177C">
            <w:pPr>
              <w:tabs>
                <w:tab w:val="left" w:pos="288"/>
                <w:tab w:val="left" w:pos="576"/>
                <w:tab w:val="left" w:pos="864"/>
                <w:tab w:val="left" w:pos="1152"/>
              </w:tabs>
              <w:spacing w:before="60" w:after="60" w:line="280" w:lineRule="exact"/>
              <w:ind w:left="57"/>
              <w:rPr>
                <w:rFonts w:hint="cs"/>
                <w:i/>
                <w:iCs/>
                <w:sz w:val="18"/>
                <w:szCs w:val="26"/>
                <w:rtl/>
                <w:lang w:bidi="ar-EG"/>
              </w:rPr>
            </w:pPr>
            <w:r w:rsidRPr="0075177C">
              <w:rPr>
                <w:rFonts w:hint="cs"/>
                <w:i/>
                <w:iCs/>
                <w:sz w:val="18"/>
                <w:szCs w:val="26"/>
                <w:rtl/>
                <w:lang w:bidi="ar-EG"/>
              </w:rPr>
              <w:t>السنة المالية</w:t>
            </w:r>
          </w:p>
        </w:tc>
        <w:tc>
          <w:tcPr>
            <w:tcW w:w="1234" w:type="dxa"/>
            <w:tcBorders>
              <w:top w:val="single" w:sz="4" w:space="0" w:color="auto"/>
              <w:bottom w:val="single" w:sz="12" w:space="0" w:color="auto"/>
            </w:tcBorders>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i/>
                <w:iCs/>
                <w:sz w:val="18"/>
                <w:szCs w:val="26"/>
                <w:rtl/>
                <w:lang w:bidi="ar-EG"/>
              </w:rPr>
            </w:pPr>
            <w:r w:rsidRPr="0075177C">
              <w:rPr>
                <w:rFonts w:hint="cs"/>
                <w:i/>
                <w:iCs/>
                <w:sz w:val="18"/>
                <w:szCs w:val="26"/>
                <w:rtl/>
                <w:lang w:bidi="ar-EG"/>
              </w:rPr>
              <w:t>القضايا المسجلة</w:t>
            </w:r>
          </w:p>
        </w:tc>
        <w:tc>
          <w:tcPr>
            <w:tcW w:w="1039" w:type="dxa"/>
            <w:tcBorders>
              <w:top w:val="single" w:sz="4" w:space="0" w:color="auto"/>
              <w:bottom w:val="single" w:sz="12" w:space="0" w:color="auto"/>
            </w:tcBorders>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i/>
                <w:iCs/>
                <w:sz w:val="18"/>
                <w:szCs w:val="26"/>
                <w:rtl/>
                <w:lang w:bidi="ar-EG"/>
              </w:rPr>
            </w:pPr>
            <w:r w:rsidRPr="0075177C">
              <w:rPr>
                <w:rFonts w:hint="cs"/>
                <w:i/>
                <w:iCs/>
                <w:sz w:val="18"/>
                <w:szCs w:val="26"/>
                <w:rtl/>
                <w:lang w:bidi="ar-EG"/>
              </w:rPr>
              <w:t>إدانة</w:t>
            </w:r>
          </w:p>
        </w:tc>
        <w:tc>
          <w:tcPr>
            <w:tcW w:w="1038" w:type="dxa"/>
            <w:tcBorders>
              <w:top w:val="single" w:sz="4" w:space="0" w:color="auto"/>
              <w:bottom w:val="single" w:sz="12" w:space="0" w:color="auto"/>
            </w:tcBorders>
            <w:shd w:val="clear" w:color="auto" w:fill="auto"/>
            <w:vAlign w:val="bottom"/>
          </w:tcPr>
          <w:p w:rsidR="000B7434" w:rsidRPr="0075177C" w:rsidRDefault="000B7434" w:rsidP="0075177C">
            <w:pPr>
              <w:tabs>
                <w:tab w:val="left" w:pos="288"/>
                <w:tab w:val="left" w:pos="576"/>
                <w:tab w:val="left" w:pos="864"/>
                <w:tab w:val="left" w:pos="1152"/>
              </w:tabs>
              <w:spacing w:before="60" w:after="60" w:line="280" w:lineRule="exact"/>
              <w:ind w:left="57"/>
              <w:rPr>
                <w:rFonts w:hint="cs"/>
                <w:i/>
                <w:iCs/>
                <w:sz w:val="18"/>
                <w:szCs w:val="26"/>
                <w:rtl/>
                <w:lang w:bidi="ar-EG"/>
              </w:rPr>
            </w:pPr>
            <w:r w:rsidRPr="0075177C">
              <w:rPr>
                <w:rFonts w:hint="cs"/>
                <w:i/>
                <w:iCs/>
                <w:sz w:val="18"/>
                <w:szCs w:val="26"/>
                <w:rtl/>
                <w:lang w:bidi="ar-EG"/>
              </w:rPr>
              <w:t>براءة</w:t>
            </w:r>
          </w:p>
        </w:tc>
        <w:tc>
          <w:tcPr>
            <w:tcW w:w="1039" w:type="dxa"/>
            <w:tcBorders>
              <w:top w:val="single" w:sz="4" w:space="0" w:color="auto"/>
              <w:bottom w:val="single" w:sz="12" w:space="0" w:color="auto"/>
            </w:tcBorders>
            <w:shd w:val="clear" w:color="auto" w:fill="auto"/>
            <w:vAlign w:val="bottom"/>
          </w:tcPr>
          <w:p w:rsidR="000B7434" w:rsidRPr="0075177C" w:rsidRDefault="000B7434" w:rsidP="0075177C">
            <w:pPr>
              <w:tabs>
                <w:tab w:val="left" w:pos="288"/>
                <w:tab w:val="left" w:pos="576"/>
                <w:tab w:val="left" w:pos="864"/>
                <w:tab w:val="left" w:pos="1152"/>
              </w:tabs>
              <w:spacing w:before="60" w:after="60" w:line="280" w:lineRule="exact"/>
              <w:ind w:left="57"/>
              <w:rPr>
                <w:rFonts w:hint="cs"/>
                <w:i/>
                <w:iCs/>
                <w:sz w:val="18"/>
                <w:szCs w:val="26"/>
                <w:rtl/>
                <w:lang w:bidi="ar-EG"/>
              </w:rPr>
            </w:pPr>
            <w:r w:rsidRPr="0075177C">
              <w:rPr>
                <w:rFonts w:hint="cs"/>
                <w:i/>
                <w:iCs/>
                <w:sz w:val="18"/>
                <w:szCs w:val="26"/>
                <w:rtl/>
                <w:lang w:bidi="ar-EG"/>
              </w:rPr>
              <w:t>المجموع</w:t>
            </w:r>
          </w:p>
        </w:tc>
        <w:tc>
          <w:tcPr>
            <w:tcW w:w="1039" w:type="dxa"/>
            <w:tcBorders>
              <w:top w:val="single" w:sz="4" w:space="0" w:color="auto"/>
              <w:bottom w:val="single" w:sz="12" w:space="0" w:color="auto"/>
            </w:tcBorders>
            <w:shd w:val="clear" w:color="auto" w:fill="auto"/>
            <w:vAlign w:val="bottom"/>
          </w:tcPr>
          <w:p w:rsidR="000B7434" w:rsidRPr="0075177C" w:rsidRDefault="000B7434" w:rsidP="0075177C">
            <w:pPr>
              <w:tabs>
                <w:tab w:val="left" w:pos="288"/>
                <w:tab w:val="left" w:pos="576"/>
                <w:tab w:val="left" w:pos="864"/>
                <w:tab w:val="left" w:pos="1152"/>
              </w:tabs>
              <w:spacing w:before="60" w:after="60" w:line="280" w:lineRule="exact"/>
              <w:ind w:left="57"/>
              <w:rPr>
                <w:rFonts w:hint="cs"/>
                <w:i/>
                <w:iCs/>
                <w:sz w:val="18"/>
                <w:szCs w:val="26"/>
                <w:rtl/>
                <w:lang w:bidi="ar-EG"/>
              </w:rPr>
            </w:pPr>
            <w:r w:rsidRPr="0075177C">
              <w:rPr>
                <w:rFonts w:hint="cs"/>
                <w:i/>
                <w:iCs/>
                <w:sz w:val="18"/>
                <w:szCs w:val="26"/>
                <w:rtl/>
                <w:lang w:bidi="ar-EG"/>
              </w:rPr>
              <w:t>القضايا المتبقية</w:t>
            </w:r>
          </w:p>
        </w:tc>
        <w:tc>
          <w:tcPr>
            <w:tcW w:w="1596" w:type="dxa"/>
            <w:tcBorders>
              <w:top w:val="single" w:sz="4" w:space="0" w:color="auto"/>
              <w:bottom w:val="single" w:sz="12" w:space="0" w:color="auto"/>
            </w:tcBorders>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i/>
                <w:iCs/>
                <w:sz w:val="18"/>
                <w:szCs w:val="26"/>
                <w:rtl/>
                <w:lang w:bidi="ar-EG"/>
              </w:rPr>
            </w:pPr>
            <w:r w:rsidRPr="0075177C">
              <w:rPr>
                <w:rFonts w:hint="cs"/>
                <w:i/>
                <w:iCs/>
                <w:sz w:val="18"/>
                <w:szCs w:val="26"/>
                <w:rtl/>
                <w:lang w:bidi="ar-EG"/>
              </w:rPr>
              <w:t>النسبة المئوية للإدانات</w:t>
            </w:r>
          </w:p>
        </w:tc>
      </w:tr>
      <w:tr w:rsidR="000B7434" w:rsidRPr="009E2F68" w:rsidTr="0075177C">
        <w:tblPrEx>
          <w:tblCellMar>
            <w:top w:w="0" w:type="dxa"/>
            <w:bottom w:w="0" w:type="dxa"/>
          </w:tblCellMar>
        </w:tblPrEx>
        <w:trPr>
          <w:cantSplit/>
        </w:trPr>
        <w:tc>
          <w:tcPr>
            <w:tcW w:w="1386"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2003/2004</w:t>
            </w:r>
          </w:p>
        </w:tc>
        <w:tc>
          <w:tcPr>
            <w:tcW w:w="1234"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134</w:t>
            </w:r>
          </w:p>
        </w:tc>
        <w:tc>
          <w:tcPr>
            <w:tcW w:w="1039"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11</w:t>
            </w:r>
          </w:p>
        </w:tc>
        <w:tc>
          <w:tcPr>
            <w:tcW w:w="1038"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17</w:t>
            </w:r>
          </w:p>
        </w:tc>
        <w:tc>
          <w:tcPr>
            <w:tcW w:w="1039"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28</w:t>
            </w:r>
          </w:p>
        </w:tc>
        <w:tc>
          <w:tcPr>
            <w:tcW w:w="1039"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106</w:t>
            </w:r>
          </w:p>
        </w:tc>
        <w:tc>
          <w:tcPr>
            <w:tcW w:w="1596"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39.29</w:t>
            </w:r>
          </w:p>
        </w:tc>
      </w:tr>
      <w:tr w:rsidR="000B7434" w:rsidRPr="009E2F68" w:rsidTr="0075177C">
        <w:tblPrEx>
          <w:tblCellMar>
            <w:top w:w="0" w:type="dxa"/>
            <w:bottom w:w="0" w:type="dxa"/>
          </w:tblCellMar>
        </w:tblPrEx>
        <w:trPr>
          <w:cantSplit/>
        </w:trPr>
        <w:tc>
          <w:tcPr>
            <w:tcW w:w="1386"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2004/2005</w:t>
            </w:r>
          </w:p>
        </w:tc>
        <w:tc>
          <w:tcPr>
            <w:tcW w:w="1234"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131</w:t>
            </w:r>
          </w:p>
        </w:tc>
        <w:tc>
          <w:tcPr>
            <w:tcW w:w="1039"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17</w:t>
            </w:r>
          </w:p>
        </w:tc>
        <w:tc>
          <w:tcPr>
            <w:tcW w:w="1038"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13</w:t>
            </w:r>
          </w:p>
        </w:tc>
        <w:tc>
          <w:tcPr>
            <w:tcW w:w="1039"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30</w:t>
            </w:r>
          </w:p>
        </w:tc>
        <w:tc>
          <w:tcPr>
            <w:tcW w:w="1039"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101</w:t>
            </w:r>
          </w:p>
        </w:tc>
        <w:tc>
          <w:tcPr>
            <w:tcW w:w="1596"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56.67</w:t>
            </w:r>
          </w:p>
        </w:tc>
      </w:tr>
      <w:tr w:rsidR="000B7434" w:rsidRPr="009E2F68" w:rsidTr="0075177C">
        <w:tblPrEx>
          <w:tblCellMar>
            <w:top w:w="0" w:type="dxa"/>
            <w:bottom w:w="0" w:type="dxa"/>
          </w:tblCellMar>
        </w:tblPrEx>
        <w:trPr>
          <w:cantSplit/>
        </w:trPr>
        <w:tc>
          <w:tcPr>
            <w:tcW w:w="1386"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2005/2006</w:t>
            </w:r>
          </w:p>
        </w:tc>
        <w:tc>
          <w:tcPr>
            <w:tcW w:w="1234"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117</w:t>
            </w:r>
          </w:p>
        </w:tc>
        <w:tc>
          <w:tcPr>
            <w:tcW w:w="1039"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16</w:t>
            </w:r>
          </w:p>
        </w:tc>
        <w:tc>
          <w:tcPr>
            <w:tcW w:w="1038"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13</w:t>
            </w:r>
          </w:p>
        </w:tc>
        <w:tc>
          <w:tcPr>
            <w:tcW w:w="1039"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29</w:t>
            </w:r>
          </w:p>
        </w:tc>
        <w:tc>
          <w:tcPr>
            <w:tcW w:w="1039"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88</w:t>
            </w:r>
          </w:p>
        </w:tc>
        <w:tc>
          <w:tcPr>
            <w:tcW w:w="1596"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55.17</w:t>
            </w:r>
          </w:p>
        </w:tc>
      </w:tr>
      <w:tr w:rsidR="000B7434" w:rsidRPr="009E2F68" w:rsidTr="0075177C">
        <w:tblPrEx>
          <w:tblCellMar>
            <w:top w:w="0" w:type="dxa"/>
            <w:bottom w:w="0" w:type="dxa"/>
          </w:tblCellMar>
        </w:tblPrEx>
        <w:trPr>
          <w:cantSplit/>
        </w:trPr>
        <w:tc>
          <w:tcPr>
            <w:tcW w:w="1386" w:type="dxa"/>
            <w:tcBorders>
              <w:bottom w:val="single" w:sz="12" w:space="0" w:color="auto"/>
            </w:tcBorders>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2006/2007</w:t>
            </w:r>
          </w:p>
        </w:tc>
        <w:tc>
          <w:tcPr>
            <w:tcW w:w="1234" w:type="dxa"/>
            <w:tcBorders>
              <w:bottom w:val="single" w:sz="12" w:space="0" w:color="auto"/>
            </w:tcBorders>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102</w:t>
            </w:r>
          </w:p>
        </w:tc>
        <w:tc>
          <w:tcPr>
            <w:tcW w:w="1039" w:type="dxa"/>
            <w:tcBorders>
              <w:bottom w:val="single" w:sz="12" w:space="0" w:color="auto"/>
            </w:tcBorders>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4</w:t>
            </w:r>
          </w:p>
        </w:tc>
        <w:tc>
          <w:tcPr>
            <w:tcW w:w="1038" w:type="dxa"/>
            <w:tcBorders>
              <w:bottom w:val="single" w:sz="12" w:space="0" w:color="auto"/>
            </w:tcBorders>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9</w:t>
            </w:r>
          </w:p>
        </w:tc>
        <w:tc>
          <w:tcPr>
            <w:tcW w:w="1039" w:type="dxa"/>
            <w:tcBorders>
              <w:bottom w:val="single" w:sz="12" w:space="0" w:color="auto"/>
            </w:tcBorders>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13</w:t>
            </w:r>
          </w:p>
        </w:tc>
        <w:tc>
          <w:tcPr>
            <w:tcW w:w="1039" w:type="dxa"/>
            <w:tcBorders>
              <w:bottom w:val="single" w:sz="12" w:space="0" w:color="auto"/>
            </w:tcBorders>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89</w:t>
            </w:r>
          </w:p>
        </w:tc>
        <w:tc>
          <w:tcPr>
            <w:tcW w:w="1596" w:type="dxa"/>
            <w:tcBorders>
              <w:bottom w:val="single" w:sz="12" w:space="0" w:color="auto"/>
            </w:tcBorders>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30.77</w:t>
            </w:r>
          </w:p>
        </w:tc>
      </w:tr>
    </w:tbl>
    <w:p w:rsidR="000B7434" w:rsidRPr="0075177C" w:rsidRDefault="000B7434" w:rsidP="0075177C">
      <w:pPr>
        <w:pStyle w:val="FootnoteText"/>
        <w:tabs>
          <w:tab w:val="right" w:pos="1915"/>
          <w:tab w:val="left" w:pos="2016"/>
          <w:tab w:val="left" w:pos="2491"/>
          <w:tab w:val="left" w:pos="2966"/>
          <w:tab w:val="left" w:pos="3442"/>
          <w:tab w:val="left" w:pos="3917"/>
        </w:tabs>
        <w:spacing w:before="120" w:after="240" w:line="300" w:lineRule="exact"/>
        <w:ind w:left="2029" w:right="1264" w:hanging="765"/>
        <w:rPr>
          <w:rFonts w:hint="cs"/>
          <w:sz w:val="26"/>
          <w:szCs w:val="26"/>
          <w:rtl/>
          <w:lang w:bidi="ar-EG"/>
        </w:rPr>
      </w:pPr>
      <w:r w:rsidRPr="0075177C">
        <w:rPr>
          <w:rFonts w:hint="cs"/>
          <w:i/>
          <w:iCs/>
          <w:sz w:val="26"/>
          <w:szCs w:val="26"/>
          <w:rtl/>
          <w:lang w:bidi="ar-EG"/>
        </w:rPr>
        <w:t>المصدر</w:t>
      </w:r>
      <w:r w:rsidRPr="0075177C">
        <w:rPr>
          <w:rFonts w:hint="cs"/>
          <w:sz w:val="26"/>
          <w:szCs w:val="26"/>
          <w:rtl/>
          <w:lang w:bidi="ar-EG"/>
        </w:rPr>
        <w:t xml:space="preserve">: </w:t>
      </w:r>
      <w:r w:rsidR="0075177C">
        <w:rPr>
          <w:rFonts w:hint="cs"/>
          <w:sz w:val="26"/>
          <w:szCs w:val="26"/>
          <w:rtl/>
          <w:lang w:bidi="ar-EG"/>
        </w:rPr>
        <w:t xml:space="preserve"> </w:t>
      </w:r>
      <w:r w:rsidRPr="0075177C">
        <w:rPr>
          <w:rFonts w:hint="cs"/>
          <w:sz w:val="26"/>
          <w:szCs w:val="26"/>
          <w:rtl/>
          <w:lang w:bidi="ar-EG"/>
        </w:rPr>
        <w:t>التقرير السنوي للمدعي العام، 2006/2007، الصفحة 19.</w:t>
      </w:r>
    </w:p>
    <w:p w:rsidR="000B7434" w:rsidRPr="00EC4329" w:rsidRDefault="0075177C" w:rsidP="002F1301">
      <w:pPr>
        <w:pStyle w:val="SingleTxtGA"/>
        <w:rPr>
          <w:rFonts w:hint="cs"/>
          <w:rtl/>
          <w:lang w:bidi="ar-EG"/>
        </w:rPr>
      </w:pPr>
      <w:r>
        <w:rPr>
          <w:rFonts w:hint="cs"/>
          <w:rtl/>
          <w:lang w:bidi="ar-EG"/>
        </w:rPr>
        <w:t>79</w:t>
      </w:r>
      <w:r w:rsidR="000B7434" w:rsidRPr="00EC4329">
        <w:rPr>
          <w:rFonts w:hint="cs"/>
          <w:rtl/>
          <w:lang w:bidi="ar-EG"/>
        </w:rPr>
        <w:t>-</w:t>
      </w:r>
      <w:r w:rsidR="000B7434" w:rsidRPr="00EC4329">
        <w:rPr>
          <w:rFonts w:hint="cs"/>
          <w:rtl/>
          <w:lang w:bidi="ar-EG"/>
        </w:rPr>
        <w:tab/>
        <w:t xml:space="preserve">وقد سبب </w:t>
      </w:r>
      <w:r w:rsidR="002F1301">
        <w:rPr>
          <w:rFonts w:hint="cs"/>
          <w:rtl/>
          <w:lang w:bidi="ar-EG"/>
        </w:rPr>
        <w:t xml:space="preserve">النزاع </w:t>
      </w:r>
      <w:r w:rsidR="000B7434" w:rsidRPr="00EC4329">
        <w:rPr>
          <w:rFonts w:hint="cs"/>
          <w:rtl/>
          <w:lang w:bidi="ar-EG"/>
        </w:rPr>
        <w:t>المسلح الذي دام عشر سنوات نزوحاً وهجرة للناس على نطاق واسع، مما</w:t>
      </w:r>
      <w:r w:rsidR="000B7434">
        <w:rPr>
          <w:rFonts w:hint="cs"/>
          <w:rtl/>
          <w:lang w:bidi="ar-EG"/>
        </w:rPr>
        <w:t xml:space="preserve"> أدى إلى زيادة تفاقم المشكلة. وا</w:t>
      </w:r>
      <w:r w:rsidR="000B7434" w:rsidRPr="00EC4329">
        <w:rPr>
          <w:rFonts w:hint="cs"/>
          <w:rtl/>
          <w:lang w:bidi="ar-EG"/>
        </w:rPr>
        <w:t>جتذب النمو في حانات ومطاعم وقاعات الرقص في العاصمة كاتماندو وغيرها من مدن نيبال، عدداً متزايداً من المراهقات. وتُناقَش في الجزء الرابع من هذا التقرير مسألةُ استغلال الفتيات العاملات في علب الليل ومطاعم الرقص بوصفها إحدى المسائل الناشئة.</w:t>
      </w:r>
    </w:p>
    <w:p w:rsidR="000B7434" w:rsidRPr="00EC4329" w:rsidRDefault="0075177C" w:rsidP="00B87BF2">
      <w:pPr>
        <w:pStyle w:val="H23GA"/>
        <w:rPr>
          <w:rFonts w:hint="cs"/>
          <w:rtl/>
          <w:lang w:bidi="ar-EG"/>
        </w:rPr>
      </w:pPr>
      <w:r>
        <w:rPr>
          <w:rFonts w:hint="cs"/>
          <w:rtl/>
          <w:lang w:bidi="ar-EG"/>
        </w:rPr>
        <w:tab/>
      </w:r>
      <w:r>
        <w:rPr>
          <w:rFonts w:hint="cs"/>
          <w:rtl/>
          <w:lang w:bidi="ar-EG"/>
        </w:rPr>
        <w:tab/>
      </w:r>
      <w:r w:rsidR="000B7434" w:rsidRPr="00EC4329">
        <w:rPr>
          <w:rFonts w:hint="cs"/>
          <w:rtl/>
          <w:lang w:bidi="ar-EG"/>
        </w:rPr>
        <w:t>مبادرات الإصلاح</w:t>
      </w:r>
    </w:p>
    <w:p w:rsidR="000B7434" w:rsidRPr="00EC4329" w:rsidRDefault="0075177C" w:rsidP="0075177C">
      <w:pPr>
        <w:pStyle w:val="SingleTxtGA"/>
        <w:rPr>
          <w:rFonts w:hint="cs"/>
          <w:rtl/>
          <w:lang w:bidi="ar-EG"/>
        </w:rPr>
      </w:pPr>
      <w:r>
        <w:rPr>
          <w:rFonts w:hint="cs"/>
          <w:rtl/>
          <w:lang w:bidi="ar-EG"/>
        </w:rPr>
        <w:t>80</w:t>
      </w:r>
      <w:r w:rsidR="000B7434" w:rsidRPr="00EC4329">
        <w:rPr>
          <w:rFonts w:hint="cs"/>
          <w:rtl/>
          <w:lang w:bidi="ar-EG"/>
        </w:rPr>
        <w:t>-</w:t>
      </w:r>
      <w:r w:rsidR="000B7434" w:rsidRPr="00EC4329">
        <w:rPr>
          <w:rFonts w:hint="cs"/>
          <w:rtl/>
          <w:lang w:bidi="ar-EG"/>
        </w:rPr>
        <w:tab/>
        <w:t>صدّقت نيبال خلال الفترة المشمولة بهذا التقرير على اتفاقية رابطة جنوب آسيا للتعاون الإقليمي المعنية بالاتجار بالنساء والأطف</w:t>
      </w:r>
      <w:r w:rsidR="000C6FCD">
        <w:rPr>
          <w:rFonts w:hint="cs"/>
          <w:rtl/>
          <w:lang w:bidi="ar-EG"/>
        </w:rPr>
        <w:t>ال، في عام 2007. والإطار الراهن</w:t>
      </w:r>
      <w:r w:rsidR="000B7434" w:rsidRPr="00EC4329">
        <w:rPr>
          <w:rFonts w:hint="cs"/>
          <w:rtl/>
          <w:lang w:bidi="ar-EG"/>
        </w:rPr>
        <w:t xml:space="preserve"> للقوانين المتصلة بالاتجار بالأشخاص في نيبال إطار تقدمي للغاية. ذلك أنّ المادة 29 من الدستور المؤقت تضمن </w:t>
      </w:r>
      <w:r>
        <w:rPr>
          <w:rtl/>
          <w:lang w:bidi="ar-EG"/>
        </w:rPr>
        <w:t>"</w:t>
      </w:r>
      <w:r w:rsidR="000B7434" w:rsidRPr="00EC4329">
        <w:rPr>
          <w:rFonts w:hint="cs"/>
          <w:rtl/>
          <w:lang w:bidi="ar-EG"/>
        </w:rPr>
        <w:t>الحق في عدم الاستغلال</w:t>
      </w:r>
      <w:r>
        <w:rPr>
          <w:rtl/>
          <w:lang w:bidi="ar-EG"/>
        </w:rPr>
        <w:t>"</w:t>
      </w:r>
      <w:r w:rsidR="000B7434" w:rsidRPr="00EC4329">
        <w:rPr>
          <w:rFonts w:hint="cs"/>
          <w:rtl/>
          <w:lang w:bidi="ar-EG"/>
        </w:rPr>
        <w:t xml:space="preserve"> وتحظر بوضوح الاتجار بالأشخاص، أو الرق، أو</w:t>
      </w:r>
      <w:r w:rsidR="000B7434">
        <w:rPr>
          <w:rFonts w:hint="eastAsia"/>
          <w:rtl/>
          <w:lang w:bidi="ar-EG"/>
        </w:rPr>
        <w:t> </w:t>
      </w:r>
      <w:r w:rsidR="000B7434" w:rsidRPr="00EC4329">
        <w:rPr>
          <w:rFonts w:hint="cs"/>
          <w:rtl/>
          <w:lang w:bidi="ar-EG"/>
        </w:rPr>
        <w:t>عمل السخرة والاستغلال باسم العرف والتقليد والممارسة، أو</w:t>
      </w:r>
      <w:r w:rsidR="000B7434" w:rsidRPr="00EC4329">
        <w:rPr>
          <w:rFonts w:hint="eastAsia"/>
          <w:rtl/>
          <w:lang w:bidi="ar-EG"/>
        </w:rPr>
        <w:t> </w:t>
      </w:r>
      <w:r w:rsidR="000B7434" w:rsidRPr="00EC4329">
        <w:rPr>
          <w:rFonts w:hint="cs"/>
          <w:rtl/>
          <w:lang w:bidi="ar-EG"/>
        </w:rPr>
        <w:t>على أي نحو آخر. وهذا الحكم ينص على ضمان دستوري كامل ضد الاتجار بالنساء في كل الظروف.</w:t>
      </w:r>
    </w:p>
    <w:p w:rsidR="000B7434" w:rsidRPr="00EC4329" w:rsidRDefault="0075177C" w:rsidP="0075177C">
      <w:pPr>
        <w:pStyle w:val="SingleTxtGA"/>
        <w:rPr>
          <w:rFonts w:hint="cs"/>
          <w:rtl/>
          <w:lang w:bidi="ar-EG"/>
        </w:rPr>
      </w:pPr>
      <w:r>
        <w:rPr>
          <w:rFonts w:hint="cs"/>
          <w:rtl/>
          <w:lang w:bidi="ar-EG"/>
        </w:rPr>
        <w:t>81</w:t>
      </w:r>
      <w:r w:rsidR="000B7434" w:rsidRPr="00EC4329">
        <w:rPr>
          <w:rFonts w:hint="cs"/>
          <w:rtl/>
          <w:lang w:bidi="ar-EG"/>
        </w:rPr>
        <w:t>-</w:t>
      </w:r>
      <w:r w:rsidR="000B7434" w:rsidRPr="00EC4329">
        <w:rPr>
          <w:rFonts w:hint="cs"/>
          <w:rtl/>
          <w:lang w:bidi="ar-EG"/>
        </w:rPr>
        <w:tab/>
        <w:t xml:space="preserve">وبالإضافة إلى قانون مكافحة الاتجار الذي استُن حديثاً، اعتمدت الحكومة مؤخراً </w:t>
      </w:r>
      <w:r>
        <w:rPr>
          <w:rFonts w:hint="cs"/>
          <w:rtl/>
          <w:lang w:bidi="ar-EG"/>
        </w:rPr>
        <w:t xml:space="preserve">"لائحة (مكافحة) </w:t>
      </w:r>
      <w:r w:rsidR="000B7434" w:rsidRPr="00EC4329">
        <w:rPr>
          <w:rFonts w:hint="cs"/>
          <w:rtl/>
          <w:lang w:bidi="ar-EG"/>
        </w:rPr>
        <w:t>الاتجار بالأشخاص ونقلهم</w:t>
      </w:r>
      <w:r>
        <w:rPr>
          <w:rFonts w:hint="cs"/>
          <w:rtl/>
          <w:lang w:bidi="ar-EG"/>
        </w:rPr>
        <w:t>"</w:t>
      </w:r>
      <w:r w:rsidR="000B7434" w:rsidRPr="00EC4329">
        <w:rPr>
          <w:rFonts w:hint="cs"/>
          <w:rtl/>
          <w:lang w:bidi="ar-EG"/>
        </w:rPr>
        <w:t xml:space="preserve"> في تشرين الثاني/نوفمبر 2008. وتنص اللائحة على تشكيل لجان على المستوى الوطني وعلى مستوى المقاطعات. وسوف تكون أمينةُ وزارة شؤون المرأة رئيسةَ اللجنة الوطنية والأمينةُ المساعدةُ في الوزارة أمينةَ اللجنة وعضواً فيها. وسوف تضم اللجنة الوطنية أيضاً أعضاء (على مستوى الأمين المساعد، مع إعطاء الأولوية للنساء) من وزارات العمل، والشؤون الداخلية، والشؤون الخارجية، ونائباً للمدعي العام (تُفضل النساء) ولإدارة الحكم الداخلي (تُفضل النساء). وبالإضافة إلى ذلك، سوف تسمي وزارة شؤون المرأة ثلاث نساء يعملن في مجال الاتجار بالأشخاص إما بصورة فردية أو في منظمة، وعلى أساس الشمولية قدر الإمكان. كما ستسمي الوزارة اثنتين من ضحايا الاتجار. وستكون كل لجنة مقاطعة برئاسة كبير الموظفين الإداريين، وعضوية موظفة شؤون تنمية المرأة كأمينة للجنة، ورئيس مكتب محامي الحكومة بالمقاطعة، ورئيس شرطة المقاطعة، وغيرهم من أصحاب المصلحة كأعضاء. وسوف تسمي وزارة شؤون المرأة ثلاثة نساء يعملن في مكافحة الاتجار بالأشخاص من تنظيمات المجتمع المدني على أساس فردي أو</w:t>
      </w:r>
      <w:r w:rsidR="000B7434">
        <w:rPr>
          <w:rFonts w:hint="eastAsia"/>
          <w:rtl/>
          <w:lang w:bidi="ar-EG"/>
        </w:rPr>
        <w:t> </w:t>
      </w:r>
      <w:r w:rsidR="000B7434" w:rsidRPr="00EC4329">
        <w:rPr>
          <w:rFonts w:hint="cs"/>
          <w:rtl/>
          <w:lang w:bidi="ar-EG"/>
        </w:rPr>
        <w:t>أساس العمل في منظمة. وسوف يكون ممثل للجنة التنفيذية لاتحاد الصحفيين النيباليين في</w:t>
      </w:r>
      <w:r w:rsidR="000B7434">
        <w:rPr>
          <w:rFonts w:hint="eastAsia"/>
          <w:rtl/>
          <w:lang w:bidi="ar-EG"/>
        </w:rPr>
        <w:t> </w:t>
      </w:r>
      <w:r w:rsidR="000B7434" w:rsidRPr="00EC4329">
        <w:rPr>
          <w:rFonts w:hint="cs"/>
          <w:rtl/>
          <w:lang w:bidi="ar-EG"/>
        </w:rPr>
        <w:t>كل مقاطعة عضواً أيضاً.</w:t>
      </w:r>
    </w:p>
    <w:p w:rsidR="000B7434" w:rsidRPr="00EC4329" w:rsidRDefault="0075177C" w:rsidP="0075177C">
      <w:pPr>
        <w:pStyle w:val="SingleTxtGA"/>
        <w:rPr>
          <w:rFonts w:hint="cs"/>
          <w:rtl/>
          <w:lang w:bidi="ar-EG"/>
        </w:rPr>
      </w:pPr>
      <w:r>
        <w:rPr>
          <w:rFonts w:hint="cs"/>
          <w:rtl/>
          <w:lang w:bidi="ar-EG"/>
        </w:rPr>
        <w:t>82</w:t>
      </w:r>
      <w:r w:rsidR="000B7434" w:rsidRPr="00EC4329">
        <w:rPr>
          <w:rFonts w:hint="cs"/>
          <w:rtl/>
          <w:lang w:bidi="ar-EG"/>
        </w:rPr>
        <w:t>-</w:t>
      </w:r>
      <w:r w:rsidR="000B7434" w:rsidRPr="00EC4329">
        <w:rPr>
          <w:rFonts w:hint="cs"/>
          <w:rtl/>
          <w:lang w:bidi="ar-EG"/>
        </w:rPr>
        <w:tab/>
        <w:t xml:space="preserve">وتضع هذه اللائحة أيضاً أحكاماً هامة للمحافظة على السرية بالنسبة </w:t>
      </w:r>
      <w:r>
        <w:rPr>
          <w:rFonts w:hint="cs"/>
          <w:rtl/>
          <w:lang w:bidi="ar-EG"/>
        </w:rPr>
        <w:t>إ</w:t>
      </w:r>
      <w:r w:rsidR="000B7434" w:rsidRPr="00EC4329">
        <w:rPr>
          <w:rFonts w:hint="cs"/>
          <w:rtl/>
          <w:lang w:bidi="ar-EG"/>
        </w:rPr>
        <w:t>لى الضحايا، وتوفير مترجم أو</w:t>
      </w:r>
      <w:r w:rsidR="000B7434" w:rsidRPr="00EC4329">
        <w:rPr>
          <w:rFonts w:hint="eastAsia"/>
          <w:rtl/>
          <w:lang w:bidi="ar-EG"/>
        </w:rPr>
        <w:t> </w:t>
      </w:r>
      <w:r w:rsidR="000B7434" w:rsidRPr="00EC4329">
        <w:rPr>
          <w:rFonts w:hint="cs"/>
          <w:rtl/>
          <w:lang w:bidi="ar-EG"/>
        </w:rPr>
        <w:t>مترجم فوري للضحايا، وإنشاء وتشغيل مآوي انتقالية (يكون تمثيل المرأة فيها بنسبة 50 في المائة على الأقل)، بما في ذلك البنى التحتية المادية، والمساعدة القانونية، والمعاملة، والخدمات الصحية، والمشورة النفسانية</w:t>
      </w:r>
      <w:r>
        <w:rPr>
          <w:rFonts w:hint="cs"/>
          <w:rtl/>
          <w:lang w:bidi="ar-EG"/>
        </w:rPr>
        <w:t xml:space="preserve"> </w:t>
      </w:r>
      <w:r w:rsidR="000B7434" w:rsidRPr="00EC4329">
        <w:rPr>
          <w:rFonts w:hint="cs"/>
          <w:rtl/>
          <w:lang w:bidi="ar-EG"/>
        </w:rPr>
        <w:t>- الاجتماعية، والحصول على التعليم، والتدريب على المهارات، والإدماج الاجتماعي والأسري للضحايا. وتنص اللائحة أيضاً على توفير أموال لإدارة وتشغيل صندوق إعادة التأهيل ورصده وعلى شكليات الرصد والإبلاغ. وتتطلب اللائحة كذلك وضع مدونة لقواعد السلوك للمركز. وهذه اللائحة هي الأولى من نوعها لمكافحة جريمة الاتجار بالأشخاص.</w:t>
      </w:r>
    </w:p>
    <w:p w:rsidR="000B7434" w:rsidRPr="0075177C" w:rsidRDefault="0075177C" w:rsidP="0075177C">
      <w:pPr>
        <w:pStyle w:val="SingleTxtGA"/>
        <w:rPr>
          <w:rFonts w:hint="cs"/>
          <w:spacing w:val="-2"/>
          <w:rtl/>
          <w:lang w:bidi="ar-EG"/>
        </w:rPr>
      </w:pPr>
      <w:r w:rsidRPr="0075177C">
        <w:rPr>
          <w:rFonts w:hint="cs"/>
          <w:spacing w:val="-2"/>
          <w:rtl/>
          <w:lang w:bidi="ar-EG"/>
        </w:rPr>
        <w:t>83</w:t>
      </w:r>
      <w:r w:rsidR="000B7434" w:rsidRPr="0075177C">
        <w:rPr>
          <w:rFonts w:hint="cs"/>
          <w:spacing w:val="-2"/>
          <w:rtl/>
          <w:lang w:bidi="ar-EG"/>
        </w:rPr>
        <w:t>-</w:t>
      </w:r>
      <w:r w:rsidR="000B7434" w:rsidRPr="0075177C">
        <w:rPr>
          <w:rFonts w:hint="cs"/>
          <w:spacing w:val="-2"/>
          <w:rtl/>
          <w:lang w:bidi="ar-EG"/>
        </w:rPr>
        <w:tab/>
        <w:t xml:space="preserve">وأُنشئ داخل اللجنة الوطنية لحقوق الإنسان مكتبٌ للمقرر الوطني المعني بالاتجار بالنساء والأطفال. ومن الأهداف الاستراتيجية لهذا المكتب مكافحة الاتجار بالأشخاص والقضاء عليه، والإدماج الاجتماعي للضحايا. وقد بدأ المكتب في نشر تقاريره عن حالة الاتجار بالأشخاص في نيبال منذ عام 2005. وكان التقرير الثاني (2006/2007) تحليلياً من حيث معالجة فرص ومشاكل العمالة الأجنبية والمصادر المرتبطة بالاتجار بالنساء، وكذلك التدخل الممكن في هذه الحالات. وبغية تنفيذ الأحكام القانونية، أنشأت الحكومة بالفعل </w:t>
      </w:r>
      <w:r w:rsidR="00D62BA8" w:rsidRPr="0075177C">
        <w:rPr>
          <w:spacing w:val="-2"/>
          <w:rtl/>
          <w:lang w:bidi="ar-EG"/>
        </w:rPr>
        <w:t>"</w:t>
      </w:r>
      <w:r w:rsidR="000B7434" w:rsidRPr="0075177C">
        <w:rPr>
          <w:rFonts w:hint="cs"/>
          <w:spacing w:val="-2"/>
          <w:rtl/>
          <w:lang w:bidi="ar-EG"/>
        </w:rPr>
        <w:t>صندوقاً استئمانياً</w:t>
      </w:r>
      <w:r w:rsidR="00D62BA8" w:rsidRPr="0075177C">
        <w:rPr>
          <w:spacing w:val="-2"/>
          <w:rtl/>
          <w:lang w:bidi="ar-EG"/>
        </w:rPr>
        <w:t>"</w:t>
      </w:r>
      <w:r w:rsidR="000B7434" w:rsidRPr="0075177C">
        <w:rPr>
          <w:rFonts w:hint="cs"/>
          <w:spacing w:val="-2"/>
          <w:rtl/>
          <w:lang w:bidi="ar-EG"/>
        </w:rPr>
        <w:t xml:space="preserve"> في كانون الأول/ديسمبر 2008 بتمويل أساسي يبلغ 14</w:t>
      </w:r>
      <w:r w:rsidR="000B7434" w:rsidRPr="0075177C">
        <w:rPr>
          <w:rFonts w:hint="eastAsia"/>
          <w:spacing w:val="-2"/>
          <w:rtl/>
          <w:lang w:bidi="ar-EG"/>
        </w:rPr>
        <w:t> </w:t>
      </w:r>
      <w:r w:rsidR="000B7434" w:rsidRPr="0075177C">
        <w:rPr>
          <w:rFonts w:hint="cs"/>
          <w:spacing w:val="-2"/>
          <w:rtl/>
          <w:lang w:bidi="ar-EG"/>
        </w:rPr>
        <w:t>مليون</w:t>
      </w:r>
      <w:r w:rsidR="000B7434" w:rsidRPr="0075177C">
        <w:rPr>
          <w:rFonts w:hint="eastAsia"/>
          <w:spacing w:val="-2"/>
          <w:rtl/>
          <w:lang w:bidi="ar-EG"/>
        </w:rPr>
        <w:t> </w:t>
      </w:r>
      <w:r w:rsidR="000B7434" w:rsidRPr="0075177C">
        <w:rPr>
          <w:rFonts w:hint="cs"/>
          <w:spacing w:val="-2"/>
          <w:rtl/>
          <w:lang w:bidi="ar-EG"/>
        </w:rPr>
        <w:t>روبية</w:t>
      </w:r>
      <w:r w:rsidR="000B7434" w:rsidRPr="0075177C">
        <w:rPr>
          <w:rFonts w:hint="eastAsia"/>
          <w:spacing w:val="-2"/>
          <w:rtl/>
          <w:lang w:bidi="ar-EG"/>
        </w:rPr>
        <w:t> </w:t>
      </w:r>
      <w:r w:rsidR="000B7434" w:rsidRPr="0075177C">
        <w:rPr>
          <w:rFonts w:hint="cs"/>
          <w:spacing w:val="-2"/>
          <w:rtl/>
          <w:lang w:bidi="ar-EG"/>
        </w:rPr>
        <w:t>نيبالية.</w:t>
      </w:r>
    </w:p>
    <w:p w:rsidR="000B7434" w:rsidRPr="00EC4329" w:rsidRDefault="0075177C" w:rsidP="0075177C">
      <w:pPr>
        <w:pStyle w:val="SingleTxtGA"/>
        <w:rPr>
          <w:rFonts w:hint="cs"/>
          <w:rtl/>
          <w:lang w:bidi="ar-EG"/>
        </w:rPr>
      </w:pPr>
      <w:r>
        <w:rPr>
          <w:rFonts w:hint="cs"/>
          <w:rtl/>
          <w:lang w:bidi="ar-EG"/>
        </w:rPr>
        <w:t>84</w:t>
      </w:r>
      <w:r w:rsidR="008B03DA">
        <w:rPr>
          <w:rFonts w:hint="cs"/>
          <w:rtl/>
          <w:lang w:bidi="ar-EG"/>
        </w:rPr>
        <w:t>-</w:t>
      </w:r>
      <w:r w:rsidR="008B03DA">
        <w:rPr>
          <w:rFonts w:hint="cs"/>
          <w:rtl/>
          <w:lang w:bidi="ar-EG"/>
        </w:rPr>
        <w:tab/>
        <w:t>وأثناء عامي 2006 و</w:t>
      </w:r>
      <w:r w:rsidR="000B7434" w:rsidRPr="00EC4329">
        <w:rPr>
          <w:rFonts w:hint="cs"/>
          <w:rtl/>
          <w:lang w:bidi="ar-EG"/>
        </w:rPr>
        <w:t>2007 نظم المكتب عدة برامج للدعوة تشمل التدريب على</w:t>
      </w:r>
      <w:r w:rsidR="000B7434">
        <w:rPr>
          <w:rFonts w:hint="eastAsia"/>
          <w:rtl/>
          <w:lang w:bidi="ar-EG"/>
        </w:rPr>
        <w:t> </w:t>
      </w:r>
      <w:r w:rsidR="000B7434" w:rsidRPr="00EC4329">
        <w:rPr>
          <w:rFonts w:hint="cs"/>
          <w:rtl/>
          <w:lang w:bidi="ar-EG"/>
        </w:rPr>
        <w:t>مكافحة الاتجار، بما في ذلك الهجرة المأمونة. وقد عيّن منسقين لهذه المسألة في المكاتب الإقليمية للجنة الوطنية لحقوق الإنسان.</w:t>
      </w:r>
    </w:p>
    <w:p w:rsidR="000B7434" w:rsidRPr="00EC4329" w:rsidRDefault="0075177C" w:rsidP="0075177C">
      <w:pPr>
        <w:pStyle w:val="SingleTxtGA"/>
        <w:rPr>
          <w:rFonts w:hint="cs"/>
          <w:rtl/>
          <w:lang w:bidi="ar-EG"/>
        </w:rPr>
      </w:pPr>
      <w:r>
        <w:rPr>
          <w:rFonts w:hint="cs"/>
          <w:rtl/>
          <w:lang w:bidi="ar-EG"/>
        </w:rPr>
        <w:t>85</w:t>
      </w:r>
      <w:r w:rsidR="000B7434" w:rsidRPr="00EC4329">
        <w:rPr>
          <w:rFonts w:hint="cs"/>
          <w:rtl/>
          <w:lang w:bidi="ar-EG"/>
        </w:rPr>
        <w:t>-</w:t>
      </w:r>
      <w:r w:rsidR="000B7434" w:rsidRPr="00EC4329">
        <w:rPr>
          <w:rFonts w:hint="cs"/>
          <w:rtl/>
          <w:lang w:bidi="ar-EG"/>
        </w:rPr>
        <w:tab/>
        <w:t>وكانت الحكومة قد وضعت خطة العمل الوطنية لتنفيذ الاتفاقية في عام 2004. وتمثل مكافحة الاتجار بالنساء واحداً من 19 مجالاً موصى بها للعمل. والأنشطة/البرامج الرئيسية المتصلة بمكافحة الاتجار بالمرأة تشمل ما يلي:</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تحديد عدد الناجيات من الاتجار بالأشخاص في مختلف المدن/البلدان؛</w:t>
      </w:r>
    </w:p>
    <w:p w:rsidR="000B7434" w:rsidRPr="00B87BF2" w:rsidRDefault="000B7434" w:rsidP="0075177C">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 xml:space="preserve">وإعادة الناجيات من الاتجار بالأشخاص </w:t>
      </w:r>
      <w:r w:rsidR="0075177C" w:rsidRPr="00B87BF2">
        <w:rPr>
          <w:rFonts w:hint="cs"/>
          <w:w w:val="100"/>
          <w:kern w:val="0"/>
          <w:rtl/>
          <w:lang w:bidi="ar-EG"/>
        </w:rPr>
        <w:t>إ</w:t>
      </w:r>
      <w:r w:rsidRPr="00B87BF2">
        <w:rPr>
          <w:rFonts w:hint="cs"/>
          <w:w w:val="100"/>
          <w:kern w:val="0"/>
          <w:rtl/>
          <w:lang w:bidi="ar-EG"/>
        </w:rPr>
        <w:t>لى الوطن بمساعدة البعثات الدبلوماسية؛</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وإنشاء عدد وافر من مراكز إعادة التأهيل للناجيات من الاتجار وتزويدهن بخدمات إعادة الإدماج؛</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وتوفير فرص العمالة للناجيات من الاتجار في مراكز إعادة التأهيل بإنشاء صناعات عامة وخاصة وتوسيعها وتنميتها؛</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وكفالة التزام الوزارات والإدارات المعنية بأن تنفذ بفعالية خطة العمل الوطنية لمكافحة الاتجار بالنساء والأطفال لأغراض الاستغلال الجنسي والاستغلال التجاري</w:t>
      </w:r>
      <w:r w:rsidRPr="00B87BF2">
        <w:rPr>
          <w:rFonts w:hint="eastAsia"/>
          <w:w w:val="100"/>
          <w:kern w:val="0"/>
          <w:rtl/>
          <w:lang w:bidi="ar-EG"/>
        </w:rPr>
        <w:t> </w:t>
      </w:r>
      <w:r w:rsidRPr="00B87BF2">
        <w:rPr>
          <w:rFonts w:hint="cs"/>
          <w:w w:val="100"/>
          <w:kern w:val="0"/>
          <w:rtl/>
          <w:lang w:bidi="ar-EG"/>
        </w:rPr>
        <w:t>الجنسي؛</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وكفالة الإنفاذ الفعال لقانون مكافحة الاتجار عن طريق تعبئة مختلف أصحاب المصلحة، بما</w:t>
      </w:r>
      <w:r w:rsidRPr="00B87BF2">
        <w:rPr>
          <w:rFonts w:hint="eastAsia"/>
          <w:w w:val="100"/>
          <w:kern w:val="0"/>
          <w:rtl/>
          <w:lang w:bidi="ar-EG"/>
        </w:rPr>
        <w:t> </w:t>
      </w:r>
      <w:r w:rsidRPr="00B87BF2">
        <w:rPr>
          <w:rFonts w:hint="cs"/>
          <w:w w:val="100"/>
          <w:kern w:val="0"/>
          <w:rtl/>
          <w:lang w:bidi="ar-EG"/>
        </w:rPr>
        <w:t>في ذلك المنظمات الحكومية والتنظيمات المجتمعية القاعدة؛</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وتنفيذ برامج الحد من الفقر في المناطق المعرضة أكثر من غيرها للاتجار، وزيادة فرص كسب أسباب المعيشة لسكانها؛</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وتحديد مجالات التعاون على الصعيدين الثنائي والمتعدد الأطراف، بغية السيطرة على الاتجار عبر الحدود؛</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وإعداد ونشر تقرير وطني عن حالة الاتجار بالأشخاص بنيبال كل سنة؛</w:t>
      </w:r>
    </w:p>
    <w:p w:rsidR="000B7434" w:rsidRPr="00B87BF2"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وجعل إدارة العمل في وزارة العمل والنقل، وإدارة توظيف السكان المحليين، وشرطة نيبال مسؤولة عن مكافحة الاتجار بالأشخاص فيما يتصل بالتوظيف الأجنبي للأيدي</w:t>
      </w:r>
      <w:r w:rsidRPr="00B87BF2">
        <w:rPr>
          <w:rFonts w:hint="eastAsia"/>
          <w:w w:val="100"/>
          <w:kern w:val="0"/>
          <w:rtl/>
          <w:lang w:bidi="ar-EG"/>
        </w:rPr>
        <w:t> </w:t>
      </w:r>
      <w:r w:rsidRPr="00B87BF2">
        <w:rPr>
          <w:rFonts w:hint="cs"/>
          <w:w w:val="100"/>
          <w:kern w:val="0"/>
          <w:rtl/>
          <w:lang w:bidi="ar-EG"/>
        </w:rPr>
        <w:t>العاملة.</w:t>
      </w:r>
    </w:p>
    <w:p w:rsidR="000B7434" w:rsidRPr="00EC4329" w:rsidRDefault="000B7434" w:rsidP="0075177C">
      <w:pPr>
        <w:pStyle w:val="SingleTxtGA"/>
        <w:rPr>
          <w:rFonts w:hint="cs"/>
          <w:rtl/>
          <w:lang w:bidi="ar-EG"/>
        </w:rPr>
      </w:pPr>
      <w:r w:rsidRPr="00EC4329">
        <w:rPr>
          <w:rFonts w:hint="cs"/>
          <w:rtl/>
          <w:lang w:bidi="ar-EG"/>
        </w:rPr>
        <w:t>86-</w:t>
      </w:r>
      <w:r w:rsidRPr="00EC4329">
        <w:rPr>
          <w:rFonts w:hint="cs"/>
          <w:rtl/>
          <w:lang w:bidi="ar-EG"/>
        </w:rPr>
        <w:tab/>
        <w:t>وساهم عدد من المنظمات غير الحكومية والمنظمات الدولية غير الحكومية ووكالات الأمم المتحدة التي ورد ذكرها في التقارير السابقة في برامج منع الاتجار بالأشخاص والقضاء عليه عن طريق برامج مختلفة. وقدمت الوزارات والإدارات المعنية بعض البرامج لمنع هذا الاتجار، ومن البرامج الرئيسية المضطلع بها في هذا المجال المنح الدراسية للطلاب من الداليت وللفتيات الخاضعات لبرنامج وزارة الصحة والسكان للسيطرة على فيروس نقص المناعة البشرية/الإيدز، والعمل اللامركزي لصالح الطفل والمرأة التابع لإدارة التنمية والمرأة في وزارة التنمية المحلية، وبرنامج إصلاح الأراضي وإعادة التأهيل التابع لوزارة إصلاح الأراضي وإدارتها للعمال الذين تم إعتاقهم من ربق عمل السخرة (</w:t>
      </w:r>
      <w:r w:rsidRPr="00EC4329">
        <w:rPr>
          <w:rFonts w:hint="cs"/>
          <w:i/>
          <w:iCs/>
          <w:rtl/>
          <w:lang w:bidi="ar-EG"/>
        </w:rPr>
        <w:t>الكامايا</w:t>
      </w:r>
      <w:r w:rsidRPr="00EC4329">
        <w:rPr>
          <w:rFonts w:hint="cs"/>
          <w:rtl/>
          <w:lang w:bidi="ar-EG"/>
        </w:rPr>
        <w:t>)</w:t>
      </w:r>
      <w:r>
        <w:rPr>
          <w:rFonts w:hint="cs"/>
          <w:rtl/>
          <w:lang w:bidi="ar-EG"/>
        </w:rPr>
        <w:t>،</w:t>
      </w:r>
      <w:r w:rsidRPr="00EC4329">
        <w:rPr>
          <w:rFonts w:hint="cs"/>
          <w:rtl/>
          <w:lang w:bidi="ar-EG"/>
        </w:rPr>
        <w:t xml:space="preserve"> وبرامج التخطيط الاستراتيجي للحد من الفقر التابعة لصندوق التخفيف من حدة الفقر.</w:t>
      </w:r>
    </w:p>
    <w:p w:rsidR="000B7434" w:rsidRPr="00EC4329" w:rsidRDefault="0075177C" w:rsidP="0075177C">
      <w:pPr>
        <w:pStyle w:val="SingleTxtGA"/>
        <w:rPr>
          <w:rFonts w:hint="cs"/>
          <w:rtl/>
          <w:lang w:bidi="ar-EG"/>
        </w:rPr>
      </w:pPr>
      <w:r>
        <w:rPr>
          <w:rFonts w:hint="cs"/>
          <w:rtl/>
          <w:lang w:bidi="ar-EG"/>
        </w:rPr>
        <w:t>87</w:t>
      </w:r>
      <w:r w:rsidR="000B7434" w:rsidRPr="00EC4329">
        <w:rPr>
          <w:rFonts w:hint="cs"/>
          <w:rtl/>
          <w:lang w:bidi="ar-EG"/>
        </w:rPr>
        <w:t>-</w:t>
      </w:r>
      <w:r w:rsidR="000B7434" w:rsidRPr="00EC4329">
        <w:rPr>
          <w:rFonts w:hint="cs"/>
          <w:rtl/>
          <w:lang w:bidi="ar-EG"/>
        </w:rPr>
        <w:tab/>
        <w:t>وتؤدي وزارة شؤون المرأة دوراً رئيسياً في رسم السياسة في مجال مكافحة الاتجار بالأشخاص وتضع ترتيبات مؤسسية لهذه المكافحة. وهناك سياسة وخطة عمل وطنيتان لمنع الاتجار بالنساء والفتيات ومكافحته أعدتا في 1999 وجرى تشكيل فريق عمل في كل من المقاطعات ا</w:t>
      </w:r>
      <w:r>
        <w:rPr>
          <w:rFonts w:hint="cs"/>
          <w:rtl/>
          <w:lang w:bidi="ar-EG"/>
        </w:rPr>
        <w:t>ﻟ</w:t>
      </w:r>
      <w:r w:rsidR="000B7434" w:rsidRPr="00EC4329">
        <w:rPr>
          <w:rFonts w:hint="cs"/>
          <w:rtl/>
          <w:lang w:bidi="ar-EG"/>
        </w:rPr>
        <w:t xml:space="preserve"> 26 التي عُرِّفت بوصفها الأكثر ضعفاً من حيث مناهضة الاتجار بالأشخاص. وهذه المقاطعات هي، جابا، وسونساري، ومورانغ، وسارلاهي، وماهوتاري، ودانوسا، وأُدايابور، وراميتشهاب، وسيندولي، وكافريبالانتشوك، وسيندوبالتشوك، وكاتماندو، ولاليتبور، ونوواكوت، وراسوا، ودادينغ، وغوركا، وكاسكي، وماكاوانبور، وبارسا، وتشيتوان، وناوالبارا</w:t>
      </w:r>
      <w:r w:rsidR="008B03DA">
        <w:rPr>
          <w:rFonts w:hint="cs"/>
          <w:rtl/>
          <w:lang w:bidi="ar-EG"/>
        </w:rPr>
        <w:t>سي، وروبانديهي، ودانغ، وبانكي و</w:t>
      </w:r>
      <w:r w:rsidR="000B7434" w:rsidRPr="00EC4329">
        <w:rPr>
          <w:rFonts w:hint="cs"/>
          <w:rtl/>
          <w:lang w:bidi="ar-EG"/>
        </w:rPr>
        <w:t>كايلالي.</w:t>
      </w:r>
    </w:p>
    <w:p w:rsidR="000B7434" w:rsidRPr="00EC4329" w:rsidRDefault="0075177C" w:rsidP="0075177C">
      <w:pPr>
        <w:pStyle w:val="SingleTxtGA"/>
        <w:rPr>
          <w:rFonts w:hint="cs"/>
          <w:rtl/>
          <w:lang w:bidi="ar-EG"/>
        </w:rPr>
      </w:pPr>
      <w:r>
        <w:rPr>
          <w:rFonts w:hint="cs"/>
          <w:rtl/>
          <w:lang w:bidi="ar-EG"/>
        </w:rPr>
        <w:t>88</w:t>
      </w:r>
      <w:r w:rsidR="000B7434" w:rsidRPr="00EC4329">
        <w:rPr>
          <w:rFonts w:hint="cs"/>
          <w:rtl/>
          <w:lang w:bidi="ar-EG"/>
        </w:rPr>
        <w:t>-</w:t>
      </w:r>
      <w:r w:rsidR="000B7434" w:rsidRPr="00EC4329">
        <w:rPr>
          <w:rFonts w:hint="cs"/>
          <w:rtl/>
          <w:lang w:bidi="ar-EG"/>
        </w:rPr>
        <w:tab/>
        <w:t>وخصصت الحكومة ميزانية إضافية قدرها 14 مليون روبية في السنة</w:t>
      </w:r>
      <w:r w:rsidR="00B87BF2">
        <w:rPr>
          <w:rFonts w:hint="cs"/>
          <w:rtl/>
          <w:lang w:bidi="ar-EG"/>
        </w:rPr>
        <w:t xml:space="preserve">             </w:t>
      </w:r>
      <w:r w:rsidR="000B7434" w:rsidRPr="00EC4329">
        <w:rPr>
          <w:rFonts w:hint="cs"/>
          <w:rtl/>
          <w:lang w:bidi="ar-EG"/>
        </w:rPr>
        <w:t xml:space="preserve"> المالية 2008/2009 لمقاطعات سيندوبالتشوك، وكاتماندو، وكيلالي، المعرضة للاتجار بالأشخاص لغرض إعادة تأهيل النساء وإعادة إدماجهن في أسرهن. وتتولى وزارة شؤون المرأة تنفيذ البرنامج في شراكة مع منظمات غير حكومية مثل الزراعة الحرجية والصحة الأساسية والتعاون، </w:t>
      </w:r>
      <w:r w:rsidR="000B7434" w:rsidRPr="00EC4329">
        <w:rPr>
          <w:rFonts w:hint="cs"/>
          <w:i/>
          <w:iCs/>
          <w:rtl/>
          <w:lang w:bidi="ar-EG"/>
        </w:rPr>
        <w:t>وشاكتي ساموها</w:t>
      </w:r>
      <w:r w:rsidR="008B03DA">
        <w:rPr>
          <w:rFonts w:hint="cs"/>
          <w:rtl/>
          <w:lang w:bidi="ar-EG"/>
        </w:rPr>
        <w:t xml:space="preserve"> و</w:t>
      </w:r>
      <w:r w:rsidR="000B7434" w:rsidRPr="00EC4329">
        <w:rPr>
          <w:rFonts w:hint="cs"/>
          <w:i/>
          <w:iCs/>
          <w:rtl/>
          <w:lang w:bidi="ar-EG"/>
        </w:rPr>
        <w:t>سيرجانشيل ساماج</w:t>
      </w:r>
      <w:r w:rsidR="000B7434" w:rsidRPr="00EC4329">
        <w:rPr>
          <w:rFonts w:hint="cs"/>
          <w:rtl/>
          <w:lang w:bidi="ar-EG"/>
        </w:rPr>
        <w:t>. وتم بموجب هذا البرنامج الذي تديره الحكومة، إعادة تأهيل 56 امرأة من ضحايا الاتجار في المراكز الثلاثة السالفة الذكر. ووفقاً لبرنامج شؤون المرأة، سيتم خلال عام 2009 إنشاء أربعة مراكز إعادة تأهيل أخرى في</w:t>
      </w:r>
      <w:r w:rsidR="000B7434">
        <w:rPr>
          <w:rFonts w:hint="eastAsia"/>
          <w:rtl/>
          <w:lang w:bidi="ar-EG"/>
        </w:rPr>
        <w:t> </w:t>
      </w:r>
      <w:r w:rsidR="000B7434" w:rsidRPr="00EC4329">
        <w:rPr>
          <w:rFonts w:hint="cs"/>
          <w:rtl/>
          <w:lang w:bidi="ar-EG"/>
        </w:rPr>
        <w:t>مقاطعات جابا، وبارسا، وروبانديهي، وبانكي.</w:t>
      </w:r>
    </w:p>
    <w:p w:rsidR="000B7434" w:rsidRPr="00EC4329" w:rsidRDefault="0075177C" w:rsidP="0075177C">
      <w:pPr>
        <w:pStyle w:val="SingleTxtGA"/>
        <w:rPr>
          <w:rFonts w:hint="cs"/>
          <w:rtl/>
          <w:lang w:bidi="ar-EG"/>
        </w:rPr>
      </w:pPr>
      <w:r>
        <w:rPr>
          <w:rFonts w:hint="cs"/>
          <w:rtl/>
          <w:lang w:bidi="ar-EG"/>
        </w:rPr>
        <w:t>89</w:t>
      </w:r>
      <w:r w:rsidR="000B7434" w:rsidRPr="00EC4329">
        <w:rPr>
          <w:rFonts w:hint="cs"/>
          <w:rtl/>
          <w:lang w:bidi="ar-EG"/>
        </w:rPr>
        <w:t>-</w:t>
      </w:r>
      <w:r w:rsidR="000B7434" w:rsidRPr="00EC4329">
        <w:rPr>
          <w:rFonts w:hint="cs"/>
          <w:rtl/>
          <w:lang w:bidi="ar-EG"/>
        </w:rPr>
        <w:tab/>
        <w:t>وقد اتخذت وزارة شؤون المرأة وإدارة تنمية المرأة زمام المبادرة في تنظيم برامج توعية عامة مختلفة بالتعاون مع المنظمات غير الحكومية العاملة في هذا المجال. وإلى جانب إعادة التأهيل، تشمل البرامج المشورة والتشاور، والتدريب المهني، وبناء القدرات، وتنمية الوح</w:t>
      </w:r>
      <w:r w:rsidR="00E2077A">
        <w:rPr>
          <w:rFonts w:hint="cs"/>
          <w:rtl/>
          <w:lang w:bidi="ar-EG"/>
        </w:rPr>
        <w:t>دة</w:t>
      </w:r>
      <w:r w:rsidR="000B7434" w:rsidRPr="00EC4329">
        <w:rPr>
          <w:rFonts w:hint="cs"/>
          <w:rtl/>
          <w:lang w:bidi="ar-EG"/>
        </w:rPr>
        <w:t xml:space="preserve"> القيادية، والتعبئة المجتمعية، والمساعدة القانونية، وإعادة الإدماج، والتعليم، والتوعية بشأن فيروس نقص المناعة البشرية/الإيدز وما إلى ذلك. وتنظم وزارة شؤون المرأة سنوياً برامج توعية بمناسبة </w:t>
      </w:r>
      <w:r>
        <w:rPr>
          <w:rtl/>
          <w:lang w:bidi="ar-EG"/>
        </w:rPr>
        <w:t>"</w:t>
      </w:r>
      <w:r w:rsidR="000B7434" w:rsidRPr="00EC4329">
        <w:rPr>
          <w:rFonts w:hint="cs"/>
          <w:rtl/>
          <w:lang w:bidi="ar-EG"/>
        </w:rPr>
        <w:t>اليوم الوطني لمكافحة الاتجار بالأشخاص</w:t>
      </w:r>
      <w:r>
        <w:rPr>
          <w:rtl/>
          <w:lang w:bidi="ar-EG"/>
        </w:rPr>
        <w:t>"</w:t>
      </w:r>
      <w:r w:rsidR="000B7434" w:rsidRPr="00EC4329">
        <w:rPr>
          <w:rFonts w:hint="cs"/>
          <w:rtl/>
          <w:lang w:bidi="ar-EG"/>
        </w:rPr>
        <w:t>. وكان لهذا البرنامج تأثيرٌ كبير نظراً إلى أنه يُنقل نقلاً حياً طيلة النهار لكل أرجاء نيبال بواسطة وسائط الإعلام الوطنية وغيرها.</w:t>
      </w:r>
    </w:p>
    <w:p w:rsidR="000B7434" w:rsidRPr="00EC4329" w:rsidRDefault="0075177C" w:rsidP="0075177C">
      <w:pPr>
        <w:pStyle w:val="SingleTxtGA"/>
        <w:rPr>
          <w:rFonts w:hint="cs"/>
          <w:rtl/>
          <w:lang w:bidi="ar-EG"/>
        </w:rPr>
      </w:pPr>
      <w:r>
        <w:rPr>
          <w:rFonts w:hint="cs"/>
          <w:rtl/>
          <w:lang w:bidi="ar-EG"/>
        </w:rPr>
        <w:t>90</w:t>
      </w:r>
      <w:r w:rsidR="000B7434" w:rsidRPr="00EC4329">
        <w:rPr>
          <w:rFonts w:hint="cs"/>
          <w:rtl/>
          <w:lang w:bidi="ar-EG"/>
        </w:rPr>
        <w:t>-</w:t>
      </w:r>
      <w:r w:rsidR="000B7434" w:rsidRPr="00EC4329">
        <w:rPr>
          <w:rFonts w:hint="cs"/>
          <w:rtl/>
          <w:lang w:bidi="ar-EG"/>
        </w:rPr>
        <w:tab/>
        <w:t xml:space="preserve">وقد أظهرت المحكمة العليا حرصها على اتخاذ إجراءات فعالة في قضية </w:t>
      </w:r>
      <w:r w:rsidR="000B7434" w:rsidRPr="00EC4329">
        <w:rPr>
          <w:rFonts w:hint="cs"/>
          <w:i/>
          <w:iCs/>
          <w:rtl/>
          <w:lang w:bidi="ar-EG"/>
        </w:rPr>
        <w:t>سوريش لاما وآخرين</w:t>
      </w:r>
      <w:r w:rsidR="000B7434" w:rsidRPr="00EC4329">
        <w:rPr>
          <w:rFonts w:hint="cs"/>
          <w:rtl/>
          <w:lang w:bidi="ar-EG"/>
        </w:rPr>
        <w:t xml:space="preserve"> ضد </w:t>
      </w:r>
      <w:r w:rsidR="000B7434" w:rsidRPr="00EC4329">
        <w:rPr>
          <w:rFonts w:hint="cs"/>
          <w:i/>
          <w:iCs/>
          <w:rtl/>
          <w:lang w:bidi="ar-EG"/>
        </w:rPr>
        <w:t>حكومة جلالة الملك</w:t>
      </w:r>
      <w:r w:rsidR="000B7434" w:rsidRPr="00EC4329">
        <w:rPr>
          <w:rFonts w:hint="cs"/>
          <w:rtl/>
          <w:lang w:bidi="ar-EG"/>
        </w:rPr>
        <w:t xml:space="preserve"> حينما لاحظت بوضوح أنه </w:t>
      </w:r>
      <w:r>
        <w:rPr>
          <w:rtl/>
          <w:lang w:bidi="ar-EG"/>
        </w:rPr>
        <w:t>"</w:t>
      </w:r>
      <w:r w:rsidR="000B7434" w:rsidRPr="00EC4329">
        <w:rPr>
          <w:rFonts w:hint="cs"/>
          <w:rtl/>
          <w:lang w:bidi="ar-EG"/>
        </w:rPr>
        <w:t>على النقيض من الأفعال الجنائية الأخرى، قد لا يكون هناك شهود أو متفرجون في حالات الاستغلال الجنسي ضد المرأة. ولذلك فإن دليل الإثبات الرئيسي يكون الضحية والتقارير عن فحصها الجسدي . وتبين أن مرتكبي هذه الجريمة المنظمة هم أشخاص أذكياء ولكنهم مخادعون وأنانيون بينما الضحايا هن نساء/فتيات دون السن القانونية، وغير ناضجات، وأميات، وجاهلات. وهن لا</w:t>
      </w:r>
      <w:r w:rsidR="000B7434">
        <w:rPr>
          <w:rFonts w:hint="eastAsia"/>
          <w:rtl/>
          <w:lang w:bidi="ar-EG"/>
        </w:rPr>
        <w:t> </w:t>
      </w:r>
      <w:r w:rsidR="000B7434" w:rsidRPr="00EC4329">
        <w:rPr>
          <w:rFonts w:hint="cs"/>
          <w:rtl/>
          <w:lang w:bidi="ar-EG"/>
        </w:rPr>
        <w:t xml:space="preserve">يدركن أنّ لهن حقوقاً ويجهلن حقيقة أن ثمة حكماً قانونياً للإبلاغ عن مثل هذا الاستغلال الجنسي وحكماً آخر أيضاً بمعاقبة الجناة أو مرتكبي هذا الفعل. وينطوي الجانب الأكثر كآبة في هذا الصورة على جهل وفقر أسرة الضحية، إذ لا يستطيع أفراد هذه الأسرة، لشدة جشعهم وحبهم للمال الذي تجنيه ابنتهم، أن يفكروا في العواقب المحتملة التي يمكن أن تواجههم. إن إكراه النساء والفتيات على ممارسة البغاء هو جريمة نكراء تستحق الشجب. وهذا ليس شاغلاً وطنياً فحسب ولكنه أيضاً فعلٌ </w:t>
      </w:r>
      <w:r w:rsidR="000B7434">
        <w:rPr>
          <w:rFonts w:hint="cs"/>
          <w:rtl/>
          <w:lang w:bidi="ar-EG"/>
        </w:rPr>
        <w:t>معرّف دوليا بأنه جريمة فاحشة</w:t>
      </w:r>
      <w:r>
        <w:rPr>
          <w:rtl/>
          <w:lang w:bidi="ar-EG"/>
        </w:rPr>
        <w:t>"</w:t>
      </w:r>
      <w:r w:rsidR="000B7434">
        <w:rPr>
          <w:rFonts w:hint="cs"/>
          <w:rtl/>
          <w:lang w:bidi="ar-EG"/>
        </w:rPr>
        <w:t>.</w:t>
      </w:r>
    </w:p>
    <w:p w:rsidR="000B7434" w:rsidRPr="00EC4329" w:rsidRDefault="000B7434" w:rsidP="00B87BF2">
      <w:pPr>
        <w:pStyle w:val="H23GA"/>
        <w:rPr>
          <w:rFonts w:hint="cs"/>
          <w:rtl/>
          <w:lang w:bidi="ar-EG"/>
        </w:rPr>
      </w:pPr>
      <w:r>
        <w:rPr>
          <w:rFonts w:hint="cs"/>
          <w:rtl/>
          <w:lang w:bidi="ar-EG"/>
        </w:rPr>
        <w:tab/>
      </w:r>
      <w:r>
        <w:rPr>
          <w:rFonts w:hint="cs"/>
          <w:rtl/>
          <w:lang w:bidi="ar-EG"/>
        </w:rPr>
        <w:tab/>
      </w:r>
      <w:r w:rsidRPr="00EC4329">
        <w:rPr>
          <w:rFonts w:hint="cs"/>
          <w:rtl/>
          <w:lang w:bidi="ar-EG"/>
        </w:rPr>
        <w:t>تحديات المستقبل</w:t>
      </w:r>
    </w:p>
    <w:p w:rsidR="000B7434" w:rsidRPr="00EC4329" w:rsidRDefault="000B7434" w:rsidP="0075177C">
      <w:pPr>
        <w:pStyle w:val="H23GA"/>
        <w:rPr>
          <w:rFonts w:hint="cs"/>
          <w:rtl/>
          <w:lang w:bidi="ar-EG"/>
        </w:rPr>
      </w:pPr>
      <w:r>
        <w:rPr>
          <w:rFonts w:hint="cs"/>
          <w:rtl/>
          <w:lang w:bidi="ar-EG"/>
        </w:rPr>
        <w:tab/>
      </w:r>
      <w:r>
        <w:rPr>
          <w:rFonts w:hint="cs"/>
          <w:rtl/>
          <w:lang w:bidi="ar-EG"/>
        </w:rPr>
        <w:tab/>
      </w:r>
      <w:r w:rsidRPr="00EC4329">
        <w:rPr>
          <w:rFonts w:hint="cs"/>
          <w:rtl/>
          <w:lang w:bidi="ar-EG"/>
        </w:rPr>
        <w:t>بيانات إحصائية</w:t>
      </w:r>
    </w:p>
    <w:p w:rsidR="000B7434" w:rsidRPr="00EC4329" w:rsidRDefault="0075177C" w:rsidP="0075177C">
      <w:pPr>
        <w:pStyle w:val="SingleTxtGA"/>
        <w:rPr>
          <w:rFonts w:hint="cs"/>
          <w:rtl/>
          <w:lang w:bidi="ar-EG"/>
        </w:rPr>
      </w:pPr>
      <w:r>
        <w:rPr>
          <w:rFonts w:hint="cs"/>
          <w:rtl/>
          <w:lang w:bidi="ar-EG"/>
        </w:rPr>
        <w:t>91</w:t>
      </w:r>
      <w:r w:rsidR="000B7434" w:rsidRPr="00EC4329">
        <w:rPr>
          <w:rFonts w:hint="cs"/>
          <w:rtl/>
          <w:lang w:bidi="ar-EG"/>
        </w:rPr>
        <w:t>-</w:t>
      </w:r>
      <w:r w:rsidR="000B7434" w:rsidRPr="00EC4329">
        <w:rPr>
          <w:rFonts w:hint="cs"/>
          <w:rtl/>
          <w:lang w:bidi="ar-EG"/>
        </w:rPr>
        <w:tab/>
        <w:t>تنطوي البيانات الإحصائية عن ضحايا الاتجار بالأشخاص على تباين واسع</w:t>
      </w:r>
      <w:r w:rsidR="000B7434">
        <w:rPr>
          <w:rFonts w:hint="cs"/>
          <w:rtl/>
          <w:lang w:bidi="ar-EG"/>
        </w:rPr>
        <w:t>،</w:t>
      </w:r>
      <w:r w:rsidR="000B7434" w:rsidRPr="00EC4329">
        <w:rPr>
          <w:rFonts w:hint="cs"/>
          <w:rtl/>
          <w:lang w:bidi="ar-EG"/>
        </w:rPr>
        <w:t xml:space="preserve"> فالأرقام المقتبسة في</w:t>
      </w:r>
      <w:r w:rsidR="000B7434" w:rsidRPr="00EC4329">
        <w:rPr>
          <w:rFonts w:hint="eastAsia"/>
          <w:rtl/>
          <w:lang w:bidi="ar-EG"/>
        </w:rPr>
        <w:t> </w:t>
      </w:r>
      <w:r w:rsidR="000B7434" w:rsidRPr="00EC4329">
        <w:rPr>
          <w:rFonts w:hint="cs"/>
          <w:rtl/>
          <w:lang w:bidi="ar-EG"/>
        </w:rPr>
        <w:t>أحد التقارير لا تتطابق مع أرقام تقرير آخر. ويبدو أن ثمة عوامل تشكل السبب المحتمل للإبلاغ الناقص عن هذه الجريمة، مثل خشية الوصمة الاجتماعية، وتدني مستوى الوعي، وما للمتجرين بالأشخاص من شبكات وروابط قوية على مختلف المستويات.</w:t>
      </w:r>
    </w:p>
    <w:p w:rsidR="000B7434" w:rsidRPr="00EC4329" w:rsidRDefault="0075177C" w:rsidP="0075177C">
      <w:pPr>
        <w:pStyle w:val="H23GA"/>
        <w:rPr>
          <w:rFonts w:hint="cs"/>
          <w:rtl/>
          <w:lang w:bidi="ar-EG"/>
        </w:rPr>
      </w:pPr>
      <w:r>
        <w:rPr>
          <w:rFonts w:hint="cs"/>
          <w:rtl/>
          <w:lang w:bidi="ar-EG"/>
        </w:rPr>
        <w:tab/>
      </w:r>
      <w:r>
        <w:rPr>
          <w:rFonts w:hint="cs"/>
          <w:rtl/>
          <w:lang w:bidi="ar-EG"/>
        </w:rPr>
        <w:tab/>
      </w:r>
      <w:r w:rsidR="000B7434" w:rsidRPr="00EC4329">
        <w:rPr>
          <w:rFonts w:hint="cs"/>
          <w:rtl/>
          <w:lang w:bidi="ar-EG"/>
        </w:rPr>
        <w:t>الاتجار الداخلي بالأشخاص</w:t>
      </w:r>
    </w:p>
    <w:p w:rsidR="000B7434" w:rsidRPr="00EC4329" w:rsidRDefault="0075177C" w:rsidP="0075177C">
      <w:pPr>
        <w:pStyle w:val="SingleTxtGA"/>
        <w:rPr>
          <w:rFonts w:hint="cs"/>
          <w:rtl/>
          <w:lang w:bidi="ar-EG"/>
        </w:rPr>
      </w:pPr>
      <w:r>
        <w:rPr>
          <w:rFonts w:hint="cs"/>
          <w:rtl/>
          <w:lang w:bidi="ar-EG"/>
        </w:rPr>
        <w:t>92</w:t>
      </w:r>
      <w:r w:rsidR="000B7434" w:rsidRPr="00EC4329">
        <w:rPr>
          <w:rFonts w:hint="cs"/>
          <w:rtl/>
          <w:lang w:bidi="ar-EG"/>
        </w:rPr>
        <w:t>-</w:t>
      </w:r>
      <w:r w:rsidR="000B7434" w:rsidRPr="00EC4329">
        <w:rPr>
          <w:rFonts w:hint="cs"/>
          <w:rtl/>
          <w:lang w:bidi="ar-EG"/>
        </w:rPr>
        <w:tab/>
        <w:t xml:space="preserve">وجدت دراسة أجرتها وزارة شؤون المرأة أن ما يقدر بنحو 000 40 امرأة عاملة تتراوح أعمارهن بين 12 </w:t>
      </w:r>
      <w:r w:rsidR="008B03DA">
        <w:rPr>
          <w:rFonts w:hint="cs"/>
          <w:rtl/>
          <w:lang w:bidi="ar-EG"/>
        </w:rPr>
        <w:t>و</w:t>
      </w:r>
      <w:r w:rsidR="000B7434" w:rsidRPr="00EC4329">
        <w:rPr>
          <w:rFonts w:hint="cs"/>
          <w:rtl/>
          <w:lang w:bidi="ar-EG"/>
        </w:rPr>
        <w:t>30 سنة يعملن في 200 1 من حانات ومطاعم الرقص وأماكن التدليك في وادي كاتماندو، وأنهن يُكرهن على العمل حتى وقت متأخر جداً من الليل وعلى ممارسة أنشطة جنسية دون إرادتهن حرصاً على إرضاء الزبائن. ووجدت الدراسة أن تينك العاملات يتعرضن للاتجار بالأشخاص، نظراً إلى أن 52.2 في المائة منهن أفدن بأن أشخاصاً يمارسون القوادة اتصلوا بهن بعروض مع تأكيدات بفرص عمل أفضل في</w:t>
      </w:r>
      <w:r w:rsidR="000B7434" w:rsidRPr="00EC4329">
        <w:rPr>
          <w:rFonts w:hint="eastAsia"/>
          <w:rtl/>
          <w:lang w:bidi="ar-EG"/>
        </w:rPr>
        <w:t> </w:t>
      </w:r>
      <w:r w:rsidR="000B7434" w:rsidRPr="00EC4329">
        <w:rPr>
          <w:rFonts w:hint="cs"/>
          <w:rtl/>
          <w:lang w:bidi="ar-EG"/>
        </w:rPr>
        <w:t>هونغ كونغ، والمملكة العربية السعودية، ودبي.</w:t>
      </w:r>
    </w:p>
    <w:p w:rsidR="000B7434" w:rsidRPr="00EC4329" w:rsidRDefault="000B7434" w:rsidP="0075177C">
      <w:pPr>
        <w:pStyle w:val="H23GA"/>
        <w:rPr>
          <w:rFonts w:hint="cs"/>
          <w:rtl/>
          <w:lang w:bidi="ar-EG"/>
        </w:rPr>
      </w:pPr>
      <w:r>
        <w:rPr>
          <w:rFonts w:hint="cs"/>
          <w:rtl/>
          <w:lang w:bidi="ar-EG"/>
        </w:rPr>
        <w:tab/>
      </w:r>
      <w:r>
        <w:rPr>
          <w:rFonts w:hint="cs"/>
          <w:rtl/>
          <w:lang w:bidi="ar-EG"/>
        </w:rPr>
        <w:tab/>
      </w:r>
      <w:r w:rsidRPr="00EC4329">
        <w:rPr>
          <w:rFonts w:hint="cs"/>
          <w:rtl/>
          <w:lang w:bidi="ar-EG"/>
        </w:rPr>
        <w:t>توقعات العمالة الأجنبية للمرأة</w:t>
      </w:r>
    </w:p>
    <w:p w:rsidR="000B7434" w:rsidRPr="00EC4329" w:rsidRDefault="0075177C" w:rsidP="000B7434">
      <w:pPr>
        <w:pStyle w:val="SingleTxt"/>
        <w:rPr>
          <w:rFonts w:hint="cs"/>
          <w:rtl/>
          <w:lang w:bidi="ar-EG"/>
        </w:rPr>
      </w:pPr>
      <w:r>
        <w:rPr>
          <w:rFonts w:hint="cs"/>
          <w:rtl/>
          <w:lang w:bidi="ar-EG"/>
        </w:rPr>
        <w:t>93</w:t>
      </w:r>
      <w:r w:rsidR="000B7434" w:rsidRPr="00EC4329">
        <w:rPr>
          <w:rFonts w:hint="cs"/>
          <w:rtl/>
          <w:lang w:bidi="ar-EG"/>
        </w:rPr>
        <w:t>-</w:t>
      </w:r>
      <w:r w:rsidR="000B7434" w:rsidRPr="00EC4329">
        <w:rPr>
          <w:rFonts w:hint="cs"/>
          <w:rtl/>
          <w:lang w:bidi="ar-EG"/>
        </w:rPr>
        <w:tab/>
        <w:t>في حالات عديدة تتحول هذه الفرص للعمل في الخارج إلى وقوع المرأة في فخ الاتجار بالأشخاص. وعدد النساء اللواتي يُردن العمل في الخارج، بسبب عدم وجود أعمال وفرص عمل مواتية داخل البلد، آخذٌ في الازدياد. ومن دواعي الأسف أنهن يفتقرن في أحيان كثيرة إلى معلومات أو اتصالات موثوقة، ولذلك فإن العديد منهن يقعن في حبائل القوادين وينتهين في بيوت الدعارة عبر الحدود.</w:t>
      </w:r>
    </w:p>
    <w:p w:rsidR="000B7434" w:rsidRPr="00EC4329" w:rsidRDefault="0075177C" w:rsidP="0075177C">
      <w:pPr>
        <w:pStyle w:val="H23GA"/>
        <w:rPr>
          <w:rFonts w:hint="cs"/>
          <w:rtl/>
          <w:lang w:bidi="ar-EG"/>
        </w:rPr>
      </w:pPr>
      <w:r>
        <w:rPr>
          <w:rFonts w:hint="cs"/>
          <w:rtl/>
          <w:lang w:bidi="ar-EG"/>
        </w:rPr>
        <w:tab/>
      </w:r>
      <w:r>
        <w:rPr>
          <w:rFonts w:hint="cs"/>
          <w:rtl/>
          <w:lang w:bidi="ar-EG"/>
        </w:rPr>
        <w:tab/>
      </w:r>
      <w:r w:rsidR="000B7434" w:rsidRPr="00EC4329">
        <w:rPr>
          <w:rFonts w:hint="cs"/>
          <w:rtl/>
          <w:lang w:bidi="ar-EG"/>
        </w:rPr>
        <w:t>الحدود المفتوحة</w:t>
      </w:r>
    </w:p>
    <w:p w:rsidR="000B7434" w:rsidRPr="00EC4329" w:rsidRDefault="0075177C" w:rsidP="0075177C">
      <w:pPr>
        <w:pStyle w:val="SingleTxtGA"/>
        <w:rPr>
          <w:rFonts w:hint="cs"/>
          <w:rtl/>
          <w:lang w:bidi="ar-EG"/>
        </w:rPr>
      </w:pPr>
      <w:r>
        <w:rPr>
          <w:rFonts w:hint="cs"/>
          <w:rtl/>
          <w:lang w:bidi="ar-EG"/>
        </w:rPr>
        <w:t>94</w:t>
      </w:r>
      <w:r w:rsidR="000B7434" w:rsidRPr="00EC4329">
        <w:rPr>
          <w:rFonts w:hint="cs"/>
          <w:rtl/>
          <w:lang w:bidi="ar-EG"/>
        </w:rPr>
        <w:t>-</w:t>
      </w:r>
      <w:r w:rsidR="000B7434" w:rsidRPr="00EC4329">
        <w:rPr>
          <w:rFonts w:hint="cs"/>
          <w:rtl/>
          <w:lang w:bidi="ar-EG"/>
        </w:rPr>
        <w:tab/>
        <w:t>تُيسّر الحدود المفتوحة بين نيبال والهند الحركة السهلة للناس والبضائع بين الدولتين المتجاورتين. وفي الوقت ذاته يسيء المتجرون بالأشخاص استخدام هذه الحدود، لنقل النساء والأطفال إلى الجانب الآخر من الحدود. وبغية الحفاظ على الاحتراز المتشدد ورصد التحركات عبر الحدود من أجل التدقيق في</w:t>
      </w:r>
      <w:r w:rsidR="000B7434" w:rsidRPr="00EC4329">
        <w:rPr>
          <w:rFonts w:hint="eastAsia"/>
          <w:rtl/>
          <w:lang w:bidi="ar-EG"/>
        </w:rPr>
        <w:t> </w:t>
      </w:r>
      <w:r w:rsidR="000B7434" w:rsidRPr="00EC4329">
        <w:rPr>
          <w:rFonts w:hint="cs"/>
          <w:rtl/>
          <w:lang w:bidi="ar-EG"/>
        </w:rPr>
        <w:t>الأنشطة المشبوهة والسيطرة عليها، تتعاون الحكومة أيضاً مع منظمات غير حكومية على المستويات المحلية.</w:t>
      </w:r>
    </w:p>
    <w:p w:rsidR="000B7434" w:rsidRPr="00EC4329" w:rsidRDefault="0075177C" w:rsidP="0075177C">
      <w:pPr>
        <w:pStyle w:val="H23GA"/>
        <w:rPr>
          <w:rFonts w:hint="cs"/>
          <w:rtl/>
          <w:lang w:bidi="ar-EG"/>
        </w:rPr>
      </w:pPr>
      <w:r>
        <w:rPr>
          <w:rFonts w:hint="cs"/>
          <w:rtl/>
          <w:lang w:bidi="ar-EG"/>
        </w:rPr>
        <w:tab/>
      </w:r>
      <w:r>
        <w:rPr>
          <w:rFonts w:hint="cs"/>
          <w:rtl/>
          <w:lang w:bidi="ar-EG"/>
        </w:rPr>
        <w:tab/>
      </w:r>
      <w:r w:rsidR="000B7434" w:rsidRPr="00EC4329">
        <w:rPr>
          <w:rFonts w:hint="cs"/>
          <w:rtl/>
          <w:lang w:bidi="ar-EG"/>
        </w:rPr>
        <w:t>افتتاح مراكز إعادة التأهيل</w:t>
      </w:r>
    </w:p>
    <w:p w:rsidR="000B7434" w:rsidRPr="00EC4329" w:rsidRDefault="0075177C" w:rsidP="0075177C">
      <w:pPr>
        <w:pStyle w:val="SingleTxtGA"/>
        <w:rPr>
          <w:rFonts w:hint="cs"/>
          <w:bCs/>
          <w:rtl/>
          <w:lang w:bidi="ar-EG"/>
        </w:rPr>
      </w:pPr>
      <w:r>
        <w:rPr>
          <w:rFonts w:hint="cs"/>
          <w:rtl/>
          <w:lang w:bidi="ar-EG"/>
        </w:rPr>
        <w:t>95</w:t>
      </w:r>
      <w:r w:rsidR="000B7434" w:rsidRPr="00EC4329">
        <w:rPr>
          <w:rFonts w:hint="cs"/>
          <w:rtl/>
          <w:lang w:bidi="ar-EG"/>
        </w:rPr>
        <w:t>-</w:t>
      </w:r>
      <w:r w:rsidR="000B7434" w:rsidRPr="00EC4329">
        <w:rPr>
          <w:rFonts w:hint="cs"/>
          <w:rtl/>
          <w:lang w:bidi="ar-EG"/>
        </w:rPr>
        <w:tab/>
        <w:t>تتولى إدارة تنمية المرأة، بتعليمات من وزارة شؤون المرأة، إدارة مراكز إعادة التأهيل التي تملكها الدولة في بعض المقاطعات. وفي السنة الماضية افتتحت مراكز من هذا القبيل في</w:t>
      </w:r>
      <w:r w:rsidR="000B7434">
        <w:rPr>
          <w:rFonts w:hint="eastAsia"/>
          <w:rtl/>
          <w:lang w:bidi="ar-EG"/>
        </w:rPr>
        <w:t> </w:t>
      </w:r>
      <w:r w:rsidR="000B7434" w:rsidRPr="00EC4329">
        <w:rPr>
          <w:rFonts w:hint="cs"/>
          <w:rtl/>
          <w:lang w:bidi="ar-EG"/>
        </w:rPr>
        <w:t xml:space="preserve">ثلاث مقاطعات (هي سيندوبالتشوك، وكايلالي، وكاتماندو). وهذه السنة، خصصت إدارة تنمية المرأة موارد لفتح مثل هذه المراكز في أربع مقاطعات </w:t>
      </w:r>
      <w:r>
        <w:rPr>
          <w:rFonts w:hint="cs"/>
          <w:rtl/>
          <w:lang w:bidi="ar-EG"/>
        </w:rPr>
        <w:t>أ</w:t>
      </w:r>
      <w:r w:rsidR="000B7434" w:rsidRPr="00EC4329">
        <w:rPr>
          <w:rFonts w:hint="cs"/>
          <w:rtl/>
          <w:lang w:bidi="ar-EG"/>
        </w:rPr>
        <w:t xml:space="preserve">خرى هي (جابا، وبراسا، وروباندي، وبانكي). وفيما عدا كاتماندو وسيندوبالتشوك، فإن المقاطعات الخمس الأخرى هي نقاط عبور حدودية. وقد وقّعت موظفات شؤون تنمية المرأة في هذه المقاطعات عقوداً لإدارة تلك المراكز مع منظمات غير حكومية. وفي أماكن أخرى، نشطت بعض المنظمات غير الحكومية العاملة في هذا المجال في دعم مبادرة الحكومة. وتعتبر منظمة </w:t>
      </w:r>
      <w:r w:rsidR="000B7434" w:rsidRPr="00EC4329">
        <w:rPr>
          <w:rFonts w:hint="cs"/>
          <w:i/>
          <w:iCs/>
          <w:rtl/>
          <w:lang w:bidi="ar-EG"/>
        </w:rPr>
        <w:t>مايتي</w:t>
      </w:r>
      <w:r w:rsidR="000B7434" w:rsidRPr="00EC4329">
        <w:rPr>
          <w:rFonts w:hint="cs"/>
          <w:rtl/>
          <w:lang w:bidi="ar-EG"/>
        </w:rPr>
        <w:t xml:space="preserve"> </w:t>
      </w:r>
      <w:r w:rsidR="000B7434" w:rsidRPr="00EC4329">
        <w:rPr>
          <w:rFonts w:hint="cs"/>
          <w:i/>
          <w:iCs/>
          <w:rtl/>
          <w:lang w:bidi="ar-EG"/>
        </w:rPr>
        <w:t>نيبال</w:t>
      </w:r>
      <w:r w:rsidR="000B7434" w:rsidRPr="00EC4329">
        <w:rPr>
          <w:rFonts w:hint="cs"/>
          <w:rtl/>
          <w:lang w:bidi="ar-EG"/>
        </w:rPr>
        <w:t>، التي تعمل بتعاون وثيق مع شرطة نيبال، من أنشط المنظمات في وقاية النساء والأطفال من الوقوع ضحايا الاتجار. وفي عام 2002 وحده أنقذت 754 ضحية في نقاط مختلفة على الحدود مع الهند. وبالمثل، تم في عام 2004 اعتراض 618 1 من النساء والأطفال في</w:t>
      </w:r>
      <w:r w:rsidR="000B7434">
        <w:rPr>
          <w:rFonts w:hint="eastAsia"/>
          <w:rtl/>
          <w:lang w:bidi="ar-EG"/>
        </w:rPr>
        <w:t> </w:t>
      </w:r>
      <w:r w:rsidR="000B7434" w:rsidRPr="00EC4329">
        <w:rPr>
          <w:rFonts w:hint="cs"/>
          <w:rtl/>
          <w:lang w:bidi="ar-EG"/>
        </w:rPr>
        <w:t xml:space="preserve">المجموع عند حدود </w:t>
      </w:r>
      <w:r w:rsidR="008B03DA">
        <w:rPr>
          <w:rFonts w:hint="cs"/>
          <w:rtl/>
          <w:lang w:bidi="ar-EG"/>
        </w:rPr>
        <w:t>نيبال مع الهند. وفي عامي 2005 و2006 كان هذا العدد هو 404 1 و</w:t>
      </w:r>
      <w:r w:rsidR="000B7434" w:rsidRPr="00EC4329">
        <w:rPr>
          <w:rFonts w:hint="cs"/>
          <w:rtl/>
          <w:lang w:bidi="ar-EG"/>
        </w:rPr>
        <w:t>398</w:t>
      </w:r>
      <w:r w:rsidR="000B7434" w:rsidRPr="00EC4329">
        <w:rPr>
          <w:rFonts w:hint="cs"/>
          <w:b/>
          <w:rtl/>
          <w:lang w:bidi="ar-EG"/>
        </w:rPr>
        <w:t> </w:t>
      </w:r>
      <w:r w:rsidR="000B7434" w:rsidRPr="00EC4329">
        <w:rPr>
          <w:rFonts w:hint="eastAsia"/>
          <w:b/>
          <w:rtl/>
          <w:lang w:bidi="ar-EG"/>
        </w:rPr>
        <w:t>2</w:t>
      </w:r>
      <w:r w:rsidR="000B7434" w:rsidRPr="00EC4329">
        <w:rPr>
          <w:rFonts w:hint="cs"/>
          <w:b/>
          <w:rtl/>
          <w:lang w:bidi="ar-EG"/>
        </w:rPr>
        <w:t xml:space="preserve"> على التوالي. وهناك أكثر من 10 منازل انتقالية تديرها منظمات غير حكومية في مدن نيبال الحدودية بهدف توفير الدعم المؤقت لمن يتم إنقاذهم من الأطفال والنساء. ومركز إعادة تأهيل المرأة هو واحد من هذه المنازل. ويدير المركز أيضاً منازل آمنة لكل من يتم إنقاذها من الاتجار بالأشخاص ولضحايا العنف القائم على أساس جنساني.</w:t>
      </w:r>
    </w:p>
    <w:p w:rsidR="000B7434" w:rsidRPr="00EC4329" w:rsidRDefault="0075177C" w:rsidP="0075177C">
      <w:pPr>
        <w:pStyle w:val="SingleTxtGA"/>
        <w:rPr>
          <w:rFonts w:hint="cs"/>
          <w:rtl/>
          <w:lang w:bidi="ar-EG"/>
        </w:rPr>
      </w:pPr>
      <w:r>
        <w:rPr>
          <w:rFonts w:hint="cs"/>
          <w:rtl/>
          <w:lang w:bidi="ar-EG"/>
        </w:rPr>
        <w:t>96</w:t>
      </w:r>
      <w:r w:rsidR="000B7434" w:rsidRPr="00EC4329">
        <w:rPr>
          <w:rFonts w:hint="cs"/>
          <w:rtl/>
          <w:lang w:bidi="ar-EG"/>
        </w:rPr>
        <w:t>-</w:t>
      </w:r>
      <w:r w:rsidR="000B7434" w:rsidRPr="00EC4329">
        <w:rPr>
          <w:rFonts w:hint="cs"/>
          <w:rtl/>
          <w:lang w:bidi="ar-EG"/>
        </w:rPr>
        <w:tab/>
        <w:t>وتبذل الحكومة جهوداً مختلفة لمعالجة مسائل الأمراض المنقولة بالاتصال الجنسي وفيروس نقص المناعة البشرية/الإيدز. ويتعاون عدد من المنظمات غير الحكومية مع الحكومة ويدعم جهودها. وهناك حاجة إلى إجراء المزيد من برامج التوعية من أجل إحداث تغييرات إيجابية في موقف المجتمع من ضحايا مثل هذه الأمراض وإعادة إدماجهم في المجتمع.</w:t>
      </w:r>
    </w:p>
    <w:p w:rsidR="000B7434" w:rsidRPr="0075177C" w:rsidRDefault="0075177C" w:rsidP="0075177C">
      <w:pPr>
        <w:pStyle w:val="SingleTxtGA"/>
        <w:rPr>
          <w:rFonts w:hint="cs"/>
          <w:rtl/>
          <w:lang w:bidi="ar-EG"/>
        </w:rPr>
      </w:pPr>
      <w:r>
        <w:rPr>
          <w:rFonts w:hint="cs"/>
          <w:rtl/>
          <w:lang w:bidi="ar-EG"/>
        </w:rPr>
        <w:t>97</w:t>
      </w:r>
      <w:r w:rsidR="000B7434" w:rsidRPr="00EC4329">
        <w:rPr>
          <w:rFonts w:hint="cs"/>
          <w:rtl/>
          <w:lang w:bidi="ar-EG"/>
        </w:rPr>
        <w:t>-</w:t>
      </w:r>
      <w:r w:rsidR="000B7434" w:rsidRPr="00EC4329">
        <w:rPr>
          <w:rFonts w:hint="cs"/>
          <w:rtl/>
          <w:lang w:bidi="ar-EG"/>
        </w:rPr>
        <w:tab/>
        <w:t>ومن المتوقع أن يسفر تأثير إعلان الحكومة عمل السخرة غير قانوني إلى خفض فرص الاتجار عبر</w:t>
      </w:r>
      <w:r w:rsidR="000B7434" w:rsidRPr="00EC4329">
        <w:rPr>
          <w:rFonts w:hint="eastAsia"/>
          <w:rtl/>
          <w:lang w:bidi="ar-EG"/>
        </w:rPr>
        <w:t> </w:t>
      </w:r>
      <w:r w:rsidR="000B7434" w:rsidRPr="00EC4329">
        <w:rPr>
          <w:rFonts w:hint="cs"/>
          <w:rtl/>
          <w:lang w:bidi="ar-EG"/>
        </w:rPr>
        <w:t>الحدود بالأطفال النيباليين بغرض استخدامهم كعمال سُخرة، بما في ذلك مختلف أشكال الاستغلال الاقتصادي والجنسي. وفي وقت سابق، كان الطلب على الأطفال الإناث مرتفعا بعض الشيء. وخلال السنة 2006-2007 تم إنقاذ 233 طفلا بينهم 217 فتاة. ومن هذا المجموع الأخير كان 78.55 في المائة من مجموعات عرقية، و12.5 من طبقة الداليت</w:t>
      </w:r>
      <w:r w:rsidR="000B7434" w:rsidRPr="0047573D">
        <w:rPr>
          <w:vertAlign w:val="superscript"/>
          <w:rtl/>
          <w:lang w:bidi="ar-EG"/>
        </w:rPr>
        <w:t>(</w:t>
      </w:r>
      <w:r w:rsidR="000B7434" w:rsidRPr="0047573D">
        <w:rPr>
          <w:rStyle w:val="FootnoteReference"/>
          <w:rtl/>
        </w:rPr>
        <w:footnoteReference w:id="13"/>
      </w:r>
      <w:r w:rsidR="000B7434" w:rsidRPr="0047573D">
        <w:rPr>
          <w:vertAlign w:val="superscript"/>
          <w:rtl/>
          <w:lang w:bidi="ar-EG"/>
        </w:rPr>
        <w:t>)</w:t>
      </w:r>
      <w:r w:rsidR="000B7434" w:rsidRPr="00EC4329">
        <w:rPr>
          <w:rFonts w:hint="cs"/>
          <w:rtl/>
          <w:lang w:bidi="ar-EG"/>
        </w:rPr>
        <w:t>. ولأسباب واضحة، تكون الفتيات أكثر تعرضاً لهذا النوع من الاتجار.</w:t>
      </w:r>
    </w:p>
    <w:p w:rsidR="000B7434" w:rsidRDefault="0075177C" w:rsidP="0075177C">
      <w:pPr>
        <w:pStyle w:val="H1GA"/>
        <w:spacing w:after="0"/>
        <w:rPr>
          <w:rFonts w:hint="cs"/>
          <w:rtl/>
          <w:lang w:bidi="ar-EG"/>
        </w:rPr>
      </w:pPr>
      <w:r>
        <w:rPr>
          <w:rFonts w:hint="cs"/>
          <w:rtl/>
          <w:lang w:bidi="ar-EG"/>
        </w:rPr>
        <w:tab/>
      </w:r>
      <w:r>
        <w:rPr>
          <w:rFonts w:hint="cs"/>
          <w:rtl/>
          <w:lang w:bidi="ar-EG"/>
        </w:rPr>
        <w:tab/>
        <w:t>المادتان 7 و</w:t>
      </w:r>
      <w:r w:rsidR="000B7434">
        <w:rPr>
          <w:rFonts w:hint="cs"/>
          <w:rtl/>
          <w:lang w:bidi="ar-EG"/>
        </w:rPr>
        <w:t>8</w:t>
      </w:r>
    </w:p>
    <w:p w:rsidR="000B7434" w:rsidRPr="00EC4329" w:rsidRDefault="000B7434" w:rsidP="0075177C">
      <w:pPr>
        <w:pStyle w:val="H1GA"/>
        <w:spacing w:before="0"/>
        <w:rPr>
          <w:rFonts w:hint="cs"/>
          <w:rtl/>
          <w:lang w:bidi="ar-EG"/>
        </w:rPr>
      </w:pPr>
      <w:r>
        <w:rPr>
          <w:rFonts w:hint="cs"/>
          <w:rtl/>
          <w:lang w:bidi="ar-EG"/>
        </w:rPr>
        <w:tab/>
      </w:r>
      <w:r>
        <w:rPr>
          <w:rFonts w:hint="cs"/>
          <w:rtl/>
          <w:lang w:bidi="ar-EG"/>
        </w:rPr>
        <w:tab/>
      </w:r>
      <w:r w:rsidRPr="00EC4329">
        <w:rPr>
          <w:rFonts w:hint="cs"/>
          <w:rtl/>
          <w:lang w:bidi="ar-EG"/>
        </w:rPr>
        <w:t>المشاركة السياسية والعامة والدولية</w:t>
      </w:r>
    </w:p>
    <w:p w:rsidR="000B7434" w:rsidRPr="00EC4329" w:rsidRDefault="000B7434" w:rsidP="00B87BF2">
      <w:pPr>
        <w:pStyle w:val="H23GA"/>
        <w:rPr>
          <w:rFonts w:hint="cs"/>
          <w:rtl/>
          <w:lang w:bidi="ar-EG"/>
        </w:rPr>
      </w:pPr>
      <w:r>
        <w:rPr>
          <w:rFonts w:hint="cs"/>
          <w:rtl/>
          <w:lang w:bidi="ar-EG"/>
        </w:rPr>
        <w:tab/>
      </w:r>
      <w:r>
        <w:rPr>
          <w:rFonts w:hint="cs"/>
          <w:rtl/>
          <w:lang w:bidi="ar-EG"/>
        </w:rPr>
        <w:tab/>
      </w:r>
      <w:r w:rsidRPr="00EC4329">
        <w:rPr>
          <w:rFonts w:hint="cs"/>
          <w:rtl/>
          <w:lang w:bidi="ar-EG"/>
        </w:rPr>
        <w:t>معلومات أساسية/مبادرات التغيير</w:t>
      </w:r>
    </w:p>
    <w:p w:rsidR="000B7434" w:rsidRPr="00EC4329" w:rsidRDefault="0075177C" w:rsidP="0075177C">
      <w:pPr>
        <w:pStyle w:val="SingleTxtGA"/>
        <w:rPr>
          <w:rFonts w:hint="cs"/>
          <w:rtl/>
          <w:lang w:bidi="ar-EG"/>
        </w:rPr>
      </w:pPr>
      <w:r>
        <w:rPr>
          <w:rFonts w:hint="cs"/>
          <w:rtl/>
          <w:lang w:bidi="ar-EG"/>
        </w:rPr>
        <w:t>98</w:t>
      </w:r>
      <w:r w:rsidR="000B7434" w:rsidRPr="00EC4329">
        <w:rPr>
          <w:rFonts w:hint="cs"/>
          <w:rtl/>
          <w:lang w:bidi="ar-EG"/>
        </w:rPr>
        <w:t>-</w:t>
      </w:r>
      <w:r w:rsidR="000B7434" w:rsidRPr="00EC4329">
        <w:rPr>
          <w:rFonts w:hint="cs"/>
          <w:rtl/>
          <w:lang w:bidi="ar-EG"/>
        </w:rPr>
        <w:tab/>
        <w:t>وُضعت خطة العمل الوطنية لتشجيع المرأة على المشاركة بنشاط في بناء مؤسسات الديمقراطية وفي عملية بناء السلم والتعمير بالتدابير التالية:</w:t>
      </w:r>
    </w:p>
    <w:p w:rsidR="000B7434" w:rsidRPr="00B87BF2" w:rsidRDefault="000B7434" w:rsidP="0075177C">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B87BF2">
        <w:rPr>
          <w:rFonts w:hint="cs"/>
          <w:w w:val="100"/>
          <w:kern w:val="0"/>
          <w:rtl/>
          <w:lang w:bidi="ar-EG"/>
        </w:rPr>
        <w:t>•</w:t>
      </w:r>
      <w:r w:rsidRPr="00B87BF2">
        <w:rPr>
          <w:rFonts w:hint="cs"/>
          <w:w w:val="100"/>
          <w:kern w:val="0"/>
          <w:rtl/>
          <w:lang w:bidi="ar-EG"/>
        </w:rPr>
        <w:tab/>
        <w:t>إصلاحات السياسة العامة والإصلاحات القانونية وكذلك التدابير الأخرى اللازمة لكفالة مشاركة المرأة بما لا يقل عن نسبة 33 في المائة في عملية رسم السياسة واتخاذ القرار على كل المستويات</w:t>
      </w:r>
      <w:r w:rsidR="0075177C" w:rsidRPr="00B87BF2">
        <w:rPr>
          <w:rFonts w:hint="cs"/>
          <w:w w:val="100"/>
          <w:kern w:val="0"/>
          <w:rtl/>
          <w:lang w:bidi="ar-EG"/>
        </w:rPr>
        <w:t>؛</w:t>
      </w:r>
    </w:p>
    <w:p w:rsidR="000B7434" w:rsidRPr="00B87BF2" w:rsidRDefault="000B7434" w:rsidP="0075177C">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spacing w:val="-4"/>
          <w:w w:val="100"/>
          <w:kern w:val="0"/>
          <w:rtl/>
          <w:lang w:bidi="ar-EG"/>
        </w:rPr>
      </w:pPr>
      <w:r w:rsidRPr="00B87BF2">
        <w:rPr>
          <w:rFonts w:hint="cs"/>
          <w:spacing w:val="-4"/>
          <w:w w:val="100"/>
          <w:kern w:val="0"/>
          <w:rtl/>
          <w:lang w:bidi="ar-EG"/>
        </w:rPr>
        <w:t>•</w:t>
      </w:r>
      <w:r w:rsidRPr="00B87BF2">
        <w:rPr>
          <w:rFonts w:hint="cs"/>
          <w:spacing w:val="-4"/>
          <w:w w:val="100"/>
          <w:kern w:val="0"/>
          <w:rtl/>
          <w:lang w:bidi="ar-EG"/>
        </w:rPr>
        <w:tab/>
        <w:t>مشاركة المرأة النشطة سوف تكفل عن طريق تعميم الجنسانية في كل مجالات التنمية</w:t>
      </w:r>
      <w:r w:rsidR="0075177C" w:rsidRPr="00B87BF2">
        <w:rPr>
          <w:rFonts w:hint="cs"/>
          <w:spacing w:val="-4"/>
          <w:w w:val="100"/>
          <w:kern w:val="0"/>
          <w:rtl/>
          <w:lang w:bidi="ar-EG"/>
        </w:rPr>
        <w:t>.</w:t>
      </w:r>
    </w:p>
    <w:p w:rsidR="000B7434" w:rsidRPr="00EC4329" w:rsidRDefault="0075177C" w:rsidP="0075177C">
      <w:pPr>
        <w:pStyle w:val="SingleTxtGA"/>
        <w:rPr>
          <w:rFonts w:hint="cs"/>
          <w:rtl/>
          <w:lang w:bidi="ar-EG"/>
        </w:rPr>
      </w:pPr>
      <w:r>
        <w:rPr>
          <w:rFonts w:hint="cs"/>
          <w:rtl/>
          <w:lang w:bidi="ar-EG"/>
        </w:rPr>
        <w:t>99</w:t>
      </w:r>
      <w:r w:rsidR="000B7434" w:rsidRPr="00EC4329">
        <w:rPr>
          <w:rFonts w:hint="cs"/>
          <w:rtl/>
          <w:lang w:bidi="ar-EG"/>
        </w:rPr>
        <w:t>-</w:t>
      </w:r>
      <w:r w:rsidR="000B7434" w:rsidRPr="00EC4329">
        <w:rPr>
          <w:rFonts w:hint="cs"/>
          <w:rtl/>
          <w:lang w:bidi="ar-EG"/>
        </w:rPr>
        <w:tab/>
        <w:t>وينص الدستور المؤقت على حكم إيجابي يعد معلماً لمشاركة المرأة في ال</w:t>
      </w:r>
      <w:r>
        <w:rPr>
          <w:rFonts w:hint="cs"/>
          <w:rtl/>
          <w:lang w:bidi="ar-EG"/>
        </w:rPr>
        <w:t>سياسات الحزبية. وتعلن المادة 63</w:t>
      </w:r>
      <w:r w:rsidR="000B7434" w:rsidRPr="00EC4329">
        <w:rPr>
          <w:rFonts w:hint="cs"/>
          <w:rtl/>
          <w:lang w:bidi="ar-EG"/>
        </w:rPr>
        <w:t>(4) من الدستور بوضوح أن "يوضع مبدأ الشمولية في الاعتبار في اختيار المرشحين للأحزاب السياسية</w:t>
      </w:r>
      <w:r>
        <w:rPr>
          <w:rtl/>
          <w:lang w:bidi="ar-EG"/>
        </w:rPr>
        <w:t>"</w:t>
      </w:r>
      <w:r w:rsidR="000B7434" w:rsidRPr="00EC4329">
        <w:rPr>
          <w:rFonts w:hint="cs"/>
          <w:rtl/>
          <w:lang w:bidi="ar-EG"/>
        </w:rPr>
        <w:t xml:space="preserve"> الذين يُنتخبون على أساس الفائز في الانتخابات المباشرة، من كل من الدوائر الانتخابية، وعلى أساس نظام ال</w:t>
      </w:r>
      <w:r>
        <w:rPr>
          <w:rFonts w:hint="cs"/>
          <w:rtl/>
          <w:lang w:bidi="ar-EG"/>
        </w:rPr>
        <w:t>انتخاب التناسبي. وتنص المادة 63</w:t>
      </w:r>
      <w:r w:rsidR="000B7434" w:rsidRPr="00EC4329">
        <w:rPr>
          <w:rFonts w:hint="cs"/>
          <w:rtl/>
          <w:lang w:bidi="ar-EG"/>
        </w:rPr>
        <w:t xml:space="preserve">(5) كذلك على أنه </w:t>
      </w:r>
      <w:r>
        <w:rPr>
          <w:rtl/>
          <w:lang w:bidi="ar-EG"/>
        </w:rPr>
        <w:t>"</w:t>
      </w:r>
      <w:r w:rsidR="000B7434" w:rsidRPr="00EC4329">
        <w:rPr>
          <w:rFonts w:hint="cs"/>
          <w:rtl/>
          <w:lang w:bidi="ar-EG"/>
        </w:rPr>
        <w:t>في حالة المرأة ينبغي أن تصل نسبة تمثيلها إلى ما لا يقل عن ثلث المجموع وذلك بجمع عدد المرشحين</w:t>
      </w:r>
      <w:r>
        <w:rPr>
          <w:rtl/>
          <w:lang w:bidi="ar-EG"/>
        </w:rPr>
        <w:t>"</w:t>
      </w:r>
      <w:r w:rsidR="000B7434" w:rsidRPr="00EC4329">
        <w:rPr>
          <w:rFonts w:hint="cs"/>
          <w:rtl/>
          <w:lang w:bidi="ar-EG"/>
        </w:rPr>
        <w:t xml:space="preserve"> في كل من نظامي الانتخاب المباشر والتمثيل التناسبي. وينص الدستور كذلك على شمل المرأة في اللجان التنفيذية للأحزاب السياسية. وبالإضافة إلى ذلك هناك حكم إلزامي بشمل المرأة في عضوية اللجنة الوطنية لحقوق الإنسان.</w:t>
      </w:r>
    </w:p>
    <w:p w:rsidR="000B7434" w:rsidRPr="00EC4329" w:rsidRDefault="0075177C" w:rsidP="0075177C">
      <w:pPr>
        <w:pStyle w:val="SingleTxtGA"/>
        <w:rPr>
          <w:rFonts w:hint="cs"/>
          <w:rtl/>
          <w:lang w:bidi="ar-EG"/>
        </w:rPr>
      </w:pPr>
      <w:r>
        <w:rPr>
          <w:rFonts w:hint="cs"/>
          <w:rtl/>
          <w:lang w:bidi="ar-EG"/>
        </w:rPr>
        <w:t>100</w:t>
      </w:r>
      <w:r w:rsidR="000B7434" w:rsidRPr="00EC4329">
        <w:rPr>
          <w:rFonts w:hint="cs"/>
          <w:rtl/>
          <w:lang w:bidi="ar-EG"/>
        </w:rPr>
        <w:t>-</w:t>
      </w:r>
      <w:r w:rsidR="000B7434" w:rsidRPr="00EC4329">
        <w:rPr>
          <w:rFonts w:hint="cs"/>
          <w:rtl/>
          <w:lang w:bidi="ar-EG"/>
        </w:rPr>
        <w:tab/>
        <w:t xml:space="preserve">والهدف الذي تتوخاه المادة 63 من الدستور المؤقت قد تم تحقيقه وهو ما يظهر من خلال الجداول المقدمة أدناه. </w:t>
      </w:r>
    </w:p>
    <w:p w:rsidR="000B7434" w:rsidRPr="00EC4329" w:rsidRDefault="000B7434" w:rsidP="0075177C">
      <w:pPr>
        <w:pStyle w:val="SingleTxtGA"/>
        <w:spacing w:after="0"/>
        <w:rPr>
          <w:rFonts w:hint="cs"/>
          <w:rtl/>
          <w:lang w:bidi="ar-EG"/>
        </w:rPr>
      </w:pPr>
      <w:r w:rsidRPr="00EC4329">
        <w:rPr>
          <w:rFonts w:hint="cs"/>
          <w:rtl/>
          <w:lang w:bidi="ar-EG"/>
        </w:rPr>
        <w:t>الجدول 5</w:t>
      </w:r>
    </w:p>
    <w:p w:rsidR="000B7434" w:rsidRPr="0075177C" w:rsidRDefault="000B7434" w:rsidP="0075177C">
      <w:pPr>
        <w:pStyle w:val="SingleTxtGA"/>
        <w:rPr>
          <w:rFonts w:hint="cs"/>
          <w:b/>
          <w:bCs/>
          <w:rtl/>
          <w:lang w:bidi="ar-EG"/>
        </w:rPr>
      </w:pPr>
      <w:r w:rsidRPr="0075177C">
        <w:rPr>
          <w:rFonts w:hint="cs"/>
          <w:b/>
          <w:bCs/>
          <w:rtl/>
          <w:lang w:bidi="ar-EG"/>
        </w:rPr>
        <w:t>انتخابات الجمعية التأسيسية: المرشحون والنتائج</w:t>
      </w:r>
    </w:p>
    <w:tbl>
      <w:tblPr>
        <w:bidiVisual/>
        <w:tblW w:w="7195" w:type="dxa"/>
        <w:tblInd w:w="1267" w:type="dxa"/>
        <w:tblLayout w:type="fixed"/>
        <w:tblCellMar>
          <w:left w:w="0" w:type="dxa"/>
          <w:right w:w="0" w:type="dxa"/>
        </w:tblCellMar>
        <w:tblLook w:val="0000" w:firstRow="0" w:lastRow="0" w:firstColumn="0" w:lastColumn="0" w:noHBand="0" w:noVBand="0"/>
      </w:tblPr>
      <w:tblGrid>
        <w:gridCol w:w="5879"/>
        <w:gridCol w:w="1316"/>
      </w:tblGrid>
      <w:tr w:rsidR="000B7434" w:rsidRPr="00513ACD" w:rsidTr="00997828">
        <w:tblPrEx>
          <w:tblCellMar>
            <w:top w:w="0" w:type="dxa"/>
            <w:bottom w:w="0" w:type="dxa"/>
          </w:tblCellMar>
        </w:tblPrEx>
        <w:trPr>
          <w:cantSplit/>
          <w:tblHeader/>
        </w:trPr>
        <w:tc>
          <w:tcPr>
            <w:tcW w:w="5879" w:type="dxa"/>
            <w:tcBorders>
              <w:top w:val="single" w:sz="4" w:space="0" w:color="auto"/>
              <w:bottom w:val="single" w:sz="12" w:space="0" w:color="auto"/>
            </w:tcBorders>
            <w:shd w:val="clear" w:color="auto" w:fill="auto"/>
            <w:vAlign w:val="bottom"/>
          </w:tcPr>
          <w:p w:rsidR="000B7434" w:rsidRPr="00513ACD" w:rsidRDefault="000B7434" w:rsidP="0075177C">
            <w:pPr>
              <w:tabs>
                <w:tab w:val="left" w:pos="288"/>
                <w:tab w:val="left" w:pos="576"/>
                <w:tab w:val="left" w:pos="864"/>
                <w:tab w:val="left" w:pos="1152"/>
              </w:tabs>
              <w:spacing w:before="60" w:after="60" w:line="280" w:lineRule="exact"/>
              <w:ind w:left="57"/>
              <w:rPr>
                <w:rFonts w:hint="cs"/>
                <w:i/>
                <w:iCs/>
                <w:sz w:val="18"/>
                <w:szCs w:val="26"/>
                <w:rtl/>
              </w:rPr>
            </w:pPr>
            <w:r w:rsidRPr="00513ACD">
              <w:rPr>
                <w:rFonts w:hint="cs"/>
                <w:i/>
                <w:iCs/>
                <w:sz w:val="18"/>
                <w:szCs w:val="26"/>
                <w:rtl/>
                <w:lang w:bidi="ar-EG"/>
              </w:rPr>
              <w:t>المرشحون (للانتخاب المباشر، المتعدد الأحزاب)</w:t>
            </w:r>
          </w:p>
        </w:tc>
        <w:tc>
          <w:tcPr>
            <w:tcW w:w="1316" w:type="dxa"/>
            <w:tcBorders>
              <w:top w:val="single" w:sz="4" w:space="0" w:color="auto"/>
              <w:bottom w:val="single" w:sz="12" w:space="0" w:color="auto"/>
            </w:tcBorders>
            <w:shd w:val="clear" w:color="auto" w:fill="auto"/>
            <w:vAlign w:val="bottom"/>
          </w:tcPr>
          <w:p w:rsidR="000B7434" w:rsidRPr="00513ACD" w:rsidRDefault="000B7434" w:rsidP="0075177C">
            <w:pPr>
              <w:tabs>
                <w:tab w:val="left" w:pos="662"/>
                <w:tab w:val="left" w:pos="1267"/>
                <w:tab w:val="left" w:pos="1987"/>
                <w:tab w:val="left" w:pos="2650"/>
              </w:tabs>
              <w:spacing w:before="60" w:after="60" w:line="280" w:lineRule="exact"/>
              <w:ind w:left="57"/>
              <w:rPr>
                <w:rFonts w:hint="cs"/>
                <w:i/>
                <w:iCs/>
                <w:sz w:val="18"/>
                <w:szCs w:val="26"/>
                <w:rtl/>
                <w:lang w:bidi="ar-EG"/>
              </w:rPr>
            </w:pPr>
            <w:r w:rsidRPr="00513ACD">
              <w:rPr>
                <w:rFonts w:hint="cs"/>
                <w:i/>
                <w:iCs/>
                <w:sz w:val="18"/>
                <w:szCs w:val="26"/>
                <w:rtl/>
                <w:lang w:bidi="ar-EG"/>
              </w:rPr>
              <w:t>العدد الإجمالي</w:t>
            </w:r>
          </w:p>
        </w:tc>
      </w:tr>
      <w:tr w:rsidR="000B7434" w:rsidRPr="0060779C" w:rsidTr="00997828">
        <w:tblPrEx>
          <w:tblCellMar>
            <w:top w:w="0" w:type="dxa"/>
            <w:bottom w:w="0" w:type="dxa"/>
          </w:tblCellMar>
        </w:tblPrEx>
        <w:trPr>
          <w:cantSplit/>
        </w:trPr>
        <w:tc>
          <w:tcPr>
            <w:tcW w:w="5879"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المرشحات</w:t>
            </w:r>
          </w:p>
        </w:tc>
        <w:tc>
          <w:tcPr>
            <w:tcW w:w="1316" w:type="dxa"/>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373</w:t>
            </w:r>
          </w:p>
        </w:tc>
      </w:tr>
      <w:tr w:rsidR="000B7434" w:rsidRPr="0060779C" w:rsidTr="00997828">
        <w:tblPrEx>
          <w:tblCellMar>
            <w:top w:w="0" w:type="dxa"/>
            <w:bottom w:w="0" w:type="dxa"/>
          </w:tblCellMar>
        </w:tblPrEx>
        <w:trPr>
          <w:cantSplit/>
        </w:trPr>
        <w:tc>
          <w:tcPr>
            <w:tcW w:w="5879" w:type="dxa"/>
            <w:tcBorders>
              <w:bottom w:val="single" w:sz="4" w:space="0" w:color="auto"/>
            </w:tcBorders>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المرشحون</w:t>
            </w:r>
          </w:p>
        </w:tc>
        <w:tc>
          <w:tcPr>
            <w:tcW w:w="1316" w:type="dxa"/>
            <w:tcBorders>
              <w:bottom w:val="single" w:sz="4" w:space="0" w:color="auto"/>
            </w:tcBorders>
            <w:shd w:val="clear" w:color="auto" w:fill="auto"/>
            <w:vAlign w:val="bottom"/>
          </w:tcPr>
          <w:p w:rsidR="000B7434" w:rsidRPr="0075177C"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75177C">
              <w:rPr>
                <w:rFonts w:hint="cs"/>
                <w:sz w:val="18"/>
                <w:szCs w:val="26"/>
                <w:rtl/>
                <w:lang w:bidi="ar-EG"/>
              </w:rPr>
              <w:t>648 3</w:t>
            </w:r>
          </w:p>
        </w:tc>
      </w:tr>
      <w:tr w:rsidR="000B7434" w:rsidRPr="00513ACD" w:rsidTr="00997828">
        <w:tblPrEx>
          <w:tblCellMar>
            <w:top w:w="0" w:type="dxa"/>
            <w:bottom w:w="0" w:type="dxa"/>
          </w:tblCellMar>
        </w:tblPrEx>
        <w:trPr>
          <w:cantSplit/>
        </w:trPr>
        <w:tc>
          <w:tcPr>
            <w:tcW w:w="5879" w:type="dxa"/>
            <w:tcBorders>
              <w:top w:val="single" w:sz="4" w:space="0" w:color="auto"/>
              <w:bottom w:val="single" w:sz="12" w:space="0" w:color="auto"/>
            </w:tcBorders>
            <w:shd w:val="clear" w:color="auto" w:fill="auto"/>
            <w:vAlign w:val="bottom"/>
          </w:tcPr>
          <w:p w:rsidR="000B7434" w:rsidRPr="00513ACD" w:rsidRDefault="00513ACD" w:rsidP="00513ACD">
            <w:pPr>
              <w:tabs>
                <w:tab w:val="left" w:pos="364"/>
                <w:tab w:val="left" w:pos="1267"/>
                <w:tab w:val="left" w:pos="1987"/>
                <w:tab w:val="left" w:pos="2650"/>
              </w:tabs>
              <w:spacing w:before="60" w:after="60" w:line="280" w:lineRule="exact"/>
              <w:ind w:left="57"/>
              <w:rPr>
                <w:rFonts w:hint="cs"/>
                <w:b/>
                <w:bCs/>
                <w:sz w:val="18"/>
                <w:szCs w:val="26"/>
                <w:rtl/>
                <w:lang w:bidi="ar-EG"/>
              </w:rPr>
            </w:pPr>
            <w:r w:rsidRPr="00513ACD">
              <w:rPr>
                <w:b/>
                <w:bCs/>
                <w:sz w:val="18"/>
                <w:szCs w:val="26"/>
                <w:rtl/>
                <w:lang w:bidi="ar-EG"/>
              </w:rPr>
              <w:tab/>
            </w:r>
            <w:r w:rsidR="000B7434" w:rsidRPr="00513ACD">
              <w:rPr>
                <w:rFonts w:hint="cs"/>
                <w:b/>
                <w:bCs/>
                <w:sz w:val="18"/>
                <w:szCs w:val="26"/>
                <w:rtl/>
                <w:lang w:bidi="ar-EG"/>
              </w:rPr>
              <w:t>العدد الكلي للمرشحين</w:t>
            </w:r>
          </w:p>
        </w:tc>
        <w:tc>
          <w:tcPr>
            <w:tcW w:w="1316" w:type="dxa"/>
            <w:tcBorders>
              <w:top w:val="single" w:sz="4" w:space="0" w:color="auto"/>
              <w:bottom w:val="single" w:sz="12" w:space="0" w:color="auto"/>
            </w:tcBorders>
            <w:shd w:val="clear" w:color="auto" w:fill="auto"/>
            <w:vAlign w:val="bottom"/>
          </w:tcPr>
          <w:p w:rsidR="000B7434" w:rsidRPr="00513ACD" w:rsidRDefault="000B7434" w:rsidP="0075177C">
            <w:pPr>
              <w:tabs>
                <w:tab w:val="left" w:pos="662"/>
                <w:tab w:val="left" w:pos="1267"/>
                <w:tab w:val="left" w:pos="1987"/>
                <w:tab w:val="left" w:pos="2650"/>
              </w:tabs>
              <w:spacing w:before="60" w:after="60" w:line="280" w:lineRule="exact"/>
              <w:ind w:left="57"/>
              <w:rPr>
                <w:rFonts w:hint="cs"/>
                <w:b/>
                <w:bCs/>
                <w:sz w:val="18"/>
                <w:szCs w:val="26"/>
                <w:rtl/>
                <w:lang w:bidi="ar-EG"/>
              </w:rPr>
            </w:pPr>
            <w:r w:rsidRPr="00513ACD">
              <w:rPr>
                <w:rFonts w:hint="cs"/>
                <w:b/>
                <w:bCs/>
                <w:sz w:val="18"/>
                <w:szCs w:val="26"/>
                <w:rtl/>
                <w:lang w:bidi="ar-EG"/>
              </w:rPr>
              <w:t>021 4</w:t>
            </w:r>
          </w:p>
        </w:tc>
      </w:tr>
    </w:tbl>
    <w:p w:rsidR="000B7434" w:rsidRPr="00997828" w:rsidRDefault="000B7434" w:rsidP="000B7434">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b w:val="0"/>
          <w:bCs w:val="0"/>
          <w:rtl/>
          <w:lang w:bidi="ar-EG"/>
        </w:rPr>
      </w:pPr>
      <w:r w:rsidRPr="00997828">
        <w:rPr>
          <w:rFonts w:hint="cs"/>
          <w:b w:val="0"/>
          <w:bCs w:val="0"/>
          <w:rtl/>
          <w:lang w:bidi="ar-EG"/>
        </w:rPr>
        <w:tab/>
      </w:r>
      <w:r w:rsidRPr="00997828">
        <w:rPr>
          <w:rFonts w:hint="cs"/>
          <w:b w:val="0"/>
          <w:bCs w:val="0"/>
          <w:rtl/>
          <w:lang w:bidi="ar-EG"/>
        </w:rPr>
        <w:tab/>
        <w:t>الجدول 6</w:t>
      </w:r>
    </w:p>
    <w:tbl>
      <w:tblPr>
        <w:bidiVisual/>
        <w:tblW w:w="7139" w:type="dxa"/>
        <w:tblInd w:w="1267" w:type="dxa"/>
        <w:tblLayout w:type="fixed"/>
        <w:tblCellMar>
          <w:left w:w="0" w:type="dxa"/>
          <w:right w:w="0" w:type="dxa"/>
        </w:tblCellMar>
        <w:tblLook w:val="0000" w:firstRow="0" w:lastRow="0" w:firstColumn="0" w:lastColumn="0" w:noHBand="0" w:noVBand="0"/>
      </w:tblPr>
      <w:tblGrid>
        <w:gridCol w:w="5838"/>
        <w:gridCol w:w="1301"/>
      </w:tblGrid>
      <w:tr w:rsidR="000B7434" w:rsidRPr="0060779C" w:rsidTr="00997828">
        <w:tblPrEx>
          <w:tblCellMar>
            <w:top w:w="0" w:type="dxa"/>
            <w:bottom w:w="0" w:type="dxa"/>
          </w:tblCellMar>
        </w:tblPrEx>
        <w:trPr>
          <w:cantSplit/>
          <w:tblHeader/>
        </w:trPr>
        <w:tc>
          <w:tcPr>
            <w:tcW w:w="5838" w:type="dxa"/>
            <w:tcBorders>
              <w:top w:val="single" w:sz="4" w:space="0" w:color="auto"/>
              <w:bottom w:val="single" w:sz="12" w:space="0" w:color="auto"/>
            </w:tcBorders>
            <w:shd w:val="clear" w:color="auto" w:fill="auto"/>
            <w:vAlign w:val="bottom"/>
          </w:tcPr>
          <w:p w:rsidR="000B7434" w:rsidRPr="00513ACD" w:rsidRDefault="000B7434" w:rsidP="0075177C">
            <w:pPr>
              <w:tabs>
                <w:tab w:val="left" w:pos="662"/>
                <w:tab w:val="left" w:pos="1267"/>
                <w:tab w:val="left" w:pos="1987"/>
                <w:tab w:val="left" w:pos="2650"/>
              </w:tabs>
              <w:spacing w:before="60" w:after="60" w:line="280" w:lineRule="exact"/>
              <w:ind w:left="57"/>
              <w:rPr>
                <w:rFonts w:hint="cs"/>
                <w:i/>
                <w:iCs/>
                <w:sz w:val="18"/>
                <w:szCs w:val="26"/>
                <w:rtl/>
                <w:lang w:bidi="ar-EG"/>
              </w:rPr>
            </w:pPr>
            <w:r w:rsidRPr="00513ACD">
              <w:rPr>
                <w:rFonts w:hint="cs"/>
                <w:i/>
                <w:iCs/>
                <w:sz w:val="18"/>
                <w:szCs w:val="26"/>
                <w:rtl/>
                <w:lang w:bidi="ar-EG"/>
              </w:rPr>
              <w:t>المرشحون (للتمثيل التناسبي)</w:t>
            </w:r>
          </w:p>
        </w:tc>
        <w:tc>
          <w:tcPr>
            <w:tcW w:w="1301" w:type="dxa"/>
            <w:tcBorders>
              <w:top w:val="single" w:sz="4" w:space="0" w:color="auto"/>
              <w:bottom w:val="single" w:sz="12" w:space="0" w:color="auto"/>
            </w:tcBorders>
            <w:shd w:val="clear" w:color="auto" w:fill="auto"/>
            <w:vAlign w:val="bottom"/>
          </w:tcPr>
          <w:p w:rsidR="000B7434" w:rsidRPr="00513ACD" w:rsidRDefault="000B7434" w:rsidP="0075177C">
            <w:pPr>
              <w:tabs>
                <w:tab w:val="left" w:pos="662"/>
                <w:tab w:val="left" w:pos="1267"/>
                <w:tab w:val="left" w:pos="1987"/>
                <w:tab w:val="left" w:pos="2650"/>
              </w:tabs>
              <w:spacing w:before="60" w:after="60" w:line="280" w:lineRule="exact"/>
              <w:ind w:left="57"/>
              <w:rPr>
                <w:rFonts w:hint="cs"/>
                <w:i/>
                <w:iCs/>
                <w:sz w:val="18"/>
                <w:szCs w:val="26"/>
                <w:rtl/>
                <w:lang w:bidi="ar-EG"/>
              </w:rPr>
            </w:pPr>
            <w:r w:rsidRPr="00513ACD">
              <w:rPr>
                <w:rFonts w:hint="cs"/>
                <w:i/>
                <w:iCs/>
                <w:sz w:val="18"/>
                <w:szCs w:val="26"/>
                <w:rtl/>
                <w:lang w:bidi="ar-EG"/>
              </w:rPr>
              <w:t>العدد الإجمالي</w:t>
            </w:r>
          </w:p>
        </w:tc>
      </w:tr>
      <w:tr w:rsidR="000B7434" w:rsidRPr="0060779C" w:rsidTr="00997828">
        <w:tblPrEx>
          <w:tblCellMar>
            <w:top w:w="0" w:type="dxa"/>
            <w:bottom w:w="0" w:type="dxa"/>
          </w:tblCellMar>
        </w:tblPrEx>
        <w:trPr>
          <w:cantSplit/>
        </w:trPr>
        <w:tc>
          <w:tcPr>
            <w:tcW w:w="5838" w:type="dxa"/>
            <w:shd w:val="clear" w:color="auto" w:fill="auto"/>
            <w:vAlign w:val="bottom"/>
          </w:tcPr>
          <w:p w:rsidR="000B7434" w:rsidRPr="00513ACD"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513ACD">
              <w:rPr>
                <w:rFonts w:hint="cs"/>
                <w:sz w:val="18"/>
                <w:szCs w:val="26"/>
                <w:rtl/>
                <w:lang w:bidi="ar-EG"/>
              </w:rPr>
              <w:t>المرشحات</w:t>
            </w:r>
          </w:p>
        </w:tc>
        <w:tc>
          <w:tcPr>
            <w:tcW w:w="1301" w:type="dxa"/>
            <w:shd w:val="clear" w:color="auto" w:fill="auto"/>
            <w:vAlign w:val="bottom"/>
          </w:tcPr>
          <w:p w:rsidR="000B7434" w:rsidRPr="00513ACD"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513ACD">
              <w:rPr>
                <w:rFonts w:hint="cs"/>
                <w:sz w:val="18"/>
                <w:szCs w:val="26"/>
                <w:rtl/>
                <w:lang w:bidi="ar-EG"/>
              </w:rPr>
              <w:t>067 3</w:t>
            </w:r>
          </w:p>
        </w:tc>
      </w:tr>
      <w:tr w:rsidR="000B7434" w:rsidRPr="0060779C" w:rsidTr="00997828">
        <w:tblPrEx>
          <w:tblCellMar>
            <w:top w:w="0" w:type="dxa"/>
            <w:bottom w:w="0" w:type="dxa"/>
          </w:tblCellMar>
        </w:tblPrEx>
        <w:trPr>
          <w:cantSplit/>
        </w:trPr>
        <w:tc>
          <w:tcPr>
            <w:tcW w:w="5838" w:type="dxa"/>
            <w:shd w:val="clear" w:color="auto" w:fill="auto"/>
            <w:vAlign w:val="bottom"/>
          </w:tcPr>
          <w:p w:rsidR="000B7434" w:rsidRPr="00513ACD"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513ACD">
              <w:rPr>
                <w:rFonts w:hint="cs"/>
                <w:sz w:val="18"/>
                <w:szCs w:val="26"/>
                <w:rtl/>
                <w:lang w:bidi="ar-EG"/>
              </w:rPr>
              <w:t>مرشحو الماديسي</w:t>
            </w:r>
          </w:p>
        </w:tc>
        <w:tc>
          <w:tcPr>
            <w:tcW w:w="1301" w:type="dxa"/>
            <w:shd w:val="clear" w:color="auto" w:fill="auto"/>
            <w:vAlign w:val="bottom"/>
          </w:tcPr>
          <w:p w:rsidR="000B7434" w:rsidRPr="00513ACD"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513ACD">
              <w:rPr>
                <w:rFonts w:hint="cs"/>
                <w:sz w:val="18"/>
                <w:szCs w:val="26"/>
                <w:rtl/>
                <w:lang w:bidi="ar-EG"/>
              </w:rPr>
              <w:t>918 1</w:t>
            </w:r>
          </w:p>
        </w:tc>
      </w:tr>
      <w:tr w:rsidR="000B7434" w:rsidRPr="0060779C" w:rsidTr="00997828">
        <w:tblPrEx>
          <w:tblCellMar>
            <w:top w:w="0" w:type="dxa"/>
            <w:bottom w:w="0" w:type="dxa"/>
          </w:tblCellMar>
        </w:tblPrEx>
        <w:trPr>
          <w:cantSplit/>
        </w:trPr>
        <w:tc>
          <w:tcPr>
            <w:tcW w:w="5838" w:type="dxa"/>
            <w:shd w:val="clear" w:color="auto" w:fill="auto"/>
            <w:vAlign w:val="bottom"/>
          </w:tcPr>
          <w:p w:rsidR="000B7434" w:rsidRPr="00513ACD"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513ACD">
              <w:rPr>
                <w:rFonts w:hint="cs"/>
                <w:sz w:val="18"/>
                <w:szCs w:val="26"/>
                <w:rtl/>
                <w:lang w:bidi="ar-EG"/>
              </w:rPr>
              <w:t>مرشحو الداليت</w:t>
            </w:r>
          </w:p>
        </w:tc>
        <w:tc>
          <w:tcPr>
            <w:tcW w:w="1301" w:type="dxa"/>
            <w:shd w:val="clear" w:color="auto" w:fill="auto"/>
            <w:vAlign w:val="bottom"/>
          </w:tcPr>
          <w:p w:rsidR="000B7434" w:rsidRPr="00513ACD"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513ACD">
              <w:rPr>
                <w:rFonts w:hint="cs"/>
                <w:sz w:val="18"/>
                <w:szCs w:val="26"/>
                <w:rtl/>
                <w:lang w:bidi="ar-EG"/>
              </w:rPr>
              <w:t>680</w:t>
            </w:r>
          </w:p>
        </w:tc>
      </w:tr>
      <w:tr w:rsidR="000B7434" w:rsidRPr="0060779C" w:rsidTr="00997828">
        <w:tblPrEx>
          <w:tblCellMar>
            <w:top w:w="0" w:type="dxa"/>
            <w:bottom w:w="0" w:type="dxa"/>
          </w:tblCellMar>
        </w:tblPrEx>
        <w:trPr>
          <w:cantSplit/>
        </w:trPr>
        <w:tc>
          <w:tcPr>
            <w:tcW w:w="5838" w:type="dxa"/>
            <w:shd w:val="clear" w:color="auto" w:fill="auto"/>
            <w:vAlign w:val="bottom"/>
          </w:tcPr>
          <w:p w:rsidR="000B7434" w:rsidRPr="00513ACD"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513ACD">
              <w:rPr>
                <w:rFonts w:hint="cs"/>
                <w:sz w:val="18"/>
                <w:szCs w:val="26"/>
                <w:rtl/>
                <w:lang w:bidi="ar-EG"/>
              </w:rPr>
              <w:t>مرشحو الجانجاتي</w:t>
            </w:r>
          </w:p>
        </w:tc>
        <w:tc>
          <w:tcPr>
            <w:tcW w:w="1301" w:type="dxa"/>
            <w:shd w:val="clear" w:color="auto" w:fill="auto"/>
            <w:vAlign w:val="bottom"/>
          </w:tcPr>
          <w:p w:rsidR="000B7434" w:rsidRPr="00513ACD"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513ACD">
              <w:rPr>
                <w:rFonts w:hint="cs"/>
                <w:sz w:val="18"/>
                <w:szCs w:val="26"/>
                <w:rtl/>
                <w:lang w:bidi="ar-EG"/>
              </w:rPr>
              <w:t>138 2</w:t>
            </w:r>
          </w:p>
        </w:tc>
      </w:tr>
      <w:tr w:rsidR="000B7434" w:rsidRPr="0060779C" w:rsidTr="00997828">
        <w:tblPrEx>
          <w:tblCellMar>
            <w:top w:w="0" w:type="dxa"/>
            <w:bottom w:w="0" w:type="dxa"/>
          </w:tblCellMar>
        </w:tblPrEx>
        <w:trPr>
          <w:cantSplit/>
        </w:trPr>
        <w:tc>
          <w:tcPr>
            <w:tcW w:w="5838" w:type="dxa"/>
            <w:shd w:val="clear" w:color="auto" w:fill="auto"/>
            <w:vAlign w:val="bottom"/>
          </w:tcPr>
          <w:p w:rsidR="000B7434" w:rsidRPr="00513ACD"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513ACD">
              <w:rPr>
                <w:rFonts w:hint="cs"/>
                <w:sz w:val="18"/>
                <w:szCs w:val="26"/>
                <w:rtl/>
                <w:lang w:bidi="ar-EG"/>
              </w:rPr>
              <w:t>مرشحو المناطق الداخلية (الخلفية)</w:t>
            </w:r>
          </w:p>
        </w:tc>
        <w:tc>
          <w:tcPr>
            <w:tcW w:w="1301" w:type="dxa"/>
            <w:shd w:val="clear" w:color="auto" w:fill="auto"/>
            <w:vAlign w:val="bottom"/>
          </w:tcPr>
          <w:p w:rsidR="000B7434" w:rsidRPr="00513ACD"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513ACD">
              <w:rPr>
                <w:rFonts w:hint="cs"/>
                <w:sz w:val="18"/>
                <w:szCs w:val="26"/>
                <w:rtl/>
                <w:lang w:bidi="ar-EG"/>
              </w:rPr>
              <w:t>183</w:t>
            </w:r>
          </w:p>
        </w:tc>
      </w:tr>
      <w:tr w:rsidR="000B7434" w:rsidRPr="0060779C" w:rsidTr="00997828">
        <w:tblPrEx>
          <w:tblCellMar>
            <w:top w:w="0" w:type="dxa"/>
            <w:bottom w:w="0" w:type="dxa"/>
          </w:tblCellMar>
        </w:tblPrEx>
        <w:trPr>
          <w:cantSplit/>
        </w:trPr>
        <w:tc>
          <w:tcPr>
            <w:tcW w:w="5838" w:type="dxa"/>
            <w:tcBorders>
              <w:bottom w:val="single" w:sz="12" w:space="0" w:color="auto"/>
            </w:tcBorders>
            <w:shd w:val="clear" w:color="auto" w:fill="auto"/>
            <w:vAlign w:val="bottom"/>
          </w:tcPr>
          <w:p w:rsidR="000B7434" w:rsidRPr="00513ACD"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513ACD">
              <w:rPr>
                <w:rFonts w:hint="cs"/>
                <w:sz w:val="18"/>
                <w:szCs w:val="26"/>
                <w:rtl/>
                <w:lang w:bidi="ar-EG"/>
              </w:rPr>
              <w:t xml:space="preserve">المرشحون من الفئات الأخرى </w:t>
            </w:r>
          </w:p>
        </w:tc>
        <w:tc>
          <w:tcPr>
            <w:tcW w:w="1301" w:type="dxa"/>
            <w:tcBorders>
              <w:bottom w:val="single" w:sz="12" w:space="0" w:color="auto"/>
            </w:tcBorders>
            <w:shd w:val="clear" w:color="auto" w:fill="auto"/>
            <w:vAlign w:val="bottom"/>
          </w:tcPr>
          <w:p w:rsidR="000B7434" w:rsidRPr="00513ACD" w:rsidRDefault="000B7434" w:rsidP="0075177C">
            <w:pPr>
              <w:tabs>
                <w:tab w:val="left" w:pos="662"/>
                <w:tab w:val="left" w:pos="1267"/>
                <w:tab w:val="left" w:pos="1987"/>
                <w:tab w:val="left" w:pos="2650"/>
              </w:tabs>
              <w:spacing w:before="60" w:after="60" w:line="280" w:lineRule="exact"/>
              <w:ind w:left="57"/>
              <w:rPr>
                <w:rFonts w:hint="cs"/>
                <w:sz w:val="18"/>
                <w:szCs w:val="26"/>
                <w:rtl/>
                <w:lang w:bidi="ar-EG"/>
              </w:rPr>
            </w:pPr>
            <w:r w:rsidRPr="00513ACD">
              <w:rPr>
                <w:rFonts w:hint="cs"/>
                <w:sz w:val="18"/>
                <w:szCs w:val="26"/>
                <w:rtl/>
                <w:lang w:bidi="ar-EG"/>
              </w:rPr>
              <w:t>750 1</w:t>
            </w:r>
          </w:p>
        </w:tc>
      </w:tr>
    </w:tbl>
    <w:p w:rsidR="000B7434" w:rsidRPr="00EC4329" w:rsidRDefault="00513ACD" w:rsidP="00513ACD">
      <w:pPr>
        <w:pStyle w:val="SingleTxtGA"/>
        <w:spacing w:before="240"/>
        <w:rPr>
          <w:rFonts w:hint="cs"/>
          <w:rtl/>
          <w:lang w:bidi="ar-EG"/>
        </w:rPr>
      </w:pPr>
      <w:r>
        <w:rPr>
          <w:rFonts w:hint="cs"/>
          <w:rtl/>
          <w:lang w:bidi="ar-EG"/>
        </w:rPr>
        <w:t>101</w:t>
      </w:r>
      <w:r w:rsidR="000B7434">
        <w:rPr>
          <w:rFonts w:hint="cs"/>
          <w:rtl/>
          <w:lang w:bidi="ar-EG"/>
        </w:rPr>
        <w:t>-</w:t>
      </w:r>
      <w:r>
        <w:rPr>
          <w:rFonts w:hint="cs"/>
          <w:rtl/>
          <w:lang w:bidi="ar-EG"/>
        </w:rPr>
        <w:tab/>
      </w:r>
      <w:r w:rsidR="000B7434" w:rsidRPr="00EC4329">
        <w:rPr>
          <w:rFonts w:hint="cs"/>
          <w:rtl/>
          <w:lang w:bidi="ar-EG"/>
        </w:rPr>
        <w:t>ووفقاً للحكم القانوني الذي يضمن 33 في المائة من مقاعد الجمعية التأسيسية للمرأة، قدمت الأحزاب السياسية مرشحاتها. وكانت النتيجة كما يلي:</w:t>
      </w:r>
    </w:p>
    <w:p w:rsidR="000B7434" w:rsidRPr="00EC4329" w:rsidRDefault="000B7434" w:rsidP="00513AC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rtl/>
          <w:lang w:bidi="ar-EG"/>
        </w:rPr>
      </w:pPr>
      <w:r>
        <w:rPr>
          <w:rFonts w:hint="cs"/>
          <w:rtl/>
          <w:lang w:bidi="ar-EG"/>
        </w:rPr>
        <w:t>•</w:t>
      </w:r>
      <w:r w:rsidRPr="00EC4329">
        <w:rPr>
          <w:rFonts w:hint="cs"/>
          <w:rtl/>
          <w:lang w:bidi="ar-EG"/>
        </w:rPr>
        <w:tab/>
        <w:t>هناك 197 امرأة (بنسبة 32,77 في المائة) بين الأعضاء المنتخبين للجمعية التأسيسية البالغ عددهم 601</w:t>
      </w:r>
      <w:r w:rsidR="00513ACD">
        <w:rPr>
          <w:rFonts w:hint="cs"/>
          <w:rtl/>
          <w:lang w:bidi="ar-EG"/>
        </w:rPr>
        <w:t>؛</w:t>
      </w:r>
    </w:p>
    <w:p w:rsidR="000B7434" w:rsidRPr="00EC4329" w:rsidRDefault="000B7434" w:rsidP="00513AC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rtl/>
          <w:lang w:bidi="ar-EG"/>
        </w:rPr>
      </w:pPr>
      <w:r>
        <w:rPr>
          <w:rFonts w:hint="cs"/>
          <w:rtl/>
          <w:lang w:bidi="ar-EG"/>
        </w:rPr>
        <w:t>•</w:t>
      </w:r>
      <w:r w:rsidRPr="00EC4329">
        <w:rPr>
          <w:rFonts w:hint="cs"/>
          <w:rtl/>
          <w:lang w:bidi="ar-EG"/>
        </w:rPr>
        <w:tab/>
        <w:t>في انتخابات التمثيل النسبي، انتخبت 161 امرأة (</w:t>
      </w:r>
      <w:r>
        <w:rPr>
          <w:rFonts w:hint="cs"/>
          <w:rtl/>
          <w:lang w:bidi="ar-EG"/>
        </w:rPr>
        <w:t>48.6</w:t>
      </w:r>
      <w:r w:rsidRPr="00EC4329">
        <w:rPr>
          <w:rFonts w:hint="cs"/>
          <w:rtl/>
          <w:lang w:bidi="ar-EG"/>
        </w:rPr>
        <w:t xml:space="preserve"> في المائة) بين 335</w:t>
      </w:r>
      <w:r w:rsidR="00513ACD">
        <w:rPr>
          <w:rFonts w:hint="cs"/>
          <w:rtl/>
          <w:lang w:bidi="ar-EG"/>
        </w:rPr>
        <w:t xml:space="preserve"> </w:t>
      </w:r>
      <w:r w:rsidRPr="00EC4329">
        <w:rPr>
          <w:rFonts w:hint="cs"/>
          <w:rtl/>
          <w:lang w:bidi="ar-EG"/>
        </w:rPr>
        <w:t xml:space="preserve">مرشحاً </w:t>
      </w:r>
      <w:r>
        <w:rPr>
          <w:rFonts w:hint="cs"/>
          <w:rtl/>
          <w:lang w:bidi="ar-EG"/>
        </w:rPr>
        <w:t>ا</w:t>
      </w:r>
      <w:r w:rsidRPr="00EC4329">
        <w:rPr>
          <w:rFonts w:hint="cs"/>
          <w:rtl/>
          <w:lang w:bidi="ar-EG"/>
        </w:rPr>
        <w:t>ختارتهم الأحزاب السياسية</w:t>
      </w:r>
      <w:r w:rsidR="00513ACD">
        <w:rPr>
          <w:rFonts w:hint="cs"/>
          <w:rtl/>
          <w:lang w:bidi="ar-EG"/>
        </w:rPr>
        <w:t>؛</w:t>
      </w:r>
    </w:p>
    <w:p w:rsidR="000B7434" w:rsidRPr="00EC4329" w:rsidRDefault="000B7434" w:rsidP="00513AC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rtl/>
          <w:lang w:bidi="ar-EG"/>
        </w:rPr>
      </w:pPr>
      <w:r>
        <w:rPr>
          <w:rFonts w:hint="cs"/>
          <w:rtl/>
          <w:lang w:bidi="ar-EG"/>
        </w:rPr>
        <w:t>•</w:t>
      </w:r>
      <w:r w:rsidRPr="00EC4329">
        <w:rPr>
          <w:rFonts w:hint="cs"/>
          <w:rtl/>
          <w:lang w:bidi="ar-EG"/>
        </w:rPr>
        <w:tab/>
        <w:t>وتم انتخاب 30 امرأة بين الذين انتخبوا لشغل 240 مقعداً في الانتخاب المباشر (نظام الفائز الأول)</w:t>
      </w:r>
      <w:r w:rsidR="00513ACD">
        <w:rPr>
          <w:rFonts w:hint="cs"/>
          <w:rtl/>
          <w:lang w:bidi="ar-EG"/>
        </w:rPr>
        <w:t>؛</w:t>
      </w:r>
    </w:p>
    <w:p w:rsidR="000B7434" w:rsidRPr="00EC4329" w:rsidRDefault="000B7434" w:rsidP="00513AC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rtl/>
          <w:lang w:bidi="ar-EG"/>
        </w:rPr>
      </w:pPr>
      <w:r>
        <w:rPr>
          <w:rFonts w:hint="cs"/>
          <w:rtl/>
          <w:lang w:bidi="ar-EG"/>
        </w:rPr>
        <w:t>•</w:t>
      </w:r>
      <w:r w:rsidRPr="00EC4329">
        <w:rPr>
          <w:rFonts w:hint="cs"/>
          <w:rtl/>
          <w:lang w:bidi="ar-EG"/>
        </w:rPr>
        <w:tab/>
        <w:t>وكانت هناك</w:t>
      </w:r>
      <w:r>
        <w:rPr>
          <w:rFonts w:hint="cs"/>
          <w:rtl/>
          <w:lang w:bidi="ar-EG"/>
        </w:rPr>
        <w:t xml:space="preserve"> ست نساء بين 26 عضواً معيّناً</w:t>
      </w:r>
      <w:r w:rsidR="00513ACD">
        <w:rPr>
          <w:rFonts w:hint="cs"/>
          <w:rtl/>
          <w:lang w:bidi="ar-EG"/>
        </w:rPr>
        <w:t>.</w:t>
      </w:r>
    </w:p>
    <w:p w:rsidR="000B7434" w:rsidRDefault="000B7434" w:rsidP="00513ACD">
      <w:pPr>
        <w:pStyle w:val="SingleTxtGA"/>
        <w:spacing w:after="0"/>
        <w:rPr>
          <w:rFonts w:hint="cs"/>
          <w:rtl/>
          <w:lang w:bidi="ar-EG"/>
        </w:rPr>
      </w:pPr>
      <w:r w:rsidRPr="00EC4329">
        <w:rPr>
          <w:rFonts w:hint="cs"/>
          <w:rtl/>
          <w:lang w:bidi="ar-EG"/>
        </w:rPr>
        <w:t>الجدول 7</w:t>
      </w:r>
    </w:p>
    <w:p w:rsidR="000B7434" w:rsidRPr="00513ACD" w:rsidRDefault="000B7434" w:rsidP="00513ACD">
      <w:pPr>
        <w:pStyle w:val="SingleTxtGA"/>
        <w:rPr>
          <w:rFonts w:hint="cs"/>
          <w:b/>
          <w:bCs/>
          <w:rtl/>
          <w:lang w:bidi="ar-EG"/>
        </w:rPr>
      </w:pPr>
      <w:r w:rsidRPr="00513ACD">
        <w:rPr>
          <w:rFonts w:hint="cs"/>
          <w:b/>
          <w:bCs/>
          <w:rtl/>
          <w:lang w:bidi="ar-EG"/>
        </w:rPr>
        <w:t>الإحصاءات المفصلة حسب الجنس لأعضاء الجمعية التأسيسية الممثلين لمختلف الأحزاب السياسية، ولمن ترشحوا على أساس مستقل</w:t>
      </w:r>
    </w:p>
    <w:tbl>
      <w:tblPr>
        <w:bidiVisual/>
        <w:tblW w:w="0" w:type="auto"/>
        <w:tblInd w:w="1267" w:type="dxa"/>
        <w:tblLayout w:type="fixed"/>
        <w:tblCellMar>
          <w:left w:w="0" w:type="dxa"/>
          <w:right w:w="0" w:type="dxa"/>
        </w:tblCellMar>
        <w:tblLook w:val="0000" w:firstRow="0" w:lastRow="0" w:firstColumn="0" w:lastColumn="0" w:noHBand="0" w:noVBand="0"/>
      </w:tblPr>
      <w:tblGrid>
        <w:gridCol w:w="910"/>
        <w:gridCol w:w="1218"/>
        <w:gridCol w:w="615"/>
        <w:gridCol w:w="630"/>
        <w:gridCol w:w="560"/>
        <w:gridCol w:w="476"/>
        <w:gridCol w:w="588"/>
        <w:gridCol w:w="658"/>
        <w:gridCol w:w="686"/>
        <w:gridCol w:w="644"/>
        <w:gridCol w:w="644"/>
        <w:gridCol w:w="728"/>
      </w:tblGrid>
      <w:tr w:rsidR="000B7434" w:rsidRPr="00513ACD" w:rsidTr="00513ACD">
        <w:tblPrEx>
          <w:tblCellMar>
            <w:top w:w="0" w:type="dxa"/>
            <w:bottom w:w="0" w:type="dxa"/>
          </w:tblCellMar>
        </w:tblPrEx>
        <w:trPr>
          <w:cantSplit/>
        </w:trPr>
        <w:tc>
          <w:tcPr>
            <w:tcW w:w="910" w:type="dxa"/>
            <w:vMerge w:val="restart"/>
            <w:tcBorders>
              <w:top w:val="single" w:sz="4" w:space="0" w:color="auto"/>
              <w:bottom w:val="single" w:sz="4"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rPr>
                <w:rFonts w:hint="cs"/>
                <w:i/>
                <w:iCs/>
                <w:spacing w:val="-2"/>
                <w:w w:val="95"/>
                <w:sz w:val="16"/>
                <w:szCs w:val="24"/>
                <w:rtl/>
                <w:lang w:bidi="ar-EG"/>
              </w:rPr>
            </w:pPr>
            <w:r w:rsidRPr="00513ACD">
              <w:rPr>
                <w:rFonts w:hint="cs"/>
                <w:i/>
                <w:iCs/>
                <w:spacing w:val="-2"/>
                <w:w w:val="95"/>
                <w:sz w:val="16"/>
                <w:szCs w:val="24"/>
                <w:rtl/>
                <w:lang w:bidi="ar-EG"/>
              </w:rPr>
              <w:t>الرقم المتسلسل</w:t>
            </w:r>
          </w:p>
        </w:tc>
        <w:tc>
          <w:tcPr>
            <w:tcW w:w="1218" w:type="dxa"/>
            <w:vMerge w:val="restart"/>
            <w:tcBorders>
              <w:top w:val="single" w:sz="4" w:space="0" w:color="auto"/>
              <w:bottom w:val="single" w:sz="4"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rPr>
                <w:rFonts w:hint="cs"/>
                <w:i/>
                <w:iCs/>
                <w:w w:val="95"/>
                <w:sz w:val="16"/>
                <w:szCs w:val="24"/>
                <w:rtl/>
                <w:lang w:bidi="ar-EG"/>
              </w:rPr>
            </w:pPr>
            <w:r w:rsidRPr="00513ACD">
              <w:rPr>
                <w:rFonts w:hint="cs"/>
                <w:i/>
                <w:iCs/>
                <w:w w:val="95"/>
                <w:sz w:val="16"/>
                <w:szCs w:val="24"/>
                <w:rtl/>
                <w:lang w:bidi="ar-EG"/>
              </w:rPr>
              <w:t>الحزب السياسي</w:t>
            </w:r>
          </w:p>
        </w:tc>
        <w:tc>
          <w:tcPr>
            <w:tcW w:w="1805" w:type="dxa"/>
            <w:gridSpan w:val="3"/>
            <w:tcBorders>
              <w:top w:val="single" w:sz="4" w:space="0" w:color="auto"/>
              <w:bottom w:val="single" w:sz="4"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jc w:val="center"/>
              <w:rPr>
                <w:rFonts w:hint="cs"/>
                <w:i/>
                <w:iCs/>
                <w:w w:val="95"/>
                <w:sz w:val="16"/>
                <w:szCs w:val="24"/>
                <w:rtl/>
                <w:lang w:bidi="ar-EG"/>
              </w:rPr>
            </w:pPr>
            <w:r w:rsidRPr="00513ACD">
              <w:rPr>
                <w:rFonts w:hint="cs"/>
                <w:i/>
                <w:iCs/>
                <w:w w:val="95"/>
                <w:sz w:val="16"/>
                <w:szCs w:val="24"/>
                <w:rtl/>
                <w:lang w:bidi="ar-EG"/>
              </w:rPr>
              <w:t>مباشر</w:t>
            </w:r>
          </w:p>
        </w:tc>
        <w:tc>
          <w:tcPr>
            <w:tcW w:w="1722" w:type="dxa"/>
            <w:gridSpan w:val="3"/>
            <w:tcBorders>
              <w:top w:val="single" w:sz="4" w:space="0" w:color="auto"/>
              <w:bottom w:val="single" w:sz="4"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jc w:val="center"/>
              <w:rPr>
                <w:rFonts w:hint="cs"/>
                <w:i/>
                <w:iCs/>
                <w:w w:val="95"/>
                <w:sz w:val="16"/>
                <w:szCs w:val="24"/>
                <w:rtl/>
                <w:lang w:bidi="ar-EG"/>
              </w:rPr>
            </w:pPr>
            <w:r w:rsidRPr="00513ACD">
              <w:rPr>
                <w:rFonts w:hint="cs"/>
                <w:i/>
                <w:iCs/>
                <w:w w:val="95"/>
                <w:sz w:val="16"/>
                <w:szCs w:val="24"/>
                <w:rtl/>
                <w:lang w:bidi="ar-EG"/>
              </w:rPr>
              <w:t>نسبي</w:t>
            </w:r>
          </w:p>
        </w:tc>
        <w:tc>
          <w:tcPr>
            <w:tcW w:w="1974" w:type="dxa"/>
            <w:gridSpan w:val="3"/>
            <w:tcBorders>
              <w:top w:val="single" w:sz="4" w:space="0" w:color="auto"/>
              <w:bottom w:val="single" w:sz="4"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jc w:val="center"/>
              <w:rPr>
                <w:rFonts w:hint="cs"/>
                <w:i/>
                <w:iCs/>
                <w:w w:val="95"/>
                <w:sz w:val="16"/>
                <w:szCs w:val="24"/>
                <w:rtl/>
                <w:lang w:bidi="ar-EG"/>
              </w:rPr>
            </w:pPr>
            <w:r w:rsidRPr="00513ACD">
              <w:rPr>
                <w:rFonts w:hint="cs"/>
                <w:i/>
                <w:iCs/>
                <w:w w:val="95"/>
                <w:sz w:val="16"/>
                <w:szCs w:val="24"/>
                <w:rtl/>
                <w:lang w:bidi="ar-EG"/>
              </w:rPr>
              <w:t>تعيين</w:t>
            </w:r>
          </w:p>
        </w:tc>
        <w:tc>
          <w:tcPr>
            <w:tcW w:w="728" w:type="dxa"/>
            <w:vMerge w:val="restart"/>
            <w:tcBorders>
              <w:top w:val="single" w:sz="4" w:space="0" w:color="auto"/>
              <w:bottom w:val="single" w:sz="4"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rPr>
                <w:rFonts w:hint="cs"/>
                <w:w w:val="95"/>
                <w:sz w:val="16"/>
                <w:szCs w:val="24"/>
                <w:rtl/>
                <w:lang w:bidi="ar-EG"/>
              </w:rPr>
            </w:pPr>
            <w:r w:rsidRPr="00513ACD">
              <w:rPr>
                <w:rFonts w:hint="cs"/>
                <w:i/>
                <w:iCs/>
                <w:w w:val="95"/>
                <w:sz w:val="16"/>
                <w:szCs w:val="24"/>
                <w:rtl/>
                <w:lang w:bidi="ar-EG"/>
              </w:rPr>
              <w:t>المجموع</w:t>
            </w:r>
          </w:p>
        </w:tc>
      </w:tr>
      <w:tr w:rsidR="000B7434" w:rsidRPr="00513ACD" w:rsidTr="00513ACD">
        <w:tblPrEx>
          <w:tblCellMar>
            <w:top w:w="0" w:type="dxa"/>
            <w:bottom w:w="0" w:type="dxa"/>
          </w:tblCellMar>
        </w:tblPrEx>
        <w:trPr>
          <w:cantSplit/>
        </w:trPr>
        <w:tc>
          <w:tcPr>
            <w:tcW w:w="910" w:type="dxa"/>
            <w:vMerge/>
            <w:tcBorders>
              <w:top w:val="single" w:sz="4" w:space="0" w:color="auto"/>
              <w:bottom w:val="single" w:sz="12"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rPr>
                <w:rFonts w:hint="cs"/>
                <w:i/>
                <w:iCs/>
                <w:w w:val="95"/>
                <w:sz w:val="16"/>
                <w:szCs w:val="24"/>
                <w:rtl/>
                <w:lang w:bidi="ar-EG"/>
              </w:rPr>
            </w:pPr>
          </w:p>
        </w:tc>
        <w:tc>
          <w:tcPr>
            <w:tcW w:w="1218" w:type="dxa"/>
            <w:vMerge/>
            <w:tcBorders>
              <w:top w:val="single" w:sz="4" w:space="0" w:color="auto"/>
              <w:bottom w:val="single" w:sz="12"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rPr>
                <w:rFonts w:hint="cs"/>
                <w:i/>
                <w:iCs/>
                <w:w w:val="95"/>
                <w:sz w:val="16"/>
                <w:szCs w:val="24"/>
                <w:rtl/>
                <w:lang w:bidi="ar-EG"/>
              </w:rPr>
            </w:pPr>
          </w:p>
        </w:tc>
        <w:tc>
          <w:tcPr>
            <w:tcW w:w="615" w:type="dxa"/>
            <w:tcBorders>
              <w:top w:val="single" w:sz="4" w:space="0" w:color="auto"/>
              <w:bottom w:val="single" w:sz="12"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rPr>
                <w:rFonts w:hint="cs"/>
                <w:i/>
                <w:iCs/>
                <w:w w:val="95"/>
                <w:sz w:val="16"/>
                <w:szCs w:val="24"/>
                <w:rtl/>
                <w:lang w:bidi="ar-EG"/>
              </w:rPr>
            </w:pPr>
            <w:r w:rsidRPr="00513ACD">
              <w:rPr>
                <w:rFonts w:hint="cs"/>
                <w:i/>
                <w:iCs/>
                <w:w w:val="95"/>
                <w:sz w:val="16"/>
                <w:szCs w:val="24"/>
                <w:rtl/>
                <w:lang w:bidi="ar-EG"/>
              </w:rPr>
              <w:t>إناث</w:t>
            </w:r>
          </w:p>
        </w:tc>
        <w:tc>
          <w:tcPr>
            <w:tcW w:w="630" w:type="dxa"/>
            <w:tcBorders>
              <w:top w:val="single" w:sz="4" w:space="0" w:color="auto"/>
              <w:bottom w:val="single" w:sz="12"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rPr>
                <w:rFonts w:hint="cs"/>
                <w:i/>
                <w:iCs/>
                <w:w w:val="95"/>
                <w:sz w:val="16"/>
                <w:szCs w:val="24"/>
                <w:rtl/>
                <w:lang w:bidi="ar-EG"/>
              </w:rPr>
            </w:pPr>
            <w:r w:rsidRPr="00513ACD">
              <w:rPr>
                <w:rFonts w:hint="cs"/>
                <w:i/>
                <w:iCs/>
                <w:w w:val="95"/>
                <w:sz w:val="16"/>
                <w:szCs w:val="24"/>
                <w:rtl/>
                <w:lang w:bidi="ar-EG"/>
              </w:rPr>
              <w:t>ذكور</w:t>
            </w:r>
          </w:p>
        </w:tc>
        <w:tc>
          <w:tcPr>
            <w:tcW w:w="560" w:type="dxa"/>
            <w:tcBorders>
              <w:top w:val="single" w:sz="4" w:space="0" w:color="auto"/>
              <w:bottom w:val="single" w:sz="12"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rPr>
                <w:rFonts w:hint="cs"/>
                <w:i/>
                <w:iCs/>
                <w:w w:val="95"/>
                <w:sz w:val="16"/>
                <w:szCs w:val="24"/>
                <w:rtl/>
                <w:lang w:bidi="ar-EG"/>
              </w:rPr>
            </w:pPr>
            <w:r w:rsidRPr="00513ACD">
              <w:rPr>
                <w:rFonts w:hint="cs"/>
                <w:i/>
                <w:iCs/>
                <w:w w:val="95"/>
                <w:sz w:val="16"/>
                <w:szCs w:val="24"/>
                <w:rtl/>
                <w:lang w:bidi="ar-EG"/>
              </w:rPr>
              <w:t>المجموع</w:t>
            </w:r>
          </w:p>
        </w:tc>
        <w:tc>
          <w:tcPr>
            <w:tcW w:w="476" w:type="dxa"/>
            <w:tcBorders>
              <w:top w:val="single" w:sz="4" w:space="0" w:color="auto"/>
              <w:bottom w:val="single" w:sz="12"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rPr>
                <w:rFonts w:hint="cs"/>
                <w:i/>
                <w:iCs/>
                <w:w w:val="95"/>
                <w:sz w:val="16"/>
                <w:szCs w:val="24"/>
                <w:rtl/>
                <w:lang w:bidi="ar-EG"/>
              </w:rPr>
            </w:pPr>
            <w:r w:rsidRPr="00513ACD">
              <w:rPr>
                <w:rFonts w:hint="cs"/>
                <w:i/>
                <w:iCs/>
                <w:w w:val="95"/>
                <w:sz w:val="16"/>
                <w:szCs w:val="24"/>
                <w:rtl/>
                <w:lang w:bidi="ar-EG"/>
              </w:rPr>
              <w:t>إناث</w:t>
            </w:r>
          </w:p>
        </w:tc>
        <w:tc>
          <w:tcPr>
            <w:tcW w:w="588" w:type="dxa"/>
            <w:tcBorders>
              <w:top w:val="single" w:sz="4" w:space="0" w:color="auto"/>
              <w:bottom w:val="single" w:sz="12"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rPr>
                <w:rFonts w:hint="cs"/>
                <w:i/>
                <w:iCs/>
                <w:w w:val="95"/>
                <w:sz w:val="16"/>
                <w:szCs w:val="24"/>
                <w:rtl/>
                <w:lang w:bidi="ar-EG"/>
              </w:rPr>
            </w:pPr>
            <w:r w:rsidRPr="00513ACD">
              <w:rPr>
                <w:rFonts w:hint="cs"/>
                <w:i/>
                <w:iCs/>
                <w:w w:val="95"/>
                <w:sz w:val="16"/>
                <w:szCs w:val="24"/>
                <w:rtl/>
                <w:lang w:bidi="ar-EG"/>
              </w:rPr>
              <w:t>ذكور</w:t>
            </w:r>
          </w:p>
        </w:tc>
        <w:tc>
          <w:tcPr>
            <w:tcW w:w="658" w:type="dxa"/>
            <w:tcBorders>
              <w:top w:val="single" w:sz="4" w:space="0" w:color="auto"/>
              <w:bottom w:val="single" w:sz="12"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rPr>
                <w:rFonts w:hint="cs"/>
                <w:i/>
                <w:iCs/>
                <w:w w:val="95"/>
                <w:sz w:val="16"/>
                <w:szCs w:val="24"/>
                <w:rtl/>
                <w:lang w:bidi="ar-EG"/>
              </w:rPr>
            </w:pPr>
            <w:r w:rsidRPr="00513ACD">
              <w:rPr>
                <w:rFonts w:hint="cs"/>
                <w:i/>
                <w:iCs/>
                <w:w w:val="95"/>
                <w:sz w:val="16"/>
                <w:szCs w:val="24"/>
                <w:rtl/>
                <w:lang w:bidi="ar-EG"/>
              </w:rPr>
              <w:t>المجموع</w:t>
            </w:r>
          </w:p>
        </w:tc>
        <w:tc>
          <w:tcPr>
            <w:tcW w:w="686" w:type="dxa"/>
            <w:tcBorders>
              <w:top w:val="single" w:sz="4" w:space="0" w:color="auto"/>
              <w:bottom w:val="single" w:sz="12"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rPr>
                <w:rFonts w:hint="cs"/>
                <w:i/>
                <w:iCs/>
                <w:w w:val="95"/>
                <w:sz w:val="16"/>
                <w:szCs w:val="24"/>
                <w:rtl/>
                <w:lang w:bidi="ar-EG"/>
              </w:rPr>
            </w:pPr>
            <w:r w:rsidRPr="00513ACD">
              <w:rPr>
                <w:rFonts w:hint="cs"/>
                <w:i/>
                <w:iCs/>
                <w:w w:val="95"/>
                <w:sz w:val="16"/>
                <w:szCs w:val="24"/>
                <w:rtl/>
                <w:lang w:bidi="ar-EG"/>
              </w:rPr>
              <w:t>إناث</w:t>
            </w:r>
          </w:p>
        </w:tc>
        <w:tc>
          <w:tcPr>
            <w:tcW w:w="644" w:type="dxa"/>
            <w:tcBorders>
              <w:top w:val="single" w:sz="4" w:space="0" w:color="auto"/>
              <w:bottom w:val="single" w:sz="12"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rPr>
                <w:rFonts w:hint="cs"/>
                <w:i/>
                <w:iCs/>
                <w:w w:val="95"/>
                <w:sz w:val="16"/>
                <w:szCs w:val="24"/>
                <w:rtl/>
                <w:lang w:bidi="ar-EG"/>
              </w:rPr>
            </w:pPr>
            <w:r w:rsidRPr="00513ACD">
              <w:rPr>
                <w:rFonts w:hint="cs"/>
                <w:i/>
                <w:iCs/>
                <w:w w:val="95"/>
                <w:sz w:val="16"/>
                <w:szCs w:val="24"/>
                <w:rtl/>
                <w:lang w:bidi="ar-EG"/>
              </w:rPr>
              <w:t>ذكور</w:t>
            </w:r>
          </w:p>
        </w:tc>
        <w:tc>
          <w:tcPr>
            <w:tcW w:w="644" w:type="dxa"/>
            <w:tcBorders>
              <w:top w:val="single" w:sz="4" w:space="0" w:color="auto"/>
              <w:bottom w:val="single" w:sz="12"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rPr>
                <w:rFonts w:hint="cs"/>
                <w:i/>
                <w:iCs/>
                <w:w w:val="95"/>
                <w:sz w:val="16"/>
                <w:szCs w:val="24"/>
                <w:rtl/>
                <w:lang w:bidi="ar-EG"/>
              </w:rPr>
            </w:pPr>
            <w:r w:rsidRPr="00513ACD">
              <w:rPr>
                <w:rFonts w:hint="cs"/>
                <w:i/>
                <w:iCs/>
                <w:w w:val="95"/>
                <w:sz w:val="16"/>
                <w:szCs w:val="24"/>
                <w:rtl/>
                <w:lang w:bidi="ar-EG"/>
              </w:rPr>
              <w:t>المجموع</w:t>
            </w:r>
          </w:p>
        </w:tc>
        <w:tc>
          <w:tcPr>
            <w:tcW w:w="728" w:type="dxa"/>
            <w:vMerge/>
            <w:tcBorders>
              <w:top w:val="single" w:sz="4" w:space="0" w:color="auto"/>
              <w:bottom w:val="single" w:sz="12" w:space="0" w:color="auto"/>
            </w:tcBorders>
            <w:shd w:val="clear" w:color="auto" w:fill="auto"/>
            <w:vAlign w:val="bottom"/>
          </w:tcPr>
          <w:p w:rsidR="000B7434" w:rsidRPr="00513ACD" w:rsidRDefault="000B7434" w:rsidP="00513ACD">
            <w:pPr>
              <w:tabs>
                <w:tab w:val="left" w:pos="662"/>
                <w:tab w:val="left" w:pos="1267"/>
                <w:tab w:val="left" w:pos="1987"/>
                <w:tab w:val="left" w:pos="2650"/>
              </w:tabs>
              <w:spacing w:before="40" w:after="40" w:line="280" w:lineRule="exact"/>
              <w:ind w:left="57"/>
              <w:rPr>
                <w:rFonts w:hint="cs"/>
                <w:sz w:val="16"/>
                <w:szCs w:val="24"/>
                <w:rtl/>
                <w:lang w:bidi="ar-EG"/>
              </w:rPr>
            </w:pPr>
          </w:p>
        </w:tc>
      </w:tr>
      <w:tr w:rsidR="000B7434" w:rsidRPr="00513ACD" w:rsidTr="007E31C1">
        <w:tblPrEx>
          <w:tblCellMar>
            <w:top w:w="0" w:type="dxa"/>
            <w:bottom w:w="0" w:type="dxa"/>
          </w:tblCellMar>
        </w:tblPrEx>
        <w:trPr>
          <w:cantSplit/>
        </w:trPr>
        <w:tc>
          <w:tcPr>
            <w:tcW w:w="910" w:type="dxa"/>
            <w:tcBorders>
              <w:top w:val="single" w:sz="12" w:space="0" w:color="auto"/>
            </w:tcBorders>
            <w:shd w:val="clear" w:color="auto" w:fill="auto"/>
          </w:tcPr>
          <w:p w:rsidR="000B7434" w:rsidRPr="00513ACD" w:rsidRDefault="000B7434" w:rsidP="007E31C1">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1</w:t>
            </w:r>
          </w:p>
        </w:tc>
        <w:tc>
          <w:tcPr>
            <w:tcW w:w="1218" w:type="dxa"/>
            <w:tcBorders>
              <w:top w:val="single" w:sz="12" w:space="0" w:color="auto"/>
            </w:tcBorders>
            <w:shd w:val="clear" w:color="auto" w:fill="auto"/>
          </w:tcPr>
          <w:p w:rsidR="000B7434" w:rsidRPr="007E31C1" w:rsidRDefault="000B7434" w:rsidP="007E31C1">
            <w:pPr>
              <w:tabs>
                <w:tab w:val="left" w:pos="662"/>
                <w:tab w:val="left" w:pos="1267"/>
                <w:tab w:val="left" w:pos="1987"/>
                <w:tab w:val="left" w:pos="2650"/>
              </w:tabs>
              <w:bidi w:val="0"/>
              <w:spacing w:before="40" w:after="40" w:line="280" w:lineRule="exact"/>
              <w:ind w:left="113"/>
              <w:jc w:val="left"/>
              <w:rPr>
                <w:spacing w:val="-2"/>
                <w:w w:val="95"/>
                <w:sz w:val="16"/>
                <w:szCs w:val="24"/>
                <w:lang w:bidi="ar-EG"/>
              </w:rPr>
            </w:pPr>
            <w:smartTag w:uri="urn:schemas-microsoft-com:office:smarttags" w:element="country-region">
              <w:smartTag w:uri="urn:schemas-microsoft-com:office:smarttags" w:element="place">
                <w:r w:rsidRPr="007E31C1">
                  <w:rPr>
                    <w:spacing w:val="-2"/>
                    <w:w w:val="95"/>
                    <w:sz w:val="16"/>
                    <w:szCs w:val="24"/>
                    <w:lang w:bidi="ar-EG"/>
                  </w:rPr>
                  <w:t>Nepal</w:t>
                </w:r>
              </w:smartTag>
            </w:smartTag>
            <w:r w:rsidRPr="007E31C1">
              <w:rPr>
                <w:spacing w:val="-2"/>
                <w:w w:val="95"/>
                <w:sz w:val="16"/>
                <w:szCs w:val="24"/>
                <w:lang w:bidi="ar-EG"/>
              </w:rPr>
              <w:t xml:space="preserve"> Communist Party (Maoists)</w:t>
            </w:r>
          </w:p>
        </w:tc>
        <w:tc>
          <w:tcPr>
            <w:tcW w:w="615" w:type="dxa"/>
            <w:tcBorders>
              <w:top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24</w:t>
            </w:r>
          </w:p>
        </w:tc>
        <w:tc>
          <w:tcPr>
            <w:tcW w:w="630" w:type="dxa"/>
            <w:tcBorders>
              <w:top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96</w:t>
            </w:r>
          </w:p>
        </w:tc>
        <w:tc>
          <w:tcPr>
            <w:tcW w:w="560" w:type="dxa"/>
            <w:tcBorders>
              <w:top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120</w:t>
            </w:r>
          </w:p>
        </w:tc>
        <w:tc>
          <w:tcPr>
            <w:tcW w:w="476" w:type="dxa"/>
            <w:tcBorders>
              <w:top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50</w:t>
            </w:r>
          </w:p>
        </w:tc>
        <w:tc>
          <w:tcPr>
            <w:tcW w:w="588" w:type="dxa"/>
            <w:tcBorders>
              <w:top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50</w:t>
            </w:r>
          </w:p>
        </w:tc>
        <w:tc>
          <w:tcPr>
            <w:tcW w:w="658" w:type="dxa"/>
            <w:tcBorders>
              <w:top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100</w:t>
            </w:r>
          </w:p>
        </w:tc>
        <w:tc>
          <w:tcPr>
            <w:tcW w:w="686" w:type="dxa"/>
            <w:tcBorders>
              <w:top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3</w:t>
            </w:r>
          </w:p>
        </w:tc>
        <w:tc>
          <w:tcPr>
            <w:tcW w:w="644" w:type="dxa"/>
            <w:tcBorders>
              <w:top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6</w:t>
            </w:r>
          </w:p>
        </w:tc>
        <w:tc>
          <w:tcPr>
            <w:tcW w:w="644" w:type="dxa"/>
            <w:tcBorders>
              <w:top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9</w:t>
            </w:r>
          </w:p>
        </w:tc>
        <w:tc>
          <w:tcPr>
            <w:tcW w:w="728" w:type="dxa"/>
            <w:tcBorders>
              <w:top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229</w:t>
            </w:r>
          </w:p>
        </w:tc>
      </w:tr>
      <w:tr w:rsidR="000B7434" w:rsidRPr="00513ACD" w:rsidTr="007E31C1">
        <w:tblPrEx>
          <w:tblCellMar>
            <w:top w:w="0" w:type="dxa"/>
            <w:bottom w:w="0" w:type="dxa"/>
          </w:tblCellMar>
        </w:tblPrEx>
        <w:trPr>
          <w:cantSplit/>
        </w:trPr>
        <w:tc>
          <w:tcPr>
            <w:tcW w:w="910" w:type="dxa"/>
            <w:shd w:val="clear" w:color="auto" w:fill="auto"/>
          </w:tcPr>
          <w:p w:rsidR="000B7434" w:rsidRPr="00513ACD" w:rsidRDefault="000B7434" w:rsidP="007E31C1">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2</w:t>
            </w:r>
          </w:p>
        </w:tc>
        <w:tc>
          <w:tcPr>
            <w:tcW w:w="1218" w:type="dxa"/>
            <w:shd w:val="clear" w:color="auto" w:fill="auto"/>
          </w:tcPr>
          <w:p w:rsidR="000B7434" w:rsidRPr="007E31C1" w:rsidRDefault="000B7434" w:rsidP="007E31C1">
            <w:pPr>
              <w:tabs>
                <w:tab w:val="left" w:pos="662"/>
                <w:tab w:val="left" w:pos="1267"/>
                <w:tab w:val="left" w:pos="1987"/>
                <w:tab w:val="left" w:pos="2650"/>
              </w:tabs>
              <w:bidi w:val="0"/>
              <w:spacing w:before="40" w:after="40" w:line="280" w:lineRule="exact"/>
              <w:ind w:left="113"/>
              <w:jc w:val="left"/>
              <w:rPr>
                <w:spacing w:val="-2"/>
                <w:w w:val="95"/>
                <w:sz w:val="16"/>
                <w:szCs w:val="24"/>
                <w:lang w:bidi="ar-EG"/>
              </w:rPr>
            </w:pPr>
            <w:r w:rsidRPr="007E31C1">
              <w:rPr>
                <w:spacing w:val="-2"/>
                <w:w w:val="95"/>
                <w:sz w:val="16"/>
                <w:szCs w:val="24"/>
                <w:lang w:bidi="ar-EG"/>
              </w:rPr>
              <w:t>Nepali Congress</w:t>
            </w:r>
          </w:p>
        </w:tc>
        <w:tc>
          <w:tcPr>
            <w:tcW w:w="615"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2</w:t>
            </w:r>
          </w:p>
        </w:tc>
        <w:tc>
          <w:tcPr>
            <w:tcW w:w="630"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35</w:t>
            </w:r>
          </w:p>
        </w:tc>
        <w:tc>
          <w:tcPr>
            <w:tcW w:w="560"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37</w:t>
            </w:r>
          </w:p>
        </w:tc>
        <w:tc>
          <w:tcPr>
            <w:tcW w:w="476"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36</w:t>
            </w:r>
          </w:p>
        </w:tc>
        <w:tc>
          <w:tcPr>
            <w:tcW w:w="588"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37</w:t>
            </w:r>
          </w:p>
        </w:tc>
        <w:tc>
          <w:tcPr>
            <w:tcW w:w="658"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73</w:t>
            </w:r>
          </w:p>
        </w:tc>
        <w:tc>
          <w:tcPr>
            <w:tcW w:w="686"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1</w:t>
            </w:r>
          </w:p>
        </w:tc>
        <w:tc>
          <w:tcPr>
            <w:tcW w:w="644"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4</w:t>
            </w:r>
          </w:p>
        </w:tc>
        <w:tc>
          <w:tcPr>
            <w:tcW w:w="644"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5</w:t>
            </w:r>
          </w:p>
        </w:tc>
        <w:tc>
          <w:tcPr>
            <w:tcW w:w="728"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115</w:t>
            </w:r>
          </w:p>
        </w:tc>
      </w:tr>
      <w:tr w:rsidR="000B7434" w:rsidRPr="00513ACD" w:rsidTr="007E31C1">
        <w:tblPrEx>
          <w:tblCellMar>
            <w:top w:w="0" w:type="dxa"/>
            <w:bottom w:w="0" w:type="dxa"/>
          </w:tblCellMar>
        </w:tblPrEx>
        <w:trPr>
          <w:cantSplit/>
        </w:trPr>
        <w:tc>
          <w:tcPr>
            <w:tcW w:w="910" w:type="dxa"/>
            <w:shd w:val="clear" w:color="auto" w:fill="auto"/>
          </w:tcPr>
          <w:p w:rsidR="000B7434" w:rsidRPr="00513ACD" w:rsidRDefault="000B7434" w:rsidP="007E31C1">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3</w:t>
            </w:r>
          </w:p>
        </w:tc>
        <w:tc>
          <w:tcPr>
            <w:tcW w:w="1218" w:type="dxa"/>
            <w:shd w:val="clear" w:color="auto" w:fill="auto"/>
          </w:tcPr>
          <w:p w:rsidR="000B7434" w:rsidRPr="007E31C1" w:rsidRDefault="000B7434" w:rsidP="007E31C1">
            <w:pPr>
              <w:tabs>
                <w:tab w:val="left" w:pos="662"/>
                <w:tab w:val="left" w:pos="1267"/>
                <w:tab w:val="left" w:pos="1987"/>
                <w:tab w:val="left" w:pos="2650"/>
              </w:tabs>
              <w:bidi w:val="0"/>
              <w:spacing w:before="40" w:after="40" w:line="280" w:lineRule="exact"/>
              <w:ind w:left="113"/>
              <w:jc w:val="left"/>
              <w:rPr>
                <w:spacing w:val="-2"/>
                <w:w w:val="95"/>
                <w:sz w:val="16"/>
                <w:szCs w:val="24"/>
                <w:rtl/>
                <w:lang w:bidi="ar-EG"/>
              </w:rPr>
            </w:pPr>
            <w:r w:rsidRPr="007E31C1">
              <w:rPr>
                <w:spacing w:val="-2"/>
                <w:w w:val="95"/>
                <w:sz w:val="16"/>
                <w:szCs w:val="24"/>
                <w:lang w:bidi="ar-EG"/>
              </w:rPr>
              <w:t>CPN-UML</w:t>
            </w:r>
            <w:r w:rsidR="00513ACD" w:rsidRPr="007E31C1">
              <w:rPr>
                <w:spacing w:val="-2"/>
                <w:w w:val="95"/>
                <w:sz w:val="16"/>
                <w:szCs w:val="24"/>
                <w:lang w:val="fr-CH" w:bidi="ar-EG"/>
              </w:rPr>
              <w:br/>
            </w:r>
            <w:r w:rsidRPr="007E31C1">
              <w:rPr>
                <w:spacing w:val="-2"/>
                <w:w w:val="95"/>
                <w:sz w:val="16"/>
                <w:szCs w:val="24"/>
                <w:lang w:bidi="ar-EG"/>
              </w:rPr>
              <w:t>Madhesi Janadhikar</w:t>
            </w:r>
          </w:p>
        </w:tc>
        <w:tc>
          <w:tcPr>
            <w:tcW w:w="615"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1</w:t>
            </w:r>
          </w:p>
        </w:tc>
        <w:tc>
          <w:tcPr>
            <w:tcW w:w="630"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32</w:t>
            </w:r>
          </w:p>
        </w:tc>
        <w:tc>
          <w:tcPr>
            <w:tcW w:w="560"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33</w:t>
            </w:r>
          </w:p>
        </w:tc>
        <w:tc>
          <w:tcPr>
            <w:tcW w:w="476"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35</w:t>
            </w:r>
          </w:p>
        </w:tc>
        <w:tc>
          <w:tcPr>
            <w:tcW w:w="588"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35</w:t>
            </w:r>
          </w:p>
        </w:tc>
        <w:tc>
          <w:tcPr>
            <w:tcW w:w="658"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70</w:t>
            </w:r>
          </w:p>
        </w:tc>
        <w:tc>
          <w:tcPr>
            <w:tcW w:w="686"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2</w:t>
            </w:r>
          </w:p>
        </w:tc>
        <w:tc>
          <w:tcPr>
            <w:tcW w:w="644"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3</w:t>
            </w:r>
          </w:p>
        </w:tc>
        <w:tc>
          <w:tcPr>
            <w:tcW w:w="644"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5</w:t>
            </w:r>
          </w:p>
        </w:tc>
        <w:tc>
          <w:tcPr>
            <w:tcW w:w="728"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108</w:t>
            </w:r>
          </w:p>
        </w:tc>
      </w:tr>
      <w:tr w:rsidR="000B7434" w:rsidRPr="00513ACD" w:rsidTr="007E31C1">
        <w:tblPrEx>
          <w:tblCellMar>
            <w:top w:w="0" w:type="dxa"/>
            <w:bottom w:w="0" w:type="dxa"/>
          </w:tblCellMar>
        </w:tblPrEx>
        <w:trPr>
          <w:cantSplit/>
        </w:trPr>
        <w:tc>
          <w:tcPr>
            <w:tcW w:w="910" w:type="dxa"/>
            <w:shd w:val="clear" w:color="auto" w:fill="auto"/>
          </w:tcPr>
          <w:p w:rsidR="000B7434" w:rsidRPr="00513ACD" w:rsidRDefault="000B7434" w:rsidP="007E31C1">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4</w:t>
            </w:r>
          </w:p>
        </w:tc>
        <w:tc>
          <w:tcPr>
            <w:tcW w:w="1218" w:type="dxa"/>
            <w:shd w:val="clear" w:color="auto" w:fill="auto"/>
          </w:tcPr>
          <w:p w:rsidR="000B7434" w:rsidRPr="007E31C1" w:rsidRDefault="000B7434" w:rsidP="007E31C1">
            <w:pPr>
              <w:tabs>
                <w:tab w:val="left" w:pos="662"/>
                <w:tab w:val="left" w:pos="1267"/>
                <w:tab w:val="left" w:pos="1987"/>
                <w:tab w:val="left" w:pos="2650"/>
              </w:tabs>
              <w:bidi w:val="0"/>
              <w:spacing w:before="40" w:after="40" w:line="280" w:lineRule="exact"/>
              <w:ind w:left="113"/>
              <w:jc w:val="left"/>
              <w:rPr>
                <w:spacing w:val="-2"/>
                <w:w w:val="95"/>
                <w:sz w:val="16"/>
                <w:szCs w:val="24"/>
                <w:rtl/>
                <w:lang w:bidi="ar-EG"/>
              </w:rPr>
            </w:pPr>
            <w:smartTag w:uri="urn:schemas-microsoft-com:office:smarttags" w:element="place">
              <w:smartTag w:uri="urn:schemas-microsoft-com:office:smarttags" w:element="City">
                <w:r w:rsidRPr="007E31C1">
                  <w:rPr>
                    <w:spacing w:val="-2"/>
                    <w:w w:val="95"/>
                    <w:sz w:val="16"/>
                    <w:szCs w:val="24"/>
                    <w:lang w:bidi="ar-EG"/>
                  </w:rPr>
                  <w:t>Forum</w:t>
                </w:r>
              </w:smartTag>
              <w:r w:rsidRPr="007E31C1">
                <w:rPr>
                  <w:spacing w:val="-2"/>
                  <w:w w:val="95"/>
                  <w:sz w:val="16"/>
                  <w:szCs w:val="24"/>
                  <w:lang w:bidi="ar-EG"/>
                </w:rPr>
                <w:t xml:space="preserve">, </w:t>
              </w:r>
              <w:smartTag w:uri="urn:schemas-microsoft-com:office:smarttags" w:element="country-region">
                <w:r w:rsidRPr="007E31C1">
                  <w:rPr>
                    <w:spacing w:val="-2"/>
                    <w:w w:val="95"/>
                    <w:sz w:val="16"/>
                    <w:szCs w:val="24"/>
                    <w:lang w:bidi="ar-EG"/>
                  </w:rPr>
                  <w:t>Nepal</w:t>
                </w:r>
              </w:smartTag>
            </w:smartTag>
          </w:p>
        </w:tc>
        <w:tc>
          <w:tcPr>
            <w:tcW w:w="615"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2</w:t>
            </w:r>
          </w:p>
        </w:tc>
        <w:tc>
          <w:tcPr>
            <w:tcW w:w="630"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28</w:t>
            </w:r>
          </w:p>
        </w:tc>
        <w:tc>
          <w:tcPr>
            <w:tcW w:w="560"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30</w:t>
            </w:r>
          </w:p>
        </w:tc>
        <w:tc>
          <w:tcPr>
            <w:tcW w:w="476"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11</w:t>
            </w:r>
          </w:p>
        </w:tc>
        <w:tc>
          <w:tcPr>
            <w:tcW w:w="588"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11</w:t>
            </w:r>
          </w:p>
        </w:tc>
        <w:tc>
          <w:tcPr>
            <w:tcW w:w="658"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22</w:t>
            </w:r>
          </w:p>
        </w:tc>
        <w:tc>
          <w:tcPr>
            <w:tcW w:w="686" w:type="dxa"/>
            <w:shd w:val="clear" w:color="auto" w:fill="auto"/>
          </w:tcPr>
          <w:p w:rsidR="000B7434" w:rsidRPr="00513ACD" w:rsidRDefault="00513ACD"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2</w:t>
            </w:r>
          </w:p>
        </w:tc>
        <w:tc>
          <w:tcPr>
            <w:tcW w:w="644"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2</w:t>
            </w:r>
          </w:p>
        </w:tc>
        <w:tc>
          <w:tcPr>
            <w:tcW w:w="728" w:type="dxa"/>
            <w:shd w:val="clear" w:color="auto" w:fill="auto"/>
          </w:tcPr>
          <w:p w:rsidR="000B7434" w:rsidRPr="00513ACD" w:rsidRDefault="000B7434"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54</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7E31C1">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5</w:t>
            </w:r>
          </w:p>
        </w:tc>
        <w:tc>
          <w:tcPr>
            <w:tcW w:w="1218" w:type="dxa"/>
            <w:shd w:val="clear" w:color="auto" w:fill="auto"/>
          </w:tcPr>
          <w:p w:rsidR="00513ACD" w:rsidRPr="007E31C1" w:rsidRDefault="00513ACD" w:rsidP="007E31C1">
            <w:pPr>
              <w:tabs>
                <w:tab w:val="left" w:pos="662"/>
                <w:tab w:val="left" w:pos="1267"/>
                <w:tab w:val="left" w:pos="1987"/>
                <w:tab w:val="left" w:pos="2650"/>
              </w:tabs>
              <w:bidi w:val="0"/>
              <w:spacing w:before="40" w:after="40" w:line="280" w:lineRule="exact"/>
              <w:ind w:left="113"/>
              <w:jc w:val="left"/>
              <w:rPr>
                <w:spacing w:val="-2"/>
                <w:w w:val="95"/>
                <w:sz w:val="16"/>
                <w:szCs w:val="24"/>
                <w:rtl/>
                <w:lang w:bidi="ar-EG"/>
              </w:rPr>
            </w:pPr>
            <w:r w:rsidRPr="007E31C1">
              <w:rPr>
                <w:spacing w:val="-2"/>
                <w:w w:val="95"/>
                <w:sz w:val="16"/>
                <w:szCs w:val="24"/>
                <w:lang w:bidi="ar-EG"/>
              </w:rPr>
              <w:t>Terai Madhes Loktantrik Party</w:t>
            </w:r>
          </w:p>
        </w:tc>
        <w:tc>
          <w:tcPr>
            <w:tcW w:w="615" w:type="dxa"/>
            <w:shd w:val="clear" w:color="auto" w:fill="auto"/>
          </w:tcPr>
          <w:p w:rsidR="00513ACD" w:rsidRPr="00513ACD" w:rsidRDefault="00513ACD"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1</w:t>
            </w:r>
          </w:p>
        </w:tc>
        <w:tc>
          <w:tcPr>
            <w:tcW w:w="630" w:type="dxa"/>
            <w:shd w:val="clear" w:color="auto" w:fill="auto"/>
          </w:tcPr>
          <w:p w:rsidR="00513ACD" w:rsidRPr="00513ACD" w:rsidRDefault="00513ACD"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8</w:t>
            </w:r>
          </w:p>
        </w:tc>
        <w:tc>
          <w:tcPr>
            <w:tcW w:w="560" w:type="dxa"/>
            <w:shd w:val="clear" w:color="auto" w:fill="auto"/>
          </w:tcPr>
          <w:p w:rsidR="00513ACD" w:rsidRPr="00513ACD" w:rsidRDefault="00513ACD"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9</w:t>
            </w:r>
          </w:p>
        </w:tc>
        <w:tc>
          <w:tcPr>
            <w:tcW w:w="476" w:type="dxa"/>
            <w:shd w:val="clear" w:color="auto" w:fill="auto"/>
          </w:tcPr>
          <w:p w:rsidR="00513ACD" w:rsidRPr="00513ACD" w:rsidRDefault="00513ACD"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5</w:t>
            </w:r>
          </w:p>
        </w:tc>
        <w:tc>
          <w:tcPr>
            <w:tcW w:w="588" w:type="dxa"/>
            <w:shd w:val="clear" w:color="auto" w:fill="auto"/>
          </w:tcPr>
          <w:p w:rsidR="00513ACD" w:rsidRPr="00513ACD" w:rsidRDefault="00513ACD"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6</w:t>
            </w:r>
          </w:p>
        </w:tc>
        <w:tc>
          <w:tcPr>
            <w:tcW w:w="658" w:type="dxa"/>
            <w:shd w:val="clear" w:color="auto" w:fill="auto"/>
          </w:tcPr>
          <w:p w:rsidR="00513ACD" w:rsidRPr="00513ACD" w:rsidRDefault="00513ACD"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11</w:t>
            </w:r>
          </w:p>
        </w:tc>
        <w:tc>
          <w:tcPr>
            <w:tcW w:w="686" w:type="dxa"/>
            <w:shd w:val="clear" w:color="auto" w:fill="auto"/>
          </w:tcPr>
          <w:p w:rsidR="00513ACD" w:rsidRPr="00513ACD" w:rsidRDefault="00513ACD"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1</w:t>
            </w:r>
          </w:p>
        </w:tc>
        <w:tc>
          <w:tcPr>
            <w:tcW w:w="644" w:type="dxa"/>
            <w:shd w:val="clear" w:color="auto" w:fill="auto"/>
          </w:tcPr>
          <w:p w:rsidR="00513ACD" w:rsidRPr="00513ACD" w:rsidRDefault="00513ACD"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1</w:t>
            </w:r>
          </w:p>
        </w:tc>
        <w:tc>
          <w:tcPr>
            <w:tcW w:w="728" w:type="dxa"/>
            <w:shd w:val="clear" w:color="auto" w:fill="auto"/>
          </w:tcPr>
          <w:p w:rsidR="00513ACD" w:rsidRPr="00513ACD" w:rsidRDefault="00513ACD" w:rsidP="00513ACD">
            <w:pPr>
              <w:tabs>
                <w:tab w:val="left" w:pos="662"/>
                <w:tab w:val="left" w:pos="1267"/>
                <w:tab w:val="left" w:pos="1987"/>
                <w:tab w:val="left" w:pos="2650"/>
              </w:tabs>
              <w:spacing w:before="40" w:after="40" w:line="280" w:lineRule="exact"/>
              <w:ind w:left="57"/>
              <w:jc w:val="left"/>
              <w:rPr>
                <w:rFonts w:hint="cs"/>
                <w:w w:val="95"/>
                <w:sz w:val="16"/>
                <w:szCs w:val="24"/>
                <w:rtl/>
                <w:lang w:bidi="ar-EG"/>
              </w:rPr>
            </w:pPr>
            <w:r w:rsidRPr="00513ACD">
              <w:rPr>
                <w:rFonts w:hint="cs"/>
                <w:w w:val="95"/>
                <w:sz w:val="16"/>
                <w:szCs w:val="24"/>
                <w:rtl/>
                <w:lang w:bidi="ar-EG"/>
              </w:rPr>
              <w:t>21</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6</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lang w:val="fr-CH" w:bidi="ar-EG"/>
              </w:rPr>
            </w:pPr>
            <w:r w:rsidRPr="007E31C1">
              <w:rPr>
                <w:spacing w:val="-2"/>
                <w:w w:val="95"/>
                <w:sz w:val="16"/>
                <w:szCs w:val="24"/>
                <w:lang w:bidi="ar-EG"/>
              </w:rPr>
              <w:t>Sadhbhavana Party</w:t>
            </w:r>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4</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4</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3</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5</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9</w:t>
            </w:r>
          </w:p>
        </w:tc>
      </w:tr>
      <w:tr w:rsidR="007E31C1" w:rsidRPr="00513ACD" w:rsidTr="007E31C1">
        <w:tblPrEx>
          <w:tblCellMar>
            <w:top w:w="0" w:type="dxa"/>
            <w:bottom w:w="0" w:type="dxa"/>
          </w:tblCellMar>
        </w:tblPrEx>
        <w:trPr>
          <w:cantSplit/>
        </w:trPr>
        <w:tc>
          <w:tcPr>
            <w:tcW w:w="910"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7</w:t>
            </w:r>
          </w:p>
        </w:tc>
        <w:tc>
          <w:tcPr>
            <w:tcW w:w="1218" w:type="dxa"/>
            <w:shd w:val="clear" w:color="auto" w:fill="auto"/>
          </w:tcPr>
          <w:p w:rsidR="007E31C1" w:rsidRPr="007E31C1" w:rsidRDefault="007E31C1" w:rsidP="00BA0E0C">
            <w:pPr>
              <w:tabs>
                <w:tab w:val="left" w:pos="662"/>
                <w:tab w:val="left" w:pos="1267"/>
                <w:tab w:val="left" w:pos="1987"/>
                <w:tab w:val="left" w:pos="2650"/>
              </w:tabs>
              <w:bidi w:val="0"/>
              <w:spacing w:before="40" w:after="40" w:line="270" w:lineRule="exact"/>
              <w:ind w:left="113"/>
              <w:jc w:val="left"/>
              <w:rPr>
                <w:spacing w:val="-2"/>
                <w:w w:val="95"/>
                <w:sz w:val="16"/>
                <w:szCs w:val="24"/>
                <w:lang w:bidi="ar-EG"/>
              </w:rPr>
            </w:pPr>
            <w:r w:rsidRPr="007E31C1">
              <w:rPr>
                <w:spacing w:val="-2"/>
                <w:w w:val="95"/>
                <w:sz w:val="16"/>
                <w:szCs w:val="24"/>
                <w:lang w:bidi="ar-EG"/>
              </w:rPr>
              <w:t xml:space="preserve">Janamorcha </w:t>
            </w:r>
            <w:smartTag w:uri="urn:schemas-microsoft-com:office:smarttags" w:element="country-region">
              <w:smartTag w:uri="urn:schemas-microsoft-com:office:smarttags" w:element="place">
                <w:r w:rsidRPr="007E31C1">
                  <w:rPr>
                    <w:spacing w:val="-2"/>
                    <w:w w:val="95"/>
                    <w:sz w:val="16"/>
                    <w:szCs w:val="24"/>
                    <w:lang w:bidi="ar-EG"/>
                  </w:rPr>
                  <w:t>Nepal</w:t>
                </w:r>
              </w:smartTag>
            </w:smartTag>
          </w:p>
        </w:tc>
        <w:tc>
          <w:tcPr>
            <w:tcW w:w="615" w:type="dxa"/>
            <w:shd w:val="clear" w:color="auto" w:fill="auto"/>
          </w:tcPr>
          <w:p w:rsidR="007E31C1" w:rsidRDefault="007E31C1" w:rsidP="00BA0E0C">
            <w:pPr>
              <w:spacing w:line="270" w:lineRule="exact"/>
            </w:pPr>
            <w:r w:rsidRPr="008B2A2E">
              <w:rPr>
                <w:rFonts w:hint="cs"/>
                <w:w w:val="95"/>
                <w:sz w:val="16"/>
                <w:szCs w:val="24"/>
                <w:rtl/>
                <w:lang w:bidi="ar-EG"/>
              </w:rPr>
              <w:t>صفر</w:t>
            </w:r>
          </w:p>
        </w:tc>
        <w:tc>
          <w:tcPr>
            <w:tcW w:w="630"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560"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476"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588"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3</w:t>
            </w:r>
          </w:p>
        </w:tc>
        <w:tc>
          <w:tcPr>
            <w:tcW w:w="658"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5</w:t>
            </w:r>
          </w:p>
        </w:tc>
        <w:tc>
          <w:tcPr>
            <w:tcW w:w="686"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44"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728"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8</w:t>
            </w:r>
          </w:p>
        </w:tc>
      </w:tr>
      <w:tr w:rsidR="007E31C1" w:rsidRPr="00513ACD" w:rsidTr="007E31C1">
        <w:tblPrEx>
          <w:tblCellMar>
            <w:top w:w="0" w:type="dxa"/>
            <w:bottom w:w="0" w:type="dxa"/>
          </w:tblCellMar>
        </w:tblPrEx>
        <w:trPr>
          <w:cantSplit/>
        </w:trPr>
        <w:tc>
          <w:tcPr>
            <w:tcW w:w="910"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8</w:t>
            </w:r>
          </w:p>
        </w:tc>
        <w:tc>
          <w:tcPr>
            <w:tcW w:w="1218" w:type="dxa"/>
            <w:shd w:val="clear" w:color="auto" w:fill="auto"/>
          </w:tcPr>
          <w:p w:rsidR="007E31C1" w:rsidRPr="007E31C1" w:rsidRDefault="007E31C1"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smartTag w:uri="urn:schemas-microsoft-com:office:smarttags" w:element="country-region">
              <w:smartTag w:uri="urn:schemas-microsoft-com:office:smarttags" w:element="place">
                <w:r w:rsidRPr="007E31C1">
                  <w:rPr>
                    <w:spacing w:val="-2"/>
                    <w:w w:val="95"/>
                    <w:sz w:val="16"/>
                    <w:szCs w:val="24"/>
                    <w:lang w:bidi="ar-EG"/>
                  </w:rPr>
                  <w:t>Nepal</w:t>
                </w:r>
              </w:smartTag>
            </w:smartTag>
            <w:r w:rsidRPr="007E31C1">
              <w:rPr>
                <w:spacing w:val="-2"/>
                <w:w w:val="95"/>
                <w:sz w:val="16"/>
                <w:szCs w:val="24"/>
                <w:lang w:bidi="ar-EG"/>
              </w:rPr>
              <w:t xml:space="preserve"> Workers Peasants Party</w:t>
            </w:r>
          </w:p>
        </w:tc>
        <w:tc>
          <w:tcPr>
            <w:tcW w:w="615" w:type="dxa"/>
            <w:shd w:val="clear" w:color="auto" w:fill="auto"/>
          </w:tcPr>
          <w:p w:rsidR="007E31C1" w:rsidRDefault="007E31C1" w:rsidP="00BA0E0C">
            <w:pPr>
              <w:spacing w:line="270" w:lineRule="exact"/>
            </w:pPr>
            <w:r w:rsidRPr="008B2A2E">
              <w:rPr>
                <w:rFonts w:hint="cs"/>
                <w:w w:val="95"/>
                <w:sz w:val="16"/>
                <w:szCs w:val="24"/>
                <w:rtl/>
                <w:lang w:bidi="ar-EG"/>
              </w:rPr>
              <w:t>صفر</w:t>
            </w:r>
          </w:p>
        </w:tc>
        <w:tc>
          <w:tcPr>
            <w:tcW w:w="630"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560"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476"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588"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58"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686"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44"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728" w:type="dxa"/>
            <w:shd w:val="clear" w:color="auto" w:fill="auto"/>
          </w:tcPr>
          <w:p w:rsidR="007E31C1" w:rsidRPr="00513ACD" w:rsidRDefault="007E31C1"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5</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9</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r w:rsidRPr="007E31C1">
              <w:rPr>
                <w:spacing w:val="-2"/>
                <w:w w:val="95"/>
                <w:sz w:val="16"/>
                <w:szCs w:val="24"/>
                <w:lang w:bidi="ar-EG"/>
              </w:rPr>
              <w:t>Rastriya Janamorcha</w:t>
            </w:r>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3</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4</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10</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r w:rsidRPr="007E31C1">
              <w:rPr>
                <w:spacing w:val="-2"/>
                <w:w w:val="95"/>
                <w:sz w:val="16"/>
                <w:szCs w:val="24"/>
                <w:lang w:bidi="ar-EG"/>
              </w:rPr>
              <w:t>Rastriya Prajatantra Party</w:t>
            </w:r>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4</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4</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8</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8</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11</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lang w:bidi="ar-EG"/>
              </w:rPr>
            </w:pPr>
            <w:r w:rsidRPr="007E31C1">
              <w:rPr>
                <w:spacing w:val="-2"/>
                <w:w w:val="95"/>
                <w:sz w:val="16"/>
                <w:szCs w:val="24"/>
                <w:lang w:bidi="ar-EG"/>
              </w:rPr>
              <w:t>CPN-ML</w:t>
            </w:r>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4</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4</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8</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9</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12</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r w:rsidRPr="007E31C1">
              <w:rPr>
                <w:spacing w:val="-2"/>
                <w:w w:val="95"/>
                <w:sz w:val="16"/>
                <w:szCs w:val="24"/>
                <w:lang w:bidi="ar-EG"/>
              </w:rPr>
              <w:t>Rastriya Janashkti Party</w:t>
            </w:r>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3</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3</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13</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r w:rsidRPr="007E31C1">
              <w:rPr>
                <w:spacing w:val="-2"/>
                <w:w w:val="95"/>
                <w:sz w:val="16"/>
                <w:szCs w:val="24"/>
                <w:lang w:bidi="ar-EG"/>
              </w:rPr>
              <w:t>Rastriya Prajantantric Party (</w:t>
            </w:r>
            <w:smartTag w:uri="urn:schemas-microsoft-com:office:smarttags" w:element="country-region">
              <w:smartTag w:uri="urn:schemas-microsoft-com:office:smarttags" w:element="place">
                <w:r w:rsidRPr="007E31C1">
                  <w:rPr>
                    <w:spacing w:val="-2"/>
                    <w:w w:val="95"/>
                    <w:sz w:val="16"/>
                    <w:szCs w:val="24"/>
                    <w:lang w:bidi="ar-EG"/>
                  </w:rPr>
                  <w:t>Nepal</w:t>
                </w:r>
              </w:smartTag>
            </w:smartTag>
            <w:r w:rsidRPr="007E31C1">
              <w:rPr>
                <w:spacing w:val="-2"/>
                <w:w w:val="95"/>
                <w:sz w:val="16"/>
                <w:szCs w:val="24"/>
                <w:lang w:bidi="ar-EG"/>
              </w:rPr>
              <w:t>)</w:t>
            </w:r>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4</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4</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14</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smartTag w:uri="urn:schemas-microsoft-com:office:smarttags" w:element="country-region">
              <w:smartTag w:uri="urn:schemas-microsoft-com:office:smarttags" w:element="place">
                <w:r w:rsidRPr="007E31C1">
                  <w:rPr>
                    <w:spacing w:val="-2"/>
                    <w:w w:val="95"/>
                    <w:sz w:val="16"/>
                    <w:szCs w:val="24"/>
                    <w:lang w:bidi="ar-EG"/>
                  </w:rPr>
                  <w:t>Nepal</w:t>
                </w:r>
              </w:smartTag>
            </w:smartTag>
            <w:r w:rsidRPr="007E31C1">
              <w:rPr>
                <w:spacing w:val="-2"/>
                <w:w w:val="95"/>
                <w:sz w:val="16"/>
                <w:szCs w:val="24"/>
                <w:lang w:bidi="ar-EG"/>
              </w:rPr>
              <w:t xml:space="preserve"> Communist Party (United)</w:t>
            </w:r>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15</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smartTag w:uri="urn:schemas-microsoft-com:office:smarttags" w:element="country-region">
              <w:smartTag w:uri="urn:schemas-microsoft-com:office:smarttags" w:element="place">
                <w:r w:rsidRPr="007E31C1">
                  <w:rPr>
                    <w:spacing w:val="-2"/>
                    <w:w w:val="95"/>
                    <w:sz w:val="16"/>
                    <w:szCs w:val="24"/>
                    <w:lang w:bidi="ar-EG"/>
                  </w:rPr>
                  <w:t>Nepal</w:t>
                </w:r>
              </w:smartTag>
            </w:smartTag>
            <w:r w:rsidRPr="007E31C1">
              <w:rPr>
                <w:spacing w:val="-2"/>
                <w:w w:val="95"/>
                <w:sz w:val="16"/>
                <w:szCs w:val="24"/>
                <w:lang w:bidi="ar-EG"/>
              </w:rPr>
              <w:t xml:space="preserve"> Sadhbhavana Party (Aanadadevi)</w:t>
            </w:r>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3</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16</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smartTag w:uri="urn:schemas-microsoft-com:office:smarttags" w:element="country-region">
              <w:smartTag w:uri="urn:schemas-microsoft-com:office:smarttags" w:element="place">
                <w:r w:rsidRPr="007E31C1">
                  <w:rPr>
                    <w:spacing w:val="-2"/>
                    <w:w w:val="95"/>
                    <w:sz w:val="16"/>
                    <w:szCs w:val="24"/>
                    <w:lang w:bidi="ar-EG"/>
                  </w:rPr>
                  <w:t>Nepal</w:t>
                </w:r>
              </w:smartTag>
            </w:smartTag>
            <w:r w:rsidRPr="007E31C1">
              <w:rPr>
                <w:spacing w:val="-2"/>
                <w:w w:val="95"/>
                <w:sz w:val="16"/>
                <w:szCs w:val="24"/>
                <w:lang w:bidi="ar-EG"/>
              </w:rPr>
              <w:t xml:space="preserve"> Communist Party (Samyukta)</w:t>
            </w:r>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3</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5</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5</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17</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r w:rsidRPr="007E31C1">
              <w:rPr>
                <w:spacing w:val="-2"/>
                <w:w w:val="95"/>
                <w:sz w:val="16"/>
                <w:szCs w:val="24"/>
                <w:lang w:bidi="ar-EG"/>
              </w:rPr>
              <w:t>Rastriya Janamukti Party</w:t>
            </w:r>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18</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r w:rsidRPr="007E31C1">
              <w:rPr>
                <w:spacing w:val="-2"/>
                <w:w w:val="95"/>
                <w:sz w:val="16"/>
                <w:szCs w:val="24"/>
                <w:lang w:bidi="ar-EG"/>
              </w:rPr>
              <w:t>Rastriya Manch</w:t>
            </w:r>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19</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r w:rsidRPr="007E31C1">
              <w:rPr>
                <w:spacing w:val="-2"/>
                <w:w w:val="95"/>
                <w:sz w:val="16"/>
                <w:szCs w:val="24"/>
                <w:lang w:bidi="ar-EG"/>
              </w:rPr>
              <w:t>Dalit Janajati Party</w:t>
            </w:r>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20</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r w:rsidRPr="007E31C1">
              <w:rPr>
                <w:spacing w:val="-2"/>
                <w:w w:val="95"/>
                <w:sz w:val="16"/>
                <w:szCs w:val="24"/>
                <w:lang w:bidi="ar-EG"/>
              </w:rPr>
              <w:t xml:space="preserve">Ekata Party </w:t>
            </w:r>
            <w:smartTag w:uri="urn:schemas-microsoft-com:office:smarttags" w:element="country-region">
              <w:smartTag w:uri="urn:schemas-microsoft-com:office:smarttags" w:element="place">
                <w:r w:rsidRPr="007E31C1">
                  <w:rPr>
                    <w:spacing w:val="-2"/>
                    <w:w w:val="95"/>
                    <w:sz w:val="16"/>
                    <w:szCs w:val="24"/>
                    <w:lang w:bidi="ar-EG"/>
                  </w:rPr>
                  <w:t>Nepal</w:t>
                </w:r>
              </w:smartTag>
            </w:smartTag>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21</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r w:rsidRPr="007E31C1">
              <w:rPr>
                <w:spacing w:val="-2"/>
                <w:w w:val="95"/>
                <w:sz w:val="16"/>
                <w:szCs w:val="24"/>
                <w:lang w:bidi="ar-EG"/>
              </w:rPr>
              <w:t>Nepali Janata Dal</w:t>
            </w:r>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22</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r w:rsidRPr="007E31C1">
              <w:rPr>
                <w:spacing w:val="-2"/>
                <w:w w:val="95"/>
                <w:sz w:val="16"/>
                <w:szCs w:val="24"/>
                <w:lang w:bidi="ar-EG"/>
              </w:rPr>
              <w:t xml:space="preserve">Prajatantric Janata Party </w:t>
            </w:r>
            <w:smartTag w:uri="urn:schemas-microsoft-com:office:smarttags" w:element="country-region">
              <w:smartTag w:uri="urn:schemas-microsoft-com:office:smarttags" w:element="place">
                <w:r w:rsidRPr="007E31C1">
                  <w:rPr>
                    <w:spacing w:val="-2"/>
                    <w:w w:val="95"/>
                    <w:sz w:val="16"/>
                    <w:szCs w:val="24"/>
                    <w:lang w:bidi="ar-EG"/>
                  </w:rPr>
                  <w:t>Nepal</w:t>
                </w:r>
              </w:smartTag>
            </w:smartTag>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23</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smartTag w:uri="urn:schemas-microsoft-com:office:smarttags" w:element="country-region">
              <w:smartTag w:uri="urn:schemas-microsoft-com:office:smarttags" w:element="place">
                <w:r w:rsidRPr="007E31C1">
                  <w:rPr>
                    <w:spacing w:val="-2"/>
                    <w:w w:val="95"/>
                    <w:sz w:val="16"/>
                    <w:szCs w:val="24"/>
                    <w:lang w:bidi="ar-EG"/>
                  </w:rPr>
                  <w:t>Nepal</w:t>
                </w:r>
              </w:smartTag>
            </w:smartTag>
            <w:r w:rsidRPr="007E31C1">
              <w:rPr>
                <w:spacing w:val="-2"/>
                <w:w w:val="95"/>
                <w:sz w:val="16"/>
                <w:szCs w:val="24"/>
                <w:lang w:bidi="ar-EG"/>
              </w:rPr>
              <w:t xml:space="preserve"> Rastriya Party </w:t>
            </w:r>
            <w:smartTag w:uri="urn:schemas-microsoft-com:office:smarttags" w:element="country-region">
              <w:smartTag w:uri="urn:schemas-microsoft-com:office:smarttags" w:element="place">
                <w:r w:rsidRPr="007E31C1">
                  <w:rPr>
                    <w:spacing w:val="-2"/>
                    <w:w w:val="95"/>
                    <w:sz w:val="16"/>
                    <w:szCs w:val="24"/>
                    <w:lang w:bidi="ar-EG"/>
                  </w:rPr>
                  <w:t>Nepal</w:t>
                </w:r>
              </w:smartTag>
            </w:smartTag>
            <w:r w:rsidRPr="007E31C1">
              <w:rPr>
                <w:spacing w:val="-2"/>
                <w:w w:val="95"/>
                <w:sz w:val="16"/>
                <w:szCs w:val="24"/>
                <w:lang w:bidi="ar-EG"/>
              </w:rPr>
              <w:t xml:space="preserve"> Loktantrik</w:t>
            </w:r>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24</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r w:rsidRPr="007E31C1">
              <w:rPr>
                <w:spacing w:val="-2"/>
                <w:w w:val="95"/>
                <w:sz w:val="16"/>
                <w:szCs w:val="24"/>
                <w:lang w:bidi="ar-EG"/>
              </w:rPr>
              <w:t>Samajwadi Dal</w:t>
            </w:r>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r>
      <w:tr w:rsidR="00513ACD" w:rsidRPr="00513ACD" w:rsidTr="007E31C1">
        <w:tblPrEx>
          <w:tblCellMar>
            <w:top w:w="0" w:type="dxa"/>
            <w:bottom w:w="0" w:type="dxa"/>
          </w:tblCellMar>
        </w:tblPrEx>
        <w:trPr>
          <w:cantSplit/>
        </w:trPr>
        <w:tc>
          <w:tcPr>
            <w:tcW w:w="91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25</w:t>
            </w:r>
          </w:p>
        </w:tc>
        <w:tc>
          <w:tcPr>
            <w:tcW w:w="1218" w:type="dxa"/>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smartTag w:uri="urn:schemas-microsoft-com:office:smarttags" w:element="country-region">
              <w:smartTag w:uri="urn:schemas-microsoft-com:office:smarttags" w:element="place">
                <w:r w:rsidRPr="007E31C1">
                  <w:rPr>
                    <w:spacing w:val="-2"/>
                    <w:w w:val="95"/>
                    <w:sz w:val="16"/>
                    <w:szCs w:val="24"/>
                    <w:lang w:bidi="ar-EG"/>
                  </w:rPr>
                  <w:t>Nepal</w:t>
                </w:r>
              </w:smartTag>
            </w:smartTag>
            <w:r w:rsidRPr="007E31C1">
              <w:rPr>
                <w:spacing w:val="-2"/>
                <w:w w:val="95"/>
                <w:sz w:val="16"/>
                <w:szCs w:val="24"/>
                <w:lang w:bidi="ar-EG"/>
              </w:rPr>
              <w:t xml:space="preserve"> Pariwar Dal</w:t>
            </w:r>
          </w:p>
        </w:tc>
        <w:tc>
          <w:tcPr>
            <w:tcW w:w="615"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60"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47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8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5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c>
          <w:tcPr>
            <w:tcW w:w="686"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728" w:type="dxa"/>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1</w:t>
            </w:r>
          </w:p>
        </w:tc>
      </w:tr>
      <w:tr w:rsidR="00513ACD" w:rsidRPr="00513ACD" w:rsidTr="007E31C1">
        <w:tblPrEx>
          <w:tblCellMar>
            <w:top w:w="0" w:type="dxa"/>
            <w:bottom w:w="0" w:type="dxa"/>
          </w:tblCellMar>
        </w:tblPrEx>
        <w:trPr>
          <w:cantSplit/>
        </w:trPr>
        <w:tc>
          <w:tcPr>
            <w:tcW w:w="910" w:type="dxa"/>
            <w:tcBorders>
              <w:bottom w:val="single" w:sz="4" w:space="0" w:color="auto"/>
            </w:tcBorders>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26</w:t>
            </w:r>
          </w:p>
        </w:tc>
        <w:tc>
          <w:tcPr>
            <w:tcW w:w="1218" w:type="dxa"/>
            <w:tcBorders>
              <w:bottom w:val="single" w:sz="4" w:space="0" w:color="auto"/>
            </w:tcBorders>
            <w:shd w:val="clear" w:color="auto" w:fill="auto"/>
          </w:tcPr>
          <w:p w:rsidR="00513ACD" w:rsidRPr="007E31C1" w:rsidRDefault="00513ACD" w:rsidP="00BA0E0C">
            <w:pPr>
              <w:tabs>
                <w:tab w:val="left" w:pos="662"/>
                <w:tab w:val="left" w:pos="1267"/>
                <w:tab w:val="left" w:pos="1987"/>
                <w:tab w:val="left" w:pos="2650"/>
              </w:tabs>
              <w:bidi w:val="0"/>
              <w:spacing w:before="40" w:after="40" w:line="270" w:lineRule="exact"/>
              <w:ind w:left="113"/>
              <w:jc w:val="left"/>
              <w:rPr>
                <w:spacing w:val="-2"/>
                <w:w w:val="95"/>
                <w:sz w:val="16"/>
                <w:szCs w:val="24"/>
                <w:rtl/>
                <w:lang w:bidi="ar-EG"/>
              </w:rPr>
            </w:pPr>
            <w:r w:rsidRPr="007E31C1">
              <w:rPr>
                <w:spacing w:val="-2"/>
                <w:w w:val="95"/>
                <w:sz w:val="16"/>
                <w:szCs w:val="24"/>
                <w:lang w:bidi="ar-EG"/>
              </w:rPr>
              <w:t>Independent</w:t>
            </w:r>
          </w:p>
        </w:tc>
        <w:tc>
          <w:tcPr>
            <w:tcW w:w="615" w:type="dxa"/>
            <w:tcBorders>
              <w:bottom w:val="single" w:sz="4" w:space="0" w:color="auto"/>
            </w:tcBorders>
            <w:shd w:val="clear" w:color="auto" w:fill="auto"/>
          </w:tcPr>
          <w:p w:rsidR="00513ACD" w:rsidRPr="00513ACD" w:rsidRDefault="00B3434A"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30" w:type="dxa"/>
            <w:tcBorders>
              <w:bottom w:val="single" w:sz="4" w:space="0" w:color="auto"/>
            </w:tcBorders>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560" w:type="dxa"/>
            <w:tcBorders>
              <w:bottom w:val="single" w:sz="4" w:space="0" w:color="auto"/>
            </w:tcBorders>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c>
          <w:tcPr>
            <w:tcW w:w="476" w:type="dxa"/>
            <w:tcBorders>
              <w:bottom w:val="single" w:sz="4" w:space="0" w:color="auto"/>
            </w:tcBorders>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588" w:type="dxa"/>
            <w:tcBorders>
              <w:bottom w:val="single" w:sz="4" w:space="0" w:color="auto"/>
            </w:tcBorders>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58" w:type="dxa"/>
            <w:tcBorders>
              <w:bottom w:val="single" w:sz="4" w:space="0" w:color="auto"/>
            </w:tcBorders>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86" w:type="dxa"/>
            <w:tcBorders>
              <w:bottom w:val="single" w:sz="4" w:space="0" w:color="auto"/>
            </w:tcBorders>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tcBorders>
              <w:bottom w:val="single" w:sz="4" w:space="0" w:color="auto"/>
            </w:tcBorders>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644" w:type="dxa"/>
            <w:tcBorders>
              <w:bottom w:val="single" w:sz="4" w:space="0" w:color="auto"/>
            </w:tcBorders>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Pr>
                <w:rFonts w:hint="cs"/>
                <w:w w:val="95"/>
                <w:sz w:val="16"/>
                <w:szCs w:val="24"/>
                <w:rtl/>
                <w:lang w:bidi="ar-EG"/>
              </w:rPr>
              <w:t>صفر</w:t>
            </w:r>
          </w:p>
        </w:tc>
        <w:tc>
          <w:tcPr>
            <w:tcW w:w="728" w:type="dxa"/>
            <w:tcBorders>
              <w:bottom w:val="single" w:sz="4" w:space="0" w:color="auto"/>
            </w:tcBorders>
            <w:shd w:val="clear" w:color="auto" w:fill="auto"/>
          </w:tcPr>
          <w:p w:rsidR="00513ACD" w:rsidRPr="00513ACD" w:rsidRDefault="00513ACD" w:rsidP="00BA0E0C">
            <w:pPr>
              <w:tabs>
                <w:tab w:val="left" w:pos="662"/>
                <w:tab w:val="left" w:pos="1267"/>
                <w:tab w:val="left" w:pos="1987"/>
                <w:tab w:val="left" w:pos="2650"/>
              </w:tabs>
              <w:spacing w:before="40" w:after="40" w:line="270" w:lineRule="exact"/>
              <w:ind w:left="57"/>
              <w:jc w:val="left"/>
              <w:rPr>
                <w:rFonts w:hint="cs"/>
                <w:w w:val="95"/>
                <w:sz w:val="16"/>
                <w:szCs w:val="24"/>
                <w:rtl/>
                <w:lang w:bidi="ar-EG"/>
              </w:rPr>
            </w:pPr>
            <w:r w:rsidRPr="00513ACD">
              <w:rPr>
                <w:rFonts w:hint="cs"/>
                <w:w w:val="95"/>
                <w:sz w:val="16"/>
                <w:szCs w:val="24"/>
                <w:rtl/>
                <w:lang w:bidi="ar-EG"/>
              </w:rPr>
              <w:t>2</w:t>
            </w:r>
          </w:p>
        </w:tc>
      </w:tr>
      <w:tr w:rsidR="000B7434" w:rsidRPr="00513ACD" w:rsidTr="00513ACD">
        <w:tblPrEx>
          <w:tblCellMar>
            <w:top w:w="0" w:type="dxa"/>
            <w:bottom w:w="0" w:type="dxa"/>
          </w:tblCellMar>
        </w:tblPrEx>
        <w:trPr>
          <w:cantSplit/>
        </w:trPr>
        <w:tc>
          <w:tcPr>
            <w:tcW w:w="2128" w:type="dxa"/>
            <w:gridSpan w:val="2"/>
            <w:tcBorders>
              <w:top w:val="single" w:sz="4" w:space="0" w:color="auto"/>
              <w:bottom w:val="single" w:sz="12" w:space="0" w:color="auto"/>
            </w:tcBorders>
            <w:shd w:val="clear" w:color="auto" w:fill="auto"/>
            <w:vAlign w:val="bottom"/>
          </w:tcPr>
          <w:p w:rsidR="000B7434" w:rsidRPr="00513ACD" w:rsidRDefault="00513ACD" w:rsidP="00513ACD">
            <w:pPr>
              <w:tabs>
                <w:tab w:val="left" w:pos="434"/>
                <w:tab w:val="left" w:pos="1267"/>
                <w:tab w:val="left" w:pos="1987"/>
                <w:tab w:val="left" w:pos="2650"/>
              </w:tabs>
              <w:spacing w:before="40" w:after="40" w:line="300" w:lineRule="exact"/>
              <w:ind w:left="57"/>
              <w:rPr>
                <w:b/>
                <w:bCs/>
                <w:w w:val="95"/>
                <w:sz w:val="16"/>
                <w:szCs w:val="24"/>
                <w:lang w:bidi="ar-EG"/>
              </w:rPr>
            </w:pPr>
            <w:r>
              <w:rPr>
                <w:b/>
                <w:bCs/>
                <w:w w:val="95"/>
                <w:sz w:val="16"/>
                <w:szCs w:val="24"/>
                <w:rtl/>
                <w:lang w:bidi="ar-EG"/>
              </w:rPr>
              <w:tab/>
            </w:r>
            <w:r w:rsidR="000B7434" w:rsidRPr="00513ACD">
              <w:rPr>
                <w:rFonts w:hint="cs"/>
                <w:b/>
                <w:bCs/>
                <w:w w:val="95"/>
                <w:sz w:val="16"/>
                <w:szCs w:val="24"/>
                <w:rtl/>
                <w:lang w:bidi="ar-EG"/>
              </w:rPr>
              <w:t>المجموع الكلي</w:t>
            </w:r>
          </w:p>
        </w:tc>
        <w:tc>
          <w:tcPr>
            <w:tcW w:w="615" w:type="dxa"/>
            <w:tcBorders>
              <w:top w:val="single" w:sz="4" w:space="0" w:color="auto"/>
              <w:bottom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300" w:lineRule="exact"/>
              <w:ind w:left="57"/>
              <w:jc w:val="left"/>
              <w:rPr>
                <w:rFonts w:hint="cs"/>
                <w:b/>
                <w:bCs/>
                <w:w w:val="95"/>
                <w:sz w:val="16"/>
                <w:szCs w:val="24"/>
                <w:rtl/>
                <w:lang w:bidi="ar-EG"/>
              </w:rPr>
            </w:pPr>
            <w:r w:rsidRPr="00513ACD">
              <w:rPr>
                <w:rFonts w:hint="cs"/>
                <w:b/>
                <w:bCs/>
                <w:w w:val="95"/>
                <w:sz w:val="16"/>
                <w:szCs w:val="24"/>
                <w:rtl/>
                <w:lang w:bidi="ar-EG"/>
              </w:rPr>
              <w:t>30</w:t>
            </w:r>
          </w:p>
        </w:tc>
        <w:tc>
          <w:tcPr>
            <w:tcW w:w="630" w:type="dxa"/>
            <w:tcBorders>
              <w:top w:val="single" w:sz="4" w:space="0" w:color="auto"/>
              <w:bottom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300" w:lineRule="exact"/>
              <w:ind w:left="57"/>
              <w:jc w:val="left"/>
              <w:rPr>
                <w:rFonts w:hint="cs"/>
                <w:b/>
                <w:bCs/>
                <w:w w:val="95"/>
                <w:sz w:val="16"/>
                <w:szCs w:val="24"/>
                <w:rtl/>
                <w:lang w:bidi="ar-EG"/>
              </w:rPr>
            </w:pPr>
            <w:r w:rsidRPr="00513ACD">
              <w:rPr>
                <w:rFonts w:hint="cs"/>
                <w:b/>
                <w:bCs/>
                <w:w w:val="95"/>
                <w:sz w:val="16"/>
                <w:szCs w:val="24"/>
                <w:rtl/>
                <w:lang w:bidi="ar-EG"/>
              </w:rPr>
              <w:t>210</w:t>
            </w:r>
          </w:p>
        </w:tc>
        <w:tc>
          <w:tcPr>
            <w:tcW w:w="560" w:type="dxa"/>
            <w:tcBorders>
              <w:top w:val="single" w:sz="4" w:space="0" w:color="auto"/>
              <w:bottom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300" w:lineRule="exact"/>
              <w:ind w:left="57"/>
              <w:jc w:val="left"/>
              <w:rPr>
                <w:rFonts w:hint="cs"/>
                <w:b/>
                <w:bCs/>
                <w:w w:val="95"/>
                <w:sz w:val="16"/>
                <w:szCs w:val="24"/>
                <w:rtl/>
                <w:lang w:bidi="ar-EG"/>
              </w:rPr>
            </w:pPr>
            <w:r w:rsidRPr="00513ACD">
              <w:rPr>
                <w:rFonts w:hint="cs"/>
                <w:b/>
                <w:bCs/>
                <w:w w:val="95"/>
                <w:sz w:val="16"/>
                <w:szCs w:val="24"/>
                <w:rtl/>
                <w:lang w:bidi="ar-EG"/>
              </w:rPr>
              <w:t>240</w:t>
            </w:r>
          </w:p>
        </w:tc>
        <w:tc>
          <w:tcPr>
            <w:tcW w:w="476" w:type="dxa"/>
            <w:tcBorders>
              <w:top w:val="single" w:sz="4" w:space="0" w:color="auto"/>
              <w:bottom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300" w:lineRule="exact"/>
              <w:ind w:left="57"/>
              <w:jc w:val="left"/>
              <w:rPr>
                <w:rFonts w:hint="cs"/>
                <w:b/>
                <w:bCs/>
                <w:w w:val="95"/>
                <w:sz w:val="16"/>
                <w:szCs w:val="24"/>
                <w:rtl/>
                <w:lang w:bidi="ar-EG"/>
              </w:rPr>
            </w:pPr>
            <w:r w:rsidRPr="00513ACD">
              <w:rPr>
                <w:rFonts w:hint="cs"/>
                <w:b/>
                <w:bCs/>
                <w:w w:val="95"/>
                <w:sz w:val="16"/>
                <w:szCs w:val="24"/>
                <w:rtl/>
                <w:lang w:bidi="ar-EG"/>
              </w:rPr>
              <w:t>161</w:t>
            </w:r>
          </w:p>
        </w:tc>
        <w:tc>
          <w:tcPr>
            <w:tcW w:w="588" w:type="dxa"/>
            <w:tcBorders>
              <w:top w:val="single" w:sz="4" w:space="0" w:color="auto"/>
              <w:bottom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300" w:lineRule="exact"/>
              <w:ind w:left="57"/>
              <w:jc w:val="left"/>
              <w:rPr>
                <w:rFonts w:hint="cs"/>
                <w:b/>
                <w:bCs/>
                <w:w w:val="95"/>
                <w:sz w:val="16"/>
                <w:szCs w:val="24"/>
                <w:rtl/>
                <w:lang w:bidi="ar-EG"/>
              </w:rPr>
            </w:pPr>
            <w:r w:rsidRPr="00513ACD">
              <w:rPr>
                <w:rFonts w:hint="cs"/>
                <w:b/>
                <w:bCs/>
                <w:w w:val="95"/>
                <w:sz w:val="16"/>
                <w:szCs w:val="24"/>
                <w:rtl/>
                <w:lang w:bidi="ar-EG"/>
              </w:rPr>
              <w:t>174</w:t>
            </w:r>
          </w:p>
        </w:tc>
        <w:tc>
          <w:tcPr>
            <w:tcW w:w="658" w:type="dxa"/>
            <w:tcBorders>
              <w:top w:val="single" w:sz="4" w:space="0" w:color="auto"/>
              <w:bottom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300" w:lineRule="exact"/>
              <w:ind w:left="57"/>
              <w:jc w:val="left"/>
              <w:rPr>
                <w:rFonts w:hint="cs"/>
                <w:b/>
                <w:bCs/>
                <w:w w:val="95"/>
                <w:sz w:val="16"/>
                <w:szCs w:val="24"/>
                <w:rtl/>
                <w:lang w:bidi="ar-EG"/>
              </w:rPr>
            </w:pPr>
            <w:r w:rsidRPr="00513ACD">
              <w:rPr>
                <w:rFonts w:hint="cs"/>
                <w:b/>
                <w:bCs/>
                <w:w w:val="95"/>
                <w:sz w:val="16"/>
                <w:szCs w:val="24"/>
                <w:rtl/>
                <w:lang w:bidi="ar-EG"/>
              </w:rPr>
              <w:t>335</w:t>
            </w:r>
          </w:p>
        </w:tc>
        <w:tc>
          <w:tcPr>
            <w:tcW w:w="686" w:type="dxa"/>
            <w:tcBorders>
              <w:top w:val="single" w:sz="4" w:space="0" w:color="auto"/>
              <w:bottom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300" w:lineRule="exact"/>
              <w:ind w:left="57"/>
              <w:jc w:val="left"/>
              <w:rPr>
                <w:rFonts w:hint="cs"/>
                <w:b/>
                <w:bCs/>
                <w:w w:val="95"/>
                <w:sz w:val="16"/>
                <w:szCs w:val="24"/>
                <w:rtl/>
                <w:lang w:bidi="ar-EG"/>
              </w:rPr>
            </w:pPr>
            <w:r w:rsidRPr="00513ACD">
              <w:rPr>
                <w:rFonts w:hint="cs"/>
                <w:b/>
                <w:bCs/>
                <w:w w:val="95"/>
                <w:sz w:val="16"/>
                <w:szCs w:val="24"/>
                <w:rtl/>
                <w:lang w:bidi="ar-EG"/>
              </w:rPr>
              <w:t>6</w:t>
            </w:r>
          </w:p>
        </w:tc>
        <w:tc>
          <w:tcPr>
            <w:tcW w:w="644" w:type="dxa"/>
            <w:tcBorders>
              <w:top w:val="single" w:sz="4" w:space="0" w:color="auto"/>
              <w:bottom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300" w:lineRule="exact"/>
              <w:ind w:left="57"/>
              <w:jc w:val="left"/>
              <w:rPr>
                <w:rFonts w:hint="cs"/>
                <w:b/>
                <w:bCs/>
                <w:w w:val="95"/>
                <w:sz w:val="16"/>
                <w:szCs w:val="24"/>
                <w:rtl/>
                <w:lang w:bidi="ar-EG"/>
              </w:rPr>
            </w:pPr>
            <w:r w:rsidRPr="00513ACD">
              <w:rPr>
                <w:rFonts w:hint="cs"/>
                <w:b/>
                <w:bCs/>
                <w:w w:val="95"/>
                <w:sz w:val="16"/>
                <w:szCs w:val="24"/>
                <w:rtl/>
                <w:lang w:bidi="ar-EG"/>
              </w:rPr>
              <w:t>20</w:t>
            </w:r>
          </w:p>
        </w:tc>
        <w:tc>
          <w:tcPr>
            <w:tcW w:w="644" w:type="dxa"/>
            <w:tcBorders>
              <w:top w:val="single" w:sz="4" w:space="0" w:color="auto"/>
              <w:bottom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300" w:lineRule="exact"/>
              <w:ind w:left="57"/>
              <w:jc w:val="left"/>
              <w:rPr>
                <w:rFonts w:hint="cs"/>
                <w:b/>
                <w:bCs/>
                <w:w w:val="95"/>
                <w:sz w:val="16"/>
                <w:szCs w:val="24"/>
                <w:rtl/>
                <w:lang w:bidi="ar-EG"/>
              </w:rPr>
            </w:pPr>
            <w:r w:rsidRPr="00513ACD">
              <w:rPr>
                <w:rFonts w:hint="cs"/>
                <w:b/>
                <w:bCs/>
                <w:w w:val="95"/>
                <w:sz w:val="16"/>
                <w:szCs w:val="24"/>
                <w:rtl/>
                <w:lang w:bidi="ar-EG"/>
              </w:rPr>
              <w:t>26</w:t>
            </w:r>
          </w:p>
        </w:tc>
        <w:tc>
          <w:tcPr>
            <w:tcW w:w="728" w:type="dxa"/>
            <w:tcBorders>
              <w:top w:val="single" w:sz="4" w:space="0" w:color="auto"/>
              <w:bottom w:val="single" w:sz="12" w:space="0" w:color="auto"/>
            </w:tcBorders>
            <w:shd w:val="clear" w:color="auto" w:fill="auto"/>
          </w:tcPr>
          <w:p w:rsidR="000B7434" w:rsidRPr="00513ACD" w:rsidRDefault="000B7434" w:rsidP="00513ACD">
            <w:pPr>
              <w:tabs>
                <w:tab w:val="left" w:pos="662"/>
                <w:tab w:val="left" w:pos="1267"/>
                <w:tab w:val="left" w:pos="1987"/>
                <w:tab w:val="left" w:pos="2650"/>
              </w:tabs>
              <w:spacing w:before="40" w:after="40" w:line="300" w:lineRule="exact"/>
              <w:ind w:left="57"/>
              <w:jc w:val="left"/>
              <w:rPr>
                <w:rFonts w:hint="cs"/>
                <w:b/>
                <w:bCs/>
                <w:w w:val="95"/>
                <w:sz w:val="16"/>
                <w:szCs w:val="24"/>
                <w:rtl/>
                <w:lang w:bidi="ar-EG"/>
              </w:rPr>
            </w:pPr>
            <w:r w:rsidRPr="00513ACD">
              <w:rPr>
                <w:rFonts w:hint="cs"/>
                <w:b/>
                <w:bCs/>
                <w:w w:val="95"/>
                <w:sz w:val="16"/>
                <w:szCs w:val="24"/>
                <w:rtl/>
                <w:lang w:bidi="ar-EG"/>
              </w:rPr>
              <w:t>601</w:t>
            </w:r>
          </w:p>
        </w:tc>
      </w:tr>
    </w:tbl>
    <w:p w:rsidR="000B7434" w:rsidRPr="00513ACD" w:rsidRDefault="00BA0E0C" w:rsidP="007E31C1">
      <w:pPr>
        <w:pStyle w:val="FootnoteText"/>
        <w:tabs>
          <w:tab w:val="right" w:pos="1915"/>
          <w:tab w:val="left" w:pos="2016"/>
          <w:tab w:val="left" w:pos="2491"/>
          <w:tab w:val="left" w:pos="2966"/>
          <w:tab w:val="left" w:pos="3442"/>
          <w:tab w:val="left" w:pos="3917"/>
        </w:tabs>
        <w:spacing w:before="120" w:after="240" w:line="300" w:lineRule="exact"/>
        <w:ind w:left="2029" w:right="1264" w:hanging="765"/>
        <w:rPr>
          <w:rFonts w:hint="cs"/>
          <w:sz w:val="26"/>
          <w:szCs w:val="26"/>
          <w:rtl/>
        </w:rPr>
      </w:pPr>
      <w:r>
        <w:rPr>
          <w:rFonts w:hint="cs"/>
          <w:i/>
          <w:iCs/>
          <w:sz w:val="26"/>
          <w:szCs w:val="26"/>
          <w:rtl/>
        </w:rPr>
        <w:t xml:space="preserve"> </w:t>
      </w:r>
      <w:r w:rsidR="000B7434" w:rsidRPr="00513ACD">
        <w:rPr>
          <w:i/>
          <w:iCs/>
          <w:sz w:val="26"/>
          <w:szCs w:val="26"/>
          <w:rtl/>
        </w:rPr>
        <w:t>المصد</w:t>
      </w:r>
      <w:r w:rsidR="000B7434" w:rsidRPr="00513ACD">
        <w:rPr>
          <w:rFonts w:hint="cs"/>
          <w:i/>
          <w:iCs/>
          <w:sz w:val="26"/>
          <w:szCs w:val="26"/>
          <w:rtl/>
        </w:rPr>
        <w:t>ر</w:t>
      </w:r>
      <w:r w:rsidR="000B7434" w:rsidRPr="00513ACD">
        <w:rPr>
          <w:rFonts w:hint="cs"/>
          <w:sz w:val="26"/>
          <w:szCs w:val="26"/>
          <w:rtl/>
        </w:rPr>
        <w:t xml:space="preserve">: </w:t>
      </w:r>
      <w:r w:rsidR="00513ACD">
        <w:rPr>
          <w:rFonts w:hint="cs"/>
          <w:sz w:val="26"/>
          <w:szCs w:val="26"/>
          <w:rtl/>
        </w:rPr>
        <w:t xml:space="preserve"> </w:t>
      </w:r>
      <w:r w:rsidR="000B7434" w:rsidRPr="00513ACD">
        <w:rPr>
          <w:rFonts w:hint="cs"/>
          <w:sz w:val="26"/>
          <w:szCs w:val="26"/>
          <w:rtl/>
        </w:rPr>
        <w:t>الل</w:t>
      </w:r>
      <w:r w:rsidR="007E31C1">
        <w:rPr>
          <w:rFonts w:hint="cs"/>
          <w:sz w:val="26"/>
          <w:szCs w:val="26"/>
          <w:rtl/>
        </w:rPr>
        <w:t xml:space="preserve">جنة </w:t>
      </w:r>
      <w:r w:rsidR="000B7434" w:rsidRPr="00513ACD">
        <w:rPr>
          <w:rFonts w:hint="cs"/>
          <w:sz w:val="26"/>
          <w:szCs w:val="26"/>
          <w:rtl/>
        </w:rPr>
        <w:t>الانتخابية، نيبال، 2008</w:t>
      </w:r>
      <w:r w:rsidR="004F1C97">
        <w:rPr>
          <w:rFonts w:hint="cs"/>
          <w:sz w:val="26"/>
          <w:szCs w:val="26"/>
          <w:rtl/>
        </w:rPr>
        <w:t>.</w:t>
      </w:r>
    </w:p>
    <w:p w:rsidR="000B7434" w:rsidRPr="00EC4329" w:rsidRDefault="007E31C1" w:rsidP="00BA0E0C">
      <w:pPr>
        <w:pStyle w:val="H23GA"/>
        <w:rPr>
          <w:rFonts w:hint="cs"/>
          <w:rtl/>
          <w:lang w:bidi="ar-EG"/>
        </w:rPr>
      </w:pPr>
      <w:r>
        <w:rPr>
          <w:rFonts w:hint="cs"/>
          <w:rtl/>
          <w:lang w:bidi="ar-EG"/>
        </w:rPr>
        <w:tab/>
      </w:r>
      <w:r>
        <w:rPr>
          <w:rFonts w:hint="cs"/>
          <w:rtl/>
          <w:lang w:bidi="ar-EG"/>
        </w:rPr>
        <w:tab/>
      </w:r>
      <w:r w:rsidR="000B7434">
        <w:rPr>
          <w:rFonts w:hint="cs"/>
          <w:rtl/>
          <w:lang w:bidi="ar-EG"/>
        </w:rPr>
        <w:t>مشاركة المرأة في الخدمات العامة</w:t>
      </w:r>
    </w:p>
    <w:p w:rsidR="000B7434" w:rsidRPr="00EC4329" w:rsidRDefault="007E31C1" w:rsidP="002F1301">
      <w:pPr>
        <w:pStyle w:val="SingleTxtGA"/>
        <w:rPr>
          <w:rFonts w:hint="cs"/>
          <w:rtl/>
          <w:lang w:bidi="ar-EG"/>
        </w:rPr>
      </w:pPr>
      <w:r>
        <w:rPr>
          <w:rFonts w:hint="cs"/>
          <w:rtl/>
          <w:lang w:bidi="ar-EG"/>
        </w:rPr>
        <w:t>102</w:t>
      </w:r>
      <w:r w:rsidR="000B7434" w:rsidRPr="00EC4329">
        <w:rPr>
          <w:rFonts w:hint="cs"/>
          <w:rtl/>
          <w:lang w:bidi="ar-EG"/>
        </w:rPr>
        <w:t>-</w:t>
      </w:r>
      <w:r w:rsidR="000B7434" w:rsidRPr="00EC4329">
        <w:rPr>
          <w:rFonts w:hint="cs"/>
          <w:rtl/>
          <w:lang w:bidi="ar-EG"/>
        </w:rPr>
        <w:tab/>
        <w:t>يتضمن التعديل الثاني (آب/أغسطس 2007) لقانون الخدمة المدنية لعام 1993، والتغييرات في لائحة الخدمة المدنية لعام 1994 تدابير شمولية خاصة في عملية التوظيف. وبموجب هذه التدابير يُحتفظ بما</w:t>
      </w:r>
      <w:r w:rsidR="000B7434" w:rsidRPr="00EC4329">
        <w:rPr>
          <w:rFonts w:hint="eastAsia"/>
          <w:rtl/>
          <w:lang w:bidi="ar-EG"/>
        </w:rPr>
        <w:t> </w:t>
      </w:r>
      <w:r w:rsidR="000B7434" w:rsidRPr="00EC4329">
        <w:rPr>
          <w:rFonts w:hint="cs"/>
          <w:rtl/>
          <w:lang w:bidi="ar-EG"/>
        </w:rPr>
        <w:t xml:space="preserve">نسبته 45 في المائة من المقاعد للمرأة، وللسكان الأصليين والمجتمعات العرقية، والالماديسي والداليت، ولذوي الإعاقات، وللجماعات المهمشة. ومن نسبة 45 في المائة هذه، تُحتجز نسبة 20 في المائة للمرأة وحدها. ويتطلب هذا الحكم إجراء تنافسات مستقلة فيما بين كل فئة مذكورة أعلاه. وينص التعديل أيضاً على أنه إذا قُتل أي موظف مدني في </w:t>
      </w:r>
      <w:r w:rsidR="002F1301">
        <w:rPr>
          <w:rFonts w:hint="cs"/>
          <w:rtl/>
          <w:lang w:bidi="ar-EG"/>
        </w:rPr>
        <w:t xml:space="preserve">النزاع </w:t>
      </w:r>
      <w:r w:rsidR="000B7434" w:rsidRPr="00EC4329">
        <w:rPr>
          <w:rFonts w:hint="cs"/>
          <w:rtl/>
          <w:lang w:bidi="ar-EG"/>
        </w:rPr>
        <w:t>أثناء أدائه للخدمة، يحق لزوج أو زوجة ذلك الموظف تلقي المعاش التعاقدي طيلة حياته أو حياتها مع إضافة ما يتبقى من فترة خدمة الموظف المتوف</w:t>
      </w:r>
      <w:r>
        <w:rPr>
          <w:rFonts w:hint="cs"/>
          <w:rtl/>
          <w:lang w:bidi="ar-EG"/>
        </w:rPr>
        <w:t>ى</w:t>
      </w:r>
      <w:r w:rsidR="000B7434" w:rsidRPr="00EC4329">
        <w:rPr>
          <w:rFonts w:hint="cs"/>
          <w:rtl/>
          <w:lang w:bidi="ar-EG"/>
        </w:rPr>
        <w:t xml:space="preserve"> إذا كانت أقل من 20 سنة. غير أنه، مقارنة بالعدد الكبير من النساء اللواتي تم انتخابهن في الجمعية التأسيسية، فإن مشاركة المرأة في مختلف مجالات الخدمات العامة يعتبر متدنياً نسبيا. وفيما</w:t>
      </w:r>
      <w:r w:rsidR="000B7434">
        <w:rPr>
          <w:rFonts w:hint="eastAsia"/>
          <w:rtl/>
          <w:lang w:bidi="ar-EG"/>
        </w:rPr>
        <w:t> </w:t>
      </w:r>
      <w:r w:rsidR="000B7434" w:rsidRPr="00EC4329">
        <w:rPr>
          <w:rFonts w:hint="cs"/>
          <w:rtl/>
          <w:lang w:bidi="ar-EG"/>
        </w:rPr>
        <w:t>يل</w:t>
      </w:r>
      <w:r w:rsidR="004F1C97">
        <w:rPr>
          <w:rFonts w:hint="cs"/>
          <w:rtl/>
          <w:lang w:bidi="ar-EG"/>
        </w:rPr>
        <w:t>ي</w:t>
      </w:r>
      <w:r w:rsidR="000B7434" w:rsidRPr="00EC4329">
        <w:rPr>
          <w:rFonts w:hint="cs"/>
          <w:rtl/>
          <w:lang w:bidi="ar-EG"/>
        </w:rPr>
        <w:t xml:space="preserve"> بعض الإح</w:t>
      </w:r>
      <w:r w:rsidR="000B7434">
        <w:rPr>
          <w:rFonts w:hint="cs"/>
          <w:rtl/>
          <w:lang w:bidi="ar-EG"/>
        </w:rPr>
        <w:t>صائيات المقدمة مفصلة حسب الجنس:</w:t>
      </w:r>
    </w:p>
    <w:p w:rsidR="007E31C1" w:rsidRDefault="000B7434" w:rsidP="007E31C1">
      <w:pPr>
        <w:pStyle w:val="SingleTxtGA"/>
        <w:spacing w:after="0"/>
        <w:rPr>
          <w:rFonts w:hint="cs"/>
          <w:rtl/>
          <w:lang w:bidi="ar-EG"/>
        </w:rPr>
      </w:pPr>
      <w:r w:rsidRPr="00EC4329">
        <w:rPr>
          <w:rFonts w:hint="cs"/>
          <w:rtl/>
          <w:lang w:bidi="ar-EG"/>
        </w:rPr>
        <w:t>الجدول 8</w:t>
      </w:r>
    </w:p>
    <w:p w:rsidR="000B7434" w:rsidRPr="00105B25" w:rsidRDefault="000B7434" w:rsidP="00105B25">
      <w:pPr>
        <w:pStyle w:val="SingleTxtGA"/>
        <w:rPr>
          <w:rFonts w:hint="cs"/>
          <w:b/>
          <w:bCs/>
          <w:spacing w:val="-2"/>
          <w:rtl/>
        </w:rPr>
      </w:pPr>
      <w:r w:rsidRPr="00105B25">
        <w:rPr>
          <w:rFonts w:hint="cs"/>
          <w:b/>
          <w:bCs/>
          <w:spacing w:val="-2"/>
          <w:rtl/>
          <w:lang w:bidi="ar-EG"/>
        </w:rPr>
        <w:t>التوصيات بتعيينات على أساس جنساني 2006/2007</w:t>
      </w:r>
      <w:r w:rsidR="00105B25" w:rsidRPr="00105B25">
        <w:rPr>
          <w:rFonts w:hint="cs"/>
          <w:b/>
          <w:bCs/>
          <w:spacing w:val="-2"/>
          <w:rtl/>
          <w:lang w:bidi="ar-EG"/>
        </w:rPr>
        <w:t xml:space="preserve"> (2063</w:t>
      </w:r>
      <w:r w:rsidR="00105B25">
        <w:rPr>
          <w:rFonts w:hint="cs"/>
          <w:b/>
          <w:bCs/>
          <w:spacing w:val="-2"/>
          <w:rtl/>
          <w:lang w:bidi="ar-EG"/>
        </w:rPr>
        <w:t>/</w:t>
      </w:r>
      <w:r w:rsidR="00105B25" w:rsidRPr="00105B25">
        <w:rPr>
          <w:rFonts w:hint="cs"/>
          <w:b/>
          <w:bCs/>
          <w:spacing w:val="-2"/>
          <w:rtl/>
          <w:lang w:bidi="ar-EG"/>
        </w:rPr>
        <w:t>2064) (تقويم نيبال)</w:t>
      </w:r>
    </w:p>
    <w:tbl>
      <w:tblPr>
        <w:bidiVisual/>
        <w:tblW w:w="9645" w:type="dxa"/>
        <w:tblInd w:w="-7" w:type="dxa"/>
        <w:tblLayout w:type="fixed"/>
        <w:tblCellMar>
          <w:left w:w="0" w:type="dxa"/>
          <w:right w:w="0" w:type="dxa"/>
        </w:tblCellMar>
        <w:tblLook w:val="0000" w:firstRow="0" w:lastRow="0" w:firstColumn="0" w:lastColumn="0" w:noHBand="0" w:noVBand="0"/>
      </w:tblPr>
      <w:tblGrid>
        <w:gridCol w:w="1036"/>
        <w:gridCol w:w="616"/>
        <w:gridCol w:w="1321"/>
        <w:gridCol w:w="1321"/>
        <w:gridCol w:w="1305"/>
        <w:gridCol w:w="17"/>
        <w:gridCol w:w="1321"/>
        <w:gridCol w:w="1322"/>
        <w:gridCol w:w="1386"/>
      </w:tblGrid>
      <w:tr w:rsidR="00CA75D3" w:rsidRPr="007E31C1" w:rsidTr="00AD4A05">
        <w:tblPrEx>
          <w:tblCellMar>
            <w:top w:w="0" w:type="dxa"/>
            <w:bottom w:w="0" w:type="dxa"/>
          </w:tblCellMar>
        </w:tblPrEx>
        <w:tc>
          <w:tcPr>
            <w:tcW w:w="1036" w:type="dxa"/>
            <w:vMerge w:val="restart"/>
            <w:tcBorders>
              <w:top w:val="single" w:sz="4" w:space="0" w:color="auto"/>
              <w:bottom w:val="single" w:sz="4" w:space="0" w:color="auto"/>
            </w:tcBorders>
            <w:shd w:val="clear" w:color="auto" w:fill="auto"/>
            <w:vAlign w:val="bottom"/>
          </w:tcPr>
          <w:p w:rsidR="00CA75D3" w:rsidRPr="007E31C1" w:rsidRDefault="00CA75D3" w:rsidP="004F1C97">
            <w:pPr>
              <w:tabs>
                <w:tab w:val="left" w:pos="662"/>
                <w:tab w:val="left" w:pos="1267"/>
                <w:tab w:val="left" w:pos="1987"/>
                <w:tab w:val="left" w:pos="2650"/>
              </w:tabs>
              <w:spacing w:before="60" w:after="60" w:line="320" w:lineRule="exact"/>
              <w:ind w:left="57"/>
              <w:jc w:val="left"/>
              <w:rPr>
                <w:rFonts w:hint="cs"/>
                <w:i/>
                <w:iCs/>
                <w:w w:val="95"/>
                <w:sz w:val="18"/>
                <w:szCs w:val="26"/>
                <w:rtl/>
                <w:lang w:bidi="ar-EG"/>
              </w:rPr>
            </w:pPr>
            <w:r w:rsidRPr="007E31C1">
              <w:rPr>
                <w:rFonts w:hint="cs"/>
                <w:i/>
                <w:iCs/>
                <w:w w:val="95"/>
                <w:sz w:val="18"/>
                <w:szCs w:val="26"/>
                <w:rtl/>
                <w:lang w:bidi="ar-EG"/>
              </w:rPr>
              <w:t>الرقم المتسلسل</w:t>
            </w:r>
          </w:p>
        </w:tc>
        <w:tc>
          <w:tcPr>
            <w:tcW w:w="616" w:type="dxa"/>
            <w:vMerge w:val="restart"/>
            <w:tcBorders>
              <w:top w:val="single" w:sz="4" w:space="0" w:color="auto"/>
              <w:bottom w:val="single" w:sz="4" w:space="0" w:color="auto"/>
            </w:tcBorders>
            <w:shd w:val="clear" w:color="auto" w:fill="auto"/>
            <w:vAlign w:val="bottom"/>
          </w:tcPr>
          <w:p w:rsidR="00CA75D3" w:rsidRPr="007E31C1" w:rsidRDefault="00CA75D3" w:rsidP="004F1C97">
            <w:pPr>
              <w:tabs>
                <w:tab w:val="left" w:pos="662"/>
                <w:tab w:val="left" w:pos="1267"/>
                <w:tab w:val="left" w:pos="1987"/>
                <w:tab w:val="left" w:pos="2650"/>
              </w:tabs>
              <w:spacing w:before="60" w:after="60" w:line="320" w:lineRule="exact"/>
              <w:ind w:left="57"/>
              <w:jc w:val="left"/>
              <w:rPr>
                <w:rFonts w:hint="cs"/>
                <w:i/>
                <w:iCs/>
                <w:w w:val="95"/>
                <w:sz w:val="18"/>
                <w:szCs w:val="26"/>
                <w:rtl/>
                <w:lang w:bidi="ar-EG"/>
              </w:rPr>
            </w:pPr>
            <w:r w:rsidRPr="007E31C1">
              <w:rPr>
                <w:rFonts w:hint="cs"/>
                <w:i/>
                <w:iCs/>
                <w:w w:val="95"/>
                <w:sz w:val="18"/>
                <w:szCs w:val="26"/>
                <w:rtl/>
                <w:lang w:bidi="ar-EG"/>
              </w:rPr>
              <w:t>الجنس</w:t>
            </w:r>
          </w:p>
        </w:tc>
        <w:tc>
          <w:tcPr>
            <w:tcW w:w="3947" w:type="dxa"/>
            <w:gridSpan w:val="3"/>
            <w:tcBorders>
              <w:top w:val="single" w:sz="4" w:space="0" w:color="auto"/>
              <w:bottom w:val="single" w:sz="4" w:space="0" w:color="auto"/>
            </w:tcBorders>
            <w:shd w:val="clear" w:color="auto" w:fill="auto"/>
            <w:vAlign w:val="bottom"/>
          </w:tcPr>
          <w:p w:rsidR="00CA75D3" w:rsidRPr="007E31C1" w:rsidRDefault="00CA75D3" w:rsidP="004F1C97">
            <w:pPr>
              <w:tabs>
                <w:tab w:val="left" w:pos="662"/>
                <w:tab w:val="left" w:pos="1267"/>
                <w:tab w:val="left" w:pos="1987"/>
                <w:tab w:val="left" w:pos="2650"/>
              </w:tabs>
              <w:spacing w:before="60" w:after="60" w:line="320" w:lineRule="exact"/>
              <w:ind w:left="57"/>
              <w:jc w:val="center"/>
              <w:rPr>
                <w:i/>
                <w:iCs/>
                <w:w w:val="95"/>
                <w:sz w:val="18"/>
                <w:szCs w:val="26"/>
                <w:rtl/>
                <w:lang w:bidi="ar-EG"/>
              </w:rPr>
            </w:pPr>
            <w:r w:rsidRPr="007E31C1">
              <w:rPr>
                <w:rFonts w:hint="cs"/>
                <w:i/>
                <w:iCs/>
                <w:w w:val="95"/>
                <w:sz w:val="18"/>
                <w:szCs w:val="26"/>
                <w:rtl/>
                <w:lang w:bidi="ar-EG"/>
              </w:rPr>
              <w:t>معلنة</w:t>
            </w:r>
          </w:p>
        </w:tc>
        <w:tc>
          <w:tcPr>
            <w:tcW w:w="4046" w:type="dxa"/>
            <w:gridSpan w:val="4"/>
            <w:tcBorders>
              <w:top w:val="single" w:sz="4" w:space="0" w:color="auto"/>
              <w:bottom w:val="single" w:sz="4" w:space="0" w:color="auto"/>
            </w:tcBorders>
            <w:shd w:val="clear" w:color="auto" w:fill="auto"/>
            <w:vAlign w:val="bottom"/>
          </w:tcPr>
          <w:p w:rsidR="00CA75D3" w:rsidRPr="007E31C1" w:rsidRDefault="00CA75D3" w:rsidP="004F1C97">
            <w:pPr>
              <w:tabs>
                <w:tab w:val="left" w:pos="662"/>
                <w:tab w:val="left" w:pos="1267"/>
                <w:tab w:val="left" w:pos="1987"/>
                <w:tab w:val="left" w:pos="2650"/>
              </w:tabs>
              <w:spacing w:before="60" w:after="60" w:line="320" w:lineRule="exact"/>
              <w:ind w:left="57"/>
              <w:jc w:val="center"/>
              <w:rPr>
                <w:rFonts w:hint="cs"/>
                <w:i/>
                <w:iCs/>
                <w:w w:val="95"/>
                <w:sz w:val="18"/>
                <w:szCs w:val="26"/>
                <w:rtl/>
                <w:lang w:bidi="ar-EG"/>
              </w:rPr>
            </w:pPr>
            <w:r w:rsidRPr="007E31C1">
              <w:rPr>
                <w:rFonts w:hint="cs"/>
                <w:i/>
                <w:iCs/>
                <w:w w:val="95"/>
                <w:sz w:val="18"/>
                <w:szCs w:val="26"/>
                <w:rtl/>
                <w:lang w:bidi="ar-EG"/>
              </w:rPr>
              <w:t>غير معلنة</w:t>
            </w:r>
          </w:p>
        </w:tc>
      </w:tr>
      <w:tr w:rsidR="000B7434" w:rsidRPr="00757684" w:rsidTr="007E31C1">
        <w:tblPrEx>
          <w:tblCellMar>
            <w:top w:w="0" w:type="dxa"/>
            <w:bottom w:w="0" w:type="dxa"/>
          </w:tblCellMar>
        </w:tblPrEx>
        <w:tc>
          <w:tcPr>
            <w:tcW w:w="1036" w:type="dxa"/>
            <w:vMerge/>
            <w:tcBorders>
              <w:top w:val="single" w:sz="4" w:space="0" w:color="auto"/>
              <w:bottom w:val="single" w:sz="12"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rPr>
                <w:rFonts w:hint="cs"/>
                <w:w w:val="95"/>
                <w:sz w:val="18"/>
                <w:szCs w:val="26"/>
                <w:rtl/>
                <w:lang w:bidi="ar-EG"/>
              </w:rPr>
            </w:pPr>
          </w:p>
        </w:tc>
        <w:tc>
          <w:tcPr>
            <w:tcW w:w="616" w:type="dxa"/>
            <w:vMerge/>
            <w:tcBorders>
              <w:top w:val="single" w:sz="4" w:space="0" w:color="auto"/>
              <w:bottom w:val="single" w:sz="12"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rPr>
                <w:rFonts w:hint="cs"/>
                <w:w w:val="95"/>
                <w:sz w:val="18"/>
                <w:szCs w:val="26"/>
                <w:rtl/>
                <w:lang w:bidi="ar-EG"/>
              </w:rPr>
            </w:pPr>
          </w:p>
        </w:tc>
        <w:tc>
          <w:tcPr>
            <w:tcW w:w="1321" w:type="dxa"/>
            <w:tcBorders>
              <w:top w:val="single" w:sz="4" w:space="0" w:color="auto"/>
              <w:bottom w:val="single" w:sz="12" w:space="0" w:color="auto"/>
            </w:tcBorders>
            <w:shd w:val="clear" w:color="auto" w:fill="auto"/>
            <w:vAlign w:val="bottom"/>
          </w:tcPr>
          <w:p w:rsidR="000B7434" w:rsidRPr="007E31C1" w:rsidRDefault="000B7434" w:rsidP="004F1C97">
            <w:pPr>
              <w:tabs>
                <w:tab w:val="left" w:pos="662"/>
                <w:tab w:val="left" w:pos="1267"/>
                <w:tab w:val="left" w:pos="1987"/>
                <w:tab w:val="left" w:pos="2650"/>
              </w:tabs>
              <w:spacing w:before="60" w:after="60" w:line="320" w:lineRule="exact"/>
              <w:ind w:left="57"/>
              <w:jc w:val="left"/>
              <w:rPr>
                <w:rFonts w:hint="cs"/>
                <w:i/>
                <w:iCs/>
                <w:w w:val="95"/>
                <w:sz w:val="18"/>
                <w:szCs w:val="26"/>
                <w:rtl/>
                <w:lang w:bidi="ar-EG"/>
              </w:rPr>
            </w:pPr>
            <w:r w:rsidRPr="007E31C1">
              <w:rPr>
                <w:rFonts w:hint="cs"/>
                <w:i/>
                <w:iCs/>
                <w:w w:val="95"/>
                <w:sz w:val="18"/>
                <w:szCs w:val="26"/>
                <w:rtl/>
                <w:lang w:bidi="ar-EG"/>
              </w:rPr>
              <w:t>فني</w:t>
            </w:r>
          </w:p>
        </w:tc>
        <w:tc>
          <w:tcPr>
            <w:tcW w:w="1321" w:type="dxa"/>
            <w:tcBorders>
              <w:top w:val="single" w:sz="4" w:space="0" w:color="auto"/>
              <w:bottom w:val="single" w:sz="12" w:space="0" w:color="auto"/>
            </w:tcBorders>
            <w:shd w:val="clear" w:color="auto" w:fill="auto"/>
            <w:vAlign w:val="bottom"/>
          </w:tcPr>
          <w:p w:rsidR="000B7434" w:rsidRPr="007E31C1" w:rsidRDefault="000B7434" w:rsidP="004F1C97">
            <w:pPr>
              <w:tabs>
                <w:tab w:val="left" w:pos="662"/>
                <w:tab w:val="left" w:pos="1267"/>
                <w:tab w:val="left" w:pos="1987"/>
                <w:tab w:val="left" w:pos="2650"/>
              </w:tabs>
              <w:spacing w:before="60" w:after="60" w:line="320" w:lineRule="exact"/>
              <w:ind w:left="57"/>
              <w:jc w:val="left"/>
              <w:rPr>
                <w:rFonts w:hint="cs"/>
                <w:i/>
                <w:iCs/>
                <w:w w:val="95"/>
                <w:sz w:val="18"/>
                <w:szCs w:val="26"/>
                <w:rtl/>
                <w:lang w:bidi="ar-EG"/>
              </w:rPr>
            </w:pPr>
            <w:r w:rsidRPr="007E31C1">
              <w:rPr>
                <w:rFonts w:hint="cs"/>
                <w:i/>
                <w:iCs/>
                <w:w w:val="95"/>
                <w:sz w:val="18"/>
                <w:szCs w:val="26"/>
                <w:rtl/>
                <w:lang w:bidi="ar-EG"/>
              </w:rPr>
              <w:t>غير فني</w:t>
            </w:r>
          </w:p>
        </w:tc>
        <w:tc>
          <w:tcPr>
            <w:tcW w:w="1322" w:type="dxa"/>
            <w:gridSpan w:val="2"/>
            <w:tcBorders>
              <w:top w:val="single" w:sz="4" w:space="0" w:color="auto"/>
              <w:bottom w:val="single" w:sz="12" w:space="0" w:color="auto"/>
            </w:tcBorders>
            <w:shd w:val="clear" w:color="auto" w:fill="auto"/>
            <w:vAlign w:val="bottom"/>
          </w:tcPr>
          <w:p w:rsidR="000B7434" w:rsidRPr="007E31C1" w:rsidRDefault="000B7434" w:rsidP="004F1C97">
            <w:pPr>
              <w:tabs>
                <w:tab w:val="left" w:pos="662"/>
                <w:tab w:val="left" w:pos="1267"/>
                <w:tab w:val="left" w:pos="1987"/>
                <w:tab w:val="left" w:pos="2650"/>
              </w:tabs>
              <w:spacing w:before="60" w:after="60" w:line="320" w:lineRule="exact"/>
              <w:ind w:left="57"/>
              <w:jc w:val="left"/>
              <w:rPr>
                <w:rFonts w:hint="cs"/>
                <w:i/>
                <w:iCs/>
                <w:w w:val="95"/>
                <w:sz w:val="18"/>
                <w:szCs w:val="26"/>
                <w:rtl/>
                <w:lang w:bidi="ar-EG"/>
              </w:rPr>
            </w:pPr>
            <w:r w:rsidRPr="007E31C1">
              <w:rPr>
                <w:rFonts w:hint="cs"/>
                <w:i/>
                <w:iCs/>
                <w:w w:val="95"/>
                <w:sz w:val="18"/>
                <w:szCs w:val="26"/>
                <w:rtl/>
                <w:lang w:bidi="ar-EG"/>
              </w:rPr>
              <w:t>المجموع</w:t>
            </w:r>
          </w:p>
        </w:tc>
        <w:tc>
          <w:tcPr>
            <w:tcW w:w="1321" w:type="dxa"/>
            <w:tcBorders>
              <w:top w:val="single" w:sz="4" w:space="0" w:color="auto"/>
              <w:bottom w:val="single" w:sz="12" w:space="0" w:color="auto"/>
            </w:tcBorders>
            <w:shd w:val="clear" w:color="auto" w:fill="auto"/>
            <w:vAlign w:val="bottom"/>
          </w:tcPr>
          <w:p w:rsidR="000B7434" w:rsidRPr="007E31C1" w:rsidRDefault="000B7434" w:rsidP="004F1C97">
            <w:pPr>
              <w:tabs>
                <w:tab w:val="left" w:pos="662"/>
                <w:tab w:val="left" w:pos="1267"/>
                <w:tab w:val="left" w:pos="1987"/>
                <w:tab w:val="left" w:pos="2650"/>
              </w:tabs>
              <w:spacing w:before="60" w:after="60" w:line="320" w:lineRule="exact"/>
              <w:ind w:left="57"/>
              <w:jc w:val="left"/>
              <w:rPr>
                <w:rFonts w:hint="cs"/>
                <w:i/>
                <w:iCs/>
                <w:w w:val="95"/>
                <w:sz w:val="18"/>
                <w:szCs w:val="26"/>
                <w:rtl/>
                <w:lang w:bidi="ar-EG"/>
              </w:rPr>
            </w:pPr>
            <w:r w:rsidRPr="007E31C1">
              <w:rPr>
                <w:rFonts w:hint="cs"/>
                <w:i/>
                <w:iCs/>
                <w:w w:val="95"/>
                <w:sz w:val="18"/>
                <w:szCs w:val="26"/>
                <w:rtl/>
                <w:lang w:bidi="ar-EG"/>
              </w:rPr>
              <w:t>فني</w:t>
            </w:r>
          </w:p>
        </w:tc>
        <w:tc>
          <w:tcPr>
            <w:tcW w:w="1322" w:type="dxa"/>
            <w:tcBorders>
              <w:top w:val="single" w:sz="4" w:space="0" w:color="auto"/>
              <w:bottom w:val="single" w:sz="12" w:space="0" w:color="auto"/>
            </w:tcBorders>
            <w:shd w:val="clear" w:color="auto" w:fill="auto"/>
            <w:vAlign w:val="bottom"/>
          </w:tcPr>
          <w:p w:rsidR="000B7434" w:rsidRPr="007E31C1" w:rsidRDefault="000B7434" w:rsidP="004F1C97">
            <w:pPr>
              <w:tabs>
                <w:tab w:val="left" w:pos="662"/>
                <w:tab w:val="left" w:pos="1267"/>
                <w:tab w:val="left" w:pos="1987"/>
                <w:tab w:val="left" w:pos="2650"/>
              </w:tabs>
              <w:spacing w:before="60" w:after="60" w:line="320" w:lineRule="exact"/>
              <w:ind w:left="57"/>
              <w:jc w:val="left"/>
              <w:rPr>
                <w:rFonts w:hint="cs"/>
                <w:i/>
                <w:iCs/>
                <w:w w:val="95"/>
                <w:sz w:val="18"/>
                <w:szCs w:val="26"/>
                <w:rtl/>
                <w:lang w:bidi="ar-EG"/>
              </w:rPr>
            </w:pPr>
            <w:r w:rsidRPr="007E31C1">
              <w:rPr>
                <w:rFonts w:hint="cs"/>
                <w:i/>
                <w:iCs/>
                <w:w w:val="95"/>
                <w:sz w:val="18"/>
                <w:szCs w:val="26"/>
                <w:rtl/>
                <w:lang w:bidi="ar-EG"/>
              </w:rPr>
              <w:t>غير فني</w:t>
            </w:r>
          </w:p>
        </w:tc>
        <w:tc>
          <w:tcPr>
            <w:tcW w:w="1386" w:type="dxa"/>
            <w:tcBorders>
              <w:top w:val="single" w:sz="4" w:space="0" w:color="auto"/>
              <w:bottom w:val="single" w:sz="12" w:space="0" w:color="auto"/>
            </w:tcBorders>
            <w:shd w:val="clear" w:color="auto" w:fill="auto"/>
          </w:tcPr>
          <w:p w:rsidR="000B7434" w:rsidRPr="00CA75D3" w:rsidRDefault="00CA75D3" w:rsidP="004F1C97">
            <w:pPr>
              <w:tabs>
                <w:tab w:val="left" w:pos="662"/>
                <w:tab w:val="left" w:pos="1267"/>
                <w:tab w:val="left" w:pos="1987"/>
                <w:tab w:val="left" w:pos="2650"/>
              </w:tabs>
              <w:spacing w:before="60" w:after="60" w:line="320" w:lineRule="exact"/>
              <w:ind w:left="57"/>
              <w:rPr>
                <w:rFonts w:hint="cs"/>
                <w:i/>
                <w:iCs/>
                <w:w w:val="95"/>
                <w:sz w:val="18"/>
                <w:szCs w:val="26"/>
                <w:rtl/>
                <w:lang w:bidi="ar-EG"/>
              </w:rPr>
            </w:pPr>
            <w:r w:rsidRPr="00CA75D3">
              <w:rPr>
                <w:rFonts w:hint="cs"/>
                <w:i/>
                <w:iCs/>
                <w:w w:val="95"/>
                <w:sz w:val="18"/>
                <w:szCs w:val="26"/>
                <w:rtl/>
                <w:lang w:bidi="ar-EG"/>
              </w:rPr>
              <w:t>المجموع</w:t>
            </w:r>
          </w:p>
        </w:tc>
      </w:tr>
      <w:tr w:rsidR="000B7434" w:rsidRPr="00757684" w:rsidTr="007E31C1">
        <w:tblPrEx>
          <w:tblCellMar>
            <w:top w:w="0" w:type="dxa"/>
            <w:bottom w:w="0" w:type="dxa"/>
          </w:tblCellMar>
        </w:tblPrEx>
        <w:tc>
          <w:tcPr>
            <w:tcW w:w="1036" w:type="dxa"/>
            <w:tcBorders>
              <w:top w:val="single" w:sz="12"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rPr>
                <w:w w:val="95"/>
                <w:sz w:val="18"/>
                <w:szCs w:val="26"/>
                <w:rtl/>
                <w:lang w:bidi="ar-EG"/>
              </w:rPr>
            </w:pPr>
            <w:r w:rsidRPr="007E31C1">
              <w:rPr>
                <w:w w:val="95"/>
                <w:sz w:val="18"/>
                <w:szCs w:val="26"/>
                <w:rtl/>
                <w:lang w:bidi="ar-EG"/>
              </w:rPr>
              <w:t>1</w:t>
            </w:r>
          </w:p>
        </w:tc>
        <w:tc>
          <w:tcPr>
            <w:tcW w:w="616" w:type="dxa"/>
            <w:tcBorders>
              <w:top w:val="single" w:sz="12"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rPr>
                <w:w w:val="95"/>
                <w:sz w:val="18"/>
                <w:szCs w:val="26"/>
                <w:rtl/>
                <w:lang w:bidi="ar-EG"/>
              </w:rPr>
            </w:pPr>
            <w:r w:rsidRPr="007E31C1">
              <w:rPr>
                <w:w w:val="95"/>
                <w:sz w:val="18"/>
                <w:szCs w:val="26"/>
                <w:rtl/>
                <w:lang w:bidi="ar-EG"/>
              </w:rPr>
              <w:t>إناث</w:t>
            </w:r>
          </w:p>
        </w:tc>
        <w:tc>
          <w:tcPr>
            <w:tcW w:w="1321" w:type="dxa"/>
            <w:tcBorders>
              <w:top w:val="single" w:sz="12"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jc w:val="left"/>
              <w:rPr>
                <w:w w:val="95"/>
                <w:sz w:val="18"/>
                <w:szCs w:val="26"/>
                <w:rtl/>
                <w:lang w:bidi="ar-EG"/>
              </w:rPr>
            </w:pPr>
            <w:r w:rsidRPr="007E31C1">
              <w:rPr>
                <w:w w:val="95"/>
                <w:sz w:val="18"/>
                <w:szCs w:val="26"/>
                <w:rtl/>
                <w:lang w:bidi="ar-EG"/>
              </w:rPr>
              <w:t>41</w:t>
            </w:r>
            <w:r w:rsidR="007E31C1">
              <w:rPr>
                <w:rFonts w:hint="cs"/>
                <w:w w:val="95"/>
                <w:sz w:val="18"/>
                <w:szCs w:val="26"/>
                <w:rtl/>
                <w:lang w:bidi="ar-EG"/>
              </w:rPr>
              <w:br/>
            </w:r>
            <w:r w:rsidRPr="007E31C1">
              <w:rPr>
                <w:w w:val="95"/>
                <w:sz w:val="18"/>
                <w:szCs w:val="26"/>
                <w:rtl/>
                <w:lang w:bidi="ar-EG"/>
              </w:rPr>
              <w:t>(9.53 في المائة)</w:t>
            </w:r>
          </w:p>
        </w:tc>
        <w:tc>
          <w:tcPr>
            <w:tcW w:w="1321" w:type="dxa"/>
            <w:tcBorders>
              <w:top w:val="single" w:sz="12"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jc w:val="left"/>
              <w:rPr>
                <w:w w:val="95"/>
                <w:sz w:val="18"/>
                <w:szCs w:val="26"/>
                <w:rtl/>
                <w:lang w:bidi="ar-EG"/>
              </w:rPr>
            </w:pPr>
            <w:r w:rsidRPr="007E31C1">
              <w:rPr>
                <w:w w:val="95"/>
                <w:sz w:val="18"/>
                <w:szCs w:val="26"/>
                <w:rtl/>
                <w:lang w:bidi="ar-EG"/>
              </w:rPr>
              <w:t>39</w:t>
            </w:r>
            <w:r w:rsidR="007E31C1">
              <w:rPr>
                <w:rFonts w:hint="cs"/>
                <w:w w:val="95"/>
                <w:sz w:val="18"/>
                <w:szCs w:val="26"/>
                <w:rtl/>
                <w:lang w:bidi="ar-EG"/>
              </w:rPr>
              <w:br/>
            </w:r>
            <w:r w:rsidRPr="007E31C1">
              <w:rPr>
                <w:w w:val="95"/>
                <w:sz w:val="18"/>
                <w:szCs w:val="26"/>
                <w:rtl/>
                <w:lang w:bidi="ar-EG"/>
              </w:rPr>
              <w:t>(18.93 في المائة)</w:t>
            </w:r>
          </w:p>
        </w:tc>
        <w:tc>
          <w:tcPr>
            <w:tcW w:w="1322" w:type="dxa"/>
            <w:gridSpan w:val="2"/>
            <w:tcBorders>
              <w:top w:val="single" w:sz="12"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jc w:val="left"/>
              <w:rPr>
                <w:w w:val="95"/>
                <w:sz w:val="18"/>
                <w:szCs w:val="26"/>
                <w:rtl/>
                <w:lang w:bidi="ar-EG"/>
              </w:rPr>
            </w:pPr>
            <w:r w:rsidRPr="007E31C1">
              <w:rPr>
                <w:w w:val="95"/>
                <w:sz w:val="18"/>
                <w:szCs w:val="26"/>
                <w:rtl/>
                <w:lang w:bidi="ar-EG"/>
              </w:rPr>
              <w:t>80</w:t>
            </w:r>
            <w:r w:rsidR="007E31C1">
              <w:rPr>
                <w:rFonts w:hint="cs"/>
                <w:w w:val="95"/>
                <w:sz w:val="18"/>
                <w:szCs w:val="26"/>
                <w:rtl/>
                <w:lang w:bidi="ar-EG"/>
              </w:rPr>
              <w:br/>
            </w:r>
            <w:r w:rsidRPr="007E31C1">
              <w:rPr>
                <w:w w:val="95"/>
                <w:sz w:val="18"/>
                <w:szCs w:val="26"/>
                <w:rtl/>
                <w:lang w:bidi="ar-EG"/>
              </w:rPr>
              <w:t>(12.58 في المائة)</w:t>
            </w:r>
          </w:p>
        </w:tc>
        <w:tc>
          <w:tcPr>
            <w:tcW w:w="1321" w:type="dxa"/>
            <w:tcBorders>
              <w:top w:val="single" w:sz="12"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jc w:val="left"/>
              <w:rPr>
                <w:w w:val="95"/>
                <w:sz w:val="18"/>
                <w:szCs w:val="26"/>
                <w:rtl/>
                <w:lang w:bidi="ar-EG"/>
              </w:rPr>
            </w:pPr>
            <w:r w:rsidRPr="007E31C1">
              <w:rPr>
                <w:w w:val="95"/>
                <w:sz w:val="18"/>
                <w:szCs w:val="26"/>
                <w:rtl/>
                <w:lang w:bidi="ar-EG"/>
              </w:rPr>
              <w:t xml:space="preserve">3 </w:t>
            </w:r>
            <w:r w:rsidR="007E31C1">
              <w:rPr>
                <w:rFonts w:hint="cs"/>
                <w:w w:val="95"/>
                <w:sz w:val="18"/>
                <w:szCs w:val="26"/>
                <w:rtl/>
                <w:lang w:bidi="ar-EG"/>
              </w:rPr>
              <w:br/>
            </w:r>
            <w:r w:rsidRPr="007E31C1">
              <w:rPr>
                <w:w w:val="95"/>
                <w:sz w:val="18"/>
                <w:szCs w:val="26"/>
                <w:rtl/>
                <w:lang w:bidi="ar-EG"/>
              </w:rPr>
              <w:t>(11.11 في المائة)</w:t>
            </w:r>
          </w:p>
        </w:tc>
        <w:tc>
          <w:tcPr>
            <w:tcW w:w="1322" w:type="dxa"/>
            <w:tcBorders>
              <w:top w:val="single" w:sz="12"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jc w:val="left"/>
              <w:rPr>
                <w:w w:val="95"/>
                <w:sz w:val="18"/>
                <w:szCs w:val="26"/>
                <w:rtl/>
                <w:lang w:bidi="ar-EG"/>
              </w:rPr>
            </w:pPr>
            <w:r w:rsidRPr="007E31C1">
              <w:rPr>
                <w:w w:val="95"/>
                <w:sz w:val="18"/>
                <w:szCs w:val="26"/>
                <w:rtl/>
                <w:lang w:bidi="ar-EG"/>
              </w:rPr>
              <w:t xml:space="preserve">11 </w:t>
            </w:r>
            <w:r w:rsidR="007E31C1">
              <w:rPr>
                <w:rFonts w:hint="cs"/>
                <w:w w:val="95"/>
                <w:sz w:val="18"/>
                <w:szCs w:val="26"/>
                <w:rtl/>
                <w:lang w:bidi="ar-EG"/>
              </w:rPr>
              <w:br/>
            </w:r>
            <w:r w:rsidRPr="007E31C1">
              <w:rPr>
                <w:w w:val="95"/>
                <w:sz w:val="18"/>
                <w:szCs w:val="26"/>
                <w:rtl/>
                <w:lang w:bidi="ar-EG"/>
              </w:rPr>
              <w:t>(11.83 في المائة)</w:t>
            </w:r>
          </w:p>
        </w:tc>
        <w:tc>
          <w:tcPr>
            <w:tcW w:w="1386" w:type="dxa"/>
            <w:tcBorders>
              <w:top w:val="single" w:sz="12"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rPr>
                <w:w w:val="95"/>
                <w:sz w:val="18"/>
                <w:szCs w:val="26"/>
                <w:rtl/>
                <w:lang w:bidi="ar-EG"/>
              </w:rPr>
            </w:pPr>
            <w:r w:rsidRPr="007E31C1">
              <w:rPr>
                <w:w w:val="95"/>
                <w:sz w:val="18"/>
                <w:szCs w:val="26"/>
                <w:rtl/>
                <w:lang w:bidi="ar-EG"/>
              </w:rPr>
              <w:t xml:space="preserve">15 </w:t>
            </w:r>
            <w:r w:rsidR="007E31C1">
              <w:rPr>
                <w:rFonts w:hint="cs"/>
                <w:w w:val="95"/>
                <w:sz w:val="18"/>
                <w:szCs w:val="26"/>
                <w:rtl/>
                <w:lang w:bidi="ar-EG"/>
              </w:rPr>
              <w:br/>
            </w:r>
            <w:r w:rsidRPr="007E31C1">
              <w:rPr>
                <w:w w:val="95"/>
                <w:sz w:val="18"/>
                <w:szCs w:val="26"/>
                <w:rtl/>
                <w:lang w:bidi="ar-EG"/>
              </w:rPr>
              <w:t>(11.67 في المائة)</w:t>
            </w:r>
          </w:p>
        </w:tc>
      </w:tr>
      <w:tr w:rsidR="000B7434" w:rsidTr="007E31C1">
        <w:tblPrEx>
          <w:tblCellMar>
            <w:top w:w="0" w:type="dxa"/>
            <w:bottom w:w="0" w:type="dxa"/>
          </w:tblCellMar>
        </w:tblPrEx>
        <w:tc>
          <w:tcPr>
            <w:tcW w:w="1036" w:type="dxa"/>
            <w:tcBorders>
              <w:bottom w:val="single" w:sz="4"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rPr>
                <w:w w:val="95"/>
                <w:sz w:val="18"/>
                <w:szCs w:val="26"/>
                <w:rtl/>
                <w:lang w:bidi="ar-EG"/>
              </w:rPr>
            </w:pPr>
            <w:r w:rsidRPr="007E31C1">
              <w:rPr>
                <w:w w:val="95"/>
                <w:sz w:val="18"/>
                <w:szCs w:val="26"/>
                <w:rtl/>
                <w:lang w:bidi="ar-EG"/>
              </w:rPr>
              <w:t>2</w:t>
            </w:r>
          </w:p>
        </w:tc>
        <w:tc>
          <w:tcPr>
            <w:tcW w:w="616" w:type="dxa"/>
            <w:tcBorders>
              <w:bottom w:val="single" w:sz="4"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rPr>
                <w:w w:val="95"/>
                <w:sz w:val="18"/>
                <w:szCs w:val="26"/>
                <w:rtl/>
                <w:lang w:bidi="ar-EG"/>
              </w:rPr>
            </w:pPr>
            <w:r w:rsidRPr="007E31C1">
              <w:rPr>
                <w:w w:val="95"/>
                <w:sz w:val="18"/>
                <w:szCs w:val="26"/>
                <w:rtl/>
                <w:lang w:bidi="ar-EG"/>
              </w:rPr>
              <w:t>ذكور</w:t>
            </w:r>
          </w:p>
        </w:tc>
        <w:tc>
          <w:tcPr>
            <w:tcW w:w="1321" w:type="dxa"/>
            <w:tcBorders>
              <w:bottom w:val="single" w:sz="4"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jc w:val="left"/>
              <w:rPr>
                <w:w w:val="95"/>
                <w:sz w:val="18"/>
                <w:szCs w:val="26"/>
                <w:rtl/>
                <w:lang w:bidi="ar-EG"/>
              </w:rPr>
            </w:pPr>
            <w:r w:rsidRPr="007E31C1">
              <w:rPr>
                <w:w w:val="95"/>
                <w:sz w:val="18"/>
                <w:szCs w:val="26"/>
                <w:rtl/>
                <w:lang w:bidi="ar-EG"/>
              </w:rPr>
              <w:t xml:space="preserve">389 </w:t>
            </w:r>
            <w:r w:rsidR="007E31C1">
              <w:rPr>
                <w:rFonts w:hint="cs"/>
                <w:w w:val="95"/>
                <w:sz w:val="18"/>
                <w:szCs w:val="26"/>
                <w:rtl/>
                <w:lang w:bidi="ar-EG"/>
              </w:rPr>
              <w:br/>
            </w:r>
            <w:r w:rsidRPr="007E31C1">
              <w:rPr>
                <w:w w:val="95"/>
                <w:sz w:val="18"/>
                <w:szCs w:val="26"/>
                <w:rtl/>
                <w:lang w:bidi="ar-EG"/>
              </w:rPr>
              <w:t>(90.47 في المائة)</w:t>
            </w:r>
          </w:p>
        </w:tc>
        <w:tc>
          <w:tcPr>
            <w:tcW w:w="1321" w:type="dxa"/>
            <w:tcBorders>
              <w:bottom w:val="single" w:sz="4"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jc w:val="left"/>
              <w:rPr>
                <w:w w:val="95"/>
                <w:sz w:val="18"/>
                <w:szCs w:val="26"/>
                <w:rtl/>
                <w:lang w:bidi="ar-EG"/>
              </w:rPr>
            </w:pPr>
            <w:r w:rsidRPr="007E31C1">
              <w:rPr>
                <w:w w:val="95"/>
                <w:sz w:val="18"/>
                <w:szCs w:val="26"/>
                <w:rtl/>
                <w:lang w:bidi="ar-EG"/>
              </w:rPr>
              <w:t xml:space="preserve">167 </w:t>
            </w:r>
            <w:r w:rsidR="007E31C1">
              <w:rPr>
                <w:rFonts w:hint="cs"/>
                <w:w w:val="95"/>
                <w:sz w:val="18"/>
                <w:szCs w:val="26"/>
                <w:rtl/>
                <w:lang w:bidi="ar-EG"/>
              </w:rPr>
              <w:br/>
            </w:r>
            <w:r w:rsidRPr="007E31C1">
              <w:rPr>
                <w:w w:val="95"/>
                <w:sz w:val="18"/>
                <w:szCs w:val="26"/>
                <w:rtl/>
                <w:lang w:bidi="ar-EG"/>
              </w:rPr>
              <w:t>(81.07 في المائة)</w:t>
            </w:r>
          </w:p>
        </w:tc>
        <w:tc>
          <w:tcPr>
            <w:tcW w:w="1322" w:type="dxa"/>
            <w:gridSpan w:val="2"/>
            <w:tcBorders>
              <w:bottom w:val="single" w:sz="4"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jc w:val="left"/>
              <w:rPr>
                <w:w w:val="95"/>
                <w:sz w:val="18"/>
                <w:szCs w:val="26"/>
                <w:rtl/>
                <w:lang w:bidi="ar-EG"/>
              </w:rPr>
            </w:pPr>
            <w:r w:rsidRPr="007E31C1">
              <w:rPr>
                <w:w w:val="95"/>
                <w:sz w:val="18"/>
                <w:szCs w:val="26"/>
                <w:rtl/>
                <w:lang w:bidi="ar-EG"/>
              </w:rPr>
              <w:t xml:space="preserve">556 </w:t>
            </w:r>
            <w:r w:rsidR="007E31C1">
              <w:rPr>
                <w:rFonts w:hint="cs"/>
                <w:w w:val="95"/>
                <w:sz w:val="18"/>
                <w:szCs w:val="26"/>
                <w:rtl/>
                <w:lang w:bidi="ar-EG"/>
              </w:rPr>
              <w:br/>
            </w:r>
            <w:r w:rsidRPr="007E31C1">
              <w:rPr>
                <w:w w:val="95"/>
                <w:sz w:val="18"/>
                <w:szCs w:val="26"/>
                <w:rtl/>
                <w:lang w:bidi="ar-EG"/>
              </w:rPr>
              <w:t>(87.42 في المائة)</w:t>
            </w:r>
          </w:p>
        </w:tc>
        <w:tc>
          <w:tcPr>
            <w:tcW w:w="1321" w:type="dxa"/>
            <w:tcBorders>
              <w:bottom w:val="single" w:sz="4"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jc w:val="left"/>
              <w:rPr>
                <w:w w:val="95"/>
                <w:sz w:val="18"/>
                <w:szCs w:val="26"/>
                <w:rtl/>
                <w:lang w:bidi="ar-EG"/>
              </w:rPr>
            </w:pPr>
            <w:r w:rsidRPr="007E31C1">
              <w:rPr>
                <w:w w:val="95"/>
                <w:sz w:val="18"/>
                <w:szCs w:val="26"/>
                <w:rtl/>
                <w:lang w:bidi="ar-EG"/>
              </w:rPr>
              <w:t xml:space="preserve">24 </w:t>
            </w:r>
            <w:r w:rsidR="007E31C1">
              <w:rPr>
                <w:rFonts w:hint="cs"/>
                <w:w w:val="95"/>
                <w:sz w:val="18"/>
                <w:szCs w:val="26"/>
                <w:rtl/>
                <w:lang w:bidi="ar-EG"/>
              </w:rPr>
              <w:br/>
            </w:r>
            <w:r w:rsidRPr="007E31C1">
              <w:rPr>
                <w:w w:val="95"/>
                <w:sz w:val="18"/>
                <w:szCs w:val="26"/>
                <w:rtl/>
                <w:lang w:bidi="ar-EG"/>
              </w:rPr>
              <w:t>(88.89 في المائة)</w:t>
            </w:r>
          </w:p>
        </w:tc>
        <w:tc>
          <w:tcPr>
            <w:tcW w:w="1322" w:type="dxa"/>
            <w:tcBorders>
              <w:bottom w:val="single" w:sz="4"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jc w:val="left"/>
              <w:rPr>
                <w:w w:val="95"/>
                <w:sz w:val="18"/>
                <w:szCs w:val="26"/>
                <w:rtl/>
                <w:lang w:bidi="ar-EG"/>
              </w:rPr>
            </w:pPr>
            <w:r w:rsidRPr="007E31C1">
              <w:rPr>
                <w:w w:val="95"/>
                <w:sz w:val="18"/>
                <w:szCs w:val="26"/>
                <w:rtl/>
                <w:lang w:bidi="ar-EG"/>
              </w:rPr>
              <w:t xml:space="preserve">82 </w:t>
            </w:r>
            <w:r w:rsidR="007E31C1">
              <w:rPr>
                <w:rFonts w:hint="cs"/>
                <w:w w:val="95"/>
                <w:sz w:val="18"/>
                <w:szCs w:val="26"/>
                <w:rtl/>
                <w:lang w:bidi="ar-EG"/>
              </w:rPr>
              <w:br/>
            </w:r>
            <w:r w:rsidRPr="007E31C1">
              <w:rPr>
                <w:w w:val="95"/>
                <w:sz w:val="18"/>
                <w:szCs w:val="26"/>
                <w:rtl/>
                <w:lang w:bidi="ar-EG"/>
              </w:rPr>
              <w:t>(88.17 في المائة)</w:t>
            </w:r>
          </w:p>
        </w:tc>
        <w:tc>
          <w:tcPr>
            <w:tcW w:w="1386" w:type="dxa"/>
            <w:tcBorders>
              <w:bottom w:val="single" w:sz="4"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rPr>
                <w:w w:val="95"/>
                <w:sz w:val="18"/>
                <w:szCs w:val="26"/>
                <w:rtl/>
                <w:lang w:bidi="ar-EG"/>
              </w:rPr>
            </w:pPr>
            <w:r w:rsidRPr="007E31C1">
              <w:rPr>
                <w:w w:val="95"/>
                <w:sz w:val="18"/>
                <w:szCs w:val="26"/>
                <w:rtl/>
                <w:lang w:bidi="ar-EG"/>
              </w:rPr>
              <w:t xml:space="preserve">106 </w:t>
            </w:r>
            <w:r w:rsidR="007E31C1">
              <w:rPr>
                <w:rFonts w:hint="cs"/>
                <w:w w:val="95"/>
                <w:sz w:val="18"/>
                <w:szCs w:val="26"/>
                <w:rtl/>
                <w:lang w:bidi="ar-EG"/>
              </w:rPr>
              <w:br/>
            </w:r>
            <w:r w:rsidRPr="007E31C1">
              <w:rPr>
                <w:w w:val="95"/>
                <w:sz w:val="18"/>
                <w:szCs w:val="26"/>
                <w:rtl/>
                <w:lang w:bidi="ar-EG"/>
              </w:rPr>
              <w:t>(88.33 في المائة)</w:t>
            </w:r>
          </w:p>
        </w:tc>
      </w:tr>
      <w:tr w:rsidR="000B7434" w:rsidRPr="007E31C1" w:rsidTr="007E31C1">
        <w:tblPrEx>
          <w:tblCellMar>
            <w:top w:w="0" w:type="dxa"/>
            <w:bottom w:w="0" w:type="dxa"/>
          </w:tblCellMar>
        </w:tblPrEx>
        <w:tc>
          <w:tcPr>
            <w:tcW w:w="1036" w:type="dxa"/>
            <w:tcBorders>
              <w:top w:val="single" w:sz="4" w:space="0" w:color="auto"/>
              <w:bottom w:val="single" w:sz="12" w:space="0" w:color="auto"/>
            </w:tcBorders>
            <w:shd w:val="clear" w:color="auto" w:fill="auto"/>
          </w:tcPr>
          <w:p w:rsidR="000B7434" w:rsidRPr="007E31C1" w:rsidRDefault="007E31C1" w:rsidP="004F1C97">
            <w:pPr>
              <w:tabs>
                <w:tab w:val="left" w:pos="662"/>
                <w:tab w:val="left" w:pos="1267"/>
                <w:tab w:val="left" w:pos="1987"/>
                <w:tab w:val="left" w:pos="2650"/>
              </w:tabs>
              <w:spacing w:before="60" w:after="60" w:line="320" w:lineRule="exact"/>
              <w:ind w:left="57"/>
              <w:rPr>
                <w:b/>
                <w:bCs/>
                <w:w w:val="95"/>
                <w:sz w:val="18"/>
                <w:szCs w:val="26"/>
                <w:rtl/>
                <w:lang w:bidi="ar-EG"/>
              </w:rPr>
            </w:pPr>
            <w:r>
              <w:rPr>
                <w:rFonts w:hint="cs"/>
                <w:b/>
                <w:bCs/>
                <w:w w:val="95"/>
                <w:sz w:val="18"/>
                <w:szCs w:val="26"/>
                <w:rtl/>
                <w:lang w:bidi="ar-EG"/>
              </w:rPr>
              <w:t xml:space="preserve">  </w:t>
            </w:r>
            <w:r w:rsidR="000B7434" w:rsidRPr="007E31C1">
              <w:rPr>
                <w:rFonts w:hint="cs"/>
                <w:b/>
                <w:bCs/>
                <w:w w:val="95"/>
                <w:sz w:val="18"/>
                <w:szCs w:val="26"/>
                <w:rtl/>
                <w:lang w:bidi="ar-EG"/>
              </w:rPr>
              <w:t>المجموع</w:t>
            </w:r>
          </w:p>
        </w:tc>
        <w:tc>
          <w:tcPr>
            <w:tcW w:w="616" w:type="dxa"/>
            <w:tcBorders>
              <w:top w:val="single" w:sz="4" w:space="0" w:color="auto"/>
              <w:bottom w:val="single" w:sz="12"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rPr>
                <w:b/>
                <w:bCs/>
                <w:w w:val="95"/>
                <w:sz w:val="18"/>
                <w:szCs w:val="26"/>
                <w:rtl/>
                <w:lang w:bidi="ar-EG"/>
              </w:rPr>
            </w:pPr>
          </w:p>
        </w:tc>
        <w:tc>
          <w:tcPr>
            <w:tcW w:w="1321" w:type="dxa"/>
            <w:tcBorders>
              <w:top w:val="single" w:sz="4" w:space="0" w:color="auto"/>
              <w:bottom w:val="single" w:sz="12"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jc w:val="left"/>
              <w:rPr>
                <w:rFonts w:hint="cs"/>
                <w:b/>
                <w:bCs/>
                <w:w w:val="95"/>
                <w:sz w:val="18"/>
                <w:szCs w:val="26"/>
                <w:rtl/>
                <w:lang w:bidi="ar-EG"/>
              </w:rPr>
            </w:pPr>
            <w:r w:rsidRPr="007E31C1">
              <w:rPr>
                <w:rFonts w:hint="cs"/>
                <w:b/>
                <w:bCs/>
                <w:w w:val="95"/>
                <w:sz w:val="18"/>
                <w:szCs w:val="26"/>
                <w:rtl/>
                <w:lang w:bidi="ar-EG"/>
              </w:rPr>
              <w:t>430</w:t>
            </w:r>
          </w:p>
        </w:tc>
        <w:tc>
          <w:tcPr>
            <w:tcW w:w="1321" w:type="dxa"/>
            <w:tcBorders>
              <w:top w:val="single" w:sz="4" w:space="0" w:color="auto"/>
              <w:bottom w:val="single" w:sz="12"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jc w:val="left"/>
              <w:rPr>
                <w:rFonts w:hint="cs"/>
                <w:b/>
                <w:bCs/>
                <w:w w:val="95"/>
                <w:sz w:val="18"/>
                <w:szCs w:val="26"/>
                <w:rtl/>
                <w:lang w:bidi="ar-EG"/>
              </w:rPr>
            </w:pPr>
            <w:r w:rsidRPr="007E31C1">
              <w:rPr>
                <w:rFonts w:hint="cs"/>
                <w:b/>
                <w:bCs/>
                <w:w w:val="95"/>
                <w:sz w:val="18"/>
                <w:szCs w:val="26"/>
                <w:rtl/>
                <w:lang w:bidi="ar-EG"/>
              </w:rPr>
              <w:t>206</w:t>
            </w:r>
          </w:p>
        </w:tc>
        <w:tc>
          <w:tcPr>
            <w:tcW w:w="1322" w:type="dxa"/>
            <w:gridSpan w:val="2"/>
            <w:tcBorders>
              <w:top w:val="single" w:sz="4" w:space="0" w:color="auto"/>
              <w:bottom w:val="single" w:sz="12"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jc w:val="left"/>
              <w:rPr>
                <w:rFonts w:hint="cs"/>
                <w:b/>
                <w:bCs/>
                <w:w w:val="95"/>
                <w:sz w:val="18"/>
                <w:szCs w:val="26"/>
                <w:rtl/>
                <w:lang w:bidi="ar-EG"/>
              </w:rPr>
            </w:pPr>
            <w:r w:rsidRPr="007E31C1">
              <w:rPr>
                <w:rFonts w:hint="cs"/>
                <w:b/>
                <w:bCs/>
                <w:w w:val="95"/>
                <w:sz w:val="18"/>
                <w:szCs w:val="26"/>
                <w:rtl/>
                <w:lang w:bidi="ar-EG"/>
              </w:rPr>
              <w:t>636</w:t>
            </w:r>
          </w:p>
        </w:tc>
        <w:tc>
          <w:tcPr>
            <w:tcW w:w="1321" w:type="dxa"/>
            <w:tcBorders>
              <w:top w:val="single" w:sz="4" w:space="0" w:color="auto"/>
              <w:bottom w:val="single" w:sz="12"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jc w:val="left"/>
              <w:rPr>
                <w:rFonts w:hint="cs"/>
                <w:b/>
                <w:bCs/>
                <w:w w:val="95"/>
                <w:sz w:val="18"/>
                <w:szCs w:val="26"/>
                <w:rtl/>
                <w:lang w:bidi="ar-EG"/>
              </w:rPr>
            </w:pPr>
            <w:r w:rsidRPr="007E31C1">
              <w:rPr>
                <w:rFonts w:hint="cs"/>
                <w:b/>
                <w:bCs/>
                <w:w w:val="95"/>
                <w:sz w:val="18"/>
                <w:szCs w:val="26"/>
                <w:rtl/>
                <w:lang w:bidi="ar-EG"/>
              </w:rPr>
              <w:t>27</w:t>
            </w:r>
          </w:p>
        </w:tc>
        <w:tc>
          <w:tcPr>
            <w:tcW w:w="1322" w:type="dxa"/>
            <w:tcBorders>
              <w:top w:val="single" w:sz="4" w:space="0" w:color="auto"/>
              <w:bottom w:val="single" w:sz="12"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jc w:val="left"/>
              <w:rPr>
                <w:rFonts w:hint="cs"/>
                <w:b/>
                <w:bCs/>
                <w:w w:val="95"/>
                <w:sz w:val="18"/>
                <w:szCs w:val="26"/>
                <w:rtl/>
                <w:lang w:bidi="ar-EG"/>
              </w:rPr>
            </w:pPr>
            <w:r w:rsidRPr="007E31C1">
              <w:rPr>
                <w:rFonts w:hint="cs"/>
                <w:b/>
                <w:bCs/>
                <w:w w:val="95"/>
                <w:sz w:val="18"/>
                <w:szCs w:val="26"/>
                <w:rtl/>
                <w:lang w:bidi="ar-EG"/>
              </w:rPr>
              <w:t>93</w:t>
            </w:r>
          </w:p>
        </w:tc>
        <w:tc>
          <w:tcPr>
            <w:tcW w:w="1386" w:type="dxa"/>
            <w:tcBorders>
              <w:top w:val="single" w:sz="4" w:space="0" w:color="auto"/>
              <w:bottom w:val="single" w:sz="12" w:space="0" w:color="auto"/>
            </w:tcBorders>
            <w:shd w:val="clear" w:color="auto" w:fill="auto"/>
          </w:tcPr>
          <w:p w:rsidR="000B7434" w:rsidRPr="007E31C1" w:rsidRDefault="000B7434" w:rsidP="004F1C97">
            <w:pPr>
              <w:tabs>
                <w:tab w:val="left" w:pos="662"/>
                <w:tab w:val="left" w:pos="1267"/>
                <w:tab w:val="left" w:pos="1987"/>
                <w:tab w:val="left" w:pos="2650"/>
              </w:tabs>
              <w:spacing w:before="60" w:after="60" w:line="320" w:lineRule="exact"/>
              <w:ind w:left="57"/>
              <w:rPr>
                <w:rFonts w:hint="cs"/>
                <w:b/>
                <w:bCs/>
                <w:w w:val="95"/>
                <w:sz w:val="18"/>
                <w:szCs w:val="26"/>
                <w:rtl/>
                <w:lang w:bidi="ar-EG"/>
              </w:rPr>
            </w:pPr>
            <w:r w:rsidRPr="007E31C1">
              <w:rPr>
                <w:rFonts w:hint="cs"/>
                <w:b/>
                <w:bCs/>
                <w:w w:val="95"/>
                <w:sz w:val="18"/>
                <w:szCs w:val="26"/>
                <w:rtl/>
                <w:lang w:bidi="ar-EG"/>
              </w:rPr>
              <w:t>120</w:t>
            </w:r>
          </w:p>
        </w:tc>
      </w:tr>
    </w:tbl>
    <w:p w:rsidR="000B7434" w:rsidRPr="007E31C1" w:rsidRDefault="000B7434" w:rsidP="00CA75D3">
      <w:pPr>
        <w:pStyle w:val="FootnoteText"/>
        <w:tabs>
          <w:tab w:val="right" w:pos="1915"/>
          <w:tab w:val="left" w:pos="2016"/>
          <w:tab w:val="left" w:pos="2491"/>
          <w:tab w:val="left" w:pos="2966"/>
          <w:tab w:val="left" w:pos="3442"/>
          <w:tab w:val="left" w:pos="3917"/>
        </w:tabs>
        <w:spacing w:before="120" w:after="240" w:line="300" w:lineRule="exact"/>
        <w:ind w:left="553"/>
        <w:rPr>
          <w:rFonts w:hint="cs"/>
          <w:sz w:val="26"/>
          <w:szCs w:val="26"/>
          <w:rtl/>
        </w:rPr>
      </w:pPr>
      <w:r w:rsidRPr="007E31C1">
        <w:rPr>
          <w:i/>
          <w:iCs/>
          <w:sz w:val="26"/>
          <w:szCs w:val="26"/>
          <w:rtl/>
        </w:rPr>
        <w:t>المصد</w:t>
      </w:r>
      <w:r w:rsidRPr="007E31C1">
        <w:rPr>
          <w:rFonts w:hint="cs"/>
          <w:i/>
          <w:iCs/>
          <w:sz w:val="26"/>
          <w:szCs w:val="26"/>
          <w:rtl/>
        </w:rPr>
        <w:t>ر</w:t>
      </w:r>
      <w:r w:rsidRPr="007E31C1">
        <w:rPr>
          <w:rFonts w:hint="cs"/>
          <w:sz w:val="26"/>
          <w:szCs w:val="26"/>
          <w:rtl/>
        </w:rPr>
        <w:t xml:space="preserve">: </w:t>
      </w:r>
      <w:r w:rsidR="007E31C1">
        <w:rPr>
          <w:rFonts w:hint="cs"/>
          <w:sz w:val="26"/>
          <w:szCs w:val="26"/>
          <w:rtl/>
        </w:rPr>
        <w:t xml:space="preserve"> </w:t>
      </w:r>
      <w:r w:rsidRPr="007E31C1">
        <w:rPr>
          <w:rFonts w:hint="cs"/>
          <w:sz w:val="26"/>
          <w:szCs w:val="26"/>
          <w:rtl/>
        </w:rPr>
        <w:t>لجنة الخدمة العامة، 2064 (تقويم نيبال)</w:t>
      </w:r>
      <w:r w:rsidR="007E31C1">
        <w:rPr>
          <w:rFonts w:hint="cs"/>
          <w:sz w:val="26"/>
          <w:szCs w:val="26"/>
          <w:rtl/>
        </w:rPr>
        <w:t>.</w:t>
      </w:r>
    </w:p>
    <w:p w:rsidR="000B7434" w:rsidRPr="00EC4329" w:rsidRDefault="004F1C97" w:rsidP="007E31C1">
      <w:pPr>
        <w:pStyle w:val="SingleTxtGA"/>
        <w:spacing w:after="0"/>
        <w:rPr>
          <w:rFonts w:hint="cs"/>
          <w:rtl/>
          <w:lang w:bidi="ar-EG"/>
        </w:rPr>
      </w:pPr>
      <w:r>
        <w:rPr>
          <w:rtl/>
          <w:lang w:bidi="ar-EG"/>
        </w:rPr>
        <w:br w:type="page"/>
      </w:r>
      <w:r w:rsidR="000B7434" w:rsidRPr="00EC4329">
        <w:rPr>
          <w:rFonts w:hint="cs"/>
          <w:rtl/>
          <w:lang w:bidi="ar-EG"/>
        </w:rPr>
        <w:t>الجدول 9</w:t>
      </w:r>
    </w:p>
    <w:p w:rsidR="000B7434" w:rsidRPr="007E31C1" w:rsidRDefault="000B7434" w:rsidP="007E31C1">
      <w:pPr>
        <w:pStyle w:val="SingleTxtGA"/>
        <w:rPr>
          <w:rFonts w:hint="cs"/>
          <w:b/>
          <w:bCs/>
          <w:rtl/>
          <w:lang w:bidi="ar-EG"/>
        </w:rPr>
      </w:pPr>
      <w:r w:rsidRPr="007E31C1">
        <w:rPr>
          <w:rFonts w:hint="cs"/>
          <w:b/>
          <w:bCs/>
          <w:rtl/>
          <w:lang w:bidi="ar-EG"/>
        </w:rPr>
        <w:t>مشاركة المرأة في القطاع القانوني، 2063/2064 (تقويم نيبال)</w:t>
      </w:r>
    </w:p>
    <w:tbl>
      <w:tblPr>
        <w:bidiVisual/>
        <w:tblW w:w="9617" w:type="dxa"/>
        <w:tblInd w:w="-7" w:type="dxa"/>
        <w:tblLayout w:type="fixed"/>
        <w:tblCellMar>
          <w:left w:w="0" w:type="dxa"/>
          <w:right w:w="0" w:type="dxa"/>
        </w:tblCellMar>
        <w:tblLook w:val="0000" w:firstRow="0" w:lastRow="0" w:firstColumn="0" w:lastColumn="0" w:noHBand="0" w:noVBand="0"/>
      </w:tblPr>
      <w:tblGrid>
        <w:gridCol w:w="1582"/>
        <w:gridCol w:w="3205"/>
        <w:gridCol w:w="1624"/>
        <w:gridCol w:w="1904"/>
        <w:gridCol w:w="1302"/>
      </w:tblGrid>
      <w:tr w:rsidR="000B7434" w:rsidRPr="00E56D08" w:rsidTr="007E31C1">
        <w:tblPrEx>
          <w:tblCellMar>
            <w:top w:w="0" w:type="dxa"/>
            <w:bottom w:w="0" w:type="dxa"/>
          </w:tblCellMar>
        </w:tblPrEx>
        <w:trPr>
          <w:cantSplit/>
          <w:tblHeader/>
        </w:trPr>
        <w:tc>
          <w:tcPr>
            <w:tcW w:w="1582" w:type="dxa"/>
            <w:tcBorders>
              <w:top w:val="single" w:sz="4" w:space="0" w:color="auto"/>
              <w:bottom w:val="single" w:sz="12" w:space="0" w:color="auto"/>
            </w:tcBorders>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i/>
                <w:iCs/>
                <w:sz w:val="18"/>
                <w:szCs w:val="26"/>
                <w:rtl/>
                <w:lang w:bidi="ar-EG"/>
              </w:rPr>
            </w:pPr>
            <w:r w:rsidRPr="007E31C1">
              <w:rPr>
                <w:rFonts w:hint="cs"/>
                <w:i/>
                <w:iCs/>
                <w:sz w:val="18"/>
                <w:szCs w:val="26"/>
                <w:rtl/>
                <w:lang w:bidi="ar-EG"/>
              </w:rPr>
              <w:t>الرقم المتسلسل</w:t>
            </w:r>
          </w:p>
        </w:tc>
        <w:tc>
          <w:tcPr>
            <w:tcW w:w="3205" w:type="dxa"/>
            <w:tcBorders>
              <w:top w:val="single" w:sz="4" w:space="0" w:color="auto"/>
              <w:bottom w:val="single" w:sz="12" w:space="0" w:color="auto"/>
            </w:tcBorders>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i/>
                <w:iCs/>
                <w:sz w:val="18"/>
                <w:szCs w:val="26"/>
                <w:rtl/>
                <w:lang w:bidi="ar-EG"/>
              </w:rPr>
            </w:pPr>
            <w:r w:rsidRPr="007E31C1">
              <w:rPr>
                <w:rFonts w:hint="cs"/>
                <w:i/>
                <w:iCs/>
                <w:sz w:val="18"/>
                <w:szCs w:val="26"/>
                <w:rtl/>
                <w:lang w:bidi="ar-EG"/>
              </w:rPr>
              <w:t>المنصب</w:t>
            </w:r>
          </w:p>
        </w:tc>
        <w:tc>
          <w:tcPr>
            <w:tcW w:w="1624" w:type="dxa"/>
            <w:tcBorders>
              <w:top w:val="single" w:sz="4" w:space="0" w:color="auto"/>
              <w:bottom w:val="single" w:sz="12" w:space="0" w:color="auto"/>
            </w:tcBorders>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i/>
                <w:iCs/>
                <w:sz w:val="18"/>
                <w:szCs w:val="26"/>
                <w:rtl/>
                <w:lang w:bidi="ar-EG"/>
              </w:rPr>
            </w:pPr>
            <w:r w:rsidRPr="007E31C1">
              <w:rPr>
                <w:rFonts w:hint="cs"/>
                <w:i/>
                <w:iCs/>
                <w:sz w:val="18"/>
                <w:szCs w:val="26"/>
                <w:rtl/>
                <w:lang w:bidi="ar-EG"/>
              </w:rPr>
              <w:t>الإناث (</w:t>
            </w:r>
            <w:r w:rsidR="00CA75D3">
              <w:rPr>
                <w:rFonts w:hint="cs"/>
                <w:i/>
                <w:iCs/>
                <w:sz w:val="18"/>
                <w:szCs w:val="26"/>
                <w:rtl/>
                <w:lang w:bidi="ar-EG"/>
              </w:rPr>
              <w:t>٪</w:t>
            </w:r>
            <w:r w:rsidRPr="007E31C1">
              <w:rPr>
                <w:rFonts w:hint="cs"/>
                <w:i/>
                <w:iCs/>
                <w:sz w:val="18"/>
                <w:szCs w:val="26"/>
                <w:rtl/>
                <w:lang w:bidi="ar-EG"/>
              </w:rPr>
              <w:t>)</w:t>
            </w:r>
          </w:p>
        </w:tc>
        <w:tc>
          <w:tcPr>
            <w:tcW w:w="1904" w:type="dxa"/>
            <w:tcBorders>
              <w:top w:val="single" w:sz="4" w:space="0" w:color="auto"/>
              <w:bottom w:val="single" w:sz="12" w:space="0" w:color="auto"/>
            </w:tcBorders>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i/>
                <w:iCs/>
                <w:sz w:val="18"/>
                <w:szCs w:val="26"/>
                <w:rtl/>
                <w:lang w:bidi="ar-EG"/>
              </w:rPr>
            </w:pPr>
            <w:r w:rsidRPr="007E31C1">
              <w:rPr>
                <w:rFonts w:hint="cs"/>
                <w:i/>
                <w:iCs/>
                <w:sz w:val="18"/>
                <w:szCs w:val="26"/>
                <w:rtl/>
                <w:lang w:bidi="ar-EG"/>
              </w:rPr>
              <w:t>الذكور (</w:t>
            </w:r>
            <w:r w:rsidR="00CA75D3">
              <w:rPr>
                <w:rFonts w:hint="cs"/>
                <w:i/>
                <w:iCs/>
                <w:sz w:val="18"/>
                <w:szCs w:val="26"/>
                <w:rtl/>
                <w:lang w:bidi="ar-EG"/>
              </w:rPr>
              <w:t>٪</w:t>
            </w:r>
            <w:r w:rsidRPr="007E31C1">
              <w:rPr>
                <w:rFonts w:hint="cs"/>
                <w:i/>
                <w:iCs/>
                <w:sz w:val="18"/>
                <w:szCs w:val="26"/>
                <w:rtl/>
                <w:lang w:bidi="ar-EG"/>
              </w:rPr>
              <w:t>)</w:t>
            </w:r>
          </w:p>
        </w:tc>
        <w:tc>
          <w:tcPr>
            <w:tcW w:w="1302" w:type="dxa"/>
            <w:tcBorders>
              <w:top w:val="single" w:sz="4" w:space="0" w:color="auto"/>
              <w:bottom w:val="single" w:sz="12" w:space="0" w:color="auto"/>
            </w:tcBorders>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i/>
                <w:iCs/>
                <w:sz w:val="18"/>
                <w:szCs w:val="26"/>
                <w:rtl/>
                <w:lang w:bidi="ar-EG"/>
              </w:rPr>
            </w:pPr>
            <w:r w:rsidRPr="007E31C1">
              <w:rPr>
                <w:rFonts w:hint="cs"/>
                <w:i/>
                <w:iCs/>
                <w:sz w:val="18"/>
                <w:szCs w:val="26"/>
                <w:rtl/>
                <w:lang w:bidi="ar-EG"/>
              </w:rPr>
              <w:t>العدد الإجمالي</w:t>
            </w:r>
          </w:p>
        </w:tc>
      </w:tr>
      <w:tr w:rsidR="000B7434" w:rsidRPr="00E56D08" w:rsidTr="007E31C1">
        <w:tblPrEx>
          <w:tblCellMar>
            <w:top w:w="0" w:type="dxa"/>
            <w:bottom w:w="0" w:type="dxa"/>
          </w:tblCellMar>
        </w:tblPrEx>
        <w:trPr>
          <w:cantSplit/>
        </w:trPr>
        <w:tc>
          <w:tcPr>
            <w:tcW w:w="1582"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1</w:t>
            </w:r>
          </w:p>
        </w:tc>
        <w:tc>
          <w:tcPr>
            <w:tcW w:w="3205"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المدعي العام (رئيس النيابات العامة)</w:t>
            </w:r>
          </w:p>
        </w:tc>
        <w:tc>
          <w:tcPr>
            <w:tcW w:w="1624"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w:t>
            </w:r>
          </w:p>
        </w:tc>
        <w:tc>
          <w:tcPr>
            <w:tcW w:w="1904"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 xml:space="preserve">1 (100 </w:t>
            </w:r>
            <w:r w:rsidR="00CA75D3">
              <w:rPr>
                <w:rFonts w:hint="cs"/>
                <w:sz w:val="18"/>
                <w:szCs w:val="26"/>
                <w:rtl/>
                <w:lang w:bidi="ar-EG"/>
              </w:rPr>
              <w:t>٪</w:t>
            </w:r>
            <w:r w:rsidRPr="007E31C1">
              <w:rPr>
                <w:rFonts w:hint="cs"/>
                <w:sz w:val="18"/>
                <w:szCs w:val="26"/>
                <w:rtl/>
                <w:lang w:bidi="ar-EG"/>
              </w:rPr>
              <w:t>)</w:t>
            </w:r>
          </w:p>
        </w:tc>
        <w:tc>
          <w:tcPr>
            <w:tcW w:w="1302"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1</w:t>
            </w:r>
          </w:p>
        </w:tc>
      </w:tr>
      <w:tr w:rsidR="000B7434" w:rsidRPr="00E56D08" w:rsidTr="007E31C1">
        <w:tblPrEx>
          <w:tblCellMar>
            <w:top w:w="0" w:type="dxa"/>
            <w:bottom w:w="0" w:type="dxa"/>
          </w:tblCellMar>
        </w:tblPrEx>
        <w:trPr>
          <w:cantSplit/>
        </w:trPr>
        <w:tc>
          <w:tcPr>
            <w:tcW w:w="1582"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2</w:t>
            </w:r>
          </w:p>
        </w:tc>
        <w:tc>
          <w:tcPr>
            <w:tcW w:w="3205"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وكيل الحكومة بالرتبة الخاصة</w:t>
            </w:r>
          </w:p>
        </w:tc>
        <w:tc>
          <w:tcPr>
            <w:tcW w:w="1624"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w:t>
            </w:r>
          </w:p>
        </w:tc>
        <w:tc>
          <w:tcPr>
            <w:tcW w:w="1904"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 xml:space="preserve">4 (100 </w:t>
            </w:r>
            <w:r w:rsidR="00CA75D3">
              <w:rPr>
                <w:rFonts w:hint="cs"/>
                <w:sz w:val="18"/>
                <w:szCs w:val="26"/>
                <w:rtl/>
                <w:lang w:bidi="ar-EG"/>
              </w:rPr>
              <w:t>٪</w:t>
            </w:r>
            <w:r w:rsidRPr="007E31C1">
              <w:rPr>
                <w:rFonts w:hint="cs"/>
                <w:sz w:val="18"/>
                <w:szCs w:val="26"/>
                <w:rtl/>
                <w:lang w:bidi="ar-EG"/>
              </w:rPr>
              <w:t>)</w:t>
            </w:r>
          </w:p>
        </w:tc>
        <w:tc>
          <w:tcPr>
            <w:tcW w:w="1302"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4</w:t>
            </w:r>
          </w:p>
        </w:tc>
      </w:tr>
      <w:tr w:rsidR="000B7434" w:rsidRPr="00E56D08" w:rsidTr="007E31C1">
        <w:tblPrEx>
          <w:tblCellMar>
            <w:top w:w="0" w:type="dxa"/>
            <w:bottom w:w="0" w:type="dxa"/>
          </w:tblCellMar>
        </w:tblPrEx>
        <w:trPr>
          <w:cantSplit/>
        </w:trPr>
        <w:tc>
          <w:tcPr>
            <w:tcW w:w="1582"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3</w:t>
            </w:r>
          </w:p>
        </w:tc>
        <w:tc>
          <w:tcPr>
            <w:tcW w:w="3205"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محامي الحكومة بالدرجة الأولى</w:t>
            </w:r>
          </w:p>
        </w:tc>
        <w:tc>
          <w:tcPr>
            <w:tcW w:w="1624"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w:t>
            </w:r>
          </w:p>
        </w:tc>
        <w:tc>
          <w:tcPr>
            <w:tcW w:w="1904"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27 (100</w:t>
            </w:r>
            <w:r w:rsidR="00CA75D3">
              <w:rPr>
                <w:rFonts w:hint="cs"/>
                <w:sz w:val="18"/>
                <w:szCs w:val="26"/>
                <w:rtl/>
                <w:lang w:bidi="ar-EG"/>
              </w:rPr>
              <w:t>٪</w:t>
            </w:r>
            <w:r w:rsidRPr="007E31C1">
              <w:rPr>
                <w:rFonts w:hint="cs"/>
                <w:sz w:val="18"/>
                <w:szCs w:val="26"/>
                <w:rtl/>
                <w:lang w:bidi="ar-EG"/>
              </w:rPr>
              <w:t>)</w:t>
            </w:r>
          </w:p>
        </w:tc>
        <w:tc>
          <w:tcPr>
            <w:tcW w:w="1302"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27</w:t>
            </w:r>
          </w:p>
        </w:tc>
      </w:tr>
      <w:tr w:rsidR="000B7434" w:rsidRPr="00E56D08" w:rsidTr="007E31C1">
        <w:tblPrEx>
          <w:tblCellMar>
            <w:top w:w="0" w:type="dxa"/>
            <w:bottom w:w="0" w:type="dxa"/>
          </w:tblCellMar>
        </w:tblPrEx>
        <w:trPr>
          <w:cantSplit/>
        </w:trPr>
        <w:tc>
          <w:tcPr>
            <w:tcW w:w="1582"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4</w:t>
            </w:r>
          </w:p>
        </w:tc>
        <w:tc>
          <w:tcPr>
            <w:tcW w:w="3205"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محامي الحكومة بالدرجة الثانية</w:t>
            </w:r>
          </w:p>
        </w:tc>
        <w:tc>
          <w:tcPr>
            <w:tcW w:w="1624"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w:t>
            </w:r>
          </w:p>
        </w:tc>
        <w:tc>
          <w:tcPr>
            <w:tcW w:w="1904"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78 (100</w:t>
            </w:r>
            <w:r w:rsidR="00CA75D3">
              <w:rPr>
                <w:rFonts w:hint="cs"/>
                <w:sz w:val="18"/>
                <w:szCs w:val="26"/>
                <w:rtl/>
                <w:lang w:bidi="ar-EG"/>
              </w:rPr>
              <w:t>٪</w:t>
            </w:r>
            <w:r w:rsidRPr="007E31C1">
              <w:rPr>
                <w:rFonts w:hint="cs"/>
                <w:sz w:val="18"/>
                <w:szCs w:val="26"/>
                <w:rtl/>
                <w:lang w:bidi="ar-EG"/>
              </w:rPr>
              <w:t>)</w:t>
            </w:r>
          </w:p>
        </w:tc>
        <w:tc>
          <w:tcPr>
            <w:tcW w:w="1302"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78</w:t>
            </w:r>
          </w:p>
        </w:tc>
      </w:tr>
      <w:tr w:rsidR="000B7434" w:rsidRPr="00E56D08" w:rsidTr="007E31C1">
        <w:tblPrEx>
          <w:tblCellMar>
            <w:top w:w="0" w:type="dxa"/>
            <w:bottom w:w="0" w:type="dxa"/>
          </w:tblCellMar>
        </w:tblPrEx>
        <w:trPr>
          <w:cantSplit/>
        </w:trPr>
        <w:tc>
          <w:tcPr>
            <w:tcW w:w="1582"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5</w:t>
            </w:r>
          </w:p>
        </w:tc>
        <w:tc>
          <w:tcPr>
            <w:tcW w:w="3205"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محامي الحكومة بالدرجة الثالثة</w:t>
            </w:r>
          </w:p>
        </w:tc>
        <w:tc>
          <w:tcPr>
            <w:tcW w:w="1624"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 xml:space="preserve">2 (1.85 </w:t>
            </w:r>
            <w:r w:rsidR="00CA75D3">
              <w:rPr>
                <w:rFonts w:hint="cs"/>
                <w:sz w:val="18"/>
                <w:szCs w:val="26"/>
                <w:rtl/>
                <w:lang w:bidi="ar-EG"/>
              </w:rPr>
              <w:t>٪</w:t>
            </w:r>
            <w:r w:rsidRPr="007E31C1">
              <w:rPr>
                <w:rFonts w:hint="cs"/>
                <w:sz w:val="18"/>
                <w:szCs w:val="26"/>
                <w:rtl/>
                <w:lang w:bidi="ar-EG"/>
              </w:rPr>
              <w:t>)</w:t>
            </w:r>
          </w:p>
        </w:tc>
        <w:tc>
          <w:tcPr>
            <w:tcW w:w="1904"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106 (98.15</w:t>
            </w:r>
            <w:r w:rsidR="00CA75D3">
              <w:rPr>
                <w:rFonts w:hint="cs"/>
                <w:sz w:val="18"/>
                <w:szCs w:val="26"/>
                <w:rtl/>
                <w:lang w:bidi="ar-EG"/>
              </w:rPr>
              <w:t>٪</w:t>
            </w:r>
            <w:r w:rsidRPr="007E31C1">
              <w:rPr>
                <w:rFonts w:hint="cs"/>
                <w:sz w:val="18"/>
                <w:szCs w:val="26"/>
                <w:rtl/>
                <w:lang w:bidi="ar-EG"/>
              </w:rPr>
              <w:t>)</w:t>
            </w:r>
          </w:p>
        </w:tc>
        <w:tc>
          <w:tcPr>
            <w:tcW w:w="1302"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108</w:t>
            </w:r>
          </w:p>
        </w:tc>
      </w:tr>
      <w:tr w:rsidR="000B7434" w:rsidRPr="00E56D08" w:rsidTr="007E31C1">
        <w:tblPrEx>
          <w:tblCellMar>
            <w:top w:w="0" w:type="dxa"/>
            <w:bottom w:w="0" w:type="dxa"/>
          </w:tblCellMar>
        </w:tblPrEx>
        <w:trPr>
          <w:cantSplit/>
        </w:trPr>
        <w:tc>
          <w:tcPr>
            <w:tcW w:w="1582"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6</w:t>
            </w:r>
          </w:p>
        </w:tc>
        <w:tc>
          <w:tcPr>
            <w:tcW w:w="3205"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محامي متقدم</w:t>
            </w:r>
          </w:p>
        </w:tc>
        <w:tc>
          <w:tcPr>
            <w:tcW w:w="1624"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 xml:space="preserve">2 (3.84 </w:t>
            </w:r>
            <w:r w:rsidR="00CA75D3">
              <w:rPr>
                <w:rFonts w:hint="cs"/>
                <w:sz w:val="18"/>
                <w:szCs w:val="26"/>
                <w:rtl/>
                <w:lang w:bidi="ar-EG"/>
              </w:rPr>
              <w:t>٪</w:t>
            </w:r>
            <w:r w:rsidRPr="007E31C1">
              <w:rPr>
                <w:rFonts w:hint="cs"/>
                <w:sz w:val="18"/>
                <w:szCs w:val="26"/>
                <w:rtl/>
                <w:lang w:bidi="ar-EG"/>
              </w:rPr>
              <w:t>)</w:t>
            </w:r>
          </w:p>
        </w:tc>
        <w:tc>
          <w:tcPr>
            <w:tcW w:w="1904"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50 (96.15</w:t>
            </w:r>
            <w:r w:rsidR="00CA75D3">
              <w:rPr>
                <w:rFonts w:hint="cs"/>
                <w:sz w:val="18"/>
                <w:szCs w:val="26"/>
                <w:rtl/>
                <w:lang w:bidi="ar-EG"/>
              </w:rPr>
              <w:t>٪</w:t>
            </w:r>
            <w:r w:rsidRPr="007E31C1">
              <w:rPr>
                <w:rFonts w:hint="cs"/>
                <w:sz w:val="18"/>
                <w:szCs w:val="26"/>
                <w:rtl/>
                <w:lang w:bidi="ar-EG"/>
              </w:rPr>
              <w:t>)</w:t>
            </w:r>
          </w:p>
        </w:tc>
        <w:tc>
          <w:tcPr>
            <w:tcW w:w="1302"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52</w:t>
            </w:r>
          </w:p>
        </w:tc>
      </w:tr>
      <w:tr w:rsidR="000B7434" w:rsidRPr="00E56D08" w:rsidTr="007E31C1">
        <w:tblPrEx>
          <w:tblCellMar>
            <w:top w:w="0" w:type="dxa"/>
            <w:bottom w:w="0" w:type="dxa"/>
          </w:tblCellMar>
        </w:tblPrEx>
        <w:trPr>
          <w:cantSplit/>
        </w:trPr>
        <w:tc>
          <w:tcPr>
            <w:tcW w:w="1582"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7</w:t>
            </w:r>
          </w:p>
        </w:tc>
        <w:tc>
          <w:tcPr>
            <w:tcW w:w="3205"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محامي</w:t>
            </w:r>
          </w:p>
        </w:tc>
        <w:tc>
          <w:tcPr>
            <w:tcW w:w="1624"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 xml:space="preserve">914 (7.76 </w:t>
            </w:r>
            <w:r w:rsidR="00CA75D3">
              <w:rPr>
                <w:rFonts w:hint="cs"/>
                <w:sz w:val="18"/>
                <w:szCs w:val="26"/>
                <w:rtl/>
                <w:lang w:bidi="ar-EG"/>
              </w:rPr>
              <w:t>٪</w:t>
            </w:r>
            <w:r w:rsidRPr="007E31C1">
              <w:rPr>
                <w:rFonts w:hint="cs"/>
                <w:sz w:val="18"/>
                <w:szCs w:val="26"/>
                <w:rtl/>
                <w:lang w:bidi="ar-EG"/>
              </w:rPr>
              <w:t>)</w:t>
            </w:r>
          </w:p>
        </w:tc>
        <w:tc>
          <w:tcPr>
            <w:tcW w:w="1904"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10863 (92.24</w:t>
            </w:r>
            <w:r w:rsidR="00CA75D3">
              <w:rPr>
                <w:rFonts w:hint="cs"/>
                <w:sz w:val="18"/>
                <w:szCs w:val="26"/>
                <w:rtl/>
                <w:lang w:bidi="ar-EG"/>
              </w:rPr>
              <w:t>٪</w:t>
            </w:r>
            <w:r w:rsidRPr="007E31C1">
              <w:rPr>
                <w:rFonts w:hint="cs"/>
                <w:sz w:val="18"/>
                <w:szCs w:val="26"/>
                <w:rtl/>
                <w:lang w:bidi="ar-EG"/>
              </w:rPr>
              <w:t>)</w:t>
            </w:r>
          </w:p>
        </w:tc>
        <w:tc>
          <w:tcPr>
            <w:tcW w:w="1302"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11777</w:t>
            </w:r>
          </w:p>
        </w:tc>
      </w:tr>
      <w:tr w:rsidR="000B7434" w:rsidRPr="00E56D08" w:rsidTr="007E31C1">
        <w:tblPrEx>
          <w:tblCellMar>
            <w:top w:w="0" w:type="dxa"/>
            <w:bottom w:w="0" w:type="dxa"/>
          </w:tblCellMar>
        </w:tblPrEx>
        <w:trPr>
          <w:cantSplit/>
        </w:trPr>
        <w:tc>
          <w:tcPr>
            <w:tcW w:w="1582"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8</w:t>
            </w:r>
          </w:p>
        </w:tc>
        <w:tc>
          <w:tcPr>
            <w:tcW w:w="3205"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محامي مرافعات</w:t>
            </w:r>
          </w:p>
        </w:tc>
        <w:tc>
          <w:tcPr>
            <w:tcW w:w="1624"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 xml:space="preserve">693 (7.12 </w:t>
            </w:r>
            <w:r w:rsidR="00CA75D3">
              <w:rPr>
                <w:rFonts w:hint="cs"/>
                <w:sz w:val="18"/>
                <w:szCs w:val="26"/>
                <w:rtl/>
                <w:lang w:bidi="ar-EG"/>
              </w:rPr>
              <w:t>٪</w:t>
            </w:r>
            <w:r w:rsidRPr="007E31C1">
              <w:rPr>
                <w:rFonts w:hint="cs"/>
                <w:sz w:val="18"/>
                <w:szCs w:val="26"/>
                <w:rtl/>
                <w:lang w:bidi="ar-EG"/>
              </w:rPr>
              <w:t>)</w:t>
            </w:r>
          </w:p>
        </w:tc>
        <w:tc>
          <w:tcPr>
            <w:tcW w:w="1904"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9038 (92.88</w:t>
            </w:r>
            <w:r w:rsidR="00CA75D3">
              <w:rPr>
                <w:rFonts w:hint="cs"/>
                <w:sz w:val="18"/>
                <w:szCs w:val="26"/>
                <w:rtl/>
                <w:lang w:bidi="ar-EG"/>
              </w:rPr>
              <w:t>٪</w:t>
            </w:r>
            <w:r w:rsidRPr="007E31C1">
              <w:rPr>
                <w:rFonts w:hint="cs"/>
                <w:sz w:val="18"/>
                <w:szCs w:val="26"/>
                <w:rtl/>
                <w:lang w:bidi="ar-EG"/>
              </w:rPr>
              <w:t>)</w:t>
            </w:r>
          </w:p>
        </w:tc>
        <w:tc>
          <w:tcPr>
            <w:tcW w:w="1302" w:type="dxa"/>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9731</w:t>
            </w:r>
          </w:p>
        </w:tc>
      </w:tr>
      <w:tr w:rsidR="000B7434" w:rsidRPr="00E56D08" w:rsidTr="007E31C1">
        <w:tblPrEx>
          <w:tblCellMar>
            <w:top w:w="0" w:type="dxa"/>
            <w:bottom w:w="0" w:type="dxa"/>
          </w:tblCellMar>
        </w:tblPrEx>
        <w:trPr>
          <w:cantSplit/>
        </w:trPr>
        <w:tc>
          <w:tcPr>
            <w:tcW w:w="1582" w:type="dxa"/>
            <w:tcBorders>
              <w:bottom w:val="single" w:sz="12" w:space="0" w:color="auto"/>
            </w:tcBorders>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9</w:t>
            </w:r>
          </w:p>
        </w:tc>
        <w:tc>
          <w:tcPr>
            <w:tcW w:w="3205" w:type="dxa"/>
            <w:tcBorders>
              <w:bottom w:val="single" w:sz="12" w:space="0" w:color="auto"/>
            </w:tcBorders>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موَكّل</w:t>
            </w:r>
          </w:p>
        </w:tc>
        <w:tc>
          <w:tcPr>
            <w:tcW w:w="1624" w:type="dxa"/>
            <w:tcBorders>
              <w:bottom w:val="single" w:sz="12" w:space="0" w:color="auto"/>
            </w:tcBorders>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 xml:space="preserve">5 (0.45 </w:t>
            </w:r>
            <w:r w:rsidR="00CA75D3">
              <w:rPr>
                <w:rFonts w:hint="cs"/>
                <w:sz w:val="18"/>
                <w:szCs w:val="26"/>
                <w:rtl/>
                <w:lang w:bidi="ar-EG"/>
              </w:rPr>
              <w:t>٪</w:t>
            </w:r>
            <w:r w:rsidRPr="007E31C1">
              <w:rPr>
                <w:rFonts w:hint="cs"/>
                <w:sz w:val="18"/>
                <w:szCs w:val="26"/>
                <w:rtl/>
                <w:lang w:bidi="ar-EG"/>
              </w:rPr>
              <w:t>)</w:t>
            </w:r>
          </w:p>
        </w:tc>
        <w:tc>
          <w:tcPr>
            <w:tcW w:w="1904" w:type="dxa"/>
            <w:tcBorders>
              <w:bottom w:val="single" w:sz="12" w:space="0" w:color="auto"/>
            </w:tcBorders>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1088 (99.54</w:t>
            </w:r>
            <w:r w:rsidR="00CA75D3">
              <w:rPr>
                <w:rFonts w:hint="cs"/>
                <w:sz w:val="18"/>
                <w:szCs w:val="26"/>
                <w:rtl/>
                <w:lang w:bidi="ar-EG"/>
              </w:rPr>
              <w:t>٪</w:t>
            </w:r>
            <w:r w:rsidRPr="007E31C1">
              <w:rPr>
                <w:rFonts w:hint="cs"/>
                <w:sz w:val="18"/>
                <w:szCs w:val="26"/>
                <w:rtl/>
                <w:lang w:bidi="ar-EG"/>
              </w:rPr>
              <w:t>)</w:t>
            </w:r>
          </w:p>
        </w:tc>
        <w:tc>
          <w:tcPr>
            <w:tcW w:w="1302" w:type="dxa"/>
            <w:tcBorders>
              <w:bottom w:val="single" w:sz="12" w:space="0" w:color="auto"/>
            </w:tcBorders>
            <w:shd w:val="clear" w:color="auto" w:fill="auto"/>
            <w:vAlign w:val="bottom"/>
          </w:tcPr>
          <w:p w:rsidR="000B7434" w:rsidRPr="007E31C1"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7E31C1">
              <w:rPr>
                <w:rFonts w:hint="cs"/>
                <w:sz w:val="18"/>
                <w:szCs w:val="26"/>
                <w:rtl/>
                <w:lang w:bidi="ar-EG"/>
              </w:rPr>
              <w:t>1093</w:t>
            </w:r>
          </w:p>
        </w:tc>
      </w:tr>
    </w:tbl>
    <w:p w:rsidR="000B7434" w:rsidRPr="007E31C1" w:rsidRDefault="000B7434" w:rsidP="007E31C1">
      <w:pPr>
        <w:pStyle w:val="FootnoteText"/>
        <w:tabs>
          <w:tab w:val="right" w:pos="1915"/>
          <w:tab w:val="left" w:pos="2016"/>
          <w:tab w:val="left" w:pos="2491"/>
          <w:tab w:val="left" w:pos="2966"/>
          <w:tab w:val="left" w:pos="3442"/>
          <w:tab w:val="left" w:pos="3917"/>
        </w:tabs>
        <w:spacing w:before="120" w:after="240" w:line="300" w:lineRule="exact"/>
        <w:ind w:left="553"/>
        <w:rPr>
          <w:rFonts w:hint="cs"/>
          <w:sz w:val="26"/>
          <w:szCs w:val="26"/>
          <w:rtl/>
        </w:rPr>
      </w:pPr>
      <w:r w:rsidRPr="007E31C1">
        <w:rPr>
          <w:i/>
          <w:iCs/>
          <w:sz w:val="26"/>
          <w:szCs w:val="26"/>
          <w:rtl/>
        </w:rPr>
        <w:t>المصد</w:t>
      </w:r>
      <w:r w:rsidRPr="007E31C1">
        <w:rPr>
          <w:rFonts w:hint="cs"/>
          <w:i/>
          <w:iCs/>
          <w:sz w:val="26"/>
          <w:szCs w:val="26"/>
          <w:rtl/>
        </w:rPr>
        <w:t>ر</w:t>
      </w:r>
      <w:r w:rsidRPr="007E31C1">
        <w:rPr>
          <w:rFonts w:hint="cs"/>
          <w:sz w:val="26"/>
          <w:szCs w:val="26"/>
          <w:rtl/>
        </w:rPr>
        <w:t>:</w:t>
      </w:r>
      <w:r w:rsidR="007E31C1">
        <w:rPr>
          <w:rFonts w:hint="cs"/>
          <w:sz w:val="26"/>
          <w:szCs w:val="26"/>
          <w:rtl/>
        </w:rPr>
        <w:t xml:space="preserve"> </w:t>
      </w:r>
      <w:r w:rsidRPr="007E31C1">
        <w:rPr>
          <w:rFonts w:hint="cs"/>
          <w:sz w:val="26"/>
          <w:szCs w:val="26"/>
          <w:rtl/>
        </w:rPr>
        <w:t xml:space="preserve"> مكتب المدعي العام/مجلس نقابة محامي نيبال، كاتماندو، 2007</w:t>
      </w:r>
      <w:r w:rsidR="007E31C1">
        <w:rPr>
          <w:rFonts w:hint="cs"/>
          <w:sz w:val="26"/>
          <w:szCs w:val="26"/>
          <w:rtl/>
        </w:rPr>
        <w:t>.</w:t>
      </w:r>
    </w:p>
    <w:p w:rsidR="000B7434" w:rsidRPr="00EC4329" w:rsidRDefault="000B7434" w:rsidP="00CA75D3">
      <w:pPr>
        <w:pStyle w:val="SingleTxtGA"/>
        <w:spacing w:after="0"/>
        <w:rPr>
          <w:rFonts w:hint="cs"/>
          <w:rtl/>
          <w:lang w:bidi="ar-EG"/>
        </w:rPr>
      </w:pPr>
      <w:r w:rsidRPr="00EC4329">
        <w:rPr>
          <w:rFonts w:hint="cs"/>
          <w:rtl/>
          <w:lang w:bidi="ar-EG"/>
        </w:rPr>
        <w:t>الجدول 10</w:t>
      </w:r>
    </w:p>
    <w:p w:rsidR="000B7434" w:rsidRPr="00CA75D3" w:rsidRDefault="000B7434" w:rsidP="00CA75D3">
      <w:pPr>
        <w:pStyle w:val="SingleTxtGA"/>
        <w:rPr>
          <w:rFonts w:hint="cs"/>
          <w:b/>
          <w:bCs/>
          <w:rtl/>
          <w:lang w:bidi="ar-EG"/>
        </w:rPr>
      </w:pPr>
      <w:r w:rsidRPr="00CA75D3">
        <w:rPr>
          <w:rFonts w:hint="cs"/>
          <w:b/>
          <w:bCs/>
          <w:rtl/>
          <w:lang w:bidi="ar-EG"/>
        </w:rPr>
        <w:t>إحصائيات عن القاضيات</w:t>
      </w:r>
    </w:p>
    <w:tbl>
      <w:tblPr>
        <w:bidiVisual/>
        <w:tblW w:w="7320" w:type="dxa"/>
        <w:tblInd w:w="1267" w:type="dxa"/>
        <w:tblLayout w:type="fixed"/>
        <w:tblCellMar>
          <w:left w:w="0" w:type="dxa"/>
          <w:right w:w="0" w:type="dxa"/>
        </w:tblCellMar>
        <w:tblLook w:val="0000" w:firstRow="0" w:lastRow="0" w:firstColumn="0" w:lastColumn="0" w:noHBand="0" w:noVBand="0"/>
      </w:tblPr>
      <w:tblGrid>
        <w:gridCol w:w="1509"/>
        <w:gridCol w:w="1980"/>
        <w:gridCol w:w="855"/>
        <w:gridCol w:w="855"/>
        <w:gridCol w:w="1251"/>
        <w:gridCol w:w="870"/>
      </w:tblGrid>
      <w:tr w:rsidR="000B7434" w:rsidRPr="00C34E65" w:rsidTr="0076510E">
        <w:tblPrEx>
          <w:tblCellMar>
            <w:top w:w="0" w:type="dxa"/>
            <w:bottom w:w="0" w:type="dxa"/>
          </w:tblCellMar>
        </w:tblPrEx>
        <w:tc>
          <w:tcPr>
            <w:tcW w:w="1509" w:type="dxa"/>
            <w:tcBorders>
              <w:top w:val="single" w:sz="4" w:space="0" w:color="auto"/>
              <w:bottom w:val="single" w:sz="12"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i/>
                <w:iCs/>
                <w:sz w:val="18"/>
                <w:szCs w:val="26"/>
                <w:rtl/>
                <w:lang w:bidi="ar-EG"/>
              </w:rPr>
            </w:pPr>
            <w:r w:rsidRPr="00CA75D3">
              <w:rPr>
                <w:rFonts w:hint="cs"/>
                <w:i/>
                <w:iCs/>
                <w:sz w:val="18"/>
                <w:szCs w:val="26"/>
                <w:rtl/>
                <w:lang w:bidi="ar-EG"/>
              </w:rPr>
              <w:t>الرقم المتسلسل</w:t>
            </w:r>
          </w:p>
        </w:tc>
        <w:tc>
          <w:tcPr>
            <w:tcW w:w="1980" w:type="dxa"/>
            <w:tcBorders>
              <w:top w:val="single" w:sz="4" w:space="0" w:color="auto"/>
              <w:bottom w:val="single" w:sz="12"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i/>
                <w:iCs/>
                <w:sz w:val="18"/>
                <w:szCs w:val="26"/>
                <w:rtl/>
                <w:lang w:bidi="ar-EG"/>
              </w:rPr>
            </w:pPr>
            <w:r w:rsidRPr="00CA75D3">
              <w:rPr>
                <w:rFonts w:hint="cs"/>
                <w:i/>
                <w:iCs/>
                <w:sz w:val="18"/>
                <w:szCs w:val="26"/>
                <w:rtl/>
                <w:lang w:bidi="ar-EG"/>
              </w:rPr>
              <w:t>المحكمة</w:t>
            </w:r>
          </w:p>
        </w:tc>
        <w:tc>
          <w:tcPr>
            <w:tcW w:w="855" w:type="dxa"/>
            <w:tcBorders>
              <w:top w:val="single" w:sz="4" w:space="0" w:color="auto"/>
              <w:bottom w:val="single" w:sz="12"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i/>
                <w:iCs/>
                <w:sz w:val="18"/>
                <w:szCs w:val="26"/>
                <w:rtl/>
                <w:lang w:bidi="ar-EG"/>
              </w:rPr>
            </w:pPr>
            <w:r w:rsidRPr="00CA75D3">
              <w:rPr>
                <w:rFonts w:hint="cs"/>
                <w:i/>
                <w:iCs/>
                <w:sz w:val="18"/>
                <w:szCs w:val="26"/>
                <w:rtl/>
                <w:lang w:bidi="ar-EG"/>
              </w:rPr>
              <w:t>الإناث</w:t>
            </w:r>
          </w:p>
        </w:tc>
        <w:tc>
          <w:tcPr>
            <w:tcW w:w="855" w:type="dxa"/>
            <w:tcBorders>
              <w:top w:val="single" w:sz="4" w:space="0" w:color="auto"/>
              <w:bottom w:val="single" w:sz="12"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i/>
                <w:iCs/>
                <w:sz w:val="18"/>
                <w:szCs w:val="26"/>
                <w:rtl/>
                <w:lang w:bidi="ar-EG"/>
              </w:rPr>
            </w:pPr>
            <w:r w:rsidRPr="00CA75D3">
              <w:rPr>
                <w:rFonts w:hint="cs"/>
                <w:i/>
                <w:iCs/>
                <w:sz w:val="18"/>
                <w:szCs w:val="26"/>
                <w:rtl/>
                <w:lang w:bidi="ar-EG"/>
              </w:rPr>
              <w:t>الذكور</w:t>
            </w:r>
          </w:p>
        </w:tc>
        <w:tc>
          <w:tcPr>
            <w:tcW w:w="1251" w:type="dxa"/>
            <w:tcBorders>
              <w:top w:val="single" w:sz="4" w:space="0" w:color="auto"/>
              <w:bottom w:val="single" w:sz="12"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i/>
                <w:iCs/>
                <w:sz w:val="18"/>
                <w:szCs w:val="26"/>
                <w:rtl/>
                <w:lang w:bidi="ar-EG"/>
              </w:rPr>
            </w:pPr>
            <w:r w:rsidRPr="00CA75D3">
              <w:rPr>
                <w:rFonts w:hint="cs"/>
                <w:i/>
                <w:iCs/>
                <w:sz w:val="18"/>
                <w:szCs w:val="26"/>
                <w:rtl/>
                <w:lang w:bidi="ar-EG"/>
              </w:rPr>
              <w:t>الإناث (</w:t>
            </w:r>
            <w:r w:rsidR="00CA75D3" w:rsidRPr="00CA75D3">
              <w:rPr>
                <w:rFonts w:hint="cs"/>
                <w:i/>
                <w:iCs/>
                <w:sz w:val="18"/>
                <w:szCs w:val="26"/>
                <w:rtl/>
                <w:lang w:bidi="ar-EG"/>
              </w:rPr>
              <w:t>٪</w:t>
            </w:r>
            <w:r w:rsidRPr="00CA75D3">
              <w:rPr>
                <w:rFonts w:hint="cs"/>
                <w:i/>
                <w:iCs/>
                <w:sz w:val="18"/>
                <w:szCs w:val="26"/>
                <w:rtl/>
                <w:lang w:bidi="ar-EG"/>
              </w:rPr>
              <w:t>)</w:t>
            </w:r>
          </w:p>
        </w:tc>
        <w:tc>
          <w:tcPr>
            <w:tcW w:w="870" w:type="dxa"/>
            <w:tcBorders>
              <w:top w:val="single" w:sz="4" w:space="0" w:color="auto"/>
              <w:bottom w:val="single" w:sz="12"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i/>
                <w:iCs/>
                <w:sz w:val="18"/>
                <w:szCs w:val="26"/>
                <w:rtl/>
                <w:lang w:bidi="ar-EG"/>
              </w:rPr>
            </w:pPr>
            <w:r w:rsidRPr="00CA75D3">
              <w:rPr>
                <w:rFonts w:hint="cs"/>
                <w:i/>
                <w:iCs/>
                <w:sz w:val="18"/>
                <w:szCs w:val="26"/>
                <w:rtl/>
                <w:lang w:bidi="ar-EG"/>
              </w:rPr>
              <w:t>المجموع</w:t>
            </w:r>
          </w:p>
        </w:tc>
      </w:tr>
      <w:tr w:rsidR="000B7434" w:rsidRPr="00C34E65" w:rsidTr="0076510E">
        <w:tblPrEx>
          <w:tblCellMar>
            <w:top w:w="0" w:type="dxa"/>
            <w:bottom w:w="0" w:type="dxa"/>
          </w:tblCellMar>
        </w:tblPrEx>
        <w:tc>
          <w:tcPr>
            <w:tcW w:w="1509" w:type="dxa"/>
            <w:tcBorders>
              <w:top w:val="single" w:sz="12"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1</w:t>
            </w:r>
          </w:p>
        </w:tc>
        <w:tc>
          <w:tcPr>
            <w:tcW w:w="1980" w:type="dxa"/>
            <w:tcBorders>
              <w:top w:val="single" w:sz="12"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المحكمة العليا</w:t>
            </w:r>
          </w:p>
        </w:tc>
        <w:tc>
          <w:tcPr>
            <w:tcW w:w="855" w:type="dxa"/>
            <w:tcBorders>
              <w:top w:val="single" w:sz="12"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1</w:t>
            </w:r>
          </w:p>
        </w:tc>
        <w:tc>
          <w:tcPr>
            <w:tcW w:w="855" w:type="dxa"/>
            <w:tcBorders>
              <w:top w:val="single" w:sz="12"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12</w:t>
            </w:r>
          </w:p>
        </w:tc>
        <w:tc>
          <w:tcPr>
            <w:tcW w:w="1251" w:type="dxa"/>
            <w:tcBorders>
              <w:top w:val="single" w:sz="12"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7.69</w:t>
            </w:r>
          </w:p>
        </w:tc>
        <w:tc>
          <w:tcPr>
            <w:tcW w:w="870" w:type="dxa"/>
            <w:tcBorders>
              <w:top w:val="single" w:sz="12"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13</w:t>
            </w:r>
          </w:p>
        </w:tc>
      </w:tr>
      <w:tr w:rsidR="000B7434" w:rsidRPr="00C34E65" w:rsidTr="0076510E">
        <w:tblPrEx>
          <w:tblCellMar>
            <w:top w:w="0" w:type="dxa"/>
            <w:bottom w:w="0" w:type="dxa"/>
          </w:tblCellMar>
        </w:tblPrEx>
        <w:tc>
          <w:tcPr>
            <w:tcW w:w="1509" w:type="dxa"/>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2</w:t>
            </w:r>
          </w:p>
        </w:tc>
        <w:tc>
          <w:tcPr>
            <w:tcW w:w="1980" w:type="dxa"/>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محكمة الاستئناف</w:t>
            </w:r>
          </w:p>
        </w:tc>
        <w:tc>
          <w:tcPr>
            <w:tcW w:w="855" w:type="dxa"/>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1</w:t>
            </w:r>
          </w:p>
        </w:tc>
        <w:tc>
          <w:tcPr>
            <w:tcW w:w="855" w:type="dxa"/>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77</w:t>
            </w:r>
          </w:p>
        </w:tc>
        <w:tc>
          <w:tcPr>
            <w:tcW w:w="1251" w:type="dxa"/>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1.28</w:t>
            </w:r>
          </w:p>
        </w:tc>
        <w:tc>
          <w:tcPr>
            <w:tcW w:w="870" w:type="dxa"/>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78</w:t>
            </w:r>
          </w:p>
        </w:tc>
      </w:tr>
      <w:tr w:rsidR="000B7434" w:rsidRPr="00C34E65" w:rsidTr="0076510E">
        <w:tblPrEx>
          <w:tblCellMar>
            <w:top w:w="0" w:type="dxa"/>
            <w:bottom w:w="0" w:type="dxa"/>
          </w:tblCellMar>
        </w:tblPrEx>
        <w:tc>
          <w:tcPr>
            <w:tcW w:w="1509" w:type="dxa"/>
            <w:tcBorders>
              <w:bottom w:val="single" w:sz="4"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3</w:t>
            </w:r>
          </w:p>
        </w:tc>
        <w:tc>
          <w:tcPr>
            <w:tcW w:w="1980" w:type="dxa"/>
            <w:tcBorders>
              <w:bottom w:val="single" w:sz="4"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محكمة المنطقة</w:t>
            </w:r>
          </w:p>
        </w:tc>
        <w:tc>
          <w:tcPr>
            <w:tcW w:w="855" w:type="dxa"/>
            <w:tcBorders>
              <w:bottom w:val="single" w:sz="4"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3</w:t>
            </w:r>
          </w:p>
        </w:tc>
        <w:tc>
          <w:tcPr>
            <w:tcW w:w="855" w:type="dxa"/>
            <w:tcBorders>
              <w:bottom w:val="single" w:sz="4"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131</w:t>
            </w:r>
          </w:p>
        </w:tc>
        <w:tc>
          <w:tcPr>
            <w:tcW w:w="1251" w:type="dxa"/>
            <w:tcBorders>
              <w:bottom w:val="single" w:sz="4"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1.50</w:t>
            </w:r>
          </w:p>
        </w:tc>
        <w:tc>
          <w:tcPr>
            <w:tcW w:w="870" w:type="dxa"/>
            <w:tcBorders>
              <w:bottom w:val="single" w:sz="4"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sz w:val="18"/>
                <w:szCs w:val="26"/>
                <w:rtl/>
                <w:lang w:bidi="ar-EG"/>
              </w:rPr>
            </w:pPr>
            <w:r w:rsidRPr="00CA75D3">
              <w:rPr>
                <w:rFonts w:hint="cs"/>
                <w:sz w:val="18"/>
                <w:szCs w:val="26"/>
                <w:rtl/>
                <w:lang w:bidi="ar-EG"/>
              </w:rPr>
              <w:t>134</w:t>
            </w:r>
          </w:p>
        </w:tc>
      </w:tr>
      <w:tr w:rsidR="000B7434" w:rsidRPr="00C34E65" w:rsidTr="0076510E">
        <w:tblPrEx>
          <w:tblCellMar>
            <w:top w:w="0" w:type="dxa"/>
            <w:bottom w:w="0" w:type="dxa"/>
          </w:tblCellMar>
        </w:tblPrEx>
        <w:tc>
          <w:tcPr>
            <w:tcW w:w="3489" w:type="dxa"/>
            <w:gridSpan w:val="2"/>
            <w:tcBorders>
              <w:top w:val="single" w:sz="4" w:space="0" w:color="auto"/>
              <w:bottom w:val="single" w:sz="12" w:space="0" w:color="auto"/>
            </w:tcBorders>
            <w:shd w:val="clear" w:color="auto" w:fill="auto"/>
          </w:tcPr>
          <w:p w:rsidR="000B7434" w:rsidRPr="00CA75D3" w:rsidRDefault="00CA75D3" w:rsidP="00CA75D3">
            <w:pPr>
              <w:tabs>
                <w:tab w:val="left" w:pos="662"/>
                <w:tab w:val="left" w:pos="1267"/>
                <w:tab w:val="left" w:pos="1987"/>
                <w:tab w:val="left" w:pos="2650"/>
              </w:tabs>
              <w:spacing w:before="60" w:after="60" w:line="260" w:lineRule="exact"/>
              <w:ind w:left="57"/>
              <w:rPr>
                <w:rFonts w:hint="cs"/>
                <w:b/>
                <w:bCs/>
                <w:sz w:val="18"/>
                <w:szCs w:val="26"/>
                <w:rtl/>
                <w:lang w:bidi="ar-EG"/>
              </w:rPr>
            </w:pPr>
            <w:r>
              <w:rPr>
                <w:rFonts w:hint="cs"/>
                <w:b/>
                <w:bCs/>
                <w:sz w:val="18"/>
                <w:szCs w:val="26"/>
                <w:rtl/>
                <w:lang w:bidi="ar-EG"/>
              </w:rPr>
              <w:t xml:space="preserve">   </w:t>
            </w:r>
            <w:r w:rsidR="000B7434" w:rsidRPr="00CA75D3">
              <w:rPr>
                <w:rFonts w:hint="cs"/>
                <w:b/>
                <w:bCs/>
                <w:sz w:val="18"/>
                <w:szCs w:val="26"/>
                <w:rtl/>
                <w:lang w:bidi="ar-EG"/>
              </w:rPr>
              <w:t>المجموع</w:t>
            </w:r>
          </w:p>
        </w:tc>
        <w:tc>
          <w:tcPr>
            <w:tcW w:w="855" w:type="dxa"/>
            <w:tcBorders>
              <w:top w:val="single" w:sz="4" w:space="0" w:color="auto"/>
              <w:bottom w:val="single" w:sz="12"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b/>
                <w:bCs/>
                <w:sz w:val="18"/>
                <w:szCs w:val="26"/>
                <w:rtl/>
                <w:lang w:bidi="ar-EG"/>
              </w:rPr>
            </w:pPr>
            <w:r w:rsidRPr="00CA75D3">
              <w:rPr>
                <w:rFonts w:hint="cs"/>
                <w:b/>
                <w:bCs/>
                <w:sz w:val="18"/>
                <w:szCs w:val="26"/>
                <w:rtl/>
                <w:lang w:bidi="ar-EG"/>
              </w:rPr>
              <w:t>5</w:t>
            </w:r>
          </w:p>
        </w:tc>
        <w:tc>
          <w:tcPr>
            <w:tcW w:w="855" w:type="dxa"/>
            <w:tcBorders>
              <w:top w:val="single" w:sz="4" w:space="0" w:color="auto"/>
              <w:bottom w:val="single" w:sz="12"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b/>
                <w:bCs/>
                <w:sz w:val="18"/>
                <w:szCs w:val="26"/>
                <w:rtl/>
                <w:lang w:bidi="ar-EG"/>
              </w:rPr>
            </w:pPr>
            <w:r w:rsidRPr="00CA75D3">
              <w:rPr>
                <w:rFonts w:hint="cs"/>
                <w:b/>
                <w:bCs/>
                <w:sz w:val="18"/>
                <w:szCs w:val="26"/>
                <w:rtl/>
                <w:lang w:bidi="ar-EG"/>
              </w:rPr>
              <w:t>220</w:t>
            </w:r>
          </w:p>
        </w:tc>
        <w:tc>
          <w:tcPr>
            <w:tcW w:w="1251" w:type="dxa"/>
            <w:tcBorders>
              <w:top w:val="single" w:sz="4" w:space="0" w:color="auto"/>
              <w:bottom w:val="single" w:sz="12"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b/>
                <w:bCs/>
                <w:sz w:val="18"/>
                <w:szCs w:val="26"/>
                <w:rtl/>
                <w:lang w:bidi="ar-EG"/>
              </w:rPr>
            </w:pPr>
            <w:r w:rsidRPr="00CA75D3">
              <w:rPr>
                <w:rFonts w:hint="cs"/>
                <w:b/>
                <w:bCs/>
                <w:sz w:val="18"/>
                <w:szCs w:val="26"/>
                <w:rtl/>
                <w:lang w:bidi="ar-EG"/>
              </w:rPr>
              <w:t>1.78</w:t>
            </w:r>
          </w:p>
        </w:tc>
        <w:tc>
          <w:tcPr>
            <w:tcW w:w="870" w:type="dxa"/>
            <w:tcBorders>
              <w:top w:val="single" w:sz="4" w:space="0" w:color="auto"/>
              <w:bottom w:val="single" w:sz="12" w:space="0" w:color="auto"/>
            </w:tcBorders>
            <w:shd w:val="clear" w:color="auto" w:fill="auto"/>
          </w:tcPr>
          <w:p w:rsidR="000B7434" w:rsidRPr="00CA75D3" w:rsidRDefault="000B7434" w:rsidP="00CA75D3">
            <w:pPr>
              <w:tabs>
                <w:tab w:val="left" w:pos="662"/>
                <w:tab w:val="left" w:pos="1267"/>
                <w:tab w:val="left" w:pos="1987"/>
                <w:tab w:val="left" w:pos="2650"/>
              </w:tabs>
              <w:spacing w:before="60" w:after="60" w:line="260" w:lineRule="exact"/>
              <w:ind w:left="57"/>
              <w:rPr>
                <w:rFonts w:hint="cs"/>
                <w:b/>
                <w:bCs/>
                <w:sz w:val="18"/>
                <w:szCs w:val="26"/>
                <w:rtl/>
                <w:lang w:bidi="ar-EG"/>
              </w:rPr>
            </w:pPr>
            <w:r w:rsidRPr="00CA75D3">
              <w:rPr>
                <w:rFonts w:hint="cs"/>
                <w:b/>
                <w:bCs/>
                <w:sz w:val="18"/>
                <w:szCs w:val="26"/>
                <w:rtl/>
                <w:lang w:bidi="ar-EG"/>
              </w:rPr>
              <w:t>225</w:t>
            </w:r>
          </w:p>
        </w:tc>
      </w:tr>
    </w:tbl>
    <w:p w:rsidR="000B7434" w:rsidRPr="00CA75D3" w:rsidRDefault="000B7434" w:rsidP="00CA75D3">
      <w:pPr>
        <w:pStyle w:val="FootnoteText"/>
        <w:tabs>
          <w:tab w:val="right" w:pos="1915"/>
          <w:tab w:val="left" w:pos="2016"/>
          <w:tab w:val="left" w:pos="2491"/>
          <w:tab w:val="left" w:pos="2966"/>
          <w:tab w:val="left" w:pos="3442"/>
          <w:tab w:val="left" w:pos="3917"/>
        </w:tabs>
        <w:spacing w:before="120" w:after="240" w:line="300" w:lineRule="exact"/>
        <w:ind w:left="1421"/>
        <w:rPr>
          <w:rFonts w:hint="cs"/>
          <w:sz w:val="26"/>
          <w:szCs w:val="26"/>
          <w:rtl/>
        </w:rPr>
      </w:pPr>
      <w:r w:rsidRPr="00CA75D3">
        <w:rPr>
          <w:i/>
          <w:iCs/>
          <w:sz w:val="26"/>
          <w:szCs w:val="26"/>
          <w:rtl/>
        </w:rPr>
        <w:t>المصد</w:t>
      </w:r>
      <w:r w:rsidRPr="00CA75D3">
        <w:rPr>
          <w:rFonts w:hint="cs"/>
          <w:i/>
          <w:iCs/>
          <w:sz w:val="26"/>
          <w:szCs w:val="26"/>
          <w:rtl/>
        </w:rPr>
        <w:t>ر</w:t>
      </w:r>
      <w:r w:rsidRPr="00CA75D3">
        <w:rPr>
          <w:rFonts w:hint="cs"/>
          <w:sz w:val="26"/>
          <w:szCs w:val="26"/>
          <w:rtl/>
        </w:rPr>
        <w:t>: أمانة المجلس القضائي، 2008</w:t>
      </w:r>
      <w:r w:rsidR="00CA75D3">
        <w:rPr>
          <w:rFonts w:hint="cs"/>
          <w:sz w:val="26"/>
          <w:szCs w:val="26"/>
          <w:rtl/>
        </w:rPr>
        <w:t>.</w:t>
      </w:r>
    </w:p>
    <w:p w:rsidR="000B7434" w:rsidRPr="00EC4329" w:rsidRDefault="000B7434" w:rsidP="00CA75D3">
      <w:pPr>
        <w:pStyle w:val="SingleTxtGA"/>
        <w:rPr>
          <w:rFonts w:hint="cs"/>
          <w:rtl/>
          <w:lang w:bidi="ar-EG"/>
        </w:rPr>
      </w:pPr>
      <w:r w:rsidRPr="00EC4329">
        <w:rPr>
          <w:rFonts w:hint="cs"/>
          <w:rtl/>
          <w:lang w:bidi="ar-EG"/>
        </w:rPr>
        <w:t>103</w:t>
      </w:r>
      <w:r>
        <w:rPr>
          <w:rFonts w:hint="cs"/>
          <w:rtl/>
          <w:lang w:bidi="ar-EG"/>
        </w:rPr>
        <w:t>-</w:t>
      </w:r>
      <w:r w:rsidR="00CA75D3">
        <w:rPr>
          <w:rFonts w:hint="cs"/>
          <w:rtl/>
          <w:lang w:bidi="ar-EG"/>
        </w:rPr>
        <w:tab/>
      </w:r>
      <w:r w:rsidRPr="00EC4329">
        <w:rPr>
          <w:rFonts w:hint="cs"/>
          <w:rtl/>
          <w:lang w:bidi="ar-EG"/>
        </w:rPr>
        <w:t>وقد اعتمدت الحكومة سياسات لكفالة المشاركة والتمكين الفعليين للمرأة من المجموعات المحرومة، وهي الأديباسي والجانجاتي، والماديسي، والجماعات المسلمة، والنساء العازبات، والنساء ذوات الإعاقات، والمهمشات في المجالين الاقتصادي والسياسي. وتشجع المرأة على أن تشارك بنشاط في بناء مؤسسات ديمقراطية وفي العملية الانتخابية. ويجري إنشاء نظام معلومات مستند إلى الجنسانية لرسم وتقييم تنفيذ هذه السياسة عن كثب.</w:t>
      </w:r>
    </w:p>
    <w:p w:rsidR="000B7434" w:rsidRPr="00EC4329" w:rsidRDefault="00CA75D3" w:rsidP="004F1C97">
      <w:pPr>
        <w:pStyle w:val="H23GA"/>
        <w:rPr>
          <w:rFonts w:hint="cs"/>
          <w:rtl/>
          <w:lang w:bidi="ar-EG"/>
        </w:rPr>
      </w:pPr>
      <w:r>
        <w:rPr>
          <w:rFonts w:hint="cs"/>
          <w:rtl/>
          <w:lang w:bidi="ar-EG"/>
        </w:rPr>
        <w:tab/>
      </w:r>
      <w:r>
        <w:rPr>
          <w:rFonts w:hint="cs"/>
          <w:rtl/>
          <w:lang w:bidi="ar-EG"/>
        </w:rPr>
        <w:tab/>
      </w:r>
      <w:r w:rsidR="000B7434" w:rsidRPr="00EC4329">
        <w:rPr>
          <w:rFonts w:hint="cs"/>
          <w:rtl/>
          <w:lang w:bidi="ar-EG"/>
        </w:rPr>
        <w:t>تحديات المستقبل</w:t>
      </w:r>
    </w:p>
    <w:p w:rsidR="000B7434" w:rsidRPr="00EC4329" w:rsidRDefault="00CA75D3" w:rsidP="00CA75D3">
      <w:pPr>
        <w:pStyle w:val="SingleTxt"/>
        <w:rPr>
          <w:rFonts w:hint="cs"/>
          <w:b/>
          <w:bCs/>
          <w:rtl/>
          <w:lang w:bidi="ar-EG"/>
        </w:rPr>
      </w:pPr>
      <w:r>
        <w:rPr>
          <w:rFonts w:hint="cs"/>
          <w:rtl/>
          <w:lang w:bidi="ar-EG"/>
        </w:rPr>
        <w:t>104</w:t>
      </w:r>
      <w:r w:rsidR="000B7434">
        <w:rPr>
          <w:rFonts w:hint="cs"/>
          <w:rtl/>
          <w:lang w:bidi="ar-EG"/>
        </w:rPr>
        <w:t>-</w:t>
      </w:r>
      <w:r>
        <w:rPr>
          <w:rFonts w:hint="cs"/>
          <w:rtl/>
          <w:lang w:bidi="ar-EG"/>
        </w:rPr>
        <w:tab/>
      </w:r>
      <w:r w:rsidR="000B7434" w:rsidRPr="00EC4329">
        <w:rPr>
          <w:rFonts w:hint="cs"/>
          <w:rtl/>
          <w:lang w:bidi="ar-EG"/>
        </w:rPr>
        <w:t xml:space="preserve">لم تتحقق على نحو كامل بعد قيمة دور المرأة في صنع القرار. ولا يزال يتعين زيادة وكفالة المشاركة الموضوعية </w:t>
      </w:r>
      <w:r>
        <w:rPr>
          <w:rFonts w:hint="cs"/>
          <w:rtl/>
          <w:lang w:bidi="ar-EG"/>
        </w:rPr>
        <w:t>ل</w:t>
      </w:r>
      <w:r w:rsidR="000B7434" w:rsidRPr="00EC4329">
        <w:rPr>
          <w:rFonts w:hint="cs"/>
          <w:rtl/>
          <w:lang w:bidi="ar-EG"/>
        </w:rPr>
        <w:t>لمرأة في المجالات العامة الأخرى (على المستويين الوطني والدولي) مقارنة بالمشاركة السياسية.</w:t>
      </w:r>
    </w:p>
    <w:p w:rsidR="000B7434" w:rsidRPr="00EC4329" w:rsidRDefault="00CA75D3" w:rsidP="00CA75D3">
      <w:pPr>
        <w:pStyle w:val="SingleTxtGA"/>
        <w:rPr>
          <w:rFonts w:hint="cs"/>
          <w:rtl/>
          <w:lang w:bidi="ar-EG"/>
        </w:rPr>
      </w:pPr>
      <w:r>
        <w:rPr>
          <w:rFonts w:hint="cs"/>
          <w:rtl/>
          <w:lang w:bidi="ar-EG"/>
        </w:rPr>
        <w:t>105</w:t>
      </w:r>
      <w:r w:rsidR="000B7434">
        <w:rPr>
          <w:rFonts w:hint="cs"/>
          <w:rtl/>
          <w:lang w:bidi="ar-EG"/>
        </w:rPr>
        <w:t>-</w:t>
      </w:r>
      <w:r>
        <w:rPr>
          <w:rFonts w:hint="cs"/>
          <w:rtl/>
          <w:lang w:bidi="ar-EG"/>
        </w:rPr>
        <w:tab/>
      </w:r>
      <w:r w:rsidR="000B7434" w:rsidRPr="00EC4329">
        <w:rPr>
          <w:rFonts w:hint="cs"/>
          <w:rtl/>
          <w:lang w:bidi="ar-EG"/>
        </w:rPr>
        <w:t>ولا يزال يتعين أيضاً ترسيخ الضمان الدستوري لمشاركة المرأة في الهيئات التأسيسية وغيرها من وكالات الدولة. والحكومة على علم بقرار مجلس الأمن 1325 الذي يؤكد أهمية مشاركة المرأة في عملية بناء السلام وفي اتخاذ المواقف الأخرى. وبناء عليه فإن الجهود جارية للتعميم التام للمرأة في هذه العملية.</w:t>
      </w:r>
    </w:p>
    <w:p w:rsidR="000B7434" w:rsidRPr="00EC4329" w:rsidRDefault="000B7434" w:rsidP="00CA75D3">
      <w:pPr>
        <w:pStyle w:val="SingleTxtGA"/>
        <w:rPr>
          <w:rFonts w:hint="cs"/>
          <w:rtl/>
          <w:lang w:bidi="ar-EG"/>
        </w:rPr>
      </w:pPr>
      <w:r w:rsidRPr="00EC4329">
        <w:rPr>
          <w:rFonts w:hint="cs"/>
          <w:rtl/>
          <w:lang w:bidi="ar-EG"/>
        </w:rPr>
        <w:t>1</w:t>
      </w:r>
      <w:r w:rsidR="00CA75D3">
        <w:rPr>
          <w:rFonts w:hint="cs"/>
          <w:rtl/>
          <w:lang w:bidi="ar-EG"/>
        </w:rPr>
        <w:t>06</w:t>
      </w:r>
      <w:r>
        <w:rPr>
          <w:rFonts w:hint="cs"/>
          <w:rtl/>
          <w:lang w:bidi="ar-EG"/>
        </w:rPr>
        <w:t>-</w:t>
      </w:r>
      <w:r w:rsidR="00CA75D3">
        <w:rPr>
          <w:rFonts w:hint="cs"/>
          <w:rtl/>
          <w:lang w:bidi="ar-EG"/>
        </w:rPr>
        <w:tab/>
      </w:r>
      <w:r w:rsidRPr="00EC4329">
        <w:rPr>
          <w:rFonts w:hint="cs"/>
          <w:rtl/>
          <w:lang w:bidi="ar-EG"/>
        </w:rPr>
        <w:t>ولا تزال الممارسات الثقافية النمطية المقولبة تعتبر عقبات رئيسية في طريق تحقيق المشاركة الجوهرية للمرأة في الحياة السياسية والعامة. وعلاوة على ذلك، وعلى النقيض من مشاركة المرأة في السياسات الحزبية على المستوى الوطني، فإن مشاركة المرأة على المستوى الدولي في غير مسائل المرأة تعتبر أقل بالمقارنة.</w:t>
      </w:r>
    </w:p>
    <w:p w:rsidR="000B7434" w:rsidRDefault="000B7434" w:rsidP="00CA75D3">
      <w:pPr>
        <w:pStyle w:val="H1GA"/>
        <w:spacing w:after="0"/>
        <w:rPr>
          <w:rFonts w:hint="cs"/>
          <w:rtl/>
          <w:lang w:bidi="ar-EG"/>
        </w:rPr>
      </w:pPr>
      <w:r>
        <w:rPr>
          <w:rFonts w:hint="cs"/>
          <w:rtl/>
          <w:lang w:bidi="ar-EG"/>
        </w:rPr>
        <w:tab/>
      </w:r>
      <w:r>
        <w:rPr>
          <w:rFonts w:hint="cs"/>
          <w:rtl/>
          <w:lang w:bidi="ar-EG"/>
        </w:rPr>
        <w:tab/>
      </w:r>
      <w:r w:rsidRPr="00EC4329">
        <w:rPr>
          <w:rFonts w:hint="cs"/>
          <w:rtl/>
          <w:lang w:bidi="ar-EG"/>
        </w:rPr>
        <w:t>المادة 9</w:t>
      </w:r>
    </w:p>
    <w:p w:rsidR="000B7434" w:rsidRPr="00EC4329" w:rsidRDefault="000B7434" w:rsidP="00CA75D3">
      <w:pPr>
        <w:pStyle w:val="H1GA"/>
        <w:spacing w:before="0"/>
        <w:rPr>
          <w:rFonts w:hint="cs"/>
          <w:rtl/>
          <w:lang w:bidi="ar-EG"/>
        </w:rPr>
      </w:pPr>
      <w:r>
        <w:rPr>
          <w:rFonts w:hint="cs"/>
          <w:rtl/>
          <w:lang w:bidi="ar-EG"/>
        </w:rPr>
        <w:tab/>
      </w:r>
      <w:r>
        <w:rPr>
          <w:rFonts w:hint="cs"/>
          <w:rtl/>
          <w:lang w:bidi="ar-EG"/>
        </w:rPr>
        <w:tab/>
        <w:t>الجنسية</w:t>
      </w:r>
    </w:p>
    <w:p w:rsidR="000B7434" w:rsidRPr="00EC4329" w:rsidRDefault="000B7434" w:rsidP="004F1C97">
      <w:pPr>
        <w:pStyle w:val="H23GA"/>
        <w:rPr>
          <w:rFonts w:hint="cs"/>
          <w:rtl/>
          <w:lang w:bidi="ar-EG"/>
        </w:rPr>
      </w:pPr>
      <w:r>
        <w:rPr>
          <w:rFonts w:hint="cs"/>
          <w:rtl/>
          <w:lang w:bidi="ar-EG"/>
        </w:rPr>
        <w:tab/>
      </w:r>
      <w:r>
        <w:rPr>
          <w:rFonts w:hint="cs"/>
          <w:rtl/>
          <w:lang w:bidi="ar-EG"/>
        </w:rPr>
        <w:tab/>
      </w:r>
      <w:r w:rsidRPr="00EC4329">
        <w:rPr>
          <w:rFonts w:hint="cs"/>
          <w:rtl/>
          <w:lang w:bidi="ar-EG"/>
        </w:rPr>
        <w:t>معلومات أساسية/مبادرات الإصلاح</w:t>
      </w:r>
    </w:p>
    <w:p w:rsidR="000B7434" w:rsidRPr="00EC4329" w:rsidRDefault="00CA75D3" w:rsidP="00CA75D3">
      <w:pPr>
        <w:pStyle w:val="SingleTxtGA"/>
        <w:rPr>
          <w:rFonts w:hint="cs"/>
          <w:rtl/>
          <w:lang w:bidi="ar-EG"/>
        </w:rPr>
      </w:pPr>
      <w:r>
        <w:rPr>
          <w:rFonts w:hint="cs"/>
          <w:rtl/>
          <w:lang w:bidi="ar-EG"/>
        </w:rPr>
        <w:t>107</w:t>
      </w:r>
      <w:r w:rsidR="000B7434">
        <w:rPr>
          <w:rFonts w:hint="cs"/>
          <w:rtl/>
          <w:lang w:bidi="ar-EG"/>
        </w:rPr>
        <w:t>-</w:t>
      </w:r>
      <w:r w:rsidR="000B7434">
        <w:rPr>
          <w:rFonts w:hint="cs"/>
          <w:rtl/>
          <w:lang w:bidi="ar-EG"/>
        </w:rPr>
        <w:tab/>
        <w:t>تم الآن إ</w:t>
      </w:r>
      <w:r w:rsidR="000B7434" w:rsidRPr="00EC4329">
        <w:rPr>
          <w:rFonts w:hint="cs"/>
          <w:rtl/>
          <w:lang w:bidi="ar-EG"/>
        </w:rPr>
        <w:t>لغاء الحكم المتعلق بالجنسية الوارد في الدستور السابق وفي قانون الجنسية الذي كان يمنع المرأة من نقل جنسيتها إلى أطفالها. وتعترف المادة 8 من الدستور المؤقت بأن بوسع المرأة النيبالية أن تنقل جنسيتها إلى أطفالها وأن بوسع الأطفال أن يحصلوا على الجنسية باسم أي من والدَيهم. وتم سن قانون جنسية جديد يحل محل قانون الجنسية لعام 1963. واتخذت الحكومة وفقاً لذلك مبادرات بغية تنفيذ هذه الأحكام. وبدأ موظفو إدارة الجنسية بالفعل في إصدار شهادات الجنسية التي تحمل اسم الأم كمصدر للجنسية.</w:t>
      </w:r>
    </w:p>
    <w:p w:rsidR="000B7434" w:rsidRPr="00EC4329" w:rsidRDefault="00CA75D3" w:rsidP="004F1C97">
      <w:pPr>
        <w:pStyle w:val="H23GA"/>
        <w:rPr>
          <w:rFonts w:hint="cs"/>
          <w:rtl/>
          <w:lang w:bidi="ar-EG"/>
        </w:rPr>
      </w:pPr>
      <w:r>
        <w:rPr>
          <w:rFonts w:hint="cs"/>
          <w:rtl/>
          <w:lang w:bidi="ar-EG"/>
        </w:rPr>
        <w:tab/>
      </w:r>
      <w:r>
        <w:rPr>
          <w:rFonts w:hint="cs"/>
          <w:rtl/>
          <w:lang w:bidi="ar-EG"/>
        </w:rPr>
        <w:tab/>
      </w:r>
      <w:r w:rsidR="000B7434" w:rsidRPr="00EC4329">
        <w:rPr>
          <w:rFonts w:hint="cs"/>
          <w:rtl/>
          <w:lang w:bidi="ar-EG"/>
        </w:rPr>
        <w:t>تحديات المستقبل</w:t>
      </w:r>
    </w:p>
    <w:p w:rsidR="000B7434" w:rsidRPr="00CA75D3" w:rsidRDefault="00CA75D3" w:rsidP="00CA75D3">
      <w:pPr>
        <w:pStyle w:val="SingleTxtGA"/>
        <w:rPr>
          <w:rFonts w:hint="cs"/>
          <w:spacing w:val="-2"/>
          <w:rtl/>
          <w:lang w:bidi="ar-EG"/>
        </w:rPr>
      </w:pPr>
      <w:r w:rsidRPr="00CA75D3">
        <w:rPr>
          <w:rFonts w:hint="cs"/>
          <w:spacing w:val="-2"/>
          <w:rtl/>
          <w:lang w:bidi="ar-EG"/>
        </w:rPr>
        <w:t>108</w:t>
      </w:r>
      <w:r w:rsidR="000B7434" w:rsidRPr="00CA75D3">
        <w:rPr>
          <w:rFonts w:hint="cs"/>
          <w:spacing w:val="-2"/>
          <w:rtl/>
          <w:lang w:bidi="ar-EG"/>
        </w:rPr>
        <w:t>-</w:t>
      </w:r>
      <w:r w:rsidRPr="00CA75D3">
        <w:rPr>
          <w:rFonts w:hint="cs"/>
          <w:spacing w:val="-2"/>
          <w:rtl/>
          <w:lang w:bidi="ar-EG"/>
        </w:rPr>
        <w:tab/>
        <w:t>تنص المادة 8</w:t>
      </w:r>
      <w:r w:rsidR="000B7434" w:rsidRPr="00CA75D3">
        <w:rPr>
          <w:rFonts w:hint="cs"/>
          <w:spacing w:val="-2"/>
          <w:rtl/>
          <w:lang w:bidi="ar-EG"/>
        </w:rPr>
        <w:t xml:space="preserve">(6) من الدستور على ما يلي: </w:t>
      </w:r>
      <w:r w:rsidR="0075177C" w:rsidRPr="00CA75D3">
        <w:rPr>
          <w:spacing w:val="-2"/>
          <w:rtl/>
          <w:lang w:bidi="ar-EG"/>
        </w:rPr>
        <w:t>"</w:t>
      </w:r>
      <w:r w:rsidR="000B7434" w:rsidRPr="00CA75D3">
        <w:rPr>
          <w:rFonts w:hint="cs"/>
          <w:spacing w:val="-2"/>
          <w:rtl/>
          <w:lang w:bidi="ar-EG"/>
        </w:rPr>
        <w:t>للمرأة التي تحمل جنسيةً أجنبية والداخلةِ في علاقة زوجية مع مواطن نيبالي أن تحصل على الجنسية عن غير طريق التجنّس، إذا رغبت في ذلك</w:t>
      </w:r>
      <w:r w:rsidR="0075177C" w:rsidRPr="00CA75D3">
        <w:rPr>
          <w:spacing w:val="-2"/>
          <w:rtl/>
          <w:lang w:bidi="ar-EG"/>
        </w:rPr>
        <w:t>"</w:t>
      </w:r>
      <w:r w:rsidR="000B7434" w:rsidRPr="00CA75D3">
        <w:rPr>
          <w:rFonts w:hint="cs"/>
          <w:spacing w:val="-2"/>
          <w:rtl/>
          <w:lang w:bidi="ar-EG"/>
        </w:rPr>
        <w:t>، وعملاً بالقوانين السارية، لا يزال يتعين سد فجوة في الإطار القانوني بالنسبة للنساء النيبالات المتزوجات من أجانب. وقد أخذت الحكومة هذه المسألة في</w:t>
      </w:r>
      <w:r w:rsidRPr="00CA75D3">
        <w:rPr>
          <w:rFonts w:hint="cs"/>
          <w:spacing w:val="-2"/>
          <w:rtl/>
          <w:lang w:bidi="ar-EG"/>
        </w:rPr>
        <w:t xml:space="preserve"> </w:t>
      </w:r>
      <w:r w:rsidR="000B7434" w:rsidRPr="00CA75D3">
        <w:rPr>
          <w:rFonts w:hint="cs"/>
          <w:spacing w:val="-2"/>
          <w:rtl/>
          <w:lang w:bidi="ar-EG"/>
        </w:rPr>
        <w:t>الاعتبار.</w:t>
      </w:r>
    </w:p>
    <w:p w:rsidR="000B7434" w:rsidRPr="00EC4329" w:rsidRDefault="000B7434" w:rsidP="00CA75D3">
      <w:pPr>
        <w:pStyle w:val="H1GA"/>
        <w:jc w:val="left"/>
        <w:rPr>
          <w:rFonts w:hint="cs"/>
          <w:rtl/>
          <w:lang w:bidi="ar-EG"/>
        </w:rPr>
      </w:pPr>
      <w:r>
        <w:rPr>
          <w:rFonts w:hint="cs"/>
          <w:rtl/>
          <w:lang w:bidi="ar-EG"/>
        </w:rPr>
        <w:tab/>
      </w:r>
      <w:r>
        <w:rPr>
          <w:rFonts w:hint="cs"/>
          <w:rtl/>
          <w:lang w:bidi="ar-EG"/>
        </w:rPr>
        <w:tab/>
      </w:r>
      <w:r w:rsidRPr="00EC4329">
        <w:rPr>
          <w:rFonts w:hint="cs"/>
          <w:rtl/>
          <w:lang w:bidi="ar-EG"/>
        </w:rPr>
        <w:t>المادة 10</w:t>
      </w:r>
      <w:r>
        <w:rPr>
          <w:rtl/>
          <w:lang w:bidi="ar-EG"/>
        </w:rPr>
        <w:br/>
      </w:r>
      <w:r w:rsidRPr="00EC4329">
        <w:rPr>
          <w:rFonts w:hint="cs"/>
          <w:rtl/>
          <w:lang w:bidi="ar-EG"/>
        </w:rPr>
        <w:t>التعليم</w:t>
      </w:r>
    </w:p>
    <w:p w:rsidR="000B7434" w:rsidRPr="00EC4329" w:rsidRDefault="000B7434" w:rsidP="004F1C97">
      <w:pPr>
        <w:pStyle w:val="H23GA"/>
        <w:rPr>
          <w:rFonts w:hint="cs"/>
          <w:rtl/>
          <w:lang w:bidi="ar-EG"/>
        </w:rPr>
      </w:pPr>
      <w:r>
        <w:rPr>
          <w:rFonts w:hint="cs"/>
          <w:rtl/>
          <w:lang w:bidi="ar-EG"/>
        </w:rPr>
        <w:tab/>
      </w:r>
      <w:r>
        <w:rPr>
          <w:rFonts w:hint="cs"/>
          <w:rtl/>
          <w:lang w:bidi="ar-EG"/>
        </w:rPr>
        <w:tab/>
      </w:r>
      <w:r w:rsidRPr="00EC4329">
        <w:rPr>
          <w:rFonts w:hint="cs"/>
          <w:rtl/>
          <w:lang w:bidi="ar-EG"/>
        </w:rPr>
        <w:t>معلومات أساسية</w:t>
      </w:r>
    </w:p>
    <w:p w:rsidR="000B7434" w:rsidRPr="00EC4329" w:rsidRDefault="00CA75D3" w:rsidP="00CA75D3">
      <w:pPr>
        <w:pStyle w:val="SingleTxtGA"/>
        <w:rPr>
          <w:rFonts w:hint="cs"/>
          <w:rtl/>
          <w:lang w:bidi="ar-EG"/>
        </w:rPr>
      </w:pPr>
      <w:r>
        <w:rPr>
          <w:rFonts w:hint="cs"/>
          <w:rtl/>
          <w:lang w:bidi="ar-EG"/>
        </w:rPr>
        <w:t>109</w:t>
      </w:r>
      <w:r w:rsidR="000B7434" w:rsidRPr="00EC4329">
        <w:rPr>
          <w:rFonts w:hint="cs"/>
          <w:rtl/>
          <w:lang w:bidi="ar-EG"/>
        </w:rPr>
        <w:t>-</w:t>
      </w:r>
      <w:r w:rsidR="000B7434" w:rsidRPr="00EC4329">
        <w:rPr>
          <w:rFonts w:hint="cs"/>
          <w:rtl/>
          <w:lang w:bidi="ar-EG"/>
        </w:rPr>
        <w:tab/>
        <w:t xml:space="preserve">تحققت منجزات ملحوظة في مجال التعليم من أجل الوفاء بالالتزام نحو </w:t>
      </w:r>
      <w:r w:rsidR="0075177C">
        <w:rPr>
          <w:rtl/>
          <w:lang w:bidi="ar-EG"/>
        </w:rPr>
        <w:t>"</w:t>
      </w:r>
      <w:r w:rsidR="000B7434" w:rsidRPr="00EC4329">
        <w:rPr>
          <w:rFonts w:hint="cs"/>
          <w:rtl/>
          <w:lang w:bidi="ar-EG"/>
        </w:rPr>
        <w:t>التعليم للجميع بحلول عام 2015</w:t>
      </w:r>
      <w:r w:rsidR="0075177C">
        <w:rPr>
          <w:rtl/>
          <w:lang w:bidi="ar-EG"/>
        </w:rPr>
        <w:t>"</w:t>
      </w:r>
      <w:r w:rsidR="000B7434" w:rsidRPr="00EC4329">
        <w:rPr>
          <w:rFonts w:hint="cs"/>
          <w:rtl/>
          <w:lang w:bidi="ar-EG"/>
        </w:rPr>
        <w:t xml:space="preserve"> (حسب المبلغ في التقرير السابق). وقد ركزت إدارة شؤون التعليم بصورة رئيسية على إنتاج معلومات عن التعليم تتصل بأنشطة المدارس من حيث عدد المدارس </w:t>
      </w:r>
      <w:r w:rsidR="000B7434">
        <w:rPr>
          <w:rFonts w:hint="cs"/>
          <w:rtl/>
          <w:lang w:bidi="ar-EG"/>
        </w:rPr>
        <w:t>-</w:t>
      </w:r>
      <w:r w:rsidR="000B7434" w:rsidRPr="00EC4329">
        <w:rPr>
          <w:rFonts w:hint="cs"/>
          <w:rtl/>
          <w:lang w:bidi="ar-EG"/>
        </w:rPr>
        <w:t xml:space="preserve"> المجتمعية منها والمؤسسية؛ وبمشاركة الطلاب وتمثيلهم من حيث الجنسين، ومن حيث كونهم من الداليت والجانجاتي وأصحاب الإعاقات؛ وعدد المدرسين وحالتهم التدريبية؛ وإجمالي معدل الالتحاق وصافي معدل الالتحاق بالتعليم في الحضانات، والمدارس الابتدائية والإعدادية والثانوية، حسب الجنس وحسب المنطقة الإيكولوجية، والمعدلات، الخ.</w:t>
      </w:r>
    </w:p>
    <w:p w:rsidR="000B7434" w:rsidRPr="00EC4329" w:rsidRDefault="00CA75D3" w:rsidP="00CA75D3">
      <w:pPr>
        <w:pStyle w:val="SingleTxtGA"/>
        <w:rPr>
          <w:rFonts w:hint="cs"/>
          <w:rtl/>
          <w:lang w:bidi="ar-EG"/>
        </w:rPr>
      </w:pPr>
      <w:r>
        <w:rPr>
          <w:rFonts w:hint="cs"/>
          <w:rtl/>
          <w:lang w:bidi="ar-EG"/>
        </w:rPr>
        <w:t>110</w:t>
      </w:r>
      <w:r w:rsidR="000B7434" w:rsidRPr="00EC4329">
        <w:rPr>
          <w:rFonts w:hint="cs"/>
          <w:rtl/>
          <w:lang w:bidi="ar-EG"/>
        </w:rPr>
        <w:t>-</w:t>
      </w:r>
      <w:r w:rsidR="000B7434" w:rsidRPr="00EC4329">
        <w:rPr>
          <w:rFonts w:hint="cs"/>
          <w:rtl/>
          <w:lang w:bidi="ar-EG"/>
        </w:rPr>
        <w:tab/>
        <w:t>وقد قُسم المعدل العام لمعرفة القراءة والكتابة إلى ثلاث فئات عريضة، وفقاً للسن</w:t>
      </w:r>
      <w:r w:rsidR="000B7434">
        <w:rPr>
          <w:rFonts w:hint="eastAsia"/>
          <w:rtl/>
          <w:lang w:bidi="ar-EG"/>
        </w:rPr>
        <w:t> </w:t>
      </w:r>
      <w:r w:rsidR="000B7434" w:rsidRPr="00EC4329">
        <w:rPr>
          <w:rFonts w:hint="cs"/>
          <w:rtl/>
          <w:lang w:bidi="ar-EG"/>
        </w:rPr>
        <w:t xml:space="preserve">هي: </w:t>
      </w:r>
    </w:p>
    <w:p w:rsidR="000B7434" w:rsidRPr="004F1C97" w:rsidRDefault="000B7434" w:rsidP="00AD4A05">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after="60"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6 سنوات وما فوق: 53.7 في المائة من هذه الفئة من السكان تعرف القراءة والكتابة، ويشكل الذكور نسبة 65.1 في المائة منهم والإناث نسبة 42.5</w:t>
      </w:r>
      <w:r w:rsidR="00433E75" w:rsidRPr="004F1C97">
        <w:rPr>
          <w:rFonts w:hint="cs"/>
          <w:w w:val="100"/>
          <w:kern w:val="0"/>
          <w:rtl/>
          <w:lang w:bidi="ar-EG"/>
        </w:rPr>
        <w:t xml:space="preserve"> </w:t>
      </w:r>
      <w:r w:rsidRPr="004F1C97">
        <w:rPr>
          <w:rFonts w:hint="cs"/>
          <w:w w:val="100"/>
          <w:kern w:val="0"/>
          <w:rtl/>
          <w:lang w:bidi="ar-EG"/>
        </w:rPr>
        <w:t>في المائة</w:t>
      </w:r>
      <w:r w:rsidR="00AD4A05" w:rsidRPr="004F1C97">
        <w:rPr>
          <w:rFonts w:hint="cs"/>
          <w:w w:val="100"/>
          <w:kern w:val="0"/>
          <w:rtl/>
          <w:lang w:bidi="ar-EG"/>
        </w:rPr>
        <w:t>؛</w:t>
      </w:r>
    </w:p>
    <w:p w:rsidR="000B7434" w:rsidRPr="004F1C97" w:rsidRDefault="000B7434" w:rsidP="00AD4A05">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after="60"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15الى24 سنة: مجموع الذين يعرفون القراءة والكتابة في هذه الفئة، يشكلون نسبة 69.4 في المائة، نسبة الذكور بينهم 80.2 في المائة ونسبة الإناث 59.2 في المائة</w:t>
      </w:r>
      <w:r w:rsidR="00AD4A05" w:rsidRPr="004F1C97">
        <w:rPr>
          <w:rFonts w:hint="cs"/>
          <w:w w:val="100"/>
          <w:kern w:val="0"/>
          <w:rtl/>
          <w:lang w:bidi="ar-EG"/>
        </w:rPr>
        <w:t>؛</w:t>
      </w:r>
    </w:p>
    <w:p w:rsidR="000B7434" w:rsidRPr="004F1C97" w:rsidRDefault="000B7434" w:rsidP="00433E75">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i/>
          <w:iCs/>
          <w:w w:val="100"/>
          <w:kern w:val="0"/>
          <w:rtl/>
          <w:lang w:bidi="ar-EG"/>
        </w:rPr>
      </w:pPr>
      <w:r w:rsidRPr="004F1C97">
        <w:rPr>
          <w:rFonts w:hint="cs"/>
          <w:w w:val="100"/>
          <w:kern w:val="0"/>
          <w:rtl/>
          <w:lang w:bidi="ar-EG"/>
        </w:rPr>
        <w:t>•</w:t>
      </w:r>
      <w:r w:rsidRPr="004F1C97">
        <w:rPr>
          <w:rFonts w:hint="cs"/>
          <w:w w:val="100"/>
          <w:kern w:val="0"/>
          <w:rtl/>
          <w:lang w:bidi="ar-EG"/>
        </w:rPr>
        <w:tab/>
      </w:r>
      <w:r w:rsidRPr="004F1C97">
        <w:rPr>
          <w:rFonts w:hint="cs"/>
          <w:w w:val="100"/>
          <w:kern w:val="0"/>
          <w:rtl/>
          <w:lang w:bidi="ar-EG"/>
        </w:rPr>
        <w:tab/>
        <w:t>25 سنة وما فوق: مجموع الذين يعرفون القراءة والكتابة في هذه الفئة يشكلون نسبة 48.6 في المائة، ون</w:t>
      </w:r>
      <w:r w:rsidR="000C6FCD">
        <w:rPr>
          <w:rFonts w:hint="cs"/>
          <w:w w:val="100"/>
          <w:kern w:val="0"/>
          <w:rtl/>
          <w:lang w:bidi="ar-EG"/>
        </w:rPr>
        <w:t>سبة الذكور بينهم 62.7 في المائة</w:t>
      </w:r>
      <w:r w:rsidRPr="004F1C97">
        <w:rPr>
          <w:rFonts w:hint="cs"/>
          <w:w w:val="100"/>
          <w:kern w:val="0"/>
          <w:rtl/>
          <w:lang w:bidi="ar-EG"/>
        </w:rPr>
        <w:t xml:space="preserve"> ونسبة الإناث 34.9</w:t>
      </w:r>
      <w:r w:rsidR="00433E75" w:rsidRPr="004F1C97">
        <w:rPr>
          <w:rFonts w:hint="cs"/>
          <w:w w:val="100"/>
          <w:kern w:val="0"/>
          <w:rtl/>
          <w:lang w:bidi="ar-EG"/>
        </w:rPr>
        <w:t xml:space="preserve"> </w:t>
      </w:r>
      <w:r w:rsidR="004F1C97">
        <w:rPr>
          <w:rFonts w:hint="cs"/>
          <w:w w:val="100"/>
          <w:kern w:val="0"/>
          <w:rtl/>
          <w:lang w:bidi="ar-EG"/>
        </w:rPr>
        <w:t xml:space="preserve">     </w:t>
      </w:r>
      <w:r w:rsidRPr="004F1C97">
        <w:rPr>
          <w:rFonts w:hint="cs"/>
          <w:w w:val="100"/>
          <w:kern w:val="0"/>
          <w:rtl/>
          <w:lang w:bidi="ar-EG"/>
        </w:rPr>
        <w:t>في</w:t>
      </w:r>
      <w:r w:rsidR="00433E75" w:rsidRPr="004F1C97">
        <w:rPr>
          <w:rFonts w:hint="cs"/>
          <w:w w:val="100"/>
          <w:kern w:val="0"/>
          <w:rtl/>
          <w:lang w:bidi="ar-EG"/>
        </w:rPr>
        <w:t xml:space="preserve"> </w:t>
      </w:r>
      <w:r w:rsidRPr="004F1C97">
        <w:rPr>
          <w:rFonts w:hint="cs"/>
          <w:w w:val="100"/>
          <w:kern w:val="0"/>
          <w:rtl/>
          <w:lang w:bidi="ar-EG"/>
        </w:rPr>
        <w:t xml:space="preserve">المائة. </w:t>
      </w:r>
      <w:r w:rsidRPr="004F1C97">
        <w:rPr>
          <w:rFonts w:hint="cs"/>
          <w:i/>
          <w:iCs/>
          <w:w w:val="100"/>
          <w:kern w:val="0"/>
          <w:rtl/>
          <w:lang w:bidi="ar-EG"/>
        </w:rPr>
        <w:t>المصدر: بعض الحقائق الإحصائية عن المرأة النيبالية، مركز الإحصاء المركزي، 2007</w:t>
      </w:r>
    </w:p>
    <w:p w:rsidR="000B7434" w:rsidRPr="00EC4329" w:rsidRDefault="00CA75D3" w:rsidP="00433E75">
      <w:pPr>
        <w:pStyle w:val="SingleTxtGA"/>
        <w:spacing w:line="372" w:lineRule="exact"/>
        <w:rPr>
          <w:rFonts w:hint="cs"/>
          <w:rtl/>
          <w:lang w:bidi="ar-EG"/>
        </w:rPr>
      </w:pPr>
      <w:r>
        <w:rPr>
          <w:rFonts w:hint="cs"/>
          <w:rtl/>
          <w:lang w:bidi="ar-EG"/>
        </w:rPr>
        <w:t>111</w:t>
      </w:r>
      <w:r w:rsidR="000B7434" w:rsidRPr="00EC4329">
        <w:rPr>
          <w:rFonts w:hint="cs"/>
          <w:rtl/>
          <w:lang w:bidi="ar-EG"/>
        </w:rPr>
        <w:t>-</w:t>
      </w:r>
      <w:r>
        <w:rPr>
          <w:rFonts w:hint="cs"/>
          <w:rtl/>
          <w:lang w:bidi="ar-EG"/>
        </w:rPr>
        <w:tab/>
      </w:r>
      <w:r w:rsidR="000B7434" w:rsidRPr="00EC4329">
        <w:rPr>
          <w:rFonts w:hint="cs"/>
          <w:rtl/>
          <w:lang w:bidi="ar-EG"/>
        </w:rPr>
        <w:t>وفي المجموع يبلغ مؤشر التكافؤ بين الجنسين في المستوى الإعدادي 0.89</w:t>
      </w:r>
      <w:r w:rsidR="00433E75">
        <w:rPr>
          <w:rFonts w:hint="cs"/>
          <w:rtl/>
          <w:lang w:bidi="ar-EG"/>
        </w:rPr>
        <w:t xml:space="preserve"> </w:t>
      </w:r>
      <w:r w:rsidR="000B7434" w:rsidRPr="00EC4329">
        <w:rPr>
          <w:rFonts w:hint="cs"/>
          <w:rtl/>
          <w:lang w:bidi="ar-EG"/>
        </w:rPr>
        <w:t>وفي</w:t>
      </w:r>
      <w:r w:rsidR="00433E75">
        <w:rPr>
          <w:rFonts w:hint="cs"/>
          <w:rtl/>
          <w:lang w:bidi="ar-EG"/>
        </w:rPr>
        <w:t xml:space="preserve"> </w:t>
      </w:r>
      <w:r w:rsidR="000B7434" w:rsidRPr="00EC4329">
        <w:rPr>
          <w:rFonts w:hint="cs"/>
          <w:rtl/>
          <w:lang w:bidi="ar-EG"/>
        </w:rPr>
        <w:t>المستوى الثانوي 0.85. وهذا يشير إلى أن المشاركة العامة للفتيات في المستويين كليهما</w:t>
      </w:r>
      <w:r w:rsidR="00433E75">
        <w:rPr>
          <w:rFonts w:hint="cs"/>
          <w:rtl/>
          <w:lang w:bidi="ar-EG"/>
        </w:rPr>
        <w:t xml:space="preserve">     </w:t>
      </w:r>
      <w:r w:rsidR="000B7434" w:rsidRPr="00EC4329">
        <w:rPr>
          <w:rFonts w:hint="cs"/>
          <w:rtl/>
          <w:lang w:bidi="ar-EG"/>
        </w:rPr>
        <w:t>لا تزال متدنية. كما أن النسبة المئوية لمشاركة الإناث ومؤشر التكافؤ بين الجنسين بالنسبة إلى الداليت، متدنيان أيضا</w:t>
      </w:r>
      <w:r>
        <w:rPr>
          <w:rFonts w:hint="cs"/>
          <w:rtl/>
          <w:lang w:bidi="ar-EG"/>
        </w:rPr>
        <w:t>ً</w:t>
      </w:r>
      <w:r w:rsidR="000B7434" w:rsidRPr="00EC4329">
        <w:rPr>
          <w:rFonts w:hint="cs"/>
          <w:rtl/>
          <w:lang w:bidi="ar-EG"/>
        </w:rPr>
        <w:t>.</w:t>
      </w:r>
    </w:p>
    <w:p w:rsidR="000B7434" w:rsidRPr="00EC4329" w:rsidRDefault="00CA75D3" w:rsidP="00433E75">
      <w:pPr>
        <w:pStyle w:val="SingleTxtGA"/>
        <w:spacing w:line="372" w:lineRule="exact"/>
        <w:rPr>
          <w:rFonts w:hint="cs"/>
          <w:rtl/>
          <w:lang w:bidi="ar-EG"/>
        </w:rPr>
      </w:pPr>
      <w:r>
        <w:rPr>
          <w:rFonts w:hint="cs"/>
          <w:rtl/>
          <w:lang w:bidi="ar-EG"/>
        </w:rPr>
        <w:t>112-</w:t>
      </w:r>
      <w:r>
        <w:rPr>
          <w:rFonts w:hint="cs"/>
          <w:rtl/>
          <w:lang w:bidi="ar-EG"/>
        </w:rPr>
        <w:tab/>
      </w:r>
      <w:r w:rsidR="000B7434" w:rsidRPr="00EC4329">
        <w:rPr>
          <w:rFonts w:hint="cs"/>
          <w:rtl/>
          <w:lang w:bidi="ar-EG"/>
        </w:rPr>
        <w:t xml:space="preserve">وتبلغ الحصة العامة لالتحاق الفتيات بمستوى الدراسة الإعدادي 47.1، منها </w:t>
      </w:r>
      <w:r>
        <w:rPr>
          <w:rFonts w:hint="cs"/>
          <w:rtl/>
          <w:lang w:bidi="ar-EG"/>
        </w:rPr>
        <w:t xml:space="preserve">     </w:t>
      </w:r>
      <w:r w:rsidR="000B7434" w:rsidRPr="00EC4329">
        <w:rPr>
          <w:rFonts w:hint="cs"/>
          <w:rtl/>
          <w:lang w:bidi="ar-EG"/>
        </w:rPr>
        <w:t xml:space="preserve">نسبة 43.8 في المائة في المنطقة الجبلية، و49.1 </w:t>
      </w:r>
      <w:r w:rsidR="008B03DA">
        <w:rPr>
          <w:rFonts w:hint="cs"/>
          <w:rtl/>
          <w:lang w:bidi="ar-EG"/>
        </w:rPr>
        <w:t>في المائة في منطقة المرتفعات، و</w:t>
      </w:r>
      <w:r w:rsidR="000B7434" w:rsidRPr="00EC4329">
        <w:rPr>
          <w:rFonts w:hint="cs"/>
          <w:rtl/>
          <w:lang w:bidi="ar-EG"/>
        </w:rPr>
        <w:t>48</w:t>
      </w:r>
      <w:r w:rsidR="008B03DA">
        <w:rPr>
          <w:rFonts w:hint="cs"/>
          <w:rtl/>
          <w:lang w:bidi="ar-EG"/>
        </w:rPr>
        <w:t>.1 في المائة في منطقة الوادي، و</w:t>
      </w:r>
      <w:r w:rsidR="000B7434" w:rsidRPr="00EC4329">
        <w:rPr>
          <w:rFonts w:hint="cs"/>
          <w:rtl/>
          <w:lang w:bidi="ar-EG"/>
        </w:rPr>
        <w:t xml:space="preserve">45.4 في المائة في المنطقة المنبسطة والوديان الداخلية. وتتجه حصة التحاق البنات من كل الفئات الاجتماعية بالدراسة </w:t>
      </w:r>
      <w:r>
        <w:rPr>
          <w:rFonts w:hint="cs"/>
          <w:rtl/>
          <w:lang w:bidi="ar-EG"/>
        </w:rPr>
        <w:t>إ</w:t>
      </w:r>
      <w:r w:rsidR="000B7434" w:rsidRPr="00EC4329">
        <w:rPr>
          <w:rFonts w:hint="cs"/>
          <w:rtl/>
          <w:lang w:bidi="ar-EG"/>
        </w:rPr>
        <w:t>لى التزايد؛ غير</w:t>
      </w:r>
      <w:r w:rsidR="000B7434" w:rsidRPr="00EC4329">
        <w:rPr>
          <w:rFonts w:hint="eastAsia"/>
          <w:rtl/>
          <w:lang w:bidi="ar-EG"/>
        </w:rPr>
        <w:t> </w:t>
      </w:r>
      <w:r w:rsidR="000B7434" w:rsidRPr="00EC4329">
        <w:rPr>
          <w:rFonts w:hint="cs"/>
          <w:rtl/>
          <w:lang w:bidi="ar-EG"/>
        </w:rPr>
        <w:t>أن نسبة التحاق فتيات الداليت هي 9.8 في المائة ولذلك لا يزال يتعين زيادتها بالمقارنة بحصة الداليت من</w:t>
      </w:r>
      <w:r w:rsidR="000B7434" w:rsidRPr="00EC4329">
        <w:rPr>
          <w:rFonts w:hint="eastAsia"/>
          <w:rtl/>
          <w:lang w:bidi="ar-EG"/>
        </w:rPr>
        <w:t> </w:t>
      </w:r>
      <w:r w:rsidR="000B7434" w:rsidRPr="00EC4329">
        <w:rPr>
          <w:rFonts w:hint="cs"/>
          <w:rtl/>
          <w:lang w:bidi="ar-EG"/>
        </w:rPr>
        <w:t>السكان على المستوى الوطني. كما أن حصة فتيات الجانجاتي (الطائفة العرقية) من الالتحاق بالمرحلة الإعدادية لا تزال مماثلة لنسبتها من الالتحاق بالمرحلة الابتدائية.</w:t>
      </w:r>
    </w:p>
    <w:p w:rsidR="000B7434" w:rsidRPr="004F1C97" w:rsidRDefault="00CA75D3" w:rsidP="00433E75">
      <w:pPr>
        <w:pStyle w:val="SingleTxtGA"/>
        <w:spacing w:line="372" w:lineRule="exact"/>
        <w:rPr>
          <w:rFonts w:hint="cs"/>
          <w:spacing w:val="-2"/>
          <w:rtl/>
          <w:lang w:bidi="ar-EG"/>
        </w:rPr>
      </w:pPr>
      <w:r w:rsidRPr="004F1C97">
        <w:rPr>
          <w:rFonts w:hint="cs"/>
          <w:spacing w:val="-2"/>
          <w:rtl/>
          <w:lang w:bidi="ar-EG"/>
        </w:rPr>
        <w:t>113</w:t>
      </w:r>
      <w:r w:rsidR="000B7434" w:rsidRPr="004F1C97">
        <w:rPr>
          <w:rFonts w:hint="cs"/>
          <w:spacing w:val="-2"/>
          <w:rtl/>
          <w:lang w:bidi="ar-EG"/>
        </w:rPr>
        <w:t>-</w:t>
      </w:r>
      <w:r w:rsidRPr="004F1C97">
        <w:rPr>
          <w:rFonts w:hint="cs"/>
          <w:spacing w:val="-2"/>
          <w:rtl/>
          <w:lang w:bidi="ar-EG"/>
        </w:rPr>
        <w:tab/>
      </w:r>
      <w:r w:rsidR="000B7434" w:rsidRPr="004F1C97">
        <w:rPr>
          <w:rFonts w:hint="cs"/>
          <w:spacing w:val="-2"/>
          <w:rtl/>
          <w:lang w:bidi="ar-EG"/>
        </w:rPr>
        <w:t>ولا توفر الأرقام المبينة أعلاه بشأن الطوائف العرقية نفس النسبة من الالتحاق بالدراسة في كل أرجاء نيبال نظراً إلى أن هناك 11 مقاطعة نائية هي كاليكوت، وباجورا، وبايتادي، ودارشول</w:t>
      </w:r>
      <w:r w:rsidR="008B03DA" w:rsidRPr="004F1C97">
        <w:rPr>
          <w:rFonts w:hint="cs"/>
          <w:spacing w:val="-2"/>
          <w:rtl/>
          <w:lang w:bidi="ar-EG"/>
        </w:rPr>
        <w:t>ا، وباجهانغ، وجوملا، و</w:t>
      </w:r>
      <w:r w:rsidR="000B7434" w:rsidRPr="004F1C97">
        <w:rPr>
          <w:rFonts w:hint="cs"/>
          <w:spacing w:val="-2"/>
          <w:rtl/>
          <w:lang w:bidi="ar-EG"/>
        </w:rPr>
        <w:t>أشهام، وداديلدورا، وموغو، ودوتي، وسابتاري التي تقل فيها نسبة التحاق التلاميذ الجانجاتي عن نسبة 10 في المائة في المستوى الابتدائي، بينما هناك 7 مقاطعات هي موستانغ، وبانشتار، وتابلجونغ، وماكوانبور، وسولوخومبو، وراسوا، ومانانغ التي تزيد فيها نسبة التحاق التلاميذ الجانجاتي بالمستوى الابتدائي على 70 في المائة. ولذلك فإن التحاق الفتيات بالدراسة في المناطق الريفية النائية يتأثر أيضا</w:t>
      </w:r>
      <w:r w:rsidRPr="004F1C97">
        <w:rPr>
          <w:rFonts w:hint="cs"/>
          <w:spacing w:val="-2"/>
          <w:rtl/>
          <w:lang w:bidi="ar-EG"/>
        </w:rPr>
        <w:t>ً</w:t>
      </w:r>
      <w:r w:rsidR="000B7434" w:rsidRPr="004F1C97">
        <w:rPr>
          <w:rFonts w:hint="cs"/>
          <w:spacing w:val="-2"/>
          <w:rtl/>
          <w:lang w:bidi="ar-EG"/>
        </w:rPr>
        <w:t xml:space="preserve"> بنفس النسبة </w:t>
      </w:r>
      <w:r w:rsidRPr="004F1C97">
        <w:rPr>
          <w:rFonts w:hint="cs"/>
          <w:spacing w:val="-2"/>
          <w:rtl/>
          <w:lang w:bidi="ar-EG"/>
        </w:rPr>
        <w:t>أ</w:t>
      </w:r>
      <w:r w:rsidR="000B7434" w:rsidRPr="004F1C97">
        <w:rPr>
          <w:rFonts w:hint="cs"/>
          <w:spacing w:val="-2"/>
          <w:rtl/>
          <w:lang w:bidi="ar-EG"/>
        </w:rPr>
        <w:t>و حتى بأقل</w:t>
      </w:r>
      <w:r w:rsidR="00E2077A">
        <w:rPr>
          <w:rFonts w:hint="cs"/>
          <w:spacing w:val="-2"/>
          <w:rtl/>
          <w:lang w:bidi="ar-EG"/>
        </w:rPr>
        <w:t xml:space="preserve"> </w:t>
      </w:r>
      <w:r w:rsidR="000B7434" w:rsidRPr="004F1C97">
        <w:rPr>
          <w:rFonts w:hint="cs"/>
          <w:spacing w:val="-2"/>
          <w:rtl/>
          <w:lang w:bidi="ar-EG"/>
        </w:rPr>
        <w:t>منها. والأرقام الموردة في الجداول التالية تشير إلى صورة المرأة في التعليم العالي:</w:t>
      </w:r>
    </w:p>
    <w:p w:rsidR="000B7434" w:rsidRPr="00EC4329" w:rsidRDefault="000B7434" w:rsidP="00CA75D3">
      <w:pPr>
        <w:pStyle w:val="SingleTxtGA"/>
        <w:spacing w:after="0"/>
        <w:rPr>
          <w:rFonts w:hint="cs"/>
          <w:rtl/>
          <w:lang w:bidi="ar-EG"/>
        </w:rPr>
      </w:pPr>
      <w:r w:rsidRPr="00EC4329">
        <w:rPr>
          <w:rFonts w:hint="cs"/>
          <w:rtl/>
          <w:lang w:bidi="ar-EG"/>
        </w:rPr>
        <w:t>الجدول 11</w:t>
      </w:r>
    </w:p>
    <w:p w:rsidR="000B7434" w:rsidRPr="00CA75D3" w:rsidRDefault="000B7434" w:rsidP="00CA75D3">
      <w:pPr>
        <w:pStyle w:val="SingleTxtGA"/>
        <w:rPr>
          <w:rFonts w:hint="cs"/>
          <w:b/>
          <w:bCs/>
          <w:rtl/>
          <w:lang w:bidi="ar-EG"/>
        </w:rPr>
      </w:pPr>
      <w:r w:rsidRPr="00CA75D3">
        <w:rPr>
          <w:rFonts w:hint="cs"/>
          <w:b/>
          <w:bCs/>
          <w:rtl/>
          <w:lang w:bidi="ar-EG"/>
        </w:rPr>
        <w:t>الطلبة المسجلون في التعليم العالي، حسب فرع الدراسة (بما في ذلك مستوى شهادة الكفاءة) في كل جامعات نيبال، 2004/2005</w:t>
      </w:r>
    </w:p>
    <w:tbl>
      <w:tblPr>
        <w:bidiVisual/>
        <w:tblW w:w="8343" w:type="dxa"/>
        <w:tblInd w:w="1267" w:type="dxa"/>
        <w:tblLayout w:type="fixed"/>
        <w:tblCellMar>
          <w:left w:w="0" w:type="dxa"/>
          <w:right w:w="0" w:type="dxa"/>
        </w:tblCellMar>
        <w:tblLook w:val="0000" w:firstRow="0" w:lastRow="0" w:firstColumn="0" w:lastColumn="0" w:noHBand="0" w:noVBand="0"/>
      </w:tblPr>
      <w:tblGrid>
        <w:gridCol w:w="2072"/>
        <w:gridCol w:w="1539"/>
        <w:gridCol w:w="1554"/>
        <w:gridCol w:w="1456"/>
        <w:gridCol w:w="1722"/>
      </w:tblGrid>
      <w:tr w:rsidR="000B7434" w:rsidRPr="00BD4F70" w:rsidTr="00CA75D3">
        <w:tblPrEx>
          <w:tblCellMar>
            <w:top w:w="0" w:type="dxa"/>
            <w:bottom w:w="0" w:type="dxa"/>
          </w:tblCellMar>
        </w:tblPrEx>
        <w:trPr>
          <w:cantSplit/>
          <w:tblHeader/>
        </w:trPr>
        <w:tc>
          <w:tcPr>
            <w:tcW w:w="2072" w:type="dxa"/>
            <w:tcBorders>
              <w:top w:val="single" w:sz="4" w:space="0" w:color="auto"/>
              <w:bottom w:val="single" w:sz="12" w:space="0" w:color="auto"/>
            </w:tcBorders>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i/>
                <w:iCs/>
                <w:sz w:val="18"/>
                <w:szCs w:val="26"/>
                <w:rtl/>
                <w:lang w:bidi="ar-EG"/>
              </w:rPr>
            </w:pPr>
            <w:r w:rsidRPr="00CA75D3">
              <w:rPr>
                <w:rFonts w:hint="cs"/>
                <w:i/>
                <w:iCs/>
                <w:sz w:val="18"/>
                <w:szCs w:val="26"/>
                <w:rtl/>
                <w:lang w:bidi="ar-EG"/>
              </w:rPr>
              <w:t>فرع الدراسة</w:t>
            </w:r>
          </w:p>
        </w:tc>
        <w:tc>
          <w:tcPr>
            <w:tcW w:w="1539" w:type="dxa"/>
            <w:tcBorders>
              <w:top w:val="single" w:sz="4" w:space="0" w:color="auto"/>
              <w:bottom w:val="single" w:sz="12" w:space="0" w:color="auto"/>
            </w:tcBorders>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i/>
                <w:iCs/>
                <w:sz w:val="18"/>
                <w:szCs w:val="26"/>
                <w:rtl/>
                <w:lang w:bidi="ar-EG"/>
              </w:rPr>
            </w:pPr>
            <w:r w:rsidRPr="00CA75D3">
              <w:rPr>
                <w:rFonts w:hint="cs"/>
                <w:i/>
                <w:iCs/>
                <w:sz w:val="18"/>
                <w:szCs w:val="26"/>
                <w:rtl/>
                <w:lang w:bidi="ar-EG"/>
              </w:rPr>
              <w:t>مجموع عدد الطلبة</w:t>
            </w:r>
          </w:p>
        </w:tc>
        <w:tc>
          <w:tcPr>
            <w:tcW w:w="1554" w:type="dxa"/>
            <w:tcBorders>
              <w:top w:val="single" w:sz="4" w:space="0" w:color="auto"/>
              <w:bottom w:val="single" w:sz="12" w:space="0" w:color="auto"/>
            </w:tcBorders>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i/>
                <w:iCs/>
                <w:sz w:val="18"/>
                <w:szCs w:val="26"/>
                <w:rtl/>
                <w:lang w:bidi="ar-EG"/>
              </w:rPr>
            </w:pPr>
            <w:r w:rsidRPr="00CA75D3">
              <w:rPr>
                <w:rFonts w:hint="cs"/>
                <w:i/>
                <w:iCs/>
                <w:sz w:val="18"/>
                <w:szCs w:val="26"/>
                <w:rtl/>
                <w:lang w:bidi="ar-EG"/>
              </w:rPr>
              <w:t>الذكور</w:t>
            </w:r>
          </w:p>
        </w:tc>
        <w:tc>
          <w:tcPr>
            <w:tcW w:w="1456" w:type="dxa"/>
            <w:tcBorders>
              <w:top w:val="single" w:sz="4" w:space="0" w:color="auto"/>
              <w:bottom w:val="single" w:sz="12" w:space="0" w:color="auto"/>
            </w:tcBorders>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i/>
                <w:iCs/>
                <w:sz w:val="18"/>
                <w:szCs w:val="26"/>
                <w:rtl/>
                <w:lang w:bidi="ar-EG"/>
              </w:rPr>
            </w:pPr>
            <w:r w:rsidRPr="00CA75D3">
              <w:rPr>
                <w:rFonts w:hint="cs"/>
                <w:i/>
                <w:iCs/>
                <w:sz w:val="18"/>
                <w:szCs w:val="26"/>
                <w:rtl/>
                <w:lang w:bidi="ar-EG"/>
              </w:rPr>
              <w:t>الإناث</w:t>
            </w:r>
          </w:p>
        </w:tc>
        <w:tc>
          <w:tcPr>
            <w:tcW w:w="1722" w:type="dxa"/>
            <w:tcBorders>
              <w:top w:val="single" w:sz="4" w:space="0" w:color="auto"/>
              <w:bottom w:val="single" w:sz="12" w:space="0" w:color="auto"/>
            </w:tcBorders>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i/>
                <w:iCs/>
                <w:sz w:val="18"/>
                <w:szCs w:val="26"/>
                <w:rtl/>
                <w:lang w:bidi="ar-EG"/>
              </w:rPr>
            </w:pPr>
            <w:r w:rsidRPr="00CA75D3">
              <w:rPr>
                <w:rFonts w:hint="cs"/>
                <w:i/>
                <w:iCs/>
                <w:sz w:val="18"/>
                <w:szCs w:val="26"/>
                <w:rtl/>
                <w:lang w:bidi="ar-EG"/>
              </w:rPr>
              <w:t>النسبة المئوية للطالبات</w:t>
            </w:r>
          </w:p>
        </w:tc>
      </w:tr>
      <w:tr w:rsidR="000B7434" w:rsidRPr="00BD4F70" w:rsidTr="00CA75D3">
        <w:tblPrEx>
          <w:tblCellMar>
            <w:top w:w="0" w:type="dxa"/>
            <w:bottom w:w="0" w:type="dxa"/>
          </w:tblCellMar>
        </w:tblPrEx>
        <w:trPr>
          <w:cantSplit/>
        </w:trPr>
        <w:tc>
          <w:tcPr>
            <w:tcW w:w="2072"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الهندسة</w:t>
            </w:r>
          </w:p>
        </w:tc>
        <w:tc>
          <w:tcPr>
            <w:tcW w:w="1539"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7925</w:t>
            </w:r>
          </w:p>
        </w:tc>
        <w:tc>
          <w:tcPr>
            <w:tcW w:w="1554"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7636</w:t>
            </w:r>
          </w:p>
        </w:tc>
        <w:tc>
          <w:tcPr>
            <w:tcW w:w="1456"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1189</w:t>
            </w:r>
          </w:p>
        </w:tc>
        <w:tc>
          <w:tcPr>
            <w:tcW w:w="1722" w:type="dxa"/>
            <w:shd w:val="clear" w:color="auto" w:fill="auto"/>
            <w:vAlign w:val="bottom"/>
          </w:tcPr>
          <w:p w:rsidR="000B7434" w:rsidRPr="00CA75D3" w:rsidRDefault="00C8270E" w:rsidP="00CA75D3">
            <w:pPr>
              <w:tabs>
                <w:tab w:val="left" w:pos="662"/>
                <w:tab w:val="left" w:pos="1267"/>
                <w:tab w:val="left" w:pos="1987"/>
                <w:tab w:val="left" w:pos="2650"/>
              </w:tabs>
              <w:spacing w:before="40" w:after="40" w:line="280" w:lineRule="exact"/>
              <w:ind w:left="57"/>
              <w:rPr>
                <w:rFonts w:hint="cs"/>
                <w:sz w:val="18"/>
                <w:szCs w:val="26"/>
                <w:rtl/>
                <w:lang w:bidi="ar-EG"/>
              </w:rPr>
            </w:pPr>
            <w:r>
              <w:rPr>
                <w:rFonts w:hint="cs"/>
                <w:sz w:val="18"/>
                <w:szCs w:val="26"/>
                <w:rtl/>
                <w:lang w:bidi="ar-EG"/>
              </w:rPr>
              <w:t>15.0</w:t>
            </w:r>
          </w:p>
        </w:tc>
      </w:tr>
      <w:tr w:rsidR="000B7434" w:rsidRPr="00BD4F70" w:rsidTr="00CA75D3">
        <w:tblPrEx>
          <w:tblCellMar>
            <w:top w:w="0" w:type="dxa"/>
            <w:bottom w:w="0" w:type="dxa"/>
          </w:tblCellMar>
        </w:tblPrEx>
        <w:trPr>
          <w:cantSplit/>
        </w:trPr>
        <w:tc>
          <w:tcPr>
            <w:tcW w:w="2072"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الطب</w:t>
            </w:r>
          </w:p>
        </w:tc>
        <w:tc>
          <w:tcPr>
            <w:tcW w:w="1539"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2761</w:t>
            </w:r>
          </w:p>
        </w:tc>
        <w:tc>
          <w:tcPr>
            <w:tcW w:w="1554"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1223</w:t>
            </w:r>
          </w:p>
        </w:tc>
        <w:tc>
          <w:tcPr>
            <w:tcW w:w="1456"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1538</w:t>
            </w:r>
          </w:p>
        </w:tc>
        <w:tc>
          <w:tcPr>
            <w:tcW w:w="1722"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55.7</w:t>
            </w:r>
          </w:p>
        </w:tc>
      </w:tr>
      <w:tr w:rsidR="000B7434" w:rsidRPr="00BD4F70" w:rsidTr="00CA75D3">
        <w:tblPrEx>
          <w:tblCellMar>
            <w:top w:w="0" w:type="dxa"/>
            <w:bottom w:w="0" w:type="dxa"/>
          </w:tblCellMar>
        </w:tblPrEx>
        <w:trPr>
          <w:cantSplit/>
        </w:trPr>
        <w:tc>
          <w:tcPr>
            <w:tcW w:w="2072"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الحراجة</w:t>
            </w:r>
          </w:p>
        </w:tc>
        <w:tc>
          <w:tcPr>
            <w:tcW w:w="1539"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437</w:t>
            </w:r>
          </w:p>
        </w:tc>
        <w:tc>
          <w:tcPr>
            <w:tcW w:w="1554"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350</w:t>
            </w:r>
          </w:p>
        </w:tc>
        <w:tc>
          <w:tcPr>
            <w:tcW w:w="1456"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87</w:t>
            </w:r>
          </w:p>
        </w:tc>
        <w:tc>
          <w:tcPr>
            <w:tcW w:w="1722"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19.9</w:t>
            </w:r>
          </w:p>
        </w:tc>
      </w:tr>
      <w:tr w:rsidR="000B7434" w:rsidRPr="00BD4F70" w:rsidTr="00CA75D3">
        <w:tblPrEx>
          <w:tblCellMar>
            <w:top w:w="0" w:type="dxa"/>
            <w:bottom w:w="0" w:type="dxa"/>
          </w:tblCellMar>
        </w:tblPrEx>
        <w:trPr>
          <w:cantSplit/>
        </w:trPr>
        <w:tc>
          <w:tcPr>
            <w:tcW w:w="2072"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الزراعة</w:t>
            </w:r>
          </w:p>
        </w:tc>
        <w:tc>
          <w:tcPr>
            <w:tcW w:w="1539"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760</w:t>
            </w:r>
          </w:p>
        </w:tc>
        <w:tc>
          <w:tcPr>
            <w:tcW w:w="1554"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607</w:t>
            </w:r>
          </w:p>
        </w:tc>
        <w:tc>
          <w:tcPr>
            <w:tcW w:w="1456"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153</w:t>
            </w:r>
          </w:p>
        </w:tc>
        <w:tc>
          <w:tcPr>
            <w:tcW w:w="1722"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20.1</w:t>
            </w:r>
          </w:p>
        </w:tc>
      </w:tr>
      <w:tr w:rsidR="000B7434" w:rsidRPr="00BD4F70" w:rsidTr="00CA75D3">
        <w:tblPrEx>
          <w:tblCellMar>
            <w:top w:w="0" w:type="dxa"/>
            <w:bottom w:w="0" w:type="dxa"/>
          </w:tblCellMar>
        </w:tblPrEx>
        <w:trPr>
          <w:cantSplit/>
        </w:trPr>
        <w:tc>
          <w:tcPr>
            <w:tcW w:w="2072"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 xml:space="preserve">العلم والتكنولوجيا </w:t>
            </w:r>
          </w:p>
        </w:tc>
        <w:tc>
          <w:tcPr>
            <w:tcW w:w="1539"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14080</w:t>
            </w:r>
          </w:p>
        </w:tc>
        <w:tc>
          <w:tcPr>
            <w:tcW w:w="1554"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11546</w:t>
            </w:r>
          </w:p>
        </w:tc>
        <w:tc>
          <w:tcPr>
            <w:tcW w:w="1456"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2534</w:t>
            </w:r>
          </w:p>
        </w:tc>
        <w:tc>
          <w:tcPr>
            <w:tcW w:w="1722" w:type="dxa"/>
            <w:shd w:val="clear" w:color="auto" w:fill="auto"/>
            <w:vAlign w:val="bottom"/>
          </w:tcPr>
          <w:p w:rsidR="000B7434" w:rsidRPr="00CA75D3" w:rsidRDefault="00C8270E" w:rsidP="00CA75D3">
            <w:pPr>
              <w:tabs>
                <w:tab w:val="left" w:pos="662"/>
                <w:tab w:val="left" w:pos="1267"/>
                <w:tab w:val="left" w:pos="1987"/>
                <w:tab w:val="left" w:pos="2650"/>
              </w:tabs>
              <w:spacing w:before="40" w:after="40" w:line="280" w:lineRule="exact"/>
              <w:ind w:left="57"/>
              <w:rPr>
                <w:rFonts w:hint="cs"/>
                <w:sz w:val="18"/>
                <w:szCs w:val="26"/>
                <w:rtl/>
                <w:lang w:bidi="ar-EG"/>
              </w:rPr>
            </w:pPr>
            <w:r>
              <w:rPr>
                <w:rFonts w:hint="cs"/>
                <w:sz w:val="18"/>
                <w:szCs w:val="26"/>
                <w:rtl/>
                <w:lang w:bidi="ar-EG"/>
              </w:rPr>
              <w:t>18.0</w:t>
            </w:r>
          </w:p>
        </w:tc>
      </w:tr>
      <w:tr w:rsidR="000B7434" w:rsidRPr="00BD4F70" w:rsidTr="00CA75D3">
        <w:tblPrEx>
          <w:tblCellMar>
            <w:top w:w="0" w:type="dxa"/>
            <w:bottom w:w="0" w:type="dxa"/>
          </w:tblCellMar>
        </w:tblPrEx>
        <w:trPr>
          <w:cantSplit/>
        </w:trPr>
        <w:tc>
          <w:tcPr>
            <w:tcW w:w="2072"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الآداب والعلوم الاجتماعية</w:t>
            </w:r>
          </w:p>
        </w:tc>
        <w:tc>
          <w:tcPr>
            <w:tcW w:w="1539"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52312</w:t>
            </w:r>
          </w:p>
        </w:tc>
        <w:tc>
          <w:tcPr>
            <w:tcW w:w="1554"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34055</w:t>
            </w:r>
          </w:p>
        </w:tc>
        <w:tc>
          <w:tcPr>
            <w:tcW w:w="1456"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18257</w:t>
            </w:r>
          </w:p>
        </w:tc>
        <w:tc>
          <w:tcPr>
            <w:tcW w:w="1722"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34.9</w:t>
            </w:r>
          </w:p>
        </w:tc>
      </w:tr>
      <w:tr w:rsidR="000B7434" w:rsidRPr="00BD4F70" w:rsidTr="00CA75D3">
        <w:tblPrEx>
          <w:tblCellMar>
            <w:top w:w="0" w:type="dxa"/>
            <w:bottom w:w="0" w:type="dxa"/>
          </w:tblCellMar>
        </w:tblPrEx>
        <w:trPr>
          <w:cantSplit/>
        </w:trPr>
        <w:tc>
          <w:tcPr>
            <w:tcW w:w="2072"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الإدارة</w:t>
            </w:r>
          </w:p>
        </w:tc>
        <w:tc>
          <w:tcPr>
            <w:tcW w:w="1539"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41112</w:t>
            </w:r>
          </w:p>
        </w:tc>
        <w:tc>
          <w:tcPr>
            <w:tcW w:w="1554"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29395</w:t>
            </w:r>
          </w:p>
        </w:tc>
        <w:tc>
          <w:tcPr>
            <w:tcW w:w="1456"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11717</w:t>
            </w:r>
          </w:p>
        </w:tc>
        <w:tc>
          <w:tcPr>
            <w:tcW w:w="1722"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28.5</w:t>
            </w:r>
          </w:p>
        </w:tc>
      </w:tr>
      <w:tr w:rsidR="000B7434" w:rsidRPr="00BD4F70" w:rsidTr="00CA75D3">
        <w:tblPrEx>
          <w:tblCellMar>
            <w:top w:w="0" w:type="dxa"/>
            <w:bottom w:w="0" w:type="dxa"/>
          </w:tblCellMar>
        </w:tblPrEx>
        <w:trPr>
          <w:cantSplit/>
        </w:trPr>
        <w:tc>
          <w:tcPr>
            <w:tcW w:w="2072"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التربية</w:t>
            </w:r>
          </w:p>
        </w:tc>
        <w:tc>
          <w:tcPr>
            <w:tcW w:w="1539"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31661</w:t>
            </w:r>
          </w:p>
        </w:tc>
        <w:tc>
          <w:tcPr>
            <w:tcW w:w="1554"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22099</w:t>
            </w:r>
          </w:p>
        </w:tc>
        <w:tc>
          <w:tcPr>
            <w:tcW w:w="1456"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9562</w:t>
            </w:r>
          </w:p>
        </w:tc>
        <w:tc>
          <w:tcPr>
            <w:tcW w:w="1722"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30.2</w:t>
            </w:r>
          </w:p>
        </w:tc>
      </w:tr>
      <w:tr w:rsidR="000B7434" w:rsidRPr="00BD4F70" w:rsidTr="00CA75D3">
        <w:tblPrEx>
          <w:tblCellMar>
            <w:top w:w="0" w:type="dxa"/>
            <w:bottom w:w="0" w:type="dxa"/>
          </w:tblCellMar>
        </w:tblPrEx>
        <w:trPr>
          <w:cantSplit/>
        </w:trPr>
        <w:tc>
          <w:tcPr>
            <w:tcW w:w="2072"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الحقوق</w:t>
            </w:r>
          </w:p>
        </w:tc>
        <w:tc>
          <w:tcPr>
            <w:tcW w:w="1539"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1025</w:t>
            </w:r>
          </w:p>
        </w:tc>
        <w:tc>
          <w:tcPr>
            <w:tcW w:w="1554"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851</w:t>
            </w:r>
          </w:p>
        </w:tc>
        <w:tc>
          <w:tcPr>
            <w:tcW w:w="1456"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174</w:t>
            </w:r>
          </w:p>
        </w:tc>
        <w:tc>
          <w:tcPr>
            <w:tcW w:w="1722" w:type="dxa"/>
            <w:shd w:val="clear" w:color="auto" w:fill="auto"/>
            <w:vAlign w:val="bottom"/>
          </w:tcPr>
          <w:p w:rsidR="000B7434" w:rsidRPr="00CA75D3" w:rsidRDefault="00C8270E" w:rsidP="00CA75D3">
            <w:pPr>
              <w:tabs>
                <w:tab w:val="left" w:pos="662"/>
                <w:tab w:val="left" w:pos="1267"/>
                <w:tab w:val="left" w:pos="1987"/>
                <w:tab w:val="left" w:pos="2650"/>
              </w:tabs>
              <w:spacing w:before="40" w:after="40" w:line="280" w:lineRule="exact"/>
              <w:ind w:left="57"/>
              <w:rPr>
                <w:rFonts w:hint="cs"/>
                <w:sz w:val="18"/>
                <w:szCs w:val="26"/>
                <w:rtl/>
                <w:lang w:bidi="ar-EG"/>
              </w:rPr>
            </w:pPr>
            <w:r>
              <w:rPr>
                <w:rFonts w:hint="cs"/>
                <w:sz w:val="18"/>
                <w:szCs w:val="26"/>
                <w:rtl/>
                <w:lang w:bidi="ar-EG"/>
              </w:rPr>
              <w:t>17.0</w:t>
            </w:r>
          </w:p>
        </w:tc>
      </w:tr>
      <w:tr w:rsidR="000B7434" w:rsidRPr="00BD4F70" w:rsidTr="00CA75D3">
        <w:tblPrEx>
          <w:tblCellMar>
            <w:top w:w="0" w:type="dxa"/>
            <w:bottom w:w="0" w:type="dxa"/>
          </w:tblCellMar>
        </w:tblPrEx>
        <w:trPr>
          <w:cantSplit/>
        </w:trPr>
        <w:tc>
          <w:tcPr>
            <w:tcW w:w="2072"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proofErr w:type="spellStart"/>
            <w:r w:rsidRPr="00CA75D3">
              <w:rPr>
                <w:rFonts w:hint="cs"/>
                <w:sz w:val="18"/>
                <w:szCs w:val="26"/>
                <w:rtl/>
                <w:lang w:bidi="ar-EG"/>
              </w:rPr>
              <w:t>السنسكريت</w:t>
            </w:r>
            <w:proofErr w:type="spellEnd"/>
          </w:p>
        </w:tc>
        <w:tc>
          <w:tcPr>
            <w:tcW w:w="1539"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270</w:t>
            </w:r>
          </w:p>
        </w:tc>
        <w:tc>
          <w:tcPr>
            <w:tcW w:w="1554"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182</w:t>
            </w:r>
          </w:p>
        </w:tc>
        <w:tc>
          <w:tcPr>
            <w:tcW w:w="1456"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88</w:t>
            </w:r>
          </w:p>
        </w:tc>
        <w:tc>
          <w:tcPr>
            <w:tcW w:w="1722" w:type="dxa"/>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32.6</w:t>
            </w:r>
          </w:p>
        </w:tc>
      </w:tr>
      <w:tr w:rsidR="000B7434" w:rsidRPr="00BD4F70" w:rsidTr="00CA75D3">
        <w:tblPrEx>
          <w:tblCellMar>
            <w:top w:w="0" w:type="dxa"/>
            <w:bottom w:w="0" w:type="dxa"/>
          </w:tblCellMar>
        </w:tblPrEx>
        <w:trPr>
          <w:cantSplit/>
        </w:trPr>
        <w:tc>
          <w:tcPr>
            <w:tcW w:w="2072" w:type="dxa"/>
            <w:tcBorders>
              <w:bottom w:val="single" w:sz="4" w:space="0" w:color="auto"/>
            </w:tcBorders>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الأيورفيد</w:t>
            </w:r>
          </w:p>
        </w:tc>
        <w:tc>
          <w:tcPr>
            <w:tcW w:w="1539" w:type="dxa"/>
            <w:tcBorders>
              <w:bottom w:val="single" w:sz="4" w:space="0" w:color="auto"/>
            </w:tcBorders>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148</w:t>
            </w:r>
          </w:p>
        </w:tc>
        <w:tc>
          <w:tcPr>
            <w:tcW w:w="1554" w:type="dxa"/>
            <w:tcBorders>
              <w:bottom w:val="single" w:sz="4" w:space="0" w:color="auto"/>
            </w:tcBorders>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129</w:t>
            </w:r>
          </w:p>
        </w:tc>
        <w:tc>
          <w:tcPr>
            <w:tcW w:w="1456" w:type="dxa"/>
            <w:tcBorders>
              <w:bottom w:val="single" w:sz="4" w:space="0" w:color="auto"/>
            </w:tcBorders>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19</w:t>
            </w:r>
          </w:p>
        </w:tc>
        <w:tc>
          <w:tcPr>
            <w:tcW w:w="1722" w:type="dxa"/>
            <w:tcBorders>
              <w:bottom w:val="single" w:sz="4" w:space="0" w:color="auto"/>
            </w:tcBorders>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sz w:val="18"/>
                <w:szCs w:val="26"/>
                <w:rtl/>
                <w:lang w:bidi="ar-EG"/>
              </w:rPr>
              <w:t>12.8</w:t>
            </w:r>
          </w:p>
        </w:tc>
      </w:tr>
      <w:tr w:rsidR="000B7434" w:rsidRPr="00BD4F70" w:rsidTr="00CA75D3">
        <w:tblPrEx>
          <w:tblCellMar>
            <w:top w:w="0" w:type="dxa"/>
            <w:bottom w:w="0" w:type="dxa"/>
          </w:tblCellMar>
        </w:tblPrEx>
        <w:trPr>
          <w:cantSplit/>
        </w:trPr>
        <w:tc>
          <w:tcPr>
            <w:tcW w:w="2072" w:type="dxa"/>
            <w:tcBorders>
              <w:top w:val="single" w:sz="4" w:space="0" w:color="auto"/>
              <w:bottom w:val="single" w:sz="12" w:space="0" w:color="auto"/>
            </w:tcBorders>
            <w:shd w:val="clear" w:color="auto" w:fill="auto"/>
            <w:vAlign w:val="bottom"/>
          </w:tcPr>
          <w:p w:rsidR="000B7434" w:rsidRPr="00CA75D3" w:rsidRDefault="00AD4A05" w:rsidP="00CA75D3">
            <w:pPr>
              <w:tabs>
                <w:tab w:val="left" w:pos="662"/>
                <w:tab w:val="left" w:pos="1267"/>
                <w:tab w:val="left" w:pos="1987"/>
                <w:tab w:val="left" w:pos="2650"/>
              </w:tabs>
              <w:spacing w:before="40" w:after="40" w:line="280" w:lineRule="exact"/>
              <w:ind w:left="57"/>
              <w:rPr>
                <w:rFonts w:hint="cs"/>
                <w:sz w:val="18"/>
                <w:szCs w:val="26"/>
                <w:rtl/>
                <w:lang w:bidi="ar-EG"/>
              </w:rPr>
            </w:pPr>
            <w:r>
              <w:rPr>
                <w:rFonts w:hint="cs"/>
                <w:b/>
                <w:bCs/>
                <w:sz w:val="18"/>
                <w:szCs w:val="26"/>
                <w:rtl/>
                <w:lang w:bidi="ar-EG"/>
              </w:rPr>
              <w:t xml:space="preserve">   </w:t>
            </w:r>
            <w:r w:rsidR="000B7434" w:rsidRPr="00CA75D3">
              <w:rPr>
                <w:rFonts w:hint="cs"/>
                <w:b/>
                <w:bCs/>
                <w:sz w:val="18"/>
                <w:szCs w:val="26"/>
                <w:rtl/>
                <w:lang w:bidi="ar-EG"/>
              </w:rPr>
              <w:t>المجموع</w:t>
            </w:r>
          </w:p>
        </w:tc>
        <w:tc>
          <w:tcPr>
            <w:tcW w:w="1539" w:type="dxa"/>
            <w:tcBorders>
              <w:top w:val="single" w:sz="4" w:space="0" w:color="auto"/>
              <w:bottom w:val="single" w:sz="12" w:space="0" w:color="auto"/>
            </w:tcBorders>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sz w:val="18"/>
                <w:szCs w:val="26"/>
                <w:rtl/>
                <w:lang w:bidi="ar-EG"/>
              </w:rPr>
            </w:pPr>
            <w:r w:rsidRPr="00CA75D3">
              <w:rPr>
                <w:rFonts w:hint="cs"/>
                <w:b/>
                <w:bCs/>
                <w:sz w:val="18"/>
                <w:szCs w:val="26"/>
                <w:rtl/>
                <w:lang w:bidi="ar-EG"/>
              </w:rPr>
              <w:t>152491</w:t>
            </w:r>
          </w:p>
        </w:tc>
        <w:tc>
          <w:tcPr>
            <w:tcW w:w="1554" w:type="dxa"/>
            <w:tcBorders>
              <w:top w:val="single" w:sz="4" w:space="0" w:color="auto"/>
              <w:bottom w:val="single" w:sz="12" w:space="0" w:color="auto"/>
            </w:tcBorders>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b/>
                <w:bCs/>
                <w:sz w:val="18"/>
                <w:szCs w:val="26"/>
                <w:rtl/>
                <w:lang w:bidi="ar-EG"/>
              </w:rPr>
            </w:pPr>
            <w:r w:rsidRPr="00CA75D3">
              <w:rPr>
                <w:rFonts w:hint="cs"/>
                <w:b/>
                <w:bCs/>
                <w:sz w:val="18"/>
                <w:szCs w:val="26"/>
                <w:rtl/>
                <w:lang w:bidi="ar-EG"/>
              </w:rPr>
              <w:t>107201</w:t>
            </w:r>
          </w:p>
        </w:tc>
        <w:tc>
          <w:tcPr>
            <w:tcW w:w="1456" w:type="dxa"/>
            <w:tcBorders>
              <w:top w:val="single" w:sz="4" w:space="0" w:color="auto"/>
              <w:bottom w:val="single" w:sz="12" w:space="0" w:color="auto"/>
            </w:tcBorders>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b/>
                <w:bCs/>
                <w:sz w:val="18"/>
                <w:szCs w:val="26"/>
                <w:rtl/>
                <w:lang w:bidi="ar-EG"/>
              </w:rPr>
            </w:pPr>
            <w:r w:rsidRPr="00CA75D3">
              <w:rPr>
                <w:rFonts w:hint="cs"/>
                <w:b/>
                <w:bCs/>
                <w:sz w:val="18"/>
                <w:szCs w:val="26"/>
                <w:rtl/>
                <w:lang w:bidi="ar-EG"/>
              </w:rPr>
              <w:t>45290</w:t>
            </w:r>
          </w:p>
        </w:tc>
        <w:tc>
          <w:tcPr>
            <w:tcW w:w="1722" w:type="dxa"/>
            <w:tcBorders>
              <w:top w:val="single" w:sz="4" w:space="0" w:color="auto"/>
              <w:bottom w:val="single" w:sz="12" w:space="0" w:color="auto"/>
            </w:tcBorders>
            <w:shd w:val="clear" w:color="auto" w:fill="auto"/>
            <w:vAlign w:val="bottom"/>
          </w:tcPr>
          <w:p w:rsidR="000B7434" w:rsidRPr="00CA75D3" w:rsidRDefault="000B7434" w:rsidP="00CA75D3">
            <w:pPr>
              <w:tabs>
                <w:tab w:val="left" w:pos="662"/>
                <w:tab w:val="left" w:pos="1267"/>
                <w:tab w:val="left" w:pos="1987"/>
                <w:tab w:val="left" w:pos="2650"/>
              </w:tabs>
              <w:spacing w:before="40" w:after="40" w:line="280" w:lineRule="exact"/>
              <w:ind w:left="57"/>
              <w:rPr>
                <w:rFonts w:hint="cs"/>
                <w:b/>
                <w:bCs/>
                <w:sz w:val="18"/>
                <w:szCs w:val="26"/>
                <w:rtl/>
                <w:lang w:bidi="ar-EG"/>
              </w:rPr>
            </w:pPr>
            <w:r w:rsidRPr="00CA75D3">
              <w:rPr>
                <w:rFonts w:hint="cs"/>
                <w:b/>
                <w:bCs/>
                <w:sz w:val="18"/>
                <w:szCs w:val="26"/>
                <w:rtl/>
                <w:lang w:bidi="ar-EG"/>
              </w:rPr>
              <w:t>29.7</w:t>
            </w:r>
          </w:p>
        </w:tc>
      </w:tr>
    </w:tbl>
    <w:p w:rsidR="000B7434" w:rsidRPr="00AD4A05" w:rsidRDefault="00AD4A05" w:rsidP="00C8270E">
      <w:pPr>
        <w:pStyle w:val="FootnoteText"/>
        <w:tabs>
          <w:tab w:val="right" w:pos="1915"/>
          <w:tab w:val="left" w:pos="2016"/>
          <w:tab w:val="left" w:pos="2491"/>
          <w:tab w:val="left" w:pos="2966"/>
          <w:tab w:val="left" w:pos="3442"/>
          <w:tab w:val="left" w:pos="3917"/>
        </w:tabs>
        <w:spacing w:before="120" w:after="120"/>
        <w:ind w:left="2029" w:right="1264" w:hanging="765"/>
        <w:rPr>
          <w:rFonts w:hint="cs"/>
          <w:sz w:val="26"/>
          <w:szCs w:val="26"/>
          <w:rtl/>
        </w:rPr>
      </w:pPr>
      <w:r>
        <w:rPr>
          <w:rFonts w:hint="cs"/>
          <w:i/>
          <w:iCs/>
          <w:sz w:val="26"/>
          <w:szCs w:val="26"/>
          <w:rtl/>
        </w:rPr>
        <w:t xml:space="preserve"> </w:t>
      </w:r>
      <w:r w:rsidR="000B7434" w:rsidRPr="00AD4A05">
        <w:rPr>
          <w:i/>
          <w:iCs/>
          <w:sz w:val="26"/>
          <w:szCs w:val="26"/>
          <w:rtl/>
        </w:rPr>
        <w:t>المصد</w:t>
      </w:r>
      <w:r w:rsidR="000B7434" w:rsidRPr="00AD4A05">
        <w:rPr>
          <w:rFonts w:hint="cs"/>
          <w:i/>
          <w:iCs/>
          <w:sz w:val="26"/>
          <w:szCs w:val="26"/>
          <w:rtl/>
        </w:rPr>
        <w:t>ر</w:t>
      </w:r>
      <w:r w:rsidR="000B7434" w:rsidRPr="00AD4A05">
        <w:rPr>
          <w:rFonts w:hint="cs"/>
          <w:sz w:val="26"/>
          <w:szCs w:val="26"/>
          <w:rtl/>
        </w:rPr>
        <w:t xml:space="preserve">: </w:t>
      </w:r>
      <w:r>
        <w:rPr>
          <w:rFonts w:hint="cs"/>
          <w:sz w:val="26"/>
          <w:szCs w:val="26"/>
          <w:rtl/>
        </w:rPr>
        <w:t xml:space="preserve"> </w:t>
      </w:r>
      <w:r w:rsidR="000B7434" w:rsidRPr="00AD4A05">
        <w:rPr>
          <w:rFonts w:hint="cs"/>
          <w:sz w:val="26"/>
          <w:szCs w:val="26"/>
          <w:rtl/>
        </w:rPr>
        <w:t>بعض الحقائق الإحصائية عن المرأة النيبالية، 2007، مكتب الإحصاء المركزي</w:t>
      </w:r>
      <w:r>
        <w:rPr>
          <w:rFonts w:hint="cs"/>
          <w:sz w:val="26"/>
          <w:szCs w:val="26"/>
          <w:rtl/>
        </w:rPr>
        <w:t>.</w:t>
      </w:r>
    </w:p>
    <w:p w:rsidR="000B7434" w:rsidRPr="00EC4329" w:rsidRDefault="00AD4A05" w:rsidP="004F1C97">
      <w:pPr>
        <w:pStyle w:val="H23GA"/>
        <w:rPr>
          <w:rFonts w:hint="cs"/>
          <w:rtl/>
          <w:lang w:bidi="ar-EG"/>
        </w:rPr>
      </w:pPr>
      <w:r>
        <w:rPr>
          <w:rFonts w:hint="cs"/>
          <w:rtl/>
          <w:lang w:bidi="ar-EG"/>
        </w:rPr>
        <w:tab/>
      </w:r>
      <w:r>
        <w:rPr>
          <w:rFonts w:hint="cs"/>
          <w:rtl/>
          <w:lang w:bidi="ar-EG"/>
        </w:rPr>
        <w:tab/>
      </w:r>
      <w:r w:rsidR="000B7434" w:rsidRPr="00EC4329">
        <w:rPr>
          <w:rFonts w:hint="cs"/>
          <w:rtl/>
          <w:lang w:bidi="ar-EG"/>
        </w:rPr>
        <w:t>المد</w:t>
      </w:r>
      <w:r w:rsidR="000B7434">
        <w:rPr>
          <w:rFonts w:hint="cs"/>
          <w:rtl/>
          <w:lang w:bidi="ar-EG"/>
        </w:rPr>
        <w:t>رِّ</w:t>
      </w:r>
      <w:r w:rsidR="000B7434" w:rsidRPr="00EC4329">
        <w:rPr>
          <w:rFonts w:hint="cs"/>
          <w:rtl/>
          <w:lang w:bidi="ar-EG"/>
        </w:rPr>
        <w:t>سات</w:t>
      </w:r>
    </w:p>
    <w:p w:rsidR="000B7434" w:rsidRPr="00EC4329" w:rsidRDefault="00AD4A05" w:rsidP="00AD4A05">
      <w:pPr>
        <w:pStyle w:val="SingleTxtGA"/>
        <w:rPr>
          <w:rFonts w:hint="cs"/>
          <w:rtl/>
          <w:lang w:bidi="ar-EG"/>
        </w:rPr>
      </w:pPr>
      <w:r>
        <w:rPr>
          <w:rFonts w:hint="cs"/>
          <w:rtl/>
          <w:lang w:bidi="ar-EG"/>
        </w:rPr>
        <w:t>114</w:t>
      </w:r>
      <w:r w:rsidR="000B7434" w:rsidRPr="00EC4329">
        <w:rPr>
          <w:rFonts w:hint="cs"/>
          <w:rtl/>
          <w:lang w:bidi="ar-EG"/>
        </w:rPr>
        <w:t>-</w:t>
      </w:r>
      <w:r>
        <w:rPr>
          <w:rFonts w:hint="cs"/>
          <w:rtl/>
          <w:lang w:bidi="ar-EG"/>
        </w:rPr>
        <w:tab/>
      </w:r>
      <w:r w:rsidR="000B7434" w:rsidRPr="00EC4329">
        <w:rPr>
          <w:rFonts w:hint="cs"/>
          <w:rtl/>
          <w:lang w:bidi="ar-EG"/>
        </w:rPr>
        <w:t>أجرت وزارة التربية تحليلاً شاملاً (من 2004 إلى 2007) لاتجاهات المدرسات في كل أنواع المدارس المجتمعية. وكمجموع كلي وجد أنه حدثت زيادة في نسبة المدرِّسات تبلغ 6.4 في المائة خلال الفترة من 2004 إلى 2007. وأبلغ عن وجود 061 49 مُدرّسة في المجموع (29.7 في المائة) في كل المستويات، بينهن 557 3 مُدرِّسة (21.3 في المائة) في</w:t>
      </w:r>
      <w:r w:rsidR="000B7434">
        <w:rPr>
          <w:rFonts w:hint="eastAsia"/>
          <w:rtl/>
          <w:lang w:bidi="ar-EG"/>
        </w:rPr>
        <w:t> </w:t>
      </w:r>
      <w:r w:rsidR="000B7434" w:rsidRPr="00EC4329">
        <w:rPr>
          <w:rFonts w:hint="cs"/>
          <w:rtl/>
          <w:lang w:bidi="ar-EG"/>
        </w:rPr>
        <w:t>منطقة الجبال</w:t>
      </w:r>
      <w:r w:rsidR="000B7434">
        <w:rPr>
          <w:rFonts w:hint="cs"/>
          <w:rtl/>
          <w:lang w:bidi="ar-EG"/>
        </w:rPr>
        <w:t>،</w:t>
      </w:r>
      <w:r w:rsidR="000B7434" w:rsidRPr="00EC4329">
        <w:rPr>
          <w:rFonts w:hint="cs"/>
          <w:rtl/>
          <w:lang w:bidi="ar-EG"/>
        </w:rPr>
        <w:t xml:space="preserve"> و992 20 (أي بنسبة 27.5 في المائة) في منطقة المرتفعات، و322</w:t>
      </w:r>
      <w:r w:rsidR="000B7434">
        <w:rPr>
          <w:rFonts w:hint="eastAsia"/>
          <w:rtl/>
          <w:lang w:bidi="ar-EG"/>
        </w:rPr>
        <w:t> </w:t>
      </w:r>
      <w:r w:rsidR="000B7434" w:rsidRPr="00EC4329">
        <w:rPr>
          <w:rFonts w:hint="cs"/>
          <w:rtl/>
          <w:lang w:bidi="ar-EG"/>
        </w:rPr>
        <w:t>9</w:t>
      </w:r>
      <w:r w:rsidR="000B7434">
        <w:rPr>
          <w:rFonts w:hint="eastAsia"/>
          <w:rtl/>
          <w:lang w:bidi="ar-EG"/>
        </w:rPr>
        <w:t> </w:t>
      </w:r>
      <w:r w:rsidR="000B7434" w:rsidRPr="00EC4329">
        <w:rPr>
          <w:rFonts w:hint="cs"/>
          <w:rtl/>
          <w:lang w:bidi="ar-EG"/>
        </w:rPr>
        <w:t>مدرّسة (أي بنسبة 50.4 في المائة) في وادي كاتماندو، و190 15 مُدرّسة (أي بنسبة 28.2 في المائة) في المنطقة المنبسطة والوديان الداخلية. أما عن توزُّع المدرسين حسب المستوى التعليمي، فهناك في المجموع 846 116 مدرساً للمستوى الابتدائي، بينهم 475</w:t>
      </w:r>
      <w:r w:rsidR="000B7434">
        <w:rPr>
          <w:rFonts w:hint="eastAsia"/>
          <w:rtl/>
          <w:lang w:bidi="ar-EG"/>
        </w:rPr>
        <w:t> </w:t>
      </w:r>
      <w:r w:rsidR="000B7434" w:rsidRPr="00EC4329">
        <w:rPr>
          <w:rFonts w:hint="cs"/>
          <w:rtl/>
          <w:lang w:bidi="ar-EG"/>
        </w:rPr>
        <w:t>41 مُدرّسة (بنسبة 35.5 في المائة). وفي المستوى الإعدادي هناك 903 27 مدرساً بينهم 182 5 مدرِّسة (أي بنسبة 18.6 في المائة) وفي المستوى الثانوي هناك في المجموع 674</w:t>
      </w:r>
      <w:r w:rsidR="000B7434">
        <w:rPr>
          <w:rFonts w:hint="eastAsia"/>
          <w:rtl/>
          <w:lang w:bidi="ar-EG"/>
        </w:rPr>
        <w:t> </w:t>
      </w:r>
      <w:r w:rsidR="000B7434" w:rsidRPr="00EC4329">
        <w:rPr>
          <w:rFonts w:hint="cs"/>
          <w:rtl/>
          <w:lang w:bidi="ar-EG"/>
        </w:rPr>
        <w:t>20 مدرسا</w:t>
      </w:r>
      <w:r w:rsidR="000B7434">
        <w:rPr>
          <w:rFonts w:hint="cs"/>
          <w:rtl/>
          <w:lang w:bidi="ar-EG"/>
        </w:rPr>
        <w:t>،</w:t>
      </w:r>
      <w:r w:rsidR="000B7434" w:rsidRPr="00EC4329">
        <w:rPr>
          <w:rFonts w:hint="cs"/>
          <w:rtl/>
          <w:lang w:bidi="ar-EG"/>
        </w:rPr>
        <w:t xml:space="preserve"> بينهم 404 2 مدرِّسة (أي بنسبة 11.6 في المائة) أُبلغ عن وجودهم في السنة المدرسية 2007-2008.</w:t>
      </w:r>
    </w:p>
    <w:p w:rsidR="000B7434" w:rsidRPr="00AD4A05" w:rsidRDefault="000B7434" w:rsidP="00AD4A05">
      <w:pPr>
        <w:pStyle w:val="SingleTxtGA"/>
        <w:rPr>
          <w:rFonts w:hint="cs"/>
          <w:spacing w:val="-2"/>
          <w:rtl/>
          <w:lang w:bidi="ar-EG"/>
        </w:rPr>
      </w:pPr>
      <w:r w:rsidRPr="00AD4A05">
        <w:rPr>
          <w:rFonts w:hint="cs"/>
          <w:spacing w:val="-2"/>
          <w:rtl/>
          <w:lang w:bidi="ar-EG"/>
        </w:rPr>
        <w:t>115-</w:t>
      </w:r>
      <w:r w:rsidR="00AD4A05" w:rsidRPr="00AD4A05">
        <w:rPr>
          <w:rFonts w:hint="cs"/>
          <w:spacing w:val="-2"/>
          <w:rtl/>
          <w:lang w:bidi="ar-EG"/>
        </w:rPr>
        <w:tab/>
      </w:r>
      <w:r w:rsidRPr="00AD4A05">
        <w:rPr>
          <w:rFonts w:hint="cs"/>
          <w:spacing w:val="-2"/>
          <w:rtl/>
          <w:lang w:bidi="ar-EG"/>
        </w:rPr>
        <w:t>أما في المدارس المؤسسية فتبلغ النسبة المئوية للمدرِّسات 44.1 في المائة لمستويات التعليم كلها ومن هذه أُبلغ أنّ مدرِّسات المستوى الابتدائي يُشكلن 55.9 في المائة ومدرّسات الإعدادي 32.1 في المائة ومدرِّسات الثانوي 19.8 في المائة. ومن بين المجموع المُبلّغ عنه لعدد المدرسين، أبلغ أن المدرِّسات يُشكلن نسبة 25.7 في المائة في كل مستويات المدارس المجتمعية، ومن هذه النسبة هناك 30.9 في المائة للمستوى الابتدائي، و13.7</w:t>
      </w:r>
      <w:r w:rsidR="00AD4A05" w:rsidRPr="00AD4A05">
        <w:rPr>
          <w:rFonts w:hint="cs"/>
          <w:spacing w:val="-2"/>
          <w:rtl/>
          <w:lang w:bidi="ar-EG"/>
        </w:rPr>
        <w:t xml:space="preserve"> </w:t>
      </w:r>
      <w:r w:rsidRPr="00AD4A05">
        <w:rPr>
          <w:rFonts w:hint="cs"/>
          <w:spacing w:val="-2"/>
          <w:rtl/>
          <w:lang w:bidi="ar-EG"/>
        </w:rPr>
        <w:t>في</w:t>
      </w:r>
      <w:r w:rsidR="00AD4A05" w:rsidRPr="00AD4A05">
        <w:rPr>
          <w:rFonts w:hint="cs"/>
          <w:spacing w:val="-2"/>
          <w:rtl/>
          <w:lang w:bidi="ar-EG"/>
        </w:rPr>
        <w:t xml:space="preserve"> </w:t>
      </w:r>
      <w:r w:rsidRPr="00AD4A05">
        <w:rPr>
          <w:rFonts w:hint="cs"/>
          <w:spacing w:val="-2"/>
          <w:rtl/>
          <w:lang w:bidi="ar-EG"/>
        </w:rPr>
        <w:t>المائة للمستوى الإعدادي، و7.7 في المائة للمستوى الثانوي. وبصورة عامة فإن أعلى نسبة مئوية من المدرِّسات توجد في وادي كاتماندو وأدنى نسبة لهن في المناطق الجبلية، في كل المستويات.</w:t>
      </w:r>
    </w:p>
    <w:p w:rsidR="000B7434" w:rsidRPr="00EC4329" w:rsidRDefault="00AD4A05" w:rsidP="00AD4A05">
      <w:pPr>
        <w:pStyle w:val="SingleTxtGA"/>
        <w:rPr>
          <w:rFonts w:hint="cs"/>
          <w:rtl/>
          <w:lang w:bidi="ar-EG"/>
        </w:rPr>
      </w:pPr>
      <w:r>
        <w:rPr>
          <w:rFonts w:hint="cs"/>
          <w:rtl/>
          <w:lang w:bidi="ar-EG"/>
        </w:rPr>
        <w:t>116</w:t>
      </w:r>
      <w:r w:rsidR="000B7434" w:rsidRPr="00EC4329">
        <w:rPr>
          <w:rFonts w:hint="cs"/>
          <w:rtl/>
          <w:lang w:bidi="ar-EG"/>
        </w:rPr>
        <w:t>-</w:t>
      </w:r>
      <w:r>
        <w:rPr>
          <w:rFonts w:hint="cs"/>
          <w:rtl/>
          <w:lang w:bidi="ar-EG"/>
        </w:rPr>
        <w:tab/>
      </w:r>
      <w:r w:rsidR="000B7434" w:rsidRPr="00EC4329">
        <w:rPr>
          <w:rFonts w:hint="cs"/>
          <w:rtl/>
          <w:lang w:bidi="ar-EG"/>
        </w:rPr>
        <w:t>وتبلغ الحصة العامة للمدرِّسات 29.7 في المائة من كل أنواع المدارس، ومنها 35.</w:t>
      </w:r>
      <w:r>
        <w:rPr>
          <w:rFonts w:hint="cs"/>
          <w:rtl/>
          <w:lang w:bidi="ar-EG"/>
        </w:rPr>
        <w:t>5 في المائة للمستوى الابتدائي و</w:t>
      </w:r>
      <w:r w:rsidR="000B7434" w:rsidRPr="00EC4329">
        <w:rPr>
          <w:rFonts w:hint="cs"/>
          <w:rtl/>
          <w:lang w:bidi="ar-EG"/>
        </w:rPr>
        <w:t>18.6 في المائة للمستوى الإ</w:t>
      </w:r>
      <w:r>
        <w:rPr>
          <w:rFonts w:hint="cs"/>
          <w:rtl/>
          <w:lang w:bidi="ar-EG"/>
        </w:rPr>
        <w:t>عدادي، و</w:t>
      </w:r>
      <w:r w:rsidR="000B7434" w:rsidRPr="00EC4329">
        <w:rPr>
          <w:rFonts w:hint="cs"/>
          <w:rtl/>
          <w:lang w:bidi="ar-EG"/>
        </w:rPr>
        <w:t xml:space="preserve">11.6 في المائة للمستوى الثانوي. ومقارنة بالحصة الإجمالية من المدرِّسات في البلد، توجد أعلى حصة في منطقة الوادي وتوجد أدنى الحصص في مناطق الجبال والمرتفعات والوديان الداخلية. وبالمثل فإن أعلى رقم لمؤشر التكافؤ الجنساني هو في الوادي وأدنى رقم في المناطق الجبلية في كل مستويات التعليم. </w:t>
      </w:r>
    </w:p>
    <w:p w:rsidR="000B7434" w:rsidRPr="00EC4329" w:rsidRDefault="00AD4A05" w:rsidP="00AD4A05">
      <w:pPr>
        <w:pStyle w:val="SingleTxtGA"/>
        <w:rPr>
          <w:rFonts w:hint="cs"/>
          <w:rtl/>
          <w:lang w:bidi="ar-EG"/>
        </w:rPr>
      </w:pPr>
      <w:r>
        <w:rPr>
          <w:rFonts w:hint="cs"/>
          <w:rtl/>
          <w:lang w:bidi="ar-EG"/>
        </w:rPr>
        <w:t>117</w:t>
      </w:r>
      <w:r w:rsidR="000B7434" w:rsidRPr="00EC4329">
        <w:rPr>
          <w:rFonts w:hint="cs"/>
          <w:rtl/>
          <w:lang w:bidi="ar-EG"/>
        </w:rPr>
        <w:t>-</w:t>
      </w:r>
      <w:r>
        <w:rPr>
          <w:rFonts w:hint="cs"/>
          <w:rtl/>
          <w:lang w:bidi="ar-EG"/>
        </w:rPr>
        <w:tab/>
      </w:r>
      <w:r w:rsidR="000B7434" w:rsidRPr="00EC4329">
        <w:rPr>
          <w:rFonts w:hint="cs"/>
          <w:rtl/>
          <w:lang w:bidi="ar-EG"/>
        </w:rPr>
        <w:t>ويتراوح كذلك توزيع المدرّسات في المستوى الإعدادي والمستوى الثانوي من مقاطعة إلى أخرى. ومقارنة بالمتوسط الوطني، تحصل 58 مقاطعة في المجموع على أدنى نسبة من المدرّسات للمستوى الإعدادي، بينما تحظى المقاطعات الباقية وعددها 23 على مدرّسات بنسبة مئوية أعلى من المتوسط الوطني (13.7 في المائة) في كل أنواع المدارس الإعدادية المجتمعية ا</w:t>
      </w:r>
      <w:r>
        <w:rPr>
          <w:rFonts w:hint="cs"/>
          <w:rtl/>
          <w:lang w:bidi="ar-EG"/>
        </w:rPr>
        <w:t>ﻟ</w:t>
      </w:r>
      <w:r w:rsidR="000B7434" w:rsidRPr="00EC4329">
        <w:rPr>
          <w:rFonts w:hint="cs"/>
          <w:rtl/>
          <w:lang w:bidi="ar-EG"/>
        </w:rPr>
        <w:t xml:space="preserve"> 31. وبعض المقاطعات وبالذات داديلدورا، وباجورا، وكاليكوت، وباجانغ، وراوتاهات، وبايتادي، ودوتي، وموغو، وروكوم، وتشام، فإن نسبة المدرّسات فيها تقل </w:t>
      </w:r>
      <w:r>
        <w:rPr>
          <w:rFonts w:hint="cs"/>
          <w:rtl/>
          <w:lang w:bidi="ar-EG"/>
        </w:rPr>
        <w:t xml:space="preserve">     </w:t>
      </w:r>
      <w:r w:rsidR="000B7434" w:rsidRPr="00EC4329">
        <w:rPr>
          <w:rFonts w:hint="cs"/>
          <w:rtl/>
          <w:lang w:bidi="ar-EG"/>
        </w:rPr>
        <w:t xml:space="preserve">عن 5 في المائة في المستوى الإعدادي بينما تحظى 20 مقاطعة بنسبة مئوية أعلى من المتوسط الوطني من المدرسات في المستوى الثانوي. (المصدر: التقرير السريع رقم 1 2007/2008، المرفقات الحادي والعشرون </w:t>
      </w:r>
      <w:r>
        <w:rPr>
          <w:rFonts w:hint="cs"/>
          <w:rtl/>
          <w:lang w:bidi="ar-EG"/>
        </w:rPr>
        <w:t xml:space="preserve">- </w:t>
      </w:r>
      <w:r w:rsidR="00D62BA8">
        <w:rPr>
          <w:rtl/>
          <w:lang w:bidi="ar-EG"/>
        </w:rPr>
        <w:t>"</w:t>
      </w:r>
      <w:r w:rsidR="000B7434" w:rsidRPr="00EC4329">
        <w:rPr>
          <w:rFonts w:hint="cs"/>
          <w:rtl/>
          <w:lang w:bidi="ar-EG"/>
        </w:rPr>
        <w:t>ألف وباء وجيم</w:t>
      </w:r>
      <w:r w:rsidR="00D62BA8">
        <w:rPr>
          <w:rtl/>
          <w:lang w:bidi="ar-EG"/>
        </w:rPr>
        <w:t>"</w:t>
      </w:r>
      <w:r w:rsidR="000B7434" w:rsidRPr="00EC4329">
        <w:rPr>
          <w:rFonts w:hint="cs"/>
          <w:rtl/>
          <w:lang w:bidi="ar-EG"/>
        </w:rPr>
        <w:t>).</w:t>
      </w:r>
    </w:p>
    <w:p w:rsidR="000B7434" w:rsidRPr="00EC4329" w:rsidRDefault="00AD4A05" w:rsidP="00AD4A05">
      <w:pPr>
        <w:pStyle w:val="SingleTxt"/>
        <w:rPr>
          <w:rFonts w:hint="cs"/>
          <w:rtl/>
          <w:lang w:bidi="ar-EG"/>
        </w:rPr>
      </w:pPr>
      <w:r>
        <w:rPr>
          <w:rFonts w:hint="cs"/>
          <w:rtl/>
          <w:lang w:bidi="ar-EG"/>
        </w:rPr>
        <w:t>118</w:t>
      </w:r>
      <w:r w:rsidR="000B7434" w:rsidRPr="00EC4329">
        <w:rPr>
          <w:rFonts w:hint="cs"/>
          <w:rtl/>
          <w:lang w:bidi="ar-EG"/>
        </w:rPr>
        <w:t>-</w:t>
      </w:r>
      <w:r>
        <w:rPr>
          <w:rFonts w:hint="cs"/>
          <w:rtl/>
          <w:lang w:bidi="ar-EG"/>
        </w:rPr>
        <w:tab/>
      </w:r>
      <w:r w:rsidR="000B7434" w:rsidRPr="00EC4329">
        <w:rPr>
          <w:rFonts w:hint="cs"/>
          <w:rtl/>
          <w:lang w:bidi="ar-EG"/>
        </w:rPr>
        <w:t>ولا تزال النسبة المئوية من المدرّسات من الداليت والجانجاتي في مهنة التعليم وكذلك في إدارة المدارس متدنية. ويظهر الشكل التالي صورة مشاركة المرأة في</w:t>
      </w:r>
      <w:r>
        <w:rPr>
          <w:rFonts w:hint="cs"/>
          <w:rtl/>
          <w:lang w:bidi="ar-EG"/>
        </w:rPr>
        <w:t xml:space="preserve"> </w:t>
      </w:r>
      <w:r w:rsidR="000B7434" w:rsidRPr="00EC4329">
        <w:rPr>
          <w:rFonts w:hint="cs"/>
          <w:rtl/>
          <w:lang w:bidi="ar-EG"/>
        </w:rPr>
        <w:t>إدارة</w:t>
      </w:r>
      <w:r>
        <w:rPr>
          <w:rFonts w:hint="cs"/>
          <w:rtl/>
          <w:lang w:bidi="ar-EG"/>
        </w:rPr>
        <w:t xml:space="preserve"> </w:t>
      </w:r>
      <w:r w:rsidR="000B7434" w:rsidRPr="00EC4329">
        <w:rPr>
          <w:rFonts w:hint="cs"/>
          <w:rtl/>
          <w:lang w:bidi="ar-EG"/>
        </w:rPr>
        <w:t>المدارس:</w:t>
      </w:r>
    </w:p>
    <w:p w:rsidR="000B7434" w:rsidRPr="00B06AC0" w:rsidRDefault="000B7434" w:rsidP="00AD4A05">
      <w:pPr>
        <w:pStyle w:val="SingleTxtGA"/>
        <w:spacing w:after="0"/>
        <w:rPr>
          <w:rFonts w:hint="cs"/>
          <w:rtl/>
          <w:lang w:bidi="ar-EG"/>
        </w:rPr>
      </w:pPr>
      <w:r w:rsidRPr="00B06AC0">
        <w:rPr>
          <w:rFonts w:hint="cs"/>
          <w:rtl/>
          <w:lang w:bidi="ar-EG"/>
        </w:rPr>
        <w:t>الجدول 12</w:t>
      </w:r>
    </w:p>
    <w:p w:rsidR="000B7434" w:rsidRPr="00AD4A05" w:rsidRDefault="000B7434" w:rsidP="00AD4A05">
      <w:pPr>
        <w:pStyle w:val="SingleTxtGA"/>
        <w:rPr>
          <w:rFonts w:hint="cs"/>
          <w:b/>
          <w:bCs/>
          <w:rtl/>
          <w:lang w:bidi="ar-EG"/>
        </w:rPr>
      </w:pPr>
      <w:r w:rsidRPr="00AD4A05">
        <w:rPr>
          <w:rFonts w:hint="cs"/>
          <w:b/>
          <w:bCs/>
          <w:rtl/>
          <w:lang w:bidi="ar-EG"/>
        </w:rPr>
        <w:t>مشاركة المرأة في إدارة المدارس</w:t>
      </w:r>
    </w:p>
    <w:tbl>
      <w:tblPr>
        <w:bidiVisual/>
        <w:tblW w:w="0" w:type="auto"/>
        <w:tblInd w:w="1267" w:type="dxa"/>
        <w:tblLayout w:type="fixed"/>
        <w:tblCellMar>
          <w:left w:w="0" w:type="dxa"/>
          <w:right w:w="0" w:type="dxa"/>
        </w:tblCellMar>
        <w:tblLook w:val="0000" w:firstRow="0" w:lastRow="0" w:firstColumn="0" w:lastColumn="0" w:noHBand="0" w:noVBand="0"/>
      </w:tblPr>
      <w:tblGrid>
        <w:gridCol w:w="1876"/>
        <w:gridCol w:w="1105"/>
        <w:gridCol w:w="1022"/>
        <w:gridCol w:w="1134"/>
        <w:gridCol w:w="1442"/>
        <w:gridCol w:w="1008"/>
        <w:gridCol w:w="784"/>
      </w:tblGrid>
      <w:tr w:rsidR="000B7434" w:rsidRPr="00B06AC0" w:rsidTr="00AD4A05">
        <w:tblPrEx>
          <w:tblCellMar>
            <w:top w:w="0" w:type="dxa"/>
            <w:bottom w:w="0" w:type="dxa"/>
          </w:tblCellMar>
        </w:tblPrEx>
        <w:trPr>
          <w:cantSplit/>
          <w:tblHeader/>
        </w:trPr>
        <w:tc>
          <w:tcPr>
            <w:tcW w:w="1876" w:type="dxa"/>
            <w:tcBorders>
              <w:top w:val="single" w:sz="4" w:space="0" w:color="auto"/>
              <w:bottom w:val="single" w:sz="12" w:space="0" w:color="auto"/>
            </w:tcBorders>
            <w:shd w:val="clear" w:color="auto" w:fill="auto"/>
            <w:vAlign w:val="bottom"/>
          </w:tcPr>
          <w:p w:rsidR="000B7434" w:rsidRPr="00AD4A05" w:rsidRDefault="000B7434" w:rsidP="00AD4A05">
            <w:pPr>
              <w:tabs>
                <w:tab w:val="left" w:pos="662"/>
                <w:tab w:val="left" w:pos="1267"/>
                <w:tab w:val="left" w:pos="1987"/>
                <w:tab w:val="left" w:pos="2650"/>
              </w:tabs>
              <w:spacing w:before="60" w:after="60" w:line="280" w:lineRule="exact"/>
              <w:ind w:left="57"/>
              <w:rPr>
                <w:rFonts w:hint="cs"/>
                <w:i/>
                <w:iCs/>
                <w:sz w:val="18"/>
                <w:szCs w:val="26"/>
                <w:rtl/>
                <w:lang w:bidi="ar-EG"/>
              </w:rPr>
            </w:pPr>
            <w:r w:rsidRPr="00AD4A05">
              <w:rPr>
                <w:rFonts w:hint="cs"/>
                <w:i/>
                <w:iCs/>
                <w:sz w:val="18"/>
                <w:szCs w:val="26"/>
                <w:rtl/>
                <w:lang w:bidi="ar-EG"/>
              </w:rPr>
              <w:t>البيان</w:t>
            </w:r>
          </w:p>
        </w:tc>
        <w:tc>
          <w:tcPr>
            <w:tcW w:w="1105" w:type="dxa"/>
            <w:tcBorders>
              <w:top w:val="single" w:sz="4" w:space="0" w:color="auto"/>
              <w:bottom w:val="single" w:sz="12" w:space="0" w:color="auto"/>
            </w:tcBorders>
            <w:shd w:val="clear" w:color="auto" w:fill="auto"/>
            <w:vAlign w:val="bottom"/>
          </w:tcPr>
          <w:p w:rsidR="000B7434" w:rsidRPr="00AD4A05" w:rsidRDefault="000B7434" w:rsidP="00AD4A05">
            <w:pPr>
              <w:tabs>
                <w:tab w:val="left" w:pos="662"/>
                <w:tab w:val="left" w:pos="1267"/>
                <w:tab w:val="left" w:pos="1987"/>
                <w:tab w:val="left" w:pos="2650"/>
              </w:tabs>
              <w:spacing w:before="60" w:after="60" w:line="280" w:lineRule="exact"/>
              <w:ind w:left="57"/>
              <w:rPr>
                <w:rFonts w:hint="cs"/>
                <w:i/>
                <w:iCs/>
                <w:sz w:val="18"/>
                <w:szCs w:val="26"/>
                <w:rtl/>
                <w:lang w:bidi="ar-EG"/>
              </w:rPr>
            </w:pPr>
            <w:r w:rsidRPr="00AD4A05">
              <w:rPr>
                <w:rFonts w:hint="cs"/>
                <w:i/>
                <w:iCs/>
                <w:sz w:val="18"/>
                <w:szCs w:val="26"/>
                <w:rtl/>
                <w:lang w:bidi="ar-EG"/>
              </w:rPr>
              <w:t>عدد المدارس</w:t>
            </w:r>
          </w:p>
        </w:tc>
        <w:tc>
          <w:tcPr>
            <w:tcW w:w="1022" w:type="dxa"/>
            <w:tcBorders>
              <w:top w:val="single" w:sz="4" w:space="0" w:color="auto"/>
              <w:bottom w:val="single" w:sz="12" w:space="0" w:color="auto"/>
            </w:tcBorders>
            <w:shd w:val="clear" w:color="auto" w:fill="auto"/>
            <w:vAlign w:val="bottom"/>
          </w:tcPr>
          <w:p w:rsidR="000B7434" w:rsidRPr="00AD4A05" w:rsidRDefault="00AD4A05" w:rsidP="00AD4A05">
            <w:pPr>
              <w:tabs>
                <w:tab w:val="left" w:pos="662"/>
                <w:tab w:val="left" w:pos="1267"/>
                <w:tab w:val="left" w:pos="1987"/>
                <w:tab w:val="left" w:pos="2650"/>
              </w:tabs>
              <w:spacing w:before="60" w:after="60" w:line="280" w:lineRule="exact"/>
              <w:ind w:left="57"/>
              <w:jc w:val="left"/>
              <w:rPr>
                <w:rFonts w:hint="cs"/>
                <w:i/>
                <w:iCs/>
                <w:sz w:val="18"/>
                <w:szCs w:val="26"/>
                <w:rtl/>
                <w:lang w:bidi="ar-EG"/>
              </w:rPr>
            </w:pPr>
            <w:r w:rsidRPr="00AD4A05">
              <w:rPr>
                <w:rFonts w:hint="cs"/>
                <w:i/>
                <w:iCs/>
                <w:sz w:val="18"/>
                <w:szCs w:val="26"/>
                <w:rtl/>
                <w:lang w:bidi="ar-EG"/>
              </w:rPr>
              <w:t xml:space="preserve">الإناث </w:t>
            </w:r>
            <w:r w:rsidRPr="00AD4A05">
              <w:rPr>
                <w:i/>
                <w:iCs/>
                <w:sz w:val="18"/>
                <w:szCs w:val="26"/>
                <w:rtl/>
                <w:lang w:bidi="ar-EG"/>
              </w:rPr>
              <w:br/>
            </w:r>
            <w:r w:rsidR="000B7434" w:rsidRPr="00AD4A05">
              <w:rPr>
                <w:rFonts w:hint="cs"/>
                <w:i/>
                <w:iCs/>
                <w:sz w:val="18"/>
                <w:szCs w:val="26"/>
                <w:rtl/>
                <w:lang w:bidi="ar-EG"/>
              </w:rPr>
              <w:t>الأعضاء</w:t>
            </w:r>
          </w:p>
        </w:tc>
        <w:tc>
          <w:tcPr>
            <w:tcW w:w="1134" w:type="dxa"/>
            <w:tcBorders>
              <w:top w:val="single" w:sz="4" w:space="0" w:color="auto"/>
              <w:bottom w:val="single" w:sz="12" w:space="0" w:color="auto"/>
            </w:tcBorders>
            <w:shd w:val="clear" w:color="auto" w:fill="auto"/>
            <w:vAlign w:val="bottom"/>
          </w:tcPr>
          <w:p w:rsidR="000B7434" w:rsidRPr="00AD4A05" w:rsidRDefault="00AD4A05" w:rsidP="00AD4A05">
            <w:pPr>
              <w:tabs>
                <w:tab w:val="left" w:pos="662"/>
                <w:tab w:val="left" w:pos="1267"/>
                <w:tab w:val="left" w:pos="1987"/>
                <w:tab w:val="left" w:pos="2650"/>
              </w:tabs>
              <w:spacing w:before="60" w:after="60" w:line="280" w:lineRule="exact"/>
              <w:ind w:left="57"/>
              <w:jc w:val="left"/>
              <w:rPr>
                <w:rFonts w:hint="cs"/>
                <w:i/>
                <w:iCs/>
                <w:spacing w:val="-2"/>
                <w:sz w:val="18"/>
                <w:szCs w:val="26"/>
                <w:rtl/>
                <w:lang w:bidi="ar-EG"/>
              </w:rPr>
            </w:pPr>
            <w:r w:rsidRPr="00AD4A05">
              <w:rPr>
                <w:rFonts w:hint="cs"/>
                <w:i/>
                <w:iCs/>
                <w:spacing w:val="-2"/>
                <w:sz w:val="18"/>
                <w:szCs w:val="26"/>
                <w:rtl/>
                <w:lang w:bidi="ar-EG"/>
              </w:rPr>
              <w:t xml:space="preserve">الداليت </w:t>
            </w:r>
            <w:r w:rsidRPr="00AD4A05">
              <w:rPr>
                <w:i/>
                <w:iCs/>
                <w:spacing w:val="-2"/>
                <w:sz w:val="18"/>
                <w:szCs w:val="26"/>
                <w:rtl/>
                <w:lang w:bidi="ar-EG"/>
              </w:rPr>
              <w:br/>
            </w:r>
            <w:r w:rsidR="000B7434" w:rsidRPr="00AD4A05">
              <w:rPr>
                <w:rFonts w:hint="cs"/>
                <w:i/>
                <w:iCs/>
                <w:spacing w:val="-2"/>
                <w:sz w:val="18"/>
                <w:szCs w:val="26"/>
                <w:rtl/>
                <w:lang w:bidi="ar-EG"/>
              </w:rPr>
              <w:t>الأعضاء</w:t>
            </w:r>
          </w:p>
        </w:tc>
        <w:tc>
          <w:tcPr>
            <w:tcW w:w="1442" w:type="dxa"/>
            <w:tcBorders>
              <w:top w:val="single" w:sz="4" w:space="0" w:color="auto"/>
              <w:bottom w:val="single" w:sz="12" w:space="0" w:color="auto"/>
            </w:tcBorders>
            <w:shd w:val="clear" w:color="auto" w:fill="auto"/>
            <w:vAlign w:val="bottom"/>
          </w:tcPr>
          <w:p w:rsidR="000B7434" w:rsidRPr="00AD4A05" w:rsidRDefault="000B7434" w:rsidP="00AD4A05">
            <w:pPr>
              <w:tabs>
                <w:tab w:val="left" w:pos="662"/>
                <w:tab w:val="left" w:pos="1267"/>
                <w:tab w:val="left" w:pos="1987"/>
                <w:tab w:val="left" w:pos="2650"/>
              </w:tabs>
              <w:spacing w:before="60" w:after="60" w:line="280" w:lineRule="exact"/>
              <w:ind w:left="57"/>
              <w:jc w:val="left"/>
              <w:rPr>
                <w:rFonts w:hint="cs"/>
                <w:i/>
                <w:iCs/>
                <w:sz w:val="18"/>
                <w:szCs w:val="26"/>
                <w:rtl/>
                <w:lang w:bidi="ar-EG"/>
              </w:rPr>
            </w:pPr>
            <w:r w:rsidRPr="00AD4A05">
              <w:rPr>
                <w:rFonts w:hint="cs"/>
                <w:i/>
                <w:iCs/>
                <w:sz w:val="18"/>
                <w:szCs w:val="26"/>
                <w:rtl/>
                <w:lang w:bidi="ar-EG"/>
              </w:rPr>
              <w:t xml:space="preserve">أعضاء المجتمعات </w:t>
            </w:r>
            <w:r w:rsidR="00AD4A05" w:rsidRPr="00AD4A05">
              <w:rPr>
                <w:i/>
                <w:iCs/>
                <w:sz w:val="18"/>
                <w:szCs w:val="26"/>
                <w:rtl/>
                <w:lang w:bidi="ar-EG"/>
              </w:rPr>
              <w:br/>
            </w:r>
            <w:r w:rsidRPr="00AD4A05">
              <w:rPr>
                <w:rFonts w:hint="cs"/>
                <w:i/>
                <w:iCs/>
                <w:sz w:val="18"/>
                <w:szCs w:val="26"/>
                <w:rtl/>
                <w:lang w:bidi="ar-EG"/>
              </w:rPr>
              <w:t>العرقية</w:t>
            </w:r>
          </w:p>
        </w:tc>
        <w:tc>
          <w:tcPr>
            <w:tcW w:w="1008" w:type="dxa"/>
            <w:tcBorders>
              <w:top w:val="single" w:sz="4" w:space="0" w:color="auto"/>
              <w:bottom w:val="single" w:sz="12" w:space="0" w:color="auto"/>
            </w:tcBorders>
            <w:shd w:val="clear" w:color="auto" w:fill="auto"/>
            <w:vAlign w:val="bottom"/>
          </w:tcPr>
          <w:p w:rsidR="000B7434" w:rsidRPr="00AD4A05" w:rsidRDefault="000B7434" w:rsidP="00AD4A05">
            <w:pPr>
              <w:tabs>
                <w:tab w:val="left" w:pos="662"/>
                <w:tab w:val="left" w:pos="1267"/>
                <w:tab w:val="left" w:pos="1987"/>
                <w:tab w:val="left" w:pos="2650"/>
              </w:tabs>
              <w:spacing w:before="60" w:after="60" w:line="280" w:lineRule="exact"/>
              <w:ind w:left="57"/>
              <w:jc w:val="left"/>
              <w:rPr>
                <w:rFonts w:hint="cs"/>
                <w:i/>
                <w:iCs/>
                <w:sz w:val="18"/>
                <w:szCs w:val="26"/>
                <w:rtl/>
                <w:lang w:bidi="ar-EG"/>
              </w:rPr>
            </w:pPr>
            <w:r w:rsidRPr="00AD4A05">
              <w:rPr>
                <w:rFonts w:hint="cs"/>
                <w:i/>
                <w:iCs/>
                <w:sz w:val="18"/>
                <w:szCs w:val="26"/>
                <w:rtl/>
                <w:lang w:bidi="ar-EG"/>
              </w:rPr>
              <w:t xml:space="preserve">أعضاء </w:t>
            </w:r>
            <w:r w:rsidR="00AD4A05" w:rsidRPr="00AD4A05">
              <w:rPr>
                <w:i/>
                <w:iCs/>
                <w:sz w:val="18"/>
                <w:szCs w:val="26"/>
                <w:rtl/>
                <w:lang w:bidi="ar-EG"/>
              </w:rPr>
              <w:br/>
            </w:r>
            <w:r w:rsidRPr="00AD4A05">
              <w:rPr>
                <w:rFonts w:hint="cs"/>
                <w:i/>
                <w:iCs/>
                <w:sz w:val="18"/>
                <w:szCs w:val="26"/>
                <w:rtl/>
                <w:lang w:bidi="ar-EG"/>
              </w:rPr>
              <w:t>مختارون</w:t>
            </w:r>
          </w:p>
        </w:tc>
        <w:tc>
          <w:tcPr>
            <w:tcW w:w="784" w:type="dxa"/>
            <w:tcBorders>
              <w:top w:val="single" w:sz="4" w:space="0" w:color="auto"/>
              <w:bottom w:val="single" w:sz="12" w:space="0" w:color="auto"/>
            </w:tcBorders>
            <w:shd w:val="clear" w:color="auto" w:fill="auto"/>
            <w:vAlign w:val="bottom"/>
          </w:tcPr>
          <w:p w:rsidR="000B7434" w:rsidRPr="00AD4A05" w:rsidRDefault="000B7434" w:rsidP="00AD4A05">
            <w:pPr>
              <w:tabs>
                <w:tab w:val="left" w:pos="662"/>
                <w:tab w:val="left" w:pos="1267"/>
                <w:tab w:val="left" w:pos="1987"/>
                <w:tab w:val="left" w:pos="2650"/>
              </w:tabs>
              <w:spacing w:before="60" w:after="60" w:line="280" w:lineRule="exact"/>
              <w:ind w:left="57"/>
              <w:jc w:val="left"/>
              <w:rPr>
                <w:rFonts w:hint="cs"/>
                <w:i/>
                <w:iCs/>
                <w:sz w:val="18"/>
                <w:szCs w:val="26"/>
                <w:rtl/>
                <w:lang w:bidi="ar-EG"/>
              </w:rPr>
            </w:pPr>
            <w:r w:rsidRPr="00AD4A05">
              <w:rPr>
                <w:rFonts w:hint="cs"/>
                <w:i/>
                <w:iCs/>
                <w:sz w:val="18"/>
                <w:szCs w:val="26"/>
                <w:rtl/>
                <w:lang w:bidi="ar-EG"/>
              </w:rPr>
              <w:t xml:space="preserve">أعضاء </w:t>
            </w:r>
            <w:r w:rsidR="00AD4A05" w:rsidRPr="00AD4A05">
              <w:rPr>
                <w:i/>
                <w:iCs/>
                <w:sz w:val="18"/>
                <w:szCs w:val="26"/>
                <w:rtl/>
                <w:lang w:bidi="ar-EG"/>
              </w:rPr>
              <w:br/>
            </w:r>
            <w:r w:rsidRPr="00AD4A05">
              <w:rPr>
                <w:rFonts w:hint="cs"/>
                <w:i/>
                <w:iCs/>
                <w:sz w:val="18"/>
                <w:szCs w:val="26"/>
                <w:rtl/>
                <w:lang w:bidi="ar-EG"/>
              </w:rPr>
              <w:t>منتخبون</w:t>
            </w:r>
          </w:p>
        </w:tc>
      </w:tr>
      <w:tr w:rsidR="000B7434" w:rsidRPr="00B06AC0" w:rsidTr="00AD4A05">
        <w:tblPrEx>
          <w:tblCellMar>
            <w:top w:w="0" w:type="dxa"/>
            <w:bottom w:w="0" w:type="dxa"/>
          </w:tblCellMar>
        </w:tblPrEx>
        <w:trPr>
          <w:cantSplit/>
        </w:trPr>
        <w:tc>
          <w:tcPr>
            <w:tcW w:w="1876" w:type="dxa"/>
            <w:tcBorders>
              <w:top w:val="single" w:sz="12" w:space="0" w:color="auto"/>
              <w:bottom w:val="single" w:sz="12" w:space="0" w:color="auto"/>
            </w:tcBorders>
            <w:shd w:val="clear" w:color="auto" w:fill="auto"/>
            <w:vAlign w:val="bottom"/>
          </w:tcPr>
          <w:p w:rsidR="000B7434" w:rsidRPr="00AD4A05" w:rsidRDefault="000B7434" w:rsidP="00AD4A05">
            <w:pPr>
              <w:tabs>
                <w:tab w:val="left" w:pos="662"/>
                <w:tab w:val="left" w:pos="1267"/>
                <w:tab w:val="left" w:pos="1987"/>
                <w:tab w:val="left" w:pos="2650"/>
              </w:tabs>
              <w:spacing w:before="60" w:after="60" w:line="280" w:lineRule="exact"/>
              <w:ind w:left="57"/>
              <w:rPr>
                <w:rFonts w:hint="cs"/>
                <w:sz w:val="18"/>
                <w:szCs w:val="26"/>
                <w:rtl/>
                <w:lang w:bidi="ar-EG"/>
              </w:rPr>
            </w:pPr>
            <w:r w:rsidRPr="00AD4A05">
              <w:rPr>
                <w:rFonts w:hint="cs"/>
                <w:sz w:val="18"/>
                <w:szCs w:val="26"/>
                <w:rtl/>
                <w:lang w:bidi="ar-EG"/>
              </w:rPr>
              <w:t>لجنة إدارة المدارس</w:t>
            </w:r>
          </w:p>
        </w:tc>
        <w:tc>
          <w:tcPr>
            <w:tcW w:w="1105" w:type="dxa"/>
            <w:tcBorders>
              <w:top w:val="single" w:sz="12" w:space="0" w:color="auto"/>
              <w:bottom w:val="single" w:sz="12" w:space="0" w:color="auto"/>
            </w:tcBorders>
            <w:shd w:val="clear" w:color="auto" w:fill="auto"/>
            <w:vAlign w:val="bottom"/>
          </w:tcPr>
          <w:p w:rsidR="000B7434" w:rsidRPr="00AD4A05" w:rsidRDefault="000B7434" w:rsidP="00AD4A05">
            <w:pPr>
              <w:tabs>
                <w:tab w:val="left" w:pos="662"/>
                <w:tab w:val="left" w:pos="1267"/>
                <w:tab w:val="left" w:pos="1987"/>
                <w:tab w:val="left" w:pos="2650"/>
              </w:tabs>
              <w:spacing w:before="60" w:after="60" w:line="280" w:lineRule="exact"/>
              <w:ind w:left="57"/>
              <w:rPr>
                <w:rFonts w:hint="cs"/>
                <w:sz w:val="18"/>
                <w:szCs w:val="26"/>
                <w:rtl/>
                <w:lang w:bidi="ar-EG"/>
              </w:rPr>
            </w:pPr>
            <w:r w:rsidRPr="00AD4A05">
              <w:rPr>
                <w:rFonts w:hint="cs"/>
                <w:sz w:val="18"/>
                <w:szCs w:val="26"/>
                <w:rtl/>
                <w:lang w:bidi="ar-EG"/>
              </w:rPr>
              <w:t>948 25</w:t>
            </w:r>
          </w:p>
        </w:tc>
        <w:tc>
          <w:tcPr>
            <w:tcW w:w="1022" w:type="dxa"/>
            <w:tcBorders>
              <w:top w:val="single" w:sz="12" w:space="0" w:color="auto"/>
              <w:bottom w:val="single" w:sz="12" w:space="0" w:color="auto"/>
            </w:tcBorders>
            <w:shd w:val="clear" w:color="auto" w:fill="auto"/>
            <w:vAlign w:val="bottom"/>
          </w:tcPr>
          <w:p w:rsidR="000B7434" w:rsidRPr="00AD4A05" w:rsidRDefault="000B7434" w:rsidP="00AD4A05">
            <w:pPr>
              <w:tabs>
                <w:tab w:val="left" w:pos="662"/>
                <w:tab w:val="left" w:pos="1267"/>
                <w:tab w:val="left" w:pos="1987"/>
                <w:tab w:val="left" w:pos="2650"/>
              </w:tabs>
              <w:spacing w:before="60" w:after="60" w:line="280" w:lineRule="exact"/>
              <w:ind w:left="57"/>
              <w:rPr>
                <w:rFonts w:hint="cs"/>
                <w:sz w:val="18"/>
                <w:szCs w:val="26"/>
                <w:rtl/>
                <w:lang w:bidi="ar-EG"/>
              </w:rPr>
            </w:pPr>
            <w:r w:rsidRPr="00AD4A05">
              <w:rPr>
                <w:rFonts w:hint="cs"/>
                <w:sz w:val="18"/>
                <w:szCs w:val="26"/>
                <w:rtl/>
                <w:lang w:bidi="ar-EG"/>
              </w:rPr>
              <w:t>17.2</w:t>
            </w:r>
          </w:p>
        </w:tc>
        <w:tc>
          <w:tcPr>
            <w:tcW w:w="1134" w:type="dxa"/>
            <w:tcBorders>
              <w:top w:val="single" w:sz="12" w:space="0" w:color="auto"/>
              <w:bottom w:val="single" w:sz="12" w:space="0" w:color="auto"/>
            </w:tcBorders>
            <w:shd w:val="clear" w:color="auto" w:fill="auto"/>
            <w:vAlign w:val="bottom"/>
          </w:tcPr>
          <w:p w:rsidR="000B7434" w:rsidRPr="00AD4A05" w:rsidRDefault="000B7434" w:rsidP="00AD4A05">
            <w:pPr>
              <w:tabs>
                <w:tab w:val="left" w:pos="662"/>
                <w:tab w:val="left" w:pos="1267"/>
                <w:tab w:val="left" w:pos="1987"/>
                <w:tab w:val="left" w:pos="2650"/>
              </w:tabs>
              <w:spacing w:before="60" w:after="60" w:line="280" w:lineRule="exact"/>
              <w:ind w:left="57"/>
              <w:rPr>
                <w:rFonts w:hint="cs"/>
                <w:sz w:val="18"/>
                <w:szCs w:val="26"/>
                <w:rtl/>
                <w:lang w:bidi="ar-EG"/>
              </w:rPr>
            </w:pPr>
            <w:r w:rsidRPr="00AD4A05">
              <w:rPr>
                <w:rFonts w:hint="cs"/>
                <w:sz w:val="18"/>
                <w:szCs w:val="26"/>
                <w:rtl/>
                <w:lang w:bidi="ar-EG"/>
              </w:rPr>
              <w:t>8.2</w:t>
            </w:r>
          </w:p>
        </w:tc>
        <w:tc>
          <w:tcPr>
            <w:tcW w:w="1442" w:type="dxa"/>
            <w:tcBorders>
              <w:top w:val="single" w:sz="12" w:space="0" w:color="auto"/>
              <w:bottom w:val="single" w:sz="12" w:space="0" w:color="auto"/>
            </w:tcBorders>
            <w:shd w:val="clear" w:color="auto" w:fill="auto"/>
            <w:vAlign w:val="bottom"/>
          </w:tcPr>
          <w:p w:rsidR="000B7434" w:rsidRPr="00AD4A05" w:rsidRDefault="000B7434" w:rsidP="00AD4A05">
            <w:pPr>
              <w:tabs>
                <w:tab w:val="left" w:pos="662"/>
                <w:tab w:val="left" w:pos="1267"/>
                <w:tab w:val="left" w:pos="1987"/>
                <w:tab w:val="left" w:pos="2650"/>
              </w:tabs>
              <w:spacing w:before="60" w:after="60" w:line="280" w:lineRule="exact"/>
              <w:ind w:left="57"/>
              <w:rPr>
                <w:rFonts w:hint="cs"/>
                <w:sz w:val="18"/>
                <w:szCs w:val="26"/>
                <w:rtl/>
                <w:lang w:bidi="ar-EG"/>
              </w:rPr>
            </w:pPr>
            <w:r w:rsidRPr="00AD4A05">
              <w:rPr>
                <w:rFonts w:hint="cs"/>
                <w:sz w:val="18"/>
                <w:szCs w:val="26"/>
                <w:rtl/>
                <w:lang w:bidi="ar-EG"/>
              </w:rPr>
              <w:t>33.8</w:t>
            </w:r>
          </w:p>
        </w:tc>
        <w:tc>
          <w:tcPr>
            <w:tcW w:w="1008" w:type="dxa"/>
            <w:tcBorders>
              <w:top w:val="single" w:sz="12" w:space="0" w:color="auto"/>
              <w:bottom w:val="single" w:sz="12" w:space="0" w:color="auto"/>
            </w:tcBorders>
            <w:shd w:val="clear" w:color="auto" w:fill="auto"/>
            <w:vAlign w:val="bottom"/>
          </w:tcPr>
          <w:p w:rsidR="000B7434" w:rsidRPr="00AD4A05" w:rsidRDefault="000B7434" w:rsidP="00AD4A05">
            <w:pPr>
              <w:tabs>
                <w:tab w:val="left" w:pos="662"/>
                <w:tab w:val="left" w:pos="1267"/>
                <w:tab w:val="left" w:pos="1987"/>
                <w:tab w:val="left" w:pos="2650"/>
              </w:tabs>
              <w:spacing w:before="60" w:after="60" w:line="280" w:lineRule="exact"/>
              <w:ind w:left="57"/>
              <w:rPr>
                <w:rFonts w:hint="cs"/>
                <w:sz w:val="18"/>
                <w:szCs w:val="26"/>
                <w:rtl/>
                <w:lang w:bidi="ar-EG"/>
              </w:rPr>
            </w:pPr>
            <w:r w:rsidRPr="00AD4A05">
              <w:rPr>
                <w:rFonts w:hint="cs"/>
                <w:sz w:val="18"/>
                <w:szCs w:val="26"/>
                <w:rtl/>
                <w:lang w:bidi="ar-EG"/>
              </w:rPr>
              <w:t>94.5</w:t>
            </w:r>
          </w:p>
        </w:tc>
        <w:tc>
          <w:tcPr>
            <w:tcW w:w="784" w:type="dxa"/>
            <w:tcBorders>
              <w:top w:val="single" w:sz="12" w:space="0" w:color="auto"/>
              <w:bottom w:val="single" w:sz="12" w:space="0" w:color="auto"/>
            </w:tcBorders>
            <w:shd w:val="clear" w:color="auto" w:fill="auto"/>
            <w:vAlign w:val="bottom"/>
          </w:tcPr>
          <w:p w:rsidR="000B7434" w:rsidRPr="00AD4A05" w:rsidRDefault="000B7434" w:rsidP="00AD4A05">
            <w:pPr>
              <w:tabs>
                <w:tab w:val="left" w:pos="662"/>
                <w:tab w:val="left" w:pos="1267"/>
                <w:tab w:val="left" w:pos="1987"/>
                <w:tab w:val="left" w:pos="2650"/>
              </w:tabs>
              <w:spacing w:before="60" w:after="60" w:line="280" w:lineRule="exact"/>
              <w:ind w:left="57"/>
              <w:rPr>
                <w:rFonts w:hint="cs"/>
                <w:sz w:val="18"/>
                <w:szCs w:val="26"/>
                <w:rtl/>
                <w:lang w:bidi="ar-EG"/>
              </w:rPr>
            </w:pPr>
            <w:r w:rsidRPr="00AD4A05">
              <w:rPr>
                <w:rFonts w:hint="cs"/>
                <w:sz w:val="18"/>
                <w:szCs w:val="26"/>
                <w:rtl/>
                <w:lang w:bidi="ar-EG"/>
              </w:rPr>
              <w:t>5.5</w:t>
            </w:r>
          </w:p>
        </w:tc>
      </w:tr>
    </w:tbl>
    <w:p w:rsidR="000B7434" w:rsidRPr="00AD4A05" w:rsidRDefault="00AD4A05" w:rsidP="00AD4A05">
      <w:pPr>
        <w:pStyle w:val="FootnoteText"/>
        <w:tabs>
          <w:tab w:val="right" w:pos="1915"/>
          <w:tab w:val="left" w:pos="2016"/>
          <w:tab w:val="left" w:pos="2491"/>
          <w:tab w:val="left" w:pos="2966"/>
          <w:tab w:val="left" w:pos="3442"/>
          <w:tab w:val="left" w:pos="3917"/>
        </w:tabs>
        <w:spacing w:before="120" w:after="240" w:line="300" w:lineRule="exact"/>
        <w:ind w:left="2029" w:right="1264" w:hanging="765"/>
        <w:rPr>
          <w:rFonts w:hint="cs"/>
          <w:sz w:val="26"/>
          <w:szCs w:val="26"/>
          <w:rtl/>
          <w:lang w:bidi="ar-EG"/>
        </w:rPr>
      </w:pPr>
      <w:r>
        <w:rPr>
          <w:rFonts w:hint="cs"/>
          <w:i/>
          <w:iCs/>
          <w:sz w:val="26"/>
          <w:szCs w:val="26"/>
          <w:rtl/>
          <w:lang w:bidi="ar-EG"/>
        </w:rPr>
        <w:t xml:space="preserve"> </w:t>
      </w:r>
      <w:r w:rsidR="000B7434" w:rsidRPr="00AD4A05">
        <w:rPr>
          <w:rFonts w:hint="cs"/>
          <w:i/>
          <w:iCs/>
          <w:sz w:val="26"/>
          <w:szCs w:val="26"/>
          <w:rtl/>
          <w:lang w:bidi="ar-EG"/>
        </w:rPr>
        <w:t>المصدر</w:t>
      </w:r>
      <w:r w:rsidR="000B7434" w:rsidRPr="00AD4A05">
        <w:rPr>
          <w:rFonts w:hint="cs"/>
          <w:sz w:val="26"/>
          <w:szCs w:val="26"/>
          <w:rtl/>
          <w:lang w:bidi="ar-EG"/>
        </w:rPr>
        <w:t>:</w:t>
      </w:r>
      <w:r>
        <w:rPr>
          <w:rFonts w:hint="cs"/>
          <w:sz w:val="26"/>
          <w:szCs w:val="26"/>
          <w:rtl/>
          <w:lang w:bidi="ar-EG"/>
        </w:rPr>
        <w:t xml:space="preserve"> </w:t>
      </w:r>
      <w:r w:rsidR="000B7434" w:rsidRPr="00AD4A05">
        <w:rPr>
          <w:rFonts w:hint="cs"/>
          <w:sz w:val="26"/>
          <w:szCs w:val="26"/>
          <w:rtl/>
          <w:lang w:bidi="ar-EG"/>
        </w:rPr>
        <w:t xml:space="preserve"> وزارة التربية والرياضة، 2007</w:t>
      </w:r>
      <w:r>
        <w:rPr>
          <w:rFonts w:hint="cs"/>
          <w:sz w:val="26"/>
          <w:szCs w:val="26"/>
          <w:rtl/>
          <w:lang w:bidi="ar-EG"/>
        </w:rPr>
        <w:t>.</w:t>
      </w:r>
    </w:p>
    <w:p w:rsidR="000B7434" w:rsidRPr="00EC4329" w:rsidRDefault="00AD4A05" w:rsidP="004F1C97">
      <w:pPr>
        <w:pStyle w:val="H23GA"/>
        <w:rPr>
          <w:rFonts w:hint="cs"/>
          <w:rtl/>
          <w:lang w:bidi="ar-EG"/>
        </w:rPr>
      </w:pPr>
      <w:r>
        <w:rPr>
          <w:rFonts w:hint="cs"/>
          <w:rtl/>
          <w:lang w:bidi="ar-EG"/>
        </w:rPr>
        <w:tab/>
      </w:r>
      <w:r>
        <w:rPr>
          <w:rFonts w:hint="cs"/>
          <w:rtl/>
          <w:lang w:bidi="ar-EG"/>
        </w:rPr>
        <w:tab/>
      </w:r>
      <w:r w:rsidR="000B7434" w:rsidRPr="00EC4329">
        <w:rPr>
          <w:rFonts w:hint="cs"/>
          <w:rtl/>
          <w:lang w:bidi="ar-EG"/>
        </w:rPr>
        <w:t>معلومات عن الهياكل الأساسية المادية المتاحة</w:t>
      </w:r>
    </w:p>
    <w:p w:rsidR="000B7434" w:rsidRPr="00AD4A05" w:rsidRDefault="00AD4A05" w:rsidP="00AD4A05">
      <w:pPr>
        <w:pStyle w:val="SingleTxtGA"/>
        <w:rPr>
          <w:rFonts w:hint="cs"/>
          <w:spacing w:val="-2"/>
          <w:rtl/>
          <w:lang w:bidi="ar-EG"/>
        </w:rPr>
      </w:pPr>
      <w:r w:rsidRPr="00AD4A05">
        <w:rPr>
          <w:rFonts w:hint="cs"/>
          <w:spacing w:val="-2"/>
          <w:rtl/>
          <w:lang w:bidi="ar-EG"/>
        </w:rPr>
        <w:t>119</w:t>
      </w:r>
      <w:r w:rsidR="000B7434" w:rsidRPr="00AD4A05">
        <w:rPr>
          <w:rFonts w:hint="cs"/>
          <w:spacing w:val="-2"/>
          <w:rtl/>
          <w:lang w:bidi="ar-EG"/>
        </w:rPr>
        <w:t>-</w:t>
      </w:r>
      <w:r w:rsidRPr="00AD4A05">
        <w:rPr>
          <w:rFonts w:hint="cs"/>
          <w:spacing w:val="-2"/>
          <w:rtl/>
          <w:lang w:bidi="ar-EG"/>
        </w:rPr>
        <w:tab/>
      </w:r>
      <w:r w:rsidR="000B7434" w:rsidRPr="00AD4A05">
        <w:rPr>
          <w:rFonts w:hint="cs"/>
          <w:spacing w:val="-2"/>
          <w:rtl/>
          <w:lang w:bidi="ar-EG"/>
        </w:rPr>
        <w:t>بصورة عامة، توجد مرافق للمراحيض في 78 في المائة من مجموع المدارس، نسبة 33 في ا</w:t>
      </w:r>
      <w:r w:rsidR="008B03DA">
        <w:rPr>
          <w:rFonts w:hint="cs"/>
          <w:spacing w:val="-2"/>
          <w:rtl/>
          <w:lang w:bidi="ar-EG"/>
        </w:rPr>
        <w:t>لمائة منها فيها مراحيض مشتركة و</w:t>
      </w:r>
      <w:r w:rsidR="000B7434" w:rsidRPr="00AD4A05">
        <w:rPr>
          <w:rFonts w:hint="cs"/>
          <w:spacing w:val="-2"/>
          <w:rtl/>
          <w:lang w:bidi="ar-EG"/>
        </w:rPr>
        <w:t>36 في المائة فيها مراحيض مستقلة للتلميذات.</w:t>
      </w:r>
    </w:p>
    <w:p w:rsidR="000B7434" w:rsidRPr="00EC4329" w:rsidRDefault="00AD4A05" w:rsidP="004F1C97">
      <w:pPr>
        <w:pStyle w:val="H23GA"/>
        <w:rPr>
          <w:rFonts w:hint="cs"/>
          <w:rtl/>
          <w:lang w:bidi="ar-EG"/>
        </w:rPr>
      </w:pPr>
      <w:r>
        <w:rPr>
          <w:rFonts w:hint="cs"/>
          <w:rtl/>
          <w:lang w:bidi="ar-EG"/>
        </w:rPr>
        <w:tab/>
      </w:r>
      <w:r>
        <w:rPr>
          <w:rFonts w:hint="cs"/>
          <w:rtl/>
          <w:lang w:bidi="ar-EG"/>
        </w:rPr>
        <w:tab/>
      </w:r>
      <w:r w:rsidR="000B7434" w:rsidRPr="00EC4329">
        <w:rPr>
          <w:rFonts w:hint="cs"/>
          <w:rtl/>
          <w:lang w:bidi="ar-EG"/>
        </w:rPr>
        <w:t>مبادرات الإصلاح</w:t>
      </w:r>
    </w:p>
    <w:p w:rsidR="000B7434" w:rsidRPr="00EC4329" w:rsidRDefault="00AD4A05" w:rsidP="00AD4A05">
      <w:pPr>
        <w:pStyle w:val="SingleTxtGA"/>
        <w:rPr>
          <w:rFonts w:hint="cs"/>
          <w:rtl/>
          <w:lang w:bidi="ar-EG"/>
        </w:rPr>
      </w:pPr>
      <w:r>
        <w:rPr>
          <w:rFonts w:hint="cs"/>
          <w:rtl/>
          <w:lang w:bidi="ar-EG"/>
        </w:rPr>
        <w:t>120</w:t>
      </w:r>
      <w:r w:rsidR="000B7434" w:rsidRPr="00EC4329">
        <w:rPr>
          <w:rFonts w:hint="cs"/>
          <w:rtl/>
          <w:lang w:bidi="ar-EG"/>
        </w:rPr>
        <w:t>-</w:t>
      </w:r>
      <w:r>
        <w:rPr>
          <w:rFonts w:hint="cs"/>
          <w:rtl/>
          <w:lang w:bidi="ar-EG"/>
        </w:rPr>
        <w:tab/>
      </w:r>
      <w:r w:rsidR="000B7434" w:rsidRPr="00EC4329">
        <w:rPr>
          <w:rFonts w:hint="cs"/>
          <w:rtl/>
          <w:lang w:bidi="ar-EG"/>
        </w:rPr>
        <w:t xml:space="preserve">أعادت الحكومة في الآونة الأخيرة، مرددةً شعار </w:t>
      </w:r>
      <w:r w:rsidR="0075177C">
        <w:rPr>
          <w:rtl/>
          <w:lang w:bidi="ar-EG"/>
        </w:rPr>
        <w:t>"</w:t>
      </w:r>
      <w:r w:rsidR="000B7434" w:rsidRPr="00EC4329">
        <w:rPr>
          <w:rFonts w:hint="cs"/>
          <w:rtl/>
          <w:lang w:bidi="ar-EG"/>
        </w:rPr>
        <w:t>التعليم كحق أساسي للجميع هو الأساس لنيبال الجديدة</w:t>
      </w:r>
      <w:r w:rsidR="0075177C">
        <w:rPr>
          <w:rtl/>
          <w:lang w:bidi="ar-EG"/>
        </w:rPr>
        <w:t>"</w:t>
      </w:r>
      <w:r w:rsidR="000B7434" w:rsidRPr="00EC4329">
        <w:rPr>
          <w:rFonts w:hint="cs"/>
          <w:rtl/>
          <w:lang w:bidi="ar-EG"/>
        </w:rPr>
        <w:t xml:space="preserve"> تأكيد خطة العمل للتعليم المجاني والإلزامي (للفترة 2001-2015)، وخصصت مبلغ 38.98 بليون روبية لقطاع التعليم وهو أعلى بنسبة 44.5 في المائة من الإنفاق المنقح على قطاع التعليم للسنة المالية السابقة (2007/2008).</w:t>
      </w:r>
    </w:p>
    <w:p w:rsidR="000B7434" w:rsidRPr="00EC4329" w:rsidRDefault="00AD4A05" w:rsidP="00AD4A05">
      <w:pPr>
        <w:pStyle w:val="SingleTxtGA"/>
        <w:rPr>
          <w:rFonts w:hint="cs"/>
          <w:rtl/>
          <w:lang w:bidi="ar-EG"/>
        </w:rPr>
      </w:pPr>
      <w:r>
        <w:rPr>
          <w:rFonts w:hint="cs"/>
          <w:rtl/>
          <w:lang w:bidi="ar-EG"/>
        </w:rPr>
        <w:t>121</w:t>
      </w:r>
      <w:r w:rsidR="000B7434" w:rsidRPr="00EC4329">
        <w:rPr>
          <w:rFonts w:hint="cs"/>
          <w:rtl/>
          <w:lang w:bidi="ar-EG"/>
        </w:rPr>
        <w:t>-</w:t>
      </w:r>
      <w:r w:rsidR="000B7434" w:rsidRPr="00EC4329">
        <w:rPr>
          <w:rFonts w:hint="cs"/>
          <w:rtl/>
          <w:lang w:bidi="ar-EG"/>
        </w:rPr>
        <w:tab/>
        <w:t xml:space="preserve">وتنادي الخطة الوطنية </w:t>
      </w:r>
      <w:r w:rsidR="0075177C">
        <w:rPr>
          <w:rtl/>
          <w:lang w:bidi="ar-EG"/>
        </w:rPr>
        <w:t>"</w:t>
      </w:r>
      <w:r w:rsidR="000B7434" w:rsidRPr="00EC4329">
        <w:rPr>
          <w:rFonts w:hint="cs"/>
          <w:rtl/>
          <w:lang w:bidi="ar-EG"/>
        </w:rPr>
        <w:t>بوجوب عدم حرمان أي فتاة من التعليم المدرسي بسبب وضعها الاقتصادي، أو خلفيتها الطبقية/العرقية أو الدينية أو اللغوية</w:t>
      </w:r>
      <w:r w:rsidR="0075177C">
        <w:rPr>
          <w:rtl/>
          <w:lang w:bidi="ar-EG"/>
        </w:rPr>
        <w:t>"</w:t>
      </w:r>
      <w:r w:rsidR="000B7434" w:rsidRPr="00EC4329">
        <w:rPr>
          <w:rFonts w:hint="cs"/>
          <w:rtl/>
          <w:lang w:bidi="ar-EG"/>
        </w:rPr>
        <w:t>. والدولة ملزمة باتباع سياسة وضع أحكام خاصة لهذه الجماعات المحرومة والمهمشة. وتحقيقاً لهذه الغاية اعتمدت الخطة برامج استراتيجية لتحقيق التكافؤ بين الجنسين والمساواة الاجتماعية، بما في ذلك التوعية الجماعية للقضاء على الطرق المتوارثة للسلوك، والمزيد من البرامج لصالح الفتيات والأطفال من طوائف الداليت والأقليات العرقية الأخرى. وتستهدف الخطة ما يلي:</w:t>
      </w:r>
    </w:p>
    <w:p w:rsidR="000B7434" w:rsidRPr="004F1C97"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كفالة تحقيق نسبة 96 في المائة لصافي معدل التحاق الفتيات بالدراسة بحلول عام</w:t>
      </w:r>
      <w:r w:rsidRPr="004F1C97">
        <w:rPr>
          <w:rFonts w:hint="eastAsia"/>
          <w:w w:val="100"/>
          <w:kern w:val="0"/>
          <w:rtl/>
          <w:lang w:bidi="ar-EG"/>
        </w:rPr>
        <w:t> </w:t>
      </w:r>
      <w:r w:rsidRPr="004F1C97">
        <w:rPr>
          <w:rFonts w:hint="cs"/>
          <w:w w:val="100"/>
          <w:kern w:val="0"/>
          <w:rtl/>
          <w:lang w:bidi="ar-EG"/>
        </w:rPr>
        <w:t>2009؛</w:t>
      </w:r>
    </w:p>
    <w:p w:rsidR="000B7434" w:rsidRPr="004F1C97"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كفالة بلوغ نسبة 50 في المائة في معدل المدرِّسات بحلول عام 2009؛</w:t>
      </w:r>
    </w:p>
    <w:p w:rsidR="000B7434" w:rsidRPr="004F1C97"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كفالة التعليم الابتدائي لجميع الفتيات بحلول عام 2015؛</w:t>
      </w:r>
    </w:p>
    <w:p w:rsidR="000B7434" w:rsidRPr="004F1C97" w:rsidRDefault="000B7434" w:rsidP="00AD4A05">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وتحقيق 66 في المائة في معدل م</w:t>
      </w:r>
      <w:r w:rsidR="008B03DA" w:rsidRPr="004F1C97">
        <w:rPr>
          <w:rFonts w:hint="cs"/>
          <w:w w:val="100"/>
          <w:kern w:val="0"/>
          <w:rtl/>
          <w:lang w:bidi="ar-EG"/>
        </w:rPr>
        <w:t>حو أمية الإناث بحلول عام 2009 و</w:t>
      </w:r>
      <w:r w:rsidRPr="004F1C97">
        <w:rPr>
          <w:rFonts w:hint="cs"/>
          <w:w w:val="100"/>
          <w:kern w:val="0"/>
          <w:rtl/>
          <w:lang w:bidi="ar-EG"/>
        </w:rPr>
        <w:t>نسبة 75</w:t>
      </w:r>
      <w:r w:rsidR="00AD4A05" w:rsidRPr="004F1C97">
        <w:rPr>
          <w:rFonts w:hint="cs"/>
          <w:w w:val="100"/>
          <w:kern w:val="0"/>
          <w:rtl/>
          <w:lang w:bidi="ar-EG"/>
        </w:rPr>
        <w:t xml:space="preserve"> </w:t>
      </w:r>
      <w:r w:rsidRPr="004F1C97">
        <w:rPr>
          <w:rFonts w:hint="cs"/>
          <w:w w:val="100"/>
          <w:kern w:val="0"/>
          <w:rtl/>
          <w:lang w:bidi="ar-EG"/>
        </w:rPr>
        <w:t>في</w:t>
      </w:r>
      <w:r w:rsidR="00AD4A05" w:rsidRPr="004F1C97">
        <w:rPr>
          <w:rFonts w:hint="cs"/>
          <w:w w:val="100"/>
          <w:kern w:val="0"/>
          <w:rtl/>
          <w:lang w:bidi="ar-EG"/>
        </w:rPr>
        <w:t xml:space="preserve"> </w:t>
      </w:r>
      <w:r w:rsidRPr="004F1C97">
        <w:rPr>
          <w:rFonts w:hint="cs"/>
          <w:w w:val="100"/>
          <w:kern w:val="0"/>
          <w:rtl/>
          <w:lang w:bidi="ar-EG"/>
        </w:rPr>
        <w:t>المائة بحلول عام 2015.</w:t>
      </w:r>
    </w:p>
    <w:p w:rsidR="000B7434" w:rsidRPr="00EC4329" w:rsidRDefault="00AD4A05" w:rsidP="00AD4A05">
      <w:pPr>
        <w:pStyle w:val="SingleTxt"/>
        <w:rPr>
          <w:rFonts w:hint="cs"/>
          <w:rtl/>
          <w:lang w:bidi="ar-EG"/>
        </w:rPr>
      </w:pPr>
      <w:r>
        <w:rPr>
          <w:rFonts w:hint="cs"/>
          <w:rtl/>
          <w:lang w:bidi="ar-EG"/>
        </w:rPr>
        <w:t>122</w:t>
      </w:r>
      <w:r w:rsidR="000B7434" w:rsidRPr="00EC4329">
        <w:rPr>
          <w:rFonts w:hint="cs"/>
          <w:rtl/>
          <w:lang w:bidi="ar-EG"/>
        </w:rPr>
        <w:t>-</w:t>
      </w:r>
      <w:r>
        <w:rPr>
          <w:rFonts w:hint="cs"/>
          <w:rtl/>
          <w:lang w:bidi="ar-EG"/>
        </w:rPr>
        <w:tab/>
      </w:r>
      <w:r w:rsidR="000B7434" w:rsidRPr="00EC4329">
        <w:rPr>
          <w:rFonts w:hint="cs"/>
          <w:rtl/>
          <w:lang w:bidi="ar-EG"/>
        </w:rPr>
        <w:t>وجاءت توصيات تقرير مراجعة الحسابات الجنسانية لتؤكّد من جديد الخطة الوطنية بعدد من البرامج مثل:</w:t>
      </w:r>
    </w:p>
    <w:p w:rsidR="000B7434" w:rsidRPr="004F1C97" w:rsidRDefault="000B7434" w:rsidP="00AD4A05">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قيام وزارة التربية بوضع استراتيجيات للجنسين والعمل على انتشارها</w:t>
      </w:r>
      <w:r w:rsidR="00AD4A05" w:rsidRPr="004F1C97">
        <w:rPr>
          <w:rFonts w:hint="cs"/>
          <w:w w:val="100"/>
          <w:kern w:val="0"/>
          <w:rtl/>
          <w:lang w:bidi="ar-EG"/>
        </w:rPr>
        <w:t>؛</w:t>
      </w:r>
    </w:p>
    <w:p w:rsidR="000B7434" w:rsidRPr="004F1C97" w:rsidRDefault="000B7434" w:rsidP="00AD4A05">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تنفيذ السياسة المتعلقة بالمدرِّسات</w:t>
      </w:r>
      <w:r w:rsidR="00AD4A05" w:rsidRPr="004F1C97">
        <w:rPr>
          <w:rFonts w:hint="cs"/>
          <w:w w:val="100"/>
          <w:kern w:val="0"/>
          <w:rtl/>
          <w:lang w:bidi="ar-EG"/>
        </w:rPr>
        <w:t>؛</w:t>
      </w:r>
    </w:p>
    <w:p w:rsidR="000B7434" w:rsidRPr="004F1C97" w:rsidRDefault="000B7434" w:rsidP="00AD4A05">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وضع مواد تعليمية خالية من أي تحيز جنساني</w:t>
      </w:r>
      <w:r w:rsidR="00AD4A05" w:rsidRPr="004F1C97">
        <w:rPr>
          <w:rFonts w:hint="cs"/>
          <w:w w:val="100"/>
          <w:kern w:val="0"/>
          <w:rtl/>
          <w:lang w:bidi="ar-EG"/>
        </w:rPr>
        <w:t>؛</w:t>
      </w:r>
    </w:p>
    <w:p w:rsidR="000B7434" w:rsidRPr="004F1C97" w:rsidRDefault="000B7434" w:rsidP="00AD4A05">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جعل كل المواد التدريبية تشمل مسائل المساواة بين الجنسين</w:t>
      </w:r>
      <w:r w:rsidR="00AD4A05" w:rsidRPr="004F1C97">
        <w:rPr>
          <w:rFonts w:hint="cs"/>
          <w:w w:val="100"/>
          <w:kern w:val="0"/>
          <w:rtl/>
          <w:lang w:bidi="ar-EG"/>
        </w:rPr>
        <w:t>؛</w:t>
      </w:r>
    </w:p>
    <w:p w:rsidR="000B7434" w:rsidRPr="004F1C97" w:rsidRDefault="000B7434" w:rsidP="00AD4A05">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إنشاء صندوق لتعليم الفتيات لتحقيق نيل الفتيات لحقهن في التعليم بإطار من الإنصاف والمساواة</w:t>
      </w:r>
      <w:r w:rsidR="00AD4A05" w:rsidRPr="004F1C97">
        <w:rPr>
          <w:rFonts w:hint="cs"/>
          <w:w w:val="100"/>
          <w:kern w:val="0"/>
          <w:rtl/>
          <w:lang w:bidi="ar-EG"/>
        </w:rPr>
        <w:t>؛</w:t>
      </w:r>
    </w:p>
    <w:p w:rsidR="000B7434" w:rsidRPr="004F1C97" w:rsidRDefault="000B7434" w:rsidP="00AD4A05">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توفير منح للمدارس بشروط زيادة التحاق الفتيات بالمدارس وتوظيف المدرِّسات، وما إلى ذلك</w:t>
      </w:r>
      <w:r w:rsidR="00AD4A05" w:rsidRPr="004F1C97">
        <w:rPr>
          <w:rFonts w:hint="cs"/>
          <w:w w:val="100"/>
          <w:kern w:val="0"/>
          <w:rtl/>
          <w:lang w:bidi="ar-EG"/>
        </w:rPr>
        <w:t>.</w:t>
      </w:r>
    </w:p>
    <w:p w:rsidR="000B7434" w:rsidRPr="00EC4329" w:rsidRDefault="00AD4A05" w:rsidP="00AD4A05">
      <w:pPr>
        <w:pStyle w:val="SingleTxtGA"/>
        <w:rPr>
          <w:rFonts w:hint="cs"/>
          <w:rtl/>
          <w:lang w:bidi="ar-EG"/>
        </w:rPr>
      </w:pPr>
      <w:r>
        <w:rPr>
          <w:rFonts w:hint="cs"/>
          <w:rtl/>
          <w:lang w:bidi="ar-EG"/>
        </w:rPr>
        <w:t>123</w:t>
      </w:r>
      <w:r w:rsidR="000B7434" w:rsidRPr="00EC4329">
        <w:rPr>
          <w:rFonts w:hint="cs"/>
          <w:rtl/>
          <w:lang w:bidi="ar-EG"/>
        </w:rPr>
        <w:t>-</w:t>
      </w:r>
      <w:r>
        <w:rPr>
          <w:rFonts w:hint="cs"/>
          <w:rtl/>
          <w:lang w:bidi="ar-EG"/>
        </w:rPr>
        <w:tab/>
      </w:r>
      <w:r w:rsidR="000B7434" w:rsidRPr="00EC4329">
        <w:rPr>
          <w:rFonts w:hint="cs"/>
          <w:rtl/>
          <w:lang w:bidi="ar-EG"/>
        </w:rPr>
        <w:t xml:space="preserve">كذلك وضعت الحكومة </w:t>
      </w:r>
      <w:r w:rsidR="0075177C">
        <w:rPr>
          <w:rtl/>
          <w:lang w:bidi="ar-EG"/>
        </w:rPr>
        <w:t>"</w:t>
      </w:r>
      <w:r w:rsidR="000B7434" w:rsidRPr="00EC4329">
        <w:rPr>
          <w:rFonts w:hint="cs"/>
          <w:rtl/>
          <w:lang w:bidi="ar-EG"/>
        </w:rPr>
        <w:t>الميزانية المراعية للجنسانية</w:t>
      </w:r>
      <w:r w:rsidR="0075177C">
        <w:rPr>
          <w:rtl/>
          <w:lang w:bidi="ar-EG"/>
        </w:rPr>
        <w:t>"</w:t>
      </w:r>
      <w:r w:rsidR="000B7434" w:rsidRPr="00EC4329">
        <w:rPr>
          <w:rFonts w:hint="cs"/>
          <w:rtl/>
          <w:lang w:bidi="ar-EG"/>
        </w:rPr>
        <w:t xml:space="preserve"> التي تعطي الأولوية لبرامج التعليم والتدريب والتكنولوجيا والبرامج الأخرى ورصدت لذلك مخصصات بما يتماشى مع خطة العمل الوطنية.</w:t>
      </w:r>
    </w:p>
    <w:p w:rsidR="000B7434" w:rsidRPr="00AD4A05" w:rsidRDefault="00AD4A05" w:rsidP="00AD4A05">
      <w:pPr>
        <w:pStyle w:val="SingleTxt"/>
        <w:rPr>
          <w:rFonts w:hint="cs"/>
          <w:spacing w:val="-2"/>
          <w:kern w:val="0"/>
          <w:rtl/>
          <w:lang w:bidi="ar-EG"/>
        </w:rPr>
      </w:pPr>
      <w:r w:rsidRPr="00AD4A05">
        <w:rPr>
          <w:rFonts w:hint="cs"/>
          <w:spacing w:val="-2"/>
          <w:kern w:val="0"/>
          <w:rtl/>
          <w:lang w:bidi="ar-EG"/>
        </w:rPr>
        <w:t>124</w:t>
      </w:r>
      <w:r w:rsidR="000B7434" w:rsidRPr="00AD4A05">
        <w:rPr>
          <w:rFonts w:hint="cs"/>
          <w:spacing w:val="-2"/>
          <w:kern w:val="0"/>
          <w:rtl/>
          <w:lang w:bidi="ar-EG"/>
        </w:rPr>
        <w:t>-</w:t>
      </w:r>
      <w:r w:rsidRPr="00AD4A05">
        <w:rPr>
          <w:rFonts w:hint="cs"/>
          <w:spacing w:val="-2"/>
          <w:kern w:val="0"/>
          <w:rtl/>
          <w:lang w:bidi="ar-EG"/>
        </w:rPr>
        <w:tab/>
      </w:r>
      <w:r w:rsidR="000B7434" w:rsidRPr="00AD4A05">
        <w:rPr>
          <w:rFonts w:hint="cs"/>
          <w:spacing w:val="-2"/>
          <w:kern w:val="0"/>
          <w:rtl/>
          <w:lang w:bidi="ar-EG"/>
        </w:rPr>
        <w:t>وبالإضافة إلى ذلك، وأثناء الفترة المشمولة بالتقرير، اعتمدت وزارة التربية عددا</w:t>
      </w:r>
      <w:r w:rsidRPr="00AD4A05">
        <w:rPr>
          <w:rFonts w:hint="cs"/>
          <w:spacing w:val="-2"/>
          <w:kern w:val="0"/>
          <w:rtl/>
          <w:lang w:bidi="ar-EG"/>
        </w:rPr>
        <w:t>ً</w:t>
      </w:r>
      <w:r w:rsidR="000B7434" w:rsidRPr="00AD4A05">
        <w:rPr>
          <w:rFonts w:hint="cs"/>
          <w:spacing w:val="-2"/>
          <w:kern w:val="0"/>
          <w:rtl/>
          <w:lang w:bidi="ar-EG"/>
        </w:rPr>
        <w:t xml:space="preserve"> من مبادرات التغيير لزيادة عدد الطالبات. وأثبت شعار </w:t>
      </w:r>
      <w:r w:rsidR="0075177C" w:rsidRPr="00AD4A05">
        <w:rPr>
          <w:spacing w:val="-2"/>
          <w:kern w:val="0"/>
          <w:rtl/>
          <w:lang w:bidi="ar-EG"/>
        </w:rPr>
        <w:t>"</w:t>
      </w:r>
      <w:r w:rsidR="000B7434" w:rsidRPr="00AD4A05">
        <w:rPr>
          <w:rFonts w:hint="cs"/>
          <w:spacing w:val="-2"/>
          <w:kern w:val="0"/>
          <w:rtl/>
          <w:lang w:bidi="ar-EG"/>
        </w:rPr>
        <w:t>أهلا بكن في المدرسة</w:t>
      </w:r>
      <w:r w:rsidR="0075177C" w:rsidRPr="00AD4A05">
        <w:rPr>
          <w:spacing w:val="-2"/>
          <w:kern w:val="0"/>
          <w:rtl/>
          <w:lang w:bidi="ar-EG"/>
        </w:rPr>
        <w:t>"</w:t>
      </w:r>
      <w:r w:rsidR="000B7434" w:rsidRPr="00AD4A05">
        <w:rPr>
          <w:rFonts w:hint="cs"/>
          <w:spacing w:val="-2"/>
          <w:kern w:val="0"/>
          <w:rtl/>
          <w:lang w:bidi="ar-EG"/>
        </w:rPr>
        <w:t xml:space="preserve"> أنه فعّال. وتحقيقاً لهذا الهدف، اتخذت وزارة التربية تدابير أخرى للنهوض بالتعليم بصورة عامة وبتعليم المرأة والفئات الاجتماعية الأخرى بصورة خاصة. وفيما يلي بعض الخطوات المتخذة:</w:t>
      </w:r>
    </w:p>
    <w:p w:rsidR="000B7434" w:rsidRPr="004F1C97"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يتم اختيار 50 في المائة من الفتيات الحاصلات على منح دراسية، على أساس الفقر؛</w:t>
      </w:r>
    </w:p>
    <w:p w:rsidR="000B7434" w:rsidRPr="004F1C97"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ويتم تقديم منحة إضافية للمدرسة التي تسجل ما لا يقل عن 45 في المائة من الفتيات وتحتفظ بهن أيضا</w:t>
      </w:r>
      <w:r w:rsidR="00AD4A05" w:rsidRPr="004F1C97">
        <w:rPr>
          <w:rFonts w:hint="cs"/>
          <w:w w:val="100"/>
          <w:kern w:val="0"/>
          <w:rtl/>
          <w:lang w:bidi="ar-EG"/>
        </w:rPr>
        <w:t>ً</w:t>
      </w:r>
      <w:r w:rsidRPr="004F1C97">
        <w:rPr>
          <w:rFonts w:hint="cs"/>
          <w:w w:val="100"/>
          <w:kern w:val="0"/>
          <w:rtl/>
          <w:lang w:bidi="ar-EG"/>
        </w:rPr>
        <w:t xml:space="preserve"> حتى نهاية السنة المدرسية؛</w:t>
      </w:r>
    </w:p>
    <w:p w:rsidR="000B7434" w:rsidRPr="004F1C97"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وتُقدّم منحة إضافية للمدرسة التي توظف مدرِّسات بنسبة تصل إلى 50 في المائة.</w:t>
      </w:r>
    </w:p>
    <w:p w:rsidR="000B7434" w:rsidRPr="00EC4329" w:rsidRDefault="00AD4A05" w:rsidP="00AD4A05">
      <w:pPr>
        <w:pStyle w:val="SingleTxt"/>
        <w:rPr>
          <w:rFonts w:hint="cs"/>
          <w:rtl/>
          <w:lang w:bidi="ar-EG"/>
        </w:rPr>
      </w:pPr>
      <w:r>
        <w:rPr>
          <w:rFonts w:hint="cs"/>
          <w:rtl/>
          <w:lang w:bidi="ar-EG"/>
        </w:rPr>
        <w:t>125</w:t>
      </w:r>
      <w:r w:rsidR="000B7434" w:rsidRPr="00EC4329">
        <w:rPr>
          <w:rFonts w:hint="cs"/>
          <w:rtl/>
          <w:lang w:bidi="ar-EG"/>
        </w:rPr>
        <w:t>-</w:t>
      </w:r>
      <w:r>
        <w:rPr>
          <w:rFonts w:hint="cs"/>
          <w:rtl/>
          <w:lang w:bidi="ar-EG"/>
        </w:rPr>
        <w:tab/>
      </w:r>
      <w:r w:rsidR="000B7434" w:rsidRPr="00EC4329">
        <w:rPr>
          <w:rFonts w:hint="cs"/>
          <w:rtl/>
          <w:lang w:bidi="ar-EG"/>
        </w:rPr>
        <w:t xml:space="preserve">وبسبب الكفاءة الداخلية في المستويات الابتدائي والإعدادي الثانوي، مقارنة بالسنة المدرسية السابقة، ازداد في السنة المدرسية الراهنة، معدل الترقية في كل الصفوف الدراسية. ومن الجدير بالملاحظة، أن معدل ترقّي الإناث في كل فصول المستوى الابتدائي أعلى من معدل ترقي الذكور، غير أن معدل ترقي الذكور في المستويين الإعدادي والثانوي أعلى من معدل ترقي الإناث. (المصدر: التقرير السريع، 2007/2008، المرفقات السابع عشر </w:t>
      </w:r>
      <w:r>
        <w:rPr>
          <w:rFonts w:hint="cs"/>
          <w:rtl/>
          <w:lang w:bidi="ar-EG"/>
        </w:rPr>
        <w:t xml:space="preserve">- </w:t>
      </w:r>
      <w:r w:rsidR="000B7434" w:rsidRPr="00EC4329">
        <w:rPr>
          <w:rFonts w:hint="cs"/>
          <w:rtl/>
          <w:lang w:bidi="ar-EG"/>
        </w:rPr>
        <w:t>ألف إلى جيم).</w:t>
      </w:r>
    </w:p>
    <w:p w:rsidR="000B7434" w:rsidRPr="004F1C97" w:rsidRDefault="00AD4A05" w:rsidP="004F1C97">
      <w:pPr>
        <w:pStyle w:val="SingleTxtGA"/>
        <w:rPr>
          <w:rFonts w:hint="cs"/>
          <w:spacing w:val="-2"/>
          <w:rtl/>
          <w:lang w:bidi="ar-EG"/>
        </w:rPr>
      </w:pPr>
      <w:r>
        <w:rPr>
          <w:rFonts w:hint="cs"/>
          <w:rtl/>
          <w:lang w:bidi="ar-EG"/>
        </w:rPr>
        <w:t>126</w:t>
      </w:r>
      <w:r w:rsidR="000B7434" w:rsidRPr="00EC4329">
        <w:rPr>
          <w:rFonts w:hint="cs"/>
          <w:rtl/>
          <w:lang w:bidi="ar-EG"/>
        </w:rPr>
        <w:t>-</w:t>
      </w:r>
      <w:r>
        <w:rPr>
          <w:rFonts w:hint="cs"/>
          <w:rtl/>
          <w:lang w:bidi="ar-EG"/>
        </w:rPr>
        <w:tab/>
      </w:r>
      <w:r w:rsidR="000B7434" w:rsidRPr="00EC4329">
        <w:rPr>
          <w:rFonts w:hint="cs"/>
          <w:rtl/>
          <w:lang w:bidi="ar-EG"/>
        </w:rPr>
        <w:t xml:space="preserve">وتعمل نيبال على تنفيذ خطة وطنية للتعليم للجميع وُضع بموجبها برنامجٌ مفصّل </w:t>
      </w:r>
      <w:r w:rsidR="000B7434" w:rsidRPr="004F1C97">
        <w:rPr>
          <w:rFonts w:hint="cs"/>
          <w:spacing w:val="-2"/>
          <w:rtl/>
          <w:lang w:bidi="ar-EG"/>
        </w:rPr>
        <w:t xml:space="preserve">للفترة 2005-2009 بالتشاور مع أصحاب المصلحة في مجال التعليم </w:t>
      </w:r>
      <w:r w:rsidR="004F1C97" w:rsidRPr="004F1C97">
        <w:rPr>
          <w:rFonts w:hint="cs"/>
          <w:spacing w:val="-2"/>
          <w:rtl/>
          <w:lang w:bidi="ar-EG"/>
        </w:rPr>
        <w:t>على المستويين الوطني والإقليمي،</w:t>
      </w:r>
      <w:r w:rsidR="000B7434" w:rsidRPr="004F1C97">
        <w:rPr>
          <w:rFonts w:hint="cs"/>
          <w:spacing w:val="-2"/>
          <w:rtl/>
          <w:lang w:bidi="ar-EG"/>
        </w:rPr>
        <w:t xml:space="preserve"> وعلى مستوى المقاطعات والمقاطعات الفرعية. ويضم هذا البرنامج ستة من أهداف السياسة العامة لإطار عمل داكار ويرمي إلى تحقيق المقاصد الرئيسية، بما في ذلك كفالة الوصول إلى المدارس الابتدائية والإنصاف (لزيادة صافي الالتحاق بالمدارس إلى 96</w:t>
      </w:r>
      <w:r w:rsidR="004F1C97" w:rsidRPr="004F1C97">
        <w:rPr>
          <w:rFonts w:hint="cs"/>
          <w:spacing w:val="-2"/>
          <w:rtl/>
          <w:lang w:bidi="ar-EG"/>
        </w:rPr>
        <w:t xml:space="preserve"> </w:t>
      </w:r>
      <w:r w:rsidR="000B7434" w:rsidRPr="004F1C97">
        <w:rPr>
          <w:rFonts w:hint="cs"/>
          <w:spacing w:val="-2"/>
          <w:rtl/>
          <w:lang w:bidi="ar-EG"/>
        </w:rPr>
        <w:t>في</w:t>
      </w:r>
      <w:r w:rsidR="004F1C97" w:rsidRPr="004F1C97">
        <w:rPr>
          <w:rFonts w:hint="cs"/>
          <w:spacing w:val="-2"/>
          <w:rtl/>
          <w:lang w:bidi="ar-EG"/>
        </w:rPr>
        <w:t xml:space="preserve"> </w:t>
      </w:r>
      <w:r w:rsidR="000B7434" w:rsidRPr="004F1C97">
        <w:rPr>
          <w:rFonts w:hint="cs"/>
          <w:spacing w:val="-2"/>
          <w:rtl/>
          <w:lang w:bidi="ar-EG"/>
        </w:rPr>
        <w:t>المائة بحلول 2015)، وزيادة جودة وأهمية التعليم الابتدائي، وتحسين كفاءة النظام والقدرة المؤسسية للمدارس والمؤسسات على جميع المستويات. وبالمثل، تعمل الحكومة على النهوض بفرص التعليم البديل للأطف</w:t>
      </w:r>
      <w:r w:rsidR="008B03DA" w:rsidRPr="004F1C97">
        <w:rPr>
          <w:rFonts w:hint="cs"/>
          <w:spacing w:val="-2"/>
          <w:rtl/>
          <w:lang w:bidi="ar-EG"/>
        </w:rPr>
        <w:t>ال الذين تتراوح أعمارهم بين 6 و</w:t>
      </w:r>
      <w:r w:rsidR="000B7434" w:rsidRPr="004F1C97">
        <w:rPr>
          <w:rFonts w:hint="cs"/>
          <w:spacing w:val="-2"/>
          <w:rtl/>
          <w:lang w:bidi="ar-EG"/>
        </w:rPr>
        <w:t>14 سنة المتسيّبين الـذين التعليم</w:t>
      </w:r>
      <w:r w:rsidR="000C6FCD">
        <w:rPr>
          <w:rFonts w:hint="cs"/>
          <w:spacing w:val="-2"/>
          <w:rtl/>
          <w:lang w:bidi="ar-EG"/>
        </w:rPr>
        <w:t xml:space="preserve"> الرسمي. وهناك الآن ثلاثة برامج</w:t>
      </w:r>
      <w:r w:rsidR="000B7434" w:rsidRPr="004F1C97">
        <w:rPr>
          <w:rFonts w:hint="cs"/>
          <w:spacing w:val="-2"/>
          <w:rtl/>
          <w:lang w:bidi="ar-EG"/>
        </w:rPr>
        <w:t xml:space="preserve"> تستهدف هؤلاء الأطفال </w:t>
      </w:r>
      <w:r w:rsidRPr="004F1C97">
        <w:rPr>
          <w:rFonts w:hint="cs"/>
          <w:spacing w:val="-2"/>
          <w:rtl/>
          <w:lang w:bidi="ar-EG"/>
        </w:rPr>
        <w:t>-</w:t>
      </w:r>
      <w:r w:rsidR="000B7434" w:rsidRPr="004F1C97">
        <w:rPr>
          <w:rFonts w:hint="cs"/>
          <w:spacing w:val="-2"/>
          <w:rtl/>
          <w:lang w:bidi="ar-EG"/>
        </w:rPr>
        <w:t xml:space="preserve"> </w:t>
      </w:r>
      <w:r w:rsidR="0075177C" w:rsidRPr="004F1C97">
        <w:rPr>
          <w:spacing w:val="-2"/>
          <w:rtl/>
          <w:lang w:bidi="ar-EG"/>
        </w:rPr>
        <w:t>"</w:t>
      </w:r>
      <w:r w:rsidR="000B7434" w:rsidRPr="004F1C97">
        <w:rPr>
          <w:rFonts w:hint="cs"/>
          <w:spacing w:val="-2"/>
          <w:rtl/>
          <w:lang w:bidi="ar-EG"/>
        </w:rPr>
        <w:t>برنامج خارج المدرسة</w:t>
      </w:r>
      <w:r w:rsidR="0075177C" w:rsidRPr="004F1C97">
        <w:rPr>
          <w:spacing w:val="-2"/>
          <w:rtl/>
          <w:lang w:bidi="ar-EG"/>
        </w:rPr>
        <w:t>"</w:t>
      </w:r>
      <w:r w:rsidR="000B7434" w:rsidRPr="004F1C97">
        <w:rPr>
          <w:rFonts w:hint="cs"/>
          <w:spacing w:val="-2"/>
          <w:rtl/>
          <w:lang w:bidi="ar-EG"/>
        </w:rPr>
        <w:t xml:space="preserve">، وبرنامج </w:t>
      </w:r>
      <w:r w:rsidR="0075177C" w:rsidRPr="004F1C97">
        <w:rPr>
          <w:spacing w:val="-2"/>
          <w:rtl/>
          <w:lang w:bidi="ar-EG"/>
        </w:rPr>
        <w:t>"</w:t>
      </w:r>
      <w:r w:rsidR="000B7434" w:rsidRPr="004F1C97">
        <w:rPr>
          <w:rFonts w:hint="cs"/>
          <w:spacing w:val="-2"/>
          <w:rtl/>
          <w:lang w:bidi="ar-EG"/>
        </w:rPr>
        <w:t>التدريس المرن</w:t>
      </w:r>
      <w:r w:rsidR="0075177C" w:rsidRPr="004F1C97">
        <w:rPr>
          <w:spacing w:val="-2"/>
          <w:rtl/>
          <w:lang w:bidi="ar-EG"/>
        </w:rPr>
        <w:t>"</w:t>
      </w:r>
      <w:r w:rsidR="000B7434" w:rsidRPr="004F1C97">
        <w:rPr>
          <w:rFonts w:hint="cs"/>
          <w:spacing w:val="-2"/>
          <w:rtl/>
          <w:lang w:bidi="ar-EG"/>
        </w:rPr>
        <w:t xml:space="preserve"> و</w:t>
      </w:r>
      <w:r w:rsidR="0075177C" w:rsidRPr="004F1C97">
        <w:rPr>
          <w:spacing w:val="-2"/>
          <w:rtl/>
          <w:lang w:bidi="ar-EG"/>
        </w:rPr>
        <w:t>"</w:t>
      </w:r>
      <w:r w:rsidR="000B7434" w:rsidRPr="004F1C97">
        <w:rPr>
          <w:rFonts w:hint="cs"/>
          <w:spacing w:val="-2"/>
          <w:rtl/>
          <w:lang w:bidi="ar-EG"/>
        </w:rPr>
        <w:t>برنامج الاتصال من بعد بالمدرسة</w:t>
      </w:r>
      <w:r w:rsidR="0075177C" w:rsidRPr="004F1C97">
        <w:rPr>
          <w:spacing w:val="-2"/>
          <w:rtl/>
          <w:lang w:bidi="ar-EG"/>
        </w:rPr>
        <w:t>"</w:t>
      </w:r>
      <w:r w:rsidR="000B7434" w:rsidRPr="004F1C97">
        <w:rPr>
          <w:rFonts w:hint="cs"/>
          <w:spacing w:val="-2"/>
          <w:rtl/>
          <w:lang w:bidi="ar-EG"/>
        </w:rPr>
        <w:t xml:space="preserve">. وبالإضافة إلى ذلك تدير الحكومة برنامج لمحو الأمية للكبار، ويستهدف بصورة خاصة المرأة. كما أن نيبال شرعت في برنامج لإصلاح القطاع المدرسي يهدف إلى إدماج نظام المدرسة (من الفصل الأول إلى </w:t>
      </w:r>
      <w:r w:rsidR="004F1C97">
        <w:rPr>
          <w:rFonts w:hint="cs"/>
          <w:spacing w:val="-2"/>
          <w:rtl/>
          <w:lang w:bidi="ar-EG"/>
        </w:rPr>
        <w:t xml:space="preserve">    </w:t>
      </w:r>
      <w:r w:rsidR="000B7434" w:rsidRPr="004F1C97">
        <w:rPr>
          <w:rFonts w:hint="cs"/>
          <w:spacing w:val="-2"/>
          <w:rtl/>
          <w:lang w:bidi="ar-EG"/>
        </w:rPr>
        <w:t xml:space="preserve">الفصل الثاني عشر منذ عام 2008). ويعرِّف الاتجاهُ المقترح للسياسة العامة في هذا المجال الفصولَ من الأول إلى الثامن بوصفها التعليم الأساسي الذي تطور مع فكرة النهج </w:t>
      </w:r>
      <w:r w:rsidR="0075177C" w:rsidRPr="004F1C97">
        <w:rPr>
          <w:spacing w:val="-2"/>
          <w:rtl/>
          <w:lang w:bidi="ar-EG"/>
        </w:rPr>
        <w:t>"</w:t>
      </w:r>
      <w:r w:rsidR="000B7434" w:rsidRPr="004F1C97">
        <w:rPr>
          <w:rFonts w:hint="cs"/>
          <w:spacing w:val="-2"/>
          <w:rtl/>
          <w:lang w:bidi="ar-EG"/>
        </w:rPr>
        <w:t>القائم على الحقوق</w:t>
      </w:r>
      <w:r w:rsidR="0075177C" w:rsidRPr="004F1C97">
        <w:rPr>
          <w:spacing w:val="-2"/>
          <w:rtl/>
          <w:lang w:bidi="ar-EG"/>
        </w:rPr>
        <w:t>"</w:t>
      </w:r>
      <w:r w:rsidR="000B7434" w:rsidRPr="004F1C97">
        <w:rPr>
          <w:rFonts w:hint="cs"/>
          <w:spacing w:val="-2"/>
          <w:rtl/>
          <w:lang w:bidi="ar-EG"/>
        </w:rPr>
        <w:t>. وقد اتخذت الحكومة منذ وقت بعيد الموقف القائل بأن لكل طفل الحق في الحصول على تعليم أساسي يتسم بالجودة. وعلى هذا الأساس تُخَطط التدخلات وتُنفذ في نفس الاتجاه.</w:t>
      </w:r>
    </w:p>
    <w:p w:rsidR="000B7434" w:rsidRPr="00EC4329" w:rsidRDefault="00AD4A05" w:rsidP="004F1C97">
      <w:pPr>
        <w:pStyle w:val="H23GA"/>
        <w:rPr>
          <w:rFonts w:hint="cs"/>
          <w:rtl/>
          <w:lang w:bidi="ar-EG"/>
        </w:rPr>
      </w:pPr>
      <w:r>
        <w:rPr>
          <w:rFonts w:hint="cs"/>
          <w:rtl/>
          <w:lang w:bidi="ar-EG"/>
        </w:rPr>
        <w:tab/>
      </w:r>
      <w:r>
        <w:rPr>
          <w:rFonts w:hint="cs"/>
          <w:rtl/>
          <w:lang w:bidi="ar-EG"/>
        </w:rPr>
        <w:tab/>
      </w:r>
      <w:r w:rsidR="000B7434" w:rsidRPr="00EC4329">
        <w:rPr>
          <w:rFonts w:hint="cs"/>
          <w:rtl/>
          <w:lang w:bidi="ar-EG"/>
        </w:rPr>
        <w:t>تحديات المستقبل</w:t>
      </w:r>
    </w:p>
    <w:p w:rsidR="000B7434" w:rsidRPr="00EC4329" w:rsidRDefault="00AD4A05" w:rsidP="00AD4A05">
      <w:pPr>
        <w:pStyle w:val="SingleTxtGA"/>
        <w:rPr>
          <w:rFonts w:hint="cs"/>
          <w:rtl/>
          <w:lang w:bidi="ar-EG"/>
        </w:rPr>
      </w:pPr>
      <w:r>
        <w:rPr>
          <w:rFonts w:hint="cs"/>
          <w:rtl/>
          <w:lang w:bidi="ar-EG"/>
        </w:rPr>
        <w:t>127</w:t>
      </w:r>
      <w:r w:rsidR="000B7434" w:rsidRPr="00EC4329">
        <w:rPr>
          <w:rFonts w:hint="cs"/>
          <w:rtl/>
          <w:lang w:bidi="ar-EG"/>
        </w:rPr>
        <w:t>-</w:t>
      </w:r>
      <w:r>
        <w:rPr>
          <w:rFonts w:hint="cs"/>
          <w:rtl/>
          <w:lang w:bidi="ar-EG"/>
        </w:rPr>
        <w:tab/>
      </w:r>
      <w:r w:rsidR="000B7434" w:rsidRPr="00EC4329">
        <w:rPr>
          <w:rFonts w:hint="cs"/>
          <w:rtl/>
          <w:lang w:bidi="ar-EG"/>
        </w:rPr>
        <w:t>الزواج المبكّر، والالتزامُ الاجتماعي الناشئ عن الزواج، وتوقُّع الحمل والإنجاب تمثل عوائق رئيسية تعتور طريقَ تقدم المرأة في التعليم وفي متابعة حياة وظيفية في العمل.</w:t>
      </w:r>
    </w:p>
    <w:p w:rsidR="000B7434" w:rsidRPr="004F1C97" w:rsidRDefault="00AD4A05" w:rsidP="004F1C97">
      <w:pPr>
        <w:pStyle w:val="SingleTxtGA"/>
        <w:rPr>
          <w:rFonts w:hint="cs"/>
          <w:spacing w:val="-2"/>
          <w:rtl/>
          <w:lang w:bidi="ar-EG"/>
        </w:rPr>
      </w:pPr>
      <w:r w:rsidRPr="004F1C97">
        <w:rPr>
          <w:rFonts w:hint="cs"/>
          <w:spacing w:val="-2"/>
          <w:rtl/>
          <w:lang w:bidi="ar-EG"/>
        </w:rPr>
        <w:t>128</w:t>
      </w:r>
      <w:r w:rsidR="000B7434" w:rsidRPr="004F1C97">
        <w:rPr>
          <w:rFonts w:hint="cs"/>
          <w:spacing w:val="-2"/>
          <w:rtl/>
          <w:lang w:bidi="ar-EG"/>
        </w:rPr>
        <w:t>-</w:t>
      </w:r>
      <w:r w:rsidRPr="004F1C97">
        <w:rPr>
          <w:rFonts w:hint="cs"/>
          <w:spacing w:val="-2"/>
          <w:rtl/>
          <w:lang w:bidi="ar-EG"/>
        </w:rPr>
        <w:tab/>
      </w:r>
      <w:r w:rsidR="000B7434" w:rsidRPr="004F1C97">
        <w:rPr>
          <w:rFonts w:hint="cs"/>
          <w:spacing w:val="-2"/>
          <w:rtl/>
          <w:lang w:bidi="ar-EG"/>
        </w:rPr>
        <w:t>ويشاهد ترك الدراسة في كل من الحالة السابقة للزواج وحالة ما بعد الزواج. والسبب الجذري لترك الدراسة هو الالتزامُ الاجتماعي الناشئ عن الزواج وتوقُّع الحمل</w:t>
      </w:r>
      <w:r w:rsidR="004F1C97" w:rsidRPr="004F1C97">
        <w:rPr>
          <w:rFonts w:hint="cs"/>
          <w:spacing w:val="-2"/>
          <w:rtl/>
          <w:lang w:bidi="ar-EG"/>
        </w:rPr>
        <w:t xml:space="preserve"> </w:t>
      </w:r>
      <w:r w:rsidR="000B7434" w:rsidRPr="004F1C97">
        <w:rPr>
          <w:rFonts w:hint="cs"/>
          <w:spacing w:val="-2"/>
          <w:rtl/>
          <w:lang w:bidi="ar-EG"/>
        </w:rPr>
        <w:t>والإنجاب.</w:t>
      </w:r>
    </w:p>
    <w:p w:rsidR="000B7434" w:rsidRPr="00EC4329" w:rsidRDefault="00AD4A05" w:rsidP="00AD4A05">
      <w:pPr>
        <w:pStyle w:val="SingleTxtGA"/>
        <w:rPr>
          <w:rFonts w:hint="cs"/>
          <w:rtl/>
          <w:lang w:bidi="ar-EG"/>
        </w:rPr>
      </w:pPr>
      <w:r>
        <w:rPr>
          <w:rFonts w:hint="cs"/>
          <w:rtl/>
          <w:lang w:bidi="ar-EG"/>
        </w:rPr>
        <w:t>129</w:t>
      </w:r>
      <w:r w:rsidR="000B7434" w:rsidRPr="00EC4329">
        <w:rPr>
          <w:rFonts w:hint="cs"/>
          <w:rtl/>
          <w:lang w:bidi="ar-EG"/>
        </w:rPr>
        <w:t>-</w:t>
      </w:r>
      <w:r>
        <w:rPr>
          <w:rFonts w:hint="cs"/>
          <w:rtl/>
          <w:lang w:bidi="ar-EG"/>
        </w:rPr>
        <w:tab/>
      </w:r>
      <w:r w:rsidR="000B7434" w:rsidRPr="00EC4329">
        <w:rPr>
          <w:rFonts w:hint="cs"/>
          <w:rtl/>
          <w:lang w:bidi="ar-EG"/>
        </w:rPr>
        <w:t>ويتمثل تحد آخر في العدد المنخفض من المدرّسات من كل الفئات الاجتماعية، وبصورة رئيسية في مستوى التعليم العالي، وفي المواضيع التقنية. وبالرغم من وجود سياسة التوظيف الإلزامي لما لا يقل عن مدرِّسة واحدة في كل مدرسة ابتدائية، فإن عددا كبيرا من المدارس لا يزال غيرَ ممتثل لهذه السياسة.</w:t>
      </w:r>
    </w:p>
    <w:p w:rsidR="000B7434" w:rsidRPr="00EC4329" w:rsidRDefault="00AD4A05" w:rsidP="00AD4A05">
      <w:pPr>
        <w:pStyle w:val="SingleTxtGA"/>
        <w:rPr>
          <w:rFonts w:hint="cs"/>
          <w:rtl/>
          <w:lang w:bidi="ar-EG"/>
        </w:rPr>
      </w:pPr>
      <w:r>
        <w:rPr>
          <w:rFonts w:hint="cs"/>
          <w:rtl/>
          <w:lang w:bidi="ar-EG"/>
        </w:rPr>
        <w:t>130</w:t>
      </w:r>
      <w:r w:rsidR="000B7434" w:rsidRPr="00EC4329">
        <w:rPr>
          <w:rFonts w:hint="cs"/>
          <w:rtl/>
          <w:lang w:bidi="ar-EG"/>
        </w:rPr>
        <w:t>-</w:t>
      </w:r>
      <w:r>
        <w:rPr>
          <w:rFonts w:hint="cs"/>
          <w:rtl/>
          <w:lang w:bidi="ar-EG"/>
        </w:rPr>
        <w:tab/>
      </w:r>
      <w:r w:rsidR="000B7434" w:rsidRPr="00EC4329">
        <w:rPr>
          <w:rFonts w:hint="cs"/>
          <w:rtl/>
          <w:lang w:bidi="ar-EG"/>
        </w:rPr>
        <w:t>ومن المقرر زيادة عدد الموظفات في وزارة التربية، وبصورة رئيسية على مستوى اتخاذ القرار. وفي</w:t>
      </w:r>
      <w:r w:rsidR="000B7434" w:rsidRPr="00EC4329">
        <w:rPr>
          <w:rFonts w:hint="eastAsia"/>
          <w:rtl/>
          <w:lang w:bidi="ar-EG"/>
        </w:rPr>
        <w:t> </w:t>
      </w:r>
      <w:r w:rsidR="000B7434" w:rsidRPr="00EC4329">
        <w:rPr>
          <w:rFonts w:hint="cs"/>
          <w:rtl/>
          <w:lang w:bidi="ar-EG"/>
        </w:rPr>
        <w:t>الوقت الراهن تشكل النساءُ اللواتي يشغلن وظائف الأمين المساعد ما نسبته 4.7 في المائة واللواتي يشغلن وظائف وكيل الأمين ما نسبته 6.8 في المائة واللواتي يشغلن رئاسة الدوائر 4.9 في المائة في وزارة التربية والرياضة. (المصدر: صندوق الأمم المتحدة للسكان، المساواة الجنسانية وتمكين المرأة في نيبال،</w:t>
      </w:r>
      <w:r w:rsidR="000B7434" w:rsidRPr="00EC4329">
        <w:rPr>
          <w:rFonts w:hint="eastAsia"/>
          <w:rtl/>
          <w:lang w:bidi="ar-EG"/>
        </w:rPr>
        <w:t> </w:t>
      </w:r>
      <w:r w:rsidR="000B7434" w:rsidRPr="00EC4329">
        <w:rPr>
          <w:rFonts w:hint="cs"/>
          <w:rtl/>
          <w:lang w:bidi="ar-EG"/>
        </w:rPr>
        <w:t>2007).</w:t>
      </w:r>
    </w:p>
    <w:p w:rsidR="000B7434" w:rsidRPr="00EC4329" w:rsidRDefault="00AD4A05" w:rsidP="00AD4A05">
      <w:pPr>
        <w:pStyle w:val="SingleTxtGA"/>
        <w:rPr>
          <w:rFonts w:hint="cs"/>
          <w:rtl/>
          <w:lang w:bidi="ar-EG"/>
        </w:rPr>
      </w:pPr>
      <w:r>
        <w:rPr>
          <w:rFonts w:hint="cs"/>
          <w:rtl/>
          <w:lang w:bidi="ar-EG"/>
        </w:rPr>
        <w:t>131</w:t>
      </w:r>
      <w:r w:rsidR="000B7434" w:rsidRPr="00EC4329">
        <w:rPr>
          <w:rFonts w:hint="cs"/>
          <w:rtl/>
          <w:lang w:bidi="ar-EG"/>
        </w:rPr>
        <w:t>-</w:t>
      </w:r>
      <w:r>
        <w:rPr>
          <w:rFonts w:hint="cs"/>
          <w:rtl/>
          <w:lang w:bidi="ar-EG"/>
        </w:rPr>
        <w:tab/>
      </w:r>
      <w:r w:rsidR="000B7434" w:rsidRPr="00EC4329">
        <w:rPr>
          <w:rFonts w:hint="cs"/>
          <w:rtl/>
          <w:lang w:bidi="ar-EG"/>
        </w:rPr>
        <w:t>ومن المقرر أيضاً زيادة مشاركة الفتيات في التعليم ذي الجودة. ذلك لأنّ الذكور يعطون فرصاً تعليمية أفضل يتيحها لهم الوالدن اللذان يرسلانهم إلى المدارس الخاصة أو</w:t>
      </w:r>
      <w:r>
        <w:rPr>
          <w:rFonts w:hint="cs"/>
          <w:rtl/>
          <w:lang w:bidi="ar-EG"/>
        </w:rPr>
        <w:t xml:space="preserve"> </w:t>
      </w:r>
      <w:r w:rsidR="000B7434" w:rsidRPr="00EC4329">
        <w:rPr>
          <w:rFonts w:hint="cs"/>
          <w:rtl/>
          <w:lang w:bidi="ar-EG"/>
        </w:rPr>
        <w:t>إلى</w:t>
      </w:r>
      <w:r>
        <w:rPr>
          <w:rFonts w:hint="cs"/>
          <w:rtl/>
          <w:lang w:bidi="ar-EG"/>
        </w:rPr>
        <w:t xml:space="preserve"> </w:t>
      </w:r>
      <w:r w:rsidR="000B7434" w:rsidRPr="00EC4329">
        <w:rPr>
          <w:rFonts w:hint="cs"/>
          <w:rtl/>
          <w:lang w:bidi="ar-EG"/>
        </w:rPr>
        <w:t>المدن، في حين أن الفتيات، ولا سيما الفتيات في القرى، لا تتاح لهن فرص من</w:t>
      </w:r>
      <w:r>
        <w:rPr>
          <w:rFonts w:hint="cs"/>
          <w:rtl/>
          <w:lang w:bidi="ar-EG"/>
        </w:rPr>
        <w:t xml:space="preserve"> </w:t>
      </w:r>
      <w:r w:rsidR="000B7434" w:rsidRPr="00EC4329">
        <w:rPr>
          <w:rFonts w:hint="cs"/>
          <w:rtl/>
          <w:lang w:bidi="ar-EG"/>
        </w:rPr>
        <w:t>هذا</w:t>
      </w:r>
      <w:r>
        <w:rPr>
          <w:rFonts w:hint="cs"/>
          <w:rtl/>
          <w:lang w:bidi="ar-EG"/>
        </w:rPr>
        <w:t xml:space="preserve"> </w:t>
      </w:r>
      <w:r w:rsidR="000B7434">
        <w:rPr>
          <w:rFonts w:hint="cs"/>
          <w:rtl/>
          <w:lang w:bidi="ar-EG"/>
        </w:rPr>
        <w:t>القبيل.</w:t>
      </w:r>
    </w:p>
    <w:p w:rsidR="000B7434" w:rsidRPr="00EC4329" w:rsidRDefault="000B7434" w:rsidP="00AD4A05">
      <w:pPr>
        <w:pStyle w:val="H1GA"/>
        <w:jc w:val="left"/>
        <w:rPr>
          <w:rFonts w:hint="cs"/>
          <w:rtl/>
          <w:lang w:bidi="ar-EG"/>
        </w:rPr>
      </w:pPr>
      <w:r>
        <w:rPr>
          <w:rFonts w:hint="cs"/>
          <w:rtl/>
          <w:lang w:bidi="ar-EG"/>
        </w:rPr>
        <w:tab/>
      </w:r>
      <w:r>
        <w:rPr>
          <w:rFonts w:hint="cs"/>
          <w:rtl/>
          <w:lang w:bidi="ar-EG"/>
        </w:rPr>
        <w:tab/>
        <w:t>المادة 11</w:t>
      </w:r>
      <w:r>
        <w:rPr>
          <w:rtl/>
          <w:lang w:bidi="ar-EG"/>
        </w:rPr>
        <w:br/>
      </w:r>
      <w:r w:rsidRPr="00EC4329">
        <w:rPr>
          <w:rFonts w:hint="cs"/>
          <w:rtl/>
          <w:lang w:bidi="ar-EG"/>
        </w:rPr>
        <w:t>العمالة</w:t>
      </w:r>
    </w:p>
    <w:p w:rsidR="000B7434" w:rsidRPr="00EC4329" w:rsidRDefault="00AD4A05" w:rsidP="004F1C97">
      <w:pPr>
        <w:pStyle w:val="H23GA"/>
        <w:rPr>
          <w:rFonts w:hint="cs"/>
          <w:rtl/>
          <w:lang w:bidi="ar-EG"/>
        </w:rPr>
      </w:pPr>
      <w:r>
        <w:rPr>
          <w:rFonts w:hint="cs"/>
          <w:rtl/>
          <w:lang w:bidi="ar-EG"/>
        </w:rPr>
        <w:tab/>
      </w:r>
      <w:r>
        <w:rPr>
          <w:rFonts w:hint="cs"/>
          <w:rtl/>
          <w:lang w:bidi="ar-EG"/>
        </w:rPr>
        <w:tab/>
      </w:r>
      <w:r w:rsidR="000B7434" w:rsidRPr="00EC4329">
        <w:rPr>
          <w:rFonts w:hint="cs"/>
          <w:rtl/>
          <w:lang w:bidi="ar-EG"/>
        </w:rPr>
        <w:t>معلومات أساسية</w:t>
      </w:r>
    </w:p>
    <w:p w:rsidR="000B7434" w:rsidRPr="00EC4329" w:rsidRDefault="00AD4A05" w:rsidP="009A4450">
      <w:pPr>
        <w:pStyle w:val="SingleTxtGA"/>
        <w:rPr>
          <w:rFonts w:hint="cs"/>
          <w:rtl/>
          <w:lang w:bidi="ar-EG"/>
        </w:rPr>
      </w:pPr>
      <w:r>
        <w:rPr>
          <w:rFonts w:hint="cs"/>
          <w:rtl/>
          <w:lang w:bidi="ar-EG"/>
        </w:rPr>
        <w:t>132</w:t>
      </w:r>
      <w:r w:rsidR="000B7434" w:rsidRPr="00EC4329">
        <w:rPr>
          <w:rFonts w:hint="cs"/>
          <w:rtl/>
          <w:lang w:bidi="ar-EG"/>
        </w:rPr>
        <w:t>-</w:t>
      </w:r>
      <w:r>
        <w:rPr>
          <w:rFonts w:hint="cs"/>
          <w:rtl/>
          <w:lang w:bidi="ar-EG"/>
        </w:rPr>
        <w:tab/>
      </w:r>
      <w:r w:rsidR="000B7434" w:rsidRPr="00EC4329">
        <w:rPr>
          <w:rFonts w:hint="cs"/>
          <w:rtl/>
          <w:lang w:bidi="ar-EG"/>
        </w:rPr>
        <w:t xml:space="preserve">الرقم الإرشادي لتنمية المرأة في نيبال هو0.391 والرقم الإرشادي لتمكين المرأة في نيبال هو 0.452. ويبلغ مجموع قوة العمل في نيبال ما نسبته 63.4 في المائة </w:t>
      </w:r>
      <w:r w:rsidR="0075177C">
        <w:rPr>
          <w:rtl/>
          <w:lang w:bidi="ar-EG"/>
        </w:rPr>
        <w:t>"</w:t>
      </w:r>
      <w:r w:rsidR="000B7434" w:rsidRPr="00EC4329">
        <w:rPr>
          <w:rFonts w:hint="cs"/>
          <w:rtl/>
          <w:lang w:bidi="ar-EG"/>
        </w:rPr>
        <w:t>من الفئة العمرية عشر سنوات وأكثر</w:t>
      </w:r>
      <w:r w:rsidR="0075177C">
        <w:rPr>
          <w:rtl/>
          <w:lang w:bidi="ar-EG"/>
        </w:rPr>
        <w:t>"</w:t>
      </w:r>
      <w:r w:rsidR="000B7434" w:rsidRPr="00EC4329">
        <w:rPr>
          <w:rFonts w:hint="cs"/>
          <w:rtl/>
          <w:lang w:bidi="ar-EG"/>
        </w:rPr>
        <w:t xml:space="preserve"> والتي تشكل المرأة فيها 55.2 في المائة والرجل 71.6</w:t>
      </w:r>
      <w:r>
        <w:rPr>
          <w:rFonts w:hint="cs"/>
          <w:rtl/>
          <w:lang w:bidi="ar-EG"/>
        </w:rPr>
        <w:t xml:space="preserve"> </w:t>
      </w:r>
      <w:r w:rsidR="000B7434" w:rsidRPr="00EC4329">
        <w:rPr>
          <w:rFonts w:hint="cs"/>
          <w:rtl/>
          <w:lang w:bidi="ar-EG"/>
        </w:rPr>
        <w:t>في</w:t>
      </w:r>
      <w:r>
        <w:rPr>
          <w:rFonts w:hint="cs"/>
          <w:rtl/>
          <w:lang w:bidi="ar-EG"/>
        </w:rPr>
        <w:t xml:space="preserve"> </w:t>
      </w:r>
      <w:r w:rsidR="000B7434" w:rsidRPr="00EC4329">
        <w:rPr>
          <w:rFonts w:hint="cs"/>
          <w:rtl/>
          <w:lang w:bidi="ar-EG"/>
        </w:rPr>
        <w:t xml:space="preserve">المائة. وفيما يخص المرأة فإن غالبية النساء يعملن في القطاع الزراعي. ويسجل مكتب الإحصاء المركزي أيضاً أنه ثبت أن ما نسبته 57.9 في المائة من النساء يعملن في الزراعة في حين أن نسبة الرجال العاملين في هذا القطاع هي 46.7 في المائة. ومعظم النساء يعملن في القطاع غير الرسمي ويحصّلن أجورَ عيش كفاف محلية مقابل </w:t>
      </w:r>
      <w:r>
        <w:rPr>
          <w:rFonts w:hint="cs"/>
          <w:rtl/>
          <w:lang w:bidi="ar-EG"/>
        </w:rPr>
        <w:t>أ</w:t>
      </w:r>
      <w:r w:rsidR="000B7434" w:rsidRPr="00EC4329">
        <w:rPr>
          <w:rFonts w:hint="cs"/>
          <w:rtl/>
          <w:lang w:bidi="ar-EG"/>
        </w:rPr>
        <w:t xml:space="preserve">عمال رعاية. وفي الأنشطة الاقتصادية خارج المنزل، تبلغ مساهمة المرأة 36.3 ساعة في الأسبوع، ومساهمة الرجل 42.6 ساعة في الأسبوع. وفي الأنشطة غير الاقتصادية في المنزل، تبلغ مشاركة المرأة 25.1 ساعة ومشاركة الرجل 9.7 ساعة في الأسبوع. أما مشاركة المرأة والرجل في الأنشطة الاقتصادية وغير الاقتصادية بصورة عامة، فهي </w:t>
      </w:r>
      <w:r w:rsidR="008B03DA">
        <w:rPr>
          <w:rFonts w:hint="cs"/>
          <w:rtl/>
          <w:lang w:bidi="ar-EG"/>
        </w:rPr>
        <w:t>103.9 ساعات في الأسبوع للمرأة و</w:t>
      </w:r>
      <w:r w:rsidR="000B7434" w:rsidRPr="00EC4329">
        <w:rPr>
          <w:rFonts w:hint="cs"/>
          <w:rtl/>
          <w:lang w:bidi="ar-EG"/>
        </w:rPr>
        <w:t>92.8 ساعة في الأسبوع للرجل. وكانت مساهمة المرأة هامة ليس فقط في الفترة العادية بل وكذلك أثناء فترة</w:t>
      </w:r>
      <w:r w:rsidR="009A4450">
        <w:rPr>
          <w:rFonts w:hint="cs"/>
          <w:rtl/>
          <w:lang w:bidi="ar-EG"/>
        </w:rPr>
        <w:t xml:space="preserve"> النزاع</w:t>
      </w:r>
      <w:r w:rsidR="000B7434" w:rsidRPr="00EC4329">
        <w:rPr>
          <w:rFonts w:hint="cs"/>
          <w:rtl/>
          <w:lang w:bidi="ar-EG"/>
        </w:rPr>
        <w:t xml:space="preserve">. وفي المناطق المتأثرة </w:t>
      </w:r>
      <w:r w:rsidR="009A4450">
        <w:rPr>
          <w:rFonts w:hint="cs"/>
          <w:rtl/>
          <w:lang w:bidi="ar-EG"/>
        </w:rPr>
        <w:t>بالنزاع</w:t>
      </w:r>
      <w:r w:rsidR="000B7434" w:rsidRPr="00EC4329">
        <w:rPr>
          <w:rFonts w:hint="cs"/>
          <w:rtl/>
          <w:lang w:bidi="ar-EG"/>
        </w:rPr>
        <w:t>، كان على المرأة أن تقوم بكل الأنشطة بما في ذلك الرعاية والأنشطة الاقتصادية الأخرى، بينما توجه غالبية الرجال في سن التجنيد إما إلى الهند، أو إلى المدن الحضرية في نيبال للفرار من الحرب أو الانضمام إلى</w:t>
      </w:r>
      <w:r>
        <w:rPr>
          <w:rFonts w:hint="cs"/>
          <w:rtl/>
          <w:lang w:bidi="ar-EG"/>
        </w:rPr>
        <w:t xml:space="preserve"> </w:t>
      </w:r>
      <w:r w:rsidR="000B7434" w:rsidRPr="00EC4329">
        <w:rPr>
          <w:rFonts w:hint="cs"/>
          <w:rtl/>
          <w:lang w:bidi="ar-EG"/>
        </w:rPr>
        <w:t>المجموعات المسلحة.</w:t>
      </w:r>
    </w:p>
    <w:p w:rsidR="000B7434" w:rsidRPr="00EC4329" w:rsidRDefault="00AD4A05" w:rsidP="00AD4A05">
      <w:pPr>
        <w:pStyle w:val="SingleTxtGA"/>
        <w:rPr>
          <w:rFonts w:hint="cs"/>
          <w:rtl/>
          <w:lang w:bidi="ar-EG"/>
        </w:rPr>
      </w:pPr>
      <w:r>
        <w:rPr>
          <w:rFonts w:hint="cs"/>
          <w:rtl/>
          <w:lang w:bidi="ar-EG"/>
        </w:rPr>
        <w:t>133</w:t>
      </w:r>
      <w:r w:rsidR="000B7434" w:rsidRPr="00EC4329">
        <w:rPr>
          <w:rFonts w:hint="cs"/>
          <w:rtl/>
          <w:lang w:bidi="ar-EG"/>
        </w:rPr>
        <w:t>-</w:t>
      </w:r>
      <w:r>
        <w:rPr>
          <w:rFonts w:hint="cs"/>
          <w:rtl/>
          <w:lang w:bidi="ar-EG"/>
        </w:rPr>
        <w:tab/>
      </w:r>
      <w:r w:rsidR="000B7434" w:rsidRPr="00EC4329">
        <w:rPr>
          <w:rFonts w:hint="cs"/>
          <w:rtl/>
          <w:lang w:bidi="ar-EG"/>
        </w:rPr>
        <w:t>وتبلغ مساهمة المرأة في إجمالي الدخل الوطني 50 في المائة، وهذه أيضاً نسبة أعلى مقارنة بالرجل الذي يساهم بنسبة 44 في المائة فقط. غير أنه من حيث مجموع قوة العمل، يظهر الرقم بالنسبة إلى الرجال أعلى لأنه لا يأخذ في الاعتبار سوى القطاعات الرسمية حيث مشاركة الرجل أعلى. والأرقام المقارنة التالية للعقود الثلاث الأخيرة ترمز إلى ذلك:</w:t>
      </w:r>
    </w:p>
    <w:p w:rsidR="000B7434" w:rsidRPr="00EC4329" w:rsidRDefault="000B7434" w:rsidP="00AD4A05">
      <w:pPr>
        <w:pStyle w:val="SingleTxtGA"/>
        <w:spacing w:after="0"/>
        <w:rPr>
          <w:rFonts w:hint="cs"/>
          <w:rtl/>
          <w:lang w:bidi="ar-EG"/>
        </w:rPr>
      </w:pPr>
      <w:r w:rsidRPr="00EC4329">
        <w:rPr>
          <w:rFonts w:hint="cs"/>
          <w:rtl/>
          <w:lang w:bidi="ar-EG"/>
        </w:rPr>
        <w:t>الجدول 13</w:t>
      </w:r>
    </w:p>
    <w:p w:rsidR="000B7434" w:rsidRPr="00AD4A05" w:rsidRDefault="000B7434" w:rsidP="00AD4A05">
      <w:pPr>
        <w:pStyle w:val="SingleTxtGA"/>
        <w:rPr>
          <w:rFonts w:hint="cs"/>
          <w:b/>
          <w:bCs/>
          <w:rtl/>
          <w:lang w:bidi="ar-EG"/>
        </w:rPr>
      </w:pPr>
      <w:r w:rsidRPr="00AD4A05">
        <w:rPr>
          <w:rFonts w:hint="cs"/>
          <w:b/>
          <w:bCs/>
          <w:rtl/>
          <w:lang w:bidi="ar-EG"/>
        </w:rPr>
        <w:t>المساهمة النسبية للرجال والنساء في القوة العاملة (1981-2001)</w:t>
      </w:r>
    </w:p>
    <w:tbl>
      <w:tblPr>
        <w:bidiVisual/>
        <w:tblW w:w="0" w:type="auto"/>
        <w:tblInd w:w="1267" w:type="dxa"/>
        <w:tblLayout w:type="fixed"/>
        <w:tblCellMar>
          <w:left w:w="0" w:type="dxa"/>
          <w:right w:w="0" w:type="dxa"/>
        </w:tblCellMar>
        <w:tblLook w:val="0000" w:firstRow="0" w:lastRow="0" w:firstColumn="0" w:lastColumn="0" w:noHBand="0" w:noVBand="0"/>
      </w:tblPr>
      <w:tblGrid>
        <w:gridCol w:w="1400"/>
        <w:gridCol w:w="1274"/>
        <w:gridCol w:w="867"/>
        <w:gridCol w:w="1064"/>
        <w:gridCol w:w="966"/>
        <w:gridCol w:w="966"/>
        <w:gridCol w:w="785"/>
      </w:tblGrid>
      <w:tr w:rsidR="00AD4A05" w:rsidRPr="00230082" w:rsidTr="009A4450">
        <w:tblPrEx>
          <w:tblCellMar>
            <w:top w:w="0" w:type="dxa"/>
            <w:bottom w:w="0" w:type="dxa"/>
          </w:tblCellMar>
        </w:tblPrEx>
        <w:trPr>
          <w:cantSplit/>
          <w:tblHeader/>
        </w:trPr>
        <w:tc>
          <w:tcPr>
            <w:tcW w:w="1400" w:type="dxa"/>
            <w:vMerge w:val="restart"/>
            <w:tcBorders>
              <w:top w:val="single" w:sz="4" w:space="0" w:color="auto"/>
            </w:tcBorders>
            <w:shd w:val="clear" w:color="auto" w:fill="auto"/>
            <w:vAlign w:val="bottom"/>
          </w:tcPr>
          <w:p w:rsidR="00AD4A05" w:rsidRPr="00AD4A05" w:rsidRDefault="00AD4A05" w:rsidP="004F1C97">
            <w:pPr>
              <w:tabs>
                <w:tab w:val="left" w:pos="288"/>
                <w:tab w:val="left" w:pos="576"/>
                <w:tab w:val="left" w:pos="864"/>
                <w:tab w:val="left" w:pos="1152"/>
              </w:tabs>
              <w:spacing w:before="40" w:after="40" w:line="280" w:lineRule="exact"/>
              <w:ind w:left="57"/>
              <w:rPr>
                <w:rFonts w:hint="cs"/>
                <w:i/>
                <w:iCs/>
                <w:sz w:val="18"/>
                <w:szCs w:val="26"/>
                <w:rtl/>
                <w:lang w:bidi="ar-EG"/>
              </w:rPr>
            </w:pPr>
            <w:r w:rsidRPr="00AD4A05">
              <w:rPr>
                <w:rFonts w:hint="cs"/>
                <w:i/>
                <w:iCs/>
                <w:sz w:val="18"/>
                <w:szCs w:val="26"/>
                <w:rtl/>
                <w:lang w:bidi="ar-EG"/>
              </w:rPr>
              <w:t>المجال</w:t>
            </w:r>
          </w:p>
        </w:tc>
        <w:tc>
          <w:tcPr>
            <w:tcW w:w="2141" w:type="dxa"/>
            <w:gridSpan w:val="2"/>
            <w:tcBorders>
              <w:top w:val="single" w:sz="4" w:space="0" w:color="auto"/>
              <w:bottom w:val="single" w:sz="4" w:space="0" w:color="auto"/>
            </w:tcBorders>
            <w:shd w:val="clear" w:color="auto" w:fill="auto"/>
            <w:vAlign w:val="bottom"/>
          </w:tcPr>
          <w:p w:rsidR="00AD4A05" w:rsidRPr="00AD4A05" w:rsidRDefault="00AD4A05" w:rsidP="004F1C97">
            <w:pPr>
              <w:tabs>
                <w:tab w:val="left" w:pos="288"/>
                <w:tab w:val="left" w:pos="576"/>
                <w:tab w:val="left" w:pos="864"/>
                <w:tab w:val="left" w:pos="1152"/>
              </w:tabs>
              <w:spacing w:before="40" w:after="40" w:line="280" w:lineRule="exact"/>
              <w:ind w:left="57"/>
              <w:jc w:val="center"/>
              <w:rPr>
                <w:rFonts w:hint="cs"/>
                <w:i/>
                <w:iCs/>
                <w:sz w:val="18"/>
                <w:szCs w:val="26"/>
                <w:rtl/>
                <w:lang w:bidi="ar-EG"/>
              </w:rPr>
            </w:pPr>
            <w:r w:rsidRPr="00AD4A05">
              <w:rPr>
                <w:rFonts w:hint="cs"/>
                <w:i/>
                <w:iCs/>
                <w:sz w:val="18"/>
                <w:szCs w:val="26"/>
                <w:rtl/>
                <w:lang w:bidi="ar-EG"/>
              </w:rPr>
              <w:t>1981</w:t>
            </w:r>
          </w:p>
        </w:tc>
        <w:tc>
          <w:tcPr>
            <w:tcW w:w="2030" w:type="dxa"/>
            <w:gridSpan w:val="2"/>
            <w:tcBorders>
              <w:top w:val="single" w:sz="4" w:space="0" w:color="auto"/>
              <w:bottom w:val="single" w:sz="4" w:space="0" w:color="auto"/>
            </w:tcBorders>
            <w:shd w:val="clear" w:color="auto" w:fill="auto"/>
            <w:vAlign w:val="bottom"/>
          </w:tcPr>
          <w:p w:rsidR="00AD4A05" w:rsidRPr="00AD4A05" w:rsidRDefault="00AD4A05" w:rsidP="004F1C97">
            <w:pPr>
              <w:tabs>
                <w:tab w:val="left" w:pos="288"/>
                <w:tab w:val="left" w:pos="576"/>
                <w:tab w:val="left" w:pos="864"/>
                <w:tab w:val="left" w:pos="1152"/>
              </w:tabs>
              <w:spacing w:before="40" w:after="40" w:line="280" w:lineRule="exact"/>
              <w:ind w:left="57"/>
              <w:jc w:val="center"/>
              <w:rPr>
                <w:rFonts w:hint="cs"/>
                <w:i/>
                <w:iCs/>
                <w:sz w:val="18"/>
                <w:szCs w:val="26"/>
                <w:rtl/>
                <w:lang w:bidi="ar-EG"/>
              </w:rPr>
            </w:pPr>
            <w:r w:rsidRPr="00AD4A05">
              <w:rPr>
                <w:rFonts w:hint="cs"/>
                <w:i/>
                <w:iCs/>
                <w:sz w:val="18"/>
                <w:szCs w:val="26"/>
                <w:rtl/>
                <w:lang w:bidi="ar-EG"/>
              </w:rPr>
              <w:t>1991</w:t>
            </w:r>
          </w:p>
        </w:tc>
        <w:tc>
          <w:tcPr>
            <w:tcW w:w="1751" w:type="dxa"/>
            <w:gridSpan w:val="2"/>
            <w:tcBorders>
              <w:top w:val="single" w:sz="4" w:space="0" w:color="auto"/>
              <w:bottom w:val="single" w:sz="4" w:space="0" w:color="auto"/>
            </w:tcBorders>
            <w:shd w:val="clear" w:color="auto" w:fill="auto"/>
            <w:vAlign w:val="bottom"/>
          </w:tcPr>
          <w:p w:rsidR="00AD4A05" w:rsidRPr="00AD4A05" w:rsidRDefault="00AD4A05" w:rsidP="004F1C97">
            <w:pPr>
              <w:tabs>
                <w:tab w:val="left" w:pos="288"/>
                <w:tab w:val="left" w:pos="576"/>
                <w:tab w:val="left" w:pos="864"/>
                <w:tab w:val="left" w:pos="1152"/>
              </w:tabs>
              <w:spacing w:before="40" w:after="40" w:line="280" w:lineRule="exact"/>
              <w:ind w:left="57"/>
              <w:jc w:val="center"/>
              <w:rPr>
                <w:rFonts w:hint="cs"/>
                <w:i/>
                <w:iCs/>
                <w:sz w:val="18"/>
                <w:szCs w:val="26"/>
                <w:rtl/>
                <w:lang w:bidi="ar-EG"/>
              </w:rPr>
            </w:pPr>
            <w:r w:rsidRPr="00AD4A05">
              <w:rPr>
                <w:rFonts w:hint="cs"/>
                <w:i/>
                <w:iCs/>
                <w:sz w:val="18"/>
                <w:szCs w:val="26"/>
                <w:rtl/>
                <w:lang w:bidi="ar-EG"/>
              </w:rPr>
              <w:t>2001</w:t>
            </w:r>
          </w:p>
        </w:tc>
      </w:tr>
      <w:tr w:rsidR="00AD4A05" w:rsidRPr="00230082" w:rsidTr="009A4450">
        <w:tblPrEx>
          <w:tblCellMar>
            <w:top w:w="0" w:type="dxa"/>
            <w:bottom w:w="0" w:type="dxa"/>
          </w:tblCellMar>
        </w:tblPrEx>
        <w:trPr>
          <w:cantSplit/>
          <w:tblHeader/>
        </w:trPr>
        <w:tc>
          <w:tcPr>
            <w:tcW w:w="1400" w:type="dxa"/>
            <w:vMerge/>
            <w:tcBorders>
              <w:bottom w:val="single" w:sz="12" w:space="0" w:color="auto"/>
            </w:tcBorders>
            <w:shd w:val="clear" w:color="auto" w:fill="auto"/>
            <w:vAlign w:val="bottom"/>
          </w:tcPr>
          <w:p w:rsidR="00AD4A05" w:rsidRPr="00AD4A05" w:rsidRDefault="00AD4A05" w:rsidP="004F1C97">
            <w:pPr>
              <w:tabs>
                <w:tab w:val="left" w:pos="288"/>
                <w:tab w:val="left" w:pos="576"/>
                <w:tab w:val="left" w:pos="864"/>
                <w:tab w:val="left" w:pos="1152"/>
              </w:tabs>
              <w:spacing w:before="40" w:after="40" w:line="280" w:lineRule="exact"/>
              <w:ind w:left="57"/>
              <w:rPr>
                <w:rFonts w:hint="cs"/>
                <w:i/>
                <w:iCs/>
                <w:sz w:val="18"/>
                <w:szCs w:val="26"/>
                <w:rtl/>
                <w:lang w:bidi="ar-EG"/>
              </w:rPr>
            </w:pPr>
          </w:p>
        </w:tc>
        <w:tc>
          <w:tcPr>
            <w:tcW w:w="1274" w:type="dxa"/>
            <w:tcBorders>
              <w:top w:val="single" w:sz="4" w:space="0" w:color="auto"/>
              <w:bottom w:val="single" w:sz="12" w:space="0" w:color="auto"/>
            </w:tcBorders>
            <w:shd w:val="clear" w:color="auto" w:fill="auto"/>
            <w:vAlign w:val="bottom"/>
          </w:tcPr>
          <w:p w:rsidR="00AD4A05" w:rsidRPr="00AD4A05" w:rsidRDefault="00AD4A05" w:rsidP="004F1C97">
            <w:pPr>
              <w:tabs>
                <w:tab w:val="left" w:pos="662"/>
                <w:tab w:val="left" w:pos="1267"/>
                <w:tab w:val="left" w:pos="1987"/>
                <w:tab w:val="left" w:pos="2650"/>
              </w:tabs>
              <w:spacing w:before="40" w:after="40" w:line="280" w:lineRule="exact"/>
              <w:ind w:left="57"/>
              <w:rPr>
                <w:rFonts w:hint="cs"/>
                <w:i/>
                <w:iCs/>
                <w:sz w:val="18"/>
                <w:szCs w:val="26"/>
                <w:rtl/>
                <w:lang w:bidi="ar-EG"/>
              </w:rPr>
            </w:pPr>
            <w:r w:rsidRPr="00AD4A05">
              <w:rPr>
                <w:rFonts w:hint="cs"/>
                <w:i/>
                <w:iCs/>
                <w:sz w:val="18"/>
                <w:szCs w:val="26"/>
                <w:rtl/>
                <w:lang w:bidi="ar-EG"/>
              </w:rPr>
              <w:t>ذكور</w:t>
            </w:r>
          </w:p>
        </w:tc>
        <w:tc>
          <w:tcPr>
            <w:tcW w:w="867" w:type="dxa"/>
            <w:tcBorders>
              <w:top w:val="single" w:sz="4" w:space="0" w:color="auto"/>
              <w:bottom w:val="single" w:sz="12" w:space="0" w:color="auto"/>
            </w:tcBorders>
            <w:shd w:val="clear" w:color="auto" w:fill="auto"/>
            <w:vAlign w:val="bottom"/>
          </w:tcPr>
          <w:p w:rsidR="00AD4A05" w:rsidRPr="00AD4A05" w:rsidRDefault="00AD4A05" w:rsidP="004F1C97">
            <w:pPr>
              <w:tabs>
                <w:tab w:val="left" w:pos="662"/>
                <w:tab w:val="left" w:pos="1267"/>
                <w:tab w:val="left" w:pos="1987"/>
                <w:tab w:val="left" w:pos="2650"/>
              </w:tabs>
              <w:spacing w:before="40" w:after="40" w:line="280" w:lineRule="exact"/>
              <w:ind w:left="57"/>
              <w:rPr>
                <w:rFonts w:hint="cs"/>
                <w:i/>
                <w:iCs/>
                <w:sz w:val="18"/>
                <w:szCs w:val="26"/>
                <w:rtl/>
                <w:lang w:bidi="ar-EG"/>
              </w:rPr>
            </w:pPr>
            <w:r w:rsidRPr="00AD4A05">
              <w:rPr>
                <w:rFonts w:hint="cs"/>
                <w:i/>
                <w:iCs/>
                <w:sz w:val="18"/>
                <w:szCs w:val="26"/>
                <w:rtl/>
                <w:lang w:bidi="ar-EG"/>
              </w:rPr>
              <w:t>إناث</w:t>
            </w:r>
          </w:p>
        </w:tc>
        <w:tc>
          <w:tcPr>
            <w:tcW w:w="1064" w:type="dxa"/>
            <w:tcBorders>
              <w:top w:val="single" w:sz="4" w:space="0" w:color="auto"/>
              <w:bottom w:val="single" w:sz="12" w:space="0" w:color="auto"/>
            </w:tcBorders>
            <w:shd w:val="clear" w:color="auto" w:fill="auto"/>
            <w:vAlign w:val="bottom"/>
          </w:tcPr>
          <w:p w:rsidR="00AD4A05" w:rsidRPr="00AD4A05" w:rsidRDefault="00AD4A05" w:rsidP="004F1C97">
            <w:pPr>
              <w:tabs>
                <w:tab w:val="left" w:pos="662"/>
                <w:tab w:val="left" w:pos="1267"/>
                <w:tab w:val="left" w:pos="1987"/>
                <w:tab w:val="left" w:pos="2650"/>
              </w:tabs>
              <w:spacing w:before="40" w:after="40" w:line="280" w:lineRule="exact"/>
              <w:ind w:left="57"/>
              <w:rPr>
                <w:rFonts w:hint="cs"/>
                <w:i/>
                <w:iCs/>
                <w:sz w:val="18"/>
                <w:szCs w:val="26"/>
                <w:rtl/>
                <w:lang w:bidi="ar-EG"/>
              </w:rPr>
            </w:pPr>
            <w:r w:rsidRPr="00AD4A05">
              <w:rPr>
                <w:rFonts w:hint="cs"/>
                <w:i/>
                <w:iCs/>
                <w:sz w:val="18"/>
                <w:szCs w:val="26"/>
                <w:rtl/>
                <w:lang w:bidi="ar-EG"/>
              </w:rPr>
              <w:t>ذكور</w:t>
            </w:r>
          </w:p>
        </w:tc>
        <w:tc>
          <w:tcPr>
            <w:tcW w:w="966" w:type="dxa"/>
            <w:tcBorders>
              <w:top w:val="single" w:sz="4" w:space="0" w:color="auto"/>
              <w:bottom w:val="single" w:sz="12" w:space="0" w:color="auto"/>
            </w:tcBorders>
            <w:shd w:val="clear" w:color="auto" w:fill="auto"/>
            <w:vAlign w:val="bottom"/>
          </w:tcPr>
          <w:p w:rsidR="00AD4A05" w:rsidRPr="00AD4A05" w:rsidRDefault="00AD4A05" w:rsidP="004F1C97">
            <w:pPr>
              <w:tabs>
                <w:tab w:val="left" w:pos="662"/>
                <w:tab w:val="left" w:pos="1267"/>
                <w:tab w:val="left" w:pos="1987"/>
                <w:tab w:val="left" w:pos="2650"/>
              </w:tabs>
              <w:spacing w:before="40" w:after="40" w:line="280" w:lineRule="exact"/>
              <w:ind w:left="57"/>
              <w:rPr>
                <w:rFonts w:hint="cs"/>
                <w:i/>
                <w:iCs/>
                <w:sz w:val="18"/>
                <w:szCs w:val="26"/>
                <w:rtl/>
                <w:lang w:bidi="ar-EG"/>
              </w:rPr>
            </w:pPr>
            <w:r w:rsidRPr="00AD4A05">
              <w:rPr>
                <w:rFonts w:hint="cs"/>
                <w:i/>
                <w:iCs/>
                <w:sz w:val="18"/>
                <w:szCs w:val="26"/>
                <w:rtl/>
                <w:lang w:bidi="ar-EG"/>
              </w:rPr>
              <w:t>إناث</w:t>
            </w:r>
          </w:p>
        </w:tc>
        <w:tc>
          <w:tcPr>
            <w:tcW w:w="966" w:type="dxa"/>
            <w:tcBorders>
              <w:top w:val="single" w:sz="4" w:space="0" w:color="auto"/>
              <w:bottom w:val="single" w:sz="12" w:space="0" w:color="auto"/>
            </w:tcBorders>
            <w:shd w:val="clear" w:color="auto" w:fill="auto"/>
            <w:vAlign w:val="bottom"/>
          </w:tcPr>
          <w:p w:rsidR="00AD4A05" w:rsidRPr="00AD4A05" w:rsidRDefault="00AD4A05" w:rsidP="004F1C97">
            <w:pPr>
              <w:tabs>
                <w:tab w:val="left" w:pos="662"/>
                <w:tab w:val="left" w:pos="1267"/>
                <w:tab w:val="left" w:pos="1987"/>
                <w:tab w:val="left" w:pos="2650"/>
              </w:tabs>
              <w:spacing w:before="40" w:after="40" w:line="280" w:lineRule="exact"/>
              <w:ind w:left="57"/>
              <w:rPr>
                <w:rFonts w:hint="cs"/>
                <w:i/>
                <w:iCs/>
                <w:sz w:val="18"/>
                <w:szCs w:val="26"/>
                <w:rtl/>
                <w:lang w:bidi="ar-EG"/>
              </w:rPr>
            </w:pPr>
            <w:r w:rsidRPr="00AD4A05">
              <w:rPr>
                <w:rFonts w:hint="cs"/>
                <w:i/>
                <w:iCs/>
                <w:sz w:val="18"/>
                <w:szCs w:val="26"/>
                <w:rtl/>
                <w:lang w:bidi="ar-EG"/>
              </w:rPr>
              <w:t>ذكور</w:t>
            </w:r>
          </w:p>
        </w:tc>
        <w:tc>
          <w:tcPr>
            <w:tcW w:w="785" w:type="dxa"/>
            <w:tcBorders>
              <w:top w:val="single" w:sz="4" w:space="0" w:color="auto"/>
              <w:bottom w:val="single" w:sz="12" w:space="0" w:color="auto"/>
            </w:tcBorders>
            <w:shd w:val="clear" w:color="auto" w:fill="auto"/>
            <w:vAlign w:val="bottom"/>
          </w:tcPr>
          <w:p w:rsidR="00AD4A05" w:rsidRPr="00AD4A05" w:rsidRDefault="00AD4A05" w:rsidP="004F1C97">
            <w:pPr>
              <w:tabs>
                <w:tab w:val="left" w:pos="662"/>
                <w:tab w:val="left" w:pos="1267"/>
                <w:tab w:val="left" w:pos="1987"/>
                <w:tab w:val="left" w:pos="2650"/>
              </w:tabs>
              <w:spacing w:before="40" w:after="40" w:line="280" w:lineRule="exact"/>
              <w:ind w:left="57"/>
              <w:rPr>
                <w:rFonts w:hint="cs"/>
                <w:i/>
                <w:iCs/>
                <w:sz w:val="18"/>
                <w:szCs w:val="26"/>
                <w:rtl/>
                <w:lang w:bidi="ar-EG"/>
              </w:rPr>
            </w:pPr>
            <w:r w:rsidRPr="00AD4A05">
              <w:rPr>
                <w:rFonts w:hint="cs"/>
                <w:i/>
                <w:iCs/>
                <w:sz w:val="18"/>
                <w:szCs w:val="26"/>
                <w:rtl/>
                <w:lang w:bidi="ar-EG"/>
              </w:rPr>
              <w:t>إناث</w:t>
            </w:r>
          </w:p>
        </w:tc>
      </w:tr>
      <w:tr w:rsidR="000B7434" w:rsidRPr="00230082" w:rsidTr="009A4450">
        <w:tblPrEx>
          <w:tblCellMar>
            <w:top w:w="0" w:type="dxa"/>
            <w:bottom w:w="0" w:type="dxa"/>
          </w:tblCellMar>
        </w:tblPrEx>
        <w:trPr>
          <w:cantSplit/>
        </w:trPr>
        <w:tc>
          <w:tcPr>
            <w:tcW w:w="1400" w:type="dxa"/>
            <w:shd w:val="clear" w:color="auto" w:fill="auto"/>
            <w:vAlign w:val="bottom"/>
          </w:tcPr>
          <w:p w:rsidR="000B7434" w:rsidRPr="00AD4A05"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AD4A05">
              <w:rPr>
                <w:rFonts w:hint="cs"/>
                <w:sz w:val="18"/>
                <w:szCs w:val="26"/>
                <w:rtl/>
                <w:lang w:bidi="ar-EG"/>
              </w:rPr>
              <w:t>الزراعة</w:t>
            </w:r>
          </w:p>
        </w:tc>
        <w:tc>
          <w:tcPr>
            <w:tcW w:w="1274" w:type="dxa"/>
            <w:shd w:val="clear" w:color="auto" w:fill="auto"/>
            <w:vAlign w:val="bottom"/>
          </w:tcPr>
          <w:p w:rsidR="000B7434" w:rsidRPr="00AD4A05"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AD4A05">
              <w:rPr>
                <w:rFonts w:hint="cs"/>
                <w:sz w:val="18"/>
                <w:szCs w:val="26"/>
                <w:rtl/>
                <w:lang w:bidi="ar-EG"/>
              </w:rPr>
              <w:t>88.9</w:t>
            </w:r>
            <w:r w:rsidR="00CA75D3" w:rsidRPr="00AD4A05">
              <w:rPr>
                <w:rFonts w:hint="cs"/>
                <w:sz w:val="18"/>
                <w:szCs w:val="26"/>
                <w:rtl/>
                <w:lang w:bidi="ar-EG"/>
              </w:rPr>
              <w:t>٪</w:t>
            </w:r>
          </w:p>
        </w:tc>
        <w:tc>
          <w:tcPr>
            <w:tcW w:w="867" w:type="dxa"/>
            <w:shd w:val="clear" w:color="auto" w:fill="auto"/>
            <w:vAlign w:val="bottom"/>
          </w:tcPr>
          <w:p w:rsidR="000B7434" w:rsidRPr="00AD4A05"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AD4A05">
              <w:rPr>
                <w:rFonts w:hint="cs"/>
                <w:sz w:val="18"/>
                <w:szCs w:val="26"/>
                <w:rtl/>
                <w:lang w:bidi="ar-EG"/>
              </w:rPr>
              <w:t>96.1</w:t>
            </w:r>
            <w:r w:rsidR="00CA75D3" w:rsidRPr="00AD4A05">
              <w:rPr>
                <w:rFonts w:hint="cs"/>
                <w:sz w:val="18"/>
                <w:szCs w:val="26"/>
                <w:rtl/>
                <w:lang w:bidi="ar-EG"/>
              </w:rPr>
              <w:t>٪</w:t>
            </w:r>
          </w:p>
        </w:tc>
        <w:tc>
          <w:tcPr>
            <w:tcW w:w="1064" w:type="dxa"/>
            <w:shd w:val="clear" w:color="auto" w:fill="auto"/>
            <w:vAlign w:val="bottom"/>
          </w:tcPr>
          <w:p w:rsidR="000B7434" w:rsidRPr="00AD4A05"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AD4A05">
              <w:rPr>
                <w:rFonts w:hint="cs"/>
                <w:sz w:val="18"/>
                <w:szCs w:val="26"/>
                <w:rtl/>
                <w:lang w:bidi="ar-EG"/>
              </w:rPr>
              <w:t>74.8</w:t>
            </w:r>
            <w:r w:rsidR="00CA75D3" w:rsidRPr="00AD4A05">
              <w:rPr>
                <w:rFonts w:hint="cs"/>
                <w:sz w:val="18"/>
                <w:szCs w:val="26"/>
                <w:rtl/>
                <w:lang w:bidi="ar-EG"/>
              </w:rPr>
              <w:t>٪</w:t>
            </w:r>
          </w:p>
        </w:tc>
        <w:tc>
          <w:tcPr>
            <w:tcW w:w="966" w:type="dxa"/>
            <w:shd w:val="clear" w:color="auto" w:fill="auto"/>
            <w:vAlign w:val="bottom"/>
          </w:tcPr>
          <w:p w:rsidR="000B7434" w:rsidRPr="00AD4A05"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AD4A05">
              <w:rPr>
                <w:rFonts w:hint="cs"/>
                <w:sz w:val="18"/>
                <w:szCs w:val="26"/>
                <w:rtl/>
                <w:lang w:bidi="ar-EG"/>
              </w:rPr>
              <w:t>90.5</w:t>
            </w:r>
            <w:r w:rsidR="00CA75D3" w:rsidRPr="00AD4A05">
              <w:rPr>
                <w:rFonts w:hint="cs"/>
                <w:sz w:val="18"/>
                <w:szCs w:val="26"/>
                <w:rtl/>
                <w:lang w:bidi="ar-EG"/>
              </w:rPr>
              <w:t>٪</w:t>
            </w:r>
          </w:p>
        </w:tc>
        <w:tc>
          <w:tcPr>
            <w:tcW w:w="966" w:type="dxa"/>
            <w:shd w:val="clear" w:color="auto" w:fill="auto"/>
            <w:vAlign w:val="bottom"/>
          </w:tcPr>
          <w:p w:rsidR="000B7434" w:rsidRPr="00AD4A05"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AD4A05">
              <w:rPr>
                <w:rFonts w:hint="cs"/>
                <w:sz w:val="18"/>
                <w:szCs w:val="26"/>
                <w:rtl/>
                <w:lang w:bidi="ar-EG"/>
              </w:rPr>
              <w:t>62.7</w:t>
            </w:r>
            <w:r w:rsidR="00CA75D3" w:rsidRPr="00AD4A05">
              <w:rPr>
                <w:rFonts w:hint="cs"/>
                <w:sz w:val="18"/>
                <w:szCs w:val="26"/>
                <w:rtl/>
                <w:lang w:bidi="ar-EG"/>
              </w:rPr>
              <w:t>٪</w:t>
            </w:r>
          </w:p>
        </w:tc>
        <w:tc>
          <w:tcPr>
            <w:tcW w:w="785" w:type="dxa"/>
            <w:shd w:val="clear" w:color="auto" w:fill="auto"/>
            <w:vAlign w:val="bottom"/>
          </w:tcPr>
          <w:p w:rsidR="000B7434" w:rsidRPr="00AD4A05"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AD4A05">
              <w:rPr>
                <w:rFonts w:hint="cs"/>
                <w:sz w:val="18"/>
                <w:szCs w:val="26"/>
                <w:rtl/>
                <w:lang w:bidi="ar-EG"/>
              </w:rPr>
              <w:t>79.7</w:t>
            </w:r>
            <w:r w:rsidR="00CA75D3" w:rsidRPr="00AD4A05">
              <w:rPr>
                <w:rFonts w:hint="cs"/>
                <w:sz w:val="18"/>
                <w:szCs w:val="26"/>
                <w:rtl/>
                <w:lang w:bidi="ar-EG"/>
              </w:rPr>
              <w:t>٪</w:t>
            </w:r>
          </w:p>
        </w:tc>
      </w:tr>
      <w:tr w:rsidR="000B7434" w:rsidRPr="00230082" w:rsidTr="009A4450">
        <w:tblPrEx>
          <w:tblCellMar>
            <w:top w:w="0" w:type="dxa"/>
            <w:bottom w:w="0" w:type="dxa"/>
          </w:tblCellMar>
        </w:tblPrEx>
        <w:trPr>
          <w:cantSplit/>
        </w:trPr>
        <w:tc>
          <w:tcPr>
            <w:tcW w:w="1400" w:type="dxa"/>
            <w:tcBorders>
              <w:bottom w:val="single" w:sz="12" w:space="0" w:color="auto"/>
            </w:tcBorders>
            <w:shd w:val="clear" w:color="auto" w:fill="auto"/>
            <w:vAlign w:val="bottom"/>
          </w:tcPr>
          <w:p w:rsidR="000B7434" w:rsidRPr="00AD4A05"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AD4A05">
              <w:rPr>
                <w:rFonts w:hint="cs"/>
                <w:sz w:val="18"/>
                <w:szCs w:val="26"/>
                <w:rtl/>
                <w:lang w:bidi="ar-EG"/>
              </w:rPr>
              <w:t>غير الزراعة</w:t>
            </w:r>
          </w:p>
        </w:tc>
        <w:tc>
          <w:tcPr>
            <w:tcW w:w="1274" w:type="dxa"/>
            <w:tcBorders>
              <w:bottom w:val="single" w:sz="12" w:space="0" w:color="auto"/>
            </w:tcBorders>
            <w:shd w:val="clear" w:color="auto" w:fill="auto"/>
            <w:vAlign w:val="bottom"/>
          </w:tcPr>
          <w:p w:rsidR="000B7434" w:rsidRPr="00AD4A05"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AD4A05">
              <w:rPr>
                <w:rFonts w:hint="cs"/>
                <w:sz w:val="18"/>
                <w:szCs w:val="26"/>
                <w:rtl/>
                <w:lang w:bidi="ar-EG"/>
              </w:rPr>
              <w:t>11.1</w:t>
            </w:r>
            <w:r w:rsidR="00CA75D3" w:rsidRPr="00AD4A05">
              <w:rPr>
                <w:rFonts w:hint="cs"/>
                <w:sz w:val="18"/>
                <w:szCs w:val="26"/>
                <w:rtl/>
                <w:lang w:bidi="ar-EG"/>
              </w:rPr>
              <w:t>٪</w:t>
            </w:r>
          </w:p>
        </w:tc>
        <w:tc>
          <w:tcPr>
            <w:tcW w:w="867" w:type="dxa"/>
            <w:tcBorders>
              <w:bottom w:val="single" w:sz="12" w:space="0" w:color="auto"/>
            </w:tcBorders>
            <w:shd w:val="clear" w:color="auto" w:fill="auto"/>
            <w:vAlign w:val="bottom"/>
          </w:tcPr>
          <w:p w:rsidR="000B7434" w:rsidRPr="00AD4A05"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AD4A05">
              <w:rPr>
                <w:rFonts w:hint="cs"/>
                <w:sz w:val="18"/>
                <w:szCs w:val="26"/>
                <w:rtl/>
                <w:lang w:bidi="ar-EG"/>
              </w:rPr>
              <w:t>3.9</w:t>
            </w:r>
            <w:r w:rsidR="00CA75D3" w:rsidRPr="00AD4A05">
              <w:rPr>
                <w:rFonts w:hint="cs"/>
                <w:sz w:val="18"/>
                <w:szCs w:val="26"/>
                <w:rtl/>
                <w:lang w:bidi="ar-EG"/>
              </w:rPr>
              <w:t>٪</w:t>
            </w:r>
          </w:p>
        </w:tc>
        <w:tc>
          <w:tcPr>
            <w:tcW w:w="1064" w:type="dxa"/>
            <w:tcBorders>
              <w:bottom w:val="single" w:sz="12" w:space="0" w:color="auto"/>
            </w:tcBorders>
            <w:shd w:val="clear" w:color="auto" w:fill="auto"/>
            <w:vAlign w:val="bottom"/>
          </w:tcPr>
          <w:p w:rsidR="000B7434" w:rsidRPr="00AD4A05"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AD4A05">
              <w:rPr>
                <w:rFonts w:hint="cs"/>
                <w:sz w:val="18"/>
                <w:szCs w:val="26"/>
                <w:rtl/>
                <w:lang w:bidi="ar-EG"/>
              </w:rPr>
              <w:t>25.2</w:t>
            </w:r>
            <w:r w:rsidR="00CA75D3" w:rsidRPr="00AD4A05">
              <w:rPr>
                <w:rFonts w:hint="cs"/>
                <w:sz w:val="18"/>
                <w:szCs w:val="26"/>
                <w:rtl/>
                <w:lang w:bidi="ar-EG"/>
              </w:rPr>
              <w:t>٪</w:t>
            </w:r>
          </w:p>
        </w:tc>
        <w:tc>
          <w:tcPr>
            <w:tcW w:w="966" w:type="dxa"/>
            <w:tcBorders>
              <w:bottom w:val="single" w:sz="12" w:space="0" w:color="auto"/>
            </w:tcBorders>
            <w:shd w:val="clear" w:color="auto" w:fill="auto"/>
            <w:vAlign w:val="bottom"/>
          </w:tcPr>
          <w:p w:rsidR="000B7434" w:rsidRPr="00AD4A05"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AD4A05">
              <w:rPr>
                <w:rFonts w:hint="cs"/>
                <w:sz w:val="18"/>
                <w:szCs w:val="26"/>
                <w:rtl/>
                <w:lang w:bidi="ar-EG"/>
              </w:rPr>
              <w:t>9.5</w:t>
            </w:r>
            <w:r w:rsidR="00CA75D3" w:rsidRPr="00AD4A05">
              <w:rPr>
                <w:rFonts w:hint="cs"/>
                <w:sz w:val="18"/>
                <w:szCs w:val="26"/>
                <w:rtl/>
                <w:lang w:bidi="ar-EG"/>
              </w:rPr>
              <w:t>٪</w:t>
            </w:r>
          </w:p>
        </w:tc>
        <w:tc>
          <w:tcPr>
            <w:tcW w:w="966" w:type="dxa"/>
            <w:tcBorders>
              <w:bottom w:val="single" w:sz="12" w:space="0" w:color="auto"/>
            </w:tcBorders>
            <w:shd w:val="clear" w:color="auto" w:fill="auto"/>
            <w:vAlign w:val="bottom"/>
          </w:tcPr>
          <w:p w:rsidR="000B7434" w:rsidRPr="00AD4A05"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AD4A05">
              <w:rPr>
                <w:rFonts w:hint="cs"/>
                <w:sz w:val="18"/>
                <w:szCs w:val="26"/>
                <w:rtl/>
                <w:lang w:bidi="ar-EG"/>
              </w:rPr>
              <w:t>37.3</w:t>
            </w:r>
            <w:r w:rsidR="00CA75D3" w:rsidRPr="00AD4A05">
              <w:rPr>
                <w:rFonts w:hint="cs"/>
                <w:sz w:val="18"/>
                <w:szCs w:val="26"/>
                <w:rtl/>
                <w:lang w:bidi="ar-EG"/>
              </w:rPr>
              <w:t>٪</w:t>
            </w:r>
          </w:p>
        </w:tc>
        <w:tc>
          <w:tcPr>
            <w:tcW w:w="785" w:type="dxa"/>
            <w:tcBorders>
              <w:bottom w:val="single" w:sz="12" w:space="0" w:color="auto"/>
            </w:tcBorders>
            <w:shd w:val="clear" w:color="auto" w:fill="auto"/>
            <w:vAlign w:val="bottom"/>
          </w:tcPr>
          <w:p w:rsidR="000B7434" w:rsidRPr="00AD4A05" w:rsidRDefault="000B7434" w:rsidP="004F1C97">
            <w:pPr>
              <w:tabs>
                <w:tab w:val="left" w:pos="662"/>
                <w:tab w:val="left" w:pos="1267"/>
                <w:tab w:val="left" w:pos="1987"/>
                <w:tab w:val="left" w:pos="2650"/>
              </w:tabs>
              <w:spacing w:before="40" w:after="40" w:line="280" w:lineRule="exact"/>
              <w:ind w:left="57"/>
              <w:rPr>
                <w:rFonts w:hint="cs"/>
                <w:sz w:val="18"/>
                <w:szCs w:val="26"/>
                <w:rtl/>
                <w:lang w:bidi="ar-EG"/>
              </w:rPr>
            </w:pPr>
            <w:r w:rsidRPr="00AD4A05">
              <w:rPr>
                <w:rFonts w:hint="cs"/>
                <w:sz w:val="18"/>
                <w:szCs w:val="26"/>
                <w:rtl/>
                <w:lang w:bidi="ar-EG"/>
              </w:rPr>
              <w:t>20.3</w:t>
            </w:r>
            <w:r w:rsidR="00CA75D3" w:rsidRPr="00AD4A05">
              <w:rPr>
                <w:rFonts w:hint="cs"/>
                <w:sz w:val="18"/>
                <w:szCs w:val="26"/>
                <w:rtl/>
                <w:lang w:bidi="ar-EG"/>
              </w:rPr>
              <w:t>٪</w:t>
            </w:r>
          </w:p>
        </w:tc>
      </w:tr>
    </w:tbl>
    <w:p w:rsidR="000B7434" w:rsidRPr="009A4450" w:rsidRDefault="009A4450" w:rsidP="009A4450">
      <w:pPr>
        <w:pStyle w:val="FootnoteText"/>
        <w:tabs>
          <w:tab w:val="right" w:pos="1915"/>
          <w:tab w:val="left" w:pos="2016"/>
          <w:tab w:val="left" w:pos="2491"/>
          <w:tab w:val="left" w:pos="2966"/>
          <w:tab w:val="left" w:pos="3442"/>
          <w:tab w:val="left" w:pos="3917"/>
        </w:tabs>
        <w:spacing w:before="120" w:after="240" w:line="300" w:lineRule="exact"/>
        <w:ind w:left="2029" w:right="1264" w:hanging="765"/>
        <w:rPr>
          <w:rFonts w:hint="cs"/>
          <w:sz w:val="26"/>
          <w:szCs w:val="26"/>
          <w:rtl/>
          <w:lang w:bidi="ar-EG"/>
        </w:rPr>
      </w:pPr>
      <w:r>
        <w:rPr>
          <w:rFonts w:hint="cs"/>
          <w:i/>
          <w:iCs/>
          <w:sz w:val="26"/>
          <w:szCs w:val="26"/>
          <w:rtl/>
          <w:lang w:bidi="ar-EG"/>
        </w:rPr>
        <w:t xml:space="preserve"> </w:t>
      </w:r>
      <w:r w:rsidR="000B7434" w:rsidRPr="009A4450">
        <w:rPr>
          <w:rFonts w:hint="cs"/>
          <w:i/>
          <w:iCs/>
          <w:sz w:val="26"/>
          <w:szCs w:val="26"/>
          <w:rtl/>
          <w:lang w:bidi="ar-EG"/>
        </w:rPr>
        <w:t>المصدر</w:t>
      </w:r>
      <w:r w:rsidR="000B7434" w:rsidRPr="009A4450">
        <w:rPr>
          <w:rFonts w:hint="cs"/>
          <w:sz w:val="26"/>
          <w:szCs w:val="26"/>
          <w:rtl/>
          <w:lang w:bidi="ar-EG"/>
        </w:rPr>
        <w:t xml:space="preserve">: </w:t>
      </w:r>
      <w:r>
        <w:rPr>
          <w:rFonts w:hint="cs"/>
          <w:sz w:val="26"/>
          <w:szCs w:val="26"/>
          <w:rtl/>
          <w:lang w:bidi="ar-EG"/>
        </w:rPr>
        <w:t xml:space="preserve"> </w:t>
      </w:r>
      <w:r w:rsidR="000B7434" w:rsidRPr="009A4450">
        <w:rPr>
          <w:rFonts w:hint="cs"/>
          <w:sz w:val="26"/>
          <w:szCs w:val="26"/>
          <w:rtl/>
          <w:lang w:bidi="ar-EG"/>
        </w:rPr>
        <w:t>مكتب الإحصاء المركزي،2001</w:t>
      </w:r>
      <w:r>
        <w:rPr>
          <w:rFonts w:hint="cs"/>
          <w:sz w:val="26"/>
          <w:szCs w:val="26"/>
          <w:rtl/>
          <w:lang w:bidi="ar-EG"/>
        </w:rPr>
        <w:t>.</w:t>
      </w:r>
    </w:p>
    <w:p w:rsidR="000B7434" w:rsidRPr="00EC4329" w:rsidRDefault="009A4450" w:rsidP="009A4450">
      <w:pPr>
        <w:pStyle w:val="SingleTxtGA"/>
        <w:rPr>
          <w:rFonts w:hint="cs"/>
          <w:rtl/>
          <w:lang w:bidi="ar-EG"/>
        </w:rPr>
      </w:pPr>
      <w:r>
        <w:rPr>
          <w:rFonts w:hint="cs"/>
          <w:rtl/>
          <w:lang w:bidi="ar-EG"/>
        </w:rPr>
        <w:t>134</w:t>
      </w:r>
      <w:r w:rsidR="000B7434" w:rsidRPr="00EC4329">
        <w:rPr>
          <w:rFonts w:hint="cs"/>
          <w:rtl/>
          <w:lang w:bidi="ar-EG"/>
        </w:rPr>
        <w:t>-</w:t>
      </w:r>
      <w:r>
        <w:rPr>
          <w:rFonts w:hint="cs"/>
          <w:rtl/>
          <w:lang w:bidi="ar-EG"/>
        </w:rPr>
        <w:tab/>
      </w:r>
      <w:r w:rsidR="000B7434" w:rsidRPr="00EC4329">
        <w:rPr>
          <w:rFonts w:hint="cs"/>
          <w:rtl/>
          <w:lang w:bidi="ar-EG"/>
        </w:rPr>
        <w:t>وأخذ عدد النساء اللواتي يتوجهن على أساس فردي للعمل في الخارج يتزايد. غير</w:t>
      </w:r>
      <w:r w:rsidR="000B7434">
        <w:rPr>
          <w:rFonts w:hint="eastAsia"/>
          <w:rtl/>
          <w:lang w:bidi="ar-EG"/>
        </w:rPr>
        <w:t> </w:t>
      </w:r>
      <w:r w:rsidR="000B7434" w:rsidRPr="00EC4329">
        <w:rPr>
          <w:rFonts w:hint="cs"/>
          <w:rtl/>
          <w:lang w:bidi="ar-EG"/>
        </w:rPr>
        <w:t>أن عدد النساء اللواتي يسافرن عن طريق وكالات التوظيف الأجنبي متدني. ويوفر الجدولان التاليان الصورة المقارنة:</w:t>
      </w:r>
    </w:p>
    <w:p w:rsidR="000B7434" w:rsidRPr="00EC4329" w:rsidRDefault="000B7434" w:rsidP="009A4450">
      <w:pPr>
        <w:pStyle w:val="SingleTxtGA"/>
        <w:spacing w:after="0"/>
        <w:rPr>
          <w:rFonts w:hint="cs"/>
          <w:rtl/>
          <w:lang w:bidi="ar-EG"/>
        </w:rPr>
      </w:pPr>
      <w:r w:rsidRPr="00EC4329">
        <w:rPr>
          <w:rFonts w:hint="cs"/>
          <w:rtl/>
          <w:lang w:bidi="ar-EG"/>
        </w:rPr>
        <w:t>الجدول 14</w:t>
      </w:r>
    </w:p>
    <w:p w:rsidR="000B7434" w:rsidRPr="009A4450" w:rsidRDefault="000B7434" w:rsidP="009A4450">
      <w:pPr>
        <w:pStyle w:val="SingleTxtGA"/>
        <w:rPr>
          <w:rFonts w:hint="cs"/>
          <w:b/>
          <w:bCs/>
          <w:rtl/>
          <w:lang w:bidi="ar-EG"/>
        </w:rPr>
      </w:pPr>
      <w:r w:rsidRPr="009A4450">
        <w:rPr>
          <w:rFonts w:hint="cs"/>
          <w:b/>
          <w:bCs/>
          <w:rtl/>
          <w:lang w:bidi="ar-EG"/>
        </w:rPr>
        <w:t>الهجرة على أساس فردي</w:t>
      </w:r>
    </w:p>
    <w:tbl>
      <w:tblPr>
        <w:bidiVisual/>
        <w:tblW w:w="7320" w:type="dxa"/>
        <w:tblInd w:w="1267" w:type="dxa"/>
        <w:tblLayout w:type="fixed"/>
        <w:tblCellMar>
          <w:left w:w="0" w:type="dxa"/>
          <w:right w:w="0" w:type="dxa"/>
        </w:tblCellMar>
        <w:tblLook w:val="0000" w:firstRow="0" w:lastRow="0" w:firstColumn="0" w:lastColumn="0" w:noHBand="0" w:noVBand="0"/>
      </w:tblPr>
      <w:tblGrid>
        <w:gridCol w:w="1014"/>
        <w:gridCol w:w="1436"/>
        <w:gridCol w:w="1875"/>
        <w:gridCol w:w="1820"/>
        <w:gridCol w:w="1175"/>
      </w:tblGrid>
      <w:tr w:rsidR="000B7434" w:rsidRPr="00F92522" w:rsidTr="009A4450">
        <w:tblPrEx>
          <w:tblCellMar>
            <w:top w:w="0" w:type="dxa"/>
            <w:bottom w:w="0" w:type="dxa"/>
          </w:tblCellMar>
        </w:tblPrEx>
        <w:trPr>
          <w:cantSplit/>
          <w:tblHeader/>
        </w:trPr>
        <w:tc>
          <w:tcPr>
            <w:tcW w:w="1014" w:type="dxa"/>
            <w:tcBorders>
              <w:top w:val="single" w:sz="4" w:space="0" w:color="auto"/>
              <w:bottom w:val="single" w:sz="12" w:space="0" w:color="auto"/>
            </w:tcBorders>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i/>
                <w:iCs/>
                <w:sz w:val="18"/>
                <w:szCs w:val="26"/>
                <w:rtl/>
                <w:lang w:bidi="ar-EG"/>
              </w:rPr>
            </w:pPr>
            <w:r w:rsidRPr="009A4450">
              <w:rPr>
                <w:rFonts w:hint="cs"/>
                <w:i/>
                <w:iCs/>
                <w:sz w:val="18"/>
                <w:szCs w:val="26"/>
                <w:rtl/>
                <w:lang w:bidi="ar-EG"/>
              </w:rPr>
              <w:t>رقم المتسلسل</w:t>
            </w:r>
          </w:p>
        </w:tc>
        <w:tc>
          <w:tcPr>
            <w:tcW w:w="1436" w:type="dxa"/>
            <w:tcBorders>
              <w:top w:val="single" w:sz="4" w:space="0" w:color="auto"/>
              <w:bottom w:val="single" w:sz="12" w:space="0" w:color="auto"/>
            </w:tcBorders>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i/>
                <w:iCs/>
                <w:sz w:val="18"/>
                <w:szCs w:val="26"/>
                <w:rtl/>
                <w:lang w:bidi="ar-EG"/>
              </w:rPr>
            </w:pPr>
            <w:r w:rsidRPr="009A4450">
              <w:rPr>
                <w:rFonts w:hint="cs"/>
                <w:i/>
                <w:iCs/>
                <w:sz w:val="18"/>
                <w:szCs w:val="26"/>
                <w:rtl/>
                <w:lang w:bidi="ar-EG"/>
              </w:rPr>
              <w:t>السنة</w:t>
            </w:r>
          </w:p>
        </w:tc>
        <w:tc>
          <w:tcPr>
            <w:tcW w:w="1875" w:type="dxa"/>
            <w:tcBorders>
              <w:top w:val="single" w:sz="4" w:space="0" w:color="auto"/>
              <w:bottom w:val="single" w:sz="12" w:space="0" w:color="auto"/>
            </w:tcBorders>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i/>
                <w:iCs/>
                <w:sz w:val="18"/>
                <w:szCs w:val="26"/>
                <w:rtl/>
                <w:lang w:bidi="ar-EG"/>
              </w:rPr>
            </w:pPr>
            <w:r w:rsidRPr="009A4450">
              <w:rPr>
                <w:rFonts w:hint="cs"/>
                <w:i/>
                <w:iCs/>
                <w:sz w:val="18"/>
                <w:szCs w:val="26"/>
                <w:rtl/>
                <w:lang w:bidi="ar-EG"/>
              </w:rPr>
              <w:t>النساء</w:t>
            </w:r>
          </w:p>
        </w:tc>
        <w:tc>
          <w:tcPr>
            <w:tcW w:w="1820" w:type="dxa"/>
            <w:tcBorders>
              <w:top w:val="single" w:sz="4" w:space="0" w:color="auto"/>
              <w:bottom w:val="single" w:sz="12" w:space="0" w:color="auto"/>
            </w:tcBorders>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i/>
                <w:iCs/>
                <w:sz w:val="18"/>
                <w:szCs w:val="26"/>
                <w:rtl/>
                <w:lang w:bidi="ar-EG"/>
              </w:rPr>
            </w:pPr>
            <w:r w:rsidRPr="009A4450">
              <w:rPr>
                <w:rFonts w:hint="cs"/>
                <w:i/>
                <w:iCs/>
                <w:sz w:val="18"/>
                <w:szCs w:val="26"/>
                <w:rtl/>
                <w:lang w:bidi="ar-EG"/>
              </w:rPr>
              <w:t>الرجال</w:t>
            </w:r>
          </w:p>
        </w:tc>
        <w:tc>
          <w:tcPr>
            <w:tcW w:w="1175" w:type="dxa"/>
            <w:tcBorders>
              <w:top w:val="single" w:sz="4" w:space="0" w:color="auto"/>
              <w:bottom w:val="single" w:sz="12" w:space="0" w:color="auto"/>
            </w:tcBorders>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i/>
                <w:iCs/>
                <w:sz w:val="18"/>
                <w:szCs w:val="26"/>
                <w:rtl/>
                <w:lang w:bidi="ar-EG"/>
              </w:rPr>
            </w:pPr>
            <w:r w:rsidRPr="009A4450">
              <w:rPr>
                <w:rFonts w:hint="cs"/>
                <w:i/>
                <w:iCs/>
                <w:sz w:val="18"/>
                <w:szCs w:val="26"/>
                <w:rtl/>
                <w:lang w:bidi="ar-EG"/>
              </w:rPr>
              <w:t>المجموع</w:t>
            </w:r>
          </w:p>
        </w:tc>
      </w:tr>
      <w:tr w:rsidR="000B7434" w:rsidRPr="00F92522" w:rsidTr="009A4450">
        <w:tblPrEx>
          <w:tblCellMar>
            <w:top w:w="0" w:type="dxa"/>
            <w:bottom w:w="0" w:type="dxa"/>
          </w:tblCellMar>
        </w:tblPrEx>
        <w:trPr>
          <w:cantSplit/>
        </w:trPr>
        <w:tc>
          <w:tcPr>
            <w:tcW w:w="1014" w:type="dxa"/>
            <w:shd w:val="clear" w:color="auto" w:fill="auto"/>
            <w:vAlign w:val="bottom"/>
          </w:tcPr>
          <w:p w:rsidR="000B7434" w:rsidRPr="009A4450" w:rsidRDefault="000B7434" w:rsidP="00C8270E">
            <w:pPr>
              <w:tabs>
                <w:tab w:val="left" w:pos="662"/>
                <w:tab w:val="left" w:pos="1267"/>
                <w:tab w:val="left" w:pos="1987"/>
                <w:tab w:val="left" w:pos="2650"/>
              </w:tabs>
              <w:spacing w:before="40" w:after="40" w:line="280" w:lineRule="exact"/>
              <w:ind w:left="57"/>
              <w:rPr>
                <w:rFonts w:hint="cs"/>
                <w:sz w:val="18"/>
                <w:szCs w:val="26"/>
                <w:rtl/>
                <w:lang w:bidi="ar-EG"/>
              </w:rPr>
            </w:pPr>
            <w:r w:rsidRPr="009A4450">
              <w:rPr>
                <w:rFonts w:hint="cs"/>
                <w:sz w:val="18"/>
                <w:szCs w:val="26"/>
                <w:rtl/>
                <w:lang w:bidi="ar-EG"/>
              </w:rPr>
              <w:t>1</w:t>
            </w:r>
          </w:p>
        </w:tc>
        <w:tc>
          <w:tcPr>
            <w:tcW w:w="1436" w:type="dxa"/>
            <w:shd w:val="clear" w:color="auto" w:fill="auto"/>
            <w:vAlign w:val="bottom"/>
          </w:tcPr>
          <w:p w:rsidR="000B7434" w:rsidRPr="009A4450" w:rsidRDefault="000B7434" w:rsidP="00C8270E">
            <w:pPr>
              <w:tabs>
                <w:tab w:val="left" w:pos="662"/>
                <w:tab w:val="left" w:pos="1267"/>
                <w:tab w:val="left" w:pos="1987"/>
                <w:tab w:val="left" w:pos="2650"/>
              </w:tabs>
              <w:spacing w:before="40" w:after="40" w:line="280" w:lineRule="exact"/>
              <w:ind w:left="57"/>
              <w:rPr>
                <w:rFonts w:hint="cs"/>
                <w:sz w:val="18"/>
                <w:szCs w:val="26"/>
                <w:rtl/>
                <w:lang w:bidi="ar-EG"/>
              </w:rPr>
            </w:pPr>
            <w:r w:rsidRPr="009A4450">
              <w:rPr>
                <w:rFonts w:hint="cs"/>
                <w:sz w:val="18"/>
                <w:szCs w:val="26"/>
                <w:rtl/>
                <w:lang w:bidi="ar-EG"/>
              </w:rPr>
              <w:t>2007/2008</w:t>
            </w:r>
          </w:p>
        </w:tc>
        <w:tc>
          <w:tcPr>
            <w:tcW w:w="1875" w:type="dxa"/>
            <w:shd w:val="clear" w:color="auto" w:fill="auto"/>
            <w:vAlign w:val="bottom"/>
          </w:tcPr>
          <w:p w:rsidR="000B7434" w:rsidRPr="009A4450" w:rsidRDefault="000B7434" w:rsidP="00C8270E">
            <w:pPr>
              <w:tabs>
                <w:tab w:val="left" w:pos="662"/>
                <w:tab w:val="left" w:pos="1267"/>
                <w:tab w:val="left" w:pos="1987"/>
                <w:tab w:val="left" w:pos="2650"/>
              </w:tabs>
              <w:spacing w:before="40" w:after="40" w:line="280" w:lineRule="exact"/>
              <w:ind w:left="57"/>
              <w:rPr>
                <w:rFonts w:hint="cs"/>
                <w:sz w:val="18"/>
                <w:szCs w:val="26"/>
                <w:rtl/>
                <w:lang w:bidi="ar-EG"/>
              </w:rPr>
            </w:pPr>
            <w:r w:rsidRPr="009A4450">
              <w:rPr>
                <w:rFonts w:hint="cs"/>
                <w:sz w:val="18"/>
                <w:szCs w:val="26"/>
                <w:rtl/>
                <w:lang w:bidi="ar-EG"/>
              </w:rPr>
              <w:t>296 2 (47.47</w:t>
            </w:r>
            <w:r w:rsidR="00CA75D3" w:rsidRPr="009A4450">
              <w:rPr>
                <w:rFonts w:hint="cs"/>
                <w:sz w:val="18"/>
                <w:szCs w:val="26"/>
                <w:rtl/>
                <w:lang w:bidi="ar-EG"/>
              </w:rPr>
              <w:t>٪</w:t>
            </w:r>
            <w:r w:rsidRPr="009A4450">
              <w:rPr>
                <w:rFonts w:hint="cs"/>
                <w:sz w:val="18"/>
                <w:szCs w:val="26"/>
                <w:rtl/>
                <w:lang w:bidi="ar-EG"/>
              </w:rPr>
              <w:t>)</w:t>
            </w:r>
          </w:p>
        </w:tc>
        <w:tc>
          <w:tcPr>
            <w:tcW w:w="1820" w:type="dxa"/>
            <w:shd w:val="clear" w:color="auto" w:fill="auto"/>
            <w:vAlign w:val="bottom"/>
          </w:tcPr>
          <w:p w:rsidR="000B7434" w:rsidRPr="009A4450" w:rsidRDefault="000B7434" w:rsidP="00C8270E">
            <w:pPr>
              <w:tabs>
                <w:tab w:val="left" w:pos="662"/>
                <w:tab w:val="left" w:pos="1267"/>
                <w:tab w:val="left" w:pos="1987"/>
                <w:tab w:val="left" w:pos="2650"/>
              </w:tabs>
              <w:spacing w:before="40" w:after="40" w:line="280" w:lineRule="exact"/>
              <w:ind w:left="57"/>
              <w:rPr>
                <w:rFonts w:hint="cs"/>
                <w:sz w:val="18"/>
                <w:szCs w:val="26"/>
                <w:rtl/>
                <w:lang w:bidi="ar-EG"/>
              </w:rPr>
            </w:pPr>
            <w:r w:rsidRPr="009A4450">
              <w:rPr>
                <w:rFonts w:hint="cs"/>
                <w:sz w:val="18"/>
                <w:szCs w:val="26"/>
                <w:rtl/>
                <w:lang w:bidi="ar-EG"/>
              </w:rPr>
              <w:t>540 2 (52.52</w:t>
            </w:r>
            <w:r w:rsidR="00CA75D3" w:rsidRPr="009A4450">
              <w:rPr>
                <w:rFonts w:hint="cs"/>
                <w:sz w:val="18"/>
                <w:szCs w:val="26"/>
                <w:rtl/>
                <w:lang w:bidi="ar-EG"/>
              </w:rPr>
              <w:t>٪</w:t>
            </w:r>
            <w:r w:rsidRPr="009A4450">
              <w:rPr>
                <w:rFonts w:hint="cs"/>
                <w:sz w:val="18"/>
                <w:szCs w:val="26"/>
                <w:rtl/>
                <w:lang w:bidi="ar-EG"/>
              </w:rPr>
              <w:t>)</w:t>
            </w:r>
          </w:p>
        </w:tc>
        <w:tc>
          <w:tcPr>
            <w:tcW w:w="1175" w:type="dxa"/>
            <w:shd w:val="clear" w:color="auto" w:fill="auto"/>
            <w:vAlign w:val="bottom"/>
          </w:tcPr>
          <w:p w:rsidR="000B7434" w:rsidRPr="009A4450" w:rsidRDefault="000B7434" w:rsidP="00C8270E">
            <w:pPr>
              <w:tabs>
                <w:tab w:val="left" w:pos="662"/>
                <w:tab w:val="left" w:pos="1267"/>
                <w:tab w:val="left" w:pos="1987"/>
                <w:tab w:val="left" w:pos="2650"/>
              </w:tabs>
              <w:spacing w:before="40" w:after="40" w:line="280" w:lineRule="exact"/>
              <w:ind w:left="57"/>
              <w:rPr>
                <w:rFonts w:hint="cs"/>
                <w:sz w:val="18"/>
                <w:szCs w:val="26"/>
                <w:rtl/>
                <w:lang w:bidi="ar-EG"/>
              </w:rPr>
            </w:pPr>
            <w:r w:rsidRPr="009A4450">
              <w:rPr>
                <w:rFonts w:hint="cs"/>
                <w:sz w:val="18"/>
                <w:szCs w:val="26"/>
                <w:rtl/>
                <w:lang w:bidi="ar-EG"/>
              </w:rPr>
              <w:t>836 4</w:t>
            </w:r>
          </w:p>
        </w:tc>
      </w:tr>
      <w:tr w:rsidR="000B7434" w:rsidRPr="00F92522" w:rsidTr="009A4450">
        <w:tblPrEx>
          <w:tblCellMar>
            <w:top w:w="0" w:type="dxa"/>
            <w:bottom w:w="0" w:type="dxa"/>
          </w:tblCellMar>
        </w:tblPrEx>
        <w:trPr>
          <w:cantSplit/>
        </w:trPr>
        <w:tc>
          <w:tcPr>
            <w:tcW w:w="1014" w:type="dxa"/>
            <w:shd w:val="clear" w:color="auto" w:fill="auto"/>
            <w:vAlign w:val="bottom"/>
          </w:tcPr>
          <w:p w:rsidR="000B7434" w:rsidRPr="009A4450" w:rsidRDefault="000B7434" w:rsidP="00C8270E">
            <w:pPr>
              <w:tabs>
                <w:tab w:val="left" w:pos="662"/>
                <w:tab w:val="left" w:pos="1267"/>
                <w:tab w:val="left" w:pos="1987"/>
                <w:tab w:val="left" w:pos="2650"/>
              </w:tabs>
              <w:spacing w:before="40" w:after="40" w:line="280" w:lineRule="exact"/>
              <w:ind w:left="57"/>
              <w:rPr>
                <w:rFonts w:hint="cs"/>
                <w:sz w:val="18"/>
                <w:szCs w:val="26"/>
                <w:rtl/>
                <w:lang w:bidi="ar-EG"/>
              </w:rPr>
            </w:pPr>
            <w:r w:rsidRPr="009A4450">
              <w:rPr>
                <w:rFonts w:hint="cs"/>
                <w:sz w:val="18"/>
                <w:szCs w:val="26"/>
                <w:rtl/>
                <w:lang w:bidi="ar-EG"/>
              </w:rPr>
              <w:t>2</w:t>
            </w:r>
          </w:p>
        </w:tc>
        <w:tc>
          <w:tcPr>
            <w:tcW w:w="1436" w:type="dxa"/>
            <w:shd w:val="clear" w:color="auto" w:fill="auto"/>
            <w:vAlign w:val="bottom"/>
          </w:tcPr>
          <w:p w:rsidR="000B7434" w:rsidRPr="009A4450" w:rsidRDefault="000B7434" w:rsidP="00C8270E">
            <w:pPr>
              <w:tabs>
                <w:tab w:val="left" w:pos="662"/>
                <w:tab w:val="left" w:pos="1267"/>
                <w:tab w:val="left" w:pos="1987"/>
                <w:tab w:val="left" w:pos="2650"/>
              </w:tabs>
              <w:spacing w:before="40" w:after="40" w:line="280" w:lineRule="exact"/>
              <w:ind w:left="57"/>
              <w:rPr>
                <w:rFonts w:hint="cs"/>
                <w:sz w:val="18"/>
                <w:szCs w:val="26"/>
                <w:rtl/>
                <w:lang w:bidi="ar-EG"/>
              </w:rPr>
            </w:pPr>
            <w:r w:rsidRPr="009A4450">
              <w:rPr>
                <w:rFonts w:hint="cs"/>
                <w:sz w:val="18"/>
                <w:szCs w:val="26"/>
                <w:rtl/>
                <w:lang w:bidi="ar-EG"/>
              </w:rPr>
              <w:t>2006/2007</w:t>
            </w:r>
          </w:p>
        </w:tc>
        <w:tc>
          <w:tcPr>
            <w:tcW w:w="1875" w:type="dxa"/>
            <w:shd w:val="clear" w:color="auto" w:fill="auto"/>
            <w:vAlign w:val="bottom"/>
          </w:tcPr>
          <w:p w:rsidR="000B7434" w:rsidRPr="009A4450" w:rsidRDefault="000B7434" w:rsidP="00C8270E">
            <w:pPr>
              <w:tabs>
                <w:tab w:val="left" w:pos="662"/>
                <w:tab w:val="left" w:pos="1267"/>
                <w:tab w:val="left" w:pos="1987"/>
                <w:tab w:val="left" w:pos="2650"/>
              </w:tabs>
              <w:spacing w:before="40" w:after="40" w:line="280" w:lineRule="exact"/>
              <w:ind w:left="57"/>
              <w:rPr>
                <w:rFonts w:hint="cs"/>
                <w:sz w:val="18"/>
                <w:szCs w:val="26"/>
                <w:rtl/>
                <w:lang w:bidi="ar-EG"/>
              </w:rPr>
            </w:pPr>
            <w:r w:rsidRPr="009A4450">
              <w:rPr>
                <w:rFonts w:hint="cs"/>
                <w:sz w:val="18"/>
                <w:szCs w:val="26"/>
                <w:rtl/>
                <w:lang w:bidi="ar-EG"/>
              </w:rPr>
              <w:t>030 3 (66.37</w:t>
            </w:r>
            <w:r w:rsidR="00CA75D3" w:rsidRPr="009A4450">
              <w:rPr>
                <w:rFonts w:hint="cs"/>
                <w:sz w:val="18"/>
                <w:szCs w:val="26"/>
                <w:rtl/>
                <w:lang w:bidi="ar-EG"/>
              </w:rPr>
              <w:t>٪</w:t>
            </w:r>
            <w:r w:rsidRPr="009A4450">
              <w:rPr>
                <w:rFonts w:hint="cs"/>
                <w:sz w:val="18"/>
                <w:szCs w:val="26"/>
                <w:rtl/>
                <w:lang w:bidi="ar-EG"/>
              </w:rPr>
              <w:t>)</w:t>
            </w:r>
          </w:p>
        </w:tc>
        <w:tc>
          <w:tcPr>
            <w:tcW w:w="1820" w:type="dxa"/>
            <w:shd w:val="clear" w:color="auto" w:fill="auto"/>
            <w:vAlign w:val="bottom"/>
          </w:tcPr>
          <w:p w:rsidR="000B7434" w:rsidRPr="009A4450" w:rsidRDefault="000B7434" w:rsidP="00C8270E">
            <w:pPr>
              <w:tabs>
                <w:tab w:val="left" w:pos="662"/>
                <w:tab w:val="left" w:pos="1267"/>
                <w:tab w:val="left" w:pos="1987"/>
                <w:tab w:val="left" w:pos="2650"/>
              </w:tabs>
              <w:spacing w:before="40" w:after="40" w:line="280" w:lineRule="exact"/>
              <w:ind w:left="57"/>
              <w:rPr>
                <w:rFonts w:hint="cs"/>
                <w:sz w:val="18"/>
                <w:szCs w:val="26"/>
                <w:rtl/>
                <w:lang w:bidi="ar-EG"/>
              </w:rPr>
            </w:pPr>
            <w:r w:rsidRPr="009A4450">
              <w:rPr>
                <w:rFonts w:hint="cs"/>
                <w:sz w:val="18"/>
                <w:szCs w:val="26"/>
                <w:rtl/>
                <w:lang w:bidi="ar-EG"/>
              </w:rPr>
              <w:t>535 1 (33.62</w:t>
            </w:r>
            <w:r w:rsidR="00CA75D3" w:rsidRPr="009A4450">
              <w:rPr>
                <w:rFonts w:hint="cs"/>
                <w:sz w:val="18"/>
                <w:szCs w:val="26"/>
                <w:rtl/>
                <w:lang w:bidi="ar-EG"/>
              </w:rPr>
              <w:t>٪</w:t>
            </w:r>
            <w:r w:rsidRPr="009A4450">
              <w:rPr>
                <w:rFonts w:hint="cs"/>
                <w:sz w:val="18"/>
                <w:szCs w:val="26"/>
                <w:rtl/>
                <w:lang w:bidi="ar-EG"/>
              </w:rPr>
              <w:t>)</w:t>
            </w:r>
          </w:p>
        </w:tc>
        <w:tc>
          <w:tcPr>
            <w:tcW w:w="1175" w:type="dxa"/>
            <w:shd w:val="clear" w:color="auto" w:fill="auto"/>
            <w:vAlign w:val="bottom"/>
          </w:tcPr>
          <w:p w:rsidR="000B7434" w:rsidRPr="009A4450" w:rsidRDefault="000B7434" w:rsidP="00C8270E">
            <w:pPr>
              <w:tabs>
                <w:tab w:val="left" w:pos="662"/>
                <w:tab w:val="left" w:pos="1267"/>
                <w:tab w:val="left" w:pos="1987"/>
                <w:tab w:val="left" w:pos="2650"/>
              </w:tabs>
              <w:spacing w:before="40" w:after="40" w:line="280" w:lineRule="exact"/>
              <w:ind w:left="57"/>
              <w:rPr>
                <w:rFonts w:hint="cs"/>
                <w:sz w:val="18"/>
                <w:szCs w:val="26"/>
                <w:rtl/>
                <w:lang w:bidi="ar-EG"/>
              </w:rPr>
            </w:pPr>
            <w:r w:rsidRPr="009A4450">
              <w:rPr>
                <w:rFonts w:hint="cs"/>
                <w:sz w:val="18"/>
                <w:szCs w:val="26"/>
                <w:rtl/>
                <w:lang w:bidi="ar-EG"/>
              </w:rPr>
              <w:t>565 4</w:t>
            </w:r>
          </w:p>
        </w:tc>
      </w:tr>
      <w:tr w:rsidR="000B7434" w:rsidRPr="00F92522" w:rsidTr="009A4450">
        <w:tblPrEx>
          <w:tblCellMar>
            <w:top w:w="0" w:type="dxa"/>
            <w:bottom w:w="0" w:type="dxa"/>
          </w:tblCellMar>
        </w:tblPrEx>
        <w:trPr>
          <w:cantSplit/>
        </w:trPr>
        <w:tc>
          <w:tcPr>
            <w:tcW w:w="1014" w:type="dxa"/>
            <w:tcBorders>
              <w:bottom w:val="single" w:sz="12" w:space="0" w:color="auto"/>
            </w:tcBorders>
            <w:shd w:val="clear" w:color="auto" w:fill="auto"/>
            <w:vAlign w:val="bottom"/>
          </w:tcPr>
          <w:p w:rsidR="000B7434" w:rsidRPr="009A4450" w:rsidRDefault="000B7434" w:rsidP="00C8270E">
            <w:pPr>
              <w:tabs>
                <w:tab w:val="left" w:pos="662"/>
                <w:tab w:val="left" w:pos="1267"/>
                <w:tab w:val="left" w:pos="1987"/>
                <w:tab w:val="left" w:pos="2650"/>
              </w:tabs>
              <w:spacing w:before="40" w:after="40" w:line="280" w:lineRule="exact"/>
              <w:ind w:left="57"/>
              <w:rPr>
                <w:rFonts w:hint="cs"/>
                <w:sz w:val="18"/>
                <w:szCs w:val="26"/>
                <w:rtl/>
                <w:lang w:bidi="ar-EG"/>
              </w:rPr>
            </w:pPr>
            <w:r w:rsidRPr="009A4450">
              <w:rPr>
                <w:rFonts w:hint="cs"/>
                <w:sz w:val="18"/>
                <w:szCs w:val="26"/>
                <w:rtl/>
                <w:lang w:bidi="ar-EG"/>
              </w:rPr>
              <w:t>3</w:t>
            </w:r>
          </w:p>
        </w:tc>
        <w:tc>
          <w:tcPr>
            <w:tcW w:w="1436" w:type="dxa"/>
            <w:tcBorders>
              <w:bottom w:val="single" w:sz="12" w:space="0" w:color="auto"/>
            </w:tcBorders>
            <w:shd w:val="clear" w:color="auto" w:fill="auto"/>
            <w:vAlign w:val="bottom"/>
          </w:tcPr>
          <w:p w:rsidR="000B7434" w:rsidRPr="009A4450" w:rsidRDefault="000B7434" w:rsidP="00C8270E">
            <w:pPr>
              <w:tabs>
                <w:tab w:val="left" w:pos="662"/>
                <w:tab w:val="left" w:pos="1267"/>
                <w:tab w:val="left" w:pos="1987"/>
                <w:tab w:val="left" w:pos="2650"/>
              </w:tabs>
              <w:spacing w:before="40" w:after="40" w:line="280" w:lineRule="exact"/>
              <w:ind w:left="57"/>
              <w:rPr>
                <w:rFonts w:hint="cs"/>
                <w:sz w:val="18"/>
                <w:szCs w:val="26"/>
                <w:rtl/>
                <w:lang w:bidi="ar-EG"/>
              </w:rPr>
            </w:pPr>
            <w:r w:rsidRPr="009A4450">
              <w:rPr>
                <w:rFonts w:hint="cs"/>
                <w:sz w:val="18"/>
                <w:szCs w:val="26"/>
                <w:rtl/>
                <w:lang w:bidi="ar-EG"/>
              </w:rPr>
              <w:t>2005/2006</w:t>
            </w:r>
          </w:p>
        </w:tc>
        <w:tc>
          <w:tcPr>
            <w:tcW w:w="1875" w:type="dxa"/>
            <w:tcBorders>
              <w:bottom w:val="single" w:sz="12" w:space="0" w:color="auto"/>
            </w:tcBorders>
            <w:shd w:val="clear" w:color="auto" w:fill="auto"/>
            <w:vAlign w:val="bottom"/>
          </w:tcPr>
          <w:p w:rsidR="000B7434" w:rsidRPr="009A4450" w:rsidRDefault="000B7434" w:rsidP="00C8270E">
            <w:pPr>
              <w:tabs>
                <w:tab w:val="left" w:pos="662"/>
                <w:tab w:val="left" w:pos="1267"/>
                <w:tab w:val="left" w:pos="1987"/>
                <w:tab w:val="left" w:pos="2650"/>
              </w:tabs>
              <w:spacing w:before="40" w:after="40" w:line="280" w:lineRule="exact"/>
              <w:ind w:left="57"/>
              <w:rPr>
                <w:rFonts w:hint="cs"/>
                <w:sz w:val="18"/>
                <w:szCs w:val="26"/>
                <w:rtl/>
                <w:lang w:bidi="ar-EG"/>
              </w:rPr>
            </w:pPr>
            <w:r w:rsidRPr="009A4450">
              <w:rPr>
                <w:rFonts w:hint="cs"/>
                <w:sz w:val="18"/>
                <w:szCs w:val="26"/>
                <w:rtl/>
                <w:lang w:bidi="ar-EG"/>
              </w:rPr>
              <w:t>377 (15.72</w:t>
            </w:r>
            <w:r w:rsidR="00CA75D3" w:rsidRPr="009A4450">
              <w:rPr>
                <w:rFonts w:hint="cs"/>
                <w:sz w:val="18"/>
                <w:szCs w:val="26"/>
                <w:rtl/>
                <w:lang w:bidi="ar-EG"/>
              </w:rPr>
              <w:t>٪</w:t>
            </w:r>
            <w:r w:rsidRPr="009A4450">
              <w:rPr>
                <w:rFonts w:hint="cs"/>
                <w:sz w:val="18"/>
                <w:szCs w:val="26"/>
                <w:rtl/>
                <w:lang w:bidi="ar-EG"/>
              </w:rPr>
              <w:t>)</w:t>
            </w:r>
          </w:p>
        </w:tc>
        <w:tc>
          <w:tcPr>
            <w:tcW w:w="1820" w:type="dxa"/>
            <w:tcBorders>
              <w:bottom w:val="single" w:sz="12" w:space="0" w:color="auto"/>
            </w:tcBorders>
            <w:shd w:val="clear" w:color="auto" w:fill="auto"/>
            <w:vAlign w:val="bottom"/>
          </w:tcPr>
          <w:p w:rsidR="000B7434" w:rsidRPr="009A4450" w:rsidRDefault="000B7434" w:rsidP="00C8270E">
            <w:pPr>
              <w:tabs>
                <w:tab w:val="left" w:pos="662"/>
                <w:tab w:val="left" w:pos="1267"/>
                <w:tab w:val="left" w:pos="1987"/>
                <w:tab w:val="left" w:pos="2650"/>
              </w:tabs>
              <w:spacing w:before="40" w:after="40" w:line="280" w:lineRule="exact"/>
              <w:ind w:left="57"/>
              <w:rPr>
                <w:rFonts w:hint="cs"/>
                <w:sz w:val="18"/>
                <w:szCs w:val="26"/>
                <w:rtl/>
                <w:lang w:bidi="ar-EG"/>
              </w:rPr>
            </w:pPr>
            <w:r w:rsidRPr="009A4450">
              <w:rPr>
                <w:rFonts w:hint="cs"/>
                <w:sz w:val="18"/>
                <w:szCs w:val="26"/>
                <w:rtl/>
                <w:lang w:bidi="ar-EG"/>
              </w:rPr>
              <w:t>021 2 (84.27</w:t>
            </w:r>
            <w:r w:rsidR="00CA75D3" w:rsidRPr="009A4450">
              <w:rPr>
                <w:rFonts w:hint="cs"/>
                <w:sz w:val="18"/>
                <w:szCs w:val="26"/>
                <w:rtl/>
                <w:lang w:bidi="ar-EG"/>
              </w:rPr>
              <w:t>٪</w:t>
            </w:r>
            <w:r w:rsidRPr="009A4450">
              <w:rPr>
                <w:rFonts w:hint="cs"/>
                <w:sz w:val="18"/>
                <w:szCs w:val="26"/>
                <w:rtl/>
                <w:lang w:bidi="ar-EG"/>
              </w:rPr>
              <w:t>)</w:t>
            </w:r>
          </w:p>
        </w:tc>
        <w:tc>
          <w:tcPr>
            <w:tcW w:w="1175" w:type="dxa"/>
            <w:tcBorders>
              <w:bottom w:val="single" w:sz="12" w:space="0" w:color="auto"/>
            </w:tcBorders>
            <w:shd w:val="clear" w:color="auto" w:fill="auto"/>
            <w:vAlign w:val="bottom"/>
          </w:tcPr>
          <w:p w:rsidR="000B7434" w:rsidRPr="009A4450" w:rsidRDefault="000B7434" w:rsidP="00C8270E">
            <w:pPr>
              <w:tabs>
                <w:tab w:val="left" w:pos="662"/>
                <w:tab w:val="left" w:pos="1267"/>
                <w:tab w:val="left" w:pos="1987"/>
                <w:tab w:val="left" w:pos="2650"/>
              </w:tabs>
              <w:spacing w:before="40" w:after="40" w:line="280" w:lineRule="exact"/>
              <w:ind w:left="57"/>
              <w:rPr>
                <w:rFonts w:hint="cs"/>
                <w:sz w:val="18"/>
                <w:szCs w:val="26"/>
                <w:rtl/>
                <w:lang w:bidi="ar-EG"/>
              </w:rPr>
            </w:pPr>
            <w:r w:rsidRPr="009A4450">
              <w:rPr>
                <w:rFonts w:hint="cs"/>
                <w:sz w:val="18"/>
                <w:szCs w:val="26"/>
                <w:rtl/>
                <w:lang w:bidi="ar-EG"/>
              </w:rPr>
              <w:t>398 2</w:t>
            </w:r>
          </w:p>
        </w:tc>
      </w:tr>
    </w:tbl>
    <w:p w:rsidR="000B7434" w:rsidRPr="009A4450" w:rsidRDefault="009A4450" w:rsidP="009A4450">
      <w:pPr>
        <w:pStyle w:val="FootnoteText"/>
        <w:tabs>
          <w:tab w:val="right" w:pos="1915"/>
          <w:tab w:val="left" w:pos="2016"/>
          <w:tab w:val="left" w:pos="2491"/>
          <w:tab w:val="left" w:pos="2966"/>
          <w:tab w:val="left" w:pos="3442"/>
          <w:tab w:val="left" w:pos="3917"/>
        </w:tabs>
        <w:spacing w:before="120" w:after="240" w:line="300" w:lineRule="exact"/>
        <w:ind w:left="2029" w:right="1264" w:hanging="765"/>
        <w:rPr>
          <w:rFonts w:hint="cs"/>
          <w:sz w:val="26"/>
          <w:szCs w:val="26"/>
          <w:rtl/>
          <w:lang w:bidi="ar-EG"/>
        </w:rPr>
      </w:pPr>
      <w:r>
        <w:rPr>
          <w:rFonts w:hint="cs"/>
          <w:i/>
          <w:iCs/>
          <w:sz w:val="26"/>
          <w:szCs w:val="26"/>
          <w:rtl/>
          <w:lang w:bidi="ar-EG"/>
        </w:rPr>
        <w:t xml:space="preserve"> </w:t>
      </w:r>
      <w:r w:rsidR="000B7434" w:rsidRPr="009A4450">
        <w:rPr>
          <w:rFonts w:hint="cs"/>
          <w:i/>
          <w:iCs/>
          <w:sz w:val="26"/>
          <w:szCs w:val="26"/>
          <w:rtl/>
          <w:lang w:bidi="ar-EG"/>
        </w:rPr>
        <w:t>المصدر</w:t>
      </w:r>
      <w:r w:rsidR="000B7434" w:rsidRPr="009A4450">
        <w:rPr>
          <w:rFonts w:hint="cs"/>
          <w:sz w:val="26"/>
          <w:szCs w:val="26"/>
          <w:rtl/>
          <w:lang w:bidi="ar-EG"/>
        </w:rPr>
        <w:t xml:space="preserve">: </w:t>
      </w:r>
      <w:r>
        <w:rPr>
          <w:rFonts w:hint="cs"/>
          <w:sz w:val="26"/>
          <w:szCs w:val="26"/>
          <w:rtl/>
          <w:lang w:bidi="ar-EG"/>
        </w:rPr>
        <w:t xml:space="preserve"> </w:t>
      </w:r>
      <w:r w:rsidR="000B7434" w:rsidRPr="009A4450">
        <w:rPr>
          <w:rFonts w:hint="cs"/>
          <w:sz w:val="26"/>
          <w:szCs w:val="26"/>
          <w:rtl/>
          <w:lang w:bidi="ar-EG"/>
        </w:rPr>
        <w:t>وزارة العمل وإدارة النقل</w:t>
      </w:r>
      <w:r>
        <w:rPr>
          <w:rFonts w:hint="cs"/>
          <w:sz w:val="26"/>
          <w:szCs w:val="26"/>
          <w:rtl/>
          <w:lang w:bidi="ar-EG"/>
        </w:rPr>
        <w:t>.</w:t>
      </w:r>
    </w:p>
    <w:p w:rsidR="000B7434" w:rsidRPr="00F92522" w:rsidRDefault="000B7434" w:rsidP="009A4450">
      <w:pPr>
        <w:pStyle w:val="SingleTxtGA"/>
        <w:spacing w:after="0"/>
        <w:rPr>
          <w:rFonts w:hint="cs"/>
          <w:rtl/>
          <w:lang w:bidi="ar-EG"/>
        </w:rPr>
      </w:pPr>
      <w:r w:rsidRPr="00F92522">
        <w:rPr>
          <w:rFonts w:hint="cs"/>
          <w:rtl/>
          <w:lang w:bidi="ar-EG"/>
        </w:rPr>
        <w:t>الجدول 15</w:t>
      </w:r>
    </w:p>
    <w:p w:rsidR="000B7434" w:rsidRPr="009A4450" w:rsidRDefault="000B7434" w:rsidP="009A4450">
      <w:pPr>
        <w:pStyle w:val="SingleTxtGA"/>
        <w:rPr>
          <w:rFonts w:hint="cs"/>
          <w:b/>
          <w:bCs/>
          <w:rtl/>
          <w:lang w:bidi="ar-EG"/>
        </w:rPr>
      </w:pPr>
      <w:r w:rsidRPr="009A4450">
        <w:rPr>
          <w:rFonts w:hint="cs"/>
          <w:b/>
          <w:bCs/>
          <w:rtl/>
          <w:lang w:bidi="ar-EG"/>
        </w:rPr>
        <w:t>الهجرة عن طريق وكالات التوظيف الأجنبي</w:t>
      </w:r>
    </w:p>
    <w:tbl>
      <w:tblPr>
        <w:bidiVisual/>
        <w:tblW w:w="7320" w:type="dxa"/>
        <w:tblInd w:w="1267" w:type="dxa"/>
        <w:tblLayout w:type="fixed"/>
        <w:tblCellMar>
          <w:left w:w="0" w:type="dxa"/>
          <w:right w:w="0" w:type="dxa"/>
        </w:tblCellMar>
        <w:tblLook w:val="0000" w:firstRow="0" w:lastRow="0" w:firstColumn="0" w:lastColumn="0" w:noHBand="0" w:noVBand="0"/>
      </w:tblPr>
      <w:tblGrid>
        <w:gridCol w:w="1005"/>
        <w:gridCol w:w="1459"/>
        <w:gridCol w:w="1665"/>
        <w:gridCol w:w="2002"/>
        <w:gridCol w:w="1189"/>
      </w:tblGrid>
      <w:tr w:rsidR="000B7434" w:rsidRPr="006F6858" w:rsidTr="009A4450">
        <w:tblPrEx>
          <w:tblCellMar>
            <w:top w:w="0" w:type="dxa"/>
            <w:bottom w:w="0" w:type="dxa"/>
          </w:tblCellMar>
        </w:tblPrEx>
        <w:trPr>
          <w:cantSplit/>
          <w:tblHeader/>
        </w:trPr>
        <w:tc>
          <w:tcPr>
            <w:tcW w:w="1005" w:type="dxa"/>
            <w:tcBorders>
              <w:top w:val="single" w:sz="4" w:space="0" w:color="auto"/>
              <w:bottom w:val="single" w:sz="12" w:space="0" w:color="auto"/>
            </w:tcBorders>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i/>
                <w:iCs/>
                <w:sz w:val="18"/>
                <w:szCs w:val="26"/>
                <w:rtl/>
                <w:lang w:bidi="ar-EG"/>
              </w:rPr>
            </w:pPr>
            <w:r w:rsidRPr="009A4450">
              <w:rPr>
                <w:rFonts w:hint="cs"/>
                <w:i/>
                <w:iCs/>
                <w:sz w:val="18"/>
                <w:szCs w:val="26"/>
                <w:rtl/>
                <w:lang w:bidi="ar-EG"/>
              </w:rPr>
              <w:t>رقم المتسلسل</w:t>
            </w:r>
          </w:p>
        </w:tc>
        <w:tc>
          <w:tcPr>
            <w:tcW w:w="1459" w:type="dxa"/>
            <w:tcBorders>
              <w:top w:val="single" w:sz="4" w:space="0" w:color="auto"/>
              <w:bottom w:val="single" w:sz="12" w:space="0" w:color="auto"/>
            </w:tcBorders>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i/>
                <w:iCs/>
                <w:sz w:val="18"/>
                <w:szCs w:val="26"/>
                <w:rtl/>
                <w:lang w:bidi="ar-EG"/>
              </w:rPr>
            </w:pPr>
            <w:r w:rsidRPr="009A4450">
              <w:rPr>
                <w:rFonts w:hint="cs"/>
                <w:i/>
                <w:iCs/>
                <w:sz w:val="18"/>
                <w:szCs w:val="26"/>
                <w:rtl/>
                <w:lang w:bidi="ar-EG"/>
              </w:rPr>
              <w:t>السنة</w:t>
            </w:r>
          </w:p>
        </w:tc>
        <w:tc>
          <w:tcPr>
            <w:tcW w:w="1665" w:type="dxa"/>
            <w:tcBorders>
              <w:top w:val="single" w:sz="4" w:space="0" w:color="auto"/>
              <w:bottom w:val="single" w:sz="12" w:space="0" w:color="auto"/>
            </w:tcBorders>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i/>
                <w:iCs/>
                <w:sz w:val="18"/>
                <w:szCs w:val="26"/>
                <w:rtl/>
                <w:lang w:bidi="ar-EG"/>
              </w:rPr>
            </w:pPr>
            <w:r w:rsidRPr="009A4450">
              <w:rPr>
                <w:rFonts w:hint="cs"/>
                <w:i/>
                <w:iCs/>
                <w:sz w:val="18"/>
                <w:szCs w:val="26"/>
                <w:rtl/>
                <w:lang w:bidi="ar-EG"/>
              </w:rPr>
              <w:t>النساء</w:t>
            </w:r>
          </w:p>
        </w:tc>
        <w:tc>
          <w:tcPr>
            <w:tcW w:w="2002" w:type="dxa"/>
            <w:tcBorders>
              <w:top w:val="single" w:sz="4" w:space="0" w:color="auto"/>
              <w:bottom w:val="single" w:sz="12" w:space="0" w:color="auto"/>
            </w:tcBorders>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i/>
                <w:iCs/>
                <w:sz w:val="18"/>
                <w:szCs w:val="26"/>
                <w:rtl/>
                <w:lang w:bidi="ar-EG"/>
              </w:rPr>
            </w:pPr>
            <w:r w:rsidRPr="009A4450">
              <w:rPr>
                <w:rFonts w:hint="cs"/>
                <w:i/>
                <w:iCs/>
                <w:sz w:val="18"/>
                <w:szCs w:val="26"/>
                <w:rtl/>
                <w:lang w:bidi="ar-EG"/>
              </w:rPr>
              <w:t>الرجال</w:t>
            </w:r>
          </w:p>
        </w:tc>
        <w:tc>
          <w:tcPr>
            <w:tcW w:w="1189" w:type="dxa"/>
            <w:tcBorders>
              <w:top w:val="single" w:sz="4" w:space="0" w:color="auto"/>
              <w:bottom w:val="single" w:sz="12" w:space="0" w:color="auto"/>
            </w:tcBorders>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i/>
                <w:iCs/>
                <w:sz w:val="18"/>
                <w:szCs w:val="26"/>
                <w:rtl/>
                <w:lang w:bidi="ar-EG"/>
              </w:rPr>
            </w:pPr>
            <w:r w:rsidRPr="009A4450">
              <w:rPr>
                <w:rFonts w:hint="cs"/>
                <w:i/>
                <w:iCs/>
                <w:sz w:val="18"/>
                <w:szCs w:val="26"/>
                <w:rtl/>
                <w:lang w:bidi="ar-EG"/>
              </w:rPr>
              <w:t>المجموع</w:t>
            </w:r>
          </w:p>
        </w:tc>
      </w:tr>
      <w:tr w:rsidR="000B7434" w:rsidRPr="006F6858" w:rsidTr="009A4450">
        <w:tblPrEx>
          <w:tblCellMar>
            <w:top w:w="0" w:type="dxa"/>
            <w:bottom w:w="0" w:type="dxa"/>
          </w:tblCellMar>
        </w:tblPrEx>
        <w:trPr>
          <w:cantSplit/>
        </w:trPr>
        <w:tc>
          <w:tcPr>
            <w:tcW w:w="1005" w:type="dxa"/>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sz w:val="18"/>
                <w:szCs w:val="26"/>
                <w:rtl/>
                <w:lang w:bidi="ar-EG"/>
              </w:rPr>
            </w:pPr>
            <w:r w:rsidRPr="009A4450">
              <w:rPr>
                <w:rFonts w:hint="cs"/>
                <w:sz w:val="18"/>
                <w:szCs w:val="26"/>
                <w:rtl/>
                <w:lang w:bidi="ar-EG"/>
              </w:rPr>
              <w:t>1</w:t>
            </w:r>
          </w:p>
        </w:tc>
        <w:tc>
          <w:tcPr>
            <w:tcW w:w="1459" w:type="dxa"/>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sz w:val="18"/>
                <w:szCs w:val="26"/>
                <w:rtl/>
                <w:lang w:bidi="ar-EG"/>
              </w:rPr>
            </w:pPr>
            <w:r w:rsidRPr="009A4450">
              <w:rPr>
                <w:rFonts w:hint="cs"/>
                <w:sz w:val="18"/>
                <w:szCs w:val="26"/>
                <w:rtl/>
                <w:lang w:bidi="ar-EG"/>
              </w:rPr>
              <w:t>2007/2008</w:t>
            </w:r>
          </w:p>
        </w:tc>
        <w:tc>
          <w:tcPr>
            <w:tcW w:w="1665" w:type="dxa"/>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sz w:val="18"/>
                <w:szCs w:val="26"/>
                <w:rtl/>
                <w:lang w:bidi="ar-EG"/>
              </w:rPr>
            </w:pPr>
            <w:r w:rsidRPr="009A4450">
              <w:rPr>
                <w:rFonts w:hint="cs"/>
                <w:sz w:val="18"/>
                <w:szCs w:val="26"/>
                <w:rtl/>
                <w:lang w:bidi="ar-EG"/>
              </w:rPr>
              <w:t>390 (0.19</w:t>
            </w:r>
            <w:r w:rsidR="00CA75D3" w:rsidRPr="009A4450">
              <w:rPr>
                <w:rFonts w:hint="cs"/>
                <w:sz w:val="18"/>
                <w:szCs w:val="26"/>
                <w:rtl/>
                <w:lang w:bidi="ar-EG"/>
              </w:rPr>
              <w:t>٪</w:t>
            </w:r>
            <w:r w:rsidRPr="009A4450">
              <w:rPr>
                <w:rFonts w:hint="cs"/>
                <w:sz w:val="18"/>
                <w:szCs w:val="26"/>
                <w:rtl/>
                <w:lang w:bidi="ar-EG"/>
              </w:rPr>
              <w:t>)</w:t>
            </w:r>
          </w:p>
        </w:tc>
        <w:tc>
          <w:tcPr>
            <w:tcW w:w="2002" w:type="dxa"/>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sz w:val="18"/>
                <w:szCs w:val="26"/>
                <w:rtl/>
                <w:lang w:bidi="ar-EG"/>
              </w:rPr>
            </w:pPr>
            <w:r w:rsidRPr="009A4450">
              <w:rPr>
                <w:rFonts w:hint="cs"/>
                <w:sz w:val="18"/>
                <w:szCs w:val="26"/>
                <w:rtl/>
                <w:lang w:bidi="ar-EG"/>
              </w:rPr>
              <w:t>143 204 (99.81</w:t>
            </w:r>
            <w:r w:rsidR="00CA75D3" w:rsidRPr="009A4450">
              <w:rPr>
                <w:rFonts w:hint="cs"/>
                <w:sz w:val="18"/>
                <w:szCs w:val="26"/>
                <w:rtl/>
                <w:lang w:bidi="ar-EG"/>
              </w:rPr>
              <w:t>٪</w:t>
            </w:r>
            <w:r w:rsidRPr="009A4450">
              <w:rPr>
                <w:rFonts w:hint="cs"/>
                <w:sz w:val="18"/>
                <w:szCs w:val="26"/>
                <w:rtl/>
                <w:lang w:bidi="ar-EG"/>
              </w:rPr>
              <w:t>)</w:t>
            </w:r>
          </w:p>
        </w:tc>
        <w:tc>
          <w:tcPr>
            <w:tcW w:w="1189" w:type="dxa"/>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sz w:val="18"/>
                <w:szCs w:val="26"/>
                <w:rtl/>
                <w:lang w:bidi="ar-EG"/>
              </w:rPr>
            </w:pPr>
            <w:r w:rsidRPr="009A4450">
              <w:rPr>
                <w:rFonts w:hint="cs"/>
                <w:sz w:val="18"/>
                <w:szCs w:val="26"/>
                <w:rtl/>
                <w:lang w:bidi="ar-EG"/>
              </w:rPr>
              <w:t>533 204</w:t>
            </w:r>
          </w:p>
        </w:tc>
      </w:tr>
      <w:tr w:rsidR="000B7434" w:rsidRPr="006F6858" w:rsidTr="009A4450">
        <w:tblPrEx>
          <w:tblCellMar>
            <w:top w:w="0" w:type="dxa"/>
            <w:bottom w:w="0" w:type="dxa"/>
          </w:tblCellMar>
        </w:tblPrEx>
        <w:trPr>
          <w:cantSplit/>
        </w:trPr>
        <w:tc>
          <w:tcPr>
            <w:tcW w:w="1005" w:type="dxa"/>
            <w:tcBorders>
              <w:bottom w:val="single" w:sz="12" w:space="0" w:color="auto"/>
            </w:tcBorders>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sz w:val="18"/>
                <w:szCs w:val="26"/>
                <w:rtl/>
                <w:lang w:bidi="ar-EG"/>
              </w:rPr>
            </w:pPr>
            <w:r w:rsidRPr="009A4450">
              <w:rPr>
                <w:rFonts w:hint="cs"/>
                <w:sz w:val="18"/>
                <w:szCs w:val="26"/>
                <w:rtl/>
                <w:lang w:bidi="ar-EG"/>
              </w:rPr>
              <w:t>2</w:t>
            </w:r>
          </w:p>
        </w:tc>
        <w:tc>
          <w:tcPr>
            <w:tcW w:w="1459" w:type="dxa"/>
            <w:tcBorders>
              <w:bottom w:val="single" w:sz="12" w:space="0" w:color="auto"/>
            </w:tcBorders>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sz w:val="18"/>
                <w:szCs w:val="26"/>
                <w:rtl/>
                <w:lang w:bidi="ar-EG"/>
              </w:rPr>
            </w:pPr>
            <w:r w:rsidRPr="009A4450">
              <w:rPr>
                <w:rFonts w:hint="cs"/>
                <w:sz w:val="18"/>
                <w:szCs w:val="26"/>
                <w:rtl/>
                <w:lang w:bidi="ar-EG"/>
              </w:rPr>
              <w:t>2006/2007</w:t>
            </w:r>
          </w:p>
        </w:tc>
        <w:tc>
          <w:tcPr>
            <w:tcW w:w="1665" w:type="dxa"/>
            <w:tcBorders>
              <w:bottom w:val="single" w:sz="12" w:space="0" w:color="auto"/>
            </w:tcBorders>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sz w:val="18"/>
                <w:szCs w:val="26"/>
                <w:rtl/>
                <w:lang w:bidi="ar-EG"/>
              </w:rPr>
            </w:pPr>
            <w:r w:rsidRPr="009A4450">
              <w:rPr>
                <w:rFonts w:hint="cs"/>
                <w:sz w:val="18"/>
                <w:szCs w:val="26"/>
                <w:rtl/>
                <w:lang w:bidi="ar-EG"/>
              </w:rPr>
              <w:t>828 (0.46</w:t>
            </w:r>
            <w:r w:rsidR="00CA75D3" w:rsidRPr="009A4450">
              <w:rPr>
                <w:rFonts w:hint="cs"/>
                <w:sz w:val="18"/>
                <w:szCs w:val="26"/>
                <w:rtl/>
                <w:lang w:bidi="ar-EG"/>
              </w:rPr>
              <w:t>٪</w:t>
            </w:r>
            <w:r w:rsidRPr="009A4450">
              <w:rPr>
                <w:rFonts w:hint="cs"/>
                <w:sz w:val="18"/>
                <w:szCs w:val="26"/>
                <w:rtl/>
                <w:lang w:bidi="ar-EG"/>
              </w:rPr>
              <w:t>)</w:t>
            </w:r>
          </w:p>
        </w:tc>
        <w:tc>
          <w:tcPr>
            <w:tcW w:w="2002" w:type="dxa"/>
            <w:tcBorders>
              <w:bottom w:val="single" w:sz="12" w:space="0" w:color="auto"/>
            </w:tcBorders>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sz w:val="18"/>
                <w:szCs w:val="26"/>
                <w:rtl/>
                <w:lang w:bidi="ar-EG"/>
              </w:rPr>
            </w:pPr>
            <w:r w:rsidRPr="009A4450">
              <w:rPr>
                <w:rFonts w:hint="cs"/>
                <w:sz w:val="18"/>
                <w:szCs w:val="26"/>
                <w:rtl/>
                <w:lang w:bidi="ar-EG"/>
              </w:rPr>
              <w:t>748 176 (99.53</w:t>
            </w:r>
            <w:r w:rsidR="00CA75D3" w:rsidRPr="009A4450">
              <w:rPr>
                <w:rFonts w:hint="cs"/>
                <w:sz w:val="18"/>
                <w:szCs w:val="26"/>
                <w:rtl/>
                <w:lang w:bidi="ar-EG"/>
              </w:rPr>
              <w:t>٪</w:t>
            </w:r>
            <w:r w:rsidRPr="009A4450">
              <w:rPr>
                <w:rFonts w:hint="cs"/>
                <w:sz w:val="18"/>
                <w:szCs w:val="26"/>
                <w:rtl/>
                <w:lang w:bidi="ar-EG"/>
              </w:rPr>
              <w:t>)</w:t>
            </w:r>
          </w:p>
        </w:tc>
        <w:tc>
          <w:tcPr>
            <w:tcW w:w="1189" w:type="dxa"/>
            <w:tcBorders>
              <w:bottom w:val="single" w:sz="12" w:space="0" w:color="auto"/>
            </w:tcBorders>
            <w:shd w:val="clear" w:color="auto" w:fill="auto"/>
            <w:vAlign w:val="bottom"/>
          </w:tcPr>
          <w:p w:rsidR="000B7434" w:rsidRPr="009A4450" w:rsidRDefault="000B7434" w:rsidP="009A4450">
            <w:pPr>
              <w:tabs>
                <w:tab w:val="left" w:pos="662"/>
                <w:tab w:val="left" w:pos="1267"/>
                <w:tab w:val="left" w:pos="1987"/>
                <w:tab w:val="left" w:pos="2650"/>
              </w:tabs>
              <w:spacing w:before="60" w:after="60" w:line="280" w:lineRule="exact"/>
              <w:ind w:left="57"/>
              <w:rPr>
                <w:rFonts w:hint="cs"/>
                <w:sz w:val="18"/>
                <w:szCs w:val="26"/>
                <w:rtl/>
                <w:lang w:bidi="ar-EG"/>
              </w:rPr>
            </w:pPr>
            <w:r w:rsidRPr="009A4450">
              <w:rPr>
                <w:rFonts w:hint="cs"/>
                <w:sz w:val="18"/>
                <w:szCs w:val="26"/>
                <w:rtl/>
                <w:lang w:bidi="ar-EG"/>
              </w:rPr>
              <w:t>576 177</w:t>
            </w:r>
          </w:p>
        </w:tc>
      </w:tr>
    </w:tbl>
    <w:p w:rsidR="000B7434" w:rsidRPr="009A4450" w:rsidRDefault="009A4450" w:rsidP="009A4450">
      <w:pPr>
        <w:pStyle w:val="FootnoteText"/>
        <w:tabs>
          <w:tab w:val="right" w:pos="1915"/>
          <w:tab w:val="left" w:pos="2016"/>
          <w:tab w:val="left" w:pos="2491"/>
          <w:tab w:val="left" w:pos="2966"/>
          <w:tab w:val="left" w:pos="3442"/>
          <w:tab w:val="left" w:pos="3917"/>
        </w:tabs>
        <w:spacing w:before="120" w:after="240" w:line="300" w:lineRule="exact"/>
        <w:ind w:left="2029" w:right="1264" w:hanging="765"/>
        <w:rPr>
          <w:rFonts w:hint="cs"/>
          <w:sz w:val="26"/>
          <w:szCs w:val="26"/>
          <w:rtl/>
          <w:lang w:bidi="ar-EG"/>
        </w:rPr>
      </w:pPr>
      <w:r>
        <w:rPr>
          <w:rFonts w:hint="cs"/>
          <w:i/>
          <w:iCs/>
          <w:sz w:val="26"/>
          <w:szCs w:val="26"/>
          <w:rtl/>
          <w:lang w:bidi="ar-EG"/>
        </w:rPr>
        <w:t xml:space="preserve"> </w:t>
      </w:r>
      <w:r w:rsidR="000B7434" w:rsidRPr="009A4450">
        <w:rPr>
          <w:rFonts w:hint="cs"/>
          <w:i/>
          <w:iCs/>
          <w:sz w:val="26"/>
          <w:szCs w:val="26"/>
          <w:rtl/>
          <w:lang w:bidi="ar-EG"/>
        </w:rPr>
        <w:t>المصدر</w:t>
      </w:r>
      <w:r w:rsidR="000B7434" w:rsidRPr="009A4450">
        <w:rPr>
          <w:rFonts w:hint="cs"/>
          <w:sz w:val="26"/>
          <w:szCs w:val="26"/>
          <w:rtl/>
          <w:lang w:bidi="ar-EG"/>
        </w:rPr>
        <w:t xml:space="preserve">: </w:t>
      </w:r>
      <w:r>
        <w:rPr>
          <w:rFonts w:hint="cs"/>
          <w:sz w:val="26"/>
          <w:szCs w:val="26"/>
          <w:rtl/>
          <w:lang w:bidi="ar-EG"/>
        </w:rPr>
        <w:t xml:space="preserve"> </w:t>
      </w:r>
      <w:r w:rsidR="000B7434" w:rsidRPr="009A4450">
        <w:rPr>
          <w:rFonts w:hint="cs"/>
          <w:sz w:val="26"/>
          <w:szCs w:val="26"/>
          <w:rtl/>
          <w:lang w:bidi="ar-EG"/>
        </w:rPr>
        <w:t>وزارة العمل وإدارة النقل</w:t>
      </w:r>
      <w:r>
        <w:rPr>
          <w:rFonts w:hint="cs"/>
          <w:sz w:val="26"/>
          <w:szCs w:val="26"/>
          <w:rtl/>
          <w:lang w:bidi="ar-EG"/>
        </w:rPr>
        <w:t>.</w:t>
      </w:r>
    </w:p>
    <w:p w:rsidR="000B7434" w:rsidRPr="00EC4329" w:rsidRDefault="009A4450" w:rsidP="004F1C97">
      <w:pPr>
        <w:pStyle w:val="H23GA"/>
        <w:rPr>
          <w:rFonts w:hint="cs"/>
          <w:rtl/>
          <w:lang w:bidi="ar-EG"/>
        </w:rPr>
      </w:pPr>
      <w:r>
        <w:rPr>
          <w:rFonts w:hint="cs"/>
          <w:rtl/>
          <w:lang w:bidi="ar-EG"/>
        </w:rPr>
        <w:tab/>
      </w:r>
      <w:r>
        <w:rPr>
          <w:rFonts w:hint="cs"/>
          <w:rtl/>
          <w:lang w:bidi="ar-EG"/>
        </w:rPr>
        <w:tab/>
      </w:r>
      <w:r w:rsidR="000B7434" w:rsidRPr="00EC4329">
        <w:rPr>
          <w:rFonts w:hint="cs"/>
          <w:rtl/>
          <w:lang w:bidi="ar-EG"/>
        </w:rPr>
        <w:t>مبادرات الإصلاح</w:t>
      </w:r>
    </w:p>
    <w:p w:rsidR="000B7434" w:rsidRPr="00EC4329" w:rsidRDefault="009A4450" w:rsidP="009A4450">
      <w:pPr>
        <w:pStyle w:val="SingleTxtGA"/>
        <w:rPr>
          <w:rFonts w:hint="cs"/>
          <w:rtl/>
          <w:lang w:bidi="ar-EG"/>
        </w:rPr>
      </w:pPr>
      <w:r>
        <w:rPr>
          <w:rFonts w:hint="cs"/>
          <w:rtl/>
          <w:lang w:bidi="ar-EG"/>
        </w:rPr>
        <w:t>135</w:t>
      </w:r>
      <w:r w:rsidR="000B7434" w:rsidRPr="00EC4329">
        <w:rPr>
          <w:rFonts w:hint="cs"/>
          <w:rtl/>
          <w:lang w:bidi="ar-EG"/>
        </w:rPr>
        <w:t>-</w:t>
      </w:r>
      <w:r>
        <w:rPr>
          <w:rFonts w:hint="cs"/>
          <w:rtl/>
          <w:lang w:bidi="ar-EG"/>
        </w:rPr>
        <w:tab/>
      </w:r>
      <w:r w:rsidR="000B7434" w:rsidRPr="00EC4329">
        <w:rPr>
          <w:rFonts w:hint="cs"/>
          <w:rtl/>
          <w:lang w:bidi="ar-EG"/>
        </w:rPr>
        <w:t xml:space="preserve">تضمن المادة 18 من الدستور المؤقت الحق الأساسي في العمل، بما في ذلك الضمان الاجتماعي. ويتجسد في الباب الرابع من الدستور التزام الدولة وسياسات الدولة داخل إطار وسائل كسب </w:t>
      </w:r>
      <w:r>
        <w:rPr>
          <w:rFonts w:hint="cs"/>
          <w:rtl/>
          <w:lang w:bidi="ar-EG"/>
        </w:rPr>
        <w:t>أ</w:t>
      </w:r>
      <w:r w:rsidR="000B7434" w:rsidRPr="00EC4329">
        <w:rPr>
          <w:rFonts w:hint="cs"/>
          <w:rtl/>
          <w:lang w:bidi="ar-EG"/>
        </w:rPr>
        <w:t xml:space="preserve">سباب العيش الأساسية. وقد عُدّلت القوانين التمييزية المتصلة بالعمالة بما يتمشى مع المساواة بين الجنسين، بما في ذلك </w:t>
      </w:r>
      <w:r>
        <w:rPr>
          <w:rFonts w:hint="cs"/>
          <w:rtl/>
          <w:lang w:bidi="ar-EG"/>
        </w:rPr>
        <w:t>الأ</w:t>
      </w:r>
      <w:r w:rsidR="000B7434" w:rsidRPr="00EC4329">
        <w:rPr>
          <w:rFonts w:hint="cs"/>
          <w:rtl/>
          <w:lang w:bidi="ar-EG"/>
        </w:rPr>
        <w:t xml:space="preserve">حكام الإيجابية المذكورة أعلاه في إطار </w:t>
      </w:r>
      <w:r>
        <w:rPr>
          <w:rFonts w:hint="cs"/>
          <w:rtl/>
          <w:lang w:bidi="ar-EG"/>
        </w:rPr>
        <w:t>التقدم المحرز بشأن المادتين 1 و</w:t>
      </w:r>
      <w:r w:rsidR="000B7434" w:rsidRPr="00EC4329">
        <w:rPr>
          <w:rFonts w:hint="cs"/>
          <w:rtl/>
          <w:lang w:bidi="ar-EG"/>
        </w:rPr>
        <w:t>2 من الاتفاقية. ويكفل التصديق على اتفاقية منظمة العمل الدولية رقم 169 كذلك حقوق المجموعات العرقية الأصلية حيث ستكون المرأة في تلك المجتمعات هي المستفيدة.</w:t>
      </w:r>
    </w:p>
    <w:p w:rsidR="000B7434" w:rsidRPr="00EC4329" w:rsidRDefault="009A4450" w:rsidP="002F1301">
      <w:pPr>
        <w:pStyle w:val="SingleTxtGA"/>
        <w:rPr>
          <w:rFonts w:hint="cs"/>
          <w:rtl/>
          <w:lang w:bidi="ar-EG"/>
        </w:rPr>
      </w:pPr>
      <w:r>
        <w:rPr>
          <w:rFonts w:hint="cs"/>
          <w:rtl/>
          <w:lang w:bidi="ar-EG"/>
        </w:rPr>
        <w:t>136</w:t>
      </w:r>
      <w:r w:rsidR="000B7434" w:rsidRPr="00EC4329">
        <w:rPr>
          <w:rFonts w:hint="cs"/>
          <w:rtl/>
          <w:lang w:bidi="ar-EG"/>
        </w:rPr>
        <w:t>-</w:t>
      </w:r>
      <w:r>
        <w:rPr>
          <w:rFonts w:hint="cs"/>
          <w:rtl/>
          <w:lang w:bidi="ar-EG"/>
        </w:rPr>
        <w:tab/>
      </w:r>
      <w:r w:rsidR="000B7434" w:rsidRPr="00EC4329">
        <w:rPr>
          <w:rFonts w:hint="cs"/>
          <w:rtl/>
          <w:lang w:bidi="ar-EG"/>
        </w:rPr>
        <w:t>وتستهدف الخطة الثلاثية السنوات المؤقتة التنمية المتكاملة للمهارات ورأس المال والأسواق بغية النهوض بالعمالة الذاتية للعاطلين عن العمل من الرجال والنساء في القطاعين غير الرسمي وغير المنظم. ووفقا</w:t>
      </w:r>
      <w:r w:rsidR="00C8270E">
        <w:rPr>
          <w:rFonts w:hint="cs"/>
          <w:rtl/>
          <w:lang w:bidi="ar-EG"/>
        </w:rPr>
        <w:t>ً</w:t>
      </w:r>
      <w:r w:rsidR="000B7434" w:rsidRPr="00EC4329">
        <w:rPr>
          <w:rFonts w:hint="cs"/>
          <w:rtl/>
          <w:lang w:bidi="ar-EG"/>
        </w:rPr>
        <w:t xml:space="preserve"> لهذه الخطة، سيقدم الدعم، عن طريق التعليم والتدريب وتنمية المهارات، لزيادة فرص حصول الفئات ذات الدخل المتدني مثل الداليت، والمرأة، والأديباسي جانجاتي، والمديسي، والأقليات، والطبقات المتخلفة، والمتأثرين </w:t>
      </w:r>
      <w:r w:rsidR="002F1301">
        <w:rPr>
          <w:rFonts w:hint="cs"/>
          <w:rtl/>
          <w:lang w:bidi="ar-EG"/>
        </w:rPr>
        <w:t>بالنزاع</w:t>
      </w:r>
      <w:r w:rsidR="000B7434" w:rsidRPr="00EC4329">
        <w:rPr>
          <w:rFonts w:hint="cs"/>
          <w:rtl/>
          <w:lang w:bidi="ar-EG"/>
        </w:rPr>
        <w:t>، والأشخاص ذوي الإعاقات، على التوظيف المحلي والأجنبي. وتنص الخطة المؤقتة بوضوح على برنامج للتدريب المهني وتنمية المهارات للمرأة تتبعه أهداف كمية للسنوات الثلاث (السنوات المالية 2007 إلى 2009) هي 500 7 للسنة الأولى، 000 11 للسنة الثانية، و000 16 للسنة الثالثة.</w:t>
      </w:r>
    </w:p>
    <w:p w:rsidR="000B7434" w:rsidRPr="00EC4329" w:rsidRDefault="009A4450" w:rsidP="009A4450">
      <w:pPr>
        <w:pStyle w:val="SingleTxtGA"/>
        <w:rPr>
          <w:rFonts w:hint="cs"/>
          <w:rtl/>
          <w:lang w:bidi="ar-EG"/>
        </w:rPr>
      </w:pPr>
      <w:r>
        <w:rPr>
          <w:rFonts w:hint="cs"/>
          <w:rtl/>
          <w:lang w:bidi="ar-EG"/>
        </w:rPr>
        <w:t>137</w:t>
      </w:r>
      <w:r w:rsidR="000B7434" w:rsidRPr="00EC4329">
        <w:rPr>
          <w:rFonts w:hint="cs"/>
          <w:rtl/>
          <w:lang w:bidi="ar-EG"/>
        </w:rPr>
        <w:t>-</w:t>
      </w:r>
      <w:r>
        <w:rPr>
          <w:rFonts w:hint="cs"/>
          <w:rtl/>
          <w:lang w:bidi="ar-EG"/>
        </w:rPr>
        <w:tab/>
      </w:r>
      <w:r w:rsidR="000B7434" w:rsidRPr="00EC4329">
        <w:rPr>
          <w:rFonts w:hint="cs"/>
          <w:rtl/>
          <w:lang w:bidi="ar-EG"/>
        </w:rPr>
        <w:t>وتعمل الحكومة منذ عام 2002 على تعزيز الهجرة المأمونة وكفالة حقوق المرأة العاملة المهاجرة. ويدعم صندوق الأمم المتحدة الإنمائي للمرأة الحكومة في النهوض بهذا المبدأ. وقد شُكّلت مجموعات أساسية في إدارة العمل وتشجيع العمالة لإرشاد البرنامج المعني بتمكين العاملات النيباليات المهاجرات.</w:t>
      </w:r>
    </w:p>
    <w:p w:rsidR="000B7434" w:rsidRPr="00EC4329" w:rsidRDefault="009A4450" w:rsidP="009A4450">
      <w:pPr>
        <w:pStyle w:val="SingleTxtGA"/>
        <w:rPr>
          <w:rFonts w:hint="cs"/>
          <w:rtl/>
          <w:lang w:bidi="ar-EG"/>
        </w:rPr>
      </w:pPr>
      <w:r>
        <w:rPr>
          <w:rFonts w:hint="cs"/>
          <w:rtl/>
          <w:lang w:bidi="ar-EG"/>
        </w:rPr>
        <w:t>138</w:t>
      </w:r>
      <w:r w:rsidR="000B7434" w:rsidRPr="00EC4329">
        <w:rPr>
          <w:rFonts w:hint="cs"/>
          <w:rtl/>
          <w:lang w:bidi="ar-EG"/>
        </w:rPr>
        <w:t>-</w:t>
      </w:r>
      <w:r>
        <w:rPr>
          <w:rFonts w:hint="cs"/>
          <w:rtl/>
          <w:lang w:bidi="ar-EG"/>
        </w:rPr>
        <w:tab/>
      </w:r>
      <w:r w:rsidR="000B7434" w:rsidRPr="00EC4329">
        <w:rPr>
          <w:rFonts w:hint="cs"/>
          <w:rtl/>
          <w:lang w:bidi="ar-EG"/>
        </w:rPr>
        <w:t>وتم في عام 2007 سن قانون العمالة الأجنبية الجديد لكفالة حقوق العمال بصورة عامة والعاملات بصورة خاصة. وتوخى القانون، من بين ما توخاه، المبادئ التالية:</w:t>
      </w:r>
    </w:p>
    <w:p w:rsidR="000B7434" w:rsidRPr="004F1C97" w:rsidRDefault="000B7434" w:rsidP="009A445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اتباع نهج قائم على الحقوق، وفق ما تم الاعتراف به في ديباجة القانون، بأن لا</w:t>
      </w:r>
      <w:r w:rsidRPr="004F1C97">
        <w:rPr>
          <w:rFonts w:hint="eastAsia"/>
          <w:w w:val="100"/>
          <w:kern w:val="0"/>
          <w:rtl/>
          <w:lang w:bidi="ar-EG"/>
        </w:rPr>
        <w:t> </w:t>
      </w:r>
      <w:r w:rsidRPr="004F1C97">
        <w:rPr>
          <w:rFonts w:hint="cs"/>
          <w:w w:val="100"/>
          <w:kern w:val="0"/>
          <w:rtl/>
          <w:lang w:bidi="ar-EG"/>
        </w:rPr>
        <w:t>يكون هناك أي تمييز في قطاع العمالة الأجنبية على أساس الجنس، الأمر الذي يسمح للعاملات قبول العمالة الأجنبية في القطاع غير الرسمي في بلدان الخليج</w:t>
      </w:r>
      <w:r w:rsidR="009A4450" w:rsidRPr="004F1C97">
        <w:rPr>
          <w:rFonts w:hint="cs"/>
          <w:w w:val="100"/>
          <w:kern w:val="0"/>
          <w:rtl/>
          <w:lang w:bidi="ar-EG"/>
        </w:rPr>
        <w:t>؛</w:t>
      </w:r>
    </w:p>
    <w:p w:rsidR="000B7434" w:rsidRPr="004F1C97" w:rsidRDefault="000B7434" w:rsidP="009A445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إدراج حكم في القانون باعتماد تدابير وتحفظات خاصة للمرأة توفر لها فرص الحصول على العمالة الأجنبية</w:t>
      </w:r>
      <w:r w:rsidR="009A4450" w:rsidRPr="004F1C97">
        <w:rPr>
          <w:rFonts w:hint="cs"/>
          <w:w w:val="100"/>
          <w:kern w:val="0"/>
          <w:rtl/>
          <w:lang w:bidi="ar-EG"/>
        </w:rPr>
        <w:t>؛</w:t>
      </w:r>
    </w:p>
    <w:p w:rsidR="000B7434" w:rsidRPr="004F1C97" w:rsidRDefault="000B7434" w:rsidP="009A445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اعتماد شرط متشدد باستخدام المطار الوطني عند السفر للعمل في الخارج حمايةً للمرأة من مختلف أشكال الاستغلال، والغش، والمضايقة، وخطر التعرض للاتجار</w:t>
      </w:r>
      <w:r w:rsidRPr="004F1C97">
        <w:rPr>
          <w:rFonts w:hint="eastAsia"/>
          <w:w w:val="100"/>
          <w:kern w:val="0"/>
          <w:rtl/>
          <w:lang w:bidi="ar-EG"/>
        </w:rPr>
        <w:t> </w:t>
      </w:r>
      <w:r w:rsidRPr="004F1C97">
        <w:rPr>
          <w:rFonts w:hint="cs"/>
          <w:w w:val="100"/>
          <w:kern w:val="0"/>
          <w:rtl/>
          <w:lang w:bidi="ar-EG"/>
        </w:rPr>
        <w:t>بالأشخاص</w:t>
      </w:r>
      <w:r w:rsidR="009A4450" w:rsidRPr="004F1C97">
        <w:rPr>
          <w:rFonts w:hint="cs"/>
          <w:w w:val="100"/>
          <w:kern w:val="0"/>
          <w:rtl/>
          <w:lang w:bidi="ar-EG"/>
        </w:rPr>
        <w:t>؛</w:t>
      </w:r>
    </w:p>
    <w:p w:rsidR="000B7434" w:rsidRPr="004F1C97" w:rsidRDefault="000B7434" w:rsidP="009A445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تلقي النساء تدريباً توجيهيا</w:t>
      </w:r>
      <w:r w:rsidR="009A4450" w:rsidRPr="004F1C97">
        <w:rPr>
          <w:rFonts w:hint="cs"/>
          <w:w w:val="100"/>
          <w:kern w:val="0"/>
          <w:rtl/>
          <w:lang w:bidi="ar-EG"/>
        </w:rPr>
        <w:t>ً</w:t>
      </w:r>
      <w:r w:rsidRPr="004F1C97">
        <w:rPr>
          <w:rFonts w:hint="cs"/>
          <w:w w:val="100"/>
          <w:kern w:val="0"/>
          <w:rtl/>
          <w:lang w:bidi="ar-EG"/>
        </w:rPr>
        <w:t xml:space="preserve"> إلزاميا</w:t>
      </w:r>
      <w:r w:rsidR="009A4450" w:rsidRPr="004F1C97">
        <w:rPr>
          <w:rFonts w:hint="cs"/>
          <w:w w:val="100"/>
          <w:kern w:val="0"/>
          <w:rtl/>
          <w:lang w:bidi="ar-EG"/>
        </w:rPr>
        <w:t>ً</w:t>
      </w:r>
      <w:r w:rsidRPr="004F1C97">
        <w:rPr>
          <w:rFonts w:hint="cs"/>
          <w:w w:val="100"/>
          <w:kern w:val="0"/>
          <w:rtl/>
          <w:lang w:bidi="ar-EG"/>
        </w:rPr>
        <w:t>، يسدد تكلفته مجلس العمالة الخارجية للمرأة، لكفالة صحة ونوعية التدريب التوجيهي</w:t>
      </w:r>
      <w:r w:rsidR="009A4450" w:rsidRPr="004F1C97">
        <w:rPr>
          <w:rFonts w:hint="cs"/>
          <w:w w:val="100"/>
          <w:kern w:val="0"/>
          <w:rtl/>
          <w:lang w:bidi="ar-EG"/>
        </w:rPr>
        <w:t>؛</w:t>
      </w:r>
    </w:p>
    <w:p w:rsidR="000B7434" w:rsidRPr="004F1C97" w:rsidRDefault="000B7434" w:rsidP="009A445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توفير تدريب في المهارات على أساس مطالب العمل نظراً إلى أنه وجد أن العاملات المهاجرات يُطلبن للعمل المنزلي دون تلقي تدريب سابق وقد حدثت حالات من الإنهاء المبكر للعقود بسبب الافتقار إلى المهارات. ويعمل صندوق الأمم المتحدة الإنمائي مع الحكومة على وضع دليل يدوي للعاملات المنزليات</w:t>
      </w:r>
      <w:r w:rsidR="009A4450" w:rsidRPr="004F1C97">
        <w:rPr>
          <w:rFonts w:hint="cs"/>
          <w:w w:val="100"/>
          <w:kern w:val="0"/>
          <w:rtl/>
          <w:lang w:bidi="ar-EG"/>
        </w:rPr>
        <w:t>؛</w:t>
      </w:r>
    </w:p>
    <w:p w:rsidR="000B7434" w:rsidRPr="004F1C97" w:rsidRDefault="000B7434" w:rsidP="009A445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 xml:space="preserve">وينص القانون على حكم </w:t>
      </w:r>
      <w:r w:rsidR="009A4450" w:rsidRPr="004F1C97">
        <w:rPr>
          <w:rFonts w:hint="cs"/>
          <w:w w:val="100"/>
          <w:kern w:val="0"/>
          <w:rtl/>
          <w:lang w:bidi="ar-EG"/>
        </w:rPr>
        <w:t>إ</w:t>
      </w:r>
      <w:r w:rsidRPr="004F1C97">
        <w:rPr>
          <w:rFonts w:hint="cs"/>
          <w:w w:val="100"/>
          <w:kern w:val="0"/>
          <w:rtl/>
          <w:lang w:bidi="ar-EG"/>
        </w:rPr>
        <w:t>لزامي بإنشاء منصب ملحق لشؤون العمال في البلدان التي يعمل فيها أكثر من 000 5 نيبالي. والأهم من ذلك أن الحكم ييسر أيضاً تعيين ملحق لشؤون العاملات في البلدان التي تضم أكثر من 000 1 عاملة نيبالية. وأنشأ القانون أيضاً بعض الآليات لتنظم وتدير شؤون العمالة الأجنبية، فأنشئت إدارة مستقلة للعمالة الأجنبية ومجلس مستقل لشؤون العمالة الأجنبية يضم ممثلين من وزارة شؤون المرأة وخبراء في العمالة الأجنبية الخ. وأوكلت إلى المجلس مهمة إجراء دراسة للفرص والتحديات في العمالة الأجنبية والتوصية بأماكن مأمونة للعمالة؛ وجمع وتصنيف البيانات بغية تشجيع العمالة الأجنبية وإجراء برامج توعية عن طريق مختلف الوسائط؛ و</w:t>
      </w:r>
      <w:r w:rsidR="009A4450" w:rsidRPr="004F1C97">
        <w:rPr>
          <w:rFonts w:hint="cs"/>
          <w:w w:val="100"/>
          <w:kern w:val="0"/>
          <w:rtl/>
          <w:lang w:bidi="ar-EG"/>
        </w:rPr>
        <w:t>إ</w:t>
      </w:r>
      <w:r w:rsidRPr="004F1C97">
        <w:rPr>
          <w:rFonts w:hint="cs"/>
          <w:w w:val="100"/>
          <w:kern w:val="0"/>
          <w:rtl/>
          <w:lang w:bidi="ar-EG"/>
        </w:rPr>
        <w:t>دارة صندوق رعاية لحماية حقوق العمال؛ واستخدام تحويلات ومهارات ومعارف العمال المهاجرين لتنمية البلد؛ ووضع خطة عمل وطنية لكفالة الاستحقاقات الاجتماعية للعمال؛ وإنشاء وإدارة منزل مأمون للعاملات المهاجرات</w:t>
      </w:r>
      <w:r w:rsidR="009A4450" w:rsidRPr="004F1C97">
        <w:rPr>
          <w:rFonts w:hint="cs"/>
          <w:w w:val="100"/>
          <w:kern w:val="0"/>
          <w:rtl/>
          <w:lang w:bidi="ar-EG"/>
        </w:rPr>
        <w:t>؛</w:t>
      </w:r>
    </w:p>
    <w:p w:rsidR="000B7434" w:rsidRPr="004F1C97"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كذلك فإن القانون يضم أحكاماً بإنشاء صندوق للعمالة الأجنبية سوف يُستخدم لتعويض العاملات المهاجرات، ولدفع تكاليف التدريب التوجيهي السابق للمغادرة، وإنشاء وإدارة مراكز للرعاية النهارية لأطفال العاملات المهاجرات، والاضطلاع ببرامج توعية بشأن العمالة الأجنبية وبرامج لفائدة أسر العاملات المهاجرات، وإيجاد فرص عمالة للعائدين يُتوقع أن تفيد المرأة. وقد ثبت بالمقارنة أن التكلفة الاجتماعية يمكن أن تكون أعلى بالنسبة للنساء والأطفال في عملية إعادة الهجرة.</w:t>
      </w:r>
    </w:p>
    <w:p w:rsidR="000B7434" w:rsidRPr="00EC4329" w:rsidRDefault="009A4450" w:rsidP="009A4450">
      <w:pPr>
        <w:pStyle w:val="SingleTxtGA"/>
        <w:rPr>
          <w:rFonts w:hint="cs"/>
          <w:rtl/>
          <w:lang w:bidi="ar-EG"/>
        </w:rPr>
      </w:pPr>
      <w:r>
        <w:rPr>
          <w:rFonts w:hint="cs"/>
          <w:rtl/>
          <w:lang w:bidi="ar-EG"/>
        </w:rPr>
        <w:t>139</w:t>
      </w:r>
      <w:r w:rsidR="000B7434" w:rsidRPr="00EC4329">
        <w:rPr>
          <w:rFonts w:hint="cs"/>
          <w:rtl/>
          <w:lang w:bidi="ar-EG"/>
        </w:rPr>
        <w:t>-</w:t>
      </w:r>
      <w:r>
        <w:rPr>
          <w:rFonts w:hint="cs"/>
          <w:rtl/>
          <w:lang w:bidi="ar-EG"/>
        </w:rPr>
        <w:tab/>
      </w:r>
      <w:r w:rsidR="000B7434" w:rsidRPr="00EC4329">
        <w:rPr>
          <w:rFonts w:hint="cs"/>
          <w:rtl/>
          <w:lang w:bidi="ar-EG"/>
        </w:rPr>
        <w:t xml:space="preserve">ولفتت حالة المرأة في مكان العمل انتباه المحكمة العليا أيضاً في بعض القضايا. ففي قضية </w:t>
      </w:r>
      <w:r w:rsidR="000B7434" w:rsidRPr="00EC4329">
        <w:rPr>
          <w:rFonts w:hint="cs"/>
          <w:i/>
          <w:iCs/>
          <w:rtl/>
          <w:lang w:bidi="ar-EG"/>
        </w:rPr>
        <w:t>سارميلا باراجولي</w:t>
      </w:r>
      <w:r w:rsidR="000B7434" w:rsidRPr="00EC4329">
        <w:rPr>
          <w:rFonts w:hint="cs"/>
          <w:rtl/>
          <w:lang w:bidi="ar-EG"/>
        </w:rPr>
        <w:t xml:space="preserve"> </w:t>
      </w:r>
      <w:r w:rsidR="000B7434" w:rsidRPr="00EC4329">
        <w:rPr>
          <w:rFonts w:hint="cs"/>
          <w:i/>
          <w:iCs/>
          <w:rtl/>
          <w:lang w:bidi="ar-EG"/>
        </w:rPr>
        <w:t>وغيرها</w:t>
      </w:r>
      <w:r w:rsidR="000B7434" w:rsidRPr="00EC4329">
        <w:rPr>
          <w:rFonts w:hint="cs"/>
          <w:rtl/>
          <w:lang w:bidi="ar-EG"/>
        </w:rPr>
        <w:t xml:space="preserve"> ضد </w:t>
      </w:r>
      <w:r w:rsidR="000B7434" w:rsidRPr="00EC4329">
        <w:rPr>
          <w:rFonts w:hint="cs"/>
          <w:i/>
          <w:iCs/>
          <w:rtl/>
          <w:lang w:bidi="ar-EG"/>
        </w:rPr>
        <w:t>مجلس الوزراء</w:t>
      </w:r>
      <w:r w:rsidR="000B7434" w:rsidRPr="00EC4329">
        <w:rPr>
          <w:rFonts w:hint="cs"/>
          <w:rtl/>
          <w:lang w:bidi="ar-EG"/>
        </w:rPr>
        <w:t>، أيدت المحكمة في القرار الذي أصدرته عام 2004 أن التحرش الجنسي في مكان العمل يمثل إحدى وسائل استغلال المرأة حين تكون المرأة تعمل في معهد أو منظمة ويعتدى عليها جنسياً من قبل العاملين معها أو</w:t>
      </w:r>
      <w:r w:rsidR="000B7434">
        <w:rPr>
          <w:rFonts w:hint="eastAsia"/>
          <w:rtl/>
          <w:lang w:bidi="ar-EG"/>
        </w:rPr>
        <w:t> </w:t>
      </w:r>
      <w:r w:rsidR="000B7434" w:rsidRPr="00EC4329">
        <w:rPr>
          <w:rFonts w:hint="cs"/>
          <w:rtl/>
          <w:lang w:bidi="ar-EG"/>
        </w:rPr>
        <w:t xml:space="preserve">رؤسائها. وأشارت المحكمة العليا أيضاً </w:t>
      </w:r>
      <w:r>
        <w:rPr>
          <w:rFonts w:hint="cs"/>
          <w:rtl/>
          <w:lang w:bidi="ar-EG"/>
        </w:rPr>
        <w:t>إ</w:t>
      </w:r>
      <w:r w:rsidR="000B7434" w:rsidRPr="00EC4329">
        <w:rPr>
          <w:rFonts w:hint="cs"/>
          <w:rtl/>
          <w:lang w:bidi="ar-EG"/>
        </w:rPr>
        <w:t xml:space="preserve">لى أن الموظفة يمكن أن تتعرض لمثل هذا التحرش إما بالتهديد بطردها من عملها أو بنوع من الوعود الجذابة مثل الترفيع، أو الزيادة في المرتب، أو المكافآت. ولمثل هذه الإساءات وقعٌ سلبي قوي على حالة عمل الضحية ومعنوياتها. ولذلك أمرت المحكمة العليا بسن تشريع يغطي كل جوانب هذه القضية بما في ذلك التحقيق السليم، والأحكام العقابية الوافية، وتدابير الجبر لضحايا مثل هذه الحالات. وتعمل وزارة شؤون المرأة على صياغة مشروع قانون بشأن </w:t>
      </w:r>
      <w:r w:rsidR="0075177C">
        <w:rPr>
          <w:rtl/>
          <w:lang w:bidi="ar-EG"/>
        </w:rPr>
        <w:t>"</w:t>
      </w:r>
      <w:r w:rsidR="000B7434" w:rsidRPr="00EC4329">
        <w:rPr>
          <w:rFonts w:hint="cs"/>
          <w:rtl/>
          <w:lang w:bidi="ar-EG"/>
        </w:rPr>
        <w:t>التحرش الجنسي في أماكن العمل</w:t>
      </w:r>
      <w:r w:rsidR="0075177C">
        <w:rPr>
          <w:rtl/>
          <w:lang w:bidi="ar-EG"/>
        </w:rPr>
        <w:t>"</w:t>
      </w:r>
      <w:r w:rsidR="000B7434" w:rsidRPr="00EC4329">
        <w:rPr>
          <w:rFonts w:hint="cs"/>
          <w:rtl/>
          <w:lang w:bidi="ar-EG"/>
        </w:rPr>
        <w:t>.</w:t>
      </w:r>
    </w:p>
    <w:p w:rsidR="000B7434" w:rsidRPr="00EC4329" w:rsidRDefault="009A4450" w:rsidP="004F1C97">
      <w:pPr>
        <w:pStyle w:val="H23GA"/>
        <w:rPr>
          <w:rFonts w:hint="cs"/>
          <w:rtl/>
          <w:lang w:bidi="ar-EG"/>
        </w:rPr>
      </w:pPr>
      <w:r>
        <w:rPr>
          <w:rFonts w:hint="cs"/>
          <w:rtl/>
          <w:lang w:bidi="ar-EG"/>
        </w:rPr>
        <w:tab/>
      </w:r>
      <w:r>
        <w:rPr>
          <w:rFonts w:hint="cs"/>
          <w:rtl/>
          <w:lang w:bidi="ar-EG"/>
        </w:rPr>
        <w:tab/>
      </w:r>
      <w:r w:rsidR="000B7434" w:rsidRPr="00EC4329">
        <w:rPr>
          <w:rFonts w:hint="cs"/>
          <w:rtl/>
          <w:lang w:bidi="ar-EG"/>
        </w:rPr>
        <w:t>تحديات المستقبل</w:t>
      </w:r>
    </w:p>
    <w:p w:rsidR="000B7434" w:rsidRPr="00EC4329" w:rsidRDefault="009A4450" w:rsidP="009A4450">
      <w:pPr>
        <w:pStyle w:val="SingleTxtGA"/>
        <w:rPr>
          <w:rFonts w:hint="cs"/>
          <w:rtl/>
          <w:lang w:bidi="ar-EG"/>
        </w:rPr>
      </w:pPr>
      <w:r>
        <w:rPr>
          <w:rFonts w:hint="cs"/>
          <w:rtl/>
          <w:lang w:bidi="ar-EG"/>
        </w:rPr>
        <w:t>140</w:t>
      </w:r>
      <w:r w:rsidR="000B7434" w:rsidRPr="00EC4329">
        <w:rPr>
          <w:rFonts w:hint="cs"/>
          <w:rtl/>
          <w:lang w:bidi="ar-EG"/>
        </w:rPr>
        <w:t>-</w:t>
      </w:r>
      <w:r>
        <w:rPr>
          <w:rFonts w:hint="cs"/>
          <w:rtl/>
          <w:lang w:bidi="ar-EG"/>
        </w:rPr>
        <w:tab/>
      </w:r>
      <w:r w:rsidR="000B7434" w:rsidRPr="00EC4329">
        <w:rPr>
          <w:rFonts w:hint="cs"/>
          <w:rtl/>
          <w:lang w:bidi="ar-EG"/>
        </w:rPr>
        <w:t>يتمثل التحدي الرئيسي لإعمال الحق في المساواة في التوظيف في أن للمرأة، من</w:t>
      </w:r>
      <w:r>
        <w:rPr>
          <w:rFonts w:hint="cs"/>
          <w:rtl/>
          <w:lang w:bidi="ar-EG"/>
        </w:rPr>
        <w:t xml:space="preserve"> </w:t>
      </w:r>
      <w:r w:rsidR="000B7434" w:rsidRPr="00EC4329">
        <w:rPr>
          <w:rFonts w:hint="cs"/>
          <w:rtl/>
          <w:lang w:bidi="ar-EG"/>
        </w:rPr>
        <w:t>ناحية، الحق في</w:t>
      </w:r>
      <w:r>
        <w:rPr>
          <w:rFonts w:hint="cs"/>
          <w:rtl/>
          <w:lang w:bidi="ar-EG"/>
        </w:rPr>
        <w:t xml:space="preserve"> </w:t>
      </w:r>
      <w:r w:rsidR="000B7434" w:rsidRPr="00EC4329">
        <w:rPr>
          <w:rFonts w:hint="cs"/>
          <w:rtl/>
          <w:lang w:bidi="ar-EG"/>
        </w:rPr>
        <w:t>العمل بغض النظر عن طابع العمل أو مكانه أو وقته (ليلاً أو نهاراً) كما</w:t>
      </w:r>
      <w:r>
        <w:rPr>
          <w:rFonts w:hint="cs"/>
          <w:rtl/>
          <w:lang w:bidi="ar-EG"/>
        </w:rPr>
        <w:t xml:space="preserve"> </w:t>
      </w:r>
      <w:r w:rsidR="000B7434" w:rsidRPr="00EC4329">
        <w:rPr>
          <w:rFonts w:hint="cs"/>
          <w:rtl/>
          <w:lang w:bidi="ar-EG"/>
        </w:rPr>
        <w:t>للرجل، ومن ناحية أخرى، في وجود حالات عديدة أُبلغ فيها عن أن المرأة العاملة في المطاعم داخل البلد أو المرأة التي قبلت عملاً في الخارج قد استُغلت جنسياً. وفي هذا السياق يوجد تناقض بين التمتع بحق عدم التمييز في التوظيف ومدى حماية المرأة من</w:t>
      </w:r>
      <w:r>
        <w:rPr>
          <w:rFonts w:hint="cs"/>
          <w:rtl/>
          <w:lang w:bidi="ar-EG"/>
        </w:rPr>
        <w:t xml:space="preserve"> </w:t>
      </w:r>
      <w:r w:rsidR="000B7434" w:rsidRPr="00EC4329">
        <w:rPr>
          <w:rFonts w:hint="cs"/>
          <w:rtl/>
          <w:lang w:bidi="ar-EG"/>
        </w:rPr>
        <w:t>التحرش</w:t>
      </w:r>
      <w:r>
        <w:rPr>
          <w:rFonts w:hint="cs"/>
          <w:rtl/>
          <w:lang w:bidi="ar-EG"/>
        </w:rPr>
        <w:t xml:space="preserve"> </w:t>
      </w:r>
      <w:r w:rsidR="000B7434" w:rsidRPr="00EC4329">
        <w:rPr>
          <w:rFonts w:hint="cs"/>
          <w:rtl/>
          <w:lang w:bidi="ar-EG"/>
        </w:rPr>
        <w:t>الجنسي.</w:t>
      </w:r>
    </w:p>
    <w:p w:rsidR="000B7434" w:rsidRPr="00EC4329" w:rsidRDefault="00B02A1C" w:rsidP="00B02A1C">
      <w:pPr>
        <w:pStyle w:val="SingleTxtGA"/>
        <w:rPr>
          <w:rFonts w:hint="cs"/>
          <w:rtl/>
          <w:lang w:bidi="ar-EG"/>
        </w:rPr>
      </w:pPr>
      <w:r>
        <w:rPr>
          <w:rFonts w:hint="cs"/>
          <w:rtl/>
          <w:lang w:bidi="ar-EG"/>
        </w:rPr>
        <w:t>141</w:t>
      </w:r>
      <w:r w:rsidR="000B7434" w:rsidRPr="00EC4329">
        <w:rPr>
          <w:rFonts w:hint="cs"/>
          <w:rtl/>
          <w:lang w:bidi="ar-EG"/>
        </w:rPr>
        <w:t>-</w:t>
      </w:r>
      <w:r>
        <w:rPr>
          <w:rFonts w:hint="cs"/>
          <w:rtl/>
          <w:lang w:bidi="ar-EG"/>
        </w:rPr>
        <w:tab/>
      </w:r>
      <w:r w:rsidR="000B7434" w:rsidRPr="00EC4329">
        <w:rPr>
          <w:rFonts w:hint="cs"/>
          <w:rtl/>
          <w:lang w:bidi="ar-EG"/>
        </w:rPr>
        <w:t>ولم يتم بعد إضفاء الطابع المؤسسي على استخدام عمل المرأة في أنشطة توليد الدخل. ولذلك فإن استغلالَ عملها من قبل القطاع غير الرسمي وغير المنظم مستمرٌ دون هوادة، وتعرضَها لمثل هذه الأخطار وشيك.</w:t>
      </w:r>
    </w:p>
    <w:p w:rsidR="000B7434" w:rsidRPr="00EC4329" w:rsidRDefault="00B02A1C" w:rsidP="00B02A1C">
      <w:pPr>
        <w:pStyle w:val="SingleTxt"/>
        <w:rPr>
          <w:rFonts w:hint="cs"/>
          <w:rtl/>
          <w:lang w:bidi="ar-EG"/>
        </w:rPr>
      </w:pPr>
      <w:r>
        <w:rPr>
          <w:rFonts w:hint="cs"/>
          <w:rtl/>
          <w:lang w:bidi="ar-EG"/>
        </w:rPr>
        <w:t>142</w:t>
      </w:r>
      <w:r w:rsidR="000B7434" w:rsidRPr="00EC4329">
        <w:rPr>
          <w:rFonts w:hint="cs"/>
          <w:rtl/>
          <w:lang w:bidi="ar-EG"/>
        </w:rPr>
        <w:t>-</w:t>
      </w:r>
      <w:r>
        <w:rPr>
          <w:rFonts w:hint="cs"/>
          <w:rtl/>
          <w:lang w:bidi="ar-EG"/>
        </w:rPr>
        <w:tab/>
      </w:r>
      <w:r w:rsidR="000B7434" w:rsidRPr="00EC4329">
        <w:rPr>
          <w:rFonts w:hint="cs"/>
          <w:rtl/>
          <w:lang w:bidi="ar-EG"/>
        </w:rPr>
        <w:t>ويعتبر انتشار التمييز والممارسات النمطية المقولبة بحكم الواقع في المجتمع عاملا</w:t>
      </w:r>
      <w:r>
        <w:rPr>
          <w:rFonts w:hint="cs"/>
          <w:rtl/>
          <w:lang w:bidi="ar-EG"/>
        </w:rPr>
        <w:t>ً</w:t>
      </w:r>
      <w:r w:rsidR="000B7434" w:rsidRPr="00EC4329">
        <w:rPr>
          <w:rFonts w:hint="cs"/>
          <w:rtl/>
          <w:lang w:bidi="ar-EG"/>
        </w:rPr>
        <w:t xml:space="preserve"> يعرقل تمتع المرأة بحقوقها في التوظيف وأثناءه. وعلاوة على ذلك، ثبت أنه لا يوجد في كثير من الأحيان أي اعتراف بالدور الإنجابي للمرأة بفرض التدابير اللازمة على</w:t>
      </w:r>
      <w:r>
        <w:rPr>
          <w:rFonts w:hint="cs"/>
          <w:rtl/>
          <w:lang w:bidi="ar-EG"/>
        </w:rPr>
        <w:t xml:space="preserve"> </w:t>
      </w:r>
      <w:r w:rsidR="000B7434" w:rsidRPr="00EC4329">
        <w:rPr>
          <w:rFonts w:hint="cs"/>
          <w:rtl/>
          <w:lang w:bidi="ar-EG"/>
        </w:rPr>
        <w:t>قطاعات</w:t>
      </w:r>
      <w:r>
        <w:rPr>
          <w:rFonts w:hint="cs"/>
          <w:rtl/>
          <w:lang w:bidi="ar-EG"/>
        </w:rPr>
        <w:t xml:space="preserve"> </w:t>
      </w:r>
      <w:r w:rsidR="000B7434" w:rsidRPr="00EC4329">
        <w:rPr>
          <w:rFonts w:hint="cs"/>
          <w:rtl/>
          <w:lang w:bidi="ar-EG"/>
        </w:rPr>
        <w:t>التوظيف.</w:t>
      </w:r>
    </w:p>
    <w:p w:rsidR="000B7434" w:rsidRPr="00EC4329" w:rsidRDefault="000B7434" w:rsidP="00B02A1C">
      <w:pPr>
        <w:pStyle w:val="H1GA"/>
        <w:jc w:val="left"/>
        <w:rPr>
          <w:rFonts w:hint="cs"/>
          <w:rtl/>
          <w:lang w:bidi="ar-EG"/>
        </w:rPr>
      </w:pPr>
      <w:r>
        <w:rPr>
          <w:rFonts w:hint="cs"/>
          <w:rtl/>
          <w:lang w:bidi="ar-EG"/>
        </w:rPr>
        <w:tab/>
      </w:r>
      <w:r>
        <w:rPr>
          <w:rFonts w:hint="cs"/>
          <w:rtl/>
          <w:lang w:bidi="ar-EG"/>
        </w:rPr>
        <w:tab/>
      </w:r>
      <w:r w:rsidRPr="00EC4329">
        <w:rPr>
          <w:rFonts w:hint="cs"/>
          <w:rtl/>
          <w:lang w:bidi="ar-EG"/>
        </w:rPr>
        <w:t>المادة 12</w:t>
      </w:r>
      <w:r>
        <w:rPr>
          <w:rtl/>
          <w:lang w:bidi="ar-EG"/>
        </w:rPr>
        <w:br/>
      </w:r>
      <w:r w:rsidRPr="00EC4329">
        <w:rPr>
          <w:rFonts w:hint="cs"/>
          <w:rtl/>
          <w:lang w:bidi="ar-EG"/>
        </w:rPr>
        <w:t>الصحة</w:t>
      </w:r>
    </w:p>
    <w:p w:rsidR="000B7434" w:rsidRPr="00EC4329" w:rsidRDefault="00B02A1C" w:rsidP="004F1C97">
      <w:pPr>
        <w:pStyle w:val="H23GA"/>
        <w:rPr>
          <w:rFonts w:hint="cs"/>
          <w:rtl/>
          <w:lang w:bidi="ar-EG"/>
        </w:rPr>
      </w:pPr>
      <w:r>
        <w:rPr>
          <w:rFonts w:hint="cs"/>
          <w:rtl/>
          <w:lang w:bidi="ar-EG"/>
        </w:rPr>
        <w:tab/>
      </w:r>
      <w:r>
        <w:rPr>
          <w:rFonts w:hint="cs"/>
          <w:rtl/>
          <w:lang w:bidi="ar-EG"/>
        </w:rPr>
        <w:tab/>
      </w:r>
      <w:r w:rsidR="000B7434" w:rsidRPr="00EC4329">
        <w:rPr>
          <w:rFonts w:hint="cs"/>
          <w:rtl/>
          <w:lang w:bidi="ar-EG"/>
        </w:rPr>
        <w:t>معلومات أساسية</w:t>
      </w:r>
    </w:p>
    <w:p w:rsidR="000B7434" w:rsidRPr="00EC4329" w:rsidRDefault="00B02A1C" w:rsidP="00B02A1C">
      <w:pPr>
        <w:pStyle w:val="SingleTxt"/>
        <w:rPr>
          <w:rFonts w:hint="cs"/>
          <w:rtl/>
          <w:lang w:bidi="ar-EG"/>
        </w:rPr>
      </w:pPr>
      <w:r>
        <w:rPr>
          <w:rFonts w:hint="cs"/>
          <w:rtl/>
          <w:lang w:bidi="ar-EG"/>
        </w:rPr>
        <w:t>143</w:t>
      </w:r>
      <w:r w:rsidR="000B7434" w:rsidRPr="00EC4329">
        <w:rPr>
          <w:rFonts w:hint="cs"/>
          <w:rtl/>
          <w:lang w:bidi="ar-EG"/>
        </w:rPr>
        <w:t>-</w:t>
      </w:r>
      <w:r>
        <w:rPr>
          <w:rFonts w:hint="cs"/>
          <w:rtl/>
          <w:lang w:bidi="ar-EG"/>
        </w:rPr>
        <w:tab/>
      </w:r>
      <w:r w:rsidR="000B7434" w:rsidRPr="00EC4329">
        <w:rPr>
          <w:rFonts w:hint="cs"/>
          <w:rtl/>
          <w:lang w:bidi="ar-EG"/>
        </w:rPr>
        <w:t>في عام 2006 أجريت الدراسة الاستقصائية الوطنية للصحة السكانية، وقد شملت هذه الدراسة 793 1</w:t>
      </w:r>
      <w:r w:rsidR="008B03DA">
        <w:rPr>
          <w:rFonts w:hint="cs"/>
          <w:rtl/>
          <w:lang w:bidi="ar-EG"/>
        </w:rPr>
        <w:t>0 امرأة تتراوح أعمارهن بين 15 و49 سنة و</w:t>
      </w:r>
      <w:r w:rsidR="000B7434" w:rsidRPr="00EC4329">
        <w:rPr>
          <w:rFonts w:hint="cs"/>
          <w:rtl/>
          <w:lang w:bidi="ar-EG"/>
        </w:rPr>
        <w:t xml:space="preserve">397 </w:t>
      </w:r>
      <w:r w:rsidR="008B03DA">
        <w:rPr>
          <w:rFonts w:hint="cs"/>
          <w:rtl/>
          <w:lang w:bidi="ar-EG"/>
        </w:rPr>
        <w:t>4 رجلاً تتراوح أعمارهم بين 15 و</w:t>
      </w:r>
      <w:r w:rsidR="000B7434" w:rsidRPr="00EC4329">
        <w:rPr>
          <w:rFonts w:hint="cs"/>
          <w:rtl/>
          <w:lang w:bidi="ar-EG"/>
        </w:rPr>
        <w:t>59 سنة. ويوفر التقرير عن هذه الدراسة بعض مؤشرات النجاح تشرحها الفقرات التالية.</w:t>
      </w:r>
    </w:p>
    <w:p w:rsidR="000B7434" w:rsidRPr="00EC4329" w:rsidRDefault="00B02A1C" w:rsidP="00B02A1C">
      <w:pPr>
        <w:pStyle w:val="SingleTxt"/>
        <w:rPr>
          <w:rFonts w:hint="cs"/>
          <w:rtl/>
          <w:lang w:bidi="ar-EG"/>
        </w:rPr>
      </w:pPr>
      <w:r>
        <w:rPr>
          <w:rFonts w:hint="cs"/>
          <w:rtl/>
          <w:lang w:bidi="ar-EG"/>
        </w:rPr>
        <w:t>144</w:t>
      </w:r>
      <w:r w:rsidR="000B7434" w:rsidRPr="00EC4329">
        <w:rPr>
          <w:rFonts w:hint="cs"/>
          <w:rtl/>
          <w:lang w:bidi="ar-EG"/>
        </w:rPr>
        <w:t>-</w:t>
      </w:r>
      <w:r>
        <w:rPr>
          <w:rFonts w:hint="cs"/>
          <w:rtl/>
          <w:lang w:bidi="ar-EG"/>
        </w:rPr>
        <w:tab/>
      </w:r>
      <w:r w:rsidR="000B7434" w:rsidRPr="00EC4329">
        <w:rPr>
          <w:rFonts w:hint="cs"/>
          <w:rtl/>
          <w:lang w:bidi="ar-EG"/>
        </w:rPr>
        <w:t xml:space="preserve">العمر المتوقع لكل من الذكور والإناث آخذ في الازدياد التدريجي. ويبلغ متوسط العمر المتوقع للمرأة 63.7 سنة وهو أعلى نسبياً من العمر المتوقع للرجل. أما معدل وفيات النفاس فقد اتخذ اتجاها نحو التناقص وسجل 281 وفاة لكل 000 100 امرأة ونقص معدل الخصوبة من 4.6 (في سنة 1996) إلى 3.1 في سنة 2006. غير أن معدل الخصوبة لدى المرأة في المناطق الريفية كان أعلى من ذلك وبالمقارنة إذ سجل 3.3 </w:t>
      </w:r>
      <w:r>
        <w:rPr>
          <w:rFonts w:hint="cs"/>
          <w:rtl/>
          <w:lang w:bidi="ar-EG"/>
        </w:rPr>
        <w:t xml:space="preserve">      </w:t>
      </w:r>
      <w:r w:rsidR="000B7434" w:rsidRPr="00EC4329">
        <w:rPr>
          <w:rFonts w:hint="cs"/>
          <w:rtl/>
          <w:lang w:bidi="ar-EG"/>
        </w:rPr>
        <w:t xml:space="preserve">بينما وجد أن معدل الخصوبة لدى المرأة في المناطق الحضرية هو 2.1. وازداد متوسط عمر المرأة لدى وضع أول طفل وأصبح الآن 20 </w:t>
      </w:r>
      <w:r>
        <w:rPr>
          <w:rFonts w:hint="cs"/>
          <w:rtl/>
          <w:lang w:bidi="ar-EG"/>
        </w:rPr>
        <w:t xml:space="preserve">سنة. وفي عام 2006 كانت نسبة 70 </w:t>
      </w:r>
      <w:r w:rsidR="000B7434" w:rsidRPr="00EC4329">
        <w:rPr>
          <w:rFonts w:hint="cs"/>
          <w:rtl/>
          <w:lang w:bidi="ar-EG"/>
        </w:rPr>
        <w:t>في المائة من النساء تستخدم وسائل منع الحمل. ومن بين النساء اللواتي يستعملن وسائل منع الحمل هناك ما نسبته 44 في المائة منهن يستخدمن الأنواع الحديثة من هذه الوسائل. وهناك 40 في المائة من النساء يتلقين العناية السابقة للوضع، من بينهن 28 في المائة يتلقين هذه العناية من عاملات صحيات ماهرات (المصدر: الدراسة الاستقصائية الوطنية للصحة السكانية، 2006).</w:t>
      </w:r>
    </w:p>
    <w:p w:rsidR="000B7434" w:rsidRPr="00EC4329" w:rsidRDefault="00B02A1C" w:rsidP="00B02A1C">
      <w:pPr>
        <w:pStyle w:val="SingleTxtGA"/>
        <w:rPr>
          <w:rFonts w:hint="cs"/>
          <w:rtl/>
          <w:lang w:bidi="ar-EG"/>
        </w:rPr>
      </w:pPr>
      <w:r>
        <w:rPr>
          <w:rFonts w:hint="cs"/>
          <w:rtl/>
          <w:lang w:bidi="ar-EG"/>
        </w:rPr>
        <w:t>145</w:t>
      </w:r>
      <w:r w:rsidR="000B7434" w:rsidRPr="00EC4329">
        <w:rPr>
          <w:rFonts w:hint="cs"/>
          <w:rtl/>
          <w:lang w:bidi="ar-EG"/>
        </w:rPr>
        <w:t>-</w:t>
      </w:r>
      <w:r>
        <w:rPr>
          <w:rFonts w:hint="cs"/>
          <w:rtl/>
          <w:lang w:bidi="ar-EG"/>
        </w:rPr>
        <w:tab/>
      </w:r>
      <w:r w:rsidR="000B7434" w:rsidRPr="00EC4329">
        <w:rPr>
          <w:rFonts w:hint="cs"/>
          <w:rtl/>
          <w:lang w:bidi="ar-EG"/>
        </w:rPr>
        <w:t>وتقدم الدراسة الاستقصائية معلومات تفصيلية عن الخصوبة، وتخطيط الأسرة، والرضع، والأطفال، والراشدين، ووفيات النفاس، ومعلومات عن فيروس نقص المناعة البشرية/الإيدز والأمراض الأخرى المنقولة بالاتصال الجنسي.</w:t>
      </w:r>
    </w:p>
    <w:p w:rsidR="000B7434" w:rsidRPr="00EC4329" w:rsidRDefault="00B02A1C" w:rsidP="00B02A1C">
      <w:pPr>
        <w:pStyle w:val="H23GA"/>
        <w:rPr>
          <w:rFonts w:hint="cs"/>
          <w:rtl/>
          <w:lang w:bidi="ar-EG"/>
        </w:rPr>
      </w:pPr>
      <w:r>
        <w:rPr>
          <w:rFonts w:hint="cs"/>
          <w:rtl/>
          <w:lang w:bidi="ar-EG"/>
        </w:rPr>
        <w:tab/>
      </w:r>
      <w:r>
        <w:rPr>
          <w:rFonts w:hint="cs"/>
          <w:rtl/>
          <w:lang w:bidi="ar-EG"/>
        </w:rPr>
        <w:tab/>
      </w:r>
      <w:r w:rsidR="000B7434" w:rsidRPr="00EC4329">
        <w:rPr>
          <w:rFonts w:hint="cs"/>
          <w:rtl/>
          <w:lang w:bidi="ar-EG"/>
        </w:rPr>
        <w:t>الخصوبة</w:t>
      </w:r>
    </w:p>
    <w:p w:rsidR="000B7434" w:rsidRPr="00C8270E" w:rsidRDefault="00B02A1C" w:rsidP="00B02A1C">
      <w:pPr>
        <w:pStyle w:val="SingleTxtGA"/>
        <w:rPr>
          <w:rFonts w:hint="cs"/>
          <w:spacing w:val="-2"/>
          <w:rtl/>
          <w:lang w:bidi="ar-EG"/>
        </w:rPr>
      </w:pPr>
      <w:r w:rsidRPr="00C8270E">
        <w:rPr>
          <w:rFonts w:hint="cs"/>
          <w:spacing w:val="-2"/>
          <w:rtl/>
          <w:lang w:bidi="ar-EG"/>
        </w:rPr>
        <w:t>146</w:t>
      </w:r>
      <w:r w:rsidR="000B7434" w:rsidRPr="00C8270E">
        <w:rPr>
          <w:rFonts w:hint="cs"/>
          <w:spacing w:val="-2"/>
          <w:rtl/>
          <w:lang w:bidi="ar-EG"/>
        </w:rPr>
        <w:t>-</w:t>
      </w:r>
      <w:r w:rsidRPr="00C8270E">
        <w:rPr>
          <w:rFonts w:hint="cs"/>
          <w:spacing w:val="-2"/>
          <w:rtl/>
          <w:lang w:bidi="ar-EG"/>
        </w:rPr>
        <w:tab/>
      </w:r>
      <w:r w:rsidR="000B7434" w:rsidRPr="00C8270E">
        <w:rPr>
          <w:rFonts w:hint="cs"/>
          <w:spacing w:val="-2"/>
          <w:rtl/>
          <w:lang w:bidi="ar-EG"/>
        </w:rPr>
        <w:t>تبين نتائج الدراسة الاستقصائية أنه حدث انخفاض لم يسبق له مثيل في معدل الخصوبة من 4.6 ولادات لكل امرأة في عام 1996 إلى 3.1 ولادات لكل امرأة في عام 2006، وهذا هبوط يبلغ 1.5 حالة ولادة لكل امرأة في السنوات العشر الماضية. وكان هذا الهبوط أوضح في السنوات الخمس الواقعة بين 2</w:t>
      </w:r>
      <w:r w:rsidR="008B03DA" w:rsidRPr="00C8270E">
        <w:rPr>
          <w:rFonts w:hint="cs"/>
          <w:spacing w:val="-2"/>
          <w:rtl/>
          <w:lang w:bidi="ar-EG"/>
        </w:rPr>
        <w:t>001 و</w:t>
      </w:r>
      <w:r w:rsidR="000B7434" w:rsidRPr="00C8270E">
        <w:rPr>
          <w:rFonts w:hint="cs"/>
          <w:spacing w:val="-2"/>
          <w:rtl/>
          <w:lang w:bidi="ar-EG"/>
        </w:rPr>
        <w:t xml:space="preserve">2006 (طفل واحد أو 24 في المائة نسبة هبوط) </w:t>
      </w:r>
      <w:r w:rsidR="00C8270E">
        <w:rPr>
          <w:rFonts w:hint="cs"/>
          <w:spacing w:val="-2"/>
          <w:rtl/>
          <w:lang w:bidi="ar-EG"/>
        </w:rPr>
        <w:t xml:space="preserve">      </w:t>
      </w:r>
      <w:r w:rsidR="000B7434" w:rsidRPr="00C8270E">
        <w:rPr>
          <w:rFonts w:hint="cs"/>
          <w:spacing w:val="-2"/>
          <w:rtl/>
          <w:lang w:bidi="ar-EG"/>
        </w:rPr>
        <w:t>مما كان عليه بين عام 1996 وعام 2001، ولوحظت حالات الهبوط في كل فئات العمر خلال السنوات العشر الأخيرة وإن كان أعلى لدى الأكبر سناً مما هو لدى الأصغر سنا</w:t>
      </w:r>
      <w:r w:rsidR="004F1C97" w:rsidRPr="00C8270E">
        <w:rPr>
          <w:rFonts w:hint="cs"/>
          <w:spacing w:val="-2"/>
          <w:rtl/>
          <w:lang w:bidi="ar-EG"/>
        </w:rPr>
        <w:t>ً</w:t>
      </w:r>
      <w:r w:rsidR="000B7434" w:rsidRPr="00C8270E">
        <w:rPr>
          <w:rFonts w:hint="cs"/>
          <w:spacing w:val="-2"/>
          <w:rtl/>
          <w:lang w:bidi="ar-EG"/>
        </w:rPr>
        <w:t>. وتقدم الحقائق التالية صورة للحالة الحقيقية:</w:t>
      </w:r>
    </w:p>
    <w:p w:rsidR="000B7434" w:rsidRPr="004F1C97" w:rsidRDefault="000B7434" w:rsidP="00B02A1C">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معدل الخصوبة أعلى في المناطق الريفية (3.3 ولادات لكل امرأة) مما هو في المناطق الحضرية (2.1 ولادات لكل امرأة)</w:t>
      </w:r>
      <w:r w:rsidR="00B02A1C" w:rsidRPr="004F1C97">
        <w:rPr>
          <w:rFonts w:hint="cs"/>
          <w:w w:val="100"/>
          <w:kern w:val="0"/>
          <w:rtl/>
          <w:lang w:bidi="ar-EG"/>
        </w:rPr>
        <w:t>؛</w:t>
      </w:r>
    </w:p>
    <w:p w:rsidR="000B7434" w:rsidRPr="004F1C97" w:rsidRDefault="000B7434" w:rsidP="00B02A1C">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spacing w:val="-2"/>
          <w:w w:val="100"/>
          <w:kern w:val="0"/>
          <w:rtl/>
          <w:lang w:bidi="ar-EG"/>
        </w:rPr>
      </w:pPr>
      <w:r w:rsidRPr="004F1C97">
        <w:rPr>
          <w:rFonts w:hint="cs"/>
          <w:spacing w:val="-2"/>
          <w:w w:val="100"/>
          <w:kern w:val="0"/>
          <w:rtl/>
          <w:lang w:bidi="ar-EG"/>
        </w:rPr>
        <w:t>•</w:t>
      </w:r>
      <w:r w:rsidRPr="004F1C97">
        <w:rPr>
          <w:rFonts w:hint="cs"/>
          <w:spacing w:val="-2"/>
          <w:w w:val="100"/>
          <w:kern w:val="0"/>
          <w:rtl/>
          <w:lang w:bidi="ar-EG"/>
        </w:rPr>
        <w:tab/>
        <w:t xml:space="preserve">ربع النساء النيباليات تقريباً وضعن أول مولود قبل بلوغهن سن 18 وأكثر من النصف قد وضعن مولوداً ببلوغهن سن 20. والعمر المتوسط </w:t>
      </w:r>
      <w:r w:rsidR="00B02A1C" w:rsidRPr="004F1C97">
        <w:rPr>
          <w:rFonts w:hint="cs"/>
          <w:spacing w:val="-2"/>
          <w:w w:val="100"/>
          <w:kern w:val="0"/>
          <w:rtl/>
          <w:lang w:bidi="ar-EG"/>
        </w:rPr>
        <w:t>لأ</w:t>
      </w:r>
      <w:r w:rsidRPr="004F1C97">
        <w:rPr>
          <w:rFonts w:hint="cs"/>
          <w:spacing w:val="-2"/>
          <w:w w:val="100"/>
          <w:kern w:val="0"/>
          <w:rtl/>
          <w:lang w:bidi="ar-EG"/>
        </w:rPr>
        <w:t>ول ولادة هو نحو 20 سنة لكل فئات العمر، مما يبين أنه لم يحدث أي تغيير حقيقي في السن لدى الولادة الأولى خلال العقود القليلة الماضية</w:t>
      </w:r>
      <w:r w:rsidR="00B02A1C" w:rsidRPr="004F1C97">
        <w:rPr>
          <w:rFonts w:hint="cs"/>
          <w:spacing w:val="-2"/>
          <w:w w:val="100"/>
          <w:kern w:val="0"/>
          <w:rtl/>
          <w:lang w:bidi="ar-EG"/>
        </w:rPr>
        <w:t>؛</w:t>
      </w:r>
    </w:p>
    <w:p w:rsidR="000B7434" w:rsidRPr="004F1C97" w:rsidRDefault="000B7434" w:rsidP="00C8270E">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تشير البيانات من الدراسة الاستقصائية لصحة الأسرة النيبالية لعام 1996 ومن دراستين استقصائيت</w:t>
      </w:r>
      <w:r w:rsidR="00C8270E">
        <w:rPr>
          <w:rFonts w:hint="cs"/>
          <w:w w:val="100"/>
          <w:kern w:val="0"/>
          <w:rtl/>
          <w:lang w:bidi="ar-EG"/>
        </w:rPr>
        <w:t>ي</w:t>
      </w:r>
      <w:r w:rsidRPr="004F1C97">
        <w:rPr>
          <w:rFonts w:hint="cs"/>
          <w:w w:val="100"/>
          <w:kern w:val="0"/>
          <w:rtl/>
          <w:lang w:bidi="ar-EG"/>
        </w:rPr>
        <w:t>ن وطنيتين لل</w:t>
      </w:r>
      <w:r w:rsidR="00B02A1C" w:rsidRPr="004F1C97">
        <w:rPr>
          <w:rFonts w:hint="cs"/>
          <w:w w:val="100"/>
          <w:kern w:val="0"/>
          <w:rtl/>
          <w:lang w:bidi="ar-EG"/>
        </w:rPr>
        <w:t>صحة السكانية أجريتا عامي 2001 و</w:t>
      </w:r>
      <w:r w:rsidRPr="004F1C97">
        <w:rPr>
          <w:rFonts w:hint="cs"/>
          <w:w w:val="100"/>
          <w:kern w:val="0"/>
          <w:rtl/>
          <w:lang w:bidi="ar-EG"/>
        </w:rPr>
        <w:t xml:space="preserve">2006 أن نسبة اللواتي لم يتزوجن بعد من النساء في فئة العمر 15 إلى 19 وفئة العمر 20 </w:t>
      </w:r>
      <w:r w:rsidR="00C8270E">
        <w:rPr>
          <w:rFonts w:hint="cs"/>
          <w:w w:val="100"/>
          <w:kern w:val="0"/>
          <w:rtl/>
          <w:lang w:bidi="ar-EG"/>
        </w:rPr>
        <w:t xml:space="preserve">    </w:t>
      </w:r>
      <w:r w:rsidRPr="004F1C97">
        <w:rPr>
          <w:rFonts w:hint="cs"/>
          <w:w w:val="100"/>
          <w:kern w:val="0"/>
          <w:rtl/>
          <w:lang w:bidi="ar-EG"/>
        </w:rPr>
        <w:t>إلى 24 ازدادت بنسبة 21 في المائة خلال السنوات العشر الأخيرة مع حدوث الانخفاض في الزواج في السنوات الخمس الأخيرة بنسبة أكثر وضوحاً مما كانت عليه في السنوات الخمس السابقة. ولوحظ نمط مماثل لحدوث</w:t>
      </w:r>
      <w:r w:rsidR="000C6FCD">
        <w:rPr>
          <w:rFonts w:hint="cs"/>
          <w:w w:val="100"/>
          <w:kern w:val="0"/>
          <w:rtl/>
          <w:lang w:bidi="ar-EG"/>
        </w:rPr>
        <w:t xml:space="preserve"> </w:t>
      </w:r>
      <w:r w:rsidRPr="004F1C97">
        <w:rPr>
          <w:rFonts w:hint="cs"/>
          <w:w w:val="100"/>
          <w:kern w:val="0"/>
          <w:rtl/>
          <w:lang w:bidi="ar-EG"/>
        </w:rPr>
        <w:t>انخفاض في الإقبال على الزواج فيما بين الرجال في السنوات الخمس الأخيرة، على الرغم من أن نسبة هذا الانخفاض فيما بين الرجال أصغر مما هي فيما بين النساء</w:t>
      </w:r>
      <w:r w:rsidR="00B02A1C" w:rsidRPr="004F1C97">
        <w:rPr>
          <w:rFonts w:hint="cs"/>
          <w:w w:val="100"/>
          <w:kern w:val="0"/>
          <w:rtl/>
          <w:lang w:bidi="ar-EG"/>
        </w:rPr>
        <w:t>؛</w:t>
      </w:r>
    </w:p>
    <w:p w:rsidR="000B7434" w:rsidRPr="004F1C97" w:rsidRDefault="000B7434" w:rsidP="00B02A1C">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متوسط العمر لدى الزواج الأول يبلغ 17.2 فيما بين النساء في الفئة العمرية 20</w:t>
      </w:r>
      <w:r w:rsidR="00B02A1C" w:rsidRPr="004F1C97">
        <w:rPr>
          <w:rFonts w:hint="cs"/>
          <w:w w:val="100"/>
          <w:kern w:val="0"/>
          <w:rtl/>
          <w:lang w:bidi="ar-EG"/>
        </w:rPr>
        <w:t xml:space="preserve"> </w:t>
      </w:r>
      <w:r w:rsidRPr="004F1C97">
        <w:rPr>
          <w:rFonts w:hint="cs"/>
          <w:w w:val="100"/>
          <w:kern w:val="0"/>
          <w:rtl/>
          <w:lang w:bidi="ar-EG"/>
        </w:rPr>
        <w:t>إلى 49</w:t>
      </w:r>
      <w:r w:rsidR="00B02A1C" w:rsidRPr="004F1C97">
        <w:rPr>
          <w:rFonts w:hint="cs"/>
          <w:w w:val="100"/>
          <w:kern w:val="0"/>
          <w:rtl/>
          <w:lang w:bidi="ar-EG"/>
        </w:rPr>
        <w:t>؛</w:t>
      </w:r>
    </w:p>
    <w:p w:rsidR="000B7434" w:rsidRPr="004F1C97" w:rsidRDefault="000B7434" w:rsidP="000C6FC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ازداد متوسط سن الزواج فيما بين النساء في فئة العمر 20 إلى 49 سنة بحوالي سنة واحدة تقريباً خلال السنوات الخمس الأخيرة، غير أن هذه الزيادة كانت صغيرة خلال السنوات الخمس الأخيرة. إلا أن متوسط العمر لدى الزواج فيما بين الرجال ارتفع بما يقرب من سنة خلال الأعوام الخمسة الأخيرة</w:t>
      </w:r>
      <w:r w:rsidR="00B02A1C" w:rsidRPr="004F1C97">
        <w:rPr>
          <w:rFonts w:hint="cs"/>
          <w:w w:val="100"/>
          <w:kern w:val="0"/>
          <w:rtl/>
          <w:lang w:bidi="ar-EG"/>
        </w:rPr>
        <w:t>؛</w:t>
      </w:r>
    </w:p>
    <w:p w:rsidR="000B7434" w:rsidRPr="004F1C97" w:rsidRDefault="000B7434" w:rsidP="00B02A1C">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يبلغ متوسط العمر عند وضع أول مولود حوالي 20 سنة عبر كل الفئات العمرية، مما يشير إلى عدم حدوث أي تغيير في السن عند الولادة الأولى خلال العقدين الأخيرين. وأكثر من 70 في المائة في كل فئات العمر وضعن مولودهن الأول مع بلوغهن سن 22؛ مع تناقص هذه النسبة كلما ارتفع عمر الأم. وتضع نسبة تبلغ قرابة 90 في المائة من النساء النيباليات المولود الأول مع بلوغ سن 25. وهناك واحدة بين كل خمس مراهقات في فئة العمر 15 إلى 19 أصبحن أمهات بالفعل أو كن حوامل بطفلهن الأول. أما نسبة النساء المراهقات اللواتي بدأن الإنجاب فتزداد من 1 في المائة فيما بين النساء اللواتي يبلغ عمرهن 15 عاماً، إلى 41 في المائة بين النساء اللواتي يبلغن 19سنة من العمر</w:t>
      </w:r>
      <w:r w:rsidR="00B02A1C" w:rsidRPr="004F1C97">
        <w:rPr>
          <w:rFonts w:hint="cs"/>
          <w:w w:val="100"/>
          <w:kern w:val="0"/>
          <w:rtl/>
          <w:lang w:bidi="ar-EG"/>
        </w:rPr>
        <w:t>.</w:t>
      </w:r>
    </w:p>
    <w:p w:rsidR="000B7434" w:rsidRPr="00EC4329" w:rsidRDefault="00B02A1C" w:rsidP="00B02A1C">
      <w:pPr>
        <w:pStyle w:val="H23GA"/>
        <w:rPr>
          <w:rFonts w:hint="cs"/>
          <w:rtl/>
          <w:lang w:bidi="ar-EG"/>
        </w:rPr>
      </w:pPr>
      <w:r>
        <w:rPr>
          <w:rFonts w:hint="cs"/>
          <w:rtl/>
          <w:lang w:bidi="ar-EG"/>
        </w:rPr>
        <w:tab/>
      </w:r>
      <w:r>
        <w:rPr>
          <w:rFonts w:hint="cs"/>
          <w:rtl/>
          <w:lang w:bidi="ar-EG"/>
        </w:rPr>
        <w:tab/>
      </w:r>
      <w:r w:rsidR="000B7434" w:rsidRPr="00EC4329">
        <w:rPr>
          <w:rFonts w:hint="cs"/>
          <w:rtl/>
          <w:lang w:bidi="ar-EG"/>
        </w:rPr>
        <w:t>تخطيط الأسرة</w:t>
      </w:r>
    </w:p>
    <w:p w:rsidR="000B7434" w:rsidRPr="00EC4329" w:rsidRDefault="00B02A1C" w:rsidP="00B02A1C">
      <w:pPr>
        <w:pStyle w:val="SingleTxtGA"/>
        <w:rPr>
          <w:rFonts w:hint="cs"/>
          <w:rtl/>
          <w:lang w:bidi="ar-EG"/>
        </w:rPr>
      </w:pPr>
      <w:r>
        <w:rPr>
          <w:rFonts w:hint="cs"/>
          <w:rtl/>
          <w:lang w:bidi="ar-EG"/>
        </w:rPr>
        <w:t>147</w:t>
      </w:r>
      <w:r w:rsidR="000B7434" w:rsidRPr="00EC4329">
        <w:rPr>
          <w:rFonts w:hint="cs"/>
          <w:rtl/>
          <w:lang w:bidi="ar-EG"/>
        </w:rPr>
        <w:t>-</w:t>
      </w:r>
      <w:r>
        <w:rPr>
          <w:rFonts w:hint="cs"/>
          <w:rtl/>
          <w:lang w:bidi="ar-EG"/>
        </w:rPr>
        <w:tab/>
      </w:r>
      <w:r w:rsidR="000B7434" w:rsidRPr="00EC4329">
        <w:rPr>
          <w:rFonts w:hint="cs"/>
          <w:rtl/>
          <w:lang w:bidi="ar-EG"/>
        </w:rPr>
        <w:t xml:space="preserve">قرابة واحدة من كل امرأتين متزوجتين تستخدم وسيلة لمنع الحمل، مع استخدام معظم النساء لوسيلة حمل حديثة (44 في المائة). والوسيلتان الأكثر رواجاً من وسائل منع الحمل الحديثة هما تعقيم الأنثى (18 في المائة) والحقنات (10 في المائة). وقد ازداد استخدام وسائل منع الحمل الحديثة فيما بين النساء المتزوجات حالياً بنسبة 70 في المائة خلال السنوات العشر الماضية من 26 في المائة في عام 1996 إلى 44 في المائة في عام 2006. </w:t>
      </w:r>
    </w:p>
    <w:p w:rsidR="000B7434" w:rsidRPr="00EC4329" w:rsidRDefault="00B02A1C" w:rsidP="00B02A1C">
      <w:pPr>
        <w:pStyle w:val="SingleTxtGA"/>
        <w:rPr>
          <w:rFonts w:hint="cs"/>
          <w:rtl/>
          <w:lang w:bidi="ar-EG"/>
        </w:rPr>
      </w:pPr>
      <w:r>
        <w:rPr>
          <w:rFonts w:hint="cs"/>
          <w:rtl/>
          <w:lang w:bidi="ar-EG"/>
        </w:rPr>
        <w:t>148</w:t>
      </w:r>
      <w:r w:rsidR="000B7434" w:rsidRPr="00EC4329">
        <w:rPr>
          <w:rFonts w:hint="cs"/>
          <w:rtl/>
          <w:lang w:bidi="ar-EG"/>
        </w:rPr>
        <w:t>-</w:t>
      </w:r>
      <w:r>
        <w:rPr>
          <w:rFonts w:hint="cs"/>
          <w:rtl/>
          <w:lang w:bidi="ar-EG"/>
        </w:rPr>
        <w:tab/>
      </w:r>
      <w:r w:rsidR="000B7434" w:rsidRPr="00EC4329">
        <w:rPr>
          <w:rFonts w:hint="cs"/>
          <w:rtl/>
          <w:lang w:bidi="ar-EG"/>
        </w:rPr>
        <w:t>وقد أجابت ثلاثة أرباع النساء المتزوجات حالياً واللواتي كن لا يستخدمن وقت إجراء الدراسة الاستقصائية أية طريقة من طرق تخطيط الأسرة بأنهن يعتزمن استخدام طريقة في المستقبل. وتفضل غالبية هؤلاء النساء استخدام الحقن على التعقيم.</w:t>
      </w:r>
    </w:p>
    <w:p w:rsidR="000B7434" w:rsidRPr="00EC4329" w:rsidRDefault="00B02A1C" w:rsidP="00B02A1C">
      <w:pPr>
        <w:pStyle w:val="H23GA"/>
        <w:rPr>
          <w:rFonts w:hint="cs"/>
          <w:rtl/>
          <w:lang w:bidi="ar-EG"/>
        </w:rPr>
      </w:pPr>
      <w:r>
        <w:rPr>
          <w:rFonts w:hint="cs"/>
          <w:rtl/>
          <w:lang w:bidi="ar-EG"/>
        </w:rPr>
        <w:tab/>
      </w:r>
      <w:r>
        <w:rPr>
          <w:rFonts w:hint="cs"/>
          <w:rtl/>
          <w:lang w:bidi="ar-EG"/>
        </w:rPr>
        <w:tab/>
      </w:r>
      <w:r w:rsidR="000B7434" w:rsidRPr="00EC4329">
        <w:rPr>
          <w:rFonts w:hint="cs"/>
          <w:rtl/>
          <w:lang w:bidi="ar-EG"/>
        </w:rPr>
        <w:t>الصحة الإنجابية</w:t>
      </w:r>
    </w:p>
    <w:p w:rsidR="000B7434" w:rsidRPr="00EC4329" w:rsidRDefault="00B02A1C" w:rsidP="00B02A1C">
      <w:pPr>
        <w:pStyle w:val="SingleTxtGA"/>
        <w:rPr>
          <w:rFonts w:hint="cs"/>
          <w:rtl/>
          <w:lang w:bidi="ar-EG"/>
        </w:rPr>
      </w:pPr>
      <w:r>
        <w:rPr>
          <w:rFonts w:hint="cs"/>
          <w:rtl/>
          <w:lang w:bidi="ar-EG"/>
        </w:rPr>
        <w:t>149</w:t>
      </w:r>
      <w:r w:rsidR="000B7434" w:rsidRPr="00EC4329">
        <w:rPr>
          <w:rFonts w:hint="cs"/>
          <w:rtl/>
          <w:lang w:bidi="ar-EG"/>
        </w:rPr>
        <w:t>-</w:t>
      </w:r>
      <w:r>
        <w:rPr>
          <w:rFonts w:hint="cs"/>
          <w:rtl/>
          <w:lang w:bidi="ar-EG"/>
        </w:rPr>
        <w:tab/>
      </w:r>
      <w:r w:rsidR="000B7434" w:rsidRPr="00EC4329">
        <w:rPr>
          <w:rFonts w:hint="cs"/>
          <w:rtl/>
          <w:lang w:bidi="ar-EG"/>
        </w:rPr>
        <w:t xml:space="preserve">تلقت نسبة تبلغ 44 في المائة من الأمهات عناية سابقة للوضع وأثناءه من قابلات ماهرات في حالة أحدث مولود لهن في السنوات الخمس السابقة للدراسة الاستقصائية. وبالإضافة إلى ذلك تلقت نسبة 28 في المائة عناية سابقة للوضع وأثناءه من عاملات صحيات مدربات مثل مساعدة قابلة أو عاملة صحية إضافية أو مرشدة في مجال صحة الأم والطفل، أو مرشدة صحية قروية. وتلقى أقل من نسبة 2 في المائة من النساء عناية سابقة للوضع وأثناءه من قابلة تقليدية (داية) أو من عاملة صحية متبرعة في المجتمع. ولم تتلق واحدة من كل 4 حالات ولادة عناية سابقة للوضع وأثناءه على الإطلاق. وخلال السنوات العشر الأخيرة، حدث تحسن هام في نسبة الأمهات اللواتي يتلقين عناية سابقة للوضع وأثناءه من قابلة متخصصة، إذ ازدادت النسبة من 24 في المائة في عام 1996 إلى 28 في المائة في </w:t>
      </w:r>
      <w:r w:rsidR="00C8270E">
        <w:rPr>
          <w:rFonts w:hint="cs"/>
          <w:rtl/>
          <w:lang w:bidi="ar-EG"/>
        </w:rPr>
        <w:t xml:space="preserve">      </w:t>
      </w:r>
      <w:r w:rsidR="000B7434" w:rsidRPr="00EC4329">
        <w:rPr>
          <w:rFonts w:hint="cs"/>
          <w:rtl/>
          <w:lang w:bidi="ar-EG"/>
        </w:rPr>
        <w:t>عام 2001 وإلى 44 في المائة في عام 2006. وهناك حوالي ثلاث بين كل عشر نساء يقمن بأربع زيارات عناية أو أكثر سابقة للوضع أثناء فترة الحمل بكاملها. وازدادت النسبة المئوية للنساء اللواتي يقمن بأربع زيارات أو أكثر للعناية السابقة للوضع أثناء فترة الحمل ثلاثة أمثال ما كانت عليه خلال السنوات العشر الماضية. ومتوسط مدة الحمل التي تسبق أول زيارة عناية سابقة للوضع هي 4.6 شهراً مما يبين أن النساء النيباليات يبدأن العناية السابقة للوضع في مرحلة متأخرة نسبياً من الحمل.</w:t>
      </w:r>
    </w:p>
    <w:p w:rsidR="000B7434" w:rsidRPr="00EC4329" w:rsidRDefault="00B02A1C" w:rsidP="00B02A1C">
      <w:pPr>
        <w:pStyle w:val="H23GA"/>
        <w:rPr>
          <w:rFonts w:hint="cs"/>
          <w:rtl/>
          <w:lang w:bidi="ar-EG"/>
        </w:rPr>
      </w:pPr>
      <w:r>
        <w:rPr>
          <w:rFonts w:hint="cs"/>
          <w:rtl/>
          <w:lang w:bidi="ar-EG"/>
        </w:rPr>
        <w:tab/>
      </w:r>
      <w:r>
        <w:rPr>
          <w:rFonts w:hint="cs"/>
          <w:rtl/>
          <w:lang w:bidi="ar-EG"/>
        </w:rPr>
        <w:tab/>
      </w:r>
      <w:r w:rsidR="000B7434" w:rsidRPr="00EC4329">
        <w:rPr>
          <w:rFonts w:hint="cs"/>
          <w:rtl/>
          <w:lang w:bidi="ar-EG"/>
        </w:rPr>
        <w:t>الإرضاع الطبيعي والتغذية</w:t>
      </w:r>
    </w:p>
    <w:p w:rsidR="000B7434" w:rsidRPr="00EC4329" w:rsidRDefault="00B02A1C" w:rsidP="00B02A1C">
      <w:pPr>
        <w:pStyle w:val="SingleTxtGA"/>
        <w:rPr>
          <w:rFonts w:hint="cs"/>
          <w:rtl/>
          <w:lang w:bidi="ar-EG"/>
        </w:rPr>
      </w:pPr>
      <w:r>
        <w:rPr>
          <w:rFonts w:hint="cs"/>
          <w:rtl/>
          <w:lang w:bidi="ar-EG"/>
        </w:rPr>
        <w:t>150</w:t>
      </w:r>
      <w:r w:rsidR="000B7434" w:rsidRPr="00EC4329">
        <w:rPr>
          <w:rFonts w:hint="cs"/>
          <w:rtl/>
          <w:lang w:bidi="ar-EG"/>
        </w:rPr>
        <w:t>-</w:t>
      </w:r>
      <w:r>
        <w:rPr>
          <w:rFonts w:hint="cs"/>
          <w:rtl/>
          <w:lang w:bidi="ar-EG"/>
        </w:rPr>
        <w:tab/>
      </w:r>
      <w:r w:rsidR="000B7434" w:rsidRPr="00EC4329">
        <w:rPr>
          <w:rFonts w:hint="cs"/>
          <w:rtl/>
          <w:lang w:bidi="ar-EG"/>
        </w:rPr>
        <w:t>جمعت الدراسة الاستقصائية لصحة السكان التي أُجريت عام 2006 معلومات عن الحالة التغذوية للنساء في فئة العمر 15 إلى 49 سنة، أظهرت أن 24 في المائة من النساء النيباليات يعانين من سوء التغذية، أي أنهن دون الحد الفاصل البالغ 18.5 للرقم الإرشادي للكتلة الجسدية، الذي يُقاس باستخدام الطول والوزن لقياس النحول. وقد وُجد أن نسبة تسعة في المائة من النساء في عداد زائدات الوزن أو السمينات. و</w:t>
      </w:r>
      <w:r w:rsidR="000B7434" w:rsidRPr="00EC4329">
        <w:rPr>
          <w:rFonts w:hint="cs"/>
          <w:rtl/>
          <w:lang w:bidi="ar-JO"/>
        </w:rPr>
        <w:t>لم يطرأ سوى</w:t>
      </w:r>
      <w:r w:rsidR="000B7434" w:rsidRPr="00EC4329">
        <w:rPr>
          <w:rFonts w:hint="cs"/>
          <w:rtl/>
          <w:lang w:bidi="ar-EG"/>
        </w:rPr>
        <w:t xml:space="preserve"> تحسن طفيف على الحالة التغذوية للمرأة على مر السنين. وتبلغ نسبة المصابات بفقر الدم 36 في المائة من</w:t>
      </w:r>
      <w:r w:rsidR="000B7434">
        <w:rPr>
          <w:rFonts w:hint="eastAsia"/>
          <w:rtl/>
          <w:lang w:bidi="ar-EG"/>
        </w:rPr>
        <w:t> </w:t>
      </w:r>
      <w:r w:rsidR="000B7434" w:rsidRPr="00EC4329">
        <w:rPr>
          <w:rFonts w:hint="cs"/>
          <w:rtl/>
          <w:lang w:bidi="ar-EG"/>
        </w:rPr>
        <w:t>النساء في الفئة العمرية 15 إلى 49، مع كون 29 في المائة منهن مصابات بدرجة خ</w:t>
      </w:r>
      <w:r w:rsidR="008B03DA">
        <w:rPr>
          <w:rFonts w:hint="cs"/>
          <w:rtl/>
          <w:lang w:bidi="ar-EG"/>
        </w:rPr>
        <w:t>فيفة من فقر الدم، و</w:t>
      </w:r>
      <w:r w:rsidR="000B7434" w:rsidRPr="00EC4329">
        <w:rPr>
          <w:rFonts w:hint="cs"/>
          <w:rtl/>
          <w:lang w:bidi="ar-EG"/>
        </w:rPr>
        <w:t>6 في المائة بدرجة معتدلة من فقر الدم، ومعاناة نسبة تقل عن 1 في المائة من</w:t>
      </w:r>
      <w:r w:rsidR="000B7434">
        <w:rPr>
          <w:rFonts w:hint="eastAsia"/>
          <w:rtl/>
          <w:lang w:bidi="ar-EG"/>
        </w:rPr>
        <w:t> </w:t>
      </w:r>
      <w:r w:rsidR="000B7434" w:rsidRPr="00EC4329">
        <w:rPr>
          <w:rFonts w:hint="cs"/>
          <w:rtl/>
          <w:lang w:bidi="ar-EG"/>
        </w:rPr>
        <w:t>درجة شديدة من فقر الدم.</w:t>
      </w:r>
    </w:p>
    <w:p w:rsidR="000B7434" w:rsidRPr="00EC4329" w:rsidRDefault="004F1C97" w:rsidP="00B02A1C">
      <w:pPr>
        <w:pStyle w:val="H23GA"/>
        <w:rPr>
          <w:rFonts w:hint="cs"/>
          <w:rtl/>
          <w:lang w:bidi="ar-EG"/>
        </w:rPr>
      </w:pPr>
      <w:r>
        <w:rPr>
          <w:rtl/>
          <w:lang w:bidi="ar-EG"/>
        </w:rPr>
        <w:br w:type="page"/>
      </w:r>
      <w:r w:rsidR="00B02A1C">
        <w:rPr>
          <w:rFonts w:hint="cs"/>
          <w:rtl/>
          <w:lang w:bidi="ar-EG"/>
        </w:rPr>
        <w:tab/>
      </w:r>
      <w:r w:rsidR="00B02A1C">
        <w:rPr>
          <w:rFonts w:hint="cs"/>
          <w:rtl/>
          <w:lang w:bidi="ar-EG"/>
        </w:rPr>
        <w:tab/>
      </w:r>
      <w:r w:rsidR="000B7434" w:rsidRPr="00EC4329">
        <w:rPr>
          <w:rFonts w:hint="cs"/>
          <w:rtl/>
          <w:lang w:bidi="ar-EG"/>
        </w:rPr>
        <w:t>فيروس نقص المناعة البشرية ومتلا</w:t>
      </w:r>
      <w:r w:rsidR="000B7434">
        <w:rPr>
          <w:rFonts w:hint="cs"/>
          <w:rtl/>
          <w:lang w:bidi="ar-EG"/>
        </w:rPr>
        <w:t>زمة نقص المناعة المكتسب</w:t>
      </w:r>
      <w:r w:rsidR="00C8270E">
        <w:rPr>
          <w:rFonts w:hint="cs"/>
          <w:rtl/>
          <w:lang w:bidi="ar-EG"/>
        </w:rPr>
        <w:t xml:space="preserve"> </w:t>
      </w:r>
      <w:r w:rsidR="000B7434">
        <w:rPr>
          <w:rFonts w:hint="cs"/>
          <w:rtl/>
          <w:lang w:bidi="ar-EG"/>
        </w:rPr>
        <w:t>(الإيدز)</w:t>
      </w:r>
    </w:p>
    <w:p w:rsidR="000B7434" w:rsidRPr="00EC4329" w:rsidRDefault="00B02A1C" w:rsidP="00B02A1C">
      <w:pPr>
        <w:pStyle w:val="SingleTxtGA"/>
        <w:rPr>
          <w:rFonts w:hint="cs"/>
          <w:rtl/>
          <w:lang w:bidi="ar-EG"/>
        </w:rPr>
      </w:pPr>
      <w:r>
        <w:rPr>
          <w:rFonts w:hint="cs"/>
          <w:rtl/>
          <w:lang w:bidi="ar-EG"/>
        </w:rPr>
        <w:t>151</w:t>
      </w:r>
      <w:r w:rsidR="000B7434" w:rsidRPr="00EC4329">
        <w:rPr>
          <w:rFonts w:hint="cs"/>
          <w:rtl/>
          <w:lang w:bidi="ar-EG"/>
        </w:rPr>
        <w:t>-</w:t>
      </w:r>
      <w:r>
        <w:rPr>
          <w:rFonts w:hint="cs"/>
          <w:rtl/>
          <w:lang w:bidi="ar-EG"/>
        </w:rPr>
        <w:tab/>
      </w:r>
      <w:r w:rsidR="000B7434" w:rsidRPr="00EC4329">
        <w:rPr>
          <w:rFonts w:hint="cs"/>
          <w:rtl/>
          <w:lang w:bidi="ar-EG"/>
        </w:rPr>
        <w:t>تدرك معظم النساء أن باستطاعتهن أن يقلصن فرص إصابتهن بمرض الإيدز عن طريق قصر اتصالهن الجنسي على شريك واحد غير مصاب بهذا المرض (65 في المائة) أو</w:t>
      </w:r>
      <w:r w:rsidR="000B7434">
        <w:rPr>
          <w:rFonts w:hint="eastAsia"/>
          <w:rtl/>
          <w:lang w:bidi="ar-EG"/>
        </w:rPr>
        <w:t> </w:t>
      </w:r>
      <w:r w:rsidR="000B7434" w:rsidRPr="00EC4329">
        <w:rPr>
          <w:rFonts w:hint="cs"/>
          <w:rtl/>
          <w:lang w:bidi="ar-EG"/>
        </w:rPr>
        <w:t>بالامتناع عن المضاجعة الجنسية (60 في</w:t>
      </w:r>
      <w:r w:rsidR="000B7434" w:rsidRPr="00EC4329">
        <w:rPr>
          <w:rFonts w:hint="eastAsia"/>
          <w:rtl/>
          <w:lang w:bidi="ar-EG"/>
        </w:rPr>
        <w:t> </w:t>
      </w:r>
      <w:r w:rsidR="000B7434" w:rsidRPr="00EC4329">
        <w:rPr>
          <w:rFonts w:hint="cs"/>
          <w:rtl/>
          <w:lang w:bidi="ar-EG"/>
        </w:rPr>
        <w:t>المائة). وتعلم نسبة 59 في المائة من النساء و75</w:t>
      </w:r>
      <w:r w:rsidR="000B7434">
        <w:rPr>
          <w:rFonts w:hint="eastAsia"/>
          <w:rtl/>
          <w:lang w:bidi="ar-EG"/>
        </w:rPr>
        <w:t> </w:t>
      </w:r>
      <w:r w:rsidR="000B7434" w:rsidRPr="00EC4329">
        <w:rPr>
          <w:rFonts w:hint="cs"/>
          <w:rtl/>
          <w:lang w:bidi="ar-EG"/>
        </w:rPr>
        <w:t>في المائة من الرجال في فئة العمر 15 إلى 48 أن الشخص الذي يبدو في صحة جيدة يمكن أن يكون مصاباً بمرض الإيدز. وتقدم البيانات المفصلة حسب الجنس في الجدولين التاليين بعض اللمحات عن ذلك:</w:t>
      </w:r>
    </w:p>
    <w:p w:rsidR="000B7434" w:rsidRPr="00EC4329" w:rsidRDefault="000B7434" w:rsidP="00B02A1C">
      <w:pPr>
        <w:pStyle w:val="SingleTxtGA"/>
        <w:spacing w:after="0"/>
        <w:rPr>
          <w:rFonts w:hint="cs"/>
          <w:rtl/>
          <w:lang w:bidi="ar-EG"/>
        </w:rPr>
      </w:pPr>
      <w:r w:rsidRPr="00EC4329">
        <w:rPr>
          <w:rFonts w:hint="cs"/>
          <w:rtl/>
          <w:lang w:bidi="ar-EG"/>
        </w:rPr>
        <w:t>الجدول 16</w:t>
      </w:r>
    </w:p>
    <w:p w:rsidR="000B7434" w:rsidRPr="00B02A1C" w:rsidRDefault="000B7434" w:rsidP="00B02A1C">
      <w:pPr>
        <w:pStyle w:val="SingleTxtGA"/>
        <w:rPr>
          <w:rFonts w:hint="cs"/>
          <w:b/>
          <w:bCs/>
          <w:rtl/>
          <w:lang w:bidi="ar-EG"/>
        </w:rPr>
      </w:pPr>
      <w:r w:rsidRPr="00B02A1C">
        <w:rPr>
          <w:rFonts w:hint="cs"/>
          <w:b/>
          <w:bCs/>
          <w:rtl/>
          <w:lang w:bidi="ar-EG"/>
        </w:rPr>
        <w:t>عدد السكان المصابين بفيروس نقص المناعة البشرية</w:t>
      </w:r>
    </w:p>
    <w:tbl>
      <w:tblPr>
        <w:bidiVisual/>
        <w:tblW w:w="8357" w:type="dxa"/>
        <w:tblInd w:w="1267" w:type="dxa"/>
        <w:tblLayout w:type="fixed"/>
        <w:tblCellMar>
          <w:left w:w="0" w:type="dxa"/>
          <w:right w:w="0" w:type="dxa"/>
        </w:tblCellMar>
        <w:tblLook w:val="0000" w:firstRow="0" w:lastRow="0" w:firstColumn="0" w:lastColumn="0" w:noHBand="0" w:noVBand="0"/>
      </w:tblPr>
      <w:tblGrid>
        <w:gridCol w:w="1498"/>
        <w:gridCol w:w="1301"/>
        <w:gridCol w:w="926"/>
        <w:gridCol w:w="926"/>
        <w:gridCol w:w="934"/>
        <w:gridCol w:w="919"/>
        <w:gridCol w:w="926"/>
        <w:gridCol w:w="927"/>
      </w:tblGrid>
      <w:tr w:rsidR="000B7434" w:rsidRPr="00B02A1C" w:rsidTr="00BF2BEF">
        <w:tblPrEx>
          <w:tblCellMar>
            <w:top w:w="0" w:type="dxa"/>
            <w:bottom w:w="0" w:type="dxa"/>
          </w:tblCellMar>
        </w:tblPrEx>
        <w:trPr>
          <w:cantSplit/>
          <w:tblHeader/>
        </w:trPr>
        <w:tc>
          <w:tcPr>
            <w:tcW w:w="1498" w:type="dxa"/>
            <w:vMerge w:val="restart"/>
            <w:tcBorders>
              <w:top w:val="single" w:sz="4" w:space="0" w:color="auto"/>
              <w:bottom w:val="single" w:sz="4" w:space="0" w:color="auto"/>
            </w:tcBorders>
            <w:shd w:val="clear" w:color="auto" w:fill="auto"/>
            <w:vAlign w:val="bottom"/>
          </w:tcPr>
          <w:p w:rsidR="000B7434" w:rsidRPr="00B02A1C" w:rsidRDefault="000B7434" w:rsidP="00B02A1C">
            <w:pPr>
              <w:tabs>
                <w:tab w:val="left" w:pos="288"/>
                <w:tab w:val="left" w:pos="576"/>
                <w:tab w:val="left" w:pos="864"/>
                <w:tab w:val="left" w:pos="1152"/>
              </w:tabs>
              <w:spacing w:before="60" w:after="60" w:line="280" w:lineRule="exact"/>
              <w:ind w:left="57"/>
              <w:rPr>
                <w:rFonts w:hint="cs"/>
                <w:i/>
                <w:iCs/>
                <w:sz w:val="18"/>
                <w:szCs w:val="26"/>
                <w:rtl/>
                <w:lang w:bidi="ar-EG"/>
              </w:rPr>
            </w:pPr>
            <w:r w:rsidRPr="00B02A1C">
              <w:rPr>
                <w:rFonts w:hint="cs"/>
                <w:i/>
                <w:iCs/>
                <w:sz w:val="18"/>
                <w:szCs w:val="26"/>
                <w:rtl/>
                <w:lang w:bidi="ar-EG"/>
              </w:rPr>
              <w:t>السنة</w:t>
            </w:r>
          </w:p>
        </w:tc>
        <w:tc>
          <w:tcPr>
            <w:tcW w:w="1301" w:type="dxa"/>
            <w:vMerge w:val="restart"/>
            <w:tcBorders>
              <w:top w:val="single" w:sz="4" w:space="0" w:color="auto"/>
              <w:bottom w:val="single" w:sz="4"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i/>
                <w:iCs/>
                <w:sz w:val="18"/>
                <w:szCs w:val="26"/>
                <w:rtl/>
                <w:lang w:bidi="ar-EG"/>
              </w:rPr>
            </w:pPr>
            <w:r w:rsidRPr="00B02A1C">
              <w:rPr>
                <w:rFonts w:hint="cs"/>
                <w:i/>
                <w:iCs/>
                <w:sz w:val="18"/>
                <w:szCs w:val="26"/>
                <w:rtl/>
                <w:lang w:bidi="ar-EG"/>
              </w:rPr>
              <w:t>عينة الاختبار</w:t>
            </w:r>
          </w:p>
        </w:tc>
        <w:tc>
          <w:tcPr>
            <w:tcW w:w="2786" w:type="dxa"/>
            <w:gridSpan w:val="3"/>
            <w:tcBorders>
              <w:top w:val="single" w:sz="4" w:space="0" w:color="auto"/>
              <w:bottom w:val="single" w:sz="4" w:space="0" w:color="auto"/>
            </w:tcBorders>
            <w:shd w:val="clear" w:color="auto" w:fill="auto"/>
            <w:vAlign w:val="bottom"/>
          </w:tcPr>
          <w:p w:rsidR="000B7434" w:rsidRPr="00B02A1C" w:rsidRDefault="000B7434" w:rsidP="00B02A1C">
            <w:pPr>
              <w:tabs>
                <w:tab w:val="left" w:pos="288"/>
                <w:tab w:val="left" w:pos="576"/>
                <w:tab w:val="left" w:pos="864"/>
                <w:tab w:val="left" w:pos="1152"/>
              </w:tabs>
              <w:spacing w:before="60" w:after="60" w:line="280" w:lineRule="exact"/>
              <w:ind w:left="57"/>
              <w:jc w:val="center"/>
              <w:rPr>
                <w:rFonts w:hint="cs"/>
                <w:i/>
                <w:iCs/>
                <w:sz w:val="18"/>
                <w:szCs w:val="26"/>
                <w:rtl/>
                <w:lang w:bidi="ar-EG"/>
              </w:rPr>
            </w:pPr>
            <w:r w:rsidRPr="00B02A1C">
              <w:rPr>
                <w:rFonts w:hint="cs"/>
                <w:i/>
                <w:iCs/>
                <w:sz w:val="18"/>
                <w:szCs w:val="26"/>
                <w:rtl/>
                <w:lang w:bidi="ar-EG"/>
              </w:rPr>
              <w:t>فيروس نقص المناعة البشرية</w:t>
            </w:r>
          </w:p>
        </w:tc>
        <w:tc>
          <w:tcPr>
            <w:tcW w:w="2772" w:type="dxa"/>
            <w:gridSpan w:val="3"/>
            <w:tcBorders>
              <w:top w:val="single" w:sz="4" w:space="0" w:color="auto"/>
              <w:bottom w:val="single" w:sz="4" w:space="0" w:color="auto"/>
            </w:tcBorders>
            <w:shd w:val="clear" w:color="auto" w:fill="auto"/>
            <w:vAlign w:val="bottom"/>
          </w:tcPr>
          <w:p w:rsidR="000B7434" w:rsidRPr="00B02A1C" w:rsidRDefault="000B7434" w:rsidP="00B02A1C">
            <w:pPr>
              <w:tabs>
                <w:tab w:val="left" w:pos="288"/>
                <w:tab w:val="left" w:pos="576"/>
                <w:tab w:val="left" w:pos="864"/>
                <w:tab w:val="left" w:pos="1152"/>
              </w:tabs>
              <w:spacing w:before="60" w:after="60" w:line="280" w:lineRule="exact"/>
              <w:ind w:left="57"/>
              <w:jc w:val="center"/>
              <w:rPr>
                <w:rFonts w:hint="cs"/>
                <w:i/>
                <w:iCs/>
                <w:sz w:val="18"/>
                <w:szCs w:val="26"/>
                <w:rtl/>
                <w:lang w:bidi="ar-EG"/>
              </w:rPr>
            </w:pPr>
            <w:r w:rsidRPr="00B02A1C">
              <w:rPr>
                <w:rFonts w:hint="cs"/>
                <w:i/>
                <w:iCs/>
                <w:sz w:val="18"/>
                <w:szCs w:val="26"/>
                <w:rtl/>
                <w:lang w:bidi="ar-EG"/>
              </w:rPr>
              <w:t>الإيدز</w:t>
            </w:r>
          </w:p>
        </w:tc>
      </w:tr>
      <w:tr w:rsidR="000B7434" w:rsidRPr="00B02A1C" w:rsidTr="00BF2BEF">
        <w:tblPrEx>
          <w:tblCellMar>
            <w:top w:w="0" w:type="dxa"/>
            <w:bottom w:w="0" w:type="dxa"/>
          </w:tblCellMar>
        </w:tblPrEx>
        <w:trPr>
          <w:cantSplit/>
        </w:trPr>
        <w:tc>
          <w:tcPr>
            <w:tcW w:w="1498" w:type="dxa"/>
            <w:vMerge/>
            <w:tcBorders>
              <w:top w:val="single" w:sz="4" w:space="0" w:color="auto"/>
              <w:bottom w:val="single" w:sz="12" w:space="0" w:color="auto"/>
            </w:tcBorders>
            <w:shd w:val="clear" w:color="auto" w:fill="auto"/>
            <w:vAlign w:val="bottom"/>
          </w:tcPr>
          <w:p w:rsidR="000B7434" w:rsidRPr="00B02A1C" w:rsidRDefault="000B7434" w:rsidP="00B02A1C">
            <w:pPr>
              <w:tabs>
                <w:tab w:val="left" w:pos="288"/>
                <w:tab w:val="left" w:pos="576"/>
                <w:tab w:val="left" w:pos="864"/>
                <w:tab w:val="left" w:pos="1152"/>
              </w:tabs>
              <w:spacing w:before="60" w:after="60" w:line="280" w:lineRule="exact"/>
              <w:ind w:left="57"/>
              <w:rPr>
                <w:rFonts w:hint="cs"/>
                <w:sz w:val="18"/>
                <w:szCs w:val="26"/>
                <w:rtl/>
                <w:lang w:bidi="ar-EG"/>
              </w:rPr>
            </w:pPr>
          </w:p>
        </w:tc>
        <w:tc>
          <w:tcPr>
            <w:tcW w:w="1301" w:type="dxa"/>
            <w:vMerge/>
            <w:tcBorders>
              <w:top w:val="single" w:sz="4" w:space="0" w:color="auto"/>
              <w:bottom w:val="single" w:sz="12" w:space="0" w:color="auto"/>
            </w:tcBorders>
            <w:shd w:val="clear" w:color="auto" w:fill="auto"/>
            <w:vAlign w:val="bottom"/>
          </w:tcPr>
          <w:p w:rsidR="000B7434" w:rsidRPr="00B02A1C" w:rsidRDefault="000B7434" w:rsidP="00B02A1C">
            <w:pPr>
              <w:tabs>
                <w:tab w:val="left" w:pos="288"/>
                <w:tab w:val="left" w:pos="576"/>
                <w:tab w:val="left" w:pos="864"/>
                <w:tab w:val="left" w:pos="1152"/>
              </w:tabs>
              <w:spacing w:before="60" w:after="60" w:line="280" w:lineRule="exact"/>
              <w:ind w:left="57"/>
              <w:rPr>
                <w:rFonts w:hint="cs"/>
                <w:sz w:val="18"/>
                <w:szCs w:val="26"/>
                <w:rtl/>
                <w:lang w:bidi="ar-EG"/>
              </w:rPr>
            </w:pPr>
          </w:p>
        </w:tc>
        <w:tc>
          <w:tcPr>
            <w:tcW w:w="926" w:type="dxa"/>
            <w:tcBorders>
              <w:top w:val="single" w:sz="4" w:space="0" w:color="auto"/>
              <w:bottom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ذكور</w:t>
            </w:r>
          </w:p>
        </w:tc>
        <w:tc>
          <w:tcPr>
            <w:tcW w:w="926" w:type="dxa"/>
            <w:tcBorders>
              <w:top w:val="single" w:sz="4" w:space="0" w:color="auto"/>
              <w:bottom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إناث</w:t>
            </w:r>
          </w:p>
        </w:tc>
        <w:tc>
          <w:tcPr>
            <w:tcW w:w="934" w:type="dxa"/>
            <w:tcBorders>
              <w:top w:val="single" w:sz="4" w:space="0" w:color="auto"/>
              <w:bottom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المجموع</w:t>
            </w:r>
          </w:p>
        </w:tc>
        <w:tc>
          <w:tcPr>
            <w:tcW w:w="919" w:type="dxa"/>
            <w:tcBorders>
              <w:top w:val="single" w:sz="4" w:space="0" w:color="auto"/>
              <w:bottom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ذكور</w:t>
            </w:r>
          </w:p>
        </w:tc>
        <w:tc>
          <w:tcPr>
            <w:tcW w:w="926" w:type="dxa"/>
            <w:tcBorders>
              <w:top w:val="single" w:sz="4" w:space="0" w:color="auto"/>
              <w:bottom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إناث</w:t>
            </w:r>
          </w:p>
        </w:tc>
        <w:tc>
          <w:tcPr>
            <w:tcW w:w="927" w:type="dxa"/>
            <w:tcBorders>
              <w:top w:val="single" w:sz="4" w:space="0" w:color="auto"/>
              <w:bottom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المجموع</w:t>
            </w:r>
          </w:p>
        </w:tc>
      </w:tr>
      <w:tr w:rsidR="000B7434" w:rsidRPr="00B02A1C" w:rsidTr="00BF2BEF">
        <w:tblPrEx>
          <w:tblCellMar>
            <w:top w:w="0" w:type="dxa"/>
            <w:bottom w:w="0" w:type="dxa"/>
          </w:tblCellMar>
        </w:tblPrEx>
        <w:trPr>
          <w:cantSplit/>
        </w:trPr>
        <w:tc>
          <w:tcPr>
            <w:tcW w:w="1498" w:type="dxa"/>
            <w:tcBorders>
              <w:top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2004</w:t>
            </w:r>
          </w:p>
        </w:tc>
        <w:tc>
          <w:tcPr>
            <w:tcW w:w="1301" w:type="dxa"/>
            <w:tcBorders>
              <w:top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326 6</w:t>
            </w:r>
          </w:p>
        </w:tc>
        <w:tc>
          <w:tcPr>
            <w:tcW w:w="926" w:type="dxa"/>
            <w:tcBorders>
              <w:top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942</w:t>
            </w:r>
          </w:p>
        </w:tc>
        <w:tc>
          <w:tcPr>
            <w:tcW w:w="926" w:type="dxa"/>
            <w:tcBorders>
              <w:top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340</w:t>
            </w:r>
          </w:p>
        </w:tc>
        <w:tc>
          <w:tcPr>
            <w:tcW w:w="934" w:type="dxa"/>
            <w:tcBorders>
              <w:top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282 1</w:t>
            </w:r>
          </w:p>
        </w:tc>
        <w:tc>
          <w:tcPr>
            <w:tcW w:w="919" w:type="dxa"/>
            <w:tcBorders>
              <w:top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112</w:t>
            </w:r>
          </w:p>
        </w:tc>
        <w:tc>
          <w:tcPr>
            <w:tcW w:w="926" w:type="dxa"/>
            <w:tcBorders>
              <w:top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32</w:t>
            </w:r>
          </w:p>
        </w:tc>
        <w:tc>
          <w:tcPr>
            <w:tcW w:w="927" w:type="dxa"/>
            <w:tcBorders>
              <w:top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144</w:t>
            </w:r>
          </w:p>
        </w:tc>
      </w:tr>
      <w:tr w:rsidR="000B7434" w:rsidRPr="00B02A1C" w:rsidTr="00BF2BEF">
        <w:tblPrEx>
          <w:tblCellMar>
            <w:top w:w="0" w:type="dxa"/>
            <w:bottom w:w="0" w:type="dxa"/>
          </w:tblCellMar>
        </w:tblPrEx>
        <w:trPr>
          <w:cantSplit/>
        </w:trPr>
        <w:tc>
          <w:tcPr>
            <w:tcW w:w="1498" w:type="dxa"/>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2005</w:t>
            </w:r>
          </w:p>
        </w:tc>
        <w:tc>
          <w:tcPr>
            <w:tcW w:w="1301" w:type="dxa"/>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654 7</w:t>
            </w:r>
          </w:p>
        </w:tc>
        <w:tc>
          <w:tcPr>
            <w:tcW w:w="926" w:type="dxa"/>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907</w:t>
            </w:r>
          </w:p>
        </w:tc>
        <w:tc>
          <w:tcPr>
            <w:tcW w:w="926" w:type="dxa"/>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327</w:t>
            </w:r>
          </w:p>
        </w:tc>
        <w:tc>
          <w:tcPr>
            <w:tcW w:w="934" w:type="dxa"/>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234 1</w:t>
            </w:r>
          </w:p>
        </w:tc>
        <w:tc>
          <w:tcPr>
            <w:tcW w:w="919" w:type="dxa"/>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90</w:t>
            </w:r>
          </w:p>
        </w:tc>
        <w:tc>
          <w:tcPr>
            <w:tcW w:w="926" w:type="dxa"/>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21</w:t>
            </w:r>
          </w:p>
        </w:tc>
        <w:tc>
          <w:tcPr>
            <w:tcW w:w="927" w:type="dxa"/>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111</w:t>
            </w:r>
          </w:p>
        </w:tc>
      </w:tr>
      <w:tr w:rsidR="000B7434" w:rsidRPr="00B02A1C" w:rsidTr="00BF2BEF">
        <w:tblPrEx>
          <w:tblCellMar>
            <w:top w:w="0" w:type="dxa"/>
            <w:bottom w:w="0" w:type="dxa"/>
          </w:tblCellMar>
        </w:tblPrEx>
        <w:trPr>
          <w:cantSplit/>
        </w:trPr>
        <w:tc>
          <w:tcPr>
            <w:tcW w:w="1498" w:type="dxa"/>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2006</w:t>
            </w:r>
          </w:p>
        </w:tc>
        <w:tc>
          <w:tcPr>
            <w:tcW w:w="1301" w:type="dxa"/>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890 16</w:t>
            </w:r>
          </w:p>
        </w:tc>
        <w:tc>
          <w:tcPr>
            <w:tcW w:w="926" w:type="dxa"/>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750 1</w:t>
            </w:r>
          </w:p>
        </w:tc>
        <w:tc>
          <w:tcPr>
            <w:tcW w:w="926" w:type="dxa"/>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931</w:t>
            </w:r>
          </w:p>
        </w:tc>
        <w:tc>
          <w:tcPr>
            <w:tcW w:w="934" w:type="dxa"/>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681 2</w:t>
            </w:r>
          </w:p>
        </w:tc>
        <w:tc>
          <w:tcPr>
            <w:tcW w:w="919" w:type="dxa"/>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197</w:t>
            </w:r>
          </w:p>
        </w:tc>
        <w:tc>
          <w:tcPr>
            <w:tcW w:w="926" w:type="dxa"/>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70</w:t>
            </w:r>
          </w:p>
        </w:tc>
        <w:tc>
          <w:tcPr>
            <w:tcW w:w="927" w:type="dxa"/>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267</w:t>
            </w:r>
          </w:p>
        </w:tc>
      </w:tr>
      <w:tr w:rsidR="000B7434" w:rsidRPr="00B02A1C" w:rsidTr="00BF2BEF">
        <w:tblPrEx>
          <w:tblCellMar>
            <w:top w:w="0" w:type="dxa"/>
            <w:bottom w:w="0" w:type="dxa"/>
          </w:tblCellMar>
        </w:tblPrEx>
        <w:trPr>
          <w:cantSplit/>
        </w:trPr>
        <w:tc>
          <w:tcPr>
            <w:tcW w:w="1498" w:type="dxa"/>
            <w:tcBorders>
              <w:bottom w:val="single" w:sz="4"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2007</w:t>
            </w:r>
          </w:p>
        </w:tc>
        <w:tc>
          <w:tcPr>
            <w:tcW w:w="1301" w:type="dxa"/>
            <w:tcBorders>
              <w:bottom w:val="single" w:sz="4"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103 28</w:t>
            </w:r>
          </w:p>
        </w:tc>
        <w:tc>
          <w:tcPr>
            <w:tcW w:w="926" w:type="dxa"/>
            <w:tcBorders>
              <w:bottom w:val="single" w:sz="4"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239 1</w:t>
            </w:r>
          </w:p>
        </w:tc>
        <w:tc>
          <w:tcPr>
            <w:tcW w:w="926" w:type="dxa"/>
            <w:tcBorders>
              <w:bottom w:val="single" w:sz="4"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798</w:t>
            </w:r>
          </w:p>
        </w:tc>
        <w:tc>
          <w:tcPr>
            <w:tcW w:w="934" w:type="dxa"/>
            <w:tcBorders>
              <w:bottom w:val="single" w:sz="4"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037 2</w:t>
            </w:r>
          </w:p>
        </w:tc>
        <w:tc>
          <w:tcPr>
            <w:tcW w:w="919" w:type="dxa"/>
            <w:tcBorders>
              <w:bottom w:val="single" w:sz="4"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265</w:t>
            </w:r>
          </w:p>
        </w:tc>
        <w:tc>
          <w:tcPr>
            <w:tcW w:w="926" w:type="dxa"/>
            <w:tcBorders>
              <w:bottom w:val="single" w:sz="4"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119</w:t>
            </w:r>
          </w:p>
        </w:tc>
        <w:tc>
          <w:tcPr>
            <w:tcW w:w="927" w:type="dxa"/>
            <w:tcBorders>
              <w:bottom w:val="single" w:sz="4"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sz w:val="18"/>
                <w:szCs w:val="26"/>
                <w:rtl/>
                <w:lang w:bidi="ar-EG"/>
              </w:rPr>
            </w:pPr>
            <w:r w:rsidRPr="00B02A1C">
              <w:rPr>
                <w:rFonts w:hint="cs"/>
                <w:sz w:val="18"/>
                <w:szCs w:val="26"/>
                <w:rtl/>
                <w:lang w:bidi="ar-EG"/>
              </w:rPr>
              <w:t>384</w:t>
            </w:r>
          </w:p>
        </w:tc>
      </w:tr>
      <w:tr w:rsidR="000B7434" w:rsidRPr="00B02A1C" w:rsidTr="00BF2BEF">
        <w:tblPrEx>
          <w:tblCellMar>
            <w:top w:w="0" w:type="dxa"/>
            <w:bottom w:w="0" w:type="dxa"/>
          </w:tblCellMar>
        </w:tblPrEx>
        <w:trPr>
          <w:cantSplit/>
        </w:trPr>
        <w:tc>
          <w:tcPr>
            <w:tcW w:w="1498" w:type="dxa"/>
            <w:tcBorders>
              <w:top w:val="single" w:sz="4" w:space="0" w:color="auto"/>
              <w:bottom w:val="single" w:sz="12" w:space="0" w:color="auto"/>
            </w:tcBorders>
            <w:shd w:val="clear" w:color="auto" w:fill="auto"/>
            <w:vAlign w:val="bottom"/>
          </w:tcPr>
          <w:p w:rsidR="000B7434" w:rsidRPr="00B02A1C" w:rsidRDefault="00BF2BEF" w:rsidP="00B02A1C">
            <w:pPr>
              <w:tabs>
                <w:tab w:val="left" w:pos="662"/>
                <w:tab w:val="left" w:pos="1267"/>
                <w:tab w:val="left" w:pos="1987"/>
                <w:tab w:val="left" w:pos="2650"/>
              </w:tabs>
              <w:spacing w:before="60" w:after="60" w:line="280" w:lineRule="exact"/>
              <w:ind w:left="57"/>
              <w:rPr>
                <w:rFonts w:hint="cs"/>
                <w:b/>
                <w:bCs/>
                <w:sz w:val="18"/>
                <w:szCs w:val="26"/>
                <w:rtl/>
                <w:lang w:bidi="ar-EG"/>
              </w:rPr>
            </w:pPr>
            <w:r>
              <w:rPr>
                <w:rFonts w:hint="cs"/>
                <w:b/>
                <w:bCs/>
                <w:sz w:val="18"/>
                <w:szCs w:val="26"/>
                <w:rtl/>
                <w:lang w:bidi="ar-EG"/>
              </w:rPr>
              <w:t xml:space="preserve"> </w:t>
            </w:r>
            <w:r w:rsidR="00B02A1C">
              <w:rPr>
                <w:rFonts w:hint="cs"/>
                <w:b/>
                <w:bCs/>
                <w:sz w:val="18"/>
                <w:szCs w:val="26"/>
                <w:rtl/>
                <w:lang w:bidi="ar-EG"/>
              </w:rPr>
              <w:t xml:space="preserve">  </w:t>
            </w:r>
            <w:r w:rsidR="000B7434" w:rsidRPr="00B02A1C">
              <w:rPr>
                <w:rFonts w:hint="cs"/>
                <w:b/>
                <w:bCs/>
                <w:sz w:val="18"/>
                <w:szCs w:val="26"/>
                <w:rtl/>
                <w:lang w:bidi="ar-EG"/>
              </w:rPr>
              <w:t>المجموع</w:t>
            </w:r>
          </w:p>
        </w:tc>
        <w:tc>
          <w:tcPr>
            <w:tcW w:w="1301" w:type="dxa"/>
            <w:tcBorders>
              <w:top w:val="single" w:sz="4" w:space="0" w:color="auto"/>
              <w:bottom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b/>
                <w:bCs/>
                <w:sz w:val="18"/>
                <w:szCs w:val="26"/>
                <w:rtl/>
                <w:lang w:bidi="ar-EG"/>
              </w:rPr>
            </w:pPr>
            <w:r w:rsidRPr="00B02A1C">
              <w:rPr>
                <w:rFonts w:hint="cs"/>
                <w:b/>
                <w:bCs/>
                <w:sz w:val="18"/>
                <w:szCs w:val="26"/>
                <w:rtl/>
                <w:lang w:bidi="ar-EG"/>
              </w:rPr>
              <w:t>973 58</w:t>
            </w:r>
          </w:p>
        </w:tc>
        <w:tc>
          <w:tcPr>
            <w:tcW w:w="926" w:type="dxa"/>
            <w:tcBorders>
              <w:top w:val="single" w:sz="4" w:space="0" w:color="auto"/>
              <w:bottom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b/>
                <w:bCs/>
                <w:sz w:val="18"/>
                <w:szCs w:val="26"/>
                <w:rtl/>
                <w:lang w:bidi="ar-EG"/>
              </w:rPr>
            </w:pPr>
            <w:r w:rsidRPr="00B02A1C">
              <w:rPr>
                <w:rFonts w:hint="cs"/>
                <w:b/>
                <w:bCs/>
                <w:sz w:val="18"/>
                <w:szCs w:val="26"/>
                <w:rtl/>
                <w:lang w:bidi="ar-EG"/>
              </w:rPr>
              <w:t>838 4</w:t>
            </w:r>
          </w:p>
        </w:tc>
        <w:tc>
          <w:tcPr>
            <w:tcW w:w="926" w:type="dxa"/>
            <w:tcBorders>
              <w:top w:val="single" w:sz="4" w:space="0" w:color="auto"/>
              <w:bottom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b/>
                <w:bCs/>
                <w:sz w:val="18"/>
                <w:szCs w:val="26"/>
                <w:rtl/>
                <w:lang w:bidi="ar-EG"/>
              </w:rPr>
            </w:pPr>
            <w:r w:rsidRPr="00B02A1C">
              <w:rPr>
                <w:rFonts w:hint="cs"/>
                <w:b/>
                <w:bCs/>
                <w:sz w:val="18"/>
                <w:szCs w:val="26"/>
                <w:rtl/>
                <w:lang w:bidi="ar-EG"/>
              </w:rPr>
              <w:t>396 2</w:t>
            </w:r>
          </w:p>
        </w:tc>
        <w:tc>
          <w:tcPr>
            <w:tcW w:w="934" w:type="dxa"/>
            <w:tcBorders>
              <w:top w:val="single" w:sz="4" w:space="0" w:color="auto"/>
              <w:bottom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b/>
                <w:bCs/>
                <w:sz w:val="18"/>
                <w:szCs w:val="26"/>
                <w:rtl/>
                <w:lang w:bidi="ar-EG"/>
              </w:rPr>
            </w:pPr>
            <w:r w:rsidRPr="00B02A1C">
              <w:rPr>
                <w:rFonts w:hint="cs"/>
                <w:b/>
                <w:bCs/>
                <w:sz w:val="18"/>
                <w:szCs w:val="26"/>
                <w:rtl/>
                <w:lang w:bidi="ar-EG"/>
              </w:rPr>
              <w:t>234 7</w:t>
            </w:r>
          </w:p>
        </w:tc>
        <w:tc>
          <w:tcPr>
            <w:tcW w:w="919" w:type="dxa"/>
            <w:tcBorders>
              <w:top w:val="single" w:sz="4" w:space="0" w:color="auto"/>
              <w:bottom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b/>
                <w:bCs/>
                <w:sz w:val="18"/>
                <w:szCs w:val="26"/>
                <w:rtl/>
                <w:lang w:bidi="ar-EG"/>
              </w:rPr>
            </w:pPr>
            <w:r w:rsidRPr="00B02A1C">
              <w:rPr>
                <w:rFonts w:hint="cs"/>
                <w:b/>
                <w:bCs/>
                <w:sz w:val="18"/>
                <w:szCs w:val="26"/>
                <w:rtl/>
                <w:lang w:bidi="ar-EG"/>
              </w:rPr>
              <w:t>664</w:t>
            </w:r>
          </w:p>
        </w:tc>
        <w:tc>
          <w:tcPr>
            <w:tcW w:w="926" w:type="dxa"/>
            <w:tcBorders>
              <w:top w:val="single" w:sz="4" w:space="0" w:color="auto"/>
              <w:bottom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b/>
                <w:bCs/>
                <w:sz w:val="18"/>
                <w:szCs w:val="26"/>
                <w:rtl/>
                <w:lang w:bidi="ar-EG"/>
              </w:rPr>
            </w:pPr>
            <w:r w:rsidRPr="00B02A1C">
              <w:rPr>
                <w:rFonts w:hint="cs"/>
                <w:b/>
                <w:bCs/>
                <w:sz w:val="18"/>
                <w:szCs w:val="26"/>
                <w:rtl/>
                <w:lang w:bidi="ar-EG"/>
              </w:rPr>
              <w:t>242</w:t>
            </w:r>
          </w:p>
        </w:tc>
        <w:tc>
          <w:tcPr>
            <w:tcW w:w="927" w:type="dxa"/>
            <w:tcBorders>
              <w:top w:val="single" w:sz="4" w:space="0" w:color="auto"/>
              <w:bottom w:val="single" w:sz="12" w:space="0" w:color="auto"/>
            </w:tcBorders>
            <w:shd w:val="clear" w:color="auto" w:fill="auto"/>
            <w:vAlign w:val="bottom"/>
          </w:tcPr>
          <w:p w:rsidR="000B7434" w:rsidRPr="00B02A1C" w:rsidRDefault="000B7434" w:rsidP="00B02A1C">
            <w:pPr>
              <w:tabs>
                <w:tab w:val="left" w:pos="662"/>
                <w:tab w:val="left" w:pos="1267"/>
                <w:tab w:val="left" w:pos="1987"/>
                <w:tab w:val="left" w:pos="2650"/>
              </w:tabs>
              <w:spacing w:before="60" w:after="60" w:line="280" w:lineRule="exact"/>
              <w:ind w:left="57"/>
              <w:rPr>
                <w:rFonts w:hint="cs"/>
                <w:b/>
                <w:bCs/>
                <w:sz w:val="18"/>
                <w:szCs w:val="26"/>
                <w:rtl/>
                <w:lang w:bidi="ar-EG"/>
              </w:rPr>
            </w:pPr>
            <w:r w:rsidRPr="00B02A1C">
              <w:rPr>
                <w:rFonts w:hint="cs"/>
                <w:b/>
                <w:bCs/>
                <w:sz w:val="18"/>
                <w:szCs w:val="26"/>
                <w:rtl/>
                <w:lang w:bidi="ar-EG"/>
              </w:rPr>
              <w:t>906</w:t>
            </w:r>
          </w:p>
        </w:tc>
      </w:tr>
    </w:tbl>
    <w:p w:rsidR="000B7434" w:rsidRPr="00EC4329" w:rsidRDefault="000B7434" w:rsidP="00BF2BEF">
      <w:pPr>
        <w:pStyle w:val="SingleTxtGA"/>
        <w:spacing w:before="240" w:after="0"/>
        <w:rPr>
          <w:rFonts w:hint="cs"/>
          <w:rtl/>
          <w:lang w:bidi="ar-EG"/>
        </w:rPr>
      </w:pPr>
      <w:r w:rsidRPr="00EC4329">
        <w:rPr>
          <w:rFonts w:hint="cs"/>
          <w:rtl/>
          <w:lang w:bidi="ar-EG"/>
        </w:rPr>
        <w:t>الجدول 17</w:t>
      </w:r>
    </w:p>
    <w:p w:rsidR="000B7434" w:rsidRPr="00BF2BEF" w:rsidRDefault="000B7434" w:rsidP="00BF2BEF">
      <w:pPr>
        <w:pStyle w:val="SingleTxtGA"/>
        <w:rPr>
          <w:rFonts w:hint="cs"/>
          <w:b/>
          <w:bCs/>
          <w:rtl/>
          <w:lang w:bidi="ar-EG"/>
        </w:rPr>
      </w:pPr>
      <w:r w:rsidRPr="00BF2BEF">
        <w:rPr>
          <w:rFonts w:hint="cs"/>
          <w:b/>
          <w:bCs/>
          <w:rtl/>
          <w:lang w:bidi="ar-EG"/>
        </w:rPr>
        <w:t xml:space="preserve">بيان السكان المصابين بفيروس نقص المناعة البشرية </w:t>
      </w:r>
    </w:p>
    <w:tbl>
      <w:tblPr>
        <w:bidiVisual/>
        <w:tblW w:w="0" w:type="auto"/>
        <w:tblInd w:w="1267" w:type="dxa"/>
        <w:tblLayout w:type="fixed"/>
        <w:tblCellMar>
          <w:left w:w="0" w:type="dxa"/>
          <w:right w:w="0" w:type="dxa"/>
        </w:tblCellMar>
        <w:tblLook w:val="0000" w:firstRow="0" w:lastRow="0" w:firstColumn="0" w:lastColumn="0" w:noHBand="0" w:noVBand="0"/>
      </w:tblPr>
      <w:tblGrid>
        <w:gridCol w:w="4955"/>
        <w:gridCol w:w="1138"/>
        <w:gridCol w:w="1382"/>
        <w:gridCol w:w="896"/>
      </w:tblGrid>
      <w:tr w:rsidR="000B7434" w:rsidRPr="0072668F" w:rsidTr="00BF2BEF">
        <w:tblPrEx>
          <w:tblCellMar>
            <w:top w:w="0" w:type="dxa"/>
            <w:bottom w:w="0" w:type="dxa"/>
          </w:tblCellMar>
        </w:tblPrEx>
        <w:trPr>
          <w:cantSplit/>
          <w:tblHeader/>
        </w:trPr>
        <w:tc>
          <w:tcPr>
            <w:tcW w:w="4955" w:type="dxa"/>
            <w:tcBorders>
              <w:top w:val="single" w:sz="4" w:space="0" w:color="auto"/>
              <w:bottom w:val="single" w:sz="12" w:space="0" w:color="auto"/>
            </w:tcBorders>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i/>
                <w:iCs/>
                <w:sz w:val="18"/>
                <w:szCs w:val="26"/>
                <w:rtl/>
                <w:lang w:bidi="ar-EG"/>
              </w:rPr>
            </w:pPr>
            <w:r w:rsidRPr="00BF2BEF">
              <w:rPr>
                <w:rFonts w:hint="cs"/>
                <w:i/>
                <w:iCs/>
                <w:sz w:val="18"/>
                <w:szCs w:val="26"/>
                <w:rtl/>
                <w:lang w:bidi="ar-EG"/>
              </w:rPr>
              <w:t>الواسطة</w:t>
            </w:r>
          </w:p>
        </w:tc>
        <w:tc>
          <w:tcPr>
            <w:tcW w:w="1138" w:type="dxa"/>
            <w:tcBorders>
              <w:top w:val="single" w:sz="4" w:space="0" w:color="auto"/>
              <w:bottom w:val="single" w:sz="12" w:space="0" w:color="auto"/>
            </w:tcBorders>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i/>
                <w:iCs/>
                <w:sz w:val="18"/>
                <w:szCs w:val="26"/>
                <w:rtl/>
                <w:lang w:bidi="ar-EG"/>
              </w:rPr>
            </w:pPr>
            <w:r w:rsidRPr="00BF2BEF">
              <w:rPr>
                <w:rFonts w:hint="cs"/>
                <w:i/>
                <w:iCs/>
                <w:sz w:val="18"/>
                <w:szCs w:val="26"/>
                <w:rtl/>
                <w:lang w:bidi="ar-EG"/>
              </w:rPr>
              <w:t>ذكور</w:t>
            </w:r>
          </w:p>
        </w:tc>
        <w:tc>
          <w:tcPr>
            <w:tcW w:w="1382" w:type="dxa"/>
            <w:tcBorders>
              <w:top w:val="single" w:sz="4" w:space="0" w:color="auto"/>
              <w:bottom w:val="single" w:sz="12" w:space="0" w:color="auto"/>
            </w:tcBorders>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i/>
                <w:iCs/>
                <w:sz w:val="18"/>
                <w:szCs w:val="26"/>
                <w:rtl/>
                <w:lang w:bidi="ar-EG"/>
              </w:rPr>
            </w:pPr>
            <w:r w:rsidRPr="00BF2BEF">
              <w:rPr>
                <w:rFonts w:hint="cs"/>
                <w:i/>
                <w:iCs/>
                <w:sz w:val="18"/>
                <w:szCs w:val="26"/>
                <w:rtl/>
                <w:lang w:bidi="ar-EG"/>
              </w:rPr>
              <w:t>إناث</w:t>
            </w:r>
          </w:p>
        </w:tc>
        <w:tc>
          <w:tcPr>
            <w:tcW w:w="896" w:type="dxa"/>
            <w:tcBorders>
              <w:top w:val="single" w:sz="4" w:space="0" w:color="auto"/>
              <w:bottom w:val="single" w:sz="12" w:space="0" w:color="auto"/>
            </w:tcBorders>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i/>
                <w:iCs/>
                <w:sz w:val="18"/>
                <w:szCs w:val="26"/>
                <w:rtl/>
                <w:lang w:bidi="ar-EG"/>
              </w:rPr>
            </w:pPr>
            <w:r w:rsidRPr="00BF2BEF">
              <w:rPr>
                <w:rFonts w:hint="cs"/>
                <w:i/>
                <w:iCs/>
                <w:sz w:val="18"/>
                <w:szCs w:val="26"/>
                <w:rtl/>
                <w:lang w:bidi="ar-EG"/>
              </w:rPr>
              <w:t>المجموع</w:t>
            </w:r>
          </w:p>
        </w:tc>
      </w:tr>
      <w:tr w:rsidR="000B7434" w:rsidRPr="0072668F" w:rsidTr="00BF2BEF">
        <w:tblPrEx>
          <w:tblCellMar>
            <w:top w:w="0" w:type="dxa"/>
            <w:bottom w:w="0" w:type="dxa"/>
          </w:tblCellMar>
        </w:tblPrEx>
        <w:trPr>
          <w:cantSplit/>
        </w:trPr>
        <w:tc>
          <w:tcPr>
            <w:tcW w:w="4955"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العاملون في تجارة الجنس</w:t>
            </w:r>
          </w:p>
        </w:tc>
        <w:tc>
          <w:tcPr>
            <w:tcW w:w="1138"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1</w:t>
            </w:r>
          </w:p>
        </w:tc>
        <w:tc>
          <w:tcPr>
            <w:tcW w:w="1382"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728</w:t>
            </w:r>
          </w:p>
        </w:tc>
        <w:tc>
          <w:tcPr>
            <w:tcW w:w="896"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729</w:t>
            </w:r>
          </w:p>
        </w:tc>
      </w:tr>
      <w:tr w:rsidR="000B7434" w:rsidRPr="0072668F" w:rsidTr="00BF2BEF">
        <w:tblPrEx>
          <w:tblCellMar>
            <w:top w:w="0" w:type="dxa"/>
            <w:bottom w:w="0" w:type="dxa"/>
          </w:tblCellMar>
        </w:tblPrEx>
        <w:trPr>
          <w:cantSplit/>
        </w:trPr>
        <w:tc>
          <w:tcPr>
            <w:tcW w:w="4955"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زبائن العاملات في تجارة الجنس</w:t>
            </w:r>
          </w:p>
        </w:tc>
        <w:tc>
          <w:tcPr>
            <w:tcW w:w="1138"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941 4</w:t>
            </w:r>
          </w:p>
        </w:tc>
        <w:tc>
          <w:tcPr>
            <w:tcW w:w="1382"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104</w:t>
            </w:r>
          </w:p>
        </w:tc>
        <w:tc>
          <w:tcPr>
            <w:tcW w:w="896"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045 5</w:t>
            </w:r>
          </w:p>
        </w:tc>
      </w:tr>
      <w:tr w:rsidR="000B7434" w:rsidRPr="0072668F" w:rsidTr="00BF2BEF">
        <w:tblPrEx>
          <w:tblCellMar>
            <w:top w:w="0" w:type="dxa"/>
            <w:bottom w:w="0" w:type="dxa"/>
          </w:tblCellMar>
        </w:tblPrEx>
        <w:trPr>
          <w:cantSplit/>
        </w:trPr>
        <w:tc>
          <w:tcPr>
            <w:tcW w:w="4955"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زوجات ربات منازل</w:t>
            </w:r>
          </w:p>
        </w:tc>
        <w:tc>
          <w:tcPr>
            <w:tcW w:w="1138"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صفر</w:t>
            </w:r>
          </w:p>
        </w:tc>
        <w:tc>
          <w:tcPr>
            <w:tcW w:w="1382"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366 2</w:t>
            </w:r>
          </w:p>
        </w:tc>
        <w:tc>
          <w:tcPr>
            <w:tcW w:w="896"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366 2</w:t>
            </w:r>
          </w:p>
        </w:tc>
      </w:tr>
      <w:tr w:rsidR="000B7434" w:rsidRPr="0072668F" w:rsidTr="00BF2BEF">
        <w:tblPrEx>
          <w:tblCellMar>
            <w:top w:w="0" w:type="dxa"/>
            <w:bottom w:w="0" w:type="dxa"/>
          </w:tblCellMar>
        </w:tblPrEx>
        <w:trPr>
          <w:cantSplit/>
        </w:trPr>
        <w:tc>
          <w:tcPr>
            <w:tcW w:w="4955"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نقل الدم وازدراع الأعضاء</w:t>
            </w:r>
          </w:p>
        </w:tc>
        <w:tc>
          <w:tcPr>
            <w:tcW w:w="1138"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20</w:t>
            </w:r>
          </w:p>
        </w:tc>
        <w:tc>
          <w:tcPr>
            <w:tcW w:w="1382"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7</w:t>
            </w:r>
          </w:p>
        </w:tc>
        <w:tc>
          <w:tcPr>
            <w:tcW w:w="896"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27</w:t>
            </w:r>
          </w:p>
        </w:tc>
      </w:tr>
      <w:tr w:rsidR="000B7434" w:rsidRPr="0072668F" w:rsidTr="00BF2BEF">
        <w:tblPrEx>
          <w:tblCellMar>
            <w:top w:w="0" w:type="dxa"/>
            <w:bottom w:w="0" w:type="dxa"/>
          </w:tblCellMar>
        </w:tblPrEx>
        <w:trPr>
          <w:cantSplit/>
        </w:trPr>
        <w:tc>
          <w:tcPr>
            <w:tcW w:w="4955"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المخدرات والحقن</w:t>
            </w:r>
          </w:p>
        </w:tc>
        <w:tc>
          <w:tcPr>
            <w:tcW w:w="1138"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107 2</w:t>
            </w:r>
          </w:p>
        </w:tc>
        <w:tc>
          <w:tcPr>
            <w:tcW w:w="1382"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33</w:t>
            </w:r>
          </w:p>
        </w:tc>
        <w:tc>
          <w:tcPr>
            <w:tcW w:w="896"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140 2</w:t>
            </w:r>
          </w:p>
        </w:tc>
      </w:tr>
      <w:tr w:rsidR="000B7434" w:rsidRPr="0072668F" w:rsidTr="00BF2BEF">
        <w:tblPrEx>
          <w:tblCellMar>
            <w:top w:w="0" w:type="dxa"/>
            <w:bottom w:w="0" w:type="dxa"/>
          </w:tblCellMar>
        </w:tblPrEx>
        <w:trPr>
          <w:cantSplit/>
        </w:trPr>
        <w:tc>
          <w:tcPr>
            <w:tcW w:w="4955"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علاقات الرجال المثليين</w:t>
            </w:r>
          </w:p>
        </w:tc>
        <w:tc>
          <w:tcPr>
            <w:tcW w:w="1138"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43</w:t>
            </w:r>
          </w:p>
        </w:tc>
        <w:tc>
          <w:tcPr>
            <w:tcW w:w="1382" w:type="dxa"/>
            <w:shd w:val="clear" w:color="auto" w:fill="auto"/>
            <w:vAlign w:val="bottom"/>
          </w:tcPr>
          <w:p w:rsidR="000B7434" w:rsidRPr="00BF2BEF" w:rsidRDefault="00BF2BEF" w:rsidP="00BF2BEF">
            <w:pPr>
              <w:tabs>
                <w:tab w:val="left" w:pos="662"/>
                <w:tab w:val="left" w:pos="1267"/>
                <w:tab w:val="left" w:pos="1987"/>
                <w:tab w:val="left" w:pos="2650"/>
              </w:tabs>
              <w:spacing w:before="60" w:after="60" w:line="280" w:lineRule="exact"/>
              <w:ind w:left="57"/>
              <w:rPr>
                <w:rFonts w:hint="cs"/>
                <w:sz w:val="18"/>
                <w:szCs w:val="26"/>
                <w:rtl/>
                <w:lang w:bidi="ar-EG"/>
              </w:rPr>
            </w:pPr>
            <w:r>
              <w:rPr>
                <w:rFonts w:hint="cs"/>
                <w:sz w:val="18"/>
                <w:szCs w:val="26"/>
                <w:rtl/>
                <w:lang w:bidi="ar-EG"/>
              </w:rPr>
              <w:t>صفر</w:t>
            </w:r>
          </w:p>
        </w:tc>
        <w:tc>
          <w:tcPr>
            <w:tcW w:w="896"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43</w:t>
            </w:r>
          </w:p>
        </w:tc>
      </w:tr>
      <w:tr w:rsidR="000B7434" w:rsidRPr="0072668F" w:rsidTr="00BF2BEF">
        <w:tblPrEx>
          <w:tblCellMar>
            <w:top w:w="0" w:type="dxa"/>
            <w:bottom w:w="0" w:type="dxa"/>
          </w:tblCellMar>
        </w:tblPrEx>
        <w:trPr>
          <w:cantSplit/>
        </w:trPr>
        <w:tc>
          <w:tcPr>
            <w:tcW w:w="4955"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رُضّع مصابون بعدوى من أمهاتهم الحوامل</w:t>
            </w:r>
          </w:p>
        </w:tc>
        <w:tc>
          <w:tcPr>
            <w:tcW w:w="1138"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348</w:t>
            </w:r>
          </w:p>
        </w:tc>
        <w:tc>
          <w:tcPr>
            <w:tcW w:w="1382"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232</w:t>
            </w:r>
          </w:p>
        </w:tc>
        <w:tc>
          <w:tcPr>
            <w:tcW w:w="896" w:type="dxa"/>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580</w:t>
            </w:r>
          </w:p>
        </w:tc>
      </w:tr>
      <w:tr w:rsidR="000B7434" w:rsidRPr="0072668F" w:rsidTr="00BF2BEF">
        <w:tblPrEx>
          <w:tblCellMar>
            <w:top w:w="0" w:type="dxa"/>
            <w:bottom w:w="0" w:type="dxa"/>
          </w:tblCellMar>
        </w:tblPrEx>
        <w:trPr>
          <w:cantSplit/>
        </w:trPr>
        <w:tc>
          <w:tcPr>
            <w:tcW w:w="4955" w:type="dxa"/>
            <w:tcBorders>
              <w:bottom w:val="single" w:sz="4" w:space="0" w:color="auto"/>
            </w:tcBorders>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غير معروف</w:t>
            </w:r>
          </w:p>
        </w:tc>
        <w:tc>
          <w:tcPr>
            <w:tcW w:w="1138" w:type="dxa"/>
            <w:tcBorders>
              <w:bottom w:val="single" w:sz="4" w:space="0" w:color="auto"/>
            </w:tcBorders>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50</w:t>
            </w:r>
          </w:p>
        </w:tc>
        <w:tc>
          <w:tcPr>
            <w:tcW w:w="1382" w:type="dxa"/>
            <w:tcBorders>
              <w:bottom w:val="single" w:sz="4" w:space="0" w:color="auto"/>
            </w:tcBorders>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17</w:t>
            </w:r>
          </w:p>
        </w:tc>
        <w:tc>
          <w:tcPr>
            <w:tcW w:w="896" w:type="dxa"/>
            <w:tcBorders>
              <w:bottom w:val="single" w:sz="4" w:space="0" w:color="auto"/>
            </w:tcBorders>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sz w:val="18"/>
                <w:szCs w:val="26"/>
                <w:rtl/>
                <w:lang w:bidi="ar-EG"/>
              </w:rPr>
            </w:pPr>
            <w:r w:rsidRPr="00BF2BEF">
              <w:rPr>
                <w:rFonts w:hint="cs"/>
                <w:sz w:val="18"/>
                <w:szCs w:val="26"/>
                <w:rtl/>
                <w:lang w:bidi="ar-EG"/>
              </w:rPr>
              <w:t>67</w:t>
            </w:r>
          </w:p>
        </w:tc>
      </w:tr>
      <w:tr w:rsidR="000B7434" w:rsidRPr="00BF2BEF" w:rsidTr="00BF2BEF">
        <w:tblPrEx>
          <w:tblCellMar>
            <w:top w:w="0" w:type="dxa"/>
            <w:bottom w:w="0" w:type="dxa"/>
          </w:tblCellMar>
        </w:tblPrEx>
        <w:trPr>
          <w:cantSplit/>
        </w:trPr>
        <w:tc>
          <w:tcPr>
            <w:tcW w:w="4955" w:type="dxa"/>
            <w:tcBorders>
              <w:top w:val="single" w:sz="4" w:space="0" w:color="auto"/>
              <w:bottom w:val="single" w:sz="12" w:space="0" w:color="auto"/>
            </w:tcBorders>
            <w:shd w:val="clear" w:color="auto" w:fill="auto"/>
            <w:vAlign w:val="bottom"/>
          </w:tcPr>
          <w:p w:rsidR="000B7434" w:rsidRPr="00BF2BEF" w:rsidRDefault="00BF2BEF" w:rsidP="00BF2BEF">
            <w:pPr>
              <w:tabs>
                <w:tab w:val="left" w:pos="662"/>
                <w:tab w:val="left" w:pos="1267"/>
                <w:tab w:val="left" w:pos="1987"/>
                <w:tab w:val="left" w:pos="2650"/>
              </w:tabs>
              <w:spacing w:before="60" w:after="60" w:line="280" w:lineRule="exact"/>
              <w:ind w:left="57"/>
              <w:rPr>
                <w:rFonts w:hint="cs"/>
                <w:b/>
                <w:bCs/>
                <w:sz w:val="18"/>
                <w:szCs w:val="26"/>
                <w:rtl/>
                <w:lang w:bidi="ar-EG"/>
              </w:rPr>
            </w:pPr>
            <w:r>
              <w:rPr>
                <w:rFonts w:hint="cs"/>
                <w:b/>
                <w:bCs/>
                <w:sz w:val="18"/>
                <w:szCs w:val="26"/>
                <w:rtl/>
                <w:lang w:bidi="ar-EG"/>
              </w:rPr>
              <w:t xml:space="preserve">   </w:t>
            </w:r>
            <w:r w:rsidR="000B7434" w:rsidRPr="00BF2BEF">
              <w:rPr>
                <w:rFonts w:hint="cs"/>
                <w:b/>
                <w:bCs/>
                <w:sz w:val="18"/>
                <w:szCs w:val="26"/>
                <w:rtl/>
                <w:lang w:bidi="ar-EG"/>
              </w:rPr>
              <w:t>المجموع</w:t>
            </w:r>
          </w:p>
        </w:tc>
        <w:tc>
          <w:tcPr>
            <w:tcW w:w="1138" w:type="dxa"/>
            <w:tcBorders>
              <w:top w:val="single" w:sz="4" w:space="0" w:color="auto"/>
              <w:bottom w:val="single" w:sz="12" w:space="0" w:color="auto"/>
            </w:tcBorders>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b/>
                <w:bCs/>
                <w:sz w:val="18"/>
                <w:szCs w:val="26"/>
                <w:rtl/>
                <w:lang w:bidi="ar-EG"/>
              </w:rPr>
            </w:pPr>
            <w:r w:rsidRPr="00BF2BEF">
              <w:rPr>
                <w:rFonts w:hint="cs"/>
                <w:b/>
                <w:bCs/>
                <w:sz w:val="18"/>
                <w:szCs w:val="26"/>
                <w:rtl/>
                <w:lang w:bidi="ar-EG"/>
              </w:rPr>
              <w:t>510 7</w:t>
            </w:r>
          </w:p>
        </w:tc>
        <w:tc>
          <w:tcPr>
            <w:tcW w:w="1382" w:type="dxa"/>
            <w:tcBorders>
              <w:top w:val="single" w:sz="4" w:space="0" w:color="auto"/>
              <w:bottom w:val="single" w:sz="12" w:space="0" w:color="auto"/>
            </w:tcBorders>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b/>
                <w:bCs/>
                <w:sz w:val="18"/>
                <w:szCs w:val="26"/>
                <w:rtl/>
                <w:lang w:bidi="ar-EG"/>
              </w:rPr>
            </w:pPr>
            <w:r w:rsidRPr="00BF2BEF">
              <w:rPr>
                <w:rFonts w:hint="cs"/>
                <w:b/>
                <w:bCs/>
                <w:sz w:val="18"/>
                <w:szCs w:val="26"/>
                <w:rtl/>
                <w:lang w:bidi="ar-EG"/>
              </w:rPr>
              <w:t>487 3</w:t>
            </w:r>
          </w:p>
        </w:tc>
        <w:tc>
          <w:tcPr>
            <w:tcW w:w="896" w:type="dxa"/>
            <w:tcBorders>
              <w:top w:val="single" w:sz="4" w:space="0" w:color="auto"/>
              <w:bottom w:val="single" w:sz="12" w:space="0" w:color="auto"/>
            </w:tcBorders>
            <w:shd w:val="clear" w:color="auto" w:fill="auto"/>
            <w:vAlign w:val="bottom"/>
          </w:tcPr>
          <w:p w:rsidR="000B7434" w:rsidRPr="00BF2BEF" w:rsidRDefault="000B7434" w:rsidP="00BF2BEF">
            <w:pPr>
              <w:tabs>
                <w:tab w:val="left" w:pos="662"/>
                <w:tab w:val="left" w:pos="1267"/>
                <w:tab w:val="left" w:pos="1987"/>
                <w:tab w:val="left" w:pos="2650"/>
              </w:tabs>
              <w:spacing w:before="60" w:after="60" w:line="280" w:lineRule="exact"/>
              <w:ind w:left="57"/>
              <w:rPr>
                <w:rFonts w:hint="cs"/>
                <w:b/>
                <w:bCs/>
                <w:sz w:val="18"/>
                <w:szCs w:val="26"/>
                <w:rtl/>
                <w:lang w:bidi="ar-EG"/>
              </w:rPr>
            </w:pPr>
            <w:r w:rsidRPr="00BF2BEF">
              <w:rPr>
                <w:rFonts w:hint="cs"/>
                <w:b/>
                <w:bCs/>
                <w:sz w:val="18"/>
                <w:szCs w:val="26"/>
                <w:rtl/>
                <w:lang w:bidi="ar-EG"/>
              </w:rPr>
              <w:t>997 10</w:t>
            </w:r>
          </w:p>
        </w:tc>
      </w:tr>
    </w:tbl>
    <w:p w:rsidR="000B7434" w:rsidRPr="00BF2BEF" w:rsidRDefault="00BF2BEF" w:rsidP="004F1C97">
      <w:pPr>
        <w:pStyle w:val="FootnoteText"/>
        <w:tabs>
          <w:tab w:val="right" w:pos="1915"/>
          <w:tab w:val="left" w:pos="2016"/>
          <w:tab w:val="left" w:pos="2491"/>
          <w:tab w:val="left" w:pos="2966"/>
          <w:tab w:val="left" w:pos="3442"/>
          <w:tab w:val="left" w:pos="3917"/>
        </w:tabs>
        <w:spacing w:before="120" w:after="120" w:line="300" w:lineRule="exact"/>
        <w:ind w:left="2029" w:right="1264" w:hanging="765"/>
        <w:rPr>
          <w:rFonts w:hint="cs"/>
          <w:sz w:val="26"/>
          <w:szCs w:val="26"/>
          <w:rtl/>
        </w:rPr>
      </w:pPr>
      <w:r>
        <w:rPr>
          <w:rFonts w:hint="cs"/>
          <w:i/>
          <w:iCs/>
          <w:sz w:val="26"/>
          <w:szCs w:val="26"/>
          <w:rtl/>
        </w:rPr>
        <w:t xml:space="preserve"> </w:t>
      </w:r>
      <w:r w:rsidR="000B7434" w:rsidRPr="00BF2BEF">
        <w:rPr>
          <w:i/>
          <w:iCs/>
          <w:sz w:val="26"/>
          <w:szCs w:val="26"/>
          <w:rtl/>
        </w:rPr>
        <w:t>المصدر</w:t>
      </w:r>
      <w:r w:rsidR="000B7434" w:rsidRPr="00BF2BEF">
        <w:rPr>
          <w:sz w:val="26"/>
          <w:szCs w:val="26"/>
          <w:rtl/>
        </w:rPr>
        <w:t xml:space="preserve">: </w:t>
      </w:r>
      <w:r>
        <w:rPr>
          <w:rFonts w:hint="cs"/>
          <w:sz w:val="26"/>
          <w:szCs w:val="26"/>
          <w:rtl/>
        </w:rPr>
        <w:t xml:space="preserve"> </w:t>
      </w:r>
      <w:r w:rsidR="000B7434" w:rsidRPr="00BF2BEF">
        <w:rPr>
          <w:sz w:val="26"/>
          <w:szCs w:val="26"/>
          <w:rtl/>
        </w:rPr>
        <w:t>المكتب الرئيسي ل</w:t>
      </w:r>
      <w:r w:rsidR="000B7434" w:rsidRPr="00BF2BEF">
        <w:rPr>
          <w:rFonts w:hint="cs"/>
          <w:sz w:val="26"/>
          <w:szCs w:val="26"/>
          <w:rtl/>
          <w:lang w:bidi="ar-JO"/>
        </w:rPr>
        <w:t>م</w:t>
      </w:r>
      <w:r w:rsidR="000B7434" w:rsidRPr="00BF2BEF">
        <w:rPr>
          <w:sz w:val="26"/>
          <w:szCs w:val="26"/>
          <w:rtl/>
        </w:rPr>
        <w:t>كاف</w:t>
      </w:r>
      <w:r w:rsidR="000B7434" w:rsidRPr="00BF2BEF">
        <w:rPr>
          <w:rFonts w:hint="cs"/>
          <w:sz w:val="26"/>
          <w:szCs w:val="26"/>
          <w:rtl/>
          <w:lang w:bidi="ar-JO"/>
        </w:rPr>
        <w:t>ح</w:t>
      </w:r>
      <w:r w:rsidR="000B7434" w:rsidRPr="00BF2BEF">
        <w:rPr>
          <w:sz w:val="26"/>
          <w:szCs w:val="26"/>
          <w:rtl/>
        </w:rPr>
        <w:t>ة الأمراض المنقولة بالاتصال الجنسي وفيروس نقص المناعة البشرية</w:t>
      </w:r>
      <w:r>
        <w:rPr>
          <w:rFonts w:hint="cs"/>
          <w:sz w:val="26"/>
          <w:szCs w:val="26"/>
          <w:rtl/>
        </w:rPr>
        <w:t>.</w:t>
      </w:r>
    </w:p>
    <w:p w:rsidR="000B7434" w:rsidRPr="00EC4329" w:rsidRDefault="00BF2BEF" w:rsidP="00BF2BEF">
      <w:pPr>
        <w:pStyle w:val="H23GA"/>
        <w:rPr>
          <w:rFonts w:hint="cs"/>
          <w:rtl/>
          <w:lang w:bidi="ar-EG"/>
        </w:rPr>
      </w:pPr>
      <w:r>
        <w:rPr>
          <w:rFonts w:hint="cs"/>
          <w:rtl/>
          <w:lang w:bidi="ar-EG"/>
        </w:rPr>
        <w:tab/>
      </w:r>
      <w:r>
        <w:rPr>
          <w:rFonts w:hint="cs"/>
          <w:rtl/>
          <w:lang w:bidi="ar-EG"/>
        </w:rPr>
        <w:tab/>
      </w:r>
      <w:r w:rsidR="000B7434" w:rsidRPr="00EC4329">
        <w:rPr>
          <w:rFonts w:hint="cs"/>
          <w:rtl/>
          <w:lang w:bidi="ar-EG"/>
        </w:rPr>
        <w:t>مبادرات الإصلاح</w:t>
      </w:r>
    </w:p>
    <w:p w:rsidR="000B7434" w:rsidRPr="00EC4329" w:rsidRDefault="00BF2BEF" w:rsidP="00BF2BEF">
      <w:pPr>
        <w:pStyle w:val="SingleTxt"/>
        <w:rPr>
          <w:rFonts w:hint="cs"/>
          <w:rtl/>
          <w:lang w:bidi="ar-EG"/>
        </w:rPr>
      </w:pPr>
      <w:r>
        <w:rPr>
          <w:rFonts w:hint="cs"/>
          <w:rtl/>
          <w:lang w:bidi="ar-EG"/>
        </w:rPr>
        <w:t>152</w:t>
      </w:r>
      <w:r w:rsidR="000B7434" w:rsidRPr="00EC4329">
        <w:rPr>
          <w:rFonts w:hint="cs"/>
          <w:rtl/>
          <w:lang w:bidi="ar-EG"/>
        </w:rPr>
        <w:t>-</w:t>
      </w:r>
      <w:r>
        <w:rPr>
          <w:rFonts w:hint="cs"/>
          <w:rtl/>
          <w:lang w:bidi="ar-EG"/>
        </w:rPr>
        <w:tab/>
      </w:r>
      <w:r w:rsidR="000B7434" w:rsidRPr="00EC4329">
        <w:rPr>
          <w:rFonts w:hint="cs"/>
          <w:rtl/>
          <w:lang w:bidi="ar-EG"/>
        </w:rPr>
        <w:t xml:space="preserve">تضمن الفقرة 16 من الدستور المؤقت الحق في الصحة وتعلن أنّ </w:t>
      </w:r>
      <w:r w:rsidR="0075177C">
        <w:rPr>
          <w:rtl/>
          <w:lang w:bidi="ar-EG"/>
        </w:rPr>
        <w:t>"</w:t>
      </w:r>
      <w:r w:rsidR="000B7434" w:rsidRPr="00EC4329">
        <w:rPr>
          <w:rFonts w:hint="cs"/>
          <w:rtl/>
          <w:lang w:bidi="ar-EG"/>
        </w:rPr>
        <w:t>لكل مواطن الحق في الحصول على خدمات الصحة الأساسية بالمجان من الدولة وفق المنصوص عليه في القانون</w:t>
      </w:r>
      <w:r w:rsidR="0075177C">
        <w:rPr>
          <w:rtl/>
          <w:lang w:bidi="ar-EG"/>
        </w:rPr>
        <w:t>"</w:t>
      </w:r>
      <w:r w:rsidR="000B7434" w:rsidRPr="00EC4329">
        <w:rPr>
          <w:rFonts w:hint="cs"/>
          <w:rtl/>
          <w:lang w:bidi="ar-EG"/>
        </w:rPr>
        <w:t>، وتنص المادة 20 أيضا</w:t>
      </w:r>
      <w:r>
        <w:rPr>
          <w:rFonts w:hint="cs"/>
          <w:rtl/>
          <w:lang w:bidi="ar-EG"/>
        </w:rPr>
        <w:t>ً</w:t>
      </w:r>
      <w:r w:rsidR="000B7434" w:rsidRPr="00EC4329">
        <w:rPr>
          <w:rFonts w:hint="cs"/>
          <w:rtl/>
          <w:lang w:bidi="ar-EG"/>
        </w:rPr>
        <w:t xml:space="preserve"> على أن هذا الضمان الدستوري أكثر تحديداً بشأن حق المرأة في الصحة التناسلية. وتنص المادة 22 على الحق في التغذية، والصحة الأساسية، والضمان الاجتماعي للطفل الذي ينطبق بصورة مماثلة على الطفلة. وبناء على ذلك يؤسس الباب الرابع من الدستور المؤقت التزام الدولة </w:t>
      </w:r>
      <w:r w:rsidR="0075177C">
        <w:rPr>
          <w:rtl/>
          <w:lang w:bidi="ar-EG"/>
        </w:rPr>
        <w:t>"</w:t>
      </w:r>
      <w:r w:rsidR="000B7434" w:rsidRPr="00EC4329">
        <w:rPr>
          <w:rFonts w:hint="cs"/>
          <w:rtl/>
          <w:lang w:bidi="ar-EG"/>
        </w:rPr>
        <w:t>بأن تتّبع سياسة من حقوق المواطنين الراسخة في الصحة</w:t>
      </w:r>
      <w:r w:rsidR="0075177C">
        <w:rPr>
          <w:rtl/>
          <w:lang w:bidi="ar-EG"/>
        </w:rPr>
        <w:t>"</w:t>
      </w:r>
      <w:r w:rsidR="000B7434" w:rsidRPr="00EC4329">
        <w:rPr>
          <w:rFonts w:hint="cs"/>
          <w:rtl/>
          <w:lang w:bidi="ar-EG"/>
        </w:rPr>
        <w:t xml:space="preserve"> وتتطلب سياسة الدولة كذلك تعزيز آليات الإيصال، بما في ذلك تنمية الهياكل الأساسية لجعل المواطنين يشعرون بأن حقوقهم في الصحة يجري إعمالها. وتتطلب سياسة الدولة بوضوح اتباع سياسة تشجيع المشاركة القصوى للمرأة في التنمية الوطنية عن طريق وضع أحكام خاصة لتعليمها وصحتها وعمالتها.</w:t>
      </w:r>
    </w:p>
    <w:p w:rsidR="000B7434" w:rsidRPr="00EC4329" w:rsidRDefault="00BF2BEF" w:rsidP="00BF2BEF">
      <w:pPr>
        <w:pStyle w:val="SingleTxtGA"/>
        <w:rPr>
          <w:rFonts w:hint="cs"/>
          <w:rtl/>
          <w:lang w:bidi="ar-EG"/>
        </w:rPr>
      </w:pPr>
      <w:r>
        <w:rPr>
          <w:rFonts w:hint="cs"/>
          <w:rtl/>
          <w:lang w:bidi="ar-EG"/>
        </w:rPr>
        <w:t>153</w:t>
      </w:r>
      <w:r w:rsidR="000B7434" w:rsidRPr="00EC4329">
        <w:rPr>
          <w:rFonts w:hint="cs"/>
          <w:rtl/>
          <w:lang w:bidi="ar-EG"/>
        </w:rPr>
        <w:t>-</w:t>
      </w:r>
      <w:r>
        <w:rPr>
          <w:rFonts w:hint="cs"/>
          <w:rtl/>
          <w:lang w:bidi="ar-EG"/>
        </w:rPr>
        <w:tab/>
      </w:r>
      <w:r w:rsidR="000B7434" w:rsidRPr="00EC4329">
        <w:rPr>
          <w:rFonts w:hint="cs"/>
          <w:rtl/>
          <w:lang w:bidi="ar-EG"/>
        </w:rPr>
        <w:t>واستهدفت الميزانية للسنة المالية 2007/2008 تخفيض وفيات النفاس بالتحديد عن طريق توفير خدمات الأمومة. وتحقيقاً لهذا الغرض، يتم وضع الهياكل الأساسية في</w:t>
      </w:r>
      <w:r w:rsidR="000B7434">
        <w:rPr>
          <w:rFonts w:hint="eastAsia"/>
          <w:rtl/>
          <w:lang w:bidi="ar-EG"/>
        </w:rPr>
        <w:t> </w:t>
      </w:r>
      <w:r w:rsidR="000B7434" w:rsidRPr="00EC4329">
        <w:rPr>
          <w:rFonts w:hint="cs"/>
          <w:rtl/>
          <w:lang w:bidi="ar-EG"/>
        </w:rPr>
        <w:t>100</w:t>
      </w:r>
      <w:r w:rsidR="000B7434">
        <w:rPr>
          <w:rFonts w:hint="eastAsia"/>
          <w:rtl/>
          <w:lang w:bidi="ar-EG"/>
        </w:rPr>
        <w:t> </w:t>
      </w:r>
      <w:r w:rsidR="000B7434" w:rsidRPr="00EC4329">
        <w:rPr>
          <w:rFonts w:hint="cs"/>
          <w:rtl/>
          <w:lang w:bidi="ar-EG"/>
        </w:rPr>
        <w:t xml:space="preserve">من المواقع الصحية لتوفير هذه الخدمات. كما أن مرفقاً صحياً يقدم الخدمات طيلة 24 ساعة في اليوم، بما في ذلك خدمات الأمومة، سوف يُوفَر في ثماني مقاطعات هي بانشتار، وجوملا، ودايليكا، وبيوثان، وسيراها، وسانكوواسابا، وأشام، وغولمي. وسوف توفر خدمات الأمومة مجاناً للجميع. وتذكر الميزانية أيضاً أن </w:t>
      </w:r>
      <w:r w:rsidR="0075177C">
        <w:rPr>
          <w:rtl/>
          <w:lang w:bidi="ar-EG"/>
        </w:rPr>
        <w:t>"</w:t>
      </w:r>
      <w:r w:rsidR="000B7434" w:rsidRPr="00EC4329">
        <w:rPr>
          <w:rFonts w:hint="cs"/>
          <w:rtl/>
          <w:lang w:bidi="ar-EG"/>
        </w:rPr>
        <w:t xml:space="preserve">برنامجاً وطنياً سوف يبدأ بمعالجة النساء اللواتي يعانين من تدلي الرحم وأن مثل هذه الخدمة إلى جانب خدمات العملية الجراحية سوف توفر </w:t>
      </w:r>
      <w:r>
        <w:rPr>
          <w:rFonts w:hint="cs"/>
          <w:rtl/>
          <w:lang w:bidi="ar-EG"/>
        </w:rPr>
        <w:t xml:space="preserve">       ﻟ</w:t>
      </w:r>
      <w:r w:rsidR="000B7434" w:rsidRPr="00EC4329">
        <w:rPr>
          <w:rFonts w:hint="cs"/>
          <w:rtl/>
          <w:lang w:bidi="ar-EG"/>
        </w:rPr>
        <w:t xml:space="preserve"> 000 12 امرأة هذا العام. </w:t>
      </w:r>
    </w:p>
    <w:p w:rsidR="000B7434" w:rsidRPr="00EC4329" w:rsidRDefault="00BF2BEF" w:rsidP="00BF2BEF">
      <w:pPr>
        <w:pStyle w:val="SingleTxtGA"/>
        <w:rPr>
          <w:rFonts w:hint="cs"/>
          <w:rtl/>
          <w:lang w:bidi="ar-EG"/>
        </w:rPr>
      </w:pPr>
      <w:r>
        <w:rPr>
          <w:rFonts w:hint="cs"/>
          <w:rtl/>
          <w:lang w:bidi="ar-EG"/>
        </w:rPr>
        <w:t>154</w:t>
      </w:r>
      <w:r w:rsidR="000B7434" w:rsidRPr="00EC4329">
        <w:rPr>
          <w:rFonts w:hint="cs"/>
          <w:rtl/>
          <w:lang w:bidi="ar-EG"/>
        </w:rPr>
        <w:t>-</w:t>
      </w:r>
      <w:r>
        <w:rPr>
          <w:rFonts w:hint="cs"/>
          <w:rtl/>
          <w:lang w:bidi="ar-EG"/>
        </w:rPr>
        <w:tab/>
      </w:r>
      <w:r w:rsidR="000B7434" w:rsidRPr="00EC4329">
        <w:rPr>
          <w:rFonts w:hint="cs"/>
          <w:rtl/>
          <w:lang w:bidi="ar-EG"/>
        </w:rPr>
        <w:t xml:space="preserve">وحرصاً على خفض المخاطر والمرتبطة بالحمل والولادة ولمعالجة مسألة التأجيل، اعتُمدت ثلاث استراتيجيات رئيسية في نيبال: </w:t>
      </w:r>
      <w:r w:rsidR="000B7434" w:rsidRPr="004F1C97">
        <w:rPr>
          <w:rFonts w:hint="cs"/>
          <w:i/>
          <w:iCs/>
          <w:rtl/>
          <w:lang w:bidi="ar-EG"/>
        </w:rPr>
        <w:t>(</w:t>
      </w:r>
      <w:r w:rsidR="000B7434" w:rsidRPr="00EC4329">
        <w:rPr>
          <w:rFonts w:hint="cs"/>
          <w:i/>
          <w:iCs/>
          <w:rtl/>
          <w:lang w:bidi="ar-EG"/>
        </w:rPr>
        <w:t xml:space="preserve">المصدر إدارة الخدمات الصحية </w:t>
      </w:r>
      <w:r>
        <w:rPr>
          <w:rFonts w:hint="cs"/>
          <w:i/>
          <w:iCs/>
          <w:rtl/>
          <w:lang w:bidi="ar-EG"/>
        </w:rPr>
        <w:t>-</w:t>
      </w:r>
      <w:r w:rsidR="000B7434" w:rsidRPr="00EC4329">
        <w:rPr>
          <w:rFonts w:hint="cs"/>
          <w:i/>
          <w:iCs/>
          <w:rtl/>
          <w:lang w:bidi="ar-EG"/>
        </w:rPr>
        <w:t xml:space="preserve"> التقرير السنوي 2005/2006، الصفحة</w:t>
      </w:r>
      <w:r w:rsidR="000B7434" w:rsidRPr="00EC4329">
        <w:rPr>
          <w:rFonts w:hint="eastAsia"/>
          <w:i/>
          <w:iCs/>
          <w:rtl/>
          <w:lang w:bidi="ar-EG"/>
        </w:rPr>
        <w:t> </w:t>
      </w:r>
      <w:r w:rsidR="000B7434" w:rsidRPr="00EC4329">
        <w:rPr>
          <w:rFonts w:hint="cs"/>
          <w:i/>
          <w:iCs/>
          <w:rtl/>
          <w:lang w:bidi="ar-EG"/>
        </w:rPr>
        <w:t>63</w:t>
      </w:r>
      <w:r w:rsidR="000B7434" w:rsidRPr="004F1C97">
        <w:rPr>
          <w:rFonts w:hint="cs"/>
          <w:i/>
          <w:iCs/>
          <w:rtl/>
          <w:lang w:bidi="ar-EG"/>
        </w:rPr>
        <w:t>)</w:t>
      </w:r>
      <w:r w:rsidR="004F1C97" w:rsidRPr="004F1C97">
        <w:rPr>
          <w:rFonts w:hint="cs"/>
          <w:rtl/>
          <w:lang w:bidi="ar-EG"/>
        </w:rPr>
        <w:t>.</w:t>
      </w:r>
    </w:p>
    <w:p w:rsidR="000B7434" w:rsidRPr="004F1C97" w:rsidRDefault="000B7434" w:rsidP="00BF2BEF">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توفير خدمات القبالة الطارئة على مدار 24 ساعة في اليوم (الأساسية والشاملة) في</w:t>
      </w:r>
      <w:r w:rsidR="00BF2BEF" w:rsidRPr="004F1C97">
        <w:rPr>
          <w:rFonts w:hint="cs"/>
          <w:w w:val="100"/>
          <w:kern w:val="0"/>
          <w:rtl/>
          <w:lang w:bidi="ar-EG"/>
        </w:rPr>
        <w:t xml:space="preserve"> </w:t>
      </w:r>
      <w:r w:rsidRPr="004F1C97">
        <w:rPr>
          <w:rFonts w:hint="cs"/>
          <w:w w:val="100"/>
          <w:kern w:val="0"/>
          <w:rtl/>
          <w:lang w:bidi="ar-EG"/>
        </w:rPr>
        <w:t xml:space="preserve">مرافق صحية عامة مختارة في كل مقاطعة؛ </w:t>
      </w:r>
    </w:p>
    <w:p w:rsidR="000B7434" w:rsidRPr="004F1C97" w:rsidRDefault="000B7434" w:rsidP="00BF2BEF">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تشجيع استخدام القابلات الماهرات في كل حالة ولادة، سواء في المنزل أو</w:t>
      </w:r>
      <w:r w:rsidR="00BF2BEF" w:rsidRPr="004F1C97">
        <w:rPr>
          <w:rFonts w:hint="cs"/>
          <w:w w:val="100"/>
          <w:kern w:val="0"/>
          <w:rtl/>
          <w:lang w:bidi="ar-EG"/>
        </w:rPr>
        <w:t xml:space="preserve"> </w:t>
      </w:r>
      <w:r w:rsidRPr="004F1C97">
        <w:rPr>
          <w:rFonts w:hint="cs"/>
          <w:w w:val="100"/>
          <w:kern w:val="0"/>
          <w:rtl/>
          <w:lang w:bidi="ar-EG"/>
        </w:rPr>
        <w:t>في</w:t>
      </w:r>
      <w:r w:rsidR="00BF2BEF" w:rsidRPr="004F1C97">
        <w:rPr>
          <w:rFonts w:hint="cs"/>
          <w:w w:val="100"/>
          <w:kern w:val="0"/>
          <w:rtl/>
          <w:lang w:bidi="ar-EG"/>
        </w:rPr>
        <w:t xml:space="preserve"> </w:t>
      </w:r>
      <w:r w:rsidRPr="004F1C97">
        <w:rPr>
          <w:rFonts w:hint="cs"/>
          <w:w w:val="100"/>
          <w:kern w:val="0"/>
          <w:rtl/>
          <w:lang w:bidi="ar-EG"/>
        </w:rPr>
        <w:t>مرفق</w:t>
      </w:r>
      <w:r w:rsidR="00BF2BEF" w:rsidRPr="004F1C97">
        <w:rPr>
          <w:rFonts w:hint="cs"/>
          <w:w w:val="100"/>
          <w:kern w:val="0"/>
          <w:rtl/>
          <w:lang w:bidi="ar-EG"/>
        </w:rPr>
        <w:t xml:space="preserve"> </w:t>
      </w:r>
      <w:r w:rsidRPr="004F1C97">
        <w:rPr>
          <w:rFonts w:hint="cs"/>
          <w:w w:val="100"/>
          <w:kern w:val="0"/>
          <w:rtl/>
          <w:lang w:bidi="ar-EG"/>
        </w:rPr>
        <w:t>صحي؛</w:t>
      </w:r>
    </w:p>
    <w:p w:rsidR="000B7434" w:rsidRPr="004F1C97"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تعزيز الاستعداد للتوليد والتأهب لحدوث أية مضاعفات، خاصة توافر الدم، ووسائل النقل، والمال.</w:t>
      </w:r>
    </w:p>
    <w:p w:rsidR="000B7434" w:rsidRPr="00EC4329" w:rsidRDefault="00BF2BEF" w:rsidP="00BF2BEF">
      <w:pPr>
        <w:pStyle w:val="SingleTxtGA"/>
        <w:rPr>
          <w:rFonts w:hint="cs"/>
          <w:rtl/>
          <w:lang w:bidi="ar-EG"/>
        </w:rPr>
      </w:pPr>
      <w:r>
        <w:rPr>
          <w:rFonts w:hint="cs"/>
          <w:rtl/>
          <w:lang w:bidi="ar-EG"/>
        </w:rPr>
        <w:t>155</w:t>
      </w:r>
      <w:r w:rsidR="000B7434" w:rsidRPr="00EC4329">
        <w:rPr>
          <w:rFonts w:hint="cs"/>
          <w:rtl/>
          <w:lang w:bidi="ar-EG"/>
        </w:rPr>
        <w:t>-</w:t>
      </w:r>
      <w:r>
        <w:rPr>
          <w:rFonts w:hint="cs"/>
          <w:rtl/>
          <w:lang w:bidi="ar-EG"/>
        </w:rPr>
        <w:tab/>
      </w:r>
      <w:r w:rsidR="000B7434" w:rsidRPr="00EC4329">
        <w:rPr>
          <w:rFonts w:hint="cs"/>
          <w:rtl/>
          <w:lang w:bidi="ar-EG"/>
        </w:rPr>
        <w:t>وبغية كفالة المزيد من الجهود المركزة والمنسقة فيما بين العديد من أصحاب المصلحة المشتركين في برمجة الأمومة المأمونة وصحة المواليد الجدد، تعاونت الحكومة والمنظمات الحكومية، الوطنية منها والدولية، على وضع صيغة محسنة للخطة الوطنية للأمومة المأمونة (2002-2017). وتشمل الخطة المنقحة للأمومة المأمونة وصحة المواليد الجدد الطويلة الأجل تطورات حديثة لم توفر بشكل واف في الخطة الأصلية. ويجري القيام بتنقيحات لكفالة توفر فرص أفضل لحصول المرأة المحتاجة على الخدمات في العديد من المجالات ذات الأولوية، مثل إدراك أهمية معالجة صحة المولود الجديد بوصفه جزء</w:t>
      </w:r>
      <w:r w:rsidR="00C8270E">
        <w:rPr>
          <w:rFonts w:hint="cs"/>
          <w:rtl/>
          <w:lang w:bidi="ar-EG"/>
        </w:rPr>
        <w:t>اً</w:t>
      </w:r>
      <w:r w:rsidR="000B7434" w:rsidRPr="00EC4329">
        <w:rPr>
          <w:rFonts w:hint="cs"/>
          <w:rtl/>
          <w:lang w:bidi="ar-EG"/>
        </w:rPr>
        <w:t xml:space="preserve"> أصيلا</w:t>
      </w:r>
      <w:r w:rsidR="00C8270E">
        <w:rPr>
          <w:rFonts w:hint="cs"/>
          <w:rtl/>
          <w:lang w:bidi="ar-EG"/>
        </w:rPr>
        <w:t>ً</w:t>
      </w:r>
      <w:r w:rsidR="000B7434" w:rsidRPr="00EC4329">
        <w:rPr>
          <w:rFonts w:hint="cs"/>
          <w:rtl/>
          <w:lang w:bidi="ar-EG"/>
        </w:rPr>
        <w:t xml:space="preserve"> من برنامج الأمومة المأمونة، وسياسة وجود قابلات ماهرات عند الوضع، ومبادرات إصلاح قطاع الصحة، وإضفاء الطابع القانوني على الإجهاض، وإدماج خدمات الإجهاض المأمون تحت مظلة برنامج الأمومة المأمونة، ومعالجة المشكلة المتزايدة الماثلة في نقل عدوى فيروس نقص المناعة البشرية/الإيدز من الأم إلى الوليد والاعتراف بأهمية الإنصاف والحصول على</w:t>
      </w:r>
      <w:r w:rsidR="000B7434">
        <w:rPr>
          <w:rFonts w:hint="eastAsia"/>
          <w:rtl/>
          <w:lang w:bidi="ar-EG"/>
        </w:rPr>
        <w:t> </w:t>
      </w:r>
      <w:r w:rsidR="000B7434" w:rsidRPr="00EC4329">
        <w:rPr>
          <w:rFonts w:hint="cs"/>
          <w:rtl/>
          <w:lang w:bidi="ar-EG"/>
        </w:rPr>
        <w:t>الخدمات.</w:t>
      </w:r>
    </w:p>
    <w:p w:rsidR="000B7434" w:rsidRPr="00EC4329" w:rsidRDefault="00BF2BEF" w:rsidP="00BF2BEF">
      <w:pPr>
        <w:pStyle w:val="SingleTxtGA"/>
        <w:rPr>
          <w:rFonts w:hint="cs"/>
          <w:lang w:bidi="ar-EG"/>
        </w:rPr>
      </w:pPr>
      <w:r>
        <w:rPr>
          <w:rFonts w:hint="cs"/>
          <w:rtl/>
          <w:lang w:bidi="ar-EG"/>
        </w:rPr>
        <w:t>156</w:t>
      </w:r>
      <w:r w:rsidR="000B7434" w:rsidRPr="00EC4329">
        <w:rPr>
          <w:rFonts w:hint="cs"/>
          <w:rtl/>
          <w:lang w:bidi="ar-EG"/>
        </w:rPr>
        <w:t>-</w:t>
      </w:r>
      <w:r>
        <w:rPr>
          <w:rFonts w:hint="cs"/>
          <w:rtl/>
          <w:lang w:bidi="ar-EG"/>
        </w:rPr>
        <w:tab/>
      </w:r>
      <w:r w:rsidR="000B7434" w:rsidRPr="00EC4329">
        <w:rPr>
          <w:rFonts w:hint="cs"/>
          <w:rtl/>
          <w:lang w:bidi="ar-EG"/>
        </w:rPr>
        <w:t>ولضمان تحقيق الخطة الوطنية المذكورة أعلاه، تُحدِّد الخطةُ المنقحة الطويلةُ الأجل الهدفَ والمقاصدَ والنواتج التالية:</w:t>
      </w:r>
    </w:p>
    <w:p w:rsidR="000B7434" w:rsidRPr="004F1C97"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تعزيز إدارة الموارد البشرية؛</w:t>
      </w:r>
    </w:p>
    <w:p w:rsidR="000B7434" w:rsidRPr="004F1C97"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إنشاء نظام إحالة عملي والدعوة لنظم نقل لحالات الطوارئ ولجمع الأموال من المجتمعات الأهلية لمستشفيات المقاطعات من أجل حالات القبالة الطارئة والحمل المحفوف بالأخطار؛</w:t>
      </w:r>
    </w:p>
    <w:p w:rsidR="000B7434" w:rsidRPr="004F1C97"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تعزيز توعية المجتمعات المحلية بشأن الاستعداد للتوليد والتأهب للمضاعفات عن طريق المتطوعات الصحيات في المجتمعات المحلية وزيادة الحصول على كل المعلومات والخدمات عن صحة الأمومة.</w:t>
      </w:r>
    </w:p>
    <w:p w:rsidR="000B7434" w:rsidRPr="00EC4329" w:rsidRDefault="000B7434" w:rsidP="00BF2BEF">
      <w:pPr>
        <w:pStyle w:val="SingleTxtGA"/>
        <w:rPr>
          <w:rFonts w:hint="cs"/>
          <w:rtl/>
          <w:lang w:bidi="ar-EG"/>
        </w:rPr>
      </w:pPr>
      <w:r w:rsidRPr="00EC4329">
        <w:rPr>
          <w:rFonts w:hint="cs"/>
          <w:rtl/>
          <w:lang w:bidi="ar-EG"/>
        </w:rPr>
        <w:t>وتُعرِّف الخطةُ المنقحة الطويلة الأجل أيضاً الإنصافَ والحصولَ على الخدمات على أنها مسألة تشمل كل القطاعات. وقد وضعت مؤشرات محددة لرصد الحصول على المعلومات وحدوث التغييرات في صفوف الفئات الفقيرة والمستبعدة. والهدف الرئيسي لهذه الخطة هو تشجيع المجتمعات المحلية على استخدام الخدمات المتوفرة وتمكين المجتمعات المحلية خاصة مجتمعات الفقراء والمحرومين من المطالبة بالخدمات. وجرى القيام بمسح اجتماعي في ثماني مقاطعات في هذا الخصوص. وبالمثل، وكجزء من أنشطة الطلب، يجري القيام بالدعوة للمطالبة بالخدمات، وخاصة الزيادة في الموارد البشرية. وقد استخدمت هذه الأدوات لتقييم احتياجات المقاطعات قبل البدء بتنفيذ البرنامج.</w:t>
      </w:r>
    </w:p>
    <w:p w:rsidR="000B7434" w:rsidRPr="00C8270E" w:rsidRDefault="00BF2BEF" w:rsidP="00BF2BEF">
      <w:pPr>
        <w:pStyle w:val="SingleTxtGA"/>
        <w:rPr>
          <w:rFonts w:hint="cs"/>
          <w:spacing w:val="-2"/>
          <w:rtl/>
          <w:lang w:bidi="ar-EG"/>
        </w:rPr>
      </w:pPr>
      <w:r>
        <w:rPr>
          <w:rFonts w:hint="cs"/>
          <w:rtl/>
          <w:lang w:bidi="ar-EG"/>
        </w:rPr>
        <w:t>157</w:t>
      </w:r>
      <w:r w:rsidR="000B7434">
        <w:rPr>
          <w:rFonts w:hint="cs"/>
          <w:rtl/>
          <w:lang w:bidi="ar-EG"/>
        </w:rPr>
        <w:t>-</w:t>
      </w:r>
      <w:r>
        <w:rPr>
          <w:rFonts w:hint="cs"/>
          <w:rtl/>
          <w:lang w:bidi="ar-EG"/>
        </w:rPr>
        <w:tab/>
      </w:r>
      <w:r w:rsidR="000B7434" w:rsidRPr="00EC4329">
        <w:rPr>
          <w:rFonts w:hint="cs"/>
          <w:rtl/>
          <w:lang w:bidi="ar-EG"/>
        </w:rPr>
        <w:t>وبغية تنفيذ الأحكام القانونية بشأن الإجهاض تنفيذا</w:t>
      </w:r>
      <w:r w:rsidR="00C8270E">
        <w:rPr>
          <w:rFonts w:hint="cs"/>
          <w:rtl/>
          <w:lang w:bidi="ar-EG"/>
        </w:rPr>
        <w:t>ً</w:t>
      </w:r>
      <w:r w:rsidR="000B7434" w:rsidRPr="00EC4329">
        <w:rPr>
          <w:rFonts w:hint="cs"/>
          <w:rtl/>
          <w:lang w:bidi="ar-EG"/>
        </w:rPr>
        <w:t xml:space="preserve"> فعالا</w:t>
      </w:r>
      <w:r w:rsidR="00C8270E">
        <w:rPr>
          <w:rFonts w:hint="cs"/>
          <w:rtl/>
          <w:lang w:bidi="ar-EG"/>
        </w:rPr>
        <w:t>ً</w:t>
      </w:r>
      <w:r w:rsidR="000B7434" w:rsidRPr="00EC4329">
        <w:rPr>
          <w:rFonts w:hint="cs"/>
          <w:rtl/>
          <w:lang w:bidi="ar-EG"/>
        </w:rPr>
        <w:t>، أدخلت الحكومة</w:t>
      </w:r>
      <w:r w:rsidR="00C8270E">
        <w:rPr>
          <w:rFonts w:hint="cs"/>
          <w:rtl/>
          <w:lang w:bidi="ar-EG"/>
        </w:rPr>
        <w:t xml:space="preserve">     </w:t>
      </w:r>
      <w:r w:rsidR="000B7434" w:rsidRPr="00EC4329">
        <w:rPr>
          <w:rFonts w:hint="cs"/>
          <w:rtl/>
          <w:lang w:bidi="ar-EG"/>
        </w:rPr>
        <w:t xml:space="preserve"> نظام الرعاية الشاملة للإجهاض تشمل الخدمات الفعلية للصحة التناسلية. وفي السنة </w:t>
      </w:r>
      <w:r w:rsidR="00C8270E">
        <w:rPr>
          <w:rFonts w:hint="cs"/>
          <w:rtl/>
          <w:lang w:bidi="ar-EG"/>
        </w:rPr>
        <w:t xml:space="preserve">     </w:t>
      </w:r>
      <w:r w:rsidR="000B7434" w:rsidRPr="00C8270E">
        <w:rPr>
          <w:rFonts w:hint="cs"/>
          <w:spacing w:val="-2"/>
          <w:rtl/>
          <w:lang w:bidi="ar-EG"/>
        </w:rPr>
        <w:t>المالية 2005/2006، تم تدريب 83 طبيباً وتسجيلهم كمقدمي هذه الخدمات وتسجيل 64</w:t>
      </w:r>
      <w:r w:rsidRPr="00C8270E">
        <w:rPr>
          <w:rFonts w:hint="cs"/>
          <w:spacing w:val="-2"/>
          <w:rtl/>
          <w:lang w:bidi="ar-EG"/>
        </w:rPr>
        <w:t xml:space="preserve"> </w:t>
      </w:r>
      <w:r w:rsidR="000B7434" w:rsidRPr="00C8270E">
        <w:rPr>
          <w:rFonts w:hint="cs"/>
          <w:spacing w:val="-2"/>
          <w:rtl/>
          <w:lang w:bidi="ar-EG"/>
        </w:rPr>
        <w:t>موقعاً جديداً، بين عام وخاص، لتوفير هذه الخدمات. وأثناء السنة المالية 2005/2006، تلقت 210 47 امرأة هذه الخدمات من 191 موقعاً في</w:t>
      </w:r>
      <w:r w:rsidR="000B7434" w:rsidRPr="00C8270E">
        <w:rPr>
          <w:rFonts w:hint="eastAsia"/>
          <w:spacing w:val="-2"/>
          <w:rtl/>
          <w:lang w:bidi="ar-EG"/>
        </w:rPr>
        <w:t> </w:t>
      </w:r>
      <w:r w:rsidR="000B7434" w:rsidRPr="00C8270E">
        <w:rPr>
          <w:rFonts w:hint="cs"/>
          <w:spacing w:val="-2"/>
          <w:rtl/>
          <w:lang w:bidi="ar-EG"/>
        </w:rPr>
        <w:t>المستشفيات</w:t>
      </w:r>
      <w:r w:rsidR="000B7434" w:rsidRPr="00C8270E">
        <w:rPr>
          <w:rFonts w:hint="eastAsia"/>
          <w:spacing w:val="-2"/>
          <w:rtl/>
          <w:lang w:bidi="ar-EG"/>
        </w:rPr>
        <w:t> </w:t>
      </w:r>
      <w:r w:rsidR="000B7434" w:rsidRPr="00C8270E">
        <w:rPr>
          <w:rFonts w:hint="cs"/>
          <w:spacing w:val="-2"/>
          <w:rtl/>
          <w:lang w:bidi="ar-EG"/>
        </w:rPr>
        <w:t>الحكومية.</w:t>
      </w:r>
    </w:p>
    <w:p w:rsidR="000B7434" w:rsidRPr="00EC4329" w:rsidRDefault="000B7434" w:rsidP="00BF2BEF">
      <w:pPr>
        <w:pStyle w:val="SingleTxtGA"/>
        <w:rPr>
          <w:rFonts w:hint="cs"/>
          <w:rtl/>
          <w:lang w:bidi="ar-EG"/>
        </w:rPr>
      </w:pPr>
      <w:r w:rsidRPr="00EC4329">
        <w:rPr>
          <w:rFonts w:hint="cs"/>
          <w:rtl/>
          <w:lang w:bidi="ar-EG"/>
        </w:rPr>
        <w:t>15</w:t>
      </w:r>
      <w:r w:rsidR="00BF2BEF">
        <w:rPr>
          <w:rFonts w:hint="cs"/>
          <w:rtl/>
          <w:lang w:bidi="ar-EG"/>
        </w:rPr>
        <w:t>8</w:t>
      </w:r>
      <w:r>
        <w:rPr>
          <w:rFonts w:hint="cs"/>
          <w:rtl/>
          <w:lang w:bidi="ar-EG"/>
        </w:rPr>
        <w:t>-</w:t>
      </w:r>
      <w:r w:rsidR="00BF2BEF">
        <w:rPr>
          <w:rFonts w:hint="cs"/>
          <w:rtl/>
          <w:lang w:bidi="ar-EG"/>
        </w:rPr>
        <w:tab/>
      </w:r>
      <w:r w:rsidRPr="00EC4329">
        <w:rPr>
          <w:rFonts w:hint="cs"/>
          <w:rtl/>
          <w:lang w:bidi="ar-EG"/>
        </w:rPr>
        <w:t>ووضعت لبرامج التوعية استراتيجية للمعلومات والتثقيف والاتصال واستراتيجية للاتصال الهادف إلى تغيير السلوك، مثل تصميم وطباعة الملصقات، وطباعة صفائح المعلومات والمنشورات اليدوية، والتوجيه على مستوى المقاطعة لزيادة تمكين المرأة من الاختيار والحصول على الإجهاض المأمون وغير ذلك من خدمات الصحة التناسلية.</w:t>
      </w:r>
    </w:p>
    <w:p w:rsidR="000B7434" w:rsidRPr="00EC4329" w:rsidRDefault="00BF2BEF" w:rsidP="00BF2BEF">
      <w:pPr>
        <w:pStyle w:val="H23GA"/>
        <w:rPr>
          <w:rFonts w:hint="cs"/>
          <w:rtl/>
          <w:lang w:bidi="ar-EG"/>
        </w:rPr>
      </w:pPr>
      <w:r>
        <w:rPr>
          <w:rFonts w:hint="cs"/>
          <w:rtl/>
          <w:lang w:bidi="ar-EG"/>
        </w:rPr>
        <w:tab/>
      </w:r>
      <w:r>
        <w:rPr>
          <w:rFonts w:hint="cs"/>
          <w:rtl/>
          <w:lang w:bidi="ar-EG"/>
        </w:rPr>
        <w:tab/>
      </w:r>
      <w:r w:rsidR="000B7434" w:rsidRPr="00EC4329">
        <w:rPr>
          <w:rFonts w:hint="cs"/>
          <w:rtl/>
          <w:lang w:bidi="ar-EG"/>
        </w:rPr>
        <w:t>خطة الحوافز للأمومة</w:t>
      </w:r>
    </w:p>
    <w:p w:rsidR="000B7434" w:rsidRPr="00EC4329" w:rsidRDefault="00BF2BEF" w:rsidP="00BF2BEF">
      <w:pPr>
        <w:pStyle w:val="SingleTxtGA"/>
        <w:rPr>
          <w:rFonts w:hint="cs"/>
          <w:rtl/>
          <w:lang w:bidi="ar-EG"/>
        </w:rPr>
      </w:pPr>
      <w:r>
        <w:rPr>
          <w:rFonts w:hint="cs"/>
          <w:rtl/>
          <w:lang w:bidi="ar-EG"/>
        </w:rPr>
        <w:t>159</w:t>
      </w:r>
      <w:r w:rsidR="000B7434">
        <w:rPr>
          <w:rFonts w:hint="cs"/>
          <w:rtl/>
          <w:lang w:bidi="ar-EG"/>
        </w:rPr>
        <w:t>-</w:t>
      </w:r>
      <w:r>
        <w:rPr>
          <w:rFonts w:hint="cs"/>
          <w:rtl/>
          <w:lang w:bidi="ar-EG"/>
        </w:rPr>
        <w:tab/>
      </w:r>
      <w:r w:rsidR="000B7434" w:rsidRPr="00EC4329">
        <w:rPr>
          <w:rFonts w:hint="cs"/>
          <w:rtl/>
          <w:lang w:bidi="ar-EG"/>
        </w:rPr>
        <w:t>في نيبال تشكل التكاليف المالية المرتفعة حائلاً رئيسياً دون حصول الأشخاص العاديين على خدمات القبالة الماهرة أو المرافق الصحية. وللمساعدة في التخفيف من هذا القيد، شرعت الحكومة في تنفيذ مخطط لتوفير المساعدة المالية للنساء الساعيات إلى الحصول على عناية قبالة ماهرة وتغطية تكلفة نقلهن على أساس من المساواة. ويجري الآن تنفيذ هذه الخطة في كافة أرجاء البلد. والعناصر الرئيسية لهذه الخطة هي:</w:t>
      </w:r>
    </w:p>
    <w:p w:rsidR="000B7434" w:rsidRPr="004F1C97" w:rsidRDefault="000B7434" w:rsidP="00BF2BEF">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rFonts w:hint="cs"/>
          <w:w w:val="100"/>
          <w:kern w:val="0"/>
          <w:rtl/>
          <w:lang w:bidi="ar-EG"/>
        </w:rPr>
        <w:tab/>
        <w:t>خدمات أمومة مجانية في المستشفيات</w:t>
      </w:r>
      <w:r w:rsidR="00BF2BEF" w:rsidRPr="004F1C97">
        <w:rPr>
          <w:rFonts w:hint="cs"/>
          <w:w w:val="100"/>
          <w:kern w:val="0"/>
          <w:rtl/>
          <w:lang w:bidi="ar-EG"/>
        </w:rPr>
        <w:t>؛</w:t>
      </w:r>
    </w:p>
    <w:p w:rsidR="000B7434" w:rsidRPr="004F1C97" w:rsidRDefault="000B7434" w:rsidP="00CE7B6B">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4F1C97">
        <w:rPr>
          <w:rFonts w:hint="cs"/>
          <w:w w:val="100"/>
          <w:kern w:val="0"/>
          <w:rtl/>
          <w:lang w:bidi="ar-EG"/>
        </w:rPr>
        <w:t>•</w:t>
      </w:r>
      <w:r w:rsidRPr="004F1C97">
        <w:rPr>
          <w:rFonts w:hint="cs"/>
          <w:w w:val="100"/>
          <w:kern w:val="0"/>
          <w:rtl/>
          <w:lang w:bidi="ar-EG"/>
        </w:rPr>
        <w:tab/>
        <w:t xml:space="preserve">تقديم دفعة مالية نقدية إلى المرأة التي تأتي إلى أي مرفق صحي عام لكي تضع فيه مولودها الأول أو الثاني. </w:t>
      </w:r>
      <w:r w:rsidRPr="004F1C97">
        <w:rPr>
          <w:w w:val="100"/>
          <w:kern w:val="0"/>
          <w:rtl/>
          <w:lang w:bidi="ar-EG"/>
        </w:rPr>
        <w:t>وتتراوح قيمة هذه الدفعة وفقا</w:t>
      </w:r>
      <w:r w:rsidR="00CE7B6B" w:rsidRPr="004F1C97">
        <w:rPr>
          <w:rFonts w:hint="cs"/>
          <w:w w:val="100"/>
          <w:kern w:val="0"/>
          <w:rtl/>
          <w:lang w:bidi="ar-EG"/>
        </w:rPr>
        <w:t>ً</w:t>
      </w:r>
      <w:r w:rsidRPr="004F1C97">
        <w:rPr>
          <w:w w:val="100"/>
          <w:kern w:val="0"/>
          <w:rtl/>
          <w:lang w:bidi="ar-EG"/>
        </w:rPr>
        <w:t xml:space="preserve"> للمناطق الإيكولوجية عاكسة بذلك الصعوبات المرتبطة بالسفر: 500 روب</w:t>
      </w:r>
      <w:r w:rsidR="00CE7B6B" w:rsidRPr="004F1C97">
        <w:rPr>
          <w:w w:val="100"/>
          <w:kern w:val="0"/>
          <w:rtl/>
          <w:lang w:bidi="ar-EG"/>
        </w:rPr>
        <w:t>ية نيبالية للمناطق المنبسطة، و</w:t>
      </w:r>
      <w:r w:rsidRPr="004F1C97">
        <w:rPr>
          <w:w w:val="100"/>
          <w:kern w:val="0"/>
          <w:rtl/>
          <w:lang w:bidi="ar-EG"/>
        </w:rPr>
        <w:t>000 1 ر</w:t>
      </w:r>
      <w:r w:rsidR="00CE7B6B" w:rsidRPr="004F1C97">
        <w:rPr>
          <w:w w:val="100"/>
          <w:kern w:val="0"/>
          <w:rtl/>
          <w:lang w:bidi="ar-EG"/>
        </w:rPr>
        <w:t>وبية نيبالية للمناطق المرتفعة و</w:t>
      </w:r>
      <w:r w:rsidRPr="004F1C97">
        <w:rPr>
          <w:w w:val="100"/>
          <w:kern w:val="0"/>
          <w:rtl/>
          <w:lang w:bidi="ar-EG"/>
        </w:rPr>
        <w:t>500 1 روبية نيبالية للمناطق الجبلية؛</w:t>
      </w:r>
    </w:p>
    <w:p w:rsidR="000B7434" w:rsidRPr="004F1C97"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4F1C97">
        <w:rPr>
          <w:rFonts w:hint="cs"/>
          <w:w w:val="100"/>
          <w:kern w:val="0"/>
          <w:rtl/>
          <w:lang w:bidi="ar-EG"/>
        </w:rPr>
        <w:t>•</w:t>
      </w:r>
      <w:r w:rsidRPr="004F1C97">
        <w:rPr>
          <w:w w:val="100"/>
          <w:kern w:val="0"/>
          <w:rtl/>
          <w:lang w:bidi="ar-EG"/>
        </w:rPr>
        <w:tab/>
        <w:t>دفعة بمبلغ 300 روبية نيبالية للموظفات المصنفات عاملات صحيات مدربات للمساعدة في الوضع إما في المنزل أو في مرفق طبي؛</w:t>
      </w:r>
    </w:p>
    <w:p w:rsidR="000B7434" w:rsidRPr="004F1C97"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4F1C97">
        <w:rPr>
          <w:rFonts w:hint="cs"/>
          <w:w w:val="100"/>
          <w:kern w:val="0"/>
          <w:rtl/>
          <w:lang w:bidi="ar-EG"/>
        </w:rPr>
        <w:t>•</w:t>
      </w:r>
      <w:r w:rsidRPr="004F1C97">
        <w:rPr>
          <w:w w:val="100"/>
          <w:kern w:val="0"/>
          <w:rtl/>
          <w:lang w:bidi="ar-EG"/>
        </w:rPr>
        <w:tab/>
        <w:t>وفي مقاطعات مختارة (25 مقاطعة مصنفة على أن مؤشر التنمية البشرية فيها متدني) خدمات مجانية في المرافق الصحية العامة لكل من حالات الوضع العادية والمعقدة.</w:t>
      </w:r>
    </w:p>
    <w:p w:rsidR="000B7434" w:rsidRDefault="000B7434" w:rsidP="00C8270E">
      <w:pPr>
        <w:pStyle w:val="SingleTxtGA"/>
        <w:rPr>
          <w:rtl/>
          <w:lang w:bidi="ar-EG"/>
        </w:rPr>
      </w:pPr>
      <w:r>
        <w:rPr>
          <w:rtl/>
          <w:lang w:bidi="ar-EG"/>
        </w:rPr>
        <w:t>160-</w:t>
      </w:r>
      <w:r w:rsidR="00CE7B6B">
        <w:rPr>
          <w:rFonts w:hint="cs"/>
          <w:rtl/>
          <w:lang w:bidi="ar-EG"/>
        </w:rPr>
        <w:tab/>
      </w:r>
      <w:r>
        <w:rPr>
          <w:rtl/>
          <w:lang w:bidi="ar-EG"/>
        </w:rPr>
        <w:t>وبغية استعراض حالات وفيات الأمهات السابقة للوضع أنش</w:t>
      </w:r>
      <w:r w:rsidR="00C8270E">
        <w:rPr>
          <w:rFonts w:hint="cs"/>
          <w:rtl/>
          <w:lang w:bidi="ar-EG"/>
        </w:rPr>
        <w:t>ئ</w:t>
      </w:r>
      <w:r>
        <w:rPr>
          <w:rtl/>
          <w:lang w:bidi="ar-EG"/>
        </w:rPr>
        <w:t>ت لجنة وطنية لاستعراض الوفيات النفاسية والوفيات السابقة للوضع في إطار شعبة صحة الأسرة مبدئيا</w:t>
      </w:r>
      <w:r w:rsidR="00C8270E">
        <w:rPr>
          <w:rFonts w:hint="cs"/>
          <w:rtl/>
          <w:lang w:bidi="ar-EG"/>
        </w:rPr>
        <w:t>ً</w:t>
      </w:r>
      <w:r>
        <w:rPr>
          <w:rtl/>
          <w:lang w:bidi="ar-EG"/>
        </w:rPr>
        <w:t xml:space="preserve"> لفترة السنة المالية 2004-2005 ولكن عمليات هذه اللجنة التي بدأت في 6 مستشفيات وُسِّعت فيما بعد لتشمل 6 مستشفيات أخرى في السنة المالية 2005-2006.</w:t>
      </w:r>
    </w:p>
    <w:p w:rsidR="000B7434" w:rsidRPr="00CE7B6B" w:rsidRDefault="000B7434" w:rsidP="00C8270E">
      <w:pPr>
        <w:pStyle w:val="SingleTxtGA"/>
        <w:rPr>
          <w:spacing w:val="-2"/>
          <w:rtl/>
          <w:lang w:bidi="ar-EG"/>
        </w:rPr>
      </w:pPr>
      <w:r>
        <w:rPr>
          <w:rtl/>
          <w:lang w:bidi="ar-EG"/>
        </w:rPr>
        <w:t>161-</w:t>
      </w:r>
      <w:r w:rsidR="00CE7B6B">
        <w:rPr>
          <w:rFonts w:hint="cs"/>
          <w:rtl/>
          <w:lang w:bidi="ar-EG"/>
        </w:rPr>
        <w:tab/>
      </w:r>
      <w:r>
        <w:rPr>
          <w:rtl/>
          <w:lang w:bidi="ar-EG"/>
        </w:rPr>
        <w:t xml:space="preserve">وخصص مبلغ 000 850 139 روبية نيبالية لخطة حوافز الأمومة في السنة </w:t>
      </w:r>
      <w:r w:rsidR="00CE7B6B">
        <w:rPr>
          <w:rFonts w:hint="cs"/>
          <w:rtl/>
          <w:lang w:bidi="ar-EG"/>
        </w:rPr>
        <w:t xml:space="preserve">     </w:t>
      </w:r>
      <w:r w:rsidRPr="00CE7B6B">
        <w:rPr>
          <w:spacing w:val="-2"/>
          <w:rtl/>
          <w:lang w:bidi="ar-EG"/>
        </w:rPr>
        <w:t xml:space="preserve">المالية 2005-2006. ووجد أن 60 مقاطعة في المجموع قدمت تقارير مفصلة مع معلومات عن حالات الوضع، والمضاعفات، والعمليات الجراحية القيصرية، وإحالة الحالات المعقدة، وعن الحوافز المدفوعة. كذلك تعمل الحكومة مع مختلف المنظمات غير الحكومية التي لها خبرة في مسائل مختلفة. ومن الأمثلة الجديرة بالذكر في هذا المجال </w:t>
      </w:r>
      <w:r w:rsidR="00D62BA8" w:rsidRPr="00CE7B6B">
        <w:rPr>
          <w:spacing w:val="-2"/>
          <w:rtl/>
          <w:lang w:bidi="ar-EG"/>
        </w:rPr>
        <w:t>"</w:t>
      </w:r>
      <w:r w:rsidRPr="00CE7B6B">
        <w:rPr>
          <w:spacing w:val="-2"/>
          <w:rtl/>
          <w:lang w:bidi="ar-EG"/>
        </w:rPr>
        <w:t>تحالف التدلي الرحمي</w:t>
      </w:r>
      <w:r w:rsidR="00D62BA8" w:rsidRPr="00CE7B6B">
        <w:rPr>
          <w:spacing w:val="-2"/>
          <w:rtl/>
          <w:lang w:bidi="ar-EG"/>
        </w:rPr>
        <w:t>"</w:t>
      </w:r>
      <w:r w:rsidRPr="00CE7B6B">
        <w:rPr>
          <w:spacing w:val="-2"/>
          <w:rtl/>
          <w:lang w:bidi="ar-EG"/>
        </w:rPr>
        <w:t xml:space="preserve">، وهو منظمة </w:t>
      </w:r>
      <w:r w:rsidRPr="00C8270E">
        <w:rPr>
          <w:spacing w:val="-4"/>
          <w:rtl/>
          <w:lang w:bidi="ar-EG"/>
        </w:rPr>
        <w:t>غير حكومية أنش</w:t>
      </w:r>
      <w:r w:rsidR="00C8270E" w:rsidRPr="00C8270E">
        <w:rPr>
          <w:rFonts w:hint="cs"/>
          <w:spacing w:val="-4"/>
          <w:rtl/>
          <w:lang w:bidi="ar-EG"/>
        </w:rPr>
        <w:t>ئ</w:t>
      </w:r>
      <w:r w:rsidRPr="00C8270E">
        <w:rPr>
          <w:spacing w:val="-4"/>
          <w:rtl/>
          <w:lang w:bidi="ar-EG"/>
        </w:rPr>
        <w:t>ت في نيسان/أبريل عام 2007 بالتشاور مع وزارة الصحة والسكان في إطار اتحاد شبكات الأمومة المأمونة في نيبال. وأعلنت الحكومة عن برنامج وطني بشأن التدلي الرحمي يقدم المعالجة الجراحية إلى 000 12 امرأة محتاجة في السنة المالية 2008-2009 وعن</w:t>
      </w:r>
      <w:r w:rsidR="00C8270E">
        <w:rPr>
          <w:rFonts w:hint="cs"/>
          <w:spacing w:val="-4"/>
          <w:rtl/>
          <w:lang w:bidi="ar-EG"/>
        </w:rPr>
        <w:t xml:space="preserve">       </w:t>
      </w:r>
      <w:r w:rsidRPr="00C8270E">
        <w:rPr>
          <w:spacing w:val="-4"/>
          <w:rtl/>
          <w:lang w:bidi="ar-EG"/>
        </w:rPr>
        <w:t xml:space="preserve"> تنظيم 25 </w:t>
      </w:r>
      <w:r w:rsidRPr="00CE7B6B">
        <w:rPr>
          <w:spacing w:val="-2"/>
          <w:rtl/>
          <w:lang w:bidi="ar-EG"/>
        </w:rPr>
        <w:t>مخيم جراحي لهذا الغرض. وأُنش</w:t>
      </w:r>
      <w:r w:rsidR="00C8270E">
        <w:rPr>
          <w:rFonts w:hint="cs"/>
          <w:spacing w:val="-2"/>
          <w:rtl/>
          <w:lang w:bidi="ar-EG"/>
        </w:rPr>
        <w:t>ئ</w:t>
      </w:r>
      <w:r w:rsidRPr="00CE7B6B">
        <w:rPr>
          <w:spacing w:val="-2"/>
          <w:rtl/>
          <w:lang w:bidi="ar-EG"/>
        </w:rPr>
        <w:t>ت لجنة لمنع و</w:t>
      </w:r>
      <w:r w:rsidR="00CE7B6B" w:rsidRPr="00CE7B6B">
        <w:rPr>
          <w:rFonts w:hint="cs"/>
          <w:spacing w:val="-2"/>
          <w:rtl/>
          <w:lang w:bidi="ar-EG"/>
        </w:rPr>
        <w:t>إ</w:t>
      </w:r>
      <w:r w:rsidRPr="00CE7B6B">
        <w:rPr>
          <w:spacing w:val="-2"/>
          <w:rtl/>
          <w:lang w:bidi="ar-EG"/>
        </w:rPr>
        <w:t>دارة التدلي الرحمي تابعة لوزارة الصحة والسكان. (</w:t>
      </w:r>
      <w:r w:rsidRPr="00CE7B6B">
        <w:rPr>
          <w:i/>
          <w:iCs/>
          <w:spacing w:val="-2"/>
          <w:rtl/>
          <w:lang w:bidi="ar-EG"/>
        </w:rPr>
        <w:t>المصدر: اتحاد شبكات الأمومة المأمونة في نيبال،</w:t>
      </w:r>
      <w:r w:rsidR="00CE7B6B" w:rsidRPr="00CE7B6B">
        <w:rPr>
          <w:rFonts w:hint="cs"/>
          <w:i/>
          <w:iCs/>
          <w:spacing w:val="-2"/>
          <w:rtl/>
          <w:lang w:bidi="ar-EG"/>
        </w:rPr>
        <w:t xml:space="preserve"> </w:t>
      </w:r>
      <w:r w:rsidRPr="00CE7B6B">
        <w:rPr>
          <w:i/>
          <w:iCs/>
          <w:spacing w:val="-2"/>
          <w:rtl/>
          <w:lang w:bidi="ar-EG"/>
        </w:rPr>
        <w:t>2008</w:t>
      </w:r>
      <w:r w:rsidRPr="00CE7B6B">
        <w:rPr>
          <w:spacing w:val="-2"/>
          <w:rtl/>
          <w:lang w:bidi="ar-EG"/>
        </w:rPr>
        <w:t>).</w:t>
      </w:r>
    </w:p>
    <w:p w:rsidR="000B7434" w:rsidRDefault="000B7434" w:rsidP="00CE7B6B">
      <w:pPr>
        <w:pStyle w:val="SingleTxtGA"/>
        <w:rPr>
          <w:rtl/>
          <w:lang w:bidi="ar-EG"/>
        </w:rPr>
      </w:pPr>
      <w:r>
        <w:rPr>
          <w:rtl/>
          <w:lang w:bidi="ar-EG"/>
        </w:rPr>
        <w:t>162-</w:t>
      </w:r>
      <w:r w:rsidR="00CE7B6B">
        <w:rPr>
          <w:rFonts w:hint="cs"/>
          <w:rtl/>
          <w:lang w:bidi="ar-EG"/>
        </w:rPr>
        <w:tab/>
      </w:r>
      <w:r>
        <w:rPr>
          <w:rtl/>
          <w:lang w:bidi="ar-EG"/>
        </w:rPr>
        <w:t xml:space="preserve">وأثبتت الأحكام القضائية في مسائل </w:t>
      </w:r>
      <w:r w:rsidR="00D62BA8">
        <w:rPr>
          <w:rtl/>
          <w:lang w:bidi="ar-EG"/>
        </w:rPr>
        <w:t>"</w:t>
      </w:r>
      <w:r>
        <w:rPr>
          <w:rtl/>
          <w:lang w:bidi="ar-EG"/>
        </w:rPr>
        <w:t>الصحة التناسلية</w:t>
      </w:r>
      <w:r w:rsidR="00D62BA8">
        <w:rPr>
          <w:rtl/>
          <w:lang w:bidi="ar-EG"/>
        </w:rPr>
        <w:t>"</w:t>
      </w:r>
      <w:r>
        <w:rPr>
          <w:rtl/>
          <w:lang w:bidi="ar-EG"/>
        </w:rPr>
        <w:t xml:space="preserve"> للمرأة أنها مبدأ توجيهي هام لاتخاذ مبادرات التغيير من أجل اعتماد تدابير القانون والسياسة العامة. وتعتبر قضية </w:t>
      </w:r>
      <w:r w:rsidRPr="009C4339">
        <w:rPr>
          <w:i/>
          <w:iCs/>
          <w:rtl/>
          <w:lang w:bidi="ar-EG"/>
        </w:rPr>
        <w:t xml:space="preserve">براكاشماني شارما وغيرها </w:t>
      </w:r>
      <w:r w:rsidRPr="00B47A66">
        <w:rPr>
          <w:rtl/>
          <w:lang w:bidi="ar-EG"/>
        </w:rPr>
        <w:t>ضد</w:t>
      </w:r>
      <w:r w:rsidRPr="009C4339">
        <w:rPr>
          <w:i/>
          <w:iCs/>
          <w:rtl/>
          <w:lang w:bidi="ar-EG"/>
        </w:rPr>
        <w:t xml:space="preserve"> حكومة نيبال</w:t>
      </w:r>
      <w:r>
        <w:rPr>
          <w:rtl/>
          <w:lang w:bidi="ar-EG"/>
        </w:rPr>
        <w:t xml:space="preserve">، التي صدر الحكم فيها في 4 تموز/يوليه 2008 واحدة من القضايا المعالم التي </w:t>
      </w:r>
      <w:r w:rsidR="00CE7B6B">
        <w:rPr>
          <w:rFonts w:hint="cs"/>
          <w:rtl/>
          <w:lang w:bidi="ar-EG"/>
        </w:rPr>
        <w:t>أ</w:t>
      </w:r>
      <w:r>
        <w:rPr>
          <w:rtl/>
          <w:lang w:bidi="ar-EG"/>
        </w:rPr>
        <w:t>صدرت فيها المحكمة العليا أمر امتثال إلى وزارة الصحة والسكان من أجل سن قوانين تتعلق بالصحة التناسلية للمرأة وبحقها في الإنجاب، بما في ذلك تدا</w:t>
      </w:r>
      <w:r w:rsidR="00CE7B6B">
        <w:rPr>
          <w:rtl/>
          <w:lang w:bidi="ar-EG"/>
        </w:rPr>
        <w:t>بير خاصة وفق ما تضمنه المادة 20</w:t>
      </w:r>
      <w:r>
        <w:rPr>
          <w:rtl/>
          <w:lang w:bidi="ar-EG"/>
        </w:rPr>
        <w:t>(2) من الدستور المؤقت. كما أصدرت المحكمة العليا أمرا</w:t>
      </w:r>
      <w:r w:rsidR="00C8270E">
        <w:rPr>
          <w:rFonts w:hint="cs"/>
          <w:rtl/>
          <w:lang w:bidi="ar-EG"/>
        </w:rPr>
        <w:t>ً</w:t>
      </w:r>
      <w:r>
        <w:rPr>
          <w:rtl/>
          <w:lang w:bidi="ar-EG"/>
        </w:rPr>
        <w:t xml:space="preserve"> بتوفير معالجة أساسية للأمراض المتعلقة بالصحة التناسلية. وعلاوة على ذلك أصدرت أمرا</w:t>
      </w:r>
      <w:r w:rsidR="00C8270E">
        <w:rPr>
          <w:rFonts w:hint="cs"/>
          <w:rtl/>
          <w:lang w:bidi="ar-EG"/>
        </w:rPr>
        <w:t>ً</w:t>
      </w:r>
      <w:r>
        <w:rPr>
          <w:rtl/>
          <w:lang w:bidi="ar-EG"/>
        </w:rPr>
        <w:t xml:space="preserve"> إيعازيا</w:t>
      </w:r>
      <w:r w:rsidR="00C8270E">
        <w:rPr>
          <w:rFonts w:hint="cs"/>
          <w:rtl/>
          <w:lang w:bidi="ar-EG"/>
        </w:rPr>
        <w:t>ً</w:t>
      </w:r>
      <w:r>
        <w:rPr>
          <w:rtl/>
          <w:lang w:bidi="ar-EG"/>
        </w:rPr>
        <w:t xml:space="preserve"> بتشكيل </w:t>
      </w:r>
      <w:r w:rsidR="00D62BA8">
        <w:rPr>
          <w:rtl/>
          <w:lang w:bidi="ar-EG"/>
        </w:rPr>
        <w:t>"</w:t>
      </w:r>
      <w:r>
        <w:rPr>
          <w:rtl/>
          <w:lang w:bidi="ar-EG"/>
        </w:rPr>
        <w:t>لجنة خبراء</w:t>
      </w:r>
      <w:r w:rsidR="00D62BA8">
        <w:rPr>
          <w:rtl/>
          <w:lang w:bidi="ar-EG"/>
        </w:rPr>
        <w:t>"</w:t>
      </w:r>
      <w:r>
        <w:rPr>
          <w:rtl/>
          <w:lang w:bidi="ar-EG"/>
        </w:rPr>
        <w:t xml:space="preserve"> بالتنسيق مع وزارة شؤون المرأة، تضم أعضاء من وزارة الصحة والسكان والمنظمات غير الحكومية العاملة في هذا المجال.</w:t>
      </w:r>
    </w:p>
    <w:p w:rsidR="000B7434" w:rsidRPr="00C22848" w:rsidRDefault="000B7434" w:rsidP="00CE7B6B">
      <w:pPr>
        <w:pStyle w:val="H23GA"/>
        <w:rPr>
          <w:rtl/>
          <w:lang w:bidi="ar-EG"/>
        </w:rPr>
      </w:pPr>
      <w:r>
        <w:rPr>
          <w:rtl/>
          <w:lang w:bidi="ar-EG"/>
        </w:rPr>
        <w:tab/>
      </w:r>
      <w:r>
        <w:rPr>
          <w:rtl/>
          <w:lang w:bidi="ar-EG"/>
        </w:rPr>
        <w:tab/>
      </w:r>
      <w:r w:rsidRPr="00C22848">
        <w:rPr>
          <w:rtl/>
          <w:lang w:bidi="ar-EG"/>
        </w:rPr>
        <w:t>تحديات المستقبل</w:t>
      </w:r>
    </w:p>
    <w:p w:rsidR="000B7434" w:rsidRDefault="000B7434" w:rsidP="00CE7B6B">
      <w:pPr>
        <w:pStyle w:val="SingleTxtGA"/>
        <w:rPr>
          <w:rtl/>
          <w:lang w:bidi="ar-EG"/>
        </w:rPr>
      </w:pPr>
      <w:r>
        <w:rPr>
          <w:rtl/>
          <w:lang w:bidi="ar-EG"/>
        </w:rPr>
        <w:t>163-</w:t>
      </w:r>
      <w:r w:rsidR="00CE7B6B">
        <w:rPr>
          <w:rFonts w:hint="cs"/>
          <w:rtl/>
          <w:lang w:bidi="ar-EG"/>
        </w:rPr>
        <w:tab/>
      </w:r>
      <w:r>
        <w:rPr>
          <w:rtl/>
          <w:lang w:bidi="ar-EG"/>
        </w:rPr>
        <w:t>حفز الفقر، والعمل المنزلي الشاق، والمركز الخفيض للمرأة في الهيكل الاجتماعي العام، وثقافة تفضيل الابن، والزواج المبكر، ومستوى التعليم المتدني، والحالة التغذوية الضعيفة، على المستوى المنخفض للحالة الصحية للمرأة في نيبال.</w:t>
      </w:r>
    </w:p>
    <w:p w:rsidR="000B7434" w:rsidRDefault="000B7434" w:rsidP="00CE7B6B">
      <w:pPr>
        <w:pStyle w:val="SingleTxtGA"/>
        <w:rPr>
          <w:rtl/>
          <w:lang w:bidi="ar-EG"/>
        </w:rPr>
      </w:pPr>
      <w:r>
        <w:rPr>
          <w:rtl/>
          <w:lang w:bidi="ar-EG"/>
        </w:rPr>
        <w:t>16</w:t>
      </w:r>
      <w:r w:rsidR="00CE7B6B">
        <w:rPr>
          <w:rtl/>
          <w:lang w:bidi="ar-EG"/>
        </w:rPr>
        <w:t>4</w:t>
      </w:r>
      <w:r>
        <w:rPr>
          <w:rtl/>
          <w:lang w:bidi="ar-EG"/>
        </w:rPr>
        <w:t>-</w:t>
      </w:r>
      <w:r w:rsidR="00CE7B6B">
        <w:rPr>
          <w:rFonts w:hint="cs"/>
          <w:rtl/>
          <w:lang w:bidi="ar-EG"/>
        </w:rPr>
        <w:tab/>
      </w:r>
      <w:r>
        <w:rPr>
          <w:rtl/>
          <w:lang w:bidi="ar-EG"/>
        </w:rPr>
        <w:t>وحتى بالرغم من أن الحكومة قد أولت الصحة التناسلية للمرأة الأول</w:t>
      </w:r>
      <w:r w:rsidR="00C8270E">
        <w:rPr>
          <w:rFonts w:hint="cs"/>
          <w:rtl/>
          <w:lang w:bidi="ar-EG"/>
        </w:rPr>
        <w:t>و</w:t>
      </w:r>
      <w:r>
        <w:rPr>
          <w:rtl/>
          <w:lang w:bidi="ar-EG"/>
        </w:rPr>
        <w:t>ية في الاهتمام، فإن المشكلة الصحية العامة المتمثلة في فقر الدم وسوء التغذية، التي هي السبب الجذري لكل المشاكل الصحية تقريبا</w:t>
      </w:r>
      <w:r w:rsidR="00C8270E">
        <w:rPr>
          <w:rFonts w:hint="cs"/>
          <w:rtl/>
          <w:lang w:bidi="ar-EG"/>
        </w:rPr>
        <w:t>ً</w:t>
      </w:r>
      <w:r>
        <w:rPr>
          <w:rtl/>
          <w:lang w:bidi="ar-EG"/>
        </w:rPr>
        <w:t>، لم تعالج على نحو واف بعد.</w:t>
      </w:r>
    </w:p>
    <w:p w:rsidR="000B7434" w:rsidRDefault="000B7434" w:rsidP="00CE7B6B">
      <w:pPr>
        <w:pStyle w:val="SingleTxtGA"/>
        <w:rPr>
          <w:rtl/>
          <w:lang w:bidi="ar-EG"/>
        </w:rPr>
      </w:pPr>
      <w:r>
        <w:rPr>
          <w:rtl/>
          <w:lang w:bidi="ar-EG"/>
        </w:rPr>
        <w:t>165-</w:t>
      </w:r>
      <w:r w:rsidR="00CE7B6B">
        <w:rPr>
          <w:rFonts w:hint="cs"/>
          <w:rtl/>
          <w:lang w:bidi="ar-EG"/>
        </w:rPr>
        <w:tab/>
      </w:r>
      <w:r>
        <w:rPr>
          <w:rtl/>
          <w:lang w:bidi="ar-EG"/>
        </w:rPr>
        <w:t>وعلى النقيض من الصحة التناسلية، تبين أن البيانات المفصلة جنسانيا</w:t>
      </w:r>
      <w:r w:rsidR="00CE7B6B">
        <w:rPr>
          <w:rFonts w:hint="cs"/>
          <w:rtl/>
          <w:lang w:bidi="ar-EG"/>
        </w:rPr>
        <w:t>ً</w:t>
      </w:r>
      <w:r>
        <w:rPr>
          <w:rtl/>
          <w:lang w:bidi="ar-EG"/>
        </w:rPr>
        <w:t xml:space="preserve"> عن الإصابات بمختلف الأمراض وعلاجاتها كانت محايدة جنسانيا</w:t>
      </w:r>
      <w:r w:rsidR="00CE7B6B">
        <w:rPr>
          <w:rFonts w:hint="cs"/>
          <w:rtl/>
          <w:lang w:bidi="ar-EG"/>
        </w:rPr>
        <w:t>ً</w:t>
      </w:r>
      <w:r>
        <w:rPr>
          <w:rtl/>
          <w:lang w:bidi="ar-EG"/>
        </w:rPr>
        <w:t>، أي أنها لم تُعرض مفصَّلةً حسب الجنس. والرأي السائد عن السياسات الصحية الراهنة هو أنها تركز على تناسل المرأة والسيطرة عليه بدلا</w:t>
      </w:r>
      <w:r w:rsidR="00CE7B6B">
        <w:rPr>
          <w:rFonts w:hint="cs"/>
          <w:rtl/>
          <w:lang w:bidi="ar-EG"/>
        </w:rPr>
        <w:t>ً</w:t>
      </w:r>
      <w:r>
        <w:rPr>
          <w:rtl/>
          <w:lang w:bidi="ar-EG"/>
        </w:rPr>
        <w:t xml:space="preserve"> من أن تركز على المسائل الصحية العامة.</w:t>
      </w:r>
    </w:p>
    <w:p w:rsidR="000B7434" w:rsidRDefault="000B7434" w:rsidP="00CE7B6B">
      <w:pPr>
        <w:pStyle w:val="SingleTxtGA"/>
        <w:rPr>
          <w:rtl/>
          <w:lang w:bidi="ar-EG"/>
        </w:rPr>
      </w:pPr>
      <w:r>
        <w:rPr>
          <w:rtl/>
          <w:lang w:bidi="ar-EG"/>
        </w:rPr>
        <w:t>166-</w:t>
      </w:r>
      <w:r w:rsidR="00CE7B6B">
        <w:rPr>
          <w:rFonts w:hint="cs"/>
          <w:rtl/>
          <w:lang w:bidi="ar-EG"/>
        </w:rPr>
        <w:tab/>
      </w:r>
      <w:r>
        <w:rPr>
          <w:rtl/>
          <w:lang w:bidi="ar-EG"/>
        </w:rPr>
        <w:t>وبسبب الافتقار إلى بيانات وافية مفصلة حسب الجنس، يصعب تحديد أهداف قطاع الصحة (أي معدل وفيات النفاس، ومعدل وفيات الرضع) بدون تحليل صحيح لمساهمات كل عامل، وجودة الخدمات، والهياكل الأساسية أو دوافع مقدمي الخدمات.</w:t>
      </w:r>
    </w:p>
    <w:p w:rsidR="000B7434" w:rsidRDefault="000B7434" w:rsidP="00CE7B6B">
      <w:pPr>
        <w:pStyle w:val="SingleTxtGA"/>
        <w:rPr>
          <w:rtl/>
          <w:lang w:bidi="ar-EG"/>
        </w:rPr>
      </w:pPr>
      <w:r>
        <w:rPr>
          <w:rtl/>
          <w:lang w:bidi="ar-EG"/>
        </w:rPr>
        <w:t>167-</w:t>
      </w:r>
      <w:r w:rsidR="00CE7B6B">
        <w:rPr>
          <w:rFonts w:hint="cs"/>
          <w:rtl/>
          <w:lang w:bidi="ar-EG"/>
        </w:rPr>
        <w:tab/>
      </w:r>
      <w:r>
        <w:rPr>
          <w:rtl/>
          <w:lang w:bidi="ar-EG"/>
        </w:rPr>
        <w:t>وعلاوة على ذلك، فإن حالة الحمل تكون دائما</w:t>
      </w:r>
      <w:r w:rsidR="00C8270E">
        <w:rPr>
          <w:rFonts w:hint="cs"/>
          <w:rtl/>
          <w:lang w:bidi="ar-EG"/>
        </w:rPr>
        <w:t>ً</w:t>
      </w:r>
      <w:r>
        <w:rPr>
          <w:rtl/>
          <w:lang w:bidi="ar-EG"/>
        </w:rPr>
        <w:t xml:space="preserve"> موضوع نظر طارئ. وبدون وجود نظام فعال للإحالة، سوف يكون من الصعب تحقيق الأهداف الإنمائية للألفية أو غيرها من الأهداف بشأن معدل وفيات النفاس، ومعدل وفيات الرضع ومعدل وفيات الأطفال دون سن الخامسة.</w:t>
      </w:r>
    </w:p>
    <w:p w:rsidR="000B7434" w:rsidRDefault="000B7434" w:rsidP="00CE7B6B">
      <w:pPr>
        <w:pStyle w:val="SingleTxtGA"/>
        <w:rPr>
          <w:rtl/>
          <w:lang w:bidi="ar-EG"/>
        </w:rPr>
      </w:pPr>
      <w:r>
        <w:rPr>
          <w:rtl/>
          <w:lang w:bidi="ar-EG"/>
        </w:rPr>
        <w:t>168-</w:t>
      </w:r>
      <w:r w:rsidR="00CE7B6B">
        <w:rPr>
          <w:rFonts w:hint="cs"/>
          <w:rtl/>
          <w:lang w:bidi="ar-EG"/>
        </w:rPr>
        <w:tab/>
      </w:r>
      <w:r>
        <w:rPr>
          <w:rtl/>
          <w:lang w:bidi="ar-EG"/>
        </w:rPr>
        <w:t>ويركز برنامج الصحة الاهتمام على المرأة الريفية أكثر مما يركز على المرأة الفقيرة في المناطق الحضرية التي تعاني أيضا</w:t>
      </w:r>
      <w:r w:rsidR="00C8270E">
        <w:rPr>
          <w:rFonts w:hint="cs"/>
          <w:rtl/>
          <w:lang w:bidi="ar-EG"/>
        </w:rPr>
        <w:t>ً</w:t>
      </w:r>
      <w:r>
        <w:rPr>
          <w:rtl/>
          <w:lang w:bidi="ar-EG"/>
        </w:rPr>
        <w:t xml:space="preserve"> من تدلي الرحم وأمراض أخرى.</w:t>
      </w:r>
    </w:p>
    <w:p w:rsidR="000B7434" w:rsidRDefault="000B7434" w:rsidP="00CE7B6B">
      <w:pPr>
        <w:pStyle w:val="SingleTxtGA"/>
        <w:rPr>
          <w:rtl/>
          <w:lang w:bidi="ar-EG"/>
        </w:rPr>
      </w:pPr>
      <w:r>
        <w:rPr>
          <w:rtl/>
          <w:lang w:bidi="ar-EG"/>
        </w:rPr>
        <w:t>169-</w:t>
      </w:r>
      <w:r w:rsidR="00CE7B6B">
        <w:rPr>
          <w:rFonts w:hint="cs"/>
          <w:rtl/>
          <w:lang w:bidi="ar-EG"/>
        </w:rPr>
        <w:tab/>
      </w:r>
      <w:r>
        <w:rPr>
          <w:rtl/>
          <w:lang w:bidi="ar-EG"/>
        </w:rPr>
        <w:t xml:space="preserve">إنّ معظم البرامج التغذوية تركّز على تحسين الحالة التغذوية للرضع والأطفال. ويولى اهتمام أقل لتحسين تغذية الأمهات. كما أنه بالرغم من أن استراتيجية الصحة التناسلية تركز على </w:t>
      </w:r>
      <w:r w:rsidR="00CE7B6B">
        <w:rPr>
          <w:rFonts w:hint="cs"/>
          <w:rtl/>
          <w:lang w:bidi="ar-EG"/>
        </w:rPr>
        <w:t>ا</w:t>
      </w:r>
      <w:r>
        <w:rPr>
          <w:rtl/>
          <w:lang w:bidi="ar-EG"/>
        </w:rPr>
        <w:t>تباع نهج قائم على الحقوق بصورة أساسية، فإن هذه الاستراتيجية ما زالت بحاجة إلى أن تُطور وتُنشر على مقدمي الخدمات بحيث يصبح تنفيذها سليما</w:t>
      </w:r>
      <w:r w:rsidR="00CE7B6B">
        <w:rPr>
          <w:rFonts w:hint="cs"/>
          <w:rtl/>
          <w:lang w:bidi="ar-EG"/>
        </w:rPr>
        <w:t>ً</w:t>
      </w:r>
      <w:r>
        <w:rPr>
          <w:rtl/>
          <w:lang w:bidi="ar-EG"/>
        </w:rPr>
        <w:t>.</w:t>
      </w:r>
    </w:p>
    <w:p w:rsidR="000B7434" w:rsidRDefault="000B7434" w:rsidP="00CE7B6B">
      <w:pPr>
        <w:pStyle w:val="SingleTxtGA"/>
        <w:rPr>
          <w:rtl/>
          <w:lang w:bidi="ar-EG"/>
        </w:rPr>
      </w:pPr>
      <w:r>
        <w:rPr>
          <w:rtl/>
          <w:lang w:bidi="ar-EG"/>
        </w:rPr>
        <w:t>170-</w:t>
      </w:r>
      <w:r w:rsidR="00CE7B6B">
        <w:rPr>
          <w:rFonts w:hint="cs"/>
          <w:rtl/>
          <w:lang w:bidi="ar-EG"/>
        </w:rPr>
        <w:tab/>
      </w:r>
      <w:r>
        <w:rPr>
          <w:rtl/>
          <w:lang w:bidi="ar-EG"/>
        </w:rPr>
        <w:t>أما السياسية ب</w:t>
      </w:r>
      <w:r w:rsidR="00CE7B6B">
        <w:rPr>
          <w:rtl/>
          <w:lang w:bidi="ar-EG"/>
        </w:rPr>
        <w:t>شأن فيروس نقص المناعة البشرية/</w:t>
      </w:r>
      <w:r w:rsidR="00CE7B6B">
        <w:rPr>
          <w:rFonts w:hint="cs"/>
          <w:rtl/>
          <w:lang w:bidi="ar-EG"/>
        </w:rPr>
        <w:t>ا</w:t>
      </w:r>
      <w:r>
        <w:rPr>
          <w:rtl/>
          <w:lang w:bidi="ar-EG"/>
        </w:rPr>
        <w:t>لإيدز والأمراض الأخرى المنقولة بالاتصال الجنسي فإنها لم تُدمِِج بعد مختلفَ أشكال الضعف والتعرّض والحاجات على مستويات المنع. والتحدي الملحوظ أكثر من غيره حتى الآن يتمثل في اجتذاب الناس لاستخدام الفحوصات الطبية من أجل تتبع هذا النوع من المرض. وتزداد صعوبة هذا التحدي في حالة المرأة بسبب خشيتها من الأسرة والمجتمع. وقد أخذت الحكومة كل هذه التحديات الممكنة في الاعتبار وركّزت أكثر على برامج التوعية عن طريق استخدام وسائط الإعلام ووسائل الاتصال الأخرى إلى أقصى حد.</w:t>
      </w:r>
    </w:p>
    <w:p w:rsidR="000B7434" w:rsidRDefault="000B7434" w:rsidP="00CE7B6B">
      <w:pPr>
        <w:pStyle w:val="H1GA"/>
        <w:spacing w:after="0"/>
        <w:rPr>
          <w:rtl/>
          <w:lang w:bidi="ar-EG"/>
        </w:rPr>
      </w:pPr>
      <w:r>
        <w:rPr>
          <w:rtl/>
          <w:lang w:bidi="ar-EG"/>
        </w:rPr>
        <w:tab/>
      </w:r>
      <w:r>
        <w:rPr>
          <w:rtl/>
          <w:lang w:bidi="ar-EG"/>
        </w:rPr>
        <w:tab/>
      </w:r>
      <w:r w:rsidRPr="008C4D89">
        <w:rPr>
          <w:rtl/>
          <w:lang w:bidi="ar-EG"/>
        </w:rPr>
        <w:t>المادة 13</w:t>
      </w:r>
    </w:p>
    <w:p w:rsidR="000B7434" w:rsidRPr="008C4D89" w:rsidRDefault="000B7434" w:rsidP="00CE7B6B">
      <w:pPr>
        <w:pStyle w:val="H1GA"/>
        <w:spacing w:before="0"/>
        <w:rPr>
          <w:rtl/>
          <w:lang w:bidi="ar-EG"/>
        </w:rPr>
      </w:pPr>
      <w:r>
        <w:rPr>
          <w:rtl/>
          <w:lang w:bidi="ar-EG"/>
        </w:rPr>
        <w:tab/>
      </w:r>
      <w:r>
        <w:rPr>
          <w:rtl/>
          <w:lang w:bidi="ar-EG"/>
        </w:rPr>
        <w:tab/>
      </w:r>
      <w:r w:rsidRPr="008C4D89">
        <w:rPr>
          <w:rtl/>
          <w:lang w:bidi="ar-EG"/>
        </w:rPr>
        <w:t xml:space="preserve"> الحياة الاقتصادية والاجتماعية للمجتمع</w:t>
      </w:r>
    </w:p>
    <w:p w:rsidR="000B7434" w:rsidRPr="008C4D89" w:rsidRDefault="000B7434" w:rsidP="00CE7B6B">
      <w:pPr>
        <w:pStyle w:val="H23GA"/>
        <w:rPr>
          <w:rtl/>
          <w:lang w:bidi="ar-EG"/>
        </w:rPr>
      </w:pPr>
      <w:r w:rsidRPr="008C4D89">
        <w:rPr>
          <w:rtl/>
          <w:lang w:bidi="ar-EG"/>
        </w:rPr>
        <w:tab/>
      </w:r>
      <w:r w:rsidRPr="008C4D89">
        <w:rPr>
          <w:rtl/>
          <w:lang w:bidi="ar-EG"/>
        </w:rPr>
        <w:tab/>
        <w:t>معلومات أساسية</w:t>
      </w:r>
    </w:p>
    <w:p w:rsidR="000B7434" w:rsidRDefault="000B7434" w:rsidP="002F1301">
      <w:pPr>
        <w:pStyle w:val="SingleTxtGA"/>
        <w:rPr>
          <w:rtl/>
          <w:lang w:bidi="ar-EG"/>
        </w:rPr>
      </w:pPr>
      <w:r>
        <w:rPr>
          <w:rtl/>
          <w:lang w:bidi="ar-EG"/>
        </w:rPr>
        <w:t>171-</w:t>
      </w:r>
      <w:r w:rsidR="00CE7B6B">
        <w:rPr>
          <w:rFonts w:hint="cs"/>
          <w:rtl/>
          <w:lang w:bidi="ar-EG"/>
        </w:rPr>
        <w:tab/>
      </w:r>
      <w:r>
        <w:rPr>
          <w:rtl/>
          <w:lang w:bidi="ar-EG"/>
        </w:rPr>
        <w:t>رغم أن تغييرا</w:t>
      </w:r>
      <w:r w:rsidR="00CE7B6B">
        <w:rPr>
          <w:rFonts w:hint="cs"/>
          <w:rtl/>
          <w:lang w:bidi="ar-EG"/>
        </w:rPr>
        <w:t>ً</w:t>
      </w:r>
      <w:r>
        <w:rPr>
          <w:rtl/>
          <w:lang w:bidi="ar-EG"/>
        </w:rPr>
        <w:t xml:space="preserve"> إيجابيا</w:t>
      </w:r>
      <w:r w:rsidR="00CE7B6B">
        <w:rPr>
          <w:rFonts w:hint="cs"/>
          <w:rtl/>
          <w:lang w:bidi="ar-EG"/>
        </w:rPr>
        <w:t>ً</w:t>
      </w:r>
      <w:r>
        <w:rPr>
          <w:rtl/>
          <w:lang w:bidi="ar-EG"/>
        </w:rPr>
        <w:t xml:space="preserve"> حصل في تطور الجنسانية، فإن حالة المرأة في الفئات الاجتماعية والاقتصادية المتخلفة وفي المناطق الريفية لم تحقق بعد أي تغيير جوهري. ومع ذلك، تظل مساهمة المرأة هامة ليس فقط في الفترة العادية ولكن في فترة </w:t>
      </w:r>
      <w:r w:rsidR="002F1301">
        <w:rPr>
          <w:rFonts w:hint="cs"/>
          <w:rtl/>
          <w:lang w:bidi="ar-EG"/>
        </w:rPr>
        <w:t xml:space="preserve">النزاع </w:t>
      </w:r>
      <w:r>
        <w:rPr>
          <w:rtl/>
          <w:lang w:bidi="ar-EG"/>
        </w:rPr>
        <w:t>أيضا</w:t>
      </w:r>
      <w:r w:rsidR="00C8270E">
        <w:rPr>
          <w:rFonts w:hint="cs"/>
          <w:rtl/>
          <w:lang w:bidi="ar-EG"/>
        </w:rPr>
        <w:t>ً</w:t>
      </w:r>
      <w:r>
        <w:rPr>
          <w:rtl/>
          <w:lang w:bidi="ar-EG"/>
        </w:rPr>
        <w:t xml:space="preserve">. وفي المناطق المتأثرة </w:t>
      </w:r>
      <w:r w:rsidR="002F1301">
        <w:rPr>
          <w:rFonts w:hint="cs"/>
          <w:rtl/>
          <w:lang w:bidi="ar-EG"/>
        </w:rPr>
        <w:t>بالنزاع</w:t>
      </w:r>
      <w:r>
        <w:rPr>
          <w:rtl/>
          <w:lang w:bidi="ar-EG"/>
        </w:rPr>
        <w:t>، نظرا</w:t>
      </w:r>
      <w:r w:rsidR="00C8270E">
        <w:rPr>
          <w:rFonts w:hint="cs"/>
          <w:rtl/>
          <w:lang w:bidi="ar-EG"/>
        </w:rPr>
        <w:t>ً</w:t>
      </w:r>
      <w:r>
        <w:rPr>
          <w:rtl/>
          <w:lang w:bidi="ar-EG"/>
        </w:rPr>
        <w:t xml:space="preserve"> إلى أن أغلبية الرجال كانوا يشتركون في </w:t>
      </w:r>
      <w:r w:rsidR="002F1301">
        <w:rPr>
          <w:rFonts w:hint="cs"/>
          <w:rtl/>
          <w:lang w:bidi="ar-EG"/>
        </w:rPr>
        <w:t xml:space="preserve">النزاع </w:t>
      </w:r>
      <w:r>
        <w:rPr>
          <w:rtl/>
          <w:lang w:bidi="ar-EG"/>
        </w:rPr>
        <w:t>المسلح، كان على المرأة أن تتحمل عبء الأرض الزراعية وإدارة المنزل والأنشطة الاقتصادية الأخرى.</w:t>
      </w:r>
    </w:p>
    <w:p w:rsidR="000B7434" w:rsidRDefault="000B7434" w:rsidP="00CE7B6B">
      <w:pPr>
        <w:pStyle w:val="SingleTxtGA"/>
        <w:rPr>
          <w:rtl/>
          <w:lang w:bidi="ar-EG"/>
        </w:rPr>
      </w:pPr>
      <w:r>
        <w:rPr>
          <w:rtl/>
          <w:lang w:bidi="ar-EG"/>
        </w:rPr>
        <w:t>172-</w:t>
      </w:r>
      <w:r w:rsidR="00CE7B6B">
        <w:rPr>
          <w:rFonts w:hint="cs"/>
          <w:rtl/>
          <w:lang w:bidi="ar-EG"/>
        </w:rPr>
        <w:tab/>
      </w:r>
      <w:r>
        <w:rPr>
          <w:rtl/>
          <w:lang w:bidi="ar-EG"/>
        </w:rPr>
        <w:t>ويبلغ معدل مشاركة المرأ</w:t>
      </w:r>
      <w:r w:rsidR="000C6FCD">
        <w:rPr>
          <w:rtl/>
          <w:lang w:bidi="ar-EG"/>
        </w:rPr>
        <w:t>ة في القوة العاملة</w:t>
      </w:r>
      <w:r>
        <w:rPr>
          <w:rtl/>
          <w:lang w:bidi="ar-EG"/>
        </w:rPr>
        <w:t xml:space="preserve"> 48.9 بينما يبلغ معدل مشاركة </w:t>
      </w:r>
      <w:r w:rsidR="00CE7B6B">
        <w:rPr>
          <w:rFonts w:hint="cs"/>
          <w:rtl/>
          <w:lang w:bidi="ar-EG"/>
        </w:rPr>
        <w:t xml:space="preserve">     </w:t>
      </w:r>
      <w:r>
        <w:rPr>
          <w:rtl/>
          <w:lang w:bidi="ar-EG"/>
        </w:rPr>
        <w:t>الرجل 67.6. وتعمل معظم النساء في القطاع غير الرسمي وقطاع الكفاف ويُحصِّلن أجورا</w:t>
      </w:r>
      <w:r w:rsidR="00C8270E">
        <w:rPr>
          <w:rFonts w:hint="cs"/>
          <w:rtl/>
          <w:lang w:bidi="ar-EG"/>
        </w:rPr>
        <w:t>ً</w:t>
      </w:r>
      <w:r>
        <w:rPr>
          <w:rtl/>
          <w:lang w:bidi="ar-EG"/>
        </w:rPr>
        <w:t xml:space="preserve"> محلية مقابل أعمال منزلية وأعمال رعاية. وفي الأنشطة الاقتصادية خارج المنزل، تبلغ مساهمة المرأة 36.3 ساعة في الأسبوع ومساهمة الرجل 42.6 ساعة في الأسبوع. أما في المنزل فإن مساهمة المرأة هي 42.5 ساعة في الأسبوع ومساهمة الرجل 46.5 ساعة في الأسبوع. وفي الأنشطة غير الاقتصادية في المنزل، تبلغ مشاركة المرأة 25.1 ساعة في الأسبوع ومشاركة الرجل 9.7 ساعة في الأسبوع. وتبلغ مشاركة المرأة والرجل بصورة عامة في الأنشطة الاقتصادية وغير</w:t>
      </w:r>
      <w:r w:rsidR="008B03DA">
        <w:rPr>
          <w:rtl/>
          <w:lang w:bidi="ar-EG"/>
        </w:rPr>
        <w:t xml:space="preserve"> الاقتصادية 103.9 ساعة للمرأة و</w:t>
      </w:r>
      <w:r>
        <w:rPr>
          <w:rtl/>
          <w:lang w:bidi="ar-EG"/>
        </w:rPr>
        <w:t>98.8 ساعة للرجل. ويظهر الجدول التالي هذه الأرقام بوضوح أكبر:</w:t>
      </w:r>
    </w:p>
    <w:p w:rsidR="000B7434" w:rsidRDefault="004F1C97" w:rsidP="00CE7B6B">
      <w:pPr>
        <w:pStyle w:val="SingleTxtGA"/>
        <w:spacing w:after="0"/>
        <w:rPr>
          <w:rFonts w:hint="cs"/>
          <w:rtl/>
          <w:lang w:bidi="ar-EG"/>
        </w:rPr>
      </w:pPr>
      <w:r>
        <w:rPr>
          <w:rtl/>
          <w:lang w:bidi="ar-EG"/>
        </w:rPr>
        <w:br w:type="page"/>
      </w:r>
      <w:r w:rsidR="000B7434" w:rsidRPr="00437D73">
        <w:rPr>
          <w:rtl/>
          <w:lang w:bidi="ar-EG"/>
        </w:rPr>
        <w:t>الجدول</w:t>
      </w:r>
      <w:r w:rsidR="000B7434">
        <w:rPr>
          <w:rtl/>
          <w:lang w:bidi="ar-EG"/>
        </w:rPr>
        <w:t xml:space="preserve"> 18</w:t>
      </w:r>
    </w:p>
    <w:p w:rsidR="000B7434" w:rsidRPr="00CE7B6B" w:rsidRDefault="000B7434" w:rsidP="00CE7B6B">
      <w:pPr>
        <w:pStyle w:val="SingleTxtGA"/>
        <w:rPr>
          <w:b/>
          <w:bCs/>
          <w:rtl/>
          <w:lang w:bidi="ar-EG"/>
        </w:rPr>
      </w:pPr>
      <w:r w:rsidRPr="00CE7B6B">
        <w:rPr>
          <w:b/>
          <w:bCs/>
          <w:rtl/>
          <w:lang w:bidi="ar-EG"/>
        </w:rPr>
        <w:t>اشتراك الرجال والنساء في الأنشطة الاقتصادية والأنشطة غير الاقتصادية بصورة عامة</w:t>
      </w:r>
    </w:p>
    <w:tbl>
      <w:tblPr>
        <w:bidiVisual/>
        <w:tblW w:w="8357" w:type="dxa"/>
        <w:tblInd w:w="1267" w:type="dxa"/>
        <w:tblLayout w:type="fixed"/>
        <w:tblCellMar>
          <w:left w:w="0" w:type="dxa"/>
          <w:right w:w="0" w:type="dxa"/>
        </w:tblCellMar>
        <w:tblLook w:val="0000" w:firstRow="0" w:lastRow="0" w:firstColumn="0" w:lastColumn="0" w:noHBand="0" w:noVBand="0"/>
      </w:tblPr>
      <w:tblGrid>
        <w:gridCol w:w="961"/>
        <w:gridCol w:w="3896"/>
        <w:gridCol w:w="1610"/>
        <w:gridCol w:w="980"/>
        <w:gridCol w:w="910"/>
      </w:tblGrid>
      <w:tr w:rsidR="000B7434" w:rsidRPr="00927419" w:rsidTr="0059728F">
        <w:tblPrEx>
          <w:tblCellMar>
            <w:top w:w="0" w:type="dxa"/>
            <w:bottom w:w="0" w:type="dxa"/>
          </w:tblCellMar>
        </w:tblPrEx>
        <w:trPr>
          <w:cantSplit/>
          <w:tblHeader/>
        </w:trPr>
        <w:tc>
          <w:tcPr>
            <w:tcW w:w="961" w:type="dxa"/>
            <w:tcBorders>
              <w:top w:val="single" w:sz="4" w:space="0" w:color="auto"/>
              <w:bottom w:val="single" w:sz="12" w:space="0" w:color="auto"/>
            </w:tcBorders>
            <w:vAlign w:val="bottom"/>
          </w:tcPr>
          <w:p w:rsidR="000B7434" w:rsidRPr="00CE7B6B" w:rsidRDefault="000B7434" w:rsidP="00CE7B6B">
            <w:pPr>
              <w:tabs>
                <w:tab w:val="left" w:pos="288"/>
                <w:tab w:val="left" w:pos="576"/>
                <w:tab w:val="left" w:pos="864"/>
                <w:tab w:val="left" w:pos="1152"/>
              </w:tabs>
              <w:spacing w:before="60" w:after="60" w:line="280" w:lineRule="exact"/>
              <w:ind w:left="57"/>
              <w:rPr>
                <w:i/>
                <w:iCs/>
                <w:sz w:val="18"/>
                <w:szCs w:val="26"/>
                <w:lang w:bidi="ar-EG"/>
              </w:rPr>
            </w:pPr>
            <w:r w:rsidRPr="00CE7B6B">
              <w:rPr>
                <w:i/>
                <w:iCs/>
                <w:sz w:val="18"/>
                <w:szCs w:val="26"/>
                <w:rtl/>
                <w:lang w:bidi="ar-EG"/>
              </w:rPr>
              <w:t>رقم مسلسل</w:t>
            </w:r>
          </w:p>
        </w:tc>
        <w:tc>
          <w:tcPr>
            <w:tcW w:w="3896" w:type="dxa"/>
            <w:tcBorders>
              <w:top w:val="single" w:sz="4" w:space="0" w:color="auto"/>
              <w:bottom w:val="single" w:sz="12" w:space="0" w:color="auto"/>
            </w:tcBorders>
            <w:vAlign w:val="bottom"/>
          </w:tcPr>
          <w:p w:rsidR="000B7434" w:rsidRPr="00CE7B6B" w:rsidRDefault="000B7434" w:rsidP="00CE7B6B">
            <w:pPr>
              <w:tabs>
                <w:tab w:val="left" w:pos="288"/>
                <w:tab w:val="left" w:pos="576"/>
                <w:tab w:val="left" w:pos="864"/>
                <w:tab w:val="left" w:pos="1152"/>
              </w:tabs>
              <w:spacing w:before="60" w:after="60" w:line="280" w:lineRule="exact"/>
              <w:ind w:left="57"/>
              <w:rPr>
                <w:i/>
                <w:iCs/>
                <w:sz w:val="18"/>
                <w:szCs w:val="26"/>
                <w:lang w:bidi="ar-EG"/>
              </w:rPr>
            </w:pPr>
            <w:r w:rsidRPr="00CE7B6B">
              <w:rPr>
                <w:i/>
                <w:iCs/>
                <w:sz w:val="18"/>
                <w:szCs w:val="26"/>
                <w:rtl/>
                <w:lang w:bidi="ar-EG"/>
              </w:rPr>
              <w:t>المؤشرات - المساهمة بالعمل</w:t>
            </w:r>
          </w:p>
        </w:tc>
        <w:tc>
          <w:tcPr>
            <w:tcW w:w="1610" w:type="dxa"/>
            <w:tcBorders>
              <w:top w:val="single" w:sz="4" w:space="0" w:color="auto"/>
              <w:bottom w:val="single" w:sz="12" w:space="0" w:color="auto"/>
            </w:tcBorders>
            <w:vAlign w:val="bottom"/>
          </w:tcPr>
          <w:p w:rsidR="000B7434" w:rsidRPr="00CE7B6B" w:rsidRDefault="000B7434" w:rsidP="00CE7B6B">
            <w:pPr>
              <w:tabs>
                <w:tab w:val="left" w:pos="288"/>
                <w:tab w:val="left" w:pos="576"/>
                <w:tab w:val="left" w:pos="864"/>
                <w:tab w:val="left" w:pos="1152"/>
              </w:tabs>
              <w:spacing w:before="60" w:after="60" w:line="280" w:lineRule="exact"/>
              <w:ind w:left="57"/>
              <w:rPr>
                <w:i/>
                <w:iCs/>
                <w:sz w:val="18"/>
                <w:szCs w:val="26"/>
                <w:lang w:bidi="ar-EG"/>
              </w:rPr>
            </w:pPr>
            <w:r w:rsidRPr="00CE7B6B">
              <w:rPr>
                <w:i/>
                <w:iCs/>
                <w:sz w:val="18"/>
                <w:szCs w:val="26"/>
                <w:rtl/>
                <w:lang w:bidi="ar-EG"/>
              </w:rPr>
              <w:t>الوحدة</w:t>
            </w:r>
          </w:p>
        </w:tc>
        <w:tc>
          <w:tcPr>
            <w:tcW w:w="980" w:type="dxa"/>
            <w:tcBorders>
              <w:top w:val="single" w:sz="4" w:space="0" w:color="auto"/>
              <w:bottom w:val="single" w:sz="12" w:space="0" w:color="auto"/>
            </w:tcBorders>
            <w:vAlign w:val="bottom"/>
          </w:tcPr>
          <w:p w:rsidR="000B7434" w:rsidRPr="00CE7B6B" w:rsidRDefault="000B7434" w:rsidP="00CE7B6B">
            <w:pPr>
              <w:tabs>
                <w:tab w:val="left" w:pos="288"/>
                <w:tab w:val="left" w:pos="576"/>
                <w:tab w:val="left" w:pos="864"/>
                <w:tab w:val="left" w:pos="1152"/>
              </w:tabs>
              <w:spacing w:before="60" w:after="60" w:line="280" w:lineRule="exact"/>
              <w:ind w:left="57"/>
              <w:rPr>
                <w:i/>
                <w:iCs/>
                <w:sz w:val="18"/>
                <w:szCs w:val="26"/>
                <w:lang w:bidi="ar-EG"/>
              </w:rPr>
            </w:pPr>
            <w:r w:rsidRPr="00CE7B6B">
              <w:rPr>
                <w:i/>
                <w:iCs/>
                <w:sz w:val="18"/>
                <w:szCs w:val="26"/>
                <w:rtl/>
                <w:lang w:bidi="ar-EG"/>
              </w:rPr>
              <w:t>الذكور</w:t>
            </w:r>
          </w:p>
        </w:tc>
        <w:tc>
          <w:tcPr>
            <w:tcW w:w="910" w:type="dxa"/>
            <w:tcBorders>
              <w:top w:val="single" w:sz="4" w:space="0" w:color="auto"/>
              <w:bottom w:val="single" w:sz="12" w:space="0" w:color="auto"/>
            </w:tcBorders>
            <w:vAlign w:val="bottom"/>
          </w:tcPr>
          <w:p w:rsidR="000B7434" w:rsidRPr="00CE7B6B" w:rsidRDefault="000B7434" w:rsidP="00CE7B6B">
            <w:pPr>
              <w:tabs>
                <w:tab w:val="left" w:pos="288"/>
                <w:tab w:val="left" w:pos="576"/>
                <w:tab w:val="left" w:pos="864"/>
                <w:tab w:val="left" w:pos="1152"/>
              </w:tabs>
              <w:spacing w:before="60" w:after="60" w:line="280" w:lineRule="exact"/>
              <w:ind w:left="57"/>
              <w:rPr>
                <w:i/>
                <w:iCs/>
                <w:sz w:val="18"/>
                <w:szCs w:val="26"/>
                <w:lang w:bidi="ar-EG"/>
              </w:rPr>
            </w:pPr>
            <w:r w:rsidRPr="00CE7B6B">
              <w:rPr>
                <w:i/>
                <w:iCs/>
                <w:sz w:val="18"/>
                <w:szCs w:val="26"/>
                <w:rtl/>
                <w:lang w:bidi="ar-EG"/>
              </w:rPr>
              <w:t>الإناث</w:t>
            </w:r>
          </w:p>
        </w:tc>
      </w:tr>
      <w:tr w:rsidR="000B7434" w:rsidRPr="00927419" w:rsidTr="0059728F">
        <w:tblPrEx>
          <w:tblCellMar>
            <w:top w:w="0" w:type="dxa"/>
            <w:bottom w:w="0" w:type="dxa"/>
          </w:tblCellMar>
        </w:tblPrEx>
        <w:trPr>
          <w:cantSplit/>
        </w:trPr>
        <w:tc>
          <w:tcPr>
            <w:tcW w:w="961" w:type="dxa"/>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1</w:t>
            </w:r>
          </w:p>
        </w:tc>
        <w:tc>
          <w:tcPr>
            <w:tcW w:w="3896" w:type="dxa"/>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أنشطة اقتصادية خارج المنزل</w:t>
            </w:r>
          </w:p>
        </w:tc>
        <w:tc>
          <w:tcPr>
            <w:tcW w:w="1610" w:type="dxa"/>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ساعة في الأسبوع</w:t>
            </w:r>
          </w:p>
        </w:tc>
        <w:tc>
          <w:tcPr>
            <w:tcW w:w="980" w:type="dxa"/>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42.6</w:t>
            </w:r>
          </w:p>
        </w:tc>
        <w:tc>
          <w:tcPr>
            <w:tcW w:w="910" w:type="dxa"/>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36.3</w:t>
            </w:r>
          </w:p>
        </w:tc>
      </w:tr>
      <w:tr w:rsidR="000B7434" w:rsidRPr="00927419" w:rsidTr="0059728F">
        <w:tblPrEx>
          <w:tblCellMar>
            <w:top w:w="0" w:type="dxa"/>
            <w:bottom w:w="0" w:type="dxa"/>
          </w:tblCellMar>
        </w:tblPrEx>
        <w:trPr>
          <w:cantSplit/>
        </w:trPr>
        <w:tc>
          <w:tcPr>
            <w:tcW w:w="961" w:type="dxa"/>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2</w:t>
            </w:r>
          </w:p>
        </w:tc>
        <w:tc>
          <w:tcPr>
            <w:tcW w:w="3896" w:type="dxa"/>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أنشطة اقتصادية داخل المنزل</w:t>
            </w:r>
          </w:p>
        </w:tc>
        <w:tc>
          <w:tcPr>
            <w:tcW w:w="1610" w:type="dxa"/>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ساعة في الأسبوع</w:t>
            </w:r>
          </w:p>
        </w:tc>
        <w:tc>
          <w:tcPr>
            <w:tcW w:w="980" w:type="dxa"/>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46.5</w:t>
            </w:r>
          </w:p>
        </w:tc>
        <w:tc>
          <w:tcPr>
            <w:tcW w:w="910" w:type="dxa"/>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42.5</w:t>
            </w:r>
          </w:p>
        </w:tc>
      </w:tr>
      <w:tr w:rsidR="000B7434" w:rsidRPr="00927419" w:rsidTr="0059728F">
        <w:tblPrEx>
          <w:tblCellMar>
            <w:top w:w="0" w:type="dxa"/>
            <w:bottom w:w="0" w:type="dxa"/>
          </w:tblCellMar>
        </w:tblPrEx>
        <w:trPr>
          <w:cantSplit/>
        </w:trPr>
        <w:tc>
          <w:tcPr>
            <w:tcW w:w="961" w:type="dxa"/>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3</w:t>
            </w:r>
          </w:p>
        </w:tc>
        <w:tc>
          <w:tcPr>
            <w:tcW w:w="3896" w:type="dxa"/>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أعمال منزلية (غير مدفوعة الأجر)</w:t>
            </w:r>
          </w:p>
        </w:tc>
        <w:tc>
          <w:tcPr>
            <w:tcW w:w="1610" w:type="dxa"/>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ساعة في الأسبوع</w:t>
            </w:r>
          </w:p>
        </w:tc>
        <w:tc>
          <w:tcPr>
            <w:tcW w:w="980" w:type="dxa"/>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9.7</w:t>
            </w:r>
          </w:p>
        </w:tc>
        <w:tc>
          <w:tcPr>
            <w:tcW w:w="910" w:type="dxa"/>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25.1</w:t>
            </w:r>
          </w:p>
        </w:tc>
      </w:tr>
      <w:tr w:rsidR="000B7434" w:rsidRPr="00927419" w:rsidTr="0059728F">
        <w:tblPrEx>
          <w:tblCellMar>
            <w:top w:w="0" w:type="dxa"/>
            <w:bottom w:w="0" w:type="dxa"/>
          </w:tblCellMar>
        </w:tblPrEx>
        <w:trPr>
          <w:cantSplit/>
        </w:trPr>
        <w:tc>
          <w:tcPr>
            <w:tcW w:w="961" w:type="dxa"/>
            <w:tcBorders>
              <w:bottom w:val="single" w:sz="12" w:space="0" w:color="auto"/>
            </w:tcBorders>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4</w:t>
            </w:r>
          </w:p>
        </w:tc>
        <w:tc>
          <w:tcPr>
            <w:tcW w:w="3896" w:type="dxa"/>
            <w:tcBorders>
              <w:bottom w:val="single" w:sz="12" w:space="0" w:color="auto"/>
            </w:tcBorders>
            <w:vAlign w:val="bottom"/>
          </w:tcPr>
          <w:p w:rsidR="000B7434" w:rsidRPr="00CE7B6B" w:rsidRDefault="000B7434" w:rsidP="00CE7B6B">
            <w:pPr>
              <w:tabs>
                <w:tab w:val="left" w:pos="288"/>
                <w:tab w:val="left" w:pos="576"/>
                <w:tab w:val="left" w:pos="864"/>
                <w:tab w:val="left" w:pos="1152"/>
              </w:tabs>
              <w:spacing w:before="60" w:after="60" w:line="280" w:lineRule="exact"/>
              <w:ind w:left="57"/>
              <w:rPr>
                <w:rFonts w:hint="cs"/>
                <w:sz w:val="18"/>
                <w:szCs w:val="26"/>
                <w:rtl/>
              </w:rPr>
            </w:pPr>
            <w:r w:rsidRPr="00CE7B6B">
              <w:rPr>
                <w:sz w:val="18"/>
                <w:szCs w:val="26"/>
                <w:rtl/>
                <w:lang w:bidi="ar-EG"/>
              </w:rPr>
              <w:t>كلي (نشاط اقتصادي وعمل منزلي غير مدفوع</w:t>
            </w:r>
            <w:r w:rsidRPr="00CE7B6B">
              <w:rPr>
                <w:sz w:val="18"/>
                <w:szCs w:val="26"/>
                <w:rtl/>
              </w:rPr>
              <w:t> </w:t>
            </w:r>
            <w:r w:rsidRPr="00CE7B6B">
              <w:rPr>
                <w:sz w:val="18"/>
                <w:szCs w:val="26"/>
                <w:rtl/>
                <w:lang w:bidi="ar-EG"/>
              </w:rPr>
              <w:t>الأجر</w:t>
            </w:r>
            <w:r w:rsidR="00C8270E">
              <w:rPr>
                <w:rFonts w:hint="cs"/>
                <w:sz w:val="18"/>
                <w:szCs w:val="26"/>
                <w:rtl/>
                <w:lang w:bidi="ar-EG"/>
              </w:rPr>
              <w:t>)</w:t>
            </w:r>
          </w:p>
        </w:tc>
        <w:tc>
          <w:tcPr>
            <w:tcW w:w="1610" w:type="dxa"/>
            <w:tcBorders>
              <w:bottom w:val="single" w:sz="12" w:space="0" w:color="auto"/>
            </w:tcBorders>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ساعة في الأسبوع</w:t>
            </w:r>
          </w:p>
        </w:tc>
        <w:tc>
          <w:tcPr>
            <w:tcW w:w="980" w:type="dxa"/>
            <w:tcBorders>
              <w:bottom w:val="single" w:sz="12" w:space="0" w:color="auto"/>
            </w:tcBorders>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98.8</w:t>
            </w:r>
          </w:p>
        </w:tc>
        <w:tc>
          <w:tcPr>
            <w:tcW w:w="910" w:type="dxa"/>
            <w:tcBorders>
              <w:bottom w:val="single" w:sz="12" w:space="0" w:color="auto"/>
            </w:tcBorders>
            <w:vAlign w:val="bottom"/>
          </w:tcPr>
          <w:p w:rsidR="000B7434" w:rsidRPr="00CE7B6B" w:rsidRDefault="000B7434" w:rsidP="00CE7B6B">
            <w:pPr>
              <w:tabs>
                <w:tab w:val="left" w:pos="288"/>
                <w:tab w:val="left" w:pos="576"/>
                <w:tab w:val="left" w:pos="864"/>
                <w:tab w:val="left" w:pos="1152"/>
              </w:tabs>
              <w:spacing w:before="60" w:after="60" w:line="280" w:lineRule="exact"/>
              <w:ind w:left="57"/>
              <w:rPr>
                <w:sz w:val="18"/>
                <w:szCs w:val="26"/>
                <w:lang w:bidi="ar-EG"/>
              </w:rPr>
            </w:pPr>
            <w:r w:rsidRPr="00CE7B6B">
              <w:rPr>
                <w:sz w:val="18"/>
                <w:szCs w:val="26"/>
                <w:rtl/>
                <w:lang w:bidi="ar-EG"/>
              </w:rPr>
              <w:t>103.9</w:t>
            </w:r>
          </w:p>
        </w:tc>
      </w:tr>
    </w:tbl>
    <w:p w:rsidR="000B7434" w:rsidRPr="004F1C97" w:rsidRDefault="00CE7B6B" w:rsidP="004F1C97">
      <w:pPr>
        <w:pStyle w:val="SingleTxt"/>
        <w:spacing w:before="120" w:after="240" w:line="300" w:lineRule="exact"/>
        <w:ind w:left="1264" w:right="1264"/>
        <w:rPr>
          <w:rtl/>
          <w:lang w:bidi="ar-EG"/>
        </w:rPr>
      </w:pPr>
      <w:r>
        <w:rPr>
          <w:rFonts w:hint="cs"/>
          <w:rtl/>
          <w:lang w:bidi="ar-EG"/>
        </w:rPr>
        <w:t xml:space="preserve"> </w:t>
      </w:r>
      <w:r w:rsidR="000B7434" w:rsidRPr="003F4D7D">
        <w:rPr>
          <w:i/>
          <w:iCs/>
          <w:sz w:val="16"/>
          <w:szCs w:val="26"/>
          <w:rtl/>
          <w:lang w:bidi="ar-EG"/>
        </w:rPr>
        <w:t>المصدر</w:t>
      </w:r>
      <w:r w:rsidR="000B7434" w:rsidRPr="004F1C97">
        <w:rPr>
          <w:sz w:val="16"/>
          <w:szCs w:val="26"/>
          <w:rtl/>
          <w:lang w:bidi="ar-EG"/>
        </w:rPr>
        <w:t>:</w:t>
      </w:r>
      <w:r w:rsidR="004F1C97">
        <w:rPr>
          <w:rFonts w:hint="cs"/>
          <w:sz w:val="16"/>
          <w:szCs w:val="26"/>
          <w:rtl/>
          <w:lang w:bidi="ar-EG"/>
        </w:rPr>
        <w:t xml:space="preserve"> </w:t>
      </w:r>
      <w:r w:rsidR="000B7434" w:rsidRPr="004F1C97">
        <w:rPr>
          <w:sz w:val="16"/>
          <w:szCs w:val="26"/>
          <w:rtl/>
          <w:lang w:bidi="ar-EG"/>
        </w:rPr>
        <w:t xml:space="preserve"> الخطة ثلاثية السنوات المؤقتة (2007-2009)، لجنة التخطيط الوطني، كاتمندو.</w:t>
      </w:r>
    </w:p>
    <w:p w:rsidR="000B7434" w:rsidRDefault="000B7434" w:rsidP="0059728F">
      <w:pPr>
        <w:pStyle w:val="SingleTxtGA"/>
        <w:rPr>
          <w:rtl/>
          <w:lang w:bidi="ar-EG"/>
        </w:rPr>
      </w:pPr>
      <w:r>
        <w:rPr>
          <w:rtl/>
          <w:lang w:bidi="ar-EG"/>
        </w:rPr>
        <w:t>173-</w:t>
      </w:r>
      <w:r w:rsidR="0059728F">
        <w:rPr>
          <w:rFonts w:hint="cs"/>
          <w:rtl/>
          <w:lang w:bidi="ar-EG"/>
        </w:rPr>
        <w:tab/>
      </w:r>
      <w:r>
        <w:rPr>
          <w:rtl/>
          <w:lang w:bidi="ar-EG"/>
        </w:rPr>
        <w:t>ويتمثل أحد مؤشرات الحصول على الموارد في ملكية الأراضي وهذا مجال تتخلف فيه المرأة كثيرا</w:t>
      </w:r>
      <w:r w:rsidR="004F1C97">
        <w:rPr>
          <w:rFonts w:hint="cs"/>
          <w:rtl/>
          <w:lang w:bidi="ar-EG"/>
        </w:rPr>
        <w:t>ً</w:t>
      </w:r>
      <w:r>
        <w:rPr>
          <w:rtl/>
          <w:lang w:bidi="ar-EG"/>
        </w:rPr>
        <w:t>. ويبلغ الدخل الذي تحصّله المرأة النصف فقط مما يحصّله الرجل. وأحد التجاوزات في المساواة بين الجنسين يمكن أن يُشاهد في توزيع الأسر المعيشية حسب جنس رب الأسرة المعيشية أو رئيسها. ولا تشكل الأسر المعيشية التي ترأسها إناث سوى 14.9 في المائة من مجموع 4.17 مليون منزل. وعلاوة على ذلك فإن هناك 41.9 في المائة من مجموع الأسر المعيشية التي ترأسها إناث تعيش في منازل تملكها هي؛ أما البقية فتقطن في منازل مستأجرة أو غيرها. ومن حيث مستوى معيشة الأسرة المعيشية، تبَيَّن أن ما نسبته 14.6 في المائة فقط من الأسر المعيشية التي ترأسها إناث تعيش في منازل دائمة بينما نسبة الأسر المعيشية التي يرأسها ذكور والتي تعيش في مثل هذه المنازل هي 85.3 في المائة. ويلاحظ التفاوت بين الجنسين في ملكية المنازل والأراضي. ومن الجدير بالملاحظة أيضا أن عددا</w:t>
      </w:r>
      <w:r w:rsidR="0059728F">
        <w:rPr>
          <w:rFonts w:hint="cs"/>
          <w:rtl/>
          <w:lang w:bidi="ar-EG"/>
        </w:rPr>
        <w:t>ً</w:t>
      </w:r>
      <w:r>
        <w:rPr>
          <w:rtl/>
          <w:lang w:bidi="ar-EG"/>
        </w:rPr>
        <w:t xml:space="preserve"> قليلا</w:t>
      </w:r>
      <w:r w:rsidR="0059728F">
        <w:rPr>
          <w:rFonts w:hint="cs"/>
          <w:rtl/>
          <w:lang w:bidi="ar-EG"/>
        </w:rPr>
        <w:t>ً</w:t>
      </w:r>
      <w:r>
        <w:rPr>
          <w:rtl/>
          <w:lang w:bidi="ar-EG"/>
        </w:rPr>
        <w:t xml:space="preserve"> جدا</w:t>
      </w:r>
      <w:r w:rsidR="0059728F">
        <w:rPr>
          <w:rFonts w:hint="cs"/>
          <w:rtl/>
          <w:lang w:bidi="ar-EG"/>
        </w:rPr>
        <w:t>ً</w:t>
      </w:r>
      <w:r>
        <w:rPr>
          <w:rtl/>
          <w:lang w:bidi="ar-EG"/>
        </w:rPr>
        <w:t xml:space="preserve"> من النساء يملكن منازل أو أرضا</w:t>
      </w:r>
      <w:r w:rsidR="000C6FCD">
        <w:rPr>
          <w:rFonts w:hint="cs"/>
          <w:rtl/>
          <w:lang w:bidi="ar-EG"/>
        </w:rPr>
        <w:t>ً</w:t>
      </w:r>
      <w:r>
        <w:rPr>
          <w:rtl/>
          <w:lang w:bidi="ar-EG"/>
        </w:rPr>
        <w:t xml:space="preserve"> أو الاثنين معا</w:t>
      </w:r>
      <w:r w:rsidR="000C6FCD">
        <w:rPr>
          <w:rFonts w:hint="cs"/>
          <w:rtl/>
          <w:lang w:bidi="ar-EG"/>
        </w:rPr>
        <w:t>ً</w:t>
      </w:r>
      <w:r>
        <w:rPr>
          <w:rtl/>
          <w:lang w:bidi="ar-EG"/>
        </w:rPr>
        <w:t>.</w:t>
      </w:r>
    </w:p>
    <w:p w:rsidR="000B7434" w:rsidRDefault="000B7434" w:rsidP="000C6FCD">
      <w:pPr>
        <w:pStyle w:val="SingleTxtGA"/>
        <w:rPr>
          <w:rtl/>
          <w:lang w:bidi="ar-EG"/>
        </w:rPr>
      </w:pPr>
      <w:r>
        <w:rPr>
          <w:rtl/>
          <w:lang w:bidi="ar-EG"/>
        </w:rPr>
        <w:t>174-</w:t>
      </w:r>
      <w:r w:rsidR="0059728F">
        <w:rPr>
          <w:rFonts w:hint="cs"/>
          <w:rtl/>
          <w:lang w:bidi="ar-EG"/>
        </w:rPr>
        <w:tab/>
      </w:r>
      <w:r>
        <w:rPr>
          <w:rtl/>
          <w:lang w:bidi="ar-EG"/>
        </w:rPr>
        <w:t>ومن حيث أنشطة الأسر المعيشية الصغيرة يعتبر التجاوز الجنساني غير هام تقريبا.</w:t>
      </w:r>
      <w:r w:rsidR="004F1C97">
        <w:rPr>
          <w:rFonts w:hint="cs"/>
          <w:rtl/>
          <w:lang w:bidi="ar-EG"/>
        </w:rPr>
        <w:t xml:space="preserve">    </w:t>
      </w:r>
      <w:r>
        <w:rPr>
          <w:rtl/>
          <w:lang w:bidi="ar-EG"/>
        </w:rPr>
        <w:t xml:space="preserve"> إلا أنه في حالة العمالة المدفوعة</w:t>
      </w:r>
      <w:r w:rsidR="000C6FCD">
        <w:rPr>
          <w:rtl/>
          <w:lang w:bidi="ar-EG"/>
        </w:rPr>
        <w:t xml:space="preserve"> الأجر، يشكل اشتراك الإناث </w:t>
      </w:r>
      <w:r w:rsidR="000C6FCD">
        <w:rPr>
          <w:rFonts w:hint="cs"/>
          <w:rtl/>
          <w:lang w:bidi="ar-EG"/>
        </w:rPr>
        <w:t>31.3</w:t>
      </w:r>
      <w:r>
        <w:rPr>
          <w:rtl/>
          <w:lang w:bidi="ar-EG"/>
        </w:rPr>
        <w:t xml:space="preserve"> في</w:t>
      </w:r>
      <w:r w:rsidR="008B03DA">
        <w:rPr>
          <w:rtl/>
          <w:lang w:bidi="ar-EG"/>
        </w:rPr>
        <w:t xml:space="preserve"> المائة (12.4 في المائة أميات و</w:t>
      </w:r>
      <w:r>
        <w:rPr>
          <w:rtl/>
          <w:lang w:bidi="ar-EG"/>
        </w:rPr>
        <w:t>18.9 في المائة يعرفن القراءة والكتابة) بينما يشكل اشتراك الذكور 68.9</w:t>
      </w:r>
      <w:r w:rsidR="0059728F">
        <w:rPr>
          <w:rFonts w:hint="cs"/>
          <w:rtl/>
          <w:lang w:bidi="ar-EG"/>
        </w:rPr>
        <w:t xml:space="preserve"> </w:t>
      </w:r>
      <w:r>
        <w:rPr>
          <w:rtl/>
          <w:lang w:bidi="ar-EG"/>
        </w:rPr>
        <w:t>في</w:t>
      </w:r>
      <w:r w:rsidR="0059728F">
        <w:rPr>
          <w:rFonts w:hint="cs"/>
          <w:rtl/>
          <w:lang w:bidi="ar-EG"/>
        </w:rPr>
        <w:t xml:space="preserve"> </w:t>
      </w:r>
      <w:r>
        <w:rPr>
          <w:rtl/>
          <w:lang w:bidi="ar-EG"/>
        </w:rPr>
        <w:t>المائة (30 في المائة أميون و38.9 في المائة يعرفون القراءة والكتابة).</w:t>
      </w:r>
    </w:p>
    <w:p w:rsidR="000B7434" w:rsidRDefault="000B7434" w:rsidP="0059728F">
      <w:pPr>
        <w:pStyle w:val="SingleTxtGA"/>
        <w:rPr>
          <w:rtl/>
          <w:lang w:bidi="ar-EG"/>
        </w:rPr>
      </w:pPr>
      <w:r>
        <w:rPr>
          <w:rtl/>
          <w:lang w:bidi="ar-EG"/>
        </w:rPr>
        <w:t>175-</w:t>
      </w:r>
      <w:r w:rsidR="0059728F">
        <w:rPr>
          <w:rFonts w:hint="cs"/>
          <w:rtl/>
          <w:lang w:bidi="ar-EG"/>
        </w:rPr>
        <w:tab/>
      </w:r>
      <w:r>
        <w:rPr>
          <w:rtl/>
          <w:lang w:bidi="ar-EG"/>
        </w:rPr>
        <w:t xml:space="preserve">أما نظام الأسرة في نيبال فهو منظم بصورة تقليدية بمفهوم الأسرة المشتركة </w:t>
      </w:r>
      <w:r w:rsidR="0059728F">
        <w:rPr>
          <w:rFonts w:hint="cs"/>
          <w:rtl/>
          <w:lang w:bidi="ar-EG"/>
        </w:rPr>
        <w:t xml:space="preserve">       </w:t>
      </w:r>
      <w:r>
        <w:rPr>
          <w:rtl/>
          <w:lang w:bidi="ar-EG"/>
        </w:rPr>
        <w:t xml:space="preserve">حيث القرارات الاجتماعية الاقتصادية يتخذها </w:t>
      </w:r>
      <w:r w:rsidR="00D62BA8">
        <w:rPr>
          <w:rtl/>
          <w:lang w:bidi="ar-EG"/>
        </w:rPr>
        <w:t>"</w:t>
      </w:r>
      <w:r>
        <w:rPr>
          <w:rtl/>
          <w:lang w:bidi="ar-EG"/>
        </w:rPr>
        <w:t>رئيس</w:t>
      </w:r>
      <w:r w:rsidR="00D62BA8">
        <w:rPr>
          <w:rtl/>
          <w:lang w:bidi="ar-EG"/>
        </w:rPr>
        <w:t>"</w:t>
      </w:r>
      <w:r>
        <w:rPr>
          <w:rtl/>
          <w:lang w:bidi="ar-EG"/>
        </w:rPr>
        <w:t xml:space="preserve"> الأسرة ولا يكون فيها للمرأة أي قول أو</w:t>
      </w:r>
      <w:r w:rsidR="0059728F">
        <w:rPr>
          <w:rFonts w:hint="cs"/>
          <w:rtl/>
          <w:lang w:bidi="ar-EG"/>
        </w:rPr>
        <w:t xml:space="preserve"> </w:t>
      </w:r>
      <w:r>
        <w:rPr>
          <w:rtl/>
          <w:lang w:bidi="ar-EG"/>
        </w:rPr>
        <w:t>رأي إلا بقدر محدود جدا</w:t>
      </w:r>
      <w:r w:rsidR="0059728F">
        <w:rPr>
          <w:rFonts w:hint="cs"/>
          <w:rtl/>
          <w:lang w:bidi="ar-EG"/>
        </w:rPr>
        <w:t>ً</w:t>
      </w:r>
      <w:r>
        <w:rPr>
          <w:rtl/>
          <w:lang w:bidi="ar-EG"/>
        </w:rPr>
        <w:t>. وهناك 14.9 في المائة من الأسر المعيشية التي ترأسها إناث تقطن في منازل دائمة بينما نسبة الأسر المعيشية التي يرأسها ذكور وتعيش في مثل هذه المنازل تبلغ 85.1 في المائة. ويظهر الجدول أدناه السلطة المحدودة للمرأة في اتخاذ القرار في</w:t>
      </w:r>
      <w:r w:rsidR="0059728F">
        <w:rPr>
          <w:rFonts w:hint="cs"/>
          <w:rtl/>
          <w:lang w:bidi="ar-EG"/>
        </w:rPr>
        <w:t xml:space="preserve"> </w:t>
      </w:r>
      <w:r>
        <w:rPr>
          <w:rtl/>
          <w:lang w:bidi="ar-EG"/>
        </w:rPr>
        <w:t>الأسر المعيشية:</w:t>
      </w:r>
    </w:p>
    <w:p w:rsidR="000B7434" w:rsidRDefault="004F1C97" w:rsidP="0059728F">
      <w:pPr>
        <w:pStyle w:val="SingleTxtGA"/>
        <w:spacing w:after="0"/>
        <w:rPr>
          <w:rFonts w:hint="cs"/>
          <w:rtl/>
          <w:lang w:bidi="ar-EG"/>
        </w:rPr>
      </w:pPr>
      <w:r>
        <w:rPr>
          <w:rtl/>
          <w:lang w:bidi="ar-EG"/>
        </w:rPr>
        <w:br w:type="page"/>
      </w:r>
      <w:r w:rsidR="000B7434" w:rsidRPr="00B84EF7">
        <w:rPr>
          <w:rtl/>
          <w:lang w:bidi="ar-EG"/>
        </w:rPr>
        <w:t>الجدول 19</w:t>
      </w:r>
    </w:p>
    <w:p w:rsidR="000B7434" w:rsidRPr="0059728F" w:rsidRDefault="000B7434" w:rsidP="0059728F">
      <w:pPr>
        <w:pStyle w:val="SingleTxtGA"/>
        <w:rPr>
          <w:b/>
          <w:bCs/>
          <w:rtl/>
          <w:lang w:bidi="ar-EG"/>
        </w:rPr>
      </w:pPr>
      <w:r w:rsidRPr="0059728F">
        <w:rPr>
          <w:b/>
          <w:bCs/>
          <w:rtl/>
          <w:lang w:bidi="ar-EG"/>
        </w:rPr>
        <w:t>رب الأسرة حسب الجنس</w:t>
      </w:r>
    </w:p>
    <w:tbl>
      <w:tblPr>
        <w:bidiVisual/>
        <w:tblW w:w="7320" w:type="dxa"/>
        <w:tblInd w:w="1267" w:type="dxa"/>
        <w:tblLayout w:type="fixed"/>
        <w:tblCellMar>
          <w:left w:w="0" w:type="dxa"/>
          <w:right w:w="0" w:type="dxa"/>
        </w:tblCellMar>
        <w:tblLook w:val="0000" w:firstRow="0" w:lastRow="0" w:firstColumn="0" w:lastColumn="0" w:noHBand="0" w:noVBand="0"/>
      </w:tblPr>
      <w:tblGrid>
        <w:gridCol w:w="4773"/>
        <w:gridCol w:w="1372"/>
        <w:gridCol w:w="1175"/>
      </w:tblGrid>
      <w:tr w:rsidR="000B7434" w:rsidRPr="00B84EF7" w:rsidTr="0059728F">
        <w:tblPrEx>
          <w:tblCellMar>
            <w:top w:w="0" w:type="dxa"/>
            <w:bottom w:w="0" w:type="dxa"/>
          </w:tblCellMar>
        </w:tblPrEx>
        <w:trPr>
          <w:cantSplit/>
          <w:tblHeader/>
        </w:trPr>
        <w:tc>
          <w:tcPr>
            <w:tcW w:w="4773" w:type="dxa"/>
            <w:tcBorders>
              <w:top w:val="single" w:sz="4" w:space="0" w:color="auto"/>
              <w:bottom w:val="single" w:sz="12"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i/>
                <w:iCs/>
                <w:sz w:val="18"/>
                <w:szCs w:val="26"/>
                <w:lang w:bidi="ar-EG"/>
              </w:rPr>
            </w:pPr>
            <w:r w:rsidRPr="0059728F">
              <w:rPr>
                <w:i/>
                <w:iCs/>
                <w:sz w:val="18"/>
                <w:szCs w:val="26"/>
                <w:rtl/>
                <w:lang w:bidi="ar-EG"/>
              </w:rPr>
              <w:t>البيان</w:t>
            </w:r>
          </w:p>
        </w:tc>
        <w:tc>
          <w:tcPr>
            <w:tcW w:w="1372" w:type="dxa"/>
            <w:tcBorders>
              <w:top w:val="single" w:sz="4" w:space="0" w:color="auto"/>
              <w:bottom w:val="single" w:sz="12"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i/>
                <w:iCs/>
                <w:sz w:val="18"/>
                <w:szCs w:val="26"/>
                <w:lang w:bidi="ar-EG"/>
              </w:rPr>
            </w:pPr>
            <w:r w:rsidRPr="0059728F">
              <w:rPr>
                <w:i/>
                <w:iCs/>
                <w:sz w:val="18"/>
                <w:szCs w:val="26"/>
                <w:rtl/>
                <w:lang w:bidi="ar-EG"/>
              </w:rPr>
              <w:t>العدد</w:t>
            </w:r>
          </w:p>
        </w:tc>
        <w:tc>
          <w:tcPr>
            <w:tcW w:w="1175" w:type="dxa"/>
            <w:tcBorders>
              <w:top w:val="single" w:sz="4" w:space="0" w:color="auto"/>
              <w:bottom w:val="single" w:sz="12"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i/>
                <w:iCs/>
                <w:sz w:val="18"/>
                <w:szCs w:val="26"/>
                <w:lang w:bidi="ar-EG"/>
              </w:rPr>
            </w:pPr>
            <w:r w:rsidRPr="0059728F">
              <w:rPr>
                <w:i/>
                <w:iCs/>
                <w:sz w:val="18"/>
                <w:szCs w:val="26"/>
                <w:rtl/>
                <w:lang w:bidi="ar-EG"/>
              </w:rPr>
              <w:t>النسبة المئوية</w:t>
            </w:r>
          </w:p>
        </w:tc>
      </w:tr>
      <w:tr w:rsidR="000B7434" w:rsidRPr="00B84EF7" w:rsidTr="0059728F">
        <w:tblPrEx>
          <w:tblCellMar>
            <w:top w:w="0" w:type="dxa"/>
            <w:bottom w:w="0" w:type="dxa"/>
          </w:tblCellMar>
        </w:tblPrEx>
        <w:trPr>
          <w:cantSplit/>
        </w:trPr>
        <w:tc>
          <w:tcPr>
            <w:tcW w:w="4773" w:type="dxa"/>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رب الأسرة ذكر</w:t>
            </w:r>
          </w:p>
        </w:tc>
        <w:tc>
          <w:tcPr>
            <w:tcW w:w="1372" w:type="dxa"/>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390 553 3</w:t>
            </w:r>
          </w:p>
        </w:tc>
        <w:tc>
          <w:tcPr>
            <w:tcW w:w="1175" w:type="dxa"/>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85.1</w:t>
            </w:r>
          </w:p>
        </w:tc>
      </w:tr>
      <w:tr w:rsidR="000B7434" w:rsidRPr="00B84EF7" w:rsidTr="0059728F">
        <w:tblPrEx>
          <w:tblCellMar>
            <w:top w:w="0" w:type="dxa"/>
            <w:bottom w:w="0" w:type="dxa"/>
          </w:tblCellMar>
        </w:tblPrEx>
        <w:trPr>
          <w:cantSplit/>
        </w:trPr>
        <w:tc>
          <w:tcPr>
            <w:tcW w:w="4773" w:type="dxa"/>
            <w:tcBorders>
              <w:bottom w:val="single" w:sz="12"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رب الأسرة أنثى</w:t>
            </w:r>
          </w:p>
        </w:tc>
        <w:tc>
          <w:tcPr>
            <w:tcW w:w="1372" w:type="dxa"/>
            <w:tcBorders>
              <w:bottom w:val="single" w:sz="12"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984 620</w:t>
            </w:r>
          </w:p>
        </w:tc>
        <w:tc>
          <w:tcPr>
            <w:tcW w:w="1175" w:type="dxa"/>
            <w:tcBorders>
              <w:bottom w:val="single" w:sz="12"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14.9</w:t>
            </w:r>
          </w:p>
        </w:tc>
      </w:tr>
    </w:tbl>
    <w:p w:rsidR="000B7434" w:rsidRPr="0059728F" w:rsidRDefault="000B7434" w:rsidP="0059728F">
      <w:pPr>
        <w:pStyle w:val="SingleTxt"/>
        <w:tabs>
          <w:tab w:val="clear" w:pos="1267"/>
          <w:tab w:val="clear" w:pos="1930"/>
          <w:tab w:val="clear" w:pos="2592"/>
          <w:tab w:val="left" w:pos="2009"/>
        </w:tabs>
        <w:spacing w:before="120" w:after="240" w:line="300" w:lineRule="exact"/>
        <w:ind w:left="2013" w:right="1264" w:hanging="675"/>
        <w:rPr>
          <w:rFonts w:hint="cs"/>
          <w:sz w:val="16"/>
          <w:szCs w:val="26"/>
          <w:rtl/>
          <w:lang w:bidi="ar-EG"/>
        </w:rPr>
      </w:pPr>
      <w:r w:rsidRPr="0059728F">
        <w:rPr>
          <w:i/>
          <w:iCs/>
          <w:sz w:val="16"/>
          <w:szCs w:val="26"/>
          <w:rtl/>
          <w:lang w:bidi="ar-EG"/>
        </w:rPr>
        <w:t>المصدر:</w:t>
      </w:r>
      <w:r w:rsidR="0059728F" w:rsidRPr="0059728F">
        <w:rPr>
          <w:rFonts w:hint="cs"/>
          <w:sz w:val="16"/>
          <w:szCs w:val="26"/>
          <w:rtl/>
          <w:lang w:bidi="ar-EG"/>
        </w:rPr>
        <w:tab/>
      </w:r>
      <w:r w:rsidRPr="0059728F">
        <w:rPr>
          <w:sz w:val="16"/>
          <w:szCs w:val="26"/>
          <w:rtl/>
          <w:lang w:bidi="ar-EG"/>
        </w:rPr>
        <w:t>مكتب الإحصاء المركزي 2007 (مذكور في البيانات المفصلة جنسانيا</w:t>
      </w:r>
      <w:r w:rsidR="0059728F" w:rsidRPr="0059728F">
        <w:rPr>
          <w:rFonts w:hint="cs"/>
          <w:sz w:val="16"/>
          <w:szCs w:val="26"/>
          <w:rtl/>
          <w:lang w:bidi="ar-EG"/>
        </w:rPr>
        <w:t>ً</w:t>
      </w:r>
      <w:r w:rsidRPr="0059728F">
        <w:rPr>
          <w:sz w:val="16"/>
          <w:szCs w:val="26"/>
          <w:rtl/>
          <w:lang w:bidi="ar-EG"/>
        </w:rPr>
        <w:t>، اللجنة الوطنية للمرأة، 2008، الجدول 4، الصفحة 6)</w:t>
      </w:r>
      <w:r w:rsidR="0059728F">
        <w:rPr>
          <w:rFonts w:hint="cs"/>
          <w:sz w:val="16"/>
          <w:szCs w:val="26"/>
          <w:rtl/>
          <w:lang w:bidi="ar-EG"/>
        </w:rPr>
        <w:t>.</w:t>
      </w:r>
    </w:p>
    <w:p w:rsidR="000B7434" w:rsidRDefault="000B7434" w:rsidP="0035032D">
      <w:pPr>
        <w:pStyle w:val="SingleTxtGA"/>
        <w:rPr>
          <w:rtl/>
          <w:lang w:bidi="ar-EG"/>
        </w:rPr>
      </w:pPr>
      <w:r>
        <w:rPr>
          <w:rtl/>
          <w:lang w:bidi="ar-EG"/>
        </w:rPr>
        <w:t>176-</w:t>
      </w:r>
      <w:r w:rsidR="0059728F">
        <w:rPr>
          <w:rFonts w:hint="cs"/>
          <w:rtl/>
          <w:lang w:bidi="ar-EG"/>
        </w:rPr>
        <w:tab/>
      </w:r>
      <w:r>
        <w:rPr>
          <w:rtl/>
          <w:lang w:bidi="ar-EG"/>
        </w:rPr>
        <w:t xml:space="preserve">وفيما يتعلق بالبرنامج المتصل بتقديم الائتمان، في منتصف تموز/يوليه 2005، </w:t>
      </w:r>
      <w:r w:rsidR="0059728F">
        <w:rPr>
          <w:rFonts w:hint="cs"/>
          <w:rtl/>
          <w:lang w:bidi="ar-EG"/>
        </w:rPr>
        <w:t xml:space="preserve">      </w:t>
      </w:r>
      <w:r>
        <w:rPr>
          <w:rtl/>
          <w:lang w:bidi="ar-EG"/>
        </w:rPr>
        <w:t xml:space="preserve">كان برنامج تنمية المرأة التابع لمشروع تنمية صغار المزارعين قد نظم 000 431 امرأة في قرابة 000 48 مجموعة صرفت لها ائتمانات مبلغها التراكمي يصل إلى 21 مليون روبية. وتم تحويل مكتب المشروع الفرعي التابع لمشروع تنمية صغار المزارعين إلى تعاونية محدودة لصغار المزارعين. وهناك الآن 154 من هذه التعاونيات منشأة في 36 مقاطعة. والمبالغ المتراكمة المصروفة لها كقروض حتى أيار/مايو 2004 بلغت 2.2 </w:t>
      </w:r>
      <w:r w:rsidR="0035032D">
        <w:rPr>
          <w:rFonts w:hint="cs"/>
          <w:rtl/>
          <w:lang w:bidi="ar-EG"/>
        </w:rPr>
        <w:t>مليار</w:t>
      </w:r>
      <w:r>
        <w:rPr>
          <w:rtl/>
          <w:lang w:bidi="ar-EG"/>
        </w:rPr>
        <w:t xml:space="preserve"> روبية. أما المقترضون فإن الرجال يشكلون نسبة 59.4 في المائة منهم والنساء يمثلن 40.6 في المائة.</w:t>
      </w:r>
    </w:p>
    <w:p w:rsidR="000B7434" w:rsidRDefault="000B7434" w:rsidP="0059728F">
      <w:pPr>
        <w:pStyle w:val="SingleTxtGA"/>
        <w:rPr>
          <w:rtl/>
          <w:lang w:bidi="ar-EG"/>
        </w:rPr>
      </w:pPr>
      <w:r>
        <w:rPr>
          <w:rtl/>
          <w:lang w:bidi="ar-EG"/>
        </w:rPr>
        <w:t>177-</w:t>
      </w:r>
      <w:r w:rsidR="0059728F">
        <w:rPr>
          <w:rFonts w:hint="cs"/>
          <w:rtl/>
          <w:lang w:bidi="ar-EG"/>
        </w:rPr>
        <w:tab/>
      </w:r>
      <w:r>
        <w:rPr>
          <w:rtl/>
          <w:lang w:bidi="ar-EG"/>
        </w:rPr>
        <w:t>ويمكن أن توجز الحالة الاقتصادية المقارنة للمرأة النيبالية (في عامي 1996 و2004) في الجدول التالي:</w:t>
      </w:r>
    </w:p>
    <w:p w:rsidR="000B7434" w:rsidRDefault="000B7434" w:rsidP="0059728F">
      <w:pPr>
        <w:pStyle w:val="SingleTxtGA"/>
        <w:spacing w:after="0"/>
        <w:rPr>
          <w:rFonts w:hint="cs"/>
          <w:rtl/>
          <w:lang w:bidi="ar-EG"/>
        </w:rPr>
      </w:pPr>
      <w:r w:rsidRPr="00483497">
        <w:rPr>
          <w:rtl/>
          <w:lang w:bidi="ar-EG"/>
        </w:rPr>
        <w:t xml:space="preserve">الجدول 20 </w:t>
      </w:r>
    </w:p>
    <w:p w:rsidR="000B7434" w:rsidRPr="0059728F" w:rsidRDefault="000B7434" w:rsidP="0059728F">
      <w:pPr>
        <w:pStyle w:val="SingleTxtGA"/>
        <w:rPr>
          <w:b/>
          <w:bCs/>
          <w:rtl/>
          <w:lang w:bidi="ar-EG"/>
        </w:rPr>
      </w:pPr>
      <w:r w:rsidRPr="0059728F">
        <w:rPr>
          <w:b/>
          <w:bCs/>
          <w:rtl/>
          <w:lang w:bidi="ar-EG"/>
        </w:rPr>
        <w:t>الحالة الاقتصادية المقارنة ل</w:t>
      </w:r>
      <w:r w:rsidR="008B03DA">
        <w:rPr>
          <w:b/>
          <w:bCs/>
          <w:rtl/>
          <w:lang w:bidi="ar-EG"/>
        </w:rPr>
        <w:t>لمرأة النيبالية (في عامي 1996 و</w:t>
      </w:r>
      <w:r w:rsidRPr="0059728F">
        <w:rPr>
          <w:b/>
          <w:bCs/>
          <w:rtl/>
          <w:lang w:bidi="ar-EG"/>
        </w:rPr>
        <w:t>2004)</w:t>
      </w:r>
    </w:p>
    <w:tbl>
      <w:tblPr>
        <w:bidiVisual/>
        <w:tblW w:w="7111" w:type="dxa"/>
        <w:tblInd w:w="1267" w:type="dxa"/>
        <w:tblLayout w:type="fixed"/>
        <w:tblCellMar>
          <w:left w:w="0" w:type="dxa"/>
          <w:right w:w="0" w:type="dxa"/>
        </w:tblCellMar>
        <w:tblLook w:val="0000" w:firstRow="0" w:lastRow="0" w:firstColumn="0" w:lastColumn="0" w:noHBand="0" w:noVBand="0"/>
      </w:tblPr>
      <w:tblGrid>
        <w:gridCol w:w="4759"/>
        <w:gridCol w:w="1442"/>
        <w:gridCol w:w="910"/>
      </w:tblGrid>
      <w:tr w:rsidR="000B7434" w:rsidRPr="00503A9C" w:rsidTr="0059728F">
        <w:tblPrEx>
          <w:tblCellMar>
            <w:top w:w="0" w:type="dxa"/>
            <w:bottom w:w="0" w:type="dxa"/>
          </w:tblCellMar>
        </w:tblPrEx>
        <w:trPr>
          <w:cantSplit/>
          <w:tblHeader/>
        </w:trPr>
        <w:tc>
          <w:tcPr>
            <w:tcW w:w="4759" w:type="dxa"/>
            <w:tcBorders>
              <w:top w:val="single" w:sz="4" w:space="0" w:color="auto"/>
              <w:bottom w:val="single" w:sz="12"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i/>
                <w:iCs/>
                <w:sz w:val="18"/>
                <w:szCs w:val="26"/>
                <w:lang w:bidi="ar-EG"/>
              </w:rPr>
            </w:pPr>
            <w:r w:rsidRPr="0059728F">
              <w:rPr>
                <w:i/>
                <w:iCs/>
                <w:sz w:val="18"/>
                <w:szCs w:val="26"/>
                <w:rtl/>
                <w:lang w:bidi="ar-EG"/>
              </w:rPr>
              <w:t>المؤشر/السنة</w:t>
            </w:r>
          </w:p>
        </w:tc>
        <w:tc>
          <w:tcPr>
            <w:tcW w:w="1442" w:type="dxa"/>
            <w:tcBorders>
              <w:top w:val="single" w:sz="4" w:space="0" w:color="auto"/>
              <w:bottom w:val="single" w:sz="12"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i/>
                <w:iCs/>
                <w:sz w:val="18"/>
                <w:szCs w:val="26"/>
                <w:lang w:bidi="ar-EG"/>
              </w:rPr>
            </w:pPr>
            <w:r w:rsidRPr="0059728F">
              <w:rPr>
                <w:i/>
                <w:iCs/>
                <w:sz w:val="18"/>
                <w:szCs w:val="26"/>
                <w:rtl/>
                <w:lang w:bidi="ar-EG"/>
              </w:rPr>
              <w:t>1996</w:t>
            </w:r>
          </w:p>
        </w:tc>
        <w:tc>
          <w:tcPr>
            <w:tcW w:w="910" w:type="dxa"/>
            <w:tcBorders>
              <w:top w:val="single" w:sz="4" w:space="0" w:color="auto"/>
              <w:bottom w:val="single" w:sz="12"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i/>
                <w:iCs/>
                <w:sz w:val="18"/>
                <w:szCs w:val="26"/>
                <w:lang w:bidi="ar-EG"/>
              </w:rPr>
            </w:pPr>
            <w:r w:rsidRPr="0059728F">
              <w:rPr>
                <w:i/>
                <w:iCs/>
                <w:sz w:val="18"/>
                <w:szCs w:val="26"/>
                <w:rtl/>
                <w:lang w:bidi="ar-EG"/>
              </w:rPr>
              <w:t>2004</w:t>
            </w:r>
          </w:p>
        </w:tc>
      </w:tr>
      <w:tr w:rsidR="000B7434" w:rsidRPr="00503A9C" w:rsidTr="0059728F">
        <w:tblPrEx>
          <w:tblCellMar>
            <w:top w:w="0" w:type="dxa"/>
            <w:bottom w:w="0" w:type="dxa"/>
          </w:tblCellMar>
        </w:tblPrEx>
        <w:trPr>
          <w:cantSplit/>
        </w:trPr>
        <w:tc>
          <w:tcPr>
            <w:tcW w:w="4759" w:type="dxa"/>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حصة الفرد من القوة الشرائية المكافئة لدولار الولايات المتحدة</w:t>
            </w:r>
          </w:p>
        </w:tc>
        <w:tc>
          <w:tcPr>
            <w:tcW w:w="1442" w:type="dxa"/>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p>
        </w:tc>
        <w:tc>
          <w:tcPr>
            <w:tcW w:w="910" w:type="dxa"/>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p>
        </w:tc>
      </w:tr>
      <w:tr w:rsidR="000B7434" w:rsidRPr="00503A9C" w:rsidTr="0059728F">
        <w:tblPrEx>
          <w:tblCellMar>
            <w:top w:w="0" w:type="dxa"/>
            <w:bottom w:w="0" w:type="dxa"/>
          </w:tblCellMar>
        </w:tblPrEx>
        <w:trPr>
          <w:cantSplit/>
        </w:trPr>
        <w:tc>
          <w:tcPr>
            <w:tcW w:w="4759" w:type="dxa"/>
            <w:vAlign w:val="bottom"/>
          </w:tcPr>
          <w:p w:rsidR="000B7434" w:rsidRPr="0059728F" w:rsidRDefault="000B7434" w:rsidP="0059728F">
            <w:pPr>
              <w:tabs>
                <w:tab w:val="left" w:pos="448"/>
                <w:tab w:val="left" w:pos="864"/>
                <w:tab w:val="left" w:pos="1152"/>
              </w:tabs>
              <w:spacing w:before="60" w:after="60" w:line="280" w:lineRule="exact"/>
              <w:ind w:left="57"/>
              <w:rPr>
                <w:sz w:val="18"/>
                <w:szCs w:val="26"/>
                <w:lang w:bidi="ar-EG"/>
              </w:rPr>
            </w:pPr>
            <w:r w:rsidRPr="0059728F">
              <w:rPr>
                <w:sz w:val="18"/>
                <w:szCs w:val="26"/>
                <w:rtl/>
                <w:lang w:bidi="ar-EG"/>
              </w:rPr>
              <w:tab/>
              <w:t>الرجال</w:t>
            </w:r>
          </w:p>
        </w:tc>
        <w:tc>
          <w:tcPr>
            <w:tcW w:w="1442" w:type="dxa"/>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غير متاح</w:t>
            </w:r>
          </w:p>
        </w:tc>
        <w:tc>
          <w:tcPr>
            <w:tcW w:w="910" w:type="dxa"/>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766 1</w:t>
            </w:r>
          </w:p>
        </w:tc>
      </w:tr>
      <w:tr w:rsidR="000B7434" w:rsidRPr="00503A9C" w:rsidTr="00C8270E">
        <w:tblPrEx>
          <w:tblCellMar>
            <w:top w:w="0" w:type="dxa"/>
            <w:bottom w:w="0" w:type="dxa"/>
          </w:tblCellMar>
        </w:tblPrEx>
        <w:trPr>
          <w:cantSplit/>
        </w:trPr>
        <w:tc>
          <w:tcPr>
            <w:tcW w:w="4759" w:type="dxa"/>
            <w:tcBorders>
              <w:bottom w:val="single" w:sz="4" w:space="0" w:color="auto"/>
            </w:tcBorders>
            <w:vAlign w:val="bottom"/>
          </w:tcPr>
          <w:p w:rsidR="000B7434" w:rsidRPr="0059728F" w:rsidRDefault="000B7434" w:rsidP="0059728F">
            <w:pPr>
              <w:tabs>
                <w:tab w:val="left" w:pos="448"/>
                <w:tab w:val="left" w:pos="864"/>
                <w:tab w:val="left" w:pos="1152"/>
              </w:tabs>
              <w:spacing w:before="60" w:after="60" w:line="280" w:lineRule="exact"/>
              <w:ind w:left="57"/>
              <w:rPr>
                <w:sz w:val="18"/>
                <w:szCs w:val="26"/>
                <w:lang w:bidi="ar-EG"/>
              </w:rPr>
            </w:pPr>
            <w:r w:rsidRPr="0059728F">
              <w:rPr>
                <w:sz w:val="18"/>
                <w:szCs w:val="26"/>
                <w:rtl/>
                <w:lang w:bidi="ar-EG"/>
              </w:rPr>
              <w:tab/>
              <w:t>النساء</w:t>
            </w:r>
          </w:p>
        </w:tc>
        <w:tc>
          <w:tcPr>
            <w:tcW w:w="1442" w:type="dxa"/>
            <w:tcBorders>
              <w:bottom w:val="single" w:sz="4"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غير متاح</w:t>
            </w:r>
          </w:p>
        </w:tc>
        <w:tc>
          <w:tcPr>
            <w:tcW w:w="910" w:type="dxa"/>
            <w:tcBorders>
              <w:bottom w:val="single" w:sz="4"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891</w:t>
            </w:r>
          </w:p>
        </w:tc>
      </w:tr>
      <w:tr w:rsidR="000B7434" w:rsidRPr="00503A9C" w:rsidTr="00C8270E">
        <w:tblPrEx>
          <w:tblCellMar>
            <w:top w:w="0" w:type="dxa"/>
            <w:bottom w:w="0" w:type="dxa"/>
          </w:tblCellMar>
        </w:tblPrEx>
        <w:trPr>
          <w:cantSplit/>
        </w:trPr>
        <w:tc>
          <w:tcPr>
            <w:tcW w:w="4759" w:type="dxa"/>
            <w:tcBorders>
              <w:top w:val="single" w:sz="4"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الأجور الزراعية (بالأسعار الراهنة)</w:t>
            </w:r>
          </w:p>
        </w:tc>
        <w:tc>
          <w:tcPr>
            <w:tcW w:w="1442" w:type="dxa"/>
            <w:tcBorders>
              <w:top w:val="single" w:sz="4"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p>
        </w:tc>
        <w:tc>
          <w:tcPr>
            <w:tcW w:w="910" w:type="dxa"/>
            <w:tcBorders>
              <w:top w:val="single" w:sz="4"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p>
        </w:tc>
      </w:tr>
      <w:tr w:rsidR="000B7434" w:rsidRPr="00503A9C" w:rsidTr="00C8270E">
        <w:tblPrEx>
          <w:tblCellMar>
            <w:top w:w="0" w:type="dxa"/>
            <w:bottom w:w="0" w:type="dxa"/>
          </w:tblCellMar>
        </w:tblPrEx>
        <w:trPr>
          <w:cantSplit/>
        </w:trPr>
        <w:tc>
          <w:tcPr>
            <w:tcW w:w="4759" w:type="dxa"/>
            <w:vAlign w:val="bottom"/>
          </w:tcPr>
          <w:p w:rsidR="000B7434" w:rsidRPr="0059728F" w:rsidRDefault="000B7434" w:rsidP="0059728F">
            <w:pPr>
              <w:tabs>
                <w:tab w:val="left" w:pos="448"/>
                <w:tab w:val="left" w:pos="864"/>
                <w:tab w:val="left" w:pos="1152"/>
              </w:tabs>
              <w:spacing w:before="60" w:after="60" w:line="280" w:lineRule="exact"/>
              <w:ind w:left="57"/>
              <w:rPr>
                <w:sz w:val="18"/>
                <w:szCs w:val="26"/>
                <w:lang w:bidi="ar-EG"/>
              </w:rPr>
            </w:pPr>
            <w:r w:rsidRPr="0059728F">
              <w:rPr>
                <w:sz w:val="18"/>
                <w:szCs w:val="26"/>
                <w:rtl/>
                <w:lang w:bidi="ar-EG"/>
              </w:rPr>
              <w:tab/>
              <w:t>الرجال</w:t>
            </w:r>
          </w:p>
        </w:tc>
        <w:tc>
          <w:tcPr>
            <w:tcW w:w="1442" w:type="dxa"/>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غير متاح</w:t>
            </w:r>
          </w:p>
        </w:tc>
        <w:tc>
          <w:tcPr>
            <w:tcW w:w="910" w:type="dxa"/>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p>
        </w:tc>
      </w:tr>
      <w:tr w:rsidR="000B7434" w:rsidRPr="00503A9C" w:rsidTr="00C8270E">
        <w:tblPrEx>
          <w:tblCellMar>
            <w:top w:w="0" w:type="dxa"/>
            <w:bottom w:w="0" w:type="dxa"/>
          </w:tblCellMar>
        </w:tblPrEx>
        <w:trPr>
          <w:cantSplit/>
        </w:trPr>
        <w:tc>
          <w:tcPr>
            <w:tcW w:w="4759" w:type="dxa"/>
            <w:tcBorders>
              <w:bottom w:val="single" w:sz="4" w:space="0" w:color="auto"/>
            </w:tcBorders>
            <w:vAlign w:val="bottom"/>
          </w:tcPr>
          <w:p w:rsidR="000B7434" w:rsidRPr="0059728F" w:rsidRDefault="000B7434" w:rsidP="0059728F">
            <w:pPr>
              <w:tabs>
                <w:tab w:val="left" w:pos="448"/>
                <w:tab w:val="left" w:pos="864"/>
                <w:tab w:val="left" w:pos="1152"/>
              </w:tabs>
              <w:spacing w:before="60" w:after="60" w:line="280" w:lineRule="exact"/>
              <w:ind w:left="57"/>
              <w:rPr>
                <w:sz w:val="18"/>
                <w:szCs w:val="26"/>
                <w:lang w:bidi="ar-EG"/>
              </w:rPr>
            </w:pPr>
            <w:r w:rsidRPr="0059728F">
              <w:rPr>
                <w:sz w:val="18"/>
                <w:szCs w:val="26"/>
                <w:rtl/>
                <w:lang w:bidi="ar-EG"/>
              </w:rPr>
              <w:tab/>
              <w:t>النساء</w:t>
            </w:r>
          </w:p>
        </w:tc>
        <w:tc>
          <w:tcPr>
            <w:tcW w:w="1442" w:type="dxa"/>
            <w:tcBorders>
              <w:bottom w:val="single" w:sz="4"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غير متاح</w:t>
            </w:r>
          </w:p>
        </w:tc>
        <w:tc>
          <w:tcPr>
            <w:tcW w:w="910" w:type="dxa"/>
            <w:tcBorders>
              <w:bottom w:val="single" w:sz="4"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p>
        </w:tc>
      </w:tr>
      <w:tr w:rsidR="000B7434" w:rsidRPr="00503A9C" w:rsidTr="00C8270E">
        <w:tblPrEx>
          <w:tblCellMar>
            <w:top w:w="0" w:type="dxa"/>
            <w:bottom w:w="0" w:type="dxa"/>
          </w:tblCellMar>
        </w:tblPrEx>
        <w:trPr>
          <w:cantSplit/>
        </w:trPr>
        <w:tc>
          <w:tcPr>
            <w:tcW w:w="4759" w:type="dxa"/>
            <w:tcBorders>
              <w:top w:val="single" w:sz="4"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الأجور غير الزراعية (بروبيات نيبال) بالأسعار الراهنة</w:t>
            </w:r>
          </w:p>
        </w:tc>
        <w:tc>
          <w:tcPr>
            <w:tcW w:w="1442" w:type="dxa"/>
            <w:tcBorders>
              <w:top w:val="single" w:sz="4"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p>
        </w:tc>
        <w:tc>
          <w:tcPr>
            <w:tcW w:w="910" w:type="dxa"/>
            <w:tcBorders>
              <w:top w:val="single" w:sz="4"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p>
        </w:tc>
      </w:tr>
      <w:tr w:rsidR="000B7434" w:rsidRPr="00503A9C" w:rsidTr="00C8270E">
        <w:tblPrEx>
          <w:tblCellMar>
            <w:top w:w="0" w:type="dxa"/>
            <w:bottom w:w="0" w:type="dxa"/>
          </w:tblCellMar>
        </w:tblPrEx>
        <w:trPr>
          <w:cantSplit/>
        </w:trPr>
        <w:tc>
          <w:tcPr>
            <w:tcW w:w="4759" w:type="dxa"/>
            <w:vAlign w:val="bottom"/>
          </w:tcPr>
          <w:p w:rsidR="000B7434" w:rsidRPr="0059728F" w:rsidRDefault="000B7434" w:rsidP="0059728F">
            <w:pPr>
              <w:tabs>
                <w:tab w:val="left" w:pos="448"/>
                <w:tab w:val="left" w:pos="864"/>
                <w:tab w:val="left" w:pos="1152"/>
              </w:tabs>
              <w:spacing w:before="60" w:after="60" w:line="280" w:lineRule="exact"/>
              <w:ind w:left="57"/>
              <w:rPr>
                <w:sz w:val="18"/>
                <w:szCs w:val="26"/>
                <w:lang w:bidi="ar-EG"/>
              </w:rPr>
            </w:pPr>
            <w:r w:rsidRPr="0059728F">
              <w:rPr>
                <w:sz w:val="18"/>
                <w:szCs w:val="26"/>
                <w:rtl/>
                <w:lang w:bidi="ar-EG"/>
              </w:rPr>
              <w:tab/>
              <w:t>الرجال</w:t>
            </w:r>
          </w:p>
        </w:tc>
        <w:tc>
          <w:tcPr>
            <w:tcW w:w="1442" w:type="dxa"/>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76</w:t>
            </w:r>
          </w:p>
        </w:tc>
        <w:tc>
          <w:tcPr>
            <w:tcW w:w="910" w:type="dxa"/>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137</w:t>
            </w:r>
          </w:p>
        </w:tc>
      </w:tr>
      <w:tr w:rsidR="000B7434" w:rsidRPr="00503A9C" w:rsidTr="0059728F">
        <w:tblPrEx>
          <w:tblCellMar>
            <w:top w:w="0" w:type="dxa"/>
            <w:bottom w:w="0" w:type="dxa"/>
          </w:tblCellMar>
        </w:tblPrEx>
        <w:trPr>
          <w:cantSplit/>
        </w:trPr>
        <w:tc>
          <w:tcPr>
            <w:tcW w:w="4759" w:type="dxa"/>
            <w:tcBorders>
              <w:bottom w:val="single" w:sz="12" w:space="0" w:color="auto"/>
            </w:tcBorders>
            <w:vAlign w:val="bottom"/>
          </w:tcPr>
          <w:p w:rsidR="000B7434" w:rsidRPr="0059728F" w:rsidRDefault="000B7434" w:rsidP="0059728F">
            <w:pPr>
              <w:tabs>
                <w:tab w:val="left" w:pos="448"/>
                <w:tab w:val="left" w:pos="864"/>
                <w:tab w:val="left" w:pos="1152"/>
              </w:tabs>
              <w:spacing w:before="60" w:after="60" w:line="280" w:lineRule="exact"/>
              <w:ind w:left="57"/>
              <w:rPr>
                <w:sz w:val="18"/>
                <w:szCs w:val="26"/>
                <w:lang w:bidi="ar-EG"/>
              </w:rPr>
            </w:pPr>
            <w:r w:rsidRPr="0059728F">
              <w:rPr>
                <w:sz w:val="18"/>
                <w:szCs w:val="26"/>
                <w:rtl/>
                <w:lang w:bidi="ar-EG"/>
              </w:rPr>
              <w:tab/>
              <w:t>النساء</w:t>
            </w:r>
          </w:p>
        </w:tc>
        <w:tc>
          <w:tcPr>
            <w:tcW w:w="1442" w:type="dxa"/>
            <w:tcBorders>
              <w:bottom w:val="single" w:sz="12"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57</w:t>
            </w:r>
          </w:p>
        </w:tc>
        <w:tc>
          <w:tcPr>
            <w:tcW w:w="910" w:type="dxa"/>
            <w:tcBorders>
              <w:bottom w:val="single" w:sz="12" w:space="0" w:color="auto"/>
            </w:tcBorders>
            <w:vAlign w:val="bottom"/>
          </w:tcPr>
          <w:p w:rsidR="000B7434" w:rsidRPr="0059728F" w:rsidRDefault="000B7434" w:rsidP="0059728F">
            <w:pPr>
              <w:tabs>
                <w:tab w:val="left" w:pos="288"/>
                <w:tab w:val="left" w:pos="576"/>
                <w:tab w:val="left" w:pos="864"/>
                <w:tab w:val="left" w:pos="1152"/>
              </w:tabs>
              <w:spacing w:before="60" w:after="60" w:line="280" w:lineRule="exact"/>
              <w:ind w:left="57"/>
              <w:rPr>
                <w:sz w:val="18"/>
                <w:szCs w:val="26"/>
                <w:lang w:bidi="ar-EG"/>
              </w:rPr>
            </w:pPr>
            <w:r w:rsidRPr="0059728F">
              <w:rPr>
                <w:sz w:val="18"/>
                <w:szCs w:val="26"/>
                <w:rtl/>
                <w:lang w:bidi="ar-EG"/>
              </w:rPr>
              <w:t>101</w:t>
            </w:r>
          </w:p>
        </w:tc>
      </w:tr>
    </w:tbl>
    <w:p w:rsidR="000B7434" w:rsidRPr="0035032D" w:rsidRDefault="000B7434" w:rsidP="0035032D">
      <w:pPr>
        <w:pStyle w:val="SingleTxt"/>
        <w:tabs>
          <w:tab w:val="clear" w:pos="1267"/>
          <w:tab w:val="clear" w:pos="1930"/>
          <w:tab w:val="clear" w:pos="2592"/>
          <w:tab w:val="left" w:pos="2009"/>
        </w:tabs>
        <w:spacing w:before="120" w:after="240" w:line="300" w:lineRule="exact"/>
        <w:ind w:left="2013" w:right="1264" w:hanging="675"/>
        <w:rPr>
          <w:rFonts w:hint="cs"/>
          <w:sz w:val="16"/>
          <w:szCs w:val="26"/>
          <w:rtl/>
          <w:lang w:bidi="ar-EG"/>
        </w:rPr>
      </w:pPr>
      <w:r w:rsidRPr="0035032D">
        <w:rPr>
          <w:i/>
          <w:iCs/>
          <w:sz w:val="16"/>
          <w:szCs w:val="26"/>
          <w:rtl/>
          <w:lang w:bidi="ar-EG"/>
        </w:rPr>
        <w:t>المصدر</w:t>
      </w:r>
      <w:r w:rsidRPr="0035032D">
        <w:rPr>
          <w:sz w:val="16"/>
          <w:szCs w:val="26"/>
          <w:rtl/>
          <w:lang w:bidi="ar-EG"/>
        </w:rPr>
        <w:t>:</w:t>
      </w:r>
      <w:r w:rsidRPr="0035032D">
        <w:rPr>
          <w:rFonts w:hint="cs"/>
          <w:sz w:val="16"/>
          <w:szCs w:val="26"/>
          <w:rtl/>
          <w:lang w:bidi="ar-EG"/>
        </w:rPr>
        <w:tab/>
      </w:r>
      <w:r w:rsidRPr="0035032D">
        <w:rPr>
          <w:sz w:val="16"/>
          <w:szCs w:val="26"/>
          <w:rtl/>
          <w:lang w:bidi="ar-EG"/>
        </w:rPr>
        <w:t xml:space="preserve">برنامج الأمم المتحدة الإنمائي (تقرير </w:t>
      </w:r>
      <w:r w:rsidR="0035032D">
        <w:rPr>
          <w:rFonts w:hint="cs"/>
          <w:sz w:val="16"/>
          <w:szCs w:val="26"/>
          <w:rtl/>
          <w:lang w:bidi="ar-EG"/>
        </w:rPr>
        <w:t>التنمية البشرية)</w:t>
      </w:r>
      <w:r w:rsidR="0035032D">
        <w:rPr>
          <w:sz w:val="16"/>
          <w:szCs w:val="26"/>
          <w:rtl/>
          <w:lang w:bidi="ar-EG"/>
        </w:rPr>
        <w:t xml:space="preserve"> 2004 و</w:t>
      </w:r>
      <w:r w:rsidRPr="0035032D">
        <w:rPr>
          <w:sz w:val="16"/>
          <w:szCs w:val="26"/>
          <w:rtl/>
          <w:lang w:bidi="ar-EG"/>
        </w:rPr>
        <w:t>2005، مكتب الإحصاء المركزي لجنة التخطيط الوطني 2002:2004 لمعدلات الأجور. (وارد في صندوق الأمم المتحدة للسكان، المساواة الجنسانية وتمكين المرأة في نيبال، 2007)</w:t>
      </w:r>
      <w:r w:rsidR="0035032D">
        <w:rPr>
          <w:rFonts w:hint="cs"/>
          <w:sz w:val="16"/>
          <w:szCs w:val="26"/>
          <w:rtl/>
          <w:lang w:bidi="ar-EG"/>
        </w:rPr>
        <w:t>.</w:t>
      </w:r>
    </w:p>
    <w:p w:rsidR="000B7434" w:rsidRPr="00483497" w:rsidRDefault="000B7434" w:rsidP="0035032D">
      <w:pPr>
        <w:pStyle w:val="H23GA"/>
        <w:rPr>
          <w:rtl/>
          <w:lang w:bidi="ar-EG"/>
        </w:rPr>
      </w:pPr>
      <w:r>
        <w:rPr>
          <w:rtl/>
          <w:lang w:bidi="ar-EG"/>
        </w:rPr>
        <w:tab/>
      </w:r>
      <w:r>
        <w:rPr>
          <w:rtl/>
          <w:lang w:bidi="ar-EG"/>
        </w:rPr>
        <w:tab/>
      </w:r>
      <w:r w:rsidRPr="00483497">
        <w:rPr>
          <w:rtl/>
          <w:lang w:bidi="ar-EG"/>
        </w:rPr>
        <w:t>مبادرات الإصلاح</w:t>
      </w:r>
    </w:p>
    <w:p w:rsidR="000B7434" w:rsidRDefault="000B7434" w:rsidP="000B7434">
      <w:pPr>
        <w:pStyle w:val="SingleTxt"/>
        <w:rPr>
          <w:rtl/>
          <w:lang w:bidi="ar-EG"/>
        </w:rPr>
      </w:pPr>
      <w:r>
        <w:rPr>
          <w:rtl/>
          <w:lang w:bidi="ar-EG"/>
        </w:rPr>
        <w:t>178-</w:t>
      </w:r>
      <w:r>
        <w:rPr>
          <w:rtl/>
          <w:lang w:bidi="ar-EG"/>
        </w:rPr>
        <w:tab/>
        <w:t>اعتمدت الحكومة، وقد وضعت في اعتبارها المسائل الجنسانية بالنسبة إلى الرفاه الاجتماعي الاقتصادي للمرأة، خطة عمل لمعالجة المجالات التالية:</w:t>
      </w:r>
    </w:p>
    <w:p w:rsidR="000B7434" w:rsidRPr="004F1C97" w:rsidRDefault="000B7434" w:rsidP="0035032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w w:val="100"/>
          <w:kern w:val="0"/>
          <w:rtl/>
          <w:lang w:bidi="ar-EG"/>
        </w:rPr>
        <w:tab/>
        <w:t>مدى انتشار الأسر المعيشية التي ترأسها إناث والأسر المعيشية التي يرأسها ذكور في</w:t>
      </w:r>
      <w:r w:rsidR="0035032D" w:rsidRPr="004F1C97">
        <w:rPr>
          <w:rFonts w:hint="cs"/>
          <w:w w:val="100"/>
          <w:kern w:val="0"/>
          <w:rtl/>
          <w:lang w:bidi="ar-EG"/>
        </w:rPr>
        <w:t xml:space="preserve"> </w:t>
      </w:r>
      <w:r w:rsidRPr="004F1C97">
        <w:rPr>
          <w:w w:val="100"/>
          <w:kern w:val="0"/>
          <w:rtl/>
          <w:lang w:bidi="ar-EG"/>
        </w:rPr>
        <w:t xml:space="preserve">طيف الفقر </w:t>
      </w:r>
      <w:r w:rsidRPr="004F1C97">
        <w:rPr>
          <w:rFonts w:hint="cs"/>
          <w:w w:val="100"/>
          <w:kern w:val="0"/>
          <w:rtl/>
          <w:lang w:bidi="ar-EG"/>
        </w:rPr>
        <w:t>-</w:t>
      </w:r>
      <w:r w:rsidRPr="004F1C97">
        <w:rPr>
          <w:w w:val="100"/>
          <w:kern w:val="0"/>
          <w:rtl/>
          <w:lang w:bidi="ar-EG"/>
        </w:rPr>
        <w:t xml:space="preserve"> الثراء</w:t>
      </w:r>
      <w:r w:rsidR="0035032D" w:rsidRPr="004F1C97">
        <w:rPr>
          <w:rFonts w:hint="cs"/>
          <w:w w:val="100"/>
          <w:kern w:val="0"/>
          <w:rtl/>
          <w:lang w:bidi="ar-EG"/>
        </w:rPr>
        <w:t>؛</w:t>
      </w:r>
    </w:p>
    <w:p w:rsidR="000B7434" w:rsidRPr="004F1C97" w:rsidRDefault="000B7434" w:rsidP="0035032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w w:val="100"/>
          <w:kern w:val="0"/>
          <w:rtl/>
          <w:lang w:bidi="ar-EG"/>
        </w:rPr>
        <w:tab/>
        <w:t>مدى تمتع الأنثى بالملكية وبفرص الوصول إلى الأصول</w:t>
      </w:r>
      <w:r w:rsidR="0035032D" w:rsidRPr="004F1C97">
        <w:rPr>
          <w:rFonts w:hint="cs"/>
          <w:w w:val="100"/>
          <w:kern w:val="0"/>
          <w:rtl/>
          <w:lang w:bidi="ar-EG"/>
        </w:rPr>
        <w:t>؛</w:t>
      </w:r>
    </w:p>
    <w:p w:rsidR="000B7434" w:rsidRPr="004F1C97" w:rsidRDefault="000B7434" w:rsidP="0035032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w w:val="100"/>
          <w:kern w:val="0"/>
          <w:rtl/>
          <w:lang w:bidi="ar-EG"/>
        </w:rPr>
        <w:tab/>
        <w:t>الفجوة بين الجنسين في فرص الوصول إلى الأنشطة الاقتصادية المنزلية</w:t>
      </w:r>
      <w:r w:rsidR="0035032D" w:rsidRPr="004F1C97">
        <w:rPr>
          <w:rFonts w:hint="cs"/>
          <w:w w:val="100"/>
          <w:kern w:val="0"/>
          <w:rtl/>
          <w:lang w:bidi="ar-EG"/>
        </w:rPr>
        <w:t>؛</w:t>
      </w:r>
    </w:p>
    <w:p w:rsidR="000B7434" w:rsidRPr="004F1C97"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4F1C97">
        <w:rPr>
          <w:rFonts w:hint="cs"/>
          <w:w w:val="100"/>
          <w:kern w:val="0"/>
          <w:rtl/>
          <w:lang w:bidi="ar-EG"/>
        </w:rPr>
        <w:t>•</w:t>
      </w:r>
      <w:r w:rsidRPr="004F1C97">
        <w:rPr>
          <w:w w:val="100"/>
          <w:kern w:val="0"/>
          <w:rtl/>
          <w:lang w:bidi="ar-EG"/>
        </w:rPr>
        <w:tab/>
        <w:t>الفصل الحرفي والصناعي القائم على تحيز جنساني.</w:t>
      </w:r>
    </w:p>
    <w:p w:rsidR="000B7434" w:rsidRPr="0035032D" w:rsidRDefault="000B7434" w:rsidP="0035032D">
      <w:pPr>
        <w:pStyle w:val="SingleTxtGA"/>
        <w:rPr>
          <w:spacing w:val="-2"/>
          <w:rtl/>
          <w:lang w:bidi="ar-EG"/>
        </w:rPr>
      </w:pPr>
      <w:r w:rsidRPr="0035032D">
        <w:rPr>
          <w:spacing w:val="-2"/>
          <w:rtl/>
          <w:lang w:bidi="ar-EG"/>
        </w:rPr>
        <w:t>179-</w:t>
      </w:r>
      <w:r w:rsidR="0035032D" w:rsidRPr="0035032D">
        <w:rPr>
          <w:rFonts w:hint="cs"/>
          <w:spacing w:val="-2"/>
          <w:rtl/>
          <w:lang w:bidi="ar-EG"/>
        </w:rPr>
        <w:tab/>
      </w:r>
      <w:r w:rsidRPr="0035032D">
        <w:rPr>
          <w:spacing w:val="-2"/>
          <w:rtl/>
          <w:lang w:bidi="ar-EG"/>
        </w:rPr>
        <w:t>وأولي انتباه خاص للمرأة في مجتمعات الداليت، والاديباسي جانجاتي، والماديسي، وفي الفئة ذات الدخل المنخفض، وفي المناطق النائية، بما في ذلك كرمالي التي كانت مستثناة من جهود التنمية الاجتماعية</w:t>
      </w:r>
      <w:r w:rsidR="0035032D" w:rsidRPr="0035032D">
        <w:rPr>
          <w:rFonts w:hint="cs"/>
          <w:spacing w:val="-2"/>
          <w:rtl/>
          <w:lang w:bidi="ar-EG"/>
        </w:rPr>
        <w:t xml:space="preserve"> </w:t>
      </w:r>
      <w:r w:rsidRPr="0035032D">
        <w:rPr>
          <w:spacing w:val="-2"/>
          <w:rtl/>
          <w:lang w:bidi="ar-EG"/>
        </w:rPr>
        <w:t>-</w:t>
      </w:r>
      <w:r w:rsidR="0035032D" w:rsidRPr="0035032D">
        <w:rPr>
          <w:rFonts w:hint="cs"/>
          <w:spacing w:val="-2"/>
          <w:rtl/>
          <w:lang w:bidi="ar-EG"/>
        </w:rPr>
        <w:t xml:space="preserve"> </w:t>
      </w:r>
      <w:r w:rsidRPr="0035032D">
        <w:rPr>
          <w:spacing w:val="-2"/>
          <w:rtl/>
          <w:lang w:bidi="ar-EG"/>
        </w:rPr>
        <w:t>الاقتصادية الماضية. وبغية توفير الإغاثة لعامة الجمهور، بما في ذلك الفئات المعدمة والمحرومة، ولإدخال تحسينات في أحوالهم الاجتماعية</w:t>
      </w:r>
      <w:r w:rsidR="00C8270E">
        <w:rPr>
          <w:rFonts w:hint="cs"/>
          <w:spacing w:val="-2"/>
          <w:rtl/>
          <w:lang w:bidi="ar-EG"/>
        </w:rPr>
        <w:t xml:space="preserve"> </w:t>
      </w:r>
      <w:r w:rsidRPr="0035032D">
        <w:rPr>
          <w:spacing w:val="-2"/>
          <w:rtl/>
          <w:lang w:bidi="ar-EG"/>
        </w:rPr>
        <w:t>-</w:t>
      </w:r>
      <w:r w:rsidR="00C8270E">
        <w:rPr>
          <w:rFonts w:hint="cs"/>
          <w:spacing w:val="-2"/>
          <w:rtl/>
          <w:lang w:bidi="ar-EG"/>
        </w:rPr>
        <w:t xml:space="preserve"> </w:t>
      </w:r>
      <w:r w:rsidRPr="0035032D">
        <w:rPr>
          <w:spacing w:val="-2"/>
          <w:rtl/>
          <w:lang w:bidi="ar-EG"/>
        </w:rPr>
        <w:t>الاقتصادية، اعتمدت الخطة الثلاثية المؤقتة سياسات وبرامج لسد هذه الفجوات. والخطة الثلاثية واضحة فيما يتعلق بتحسين كفالة فرص وصول المرأة إلى الموارد الطبيعية وسيطرتها عليها بغية تمكينها</w:t>
      </w:r>
      <w:r w:rsidR="0035032D" w:rsidRPr="0035032D">
        <w:rPr>
          <w:rFonts w:hint="cs"/>
          <w:spacing w:val="-2"/>
          <w:rtl/>
          <w:lang w:bidi="ar-EG"/>
        </w:rPr>
        <w:t xml:space="preserve"> </w:t>
      </w:r>
      <w:r w:rsidRPr="0035032D">
        <w:rPr>
          <w:spacing w:val="-2"/>
          <w:rtl/>
          <w:lang w:bidi="ar-EG"/>
        </w:rPr>
        <w:t>الاقتصادي.</w:t>
      </w:r>
    </w:p>
    <w:p w:rsidR="000B7434" w:rsidRDefault="000B7434" w:rsidP="0035032D">
      <w:pPr>
        <w:pStyle w:val="SingleTxtGA"/>
        <w:rPr>
          <w:rtl/>
          <w:lang w:bidi="ar-EG"/>
        </w:rPr>
      </w:pPr>
      <w:r>
        <w:rPr>
          <w:rtl/>
          <w:lang w:bidi="ar-EG"/>
        </w:rPr>
        <w:t>180-</w:t>
      </w:r>
      <w:r w:rsidR="0035032D">
        <w:rPr>
          <w:rFonts w:hint="cs"/>
          <w:rtl/>
          <w:lang w:bidi="ar-EG"/>
        </w:rPr>
        <w:tab/>
      </w:r>
      <w:r>
        <w:rPr>
          <w:rtl/>
          <w:lang w:bidi="ar-EG"/>
        </w:rPr>
        <w:t>وحدث تقدم يدعو إلى التشج</w:t>
      </w:r>
      <w:r w:rsidR="00C8270E">
        <w:rPr>
          <w:rFonts w:hint="cs"/>
          <w:rtl/>
          <w:lang w:bidi="ar-EG"/>
        </w:rPr>
        <w:t>ي</w:t>
      </w:r>
      <w:r>
        <w:rPr>
          <w:rtl/>
          <w:lang w:bidi="ar-EG"/>
        </w:rPr>
        <w:t>ع في برامج التوفير وتقديم الائتمان للتمكين الاقتصادي والاجتماعي للمرأة. وأُدخل المنظورُ الجنساني الآن في البيئة الاقتصادية العامة، والعملية الإنمائية، وفي الميزانية، وفي رسم السياسة العامة.</w:t>
      </w:r>
    </w:p>
    <w:p w:rsidR="000B7434" w:rsidRDefault="000B7434" w:rsidP="0035032D">
      <w:pPr>
        <w:pStyle w:val="SingleTxtGA"/>
        <w:rPr>
          <w:rtl/>
          <w:lang w:bidi="ar-EG"/>
        </w:rPr>
      </w:pPr>
      <w:r>
        <w:rPr>
          <w:rtl/>
          <w:lang w:bidi="ar-EG"/>
        </w:rPr>
        <w:t>181-</w:t>
      </w:r>
      <w:r w:rsidR="0035032D">
        <w:rPr>
          <w:rFonts w:hint="cs"/>
          <w:rtl/>
          <w:lang w:bidi="ar-EG"/>
        </w:rPr>
        <w:tab/>
      </w:r>
      <w:r>
        <w:rPr>
          <w:rtl/>
          <w:lang w:bidi="ar-EG"/>
        </w:rPr>
        <w:t>ويستهدف برنامج الحكومة توفير الرفاه للفئات المحرومة، والفئات التي تعيش في</w:t>
      </w:r>
      <w:r w:rsidR="0035032D">
        <w:rPr>
          <w:rFonts w:hint="cs"/>
          <w:rtl/>
          <w:lang w:bidi="ar-EG"/>
        </w:rPr>
        <w:t xml:space="preserve"> </w:t>
      </w:r>
      <w:r>
        <w:rPr>
          <w:rtl/>
          <w:lang w:bidi="ar-EG"/>
        </w:rPr>
        <w:t>فقر مدقع، وللداليت الذين لا أراضي لهم، وللفئات المهمشة، ولنساء طائفة الماديسي. وسوف ينفذ برنامج التمكين الاقتصادي في 40 مقاطعة. وسوف يشمل توزيع مخصصات الميزانية للسنة المالية 2007-2008 هذا البرنامج بوصفه برنامجاً يحظى بأولوية خاصة. وتم جعل ترتيبات الضمان الاجتماعي نافذة اعتبارا</w:t>
      </w:r>
      <w:r w:rsidR="00C8270E">
        <w:rPr>
          <w:rFonts w:hint="cs"/>
          <w:rtl/>
          <w:lang w:bidi="ar-EG"/>
        </w:rPr>
        <w:t>ً</w:t>
      </w:r>
      <w:r>
        <w:rPr>
          <w:rtl/>
          <w:lang w:bidi="ar-EG"/>
        </w:rPr>
        <w:t xml:space="preserve"> من 17 أيلول/سبتمبر 2008 على النحو</w:t>
      </w:r>
      <w:r w:rsidR="0035032D">
        <w:rPr>
          <w:rFonts w:hint="cs"/>
          <w:rtl/>
          <w:lang w:bidi="ar-EG"/>
        </w:rPr>
        <w:t xml:space="preserve"> </w:t>
      </w:r>
      <w:r>
        <w:rPr>
          <w:rtl/>
          <w:lang w:bidi="ar-EG"/>
        </w:rPr>
        <w:t>التالي:</w:t>
      </w:r>
    </w:p>
    <w:p w:rsidR="000B7434" w:rsidRPr="004F1C97" w:rsidRDefault="000B7434" w:rsidP="0035032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w w:val="100"/>
          <w:kern w:val="0"/>
          <w:rtl/>
          <w:lang w:bidi="ar-EG"/>
        </w:rPr>
        <w:tab/>
        <w:t>مبلغ 500 روبية شهريا</w:t>
      </w:r>
      <w:r w:rsidR="00C8270E">
        <w:rPr>
          <w:rFonts w:hint="cs"/>
          <w:w w:val="100"/>
          <w:kern w:val="0"/>
          <w:rtl/>
          <w:lang w:bidi="ar-EG"/>
        </w:rPr>
        <w:t>ً</w:t>
      </w:r>
      <w:r w:rsidRPr="004F1C97">
        <w:rPr>
          <w:w w:val="100"/>
          <w:kern w:val="0"/>
          <w:rtl/>
          <w:lang w:bidi="ar-EG"/>
        </w:rPr>
        <w:t xml:space="preserve"> لكل فئات العمر في العرقيات المهددة بالخطر</w:t>
      </w:r>
      <w:r w:rsidR="0035032D" w:rsidRPr="004F1C97">
        <w:rPr>
          <w:rFonts w:hint="cs"/>
          <w:w w:val="100"/>
          <w:kern w:val="0"/>
          <w:rtl/>
          <w:lang w:bidi="ar-EG"/>
        </w:rPr>
        <w:t>؛</w:t>
      </w:r>
    </w:p>
    <w:p w:rsidR="000B7434" w:rsidRPr="004F1C97" w:rsidRDefault="000B7434" w:rsidP="0035032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w w:val="100"/>
          <w:kern w:val="0"/>
          <w:rtl/>
          <w:lang w:bidi="ar-EG"/>
        </w:rPr>
        <w:tab/>
        <w:t>مبلغ 500 روبية شهريا</w:t>
      </w:r>
      <w:r w:rsidR="00C8270E">
        <w:rPr>
          <w:rFonts w:hint="cs"/>
          <w:w w:val="100"/>
          <w:kern w:val="0"/>
          <w:rtl/>
          <w:lang w:bidi="ar-EG"/>
        </w:rPr>
        <w:t>ً</w:t>
      </w:r>
      <w:r w:rsidRPr="004F1C97">
        <w:rPr>
          <w:w w:val="100"/>
          <w:kern w:val="0"/>
          <w:rtl/>
          <w:lang w:bidi="ar-EG"/>
        </w:rPr>
        <w:t xml:space="preserve"> </w:t>
      </w:r>
      <w:proofErr w:type="spellStart"/>
      <w:r w:rsidRPr="004F1C97">
        <w:rPr>
          <w:w w:val="100"/>
          <w:kern w:val="0"/>
          <w:rtl/>
          <w:lang w:bidi="ar-EG"/>
        </w:rPr>
        <w:t>للداليت</w:t>
      </w:r>
      <w:proofErr w:type="spellEnd"/>
      <w:r w:rsidRPr="004F1C97">
        <w:rPr>
          <w:w w:val="100"/>
          <w:kern w:val="0"/>
          <w:rtl/>
          <w:lang w:bidi="ar-EG"/>
        </w:rPr>
        <w:t>، والنساء غير المتزوجات والأشخاص الذين هم فوق 60 سنة من العمر في منطقة كارنالي</w:t>
      </w:r>
      <w:r w:rsidR="0035032D" w:rsidRPr="004F1C97">
        <w:rPr>
          <w:rFonts w:hint="cs"/>
          <w:w w:val="100"/>
          <w:kern w:val="0"/>
          <w:rtl/>
          <w:lang w:bidi="ar-EG"/>
        </w:rPr>
        <w:t>؛</w:t>
      </w:r>
    </w:p>
    <w:p w:rsidR="000B7434" w:rsidRPr="004F1C97" w:rsidRDefault="000B7434" w:rsidP="0035032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w w:val="100"/>
          <w:kern w:val="0"/>
          <w:rtl/>
          <w:lang w:bidi="ar-EG"/>
        </w:rPr>
        <w:tab/>
        <w:t>مبلغ 500 روبية شهريا</w:t>
      </w:r>
      <w:r w:rsidR="00C8270E">
        <w:rPr>
          <w:rFonts w:hint="cs"/>
          <w:w w:val="100"/>
          <w:kern w:val="0"/>
          <w:rtl/>
          <w:lang w:bidi="ar-EG"/>
        </w:rPr>
        <w:t>ً</w:t>
      </w:r>
      <w:r w:rsidRPr="004F1C97">
        <w:rPr>
          <w:w w:val="100"/>
          <w:kern w:val="0"/>
          <w:rtl/>
          <w:lang w:bidi="ar-EG"/>
        </w:rPr>
        <w:t xml:space="preserve"> لجميع المواطنين الذين تخطوا 70 سنة من العمر</w:t>
      </w:r>
      <w:r w:rsidR="0035032D" w:rsidRPr="004F1C97">
        <w:rPr>
          <w:rFonts w:hint="cs"/>
          <w:w w:val="100"/>
          <w:kern w:val="0"/>
          <w:rtl/>
          <w:lang w:bidi="ar-EG"/>
        </w:rPr>
        <w:t>؛</w:t>
      </w:r>
    </w:p>
    <w:p w:rsidR="000B7434" w:rsidRPr="004F1C97" w:rsidRDefault="000B7434" w:rsidP="0035032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F1C97">
        <w:rPr>
          <w:rFonts w:hint="cs"/>
          <w:w w:val="100"/>
          <w:kern w:val="0"/>
          <w:rtl/>
          <w:lang w:bidi="ar-EG"/>
        </w:rPr>
        <w:t>•</w:t>
      </w:r>
      <w:r w:rsidRPr="004F1C97">
        <w:rPr>
          <w:w w:val="100"/>
          <w:kern w:val="0"/>
          <w:rtl/>
          <w:lang w:bidi="ar-EG"/>
        </w:rPr>
        <w:tab/>
        <w:t>كما أن الحكومة زادت البدلات الشهرية للأشخاص المكفوفين. وسوف يقدم مبلغ شهري قدره 000 1 روبية للأشخاص المعاقين كليا</w:t>
      </w:r>
      <w:r w:rsidR="00C8270E">
        <w:rPr>
          <w:rFonts w:hint="cs"/>
          <w:w w:val="100"/>
          <w:kern w:val="0"/>
          <w:rtl/>
          <w:lang w:bidi="ar-EG"/>
        </w:rPr>
        <w:t>ً</w:t>
      </w:r>
      <w:r w:rsidRPr="004F1C97">
        <w:rPr>
          <w:w w:val="100"/>
          <w:kern w:val="0"/>
          <w:rtl/>
          <w:lang w:bidi="ar-EG"/>
        </w:rPr>
        <w:t xml:space="preserve"> ومبلغ 300 روبية شهريا</w:t>
      </w:r>
      <w:r w:rsidR="0035032D" w:rsidRPr="004F1C97">
        <w:rPr>
          <w:rFonts w:hint="cs"/>
          <w:w w:val="100"/>
          <w:kern w:val="0"/>
          <w:rtl/>
          <w:lang w:bidi="ar-EG"/>
        </w:rPr>
        <w:t>ً</w:t>
      </w:r>
      <w:r w:rsidRPr="004F1C97">
        <w:rPr>
          <w:w w:val="100"/>
          <w:kern w:val="0"/>
          <w:rtl/>
          <w:lang w:bidi="ar-EG"/>
        </w:rPr>
        <w:t xml:space="preserve"> للأشخاص المعاقين جزئيا</w:t>
      </w:r>
      <w:r w:rsidR="0035032D" w:rsidRPr="004F1C97">
        <w:rPr>
          <w:rFonts w:hint="cs"/>
          <w:w w:val="100"/>
          <w:kern w:val="0"/>
          <w:rtl/>
          <w:lang w:bidi="ar-EG"/>
        </w:rPr>
        <w:t>ً؛</w:t>
      </w:r>
    </w:p>
    <w:p w:rsidR="000B7434"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tl/>
          <w:lang w:bidi="ar-EG"/>
        </w:rPr>
      </w:pPr>
      <w:r>
        <w:rPr>
          <w:rFonts w:hint="cs"/>
          <w:rtl/>
          <w:lang w:bidi="ar-EG"/>
        </w:rPr>
        <w:t>•</w:t>
      </w:r>
      <w:r>
        <w:rPr>
          <w:rtl/>
          <w:lang w:bidi="ar-EG"/>
        </w:rPr>
        <w:tab/>
        <w:t>وإلى جانب النساء غير المتزوجات، سوف تفيد الميزانية النساء المتقدمات في السن، والنساء في العرقيات المهددة بالخطر، وذوات الإعاقات.</w:t>
      </w:r>
    </w:p>
    <w:p w:rsidR="000B7434" w:rsidRPr="00C81D66" w:rsidRDefault="000B7434" w:rsidP="0035032D">
      <w:pPr>
        <w:pStyle w:val="H23GA"/>
        <w:rPr>
          <w:rtl/>
          <w:lang w:bidi="ar-EG"/>
        </w:rPr>
      </w:pPr>
      <w:r>
        <w:rPr>
          <w:rtl/>
          <w:lang w:bidi="ar-EG"/>
        </w:rPr>
        <w:tab/>
      </w:r>
      <w:r>
        <w:rPr>
          <w:rtl/>
          <w:lang w:bidi="ar-EG"/>
        </w:rPr>
        <w:tab/>
      </w:r>
      <w:r w:rsidRPr="00C81D66">
        <w:rPr>
          <w:rtl/>
          <w:lang w:bidi="ar-EG"/>
        </w:rPr>
        <w:t>تحديات المستقبل</w:t>
      </w:r>
    </w:p>
    <w:p w:rsidR="000B7434" w:rsidRDefault="000B7434" w:rsidP="0035032D">
      <w:pPr>
        <w:pStyle w:val="SingleTxtGA"/>
        <w:rPr>
          <w:rtl/>
          <w:lang w:bidi="ar-EG"/>
        </w:rPr>
      </w:pPr>
      <w:r>
        <w:rPr>
          <w:rtl/>
          <w:lang w:bidi="ar-EG"/>
        </w:rPr>
        <w:t>182-</w:t>
      </w:r>
      <w:r w:rsidR="0035032D">
        <w:rPr>
          <w:rFonts w:hint="cs"/>
          <w:rtl/>
          <w:lang w:bidi="ar-EG"/>
        </w:rPr>
        <w:tab/>
      </w:r>
      <w:r>
        <w:rPr>
          <w:rtl/>
          <w:lang w:bidi="ar-EG"/>
        </w:rPr>
        <w:t>تقر الخطة الثلاثية السنوات المؤقتة بالتحديات التالية:</w:t>
      </w:r>
    </w:p>
    <w:p w:rsidR="000B7434" w:rsidRPr="004A5545" w:rsidRDefault="000B7434" w:rsidP="002F1301">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A5545">
        <w:rPr>
          <w:rFonts w:hint="cs"/>
          <w:w w:val="100"/>
          <w:kern w:val="0"/>
          <w:rtl/>
          <w:lang w:bidi="ar-EG"/>
        </w:rPr>
        <w:t>•</w:t>
      </w:r>
      <w:r w:rsidRPr="004A5545">
        <w:rPr>
          <w:w w:val="100"/>
          <w:kern w:val="0"/>
          <w:rtl/>
          <w:lang w:bidi="ar-EG"/>
        </w:rPr>
        <w:tab/>
        <w:t xml:space="preserve">حالة المرأة قد أصبحت مزرية بسبب </w:t>
      </w:r>
      <w:r w:rsidR="002F1301">
        <w:rPr>
          <w:rFonts w:hint="cs"/>
          <w:w w:val="100"/>
          <w:kern w:val="0"/>
          <w:rtl/>
          <w:lang w:bidi="ar-EG"/>
        </w:rPr>
        <w:t xml:space="preserve">النزاع </w:t>
      </w:r>
      <w:r w:rsidRPr="004A5545">
        <w:rPr>
          <w:w w:val="100"/>
          <w:kern w:val="0"/>
          <w:rtl/>
          <w:lang w:bidi="ar-EG"/>
        </w:rPr>
        <w:t>المسلح والنزوح</w:t>
      </w:r>
      <w:r w:rsidR="0035032D" w:rsidRPr="004A5545">
        <w:rPr>
          <w:rFonts w:hint="cs"/>
          <w:w w:val="100"/>
          <w:kern w:val="0"/>
          <w:rtl/>
          <w:lang w:bidi="ar-EG"/>
        </w:rPr>
        <w:t>؛</w:t>
      </w:r>
    </w:p>
    <w:p w:rsidR="000B7434" w:rsidRPr="004A5545" w:rsidRDefault="000B7434" w:rsidP="0035032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A5545">
        <w:rPr>
          <w:rFonts w:hint="cs"/>
          <w:w w:val="100"/>
          <w:kern w:val="0"/>
          <w:rtl/>
          <w:lang w:bidi="ar-EG"/>
        </w:rPr>
        <w:t>•</w:t>
      </w:r>
      <w:r w:rsidRPr="004A5545">
        <w:rPr>
          <w:w w:val="100"/>
          <w:kern w:val="0"/>
          <w:rtl/>
          <w:lang w:bidi="ar-EG"/>
        </w:rPr>
        <w:tab/>
        <w:t>فرص توفير أسباب المعيشة على المستوى المحلي قد فقدت</w:t>
      </w:r>
      <w:r w:rsidR="0035032D" w:rsidRPr="004A5545">
        <w:rPr>
          <w:rFonts w:hint="cs"/>
          <w:w w:val="100"/>
          <w:kern w:val="0"/>
          <w:rtl/>
          <w:lang w:bidi="ar-EG"/>
        </w:rPr>
        <w:t>؛</w:t>
      </w:r>
    </w:p>
    <w:p w:rsidR="000B7434" w:rsidRPr="004A5545" w:rsidRDefault="000B7434" w:rsidP="0035032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A5545">
        <w:rPr>
          <w:rFonts w:hint="cs"/>
          <w:w w:val="100"/>
          <w:kern w:val="0"/>
          <w:rtl/>
          <w:lang w:bidi="ar-EG"/>
        </w:rPr>
        <w:t>•</w:t>
      </w:r>
      <w:r w:rsidRPr="004A5545">
        <w:rPr>
          <w:w w:val="100"/>
          <w:kern w:val="0"/>
          <w:rtl/>
          <w:lang w:bidi="ar-EG"/>
        </w:rPr>
        <w:tab/>
        <w:t>الاتفاق على وقف الاتجار بالأشخاص عبر الحدود ما زال غير موجود</w:t>
      </w:r>
      <w:r w:rsidR="0035032D" w:rsidRPr="004A5545">
        <w:rPr>
          <w:rFonts w:hint="cs"/>
          <w:w w:val="100"/>
          <w:kern w:val="0"/>
          <w:rtl/>
          <w:lang w:bidi="ar-EG"/>
        </w:rPr>
        <w:t>؛</w:t>
      </w:r>
    </w:p>
    <w:p w:rsidR="000B7434" w:rsidRPr="004A5545" w:rsidRDefault="000B7434" w:rsidP="0035032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A5545">
        <w:rPr>
          <w:rFonts w:hint="cs"/>
          <w:w w:val="100"/>
          <w:kern w:val="0"/>
          <w:rtl/>
          <w:lang w:bidi="ar-EG"/>
        </w:rPr>
        <w:t>•</w:t>
      </w:r>
      <w:r w:rsidRPr="004A5545">
        <w:rPr>
          <w:w w:val="100"/>
          <w:kern w:val="0"/>
          <w:rtl/>
          <w:lang w:bidi="ar-EG"/>
        </w:rPr>
        <w:tab/>
        <w:t>استغلال القطاع غير الرسمي وغير المنظم للأيدي العاملة ما زال يمارس دون هوادة والتعرض لمثل هذه الأخطار وشيك</w:t>
      </w:r>
      <w:r w:rsidR="0035032D" w:rsidRPr="004A5545">
        <w:rPr>
          <w:rFonts w:hint="cs"/>
          <w:w w:val="100"/>
          <w:kern w:val="0"/>
          <w:rtl/>
          <w:lang w:bidi="ar-EG"/>
        </w:rPr>
        <w:t>؛</w:t>
      </w:r>
    </w:p>
    <w:p w:rsidR="000B7434" w:rsidRPr="004A5545" w:rsidRDefault="000B7434" w:rsidP="0035032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4A5545">
        <w:rPr>
          <w:rFonts w:hint="cs"/>
          <w:w w:val="100"/>
          <w:kern w:val="0"/>
          <w:rtl/>
          <w:lang w:bidi="ar-EG"/>
        </w:rPr>
        <w:t>•</w:t>
      </w:r>
      <w:r w:rsidRPr="004A5545">
        <w:rPr>
          <w:w w:val="100"/>
          <w:kern w:val="0"/>
          <w:rtl/>
          <w:lang w:bidi="ar-EG"/>
        </w:rPr>
        <w:tab/>
        <w:t>ثمة تأنيث متزايد للفقر</w:t>
      </w:r>
      <w:r w:rsidR="0035032D" w:rsidRPr="004A5545">
        <w:rPr>
          <w:rFonts w:hint="cs"/>
          <w:w w:val="100"/>
          <w:kern w:val="0"/>
          <w:rtl/>
          <w:lang w:bidi="ar-EG"/>
        </w:rPr>
        <w:t>؛</w:t>
      </w:r>
    </w:p>
    <w:p w:rsidR="000B7434" w:rsidRPr="004A5545" w:rsidRDefault="000B7434" w:rsidP="0035032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4A5545">
        <w:rPr>
          <w:rFonts w:hint="cs"/>
          <w:w w:val="100"/>
          <w:kern w:val="0"/>
          <w:rtl/>
          <w:lang w:bidi="ar-EG"/>
        </w:rPr>
        <w:t>•</w:t>
      </w:r>
      <w:r w:rsidRPr="004A5545">
        <w:rPr>
          <w:w w:val="100"/>
          <w:kern w:val="0"/>
          <w:rtl/>
          <w:lang w:bidi="ar-EG"/>
        </w:rPr>
        <w:tab/>
        <w:t xml:space="preserve">استخدام عمل المرأة في أنشطة توليد الدخل لم يتحول بعد </w:t>
      </w:r>
      <w:r w:rsidR="0035032D" w:rsidRPr="004A5545">
        <w:rPr>
          <w:rFonts w:hint="cs"/>
          <w:w w:val="100"/>
          <w:kern w:val="0"/>
          <w:rtl/>
          <w:lang w:bidi="ar-EG"/>
        </w:rPr>
        <w:t>إ</w:t>
      </w:r>
      <w:r w:rsidRPr="004A5545">
        <w:rPr>
          <w:w w:val="100"/>
          <w:kern w:val="0"/>
          <w:rtl/>
          <w:lang w:bidi="ar-EG"/>
        </w:rPr>
        <w:t>لى حقيقة.</w:t>
      </w:r>
    </w:p>
    <w:p w:rsidR="000B7434" w:rsidRDefault="000B7434" w:rsidP="0035032D">
      <w:pPr>
        <w:pStyle w:val="H1GA"/>
        <w:spacing w:after="0"/>
        <w:rPr>
          <w:rFonts w:hint="cs"/>
          <w:rtl/>
          <w:lang w:bidi="ar-EG"/>
        </w:rPr>
      </w:pPr>
      <w:r w:rsidRPr="00C81D66">
        <w:rPr>
          <w:rtl/>
          <w:lang w:bidi="ar-EG"/>
        </w:rPr>
        <w:tab/>
      </w:r>
      <w:r>
        <w:rPr>
          <w:rtl/>
          <w:lang w:bidi="ar-EG"/>
        </w:rPr>
        <w:tab/>
        <w:t>المادة 14</w:t>
      </w:r>
    </w:p>
    <w:p w:rsidR="000B7434" w:rsidRPr="00C81D66" w:rsidRDefault="000B7434" w:rsidP="0035032D">
      <w:pPr>
        <w:pStyle w:val="H1GA"/>
        <w:spacing w:before="0"/>
        <w:rPr>
          <w:rtl/>
          <w:lang w:bidi="ar-EG"/>
        </w:rPr>
      </w:pPr>
      <w:r>
        <w:rPr>
          <w:rtl/>
          <w:lang w:bidi="ar-EG"/>
        </w:rPr>
        <w:tab/>
      </w:r>
      <w:r>
        <w:rPr>
          <w:rtl/>
          <w:lang w:bidi="ar-EG"/>
        </w:rPr>
        <w:tab/>
      </w:r>
      <w:r w:rsidRPr="00C81D66">
        <w:rPr>
          <w:rtl/>
          <w:lang w:bidi="ar-EG"/>
        </w:rPr>
        <w:t>المرأة في المناطق الريفية</w:t>
      </w:r>
    </w:p>
    <w:p w:rsidR="000B7434" w:rsidRPr="00C81D66" w:rsidRDefault="000B7434" w:rsidP="0035032D">
      <w:pPr>
        <w:pStyle w:val="H23GA"/>
        <w:rPr>
          <w:rtl/>
          <w:lang w:bidi="ar-EG"/>
        </w:rPr>
      </w:pPr>
      <w:r>
        <w:rPr>
          <w:rtl/>
          <w:lang w:bidi="ar-EG"/>
        </w:rPr>
        <w:tab/>
      </w:r>
      <w:r>
        <w:rPr>
          <w:rtl/>
          <w:lang w:bidi="ar-EG"/>
        </w:rPr>
        <w:tab/>
      </w:r>
      <w:r w:rsidRPr="00C81D66">
        <w:rPr>
          <w:rtl/>
          <w:lang w:bidi="ar-EG"/>
        </w:rPr>
        <w:t>معلومات أساسية</w:t>
      </w:r>
    </w:p>
    <w:p w:rsidR="000B7434" w:rsidRDefault="000B7434" w:rsidP="0035032D">
      <w:pPr>
        <w:pStyle w:val="SingleTxtGA"/>
        <w:rPr>
          <w:rtl/>
          <w:lang w:bidi="ar-EG"/>
        </w:rPr>
      </w:pPr>
      <w:r>
        <w:rPr>
          <w:rtl/>
          <w:lang w:bidi="ar-EG"/>
        </w:rPr>
        <w:t>183-</w:t>
      </w:r>
      <w:r w:rsidR="0035032D">
        <w:rPr>
          <w:rFonts w:hint="cs"/>
          <w:rtl/>
          <w:lang w:bidi="ar-EG"/>
        </w:rPr>
        <w:tab/>
      </w:r>
      <w:r>
        <w:rPr>
          <w:rtl/>
          <w:lang w:bidi="ar-EG"/>
        </w:rPr>
        <w:t>تؤدي وزارة التعاونيات الزراعية إلى جانب وزارة الحراجة وحفظ التربة ووزارة التنمية المحلية، بالتنسيق مع وزارة شؤون المرأة، أدواراً رئيسية في إدارة برامج تنمية المرأة في المناطق الريفية. وستعمل وزارة التنمية المحلية على نشر الحساسية الجنسانية على الصعيد المحلي بغية النهوض بالمرأة الريفية وتمكينها. وتنعكس الحساسية الجنسانية لوزارة التنمية المحلية في سياستها وبرامجها مثل:</w:t>
      </w:r>
    </w:p>
    <w:p w:rsidR="000B7434" w:rsidRPr="0035032D" w:rsidRDefault="000B7434" w:rsidP="0035032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35032D">
        <w:rPr>
          <w:rFonts w:hint="cs"/>
          <w:w w:val="100"/>
          <w:kern w:val="0"/>
          <w:rtl/>
          <w:lang w:bidi="ar-EG"/>
        </w:rPr>
        <w:t>•</w:t>
      </w:r>
      <w:r w:rsidRPr="0035032D">
        <w:rPr>
          <w:w w:val="100"/>
          <w:kern w:val="0"/>
          <w:rtl/>
          <w:lang w:bidi="ar-EG"/>
        </w:rPr>
        <w:tab/>
        <w:t>إدخال وإدارة برامج ائتمان للمرأة للوفاء بأهداف قانون الحكم الذاتي المحلي</w:t>
      </w:r>
      <w:r w:rsidR="0035032D" w:rsidRPr="0035032D">
        <w:rPr>
          <w:rFonts w:hint="cs"/>
          <w:w w:val="100"/>
          <w:kern w:val="0"/>
          <w:rtl/>
          <w:lang w:bidi="ar-EG"/>
        </w:rPr>
        <w:t>؛</w:t>
      </w:r>
    </w:p>
    <w:p w:rsidR="000B7434" w:rsidRPr="0035032D" w:rsidRDefault="000B7434" w:rsidP="0035032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35032D">
        <w:rPr>
          <w:rFonts w:hint="cs"/>
          <w:w w:val="100"/>
          <w:kern w:val="0"/>
          <w:rtl/>
          <w:lang w:bidi="ar-EG"/>
        </w:rPr>
        <w:t>•</w:t>
      </w:r>
      <w:r w:rsidRPr="0035032D">
        <w:rPr>
          <w:w w:val="100"/>
          <w:kern w:val="0"/>
          <w:rtl/>
          <w:lang w:bidi="ar-EG"/>
        </w:rPr>
        <w:tab/>
        <w:t>تحديد حاجات البرامج لقيام لجان تنمية المقاطعات ولجان التنمية القروية بمعالجة الشواغل الجنسانية. وقد أدمجت في سياسات المؤسسات المحلية وقانونها ولوائحها ضرورة مشاركة المرأة والفئات المحرومة الأخرى في عمليات التخطيط والميزنة</w:t>
      </w:r>
      <w:r w:rsidR="0035032D" w:rsidRPr="0035032D">
        <w:rPr>
          <w:rFonts w:hint="cs"/>
          <w:w w:val="100"/>
          <w:kern w:val="0"/>
          <w:rtl/>
          <w:lang w:bidi="ar-EG"/>
        </w:rPr>
        <w:t>؛</w:t>
      </w:r>
    </w:p>
    <w:p w:rsidR="000B7434" w:rsidRPr="0035032D" w:rsidRDefault="000B7434" w:rsidP="0035032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spacing w:val="-2"/>
          <w:w w:val="100"/>
          <w:kern w:val="0"/>
          <w:rtl/>
          <w:lang w:bidi="ar-EG"/>
        </w:rPr>
      </w:pPr>
      <w:r w:rsidRPr="0035032D">
        <w:rPr>
          <w:rFonts w:hint="cs"/>
          <w:spacing w:val="-2"/>
          <w:w w:val="100"/>
          <w:kern w:val="0"/>
          <w:rtl/>
          <w:lang w:bidi="ar-EG"/>
        </w:rPr>
        <w:t>•</w:t>
      </w:r>
      <w:r w:rsidRPr="0035032D">
        <w:rPr>
          <w:spacing w:val="-2"/>
          <w:w w:val="100"/>
          <w:kern w:val="0"/>
          <w:rtl/>
          <w:lang w:bidi="ar-EG"/>
        </w:rPr>
        <w:tab/>
        <w:t>مطالبة كل لجان المستعملين بجعل نسبة مشاركة المرأة فيها لا تقل عن 30 في المائة</w:t>
      </w:r>
      <w:r w:rsidR="0035032D" w:rsidRPr="0035032D">
        <w:rPr>
          <w:rFonts w:hint="cs"/>
          <w:spacing w:val="-2"/>
          <w:w w:val="100"/>
          <w:kern w:val="0"/>
          <w:rtl/>
          <w:lang w:bidi="ar-EG"/>
        </w:rPr>
        <w:t>؛</w:t>
      </w:r>
    </w:p>
    <w:p w:rsidR="000B7434" w:rsidRPr="0035032D" w:rsidRDefault="000B7434" w:rsidP="0035032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35032D">
        <w:rPr>
          <w:rFonts w:hint="cs"/>
          <w:w w:val="100"/>
          <w:kern w:val="0"/>
          <w:rtl/>
          <w:lang w:bidi="ar-EG"/>
        </w:rPr>
        <w:t>•</w:t>
      </w:r>
      <w:r w:rsidRPr="0035032D">
        <w:rPr>
          <w:w w:val="100"/>
          <w:kern w:val="0"/>
          <w:rtl/>
          <w:lang w:bidi="ar-EG"/>
        </w:rPr>
        <w:tab/>
        <w:t>إدخال عناصر محددة لتمكين المرأة في برامجها، مثل البرنامج التشاركي لتنمية المقاطعات، وبرنامج الإدارة المحلية والآن برنامج الإدارة المحلية للتنمية المجتمعية</w:t>
      </w:r>
      <w:r w:rsidR="0035032D" w:rsidRPr="0035032D">
        <w:rPr>
          <w:rFonts w:hint="cs"/>
          <w:w w:val="100"/>
          <w:kern w:val="0"/>
          <w:rtl/>
          <w:lang w:bidi="ar-EG"/>
        </w:rPr>
        <w:t>؛</w:t>
      </w:r>
    </w:p>
    <w:p w:rsidR="000B7434" w:rsidRPr="0035032D"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35032D">
        <w:rPr>
          <w:rFonts w:hint="cs"/>
          <w:w w:val="100"/>
          <w:kern w:val="0"/>
          <w:rtl/>
          <w:lang w:bidi="ar-EG"/>
        </w:rPr>
        <w:t>•</w:t>
      </w:r>
      <w:r w:rsidRPr="0035032D">
        <w:rPr>
          <w:w w:val="100"/>
          <w:kern w:val="0"/>
          <w:rtl/>
          <w:lang w:bidi="ar-EG"/>
        </w:rPr>
        <w:tab/>
        <w:t>تعزيز برامج مثل العمل اللامركزي لصالح الطفل والمرأة بالتعاون مع منظمة الأمم المتحدة للطفولة (اليونيسيف) لزيادة حصول المرأة على الخدمات وتغيير منظور المجتمع المحلي إلى المساواة بين الجنسين، بمشاركة الرجل.</w:t>
      </w:r>
    </w:p>
    <w:p w:rsidR="000B7434" w:rsidRDefault="000B7434" w:rsidP="0035032D">
      <w:pPr>
        <w:pStyle w:val="SingleTxtGA"/>
        <w:rPr>
          <w:rtl/>
          <w:lang w:bidi="ar-EG"/>
        </w:rPr>
      </w:pPr>
      <w:r>
        <w:rPr>
          <w:rtl/>
          <w:lang w:bidi="ar-EG"/>
        </w:rPr>
        <w:t>184-</w:t>
      </w:r>
      <w:r w:rsidR="0035032D">
        <w:rPr>
          <w:rFonts w:hint="cs"/>
          <w:rtl/>
          <w:lang w:bidi="ar-EG"/>
        </w:rPr>
        <w:tab/>
      </w:r>
      <w:r>
        <w:rPr>
          <w:rtl/>
          <w:lang w:bidi="ar-EG"/>
        </w:rPr>
        <w:t>وتركز بعض البرامج مثل برنامج التنمية القروية في إطار برنامج الإدارة المحلية للتنمية المجتمعية على تشكل المجموعات، وتنمية المهارات والأنشطة الصغيرة المدرة للدخل، التي تنطوي على عناصر لتمكين المرأة. وعلاوة على ذلك، يبدو أنها تولي اهتماما</w:t>
      </w:r>
      <w:r w:rsidR="00110850">
        <w:rPr>
          <w:rFonts w:hint="cs"/>
          <w:rtl/>
          <w:lang w:bidi="ar-EG"/>
        </w:rPr>
        <w:t>ً</w:t>
      </w:r>
      <w:r>
        <w:rPr>
          <w:rtl/>
          <w:lang w:bidi="ar-EG"/>
        </w:rPr>
        <w:t xml:space="preserve"> لمسائل حقوق المرأة والطفل في برامجها التدريبية وتسعى إلى مشاركة المرأة في عمليات التخطيط والبرمجة والميزنة. غير أن مجال تغطية برنامج التنمية القروية التابع للإدارة المحلية للتنمية المجتمعية محدود وتعتبر المواقع التي يعمل فيها البرنامج مناطق نموذجية.</w:t>
      </w:r>
    </w:p>
    <w:p w:rsidR="000B7434" w:rsidRDefault="000B7434" w:rsidP="00110850">
      <w:pPr>
        <w:pStyle w:val="SingleTxtGA"/>
        <w:rPr>
          <w:rtl/>
          <w:lang w:bidi="ar-EG"/>
        </w:rPr>
      </w:pPr>
      <w:r>
        <w:rPr>
          <w:rtl/>
          <w:lang w:bidi="ar-EG"/>
        </w:rPr>
        <w:t>185-</w:t>
      </w:r>
      <w:r w:rsidR="0035032D">
        <w:rPr>
          <w:rFonts w:hint="cs"/>
          <w:rtl/>
          <w:lang w:bidi="ar-EG"/>
        </w:rPr>
        <w:tab/>
      </w:r>
      <w:r>
        <w:rPr>
          <w:rtl/>
          <w:lang w:bidi="ar-EG"/>
        </w:rPr>
        <w:t>ويركز برنامج تنمية المرأة على المرأة الريفية ويشمل الآن 75 مقاطعة و843</w:t>
      </w:r>
      <w:r w:rsidR="00110850">
        <w:rPr>
          <w:rFonts w:hint="cs"/>
          <w:rtl/>
          <w:lang w:bidi="ar-EG"/>
        </w:rPr>
        <w:t xml:space="preserve"> </w:t>
      </w:r>
      <w:r>
        <w:rPr>
          <w:rtl/>
          <w:lang w:bidi="ar-EG"/>
        </w:rPr>
        <w:t>1</w:t>
      </w:r>
      <w:r w:rsidR="00110850">
        <w:rPr>
          <w:rFonts w:hint="cs"/>
          <w:rtl/>
          <w:lang w:bidi="ar-EG"/>
        </w:rPr>
        <w:t xml:space="preserve"> </w:t>
      </w:r>
      <w:r>
        <w:rPr>
          <w:rtl/>
          <w:lang w:bidi="ar-EG"/>
        </w:rPr>
        <w:t>لجنة تنمية قروية</w:t>
      </w:r>
      <w:r w:rsidR="008B03DA">
        <w:rPr>
          <w:rtl/>
          <w:lang w:bidi="ar-EG"/>
        </w:rPr>
        <w:t xml:space="preserve"> (من بين 913 3 من هذه اللجان) و</w:t>
      </w:r>
      <w:r>
        <w:rPr>
          <w:rtl/>
          <w:lang w:bidi="ar-EG"/>
        </w:rPr>
        <w:t xml:space="preserve">32 بلدية. وتهدف لجنة تنمية المرأة </w:t>
      </w:r>
      <w:r w:rsidR="00110850">
        <w:rPr>
          <w:rFonts w:hint="cs"/>
          <w:rtl/>
          <w:lang w:bidi="ar-EG"/>
        </w:rPr>
        <w:t>إ</w:t>
      </w:r>
      <w:r>
        <w:rPr>
          <w:rtl/>
          <w:lang w:bidi="ar-EG"/>
        </w:rPr>
        <w:t>لى تغطية 600 لجنة أخرى من لجان التنمية القروية</w:t>
      </w:r>
      <w:r w:rsidRPr="008536CA">
        <w:rPr>
          <w:rtl/>
          <w:lang w:bidi="ar-EG"/>
        </w:rPr>
        <w:t xml:space="preserve"> </w:t>
      </w:r>
      <w:r>
        <w:rPr>
          <w:rtl/>
          <w:lang w:bidi="ar-EG"/>
        </w:rPr>
        <w:t xml:space="preserve">خلال السنة المالية 2008-2009. ولهذا البرنامج تغطية تشمل 350 54 مجموعة نسائية تضم </w:t>
      </w:r>
      <w:r w:rsidR="00110850">
        <w:rPr>
          <w:rFonts w:hint="cs"/>
          <w:rtl/>
          <w:lang w:bidi="ar-EG"/>
        </w:rPr>
        <w:t xml:space="preserve">أكثر من </w:t>
      </w:r>
      <w:r>
        <w:rPr>
          <w:rtl/>
          <w:lang w:bidi="ar-EG"/>
        </w:rPr>
        <w:t xml:space="preserve">000 340 امرأة في عضويتها. وقد </w:t>
      </w:r>
      <w:r w:rsidR="00110850">
        <w:rPr>
          <w:rFonts w:hint="cs"/>
          <w:rtl/>
          <w:lang w:bidi="ar-EG"/>
        </w:rPr>
        <w:t xml:space="preserve">جرى </w:t>
      </w:r>
      <w:r>
        <w:rPr>
          <w:rtl/>
          <w:lang w:bidi="ar-EG"/>
        </w:rPr>
        <w:t>تشغيل 752 تعاونية نسائية وهناك 442 تعاونية أخرى في سبيل التسجيل. وتعمل التعاونيات والجماعات النسائية على جمع مبلغ 483 مليون روبية من وفوراتها. كما أنها تجمع الأموال لصندوق دائر في مجموعاتها زيد رأسماله العامل إلى 85.7</w:t>
      </w:r>
      <w:r w:rsidR="00110850">
        <w:rPr>
          <w:rFonts w:hint="cs"/>
          <w:rtl/>
          <w:lang w:bidi="ar-EG"/>
        </w:rPr>
        <w:t xml:space="preserve"> </w:t>
      </w:r>
      <w:r>
        <w:rPr>
          <w:rtl/>
          <w:lang w:bidi="ar-EG"/>
        </w:rPr>
        <w:t>مليون روبية.</w:t>
      </w:r>
    </w:p>
    <w:p w:rsidR="000B7434" w:rsidRDefault="000B7434" w:rsidP="00110850">
      <w:pPr>
        <w:pStyle w:val="H23GA"/>
        <w:rPr>
          <w:rtl/>
          <w:lang w:bidi="ar-EG"/>
        </w:rPr>
      </w:pPr>
      <w:r>
        <w:rPr>
          <w:rtl/>
          <w:lang w:bidi="ar-EG"/>
        </w:rPr>
        <w:tab/>
      </w:r>
      <w:r>
        <w:rPr>
          <w:rtl/>
          <w:lang w:bidi="ar-EG"/>
        </w:rPr>
        <w:tab/>
        <w:t>مبادرات الإصلاح</w:t>
      </w:r>
    </w:p>
    <w:p w:rsidR="000B7434" w:rsidRDefault="000B7434" w:rsidP="00C8270E">
      <w:pPr>
        <w:pStyle w:val="SingleTxtGA"/>
        <w:rPr>
          <w:rtl/>
          <w:lang w:bidi="ar-EG"/>
        </w:rPr>
      </w:pPr>
      <w:r>
        <w:rPr>
          <w:rtl/>
          <w:lang w:bidi="ar-EG"/>
        </w:rPr>
        <w:t>186-</w:t>
      </w:r>
      <w:r w:rsidR="00110850">
        <w:rPr>
          <w:rFonts w:hint="cs"/>
          <w:rtl/>
          <w:lang w:bidi="ar-EG"/>
        </w:rPr>
        <w:tab/>
      </w:r>
      <w:r>
        <w:rPr>
          <w:rtl/>
          <w:lang w:bidi="ar-EG"/>
        </w:rPr>
        <w:t xml:space="preserve">التمكين الاقتصادي للمرأة الريفية هو أحد الشواغل الرئيسية للحكومة. وقد </w:t>
      </w:r>
      <w:r w:rsidR="00110850">
        <w:rPr>
          <w:rFonts w:hint="cs"/>
          <w:rtl/>
          <w:lang w:bidi="ar-EG"/>
        </w:rPr>
        <w:t xml:space="preserve">جرى </w:t>
      </w:r>
      <w:r>
        <w:rPr>
          <w:rtl/>
          <w:lang w:bidi="ar-EG"/>
        </w:rPr>
        <w:t xml:space="preserve">إنشاء خمسة مصارف إنمائية ريفية في خمس مناطق إنمائية منذ أوائل التسعينات من القرن الماضي لسد احتياجات المرأة الريفية إلى الائتمان. وحتى عام 2005، كان ما مجموعه 12.5 </w:t>
      </w:r>
      <w:r w:rsidR="00110850">
        <w:rPr>
          <w:rFonts w:hint="cs"/>
          <w:rtl/>
          <w:lang w:bidi="ar-EG"/>
        </w:rPr>
        <w:t xml:space="preserve">مليار </w:t>
      </w:r>
      <w:r>
        <w:rPr>
          <w:rtl/>
          <w:lang w:bidi="ar-EG"/>
        </w:rPr>
        <w:t xml:space="preserve">روبية نيبالية قد </w:t>
      </w:r>
      <w:r w:rsidR="00110850">
        <w:rPr>
          <w:rFonts w:hint="cs"/>
          <w:rtl/>
          <w:lang w:bidi="ar-EG"/>
        </w:rPr>
        <w:t>أ</w:t>
      </w:r>
      <w:r>
        <w:rPr>
          <w:rtl/>
          <w:lang w:bidi="ar-EG"/>
        </w:rPr>
        <w:t>قرضت إلى نحو 000 146 امرأة. وهناك أيضا</w:t>
      </w:r>
      <w:r w:rsidR="00110850">
        <w:rPr>
          <w:rFonts w:hint="cs"/>
          <w:rtl/>
          <w:lang w:bidi="ar-EG"/>
        </w:rPr>
        <w:t>ً</w:t>
      </w:r>
      <w:r>
        <w:rPr>
          <w:rtl/>
          <w:lang w:bidi="ar-EG"/>
        </w:rPr>
        <w:t xml:space="preserve"> أربعة مصارف إنمائية أخرى في القطاع الخاص تقدم هي الأخرى قروضا</w:t>
      </w:r>
      <w:r w:rsidR="00110850">
        <w:rPr>
          <w:rFonts w:hint="cs"/>
          <w:rtl/>
          <w:lang w:bidi="ar-EG"/>
        </w:rPr>
        <w:t>ً</w:t>
      </w:r>
      <w:r>
        <w:rPr>
          <w:rtl/>
          <w:lang w:bidi="ar-EG"/>
        </w:rPr>
        <w:t xml:space="preserve"> ائتمانية إلى المرأة الريفية. وبحلول منتصف تموز/يوليه عام 2005، كان مجموع ما صرفته من قروض إلى 000 129 مقترضة قد بلغ 5.4 </w:t>
      </w:r>
      <w:r w:rsidR="00110850">
        <w:rPr>
          <w:rFonts w:hint="cs"/>
          <w:rtl/>
          <w:lang w:bidi="ar-EG"/>
        </w:rPr>
        <w:t xml:space="preserve">مليار </w:t>
      </w:r>
      <w:r>
        <w:rPr>
          <w:rtl/>
          <w:lang w:bidi="ar-EG"/>
        </w:rPr>
        <w:t xml:space="preserve">روبية نيبالية. وبالمثل فإنه حتى 30 حزيران/يونيه 2005، صرف البرنامج اللامركزي لدعم الإدارة المحلية، الذي خلف برنامج الإدارة المحلية والبرنامج التشاركي لتنمية المقاطعات، مبلغ 1.2 </w:t>
      </w:r>
      <w:r w:rsidR="00C8270E">
        <w:rPr>
          <w:rFonts w:hint="cs"/>
          <w:rtl/>
          <w:lang w:bidi="ar-EG"/>
        </w:rPr>
        <w:t>مليار</w:t>
      </w:r>
      <w:r>
        <w:rPr>
          <w:rtl/>
          <w:lang w:bidi="ar-EG"/>
        </w:rPr>
        <w:t xml:space="preserve"> روبية نيبالية لنحو 000 633 مقترض، نسبة النساء بينهم </w:t>
      </w:r>
      <w:r w:rsidR="00110850">
        <w:rPr>
          <w:rFonts w:hint="cs"/>
          <w:rtl/>
          <w:lang w:bidi="ar-EG"/>
        </w:rPr>
        <w:t xml:space="preserve">    </w:t>
      </w:r>
      <w:r>
        <w:rPr>
          <w:rtl/>
          <w:lang w:bidi="ar-EG"/>
        </w:rPr>
        <w:t>تبلغ 48 في المائة.</w:t>
      </w:r>
    </w:p>
    <w:p w:rsidR="000B7434" w:rsidRDefault="000B7434" w:rsidP="00110850">
      <w:pPr>
        <w:pStyle w:val="SingleTxtGA"/>
        <w:rPr>
          <w:rtl/>
          <w:lang w:bidi="ar-EG"/>
        </w:rPr>
      </w:pPr>
      <w:r>
        <w:rPr>
          <w:rtl/>
          <w:lang w:bidi="ar-EG"/>
        </w:rPr>
        <w:t>187-</w:t>
      </w:r>
      <w:r w:rsidR="00110850">
        <w:rPr>
          <w:rFonts w:hint="cs"/>
          <w:rtl/>
          <w:lang w:bidi="ar-EG"/>
        </w:rPr>
        <w:tab/>
      </w:r>
      <w:r>
        <w:rPr>
          <w:rtl/>
          <w:lang w:bidi="ar-EG"/>
        </w:rPr>
        <w:t xml:space="preserve">وجاء في الخطة الثلاثية السنوات المؤقتة بوضوح أن </w:t>
      </w:r>
      <w:r w:rsidR="00D62BA8">
        <w:rPr>
          <w:rtl/>
          <w:lang w:bidi="ar-EG"/>
        </w:rPr>
        <w:t>"</w:t>
      </w:r>
      <w:r>
        <w:rPr>
          <w:rtl/>
          <w:lang w:bidi="ar-EG"/>
        </w:rPr>
        <w:t>برنامجا</w:t>
      </w:r>
      <w:r w:rsidR="00C8270E">
        <w:rPr>
          <w:rFonts w:hint="cs"/>
          <w:rtl/>
          <w:lang w:bidi="ar-EG"/>
        </w:rPr>
        <w:t>ً</w:t>
      </w:r>
      <w:r>
        <w:rPr>
          <w:rtl/>
          <w:lang w:bidi="ar-EG"/>
        </w:rPr>
        <w:t xml:space="preserve"> مكثفا</w:t>
      </w:r>
      <w:r w:rsidR="00C8270E">
        <w:rPr>
          <w:rFonts w:hint="cs"/>
          <w:rtl/>
          <w:lang w:bidi="ar-EG"/>
        </w:rPr>
        <w:t>ً</w:t>
      </w:r>
      <w:r>
        <w:rPr>
          <w:rtl/>
          <w:lang w:bidi="ar-EG"/>
        </w:rPr>
        <w:t xml:space="preserve"> يستهدف توليد العمالة والدخل للمرأة الريفية في المجموعات المتخلفة سوف يُوسَّع ليشمل لجان التنمية القروية عن طريق زيادة إشراكها. وبغية الارتقاء بالمهارات الحرفية للمرأة الريفية في مسعاها الاقتصادي، سوف تتخذ خطوات لتنمية قدراتها على ممارسة الأعمال الحرة، عن طريق زيادة حصولها على الموارد الاقتصادية والمعلومات، وإدارة الأسواق، ونقل التكنولوجيا والابتكار</w:t>
      </w:r>
      <w:r w:rsidR="00D62BA8">
        <w:rPr>
          <w:rtl/>
          <w:lang w:bidi="ar-EG"/>
        </w:rPr>
        <w:t>"</w:t>
      </w:r>
      <w:r>
        <w:rPr>
          <w:rtl/>
          <w:lang w:bidi="ar-EG"/>
        </w:rPr>
        <w:t>.</w:t>
      </w:r>
    </w:p>
    <w:p w:rsidR="000B7434" w:rsidRDefault="000B7434" w:rsidP="00110850">
      <w:pPr>
        <w:pStyle w:val="SingleTxtGA"/>
        <w:rPr>
          <w:rtl/>
          <w:lang w:bidi="ar-EG"/>
        </w:rPr>
      </w:pPr>
      <w:r>
        <w:rPr>
          <w:rtl/>
          <w:lang w:bidi="ar-EG"/>
        </w:rPr>
        <w:t>188-</w:t>
      </w:r>
      <w:r w:rsidR="00110850">
        <w:rPr>
          <w:rFonts w:hint="cs"/>
          <w:rtl/>
          <w:lang w:bidi="ar-EG"/>
        </w:rPr>
        <w:tab/>
      </w:r>
      <w:r>
        <w:rPr>
          <w:rtl/>
          <w:lang w:bidi="ar-EG"/>
        </w:rPr>
        <w:t>وكان الائتمان مقابل الإنتاج للمرأة الريفية أحد المجالات التي ركز عليها برنامج الحكومة. وقد شُرع في الا</w:t>
      </w:r>
      <w:r w:rsidR="00110850">
        <w:rPr>
          <w:rFonts w:hint="cs"/>
          <w:rtl/>
          <w:lang w:bidi="ar-EG"/>
        </w:rPr>
        <w:t>ئت</w:t>
      </w:r>
      <w:r>
        <w:rPr>
          <w:rtl/>
          <w:lang w:bidi="ar-EG"/>
        </w:rPr>
        <w:t>مان مقابل الإنتاج للمرأة الريفية في نيبال خلال الخطة الخمسية السنوات السادسة (2037-2042 بتقويم نيبال). وكان هذا البرنامج قد وسع ليشمل كل المقاطعات ا</w:t>
      </w:r>
      <w:r w:rsidR="00110850">
        <w:rPr>
          <w:rFonts w:hint="cs"/>
          <w:rtl/>
          <w:lang w:bidi="ar-EG"/>
        </w:rPr>
        <w:t>ﻟ</w:t>
      </w:r>
      <w:r>
        <w:rPr>
          <w:rtl/>
          <w:lang w:bidi="ar-EG"/>
        </w:rPr>
        <w:t xml:space="preserve"> 75 أثناء السنة المالية 2001-2002. وإدراكا لكون تنمية المرأة تتطلب التحرك نحو اتجاه متعدد الأبعاد، أعيدت صياغة هذا البرن</w:t>
      </w:r>
      <w:r w:rsidR="00110850">
        <w:rPr>
          <w:rtl/>
          <w:lang w:bidi="ar-EG"/>
        </w:rPr>
        <w:t xml:space="preserve">امج وأدمجت فيه نهوج مختلفة مثل </w:t>
      </w:r>
      <w:r>
        <w:rPr>
          <w:rtl/>
          <w:lang w:bidi="ar-EG"/>
        </w:rPr>
        <w:t xml:space="preserve">التمكين، والاعتماد الاقتصادي على الذات، والمساواة في مجال الجنسانية. ويجري تنفيذ برامج من هذا القبيل بدعم مالي وتقني من اليونيسيف، وصندوق الأمم المتحدة للسكان، وبرنامج الأمم المتحدة الإنمائي، ومصرف التنمية الآسيوي، </w:t>
      </w:r>
      <w:r w:rsidR="00110850">
        <w:rPr>
          <w:rFonts w:hint="cs"/>
          <w:rtl/>
          <w:lang w:bidi="ar-EG"/>
        </w:rPr>
        <w:t>إ</w:t>
      </w:r>
      <w:r>
        <w:rPr>
          <w:rtl/>
          <w:lang w:bidi="ar-EG"/>
        </w:rPr>
        <w:t>لخ. واستفادة من الدرس المستمد من الائتمان مقابل الإنتاج للمرأة الريفية، يُقدم التدريب إلى المرأة بشأن مختلف المسائل مثل الحقوق القانونية، والحقوق التناسلية، وأنشطة توليد الدخل في ميدان الزراعة، والحرف اليدوية الصغيرة أو</w:t>
      </w:r>
      <w:r w:rsidR="00110850">
        <w:rPr>
          <w:rFonts w:hint="cs"/>
          <w:rtl/>
          <w:lang w:bidi="ar-EG"/>
        </w:rPr>
        <w:t xml:space="preserve"> </w:t>
      </w:r>
      <w:r>
        <w:rPr>
          <w:rtl/>
          <w:lang w:bidi="ar-EG"/>
        </w:rPr>
        <w:t>ما يسمى الصناعة الكوخية، وإدارة الوفورات والائتمان. ومنذ عام</w:t>
      </w:r>
      <w:r>
        <w:rPr>
          <w:rFonts w:hint="cs"/>
          <w:rtl/>
          <w:lang w:bidi="ar-EG"/>
        </w:rPr>
        <w:t> </w:t>
      </w:r>
      <w:r>
        <w:rPr>
          <w:rtl/>
          <w:lang w:bidi="ar-EG"/>
        </w:rPr>
        <w:t>2002، وبمساعدة من اليونيسيف، والعمل اللامركزي لصالح الطفل والمرأة، ينفذ البرنامج في 15 مقاطعة. وتحت مظلة لجنة تنمية المقاطعات، ولجنة تنمية المرأة، وموظفو التعليم في المقاطعات، يتعاون موظفو شؤون تنمية المرأة في المقاطعات على رصد أنشطة التعليم والصحة والأنشطة الاقتصادية الأخرى للمجموعات النسائية. وتساعد اليونيسيف أيضا</w:t>
      </w:r>
      <w:r w:rsidR="00110850">
        <w:rPr>
          <w:rFonts w:hint="cs"/>
          <w:rtl/>
          <w:lang w:bidi="ar-EG"/>
        </w:rPr>
        <w:t>ً</w:t>
      </w:r>
      <w:r>
        <w:rPr>
          <w:rtl/>
          <w:lang w:bidi="ar-EG"/>
        </w:rPr>
        <w:t xml:space="preserve"> في كفالة المساعدة القانونية للأطفال والنساء عن طريق لجان المساعدين القانونيين. وقد وسع الآن برنامج العمل اللامركزي لصالح الطفل والمرأة وأصبح يغطي 23 مقاطعة.</w:t>
      </w:r>
    </w:p>
    <w:p w:rsidR="000B7434" w:rsidRDefault="000B7434" w:rsidP="00110850">
      <w:pPr>
        <w:pStyle w:val="SingleTxtGA"/>
        <w:rPr>
          <w:rtl/>
          <w:lang w:bidi="ar-EG"/>
        </w:rPr>
      </w:pPr>
      <w:r>
        <w:rPr>
          <w:rtl/>
          <w:lang w:bidi="ar-EG"/>
        </w:rPr>
        <w:t>189-</w:t>
      </w:r>
      <w:r w:rsidR="00110850">
        <w:rPr>
          <w:rFonts w:hint="cs"/>
          <w:rtl/>
          <w:lang w:bidi="ar-EG"/>
        </w:rPr>
        <w:tab/>
      </w:r>
      <w:r>
        <w:rPr>
          <w:rtl/>
          <w:lang w:bidi="ar-EG"/>
        </w:rPr>
        <w:t>وقد وضع برنامج تنمية المرأة هذا ال</w:t>
      </w:r>
      <w:r w:rsidR="00110850">
        <w:rPr>
          <w:rFonts w:hint="cs"/>
          <w:rtl/>
          <w:lang w:bidi="ar-EG"/>
        </w:rPr>
        <w:t>ب</w:t>
      </w:r>
      <w:r>
        <w:rPr>
          <w:rtl/>
          <w:lang w:bidi="ar-EG"/>
        </w:rPr>
        <w:t xml:space="preserve">رنامج </w:t>
      </w:r>
      <w:r w:rsidR="00110850">
        <w:rPr>
          <w:rFonts w:hint="cs"/>
          <w:rtl/>
          <w:lang w:bidi="ar-EG"/>
        </w:rPr>
        <w:t>ا</w:t>
      </w:r>
      <w:r>
        <w:rPr>
          <w:rtl/>
          <w:lang w:bidi="ar-EG"/>
        </w:rPr>
        <w:t xml:space="preserve">عترافاً بأن نساء الداليت والفئات المهمشة الأخرى تواجه من المشاكل أكثر مما تواجهه المرأة الأكثر حظوة ولذلك فإن التحديات الكامنة في تنميتهن سوف تكون أكبر. وقد وضع في الاعتبار أن العامل المحدد الرئيسي في هذا الخصوص هو درجة ما تملكه تلك النساء من </w:t>
      </w:r>
      <w:r w:rsidR="00D62BA8">
        <w:rPr>
          <w:rtl/>
          <w:lang w:bidi="ar-EG"/>
        </w:rPr>
        <w:t>"</w:t>
      </w:r>
      <w:r>
        <w:rPr>
          <w:rtl/>
          <w:lang w:bidi="ar-EG"/>
        </w:rPr>
        <w:t>رأس مال اجتماعي</w:t>
      </w:r>
      <w:r w:rsidR="00D62BA8">
        <w:rPr>
          <w:rtl/>
          <w:lang w:bidi="ar-EG"/>
        </w:rPr>
        <w:t>"</w:t>
      </w:r>
      <w:r>
        <w:rPr>
          <w:rtl/>
          <w:lang w:bidi="ar-EG"/>
        </w:rPr>
        <w:t>. وعن طريق هذا البرنامج الذي يهدف إلى زيادة المشاركة الفعلية للرجال، تعزيزا</w:t>
      </w:r>
      <w:r w:rsidR="00110850">
        <w:rPr>
          <w:rFonts w:hint="cs"/>
          <w:rtl/>
          <w:lang w:bidi="ar-EG"/>
        </w:rPr>
        <w:t>ً</w:t>
      </w:r>
      <w:r>
        <w:rPr>
          <w:rtl/>
          <w:lang w:bidi="ar-EG"/>
        </w:rPr>
        <w:t xml:space="preserve"> لإشراك المرأة في الأنشطة الإنمائية، سوف تحصل المرأة </w:t>
      </w:r>
      <w:r w:rsidR="00D62BA8">
        <w:rPr>
          <w:rtl/>
          <w:lang w:bidi="ar-EG"/>
        </w:rPr>
        <w:t>"</w:t>
      </w:r>
      <w:r>
        <w:rPr>
          <w:rtl/>
          <w:lang w:bidi="ar-EG"/>
        </w:rPr>
        <w:t>الفقيرة</w:t>
      </w:r>
      <w:r w:rsidR="00D62BA8">
        <w:rPr>
          <w:rtl/>
          <w:lang w:bidi="ar-EG"/>
        </w:rPr>
        <w:t>"</w:t>
      </w:r>
      <w:r>
        <w:rPr>
          <w:rtl/>
          <w:lang w:bidi="ar-EG"/>
        </w:rPr>
        <w:t xml:space="preserve"> التي تملك قدرا</w:t>
      </w:r>
      <w:r w:rsidR="00110850">
        <w:rPr>
          <w:rFonts w:hint="cs"/>
          <w:rtl/>
          <w:lang w:bidi="ar-EG"/>
        </w:rPr>
        <w:t>ً</w:t>
      </w:r>
      <w:r>
        <w:rPr>
          <w:rtl/>
          <w:lang w:bidi="ar-EG"/>
        </w:rPr>
        <w:t xml:space="preserve"> أكبر من رأس المال الاجتماعي، والمرأة </w:t>
      </w:r>
      <w:r w:rsidR="00D62BA8">
        <w:rPr>
          <w:rtl/>
          <w:lang w:bidi="ar-EG"/>
        </w:rPr>
        <w:t>"</w:t>
      </w:r>
      <w:r>
        <w:rPr>
          <w:rtl/>
          <w:lang w:bidi="ar-EG"/>
        </w:rPr>
        <w:t>الفقيرة</w:t>
      </w:r>
      <w:r w:rsidR="00D62BA8">
        <w:rPr>
          <w:rtl/>
          <w:lang w:bidi="ar-EG"/>
        </w:rPr>
        <w:t>"</w:t>
      </w:r>
      <w:r>
        <w:rPr>
          <w:rtl/>
          <w:lang w:bidi="ar-EG"/>
        </w:rPr>
        <w:t xml:space="preserve"> التي تملك قدرا</w:t>
      </w:r>
      <w:r w:rsidR="00110850">
        <w:rPr>
          <w:rFonts w:hint="cs"/>
          <w:rtl/>
          <w:lang w:bidi="ar-EG"/>
        </w:rPr>
        <w:t>ً</w:t>
      </w:r>
      <w:r>
        <w:rPr>
          <w:rtl/>
          <w:lang w:bidi="ar-EG"/>
        </w:rPr>
        <w:t xml:space="preserve"> أقل من رأس المال الاجتماعي على مستوى مختلف من الاستحقاقات.</w:t>
      </w:r>
    </w:p>
    <w:p w:rsidR="000B7434" w:rsidRDefault="000B7434" w:rsidP="002F1301">
      <w:pPr>
        <w:pStyle w:val="SingleTxtGA"/>
        <w:rPr>
          <w:rtl/>
          <w:lang w:bidi="ar-EG"/>
        </w:rPr>
      </w:pPr>
      <w:r>
        <w:rPr>
          <w:rtl/>
          <w:lang w:bidi="ar-EG"/>
        </w:rPr>
        <w:t>190-</w:t>
      </w:r>
      <w:r w:rsidR="00110850">
        <w:rPr>
          <w:rFonts w:hint="cs"/>
          <w:rtl/>
          <w:lang w:bidi="ar-EG"/>
        </w:rPr>
        <w:tab/>
      </w:r>
      <w:r>
        <w:rPr>
          <w:rtl/>
          <w:lang w:bidi="ar-EG"/>
        </w:rPr>
        <w:t xml:space="preserve">والبرامج المذكورة أعلاه تستهدف بصورة محددة المرأة المتأثرة </w:t>
      </w:r>
      <w:r w:rsidR="002F1301">
        <w:rPr>
          <w:rFonts w:hint="cs"/>
          <w:rtl/>
          <w:lang w:bidi="ar-EG"/>
        </w:rPr>
        <w:t xml:space="preserve">بالنزاع </w:t>
      </w:r>
      <w:r>
        <w:rPr>
          <w:rtl/>
          <w:lang w:bidi="ar-EG"/>
        </w:rPr>
        <w:t>بميزانية يبلغ مجموعها 40 مليون روبية تشمل تدريبا</w:t>
      </w:r>
      <w:r w:rsidR="00C715C0">
        <w:rPr>
          <w:rFonts w:hint="cs"/>
          <w:rtl/>
          <w:lang w:bidi="ar-EG"/>
        </w:rPr>
        <w:t>ً</w:t>
      </w:r>
      <w:r>
        <w:rPr>
          <w:rtl/>
          <w:lang w:bidi="ar-EG"/>
        </w:rPr>
        <w:t xml:space="preserve"> أوليا</w:t>
      </w:r>
      <w:r w:rsidR="00C715C0">
        <w:rPr>
          <w:rFonts w:hint="cs"/>
          <w:rtl/>
          <w:lang w:bidi="ar-EG"/>
        </w:rPr>
        <w:t>ً</w:t>
      </w:r>
      <w:r>
        <w:rPr>
          <w:rtl/>
          <w:lang w:bidi="ar-EG"/>
        </w:rPr>
        <w:t>، وتدريبا</w:t>
      </w:r>
      <w:r w:rsidR="00C715C0">
        <w:rPr>
          <w:rFonts w:hint="cs"/>
          <w:rtl/>
          <w:lang w:bidi="ar-EG"/>
        </w:rPr>
        <w:t>ً</w:t>
      </w:r>
      <w:r>
        <w:rPr>
          <w:rtl/>
          <w:lang w:bidi="ar-EG"/>
        </w:rPr>
        <w:t xml:space="preserve"> على تنمية المهارات، ومساعدة استثمارية. ووزارة التنمية المحلية هي المسؤولة عن تعزيز نظام الإدارة المحلية وتيسير عملية التنمية في المناطق النائية وبرامج التخفيف من حدة الفقر عن طريق التعبئة الاجتماعية. وحسب الوارد في أهداف الخطة العاشرة، توفر الخطة الثلاثية السنوات المؤقتة وسياسة وبرامج الحكومة الراهنة مجالا</w:t>
      </w:r>
      <w:r w:rsidR="00110850">
        <w:rPr>
          <w:rFonts w:hint="cs"/>
          <w:rtl/>
          <w:lang w:bidi="ar-EG"/>
        </w:rPr>
        <w:t>ً</w:t>
      </w:r>
      <w:r>
        <w:rPr>
          <w:rtl/>
          <w:lang w:bidi="ar-EG"/>
        </w:rPr>
        <w:t xml:space="preserve"> كافيا</w:t>
      </w:r>
      <w:r w:rsidR="00110850">
        <w:rPr>
          <w:rFonts w:hint="cs"/>
          <w:rtl/>
          <w:lang w:bidi="ar-EG"/>
        </w:rPr>
        <w:t>ً</w:t>
      </w:r>
      <w:r>
        <w:rPr>
          <w:rtl/>
          <w:lang w:bidi="ar-EG"/>
        </w:rPr>
        <w:t xml:space="preserve"> لوزارة التنمية المحلية لكفالة التوزيع المنصف للموارد وقيام علاقات سلطة أفضل من بين الجماعات على المستوى المحلي وبين المرأة والرجل.</w:t>
      </w:r>
    </w:p>
    <w:p w:rsidR="000B7434" w:rsidRDefault="000B7434" w:rsidP="00110850">
      <w:pPr>
        <w:pStyle w:val="SingleTxtGA"/>
        <w:rPr>
          <w:rtl/>
          <w:lang w:bidi="ar-EG"/>
        </w:rPr>
      </w:pPr>
      <w:r>
        <w:rPr>
          <w:rtl/>
          <w:lang w:bidi="ar-EG"/>
        </w:rPr>
        <w:t>191-</w:t>
      </w:r>
      <w:r w:rsidR="00110850">
        <w:rPr>
          <w:rFonts w:hint="cs"/>
          <w:rtl/>
          <w:lang w:bidi="ar-EG"/>
        </w:rPr>
        <w:tab/>
      </w:r>
      <w:r>
        <w:rPr>
          <w:rtl/>
          <w:lang w:bidi="ar-EG"/>
        </w:rPr>
        <w:t>وضرورة مشاركة المرأة والفئات المحرومة الأخرى في ممارسات التخطيط والميزنة مدمجة بصورة جيدة في سياسات المؤسسات المحلية وقوانينها وأنظمتها. وبرنامج الإدارة المحلية للتنمية المجتمعية، بوصفه خلفا</w:t>
      </w:r>
      <w:r w:rsidR="00110850">
        <w:rPr>
          <w:rFonts w:hint="cs"/>
          <w:rtl/>
          <w:lang w:bidi="ar-EG"/>
        </w:rPr>
        <w:t>ً</w:t>
      </w:r>
      <w:r>
        <w:rPr>
          <w:rtl/>
          <w:lang w:bidi="ar-EG"/>
        </w:rPr>
        <w:t xml:space="preserve"> لبرنامج الإدارة المحلية والبرنامج </w:t>
      </w:r>
      <w:r>
        <w:rPr>
          <w:rFonts w:hint="cs"/>
          <w:rtl/>
          <w:lang w:bidi="ar-EG"/>
        </w:rPr>
        <w:t>التشاركي</w:t>
      </w:r>
      <w:r>
        <w:rPr>
          <w:rtl/>
          <w:lang w:bidi="ar-EG"/>
        </w:rPr>
        <w:t xml:space="preserve"> لتنمية المقاطعات، يراعي الجنسانية إلى حد كبير ويحاول أن يشرك المرأة في كل مراحل الأنشطة بالتنسيق مع الجماعات النسائية الأهلية (جمعية الأمهات، وجمعية المجتمعات الحرجية، والتعاونيات النسائية، </w:t>
      </w:r>
      <w:r w:rsidR="00110850">
        <w:rPr>
          <w:rFonts w:hint="cs"/>
          <w:rtl/>
          <w:lang w:bidi="ar-EG"/>
        </w:rPr>
        <w:t>إ</w:t>
      </w:r>
      <w:r>
        <w:rPr>
          <w:rtl/>
          <w:lang w:bidi="ar-EG"/>
        </w:rPr>
        <w:t>لخ) والمنظمات غير الحكومية العاملة في مجالات الاهتمام المواضيعية على المستوى المحلي. وتشكل الجمعيات النسائية 48 في المائة من التنظيمات المحلية التي يشجعها هذا</w:t>
      </w:r>
      <w:r w:rsidR="00110850">
        <w:rPr>
          <w:rFonts w:hint="cs"/>
          <w:rtl/>
          <w:lang w:bidi="ar-EG"/>
        </w:rPr>
        <w:t xml:space="preserve"> </w:t>
      </w:r>
      <w:r>
        <w:rPr>
          <w:rtl/>
          <w:lang w:bidi="ar-EG"/>
        </w:rPr>
        <w:t>البرنامج.</w:t>
      </w:r>
    </w:p>
    <w:p w:rsidR="000B7434" w:rsidRDefault="000B7434" w:rsidP="00110850">
      <w:pPr>
        <w:pStyle w:val="SingleTxtGA"/>
        <w:rPr>
          <w:rtl/>
          <w:lang w:bidi="ar-EG"/>
        </w:rPr>
      </w:pPr>
      <w:r>
        <w:rPr>
          <w:rtl/>
          <w:lang w:bidi="ar-EG"/>
        </w:rPr>
        <w:t>192-</w:t>
      </w:r>
      <w:r w:rsidR="00110850">
        <w:rPr>
          <w:rFonts w:hint="cs"/>
          <w:rtl/>
          <w:lang w:bidi="ar-EG"/>
        </w:rPr>
        <w:tab/>
      </w:r>
      <w:r>
        <w:rPr>
          <w:rtl/>
          <w:lang w:bidi="ar-EG"/>
        </w:rPr>
        <w:t>ونفذت الحكومة أيضا</w:t>
      </w:r>
      <w:r w:rsidR="00110850">
        <w:rPr>
          <w:rFonts w:hint="cs"/>
          <w:rtl/>
          <w:lang w:bidi="ar-EG"/>
        </w:rPr>
        <w:t>ً</w:t>
      </w:r>
      <w:r>
        <w:rPr>
          <w:rtl/>
          <w:lang w:bidi="ar-EG"/>
        </w:rPr>
        <w:t xml:space="preserve"> برنامج آخر لتنمية المرأة الريفية بشراكة مع مختلف مؤسسات الأمم المتحدة والمنظمات غير الحكومية الدولية. ويمثل العمل اللامركزي لصالح الطفل والمرأة الذي تدعمه اليونيسيف واحداً من الأمثلة الناجحة التي تستهدف المرأة والطفل من مستوى رسم السياسة إلى مستوى تقديم الخدمات. أما المشروع المتكامل للسكان والصحة التناسلية الذي يدعمه صندوق الأمم المتحدة للسكان فينفذ في 6 مقاطعات ويستهدف المرأة والجماعات المستبعدة اجتماعيا</w:t>
      </w:r>
      <w:r w:rsidR="00C715C0">
        <w:rPr>
          <w:rFonts w:hint="cs"/>
          <w:rtl/>
          <w:lang w:bidi="ar-EG"/>
        </w:rPr>
        <w:t>ً</w:t>
      </w:r>
      <w:r>
        <w:rPr>
          <w:rtl/>
          <w:lang w:bidi="ar-EG"/>
        </w:rPr>
        <w:t>.</w:t>
      </w:r>
    </w:p>
    <w:p w:rsidR="000B7434" w:rsidRPr="00B27A9A" w:rsidRDefault="000B7434" w:rsidP="006400A3">
      <w:pPr>
        <w:pStyle w:val="H23GA"/>
        <w:rPr>
          <w:rtl/>
          <w:lang w:bidi="ar-EG"/>
        </w:rPr>
      </w:pPr>
      <w:r>
        <w:rPr>
          <w:rtl/>
          <w:lang w:bidi="ar-EG"/>
        </w:rPr>
        <w:tab/>
      </w:r>
      <w:r>
        <w:rPr>
          <w:rtl/>
          <w:lang w:bidi="ar-EG"/>
        </w:rPr>
        <w:tab/>
      </w:r>
      <w:r w:rsidRPr="00B27A9A">
        <w:rPr>
          <w:rtl/>
          <w:lang w:bidi="ar-EG"/>
        </w:rPr>
        <w:t>تحديات المستقبل</w:t>
      </w:r>
    </w:p>
    <w:p w:rsidR="000B7434" w:rsidRDefault="000B7434" w:rsidP="006400A3">
      <w:pPr>
        <w:pStyle w:val="SingleTxt"/>
        <w:rPr>
          <w:rtl/>
          <w:lang w:bidi="ar-EG"/>
        </w:rPr>
      </w:pPr>
      <w:r>
        <w:rPr>
          <w:rtl/>
          <w:lang w:bidi="ar-EG"/>
        </w:rPr>
        <w:t>193-</w:t>
      </w:r>
      <w:r w:rsidR="006400A3">
        <w:rPr>
          <w:rFonts w:hint="cs"/>
          <w:rtl/>
          <w:lang w:bidi="ar-EG"/>
        </w:rPr>
        <w:tab/>
      </w:r>
      <w:r>
        <w:rPr>
          <w:rtl/>
          <w:lang w:bidi="ar-EG"/>
        </w:rPr>
        <w:t>تحديات المستقبل في هذا المجال هي التالية:</w:t>
      </w:r>
    </w:p>
    <w:p w:rsidR="000B7434" w:rsidRDefault="000B7434" w:rsidP="006400A3">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rtl/>
          <w:lang w:bidi="ar-EG"/>
        </w:rPr>
      </w:pPr>
      <w:r>
        <w:rPr>
          <w:rFonts w:hint="cs"/>
          <w:rtl/>
          <w:lang w:bidi="ar-EG"/>
        </w:rPr>
        <w:t>•</w:t>
      </w:r>
      <w:r>
        <w:rPr>
          <w:rtl/>
          <w:lang w:bidi="ar-EG"/>
        </w:rPr>
        <w:tab/>
        <w:t>رغم مختلف برامج التمكين الاقتصادي، لا يزال حصول المرأة على الائتمان المؤسسي هامشيا</w:t>
      </w:r>
      <w:r w:rsidR="00C715C0">
        <w:rPr>
          <w:rFonts w:hint="cs"/>
          <w:rtl/>
          <w:lang w:bidi="ar-EG"/>
        </w:rPr>
        <w:t>ً</w:t>
      </w:r>
      <w:r>
        <w:rPr>
          <w:rtl/>
          <w:lang w:bidi="ar-EG"/>
        </w:rPr>
        <w:t>. وبسبب الأمية والمعوقات الاجتماعية لا تمارس المرأة الفرص المتاحة لها. وبالإضافة إلى ذلك فإن حصول المرأة على الائتمان المؤسسي كان دائما</w:t>
      </w:r>
      <w:r w:rsidR="00C715C0">
        <w:rPr>
          <w:rFonts w:hint="cs"/>
          <w:rtl/>
          <w:lang w:bidi="ar-EG"/>
        </w:rPr>
        <w:t>ً</w:t>
      </w:r>
      <w:r>
        <w:rPr>
          <w:rtl/>
          <w:lang w:bidi="ar-EG"/>
        </w:rPr>
        <w:t xml:space="preserve"> يسجل معدلا</w:t>
      </w:r>
      <w:r w:rsidR="00C715C0">
        <w:rPr>
          <w:rFonts w:hint="cs"/>
          <w:rtl/>
          <w:lang w:bidi="ar-EG"/>
        </w:rPr>
        <w:t>ً</w:t>
      </w:r>
      <w:r>
        <w:rPr>
          <w:rtl/>
          <w:lang w:bidi="ar-EG"/>
        </w:rPr>
        <w:t xml:space="preserve"> أقل من معدل حصول الرجل على الائتمان، بغض النظر عن المنطقة الإيكولوجية، أو الوضع الحضري/الريفي، أو العرقية والطبقة</w:t>
      </w:r>
      <w:r w:rsidR="006400A3">
        <w:rPr>
          <w:rFonts w:hint="cs"/>
          <w:rtl/>
          <w:lang w:bidi="ar-EG"/>
        </w:rPr>
        <w:t>؛</w:t>
      </w:r>
    </w:p>
    <w:p w:rsidR="000B7434" w:rsidRPr="006400A3" w:rsidRDefault="000B7434" w:rsidP="006400A3">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spacing w:val="-2"/>
          <w:w w:val="100"/>
          <w:kern w:val="0"/>
          <w:rtl/>
          <w:lang w:bidi="ar-EG"/>
        </w:rPr>
      </w:pPr>
      <w:r w:rsidRPr="006400A3">
        <w:rPr>
          <w:rFonts w:hint="cs"/>
          <w:spacing w:val="-2"/>
          <w:w w:val="100"/>
          <w:kern w:val="0"/>
          <w:rtl/>
          <w:lang w:bidi="ar-EG"/>
        </w:rPr>
        <w:t>•</w:t>
      </w:r>
      <w:r w:rsidRPr="006400A3">
        <w:rPr>
          <w:spacing w:val="-2"/>
          <w:w w:val="100"/>
          <w:kern w:val="0"/>
          <w:rtl/>
          <w:lang w:bidi="ar-EG"/>
        </w:rPr>
        <w:tab/>
        <w:t>مع أن برنامج التنمية القروية في إطار برنامج الإدارة المحلية/البرنامج التشاركي لتنمية المقاطعات قد أوجد بعض التغييرات الهامة في الحياة الاقتصادية والاجتماعية لأعضاء التجمعات النسائية، فإن الجوانب المتعلقة بتمكين المرأة وبالجهود الرامية إلى تغيير العقائدية الجنسانية والأدوار النمطية للجنسين لا تزال متخلفةً كثيرا</w:t>
      </w:r>
      <w:r w:rsidR="00C715C0">
        <w:rPr>
          <w:rFonts w:hint="cs"/>
          <w:spacing w:val="-2"/>
          <w:w w:val="100"/>
          <w:kern w:val="0"/>
          <w:rtl/>
          <w:lang w:bidi="ar-EG"/>
        </w:rPr>
        <w:t>ً</w:t>
      </w:r>
      <w:r w:rsidRPr="006400A3">
        <w:rPr>
          <w:spacing w:val="-2"/>
          <w:w w:val="100"/>
          <w:kern w:val="0"/>
          <w:rtl/>
          <w:lang w:bidi="ar-EG"/>
        </w:rPr>
        <w:t>. أما تنفيذ المطلب الإلزامي بمشاركة المرأة في كل خطوة من عملية التخطيط والبرمجة فقد اتسم بالضعف. وانصب التركيز على عدد قليل من النساء الرائدات بدلا</w:t>
      </w:r>
      <w:r w:rsidR="00C715C0">
        <w:rPr>
          <w:rFonts w:hint="cs"/>
          <w:spacing w:val="-2"/>
          <w:w w:val="100"/>
          <w:kern w:val="0"/>
          <w:rtl/>
          <w:lang w:bidi="ar-EG"/>
        </w:rPr>
        <w:t>ً</w:t>
      </w:r>
      <w:r w:rsidRPr="006400A3">
        <w:rPr>
          <w:spacing w:val="-2"/>
          <w:w w:val="100"/>
          <w:kern w:val="0"/>
          <w:rtl/>
          <w:lang w:bidi="ar-EG"/>
        </w:rPr>
        <w:t xml:space="preserve"> من أن ينصب على تعزيز ديناميات التجمعات. وعلاوة على ذلك فإن عدم كفاية الموارد يمثل أحد التحديات الرئيسية التي تعتور طريق تنفيذ البرامج المذكورة أعلاه</w:t>
      </w:r>
      <w:r w:rsidR="006400A3" w:rsidRPr="006400A3">
        <w:rPr>
          <w:rFonts w:hint="cs"/>
          <w:spacing w:val="-2"/>
          <w:w w:val="100"/>
          <w:kern w:val="0"/>
          <w:rtl/>
          <w:lang w:bidi="ar-EG"/>
        </w:rPr>
        <w:t>.</w:t>
      </w:r>
    </w:p>
    <w:p w:rsidR="000B7434" w:rsidRDefault="000B7434" w:rsidP="006400A3">
      <w:pPr>
        <w:pStyle w:val="H1GA"/>
        <w:jc w:val="left"/>
        <w:rPr>
          <w:rtl/>
          <w:lang w:bidi="ar-EG"/>
        </w:rPr>
      </w:pPr>
      <w:r w:rsidRPr="004A5545">
        <w:rPr>
          <w:sz w:val="26"/>
          <w:szCs w:val="36"/>
          <w:rtl/>
          <w:lang w:bidi="ar-EG"/>
        </w:rPr>
        <w:tab/>
      </w:r>
      <w:r w:rsidRPr="004A5545">
        <w:rPr>
          <w:sz w:val="26"/>
          <w:szCs w:val="36"/>
          <w:rtl/>
          <w:lang w:bidi="ar-EG"/>
        </w:rPr>
        <w:tab/>
      </w:r>
      <w:r w:rsidRPr="004A5545">
        <w:rPr>
          <w:sz w:val="34"/>
          <w:rtl/>
          <w:lang w:bidi="ar-EG"/>
        </w:rPr>
        <w:t>المادة 15</w:t>
      </w:r>
      <w:r w:rsidRPr="004A5545">
        <w:rPr>
          <w:rFonts w:hint="cs"/>
          <w:sz w:val="26"/>
          <w:szCs w:val="36"/>
          <w:rtl/>
          <w:lang w:bidi="ar-EG"/>
        </w:rPr>
        <w:br/>
      </w:r>
      <w:r>
        <w:rPr>
          <w:rtl/>
          <w:lang w:bidi="ar-EG"/>
        </w:rPr>
        <w:t>الحقوق القانونية</w:t>
      </w:r>
    </w:p>
    <w:p w:rsidR="000B7434" w:rsidRPr="00D744E1" w:rsidRDefault="000B7434" w:rsidP="006400A3">
      <w:pPr>
        <w:pStyle w:val="H23GA"/>
        <w:rPr>
          <w:rtl/>
          <w:lang w:bidi="ar-EG"/>
        </w:rPr>
      </w:pPr>
      <w:r>
        <w:rPr>
          <w:rtl/>
          <w:lang w:bidi="ar-EG"/>
        </w:rPr>
        <w:tab/>
      </w:r>
      <w:r>
        <w:rPr>
          <w:rtl/>
          <w:lang w:bidi="ar-EG"/>
        </w:rPr>
        <w:tab/>
      </w:r>
      <w:r w:rsidRPr="00D744E1">
        <w:rPr>
          <w:rtl/>
          <w:lang w:bidi="ar-EG"/>
        </w:rPr>
        <w:t>معلومات أساسية/مبادرات التغيير</w:t>
      </w:r>
    </w:p>
    <w:p w:rsidR="000B7434" w:rsidRDefault="000B7434" w:rsidP="006400A3">
      <w:pPr>
        <w:pStyle w:val="SingleTxtGA"/>
        <w:rPr>
          <w:rtl/>
          <w:lang w:bidi="ar-EG"/>
        </w:rPr>
      </w:pPr>
      <w:r>
        <w:rPr>
          <w:rtl/>
          <w:lang w:bidi="ar-EG"/>
        </w:rPr>
        <w:t>194-</w:t>
      </w:r>
      <w:r w:rsidR="006400A3">
        <w:rPr>
          <w:rFonts w:hint="cs"/>
          <w:rtl/>
          <w:lang w:bidi="ar-EG"/>
        </w:rPr>
        <w:tab/>
      </w:r>
      <w:r>
        <w:rPr>
          <w:rtl/>
          <w:lang w:bidi="ar-EG"/>
        </w:rPr>
        <w:t xml:space="preserve">كفالة للحقوق القانونية القائمة على مبدأ </w:t>
      </w:r>
      <w:r w:rsidR="00D62BA8">
        <w:rPr>
          <w:rtl/>
          <w:lang w:bidi="ar-EG"/>
        </w:rPr>
        <w:t>"</w:t>
      </w:r>
      <w:r>
        <w:rPr>
          <w:rtl/>
          <w:lang w:bidi="ar-EG"/>
        </w:rPr>
        <w:t>المساواة مع الرجل أمام القانون</w:t>
      </w:r>
      <w:r w:rsidR="00D62BA8">
        <w:rPr>
          <w:rtl/>
          <w:lang w:bidi="ar-EG"/>
        </w:rPr>
        <w:t>"</w:t>
      </w:r>
      <w:r>
        <w:rPr>
          <w:rtl/>
          <w:lang w:bidi="ar-EG"/>
        </w:rPr>
        <w:t xml:space="preserve"> التي تركز على المسائل المدنية، والعقود وإدارة الممتلكات، وحركة الأشخاص والحرية في اختيار المنزل ومكان الإقامة، يمنح الدستور المؤقت عددا</w:t>
      </w:r>
      <w:r w:rsidR="00C715C0">
        <w:rPr>
          <w:rFonts w:hint="cs"/>
          <w:rtl/>
          <w:lang w:bidi="ar-EG"/>
        </w:rPr>
        <w:t>ً</w:t>
      </w:r>
      <w:r>
        <w:rPr>
          <w:rtl/>
          <w:lang w:bidi="ar-EG"/>
        </w:rPr>
        <w:t xml:space="preserve"> من الضمانات بموجب الحقوق الأساسية التي تضفي أثرا</w:t>
      </w:r>
      <w:r w:rsidR="006400A3">
        <w:rPr>
          <w:rFonts w:hint="cs"/>
          <w:rtl/>
          <w:lang w:bidi="ar-EG"/>
        </w:rPr>
        <w:t>ً</w:t>
      </w:r>
      <w:r>
        <w:rPr>
          <w:rtl/>
          <w:lang w:bidi="ar-EG"/>
        </w:rPr>
        <w:t xml:space="preserve"> قانونيا</w:t>
      </w:r>
      <w:r w:rsidR="006400A3">
        <w:rPr>
          <w:rFonts w:hint="cs"/>
          <w:rtl/>
          <w:lang w:bidi="ar-EG"/>
        </w:rPr>
        <w:t>ً</w:t>
      </w:r>
      <w:r>
        <w:rPr>
          <w:rtl/>
          <w:lang w:bidi="ar-EG"/>
        </w:rPr>
        <w:t xml:space="preserve"> كاملا</w:t>
      </w:r>
      <w:r w:rsidR="006400A3">
        <w:rPr>
          <w:rFonts w:hint="cs"/>
          <w:rtl/>
          <w:lang w:bidi="ar-EG"/>
        </w:rPr>
        <w:t>ً</w:t>
      </w:r>
      <w:r>
        <w:rPr>
          <w:rtl/>
          <w:lang w:bidi="ar-EG"/>
        </w:rPr>
        <w:t xml:space="preserve"> على الحق في الحصول على استحقاقات قانونية تتبعها سبل انتصاف يمنحها الدستور. وتُفتتح المادة 12 من الدستور، المعنونة </w:t>
      </w:r>
      <w:r w:rsidR="00D62BA8">
        <w:rPr>
          <w:rtl/>
          <w:lang w:bidi="ar-EG"/>
        </w:rPr>
        <w:t>"</w:t>
      </w:r>
      <w:r>
        <w:rPr>
          <w:rtl/>
          <w:lang w:bidi="ar-EG"/>
        </w:rPr>
        <w:t>الحق في الحرية</w:t>
      </w:r>
      <w:r w:rsidR="00D62BA8">
        <w:rPr>
          <w:rtl/>
          <w:lang w:bidi="ar-EG"/>
        </w:rPr>
        <w:t>"</w:t>
      </w:r>
      <w:r>
        <w:rPr>
          <w:rtl/>
          <w:lang w:bidi="ar-EG"/>
        </w:rPr>
        <w:t xml:space="preserve"> بصيغة مؤيدة لحقوق الإنسان ذاكرة أن </w:t>
      </w:r>
      <w:r w:rsidR="00D62BA8">
        <w:rPr>
          <w:rtl/>
          <w:lang w:bidi="ar-EG"/>
        </w:rPr>
        <w:t>"</w:t>
      </w:r>
      <w:r>
        <w:rPr>
          <w:rtl/>
          <w:lang w:bidi="ar-EG"/>
        </w:rPr>
        <w:t>لكل شخص الحق في الحياة بكرامة</w:t>
      </w:r>
      <w:r w:rsidR="00D62BA8">
        <w:rPr>
          <w:rtl/>
          <w:lang w:bidi="ar-EG"/>
        </w:rPr>
        <w:t>"</w:t>
      </w:r>
      <w:r>
        <w:rPr>
          <w:rtl/>
          <w:lang w:bidi="ar-EG"/>
        </w:rPr>
        <w:t xml:space="preserve">. وتكمل هذه المادة </w:t>
      </w:r>
      <w:r w:rsidR="00D62BA8">
        <w:rPr>
          <w:rtl/>
          <w:lang w:bidi="ar-EG"/>
        </w:rPr>
        <w:t>"</w:t>
      </w:r>
      <w:r>
        <w:rPr>
          <w:rtl/>
          <w:lang w:bidi="ar-EG"/>
        </w:rPr>
        <w:t>الحق في المساواة</w:t>
      </w:r>
      <w:r w:rsidR="00D62BA8">
        <w:rPr>
          <w:rtl/>
          <w:lang w:bidi="ar-EG"/>
        </w:rPr>
        <w:t>"</w:t>
      </w:r>
      <w:r>
        <w:rPr>
          <w:rtl/>
          <w:lang w:bidi="ar-EG"/>
        </w:rPr>
        <w:t xml:space="preserve"> المضمون بموجب المادة 13. وإطار المساواة بموجب الدستور يحترم مبدأي المساواة وعدم التمييز وله مجال تأويل أرحب لتحقيق المساواة الجوهرية التي تتطلبها الاتفاقية. وعلاوة على ذلك، فإن المادة 20 من الدستور المعنونة بوضوح </w:t>
      </w:r>
      <w:r w:rsidR="00D62BA8">
        <w:rPr>
          <w:rtl/>
          <w:lang w:bidi="ar-EG"/>
        </w:rPr>
        <w:t>"</w:t>
      </w:r>
      <w:r>
        <w:rPr>
          <w:rtl/>
          <w:lang w:bidi="ar-EG"/>
        </w:rPr>
        <w:t>حقوق المرأة</w:t>
      </w:r>
      <w:r w:rsidR="00D62BA8">
        <w:rPr>
          <w:rtl/>
          <w:lang w:bidi="ar-EG"/>
        </w:rPr>
        <w:t>"</w:t>
      </w:r>
      <w:r>
        <w:rPr>
          <w:rtl/>
          <w:lang w:bidi="ar-EG"/>
        </w:rPr>
        <w:t xml:space="preserve"> تنص على مبدأ توجيهي جلي بغية تناول كل من التمييز المباشر وغير المباشر. وهذه المادة التي تذكر </w:t>
      </w:r>
      <w:r w:rsidR="00D62BA8">
        <w:rPr>
          <w:rtl/>
          <w:lang w:bidi="ar-EG"/>
        </w:rPr>
        <w:t>"</w:t>
      </w:r>
      <w:r>
        <w:rPr>
          <w:rtl/>
          <w:lang w:bidi="ar-EG"/>
        </w:rPr>
        <w:t>لا يتعرض أي شخص للتمييز بأي شكل من الأشكال لمجرد كون ذلك الشخص امرأة</w:t>
      </w:r>
      <w:r w:rsidR="00D62BA8">
        <w:rPr>
          <w:rtl/>
          <w:lang w:bidi="ar-EG"/>
        </w:rPr>
        <w:t>"</w:t>
      </w:r>
      <w:r>
        <w:rPr>
          <w:rtl/>
          <w:lang w:bidi="ar-EG"/>
        </w:rPr>
        <w:t xml:space="preserve"> تتماشى على نحو كامل مع الاتفاقية. ونسجا</w:t>
      </w:r>
      <w:r w:rsidR="00C715C0">
        <w:rPr>
          <w:rFonts w:hint="cs"/>
          <w:rtl/>
          <w:lang w:bidi="ar-EG"/>
        </w:rPr>
        <w:t>ً</w:t>
      </w:r>
      <w:r>
        <w:rPr>
          <w:rtl/>
          <w:lang w:bidi="ar-EG"/>
        </w:rPr>
        <w:t xml:space="preserve"> على المنوال ذاته، تم تعديل القوانين التمييزية المتعلقة بالممتلكات والأمور المدنية الأخرى. وكما هو مذكور في إطار المادتين 1</w:t>
      </w:r>
      <w:r>
        <w:rPr>
          <w:rFonts w:hint="cs"/>
          <w:rtl/>
          <w:lang w:bidi="ar-EG"/>
        </w:rPr>
        <w:t> </w:t>
      </w:r>
      <w:r>
        <w:rPr>
          <w:rtl/>
          <w:lang w:bidi="ar-EG"/>
        </w:rPr>
        <w:t>و2 أعلاه، أجري قدر كبير من التعديلات في هذا الخصوص في القانون المدني وفي قوانين محددة أخرى.</w:t>
      </w:r>
    </w:p>
    <w:p w:rsidR="000B7434" w:rsidRDefault="000B7434" w:rsidP="006400A3">
      <w:pPr>
        <w:pStyle w:val="SingleTxtGA"/>
        <w:rPr>
          <w:rtl/>
          <w:lang w:bidi="ar-EG"/>
        </w:rPr>
      </w:pPr>
      <w:r>
        <w:rPr>
          <w:rtl/>
          <w:lang w:bidi="ar-EG"/>
        </w:rPr>
        <w:t>195-</w:t>
      </w:r>
      <w:r>
        <w:rPr>
          <w:rtl/>
          <w:lang w:bidi="ar-EG"/>
        </w:rPr>
        <w:tab/>
        <w:t>وبغية زيادة حصول المرأة على ملكية الأراضي في السنة المالية الراهنة، أعلنت الحكومة حسماً بنسبة 25 في المائة في رسوم تسجيل الأراضي. وكان هذا الحسم في السابق بمعدل 20 في المائة. وإضافة إلى ذلك، أعلنت الحكومة تنزيلاً بنسبة 10 في المائة في ضريبة الدخل للنساء للسنة المالية 2008-2009. ومن الضروري أن يشجع ذلك مزاولات الأعمال الحرة على الاشتراك في مزيد من الأنشطة المدرة للدخل وبذلك يوجد نمطاً للدخل أكثر توازنا</w:t>
      </w:r>
      <w:r w:rsidR="004A5545">
        <w:rPr>
          <w:rFonts w:hint="cs"/>
          <w:rtl/>
          <w:lang w:bidi="ar-EG"/>
        </w:rPr>
        <w:t>ً</w:t>
      </w:r>
      <w:r>
        <w:rPr>
          <w:rtl/>
          <w:lang w:bidi="ar-EG"/>
        </w:rPr>
        <w:t xml:space="preserve"> بين الجنسين.</w:t>
      </w:r>
    </w:p>
    <w:p w:rsidR="000B7434" w:rsidRPr="00E570E2" w:rsidRDefault="000B7434" w:rsidP="006400A3">
      <w:pPr>
        <w:pStyle w:val="H23GA"/>
        <w:rPr>
          <w:rtl/>
          <w:lang w:bidi="ar-EG"/>
        </w:rPr>
      </w:pPr>
      <w:r>
        <w:rPr>
          <w:rtl/>
          <w:lang w:bidi="ar-EG"/>
        </w:rPr>
        <w:tab/>
      </w:r>
      <w:r>
        <w:rPr>
          <w:rtl/>
          <w:lang w:bidi="ar-EG"/>
        </w:rPr>
        <w:tab/>
      </w:r>
      <w:r w:rsidRPr="00E570E2">
        <w:rPr>
          <w:rtl/>
          <w:lang w:bidi="ar-EG"/>
        </w:rPr>
        <w:t>تحديات المستقبل</w:t>
      </w:r>
    </w:p>
    <w:p w:rsidR="000B7434" w:rsidRDefault="000B7434" w:rsidP="006400A3">
      <w:pPr>
        <w:pStyle w:val="SingleTxtGA"/>
        <w:rPr>
          <w:rtl/>
          <w:lang w:bidi="ar-EG"/>
        </w:rPr>
      </w:pPr>
      <w:r>
        <w:rPr>
          <w:rtl/>
          <w:lang w:bidi="ar-EG"/>
        </w:rPr>
        <w:t>196-</w:t>
      </w:r>
      <w:r w:rsidR="006400A3">
        <w:rPr>
          <w:rFonts w:hint="cs"/>
          <w:rtl/>
          <w:lang w:bidi="ar-EG"/>
        </w:rPr>
        <w:tab/>
      </w:r>
      <w:r>
        <w:rPr>
          <w:rtl/>
          <w:lang w:bidi="ar-EG"/>
        </w:rPr>
        <w:t>رغم هذه التدابير القانونية وتدابير السياسة العامة، لا يزال حصول المرأة على الممتلكات غير المنقولة وعلى الائتمانات محدودا</w:t>
      </w:r>
      <w:r w:rsidR="00C715C0">
        <w:rPr>
          <w:rFonts w:hint="cs"/>
          <w:rtl/>
          <w:lang w:bidi="ar-EG"/>
        </w:rPr>
        <w:t>ً</w:t>
      </w:r>
      <w:r>
        <w:rPr>
          <w:rtl/>
          <w:lang w:bidi="ar-EG"/>
        </w:rPr>
        <w:t>. وثمة عوامل اقتصادية واجتماعية وثقافية وسياسية مسؤولة عن منع المرأة من التمتع بحقوقها القانونية، وبالأخص نساء الداليت والفئات المهمشة الأخرى. ورغم أن المادة 20 من الدستور المؤقت تضمن حقوق المرأة في الملكية، فإن حقوقها في الممتلكات الموروثة عن الأبوين وممتلكات الأصهار لم تتحقق على نحو جوهري.</w:t>
      </w:r>
    </w:p>
    <w:p w:rsidR="000B7434" w:rsidRDefault="000B7434" w:rsidP="006400A3">
      <w:pPr>
        <w:pStyle w:val="H1GA"/>
        <w:jc w:val="left"/>
        <w:rPr>
          <w:rtl/>
          <w:lang w:bidi="ar-EG"/>
        </w:rPr>
      </w:pPr>
      <w:r>
        <w:rPr>
          <w:rtl/>
          <w:lang w:bidi="ar-EG"/>
        </w:rPr>
        <w:tab/>
      </w:r>
      <w:r>
        <w:rPr>
          <w:rtl/>
          <w:lang w:bidi="ar-EG"/>
        </w:rPr>
        <w:tab/>
      </w:r>
      <w:r w:rsidRPr="00E570E2">
        <w:rPr>
          <w:rtl/>
          <w:lang w:bidi="ar-EG"/>
        </w:rPr>
        <w:t>المادة 16</w:t>
      </w:r>
      <w:r>
        <w:rPr>
          <w:rFonts w:hint="cs"/>
          <w:rtl/>
          <w:lang w:bidi="ar-EG"/>
        </w:rPr>
        <w:br/>
      </w:r>
      <w:r w:rsidRPr="00E570E2">
        <w:rPr>
          <w:rtl/>
          <w:lang w:bidi="ar-EG"/>
        </w:rPr>
        <w:t>الزواج والعلاقات الأسرية</w:t>
      </w:r>
    </w:p>
    <w:p w:rsidR="000B7434" w:rsidRDefault="000B7434" w:rsidP="006400A3">
      <w:pPr>
        <w:pStyle w:val="H23GA"/>
        <w:rPr>
          <w:rtl/>
          <w:lang w:bidi="ar-EG"/>
        </w:rPr>
      </w:pPr>
      <w:r>
        <w:rPr>
          <w:rtl/>
          <w:lang w:bidi="ar-EG"/>
        </w:rPr>
        <w:tab/>
      </w:r>
      <w:r>
        <w:rPr>
          <w:rtl/>
          <w:lang w:bidi="ar-EG"/>
        </w:rPr>
        <w:tab/>
        <w:t>معلومات أساسية</w:t>
      </w:r>
    </w:p>
    <w:p w:rsidR="000B7434" w:rsidRDefault="000B7434" w:rsidP="006400A3">
      <w:pPr>
        <w:pStyle w:val="SingleTxtGA"/>
        <w:rPr>
          <w:rtl/>
          <w:lang w:bidi="ar-EG"/>
        </w:rPr>
      </w:pPr>
      <w:r w:rsidRPr="006400A3">
        <w:rPr>
          <w:spacing w:val="-2"/>
          <w:rtl/>
          <w:lang w:bidi="ar-EG"/>
        </w:rPr>
        <w:t>197-</w:t>
      </w:r>
      <w:r w:rsidR="006400A3" w:rsidRPr="006400A3">
        <w:rPr>
          <w:rFonts w:hint="cs"/>
          <w:spacing w:val="-2"/>
          <w:rtl/>
          <w:lang w:bidi="ar-EG"/>
        </w:rPr>
        <w:tab/>
      </w:r>
      <w:r w:rsidRPr="006400A3">
        <w:rPr>
          <w:spacing w:val="-2"/>
          <w:rtl/>
          <w:lang w:bidi="ar-EG"/>
        </w:rPr>
        <w:t>يعتبر الزواج المبكر في نيبال واحداً من العوامل الرئيسية لتزايد عدد السكان. ونمط الزواج عامل هام في تحديد مستوى الخصوبة. وتشير البيانات المستقاة من الدراسة الاستقصائية للصحة الأسرية لعام 1996 والدراستين الاستقصائيتين لصحة السك</w:t>
      </w:r>
      <w:r w:rsidR="006400A3" w:rsidRPr="006400A3">
        <w:rPr>
          <w:spacing w:val="-2"/>
          <w:rtl/>
          <w:lang w:bidi="ar-EG"/>
        </w:rPr>
        <w:t>ان اللتين أجريتا في عامي 2001 و</w:t>
      </w:r>
      <w:r w:rsidRPr="006400A3">
        <w:rPr>
          <w:spacing w:val="-2"/>
          <w:rtl/>
          <w:lang w:bidi="ar-EG"/>
        </w:rPr>
        <w:t>2006 إلى أن نسبة النساء غير المتزوجات في الفئة العمرية بين 15</w:t>
      </w:r>
      <w:r w:rsidR="006400A3" w:rsidRPr="006400A3">
        <w:rPr>
          <w:rFonts w:hint="cs"/>
          <w:spacing w:val="-2"/>
          <w:rtl/>
          <w:lang w:bidi="ar-EG"/>
        </w:rPr>
        <w:t xml:space="preserve"> </w:t>
      </w:r>
      <w:r w:rsidRPr="006400A3">
        <w:rPr>
          <w:spacing w:val="-2"/>
          <w:rtl/>
          <w:lang w:bidi="ar-EG"/>
        </w:rPr>
        <w:t>و</w:t>
      </w:r>
      <w:r w:rsidR="006400A3" w:rsidRPr="006400A3">
        <w:rPr>
          <w:spacing w:val="-2"/>
          <w:rtl/>
          <w:lang w:bidi="ar-EG"/>
        </w:rPr>
        <w:t xml:space="preserve">19 سنة </w:t>
      </w:r>
      <w:r w:rsidR="006400A3">
        <w:rPr>
          <w:rFonts w:hint="cs"/>
          <w:spacing w:val="-2"/>
          <w:rtl/>
          <w:lang w:bidi="ar-EG"/>
        </w:rPr>
        <w:t xml:space="preserve">    </w:t>
      </w:r>
      <w:r w:rsidR="006400A3">
        <w:rPr>
          <w:rtl/>
          <w:lang w:bidi="ar-EG"/>
        </w:rPr>
        <w:t>والفئة العمرية 20 و</w:t>
      </w:r>
      <w:r>
        <w:rPr>
          <w:rtl/>
          <w:lang w:bidi="ar-EG"/>
        </w:rPr>
        <w:t>24 سنة قد ازدادت بنسبة 21 في المائة. (التفاصيل مذكورة في إطار المادة 12 أعلاه).</w:t>
      </w:r>
    </w:p>
    <w:p w:rsidR="000B7434" w:rsidRDefault="000B7434" w:rsidP="006400A3">
      <w:pPr>
        <w:pStyle w:val="SingleTxtGA"/>
        <w:rPr>
          <w:rtl/>
          <w:lang w:bidi="ar-EG"/>
        </w:rPr>
      </w:pPr>
      <w:r>
        <w:rPr>
          <w:rtl/>
          <w:lang w:bidi="ar-EG"/>
        </w:rPr>
        <w:t>198-</w:t>
      </w:r>
      <w:r w:rsidR="006400A3">
        <w:rPr>
          <w:rFonts w:hint="cs"/>
          <w:rtl/>
          <w:lang w:bidi="ar-EG"/>
        </w:rPr>
        <w:tab/>
      </w:r>
      <w:r>
        <w:rPr>
          <w:rtl/>
          <w:lang w:bidi="ar-EG"/>
        </w:rPr>
        <w:t>ووفقا</w:t>
      </w:r>
      <w:r w:rsidR="006400A3">
        <w:rPr>
          <w:rFonts w:hint="cs"/>
          <w:rtl/>
          <w:lang w:bidi="ar-EG"/>
        </w:rPr>
        <w:t>ً</w:t>
      </w:r>
      <w:r>
        <w:rPr>
          <w:rtl/>
          <w:lang w:bidi="ar-EG"/>
        </w:rPr>
        <w:t xml:space="preserve"> للدراسة الاستقصائية لعام 2001 وجد أن 478 277 (5.7 في المائة) من الرجال المتزوجين يعيشون مع أكثر من زوجة واحدة. كما أن حالة المرأة التي لها مركز الزوجة الأولى هي دون حالة الزوجة الثانية وعرضة للعنف المنزلي بالمقارنة. ولذلك فإن احتفاظ الرجل بزوجتين بعدد من الزوجات يعيق المرأة عن ممارسة حقوقها. وأظهرت بيانات الدراسة الاستقصائية اتجاها</w:t>
      </w:r>
      <w:r w:rsidR="00C715C0">
        <w:rPr>
          <w:rFonts w:hint="cs"/>
          <w:rtl/>
          <w:lang w:bidi="ar-EG"/>
        </w:rPr>
        <w:t>ً</w:t>
      </w:r>
      <w:r>
        <w:rPr>
          <w:rtl/>
          <w:lang w:bidi="ar-EG"/>
        </w:rPr>
        <w:t xml:space="preserve"> نحو التناقص في تعدد الزوجات. وقد يكون ذلك عائدا</w:t>
      </w:r>
      <w:r w:rsidR="00C715C0">
        <w:rPr>
          <w:rFonts w:hint="cs"/>
          <w:rtl/>
          <w:lang w:bidi="ar-EG"/>
        </w:rPr>
        <w:t>ً</w:t>
      </w:r>
      <w:r>
        <w:rPr>
          <w:rtl/>
          <w:lang w:bidi="ar-EG"/>
        </w:rPr>
        <w:t xml:space="preserve"> إلى الزيادة في العقوبة وإلى عوامل أخرى مثل النسبة المتناقصة لزواج الأطفال، وارتفاع معدل محو الأمية وما إلى ذلك.</w:t>
      </w:r>
    </w:p>
    <w:p w:rsidR="000B7434" w:rsidRDefault="000B7434" w:rsidP="006400A3">
      <w:pPr>
        <w:pStyle w:val="H23GA"/>
        <w:rPr>
          <w:rtl/>
          <w:lang w:bidi="ar-EG"/>
        </w:rPr>
      </w:pPr>
      <w:r>
        <w:rPr>
          <w:rtl/>
          <w:lang w:bidi="ar-EG"/>
        </w:rPr>
        <w:tab/>
      </w:r>
      <w:r>
        <w:rPr>
          <w:rtl/>
          <w:lang w:bidi="ar-EG"/>
        </w:rPr>
        <w:tab/>
        <w:t>الطلاق</w:t>
      </w:r>
    </w:p>
    <w:p w:rsidR="000B7434" w:rsidRDefault="000B7434" w:rsidP="006400A3">
      <w:pPr>
        <w:pStyle w:val="SingleTxtGA"/>
        <w:rPr>
          <w:rtl/>
          <w:lang w:bidi="ar-EG"/>
        </w:rPr>
      </w:pPr>
      <w:r>
        <w:rPr>
          <w:rtl/>
          <w:lang w:bidi="ar-EG"/>
        </w:rPr>
        <w:t>199-</w:t>
      </w:r>
      <w:r w:rsidR="006400A3">
        <w:rPr>
          <w:rFonts w:hint="cs"/>
          <w:rtl/>
          <w:lang w:bidi="ar-EG"/>
        </w:rPr>
        <w:tab/>
      </w:r>
      <w:r>
        <w:rPr>
          <w:rtl/>
          <w:lang w:bidi="ar-EG"/>
        </w:rPr>
        <w:t>تبلغ نسبة النساء المطلقات أو المنفصلات عن أزواجهن 0.42 من مجموع عدد النساء المتزوجات. ومن بين مجموع النساء المطلقات وجد أن 122 8 (43.5 في المائة) امرأة لم تل</w:t>
      </w:r>
      <w:r w:rsidR="00C715C0">
        <w:rPr>
          <w:rFonts w:hint="cs"/>
          <w:rtl/>
          <w:lang w:bidi="ar-EG"/>
        </w:rPr>
        <w:t>ـ</w:t>
      </w:r>
      <w:r>
        <w:rPr>
          <w:rtl/>
          <w:lang w:bidi="ar-EG"/>
        </w:rPr>
        <w:t xml:space="preserve">د أي طفل. ويسجل مكتب الإحصاء المركزي (لعام 2001) أنه تم </w:t>
      </w:r>
      <w:r w:rsidR="00C715C0">
        <w:rPr>
          <w:rFonts w:hint="cs"/>
          <w:rtl/>
          <w:lang w:bidi="ar-EG"/>
        </w:rPr>
        <w:t xml:space="preserve">           </w:t>
      </w:r>
      <w:r>
        <w:rPr>
          <w:rtl/>
          <w:lang w:bidi="ar-EG"/>
        </w:rPr>
        <w:t>طلاق 357 3 امرأة ممن لم يلدن سوى إناث. وقد ثبت بالفعل أنّ هذا المجال الأسري من العنف</w:t>
      </w:r>
      <w:r w:rsidRPr="00210C02">
        <w:rPr>
          <w:rtl/>
          <w:lang w:bidi="ar-EG"/>
        </w:rPr>
        <w:t xml:space="preserve"> </w:t>
      </w:r>
      <w:r>
        <w:rPr>
          <w:rtl/>
          <w:lang w:bidi="ar-EG"/>
        </w:rPr>
        <w:t>القائم على الجنسانية هو واحدٌ من العوامل التي تدفع على الطلاق. وتبرر هذه الاتجاه كل من القضايا التي تم الفصل فيها داخل المحاكم وخارجها.</w:t>
      </w:r>
    </w:p>
    <w:p w:rsidR="000B7434" w:rsidRPr="00210C02" w:rsidRDefault="000B7434" w:rsidP="006400A3">
      <w:pPr>
        <w:pStyle w:val="H23GA"/>
        <w:rPr>
          <w:rtl/>
          <w:lang w:bidi="ar-EG"/>
        </w:rPr>
      </w:pPr>
      <w:r>
        <w:rPr>
          <w:rtl/>
          <w:lang w:bidi="ar-EG"/>
        </w:rPr>
        <w:tab/>
      </w:r>
      <w:r>
        <w:rPr>
          <w:rtl/>
          <w:lang w:bidi="ar-EG"/>
        </w:rPr>
        <w:tab/>
      </w:r>
      <w:r w:rsidRPr="00210C02">
        <w:rPr>
          <w:rtl/>
          <w:lang w:bidi="ar-EG"/>
        </w:rPr>
        <w:t>إعادة الزواج</w:t>
      </w:r>
    </w:p>
    <w:p w:rsidR="000B7434" w:rsidRDefault="000B7434" w:rsidP="006400A3">
      <w:pPr>
        <w:pStyle w:val="SingleTxtGA"/>
        <w:rPr>
          <w:rtl/>
          <w:lang w:bidi="ar-EG"/>
        </w:rPr>
      </w:pPr>
      <w:r>
        <w:rPr>
          <w:rtl/>
          <w:lang w:bidi="ar-EG"/>
        </w:rPr>
        <w:t>200-</w:t>
      </w:r>
      <w:r w:rsidR="006400A3">
        <w:rPr>
          <w:rFonts w:hint="cs"/>
          <w:rtl/>
          <w:lang w:bidi="ar-EG"/>
        </w:rPr>
        <w:tab/>
      </w:r>
      <w:r>
        <w:rPr>
          <w:rtl/>
          <w:lang w:bidi="ar-EG"/>
        </w:rPr>
        <w:t>عدد النساء المتزوجات للمرة الثانية</w:t>
      </w:r>
      <w:r w:rsidRPr="00210C02">
        <w:rPr>
          <w:rtl/>
          <w:lang w:bidi="ar-EG"/>
        </w:rPr>
        <w:t xml:space="preserve"> </w:t>
      </w:r>
      <w:r>
        <w:rPr>
          <w:rtl/>
          <w:lang w:bidi="ar-EG"/>
        </w:rPr>
        <w:t>في كل الفئات العمرية أدنى من عدد الرجال الذين أعادوا الزواج. وتظهر البيانات المقدمة في الجدول أن العدد الأكبر من الرجال المتزوجين ثانية هم في سن 50 فما فوق بينما عمر النساء هو داخل سن الإنجاب.</w:t>
      </w:r>
    </w:p>
    <w:p w:rsidR="000B7434" w:rsidRPr="00210C02" w:rsidRDefault="004A5545" w:rsidP="006400A3">
      <w:pPr>
        <w:pStyle w:val="H23GA"/>
        <w:rPr>
          <w:rtl/>
          <w:lang w:bidi="ar-EG"/>
        </w:rPr>
      </w:pPr>
      <w:r>
        <w:rPr>
          <w:rtl/>
          <w:lang w:bidi="ar-EG"/>
        </w:rPr>
        <w:br w:type="page"/>
      </w:r>
      <w:r w:rsidR="000B7434">
        <w:rPr>
          <w:rtl/>
          <w:lang w:bidi="ar-EG"/>
        </w:rPr>
        <w:tab/>
      </w:r>
      <w:r w:rsidR="000B7434">
        <w:rPr>
          <w:rtl/>
          <w:lang w:bidi="ar-EG"/>
        </w:rPr>
        <w:tab/>
      </w:r>
      <w:r w:rsidR="000B7434" w:rsidRPr="00210C02">
        <w:rPr>
          <w:rtl/>
          <w:lang w:bidi="ar-EG"/>
        </w:rPr>
        <w:t>عدد أطفال النساء المتزوجات</w:t>
      </w:r>
    </w:p>
    <w:p w:rsidR="000B7434" w:rsidRDefault="000B7434" w:rsidP="006400A3">
      <w:pPr>
        <w:pStyle w:val="SingleTxtGA"/>
        <w:rPr>
          <w:rtl/>
          <w:lang w:bidi="ar-EG"/>
        </w:rPr>
      </w:pPr>
      <w:r>
        <w:rPr>
          <w:rtl/>
          <w:lang w:bidi="ar-EG"/>
        </w:rPr>
        <w:t>201-</w:t>
      </w:r>
      <w:r w:rsidR="006400A3">
        <w:rPr>
          <w:rFonts w:hint="cs"/>
          <w:rtl/>
          <w:lang w:bidi="ar-EG"/>
        </w:rPr>
        <w:tab/>
      </w:r>
      <w:r>
        <w:rPr>
          <w:rtl/>
          <w:lang w:bidi="ar-EG"/>
        </w:rPr>
        <w:t>لعدد أطفال كل امرأة متزوجة علاقة بسنها. وبسبب زواج الأطفال، تضطر المرأة في الفئة العمرية الأعلى إلى إنجاب عدد أكبر من المواليد. وكذلك بسبب تفضيل المجتمع للابن تضطر المرأة (شاءت أم أبت، لأن ثمة ضغوطا</w:t>
      </w:r>
      <w:r w:rsidR="00C715C0">
        <w:rPr>
          <w:rFonts w:hint="cs"/>
          <w:rtl/>
          <w:lang w:bidi="ar-EG"/>
        </w:rPr>
        <w:t>ً</w:t>
      </w:r>
      <w:r>
        <w:rPr>
          <w:rtl/>
          <w:lang w:bidi="ar-EG"/>
        </w:rPr>
        <w:t xml:space="preserve"> غير مباشرة تمارس من المجتمع) إلى محاولة إنجاب ابن واحد حي على الأقل. وواضح أن العدد الأكبر من الأطفال يزيد الأعباء اليومية على الأم مما يسبب صعوبات في تحسين حالة المرأة في المجتمع.</w:t>
      </w:r>
    </w:p>
    <w:p w:rsidR="000B7434" w:rsidRPr="001F1B7D" w:rsidRDefault="000B7434" w:rsidP="006400A3">
      <w:pPr>
        <w:pStyle w:val="H23GA"/>
        <w:rPr>
          <w:rtl/>
          <w:lang w:bidi="ar-EG"/>
        </w:rPr>
      </w:pPr>
      <w:r>
        <w:rPr>
          <w:rtl/>
          <w:lang w:bidi="ar-EG"/>
        </w:rPr>
        <w:tab/>
      </w:r>
      <w:r>
        <w:rPr>
          <w:rtl/>
          <w:lang w:bidi="ar-EG"/>
        </w:rPr>
        <w:tab/>
      </w:r>
      <w:r w:rsidRPr="001F1B7D">
        <w:rPr>
          <w:rtl/>
          <w:lang w:bidi="ar-EG"/>
        </w:rPr>
        <w:t>مبادرات الإصلاح</w:t>
      </w:r>
    </w:p>
    <w:p w:rsidR="000B7434" w:rsidRDefault="000B7434" w:rsidP="006400A3">
      <w:pPr>
        <w:pStyle w:val="SingleTxtGA"/>
        <w:rPr>
          <w:rtl/>
          <w:lang w:bidi="ar-EG"/>
        </w:rPr>
      </w:pPr>
      <w:r>
        <w:rPr>
          <w:rtl/>
          <w:lang w:bidi="ar-EG"/>
        </w:rPr>
        <w:t>202-</w:t>
      </w:r>
      <w:r w:rsidR="006400A3">
        <w:rPr>
          <w:rFonts w:hint="cs"/>
          <w:rtl/>
          <w:lang w:bidi="ar-EG"/>
        </w:rPr>
        <w:tab/>
      </w:r>
      <w:r>
        <w:rPr>
          <w:rtl/>
          <w:lang w:bidi="ar-EG"/>
        </w:rPr>
        <w:t>عُدلت قوانين الزواج في نيبال بما يتماشى مع الحق المتساوي للمرأة والرجل في كل</w:t>
      </w:r>
      <w:r w:rsidR="006400A3">
        <w:rPr>
          <w:rFonts w:hint="cs"/>
          <w:rtl/>
          <w:lang w:bidi="ar-EG"/>
        </w:rPr>
        <w:t xml:space="preserve"> </w:t>
      </w:r>
      <w:r>
        <w:rPr>
          <w:rtl/>
          <w:lang w:bidi="ar-EG"/>
        </w:rPr>
        <w:t xml:space="preserve">مراحل الزواج والعلاقات الأسرية (السابقة للزواج وأثناءه وبعده)، بما في ذلك مستويات متساوية من سن القابلية للزواج، والموافقة الحرة والتامة، والوصاية، والممتلكات إلخ. </w:t>
      </w:r>
      <w:r w:rsidR="006400A3">
        <w:rPr>
          <w:rFonts w:hint="cs"/>
          <w:rtl/>
          <w:lang w:bidi="ar-EG"/>
        </w:rPr>
        <w:t xml:space="preserve">       </w:t>
      </w:r>
      <w:r>
        <w:rPr>
          <w:rtl/>
          <w:lang w:bidi="ar-EG"/>
        </w:rPr>
        <w:t>وفيما يلي بعض التغييرات الهامة الجديرة بالذكر:</w:t>
      </w:r>
    </w:p>
    <w:p w:rsidR="000B7434" w:rsidRDefault="000B7434" w:rsidP="006400A3">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rtl/>
          <w:lang w:bidi="ar-EG"/>
        </w:rPr>
      </w:pPr>
      <w:r>
        <w:rPr>
          <w:rFonts w:hint="cs"/>
          <w:rtl/>
          <w:lang w:bidi="ar-EG"/>
        </w:rPr>
        <w:t>•</w:t>
      </w:r>
      <w:r>
        <w:rPr>
          <w:rtl/>
          <w:lang w:bidi="ar-EG"/>
        </w:rPr>
        <w:tab/>
        <w:t xml:space="preserve">المادة 20 من الدستور المؤقت تعترف صراحة </w:t>
      </w:r>
      <w:r w:rsidR="00D62BA8">
        <w:rPr>
          <w:rtl/>
          <w:lang w:bidi="ar-EG"/>
        </w:rPr>
        <w:t>"</w:t>
      </w:r>
      <w:r>
        <w:rPr>
          <w:rtl/>
          <w:lang w:bidi="ar-EG"/>
        </w:rPr>
        <w:t>بحقوق المرأة</w:t>
      </w:r>
      <w:r w:rsidR="00D62BA8">
        <w:rPr>
          <w:rtl/>
          <w:lang w:bidi="ar-EG"/>
        </w:rPr>
        <w:t>"</w:t>
      </w:r>
      <w:r>
        <w:rPr>
          <w:rtl/>
          <w:lang w:bidi="ar-EG"/>
        </w:rPr>
        <w:t xml:space="preserve"> بما في ذلك </w:t>
      </w:r>
      <w:r w:rsidR="00D62BA8">
        <w:rPr>
          <w:rtl/>
          <w:lang w:bidi="ar-EG"/>
        </w:rPr>
        <w:t>"</w:t>
      </w:r>
      <w:r>
        <w:rPr>
          <w:rtl/>
          <w:lang w:bidi="ar-EG"/>
        </w:rPr>
        <w:t>الحق في الصحة التناسلية والأمور الإنجابية الأخرى</w:t>
      </w:r>
      <w:r w:rsidR="00D62BA8">
        <w:rPr>
          <w:rtl/>
          <w:lang w:bidi="ar-EG"/>
        </w:rPr>
        <w:t>"</w:t>
      </w:r>
      <w:r>
        <w:rPr>
          <w:rtl/>
          <w:lang w:bidi="ar-EG"/>
        </w:rPr>
        <w:t>، والحقوق في عدم تعرضها للعنف ضد المرأة وبصورة أكثر تحديدا</w:t>
      </w:r>
      <w:r w:rsidR="00C715C0">
        <w:rPr>
          <w:rFonts w:hint="cs"/>
          <w:rtl/>
          <w:lang w:bidi="ar-EG"/>
        </w:rPr>
        <w:t>ً</w:t>
      </w:r>
      <w:r>
        <w:rPr>
          <w:rtl/>
          <w:lang w:bidi="ar-EG"/>
        </w:rPr>
        <w:t xml:space="preserve"> الحق في الممتلكات المتعلقة بصورة مباشرة أو غير مباشرة في الحق في الزواج وإنشاء أسرة</w:t>
      </w:r>
      <w:r w:rsidR="006400A3">
        <w:rPr>
          <w:rFonts w:hint="cs"/>
          <w:rtl/>
          <w:lang w:bidi="ar-EG"/>
        </w:rPr>
        <w:t>؛</w:t>
      </w:r>
    </w:p>
    <w:p w:rsidR="000B7434" w:rsidRDefault="000B7434" w:rsidP="006400A3">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rtl/>
          <w:lang w:bidi="ar-EG"/>
        </w:rPr>
      </w:pPr>
      <w:r>
        <w:rPr>
          <w:rFonts w:hint="cs"/>
          <w:rtl/>
          <w:lang w:bidi="ar-EG"/>
        </w:rPr>
        <w:t>•</w:t>
      </w:r>
      <w:r>
        <w:rPr>
          <w:rtl/>
          <w:lang w:bidi="ar-EG"/>
        </w:rPr>
        <w:tab/>
        <w:t>ووفقا</w:t>
      </w:r>
      <w:r w:rsidR="006400A3">
        <w:rPr>
          <w:rFonts w:hint="cs"/>
          <w:rtl/>
          <w:lang w:bidi="ar-EG"/>
        </w:rPr>
        <w:t>ً</w:t>
      </w:r>
      <w:r>
        <w:rPr>
          <w:rtl/>
          <w:lang w:bidi="ar-EG"/>
        </w:rPr>
        <w:t xml:space="preserve"> للحكم القانوني المعدَّل، للزوجة، بغض النظر عن سنها أو مدة الزواج، الحق في الحصول على الممتلكات. وينص الإطار القانوني الراهن على نفس الاستحقاقات للمرأة المطلقة</w:t>
      </w:r>
      <w:r w:rsidR="006400A3">
        <w:rPr>
          <w:rFonts w:hint="cs"/>
          <w:rtl/>
          <w:lang w:bidi="ar-EG"/>
        </w:rPr>
        <w:t>؛</w:t>
      </w:r>
    </w:p>
    <w:p w:rsidR="000B7434" w:rsidRDefault="000B7434" w:rsidP="006400A3">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rtl/>
          <w:lang w:bidi="ar-EG"/>
        </w:rPr>
      </w:pPr>
      <w:r>
        <w:rPr>
          <w:rFonts w:hint="cs"/>
          <w:rtl/>
          <w:lang w:bidi="ar-EG"/>
        </w:rPr>
        <w:t>•</w:t>
      </w:r>
      <w:r>
        <w:rPr>
          <w:rtl/>
          <w:lang w:bidi="ar-EG"/>
        </w:rPr>
        <w:tab/>
        <w:t>للأرملة حق في الحصول على حصتها من الممتلكات بغض النظر عن سنها أي كان أو عن مدة الزواج</w:t>
      </w:r>
      <w:r w:rsidR="006400A3">
        <w:rPr>
          <w:rFonts w:hint="cs"/>
          <w:rtl/>
          <w:lang w:bidi="ar-EG"/>
        </w:rPr>
        <w:t>؛</w:t>
      </w:r>
    </w:p>
    <w:p w:rsidR="000B7434" w:rsidRDefault="000B7434" w:rsidP="006400A3">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rtl/>
          <w:lang w:bidi="ar-EG"/>
        </w:rPr>
      </w:pPr>
      <w:r>
        <w:rPr>
          <w:rFonts w:hint="cs"/>
          <w:rtl/>
          <w:lang w:bidi="ar-EG"/>
        </w:rPr>
        <w:t>•</w:t>
      </w:r>
      <w:r>
        <w:rPr>
          <w:rtl/>
          <w:lang w:bidi="ar-EG"/>
        </w:rPr>
        <w:tab/>
        <w:t>للزوجين الذين لم ينجبا أطفالاً حقٌ متساوٍ في تبني طفل من أي من الجنسين</w:t>
      </w:r>
      <w:r w:rsidR="006400A3">
        <w:rPr>
          <w:rFonts w:hint="cs"/>
          <w:rtl/>
          <w:lang w:bidi="ar-EG"/>
        </w:rPr>
        <w:t>؛</w:t>
      </w:r>
    </w:p>
    <w:p w:rsidR="000B7434" w:rsidRDefault="000B7434" w:rsidP="006400A3">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rtl/>
          <w:lang w:bidi="ar-EG"/>
        </w:rPr>
      </w:pPr>
      <w:r>
        <w:rPr>
          <w:rFonts w:hint="cs"/>
          <w:rtl/>
          <w:lang w:bidi="ar-EG"/>
        </w:rPr>
        <w:t>•</w:t>
      </w:r>
      <w:r>
        <w:rPr>
          <w:rtl/>
          <w:lang w:bidi="ar-EG"/>
        </w:rPr>
        <w:tab/>
        <w:t>يعترف القانون بحق المرأة في الإجهاض (بصورة عامة حتى الأسبوع الثاني عشر من الحمل إلا في حالات الحمل بسبب الاغتصاب أو زنا المحارم) بناء على موافقتها الطوعية. غير أن الإجهاض على أساس معرفة جنس الجنين محظور تحت</w:t>
      </w:r>
      <w:r>
        <w:rPr>
          <w:rFonts w:hint="cs"/>
          <w:rtl/>
          <w:lang w:bidi="ar-EG"/>
        </w:rPr>
        <w:t> </w:t>
      </w:r>
      <w:r>
        <w:rPr>
          <w:rtl/>
          <w:lang w:bidi="ar-EG"/>
        </w:rPr>
        <w:t>طائلة</w:t>
      </w:r>
      <w:r>
        <w:rPr>
          <w:rFonts w:hint="cs"/>
          <w:rtl/>
          <w:lang w:bidi="ar-EG"/>
        </w:rPr>
        <w:t> </w:t>
      </w:r>
      <w:r>
        <w:rPr>
          <w:rtl/>
          <w:lang w:bidi="ar-EG"/>
        </w:rPr>
        <w:t>العقوبات</w:t>
      </w:r>
      <w:r w:rsidR="006400A3">
        <w:rPr>
          <w:rFonts w:hint="cs"/>
          <w:rtl/>
          <w:lang w:bidi="ar-EG"/>
        </w:rPr>
        <w:t>؛</w:t>
      </w:r>
    </w:p>
    <w:p w:rsidR="000B7434"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tl/>
          <w:lang w:bidi="ar-EG"/>
        </w:rPr>
      </w:pPr>
      <w:r>
        <w:rPr>
          <w:rFonts w:hint="cs"/>
          <w:rtl/>
          <w:lang w:bidi="ar-EG"/>
        </w:rPr>
        <w:t>•</w:t>
      </w:r>
      <w:r>
        <w:rPr>
          <w:rtl/>
          <w:lang w:bidi="ar-EG"/>
        </w:rPr>
        <w:tab/>
        <w:t>تعتبر القرارات القضائية في الاغتصاب الزوجي، وحق الأم غير المتزوجة، والحقوق في الممتلكات للنساء المطلقات (المذكورة أعلاه) بعضا</w:t>
      </w:r>
      <w:r w:rsidR="00C715C0">
        <w:rPr>
          <w:rFonts w:hint="cs"/>
          <w:rtl/>
          <w:lang w:bidi="ar-EG"/>
        </w:rPr>
        <w:t>ً</w:t>
      </w:r>
      <w:r>
        <w:rPr>
          <w:rtl/>
          <w:lang w:bidi="ar-EG"/>
        </w:rPr>
        <w:t xml:space="preserve"> من المعايير التي يمكن الرجوع إليها بوصفها تغييرات إيجابية للاعتراف بالهوية والشخصية المستقلة للمرأة. كما أن المحكمة العليا عرّفت الزواج، بما في ذلك الزواج بين اثنين من نفس الجنس، وفقا</w:t>
      </w:r>
      <w:r w:rsidR="00C715C0">
        <w:rPr>
          <w:rFonts w:hint="cs"/>
          <w:rtl/>
          <w:lang w:bidi="ar-EG"/>
        </w:rPr>
        <w:t>ً</w:t>
      </w:r>
      <w:r>
        <w:rPr>
          <w:rtl/>
          <w:lang w:bidi="ar-EG"/>
        </w:rPr>
        <w:t xml:space="preserve"> لما</w:t>
      </w:r>
      <w:r>
        <w:rPr>
          <w:rFonts w:hint="cs"/>
          <w:rtl/>
          <w:lang w:bidi="ar-EG"/>
        </w:rPr>
        <w:t> </w:t>
      </w:r>
      <w:r>
        <w:rPr>
          <w:rtl/>
          <w:lang w:bidi="ar-EG"/>
        </w:rPr>
        <w:t xml:space="preserve">لاحظته في قضية </w:t>
      </w:r>
      <w:r w:rsidRPr="00C92282">
        <w:rPr>
          <w:i/>
          <w:iCs/>
          <w:rtl/>
          <w:lang w:bidi="ar-EG"/>
        </w:rPr>
        <w:t xml:space="preserve">سونيل بابو بانت وآخرين </w:t>
      </w:r>
      <w:r w:rsidRPr="003612E5">
        <w:rPr>
          <w:rtl/>
          <w:lang w:bidi="ar-EG"/>
        </w:rPr>
        <w:t>ضد</w:t>
      </w:r>
      <w:r w:rsidRPr="00C92282">
        <w:rPr>
          <w:i/>
          <w:iCs/>
          <w:rtl/>
          <w:lang w:bidi="ar-EG"/>
        </w:rPr>
        <w:t xml:space="preserve"> حكومة نيبال</w:t>
      </w:r>
      <w:r>
        <w:rPr>
          <w:rtl/>
          <w:lang w:bidi="ar-EG"/>
        </w:rPr>
        <w:t xml:space="preserve"> التي صدر الحكم فيها في 21 كانون الأول/ديسمبر 2007. وقد وجدت المحكمة أنه </w:t>
      </w:r>
      <w:r w:rsidR="00D62BA8">
        <w:rPr>
          <w:rtl/>
          <w:lang w:bidi="ar-EG"/>
        </w:rPr>
        <w:t>"</w:t>
      </w:r>
      <w:r>
        <w:rPr>
          <w:rtl/>
          <w:lang w:bidi="ar-EG"/>
        </w:rPr>
        <w:t>ينبغي أن تعترف الدولة والمجتمع بحقوق المثليين، إناثا وذكورا، ومزدوجي الميول الجنسية، وأن تحترم ما</w:t>
      </w:r>
      <w:r>
        <w:rPr>
          <w:rFonts w:hint="cs"/>
          <w:rtl/>
          <w:lang w:bidi="ar-EG"/>
        </w:rPr>
        <w:t> </w:t>
      </w:r>
      <w:r>
        <w:rPr>
          <w:rtl/>
          <w:lang w:bidi="ar-EG"/>
        </w:rPr>
        <w:t>لهم من حقوق الإنسان في الزواج والمعاشرة على أساس الميل الجنسي</w:t>
      </w:r>
      <w:r w:rsidR="00D62BA8">
        <w:rPr>
          <w:rtl/>
          <w:lang w:bidi="ar-EG"/>
        </w:rPr>
        <w:t>"</w:t>
      </w:r>
      <w:r>
        <w:rPr>
          <w:rtl/>
          <w:lang w:bidi="ar-EG"/>
        </w:rPr>
        <w:t>. وأمرت المحكمةُ كذلك الحكومةَ بأن تُجري دراسةً جدية للمسألة. ولهذا الغرض أُمرت الحكومة بأن تشكل لجنة مؤلفة من سبعة أعضاء تشمل خبراء من الحكومة ومن القطاعين القانوني والاجتماعي.</w:t>
      </w:r>
    </w:p>
    <w:p w:rsidR="000B7434" w:rsidRDefault="000B7434" w:rsidP="006400A3">
      <w:pPr>
        <w:pStyle w:val="SingleTxtGA"/>
        <w:rPr>
          <w:rtl/>
          <w:lang w:bidi="ar-EG"/>
        </w:rPr>
      </w:pPr>
      <w:r>
        <w:rPr>
          <w:rtl/>
          <w:lang w:bidi="ar-EG"/>
        </w:rPr>
        <w:t>203-</w:t>
      </w:r>
      <w:r w:rsidR="006400A3">
        <w:rPr>
          <w:rFonts w:hint="cs"/>
          <w:rtl/>
          <w:lang w:bidi="ar-EG"/>
        </w:rPr>
        <w:tab/>
      </w:r>
      <w:r>
        <w:rPr>
          <w:rtl/>
          <w:lang w:bidi="ar-EG"/>
        </w:rPr>
        <w:t xml:space="preserve">ويجري العمل الآن على جعل القوانين المتعلقة بالزواج تتسق مع المادة 16 من الاتفاقية ومع المعايير الأخرى لحقوق الإنسان ذات الصلة. وقد أصدرت المحكمة العليا في قضية </w:t>
      </w:r>
      <w:r w:rsidRPr="00C92282">
        <w:rPr>
          <w:i/>
          <w:iCs/>
          <w:rtl/>
          <w:lang w:bidi="ar-EG"/>
        </w:rPr>
        <w:t xml:space="preserve">سابانا برادام مللا </w:t>
      </w:r>
      <w:r w:rsidRPr="003612E5">
        <w:rPr>
          <w:rtl/>
          <w:lang w:bidi="ar-EG"/>
        </w:rPr>
        <w:t>ضد</w:t>
      </w:r>
      <w:r w:rsidRPr="00C92282">
        <w:rPr>
          <w:i/>
          <w:iCs/>
          <w:rtl/>
          <w:lang w:bidi="ar-EG"/>
        </w:rPr>
        <w:t xml:space="preserve"> مجلس الوزراء</w:t>
      </w:r>
      <w:r>
        <w:rPr>
          <w:rtl/>
          <w:lang w:bidi="ar-EG"/>
        </w:rPr>
        <w:t xml:space="preserve"> التي فصلت فيها في 16 حزيران/يونيه 2004، أوامرَ إيعازيةً للحكومة بأن تنسِّق كل الأحكام القانونية المتعلقة بالزواج وأن تضع الترتيبات اللازمة لتنفيذ القانون بصورة فعالة بغية السيطرة على حالات زواج الأطفال. وبناء على ذلك أُدخل حكمٌ معدل جديد في مدونة القوانين القُطرية في الفصل المتعلق بالزواج جعل السنَ القانونية للزواج 20 سنة لكل من الذكور والإناث.</w:t>
      </w:r>
    </w:p>
    <w:p w:rsidR="000B7434" w:rsidRPr="007E28E8" w:rsidRDefault="000B7434" w:rsidP="006400A3">
      <w:pPr>
        <w:pStyle w:val="H23GA"/>
        <w:rPr>
          <w:rtl/>
          <w:lang w:bidi="ar-EG"/>
        </w:rPr>
      </w:pPr>
      <w:r>
        <w:rPr>
          <w:rtl/>
          <w:lang w:bidi="ar-EG"/>
        </w:rPr>
        <w:tab/>
      </w:r>
      <w:r>
        <w:rPr>
          <w:rtl/>
          <w:lang w:bidi="ar-EG"/>
        </w:rPr>
        <w:tab/>
      </w:r>
      <w:r w:rsidRPr="007E28E8">
        <w:rPr>
          <w:rtl/>
          <w:lang w:bidi="ar-EG"/>
        </w:rPr>
        <w:t>تحديات المستقبل</w:t>
      </w:r>
    </w:p>
    <w:p w:rsidR="000B7434" w:rsidRDefault="000B7434" w:rsidP="006400A3">
      <w:pPr>
        <w:pStyle w:val="SingleTxtGA"/>
        <w:rPr>
          <w:rtl/>
          <w:lang w:bidi="ar-EG"/>
        </w:rPr>
      </w:pPr>
      <w:r>
        <w:rPr>
          <w:rtl/>
          <w:lang w:bidi="ar-EG"/>
        </w:rPr>
        <w:t>204</w:t>
      </w:r>
      <w:r>
        <w:rPr>
          <w:rFonts w:hint="cs"/>
          <w:rtl/>
          <w:lang w:bidi="ar-EG"/>
        </w:rPr>
        <w:t>-</w:t>
      </w:r>
      <w:r w:rsidR="006400A3">
        <w:rPr>
          <w:rFonts w:hint="cs"/>
          <w:rtl/>
          <w:lang w:bidi="ar-EG"/>
        </w:rPr>
        <w:tab/>
      </w:r>
      <w:r>
        <w:rPr>
          <w:rtl/>
          <w:lang w:bidi="ar-EG"/>
        </w:rPr>
        <w:t xml:space="preserve">بالرغم من الاعتراف بهوية الأم في الدستور الحالي، ما زال يتعين تنفيذُ ذلك بصورة فعالة. ووُجد أن القوانين المتعلقة بالزواج (مثل قوانين إصلاح السلوك الاجتماعي وقانون تسجيل الزواج) لا يجري إنفاذها على نحو واف. كما أن قوانين مثل </w:t>
      </w:r>
      <w:r w:rsidR="00D62BA8">
        <w:rPr>
          <w:rtl/>
          <w:lang w:bidi="ar-EG"/>
        </w:rPr>
        <w:t>"</w:t>
      </w:r>
      <w:r>
        <w:rPr>
          <w:rtl/>
          <w:lang w:bidi="ar-EG"/>
        </w:rPr>
        <w:t>قانون تسجيل حالة شخصية</w:t>
      </w:r>
      <w:r w:rsidR="00D62BA8">
        <w:rPr>
          <w:rtl/>
          <w:lang w:bidi="ar-EG"/>
        </w:rPr>
        <w:t>"</w:t>
      </w:r>
      <w:r>
        <w:rPr>
          <w:rtl/>
          <w:lang w:bidi="ar-EG"/>
        </w:rPr>
        <w:t xml:space="preserve"> في مسائل الزواج أو الطلاق أو الوفاة أو الهجرة لا تنفذ على نحو فعال بعد. ونتيجة لذلك يوجد عدد من المنازعات المتعلقة بالتحقق من العلاقات الزوجية ومن شرعية الأطفال. والزواج المزيَّف هو أحد الأساليب الفعلية التي يستخدمها المتاجرون بالأشخاص في كثير من الأحيان.</w:t>
      </w:r>
    </w:p>
    <w:p w:rsidR="000B7434" w:rsidRDefault="000B7434" w:rsidP="006400A3">
      <w:pPr>
        <w:pStyle w:val="SingleTxtGA"/>
        <w:rPr>
          <w:rtl/>
          <w:lang w:bidi="ar-EG"/>
        </w:rPr>
      </w:pPr>
      <w:r>
        <w:rPr>
          <w:rtl/>
          <w:lang w:bidi="ar-EG"/>
        </w:rPr>
        <w:t>205-</w:t>
      </w:r>
      <w:r w:rsidR="006400A3">
        <w:rPr>
          <w:rFonts w:hint="cs"/>
          <w:rtl/>
          <w:lang w:bidi="ar-EG"/>
        </w:rPr>
        <w:tab/>
      </w:r>
      <w:r>
        <w:rPr>
          <w:rtl/>
          <w:lang w:bidi="ar-EG"/>
        </w:rPr>
        <w:t>ولا تتمتع المرأة الأمية بالحقوق التناسلية مثلما تتمتع بها المرأة المتعلمة. وقد يؤثر جنس رئيس الأسرة المعيشية على سلوك المرأة في الخصوبة والصحة التناسلية، وكذلك في</w:t>
      </w:r>
      <w:r>
        <w:rPr>
          <w:rFonts w:hint="cs"/>
          <w:rtl/>
          <w:lang w:bidi="ar-EG"/>
        </w:rPr>
        <w:t> </w:t>
      </w:r>
      <w:r>
        <w:rPr>
          <w:rtl/>
          <w:lang w:bidi="ar-EG"/>
        </w:rPr>
        <w:t>زواج الفتيات المراهقات. ووجد أن الأسرَ المعيشيةَ التي ترأسها إناث أكثر احتراساً من الأسر المعيشية التي يرأسها ذكور من حيث سلوك النساء فيما يتعلق بالخصوبة، بما في ذلك الصحة التناسلية. ووُجد أيضا أن حالات زواج الفتيات المراهقات أقل حدوثا</w:t>
      </w:r>
      <w:r w:rsidR="00C715C0">
        <w:rPr>
          <w:rFonts w:hint="cs"/>
          <w:rtl/>
          <w:lang w:bidi="ar-EG"/>
        </w:rPr>
        <w:t>ً</w:t>
      </w:r>
      <w:r>
        <w:rPr>
          <w:rtl/>
          <w:lang w:bidi="ar-EG"/>
        </w:rPr>
        <w:t xml:space="preserve"> في الأسر المعيشية التي ترأسها إناث مقارنة بالأسر المعيشية التي يرأسها ذكور. وسجل تعداد السكان أن نحو 10 في المائة من مجموع الأسر المعيشية في البلد لها مراهقة متزوجة. ونسبة 90 في المائة من بين هؤلاء هي من أسر معيشية يرأسها ذكور.</w:t>
      </w:r>
    </w:p>
    <w:p w:rsidR="000B7434" w:rsidRPr="00657AE8" w:rsidRDefault="006400A3" w:rsidP="006400A3">
      <w:pPr>
        <w:pStyle w:val="HChGA"/>
        <w:spacing w:before="120"/>
        <w:jc w:val="left"/>
        <w:rPr>
          <w:rtl/>
          <w:lang w:bidi="ar-EG"/>
        </w:rPr>
      </w:pPr>
      <w:r>
        <w:rPr>
          <w:rtl/>
          <w:lang w:bidi="ar-EG"/>
        </w:rPr>
        <w:br w:type="page"/>
      </w:r>
      <w:r w:rsidR="000B7434">
        <w:rPr>
          <w:rtl/>
          <w:lang w:bidi="ar-EG"/>
        </w:rPr>
        <w:tab/>
      </w:r>
      <w:r w:rsidR="000B7434">
        <w:rPr>
          <w:rtl/>
          <w:lang w:bidi="ar-EG"/>
        </w:rPr>
        <w:tab/>
      </w:r>
      <w:r w:rsidR="000B7434" w:rsidRPr="007E28E8">
        <w:rPr>
          <w:rtl/>
          <w:lang w:bidi="ar-EG"/>
        </w:rPr>
        <w:t>الجزء الثالث</w:t>
      </w:r>
      <w:r w:rsidR="000B7434">
        <w:rPr>
          <w:rtl/>
          <w:lang w:bidi="ar-EG"/>
        </w:rPr>
        <w:br/>
      </w:r>
      <w:r w:rsidR="000B7434" w:rsidRPr="00657AE8">
        <w:rPr>
          <w:rtl/>
          <w:lang w:bidi="ar-EG"/>
        </w:rPr>
        <w:t>التقدم المحرز في تنفيذ منهاج عمل بيجين</w:t>
      </w:r>
    </w:p>
    <w:p w:rsidR="000B7434" w:rsidRPr="00657AE8" w:rsidRDefault="000B7434" w:rsidP="006400A3">
      <w:pPr>
        <w:pStyle w:val="H1GA"/>
        <w:rPr>
          <w:rtl/>
          <w:lang w:bidi="ar-EG"/>
        </w:rPr>
      </w:pPr>
      <w:r>
        <w:rPr>
          <w:rtl/>
          <w:lang w:bidi="ar-EG"/>
        </w:rPr>
        <w:tab/>
      </w:r>
      <w:r>
        <w:rPr>
          <w:rtl/>
          <w:lang w:bidi="ar-EG"/>
        </w:rPr>
        <w:tab/>
      </w:r>
      <w:r w:rsidRPr="00657AE8">
        <w:rPr>
          <w:rtl/>
          <w:lang w:bidi="ar-EG"/>
        </w:rPr>
        <w:t>المرأة والفقر</w:t>
      </w:r>
    </w:p>
    <w:p w:rsidR="000B7434" w:rsidRDefault="000B7434" w:rsidP="006400A3">
      <w:pPr>
        <w:pStyle w:val="SingleTxtGA"/>
        <w:rPr>
          <w:rtl/>
          <w:lang w:bidi="ar-EG"/>
        </w:rPr>
      </w:pPr>
      <w:r>
        <w:rPr>
          <w:rtl/>
          <w:lang w:bidi="ar-EG"/>
        </w:rPr>
        <w:t>206-</w:t>
      </w:r>
      <w:r w:rsidR="006400A3">
        <w:rPr>
          <w:rFonts w:hint="cs"/>
          <w:rtl/>
          <w:lang w:bidi="ar-EG"/>
        </w:rPr>
        <w:tab/>
      </w:r>
      <w:r>
        <w:rPr>
          <w:rtl/>
          <w:lang w:bidi="ar-EG"/>
        </w:rPr>
        <w:t xml:space="preserve">تدرك الحكومة حقيقة أن التدابير الرامية إلى مكافحة الفقر لن تكون فعالة عندما ينظر إلى المرأة الفقيرة بوصفها مستفيدة سلبية من التنمية الاجتماعية. لذلك شرعت مختلفُ مؤسسات الدولة في اتخاذ تدابير متعلقة بالسياسات، في إطار برنامج التخفيف من حدة الفقر، وبدأت تنفذها عن طريق برامج تنمية المرأة على الصعيد المحلي تحت مظلة إطار وزارة شؤون المرأة ووزارة التنمية المحلية. وتولي وزارات أخرى (مثل وزارة التعاونيات الزراعية، ووزارة الحراجة وخفض التربة، ووزارة الصحة والسكان، ووزارة التربية </w:t>
      </w:r>
      <w:r w:rsidR="006400A3">
        <w:rPr>
          <w:rFonts w:hint="cs"/>
          <w:rtl/>
          <w:lang w:bidi="ar-EG"/>
        </w:rPr>
        <w:t>إ</w:t>
      </w:r>
      <w:r>
        <w:rPr>
          <w:rtl/>
          <w:lang w:bidi="ar-EG"/>
        </w:rPr>
        <w:t>لخ) أولوية لدور المرأة بوصفها وكيلة اقتصادية نشيطة، لزيادة إنتاج المرأة في العمل من المنزل والعمل غير الرسمي والعمل الزراعي وفي نفس الوقت توسيع فرص عمالتها وكذلك تعزيز قدرتها على توليد الدخل، وفق ما هو مذكور أعلاه تحت عناوين الحقوق الاجتماعية</w:t>
      </w:r>
      <w:r>
        <w:rPr>
          <w:rFonts w:hint="cs"/>
          <w:rtl/>
          <w:lang w:bidi="ar-EG"/>
        </w:rPr>
        <w:t xml:space="preserve"> </w:t>
      </w:r>
      <w:r>
        <w:rPr>
          <w:rtl/>
          <w:lang w:bidi="ar-EG"/>
        </w:rPr>
        <w:t>- الاقتصادية للمرأة بصورة عامة، وللمرأة الريفية بصورة خاصة.</w:t>
      </w:r>
    </w:p>
    <w:p w:rsidR="000B7434" w:rsidRPr="006400A3" w:rsidRDefault="000B7434" w:rsidP="006400A3">
      <w:pPr>
        <w:pStyle w:val="SingleTxtGA"/>
        <w:rPr>
          <w:spacing w:val="-2"/>
          <w:rtl/>
          <w:lang w:bidi="ar-EG"/>
        </w:rPr>
      </w:pPr>
      <w:r w:rsidRPr="006400A3">
        <w:rPr>
          <w:spacing w:val="-2"/>
          <w:rtl/>
          <w:lang w:bidi="ar-EG"/>
        </w:rPr>
        <w:t>207-</w:t>
      </w:r>
      <w:r w:rsidR="006400A3" w:rsidRPr="006400A3">
        <w:rPr>
          <w:rFonts w:hint="cs"/>
          <w:spacing w:val="-2"/>
          <w:rtl/>
          <w:lang w:bidi="ar-EG"/>
        </w:rPr>
        <w:tab/>
      </w:r>
      <w:r w:rsidRPr="006400A3">
        <w:rPr>
          <w:spacing w:val="-2"/>
          <w:rtl/>
          <w:lang w:bidi="ar-EG"/>
        </w:rPr>
        <w:t>ونيبال ملتزمة بالعمل على بلوغ الأهداف الإنمائية للألفية بحلول عام 2015. وكانت هذه الأهداف ضمن أهداف الحكومة المحددة للتخفيف من حدة الفقر، وتحسين الصحة، والتعليم، والمساواة بين الجنسين، والبيئة، والتنمية البشرية بصورة عامة. وسجل معدل الفقر انخفاضا</w:t>
      </w:r>
      <w:r w:rsidR="00C715C0">
        <w:rPr>
          <w:rFonts w:hint="cs"/>
          <w:spacing w:val="-2"/>
          <w:rtl/>
          <w:lang w:bidi="ar-EG"/>
        </w:rPr>
        <w:t>ً</w:t>
      </w:r>
      <w:r w:rsidRPr="006400A3">
        <w:rPr>
          <w:spacing w:val="-2"/>
          <w:rtl/>
          <w:lang w:bidi="ar-EG"/>
        </w:rPr>
        <w:t xml:space="preserve"> هاما</w:t>
      </w:r>
      <w:r w:rsidR="00C715C0">
        <w:rPr>
          <w:rFonts w:hint="cs"/>
          <w:spacing w:val="-2"/>
          <w:rtl/>
          <w:lang w:bidi="ar-EG"/>
        </w:rPr>
        <w:t>ً</w:t>
      </w:r>
      <w:r w:rsidRPr="006400A3">
        <w:rPr>
          <w:spacing w:val="-2"/>
          <w:rtl/>
          <w:lang w:bidi="ar-EG"/>
        </w:rPr>
        <w:t xml:space="preserve"> في الفترة الواقعة بين السنة المالية 1995-1996 والسنة المالية 2003-2004، إذ هبط من 42 في المائة إلى 31 في المائة وهذا هبوط بنسبة 3.7 في المائة كل عام. غير أن الفقر لا يزال متفشيا في طبقة الداليت ومجتمعات الجانجاتي. وقد و</w:t>
      </w:r>
      <w:r w:rsidR="008B03DA">
        <w:rPr>
          <w:spacing w:val="-2"/>
          <w:rtl/>
          <w:lang w:bidi="ar-EG"/>
        </w:rPr>
        <w:t>جد أن 46 في المائة من الداليت و</w:t>
      </w:r>
      <w:r w:rsidRPr="006400A3">
        <w:rPr>
          <w:spacing w:val="-2"/>
          <w:rtl/>
          <w:lang w:bidi="ar-EG"/>
        </w:rPr>
        <w:t>44 في المائة من الجانجاتي القاطنين في</w:t>
      </w:r>
      <w:r w:rsidR="008B03DA">
        <w:rPr>
          <w:spacing w:val="-2"/>
          <w:rtl/>
          <w:lang w:bidi="ar-EG"/>
        </w:rPr>
        <w:t xml:space="preserve"> المناطق المرتفعة و</w:t>
      </w:r>
      <w:r w:rsidRPr="006400A3">
        <w:rPr>
          <w:spacing w:val="-2"/>
          <w:rtl/>
          <w:lang w:bidi="ar-EG"/>
        </w:rPr>
        <w:t xml:space="preserve">41 في المائة من الطائفة المسلمة هم دون خط الفقر. وهذه الأرقام بالمقارنة بالمتوسط الوطني البالغ 31 في المائة، </w:t>
      </w:r>
      <w:r w:rsidR="00182DC5">
        <w:rPr>
          <w:rFonts w:hint="cs"/>
          <w:spacing w:val="-2"/>
          <w:rtl/>
          <w:lang w:bidi="ar-EG"/>
        </w:rPr>
        <w:t xml:space="preserve">    </w:t>
      </w:r>
      <w:r w:rsidRPr="006400A3">
        <w:rPr>
          <w:spacing w:val="-2"/>
          <w:rtl/>
          <w:lang w:bidi="ar-EG"/>
        </w:rPr>
        <w:t>مرتفعة كثيرا</w:t>
      </w:r>
      <w:r w:rsidR="00182DC5">
        <w:rPr>
          <w:rFonts w:hint="cs"/>
          <w:spacing w:val="-2"/>
          <w:rtl/>
          <w:lang w:bidi="ar-EG"/>
        </w:rPr>
        <w:t>ً</w:t>
      </w:r>
      <w:r w:rsidRPr="006400A3">
        <w:rPr>
          <w:spacing w:val="-2"/>
          <w:rtl/>
          <w:lang w:bidi="ar-EG"/>
        </w:rPr>
        <w:t>.</w:t>
      </w:r>
    </w:p>
    <w:p w:rsidR="000B7434" w:rsidRDefault="000B7434" w:rsidP="0066783B">
      <w:pPr>
        <w:pStyle w:val="SingleTxtGA"/>
        <w:rPr>
          <w:rtl/>
          <w:lang w:bidi="ar-EG"/>
        </w:rPr>
      </w:pPr>
      <w:r>
        <w:rPr>
          <w:rtl/>
          <w:lang w:bidi="ar-EG"/>
        </w:rPr>
        <w:t>208-</w:t>
      </w:r>
      <w:r w:rsidR="0066783B">
        <w:rPr>
          <w:rFonts w:hint="cs"/>
          <w:rtl/>
          <w:lang w:bidi="ar-EG"/>
        </w:rPr>
        <w:tab/>
      </w:r>
      <w:r>
        <w:rPr>
          <w:rtl/>
          <w:lang w:bidi="ar-EG"/>
        </w:rPr>
        <w:t>ويمثل التخفيف من حدة الفقر سياسية وطنية مستمرة. وقد توخت الخطة التاسعة (1997-2002) مجالا</w:t>
      </w:r>
      <w:r w:rsidR="00C715C0">
        <w:rPr>
          <w:rFonts w:hint="cs"/>
          <w:rtl/>
          <w:lang w:bidi="ar-EG"/>
        </w:rPr>
        <w:t>ً</w:t>
      </w:r>
      <w:r>
        <w:rPr>
          <w:rtl/>
          <w:lang w:bidi="ar-EG"/>
        </w:rPr>
        <w:t xml:space="preserve"> مدته 20 سنة لخفض نسبة الذين يعيشون دون خط الفقر إلى 10 في المائة بحلول عام 2017. ويجري إضفاء الطابع المؤسسي على عملية نزع المركزية، رغم أنها في مرحلتها المبكرة، لكفالة أن تتمتع المرأة أيضا</w:t>
      </w:r>
      <w:r w:rsidR="00C715C0">
        <w:rPr>
          <w:rFonts w:hint="cs"/>
          <w:rtl/>
          <w:lang w:bidi="ar-EG"/>
        </w:rPr>
        <w:t>ً</w:t>
      </w:r>
      <w:r>
        <w:rPr>
          <w:rtl/>
          <w:lang w:bidi="ar-EG"/>
        </w:rPr>
        <w:t xml:space="preserve"> بالحق في المشاركة الكاملة في العملية الإنمائية إلى جانب حقها في الحصول على الخدمات الاجتماعية الأساسية.</w:t>
      </w:r>
    </w:p>
    <w:p w:rsidR="000B7434" w:rsidRDefault="000B7434" w:rsidP="0066783B">
      <w:pPr>
        <w:pStyle w:val="SingleTxtGA"/>
        <w:rPr>
          <w:rtl/>
          <w:lang w:bidi="ar-EG"/>
        </w:rPr>
      </w:pPr>
      <w:r>
        <w:rPr>
          <w:rtl/>
          <w:lang w:bidi="ar-EG"/>
        </w:rPr>
        <w:t>209-</w:t>
      </w:r>
      <w:r w:rsidR="0066783B">
        <w:rPr>
          <w:rFonts w:hint="cs"/>
          <w:rtl/>
          <w:lang w:bidi="ar-EG"/>
        </w:rPr>
        <w:tab/>
      </w:r>
      <w:r>
        <w:rPr>
          <w:rtl/>
          <w:lang w:bidi="ar-EG"/>
        </w:rPr>
        <w:t xml:space="preserve">وجرى الاعتراف بأنّ تمكين المرأة هو من أكثر الأدوات فعالية للتخفيف من حدة الفقر وأولي أعلى درجات الأولوية في الخطة العاشرة (2002-2006). وبناء على ذلك، تم الشروع في برامج تنمية المرأة، بالإضافة إلى لجان التنمية القروية في كل مقاطعات البلد </w:t>
      </w:r>
      <w:r w:rsidR="0066783B">
        <w:rPr>
          <w:rFonts w:hint="cs"/>
          <w:rtl/>
          <w:lang w:bidi="ar-EG"/>
        </w:rPr>
        <w:t xml:space="preserve">       </w:t>
      </w:r>
      <w:r>
        <w:rPr>
          <w:rtl/>
          <w:lang w:bidi="ar-EG"/>
        </w:rPr>
        <w:t>ا</w:t>
      </w:r>
      <w:r w:rsidR="0066783B">
        <w:rPr>
          <w:rFonts w:hint="cs"/>
          <w:rtl/>
          <w:lang w:bidi="ar-EG"/>
        </w:rPr>
        <w:t xml:space="preserve">ﻟ </w:t>
      </w:r>
      <w:r>
        <w:rPr>
          <w:rtl/>
          <w:lang w:bidi="ar-EG"/>
        </w:rPr>
        <w:t>75. وفي الآونة الأخيرة جرى توسيع هذه البرامج لتشمل 443 2 لجنة من لجان التنمية القروية و32 بلدية. ونظرا</w:t>
      </w:r>
      <w:r w:rsidR="00C715C0">
        <w:rPr>
          <w:rFonts w:hint="cs"/>
          <w:rtl/>
          <w:lang w:bidi="ar-EG"/>
        </w:rPr>
        <w:t>ً</w:t>
      </w:r>
      <w:r>
        <w:rPr>
          <w:rtl/>
          <w:lang w:bidi="ar-EG"/>
        </w:rPr>
        <w:t xml:space="preserve"> إلى التغييرات الإيجابية التي أحدثتها هذه البرامج بالنسبة إلى المرأة الريفية أخذت الوكالات المتبرعة الدولية، مثل اليونيسيف وصندوق الأمم المتحدة للسكان ومصرف التنمية الآسيوية وغيرها في المساهمة فيها بنحو كبير.</w:t>
      </w:r>
    </w:p>
    <w:p w:rsidR="000B7434" w:rsidRPr="0066783B" w:rsidRDefault="000B7434" w:rsidP="0066783B">
      <w:pPr>
        <w:pStyle w:val="SingleTxtGA"/>
        <w:rPr>
          <w:spacing w:val="-2"/>
          <w:rtl/>
          <w:lang w:bidi="ar-EG"/>
        </w:rPr>
      </w:pPr>
      <w:r w:rsidRPr="0066783B">
        <w:rPr>
          <w:spacing w:val="-2"/>
          <w:rtl/>
          <w:lang w:bidi="ar-EG"/>
        </w:rPr>
        <w:t>210-</w:t>
      </w:r>
      <w:r w:rsidR="0066783B" w:rsidRPr="0066783B">
        <w:rPr>
          <w:rFonts w:hint="cs"/>
          <w:spacing w:val="-2"/>
          <w:rtl/>
          <w:lang w:bidi="ar-EG"/>
        </w:rPr>
        <w:tab/>
      </w:r>
      <w:r w:rsidRPr="0066783B">
        <w:rPr>
          <w:spacing w:val="-2"/>
          <w:rtl/>
          <w:lang w:bidi="ar-EG"/>
        </w:rPr>
        <w:t>وفي السنة المالية الراهنة خُصص مبلغ يقرب من 3 بلايين روبية في صندوق التخفيف من حدة الفقر لبرنامج مكثف، استنادا إلى ما طرأ من تحسن في مؤشر التخفيف من حدة الفقر في الرقم الإرشادي للتنمية البشرية، سوف ينفذ في 55 مقاطعة مع تركيز مباشر على الطوائف المتخلفة، بمن فيها من النساء المحرومات والداليت والجانجاتي، والماديسي. وسوف تُنفذ بموجب هذا البرنامج أنشطة مثل الارتقاء بالمهارات التقليدية، وتوليد الدخل، وبناء الهياكل الأساسية المجتمعية مثل الطرق، والجسور، وقنوات المجارير، ومياه الشرب، والري، وبرامج تنمية القدرات، مثل التعليم، والصحة، والتدريب. ووفقا</w:t>
      </w:r>
      <w:r w:rsidR="0066783B" w:rsidRPr="0066783B">
        <w:rPr>
          <w:rFonts w:hint="cs"/>
          <w:spacing w:val="-2"/>
          <w:rtl/>
          <w:lang w:bidi="ar-EG"/>
        </w:rPr>
        <w:t>ً</w:t>
      </w:r>
      <w:r w:rsidRPr="0066783B">
        <w:rPr>
          <w:spacing w:val="-2"/>
          <w:rtl/>
          <w:lang w:bidi="ar-EG"/>
        </w:rPr>
        <w:t xml:space="preserve"> للخطة المؤقتة، سوف يتم الشروع في برنامج خاص للأغذية سوف يقدم خدماته إلى النساء الفقيرات عن طريق تشكيل</w:t>
      </w:r>
      <w:r w:rsidR="0066783B" w:rsidRPr="0066783B">
        <w:rPr>
          <w:rFonts w:hint="cs"/>
          <w:spacing w:val="-2"/>
          <w:rtl/>
          <w:lang w:bidi="ar-EG"/>
        </w:rPr>
        <w:t xml:space="preserve"> جمعيات</w:t>
      </w:r>
      <w:r w:rsidRPr="0066783B">
        <w:rPr>
          <w:spacing w:val="-2"/>
          <w:rtl/>
          <w:lang w:bidi="ar-EG"/>
        </w:rPr>
        <w:t>.</w:t>
      </w:r>
    </w:p>
    <w:p w:rsidR="000B7434" w:rsidRDefault="000B7434" w:rsidP="0066783B">
      <w:pPr>
        <w:pStyle w:val="SingleTxtGA"/>
        <w:rPr>
          <w:rtl/>
          <w:lang w:bidi="ar-EG"/>
        </w:rPr>
      </w:pPr>
      <w:r>
        <w:rPr>
          <w:rtl/>
          <w:lang w:bidi="ar-EG"/>
        </w:rPr>
        <w:t>211-</w:t>
      </w:r>
      <w:r w:rsidR="0066783B">
        <w:rPr>
          <w:rFonts w:hint="cs"/>
          <w:rtl/>
          <w:lang w:bidi="ar-EG"/>
        </w:rPr>
        <w:tab/>
      </w:r>
      <w:r>
        <w:rPr>
          <w:rtl/>
          <w:lang w:bidi="ar-EG"/>
        </w:rPr>
        <w:t>وبغية الحد من الفقر، تبذل الحكومة جهودا</w:t>
      </w:r>
      <w:r w:rsidR="00C715C0">
        <w:rPr>
          <w:rFonts w:hint="cs"/>
          <w:rtl/>
          <w:lang w:bidi="ar-EG"/>
        </w:rPr>
        <w:t>ً</w:t>
      </w:r>
      <w:r>
        <w:rPr>
          <w:rtl/>
          <w:lang w:bidi="ar-EG"/>
        </w:rPr>
        <w:t xml:space="preserve"> لا تعرف الكلل لإدارة برامج لتقديم الائتمانات الصغيرة التي ستدار وتنفذ بصورة فعالة. وسوف يتم إنشاء صندوق لتقديم التمويل الصغير على صعيد وطني عن طريق إدماج وتوحيد الجهات الحالية التي تقدم الائتمانات الصغيرة بالجملة. وسوف تستحث المؤسسات على تقديم التمويل الصغير لتنفيذ برامج في المناطق الريفية والمناطق المرتفعة وغيرها من المناطق التي تعاني من الفقر. وتحقيقا</w:t>
      </w:r>
      <w:r w:rsidR="004A5545">
        <w:rPr>
          <w:rFonts w:hint="cs"/>
          <w:rtl/>
          <w:lang w:bidi="ar-EG"/>
        </w:rPr>
        <w:t>ً</w:t>
      </w:r>
      <w:r>
        <w:rPr>
          <w:rtl/>
          <w:lang w:bidi="ar-EG"/>
        </w:rPr>
        <w:t xml:space="preserve"> لهذا الغرض، سوف يتاح مبلغ 100 مليون روبية لصندوق الاعتماد على الذات الذي سيتولى إدارته مصرف نيبال راسترا، والذي سيثبت في نهاية الأمر أنه مفيد للمرأة.</w:t>
      </w:r>
    </w:p>
    <w:p w:rsidR="000B7434" w:rsidRDefault="000B7434" w:rsidP="00C715C0">
      <w:pPr>
        <w:pStyle w:val="SingleTxtGA"/>
        <w:rPr>
          <w:rtl/>
          <w:lang w:bidi="ar-EG"/>
        </w:rPr>
      </w:pPr>
      <w:r>
        <w:rPr>
          <w:rtl/>
          <w:lang w:bidi="ar-EG"/>
        </w:rPr>
        <w:t>212-</w:t>
      </w:r>
      <w:r w:rsidR="0066783B">
        <w:rPr>
          <w:rFonts w:hint="cs"/>
          <w:rtl/>
          <w:lang w:bidi="ar-EG"/>
        </w:rPr>
        <w:tab/>
      </w:r>
      <w:r>
        <w:rPr>
          <w:rtl/>
          <w:lang w:bidi="ar-EG"/>
        </w:rPr>
        <w:t>ومن الجدير بالملاحظة أن برامج تنمية المرأة المتصلة بالتخفيف من حدة الفقر والمساواة بين الجنسين والشمول الاجتماعي تنفذ في 443 2 من مناطق لجان التنمية القروية بهدف التوسع التدريجي بحيث تشمل برامج تنمية المرأة ومناطق لجان التنمية القروية. وبغية تحقيق الهدف المذكور أعلاه، خصصت الحكومة مبلغ 345.4 مليون روبية. وفيما يتعلق بالتخفيف من حدة الفقر للمرأة، وُضعت ترتيبات لتكوين جمعيات، وللمساعدة الذاتية عن طريق تعبئة الوفورات والائتمان، وللتدريب على تنمية المهارات، ولتقديم الائتمانات الصغيرة، ولإدارة صندوق دائر لصالح اللواتي يزاولن الأعمال الحرة. ونتيجة لذلك نجحت برامج تنمية المرأة في تجميع مبلغ 485 مليون روبية. ويق</w:t>
      </w:r>
      <w:r w:rsidR="00C715C0">
        <w:rPr>
          <w:rFonts w:hint="cs"/>
          <w:rtl/>
          <w:lang w:bidi="ar-EG"/>
        </w:rPr>
        <w:t>د</w:t>
      </w:r>
      <w:r>
        <w:rPr>
          <w:rtl/>
          <w:lang w:bidi="ar-EG"/>
        </w:rPr>
        <w:t>م هذا دليلا</w:t>
      </w:r>
      <w:r w:rsidR="00C715C0">
        <w:rPr>
          <w:rFonts w:hint="cs"/>
          <w:rtl/>
          <w:lang w:bidi="ar-EG"/>
        </w:rPr>
        <w:t>ً</w:t>
      </w:r>
      <w:r>
        <w:rPr>
          <w:rtl/>
          <w:lang w:bidi="ar-EG"/>
        </w:rPr>
        <w:t xml:space="preserve"> على إنجاز جوهري</w:t>
      </w:r>
      <w:r w:rsidRPr="00342E78">
        <w:rPr>
          <w:vertAlign w:val="superscript"/>
          <w:rtl/>
          <w:lang w:bidi="ar-EG"/>
        </w:rPr>
        <w:t>(</w:t>
      </w:r>
      <w:r>
        <w:rPr>
          <w:rStyle w:val="FootnoteReference"/>
          <w:rtl/>
        </w:rPr>
        <w:footnoteReference w:id="14"/>
      </w:r>
      <w:r w:rsidRPr="00342E78">
        <w:rPr>
          <w:vertAlign w:val="superscript"/>
          <w:rtl/>
          <w:lang w:bidi="ar-EG"/>
        </w:rPr>
        <w:t>)</w:t>
      </w:r>
      <w:r>
        <w:rPr>
          <w:rtl/>
          <w:lang w:bidi="ar-EG"/>
        </w:rPr>
        <w:t>.</w:t>
      </w:r>
    </w:p>
    <w:p w:rsidR="000B7434" w:rsidRDefault="000B7434" w:rsidP="00C715C0">
      <w:pPr>
        <w:pStyle w:val="H1GA"/>
        <w:spacing w:before="120"/>
        <w:rPr>
          <w:rtl/>
          <w:lang w:bidi="ar-EG"/>
        </w:rPr>
      </w:pPr>
      <w:r>
        <w:rPr>
          <w:rtl/>
          <w:lang w:bidi="ar-EG"/>
        </w:rPr>
        <w:tab/>
      </w:r>
      <w:r>
        <w:rPr>
          <w:rtl/>
          <w:lang w:bidi="ar-EG"/>
        </w:rPr>
        <w:tab/>
        <w:t>تعليم المرأة وتدريبها</w:t>
      </w:r>
    </w:p>
    <w:p w:rsidR="000B7434" w:rsidRDefault="000B7434" w:rsidP="00762AAB">
      <w:pPr>
        <w:pStyle w:val="SingleTxtGA"/>
        <w:spacing w:line="360" w:lineRule="exact"/>
        <w:rPr>
          <w:rtl/>
          <w:lang w:bidi="ar-EG"/>
        </w:rPr>
      </w:pPr>
      <w:r>
        <w:rPr>
          <w:rtl/>
          <w:lang w:bidi="ar-EG"/>
        </w:rPr>
        <w:t>213-</w:t>
      </w:r>
      <w:r w:rsidR="0066783B">
        <w:rPr>
          <w:rFonts w:hint="cs"/>
          <w:rtl/>
          <w:lang w:bidi="ar-EG"/>
        </w:rPr>
        <w:tab/>
      </w:r>
      <w:r>
        <w:rPr>
          <w:rtl/>
          <w:lang w:bidi="ar-EG"/>
        </w:rPr>
        <w:t>أولت الحكومة أعلى درجات الأولوية لتعليم المرأة وتدريبها. وتمثل أمية المرأة تحديا</w:t>
      </w:r>
      <w:r w:rsidR="00C715C0">
        <w:rPr>
          <w:rFonts w:hint="cs"/>
          <w:rtl/>
          <w:lang w:bidi="ar-EG"/>
        </w:rPr>
        <w:t>ً</w:t>
      </w:r>
      <w:r>
        <w:rPr>
          <w:rtl/>
          <w:lang w:bidi="ar-EG"/>
        </w:rPr>
        <w:t xml:space="preserve"> رئيسيا</w:t>
      </w:r>
      <w:r w:rsidR="00C715C0">
        <w:rPr>
          <w:rFonts w:hint="cs"/>
          <w:rtl/>
          <w:lang w:bidi="ar-EG"/>
        </w:rPr>
        <w:t>ً</w:t>
      </w:r>
      <w:r>
        <w:rPr>
          <w:rtl/>
          <w:lang w:bidi="ar-EG"/>
        </w:rPr>
        <w:t xml:space="preserve"> للتنمية الاجتماعية الاقتصادية. وقد اعتمدت وزارة التربية سياسات لتحسين التحاق الفتيات بالمدارس. وتتخذ الوزارة أيضا</w:t>
      </w:r>
      <w:r w:rsidR="00C715C0">
        <w:rPr>
          <w:rFonts w:hint="cs"/>
          <w:rtl/>
          <w:lang w:bidi="ar-EG"/>
        </w:rPr>
        <w:t>ً</w:t>
      </w:r>
      <w:r>
        <w:rPr>
          <w:rtl/>
          <w:lang w:bidi="ar-EG"/>
        </w:rPr>
        <w:t xml:space="preserve"> عددا</w:t>
      </w:r>
      <w:r w:rsidR="00C715C0">
        <w:rPr>
          <w:rFonts w:hint="cs"/>
          <w:rtl/>
          <w:lang w:bidi="ar-EG"/>
        </w:rPr>
        <w:t>ً</w:t>
      </w:r>
      <w:r>
        <w:rPr>
          <w:rtl/>
          <w:lang w:bidi="ar-EG"/>
        </w:rPr>
        <w:t xml:space="preserve"> من مبادرات التغيير لتعزيز حق المرأة في التعليم بصورة عامة وحق الفئات المهمشة مثل الداليت وجانجاتي والماديسي بصورة خاصة.</w:t>
      </w:r>
    </w:p>
    <w:p w:rsidR="000B7434" w:rsidRDefault="000B7434" w:rsidP="00762AAB">
      <w:pPr>
        <w:pStyle w:val="SingleTxtGA"/>
        <w:spacing w:line="360" w:lineRule="exact"/>
        <w:rPr>
          <w:rtl/>
          <w:lang w:bidi="ar-EG"/>
        </w:rPr>
      </w:pPr>
      <w:r>
        <w:rPr>
          <w:rtl/>
          <w:lang w:bidi="ar-EG"/>
        </w:rPr>
        <w:t>214</w:t>
      </w:r>
      <w:r>
        <w:rPr>
          <w:rFonts w:hint="cs"/>
          <w:rtl/>
          <w:lang w:bidi="ar-EG"/>
        </w:rPr>
        <w:t>-</w:t>
      </w:r>
      <w:r w:rsidR="0066783B">
        <w:rPr>
          <w:rFonts w:hint="cs"/>
          <w:rtl/>
          <w:lang w:bidi="ar-EG"/>
        </w:rPr>
        <w:tab/>
      </w:r>
      <w:r>
        <w:rPr>
          <w:rtl/>
          <w:lang w:bidi="ar-EG"/>
        </w:rPr>
        <w:t>وحرصا</w:t>
      </w:r>
      <w:r w:rsidR="0066783B">
        <w:rPr>
          <w:rFonts w:hint="cs"/>
          <w:rtl/>
          <w:lang w:bidi="ar-EG"/>
        </w:rPr>
        <w:t>ً</w:t>
      </w:r>
      <w:r>
        <w:rPr>
          <w:rtl/>
          <w:lang w:bidi="ar-EG"/>
        </w:rPr>
        <w:t xml:space="preserve"> على زيادة جودة التعليم، اضطلعت وزارة التربية بعدد من برامج التدريب لمعلمي المدارس في المجتمعات المحلية. ونُظمت برامج تدريب رسمية وغير رسمية للمعلمين بغية تطوير مهاراتهم. وفي السنة المالية الحالية، خُصصت ميزانية لتدريب 141 </w:t>
      </w:r>
      <w:r w:rsidR="008B03DA">
        <w:rPr>
          <w:rtl/>
          <w:lang w:bidi="ar-EG"/>
        </w:rPr>
        <w:t>33 من مدرسي المستوى الابتدائي و</w:t>
      </w:r>
      <w:r>
        <w:rPr>
          <w:rtl/>
          <w:lang w:bidi="ar-EG"/>
        </w:rPr>
        <w:t>250 12 من مدرسي المستوى الثانوي.</w:t>
      </w:r>
    </w:p>
    <w:p w:rsidR="000B7434" w:rsidRDefault="000B7434" w:rsidP="00762AAB">
      <w:pPr>
        <w:pStyle w:val="SingleTxtGA"/>
        <w:spacing w:line="360" w:lineRule="exact"/>
        <w:rPr>
          <w:rtl/>
          <w:lang w:bidi="ar-EG"/>
        </w:rPr>
      </w:pPr>
      <w:r>
        <w:rPr>
          <w:rtl/>
          <w:lang w:bidi="ar-EG"/>
        </w:rPr>
        <w:t>215-</w:t>
      </w:r>
      <w:r w:rsidR="0066783B">
        <w:rPr>
          <w:rFonts w:hint="cs"/>
          <w:rtl/>
          <w:lang w:bidi="ar-EG"/>
        </w:rPr>
        <w:tab/>
      </w:r>
      <w:r>
        <w:rPr>
          <w:rtl/>
          <w:lang w:bidi="ar-EG"/>
        </w:rPr>
        <w:t>ويظهر الجدول التالي النسبة المئوية للمدرسات والمدرسين الذين تلقوا تدريب المعلمين. وهذه البيانات هي للسنة المدرسية 2007-2008. ومقارنة بالسنوات المدرسية السابقة، ازداد عدد المعلمين المدرَّبين في كل المستويات زيادة كبيرة.</w:t>
      </w:r>
    </w:p>
    <w:p w:rsidR="000B7434" w:rsidRDefault="000B7434" w:rsidP="0066783B">
      <w:pPr>
        <w:pStyle w:val="SingleTxtGA"/>
        <w:spacing w:after="0"/>
        <w:rPr>
          <w:rFonts w:hint="cs"/>
          <w:rtl/>
          <w:lang w:bidi="ar-EG"/>
        </w:rPr>
      </w:pPr>
      <w:r w:rsidRPr="0014582F">
        <w:rPr>
          <w:rtl/>
          <w:lang w:bidi="ar-EG"/>
        </w:rPr>
        <w:t>الجدول 21</w:t>
      </w:r>
    </w:p>
    <w:p w:rsidR="000B7434" w:rsidRPr="0066783B" w:rsidRDefault="000B7434" w:rsidP="0066783B">
      <w:pPr>
        <w:pStyle w:val="SingleTxtGA"/>
        <w:rPr>
          <w:rFonts w:hint="cs"/>
          <w:b/>
          <w:bCs/>
          <w:rtl/>
          <w:lang w:bidi="ar-EG"/>
        </w:rPr>
      </w:pPr>
      <w:r w:rsidRPr="0066783B">
        <w:rPr>
          <w:b/>
          <w:bCs/>
          <w:rtl/>
          <w:lang w:bidi="ar-EG"/>
        </w:rPr>
        <w:t>النسبة المئوية للمدرسات والمدرسين في كل المستويات الذين تلقوا</w:t>
      </w:r>
      <w:r w:rsidRPr="0066783B">
        <w:rPr>
          <w:b/>
          <w:bCs/>
          <w:rtl/>
        </w:rPr>
        <w:t> </w:t>
      </w:r>
      <w:r w:rsidRPr="0066783B">
        <w:rPr>
          <w:b/>
          <w:bCs/>
          <w:rtl/>
          <w:lang w:bidi="ar-EG"/>
        </w:rPr>
        <w:t>التدريب</w:t>
      </w:r>
    </w:p>
    <w:tbl>
      <w:tblPr>
        <w:bidiVisual/>
        <w:tblW w:w="0" w:type="auto"/>
        <w:tblInd w:w="1267" w:type="dxa"/>
        <w:tblLayout w:type="fixed"/>
        <w:tblCellMar>
          <w:left w:w="0" w:type="dxa"/>
          <w:right w:w="0" w:type="dxa"/>
        </w:tblCellMar>
        <w:tblLook w:val="0000" w:firstRow="0" w:lastRow="0" w:firstColumn="0" w:lastColumn="0" w:noHBand="0" w:noVBand="0"/>
      </w:tblPr>
      <w:tblGrid>
        <w:gridCol w:w="2324"/>
        <w:gridCol w:w="1777"/>
        <w:gridCol w:w="1526"/>
        <w:gridCol w:w="1358"/>
      </w:tblGrid>
      <w:tr w:rsidR="000B7434" w:rsidRPr="006271C7" w:rsidTr="0066783B">
        <w:tblPrEx>
          <w:tblCellMar>
            <w:top w:w="0" w:type="dxa"/>
            <w:bottom w:w="0" w:type="dxa"/>
          </w:tblCellMar>
        </w:tblPrEx>
        <w:trPr>
          <w:cantSplit/>
          <w:tblHeader/>
        </w:trPr>
        <w:tc>
          <w:tcPr>
            <w:tcW w:w="2324" w:type="dxa"/>
            <w:tcBorders>
              <w:top w:val="single" w:sz="4" w:space="0" w:color="auto"/>
              <w:bottom w:val="single" w:sz="12" w:space="0" w:color="auto"/>
            </w:tcBorders>
            <w:vAlign w:val="bottom"/>
          </w:tcPr>
          <w:p w:rsidR="000B7434" w:rsidRPr="0066783B" w:rsidRDefault="000B7434" w:rsidP="00C715C0">
            <w:pPr>
              <w:tabs>
                <w:tab w:val="left" w:pos="288"/>
                <w:tab w:val="left" w:pos="576"/>
                <w:tab w:val="left" w:pos="864"/>
                <w:tab w:val="left" w:pos="1152"/>
              </w:tabs>
              <w:spacing w:before="40" w:after="40" w:line="280" w:lineRule="exact"/>
              <w:ind w:left="57"/>
              <w:rPr>
                <w:i/>
                <w:iCs/>
                <w:sz w:val="18"/>
                <w:szCs w:val="26"/>
                <w:lang w:bidi="ar-EG"/>
              </w:rPr>
            </w:pPr>
            <w:r w:rsidRPr="0066783B">
              <w:rPr>
                <w:i/>
                <w:iCs/>
                <w:sz w:val="18"/>
                <w:szCs w:val="26"/>
                <w:rtl/>
                <w:lang w:bidi="ar-EG"/>
              </w:rPr>
              <w:t>المستوى</w:t>
            </w:r>
          </w:p>
        </w:tc>
        <w:tc>
          <w:tcPr>
            <w:tcW w:w="1777" w:type="dxa"/>
            <w:tcBorders>
              <w:top w:val="single" w:sz="4" w:space="0" w:color="auto"/>
              <w:bottom w:val="single" w:sz="12" w:space="0" w:color="auto"/>
            </w:tcBorders>
            <w:vAlign w:val="bottom"/>
          </w:tcPr>
          <w:p w:rsidR="000B7434" w:rsidRPr="0066783B" w:rsidRDefault="000B7434" w:rsidP="00C715C0">
            <w:pPr>
              <w:tabs>
                <w:tab w:val="left" w:pos="288"/>
                <w:tab w:val="left" w:pos="576"/>
                <w:tab w:val="left" w:pos="864"/>
                <w:tab w:val="left" w:pos="1152"/>
              </w:tabs>
              <w:spacing w:before="40" w:after="40" w:line="280" w:lineRule="exact"/>
              <w:ind w:left="57"/>
              <w:rPr>
                <w:i/>
                <w:iCs/>
                <w:sz w:val="18"/>
                <w:szCs w:val="26"/>
                <w:lang w:bidi="ar-EG"/>
              </w:rPr>
            </w:pPr>
            <w:r w:rsidRPr="0066783B">
              <w:rPr>
                <w:i/>
                <w:iCs/>
                <w:sz w:val="18"/>
                <w:szCs w:val="26"/>
                <w:rtl/>
                <w:lang w:bidi="ar-EG"/>
              </w:rPr>
              <w:t>المدرّسات</w:t>
            </w:r>
          </w:p>
        </w:tc>
        <w:tc>
          <w:tcPr>
            <w:tcW w:w="1526" w:type="dxa"/>
            <w:tcBorders>
              <w:top w:val="single" w:sz="4" w:space="0" w:color="auto"/>
              <w:bottom w:val="single" w:sz="12" w:space="0" w:color="auto"/>
            </w:tcBorders>
            <w:vAlign w:val="bottom"/>
          </w:tcPr>
          <w:p w:rsidR="000B7434" w:rsidRPr="0066783B" w:rsidRDefault="000B7434" w:rsidP="00C715C0">
            <w:pPr>
              <w:tabs>
                <w:tab w:val="left" w:pos="288"/>
                <w:tab w:val="left" w:pos="576"/>
                <w:tab w:val="left" w:pos="864"/>
                <w:tab w:val="left" w:pos="1152"/>
              </w:tabs>
              <w:spacing w:before="40" w:after="40" w:line="280" w:lineRule="exact"/>
              <w:ind w:left="57"/>
              <w:rPr>
                <w:i/>
                <w:iCs/>
                <w:sz w:val="18"/>
                <w:szCs w:val="26"/>
                <w:lang w:bidi="ar-EG"/>
              </w:rPr>
            </w:pPr>
            <w:r w:rsidRPr="0066783B">
              <w:rPr>
                <w:i/>
                <w:iCs/>
                <w:sz w:val="18"/>
                <w:szCs w:val="26"/>
                <w:rtl/>
                <w:lang w:bidi="ar-EG"/>
              </w:rPr>
              <w:t>المدرّسون</w:t>
            </w:r>
          </w:p>
        </w:tc>
        <w:tc>
          <w:tcPr>
            <w:tcW w:w="1358" w:type="dxa"/>
            <w:tcBorders>
              <w:top w:val="single" w:sz="4" w:space="0" w:color="auto"/>
              <w:bottom w:val="single" w:sz="12" w:space="0" w:color="auto"/>
            </w:tcBorders>
            <w:vAlign w:val="bottom"/>
          </w:tcPr>
          <w:p w:rsidR="000B7434" w:rsidRPr="0066783B" w:rsidRDefault="000B7434" w:rsidP="00C715C0">
            <w:pPr>
              <w:tabs>
                <w:tab w:val="left" w:pos="288"/>
                <w:tab w:val="left" w:pos="576"/>
                <w:tab w:val="left" w:pos="864"/>
                <w:tab w:val="left" w:pos="1152"/>
              </w:tabs>
              <w:spacing w:before="40" w:after="40" w:line="280" w:lineRule="exact"/>
              <w:ind w:left="57"/>
              <w:rPr>
                <w:i/>
                <w:iCs/>
                <w:sz w:val="18"/>
                <w:szCs w:val="26"/>
                <w:lang w:bidi="ar-EG"/>
              </w:rPr>
            </w:pPr>
            <w:r w:rsidRPr="0066783B">
              <w:rPr>
                <w:i/>
                <w:iCs/>
                <w:sz w:val="18"/>
                <w:szCs w:val="26"/>
                <w:rtl/>
                <w:lang w:bidi="ar-EG"/>
              </w:rPr>
              <w:t>مجموع المدرَّسين</w:t>
            </w:r>
          </w:p>
        </w:tc>
      </w:tr>
      <w:tr w:rsidR="000B7434" w:rsidRPr="006271C7" w:rsidTr="0066783B">
        <w:tblPrEx>
          <w:tblCellMar>
            <w:top w:w="0" w:type="dxa"/>
            <w:bottom w:w="0" w:type="dxa"/>
          </w:tblCellMar>
        </w:tblPrEx>
        <w:trPr>
          <w:cantSplit/>
        </w:trPr>
        <w:tc>
          <w:tcPr>
            <w:tcW w:w="2324" w:type="dxa"/>
            <w:vAlign w:val="bottom"/>
          </w:tcPr>
          <w:p w:rsidR="000B7434" w:rsidRPr="0066783B" w:rsidRDefault="000B7434" w:rsidP="00C715C0">
            <w:pPr>
              <w:tabs>
                <w:tab w:val="left" w:pos="288"/>
                <w:tab w:val="left" w:pos="576"/>
                <w:tab w:val="left" w:pos="864"/>
                <w:tab w:val="left" w:pos="1152"/>
              </w:tabs>
              <w:spacing w:before="40" w:after="40" w:line="280" w:lineRule="exact"/>
              <w:ind w:left="57"/>
              <w:rPr>
                <w:sz w:val="18"/>
                <w:szCs w:val="26"/>
                <w:lang w:bidi="ar-EG"/>
              </w:rPr>
            </w:pPr>
            <w:r w:rsidRPr="0066783B">
              <w:rPr>
                <w:sz w:val="18"/>
                <w:szCs w:val="26"/>
                <w:rtl/>
                <w:lang w:bidi="ar-EG"/>
              </w:rPr>
              <w:t>الابتدائي</w:t>
            </w:r>
          </w:p>
        </w:tc>
        <w:tc>
          <w:tcPr>
            <w:tcW w:w="1777" w:type="dxa"/>
            <w:vAlign w:val="bottom"/>
          </w:tcPr>
          <w:p w:rsidR="000B7434" w:rsidRPr="0066783B" w:rsidRDefault="000B7434" w:rsidP="00C715C0">
            <w:pPr>
              <w:tabs>
                <w:tab w:val="left" w:pos="288"/>
                <w:tab w:val="left" w:pos="576"/>
                <w:tab w:val="left" w:pos="864"/>
                <w:tab w:val="left" w:pos="1152"/>
              </w:tabs>
              <w:spacing w:before="40" w:after="40" w:line="280" w:lineRule="exact"/>
              <w:ind w:left="57"/>
              <w:rPr>
                <w:sz w:val="18"/>
                <w:szCs w:val="26"/>
                <w:lang w:bidi="ar-EG"/>
              </w:rPr>
            </w:pPr>
            <w:r w:rsidRPr="0066783B">
              <w:rPr>
                <w:sz w:val="18"/>
                <w:szCs w:val="26"/>
                <w:rtl/>
                <w:lang w:bidi="ar-EG"/>
              </w:rPr>
              <w:t>65.7 في المائة</w:t>
            </w:r>
          </w:p>
        </w:tc>
        <w:tc>
          <w:tcPr>
            <w:tcW w:w="1526" w:type="dxa"/>
            <w:vAlign w:val="bottom"/>
          </w:tcPr>
          <w:p w:rsidR="000B7434" w:rsidRPr="0066783B" w:rsidRDefault="000B7434" w:rsidP="00C715C0">
            <w:pPr>
              <w:tabs>
                <w:tab w:val="left" w:pos="288"/>
                <w:tab w:val="left" w:pos="576"/>
                <w:tab w:val="left" w:pos="864"/>
                <w:tab w:val="left" w:pos="1152"/>
              </w:tabs>
              <w:spacing w:before="40" w:after="40" w:line="280" w:lineRule="exact"/>
              <w:ind w:left="57"/>
              <w:rPr>
                <w:sz w:val="18"/>
                <w:szCs w:val="26"/>
                <w:lang w:bidi="ar-EG"/>
              </w:rPr>
            </w:pPr>
            <w:r w:rsidRPr="0066783B">
              <w:rPr>
                <w:sz w:val="18"/>
                <w:szCs w:val="26"/>
                <w:rtl/>
                <w:lang w:bidi="ar-EG"/>
              </w:rPr>
              <w:t>66.8 في المائة</w:t>
            </w:r>
          </w:p>
        </w:tc>
        <w:tc>
          <w:tcPr>
            <w:tcW w:w="1358" w:type="dxa"/>
            <w:vAlign w:val="bottom"/>
          </w:tcPr>
          <w:p w:rsidR="000B7434" w:rsidRPr="0066783B" w:rsidRDefault="000B7434" w:rsidP="00C715C0">
            <w:pPr>
              <w:tabs>
                <w:tab w:val="left" w:pos="288"/>
                <w:tab w:val="left" w:pos="576"/>
                <w:tab w:val="left" w:pos="864"/>
                <w:tab w:val="left" w:pos="1152"/>
              </w:tabs>
              <w:spacing w:before="40" w:after="40" w:line="280" w:lineRule="exact"/>
              <w:ind w:left="57"/>
              <w:rPr>
                <w:sz w:val="18"/>
                <w:szCs w:val="26"/>
                <w:lang w:bidi="ar-EG"/>
              </w:rPr>
            </w:pPr>
            <w:r w:rsidRPr="0066783B">
              <w:rPr>
                <w:sz w:val="18"/>
                <w:szCs w:val="26"/>
                <w:rtl/>
                <w:lang w:bidi="ar-EG"/>
              </w:rPr>
              <w:t>66.4 في المائة</w:t>
            </w:r>
          </w:p>
        </w:tc>
      </w:tr>
      <w:tr w:rsidR="000B7434" w:rsidRPr="006271C7" w:rsidTr="0066783B">
        <w:tblPrEx>
          <w:tblCellMar>
            <w:top w:w="0" w:type="dxa"/>
            <w:bottom w:w="0" w:type="dxa"/>
          </w:tblCellMar>
        </w:tblPrEx>
        <w:trPr>
          <w:cantSplit/>
        </w:trPr>
        <w:tc>
          <w:tcPr>
            <w:tcW w:w="2324" w:type="dxa"/>
            <w:vAlign w:val="bottom"/>
          </w:tcPr>
          <w:p w:rsidR="000B7434" w:rsidRPr="0066783B" w:rsidRDefault="000B7434" w:rsidP="00C715C0">
            <w:pPr>
              <w:tabs>
                <w:tab w:val="left" w:pos="288"/>
                <w:tab w:val="left" w:pos="576"/>
                <w:tab w:val="left" w:pos="864"/>
                <w:tab w:val="left" w:pos="1152"/>
              </w:tabs>
              <w:spacing w:before="40" w:after="40" w:line="280" w:lineRule="exact"/>
              <w:ind w:left="57"/>
              <w:rPr>
                <w:sz w:val="18"/>
                <w:szCs w:val="26"/>
                <w:lang w:bidi="ar-EG"/>
              </w:rPr>
            </w:pPr>
            <w:r w:rsidRPr="0066783B">
              <w:rPr>
                <w:sz w:val="18"/>
                <w:szCs w:val="26"/>
                <w:rtl/>
                <w:lang w:bidi="ar-EG"/>
              </w:rPr>
              <w:t>الإعدادي</w:t>
            </w:r>
          </w:p>
        </w:tc>
        <w:tc>
          <w:tcPr>
            <w:tcW w:w="1777" w:type="dxa"/>
            <w:vAlign w:val="bottom"/>
          </w:tcPr>
          <w:p w:rsidR="000B7434" w:rsidRPr="0066783B" w:rsidRDefault="000B7434" w:rsidP="00C715C0">
            <w:pPr>
              <w:tabs>
                <w:tab w:val="left" w:pos="288"/>
                <w:tab w:val="left" w:pos="576"/>
                <w:tab w:val="left" w:pos="864"/>
                <w:tab w:val="left" w:pos="1152"/>
              </w:tabs>
              <w:spacing w:before="40" w:after="40" w:line="280" w:lineRule="exact"/>
              <w:ind w:left="57"/>
              <w:rPr>
                <w:sz w:val="18"/>
                <w:szCs w:val="26"/>
                <w:lang w:bidi="ar-EG"/>
              </w:rPr>
            </w:pPr>
            <w:r w:rsidRPr="0066783B">
              <w:rPr>
                <w:sz w:val="18"/>
                <w:szCs w:val="26"/>
                <w:rtl/>
                <w:lang w:bidi="ar-EG"/>
              </w:rPr>
              <w:t>57.1 في المائة</w:t>
            </w:r>
          </w:p>
        </w:tc>
        <w:tc>
          <w:tcPr>
            <w:tcW w:w="1526" w:type="dxa"/>
            <w:vAlign w:val="bottom"/>
          </w:tcPr>
          <w:p w:rsidR="000B7434" w:rsidRPr="0066783B" w:rsidRDefault="000B7434" w:rsidP="00C715C0">
            <w:pPr>
              <w:tabs>
                <w:tab w:val="left" w:pos="288"/>
                <w:tab w:val="left" w:pos="576"/>
                <w:tab w:val="left" w:pos="864"/>
                <w:tab w:val="left" w:pos="1152"/>
              </w:tabs>
              <w:spacing w:before="40" w:after="40" w:line="280" w:lineRule="exact"/>
              <w:ind w:left="57"/>
              <w:rPr>
                <w:sz w:val="18"/>
                <w:szCs w:val="26"/>
                <w:lang w:bidi="ar-EG"/>
              </w:rPr>
            </w:pPr>
            <w:r w:rsidRPr="0066783B">
              <w:rPr>
                <w:sz w:val="18"/>
                <w:szCs w:val="26"/>
                <w:rtl/>
                <w:lang w:bidi="ar-EG"/>
              </w:rPr>
              <w:t>51.3 في المائة</w:t>
            </w:r>
          </w:p>
        </w:tc>
        <w:tc>
          <w:tcPr>
            <w:tcW w:w="1358" w:type="dxa"/>
            <w:vAlign w:val="bottom"/>
          </w:tcPr>
          <w:p w:rsidR="000B7434" w:rsidRPr="0066783B" w:rsidRDefault="000B7434" w:rsidP="00C715C0">
            <w:pPr>
              <w:tabs>
                <w:tab w:val="left" w:pos="288"/>
                <w:tab w:val="left" w:pos="576"/>
                <w:tab w:val="left" w:pos="864"/>
                <w:tab w:val="left" w:pos="1152"/>
              </w:tabs>
              <w:spacing w:before="40" w:after="40" w:line="280" w:lineRule="exact"/>
              <w:ind w:left="57"/>
              <w:rPr>
                <w:sz w:val="18"/>
                <w:szCs w:val="26"/>
                <w:lang w:bidi="ar-EG"/>
              </w:rPr>
            </w:pPr>
            <w:r w:rsidRPr="0066783B">
              <w:rPr>
                <w:sz w:val="18"/>
                <w:szCs w:val="26"/>
                <w:rtl/>
                <w:lang w:bidi="ar-EG"/>
              </w:rPr>
              <w:t>52.3 في المائة</w:t>
            </w:r>
          </w:p>
        </w:tc>
      </w:tr>
      <w:tr w:rsidR="000B7434" w:rsidRPr="006271C7" w:rsidTr="0066783B">
        <w:tblPrEx>
          <w:tblCellMar>
            <w:top w:w="0" w:type="dxa"/>
            <w:bottom w:w="0" w:type="dxa"/>
          </w:tblCellMar>
        </w:tblPrEx>
        <w:trPr>
          <w:cantSplit/>
        </w:trPr>
        <w:tc>
          <w:tcPr>
            <w:tcW w:w="2324" w:type="dxa"/>
            <w:tcBorders>
              <w:bottom w:val="single" w:sz="12" w:space="0" w:color="auto"/>
            </w:tcBorders>
            <w:vAlign w:val="bottom"/>
          </w:tcPr>
          <w:p w:rsidR="000B7434" w:rsidRPr="0066783B" w:rsidRDefault="000B7434" w:rsidP="00C715C0">
            <w:pPr>
              <w:tabs>
                <w:tab w:val="left" w:pos="288"/>
                <w:tab w:val="left" w:pos="576"/>
                <w:tab w:val="left" w:pos="864"/>
                <w:tab w:val="left" w:pos="1152"/>
              </w:tabs>
              <w:spacing w:before="40" w:after="40" w:line="280" w:lineRule="exact"/>
              <w:ind w:left="57"/>
              <w:rPr>
                <w:sz w:val="18"/>
                <w:szCs w:val="26"/>
                <w:lang w:bidi="ar-EG"/>
              </w:rPr>
            </w:pPr>
            <w:r w:rsidRPr="0066783B">
              <w:rPr>
                <w:sz w:val="18"/>
                <w:szCs w:val="26"/>
                <w:rtl/>
                <w:lang w:bidi="ar-EG"/>
              </w:rPr>
              <w:t>الثانوي</w:t>
            </w:r>
          </w:p>
        </w:tc>
        <w:tc>
          <w:tcPr>
            <w:tcW w:w="1777" w:type="dxa"/>
            <w:tcBorders>
              <w:bottom w:val="single" w:sz="12" w:space="0" w:color="auto"/>
            </w:tcBorders>
            <w:vAlign w:val="bottom"/>
          </w:tcPr>
          <w:p w:rsidR="000B7434" w:rsidRPr="0066783B" w:rsidRDefault="000B7434" w:rsidP="00C715C0">
            <w:pPr>
              <w:tabs>
                <w:tab w:val="left" w:pos="288"/>
                <w:tab w:val="left" w:pos="576"/>
                <w:tab w:val="left" w:pos="864"/>
                <w:tab w:val="left" w:pos="1152"/>
              </w:tabs>
              <w:spacing w:before="40" w:after="40" w:line="280" w:lineRule="exact"/>
              <w:ind w:left="57"/>
              <w:rPr>
                <w:sz w:val="18"/>
                <w:szCs w:val="26"/>
                <w:lang w:bidi="ar-EG"/>
              </w:rPr>
            </w:pPr>
            <w:r w:rsidRPr="0066783B">
              <w:rPr>
                <w:sz w:val="18"/>
                <w:szCs w:val="26"/>
                <w:rtl/>
                <w:lang w:bidi="ar-EG"/>
              </w:rPr>
              <w:t>69.1 في المائة</w:t>
            </w:r>
          </w:p>
        </w:tc>
        <w:tc>
          <w:tcPr>
            <w:tcW w:w="1526" w:type="dxa"/>
            <w:tcBorders>
              <w:bottom w:val="single" w:sz="12" w:space="0" w:color="auto"/>
            </w:tcBorders>
            <w:vAlign w:val="bottom"/>
          </w:tcPr>
          <w:p w:rsidR="000B7434" w:rsidRPr="0066783B" w:rsidRDefault="000B7434" w:rsidP="00C715C0">
            <w:pPr>
              <w:tabs>
                <w:tab w:val="left" w:pos="288"/>
                <w:tab w:val="left" w:pos="576"/>
                <w:tab w:val="left" w:pos="864"/>
                <w:tab w:val="left" w:pos="1152"/>
              </w:tabs>
              <w:spacing w:before="40" w:after="40" w:line="280" w:lineRule="exact"/>
              <w:ind w:left="57"/>
              <w:rPr>
                <w:sz w:val="18"/>
                <w:szCs w:val="26"/>
                <w:lang w:bidi="ar-EG"/>
              </w:rPr>
            </w:pPr>
            <w:r w:rsidRPr="0066783B">
              <w:rPr>
                <w:sz w:val="18"/>
                <w:szCs w:val="26"/>
                <w:rtl/>
                <w:lang w:bidi="ar-EG"/>
              </w:rPr>
              <w:t>70.2 في المائة</w:t>
            </w:r>
          </w:p>
        </w:tc>
        <w:tc>
          <w:tcPr>
            <w:tcW w:w="1358" w:type="dxa"/>
            <w:tcBorders>
              <w:bottom w:val="single" w:sz="12" w:space="0" w:color="auto"/>
            </w:tcBorders>
            <w:vAlign w:val="bottom"/>
          </w:tcPr>
          <w:p w:rsidR="000B7434" w:rsidRPr="0066783B" w:rsidRDefault="000B7434" w:rsidP="00C715C0">
            <w:pPr>
              <w:tabs>
                <w:tab w:val="left" w:pos="288"/>
                <w:tab w:val="left" w:pos="576"/>
                <w:tab w:val="left" w:pos="864"/>
                <w:tab w:val="left" w:pos="1152"/>
              </w:tabs>
              <w:spacing w:before="40" w:after="40" w:line="280" w:lineRule="exact"/>
              <w:ind w:left="57"/>
              <w:rPr>
                <w:sz w:val="18"/>
                <w:szCs w:val="26"/>
                <w:lang w:bidi="ar-EG"/>
              </w:rPr>
            </w:pPr>
            <w:r w:rsidRPr="0066783B">
              <w:rPr>
                <w:sz w:val="18"/>
                <w:szCs w:val="26"/>
                <w:rtl/>
                <w:lang w:bidi="ar-EG"/>
              </w:rPr>
              <w:t>70.0 في المائة</w:t>
            </w:r>
          </w:p>
        </w:tc>
      </w:tr>
    </w:tbl>
    <w:p w:rsidR="000B7434" w:rsidRDefault="000B7434" w:rsidP="00762AAB">
      <w:pPr>
        <w:pStyle w:val="SingleTxtGA"/>
        <w:spacing w:before="240" w:line="360" w:lineRule="exact"/>
        <w:rPr>
          <w:rtl/>
          <w:lang w:bidi="ar-EG"/>
        </w:rPr>
      </w:pPr>
      <w:r>
        <w:rPr>
          <w:rtl/>
          <w:lang w:bidi="ar-EG"/>
        </w:rPr>
        <w:t>216-</w:t>
      </w:r>
      <w:r w:rsidR="0066783B">
        <w:rPr>
          <w:rFonts w:hint="cs"/>
          <w:rtl/>
          <w:lang w:bidi="ar-EG"/>
        </w:rPr>
        <w:tab/>
      </w:r>
      <w:r>
        <w:rPr>
          <w:rtl/>
          <w:lang w:bidi="ar-EG"/>
        </w:rPr>
        <w:t>ومجهود التدريب ليس مقتصرا</w:t>
      </w:r>
      <w:r w:rsidR="00C715C0">
        <w:rPr>
          <w:rFonts w:hint="cs"/>
          <w:rtl/>
          <w:lang w:bidi="ar-EG"/>
        </w:rPr>
        <w:t>ً</w:t>
      </w:r>
      <w:r>
        <w:rPr>
          <w:rtl/>
          <w:lang w:bidi="ar-EG"/>
        </w:rPr>
        <w:t xml:space="preserve"> فقط على عمليات التدريب الرسمية. ذلك أن الحكومة تعمل، بتعاون وشراكة مع المنظمات غير الحكومية والمنظمات غير الحكومية الدولية ووكالات الأمم المتحدة على تنظيم برامج تدريب غير رسمية على مستوى المجتمعات المحلية. وتمثل أكاديمية التدريب على التنمية المحلية المؤسسة المظلة لخمسة مراكز تدريب إقليمية تعمل على سد الحاجات التدريبية للتنمية الريفية والمحلية. وهذه الأكاديمية هي معهد مستقل مرتبط بوزارة التنمية المحلية. وهدف هذه الأكاديمية هو زيادة القدرات الإدارية والتنظيمية للهيئات المحلية، مع إيلاء الأولوية للمرأة وللفئات المحرومة في عملية التنمية المؤسسية للهيئات المحلية. وتنظم الأكاديمية دورات تدريبية طويلة الأجل وقصيرة الأجل. وتترأس شعبة التخطيط والإشراف وتعميم الجنسانية فيها امرأة تشغل وظيفة بالدرجة الأولى.</w:t>
      </w:r>
    </w:p>
    <w:p w:rsidR="000B7434" w:rsidRDefault="000B7434" w:rsidP="00762AAB">
      <w:pPr>
        <w:pStyle w:val="SingleTxtGA"/>
        <w:spacing w:line="360" w:lineRule="exact"/>
        <w:rPr>
          <w:rtl/>
          <w:lang w:bidi="ar-EG"/>
        </w:rPr>
      </w:pPr>
      <w:r>
        <w:rPr>
          <w:rtl/>
          <w:lang w:bidi="ar-EG"/>
        </w:rPr>
        <w:t>217-</w:t>
      </w:r>
      <w:r w:rsidR="0066783B">
        <w:rPr>
          <w:rFonts w:hint="cs"/>
          <w:rtl/>
          <w:lang w:bidi="ar-EG"/>
        </w:rPr>
        <w:tab/>
      </w:r>
      <w:r>
        <w:rPr>
          <w:rtl/>
          <w:lang w:bidi="ar-EG"/>
        </w:rPr>
        <w:t>وأدت وزارة التنمية المحلية دوراً في غاية الأهمية في تعزيز أنشطة التدريب هذه عن طريق تعبئة التنظيمات المجتمعية. وقام عدد من هذه التنظيمات بتوفير التدريب على المسائل المتصلة بالجنسانية. وتظهر الأرقام التالية العدد المنتفع من التنظيمات المجتمعية النسائية، وعدد أعضائها، ونسبة الإناث المدربات الأعضاء في هذه التنظيمات المجتمعية، وكذلك المناصب القيادية التي يشغلنها.</w:t>
      </w:r>
    </w:p>
    <w:p w:rsidR="0066783B" w:rsidRDefault="000B7434" w:rsidP="0066783B">
      <w:pPr>
        <w:pStyle w:val="SingleTxtGA"/>
        <w:spacing w:after="0"/>
        <w:rPr>
          <w:rFonts w:hint="cs"/>
          <w:rtl/>
          <w:lang w:bidi="ar-EG"/>
        </w:rPr>
      </w:pPr>
      <w:r w:rsidRPr="0046725F">
        <w:rPr>
          <w:rtl/>
          <w:lang w:bidi="ar-EG"/>
        </w:rPr>
        <w:t>الجدول 22</w:t>
      </w:r>
    </w:p>
    <w:p w:rsidR="000B7434" w:rsidRPr="0066783B" w:rsidRDefault="000B7434" w:rsidP="0066783B">
      <w:pPr>
        <w:pStyle w:val="SingleTxtGA"/>
        <w:rPr>
          <w:b/>
          <w:bCs/>
          <w:rtl/>
          <w:lang w:bidi="ar-EG"/>
        </w:rPr>
      </w:pPr>
      <w:r w:rsidRPr="0066783B">
        <w:rPr>
          <w:b/>
          <w:bCs/>
          <w:rtl/>
          <w:lang w:bidi="ar-EG"/>
        </w:rPr>
        <w:t>أنشطة تدريب التنظيمات المجتمعية، مفصلة حسب الجنس</w:t>
      </w:r>
    </w:p>
    <w:tbl>
      <w:tblPr>
        <w:bidiVisual/>
        <w:tblW w:w="8441" w:type="dxa"/>
        <w:tblInd w:w="1267" w:type="dxa"/>
        <w:tblLayout w:type="fixed"/>
        <w:tblCellMar>
          <w:left w:w="0" w:type="dxa"/>
          <w:right w:w="0" w:type="dxa"/>
        </w:tblCellMar>
        <w:tblLook w:val="0000" w:firstRow="0" w:lastRow="0" w:firstColumn="0" w:lastColumn="0" w:noHBand="0" w:noVBand="0"/>
      </w:tblPr>
      <w:tblGrid>
        <w:gridCol w:w="2715"/>
        <w:gridCol w:w="1750"/>
        <w:gridCol w:w="1568"/>
        <w:gridCol w:w="1428"/>
        <w:gridCol w:w="980"/>
      </w:tblGrid>
      <w:tr w:rsidR="000B7434" w:rsidRPr="006271C7" w:rsidTr="00762AAB">
        <w:tblPrEx>
          <w:tblCellMar>
            <w:top w:w="0" w:type="dxa"/>
            <w:bottom w:w="0" w:type="dxa"/>
          </w:tblCellMar>
        </w:tblPrEx>
        <w:trPr>
          <w:cantSplit/>
          <w:tblHeader/>
        </w:trPr>
        <w:tc>
          <w:tcPr>
            <w:tcW w:w="2715"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i/>
                <w:iCs/>
                <w:sz w:val="18"/>
                <w:szCs w:val="26"/>
                <w:lang w:bidi="ar-EG"/>
              </w:rPr>
            </w:pPr>
            <w:r w:rsidRPr="0066783B">
              <w:rPr>
                <w:i/>
                <w:iCs/>
                <w:sz w:val="18"/>
                <w:szCs w:val="26"/>
                <w:rtl/>
                <w:lang w:bidi="ar-EG"/>
              </w:rPr>
              <w:t>اللقب</w:t>
            </w:r>
          </w:p>
        </w:tc>
        <w:tc>
          <w:tcPr>
            <w:tcW w:w="1750"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i/>
                <w:iCs/>
                <w:sz w:val="18"/>
                <w:szCs w:val="26"/>
                <w:lang w:bidi="ar-EG"/>
              </w:rPr>
            </w:pPr>
            <w:r w:rsidRPr="0066783B">
              <w:rPr>
                <w:i/>
                <w:iCs/>
                <w:sz w:val="18"/>
                <w:szCs w:val="26"/>
                <w:rtl/>
                <w:lang w:bidi="ar-EG"/>
              </w:rPr>
              <w:t>ذكور</w:t>
            </w:r>
          </w:p>
        </w:tc>
        <w:tc>
          <w:tcPr>
            <w:tcW w:w="1568"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i/>
                <w:iCs/>
                <w:sz w:val="18"/>
                <w:szCs w:val="26"/>
                <w:lang w:bidi="ar-EG"/>
              </w:rPr>
            </w:pPr>
            <w:r w:rsidRPr="0066783B">
              <w:rPr>
                <w:i/>
                <w:iCs/>
                <w:sz w:val="18"/>
                <w:szCs w:val="26"/>
                <w:rtl/>
                <w:lang w:bidi="ar-EG"/>
              </w:rPr>
              <w:t>إناث</w:t>
            </w:r>
          </w:p>
        </w:tc>
        <w:tc>
          <w:tcPr>
            <w:tcW w:w="1428"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i/>
                <w:iCs/>
                <w:sz w:val="18"/>
                <w:szCs w:val="26"/>
                <w:lang w:bidi="ar-EG"/>
              </w:rPr>
            </w:pPr>
            <w:r w:rsidRPr="0066783B">
              <w:rPr>
                <w:i/>
                <w:iCs/>
                <w:sz w:val="18"/>
                <w:szCs w:val="26"/>
                <w:rtl/>
                <w:lang w:bidi="ar-EG"/>
              </w:rPr>
              <w:t>مختلطة</w:t>
            </w:r>
          </w:p>
        </w:tc>
        <w:tc>
          <w:tcPr>
            <w:tcW w:w="980"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i/>
                <w:iCs/>
                <w:sz w:val="18"/>
                <w:szCs w:val="26"/>
                <w:lang w:bidi="ar-EG"/>
              </w:rPr>
            </w:pPr>
            <w:r w:rsidRPr="0066783B">
              <w:rPr>
                <w:i/>
                <w:iCs/>
                <w:sz w:val="18"/>
                <w:szCs w:val="26"/>
                <w:rtl/>
                <w:lang w:bidi="ar-EG"/>
              </w:rPr>
              <w:t>المجموع</w:t>
            </w:r>
          </w:p>
        </w:tc>
      </w:tr>
      <w:tr w:rsidR="000B7434" w:rsidRPr="006271C7" w:rsidTr="00762AAB">
        <w:tblPrEx>
          <w:tblCellMar>
            <w:top w:w="0" w:type="dxa"/>
            <w:bottom w:w="0" w:type="dxa"/>
          </w:tblCellMar>
        </w:tblPrEx>
        <w:trPr>
          <w:cantSplit/>
        </w:trPr>
        <w:tc>
          <w:tcPr>
            <w:tcW w:w="2715"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ight="284"/>
              <w:rPr>
                <w:sz w:val="18"/>
                <w:szCs w:val="26"/>
                <w:lang w:bidi="ar-EG"/>
              </w:rPr>
            </w:pPr>
            <w:r w:rsidRPr="0066783B">
              <w:rPr>
                <w:sz w:val="18"/>
                <w:szCs w:val="26"/>
                <w:rtl/>
                <w:lang w:bidi="ar-EG"/>
              </w:rPr>
              <w:t>تنظيمات مجتمعية</w:t>
            </w:r>
          </w:p>
        </w:tc>
        <w:tc>
          <w:tcPr>
            <w:tcW w:w="1750"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rFonts w:hint="cs"/>
                <w:sz w:val="18"/>
                <w:szCs w:val="26"/>
                <w:rtl/>
              </w:rPr>
            </w:pPr>
            <w:r w:rsidRPr="0066783B">
              <w:rPr>
                <w:sz w:val="18"/>
                <w:szCs w:val="26"/>
                <w:rtl/>
                <w:lang w:bidi="ar-EG"/>
              </w:rPr>
              <w:t>727 6 (25</w:t>
            </w:r>
            <w:r w:rsidR="0066783B" w:rsidRPr="0066783B">
              <w:rPr>
                <w:rFonts w:hint="cs"/>
                <w:sz w:val="12"/>
                <w:szCs w:val="20"/>
                <w:rtl/>
                <w:lang w:bidi="ar-EG"/>
              </w:rPr>
              <w:t>٪</w:t>
            </w:r>
            <w:r w:rsidR="0066783B" w:rsidRPr="0066783B">
              <w:rPr>
                <w:rFonts w:hint="cs"/>
                <w:sz w:val="16"/>
                <w:szCs w:val="26"/>
                <w:rtl/>
                <w:lang w:bidi="ar-EG"/>
              </w:rPr>
              <w:t>)</w:t>
            </w:r>
          </w:p>
        </w:tc>
        <w:tc>
          <w:tcPr>
            <w:tcW w:w="1568"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225 9 (34</w:t>
            </w:r>
            <w:r w:rsidR="0066783B" w:rsidRPr="0066783B">
              <w:rPr>
                <w:rFonts w:hint="cs"/>
                <w:sz w:val="12"/>
                <w:szCs w:val="20"/>
                <w:rtl/>
                <w:lang w:bidi="ar-EG"/>
              </w:rPr>
              <w:t>٪</w:t>
            </w:r>
            <w:r w:rsidR="0066783B" w:rsidRPr="0066783B">
              <w:rPr>
                <w:rFonts w:hint="cs"/>
                <w:sz w:val="16"/>
                <w:szCs w:val="26"/>
                <w:rtl/>
                <w:lang w:bidi="ar-EG"/>
              </w:rPr>
              <w:t>)</w:t>
            </w:r>
          </w:p>
        </w:tc>
        <w:tc>
          <w:tcPr>
            <w:tcW w:w="1428"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269 11 (41</w:t>
            </w:r>
            <w:r w:rsidR="0066783B" w:rsidRPr="0066783B">
              <w:rPr>
                <w:rFonts w:hint="cs"/>
                <w:sz w:val="12"/>
                <w:szCs w:val="20"/>
                <w:rtl/>
                <w:lang w:bidi="ar-EG"/>
              </w:rPr>
              <w:t>٪</w:t>
            </w:r>
            <w:r w:rsidR="0066783B" w:rsidRPr="0066783B">
              <w:rPr>
                <w:rFonts w:hint="cs"/>
                <w:sz w:val="16"/>
                <w:szCs w:val="26"/>
                <w:rtl/>
                <w:lang w:bidi="ar-EG"/>
              </w:rPr>
              <w:t>)</w:t>
            </w:r>
          </w:p>
        </w:tc>
        <w:tc>
          <w:tcPr>
            <w:tcW w:w="980"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221 27</w:t>
            </w:r>
          </w:p>
        </w:tc>
      </w:tr>
      <w:tr w:rsidR="000B7434" w:rsidRPr="006271C7" w:rsidTr="00762AAB">
        <w:tblPrEx>
          <w:tblCellMar>
            <w:top w:w="0" w:type="dxa"/>
            <w:bottom w:w="0" w:type="dxa"/>
          </w:tblCellMar>
        </w:tblPrEx>
        <w:trPr>
          <w:cantSplit/>
        </w:trPr>
        <w:tc>
          <w:tcPr>
            <w:tcW w:w="2715"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ight="284"/>
              <w:rPr>
                <w:sz w:val="18"/>
                <w:szCs w:val="26"/>
                <w:lang w:bidi="ar-EG"/>
              </w:rPr>
            </w:pPr>
            <w:r w:rsidRPr="0066783B">
              <w:rPr>
                <w:sz w:val="18"/>
                <w:szCs w:val="26"/>
                <w:rtl/>
                <w:lang w:bidi="ar-EG"/>
              </w:rPr>
              <w:t>أعضاء التنظيمات المجتمعية</w:t>
            </w:r>
          </w:p>
        </w:tc>
        <w:tc>
          <w:tcPr>
            <w:tcW w:w="1750"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989 310 (46</w:t>
            </w:r>
            <w:r w:rsidR="0066783B" w:rsidRPr="0066783B">
              <w:rPr>
                <w:rFonts w:hint="cs"/>
                <w:sz w:val="12"/>
                <w:szCs w:val="20"/>
                <w:rtl/>
                <w:lang w:bidi="ar-EG"/>
              </w:rPr>
              <w:t>٪</w:t>
            </w:r>
            <w:r w:rsidR="0066783B" w:rsidRPr="0066783B">
              <w:rPr>
                <w:rFonts w:hint="cs"/>
                <w:sz w:val="16"/>
                <w:szCs w:val="26"/>
                <w:rtl/>
                <w:lang w:bidi="ar-EG"/>
              </w:rPr>
              <w:t>)</w:t>
            </w:r>
          </w:p>
        </w:tc>
        <w:tc>
          <w:tcPr>
            <w:tcW w:w="1568" w:type="dxa"/>
            <w:vAlign w:val="bottom"/>
          </w:tcPr>
          <w:p w:rsidR="000B7434" w:rsidRPr="0066783B" w:rsidRDefault="000B7434" w:rsidP="00762AAB">
            <w:pPr>
              <w:tabs>
                <w:tab w:val="left" w:pos="288"/>
                <w:tab w:val="left" w:pos="576"/>
                <w:tab w:val="left" w:pos="864"/>
                <w:tab w:val="left" w:pos="1152"/>
              </w:tabs>
              <w:spacing w:before="60" w:after="60" w:line="320" w:lineRule="exact"/>
              <w:ind w:left="57"/>
              <w:jc w:val="left"/>
              <w:rPr>
                <w:sz w:val="18"/>
                <w:szCs w:val="26"/>
                <w:lang w:bidi="ar-EG"/>
              </w:rPr>
            </w:pPr>
            <w:r w:rsidRPr="0066783B">
              <w:rPr>
                <w:sz w:val="18"/>
                <w:szCs w:val="26"/>
                <w:rtl/>
                <w:lang w:bidi="ar-EG"/>
              </w:rPr>
              <w:t>338 364 (54</w:t>
            </w:r>
            <w:r w:rsidR="0066783B" w:rsidRPr="0066783B">
              <w:rPr>
                <w:rFonts w:hint="cs"/>
                <w:sz w:val="12"/>
                <w:szCs w:val="20"/>
                <w:rtl/>
                <w:lang w:bidi="ar-EG"/>
              </w:rPr>
              <w:t>٪</w:t>
            </w:r>
            <w:r w:rsidR="0066783B" w:rsidRPr="0066783B">
              <w:rPr>
                <w:rFonts w:hint="cs"/>
                <w:sz w:val="16"/>
                <w:szCs w:val="26"/>
                <w:rtl/>
                <w:lang w:bidi="ar-EG"/>
              </w:rPr>
              <w:t>)</w:t>
            </w:r>
          </w:p>
        </w:tc>
        <w:tc>
          <w:tcPr>
            <w:tcW w:w="1428"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w:t>
            </w:r>
          </w:p>
        </w:tc>
        <w:tc>
          <w:tcPr>
            <w:tcW w:w="980"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372 675</w:t>
            </w:r>
          </w:p>
        </w:tc>
      </w:tr>
      <w:tr w:rsidR="000B7434" w:rsidRPr="006271C7" w:rsidTr="00762AAB">
        <w:tblPrEx>
          <w:tblCellMar>
            <w:top w:w="0" w:type="dxa"/>
            <w:bottom w:w="0" w:type="dxa"/>
          </w:tblCellMar>
        </w:tblPrEx>
        <w:trPr>
          <w:cantSplit/>
        </w:trPr>
        <w:tc>
          <w:tcPr>
            <w:tcW w:w="2715"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ight="454"/>
              <w:rPr>
                <w:spacing w:val="2"/>
                <w:sz w:val="18"/>
                <w:szCs w:val="26"/>
                <w:lang w:bidi="ar-EG"/>
              </w:rPr>
            </w:pPr>
            <w:r w:rsidRPr="0066783B">
              <w:rPr>
                <w:spacing w:val="2"/>
                <w:sz w:val="18"/>
                <w:szCs w:val="26"/>
                <w:rtl/>
                <w:lang w:bidi="ar-EG"/>
              </w:rPr>
              <w:t>مجموع النساء في مناصب قيادية في التنظيمات المجتمعية</w:t>
            </w:r>
          </w:p>
        </w:tc>
        <w:tc>
          <w:tcPr>
            <w:tcW w:w="1750"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p>
        </w:tc>
        <w:tc>
          <w:tcPr>
            <w:tcW w:w="1568"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p>
        </w:tc>
        <w:tc>
          <w:tcPr>
            <w:tcW w:w="1428"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p>
        </w:tc>
        <w:tc>
          <w:tcPr>
            <w:tcW w:w="980"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p>
        </w:tc>
      </w:tr>
      <w:tr w:rsidR="000B7434" w:rsidRPr="006271C7" w:rsidTr="00762AAB">
        <w:tblPrEx>
          <w:tblCellMar>
            <w:top w:w="0" w:type="dxa"/>
            <w:bottom w:w="0" w:type="dxa"/>
          </w:tblCellMar>
        </w:tblPrEx>
        <w:trPr>
          <w:cantSplit/>
        </w:trPr>
        <w:tc>
          <w:tcPr>
            <w:tcW w:w="2715"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ight="284"/>
              <w:rPr>
                <w:sz w:val="18"/>
                <w:szCs w:val="26"/>
                <w:lang w:bidi="ar-EG"/>
              </w:rPr>
            </w:pPr>
            <w:r w:rsidRPr="0066783B">
              <w:rPr>
                <w:sz w:val="18"/>
                <w:szCs w:val="26"/>
                <w:rtl/>
                <w:lang w:bidi="ar-EG"/>
              </w:rPr>
              <w:t>رئيسة</w:t>
            </w:r>
          </w:p>
        </w:tc>
        <w:tc>
          <w:tcPr>
            <w:tcW w:w="1750"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107 13</w:t>
            </w:r>
          </w:p>
        </w:tc>
        <w:tc>
          <w:tcPr>
            <w:tcW w:w="1568"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p>
        </w:tc>
        <w:tc>
          <w:tcPr>
            <w:tcW w:w="1428"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p>
        </w:tc>
        <w:tc>
          <w:tcPr>
            <w:tcW w:w="980"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p>
        </w:tc>
      </w:tr>
      <w:tr w:rsidR="000B7434" w:rsidRPr="006271C7" w:rsidTr="00762AAB">
        <w:tblPrEx>
          <w:tblCellMar>
            <w:top w:w="0" w:type="dxa"/>
            <w:bottom w:w="0" w:type="dxa"/>
          </w:tblCellMar>
        </w:tblPrEx>
        <w:trPr>
          <w:cantSplit/>
        </w:trPr>
        <w:tc>
          <w:tcPr>
            <w:tcW w:w="2715" w:type="dxa"/>
            <w:tcBorders>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ight="284"/>
              <w:rPr>
                <w:sz w:val="18"/>
                <w:szCs w:val="26"/>
                <w:lang w:bidi="ar-EG"/>
              </w:rPr>
            </w:pPr>
            <w:r w:rsidRPr="0066783B">
              <w:rPr>
                <w:sz w:val="18"/>
                <w:szCs w:val="26"/>
                <w:rtl/>
                <w:lang w:bidi="ar-EG"/>
              </w:rPr>
              <w:t>مديرة</w:t>
            </w:r>
          </w:p>
        </w:tc>
        <w:tc>
          <w:tcPr>
            <w:tcW w:w="1750" w:type="dxa"/>
            <w:tcBorders>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291 11</w:t>
            </w:r>
          </w:p>
        </w:tc>
        <w:tc>
          <w:tcPr>
            <w:tcW w:w="1568" w:type="dxa"/>
            <w:tcBorders>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p>
        </w:tc>
        <w:tc>
          <w:tcPr>
            <w:tcW w:w="1428" w:type="dxa"/>
            <w:tcBorders>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p>
        </w:tc>
        <w:tc>
          <w:tcPr>
            <w:tcW w:w="980" w:type="dxa"/>
            <w:tcBorders>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398 24</w:t>
            </w:r>
          </w:p>
        </w:tc>
      </w:tr>
    </w:tbl>
    <w:p w:rsidR="000B7434" w:rsidRPr="0066783B" w:rsidRDefault="0066783B" w:rsidP="0066783B">
      <w:pPr>
        <w:pStyle w:val="SingleTxt"/>
        <w:spacing w:before="120" w:after="240" w:line="300" w:lineRule="exact"/>
        <w:ind w:left="1264" w:right="1264"/>
        <w:rPr>
          <w:sz w:val="16"/>
          <w:szCs w:val="26"/>
          <w:rtl/>
          <w:lang w:bidi="ar-EG"/>
        </w:rPr>
      </w:pPr>
      <w:r>
        <w:rPr>
          <w:rFonts w:hint="cs"/>
          <w:i/>
          <w:iCs/>
          <w:sz w:val="16"/>
          <w:szCs w:val="26"/>
          <w:rtl/>
          <w:lang w:bidi="ar-EG"/>
        </w:rPr>
        <w:t xml:space="preserve"> </w:t>
      </w:r>
      <w:r w:rsidR="000B7434" w:rsidRPr="006271C7">
        <w:rPr>
          <w:i/>
          <w:iCs/>
          <w:sz w:val="16"/>
          <w:szCs w:val="26"/>
          <w:rtl/>
          <w:lang w:bidi="ar-EG"/>
        </w:rPr>
        <w:t>المصدر:</w:t>
      </w:r>
      <w:r w:rsidRPr="0066783B">
        <w:rPr>
          <w:rFonts w:hint="cs"/>
          <w:sz w:val="16"/>
          <w:szCs w:val="26"/>
          <w:rtl/>
          <w:lang w:bidi="ar-EG"/>
        </w:rPr>
        <w:t xml:space="preserve"> </w:t>
      </w:r>
      <w:r w:rsidR="000B7434" w:rsidRPr="0066783B">
        <w:rPr>
          <w:sz w:val="16"/>
          <w:szCs w:val="26"/>
          <w:rtl/>
          <w:lang w:bidi="ar-EG"/>
        </w:rPr>
        <w:t xml:space="preserve"> وزارة التنمية المحلية، 2008.</w:t>
      </w:r>
    </w:p>
    <w:p w:rsidR="000B7434" w:rsidRPr="0046725F" w:rsidRDefault="000B7434" w:rsidP="0066783B">
      <w:pPr>
        <w:pStyle w:val="H23GA"/>
        <w:rPr>
          <w:rtl/>
          <w:lang w:bidi="ar-EG"/>
        </w:rPr>
      </w:pPr>
      <w:r>
        <w:rPr>
          <w:rtl/>
          <w:lang w:bidi="ar-EG"/>
        </w:rPr>
        <w:tab/>
      </w:r>
      <w:r>
        <w:rPr>
          <w:rtl/>
          <w:lang w:bidi="ar-EG"/>
        </w:rPr>
        <w:tab/>
      </w:r>
      <w:r w:rsidRPr="0046725F">
        <w:rPr>
          <w:rtl/>
          <w:lang w:bidi="ar-EG"/>
        </w:rPr>
        <w:t>المرأة والصحة</w:t>
      </w:r>
    </w:p>
    <w:p w:rsidR="000B7434" w:rsidRDefault="000B7434" w:rsidP="0066783B">
      <w:pPr>
        <w:pStyle w:val="SingleTxtGA"/>
        <w:rPr>
          <w:rtl/>
          <w:lang w:bidi="ar-EG"/>
        </w:rPr>
      </w:pPr>
      <w:r>
        <w:rPr>
          <w:rtl/>
          <w:lang w:bidi="ar-EG"/>
        </w:rPr>
        <w:t>218-</w:t>
      </w:r>
      <w:r w:rsidR="0066783B">
        <w:rPr>
          <w:rFonts w:hint="cs"/>
          <w:rtl/>
          <w:lang w:bidi="ar-EG"/>
        </w:rPr>
        <w:tab/>
      </w:r>
      <w:r>
        <w:rPr>
          <w:rtl/>
          <w:lang w:bidi="ar-EG"/>
        </w:rPr>
        <w:t xml:space="preserve">قبلت نيبال الاعتراف العالمي بشعار </w:t>
      </w:r>
      <w:r w:rsidR="00D62BA8">
        <w:rPr>
          <w:rtl/>
          <w:lang w:bidi="ar-EG"/>
        </w:rPr>
        <w:t>"</w:t>
      </w:r>
      <w:r>
        <w:rPr>
          <w:rtl/>
          <w:lang w:bidi="ar-EG"/>
        </w:rPr>
        <w:t>الصحة: حق أساسي للناس</w:t>
      </w:r>
      <w:r w:rsidR="00D62BA8">
        <w:rPr>
          <w:rtl/>
          <w:lang w:bidi="ar-EG"/>
        </w:rPr>
        <w:t>"</w:t>
      </w:r>
      <w:r>
        <w:rPr>
          <w:rtl/>
          <w:lang w:bidi="ar-EG"/>
        </w:rPr>
        <w:t xml:space="preserve"> وبناء على ذلك أرست مسؤولية الدولة عن صحة الشعب للمرة الأولى بتبنيها هذا المفهوم في الدستور المؤقت لعام 2007.</w:t>
      </w:r>
    </w:p>
    <w:p w:rsidR="000B7434" w:rsidRDefault="000B7434" w:rsidP="0066783B">
      <w:pPr>
        <w:pStyle w:val="SingleTxtGA"/>
        <w:rPr>
          <w:rtl/>
          <w:lang w:bidi="ar-EG"/>
        </w:rPr>
      </w:pPr>
      <w:r>
        <w:rPr>
          <w:rtl/>
          <w:lang w:bidi="ar-EG"/>
        </w:rPr>
        <w:t>219-</w:t>
      </w:r>
      <w:r w:rsidR="0066783B">
        <w:rPr>
          <w:rFonts w:hint="cs"/>
          <w:rtl/>
          <w:lang w:bidi="ar-EG"/>
        </w:rPr>
        <w:tab/>
      </w:r>
      <w:r>
        <w:rPr>
          <w:rtl/>
          <w:lang w:bidi="ar-EG"/>
        </w:rPr>
        <w:t>ووضعت الخطة ثلاثية السنوات المؤقتة طائفة من البرامج لكفالة الصحة الأساسية والتناسلية للمرأة. وتعطي الميزانية (المراعية للجنسانية أولوية لصحة المرأة بصورة عامة وصحتها التناسلية بصورة خاصة). وقد انخفض معدل وفيات النفاس إلى 810 2 في كل مليون حالة ولادة وانخفض معدل وفيات الأطفال إلى 61 في كل 000 1. وبالمثل سجل معدل وفيات الرضع هبوطا</w:t>
      </w:r>
      <w:r w:rsidR="00762AAB">
        <w:rPr>
          <w:rFonts w:hint="cs"/>
          <w:rtl/>
          <w:lang w:bidi="ar-EG"/>
        </w:rPr>
        <w:t>ً</w:t>
      </w:r>
      <w:r>
        <w:rPr>
          <w:rtl/>
          <w:lang w:bidi="ar-EG"/>
        </w:rPr>
        <w:t xml:space="preserve"> كبيرا</w:t>
      </w:r>
      <w:r w:rsidR="00762AAB">
        <w:rPr>
          <w:rFonts w:hint="cs"/>
          <w:rtl/>
          <w:lang w:bidi="ar-EG"/>
        </w:rPr>
        <w:t>ً</w:t>
      </w:r>
      <w:r>
        <w:rPr>
          <w:rtl/>
          <w:lang w:bidi="ar-EG"/>
        </w:rPr>
        <w:t>. ويبلغ المعدل الراهن 48 في كل 000 1 ومعدل وفيات الرضع حديثي الولادة 34 في كل 000 1 (الدراسة</w:t>
      </w:r>
      <w:r w:rsidR="0066783B">
        <w:rPr>
          <w:rFonts w:hint="cs"/>
          <w:rtl/>
          <w:lang w:bidi="ar-EG"/>
        </w:rPr>
        <w:t xml:space="preserve"> الا</w:t>
      </w:r>
      <w:r>
        <w:rPr>
          <w:rtl/>
          <w:lang w:bidi="ar-EG"/>
        </w:rPr>
        <w:t>ستقصائية الديمغرافية والصحية لنيبال عام 2006). ويبلغ متوسط العمر المتوقع للشعب النيبالي 62 عاما والعمر المتوقع للإناث أطول من العمل المتوقع للذكور.</w:t>
      </w:r>
    </w:p>
    <w:p w:rsidR="000B7434" w:rsidRPr="008D0F59" w:rsidRDefault="000B7434" w:rsidP="0066783B">
      <w:pPr>
        <w:pStyle w:val="H23GA"/>
        <w:rPr>
          <w:rtl/>
          <w:lang w:bidi="ar-EG"/>
        </w:rPr>
      </w:pPr>
      <w:r>
        <w:rPr>
          <w:rtl/>
          <w:lang w:bidi="ar-EG"/>
        </w:rPr>
        <w:tab/>
      </w:r>
      <w:r>
        <w:rPr>
          <w:rtl/>
          <w:lang w:bidi="ar-EG"/>
        </w:rPr>
        <w:tab/>
      </w:r>
      <w:r w:rsidRPr="008D0F59">
        <w:rPr>
          <w:rtl/>
          <w:lang w:bidi="ar-EG"/>
        </w:rPr>
        <w:t>العنف ضد المرأة</w:t>
      </w:r>
    </w:p>
    <w:p w:rsidR="000B7434" w:rsidRDefault="000B7434" w:rsidP="0066783B">
      <w:pPr>
        <w:pStyle w:val="SingleTxtGA"/>
        <w:rPr>
          <w:rtl/>
          <w:lang w:bidi="ar-EG"/>
        </w:rPr>
      </w:pPr>
      <w:r>
        <w:rPr>
          <w:rtl/>
          <w:lang w:bidi="ar-EG"/>
        </w:rPr>
        <w:t>220-</w:t>
      </w:r>
      <w:r w:rsidR="0066783B">
        <w:rPr>
          <w:rFonts w:hint="cs"/>
          <w:rtl/>
          <w:lang w:bidi="ar-EG"/>
        </w:rPr>
        <w:tab/>
      </w:r>
      <w:r>
        <w:rPr>
          <w:rtl/>
          <w:lang w:bidi="ar-EG"/>
        </w:rPr>
        <w:t xml:space="preserve">تعتبر الحكومة </w:t>
      </w:r>
      <w:r w:rsidR="00D62BA8">
        <w:rPr>
          <w:rtl/>
          <w:lang w:bidi="ar-EG"/>
        </w:rPr>
        <w:t>"</w:t>
      </w:r>
      <w:r>
        <w:rPr>
          <w:rtl/>
          <w:lang w:bidi="ar-EG"/>
        </w:rPr>
        <w:t>العنف ضد المرأة</w:t>
      </w:r>
      <w:r w:rsidR="00D62BA8">
        <w:rPr>
          <w:rtl/>
          <w:lang w:bidi="ar-EG"/>
        </w:rPr>
        <w:t>"</w:t>
      </w:r>
      <w:r>
        <w:rPr>
          <w:rtl/>
          <w:lang w:bidi="ar-EG"/>
        </w:rPr>
        <w:t xml:space="preserve"> مسألة خطيرة تتطلب اهتماما</w:t>
      </w:r>
      <w:r w:rsidR="0066783B">
        <w:rPr>
          <w:rFonts w:hint="cs"/>
          <w:rtl/>
          <w:lang w:bidi="ar-EG"/>
        </w:rPr>
        <w:t>ً</w:t>
      </w:r>
      <w:r>
        <w:rPr>
          <w:rtl/>
          <w:lang w:bidi="ar-EG"/>
        </w:rPr>
        <w:t xml:space="preserve"> دائبا</w:t>
      </w:r>
      <w:r w:rsidR="0066783B">
        <w:rPr>
          <w:rFonts w:hint="cs"/>
          <w:rtl/>
          <w:lang w:bidi="ar-EG"/>
        </w:rPr>
        <w:t>ً</w:t>
      </w:r>
      <w:r>
        <w:rPr>
          <w:rtl/>
          <w:lang w:bidi="ar-EG"/>
        </w:rPr>
        <w:t xml:space="preserve"> وتدابير ملموسة. وقد لفت التقرير السابق الانتباه إلى حالة العنف ضد المرأة في نيبال (بما في ذلك المسائل التي اعتمدتها التوصية العامة 19 وإعلان القضاء على العنف ضد المرأة). وفي الوقت الراهن، تتخذ الحكومة عددا</w:t>
      </w:r>
      <w:r w:rsidR="00762AAB">
        <w:rPr>
          <w:rFonts w:hint="cs"/>
          <w:rtl/>
          <w:lang w:bidi="ar-EG"/>
        </w:rPr>
        <w:t>ً</w:t>
      </w:r>
      <w:r>
        <w:rPr>
          <w:rtl/>
          <w:lang w:bidi="ar-EG"/>
        </w:rPr>
        <w:t xml:space="preserve"> من الخطوات لمعالجة هذه المسألة. وتضمن الأحكام الواردة في الدستور المؤقت مسؤولية الدولة عن اتخاذ الإجراءات بشأن العنف ضد المرأة. وقد عُدلت أبواب مدونة القوانين القطرية المتصلة بالمرأة وفقا</w:t>
      </w:r>
      <w:r w:rsidR="00762AAB">
        <w:rPr>
          <w:rFonts w:hint="cs"/>
          <w:rtl/>
          <w:lang w:bidi="ar-EG"/>
        </w:rPr>
        <w:t>ً</w:t>
      </w:r>
      <w:r>
        <w:rPr>
          <w:rtl/>
          <w:lang w:bidi="ar-EG"/>
        </w:rPr>
        <w:t xml:space="preserve"> لذلك. وأحد أهم التعديلات هو اعتبار الاغتصاب الزوجي جريمة. والإطار القانوني الراهن يحمي كرامة الضحايا وخصوصياتهن ويسمح بالنظر في القضايا في جلسات مغلقة. وقد عُدلت أنظمة المحاكم وفقا</w:t>
      </w:r>
      <w:r w:rsidR="00762AAB">
        <w:rPr>
          <w:rFonts w:hint="cs"/>
          <w:rtl/>
          <w:lang w:bidi="ar-EG"/>
        </w:rPr>
        <w:t>ً</w:t>
      </w:r>
      <w:r>
        <w:rPr>
          <w:rtl/>
          <w:lang w:bidi="ar-EG"/>
        </w:rPr>
        <w:t xml:space="preserve"> لذلك. واعتمد الدستور المؤقت استراتيجيات للقضاء على كل أشكال العنف والتمييز القائم على أساس جنساني ضد المرأة بما في ذلك الاتجار بالأشخاص، وسوف يتم الاضطلاع بمختلف الأنشطة من أجل إيجاد بيئة مفضية إلى ذلك. كما تجري إقامة مراكز لتناول الشكاوى في كل لجنة من لجان التنمية القروية لمعالجة العنف المنزلي.</w:t>
      </w:r>
    </w:p>
    <w:p w:rsidR="000B7434" w:rsidRDefault="000B7434" w:rsidP="0066783B">
      <w:pPr>
        <w:pStyle w:val="SingleTxtGA"/>
        <w:rPr>
          <w:rtl/>
          <w:lang w:bidi="ar-EG"/>
        </w:rPr>
      </w:pPr>
      <w:r>
        <w:rPr>
          <w:rtl/>
          <w:lang w:bidi="ar-EG"/>
        </w:rPr>
        <w:t>221-</w:t>
      </w:r>
      <w:r w:rsidR="0066783B">
        <w:rPr>
          <w:rFonts w:hint="cs"/>
          <w:rtl/>
          <w:lang w:bidi="ar-EG"/>
        </w:rPr>
        <w:tab/>
      </w:r>
      <w:r>
        <w:rPr>
          <w:rtl/>
          <w:lang w:bidi="ar-EG"/>
        </w:rPr>
        <w:t>وقد تبنت نيبال بعض القوانين والسياسات لتتبع الأوامر الإيعازية والمبادئ التوجيهية الصادرة عن المحكمة العليا، مثلا</w:t>
      </w:r>
      <w:r w:rsidR="00762AAB">
        <w:rPr>
          <w:rFonts w:hint="cs"/>
          <w:rtl/>
          <w:lang w:bidi="ar-EG"/>
        </w:rPr>
        <w:t>ً</w:t>
      </w:r>
      <w:r>
        <w:rPr>
          <w:rtl/>
          <w:lang w:bidi="ar-EG"/>
        </w:rPr>
        <w:t xml:space="preserve"> في قضية ممارسة السحر، والاتجار بالأشخاص (مع إطار لحماية الضحايا). وقد تم بالفعل سن قانون بشأن العنف المنزلي ويجري الآن صياغة تشريع عن التحرش الجنسي وفق المذكور في الجزء الثاني. وقد اعتمدت الحكومة أيضا</w:t>
      </w:r>
      <w:r w:rsidR="004A5545">
        <w:rPr>
          <w:rFonts w:hint="cs"/>
          <w:rtl/>
          <w:lang w:bidi="ar-EG"/>
        </w:rPr>
        <w:t>ً</w:t>
      </w:r>
      <w:r>
        <w:rPr>
          <w:rtl/>
          <w:lang w:bidi="ar-EG"/>
        </w:rPr>
        <w:t xml:space="preserve"> تدابير ملائمة أخرى تشمل التطوير المؤسسي لكفالة حقوق المرأة في عدم التعرض للتمييز والاستغلال والعنف القائم على أساس جنساني تبعتها مبادئ توجيهية للسياسة العامة للقضاء قانوناً وفعلاً على أشكال التمييز ضد المرأة. وفي الآونة الأخيرة، قامت وزارة شؤون المرأة، في شراكة مع صندوق الأمم المتحدة الإنمائي للمرأة، بصياغة </w:t>
      </w:r>
      <w:r w:rsidR="00D62BA8">
        <w:rPr>
          <w:rtl/>
          <w:lang w:bidi="ar-EG"/>
        </w:rPr>
        <w:t>"</w:t>
      </w:r>
      <w:r>
        <w:rPr>
          <w:rtl/>
          <w:lang w:bidi="ar-EG"/>
        </w:rPr>
        <w:t>سياسة عدم التساهل المطلق</w:t>
      </w:r>
      <w:r w:rsidR="00D62BA8">
        <w:rPr>
          <w:rtl/>
          <w:lang w:bidi="ar-EG"/>
        </w:rPr>
        <w:t>"</w:t>
      </w:r>
      <w:r>
        <w:rPr>
          <w:rtl/>
          <w:lang w:bidi="ar-EG"/>
        </w:rPr>
        <w:t xml:space="preserve"> التي تشمل تدخلاً استراتيجياً شاملاً من أجل اعتماد تدابير قانونية وتدابير مناسبة أخرى، بما في ذلك تعزيز الآليات الوطنية. وسوف توفر هذه السياسة مبدأ</w:t>
      </w:r>
      <w:r w:rsidR="004A5545">
        <w:rPr>
          <w:rFonts w:hint="cs"/>
          <w:rtl/>
          <w:lang w:bidi="ar-EG"/>
        </w:rPr>
        <w:t>ً</w:t>
      </w:r>
      <w:r>
        <w:rPr>
          <w:rtl/>
          <w:lang w:bidi="ar-EG"/>
        </w:rPr>
        <w:t xml:space="preserve"> توجيهيا</w:t>
      </w:r>
      <w:r w:rsidR="004A5545">
        <w:rPr>
          <w:rFonts w:hint="cs"/>
          <w:rtl/>
          <w:lang w:bidi="ar-EG"/>
        </w:rPr>
        <w:t>ً</w:t>
      </w:r>
      <w:r>
        <w:rPr>
          <w:rtl/>
          <w:lang w:bidi="ar-EG"/>
        </w:rPr>
        <w:t xml:space="preserve"> موحدا</w:t>
      </w:r>
      <w:r w:rsidR="004A5545">
        <w:rPr>
          <w:rFonts w:hint="cs"/>
          <w:rtl/>
          <w:lang w:bidi="ar-EG"/>
        </w:rPr>
        <w:t>ً</w:t>
      </w:r>
      <w:r>
        <w:rPr>
          <w:rtl/>
          <w:lang w:bidi="ar-EG"/>
        </w:rPr>
        <w:t xml:space="preserve"> في وضع مفهوم التصدي لكل أشكال العنف القائم على أساس جنساني، ويتوقع أن تؤدي إلى تغيير ملحوظ. وبدأت وكالات إنفاذ القوانين تتحرك قدما</w:t>
      </w:r>
      <w:r w:rsidR="00762AAB">
        <w:rPr>
          <w:rFonts w:hint="cs"/>
          <w:rtl/>
          <w:lang w:bidi="ar-EG"/>
        </w:rPr>
        <w:t>ً</w:t>
      </w:r>
      <w:r>
        <w:rPr>
          <w:rtl/>
          <w:lang w:bidi="ar-EG"/>
        </w:rPr>
        <w:t xml:space="preserve"> نحو اتخاذ إجراءات ضد مرتكبي هذا العنف. وتوفر الأرقام التالية لمحة على الحالة الراهنة.</w:t>
      </w:r>
    </w:p>
    <w:p w:rsidR="000B7434" w:rsidRPr="00CF78D6" w:rsidRDefault="000B7434" w:rsidP="0066783B">
      <w:pPr>
        <w:pStyle w:val="SingleTxtGA"/>
        <w:spacing w:after="0"/>
        <w:rPr>
          <w:rtl/>
          <w:lang w:bidi="ar-EG"/>
        </w:rPr>
      </w:pPr>
      <w:r w:rsidRPr="00CF78D6">
        <w:rPr>
          <w:rtl/>
          <w:lang w:bidi="ar-EG"/>
        </w:rPr>
        <w:t>الجدول 23</w:t>
      </w:r>
    </w:p>
    <w:p w:rsidR="000B7434" w:rsidRPr="0066783B" w:rsidRDefault="000B7434" w:rsidP="0066783B">
      <w:pPr>
        <w:pStyle w:val="SingleTxtGA"/>
        <w:rPr>
          <w:rFonts w:hint="cs"/>
          <w:b/>
          <w:bCs/>
          <w:rtl/>
          <w:lang w:bidi="ar-EG"/>
        </w:rPr>
      </w:pPr>
      <w:r w:rsidRPr="0066783B">
        <w:rPr>
          <w:b/>
          <w:bCs/>
          <w:rtl/>
          <w:lang w:bidi="ar-EG"/>
        </w:rPr>
        <w:t>حالات العنف ضد ا</w:t>
      </w:r>
      <w:r w:rsidRPr="0066783B">
        <w:rPr>
          <w:b/>
          <w:bCs/>
          <w:rtl/>
        </w:rPr>
        <w:t>ل</w:t>
      </w:r>
      <w:r w:rsidRPr="0066783B">
        <w:rPr>
          <w:b/>
          <w:bCs/>
          <w:rtl/>
          <w:lang w:bidi="ar-EG"/>
        </w:rPr>
        <w:t>مرأة المُبلغ عنها</w:t>
      </w:r>
    </w:p>
    <w:tbl>
      <w:tblPr>
        <w:bidiVisual/>
        <w:tblW w:w="8357" w:type="dxa"/>
        <w:tblInd w:w="1267" w:type="dxa"/>
        <w:tblLayout w:type="fixed"/>
        <w:tblCellMar>
          <w:left w:w="0" w:type="dxa"/>
          <w:right w:w="0" w:type="dxa"/>
        </w:tblCellMar>
        <w:tblLook w:val="0000" w:firstRow="0" w:lastRow="0" w:firstColumn="0" w:lastColumn="0" w:noHBand="0" w:noVBand="0"/>
      </w:tblPr>
      <w:tblGrid>
        <w:gridCol w:w="1456"/>
        <w:gridCol w:w="910"/>
        <w:gridCol w:w="1245"/>
        <w:gridCol w:w="700"/>
        <w:gridCol w:w="826"/>
        <w:gridCol w:w="1106"/>
        <w:gridCol w:w="1134"/>
        <w:gridCol w:w="980"/>
      </w:tblGrid>
      <w:tr w:rsidR="000B7434" w:rsidRPr="00ED6AF1" w:rsidTr="0066783B">
        <w:tblPrEx>
          <w:tblCellMar>
            <w:top w:w="0" w:type="dxa"/>
            <w:bottom w:w="0" w:type="dxa"/>
          </w:tblCellMar>
        </w:tblPrEx>
        <w:trPr>
          <w:cantSplit/>
          <w:tblHeader/>
        </w:trPr>
        <w:tc>
          <w:tcPr>
            <w:tcW w:w="1456"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i/>
                <w:iCs/>
                <w:sz w:val="18"/>
                <w:szCs w:val="26"/>
                <w:lang w:bidi="ar-EG"/>
              </w:rPr>
            </w:pPr>
            <w:r w:rsidRPr="0066783B">
              <w:rPr>
                <w:i/>
                <w:iCs/>
                <w:sz w:val="18"/>
                <w:szCs w:val="26"/>
                <w:rtl/>
                <w:lang w:bidi="ar-EG"/>
              </w:rPr>
              <w:t>السنة</w:t>
            </w:r>
          </w:p>
        </w:tc>
        <w:tc>
          <w:tcPr>
            <w:tcW w:w="910"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i/>
                <w:iCs/>
                <w:sz w:val="18"/>
                <w:szCs w:val="26"/>
                <w:lang w:bidi="ar-EG"/>
              </w:rPr>
            </w:pPr>
            <w:r w:rsidRPr="0066783B">
              <w:rPr>
                <w:i/>
                <w:iCs/>
                <w:sz w:val="18"/>
                <w:szCs w:val="26"/>
                <w:rtl/>
                <w:lang w:bidi="ar-EG"/>
              </w:rPr>
              <w:t>اغتصاب</w:t>
            </w:r>
          </w:p>
        </w:tc>
        <w:tc>
          <w:tcPr>
            <w:tcW w:w="1245"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i/>
                <w:iCs/>
                <w:sz w:val="18"/>
                <w:szCs w:val="26"/>
                <w:lang w:bidi="ar-EG"/>
              </w:rPr>
            </w:pPr>
            <w:r w:rsidRPr="0066783B">
              <w:rPr>
                <w:i/>
                <w:iCs/>
                <w:sz w:val="18"/>
                <w:szCs w:val="26"/>
                <w:rtl/>
                <w:lang w:bidi="ar-EG"/>
              </w:rPr>
              <w:t>محاولة اغتصاب</w:t>
            </w:r>
          </w:p>
        </w:tc>
        <w:tc>
          <w:tcPr>
            <w:tcW w:w="700" w:type="dxa"/>
            <w:tcBorders>
              <w:top w:val="single" w:sz="4" w:space="0" w:color="auto"/>
              <w:bottom w:val="single" w:sz="12" w:space="0" w:color="auto"/>
            </w:tcBorders>
            <w:vAlign w:val="bottom"/>
          </w:tcPr>
          <w:p w:rsidR="000B7434" w:rsidRPr="0066783B" w:rsidRDefault="0066783B" w:rsidP="00762AAB">
            <w:pPr>
              <w:tabs>
                <w:tab w:val="left" w:pos="288"/>
                <w:tab w:val="left" w:pos="576"/>
                <w:tab w:val="left" w:pos="864"/>
                <w:tab w:val="left" w:pos="1152"/>
              </w:tabs>
              <w:spacing w:before="60" w:after="60" w:line="320" w:lineRule="exact"/>
              <w:ind w:left="57"/>
              <w:rPr>
                <w:rFonts w:hint="cs"/>
                <w:i/>
                <w:iCs/>
                <w:sz w:val="18"/>
                <w:szCs w:val="26"/>
                <w:lang w:bidi="ar-EG"/>
              </w:rPr>
            </w:pPr>
            <w:r>
              <w:rPr>
                <w:rFonts w:hint="cs"/>
                <w:i/>
                <w:iCs/>
                <w:sz w:val="18"/>
                <w:szCs w:val="26"/>
                <w:rtl/>
                <w:lang w:bidi="ar-EG"/>
              </w:rPr>
              <w:t>اتجار</w:t>
            </w:r>
          </w:p>
        </w:tc>
        <w:tc>
          <w:tcPr>
            <w:tcW w:w="826"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i/>
                <w:iCs/>
                <w:sz w:val="18"/>
                <w:szCs w:val="26"/>
                <w:lang w:bidi="ar-EG"/>
              </w:rPr>
            </w:pPr>
            <w:r w:rsidRPr="0066783B">
              <w:rPr>
                <w:i/>
                <w:iCs/>
                <w:sz w:val="18"/>
                <w:szCs w:val="26"/>
                <w:rtl/>
                <w:lang w:bidi="ar-EG"/>
              </w:rPr>
              <w:t>إجهاض</w:t>
            </w:r>
          </w:p>
        </w:tc>
        <w:tc>
          <w:tcPr>
            <w:tcW w:w="1106"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i/>
                <w:iCs/>
                <w:sz w:val="18"/>
                <w:szCs w:val="26"/>
                <w:lang w:bidi="ar-EG"/>
              </w:rPr>
            </w:pPr>
            <w:r w:rsidRPr="0066783B">
              <w:rPr>
                <w:i/>
                <w:iCs/>
                <w:sz w:val="18"/>
                <w:szCs w:val="26"/>
                <w:rtl/>
                <w:lang w:bidi="ar-EG"/>
              </w:rPr>
              <w:t>تعدد زوجات</w:t>
            </w:r>
          </w:p>
        </w:tc>
        <w:tc>
          <w:tcPr>
            <w:tcW w:w="1134"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i/>
                <w:iCs/>
                <w:sz w:val="18"/>
                <w:szCs w:val="26"/>
                <w:lang w:bidi="ar-EG"/>
              </w:rPr>
            </w:pPr>
            <w:r w:rsidRPr="0066783B">
              <w:rPr>
                <w:i/>
                <w:iCs/>
                <w:sz w:val="18"/>
                <w:szCs w:val="26"/>
                <w:rtl/>
                <w:lang w:bidi="ar-EG"/>
              </w:rPr>
              <w:t>زواج أطفال</w:t>
            </w:r>
          </w:p>
        </w:tc>
        <w:tc>
          <w:tcPr>
            <w:tcW w:w="980"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i/>
                <w:iCs/>
                <w:sz w:val="18"/>
                <w:szCs w:val="26"/>
                <w:lang w:bidi="ar-EG"/>
              </w:rPr>
            </w:pPr>
            <w:r w:rsidRPr="0066783B">
              <w:rPr>
                <w:i/>
                <w:iCs/>
                <w:sz w:val="18"/>
                <w:szCs w:val="26"/>
                <w:rtl/>
                <w:lang w:bidi="ar-EG"/>
              </w:rPr>
              <w:t>عنف منزلي</w:t>
            </w:r>
          </w:p>
        </w:tc>
      </w:tr>
      <w:tr w:rsidR="000B7434" w:rsidRPr="00ED6AF1" w:rsidTr="0066783B">
        <w:tblPrEx>
          <w:tblCellMar>
            <w:top w:w="0" w:type="dxa"/>
            <w:bottom w:w="0" w:type="dxa"/>
          </w:tblCellMar>
        </w:tblPrEx>
        <w:trPr>
          <w:cantSplit/>
        </w:trPr>
        <w:tc>
          <w:tcPr>
            <w:tcW w:w="1456"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2003/2004</w:t>
            </w:r>
          </w:p>
        </w:tc>
        <w:tc>
          <w:tcPr>
            <w:tcW w:w="910"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155</w:t>
            </w:r>
          </w:p>
        </w:tc>
        <w:tc>
          <w:tcPr>
            <w:tcW w:w="1245"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18</w:t>
            </w:r>
          </w:p>
        </w:tc>
        <w:tc>
          <w:tcPr>
            <w:tcW w:w="700"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56</w:t>
            </w:r>
          </w:p>
        </w:tc>
        <w:tc>
          <w:tcPr>
            <w:tcW w:w="826"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08</w:t>
            </w:r>
          </w:p>
        </w:tc>
        <w:tc>
          <w:tcPr>
            <w:tcW w:w="1106"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44</w:t>
            </w:r>
          </w:p>
        </w:tc>
        <w:tc>
          <w:tcPr>
            <w:tcW w:w="1134"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3</w:t>
            </w:r>
          </w:p>
        </w:tc>
        <w:tc>
          <w:tcPr>
            <w:tcW w:w="980"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922</w:t>
            </w:r>
          </w:p>
        </w:tc>
      </w:tr>
      <w:tr w:rsidR="000B7434" w:rsidRPr="00ED6AF1" w:rsidTr="0066783B">
        <w:tblPrEx>
          <w:tblCellMar>
            <w:top w:w="0" w:type="dxa"/>
            <w:bottom w:w="0" w:type="dxa"/>
          </w:tblCellMar>
        </w:tblPrEx>
        <w:trPr>
          <w:cantSplit/>
        </w:trPr>
        <w:tc>
          <w:tcPr>
            <w:tcW w:w="1456"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2004/2005</w:t>
            </w:r>
          </w:p>
        </w:tc>
        <w:tc>
          <w:tcPr>
            <w:tcW w:w="910"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174</w:t>
            </w:r>
          </w:p>
        </w:tc>
        <w:tc>
          <w:tcPr>
            <w:tcW w:w="1245"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26</w:t>
            </w:r>
          </w:p>
        </w:tc>
        <w:tc>
          <w:tcPr>
            <w:tcW w:w="700"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72</w:t>
            </w:r>
          </w:p>
        </w:tc>
        <w:tc>
          <w:tcPr>
            <w:tcW w:w="826"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11</w:t>
            </w:r>
          </w:p>
        </w:tc>
        <w:tc>
          <w:tcPr>
            <w:tcW w:w="1106"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66</w:t>
            </w:r>
          </w:p>
        </w:tc>
        <w:tc>
          <w:tcPr>
            <w:tcW w:w="1134"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1</w:t>
            </w:r>
          </w:p>
        </w:tc>
        <w:tc>
          <w:tcPr>
            <w:tcW w:w="980"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730</w:t>
            </w:r>
          </w:p>
        </w:tc>
      </w:tr>
      <w:tr w:rsidR="000B7434" w:rsidRPr="00ED6AF1" w:rsidTr="0066783B">
        <w:tblPrEx>
          <w:tblCellMar>
            <w:top w:w="0" w:type="dxa"/>
            <w:bottom w:w="0" w:type="dxa"/>
          </w:tblCellMar>
        </w:tblPrEx>
        <w:trPr>
          <w:cantSplit/>
        </w:trPr>
        <w:tc>
          <w:tcPr>
            <w:tcW w:w="1456"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2005/2006</w:t>
            </w:r>
          </w:p>
        </w:tc>
        <w:tc>
          <w:tcPr>
            <w:tcW w:w="910"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189</w:t>
            </w:r>
          </w:p>
        </w:tc>
        <w:tc>
          <w:tcPr>
            <w:tcW w:w="1245"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41</w:t>
            </w:r>
          </w:p>
        </w:tc>
        <w:tc>
          <w:tcPr>
            <w:tcW w:w="700"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97</w:t>
            </w:r>
          </w:p>
        </w:tc>
        <w:tc>
          <w:tcPr>
            <w:tcW w:w="826"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14</w:t>
            </w:r>
          </w:p>
        </w:tc>
        <w:tc>
          <w:tcPr>
            <w:tcW w:w="1106"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65</w:t>
            </w:r>
          </w:p>
        </w:tc>
        <w:tc>
          <w:tcPr>
            <w:tcW w:w="1134"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1</w:t>
            </w:r>
          </w:p>
        </w:tc>
        <w:tc>
          <w:tcPr>
            <w:tcW w:w="980" w:type="dxa"/>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939</w:t>
            </w:r>
          </w:p>
        </w:tc>
      </w:tr>
      <w:tr w:rsidR="000B7434" w:rsidRPr="00ED6AF1" w:rsidTr="0066783B">
        <w:tblPrEx>
          <w:tblCellMar>
            <w:top w:w="0" w:type="dxa"/>
            <w:bottom w:w="0" w:type="dxa"/>
          </w:tblCellMar>
        </w:tblPrEx>
        <w:trPr>
          <w:cantSplit/>
        </w:trPr>
        <w:tc>
          <w:tcPr>
            <w:tcW w:w="1456" w:type="dxa"/>
            <w:tcBorders>
              <w:bottom w:val="single" w:sz="4"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2006/2007</w:t>
            </w:r>
          </w:p>
        </w:tc>
        <w:tc>
          <w:tcPr>
            <w:tcW w:w="910" w:type="dxa"/>
            <w:tcBorders>
              <w:bottom w:val="single" w:sz="4"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137</w:t>
            </w:r>
          </w:p>
        </w:tc>
        <w:tc>
          <w:tcPr>
            <w:tcW w:w="1245" w:type="dxa"/>
            <w:tcBorders>
              <w:bottom w:val="single" w:sz="4"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70</w:t>
            </w:r>
          </w:p>
        </w:tc>
        <w:tc>
          <w:tcPr>
            <w:tcW w:w="700" w:type="dxa"/>
            <w:tcBorders>
              <w:bottom w:val="single" w:sz="4"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112</w:t>
            </w:r>
          </w:p>
        </w:tc>
        <w:tc>
          <w:tcPr>
            <w:tcW w:w="826" w:type="dxa"/>
            <w:tcBorders>
              <w:bottom w:val="single" w:sz="4"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03</w:t>
            </w:r>
          </w:p>
        </w:tc>
        <w:tc>
          <w:tcPr>
            <w:tcW w:w="1106" w:type="dxa"/>
            <w:tcBorders>
              <w:bottom w:val="single" w:sz="4"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94</w:t>
            </w:r>
          </w:p>
        </w:tc>
        <w:tc>
          <w:tcPr>
            <w:tcW w:w="1134" w:type="dxa"/>
            <w:tcBorders>
              <w:bottom w:val="single" w:sz="4"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7</w:t>
            </w:r>
          </w:p>
        </w:tc>
        <w:tc>
          <w:tcPr>
            <w:tcW w:w="980" w:type="dxa"/>
            <w:tcBorders>
              <w:bottom w:val="single" w:sz="4"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sz w:val="18"/>
                <w:szCs w:val="26"/>
                <w:lang w:bidi="ar-EG"/>
              </w:rPr>
            </w:pPr>
            <w:r w:rsidRPr="0066783B">
              <w:rPr>
                <w:sz w:val="18"/>
                <w:szCs w:val="26"/>
                <w:rtl/>
                <w:lang w:bidi="ar-EG"/>
              </w:rPr>
              <w:t>110 1</w:t>
            </w:r>
          </w:p>
        </w:tc>
      </w:tr>
      <w:tr w:rsidR="000B7434" w:rsidRPr="00ED6AF1" w:rsidTr="0066783B">
        <w:tblPrEx>
          <w:tblCellMar>
            <w:top w:w="0" w:type="dxa"/>
            <w:bottom w:w="0" w:type="dxa"/>
          </w:tblCellMar>
        </w:tblPrEx>
        <w:trPr>
          <w:cantSplit/>
        </w:trPr>
        <w:tc>
          <w:tcPr>
            <w:tcW w:w="1456"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bCs/>
                <w:sz w:val="18"/>
                <w:szCs w:val="26"/>
                <w:lang w:bidi="ar-EG"/>
              </w:rPr>
            </w:pPr>
            <w:r w:rsidRPr="0066783B">
              <w:rPr>
                <w:bCs/>
                <w:sz w:val="18"/>
                <w:szCs w:val="26"/>
                <w:rtl/>
                <w:lang w:bidi="ar-EG"/>
              </w:rPr>
              <w:tab/>
              <w:t>المجموع</w:t>
            </w:r>
          </w:p>
        </w:tc>
        <w:tc>
          <w:tcPr>
            <w:tcW w:w="910"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bCs/>
                <w:sz w:val="18"/>
                <w:szCs w:val="26"/>
                <w:lang w:bidi="ar-EG"/>
              </w:rPr>
            </w:pPr>
            <w:r w:rsidRPr="0066783B">
              <w:rPr>
                <w:bCs/>
                <w:sz w:val="18"/>
                <w:szCs w:val="26"/>
                <w:rtl/>
                <w:lang w:bidi="ar-EG"/>
              </w:rPr>
              <w:t>655</w:t>
            </w:r>
          </w:p>
        </w:tc>
        <w:tc>
          <w:tcPr>
            <w:tcW w:w="1245"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bCs/>
                <w:sz w:val="18"/>
                <w:szCs w:val="26"/>
                <w:lang w:bidi="ar-EG"/>
              </w:rPr>
            </w:pPr>
            <w:r w:rsidRPr="0066783B">
              <w:rPr>
                <w:bCs/>
                <w:sz w:val="18"/>
                <w:szCs w:val="26"/>
                <w:rtl/>
                <w:lang w:bidi="ar-EG"/>
              </w:rPr>
              <w:t>155</w:t>
            </w:r>
          </w:p>
        </w:tc>
        <w:tc>
          <w:tcPr>
            <w:tcW w:w="700"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bCs/>
                <w:sz w:val="18"/>
                <w:szCs w:val="26"/>
                <w:lang w:bidi="ar-EG"/>
              </w:rPr>
            </w:pPr>
            <w:r w:rsidRPr="0066783B">
              <w:rPr>
                <w:bCs/>
                <w:sz w:val="18"/>
                <w:szCs w:val="26"/>
                <w:rtl/>
                <w:lang w:bidi="ar-EG"/>
              </w:rPr>
              <w:t>337</w:t>
            </w:r>
          </w:p>
        </w:tc>
        <w:tc>
          <w:tcPr>
            <w:tcW w:w="826"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bCs/>
                <w:sz w:val="18"/>
                <w:szCs w:val="26"/>
                <w:lang w:bidi="ar-EG"/>
              </w:rPr>
            </w:pPr>
            <w:r w:rsidRPr="0066783B">
              <w:rPr>
                <w:bCs/>
                <w:sz w:val="18"/>
                <w:szCs w:val="26"/>
                <w:rtl/>
                <w:lang w:bidi="ar-EG"/>
              </w:rPr>
              <w:t>36</w:t>
            </w:r>
          </w:p>
        </w:tc>
        <w:tc>
          <w:tcPr>
            <w:tcW w:w="1106"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bCs/>
                <w:sz w:val="18"/>
                <w:szCs w:val="26"/>
                <w:lang w:bidi="ar-EG"/>
              </w:rPr>
            </w:pPr>
            <w:r w:rsidRPr="0066783B">
              <w:rPr>
                <w:bCs/>
                <w:sz w:val="18"/>
                <w:szCs w:val="26"/>
                <w:rtl/>
                <w:lang w:bidi="ar-EG"/>
              </w:rPr>
              <w:t>269</w:t>
            </w:r>
          </w:p>
        </w:tc>
        <w:tc>
          <w:tcPr>
            <w:tcW w:w="1134"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bCs/>
                <w:sz w:val="18"/>
                <w:szCs w:val="26"/>
                <w:lang w:bidi="ar-EG"/>
              </w:rPr>
            </w:pPr>
            <w:r w:rsidRPr="0066783B">
              <w:rPr>
                <w:bCs/>
                <w:sz w:val="18"/>
                <w:szCs w:val="26"/>
                <w:rtl/>
                <w:lang w:bidi="ar-EG"/>
              </w:rPr>
              <w:t>12</w:t>
            </w:r>
          </w:p>
        </w:tc>
        <w:tc>
          <w:tcPr>
            <w:tcW w:w="980" w:type="dxa"/>
            <w:tcBorders>
              <w:top w:val="single" w:sz="4" w:space="0" w:color="auto"/>
              <w:bottom w:val="single" w:sz="12" w:space="0" w:color="auto"/>
            </w:tcBorders>
            <w:vAlign w:val="bottom"/>
          </w:tcPr>
          <w:p w:rsidR="000B7434" w:rsidRPr="0066783B" w:rsidRDefault="000B7434" w:rsidP="00762AAB">
            <w:pPr>
              <w:tabs>
                <w:tab w:val="left" w:pos="288"/>
                <w:tab w:val="left" w:pos="576"/>
                <w:tab w:val="left" w:pos="864"/>
                <w:tab w:val="left" w:pos="1152"/>
              </w:tabs>
              <w:spacing w:before="60" w:after="60" w:line="320" w:lineRule="exact"/>
              <w:ind w:left="57"/>
              <w:rPr>
                <w:bCs/>
                <w:sz w:val="18"/>
                <w:szCs w:val="26"/>
                <w:lang w:bidi="ar-EG"/>
              </w:rPr>
            </w:pPr>
            <w:r w:rsidRPr="0066783B">
              <w:rPr>
                <w:bCs/>
                <w:sz w:val="18"/>
                <w:szCs w:val="26"/>
                <w:rtl/>
                <w:lang w:bidi="ar-EG"/>
              </w:rPr>
              <w:t>691 3</w:t>
            </w:r>
          </w:p>
        </w:tc>
      </w:tr>
    </w:tbl>
    <w:p w:rsidR="000B7434" w:rsidRPr="00ED6AF1" w:rsidRDefault="0066783B" w:rsidP="0066783B">
      <w:pPr>
        <w:pStyle w:val="SingleTxt"/>
        <w:spacing w:before="120" w:line="300" w:lineRule="exact"/>
        <w:ind w:left="1264" w:right="1264"/>
        <w:rPr>
          <w:rFonts w:hint="cs"/>
          <w:sz w:val="10"/>
          <w:rtl/>
          <w:lang w:bidi="ar-EG"/>
        </w:rPr>
      </w:pPr>
      <w:r>
        <w:rPr>
          <w:rFonts w:hint="cs"/>
          <w:i/>
          <w:iCs/>
          <w:sz w:val="16"/>
          <w:szCs w:val="26"/>
          <w:rtl/>
          <w:lang w:bidi="ar-EG"/>
        </w:rPr>
        <w:t xml:space="preserve"> </w:t>
      </w:r>
      <w:r w:rsidR="000B7434" w:rsidRPr="00ED6AF1">
        <w:rPr>
          <w:i/>
          <w:iCs/>
          <w:sz w:val="16"/>
          <w:szCs w:val="26"/>
          <w:rtl/>
          <w:lang w:bidi="ar-EG"/>
        </w:rPr>
        <w:t>المصدر:</w:t>
      </w:r>
      <w:r w:rsidR="000B7434" w:rsidRPr="0066783B">
        <w:rPr>
          <w:sz w:val="16"/>
          <w:szCs w:val="26"/>
          <w:rtl/>
          <w:lang w:bidi="ar-EG"/>
        </w:rPr>
        <w:t xml:space="preserve"> </w:t>
      </w:r>
      <w:r w:rsidRPr="0066783B">
        <w:rPr>
          <w:rFonts w:hint="cs"/>
          <w:sz w:val="16"/>
          <w:szCs w:val="26"/>
          <w:rtl/>
          <w:lang w:bidi="ar-EG"/>
        </w:rPr>
        <w:t xml:space="preserve"> </w:t>
      </w:r>
      <w:r w:rsidR="000B7434" w:rsidRPr="0066783B">
        <w:rPr>
          <w:sz w:val="16"/>
          <w:szCs w:val="26"/>
          <w:rtl/>
          <w:lang w:bidi="ar-EG"/>
        </w:rPr>
        <w:t>خلية المرأة (مقر الشرطة، كاتمندو، 2007)</w:t>
      </w:r>
      <w:r>
        <w:rPr>
          <w:rFonts w:hint="cs"/>
          <w:sz w:val="10"/>
          <w:rtl/>
          <w:lang w:bidi="ar-EG"/>
        </w:rPr>
        <w:t>.</w:t>
      </w:r>
    </w:p>
    <w:p w:rsidR="000B7434" w:rsidRDefault="0066783B" w:rsidP="0066783B">
      <w:pPr>
        <w:pStyle w:val="SingleTxtGA"/>
        <w:spacing w:after="0"/>
        <w:rPr>
          <w:rtl/>
          <w:lang w:bidi="ar-EG"/>
        </w:rPr>
      </w:pPr>
      <w:r>
        <w:rPr>
          <w:rtl/>
          <w:lang w:bidi="ar-EG"/>
        </w:rPr>
        <w:br w:type="page"/>
      </w:r>
      <w:r w:rsidR="000B7434">
        <w:rPr>
          <w:rtl/>
          <w:lang w:bidi="ar-EG"/>
        </w:rPr>
        <w:t>الجدول 24</w:t>
      </w:r>
    </w:p>
    <w:p w:rsidR="000B7434" w:rsidRPr="0066783B" w:rsidRDefault="000B7434" w:rsidP="0066783B">
      <w:pPr>
        <w:pStyle w:val="SingleTxtGA"/>
        <w:rPr>
          <w:b/>
          <w:bCs/>
          <w:rtl/>
          <w:lang w:bidi="ar-EG"/>
        </w:rPr>
      </w:pPr>
      <w:r w:rsidRPr="0066783B">
        <w:rPr>
          <w:b/>
          <w:bCs/>
          <w:rtl/>
          <w:lang w:bidi="ar-EG"/>
        </w:rPr>
        <w:t>حالة محاكمة قضايا الاغتصاب</w:t>
      </w:r>
    </w:p>
    <w:tbl>
      <w:tblPr>
        <w:bidiVisual/>
        <w:tblW w:w="0" w:type="auto"/>
        <w:tblInd w:w="1267" w:type="dxa"/>
        <w:tblLayout w:type="fixed"/>
        <w:tblCellMar>
          <w:left w:w="0" w:type="dxa"/>
          <w:right w:w="0" w:type="dxa"/>
        </w:tblCellMar>
        <w:tblLook w:val="0000" w:firstRow="0" w:lastRow="0" w:firstColumn="0" w:lastColumn="0" w:noHBand="0" w:noVBand="0"/>
      </w:tblPr>
      <w:tblGrid>
        <w:gridCol w:w="1270"/>
        <w:gridCol w:w="1529"/>
        <w:gridCol w:w="634"/>
        <w:gridCol w:w="1242"/>
        <w:gridCol w:w="882"/>
        <w:gridCol w:w="1204"/>
        <w:gridCol w:w="1596"/>
      </w:tblGrid>
      <w:tr w:rsidR="000B7434" w:rsidRPr="0066783B" w:rsidTr="0066783B">
        <w:tblPrEx>
          <w:tblCellMar>
            <w:top w:w="0" w:type="dxa"/>
            <w:bottom w:w="0" w:type="dxa"/>
          </w:tblCellMar>
        </w:tblPrEx>
        <w:trPr>
          <w:cantSplit/>
          <w:tblHeader/>
        </w:trPr>
        <w:tc>
          <w:tcPr>
            <w:tcW w:w="1270" w:type="dxa"/>
            <w:tcBorders>
              <w:top w:val="single" w:sz="4" w:space="0" w:color="auto"/>
              <w:bottom w:val="single" w:sz="4"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rPr>
                <w:i/>
                <w:iCs/>
                <w:sz w:val="18"/>
                <w:szCs w:val="26"/>
                <w:lang w:bidi="ar-EG"/>
              </w:rPr>
            </w:pPr>
          </w:p>
        </w:tc>
        <w:tc>
          <w:tcPr>
            <w:tcW w:w="1529" w:type="dxa"/>
            <w:tcBorders>
              <w:top w:val="single" w:sz="4" w:space="0" w:color="auto"/>
              <w:bottom w:val="single" w:sz="4"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rPr>
                <w:i/>
                <w:iCs/>
                <w:sz w:val="18"/>
                <w:szCs w:val="26"/>
                <w:lang w:bidi="ar-EG"/>
              </w:rPr>
            </w:pPr>
          </w:p>
        </w:tc>
        <w:tc>
          <w:tcPr>
            <w:tcW w:w="2758" w:type="dxa"/>
            <w:gridSpan w:val="3"/>
            <w:tcBorders>
              <w:top w:val="single" w:sz="4" w:space="0" w:color="auto"/>
              <w:bottom w:val="single" w:sz="4"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jc w:val="center"/>
              <w:rPr>
                <w:i/>
                <w:iCs/>
                <w:sz w:val="18"/>
                <w:szCs w:val="26"/>
                <w:lang w:bidi="ar-EG"/>
              </w:rPr>
            </w:pPr>
            <w:r w:rsidRPr="0066783B">
              <w:rPr>
                <w:i/>
                <w:iCs/>
                <w:sz w:val="18"/>
                <w:szCs w:val="26"/>
                <w:rtl/>
                <w:lang w:bidi="ar-EG"/>
              </w:rPr>
              <w:t>القضايا المنتهية</w:t>
            </w:r>
          </w:p>
        </w:tc>
        <w:tc>
          <w:tcPr>
            <w:tcW w:w="1204" w:type="dxa"/>
            <w:tcBorders>
              <w:top w:val="single" w:sz="4" w:space="0" w:color="auto"/>
              <w:bottom w:val="single" w:sz="4"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rPr>
                <w:i/>
                <w:iCs/>
                <w:sz w:val="18"/>
                <w:szCs w:val="26"/>
                <w:lang w:bidi="ar-EG"/>
              </w:rPr>
            </w:pPr>
          </w:p>
        </w:tc>
        <w:tc>
          <w:tcPr>
            <w:tcW w:w="1596" w:type="dxa"/>
            <w:tcBorders>
              <w:top w:val="single" w:sz="4" w:space="0" w:color="auto"/>
              <w:bottom w:val="single" w:sz="4"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rPr>
                <w:i/>
                <w:iCs/>
                <w:sz w:val="18"/>
                <w:szCs w:val="26"/>
                <w:lang w:bidi="ar-EG"/>
              </w:rPr>
            </w:pPr>
          </w:p>
        </w:tc>
      </w:tr>
      <w:tr w:rsidR="000B7434" w:rsidRPr="0066783B" w:rsidTr="0066783B">
        <w:tblPrEx>
          <w:tblCellMar>
            <w:top w:w="0" w:type="dxa"/>
            <w:bottom w:w="0" w:type="dxa"/>
          </w:tblCellMar>
        </w:tblPrEx>
        <w:trPr>
          <w:cantSplit/>
          <w:tblHeader/>
        </w:trPr>
        <w:tc>
          <w:tcPr>
            <w:tcW w:w="1270" w:type="dxa"/>
            <w:tcBorders>
              <w:top w:val="single" w:sz="4" w:space="0" w:color="auto"/>
              <w:bottom w:val="single" w:sz="12"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rPr>
                <w:i/>
                <w:iCs/>
                <w:sz w:val="18"/>
                <w:szCs w:val="26"/>
                <w:lang w:bidi="ar-EG"/>
              </w:rPr>
            </w:pPr>
            <w:r w:rsidRPr="0066783B">
              <w:rPr>
                <w:i/>
                <w:iCs/>
                <w:sz w:val="18"/>
                <w:szCs w:val="26"/>
                <w:rtl/>
                <w:lang w:bidi="ar-EG"/>
              </w:rPr>
              <w:t>السنة المالية</w:t>
            </w:r>
          </w:p>
        </w:tc>
        <w:tc>
          <w:tcPr>
            <w:tcW w:w="1529" w:type="dxa"/>
            <w:tcBorders>
              <w:top w:val="single" w:sz="4" w:space="0" w:color="auto"/>
              <w:bottom w:val="single" w:sz="12"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rPr>
                <w:i/>
                <w:iCs/>
                <w:sz w:val="18"/>
                <w:szCs w:val="26"/>
                <w:lang w:bidi="ar-EG"/>
              </w:rPr>
            </w:pPr>
            <w:r w:rsidRPr="0066783B">
              <w:rPr>
                <w:i/>
                <w:iCs/>
                <w:sz w:val="18"/>
                <w:szCs w:val="26"/>
                <w:rtl/>
                <w:lang w:bidi="ar-EG"/>
              </w:rPr>
              <w:t>القضايا المسجلة</w:t>
            </w:r>
          </w:p>
        </w:tc>
        <w:tc>
          <w:tcPr>
            <w:tcW w:w="634" w:type="dxa"/>
            <w:tcBorders>
              <w:top w:val="single" w:sz="4" w:space="0" w:color="auto"/>
              <w:bottom w:val="single" w:sz="12"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rPr>
                <w:i/>
                <w:iCs/>
                <w:sz w:val="18"/>
                <w:szCs w:val="26"/>
                <w:lang w:bidi="ar-EG"/>
              </w:rPr>
            </w:pPr>
            <w:r w:rsidRPr="0066783B">
              <w:rPr>
                <w:i/>
                <w:iCs/>
                <w:sz w:val="18"/>
                <w:szCs w:val="26"/>
                <w:rtl/>
                <w:lang w:bidi="ar-EG"/>
              </w:rPr>
              <w:t>إدانة</w:t>
            </w:r>
          </w:p>
        </w:tc>
        <w:tc>
          <w:tcPr>
            <w:tcW w:w="1242" w:type="dxa"/>
            <w:tcBorders>
              <w:top w:val="single" w:sz="4" w:space="0" w:color="auto"/>
              <w:bottom w:val="single" w:sz="12" w:space="0" w:color="auto"/>
            </w:tcBorders>
            <w:vAlign w:val="bottom"/>
          </w:tcPr>
          <w:p w:rsidR="000B7434" w:rsidRPr="0066783B" w:rsidRDefault="0066783B" w:rsidP="0066783B">
            <w:pPr>
              <w:tabs>
                <w:tab w:val="left" w:pos="288"/>
                <w:tab w:val="left" w:pos="576"/>
                <w:tab w:val="left" w:pos="864"/>
                <w:tab w:val="left" w:pos="1152"/>
              </w:tabs>
              <w:spacing w:before="60" w:after="60" w:line="280" w:lineRule="exact"/>
              <w:ind w:left="57"/>
              <w:rPr>
                <w:rFonts w:hint="cs"/>
                <w:i/>
                <w:iCs/>
                <w:sz w:val="18"/>
                <w:szCs w:val="26"/>
                <w:lang w:bidi="ar-EG"/>
              </w:rPr>
            </w:pPr>
            <w:r>
              <w:rPr>
                <w:rFonts w:hint="cs"/>
                <w:i/>
                <w:iCs/>
                <w:sz w:val="18"/>
                <w:szCs w:val="26"/>
                <w:rtl/>
                <w:lang w:bidi="ar-EG"/>
              </w:rPr>
              <w:t>براءة</w:t>
            </w:r>
          </w:p>
        </w:tc>
        <w:tc>
          <w:tcPr>
            <w:tcW w:w="882" w:type="dxa"/>
            <w:tcBorders>
              <w:top w:val="single" w:sz="4" w:space="0" w:color="auto"/>
              <w:bottom w:val="single" w:sz="12"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rPr>
                <w:i/>
                <w:iCs/>
                <w:sz w:val="18"/>
                <w:szCs w:val="26"/>
                <w:lang w:bidi="ar-EG"/>
              </w:rPr>
            </w:pPr>
            <w:r w:rsidRPr="0066783B">
              <w:rPr>
                <w:i/>
                <w:iCs/>
                <w:sz w:val="18"/>
                <w:szCs w:val="26"/>
                <w:rtl/>
                <w:lang w:bidi="ar-EG"/>
              </w:rPr>
              <w:t>المجموع</w:t>
            </w:r>
          </w:p>
        </w:tc>
        <w:tc>
          <w:tcPr>
            <w:tcW w:w="1204" w:type="dxa"/>
            <w:tcBorders>
              <w:top w:val="single" w:sz="4" w:space="0" w:color="auto"/>
              <w:bottom w:val="single" w:sz="12"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rPr>
                <w:i/>
                <w:iCs/>
                <w:sz w:val="18"/>
                <w:szCs w:val="26"/>
                <w:lang w:bidi="ar-EG"/>
              </w:rPr>
            </w:pPr>
            <w:r w:rsidRPr="0066783B">
              <w:rPr>
                <w:i/>
                <w:iCs/>
                <w:sz w:val="18"/>
                <w:szCs w:val="26"/>
                <w:rtl/>
                <w:lang w:bidi="ar-EG"/>
              </w:rPr>
              <w:t>القضايا المتبقية</w:t>
            </w:r>
          </w:p>
        </w:tc>
        <w:tc>
          <w:tcPr>
            <w:tcW w:w="1596" w:type="dxa"/>
            <w:tcBorders>
              <w:top w:val="single" w:sz="4" w:space="0" w:color="auto"/>
              <w:bottom w:val="single" w:sz="12"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rPr>
                <w:i/>
                <w:iCs/>
                <w:sz w:val="18"/>
                <w:szCs w:val="26"/>
                <w:lang w:bidi="ar-EG"/>
              </w:rPr>
            </w:pPr>
            <w:r w:rsidRPr="0066783B">
              <w:rPr>
                <w:i/>
                <w:iCs/>
                <w:sz w:val="18"/>
                <w:szCs w:val="26"/>
                <w:rtl/>
                <w:lang w:bidi="ar-EG"/>
              </w:rPr>
              <w:t>النسبة المئوية للإدانة</w:t>
            </w:r>
          </w:p>
        </w:tc>
      </w:tr>
      <w:tr w:rsidR="000B7434" w:rsidRPr="0066783B" w:rsidTr="0066783B">
        <w:tblPrEx>
          <w:tblCellMar>
            <w:top w:w="0" w:type="dxa"/>
            <w:bottom w:w="0" w:type="dxa"/>
          </w:tblCellMar>
        </w:tblPrEx>
        <w:trPr>
          <w:cantSplit/>
        </w:trPr>
        <w:tc>
          <w:tcPr>
            <w:tcW w:w="1270" w:type="dxa"/>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2003/2004</w:t>
            </w:r>
          </w:p>
        </w:tc>
        <w:tc>
          <w:tcPr>
            <w:tcW w:w="1529" w:type="dxa"/>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128</w:t>
            </w:r>
          </w:p>
        </w:tc>
        <w:tc>
          <w:tcPr>
            <w:tcW w:w="634" w:type="dxa"/>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18</w:t>
            </w:r>
          </w:p>
        </w:tc>
        <w:tc>
          <w:tcPr>
            <w:tcW w:w="1242" w:type="dxa"/>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15</w:t>
            </w:r>
          </w:p>
        </w:tc>
        <w:tc>
          <w:tcPr>
            <w:tcW w:w="882" w:type="dxa"/>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33</w:t>
            </w:r>
          </w:p>
        </w:tc>
        <w:tc>
          <w:tcPr>
            <w:tcW w:w="1204" w:type="dxa"/>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95</w:t>
            </w:r>
          </w:p>
        </w:tc>
        <w:tc>
          <w:tcPr>
            <w:tcW w:w="1596" w:type="dxa"/>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54.55</w:t>
            </w:r>
          </w:p>
        </w:tc>
      </w:tr>
      <w:tr w:rsidR="000B7434" w:rsidRPr="0066783B" w:rsidTr="0066783B">
        <w:tblPrEx>
          <w:tblCellMar>
            <w:top w:w="0" w:type="dxa"/>
            <w:bottom w:w="0" w:type="dxa"/>
          </w:tblCellMar>
        </w:tblPrEx>
        <w:trPr>
          <w:cantSplit/>
        </w:trPr>
        <w:tc>
          <w:tcPr>
            <w:tcW w:w="1270" w:type="dxa"/>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2004/2005</w:t>
            </w:r>
          </w:p>
        </w:tc>
        <w:tc>
          <w:tcPr>
            <w:tcW w:w="1529" w:type="dxa"/>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147</w:t>
            </w:r>
          </w:p>
        </w:tc>
        <w:tc>
          <w:tcPr>
            <w:tcW w:w="634" w:type="dxa"/>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19</w:t>
            </w:r>
          </w:p>
        </w:tc>
        <w:tc>
          <w:tcPr>
            <w:tcW w:w="1242" w:type="dxa"/>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41</w:t>
            </w:r>
          </w:p>
        </w:tc>
        <w:tc>
          <w:tcPr>
            <w:tcW w:w="882" w:type="dxa"/>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60</w:t>
            </w:r>
          </w:p>
        </w:tc>
        <w:tc>
          <w:tcPr>
            <w:tcW w:w="1204" w:type="dxa"/>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87</w:t>
            </w:r>
          </w:p>
        </w:tc>
        <w:tc>
          <w:tcPr>
            <w:tcW w:w="1596" w:type="dxa"/>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31.67</w:t>
            </w:r>
          </w:p>
        </w:tc>
      </w:tr>
      <w:tr w:rsidR="000B7434" w:rsidRPr="0066783B" w:rsidTr="0066783B">
        <w:tblPrEx>
          <w:tblCellMar>
            <w:top w:w="0" w:type="dxa"/>
            <w:bottom w:w="0" w:type="dxa"/>
          </w:tblCellMar>
        </w:tblPrEx>
        <w:trPr>
          <w:cantSplit/>
        </w:trPr>
        <w:tc>
          <w:tcPr>
            <w:tcW w:w="1270" w:type="dxa"/>
            <w:tcBorders>
              <w:bottom w:val="single" w:sz="12"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2005/2006</w:t>
            </w:r>
          </w:p>
        </w:tc>
        <w:tc>
          <w:tcPr>
            <w:tcW w:w="1529" w:type="dxa"/>
            <w:tcBorders>
              <w:bottom w:val="single" w:sz="12"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113</w:t>
            </w:r>
          </w:p>
        </w:tc>
        <w:tc>
          <w:tcPr>
            <w:tcW w:w="634" w:type="dxa"/>
            <w:tcBorders>
              <w:bottom w:val="single" w:sz="12"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9</w:t>
            </w:r>
          </w:p>
        </w:tc>
        <w:tc>
          <w:tcPr>
            <w:tcW w:w="1242" w:type="dxa"/>
            <w:tcBorders>
              <w:bottom w:val="single" w:sz="12"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6</w:t>
            </w:r>
          </w:p>
        </w:tc>
        <w:tc>
          <w:tcPr>
            <w:tcW w:w="882" w:type="dxa"/>
            <w:tcBorders>
              <w:bottom w:val="single" w:sz="12"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15</w:t>
            </w:r>
          </w:p>
        </w:tc>
        <w:tc>
          <w:tcPr>
            <w:tcW w:w="1204" w:type="dxa"/>
            <w:tcBorders>
              <w:bottom w:val="single" w:sz="12"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98</w:t>
            </w:r>
          </w:p>
        </w:tc>
        <w:tc>
          <w:tcPr>
            <w:tcW w:w="1596" w:type="dxa"/>
            <w:tcBorders>
              <w:bottom w:val="single" w:sz="12" w:space="0" w:color="auto"/>
            </w:tcBorders>
            <w:vAlign w:val="bottom"/>
          </w:tcPr>
          <w:p w:rsidR="000B7434" w:rsidRPr="0066783B" w:rsidRDefault="000B7434" w:rsidP="0066783B">
            <w:pPr>
              <w:tabs>
                <w:tab w:val="left" w:pos="288"/>
                <w:tab w:val="left" w:pos="576"/>
                <w:tab w:val="left" w:pos="864"/>
                <w:tab w:val="left" w:pos="1152"/>
              </w:tabs>
              <w:spacing w:before="60" w:after="60" w:line="280" w:lineRule="exact"/>
              <w:ind w:left="57"/>
              <w:rPr>
                <w:sz w:val="18"/>
                <w:szCs w:val="26"/>
                <w:lang w:bidi="ar-EG"/>
              </w:rPr>
            </w:pPr>
            <w:r w:rsidRPr="0066783B">
              <w:rPr>
                <w:sz w:val="18"/>
                <w:szCs w:val="26"/>
                <w:rtl/>
                <w:lang w:bidi="ar-EG"/>
              </w:rPr>
              <w:t>60.00</w:t>
            </w:r>
          </w:p>
        </w:tc>
      </w:tr>
    </w:tbl>
    <w:p w:rsidR="000B7434" w:rsidRPr="0066783B" w:rsidRDefault="0066783B" w:rsidP="0066783B">
      <w:pPr>
        <w:pStyle w:val="SingleTxt"/>
        <w:spacing w:before="120" w:after="240" w:line="300" w:lineRule="exact"/>
        <w:ind w:left="1264" w:right="1264"/>
        <w:rPr>
          <w:rFonts w:hint="cs"/>
          <w:sz w:val="16"/>
          <w:szCs w:val="26"/>
          <w:rtl/>
          <w:lang w:bidi="ar-EG"/>
        </w:rPr>
      </w:pPr>
      <w:r>
        <w:rPr>
          <w:rFonts w:hint="cs"/>
          <w:i/>
          <w:iCs/>
          <w:sz w:val="16"/>
          <w:szCs w:val="26"/>
          <w:rtl/>
          <w:lang w:bidi="ar-EG"/>
        </w:rPr>
        <w:t xml:space="preserve"> </w:t>
      </w:r>
      <w:r w:rsidR="000B7434" w:rsidRPr="003F0D74">
        <w:rPr>
          <w:i/>
          <w:iCs/>
          <w:sz w:val="16"/>
          <w:szCs w:val="26"/>
          <w:rtl/>
          <w:lang w:bidi="ar-EG"/>
        </w:rPr>
        <w:t>المصدر</w:t>
      </w:r>
      <w:r w:rsidR="000B7434" w:rsidRPr="0066783B">
        <w:rPr>
          <w:sz w:val="16"/>
          <w:szCs w:val="26"/>
          <w:rtl/>
          <w:lang w:bidi="ar-EG"/>
        </w:rPr>
        <w:t>:</w:t>
      </w:r>
      <w:r w:rsidRPr="0066783B">
        <w:rPr>
          <w:rFonts w:hint="cs"/>
          <w:sz w:val="16"/>
          <w:szCs w:val="26"/>
          <w:rtl/>
          <w:lang w:bidi="ar-EG"/>
        </w:rPr>
        <w:t xml:space="preserve"> </w:t>
      </w:r>
      <w:r w:rsidR="000B7434" w:rsidRPr="0066783B">
        <w:rPr>
          <w:sz w:val="16"/>
          <w:szCs w:val="26"/>
          <w:rtl/>
          <w:lang w:bidi="ar-EG"/>
        </w:rPr>
        <w:t xml:space="preserve"> تقرير المدعي العام السنوي، 2062/2063 (تقويم نيبال)، الصفحة 19</w:t>
      </w:r>
      <w:r>
        <w:rPr>
          <w:rFonts w:hint="cs"/>
          <w:sz w:val="16"/>
          <w:szCs w:val="26"/>
          <w:rtl/>
          <w:lang w:bidi="ar-EG"/>
        </w:rPr>
        <w:t>.</w:t>
      </w:r>
    </w:p>
    <w:p w:rsidR="000B7434" w:rsidRDefault="000B7434" w:rsidP="0066783B">
      <w:pPr>
        <w:pStyle w:val="SingleTxtGA"/>
        <w:rPr>
          <w:rtl/>
          <w:lang w:bidi="ar-EG"/>
        </w:rPr>
      </w:pPr>
      <w:r>
        <w:rPr>
          <w:rtl/>
          <w:lang w:bidi="ar-EG"/>
        </w:rPr>
        <w:t>222-</w:t>
      </w:r>
      <w:r w:rsidR="0066783B">
        <w:rPr>
          <w:rFonts w:hint="cs"/>
          <w:rtl/>
          <w:lang w:bidi="ar-EG"/>
        </w:rPr>
        <w:tab/>
      </w:r>
      <w:r>
        <w:rPr>
          <w:rtl/>
          <w:lang w:bidi="ar-EG"/>
        </w:rPr>
        <w:t>وإلى جانب القضايا المقامة في إطار اختصاصات المحكمة، وفق المذكور أعلاه، رفعت بعض الحالات إلى اللجنة الوطنية لحقوق الإنسان واللجنة الوطنية للمرأة. ويوفر الجدول التالي عن القضايا المسجلة لدى اللجنة الوطنية للمرأة للسنة المالية 2007-2008.</w:t>
      </w:r>
    </w:p>
    <w:p w:rsidR="008975D0" w:rsidRPr="008975D0" w:rsidRDefault="000B7434" w:rsidP="008975D0">
      <w:pPr>
        <w:pStyle w:val="SingleTxtGA"/>
        <w:spacing w:after="0"/>
        <w:rPr>
          <w:rFonts w:hint="cs"/>
          <w:rtl/>
          <w:lang w:bidi="ar-EG"/>
        </w:rPr>
      </w:pPr>
      <w:r w:rsidRPr="008975D0">
        <w:rPr>
          <w:rtl/>
          <w:lang w:bidi="ar-EG"/>
        </w:rPr>
        <w:t>الجدول 25</w:t>
      </w:r>
    </w:p>
    <w:p w:rsidR="000B7434" w:rsidRPr="008975D0" w:rsidRDefault="000B7434" w:rsidP="008975D0">
      <w:pPr>
        <w:pStyle w:val="SingleTxtGA"/>
        <w:rPr>
          <w:b/>
          <w:bCs/>
          <w:rtl/>
          <w:lang w:bidi="ar-EG"/>
        </w:rPr>
      </w:pPr>
      <w:r w:rsidRPr="008975D0">
        <w:rPr>
          <w:b/>
          <w:bCs/>
          <w:rtl/>
          <w:lang w:bidi="ar-EG"/>
        </w:rPr>
        <w:t>الحالات المسجلة لدى اللجنة الوطنية للمرأة عن السنة المالية 2007/2008</w:t>
      </w:r>
    </w:p>
    <w:tbl>
      <w:tblPr>
        <w:bidiVisual/>
        <w:tblW w:w="8357" w:type="dxa"/>
        <w:tblInd w:w="1267" w:type="dxa"/>
        <w:tblLayout w:type="fixed"/>
        <w:tblCellMar>
          <w:left w:w="0" w:type="dxa"/>
          <w:right w:w="0" w:type="dxa"/>
        </w:tblCellMar>
        <w:tblLook w:val="0000" w:firstRow="0" w:lastRow="0" w:firstColumn="0" w:lastColumn="0" w:noHBand="0" w:noVBand="0"/>
      </w:tblPr>
      <w:tblGrid>
        <w:gridCol w:w="7447"/>
        <w:gridCol w:w="910"/>
      </w:tblGrid>
      <w:tr w:rsidR="000B7434" w:rsidRPr="00FB0E51" w:rsidTr="008975D0">
        <w:tblPrEx>
          <w:tblCellMar>
            <w:top w:w="0" w:type="dxa"/>
            <w:bottom w:w="0" w:type="dxa"/>
          </w:tblCellMar>
        </w:tblPrEx>
        <w:trPr>
          <w:cantSplit/>
          <w:tblHeader/>
        </w:trPr>
        <w:tc>
          <w:tcPr>
            <w:tcW w:w="7447" w:type="dxa"/>
            <w:tcBorders>
              <w:top w:val="single" w:sz="4" w:space="0" w:color="auto"/>
              <w:bottom w:val="single" w:sz="12" w:space="0" w:color="auto"/>
            </w:tcBorders>
            <w:vAlign w:val="bottom"/>
          </w:tcPr>
          <w:p w:rsidR="000B7434" w:rsidRPr="00FB0E51" w:rsidRDefault="000B7434" w:rsidP="008975D0">
            <w:pPr>
              <w:tabs>
                <w:tab w:val="right" w:pos="1757"/>
              </w:tabs>
              <w:spacing w:before="60" w:after="60" w:line="280" w:lineRule="exact"/>
              <w:ind w:left="57" w:right="57"/>
              <w:rPr>
                <w:i/>
                <w:iCs/>
                <w:sz w:val="16"/>
                <w:szCs w:val="24"/>
                <w:lang w:bidi="ar-EG"/>
              </w:rPr>
            </w:pPr>
            <w:r w:rsidRPr="00FB0E51">
              <w:rPr>
                <w:i/>
                <w:iCs/>
                <w:sz w:val="16"/>
                <w:szCs w:val="24"/>
                <w:rtl/>
                <w:lang w:bidi="ar-EG"/>
              </w:rPr>
              <w:t>الحالة</w:t>
            </w:r>
          </w:p>
        </w:tc>
        <w:tc>
          <w:tcPr>
            <w:tcW w:w="910" w:type="dxa"/>
            <w:tcBorders>
              <w:top w:val="single" w:sz="4" w:space="0" w:color="auto"/>
              <w:bottom w:val="single" w:sz="12" w:space="0" w:color="auto"/>
            </w:tcBorders>
            <w:vAlign w:val="bottom"/>
          </w:tcPr>
          <w:p w:rsidR="000B7434" w:rsidRPr="00FB0E51" w:rsidRDefault="000B7434" w:rsidP="008975D0">
            <w:pPr>
              <w:tabs>
                <w:tab w:val="left" w:pos="288"/>
                <w:tab w:val="left" w:pos="576"/>
                <w:tab w:val="left" w:pos="864"/>
                <w:tab w:val="left" w:pos="1152"/>
              </w:tabs>
              <w:spacing w:before="60" w:after="60" w:line="280" w:lineRule="exact"/>
              <w:ind w:left="57"/>
              <w:rPr>
                <w:i/>
                <w:iCs/>
                <w:sz w:val="16"/>
                <w:szCs w:val="24"/>
                <w:lang w:bidi="ar-EG"/>
              </w:rPr>
            </w:pPr>
            <w:r w:rsidRPr="00FB0E51">
              <w:rPr>
                <w:i/>
                <w:iCs/>
                <w:sz w:val="16"/>
                <w:szCs w:val="24"/>
                <w:rtl/>
                <w:lang w:bidi="ar-EG"/>
              </w:rPr>
              <w:t>العدد</w:t>
            </w:r>
          </w:p>
        </w:tc>
      </w:tr>
      <w:tr w:rsidR="000B7434" w:rsidRPr="00FB0E51" w:rsidTr="008975D0">
        <w:tblPrEx>
          <w:tblCellMar>
            <w:top w:w="0" w:type="dxa"/>
            <w:bottom w:w="0" w:type="dxa"/>
          </w:tblCellMar>
        </w:tblPrEx>
        <w:trPr>
          <w:cantSplit/>
        </w:trPr>
        <w:tc>
          <w:tcPr>
            <w:tcW w:w="7447" w:type="dxa"/>
            <w:vAlign w:val="bottom"/>
          </w:tcPr>
          <w:p w:rsidR="000B7434" w:rsidRPr="00FB0E51" w:rsidRDefault="000B7434" w:rsidP="008975D0">
            <w:pPr>
              <w:tabs>
                <w:tab w:val="left" w:pos="288"/>
                <w:tab w:val="left" w:pos="576"/>
                <w:tab w:val="left" w:pos="864"/>
                <w:tab w:val="left" w:pos="1152"/>
              </w:tabs>
              <w:spacing w:before="60" w:after="60" w:line="280" w:lineRule="exact"/>
              <w:ind w:left="57" w:right="57"/>
              <w:rPr>
                <w:sz w:val="16"/>
                <w:szCs w:val="24"/>
                <w:lang w:bidi="ar-EG"/>
              </w:rPr>
            </w:pPr>
            <w:r w:rsidRPr="00FB0E51">
              <w:rPr>
                <w:sz w:val="16"/>
                <w:szCs w:val="24"/>
                <w:rtl/>
                <w:lang w:bidi="ar-EG"/>
              </w:rPr>
              <w:t>الجنسية</w:t>
            </w:r>
          </w:p>
        </w:tc>
        <w:tc>
          <w:tcPr>
            <w:tcW w:w="910" w:type="dxa"/>
            <w:vAlign w:val="bottom"/>
          </w:tcPr>
          <w:p w:rsidR="000B7434" w:rsidRPr="00FB0E51" w:rsidRDefault="000B7434" w:rsidP="008975D0">
            <w:pPr>
              <w:tabs>
                <w:tab w:val="left" w:pos="288"/>
                <w:tab w:val="left" w:pos="576"/>
                <w:tab w:val="left" w:pos="864"/>
                <w:tab w:val="left" w:pos="1152"/>
              </w:tabs>
              <w:spacing w:before="60" w:after="60" w:line="280" w:lineRule="exact"/>
              <w:ind w:left="57"/>
              <w:rPr>
                <w:sz w:val="16"/>
                <w:szCs w:val="24"/>
                <w:lang w:bidi="ar-EG"/>
              </w:rPr>
            </w:pPr>
            <w:r w:rsidRPr="00FB0E51">
              <w:rPr>
                <w:sz w:val="16"/>
                <w:szCs w:val="24"/>
                <w:rtl/>
                <w:lang w:bidi="ar-EG"/>
              </w:rPr>
              <w:t>2</w:t>
            </w:r>
          </w:p>
        </w:tc>
      </w:tr>
      <w:tr w:rsidR="000B7434" w:rsidRPr="00FB0E51" w:rsidTr="008975D0">
        <w:tblPrEx>
          <w:tblCellMar>
            <w:top w:w="0" w:type="dxa"/>
            <w:bottom w:w="0" w:type="dxa"/>
          </w:tblCellMar>
        </w:tblPrEx>
        <w:trPr>
          <w:cantSplit/>
        </w:trPr>
        <w:tc>
          <w:tcPr>
            <w:tcW w:w="7447" w:type="dxa"/>
            <w:vAlign w:val="bottom"/>
          </w:tcPr>
          <w:p w:rsidR="000B7434" w:rsidRPr="00FB0E51" w:rsidRDefault="000B7434" w:rsidP="008975D0">
            <w:pPr>
              <w:tabs>
                <w:tab w:val="left" w:pos="288"/>
                <w:tab w:val="left" w:pos="576"/>
                <w:tab w:val="left" w:pos="864"/>
                <w:tab w:val="left" w:pos="1152"/>
              </w:tabs>
              <w:spacing w:before="60" w:after="60" w:line="280" w:lineRule="exact"/>
              <w:ind w:left="57" w:right="57"/>
              <w:rPr>
                <w:sz w:val="16"/>
                <w:szCs w:val="24"/>
                <w:lang w:bidi="ar-EG"/>
              </w:rPr>
            </w:pPr>
            <w:r w:rsidRPr="00FB0E51">
              <w:rPr>
                <w:sz w:val="16"/>
                <w:szCs w:val="24"/>
                <w:rtl/>
                <w:lang w:bidi="ar-EG"/>
              </w:rPr>
              <w:t>عنف منزلي</w:t>
            </w:r>
          </w:p>
        </w:tc>
        <w:tc>
          <w:tcPr>
            <w:tcW w:w="910" w:type="dxa"/>
            <w:vAlign w:val="bottom"/>
          </w:tcPr>
          <w:p w:rsidR="000B7434" w:rsidRPr="00FB0E51" w:rsidRDefault="000B7434" w:rsidP="008975D0">
            <w:pPr>
              <w:tabs>
                <w:tab w:val="left" w:pos="288"/>
                <w:tab w:val="left" w:pos="576"/>
                <w:tab w:val="left" w:pos="864"/>
                <w:tab w:val="left" w:pos="1152"/>
              </w:tabs>
              <w:spacing w:before="60" w:after="60" w:line="280" w:lineRule="exact"/>
              <w:ind w:left="57"/>
              <w:rPr>
                <w:sz w:val="16"/>
                <w:szCs w:val="24"/>
                <w:lang w:bidi="ar-EG"/>
              </w:rPr>
            </w:pPr>
            <w:r w:rsidRPr="00FB0E51">
              <w:rPr>
                <w:sz w:val="16"/>
                <w:szCs w:val="24"/>
                <w:rtl/>
                <w:lang w:bidi="ar-EG"/>
              </w:rPr>
              <w:t>45</w:t>
            </w:r>
          </w:p>
        </w:tc>
      </w:tr>
      <w:tr w:rsidR="000B7434" w:rsidRPr="00FB0E51" w:rsidTr="008975D0">
        <w:tblPrEx>
          <w:tblCellMar>
            <w:top w:w="0" w:type="dxa"/>
            <w:bottom w:w="0" w:type="dxa"/>
          </w:tblCellMar>
        </w:tblPrEx>
        <w:trPr>
          <w:cantSplit/>
        </w:trPr>
        <w:tc>
          <w:tcPr>
            <w:tcW w:w="7447" w:type="dxa"/>
            <w:vAlign w:val="bottom"/>
          </w:tcPr>
          <w:p w:rsidR="000B7434" w:rsidRPr="00FB0E51" w:rsidRDefault="000B7434" w:rsidP="008975D0">
            <w:pPr>
              <w:tabs>
                <w:tab w:val="left" w:pos="288"/>
                <w:tab w:val="left" w:pos="576"/>
                <w:tab w:val="left" w:pos="864"/>
                <w:tab w:val="left" w:pos="1152"/>
              </w:tabs>
              <w:spacing w:before="60" w:after="60" w:line="280" w:lineRule="exact"/>
              <w:ind w:left="57" w:right="57"/>
              <w:rPr>
                <w:sz w:val="16"/>
                <w:szCs w:val="24"/>
                <w:lang w:bidi="ar-EG"/>
              </w:rPr>
            </w:pPr>
            <w:r w:rsidRPr="00FB0E51">
              <w:rPr>
                <w:sz w:val="16"/>
                <w:szCs w:val="24"/>
                <w:rtl/>
                <w:lang w:bidi="ar-EG"/>
              </w:rPr>
              <w:t>تعدد زوجات</w:t>
            </w:r>
          </w:p>
        </w:tc>
        <w:tc>
          <w:tcPr>
            <w:tcW w:w="910" w:type="dxa"/>
            <w:vAlign w:val="bottom"/>
          </w:tcPr>
          <w:p w:rsidR="000B7434" w:rsidRPr="00FB0E51" w:rsidRDefault="000B7434" w:rsidP="008975D0">
            <w:pPr>
              <w:tabs>
                <w:tab w:val="left" w:pos="288"/>
                <w:tab w:val="left" w:pos="576"/>
                <w:tab w:val="left" w:pos="864"/>
                <w:tab w:val="left" w:pos="1152"/>
              </w:tabs>
              <w:spacing w:before="60" w:after="60" w:line="280" w:lineRule="exact"/>
              <w:ind w:left="57"/>
              <w:rPr>
                <w:sz w:val="16"/>
                <w:szCs w:val="24"/>
                <w:lang w:bidi="ar-EG"/>
              </w:rPr>
            </w:pPr>
            <w:r w:rsidRPr="00FB0E51">
              <w:rPr>
                <w:sz w:val="16"/>
                <w:szCs w:val="24"/>
                <w:rtl/>
                <w:lang w:bidi="ar-EG"/>
              </w:rPr>
              <w:t>7</w:t>
            </w:r>
          </w:p>
        </w:tc>
      </w:tr>
      <w:tr w:rsidR="000B7434" w:rsidRPr="00FB0E51" w:rsidTr="008975D0">
        <w:tblPrEx>
          <w:tblCellMar>
            <w:top w:w="0" w:type="dxa"/>
            <w:bottom w:w="0" w:type="dxa"/>
          </w:tblCellMar>
        </w:tblPrEx>
        <w:trPr>
          <w:cantSplit/>
        </w:trPr>
        <w:tc>
          <w:tcPr>
            <w:tcW w:w="7447" w:type="dxa"/>
            <w:vAlign w:val="bottom"/>
          </w:tcPr>
          <w:p w:rsidR="000B7434" w:rsidRPr="00FB0E51" w:rsidRDefault="000B7434" w:rsidP="008975D0">
            <w:pPr>
              <w:tabs>
                <w:tab w:val="left" w:pos="288"/>
                <w:tab w:val="left" w:pos="576"/>
                <w:tab w:val="left" w:pos="864"/>
                <w:tab w:val="left" w:pos="1152"/>
              </w:tabs>
              <w:spacing w:before="60" w:after="60" w:line="280" w:lineRule="exact"/>
              <w:ind w:left="57" w:right="57"/>
              <w:rPr>
                <w:sz w:val="16"/>
                <w:szCs w:val="24"/>
                <w:lang w:bidi="ar-EG"/>
              </w:rPr>
            </w:pPr>
            <w:r w:rsidRPr="00FB0E51">
              <w:rPr>
                <w:sz w:val="16"/>
                <w:szCs w:val="24"/>
                <w:rtl/>
                <w:lang w:bidi="ar-EG"/>
              </w:rPr>
              <w:t>ممتلكات</w:t>
            </w:r>
          </w:p>
        </w:tc>
        <w:tc>
          <w:tcPr>
            <w:tcW w:w="910" w:type="dxa"/>
            <w:vAlign w:val="bottom"/>
          </w:tcPr>
          <w:p w:rsidR="000B7434" w:rsidRPr="00FB0E51" w:rsidRDefault="000B7434" w:rsidP="008975D0">
            <w:pPr>
              <w:tabs>
                <w:tab w:val="left" w:pos="288"/>
                <w:tab w:val="left" w:pos="576"/>
                <w:tab w:val="left" w:pos="864"/>
                <w:tab w:val="left" w:pos="1152"/>
              </w:tabs>
              <w:spacing w:before="60" w:after="60" w:line="280" w:lineRule="exact"/>
              <w:ind w:left="57"/>
              <w:rPr>
                <w:sz w:val="16"/>
                <w:szCs w:val="24"/>
                <w:lang w:bidi="ar-EG"/>
              </w:rPr>
            </w:pPr>
            <w:r w:rsidRPr="00FB0E51">
              <w:rPr>
                <w:sz w:val="16"/>
                <w:szCs w:val="24"/>
                <w:rtl/>
                <w:lang w:bidi="ar-EG"/>
              </w:rPr>
              <w:t>13</w:t>
            </w:r>
          </w:p>
        </w:tc>
      </w:tr>
      <w:tr w:rsidR="000B7434" w:rsidRPr="00FB0E51" w:rsidTr="00762AAB">
        <w:tblPrEx>
          <w:tblCellMar>
            <w:top w:w="0" w:type="dxa"/>
            <w:bottom w:w="0" w:type="dxa"/>
          </w:tblCellMar>
        </w:tblPrEx>
        <w:trPr>
          <w:cantSplit/>
        </w:trPr>
        <w:tc>
          <w:tcPr>
            <w:tcW w:w="7447" w:type="dxa"/>
            <w:tcBorders>
              <w:bottom w:val="single" w:sz="4" w:space="0" w:color="auto"/>
            </w:tcBorders>
            <w:vAlign w:val="bottom"/>
          </w:tcPr>
          <w:p w:rsidR="000B7434" w:rsidRPr="00FB0E51" w:rsidRDefault="000B7434" w:rsidP="00762AAB">
            <w:pPr>
              <w:tabs>
                <w:tab w:val="left" w:pos="288"/>
                <w:tab w:val="left" w:pos="576"/>
                <w:tab w:val="left" w:pos="864"/>
                <w:tab w:val="left" w:pos="1152"/>
              </w:tabs>
              <w:spacing w:before="60" w:after="60" w:line="280" w:lineRule="exact"/>
              <w:ind w:left="57" w:right="340"/>
              <w:rPr>
                <w:sz w:val="16"/>
                <w:szCs w:val="24"/>
                <w:lang w:bidi="ar-EG"/>
              </w:rPr>
            </w:pPr>
            <w:r w:rsidRPr="00FB0E51">
              <w:rPr>
                <w:sz w:val="16"/>
                <w:szCs w:val="24"/>
                <w:rtl/>
                <w:lang w:bidi="ar-EG"/>
              </w:rPr>
              <w:t>متفرقة (اغتصاب، اتجار، زواج بالإكراه، تحرش جنسي، قسر، اعتداء، صرف من الوظ</w:t>
            </w:r>
            <w:r w:rsidR="00E2077A">
              <w:rPr>
                <w:rFonts w:hint="cs"/>
                <w:sz w:val="16"/>
                <w:szCs w:val="24"/>
                <w:rtl/>
                <w:lang w:bidi="ar-EG"/>
              </w:rPr>
              <w:t>يف</w:t>
            </w:r>
            <w:r w:rsidRPr="00FB0E51">
              <w:rPr>
                <w:sz w:val="16"/>
                <w:szCs w:val="24"/>
                <w:rtl/>
                <w:lang w:bidi="ar-EG"/>
              </w:rPr>
              <w:t xml:space="preserve">ة، استغلال جنسي واقتصادي في العمالة الأجنبية، </w:t>
            </w:r>
            <w:r w:rsidR="00E2077A">
              <w:rPr>
                <w:rFonts w:hint="cs"/>
                <w:sz w:val="16"/>
                <w:szCs w:val="24"/>
                <w:rtl/>
                <w:lang w:bidi="ar-EG"/>
              </w:rPr>
              <w:t>إ</w:t>
            </w:r>
            <w:r w:rsidRPr="00FB0E51">
              <w:rPr>
                <w:sz w:val="16"/>
                <w:szCs w:val="24"/>
                <w:rtl/>
                <w:lang w:bidi="ar-EG"/>
              </w:rPr>
              <w:t>لخ</w:t>
            </w:r>
          </w:p>
        </w:tc>
        <w:tc>
          <w:tcPr>
            <w:tcW w:w="910" w:type="dxa"/>
            <w:tcBorders>
              <w:bottom w:val="single" w:sz="4" w:space="0" w:color="auto"/>
            </w:tcBorders>
          </w:tcPr>
          <w:p w:rsidR="000B7434" w:rsidRPr="00FB0E51" w:rsidRDefault="000B7434" w:rsidP="00762AAB">
            <w:pPr>
              <w:tabs>
                <w:tab w:val="left" w:pos="288"/>
                <w:tab w:val="left" w:pos="576"/>
                <w:tab w:val="left" w:pos="864"/>
                <w:tab w:val="left" w:pos="1152"/>
              </w:tabs>
              <w:spacing w:before="60" w:after="60" w:line="280" w:lineRule="exact"/>
              <w:ind w:left="57"/>
              <w:jc w:val="left"/>
              <w:rPr>
                <w:sz w:val="16"/>
                <w:szCs w:val="24"/>
                <w:lang w:bidi="ar-EG"/>
              </w:rPr>
            </w:pPr>
            <w:r w:rsidRPr="00FB0E51">
              <w:rPr>
                <w:sz w:val="16"/>
                <w:szCs w:val="24"/>
                <w:rtl/>
                <w:lang w:bidi="ar-EG"/>
              </w:rPr>
              <w:t>38</w:t>
            </w:r>
          </w:p>
        </w:tc>
      </w:tr>
      <w:tr w:rsidR="000B7434" w:rsidRPr="00FB0E51" w:rsidTr="008975D0">
        <w:tblPrEx>
          <w:tblCellMar>
            <w:top w:w="0" w:type="dxa"/>
            <w:bottom w:w="0" w:type="dxa"/>
          </w:tblCellMar>
        </w:tblPrEx>
        <w:trPr>
          <w:cantSplit/>
        </w:trPr>
        <w:tc>
          <w:tcPr>
            <w:tcW w:w="7447" w:type="dxa"/>
            <w:tcBorders>
              <w:top w:val="single" w:sz="4" w:space="0" w:color="auto"/>
              <w:bottom w:val="single" w:sz="12" w:space="0" w:color="auto"/>
            </w:tcBorders>
            <w:vAlign w:val="bottom"/>
          </w:tcPr>
          <w:p w:rsidR="000B7434" w:rsidRPr="00FB0E51" w:rsidRDefault="000B7434" w:rsidP="008975D0">
            <w:pPr>
              <w:tabs>
                <w:tab w:val="left" w:pos="288"/>
                <w:tab w:val="left" w:pos="576"/>
                <w:tab w:val="left" w:pos="864"/>
                <w:tab w:val="left" w:pos="1152"/>
              </w:tabs>
              <w:spacing w:before="60" w:after="60" w:line="280" w:lineRule="exact"/>
              <w:ind w:left="57" w:right="57"/>
              <w:rPr>
                <w:bCs/>
                <w:sz w:val="16"/>
                <w:szCs w:val="24"/>
                <w:lang w:bidi="ar-EG"/>
              </w:rPr>
            </w:pPr>
            <w:r>
              <w:rPr>
                <w:bCs/>
                <w:sz w:val="16"/>
                <w:szCs w:val="24"/>
                <w:rtl/>
                <w:lang w:bidi="ar-EG"/>
              </w:rPr>
              <w:tab/>
            </w:r>
            <w:r w:rsidRPr="00FB0E51">
              <w:rPr>
                <w:bCs/>
                <w:sz w:val="16"/>
                <w:szCs w:val="24"/>
                <w:rtl/>
                <w:lang w:bidi="ar-EG"/>
              </w:rPr>
              <w:t>المجموع</w:t>
            </w:r>
          </w:p>
        </w:tc>
        <w:tc>
          <w:tcPr>
            <w:tcW w:w="910" w:type="dxa"/>
            <w:tcBorders>
              <w:top w:val="single" w:sz="4" w:space="0" w:color="auto"/>
              <w:bottom w:val="single" w:sz="12" w:space="0" w:color="auto"/>
            </w:tcBorders>
            <w:vAlign w:val="bottom"/>
          </w:tcPr>
          <w:p w:rsidR="000B7434" w:rsidRPr="00FB0E51" w:rsidRDefault="000B7434" w:rsidP="008975D0">
            <w:pPr>
              <w:tabs>
                <w:tab w:val="left" w:pos="288"/>
                <w:tab w:val="left" w:pos="576"/>
                <w:tab w:val="left" w:pos="864"/>
                <w:tab w:val="left" w:pos="1152"/>
              </w:tabs>
              <w:spacing w:before="60" w:after="60" w:line="280" w:lineRule="exact"/>
              <w:ind w:left="57"/>
              <w:rPr>
                <w:bCs/>
                <w:sz w:val="16"/>
                <w:szCs w:val="24"/>
                <w:lang w:bidi="ar-EG"/>
              </w:rPr>
            </w:pPr>
            <w:r w:rsidRPr="00FB0E51">
              <w:rPr>
                <w:bCs/>
                <w:sz w:val="16"/>
                <w:szCs w:val="24"/>
                <w:rtl/>
                <w:lang w:bidi="ar-EG"/>
              </w:rPr>
              <w:t>105</w:t>
            </w:r>
          </w:p>
        </w:tc>
      </w:tr>
    </w:tbl>
    <w:p w:rsidR="000B7434" w:rsidRPr="008975D0" w:rsidRDefault="008975D0" w:rsidP="008975D0">
      <w:pPr>
        <w:pStyle w:val="SingleTxt"/>
        <w:spacing w:before="120" w:after="240" w:line="300" w:lineRule="exact"/>
        <w:ind w:left="1264" w:right="1264"/>
        <w:rPr>
          <w:rFonts w:hint="cs"/>
          <w:sz w:val="16"/>
          <w:szCs w:val="26"/>
          <w:rtl/>
          <w:lang w:bidi="ar-EG"/>
        </w:rPr>
      </w:pPr>
      <w:r>
        <w:rPr>
          <w:rFonts w:hint="cs"/>
          <w:i/>
          <w:iCs/>
          <w:sz w:val="16"/>
          <w:szCs w:val="26"/>
          <w:rtl/>
          <w:lang w:bidi="ar-EG"/>
        </w:rPr>
        <w:t xml:space="preserve"> </w:t>
      </w:r>
      <w:r w:rsidR="000B7434" w:rsidRPr="00FB0E51">
        <w:rPr>
          <w:i/>
          <w:iCs/>
          <w:sz w:val="16"/>
          <w:szCs w:val="26"/>
          <w:rtl/>
          <w:lang w:bidi="ar-EG"/>
        </w:rPr>
        <w:t>المصدر</w:t>
      </w:r>
      <w:r w:rsidR="000B7434" w:rsidRPr="008975D0">
        <w:rPr>
          <w:sz w:val="16"/>
          <w:szCs w:val="26"/>
          <w:rtl/>
          <w:lang w:bidi="ar-EG"/>
        </w:rPr>
        <w:t>:</w:t>
      </w:r>
      <w:r w:rsidRPr="008975D0">
        <w:rPr>
          <w:rFonts w:hint="cs"/>
          <w:sz w:val="16"/>
          <w:szCs w:val="26"/>
          <w:rtl/>
          <w:lang w:bidi="ar-EG"/>
        </w:rPr>
        <w:t xml:space="preserve"> </w:t>
      </w:r>
      <w:r w:rsidR="000B7434" w:rsidRPr="008975D0">
        <w:rPr>
          <w:sz w:val="16"/>
          <w:szCs w:val="26"/>
          <w:rtl/>
          <w:lang w:bidi="ar-EG"/>
        </w:rPr>
        <w:t xml:space="preserve"> اللجنة الوطنية للمرأة، 2008</w:t>
      </w:r>
      <w:r>
        <w:rPr>
          <w:rFonts w:hint="cs"/>
          <w:sz w:val="16"/>
          <w:szCs w:val="26"/>
          <w:rtl/>
          <w:lang w:bidi="ar-EG"/>
        </w:rPr>
        <w:t>.</w:t>
      </w:r>
    </w:p>
    <w:p w:rsidR="000B7434" w:rsidRPr="007B100D" w:rsidRDefault="000B7434" w:rsidP="008975D0">
      <w:pPr>
        <w:pStyle w:val="H23GA"/>
        <w:rPr>
          <w:rtl/>
          <w:lang w:bidi="ar-EG"/>
        </w:rPr>
      </w:pPr>
      <w:r>
        <w:rPr>
          <w:rtl/>
          <w:lang w:bidi="ar-EG"/>
        </w:rPr>
        <w:tab/>
      </w:r>
      <w:r>
        <w:rPr>
          <w:rtl/>
          <w:lang w:bidi="ar-EG"/>
        </w:rPr>
        <w:tab/>
      </w:r>
      <w:r w:rsidRPr="007B100D">
        <w:rPr>
          <w:rtl/>
          <w:lang w:bidi="ar-EG"/>
        </w:rPr>
        <w:t>الأوامر القضائية الإيعازية</w:t>
      </w:r>
    </w:p>
    <w:p w:rsidR="000B7434" w:rsidRDefault="000B7434" w:rsidP="008975D0">
      <w:pPr>
        <w:pStyle w:val="SingleTxtGA"/>
        <w:rPr>
          <w:rtl/>
          <w:lang w:bidi="ar-EG"/>
        </w:rPr>
      </w:pPr>
      <w:r>
        <w:rPr>
          <w:rtl/>
          <w:lang w:bidi="ar-EG"/>
        </w:rPr>
        <w:t>223-</w:t>
      </w:r>
      <w:r w:rsidR="008975D0">
        <w:rPr>
          <w:rFonts w:hint="cs"/>
          <w:rtl/>
          <w:lang w:bidi="ar-EG"/>
        </w:rPr>
        <w:tab/>
      </w:r>
      <w:r>
        <w:rPr>
          <w:rtl/>
          <w:lang w:bidi="ar-EG"/>
        </w:rPr>
        <w:t>أصدرت المحكمة العليا لنيبال مجموعة من الأوامر الإيعازية لسن قوانين وتعديل قوانين أخرى فيما يتعلق بقضايا العنف ضد المرأة في أعقاب الضمانات بموجب اتفاقية القضاء على جميع أشكال التمييز ضد المرأة والتعليقات العامة للجنتها. (انظر التفاصيل في</w:t>
      </w:r>
      <w:r>
        <w:rPr>
          <w:rFonts w:hint="cs"/>
          <w:rtl/>
          <w:lang w:bidi="ar-EG"/>
        </w:rPr>
        <w:t> </w:t>
      </w:r>
      <w:r>
        <w:rPr>
          <w:rtl/>
          <w:lang w:bidi="ar-EG"/>
        </w:rPr>
        <w:t xml:space="preserve">قضية </w:t>
      </w:r>
      <w:r w:rsidRPr="00FB0E51">
        <w:rPr>
          <w:i/>
          <w:iCs/>
          <w:rtl/>
          <w:lang w:bidi="ar-EG"/>
        </w:rPr>
        <w:t>شارميلا باراجولي</w:t>
      </w:r>
      <w:r>
        <w:rPr>
          <w:rtl/>
          <w:lang w:bidi="ar-EG"/>
        </w:rPr>
        <w:t xml:space="preserve"> المذكورة في إطار التقدم المحرز بشأن المادة 11 من الاتفاقية).</w:t>
      </w:r>
    </w:p>
    <w:p w:rsidR="000B7434" w:rsidRDefault="000B7434" w:rsidP="008975D0">
      <w:pPr>
        <w:pStyle w:val="SingleTxtGA"/>
        <w:rPr>
          <w:rtl/>
          <w:lang w:bidi="ar-EG"/>
        </w:rPr>
      </w:pPr>
      <w:r>
        <w:rPr>
          <w:rtl/>
          <w:lang w:bidi="ar-EG"/>
        </w:rPr>
        <w:t>224-</w:t>
      </w:r>
      <w:r w:rsidR="008975D0">
        <w:rPr>
          <w:rFonts w:hint="cs"/>
          <w:rtl/>
          <w:lang w:bidi="ar-EG"/>
        </w:rPr>
        <w:tab/>
      </w:r>
      <w:r>
        <w:rPr>
          <w:rtl/>
          <w:lang w:bidi="ar-EG"/>
        </w:rPr>
        <w:t xml:space="preserve">وكما لاحظت المحكمة، في قضية المحامية </w:t>
      </w:r>
      <w:r>
        <w:rPr>
          <w:i/>
          <w:iCs/>
          <w:rtl/>
          <w:lang w:bidi="ar-EG"/>
        </w:rPr>
        <w:t xml:space="preserve">راشما تابا </w:t>
      </w:r>
      <w:r w:rsidRPr="007B100D">
        <w:rPr>
          <w:rtl/>
          <w:lang w:bidi="ar-EG"/>
        </w:rPr>
        <w:t>ضد</w:t>
      </w:r>
      <w:r>
        <w:rPr>
          <w:i/>
          <w:iCs/>
          <w:rtl/>
          <w:lang w:bidi="ar-EG"/>
        </w:rPr>
        <w:t xml:space="preserve"> مجلس الوزراء</w:t>
      </w:r>
      <w:r>
        <w:rPr>
          <w:rtl/>
          <w:lang w:bidi="ar-EG"/>
        </w:rPr>
        <w:t>، التي صدر الحكم فيها بتاريخ 10آب/أغسطس 2004 ،فإن اتهام امرأة بممارسة السحر اتهام خطير جدا</w:t>
      </w:r>
      <w:r w:rsidR="008975D0">
        <w:rPr>
          <w:rFonts w:hint="cs"/>
          <w:rtl/>
          <w:lang w:bidi="ar-EG"/>
        </w:rPr>
        <w:t>ً</w:t>
      </w:r>
      <w:r>
        <w:rPr>
          <w:rtl/>
          <w:lang w:bidi="ar-EG"/>
        </w:rPr>
        <w:t xml:space="preserve"> يؤدي في كثير من الأحيان إلى حوادث من التعذيب الشديد والإهانة العلنية. واتهام النساء بممارسة السحر عمل غير منطقي على الإطلاق وخرافي ويثير مسائل الإجحاف والتعذيب والاستغلال ضد المرأة. وبناء على ذلك، لفتت المحكمة العليا انتباه الحكومة إلى وضع حد لمثل هذه الأنشطة المسيئة واللاإنسانية.</w:t>
      </w:r>
    </w:p>
    <w:p w:rsidR="000B7434" w:rsidRDefault="000B7434" w:rsidP="008975D0">
      <w:pPr>
        <w:pStyle w:val="SingleTxtGA"/>
        <w:rPr>
          <w:rtl/>
          <w:lang w:bidi="ar-EG"/>
        </w:rPr>
      </w:pPr>
      <w:r>
        <w:rPr>
          <w:rtl/>
          <w:lang w:bidi="ar-EG"/>
        </w:rPr>
        <w:t>225-</w:t>
      </w:r>
      <w:r w:rsidR="008975D0">
        <w:rPr>
          <w:rFonts w:hint="cs"/>
          <w:rtl/>
          <w:lang w:bidi="ar-EG"/>
        </w:rPr>
        <w:tab/>
      </w:r>
      <w:r>
        <w:rPr>
          <w:rtl/>
          <w:lang w:bidi="ar-EG"/>
        </w:rPr>
        <w:t>وفي الآونة الأخيرة، أصدرت المحكمة قرارا</w:t>
      </w:r>
      <w:r w:rsidR="00762AAB">
        <w:rPr>
          <w:rFonts w:hint="cs"/>
          <w:rtl/>
          <w:lang w:bidi="ar-EG"/>
        </w:rPr>
        <w:t>ً</w:t>
      </w:r>
      <w:r>
        <w:rPr>
          <w:rtl/>
          <w:lang w:bidi="ar-EG"/>
        </w:rPr>
        <w:t xml:space="preserve"> تاريخيا</w:t>
      </w:r>
      <w:r w:rsidR="00762AAB">
        <w:rPr>
          <w:rFonts w:hint="cs"/>
          <w:rtl/>
          <w:lang w:bidi="ar-EG"/>
        </w:rPr>
        <w:t>ً</w:t>
      </w:r>
      <w:r>
        <w:rPr>
          <w:rtl/>
          <w:lang w:bidi="ar-EG"/>
        </w:rPr>
        <w:t xml:space="preserve"> ( </w:t>
      </w:r>
      <w:r w:rsidRPr="00FF0298">
        <w:rPr>
          <w:i/>
          <w:iCs/>
          <w:rtl/>
          <w:lang w:bidi="ar-EG"/>
        </w:rPr>
        <w:t>سا</w:t>
      </w:r>
      <w:r>
        <w:rPr>
          <w:i/>
          <w:iCs/>
          <w:rtl/>
          <w:lang w:bidi="ar-EG"/>
        </w:rPr>
        <w:t xml:space="preserve">بانا ماللا برادان </w:t>
      </w:r>
      <w:r w:rsidRPr="007B100D">
        <w:rPr>
          <w:rtl/>
          <w:lang w:bidi="ar-EG"/>
        </w:rPr>
        <w:t>ضد</w:t>
      </w:r>
      <w:r>
        <w:rPr>
          <w:i/>
          <w:iCs/>
          <w:rtl/>
          <w:lang w:bidi="ar-EG"/>
        </w:rPr>
        <w:t xml:space="preserve"> </w:t>
      </w:r>
      <w:r w:rsidRPr="00FF0298">
        <w:rPr>
          <w:i/>
          <w:iCs/>
          <w:rtl/>
          <w:lang w:bidi="ar-EG"/>
        </w:rPr>
        <w:t>حكومة</w:t>
      </w:r>
      <w:r>
        <w:rPr>
          <w:i/>
          <w:iCs/>
          <w:rtl/>
          <w:lang w:bidi="ar-EG"/>
        </w:rPr>
        <w:t xml:space="preserve"> نيبال وآخرين</w:t>
      </w:r>
      <w:r>
        <w:rPr>
          <w:rtl/>
          <w:lang w:bidi="ar-EG"/>
        </w:rPr>
        <w:t>، 2006 الأمر رقم 3561)، التي فصلت فيها بتاريخ 25 كانون الأول/ديسمبر 2007، يأمر بالمحافظة على خصوصية الضحايا في قضايا ذات طابع خاص. وأصدرت المحكمة أمرا</w:t>
      </w:r>
      <w:r w:rsidR="00762AAB">
        <w:rPr>
          <w:rFonts w:hint="cs"/>
          <w:rtl/>
          <w:lang w:bidi="ar-EG"/>
        </w:rPr>
        <w:t>ً</w:t>
      </w:r>
      <w:r>
        <w:rPr>
          <w:rtl/>
          <w:lang w:bidi="ar-EG"/>
        </w:rPr>
        <w:t xml:space="preserve"> إيعازيا</w:t>
      </w:r>
      <w:r w:rsidR="00762AAB">
        <w:rPr>
          <w:rFonts w:hint="cs"/>
          <w:rtl/>
          <w:lang w:bidi="ar-EG"/>
        </w:rPr>
        <w:t>ً</w:t>
      </w:r>
      <w:r>
        <w:rPr>
          <w:rtl/>
          <w:lang w:bidi="ar-EG"/>
        </w:rPr>
        <w:t xml:space="preserve"> بتشكيل لجنة تضم المحكمة المعنية، ونقابة المحامين، ووزارة شؤون المرأة، والمنظمات، بما في ذلك ندوة المرأة والقانون والتنمية، وتنظيمات المجتمع المدني العاملة في مجال المرأة والطفل، والأشخاص المصابين بفيروس نقص المناعة البشرية/الإيدز والأشخاص المهمشين، لصياغة القوانين بشأن ذلك. ونظرا</w:t>
      </w:r>
      <w:r w:rsidR="00762AAB">
        <w:rPr>
          <w:rFonts w:hint="cs"/>
          <w:rtl/>
          <w:lang w:bidi="ar-EG"/>
        </w:rPr>
        <w:t>ً</w:t>
      </w:r>
      <w:r>
        <w:rPr>
          <w:rtl/>
          <w:lang w:bidi="ar-EG"/>
        </w:rPr>
        <w:t xml:space="preserve"> إلى أن القانون لم يكن قد استن بعد، أصدرت المحكمة العليا لأول مرة مبادئ توجيهية إجرائية شاملة ومستقلة للوكالات المعنية للمحافظة على خصوصية الضحايا. وعلاوة على ذلك وفي الآونة الأخيرة في </w:t>
      </w:r>
      <w:r w:rsidR="00762AAB">
        <w:rPr>
          <w:rFonts w:hint="cs"/>
          <w:rtl/>
          <w:lang w:bidi="ar-EG"/>
        </w:rPr>
        <w:t xml:space="preserve">        </w:t>
      </w:r>
      <w:r>
        <w:rPr>
          <w:rtl/>
          <w:lang w:bidi="ar-EG"/>
        </w:rPr>
        <w:t xml:space="preserve">عام 2008 وضعت اللجنة المشكلة بموجب أمر المحكمة العليا </w:t>
      </w:r>
      <w:r w:rsidR="00D62BA8">
        <w:rPr>
          <w:rtl/>
          <w:lang w:bidi="ar-EG"/>
        </w:rPr>
        <w:t>"</w:t>
      </w:r>
      <w:r>
        <w:rPr>
          <w:rtl/>
          <w:lang w:bidi="ar-EG"/>
        </w:rPr>
        <w:t>المبادئ التوجيهية الإجرائية لحماية النساء والأطفال ضحايا الجريمة والشهود</w:t>
      </w:r>
      <w:r w:rsidR="00D62BA8">
        <w:rPr>
          <w:rtl/>
          <w:lang w:bidi="ar-EG"/>
        </w:rPr>
        <w:t>"</w:t>
      </w:r>
      <w:r>
        <w:rPr>
          <w:rtl/>
          <w:lang w:bidi="ar-EG"/>
        </w:rPr>
        <w:t xml:space="preserve"> التي توفر طائفة من المبادئ التوجيهية لكفالة حصول الضحايا على العدل. والإطار القانوني الراهن يوفر حكما</w:t>
      </w:r>
      <w:r w:rsidR="00762AAB">
        <w:rPr>
          <w:rFonts w:hint="cs"/>
          <w:rtl/>
          <w:lang w:bidi="ar-EG"/>
        </w:rPr>
        <w:t>ً</w:t>
      </w:r>
      <w:r>
        <w:rPr>
          <w:rtl/>
          <w:lang w:bidi="ar-EG"/>
        </w:rPr>
        <w:t xml:space="preserve"> بحماية كرامة وخصوصية الضحايا بتيسير أجراء المحاكمة في جلسات سرية. وقد عدلت أنظمة المحاكم (محاكم المقاطعات والاستئناف والمحكمة العليا) وفقا</w:t>
      </w:r>
      <w:r w:rsidR="00762AAB">
        <w:rPr>
          <w:rFonts w:hint="cs"/>
          <w:rtl/>
          <w:lang w:bidi="ar-EG"/>
        </w:rPr>
        <w:t>ً</w:t>
      </w:r>
      <w:r>
        <w:rPr>
          <w:rtl/>
          <w:lang w:bidi="ar-EG"/>
        </w:rPr>
        <w:t xml:space="preserve"> لذلك.</w:t>
      </w:r>
    </w:p>
    <w:p w:rsidR="000B7434" w:rsidRDefault="000B7434" w:rsidP="008975D0">
      <w:pPr>
        <w:pStyle w:val="SingleTxtGA"/>
        <w:rPr>
          <w:rtl/>
          <w:lang w:bidi="ar-EG"/>
        </w:rPr>
      </w:pPr>
      <w:r>
        <w:rPr>
          <w:rtl/>
          <w:lang w:bidi="ar-EG"/>
        </w:rPr>
        <w:t>226-</w:t>
      </w:r>
      <w:r w:rsidR="008975D0">
        <w:rPr>
          <w:rFonts w:hint="cs"/>
          <w:rtl/>
          <w:lang w:bidi="ar-EG"/>
        </w:rPr>
        <w:tab/>
      </w:r>
      <w:r>
        <w:rPr>
          <w:rtl/>
          <w:lang w:bidi="ar-EG"/>
        </w:rPr>
        <w:t>وبغية القضاء على العنف ضد المرأة، يجري تنفيذ خطة العمل الوطنية لإعمال الاتفاقية بعدد من تدابير السياسة التي اعتمدتها الخطة ثلاثية السنوات المؤقتة، تتبعها الميزانية لتمكين المرأة المخصصة للسنة المالية 2008-2009 والتي تنفذها اللجنة الوطنية للمرأة، واللجنة الوطنية لحقوق الإنسان، بما في ذلك المقرر الوطني المعني بمكافحة الاتجار بالمرأة والطفل، بوصفها آليات الدولة الرئيسية. وهذه الآليات ملتزمة بحماية وتعزيز ما للمرأة من حقوق الإنسان عن طريق تناول الشكاوى بشأن مختلف المسائل المتعلقة بانتهاك حقوق المرأة وبالتعاون الوثيق وبالتنسيق مع المنظمات غير الحكومية العاملة في هذا المجال.</w:t>
      </w:r>
    </w:p>
    <w:p w:rsidR="000B7434" w:rsidRPr="0038094B" w:rsidRDefault="000B7434" w:rsidP="008975D0">
      <w:pPr>
        <w:pStyle w:val="H23GA"/>
        <w:rPr>
          <w:rtl/>
          <w:lang w:bidi="ar-EG"/>
        </w:rPr>
      </w:pPr>
      <w:r>
        <w:rPr>
          <w:rtl/>
          <w:lang w:bidi="ar-EG"/>
        </w:rPr>
        <w:tab/>
      </w:r>
      <w:r>
        <w:rPr>
          <w:rtl/>
          <w:lang w:bidi="ar-EG"/>
        </w:rPr>
        <w:tab/>
      </w:r>
      <w:r w:rsidRPr="0038094B">
        <w:rPr>
          <w:rtl/>
          <w:lang w:bidi="ar-EG"/>
        </w:rPr>
        <w:t xml:space="preserve">المرأة </w:t>
      </w:r>
      <w:r w:rsidR="008975D0">
        <w:rPr>
          <w:rFonts w:hint="cs"/>
          <w:rtl/>
          <w:lang w:bidi="ar-EG"/>
        </w:rPr>
        <w:t xml:space="preserve">والنزاع </w:t>
      </w:r>
      <w:r w:rsidRPr="0038094B">
        <w:rPr>
          <w:rtl/>
          <w:lang w:bidi="ar-EG"/>
        </w:rPr>
        <w:t>المسلح</w:t>
      </w:r>
    </w:p>
    <w:p w:rsidR="000B7434" w:rsidRDefault="000B7434" w:rsidP="008975D0">
      <w:pPr>
        <w:pStyle w:val="SingleTxtGA"/>
        <w:rPr>
          <w:rtl/>
          <w:lang w:bidi="ar-EG"/>
        </w:rPr>
      </w:pPr>
      <w:r>
        <w:rPr>
          <w:rtl/>
          <w:lang w:bidi="ar-EG"/>
        </w:rPr>
        <w:t>227-</w:t>
      </w:r>
      <w:r w:rsidR="008975D0">
        <w:rPr>
          <w:rFonts w:hint="cs"/>
          <w:rtl/>
          <w:lang w:bidi="ar-EG"/>
        </w:rPr>
        <w:tab/>
      </w:r>
      <w:r>
        <w:rPr>
          <w:rtl/>
          <w:lang w:bidi="ar-EG"/>
        </w:rPr>
        <w:t>يدرج الباب الرابع من الدستور المؤقت طائفة من الأحكام في إطار مسؤولية الدولة من أجل:</w:t>
      </w:r>
    </w:p>
    <w:p w:rsidR="000B7434" w:rsidRDefault="000B7434" w:rsidP="008975D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tl/>
          <w:lang w:bidi="ar-EG"/>
        </w:rPr>
      </w:pPr>
      <w:r>
        <w:rPr>
          <w:rFonts w:hint="cs"/>
          <w:rtl/>
          <w:lang w:bidi="ar-EG"/>
        </w:rPr>
        <w:t>•</w:t>
      </w:r>
      <w:r>
        <w:rPr>
          <w:rtl/>
          <w:lang w:bidi="ar-EG"/>
        </w:rPr>
        <w:tab/>
        <w:t xml:space="preserve">وضع ترتيبات لتقديم المناسب من الإغاثة والاعتراف وإعادة التأهيل لأُسر الأشخاص الذين توفوا والأشخاص الذين أصيبوا أثناء </w:t>
      </w:r>
      <w:r w:rsidR="008975D0">
        <w:rPr>
          <w:rFonts w:hint="cs"/>
          <w:rtl/>
          <w:lang w:bidi="ar-EG"/>
        </w:rPr>
        <w:t xml:space="preserve">النزاع </w:t>
      </w:r>
      <w:r>
        <w:rPr>
          <w:rtl/>
          <w:lang w:bidi="ar-EG"/>
        </w:rPr>
        <w:t>المسلح وأصبحوا معاقين وعاجزين؛</w:t>
      </w:r>
    </w:p>
    <w:p w:rsidR="000B7434" w:rsidRDefault="000B7434" w:rsidP="008975D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tl/>
          <w:lang w:bidi="ar-EG"/>
        </w:rPr>
      </w:pPr>
      <w:r>
        <w:rPr>
          <w:rFonts w:hint="cs"/>
          <w:rtl/>
          <w:lang w:bidi="ar-EG"/>
        </w:rPr>
        <w:t>•</w:t>
      </w:r>
      <w:r>
        <w:rPr>
          <w:rtl/>
          <w:lang w:bidi="ar-EG"/>
        </w:rPr>
        <w:tab/>
        <w:t xml:space="preserve">تقديم الإغاثة لأسر الضحايا، على أساس تقرير لجنة التحقيق المشكلة للتحقيق في حالات اختفاء الأشخاص أثناء مجرى </w:t>
      </w:r>
      <w:r w:rsidR="008975D0">
        <w:rPr>
          <w:rFonts w:hint="cs"/>
          <w:rtl/>
          <w:lang w:bidi="ar-EG"/>
        </w:rPr>
        <w:t>النزاع</w:t>
      </w:r>
      <w:r>
        <w:rPr>
          <w:rtl/>
          <w:lang w:bidi="ar-EG"/>
        </w:rPr>
        <w:t>؛</w:t>
      </w:r>
    </w:p>
    <w:p w:rsidR="000B7434"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tl/>
          <w:lang w:bidi="ar-EG"/>
        </w:rPr>
      </w:pPr>
      <w:r>
        <w:rPr>
          <w:rFonts w:hint="cs"/>
          <w:rtl/>
          <w:lang w:bidi="ar-EG"/>
        </w:rPr>
        <w:t>•</w:t>
      </w:r>
      <w:r>
        <w:rPr>
          <w:rtl/>
          <w:lang w:bidi="ar-EG"/>
        </w:rPr>
        <w:tab/>
        <w:t>إدارة برامج خاصة لإعادة تأهيل المعاقين؛</w:t>
      </w:r>
    </w:p>
    <w:p w:rsidR="000B7434" w:rsidRDefault="000B7434" w:rsidP="008975D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tl/>
          <w:lang w:bidi="ar-EG"/>
        </w:rPr>
      </w:pPr>
      <w:r>
        <w:rPr>
          <w:rFonts w:hint="cs"/>
          <w:rtl/>
          <w:lang w:bidi="ar-EG"/>
        </w:rPr>
        <w:t>•</w:t>
      </w:r>
      <w:r>
        <w:rPr>
          <w:rtl/>
          <w:lang w:bidi="ar-EG"/>
        </w:rPr>
        <w:tab/>
        <w:t xml:space="preserve">تقديم التعويض عن الممتلكات الخاصة والعامة المدمرة وإعادة بناء الهياكل الأساسية التي دمرت خلال </w:t>
      </w:r>
      <w:r w:rsidR="008975D0">
        <w:rPr>
          <w:rFonts w:hint="cs"/>
          <w:rtl/>
          <w:lang w:bidi="ar-EG"/>
        </w:rPr>
        <w:t>النزاع</w:t>
      </w:r>
      <w:r>
        <w:rPr>
          <w:rtl/>
          <w:lang w:bidi="ar-EG"/>
        </w:rPr>
        <w:t>؛</w:t>
      </w:r>
    </w:p>
    <w:p w:rsidR="000B7434" w:rsidRDefault="000B7434" w:rsidP="008975D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tl/>
          <w:lang w:bidi="ar-EG"/>
        </w:rPr>
      </w:pPr>
      <w:r>
        <w:rPr>
          <w:rFonts w:hint="cs"/>
          <w:rtl/>
          <w:lang w:bidi="ar-EG"/>
        </w:rPr>
        <w:t>•</w:t>
      </w:r>
      <w:r>
        <w:rPr>
          <w:rtl/>
          <w:lang w:bidi="ar-EG"/>
        </w:rPr>
        <w:tab/>
        <w:t xml:space="preserve">تشكيل لجنة رفيعة المستوى للحقيقة والمصالحة تحقق في الوقائع المتعلقة بالانتهاك الجسيم لحقوق الإنسان وفي الجرائم ضد الإنسانية المرتكبة في سياق </w:t>
      </w:r>
      <w:r w:rsidR="008975D0">
        <w:rPr>
          <w:rFonts w:hint="cs"/>
          <w:rtl/>
          <w:lang w:bidi="ar-EG"/>
        </w:rPr>
        <w:t>النزاع</w:t>
      </w:r>
      <w:r>
        <w:rPr>
          <w:rtl/>
          <w:lang w:bidi="ar-EG"/>
        </w:rPr>
        <w:t>، وإيجاد مناخ من المصالحة في المجتمع؛</w:t>
      </w:r>
    </w:p>
    <w:p w:rsidR="000B7434" w:rsidRDefault="000B7434" w:rsidP="008975D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tl/>
          <w:lang w:bidi="ar-EG"/>
        </w:rPr>
      </w:pPr>
      <w:r>
        <w:rPr>
          <w:rFonts w:hint="cs"/>
          <w:rtl/>
          <w:lang w:bidi="ar-EG"/>
        </w:rPr>
        <w:t>•</w:t>
      </w:r>
      <w:r>
        <w:rPr>
          <w:rtl/>
          <w:lang w:bidi="ar-EG"/>
        </w:rPr>
        <w:tab/>
        <w:t>والأهم من ذلك أن المبادئ الإيعازية المستندة إلى التمييز الإيجابي توفر أحكاما</w:t>
      </w:r>
      <w:r w:rsidR="008975D0">
        <w:rPr>
          <w:rFonts w:hint="cs"/>
          <w:rtl/>
          <w:lang w:bidi="ar-EG"/>
        </w:rPr>
        <w:t>ً</w:t>
      </w:r>
      <w:r>
        <w:rPr>
          <w:rtl/>
          <w:lang w:bidi="ar-EG"/>
        </w:rPr>
        <w:t xml:space="preserve"> خاصة لصالح النساء ضحايا</w:t>
      </w:r>
      <w:r w:rsidR="008975D0">
        <w:rPr>
          <w:rFonts w:hint="cs"/>
          <w:rtl/>
          <w:lang w:bidi="ar-EG"/>
        </w:rPr>
        <w:t xml:space="preserve"> النزاع</w:t>
      </w:r>
      <w:r>
        <w:rPr>
          <w:rtl/>
          <w:lang w:bidi="ar-EG"/>
        </w:rPr>
        <w:t>.</w:t>
      </w:r>
    </w:p>
    <w:p w:rsidR="000B7434" w:rsidRDefault="000B7434" w:rsidP="008975D0">
      <w:pPr>
        <w:pStyle w:val="SingleTxtGA"/>
        <w:rPr>
          <w:rtl/>
          <w:lang w:bidi="ar-EG"/>
        </w:rPr>
      </w:pPr>
      <w:r>
        <w:rPr>
          <w:rtl/>
          <w:lang w:bidi="ar-EG"/>
        </w:rPr>
        <w:t>228-</w:t>
      </w:r>
      <w:r w:rsidR="008975D0">
        <w:rPr>
          <w:rFonts w:hint="cs"/>
          <w:rtl/>
          <w:lang w:bidi="ar-EG"/>
        </w:rPr>
        <w:tab/>
      </w:r>
      <w:r>
        <w:rPr>
          <w:rtl/>
          <w:lang w:bidi="ar-EG"/>
        </w:rPr>
        <w:t xml:space="preserve">وتدفع الخطةَ ثلاثية السنوات المؤقتة أهدافٌ طويلةُ الأجل لإعادة التأهيل الاجتماعي للنساء المتأثرات </w:t>
      </w:r>
      <w:r w:rsidR="008975D0">
        <w:rPr>
          <w:rFonts w:hint="cs"/>
          <w:rtl/>
          <w:lang w:bidi="ar-EG"/>
        </w:rPr>
        <w:t xml:space="preserve">بالنزاع </w:t>
      </w:r>
      <w:r>
        <w:rPr>
          <w:rtl/>
          <w:lang w:bidi="ar-EG"/>
        </w:rPr>
        <w:t xml:space="preserve">والنازحات ولكفالة المشاركة الفعلية للمرأة في حل </w:t>
      </w:r>
      <w:r w:rsidR="008975D0">
        <w:rPr>
          <w:rFonts w:hint="cs"/>
          <w:rtl/>
          <w:lang w:bidi="ar-EG"/>
        </w:rPr>
        <w:t xml:space="preserve">النزاع </w:t>
      </w:r>
      <w:r>
        <w:rPr>
          <w:rtl/>
          <w:lang w:bidi="ar-EG"/>
        </w:rPr>
        <w:t>وفي العملية السلمية. وتضع الخطة الأهداف الكمية التالية لتوزيع الإغاثة على جميع الأرامل والنساء غير المتزوجات المتأثرات</w:t>
      </w:r>
      <w:r w:rsidR="008975D0">
        <w:rPr>
          <w:rFonts w:hint="cs"/>
          <w:rtl/>
          <w:lang w:bidi="ar-EG"/>
        </w:rPr>
        <w:t xml:space="preserve"> بالنزاع</w:t>
      </w:r>
      <w:r>
        <w:rPr>
          <w:rtl/>
          <w:lang w:bidi="ar-EG"/>
        </w:rPr>
        <w:t>:</w:t>
      </w:r>
    </w:p>
    <w:p w:rsidR="000B7434" w:rsidRPr="004A5545" w:rsidRDefault="000B7434" w:rsidP="008975D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4A5545">
        <w:rPr>
          <w:rFonts w:hint="cs"/>
          <w:w w:val="100"/>
          <w:kern w:val="0"/>
          <w:rtl/>
          <w:lang w:bidi="ar-EG"/>
        </w:rPr>
        <w:t>•</w:t>
      </w:r>
      <w:r w:rsidRPr="004A5545">
        <w:rPr>
          <w:w w:val="100"/>
          <w:kern w:val="0"/>
          <w:rtl/>
          <w:lang w:bidi="ar-EG"/>
        </w:rPr>
        <w:tab/>
        <w:t xml:space="preserve">حماية وإعادة تأهيل النساء المتأثرات </w:t>
      </w:r>
      <w:r w:rsidR="008975D0" w:rsidRPr="004A5545">
        <w:rPr>
          <w:rFonts w:hint="cs"/>
          <w:w w:val="100"/>
          <w:kern w:val="0"/>
          <w:rtl/>
          <w:lang w:bidi="ar-EG"/>
        </w:rPr>
        <w:t>بالنزاع</w:t>
      </w:r>
      <w:r w:rsidRPr="004A5545">
        <w:rPr>
          <w:w w:val="100"/>
          <w:kern w:val="0"/>
          <w:rtl/>
          <w:lang w:bidi="ar-EG"/>
        </w:rPr>
        <w:t>؛</w:t>
      </w:r>
    </w:p>
    <w:p w:rsidR="000B7434" w:rsidRPr="004A5545" w:rsidRDefault="000B7434" w:rsidP="008975D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4A5545">
        <w:rPr>
          <w:rFonts w:hint="cs"/>
          <w:w w:val="100"/>
          <w:kern w:val="0"/>
          <w:rtl/>
          <w:lang w:bidi="ar-EG"/>
        </w:rPr>
        <w:t>•</w:t>
      </w:r>
      <w:r w:rsidRPr="004A5545">
        <w:rPr>
          <w:w w:val="100"/>
          <w:kern w:val="0"/>
          <w:rtl/>
          <w:lang w:bidi="ar-EG"/>
        </w:rPr>
        <w:tab/>
        <w:t xml:space="preserve">تشغيل برنامج خاص لحماية حقوق النساء ضحايا </w:t>
      </w:r>
      <w:r w:rsidR="008975D0" w:rsidRPr="004A5545">
        <w:rPr>
          <w:rFonts w:hint="cs"/>
          <w:w w:val="100"/>
          <w:kern w:val="0"/>
          <w:rtl/>
          <w:lang w:bidi="ar-EG"/>
        </w:rPr>
        <w:t xml:space="preserve">النزاع </w:t>
      </w:r>
      <w:r w:rsidRPr="004A5545">
        <w:rPr>
          <w:w w:val="100"/>
          <w:kern w:val="0"/>
          <w:rtl/>
          <w:lang w:bidi="ar-EG"/>
        </w:rPr>
        <w:t>والنازحات داخليا</w:t>
      </w:r>
      <w:r w:rsidR="008975D0" w:rsidRPr="004A5545">
        <w:rPr>
          <w:rFonts w:hint="cs"/>
          <w:w w:val="100"/>
          <w:kern w:val="0"/>
          <w:rtl/>
          <w:lang w:bidi="ar-EG"/>
        </w:rPr>
        <w:t>ً</w:t>
      </w:r>
      <w:r w:rsidRPr="004A5545">
        <w:rPr>
          <w:w w:val="100"/>
          <w:kern w:val="0"/>
          <w:rtl/>
          <w:lang w:bidi="ar-EG"/>
        </w:rPr>
        <w:t xml:space="preserve"> وإعادة تأه</w:t>
      </w:r>
      <w:r w:rsidRPr="004A5545">
        <w:rPr>
          <w:rFonts w:hint="cs"/>
          <w:w w:val="100"/>
          <w:kern w:val="0"/>
          <w:rtl/>
          <w:lang w:bidi="ar-EG"/>
        </w:rPr>
        <w:t>ي</w:t>
      </w:r>
      <w:r w:rsidRPr="004A5545">
        <w:rPr>
          <w:w w:val="100"/>
          <w:kern w:val="0"/>
          <w:rtl/>
          <w:lang w:bidi="ar-EG"/>
        </w:rPr>
        <w:t>لهن؛</w:t>
      </w:r>
    </w:p>
    <w:p w:rsidR="000B7434" w:rsidRPr="004A5545" w:rsidRDefault="000B7434" w:rsidP="008975D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4A5545">
        <w:rPr>
          <w:rFonts w:hint="cs"/>
          <w:w w:val="100"/>
          <w:kern w:val="0"/>
          <w:rtl/>
          <w:lang w:bidi="ar-EG"/>
        </w:rPr>
        <w:t>•</w:t>
      </w:r>
      <w:r w:rsidRPr="004A5545">
        <w:rPr>
          <w:w w:val="100"/>
          <w:kern w:val="0"/>
          <w:rtl/>
          <w:lang w:bidi="ar-EG"/>
        </w:rPr>
        <w:tab/>
        <w:t xml:space="preserve">كفالة المشاركة الفعلية والمفيدة للمرأة في حل </w:t>
      </w:r>
      <w:r w:rsidR="008975D0" w:rsidRPr="004A5545">
        <w:rPr>
          <w:rFonts w:hint="cs"/>
          <w:w w:val="100"/>
          <w:kern w:val="0"/>
          <w:rtl/>
          <w:lang w:bidi="ar-EG"/>
        </w:rPr>
        <w:t xml:space="preserve">النزاع </w:t>
      </w:r>
      <w:r w:rsidRPr="004A5545">
        <w:rPr>
          <w:w w:val="100"/>
          <w:kern w:val="0"/>
          <w:rtl/>
          <w:lang w:bidi="ar-EG"/>
        </w:rPr>
        <w:t>وبناء السلام؛</w:t>
      </w:r>
    </w:p>
    <w:p w:rsidR="000B7434" w:rsidRPr="004A5545" w:rsidRDefault="000B7434" w:rsidP="008975D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4A5545">
        <w:rPr>
          <w:rFonts w:hint="cs"/>
          <w:w w:val="100"/>
          <w:kern w:val="0"/>
          <w:rtl/>
          <w:lang w:bidi="ar-EG"/>
        </w:rPr>
        <w:t>•</w:t>
      </w:r>
      <w:r w:rsidRPr="004A5545">
        <w:rPr>
          <w:w w:val="100"/>
          <w:kern w:val="0"/>
          <w:rtl/>
          <w:lang w:bidi="ar-EG"/>
        </w:rPr>
        <w:tab/>
        <w:t xml:space="preserve">كفالة إعادة التأهيل الاجتماعي للنساء المتأثرات </w:t>
      </w:r>
      <w:r w:rsidR="008975D0" w:rsidRPr="004A5545">
        <w:rPr>
          <w:rFonts w:hint="cs"/>
          <w:w w:val="100"/>
          <w:kern w:val="0"/>
          <w:rtl/>
          <w:lang w:bidi="ar-EG"/>
        </w:rPr>
        <w:t xml:space="preserve">بالنزاع </w:t>
      </w:r>
      <w:r w:rsidRPr="004A5545">
        <w:rPr>
          <w:w w:val="100"/>
          <w:kern w:val="0"/>
          <w:rtl/>
          <w:lang w:bidi="ar-EG"/>
        </w:rPr>
        <w:t xml:space="preserve">والنازحات والمشاركة الفعلية للمرأة في حل </w:t>
      </w:r>
      <w:r w:rsidR="008975D0" w:rsidRPr="004A5545">
        <w:rPr>
          <w:rFonts w:hint="cs"/>
          <w:w w:val="100"/>
          <w:kern w:val="0"/>
          <w:rtl/>
          <w:lang w:bidi="ar-EG"/>
        </w:rPr>
        <w:t xml:space="preserve">النزاع </w:t>
      </w:r>
      <w:r w:rsidRPr="004A5545">
        <w:rPr>
          <w:w w:val="100"/>
          <w:kern w:val="0"/>
          <w:rtl/>
          <w:lang w:bidi="ar-EG"/>
        </w:rPr>
        <w:t>وفي عملية السلام؛</w:t>
      </w:r>
    </w:p>
    <w:p w:rsidR="000B7434" w:rsidRPr="004A5545" w:rsidRDefault="000B7434" w:rsidP="008975D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4A5545">
        <w:rPr>
          <w:rFonts w:hint="cs"/>
          <w:w w:val="100"/>
          <w:kern w:val="0"/>
          <w:rtl/>
          <w:lang w:bidi="ar-EG"/>
        </w:rPr>
        <w:t>•</w:t>
      </w:r>
      <w:r w:rsidRPr="004A5545">
        <w:rPr>
          <w:w w:val="100"/>
          <w:kern w:val="0"/>
          <w:rtl/>
          <w:lang w:bidi="ar-EG"/>
        </w:rPr>
        <w:tab/>
        <w:t xml:space="preserve">إعداد خطة عمل وطنية لإعادة التأهيل الاجتماعي للنساء المتأثرات </w:t>
      </w:r>
      <w:r w:rsidR="008975D0" w:rsidRPr="004A5545">
        <w:rPr>
          <w:rFonts w:hint="cs"/>
          <w:w w:val="100"/>
          <w:kern w:val="0"/>
          <w:rtl/>
          <w:lang w:bidi="ar-EG"/>
        </w:rPr>
        <w:t xml:space="preserve">بالنزاع </w:t>
      </w:r>
      <w:r w:rsidRPr="004A5545">
        <w:rPr>
          <w:w w:val="100"/>
          <w:kern w:val="0"/>
          <w:rtl/>
          <w:lang w:bidi="ar-EG"/>
        </w:rPr>
        <w:t>والشروع في عملية تيسير عودة مأمونة وكريمة للنساء اللواتي اضطررن إلى النزوح؛</w:t>
      </w:r>
    </w:p>
    <w:p w:rsidR="000B7434" w:rsidRPr="004A5545" w:rsidRDefault="000B7434" w:rsidP="008975D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4A5545">
        <w:rPr>
          <w:rFonts w:hint="cs"/>
          <w:w w:val="100"/>
          <w:kern w:val="0"/>
          <w:rtl/>
          <w:lang w:bidi="ar-EG"/>
        </w:rPr>
        <w:t>•</w:t>
      </w:r>
      <w:r w:rsidRPr="004A5545">
        <w:rPr>
          <w:w w:val="100"/>
          <w:kern w:val="0"/>
          <w:rtl/>
          <w:lang w:bidi="ar-EG"/>
        </w:rPr>
        <w:tab/>
        <w:t xml:space="preserve">تقديم الخدمات والتسهيلات مثل التعليم المجاني، والتدريب على المهارات، والخدمات الصحية الأساسية المجانية، والمشورة النفسانية الاجتماعية، وسبل الوصول الميسر </w:t>
      </w:r>
      <w:r w:rsidRPr="004A5545">
        <w:rPr>
          <w:rFonts w:hint="cs"/>
          <w:w w:val="100"/>
          <w:kern w:val="0"/>
          <w:rtl/>
          <w:lang w:bidi="ar-EG"/>
        </w:rPr>
        <w:t>إ</w:t>
      </w:r>
      <w:r w:rsidRPr="004A5545">
        <w:rPr>
          <w:w w:val="100"/>
          <w:kern w:val="0"/>
          <w:rtl/>
          <w:lang w:bidi="ar-EG"/>
        </w:rPr>
        <w:t>لى</w:t>
      </w:r>
      <w:r w:rsidR="008975D0" w:rsidRPr="004A5545">
        <w:rPr>
          <w:rFonts w:hint="cs"/>
          <w:w w:val="100"/>
          <w:kern w:val="0"/>
          <w:rtl/>
          <w:lang w:bidi="ar-EG"/>
        </w:rPr>
        <w:t xml:space="preserve"> </w:t>
      </w:r>
      <w:r w:rsidRPr="004A5545">
        <w:rPr>
          <w:w w:val="100"/>
          <w:kern w:val="0"/>
          <w:rtl/>
          <w:lang w:bidi="ar-EG"/>
        </w:rPr>
        <w:t xml:space="preserve">الاستثمار المالي والمساعدة القانونية للنساء المتأثرات </w:t>
      </w:r>
      <w:r w:rsidR="008975D0" w:rsidRPr="004A5545">
        <w:rPr>
          <w:rFonts w:hint="cs"/>
          <w:w w:val="100"/>
          <w:kern w:val="0"/>
          <w:rtl/>
          <w:lang w:bidi="ar-EG"/>
        </w:rPr>
        <w:t>بالنزاع</w:t>
      </w:r>
      <w:r w:rsidRPr="004A5545">
        <w:rPr>
          <w:w w:val="100"/>
          <w:kern w:val="0"/>
          <w:rtl/>
          <w:lang w:bidi="ar-EG"/>
        </w:rPr>
        <w:t>؛</w:t>
      </w:r>
    </w:p>
    <w:p w:rsidR="000B7434" w:rsidRPr="004A5545" w:rsidRDefault="000B7434" w:rsidP="008975D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4A5545">
        <w:rPr>
          <w:rFonts w:hint="cs"/>
          <w:w w:val="100"/>
          <w:kern w:val="0"/>
          <w:rtl/>
          <w:lang w:bidi="ar-EG"/>
        </w:rPr>
        <w:t>•</w:t>
      </w:r>
      <w:r w:rsidRPr="004A5545">
        <w:rPr>
          <w:w w:val="100"/>
          <w:kern w:val="0"/>
          <w:rtl/>
          <w:lang w:bidi="ar-EG"/>
        </w:rPr>
        <w:tab/>
        <w:t xml:space="preserve">التحقيق في حالات الاستغلال الجنسي وأي نوع من العنف ضد المرأة أو التعدي على حقوقها أثناء </w:t>
      </w:r>
      <w:r w:rsidR="008975D0" w:rsidRPr="004A5545">
        <w:rPr>
          <w:rFonts w:hint="cs"/>
          <w:w w:val="100"/>
          <w:kern w:val="0"/>
          <w:rtl/>
          <w:lang w:bidi="ar-EG"/>
        </w:rPr>
        <w:t xml:space="preserve">النزاع </w:t>
      </w:r>
      <w:r w:rsidRPr="004A5545">
        <w:rPr>
          <w:w w:val="100"/>
          <w:kern w:val="0"/>
          <w:rtl/>
          <w:lang w:bidi="ar-EG"/>
        </w:rPr>
        <w:t>وتقديم مرتكبي هذه الأعمال للعدالة؛</w:t>
      </w:r>
    </w:p>
    <w:p w:rsidR="000B7434" w:rsidRPr="004A5545" w:rsidRDefault="000B7434" w:rsidP="008975D0">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4A5545">
        <w:rPr>
          <w:rFonts w:hint="cs"/>
          <w:w w:val="100"/>
          <w:kern w:val="0"/>
          <w:rtl/>
          <w:lang w:bidi="ar-EG"/>
        </w:rPr>
        <w:t>•</w:t>
      </w:r>
      <w:r w:rsidRPr="004A5545">
        <w:rPr>
          <w:w w:val="100"/>
          <w:kern w:val="0"/>
          <w:rtl/>
          <w:lang w:bidi="ar-EG"/>
        </w:rPr>
        <w:tab/>
        <w:t>وحرصا</w:t>
      </w:r>
      <w:r w:rsidR="008975D0" w:rsidRPr="004A5545">
        <w:rPr>
          <w:rFonts w:hint="cs"/>
          <w:w w:val="100"/>
          <w:kern w:val="0"/>
          <w:rtl/>
          <w:lang w:bidi="ar-EG"/>
        </w:rPr>
        <w:t>ً</w:t>
      </w:r>
      <w:r w:rsidRPr="004A5545">
        <w:rPr>
          <w:w w:val="100"/>
          <w:kern w:val="0"/>
          <w:rtl/>
          <w:lang w:bidi="ar-EG"/>
        </w:rPr>
        <w:t xml:space="preserve"> على جعل تنفيذ اتفاق السلام الشامل مراعيا</w:t>
      </w:r>
      <w:r w:rsidR="008975D0" w:rsidRPr="004A5545">
        <w:rPr>
          <w:rFonts w:hint="cs"/>
          <w:w w:val="100"/>
          <w:kern w:val="0"/>
          <w:rtl/>
          <w:lang w:bidi="ar-EG"/>
        </w:rPr>
        <w:t>ً</w:t>
      </w:r>
      <w:r w:rsidRPr="004A5545">
        <w:rPr>
          <w:w w:val="100"/>
          <w:kern w:val="0"/>
          <w:rtl/>
          <w:lang w:bidi="ar-EG"/>
        </w:rPr>
        <w:t xml:space="preserve"> للمرأة، سوف يشرع</w:t>
      </w:r>
      <w:r w:rsidR="004A5545">
        <w:rPr>
          <w:rFonts w:hint="cs"/>
          <w:w w:val="100"/>
          <w:kern w:val="0"/>
          <w:rtl/>
          <w:lang w:bidi="ar-EG"/>
        </w:rPr>
        <w:t xml:space="preserve">        </w:t>
      </w:r>
      <w:r w:rsidRPr="004A5545">
        <w:rPr>
          <w:w w:val="100"/>
          <w:kern w:val="0"/>
          <w:rtl/>
          <w:lang w:bidi="ar-EG"/>
        </w:rPr>
        <w:t xml:space="preserve"> في</w:t>
      </w:r>
      <w:r w:rsidR="008975D0" w:rsidRPr="004A5545">
        <w:rPr>
          <w:rFonts w:hint="cs"/>
          <w:w w:val="100"/>
          <w:kern w:val="0"/>
          <w:rtl/>
          <w:lang w:bidi="ar-EG"/>
        </w:rPr>
        <w:t xml:space="preserve"> </w:t>
      </w:r>
      <w:r w:rsidRPr="004A5545">
        <w:rPr>
          <w:w w:val="100"/>
          <w:kern w:val="0"/>
          <w:rtl/>
          <w:lang w:bidi="ar-EG"/>
        </w:rPr>
        <w:t>برنامج دعوة وتتخذ تدابير لكفالة تمثيل المرأة بنسبة 33 في المائة على الصعيد الوطني وبنسبة 50 في المائة على الصعيد المحلي في مجالس السلام ولجان السلام. وفي هذا الخصوص، اعتمدت الحكومة برنامجَ تمكين للمرأة بعناصر مختلفة، أهمها برامج بناء القدرات.</w:t>
      </w:r>
    </w:p>
    <w:p w:rsidR="000B7434" w:rsidRDefault="000B7434" w:rsidP="008975D0">
      <w:pPr>
        <w:pStyle w:val="SingleTxtGA"/>
        <w:rPr>
          <w:rtl/>
          <w:lang w:bidi="ar-EG"/>
        </w:rPr>
      </w:pPr>
      <w:r>
        <w:rPr>
          <w:rtl/>
          <w:lang w:bidi="ar-EG"/>
        </w:rPr>
        <w:t>229-</w:t>
      </w:r>
      <w:r w:rsidR="008975D0">
        <w:rPr>
          <w:rFonts w:hint="cs"/>
          <w:rtl/>
          <w:lang w:bidi="ar-EG"/>
        </w:rPr>
        <w:tab/>
      </w:r>
      <w:r>
        <w:rPr>
          <w:rtl/>
          <w:lang w:bidi="ar-EG"/>
        </w:rPr>
        <w:t xml:space="preserve">ونتيجة </w:t>
      </w:r>
      <w:r w:rsidR="008975D0">
        <w:rPr>
          <w:rFonts w:hint="cs"/>
          <w:rtl/>
          <w:lang w:bidi="ar-EG"/>
        </w:rPr>
        <w:t>للنزاع</w:t>
      </w:r>
      <w:r>
        <w:rPr>
          <w:rtl/>
          <w:lang w:bidi="ar-EG"/>
        </w:rPr>
        <w:t>، تأثر بصورة ضارة الوصول إلى المرافق الصحية في المناطق الريفية النائية. وتتحمل المرأة التي تعاني من مشاكل في الصحة التناسلية، بما في ذلك صعوبات في الحمل أو مضاعفات بسبب الإجهاض، آلاما</w:t>
      </w:r>
      <w:r w:rsidR="00762AAB">
        <w:rPr>
          <w:rFonts w:hint="cs"/>
          <w:rtl/>
          <w:lang w:bidi="ar-EG"/>
        </w:rPr>
        <w:t>ً</w:t>
      </w:r>
      <w:r>
        <w:rPr>
          <w:rtl/>
          <w:lang w:bidi="ar-EG"/>
        </w:rPr>
        <w:t xml:space="preserve"> شديدة ناجمة عن انقطاع خدمات النقل. كما أنّ المشاكل المتصلة بالحمل والوضع والنزيف (وهو من عوارض الإجهاض) تتطلب اهتماما</w:t>
      </w:r>
      <w:r w:rsidR="008975D0">
        <w:rPr>
          <w:rFonts w:hint="cs"/>
          <w:rtl/>
          <w:lang w:bidi="ar-EG"/>
        </w:rPr>
        <w:t>ً</w:t>
      </w:r>
      <w:r>
        <w:rPr>
          <w:rtl/>
          <w:lang w:bidi="ar-EG"/>
        </w:rPr>
        <w:t xml:space="preserve"> بصورة طارئة. وقد أُبلغ عن حدوث عدد من حالات الوضع غير المأمون ووفيات النفاس بسبب عدم وجود معالجة في الوقت المناسب أثناء الإضرابات والحصار الذي فرض خلال</w:t>
      </w:r>
      <w:r w:rsidR="008975D0">
        <w:rPr>
          <w:rFonts w:hint="cs"/>
          <w:rtl/>
          <w:lang w:bidi="ar-EG"/>
        </w:rPr>
        <w:t xml:space="preserve"> النزاع</w:t>
      </w:r>
      <w:r>
        <w:rPr>
          <w:rtl/>
          <w:lang w:bidi="ar-EG"/>
        </w:rPr>
        <w:t>. ويقدم الجدول التالي لمحة عن نسبة الحاصلات على العناية اللاحقة للوضع وعن نسبة اللواتي اعتمدن تدابير تخطيط الأسرة أثناء</w:t>
      </w:r>
      <w:r w:rsidR="008975D0">
        <w:rPr>
          <w:rFonts w:hint="cs"/>
          <w:rtl/>
          <w:lang w:bidi="ar-EG"/>
        </w:rPr>
        <w:t xml:space="preserve"> النزاع</w:t>
      </w:r>
      <w:r>
        <w:rPr>
          <w:rtl/>
          <w:lang w:bidi="ar-EG"/>
        </w:rPr>
        <w:t>.</w:t>
      </w:r>
    </w:p>
    <w:p w:rsidR="008975D0" w:rsidRDefault="000B7434" w:rsidP="008975D0">
      <w:pPr>
        <w:pStyle w:val="SingleTxtGA"/>
        <w:spacing w:after="0"/>
        <w:rPr>
          <w:rFonts w:hint="cs"/>
          <w:rtl/>
          <w:lang w:bidi="ar-EG"/>
        </w:rPr>
      </w:pPr>
      <w:r w:rsidRPr="00D267F4">
        <w:rPr>
          <w:rtl/>
          <w:lang w:bidi="ar-EG"/>
        </w:rPr>
        <w:t>الجدول 26</w:t>
      </w:r>
    </w:p>
    <w:p w:rsidR="000B7434" w:rsidRPr="008975D0" w:rsidRDefault="000B7434" w:rsidP="008975D0">
      <w:pPr>
        <w:pStyle w:val="SingleTxtGA"/>
        <w:rPr>
          <w:b/>
          <w:bCs/>
          <w:rtl/>
          <w:lang w:bidi="ar-EG"/>
        </w:rPr>
      </w:pPr>
      <w:r w:rsidRPr="008975D0">
        <w:rPr>
          <w:b/>
          <w:bCs/>
          <w:rtl/>
          <w:lang w:bidi="ar-EG"/>
        </w:rPr>
        <w:t xml:space="preserve">مؤشرات الحصول على الخدمات أثناء </w:t>
      </w:r>
      <w:r w:rsidR="008975D0">
        <w:rPr>
          <w:rFonts w:hint="cs"/>
          <w:b/>
          <w:bCs/>
          <w:rtl/>
          <w:lang w:bidi="ar-EG"/>
        </w:rPr>
        <w:t xml:space="preserve">النزاع </w:t>
      </w:r>
      <w:r w:rsidRPr="008975D0">
        <w:rPr>
          <w:b/>
          <w:bCs/>
          <w:rtl/>
          <w:lang w:bidi="ar-EG"/>
        </w:rPr>
        <w:t>المسلح</w:t>
      </w:r>
    </w:p>
    <w:tbl>
      <w:tblPr>
        <w:bidiVisual/>
        <w:tblW w:w="7125" w:type="dxa"/>
        <w:tblInd w:w="1267" w:type="dxa"/>
        <w:tblLayout w:type="fixed"/>
        <w:tblCellMar>
          <w:left w:w="0" w:type="dxa"/>
          <w:right w:w="0" w:type="dxa"/>
        </w:tblCellMar>
        <w:tblLook w:val="0000" w:firstRow="0" w:lastRow="0" w:firstColumn="0" w:lastColumn="0" w:noHBand="0" w:noVBand="0"/>
      </w:tblPr>
      <w:tblGrid>
        <w:gridCol w:w="4969"/>
        <w:gridCol w:w="966"/>
        <w:gridCol w:w="1190"/>
      </w:tblGrid>
      <w:tr w:rsidR="000B7434" w:rsidRPr="00CE78F1" w:rsidTr="008975D0">
        <w:tblPrEx>
          <w:tblCellMar>
            <w:top w:w="0" w:type="dxa"/>
            <w:bottom w:w="0" w:type="dxa"/>
          </w:tblCellMar>
        </w:tblPrEx>
        <w:trPr>
          <w:cantSplit/>
          <w:tblHeader/>
        </w:trPr>
        <w:tc>
          <w:tcPr>
            <w:tcW w:w="4969" w:type="dxa"/>
            <w:tcBorders>
              <w:top w:val="single" w:sz="4" w:space="0" w:color="auto"/>
              <w:bottom w:val="single" w:sz="12" w:space="0" w:color="auto"/>
            </w:tcBorders>
            <w:vAlign w:val="bottom"/>
          </w:tcPr>
          <w:p w:rsidR="000B7434" w:rsidRPr="008975D0" w:rsidRDefault="000B7434" w:rsidP="008975D0">
            <w:pPr>
              <w:tabs>
                <w:tab w:val="left" w:pos="288"/>
                <w:tab w:val="left" w:pos="576"/>
                <w:tab w:val="left" w:pos="864"/>
                <w:tab w:val="left" w:pos="1152"/>
              </w:tabs>
              <w:spacing w:before="60" w:after="60" w:line="280" w:lineRule="exact"/>
              <w:ind w:left="57"/>
              <w:rPr>
                <w:i/>
                <w:iCs/>
                <w:sz w:val="18"/>
                <w:szCs w:val="26"/>
                <w:lang w:bidi="ar-EG"/>
              </w:rPr>
            </w:pPr>
            <w:r w:rsidRPr="008975D0">
              <w:rPr>
                <w:i/>
                <w:iCs/>
                <w:sz w:val="18"/>
                <w:szCs w:val="26"/>
                <w:rtl/>
                <w:lang w:bidi="ar-EG"/>
              </w:rPr>
              <w:t xml:space="preserve">مؤشرات الحصول على الخدمات أثناء </w:t>
            </w:r>
            <w:r w:rsidR="008975D0">
              <w:rPr>
                <w:rFonts w:hint="cs"/>
                <w:i/>
                <w:iCs/>
                <w:sz w:val="18"/>
                <w:szCs w:val="26"/>
                <w:rtl/>
                <w:lang w:bidi="ar-EG"/>
              </w:rPr>
              <w:t xml:space="preserve">النزاع </w:t>
            </w:r>
            <w:r w:rsidRPr="008975D0">
              <w:rPr>
                <w:i/>
                <w:iCs/>
                <w:sz w:val="18"/>
                <w:szCs w:val="26"/>
                <w:rtl/>
                <w:lang w:bidi="ar-EG"/>
              </w:rPr>
              <w:t>المسلح</w:t>
            </w:r>
          </w:p>
        </w:tc>
        <w:tc>
          <w:tcPr>
            <w:tcW w:w="966" w:type="dxa"/>
            <w:tcBorders>
              <w:top w:val="single" w:sz="4" w:space="0" w:color="auto"/>
              <w:bottom w:val="single" w:sz="12" w:space="0" w:color="auto"/>
            </w:tcBorders>
            <w:vAlign w:val="bottom"/>
          </w:tcPr>
          <w:p w:rsidR="000B7434" w:rsidRPr="008975D0" w:rsidRDefault="000B7434" w:rsidP="008975D0">
            <w:pPr>
              <w:tabs>
                <w:tab w:val="left" w:pos="288"/>
                <w:tab w:val="left" w:pos="576"/>
                <w:tab w:val="left" w:pos="864"/>
                <w:tab w:val="left" w:pos="1152"/>
              </w:tabs>
              <w:spacing w:before="60" w:after="60" w:line="280" w:lineRule="exact"/>
              <w:ind w:left="57"/>
              <w:rPr>
                <w:i/>
                <w:iCs/>
                <w:sz w:val="18"/>
                <w:szCs w:val="26"/>
                <w:lang w:bidi="ar-EG"/>
              </w:rPr>
            </w:pPr>
            <w:r w:rsidRPr="008975D0">
              <w:rPr>
                <w:i/>
                <w:iCs/>
                <w:sz w:val="18"/>
                <w:szCs w:val="26"/>
                <w:rtl/>
                <w:lang w:bidi="ar-EG"/>
              </w:rPr>
              <w:t>2001</w:t>
            </w:r>
          </w:p>
        </w:tc>
        <w:tc>
          <w:tcPr>
            <w:tcW w:w="1190" w:type="dxa"/>
            <w:tcBorders>
              <w:top w:val="single" w:sz="4" w:space="0" w:color="auto"/>
              <w:bottom w:val="single" w:sz="12" w:space="0" w:color="auto"/>
            </w:tcBorders>
            <w:vAlign w:val="bottom"/>
          </w:tcPr>
          <w:p w:rsidR="000B7434" w:rsidRPr="008975D0" w:rsidRDefault="000B7434" w:rsidP="008975D0">
            <w:pPr>
              <w:tabs>
                <w:tab w:val="left" w:pos="288"/>
                <w:tab w:val="left" w:pos="576"/>
                <w:tab w:val="left" w:pos="864"/>
                <w:tab w:val="left" w:pos="1152"/>
              </w:tabs>
              <w:spacing w:before="60" w:after="60" w:line="280" w:lineRule="exact"/>
              <w:ind w:left="57"/>
              <w:rPr>
                <w:i/>
                <w:iCs/>
                <w:sz w:val="18"/>
                <w:szCs w:val="26"/>
                <w:lang w:bidi="ar-EG"/>
              </w:rPr>
            </w:pPr>
            <w:r w:rsidRPr="008975D0">
              <w:rPr>
                <w:i/>
                <w:iCs/>
                <w:sz w:val="18"/>
                <w:szCs w:val="26"/>
                <w:rtl/>
                <w:lang w:bidi="ar-EG"/>
              </w:rPr>
              <w:t>2003/2004</w:t>
            </w:r>
          </w:p>
        </w:tc>
      </w:tr>
      <w:tr w:rsidR="000B7434" w:rsidRPr="00CE78F1" w:rsidTr="008975D0">
        <w:tblPrEx>
          <w:tblCellMar>
            <w:top w:w="0" w:type="dxa"/>
            <w:bottom w:w="0" w:type="dxa"/>
          </w:tblCellMar>
        </w:tblPrEx>
        <w:trPr>
          <w:cantSplit/>
        </w:trPr>
        <w:tc>
          <w:tcPr>
            <w:tcW w:w="4969" w:type="dxa"/>
            <w:vAlign w:val="bottom"/>
          </w:tcPr>
          <w:p w:rsidR="000B7434" w:rsidRPr="008975D0" w:rsidRDefault="000B7434" w:rsidP="008975D0">
            <w:pPr>
              <w:tabs>
                <w:tab w:val="left" w:pos="288"/>
                <w:tab w:val="left" w:pos="576"/>
                <w:tab w:val="left" w:pos="864"/>
                <w:tab w:val="left" w:pos="1152"/>
              </w:tabs>
              <w:spacing w:before="60" w:after="60" w:line="280" w:lineRule="exact"/>
              <w:ind w:left="57"/>
              <w:rPr>
                <w:sz w:val="18"/>
                <w:szCs w:val="26"/>
                <w:lang w:bidi="ar-EG"/>
              </w:rPr>
            </w:pPr>
            <w:r w:rsidRPr="008975D0">
              <w:rPr>
                <w:sz w:val="18"/>
                <w:szCs w:val="26"/>
                <w:rtl/>
                <w:lang w:bidi="ar-EG"/>
              </w:rPr>
              <w:t>الأطفال غير المحصنين (جزئيا</w:t>
            </w:r>
            <w:r w:rsidR="00762AAB">
              <w:rPr>
                <w:rFonts w:hint="cs"/>
                <w:sz w:val="18"/>
                <w:szCs w:val="26"/>
                <w:rtl/>
                <w:lang w:bidi="ar-EG"/>
              </w:rPr>
              <w:t>ً</w:t>
            </w:r>
            <w:r w:rsidRPr="008975D0">
              <w:rPr>
                <w:sz w:val="18"/>
                <w:szCs w:val="26"/>
                <w:rtl/>
                <w:lang w:bidi="ar-EG"/>
              </w:rPr>
              <w:t xml:space="preserve"> أو كليا</w:t>
            </w:r>
            <w:r w:rsidR="00762AAB">
              <w:rPr>
                <w:rFonts w:hint="cs"/>
                <w:sz w:val="18"/>
                <w:szCs w:val="26"/>
                <w:rtl/>
                <w:lang w:bidi="ar-EG"/>
              </w:rPr>
              <w:t>ً</w:t>
            </w:r>
            <w:r w:rsidRPr="008975D0">
              <w:rPr>
                <w:sz w:val="18"/>
                <w:szCs w:val="26"/>
                <w:rtl/>
                <w:lang w:bidi="ar-EG"/>
              </w:rPr>
              <w:t>)</w:t>
            </w:r>
          </w:p>
        </w:tc>
        <w:tc>
          <w:tcPr>
            <w:tcW w:w="966" w:type="dxa"/>
            <w:vAlign w:val="bottom"/>
          </w:tcPr>
          <w:p w:rsidR="000B7434" w:rsidRPr="008975D0" w:rsidRDefault="000B7434" w:rsidP="008975D0">
            <w:pPr>
              <w:tabs>
                <w:tab w:val="left" w:pos="288"/>
                <w:tab w:val="left" w:pos="576"/>
                <w:tab w:val="left" w:pos="864"/>
                <w:tab w:val="left" w:pos="1152"/>
              </w:tabs>
              <w:spacing w:before="60" w:after="60" w:line="280" w:lineRule="exact"/>
              <w:ind w:left="57"/>
              <w:rPr>
                <w:sz w:val="18"/>
                <w:szCs w:val="26"/>
                <w:lang w:bidi="ar-EG"/>
              </w:rPr>
            </w:pPr>
            <w:r w:rsidRPr="008975D0">
              <w:rPr>
                <w:sz w:val="18"/>
                <w:szCs w:val="26"/>
                <w:rtl/>
                <w:lang w:bidi="ar-EG"/>
              </w:rPr>
              <w:t>3.4</w:t>
            </w:r>
          </w:p>
        </w:tc>
        <w:tc>
          <w:tcPr>
            <w:tcW w:w="1190" w:type="dxa"/>
            <w:vAlign w:val="bottom"/>
          </w:tcPr>
          <w:p w:rsidR="000B7434" w:rsidRPr="008975D0" w:rsidRDefault="000B7434" w:rsidP="008975D0">
            <w:pPr>
              <w:tabs>
                <w:tab w:val="left" w:pos="288"/>
                <w:tab w:val="left" w:pos="576"/>
                <w:tab w:val="left" w:pos="864"/>
                <w:tab w:val="left" w:pos="1152"/>
              </w:tabs>
              <w:spacing w:before="60" w:after="60" w:line="280" w:lineRule="exact"/>
              <w:ind w:left="57"/>
              <w:rPr>
                <w:sz w:val="18"/>
                <w:szCs w:val="26"/>
                <w:lang w:bidi="ar-EG"/>
              </w:rPr>
            </w:pPr>
            <w:r w:rsidRPr="008975D0">
              <w:rPr>
                <w:sz w:val="18"/>
                <w:szCs w:val="26"/>
                <w:rtl/>
                <w:lang w:bidi="ar-EG"/>
              </w:rPr>
              <w:t>7.4</w:t>
            </w:r>
          </w:p>
        </w:tc>
      </w:tr>
      <w:tr w:rsidR="000B7434" w:rsidRPr="00CE78F1" w:rsidTr="008975D0">
        <w:tblPrEx>
          <w:tblCellMar>
            <w:top w:w="0" w:type="dxa"/>
            <w:bottom w:w="0" w:type="dxa"/>
          </w:tblCellMar>
        </w:tblPrEx>
        <w:trPr>
          <w:cantSplit/>
        </w:trPr>
        <w:tc>
          <w:tcPr>
            <w:tcW w:w="4969" w:type="dxa"/>
            <w:vAlign w:val="bottom"/>
          </w:tcPr>
          <w:p w:rsidR="000B7434" w:rsidRPr="008975D0" w:rsidRDefault="000B7434" w:rsidP="008975D0">
            <w:pPr>
              <w:tabs>
                <w:tab w:val="left" w:pos="288"/>
                <w:tab w:val="left" w:pos="576"/>
                <w:tab w:val="left" w:pos="864"/>
                <w:tab w:val="left" w:pos="1152"/>
              </w:tabs>
              <w:spacing w:before="60" w:after="60" w:line="280" w:lineRule="exact"/>
              <w:ind w:left="57"/>
              <w:rPr>
                <w:sz w:val="18"/>
                <w:szCs w:val="26"/>
                <w:lang w:bidi="ar-EG"/>
              </w:rPr>
            </w:pPr>
            <w:r w:rsidRPr="008975D0">
              <w:rPr>
                <w:sz w:val="18"/>
                <w:szCs w:val="26"/>
                <w:rtl/>
                <w:lang w:bidi="ar-EG"/>
              </w:rPr>
              <w:t>تلقي الحوامل للعناية السابقة للوضع (المناطق الريفية)</w:t>
            </w:r>
          </w:p>
        </w:tc>
        <w:tc>
          <w:tcPr>
            <w:tcW w:w="966" w:type="dxa"/>
            <w:vAlign w:val="bottom"/>
          </w:tcPr>
          <w:p w:rsidR="000B7434" w:rsidRPr="008975D0" w:rsidRDefault="000B7434" w:rsidP="008975D0">
            <w:pPr>
              <w:tabs>
                <w:tab w:val="left" w:pos="288"/>
                <w:tab w:val="left" w:pos="576"/>
                <w:tab w:val="left" w:pos="864"/>
                <w:tab w:val="left" w:pos="1152"/>
              </w:tabs>
              <w:spacing w:before="60" w:after="60" w:line="280" w:lineRule="exact"/>
              <w:ind w:left="57"/>
              <w:rPr>
                <w:sz w:val="18"/>
                <w:szCs w:val="26"/>
                <w:lang w:bidi="ar-EG"/>
              </w:rPr>
            </w:pPr>
            <w:r w:rsidRPr="008975D0">
              <w:rPr>
                <w:sz w:val="18"/>
                <w:szCs w:val="26"/>
                <w:rtl/>
                <w:lang w:bidi="ar-EG"/>
              </w:rPr>
              <w:t>46.6</w:t>
            </w:r>
          </w:p>
        </w:tc>
        <w:tc>
          <w:tcPr>
            <w:tcW w:w="1190" w:type="dxa"/>
            <w:vAlign w:val="bottom"/>
          </w:tcPr>
          <w:p w:rsidR="000B7434" w:rsidRPr="008975D0" w:rsidRDefault="000B7434" w:rsidP="008975D0">
            <w:pPr>
              <w:tabs>
                <w:tab w:val="left" w:pos="288"/>
                <w:tab w:val="left" w:pos="576"/>
                <w:tab w:val="left" w:pos="864"/>
                <w:tab w:val="left" w:pos="1152"/>
              </w:tabs>
              <w:spacing w:before="60" w:after="60" w:line="280" w:lineRule="exact"/>
              <w:ind w:left="57"/>
              <w:rPr>
                <w:sz w:val="18"/>
                <w:szCs w:val="26"/>
                <w:lang w:bidi="ar-EG"/>
              </w:rPr>
            </w:pPr>
            <w:r w:rsidRPr="008975D0">
              <w:rPr>
                <w:sz w:val="18"/>
                <w:szCs w:val="26"/>
                <w:rtl/>
                <w:lang w:bidi="ar-EG"/>
              </w:rPr>
              <w:t>53.9</w:t>
            </w:r>
          </w:p>
        </w:tc>
      </w:tr>
      <w:tr w:rsidR="000B7434" w:rsidRPr="00CE78F1" w:rsidTr="008975D0">
        <w:tblPrEx>
          <w:tblCellMar>
            <w:top w:w="0" w:type="dxa"/>
            <w:bottom w:w="0" w:type="dxa"/>
          </w:tblCellMar>
        </w:tblPrEx>
        <w:trPr>
          <w:cantSplit/>
        </w:trPr>
        <w:tc>
          <w:tcPr>
            <w:tcW w:w="4969" w:type="dxa"/>
            <w:vAlign w:val="bottom"/>
          </w:tcPr>
          <w:p w:rsidR="000B7434" w:rsidRPr="008975D0" w:rsidRDefault="000B7434" w:rsidP="008975D0">
            <w:pPr>
              <w:tabs>
                <w:tab w:val="left" w:pos="288"/>
                <w:tab w:val="left" w:pos="576"/>
                <w:tab w:val="left" w:pos="864"/>
                <w:tab w:val="left" w:pos="1152"/>
              </w:tabs>
              <w:spacing w:before="60" w:after="60" w:line="280" w:lineRule="exact"/>
              <w:ind w:left="57"/>
              <w:rPr>
                <w:sz w:val="18"/>
                <w:szCs w:val="26"/>
                <w:lang w:bidi="ar-EG"/>
              </w:rPr>
            </w:pPr>
            <w:r w:rsidRPr="008975D0">
              <w:rPr>
                <w:sz w:val="18"/>
                <w:szCs w:val="26"/>
                <w:rtl/>
                <w:lang w:bidi="ar-EG"/>
              </w:rPr>
              <w:t>تلقي النساء للعناية بعد الوضع (المناطق الريفية)</w:t>
            </w:r>
          </w:p>
        </w:tc>
        <w:tc>
          <w:tcPr>
            <w:tcW w:w="966" w:type="dxa"/>
            <w:vAlign w:val="bottom"/>
          </w:tcPr>
          <w:p w:rsidR="000B7434" w:rsidRPr="008975D0" w:rsidRDefault="000B7434" w:rsidP="008975D0">
            <w:pPr>
              <w:tabs>
                <w:tab w:val="left" w:pos="288"/>
                <w:tab w:val="left" w:pos="576"/>
                <w:tab w:val="left" w:pos="864"/>
                <w:tab w:val="left" w:pos="1152"/>
              </w:tabs>
              <w:spacing w:before="60" w:after="60" w:line="280" w:lineRule="exact"/>
              <w:ind w:left="57"/>
              <w:rPr>
                <w:sz w:val="18"/>
                <w:szCs w:val="26"/>
                <w:lang w:bidi="ar-EG"/>
              </w:rPr>
            </w:pPr>
            <w:r w:rsidRPr="008975D0">
              <w:rPr>
                <w:sz w:val="18"/>
                <w:szCs w:val="26"/>
                <w:rtl/>
                <w:lang w:bidi="ar-EG"/>
              </w:rPr>
              <w:t>17.3</w:t>
            </w:r>
          </w:p>
        </w:tc>
        <w:tc>
          <w:tcPr>
            <w:tcW w:w="1190" w:type="dxa"/>
            <w:vAlign w:val="bottom"/>
          </w:tcPr>
          <w:p w:rsidR="000B7434" w:rsidRPr="008975D0" w:rsidRDefault="000B7434" w:rsidP="008975D0">
            <w:pPr>
              <w:tabs>
                <w:tab w:val="left" w:pos="288"/>
                <w:tab w:val="left" w:pos="576"/>
                <w:tab w:val="left" w:pos="864"/>
                <w:tab w:val="left" w:pos="1152"/>
              </w:tabs>
              <w:spacing w:before="60" w:after="60" w:line="280" w:lineRule="exact"/>
              <w:ind w:left="57"/>
              <w:rPr>
                <w:sz w:val="18"/>
                <w:szCs w:val="26"/>
                <w:lang w:bidi="ar-EG"/>
              </w:rPr>
            </w:pPr>
            <w:r w:rsidRPr="008975D0">
              <w:rPr>
                <w:sz w:val="18"/>
                <w:szCs w:val="26"/>
                <w:rtl/>
                <w:lang w:bidi="ar-EG"/>
              </w:rPr>
              <w:t>11.0</w:t>
            </w:r>
          </w:p>
        </w:tc>
      </w:tr>
      <w:tr w:rsidR="000B7434" w:rsidRPr="00CE78F1" w:rsidTr="008975D0">
        <w:tblPrEx>
          <w:tblCellMar>
            <w:top w:w="0" w:type="dxa"/>
            <w:bottom w:w="0" w:type="dxa"/>
          </w:tblCellMar>
        </w:tblPrEx>
        <w:trPr>
          <w:cantSplit/>
        </w:trPr>
        <w:tc>
          <w:tcPr>
            <w:tcW w:w="4969" w:type="dxa"/>
            <w:tcBorders>
              <w:bottom w:val="single" w:sz="12" w:space="0" w:color="auto"/>
            </w:tcBorders>
            <w:vAlign w:val="bottom"/>
          </w:tcPr>
          <w:p w:rsidR="000B7434" w:rsidRPr="008975D0" w:rsidRDefault="000B7434" w:rsidP="008975D0">
            <w:pPr>
              <w:tabs>
                <w:tab w:val="left" w:pos="288"/>
                <w:tab w:val="left" w:pos="576"/>
                <w:tab w:val="left" w:pos="864"/>
                <w:tab w:val="left" w:pos="1152"/>
              </w:tabs>
              <w:spacing w:before="60" w:after="60" w:line="280" w:lineRule="exact"/>
              <w:ind w:left="57"/>
              <w:rPr>
                <w:sz w:val="18"/>
                <w:szCs w:val="26"/>
                <w:lang w:bidi="ar-EG"/>
              </w:rPr>
            </w:pPr>
            <w:r w:rsidRPr="008975D0">
              <w:rPr>
                <w:sz w:val="18"/>
                <w:szCs w:val="26"/>
                <w:rtl/>
                <w:lang w:bidi="ar-EG"/>
              </w:rPr>
              <w:t xml:space="preserve">استخدام الزوجين </w:t>
            </w:r>
            <w:r w:rsidR="008975D0">
              <w:rPr>
                <w:rFonts w:hint="cs"/>
                <w:sz w:val="18"/>
                <w:szCs w:val="26"/>
                <w:rtl/>
                <w:lang w:bidi="ar-EG"/>
              </w:rPr>
              <w:t>لأساليب تنظيم</w:t>
            </w:r>
            <w:r w:rsidRPr="008975D0">
              <w:rPr>
                <w:sz w:val="18"/>
                <w:szCs w:val="26"/>
                <w:rtl/>
                <w:lang w:bidi="ar-EG"/>
              </w:rPr>
              <w:t xml:space="preserve"> الأسرة</w:t>
            </w:r>
          </w:p>
        </w:tc>
        <w:tc>
          <w:tcPr>
            <w:tcW w:w="966" w:type="dxa"/>
            <w:tcBorders>
              <w:bottom w:val="single" w:sz="12" w:space="0" w:color="auto"/>
            </w:tcBorders>
            <w:vAlign w:val="bottom"/>
          </w:tcPr>
          <w:p w:rsidR="000B7434" w:rsidRPr="008975D0" w:rsidRDefault="000B7434" w:rsidP="008975D0">
            <w:pPr>
              <w:tabs>
                <w:tab w:val="left" w:pos="288"/>
                <w:tab w:val="left" w:pos="576"/>
                <w:tab w:val="left" w:pos="864"/>
                <w:tab w:val="left" w:pos="1152"/>
              </w:tabs>
              <w:spacing w:before="60" w:after="60" w:line="280" w:lineRule="exact"/>
              <w:ind w:left="57"/>
              <w:rPr>
                <w:sz w:val="18"/>
                <w:szCs w:val="26"/>
                <w:lang w:bidi="ar-EG"/>
              </w:rPr>
            </w:pPr>
            <w:r w:rsidRPr="008975D0">
              <w:rPr>
                <w:sz w:val="18"/>
                <w:szCs w:val="26"/>
                <w:rtl/>
                <w:lang w:bidi="ar-EG"/>
              </w:rPr>
              <w:t>38.9</w:t>
            </w:r>
          </w:p>
        </w:tc>
        <w:tc>
          <w:tcPr>
            <w:tcW w:w="1190" w:type="dxa"/>
            <w:tcBorders>
              <w:bottom w:val="single" w:sz="12" w:space="0" w:color="auto"/>
            </w:tcBorders>
            <w:vAlign w:val="bottom"/>
          </w:tcPr>
          <w:p w:rsidR="000B7434" w:rsidRPr="008975D0" w:rsidRDefault="000B7434" w:rsidP="008975D0">
            <w:pPr>
              <w:tabs>
                <w:tab w:val="left" w:pos="288"/>
                <w:tab w:val="left" w:pos="576"/>
                <w:tab w:val="left" w:pos="864"/>
                <w:tab w:val="left" w:pos="1152"/>
              </w:tabs>
              <w:spacing w:before="60" w:after="60" w:line="280" w:lineRule="exact"/>
              <w:ind w:left="57"/>
              <w:rPr>
                <w:sz w:val="18"/>
                <w:szCs w:val="26"/>
                <w:lang w:bidi="ar-EG"/>
              </w:rPr>
            </w:pPr>
            <w:r w:rsidRPr="008975D0">
              <w:rPr>
                <w:sz w:val="18"/>
                <w:szCs w:val="26"/>
                <w:rtl/>
                <w:lang w:bidi="ar-EG"/>
              </w:rPr>
              <w:t>38.3</w:t>
            </w:r>
          </w:p>
        </w:tc>
      </w:tr>
    </w:tbl>
    <w:p w:rsidR="000B7434" w:rsidRPr="008975D0" w:rsidRDefault="000B7434" w:rsidP="006135A2">
      <w:pPr>
        <w:pStyle w:val="SingleTxt"/>
        <w:spacing w:before="120" w:after="240" w:line="300" w:lineRule="exact"/>
        <w:ind w:left="1264" w:right="1264"/>
        <w:rPr>
          <w:rFonts w:hint="cs"/>
          <w:sz w:val="16"/>
          <w:szCs w:val="26"/>
          <w:rtl/>
          <w:lang w:bidi="ar-EG"/>
        </w:rPr>
      </w:pPr>
      <w:r w:rsidRPr="002370CA">
        <w:rPr>
          <w:i/>
          <w:iCs/>
          <w:sz w:val="16"/>
          <w:szCs w:val="26"/>
          <w:rtl/>
          <w:lang w:bidi="ar-EG"/>
        </w:rPr>
        <w:t>المصدر:</w:t>
      </w:r>
      <w:r w:rsidRPr="008975D0">
        <w:rPr>
          <w:sz w:val="16"/>
          <w:szCs w:val="26"/>
          <w:rtl/>
          <w:lang w:bidi="ar-EG"/>
        </w:rPr>
        <w:t xml:space="preserve"> </w:t>
      </w:r>
      <w:r w:rsidR="008975D0" w:rsidRPr="008975D0">
        <w:rPr>
          <w:rFonts w:hint="cs"/>
          <w:sz w:val="16"/>
          <w:szCs w:val="26"/>
          <w:rtl/>
          <w:lang w:bidi="ar-EG"/>
        </w:rPr>
        <w:t xml:space="preserve"> </w:t>
      </w:r>
      <w:r w:rsidRPr="008975D0">
        <w:rPr>
          <w:sz w:val="16"/>
          <w:szCs w:val="26"/>
          <w:rtl/>
          <w:lang w:bidi="ar-EG"/>
        </w:rPr>
        <w:t>الدراسة الاستقصائية للسكان والصحة في نيبال، 2003/2004</w:t>
      </w:r>
      <w:r w:rsidR="008975D0">
        <w:rPr>
          <w:rFonts w:hint="cs"/>
          <w:sz w:val="16"/>
          <w:szCs w:val="26"/>
          <w:rtl/>
          <w:lang w:bidi="ar-EG"/>
        </w:rPr>
        <w:t>.</w:t>
      </w:r>
    </w:p>
    <w:p w:rsidR="000B7434" w:rsidRPr="00D267F4" w:rsidRDefault="000B7434" w:rsidP="006135A2">
      <w:pPr>
        <w:pStyle w:val="H23GA"/>
        <w:rPr>
          <w:rtl/>
          <w:lang w:bidi="ar-EG"/>
        </w:rPr>
      </w:pPr>
      <w:r>
        <w:rPr>
          <w:rtl/>
          <w:lang w:bidi="ar-EG"/>
        </w:rPr>
        <w:tab/>
      </w:r>
      <w:r>
        <w:rPr>
          <w:rtl/>
          <w:lang w:bidi="ar-EG"/>
        </w:rPr>
        <w:tab/>
      </w:r>
      <w:r w:rsidRPr="00D267F4">
        <w:rPr>
          <w:rtl/>
          <w:lang w:bidi="ar-EG"/>
        </w:rPr>
        <w:t>المرأة والاقتصاد</w:t>
      </w:r>
    </w:p>
    <w:p w:rsidR="000B7434" w:rsidRDefault="000B7434" w:rsidP="00762AAB">
      <w:pPr>
        <w:pStyle w:val="SingleTxtGA"/>
        <w:rPr>
          <w:rtl/>
          <w:lang w:bidi="ar-EG"/>
        </w:rPr>
      </w:pPr>
      <w:r>
        <w:rPr>
          <w:rtl/>
          <w:lang w:bidi="ar-EG"/>
        </w:rPr>
        <w:t>230-</w:t>
      </w:r>
      <w:r w:rsidR="006135A2">
        <w:rPr>
          <w:rFonts w:hint="cs"/>
          <w:rtl/>
          <w:lang w:bidi="ar-EG"/>
        </w:rPr>
        <w:tab/>
      </w:r>
      <w:r>
        <w:rPr>
          <w:rtl/>
          <w:lang w:bidi="ar-EG"/>
        </w:rPr>
        <w:t>لا تزال الأنشطة الاقتصادية للمرأة تنحو إلى أن تكون لها قيمة مضافة متدنية وغالبا</w:t>
      </w:r>
      <w:r w:rsidR="00762AAB">
        <w:rPr>
          <w:rFonts w:hint="cs"/>
          <w:rtl/>
          <w:lang w:bidi="ar-EG"/>
        </w:rPr>
        <w:t>ً</w:t>
      </w:r>
      <w:r>
        <w:rPr>
          <w:rtl/>
          <w:lang w:bidi="ar-EG"/>
        </w:rPr>
        <w:t xml:space="preserve"> ما يصرف النظر عنها. ويمارس أعضاء الأسرة الذكور سيطرة على أنشطة المرأة ودخلها. وعلى سبيل المثال يسمح اجتماعيا</w:t>
      </w:r>
      <w:r w:rsidR="00762AAB">
        <w:rPr>
          <w:rFonts w:hint="cs"/>
          <w:rtl/>
          <w:lang w:bidi="ar-EG"/>
        </w:rPr>
        <w:t>ً</w:t>
      </w:r>
      <w:r>
        <w:rPr>
          <w:rtl/>
          <w:lang w:bidi="ar-EG"/>
        </w:rPr>
        <w:t xml:space="preserve"> للمرأة أن تشترك في تربية الجواميس ولكن عملية بيع لبنها على نطاق تجاري محفوظة بشكل خاص للرجل.</w:t>
      </w:r>
    </w:p>
    <w:p w:rsidR="000B7434" w:rsidRDefault="000B7434" w:rsidP="006135A2">
      <w:pPr>
        <w:pStyle w:val="SingleTxtGA"/>
        <w:rPr>
          <w:rtl/>
          <w:lang w:bidi="ar-EG"/>
        </w:rPr>
      </w:pPr>
      <w:r>
        <w:rPr>
          <w:rtl/>
          <w:lang w:bidi="ar-EG"/>
        </w:rPr>
        <w:t>231-</w:t>
      </w:r>
      <w:r w:rsidR="006135A2">
        <w:rPr>
          <w:rFonts w:hint="cs"/>
          <w:rtl/>
          <w:lang w:bidi="ar-EG"/>
        </w:rPr>
        <w:tab/>
      </w:r>
      <w:r>
        <w:rPr>
          <w:rtl/>
          <w:lang w:bidi="ar-EG"/>
        </w:rPr>
        <w:t>وللمرة الأولى سيأخذ تعداد السكان المقبل في الاعتبار عمل المرأة بحيث يعترف بعملها ويظهر قيمته الاقتصادية. وتنتشر مشاريع تقديم الائتمان الصغير للمرأة الآن في كل المقاطعات ا</w:t>
      </w:r>
      <w:r w:rsidR="006135A2">
        <w:rPr>
          <w:rFonts w:hint="cs"/>
          <w:rtl/>
          <w:lang w:bidi="ar-EG"/>
        </w:rPr>
        <w:t>ﻟ</w:t>
      </w:r>
      <w:r>
        <w:rPr>
          <w:rtl/>
          <w:lang w:bidi="ar-EG"/>
        </w:rPr>
        <w:t xml:space="preserve"> 75 بالرغم من أن تغطية لجان التنمية القروية داخل تلك المقاطعات محدودة إلى حد ما. ويُقدم الائتمان على أساس مسؤولية مجموعة ويُكمَّل بالتدريب على المهارات، وتبادل الزيارات، وبرامج محو الأمية. وقد أبلغت برامج تقديم الائتمان الصغير عن حالات نجاح ولكنها تتطلب جهودا</w:t>
      </w:r>
      <w:r w:rsidR="00762AAB">
        <w:rPr>
          <w:rFonts w:hint="cs"/>
          <w:rtl/>
          <w:lang w:bidi="ar-EG"/>
        </w:rPr>
        <w:t>ً</w:t>
      </w:r>
      <w:r>
        <w:rPr>
          <w:rtl/>
          <w:lang w:bidi="ar-EG"/>
        </w:rPr>
        <w:t xml:space="preserve"> مستمرة لجعلها مستدامة.</w:t>
      </w:r>
    </w:p>
    <w:p w:rsidR="000B7434" w:rsidRPr="00D267F4" w:rsidRDefault="000B7434" w:rsidP="006135A2">
      <w:pPr>
        <w:pStyle w:val="H23GA"/>
        <w:rPr>
          <w:rtl/>
          <w:lang w:bidi="ar-EG"/>
        </w:rPr>
      </w:pPr>
      <w:r>
        <w:rPr>
          <w:rtl/>
          <w:lang w:bidi="ar-EG"/>
        </w:rPr>
        <w:tab/>
      </w:r>
      <w:r>
        <w:rPr>
          <w:rtl/>
          <w:lang w:bidi="ar-EG"/>
        </w:rPr>
        <w:tab/>
      </w:r>
      <w:r w:rsidRPr="00D267F4">
        <w:rPr>
          <w:rtl/>
          <w:lang w:bidi="ar-EG"/>
        </w:rPr>
        <w:t>المرأة في مركز السلطة وصنع القرار</w:t>
      </w:r>
    </w:p>
    <w:p w:rsidR="000B7434" w:rsidRDefault="000B7434" w:rsidP="006135A2">
      <w:pPr>
        <w:pStyle w:val="SingleTxtGA"/>
        <w:rPr>
          <w:rtl/>
          <w:lang w:bidi="ar-EG"/>
        </w:rPr>
      </w:pPr>
      <w:r>
        <w:rPr>
          <w:rtl/>
          <w:lang w:bidi="ar-EG"/>
        </w:rPr>
        <w:t>232-</w:t>
      </w:r>
      <w:r w:rsidR="006135A2">
        <w:rPr>
          <w:rFonts w:hint="cs"/>
          <w:rtl/>
          <w:lang w:bidi="ar-EG"/>
        </w:rPr>
        <w:tab/>
      </w:r>
      <w:r>
        <w:rPr>
          <w:rtl/>
          <w:lang w:bidi="ar-EG"/>
        </w:rPr>
        <w:t>كما هو مذكور أعلاه، يجري تدريجيا</w:t>
      </w:r>
      <w:r w:rsidR="009B3FCB">
        <w:rPr>
          <w:rFonts w:hint="cs"/>
          <w:rtl/>
          <w:lang w:bidi="ar-EG"/>
        </w:rPr>
        <w:t>ً</w:t>
      </w:r>
      <w:r>
        <w:rPr>
          <w:rtl/>
          <w:lang w:bidi="ar-EG"/>
        </w:rPr>
        <w:t xml:space="preserve"> تعميم المرأة في عملية إعادة تشكيل هيكل الدولة، وفي السياسات الحزبية على الصعيدين الوطني والمحلي، وفي الإدارة، وفي الجوانب الأخرى المختلفة للحياة الوطنية. وهناك الآن عدد لا بأس به من ممثلات المرأة في الجمعية التأسيسية أيضا</w:t>
      </w:r>
      <w:r w:rsidR="00762AAB">
        <w:rPr>
          <w:rFonts w:hint="cs"/>
          <w:rtl/>
          <w:lang w:bidi="ar-EG"/>
        </w:rPr>
        <w:t>ً</w:t>
      </w:r>
      <w:r>
        <w:rPr>
          <w:rtl/>
          <w:lang w:bidi="ar-EG"/>
        </w:rPr>
        <w:t>. وهذا تطور ملحوظ للغاية سواء من حيثُ الاعتراف بقدرات المرأة ومن حيث زيادة تمكينها.</w:t>
      </w:r>
    </w:p>
    <w:p w:rsidR="000B7434" w:rsidRDefault="000B7434" w:rsidP="006135A2">
      <w:pPr>
        <w:pStyle w:val="SingleTxtGA"/>
        <w:rPr>
          <w:rtl/>
          <w:lang w:bidi="ar-EG"/>
        </w:rPr>
      </w:pPr>
      <w:r>
        <w:rPr>
          <w:rtl/>
          <w:lang w:bidi="ar-EG"/>
        </w:rPr>
        <w:t>233-</w:t>
      </w:r>
      <w:r w:rsidR="006135A2">
        <w:rPr>
          <w:rFonts w:hint="cs"/>
          <w:rtl/>
          <w:lang w:bidi="ar-EG"/>
        </w:rPr>
        <w:tab/>
      </w:r>
      <w:r>
        <w:rPr>
          <w:rtl/>
          <w:lang w:bidi="ar-EG"/>
        </w:rPr>
        <w:t>وإلى جانب التمثيل على صعيد السياسة الوطنية، أَدخل قانونُ الحكم الذاتي المحلي تمثيلَ المرأة الإلزامي في المجالس واللجان التنفيذية والهيئات العاملة في لجان تنمية المقاطعات ولجان التنمية ا</w:t>
      </w:r>
      <w:r w:rsidR="006135A2">
        <w:rPr>
          <w:rtl/>
          <w:lang w:bidi="ar-EG"/>
        </w:rPr>
        <w:t>لقروية والبلديات. وتنص الفقرة 2</w:t>
      </w:r>
      <w:r>
        <w:rPr>
          <w:rtl/>
          <w:lang w:bidi="ar-EG"/>
        </w:rPr>
        <w:t>(1) من البند 70 من لائحة الإدارة المالية للحكم الذاتي المحلي على تمثيل إلزامي بنسبة 30 في المائة للنساء الأعضاء في لجان المستعملين. وهذه بعض من أهم التدابير المتخذة لكفالة المشاركة السياسية الفعلية والتمثيل الفعلي للمرأة.</w:t>
      </w:r>
    </w:p>
    <w:p w:rsidR="000B7434" w:rsidRDefault="000B7434" w:rsidP="006135A2">
      <w:pPr>
        <w:pStyle w:val="SingleTxtGA"/>
        <w:rPr>
          <w:rtl/>
          <w:lang w:bidi="ar-EG"/>
        </w:rPr>
      </w:pPr>
      <w:r w:rsidRPr="006135A2">
        <w:rPr>
          <w:spacing w:val="-2"/>
          <w:rtl/>
          <w:lang w:bidi="ar-EG"/>
        </w:rPr>
        <w:t>234-</w:t>
      </w:r>
      <w:r w:rsidR="006135A2" w:rsidRPr="006135A2">
        <w:rPr>
          <w:rFonts w:hint="cs"/>
          <w:spacing w:val="-2"/>
          <w:rtl/>
          <w:lang w:bidi="ar-EG"/>
        </w:rPr>
        <w:tab/>
      </w:r>
      <w:r w:rsidRPr="006135A2">
        <w:rPr>
          <w:spacing w:val="-2"/>
          <w:rtl/>
          <w:lang w:bidi="ar-EG"/>
        </w:rPr>
        <w:t>ويجري تنفيذ خطة العمل الوطنية لإعمال الاتفاقية بعدد من تدابير السياسة العامة المعتمدة في الخطة ثلاثية السنوات المؤقتة، تتبعها الميزانية المخصصة للسنة المالية 2008-2009 بدافع تمكين المرأة عن طريق كفالة مشاركتها بنسبة 33 في المائة في عملية صنع</w:t>
      </w:r>
      <w:r>
        <w:rPr>
          <w:rtl/>
          <w:lang w:bidi="ar-EG"/>
        </w:rPr>
        <w:t xml:space="preserve"> القرار. ووفقا</w:t>
      </w:r>
      <w:r w:rsidR="00762AAB">
        <w:rPr>
          <w:rFonts w:hint="cs"/>
          <w:rtl/>
          <w:lang w:bidi="ar-EG"/>
        </w:rPr>
        <w:t>ً</w:t>
      </w:r>
      <w:r>
        <w:rPr>
          <w:rtl/>
          <w:lang w:bidi="ar-EG"/>
        </w:rPr>
        <w:t xml:space="preserve"> لخطة العمل الوطنية </w:t>
      </w:r>
      <w:r w:rsidR="00D62BA8">
        <w:rPr>
          <w:rtl/>
          <w:lang w:bidi="ar-EG"/>
        </w:rPr>
        <w:t>"</w:t>
      </w:r>
      <w:r>
        <w:rPr>
          <w:rtl/>
          <w:lang w:bidi="ar-EG"/>
        </w:rPr>
        <w:t>سوف يُكفل تمثيل المرأة بنسبة لا تقل عن 33 في المائة في آلية الدولة عن طريق الإصلاحات القانونية والسياسية والمؤسسية. وسوف يكون تمثيل المرأة تناسبياً في هيكله ويشمل تنوعات المرأة في المجتمع. وسيتم على الصعيد الوطني والإقليمي وعلى صعيد المقاطعات تنظيم دورات مصممة خصيصا</w:t>
      </w:r>
      <w:r w:rsidR="00762AAB">
        <w:rPr>
          <w:rFonts w:hint="cs"/>
          <w:rtl/>
          <w:lang w:bidi="ar-EG"/>
        </w:rPr>
        <w:t>ً</w:t>
      </w:r>
      <w:r>
        <w:rPr>
          <w:rtl/>
          <w:lang w:bidi="ar-EG"/>
        </w:rPr>
        <w:t xml:space="preserve"> لتعزيز قدرة المرأة بصورة عامة، وقدرة المجتمعات المهمشة بصورة خاصة، على التنافس في عمليات التعيين والترقية في وظائف المناصب العامة. وسوف تقدم حوافز خاصة للمشاريع الصناعية التي تتولى النساء فيها منصب كبير المسؤولين التنفيذيين والتي تشكل المرأة فيها نسبة 50 في المائة من عضوية مجلس إدارتها</w:t>
      </w:r>
      <w:r w:rsidR="00D62BA8">
        <w:rPr>
          <w:rtl/>
          <w:lang w:bidi="ar-EG"/>
        </w:rPr>
        <w:t>"</w:t>
      </w:r>
      <w:r>
        <w:rPr>
          <w:rtl/>
          <w:lang w:bidi="ar-EG"/>
        </w:rPr>
        <w:t>.</w:t>
      </w:r>
    </w:p>
    <w:p w:rsidR="000B7434" w:rsidRPr="000C30CB" w:rsidRDefault="000B7434" w:rsidP="006135A2">
      <w:pPr>
        <w:pStyle w:val="H23GA"/>
        <w:rPr>
          <w:rtl/>
          <w:lang w:bidi="ar-EG"/>
        </w:rPr>
      </w:pPr>
      <w:r>
        <w:rPr>
          <w:rtl/>
          <w:lang w:bidi="ar-EG"/>
        </w:rPr>
        <w:tab/>
      </w:r>
      <w:r>
        <w:rPr>
          <w:rtl/>
          <w:lang w:bidi="ar-EG"/>
        </w:rPr>
        <w:tab/>
      </w:r>
      <w:r w:rsidRPr="000C30CB">
        <w:rPr>
          <w:rtl/>
          <w:lang w:bidi="ar-EG"/>
        </w:rPr>
        <w:t>الآلية المؤسسية وتقدم المرأة</w:t>
      </w:r>
    </w:p>
    <w:p w:rsidR="000B7434" w:rsidRPr="006135A2" w:rsidRDefault="000B7434" w:rsidP="006135A2">
      <w:pPr>
        <w:pStyle w:val="SingleTxtGA"/>
        <w:rPr>
          <w:rFonts w:hint="cs"/>
          <w:rtl/>
          <w:lang w:bidi="ar-EG"/>
        </w:rPr>
      </w:pPr>
      <w:r>
        <w:rPr>
          <w:rtl/>
          <w:lang w:bidi="ar-EG"/>
        </w:rPr>
        <w:t>235-</w:t>
      </w:r>
      <w:r w:rsidR="006135A2">
        <w:rPr>
          <w:rFonts w:hint="cs"/>
          <w:rtl/>
          <w:lang w:bidi="ar-EG"/>
        </w:rPr>
        <w:tab/>
      </w:r>
      <w:r>
        <w:rPr>
          <w:rtl/>
          <w:lang w:bidi="ar-EG"/>
        </w:rPr>
        <w:t>فيما يتعلق بتعزيز الآليات المؤسسية، وفق المذكور في التقارير السابقة، يظل دور وزارة شؤون المرأة مركزيا</w:t>
      </w:r>
      <w:r w:rsidR="00762AAB">
        <w:rPr>
          <w:rFonts w:hint="cs"/>
          <w:rtl/>
          <w:lang w:bidi="ar-EG"/>
        </w:rPr>
        <w:t>ً</w:t>
      </w:r>
      <w:r>
        <w:rPr>
          <w:rtl/>
          <w:lang w:bidi="ar-EG"/>
        </w:rPr>
        <w:t>. وتتولى اللجنة الوطنية المعنية بالاتفاقية تنفيذ خطة العمل الوطنية بشأن الاتفاقية ببرامج مختلفة تشمل التدريب، والتوعية، والمنشورات والتوز</w:t>
      </w:r>
      <w:r w:rsidR="006135A2">
        <w:rPr>
          <w:rFonts w:hint="cs"/>
          <w:rtl/>
          <w:lang w:bidi="ar-EG"/>
        </w:rPr>
        <w:t>ي</w:t>
      </w:r>
      <w:r>
        <w:rPr>
          <w:rtl/>
          <w:lang w:bidi="ar-EG"/>
        </w:rPr>
        <w:t>ع تحت رعاية وزارة شؤون المرأة. وأثبتت الوثيقة الاستراتيجية بشأن الجنسانية والشمول الاجتماعي التي وضعته</w:t>
      </w:r>
      <w:r w:rsidR="006135A2">
        <w:rPr>
          <w:rtl/>
          <w:lang w:bidi="ar-EG"/>
        </w:rPr>
        <w:t>ا وزارة شؤون المرأة في عام 2006</w:t>
      </w:r>
      <w:r>
        <w:rPr>
          <w:rtl/>
          <w:lang w:bidi="ar-EG"/>
        </w:rPr>
        <w:t>، أنها واحدة من أكثر الأدوات فعالية في تعميم الجنسانية وتعزيز المساواة على مستوى مؤسسات الدولة. وقد تلقت غالبية الموظفات في مختلف الوزارات تدريبا</w:t>
      </w:r>
      <w:r w:rsidR="006135A2">
        <w:rPr>
          <w:rFonts w:hint="cs"/>
          <w:rtl/>
          <w:lang w:bidi="ar-EG"/>
        </w:rPr>
        <w:t>ً</w:t>
      </w:r>
      <w:r>
        <w:rPr>
          <w:rtl/>
          <w:lang w:bidi="ar-EG"/>
        </w:rPr>
        <w:t xml:space="preserve"> بشأن </w:t>
      </w:r>
      <w:r w:rsidR="00D62BA8">
        <w:rPr>
          <w:rtl/>
          <w:lang w:bidi="ar-EG"/>
        </w:rPr>
        <w:t>"</w:t>
      </w:r>
      <w:r>
        <w:rPr>
          <w:rtl/>
          <w:lang w:bidi="ar-EG"/>
        </w:rPr>
        <w:t>الجنسانية والصحة التناسلية والشمول الاجتماعي</w:t>
      </w:r>
      <w:r w:rsidR="00D62BA8">
        <w:rPr>
          <w:rtl/>
          <w:lang w:bidi="ar-EG"/>
        </w:rPr>
        <w:t>"</w:t>
      </w:r>
      <w:r>
        <w:rPr>
          <w:rtl/>
          <w:lang w:bidi="ar-EG"/>
        </w:rPr>
        <w:t xml:space="preserve">. وهذا التدريب الذي وفرته وزارة </w:t>
      </w:r>
      <w:r w:rsidR="006135A2">
        <w:rPr>
          <w:rFonts w:hint="cs"/>
          <w:rtl/>
          <w:lang w:bidi="ar-EG"/>
        </w:rPr>
        <w:t>شؤو</w:t>
      </w:r>
      <w:r>
        <w:rPr>
          <w:rtl/>
          <w:lang w:bidi="ar-EG"/>
        </w:rPr>
        <w:t>ن المرأة بالتعاون مع صندوق الأمم المتحدة للسكان هو من مؤشرات بناء القدرة المؤسسية. وقد تم تعيين موظفات لشؤون تنمية المرأة في كل المقاطعات ا</w:t>
      </w:r>
      <w:r w:rsidR="006135A2">
        <w:rPr>
          <w:rFonts w:hint="cs"/>
          <w:rtl/>
          <w:lang w:bidi="ar-EG"/>
        </w:rPr>
        <w:t>ﻟ</w:t>
      </w:r>
      <w:r>
        <w:rPr>
          <w:rtl/>
          <w:lang w:bidi="ar-EG"/>
        </w:rPr>
        <w:t xml:space="preserve"> 75 في نيبال. وهناك ما مجموعه 943 موظفا</w:t>
      </w:r>
      <w:r w:rsidR="00762AAB">
        <w:rPr>
          <w:rFonts w:hint="cs"/>
          <w:rtl/>
          <w:lang w:bidi="ar-EG"/>
        </w:rPr>
        <w:t>ً</w:t>
      </w:r>
      <w:r>
        <w:rPr>
          <w:rtl/>
          <w:lang w:bidi="ar-EG"/>
        </w:rPr>
        <w:t xml:space="preserve"> وموظفة يعملون في مكاتب موظفي شؤون تنمية المرأة. واستناد</w:t>
      </w:r>
      <w:r w:rsidR="00762AAB">
        <w:rPr>
          <w:rFonts w:hint="cs"/>
          <w:rtl/>
          <w:lang w:bidi="ar-EG"/>
        </w:rPr>
        <w:t>اً</w:t>
      </w:r>
      <w:r>
        <w:rPr>
          <w:rtl/>
          <w:lang w:bidi="ar-EG"/>
        </w:rPr>
        <w:t xml:space="preserve"> إلى إدارة تنمية المرأة، تم تشكيل ما مجموعه 136 53 من الجمعيات النسائية. ويبين الجدول التالي أحد مؤشرات نتائج التنمية المؤسسية للمرأة بصورة عامة ومختلف الهويات الاجتماعية للمرأة بصورة خاصة.</w:t>
      </w:r>
    </w:p>
    <w:p w:rsidR="006135A2" w:rsidRDefault="000B7434" w:rsidP="006135A2">
      <w:pPr>
        <w:pStyle w:val="SingleTxtGA"/>
        <w:spacing w:after="0"/>
        <w:rPr>
          <w:rFonts w:hint="cs"/>
          <w:rtl/>
          <w:lang w:bidi="ar-EG"/>
        </w:rPr>
      </w:pPr>
      <w:r w:rsidRPr="00B50D32">
        <w:rPr>
          <w:rtl/>
          <w:lang w:bidi="ar-EG"/>
        </w:rPr>
        <w:t>الجدول 27</w:t>
      </w:r>
    </w:p>
    <w:p w:rsidR="000B7434" w:rsidRPr="006135A2" w:rsidRDefault="000B7434" w:rsidP="006135A2">
      <w:pPr>
        <w:pStyle w:val="SingleTxtGA"/>
        <w:rPr>
          <w:b/>
          <w:bCs/>
          <w:rtl/>
          <w:lang w:bidi="ar-EG"/>
        </w:rPr>
      </w:pPr>
      <w:r w:rsidRPr="006135A2">
        <w:rPr>
          <w:b/>
          <w:bCs/>
          <w:rtl/>
          <w:lang w:bidi="ar-EG"/>
        </w:rPr>
        <w:t>اشتراك المرأة في جمعيات تنمية المرأة</w:t>
      </w:r>
    </w:p>
    <w:tbl>
      <w:tblPr>
        <w:bidiVisual/>
        <w:tblW w:w="7153" w:type="dxa"/>
        <w:tblInd w:w="1267" w:type="dxa"/>
        <w:tblLayout w:type="fixed"/>
        <w:tblCellMar>
          <w:left w:w="0" w:type="dxa"/>
          <w:right w:w="0" w:type="dxa"/>
        </w:tblCellMar>
        <w:tblLook w:val="0000" w:firstRow="0" w:lastRow="0" w:firstColumn="0" w:lastColumn="0" w:noHBand="0" w:noVBand="0"/>
      </w:tblPr>
      <w:tblGrid>
        <w:gridCol w:w="4360"/>
        <w:gridCol w:w="1236"/>
        <w:gridCol w:w="1557"/>
      </w:tblGrid>
      <w:tr w:rsidR="000B7434" w:rsidRPr="00AB24C5" w:rsidTr="006135A2">
        <w:tblPrEx>
          <w:tblCellMar>
            <w:top w:w="0" w:type="dxa"/>
            <w:bottom w:w="0" w:type="dxa"/>
          </w:tblCellMar>
        </w:tblPrEx>
        <w:trPr>
          <w:cantSplit/>
          <w:tblHeader/>
        </w:trPr>
        <w:tc>
          <w:tcPr>
            <w:tcW w:w="4360" w:type="dxa"/>
            <w:tcBorders>
              <w:top w:val="single" w:sz="4" w:space="0" w:color="auto"/>
              <w:bottom w:val="single" w:sz="12" w:space="0" w:color="auto"/>
            </w:tcBorders>
            <w:vAlign w:val="bottom"/>
          </w:tcPr>
          <w:p w:rsidR="000B7434" w:rsidRPr="006135A2" w:rsidRDefault="000B7434" w:rsidP="006135A2">
            <w:pPr>
              <w:tabs>
                <w:tab w:val="left" w:pos="288"/>
                <w:tab w:val="left" w:pos="576"/>
                <w:tab w:val="left" w:pos="864"/>
                <w:tab w:val="left" w:pos="1152"/>
              </w:tabs>
              <w:spacing w:before="60" w:after="60" w:line="280" w:lineRule="exact"/>
              <w:ind w:left="57"/>
              <w:rPr>
                <w:i/>
                <w:iCs/>
                <w:sz w:val="18"/>
                <w:szCs w:val="26"/>
                <w:lang w:bidi="ar-EG"/>
              </w:rPr>
            </w:pPr>
            <w:r w:rsidRPr="006135A2">
              <w:rPr>
                <w:i/>
                <w:iCs/>
                <w:sz w:val="18"/>
                <w:szCs w:val="26"/>
                <w:rtl/>
                <w:lang w:bidi="ar-EG"/>
              </w:rPr>
              <w:t>المرأة</w:t>
            </w:r>
          </w:p>
        </w:tc>
        <w:tc>
          <w:tcPr>
            <w:tcW w:w="1236" w:type="dxa"/>
            <w:tcBorders>
              <w:top w:val="single" w:sz="4" w:space="0" w:color="auto"/>
              <w:bottom w:val="single" w:sz="12" w:space="0" w:color="auto"/>
            </w:tcBorders>
            <w:vAlign w:val="bottom"/>
          </w:tcPr>
          <w:p w:rsidR="000B7434" w:rsidRPr="006135A2" w:rsidRDefault="000B7434" w:rsidP="006135A2">
            <w:pPr>
              <w:tabs>
                <w:tab w:val="left" w:pos="288"/>
                <w:tab w:val="left" w:pos="576"/>
                <w:tab w:val="left" w:pos="864"/>
                <w:tab w:val="left" w:pos="1152"/>
              </w:tabs>
              <w:spacing w:before="60" w:after="60" w:line="280" w:lineRule="exact"/>
              <w:ind w:left="57"/>
              <w:rPr>
                <w:i/>
                <w:iCs/>
                <w:sz w:val="18"/>
                <w:szCs w:val="26"/>
                <w:lang w:bidi="ar-EG"/>
              </w:rPr>
            </w:pPr>
            <w:r w:rsidRPr="006135A2">
              <w:rPr>
                <w:i/>
                <w:iCs/>
                <w:sz w:val="18"/>
                <w:szCs w:val="26"/>
                <w:rtl/>
                <w:lang w:bidi="ar-EG"/>
              </w:rPr>
              <w:t>العدد</w:t>
            </w:r>
          </w:p>
        </w:tc>
        <w:tc>
          <w:tcPr>
            <w:tcW w:w="1557" w:type="dxa"/>
            <w:tcBorders>
              <w:top w:val="single" w:sz="4" w:space="0" w:color="auto"/>
              <w:bottom w:val="single" w:sz="12" w:space="0" w:color="auto"/>
            </w:tcBorders>
            <w:vAlign w:val="bottom"/>
          </w:tcPr>
          <w:p w:rsidR="000B7434" w:rsidRPr="006135A2" w:rsidRDefault="000B7434" w:rsidP="006135A2">
            <w:pPr>
              <w:tabs>
                <w:tab w:val="left" w:pos="288"/>
                <w:tab w:val="left" w:pos="576"/>
                <w:tab w:val="left" w:pos="864"/>
                <w:tab w:val="left" w:pos="1152"/>
              </w:tabs>
              <w:spacing w:before="60" w:after="60" w:line="280" w:lineRule="exact"/>
              <w:ind w:left="57"/>
              <w:rPr>
                <w:i/>
                <w:iCs/>
                <w:sz w:val="18"/>
                <w:szCs w:val="26"/>
                <w:lang w:bidi="ar-EG"/>
              </w:rPr>
            </w:pPr>
            <w:r w:rsidRPr="006135A2">
              <w:rPr>
                <w:i/>
                <w:iCs/>
                <w:sz w:val="18"/>
                <w:szCs w:val="26"/>
                <w:rtl/>
                <w:lang w:bidi="ar-EG"/>
              </w:rPr>
              <w:t>النسبة المئوية</w:t>
            </w:r>
          </w:p>
        </w:tc>
      </w:tr>
      <w:tr w:rsidR="000B7434" w:rsidRPr="00AB24C5" w:rsidTr="006135A2">
        <w:tblPrEx>
          <w:tblCellMar>
            <w:top w:w="0" w:type="dxa"/>
            <w:bottom w:w="0" w:type="dxa"/>
          </w:tblCellMar>
        </w:tblPrEx>
        <w:trPr>
          <w:cantSplit/>
        </w:trPr>
        <w:tc>
          <w:tcPr>
            <w:tcW w:w="4360" w:type="dxa"/>
            <w:vAlign w:val="bottom"/>
          </w:tcPr>
          <w:p w:rsidR="000B7434" w:rsidRPr="006135A2" w:rsidRDefault="000B7434" w:rsidP="006135A2">
            <w:pPr>
              <w:tabs>
                <w:tab w:val="left" w:pos="288"/>
                <w:tab w:val="left" w:pos="576"/>
                <w:tab w:val="left" w:pos="864"/>
                <w:tab w:val="left" w:pos="1152"/>
              </w:tabs>
              <w:spacing w:before="60" w:after="60" w:line="280" w:lineRule="exact"/>
              <w:ind w:left="57"/>
              <w:rPr>
                <w:sz w:val="18"/>
                <w:szCs w:val="26"/>
                <w:lang w:bidi="ar-EG"/>
              </w:rPr>
            </w:pPr>
            <w:r w:rsidRPr="006135A2">
              <w:rPr>
                <w:sz w:val="18"/>
                <w:szCs w:val="26"/>
                <w:rtl/>
                <w:lang w:bidi="ar-EG"/>
              </w:rPr>
              <w:t>نساء الداليت</w:t>
            </w:r>
          </w:p>
        </w:tc>
        <w:tc>
          <w:tcPr>
            <w:tcW w:w="1236" w:type="dxa"/>
            <w:vAlign w:val="bottom"/>
          </w:tcPr>
          <w:p w:rsidR="000B7434" w:rsidRPr="006135A2" w:rsidRDefault="000B7434" w:rsidP="006135A2">
            <w:pPr>
              <w:tabs>
                <w:tab w:val="left" w:pos="288"/>
                <w:tab w:val="left" w:pos="576"/>
                <w:tab w:val="left" w:pos="864"/>
                <w:tab w:val="left" w:pos="1152"/>
              </w:tabs>
              <w:spacing w:before="60" w:after="60" w:line="280" w:lineRule="exact"/>
              <w:ind w:left="57"/>
              <w:rPr>
                <w:sz w:val="18"/>
                <w:szCs w:val="26"/>
                <w:lang w:bidi="ar-EG"/>
              </w:rPr>
            </w:pPr>
            <w:r w:rsidRPr="006135A2">
              <w:rPr>
                <w:sz w:val="18"/>
                <w:szCs w:val="26"/>
                <w:rtl/>
                <w:lang w:bidi="ar-EG"/>
              </w:rPr>
              <w:t>666 44</w:t>
            </w:r>
          </w:p>
        </w:tc>
        <w:tc>
          <w:tcPr>
            <w:tcW w:w="1557" w:type="dxa"/>
            <w:vAlign w:val="bottom"/>
          </w:tcPr>
          <w:p w:rsidR="000B7434" w:rsidRPr="006135A2" w:rsidRDefault="000B7434" w:rsidP="006135A2">
            <w:pPr>
              <w:tabs>
                <w:tab w:val="left" w:pos="288"/>
                <w:tab w:val="left" w:pos="576"/>
                <w:tab w:val="left" w:pos="864"/>
                <w:tab w:val="left" w:pos="1152"/>
              </w:tabs>
              <w:spacing w:before="60" w:after="60" w:line="280" w:lineRule="exact"/>
              <w:ind w:left="57"/>
              <w:rPr>
                <w:sz w:val="18"/>
                <w:szCs w:val="26"/>
                <w:lang w:bidi="ar-EG"/>
              </w:rPr>
            </w:pPr>
            <w:r w:rsidRPr="006135A2">
              <w:rPr>
                <w:sz w:val="18"/>
                <w:szCs w:val="26"/>
                <w:rtl/>
                <w:lang w:bidi="ar-EG"/>
              </w:rPr>
              <w:t>13.1 في المائة</w:t>
            </w:r>
          </w:p>
        </w:tc>
      </w:tr>
      <w:tr w:rsidR="000B7434" w:rsidRPr="00AB24C5" w:rsidTr="006135A2">
        <w:tblPrEx>
          <w:tblCellMar>
            <w:top w:w="0" w:type="dxa"/>
            <w:bottom w:w="0" w:type="dxa"/>
          </w:tblCellMar>
        </w:tblPrEx>
        <w:trPr>
          <w:cantSplit/>
        </w:trPr>
        <w:tc>
          <w:tcPr>
            <w:tcW w:w="4360" w:type="dxa"/>
            <w:vAlign w:val="bottom"/>
          </w:tcPr>
          <w:p w:rsidR="000B7434" w:rsidRPr="006135A2" w:rsidRDefault="000B7434" w:rsidP="006135A2">
            <w:pPr>
              <w:tabs>
                <w:tab w:val="left" w:pos="288"/>
                <w:tab w:val="left" w:pos="576"/>
                <w:tab w:val="left" w:pos="864"/>
                <w:tab w:val="left" w:pos="1152"/>
              </w:tabs>
              <w:spacing w:before="60" w:after="60" w:line="280" w:lineRule="exact"/>
              <w:ind w:left="57"/>
              <w:rPr>
                <w:sz w:val="18"/>
                <w:szCs w:val="26"/>
                <w:lang w:bidi="ar-EG"/>
              </w:rPr>
            </w:pPr>
            <w:r w:rsidRPr="006135A2">
              <w:rPr>
                <w:sz w:val="18"/>
                <w:szCs w:val="26"/>
                <w:rtl/>
                <w:lang w:bidi="ar-EG"/>
              </w:rPr>
              <w:t>نساء الجانجاتي (العرقيات)</w:t>
            </w:r>
          </w:p>
        </w:tc>
        <w:tc>
          <w:tcPr>
            <w:tcW w:w="1236" w:type="dxa"/>
            <w:vAlign w:val="bottom"/>
          </w:tcPr>
          <w:p w:rsidR="000B7434" w:rsidRPr="006135A2" w:rsidRDefault="000B7434" w:rsidP="006135A2">
            <w:pPr>
              <w:tabs>
                <w:tab w:val="left" w:pos="288"/>
                <w:tab w:val="left" w:pos="576"/>
                <w:tab w:val="left" w:pos="864"/>
                <w:tab w:val="left" w:pos="1152"/>
              </w:tabs>
              <w:spacing w:before="60" w:after="60" w:line="280" w:lineRule="exact"/>
              <w:ind w:left="57"/>
              <w:rPr>
                <w:sz w:val="18"/>
                <w:szCs w:val="26"/>
                <w:lang w:bidi="ar-EG"/>
              </w:rPr>
            </w:pPr>
            <w:r w:rsidRPr="006135A2">
              <w:rPr>
                <w:sz w:val="18"/>
                <w:szCs w:val="26"/>
                <w:rtl/>
                <w:lang w:bidi="ar-EG"/>
              </w:rPr>
              <w:t>074 115</w:t>
            </w:r>
          </w:p>
        </w:tc>
        <w:tc>
          <w:tcPr>
            <w:tcW w:w="1557" w:type="dxa"/>
            <w:vAlign w:val="bottom"/>
          </w:tcPr>
          <w:p w:rsidR="000B7434" w:rsidRPr="006135A2" w:rsidRDefault="000B7434" w:rsidP="006135A2">
            <w:pPr>
              <w:tabs>
                <w:tab w:val="left" w:pos="288"/>
                <w:tab w:val="left" w:pos="576"/>
                <w:tab w:val="left" w:pos="864"/>
                <w:tab w:val="left" w:pos="1152"/>
              </w:tabs>
              <w:spacing w:before="60" w:after="60" w:line="280" w:lineRule="exact"/>
              <w:ind w:left="57"/>
              <w:rPr>
                <w:sz w:val="18"/>
                <w:szCs w:val="26"/>
                <w:lang w:bidi="ar-EG"/>
              </w:rPr>
            </w:pPr>
            <w:r w:rsidRPr="006135A2">
              <w:rPr>
                <w:sz w:val="18"/>
                <w:szCs w:val="26"/>
                <w:rtl/>
                <w:lang w:bidi="ar-EG"/>
              </w:rPr>
              <w:t>33.53 في المائة</w:t>
            </w:r>
          </w:p>
        </w:tc>
      </w:tr>
      <w:tr w:rsidR="000B7434" w:rsidRPr="00AB24C5" w:rsidTr="006135A2">
        <w:tblPrEx>
          <w:tblCellMar>
            <w:top w:w="0" w:type="dxa"/>
            <w:bottom w:w="0" w:type="dxa"/>
          </w:tblCellMar>
        </w:tblPrEx>
        <w:trPr>
          <w:cantSplit/>
        </w:trPr>
        <w:tc>
          <w:tcPr>
            <w:tcW w:w="4360" w:type="dxa"/>
            <w:tcBorders>
              <w:bottom w:val="single" w:sz="4" w:space="0" w:color="auto"/>
            </w:tcBorders>
            <w:vAlign w:val="bottom"/>
          </w:tcPr>
          <w:p w:rsidR="000B7434" w:rsidRPr="006135A2" w:rsidRDefault="000B7434" w:rsidP="006135A2">
            <w:pPr>
              <w:tabs>
                <w:tab w:val="left" w:pos="288"/>
                <w:tab w:val="left" w:pos="576"/>
                <w:tab w:val="left" w:pos="864"/>
                <w:tab w:val="left" w:pos="1152"/>
              </w:tabs>
              <w:spacing w:before="60" w:after="60" w:line="280" w:lineRule="exact"/>
              <w:ind w:left="57"/>
              <w:rPr>
                <w:sz w:val="18"/>
                <w:szCs w:val="26"/>
                <w:lang w:bidi="ar-EG"/>
              </w:rPr>
            </w:pPr>
            <w:r w:rsidRPr="006135A2">
              <w:rPr>
                <w:sz w:val="18"/>
                <w:szCs w:val="26"/>
                <w:rtl/>
                <w:lang w:bidi="ar-EG"/>
              </w:rPr>
              <w:t>الطوائف الأخرى</w:t>
            </w:r>
          </w:p>
        </w:tc>
        <w:tc>
          <w:tcPr>
            <w:tcW w:w="1236" w:type="dxa"/>
            <w:tcBorders>
              <w:bottom w:val="single" w:sz="4" w:space="0" w:color="auto"/>
            </w:tcBorders>
            <w:vAlign w:val="bottom"/>
          </w:tcPr>
          <w:p w:rsidR="000B7434" w:rsidRPr="006135A2" w:rsidRDefault="000B7434" w:rsidP="006135A2">
            <w:pPr>
              <w:tabs>
                <w:tab w:val="left" w:pos="288"/>
                <w:tab w:val="left" w:pos="576"/>
                <w:tab w:val="left" w:pos="864"/>
                <w:tab w:val="left" w:pos="1152"/>
              </w:tabs>
              <w:spacing w:before="60" w:after="60" w:line="280" w:lineRule="exact"/>
              <w:ind w:left="57"/>
              <w:rPr>
                <w:sz w:val="18"/>
                <w:szCs w:val="26"/>
                <w:lang w:bidi="ar-EG"/>
              </w:rPr>
            </w:pPr>
            <w:r w:rsidRPr="006135A2">
              <w:rPr>
                <w:sz w:val="18"/>
                <w:szCs w:val="26"/>
                <w:rtl/>
                <w:lang w:bidi="ar-EG"/>
              </w:rPr>
              <w:t>509 183</w:t>
            </w:r>
          </w:p>
        </w:tc>
        <w:tc>
          <w:tcPr>
            <w:tcW w:w="1557" w:type="dxa"/>
            <w:tcBorders>
              <w:bottom w:val="single" w:sz="4" w:space="0" w:color="auto"/>
            </w:tcBorders>
            <w:vAlign w:val="bottom"/>
          </w:tcPr>
          <w:p w:rsidR="000B7434" w:rsidRPr="006135A2" w:rsidRDefault="000B7434" w:rsidP="006135A2">
            <w:pPr>
              <w:tabs>
                <w:tab w:val="left" w:pos="288"/>
                <w:tab w:val="left" w:pos="576"/>
                <w:tab w:val="left" w:pos="864"/>
                <w:tab w:val="left" w:pos="1152"/>
              </w:tabs>
              <w:spacing w:before="60" w:after="60" w:line="280" w:lineRule="exact"/>
              <w:ind w:left="57"/>
              <w:rPr>
                <w:sz w:val="18"/>
                <w:szCs w:val="26"/>
                <w:lang w:bidi="ar-EG"/>
              </w:rPr>
            </w:pPr>
            <w:r w:rsidRPr="006135A2">
              <w:rPr>
                <w:sz w:val="18"/>
                <w:szCs w:val="26"/>
                <w:rtl/>
                <w:lang w:bidi="ar-EG"/>
              </w:rPr>
              <w:t>53.46 في المائة</w:t>
            </w:r>
          </w:p>
        </w:tc>
      </w:tr>
      <w:tr w:rsidR="000B7434" w:rsidRPr="00AB24C5" w:rsidTr="006135A2">
        <w:tblPrEx>
          <w:tblCellMar>
            <w:top w:w="0" w:type="dxa"/>
            <w:bottom w:w="0" w:type="dxa"/>
          </w:tblCellMar>
        </w:tblPrEx>
        <w:trPr>
          <w:cantSplit/>
        </w:trPr>
        <w:tc>
          <w:tcPr>
            <w:tcW w:w="4360" w:type="dxa"/>
            <w:tcBorders>
              <w:top w:val="single" w:sz="4" w:space="0" w:color="auto"/>
              <w:bottom w:val="single" w:sz="12" w:space="0" w:color="auto"/>
            </w:tcBorders>
            <w:vAlign w:val="bottom"/>
          </w:tcPr>
          <w:p w:rsidR="000B7434" w:rsidRPr="006135A2" w:rsidRDefault="000B7434" w:rsidP="006135A2">
            <w:pPr>
              <w:tabs>
                <w:tab w:val="left" w:pos="288"/>
                <w:tab w:val="left" w:pos="576"/>
                <w:tab w:val="left" w:pos="864"/>
                <w:tab w:val="left" w:pos="1152"/>
              </w:tabs>
              <w:spacing w:before="60" w:after="60" w:line="280" w:lineRule="exact"/>
              <w:ind w:left="57"/>
              <w:rPr>
                <w:bCs/>
                <w:sz w:val="18"/>
                <w:szCs w:val="26"/>
                <w:lang w:bidi="ar-EG"/>
              </w:rPr>
            </w:pPr>
            <w:r w:rsidRPr="006135A2">
              <w:rPr>
                <w:bCs/>
                <w:sz w:val="18"/>
                <w:szCs w:val="26"/>
                <w:rtl/>
                <w:lang w:bidi="ar-EG"/>
              </w:rPr>
              <w:tab/>
              <w:t>المجموع</w:t>
            </w:r>
          </w:p>
        </w:tc>
        <w:tc>
          <w:tcPr>
            <w:tcW w:w="1236" w:type="dxa"/>
            <w:tcBorders>
              <w:top w:val="single" w:sz="4" w:space="0" w:color="auto"/>
              <w:bottom w:val="single" w:sz="12" w:space="0" w:color="auto"/>
            </w:tcBorders>
            <w:vAlign w:val="bottom"/>
          </w:tcPr>
          <w:p w:rsidR="000B7434" w:rsidRPr="006135A2" w:rsidRDefault="000B7434" w:rsidP="006135A2">
            <w:pPr>
              <w:tabs>
                <w:tab w:val="left" w:pos="288"/>
                <w:tab w:val="left" w:pos="576"/>
                <w:tab w:val="left" w:pos="864"/>
                <w:tab w:val="left" w:pos="1152"/>
              </w:tabs>
              <w:spacing w:before="60" w:after="60" w:line="280" w:lineRule="exact"/>
              <w:ind w:left="57"/>
              <w:rPr>
                <w:bCs/>
                <w:sz w:val="18"/>
                <w:szCs w:val="26"/>
                <w:lang w:bidi="ar-EG"/>
              </w:rPr>
            </w:pPr>
            <w:r w:rsidRPr="006135A2">
              <w:rPr>
                <w:bCs/>
                <w:sz w:val="18"/>
                <w:szCs w:val="26"/>
                <w:rtl/>
                <w:lang w:bidi="ar-EG"/>
              </w:rPr>
              <w:t>249 343</w:t>
            </w:r>
          </w:p>
        </w:tc>
        <w:tc>
          <w:tcPr>
            <w:tcW w:w="1557" w:type="dxa"/>
            <w:tcBorders>
              <w:top w:val="single" w:sz="4" w:space="0" w:color="auto"/>
              <w:bottom w:val="single" w:sz="12" w:space="0" w:color="auto"/>
            </w:tcBorders>
            <w:vAlign w:val="bottom"/>
          </w:tcPr>
          <w:p w:rsidR="000B7434" w:rsidRPr="006135A2" w:rsidRDefault="000B7434" w:rsidP="006135A2">
            <w:pPr>
              <w:tabs>
                <w:tab w:val="left" w:pos="288"/>
                <w:tab w:val="left" w:pos="576"/>
                <w:tab w:val="left" w:pos="864"/>
                <w:tab w:val="left" w:pos="1152"/>
              </w:tabs>
              <w:spacing w:before="60" w:after="60" w:line="280" w:lineRule="exact"/>
              <w:ind w:left="57"/>
              <w:rPr>
                <w:bCs/>
                <w:sz w:val="18"/>
                <w:szCs w:val="26"/>
                <w:lang w:bidi="ar-EG"/>
              </w:rPr>
            </w:pPr>
            <w:r w:rsidRPr="006135A2">
              <w:rPr>
                <w:bCs/>
                <w:sz w:val="18"/>
                <w:szCs w:val="26"/>
                <w:rtl/>
                <w:lang w:bidi="ar-EG"/>
              </w:rPr>
              <w:t>100 في المائة</w:t>
            </w:r>
          </w:p>
        </w:tc>
      </w:tr>
    </w:tbl>
    <w:p w:rsidR="000B7434" w:rsidRPr="006135A2" w:rsidRDefault="006135A2" w:rsidP="006135A2">
      <w:pPr>
        <w:pStyle w:val="SingleTxt"/>
        <w:spacing w:before="120" w:after="240" w:line="300" w:lineRule="exact"/>
        <w:ind w:left="1264" w:right="1264"/>
        <w:rPr>
          <w:rFonts w:hint="cs"/>
          <w:sz w:val="16"/>
          <w:szCs w:val="26"/>
          <w:rtl/>
          <w:lang w:bidi="ar-EG"/>
        </w:rPr>
      </w:pPr>
      <w:r>
        <w:rPr>
          <w:rFonts w:hint="cs"/>
          <w:i/>
          <w:iCs/>
          <w:sz w:val="16"/>
          <w:szCs w:val="26"/>
          <w:rtl/>
          <w:lang w:bidi="ar-EG"/>
        </w:rPr>
        <w:t xml:space="preserve"> </w:t>
      </w:r>
      <w:r w:rsidR="000B7434" w:rsidRPr="00AB24C5">
        <w:rPr>
          <w:i/>
          <w:iCs/>
          <w:sz w:val="16"/>
          <w:szCs w:val="26"/>
          <w:rtl/>
          <w:lang w:bidi="ar-EG"/>
        </w:rPr>
        <w:t>المصدر</w:t>
      </w:r>
      <w:r w:rsidR="000B7434" w:rsidRPr="006135A2">
        <w:rPr>
          <w:sz w:val="16"/>
          <w:szCs w:val="26"/>
          <w:rtl/>
          <w:lang w:bidi="ar-EG"/>
        </w:rPr>
        <w:t>:</w:t>
      </w:r>
      <w:r w:rsidRPr="006135A2">
        <w:rPr>
          <w:rFonts w:hint="cs"/>
          <w:sz w:val="16"/>
          <w:szCs w:val="26"/>
          <w:rtl/>
          <w:lang w:bidi="ar-EG"/>
        </w:rPr>
        <w:t xml:space="preserve"> </w:t>
      </w:r>
      <w:r w:rsidR="000B7434" w:rsidRPr="006135A2">
        <w:rPr>
          <w:sz w:val="16"/>
          <w:szCs w:val="26"/>
          <w:rtl/>
          <w:lang w:bidi="ar-EG"/>
        </w:rPr>
        <w:t xml:space="preserve"> التقرير السنوي لإدارة تنمية المرأة، 2063/2064 (تقويم نيبال)</w:t>
      </w:r>
      <w:r>
        <w:rPr>
          <w:rFonts w:hint="cs"/>
          <w:sz w:val="16"/>
          <w:szCs w:val="26"/>
          <w:rtl/>
          <w:lang w:bidi="ar-EG"/>
        </w:rPr>
        <w:t>.</w:t>
      </w:r>
    </w:p>
    <w:p w:rsidR="000B7434" w:rsidRDefault="000B7434" w:rsidP="006135A2">
      <w:pPr>
        <w:pStyle w:val="SingleTxtGA"/>
        <w:rPr>
          <w:rtl/>
          <w:lang w:bidi="ar-EG"/>
        </w:rPr>
      </w:pPr>
      <w:r>
        <w:rPr>
          <w:rtl/>
          <w:lang w:bidi="ar-EG"/>
        </w:rPr>
        <w:t>236-</w:t>
      </w:r>
      <w:r w:rsidR="006135A2">
        <w:rPr>
          <w:rFonts w:hint="cs"/>
          <w:rtl/>
          <w:lang w:bidi="ar-EG"/>
        </w:rPr>
        <w:tab/>
      </w:r>
      <w:r>
        <w:rPr>
          <w:rtl/>
          <w:lang w:bidi="ar-EG"/>
        </w:rPr>
        <w:t>ويُوفر قانون الحكم الذاتي المحلي، وفق المذكور أعلاه، مجالاً هائلاً للنهوض بالمرأة والفئات الاجتماعية الأخرى وتمكينها. وبغية الوفاء بأهداف هذا القانون، اعتمدت وزارة التنمية المحلية مبادئ توجيهية تبين لا الإجراءات فحسب بل وتنص كذلك على المشاركة الشمولية للمستفيدين، بمن فيهم المرأة، في لجان صنع القرار. وفيما يلي بعض المجالات التي وضعت المبادئ التوجيهية لأجلها:</w:t>
      </w:r>
    </w:p>
    <w:p w:rsidR="000B7434"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rtl/>
          <w:lang w:bidi="ar-EG"/>
        </w:rPr>
      </w:pPr>
      <w:r>
        <w:rPr>
          <w:rFonts w:hint="cs"/>
          <w:rtl/>
          <w:lang w:bidi="ar-EG"/>
        </w:rPr>
        <w:t>•</w:t>
      </w:r>
      <w:r>
        <w:rPr>
          <w:rtl/>
          <w:lang w:bidi="ar-EG"/>
        </w:rPr>
        <w:tab/>
        <w:t>المبادئ التوجيهية التشغيلية لبرنامج مِنَح لجان التنمية القروية، لعام 2006</w:t>
      </w:r>
      <w:r w:rsidR="006135A2">
        <w:rPr>
          <w:rFonts w:hint="cs"/>
          <w:rtl/>
          <w:lang w:bidi="ar-EG"/>
        </w:rPr>
        <w:t>؛</w:t>
      </w:r>
    </w:p>
    <w:p w:rsidR="000B7434"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rtl/>
          <w:lang w:bidi="ar-EG"/>
        </w:rPr>
      </w:pPr>
      <w:r>
        <w:rPr>
          <w:rFonts w:hint="cs"/>
          <w:rtl/>
          <w:lang w:bidi="ar-EG"/>
        </w:rPr>
        <w:t>•</w:t>
      </w:r>
      <w:r>
        <w:rPr>
          <w:rtl/>
          <w:lang w:bidi="ar-EG"/>
        </w:rPr>
        <w:tab/>
        <w:t>التزام المنظمات المجتمعية (الأهلية)، لعام 2007</w:t>
      </w:r>
      <w:r w:rsidR="006135A2">
        <w:rPr>
          <w:rFonts w:hint="cs"/>
          <w:rtl/>
          <w:lang w:bidi="ar-EG"/>
        </w:rPr>
        <w:t>؛</w:t>
      </w:r>
    </w:p>
    <w:p w:rsidR="000B7434"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rtl/>
          <w:lang w:bidi="ar-EG"/>
        </w:rPr>
      </w:pPr>
      <w:r>
        <w:rPr>
          <w:rFonts w:hint="cs"/>
          <w:rtl/>
          <w:lang w:bidi="ar-EG"/>
        </w:rPr>
        <w:t>•</w:t>
      </w:r>
      <w:r>
        <w:rPr>
          <w:rtl/>
          <w:lang w:bidi="ar-EG"/>
        </w:rPr>
        <w:tab/>
        <w:t>المبادئ التوجيهية التشغيلية لبرنامج الضمان الاجتماعي، لعام 2008</w:t>
      </w:r>
      <w:r w:rsidR="006135A2">
        <w:rPr>
          <w:rFonts w:hint="cs"/>
          <w:rtl/>
          <w:lang w:bidi="ar-EG"/>
        </w:rPr>
        <w:t>؛</w:t>
      </w:r>
    </w:p>
    <w:p w:rsidR="000B7434" w:rsidRDefault="000B7434" w:rsidP="006135A2">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rtl/>
          <w:lang w:bidi="ar-EG"/>
        </w:rPr>
      </w:pPr>
      <w:r>
        <w:rPr>
          <w:rFonts w:hint="cs"/>
          <w:rtl/>
          <w:lang w:bidi="ar-EG"/>
        </w:rPr>
        <w:t>•</w:t>
      </w:r>
      <w:r>
        <w:rPr>
          <w:rtl/>
          <w:lang w:bidi="ar-EG"/>
        </w:rPr>
        <w:tab/>
        <w:t>المبادئ التوجيهية لمراجعة حسابات الميزانية الجنسانية للهيئات المحلية، لعام 2008</w:t>
      </w:r>
      <w:r w:rsidR="006135A2">
        <w:rPr>
          <w:rFonts w:hint="cs"/>
          <w:rtl/>
          <w:lang w:bidi="ar-EG"/>
        </w:rPr>
        <w:t>.</w:t>
      </w:r>
    </w:p>
    <w:p w:rsidR="000B7434" w:rsidRDefault="000B7434" w:rsidP="006135A2">
      <w:pPr>
        <w:pStyle w:val="SingleTxtGA"/>
        <w:rPr>
          <w:rtl/>
          <w:lang w:bidi="ar-EG"/>
        </w:rPr>
      </w:pPr>
      <w:r>
        <w:rPr>
          <w:rtl/>
          <w:lang w:bidi="ar-EG"/>
        </w:rPr>
        <w:t>237-</w:t>
      </w:r>
      <w:r w:rsidR="006135A2">
        <w:rPr>
          <w:rFonts w:hint="cs"/>
          <w:rtl/>
          <w:lang w:bidi="ar-EG"/>
        </w:rPr>
        <w:tab/>
      </w:r>
      <w:r>
        <w:rPr>
          <w:rtl/>
          <w:lang w:bidi="ar-EG"/>
        </w:rPr>
        <w:t>وتضع المبادئ التوجيهية التشغيلية لبرنامج منح لجان التنمية القروية لعام 2006 حكما</w:t>
      </w:r>
      <w:r w:rsidR="00762AAB">
        <w:rPr>
          <w:rFonts w:hint="cs"/>
          <w:rtl/>
          <w:lang w:bidi="ar-EG"/>
        </w:rPr>
        <w:t>ً</w:t>
      </w:r>
      <w:r>
        <w:rPr>
          <w:rtl/>
          <w:lang w:bidi="ar-EG"/>
        </w:rPr>
        <w:t xml:space="preserve"> [في ا</w:t>
      </w:r>
      <w:r w:rsidR="006135A2">
        <w:rPr>
          <w:rtl/>
          <w:lang w:bidi="ar-EG"/>
        </w:rPr>
        <w:t>لفقرة 7-2</w:t>
      </w:r>
      <w:r>
        <w:rPr>
          <w:rtl/>
          <w:lang w:bidi="ar-EG"/>
        </w:rPr>
        <w:t xml:space="preserve">(ب)] يتعلق بتكوين لجان للمستعملين وتطالب بأن تكون نسبة تمثيل المرأة فيها 33 في المائة. أما المبادئ التوجيهية لمراجعة حسابات الميزانية الجنسانية للهيئات المحلية (التي أقرتها وزارة شؤون المرأة في 2 أيار/مايو 2008) ففيها مبدأ توجيهي تنفيذي أكثرَ شمولاً يتضمن هدف إضفاء الطابع المؤسسي على نظام الإدارة الجيدة المراعية للجنسانية، عن طريق الرصد والتقييم ونظام مراجعة حسابات الميزانية الجنسانية. وتنص المبادئ التوجيهية </w:t>
      </w:r>
      <w:r w:rsidRPr="0052259C">
        <w:rPr>
          <w:spacing w:val="-2"/>
          <w:rtl/>
          <w:lang w:bidi="ar-EG"/>
        </w:rPr>
        <w:t>بوضوح على نطاق عمل مراجعة حسابات الميزانية الجنسانية وهو جمع وتحديث البيانات المفصلة حسب الجنس، وبناء القدرات المراعية للجنسانية وتيسيره، والعديد من الأحكام الأخرى المتعلقة بتعيين منسقين للشؤون الجنسانية للقيام بأعمال التنسيق والتوثيق والإبلاغ إلخ، تتبعها مرفقات لنماذج العمل المتعلق بتعميم الجنسانية في الهيئات المحلية. ويوضِّح الجزء</w:t>
      </w:r>
      <w:r>
        <w:rPr>
          <w:rtl/>
          <w:lang w:bidi="ar-EG"/>
        </w:rPr>
        <w:t xml:space="preserve"> الثالث من المبادئ التوجيهية طريقة العمل لتنفيذ المجالات الإثني عشر الحرجة التي اعتمدها منهاج عمل بيجين.</w:t>
      </w:r>
    </w:p>
    <w:p w:rsidR="000B7434" w:rsidRDefault="000B7434" w:rsidP="006135A2">
      <w:pPr>
        <w:pStyle w:val="SingleTxtGA"/>
        <w:rPr>
          <w:rtl/>
          <w:lang w:bidi="ar-EG"/>
        </w:rPr>
      </w:pPr>
      <w:r>
        <w:rPr>
          <w:rtl/>
          <w:lang w:bidi="ar-EG"/>
        </w:rPr>
        <w:t>238-</w:t>
      </w:r>
      <w:r w:rsidR="006135A2">
        <w:rPr>
          <w:rFonts w:hint="cs"/>
          <w:rtl/>
          <w:lang w:bidi="ar-EG"/>
        </w:rPr>
        <w:tab/>
      </w:r>
      <w:r>
        <w:rPr>
          <w:rtl/>
          <w:lang w:bidi="ar-EG"/>
        </w:rPr>
        <w:t>وثمة مؤسسة مستقلة من مؤسسات الدولة أنشئت للنهوض بالمرأة وتمكينها هي</w:t>
      </w:r>
      <w:r>
        <w:rPr>
          <w:rFonts w:hint="cs"/>
          <w:rtl/>
          <w:lang w:bidi="ar-EG"/>
        </w:rPr>
        <w:t> </w:t>
      </w:r>
      <w:r>
        <w:rPr>
          <w:rtl/>
          <w:lang w:bidi="ar-EG"/>
        </w:rPr>
        <w:t xml:space="preserve">اللجنة الوطنية للمرأة. وكانت هذه قد أنشئت في السابق بمجرد قرار من الحكومة ولكنها في الوقت الراهن هيئة اعتبارية مستقلة مع صدور قانون اللجنة الوطنية للمرأة لعام 2007. وقد </w:t>
      </w:r>
      <w:r w:rsidR="006135A2">
        <w:rPr>
          <w:rFonts w:hint="cs"/>
          <w:rtl/>
          <w:lang w:bidi="ar-EG"/>
        </w:rPr>
        <w:t xml:space="preserve">رُئي </w:t>
      </w:r>
      <w:r>
        <w:rPr>
          <w:rtl/>
          <w:lang w:bidi="ar-EG"/>
        </w:rPr>
        <w:t>ضرورة إنشاء اللجنة الوطنية للمرأة لحماية حقوق ومصالح المرأة والنهوض بها. وتمشيا</w:t>
      </w:r>
      <w:r w:rsidR="00762AAB">
        <w:rPr>
          <w:rFonts w:hint="cs"/>
          <w:rtl/>
          <w:lang w:bidi="ar-EG"/>
        </w:rPr>
        <w:t>ً</w:t>
      </w:r>
      <w:r>
        <w:rPr>
          <w:rtl/>
          <w:lang w:bidi="ar-EG"/>
        </w:rPr>
        <w:t xml:space="preserve"> مع الاتفاقية الدولية ذات الصلة، ينص القانون على ولايات للجنة لاستعراض السياسات والبرامج في هذا المجال ورصدها وتقييمها. وعلاوة على ذلك، فإن لهذه اللجنة دورا</w:t>
      </w:r>
      <w:r w:rsidR="00762AAB">
        <w:rPr>
          <w:rFonts w:hint="cs"/>
          <w:rtl/>
          <w:lang w:bidi="ar-EG"/>
        </w:rPr>
        <w:t>ً</w:t>
      </w:r>
      <w:r>
        <w:rPr>
          <w:rtl/>
          <w:lang w:bidi="ar-EG"/>
        </w:rPr>
        <w:t xml:space="preserve"> في القيام بالتحقيقات الأساسية بما في ذلك عن طريق التماس المعلومات من أي شخص واستخلاص الإفادات أو الشهادات بغية تقديم ما يلزم من سند أو وثيقة أو دليل إلى السلطة ذات الصلة للشروع في الإجراءات القانونية أو غيرها من أنشطة المتابعة. وتقدم اللجنة الوطنية للمرأة تقريرها السنوي إلى وزيرة شؤون المرأة والطفل والرعاية الاجتماعية. وقد خُصص للجنة مبلغ 31.4 مليون روبية بغية تعزيز قدرتها المؤسسية على إدارة البرامج المتصلة بحقوق المرأة وتمكينها بصورة عامة، والمرأة المهمشة بصورة خاصة، وإنقاذ ضحايا العنف ضد المرأة، وتقديم المشورة القانونية، وعقد جلسات محاكمة عامة، وإنشاء مركز للمعلومات وغير ذلك من برامج إرهاف الحس. وقد التزمت الحكومة في السياسات والبرامج التي قدمتها إلى الهيئة التشريعية - البرلمان عن السنة المالية 2008-2009، باتخاذ المبادرات اللازمة لتطوير اللجنة الوطنية للمرأة بوصفها هيئة دستورية بحيث تجعل دورها أكثر فعالية في تمكين المرأة.</w:t>
      </w:r>
    </w:p>
    <w:p w:rsidR="000B7434" w:rsidRDefault="000B7434" w:rsidP="00E52643">
      <w:pPr>
        <w:pStyle w:val="SingleTxtGA"/>
        <w:rPr>
          <w:rtl/>
          <w:lang w:bidi="ar-EG"/>
        </w:rPr>
      </w:pPr>
      <w:r>
        <w:rPr>
          <w:rtl/>
          <w:lang w:bidi="ar-EG"/>
        </w:rPr>
        <w:t>239-</w:t>
      </w:r>
      <w:r w:rsidR="006135A2">
        <w:rPr>
          <w:rFonts w:hint="cs"/>
          <w:rtl/>
          <w:lang w:bidi="ar-EG"/>
        </w:rPr>
        <w:tab/>
      </w:r>
      <w:r>
        <w:rPr>
          <w:rtl/>
          <w:lang w:bidi="ar-EG"/>
        </w:rPr>
        <w:t>وتوفر اللجنة الوطنية لحقوق الإنسان أيضا</w:t>
      </w:r>
      <w:r w:rsidR="006135A2">
        <w:rPr>
          <w:rFonts w:hint="cs"/>
          <w:rtl/>
          <w:lang w:bidi="ar-EG"/>
        </w:rPr>
        <w:t>ً</w:t>
      </w:r>
      <w:r>
        <w:rPr>
          <w:rtl/>
          <w:lang w:bidi="ar-EG"/>
        </w:rPr>
        <w:t xml:space="preserve"> آلية مؤسسية في مجال حماية وتعزيز ما</w:t>
      </w:r>
      <w:r>
        <w:rPr>
          <w:rFonts w:hint="cs"/>
          <w:rtl/>
          <w:lang w:bidi="ar-EG"/>
        </w:rPr>
        <w:t> </w:t>
      </w:r>
      <w:r>
        <w:rPr>
          <w:rtl/>
          <w:lang w:bidi="ar-EG"/>
        </w:rPr>
        <w:t>للمرأة النيبالية من حقوق الإنسان. ويجدر التنويه في هذا المجال بدور مكتب المقرر الخاص المعني بالاتجار بالأشخاص، المذكور تحت المادة 6 أعلاه.</w:t>
      </w:r>
    </w:p>
    <w:p w:rsidR="000B7434" w:rsidRDefault="000B7434" w:rsidP="00E52643">
      <w:pPr>
        <w:pStyle w:val="SingleTxtGA"/>
        <w:rPr>
          <w:rtl/>
          <w:lang w:bidi="ar-EG"/>
        </w:rPr>
      </w:pPr>
      <w:r>
        <w:rPr>
          <w:rtl/>
          <w:lang w:bidi="ar-EG"/>
        </w:rPr>
        <w:t>240-</w:t>
      </w:r>
      <w:r w:rsidR="00E52643">
        <w:rPr>
          <w:rFonts w:hint="cs"/>
          <w:rtl/>
          <w:lang w:bidi="ar-EG"/>
        </w:rPr>
        <w:tab/>
      </w:r>
      <w:r>
        <w:rPr>
          <w:rtl/>
          <w:lang w:bidi="ar-EG"/>
        </w:rPr>
        <w:t xml:space="preserve">وبغية توفير آلية لمعالجة الشكاوى بشأن مختلف القضايا، وفق المذكور في التقرير السابق، أُنشئت خلايا مستقلة للمرأة في القيادة العامة للشرطة وفي مراكز الشرطة في بعض المقاطعات. وهناك الآن 42 من هذه الخلايا وهي الآن في سبيلها إلى التوسع والانتشار </w:t>
      </w:r>
      <w:r w:rsidR="00E52643">
        <w:rPr>
          <w:rFonts w:hint="cs"/>
          <w:rtl/>
          <w:lang w:bidi="ar-EG"/>
        </w:rPr>
        <w:t xml:space="preserve">     </w:t>
      </w:r>
      <w:r>
        <w:rPr>
          <w:rtl/>
          <w:lang w:bidi="ar-EG"/>
        </w:rPr>
        <w:t>عبر</w:t>
      </w:r>
      <w:r w:rsidR="00E52643">
        <w:rPr>
          <w:rFonts w:hint="cs"/>
          <w:rtl/>
          <w:lang w:bidi="ar-EG"/>
        </w:rPr>
        <w:t xml:space="preserve"> </w:t>
      </w:r>
      <w:r>
        <w:rPr>
          <w:rtl/>
          <w:lang w:bidi="ar-EG"/>
        </w:rPr>
        <w:t>نيبال.</w:t>
      </w:r>
    </w:p>
    <w:p w:rsidR="000B7434" w:rsidRDefault="000B7434" w:rsidP="004A33C3">
      <w:pPr>
        <w:pStyle w:val="SingleTxtGA"/>
        <w:rPr>
          <w:rtl/>
          <w:lang w:bidi="ar-EG"/>
        </w:rPr>
      </w:pPr>
      <w:r>
        <w:rPr>
          <w:rtl/>
          <w:lang w:bidi="ar-EG"/>
        </w:rPr>
        <w:t>241-</w:t>
      </w:r>
      <w:r w:rsidR="00E52643">
        <w:rPr>
          <w:rFonts w:hint="cs"/>
          <w:rtl/>
          <w:lang w:bidi="ar-EG"/>
        </w:rPr>
        <w:tab/>
      </w:r>
      <w:r>
        <w:rPr>
          <w:rtl/>
          <w:lang w:bidi="ar-EG"/>
        </w:rPr>
        <w:t xml:space="preserve">وإلى جانب الآليات المؤسسية المذكورة أعلاه، تضطلع أيضا الوزارات والوكالات الحكومية الأخرى ببرامج لتعميم الجنسانية وفق ما هو موثق في </w:t>
      </w:r>
      <w:r w:rsidR="00D62BA8">
        <w:rPr>
          <w:rtl/>
          <w:lang w:bidi="ar-EG"/>
        </w:rPr>
        <w:t>"</w:t>
      </w:r>
      <w:r>
        <w:rPr>
          <w:rtl/>
          <w:lang w:bidi="ar-EG"/>
        </w:rPr>
        <w:t>خطة العمل الوطنية</w:t>
      </w:r>
      <w:r w:rsidR="004A33C3">
        <w:rPr>
          <w:rFonts w:hint="cs"/>
          <w:rtl/>
          <w:lang w:bidi="ar-EG"/>
        </w:rPr>
        <w:t xml:space="preserve">     </w:t>
      </w:r>
      <w:r>
        <w:rPr>
          <w:rtl/>
          <w:lang w:bidi="ar-EG"/>
        </w:rPr>
        <w:t xml:space="preserve"> لتنفيذ اتفاقية القضاء على جميع أشكال التمييز ضد المرأة، لعام 2003</w:t>
      </w:r>
      <w:r w:rsidR="00D62BA8">
        <w:rPr>
          <w:rtl/>
          <w:lang w:bidi="ar-EG"/>
        </w:rPr>
        <w:t>"</w:t>
      </w:r>
      <w:r>
        <w:rPr>
          <w:rtl/>
          <w:lang w:bidi="ar-EG"/>
        </w:rPr>
        <w:t xml:space="preserve"> المذكورة في التقارير السابقة والأولي.</w:t>
      </w:r>
    </w:p>
    <w:p w:rsidR="000B7434" w:rsidRPr="00453231" w:rsidRDefault="009B3FCB" w:rsidP="004A33C3">
      <w:pPr>
        <w:pStyle w:val="H23GA"/>
        <w:rPr>
          <w:rtl/>
          <w:lang w:bidi="ar-EG"/>
        </w:rPr>
      </w:pPr>
      <w:r>
        <w:rPr>
          <w:rtl/>
          <w:lang w:bidi="ar-EG"/>
        </w:rPr>
        <w:br w:type="page"/>
      </w:r>
      <w:r w:rsidR="000B7434">
        <w:rPr>
          <w:rtl/>
          <w:lang w:bidi="ar-EG"/>
        </w:rPr>
        <w:tab/>
      </w:r>
      <w:r w:rsidR="000B7434">
        <w:rPr>
          <w:rtl/>
          <w:lang w:bidi="ar-EG"/>
        </w:rPr>
        <w:tab/>
      </w:r>
      <w:r w:rsidR="000B7434" w:rsidRPr="00453231">
        <w:rPr>
          <w:rtl/>
          <w:lang w:bidi="ar-EG"/>
        </w:rPr>
        <w:t>المرأة وحقوق الإنسان</w:t>
      </w:r>
    </w:p>
    <w:p w:rsidR="000B7434" w:rsidRDefault="000B7434" w:rsidP="004A33C3">
      <w:pPr>
        <w:pStyle w:val="SingleTxtGA"/>
        <w:rPr>
          <w:rtl/>
          <w:lang w:bidi="ar-EG"/>
        </w:rPr>
      </w:pPr>
      <w:r>
        <w:rPr>
          <w:rtl/>
          <w:lang w:bidi="ar-EG"/>
        </w:rPr>
        <w:t>242-</w:t>
      </w:r>
      <w:r w:rsidR="004A33C3">
        <w:rPr>
          <w:rFonts w:hint="cs"/>
          <w:rtl/>
          <w:lang w:bidi="ar-EG"/>
        </w:rPr>
        <w:tab/>
      </w:r>
      <w:r>
        <w:rPr>
          <w:rtl/>
          <w:lang w:bidi="ar-EG"/>
        </w:rPr>
        <w:t>الحماية الدستورية لحقوق الإنسان، وإنشاء منصب المقرر الوطني لمكافحة الاتجار بالأشخاص في إطار اللجنة الوطنية لحقوق الإنسان، وتعزيز اللجنة الوطنية للمرأة بأحكام قانونية هي بعضٌ من أهم المنجزات التي تمت في هذا الميدان حتى الآن. وتعمل مؤسسات حقوق الإنسان بنشاط على رصد حالة حقوق المرأة وتعمل أيضا</w:t>
      </w:r>
      <w:r w:rsidR="00762AAB">
        <w:rPr>
          <w:rFonts w:hint="cs"/>
          <w:rtl/>
          <w:lang w:bidi="ar-EG"/>
        </w:rPr>
        <w:t>ً</w:t>
      </w:r>
      <w:r>
        <w:rPr>
          <w:rtl/>
          <w:lang w:bidi="ar-EG"/>
        </w:rPr>
        <w:t xml:space="preserve"> بوصفها جماعات ضغط لتعديل القوانين التمييزية. وتم الشروع على نطاق شاسع ببرامج حقوق الإنسان ومحو الأمية القانونية لكل من الرجال والنساء. وشُكِّلت لجنةٌ لرصد تنفيذ الاتفاقية على الصعيد الحكومي عن طريق تعيين </w:t>
      </w:r>
      <w:r w:rsidR="00D62BA8">
        <w:rPr>
          <w:rtl/>
          <w:lang w:bidi="ar-EG"/>
        </w:rPr>
        <w:t>"</w:t>
      </w:r>
      <w:r>
        <w:rPr>
          <w:rtl/>
          <w:lang w:bidi="ar-EG"/>
        </w:rPr>
        <w:t>منسقين للشؤون الجنسانية</w:t>
      </w:r>
      <w:r w:rsidR="00D62BA8">
        <w:rPr>
          <w:rtl/>
          <w:lang w:bidi="ar-EG"/>
        </w:rPr>
        <w:t>"</w:t>
      </w:r>
      <w:r>
        <w:rPr>
          <w:rtl/>
          <w:lang w:bidi="ar-EG"/>
        </w:rPr>
        <w:t xml:space="preserve"> في مختلف الوزارات.</w:t>
      </w:r>
    </w:p>
    <w:p w:rsidR="000B7434" w:rsidRDefault="000B7434" w:rsidP="004A33C3">
      <w:pPr>
        <w:pStyle w:val="SingleTxtGA"/>
        <w:rPr>
          <w:rtl/>
          <w:lang w:bidi="ar-EG"/>
        </w:rPr>
      </w:pPr>
      <w:r>
        <w:rPr>
          <w:rtl/>
          <w:lang w:bidi="ar-EG"/>
        </w:rPr>
        <w:t>243-</w:t>
      </w:r>
      <w:r w:rsidR="004A33C3">
        <w:rPr>
          <w:rFonts w:hint="cs"/>
          <w:rtl/>
          <w:lang w:bidi="ar-EG"/>
        </w:rPr>
        <w:tab/>
      </w:r>
      <w:r>
        <w:rPr>
          <w:rtl/>
          <w:lang w:bidi="ar-EG"/>
        </w:rPr>
        <w:t>وبهدف احترام ما للمرأة من حقوق الإنسان، اعتمدت الحكومة، أثناء الفترة المشمولة بهذا التقرير، عددا</w:t>
      </w:r>
      <w:r w:rsidR="004A33C3">
        <w:rPr>
          <w:rFonts w:hint="cs"/>
          <w:rtl/>
          <w:lang w:bidi="ar-EG"/>
        </w:rPr>
        <w:t>ً</w:t>
      </w:r>
      <w:r>
        <w:rPr>
          <w:rtl/>
          <w:lang w:bidi="ar-EG"/>
        </w:rPr>
        <w:t xml:space="preserve"> من التدابير القانونية والمتعلقة بالسياسة العامة للوفاء بمسؤوليات الدولة عن تنفيذ الحقوق الجوهرية بموجب الاتفاقية. وتم، أو هو في سبيل أن يتم، تعديل أو إلغاء كل القوانين التي تنطوي على تمييزٍ جنساني. وعلاوة على ذلك تقوم المحكمة العليا بوصفها مؤسسةً قضائية وطنية تقدميةً للغاية بتطوير فقه قانوني يُعَد معلماً في مجال المساواة بين الجنسين ومعاملة حقوق المرأة بأقصى قدر من الاحترام.</w:t>
      </w:r>
    </w:p>
    <w:p w:rsidR="000B7434" w:rsidRDefault="000B7434" w:rsidP="004A33C3">
      <w:pPr>
        <w:pStyle w:val="SingleTxtGA"/>
        <w:rPr>
          <w:rtl/>
          <w:lang w:bidi="ar-EG"/>
        </w:rPr>
      </w:pPr>
      <w:r>
        <w:rPr>
          <w:rtl/>
          <w:lang w:bidi="ar-EG"/>
        </w:rPr>
        <w:t>244-</w:t>
      </w:r>
      <w:r w:rsidR="004A33C3">
        <w:rPr>
          <w:rFonts w:hint="cs"/>
          <w:rtl/>
          <w:lang w:bidi="ar-EG"/>
        </w:rPr>
        <w:tab/>
      </w:r>
      <w:r>
        <w:rPr>
          <w:rtl/>
          <w:lang w:bidi="ar-EG"/>
        </w:rPr>
        <w:t>وتظل الحكومة أكثر التزاما</w:t>
      </w:r>
      <w:r w:rsidR="004A33C3">
        <w:rPr>
          <w:rFonts w:hint="cs"/>
          <w:rtl/>
          <w:lang w:bidi="ar-EG"/>
        </w:rPr>
        <w:t>ً</w:t>
      </w:r>
      <w:r>
        <w:rPr>
          <w:rtl/>
          <w:lang w:bidi="ar-EG"/>
        </w:rPr>
        <w:t xml:space="preserve"> باحترام وحماية وتعزيز حقوق المرأة بوصفها من حقوق الإنسان من خلال اعتماد عدد من السياسات والبرامج وآليات التنفيذ بالتعاون مع المنظمات غير الحكومية والمجتمع المدني. وأهم من ذلك أن الحكومة حددت، بغية تعزيز ما للمرأة من حقوق الإنسان، أهدافا</w:t>
      </w:r>
      <w:r w:rsidR="00762AAB">
        <w:rPr>
          <w:rFonts w:hint="cs"/>
          <w:rtl/>
          <w:lang w:bidi="ar-EG"/>
        </w:rPr>
        <w:t>ً</w:t>
      </w:r>
      <w:r>
        <w:rPr>
          <w:rtl/>
          <w:lang w:bidi="ar-EG"/>
        </w:rPr>
        <w:t xml:space="preserve"> خاصة في مجال الصحة والتعليم والعمالة والمسائل الأخرى المتصلة </w:t>
      </w:r>
      <w:r w:rsidR="00D62BA8">
        <w:rPr>
          <w:rtl/>
          <w:lang w:bidi="ar-EG"/>
        </w:rPr>
        <w:t>"</w:t>
      </w:r>
      <w:r>
        <w:rPr>
          <w:rtl/>
          <w:lang w:bidi="ar-EG"/>
        </w:rPr>
        <w:t>بتمكين المرأة والنهوض بها</w:t>
      </w:r>
      <w:r w:rsidR="00D62BA8">
        <w:rPr>
          <w:rtl/>
          <w:lang w:bidi="ar-EG"/>
        </w:rPr>
        <w:t>"</w:t>
      </w:r>
      <w:r>
        <w:rPr>
          <w:rtl/>
          <w:lang w:bidi="ar-EG"/>
        </w:rPr>
        <w:t>. وتحقيقا</w:t>
      </w:r>
      <w:r w:rsidR="00762AAB">
        <w:rPr>
          <w:rFonts w:hint="cs"/>
          <w:rtl/>
          <w:lang w:bidi="ar-EG"/>
        </w:rPr>
        <w:t>ً</w:t>
      </w:r>
      <w:r>
        <w:rPr>
          <w:rtl/>
          <w:lang w:bidi="ar-EG"/>
        </w:rPr>
        <w:t xml:space="preserve"> لهذه الأهداف تبنت الحكومة أيضا</w:t>
      </w:r>
      <w:r w:rsidR="00762AAB">
        <w:rPr>
          <w:rFonts w:hint="cs"/>
          <w:rtl/>
          <w:lang w:bidi="ar-EG"/>
        </w:rPr>
        <w:t>ً</w:t>
      </w:r>
      <w:r>
        <w:rPr>
          <w:rtl/>
          <w:lang w:bidi="ar-EG"/>
        </w:rPr>
        <w:t xml:space="preserve"> </w:t>
      </w:r>
      <w:r w:rsidR="00D62BA8">
        <w:rPr>
          <w:rtl/>
          <w:lang w:bidi="ar-EG"/>
        </w:rPr>
        <w:t>"</w:t>
      </w:r>
      <w:r>
        <w:rPr>
          <w:rtl/>
          <w:lang w:bidi="ar-EG"/>
        </w:rPr>
        <w:t>الميزنة المراعية للجنسانية</w:t>
      </w:r>
      <w:r w:rsidR="00D62BA8">
        <w:rPr>
          <w:rtl/>
          <w:lang w:bidi="ar-EG"/>
        </w:rPr>
        <w:t>"</w:t>
      </w:r>
      <w:r>
        <w:rPr>
          <w:rtl/>
          <w:lang w:bidi="ar-EG"/>
        </w:rPr>
        <w:t xml:space="preserve"> وفق ما هو مُبلغ عنه في الجزء الأول من هذا التقرير.</w:t>
      </w:r>
    </w:p>
    <w:p w:rsidR="000B7434" w:rsidRPr="00C87CDF" w:rsidRDefault="000B7434" w:rsidP="004A33C3">
      <w:pPr>
        <w:pStyle w:val="H23GA"/>
        <w:rPr>
          <w:rtl/>
          <w:lang w:bidi="ar-EG"/>
        </w:rPr>
      </w:pPr>
      <w:r>
        <w:rPr>
          <w:rtl/>
          <w:lang w:bidi="ar-EG"/>
        </w:rPr>
        <w:tab/>
      </w:r>
      <w:r>
        <w:rPr>
          <w:rtl/>
          <w:lang w:bidi="ar-EG"/>
        </w:rPr>
        <w:tab/>
      </w:r>
      <w:r w:rsidRPr="00C87CDF">
        <w:rPr>
          <w:rtl/>
          <w:lang w:bidi="ar-EG"/>
        </w:rPr>
        <w:t>المرأة في وسائط الإعلام</w:t>
      </w:r>
    </w:p>
    <w:p w:rsidR="000B7434" w:rsidRDefault="000B7434" w:rsidP="004A33C3">
      <w:pPr>
        <w:pStyle w:val="SingleTxtGA"/>
        <w:rPr>
          <w:rtl/>
          <w:lang w:bidi="ar-EG"/>
        </w:rPr>
      </w:pPr>
      <w:r>
        <w:rPr>
          <w:rtl/>
          <w:lang w:bidi="ar-EG"/>
        </w:rPr>
        <w:t>245-</w:t>
      </w:r>
      <w:r w:rsidR="004A33C3">
        <w:rPr>
          <w:rFonts w:hint="cs"/>
          <w:rtl/>
          <w:lang w:bidi="ar-EG"/>
        </w:rPr>
        <w:tab/>
      </w:r>
      <w:r>
        <w:rPr>
          <w:rtl/>
          <w:lang w:bidi="ar-EG"/>
        </w:rPr>
        <w:t>حدث تقدمٌ ملحوظ في مشاركة المرأة في وسائط الإعلام، وخاصة في وسائط الإعلام الإلكترونية، بعد التغيير السياسي الذي حدث في التسعينات من القرن الماضي. ويمكن مشاهدة التغييرات الهامة بعد أن أعيد فتح وسائط الإعلام للقطاع الخاص. فقد كانت النساء العاملات في وسائط الإعلام تشكلن نس</w:t>
      </w:r>
      <w:r w:rsidR="008B03DA">
        <w:rPr>
          <w:rtl/>
          <w:lang w:bidi="ar-EG"/>
        </w:rPr>
        <w:t>بة 12.3 في المائة في عام 1991 و</w:t>
      </w:r>
      <w:r>
        <w:rPr>
          <w:rtl/>
          <w:lang w:bidi="ar-EG"/>
        </w:rPr>
        <w:t>12.9 في المائة في عام 1992. وفي ذلك الوقت كانت وسائط الإعلام الإلكترونية الوحيدة تتمثل في إذاعة نيبال وتلفزة نيبال اللتين تديرهما الدولة. ومع انتشار الإذاعات التي تعمل بتضمين التردد (</w:t>
      </w:r>
      <w:r>
        <w:rPr>
          <w:lang w:bidi="ar-EG"/>
        </w:rPr>
        <w:t>FM</w:t>
      </w:r>
      <w:r>
        <w:rPr>
          <w:rtl/>
          <w:lang w:bidi="ar-EG"/>
        </w:rPr>
        <w:t>) وقنوات التفلزة الخاصة، ازدادت إلى حد هام مشاركة المرأة في وسائط الإعلام كعاملات فيها، وفق ما ينعكس في الجدول أدناه.</w:t>
      </w:r>
    </w:p>
    <w:p w:rsidR="000B7434" w:rsidRPr="00C87CDF" w:rsidRDefault="004A33C3" w:rsidP="004A33C3">
      <w:pPr>
        <w:pStyle w:val="SingleTxtGA"/>
        <w:spacing w:after="0"/>
        <w:rPr>
          <w:rtl/>
          <w:lang w:bidi="ar-EG"/>
        </w:rPr>
      </w:pPr>
      <w:r>
        <w:rPr>
          <w:rtl/>
          <w:lang w:bidi="ar-EG"/>
        </w:rPr>
        <w:br w:type="page"/>
      </w:r>
      <w:r w:rsidR="000B7434" w:rsidRPr="00C87CDF">
        <w:rPr>
          <w:rtl/>
          <w:lang w:bidi="ar-EG"/>
        </w:rPr>
        <w:t>الجدول 28</w:t>
      </w:r>
    </w:p>
    <w:p w:rsidR="000B7434" w:rsidRPr="004A33C3" w:rsidRDefault="000B7434" w:rsidP="004A33C3">
      <w:pPr>
        <w:pStyle w:val="SingleTxtGA"/>
        <w:rPr>
          <w:b/>
          <w:bCs/>
          <w:rtl/>
          <w:lang w:bidi="ar-EG"/>
        </w:rPr>
      </w:pPr>
      <w:r w:rsidRPr="004A33C3">
        <w:rPr>
          <w:b/>
          <w:bCs/>
          <w:rtl/>
          <w:lang w:bidi="ar-EG"/>
        </w:rPr>
        <w:t>اشتراك المرأة في وسائط الإعلام</w:t>
      </w:r>
    </w:p>
    <w:tbl>
      <w:tblPr>
        <w:bidiVisual/>
        <w:tblW w:w="7125" w:type="dxa"/>
        <w:tblInd w:w="1267" w:type="dxa"/>
        <w:tblLayout w:type="fixed"/>
        <w:tblCellMar>
          <w:left w:w="0" w:type="dxa"/>
          <w:right w:w="0" w:type="dxa"/>
        </w:tblCellMar>
        <w:tblLook w:val="0000" w:firstRow="0" w:lastRow="0" w:firstColumn="0" w:lastColumn="0" w:noHBand="0" w:noVBand="0"/>
      </w:tblPr>
      <w:tblGrid>
        <w:gridCol w:w="6131"/>
        <w:gridCol w:w="994"/>
      </w:tblGrid>
      <w:tr w:rsidR="000B7434" w:rsidRPr="00212580" w:rsidTr="004A33C3">
        <w:tblPrEx>
          <w:tblCellMar>
            <w:top w:w="0" w:type="dxa"/>
            <w:bottom w:w="0" w:type="dxa"/>
          </w:tblCellMar>
        </w:tblPrEx>
        <w:trPr>
          <w:cantSplit/>
          <w:tblHeader/>
        </w:trPr>
        <w:tc>
          <w:tcPr>
            <w:tcW w:w="6131" w:type="dxa"/>
            <w:tcBorders>
              <w:top w:val="single" w:sz="4" w:space="0" w:color="auto"/>
              <w:bottom w:val="single" w:sz="12"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i/>
                <w:iCs/>
                <w:sz w:val="18"/>
                <w:szCs w:val="26"/>
                <w:lang w:bidi="ar-EG"/>
              </w:rPr>
            </w:pPr>
            <w:r w:rsidRPr="004A33C3">
              <w:rPr>
                <w:i/>
                <w:iCs/>
                <w:sz w:val="18"/>
                <w:szCs w:val="26"/>
                <w:rtl/>
                <w:lang w:bidi="ar-EG"/>
              </w:rPr>
              <w:t>وسائط الإعلام/السنة</w:t>
            </w:r>
          </w:p>
        </w:tc>
        <w:tc>
          <w:tcPr>
            <w:tcW w:w="994" w:type="dxa"/>
            <w:tcBorders>
              <w:top w:val="single" w:sz="4" w:space="0" w:color="auto"/>
              <w:bottom w:val="single" w:sz="12"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i/>
                <w:iCs/>
                <w:sz w:val="18"/>
                <w:szCs w:val="26"/>
                <w:lang w:bidi="ar-EG"/>
              </w:rPr>
            </w:pPr>
            <w:r w:rsidRPr="004A33C3">
              <w:rPr>
                <w:i/>
                <w:iCs/>
                <w:sz w:val="18"/>
                <w:szCs w:val="26"/>
                <w:rtl/>
                <w:lang w:bidi="ar-EG"/>
              </w:rPr>
              <w:t>2002</w:t>
            </w:r>
          </w:p>
        </w:tc>
      </w:tr>
      <w:tr w:rsidR="000B7434" w:rsidRPr="00212580" w:rsidTr="004A33C3">
        <w:tblPrEx>
          <w:tblCellMar>
            <w:top w:w="0" w:type="dxa"/>
            <w:bottom w:w="0" w:type="dxa"/>
          </w:tblCellMar>
        </w:tblPrEx>
        <w:trPr>
          <w:cantSplit/>
        </w:trPr>
        <w:tc>
          <w:tcPr>
            <w:tcW w:w="6131"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المطبوعة</w:t>
            </w:r>
          </w:p>
        </w:tc>
        <w:tc>
          <w:tcPr>
            <w:tcW w:w="994"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9.1</w:t>
            </w:r>
          </w:p>
        </w:tc>
      </w:tr>
      <w:tr w:rsidR="000B7434" w:rsidRPr="00212580" w:rsidTr="004A33C3">
        <w:tblPrEx>
          <w:tblCellMar>
            <w:top w:w="0" w:type="dxa"/>
            <w:bottom w:w="0" w:type="dxa"/>
          </w:tblCellMar>
        </w:tblPrEx>
        <w:trPr>
          <w:cantSplit/>
        </w:trPr>
        <w:tc>
          <w:tcPr>
            <w:tcW w:w="6131" w:type="dxa"/>
            <w:vAlign w:val="bottom"/>
          </w:tcPr>
          <w:p w:rsidR="000B7434" w:rsidRPr="004A33C3" w:rsidRDefault="000B7434" w:rsidP="004A33C3">
            <w:pPr>
              <w:tabs>
                <w:tab w:val="left" w:pos="434"/>
                <w:tab w:val="left" w:pos="864"/>
                <w:tab w:val="left" w:pos="1152"/>
              </w:tabs>
              <w:spacing w:before="60" w:after="60" w:line="280" w:lineRule="exact"/>
              <w:ind w:left="57"/>
              <w:rPr>
                <w:sz w:val="18"/>
                <w:szCs w:val="26"/>
                <w:lang w:bidi="ar-EG"/>
              </w:rPr>
            </w:pPr>
            <w:r w:rsidRPr="004A33C3">
              <w:rPr>
                <w:sz w:val="18"/>
                <w:szCs w:val="26"/>
                <w:rtl/>
                <w:lang w:bidi="ar-EG"/>
              </w:rPr>
              <w:tab/>
              <w:t>عامة</w:t>
            </w:r>
          </w:p>
        </w:tc>
        <w:tc>
          <w:tcPr>
            <w:tcW w:w="994"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4.2</w:t>
            </w:r>
          </w:p>
        </w:tc>
      </w:tr>
      <w:tr w:rsidR="000B7434" w:rsidRPr="00212580" w:rsidTr="00762AAB">
        <w:tblPrEx>
          <w:tblCellMar>
            <w:top w:w="0" w:type="dxa"/>
            <w:bottom w:w="0" w:type="dxa"/>
          </w:tblCellMar>
        </w:tblPrEx>
        <w:trPr>
          <w:cantSplit/>
        </w:trPr>
        <w:tc>
          <w:tcPr>
            <w:tcW w:w="6131" w:type="dxa"/>
            <w:tcBorders>
              <w:bottom w:val="single" w:sz="4" w:space="0" w:color="auto"/>
            </w:tcBorders>
            <w:vAlign w:val="bottom"/>
          </w:tcPr>
          <w:p w:rsidR="000B7434" w:rsidRPr="004A33C3" w:rsidRDefault="000B7434" w:rsidP="004A33C3">
            <w:pPr>
              <w:tabs>
                <w:tab w:val="left" w:pos="434"/>
                <w:tab w:val="left" w:pos="864"/>
                <w:tab w:val="left" w:pos="1152"/>
              </w:tabs>
              <w:spacing w:before="60" w:after="60" w:line="280" w:lineRule="exact"/>
              <w:ind w:left="57"/>
              <w:rPr>
                <w:sz w:val="18"/>
                <w:szCs w:val="26"/>
                <w:lang w:bidi="ar-EG"/>
              </w:rPr>
            </w:pPr>
            <w:r w:rsidRPr="004A33C3">
              <w:rPr>
                <w:sz w:val="18"/>
                <w:szCs w:val="26"/>
                <w:rtl/>
                <w:lang w:bidi="ar-EG"/>
              </w:rPr>
              <w:tab/>
              <w:t>خاصة</w:t>
            </w:r>
          </w:p>
        </w:tc>
        <w:tc>
          <w:tcPr>
            <w:tcW w:w="994" w:type="dxa"/>
            <w:tcBorders>
              <w:bottom w:val="single" w:sz="4"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11.2</w:t>
            </w:r>
          </w:p>
        </w:tc>
      </w:tr>
      <w:tr w:rsidR="000B7434" w:rsidRPr="00212580" w:rsidTr="00762AAB">
        <w:tblPrEx>
          <w:tblCellMar>
            <w:top w:w="0" w:type="dxa"/>
            <w:bottom w:w="0" w:type="dxa"/>
          </w:tblCellMar>
        </w:tblPrEx>
        <w:trPr>
          <w:cantSplit/>
        </w:trPr>
        <w:tc>
          <w:tcPr>
            <w:tcW w:w="6131" w:type="dxa"/>
            <w:tcBorders>
              <w:top w:val="single" w:sz="4"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الإذاعة</w:t>
            </w:r>
          </w:p>
        </w:tc>
        <w:tc>
          <w:tcPr>
            <w:tcW w:w="994" w:type="dxa"/>
            <w:tcBorders>
              <w:top w:val="single" w:sz="4"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29.1</w:t>
            </w:r>
          </w:p>
        </w:tc>
      </w:tr>
      <w:tr w:rsidR="000B7434" w:rsidRPr="00212580" w:rsidTr="004A33C3">
        <w:tblPrEx>
          <w:tblCellMar>
            <w:top w:w="0" w:type="dxa"/>
            <w:bottom w:w="0" w:type="dxa"/>
          </w:tblCellMar>
        </w:tblPrEx>
        <w:trPr>
          <w:cantSplit/>
        </w:trPr>
        <w:tc>
          <w:tcPr>
            <w:tcW w:w="6131" w:type="dxa"/>
            <w:vAlign w:val="bottom"/>
          </w:tcPr>
          <w:p w:rsidR="000B7434" w:rsidRPr="004A33C3" w:rsidRDefault="000B7434" w:rsidP="004A33C3">
            <w:pPr>
              <w:tabs>
                <w:tab w:val="left" w:pos="434"/>
                <w:tab w:val="left" w:pos="864"/>
                <w:tab w:val="left" w:pos="1152"/>
              </w:tabs>
              <w:spacing w:before="60" w:after="60" w:line="280" w:lineRule="exact"/>
              <w:ind w:left="57"/>
              <w:rPr>
                <w:sz w:val="18"/>
                <w:szCs w:val="26"/>
                <w:lang w:bidi="ar-EG"/>
              </w:rPr>
            </w:pPr>
            <w:r w:rsidRPr="004A33C3">
              <w:rPr>
                <w:sz w:val="18"/>
                <w:szCs w:val="26"/>
                <w:rtl/>
                <w:lang w:bidi="ar-EG"/>
              </w:rPr>
              <w:tab/>
              <w:t>عامة</w:t>
            </w:r>
          </w:p>
        </w:tc>
        <w:tc>
          <w:tcPr>
            <w:tcW w:w="994"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16.5</w:t>
            </w:r>
          </w:p>
        </w:tc>
      </w:tr>
      <w:tr w:rsidR="000B7434" w:rsidRPr="00212580" w:rsidTr="00762AAB">
        <w:tblPrEx>
          <w:tblCellMar>
            <w:top w:w="0" w:type="dxa"/>
            <w:bottom w:w="0" w:type="dxa"/>
          </w:tblCellMar>
        </w:tblPrEx>
        <w:trPr>
          <w:cantSplit/>
        </w:trPr>
        <w:tc>
          <w:tcPr>
            <w:tcW w:w="6131" w:type="dxa"/>
            <w:tcBorders>
              <w:bottom w:val="single" w:sz="4" w:space="0" w:color="auto"/>
            </w:tcBorders>
            <w:vAlign w:val="bottom"/>
          </w:tcPr>
          <w:p w:rsidR="000B7434" w:rsidRPr="004A33C3" w:rsidRDefault="000B7434" w:rsidP="004A33C3">
            <w:pPr>
              <w:tabs>
                <w:tab w:val="left" w:pos="434"/>
                <w:tab w:val="left" w:pos="864"/>
                <w:tab w:val="left" w:pos="1152"/>
              </w:tabs>
              <w:spacing w:before="60" w:after="60" w:line="280" w:lineRule="exact"/>
              <w:ind w:left="57"/>
              <w:rPr>
                <w:sz w:val="18"/>
                <w:szCs w:val="26"/>
                <w:lang w:bidi="ar-EG"/>
              </w:rPr>
            </w:pPr>
            <w:r w:rsidRPr="004A33C3">
              <w:rPr>
                <w:sz w:val="18"/>
                <w:szCs w:val="26"/>
                <w:rtl/>
                <w:lang w:bidi="ar-EG"/>
              </w:rPr>
              <w:tab/>
              <w:t>خاصة</w:t>
            </w:r>
          </w:p>
        </w:tc>
        <w:tc>
          <w:tcPr>
            <w:tcW w:w="994" w:type="dxa"/>
            <w:tcBorders>
              <w:bottom w:val="single" w:sz="4"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37.9</w:t>
            </w:r>
          </w:p>
        </w:tc>
      </w:tr>
      <w:tr w:rsidR="000B7434" w:rsidRPr="00212580" w:rsidTr="00762AAB">
        <w:tblPrEx>
          <w:tblCellMar>
            <w:top w:w="0" w:type="dxa"/>
            <w:bottom w:w="0" w:type="dxa"/>
          </w:tblCellMar>
        </w:tblPrEx>
        <w:trPr>
          <w:cantSplit/>
        </w:trPr>
        <w:tc>
          <w:tcPr>
            <w:tcW w:w="6131" w:type="dxa"/>
            <w:tcBorders>
              <w:top w:val="single" w:sz="4"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التلفزة</w:t>
            </w:r>
          </w:p>
        </w:tc>
        <w:tc>
          <w:tcPr>
            <w:tcW w:w="994" w:type="dxa"/>
            <w:tcBorders>
              <w:top w:val="single" w:sz="4"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30.8</w:t>
            </w:r>
          </w:p>
        </w:tc>
      </w:tr>
      <w:tr w:rsidR="000B7434" w:rsidRPr="00212580" w:rsidTr="004A33C3">
        <w:tblPrEx>
          <w:tblCellMar>
            <w:top w:w="0" w:type="dxa"/>
            <w:bottom w:w="0" w:type="dxa"/>
          </w:tblCellMar>
        </w:tblPrEx>
        <w:trPr>
          <w:cantSplit/>
        </w:trPr>
        <w:tc>
          <w:tcPr>
            <w:tcW w:w="6131" w:type="dxa"/>
            <w:vAlign w:val="bottom"/>
          </w:tcPr>
          <w:p w:rsidR="000B7434" w:rsidRPr="004A33C3" w:rsidRDefault="000B7434" w:rsidP="004A33C3">
            <w:pPr>
              <w:tabs>
                <w:tab w:val="left" w:pos="434"/>
                <w:tab w:val="left" w:pos="864"/>
                <w:tab w:val="left" w:pos="1152"/>
              </w:tabs>
              <w:spacing w:before="60" w:after="60" w:line="280" w:lineRule="exact"/>
              <w:ind w:left="57"/>
              <w:rPr>
                <w:sz w:val="18"/>
                <w:szCs w:val="26"/>
                <w:lang w:bidi="ar-EG"/>
              </w:rPr>
            </w:pPr>
            <w:r w:rsidRPr="004A33C3">
              <w:rPr>
                <w:sz w:val="18"/>
                <w:szCs w:val="26"/>
                <w:rtl/>
                <w:lang w:bidi="ar-EG"/>
              </w:rPr>
              <w:tab/>
              <w:t>عامة</w:t>
            </w:r>
          </w:p>
        </w:tc>
        <w:tc>
          <w:tcPr>
            <w:tcW w:w="994"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31.8</w:t>
            </w:r>
          </w:p>
        </w:tc>
      </w:tr>
      <w:tr w:rsidR="000B7434" w:rsidRPr="00212580" w:rsidTr="004A33C3">
        <w:tblPrEx>
          <w:tblCellMar>
            <w:top w:w="0" w:type="dxa"/>
            <w:bottom w:w="0" w:type="dxa"/>
          </w:tblCellMar>
        </w:tblPrEx>
        <w:trPr>
          <w:cantSplit/>
        </w:trPr>
        <w:tc>
          <w:tcPr>
            <w:tcW w:w="6131" w:type="dxa"/>
            <w:tcBorders>
              <w:bottom w:val="single" w:sz="4" w:space="0" w:color="auto"/>
            </w:tcBorders>
            <w:vAlign w:val="bottom"/>
          </w:tcPr>
          <w:p w:rsidR="000B7434" w:rsidRPr="004A33C3" w:rsidRDefault="000B7434" w:rsidP="004A33C3">
            <w:pPr>
              <w:tabs>
                <w:tab w:val="left" w:pos="434"/>
                <w:tab w:val="left" w:pos="864"/>
                <w:tab w:val="left" w:pos="1152"/>
              </w:tabs>
              <w:spacing w:before="60" w:after="60" w:line="280" w:lineRule="exact"/>
              <w:ind w:left="57"/>
              <w:rPr>
                <w:sz w:val="18"/>
                <w:szCs w:val="26"/>
                <w:lang w:bidi="ar-EG"/>
              </w:rPr>
            </w:pPr>
            <w:r w:rsidRPr="004A33C3">
              <w:rPr>
                <w:sz w:val="18"/>
                <w:szCs w:val="26"/>
                <w:rtl/>
                <w:lang w:bidi="ar-EG"/>
              </w:rPr>
              <w:tab/>
              <w:t>خاصة</w:t>
            </w:r>
          </w:p>
        </w:tc>
        <w:tc>
          <w:tcPr>
            <w:tcW w:w="994" w:type="dxa"/>
            <w:tcBorders>
              <w:bottom w:val="single" w:sz="4"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68.2</w:t>
            </w:r>
          </w:p>
        </w:tc>
      </w:tr>
      <w:tr w:rsidR="000B7434" w:rsidRPr="004A33C3" w:rsidTr="004A33C3">
        <w:tblPrEx>
          <w:tblCellMar>
            <w:top w:w="0" w:type="dxa"/>
            <w:bottom w:w="0" w:type="dxa"/>
          </w:tblCellMar>
        </w:tblPrEx>
        <w:trPr>
          <w:cantSplit/>
        </w:trPr>
        <w:tc>
          <w:tcPr>
            <w:tcW w:w="6131" w:type="dxa"/>
            <w:tcBorders>
              <w:top w:val="single" w:sz="4" w:space="0" w:color="auto"/>
              <w:bottom w:val="single" w:sz="12"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b/>
                <w:bCs/>
                <w:sz w:val="18"/>
                <w:szCs w:val="26"/>
                <w:lang w:bidi="ar-EG"/>
              </w:rPr>
            </w:pPr>
            <w:r w:rsidRPr="004A33C3">
              <w:rPr>
                <w:b/>
                <w:bCs/>
                <w:sz w:val="18"/>
                <w:szCs w:val="26"/>
                <w:rtl/>
                <w:lang w:bidi="ar-EG"/>
              </w:rPr>
              <w:t>المجموع</w:t>
            </w:r>
          </w:p>
        </w:tc>
        <w:tc>
          <w:tcPr>
            <w:tcW w:w="994" w:type="dxa"/>
            <w:tcBorders>
              <w:top w:val="single" w:sz="4" w:space="0" w:color="auto"/>
              <w:bottom w:val="single" w:sz="12"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b/>
                <w:bCs/>
                <w:sz w:val="18"/>
                <w:szCs w:val="26"/>
                <w:lang w:bidi="ar-EG"/>
              </w:rPr>
            </w:pPr>
            <w:r w:rsidRPr="004A33C3">
              <w:rPr>
                <w:b/>
                <w:bCs/>
                <w:sz w:val="18"/>
                <w:szCs w:val="26"/>
                <w:rtl/>
                <w:lang w:bidi="ar-EG"/>
              </w:rPr>
              <w:t>19.4</w:t>
            </w:r>
          </w:p>
        </w:tc>
      </w:tr>
      <w:tr w:rsidR="000B7434" w:rsidRPr="00212580" w:rsidTr="004A33C3">
        <w:tblPrEx>
          <w:tblCellMar>
            <w:top w:w="0" w:type="dxa"/>
            <w:bottom w:w="0" w:type="dxa"/>
          </w:tblCellMar>
        </w:tblPrEx>
        <w:trPr>
          <w:cantSplit/>
        </w:trPr>
        <w:tc>
          <w:tcPr>
            <w:tcW w:w="6131" w:type="dxa"/>
            <w:tcBorders>
              <w:top w:val="single" w:sz="12" w:space="0" w:color="auto"/>
            </w:tcBorders>
            <w:vAlign w:val="bottom"/>
          </w:tcPr>
          <w:p w:rsidR="000B7434" w:rsidRPr="004A33C3" w:rsidRDefault="000B7434" w:rsidP="004A33C3">
            <w:pPr>
              <w:tabs>
                <w:tab w:val="left" w:pos="434"/>
                <w:tab w:val="left" w:pos="864"/>
                <w:tab w:val="left" w:pos="1152"/>
              </w:tabs>
              <w:spacing w:before="60" w:after="60" w:line="280" w:lineRule="exact"/>
              <w:ind w:left="57"/>
              <w:rPr>
                <w:sz w:val="18"/>
                <w:szCs w:val="26"/>
                <w:lang w:bidi="ar-EG"/>
              </w:rPr>
            </w:pPr>
            <w:r w:rsidRPr="004A33C3">
              <w:rPr>
                <w:sz w:val="18"/>
                <w:szCs w:val="26"/>
                <w:rtl/>
                <w:lang w:bidi="ar-EG"/>
              </w:rPr>
              <w:tab/>
              <w:t>عامة</w:t>
            </w:r>
          </w:p>
        </w:tc>
        <w:tc>
          <w:tcPr>
            <w:tcW w:w="994" w:type="dxa"/>
            <w:tcBorders>
              <w:top w:val="single" w:sz="12"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4.2</w:t>
            </w:r>
          </w:p>
        </w:tc>
      </w:tr>
      <w:tr w:rsidR="000B7434" w:rsidRPr="00212580" w:rsidTr="004A33C3">
        <w:tblPrEx>
          <w:tblCellMar>
            <w:top w:w="0" w:type="dxa"/>
            <w:bottom w:w="0" w:type="dxa"/>
          </w:tblCellMar>
        </w:tblPrEx>
        <w:trPr>
          <w:cantSplit/>
        </w:trPr>
        <w:tc>
          <w:tcPr>
            <w:tcW w:w="6131" w:type="dxa"/>
            <w:tcBorders>
              <w:bottom w:val="single" w:sz="12" w:space="0" w:color="auto"/>
            </w:tcBorders>
            <w:vAlign w:val="bottom"/>
          </w:tcPr>
          <w:p w:rsidR="000B7434" w:rsidRPr="004A33C3" w:rsidRDefault="000B7434" w:rsidP="004A33C3">
            <w:pPr>
              <w:tabs>
                <w:tab w:val="left" w:pos="434"/>
                <w:tab w:val="left" w:pos="864"/>
                <w:tab w:val="left" w:pos="1152"/>
              </w:tabs>
              <w:spacing w:before="60" w:after="60" w:line="280" w:lineRule="exact"/>
              <w:ind w:left="57"/>
              <w:rPr>
                <w:sz w:val="18"/>
                <w:szCs w:val="26"/>
                <w:lang w:bidi="ar-EG"/>
              </w:rPr>
            </w:pPr>
            <w:r w:rsidRPr="004A33C3">
              <w:rPr>
                <w:sz w:val="18"/>
                <w:szCs w:val="26"/>
                <w:rtl/>
                <w:lang w:bidi="ar-EG"/>
              </w:rPr>
              <w:tab/>
              <w:t>خاصة</w:t>
            </w:r>
          </w:p>
        </w:tc>
        <w:tc>
          <w:tcPr>
            <w:tcW w:w="994" w:type="dxa"/>
            <w:tcBorders>
              <w:bottom w:val="single" w:sz="12"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8.6</w:t>
            </w:r>
          </w:p>
        </w:tc>
      </w:tr>
    </w:tbl>
    <w:p w:rsidR="000B7434" w:rsidRPr="004A33C3" w:rsidRDefault="000B7434" w:rsidP="004A33C3">
      <w:pPr>
        <w:pStyle w:val="SingleTxt"/>
        <w:spacing w:before="120" w:after="240" w:line="300" w:lineRule="exact"/>
        <w:ind w:left="1264" w:right="1264"/>
        <w:rPr>
          <w:rFonts w:hint="cs"/>
          <w:sz w:val="16"/>
          <w:szCs w:val="26"/>
          <w:rtl/>
          <w:lang w:bidi="ar-EG"/>
        </w:rPr>
      </w:pPr>
      <w:r w:rsidRPr="00C45EDF">
        <w:rPr>
          <w:i/>
          <w:iCs/>
          <w:sz w:val="16"/>
          <w:szCs w:val="26"/>
          <w:rtl/>
          <w:lang w:bidi="ar-EG"/>
        </w:rPr>
        <w:t>المصدر:</w:t>
      </w:r>
      <w:r w:rsidRPr="004A33C3">
        <w:rPr>
          <w:sz w:val="16"/>
          <w:szCs w:val="26"/>
          <w:rtl/>
          <w:lang w:bidi="ar-EG"/>
        </w:rPr>
        <w:t xml:space="preserve"> </w:t>
      </w:r>
      <w:r w:rsidR="004A33C3" w:rsidRPr="004A33C3">
        <w:rPr>
          <w:rFonts w:hint="cs"/>
          <w:sz w:val="16"/>
          <w:szCs w:val="26"/>
          <w:rtl/>
          <w:lang w:bidi="ar-EG"/>
        </w:rPr>
        <w:t xml:space="preserve"> </w:t>
      </w:r>
      <w:r w:rsidRPr="004A33C3">
        <w:rPr>
          <w:sz w:val="16"/>
          <w:szCs w:val="26"/>
          <w:rtl/>
          <w:lang w:bidi="ar-EG"/>
        </w:rPr>
        <w:t>دار أسميتا للنشر، 2003</w:t>
      </w:r>
      <w:r w:rsidR="004A33C3">
        <w:rPr>
          <w:rFonts w:hint="cs"/>
          <w:sz w:val="16"/>
          <w:szCs w:val="26"/>
          <w:rtl/>
          <w:lang w:bidi="ar-EG"/>
        </w:rPr>
        <w:t>.</w:t>
      </w:r>
    </w:p>
    <w:p w:rsidR="000B7434" w:rsidRDefault="000B7434" w:rsidP="004A33C3">
      <w:pPr>
        <w:pStyle w:val="SingleTxtGA"/>
        <w:rPr>
          <w:rtl/>
          <w:lang w:bidi="ar-EG"/>
        </w:rPr>
      </w:pPr>
      <w:r>
        <w:rPr>
          <w:rtl/>
          <w:lang w:bidi="ar-EG"/>
        </w:rPr>
        <w:t>246-</w:t>
      </w:r>
      <w:r w:rsidR="004A33C3">
        <w:rPr>
          <w:rFonts w:hint="cs"/>
          <w:rtl/>
          <w:lang w:bidi="ar-EG"/>
        </w:rPr>
        <w:tab/>
      </w:r>
      <w:r>
        <w:rPr>
          <w:rtl/>
          <w:lang w:bidi="ar-EG"/>
        </w:rPr>
        <w:t>ويزداد اشتراك المرأة أيضا</w:t>
      </w:r>
      <w:r w:rsidR="004A33C3">
        <w:rPr>
          <w:rFonts w:hint="cs"/>
          <w:rtl/>
          <w:lang w:bidi="ar-EG"/>
        </w:rPr>
        <w:t>ً</w:t>
      </w:r>
      <w:r>
        <w:rPr>
          <w:rtl/>
          <w:lang w:bidi="ar-EG"/>
        </w:rPr>
        <w:t xml:space="preserve"> في وسائط الإعلام التلفزيونية. والإحصاءات التالية تبين حالة المرأة العاملة في مختلف القنوات التلفزيونية.</w:t>
      </w:r>
    </w:p>
    <w:p w:rsidR="004A33C3" w:rsidRDefault="000B7434" w:rsidP="004A33C3">
      <w:pPr>
        <w:pStyle w:val="SingleTxtGA"/>
        <w:spacing w:after="0"/>
        <w:rPr>
          <w:rFonts w:hint="cs"/>
          <w:rtl/>
          <w:lang w:bidi="ar-EG"/>
        </w:rPr>
      </w:pPr>
      <w:r w:rsidRPr="00C87CDF">
        <w:rPr>
          <w:rtl/>
          <w:lang w:bidi="ar-EG"/>
        </w:rPr>
        <w:t>الجدول 2</w:t>
      </w:r>
      <w:r>
        <w:rPr>
          <w:rtl/>
          <w:lang w:bidi="ar-EG"/>
        </w:rPr>
        <w:t>9</w:t>
      </w:r>
    </w:p>
    <w:p w:rsidR="000B7434" w:rsidRPr="004A33C3" w:rsidRDefault="000B7434" w:rsidP="004A33C3">
      <w:pPr>
        <w:pStyle w:val="SingleTxtGA"/>
        <w:rPr>
          <w:b/>
          <w:bCs/>
          <w:rtl/>
          <w:lang w:bidi="ar-EG"/>
        </w:rPr>
      </w:pPr>
      <w:r w:rsidRPr="004A33C3">
        <w:rPr>
          <w:b/>
          <w:bCs/>
          <w:rtl/>
          <w:lang w:bidi="ar-EG"/>
        </w:rPr>
        <w:t>حالة المرأة العاملة في مختلف القنوات التلفزيونية</w:t>
      </w:r>
    </w:p>
    <w:tbl>
      <w:tblPr>
        <w:bidiVisual/>
        <w:tblW w:w="7111" w:type="dxa"/>
        <w:tblInd w:w="1267" w:type="dxa"/>
        <w:tblLayout w:type="fixed"/>
        <w:tblCellMar>
          <w:left w:w="0" w:type="dxa"/>
          <w:right w:w="0" w:type="dxa"/>
        </w:tblCellMar>
        <w:tblLook w:val="0000" w:firstRow="0" w:lastRow="0" w:firstColumn="0" w:lastColumn="0" w:noHBand="0" w:noVBand="0"/>
      </w:tblPr>
      <w:tblGrid>
        <w:gridCol w:w="4941"/>
        <w:gridCol w:w="1148"/>
        <w:gridCol w:w="1022"/>
      </w:tblGrid>
      <w:tr w:rsidR="000B7434" w:rsidRPr="005B2BB6" w:rsidTr="004A33C3">
        <w:tblPrEx>
          <w:tblCellMar>
            <w:top w:w="0" w:type="dxa"/>
            <w:bottom w:w="0" w:type="dxa"/>
          </w:tblCellMar>
        </w:tblPrEx>
        <w:trPr>
          <w:cantSplit/>
          <w:tblHeader/>
        </w:trPr>
        <w:tc>
          <w:tcPr>
            <w:tcW w:w="4941" w:type="dxa"/>
            <w:tcBorders>
              <w:top w:val="single" w:sz="4" w:space="0" w:color="auto"/>
              <w:bottom w:val="single" w:sz="12"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i/>
                <w:iCs/>
                <w:sz w:val="18"/>
                <w:szCs w:val="26"/>
                <w:lang w:bidi="ar-EG"/>
              </w:rPr>
            </w:pPr>
            <w:r w:rsidRPr="004A33C3">
              <w:rPr>
                <w:i/>
                <w:iCs/>
                <w:sz w:val="18"/>
                <w:szCs w:val="26"/>
                <w:rtl/>
                <w:lang w:bidi="ar-EG"/>
              </w:rPr>
              <w:t>القناة التلفزيونية</w:t>
            </w:r>
          </w:p>
        </w:tc>
        <w:tc>
          <w:tcPr>
            <w:tcW w:w="1148" w:type="dxa"/>
            <w:tcBorders>
              <w:top w:val="single" w:sz="4" w:space="0" w:color="auto"/>
              <w:bottom w:val="single" w:sz="12"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i/>
                <w:iCs/>
                <w:sz w:val="18"/>
                <w:szCs w:val="26"/>
                <w:lang w:bidi="ar-EG"/>
              </w:rPr>
            </w:pPr>
            <w:r w:rsidRPr="004A33C3">
              <w:rPr>
                <w:i/>
                <w:iCs/>
                <w:sz w:val="18"/>
                <w:szCs w:val="26"/>
                <w:rtl/>
                <w:lang w:bidi="ar-EG"/>
              </w:rPr>
              <w:t>عدد النساء</w:t>
            </w:r>
          </w:p>
        </w:tc>
        <w:tc>
          <w:tcPr>
            <w:tcW w:w="1022" w:type="dxa"/>
            <w:tcBorders>
              <w:top w:val="single" w:sz="4" w:space="0" w:color="auto"/>
              <w:bottom w:val="single" w:sz="12"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i/>
                <w:iCs/>
                <w:sz w:val="18"/>
                <w:szCs w:val="26"/>
                <w:lang w:bidi="ar-EG"/>
              </w:rPr>
            </w:pPr>
            <w:r w:rsidRPr="004A33C3">
              <w:rPr>
                <w:i/>
                <w:iCs/>
                <w:sz w:val="18"/>
                <w:szCs w:val="26"/>
                <w:rtl/>
                <w:lang w:bidi="ar-EG"/>
              </w:rPr>
              <w:t>النسبة المئوية</w:t>
            </w:r>
          </w:p>
        </w:tc>
      </w:tr>
      <w:tr w:rsidR="000B7434" w:rsidRPr="005B2BB6" w:rsidTr="004A33C3">
        <w:tblPrEx>
          <w:tblCellMar>
            <w:top w:w="0" w:type="dxa"/>
            <w:bottom w:w="0" w:type="dxa"/>
          </w:tblCellMar>
        </w:tblPrEx>
        <w:trPr>
          <w:cantSplit/>
        </w:trPr>
        <w:tc>
          <w:tcPr>
            <w:tcW w:w="4941"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تلفزيون نيبال</w:t>
            </w:r>
          </w:p>
        </w:tc>
        <w:tc>
          <w:tcPr>
            <w:tcW w:w="1148"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57</w:t>
            </w:r>
          </w:p>
        </w:tc>
        <w:tc>
          <w:tcPr>
            <w:tcW w:w="1022"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33.0</w:t>
            </w:r>
          </w:p>
        </w:tc>
      </w:tr>
      <w:tr w:rsidR="000B7434" w:rsidRPr="005B2BB6" w:rsidTr="004A33C3">
        <w:tblPrEx>
          <w:tblCellMar>
            <w:top w:w="0" w:type="dxa"/>
            <w:bottom w:w="0" w:type="dxa"/>
          </w:tblCellMar>
        </w:tblPrEx>
        <w:trPr>
          <w:cantSplit/>
        </w:trPr>
        <w:tc>
          <w:tcPr>
            <w:tcW w:w="4941"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كانتيبور</w:t>
            </w:r>
          </w:p>
        </w:tc>
        <w:tc>
          <w:tcPr>
            <w:tcW w:w="1148"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34</w:t>
            </w:r>
          </w:p>
        </w:tc>
        <w:tc>
          <w:tcPr>
            <w:tcW w:w="1022"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20.0</w:t>
            </w:r>
          </w:p>
        </w:tc>
      </w:tr>
      <w:tr w:rsidR="000B7434" w:rsidRPr="005B2BB6" w:rsidTr="004A33C3">
        <w:tblPrEx>
          <w:tblCellMar>
            <w:top w:w="0" w:type="dxa"/>
            <w:bottom w:w="0" w:type="dxa"/>
          </w:tblCellMar>
        </w:tblPrEx>
        <w:trPr>
          <w:cantSplit/>
        </w:trPr>
        <w:tc>
          <w:tcPr>
            <w:tcW w:w="4941"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ساغارماتا</w:t>
            </w:r>
          </w:p>
        </w:tc>
        <w:tc>
          <w:tcPr>
            <w:tcW w:w="1148"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20</w:t>
            </w:r>
          </w:p>
        </w:tc>
        <w:tc>
          <w:tcPr>
            <w:tcW w:w="1022"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12.0</w:t>
            </w:r>
          </w:p>
        </w:tc>
      </w:tr>
      <w:tr w:rsidR="000B7434" w:rsidRPr="005B2BB6" w:rsidTr="004A33C3">
        <w:tblPrEx>
          <w:tblCellMar>
            <w:top w:w="0" w:type="dxa"/>
            <w:bottom w:w="0" w:type="dxa"/>
          </w:tblCellMar>
        </w:tblPrEx>
        <w:trPr>
          <w:cantSplit/>
        </w:trPr>
        <w:tc>
          <w:tcPr>
            <w:tcW w:w="4941"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نيبال 1</w:t>
            </w:r>
          </w:p>
        </w:tc>
        <w:tc>
          <w:tcPr>
            <w:tcW w:w="1148"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10</w:t>
            </w:r>
          </w:p>
        </w:tc>
        <w:tc>
          <w:tcPr>
            <w:tcW w:w="1022"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5.0</w:t>
            </w:r>
          </w:p>
        </w:tc>
      </w:tr>
      <w:tr w:rsidR="000B7434" w:rsidRPr="005B2BB6" w:rsidTr="004A33C3">
        <w:tblPrEx>
          <w:tblCellMar>
            <w:top w:w="0" w:type="dxa"/>
            <w:bottom w:w="0" w:type="dxa"/>
          </w:tblCellMar>
        </w:tblPrEx>
        <w:trPr>
          <w:cantSplit/>
        </w:trPr>
        <w:tc>
          <w:tcPr>
            <w:tcW w:w="4941"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قناة ايميج</w:t>
            </w:r>
          </w:p>
        </w:tc>
        <w:tc>
          <w:tcPr>
            <w:tcW w:w="1148"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20</w:t>
            </w:r>
          </w:p>
        </w:tc>
        <w:tc>
          <w:tcPr>
            <w:tcW w:w="1022"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12.0</w:t>
            </w:r>
          </w:p>
        </w:tc>
      </w:tr>
      <w:tr w:rsidR="000B7434" w:rsidRPr="005B2BB6" w:rsidTr="004A33C3">
        <w:tblPrEx>
          <w:tblCellMar>
            <w:top w:w="0" w:type="dxa"/>
            <w:bottom w:w="0" w:type="dxa"/>
          </w:tblCellMar>
        </w:tblPrEx>
        <w:trPr>
          <w:cantSplit/>
        </w:trPr>
        <w:tc>
          <w:tcPr>
            <w:tcW w:w="4941"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آفينوز</w:t>
            </w:r>
          </w:p>
        </w:tc>
        <w:tc>
          <w:tcPr>
            <w:tcW w:w="1148"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15</w:t>
            </w:r>
          </w:p>
        </w:tc>
        <w:tc>
          <w:tcPr>
            <w:tcW w:w="1022" w:type="dxa"/>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9.0</w:t>
            </w:r>
          </w:p>
        </w:tc>
      </w:tr>
      <w:tr w:rsidR="000B7434" w:rsidRPr="005B2BB6" w:rsidTr="004A33C3">
        <w:tblPrEx>
          <w:tblCellMar>
            <w:top w:w="0" w:type="dxa"/>
            <w:bottom w:w="0" w:type="dxa"/>
          </w:tblCellMar>
        </w:tblPrEx>
        <w:trPr>
          <w:cantSplit/>
        </w:trPr>
        <w:tc>
          <w:tcPr>
            <w:tcW w:w="4941" w:type="dxa"/>
            <w:tcBorders>
              <w:bottom w:val="single" w:sz="4"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قناة نيبال</w:t>
            </w:r>
          </w:p>
        </w:tc>
        <w:tc>
          <w:tcPr>
            <w:tcW w:w="1148" w:type="dxa"/>
            <w:tcBorders>
              <w:bottom w:val="single" w:sz="4"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15</w:t>
            </w:r>
          </w:p>
        </w:tc>
        <w:tc>
          <w:tcPr>
            <w:tcW w:w="1022" w:type="dxa"/>
            <w:tcBorders>
              <w:bottom w:val="single" w:sz="4"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sz w:val="18"/>
                <w:szCs w:val="26"/>
                <w:lang w:bidi="ar-EG"/>
              </w:rPr>
            </w:pPr>
            <w:r w:rsidRPr="004A33C3">
              <w:rPr>
                <w:sz w:val="18"/>
                <w:szCs w:val="26"/>
                <w:rtl/>
                <w:lang w:bidi="ar-EG"/>
              </w:rPr>
              <w:t>9.0</w:t>
            </w:r>
          </w:p>
        </w:tc>
      </w:tr>
      <w:tr w:rsidR="000B7434" w:rsidRPr="005B2BB6" w:rsidTr="004A33C3">
        <w:tblPrEx>
          <w:tblCellMar>
            <w:top w:w="0" w:type="dxa"/>
            <w:bottom w:w="0" w:type="dxa"/>
          </w:tblCellMar>
        </w:tblPrEx>
        <w:trPr>
          <w:cantSplit/>
        </w:trPr>
        <w:tc>
          <w:tcPr>
            <w:tcW w:w="4941" w:type="dxa"/>
            <w:tcBorders>
              <w:top w:val="single" w:sz="4" w:space="0" w:color="auto"/>
              <w:bottom w:val="single" w:sz="12"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bCs/>
                <w:sz w:val="18"/>
                <w:szCs w:val="26"/>
                <w:lang w:bidi="ar-EG"/>
              </w:rPr>
            </w:pPr>
            <w:r w:rsidRPr="004A33C3">
              <w:rPr>
                <w:bCs/>
                <w:sz w:val="18"/>
                <w:szCs w:val="26"/>
                <w:rtl/>
                <w:lang w:bidi="ar-EG"/>
              </w:rPr>
              <w:tab/>
              <w:t>المجموع</w:t>
            </w:r>
          </w:p>
        </w:tc>
        <w:tc>
          <w:tcPr>
            <w:tcW w:w="1148" w:type="dxa"/>
            <w:tcBorders>
              <w:top w:val="single" w:sz="4" w:space="0" w:color="auto"/>
              <w:bottom w:val="single" w:sz="12"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bCs/>
                <w:sz w:val="18"/>
                <w:szCs w:val="26"/>
                <w:lang w:bidi="ar-EG"/>
              </w:rPr>
            </w:pPr>
            <w:r w:rsidRPr="004A33C3">
              <w:rPr>
                <w:bCs/>
                <w:sz w:val="18"/>
                <w:szCs w:val="26"/>
                <w:rtl/>
                <w:lang w:bidi="ar-EG"/>
              </w:rPr>
              <w:t>171</w:t>
            </w:r>
          </w:p>
        </w:tc>
        <w:tc>
          <w:tcPr>
            <w:tcW w:w="1022" w:type="dxa"/>
            <w:tcBorders>
              <w:top w:val="single" w:sz="4" w:space="0" w:color="auto"/>
              <w:bottom w:val="single" w:sz="12" w:space="0" w:color="auto"/>
            </w:tcBorders>
            <w:vAlign w:val="bottom"/>
          </w:tcPr>
          <w:p w:rsidR="000B7434" w:rsidRPr="004A33C3" w:rsidRDefault="000B7434" w:rsidP="004A33C3">
            <w:pPr>
              <w:tabs>
                <w:tab w:val="left" w:pos="288"/>
                <w:tab w:val="left" w:pos="576"/>
                <w:tab w:val="left" w:pos="864"/>
                <w:tab w:val="left" w:pos="1152"/>
              </w:tabs>
              <w:spacing w:before="60" w:after="60" w:line="280" w:lineRule="exact"/>
              <w:ind w:left="57"/>
              <w:rPr>
                <w:bCs/>
                <w:sz w:val="18"/>
                <w:szCs w:val="26"/>
                <w:lang w:bidi="ar-EG"/>
              </w:rPr>
            </w:pPr>
            <w:r w:rsidRPr="004A33C3">
              <w:rPr>
                <w:bCs/>
                <w:sz w:val="18"/>
                <w:szCs w:val="26"/>
                <w:rtl/>
                <w:lang w:bidi="ar-EG"/>
              </w:rPr>
              <w:t>100</w:t>
            </w:r>
            <w:r w:rsidR="00CA75D3" w:rsidRPr="004A33C3">
              <w:rPr>
                <w:rFonts w:cs="Times New Roman" w:hint="cs"/>
                <w:bCs/>
                <w:sz w:val="18"/>
                <w:szCs w:val="26"/>
                <w:rtl/>
                <w:lang w:bidi="ar-EG"/>
              </w:rPr>
              <w:t>٪</w:t>
            </w:r>
          </w:p>
        </w:tc>
      </w:tr>
    </w:tbl>
    <w:p w:rsidR="000B7434" w:rsidRPr="004A33C3" w:rsidRDefault="000B7434" w:rsidP="000B7434">
      <w:pPr>
        <w:pStyle w:val="SingleTxt"/>
        <w:rPr>
          <w:rFonts w:hint="cs"/>
          <w:sz w:val="16"/>
          <w:szCs w:val="26"/>
          <w:rtl/>
          <w:lang w:bidi="ar-EG"/>
        </w:rPr>
      </w:pPr>
      <w:r w:rsidRPr="005B2BB6">
        <w:rPr>
          <w:i/>
          <w:iCs/>
          <w:sz w:val="16"/>
          <w:szCs w:val="26"/>
          <w:rtl/>
          <w:lang w:bidi="ar-EG"/>
        </w:rPr>
        <w:t>المصدر</w:t>
      </w:r>
      <w:r w:rsidRPr="004A33C3">
        <w:rPr>
          <w:sz w:val="16"/>
          <w:szCs w:val="26"/>
          <w:rtl/>
          <w:lang w:bidi="ar-EG"/>
        </w:rPr>
        <w:t>:</w:t>
      </w:r>
      <w:r w:rsidR="004A33C3" w:rsidRPr="004A33C3">
        <w:rPr>
          <w:rFonts w:hint="cs"/>
          <w:sz w:val="16"/>
          <w:szCs w:val="26"/>
          <w:rtl/>
          <w:lang w:bidi="ar-EG"/>
        </w:rPr>
        <w:t xml:space="preserve"> </w:t>
      </w:r>
      <w:r w:rsidRPr="004A33C3">
        <w:rPr>
          <w:sz w:val="16"/>
          <w:szCs w:val="26"/>
          <w:rtl/>
          <w:lang w:bidi="ar-EG"/>
        </w:rPr>
        <w:t xml:space="preserve"> </w:t>
      </w:r>
      <w:r w:rsidRPr="004A33C3">
        <w:rPr>
          <w:sz w:val="16"/>
          <w:szCs w:val="26"/>
          <w:lang w:bidi="ar-EG"/>
        </w:rPr>
        <w:t>Concerned Televisions</w:t>
      </w:r>
      <w:r w:rsidRPr="004A33C3">
        <w:rPr>
          <w:sz w:val="16"/>
          <w:szCs w:val="26"/>
          <w:rtl/>
          <w:lang w:bidi="ar-EG"/>
        </w:rPr>
        <w:t>، 2065 (بتقويم نيبال)</w:t>
      </w:r>
      <w:r w:rsidR="004A33C3">
        <w:rPr>
          <w:rFonts w:hint="cs"/>
          <w:sz w:val="16"/>
          <w:szCs w:val="26"/>
          <w:rtl/>
          <w:lang w:bidi="ar-EG"/>
        </w:rPr>
        <w:t>.</w:t>
      </w:r>
    </w:p>
    <w:p w:rsidR="000B7434" w:rsidRDefault="000B7434" w:rsidP="00D834BE">
      <w:pPr>
        <w:pStyle w:val="SingleTxtGA"/>
        <w:rPr>
          <w:rtl/>
          <w:lang w:bidi="ar-EG"/>
        </w:rPr>
      </w:pPr>
      <w:r>
        <w:rPr>
          <w:rtl/>
          <w:lang w:bidi="ar-EG"/>
        </w:rPr>
        <w:t>247-</w:t>
      </w:r>
      <w:r w:rsidR="004A33C3">
        <w:rPr>
          <w:rFonts w:hint="cs"/>
          <w:rtl/>
          <w:lang w:bidi="ar-EG"/>
        </w:rPr>
        <w:tab/>
      </w:r>
      <w:r>
        <w:rPr>
          <w:rtl/>
          <w:lang w:bidi="ar-EG"/>
        </w:rPr>
        <w:t xml:space="preserve">وفي عام 2003، اعتمد مجلس الصحافة النيبالي </w:t>
      </w:r>
      <w:r w:rsidR="00D62BA8">
        <w:rPr>
          <w:rtl/>
          <w:lang w:bidi="ar-EG"/>
        </w:rPr>
        <w:t>"</w:t>
      </w:r>
      <w:r>
        <w:rPr>
          <w:rtl/>
          <w:lang w:bidi="ar-EG"/>
        </w:rPr>
        <w:t>مدونة لقواعد السلوك الصحفي</w:t>
      </w:r>
      <w:r w:rsidR="00D62BA8">
        <w:rPr>
          <w:rtl/>
          <w:lang w:bidi="ar-EG"/>
        </w:rPr>
        <w:t>"</w:t>
      </w:r>
      <w:r>
        <w:rPr>
          <w:rtl/>
          <w:lang w:bidi="ar-EG"/>
        </w:rPr>
        <w:t>. وقد عُدلت هذه المدونة ونُقحت في عام 2008. وينص الحكم المتصل بالجن</w:t>
      </w:r>
      <w:r w:rsidR="004A33C3">
        <w:rPr>
          <w:rtl/>
          <w:lang w:bidi="ar-EG"/>
        </w:rPr>
        <w:t>سانية من هذه المدونة في البند 3</w:t>
      </w:r>
      <w:r>
        <w:rPr>
          <w:rtl/>
          <w:lang w:bidi="ar-EG"/>
        </w:rPr>
        <w:t xml:space="preserve">(10) على ما يلي: </w:t>
      </w:r>
      <w:r w:rsidR="00D62BA8">
        <w:rPr>
          <w:rtl/>
          <w:lang w:bidi="ar-EG"/>
        </w:rPr>
        <w:t>"</w:t>
      </w:r>
      <w:r>
        <w:rPr>
          <w:rtl/>
          <w:lang w:bidi="ar-EG"/>
        </w:rPr>
        <w:t>يتحمل الصحفيون ووسائط الإعلام مسؤولية اجتماعية خاصة بتقديم مساعدة خاصة، عن طريق نشر المعلومات والآراء، تجاه الارتقاء بذوي الإعاقات، والعاجزين، والنساء، والأطفال، والأشخاص من طبقات أو</w:t>
      </w:r>
      <w:r>
        <w:rPr>
          <w:rFonts w:hint="cs"/>
          <w:rtl/>
          <w:lang w:bidi="ar-EG"/>
        </w:rPr>
        <w:t> </w:t>
      </w:r>
      <w:r>
        <w:rPr>
          <w:rtl/>
          <w:lang w:bidi="ar-EG"/>
        </w:rPr>
        <w:t>قطاعات متخلفة، ومن القوميات الأصلية وطوائف الأقليات</w:t>
      </w:r>
      <w:r w:rsidR="00D62BA8">
        <w:rPr>
          <w:rtl/>
          <w:lang w:bidi="ar-EG"/>
        </w:rPr>
        <w:t>"</w:t>
      </w:r>
      <w:r>
        <w:rPr>
          <w:rtl/>
          <w:lang w:bidi="ar-EG"/>
        </w:rPr>
        <w:t>. وبالمثل فإن البند 4(5) يوفر حكما</w:t>
      </w:r>
      <w:r w:rsidR="004A33C3">
        <w:rPr>
          <w:rFonts w:hint="cs"/>
          <w:rtl/>
          <w:lang w:bidi="ar-EG"/>
        </w:rPr>
        <w:t>ً</w:t>
      </w:r>
      <w:r>
        <w:rPr>
          <w:rtl/>
          <w:lang w:bidi="ar-EG"/>
        </w:rPr>
        <w:t xml:space="preserve"> صريحا</w:t>
      </w:r>
      <w:r w:rsidR="004A33C3">
        <w:rPr>
          <w:rFonts w:hint="cs"/>
          <w:rtl/>
          <w:lang w:bidi="ar-EG"/>
        </w:rPr>
        <w:t>ً</w:t>
      </w:r>
      <w:r>
        <w:rPr>
          <w:rtl/>
          <w:lang w:bidi="ar-EG"/>
        </w:rPr>
        <w:t xml:space="preserve"> </w:t>
      </w:r>
      <w:r w:rsidR="00D62BA8">
        <w:rPr>
          <w:rtl/>
          <w:lang w:bidi="ar-EG"/>
        </w:rPr>
        <w:t>"</w:t>
      </w:r>
      <w:r>
        <w:rPr>
          <w:rtl/>
          <w:lang w:bidi="ar-EG"/>
        </w:rPr>
        <w:t>بعدم التمييز</w:t>
      </w:r>
      <w:r w:rsidR="00D62BA8">
        <w:rPr>
          <w:rtl/>
          <w:lang w:bidi="ar-EG"/>
        </w:rPr>
        <w:t>"</w:t>
      </w:r>
      <w:r>
        <w:rPr>
          <w:rtl/>
          <w:lang w:bidi="ar-EG"/>
        </w:rPr>
        <w:t xml:space="preserve"> يحظر بموجبه على وسائط الإعلام والأشخاص العاملين بوسائط الإعلام طرح أي أخبار أو رأي على نحو فيه تمييز على أساس العنصر أو الجنس أو</w:t>
      </w:r>
      <w:r>
        <w:rPr>
          <w:rFonts w:hint="cs"/>
          <w:rtl/>
          <w:lang w:bidi="ar-EG"/>
        </w:rPr>
        <w:t> </w:t>
      </w:r>
      <w:r>
        <w:rPr>
          <w:rtl/>
          <w:lang w:bidi="ar-EG"/>
        </w:rPr>
        <w:t>الدين أو المنطقة أو اللغة أو اللون أو ما شابه ذلك</w:t>
      </w:r>
      <w:r w:rsidR="00D62BA8">
        <w:rPr>
          <w:rtl/>
          <w:lang w:bidi="ar-EG"/>
        </w:rPr>
        <w:t>"</w:t>
      </w:r>
      <w:r w:rsidR="004A33C3">
        <w:rPr>
          <w:rtl/>
          <w:lang w:bidi="ar-EG"/>
        </w:rPr>
        <w:t>. كما أن البند 4</w:t>
      </w:r>
      <w:r>
        <w:rPr>
          <w:rtl/>
          <w:lang w:bidi="ar-EG"/>
        </w:rPr>
        <w:t>(6) يحظر نشر أو</w:t>
      </w:r>
      <w:r>
        <w:rPr>
          <w:rFonts w:hint="cs"/>
          <w:rtl/>
          <w:lang w:bidi="ar-EG"/>
        </w:rPr>
        <w:t> </w:t>
      </w:r>
      <w:r>
        <w:rPr>
          <w:rtl/>
          <w:lang w:bidi="ar-EG"/>
        </w:rPr>
        <w:t>إذاعة أو إنتاج أو توزيع أية أخبار أو آراء واستخدام لغة، أو صوت، أو صورة، أو شكل، أو منظر أو ما شابه ذلك على نحو يجعل من الناجيات ضحايا مرة أخرى. وبالمثل فإن البند 4(7)</w:t>
      </w:r>
      <w:r w:rsidR="004A33C3">
        <w:rPr>
          <w:rFonts w:hint="cs"/>
          <w:rtl/>
          <w:lang w:bidi="ar-EG"/>
        </w:rPr>
        <w:t xml:space="preserve"> </w:t>
      </w:r>
      <w:r>
        <w:rPr>
          <w:rtl/>
          <w:lang w:bidi="ar-EG"/>
        </w:rPr>
        <w:t>ينص، مؤكدا</w:t>
      </w:r>
      <w:r w:rsidR="004A33C3">
        <w:rPr>
          <w:rFonts w:hint="cs"/>
          <w:rtl/>
          <w:lang w:bidi="ar-EG"/>
        </w:rPr>
        <w:t>ً</w:t>
      </w:r>
      <w:r>
        <w:rPr>
          <w:rtl/>
          <w:lang w:bidi="ar-EG"/>
        </w:rPr>
        <w:t xml:space="preserve"> احترام خصوصية الضحية، على </w:t>
      </w:r>
      <w:r w:rsidR="00D62BA8">
        <w:rPr>
          <w:rtl/>
          <w:lang w:bidi="ar-EG"/>
        </w:rPr>
        <w:t>"</w:t>
      </w:r>
      <w:r>
        <w:rPr>
          <w:rtl/>
          <w:lang w:bidi="ar-EG"/>
        </w:rPr>
        <w:t>عدم نشر أو إذاعة أو إنتاج أو</w:t>
      </w:r>
      <w:r w:rsidR="00D834BE">
        <w:rPr>
          <w:rFonts w:hint="cs"/>
          <w:rtl/>
          <w:lang w:bidi="ar-EG"/>
        </w:rPr>
        <w:t xml:space="preserve"> </w:t>
      </w:r>
      <w:r>
        <w:rPr>
          <w:rtl/>
          <w:lang w:bidi="ar-EG"/>
        </w:rPr>
        <w:t>إشاعة أية أخبار أو صور أو مناظر على نحو يكشف اسمَ أو عنوانَ أو هويةَ ضحية في جريمة جنسية أو في حادث أو سياقٍ يُثير الكراهيةَ أو يجلب ازدراءً اجتماعياً، بدون موافقة واعية من الضحية</w:t>
      </w:r>
      <w:r w:rsidR="00D62BA8">
        <w:rPr>
          <w:rtl/>
          <w:lang w:bidi="ar-EG"/>
        </w:rPr>
        <w:t>"</w:t>
      </w:r>
      <w:r>
        <w:rPr>
          <w:rtl/>
          <w:lang w:bidi="ar-EG"/>
        </w:rPr>
        <w:t>. وفيما يلي بعض التغييرات الجديرة بالتنويه التي حدثت:</w:t>
      </w:r>
    </w:p>
    <w:p w:rsidR="000B7434" w:rsidRPr="00A319FD" w:rsidRDefault="000B7434" w:rsidP="00D834BE">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A319FD">
        <w:rPr>
          <w:rFonts w:hint="cs"/>
          <w:w w:val="100"/>
          <w:kern w:val="0"/>
          <w:rtl/>
          <w:lang w:bidi="ar-EG"/>
        </w:rPr>
        <w:t>•</w:t>
      </w:r>
      <w:r w:rsidRPr="00A319FD">
        <w:rPr>
          <w:w w:val="100"/>
          <w:kern w:val="0"/>
          <w:rtl/>
          <w:lang w:bidi="ar-EG"/>
        </w:rPr>
        <w:tab/>
        <w:t>تغطية وسائط الإعلام لمسائل المرأة بصورة عامة ازدادت</w:t>
      </w:r>
      <w:r w:rsidR="00D834BE" w:rsidRPr="00A319FD">
        <w:rPr>
          <w:rFonts w:hint="cs"/>
          <w:w w:val="100"/>
          <w:kern w:val="0"/>
          <w:rtl/>
          <w:lang w:bidi="ar-EG"/>
        </w:rPr>
        <w:t>؛</w:t>
      </w:r>
    </w:p>
    <w:p w:rsidR="000B7434" w:rsidRPr="00A319FD" w:rsidRDefault="000B7434" w:rsidP="00D834BE">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A319FD">
        <w:rPr>
          <w:rFonts w:hint="cs"/>
          <w:w w:val="100"/>
          <w:kern w:val="0"/>
          <w:rtl/>
          <w:lang w:bidi="ar-EG"/>
        </w:rPr>
        <w:t>•</w:t>
      </w:r>
      <w:r w:rsidRPr="00A319FD">
        <w:rPr>
          <w:w w:val="100"/>
          <w:kern w:val="0"/>
          <w:rtl/>
          <w:lang w:bidi="ar-EG"/>
        </w:rPr>
        <w:tab/>
        <w:t>تضطلع وسائط الإعلام ببحوث ودراسات تتعلق بمسائل المرأة</w:t>
      </w:r>
      <w:r w:rsidR="00D834BE" w:rsidRPr="00A319FD">
        <w:rPr>
          <w:rFonts w:hint="cs"/>
          <w:w w:val="100"/>
          <w:kern w:val="0"/>
          <w:rtl/>
          <w:lang w:bidi="ar-EG"/>
        </w:rPr>
        <w:t>؛</w:t>
      </w:r>
    </w:p>
    <w:p w:rsidR="000B7434" w:rsidRPr="00A319FD" w:rsidRDefault="000B7434" w:rsidP="00A319F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A319FD">
        <w:rPr>
          <w:rFonts w:hint="cs"/>
          <w:w w:val="100"/>
          <w:kern w:val="0"/>
          <w:rtl/>
          <w:lang w:bidi="ar-EG"/>
        </w:rPr>
        <w:t>•</w:t>
      </w:r>
      <w:r w:rsidRPr="00A319FD">
        <w:rPr>
          <w:w w:val="100"/>
          <w:kern w:val="0"/>
          <w:rtl/>
          <w:lang w:bidi="ar-EG"/>
        </w:rPr>
        <w:tab/>
        <w:t>تزداد تدريجيا</w:t>
      </w:r>
      <w:r w:rsidR="00A319FD" w:rsidRPr="00A319FD">
        <w:rPr>
          <w:rFonts w:hint="cs"/>
          <w:w w:val="100"/>
          <w:kern w:val="0"/>
          <w:rtl/>
          <w:lang w:bidi="ar-EG"/>
        </w:rPr>
        <w:t>ً</w:t>
      </w:r>
      <w:r w:rsidRPr="00A319FD">
        <w:rPr>
          <w:w w:val="100"/>
          <w:kern w:val="0"/>
          <w:rtl/>
          <w:lang w:bidi="ar-EG"/>
        </w:rPr>
        <w:t xml:space="preserve"> حساسية وسائط الإعلام ومسؤوليتها إزاء الصورة التي تقدمها للمرأة</w:t>
      </w:r>
      <w:r w:rsidR="00A319FD" w:rsidRPr="00A319FD">
        <w:rPr>
          <w:rFonts w:hint="cs"/>
          <w:w w:val="100"/>
          <w:kern w:val="0"/>
          <w:rtl/>
          <w:lang w:bidi="ar-EG"/>
        </w:rPr>
        <w:t>؛</w:t>
      </w:r>
    </w:p>
    <w:p w:rsidR="000B7434" w:rsidRPr="00A319FD" w:rsidRDefault="000B7434" w:rsidP="00A319F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w w:val="100"/>
          <w:kern w:val="0"/>
          <w:rtl/>
          <w:lang w:bidi="ar-EG"/>
        </w:rPr>
      </w:pPr>
      <w:r w:rsidRPr="00A319FD">
        <w:rPr>
          <w:rFonts w:hint="cs"/>
          <w:w w:val="100"/>
          <w:kern w:val="0"/>
          <w:rtl/>
          <w:lang w:bidi="ar-EG"/>
        </w:rPr>
        <w:t>•</w:t>
      </w:r>
      <w:r w:rsidRPr="00A319FD">
        <w:rPr>
          <w:w w:val="100"/>
          <w:kern w:val="0"/>
          <w:rtl/>
          <w:lang w:bidi="ar-EG"/>
        </w:rPr>
        <w:tab/>
        <w:t>رحب مجلس الصحافة بوجود إناث أعضاء في مناصب صنع القرار اعترافا</w:t>
      </w:r>
      <w:r w:rsidR="00A319FD" w:rsidRPr="00A319FD">
        <w:rPr>
          <w:rFonts w:hint="cs"/>
          <w:w w:val="100"/>
          <w:kern w:val="0"/>
          <w:rtl/>
          <w:lang w:bidi="ar-EG"/>
        </w:rPr>
        <w:t>ً</w:t>
      </w:r>
      <w:r w:rsidRPr="00A319FD">
        <w:rPr>
          <w:w w:val="100"/>
          <w:kern w:val="0"/>
          <w:rtl/>
          <w:lang w:bidi="ar-EG"/>
        </w:rPr>
        <w:t xml:space="preserve"> بخبرتهن</w:t>
      </w:r>
      <w:r w:rsidR="00A319FD" w:rsidRPr="00A319FD">
        <w:rPr>
          <w:rFonts w:hint="cs"/>
          <w:w w:val="100"/>
          <w:kern w:val="0"/>
          <w:rtl/>
          <w:lang w:bidi="ar-EG"/>
        </w:rPr>
        <w:t>؛</w:t>
      </w:r>
    </w:p>
    <w:p w:rsidR="000B7434" w:rsidRPr="00A319FD"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A319FD">
        <w:rPr>
          <w:rFonts w:hint="cs"/>
          <w:w w:val="100"/>
          <w:kern w:val="0"/>
          <w:rtl/>
          <w:lang w:bidi="ar-EG"/>
        </w:rPr>
        <w:t>•</w:t>
      </w:r>
      <w:r w:rsidRPr="00A319FD">
        <w:rPr>
          <w:w w:val="100"/>
          <w:kern w:val="0"/>
          <w:rtl/>
          <w:lang w:bidi="ar-EG"/>
        </w:rPr>
        <w:tab/>
        <w:t>تُبَث البرامجُ التي تركز على المرأة على شاشات التلفزيون الوطنية وفي الإذاعات وتنشر في الصحف.</w:t>
      </w:r>
    </w:p>
    <w:p w:rsidR="000B7434" w:rsidRDefault="000B7434" w:rsidP="00A319FD">
      <w:pPr>
        <w:pStyle w:val="SingleTxtGA"/>
        <w:rPr>
          <w:rtl/>
          <w:lang w:bidi="ar-EG"/>
        </w:rPr>
      </w:pPr>
      <w:r>
        <w:rPr>
          <w:rtl/>
          <w:lang w:bidi="ar-EG"/>
        </w:rPr>
        <w:t>248-</w:t>
      </w:r>
      <w:r w:rsidR="00A319FD">
        <w:rPr>
          <w:rFonts w:hint="cs"/>
          <w:rtl/>
          <w:lang w:bidi="ar-EG"/>
        </w:rPr>
        <w:tab/>
      </w:r>
      <w:r>
        <w:rPr>
          <w:rtl/>
          <w:lang w:bidi="ar-EG"/>
        </w:rPr>
        <w:t>ويمكن أيضا</w:t>
      </w:r>
      <w:r w:rsidR="00A319FD">
        <w:rPr>
          <w:rFonts w:hint="cs"/>
          <w:rtl/>
          <w:lang w:bidi="ar-EG"/>
        </w:rPr>
        <w:t>ً</w:t>
      </w:r>
      <w:r>
        <w:rPr>
          <w:rtl/>
          <w:lang w:bidi="ar-EG"/>
        </w:rPr>
        <w:t xml:space="preserve"> اعتبار القرارات القضائية في نيبال على أنها معيار لقضية المرأة في وسائط الإعلام. ففي قضية </w:t>
      </w:r>
      <w:r w:rsidRPr="00260B4C">
        <w:rPr>
          <w:i/>
          <w:iCs/>
          <w:rtl/>
          <w:lang w:bidi="ar-EG"/>
        </w:rPr>
        <w:t xml:space="preserve">براكاشماني شارما </w:t>
      </w:r>
      <w:r w:rsidRPr="005118A2">
        <w:rPr>
          <w:rtl/>
          <w:lang w:bidi="ar-EG"/>
        </w:rPr>
        <w:t>ضد</w:t>
      </w:r>
      <w:r w:rsidRPr="00260B4C">
        <w:rPr>
          <w:i/>
          <w:iCs/>
          <w:rtl/>
          <w:lang w:bidi="ar-EG"/>
        </w:rPr>
        <w:t xml:space="preserve"> </w:t>
      </w:r>
      <w:r w:rsidRPr="005118A2">
        <w:rPr>
          <w:i/>
          <w:iCs/>
          <w:rtl/>
          <w:lang w:bidi="ar-EG"/>
        </w:rPr>
        <w:t>حكومة</w:t>
      </w:r>
      <w:r w:rsidRPr="00260B4C">
        <w:rPr>
          <w:i/>
          <w:iCs/>
          <w:rtl/>
          <w:lang w:bidi="ar-EG"/>
        </w:rPr>
        <w:t xml:space="preserve"> نيبال</w:t>
      </w:r>
      <w:r>
        <w:rPr>
          <w:rtl/>
          <w:lang w:bidi="ar-EG"/>
        </w:rPr>
        <w:t xml:space="preserve">، التي صدر الحكم فيها في 29 آب/أغسطس 2008، أصدرت المحكمة العليا أمر امتثال موجه إلى الحكومة بتشكيل </w:t>
      </w:r>
      <w:r w:rsidR="00D62BA8">
        <w:rPr>
          <w:rtl/>
          <w:lang w:bidi="ar-EG"/>
        </w:rPr>
        <w:t>"</w:t>
      </w:r>
      <w:r>
        <w:rPr>
          <w:rtl/>
          <w:lang w:bidi="ar-EG"/>
        </w:rPr>
        <w:t>مجلس رقابة للإعلانات</w:t>
      </w:r>
      <w:r w:rsidR="00D62BA8">
        <w:rPr>
          <w:rtl/>
          <w:lang w:bidi="ar-EG"/>
        </w:rPr>
        <w:t>"</w:t>
      </w:r>
      <w:r>
        <w:rPr>
          <w:rtl/>
          <w:lang w:bidi="ar-EG"/>
        </w:rPr>
        <w:t xml:space="preserve"> في إطار وزارة الإعلام والاتصال بغية حظر الإعلانات الإباحية والخالية من الحشمة التي تصور المرأة كسلعة وتشجع الممارسات الثقافية المسيئة التي تميز ضدها. وأمرت المحكمة العليا أيضاً وزارة الإعلام والاتصال بوضع </w:t>
      </w:r>
      <w:r w:rsidR="00D62BA8">
        <w:rPr>
          <w:rtl/>
          <w:lang w:bidi="ar-EG"/>
        </w:rPr>
        <w:t>"</w:t>
      </w:r>
      <w:r>
        <w:rPr>
          <w:rtl/>
          <w:lang w:bidi="ar-EG"/>
        </w:rPr>
        <w:t>مبادئ توجيهية</w:t>
      </w:r>
      <w:r w:rsidR="00D62BA8">
        <w:rPr>
          <w:rtl/>
          <w:lang w:bidi="ar-EG"/>
        </w:rPr>
        <w:t>"</w:t>
      </w:r>
      <w:r>
        <w:rPr>
          <w:rtl/>
          <w:lang w:bidi="ar-EG"/>
        </w:rPr>
        <w:t xml:space="preserve"> وإنشاء لجنة لرصد هذه المسائل ومتابعتها.</w:t>
      </w:r>
    </w:p>
    <w:p w:rsidR="000B7434" w:rsidRPr="005118A2" w:rsidRDefault="000B7434" w:rsidP="00A319FD">
      <w:pPr>
        <w:pStyle w:val="H23GA"/>
        <w:rPr>
          <w:rtl/>
          <w:lang w:bidi="ar-EG"/>
        </w:rPr>
      </w:pPr>
      <w:r>
        <w:rPr>
          <w:rtl/>
          <w:lang w:bidi="ar-EG"/>
        </w:rPr>
        <w:tab/>
      </w:r>
      <w:r>
        <w:rPr>
          <w:rtl/>
          <w:lang w:bidi="ar-EG"/>
        </w:rPr>
        <w:tab/>
      </w:r>
      <w:r w:rsidRPr="005118A2">
        <w:rPr>
          <w:rtl/>
          <w:lang w:bidi="ar-EG"/>
        </w:rPr>
        <w:t>المرأة والبيئة</w:t>
      </w:r>
    </w:p>
    <w:p w:rsidR="000B7434" w:rsidRDefault="000B7434" w:rsidP="00A319FD">
      <w:pPr>
        <w:pStyle w:val="SingleTxtGA"/>
        <w:rPr>
          <w:rtl/>
          <w:lang w:bidi="ar-EG"/>
        </w:rPr>
      </w:pPr>
      <w:r>
        <w:rPr>
          <w:rtl/>
          <w:lang w:bidi="ar-EG"/>
        </w:rPr>
        <w:t>249-</w:t>
      </w:r>
      <w:r w:rsidR="00A319FD">
        <w:rPr>
          <w:rFonts w:hint="cs"/>
          <w:rtl/>
          <w:lang w:bidi="ar-EG"/>
        </w:rPr>
        <w:tab/>
      </w:r>
      <w:r>
        <w:rPr>
          <w:rtl/>
          <w:lang w:bidi="ar-EG"/>
        </w:rPr>
        <w:t>للمرأة دور كبير تؤديه في مجال صون البيئة. وقد أدركت الحكومة هذه الحقيقة وشرعت، منذ الخطة الثامنة، ببعض البرامج في قطاع المرأة والبيئة. وأدرجت الخطة الثلاثية السنوات المؤقتة بعض البرامج الأخرى بغية دعم الخدمات المقدمة بإدارة الطاقة البديلة عن طريق استخدام المنتجات الحرجية المتاحة محليا في إنتاج قوالب الفحم ومواد أخرى. وبناء عليه فإنه فيما يتم صون الأحراج وحماية البيئة، يجري إيجاد فرص العمالة للمرأة الفقيرة بزيادة مهاراتها عن طريق تدريبها على التكنولوجيا والمعدات.</w:t>
      </w:r>
    </w:p>
    <w:p w:rsidR="000B7434" w:rsidRDefault="000B7434" w:rsidP="00A319FD">
      <w:pPr>
        <w:pStyle w:val="SingleTxtGA"/>
        <w:rPr>
          <w:rtl/>
          <w:lang w:bidi="ar-EG"/>
        </w:rPr>
      </w:pPr>
      <w:r>
        <w:rPr>
          <w:rtl/>
          <w:lang w:bidi="ar-EG"/>
        </w:rPr>
        <w:t>250-</w:t>
      </w:r>
      <w:r w:rsidR="00A319FD">
        <w:rPr>
          <w:rFonts w:hint="cs"/>
          <w:rtl/>
          <w:lang w:bidi="ar-EG"/>
        </w:rPr>
        <w:tab/>
      </w:r>
      <w:r>
        <w:rPr>
          <w:rtl/>
          <w:lang w:bidi="ar-EG"/>
        </w:rPr>
        <w:t>واعتمدت وزارة البيئة والعلم والتك</w:t>
      </w:r>
      <w:r>
        <w:rPr>
          <w:rFonts w:hint="cs"/>
          <w:rtl/>
          <w:lang w:bidi="ar-EG"/>
        </w:rPr>
        <w:t>ن</w:t>
      </w:r>
      <w:r>
        <w:rPr>
          <w:rtl/>
          <w:lang w:bidi="ar-EG"/>
        </w:rPr>
        <w:t>ولوجيا (سابقا</w:t>
      </w:r>
      <w:r w:rsidR="00A319FD">
        <w:rPr>
          <w:rFonts w:hint="cs"/>
          <w:rtl/>
          <w:lang w:bidi="ar-EG"/>
        </w:rPr>
        <w:t>ً</w:t>
      </w:r>
      <w:r>
        <w:rPr>
          <w:rFonts w:hint="cs"/>
          <w:rtl/>
          <w:lang w:bidi="ar-EG"/>
        </w:rPr>
        <w:t xml:space="preserve"> </w:t>
      </w:r>
      <w:r>
        <w:rPr>
          <w:rtl/>
          <w:lang w:bidi="ar-EG"/>
        </w:rPr>
        <w:t>وزارة السكان والبيئة) الآن</w:t>
      </w:r>
      <w:r w:rsidR="00A319FD">
        <w:rPr>
          <w:rFonts w:hint="cs"/>
          <w:rtl/>
          <w:lang w:bidi="ar-EG"/>
        </w:rPr>
        <w:t xml:space="preserve"> </w:t>
      </w:r>
      <w:r>
        <w:rPr>
          <w:rtl/>
          <w:lang w:bidi="ar-EG"/>
        </w:rPr>
        <w:t>استراتيجية لإشراك المرأة في عملية اتخاذ القرارات المتصلة بالبيئة. كما أن برامج الصون تشمل تنمية المهارات وتوليد الدخل وكذلك برامج صحية وبرامج التدريب على النظافة الصحية للمرأة. وتشترك جمعيات الأمهات بأعداد كبيرة في برنامج الحفظ والتنمية. وعلى سبيل المثال، كان هناك 312 جمعية للأمهات في منطقة مشروع حفظ آنابورنا حتى عام</w:t>
      </w:r>
      <w:r>
        <w:rPr>
          <w:rFonts w:hint="cs"/>
          <w:rtl/>
          <w:lang w:bidi="ar-EG"/>
        </w:rPr>
        <w:t> </w:t>
      </w:r>
      <w:r>
        <w:rPr>
          <w:rtl/>
          <w:lang w:bidi="ar-EG"/>
        </w:rPr>
        <w:t>2002. ولا تزال جمعيات الأمهات نشطة في جمع الأموال بصورة رئيسية عن طريق البرامج الثقافية أثناء الأعياد والاحتفالات. وتستخدم هذه الأموال في برامج التنمية المجتمعية مثل تصليح وبناء الدروب، وصنابير المياه، وإنشاء القنوات للتصريف وغير ذلك من برامج الحفظ والصون الصغيرة. وتنشط مجموعات الأمهات بصورة رئيسية في خطط التبليط بالحجارة وإمدادات مياه الشرب وبناء المراحيض وإدارة المياه والتعليم الصحي.</w:t>
      </w:r>
    </w:p>
    <w:p w:rsidR="000B7434" w:rsidRDefault="000B7434" w:rsidP="00762AAB">
      <w:pPr>
        <w:pStyle w:val="SingleTxtGA"/>
        <w:rPr>
          <w:rtl/>
          <w:lang w:bidi="ar-EG"/>
        </w:rPr>
      </w:pPr>
      <w:r>
        <w:rPr>
          <w:rtl/>
          <w:lang w:bidi="ar-EG"/>
        </w:rPr>
        <w:t>251-</w:t>
      </w:r>
      <w:r w:rsidR="00A319FD">
        <w:rPr>
          <w:rFonts w:hint="cs"/>
          <w:rtl/>
          <w:lang w:bidi="ar-EG"/>
        </w:rPr>
        <w:tab/>
      </w:r>
      <w:r>
        <w:rPr>
          <w:rtl/>
          <w:lang w:bidi="ar-EG"/>
        </w:rPr>
        <w:t>وبما أنه لا يزال يتعين على المرأة الريفية أن تسير أميالا</w:t>
      </w:r>
      <w:r w:rsidR="00762AAB">
        <w:rPr>
          <w:rFonts w:hint="cs"/>
          <w:rtl/>
          <w:lang w:bidi="ar-EG"/>
        </w:rPr>
        <w:t>ً</w:t>
      </w:r>
      <w:r>
        <w:rPr>
          <w:rtl/>
          <w:lang w:bidi="ar-EG"/>
        </w:rPr>
        <w:t xml:space="preserve"> كل يوم لتجلب جردلا</w:t>
      </w:r>
      <w:r w:rsidR="00A319FD">
        <w:rPr>
          <w:rFonts w:hint="cs"/>
          <w:rtl/>
          <w:lang w:bidi="ar-EG"/>
        </w:rPr>
        <w:t>ً</w:t>
      </w:r>
      <w:r>
        <w:rPr>
          <w:rtl/>
          <w:lang w:bidi="ar-EG"/>
        </w:rPr>
        <w:t xml:space="preserve"> من الماء، فإن ميزانية هذه السنة تعد ببرامج </w:t>
      </w:r>
      <w:r w:rsidR="00D62BA8">
        <w:rPr>
          <w:rtl/>
          <w:lang w:bidi="ar-EG"/>
        </w:rPr>
        <w:t>"</w:t>
      </w:r>
      <w:r>
        <w:rPr>
          <w:rtl/>
          <w:lang w:bidi="ar-EG"/>
        </w:rPr>
        <w:t>بتركيب صنابير لمياه الشرب في القرى</w:t>
      </w:r>
      <w:r w:rsidR="00D62BA8">
        <w:rPr>
          <w:rtl/>
          <w:lang w:bidi="ar-EG"/>
        </w:rPr>
        <w:t>"</w:t>
      </w:r>
      <w:r>
        <w:rPr>
          <w:rtl/>
          <w:lang w:bidi="ar-EG"/>
        </w:rPr>
        <w:t xml:space="preserve">. ويجري تنفيذ برنامج مياه الشرب الريفية تحت إشراف وزارة التنمية المحلية. وخُصص لهذا المشروع مبلغ 3 </w:t>
      </w:r>
      <w:r w:rsidR="00762AAB">
        <w:rPr>
          <w:rFonts w:hint="cs"/>
          <w:rtl/>
          <w:lang w:bidi="ar-EG"/>
        </w:rPr>
        <w:t>مليار</w:t>
      </w:r>
      <w:r>
        <w:rPr>
          <w:rtl/>
          <w:lang w:bidi="ar-EG"/>
        </w:rPr>
        <w:t xml:space="preserve"> روبية للسنة المالية 2008-2009.</w:t>
      </w:r>
    </w:p>
    <w:p w:rsidR="000B7434" w:rsidRDefault="000B7434" w:rsidP="00A319FD">
      <w:pPr>
        <w:pStyle w:val="SingleTxtGA"/>
        <w:rPr>
          <w:rtl/>
          <w:lang w:bidi="ar-EG"/>
        </w:rPr>
      </w:pPr>
      <w:r>
        <w:rPr>
          <w:rtl/>
          <w:lang w:bidi="ar-EG"/>
        </w:rPr>
        <w:t>252-</w:t>
      </w:r>
      <w:r w:rsidR="00A319FD">
        <w:rPr>
          <w:rFonts w:hint="cs"/>
          <w:rtl/>
          <w:lang w:bidi="ar-EG"/>
        </w:rPr>
        <w:tab/>
      </w:r>
      <w:r>
        <w:rPr>
          <w:rtl/>
          <w:lang w:bidi="ar-EG"/>
        </w:rPr>
        <w:t>وتمثل مشاركة المرأة في إدارة الأحراج المجتمعية وفي آليات تشاطر المعلومات جانبا</w:t>
      </w:r>
      <w:r w:rsidR="00A319FD">
        <w:rPr>
          <w:rFonts w:hint="cs"/>
          <w:rtl/>
          <w:lang w:bidi="ar-EG"/>
        </w:rPr>
        <w:t>ً</w:t>
      </w:r>
      <w:r>
        <w:rPr>
          <w:rtl/>
          <w:lang w:bidi="ar-EG"/>
        </w:rPr>
        <w:t xml:space="preserve"> هاما</w:t>
      </w:r>
      <w:r w:rsidR="00A319FD">
        <w:rPr>
          <w:rFonts w:hint="cs"/>
          <w:rtl/>
          <w:lang w:bidi="ar-EG"/>
        </w:rPr>
        <w:t>ً</w:t>
      </w:r>
      <w:r>
        <w:rPr>
          <w:rtl/>
          <w:lang w:bidi="ar-EG"/>
        </w:rPr>
        <w:t xml:space="preserve"> من جوانب حفظ المرأة للبيئة. وهناك حوالي 000 12 مجموعة من مستعملي الأحراج المجتمعية تدير مناطق الأحراج. وفي نهاية الخطة العاشرة كانت هناك 500 14 مجموعة من هذا القبيل شكلت لإدارة قرابة 1.24 مليون هكتار (25 في المائة) من الأراضي الحرجية. وبالإضافة إلى الأحراج المجتمعية، هناك أكثر من 950 لجنة لمستخدمي الأحراج المؤجرة شُكلت لإدارة 700 3 هكتار من الأراضي الحرجية بغية توفير الفرص لمن هم دون خط الفقر. وقد أسفر هذا عن تحسينات في نوعية الأحراج وعن حماية الأحراج والبيئة والتنوع البيولوجي مما أدى إلى زيادة إمدادات المنتجات الحرجية والإدارة المستدامة إلى جانب أعمال التنمية المجتمعية للسكان الذين يعتمدون على الأحراج. وبسبب جماعات مستعملي الأحراج المجتمعية يزداد التوازن الجنساني، وتمكين المجتمعات المحلية وأعمال التنمية المؤسسية. واعتمدت وزارة الحراجة وصون التربة </w:t>
      </w:r>
      <w:r w:rsidR="00D62BA8">
        <w:rPr>
          <w:rtl/>
          <w:lang w:bidi="ar-EG"/>
        </w:rPr>
        <w:t>"</w:t>
      </w:r>
      <w:r>
        <w:rPr>
          <w:rtl/>
          <w:lang w:bidi="ar-EG"/>
        </w:rPr>
        <w:t>استراتيجية للشمول الجنساني والاجتماعي في منطقة الأحراج</w:t>
      </w:r>
      <w:r w:rsidR="00D62BA8">
        <w:rPr>
          <w:rtl/>
          <w:lang w:bidi="ar-EG"/>
        </w:rPr>
        <w:t>"</w:t>
      </w:r>
      <w:r>
        <w:rPr>
          <w:rtl/>
          <w:lang w:bidi="ar-EG"/>
        </w:rPr>
        <w:t xml:space="preserve"> في عام 2008، مركزة بصورة رئيسية على تمكين المرأة وإشراكها في عمليات صنع القرار التي تنطوي على الجوانب التالية:</w:t>
      </w:r>
    </w:p>
    <w:p w:rsidR="000B7434" w:rsidRPr="00A319FD"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A319FD">
        <w:rPr>
          <w:rFonts w:hint="cs"/>
          <w:w w:val="100"/>
          <w:kern w:val="0"/>
          <w:rtl/>
          <w:lang w:bidi="ar-EG"/>
        </w:rPr>
        <w:t>•</w:t>
      </w:r>
      <w:r w:rsidRPr="00A319FD">
        <w:rPr>
          <w:w w:val="100"/>
          <w:kern w:val="0"/>
          <w:rtl/>
          <w:lang w:bidi="ar-EG"/>
        </w:rPr>
        <w:tab/>
        <w:t>الحفاظ على الشفافية في الإحصاءات وفي العملية الشمولية الجنسانية؛</w:t>
      </w:r>
    </w:p>
    <w:p w:rsidR="000B7434" w:rsidRPr="00A319FD" w:rsidRDefault="000B7434" w:rsidP="00A319FD">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A319FD">
        <w:rPr>
          <w:rFonts w:hint="cs"/>
          <w:w w:val="100"/>
          <w:kern w:val="0"/>
          <w:rtl/>
          <w:lang w:bidi="ar-EG"/>
        </w:rPr>
        <w:t>•</w:t>
      </w:r>
      <w:r w:rsidRPr="00A319FD">
        <w:rPr>
          <w:w w:val="100"/>
          <w:kern w:val="0"/>
          <w:rtl/>
          <w:lang w:bidi="ar-EG"/>
        </w:rPr>
        <w:tab/>
      </w:r>
      <w:r w:rsidR="00A319FD" w:rsidRPr="00A319FD">
        <w:rPr>
          <w:rFonts w:hint="cs"/>
          <w:w w:val="100"/>
          <w:kern w:val="0"/>
          <w:rtl/>
          <w:lang w:bidi="ar-EG"/>
        </w:rPr>
        <w:t>الا</w:t>
      </w:r>
      <w:r w:rsidRPr="00A319FD">
        <w:rPr>
          <w:w w:val="100"/>
          <w:kern w:val="0"/>
          <w:rtl/>
          <w:lang w:bidi="ar-EG"/>
        </w:rPr>
        <w:t>ضطلاع ببرامج تساعد في تخفيف حجم العمل على المرأة وما تتحمله من أعباء؛</w:t>
      </w:r>
    </w:p>
    <w:p w:rsidR="000B7434" w:rsidRPr="00A319FD"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A319FD">
        <w:rPr>
          <w:rFonts w:hint="cs"/>
          <w:w w:val="100"/>
          <w:kern w:val="0"/>
          <w:rtl/>
          <w:lang w:bidi="ar-EG"/>
        </w:rPr>
        <w:t>•</w:t>
      </w:r>
      <w:r w:rsidRPr="00A319FD">
        <w:rPr>
          <w:w w:val="100"/>
          <w:kern w:val="0"/>
          <w:rtl/>
          <w:lang w:bidi="ar-EG"/>
        </w:rPr>
        <w:tab/>
        <w:t>تنفيذ رصد وتقييم النظام استنادا</w:t>
      </w:r>
      <w:r w:rsidR="00762AAB">
        <w:rPr>
          <w:rFonts w:hint="cs"/>
          <w:w w:val="100"/>
          <w:kern w:val="0"/>
          <w:rtl/>
          <w:lang w:bidi="ar-EG"/>
        </w:rPr>
        <w:t>ً</w:t>
      </w:r>
      <w:r w:rsidRPr="00A319FD">
        <w:rPr>
          <w:w w:val="100"/>
          <w:kern w:val="0"/>
          <w:rtl/>
          <w:lang w:bidi="ar-EG"/>
        </w:rPr>
        <w:t xml:space="preserve"> إلى المؤشرات على كل المستويات؛</w:t>
      </w:r>
    </w:p>
    <w:p w:rsidR="000B7434" w:rsidRPr="00A319FD"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A319FD">
        <w:rPr>
          <w:rFonts w:hint="cs"/>
          <w:w w:val="100"/>
          <w:kern w:val="0"/>
          <w:rtl/>
          <w:lang w:bidi="ar-EG"/>
        </w:rPr>
        <w:t>•</w:t>
      </w:r>
      <w:r w:rsidRPr="00A319FD">
        <w:rPr>
          <w:w w:val="100"/>
          <w:kern w:val="0"/>
          <w:rtl/>
          <w:lang w:bidi="ar-EG"/>
        </w:rPr>
        <w:tab/>
        <w:t>حساب التقدم المحرز في جمع المعلومات وتقييم الجنسانية والفقر والإنصاف الاجتماعي على كل المستويات عن طريق المؤشرات؛</w:t>
      </w:r>
    </w:p>
    <w:p w:rsidR="000B7434" w:rsidRPr="00A319FD"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w w:val="100"/>
          <w:kern w:val="0"/>
          <w:rtl/>
          <w:lang w:bidi="ar-EG"/>
        </w:rPr>
      </w:pPr>
      <w:r w:rsidRPr="00A319FD">
        <w:rPr>
          <w:rFonts w:hint="cs"/>
          <w:w w:val="100"/>
          <w:kern w:val="0"/>
          <w:rtl/>
          <w:lang w:bidi="ar-EG"/>
        </w:rPr>
        <w:t>•</w:t>
      </w:r>
      <w:r w:rsidRPr="00A319FD">
        <w:rPr>
          <w:w w:val="100"/>
          <w:kern w:val="0"/>
          <w:rtl/>
          <w:lang w:bidi="ar-EG"/>
        </w:rPr>
        <w:tab/>
        <w:t>تسجيل كل المعلومات والإحصاءات في كل البرامج المتعلقة بمناطق الأحراج وحفظها في سجلات، كل على حدة، حسب الجنس والتقسيمات الاجتماعية.</w:t>
      </w:r>
    </w:p>
    <w:p w:rsidR="000B7434" w:rsidRDefault="000B7434" w:rsidP="00A319FD">
      <w:pPr>
        <w:pStyle w:val="SingleTxtGA"/>
        <w:rPr>
          <w:rtl/>
          <w:lang w:bidi="ar-EG"/>
        </w:rPr>
      </w:pPr>
      <w:r>
        <w:rPr>
          <w:rtl/>
          <w:lang w:bidi="ar-EG"/>
        </w:rPr>
        <w:t>253-</w:t>
      </w:r>
      <w:r w:rsidR="00A319FD">
        <w:rPr>
          <w:rFonts w:hint="cs"/>
          <w:rtl/>
          <w:lang w:bidi="ar-EG"/>
        </w:rPr>
        <w:tab/>
      </w:r>
      <w:r>
        <w:rPr>
          <w:rtl/>
          <w:lang w:bidi="ar-EG"/>
        </w:rPr>
        <w:t xml:space="preserve">وتتولى إدارة تنمية المرأة، بالتنسيق مع وزارة الحراجة وصون التربة، إجراء برنامج قطاع التنوع البيولوجي للمنطقة المنبسطة والوديان الداخلية بدعم مالي من حكومة هولندا منذ عام 2003. ويشمل البرنامج أنشطة مختلفة تتعلق ببناء القدرات المراعية للجنسانية التي تركز بصورة رئيسية على </w:t>
      </w:r>
      <w:r w:rsidR="00D62BA8">
        <w:rPr>
          <w:rtl/>
          <w:lang w:bidi="ar-EG"/>
        </w:rPr>
        <w:t>"</w:t>
      </w:r>
      <w:r>
        <w:rPr>
          <w:rtl/>
          <w:lang w:bidi="ar-EG"/>
        </w:rPr>
        <w:t>برنامج الكفاف المستدام</w:t>
      </w:r>
      <w:r w:rsidR="00D62BA8">
        <w:rPr>
          <w:rtl/>
          <w:lang w:bidi="ar-EG"/>
        </w:rPr>
        <w:t>"</w:t>
      </w:r>
      <w:r>
        <w:rPr>
          <w:rtl/>
          <w:lang w:bidi="ar-EG"/>
        </w:rPr>
        <w:t xml:space="preserve"> للطهو والزراعة إلخ. ويركز هذا البرنامج على الفقراء من الداليت والجماعات المهمشة الأخرى.</w:t>
      </w:r>
    </w:p>
    <w:p w:rsidR="000B7434" w:rsidRPr="00C26DA8" w:rsidRDefault="000B7434" w:rsidP="00A319FD">
      <w:pPr>
        <w:pStyle w:val="H23GA"/>
        <w:rPr>
          <w:rtl/>
          <w:lang w:bidi="ar-EG"/>
        </w:rPr>
      </w:pPr>
      <w:r>
        <w:rPr>
          <w:rtl/>
          <w:lang w:bidi="ar-EG"/>
        </w:rPr>
        <w:tab/>
      </w:r>
      <w:r>
        <w:rPr>
          <w:rtl/>
          <w:lang w:bidi="ar-EG"/>
        </w:rPr>
        <w:tab/>
      </w:r>
      <w:r w:rsidRPr="00C26DA8">
        <w:rPr>
          <w:rtl/>
          <w:lang w:bidi="ar-EG"/>
        </w:rPr>
        <w:t>الطفلة</w:t>
      </w:r>
    </w:p>
    <w:p w:rsidR="000B7434" w:rsidRDefault="000B7434" w:rsidP="002F1301">
      <w:pPr>
        <w:pStyle w:val="SingleTxtGA"/>
        <w:rPr>
          <w:rtl/>
          <w:lang w:bidi="ar-EG"/>
        </w:rPr>
      </w:pPr>
      <w:r>
        <w:rPr>
          <w:rtl/>
          <w:lang w:bidi="ar-EG"/>
        </w:rPr>
        <w:t>254-</w:t>
      </w:r>
      <w:r w:rsidR="00A319FD">
        <w:rPr>
          <w:rFonts w:hint="cs"/>
          <w:rtl/>
          <w:lang w:bidi="ar-EG"/>
        </w:rPr>
        <w:tab/>
      </w:r>
      <w:r>
        <w:rPr>
          <w:rtl/>
          <w:lang w:bidi="ar-EG"/>
        </w:rPr>
        <w:t xml:space="preserve">صدقت الحكومة في 3 كانون الثاني/يناير 2007 على البروتوكولين الاختياريين لاتفاقية حقوق الطفل بشأن بيع الأطفال وبغاء الأطفال واشتراك الأطفال في المنشورات الإباحية وبشأن اشتراك الأطفال في </w:t>
      </w:r>
      <w:r w:rsidR="002F1301">
        <w:rPr>
          <w:rFonts w:hint="cs"/>
          <w:rtl/>
          <w:lang w:bidi="ar-EG"/>
        </w:rPr>
        <w:t xml:space="preserve">النزاع </w:t>
      </w:r>
      <w:r>
        <w:rPr>
          <w:rtl/>
          <w:lang w:bidi="ar-EG"/>
        </w:rPr>
        <w:t>المسلح (اللذين تم التوقيع عليهما في 8 أيلول/سبتمبر عام 2000) بدون تحفظ.</w:t>
      </w:r>
    </w:p>
    <w:p w:rsidR="000B7434" w:rsidRPr="00A319FD" w:rsidRDefault="000B7434" w:rsidP="00A319FD">
      <w:pPr>
        <w:pStyle w:val="SingleTxtGA"/>
        <w:rPr>
          <w:spacing w:val="-2"/>
          <w:rtl/>
          <w:lang w:bidi="ar-EG"/>
        </w:rPr>
      </w:pPr>
      <w:r w:rsidRPr="00A319FD">
        <w:rPr>
          <w:spacing w:val="-2"/>
          <w:rtl/>
          <w:lang w:bidi="ar-EG"/>
        </w:rPr>
        <w:t>255-</w:t>
      </w:r>
      <w:r w:rsidR="00A319FD" w:rsidRPr="00A319FD">
        <w:rPr>
          <w:rFonts w:hint="cs"/>
          <w:spacing w:val="-2"/>
          <w:rtl/>
          <w:lang w:bidi="ar-EG"/>
        </w:rPr>
        <w:tab/>
      </w:r>
      <w:r w:rsidRPr="00A319FD">
        <w:rPr>
          <w:spacing w:val="-2"/>
          <w:rtl/>
          <w:lang w:bidi="ar-EG"/>
        </w:rPr>
        <w:t xml:space="preserve">ورسمت الحكومة خطة عمل وطنية لمدة 10 سنوات لحماية الأطفال (2004-2005 إلى 2014-2015). وقسمت هذه الخطة السياسات إلى فئات تحت أربعة عناوين فرعية رئيسية هي: </w:t>
      </w:r>
      <w:r w:rsidR="00A319FD" w:rsidRPr="00A319FD">
        <w:rPr>
          <w:rFonts w:hint="cs"/>
          <w:spacing w:val="-2"/>
          <w:rtl/>
          <w:lang w:bidi="ar-EG"/>
        </w:rPr>
        <w:t>‘</w:t>
      </w:r>
      <w:r w:rsidRPr="00A319FD">
        <w:rPr>
          <w:spacing w:val="-2"/>
          <w:rtl/>
          <w:lang w:bidi="ar-EG"/>
        </w:rPr>
        <w:t xml:space="preserve">1‘ عام، </w:t>
      </w:r>
      <w:r w:rsidR="00A319FD" w:rsidRPr="00A319FD">
        <w:rPr>
          <w:rFonts w:hint="cs"/>
          <w:spacing w:val="-2"/>
          <w:rtl/>
          <w:lang w:bidi="ar-EG"/>
        </w:rPr>
        <w:t>‘</w:t>
      </w:r>
      <w:r w:rsidRPr="00A319FD">
        <w:rPr>
          <w:spacing w:val="-2"/>
          <w:rtl/>
          <w:lang w:bidi="ar-EG"/>
        </w:rPr>
        <w:t xml:space="preserve">2‘ الصحة، </w:t>
      </w:r>
      <w:r w:rsidR="00A319FD" w:rsidRPr="00A319FD">
        <w:rPr>
          <w:rFonts w:hint="cs"/>
          <w:spacing w:val="-2"/>
          <w:rtl/>
          <w:lang w:bidi="ar-EG"/>
        </w:rPr>
        <w:t>‘</w:t>
      </w:r>
      <w:r w:rsidRPr="00A319FD">
        <w:rPr>
          <w:spacing w:val="-2"/>
          <w:rtl/>
          <w:lang w:bidi="ar-EG"/>
        </w:rPr>
        <w:t>3‘ حماية الأطفال ض</w:t>
      </w:r>
      <w:r w:rsidR="00A319FD">
        <w:rPr>
          <w:spacing w:val="-2"/>
          <w:rtl/>
          <w:lang w:bidi="ar-EG"/>
        </w:rPr>
        <w:t>د الاعتداء والاستغلال والعنف، و</w:t>
      </w:r>
      <w:r w:rsidR="00A319FD" w:rsidRPr="00A319FD">
        <w:rPr>
          <w:rFonts w:hint="cs"/>
          <w:spacing w:val="-2"/>
          <w:rtl/>
          <w:lang w:bidi="ar-EG"/>
        </w:rPr>
        <w:t>‘</w:t>
      </w:r>
      <w:r w:rsidRPr="00A319FD">
        <w:rPr>
          <w:spacing w:val="-2"/>
          <w:rtl/>
          <w:lang w:bidi="ar-EG"/>
        </w:rPr>
        <w:t xml:space="preserve">4‘ مكافحة فيروس نقص المناعة البشرية/الإيدز. وبغية تنفيذ هذه السياسات، أوجزت </w:t>
      </w:r>
      <w:r w:rsidR="00A319FD">
        <w:rPr>
          <w:rFonts w:hint="cs"/>
          <w:spacing w:val="-2"/>
          <w:rtl/>
          <w:lang w:bidi="ar-EG"/>
        </w:rPr>
        <w:t xml:space="preserve">    </w:t>
      </w:r>
      <w:r w:rsidRPr="00A319FD">
        <w:rPr>
          <w:spacing w:val="-2"/>
          <w:rtl/>
          <w:lang w:bidi="ar-EG"/>
        </w:rPr>
        <w:t xml:space="preserve">خطة العمل الوطنية سبع استراتيجيات تشمل: </w:t>
      </w:r>
      <w:r w:rsidR="00A319FD" w:rsidRPr="00A319FD">
        <w:rPr>
          <w:rFonts w:hint="cs"/>
          <w:spacing w:val="-2"/>
          <w:rtl/>
          <w:lang w:bidi="ar-EG"/>
        </w:rPr>
        <w:t>‘</w:t>
      </w:r>
      <w:r w:rsidRPr="00A319FD">
        <w:rPr>
          <w:spacing w:val="-2"/>
          <w:rtl/>
          <w:lang w:bidi="ar-EG"/>
        </w:rPr>
        <w:t xml:space="preserve">1‘ صياغة القوانين وإدخال التعديلات </w:t>
      </w:r>
      <w:r w:rsidR="00A319FD">
        <w:rPr>
          <w:rFonts w:hint="cs"/>
          <w:spacing w:val="-2"/>
          <w:rtl/>
          <w:lang w:bidi="ar-EG"/>
        </w:rPr>
        <w:t xml:space="preserve">     </w:t>
      </w:r>
      <w:r w:rsidRPr="00A319FD">
        <w:rPr>
          <w:spacing w:val="-2"/>
          <w:rtl/>
          <w:lang w:bidi="ar-EG"/>
        </w:rPr>
        <w:t xml:space="preserve">اللازمة عليها؛ </w:t>
      </w:r>
      <w:r w:rsidR="00A319FD" w:rsidRPr="00A319FD">
        <w:rPr>
          <w:rFonts w:hint="cs"/>
          <w:spacing w:val="-2"/>
          <w:rtl/>
          <w:lang w:bidi="ar-EG"/>
        </w:rPr>
        <w:t>‘</w:t>
      </w:r>
      <w:r w:rsidRPr="00A319FD">
        <w:rPr>
          <w:spacing w:val="-2"/>
          <w:rtl/>
          <w:lang w:bidi="ar-EG"/>
        </w:rPr>
        <w:t xml:space="preserve">2‘ تطوير الشبكات وتشجيع مشاركة الأطفال؛ </w:t>
      </w:r>
      <w:r w:rsidR="00A319FD" w:rsidRPr="00A319FD">
        <w:rPr>
          <w:rFonts w:hint="cs"/>
          <w:spacing w:val="-2"/>
          <w:rtl/>
          <w:lang w:bidi="ar-EG"/>
        </w:rPr>
        <w:t>‘</w:t>
      </w:r>
      <w:r w:rsidRPr="00A319FD">
        <w:rPr>
          <w:spacing w:val="-2"/>
          <w:rtl/>
          <w:lang w:bidi="ar-EG"/>
        </w:rPr>
        <w:t xml:space="preserve">3‘ التنسيق والتعاون وتكامل التنمية؛ </w:t>
      </w:r>
      <w:r w:rsidR="00A319FD" w:rsidRPr="00A319FD">
        <w:rPr>
          <w:rFonts w:hint="cs"/>
          <w:spacing w:val="-2"/>
          <w:rtl/>
          <w:lang w:bidi="ar-EG"/>
        </w:rPr>
        <w:t>‘</w:t>
      </w:r>
      <w:r w:rsidRPr="00A319FD">
        <w:rPr>
          <w:spacing w:val="-2"/>
          <w:rtl/>
          <w:lang w:bidi="ar-EG"/>
        </w:rPr>
        <w:t xml:space="preserve">4‘ اللامركزية وتعبئة المجتمعات المحلية؛ </w:t>
      </w:r>
      <w:r w:rsidR="00A319FD" w:rsidRPr="00A319FD">
        <w:rPr>
          <w:rFonts w:hint="cs"/>
          <w:spacing w:val="-2"/>
          <w:rtl/>
          <w:lang w:bidi="ar-EG"/>
        </w:rPr>
        <w:t>‘</w:t>
      </w:r>
      <w:r w:rsidRPr="00A319FD">
        <w:rPr>
          <w:spacing w:val="-2"/>
          <w:rtl/>
          <w:lang w:bidi="ar-EG"/>
        </w:rPr>
        <w:t xml:space="preserve">5‘ الوصول إلى الجماعات التي ظلت </w:t>
      </w:r>
      <w:r w:rsidR="00A319FD">
        <w:rPr>
          <w:rFonts w:hint="cs"/>
          <w:spacing w:val="-2"/>
          <w:rtl/>
          <w:lang w:bidi="ar-EG"/>
        </w:rPr>
        <w:t xml:space="preserve">    </w:t>
      </w:r>
      <w:r w:rsidRPr="00A319FD">
        <w:rPr>
          <w:spacing w:val="-2"/>
          <w:rtl/>
          <w:lang w:bidi="ar-EG"/>
        </w:rPr>
        <w:t xml:space="preserve">مهملة؛ </w:t>
      </w:r>
      <w:r w:rsidR="00A319FD" w:rsidRPr="00A319FD">
        <w:rPr>
          <w:rFonts w:hint="cs"/>
          <w:spacing w:val="-2"/>
          <w:rtl/>
          <w:lang w:bidi="ar-EG"/>
        </w:rPr>
        <w:t>‘</w:t>
      </w:r>
      <w:r w:rsidRPr="00A319FD">
        <w:rPr>
          <w:spacing w:val="-2"/>
          <w:rtl/>
          <w:lang w:bidi="ar-EG"/>
        </w:rPr>
        <w:t xml:space="preserve">6‘ الشفافية وتنمية قدرات أصحاب المصلحة المعنيين؛ </w:t>
      </w:r>
      <w:r w:rsidR="00A319FD" w:rsidRPr="00A319FD">
        <w:rPr>
          <w:rFonts w:hint="cs"/>
          <w:spacing w:val="-2"/>
          <w:rtl/>
          <w:lang w:bidi="ar-EG"/>
        </w:rPr>
        <w:t>‘</w:t>
      </w:r>
      <w:r w:rsidRPr="00A319FD">
        <w:rPr>
          <w:spacing w:val="-2"/>
          <w:rtl/>
          <w:lang w:bidi="ar-EG"/>
        </w:rPr>
        <w:t xml:space="preserve">7‘ الموارد البشرية. ومن بين السياسات الأربع العريضة لخطة العمل الوطنية، فإن سياسة </w:t>
      </w:r>
      <w:r w:rsidR="00D62BA8" w:rsidRPr="00A319FD">
        <w:rPr>
          <w:spacing w:val="-2"/>
          <w:rtl/>
          <w:lang w:bidi="ar-EG"/>
        </w:rPr>
        <w:t>"</w:t>
      </w:r>
      <w:r w:rsidRPr="00A319FD">
        <w:rPr>
          <w:spacing w:val="-2"/>
          <w:rtl/>
          <w:lang w:bidi="ar-EG"/>
        </w:rPr>
        <w:t>حماية الطفل من الاعتداء والاستغلال والعنف</w:t>
      </w:r>
      <w:r w:rsidR="00D62BA8" w:rsidRPr="00A319FD">
        <w:rPr>
          <w:spacing w:val="-2"/>
          <w:rtl/>
          <w:lang w:bidi="ar-EG"/>
        </w:rPr>
        <w:t>"</w:t>
      </w:r>
      <w:r w:rsidRPr="00A319FD">
        <w:rPr>
          <w:spacing w:val="-2"/>
          <w:rtl/>
          <w:lang w:bidi="ar-EG"/>
        </w:rPr>
        <w:t xml:space="preserve"> هي الأكثر صلة مباشرة بمكافحة الاتجار بالأطفال.</w:t>
      </w:r>
    </w:p>
    <w:p w:rsidR="000B7434" w:rsidRDefault="000B7434" w:rsidP="00A319FD">
      <w:pPr>
        <w:pStyle w:val="SingleTxtGA"/>
        <w:rPr>
          <w:rtl/>
          <w:lang w:bidi="ar-EG"/>
        </w:rPr>
      </w:pPr>
      <w:r>
        <w:rPr>
          <w:rtl/>
          <w:lang w:bidi="ar-EG"/>
        </w:rPr>
        <w:t>256-</w:t>
      </w:r>
      <w:r w:rsidR="00A319FD">
        <w:rPr>
          <w:rFonts w:hint="cs"/>
          <w:rtl/>
          <w:lang w:bidi="ar-EG"/>
        </w:rPr>
        <w:tab/>
      </w:r>
      <w:r>
        <w:rPr>
          <w:rtl/>
          <w:lang w:bidi="ar-EG"/>
        </w:rPr>
        <w:t>وفي محاولة للارتقاء بحالة الطفلة، اعتمدت الحكومة نهجا شموليا في برامج حقوق الطفل ونمائه. وعلى سبيل المثال، شرعت الحكومة في برنامج يستهدف زيادة عدد الطفلات في التعليم (عن طريق تقديم منح للفتيات وكتب دراسة مجانية وغير ذلك من الإعانات) والتدريب وكذلك توفير فرص العمل للراشدات. وتظهر تفاصيل ذلك في التقرير عن التقدم المحرز في التعليم المذكور في الجزء الثاني من هذا التقرير في إطار المادة 10.</w:t>
      </w:r>
    </w:p>
    <w:p w:rsidR="000B7434" w:rsidRDefault="000B7434" w:rsidP="00A319FD">
      <w:pPr>
        <w:pStyle w:val="SingleTxtGA"/>
        <w:rPr>
          <w:rtl/>
          <w:lang w:bidi="ar-EG"/>
        </w:rPr>
      </w:pPr>
      <w:r>
        <w:rPr>
          <w:rtl/>
          <w:lang w:bidi="ar-EG"/>
        </w:rPr>
        <w:t>257-</w:t>
      </w:r>
      <w:r w:rsidR="00A319FD">
        <w:rPr>
          <w:rFonts w:hint="cs"/>
          <w:rtl/>
          <w:lang w:bidi="ar-EG"/>
        </w:rPr>
        <w:tab/>
      </w:r>
      <w:r>
        <w:rPr>
          <w:rtl/>
          <w:lang w:bidi="ar-EG"/>
        </w:rPr>
        <w:t xml:space="preserve">ونفذت الحكومة، بالتعاون مع الشركاء في التنمية، برامج تستهدف الفتيات في المناطق المنبسطة حيث معدل التحاقهن بالمدارس </w:t>
      </w:r>
      <w:r w:rsidR="00D62BA8">
        <w:rPr>
          <w:rtl/>
          <w:lang w:bidi="ar-EG"/>
        </w:rPr>
        <w:t>"</w:t>
      </w:r>
      <w:r>
        <w:rPr>
          <w:rtl/>
          <w:lang w:bidi="ar-EG"/>
        </w:rPr>
        <w:t>ولا سيما فتيات الداليت والماديسي والمجتمعات المهمشة</w:t>
      </w:r>
      <w:r w:rsidR="00D62BA8">
        <w:rPr>
          <w:rtl/>
          <w:lang w:bidi="ar-EG"/>
        </w:rPr>
        <w:t>"</w:t>
      </w:r>
      <w:r>
        <w:rPr>
          <w:rtl/>
          <w:lang w:bidi="ar-EG"/>
        </w:rPr>
        <w:t xml:space="preserve"> متدنٍيٍ نسبيا</w:t>
      </w:r>
      <w:r w:rsidR="00762AAB">
        <w:rPr>
          <w:rFonts w:hint="cs"/>
          <w:rtl/>
          <w:lang w:bidi="ar-EG"/>
        </w:rPr>
        <w:t>ً</w:t>
      </w:r>
      <w:r>
        <w:rPr>
          <w:rtl/>
          <w:lang w:bidi="ar-EG"/>
        </w:rPr>
        <w:t>. وقد أدت هذه الجهود دوراً هاما</w:t>
      </w:r>
      <w:r w:rsidR="00762AAB">
        <w:rPr>
          <w:rFonts w:hint="cs"/>
          <w:rtl/>
          <w:lang w:bidi="ar-EG"/>
        </w:rPr>
        <w:t>ً</w:t>
      </w:r>
      <w:r>
        <w:rPr>
          <w:rtl/>
          <w:lang w:bidi="ar-EG"/>
        </w:rPr>
        <w:t xml:space="preserve"> في إعادة تحديد أدوار الطفلة في مجتمعات الداليت ومجتمعات السكان المحليين الأخرى، وساهمت في الوقت ذاته في تغيير الأفكار والمواقف التقليدية.</w:t>
      </w:r>
    </w:p>
    <w:p w:rsidR="000B7434" w:rsidRDefault="000B7434" w:rsidP="00A319FD">
      <w:pPr>
        <w:pStyle w:val="SingleTxt"/>
        <w:rPr>
          <w:rtl/>
          <w:lang w:bidi="ar-EG"/>
        </w:rPr>
      </w:pPr>
      <w:r>
        <w:rPr>
          <w:rtl/>
          <w:lang w:bidi="ar-EG"/>
        </w:rPr>
        <w:t>258-</w:t>
      </w:r>
      <w:r w:rsidR="00A319FD">
        <w:rPr>
          <w:rStyle w:val="SingleTxtGAChar"/>
          <w:rFonts w:hint="cs"/>
          <w:rtl/>
        </w:rPr>
        <w:tab/>
      </w:r>
      <w:r>
        <w:rPr>
          <w:rtl/>
          <w:lang w:bidi="ar-EG"/>
        </w:rPr>
        <w:t>وتنفذ وزارة شؤون المرأة عن طريق إدارة تنمية المرأة، برامج لتمكين الفتيات الم</w:t>
      </w:r>
      <w:r w:rsidR="000C6FCD">
        <w:rPr>
          <w:rtl/>
          <w:lang w:bidi="ar-EG"/>
        </w:rPr>
        <w:t>راهقات وتستمر في</w:t>
      </w:r>
      <w:r>
        <w:rPr>
          <w:rtl/>
          <w:lang w:bidi="ar-EG"/>
        </w:rPr>
        <w:t xml:space="preserve"> الدفاع دون كلل عن حقوقهن في الصحة وكذلك في القضاء على جميع أشكال التمييز ضد الفتاة في أرجاء البلد. وعلاوة ع</w:t>
      </w:r>
      <w:r w:rsidR="000C6FCD">
        <w:rPr>
          <w:rtl/>
          <w:lang w:bidi="ar-EG"/>
        </w:rPr>
        <w:t>لى ذلك، تم تنفيذ عدد من البرامج</w:t>
      </w:r>
      <w:r>
        <w:rPr>
          <w:rtl/>
          <w:lang w:bidi="ar-EG"/>
        </w:rPr>
        <w:t xml:space="preserve"> مع تركيز خاص على تمكين المرأة والطفلة عبر البلد وإدخالهن في صلب حياة المجتمع. كما أن نوادي الأطفال تعمل عن طريق مختلف الأنشطة على التوعية في المجتمع والدعوة المناهضة للتحيزات الاجتماعية والممارسات التمييزية الحالية ضد الطفلة.</w:t>
      </w:r>
    </w:p>
    <w:p w:rsidR="000B7434" w:rsidRPr="009367B2" w:rsidRDefault="000B7434" w:rsidP="00A319FD">
      <w:pPr>
        <w:pStyle w:val="SingleTxtGA"/>
        <w:rPr>
          <w:spacing w:val="-2"/>
          <w:rtl/>
          <w:lang w:bidi="ar-EG"/>
        </w:rPr>
      </w:pPr>
      <w:r w:rsidRPr="009367B2">
        <w:rPr>
          <w:spacing w:val="-2"/>
          <w:rtl/>
          <w:lang w:bidi="ar-EG"/>
        </w:rPr>
        <w:t>259-</w:t>
      </w:r>
      <w:r w:rsidR="00A319FD" w:rsidRPr="009367B2">
        <w:rPr>
          <w:rFonts w:hint="cs"/>
          <w:spacing w:val="-2"/>
          <w:rtl/>
          <w:lang w:bidi="ar-EG"/>
        </w:rPr>
        <w:tab/>
      </w:r>
      <w:r w:rsidRPr="009367B2">
        <w:rPr>
          <w:spacing w:val="-2"/>
          <w:rtl/>
          <w:lang w:bidi="ar-EG"/>
        </w:rPr>
        <w:t>وإلى جانب سن القوانين، هناك عدد من القضايا التي أصدرت فيها المحاكم أحكاما</w:t>
      </w:r>
      <w:r w:rsidR="00A319FD" w:rsidRPr="009367B2">
        <w:rPr>
          <w:rFonts w:hint="cs"/>
          <w:spacing w:val="-2"/>
          <w:rtl/>
          <w:lang w:bidi="ar-EG"/>
        </w:rPr>
        <w:t>ً</w:t>
      </w:r>
      <w:r w:rsidRPr="009367B2">
        <w:rPr>
          <w:spacing w:val="-2"/>
          <w:rtl/>
          <w:lang w:bidi="ar-EG"/>
        </w:rPr>
        <w:t xml:space="preserve"> مؤيدة للعمل على حماية وتعزيز حقوق الطفلة. وتسود في القسم الغربي من البلد ممارسة الكاملاري (وهي عمل السخرة للطفلة وفق ما يعرفه قانون حظر عمل السخرة). وقد تحدى طلبة كلية حقوق كاتمندو </w:t>
      </w:r>
      <w:r w:rsidRPr="009367B2">
        <w:rPr>
          <w:i/>
          <w:iCs/>
          <w:spacing w:val="-2"/>
          <w:rtl/>
          <w:lang w:bidi="ar-EG"/>
        </w:rPr>
        <w:t>(كلية حقوق كاتمندو وآخرون</w:t>
      </w:r>
      <w:r w:rsidRPr="009367B2">
        <w:rPr>
          <w:spacing w:val="-2"/>
          <w:rtl/>
          <w:lang w:bidi="ar-EG"/>
        </w:rPr>
        <w:t xml:space="preserve"> ضد </w:t>
      </w:r>
      <w:r w:rsidRPr="009367B2">
        <w:rPr>
          <w:i/>
          <w:iCs/>
          <w:spacing w:val="-2"/>
          <w:rtl/>
          <w:lang w:bidi="ar-EG"/>
        </w:rPr>
        <w:t>مجلس الوزراء</w:t>
      </w:r>
      <w:r w:rsidRPr="009367B2">
        <w:rPr>
          <w:spacing w:val="-2"/>
          <w:rtl/>
          <w:lang w:bidi="ar-EG"/>
        </w:rPr>
        <w:t>، 2004). وأصدرت المحكمة العليا أمر امتثال لتنفيذ القوانين بما في ذلك أوامر إيعازية إلى الحكومة باعتماد تدابير قانونية وتدابير أخرى ملائمة تشمل التوعية فيما يتعلق بحقوق الطفل بصورة عامة والطفلة بصورة خاصة بإدراجها في المناهج الدراسية في المدارس. وبناء على ذلك، أدرجت الحكومة المسائل المتصلة بحقوق الطفل، بما فيها صحة الطفل، في مناهج التعليم في</w:t>
      </w:r>
      <w:r w:rsidR="00A319FD" w:rsidRPr="009367B2">
        <w:rPr>
          <w:rFonts w:hint="cs"/>
          <w:spacing w:val="-2"/>
          <w:rtl/>
          <w:lang w:bidi="ar-EG"/>
        </w:rPr>
        <w:t xml:space="preserve"> </w:t>
      </w:r>
      <w:r w:rsidRPr="009367B2">
        <w:rPr>
          <w:spacing w:val="-2"/>
          <w:rtl/>
          <w:lang w:bidi="ar-EG"/>
        </w:rPr>
        <w:t>المدارس.</w:t>
      </w:r>
    </w:p>
    <w:p w:rsidR="000B7434" w:rsidRDefault="000B7434" w:rsidP="009367B2">
      <w:pPr>
        <w:pStyle w:val="HChGA"/>
        <w:spacing w:before="120" w:after="0"/>
        <w:rPr>
          <w:rtl/>
          <w:lang w:bidi="ar-EG"/>
        </w:rPr>
      </w:pPr>
      <w:r>
        <w:rPr>
          <w:rtl/>
          <w:lang w:bidi="ar-EG"/>
        </w:rPr>
        <w:tab/>
      </w:r>
      <w:r>
        <w:rPr>
          <w:rtl/>
          <w:lang w:bidi="ar-EG"/>
        </w:rPr>
        <w:tab/>
        <w:t>الجزء الرابع</w:t>
      </w:r>
    </w:p>
    <w:p w:rsidR="000B7434" w:rsidRDefault="000B7434" w:rsidP="009367B2">
      <w:pPr>
        <w:pStyle w:val="HChGA"/>
        <w:spacing w:before="120"/>
        <w:rPr>
          <w:rtl/>
          <w:lang w:bidi="ar-EG"/>
        </w:rPr>
      </w:pPr>
      <w:r>
        <w:rPr>
          <w:rtl/>
          <w:lang w:bidi="ar-EG"/>
        </w:rPr>
        <w:tab/>
      </w:r>
      <w:r>
        <w:rPr>
          <w:rtl/>
          <w:lang w:bidi="ar-EG"/>
        </w:rPr>
        <w:tab/>
        <w:t>المسائل الناشئة</w:t>
      </w:r>
    </w:p>
    <w:p w:rsidR="000B7434" w:rsidRDefault="000B7434" w:rsidP="009367B2">
      <w:pPr>
        <w:pStyle w:val="SingleTxtGA"/>
        <w:rPr>
          <w:rtl/>
          <w:lang w:bidi="ar-EG"/>
        </w:rPr>
      </w:pPr>
      <w:r>
        <w:rPr>
          <w:rtl/>
          <w:lang w:bidi="ar-EG"/>
        </w:rPr>
        <w:t>260-</w:t>
      </w:r>
      <w:r w:rsidR="009367B2">
        <w:rPr>
          <w:rFonts w:hint="cs"/>
          <w:rtl/>
          <w:lang w:bidi="ar-EG"/>
        </w:rPr>
        <w:tab/>
      </w:r>
      <w:r>
        <w:rPr>
          <w:rtl/>
          <w:lang w:bidi="ar-EG"/>
        </w:rPr>
        <w:t>تنظر حكومة نيبال في ال</w:t>
      </w:r>
      <w:r>
        <w:rPr>
          <w:rFonts w:hint="cs"/>
          <w:rtl/>
          <w:lang w:bidi="ar-EG"/>
        </w:rPr>
        <w:t>مس</w:t>
      </w:r>
      <w:r>
        <w:rPr>
          <w:rtl/>
          <w:lang w:bidi="ar-EG"/>
        </w:rPr>
        <w:t>ا</w:t>
      </w:r>
      <w:r>
        <w:rPr>
          <w:rFonts w:hint="cs"/>
          <w:rtl/>
          <w:lang w:bidi="ar-EG"/>
        </w:rPr>
        <w:t>ئل</w:t>
      </w:r>
      <w:r>
        <w:rPr>
          <w:rtl/>
          <w:lang w:bidi="ar-EG"/>
        </w:rPr>
        <w:t xml:space="preserve"> الناشئة التالية:</w:t>
      </w:r>
    </w:p>
    <w:p w:rsidR="000B7434" w:rsidRPr="00AA30F6" w:rsidRDefault="000B7434" w:rsidP="009367B2">
      <w:pPr>
        <w:pStyle w:val="H1GA"/>
        <w:rPr>
          <w:rtl/>
          <w:lang w:bidi="ar-EG"/>
        </w:rPr>
      </w:pPr>
      <w:r>
        <w:rPr>
          <w:rtl/>
          <w:lang w:bidi="ar-EG"/>
        </w:rPr>
        <w:tab/>
      </w:r>
      <w:r>
        <w:rPr>
          <w:rtl/>
          <w:lang w:bidi="ar-EG"/>
        </w:rPr>
        <w:tab/>
      </w:r>
      <w:r w:rsidRPr="00AA30F6">
        <w:rPr>
          <w:rtl/>
          <w:lang w:bidi="ar-EG"/>
        </w:rPr>
        <w:t>المرأة العزباء</w:t>
      </w:r>
    </w:p>
    <w:p w:rsidR="000B7434" w:rsidRDefault="000B7434" w:rsidP="009367B2">
      <w:pPr>
        <w:pStyle w:val="SingleTxtGA"/>
        <w:rPr>
          <w:rtl/>
          <w:lang w:bidi="ar-EG"/>
        </w:rPr>
      </w:pPr>
      <w:r>
        <w:rPr>
          <w:rtl/>
          <w:lang w:bidi="ar-EG"/>
        </w:rPr>
        <w:t>261-</w:t>
      </w:r>
      <w:r w:rsidR="009367B2">
        <w:rPr>
          <w:rFonts w:hint="cs"/>
          <w:rtl/>
          <w:lang w:bidi="ar-EG"/>
        </w:rPr>
        <w:tab/>
      </w:r>
      <w:r w:rsidR="009367B2">
        <w:rPr>
          <w:rtl/>
          <w:lang w:bidi="ar-EG"/>
        </w:rPr>
        <w:t>تنص المادة 35</w:t>
      </w:r>
      <w:r>
        <w:rPr>
          <w:rtl/>
          <w:lang w:bidi="ar-EG"/>
        </w:rPr>
        <w:t xml:space="preserve">(9) من الدستور المؤقت على </w:t>
      </w:r>
      <w:r w:rsidR="00D62BA8">
        <w:rPr>
          <w:rtl/>
          <w:lang w:bidi="ar-EG"/>
        </w:rPr>
        <w:t>"</w:t>
      </w:r>
      <w:r>
        <w:rPr>
          <w:rtl/>
          <w:lang w:bidi="ar-EG"/>
        </w:rPr>
        <w:t>أحكام خاصة للضمان الجماعي لحماية المرأة العزباء ورفاهها</w:t>
      </w:r>
      <w:r w:rsidR="00D62BA8">
        <w:rPr>
          <w:rtl/>
          <w:lang w:bidi="ar-EG"/>
        </w:rPr>
        <w:t>"</w:t>
      </w:r>
      <w:r>
        <w:rPr>
          <w:rtl/>
          <w:lang w:bidi="ar-EG"/>
        </w:rPr>
        <w:t xml:space="preserve">. وقد </w:t>
      </w:r>
      <w:r w:rsidR="009367B2">
        <w:rPr>
          <w:rFonts w:hint="cs"/>
          <w:rtl/>
          <w:lang w:bidi="ar-EG"/>
        </w:rPr>
        <w:t xml:space="preserve">جرى </w:t>
      </w:r>
      <w:r>
        <w:rPr>
          <w:rtl/>
          <w:lang w:bidi="ar-EG"/>
        </w:rPr>
        <w:t>تعديل كل القوانين التمييزية كمبادرة لاحترام حقوق المرأة الأرملة وفق ما هو مذكور في</w:t>
      </w:r>
      <w:r w:rsidR="008B03DA">
        <w:rPr>
          <w:rtl/>
          <w:lang w:bidi="ar-EG"/>
        </w:rPr>
        <w:t xml:space="preserve"> إطار التقرير عن المواد 1 و</w:t>
      </w:r>
      <w:r w:rsidR="009367B2">
        <w:rPr>
          <w:rtl/>
          <w:lang w:bidi="ar-EG"/>
        </w:rPr>
        <w:t>2 و</w:t>
      </w:r>
      <w:r>
        <w:rPr>
          <w:rtl/>
          <w:lang w:bidi="ar-EG"/>
        </w:rPr>
        <w:t xml:space="preserve">16 من الاتفاقية. وبغية تنفيذها الفعال، وضعت الحكومة خطة واضحة وميزانية مراعية للجنسانية تحت عنوان </w:t>
      </w:r>
      <w:r w:rsidR="00D62BA8">
        <w:rPr>
          <w:rtl/>
          <w:lang w:bidi="ar-EG"/>
        </w:rPr>
        <w:t>"</w:t>
      </w:r>
      <w:r>
        <w:rPr>
          <w:rtl/>
          <w:lang w:bidi="ar-EG"/>
        </w:rPr>
        <w:t>الأرامل</w:t>
      </w:r>
      <w:r w:rsidR="00D62BA8">
        <w:rPr>
          <w:rtl/>
          <w:lang w:bidi="ar-EG"/>
        </w:rPr>
        <w:t>"</w:t>
      </w:r>
      <w:r>
        <w:rPr>
          <w:rtl/>
          <w:lang w:bidi="ar-EG"/>
        </w:rPr>
        <w:t>. ويجري توزيع البدل المذكور كجزء من نظام الضمان الاجتماعي الوطني. وهناك بعض المنظمات غير الحكومية العاملة في مجال حقوق الإنسان للأرامل مثل منظمة حقوق الإنسان للأرملة. ومما له أهميته ملاحظة أن هناك 51 أرملة انتخبت أعضاء في</w:t>
      </w:r>
      <w:r>
        <w:rPr>
          <w:rFonts w:hint="cs"/>
          <w:rtl/>
          <w:lang w:bidi="ar-EG"/>
        </w:rPr>
        <w:t> </w:t>
      </w:r>
      <w:r>
        <w:rPr>
          <w:rtl/>
          <w:lang w:bidi="ar-EG"/>
        </w:rPr>
        <w:t>الجمعية التأسيسية في الانتخاب الذي جرى في السنة الماضية (نيسان/أبريل 2008).</w:t>
      </w:r>
    </w:p>
    <w:p w:rsidR="000B7434" w:rsidRDefault="000B7434" w:rsidP="009367B2">
      <w:pPr>
        <w:pStyle w:val="SingleTxtGA"/>
        <w:rPr>
          <w:rtl/>
          <w:lang w:bidi="ar-EG"/>
        </w:rPr>
      </w:pPr>
      <w:r>
        <w:rPr>
          <w:rtl/>
          <w:lang w:bidi="ar-EG"/>
        </w:rPr>
        <w:t>262-</w:t>
      </w:r>
      <w:r w:rsidR="009367B2">
        <w:rPr>
          <w:rFonts w:hint="cs"/>
          <w:rtl/>
          <w:lang w:bidi="ar-EG"/>
        </w:rPr>
        <w:tab/>
      </w:r>
      <w:r>
        <w:rPr>
          <w:rtl/>
          <w:lang w:bidi="ar-EG"/>
        </w:rPr>
        <w:t xml:space="preserve">وفي محاولة لبناء توافق في الآراء بشأن تعريف </w:t>
      </w:r>
      <w:r w:rsidR="00D62BA8">
        <w:rPr>
          <w:rtl/>
          <w:lang w:bidi="ar-EG"/>
        </w:rPr>
        <w:t>"</w:t>
      </w:r>
      <w:r>
        <w:rPr>
          <w:rtl/>
          <w:lang w:bidi="ar-EG"/>
        </w:rPr>
        <w:t>المرأة العزباء</w:t>
      </w:r>
      <w:r w:rsidR="00D62BA8">
        <w:rPr>
          <w:rtl/>
          <w:lang w:bidi="ar-EG"/>
        </w:rPr>
        <w:t>"</w:t>
      </w:r>
      <w:r>
        <w:rPr>
          <w:rtl/>
          <w:lang w:bidi="ar-EG"/>
        </w:rPr>
        <w:t xml:space="preserve">، أثارت نيبال المسألة في اجتماع القمة الخامس عشر لرابطة جنوب آسيا للتعاون الإقليمي معلنة أن التعريف يشمل ثلاثة أنواع من النساء: (أ) المرأة الأرملة، (ب) المرأة المطلّقة بصورة </w:t>
      </w:r>
      <w:r w:rsidR="009367B2">
        <w:rPr>
          <w:rFonts w:hint="cs"/>
          <w:rtl/>
          <w:lang w:bidi="ar-EG"/>
        </w:rPr>
        <w:t xml:space="preserve">قانونية أو </w:t>
      </w:r>
      <w:r>
        <w:rPr>
          <w:rtl/>
          <w:lang w:bidi="ar-EG"/>
        </w:rPr>
        <w:t xml:space="preserve">غير رسمية، </w:t>
      </w:r>
      <w:r w:rsidR="009367B2">
        <w:rPr>
          <w:rFonts w:hint="cs"/>
          <w:rtl/>
          <w:lang w:bidi="ar-EG"/>
        </w:rPr>
        <w:t xml:space="preserve">    </w:t>
      </w:r>
      <w:r>
        <w:rPr>
          <w:rtl/>
          <w:lang w:bidi="ar-EG"/>
        </w:rPr>
        <w:t>(ج) والمرأة غير المتزوجة. ونظرا</w:t>
      </w:r>
      <w:r w:rsidR="00762AAB">
        <w:rPr>
          <w:rFonts w:hint="cs"/>
          <w:rtl/>
          <w:lang w:bidi="ar-EG"/>
        </w:rPr>
        <w:t>ً</w:t>
      </w:r>
      <w:r>
        <w:rPr>
          <w:rtl/>
          <w:lang w:bidi="ar-EG"/>
        </w:rPr>
        <w:t xml:space="preserve"> إلى المبادرة التي تقدمت بها نيبال، أصدر اجتماع القمة إعلانا</w:t>
      </w:r>
      <w:r w:rsidR="00762AAB">
        <w:rPr>
          <w:rFonts w:hint="cs"/>
          <w:rtl/>
          <w:lang w:bidi="ar-EG"/>
        </w:rPr>
        <w:t>ً</w:t>
      </w:r>
      <w:r>
        <w:rPr>
          <w:rtl/>
          <w:lang w:bidi="ar-EG"/>
        </w:rPr>
        <w:t xml:space="preserve"> بأنه سيعمل في المجال الذي يتناول خصيصا</w:t>
      </w:r>
      <w:r w:rsidR="00762AAB">
        <w:rPr>
          <w:rFonts w:hint="cs"/>
          <w:rtl/>
          <w:lang w:bidi="ar-EG"/>
        </w:rPr>
        <w:t>ً</w:t>
      </w:r>
      <w:r>
        <w:rPr>
          <w:rtl/>
          <w:lang w:bidi="ar-EG"/>
        </w:rPr>
        <w:t xml:space="preserve"> مسألة التمييز ضد الأرامل. وعلاوة على ذلك قبلت اللجنة المعنية بالمرأة والشباب والأطفال التابعة لرابطة جنوب آسيا للتعاون الإقليمي الاقتراح الذي تقدمت به الحكومة. ونتيجة لذلك شكلت الحكومة لجنة تشمل الوكالات الحكومية وممثلات من منظمة حقوق الإنسان للأرملة لوضع مشروع ميثاق. ويجري الآن إعداد المشروع ومن المقرر أن ينشر عما قريب.</w:t>
      </w:r>
    </w:p>
    <w:p w:rsidR="000B7434" w:rsidRPr="00CF019A" w:rsidRDefault="000B7434" w:rsidP="009367B2">
      <w:pPr>
        <w:pStyle w:val="H1GA"/>
        <w:rPr>
          <w:rtl/>
          <w:lang w:bidi="ar-EG"/>
        </w:rPr>
      </w:pPr>
      <w:r>
        <w:rPr>
          <w:rtl/>
          <w:lang w:bidi="ar-EG"/>
        </w:rPr>
        <w:tab/>
      </w:r>
      <w:r>
        <w:rPr>
          <w:rtl/>
          <w:lang w:bidi="ar-EG"/>
        </w:rPr>
        <w:tab/>
      </w:r>
      <w:r w:rsidRPr="00CF019A">
        <w:rPr>
          <w:rtl/>
          <w:lang w:bidi="ar-EG"/>
        </w:rPr>
        <w:t>المرأة المتقدمة بالسن و</w:t>
      </w:r>
      <w:r>
        <w:rPr>
          <w:rtl/>
          <w:lang w:bidi="ar-EG"/>
        </w:rPr>
        <w:t xml:space="preserve">المرأة </w:t>
      </w:r>
      <w:r w:rsidRPr="00CF019A">
        <w:rPr>
          <w:rtl/>
          <w:lang w:bidi="ar-EG"/>
        </w:rPr>
        <w:t>المعوقة</w:t>
      </w:r>
    </w:p>
    <w:p w:rsidR="000B7434" w:rsidRDefault="000B7434" w:rsidP="002F1301">
      <w:pPr>
        <w:pStyle w:val="SingleTxtGA"/>
        <w:rPr>
          <w:rtl/>
          <w:lang w:bidi="ar-EG"/>
        </w:rPr>
      </w:pPr>
      <w:r>
        <w:rPr>
          <w:rtl/>
          <w:lang w:bidi="ar-EG"/>
        </w:rPr>
        <w:t>263-</w:t>
      </w:r>
      <w:r w:rsidR="009367B2">
        <w:rPr>
          <w:rFonts w:hint="cs"/>
          <w:rtl/>
          <w:lang w:bidi="ar-EG"/>
        </w:rPr>
        <w:tab/>
      </w:r>
      <w:r w:rsidR="009367B2">
        <w:rPr>
          <w:rtl/>
          <w:lang w:bidi="ar-EG"/>
        </w:rPr>
        <w:t>تنص المادتان 13(3) و35</w:t>
      </w:r>
      <w:r>
        <w:rPr>
          <w:rtl/>
          <w:lang w:bidi="ar-EG"/>
        </w:rPr>
        <w:t>(14) من الدستور المؤقت بوضوح على أحكام للتمييز الإيجابي لصالح المتقدمين بالسن، والمعوقين ولا سيما أصحاب الإعاقات الجسدية أو</w:t>
      </w:r>
      <w:r>
        <w:rPr>
          <w:rFonts w:hint="cs"/>
          <w:rtl/>
          <w:lang w:bidi="ar-EG"/>
        </w:rPr>
        <w:t> </w:t>
      </w:r>
      <w:r w:rsidR="009367B2">
        <w:rPr>
          <w:rtl/>
          <w:lang w:bidi="ar-EG"/>
        </w:rPr>
        <w:t>العقلية. كما أن المادة 18</w:t>
      </w:r>
      <w:r>
        <w:rPr>
          <w:rtl/>
          <w:lang w:bidi="ar-EG"/>
        </w:rPr>
        <w:t xml:space="preserve">(2) توفر ضمانات أساسية تذكر أن </w:t>
      </w:r>
      <w:r w:rsidR="00D62BA8">
        <w:rPr>
          <w:rtl/>
          <w:lang w:bidi="ar-EG"/>
        </w:rPr>
        <w:t>"</w:t>
      </w:r>
      <w:r>
        <w:rPr>
          <w:rtl/>
          <w:lang w:bidi="ar-EG"/>
        </w:rPr>
        <w:t>للمرأة، والعمال، والمتقدمين بالسن، والمعوقين، وكذلك العاجزين وغير القادرين على الحركة من المواطنين الحق في الضمان الاجتماعي</w:t>
      </w:r>
      <w:r w:rsidR="009367B2">
        <w:rPr>
          <w:rFonts w:hint="cs"/>
          <w:rtl/>
          <w:lang w:bidi="ar-EG"/>
        </w:rPr>
        <w:t xml:space="preserve"> </w:t>
      </w:r>
      <w:r>
        <w:rPr>
          <w:rtl/>
          <w:lang w:bidi="ar-EG"/>
        </w:rPr>
        <w:t>...</w:t>
      </w:r>
      <w:r w:rsidR="00D62BA8">
        <w:rPr>
          <w:rtl/>
          <w:lang w:bidi="ar-EG"/>
        </w:rPr>
        <w:t>"</w:t>
      </w:r>
      <w:r>
        <w:rPr>
          <w:rtl/>
          <w:lang w:bidi="ar-EG"/>
        </w:rPr>
        <w:t xml:space="preserve"> (التشديد مضاف)، تتبعها سيا</w:t>
      </w:r>
      <w:r w:rsidR="009367B2">
        <w:rPr>
          <w:rtl/>
          <w:lang w:bidi="ar-EG"/>
        </w:rPr>
        <w:t>سات عامة للدولة بموجب المادة 35</w:t>
      </w:r>
      <w:r>
        <w:rPr>
          <w:rtl/>
          <w:lang w:bidi="ar-EG"/>
        </w:rPr>
        <w:t>(9)</w:t>
      </w:r>
      <w:r w:rsidR="009367B2">
        <w:rPr>
          <w:rtl/>
          <w:lang w:bidi="ar-EG"/>
        </w:rPr>
        <w:t>. وإضافة إلى ذلك، فإن المادة 33</w:t>
      </w:r>
      <w:r>
        <w:rPr>
          <w:rtl/>
          <w:lang w:bidi="ar-EG"/>
        </w:rPr>
        <w:t>(ع) تنص على حكم بإغاثة وإعادة تأهيل الأشخاص المعوقين بسبب</w:t>
      </w:r>
      <w:r w:rsidR="002F1301">
        <w:rPr>
          <w:rFonts w:hint="cs"/>
          <w:rtl/>
          <w:lang w:bidi="ar-EG"/>
        </w:rPr>
        <w:t xml:space="preserve"> النزاع</w:t>
      </w:r>
      <w:r>
        <w:rPr>
          <w:rtl/>
          <w:lang w:bidi="ar-EG"/>
        </w:rPr>
        <w:t>. وأهم من ذلك، أن المادة 154 من الدستور المؤقت تفسح مجالا</w:t>
      </w:r>
      <w:r w:rsidR="00762AAB">
        <w:rPr>
          <w:rFonts w:hint="cs"/>
          <w:rtl/>
          <w:lang w:bidi="ar-EG"/>
        </w:rPr>
        <w:t>ً</w:t>
      </w:r>
      <w:r>
        <w:rPr>
          <w:rtl/>
          <w:lang w:bidi="ar-EG"/>
        </w:rPr>
        <w:t xml:space="preserve"> لتشكيل لجنة للمعوقين. ويرد في الفصل الذي يتناول </w:t>
      </w:r>
      <w:r w:rsidR="00D62BA8">
        <w:rPr>
          <w:rtl/>
          <w:lang w:bidi="ar-EG"/>
        </w:rPr>
        <w:t>"</w:t>
      </w:r>
      <w:r>
        <w:rPr>
          <w:rtl/>
          <w:lang w:bidi="ar-EG"/>
        </w:rPr>
        <w:t>الاغتصاب</w:t>
      </w:r>
      <w:r w:rsidR="00D62BA8">
        <w:rPr>
          <w:rtl/>
          <w:lang w:bidi="ar-EG"/>
        </w:rPr>
        <w:t>"</w:t>
      </w:r>
      <w:r>
        <w:rPr>
          <w:rtl/>
          <w:lang w:bidi="ar-EG"/>
        </w:rPr>
        <w:t xml:space="preserve"> في مدونة القوانين القُطرية حكم بعقوبة إضافية لأي شخص يغتصب امرأة معوقة.</w:t>
      </w:r>
    </w:p>
    <w:p w:rsidR="000B7434" w:rsidRDefault="000B7434" w:rsidP="009367B2">
      <w:pPr>
        <w:pStyle w:val="SingleTxtGA"/>
        <w:rPr>
          <w:rtl/>
          <w:lang w:bidi="ar-EG"/>
        </w:rPr>
      </w:pPr>
      <w:r>
        <w:rPr>
          <w:rtl/>
          <w:lang w:bidi="ar-EG"/>
        </w:rPr>
        <w:t>264-</w:t>
      </w:r>
      <w:r w:rsidR="009367B2">
        <w:rPr>
          <w:rFonts w:hint="cs"/>
          <w:rtl/>
          <w:lang w:bidi="ar-EG"/>
        </w:rPr>
        <w:tab/>
      </w:r>
      <w:r>
        <w:rPr>
          <w:rtl/>
          <w:lang w:bidi="ar-EG"/>
        </w:rPr>
        <w:t>وتم تأسيس لجنة تنسيق وطنية لخدمة المعوقين باعتماد السياسة العامة وخطة العمل الوطنيتين لعام 2007. وتعقد دورات تدريب مثل صفوف التعليم الخاص وبرامج التأهيل للمعوقين وتوجيه المهارات. وتقدم بدلات من الضمان الاجتماعي (وفق المذكور أعلاه) شهريا</w:t>
      </w:r>
      <w:r w:rsidR="00762AAB">
        <w:rPr>
          <w:rFonts w:hint="cs"/>
          <w:rtl/>
          <w:lang w:bidi="ar-EG"/>
        </w:rPr>
        <w:t>ً</w:t>
      </w:r>
      <w:r>
        <w:rPr>
          <w:rtl/>
          <w:lang w:bidi="ar-EG"/>
        </w:rPr>
        <w:t>. كما يجري وفقا</w:t>
      </w:r>
      <w:r w:rsidR="00762AAB">
        <w:rPr>
          <w:rFonts w:hint="cs"/>
          <w:rtl/>
          <w:lang w:bidi="ar-EG"/>
        </w:rPr>
        <w:t>ً</w:t>
      </w:r>
      <w:r>
        <w:rPr>
          <w:rtl/>
          <w:lang w:bidi="ar-EG"/>
        </w:rPr>
        <w:t xml:space="preserve"> لنظام الحصص، تقديم المنح الدراسية للطلاب ذوي الإعاقات. وتبذل جهود لجعل المباني الحكومية والهياكل الأساسية المادية ميسورة لولوج المعوقين إليها. ومعظم هذه الإصلاحات والتحسينات جارية حاليا</w:t>
      </w:r>
      <w:r w:rsidR="00762AAB">
        <w:rPr>
          <w:rFonts w:hint="cs"/>
          <w:rtl/>
          <w:lang w:bidi="ar-EG"/>
        </w:rPr>
        <w:t>ً</w:t>
      </w:r>
      <w:r>
        <w:rPr>
          <w:rtl/>
          <w:lang w:bidi="ar-EG"/>
        </w:rPr>
        <w:t>.</w:t>
      </w:r>
    </w:p>
    <w:p w:rsidR="000B7434" w:rsidRDefault="000B7434" w:rsidP="009367B2">
      <w:pPr>
        <w:pStyle w:val="SingleTxtGA"/>
        <w:rPr>
          <w:rtl/>
          <w:lang w:bidi="ar-EG"/>
        </w:rPr>
      </w:pPr>
      <w:r>
        <w:rPr>
          <w:rtl/>
          <w:lang w:bidi="ar-EG"/>
        </w:rPr>
        <w:t>265-</w:t>
      </w:r>
      <w:r w:rsidR="009367B2">
        <w:rPr>
          <w:rFonts w:hint="cs"/>
          <w:rtl/>
          <w:lang w:bidi="ar-EG"/>
        </w:rPr>
        <w:tab/>
      </w:r>
      <w:r>
        <w:rPr>
          <w:rtl/>
          <w:lang w:bidi="ar-EG"/>
        </w:rPr>
        <w:t>وإلى جانب الأحكام القانونية والخطة والسياسات الوطنية، نظرت المحكمة العليا في</w:t>
      </w:r>
      <w:r w:rsidR="009367B2">
        <w:rPr>
          <w:rFonts w:hint="cs"/>
          <w:rtl/>
          <w:lang w:bidi="ar-EG"/>
        </w:rPr>
        <w:t xml:space="preserve"> </w:t>
      </w:r>
      <w:r>
        <w:rPr>
          <w:rtl/>
          <w:lang w:bidi="ar-EG"/>
        </w:rPr>
        <w:t xml:space="preserve">المسائل المتصلة بحقوق المعوقين ورعايتهم. وفي قضية </w:t>
      </w:r>
      <w:r w:rsidRPr="00CF019A">
        <w:rPr>
          <w:i/>
          <w:iCs/>
          <w:rtl/>
          <w:lang w:bidi="ar-EG"/>
        </w:rPr>
        <w:t>باركاشماني شارما وتك تامراكار</w:t>
      </w:r>
      <w:r>
        <w:rPr>
          <w:rtl/>
          <w:lang w:bidi="ar-EG"/>
        </w:rPr>
        <w:t xml:space="preserve"> ضد </w:t>
      </w:r>
      <w:r w:rsidRPr="00CF019A">
        <w:rPr>
          <w:i/>
          <w:iCs/>
          <w:rtl/>
          <w:lang w:bidi="ar-EG"/>
        </w:rPr>
        <w:t>وزارة شؤون المرأة والطفل والرعاية الاجتماعية ومجلس الوزراء</w:t>
      </w:r>
      <w:r>
        <w:rPr>
          <w:rtl/>
          <w:lang w:bidi="ar-EG"/>
        </w:rPr>
        <w:t>، التي صدر الحكم فيها في</w:t>
      </w:r>
      <w:r w:rsidR="009367B2">
        <w:rPr>
          <w:rFonts w:hint="cs"/>
          <w:rtl/>
          <w:lang w:bidi="ar-EG"/>
        </w:rPr>
        <w:t xml:space="preserve"> </w:t>
      </w:r>
      <w:r>
        <w:rPr>
          <w:rtl/>
          <w:lang w:bidi="ar-EG"/>
        </w:rPr>
        <w:t>8 أيار/مايو 2007، أصدرت المحكمة العليا أمر امتثال للتنفيذ الوافي لقانون حماية المعوقين ورفاههم</w:t>
      </w:r>
      <w:r w:rsidR="00D62BA8">
        <w:rPr>
          <w:rtl/>
          <w:lang w:bidi="ar-EG"/>
        </w:rPr>
        <w:t>"</w:t>
      </w:r>
      <w:r>
        <w:rPr>
          <w:rtl/>
          <w:lang w:bidi="ar-EG"/>
        </w:rPr>
        <w:t xml:space="preserve"> وللأحكام الدستورية. وبالتحديد أمرت المحكمة العليا الحكومة بأن تشكل لجنة وتقدم تقريرها المرحلي نصف السنوي عن مختلف المجموعات المعوقة جسديا</w:t>
      </w:r>
      <w:r w:rsidR="00762AAB">
        <w:rPr>
          <w:rFonts w:hint="cs"/>
          <w:rtl/>
          <w:lang w:bidi="ar-EG"/>
        </w:rPr>
        <w:t>ً</w:t>
      </w:r>
      <w:r>
        <w:rPr>
          <w:rtl/>
          <w:lang w:bidi="ar-EG"/>
        </w:rPr>
        <w:t>. وما فتئت وزارة شؤون المرأة تجري هذه الدورات التدريبية والبرامج المختلفة الأخرى عن طريق الحكومة والمنظمات غير الحكومية العاملة بالتحديد في هذا المجال منذ خمس سنوات في</w:t>
      </w:r>
      <w:r w:rsidR="009367B2">
        <w:rPr>
          <w:rFonts w:hint="cs"/>
          <w:rtl/>
          <w:lang w:bidi="ar-EG"/>
        </w:rPr>
        <w:t xml:space="preserve"> </w:t>
      </w:r>
      <w:r>
        <w:rPr>
          <w:rtl/>
          <w:lang w:bidi="ar-EG"/>
        </w:rPr>
        <w:t>54</w:t>
      </w:r>
      <w:r w:rsidR="009367B2">
        <w:rPr>
          <w:rFonts w:hint="cs"/>
          <w:rtl/>
          <w:lang w:bidi="ar-EG"/>
        </w:rPr>
        <w:t xml:space="preserve"> </w:t>
      </w:r>
      <w:r>
        <w:rPr>
          <w:rtl/>
          <w:lang w:bidi="ar-EG"/>
        </w:rPr>
        <w:t>مقاطعة من نيبال. وشُكلت لجنة رفيعة المستوى لتنسيق شؤون المواطنين كبار السن ملتزمة بتقديم الخدمات للمواطنين المسنين. ويجري إنزال المسنين المهمَلين والعاجزين في منازل لرعاية المسنين. وتعطى الأولوية في إعادة التأهيل للنساء المتقدمات في السن. ويجري في كل مناطق التنمية الخمس إنشاء منازل نموذجية لرعاية المسنين. وقد أنشئ صندوق رعاية للمواطنين كبار السن وفقا</w:t>
      </w:r>
      <w:r w:rsidR="00762AAB">
        <w:rPr>
          <w:rFonts w:hint="cs"/>
          <w:rtl/>
          <w:lang w:bidi="ar-EG"/>
        </w:rPr>
        <w:t>ً</w:t>
      </w:r>
      <w:r>
        <w:rPr>
          <w:rtl/>
          <w:lang w:bidi="ar-EG"/>
        </w:rPr>
        <w:t xml:space="preserve"> لذلك. (المصدر الخطة المؤقتة 2007-200).</w:t>
      </w:r>
    </w:p>
    <w:p w:rsidR="000B7434" w:rsidRDefault="000B7434" w:rsidP="009367B2">
      <w:pPr>
        <w:pStyle w:val="SingleTxtGA"/>
        <w:rPr>
          <w:rtl/>
          <w:lang w:bidi="ar-EG"/>
        </w:rPr>
      </w:pPr>
      <w:r>
        <w:rPr>
          <w:rtl/>
          <w:lang w:bidi="ar-EG"/>
        </w:rPr>
        <w:t>266-</w:t>
      </w:r>
      <w:r w:rsidR="009367B2">
        <w:rPr>
          <w:rFonts w:hint="cs"/>
          <w:rtl/>
          <w:lang w:bidi="ar-EG"/>
        </w:rPr>
        <w:tab/>
      </w:r>
      <w:r>
        <w:rPr>
          <w:rtl/>
          <w:lang w:bidi="ar-EG"/>
        </w:rPr>
        <w:t>ونظرا</w:t>
      </w:r>
      <w:r w:rsidR="00762AAB">
        <w:rPr>
          <w:rFonts w:hint="cs"/>
          <w:rtl/>
          <w:lang w:bidi="ar-EG"/>
        </w:rPr>
        <w:t>ً</w:t>
      </w:r>
      <w:r>
        <w:rPr>
          <w:rtl/>
          <w:lang w:bidi="ar-EG"/>
        </w:rPr>
        <w:t xml:space="preserve"> إلى أن النساء المعوقات والمتقدمات في السن أكثر تعرضا</w:t>
      </w:r>
      <w:r w:rsidR="00762AAB">
        <w:rPr>
          <w:rFonts w:hint="cs"/>
          <w:rtl/>
          <w:lang w:bidi="ar-EG"/>
        </w:rPr>
        <w:t>ً</w:t>
      </w:r>
      <w:r>
        <w:rPr>
          <w:rtl/>
          <w:lang w:bidi="ar-EG"/>
        </w:rPr>
        <w:t xml:space="preserve"> للمعاناة، اعتبرت الحكومة هذا الأمر مسألةً تربط بين النهوض بهن وتمكينهن ورعايتهن. وتقدم وزارة </w:t>
      </w:r>
      <w:r w:rsidR="009367B2">
        <w:rPr>
          <w:rFonts w:hint="cs"/>
          <w:rtl/>
          <w:lang w:bidi="ar-EG"/>
        </w:rPr>
        <w:t xml:space="preserve">      </w:t>
      </w:r>
      <w:r>
        <w:rPr>
          <w:rtl/>
          <w:lang w:bidi="ar-EG"/>
        </w:rPr>
        <w:t xml:space="preserve">شؤون المرأة، بالتعاون مع </w:t>
      </w:r>
      <w:r w:rsidR="00D62BA8">
        <w:rPr>
          <w:rtl/>
          <w:lang w:bidi="ar-EG"/>
        </w:rPr>
        <w:t>"</w:t>
      </w:r>
      <w:r>
        <w:rPr>
          <w:rtl/>
          <w:lang w:bidi="ar-EG"/>
        </w:rPr>
        <w:t>منظمة المرأة النيبالية المعوقة</w:t>
      </w:r>
      <w:r w:rsidR="00D62BA8">
        <w:rPr>
          <w:rtl/>
          <w:lang w:bidi="ar-EG"/>
        </w:rPr>
        <w:t>"</w:t>
      </w:r>
      <w:r>
        <w:rPr>
          <w:rtl/>
          <w:lang w:bidi="ar-EG"/>
        </w:rPr>
        <w:t xml:space="preserve"> مرافق الإسكان والمأوى إلى جانب نزل النساء/الفتيات للنساء المشردات اللواتي يعانين من مختلف أشكال الإعاقة. كما أن موظفات شؤون تنمية المرأة، اللواتي سيشتركن في توفير التوجيه والتدريب على تنمية المهارات إلى</w:t>
      </w:r>
      <w:r w:rsidR="009367B2">
        <w:rPr>
          <w:rFonts w:hint="cs"/>
          <w:rtl/>
          <w:lang w:bidi="ar-EG"/>
        </w:rPr>
        <w:t xml:space="preserve"> </w:t>
      </w:r>
      <w:r>
        <w:rPr>
          <w:rtl/>
          <w:lang w:bidi="ar-EG"/>
        </w:rPr>
        <w:t>الموظفين والموظفات على مستوى لجان التنمية القروية، سوف يجري تدريبهن في</w:t>
      </w:r>
      <w:r w:rsidR="009367B2">
        <w:rPr>
          <w:rFonts w:hint="cs"/>
          <w:rtl/>
          <w:lang w:bidi="ar-EG"/>
        </w:rPr>
        <w:t xml:space="preserve"> </w:t>
      </w:r>
      <w:r>
        <w:rPr>
          <w:rtl/>
          <w:lang w:bidi="ar-EG"/>
        </w:rPr>
        <w:t>مسائل</w:t>
      </w:r>
      <w:r w:rsidR="009367B2">
        <w:rPr>
          <w:rFonts w:hint="cs"/>
          <w:rtl/>
          <w:lang w:bidi="ar-EG"/>
        </w:rPr>
        <w:t xml:space="preserve"> </w:t>
      </w:r>
      <w:r w:rsidR="00D62BA8">
        <w:rPr>
          <w:rtl/>
          <w:lang w:bidi="ar-EG"/>
        </w:rPr>
        <w:t>"</w:t>
      </w:r>
      <w:r>
        <w:rPr>
          <w:rtl/>
          <w:lang w:bidi="ar-EG"/>
        </w:rPr>
        <w:t>الإعاقة</w:t>
      </w:r>
      <w:r w:rsidR="00D62BA8">
        <w:rPr>
          <w:rtl/>
          <w:lang w:bidi="ar-EG"/>
        </w:rPr>
        <w:t>"</w:t>
      </w:r>
      <w:r>
        <w:rPr>
          <w:rtl/>
          <w:lang w:bidi="ar-EG"/>
        </w:rPr>
        <w:t>.</w:t>
      </w:r>
    </w:p>
    <w:p w:rsidR="000B7434" w:rsidRPr="00CF019A" w:rsidRDefault="000B7434" w:rsidP="009367B2">
      <w:pPr>
        <w:pStyle w:val="H1GA"/>
        <w:spacing w:before="120"/>
        <w:rPr>
          <w:rtl/>
          <w:lang w:bidi="ar-EG"/>
        </w:rPr>
      </w:pPr>
      <w:r>
        <w:rPr>
          <w:rtl/>
          <w:lang w:bidi="ar-EG"/>
        </w:rPr>
        <w:tab/>
      </w:r>
      <w:r>
        <w:rPr>
          <w:rtl/>
          <w:lang w:bidi="ar-EG"/>
        </w:rPr>
        <w:tab/>
      </w:r>
      <w:r w:rsidRPr="00CF019A">
        <w:rPr>
          <w:rtl/>
          <w:lang w:bidi="ar-EG"/>
        </w:rPr>
        <w:t>العاملات المهاجرات</w:t>
      </w:r>
    </w:p>
    <w:p w:rsidR="000B7434" w:rsidRDefault="000B7434" w:rsidP="009367B2">
      <w:pPr>
        <w:pStyle w:val="SingleTxtGA"/>
        <w:rPr>
          <w:rtl/>
          <w:lang w:bidi="ar-EG"/>
        </w:rPr>
      </w:pPr>
      <w:r>
        <w:rPr>
          <w:rtl/>
          <w:lang w:bidi="ar-EG"/>
        </w:rPr>
        <w:t>267-</w:t>
      </w:r>
      <w:r w:rsidR="009367B2">
        <w:rPr>
          <w:rFonts w:hint="cs"/>
          <w:rtl/>
          <w:lang w:bidi="ar-EG"/>
        </w:rPr>
        <w:tab/>
      </w:r>
      <w:r>
        <w:rPr>
          <w:rtl/>
          <w:lang w:bidi="ar-EG"/>
        </w:rPr>
        <w:t>اتخذت الحكومة مبادرات لحماية العمال المهاجرين بصورة عامة، والعاملات المهاجرات بصورة خاصة. وينص قانون العمالة الأجنبية على طائفة من التدابير المنعية والوقائية الشاملة، وفق المذكور في موضع سابق في إطار مناقشة التقدم المحرز في تنفيذ المادة 11 من اتفاقية القضاء على جميع أشكال التمييز ضد المرأة. وفي الآونة الحديثة جدا</w:t>
      </w:r>
      <w:r w:rsidR="00762AAB">
        <w:rPr>
          <w:rFonts w:hint="cs"/>
          <w:rtl/>
          <w:lang w:bidi="ar-EG"/>
        </w:rPr>
        <w:t>ً</w:t>
      </w:r>
      <w:r>
        <w:rPr>
          <w:rtl/>
          <w:lang w:bidi="ar-EG"/>
        </w:rPr>
        <w:t xml:space="preserve">، أصدرت المحكمة العليا، في قضية </w:t>
      </w:r>
      <w:r w:rsidRPr="002F78F7">
        <w:rPr>
          <w:i/>
          <w:iCs/>
          <w:rtl/>
          <w:lang w:bidi="ar-EG"/>
        </w:rPr>
        <w:t>المحامية براكاش ماني شارما وآخرين</w:t>
      </w:r>
      <w:r>
        <w:rPr>
          <w:rtl/>
          <w:lang w:bidi="ar-EG"/>
        </w:rPr>
        <w:t xml:space="preserve"> ضد </w:t>
      </w:r>
      <w:r w:rsidRPr="002F78F7">
        <w:rPr>
          <w:i/>
          <w:iCs/>
          <w:rtl/>
          <w:lang w:bidi="ar-EG"/>
        </w:rPr>
        <w:t>حكومة نيبال</w:t>
      </w:r>
      <w:r>
        <w:rPr>
          <w:rtl/>
          <w:lang w:bidi="ar-EG"/>
        </w:rPr>
        <w:t xml:space="preserve"> أمر امتثال في 16 كانون الأول/ديسمبر 2008 موجهاً إلى الحكومة بالتنفيذ الفعال لأحكام قانون العمالة الأجنبية وتنظيم العمالة الأجنبية بصورة رئيسية فيما يتعلق بمسائل التدريب السابق للمغادرة للعمل في الخارج، وحصول النساء اللواتي هن في سبيل استلام عمل في الخارج على القروض، وإنشاء مركز معلومات عن البلد الذي يقدم هذه العمالة، والترتيب لتعيين منسق لرصد شؤون العمالة. وأمرت المحكمة العليا أيضا</w:t>
      </w:r>
      <w:r w:rsidR="00762AAB">
        <w:rPr>
          <w:rFonts w:hint="cs"/>
          <w:rtl/>
          <w:lang w:bidi="ar-EG"/>
        </w:rPr>
        <w:t>ً</w:t>
      </w:r>
      <w:r>
        <w:rPr>
          <w:rtl/>
          <w:lang w:bidi="ar-EG"/>
        </w:rPr>
        <w:t xml:space="preserve"> المكاتب الدبلوماسية والقنصلية الموجودة في البلدان المعنية بأن ترعى شؤون العمال النيباليين المهاجرين وأن تعتني باحتياجاتهم، كما أمرت بتوفير فرص الاستثمار وتقديم الضمان الاجتماعي للعائدين.</w:t>
      </w:r>
    </w:p>
    <w:p w:rsidR="000B7434" w:rsidRDefault="000B7434" w:rsidP="009367B2">
      <w:pPr>
        <w:pStyle w:val="SingleTxtGA"/>
        <w:rPr>
          <w:rtl/>
          <w:lang w:bidi="ar-EG"/>
        </w:rPr>
      </w:pPr>
      <w:r>
        <w:rPr>
          <w:rtl/>
          <w:lang w:bidi="ar-EG"/>
        </w:rPr>
        <w:t>268-</w:t>
      </w:r>
      <w:r w:rsidR="009367B2">
        <w:rPr>
          <w:rFonts w:hint="cs"/>
          <w:rtl/>
          <w:lang w:bidi="ar-EG"/>
        </w:rPr>
        <w:tab/>
      </w:r>
      <w:r>
        <w:rPr>
          <w:rtl/>
          <w:lang w:bidi="ar-EG"/>
        </w:rPr>
        <w:t>وينص الإطار القانوني الحالي على فرص متساوية لكل من الرجل والمرأة في العمالة الأجنبية. غير أنه نظرا</w:t>
      </w:r>
      <w:r w:rsidR="00762AAB">
        <w:rPr>
          <w:rFonts w:hint="cs"/>
          <w:rtl/>
          <w:lang w:bidi="ar-EG"/>
        </w:rPr>
        <w:t>ً</w:t>
      </w:r>
      <w:r>
        <w:rPr>
          <w:rtl/>
          <w:lang w:bidi="ar-EG"/>
        </w:rPr>
        <w:t xml:space="preserve"> لاحتمال تعرض النساء العاملات في البلدان الخارجية للاتجار بالأشخاص ولمختلف أشكال الاعتداء الجنسي والاستغلال الاقتصادي، برزت هذه كمسألة تثير قلقا</w:t>
      </w:r>
      <w:r w:rsidR="00762AAB">
        <w:rPr>
          <w:rFonts w:hint="cs"/>
          <w:rtl/>
          <w:lang w:bidi="ar-EG"/>
        </w:rPr>
        <w:t>ً</w:t>
      </w:r>
      <w:r>
        <w:rPr>
          <w:rtl/>
          <w:lang w:bidi="ar-EG"/>
        </w:rPr>
        <w:t xml:space="preserve"> بالغا</w:t>
      </w:r>
      <w:r w:rsidR="00762AAB">
        <w:rPr>
          <w:rFonts w:hint="cs"/>
          <w:rtl/>
          <w:lang w:bidi="ar-EG"/>
        </w:rPr>
        <w:t>ً</w:t>
      </w:r>
      <w:r>
        <w:rPr>
          <w:rtl/>
          <w:lang w:bidi="ar-EG"/>
        </w:rPr>
        <w:t xml:space="preserve"> لدى الحكومة. لذلك فإنها في سبيلها إلى اعتماد تدابير فعالة تتماشى مع روح المعايير الدولية لحقوق الإنسان.</w:t>
      </w:r>
    </w:p>
    <w:p w:rsidR="000B7434" w:rsidRPr="000D7E50" w:rsidRDefault="000B7434" w:rsidP="009367B2">
      <w:pPr>
        <w:pStyle w:val="H1GA"/>
        <w:rPr>
          <w:rtl/>
          <w:lang w:bidi="ar-EG"/>
        </w:rPr>
      </w:pPr>
      <w:r>
        <w:rPr>
          <w:rtl/>
          <w:lang w:bidi="ar-EG"/>
        </w:rPr>
        <w:tab/>
      </w:r>
      <w:r>
        <w:rPr>
          <w:rtl/>
          <w:lang w:bidi="ar-EG"/>
        </w:rPr>
        <w:tab/>
      </w:r>
      <w:r w:rsidRPr="000D7E50">
        <w:rPr>
          <w:rtl/>
          <w:lang w:bidi="ar-EG"/>
        </w:rPr>
        <w:t>النساء المحتجزات والسجينات</w:t>
      </w:r>
    </w:p>
    <w:p w:rsidR="000B7434" w:rsidRDefault="000B7434" w:rsidP="009367B2">
      <w:pPr>
        <w:pStyle w:val="SingleTxtGA"/>
        <w:rPr>
          <w:rtl/>
          <w:lang w:bidi="ar-EG"/>
        </w:rPr>
      </w:pPr>
      <w:r>
        <w:rPr>
          <w:rtl/>
          <w:lang w:bidi="ar-EG"/>
        </w:rPr>
        <w:t>269-</w:t>
      </w:r>
      <w:r w:rsidR="009367B2">
        <w:rPr>
          <w:rFonts w:hint="cs"/>
          <w:rtl/>
          <w:lang w:bidi="ar-EG"/>
        </w:rPr>
        <w:tab/>
      </w:r>
      <w:r>
        <w:rPr>
          <w:rtl/>
          <w:lang w:bidi="ar-EG"/>
        </w:rPr>
        <w:t>ثمة مسألة ناشئة أخرى تثير قلقا</w:t>
      </w:r>
      <w:r w:rsidR="009367B2">
        <w:rPr>
          <w:rFonts w:hint="cs"/>
          <w:rtl/>
          <w:lang w:bidi="ar-EG"/>
        </w:rPr>
        <w:t>ً</w:t>
      </w:r>
      <w:r>
        <w:rPr>
          <w:rtl/>
          <w:lang w:bidi="ar-EG"/>
        </w:rPr>
        <w:t xml:space="preserve"> بالغا</w:t>
      </w:r>
      <w:r w:rsidR="009367B2">
        <w:rPr>
          <w:rFonts w:hint="cs"/>
          <w:rtl/>
          <w:lang w:bidi="ar-EG"/>
        </w:rPr>
        <w:t>ً</w:t>
      </w:r>
      <w:r>
        <w:rPr>
          <w:rtl/>
          <w:lang w:bidi="ar-EG"/>
        </w:rPr>
        <w:t xml:space="preserve"> لدى الحكومة تتمثل في حماية حقوق النساء المحتجزات والسجينات وتعزيزها. وبناء</w:t>
      </w:r>
      <w:r w:rsidR="009367B2">
        <w:rPr>
          <w:rFonts w:hint="cs"/>
          <w:rtl/>
          <w:lang w:bidi="ar-EG"/>
        </w:rPr>
        <w:t>ً</w:t>
      </w:r>
      <w:r>
        <w:rPr>
          <w:rtl/>
          <w:lang w:bidi="ar-EG"/>
        </w:rPr>
        <w:t xml:space="preserve"> على ذلك تتركز البرامج على المجالات الثلاثة التالية:</w:t>
      </w:r>
    </w:p>
    <w:p w:rsidR="000B7434"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rtl/>
          <w:lang w:bidi="ar-EG"/>
        </w:rPr>
      </w:pPr>
      <w:r>
        <w:rPr>
          <w:rFonts w:hint="cs"/>
          <w:rtl/>
          <w:lang w:bidi="ar-EG"/>
        </w:rPr>
        <w:t>•</w:t>
      </w:r>
      <w:r>
        <w:rPr>
          <w:rtl/>
          <w:lang w:bidi="ar-EG"/>
        </w:rPr>
        <w:tab/>
        <w:t>المسائل العقلية والنفسانية</w:t>
      </w:r>
      <w:r w:rsidR="009367B2">
        <w:rPr>
          <w:rFonts w:hint="cs"/>
          <w:rtl/>
          <w:lang w:bidi="ar-EG"/>
        </w:rPr>
        <w:t>؛</w:t>
      </w:r>
    </w:p>
    <w:p w:rsidR="000B7434" w:rsidRDefault="000B7434" w:rsidP="00D62BA8">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rtl/>
          <w:lang w:bidi="ar-EG"/>
        </w:rPr>
      </w:pPr>
      <w:r>
        <w:rPr>
          <w:rFonts w:hint="cs"/>
          <w:rtl/>
          <w:lang w:bidi="ar-EG"/>
        </w:rPr>
        <w:t>•</w:t>
      </w:r>
      <w:r>
        <w:rPr>
          <w:rtl/>
          <w:lang w:bidi="ar-EG"/>
        </w:rPr>
        <w:tab/>
        <w:t>مسائل الصحة التناسلية</w:t>
      </w:r>
      <w:r w:rsidR="009367B2">
        <w:rPr>
          <w:rFonts w:hint="cs"/>
          <w:rtl/>
          <w:lang w:bidi="ar-EG"/>
        </w:rPr>
        <w:t>؛</w:t>
      </w:r>
    </w:p>
    <w:p w:rsidR="000B7434" w:rsidRDefault="000B7434" w:rsidP="009367B2">
      <w:pPr>
        <w:pStyle w:val="SingleTxt"/>
        <w:tabs>
          <w:tab w:val="clear" w:pos="1267"/>
          <w:tab w:val="clear" w:pos="1930"/>
          <w:tab w:val="clear" w:pos="2592"/>
          <w:tab w:val="clear" w:pos="3254"/>
          <w:tab w:val="clear" w:pos="3917"/>
          <w:tab w:val="clear" w:pos="4579"/>
          <w:tab w:val="clear" w:pos="5242"/>
          <w:tab w:val="clear" w:pos="5904"/>
          <w:tab w:val="clear" w:pos="6566"/>
          <w:tab w:val="left" w:pos="1911"/>
        </w:tabs>
        <w:spacing w:line="380" w:lineRule="exact"/>
        <w:ind w:left="1911" w:right="1264" w:hanging="448"/>
        <w:rPr>
          <w:rFonts w:hint="cs"/>
          <w:rtl/>
          <w:lang w:bidi="ar-EG"/>
        </w:rPr>
      </w:pPr>
      <w:r>
        <w:rPr>
          <w:rFonts w:hint="cs"/>
          <w:rtl/>
          <w:lang w:bidi="ar-EG"/>
        </w:rPr>
        <w:t>•</w:t>
      </w:r>
      <w:r>
        <w:rPr>
          <w:rtl/>
          <w:lang w:bidi="ar-EG"/>
        </w:rPr>
        <w:tab/>
        <w:t>إقامة الأطفال المعالين (دون سن خمس سنوات) مع أمهاتهم</w:t>
      </w:r>
      <w:r w:rsidR="009367B2">
        <w:rPr>
          <w:rFonts w:hint="cs"/>
          <w:rtl/>
          <w:lang w:bidi="ar-EG"/>
        </w:rPr>
        <w:t>.</w:t>
      </w:r>
    </w:p>
    <w:p w:rsidR="000B7434" w:rsidRPr="009367B2" w:rsidRDefault="000B7434" w:rsidP="009367B2">
      <w:pPr>
        <w:pStyle w:val="SingleTxtGA"/>
        <w:rPr>
          <w:spacing w:val="-2"/>
          <w:rtl/>
          <w:lang w:bidi="ar-EG"/>
        </w:rPr>
      </w:pPr>
      <w:r>
        <w:rPr>
          <w:rtl/>
          <w:lang w:bidi="ar-EG"/>
        </w:rPr>
        <w:t>270-</w:t>
      </w:r>
      <w:r w:rsidR="009367B2">
        <w:rPr>
          <w:rFonts w:hint="cs"/>
          <w:rtl/>
          <w:lang w:bidi="ar-EG"/>
        </w:rPr>
        <w:tab/>
      </w:r>
      <w:r>
        <w:rPr>
          <w:rtl/>
          <w:lang w:bidi="ar-EG"/>
        </w:rPr>
        <w:t xml:space="preserve">وتتخذ إدارة شؤون المرأة مبادرات في هذه المجالات وقد خصصت المبالغ التالية: مبلغ 000 5 روبية لكل امرأة للمعالجة الذهنية والنفسانية ومبلغ 000 5 روبية لكل امرأة للرعاية السابقة للوضع وأثناءه وبعده في حالات الحمل والوضع. وبالنسبة إلى الأطفال المعالين يقدم مبلغ 500 روبية عن كل طفل للإعاشة. وأجرت وزارة شؤون المرأة دراسة عن </w:t>
      </w:r>
      <w:r w:rsidR="00D62BA8">
        <w:rPr>
          <w:rtl/>
          <w:lang w:bidi="ar-EG"/>
        </w:rPr>
        <w:t>"</w:t>
      </w:r>
      <w:r>
        <w:rPr>
          <w:rtl/>
          <w:lang w:bidi="ar-EG"/>
        </w:rPr>
        <w:t>حالة المرأة السجينة</w:t>
      </w:r>
      <w:r w:rsidR="00D62BA8">
        <w:rPr>
          <w:rtl/>
          <w:lang w:bidi="ar-EG"/>
        </w:rPr>
        <w:t>"</w:t>
      </w:r>
      <w:r>
        <w:rPr>
          <w:rtl/>
          <w:lang w:bidi="ar-EG"/>
        </w:rPr>
        <w:t xml:space="preserve"> بالتعاون مع منظمة غير حكومية ونشرت تقريرها في</w:t>
      </w:r>
      <w:r w:rsidR="009367B2">
        <w:rPr>
          <w:rFonts w:hint="cs"/>
          <w:rtl/>
          <w:lang w:bidi="ar-EG"/>
        </w:rPr>
        <w:t xml:space="preserve"> </w:t>
      </w:r>
      <w:r>
        <w:rPr>
          <w:rtl/>
          <w:lang w:bidi="ar-EG"/>
        </w:rPr>
        <w:t>عام</w:t>
      </w:r>
      <w:r w:rsidR="009367B2">
        <w:rPr>
          <w:rFonts w:hint="cs"/>
          <w:rtl/>
          <w:lang w:bidi="ar-EG"/>
        </w:rPr>
        <w:t xml:space="preserve"> </w:t>
      </w:r>
      <w:r>
        <w:rPr>
          <w:rtl/>
          <w:lang w:bidi="ar-EG"/>
        </w:rPr>
        <w:t xml:space="preserve">2008. </w:t>
      </w:r>
      <w:r w:rsidR="009367B2">
        <w:rPr>
          <w:rFonts w:hint="cs"/>
          <w:rtl/>
          <w:lang w:bidi="ar-EG"/>
        </w:rPr>
        <w:t xml:space="preserve">     </w:t>
      </w:r>
      <w:r w:rsidRPr="009367B2">
        <w:rPr>
          <w:spacing w:val="-2"/>
          <w:rtl/>
          <w:lang w:bidi="ar-EG"/>
        </w:rPr>
        <w:t xml:space="preserve">وركزت الدراسة بصورة رئيسية على (أ) البيئة المادية، (ب) والحالة الصحية، (ج) ومستوى العنف وحالة الضحايا </w:t>
      </w:r>
      <w:r w:rsidR="009367B2" w:rsidRPr="009367B2">
        <w:rPr>
          <w:rFonts w:hint="cs"/>
          <w:spacing w:val="-2"/>
          <w:rtl/>
          <w:lang w:bidi="ar-EG"/>
        </w:rPr>
        <w:t xml:space="preserve">بسبب </w:t>
      </w:r>
      <w:r w:rsidRPr="009367B2">
        <w:rPr>
          <w:spacing w:val="-2"/>
          <w:rtl/>
          <w:lang w:bidi="ar-EG"/>
        </w:rPr>
        <w:t xml:space="preserve">المعاملة </w:t>
      </w:r>
      <w:r w:rsidR="009367B2" w:rsidRPr="009367B2">
        <w:rPr>
          <w:rFonts w:hint="cs"/>
          <w:spacing w:val="-2"/>
          <w:rtl/>
          <w:lang w:bidi="ar-EG"/>
        </w:rPr>
        <w:t xml:space="preserve">التي تلقاها السجينات </w:t>
      </w:r>
      <w:r w:rsidRPr="009367B2">
        <w:rPr>
          <w:spacing w:val="-2"/>
          <w:rtl/>
          <w:lang w:bidi="ar-EG"/>
        </w:rPr>
        <w:t>من سل</w:t>
      </w:r>
      <w:r w:rsidR="009367B2" w:rsidRPr="009367B2">
        <w:rPr>
          <w:spacing w:val="-2"/>
          <w:rtl/>
          <w:lang w:bidi="ar-EG"/>
        </w:rPr>
        <w:t>طات السجن ومن النزيلات الأخريات</w:t>
      </w:r>
      <w:r w:rsidRPr="009367B2">
        <w:rPr>
          <w:spacing w:val="-2"/>
          <w:rtl/>
          <w:lang w:bidi="ar-EG"/>
        </w:rPr>
        <w:t xml:space="preserve">، (د) ومستوى انتشار الحساسية الجنسانية في أوساط سلطات السجن. وقد وجهت الدراسة توصية إلى وزارة الشؤون الداخلية لوضع معايير دنيا بشأن مسائل الأمن. وبناء عليه سوف يجري إنشاء </w:t>
      </w:r>
      <w:r w:rsidR="00D62BA8" w:rsidRPr="009367B2">
        <w:rPr>
          <w:spacing w:val="-2"/>
          <w:rtl/>
          <w:lang w:bidi="ar-EG"/>
        </w:rPr>
        <w:t>"</w:t>
      </w:r>
      <w:r w:rsidRPr="009367B2">
        <w:rPr>
          <w:spacing w:val="-2"/>
          <w:rtl/>
          <w:lang w:bidi="ar-EG"/>
        </w:rPr>
        <w:t>سجون نموذجية</w:t>
      </w:r>
      <w:r w:rsidR="00D62BA8" w:rsidRPr="009367B2">
        <w:rPr>
          <w:spacing w:val="-2"/>
          <w:rtl/>
          <w:lang w:bidi="ar-EG"/>
        </w:rPr>
        <w:t>"</w:t>
      </w:r>
      <w:r w:rsidRPr="009367B2">
        <w:rPr>
          <w:spacing w:val="-2"/>
          <w:rtl/>
          <w:lang w:bidi="ar-EG"/>
        </w:rPr>
        <w:t xml:space="preserve"> تتبع هذه المعايير الدنيا في المناطق الخمس.</w:t>
      </w:r>
    </w:p>
    <w:p w:rsidR="000B7434" w:rsidRDefault="000B7434" w:rsidP="009367B2">
      <w:pPr>
        <w:pStyle w:val="SingleTxtGA"/>
        <w:rPr>
          <w:rtl/>
          <w:lang w:bidi="ar-EG"/>
        </w:rPr>
      </w:pPr>
      <w:r>
        <w:rPr>
          <w:rtl/>
          <w:lang w:bidi="ar-EG"/>
        </w:rPr>
        <w:t>271-</w:t>
      </w:r>
      <w:r w:rsidR="009367B2">
        <w:rPr>
          <w:rFonts w:hint="cs"/>
          <w:rtl/>
          <w:lang w:bidi="ar-EG"/>
        </w:rPr>
        <w:tab/>
      </w:r>
      <w:r>
        <w:rPr>
          <w:rtl/>
          <w:lang w:bidi="ar-EG"/>
        </w:rPr>
        <w:t>وفي قضية</w:t>
      </w:r>
      <w:r w:rsidRPr="000D7E50">
        <w:rPr>
          <w:i/>
          <w:iCs/>
          <w:rtl/>
          <w:lang w:bidi="ar-EG"/>
        </w:rPr>
        <w:t xml:space="preserve"> المحامي راما بانتا خاريل وأخرين</w:t>
      </w:r>
      <w:r>
        <w:rPr>
          <w:rtl/>
          <w:lang w:bidi="ar-EG"/>
        </w:rPr>
        <w:t xml:space="preserve"> ضد </w:t>
      </w:r>
      <w:r w:rsidRPr="000D7E50">
        <w:rPr>
          <w:i/>
          <w:iCs/>
          <w:rtl/>
          <w:lang w:bidi="ar-EG"/>
        </w:rPr>
        <w:t>حكومة نيبال</w:t>
      </w:r>
      <w:r>
        <w:rPr>
          <w:i/>
          <w:iCs/>
          <w:rtl/>
          <w:lang w:bidi="ar-EG"/>
        </w:rPr>
        <w:t>،</w:t>
      </w:r>
      <w:r>
        <w:rPr>
          <w:rtl/>
          <w:lang w:bidi="ar-EG"/>
        </w:rPr>
        <w:t xml:space="preserve"> التي صدر الحكم فيها في 5 حزيران/يونيه 2008، أصدرت المحكمة العليا أمرا</w:t>
      </w:r>
      <w:r w:rsidR="00762AAB">
        <w:rPr>
          <w:rFonts w:hint="cs"/>
          <w:rtl/>
          <w:lang w:bidi="ar-EG"/>
        </w:rPr>
        <w:t>ً</w:t>
      </w:r>
      <w:r>
        <w:rPr>
          <w:rtl/>
          <w:lang w:bidi="ar-EG"/>
        </w:rPr>
        <w:t xml:space="preserve"> إيعازيا</w:t>
      </w:r>
      <w:r w:rsidR="00762AAB">
        <w:rPr>
          <w:rFonts w:hint="cs"/>
          <w:rtl/>
          <w:lang w:bidi="ar-EG"/>
        </w:rPr>
        <w:t>ً</w:t>
      </w:r>
      <w:r>
        <w:rPr>
          <w:rtl/>
          <w:lang w:bidi="ar-EG"/>
        </w:rPr>
        <w:t xml:space="preserve"> بتوفير الإدارة الصحية اللازمة للاعتناء بالنساء الحوامل في السجون. وفي أعقاب صدور قرار المحكمة هذا، بدأت الحكومة في إجراء برامج فحوص للصحة التناسلية وغيرها من المعالجة اللازمة للمحتجزات والسجينات اعتبارا</w:t>
      </w:r>
      <w:r w:rsidR="00762AAB">
        <w:rPr>
          <w:rFonts w:hint="cs"/>
          <w:rtl/>
          <w:lang w:bidi="ar-EG"/>
        </w:rPr>
        <w:t>ً</w:t>
      </w:r>
      <w:r>
        <w:rPr>
          <w:rtl/>
          <w:lang w:bidi="ar-EG"/>
        </w:rPr>
        <w:t xml:space="preserve"> من عام 2009.</w:t>
      </w:r>
    </w:p>
    <w:p w:rsidR="000B7434" w:rsidRPr="00C934C7" w:rsidRDefault="000B7434" w:rsidP="009367B2">
      <w:pPr>
        <w:pStyle w:val="H1GA"/>
        <w:rPr>
          <w:rtl/>
          <w:lang w:bidi="ar-EG"/>
        </w:rPr>
      </w:pPr>
      <w:r>
        <w:rPr>
          <w:rtl/>
          <w:lang w:bidi="ar-EG"/>
        </w:rPr>
        <w:tab/>
      </w:r>
      <w:r>
        <w:rPr>
          <w:rtl/>
          <w:lang w:bidi="ar-EG"/>
        </w:rPr>
        <w:tab/>
      </w:r>
      <w:r w:rsidRPr="00C934C7">
        <w:rPr>
          <w:rtl/>
          <w:lang w:bidi="ar-EG"/>
        </w:rPr>
        <w:t>استغلال الفتيات العاملات في علب ومطاعم الرقص</w:t>
      </w:r>
    </w:p>
    <w:p w:rsidR="000B7434" w:rsidRDefault="000B7434" w:rsidP="009367B2">
      <w:pPr>
        <w:pStyle w:val="SingleTxtGA"/>
        <w:rPr>
          <w:rtl/>
          <w:lang w:bidi="ar-EG"/>
        </w:rPr>
      </w:pPr>
      <w:r>
        <w:rPr>
          <w:rtl/>
          <w:lang w:bidi="ar-EG"/>
        </w:rPr>
        <w:t>272-</w:t>
      </w:r>
      <w:r w:rsidR="009367B2">
        <w:rPr>
          <w:rFonts w:hint="cs"/>
          <w:rtl/>
          <w:lang w:bidi="ar-EG"/>
        </w:rPr>
        <w:tab/>
      </w:r>
      <w:r>
        <w:rPr>
          <w:rtl/>
          <w:lang w:bidi="ar-EG"/>
        </w:rPr>
        <w:t xml:space="preserve">أجرت وزارة شؤون المرأة دراسة عن </w:t>
      </w:r>
      <w:r w:rsidR="00D62BA8">
        <w:rPr>
          <w:rtl/>
          <w:lang w:bidi="ar-EG"/>
        </w:rPr>
        <w:t>"</w:t>
      </w:r>
      <w:r>
        <w:rPr>
          <w:rtl/>
          <w:lang w:bidi="ar-EG"/>
        </w:rPr>
        <w:t>علب ومطاعم الرقص وصالات التدليك</w:t>
      </w:r>
      <w:r w:rsidR="00D62BA8">
        <w:rPr>
          <w:rtl/>
          <w:lang w:bidi="ar-EG"/>
        </w:rPr>
        <w:t>"</w:t>
      </w:r>
      <w:r>
        <w:rPr>
          <w:rtl/>
          <w:lang w:bidi="ar-EG"/>
        </w:rPr>
        <w:t xml:space="preserve"> أبرزت مشاكل النساء العاملات فيها وأوصت بحلول لتلك المشاكل. وقد نشرت الدراسة بمناسبة </w:t>
      </w:r>
      <w:r w:rsidR="00D62BA8">
        <w:rPr>
          <w:rtl/>
          <w:lang w:bidi="ar-EG"/>
        </w:rPr>
        <w:t>"</w:t>
      </w:r>
      <w:r>
        <w:rPr>
          <w:rtl/>
          <w:lang w:bidi="ar-EG"/>
        </w:rPr>
        <w:t>اليوم الوطني الثاني لمناهضة الاتجار بالأشخاص</w:t>
      </w:r>
      <w:r w:rsidR="00D62BA8">
        <w:rPr>
          <w:rtl/>
          <w:lang w:bidi="ar-EG"/>
        </w:rPr>
        <w:t>"</w:t>
      </w:r>
      <w:r>
        <w:rPr>
          <w:rtl/>
          <w:lang w:bidi="ar-EG"/>
        </w:rPr>
        <w:t xml:space="preserve"> في عام 2008. وتكشف الرسالة حالات الاعتداء والاستغلال الجنسي للفتيات العاملات في علب/مطاعم الرقص. وقد جوبهت هذه المسألة برفع التماس ضدها إلى المحكمة العليا من </w:t>
      </w:r>
      <w:r w:rsidRPr="00C934C7">
        <w:rPr>
          <w:i/>
          <w:iCs/>
          <w:rtl/>
          <w:lang w:bidi="ar-EG"/>
        </w:rPr>
        <w:t>براكاش ماني وآخرين</w:t>
      </w:r>
      <w:r>
        <w:rPr>
          <w:rtl/>
          <w:lang w:bidi="ar-EG"/>
        </w:rPr>
        <w:t xml:space="preserve"> ضد </w:t>
      </w:r>
      <w:r w:rsidRPr="00C934C7">
        <w:rPr>
          <w:i/>
          <w:iCs/>
          <w:rtl/>
          <w:lang w:bidi="ar-EG"/>
        </w:rPr>
        <w:t>وزارة شؤون المرأة وغيرها</w:t>
      </w:r>
      <w:r>
        <w:rPr>
          <w:rtl/>
          <w:lang w:bidi="ar-EG"/>
        </w:rPr>
        <w:t xml:space="preserve">، فصلت فيه المحكمة في 26 تشرين الثاني/نوفمبر 2008 وأصدرت أمر امتثال بسن تشريع لحماية حق النساء العاملات في مثل هذه الأماكن في العمل. وركزت المحكمة العليا على </w:t>
      </w:r>
      <w:r w:rsidR="00D62BA8">
        <w:rPr>
          <w:rtl/>
          <w:lang w:bidi="ar-EG"/>
        </w:rPr>
        <w:t>"</w:t>
      </w:r>
      <w:r>
        <w:rPr>
          <w:rtl/>
          <w:lang w:bidi="ar-EG"/>
        </w:rPr>
        <w:t>المعاملة الكريمة وتدابير الأمن للعاملات، وأصدرت أيضا</w:t>
      </w:r>
      <w:r w:rsidR="009367B2">
        <w:rPr>
          <w:rFonts w:hint="cs"/>
          <w:rtl/>
          <w:lang w:bidi="ar-EG"/>
        </w:rPr>
        <w:t>ً</w:t>
      </w:r>
      <w:r>
        <w:rPr>
          <w:rtl/>
          <w:lang w:bidi="ar-EG"/>
        </w:rPr>
        <w:t xml:space="preserve"> مبادئ توجيهية شاملة تتضمن عددا</w:t>
      </w:r>
      <w:r w:rsidR="003508B5">
        <w:rPr>
          <w:rFonts w:hint="cs"/>
          <w:rtl/>
          <w:lang w:bidi="ar-EG"/>
        </w:rPr>
        <w:t>ً</w:t>
      </w:r>
      <w:r>
        <w:rPr>
          <w:rtl/>
          <w:lang w:bidi="ar-EG"/>
        </w:rPr>
        <w:t xml:space="preserve"> من الأحكام المتعلقة بتسجيل المطاعم وصالات التدليك وإدارتها، وحفظ سجلات فردية للعاملات تتضمن، بين ما تتضمنه، تفاصيل عن اختصاصات العمل، والأجر، والبنى التحتية المادية، ومدى الأحكام الموضوعة لحظر الاعتداء أو التحرش أو الاستغلال الجنسي لهن. وفي الآونة الأخيرة أنشأت وزارة شؤون المرأة وقد أدركت أن التحرش الجنسي في مكان العمل مسألة ناشئة تثير قلقا</w:t>
      </w:r>
      <w:r w:rsidR="003508B5">
        <w:rPr>
          <w:rFonts w:hint="cs"/>
          <w:rtl/>
          <w:lang w:bidi="ar-EG"/>
        </w:rPr>
        <w:t>ً</w:t>
      </w:r>
      <w:r>
        <w:rPr>
          <w:rtl/>
          <w:lang w:bidi="ar-EG"/>
        </w:rPr>
        <w:t xml:space="preserve"> بالغا</w:t>
      </w:r>
      <w:r w:rsidR="003508B5">
        <w:rPr>
          <w:rFonts w:hint="cs"/>
          <w:rtl/>
          <w:lang w:bidi="ar-EG"/>
        </w:rPr>
        <w:t>ً</w:t>
      </w:r>
      <w:r>
        <w:rPr>
          <w:rtl/>
          <w:lang w:bidi="ar-EG"/>
        </w:rPr>
        <w:t>، فرقة عمل تضم ممثلين من مختلف الوزارات العاملة ذات الصلة. ويجري الآن العمل على وضع قانون لمكافحة التحرش الجنسي في مكان العمل.</w:t>
      </w:r>
    </w:p>
    <w:p w:rsidR="000B7434" w:rsidRDefault="000B7434" w:rsidP="003508B5">
      <w:pPr>
        <w:pStyle w:val="SingleTxtGA"/>
        <w:rPr>
          <w:rtl/>
          <w:lang w:bidi="ar-EG"/>
        </w:rPr>
      </w:pPr>
      <w:r>
        <w:rPr>
          <w:rtl/>
          <w:lang w:bidi="ar-EG"/>
        </w:rPr>
        <w:t>273-</w:t>
      </w:r>
      <w:r w:rsidR="00BE13D2">
        <w:rPr>
          <w:rFonts w:hint="cs"/>
          <w:rtl/>
          <w:lang w:bidi="ar-EG"/>
        </w:rPr>
        <w:tab/>
      </w:r>
      <w:r>
        <w:rPr>
          <w:rtl/>
          <w:lang w:bidi="ar-EG"/>
        </w:rPr>
        <w:t>ومع التغيير السياسي أصبحت نيبال مشتركة بصورة كاملة في وضع دستور جديد ع</w:t>
      </w:r>
      <w:r w:rsidR="001F398E">
        <w:rPr>
          <w:rtl/>
          <w:lang w:bidi="ar-EG"/>
        </w:rPr>
        <w:t>ن طريق جمعية تأسيسية انتخ</w:t>
      </w:r>
      <w:r w:rsidR="001F398E">
        <w:rPr>
          <w:rFonts w:hint="cs"/>
          <w:rtl/>
          <w:lang w:bidi="ar-EG"/>
        </w:rPr>
        <w:t>بت</w:t>
      </w:r>
      <w:r>
        <w:rPr>
          <w:rtl/>
          <w:lang w:bidi="ar-EG"/>
        </w:rPr>
        <w:t xml:space="preserve"> بطريقة ديمقراطية. ومن مهام المستقبل الرئيسية إعادة تشكيل هيكل الدولة بحيث يصبح شموليا</w:t>
      </w:r>
      <w:r w:rsidR="000C6FCD">
        <w:rPr>
          <w:rFonts w:hint="cs"/>
          <w:rtl/>
          <w:lang w:bidi="ar-EG"/>
        </w:rPr>
        <w:t>ً</w:t>
      </w:r>
      <w:r>
        <w:rPr>
          <w:rtl/>
          <w:lang w:bidi="ar-EG"/>
        </w:rPr>
        <w:t xml:space="preserve"> وعادلا</w:t>
      </w:r>
      <w:r w:rsidR="000C6FCD">
        <w:rPr>
          <w:rFonts w:hint="cs"/>
          <w:rtl/>
          <w:lang w:bidi="ar-EG"/>
        </w:rPr>
        <w:t>ً</w:t>
      </w:r>
      <w:r>
        <w:rPr>
          <w:rtl/>
          <w:lang w:bidi="ar-EG"/>
        </w:rPr>
        <w:t xml:space="preserve"> وديمقراطيا</w:t>
      </w:r>
      <w:r w:rsidR="000C6FCD">
        <w:rPr>
          <w:rFonts w:hint="cs"/>
          <w:rtl/>
          <w:lang w:bidi="ar-EG"/>
        </w:rPr>
        <w:t>ً</w:t>
      </w:r>
      <w:r>
        <w:rPr>
          <w:rtl/>
          <w:lang w:bidi="ar-EG"/>
        </w:rPr>
        <w:t>. وفي الوقت ذاته فإن مسألة إضفاء الطابع المؤسسي على حقوق المرأة والطفلة تستحوذ على قدر كبير من الاهتمام والانتباه من قبل الجميع في البلد. وقد شكلت الجمعية التأسيسية أيضا</w:t>
      </w:r>
      <w:r w:rsidR="003508B5">
        <w:rPr>
          <w:rFonts w:hint="cs"/>
          <w:rtl/>
          <w:lang w:bidi="ar-EG"/>
        </w:rPr>
        <w:t>ً</w:t>
      </w:r>
      <w:r>
        <w:rPr>
          <w:rtl/>
          <w:lang w:bidi="ar-EG"/>
        </w:rPr>
        <w:t xml:space="preserve"> لجنة معنية بصورة محددة بشؤون المرأة والطفل والرعاية الاجتماعية سوف تركز على مسائل حقوق المرأة والطفل والفئات الأخرى المحرومة اجتماعيا</w:t>
      </w:r>
      <w:r w:rsidR="003508B5">
        <w:rPr>
          <w:rFonts w:hint="cs"/>
          <w:rtl/>
          <w:lang w:bidi="ar-EG"/>
        </w:rPr>
        <w:t>ً</w:t>
      </w:r>
      <w:r>
        <w:rPr>
          <w:rtl/>
          <w:lang w:bidi="ar-EG"/>
        </w:rPr>
        <w:t xml:space="preserve"> واقتصاديا</w:t>
      </w:r>
      <w:r w:rsidR="003508B5">
        <w:rPr>
          <w:rFonts w:hint="cs"/>
          <w:rtl/>
          <w:lang w:bidi="ar-EG"/>
        </w:rPr>
        <w:t>ً</w:t>
      </w:r>
      <w:r>
        <w:rPr>
          <w:rtl/>
          <w:lang w:bidi="ar-EG"/>
        </w:rPr>
        <w:t>. وسوف تجري هذه اللجنة وتشجع مشاورات واسعة مع جميع أصحاب المصلحة ومع المجتمع المدني بحيث تكفل الضمان الكافي لحقوق المرأة في الدستور الجديد لجمهورية نيبال الاتحادية الديمقراطية.</w:t>
      </w:r>
    </w:p>
    <w:p w:rsidR="000B7434" w:rsidRDefault="00BE13D2" w:rsidP="003508B5">
      <w:pPr>
        <w:pStyle w:val="HChGA"/>
        <w:spacing w:before="120"/>
        <w:rPr>
          <w:rFonts w:hint="cs"/>
          <w:rtl/>
          <w:lang w:bidi="ar-EG"/>
        </w:rPr>
      </w:pPr>
      <w:r>
        <w:rPr>
          <w:rtl/>
          <w:lang w:bidi="ar-EG"/>
        </w:rPr>
        <w:br w:type="page"/>
      </w:r>
      <w:r w:rsidR="000B7434">
        <w:rPr>
          <w:rtl/>
          <w:lang w:bidi="ar-EG"/>
        </w:rPr>
        <w:tab/>
      </w:r>
      <w:r w:rsidR="000B7434">
        <w:rPr>
          <w:rtl/>
          <w:lang w:bidi="ar-EG"/>
        </w:rPr>
        <w:tab/>
        <w:t>ثبت المراجع</w:t>
      </w:r>
    </w:p>
    <w:p w:rsidR="000B7434" w:rsidRPr="005272A6" w:rsidRDefault="000B7434" w:rsidP="003508B5">
      <w:pPr>
        <w:pStyle w:val="SingleTxtG"/>
        <w:spacing w:before="120"/>
        <w:jc w:val="lowKashida"/>
      </w:pPr>
      <w:r w:rsidRPr="005272A6">
        <w:t>A Compilation of Gender Justice Related Cases, UNIFEM / Pro Public, 2004.</w:t>
      </w:r>
    </w:p>
    <w:p w:rsidR="000B7434" w:rsidRPr="005272A6" w:rsidRDefault="000B7434" w:rsidP="003508B5">
      <w:pPr>
        <w:pStyle w:val="SingleTxtG"/>
        <w:jc w:val="lowKashida"/>
      </w:pPr>
      <w:r w:rsidRPr="005272A6">
        <w:t>A Guide to Streamlining of Environmental Impact Assessment Approval Process, Government of Nepal Ministry of Environment, Science and Technology, September 2006.</w:t>
      </w:r>
    </w:p>
    <w:p w:rsidR="000B7434" w:rsidRPr="005272A6" w:rsidRDefault="000B7434" w:rsidP="003508B5">
      <w:pPr>
        <w:pStyle w:val="SingleTxtG"/>
        <w:jc w:val="lowKashida"/>
      </w:pPr>
      <w:r w:rsidRPr="005272A6">
        <w:t>A Handbook on Licensing and Environment Assessment Process for Hydropower Development in Nepal, Government of Nepal Ministry of Environment, Science and Technology, September 2006.</w:t>
      </w:r>
    </w:p>
    <w:p w:rsidR="000B7434" w:rsidRPr="005272A6" w:rsidRDefault="000B7434" w:rsidP="003508B5">
      <w:pPr>
        <w:pStyle w:val="SingleTxtG"/>
        <w:jc w:val="lowKashida"/>
      </w:pPr>
      <w:r w:rsidRPr="005272A6">
        <w:t>A Strategic Implementation Plan for Gender Equality in Girls’ Education, The Government of Nepal Ministry of Education and Sports, Department of Education, July 2007.</w:t>
      </w:r>
    </w:p>
    <w:p w:rsidR="000B7434" w:rsidRPr="005272A6" w:rsidRDefault="000B7434" w:rsidP="003508B5">
      <w:pPr>
        <w:pStyle w:val="SingleTxtG"/>
        <w:jc w:val="lowKashida"/>
      </w:pPr>
      <w:r w:rsidRPr="005272A6">
        <w:t xml:space="preserve">A Study Report on Cabin, Dance Restaurant and Massage Parlor Government of </w:t>
      </w:r>
      <w:smartTag w:uri="urn:schemas-microsoft-com:office:smarttags" w:element="place">
        <w:smartTag w:uri="urn:schemas-microsoft-com:office:smarttags" w:element="country-region">
          <w:r w:rsidRPr="005272A6">
            <w:t>Nepal</w:t>
          </w:r>
        </w:smartTag>
      </w:smartTag>
      <w:r w:rsidRPr="005272A6">
        <w:t>, Ministry of Women, Children and Social Welfare, 2008.</w:t>
      </w:r>
    </w:p>
    <w:p w:rsidR="000B7434" w:rsidRPr="005272A6" w:rsidRDefault="000B7434" w:rsidP="003508B5">
      <w:pPr>
        <w:pStyle w:val="SingleTxtG"/>
        <w:jc w:val="lowKashida"/>
      </w:pPr>
      <w:r w:rsidRPr="005272A6">
        <w:t>ADB Basic Statistics 2008, Economics and Research Department Development Indicators and Policy Research Division, May 2008.</w:t>
      </w:r>
    </w:p>
    <w:p w:rsidR="000B7434" w:rsidRPr="005272A6" w:rsidRDefault="000B7434" w:rsidP="003508B5">
      <w:pPr>
        <w:pStyle w:val="SingleTxtG"/>
        <w:jc w:val="lowKashida"/>
      </w:pPr>
      <w:r w:rsidRPr="005272A6">
        <w:t>An Assessment of Human Rights Protection Mechanism at Police Women &amp; Children Cell in Nepal, National Human Rights Commission office of the National Rapporteur on Trafficking in Women and Children, December 2004.</w:t>
      </w:r>
    </w:p>
    <w:p w:rsidR="000B7434" w:rsidRPr="005272A6" w:rsidRDefault="000B7434" w:rsidP="003508B5">
      <w:pPr>
        <w:pStyle w:val="SingleTxtG"/>
        <w:jc w:val="lowKashida"/>
      </w:pPr>
      <w:r w:rsidRPr="005272A6">
        <w:t>Annual Report of Press Council Nepal 2007.</w:t>
      </w:r>
    </w:p>
    <w:p w:rsidR="000B7434" w:rsidRPr="005272A6" w:rsidRDefault="000B7434" w:rsidP="003508B5">
      <w:pPr>
        <w:pStyle w:val="SingleTxtG"/>
        <w:jc w:val="lowKashida"/>
      </w:pPr>
      <w:r w:rsidRPr="005272A6">
        <w:t>Annual Report of Women Development Department 2006/07), Government of Nepal Ministry of Women, Children and Social Welfare, Women Development Department.</w:t>
      </w:r>
    </w:p>
    <w:p w:rsidR="000B7434" w:rsidRPr="005272A6" w:rsidRDefault="000B7434" w:rsidP="003508B5">
      <w:pPr>
        <w:pStyle w:val="SingleTxtG"/>
        <w:jc w:val="lowKashida"/>
      </w:pPr>
      <w:r w:rsidRPr="005272A6">
        <w:t xml:space="preserve">Annual Report, Department of Health Service 2062/63 (2005/2006), Government of Nepal Ministry of Health and Population Department of Health Services </w:t>
      </w:r>
      <w:smartTag w:uri="urn:schemas-microsoft-com:office:smarttags" w:element="place">
        <w:r w:rsidRPr="005272A6">
          <w:t>Kathmandu</w:t>
        </w:r>
      </w:smartTag>
      <w:r w:rsidRPr="005272A6">
        <w:t>, 2007.</w:t>
      </w:r>
    </w:p>
    <w:p w:rsidR="000B7434" w:rsidRPr="005272A6" w:rsidRDefault="000B7434" w:rsidP="003508B5">
      <w:pPr>
        <w:pStyle w:val="SingleTxtG"/>
        <w:jc w:val="lowKashida"/>
      </w:pPr>
      <w:smartTag w:uri="urn:schemas-microsoft-com:office:smarttags" w:element="City">
        <w:r w:rsidRPr="005272A6">
          <w:t>Beijing</w:t>
        </w:r>
      </w:smartTag>
      <w:r w:rsidRPr="005272A6">
        <w:t xml:space="preserve"> and Beyond </w:t>
      </w:r>
      <w:smartTag w:uri="urn:schemas-microsoft-com:office:smarttags" w:element="City">
        <w:r w:rsidRPr="005272A6">
          <w:t>Beijing</w:t>
        </w:r>
      </w:smartTag>
      <w:r w:rsidRPr="005272A6">
        <w:t xml:space="preserve"> + 10 NGO Country Report, Beyond </w:t>
      </w:r>
      <w:smartTag w:uri="urn:schemas-microsoft-com:office:smarttags" w:element="place">
        <w:smartTag w:uri="urn:schemas-microsoft-com:office:smarttags" w:element="City">
          <w:r w:rsidRPr="005272A6">
            <w:t>Beijing</w:t>
          </w:r>
        </w:smartTag>
      </w:smartTag>
      <w:r w:rsidRPr="005272A6">
        <w:t xml:space="preserve"> Committee, 2005.</w:t>
      </w:r>
    </w:p>
    <w:p w:rsidR="000B7434" w:rsidRPr="005272A6" w:rsidRDefault="000B7434" w:rsidP="003508B5">
      <w:pPr>
        <w:pStyle w:val="SingleTxtG"/>
        <w:jc w:val="lowKashida"/>
      </w:pPr>
      <w:r w:rsidRPr="005272A6">
        <w:t>Budget Speech of Fiscal Year, Ministry of Finance, 2008.</w:t>
      </w:r>
    </w:p>
    <w:p w:rsidR="000B7434" w:rsidRPr="005272A6" w:rsidRDefault="000B7434" w:rsidP="003508B5">
      <w:pPr>
        <w:pStyle w:val="SingleTxtG"/>
        <w:jc w:val="lowKashida"/>
      </w:pPr>
      <w:r w:rsidRPr="005272A6">
        <w:t>Child Marriage: Legal Response, FWLD/UNIFEM, July 2007.</w:t>
      </w:r>
    </w:p>
    <w:p w:rsidR="000B7434" w:rsidRPr="005272A6" w:rsidRDefault="000B7434" w:rsidP="003508B5">
      <w:pPr>
        <w:pStyle w:val="SingleTxtG"/>
        <w:jc w:val="lowKashida"/>
      </w:pPr>
      <w:r w:rsidRPr="005272A6">
        <w:t xml:space="preserve">Code of Journalistic Ethics-2003, Press Council </w:t>
      </w:r>
      <w:smartTag w:uri="urn:schemas-microsoft-com:office:smarttags" w:element="place">
        <w:smartTag w:uri="urn:schemas-microsoft-com:office:smarttags" w:element="country-region">
          <w:r w:rsidRPr="005272A6">
            <w:t>Nepal</w:t>
          </w:r>
        </w:smartTag>
      </w:smartTag>
      <w:r w:rsidRPr="005272A6">
        <w:t>, 2007.</w:t>
      </w:r>
    </w:p>
    <w:p w:rsidR="000B7434" w:rsidRPr="005272A6" w:rsidRDefault="000B7434" w:rsidP="003508B5">
      <w:pPr>
        <w:pStyle w:val="SingleTxtG"/>
        <w:jc w:val="lowKashida"/>
      </w:pPr>
      <w:r w:rsidRPr="005272A6">
        <w:t>Comprehensive Peace Accord 2006, Peace Committee Peace Secretariat, 2006.</w:t>
      </w:r>
    </w:p>
    <w:p w:rsidR="000B7434" w:rsidRPr="005272A6" w:rsidRDefault="000B7434" w:rsidP="003508B5">
      <w:pPr>
        <w:pStyle w:val="SingleTxtG"/>
        <w:jc w:val="lowKashida"/>
      </w:pPr>
      <w:r w:rsidRPr="005272A6">
        <w:t xml:space="preserve">Demographic and Health Survey, 2006, Government of Nepal Ministry of Health and Population Department of Health Services </w:t>
      </w:r>
      <w:smartTag w:uri="urn:schemas-microsoft-com:office:smarttags" w:element="place">
        <w:r w:rsidRPr="005272A6">
          <w:t>Kathmandu</w:t>
        </w:r>
      </w:smartTag>
      <w:r w:rsidRPr="005272A6">
        <w:t>, May 2007.</w:t>
      </w:r>
    </w:p>
    <w:p w:rsidR="000B7434" w:rsidRPr="005272A6" w:rsidRDefault="000B7434" w:rsidP="003508B5">
      <w:pPr>
        <w:pStyle w:val="SingleTxtG"/>
        <w:jc w:val="lowKashida"/>
      </w:pPr>
      <w:r w:rsidRPr="005272A6">
        <w:t xml:space="preserve">Dr. Meena Acharya, Future Constitution and Women’s Empowerment, </w:t>
      </w:r>
      <w:r w:rsidRPr="005272A6">
        <w:rPr>
          <w:i/>
          <w:iCs/>
        </w:rPr>
        <w:t>Tanka Prasad Acharya Smriti Pratisthan</w:t>
      </w:r>
      <w:r w:rsidRPr="005272A6">
        <w:t>/Friedrich Ebert Stiftung/Sahavagi.</w:t>
      </w:r>
    </w:p>
    <w:p w:rsidR="000B7434" w:rsidRPr="005272A6" w:rsidRDefault="000B7434" w:rsidP="003508B5">
      <w:pPr>
        <w:pStyle w:val="SingleTxtG"/>
        <w:jc w:val="lowKashida"/>
      </w:pPr>
      <w:r w:rsidRPr="005272A6">
        <w:t>Flash Report of Education, Ministry of Education 2007/08.</w:t>
      </w:r>
    </w:p>
    <w:p w:rsidR="000B7434" w:rsidRPr="005272A6" w:rsidRDefault="000B7434" w:rsidP="003508B5">
      <w:pPr>
        <w:pStyle w:val="SingleTxtG"/>
        <w:jc w:val="lowKashida"/>
      </w:pPr>
      <w:r w:rsidRPr="005272A6">
        <w:t>Gender Assessment and Gender Budget Audit in Seven Ministries , Government of Nepal Ministry of Women, Children and Social Welfare/UNIFEM, June 2008.</w:t>
      </w:r>
    </w:p>
    <w:p w:rsidR="000B7434" w:rsidRPr="005272A6" w:rsidRDefault="000B7434" w:rsidP="003508B5">
      <w:pPr>
        <w:pStyle w:val="SingleTxtG"/>
        <w:jc w:val="lowKashida"/>
      </w:pPr>
      <w:r w:rsidRPr="005272A6">
        <w:t>Gender Disaggregated Statistics, National Women Commission, 2008.</w:t>
      </w:r>
    </w:p>
    <w:p w:rsidR="000B7434" w:rsidRPr="005272A6" w:rsidRDefault="000B7434" w:rsidP="003508B5">
      <w:pPr>
        <w:pStyle w:val="SingleTxtG"/>
        <w:jc w:val="lowKashida"/>
      </w:pPr>
      <w:r w:rsidRPr="005272A6">
        <w:t xml:space="preserve">Gender Equality and Empowerment of Women in </w:t>
      </w:r>
      <w:smartTag w:uri="urn:schemas-microsoft-com:office:smarttags" w:element="place">
        <w:smartTag w:uri="urn:schemas-microsoft-com:office:smarttags" w:element="country-region">
          <w:r w:rsidRPr="005272A6">
            <w:t>Nepal</w:t>
          </w:r>
        </w:smartTag>
      </w:smartTag>
      <w:r w:rsidRPr="005272A6">
        <w:t>, UNFPA, 2007.</w:t>
      </w:r>
    </w:p>
    <w:p w:rsidR="000B7434" w:rsidRPr="005272A6" w:rsidRDefault="000B7434" w:rsidP="003508B5">
      <w:pPr>
        <w:pStyle w:val="SingleTxtG"/>
        <w:jc w:val="lowKashida"/>
      </w:pPr>
      <w:r w:rsidRPr="005272A6">
        <w:t>Gender Responsive Budget, The Government of Nepal Ministry of Finance, 2008.</w:t>
      </w:r>
    </w:p>
    <w:p w:rsidR="000B7434" w:rsidRPr="005272A6" w:rsidRDefault="000B7434" w:rsidP="003508B5">
      <w:pPr>
        <w:pStyle w:val="SingleTxtG"/>
        <w:jc w:val="lowKashida"/>
      </w:pPr>
      <w:r w:rsidRPr="005272A6">
        <w:t xml:space="preserve">Girl Child: National Consultation, Beyond </w:t>
      </w:r>
      <w:smartTag w:uri="urn:schemas-microsoft-com:office:smarttags" w:element="place">
        <w:smartTag w:uri="urn:schemas-microsoft-com:office:smarttags" w:element="City">
          <w:r w:rsidRPr="005272A6">
            <w:t>Beijing</w:t>
          </w:r>
        </w:smartTag>
      </w:smartTag>
      <w:r w:rsidRPr="005272A6">
        <w:t xml:space="preserve"> Committee, 4–7 September, 2007.</w:t>
      </w:r>
    </w:p>
    <w:p w:rsidR="000B7434" w:rsidRPr="005272A6" w:rsidRDefault="000B7434" w:rsidP="003508B5">
      <w:pPr>
        <w:pStyle w:val="SingleTxtG"/>
        <w:jc w:val="lowKashida"/>
      </w:pPr>
      <w:r w:rsidRPr="005272A6">
        <w:t>Implementation of the UN Convention to Combat Desertification Third National Report Nepal, Government of Nepal Ministry of Environment, Science and Technology, Kathmandu, August 2006.</w:t>
      </w:r>
    </w:p>
    <w:p w:rsidR="000B7434" w:rsidRPr="005272A6" w:rsidRDefault="000B7434" w:rsidP="003508B5">
      <w:pPr>
        <w:pStyle w:val="SingleTxtG"/>
        <w:jc w:val="lowKashida"/>
      </w:pPr>
      <w:r w:rsidRPr="005272A6">
        <w:t>Information Technology for Development IT Policy and Strategy Papers for Nepal, His Majesty’s Government of Nepal National Planning Commission Secretariat, Kathmandu, Nepal, 2001.</w:t>
      </w:r>
    </w:p>
    <w:p w:rsidR="000B7434" w:rsidRPr="005272A6" w:rsidRDefault="000B7434" w:rsidP="003508B5">
      <w:pPr>
        <w:pStyle w:val="SingleTxtG"/>
        <w:jc w:val="lowKashida"/>
      </w:pPr>
      <w:r w:rsidRPr="005272A6">
        <w:t>Local Bodies Gender Budget Audit Guideline 2008, Government of Nepal Ministry of Local Development, 2008.</w:t>
      </w:r>
    </w:p>
    <w:p w:rsidR="000B7434" w:rsidRPr="005272A6" w:rsidRDefault="000B7434" w:rsidP="003508B5">
      <w:pPr>
        <w:pStyle w:val="SingleTxtG"/>
        <w:jc w:val="lowKashida"/>
      </w:pPr>
      <w:r w:rsidRPr="005272A6">
        <w:t xml:space="preserve">MDG Indicators of </w:t>
      </w:r>
      <w:smartTag w:uri="urn:schemas-microsoft-com:office:smarttags" w:element="country-region">
        <w:r w:rsidRPr="005272A6">
          <w:t>Nepal</w:t>
        </w:r>
      </w:smartTag>
      <w:r w:rsidRPr="005272A6">
        <w:t xml:space="preserve"> (1990/91–2005/06), Government of </w:t>
      </w:r>
      <w:smartTag w:uri="urn:schemas-microsoft-com:office:smarttags" w:element="place">
        <w:smartTag w:uri="urn:schemas-microsoft-com:office:smarttags" w:element="country-region">
          <w:r w:rsidRPr="005272A6">
            <w:t>Nepal</w:t>
          </w:r>
        </w:smartTag>
      </w:smartTag>
      <w:r w:rsidRPr="005272A6">
        <w:t xml:space="preserve"> National Planning Commission Secretariat, Central Bureau of Statistics, November 2006.</w:t>
      </w:r>
    </w:p>
    <w:p w:rsidR="000B7434" w:rsidRPr="005272A6" w:rsidRDefault="000B7434" w:rsidP="003508B5">
      <w:pPr>
        <w:pStyle w:val="SingleTxtG"/>
        <w:jc w:val="lowKashida"/>
      </w:pPr>
      <w:r w:rsidRPr="005272A6">
        <w:t>Monitoring of the Management of Arms and Armies 2006, Peace Secretariat, December 2006.</w:t>
      </w:r>
    </w:p>
    <w:p w:rsidR="000B7434" w:rsidRPr="005272A6" w:rsidRDefault="000B7434" w:rsidP="003508B5">
      <w:pPr>
        <w:pStyle w:val="SingleTxtG"/>
        <w:jc w:val="lowKashida"/>
      </w:pPr>
      <w:r w:rsidRPr="005272A6">
        <w:t>National Plan of Action 2060 on CEDAW, Government of Nepal , Ministry of Women, Children and Welfare, 2</w:t>
      </w:r>
      <w:r w:rsidRPr="005272A6">
        <w:rPr>
          <w:vertAlign w:val="superscript"/>
        </w:rPr>
        <w:t>nd</w:t>
      </w:r>
      <w:r w:rsidRPr="005272A6">
        <w:t xml:space="preserve"> Edition 2008 (2065).</w:t>
      </w:r>
    </w:p>
    <w:p w:rsidR="000B7434" w:rsidRPr="005272A6" w:rsidRDefault="000B7434" w:rsidP="003508B5">
      <w:pPr>
        <w:pStyle w:val="SingleTxtG"/>
        <w:jc w:val="lowKashida"/>
      </w:pPr>
      <w:r w:rsidRPr="005272A6">
        <w:t>National Policies on Internally Displaced Persons 2063 (2007), Government of Nepal Ministry of Peace &amp; Reconstruction, 2007.</w:t>
      </w:r>
    </w:p>
    <w:p w:rsidR="000B7434" w:rsidRPr="005272A6" w:rsidRDefault="000B7434" w:rsidP="003508B5">
      <w:pPr>
        <w:pStyle w:val="SingleTxtG"/>
        <w:jc w:val="lowKashida"/>
      </w:pPr>
      <w:r w:rsidRPr="005272A6">
        <w:t>National Women Commission Act, 2063 (2007).</w:t>
      </w:r>
    </w:p>
    <w:p w:rsidR="000B7434" w:rsidRPr="005272A6" w:rsidRDefault="000B7434" w:rsidP="003508B5">
      <w:pPr>
        <w:pStyle w:val="SingleTxtG"/>
        <w:jc w:val="lowKashida"/>
      </w:pPr>
      <w:r w:rsidRPr="005272A6">
        <w:t xml:space="preserve">NGO Country </w:t>
      </w:r>
      <w:smartTag w:uri="urn:schemas-microsoft-com:office:smarttags" w:element="City">
        <w:r w:rsidRPr="005272A6">
          <w:t>Report</w:t>
        </w:r>
      </w:smartTag>
      <w:r w:rsidRPr="005272A6">
        <w:t xml:space="preserve">, </w:t>
      </w:r>
      <w:smartTag w:uri="urn:schemas-microsoft-com:office:smarttags" w:element="country-region">
        <w:r w:rsidRPr="005272A6">
          <w:t>Nepal</w:t>
        </w:r>
      </w:smartTag>
      <w:r w:rsidRPr="005272A6">
        <w:t xml:space="preserve">, Monitoring Platform, Pledge and Performance, Beyond </w:t>
      </w:r>
      <w:smartTag w:uri="urn:schemas-microsoft-com:office:smarttags" w:element="place">
        <w:smartTag w:uri="urn:schemas-microsoft-com:office:smarttags" w:element="City">
          <w:r w:rsidRPr="005272A6">
            <w:t>Beijing</w:t>
          </w:r>
        </w:smartTag>
      </w:smartTag>
      <w:r w:rsidRPr="005272A6">
        <w:t xml:space="preserve"> Committee, Second Edition, 2003.</w:t>
      </w:r>
    </w:p>
    <w:p w:rsidR="000B7434" w:rsidRPr="005272A6" w:rsidRDefault="000B7434" w:rsidP="003508B5">
      <w:pPr>
        <w:pStyle w:val="SingleTxtG"/>
        <w:jc w:val="lowKashida"/>
      </w:pPr>
      <w:r w:rsidRPr="005272A6">
        <w:t>Population Census Results in Gender Perspective — Population Census 2001 — Vol. 1&amp;2. His Majesty’s Government National Planning Commission Secretariat Central Bureau of Statistic/UNIFEM.</w:t>
      </w:r>
    </w:p>
    <w:p w:rsidR="000B7434" w:rsidRPr="005272A6" w:rsidRDefault="000B7434" w:rsidP="003508B5">
      <w:pPr>
        <w:pStyle w:val="SingleTxtG"/>
        <w:jc w:val="lowKashida"/>
      </w:pPr>
      <w:r w:rsidRPr="005272A6">
        <w:t>Procedures of Information Department, Government of Nepal Ministry of Information &amp; Communication, Information Department, 2006.</w:t>
      </w:r>
    </w:p>
    <w:p w:rsidR="000B7434" w:rsidRPr="005272A6" w:rsidRDefault="000B7434" w:rsidP="003508B5">
      <w:pPr>
        <w:pStyle w:val="SingleTxtG"/>
        <w:jc w:val="lowKashida"/>
      </w:pPr>
      <w:r w:rsidRPr="005272A6">
        <w:t>Progress in Sexual and Reproductive Health Research, UNDP/UNFPA/WHO/World Bank, No. 73, 2006.</w:t>
      </w:r>
    </w:p>
    <w:p w:rsidR="000B7434" w:rsidRPr="005272A6" w:rsidRDefault="000B7434" w:rsidP="003508B5">
      <w:pPr>
        <w:pStyle w:val="SingleTxtG"/>
        <w:jc w:val="lowKashida"/>
      </w:pPr>
      <w:r w:rsidRPr="005272A6">
        <w:t xml:space="preserve">Progress Report of Peace Found Project, Peace Fund Secretariat, Ministry of Finance, r </w:t>
      </w:r>
      <w:smartTag w:uri="urn:schemas-microsoft-com:office:smarttags" w:element="date">
        <w:smartTagPr>
          <w:attr w:name="Month" w:val="10"/>
          <w:attr w:name="Day" w:val="2"/>
          <w:attr w:name="Year" w:val="2007"/>
        </w:smartTagPr>
        <w:r w:rsidRPr="005272A6">
          <w:t>2</w:t>
        </w:r>
        <w:r w:rsidRPr="005272A6">
          <w:rPr>
            <w:vertAlign w:val="superscript"/>
          </w:rPr>
          <w:t>nd</w:t>
        </w:r>
        <w:r w:rsidRPr="005272A6">
          <w:t xml:space="preserve"> October 2007</w:t>
        </w:r>
      </w:smartTag>
      <w:r w:rsidRPr="005272A6">
        <w:t>.</w:t>
      </w:r>
    </w:p>
    <w:p w:rsidR="000B7434" w:rsidRPr="005272A6" w:rsidRDefault="000B7434" w:rsidP="003508B5">
      <w:pPr>
        <w:pStyle w:val="SingleTxtG"/>
        <w:jc w:val="lowKashida"/>
      </w:pPr>
      <w:r w:rsidRPr="005272A6">
        <w:t xml:space="preserve">School Level Educational Statistics on </w:t>
      </w:r>
      <w:smartTag w:uri="urn:schemas-microsoft-com:office:smarttags" w:element="place">
        <w:smartTag w:uri="urn:schemas-microsoft-com:office:smarttags" w:element="country-region">
          <w:r w:rsidRPr="005272A6">
            <w:t>Nepal</w:t>
          </w:r>
        </w:smartTag>
      </w:smartTag>
      <w:r w:rsidRPr="005272A6">
        <w:t xml:space="preserve"> Consolidated Report 2006, Government of Nepal Ministry of Education and Sports, Department of Education, June 2007.</w:t>
      </w:r>
    </w:p>
    <w:p w:rsidR="000B7434" w:rsidRPr="005272A6" w:rsidRDefault="000B7434" w:rsidP="003508B5">
      <w:pPr>
        <w:pStyle w:val="SingleTxtG"/>
        <w:jc w:val="lowKashida"/>
      </w:pPr>
      <w:r w:rsidRPr="005272A6">
        <w:t xml:space="preserve">Some Statistical Facts on Nepalese Women: 2007, Government of </w:t>
      </w:r>
      <w:smartTag w:uri="urn:schemas-microsoft-com:office:smarttags" w:element="place">
        <w:smartTag w:uri="urn:schemas-microsoft-com:office:smarttags" w:element="country-region">
          <w:r w:rsidRPr="005272A6">
            <w:t>Nepal</w:t>
          </w:r>
        </w:smartTag>
      </w:smartTag>
      <w:r w:rsidRPr="005272A6">
        <w:t>, National Planning Commission Secretariat, Central Bureau of Statistics, March 2007.</w:t>
      </w:r>
    </w:p>
    <w:p w:rsidR="000B7434" w:rsidRPr="005272A6" w:rsidRDefault="000B7434" w:rsidP="003508B5">
      <w:pPr>
        <w:pStyle w:val="SingleTxtG"/>
        <w:jc w:val="lowKashida"/>
      </w:pPr>
      <w:r w:rsidRPr="005272A6">
        <w:t>Support to the Safe Motherhood Programme (Leaflet), Support to the Safe Motherhood Programme, Department of Health Services/DFID.</w:t>
      </w:r>
    </w:p>
    <w:p w:rsidR="000B7434" w:rsidRPr="005272A6" w:rsidRDefault="000B7434" w:rsidP="003508B5">
      <w:pPr>
        <w:pStyle w:val="SingleTxtG"/>
        <w:jc w:val="lowKashida"/>
      </w:pPr>
      <w:r w:rsidRPr="005272A6">
        <w:t xml:space="preserve">The Constitution of the </w:t>
      </w:r>
      <w:smartTag w:uri="urn:schemas-microsoft-com:office:smarttags" w:element="place">
        <w:smartTag w:uri="urn:schemas-microsoft-com:office:smarttags" w:element="PlaceType">
          <w:r w:rsidRPr="005272A6">
            <w:t>Kingdom</w:t>
          </w:r>
        </w:smartTag>
        <w:r w:rsidRPr="005272A6">
          <w:t xml:space="preserve"> of </w:t>
        </w:r>
        <w:smartTag w:uri="urn:schemas-microsoft-com:office:smarttags" w:element="PlaceName">
          <w:r w:rsidRPr="005272A6">
            <w:t>Nepal</w:t>
          </w:r>
        </w:smartTag>
      </w:smartTag>
      <w:r w:rsidRPr="005272A6">
        <w:t xml:space="preserve"> 2047 (1990), Ministry of Law, Justice and Parliamentary Affairs Law Books Management Board. Fifth Edition, February 2004.</w:t>
      </w:r>
    </w:p>
    <w:p w:rsidR="000B7434" w:rsidRPr="005272A6" w:rsidRDefault="000B7434" w:rsidP="003508B5">
      <w:pPr>
        <w:pStyle w:val="SingleTxtG"/>
        <w:jc w:val="lowKashida"/>
      </w:pPr>
      <w:r w:rsidRPr="005272A6">
        <w:t xml:space="preserve">The Interim Constitution of </w:t>
      </w:r>
      <w:smartTag w:uri="urn:schemas-microsoft-com:office:smarttags" w:element="place">
        <w:smartTag w:uri="urn:schemas-microsoft-com:office:smarttags" w:element="country-region">
          <w:r w:rsidRPr="005272A6">
            <w:t>Nepal</w:t>
          </w:r>
        </w:smartTag>
      </w:smartTag>
      <w:r w:rsidRPr="005272A6">
        <w:t>, 2007.</w:t>
      </w:r>
    </w:p>
    <w:p w:rsidR="000B7434" w:rsidRPr="005272A6" w:rsidRDefault="000B7434" w:rsidP="003508B5">
      <w:pPr>
        <w:pStyle w:val="SingleTxtG"/>
        <w:jc w:val="lowKashida"/>
      </w:pPr>
      <w:r w:rsidRPr="005272A6">
        <w:t>Three Year Interim Plan, National Planning Commission 2007/09.</w:t>
      </w:r>
    </w:p>
    <w:p w:rsidR="000B7434" w:rsidRPr="005272A6" w:rsidRDefault="000B7434" w:rsidP="003508B5">
      <w:pPr>
        <w:pStyle w:val="SingleTxtG"/>
        <w:jc w:val="lowKashida"/>
      </w:pPr>
      <w:r w:rsidRPr="005272A6">
        <w:t xml:space="preserve">Trafficking in Person Especially on Women and Children in </w:t>
      </w:r>
      <w:smartTag w:uri="urn:schemas-microsoft-com:office:smarttags" w:element="place">
        <w:smartTag w:uri="urn:schemas-microsoft-com:office:smarttags" w:element="country-region">
          <w:r w:rsidRPr="005272A6">
            <w:t>Nepal</w:t>
          </w:r>
        </w:smartTag>
      </w:smartTag>
      <w:r w:rsidRPr="005272A6">
        <w:t>, National Report 2005, Office of the National Rapporteur on Trafficking in Women and Children (ONRT), National Human Rights Commission (NHRC), September 2006.</w:t>
      </w:r>
    </w:p>
    <w:p w:rsidR="000B7434" w:rsidRPr="005272A6" w:rsidRDefault="000B7434" w:rsidP="003508B5">
      <w:pPr>
        <w:pStyle w:val="SingleTxtG"/>
        <w:jc w:val="lowKashida"/>
      </w:pPr>
      <w:r w:rsidRPr="005272A6">
        <w:t xml:space="preserve">Trafficking in Persons especially on women and children in Nepal National Report </w:t>
      </w:r>
      <w:r w:rsidR="003508B5">
        <w:t xml:space="preserve">      </w:t>
      </w:r>
      <w:r w:rsidRPr="005272A6">
        <w:t>2006</w:t>
      </w:r>
      <w:r>
        <w:t>–</w:t>
      </w:r>
      <w:r w:rsidRPr="005272A6">
        <w:t>2007, Office of the National Rapporteur on Trafficking in Women and children (ONRT), June 2008.</w:t>
      </w:r>
    </w:p>
    <w:p w:rsidR="000B7434" w:rsidRPr="005272A6" w:rsidRDefault="000B7434" w:rsidP="003508B5">
      <w:pPr>
        <w:pStyle w:val="SingleTxtG"/>
        <w:jc w:val="lowKashida"/>
      </w:pPr>
      <w:r w:rsidRPr="005272A6">
        <w:t>Village Development Committee Grant operational Guideline, 2063, The Government of Nepal, Ministry of Local Development, 2006.</w:t>
      </w:r>
    </w:p>
    <w:p w:rsidR="000B7434" w:rsidRPr="005272A6" w:rsidRDefault="000B7434" w:rsidP="003508B5">
      <w:pPr>
        <w:pStyle w:val="SingleTxtG"/>
        <w:jc w:val="lowKashida"/>
      </w:pPr>
      <w:r w:rsidRPr="005272A6">
        <w:t xml:space="preserve">Women’s Commission Act, 2006 (Approved in </w:t>
      </w:r>
      <w:smartTag w:uri="urn:schemas-microsoft-com:office:smarttags" w:element="date">
        <w:smartTagPr>
          <w:attr w:name="Month" w:val="1"/>
          <w:attr w:name="Day" w:val="14"/>
          <w:attr w:name="Year" w:val="2007"/>
        </w:smartTagPr>
        <w:r w:rsidRPr="005272A6">
          <w:t>14</w:t>
        </w:r>
        <w:r w:rsidRPr="005272A6">
          <w:rPr>
            <w:vertAlign w:val="superscript"/>
          </w:rPr>
          <w:t>th</w:t>
        </w:r>
        <w:r w:rsidRPr="005272A6">
          <w:t xml:space="preserve"> January, 2007</w:t>
        </w:r>
      </w:smartTag>
      <w:r w:rsidRPr="005272A6">
        <w:t>).</w:t>
      </w:r>
    </w:p>
    <w:p w:rsidR="000B7434" w:rsidRPr="005272A6" w:rsidRDefault="000B7434" w:rsidP="003508B5">
      <w:pPr>
        <w:pStyle w:val="SingleTxtG"/>
        <w:jc w:val="lowKashida"/>
      </w:pPr>
      <w:r w:rsidRPr="005272A6">
        <w:t>Women Development Program 2007/08 Operational Guideline, Government of Nepal Ministry of Women, Children and Social Welfare, Women Development Department.</w:t>
      </w:r>
    </w:p>
    <w:p w:rsidR="000B7434" w:rsidRPr="005272A6" w:rsidRDefault="000B7434" w:rsidP="003508B5">
      <w:pPr>
        <w:pStyle w:val="SingleTxtG"/>
        <w:jc w:val="lowKashida"/>
      </w:pPr>
      <w:r w:rsidRPr="005272A6">
        <w:t xml:space="preserve">Women in </w:t>
      </w:r>
      <w:smartTag w:uri="urn:schemas-microsoft-com:office:smarttags" w:element="country-region">
        <w:smartTag w:uri="urn:schemas-microsoft-com:office:smarttags" w:element="place">
          <w:r w:rsidRPr="005272A6">
            <w:t>Nepal</w:t>
          </w:r>
        </w:smartTag>
      </w:smartTag>
      <w:r w:rsidRPr="005272A6">
        <w:t xml:space="preserve"> Some Statistical Facts, Government of </w:t>
      </w:r>
      <w:smartTag w:uri="urn:schemas-microsoft-com:office:smarttags" w:element="country-region">
        <w:smartTag w:uri="urn:schemas-microsoft-com:office:smarttags" w:element="place">
          <w:r w:rsidRPr="005272A6">
            <w:t>Nepal</w:t>
          </w:r>
        </w:smartTag>
      </w:smartTag>
      <w:r w:rsidRPr="005272A6">
        <w:t xml:space="preserve"> National Planning Commission Secretariat Central Bureau of Statistic, 2006.</w:t>
      </w:r>
    </w:p>
    <w:p w:rsidR="000B7434" w:rsidRDefault="000B7434" w:rsidP="003508B5">
      <w:pPr>
        <w:pStyle w:val="SingleTxtG"/>
        <w:jc w:val="lowKashida"/>
        <w:rPr>
          <w:lang w:val="en-US"/>
        </w:rPr>
      </w:pPr>
      <w:r w:rsidRPr="005272A6">
        <w:t>Women’s Group Regulation for Legislative-Parliament 2006, Legislative-Parliament Secretariat, 2006.</w:t>
      </w:r>
    </w:p>
    <w:p w:rsidR="00BE13D2" w:rsidRPr="00BE13D2" w:rsidRDefault="00BE13D2" w:rsidP="00BE13D2">
      <w:pPr>
        <w:spacing w:before="120"/>
        <w:jc w:val="center"/>
        <w:rPr>
          <w:u w:val="single"/>
        </w:rPr>
      </w:pPr>
      <w:r>
        <w:rPr>
          <w:u w:val="single"/>
          <w:rtl/>
        </w:rPr>
        <w:tab/>
      </w:r>
      <w:r>
        <w:rPr>
          <w:u w:val="single"/>
          <w:rtl/>
        </w:rPr>
        <w:tab/>
      </w:r>
      <w:r>
        <w:rPr>
          <w:u w:val="single"/>
          <w:rtl/>
        </w:rPr>
        <w:tab/>
      </w:r>
    </w:p>
    <w:sectPr w:rsidR="00BE13D2" w:rsidRPr="00BE13D2"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EF" w:rsidRPr="00FE6865" w:rsidRDefault="003B1DEF" w:rsidP="00FE6865">
      <w:pPr>
        <w:pStyle w:val="Footer"/>
      </w:pPr>
    </w:p>
  </w:endnote>
  <w:endnote w:type="continuationSeparator" w:id="0">
    <w:p w:rsidR="003B1DEF" w:rsidRDefault="003B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A2" w:rsidRPr="000B7434" w:rsidRDefault="006135A2" w:rsidP="000B7434">
    <w:pPr>
      <w:pStyle w:val="Footer"/>
      <w:tabs>
        <w:tab w:val="right" w:pos="9598"/>
      </w:tabs>
    </w:pPr>
    <w:r>
      <w:t>GE.10-46609</w:t>
    </w:r>
    <w:r>
      <w:tab/>
    </w:r>
    <w:r w:rsidRPr="000B7434">
      <w:rPr>
        <w:b/>
        <w:sz w:val="18"/>
      </w:rPr>
      <w:fldChar w:fldCharType="begin"/>
    </w:r>
    <w:r w:rsidRPr="000B7434">
      <w:rPr>
        <w:b/>
        <w:sz w:val="18"/>
      </w:rPr>
      <w:instrText xml:space="preserve"> PAGE  \* MERGEFORMAT </w:instrText>
    </w:r>
    <w:r w:rsidRPr="000B7434">
      <w:rPr>
        <w:b/>
        <w:sz w:val="18"/>
      </w:rPr>
      <w:fldChar w:fldCharType="separate"/>
    </w:r>
    <w:r w:rsidR="00B7095B">
      <w:rPr>
        <w:b/>
        <w:noProof/>
        <w:sz w:val="18"/>
      </w:rPr>
      <w:t>2</w:t>
    </w:r>
    <w:r w:rsidRPr="000B743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A2" w:rsidRPr="000B7434" w:rsidRDefault="006135A2" w:rsidP="000B7434">
    <w:pPr>
      <w:pStyle w:val="Footer"/>
      <w:tabs>
        <w:tab w:val="right" w:pos="9598"/>
      </w:tabs>
      <w:rPr>
        <w:b/>
        <w:sz w:val="18"/>
      </w:rPr>
    </w:pPr>
    <w:r w:rsidRPr="000B7434">
      <w:rPr>
        <w:b/>
        <w:sz w:val="18"/>
      </w:rPr>
      <w:fldChar w:fldCharType="begin"/>
    </w:r>
    <w:r w:rsidRPr="000B7434">
      <w:rPr>
        <w:b/>
        <w:sz w:val="18"/>
      </w:rPr>
      <w:instrText xml:space="preserve"> PAGE  \* MERGEFORMAT </w:instrText>
    </w:r>
    <w:r w:rsidRPr="000B7434">
      <w:rPr>
        <w:b/>
        <w:sz w:val="18"/>
      </w:rPr>
      <w:fldChar w:fldCharType="separate"/>
    </w:r>
    <w:r w:rsidR="002F6702">
      <w:rPr>
        <w:b/>
        <w:noProof/>
        <w:sz w:val="18"/>
      </w:rPr>
      <w:t>95</w:t>
    </w:r>
    <w:r w:rsidRPr="000B7434">
      <w:rPr>
        <w:b/>
        <w:sz w:val="18"/>
      </w:rPr>
      <w:fldChar w:fldCharType="end"/>
    </w:r>
    <w:r>
      <w:rPr>
        <w:b/>
        <w:sz w:val="18"/>
      </w:rPr>
      <w:tab/>
    </w:r>
    <w:r>
      <w:t>GE.10-46609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A2" w:rsidRDefault="006135A2" w:rsidP="00993385">
    <w:pPr>
      <w:pStyle w:val="Footer"/>
      <w:jc w:val="right"/>
    </w:pPr>
    <w:r>
      <w:rPr>
        <w:sz w:val="20"/>
      </w:rPr>
      <w:t>(A)   GE.10-46609</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8B03DA">
      <w:rPr>
        <w:sz w:val="20"/>
      </w:rPr>
      <w:t xml:space="preserve">    030311    </w:t>
    </w:r>
    <w:r w:rsidR="00993385">
      <w:rPr>
        <w:sz w:val="20"/>
      </w:rPr>
      <w:t>21</w:t>
    </w:r>
    <w:r w:rsidR="008B03DA">
      <w:rPr>
        <w:sz w:val="20"/>
      </w:rPr>
      <w:t>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EF" w:rsidRDefault="003B1DEF" w:rsidP="00834FF4">
      <w:pPr>
        <w:pStyle w:val="Footer"/>
        <w:bidi/>
        <w:spacing w:after="80" w:line="200" w:lineRule="exact"/>
        <w:ind w:left="680"/>
      </w:pPr>
      <w:r>
        <w:rPr>
          <w:rFonts w:hint="cs"/>
          <w:rtl/>
        </w:rPr>
        <w:t>__________</w:t>
      </w:r>
    </w:p>
  </w:footnote>
  <w:footnote w:type="continuationSeparator" w:id="0">
    <w:p w:rsidR="003B1DEF" w:rsidRDefault="003B1DEF" w:rsidP="00834FF4">
      <w:pPr>
        <w:pStyle w:val="Footer"/>
        <w:bidi/>
        <w:spacing w:after="80" w:line="200" w:lineRule="exact"/>
        <w:ind w:left="680"/>
      </w:pPr>
      <w:r>
        <w:rPr>
          <w:rFonts w:hint="cs"/>
          <w:rtl/>
        </w:rPr>
        <w:t>__________</w:t>
      </w:r>
    </w:p>
  </w:footnote>
  <w:footnote w:id="1">
    <w:p w:rsidR="006135A2" w:rsidRPr="000B7434" w:rsidRDefault="006135A2" w:rsidP="00AD68BC">
      <w:pPr>
        <w:pStyle w:val="footnoteText0"/>
        <w:rPr>
          <w:rFonts w:hint="cs"/>
          <w:rtl/>
          <w:lang w:bidi="ar-EG"/>
        </w:rPr>
      </w:pPr>
      <w:r>
        <w:rPr>
          <w:rtl/>
        </w:rPr>
        <w:tab/>
      </w:r>
      <w:r w:rsidRPr="000B7434">
        <w:rPr>
          <w:rStyle w:val="FootnoteReference"/>
          <w:sz w:val="20"/>
          <w:vertAlign w:val="baseline"/>
          <w:rtl/>
        </w:rPr>
        <w:t>*</w:t>
      </w:r>
      <w:r>
        <w:rPr>
          <w:rtl/>
        </w:rPr>
        <w:tab/>
      </w:r>
      <w:r w:rsidRPr="00F2793A">
        <w:rPr>
          <w:rFonts w:hint="cs"/>
          <w:sz w:val="17"/>
          <w:rtl/>
          <w:lang w:bidi="ar-EG"/>
        </w:rPr>
        <w:t>وفقا</w:t>
      </w:r>
      <w:r>
        <w:rPr>
          <w:rFonts w:hint="cs"/>
          <w:sz w:val="17"/>
          <w:rtl/>
          <w:lang w:bidi="ar-EG"/>
        </w:rPr>
        <w:t>ً</w:t>
      </w:r>
      <w:r w:rsidRPr="00F2793A">
        <w:rPr>
          <w:rFonts w:hint="cs"/>
          <w:sz w:val="17"/>
          <w:rtl/>
          <w:lang w:bidi="ar-EG"/>
        </w:rPr>
        <w:t xml:space="preserve"> للمعلومات المحالة إلى الدول الأطراف </w:t>
      </w:r>
      <w:r>
        <w:rPr>
          <w:rFonts w:hint="cs"/>
          <w:sz w:val="17"/>
          <w:rtl/>
          <w:lang w:bidi="ar-EG"/>
        </w:rPr>
        <w:t>فيما يتعلق ب</w:t>
      </w:r>
      <w:r w:rsidRPr="00F2793A">
        <w:rPr>
          <w:rFonts w:hint="cs"/>
          <w:sz w:val="17"/>
          <w:rtl/>
          <w:lang w:bidi="ar-EG"/>
        </w:rPr>
        <w:t xml:space="preserve">تجهيز تقاريرها، لم </w:t>
      </w:r>
      <w:r>
        <w:rPr>
          <w:rFonts w:hint="cs"/>
          <w:sz w:val="17"/>
          <w:rtl/>
          <w:lang w:bidi="ar-EG"/>
        </w:rPr>
        <w:t xml:space="preserve">تُحرَّر </w:t>
      </w:r>
      <w:r w:rsidRPr="00F2793A">
        <w:rPr>
          <w:rFonts w:hint="cs"/>
          <w:sz w:val="17"/>
          <w:rtl/>
          <w:lang w:bidi="ar-EG"/>
        </w:rPr>
        <w:t xml:space="preserve">هذه الوثيقة </w:t>
      </w:r>
      <w:r>
        <w:rPr>
          <w:rFonts w:hint="cs"/>
          <w:sz w:val="17"/>
          <w:rtl/>
          <w:lang w:bidi="ar-EG"/>
        </w:rPr>
        <w:t xml:space="preserve">رسمياً </w:t>
      </w:r>
      <w:r w:rsidRPr="00F2793A">
        <w:rPr>
          <w:rFonts w:hint="cs"/>
          <w:sz w:val="17"/>
          <w:rtl/>
          <w:lang w:bidi="ar-EG"/>
        </w:rPr>
        <w:t xml:space="preserve">قبل إرسالها إلى دوائر الترجمة </w:t>
      </w:r>
      <w:r>
        <w:rPr>
          <w:rFonts w:hint="cs"/>
          <w:sz w:val="17"/>
          <w:rtl/>
          <w:lang w:bidi="ar-EG"/>
        </w:rPr>
        <w:t xml:space="preserve">التحريرية </w:t>
      </w:r>
      <w:r w:rsidRPr="00F2793A">
        <w:rPr>
          <w:rFonts w:hint="cs"/>
          <w:sz w:val="17"/>
          <w:rtl/>
          <w:lang w:bidi="ar-EG"/>
        </w:rPr>
        <w:t>في الأمم المتحدة</w:t>
      </w:r>
      <w:r>
        <w:rPr>
          <w:rFonts w:hint="cs"/>
          <w:sz w:val="17"/>
          <w:rtl/>
          <w:lang w:bidi="ar-EG"/>
        </w:rPr>
        <w:t>.</w:t>
      </w:r>
    </w:p>
  </w:footnote>
  <w:footnote w:id="2">
    <w:p w:rsidR="006135A2" w:rsidRPr="000B7434" w:rsidRDefault="006135A2" w:rsidP="000B7434">
      <w:pPr>
        <w:pStyle w:val="footnoteText0"/>
        <w:rPr>
          <w:rFonts w:hint="cs"/>
          <w:lang w:bidi="ar-EG"/>
        </w:rPr>
      </w:pPr>
      <w:r>
        <w:rPr>
          <w:rtl/>
        </w:rPr>
        <w:tab/>
      </w:r>
      <w:r w:rsidRPr="000B7434">
        <w:rPr>
          <w:rStyle w:val="FootnoteReference"/>
          <w:sz w:val="20"/>
          <w:vertAlign w:val="baseline"/>
          <w:rtl/>
        </w:rPr>
        <w:t>**</w:t>
      </w:r>
      <w:r>
        <w:rPr>
          <w:rtl/>
        </w:rPr>
        <w:tab/>
      </w:r>
      <w:r w:rsidRPr="00F2793A">
        <w:rPr>
          <w:rFonts w:hint="cs"/>
          <w:sz w:val="17"/>
          <w:rtl/>
          <w:lang w:bidi="ar-EG"/>
        </w:rPr>
        <w:t>المرفقات متاحة للاطلاع عليها لدى الأمانة العامة</w:t>
      </w:r>
      <w:r>
        <w:rPr>
          <w:rFonts w:hint="cs"/>
          <w:sz w:val="17"/>
          <w:rtl/>
          <w:lang w:bidi="ar-EG"/>
        </w:rPr>
        <w:t>.</w:t>
      </w:r>
    </w:p>
  </w:footnote>
  <w:footnote w:id="3">
    <w:p w:rsidR="006135A2" w:rsidRPr="008B03DA" w:rsidRDefault="006135A2" w:rsidP="006B57C8">
      <w:pPr>
        <w:pStyle w:val="FootnoteText"/>
        <w:numPr>
          <w:ilvl w:val="0"/>
          <w:numId w:val="43"/>
        </w:numPr>
        <w:tabs>
          <w:tab w:val="clear" w:pos="1292"/>
          <w:tab w:val="left" w:pos="1239"/>
        </w:tabs>
        <w:spacing w:after="60" w:line="300" w:lineRule="exact"/>
        <w:ind w:left="1248" w:right="1247"/>
        <w:rPr>
          <w:rFonts w:hint="cs"/>
          <w:w w:val="103"/>
          <w:sz w:val="18"/>
          <w:szCs w:val="26"/>
          <w:rtl/>
        </w:rPr>
      </w:pPr>
      <w:r w:rsidRPr="008B03DA">
        <w:rPr>
          <w:rFonts w:hint="cs"/>
          <w:w w:val="103"/>
          <w:sz w:val="18"/>
          <w:szCs w:val="26"/>
          <w:rtl/>
          <w:lang w:bidi="ar-EG"/>
        </w:rPr>
        <w:t xml:space="preserve">انظر </w:t>
      </w:r>
      <w:r w:rsidRPr="008B03DA">
        <w:rPr>
          <w:sz w:val="18"/>
          <w:szCs w:val="26"/>
        </w:rPr>
        <w:t>CEDAW</w:t>
      </w:r>
      <w:r w:rsidRPr="008B03DA">
        <w:rPr>
          <w:w w:val="103"/>
          <w:sz w:val="18"/>
          <w:szCs w:val="26"/>
        </w:rPr>
        <w:t>/C/SR.434 and 439</w:t>
      </w:r>
      <w:r w:rsidRPr="008B03DA">
        <w:rPr>
          <w:rFonts w:hint="cs"/>
          <w:w w:val="103"/>
          <w:sz w:val="18"/>
          <w:szCs w:val="26"/>
          <w:rtl/>
          <w:lang w:bidi="ar-EG"/>
        </w:rPr>
        <w:t>.</w:t>
      </w:r>
    </w:p>
  </w:footnote>
  <w:footnote w:id="4">
    <w:p w:rsidR="006135A2" w:rsidRPr="008B03DA" w:rsidRDefault="006135A2" w:rsidP="0076510E">
      <w:pPr>
        <w:pStyle w:val="FootnoteText"/>
        <w:numPr>
          <w:ilvl w:val="0"/>
          <w:numId w:val="43"/>
        </w:numPr>
        <w:tabs>
          <w:tab w:val="clear" w:pos="1292"/>
          <w:tab w:val="left" w:pos="1239"/>
        </w:tabs>
        <w:spacing w:after="60" w:line="300" w:lineRule="exact"/>
        <w:ind w:left="1248" w:right="1247"/>
        <w:rPr>
          <w:rFonts w:hint="cs"/>
          <w:w w:val="103"/>
          <w:sz w:val="18"/>
          <w:szCs w:val="26"/>
          <w:rtl/>
        </w:rPr>
      </w:pPr>
      <w:r w:rsidRPr="008B03DA">
        <w:rPr>
          <w:sz w:val="18"/>
          <w:szCs w:val="26"/>
          <w:rtl/>
        </w:rPr>
        <w:tab/>
      </w:r>
      <w:r w:rsidRPr="008B03DA">
        <w:rPr>
          <w:rFonts w:hint="cs"/>
          <w:w w:val="103"/>
          <w:sz w:val="18"/>
          <w:szCs w:val="26"/>
          <w:rtl/>
          <w:lang w:bidi="ar-EG"/>
        </w:rPr>
        <w:t xml:space="preserve">انظر </w:t>
      </w:r>
      <w:r w:rsidRPr="008B03DA">
        <w:rPr>
          <w:w w:val="103"/>
          <w:sz w:val="18"/>
          <w:szCs w:val="26"/>
        </w:rPr>
        <w:t xml:space="preserve">CEDAW/C/SR.630 </w:t>
      </w:r>
      <w:r w:rsidRPr="008B03DA">
        <w:rPr>
          <w:sz w:val="18"/>
          <w:szCs w:val="26"/>
        </w:rPr>
        <w:t>and</w:t>
      </w:r>
      <w:r w:rsidRPr="008B03DA">
        <w:rPr>
          <w:w w:val="103"/>
          <w:sz w:val="18"/>
          <w:szCs w:val="26"/>
        </w:rPr>
        <w:t xml:space="preserve"> 631</w:t>
      </w:r>
      <w:r w:rsidRPr="008B03DA">
        <w:rPr>
          <w:rFonts w:hint="cs"/>
          <w:w w:val="103"/>
          <w:sz w:val="18"/>
          <w:szCs w:val="26"/>
          <w:rtl/>
          <w:lang w:bidi="ar-EG"/>
        </w:rPr>
        <w:t>.</w:t>
      </w:r>
    </w:p>
  </w:footnote>
  <w:footnote w:id="5">
    <w:p w:rsidR="006135A2" w:rsidRPr="008B03DA" w:rsidRDefault="006135A2" w:rsidP="0076510E">
      <w:pPr>
        <w:pStyle w:val="FootnoteText"/>
        <w:numPr>
          <w:ilvl w:val="0"/>
          <w:numId w:val="43"/>
        </w:numPr>
        <w:tabs>
          <w:tab w:val="clear" w:pos="1292"/>
          <w:tab w:val="left" w:pos="1239"/>
        </w:tabs>
        <w:spacing w:after="60" w:line="300" w:lineRule="exact"/>
        <w:ind w:left="1248" w:right="1247"/>
        <w:rPr>
          <w:rFonts w:hint="cs"/>
          <w:w w:val="103"/>
          <w:sz w:val="18"/>
          <w:szCs w:val="26"/>
          <w:rtl/>
        </w:rPr>
      </w:pPr>
      <w:r w:rsidRPr="008B03DA">
        <w:rPr>
          <w:sz w:val="18"/>
          <w:szCs w:val="26"/>
          <w:rtl/>
        </w:rPr>
        <w:tab/>
      </w:r>
      <w:r w:rsidRPr="008B03DA">
        <w:rPr>
          <w:rFonts w:hint="cs"/>
          <w:w w:val="103"/>
          <w:sz w:val="18"/>
          <w:szCs w:val="26"/>
          <w:rtl/>
          <w:lang w:bidi="ar-EG"/>
        </w:rPr>
        <w:t xml:space="preserve">منسقو </w:t>
      </w:r>
      <w:r w:rsidRPr="008B03DA">
        <w:rPr>
          <w:rFonts w:hint="cs"/>
          <w:sz w:val="18"/>
          <w:szCs w:val="26"/>
          <w:rtl/>
        </w:rPr>
        <w:t>الشؤون</w:t>
      </w:r>
      <w:r w:rsidRPr="008B03DA">
        <w:rPr>
          <w:rFonts w:hint="cs"/>
          <w:w w:val="103"/>
          <w:sz w:val="18"/>
          <w:szCs w:val="26"/>
          <w:rtl/>
          <w:lang w:bidi="ar-EG"/>
        </w:rPr>
        <w:t xml:space="preserve"> ال</w:t>
      </w:r>
      <w:r w:rsidR="008B03DA">
        <w:rPr>
          <w:rFonts w:hint="cs"/>
          <w:w w:val="103"/>
          <w:sz w:val="18"/>
          <w:szCs w:val="26"/>
          <w:rtl/>
          <w:lang w:bidi="ar-EG"/>
        </w:rPr>
        <w:t>ج</w:t>
      </w:r>
      <w:r w:rsidRPr="008B03DA">
        <w:rPr>
          <w:rFonts w:hint="cs"/>
          <w:w w:val="103"/>
          <w:sz w:val="18"/>
          <w:szCs w:val="26"/>
          <w:rtl/>
          <w:lang w:bidi="ar-EG"/>
        </w:rPr>
        <w:t>نسانية كانوا يسمون أصلا</w:t>
      </w:r>
      <w:r w:rsidR="008B03DA">
        <w:rPr>
          <w:rFonts w:hint="cs"/>
          <w:w w:val="103"/>
          <w:sz w:val="18"/>
          <w:szCs w:val="26"/>
          <w:rtl/>
          <w:lang w:bidi="ar-EG"/>
        </w:rPr>
        <w:t>ً</w:t>
      </w:r>
      <w:r w:rsidRPr="008B03DA">
        <w:rPr>
          <w:rFonts w:hint="cs"/>
          <w:w w:val="103"/>
          <w:sz w:val="18"/>
          <w:szCs w:val="26"/>
          <w:rtl/>
          <w:lang w:bidi="ar-EG"/>
        </w:rPr>
        <w:t xml:space="preserve"> جهات التنسيق الجنساني.</w:t>
      </w:r>
    </w:p>
  </w:footnote>
  <w:footnote w:id="6">
    <w:p w:rsidR="006135A2" w:rsidRPr="008B03DA" w:rsidRDefault="006135A2" w:rsidP="0076510E">
      <w:pPr>
        <w:pStyle w:val="FootnoteText"/>
        <w:numPr>
          <w:ilvl w:val="0"/>
          <w:numId w:val="43"/>
        </w:numPr>
        <w:tabs>
          <w:tab w:val="clear" w:pos="1292"/>
          <w:tab w:val="left" w:pos="1239"/>
        </w:tabs>
        <w:spacing w:after="60" w:line="300" w:lineRule="exact"/>
        <w:ind w:left="1248" w:right="1247"/>
        <w:rPr>
          <w:rFonts w:hint="cs"/>
          <w:w w:val="103"/>
          <w:sz w:val="18"/>
          <w:szCs w:val="26"/>
          <w:rtl/>
        </w:rPr>
      </w:pPr>
      <w:r w:rsidRPr="008B03DA">
        <w:rPr>
          <w:sz w:val="18"/>
          <w:szCs w:val="26"/>
          <w:rtl/>
        </w:rPr>
        <w:tab/>
      </w:r>
      <w:r w:rsidRPr="008B03DA">
        <w:rPr>
          <w:rFonts w:hint="cs"/>
          <w:w w:val="103"/>
          <w:sz w:val="18"/>
          <w:szCs w:val="26"/>
          <w:rtl/>
          <w:lang w:bidi="ar-EG"/>
        </w:rPr>
        <w:t xml:space="preserve">الحركة </w:t>
      </w:r>
      <w:r w:rsidRPr="008B03DA">
        <w:rPr>
          <w:rFonts w:hint="cs"/>
          <w:sz w:val="18"/>
          <w:szCs w:val="26"/>
          <w:rtl/>
        </w:rPr>
        <w:t>الشعبية</w:t>
      </w:r>
      <w:r w:rsidRPr="008B03DA">
        <w:rPr>
          <w:rFonts w:hint="cs"/>
          <w:w w:val="103"/>
          <w:sz w:val="18"/>
          <w:szCs w:val="26"/>
          <w:rtl/>
          <w:lang w:bidi="ar-EG"/>
        </w:rPr>
        <w:t xml:space="preserve"> عام 2006.</w:t>
      </w:r>
    </w:p>
  </w:footnote>
  <w:footnote w:id="7">
    <w:p w:rsidR="006135A2" w:rsidRPr="008B03DA" w:rsidRDefault="006135A2" w:rsidP="00D62BA8">
      <w:pPr>
        <w:pStyle w:val="FootnoteText"/>
        <w:numPr>
          <w:ilvl w:val="0"/>
          <w:numId w:val="43"/>
        </w:numPr>
        <w:tabs>
          <w:tab w:val="clear" w:pos="1292"/>
          <w:tab w:val="left" w:pos="1239"/>
        </w:tabs>
        <w:spacing w:after="60" w:line="300" w:lineRule="exact"/>
        <w:ind w:left="1248" w:right="1247"/>
        <w:rPr>
          <w:rFonts w:hint="cs"/>
          <w:w w:val="103"/>
          <w:sz w:val="18"/>
          <w:szCs w:val="26"/>
          <w:rtl/>
        </w:rPr>
      </w:pPr>
      <w:r w:rsidRPr="008B03DA">
        <w:rPr>
          <w:sz w:val="18"/>
          <w:szCs w:val="26"/>
          <w:rtl/>
        </w:rPr>
        <w:tab/>
      </w:r>
      <w:r w:rsidRPr="008B03DA">
        <w:rPr>
          <w:rFonts w:hint="cs"/>
          <w:w w:val="103"/>
          <w:sz w:val="18"/>
          <w:szCs w:val="26"/>
          <w:rtl/>
          <w:lang w:bidi="ar-EG"/>
        </w:rPr>
        <w:t>يرجى الرجوع إلى التقارير الدورية السابقة.</w:t>
      </w:r>
    </w:p>
  </w:footnote>
  <w:footnote w:id="8">
    <w:p w:rsidR="006135A2" w:rsidRPr="008B03DA" w:rsidRDefault="006135A2" w:rsidP="00D62BA8">
      <w:pPr>
        <w:pStyle w:val="FootnoteText"/>
        <w:numPr>
          <w:ilvl w:val="0"/>
          <w:numId w:val="43"/>
        </w:numPr>
        <w:tabs>
          <w:tab w:val="clear" w:pos="1292"/>
          <w:tab w:val="left" w:pos="1239"/>
        </w:tabs>
        <w:spacing w:after="60" w:line="300" w:lineRule="exact"/>
        <w:ind w:left="1248" w:right="1247"/>
        <w:rPr>
          <w:rFonts w:hint="cs"/>
          <w:w w:val="103"/>
          <w:sz w:val="18"/>
          <w:szCs w:val="26"/>
          <w:rtl/>
        </w:rPr>
      </w:pPr>
      <w:r w:rsidRPr="008B03DA">
        <w:rPr>
          <w:sz w:val="18"/>
          <w:szCs w:val="26"/>
          <w:rtl/>
        </w:rPr>
        <w:tab/>
      </w:r>
      <w:r w:rsidRPr="008B03DA">
        <w:rPr>
          <w:rFonts w:hint="cs"/>
          <w:w w:val="103"/>
          <w:sz w:val="18"/>
          <w:szCs w:val="26"/>
          <w:rtl/>
          <w:lang w:bidi="ar-EG"/>
        </w:rPr>
        <w:t xml:space="preserve">نشرة مشتركة </w:t>
      </w:r>
      <w:r w:rsidRPr="008B03DA">
        <w:rPr>
          <w:rFonts w:hint="cs"/>
          <w:sz w:val="18"/>
          <w:szCs w:val="26"/>
          <w:rtl/>
        </w:rPr>
        <w:t>صادرة</w:t>
      </w:r>
      <w:r w:rsidRPr="008B03DA">
        <w:rPr>
          <w:rFonts w:hint="cs"/>
          <w:w w:val="103"/>
          <w:sz w:val="18"/>
          <w:szCs w:val="26"/>
          <w:rtl/>
          <w:lang w:bidi="ar-EG"/>
        </w:rPr>
        <w:t xml:space="preserve"> عن وزارة شؤون المرأة والطفل والرعاية الاجتماعية، وصندوق الأمم المتحدة الإنمائي</w:t>
      </w:r>
      <w:r w:rsidRPr="008B03DA">
        <w:rPr>
          <w:rFonts w:hint="eastAsia"/>
          <w:w w:val="103"/>
          <w:sz w:val="18"/>
          <w:szCs w:val="26"/>
          <w:rtl/>
          <w:lang w:bidi="ar-EG"/>
        </w:rPr>
        <w:t> </w:t>
      </w:r>
      <w:r w:rsidRPr="008B03DA">
        <w:rPr>
          <w:rFonts w:hint="cs"/>
          <w:w w:val="103"/>
          <w:sz w:val="18"/>
          <w:szCs w:val="26"/>
          <w:rtl/>
          <w:lang w:bidi="ar-EG"/>
        </w:rPr>
        <w:t>للمرأة.</w:t>
      </w:r>
    </w:p>
  </w:footnote>
  <w:footnote w:id="9">
    <w:p w:rsidR="006135A2" w:rsidRPr="008B03DA" w:rsidRDefault="006135A2" w:rsidP="006B57C8">
      <w:pPr>
        <w:pStyle w:val="FootnoteText"/>
        <w:numPr>
          <w:ilvl w:val="0"/>
          <w:numId w:val="43"/>
        </w:numPr>
        <w:tabs>
          <w:tab w:val="clear" w:pos="1292"/>
          <w:tab w:val="left" w:pos="1239"/>
        </w:tabs>
        <w:spacing w:after="60" w:line="300" w:lineRule="exact"/>
        <w:ind w:left="1248" w:right="1247"/>
        <w:rPr>
          <w:rFonts w:hint="cs"/>
          <w:w w:val="103"/>
          <w:sz w:val="18"/>
          <w:szCs w:val="26"/>
          <w:rtl/>
        </w:rPr>
      </w:pPr>
      <w:r w:rsidRPr="008B03DA">
        <w:rPr>
          <w:rFonts w:hint="cs"/>
          <w:w w:val="103"/>
          <w:sz w:val="18"/>
          <w:szCs w:val="26"/>
          <w:rtl/>
          <w:lang w:bidi="ar-EG"/>
        </w:rPr>
        <w:t>يرجى الرجوع إلى المنشور المشترك الصادر عن وزارة شؤون المرأة، وصندوق الأمم المتحدة الإنمائي للمرأة.</w:t>
      </w:r>
    </w:p>
  </w:footnote>
  <w:footnote w:id="10">
    <w:p w:rsidR="006135A2" w:rsidRPr="008B03DA" w:rsidRDefault="006135A2" w:rsidP="00B87BF2">
      <w:pPr>
        <w:pStyle w:val="FootnoteText"/>
        <w:numPr>
          <w:ilvl w:val="0"/>
          <w:numId w:val="43"/>
        </w:numPr>
        <w:tabs>
          <w:tab w:val="clear" w:pos="1292"/>
          <w:tab w:val="left" w:pos="1239"/>
        </w:tabs>
        <w:spacing w:after="60" w:line="300" w:lineRule="exact"/>
        <w:ind w:left="1248" w:right="1247"/>
        <w:rPr>
          <w:rFonts w:hint="cs"/>
          <w:w w:val="103"/>
          <w:sz w:val="18"/>
          <w:szCs w:val="26"/>
          <w:rtl/>
        </w:rPr>
      </w:pPr>
      <w:r w:rsidRPr="008B03DA">
        <w:rPr>
          <w:rFonts w:hint="cs"/>
          <w:w w:val="103"/>
          <w:sz w:val="18"/>
          <w:szCs w:val="26"/>
          <w:rtl/>
          <w:lang w:bidi="ar-EG"/>
        </w:rPr>
        <w:t xml:space="preserve">المصدر: </w:t>
      </w:r>
      <w:r w:rsidRPr="008B03DA">
        <w:rPr>
          <w:rFonts w:hint="cs"/>
          <w:sz w:val="18"/>
          <w:szCs w:val="26"/>
          <w:rtl/>
        </w:rPr>
        <w:t>الدراسات</w:t>
      </w:r>
      <w:r w:rsidRPr="008B03DA">
        <w:rPr>
          <w:rFonts w:hint="cs"/>
          <w:w w:val="103"/>
          <w:sz w:val="18"/>
          <w:szCs w:val="26"/>
          <w:rtl/>
          <w:lang w:bidi="ar-EG"/>
        </w:rPr>
        <w:t xml:space="preserve"> </w:t>
      </w:r>
      <w:r w:rsidR="00B87BF2">
        <w:rPr>
          <w:rFonts w:hint="cs"/>
          <w:w w:val="103"/>
          <w:sz w:val="18"/>
          <w:szCs w:val="26"/>
          <w:rtl/>
          <w:lang w:bidi="ar-EG"/>
        </w:rPr>
        <w:t>الا</w:t>
      </w:r>
      <w:r w:rsidRPr="008B03DA">
        <w:rPr>
          <w:rFonts w:hint="cs"/>
          <w:w w:val="103"/>
          <w:sz w:val="18"/>
          <w:szCs w:val="26"/>
          <w:rtl/>
          <w:lang w:bidi="ar-EG"/>
        </w:rPr>
        <w:t>ستقصائية الديمغرافي</w:t>
      </w:r>
      <w:r w:rsidR="008B03DA" w:rsidRPr="008B03DA">
        <w:rPr>
          <w:rFonts w:hint="cs"/>
          <w:w w:val="103"/>
          <w:sz w:val="18"/>
          <w:szCs w:val="26"/>
          <w:rtl/>
          <w:lang w:bidi="ar-EG"/>
        </w:rPr>
        <w:t>ة والصحية لنيبال للأعوام 1996 و2001 و</w:t>
      </w:r>
      <w:r w:rsidRPr="008B03DA">
        <w:rPr>
          <w:rFonts w:hint="cs"/>
          <w:w w:val="103"/>
          <w:sz w:val="18"/>
          <w:szCs w:val="26"/>
          <w:rtl/>
          <w:lang w:bidi="ar-EG"/>
        </w:rPr>
        <w:t>2006.</w:t>
      </w:r>
    </w:p>
  </w:footnote>
  <w:footnote w:id="11">
    <w:p w:rsidR="006135A2" w:rsidRPr="008B03DA" w:rsidRDefault="006135A2" w:rsidP="006B57C8">
      <w:pPr>
        <w:pStyle w:val="FootnoteText"/>
        <w:numPr>
          <w:ilvl w:val="0"/>
          <w:numId w:val="43"/>
        </w:numPr>
        <w:tabs>
          <w:tab w:val="clear" w:pos="1292"/>
          <w:tab w:val="left" w:pos="1239"/>
        </w:tabs>
        <w:spacing w:after="60" w:line="300" w:lineRule="exact"/>
        <w:ind w:left="1248" w:right="1247"/>
        <w:rPr>
          <w:rFonts w:hint="cs"/>
          <w:w w:val="103"/>
          <w:sz w:val="18"/>
          <w:szCs w:val="26"/>
          <w:rtl/>
        </w:rPr>
      </w:pPr>
      <w:r w:rsidRPr="008B03DA">
        <w:rPr>
          <w:rFonts w:hint="cs"/>
          <w:w w:val="103"/>
          <w:sz w:val="18"/>
          <w:szCs w:val="26"/>
          <w:rtl/>
          <w:lang w:bidi="ar-EG"/>
        </w:rPr>
        <w:t xml:space="preserve">استناداً إلى وثيقة </w:t>
      </w:r>
      <w:r w:rsidRPr="008B03DA">
        <w:rPr>
          <w:rFonts w:hint="cs"/>
          <w:sz w:val="18"/>
          <w:szCs w:val="26"/>
          <w:rtl/>
        </w:rPr>
        <w:t>معلومات</w:t>
      </w:r>
      <w:r w:rsidRPr="008B03DA">
        <w:rPr>
          <w:rFonts w:hint="cs"/>
          <w:w w:val="103"/>
          <w:sz w:val="18"/>
          <w:szCs w:val="26"/>
          <w:rtl/>
          <w:lang w:bidi="ar-EG"/>
        </w:rPr>
        <w:t xml:space="preserve"> لوزارة الشؤون الداخلية مؤرخة في 4/9/2065 (تقويم نيبال).</w:t>
      </w:r>
    </w:p>
  </w:footnote>
  <w:footnote w:id="12">
    <w:p w:rsidR="006135A2" w:rsidRPr="008B03DA" w:rsidRDefault="006135A2" w:rsidP="001B601C">
      <w:pPr>
        <w:pStyle w:val="FootnoteText"/>
        <w:numPr>
          <w:ilvl w:val="0"/>
          <w:numId w:val="43"/>
        </w:numPr>
        <w:tabs>
          <w:tab w:val="clear" w:pos="1292"/>
          <w:tab w:val="left" w:pos="1239"/>
        </w:tabs>
        <w:spacing w:after="60" w:line="300" w:lineRule="exact"/>
        <w:ind w:left="1248" w:right="1247"/>
        <w:rPr>
          <w:rFonts w:hint="cs"/>
          <w:w w:val="103"/>
          <w:sz w:val="18"/>
          <w:szCs w:val="26"/>
          <w:rtl/>
        </w:rPr>
      </w:pPr>
      <w:r w:rsidRPr="008B03DA">
        <w:rPr>
          <w:sz w:val="18"/>
          <w:szCs w:val="26"/>
          <w:rtl/>
        </w:rPr>
        <w:tab/>
      </w:r>
      <w:r w:rsidRPr="008B03DA">
        <w:rPr>
          <w:rFonts w:hint="cs"/>
          <w:w w:val="103"/>
          <w:sz w:val="18"/>
          <w:szCs w:val="26"/>
          <w:rtl/>
          <w:lang w:bidi="ar-EG"/>
        </w:rPr>
        <w:t xml:space="preserve">المصدر: إدارة </w:t>
      </w:r>
      <w:r w:rsidRPr="008B03DA">
        <w:rPr>
          <w:rFonts w:hint="cs"/>
          <w:sz w:val="18"/>
          <w:szCs w:val="26"/>
          <w:rtl/>
        </w:rPr>
        <w:t>تنمية</w:t>
      </w:r>
      <w:r w:rsidRPr="008B03DA">
        <w:rPr>
          <w:rFonts w:hint="cs"/>
          <w:w w:val="103"/>
          <w:sz w:val="18"/>
          <w:szCs w:val="26"/>
          <w:rtl/>
          <w:lang w:bidi="ar-EG"/>
        </w:rPr>
        <w:t xml:space="preserve"> المرأة بوزارة شؤون المرأة والطفل والرعاية الاجتماعية، التقرير السنوي، 2006/2007.</w:t>
      </w:r>
    </w:p>
  </w:footnote>
  <w:footnote w:id="13">
    <w:p w:rsidR="006135A2" w:rsidRPr="008B03DA" w:rsidRDefault="006135A2" w:rsidP="0075177C">
      <w:pPr>
        <w:pStyle w:val="FootnoteText"/>
        <w:numPr>
          <w:ilvl w:val="0"/>
          <w:numId w:val="43"/>
        </w:numPr>
        <w:tabs>
          <w:tab w:val="clear" w:pos="1292"/>
          <w:tab w:val="left" w:pos="1239"/>
        </w:tabs>
        <w:spacing w:after="60" w:line="300" w:lineRule="exact"/>
        <w:ind w:left="1248" w:right="1247"/>
        <w:rPr>
          <w:rFonts w:hint="cs"/>
          <w:w w:val="103"/>
          <w:sz w:val="18"/>
          <w:szCs w:val="26"/>
          <w:rtl/>
        </w:rPr>
      </w:pPr>
      <w:r w:rsidRPr="008B03DA">
        <w:rPr>
          <w:sz w:val="18"/>
          <w:szCs w:val="26"/>
          <w:rtl/>
        </w:rPr>
        <w:tab/>
      </w:r>
      <w:r w:rsidRPr="008B03DA">
        <w:rPr>
          <w:rFonts w:hint="cs"/>
          <w:w w:val="103"/>
          <w:sz w:val="18"/>
          <w:szCs w:val="26"/>
          <w:rtl/>
          <w:lang w:bidi="ar-EG"/>
        </w:rPr>
        <w:t>حالة الأطفال في نيبال، 2007، كاثماندو.</w:t>
      </w:r>
    </w:p>
  </w:footnote>
  <w:footnote w:id="14">
    <w:p w:rsidR="006135A2" w:rsidRPr="008B03DA" w:rsidRDefault="006135A2" w:rsidP="0066783B">
      <w:pPr>
        <w:pStyle w:val="FootnoteText"/>
        <w:numPr>
          <w:ilvl w:val="0"/>
          <w:numId w:val="43"/>
        </w:numPr>
        <w:tabs>
          <w:tab w:val="clear" w:pos="1292"/>
          <w:tab w:val="left" w:pos="1239"/>
        </w:tabs>
        <w:spacing w:after="60" w:line="300" w:lineRule="exact"/>
        <w:ind w:left="1248" w:right="1247"/>
        <w:rPr>
          <w:sz w:val="18"/>
          <w:szCs w:val="26"/>
        </w:rPr>
      </w:pPr>
      <w:r w:rsidRPr="008B03DA">
        <w:rPr>
          <w:sz w:val="18"/>
          <w:szCs w:val="26"/>
          <w:rtl/>
        </w:rPr>
        <w:tab/>
      </w:r>
      <w:r w:rsidRPr="008B03DA">
        <w:rPr>
          <w:i/>
          <w:iCs/>
          <w:w w:val="103"/>
          <w:sz w:val="18"/>
          <w:szCs w:val="26"/>
          <w:rtl/>
          <w:lang w:bidi="ar-EG"/>
        </w:rPr>
        <w:t>برنامج تنمية المرأة/وزارة شؤون المرأة والطفل والرعاية الاجتماعية، التقرير السنوي، 2063/2064 بتقويم نيبال.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A2" w:rsidRPr="000B7434" w:rsidRDefault="006135A2" w:rsidP="000B7434">
    <w:pPr>
      <w:pStyle w:val="Header"/>
      <w:jc w:val="right"/>
    </w:pPr>
    <w:r w:rsidRPr="000B7434">
      <w:t>CEDAW/C/NPL/4-5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A2" w:rsidRPr="000B7434" w:rsidRDefault="006135A2" w:rsidP="000B7434">
    <w:pPr>
      <w:pStyle w:val="Header"/>
      <w:jc w:val="left"/>
    </w:pPr>
    <w:r w:rsidRPr="000B7434">
      <w:t>CEDAW/C/NPL/4-5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A2" w:rsidRDefault="006135A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6135A2" w:rsidRPr="00460CB7" w:rsidRDefault="006135A2"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02C"/>
    <w:multiLevelType w:val="hybridMultilevel"/>
    <w:tmpl w:val="D3AC0DD4"/>
    <w:lvl w:ilvl="0" w:tplc="702E1FDC">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8">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B13590"/>
    <w:multiLevelType w:val="hybridMultilevel"/>
    <w:tmpl w:val="3C922528"/>
    <w:lvl w:ilvl="0" w:tplc="5014704C">
      <w:start w:val="1"/>
      <w:numFmt w:val="decimal"/>
      <w:lvlRestart w:val="0"/>
      <w:lvlText w:val="(%1)"/>
      <w:lvlJc w:val="right"/>
      <w:pPr>
        <w:tabs>
          <w:tab w:val="num" w:pos="2507"/>
        </w:tabs>
        <w:ind w:left="2507" w:hanging="227"/>
      </w:pPr>
      <w:rPr>
        <w:rFonts w:ascii="Traditional Arabic" w:hAnsi="Traditional Arabic" w:cs="Traditional Arabic" w:hint="default"/>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8B94801"/>
    <w:multiLevelType w:val="hybridMultilevel"/>
    <w:tmpl w:val="1C4AA250"/>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77536EDB"/>
    <w:multiLevelType w:val="hybridMultilevel"/>
    <w:tmpl w:val="1270D11C"/>
    <w:lvl w:ilvl="0" w:tplc="5014704C">
      <w:start w:val="1"/>
      <w:numFmt w:val="decimal"/>
      <w:lvlRestart w:val="0"/>
      <w:lvlText w:val="(%1)"/>
      <w:lvlJc w:val="right"/>
      <w:pPr>
        <w:tabs>
          <w:tab w:val="num" w:pos="3587"/>
        </w:tabs>
        <w:ind w:left="3587" w:hanging="227"/>
      </w:pPr>
      <w:rPr>
        <w:rFonts w:ascii="Traditional Arabic" w:hAnsi="Traditional Arabic" w:cs="Traditional Arabic" w:hint="default"/>
        <w:sz w:val="26"/>
        <w:szCs w:val="26"/>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5">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
  </w:num>
  <w:num w:numId="3">
    <w:abstractNumId w:val="14"/>
  </w:num>
  <w:num w:numId="4">
    <w:abstractNumId w:val="12"/>
  </w:num>
  <w:num w:numId="5">
    <w:abstractNumId w:val="9"/>
  </w:num>
  <w:num w:numId="6">
    <w:abstractNumId w:val="24"/>
  </w:num>
  <w:num w:numId="7">
    <w:abstractNumId w:val="11"/>
  </w:num>
  <w:num w:numId="8">
    <w:abstractNumId w:val="10"/>
  </w:num>
  <w:num w:numId="9">
    <w:abstractNumId w:val="13"/>
  </w:num>
  <w:num w:numId="10">
    <w:abstractNumId w:val="23"/>
  </w:num>
  <w:num w:numId="11">
    <w:abstractNumId w:val="2"/>
  </w:num>
  <w:num w:numId="12">
    <w:abstractNumId w:val="14"/>
  </w:num>
  <w:num w:numId="13">
    <w:abstractNumId w:val="12"/>
  </w:num>
  <w:num w:numId="14">
    <w:abstractNumId w:val="9"/>
  </w:num>
  <w:num w:numId="15">
    <w:abstractNumId w:val="24"/>
  </w:num>
  <w:num w:numId="16">
    <w:abstractNumId w:val="2"/>
  </w:num>
  <w:num w:numId="17">
    <w:abstractNumId w:val="14"/>
  </w:num>
  <w:num w:numId="18">
    <w:abstractNumId w:val="12"/>
  </w:num>
  <w:num w:numId="19">
    <w:abstractNumId w:val="9"/>
  </w:num>
  <w:num w:numId="20">
    <w:abstractNumId w:val="24"/>
  </w:num>
  <w:num w:numId="21">
    <w:abstractNumId w:val="2"/>
  </w:num>
  <w:num w:numId="22">
    <w:abstractNumId w:val="14"/>
  </w:num>
  <w:num w:numId="23">
    <w:abstractNumId w:val="9"/>
  </w:num>
  <w:num w:numId="24">
    <w:abstractNumId w:val="24"/>
  </w:num>
  <w:num w:numId="25">
    <w:abstractNumId w:val="14"/>
  </w:num>
  <w:num w:numId="26">
    <w:abstractNumId w:val="2"/>
  </w:num>
  <w:num w:numId="27">
    <w:abstractNumId w:val="4"/>
  </w:num>
  <w:num w:numId="28">
    <w:abstractNumId w:val="3"/>
  </w:num>
  <w:num w:numId="29">
    <w:abstractNumId w:val="17"/>
  </w:num>
  <w:num w:numId="30">
    <w:abstractNumId w:val="5"/>
  </w:num>
  <w:num w:numId="31">
    <w:abstractNumId w:val="8"/>
  </w:num>
  <w:num w:numId="32">
    <w:abstractNumId w:val="15"/>
  </w:num>
  <w:num w:numId="33">
    <w:abstractNumId w:val="19"/>
  </w:num>
  <w:num w:numId="34">
    <w:abstractNumId w:val="25"/>
  </w:num>
  <w:num w:numId="35">
    <w:abstractNumId w:val="6"/>
  </w:num>
  <w:num w:numId="36">
    <w:abstractNumId w:val="18"/>
  </w:num>
  <w:num w:numId="37">
    <w:abstractNumId w:val="21"/>
  </w:num>
  <w:num w:numId="38">
    <w:abstractNumId w:val="1"/>
  </w:num>
  <w:num w:numId="39">
    <w:abstractNumId w:val="7"/>
  </w:num>
  <w:num w:numId="40">
    <w:abstractNumId w:val="20"/>
  </w:num>
  <w:num w:numId="41">
    <w:abstractNumId w:val="16"/>
  </w:num>
  <w:num w:numId="42">
    <w:abstractNumId w:val="2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F8E"/>
    <w:rsid w:val="00040E25"/>
    <w:rsid w:val="00042149"/>
    <w:rsid w:val="000448E5"/>
    <w:rsid w:val="000648EA"/>
    <w:rsid w:val="000957C8"/>
    <w:rsid w:val="00097049"/>
    <w:rsid w:val="000A04D5"/>
    <w:rsid w:val="000B52F2"/>
    <w:rsid w:val="000B7434"/>
    <w:rsid w:val="000C6FCD"/>
    <w:rsid w:val="000D0EAE"/>
    <w:rsid w:val="000D5380"/>
    <w:rsid w:val="000D6654"/>
    <w:rsid w:val="000E103D"/>
    <w:rsid w:val="000F0264"/>
    <w:rsid w:val="000F2EBF"/>
    <w:rsid w:val="000F3A9F"/>
    <w:rsid w:val="000F5FF6"/>
    <w:rsid w:val="001022B5"/>
    <w:rsid w:val="00105B25"/>
    <w:rsid w:val="00106E11"/>
    <w:rsid w:val="00110850"/>
    <w:rsid w:val="00113FA5"/>
    <w:rsid w:val="001455A0"/>
    <w:rsid w:val="001602A3"/>
    <w:rsid w:val="00182DC5"/>
    <w:rsid w:val="001A5161"/>
    <w:rsid w:val="001A60BD"/>
    <w:rsid w:val="001B601C"/>
    <w:rsid w:val="001F398E"/>
    <w:rsid w:val="002225D3"/>
    <w:rsid w:val="002244FB"/>
    <w:rsid w:val="00232277"/>
    <w:rsid w:val="0023736D"/>
    <w:rsid w:val="00241B40"/>
    <w:rsid w:val="00257225"/>
    <w:rsid w:val="002858D6"/>
    <w:rsid w:val="00294E7E"/>
    <w:rsid w:val="002F1301"/>
    <w:rsid w:val="002F5691"/>
    <w:rsid w:val="002F6702"/>
    <w:rsid w:val="00310160"/>
    <w:rsid w:val="00341A8C"/>
    <w:rsid w:val="0035032D"/>
    <w:rsid w:val="003508B5"/>
    <w:rsid w:val="003519E6"/>
    <w:rsid w:val="003B1DEF"/>
    <w:rsid w:val="003B4356"/>
    <w:rsid w:val="003F08A8"/>
    <w:rsid w:val="00416679"/>
    <w:rsid w:val="004250E3"/>
    <w:rsid w:val="00433E75"/>
    <w:rsid w:val="00460CB7"/>
    <w:rsid w:val="00472A81"/>
    <w:rsid w:val="004A20A6"/>
    <w:rsid w:val="004A33C3"/>
    <w:rsid w:val="004A5545"/>
    <w:rsid w:val="004B2C92"/>
    <w:rsid w:val="004B4D13"/>
    <w:rsid w:val="004B5FA8"/>
    <w:rsid w:val="004D6A3A"/>
    <w:rsid w:val="004F1C97"/>
    <w:rsid w:val="004F4AD7"/>
    <w:rsid w:val="00513ACD"/>
    <w:rsid w:val="0052259C"/>
    <w:rsid w:val="00557CD3"/>
    <w:rsid w:val="00571432"/>
    <w:rsid w:val="005732A2"/>
    <w:rsid w:val="005762A5"/>
    <w:rsid w:val="00590BA3"/>
    <w:rsid w:val="0059728F"/>
    <w:rsid w:val="005B46D9"/>
    <w:rsid w:val="005B7AE0"/>
    <w:rsid w:val="005F146F"/>
    <w:rsid w:val="005F71B6"/>
    <w:rsid w:val="006135A2"/>
    <w:rsid w:val="00637F8E"/>
    <w:rsid w:val="006400A3"/>
    <w:rsid w:val="00654786"/>
    <w:rsid w:val="00660FD4"/>
    <w:rsid w:val="0066783B"/>
    <w:rsid w:val="006A4425"/>
    <w:rsid w:val="006A6383"/>
    <w:rsid w:val="006B00A4"/>
    <w:rsid w:val="006B4669"/>
    <w:rsid w:val="006B57C8"/>
    <w:rsid w:val="006F6BF8"/>
    <w:rsid w:val="00707BDF"/>
    <w:rsid w:val="00710727"/>
    <w:rsid w:val="00715F45"/>
    <w:rsid w:val="007231AB"/>
    <w:rsid w:val="00731815"/>
    <w:rsid w:val="00731B84"/>
    <w:rsid w:val="0073285C"/>
    <w:rsid w:val="00734AE7"/>
    <w:rsid w:val="0075177C"/>
    <w:rsid w:val="00762AAB"/>
    <w:rsid w:val="0076510E"/>
    <w:rsid w:val="0079344E"/>
    <w:rsid w:val="007E197F"/>
    <w:rsid w:val="007E31C1"/>
    <w:rsid w:val="007F68C4"/>
    <w:rsid w:val="008153DE"/>
    <w:rsid w:val="00834FF4"/>
    <w:rsid w:val="00852A10"/>
    <w:rsid w:val="00862634"/>
    <w:rsid w:val="00866C59"/>
    <w:rsid w:val="0087140E"/>
    <w:rsid w:val="00877306"/>
    <w:rsid w:val="008975D0"/>
    <w:rsid w:val="008A6242"/>
    <w:rsid w:val="008B03DA"/>
    <w:rsid w:val="008B4BC6"/>
    <w:rsid w:val="008C50FD"/>
    <w:rsid w:val="00901E57"/>
    <w:rsid w:val="009070DF"/>
    <w:rsid w:val="00922026"/>
    <w:rsid w:val="00935F0E"/>
    <w:rsid w:val="009367B2"/>
    <w:rsid w:val="0095208F"/>
    <w:rsid w:val="00977B3F"/>
    <w:rsid w:val="009814AE"/>
    <w:rsid w:val="009901D3"/>
    <w:rsid w:val="00993385"/>
    <w:rsid w:val="00996BBE"/>
    <w:rsid w:val="00997828"/>
    <w:rsid w:val="009A4450"/>
    <w:rsid w:val="009B2C03"/>
    <w:rsid w:val="009B3FCB"/>
    <w:rsid w:val="009C2311"/>
    <w:rsid w:val="009D1DD5"/>
    <w:rsid w:val="009F722C"/>
    <w:rsid w:val="00A26157"/>
    <w:rsid w:val="00A265C3"/>
    <w:rsid w:val="00A319FD"/>
    <w:rsid w:val="00A43F9A"/>
    <w:rsid w:val="00A53F38"/>
    <w:rsid w:val="00A543D4"/>
    <w:rsid w:val="00AD0014"/>
    <w:rsid w:val="00AD4A05"/>
    <w:rsid w:val="00AD4CF2"/>
    <w:rsid w:val="00AD68BC"/>
    <w:rsid w:val="00AF0BBA"/>
    <w:rsid w:val="00B02A1C"/>
    <w:rsid w:val="00B25BBD"/>
    <w:rsid w:val="00B30468"/>
    <w:rsid w:val="00B3434A"/>
    <w:rsid w:val="00B44E31"/>
    <w:rsid w:val="00B655F0"/>
    <w:rsid w:val="00B7095B"/>
    <w:rsid w:val="00B87BF2"/>
    <w:rsid w:val="00BA0E0C"/>
    <w:rsid w:val="00BA4F7E"/>
    <w:rsid w:val="00BB2C41"/>
    <w:rsid w:val="00BC55C8"/>
    <w:rsid w:val="00BC5C10"/>
    <w:rsid w:val="00BE13D2"/>
    <w:rsid w:val="00BE2964"/>
    <w:rsid w:val="00BF2BEF"/>
    <w:rsid w:val="00C21623"/>
    <w:rsid w:val="00C24FBD"/>
    <w:rsid w:val="00C473BA"/>
    <w:rsid w:val="00C611ED"/>
    <w:rsid w:val="00C6490A"/>
    <w:rsid w:val="00C64FE1"/>
    <w:rsid w:val="00C715C0"/>
    <w:rsid w:val="00C74296"/>
    <w:rsid w:val="00C8270E"/>
    <w:rsid w:val="00C8345E"/>
    <w:rsid w:val="00CA5F7C"/>
    <w:rsid w:val="00CA75D3"/>
    <w:rsid w:val="00CE7B6B"/>
    <w:rsid w:val="00D51067"/>
    <w:rsid w:val="00D62BA8"/>
    <w:rsid w:val="00D70FC7"/>
    <w:rsid w:val="00D75657"/>
    <w:rsid w:val="00D834BE"/>
    <w:rsid w:val="00D92129"/>
    <w:rsid w:val="00D960AD"/>
    <w:rsid w:val="00DA0E0E"/>
    <w:rsid w:val="00DA2494"/>
    <w:rsid w:val="00DB0C39"/>
    <w:rsid w:val="00DB6C86"/>
    <w:rsid w:val="00DB7679"/>
    <w:rsid w:val="00DF1702"/>
    <w:rsid w:val="00DF331A"/>
    <w:rsid w:val="00DF4DD8"/>
    <w:rsid w:val="00DF668E"/>
    <w:rsid w:val="00E04826"/>
    <w:rsid w:val="00E14D2B"/>
    <w:rsid w:val="00E2077A"/>
    <w:rsid w:val="00E20DBA"/>
    <w:rsid w:val="00E52643"/>
    <w:rsid w:val="00E6524A"/>
    <w:rsid w:val="00E660D6"/>
    <w:rsid w:val="00E771AB"/>
    <w:rsid w:val="00EA796F"/>
    <w:rsid w:val="00EB077B"/>
    <w:rsid w:val="00EC50B9"/>
    <w:rsid w:val="00ED26A0"/>
    <w:rsid w:val="00F1727A"/>
    <w:rsid w:val="00F34764"/>
    <w:rsid w:val="00F54E3C"/>
    <w:rsid w:val="00F7225E"/>
    <w:rsid w:val="00F869D3"/>
    <w:rsid w:val="00F874BD"/>
    <w:rsid w:val="00FB1D0B"/>
    <w:rsid w:val="00FE168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paragraph" w:customStyle="1" w:styleId="H1">
    <w:name w:val="_ H_1"/>
    <w:basedOn w:val="Normal"/>
    <w:next w:val="SingleTxt"/>
    <w:rsid w:val="000B7434"/>
    <w:pPr>
      <w:keepNext/>
      <w:keepLines/>
      <w:suppressAutoHyphens/>
      <w:spacing w:line="400" w:lineRule="exact"/>
      <w:outlineLvl w:val="0"/>
    </w:pPr>
    <w:rPr>
      <w:b/>
      <w:bCs/>
      <w:w w:val="103"/>
      <w:kern w:val="14"/>
      <w:sz w:val="24"/>
      <w:szCs w:val="34"/>
    </w:rPr>
  </w:style>
  <w:style w:type="paragraph" w:customStyle="1" w:styleId="HCh">
    <w:name w:val="_ H _Ch"/>
    <w:basedOn w:val="H1"/>
    <w:next w:val="SingleTxt"/>
    <w:rsid w:val="000B7434"/>
    <w:pPr>
      <w:spacing w:line="450" w:lineRule="exact"/>
    </w:pPr>
    <w:rPr>
      <w:spacing w:val="-2"/>
      <w:sz w:val="28"/>
      <w:szCs w:val="38"/>
    </w:rPr>
  </w:style>
  <w:style w:type="paragraph" w:customStyle="1" w:styleId="HM">
    <w:name w:val="_ H __M"/>
    <w:basedOn w:val="HCh"/>
    <w:next w:val="SingleTxt"/>
    <w:rsid w:val="000B7434"/>
    <w:pPr>
      <w:spacing w:line="540" w:lineRule="exact"/>
    </w:pPr>
    <w:rPr>
      <w:spacing w:val="-3"/>
      <w:w w:val="99"/>
      <w:sz w:val="34"/>
      <w:szCs w:val="51"/>
    </w:rPr>
  </w:style>
  <w:style w:type="paragraph" w:customStyle="1" w:styleId="H23">
    <w:name w:val="_ H_2/3"/>
    <w:basedOn w:val="H1"/>
    <w:next w:val="SingleTxt"/>
    <w:rsid w:val="000B7434"/>
    <w:pPr>
      <w:jc w:val="both"/>
      <w:outlineLvl w:val="1"/>
    </w:pPr>
    <w:rPr>
      <w:spacing w:val="2"/>
      <w:sz w:val="20"/>
      <w:szCs w:val="30"/>
    </w:rPr>
  </w:style>
  <w:style w:type="paragraph" w:customStyle="1" w:styleId="H4">
    <w:name w:val="_ H_4"/>
    <w:basedOn w:val="Normal"/>
    <w:next w:val="Normal"/>
    <w:rsid w:val="000B7434"/>
    <w:pPr>
      <w:keepNext/>
      <w:keepLines/>
      <w:suppressAutoHyphens/>
      <w:spacing w:line="360" w:lineRule="exact"/>
      <w:outlineLvl w:val="3"/>
    </w:pPr>
    <w:rPr>
      <w:i/>
      <w:iCs/>
      <w:spacing w:val="3"/>
      <w:w w:val="103"/>
      <w:kern w:val="14"/>
    </w:rPr>
  </w:style>
  <w:style w:type="paragraph" w:customStyle="1" w:styleId="H56">
    <w:name w:val="_ H_5/6"/>
    <w:basedOn w:val="Normal"/>
    <w:next w:val="Normal"/>
    <w:rsid w:val="000B7434"/>
    <w:pPr>
      <w:keepNext/>
      <w:keepLines/>
      <w:suppressAutoHyphens/>
      <w:spacing w:line="360" w:lineRule="exact"/>
      <w:outlineLvl w:val="4"/>
    </w:pPr>
    <w:rPr>
      <w:w w:val="103"/>
      <w:kern w:val="14"/>
    </w:rPr>
  </w:style>
  <w:style w:type="paragraph" w:customStyle="1" w:styleId="DualTxt">
    <w:name w:val="__Dual Txt"/>
    <w:basedOn w:val="Normal"/>
    <w:rsid w:val="000B7434"/>
    <w:pPr>
      <w:tabs>
        <w:tab w:val="left" w:pos="662"/>
        <w:tab w:val="left" w:pos="1325"/>
        <w:tab w:val="left" w:pos="1987"/>
        <w:tab w:val="left" w:pos="2650"/>
        <w:tab w:val="left" w:pos="3312"/>
        <w:tab w:val="left" w:pos="3974"/>
        <w:tab w:val="left" w:pos="4637"/>
      </w:tabs>
      <w:spacing w:after="120" w:line="400" w:lineRule="exact"/>
    </w:pPr>
    <w:rPr>
      <w:w w:val="103"/>
      <w:kern w:val="14"/>
    </w:rPr>
  </w:style>
  <w:style w:type="paragraph" w:customStyle="1" w:styleId="SingleTxt">
    <w:name w:val="__Single Txt"/>
    <w:basedOn w:val="Normal"/>
    <w:rsid w:val="000B7434"/>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character" w:styleId="CommentReference">
    <w:name w:val="annotation reference"/>
    <w:semiHidden/>
    <w:rsid w:val="000B7434"/>
    <w:rPr>
      <w:sz w:val="6"/>
      <w:szCs w:val="9"/>
    </w:rPr>
  </w:style>
  <w:style w:type="character" w:styleId="LineNumber">
    <w:name w:val="line number"/>
    <w:rsid w:val="000B7434"/>
    <w:rPr>
      <w:sz w:val="14"/>
      <w:szCs w:val="16"/>
    </w:rPr>
  </w:style>
  <w:style w:type="paragraph" w:customStyle="1" w:styleId="Small">
    <w:name w:val="Small"/>
    <w:basedOn w:val="Normal"/>
    <w:next w:val="Normal"/>
    <w:rsid w:val="000B7434"/>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rsid w:val="000B7434"/>
    <w:pPr>
      <w:spacing w:line="240" w:lineRule="exact"/>
    </w:pPr>
    <w:rPr>
      <w:spacing w:val="6"/>
      <w:w w:val="106"/>
      <w:sz w:val="14"/>
      <w:szCs w:val="21"/>
    </w:rPr>
  </w:style>
  <w:style w:type="paragraph" w:customStyle="1" w:styleId="XLarge">
    <w:name w:val="XLarge"/>
    <w:basedOn w:val="HM"/>
    <w:rsid w:val="000B7434"/>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0B7434"/>
    <w:pPr>
      <w:spacing w:line="820" w:lineRule="exact"/>
    </w:pPr>
    <w:rPr>
      <w:spacing w:val="-8"/>
      <w:w w:val="96"/>
      <w:sz w:val="57"/>
      <w:szCs w:val="86"/>
    </w:rPr>
  </w:style>
  <w:style w:type="paragraph" w:customStyle="1" w:styleId="JDualTxt">
    <w:name w:val="J__Dual Txt"/>
    <w:basedOn w:val="Normal"/>
    <w:rsid w:val="000B7434"/>
    <w:pPr>
      <w:tabs>
        <w:tab w:val="left" w:pos="475"/>
        <w:tab w:val="left" w:pos="950"/>
        <w:tab w:val="left" w:pos="1426"/>
        <w:tab w:val="left" w:pos="1901"/>
        <w:tab w:val="center" w:pos="2563"/>
        <w:tab w:val="right" w:pos="5040"/>
      </w:tabs>
      <w:spacing w:after="80" w:line="300" w:lineRule="exact"/>
    </w:pPr>
    <w:rPr>
      <w:w w:val="103"/>
      <w:kern w:val="14"/>
      <w:sz w:val="17"/>
      <w:szCs w:val="26"/>
    </w:rPr>
  </w:style>
  <w:style w:type="paragraph" w:customStyle="1" w:styleId="JSingleTxt">
    <w:name w:val="J__Single Txt"/>
    <w:basedOn w:val="Normal"/>
    <w:rsid w:val="000B7434"/>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w w:val="103"/>
      <w:kern w:val="14"/>
      <w:sz w:val="17"/>
      <w:szCs w:val="26"/>
    </w:rPr>
  </w:style>
  <w:style w:type="paragraph" w:customStyle="1" w:styleId="JCH">
    <w:name w:val="J_C_H"/>
    <w:basedOn w:val="JSingleTxt"/>
    <w:rsid w:val="000B7434"/>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0B7434"/>
    <w:pPr>
      <w:spacing w:line="420" w:lineRule="exact"/>
    </w:pPr>
    <w:rPr>
      <w:sz w:val="23"/>
      <w:szCs w:val="34"/>
    </w:rPr>
  </w:style>
  <w:style w:type="paragraph" w:customStyle="1" w:styleId="JH2">
    <w:name w:val="J_H_2"/>
    <w:basedOn w:val="JH1"/>
    <w:rsid w:val="000B7434"/>
    <w:pPr>
      <w:spacing w:line="400" w:lineRule="exact"/>
    </w:pPr>
    <w:rPr>
      <w:sz w:val="20"/>
      <w:szCs w:val="30"/>
    </w:rPr>
  </w:style>
  <w:style w:type="paragraph" w:styleId="BalloonText">
    <w:name w:val="Balloon Text"/>
    <w:basedOn w:val="Normal"/>
    <w:semiHidden/>
    <w:rsid w:val="000B7434"/>
    <w:pPr>
      <w:spacing w:line="400" w:lineRule="exact"/>
    </w:pPr>
    <w:rPr>
      <w:rFonts w:ascii="Tahoma" w:hAnsi="Tahoma" w:cs="Tahoma"/>
      <w:w w:val="103"/>
      <w:kern w:val="14"/>
      <w:sz w:val="16"/>
      <w:szCs w:val="16"/>
    </w:rPr>
  </w:style>
  <w:style w:type="paragraph" w:customStyle="1" w:styleId="JSmall">
    <w:name w:val="J_Small"/>
    <w:basedOn w:val="JSingleTxt"/>
    <w:next w:val="JSingleTxt"/>
    <w:rsid w:val="000B7434"/>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0B7434"/>
    <w:pPr>
      <w:spacing w:line="400" w:lineRule="exact"/>
    </w:pPr>
    <w:rPr>
      <w:w w:val="103"/>
      <w:kern w:val="14"/>
      <w:szCs w:val="20"/>
    </w:rPr>
  </w:style>
  <w:style w:type="paragraph" w:styleId="CommentSubject">
    <w:name w:val="annotation subject"/>
    <w:basedOn w:val="CommentText"/>
    <w:next w:val="CommentText"/>
    <w:semiHidden/>
    <w:rsid w:val="000B7434"/>
    <w:rPr>
      <w:b/>
      <w:bCs/>
    </w:rPr>
  </w:style>
  <w:style w:type="paragraph" w:customStyle="1" w:styleId="SingleTxtG">
    <w:name w:val="_ Single Txt_G"/>
    <w:basedOn w:val="Normal"/>
    <w:link w:val="SingleTxtGChar"/>
    <w:rsid w:val="000B7434"/>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0B7434"/>
    <w:rPr>
      <w:lang w:val="en-GB" w:eastAsia="en-US" w:bidi="ar-SA"/>
    </w:rPr>
  </w:style>
  <w:style w:type="character" w:customStyle="1" w:styleId="SingleTxtGAChar">
    <w:name w:val="_ Single Txt_GA Char"/>
    <w:link w:val="SingleTxtGA"/>
    <w:rsid w:val="00A319FD"/>
    <w:rPr>
      <w:rFonts w:cs="Traditional Arabic"/>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4</TotalTime>
  <Pages>95</Pages>
  <Words>27956</Words>
  <Characters>159351</Characters>
  <Application>Microsoft Office Word</Application>
  <DocSecurity>4</DocSecurity>
  <Lines>1327</Lines>
  <Paragraphs>373</Paragraphs>
  <ScaleCrop>false</ScaleCrop>
  <HeadingPairs>
    <vt:vector size="2" baseType="variant">
      <vt:variant>
        <vt:lpstr>العنوان</vt:lpstr>
      </vt:variant>
      <vt:variant>
        <vt:i4>1</vt:i4>
      </vt:variant>
    </vt:vector>
  </HeadingPairs>
  <TitlesOfParts>
    <vt:vector size="1" baseType="lpstr">
      <vt:lpstr>CEDAW/C/NPL/4-5</vt:lpstr>
    </vt:vector>
  </TitlesOfParts>
  <Company>CSD</Company>
  <LinksUpToDate>false</LinksUpToDate>
  <CharactersWithSpaces>186934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CEDAW/C/NPL/4-5</dc:title>
  <dc:subject>CONT</dc:subject>
  <dc:creator>BALAN</dc:creator>
  <cp:keywords/>
  <dc:description/>
  <cp:lastModifiedBy>BALAN</cp:lastModifiedBy>
  <cp:revision>2</cp:revision>
  <cp:lastPrinted>2011-03-07T14:30:00Z</cp:lastPrinted>
  <dcterms:created xsi:type="dcterms:W3CDTF">2011-03-21T18:08:00Z</dcterms:created>
  <dcterms:modified xsi:type="dcterms:W3CDTF">2011-03-21T18:08:00Z</dcterms:modified>
</cp:coreProperties>
</file>