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9A" w:rsidRDefault="0010169A" w:rsidP="0010169A">
      <w:pPr>
        <w:spacing w:line="60" w:lineRule="exact"/>
        <w:rPr>
          <w:color w:val="010000"/>
          <w:sz w:val="2"/>
        </w:rPr>
        <w:sectPr w:rsidR="0010169A" w:rsidSect="00FF18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</w:p>
    <w:p w:rsidR="00FF187E" w:rsidRPr="00EF2020" w:rsidRDefault="00FF187E" w:rsidP="00FF187E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F2020">
        <w:lastRenderedPageBreak/>
        <w:t xml:space="preserve">Комитет по ликвидации дискриминации </w:t>
      </w:r>
      <w:r w:rsidRPr="00FF187E">
        <w:br/>
      </w:r>
      <w:r w:rsidRPr="00EF2020">
        <w:t>в отношении женщин</w:t>
      </w:r>
    </w:p>
    <w:p w:rsidR="00FF187E" w:rsidRPr="00461A2A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461A2A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461A2A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461A2A">
      <w:pPr>
        <w:pStyle w:val="TitleHCH"/>
        <w:ind w:left="1267" w:right="1260" w:hanging="1267"/>
      </w:pPr>
      <w:r w:rsidRPr="00EF2020">
        <w:tab/>
      </w:r>
      <w:r w:rsidRPr="00EF2020">
        <w:tab/>
        <w:t>Заключи</w:t>
      </w:r>
      <w:bookmarkStart w:id="1" w:name="_GoBack"/>
      <w:bookmarkEnd w:id="1"/>
      <w:r w:rsidRPr="00EF2020">
        <w:t>тельные замечания по объединенным третьему и четвертому периодическим докладам Нигера</w:t>
      </w:r>
      <w:r w:rsidRPr="00EF2020">
        <w:rPr>
          <w:position w:val="4"/>
        </w:rPr>
        <w:t>*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FF187E" w:rsidRDefault="00FF187E" w:rsidP="00FF187E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40" w:lineRule="auto"/>
        <w:ind w:left="1267" w:right="1260" w:hanging="576"/>
        <w:rPr>
          <w:spacing w:val="5"/>
          <w:w w:val="104"/>
          <w:sz w:val="17"/>
          <w:szCs w:val="20"/>
        </w:rPr>
      </w:pPr>
      <w:r w:rsidRPr="00FF187E">
        <w:rPr>
          <w:noProof/>
          <w:w w:val="100"/>
          <w:sz w:val="17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4BD84" wp14:editId="73173702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K6xErj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  <w:r>
        <w:rPr>
          <w:spacing w:val="5"/>
          <w:w w:val="104"/>
          <w:sz w:val="17"/>
          <w:szCs w:val="20"/>
        </w:rPr>
        <w:tab/>
      </w:r>
      <w:r w:rsidRPr="00FF187E">
        <w:rPr>
          <w:spacing w:val="5"/>
          <w:w w:val="104"/>
          <w:sz w:val="17"/>
          <w:szCs w:val="20"/>
        </w:rPr>
        <w:t>*</w:t>
      </w:r>
      <w:r>
        <w:rPr>
          <w:spacing w:val="5"/>
          <w:w w:val="104"/>
          <w:sz w:val="17"/>
          <w:szCs w:val="20"/>
        </w:rPr>
        <w:tab/>
      </w:r>
      <w:r w:rsidRPr="00EF2020">
        <w:rPr>
          <w:sz w:val="17"/>
        </w:rPr>
        <w:t>Приняты Комитетом на его шестьдесят седьмой сессии (3—21 июля 2017 года).</w:t>
      </w:r>
    </w:p>
    <w:p w:rsidR="00FF187E" w:rsidRPr="000470F3" w:rsidRDefault="00FF187E" w:rsidP="00FF187E">
      <w:pPr>
        <w:pStyle w:val="SingleTxt"/>
      </w:pPr>
      <w:r w:rsidRPr="00EF2020">
        <w:t>1.</w:t>
      </w:r>
      <w:r w:rsidRPr="00EF2020">
        <w:tab/>
        <w:t>Комитет рассмотрел объединенные третий и четвертый периодические доклады Нигера (</w:t>
      </w:r>
      <w:hyperlink r:id="rId16" w:history="1">
        <w:r w:rsidRPr="000470F3">
          <w:rPr>
            <w:rStyle w:val="Hyperlink"/>
          </w:rPr>
          <w:t>CEDAW/C/NER/3-4</w:t>
        </w:r>
      </w:hyperlink>
      <w:r w:rsidRPr="00EF2020">
        <w:t>) на своих 1516-м и 1517-м заседаниях (см. </w:t>
      </w:r>
      <w:hyperlink r:id="rId17" w:history="1">
        <w:r w:rsidRPr="000470F3">
          <w:rPr>
            <w:rStyle w:val="Hyperlink"/>
          </w:rPr>
          <w:t>CEDAW/C/SR.1516</w:t>
        </w:r>
      </w:hyperlink>
      <w:r w:rsidRPr="00EF2020">
        <w:t xml:space="preserve"> и 1517), состоявшихся 13 июля 2017 года. Подгото</w:t>
      </w:r>
      <w:r w:rsidRPr="00EF2020">
        <w:t>в</w:t>
      </w:r>
      <w:r w:rsidRPr="00EF2020">
        <w:t xml:space="preserve">ленный Комитетом перечень тем и вопросов содержится в документе </w:t>
      </w:r>
      <w:hyperlink r:id="rId18" w:history="1">
        <w:r w:rsidR="000470F3" w:rsidRPr="000470F3">
          <w:rPr>
            <w:rStyle w:val="Hyperlink"/>
          </w:rPr>
          <w:t>CEDAW/C/NER/Q/3-4</w:t>
        </w:r>
      </w:hyperlink>
      <w:r w:rsidRPr="00EF2020">
        <w:rPr>
          <w:rStyle w:val="Hyperlink"/>
        </w:rPr>
        <w:t>,</w:t>
      </w:r>
      <w:r w:rsidRPr="00EF2020">
        <w:t xml:space="preserve"> а ответы Нигера представлены в документе </w:t>
      </w:r>
      <w:hyperlink r:id="rId19" w:history="1">
        <w:r w:rsidRPr="000470F3">
          <w:rPr>
            <w:rStyle w:val="Hyperlink"/>
          </w:rPr>
          <w:t>CEDAW/C/NER/Q/3-4</w:t>
        </w:r>
      </w:hyperlink>
      <w:r w:rsidRPr="00121078">
        <w:t>/Add.1</w:t>
      </w:r>
      <w:r w:rsidRPr="00EF2020">
        <w:t>.</w:t>
      </w:r>
      <w:r w:rsidR="000470F3" w:rsidRPr="000470F3">
        <w:t xml:space="preserve"> 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2020">
        <w:tab/>
        <w:t>A.</w:t>
      </w:r>
      <w:r w:rsidRPr="00EF2020">
        <w:tab/>
        <w:t>Введение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</w:pPr>
      <w:r w:rsidRPr="00EF2020">
        <w:t>2.</w:t>
      </w:r>
      <w:r w:rsidRPr="00EF2020">
        <w:tab/>
        <w:t>Комитет выражает признательность государству-участнику за предста</w:t>
      </w:r>
      <w:r w:rsidRPr="00EF2020">
        <w:t>в</w:t>
      </w:r>
      <w:r w:rsidRPr="00EF2020">
        <w:t>ление его объединенных третьего и четвертого периодических докладов. К</w:t>
      </w:r>
      <w:r w:rsidRPr="00EF2020">
        <w:t>о</w:t>
      </w:r>
      <w:r w:rsidRPr="00EF2020">
        <w:t>митет также благодарит государство-участник за письменные ответы на пер</w:t>
      </w:r>
      <w:r w:rsidRPr="00EF2020">
        <w:t>е</w:t>
      </w:r>
      <w:r w:rsidRPr="00EF2020">
        <w:t>чень проблем и вопросов, поднятых предсессионной рабочей группой, и пр</w:t>
      </w:r>
      <w:r w:rsidRPr="00EF2020">
        <w:t>и</w:t>
      </w:r>
      <w:r w:rsidRPr="00EF2020">
        <w:t>ветствует устное выступление делегации и последовавшие уточнения, пре</w:t>
      </w:r>
      <w:r w:rsidRPr="00EF2020">
        <w:t>д</w:t>
      </w:r>
      <w:r w:rsidRPr="00EF2020">
        <w:t>ставленные в ответ на устные вопросы, заданные Комитетом в ходе диалога.</w:t>
      </w:r>
    </w:p>
    <w:p w:rsidR="00FF187E" w:rsidRPr="00EF2020" w:rsidRDefault="00FF187E" w:rsidP="00FF187E">
      <w:pPr>
        <w:pStyle w:val="SingleTxt"/>
      </w:pPr>
      <w:r w:rsidRPr="00EF2020">
        <w:t>3.</w:t>
      </w:r>
      <w:r w:rsidRPr="00EF2020">
        <w:tab/>
        <w:t>Комитет выражает признательность государству-участнику за направл</w:t>
      </w:r>
      <w:r w:rsidRPr="00EF2020">
        <w:t>е</w:t>
      </w:r>
      <w:r w:rsidRPr="00EF2020">
        <w:t>ние делегации высокого уровня во главе с министром по вопросам народонас</w:t>
      </w:r>
      <w:r w:rsidRPr="00EF2020">
        <w:t>е</w:t>
      </w:r>
      <w:r w:rsidRPr="00EF2020">
        <w:t>ления, улучшения положения женщин и защиты детей Эль Бэк Зейнабу Тари Бако, включавшей представителей министерства по вопросам народонасел</w:t>
      </w:r>
      <w:r w:rsidRPr="00EF2020">
        <w:t>е</w:t>
      </w:r>
      <w:r w:rsidRPr="00EF2020">
        <w:t>ния, улучшения положения женщин и защиты детей, министерства юстиции, межминистерского комитета по подготовке докладов для договорных органов и постоянного представительства Нигера при Отделении Организации Объед</w:t>
      </w:r>
      <w:r w:rsidRPr="00EF2020">
        <w:t>и</w:t>
      </w:r>
      <w:r w:rsidRPr="00EF2020">
        <w:t>ненных Наций и других международных организациях в Женеве.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2020">
        <w:tab/>
        <w:t>B.</w:t>
      </w:r>
      <w:r w:rsidRPr="00EF2020">
        <w:tab/>
        <w:t>Позитивные аспекты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  <w:spacing w:line="240" w:lineRule="auto"/>
      </w:pPr>
      <w:r w:rsidRPr="00EF2020">
        <w:t>4.</w:t>
      </w:r>
      <w:r w:rsidRPr="00EF2020">
        <w:tab/>
        <w:t>Комитет приветствует успехи в реформировании законодательства, д</w:t>
      </w:r>
      <w:r w:rsidRPr="00EF2020">
        <w:t>о</w:t>
      </w:r>
      <w:r w:rsidRPr="00EF2020">
        <w:t>стигнутые с момента рассмотрения им второго периодического доклада гос</w:t>
      </w:r>
      <w:r w:rsidRPr="00EF2020">
        <w:t>у</w:t>
      </w:r>
      <w:r w:rsidRPr="00FF187E">
        <w:rPr>
          <w:sz w:val="10"/>
        </w:rPr>
        <w:t>д</w:t>
      </w:r>
      <w:r w:rsidRPr="00EF2020">
        <w:t>арства-участника (</w:t>
      </w:r>
      <w:hyperlink r:id="rId20" w:history="1">
        <w:r w:rsidRPr="000470F3">
          <w:rPr>
            <w:rStyle w:val="Hyperlink"/>
          </w:rPr>
          <w:t>CEDAW/C/NER/2</w:t>
        </w:r>
      </w:hyperlink>
      <w:r w:rsidRPr="00EF2020">
        <w:t>) в 2007 году, и в частности принятие сл</w:t>
      </w:r>
      <w:r w:rsidRPr="00EF2020">
        <w:t>е</w:t>
      </w:r>
      <w:r w:rsidRPr="00FF187E">
        <w:rPr>
          <w:sz w:val="17"/>
        </w:rPr>
        <w:t>д</w:t>
      </w:r>
      <w:r w:rsidRPr="00EF2020">
        <w:t>ующих законодательных актов:</w:t>
      </w:r>
    </w:p>
    <w:p w:rsidR="00FF187E" w:rsidRPr="00EF2020" w:rsidRDefault="00FF187E" w:rsidP="00FF187E">
      <w:pPr>
        <w:pStyle w:val="SingleTxt"/>
      </w:pPr>
      <w:r w:rsidRPr="00EF2020">
        <w:lastRenderedPageBreak/>
        <w:tab/>
        <w:t>a)</w:t>
      </w:r>
      <w:r w:rsidRPr="00EF2020">
        <w:tab/>
        <w:t>Конституция от 25 ноября 2010 года, в которой, в частности, закре</w:t>
      </w:r>
      <w:r w:rsidRPr="00EF2020">
        <w:t>п</w:t>
      </w:r>
      <w:r w:rsidRPr="00EF2020">
        <w:t>ляются принцип равенства всех людей перед законом без различия по признаку пола (ст. 8) и обязательства государства по ликвидации всех форм дискрим</w:t>
      </w:r>
      <w:r w:rsidRPr="00EF2020">
        <w:t>и</w:t>
      </w:r>
      <w:r w:rsidRPr="00EF2020">
        <w:t>нации в отношении женщин, девочек и инвалидов (ст. 22);</w:t>
      </w:r>
    </w:p>
    <w:p w:rsidR="00FF187E" w:rsidRPr="00EF2020" w:rsidRDefault="00FF187E" w:rsidP="00FF187E">
      <w:pPr>
        <w:pStyle w:val="SingleTxt"/>
      </w:pPr>
      <w:r w:rsidRPr="00EF2020">
        <w:tab/>
        <w:t>b)</w:t>
      </w:r>
      <w:r w:rsidRPr="00EF2020">
        <w:tab/>
        <w:t>Закон № 2014-60 от 5 ноября 2014 года, касающийся Кодекса о национальности, в соответствии с которым женщинам предоставляется право на передачу своего гражданства путем вступления в брак и вводится возмо</w:t>
      </w:r>
      <w:r w:rsidRPr="00EF2020">
        <w:t>ж</w:t>
      </w:r>
      <w:r w:rsidRPr="00EF2020">
        <w:t>ность получения двойного гражданства;</w:t>
      </w:r>
    </w:p>
    <w:p w:rsidR="00FF187E" w:rsidRPr="00EF2020" w:rsidRDefault="00FF187E" w:rsidP="00FF187E">
      <w:pPr>
        <w:pStyle w:val="SingleTxt"/>
      </w:pPr>
      <w:r w:rsidRPr="00EF2020">
        <w:tab/>
        <w:t>c)</w:t>
      </w:r>
      <w:r w:rsidRPr="00EF2020">
        <w:tab/>
        <w:t>Закон № 2014-64 от 5 ноября 2014 года, предусматривающий внес</w:t>
      </w:r>
      <w:r w:rsidRPr="00EF2020">
        <w:t>е</w:t>
      </w:r>
      <w:r w:rsidRPr="00EF2020">
        <w:t>ние поправок в Закон о квотах (№ 2000-008 от 7 июня 2000 года) в целях п</w:t>
      </w:r>
      <w:r w:rsidRPr="00EF2020">
        <w:t>о</w:t>
      </w:r>
      <w:r w:rsidRPr="00EF2020">
        <w:t>вышения квот по выборным должностям с 10 по 15 процентов для обоих п</w:t>
      </w:r>
      <w:r w:rsidRPr="00EF2020">
        <w:t>о</w:t>
      </w:r>
      <w:r w:rsidRPr="00EF2020">
        <w:t>лов;</w:t>
      </w:r>
    </w:p>
    <w:p w:rsidR="00FF187E" w:rsidRPr="00EF2020" w:rsidRDefault="00FF187E" w:rsidP="00FF187E">
      <w:pPr>
        <w:pStyle w:val="SingleTxt"/>
      </w:pPr>
      <w:r w:rsidRPr="00EF2020">
        <w:tab/>
        <w:t>d)</w:t>
      </w:r>
      <w:r w:rsidRPr="00EF2020">
        <w:tab/>
        <w:t>Закон № 2012-45 от 25 сентября 2012 года, предусматривающий вн</w:t>
      </w:r>
      <w:r w:rsidRPr="00EF2020">
        <w:t>е</w:t>
      </w:r>
      <w:r w:rsidRPr="00EF2020">
        <w:t>сение поправок в Трудовой кодекс, включая расширение списка запрещенных оснований для дискриминации, ужесточение наказания за дискриминацию и запрет на сексуальные домогательства на рабочем месте;</w:t>
      </w:r>
    </w:p>
    <w:p w:rsidR="00FF187E" w:rsidRPr="00EF2020" w:rsidRDefault="00FF187E" w:rsidP="00FF187E">
      <w:pPr>
        <w:pStyle w:val="SingleTxt"/>
      </w:pPr>
      <w:r w:rsidRPr="00EF2020">
        <w:tab/>
        <w:t>e)</w:t>
      </w:r>
      <w:r w:rsidRPr="00EF2020">
        <w:tab/>
        <w:t>Указ № 2010-086/P/CSRD/MJ/DH от 16 декабря 2010 года о борьбе с торговлей людьми с поправками, внесенными Законом № 2015-36 от 26 мая 2015 года о запрете на торговлю мигрантами.</w:t>
      </w:r>
    </w:p>
    <w:p w:rsidR="00FF187E" w:rsidRPr="00EF2020" w:rsidRDefault="00FF187E" w:rsidP="00FF187E">
      <w:pPr>
        <w:pStyle w:val="SingleTxt"/>
      </w:pPr>
      <w:r w:rsidRPr="00EF2020">
        <w:t>5.</w:t>
      </w:r>
      <w:r w:rsidRPr="00EF2020">
        <w:tab/>
        <w:t>Комитет приветствует усилия государства-участника по совершенствов</w:t>
      </w:r>
      <w:r w:rsidRPr="00EF2020">
        <w:t>а</w:t>
      </w:r>
      <w:r w:rsidRPr="00EF2020">
        <w:t>нию своей институционально-нормативной базы в целях активизации работы по ликвидации дискриминации в отношении женщин и поощрению гендерного равенства, в том числе путем принятия следующих документов:</w:t>
      </w:r>
    </w:p>
    <w:p w:rsidR="00FF187E" w:rsidRPr="00EF2020" w:rsidRDefault="00FF187E" w:rsidP="00FF187E">
      <w:pPr>
        <w:pStyle w:val="SingleTxt"/>
      </w:pPr>
      <w:r w:rsidRPr="00EF2020">
        <w:tab/>
        <w:t>a)</w:t>
      </w:r>
      <w:r w:rsidRPr="00EF2020">
        <w:tab/>
        <w:t>создание Национальной комиссии по правам человека путем прин</w:t>
      </w:r>
      <w:r w:rsidRPr="00EF2020">
        <w:t>я</w:t>
      </w:r>
      <w:r w:rsidRPr="00EF2020">
        <w:t>тия Закона № 2012-44 от 24 августа 2012 года в соответствии с принципами, касающимися статуса национальных учреждений по поощрению и защите прав человека (Парижские принципы), и предоставление ей мандата, в том числе на поощрение и защиту прав женщин;</w:t>
      </w:r>
    </w:p>
    <w:p w:rsidR="00FF187E" w:rsidRPr="00EF2020" w:rsidRDefault="00FF187E" w:rsidP="00FF187E">
      <w:pPr>
        <w:pStyle w:val="SingleTxt"/>
      </w:pPr>
      <w:r w:rsidRPr="00EF2020">
        <w:tab/>
        <w:t>b)</w:t>
      </w:r>
      <w:r w:rsidRPr="00EF2020">
        <w:tab/>
        <w:t>создание в 2012 году Национального комитета по координации мер борьбы с торговлей людьми и Национального агентства по борьбе с торговлей людьми на основании указов № 2012-082/PRN/MJ и 2012-083/PRN/MJ соотве</w:t>
      </w:r>
      <w:r w:rsidRPr="00EF2020">
        <w:t>т</w:t>
      </w:r>
      <w:r w:rsidRPr="00EF2020">
        <w:t>ственно;</w:t>
      </w:r>
    </w:p>
    <w:p w:rsidR="00FF187E" w:rsidRPr="00EF2020" w:rsidRDefault="00FF187E" w:rsidP="00FF187E">
      <w:pPr>
        <w:pStyle w:val="SingleTxt"/>
      </w:pPr>
      <w:r w:rsidRPr="00EF2020">
        <w:tab/>
        <w:t>c)</w:t>
      </w:r>
      <w:r w:rsidRPr="00EF2020">
        <w:tab/>
        <w:t>создание Национального агентства по юридической и судебной по</w:t>
      </w:r>
      <w:r w:rsidRPr="00EF2020">
        <w:t>д</w:t>
      </w:r>
      <w:r w:rsidRPr="00EF2020">
        <w:t>держке на основании Закона № 2011-42 от 14 декабря 2011 года в целях оказ</w:t>
      </w:r>
      <w:r w:rsidRPr="00EF2020">
        <w:t>а</w:t>
      </w:r>
      <w:r w:rsidRPr="00EF2020">
        <w:t>ния юридической помощи лицам, оказавшимся в уязвимом положении, вкл</w:t>
      </w:r>
      <w:r w:rsidRPr="00EF2020">
        <w:t>ю</w:t>
      </w:r>
      <w:r w:rsidRPr="00EF2020">
        <w:t>чая женщин в конкретных ситуациях;</w:t>
      </w:r>
    </w:p>
    <w:p w:rsidR="00FF187E" w:rsidRPr="00EF2020" w:rsidRDefault="00FF187E" w:rsidP="00FF187E">
      <w:pPr>
        <w:pStyle w:val="SingleTxt"/>
      </w:pPr>
      <w:r w:rsidRPr="00EF2020">
        <w:tab/>
        <w:t>d)</w:t>
      </w:r>
      <w:r w:rsidRPr="00EF2020">
        <w:tab/>
        <w:t>принятие национальной гендерной политики (2008 год) и связанного с ней национального плана действий на период 2009—2018 гг.</w:t>
      </w:r>
    </w:p>
    <w:p w:rsidR="00FF187E" w:rsidRPr="00EF2020" w:rsidRDefault="00FF187E" w:rsidP="00FF187E">
      <w:pPr>
        <w:pStyle w:val="SingleTxt"/>
      </w:pPr>
      <w:r w:rsidRPr="00EF2020">
        <w:t>6.</w:t>
      </w:r>
      <w:r w:rsidRPr="00EF2020">
        <w:tab/>
        <w:t>Комитет приветствует тот факт, что за время, прошедшее с момента ра</w:t>
      </w:r>
      <w:r w:rsidRPr="00EF2020">
        <w:t>с</w:t>
      </w:r>
      <w:r w:rsidRPr="00EF2020">
        <w:t>смотрения предыдущего периодического доклада, государство-участник рат</w:t>
      </w:r>
      <w:r w:rsidRPr="00EF2020">
        <w:t>и</w:t>
      </w:r>
      <w:r w:rsidRPr="00EF2020">
        <w:t>фицировало следующие международные и региональные документы или пр</w:t>
      </w:r>
      <w:r w:rsidRPr="00EF2020">
        <w:t>и</w:t>
      </w:r>
      <w:r w:rsidRPr="00EF2020">
        <w:t>соединилось к ним:</w:t>
      </w:r>
    </w:p>
    <w:p w:rsidR="00FF187E" w:rsidRPr="00EF2020" w:rsidRDefault="00FF187E" w:rsidP="00FF187E">
      <w:pPr>
        <w:pStyle w:val="SingleTxt"/>
      </w:pPr>
      <w:r w:rsidRPr="00EF2020">
        <w:tab/>
        <w:t>a)</w:t>
      </w:r>
      <w:r w:rsidRPr="00EF2020">
        <w:tab/>
        <w:t>Международная конвенция для защиты всех лиц от насильственных исчезновений (в 2015 году);</w:t>
      </w:r>
    </w:p>
    <w:p w:rsidR="00FF187E" w:rsidRPr="00EF2020" w:rsidRDefault="00FF187E" w:rsidP="00FF187E">
      <w:pPr>
        <w:pStyle w:val="SingleTxt"/>
      </w:pPr>
      <w:r w:rsidRPr="00EF2020">
        <w:tab/>
        <w:t>b)</w:t>
      </w:r>
      <w:r w:rsidRPr="00EF2020">
        <w:tab/>
        <w:t>Факультативный протокол к Международному пакту об экономич</w:t>
      </w:r>
      <w:r w:rsidRPr="00EF2020">
        <w:t>е</w:t>
      </w:r>
      <w:r w:rsidRPr="00EF2020">
        <w:t>ских, социальных и культурных правах (в 2014 году);</w:t>
      </w:r>
    </w:p>
    <w:p w:rsidR="00FF187E" w:rsidRPr="00EF2020" w:rsidRDefault="00FF187E" w:rsidP="00FF187E">
      <w:pPr>
        <w:pStyle w:val="SingleTxt"/>
      </w:pPr>
      <w:r w:rsidRPr="00EF2020">
        <w:lastRenderedPageBreak/>
        <w:tab/>
        <w:t>c)</w:t>
      </w:r>
      <w:r w:rsidRPr="00EF2020">
        <w:tab/>
        <w:t>Факультативный протокол к Конвенции против пыток и других ж</w:t>
      </w:r>
      <w:r w:rsidRPr="00EF2020">
        <w:t>е</w:t>
      </w:r>
      <w:r w:rsidRPr="00EF2020">
        <w:t>стоких, бесчеловечных или унижающих достоинство видов обращения и нак</w:t>
      </w:r>
      <w:r w:rsidRPr="00EF2020">
        <w:t>а</w:t>
      </w:r>
      <w:r w:rsidRPr="00EF2020">
        <w:t>зания (в 2014 году);</w:t>
      </w:r>
    </w:p>
    <w:p w:rsidR="00FF187E" w:rsidRPr="00EF2020" w:rsidRDefault="00FF187E" w:rsidP="00FF187E">
      <w:pPr>
        <w:pStyle w:val="SingleTxt"/>
      </w:pPr>
      <w:r w:rsidRPr="00EF2020">
        <w:tab/>
        <w:t>d)</w:t>
      </w:r>
      <w:r w:rsidRPr="00EF2020">
        <w:tab/>
        <w:t>Конвенция 1954 года о статусе апатридов (в 2014 году);</w:t>
      </w:r>
    </w:p>
    <w:p w:rsidR="00FF187E" w:rsidRPr="00EF2020" w:rsidRDefault="00FF187E" w:rsidP="00FF187E">
      <w:pPr>
        <w:pStyle w:val="SingleTxt"/>
      </w:pPr>
      <w:r w:rsidRPr="00EF2020">
        <w:tab/>
        <w:t>e)</w:t>
      </w:r>
      <w:r w:rsidRPr="00EF2020">
        <w:tab/>
        <w:t>Конвенция Африканского союза о защите внутренне перемещенных лиц в Африке и оказании им помощи (в 2012 году);</w:t>
      </w:r>
    </w:p>
    <w:p w:rsidR="00FF187E" w:rsidRPr="00EF2020" w:rsidRDefault="00FF187E" w:rsidP="00FF187E">
      <w:pPr>
        <w:pStyle w:val="SingleTxt"/>
      </w:pPr>
      <w:r w:rsidRPr="00EF2020">
        <w:tab/>
        <w:t>f)</w:t>
      </w:r>
      <w:r w:rsidRPr="00EF2020">
        <w:tab/>
        <w:t>Факультативный протокол к Конвенции о правах ребенка, каса</w:t>
      </w:r>
      <w:r w:rsidRPr="00EF2020">
        <w:t>ю</w:t>
      </w:r>
      <w:r w:rsidRPr="00EF2020">
        <w:t>щийся участия детей в вооруженных конфликтах (в 2012 году);</w:t>
      </w:r>
    </w:p>
    <w:p w:rsidR="00FF187E" w:rsidRPr="00EF2020" w:rsidRDefault="00FF187E" w:rsidP="00FF187E">
      <w:pPr>
        <w:pStyle w:val="SingleTxt"/>
      </w:pPr>
      <w:r w:rsidRPr="00EF2020">
        <w:tab/>
        <w:t>g)</w:t>
      </w:r>
      <w:r w:rsidRPr="00EF2020">
        <w:tab/>
        <w:t>Международная конвенция о защите прав всех трудящихся-мигрантов и членов их семей (в 2009 году);</w:t>
      </w:r>
    </w:p>
    <w:p w:rsidR="00FF187E" w:rsidRPr="00EF2020" w:rsidRDefault="00FF187E" w:rsidP="00FF187E">
      <w:pPr>
        <w:pStyle w:val="SingleTxt"/>
      </w:pPr>
      <w:r w:rsidRPr="00EF2020">
        <w:tab/>
        <w:t>h)</w:t>
      </w:r>
      <w:r w:rsidRPr="00EF2020">
        <w:tab/>
        <w:t>Конвенция о правах инвалидов (в 2008 году).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856F7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2020">
        <w:tab/>
        <w:t>C.</w:t>
      </w:r>
      <w:r w:rsidRPr="00EF2020">
        <w:tab/>
        <w:t>Парламент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</w:pPr>
      <w:r w:rsidRPr="00EF2020">
        <w:t>7.</w:t>
      </w:r>
      <w:r w:rsidRPr="00EF2020">
        <w:tab/>
      </w:r>
      <w:r w:rsidRPr="00EF2020">
        <w:rPr>
          <w:b/>
        </w:rPr>
        <w:t>Комитет подчеркивает чрезвычайно важную роль законодательной власти в обеспечении осуществления Конвенции в полном объеме (см. з</w:t>
      </w:r>
      <w:r w:rsidRPr="00EF2020">
        <w:rPr>
          <w:b/>
        </w:rPr>
        <w:t>а</w:t>
      </w:r>
      <w:r w:rsidRPr="00EF2020">
        <w:rPr>
          <w:b/>
        </w:rPr>
        <w:t>явление Комитета о его взаимоотношениях с парламентариями, принятое на сорок пятой сессии в 2010 году). Комитет предлагает национальной а</w:t>
      </w:r>
      <w:r w:rsidRPr="00EF2020">
        <w:rPr>
          <w:b/>
        </w:rPr>
        <w:t>с</w:t>
      </w:r>
      <w:r w:rsidRPr="00EF2020">
        <w:rPr>
          <w:b/>
        </w:rPr>
        <w:t>самблее в соответствии с ее мандатом принять необходимые меры для в</w:t>
      </w:r>
      <w:r w:rsidRPr="00EF2020">
        <w:rPr>
          <w:b/>
        </w:rPr>
        <w:t>ы</w:t>
      </w:r>
      <w:r w:rsidRPr="00EF2020">
        <w:rPr>
          <w:b/>
        </w:rPr>
        <w:t>полнения данных заключительных замечаний до начала следующего о</w:t>
      </w:r>
      <w:r w:rsidRPr="00EF2020">
        <w:rPr>
          <w:b/>
        </w:rPr>
        <w:t>т</w:t>
      </w:r>
      <w:r w:rsidRPr="00EF2020">
        <w:rPr>
          <w:b/>
        </w:rPr>
        <w:t>четного периода согласно Конвенции.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856F7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2020">
        <w:tab/>
        <w:t>D.</w:t>
      </w:r>
      <w:r w:rsidRPr="00EF2020">
        <w:tab/>
        <w:t>Основные проблемные области и рекомендации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856F7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2020">
        <w:tab/>
      </w:r>
      <w:r w:rsidRPr="00EF2020">
        <w:tab/>
        <w:t>Снятие оговорок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</w:pPr>
      <w:r w:rsidRPr="00EF2020">
        <w:t>8.</w:t>
      </w:r>
      <w:r w:rsidRPr="00EF2020">
        <w:tab/>
        <w:t>Комитет принимает к сведению принятие государством-участником в рамках универсального периодического обзора 2014 года рекомендаций о п</w:t>
      </w:r>
      <w:r w:rsidRPr="00EF2020">
        <w:t>е</w:t>
      </w:r>
      <w:r w:rsidRPr="00EF2020">
        <w:t>ресмотре его оговорок к пунктам (d) и (f) статьи 2, пункту (</w:t>
      </w:r>
      <w:r w:rsidRPr="00EF2020">
        <w:rPr>
          <w:lang w:val="en-US"/>
        </w:rPr>
        <w:t>a</w:t>
      </w:r>
      <w:r w:rsidRPr="00EF2020">
        <w:t xml:space="preserve">) статьи 5, пункту 4 статьи 15 и пунктам (c), (e) и (g) статьи 16 Конвенции и об учреждении национального комитета по рассмотрению их отзыва (см. </w:t>
      </w:r>
      <w:hyperlink r:id="rId21" w:history="1">
        <w:r w:rsidRPr="000470F3">
          <w:rPr>
            <w:rStyle w:val="Hyperlink"/>
          </w:rPr>
          <w:t>A/HRC/32/5</w:t>
        </w:r>
      </w:hyperlink>
      <w:r w:rsidRPr="00EF2020">
        <w:t>). Ком</w:t>
      </w:r>
      <w:r w:rsidRPr="00EF2020">
        <w:t>и</w:t>
      </w:r>
      <w:r w:rsidRPr="00EF2020">
        <w:t>тет обеспокоен тем, что не установлены сроки для завершения этого обзора.</w:t>
      </w:r>
    </w:p>
    <w:p w:rsidR="00FF187E" w:rsidRPr="00EF2020" w:rsidRDefault="00FF187E" w:rsidP="00FF187E">
      <w:pPr>
        <w:pStyle w:val="SingleTxt"/>
      </w:pPr>
      <w:r w:rsidRPr="00EF2020">
        <w:t>9.</w:t>
      </w:r>
      <w:r w:rsidRPr="00EF2020">
        <w:tab/>
      </w:r>
      <w:r w:rsidRPr="00EF2020">
        <w:rPr>
          <w:b/>
        </w:rPr>
        <w:t>Ссылаясь на свое заявление об оговорках, принятое на девятнадц</w:t>
      </w:r>
      <w:r w:rsidRPr="00EF2020">
        <w:rPr>
          <w:b/>
        </w:rPr>
        <w:t>а</w:t>
      </w:r>
      <w:r w:rsidRPr="00EF2020">
        <w:rPr>
          <w:b/>
        </w:rPr>
        <w:t>той сессии в 1998 году, Комитет считает, что оговорки к статьям 2 и 16 несовместимы с предметом и целью Конвенции и являются в силу этого недопустимыми и должны быть отозваны. Он вновь указывает на то, что снятие данных оговорок или сужение сферы их охвата является непр</w:t>
      </w:r>
      <w:r w:rsidRPr="00EF2020">
        <w:rPr>
          <w:b/>
        </w:rPr>
        <w:t>е</w:t>
      </w:r>
      <w:r w:rsidRPr="00EF2020">
        <w:rPr>
          <w:b/>
        </w:rPr>
        <w:t>менным условием осуществления Конвенции государством-участником в полном объеме и что ни традиционные, религиозные или культурные во</w:t>
      </w:r>
      <w:r w:rsidRPr="00EF2020">
        <w:rPr>
          <w:b/>
        </w:rPr>
        <w:t>з</w:t>
      </w:r>
      <w:r w:rsidRPr="00EF2020">
        <w:rPr>
          <w:b/>
        </w:rPr>
        <w:t>зрения, ни несовместимые с положениями Конвенции национальное зак</w:t>
      </w:r>
      <w:r w:rsidRPr="00EF2020">
        <w:rPr>
          <w:b/>
        </w:rPr>
        <w:t>о</w:t>
      </w:r>
      <w:r w:rsidRPr="00EF2020">
        <w:rPr>
          <w:b/>
        </w:rPr>
        <w:t>нодательство и политика не могут служить оправданием для сохранения оговорок к Конвенции.</w:t>
      </w:r>
      <w:r w:rsidRPr="00EF2020">
        <w:t xml:space="preserve"> </w:t>
      </w:r>
      <w:r w:rsidRPr="00EF2020">
        <w:rPr>
          <w:b/>
        </w:rPr>
        <w:t>Комитет рекомендует государству-участнику:</w:t>
      </w:r>
    </w:p>
    <w:p w:rsidR="00FF187E" w:rsidRPr="00EF2020" w:rsidRDefault="00FF187E" w:rsidP="00FF187E">
      <w:pPr>
        <w:pStyle w:val="SingleTxt"/>
      </w:pPr>
      <w:r w:rsidRPr="00EF2020">
        <w:tab/>
        <w:t>a)</w:t>
      </w:r>
      <w:r w:rsidRPr="00EF2020">
        <w:tab/>
      </w:r>
      <w:r w:rsidRPr="00EF2020">
        <w:rPr>
          <w:b/>
        </w:rPr>
        <w:t>ускорить рассмотрение всех его оговорок к Конвенции с целью их снятия или сужения сферы их охвата в установленные сроки при ко</w:t>
      </w:r>
      <w:r w:rsidRPr="00EF2020">
        <w:rPr>
          <w:b/>
        </w:rPr>
        <w:t>н</w:t>
      </w:r>
      <w:r w:rsidRPr="00EF2020">
        <w:rPr>
          <w:b/>
        </w:rPr>
        <w:t>сультации с традиционными лидерами и женскими организациями гра</w:t>
      </w:r>
      <w:r w:rsidRPr="00EF2020">
        <w:rPr>
          <w:b/>
        </w:rPr>
        <w:t>ж</w:t>
      </w:r>
      <w:r w:rsidRPr="00EF2020">
        <w:rPr>
          <w:b/>
        </w:rPr>
        <w:t>данского общества.</w:t>
      </w:r>
      <w:r w:rsidRPr="00EF2020">
        <w:t xml:space="preserve"> </w:t>
      </w:r>
      <w:r w:rsidRPr="00EF2020">
        <w:rPr>
          <w:b/>
        </w:rPr>
        <w:t>В этой связи он рекомендует государству-участнику принять во внимание опыт других мусульманских государств, отозвавших свои оговорки к Конвенции;</w:t>
      </w:r>
    </w:p>
    <w:p w:rsidR="00FF187E" w:rsidRPr="00EF2020" w:rsidRDefault="00FF187E" w:rsidP="00FF187E">
      <w:pPr>
        <w:pStyle w:val="SingleTxt"/>
        <w:rPr>
          <w:b/>
        </w:rPr>
      </w:pPr>
      <w:r w:rsidRPr="00EF2020">
        <w:tab/>
        <w:t>b)</w:t>
      </w:r>
      <w:r w:rsidRPr="00EF2020">
        <w:tab/>
      </w:r>
      <w:r w:rsidRPr="00EF2020">
        <w:rPr>
          <w:b/>
        </w:rPr>
        <w:t>обращаться при необходимости к партнерам в области развития с просьбой об оказании технической поддержки и использовать эту по</w:t>
      </w:r>
      <w:r w:rsidRPr="00EF2020">
        <w:rPr>
          <w:b/>
        </w:rPr>
        <w:t>д</w:t>
      </w:r>
      <w:r w:rsidRPr="00EF2020">
        <w:rPr>
          <w:b/>
        </w:rPr>
        <w:lastRenderedPageBreak/>
        <w:t>держку в целях устранения имеющихся на национальном уровне препя</w:t>
      </w:r>
      <w:r w:rsidRPr="00EF2020">
        <w:rPr>
          <w:b/>
        </w:rPr>
        <w:t>т</w:t>
      </w:r>
      <w:r w:rsidRPr="00EF2020">
        <w:rPr>
          <w:b/>
        </w:rPr>
        <w:t>ствий на пути полного принятия и осуществления Конвенции без каких-либо оговорок.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2020">
        <w:tab/>
      </w:r>
      <w:r w:rsidRPr="00EF2020">
        <w:tab/>
        <w:t>Женщины и мир и безопасность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</w:pPr>
      <w:r w:rsidRPr="00EF2020">
        <w:t>10.</w:t>
      </w:r>
      <w:r w:rsidRPr="00EF2020">
        <w:tab/>
        <w:t>Комитет отмечает, что недавние террористические акты привели к масс</w:t>
      </w:r>
      <w:r w:rsidRPr="00EF2020">
        <w:t>о</w:t>
      </w:r>
      <w:r w:rsidRPr="00EF2020">
        <w:t>вому перемещению населения, и в одном только регионе Диффа численность лиц, ищущих убежища, беженцев, репатриантов и внутренне перемещенных лиц, по имеющимся оценкам, составила 242 тыс. человек. Комитет высоко оценивает принятие государством-участником закона № 2015-36 от 26 мая 2015 года о запрете на торговлю мигрантами, открытость его границ и политику приема беженцев. В то же время Комитет обеспокоен следующим:</w:t>
      </w:r>
    </w:p>
    <w:p w:rsidR="00FF187E" w:rsidRPr="00EF2020" w:rsidRDefault="00FF187E" w:rsidP="00FF187E">
      <w:pPr>
        <w:pStyle w:val="SingleTxt"/>
      </w:pPr>
      <w:r w:rsidRPr="00EF2020">
        <w:tab/>
        <w:t>a)</w:t>
      </w:r>
      <w:r w:rsidRPr="00EF2020">
        <w:tab/>
        <w:t>отсутствие стратегической программы или законодательных мер, направленных на урегулирование чрезвычайно нестабильного положения п</w:t>
      </w:r>
      <w:r w:rsidRPr="00EF2020">
        <w:t>е</w:t>
      </w:r>
      <w:r w:rsidRPr="00EF2020">
        <w:t>ремещенных женщин и девочек в государстве-участнике, в частности в районе озера Чад;</w:t>
      </w:r>
    </w:p>
    <w:p w:rsidR="00FF187E" w:rsidRPr="00EF2020" w:rsidRDefault="00FF187E" w:rsidP="00FF187E">
      <w:pPr>
        <w:pStyle w:val="SingleTxt"/>
      </w:pPr>
      <w:r w:rsidRPr="00EF2020">
        <w:tab/>
        <w:t>b)</w:t>
      </w:r>
      <w:r w:rsidRPr="00EF2020">
        <w:tab/>
        <w:t>перемещенные женщины и девочки подвергаются риску сексуальн</w:t>
      </w:r>
      <w:r w:rsidRPr="00EF2020">
        <w:t>о</w:t>
      </w:r>
      <w:r w:rsidRPr="00EF2020">
        <w:t>го и гендерного насилия, детского брака или брака по принуждению, а также рискуют стать жертвами торговли людьми, принуждения к проституции и п</w:t>
      </w:r>
      <w:r w:rsidRPr="00EF2020">
        <w:t>о</w:t>
      </w:r>
      <w:r w:rsidRPr="00EF2020">
        <w:t>хищения террористическими группами в целях использования в качестве те</w:t>
      </w:r>
      <w:r w:rsidRPr="00EF2020">
        <w:t>р</w:t>
      </w:r>
      <w:r w:rsidRPr="00EF2020">
        <w:t>рористов-самоубийц или сексуального рабства;</w:t>
      </w:r>
    </w:p>
    <w:p w:rsidR="00FF187E" w:rsidRPr="00EF2020" w:rsidRDefault="00FF187E" w:rsidP="00FF187E">
      <w:pPr>
        <w:pStyle w:val="SingleTxt"/>
      </w:pPr>
      <w:r w:rsidRPr="00EF2020">
        <w:tab/>
        <w:t>c)</w:t>
      </w:r>
      <w:r w:rsidRPr="00EF2020">
        <w:tab/>
        <w:t>отсутствие независимого механизма, наделенного мандатом на ра</w:t>
      </w:r>
      <w:r w:rsidRPr="00EF2020">
        <w:t>с</w:t>
      </w:r>
      <w:r w:rsidRPr="00EF2020">
        <w:t>следование любых обвинений в адрес сил безопасности и террористических групп в гендерном насилии и других нарушениях прав женщин и девочек.</w:t>
      </w:r>
    </w:p>
    <w:p w:rsidR="00FF187E" w:rsidRPr="00EF2020" w:rsidRDefault="00FF187E" w:rsidP="00FF187E">
      <w:pPr>
        <w:pStyle w:val="SingleTxt"/>
        <w:rPr>
          <w:b/>
        </w:rPr>
      </w:pPr>
      <w:r w:rsidRPr="00EF2020">
        <w:t>11.</w:t>
      </w:r>
      <w:r w:rsidRPr="00EF2020">
        <w:tab/>
      </w:r>
      <w:r w:rsidRPr="00EF2020">
        <w:rPr>
          <w:b/>
        </w:rPr>
        <w:t>В соответствии со своими общими рекомендациями № 30 (2013), к</w:t>
      </w:r>
      <w:r w:rsidRPr="00EF2020">
        <w:rPr>
          <w:b/>
        </w:rPr>
        <w:t>а</w:t>
      </w:r>
      <w:r w:rsidRPr="00EF2020">
        <w:rPr>
          <w:b/>
        </w:rPr>
        <w:t>сающейся положения женщин в условиях предотвращения конфликтов, в конфликтных и постконфликтных ситуациях, и № 32 (2014), касающейся гендерных аспектов статуса беженца, убежища, гражданства и безгра</w:t>
      </w:r>
      <w:r w:rsidRPr="00EF2020">
        <w:rPr>
          <w:b/>
        </w:rPr>
        <w:t>ж</w:t>
      </w:r>
      <w:r w:rsidRPr="00EF2020">
        <w:rPr>
          <w:b/>
        </w:rPr>
        <w:t>данства женщин, Комитет рекомендует государству-участнику:</w:t>
      </w:r>
    </w:p>
    <w:p w:rsidR="00FF187E" w:rsidRPr="00EF2020" w:rsidRDefault="00FF187E" w:rsidP="00FF187E">
      <w:pPr>
        <w:pStyle w:val="SingleTxt"/>
      </w:pPr>
      <w:r w:rsidRPr="00EF2020">
        <w:tab/>
        <w:t>a)</w:t>
      </w:r>
      <w:r w:rsidRPr="00EF2020">
        <w:tab/>
      </w:r>
      <w:r w:rsidRPr="00EF2020">
        <w:rPr>
          <w:b/>
        </w:rPr>
        <w:t>ускорить принятие нормативно-законодательной базы, чтобы гарантировать безопасность женщин и девочек, относящихся к лицам, ищущим убежища, беженцам, репатриантам или внутренне перемеще</w:t>
      </w:r>
      <w:r w:rsidRPr="00EF2020">
        <w:rPr>
          <w:b/>
        </w:rPr>
        <w:t>н</w:t>
      </w:r>
      <w:r w:rsidRPr="00EF2020">
        <w:rPr>
          <w:b/>
        </w:rPr>
        <w:t>ным лицам, и обеспечить им доступ к продовольствию, чистой воде, сре</w:t>
      </w:r>
      <w:r w:rsidRPr="00EF2020">
        <w:rPr>
          <w:b/>
        </w:rPr>
        <w:t>д</w:t>
      </w:r>
      <w:r w:rsidRPr="00EF2020">
        <w:rPr>
          <w:b/>
        </w:rPr>
        <w:t>ствам санитарии, приютам, услугам здравоохранения и образования, а также упростить порядок получения ими документов, удостоверяющих личность;</w:t>
      </w:r>
    </w:p>
    <w:p w:rsidR="00FF187E" w:rsidRPr="00EF2020" w:rsidRDefault="00FF187E" w:rsidP="00FF187E">
      <w:pPr>
        <w:pStyle w:val="SingleTxt"/>
      </w:pPr>
      <w:r w:rsidRPr="00EF2020">
        <w:tab/>
        <w:t>b)</w:t>
      </w:r>
      <w:r w:rsidRPr="00EF2020">
        <w:tab/>
      </w:r>
      <w:r w:rsidRPr="00EF2020">
        <w:rPr>
          <w:b/>
        </w:rPr>
        <w:t>производить сбор данных о случаях гендерного насилия в отн</w:t>
      </w:r>
      <w:r w:rsidRPr="00EF2020">
        <w:rPr>
          <w:b/>
        </w:rPr>
        <w:t>о</w:t>
      </w:r>
      <w:r w:rsidRPr="00EF2020">
        <w:rPr>
          <w:b/>
        </w:rPr>
        <w:t>шении женщин, в первую очередь сексуального насилия, а также о случ</w:t>
      </w:r>
      <w:r w:rsidRPr="00EF2020">
        <w:rPr>
          <w:b/>
        </w:rPr>
        <w:t>а</w:t>
      </w:r>
      <w:r w:rsidRPr="00EF2020">
        <w:rPr>
          <w:b/>
        </w:rPr>
        <w:t>ях заключения детских браков или браков по принуждению, торговли людьми, принуждения к проституции и похищения террористическими группами в государстве-участнике;</w:t>
      </w:r>
    </w:p>
    <w:p w:rsidR="00FF187E" w:rsidRPr="00EF2020" w:rsidRDefault="00FF187E" w:rsidP="00FF187E">
      <w:pPr>
        <w:pStyle w:val="SingleTxt"/>
      </w:pPr>
      <w:r w:rsidRPr="00EF2020">
        <w:tab/>
        <w:t>c)</w:t>
      </w:r>
      <w:r w:rsidRPr="00EF2020">
        <w:tab/>
      </w:r>
      <w:r w:rsidRPr="00EF2020">
        <w:rPr>
          <w:b/>
        </w:rPr>
        <w:t>учредить специальный механизм, который будет заниматься расследованием обвинений в адрес сил безопасности и террористических групп в связи с нарушениями прав человека и актами насилия, уделяя особое внимание вопросам гендерного насилия и других нарушений прав женщин и девочек, а также привлекать виновных к ответственности и обеспечивать реабилитацию и компенсацию для жертв;</w:t>
      </w:r>
    </w:p>
    <w:p w:rsidR="00FF187E" w:rsidRPr="000470F3" w:rsidRDefault="00FF187E" w:rsidP="00FF187E">
      <w:pPr>
        <w:pStyle w:val="SingleTxt"/>
        <w:rPr>
          <w:b/>
        </w:rPr>
      </w:pPr>
      <w:r w:rsidRPr="00EF2020">
        <w:tab/>
        <w:t>d)</w:t>
      </w:r>
      <w:r w:rsidRPr="00EF2020">
        <w:tab/>
      </w:r>
      <w:r w:rsidRPr="00EF2020">
        <w:rPr>
          <w:b/>
        </w:rPr>
        <w:t>воспользоваться финансовой и технической помощью, пред</w:t>
      </w:r>
      <w:r w:rsidRPr="00EF2020">
        <w:rPr>
          <w:b/>
        </w:rPr>
        <w:t>о</w:t>
      </w:r>
      <w:r w:rsidRPr="00EF2020">
        <w:rPr>
          <w:b/>
        </w:rPr>
        <w:t>ставляемой международными партнерами по развитию, в целях обеспеч</w:t>
      </w:r>
      <w:r w:rsidRPr="00EF2020">
        <w:rPr>
          <w:b/>
        </w:rPr>
        <w:t>е</w:t>
      </w:r>
      <w:r w:rsidRPr="00EF2020">
        <w:rPr>
          <w:b/>
        </w:rPr>
        <w:t>ния интеграции и участия женщин на всех этапах процесса миротворч</w:t>
      </w:r>
      <w:r w:rsidRPr="00EF2020">
        <w:rPr>
          <w:b/>
        </w:rPr>
        <w:t>е</w:t>
      </w:r>
      <w:r w:rsidRPr="00EF2020">
        <w:rPr>
          <w:b/>
        </w:rPr>
        <w:lastRenderedPageBreak/>
        <w:t xml:space="preserve">ства, стабилизации и реконструкции в соответствии с резолюцией Совета Безопасности </w:t>
      </w:r>
      <w:hyperlink r:id="rId22" w:history="1">
        <w:r w:rsidRPr="000470F3">
          <w:rPr>
            <w:rStyle w:val="Hyperlink"/>
          </w:rPr>
          <w:t>1325 (2000)</w:t>
        </w:r>
      </w:hyperlink>
      <w:r w:rsidRPr="00EF2020">
        <w:rPr>
          <w:b/>
        </w:rPr>
        <w:t>.</w:t>
      </w:r>
    </w:p>
    <w:p w:rsidR="00856F76" w:rsidRPr="000470F3" w:rsidRDefault="00856F76" w:rsidP="00856F76">
      <w:pPr>
        <w:pStyle w:val="SingleTxt"/>
        <w:spacing w:after="0" w:line="120" w:lineRule="exact"/>
        <w:rPr>
          <w:b/>
          <w:sz w:val="10"/>
        </w:rPr>
      </w:pPr>
    </w:p>
    <w:p w:rsidR="00FF187E" w:rsidRPr="00EF2020" w:rsidRDefault="00FF187E" w:rsidP="00856F7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2020">
        <w:tab/>
      </w:r>
      <w:r w:rsidRPr="00EF2020">
        <w:tab/>
        <w:t>Конституционная система и дискриминационные законы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</w:pPr>
      <w:r w:rsidRPr="00EF2020">
        <w:t>12.</w:t>
      </w:r>
      <w:r w:rsidRPr="00EF2020">
        <w:tab/>
        <w:t>Комитет приветствует тот факт, что в Конституции страны содержатся з</w:t>
      </w:r>
      <w:r w:rsidRPr="00EF2020">
        <w:t>а</w:t>
      </w:r>
      <w:r w:rsidRPr="00EF2020">
        <w:t>прет на дискриминацию по признаку пола (ст. 8), обязательство государства-участника ликвидировать все формы дискриминации в отношении женщин (ст. 22) и гарантии того, что ратифицированные международные договоры имеют преимущественную силу по отношению к национальному законод</w:t>
      </w:r>
      <w:r w:rsidRPr="00EF2020">
        <w:t>а</w:t>
      </w:r>
      <w:r w:rsidRPr="00EF2020">
        <w:t>тельству (ст. 171). Тем не менее Комитет с обеспокоенностью отмечает след</w:t>
      </w:r>
      <w:r w:rsidRPr="00EF2020">
        <w:t>у</w:t>
      </w:r>
      <w:r w:rsidRPr="00EF2020">
        <w:t>ющее:</w:t>
      </w:r>
    </w:p>
    <w:p w:rsidR="00FF187E" w:rsidRPr="00EF2020" w:rsidRDefault="00FF187E" w:rsidP="00FF187E">
      <w:pPr>
        <w:pStyle w:val="SingleTxt"/>
      </w:pPr>
      <w:r w:rsidRPr="00EF2020">
        <w:tab/>
        <w:t>a)</w:t>
      </w:r>
      <w:r w:rsidRPr="00EF2020">
        <w:tab/>
        <w:t>отсутствуют зримые свидетельства того, что определение дискрим</w:t>
      </w:r>
      <w:r w:rsidRPr="00EF2020">
        <w:t>и</w:t>
      </w:r>
      <w:r w:rsidRPr="00EF2020">
        <w:t>нации в отношении женщин, которое в соответствии со статьей 1 Конвенции предусматривает запрет прямой и косвенной дискриминации, применяется го</w:t>
      </w:r>
      <w:r w:rsidRPr="00EF2020">
        <w:t>с</w:t>
      </w:r>
      <w:r w:rsidRPr="00EF2020">
        <w:t>ударством-участником на практике;</w:t>
      </w:r>
    </w:p>
    <w:p w:rsidR="00FF187E" w:rsidRPr="00EF2020" w:rsidRDefault="00FF187E" w:rsidP="00FF187E">
      <w:pPr>
        <w:pStyle w:val="SingleTxt"/>
      </w:pPr>
      <w:r w:rsidRPr="00EF2020">
        <w:tab/>
        <w:t>b)</w:t>
      </w:r>
      <w:r w:rsidRPr="00EF2020">
        <w:tab/>
        <w:t>согласно Закону № 62-11 от 16 марта 1962 года и Закону № 2004-50 от 22 июля 2004 года обычное право имеет преимущественную силу перед гражданским правом при рассмотрении большинства вопросов о личном ст</w:t>
      </w:r>
      <w:r w:rsidRPr="00EF2020">
        <w:t>а</w:t>
      </w:r>
      <w:r w:rsidRPr="00EF2020">
        <w:t>тусе, включая брак, развод, происхождение по прямой линии, наследование, урегулирование споров на тему активов и завещаний, а также права собстве</w:t>
      </w:r>
      <w:r w:rsidRPr="00EF2020">
        <w:t>н</w:t>
      </w:r>
      <w:r w:rsidRPr="00EF2020">
        <w:t>ности, что негативно отражается на положении женщин и девочек;</w:t>
      </w:r>
    </w:p>
    <w:p w:rsidR="00FF187E" w:rsidRPr="00EF2020" w:rsidRDefault="00FF187E" w:rsidP="00FF187E">
      <w:pPr>
        <w:pStyle w:val="SingleTxt"/>
      </w:pPr>
      <w:r w:rsidRPr="00EF2020">
        <w:tab/>
        <w:t>c)</w:t>
      </w:r>
      <w:r w:rsidRPr="00EF2020">
        <w:tab/>
        <w:t>Не предусмотрены сроки отмены дискриминационных положений законодательства, включая положения Гражданского кодекса, регулирующие в числе прочего такие вопросы, как семейный очаг (ст. 108), статус главы дом</w:t>
      </w:r>
      <w:r w:rsidRPr="00EF2020">
        <w:t>о</w:t>
      </w:r>
      <w:r w:rsidRPr="00EF2020">
        <w:t>хозяйства и родительская власть (ст. 213—216), правоспособность замужних женщин (ст. 506 и 507), повторное вступление в брак (ст. 228 и 296), осущест</w:t>
      </w:r>
      <w:r w:rsidRPr="00EF2020">
        <w:t>в</w:t>
      </w:r>
      <w:r w:rsidRPr="00EF2020">
        <w:t>ление опеки над детьми (ст. 389—396 и 405) и распределение имущества, нажитого в браке (ст. 818);</w:t>
      </w:r>
    </w:p>
    <w:p w:rsidR="00FF187E" w:rsidRPr="00EF2020" w:rsidRDefault="00FF187E" w:rsidP="00FF187E">
      <w:pPr>
        <w:pStyle w:val="SingleTxt"/>
      </w:pPr>
      <w:r w:rsidRPr="00EF2020">
        <w:tab/>
        <w:t>d)</w:t>
      </w:r>
      <w:r w:rsidRPr="00EF2020">
        <w:tab/>
        <w:t>проект кодекса о личном статусе от 2010 года не был принят по пр</w:t>
      </w:r>
      <w:r w:rsidRPr="00EF2020">
        <w:t>и</w:t>
      </w:r>
      <w:r w:rsidRPr="00EF2020">
        <w:t>чине враждебного настроя определенных групп.</w:t>
      </w:r>
    </w:p>
    <w:p w:rsidR="00FF187E" w:rsidRPr="00EF2020" w:rsidRDefault="00FF187E" w:rsidP="00FF187E">
      <w:pPr>
        <w:pStyle w:val="SingleTxt"/>
      </w:pPr>
      <w:r w:rsidRPr="00EF2020">
        <w:t>13.</w:t>
      </w:r>
      <w:r w:rsidRPr="00EF2020">
        <w:tab/>
      </w:r>
      <w:r w:rsidRPr="00EF2020">
        <w:rPr>
          <w:b/>
        </w:rPr>
        <w:t>Ссылаясь на свою общую рекомендацию № 28 (2010), касающуюся основных обязательств государств-участников по статье 2 Конвенции о ликвидации всех форм дискриминации в отношении женщин, Комитет рекомендует государству-участнику уделить первостепенное внимание процессу реформирования законодательства с учетом взаимосвязи между статьями 1 и 2 Конвенции и целью 5.1 в области устойчивого развития, предусматривающей повсеместную ликвидацию всех форм дискримин</w:t>
      </w:r>
      <w:r w:rsidRPr="00EF2020">
        <w:rPr>
          <w:b/>
        </w:rPr>
        <w:t>а</w:t>
      </w:r>
      <w:r w:rsidRPr="00EF2020">
        <w:rPr>
          <w:b/>
        </w:rPr>
        <w:t>ции в отношении всех женщин и девочек, в установленные сроки, с тем чтобы:</w:t>
      </w:r>
    </w:p>
    <w:p w:rsidR="00FF187E" w:rsidRPr="00EF2020" w:rsidRDefault="00FF187E" w:rsidP="00FF187E">
      <w:pPr>
        <w:pStyle w:val="SingleTxt"/>
      </w:pPr>
      <w:r w:rsidRPr="00EF2020">
        <w:tab/>
        <w:t>a)</w:t>
      </w:r>
      <w:r w:rsidRPr="00EF2020">
        <w:tab/>
      </w:r>
      <w:r w:rsidRPr="00EF2020">
        <w:rPr>
          <w:b/>
        </w:rPr>
        <w:t>укрепить фактическое равенство женщин как юридически, так и на практике путем применения определения дискриминации женщин, соответствующего статье 1 Конвенции и включающего прямую и косве</w:t>
      </w:r>
      <w:r w:rsidRPr="00EF2020">
        <w:rPr>
          <w:b/>
        </w:rPr>
        <w:t>н</w:t>
      </w:r>
      <w:r w:rsidRPr="00EF2020">
        <w:rPr>
          <w:b/>
        </w:rPr>
        <w:t>ную дискриминацию в государственном и частном секторах, а также пер</w:t>
      </w:r>
      <w:r w:rsidRPr="00EF2020">
        <w:rPr>
          <w:b/>
        </w:rPr>
        <w:t>е</w:t>
      </w:r>
      <w:r w:rsidRPr="00EF2020">
        <w:rPr>
          <w:b/>
        </w:rPr>
        <w:t>секающиеся формы дискриминации в отношении женщин;</w:t>
      </w:r>
    </w:p>
    <w:p w:rsidR="00FF187E" w:rsidRPr="00EF2020" w:rsidRDefault="00FF187E" w:rsidP="00FF187E">
      <w:pPr>
        <w:pStyle w:val="SingleTxt"/>
      </w:pPr>
      <w:r w:rsidRPr="00EF2020">
        <w:tab/>
        <w:t>b)</w:t>
      </w:r>
      <w:r w:rsidRPr="00EF2020">
        <w:tab/>
      </w:r>
      <w:r w:rsidRPr="00EF2020">
        <w:rPr>
          <w:b/>
        </w:rPr>
        <w:t>привести нормы статутного и обычного права в соответствие с положениями Конвенции и отменить все законы, противоречащие при</w:t>
      </w:r>
      <w:r w:rsidRPr="00EF2020">
        <w:rPr>
          <w:b/>
        </w:rPr>
        <w:t>н</w:t>
      </w:r>
      <w:r w:rsidRPr="00EF2020">
        <w:rPr>
          <w:b/>
        </w:rPr>
        <w:t>ципу равенства женщин и мужчин и запрету на дискриминацию по пол</w:t>
      </w:r>
      <w:r w:rsidRPr="00EF2020">
        <w:rPr>
          <w:b/>
        </w:rPr>
        <w:t>о</w:t>
      </w:r>
      <w:r w:rsidRPr="00EF2020">
        <w:rPr>
          <w:b/>
        </w:rPr>
        <w:t>вому признаку;</w:t>
      </w:r>
    </w:p>
    <w:p w:rsidR="00FF187E" w:rsidRPr="00EF2020" w:rsidRDefault="00FF187E" w:rsidP="00FF187E">
      <w:pPr>
        <w:pStyle w:val="SingleTxt"/>
      </w:pPr>
      <w:r w:rsidRPr="00EF2020">
        <w:tab/>
        <w:t>c)</w:t>
      </w:r>
      <w:r w:rsidRPr="00EF2020">
        <w:tab/>
      </w:r>
      <w:r w:rsidRPr="00EF2020">
        <w:rPr>
          <w:b/>
        </w:rPr>
        <w:t>организовать на основе широкого участия открытое обществе</w:t>
      </w:r>
      <w:r w:rsidRPr="00EF2020">
        <w:rPr>
          <w:b/>
        </w:rPr>
        <w:t>н</w:t>
      </w:r>
      <w:r w:rsidRPr="00EF2020">
        <w:rPr>
          <w:b/>
        </w:rPr>
        <w:t xml:space="preserve">ное обсуждение вопросов разнообразия мнений и вариантов толкования </w:t>
      </w:r>
      <w:r w:rsidRPr="00EF2020">
        <w:rPr>
          <w:b/>
        </w:rPr>
        <w:lastRenderedPageBreak/>
        <w:t>обычных персональных законов и практики и при участии женских общ</w:t>
      </w:r>
      <w:r w:rsidRPr="00EF2020">
        <w:rPr>
          <w:b/>
        </w:rPr>
        <w:t>е</w:t>
      </w:r>
      <w:r w:rsidRPr="00EF2020">
        <w:rPr>
          <w:b/>
        </w:rPr>
        <w:t>ственных организаций повышать уровень осведомленности парламент</w:t>
      </w:r>
      <w:r w:rsidRPr="00EF2020">
        <w:rPr>
          <w:b/>
        </w:rPr>
        <w:t>а</w:t>
      </w:r>
      <w:r w:rsidRPr="00EF2020">
        <w:rPr>
          <w:b/>
        </w:rPr>
        <w:t>риев, традиционных лидеров и общественности о значении комплексной, последовательной и согласованной правовой реформы, цель которой с</w:t>
      </w:r>
      <w:r w:rsidRPr="00EF2020">
        <w:rPr>
          <w:b/>
        </w:rPr>
        <w:t>о</w:t>
      </w:r>
      <w:r w:rsidRPr="00EF2020">
        <w:rPr>
          <w:b/>
        </w:rPr>
        <w:t>стоит в достижении фактического равенства женщин и мужчин, с тем чт</w:t>
      </w:r>
      <w:r w:rsidRPr="00EF2020">
        <w:rPr>
          <w:b/>
        </w:rPr>
        <w:t>о</w:t>
      </w:r>
      <w:r w:rsidRPr="00EF2020">
        <w:rPr>
          <w:b/>
        </w:rPr>
        <w:t>бы добиться консенсуса относительно принятия недискриминационного кодекса о личном статусе;</w:t>
      </w:r>
    </w:p>
    <w:p w:rsidR="00FF187E" w:rsidRPr="00EF2020" w:rsidRDefault="00FF187E" w:rsidP="00FF187E">
      <w:pPr>
        <w:pStyle w:val="SingleTxt"/>
        <w:rPr>
          <w:b/>
        </w:rPr>
      </w:pPr>
      <w:r w:rsidRPr="00EF2020">
        <w:tab/>
        <w:t>d)</w:t>
      </w:r>
      <w:r w:rsidRPr="00EF2020">
        <w:tab/>
      </w:r>
      <w:r w:rsidRPr="00EF2020">
        <w:rPr>
          <w:b/>
        </w:rPr>
        <w:t>ускорить ратификацию Протокола к Африканской хартии прав человека и народов, касающегося прав женщин в Африке.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2020">
        <w:tab/>
      </w:r>
      <w:r w:rsidRPr="00EF2020">
        <w:tab/>
        <w:t>Доступ к правосудию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</w:pPr>
      <w:r w:rsidRPr="00EF2020">
        <w:t>14.</w:t>
      </w:r>
      <w:r w:rsidRPr="00EF2020">
        <w:tab/>
        <w:t>Комитет принимает к сведению заявление государства-участника о пред</w:t>
      </w:r>
      <w:r w:rsidRPr="00EF2020">
        <w:t>о</w:t>
      </w:r>
      <w:r w:rsidRPr="00EF2020">
        <w:t>ставлении правовой помощи всем женщинам, участвующим в определенных судебных разбирательствах, в том числе по вопросам семейного права. Ком</w:t>
      </w:r>
      <w:r w:rsidRPr="00EF2020">
        <w:t>и</w:t>
      </w:r>
      <w:r w:rsidRPr="00EF2020">
        <w:t>тет также учитывает проведение программ информирования государственных судей, судей, действующих в рамках обычного права, и сотрудников прав</w:t>
      </w:r>
      <w:r w:rsidRPr="00EF2020">
        <w:t>о</w:t>
      </w:r>
      <w:r w:rsidRPr="00EF2020">
        <w:t>охранительных органов о положениях Конвенции, однако выражает сожаление в связи с отсутствием информации о каких бы то ни было случаях применения положений Конвенции в национальных судах. Комитет по-прежнему обеспок</w:t>
      </w:r>
      <w:r w:rsidRPr="00EF2020">
        <w:t>о</w:t>
      </w:r>
      <w:r w:rsidRPr="00EF2020">
        <w:t>ен ограниченным доступом женщин к правосудию, в первую очередь в связи со следующим:</w:t>
      </w:r>
    </w:p>
    <w:p w:rsidR="00FF187E" w:rsidRPr="00EF2020" w:rsidRDefault="00FF187E" w:rsidP="00FF187E">
      <w:pPr>
        <w:pStyle w:val="SingleTxt"/>
      </w:pPr>
      <w:r w:rsidRPr="00EF2020">
        <w:tab/>
        <w:t>a)</w:t>
      </w:r>
      <w:r w:rsidRPr="00EF2020">
        <w:tab/>
        <w:t>основная часть услуг по правовой и юридической помощи сосред</w:t>
      </w:r>
      <w:r w:rsidRPr="00EF2020">
        <w:t>о</w:t>
      </w:r>
      <w:r w:rsidRPr="00EF2020">
        <w:t>точена в столице;</w:t>
      </w:r>
    </w:p>
    <w:p w:rsidR="00FF187E" w:rsidRPr="00EF2020" w:rsidRDefault="00FF187E" w:rsidP="00FF187E">
      <w:pPr>
        <w:pStyle w:val="SingleTxt"/>
      </w:pPr>
      <w:r w:rsidRPr="00EF2020">
        <w:tab/>
        <w:t>b)</w:t>
      </w:r>
      <w:r w:rsidRPr="00EF2020">
        <w:tab/>
        <w:t>плохая осведомленность женщин о своих правах и способах их з</w:t>
      </w:r>
      <w:r w:rsidRPr="00EF2020">
        <w:t>а</w:t>
      </w:r>
      <w:r w:rsidRPr="00EF2020">
        <w:t>щиты, обусловленная высоким уровнем нищеты и неграмотности женщин в государстве-участнике;</w:t>
      </w:r>
    </w:p>
    <w:p w:rsidR="00FF187E" w:rsidRPr="00EF2020" w:rsidRDefault="00FF187E" w:rsidP="00FF187E">
      <w:pPr>
        <w:pStyle w:val="SingleTxt"/>
      </w:pPr>
      <w:r w:rsidRPr="00EF2020">
        <w:tab/>
        <w:t>c)</w:t>
      </w:r>
      <w:r w:rsidRPr="00EF2020">
        <w:tab/>
        <w:t>отсутствие юридической помощи для женщин в судах обычного пр</w:t>
      </w:r>
      <w:r w:rsidRPr="00EF2020">
        <w:t>а</w:t>
      </w:r>
      <w:r w:rsidRPr="00EF2020">
        <w:t>ва, которые занимаются рассмотрением большей части семейных и личных дел;</w:t>
      </w:r>
    </w:p>
    <w:p w:rsidR="00FF187E" w:rsidRPr="00EF2020" w:rsidRDefault="00FF187E" w:rsidP="00FF187E">
      <w:pPr>
        <w:pStyle w:val="SingleTxt"/>
      </w:pPr>
      <w:r w:rsidRPr="00EF2020">
        <w:tab/>
        <w:t>d)</w:t>
      </w:r>
      <w:r w:rsidRPr="00EF2020">
        <w:tab/>
        <w:t>недостаточная информированность государственных судей, судей, действующих в рамках обычного права, и сотрудников правоохранительных органов о правах женщин и недостаточное внимание к нарушению таких прав.</w:t>
      </w:r>
    </w:p>
    <w:p w:rsidR="00FF187E" w:rsidRPr="00EF2020" w:rsidRDefault="00FF187E" w:rsidP="00FF187E">
      <w:pPr>
        <w:pStyle w:val="SingleTxt"/>
      </w:pPr>
      <w:r w:rsidRPr="00EF2020">
        <w:t>15.</w:t>
      </w:r>
      <w:r w:rsidRPr="00EF2020">
        <w:tab/>
      </w:r>
      <w:r w:rsidRPr="00EF2020">
        <w:rPr>
          <w:b/>
        </w:rPr>
        <w:t>Ссылаясь на свою общую рекомендацию № 33 (2015), посвященную доступу женщин к правосудию, Комитет напоминает государству-участнику о лежащей на нем обязанности следить за тем, чтобы все ко</w:t>
      </w:r>
      <w:r w:rsidRPr="00EF2020">
        <w:rPr>
          <w:b/>
        </w:rPr>
        <w:t>м</w:t>
      </w:r>
      <w:r w:rsidRPr="00EF2020">
        <w:rPr>
          <w:b/>
        </w:rPr>
        <w:t>поненты плюралистической системы правосудия обеспечивали защиту прав женщин от нарушений. С учетом своей предыдущей рекомендации (</w:t>
      </w:r>
      <w:hyperlink r:id="rId23" w:history="1">
        <w:r w:rsidRPr="000470F3">
          <w:rPr>
            <w:rStyle w:val="Hyperlink"/>
            <w:b/>
          </w:rPr>
          <w:t>CEDAW/C/NER/CO/2</w:t>
        </w:r>
      </w:hyperlink>
      <w:r w:rsidRPr="00EF2020">
        <w:rPr>
          <w:b/>
        </w:rPr>
        <w:t>, п. 14) Комитет рекомендует государству-участнику:</w:t>
      </w:r>
    </w:p>
    <w:p w:rsidR="00FF187E" w:rsidRPr="00EF2020" w:rsidRDefault="00FF187E" w:rsidP="00FF187E">
      <w:pPr>
        <w:pStyle w:val="SingleTxt"/>
        <w:rPr>
          <w:b/>
        </w:rPr>
      </w:pPr>
      <w:r w:rsidRPr="00EF2020">
        <w:tab/>
        <w:t>a)</w:t>
      </w:r>
      <w:r w:rsidRPr="00EF2020">
        <w:tab/>
      </w:r>
      <w:r w:rsidRPr="00EF2020">
        <w:rPr>
          <w:b/>
        </w:rPr>
        <w:t>укрепить государственную систему правосудия, в том числе за счет увеличения ее людских, технических и финансовых ресурсов, и ра</w:t>
      </w:r>
      <w:r w:rsidRPr="00EF2020">
        <w:rPr>
          <w:b/>
        </w:rPr>
        <w:t>с</w:t>
      </w:r>
      <w:r w:rsidRPr="00EF2020">
        <w:rPr>
          <w:b/>
        </w:rPr>
        <w:t>ширить число и охват правовых услуг и помощи как в государственной системе правосудия, так и в системе обычного права, чтобы обеспечить женщинам полноценный доступ к правосудию на всей территории гос</w:t>
      </w:r>
      <w:r w:rsidRPr="00EF2020">
        <w:rPr>
          <w:b/>
        </w:rPr>
        <w:t>у</w:t>
      </w:r>
      <w:r w:rsidRPr="00EF2020">
        <w:rPr>
          <w:b/>
        </w:rPr>
        <w:t>дарства-участника;</w:t>
      </w:r>
    </w:p>
    <w:p w:rsidR="00FF187E" w:rsidRPr="00EF2020" w:rsidRDefault="00FF187E" w:rsidP="00FF187E">
      <w:pPr>
        <w:pStyle w:val="SingleTxt"/>
      </w:pPr>
      <w:r w:rsidRPr="00EF2020">
        <w:tab/>
        <w:t>b)</w:t>
      </w:r>
      <w:r w:rsidRPr="00EF2020">
        <w:tab/>
      </w:r>
      <w:r w:rsidRPr="00EF2020">
        <w:rPr>
          <w:b/>
        </w:rPr>
        <w:t>повысить уровень информированности женщин об имеющихся у них правах и средствах обеспечения их соблюдения, в том числе за счет укрепления сотрудничества с организациями гражданского общества;</w:t>
      </w:r>
    </w:p>
    <w:p w:rsidR="00FF187E" w:rsidRPr="00EF2020" w:rsidRDefault="00FF187E" w:rsidP="00FF187E">
      <w:pPr>
        <w:pStyle w:val="SingleTxt"/>
      </w:pPr>
      <w:r w:rsidRPr="00EF2020">
        <w:tab/>
        <w:t>c)</w:t>
      </w:r>
      <w:r w:rsidRPr="00EF2020">
        <w:tab/>
      </w:r>
      <w:r w:rsidRPr="00EF2020">
        <w:rPr>
          <w:b/>
        </w:rPr>
        <w:t xml:space="preserve">организовать программы повышения квалификации в областях, касающихся Конвенции и прав женщин, как для государственных судей и судей, действующих в рамках обычного права, так и для других юристов в </w:t>
      </w:r>
      <w:r w:rsidRPr="00EF2020">
        <w:rPr>
          <w:b/>
        </w:rPr>
        <w:lastRenderedPageBreak/>
        <w:t>целях приведения практики судов обычного права в соответствие с пол</w:t>
      </w:r>
      <w:r w:rsidRPr="00EF2020">
        <w:rPr>
          <w:b/>
        </w:rPr>
        <w:t>о</w:t>
      </w:r>
      <w:r w:rsidRPr="00EF2020">
        <w:rPr>
          <w:b/>
        </w:rPr>
        <w:t>жениями Конвенции, а также повышения осведомленности и искоренения практики формирования стереотипов и стигматизации, с которой сталк</w:t>
      </w:r>
      <w:r w:rsidRPr="00EF2020">
        <w:rPr>
          <w:b/>
        </w:rPr>
        <w:t>и</w:t>
      </w:r>
      <w:r w:rsidRPr="00EF2020">
        <w:rPr>
          <w:b/>
        </w:rPr>
        <w:t>ваются женщины, отстаивающие свои права.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2020">
        <w:tab/>
      </w:r>
      <w:r w:rsidRPr="00EF2020">
        <w:tab/>
        <w:t>Национальные механизмы по улучшению положения женщин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</w:pPr>
      <w:r w:rsidRPr="00EF2020">
        <w:t>16.</w:t>
      </w:r>
      <w:r w:rsidRPr="00EF2020">
        <w:tab/>
        <w:t>Комитет приветствует создание Национального центра по укреплению гендерного равенства, закрепление координаторов по гендерным вопросам за всеми министерствами и создание парламентской сети по гендерным вопр</w:t>
      </w:r>
      <w:r w:rsidRPr="00EF2020">
        <w:t>о</w:t>
      </w:r>
      <w:r w:rsidRPr="00EF2020">
        <w:t>сам. В то же время Комитет обеспокоен ограниченностью финансовых и лю</w:t>
      </w:r>
      <w:r w:rsidRPr="00EF2020">
        <w:t>д</w:t>
      </w:r>
      <w:r w:rsidRPr="00EF2020">
        <w:t>ских ресурсов, а также недостаточным присутствием подобных механизмов на местном уровне и теми трудностями, которые возникают при обеспечении полноценной координации работы этих структур и министерства по вопросам народонаселения, улучшения положения женщин и защиты детей в целях вс</w:t>
      </w:r>
      <w:r w:rsidRPr="00EF2020">
        <w:t>е</w:t>
      </w:r>
      <w:r w:rsidRPr="00EF2020">
        <w:t>стороннего учета гендерной проблематики на уровне национальных и местных органов управления.</w:t>
      </w:r>
    </w:p>
    <w:p w:rsidR="00FF187E" w:rsidRPr="00EF2020" w:rsidRDefault="00FF187E" w:rsidP="00FF187E">
      <w:pPr>
        <w:pStyle w:val="SingleTxt"/>
      </w:pPr>
      <w:r w:rsidRPr="00EF2020">
        <w:t>17.</w:t>
      </w:r>
      <w:r w:rsidRPr="00EF2020">
        <w:tab/>
      </w:r>
      <w:r w:rsidRPr="00EF2020">
        <w:rPr>
          <w:b/>
        </w:rPr>
        <w:t>Комитет, напоминая о своей общей рекомендации № 6 (1988) об э</w:t>
      </w:r>
      <w:r w:rsidRPr="00EF2020">
        <w:rPr>
          <w:b/>
        </w:rPr>
        <w:t>ф</w:t>
      </w:r>
      <w:r w:rsidRPr="00EF2020">
        <w:rPr>
          <w:b/>
        </w:rPr>
        <w:t>фективных национальных механизмах и информировании общественн</w:t>
      </w:r>
      <w:r w:rsidRPr="00EF2020">
        <w:rPr>
          <w:b/>
        </w:rPr>
        <w:t>о</w:t>
      </w:r>
      <w:r w:rsidRPr="00EF2020">
        <w:rPr>
          <w:b/>
        </w:rPr>
        <w:t>сти, а также руководящих принципах Пекинской декларации и Платфо</w:t>
      </w:r>
      <w:r w:rsidRPr="00EF2020">
        <w:rPr>
          <w:b/>
        </w:rPr>
        <w:t>р</w:t>
      </w:r>
      <w:r w:rsidRPr="00EF2020">
        <w:rPr>
          <w:b/>
        </w:rPr>
        <w:t>мы действий, в частности относительно создания необходимых условий для эффективного функционирования национальных механизмов, рек</w:t>
      </w:r>
      <w:r w:rsidRPr="00EF2020">
        <w:rPr>
          <w:b/>
        </w:rPr>
        <w:t>о</w:t>
      </w:r>
      <w:r w:rsidRPr="00EF2020">
        <w:rPr>
          <w:b/>
        </w:rPr>
        <w:t>мендует государству-участнику:</w:t>
      </w:r>
    </w:p>
    <w:p w:rsidR="00FF187E" w:rsidRPr="00EF2020" w:rsidRDefault="00FF187E" w:rsidP="00FF187E">
      <w:pPr>
        <w:pStyle w:val="SingleTxt"/>
      </w:pPr>
      <w:r w:rsidRPr="00EF2020">
        <w:tab/>
        <w:t>a)</w:t>
      </w:r>
      <w:r w:rsidRPr="00EF2020">
        <w:tab/>
      </w:r>
      <w:r w:rsidRPr="00EF2020">
        <w:rPr>
          <w:b/>
        </w:rPr>
        <w:t>выделить необходимые людские, технические и финансовые р</w:t>
      </w:r>
      <w:r w:rsidRPr="00EF2020">
        <w:rPr>
          <w:b/>
        </w:rPr>
        <w:t>е</w:t>
      </w:r>
      <w:r w:rsidRPr="00EF2020">
        <w:rPr>
          <w:b/>
        </w:rPr>
        <w:t>сурсы</w:t>
      </w:r>
      <w:r w:rsidRPr="00EF2020">
        <w:t xml:space="preserve"> </w:t>
      </w:r>
      <w:r w:rsidRPr="00EF2020">
        <w:rPr>
          <w:b/>
        </w:rPr>
        <w:t>министерству по вопросам народонаселения, улучшения положения женщин и защиты детей, Национальному центру по укреплению генде</w:t>
      </w:r>
      <w:r w:rsidRPr="00EF2020">
        <w:rPr>
          <w:b/>
        </w:rPr>
        <w:t>р</w:t>
      </w:r>
      <w:r w:rsidRPr="00EF2020">
        <w:rPr>
          <w:b/>
        </w:rPr>
        <w:t>ного равенства и координаторам по гендерным вопросам на уровне мин</w:t>
      </w:r>
      <w:r w:rsidRPr="00EF2020">
        <w:rPr>
          <w:b/>
        </w:rPr>
        <w:t>и</w:t>
      </w:r>
      <w:r w:rsidRPr="00EF2020">
        <w:rPr>
          <w:b/>
        </w:rPr>
        <w:t>стерств, а также схожим механизмам, действующим на местном уровне, в целях укрепления их мандата в сфере координации, наблюдения и оценки последствий осуществления государственных стратегий и национальных планов действий по улучшению положения женщин;</w:t>
      </w:r>
    </w:p>
    <w:p w:rsidR="00FF187E" w:rsidRPr="00EF2020" w:rsidRDefault="00FF187E" w:rsidP="00FF187E">
      <w:pPr>
        <w:pStyle w:val="SingleTxt"/>
      </w:pPr>
      <w:r w:rsidRPr="00EF2020">
        <w:tab/>
        <w:t>b)</w:t>
      </w:r>
      <w:r w:rsidRPr="00EF2020">
        <w:tab/>
      </w:r>
      <w:r w:rsidRPr="00EF2020">
        <w:rPr>
          <w:b/>
        </w:rPr>
        <w:t>провести анализ воздействия национального гендерного плана действий (на 2009–2018 годы) по окончании его срока, чтобы оценить пр</w:t>
      </w:r>
      <w:r w:rsidRPr="00EF2020">
        <w:rPr>
          <w:b/>
        </w:rPr>
        <w:t>о</w:t>
      </w:r>
      <w:r w:rsidRPr="00EF2020">
        <w:rPr>
          <w:b/>
        </w:rPr>
        <w:t>гресс, достигнутый в деле обеспечения гендерного равенства, и разраб</w:t>
      </w:r>
      <w:r w:rsidRPr="00EF2020">
        <w:rPr>
          <w:b/>
        </w:rPr>
        <w:t>о</w:t>
      </w:r>
      <w:r w:rsidRPr="00EF2020">
        <w:rPr>
          <w:b/>
        </w:rPr>
        <w:t>тать, консультируясь с женскими организациями гражданского общества, новую стратегию, в которой будут четко определяться полномочия наци</w:t>
      </w:r>
      <w:r w:rsidRPr="00EF2020">
        <w:rPr>
          <w:b/>
        </w:rPr>
        <w:t>о</w:t>
      </w:r>
      <w:r w:rsidRPr="00EF2020">
        <w:rPr>
          <w:b/>
        </w:rPr>
        <w:t>нальных и местных органов власти по ее реализации и которая будет о</w:t>
      </w:r>
      <w:r w:rsidRPr="00EF2020">
        <w:rPr>
          <w:b/>
        </w:rPr>
        <w:t>с</w:t>
      </w:r>
      <w:r w:rsidRPr="00EF2020">
        <w:rPr>
          <w:b/>
        </w:rPr>
        <w:t>нована на всеобъемлющей системе сбора данных и мониторинга.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2020">
        <w:tab/>
      </w:r>
      <w:r w:rsidRPr="00EF2020">
        <w:tab/>
        <w:t>Временные специальные меры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</w:pPr>
      <w:r w:rsidRPr="00EF2020">
        <w:t>18.</w:t>
      </w:r>
      <w:r w:rsidRPr="00EF2020">
        <w:tab/>
        <w:t>Комитет обеспокоен тем, что временные специальные меры не примен</w:t>
      </w:r>
      <w:r w:rsidRPr="00EF2020">
        <w:t>я</w:t>
      </w:r>
      <w:r w:rsidRPr="00EF2020">
        <w:t>ются в достаточной степени в качестве необходимой стратегии для скорейшего достижения фактического равенства между женщинами и мужчинами в других областях, подпадающих под действие Конвенции, в частности в сферах занят</w:t>
      </w:r>
      <w:r w:rsidRPr="00EF2020">
        <w:t>о</w:t>
      </w:r>
      <w:r w:rsidRPr="00EF2020">
        <w:t>сти, образования и здравоохранения, а также в отношении сельских женщин.</w:t>
      </w:r>
    </w:p>
    <w:p w:rsidR="00FF187E" w:rsidRPr="00EF2020" w:rsidRDefault="00FF187E" w:rsidP="00FF187E">
      <w:pPr>
        <w:pStyle w:val="SingleTxt"/>
      </w:pPr>
      <w:r w:rsidRPr="00EF2020">
        <w:t>19.</w:t>
      </w:r>
      <w:r w:rsidRPr="00EF2020">
        <w:tab/>
      </w:r>
      <w:r w:rsidRPr="00EF2020">
        <w:rPr>
          <w:b/>
        </w:rPr>
        <w:t>В соответствии с пунктом 1 статьи 4 Конвенции и своей общей рек</w:t>
      </w:r>
      <w:r w:rsidRPr="00EF2020">
        <w:rPr>
          <w:b/>
        </w:rPr>
        <w:t>о</w:t>
      </w:r>
      <w:r w:rsidRPr="00EF2020">
        <w:rPr>
          <w:b/>
        </w:rPr>
        <w:t>мендацией № 25 (2004) о временных специальных мерах Комитет рек</w:t>
      </w:r>
      <w:r w:rsidRPr="00EF2020">
        <w:rPr>
          <w:b/>
        </w:rPr>
        <w:t>о</w:t>
      </w:r>
      <w:r w:rsidRPr="00EF2020">
        <w:rPr>
          <w:b/>
        </w:rPr>
        <w:t>мендует государству-участнику:</w:t>
      </w:r>
    </w:p>
    <w:p w:rsidR="00FF187E" w:rsidRPr="00EF2020" w:rsidRDefault="00FF187E" w:rsidP="00FF187E">
      <w:pPr>
        <w:pStyle w:val="SingleTxt"/>
      </w:pPr>
      <w:r w:rsidRPr="00EF2020">
        <w:tab/>
        <w:t>a)</w:t>
      </w:r>
      <w:r w:rsidRPr="00EF2020">
        <w:tab/>
      </w:r>
      <w:r w:rsidRPr="00EF2020">
        <w:rPr>
          <w:b/>
        </w:rPr>
        <w:t>повышать осведомленность парламентариев, правительстве</w:t>
      </w:r>
      <w:r w:rsidRPr="00EF2020">
        <w:rPr>
          <w:b/>
        </w:rPr>
        <w:t>н</w:t>
      </w:r>
      <w:r w:rsidRPr="00EF2020">
        <w:rPr>
          <w:b/>
        </w:rPr>
        <w:t>ных должностных лиц, работодателей и широкой общественности о нео</w:t>
      </w:r>
      <w:r w:rsidRPr="00EF2020">
        <w:rPr>
          <w:b/>
        </w:rPr>
        <w:t>б</w:t>
      </w:r>
      <w:r w:rsidRPr="00EF2020">
        <w:rPr>
          <w:b/>
        </w:rPr>
        <w:t>ходимости временных специальных мер;</w:t>
      </w:r>
    </w:p>
    <w:p w:rsidR="00FF187E" w:rsidRPr="00EF2020" w:rsidRDefault="00FF187E" w:rsidP="00FF187E">
      <w:pPr>
        <w:pStyle w:val="SingleTxt"/>
      </w:pPr>
      <w:r w:rsidRPr="00EF2020">
        <w:lastRenderedPageBreak/>
        <w:tab/>
        <w:t>b)</w:t>
      </w:r>
      <w:r w:rsidRPr="00EF2020">
        <w:tab/>
      </w:r>
      <w:r w:rsidRPr="00EF2020">
        <w:rPr>
          <w:b/>
        </w:rPr>
        <w:t>установить ограниченные конкретными сроками цели и выд</w:t>
      </w:r>
      <w:r w:rsidRPr="00EF2020">
        <w:rPr>
          <w:b/>
        </w:rPr>
        <w:t>е</w:t>
      </w:r>
      <w:r w:rsidRPr="00EF2020">
        <w:rPr>
          <w:b/>
        </w:rPr>
        <w:t>лить достаточные ресурсы на принятие временных специальных мер, включая квоты и другие инициативные меры в сочетании с правовыми средствами на случай несоблюдения требований, в целях достижения фа</w:t>
      </w:r>
      <w:r w:rsidRPr="00EF2020">
        <w:rPr>
          <w:b/>
        </w:rPr>
        <w:t>к</w:t>
      </w:r>
      <w:r w:rsidRPr="00EF2020">
        <w:rPr>
          <w:b/>
        </w:rPr>
        <w:t>тического равенства между женщинами и мужчинами во всех охватыва</w:t>
      </w:r>
      <w:r w:rsidRPr="00EF2020">
        <w:rPr>
          <w:b/>
        </w:rPr>
        <w:t>е</w:t>
      </w:r>
      <w:r w:rsidRPr="00EF2020">
        <w:rPr>
          <w:b/>
        </w:rPr>
        <w:t>мых Конвенцией областях, в которых женщины представлены недост</w:t>
      </w:r>
      <w:r w:rsidRPr="00EF2020">
        <w:rPr>
          <w:b/>
        </w:rPr>
        <w:t>а</w:t>
      </w:r>
      <w:r w:rsidRPr="00EF2020">
        <w:rPr>
          <w:b/>
        </w:rPr>
        <w:t>точно широко или находятся в неблагоприятном положении;</w:t>
      </w:r>
    </w:p>
    <w:p w:rsidR="00FF187E" w:rsidRPr="00EF2020" w:rsidRDefault="00FF187E" w:rsidP="00FF187E">
      <w:pPr>
        <w:pStyle w:val="SingleTxt"/>
      </w:pPr>
      <w:r w:rsidRPr="00EF2020">
        <w:tab/>
        <w:t>c)</w:t>
      </w:r>
      <w:r w:rsidRPr="00EF2020">
        <w:tab/>
      </w:r>
      <w:r w:rsidRPr="00EF2020">
        <w:rPr>
          <w:b/>
        </w:rPr>
        <w:t>обратить внимание на инициативы по  разработке и внедрению временных специальных мер, реализуемые в последнее время в других государствах региона.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2020">
        <w:tab/>
      </w:r>
      <w:r w:rsidRPr="00EF2020">
        <w:tab/>
        <w:t>Стереотипы и вредные виды практики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</w:pPr>
      <w:r w:rsidRPr="00EF2020">
        <w:t>20.</w:t>
      </w:r>
      <w:r w:rsidRPr="00EF2020">
        <w:tab/>
        <w:t>Комитет отмечает существование в государстве-участнике разнообразных культур и традиций. В то же время Комитет выражает обеспокоенность в связи с тем, что государство-участник не приняло достаточные меры для выполнения предыдущей рекомендации Комитета (</w:t>
      </w:r>
      <w:hyperlink r:id="rId24" w:history="1">
        <w:r w:rsidRPr="000470F3">
          <w:rPr>
            <w:rStyle w:val="Hyperlink"/>
          </w:rPr>
          <w:t>CEDAW/C/NER/CO/2</w:t>
        </w:r>
      </w:hyperlink>
      <w:r w:rsidRPr="00EF2020">
        <w:t>, п. 18) о разрабо</w:t>
      </w:r>
      <w:r w:rsidRPr="00EF2020">
        <w:t>т</w:t>
      </w:r>
      <w:r w:rsidRPr="00EF2020">
        <w:t>ке национальной стратегии, включая определение четких целей и графиков, с тем чтобы изменить или устранить дискриминационные стереотипы и обычаи, которые наносят женщинам вред и ущемляют их права, а также чтобы создать механизмы контроля для регулярной оценки достигнутого прогресса. Комитет особенно обеспокоен тем, что в государстве-участнике сохраняются такие обычаи, как «вахайя», то есть разновидность рабства, в том числе сексуальн</w:t>
      </w:r>
      <w:r w:rsidRPr="00EF2020">
        <w:t>о</w:t>
      </w:r>
      <w:r w:rsidRPr="00EF2020">
        <w:t>го, и калечащие операции на женских половых органах. Комитет с обеспокое</w:t>
      </w:r>
      <w:r w:rsidRPr="00EF2020">
        <w:t>н</w:t>
      </w:r>
      <w:r w:rsidRPr="00EF2020">
        <w:t>ностью отмечает недостаточное число случаев преследования на основании положений Уголовного кодекса, запрещающих рабство (ст. 270.1—270.3), в ц</w:t>
      </w:r>
      <w:r w:rsidRPr="00EF2020">
        <w:t>е</w:t>
      </w:r>
      <w:r w:rsidRPr="00EF2020">
        <w:t>лях привлечения виновных к уголовной ответственности и недостаточное чи</w:t>
      </w:r>
      <w:r w:rsidRPr="00EF2020">
        <w:t>с</w:t>
      </w:r>
      <w:r w:rsidRPr="00EF2020">
        <w:t>ло обвинительных приговоров по делам о калечащих операциях на женских половых органах.</w:t>
      </w:r>
    </w:p>
    <w:p w:rsidR="00FF187E" w:rsidRPr="00EF2020" w:rsidRDefault="00FF187E" w:rsidP="00FF187E">
      <w:pPr>
        <w:pStyle w:val="SingleTxt"/>
      </w:pPr>
      <w:r w:rsidRPr="00EF2020">
        <w:t>21.</w:t>
      </w:r>
      <w:r w:rsidRPr="00EF2020">
        <w:tab/>
      </w:r>
      <w:r w:rsidRPr="00EF2020">
        <w:rPr>
          <w:b/>
        </w:rPr>
        <w:t>Комитет, в соответствии с целью 5.3 в области устойчивого развития, касающейся ликвидации всех вредных традиций и обычаев, таких как детские, ранние и принудительные браки и калечащие операции на же</w:t>
      </w:r>
      <w:r w:rsidRPr="00EF2020">
        <w:rPr>
          <w:b/>
        </w:rPr>
        <w:t>н</w:t>
      </w:r>
      <w:r w:rsidRPr="00EF2020">
        <w:rPr>
          <w:b/>
        </w:rPr>
        <w:t>ских половых органах, рекомендует государству-участнику:</w:t>
      </w:r>
    </w:p>
    <w:p w:rsidR="00FF187E" w:rsidRPr="00EF2020" w:rsidRDefault="00FF187E" w:rsidP="00FF187E">
      <w:pPr>
        <w:pStyle w:val="SingleTxt"/>
        <w:rPr>
          <w:b/>
        </w:rPr>
      </w:pPr>
      <w:r w:rsidRPr="00EF2020">
        <w:tab/>
        <w:t>a)</w:t>
      </w:r>
      <w:r w:rsidRPr="00EF2020">
        <w:tab/>
      </w:r>
      <w:r w:rsidRPr="00EF2020">
        <w:rPr>
          <w:b/>
        </w:rPr>
        <w:t>прямо объявить обычай «вахайя» вне закона, установив за него такое же наказание, как и за другие формы рабства;</w:t>
      </w:r>
    </w:p>
    <w:p w:rsidR="00FF187E" w:rsidRPr="00EF2020" w:rsidRDefault="00FF187E" w:rsidP="00FF187E">
      <w:pPr>
        <w:pStyle w:val="SingleTxt"/>
      </w:pPr>
      <w:r w:rsidRPr="00EF2020">
        <w:tab/>
        <w:t>b)</w:t>
      </w:r>
      <w:r w:rsidRPr="00EF2020">
        <w:tab/>
      </w:r>
      <w:r w:rsidRPr="00EF2020">
        <w:rPr>
          <w:b/>
        </w:rPr>
        <w:t>обеспечить строгое соблюдение статей</w:t>
      </w:r>
      <w:r w:rsidRPr="00EF2020">
        <w:t xml:space="preserve"> </w:t>
      </w:r>
      <w:r w:rsidRPr="00EF2020">
        <w:rPr>
          <w:b/>
        </w:rPr>
        <w:t>232.1—232.3  Уголовного кодекса, запрещающих калечащие операции на женских половых органах;</w:t>
      </w:r>
    </w:p>
    <w:p w:rsidR="00FF187E" w:rsidRPr="00EF2020" w:rsidRDefault="00FF187E" w:rsidP="00FF187E">
      <w:pPr>
        <w:pStyle w:val="SingleTxt"/>
      </w:pPr>
      <w:r w:rsidRPr="00EF2020">
        <w:tab/>
        <w:t>c)</w:t>
      </w:r>
      <w:r w:rsidRPr="00EF2020">
        <w:tab/>
      </w:r>
      <w:r w:rsidRPr="00EF2020">
        <w:rPr>
          <w:b/>
        </w:rPr>
        <w:t>организовать подготовку судей, прокуроров, сотрудников пол</w:t>
      </w:r>
      <w:r w:rsidRPr="00EF2020">
        <w:rPr>
          <w:b/>
        </w:rPr>
        <w:t>и</w:t>
      </w:r>
      <w:r w:rsidRPr="00EF2020">
        <w:rPr>
          <w:b/>
        </w:rPr>
        <w:t>ции и других правоохранительных органов по вопросам строгого прим</w:t>
      </w:r>
      <w:r w:rsidRPr="00EF2020">
        <w:rPr>
          <w:b/>
        </w:rPr>
        <w:t>е</w:t>
      </w:r>
      <w:r w:rsidRPr="00EF2020">
        <w:rPr>
          <w:b/>
        </w:rPr>
        <w:t>нения санкций в целях обеспечения эффективного расследования подо</w:t>
      </w:r>
      <w:r w:rsidRPr="00EF2020">
        <w:rPr>
          <w:b/>
        </w:rPr>
        <w:t>б</w:t>
      </w:r>
      <w:r w:rsidRPr="00EF2020">
        <w:rPr>
          <w:b/>
        </w:rPr>
        <w:t>ных случаев, преследования в судебном порядке и наказания виновных в осуществлении этих вредных видов практики и исполнителей, а также в целях предоставления жертвам поддержки и реабилитации;</w:t>
      </w:r>
    </w:p>
    <w:p w:rsidR="00FF187E" w:rsidRPr="00EF2020" w:rsidRDefault="00FF187E" w:rsidP="00FF187E">
      <w:pPr>
        <w:pStyle w:val="SingleTxt"/>
        <w:rPr>
          <w:b/>
        </w:rPr>
      </w:pPr>
      <w:r w:rsidRPr="00EF2020">
        <w:tab/>
        <w:t>d)</w:t>
      </w:r>
      <w:r w:rsidRPr="00EF2020">
        <w:tab/>
      </w:r>
      <w:r w:rsidRPr="00EF2020">
        <w:rPr>
          <w:b/>
        </w:rPr>
        <w:t>подготовить и</w:t>
      </w:r>
      <w:r w:rsidRPr="00EF2020">
        <w:t xml:space="preserve"> </w:t>
      </w:r>
      <w:r w:rsidRPr="00EF2020">
        <w:rPr>
          <w:b/>
        </w:rPr>
        <w:t>выделить достаточные ресурсы на осуществление</w:t>
      </w:r>
      <w:r w:rsidRPr="00EF2020">
        <w:t xml:space="preserve"> </w:t>
      </w:r>
      <w:r w:rsidRPr="00EF2020">
        <w:rPr>
          <w:b/>
        </w:rPr>
        <w:t>национального плана действий по борьбе с вредными традициями и об</w:t>
      </w:r>
      <w:r w:rsidRPr="00EF2020">
        <w:rPr>
          <w:b/>
        </w:rPr>
        <w:t>ы</w:t>
      </w:r>
      <w:r w:rsidRPr="00EF2020">
        <w:rPr>
          <w:b/>
        </w:rPr>
        <w:t>чаями,</w:t>
      </w:r>
      <w:r w:rsidRPr="00EF2020">
        <w:t xml:space="preserve"> </w:t>
      </w:r>
      <w:r w:rsidRPr="00EF2020">
        <w:rPr>
          <w:b/>
        </w:rPr>
        <w:t>используя с этой целью стратегические кампании в СМИ и образ</w:t>
      </w:r>
      <w:r w:rsidRPr="00EF2020">
        <w:rPr>
          <w:b/>
        </w:rPr>
        <w:t>о</w:t>
      </w:r>
      <w:r w:rsidRPr="00EF2020">
        <w:rPr>
          <w:b/>
        </w:rPr>
        <w:t>вательные программы, призванные повысить осведомленность традиц</w:t>
      </w:r>
      <w:r w:rsidRPr="00EF2020">
        <w:rPr>
          <w:b/>
        </w:rPr>
        <w:t>и</w:t>
      </w:r>
      <w:r w:rsidRPr="00EF2020">
        <w:rPr>
          <w:b/>
        </w:rPr>
        <w:t>онных и религиозных лидеров, работников здравоохранения, социальных работников и широкой общественности о негативных последствиях таких традиций и обычаев для женщин и девочек.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856F7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2020">
        <w:lastRenderedPageBreak/>
        <w:tab/>
      </w:r>
      <w:r w:rsidRPr="00EF2020">
        <w:tab/>
        <w:t>Сексуальное и гендерное насилие в отношении женщин</w:t>
      </w:r>
    </w:p>
    <w:p w:rsidR="00FF187E" w:rsidRPr="00EF2020" w:rsidRDefault="00FF187E" w:rsidP="00856F76">
      <w:pPr>
        <w:pStyle w:val="SingleTxt"/>
        <w:keepNext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</w:pPr>
      <w:r w:rsidRPr="00EF2020">
        <w:t>22.</w:t>
      </w:r>
      <w:r w:rsidRPr="00EF2020">
        <w:tab/>
        <w:t>Комитет принимает к сведению разработку национальной стратегии по предупреждению случаев гендерного насилия и реагированию на них и сд</w:t>
      </w:r>
      <w:r w:rsidRPr="00EF2020">
        <w:t>е</w:t>
      </w:r>
      <w:r w:rsidRPr="00EF2020">
        <w:t>ланное делегацией в ходе конструктивного диалога заявление о планах стро</w:t>
      </w:r>
      <w:r w:rsidRPr="00EF2020">
        <w:t>и</w:t>
      </w:r>
      <w:r w:rsidRPr="00EF2020">
        <w:t>тельства 140 центров защиты в каждом регионе государства-участника. В то же время Комитет выражает обеспокоенность в связи с тем, что гендерное нас</w:t>
      </w:r>
      <w:r w:rsidRPr="00EF2020">
        <w:t>и</w:t>
      </w:r>
      <w:r w:rsidRPr="00EF2020">
        <w:t>лие в отношении женщин и девочек, включая домашнее и сексуальное насилие, одобряется обществом и существует в условиях замалчивания и безнаказанн</w:t>
      </w:r>
      <w:r w:rsidRPr="00EF2020">
        <w:t>о</w:t>
      </w:r>
      <w:r w:rsidRPr="00EF2020">
        <w:t>сти, а также тем, что жертвы располагают ограниченным доступом к средствам помощи, защиты и возмещения ущерба. Комитет также обеспокоен тем, что изнасилование в браке не относится к категории противозаконных деяний и что в законодательстве государства-участника нет определения такого понятия, как растление малолетних, в связи с отсутствием законодательно закрепленн</w:t>
      </w:r>
      <w:r w:rsidRPr="00EF2020">
        <w:t>о</w:t>
      </w:r>
      <w:r w:rsidRPr="00EF2020">
        <w:t xml:space="preserve">го минимального возраста согласия на вступление в половые отношения. </w:t>
      </w:r>
    </w:p>
    <w:p w:rsidR="00FF187E" w:rsidRPr="00EF2020" w:rsidRDefault="00FF187E" w:rsidP="00FF187E">
      <w:pPr>
        <w:pStyle w:val="SingleTxt"/>
      </w:pPr>
      <w:r w:rsidRPr="00EF2020">
        <w:t>23.</w:t>
      </w:r>
      <w:r w:rsidRPr="00EF2020">
        <w:tab/>
      </w:r>
      <w:r w:rsidRPr="00EF2020">
        <w:rPr>
          <w:b/>
        </w:rPr>
        <w:t>Комитет, ссылаясь на общую рекомендацию № 35 (2017) о гендерном насилии в отношении женщин, которая обновляет общую рекомендацию № 19, рекомендует государству-участнику:</w:t>
      </w:r>
      <w:r w:rsidRPr="00EF2020">
        <w:t xml:space="preserve"> </w:t>
      </w:r>
    </w:p>
    <w:p w:rsidR="00FF187E" w:rsidRPr="00EF2020" w:rsidRDefault="00FF187E" w:rsidP="00FF187E">
      <w:pPr>
        <w:pStyle w:val="SingleTxt"/>
      </w:pPr>
      <w:r w:rsidRPr="00EF2020">
        <w:tab/>
        <w:t>a)</w:t>
      </w:r>
      <w:r w:rsidRPr="00EF2020">
        <w:tab/>
      </w:r>
      <w:r w:rsidRPr="00EF2020">
        <w:rPr>
          <w:b/>
        </w:rPr>
        <w:t>принять законодательство с целью четко определить и отнести к категории противозаконных деяний все формы гендерного насилия в о</w:t>
      </w:r>
      <w:r w:rsidRPr="00EF2020">
        <w:rPr>
          <w:b/>
        </w:rPr>
        <w:t>т</w:t>
      </w:r>
      <w:r w:rsidRPr="00EF2020">
        <w:rPr>
          <w:b/>
        </w:rPr>
        <w:t>ношении женщин, включая половое сношение с лицами, не достигшими возраста согласия, и изнасилование в браке, и ужесточить меры по защите жертв и судебному преследованию и наказанию виновных;</w:t>
      </w:r>
    </w:p>
    <w:p w:rsidR="00FF187E" w:rsidRPr="00EF2020" w:rsidRDefault="00FF187E" w:rsidP="00FF187E">
      <w:pPr>
        <w:pStyle w:val="SingleTxt"/>
      </w:pPr>
      <w:r w:rsidRPr="00EF2020">
        <w:tab/>
        <w:t>b)</w:t>
      </w:r>
      <w:r w:rsidRPr="00EF2020">
        <w:tab/>
      </w:r>
      <w:r w:rsidRPr="00EF2020">
        <w:rPr>
          <w:b/>
        </w:rPr>
        <w:t>обеспечить, чтобы пострадавшие не подвергались стигматиз</w:t>
      </w:r>
      <w:r w:rsidRPr="00EF2020">
        <w:rPr>
          <w:b/>
        </w:rPr>
        <w:t>а</w:t>
      </w:r>
      <w:r w:rsidRPr="00EF2020">
        <w:rPr>
          <w:b/>
        </w:rPr>
        <w:t>ции, и побуждать их к тому, чтобы они сообщали о случаях гендерного насилия, в том числе путем организации программ повышения квалиф</w:t>
      </w:r>
      <w:r w:rsidRPr="00EF2020">
        <w:rPr>
          <w:b/>
        </w:rPr>
        <w:t>и</w:t>
      </w:r>
      <w:r w:rsidRPr="00EF2020">
        <w:rPr>
          <w:b/>
        </w:rPr>
        <w:t>кации судей, прокуроров, сотрудников полиции и сотрудников других пр</w:t>
      </w:r>
      <w:r w:rsidRPr="00EF2020">
        <w:rPr>
          <w:b/>
        </w:rPr>
        <w:t>а</w:t>
      </w:r>
      <w:r w:rsidRPr="00EF2020">
        <w:rPr>
          <w:b/>
        </w:rPr>
        <w:t>воохранительных органов, практикующих юристов и традиционных л</w:t>
      </w:r>
      <w:r w:rsidRPr="00EF2020">
        <w:rPr>
          <w:b/>
        </w:rPr>
        <w:t>и</w:t>
      </w:r>
      <w:r w:rsidRPr="00EF2020">
        <w:rPr>
          <w:b/>
        </w:rPr>
        <w:t>деров в сфере расследования таких дел с учетом гендерных аспектов;</w:t>
      </w:r>
    </w:p>
    <w:p w:rsidR="00FF187E" w:rsidRPr="00EF2020" w:rsidRDefault="00FF187E" w:rsidP="00FF187E">
      <w:pPr>
        <w:pStyle w:val="SingleTxt"/>
      </w:pPr>
      <w:r w:rsidRPr="00EF2020">
        <w:tab/>
        <w:t>c)</w:t>
      </w:r>
      <w:r w:rsidRPr="00EF2020">
        <w:tab/>
      </w:r>
      <w:r w:rsidRPr="00EF2020">
        <w:rPr>
          <w:b/>
        </w:rPr>
        <w:t>обеспечить, чтобы предположительные случаи гендерного нас</w:t>
      </w:r>
      <w:r w:rsidRPr="00EF2020">
        <w:rPr>
          <w:b/>
        </w:rPr>
        <w:t>и</w:t>
      </w:r>
      <w:r w:rsidRPr="00EF2020">
        <w:rPr>
          <w:b/>
        </w:rPr>
        <w:t>лия в отношении женщин, включая домашнее насилие, надлежащим обр</w:t>
      </w:r>
      <w:r w:rsidRPr="00EF2020">
        <w:rPr>
          <w:b/>
        </w:rPr>
        <w:t>а</w:t>
      </w:r>
      <w:r w:rsidRPr="00EF2020">
        <w:rPr>
          <w:b/>
        </w:rPr>
        <w:t>зом расследовались, виновные лица были привлечены к уголовной отве</w:t>
      </w:r>
      <w:r w:rsidRPr="00EF2020">
        <w:rPr>
          <w:b/>
        </w:rPr>
        <w:t>т</w:t>
      </w:r>
      <w:r w:rsidRPr="00EF2020">
        <w:rPr>
          <w:b/>
        </w:rPr>
        <w:t>ственности и подвергнуты адекватному наказанию, а жертвы имели д</w:t>
      </w:r>
      <w:r w:rsidRPr="00EF2020">
        <w:rPr>
          <w:b/>
        </w:rPr>
        <w:t>о</w:t>
      </w:r>
      <w:r w:rsidRPr="00EF2020">
        <w:rPr>
          <w:b/>
        </w:rPr>
        <w:t>ступ к надлежащим средствам правовой защиты, включая компенсацию;</w:t>
      </w:r>
    </w:p>
    <w:p w:rsidR="00FF187E" w:rsidRPr="00EF2020" w:rsidRDefault="00FF187E" w:rsidP="00FF187E">
      <w:pPr>
        <w:pStyle w:val="SingleTxt"/>
      </w:pPr>
      <w:r w:rsidRPr="00EF2020">
        <w:tab/>
        <w:t>d)</w:t>
      </w:r>
      <w:r w:rsidRPr="00EF2020">
        <w:tab/>
      </w:r>
      <w:r w:rsidRPr="00EF2020">
        <w:rPr>
          <w:b/>
        </w:rPr>
        <w:t>увеличить число приютов, особенно в сельских районах, и предоставить жертвам гендерного насилия доступ к медицинской помощи, программам психосоциальной реабилитации и реинтеграции и юридич</w:t>
      </w:r>
      <w:r w:rsidRPr="00EF2020">
        <w:rPr>
          <w:b/>
        </w:rPr>
        <w:t>е</w:t>
      </w:r>
      <w:r w:rsidRPr="00EF2020">
        <w:rPr>
          <w:b/>
        </w:rPr>
        <w:t>ской помощи;</w:t>
      </w:r>
    </w:p>
    <w:p w:rsidR="00FF187E" w:rsidRPr="00EF2020" w:rsidRDefault="00FF187E" w:rsidP="00FF187E">
      <w:pPr>
        <w:pStyle w:val="SingleTxt"/>
      </w:pPr>
      <w:r w:rsidRPr="00EF2020">
        <w:tab/>
        <w:t>e)</w:t>
      </w:r>
      <w:r w:rsidRPr="00EF2020">
        <w:tab/>
      </w:r>
      <w:r w:rsidRPr="00EF2020">
        <w:rPr>
          <w:b/>
        </w:rPr>
        <w:t>систематически собирать и анализировать данные обо всех фо</w:t>
      </w:r>
      <w:r w:rsidRPr="00EF2020">
        <w:rPr>
          <w:b/>
        </w:rPr>
        <w:t>р</w:t>
      </w:r>
      <w:r w:rsidRPr="00EF2020">
        <w:rPr>
          <w:b/>
        </w:rPr>
        <w:t>мах гендерного насилия в отношении женщин в разбивке по возрасту, р</w:t>
      </w:r>
      <w:r w:rsidRPr="00EF2020">
        <w:rPr>
          <w:b/>
        </w:rPr>
        <w:t>е</w:t>
      </w:r>
      <w:r w:rsidRPr="00EF2020">
        <w:rPr>
          <w:b/>
        </w:rPr>
        <w:t>гиону и характеру взаимоотношений между жертвой и преступником, а также о количестве охранных судебных приказов, случаев судебного пр</w:t>
      </w:r>
      <w:r w:rsidRPr="00EF2020">
        <w:rPr>
          <w:b/>
        </w:rPr>
        <w:t>е</w:t>
      </w:r>
      <w:r w:rsidRPr="00EF2020">
        <w:rPr>
          <w:b/>
        </w:rPr>
        <w:t>следования и приговоров, вынесенных в отношении виновных.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2020">
        <w:tab/>
      </w:r>
      <w:r w:rsidRPr="00EF2020">
        <w:tab/>
        <w:t>Торговля людьми и эксплуатация проституции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</w:pPr>
      <w:r w:rsidRPr="00EF2020">
        <w:t>24.</w:t>
      </w:r>
      <w:r w:rsidRPr="00EF2020">
        <w:tab/>
        <w:t>Комитет приветствует доработку государством-участником нормативно-правовой базы по борьбе с торговлей людьми, включая создание Национальн</w:t>
      </w:r>
      <w:r w:rsidRPr="00EF2020">
        <w:t>о</w:t>
      </w:r>
      <w:r w:rsidRPr="00EF2020">
        <w:t>го комитета по координации мер борьбы с торговлей людьми и Национального агентства по борьбе с торговлей людьми, а также сопутствующего плана де</w:t>
      </w:r>
      <w:r w:rsidRPr="00EF2020">
        <w:t>й</w:t>
      </w:r>
      <w:r w:rsidRPr="00EF2020">
        <w:t>ствий (на 2014</w:t>
      </w:r>
      <w:r w:rsidR="00856F76" w:rsidRPr="00856F76">
        <w:t>–</w:t>
      </w:r>
      <w:r w:rsidRPr="00EF2020">
        <w:t>2018 годы). Комитет с обеспокоенностью отмечает, что гос</w:t>
      </w:r>
      <w:r w:rsidRPr="00EF2020">
        <w:t>у</w:t>
      </w:r>
      <w:r w:rsidRPr="00EF2020">
        <w:t xml:space="preserve">дарство-участник остается страной происхождения, транзита или назначения </w:t>
      </w:r>
      <w:r w:rsidRPr="00EF2020">
        <w:lastRenderedPageBreak/>
        <w:t>жертв торговли людьми и что эти люди могут также стать жертвами сексуал</w:t>
      </w:r>
      <w:r w:rsidRPr="00EF2020">
        <w:t>ь</w:t>
      </w:r>
      <w:r w:rsidRPr="00EF2020">
        <w:t>ной эксплуатации, браков по принуждению и принудительного труда. Комитет обеспокоен также низкими показателями судебных преследований и обвин</w:t>
      </w:r>
      <w:r w:rsidRPr="00EF2020">
        <w:t>и</w:t>
      </w:r>
      <w:r w:rsidRPr="00EF2020">
        <w:t>тельных приговоров по делам о торговле женщинами и девочками, а также о</w:t>
      </w:r>
      <w:r w:rsidRPr="00EF2020">
        <w:t>т</w:t>
      </w:r>
      <w:r w:rsidRPr="00EF2020">
        <w:t>сутствием надлежащих механизмов для выявления жертв торговли людьми и направления их в соответствующие службы, оказывающие плановые услуги реабилитации и реинтеграции, включая консультационные услуги, медици</w:t>
      </w:r>
      <w:r w:rsidRPr="00EF2020">
        <w:t>н</w:t>
      </w:r>
      <w:r w:rsidRPr="00EF2020">
        <w:t>скую помощь, психологическую поддержку и возмещение ущерба, в том числе компенсацию.</w:t>
      </w:r>
    </w:p>
    <w:p w:rsidR="00FF187E" w:rsidRPr="00EF2020" w:rsidRDefault="00FF187E" w:rsidP="00FF187E">
      <w:pPr>
        <w:pStyle w:val="SingleTxt"/>
      </w:pPr>
      <w:r w:rsidRPr="00EF2020">
        <w:t>25.</w:t>
      </w:r>
      <w:r w:rsidRPr="00EF2020">
        <w:tab/>
      </w:r>
      <w:r w:rsidRPr="00EF2020">
        <w:rPr>
          <w:b/>
        </w:rPr>
        <w:t>Комитет обращает внимание на цель 5.2 в области устойчивого ра</w:t>
      </w:r>
      <w:r w:rsidRPr="00EF2020">
        <w:rPr>
          <w:b/>
        </w:rPr>
        <w:t>з</w:t>
      </w:r>
      <w:r w:rsidRPr="00EF2020">
        <w:rPr>
          <w:b/>
        </w:rPr>
        <w:t>вития, касающуюся ликвидации всех форм насилия в отношении всех женщин и девочек в публичной и частной сферах, включая торговлю людьми и сексуальную и иные формы эксплуатации, и рекомендует гос</w:t>
      </w:r>
      <w:r w:rsidRPr="00EF2020">
        <w:rPr>
          <w:b/>
        </w:rPr>
        <w:t>у</w:t>
      </w:r>
      <w:r w:rsidRPr="00EF2020">
        <w:rPr>
          <w:b/>
        </w:rPr>
        <w:t>дарству-участнику:</w:t>
      </w:r>
    </w:p>
    <w:p w:rsidR="00FF187E" w:rsidRPr="00EF2020" w:rsidRDefault="00FF187E" w:rsidP="00FF187E">
      <w:pPr>
        <w:pStyle w:val="SingleTxt"/>
      </w:pPr>
      <w:r w:rsidRPr="00EF2020">
        <w:tab/>
        <w:t>a)</w:t>
      </w:r>
      <w:r w:rsidRPr="00EF2020">
        <w:tab/>
      </w:r>
      <w:r w:rsidRPr="00EF2020">
        <w:rPr>
          <w:b/>
        </w:rPr>
        <w:t>доработать и утвердить проекты постановлений об организации, предоставлении и функционировании специальных компенсаций для жертв и свидетелей торговли людьми, а также о создании убежищ для жертв и свидетелей;</w:t>
      </w:r>
    </w:p>
    <w:p w:rsidR="00FF187E" w:rsidRPr="00EF2020" w:rsidRDefault="00FF187E" w:rsidP="00FF187E">
      <w:pPr>
        <w:pStyle w:val="SingleTxt"/>
      </w:pPr>
      <w:r w:rsidRPr="00EF2020">
        <w:tab/>
        <w:t>b)</w:t>
      </w:r>
      <w:r w:rsidRPr="00EF2020">
        <w:tab/>
      </w:r>
      <w:r w:rsidRPr="00EF2020">
        <w:rPr>
          <w:b/>
        </w:rPr>
        <w:t>расследовать случаи торговли людьми, преследовать и адеква</w:t>
      </w:r>
      <w:r w:rsidRPr="00EF2020">
        <w:rPr>
          <w:b/>
        </w:rPr>
        <w:t>т</w:t>
      </w:r>
      <w:r w:rsidRPr="00EF2020">
        <w:rPr>
          <w:b/>
        </w:rPr>
        <w:t>но наказывать лиц, виновных в торговле людьми, в частности мигрант</w:t>
      </w:r>
      <w:r w:rsidRPr="00EF2020">
        <w:rPr>
          <w:b/>
        </w:rPr>
        <w:t>а</w:t>
      </w:r>
      <w:r w:rsidRPr="00EF2020">
        <w:rPr>
          <w:b/>
        </w:rPr>
        <w:t>ми и в первую очередь женщинами и девочками, и лиц, виновных в других сопутствующих преступлениях, обеспечить освобождение от какой-либо ответственности для женщин, ставших жертвами торговли людьми и в</w:t>
      </w:r>
      <w:r w:rsidRPr="00EF2020">
        <w:rPr>
          <w:b/>
        </w:rPr>
        <w:t>ы</w:t>
      </w:r>
      <w:r w:rsidRPr="00EF2020">
        <w:rPr>
          <w:b/>
        </w:rPr>
        <w:t>нужденных заниматься проституцией, и предоставить им надлежащую защиту и возмещение ущерба;</w:t>
      </w:r>
    </w:p>
    <w:p w:rsidR="00FF187E" w:rsidRPr="00EF2020" w:rsidRDefault="00FF187E" w:rsidP="00FF187E">
      <w:pPr>
        <w:pStyle w:val="SingleTxt"/>
        <w:rPr>
          <w:b/>
        </w:rPr>
      </w:pPr>
      <w:r w:rsidRPr="00EF2020">
        <w:tab/>
        <w:t>c)</w:t>
      </w:r>
      <w:r w:rsidRPr="00EF2020">
        <w:tab/>
      </w:r>
      <w:r w:rsidRPr="00EF2020">
        <w:rPr>
          <w:b/>
        </w:rPr>
        <w:t>проводить постоянные и обязательные программы подготовки для сотрудников правоохранительных органов по таким вопросам, как з</w:t>
      </w:r>
      <w:r w:rsidRPr="00EF2020">
        <w:rPr>
          <w:b/>
        </w:rPr>
        <w:t>а</w:t>
      </w:r>
      <w:r w:rsidRPr="00EF2020">
        <w:rPr>
          <w:b/>
        </w:rPr>
        <w:t>благовременное выявление жертв торговли людьми и их направление в соответствующие службы, оказание необходимой помощи и реабилитация, а также общенациональные просветительские и информационные камп</w:t>
      </w:r>
      <w:r w:rsidRPr="00EF2020">
        <w:rPr>
          <w:b/>
        </w:rPr>
        <w:t>а</w:t>
      </w:r>
      <w:r w:rsidRPr="00EF2020">
        <w:rPr>
          <w:b/>
        </w:rPr>
        <w:t>нии о рисках торговли людьми и ее преступном характере;</w:t>
      </w:r>
    </w:p>
    <w:p w:rsidR="00FF187E" w:rsidRPr="00EF2020" w:rsidRDefault="00FF187E" w:rsidP="00FF187E">
      <w:pPr>
        <w:pStyle w:val="SingleTxt"/>
        <w:rPr>
          <w:b/>
        </w:rPr>
      </w:pPr>
      <w:r w:rsidRPr="00EF2020">
        <w:tab/>
        <w:t>d)</w:t>
      </w:r>
      <w:r w:rsidRPr="00EF2020">
        <w:tab/>
      </w:r>
      <w:r w:rsidRPr="00EF2020">
        <w:rPr>
          <w:b/>
        </w:rPr>
        <w:t>обеспечить жертвам торговли людьми</w:t>
      </w:r>
      <w:r w:rsidRPr="00EF2020">
        <w:t xml:space="preserve"> </w:t>
      </w:r>
      <w:r w:rsidRPr="00EF2020">
        <w:rPr>
          <w:b/>
        </w:rPr>
        <w:t>надлежащий доступ к м</w:t>
      </w:r>
      <w:r w:rsidRPr="00EF2020">
        <w:rPr>
          <w:b/>
        </w:rPr>
        <w:t>е</w:t>
      </w:r>
      <w:r w:rsidRPr="00EF2020">
        <w:rPr>
          <w:b/>
        </w:rPr>
        <w:t>дицинскому обслуживанию и консультационным услугам,</w:t>
      </w:r>
      <w:r w:rsidRPr="00EF2020">
        <w:t xml:space="preserve"> </w:t>
      </w:r>
      <w:r w:rsidRPr="00EF2020">
        <w:rPr>
          <w:b/>
        </w:rPr>
        <w:t>наращивать людские, технические и финансовые ресурсы</w:t>
      </w:r>
      <w:r w:rsidRPr="00EF2020">
        <w:t xml:space="preserve"> </w:t>
      </w:r>
      <w:r w:rsidRPr="00EF2020">
        <w:rPr>
          <w:b/>
        </w:rPr>
        <w:t>центров социальной по</w:t>
      </w:r>
      <w:r w:rsidRPr="00EF2020">
        <w:rPr>
          <w:b/>
        </w:rPr>
        <w:t>д</w:t>
      </w:r>
      <w:r w:rsidRPr="00EF2020">
        <w:rPr>
          <w:b/>
        </w:rPr>
        <w:t>держки и обеспечить специальную подготовку для социальных работн</w:t>
      </w:r>
      <w:r w:rsidRPr="00EF2020">
        <w:rPr>
          <w:b/>
        </w:rPr>
        <w:t>и</w:t>
      </w:r>
      <w:r w:rsidRPr="00EF2020">
        <w:rPr>
          <w:b/>
        </w:rPr>
        <w:t>ков, которые работают с жертвами торговли людьми;</w:t>
      </w:r>
    </w:p>
    <w:p w:rsidR="00FF187E" w:rsidRPr="00EF2020" w:rsidRDefault="00FF187E" w:rsidP="00FF187E">
      <w:pPr>
        <w:pStyle w:val="SingleTxt"/>
      </w:pPr>
      <w:r w:rsidRPr="00EF2020">
        <w:tab/>
        <w:t>e)</w:t>
      </w:r>
      <w:r w:rsidRPr="00EF2020">
        <w:tab/>
      </w:r>
      <w:r w:rsidRPr="00EF2020">
        <w:rPr>
          <w:b/>
        </w:rPr>
        <w:t>ликвидировать коренные причины торговли женщинами и д</w:t>
      </w:r>
      <w:r w:rsidRPr="00EF2020">
        <w:rPr>
          <w:b/>
        </w:rPr>
        <w:t>е</w:t>
      </w:r>
      <w:r w:rsidRPr="00EF2020">
        <w:rPr>
          <w:b/>
        </w:rPr>
        <w:t>вочками и их эксплуатации в целях проституции, предоставив женщинам, которые подвергаются риску торговли людьми или эксплуатации в целях проституции, возможности для получения образования и альтернативных источников дохода, а также доступ к «программам выхода» для женщин, занимающихся проституцией;</w:t>
      </w:r>
      <w:r w:rsidRPr="00EF2020">
        <w:t xml:space="preserve"> </w:t>
      </w:r>
    </w:p>
    <w:p w:rsidR="00FF187E" w:rsidRPr="00EF2020" w:rsidRDefault="00FF187E" w:rsidP="00FF187E">
      <w:pPr>
        <w:pStyle w:val="SingleTxt"/>
        <w:rPr>
          <w:b/>
        </w:rPr>
      </w:pPr>
      <w:r w:rsidRPr="00EF2020">
        <w:tab/>
        <w:t>f)</w:t>
      </w:r>
      <w:r w:rsidRPr="00EF2020">
        <w:tab/>
      </w:r>
      <w:r w:rsidRPr="00EF2020">
        <w:rPr>
          <w:b/>
        </w:rPr>
        <w:t>осуществлять систематический сбор данных с разбивкой по пр</w:t>
      </w:r>
      <w:r w:rsidRPr="00EF2020">
        <w:rPr>
          <w:b/>
        </w:rPr>
        <w:t>и</w:t>
      </w:r>
      <w:r w:rsidRPr="00EF2020">
        <w:rPr>
          <w:b/>
        </w:rPr>
        <w:t>знаку пола</w:t>
      </w:r>
      <w:r w:rsidRPr="00EF2020">
        <w:t xml:space="preserve"> </w:t>
      </w:r>
      <w:r w:rsidRPr="00EF2020">
        <w:rPr>
          <w:b/>
        </w:rPr>
        <w:t>об эксплуатации проституции и торговле женщинами и дево</w:t>
      </w:r>
      <w:r w:rsidRPr="00EF2020">
        <w:rPr>
          <w:b/>
        </w:rPr>
        <w:t>ч</w:t>
      </w:r>
      <w:r w:rsidRPr="00EF2020">
        <w:rPr>
          <w:b/>
        </w:rPr>
        <w:t>ками, включая</w:t>
      </w:r>
      <w:r w:rsidRPr="00EF2020">
        <w:t xml:space="preserve"> </w:t>
      </w:r>
      <w:r w:rsidRPr="00EF2020">
        <w:rPr>
          <w:b/>
        </w:rPr>
        <w:t>данные о числе расследований, уголовных преследований, обвинительных приговоров и назначенных наказаний в отношении лиц, виновных в таких преступлениях.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2020">
        <w:tab/>
      </w:r>
      <w:r w:rsidRPr="00EF2020">
        <w:tab/>
        <w:t>Участие в политической и общественной жизни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</w:pPr>
      <w:r w:rsidRPr="00EF2020">
        <w:t>26.</w:t>
      </w:r>
      <w:r w:rsidRPr="00EF2020">
        <w:tab/>
        <w:t>Комитет приветствует усилия государства-участника по применению сп</w:t>
      </w:r>
      <w:r w:rsidRPr="00EF2020">
        <w:t>е</w:t>
      </w:r>
      <w:r w:rsidRPr="00EF2020">
        <w:t xml:space="preserve">циальных мер в целях обеспечения политического участия и представленности </w:t>
      </w:r>
      <w:r w:rsidRPr="00EF2020">
        <w:lastRenderedPageBreak/>
        <w:t>женщин в национальных органах власти, а именно принятие им Закона о кв</w:t>
      </w:r>
      <w:r w:rsidRPr="00EF2020">
        <w:t>о</w:t>
      </w:r>
      <w:r w:rsidRPr="00EF2020">
        <w:t>тах (№ 2000-008) (с поправками 2014 года), предусматривающего повышение квот по выборным должностям для обоих полов с 10 до 15 процентов. В то же время Комитет обеспокоен низким уровнем представленности женщин в па</w:t>
      </w:r>
      <w:r w:rsidRPr="00EF2020">
        <w:t>р</w:t>
      </w:r>
      <w:r w:rsidRPr="00EF2020">
        <w:t>ламенте (16 процентов), низкой долей женщин среди членов региональных, муниципальных и городских советов (12</w:t>
      </w:r>
      <w:r>
        <w:rPr>
          <w:lang w:val="en-US"/>
        </w:rPr>
        <w:t> </w:t>
      </w:r>
      <w:r w:rsidRPr="00EF2020">
        <w:t xml:space="preserve">процентов) и отсутствием женщин-губернаторов и префектов. Несмотря на то, что согласно </w:t>
      </w:r>
      <w:r>
        <w:t xml:space="preserve">этому </w:t>
      </w:r>
      <w:r w:rsidRPr="00EF2020">
        <w:t>закону на выс</w:t>
      </w:r>
      <w:r w:rsidRPr="00EF2020">
        <w:t>о</w:t>
      </w:r>
      <w:r w:rsidRPr="00EF2020">
        <w:t>кие правительственные должности должны назначаться не менее 25 процентов представителей каждого пола, Комитет отмечает, что лишь 19 процентов мин</w:t>
      </w:r>
      <w:r w:rsidRPr="00EF2020">
        <w:t>и</w:t>
      </w:r>
      <w:r w:rsidRPr="00EF2020">
        <w:t xml:space="preserve">стров в стране являются женщинами и </w:t>
      </w:r>
      <w:r>
        <w:t xml:space="preserve">что </w:t>
      </w:r>
      <w:r w:rsidRPr="00EF2020">
        <w:t>женщины недостаточно предста</w:t>
      </w:r>
      <w:r w:rsidRPr="00EF2020">
        <w:t>в</w:t>
      </w:r>
      <w:r w:rsidRPr="00EF2020">
        <w:t>лены на руководящих должностях в государственных органах власти. Комитет с обеспокоенностью отмечает</w:t>
      </w:r>
      <w:r>
        <w:t xml:space="preserve"> </w:t>
      </w:r>
      <w:r w:rsidRPr="00EF2020">
        <w:t>также, что женщины лишены возможности пр</w:t>
      </w:r>
      <w:r w:rsidRPr="00EF2020">
        <w:t>и</w:t>
      </w:r>
      <w:r w:rsidRPr="00EF2020">
        <w:t>нимать полноценное участие в традиционной политике.</w:t>
      </w:r>
    </w:p>
    <w:p w:rsidR="00FF187E" w:rsidRPr="00EF2020" w:rsidRDefault="00FF187E" w:rsidP="00FF187E">
      <w:pPr>
        <w:pStyle w:val="SingleTxt"/>
      </w:pPr>
      <w:r w:rsidRPr="00EF2020">
        <w:t>27.</w:t>
      </w:r>
      <w:r w:rsidRPr="00EF2020">
        <w:tab/>
      </w:r>
      <w:r w:rsidRPr="00EF2020">
        <w:rPr>
          <w:b/>
        </w:rPr>
        <w:t>В соответствии с общей рекомендацией № 23 (1997 год) относительно участия женщин в политической и общественной жизни Комитет рек</w:t>
      </w:r>
      <w:r w:rsidRPr="00EF2020">
        <w:rPr>
          <w:b/>
        </w:rPr>
        <w:t>о</w:t>
      </w:r>
      <w:r w:rsidRPr="00EF2020">
        <w:rPr>
          <w:b/>
        </w:rPr>
        <w:t>мендует государству-участнику:</w:t>
      </w:r>
    </w:p>
    <w:p w:rsidR="00FF187E" w:rsidRPr="00EF2020" w:rsidRDefault="00FF187E" w:rsidP="00FF187E">
      <w:pPr>
        <w:pStyle w:val="SingleTxt"/>
      </w:pPr>
      <w:r w:rsidRPr="00EF2020">
        <w:tab/>
        <w:t>a)</w:t>
      </w:r>
      <w:r w:rsidRPr="00EF2020">
        <w:tab/>
      </w:r>
      <w:r w:rsidRPr="00EF2020">
        <w:rPr>
          <w:b/>
        </w:rPr>
        <w:t>надлежащим образом обеспечить выполнение положений Закона о квотах, в том числе путем введения санкций за их несоблюдение;</w:t>
      </w:r>
    </w:p>
    <w:p w:rsidR="00FF187E" w:rsidRPr="00EF2020" w:rsidRDefault="00FF187E" w:rsidP="00FF187E">
      <w:pPr>
        <w:pStyle w:val="SingleTxt"/>
      </w:pPr>
      <w:r w:rsidRPr="00EF2020">
        <w:tab/>
        <w:t>b)</w:t>
      </w:r>
      <w:r w:rsidRPr="00EF2020">
        <w:tab/>
      </w:r>
      <w:r w:rsidRPr="00EF2020">
        <w:rPr>
          <w:b/>
        </w:rPr>
        <w:t>в приоритетном порядке содействовать участию женщин в раб</w:t>
      </w:r>
      <w:r w:rsidRPr="00EF2020">
        <w:rPr>
          <w:b/>
        </w:rPr>
        <w:t>о</w:t>
      </w:r>
      <w:r w:rsidRPr="00EF2020">
        <w:rPr>
          <w:b/>
        </w:rPr>
        <w:t>те местных органов власти, в том числе в качестве губернаторов, префе</w:t>
      </w:r>
      <w:r w:rsidRPr="00EF2020">
        <w:rPr>
          <w:b/>
        </w:rPr>
        <w:t>к</w:t>
      </w:r>
      <w:r w:rsidRPr="00EF2020">
        <w:rPr>
          <w:b/>
        </w:rPr>
        <w:t>тов, мэров и вождей кланов, и отменить дискриминационные положения Закона № 2008-22 от 23 июня 2008 года, изменяющего и дополняющего п</w:t>
      </w:r>
      <w:r w:rsidRPr="00EF2020">
        <w:rPr>
          <w:b/>
        </w:rPr>
        <w:t>о</w:t>
      </w:r>
      <w:r w:rsidRPr="00EF2020">
        <w:rPr>
          <w:b/>
        </w:rPr>
        <w:t>ложения Указа № 93-28 от 30 марта 1993 года о статусе традиционных в</w:t>
      </w:r>
      <w:r w:rsidRPr="00EF2020">
        <w:rPr>
          <w:b/>
        </w:rPr>
        <w:t>о</w:t>
      </w:r>
      <w:r w:rsidRPr="00EF2020">
        <w:rPr>
          <w:b/>
        </w:rPr>
        <w:t>ждей кланов;</w:t>
      </w:r>
    </w:p>
    <w:p w:rsidR="00FF187E" w:rsidRPr="00EF2020" w:rsidRDefault="00FF187E" w:rsidP="00FF187E">
      <w:pPr>
        <w:pStyle w:val="SingleTxt"/>
        <w:rPr>
          <w:b/>
        </w:rPr>
      </w:pPr>
      <w:r w:rsidRPr="00EF2020">
        <w:tab/>
        <w:t>c)</w:t>
      </w:r>
      <w:r w:rsidRPr="00EF2020">
        <w:tab/>
      </w:r>
      <w:r w:rsidRPr="00EF2020">
        <w:rPr>
          <w:b/>
        </w:rPr>
        <w:t>выделить достаточные людские, технические и финансовые р</w:t>
      </w:r>
      <w:r w:rsidRPr="00EF2020">
        <w:rPr>
          <w:b/>
        </w:rPr>
        <w:t>е</w:t>
      </w:r>
      <w:r w:rsidRPr="00EF2020">
        <w:rPr>
          <w:b/>
        </w:rPr>
        <w:t>сурсы на нужды Директората по поддержке лидерства женщин, чтобы он имел возможность осуществлять свой мандат, в том числе путем реализ</w:t>
      </w:r>
      <w:r w:rsidRPr="00EF2020">
        <w:rPr>
          <w:b/>
        </w:rPr>
        <w:t>а</w:t>
      </w:r>
      <w:r w:rsidRPr="00EF2020">
        <w:rPr>
          <w:b/>
        </w:rPr>
        <w:t>ции комплексной стратегии, направленной на ликвидацию барьеров, ограничивающих участие женщин в принятии решений, и уделяя особое внимание повышению уровня образования среди женщин;</w:t>
      </w:r>
    </w:p>
    <w:p w:rsidR="00FF187E" w:rsidRPr="00461A2A" w:rsidRDefault="00FF187E" w:rsidP="00FF187E">
      <w:pPr>
        <w:pStyle w:val="SingleTxt"/>
        <w:rPr>
          <w:b/>
        </w:rPr>
      </w:pPr>
      <w:r w:rsidRPr="00EF2020">
        <w:tab/>
        <w:t>d)</w:t>
      </w:r>
      <w:r w:rsidRPr="00EF2020">
        <w:tab/>
      </w:r>
      <w:r w:rsidRPr="00EF2020">
        <w:rPr>
          <w:b/>
        </w:rPr>
        <w:t>повышать осведомленность политиков, средств массовой и</w:t>
      </w:r>
      <w:r w:rsidRPr="00EF2020">
        <w:rPr>
          <w:b/>
        </w:rPr>
        <w:t>н</w:t>
      </w:r>
      <w:r w:rsidRPr="00EF2020">
        <w:rPr>
          <w:b/>
        </w:rPr>
        <w:t>формации, традиционных лидеров и населения в целом о том, что полн</w:t>
      </w:r>
      <w:r w:rsidRPr="00EF2020">
        <w:rPr>
          <w:b/>
        </w:rPr>
        <w:t>о</w:t>
      </w:r>
      <w:r w:rsidRPr="00EF2020">
        <w:rPr>
          <w:b/>
        </w:rPr>
        <w:t>ценное, равноправное, свободное и демократическое участие женщин на равной с мужчинами основе в политической и общественной жизни явл</w:t>
      </w:r>
      <w:r w:rsidRPr="00EF2020">
        <w:rPr>
          <w:b/>
        </w:rPr>
        <w:t>я</w:t>
      </w:r>
      <w:r w:rsidRPr="00EF2020">
        <w:rPr>
          <w:b/>
        </w:rPr>
        <w:t>ется одним из условий полноценного осуществления положений Конве</w:t>
      </w:r>
      <w:r w:rsidRPr="00EF2020">
        <w:rPr>
          <w:b/>
        </w:rPr>
        <w:t>н</w:t>
      </w:r>
      <w:r w:rsidRPr="00EF2020">
        <w:rPr>
          <w:b/>
        </w:rPr>
        <w:t>ции, а также политической стабильности и экономического развития страны.</w:t>
      </w:r>
    </w:p>
    <w:p w:rsidR="00856F76" w:rsidRPr="00461A2A" w:rsidRDefault="00856F76" w:rsidP="00856F76">
      <w:pPr>
        <w:pStyle w:val="SingleTxt"/>
        <w:spacing w:after="0" w:line="120" w:lineRule="exact"/>
        <w:rPr>
          <w:b/>
          <w:sz w:val="10"/>
        </w:rPr>
      </w:pPr>
    </w:p>
    <w:p w:rsidR="00FF187E" w:rsidRPr="00EF2020" w:rsidRDefault="00FF187E" w:rsidP="00856F7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2020">
        <w:tab/>
      </w:r>
      <w:r w:rsidRPr="00EF2020">
        <w:tab/>
        <w:t>Образование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</w:pPr>
      <w:r w:rsidRPr="00EF2020">
        <w:t>28.</w:t>
      </w:r>
      <w:r w:rsidRPr="00EF2020">
        <w:tab/>
        <w:t>Комитет приветствует заявление президента об установлении обязател</w:t>
      </w:r>
      <w:r w:rsidRPr="00EF2020">
        <w:t>ь</w:t>
      </w:r>
      <w:r w:rsidRPr="00EF2020">
        <w:t>ного образования до 16 лет и осуществлении государственной стратегии по обеспечению образования для девочек, направленной на достижение паритета к 2020 году. В то же время Комитет выражает обеспокоенность в связи со сл</w:t>
      </w:r>
      <w:r w:rsidRPr="00EF2020">
        <w:t>е</w:t>
      </w:r>
      <w:r w:rsidRPr="00EF2020">
        <w:t>дующим:</w:t>
      </w:r>
    </w:p>
    <w:p w:rsidR="00FF187E" w:rsidRPr="00EF2020" w:rsidRDefault="00FF187E" w:rsidP="00FF187E">
      <w:pPr>
        <w:pStyle w:val="SingleTxt"/>
      </w:pPr>
      <w:r w:rsidRPr="00EF2020">
        <w:tab/>
        <w:t>a)</w:t>
      </w:r>
      <w:r w:rsidRPr="00EF2020">
        <w:tab/>
        <w:t>несоразмерно низкий охват девочек школьным образованием, пр</w:t>
      </w:r>
      <w:r w:rsidRPr="00EF2020">
        <w:t>и</w:t>
      </w:r>
      <w:r w:rsidRPr="00EF2020">
        <w:t>чем в первую очередь это касается жительниц сельских районов (включая р</w:t>
      </w:r>
      <w:r w:rsidRPr="00EF2020">
        <w:t>е</w:t>
      </w:r>
      <w:r w:rsidRPr="00EF2020">
        <w:t>гионы Диффа, Зиндер, Тиллабери и Тахуа), кочевых племен, малоимущих с</w:t>
      </w:r>
      <w:r w:rsidRPr="00EF2020">
        <w:t>е</w:t>
      </w:r>
      <w:r w:rsidRPr="00EF2020">
        <w:t>мей, девочек, оказавшихся в рабстве, или их потомства, а также девочек-инвалидов;</w:t>
      </w:r>
    </w:p>
    <w:p w:rsidR="00FF187E" w:rsidRPr="00EF2020" w:rsidRDefault="00FF187E" w:rsidP="00FF187E">
      <w:pPr>
        <w:pStyle w:val="SingleTxt"/>
      </w:pPr>
      <w:r w:rsidRPr="00EF2020">
        <w:tab/>
        <w:t>b)</w:t>
      </w:r>
      <w:r w:rsidRPr="00EF2020">
        <w:tab/>
        <w:t xml:space="preserve">чрезвычайно малое число девочек, заканчивающих школу, и высокие показатели повторного обучения среди девочек, особенно в средних классах </w:t>
      </w:r>
      <w:r w:rsidRPr="00EF2020">
        <w:lastRenderedPageBreak/>
        <w:t>школы, в частности по причине детских браков, ранней беременности, косве</w:t>
      </w:r>
      <w:r w:rsidRPr="00EF2020">
        <w:t>н</w:t>
      </w:r>
      <w:r w:rsidRPr="00EF2020">
        <w:t>ных издержек, связанных с обучением в школе, необходимостью оплаты школьного обучения в средних классах школы, использованием детского труда, а также в связи с тем, что родители предпочитают отправлять в школу мальч</w:t>
      </w:r>
      <w:r w:rsidRPr="00EF2020">
        <w:t>и</w:t>
      </w:r>
      <w:r w:rsidRPr="00EF2020">
        <w:t>ков, что приводит к чрезвычайно низкому уровню грамотности (11 процентов) среди женщин в государстве-участнике;</w:t>
      </w:r>
    </w:p>
    <w:p w:rsidR="00FF187E" w:rsidRPr="00EF2020" w:rsidRDefault="00FF187E" w:rsidP="00FF187E">
      <w:pPr>
        <w:pStyle w:val="SingleTxt"/>
      </w:pPr>
      <w:r w:rsidRPr="00EF2020">
        <w:tab/>
        <w:t>c)</w:t>
      </w:r>
      <w:r w:rsidRPr="00EF2020">
        <w:tab/>
        <w:t xml:space="preserve">низкое качество образования по причине недостаточных инвестиций в школьную инфраструктуру, подготовку преподавателей, перевозку детей до школ и школьные программы питания. </w:t>
      </w:r>
    </w:p>
    <w:p w:rsidR="00FF187E" w:rsidRPr="00EF2020" w:rsidRDefault="00FF187E" w:rsidP="00FF187E">
      <w:pPr>
        <w:pStyle w:val="SingleTxt"/>
      </w:pPr>
      <w:r w:rsidRPr="00EF2020">
        <w:t>29.</w:t>
      </w:r>
      <w:r w:rsidRPr="00EF2020">
        <w:tab/>
      </w:r>
      <w:r w:rsidRPr="00EF2020">
        <w:rPr>
          <w:b/>
        </w:rPr>
        <w:t>Принимая во внимание цель 4.5 в области устойчивого развития, к</w:t>
      </w:r>
      <w:r w:rsidRPr="00EF2020">
        <w:rPr>
          <w:b/>
        </w:rPr>
        <w:t>а</w:t>
      </w:r>
      <w:r w:rsidRPr="00EF2020">
        <w:rPr>
          <w:b/>
        </w:rPr>
        <w:t>сающуюся ликвидации гендерного неравенства в сфере образования, К</w:t>
      </w:r>
      <w:r w:rsidRPr="00EF2020">
        <w:rPr>
          <w:b/>
        </w:rPr>
        <w:t>о</w:t>
      </w:r>
      <w:r w:rsidRPr="00EF2020">
        <w:rPr>
          <w:b/>
        </w:rPr>
        <w:t>митет рекомендует государству-участнику:</w:t>
      </w:r>
    </w:p>
    <w:p w:rsidR="00FF187E" w:rsidRPr="00EF2020" w:rsidRDefault="00FF187E" w:rsidP="00FF187E">
      <w:pPr>
        <w:pStyle w:val="SingleTxt"/>
      </w:pPr>
      <w:r w:rsidRPr="00EF2020">
        <w:tab/>
        <w:t>a)</w:t>
      </w:r>
      <w:r w:rsidRPr="00EF2020">
        <w:tab/>
      </w:r>
      <w:r w:rsidRPr="00EF2020">
        <w:rPr>
          <w:b/>
        </w:rPr>
        <w:t>устранить дискриминационные стереотипы и прочие барьеры, ограничивающие доступ девочек к образованию, путем повышения осв</w:t>
      </w:r>
      <w:r w:rsidRPr="00EF2020">
        <w:rPr>
          <w:b/>
        </w:rPr>
        <w:t>е</w:t>
      </w:r>
      <w:r w:rsidRPr="00EF2020">
        <w:rPr>
          <w:b/>
        </w:rPr>
        <w:t>домленности, в первую очередь родителей и традиционных лидеров, о важности образования для женщин и девочек и о негативных последств</w:t>
      </w:r>
      <w:r w:rsidRPr="00EF2020">
        <w:rPr>
          <w:b/>
        </w:rPr>
        <w:t>и</w:t>
      </w:r>
      <w:r w:rsidRPr="00EF2020">
        <w:rPr>
          <w:b/>
        </w:rPr>
        <w:t>ях детских браков;</w:t>
      </w:r>
    </w:p>
    <w:p w:rsidR="00FF187E" w:rsidRPr="00EF2020" w:rsidRDefault="00FF187E" w:rsidP="00FF187E">
      <w:pPr>
        <w:pStyle w:val="SingleTxt"/>
      </w:pPr>
      <w:r w:rsidRPr="00EF2020">
        <w:tab/>
        <w:t>b)</w:t>
      </w:r>
      <w:r w:rsidRPr="00EF2020">
        <w:tab/>
      </w:r>
      <w:r w:rsidRPr="00EF2020">
        <w:rPr>
          <w:b/>
        </w:rPr>
        <w:t>обеспечить повторный прием в школу молодых матерей, в том числе путем отмены решения № 65/</w:t>
      </w:r>
      <w:r w:rsidRPr="00EF2020">
        <w:rPr>
          <w:b/>
          <w:lang w:val="en-US"/>
        </w:rPr>
        <w:t>MEN</w:t>
      </w:r>
      <w:r w:rsidRPr="00EF2020">
        <w:rPr>
          <w:b/>
        </w:rPr>
        <w:t>/</w:t>
      </w:r>
      <w:r w:rsidRPr="00EF2020">
        <w:rPr>
          <w:b/>
          <w:lang w:val="en-US"/>
        </w:rPr>
        <w:t>DEST</w:t>
      </w:r>
      <w:r w:rsidRPr="00EF2020">
        <w:rPr>
          <w:b/>
        </w:rPr>
        <w:t>/</w:t>
      </w:r>
      <w:r w:rsidRPr="00EF2020">
        <w:rPr>
          <w:b/>
          <w:lang w:val="en-US"/>
        </w:rPr>
        <w:t>EX</w:t>
      </w:r>
      <w:r w:rsidRPr="00EF2020">
        <w:rPr>
          <w:b/>
        </w:rPr>
        <w:t xml:space="preserve"> от 10 июля 1978 года, согласно которому забеременевшие девочки временно отстраняются от з</w:t>
      </w:r>
      <w:r w:rsidRPr="00EF2020">
        <w:rPr>
          <w:b/>
        </w:rPr>
        <w:t>а</w:t>
      </w:r>
      <w:r w:rsidRPr="00EF2020">
        <w:rPr>
          <w:b/>
        </w:rPr>
        <w:t>нятий в школе и окончательно исключаются из школы после вступления в брак;</w:t>
      </w:r>
    </w:p>
    <w:p w:rsidR="00FF187E" w:rsidRPr="00EF2020" w:rsidRDefault="00FF187E" w:rsidP="00FF187E">
      <w:pPr>
        <w:pStyle w:val="SingleTxt"/>
        <w:rPr>
          <w:b/>
        </w:rPr>
      </w:pPr>
      <w:r w:rsidRPr="00EF2020">
        <w:tab/>
        <w:t>c)</w:t>
      </w:r>
      <w:r w:rsidRPr="00EF2020">
        <w:tab/>
      </w:r>
      <w:r w:rsidRPr="00EF2020">
        <w:rPr>
          <w:b/>
        </w:rPr>
        <w:t>включить в обязательную школьную программу просветител</w:t>
      </w:r>
      <w:r w:rsidRPr="00EF2020">
        <w:rPr>
          <w:b/>
        </w:rPr>
        <w:t>ь</w:t>
      </w:r>
      <w:r w:rsidRPr="00EF2020">
        <w:rPr>
          <w:b/>
        </w:rPr>
        <w:t>ские мероприятия по вопросам сексуального и репродуктивного здоровья и соответствующим правам, составленные с учетом возраста школьников и научных данных и адресованные как мальчикам, так и девочкам, с тем чтобы, в частности, предотвратить уход девочек из школы по причине б</w:t>
      </w:r>
      <w:r w:rsidRPr="00EF2020">
        <w:rPr>
          <w:b/>
        </w:rPr>
        <w:t>е</w:t>
      </w:r>
      <w:r w:rsidRPr="00EF2020">
        <w:rPr>
          <w:b/>
        </w:rPr>
        <w:t>ременности;</w:t>
      </w:r>
    </w:p>
    <w:p w:rsidR="00FF187E" w:rsidRPr="00EF2020" w:rsidRDefault="00FF187E" w:rsidP="00FF187E">
      <w:pPr>
        <w:pStyle w:val="SingleTxt"/>
      </w:pPr>
      <w:r w:rsidRPr="00EF2020">
        <w:tab/>
        <w:t>d)</w:t>
      </w:r>
      <w:r w:rsidRPr="00EF2020">
        <w:tab/>
      </w:r>
      <w:r w:rsidRPr="00EF2020">
        <w:rPr>
          <w:b/>
        </w:rPr>
        <w:t>выделить необходимое финансирование для обеспечения бе</w:t>
      </w:r>
      <w:r w:rsidRPr="00EF2020">
        <w:rPr>
          <w:b/>
        </w:rPr>
        <w:t>с</w:t>
      </w:r>
      <w:r w:rsidRPr="00EF2020">
        <w:rPr>
          <w:b/>
        </w:rPr>
        <w:t>платного образования не только в первые шесть лет школьного обучения, но и до окончания средней школы, ликвидировать косвенные издержки, связанные со школьным обучением, повысить качество преподавания и школьной инфраструктуры, а также расширить предоставление школ</w:t>
      </w:r>
      <w:r w:rsidRPr="00EF2020">
        <w:rPr>
          <w:b/>
        </w:rPr>
        <w:t>ь</w:t>
      </w:r>
      <w:r w:rsidRPr="00EF2020">
        <w:rPr>
          <w:b/>
        </w:rPr>
        <w:t>ных программ питания и обеспечить необходимые средства санитарии для девочек;</w:t>
      </w:r>
    </w:p>
    <w:p w:rsidR="00FF187E" w:rsidRPr="00EF2020" w:rsidRDefault="00FF187E" w:rsidP="00FF187E">
      <w:pPr>
        <w:pStyle w:val="SingleTxt"/>
        <w:rPr>
          <w:b/>
        </w:rPr>
      </w:pPr>
      <w:r w:rsidRPr="00EF2020">
        <w:tab/>
        <w:t>e)</w:t>
      </w:r>
      <w:r w:rsidRPr="00EF2020">
        <w:tab/>
      </w:r>
      <w:r w:rsidRPr="00EF2020">
        <w:rPr>
          <w:b/>
        </w:rPr>
        <w:t>продолжить расширение доступа женщин и девочек к высшему образованию, в том числе путем проведения информационно-пропагандистской работы и предоставления стипендий, а также актив</w:t>
      </w:r>
      <w:r w:rsidRPr="00EF2020">
        <w:rPr>
          <w:b/>
        </w:rPr>
        <w:t>и</w:t>
      </w:r>
      <w:r w:rsidRPr="00EF2020">
        <w:rPr>
          <w:b/>
        </w:rPr>
        <w:t>зировать программы повышения грамотности среди взрослых, в первую очередь в сельских районах.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2020">
        <w:tab/>
      </w:r>
      <w:r w:rsidRPr="00EF2020">
        <w:tab/>
        <w:t>Занятость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</w:pPr>
      <w:r w:rsidRPr="00EF2020">
        <w:t>30.</w:t>
      </w:r>
      <w:r w:rsidRPr="00EF2020">
        <w:tab/>
        <w:t>Комитет принимает к сведению тот факт, что в Конституции содержатся положения о гарантиях отсутствия дискриминации в сфере занятости (ст. 33), которые также дополнительно закрепляются в Трудовом кодексе (2012 год). В то же время Комитет с обеспокоенностью отмечает, что:</w:t>
      </w:r>
    </w:p>
    <w:p w:rsidR="00FF187E" w:rsidRPr="00EF2020" w:rsidRDefault="00FF187E" w:rsidP="00FF187E">
      <w:pPr>
        <w:pStyle w:val="SingleTxt"/>
      </w:pPr>
      <w:r w:rsidRPr="00EF2020">
        <w:tab/>
        <w:t>a)</w:t>
      </w:r>
      <w:r w:rsidRPr="00EF2020">
        <w:tab/>
        <w:t>очень небольшое число женщин занято в официальном секторе эк</w:t>
      </w:r>
      <w:r w:rsidRPr="00EF2020">
        <w:t>о</w:t>
      </w:r>
      <w:r w:rsidRPr="00EF2020">
        <w:t>номики (3 процента в 2012 году) и имеют социальные гарантии, а также что женщины в стране занимаются преимущественно низкооплачиваемым дома</w:t>
      </w:r>
      <w:r w:rsidRPr="00EF2020">
        <w:t>ш</w:t>
      </w:r>
      <w:r w:rsidRPr="00EF2020">
        <w:t>ним трудом, в связи с чем часто подвергаются эксплуатации и насилию со ст</w:t>
      </w:r>
      <w:r w:rsidRPr="00EF2020">
        <w:t>о</w:t>
      </w:r>
      <w:r w:rsidRPr="00EF2020">
        <w:lastRenderedPageBreak/>
        <w:t>роны работодателей и вынуждены работать на условиях ненадежной занят</w:t>
      </w:r>
      <w:r w:rsidRPr="00EF2020">
        <w:t>о</w:t>
      </w:r>
      <w:r w:rsidRPr="00EF2020">
        <w:t xml:space="preserve">сти; </w:t>
      </w:r>
    </w:p>
    <w:p w:rsidR="00FF187E" w:rsidRPr="00EF2020" w:rsidRDefault="00FF187E" w:rsidP="00FF187E">
      <w:pPr>
        <w:pStyle w:val="SingleTxt"/>
      </w:pPr>
      <w:r w:rsidRPr="00EF2020">
        <w:tab/>
        <w:t>b)</w:t>
      </w:r>
      <w:r w:rsidRPr="00EF2020">
        <w:tab/>
        <w:t>запрет на сексуальные домогательства на рабочем месте, закрепле</w:t>
      </w:r>
      <w:r w:rsidRPr="00EF2020">
        <w:t>н</w:t>
      </w:r>
      <w:r w:rsidRPr="00EF2020">
        <w:t>ный в Трудовом кодексе, распространяется только на лиц, облеченных властью, и не включает в себя коллег по работе, а также что отсутствует достаточная информация о средствах правовой защиты для жертв;</w:t>
      </w:r>
    </w:p>
    <w:p w:rsidR="00FF187E" w:rsidRPr="00EF2020" w:rsidRDefault="00FF187E" w:rsidP="00FF187E">
      <w:pPr>
        <w:pStyle w:val="SingleTxt"/>
      </w:pPr>
      <w:r w:rsidRPr="00EF2020">
        <w:tab/>
        <w:t>c)</w:t>
      </w:r>
      <w:r w:rsidRPr="00EF2020">
        <w:tab/>
        <w:t>допускается излишне широкое толкование статьи 109 Трудового к</w:t>
      </w:r>
      <w:r w:rsidRPr="00EF2020">
        <w:t>о</w:t>
      </w:r>
      <w:r w:rsidRPr="00EF2020">
        <w:t>декса о защите материнства, которое может быть использовано для лишения женщин доступа к ряду профессий на основании дискриминационных стере</w:t>
      </w:r>
      <w:r w:rsidRPr="00EF2020">
        <w:t>о</w:t>
      </w:r>
      <w:r w:rsidRPr="00EF2020">
        <w:t>типов.</w:t>
      </w:r>
    </w:p>
    <w:p w:rsidR="00FF187E" w:rsidRPr="00EF2020" w:rsidRDefault="00FF187E" w:rsidP="00FF187E">
      <w:pPr>
        <w:pStyle w:val="SingleTxt"/>
      </w:pPr>
      <w:r w:rsidRPr="00EF2020">
        <w:t>31.</w:t>
      </w:r>
      <w:r w:rsidRPr="00EF2020">
        <w:tab/>
      </w:r>
      <w:r w:rsidRPr="00EF2020">
        <w:rPr>
          <w:b/>
        </w:rPr>
        <w:t>Комитет рекомендует государству-участнику:</w:t>
      </w:r>
    </w:p>
    <w:p w:rsidR="00FF187E" w:rsidRPr="00EF2020" w:rsidRDefault="00FF187E" w:rsidP="00FF187E">
      <w:pPr>
        <w:pStyle w:val="SingleTxt"/>
      </w:pPr>
      <w:r w:rsidRPr="00EF2020">
        <w:tab/>
        <w:t>a)</w:t>
      </w:r>
      <w:r w:rsidRPr="00EF2020">
        <w:tab/>
      </w:r>
      <w:r w:rsidRPr="00EF2020">
        <w:rPr>
          <w:b/>
        </w:rPr>
        <w:t>в соответствии с пунктом 1 статьи 4 Конвенции и рекомендац</w:t>
      </w:r>
      <w:r w:rsidRPr="00EF2020">
        <w:rPr>
          <w:b/>
        </w:rPr>
        <w:t>и</w:t>
      </w:r>
      <w:r w:rsidRPr="00EF2020">
        <w:rPr>
          <w:b/>
        </w:rPr>
        <w:t>ей общего характера № 25 Комитета расширить доступ женщин к офиц</w:t>
      </w:r>
      <w:r w:rsidRPr="00EF2020">
        <w:rPr>
          <w:b/>
        </w:rPr>
        <w:t>и</w:t>
      </w:r>
      <w:r w:rsidRPr="00EF2020">
        <w:rPr>
          <w:b/>
        </w:rPr>
        <w:t>альному рынку труда путем принятия ряда мер, включая временные сп</w:t>
      </w:r>
      <w:r w:rsidRPr="00EF2020">
        <w:rPr>
          <w:b/>
        </w:rPr>
        <w:t>е</w:t>
      </w:r>
      <w:r w:rsidRPr="00EF2020">
        <w:rPr>
          <w:b/>
        </w:rPr>
        <w:t>циальные меры, например за счет создания стимулов для государственных и частных работодателей в целях принятия на работу женщин, введения гибкого графика работы и улучшения программ профессиональной подг</w:t>
      </w:r>
      <w:r w:rsidRPr="00EF2020">
        <w:rPr>
          <w:b/>
        </w:rPr>
        <w:t>о</w:t>
      </w:r>
      <w:r w:rsidRPr="00EF2020">
        <w:rPr>
          <w:b/>
        </w:rPr>
        <w:t>товки для женщин;</w:t>
      </w:r>
    </w:p>
    <w:p w:rsidR="00FF187E" w:rsidRPr="00EF2020" w:rsidRDefault="00FF187E" w:rsidP="00FF187E">
      <w:pPr>
        <w:pStyle w:val="SingleTxt"/>
      </w:pPr>
      <w:r w:rsidRPr="00EF2020">
        <w:tab/>
        <w:t>b)</w:t>
      </w:r>
      <w:r w:rsidRPr="00EF2020">
        <w:tab/>
      </w:r>
      <w:r w:rsidRPr="00EF2020">
        <w:rPr>
          <w:b/>
        </w:rPr>
        <w:t>обеспечить, чтобы действие программ социальной защиты ра</w:t>
      </w:r>
      <w:r w:rsidRPr="00EF2020">
        <w:rPr>
          <w:b/>
        </w:rPr>
        <w:t>с</w:t>
      </w:r>
      <w:r w:rsidRPr="00EF2020">
        <w:rPr>
          <w:b/>
        </w:rPr>
        <w:t>пространялось на всех женщин, включая занятых в неофициальном се</w:t>
      </w:r>
      <w:r w:rsidRPr="00EF2020">
        <w:rPr>
          <w:b/>
        </w:rPr>
        <w:t>к</w:t>
      </w:r>
      <w:r w:rsidRPr="00EF2020">
        <w:rPr>
          <w:b/>
        </w:rPr>
        <w:t>торе экономики;</w:t>
      </w:r>
    </w:p>
    <w:p w:rsidR="00FF187E" w:rsidRPr="00EF2020" w:rsidRDefault="00FF187E" w:rsidP="00FF187E">
      <w:pPr>
        <w:pStyle w:val="SingleTxt"/>
      </w:pPr>
      <w:r w:rsidRPr="00EF2020">
        <w:tab/>
        <w:t>c)</w:t>
      </w:r>
      <w:r w:rsidRPr="00EF2020">
        <w:tab/>
      </w:r>
      <w:r w:rsidRPr="00EF2020">
        <w:rPr>
          <w:b/>
        </w:rPr>
        <w:t>проводить проверки, включая случаи, когда есть разумные о</w:t>
      </w:r>
      <w:r w:rsidRPr="00EF2020">
        <w:rPr>
          <w:b/>
        </w:rPr>
        <w:t>с</w:t>
      </w:r>
      <w:r w:rsidRPr="00EF2020">
        <w:rPr>
          <w:b/>
        </w:rPr>
        <w:t>нования полагать, что нарушения происходят в частных домах, вести борьбу с практикой трудовой эксплуатации женщин и обеспечивать надлежащее наказание для виновных;</w:t>
      </w:r>
    </w:p>
    <w:p w:rsidR="00FF187E" w:rsidRPr="00EF2020" w:rsidRDefault="00FF187E" w:rsidP="00FF187E">
      <w:pPr>
        <w:pStyle w:val="SingleTxt"/>
      </w:pPr>
      <w:r w:rsidRPr="00EF2020">
        <w:tab/>
        <w:t>d)</w:t>
      </w:r>
      <w:r w:rsidRPr="00EF2020">
        <w:tab/>
      </w:r>
      <w:r w:rsidRPr="00EF2020">
        <w:rPr>
          <w:b/>
        </w:rPr>
        <w:t>внести поправки в статью 45 Трудового кодекса в целях расш</w:t>
      </w:r>
      <w:r w:rsidRPr="00EF2020">
        <w:rPr>
          <w:b/>
        </w:rPr>
        <w:t>и</w:t>
      </w:r>
      <w:r w:rsidRPr="00EF2020">
        <w:rPr>
          <w:b/>
        </w:rPr>
        <w:t>рения определения сексуальных домогательств и категорий лиц, в отн</w:t>
      </w:r>
      <w:r w:rsidRPr="00EF2020">
        <w:rPr>
          <w:b/>
        </w:rPr>
        <w:t>о</w:t>
      </w:r>
      <w:r w:rsidRPr="00EF2020">
        <w:rPr>
          <w:b/>
        </w:rPr>
        <w:t>шении которых оно действует, при этом повышая осведомленность о сре</w:t>
      </w:r>
      <w:r w:rsidRPr="00EF2020">
        <w:rPr>
          <w:b/>
        </w:rPr>
        <w:t>д</w:t>
      </w:r>
      <w:r w:rsidRPr="00EF2020">
        <w:rPr>
          <w:b/>
        </w:rPr>
        <w:t>ствах правовой защиты для жертв, а также внести поправки в статью 109 Кодекса о защите материнства, чтобы она распространялась исключ</w:t>
      </w:r>
      <w:r w:rsidRPr="00EF2020">
        <w:rPr>
          <w:b/>
        </w:rPr>
        <w:t>и</w:t>
      </w:r>
      <w:r w:rsidRPr="00EF2020">
        <w:rPr>
          <w:b/>
        </w:rPr>
        <w:t>тельно на матерей, а не на женщин в целом;</w:t>
      </w:r>
    </w:p>
    <w:p w:rsidR="00FF187E" w:rsidRPr="00EF2020" w:rsidRDefault="00FF187E" w:rsidP="00FF187E">
      <w:pPr>
        <w:pStyle w:val="SingleTxt"/>
      </w:pPr>
      <w:r w:rsidRPr="00EF2020">
        <w:tab/>
        <w:t>e)</w:t>
      </w:r>
      <w:r w:rsidRPr="00EF2020">
        <w:tab/>
      </w:r>
      <w:r w:rsidRPr="00EF2020">
        <w:rPr>
          <w:b/>
        </w:rPr>
        <w:t>ратифицировать Конвенцию Международной организации труда № 189 от 2011 года о достойном труде домашних работников или прис</w:t>
      </w:r>
      <w:r w:rsidRPr="00EF2020">
        <w:rPr>
          <w:b/>
        </w:rPr>
        <w:t>о</w:t>
      </w:r>
      <w:r w:rsidRPr="00EF2020">
        <w:rPr>
          <w:b/>
        </w:rPr>
        <w:t>единиться к ней.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2020">
        <w:tab/>
      </w:r>
      <w:r w:rsidRPr="00EF2020">
        <w:tab/>
        <w:t>Здравоохранение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</w:pPr>
      <w:r w:rsidRPr="00EF2020">
        <w:t>32.</w:t>
      </w:r>
      <w:r w:rsidRPr="00EF2020">
        <w:tab/>
        <w:t>Комитет отмечает снижение материнской, младенческой и детской смер</w:t>
      </w:r>
      <w:r w:rsidRPr="00EF2020">
        <w:t>т</w:t>
      </w:r>
      <w:r w:rsidRPr="00EF2020">
        <w:t>ности и предоставление услуг бесплатного медицинского ухода для детей в возрасте до пяти лет и в связи с оказанием определенных услуг женщинам в государстве-участнике. В то же время Комитет обеспокоен следующим:</w:t>
      </w:r>
    </w:p>
    <w:p w:rsidR="00FF187E" w:rsidRPr="00EF2020" w:rsidRDefault="00FF187E" w:rsidP="00FF187E">
      <w:pPr>
        <w:pStyle w:val="SingleTxt"/>
      </w:pPr>
      <w:r w:rsidRPr="00EF2020">
        <w:tab/>
        <w:t>a)</w:t>
      </w:r>
      <w:r w:rsidRPr="00EF2020">
        <w:tab/>
        <w:t>недостаточное финансирование сектора здравоохранения, которое приводит к ограниченной доступности базовых услуг здравоохранения, в первую очередь для малоимущих и сельских женщин и женщин из числа коч</w:t>
      </w:r>
      <w:r w:rsidRPr="00EF2020">
        <w:t>е</w:t>
      </w:r>
      <w:r w:rsidRPr="00EF2020">
        <w:t>вых народов, нехватке программ профилактики раковых заболеваний и нед</w:t>
      </w:r>
      <w:r w:rsidRPr="00EF2020">
        <w:t>о</w:t>
      </w:r>
      <w:r w:rsidRPr="00EF2020">
        <w:t>статку услуг здравоохранения в области сексуального и репродуктивного зд</w:t>
      </w:r>
      <w:r w:rsidRPr="00EF2020">
        <w:t>о</w:t>
      </w:r>
      <w:r w:rsidRPr="00EF2020">
        <w:t>ровья, информации и современных средств контрацепции, в том числе для д</w:t>
      </w:r>
      <w:r w:rsidRPr="00EF2020">
        <w:t>е</w:t>
      </w:r>
      <w:r w:rsidRPr="00EF2020">
        <w:t>вочек-подростков;</w:t>
      </w:r>
    </w:p>
    <w:p w:rsidR="00FF187E" w:rsidRPr="00EF2020" w:rsidRDefault="00FF187E" w:rsidP="00FF187E">
      <w:pPr>
        <w:pStyle w:val="SingleTxt"/>
      </w:pPr>
      <w:r w:rsidRPr="00EF2020">
        <w:tab/>
        <w:t>b)</w:t>
      </w:r>
      <w:r w:rsidRPr="00EF2020">
        <w:tab/>
        <w:t>чрезвычайно высокий уровень материнской смертности, рождаем</w:t>
      </w:r>
      <w:r w:rsidRPr="00EF2020">
        <w:t>о</w:t>
      </w:r>
      <w:r w:rsidRPr="00EF2020">
        <w:t xml:space="preserve">сти (7,6 ребенка на женщину), случаев ранней и частой беременности и, как </w:t>
      </w:r>
      <w:r w:rsidRPr="00EF2020">
        <w:lastRenderedPageBreak/>
        <w:t>следствие, распространенности такой проблемы, как акушерский свищ, а та</w:t>
      </w:r>
      <w:r w:rsidRPr="00EF2020">
        <w:t>к</w:t>
      </w:r>
      <w:r w:rsidRPr="00EF2020">
        <w:t>же высокий уровень острого недоедания среди женщин;</w:t>
      </w:r>
    </w:p>
    <w:p w:rsidR="00FF187E" w:rsidRPr="00EF2020" w:rsidRDefault="00FF187E" w:rsidP="00FF187E">
      <w:pPr>
        <w:pStyle w:val="SingleTxt"/>
      </w:pPr>
      <w:r w:rsidRPr="00EF2020">
        <w:tab/>
        <w:t>c)</w:t>
      </w:r>
      <w:r w:rsidRPr="00EF2020">
        <w:tab/>
        <w:t>сохраняющиеся экономические и социокультурные факторы плохого состояния здоровья женщин в государстве-участнике, включая детские браки и браки по принуждению, калечащие операции на женских половых органах, необходимость получения разрешения мужа для получения женщиной мед</w:t>
      </w:r>
      <w:r w:rsidRPr="00EF2020">
        <w:t>и</w:t>
      </w:r>
      <w:r w:rsidRPr="00EF2020">
        <w:t>цинской помощи и частую неспособность женщин оплачивать одновременно услуги транспортировки и лечения;</w:t>
      </w:r>
    </w:p>
    <w:p w:rsidR="00FF187E" w:rsidRPr="00EF2020" w:rsidRDefault="00FF187E" w:rsidP="00FF187E">
      <w:pPr>
        <w:pStyle w:val="SingleTxt"/>
      </w:pPr>
      <w:r w:rsidRPr="00EF2020">
        <w:tab/>
        <w:t>d)</w:t>
      </w:r>
      <w:r w:rsidRPr="00EF2020">
        <w:tab/>
        <w:t>криминализация абортов, предусматривающая уголовную отве</w:t>
      </w:r>
      <w:r w:rsidRPr="00EF2020">
        <w:t>т</w:t>
      </w:r>
      <w:r w:rsidRPr="00EF2020">
        <w:t>ственность как для женщины, прибегнувшей к аборту, так и для всех лиц, к</w:t>
      </w:r>
      <w:r w:rsidRPr="00EF2020">
        <w:t>о</w:t>
      </w:r>
      <w:r w:rsidRPr="00EF2020">
        <w:t>торые оказывали ей помощь (ст. 295—297 Уголовного кодекса), а также огр</w:t>
      </w:r>
      <w:r w:rsidRPr="00EF2020">
        <w:t>а</w:t>
      </w:r>
      <w:r w:rsidRPr="00EF2020">
        <w:t>ничения доступа к услугам прерывания беременности в тех случаях, когда она является законной, например в случае изнасилования или инцеста или серье</w:t>
      </w:r>
      <w:r w:rsidRPr="00EF2020">
        <w:t>з</w:t>
      </w:r>
      <w:r w:rsidRPr="00EF2020">
        <w:t>ной угрозы для здоровья женщины по причине беременности.</w:t>
      </w:r>
    </w:p>
    <w:p w:rsidR="00FF187E" w:rsidRPr="00EF2020" w:rsidRDefault="00FF187E" w:rsidP="00FF187E">
      <w:pPr>
        <w:pStyle w:val="SingleTxt"/>
      </w:pPr>
      <w:r w:rsidRPr="00EF2020">
        <w:t>33.</w:t>
      </w:r>
      <w:r w:rsidRPr="00EF2020">
        <w:tab/>
      </w:r>
      <w:r w:rsidRPr="00EF2020">
        <w:rPr>
          <w:b/>
        </w:rPr>
        <w:t>Напоминая о своей общей рекомендации №</w:t>
      </w:r>
      <w:r w:rsidR="00856F76">
        <w:rPr>
          <w:b/>
          <w:lang w:val="en-US"/>
        </w:rPr>
        <w:t> </w:t>
      </w:r>
      <w:r w:rsidRPr="00EF2020">
        <w:rPr>
          <w:b/>
        </w:rPr>
        <w:t>24 (1999) о женщинах и здоровье, Комитет обращает внимание на цели 3.1 и 3.7 в области усто</w:t>
      </w:r>
      <w:r w:rsidRPr="00EF2020">
        <w:rPr>
          <w:b/>
        </w:rPr>
        <w:t>й</w:t>
      </w:r>
      <w:r w:rsidRPr="00EF2020">
        <w:rPr>
          <w:b/>
        </w:rPr>
        <w:t>чивого развития, предусматривающие снижение глобального коэффиц</w:t>
      </w:r>
      <w:r w:rsidRPr="00EF2020">
        <w:rPr>
          <w:b/>
        </w:rPr>
        <w:t>и</w:t>
      </w:r>
      <w:r w:rsidRPr="00EF2020">
        <w:rPr>
          <w:b/>
        </w:rPr>
        <w:t>ента материнской смертности и обеспечение всеобщего доступа к услугам по охране сексуального и репродуктивного здоровья, и рекомендует гос</w:t>
      </w:r>
      <w:r w:rsidRPr="00EF2020">
        <w:rPr>
          <w:b/>
        </w:rPr>
        <w:t>у</w:t>
      </w:r>
      <w:r w:rsidRPr="00EF2020">
        <w:rPr>
          <w:b/>
        </w:rPr>
        <w:t>дарству-участнику:</w:t>
      </w:r>
    </w:p>
    <w:p w:rsidR="00FF187E" w:rsidRPr="00EF2020" w:rsidRDefault="00FF187E" w:rsidP="00FF187E">
      <w:pPr>
        <w:pStyle w:val="SingleTxt"/>
      </w:pPr>
      <w:r w:rsidRPr="00EF2020">
        <w:tab/>
        <w:t>a)</w:t>
      </w:r>
      <w:r w:rsidRPr="00EF2020">
        <w:tab/>
      </w:r>
      <w:r w:rsidRPr="00EF2020">
        <w:rPr>
          <w:b/>
        </w:rPr>
        <w:t>увеличить расходы на базовые услуги здравоохранения для женщин, программы профилактики раковых заболеваний и услуги по охране сексуального и репродуктивного здоровья, а также на экономич</w:t>
      </w:r>
      <w:r w:rsidRPr="00EF2020">
        <w:rPr>
          <w:b/>
        </w:rPr>
        <w:t>е</w:t>
      </w:r>
      <w:r w:rsidRPr="00EF2020">
        <w:rPr>
          <w:b/>
        </w:rPr>
        <w:t>ски доступные современные средства контрацепции и услуги планиров</w:t>
      </w:r>
      <w:r w:rsidRPr="00EF2020">
        <w:rPr>
          <w:b/>
        </w:rPr>
        <w:t>а</w:t>
      </w:r>
      <w:r w:rsidRPr="00EF2020">
        <w:rPr>
          <w:b/>
        </w:rPr>
        <w:t>ния семьи, в первую очередь для женщин из числа кочевых народов, м</w:t>
      </w:r>
      <w:r w:rsidRPr="00EF2020">
        <w:rPr>
          <w:b/>
        </w:rPr>
        <w:t>а</w:t>
      </w:r>
      <w:r w:rsidRPr="00EF2020">
        <w:rPr>
          <w:b/>
        </w:rPr>
        <w:t>лоимущих и сельских женщин и девочек-подростков;</w:t>
      </w:r>
    </w:p>
    <w:p w:rsidR="00FF187E" w:rsidRPr="00EF2020" w:rsidRDefault="00FF187E" w:rsidP="00FF187E">
      <w:pPr>
        <w:pStyle w:val="SingleTxt"/>
      </w:pPr>
      <w:r w:rsidRPr="00EF2020">
        <w:tab/>
        <w:t>b)</w:t>
      </w:r>
      <w:r w:rsidRPr="00EF2020">
        <w:tab/>
      </w:r>
      <w:r w:rsidRPr="00EF2020">
        <w:rPr>
          <w:b/>
        </w:rPr>
        <w:t>обеспечить снижение материнской смертности за счет улучш</w:t>
      </w:r>
      <w:r w:rsidRPr="00EF2020">
        <w:rPr>
          <w:b/>
        </w:rPr>
        <w:t>е</w:t>
      </w:r>
      <w:r w:rsidRPr="00EF2020">
        <w:rPr>
          <w:b/>
        </w:rPr>
        <w:t>ния доступа к основной дородовой помощи и послеродовому уходу, а также срочной акушерской помощи, которую должны оказывать квалифицир</w:t>
      </w:r>
      <w:r w:rsidRPr="00EF2020">
        <w:rPr>
          <w:b/>
        </w:rPr>
        <w:t>о</w:t>
      </w:r>
      <w:r w:rsidRPr="00EF2020">
        <w:rPr>
          <w:b/>
        </w:rPr>
        <w:t>ванные акушеры, включая уход после проведения аборта и медицинские услуги в связи с акушерским свищом, на всей территории государства-участника с учетом Технического руководства Управления Верховного комиссара по правам человека по вопросам применения правозащитного подхода при осуществлении политики и программ, направленных на с</w:t>
      </w:r>
      <w:r w:rsidRPr="00EF2020">
        <w:rPr>
          <w:b/>
        </w:rPr>
        <w:t>о</w:t>
      </w:r>
      <w:r w:rsidRPr="00EF2020">
        <w:rPr>
          <w:b/>
        </w:rPr>
        <w:t>кращение масштабов предотвратимой материнской смертности и забол</w:t>
      </w:r>
      <w:r w:rsidRPr="00EF2020">
        <w:rPr>
          <w:b/>
        </w:rPr>
        <w:t>е</w:t>
      </w:r>
      <w:r w:rsidRPr="00EF2020">
        <w:rPr>
          <w:b/>
        </w:rPr>
        <w:t>ваемости (</w:t>
      </w:r>
      <w:hyperlink r:id="rId25" w:history="1">
        <w:r w:rsidRPr="000470F3">
          <w:rPr>
            <w:rStyle w:val="Hyperlink"/>
            <w:b/>
          </w:rPr>
          <w:t>A/HRC/21/22</w:t>
        </w:r>
      </w:hyperlink>
      <w:r w:rsidRPr="00EF2020">
        <w:rPr>
          <w:rStyle w:val="Hyperlink"/>
        </w:rPr>
        <w:t xml:space="preserve"> </w:t>
      </w:r>
      <w:r w:rsidRPr="00EF2020">
        <w:rPr>
          <w:b/>
        </w:rPr>
        <w:t xml:space="preserve">и Corr.1 и 2) </w:t>
      </w:r>
    </w:p>
    <w:p w:rsidR="00FF187E" w:rsidRPr="00EF2020" w:rsidRDefault="00FF187E" w:rsidP="00FF187E">
      <w:pPr>
        <w:pStyle w:val="SingleTxt"/>
      </w:pPr>
      <w:r w:rsidRPr="00EF2020">
        <w:tab/>
        <w:t>c)</w:t>
      </w:r>
      <w:r w:rsidRPr="00EF2020">
        <w:tab/>
      </w:r>
      <w:r w:rsidRPr="00EF2020">
        <w:rPr>
          <w:b/>
        </w:rPr>
        <w:t>обеспечить легализацию абортов и возможность прерывания б</w:t>
      </w:r>
      <w:r w:rsidRPr="00EF2020">
        <w:rPr>
          <w:b/>
        </w:rPr>
        <w:t>е</w:t>
      </w:r>
      <w:r w:rsidRPr="00EF2020">
        <w:rPr>
          <w:b/>
        </w:rPr>
        <w:t>ременности на законодательном уровне и на практике в случаях, когда существует угроза жизни и/или здоровью беременной женщины или д</w:t>
      </w:r>
      <w:r w:rsidRPr="00EF2020">
        <w:rPr>
          <w:b/>
        </w:rPr>
        <w:t>е</w:t>
      </w:r>
      <w:r w:rsidRPr="00EF2020">
        <w:rPr>
          <w:b/>
        </w:rPr>
        <w:t>вушки, а также в случаях изнасилования, инцеста и серьезных пороков развития плода, отменить уголовную ответственность за аборт путем о</w:t>
      </w:r>
      <w:r w:rsidRPr="00EF2020">
        <w:rPr>
          <w:b/>
        </w:rPr>
        <w:t>т</w:t>
      </w:r>
      <w:r w:rsidRPr="00EF2020">
        <w:rPr>
          <w:b/>
        </w:rPr>
        <w:t>мены статей 295</w:t>
      </w:r>
      <w:r w:rsidR="00856F76" w:rsidRPr="00856F76">
        <w:rPr>
          <w:b/>
        </w:rPr>
        <w:t>–</w:t>
      </w:r>
      <w:r w:rsidRPr="00EF2020">
        <w:rPr>
          <w:b/>
        </w:rPr>
        <w:t>297 Уголовного кодекса и обеспечить беспрепятственный доступ женщин к безопасным методам прерывания беременности и мед</w:t>
      </w:r>
      <w:r w:rsidRPr="00EF2020">
        <w:rPr>
          <w:b/>
        </w:rPr>
        <w:t>и</w:t>
      </w:r>
      <w:r w:rsidRPr="00EF2020">
        <w:rPr>
          <w:b/>
        </w:rPr>
        <w:t>цинским услугам после него;</w:t>
      </w:r>
    </w:p>
    <w:p w:rsidR="00FF187E" w:rsidRPr="00EF2020" w:rsidRDefault="00FF187E" w:rsidP="00FF187E">
      <w:pPr>
        <w:pStyle w:val="SingleTxt"/>
      </w:pPr>
      <w:r w:rsidRPr="00EF2020">
        <w:tab/>
        <w:t>d)</w:t>
      </w:r>
      <w:r w:rsidRPr="00EF2020">
        <w:tab/>
      </w:r>
      <w:r w:rsidRPr="00EF2020">
        <w:rPr>
          <w:b/>
        </w:rPr>
        <w:t>провести целевую кампанию по повышению осведомленности в целях борьбы с негативным влиянием привычных, традиционных и рел</w:t>
      </w:r>
      <w:r w:rsidRPr="00EF2020">
        <w:rPr>
          <w:b/>
        </w:rPr>
        <w:t>и</w:t>
      </w:r>
      <w:r w:rsidRPr="00EF2020">
        <w:rPr>
          <w:b/>
        </w:rPr>
        <w:t>гиозных соображений, которые могут использоваться как оправдание для ограничения самостоятельности женщин и препятствуют реализации их прав на сексуальное и репродуктивное здоровье;</w:t>
      </w:r>
    </w:p>
    <w:p w:rsidR="00FF187E" w:rsidRPr="00EF2020" w:rsidRDefault="00FF187E" w:rsidP="00FF187E">
      <w:pPr>
        <w:pStyle w:val="SingleTxt"/>
        <w:rPr>
          <w:b/>
        </w:rPr>
      </w:pPr>
      <w:r w:rsidRPr="00EF2020">
        <w:tab/>
        <w:t>e)</w:t>
      </w:r>
      <w:r w:rsidRPr="00EF2020">
        <w:tab/>
      </w:r>
      <w:r w:rsidRPr="00EF2020">
        <w:rPr>
          <w:b/>
        </w:rPr>
        <w:t xml:space="preserve">осуществить сбор данных для оценки финансовой нагрузки на систему здравоохранения в связи с необходимостью оказания медицинской </w:t>
      </w:r>
      <w:r w:rsidRPr="00EF2020">
        <w:rPr>
          <w:b/>
        </w:rPr>
        <w:lastRenderedPageBreak/>
        <w:t>помощи жертвам вредных традиций и обычаев, включая калечащие оп</w:t>
      </w:r>
      <w:r w:rsidRPr="00EF2020">
        <w:rPr>
          <w:b/>
        </w:rPr>
        <w:t>е</w:t>
      </w:r>
      <w:r w:rsidRPr="00EF2020">
        <w:rPr>
          <w:b/>
        </w:rPr>
        <w:t>рации на женских половых органах.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2020">
        <w:tab/>
      </w:r>
      <w:r w:rsidRPr="00EF2020">
        <w:tab/>
        <w:t>Социальные и экономические льготы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</w:pPr>
      <w:r w:rsidRPr="00EF2020">
        <w:t>34.</w:t>
      </w:r>
      <w:r w:rsidRPr="00EF2020">
        <w:tab/>
        <w:t>Комитет отмечает наличие связи между несоразмерно высоким числом женщин, живущих в нищете, и ограниченностью их доступа к экономическим активам и социальным льготам в государстве-участнике, в первую очередь по причине использования норм обычного права в отношении вопросов наслед</w:t>
      </w:r>
      <w:r w:rsidRPr="00EF2020">
        <w:t>о</w:t>
      </w:r>
      <w:r w:rsidRPr="00EF2020">
        <w:t>вания, что приводит к неравному наследованию земель и изъятию земель у вдов, а также из-за применения дискриминационных критериев при предоста</w:t>
      </w:r>
      <w:r w:rsidRPr="00EF2020">
        <w:t>в</w:t>
      </w:r>
      <w:r w:rsidRPr="00EF2020">
        <w:t>лении социальных льгот и существования законов, ограничивающих правосп</w:t>
      </w:r>
      <w:r w:rsidRPr="00EF2020">
        <w:t>о</w:t>
      </w:r>
      <w:r w:rsidRPr="00EF2020">
        <w:t>собность замужних женщин, в частности их право получать кредиты и зан</w:t>
      </w:r>
      <w:r w:rsidRPr="00EF2020">
        <w:t>и</w:t>
      </w:r>
      <w:r w:rsidRPr="00EF2020">
        <w:t>маться какой-либо профессией, что является нарушением статьи 8 Конвенции.</w:t>
      </w:r>
    </w:p>
    <w:p w:rsidR="00FF187E" w:rsidRPr="00EF2020" w:rsidRDefault="00FF187E" w:rsidP="00FF187E">
      <w:pPr>
        <w:pStyle w:val="SingleTxt"/>
        <w:rPr>
          <w:b/>
        </w:rPr>
      </w:pPr>
      <w:r w:rsidRPr="00EF2020">
        <w:t>35.</w:t>
      </w:r>
      <w:r w:rsidRPr="00EF2020">
        <w:tab/>
      </w:r>
      <w:r w:rsidRPr="00EF2020">
        <w:rPr>
          <w:b/>
        </w:rPr>
        <w:t>Комитет рекомендует государству-участнику уделить первоочередное внимание вопросу участия женщин в его работе по выполнению задач, п</w:t>
      </w:r>
      <w:r w:rsidRPr="00EF2020">
        <w:rPr>
          <w:b/>
        </w:rPr>
        <w:t>е</w:t>
      </w:r>
      <w:r w:rsidRPr="00EF2020">
        <w:rPr>
          <w:b/>
        </w:rPr>
        <w:t>речисленных в Повестке дня в области устойчивого развития на период до 2030 года, а также:</w:t>
      </w:r>
    </w:p>
    <w:p w:rsidR="00FF187E" w:rsidRPr="00EF2020" w:rsidRDefault="00FF187E" w:rsidP="00FF187E">
      <w:pPr>
        <w:pStyle w:val="SingleTxt"/>
        <w:rPr>
          <w:b/>
        </w:rPr>
      </w:pPr>
      <w:r w:rsidRPr="00EF2020">
        <w:tab/>
        <w:t>a)</w:t>
      </w:r>
      <w:r w:rsidRPr="00EF2020">
        <w:tab/>
      </w:r>
      <w:r w:rsidRPr="00EF2020">
        <w:rPr>
          <w:b/>
        </w:rPr>
        <w:t>урегулировать вопросы наследования в рамках норм как гра</w:t>
      </w:r>
      <w:r w:rsidRPr="00EF2020">
        <w:rPr>
          <w:b/>
        </w:rPr>
        <w:t>ж</w:t>
      </w:r>
      <w:r w:rsidRPr="00EF2020">
        <w:rPr>
          <w:b/>
        </w:rPr>
        <w:t>данского, так и обычного права, с тем чтобы обеспечить равенство в в</w:t>
      </w:r>
      <w:r w:rsidRPr="00EF2020">
        <w:rPr>
          <w:b/>
        </w:rPr>
        <w:t>о</w:t>
      </w:r>
      <w:r w:rsidRPr="00EF2020">
        <w:rPr>
          <w:b/>
        </w:rPr>
        <w:t>просах приобретения и удержания земли, в том числе путем наследования, а также облегчить доступ женщин к правосудию в целях оспаривания сл</w:t>
      </w:r>
      <w:r w:rsidRPr="00EF2020">
        <w:rPr>
          <w:b/>
        </w:rPr>
        <w:t>у</w:t>
      </w:r>
      <w:r w:rsidRPr="00EF2020">
        <w:rPr>
          <w:b/>
        </w:rPr>
        <w:t>чаев неравного распределения земли;</w:t>
      </w:r>
    </w:p>
    <w:p w:rsidR="00FF187E" w:rsidRPr="00EF2020" w:rsidRDefault="00FF187E" w:rsidP="00FF187E">
      <w:pPr>
        <w:pStyle w:val="SingleTxt"/>
      </w:pPr>
      <w:r w:rsidRPr="00EF2020">
        <w:tab/>
        <w:t>b)</w:t>
      </w:r>
      <w:r w:rsidRPr="00EF2020">
        <w:tab/>
      </w:r>
      <w:r w:rsidRPr="00EF2020">
        <w:rPr>
          <w:b/>
        </w:rPr>
        <w:t>ликвидировать дискриминацию, касающуюся доступа женщин к льготам и пенсиям, в том числе путем внесения поправок в Закон №</w:t>
      </w:r>
      <w:r w:rsidR="00856F76">
        <w:rPr>
          <w:b/>
          <w:lang w:val="en-US"/>
        </w:rPr>
        <w:t> </w:t>
      </w:r>
      <w:r w:rsidRPr="00EF2020">
        <w:rPr>
          <w:b/>
        </w:rPr>
        <w:t>2007</w:t>
      </w:r>
      <w:r w:rsidR="00856F76" w:rsidRPr="00856F76">
        <w:rPr>
          <w:b/>
        </w:rPr>
        <w:noBreakHyphen/>
      </w:r>
      <w:r w:rsidRPr="00EF2020">
        <w:rPr>
          <w:b/>
        </w:rPr>
        <w:t>26 от 23 июля 2007 года об общих условиях государственной слу</w:t>
      </w:r>
      <w:r w:rsidRPr="00EF2020">
        <w:rPr>
          <w:b/>
        </w:rPr>
        <w:t>ж</w:t>
      </w:r>
      <w:r w:rsidRPr="00EF2020">
        <w:rPr>
          <w:b/>
        </w:rPr>
        <w:t>бы и установления уровней и критериев прав на семейные пособия, льг</w:t>
      </w:r>
      <w:r w:rsidRPr="00EF2020">
        <w:rPr>
          <w:b/>
        </w:rPr>
        <w:t>о</w:t>
      </w:r>
      <w:r w:rsidRPr="00EF2020">
        <w:rPr>
          <w:b/>
        </w:rPr>
        <w:t>ты и надбавки, а также в Указ № 60-55/MFP/T о вознаграждении и мат</w:t>
      </w:r>
      <w:r w:rsidRPr="00EF2020">
        <w:rPr>
          <w:b/>
        </w:rPr>
        <w:t>е</w:t>
      </w:r>
      <w:r w:rsidRPr="00EF2020">
        <w:rPr>
          <w:b/>
        </w:rPr>
        <w:t>риальных льготах, положенных сотрудников государственных учреждений и органов управления;</w:t>
      </w:r>
    </w:p>
    <w:p w:rsidR="00FF187E" w:rsidRPr="00EF2020" w:rsidRDefault="00FF187E" w:rsidP="00FF187E">
      <w:pPr>
        <w:pStyle w:val="SingleTxt"/>
      </w:pPr>
      <w:r w:rsidRPr="00EF2020">
        <w:tab/>
        <w:t>c)</w:t>
      </w:r>
      <w:r w:rsidRPr="00EF2020">
        <w:tab/>
      </w:r>
      <w:r w:rsidRPr="00EF2020">
        <w:rPr>
          <w:b/>
        </w:rPr>
        <w:t>отменить законодательные ограничения правоспособности з</w:t>
      </w:r>
      <w:r w:rsidRPr="00EF2020">
        <w:rPr>
          <w:b/>
        </w:rPr>
        <w:t>а</w:t>
      </w:r>
      <w:r w:rsidRPr="00EF2020">
        <w:rPr>
          <w:b/>
        </w:rPr>
        <w:t>мужних женщин, включая требование о получении разрешения супруга на открытие счета в банке или занятие профессией;</w:t>
      </w:r>
    </w:p>
    <w:p w:rsidR="00FF187E" w:rsidRPr="00EF2020" w:rsidRDefault="00FF187E" w:rsidP="00FF187E">
      <w:pPr>
        <w:pStyle w:val="SingleTxt"/>
      </w:pPr>
      <w:r w:rsidRPr="00EF2020">
        <w:tab/>
        <w:t>d)</w:t>
      </w:r>
      <w:r w:rsidRPr="00EF2020">
        <w:tab/>
      </w:r>
      <w:r w:rsidRPr="00EF2020">
        <w:rPr>
          <w:b/>
        </w:rPr>
        <w:t>повышать информированность парламентариев, традиционных и религиозных лидеров и общественности в целом о необходимости соде</w:t>
      </w:r>
      <w:r w:rsidRPr="00EF2020">
        <w:rPr>
          <w:b/>
        </w:rPr>
        <w:t>й</w:t>
      </w:r>
      <w:r w:rsidRPr="00EF2020">
        <w:rPr>
          <w:b/>
        </w:rPr>
        <w:t>ствовать расширению экономических прав и возможностей женщин в рамках стратегии борьбы с нищетой.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2020">
        <w:tab/>
      </w:r>
      <w:r w:rsidRPr="00EF2020">
        <w:tab/>
        <w:t>Сельские женщины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</w:pPr>
      <w:r w:rsidRPr="00EF2020">
        <w:t>36.</w:t>
      </w:r>
      <w:r w:rsidRPr="00EF2020">
        <w:tab/>
        <w:t>Комитет приветствует инициативу «Нигерийцы кормят нигерийцев», направленную на поддержку сельских женщин. В то же время он с обеспок</w:t>
      </w:r>
      <w:r w:rsidRPr="00EF2020">
        <w:t>о</w:t>
      </w:r>
      <w:r w:rsidRPr="00EF2020">
        <w:t>енностью отмечает чрезвычайно высокий уровень нищеты (82 процента) и продовольственной безопасности, от которых страдают женщины в сельских районах государства-участника по причине более низкого социально-экономического статуса сельских женщин и несоразмерно сильного негативн</w:t>
      </w:r>
      <w:r w:rsidRPr="00EF2020">
        <w:t>о</w:t>
      </w:r>
      <w:r w:rsidRPr="00EF2020">
        <w:t>го воздействия изменения климата, опустынивания и добывающей промы</w:t>
      </w:r>
      <w:r w:rsidRPr="00EF2020">
        <w:t>ш</w:t>
      </w:r>
      <w:r w:rsidRPr="00EF2020">
        <w:t>ленности (добыча урана) на женщин. Комитет отмечает, что нестабильное п</w:t>
      </w:r>
      <w:r w:rsidRPr="00EF2020">
        <w:t>о</w:t>
      </w:r>
      <w:r w:rsidRPr="00EF2020">
        <w:t>ложение сельских женщин усугубляется положениями обычного права об о</w:t>
      </w:r>
      <w:r w:rsidRPr="00EF2020">
        <w:t>б</w:t>
      </w:r>
      <w:r w:rsidRPr="00EF2020">
        <w:t>щинном управлении, которые исключают женщин из числа возможных вождей племени, и дискриминационной практикой приобретения земли.</w:t>
      </w:r>
    </w:p>
    <w:p w:rsidR="00FF187E" w:rsidRPr="00EF2020" w:rsidRDefault="00FF187E" w:rsidP="00FF187E">
      <w:pPr>
        <w:pStyle w:val="SingleTxt"/>
      </w:pPr>
      <w:r w:rsidRPr="00EF2020">
        <w:lastRenderedPageBreak/>
        <w:t>37.</w:t>
      </w:r>
      <w:r w:rsidRPr="00EF2020">
        <w:tab/>
      </w:r>
      <w:r w:rsidRPr="00EF2020">
        <w:rPr>
          <w:b/>
        </w:rPr>
        <w:t>В соответствии со своей рекомендацией общего характера №</w:t>
      </w:r>
      <w:r w:rsidR="00856F76">
        <w:rPr>
          <w:b/>
          <w:lang w:val="en-US"/>
        </w:rPr>
        <w:t> </w:t>
      </w:r>
      <w:r w:rsidRPr="00EF2020">
        <w:rPr>
          <w:b/>
        </w:rPr>
        <w:t>34 (2016), касающейся прав сельских женщин, Комитет рекомендует госуда</w:t>
      </w:r>
      <w:r w:rsidRPr="00EF2020">
        <w:rPr>
          <w:b/>
        </w:rPr>
        <w:t>р</w:t>
      </w:r>
      <w:r w:rsidRPr="00EF2020">
        <w:rPr>
          <w:b/>
        </w:rPr>
        <w:t>ству-участнику:</w:t>
      </w:r>
    </w:p>
    <w:p w:rsidR="00FF187E" w:rsidRPr="00EF2020" w:rsidRDefault="00FF187E" w:rsidP="00856F76">
      <w:pPr>
        <w:pStyle w:val="SingleTxt"/>
      </w:pPr>
      <w:r w:rsidRPr="00EF2020">
        <w:tab/>
        <w:t>a)</w:t>
      </w:r>
      <w:r w:rsidRPr="00EF2020">
        <w:tab/>
      </w:r>
      <w:r w:rsidRPr="00856F76">
        <w:rPr>
          <w:b/>
        </w:rPr>
        <w:t>обеспечить учет гендерной проблематики во всех программах и планах сельского развития, включая участие женщин в процессе подг</w:t>
      </w:r>
      <w:r w:rsidRPr="00856F76">
        <w:rPr>
          <w:b/>
        </w:rPr>
        <w:t>о</w:t>
      </w:r>
      <w:r w:rsidRPr="00856F76">
        <w:rPr>
          <w:b/>
        </w:rPr>
        <w:t>товки, принятия и осуществления национальных стратегий и программ в области продовольственной безопасности, изменения климата, уменьш</w:t>
      </w:r>
      <w:r w:rsidRPr="00856F76">
        <w:rPr>
          <w:b/>
        </w:rPr>
        <w:t>е</w:t>
      </w:r>
      <w:r w:rsidRPr="00856F76">
        <w:rPr>
          <w:b/>
        </w:rPr>
        <w:t>ния опасности и ликвидации последствий стихийных бедствий;</w:t>
      </w:r>
    </w:p>
    <w:p w:rsidR="00FF187E" w:rsidRPr="00EF2020" w:rsidRDefault="00FF187E" w:rsidP="00FF187E">
      <w:pPr>
        <w:pStyle w:val="SingleTxt"/>
        <w:rPr>
          <w:b/>
        </w:rPr>
      </w:pPr>
      <w:r w:rsidRPr="00EF2020">
        <w:tab/>
        <w:t>b)</w:t>
      </w:r>
      <w:r w:rsidRPr="00EF2020">
        <w:tab/>
      </w:r>
      <w:r w:rsidRPr="00EF2020">
        <w:rPr>
          <w:b/>
        </w:rPr>
        <w:t>повысить уровень представленности женщин в общинном управлении, в том числе путем содействия внесению поправок в полож</w:t>
      </w:r>
      <w:r w:rsidRPr="00EF2020">
        <w:rPr>
          <w:b/>
        </w:rPr>
        <w:t>е</w:t>
      </w:r>
      <w:r w:rsidRPr="00EF2020">
        <w:rPr>
          <w:b/>
        </w:rPr>
        <w:t>ния обычного права о традиционных вождях племени;</w:t>
      </w:r>
    </w:p>
    <w:p w:rsidR="00FF187E" w:rsidRPr="00EF2020" w:rsidRDefault="00FF187E" w:rsidP="00FF187E">
      <w:pPr>
        <w:pStyle w:val="SingleTxt"/>
      </w:pPr>
      <w:r w:rsidRPr="00EF2020">
        <w:tab/>
        <w:t>c)</w:t>
      </w:r>
      <w:r w:rsidRPr="00EF2020">
        <w:tab/>
      </w:r>
      <w:r w:rsidRPr="00EF2020">
        <w:rPr>
          <w:b/>
        </w:rPr>
        <w:t>содействовать приобретению и сохранению женщинами земел</w:t>
      </w:r>
      <w:r w:rsidRPr="00EF2020">
        <w:rPr>
          <w:b/>
        </w:rPr>
        <w:t>ь</w:t>
      </w:r>
      <w:r w:rsidRPr="00EF2020">
        <w:rPr>
          <w:b/>
        </w:rPr>
        <w:t>ных и природных ресурсов путем пересмотра обычных практик, каса</w:t>
      </w:r>
      <w:r w:rsidRPr="00EF2020">
        <w:rPr>
          <w:b/>
        </w:rPr>
        <w:t>ю</w:t>
      </w:r>
      <w:r w:rsidRPr="00EF2020">
        <w:rPr>
          <w:b/>
        </w:rPr>
        <w:t>щихся приобретения имущества и владения, управления и распоряжения им.</w:t>
      </w:r>
    </w:p>
    <w:p w:rsidR="00FF187E" w:rsidRPr="00EF2020" w:rsidRDefault="00FF187E" w:rsidP="00FF187E">
      <w:pPr>
        <w:pStyle w:val="SingleTxt"/>
      </w:pPr>
      <w:r w:rsidRPr="00EF2020">
        <w:tab/>
        <w:t>d)</w:t>
      </w:r>
      <w:r w:rsidRPr="00EF2020">
        <w:tab/>
      </w:r>
      <w:r w:rsidRPr="00EF2020">
        <w:rPr>
          <w:b/>
        </w:rPr>
        <w:t>обеспечивать, чтобы приобретение земель для нужд строител</w:t>
      </w:r>
      <w:r w:rsidRPr="00EF2020">
        <w:rPr>
          <w:b/>
        </w:rPr>
        <w:t>ь</w:t>
      </w:r>
      <w:r w:rsidRPr="00EF2020">
        <w:rPr>
          <w:b/>
        </w:rPr>
        <w:t>ства и добывающей промышленности не оказывало негативного возде</w:t>
      </w:r>
      <w:r w:rsidRPr="00EF2020">
        <w:rPr>
          <w:b/>
        </w:rPr>
        <w:t>й</w:t>
      </w:r>
      <w:r w:rsidRPr="00EF2020">
        <w:rPr>
          <w:b/>
        </w:rPr>
        <w:t>ствия на положение сельских женщин;</w:t>
      </w:r>
    </w:p>
    <w:p w:rsidR="00FF187E" w:rsidRPr="00EF2020" w:rsidRDefault="00FF187E" w:rsidP="00FF187E">
      <w:pPr>
        <w:pStyle w:val="SingleTxt"/>
        <w:rPr>
          <w:b/>
        </w:rPr>
      </w:pPr>
      <w:r w:rsidRPr="00EF2020">
        <w:tab/>
        <w:t>e)</w:t>
      </w:r>
      <w:r w:rsidRPr="00EF2020">
        <w:tab/>
      </w:r>
      <w:r w:rsidRPr="00EF2020">
        <w:rPr>
          <w:b/>
        </w:rPr>
        <w:t>осуществлять систематический сбор данных о положении сел</w:t>
      </w:r>
      <w:r w:rsidRPr="00EF2020">
        <w:rPr>
          <w:b/>
        </w:rPr>
        <w:t>ь</w:t>
      </w:r>
      <w:r w:rsidRPr="00EF2020">
        <w:rPr>
          <w:b/>
        </w:rPr>
        <w:t>ских женщин в целях эффективной разработки, осуществления и ко</w:t>
      </w:r>
      <w:r w:rsidRPr="00EF2020">
        <w:rPr>
          <w:b/>
        </w:rPr>
        <w:t>н</w:t>
      </w:r>
      <w:r w:rsidRPr="00EF2020">
        <w:rPr>
          <w:b/>
        </w:rPr>
        <w:t>троля инициатив, направленных на удовлетворение потребностей сел</w:t>
      </w:r>
      <w:r w:rsidRPr="00EF2020">
        <w:rPr>
          <w:b/>
        </w:rPr>
        <w:t>ь</w:t>
      </w:r>
      <w:r w:rsidRPr="00EF2020">
        <w:rPr>
          <w:b/>
        </w:rPr>
        <w:t>ских женщин.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2020">
        <w:tab/>
      </w:r>
      <w:r w:rsidRPr="00EF2020">
        <w:tab/>
        <w:t>Группы женщин, находящихся в неблагоприятном положении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856F76">
      <w:pPr>
        <w:pStyle w:val="H4"/>
        <w:tabs>
          <w:tab w:val="clear" w:pos="360"/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F2020">
        <w:tab/>
      </w:r>
      <w:r w:rsidRPr="00EF2020">
        <w:tab/>
        <w:t>Женщины, находящиеся в заключении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</w:pPr>
      <w:r w:rsidRPr="00EF2020">
        <w:t>38.</w:t>
      </w:r>
      <w:r w:rsidRPr="00EF2020">
        <w:tab/>
        <w:t>Комитет с обеспокоенностью отмечает, что большинство женщин, соде</w:t>
      </w:r>
      <w:r w:rsidRPr="00EF2020">
        <w:t>р</w:t>
      </w:r>
      <w:r w:rsidRPr="00EF2020">
        <w:t>жащихся под стражей до суда, находятся в тюрьмах, причем их не всегда с</w:t>
      </w:r>
      <w:r w:rsidRPr="00EF2020">
        <w:t>о</w:t>
      </w:r>
      <w:r w:rsidRPr="00EF2020">
        <w:t>держат отдельно от осужденных. Комитет также обеспокоен плохими услови</w:t>
      </w:r>
      <w:r w:rsidRPr="00EF2020">
        <w:t>я</w:t>
      </w:r>
      <w:r w:rsidRPr="00EF2020">
        <w:t>ми содержания женщин, включая переполненность камер и отсутствие доступа к продовольствию, питьевой воде и надлежащим санитарным условиям.</w:t>
      </w:r>
    </w:p>
    <w:p w:rsidR="00FF187E" w:rsidRPr="00EF2020" w:rsidRDefault="00FF187E" w:rsidP="00FF187E">
      <w:pPr>
        <w:pStyle w:val="SingleTxt"/>
      </w:pPr>
      <w:r w:rsidRPr="00EF2020">
        <w:t>39.</w:t>
      </w:r>
      <w:r w:rsidRPr="00EF2020">
        <w:tab/>
      </w:r>
      <w:r w:rsidRPr="00EF2020">
        <w:rPr>
          <w:b/>
        </w:rPr>
        <w:t>Комитет рекомендует государству-участнику осуществить Правила Организации Объединенных Наций, касающиеся обращения с женщин</w:t>
      </w:r>
      <w:r w:rsidRPr="00EF2020">
        <w:rPr>
          <w:b/>
        </w:rPr>
        <w:t>а</w:t>
      </w:r>
      <w:r w:rsidRPr="00EF2020">
        <w:rPr>
          <w:b/>
        </w:rPr>
        <w:t>ми-заключенными и мер наказания для женщин-правонарушителей, не связанных с лишением свободы (Бангкокские правила), гарантировать содержание женщин-заключенных отдельно от осужденных и обеспечить им доступ к надлежащему питанию, питьевой воде, средствам санитарии и услугам здравоохранения.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856F76">
      <w:pPr>
        <w:pStyle w:val="H4"/>
        <w:tabs>
          <w:tab w:val="clear" w:pos="360"/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F2020">
        <w:tab/>
      </w:r>
      <w:r w:rsidRPr="00EF2020">
        <w:tab/>
        <w:t>Женщины-инвалиды</w:t>
      </w:r>
    </w:p>
    <w:p w:rsidR="00FF187E" w:rsidRPr="00EF2020" w:rsidRDefault="00FF187E" w:rsidP="00FF187E">
      <w:pPr>
        <w:pStyle w:val="SingleTxt"/>
        <w:keepNext/>
        <w:keepLines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</w:pPr>
      <w:r w:rsidRPr="00EF2020">
        <w:t>40.</w:t>
      </w:r>
      <w:r w:rsidRPr="00EF2020">
        <w:tab/>
        <w:t>Комитет приветствует положения Конституции, запрещающие дискрим</w:t>
      </w:r>
      <w:r w:rsidRPr="00EF2020">
        <w:t>и</w:t>
      </w:r>
      <w:r w:rsidRPr="00EF2020">
        <w:t>нацию в отношении инвалидов и гарантирующие равенство возможностей (ст.</w:t>
      </w:r>
      <w:r w:rsidR="00856F76">
        <w:rPr>
          <w:lang w:val="en-US"/>
        </w:rPr>
        <w:t> </w:t>
      </w:r>
      <w:r w:rsidRPr="00EF2020">
        <w:t>22 и 26). В то же время Комитет отмечает, что права женщин и девочек — инвалидов не защищены какими бы то ни было конкретными законами, пр</w:t>
      </w:r>
      <w:r w:rsidRPr="00EF2020">
        <w:t>о</w:t>
      </w:r>
      <w:r w:rsidRPr="00EF2020">
        <w:t>граммами или планами действий, в том числе в части их социальной защиты. Комитет также отмечает отсутствие юридического определения инвалидности и обязательств об обеспечении разумных приспособлений.</w:t>
      </w:r>
    </w:p>
    <w:p w:rsidR="00FF187E" w:rsidRPr="00EF2020" w:rsidRDefault="00FF187E" w:rsidP="00FF187E">
      <w:pPr>
        <w:pStyle w:val="SingleTxt"/>
      </w:pPr>
      <w:r w:rsidRPr="00EF2020">
        <w:t>41.</w:t>
      </w:r>
      <w:r w:rsidRPr="00EF2020">
        <w:tab/>
      </w:r>
      <w:r w:rsidRPr="00EF2020">
        <w:rPr>
          <w:b/>
        </w:rPr>
        <w:t>Ссылаясь на свою общую рекомендацию № 18 (1991), касающуюся женщин-инвалидов, Комитет рекомендует государству-участнику:</w:t>
      </w:r>
    </w:p>
    <w:p w:rsidR="00FF187E" w:rsidRPr="00EF2020" w:rsidRDefault="00FF187E" w:rsidP="00FF187E">
      <w:pPr>
        <w:pStyle w:val="SingleTxt"/>
      </w:pPr>
      <w:r w:rsidRPr="00EF2020">
        <w:lastRenderedPageBreak/>
        <w:tab/>
        <w:t>a)</w:t>
      </w:r>
      <w:r w:rsidRPr="00EF2020">
        <w:tab/>
      </w:r>
      <w:r w:rsidRPr="00EF2020">
        <w:rPr>
          <w:b/>
        </w:rPr>
        <w:t>принять закон о социальной защите инвалидов и сформировать механизм наблюдения за его исполнением, с тем чтобы обеспечить прим</w:t>
      </w:r>
      <w:r w:rsidRPr="00EF2020">
        <w:rPr>
          <w:b/>
        </w:rPr>
        <w:t>е</w:t>
      </w:r>
      <w:r w:rsidRPr="00EF2020">
        <w:rPr>
          <w:b/>
        </w:rPr>
        <w:t>нение надлежащих мер наказания к виновным в дискриминации и ге</w:t>
      </w:r>
      <w:r w:rsidRPr="00EF2020">
        <w:rPr>
          <w:b/>
        </w:rPr>
        <w:t>н</w:t>
      </w:r>
      <w:r w:rsidRPr="00EF2020">
        <w:rPr>
          <w:b/>
        </w:rPr>
        <w:t>дерном насилии в отношении женщин и девочек — инвалидов и пред</w:t>
      </w:r>
      <w:r w:rsidRPr="00EF2020">
        <w:rPr>
          <w:b/>
        </w:rPr>
        <w:t>о</w:t>
      </w:r>
      <w:r w:rsidRPr="00EF2020">
        <w:rPr>
          <w:b/>
        </w:rPr>
        <w:t>ставление пострадавшим соответствующей компенсации;</w:t>
      </w:r>
    </w:p>
    <w:p w:rsidR="00FF187E" w:rsidRPr="00EF2020" w:rsidRDefault="00FF187E" w:rsidP="00FF187E">
      <w:pPr>
        <w:pStyle w:val="SingleTxt"/>
      </w:pPr>
      <w:r w:rsidRPr="00EF2020">
        <w:tab/>
        <w:t>b)</w:t>
      </w:r>
      <w:r w:rsidRPr="00EF2020">
        <w:tab/>
      </w:r>
      <w:r w:rsidRPr="00EF2020">
        <w:rPr>
          <w:b/>
        </w:rPr>
        <w:t>предоставить женщинам и девочкам — инвалидам реальную возможность обращения к системе правосудия, участия в политической и общественной жизни, получения образования, осуществления деятельн</w:t>
      </w:r>
      <w:r w:rsidRPr="00EF2020">
        <w:rPr>
          <w:b/>
        </w:rPr>
        <w:t>о</w:t>
      </w:r>
      <w:r w:rsidRPr="00EF2020">
        <w:rPr>
          <w:b/>
        </w:rPr>
        <w:t>сти, приносящей доход, и получения медико-санитарного обслуживания, включая услуги в области сексуального и репродуктивного здоровья;</w:t>
      </w:r>
    </w:p>
    <w:p w:rsidR="00FF187E" w:rsidRPr="00EF2020" w:rsidRDefault="00FF187E" w:rsidP="00FF187E">
      <w:pPr>
        <w:pStyle w:val="SingleTxt"/>
      </w:pPr>
      <w:r w:rsidRPr="00EF2020">
        <w:tab/>
        <w:t>c)</w:t>
      </w:r>
      <w:r w:rsidRPr="00EF2020">
        <w:tab/>
      </w:r>
      <w:r w:rsidRPr="00EF2020">
        <w:rPr>
          <w:b/>
        </w:rPr>
        <w:t>принять меры по повышению осведомленности, направленные на изменение отрицательного отношения к женщинам и девочкам — и</w:t>
      </w:r>
      <w:r w:rsidRPr="00EF2020">
        <w:rPr>
          <w:b/>
        </w:rPr>
        <w:t>н</w:t>
      </w:r>
      <w:r w:rsidRPr="00EF2020">
        <w:rPr>
          <w:b/>
        </w:rPr>
        <w:t>валидам;</w:t>
      </w:r>
    </w:p>
    <w:p w:rsidR="00FF187E" w:rsidRPr="00EF2020" w:rsidRDefault="00FF187E" w:rsidP="00FF187E">
      <w:pPr>
        <w:pStyle w:val="SingleTxt"/>
      </w:pPr>
      <w:r w:rsidRPr="00EF2020">
        <w:tab/>
        <w:t>d)</w:t>
      </w:r>
      <w:r w:rsidRPr="00EF2020">
        <w:tab/>
      </w:r>
      <w:r w:rsidRPr="00EF2020">
        <w:rPr>
          <w:b/>
        </w:rPr>
        <w:t>провести перепись инвалидов, с тем чтобы установить их чи</w:t>
      </w:r>
      <w:r w:rsidRPr="00EF2020">
        <w:rPr>
          <w:b/>
        </w:rPr>
        <w:t>с</w:t>
      </w:r>
      <w:r w:rsidRPr="00EF2020">
        <w:rPr>
          <w:b/>
        </w:rPr>
        <w:t>ленность и представить полученные данные в разбивке по полу, возрасту и региону.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2020">
        <w:tab/>
      </w:r>
      <w:r w:rsidRPr="00EF2020">
        <w:tab/>
        <w:t>Брак и отношения в семье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</w:pPr>
      <w:r w:rsidRPr="00EF2020">
        <w:t>42.</w:t>
      </w:r>
      <w:r w:rsidRPr="00EF2020">
        <w:tab/>
        <w:t>Комитет обеспокоен следующим:</w:t>
      </w:r>
    </w:p>
    <w:p w:rsidR="00FF187E" w:rsidRPr="00EF2020" w:rsidRDefault="00FF187E" w:rsidP="00FF187E">
      <w:pPr>
        <w:pStyle w:val="SingleTxt"/>
      </w:pPr>
      <w:r w:rsidRPr="00EF2020">
        <w:tab/>
        <w:t>a)</w:t>
      </w:r>
      <w:r w:rsidRPr="00EF2020">
        <w:tab/>
        <w:t>чрезвычайно высокими показателями детских браков и/или браков по принуждению, в которых состоит четверть всех замужних женщин и дев</w:t>
      </w:r>
      <w:r w:rsidRPr="00EF2020">
        <w:t>о</w:t>
      </w:r>
      <w:r w:rsidRPr="00EF2020">
        <w:t>чек в государстве-участнике, что усугубляется отсутствием какой-либо норм</w:t>
      </w:r>
      <w:r w:rsidRPr="00EF2020">
        <w:t>а</w:t>
      </w:r>
      <w:r w:rsidRPr="00EF2020">
        <w:t>тивной базы или стратегического плана по запрету этих вредных обычаев. К</w:t>
      </w:r>
      <w:r w:rsidRPr="00EF2020">
        <w:t>о</w:t>
      </w:r>
      <w:r w:rsidRPr="00EF2020">
        <w:t>митет отмечает наличие взаимосвязи между высокими показателями детских браков, рождаемости и материнской смертности и несоразмерно высоким уровнем неграмотности и нищеты среди женщин в государстве-участнике. К</w:t>
      </w:r>
      <w:r w:rsidRPr="00EF2020">
        <w:t>о</w:t>
      </w:r>
      <w:r w:rsidRPr="00EF2020">
        <w:t>митет отмечает, что большинство детских браков заключаются по нормам обычного права, которые не требуют согласия будущих супругов на вступление в брак и не предусматривают минимального брачного возраста.</w:t>
      </w:r>
    </w:p>
    <w:p w:rsidR="00FF187E" w:rsidRPr="00EF2020" w:rsidRDefault="00FF187E" w:rsidP="00FF187E">
      <w:pPr>
        <w:pStyle w:val="SingleTxt"/>
      </w:pPr>
      <w:r w:rsidRPr="00EF2020">
        <w:tab/>
        <w:t>b)</w:t>
      </w:r>
      <w:r w:rsidRPr="00EF2020">
        <w:tab/>
        <w:t>дискриминационными положениями Гражданского кодекса, каса</w:t>
      </w:r>
      <w:r w:rsidRPr="00EF2020">
        <w:t>ю</w:t>
      </w:r>
      <w:r w:rsidRPr="00EF2020">
        <w:t>щимися минимального возраста согласия на вступление в брак для девочек (15</w:t>
      </w:r>
      <w:r w:rsidR="00856F76">
        <w:rPr>
          <w:lang w:val="en-US"/>
        </w:rPr>
        <w:t> </w:t>
      </w:r>
      <w:r w:rsidRPr="00EF2020">
        <w:t>лет) и для мальчиков (18 лет) (ст. 144) и позволяющие родителям давать с</w:t>
      </w:r>
      <w:r w:rsidRPr="00EF2020">
        <w:t>о</w:t>
      </w:r>
      <w:r w:rsidRPr="00EF2020">
        <w:t>гласие на брак вместо их дочерей (ст. 148);</w:t>
      </w:r>
    </w:p>
    <w:p w:rsidR="00FF187E" w:rsidRPr="00EF2020" w:rsidRDefault="00FF187E" w:rsidP="00FF187E">
      <w:pPr>
        <w:pStyle w:val="SingleTxt"/>
      </w:pPr>
      <w:r w:rsidRPr="00EF2020">
        <w:tab/>
        <w:t>c)</w:t>
      </w:r>
      <w:r w:rsidRPr="00EF2020">
        <w:tab/>
        <w:t>приемлемостью полигамии и расторжения брака супругом в одн</w:t>
      </w:r>
      <w:r w:rsidRPr="00EF2020">
        <w:t>о</w:t>
      </w:r>
      <w:r w:rsidRPr="00EF2020">
        <w:t>стороннем порядке с точки зрения норм обычного права.</w:t>
      </w:r>
    </w:p>
    <w:p w:rsidR="00FF187E" w:rsidRPr="00EF2020" w:rsidRDefault="00FF187E" w:rsidP="00FF187E">
      <w:pPr>
        <w:pStyle w:val="SingleTxt"/>
      </w:pPr>
      <w:r w:rsidRPr="00EF2020">
        <w:t>43.</w:t>
      </w:r>
      <w:r w:rsidRPr="00EF2020">
        <w:tab/>
      </w:r>
      <w:r w:rsidRPr="00EF2020">
        <w:rPr>
          <w:b/>
        </w:rPr>
        <w:t>Ссылаясь на свои общие рекомендации № 21 (1994) о равенстве в браке и семейных отношениях и № 29 (2013) об экономических после</w:t>
      </w:r>
      <w:r w:rsidRPr="00EF2020">
        <w:rPr>
          <w:b/>
        </w:rPr>
        <w:t>д</w:t>
      </w:r>
      <w:r w:rsidRPr="00EF2020">
        <w:rPr>
          <w:b/>
        </w:rPr>
        <w:t>ствиях брака, семейных отношений и их расторжения, а также на свою совместную общую рекомендацию № 31/замечание общего порядка №</w:t>
      </w:r>
      <w:r w:rsidR="00856F76">
        <w:rPr>
          <w:b/>
          <w:lang w:val="en-US"/>
        </w:rPr>
        <w:t> </w:t>
      </w:r>
      <w:r w:rsidRPr="00EF2020">
        <w:rPr>
          <w:b/>
        </w:rPr>
        <w:t>18 Комитета по правам ребенка (2014) о пагубной практике, Комитет рек</w:t>
      </w:r>
      <w:r w:rsidRPr="00EF2020">
        <w:rPr>
          <w:b/>
        </w:rPr>
        <w:t>о</w:t>
      </w:r>
      <w:r w:rsidRPr="00EF2020">
        <w:rPr>
          <w:b/>
        </w:rPr>
        <w:t>мендует государству-участнику:</w:t>
      </w:r>
    </w:p>
    <w:p w:rsidR="00FF187E" w:rsidRPr="00EF2020" w:rsidRDefault="00FF187E" w:rsidP="00FF187E">
      <w:pPr>
        <w:pStyle w:val="SingleTxt"/>
      </w:pPr>
      <w:r w:rsidRPr="00EF2020">
        <w:tab/>
        <w:t>a)</w:t>
      </w:r>
      <w:r w:rsidRPr="00EF2020">
        <w:tab/>
      </w:r>
      <w:r w:rsidRPr="00EF2020">
        <w:rPr>
          <w:b/>
        </w:rPr>
        <w:t>ускорить принятие закона, предусматривающего повышение минимального возраста согласия на вступление в брак до 18 лет как для девочек, так и для мальчиков и наличие согласия обоих будущих супругов на заключение брака при любых условиях;</w:t>
      </w:r>
    </w:p>
    <w:p w:rsidR="00FF187E" w:rsidRPr="00EF2020" w:rsidRDefault="00FF187E" w:rsidP="00FF187E">
      <w:pPr>
        <w:pStyle w:val="SingleTxt"/>
      </w:pPr>
      <w:r w:rsidRPr="00EF2020">
        <w:tab/>
        <w:t>b)</w:t>
      </w:r>
      <w:r w:rsidRPr="00EF2020">
        <w:tab/>
      </w:r>
      <w:r w:rsidRPr="00EF2020">
        <w:rPr>
          <w:b/>
        </w:rPr>
        <w:t>отменить все дискриминационные положения Гражданского к</w:t>
      </w:r>
      <w:r w:rsidRPr="00EF2020">
        <w:rPr>
          <w:b/>
        </w:rPr>
        <w:t>о</w:t>
      </w:r>
      <w:r w:rsidRPr="00EF2020">
        <w:rPr>
          <w:b/>
        </w:rPr>
        <w:t>декса и принять недискриминационный кодекс о личном статусе;</w:t>
      </w:r>
    </w:p>
    <w:p w:rsidR="00FF187E" w:rsidRPr="00EF2020" w:rsidRDefault="00FF187E" w:rsidP="00FF187E">
      <w:pPr>
        <w:pStyle w:val="SingleTxt"/>
      </w:pPr>
      <w:r w:rsidRPr="00EF2020">
        <w:tab/>
        <w:t>c)</w:t>
      </w:r>
      <w:r w:rsidRPr="00EF2020">
        <w:tab/>
      </w:r>
      <w:r w:rsidRPr="00EF2020">
        <w:rPr>
          <w:b/>
        </w:rPr>
        <w:t>запретить, в том числе в рамках норм обычного права, вредные традиции и обычаи, включающие в себя детские браки, браки по прину</w:t>
      </w:r>
      <w:r w:rsidRPr="00EF2020">
        <w:rPr>
          <w:b/>
        </w:rPr>
        <w:t>ж</w:t>
      </w:r>
      <w:r w:rsidRPr="00EF2020">
        <w:rPr>
          <w:b/>
        </w:rPr>
        <w:lastRenderedPageBreak/>
        <w:t>дению, полигамию и расторжение брака супругом в одностороннем поря</w:t>
      </w:r>
      <w:r w:rsidRPr="00EF2020">
        <w:rPr>
          <w:b/>
        </w:rPr>
        <w:t>д</w:t>
      </w:r>
      <w:r w:rsidRPr="00EF2020">
        <w:rPr>
          <w:b/>
        </w:rPr>
        <w:t>ке, и проводить информационно-просветительские кампании, адресова</w:t>
      </w:r>
      <w:r w:rsidRPr="00EF2020">
        <w:rPr>
          <w:b/>
        </w:rPr>
        <w:t>н</w:t>
      </w:r>
      <w:r w:rsidRPr="00EF2020">
        <w:rPr>
          <w:b/>
        </w:rPr>
        <w:t>ные парламентариям, традиционным и религиозным лидерам и широкой общественности и посвященные негативным последствиям этих традиций и обычаев для женщин и девочек.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2020">
        <w:tab/>
      </w:r>
      <w:r w:rsidRPr="00EF2020">
        <w:tab/>
        <w:t>Сбор и анализ данных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</w:pPr>
      <w:r w:rsidRPr="00EF2020">
        <w:t>44.</w:t>
      </w:r>
      <w:r w:rsidRPr="00EF2020">
        <w:tab/>
      </w:r>
      <w:r w:rsidRPr="00EF2020">
        <w:rPr>
          <w:b/>
        </w:rPr>
        <w:t>Комитет рекомендует государству-участнику улучшить сбор, анализ и распространение всеобъемлющих данных с их разбивкой по полу, возра</w:t>
      </w:r>
      <w:r w:rsidRPr="00EF2020">
        <w:rPr>
          <w:b/>
        </w:rPr>
        <w:t>с</w:t>
      </w:r>
      <w:r w:rsidRPr="00EF2020">
        <w:rPr>
          <w:b/>
        </w:rPr>
        <w:t>ту, инвалидности, этнической принадлежности, месту проживания и соц</w:t>
      </w:r>
      <w:r w:rsidRPr="00EF2020">
        <w:rPr>
          <w:b/>
        </w:rPr>
        <w:t>и</w:t>
      </w:r>
      <w:r w:rsidRPr="00EF2020">
        <w:rPr>
          <w:b/>
        </w:rPr>
        <w:t>ально-экономическому статусу, и более активно использовать колич</w:t>
      </w:r>
      <w:r w:rsidRPr="00EF2020">
        <w:rPr>
          <w:b/>
        </w:rPr>
        <w:t>е</w:t>
      </w:r>
      <w:r w:rsidRPr="00EF2020">
        <w:rPr>
          <w:b/>
        </w:rPr>
        <w:t>ственные показатели для оценки тенденций в положении женщин и пр</w:t>
      </w:r>
      <w:r w:rsidRPr="00EF2020">
        <w:rPr>
          <w:b/>
        </w:rPr>
        <w:t>о</w:t>
      </w:r>
      <w:r w:rsidRPr="00EF2020">
        <w:rPr>
          <w:b/>
        </w:rPr>
        <w:t>гресса в достижении ими реального равенства во всех областях, охватыв</w:t>
      </w:r>
      <w:r w:rsidRPr="00EF2020">
        <w:rPr>
          <w:b/>
        </w:rPr>
        <w:t>а</w:t>
      </w:r>
      <w:r w:rsidRPr="00EF2020">
        <w:rPr>
          <w:b/>
        </w:rPr>
        <w:t>емых Конвенцией.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2020">
        <w:tab/>
      </w:r>
      <w:r w:rsidRPr="00EF2020">
        <w:tab/>
        <w:t>Пекинская декларация и Платформа действий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</w:pPr>
      <w:r w:rsidRPr="00EF2020">
        <w:t>45.</w:t>
      </w:r>
      <w:r w:rsidRPr="00EF2020">
        <w:tab/>
      </w:r>
      <w:r w:rsidRPr="00EF2020">
        <w:rPr>
          <w:b/>
        </w:rPr>
        <w:t>Комитет призывает государство-участник использовать Пекинскую декларацию и Платформу действий в своей деятельности по осуществл</w:t>
      </w:r>
      <w:r w:rsidRPr="00EF2020">
        <w:rPr>
          <w:b/>
        </w:rPr>
        <w:t>е</w:t>
      </w:r>
      <w:r w:rsidRPr="00EF2020">
        <w:rPr>
          <w:b/>
        </w:rPr>
        <w:t>нию положений Конвенции.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2020">
        <w:tab/>
      </w:r>
      <w:r w:rsidRPr="00EF2020">
        <w:tab/>
        <w:t>Повестка дня в области устойчивого развития на период до 2030 года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</w:pPr>
      <w:r w:rsidRPr="00EF2020">
        <w:t>46.</w:t>
      </w:r>
      <w:r w:rsidRPr="00EF2020">
        <w:tab/>
      </w:r>
      <w:r w:rsidRPr="00EF2020">
        <w:rPr>
          <w:b/>
        </w:rPr>
        <w:t>Комитет призывает к обеспечению фактического гендерного раве</w:t>
      </w:r>
      <w:r w:rsidRPr="00EF2020">
        <w:rPr>
          <w:b/>
        </w:rPr>
        <w:t>н</w:t>
      </w:r>
      <w:r w:rsidRPr="00EF2020">
        <w:rPr>
          <w:b/>
        </w:rPr>
        <w:t>ства в соответствии с положениями Конвенции на протяжении всего пр</w:t>
      </w:r>
      <w:r w:rsidRPr="00EF2020">
        <w:rPr>
          <w:b/>
        </w:rPr>
        <w:t>о</w:t>
      </w:r>
      <w:r w:rsidRPr="00EF2020">
        <w:rPr>
          <w:b/>
        </w:rPr>
        <w:t>цесса осуществления Повестки дня в области устойчивого развития на п</w:t>
      </w:r>
      <w:r w:rsidRPr="00EF2020">
        <w:rPr>
          <w:b/>
        </w:rPr>
        <w:t>е</w:t>
      </w:r>
      <w:r w:rsidRPr="00EF2020">
        <w:rPr>
          <w:b/>
        </w:rPr>
        <w:t>риод до 2030 года.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2020">
        <w:tab/>
      </w:r>
      <w:r w:rsidRPr="00EF2020">
        <w:tab/>
        <w:t>Распространение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</w:pPr>
      <w:r w:rsidRPr="00EF2020">
        <w:t>47.</w:t>
      </w:r>
      <w:r w:rsidRPr="00EF2020">
        <w:tab/>
      </w:r>
      <w:r w:rsidRPr="00EF2020">
        <w:rPr>
          <w:b/>
        </w:rPr>
        <w:t>Комитет просит государство-участник обеспечить своевременное распространение настоящих заключительных замечаний на официальном языке государства-участника в соответствующих государственных учр</w:t>
      </w:r>
      <w:r w:rsidRPr="00EF2020">
        <w:rPr>
          <w:b/>
        </w:rPr>
        <w:t>е</w:t>
      </w:r>
      <w:r w:rsidRPr="00EF2020">
        <w:rPr>
          <w:b/>
        </w:rPr>
        <w:t>ждениях всех уровней (национального, регионального, местного), в час</w:t>
      </w:r>
      <w:r w:rsidRPr="00EF2020">
        <w:rPr>
          <w:b/>
        </w:rPr>
        <w:t>т</w:t>
      </w:r>
      <w:r w:rsidRPr="00EF2020">
        <w:rPr>
          <w:b/>
        </w:rPr>
        <w:t>ности в правительстве, министерствах, парламенте и судебных органах, с тем чтобы обеспечить их осуществление в полном объеме.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2020">
        <w:tab/>
      </w:r>
      <w:r w:rsidRPr="00EF2020">
        <w:tab/>
        <w:t>Техническая помощь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</w:pPr>
      <w:r w:rsidRPr="00EF2020">
        <w:t>48.</w:t>
      </w:r>
      <w:r w:rsidRPr="00EF2020">
        <w:tab/>
      </w:r>
      <w:r w:rsidRPr="00EF2020">
        <w:rPr>
          <w:b/>
        </w:rPr>
        <w:t>Комитет рекомендует государству-участнику увязать осуществление Конвенции с его усилиями в целях развития, воспользовавшись при этом региональной или международной технической помощью.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2020">
        <w:tab/>
      </w:r>
      <w:r w:rsidRPr="00EF2020">
        <w:tab/>
        <w:t>Ратификация других договоров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</w:pPr>
      <w:r w:rsidRPr="00EF2020">
        <w:t>49.</w:t>
      </w:r>
      <w:r w:rsidRPr="00EF2020">
        <w:tab/>
      </w:r>
      <w:r w:rsidRPr="00EF2020">
        <w:rPr>
          <w:b/>
        </w:rPr>
        <w:t>Комитет призывает правительство ратифицировать второй Факул</w:t>
      </w:r>
      <w:r w:rsidRPr="00EF2020">
        <w:rPr>
          <w:b/>
        </w:rPr>
        <w:t>ь</w:t>
      </w:r>
      <w:r w:rsidRPr="00EF2020">
        <w:rPr>
          <w:b/>
        </w:rPr>
        <w:t>тативный протокол к Международному пакту о гражданских и политич</w:t>
      </w:r>
      <w:r w:rsidRPr="00EF2020">
        <w:rPr>
          <w:b/>
        </w:rPr>
        <w:t>е</w:t>
      </w:r>
      <w:r w:rsidRPr="00EF2020">
        <w:rPr>
          <w:b/>
        </w:rPr>
        <w:t>ских правах, направленный на отмену смертной казни.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2020">
        <w:tab/>
      </w:r>
      <w:r w:rsidRPr="00EF2020">
        <w:tab/>
        <w:t>Последующие меры по выполнению заключительных замечаний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</w:pPr>
      <w:r w:rsidRPr="00EF2020">
        <w:t>50.</w:t>
      </w:r>
      <w:r w:rsidRPr="00EF2020">
        <w:tab/>
      </w:r>
      <w:r w:rsidRPr="00EF2020">
        <w:rPr>
          <w:b/>
        </w:rPr>
        <w:t>Комитет просит государство-участник в течение двух лет предост</w:t>
      </w:r>
      <w:r w:rsidRPr="00EF2020">
        <w:rPr>
          <w:b/>
        </w:rPr>
        <w:t>а</w:t>
      </w:r>
      <w:r w:rsidRPr="00EF2020">
        <w:rPr>
          <w:b/>
        </w:rPr>
        <w:t>вить в письменном виде информацию о мерах, принятых для осуществл</w:t>
      </w:r>
      <w:r w:rsidRPr="00EF2020">
        <w:rPr>
          <w:b/>
        </w:rPr>
        <w:t>е</w:t>
      </w:r>
      <w:r w:rsidRPr="00EF2020">
        <w:rPr>
          <w:b/>
        </w:rPr>
        <w:t>ния рекомендаций, содержащихся в приведенных выше пунктах 21(a), 23(a), 23(d) и 29(b).</w:t>
      </w:r>
    </w:p>
    <w:p w:rsidR="00FF187E" w:rsidRPr="00EF2020" w:rsidRDefault="00FF187E" w:rsidP="00FF187E">
      <w:pPr>
        <w:pStyle w:val="SingleTxt"/>
        <w:spacing w:after="0" w:line="120" w:lineRule="exact"/>
        <w:rPr>
          <w:sz w:val="10"/>
        </w:rPr>
      </w:pPr>
    </w:p>
    <w:p w:rsidR="00FF187E" w:rsidRPr="00EF2020" w:rsidRDefault="00FF187E" w:rsidP="00856F7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2020">
        <w:lastRenderedPageBreak/>
        <w:tab/>
      </w:r>
      <w:r w:rsidRPr="00EF2020">
        <w:tab/>
        <w:t>Подготовка следующего доклада</w:t>
      </w:r>
    </w:p>
    <w:p w:rsidR="00FF187E" w:rsidRPr="00EF2020" w:rsidRDefault="00FF187E" w:rsidP="00856F76">
      <w:pPr>
        <w:pStyle w:val="SingleTxt"/>
        <w:keepNext/>
        <w:spacing w:after="0" w:line="120" w:lineRule="exact"/>
        <w:rPr>
          <w:sz w:val="10"/>
        </w:rPr>
      </w:pPr>
    </w:p>
    <w:p w:rsidR="00FF187E" w:rsidRPr="00EF2020" w:rsidRDefault="00FF187E" w:rsidP="00FF187E">
      <w:pPr>
        <w:pStyle w:val="SingleTxt"/>
      </w:pPr>
      <w:r w:rsidRPr="00EF2020">
        <w:t>51.</w:t>
      </w:r>
      <w:r w:rsidRPr="00EF2020">
        <w:tab/>
      </w:r>
      <w:r w:rsidRPr="00EF2020">
        <w:rPr>
          <w:b/>
        </w:rPr>
        <w:t>Комитет просит государство-участник представить свой пятый пер</w:t>
      </w:r>
      <w:r w:rsidRPr="00EF2020">
        <w:rPr>
          <w:b/>
        </w:rPr>
        <w:t>и</w:t>
      </w:r>
      <w:r w:rsidRPr="00EF2020">
        <w:rPr>
          <w:b/>
        </w:rPr>
        <w:t>одический доклад в июле 2021 года. Доклад должен быть представлен в срок, а в случае задержки — охватывать весь период вплоть до даты его представления.</w:t>
      </w:r>
    </w:p>
    <w:p w:rsidR="00FF187E" w:rsidRPr="00EF2020" w:rsidRDefault="00FF187E" w:rsidP="00FF187E">
      <w:pPr>
        <w:pStyle w:val="SingleTxt"/>
      </w:pPr>
      <w:r w:rsidRPr="00EF2020">
        <w:t>52.</w:t>
      </w:r>
      <w:r w:rsidRPr="00EF2020">
        <w:tab/>
      </w:r>
      <w:r w:rsidRPr="00EF2020">
        <w:rPr>
          <w:b/>
        </w:rPr>
        <w:t>Комитет просит государство-участник следовать согласованным р</w:t>
      </w:r>
      <w:r w:rsidRPr="00EF2020">
        <w:rPr>
          <w:b/>
        </w:rPr>
        <w:t>у</w:t>
      </w:r>
      <w:r w:rsidRPr="00EF2020">
        <w:rPr>
          <w:b/>
        </w:rPr>
        <w:t>ководящим принципам представления докладов согласно международным договорам о правах человека, включая руководящие принципы подгото</w:t>
      </w:r>
      <w:r w:rsidRPr="00EF2020">
        <w:rPr>
          <w:b/>
        </w:rPr>
        <w:t>в</w:t>
      </w:r>
      <w:r w:rsidRPr="00EF2020">
        <w:rPr>
          <w:b/>
        </w:rPr>
        <w:t xml:space="preserve">ки общего базового документа и документов по конкретным договорам (см. </w:t>
      </w:r>
      <w:r w:rsidRPr="00121078">
        <w:rPr>
          <w:b/>
        </w:rPr>
        <w:t>HRI/GEN/2/Rev.6</w:t>
      </w:r>
      <w:r w:rsidRPr="00EF2020">
        <w:rPr>
          <w:b/>
        </w:rPr>
        <w:t>, гл. I).</w:t>
      </w:r>
    </w:p>
    <w:p w:rsidR="0010169A" w:rsidRPr="0010169A" w:rsidRDefault="00FF187E" w:rsidP="0010169A">
      <w:pPr>
        <w:pStyle w:val="SingleTxt"/>
      </w:pPr>
      <w:r w:rsidRPr="00EF2020"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98463" wp14:editId="567874E6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haB4gt8AAAAJAQAADwAAAAAAAAAAAAAAAAA0BAAAZHJzL2Rvd25yZXYueG1sUEsFBgAAAAAE&#10;AAQA8wAAAEAFAAAAAA==&#10;" strokecolor="#010000" strokeweight=".25pt"/>
            </w:pict>
          </mc:Fallback>
        </mc:AlternateContent>
      </w:r>
    </w:p>
    <w:sectPr w:rsidR="0010169A" w:rsidRPr="0010169A" w:rsidSect="00FF187E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7-09-21T11:44:00Z" w:initials="Start">
    <w:p w:rsidR="0010169A" w:rsidRPr="00FF187E" w:rsidRDefault="0010169A">
      <w:pPr>
        <w:pStyle w:val="CommentText"/>
        <w:rPr>
          <w:lang w:val="en-US"/>
        </w:rPr>
      </w:pPr>
      <w:r>
        <w:fldChar w:fldCharType="begin"/>
      </w:r>
      <w:r w:rsidRPr="00FF187E">
        <w:rPr>
          <w:rStyle w:val="CommentReference"/>
          <w:lang w:val="en-US"/>
        </w:rPr>
        <w:instrText xml:space="preserve"> </w:instrText>
      </w:r>
      <w:r w:rsidRPr="00FF187E">
        <w:rPr>
          <w:lang w:val="en-US"/>
        </w:rPr>
        <w:instrText>PAGE \# "'Page: '#'</w:instrText>
      </w:r>
      <w:r w:rsidRPr="00FF187E">
        <w:rPr>
          <w:lang w:val="en-US"/>
        </w:rPr>
        <w:br/>
        <w:instrText>'"</w:instrText>
      </w:r>
      <w:r w:rsidRPr="00FF187E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FF187E">
        <w:rPr>
          <w:lang w:val="en-US"/>
        </w:rPr>
        <w:t>&lt;&lt;ODS JOB NO&gt;&gt;N1722793R&lt;&lt;ODS JOB NO&gt;&gt;</w:t>
      </w:r>
    </w:p>
    <w:p w:rsidR="0010169A" w:rsidRPr="00FF187E" w:rsidRDefault="0010169A">
      <w:pPr>
        <w:pStyle w:val="CommentText"/>
        <w:rPr>
          <w:lang w:val="en-US"/>
        </w:rPr>
      </w:pPr>
      <w:r w:rsidRPr="00FF187E">
        <w:rPr>
          <w:lang w:val="en-US"/>
        </w:rPr>
        <w:t>&lt;&lt;ODS DOC SYMBOL1&gt;&gt;CEDAW/C/NER/CO/3-4&lt;&lt;ODS DOC SYMBOL1&gt;&gt;</w:t>
      </w:r>
    </w:p>
    <w:p w:rsidR="0010169A" w:rsidRPr="00FF187E" w:rsidRDefault="0010169A">
      <w:pPr>
        <w:pStyle w:val="CommentText"/>
        <w:rPr>
          <w:lang w:val="en-US"/>
        </w:rPr>
      </w:pPr>
      <w:r w:rsidRPr="00FF187E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9A" w:rsidRDefault="0010169A" w:rsidP="0010169A">
      <w:pPr>
        <w:spacing w:line="240" w:lineRule="auto"/>
      </w:pPr>
      <w:r>
        <w:separator/>
      </w:r>
    </w:p>
  </w:endnote>
  <w:endnote w:type="continuationSeparator" w:id="0">
    <w:p w:rsidR="0010169A" w:rsidRDefault="0010169A" w:rsidP="00101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10169A" w:rsidTr="0010169A">
      <w:tc>
        <w:tcPr>
          <w:tcW w:w="5028" w:type="dxa"/>
          <w:shd w:val="clear" w:color="auto" w:fill="auto"/>
          <w:vAlign w:val="bottom"/>
        </w:tcPr>
        <w:p w:rsidR="0010169A" w:rsidRPr="0010169A" w:rsidRDefault="0010169A" w:rsidP="0010169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4389B">
            <w:rPr>
              <w:noProof/>
            </w:rPr>
            <w:t>6</w:t>
          </w:r>
          <w:r>
            <w:fldChar w:fldCharType="end"/>
          </w:r>
          <w:r>
            <w:t>/</w:t>
          </w:r>
          <w:r w:rsidR="0014389B">
            <w:fldChar w:fldCharType="begin"/>
          </w:r>
          <w:r w:rsidR="0014389B">
            <w:instrText xml:space="preserve"> NUMPAGES  \* Arabic  \* MERGEFORMAT </w:instrText>
          </w:r>
          <w:r w:rsidR="0014389B">
            <w:fldChar w:fldCharType="separate"/>
          </w:r>
          <w:r w:rsidR="0014389B">
            <w:rPr>
              <w:noProof/>
            </w:rPr>
            <w:t>19</w:t>
          </w:r>
          <w:r w:rsidR="0014389B">
            <w:rPr>
              <w:noProof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10169A" w:rsidRPr="00856F76" w:rsidRDefault="0010169A" w:rsidP="0010169A">
          <w:pPr>
            <w:pStyle w:val="Footer"/>
            <w:jc w:val="right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C6223">
            <w:rPr>
              <w:b w:val="0"/>
              <w:color w:val="000000"/>
              <w:sz w:val="14"/>
            </w:rPr>
            <w:t>17-11288</w:t>
          </w:r>
          <w:r>
            <w:rPr>
              <w:b w:val="0"/>
              <w:color w:val="000000"/>
              <w:sz w:val="14"/>
            </w:rPr>
            <w:fldChar w:fldCharType="end"/>
          </w:r>
          <w:r w:rsidR="00856F76">
            <w:rPr>
              <w:b w:val="0"/>
              <w:color w:val="000000"/>
              <w:sz w:val="14"/>
              <w:lang w:val="en-US"/>
            </w:rPr>
            <w:t>X</w:t>
          </w:r>
        </w:p>
      </w:tc>
    </w:tr>
  </w:tbl>
  <w:p w:rsidR="0010169A" w:rsidRPr="0010169A" w:rsidRDefault="0010169A" w:rsidP="00101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10169A" w:rsidTr="0010169A">
      <w:tc>
        <w:tcPr>
          <w:tcW w:w="5028" w:type="dxa"/>
          <w:shd w:val="clear" w:color="auto" w:fill="auto"/>
          <w:vAlign w:val="bottom"/>
        </w:tcPr>
        <w:p w:rsidR="0010169A" w:rsidRPr="00856F76" w:rsidRDefault="0010169A" w:rsidP="0010169A">
          <w:pPr>
            <w:pStyle w:val="Footer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C6223">
            <w:rPr>
              <w:b w:val="0"/>
              <w:color w:val="000000"/>
              <w:sz w:val="14"/>
            </w:rPr>
            <w:t>17-11288</w:t>
          </w:r>
          <w:r>
            <w:rPr>
              <w:b w:val="0"/>
              <w:color w:val="000000"/>
              <w:sz w:val="14"/>
            </w:rPr>
            <w:fldChar w:fldCharType="end"/>
          </w:r>
          <w:r w:rsidR="00856F76">
            <w:rPr>
              <w:b w:val="0"/>
              <w:color w:val="000000"/>
              <w:sz w:val="14"/>
              <w:lang w:val="en-US"/>
            </w:rPr>
            <w:t>X</w:t>
          </w:r>
        </w:p>
      </w:tc>
      <w:tc>
        <w:tcPr>
          <w:tcW w:w="5028" w:type="dxa"/>
          <w:shd w:val="clear" w:color="auto" w:fill="auto"/>
          <w:vAlign w:val="bottom"/>
        </w:tcPr>
        <w:p w:rsidR="0010169A" w:rsidRPr="0010169A" w:rsidRDefault="0010169A" w:rsidP="0010169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4389B">
            <w:rPr>
              <w:noProof/>
            </w:rPr>
            <w:t>5</w:t>
          </w:r>
          <w:r>
            <w:fldChar w:fldCharType="end"/>
          </w:r>
          <w:r>
            <w:t>/</w:t>
          </w:r>
          <w:r w:rsidR="0014389B">
            <w:fldChar w:fldCharType="begin"/>
          </w:r>
          <w:r w:rsidR="0014389B">
            <w:instrText xml:space="preserve"> NUMPAGES  \* Arabic  \* MERGEFORMAT </w:instrText>
          </w:r>
          <w:r w:rsidR="0014389B">
            <w:fldChar w:fldCharType="separate"/>
          </w:r>
          <w:r w:rsidR="0014389B">
            <w:rPr>
              <w:noProof/>
            </w:rPr>
            <w:t>19</w:t>
          </w:r>
          <w:r w:rsidR="0014389B">
            <w:rPr>
              <w:noProof/>
            </w:rPr>
            <w:fldChar w:fldCharType="end"/>
          </w:r>
        </w:p>
      </w:tc>
    </w:tr>
  </w:tbl>
  <w:p w:rsidR="0010169A" w:rsidRPr="0010169A" w:rsidRDefault="0010169A" w:rsidP="001016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10169A" w:rsidTr="0010169A">
      <w:tc>
        <w:tcPr>
          <w:tcW w:w="3830" w:type="dxa"/>
        </w:tcPr>
        <w:p w:rsidR="0010169A" w:rsidRDefault="0010169A" w:rsidP="0010169A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74D15B63" wp14:editId="1EABDDD4">
                <wp:simplePos x="0" y="0"/>
                <wp:positionH relativeFrom="column">
                  <wp:posOffset>5541010</wp:posOffset>
                </wp:positionH>
                <wp:positionV relativeFrom="paragraph">
                  <wp:posOffset>-328930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NER/CO/3-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NER/CO/3-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17-11288</w:t>
          </w:r>
          <w:r w:rsidR="00856F76">
            <w:rPr>
              <w:lang w:val="en-US"/>
            </w:rPr>
            <w:t>X</w:t>
          </w:r>
          <w:r>
            <w:t xml:space="preserve"> (R)</w:t>
          </w:r>
          <w:r>
            <w:rPr>
              <w:color w:val="010000"/>
            </w:rPr>
            <w:t xml:space="preserve">    </w:t>
          </w:r>
          <w:r w:rsidR="005E5F67">
            <w:rPr>
              <w:color w:val="010000"/>
              <w:lang w:val="en-US"/>
            </w:rPr>
            <w:t>19</w:t>
          </w:r>
          <w:r>
            <w:rPr>
              <w:color w:val="010000"/>
            </w:rPr>
            <w:t>0917    210917</w:t>
          </w:r>
        </w:p>
        <w:p w:rsidR="0010169A" w:rsidRPr="0010169A" w:rsidRDefault="0010169A" w:rsidP="0010169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*1711288*</w:t>
          </w:r>
        </w:p>
      </w:tc>
      <w:tc>
        <w:tcPr>
          <w:tcW w:w="5028" w:type="dxa"/>
        </w:tcPr>
        <w:p w:rsidR="0010169A" w:rsidRDefault="0010169A" w:rsidP="0010169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4269C10B" wp14:editId="6E1F9138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0169A" w:rsidRPr="0010169A" w:rsidRDefault="0010169A" w:rsidP="0010169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9A" w:rsidRDefault="0010169A" w:rsidP="0010169A">
      <w:pPr>
        <w:spacing w:line="240" w:lineRule="auto"/>
      </w:pPr>
      <w:r>
        <w:separator/>
      </w:r>
    </w:p>
  </w:footnote>
  <w:footnote w:type="continuationSeparator" w:id="0">
    <w:p w:rsidR="0010169A" w:rsidRDefault="0010169A" w:rsidP="001016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10169A" w:rsidTr="0010169A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0169A" w:rsidRPr="0010169A" w:rsidRDefault="0010169A" w:rsidP="0010169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C6223">
            <w:rPr>
              <w:b/>
            </w:rPr>
            <w:t>CEDAW/C/NER/CO/3-4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10169A" w:rsidRDefault="0010169A" w:rsidP="0010169A">
          <w:pPr>
            <w:pStyle w:val="Header"/>
          </w:pPr>
        </w:p>
      </w:tc>
    </w:tr>
  </w:tbl>
  <w:p w:rsidR="0010169A" w:rsidRPr="0010169A" w:rsidRDefault="0010169A" w:rsidP="00101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10169A" w:rsidTr="0010169A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0169A" w:rsidRDefault="0010169A" w:rsidP="0010169A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10169A" w:rsidRPr="0010169A" w:rsidRDefault="0010169A" w:rsidP="0010169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C6223">
            <w:rPr>
              <w:b/>
            </w:rPr>
            <w:t>CEDAW/C/NER/CO/3-4</w:t>
          </w:r>
          <w:r>
            <w:rPr>
              <w:b/>
            </w:rPr>
            <w:fldChar w:fldCharType="end"/>
          </w:r>
        </w:p>
      </w:tc>
    </w:tr>
  </w:tbl>
  <w:p w:rsidR="0010169A" w:rsidRPr="0010169A" w:rsidRDefault="0010169A" w:rsidP="001016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10169A" w:rsidTr="0010169A"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0169A" w:rsidRPr="0010169A" w:rsidRDefault="0010169A" w:rsidP="0010169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0169A" w:rsidRDefault="0010169A" w:rsidP="0010169A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0169A" w:rsidRPr="0010169A" w:rsidRDefault="0010169A" w:rsidP="0010169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/C/NER/CO/3-4</w:t>
          </w:r>
        </w:p>
      </w:tc>
    </w:tr>
    <w:tr w:rsidR="0010169A" w:rsidRPr="00461A2A" w:rsidTr="0010169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0169A" w:rsidRPr="0010169A" w:rsidRDefault="0010169A" w:rsidP="0010169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3771CBB7" wp14:editId="23A10F3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0169A" w:rsidRPr="0010169A" w:rsidRDefault="0010169A" w:rsidP="0010169A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0169A" w:rsidRPr="0010169A" w:rsidRDefault="0010169A" w:rsidP="0010169A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0169A" w:rsidRPr="00FF187E" w:rsidRDefault="0010169A" w:rsidP="0010169A">
          <w:pPr>
            <w:pStyle w:val="Distribution"/>
            <w:rPr>
              <w:color w:val="000000"/>
              <w:lang w:val="en-US"/>
            </w:rPr>
          </w:pPr>
          <w:r w:rsidRPr="00FF187E">
            <w:rPr>
              <w:color w:val="000000"/>
              <w:lang w:val="en-US"/>
            </w:rPr>
            <w:t>Distr.: General</w:t>
          </w:r>
        </w:p>
        <w:p w:rsidR="0010169A" w:rsidRPr="00FF187E" w:rsidRDefault="0010169A" w:rsidP="0010169A">
          <w:pPr>
            <w:pStyle w:val="Publication"/>
            <w:rPr>
              <w:color w:val="000000"/>
              <w:lang w:val="en-US"/>
            </w:rPr>
          </w:pPr>
          <w:r w:rsidRPr="00FF187E">
            <w:rPr>
              <w:color w:val="000000"/>
              <w:lang w:val="en-US"/>
            </w:rPr>
            <w:t>24 July 2017</w:t>
          </w:r>
        </w:p>
        <w:p w:rsidR="0010169A" w:rsidRPr="00FF187E" w:rsidRDefault="0010169A" w:rsidP="0010169A">
          <w:pPr>
            <w:rPr>
              <w:color w:val="000000"/>
              <w:lang w:val="en-US"/>
            </w:rPr>
          </w:pPr>
          <w:r w:rsidRPr="00FF187E">
            <w:rPr>
              <w:color w:val="000000"/>
              <w:lang w:val="en-US"/>
            </w:rPr>
            <w:t>Russian</w:t>
          </w:r>
        </w:p>
        <w:p w:rsidR="0010169A" w:rsidRPr="00FF187E" w:rsidRDefault="0010169A" w:rsidP="0010169A">
          <w:pPr>
            <w:pStyle w:val="Original"/>
            <w:rPr>
              <w:color w:val="000000"/>
              <w:lang w:val="en-US"/>
            </w:rPr>
          </w:pPr>
          <w:r w:rsidRPr="00FF187E">
            <w:rPr>
              <w:color w:val="000000"/>
              <w:lang w:val="en-US"/>
            </w:rPr>
            <w:t>Original: English</w:t>
          </w:r>
        </w:p>
        <w:p w:rsidR="0010169A" w:rsidRPr="00FF187E" w:rsidRDefault="0010169A" w:rsidP="0010169A">
          <w:pPr>
            <w:rPr>
              <w:lang w:val="en-US"/>
            </w:rPr>
          </w:pPr>
        </w:p>
      </w:tc>
    </w:tr>
  </w:tbl>
  <w:p w:rsidR="0010169A" w:rsidRPr="00FF187E" w:rsidRDefault="0010169A" w:rsidP="0010169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56276"/>
    <w:multiLevelType w:val="hybridMultilevel"/>
    <w:tmpl w:val="19149710"/>
    <w:lvl w:ilvl="0" w:tplc="F4AAAF66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4F14A04"/>
    <w:multiLevelType w:val="hybridMultilevel"/>
    <w:tmpl w:val="0F8E0BF2"/>
    <w:lvl w:ilvl="0" w:tplc="F404D8B4">
      <w:start w:val="1"/>
      <w:numFmt w:val="bullet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10"/>
  </w:num>
  <w:num w:numId="21">
    <w:abstractNumId w:val="8"/>
  </w:num>
  <w:num w:numId="22">
    <w:abstractNumId w:val="7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5"/>
  </w:num>
  <w:num w:numId="29">
    <w:abstractNumId w:val="10"/>
  </w:num>
  <w:num w:numId="30">
    <w:abstractNumId w:val="8"/>
  </w:num>
  <w:num w:numId="31">
    <w:abstractNumId w:val="7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5"/>
  </w:num>
  <w:num w:numId="38">
    <w:abstractNumId w:val="10"/>
  </w:num>
  <w:num w:numId="39">
    <w:abstractNumId w:val="8"/>
  </w:num>
  <w:num w:numId="40">
    <w:abstractNumId w:val="7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9"/>
  </w:num>
  <w:num w:numId="4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revisionView w:markup="0"/>
  <w:defaultTabStop w:val="475"/>
  <w:autoHyphenation/>
  <w:hyphenationZone w:val="220"/>
  <w:doNotHyphenateCaps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11288*"/>
    <w:docVar w:name="CreationDt" w:val="21/09/2017 11:44 AM"/>
    <w:docVar w:name="DocCategory" w:val="Doc"/>
    <w:docVar w:name="DocType" w:val="Final"/>
    <w:docVar w:name="DutyStation" w:val="New York"/>
    <w:docVar w:name="FooterJN" w:val="17-11288"/>
    <w:docVar w:name="jobn" w:val="17-11288 (R)"/>
    <w:docVar w:name="jobnDT" w:val="17-11288 (R)   210917"/>
    <w:docVar w:name="jobnDTDT" w:val="17-11288 (R)   210917   210917"/>
    <w:docVar w:name="JobNo" w:val="1711288R"/>
    <w:docVar w:name="JobNo2" w:val="1722793R"/>
    <w:docVar w:name="LocalDrive" w:val="0"/>
    <w:docVar w:name="OandT" w:val=" "/>
    <w:docVar w:name="sss1" w:val="CEDAW/C/NER/CO/3-4"/>
    <w:docVar w:name="sss2" w:val="-"/>
    <w:docVar w:name="Symbol1" w:val="CEDAW/C/NER/CO/3-4"/>
    <w:docVar w:name="Symbol2" w:val="-"/>
  </w:docVars>
  <w:rsids>
    <w:rsidRoot w:val="00FF6FC3"/>
    <w:rsid w:val="000470F3"/>
    <w:rsid w:val="00071DEE"/>
    <w:rsid w:val="000C67E3"/>
    <w:rsid w:val="0010169A"/>
    <w:rsid w:val="0014389B"/>
    <w:rsid w:val="001B0786"/>
    <w:rsid w:val="00215A7D"/>
    <w:rsid w:val="00320B88"/>
    <w:rsid w:val="003807EF"/>
    <w:rsid w:val="0038495D"/>
    <w:rsid w:val="003C6223"/>
    <w:rsid w:val="004275D7"/>
    <w:rsid w:val="00461A2A"/>
    <w:rsid w:val="004A33E4"/>
    <w:rsid w:val="005644C2"/>
    <w:rsid w:val="00571999"/>
    <w:rsid w:val="00597A4C"/>
    <w:rsid w:val="005A2266"/>
    <w:rsid w:val="005B58D8"/>
    <w:rsid w:val="005E5F67"/>
    <w:rsid w:val="00643F79"/>
    <w:rsid w:val="006B0972"/>
    <w:rsid w:val="006D4969"/>
    <w:rsid w:val="00705A84"/>
    <w:rsid w:val="007631AF"/>
    <w:rsid w:val="00856F76"/>
    <w:rsid w:val="008C309F"/>
    <w:rsid w:val="008E0493"/>
    <w:rsid w:val="009F077A"/>
    <w:rsid w:val="00A72FF5"/>
    <w:rsid w:val="00CA4BB0"/>
    <w:rsid w:val="00E25037"/>
    <w:rsid w:val="00E720E8"/>
    <w:rsid w:val="00F63321"/>
    <w:rsid w:val="00F81CC1"/>
    <w:rsid w:val="00FF187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4A33E4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4A33E4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4A33E4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33E4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4A33E4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4A33E4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4A33E4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4A33E4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4A33E4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4A33E4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4A33E4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4A33E4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4A33E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4A33E4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4A33E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4A33E4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4A33E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4A33E4"/>
    <w:pPr>
      <w:keepNext/>
      <w:keepLines/>
      <w:spacing w:line="240" w:lineRule="exact"/>
      <w:ind w:right="5040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4A33E4"/>
    <w:pPr>
      <w:numPr>
        <w:numId w:val="3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4A33E4"/>
    <w:pPr>
      <w:numPr>
        <w:numId w:val="38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4A33E4"/>
    <w:pPr>
      <w:numPr>
        <w:numId w:val="3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4A33E4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semiHidden/>
    <w:rsid w:val="004A33E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semiHidden/>
    <w:rsid w:val="004A33E4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A33E4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nhideWhenUsed/>
    <w:rsid w:val="004A33E4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rsid w:val="004A33E4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semiHidden/>
    <w:rsid w:val="004A33E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nhideWhenUsed/>
    <w:rsid w:val="004A33E4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33E4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rsid w:val="004A33E4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rsid w:val="004A33E4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4A33E4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4A33E4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4A33E4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4A33E4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4A33E4"/>
    <w:pPr>
      <w:numPr>
        <w:numId w:val="40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4A33E4"/>
    <w:pPr>
      <w:numPr>
        <w:numId w:val="41"/>
      </w:numPr>
      <w:contextualSpacing/>
    </w:pPr>
  </w:style>
  <w:style w:type="paragraph" w:styleId="ListNumber2">
    <w:name w:val="List Number 2"/>
    <w:basedOn w:val="H23"/>
    <w:next w:val="Normal"/>
    <w:uiPriority w:val="99"/>
    <w:rsid w:val="004A33E4"/>
    <w:pPr>
      <w:numPr>
        <w:numId w:val="42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4A33E4"/>
    <w:pPr>
      <w:numPr>
        <w:numId w:val="43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4A33E4"/>
    <w:pPr>
      <w:keepNext/>
      <w:keepLines/>
      <w:numPr>
        <w:numId w:val="44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4A33E4"/>
    <w:pPr>
      <w:numPr>
        <w:numId w:val="45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4A33E4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4A33E4"/>
    <w:rPr>
      <w:szCs w:val="20"/>
    </w:rPr>
  </w:style>
  <w:style w:type="paragraph" w:customStyle="1" w:styleId="Publication">
    <w:name w:val="Publication"/>
    <w:basedOn w:val="Normal"/>
    <w:next w:val="Normal"/>
    <w:qFormat/>
    <w:rsid w:val="004A33E4"/>
  </w:style>
  <w:style w:type="paragraph" w:customStyle="1" w:styleId="ReleaseDate">
    <w:name w:val="ReleaseDate"/>
    <w:basedOn w:val="Normal"/>
    <w:next w:val="Normal"/>
    <w:qFormat/>
    <w:rsid w:val="004A33E4"/>
    <w:rPr>
      <w:szCs w:val="20"/>
    </w:rPr>
  </w:style>
  <w:style w:type="paragraph" w:customStyle="1" w:styleId="Small">
    <w:name w:val="Small"/>
    <w:basedOn w:val="Normal"/>
    <w:next w:val="Normal"/>
    <w:qFormat/>
    <w:rsid w:val="004A33E4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4A33E4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4A33E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4A33E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4A33E4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character" w:styleId="CommentReference">
    <w:name w:val="annotation reference"/>
    <w:basedOn w:val="DefaultParagraphFont"/>
    <w:semiHidden/>
    <w:unhideWhenUsed/>
    <w:rsid w:val="00101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69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69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69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rsid w:val="00FF187E"/>
    <w:rPr>
      <w:color w:val="0000FF"/>
      <w:u w:val="none"/>
    </w:rPr>
  </w:style>
  <w:style w:type="character" w:styleId="LineNumber">
    <w:name w:val="line number"/>
    <w:rsid w:val="00FF187E"/>
    <w:rPr>
      <w:sz w:val="14"/>
    </w:rPr>
  </w:style>
  <w:style w:type="paragraph" w:styleId="PlainText">
    <w:name w:val="Plain Text"/>
    <w:basedOn w:val="Normal"/>
    <w:link w:val="PlainTextChar"/>
    <w:rsid w:val="00FF187E"/>
    <w:pPr>
      <w:spacing w:line="240" w:lineRule="auto"/>
    </w:pPr>
    <w:rPr>
      <w:rFonts w:ascii="Courier New" w:eastAsia="Times New Roman" w:hAnsi="Courier New"/>
      <w:spacing w:val="0"/>
      <w:w w:val="100"/>
      <w:kern w:val="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FF187E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FF187E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table" w:styleId="TableGrid">
    <w:name w:val="Table Grid"/>
    <w:basedOn w:val="TableNormal"/>
    <w:rsid w:val="00FF187E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187E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4A33E4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4A33E4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4A33E4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33E4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4A33E4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4A33E4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4A33E4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4A33E4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4A33E4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4A33E4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4A33E4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4A33E4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4A33E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4A33E4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4A33E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4A33E4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4A33E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4A33E4"/>
    <w:pPr>
      <w:keepNext/>
      <w:keepLines/>
      <w:spacing w:line="240" w:lineRule="exact"/>
      <w:ind w:right="5040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4A33E4"/>
    <w:pPr>
      <w:numPr>
        <w:numId w:val="3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4A33E4"/>
    <w:pPr>
      <w:numPr>
        <w:numId w:val="38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4A33E4"/>
    <w:pPr>
      <w:numPr>
        <w:numId w:val="3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4A33E4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semiHidden/>
    <w:rsid w:val="004A33E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semiHidden/>
    <w:rsid w:val="004A33E4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A33E4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nhideWhenUsed/>
    <w:rsid w:val="004A33E4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rsid w:val="004A33E4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semiHidden/>
    <w:rsid w:val="004A33E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nhideWhenUsed/>
    <w:rsid w:val="004A33E4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33E4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rsid w:val="004A33E4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rsid w:val="004A33E4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4A33E4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4A33E4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4A33E4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4A33E4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4A33E4"/>
    <w:pPr>
      <w:numPr>
        <w:numId w:val="40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4A33E4"/>
    <w:pPr>
      <w:numPr>
        <w:numId w:val="41"/>
      </w:numPr>
      <w:contextualSpacing/>
    </w:pPr>
  </w:style>
  <w:style w:type="paragraph" w:styleId="ListNumber2">
    <w:name w:val="List Number 2"/>
    <w:basedOn w:val="H23"/>
    <w:next w:val="Normal"/>
    <w:uiPriority w:val="99"/>
    <w:rsid w:val="004A33E4"/>
    <w:pPr>
      <w:numPr>
        <w:numId w:val="42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4A33E4"/>
    <w:pPr>
      <w:numPr>
        <w:numId w:val="43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4A33E4"/>
    <w:pPr>
      <w:keepNext/>
      <w:keepLines/>
      <w:numPr>
        <w:numId w:val="44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4A33E4"/>
    <w:pPr>
      <w:numPr>
        <w:numId w:val="45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4A33E4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4A33E4"/>
    <w:rPr>
      <w:szCs w:val="20"/>
    </w:rPr>
  </w:style>
  <w:style w:type="paragraph" w:customStyle="1" w:styleId="Publication">
    <w:name w:val="Publication"/>
    <w:basedOn w:val="Normal"/>
    <w:next w:val="Normal"/>
    <w:qFormat/>
    <w:rsid w:val="004A33E4"/>
  </w:style>
  <w:style w:type="paragraph" w:customStyle="1" w:styleId="ReleaseDate">
    <w:name w:val="ReleaseDate"/>
    <w:basedOn w:val="Normal"/>
    <w:next w:val="Normal"/>
    <w:qFormat/>
    <w:rsid w:val="004A33E4"/>
    <w:rPr>
      <w:szCs w:val="20"/>
    </w:rPr>
  </w:style>
  <w:style w:type="paragraph" w:customStyle="1" w:styleId="Small">
    <w:name w:val="Small"/>
    <w:basedOn w:val="Normal"/>
    <w:next w:val="Normal"/>
    <w:qFormat/>
    <w:rsid w:val="004A33E4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4A33E4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4A33E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4A33E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4A33E4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character" w:styleId="CommentReference">
    <w:name w:val="annotation reference"/>
    <w:basedOn w:val="DefaultParagraphFont"/>
    <w:semiHidden/>
    <w:unhideWhenUsed/>
    <w:rsid w:val="00101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69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69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69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rsid w:val="00FF187E"/>
    <w:rPr>
      <w:color w:val="0000FF"/>
      <w:u w:val="none"/>
    </w:rPr>
  </w:style>
  <w:style w:type="character" w:styleId="LineNumber">
    <w:name w:val="line number"/>
    <w:rsid w:val="00FF187E"/>
    <w:rPr>
      <w:sz w:val="14"/>
    </w:rPr>
  </w:style>
  <w:style w:type="paragraph" w:styleId="PlainText">
    <w:name w:val="Plain Text"/>
    <w:basedOn w:val="Normal"/>
    <w:link w:val="PlainTextChar"/>
    <w:rsid w:val="00FF187E"/>
    <w:pPr>
      <w:spacing w:line="240" w:lineRule="auto"/>
    </w:pPr>
    <w:rPr>
      <w:rFonts w:ascii="Courier New" w:eastAsia="Times New Roman" w:hAnsi="Courier New"/>
      <w:spacing w:val="0"/>
      <w:w w:val="100"/>
      <w:kern w:val="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FF187E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FF187E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table" w:styleId="TableGrid">
    <w:name w:val="Table Grid"/>
    <w:basedOn w:val="TableNormal"/>
    <w:rsid w:val="00FF187E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187E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undocs.org/ru/CEDAW/C/NER/Q/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ndocs.org/ru/A/HRC/32/5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undocs.org/ru/CEDAW/C/SR.1516" TargetMode="External"/><Relationship Id="rId25" Type="http://schemas.openxmlformats.org/officeDocument/2006/relationships/hyperlink" Target="https://undocs.org/ru/A/HRC/21/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docs.org/ru/CEDAW/C/NER/3" TargetMode="External"/><Relationship Id="rId20" Type="http://schemas.openxmlformats.org/officeDocument/2006/relationships/hyperlink" Target="https://undocs.org/ru/CEDAW/C/NER/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undocs.org/ru/CEDAW/C/NER/CO/2" TargetMode="Externa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23" Type="http://schemas.openxmlformats.org/officeDocument/2006/relationships/hyperlink" Target="https://undocs.org/ru/CEDAW/C/NER/CO/2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ndocs.org/ru/CEDAW/C/NER/Q/3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undocs.org/ru/S/RES/1325(2000)" TargetMode="Externa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F060-CE1B-487B-B532-0C4B9EBF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7842</Words>
  <Characters>44705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Golosova</dc:creator>
  <cp:lastModifiedBy>Irina Golosova</cp:lastModifiedBy>
  <cp:revision>4</cp:revision>
  <cp:lastPrinted>2017-09-21T18:08:00Z</cp:lastPrinted>
  <dcterms:created xsi:type="dcterms:W3CDTF">2017-09-21T18:14:00Z</dcterms:created>
  <dcterms:modified xsi:type="dcterms:W3CDTF">2017-09-21T18:15:00Z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1711288R</vt:lpwstr>
  </property>
  <property fmtid="{D5CDD505-2E9C-101B-9397-08002B2CF9AE}" pid="3" name="ODSRefJobNo">
    <vt:lpwstr>1722793R</vt:lpwstr>
  </property>
  <property fmtid="{D5CDD505-2E9C-101B-9397-08002B2CF9AE}" pid="4" name="Symbol1">
    <vt:lpwstr>CEDAW/C/NER/CO/3-4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</vt:lpwstr>
  </property>
  <property fmtid="{D5CDD505-2E9C-101B-9397-08002B2CF9AE}" pid="11" name="Language">
    <vt:lpwstr>Russian</vt:lpwstr>
  </property>
  <property fmtid="{D5CDD505-2E9C-101B-9397-08002B2CF9AE}" pid="12" name="Distribution">
    <vt:lpwstr>General</vt:lpwstr>
  </property>
  <property fmtid="{D5CDD505-2E9C-101B-9397-08002B2CF9AE}" pid="13" name="Publication Date">
    <vt:lpwstr>24 July 2017</vt:lpwstr>
  </property>
  <property fmtid="{D5CDD505-2E9C-101B-9397-08002B2CF9AE}" pid="14" name="Original">
    <vt:lpwstr>English</vt:lpwstr>
  </property>
  <property fmtid="{D5CDD505-2E9C-101B-9397-08002B2CF9AE}" pid="15" name="Release Date">
    <vt:lpwstr>210917</vt:lpwstr>
  </property>
  <property fmtid="{D5CDD505-2E9C-101B-9397-08002B2CF9AE}" pid="16" name="Title1">
    <vt:lpwstr>		Заключительные замечания по объединенным третьему и четвертому периодическим докладам Нигера*</vt:lpwstr>
  </property>
</Properties>
</file>