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5390" w14:textId="77777777" w:rsidR="00A97CAD" w:rsidRDefault="00A97CAD" w:rsidP="00A97CAD">
      <w:pPr>
        <w:spacing w:line="240" w:lineRule="auto"/>
        <w:jc w:val="left"/>
        <w:rPr>
          <w:szCs w:val="2"/>
        </w:rPr>
        <w:sectPr w:rsidR="00A97CAD" w:rsidSect="00EA22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5A63439A" w14:textId="3F79FE12" w:rsidR="00EA2224" w:rsidRPr="00EA2224" w:rsidRDefault="00EA2224" w:rsidP="00EA2224">
      <w:pPr>
        <w:pStyle w:val="H1"/>
      </w:pPr>
      <w:r w:rsidRPr="00EA2224">
        <w:rPr>
          <w:rtl/>
        </w:rPr>
        <w:t>اللجنة المعنية بالقضاء على التمييز ضد المرأة‏‏</w:t>
      </w:r>
      <w:r w:rsidR="008A57F4">
        <w:rPr>
          <w:rFonts w:hint="cs"/>
          <w:rtl/>
        </w:rPr>
        <w:t xml:space="preserve"> </w:t>
      </w:r>
    </w:p>
    <w:p w14:paraId="56948949" w14:textId="77777777" w:rsidR="00EA2224" w:rsidRPr="00EA2224" w:rsidRDefault="00EA2224" w:rsidP="00EA2224">
      <w:pPr>
        <w:pStyle w:val="SingleTxt"/>
        <w:spacing w:after="0" w:line="120" w:lineRule="exact"/>
        <w:rPr>
          <w:b/>
          <w:sz w:val="10"/>
          <w:rtl/>
        </w:rPr>
      </w:pPr>
    </w:p>
    <w:p w14:paraId="5479F9DD" w14:textId="77777777" w:rsidR="00EA2224" w:rsidRPr="00EA2224" w:rsidRDefault="00EA2224" w:rsidP="00EA2224">
      <w:pPr>
        <w:pStyle w:val="SingleTxt"/>
        <w:spacing w:after="0" w:line="120" w:lineRule="exact"/>
        <w:rPr>
          <w:b/>
          <w:sz w:val="10"/>
          <w:rtl/>
        </w:rPr>
      </w:pPr>
    </w:p>
    <w:p w14:paraId="73D265F1" w14:textId="77777777" w:rsidR="00EA2224" w:rsidRPr="00EA2224" w:rsidRDefault="00EA2224" w:rsidP="00EA2224">
      <w:pPr>
        <w:pStyle w:val="SingleTxt"/>
        <w:spacing w:after="0" w:line="120" w:lineRule="exact"/>
        <w:rPr>
          <w:b/>
          <w:sz w:val="10"/>
          <w:rtl/>
        </w:rPr>
      </w:pPr>
    </w:p>
    <w:p w14:paraId="6B2AFC68" w14:textId="24CAC1F6" w:rsidR="00EA2224" w:rsidRPr="00EA2224" w:rsidRDefault="00EA2224" w:rsidP="00EA2224">
      <w:pPr>
        <w:framePr w:w="9792" w:h="432" w:hSpace="180" w:wrap="notBeside" w:hAnchor="page" w:x="1196" w:yAlign="bottom"/>
        <w:spacing w:line="240" w:lineRule="auto"/>
        <w:rPr>
          <w:szCs w:val="6"/>
          <w:rtl/>
        </w:rPr>
      </w:pPr>
      <w:r w:rsidRPr="00EA2224">
        <w:rPr>
          <w:noProof/>
          <w:szCs w:val="6"/>
        </w:rPr>
        <mc:AlternateContent>
          <mc:Choice Requires="wps">
            <w:drawing>
              <wp:anchor distT="0" distB="0" distL="114300" distR="114300" simplePos="0" relativeHeight="251661312" behindDoc="0" locked="0" layoutInCell="1" allowOverlap="1" wp14:anchorId="117FCF44" wp14:editId="6140FEB4">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4322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1C506ADB" w14:textId="7C5BF601" w:rsidR="00EA2224" w:rsidRPr="00EA2224" w:rsidRDefault="00EA2224" w:rsidP="00EA2224">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EA2224">
        <w:rPr>
          <w:sz w:val="18"/>
          <w:szCs w:val="18"/>
          <w:rtl/>
        </w:rPr>
        <w:t>اعتمدته اللجنة في دورتها الثانية والثمانين (13 حزيران/يونيه - 1 تموز/يوليه 2022).</w:t>
      </w:r>
    </w:p>
    <w:p w14:paraId="2D254649" w14:textId="4614CFAE" w:rsidR="00EA2224" w:rsidRPr="00EA2224" w:rsidRDefault="00EA2224" w:rsidP="00EA2224">
      <w:pPr>
        <w:pStyle w:val="TitleHCH"/>
        <w:ind w:left="1267" w:right="1267"/>
      </w:pPr>
      <w:r w:rsidRPr="00EA2224">
        <w:rPr>
          <w:rtl/>
        </w:rPr>
        <w:tab/>
      </w:r>
      <w:r w:rsidRPr="00EA2224">
        <w:rPr>
          <w:rtl/>
        </w:rPr>
        <w:tab/>
        <w:t>الملاحظات الختامية بشأن التقرير الدوري السادس لناميبيا</w:t>
      </w:r>
      <w:r>
        <w:rPr>
          <w:rFonts w:hint="cs"/>
          <w:rtl/>
        </w:rPr>
        <w:t>*</w:t>
      </w:r>
      <w:r w:rsidR="008A57F4">
        <w:rPr>
          <w:rFonts w:hint="cs"/>
          <w:rtl/>
        </w:rPr>
        <w:t xml:space="preserve"> </w:t>
      </w:r>
    </w:p>
    <w:p w14:paraId="0A06221C" w14:textId="5B95C4C8" w:rsidR="00EA2224" w:rsidRPr="00EA2224" w:rsidRDefault="00EA2224" w:rsidP="008A57F4">
      <w:pPr>
        <w:pStyle w:val="SingleTxt"/>
      </w:pPr>
      <w:r w:rsidRPr="00EA2224">
        <w:rPr>
          <w:rtl/>
        </w:rPr>
        <w:t>1</w:t>
      </w:r>
      <w:r>
        <w:rPr>
          <w:rtl/>
        </w:rPr>
        <w:t xml:space="preserve"> -</w:t>
      </w:r>
      <w:r>
        <w:rPr>
          <w:rtl/>
        </w:rPr>
        <w:tab/>
      </w:r>
      <w:r w:rsidRPr="00EA2224">
        <w:rPr>
          <w:rtl/>
        </w:rPr>
        <w:t>نظرت اللجنة في التقرير الدوري السادس لناميبيا (</w:t>
      </w:r>
      <w:hyperlink r:id="rId18" w:history="1">
        <w:r w:rsidRPr="00EA2224">
          <w:rPr>
            <w:rStyle w:val="Hyperlink"/>
            <w:lang w:val="fr-CH"/>
          </w:rPr>
          <w:t>CEDAW/C/NAM/6</w:t>
        </w:r>
      </w:hyperlink>
      <w:r w:rsidRPr="00EA2224">
        <w:rPr>
          <w:rtl/>
        </w:rPr>
        <w:t>) في جلستيها 1887 و 1888 (</w:t>
      </w:r>
      <w:hyperlink r:id="rId19" w:history="1">
        <w:r w:rsidRPr="00EA2224">
          <w:rPr>
            <w:rStyle w:val="Hyperlink"/>
            <w:lang w:val="fr-CH"/>
          </w:rPr>
          <w:t>CEDAW/C/SR.1887</w:t>
        </w:r>
      </w:hyperlink>
      <w:r w:rsidRPr="00EA2224">
        <w:rPr>
          <w:rtl/>
        </w:rPr>
        <w:t xml:space="preserve"> و</w:t>
      </w:r>
      <w:hyperlink r:id="rId20" w:history="1">
        <w:r w:rsidRPr="00EA2224">
          <w:rPr>
            <w:rStyle w:val="Hyperlink"/>
            <w:lang w:val="fr-CH"/>
          </w:rPr>
          <w:t>CEDAW/C/SR.1888</w:t>
        </w:r>
      </w:hyperlink>
      <w:r w:rsidRPr="00EA2224">
        <w:rPr>
          <w:lang w:val="fr-CH"/>
        </w:rPr>
        <w:t xml:space="preserve"> </w:t>
      </w:r>
      <w:r w:rsidRPr="00EA2224">
        <w:rPr>
          <w:rtl/>
        </w:rPr>
        <w:t xml:space="preserve">)، المعقودتين في 17 حزيران/يونيه 2022. وترد قائمة المسائل والأسئلة التي طرحها الفريق العامل لما قبل الدورة في الوثيقة </w:t>
      </w:r>
      <w:hyperlink r:id="rId21" w:history="1">
        <w:r w:rsidRPr="00EA2224">
          <w:rPr>
            <w:rStyle w:val="Hyperlink"/>
            <w:lang w:val="fr-CH"/>
          </w:rPr>
          <w:t>CEDAW/C/NAM/Q/6</w:t>
        </w:r>
      </w:hyperlink>
      <w:r w:rsidRPr="00EA2224">
        <w:rPr>
          <w:rtl/>
        </w:rPr>
        <w:t xml:space="preserve">، وترد ردود ناميبيا عليها في الوثيقة </w:t>
      </w:r>
      <w:hyperlink r:id="rId22" w:history="1">
        <w:r w:rsidRPr="00EA2224">
          <w:rPr>
            <w:rStyle w:val="Hyperlink"/>
            <w:lang w:val="fr-CH"/>
          </w:rPr>
          <w:t>CEDAW/C/NAM/RQ/6</w:t>
        </w:r>
      </w:hyperlink>
      <w:r w:rsidRPr="00EA2224">
        <w:rPr>
          <w:rtl/>
        </w:rPr>
        <w:t>.</w:t>
      </w:r>
    </w:p>
    <w:p w14:paraId="65FD74B0" w14:textId="77777777" w:rsidR="00EA2224" w:rsidRPr="00EA2224" w:rsidRDefault="00EA2224" w:rsidP="00EA2224">
      <w:pPr>
        <w:pStyle w:val="SingleTxt"/>
        <w:spacing w:after="0" w:line="120" w:lineRule="exact"/>
        <w:rPr>
          <w:b/>
          <w:bCs/>
          <w:sz w:val="10"/>
          <w:rtl/>
        </w:rPr>
      </w:pPr>
    </w:p>
    <w:p w14:paraId="28573981" w14:textId="0491C51D" w:rsidR="00EA2224" w:rsidRPr="00EA2224" w:rsidRDefault="00EA2224" w:rsidP="00EA2224">
      <w:pPr>
        <w:pStyle w:val="H1"/>
      </w:pPr>
      <w:r>
        <w:rPr>
          <w:rtl/>
        </w:rPr>
        <w:tab/>
      </w:r>
      <w:r w:rsidRPr="00EA2224">
        <w:rPr>
          <w:rtl/>
        </w:rPr>
        <w:t>ألف</w:t>
      </w:r>
      <w:r>
        <w:rPr>
          <w:rtl/>
        </w:rPr>
        <w:t xml:space="preserve"> -</w:t>
      </w:r>
      <w:r>
        <w:rPr>
          <w:rtl/>
        </w:rPr>
        <w:tab/>
      </w:r>
      <w:r w:rsidRPr="00EA2224">
        <w:rPr>
          <w:rtl/>
        </w:rPr>
        <w:t>مقدمة</w:t>
      </w:r>
    </w:p>
    <w:p w14:paraId="3545DF95" w14:textId="1BAB1DA7" w:rsidR="00EA2224" w:rsidRPr="00EA2224" w:rsidRDefault="00EA2224" w:rsidP="00EA2224">
      <w:pPr>
        <w:pStyle w:val="SingleTxt"/>
      </w:pPr>
      <w:r w:rsidRPr="00EA2224">
        <w:rPr>
          <w:rtl/>
        </w:rPr>
        <w:t>2</w:t>
      </w:r>
      <w:r>
        <w:rPr>
          <w:rtl/>
        </w:rPr>
        <w:t xml:space="preserve"> -</w:t>
      </w:r>
      <w:r>
        <w:rPr>
          <w:rtl/>
        </w:rPr>
        <w:tab/>
      </w:r>
      <w:r w:rsidRPr="00EA2224">
        <w:rPr>
          <w:rtl/>
        </w:rPr>
        <w:t>تعرب اللجنة عن تقديرها لتقديم الدولة الطرف تقريرها الدوري السادس. وتعرب عن تقديرها أيضا لتقديم الدولة الطرف تقرير متابعة للملاحظات الختامية السابقة للجنة (</w:t>
      </w:r>
      <w:hyperlink r:id="rId23" w:history="1">
        <w:r w:rsidRPr="00EA2224">
          <w:rPr>
            <w:rStyle w:val="Hyperlink"/>
            <w:lang w:val="fr-CH"/>
          </w:rPr>
          <w:t>CEDAW/C/NAM/CO/4-5/Add.1</w:t>
        </w:r>
      </w:hyperlink>
      <w:r w:rsidRPr="00EA2224">
        <w:rPr>
          <w:rtl/>
        </w:rPr>
        <w:t>) وللردود الخطية التي قدمتها على قائمة المسائل والأسئلة التي طرحها الفريق العامل لما قبل الدورة. وترحب بالعرض الشفوي الذي قدمه الوفد وبالإيضاحات الإضافية المقدمة رداً على الأسئلة التي طرحتها اللجنة شفوياً أثناء الحوار.</w:t>
      </w:r>
      <w:r w:rsidR="008A57F4">
        <w:rPr>
          <w:rFonts w:hint="cs"/>
          <w:rtl/>
        </w:rPr>
        <w:t xml:space="preserve"> </w:t>
      </w:r>
    </w:p>
    <w:p w14:paraId="549F292D" w14:textId="14F773F9" w:rsidR="00EA2224" w:rsidRPr="00EA2224" w:rsidRDefault="00EA2224" w:rsidP="00EA2224">
      <w:pPr>
        <w:pStyle w:val="SingleTxt"/>
      </w:pPr>
      <w:r w:rsidRPr="00EA2224">
        <w:rPr>
          <w:rtl/>
        </w:rPr>
        <w:t>3</w:t>
      </w:r>
      <w:r>
        <w:rPr>
          <w:rtl/>
        </w:rPr>
        <w:t xml:space="preserve"> -</w:t>
      </w:r>
      <w:r>
        <w:rPr>
          <w:rtl/>
        </w:rPr>
        <w:tab/>
      </w:r>
      <w:r w:rsidRPr="00EA2224">
        <w:rPr>
          <w:rtl/>
        </w:rPr>
        <w:t>وتثني اللجنة على الدولة الطرف لإيفادها وفدا رفيع المستوى ترأسته</w:t>
      </w:r>
      <w:r w:rsidR="006345D2">
        <w:rPr>
          <w:rtl/>
        </w:rPr>
        <w:t xml:space="preserve"> </w:t>
      </w:r>
      <w:r w:rsidRPr="00EA2224">
        <w:rPr>
          <w:rtl/>
        </w:rPr>
        <w:t>دورين سيوكا، وزيرة المساواة بين الجنسين والقضاء على الفقر والرعاية الاجتماعية، وضم ممثلين عن وزارة التعليم والفنون والثقافة، ووزارة المساواة بين الجنسين والقضاء على الفقر والرعاية الاجتماعية، ووزارة العدل، ووزارة العمل وعلاقات العمل وإيجاد فرص العمل، والبعثة الدائمة لناميبيا لدى مكتب الأمم المتحدة والمنظمات الدولية الأخرى في جنيف.</w:t>
      </w:r>
      <w:r w:rsidR="008A57F4">
        <w:rPr>
          <w:rFonts w:hint="cs"/>
          <w:rtl/>
        </w:rPr>
        <w:t xml:space="preserve"> </w:t>
      </w:r>
    </w:p>
    <w:p w14:paraId="3D1BDFF7" w14:textId="77777777" w:rsidR="00EA2224" w:rsidRPr="00EA2224" w:rsidRDefault="00EA2224" w:rsidP="00EA2224">
      <w:pPr>
        <w:pStyle w:val="SingleTxt"/>
        <w:spacing w:after="0" w:line="120" w:lineRule="exact"/>
        <w:rPr>
          <w:b/>
          <w:bCs/>
          <w:sz w:val="10"/>
          <w:rtl/>
        </w:rPr>
      </w:pPr>
    </w:p>
    <w:p w14:paraId="78FB7936" w14:textId="716BE8E2" w:rsidR="00EA2224" w:rsidRPr="00EA2224" w:rsidRDefault="00EA2224" w:rsidP="00EA2224">
      <w:pPr>
        <w:pStyle w:val="H1"/>
      </w:pPr>
      <w:r>
        <w:rPr>
          <w:rtl/>
        </w:rPr>
        <w:tab/>
      </w:r>
      <w:r w:rsidRPr="00EA2224">
        <w:rPr>
          <w:rtl/>
        </w:rPr>
        <w:t>باء</w:t>
      </w:r>
      <w:r>
        <w:rPr>
          <w:rtl/>
        </w:rPr>
        <w:t xml:space="preserve"> -</w:t>
      </w:r>
      <w:r>
        <w:rPr>
          <w:rtl/>
        </w:rPr>
        <w:tab/>
      </w:r>
      <w:r w:rsidRPr="00EA2224">
        <w:rPr>
          <w:rtl/>
        </w:rPr>
        <w:t>الجوانب الإيجابية</w:t>
      </w:r>
    </w:p>
    <w:p w14:paraId="626612F6" w14:textId="0E9D4B50" w:rsidR="00EA2224" w:rsidRPr="00EA2224" w:rsidRDefault="00EA2224" w:rsidP="00EA2224">
      <w:pPr>
        <w:pStyle w:val="SingleTxt"/>
      </w:pPr>
      <w:r w:rsidRPr="00EA2224">
        <w:rPr>
          <w:rtl/>
        </w:rPr>
        <w:t>4</w:t>
      </w:r>
      <w:r>
        <w:rPr>
          <w:rtl/>
        </w:rPr>
        <w:t xml:space="preserve"> -</w:t>
      </w:r>
      <w:r>
        <w:rPr>
          <w:rtl/>
        </w:rPr>
        <w:tab/>
      </w:r>
      <w:r w:rsidRPr="00EA2224">
        <w:rPr>
          <w:rtl/>
        </w:rPr>
        <w:t>ترحب اللجنة بما أحرزته الدولة الطرف من تقدم، منذ النظر في عام 2015 في تقريرها الجامع للتقريرين الدوريين الرابع والخامس (</w:t>
      </w:r>
      <w:hyperlink r:id="rId24" w:history="1">
        <w:r w:rsidRPr="00EA2224">
          <w:rPr>
            <w:rStyle w:val="Hyperlink"/>
            <w:lang w:val="fr-CH"/>
          </w:rPr>
          <w:t>CEDAW/C/NAM/4-5</w:t>
        </w:r>
      </w:hyperlink>
      <w:r w:rsidRPr="00EA2224">
        <w:rPr>
          <w:rtl/>
        </w:rPr>
        <w:t>)، في إجراء الإصلاحات التشريعية، ولا</w:t>
      </w:r>
      <w:r w:rsidR="00E86319">
        <w:rPr>
          <w:rFonts w:hint="cs"/>
          <w:rtl/>
        </w:rPr>
        <w:t> </w:t>
      </w:r>
      <w:r w:rsidRPr="00EA2224">
        <w:rPr>
          <w:rtl/>
        </w:rPr>
        <w:t>سيما اعتمادها ما يلي</w:t>
      </w:r>
      <w:r w:rsidR="008A57F4">
        <w:rPr>
          <w:rFonts w:hint="cs"/>
          <w:rtl/>
        </w:rPr>
        <w:t>:</w:t>
      </w:r>
    </w:p>
    <w:p w14:paraId="00F25B6F" w14:textId="7A0B31A4" w:rsidR="00EA2224" w:rsidRPr="00EA2224" w:rsidRDefault="00EA2224" w:rsidP="00EA2224">
      <w:pPr>
        <w:pStyle w:val="SingleTxt"/>
      </w:pPr>
      <w:r w:rsidRPr="00EA2224">
        <w:rPr>
          <w:lang w:val="fr-CH"/>
        </w:rPr>
        <w:tab/>
      </w:r>
      <w:r w:rsidRPr="00EA2224">
        <w:rPr>
          <w:rtl/>
        </w:rPr>
        <w:t>(أ)</w:t>
      </w:r>
      <w:r w:rsidRPr="00EA2224">
        <w:rPr>
          <w:rtl/>
        </w:rPr>
        <w:tab/>
        <w:t>قانون مكافحة الاتجار بالأشخاص (رقم 1 الصادر في عام 2018</w:t>
      </w:r>
      <w:r w:rsidRPr="00EA2224">
        <w:rPr>
          <w:lang w:val="fr-CH"/>
        </w:rPr>
        <w:t>(</w:t>
      </w:r>
      <w:r w:rsidRPr="00EA2224">
        <w:rPr>
          <w:rtl/>
        </w:rPr>
        <w:t>؛</w:t>
      </w:r>
    </w:p>
    <w:p w14:paraId="6CAA72A9" w14:textId="1A7C4C07" w:rsidR="00EA2224" w:rsidRPr="00EA2224" w:rsidRDefault="00EA2224" w:rsidP="00EA2224">
      <w:pPr>
        <w:pStyle w:val="SingleTxt"/>
      </w:pPr>
      <w:r w:rsidRPr="00EA2224">
        <w:rPr>
          <w:lang w:val="fr-CH"/>
        </w:rPr>
        <w:lastRenderedPageBreak/>
        <w:tab/>
      </w:r>
      <w:r w:rsidRPr="00EA2224">
        <w:rPr>
          <w:rtl/>
        </w:rPr>
        <w:t>(ب)</w:t>
      </w:r>
      <w:r w:rsidRPr="00EA2224">
        <w:rPr>
          <w:rtl/>
        </w:rPr>
        <w:tab/>
        <w:t>قانون المشتريات العامة (رقم 15 الصادر في عام 2015)، الذي دخل حيز التنفيذ في عام 2017 ويوفر معاملة تفضيلية للأعمال التجارية المملوكة للنساء في عمليات الشراء العمومي؛</w:t>
      </w:r>
    </w:p>
    <w:p w14:paraId="61FDA638" w14:textId="2D7D6E4D" w:rsidR="00EA2224" w:rsidRPr="00EA2224" w:rsidRDefault="00EA2224" w:rsidP="00EA2224">
      <w:pPr>
        <w:pStyle w:val="SingleTxt"/>
      </w:pPr>
      <w:r w:rsidRPr="00EA2224">
        <w:rPr>
          <w:lang w:val="fr-CH"/>
        </w:rPr>
        <w:tab/>
      </w:r>
      <w:r w:rsidRPr="00EA2224">
        <w:rPr>
          <w:rtl/>
        </w:rPr>
        <w:t>(ج)</w:t>
      </w:r>
      <w:r w:rsidRPr="00EA2224">
        <w:rPr>
          <w:rtl/>
        </w:rPr>
        <w:tab/>
        <w:t>قانون الحيازة المرنة للأراضي (رقم 4 الصادر في عام 2012) الذي دخل حيز التنفيذ في عام 2018 ويسهل حيازة المرأة للأرض.</w:t>
      </w:r>
    </w:p>
    <w:p w14:paraId="5ADE9C37" w14:textId="21126165" w:rsidR="00EA2224" w:rsidRPr="00EA2224" w:rsidRDefault="00EA2224" w:rsidP="00EA2224">
      <w:pPr>
        <w:pStyle w:val="SingleTxt"/>
      </w:pPr>
      <w:r w:rsidRPr="00EA2224">
        <w:rPr>
          <w:rtl/>
        </w:rPr>
        <w:t>5</w:t>
      </w:r>
      <w:r>
        <w:rPr>
          <w:rtl/>
        </w:rPr>
        <w:t xml:space="preserve"> -</w:t>
      </w:r>
      <w:r>
        <w:rPr>
          <w:rtl/>
        </w:rPr>
        <w:tab/>
      </w:r>
      <w:r w:rsidRPr="00EA2224">
        <w:rPr>
          <w:rtl/>
        </w:rPr>
        <w:t>وترحب اللجنة بالجهود التي تبذلها الدولة الطرف لتحسين إطارها المؤسسي والسياساتي من أجل التعجيل بالقضاء على التمييز ضد المرأة وتعزيز المساواة بين الجنسين، مثل اعتماد أو استحداث ما يلي:</w:t>
      </w:r>
    </w:p>
    <w:p w14:paraId="291BDD12" w14:textId="3FFD5DEF" w:rsidR="00EA2224" w:rsidRPr="00EA2224" w:rsidRDefault="00EA2224" w:rsidP="00EA2224">
      <w:pPr>
        <w:pStyle w:val="SingleTxt"/>
      </w:pPr>
      <w:r w:rsidRPr="00EA2224">
        <w:rPr>
          <w:lang w:val="fr-CH"/>
        </w:rPr>
        <w:tab/>
      </w:r>
      <w:r w:rsidRPr="00EA2224">
        <w:rPr>
          <w:rtl/>
        </w:rPr>
        <w:t>(أ)</w:t>
      </w:r>
      <w:r w:rsidRPr="00EA2224">
        <w:rPr>
          <w:rtl/>
        </w:rPr>
        <w:tab/>
        <w:t>خطة العمل الوطنية بشأن المرأة والسلام والأمن للفترة 2019-2024؛</w:t>
      </w:r>
    </w:p>
    <w:p w14:paraId="2CFCD561" w14:textId="03692E86" w:rsidR="00EA2224" w:rsidRPr="00EA2224" w:rsidRDefault="00EA2224" w:rsidP="00EA2224">
      <w:pPr>
        <w:pStyle w:val="SingleTxt"/>
      </w:pPr>
      <w:r w:rsidRPr="00EA2224">
        <w:rPr>
          <w:lang w:val="fr-CH"/>
        </w:rPr>
        <w:tab/>
      </w:r>
      <w:r w:rsidRPr="00EA2224">
        <w:rPr>
          <w:rtl/>
        </w:rPr>
        <w:t>(ب)</w:t>
      </w:r>
      <w:r w:rsidRPr="00EA2224">
        <w:rPr>
          <w:rtl/>
        </w:rPr>
        <w:tab/>
        <w:t>خطة العمل الوطنية بشأن العنف الجنساني للفترة 2019-2023؛</w:t>
      </w:r>
    </w:p>
    <w:p w14:paraId="7A92BBE8" w14:textId="77777777" w:rsidR="00EA2224" w:rsidRPr="00EA2224" w:rsidRDefault="00EA2224" w:rsidP="00EA2224">
      <w:pPr>
        <w:pStyle w:val="SingleTxt"/>
      </w:pPr>
      <w:r w:rsidRPr="00EA2224">
        <w:rPr>
          <w:lang w:val="fr-CH"/>
        </w:rPr>
        <w:tab/>
      </w:r>
      <w:r w:rsidRPr="00EA2224">
        <w:rPr>
          <w:rtl/>
        </w:rPr>
        <w:t>(ج)</w:t>
      </w:r>
      <w:r w:rsidRPr="00EA2224">
        <w:rPr>
          <w:rtl/>
        </w:rPr>
        <w:tab/>
        <w:t>الأمر المتعلق بأجور العمال المنزليين وما يتصل به من القواعد التنظيمية لعام 2018، الذي يحدد ال</w:t>
      </w:r>
      <w:r w:rsidRPr="00EA2224">
        <w:rPr>
          <w:rtl/>
          <w:lang w:bidi="ar-LB"/>
        </w:rPr>
        <w:t>مستوى</w:t>
      </w:r>
      <w:r w:rsidRPr="00EA2224">
        <w:rPr>
          <w:rtl/>
        </w:rPr>
        <w:t xml:space="preserve"> الأدنى لأجور العمال المنزليين ويلزم أصحاب العمل بتسجيل العمال المنزليين للحصول على منافع الضمان الاجتماعي؛</w:t>
      </w:r>
    </w:p>
    <w:p w14:paraId="6A3FB308" w14:textId="76096B1E" w:rsidR="00EA2224" w:rsidRPr="00EA2224" w:rsidRDefault="00EA2224" w:rsidP="00EA2224">
      <w:pPr>
        <w:pStyle w:val="SingleTxt"/>
      </w:pPr>
      <w:r w:rsidRPr="00EA2224">
        <w:rPr>
          <w:lang w:val="fr-CH"/>
        </w:rPr>
        <w:tab/>
      </w:r>
      <w:r w:rsidRPr="00EA2224">
        <w:rPr>
          <w:rtl/>
        </w:rPr>
        <w:t>(د)</w:t>
      </w:r>
      <w:r w:rsidRPr="00EA2224">
        <w:rPr>
          <w:rtl/>
        </w:rPr>
        <w:tab/>
        <w:t xml:space="preserve">خطة التنمية الوطنية </w:t>
      </w:r>
      <w:r w:rsidRPr="00EA2224">
        <w:rPr>
          <w:rtl/>
          <w:lang w:bidi="ar-LB"/>
        </w:rPr>
        <w:t>الخامسة</w:t>
      </w:r>
      <w:r w:rsidRPr="00EA2224">
        <w:rPr>
          <w:rtl/>
        </w:rPr>
        <w:t xml:space="preserve"> للفترة 2017-2022؛</w:t>
      </w:r>
    </w:p>
    <w:p w14:paraId="28C42E92" w14:textId="031EED71" w:rsidR="00EA2224" w:rsidRPr="00EA2224" w:rsidRDefault="00EA2224" w:rsidP="00EA2224">
      <w:pPr>
        <w:pStyle w:val="SingleTxt"/>
      </w:pPr>
      <w:r w:rsidRPr="00EA2224">
        <w:rPr>
          <w:lang w:val="fr-CH"/>
        </w:rPr>
        <w:tab/>
      </w:r>
      <w:r w:rsidRPr="00EA2224">
        <w:rPr>
          <w:rtl/>
        </w:rPr>
        <w:t>(هـ)</w:t>
      </w:r>
      <w:r w:rsidRPr="00EA2224">
        <w:rPr>
          <w:rtl/>
        </w:rPr>
        <w:tab/>
        <w:t>إدخال التعليم الثانوي المجاني في عام 2016؛</w:t>
      </w:r>
    </w:p>
    <w:p w14:paraId="093B69C3" w14:textId="4137DD8E" w:rsidR="00EA2224" w:rsidRPr="00EA2224" w:rsidRDefault="00EA2224" w:rsidP="00EA2224">
      <w:pPr>
        <w:pStyle w:val="SingleTxt"/>
      </w:pPr>
      <w:r w:rsidRPr="00EA2224">
        <w:rPr>
          <w:lang w:val="fr-CH"/>
        </w:rPr>
        <w:tab/>
      </w:r>
      <w:r w:rsidRPr="00EA2224">
        <w:rPr>
          <w:rtl/>
        </w:rPr>
        <w:t>(و)</w:t>
      </w:r>
      <w:r w:rsidRPr="00EA2224">
        <w:rPr>
          <w:rtl/>
        </w:rPr>
        <w:tab/>
        <w:t>خطة العمل الوطنية لتنفيذ الملاحظات الختامية للجنة على التقرير الجامع للتقريرين الدوريين الرابع والخامس لناميبيا.</w:t>
      </w:r>
      <w:r w:rsidR="00B975EF">
        <w:rPr>
          <w:rFonts w:hint="cs"/>
          <w:rtl/>
        </w:rPr>
        <w:t xml:space="preserve"> </w:t>
      </w:r>
    </w:p>
    <w:p w14:paraId="475525B2" w14:textId="173B5CB7" w:rsidR="00EA2224" w:rsidRPr="00EA2224" w:rsidRDefault="00EA2224" w:rsidP="00EA2224">
      <w:pPr>
        <w:pStyle w:val="SingleTxt"/>
      </w:pPr>
      <w:r w:rsidRPr="00EA2224">
        <w:rPr>
          <w:rtl/>
        </w:rPr>
        <w:t>6</w:t>
      </w:r>
      <w:r>
        <w:rPr>
          <w:rtl/>
        </w:rPr>
        <w:t xml:space="preserve"> -</w:t>
      </w:r>
      <w:r>
        <w:rPr>
          <w:rtl/>
        </w:rPr>
        <w:tab/>
      </w:r>
      <w:r w:rsidRPr="00EA2224">
        <w:rPr>
          <w:rtl/>
          <w:lang w:bidi="ar-LB"/>
        </w:rPr>
        <w:t>و</w:t>
      </w:r>
      <w:r w:rsidRPr="00EA2224">
        <w:rPr>
          <w:rtl/>
        </w:rPr>
        <w:t>ترحب اللجنة بقيام الدولة الطرف، منذ النظر في التقرير الجامع للتقريرين الدوريين الرابع والخامس، بالتصديق في 9 كانون الأول/ديسمبر 2020 على اتفاقيتين لمنظمة العمل الدولية، وهما اتفاقية العمل اللائق للعمال المنزليين، 2011 (رقم 189) والاتفاقية بشأن القضاء على العنف والتحرش في عالم العمل، 2019 (رقم 190).</w:t>
      </w:r>
      <w:r w:rsidR="00B975EF">
        <w:rPr>
          <w:rFonts w:hint="cs"/>
          <w:rtl/>
        </w:rPr>
        <w:t xml:space="preserve"> </w:t>
      </w:r>
    </w:p>
    <w:p w14:paraId="3FC99372" w14:textId="77777777" w:rsidR="00EA2224" w:rsidRPr="00EA2224" w:rsidRDefault="00EA2224" w:rsidP="00EA2224">
      <w:pPr>
        <w:pStyle w:val="SingleTxt"/>
        <w:spacing w:after="0" w:line="120" w:lineRule="exact"/>
        <w:rPr>
          <w:b/>
          <w:bCs/>
          <w:sz w:val="10"/>
          <w:rtl/>
        </w:rPr>
      </w:pPr>
    </w:p>
    <w:p w14:paraId="2893FEEC" w14:textId="332A54D5" w:rsidR="00EA2224" w:rsidRPr="00EA2224" w:rsidRDefault="00EA2224" w:rsidP="00EA2224">
      <w:pPr>
        <w:pStyle w:val="H1"/>
      </w:pPr>
      <w:r>
        <w:rPr>
          <w:rtl/>
        </w:rPr>
        <w:tab/>
      </w:r>
      <w:r w:rsidRPr="00EA2224">
        <w:rPr>
          <w:rtl/>
        </w:rPr>
        <w:t>جيم</w:t>
      </w:r>
      <w:r>
        <w:rPr>
          <w:rtl/>
        </w:rPr>
        <w:t xml:space="preserve"> -</w:t>
      </w:r>
      <w:r>
        <w:rPr>
          <w:rtl/>
        </w:rPr>
        <w:tab/>
      </w:r>
      <w:r w:rsidRPr="00EA2224">
        <w:rPr>
          <w:rtl/>
        </w:rPr>
        <w:t>أهداف التنمية المستدامة</w:t>
      </w:r>
    </w:p>
    <w:p w14:paraId="50A774BB" w14:textId="5B60A0EF" w:rsidR="00EA2224" w:rsidRPr="00EA2224" w:rsidRDefault="00EA2224" w:rsidP="00EA2224">
      <w:pPr>
        <w:pStyle w:val="SingleTxt"/>
        <w:rPr>
          <w:b/>
        </w:rPr>
      </w:pPr>
      <w:r w:rsidRPr="00EA2224">
        <w:rPr>
          <w:b/>
          <w:rtl/>
        </w:rPr>
        <w:t>7</w:t>
      </w:r>
      <w:r w:rsidRPr="00E93E64">
        <w:rPr>
          <w:b/>
          <w:rtl/>
        </w:rPr>
        <w:t xml:space="preserve"> -</w:t>
      </w:r>
      <w:r>
        <w:rPr>
          <w:bCs/>
          <w:rtl/>
        </w:rPr>
        <w:tab/>
      </w:r>
      <w:r w:rsidRPr="00EA2224">
        <w:rPr>
          <w:b/>
          <w:bCs/>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EA2224">
        <w:rPr>
          <w:bCs/>
          <w:rtl/>
        </w:rPr>
        <w:t xml:space="preserve"> </w:t>
      </w:r>
      <w:r w:rsidRPr="00EA2224">
        <w:rPr>
          <w:b/>
          <w:bCs/>
          <w:rtl/>
        </w:rPr>
        <w:t>وتذكّر اللجنة بأهمية الهدف 5 وأهمية تعميم مراعاة مبدأي المساواة وعدم التمييز في جميع الأهداف السبعة عشر.</w:t>
      </w:r>
      <w:r w:rsidRPr="00EA2224">
        <w:rPr>
          <w:bCs/>
          <w:rtl/>
        </w:rPr>
        <w:t xml:space="preserve"> </w:t>
      </w:r>
      <w:r w:rsidRPr="00EA2224">
        <w:rPr>
          <w:b/>
          <w:bCs/>
          <w:rtl/>
        </w:rPr>
        <w:t>وتحث اللجنة الدولة الطرف على الاعتراف بالمرأة بوصفها القوة الدافعة للتنمية المستدامة في الدولة الطرف واعتماد السياسات والاستراتيجيات ذات الصلة تحقيقا لهذا الغرض.</w:t>
      </w:r>
      <w:r w:rsidR="00B975EF">
        <w:rPr>
          <w:rFonts w:hint="cs"/>
          <w:b/>
          <w:bCs/>
          <w:rtl/>
        </w:rPr>
        <w:t xml:space="preserve"> </w:t>
      </w:r>
    </w:p>
    <w:p w14:paraId="340566FD" w14:textId="77777777" w:rsidR="00EA2224" w:rsidRPr="00EA2224" w:rsidRDefault="00EA2224" w:rsidP="00EA2224">
      <w:pPr>
        <w:pStyle w:val="SingleTxt"/>
        <w:spacing w:after="0" w:line="120" w:lineRule="exact"/>
        <w:rPr>
          <w:b/>
          <w:bCs/>
          <w:sz w:val="10"/>
          <w:rtl/>
        </w:rPr>
      </w:pPr>
    </w:p>
    <w:p w14:paraId="43361156" w14:textId="4E4CBF2B" w:rsidR="00EA2224" w:rsidRPr="00EA2224" w:rsidRDefault="00EA2224" w:rsidP="00EA2224">
      <w:pPr>
        <w:pStyle w:val="H1"/>
      </w:pPr>
      <w:r>
        <w:rPr>
          <w:rtl/>
        </w:rPr>
        <w:tab/>
      </w:r>
      <w:r w:rsidRPr="00EA2224">
        <w:rPr>
          <w:rtl/>
        </w:rPr>
        <w:t>دال</w:t>
      </w:r>
      <w:r>
        <w:rPr>
          <w:rtl/>
        </w:rPr>
        <w:t xml:space="preserve"> -</w:t>
      </w:r>
      <w:r>
        <w:rPr>
          <w:rtl/>
        </w:rPr>
        <w:tab/>
      </w:r>
      <w:r w:rsidRPr="00EA2224">
        <w:rPr>
          <w:rtl/>
        </w:rPr>
        <w:t>البرلمان</w:t>
      </w:r>
    </w:p>
    <w:p w14:paraId="0C43DD32" w14:textId="435F0604" w:rsidR="00EA2224" w:rsidRPr="00EA2224" w:rsidRDefault="00EA2224" w:rsidP="00EA2224">
      <w:pPr>
        <w:pStyle w:val="SingleTxt"/>
        <w:rPr>
          <w:b/>
        </w:rPr>
      </w:pPr>
      <w:r w:rsidRPr="00EA2224">
        <w:rPr>
          <w:b/>
          <w:rtl/>
        </w:rPr>
        <w:t>8</w:t>
      </w:r>
      <w:r w:rsidRPr="00E93E64">
        <w:rPr>
          <w:b/>
          <w:rtl/>
        </w:rPr>
        <w:t xml:space="preserve"> -</w:t>
      </w:r>
      <w:r w:rsidRPr="00E93E64">
        <w:rPr>
          <w:b/>
          <w:rtl/>
        </w:rPr>
        <w:tab/>
      </w:r>
      <w:r w:rsidRPr="00EA2224">
        <w:rPr>
          <w:b/>
          <w:bCs/>
          <w:rtl/>
        </w:rPr>
        <w:t xml:space="preserve">تشدد اللجنة على الدور الحاسم للسلطة التشريعية في كفالة تنفيذ الاتفاقية تنفيذا كاملا (انظر </w:t>
      </w:r>
      <w:hyperlink r:id="rId25" w:history="1">
        <w:r w:rsidRPr="00EA2224">
          <w:rPr>
            <w:rStyle w:val="Hyperlink"/>
            <w:b/>
            <w:bCs/>
            <w:lang w:val="fr-CH"/>
          </w:rPr>
          <w:t>A/65/38</w:t>
        </w:r>
      </w:hyperlink>
      <w:r w:rsidRPr="00EA2224">
        <w:rPr>
          <w:b/>
          <w:bCs/>
          <w:rtl/>
        </w:rPr>
        <w:t>، الجزء الثاني، المرفق السادس).</w:t>
      </w:r>
      <w:r w:rsidRPr="00EA2224">
        <w:rPr>
          <w:bCs/>
          <w:rtl/>
        </w:rPr>
        <w:t xml:space="preserve"> </w:t>
      </w:r>
      <w:r w:rsidRPr="00EA2224">
        <w:rPr>
          <w:b/>
          <w:bCs/>
          <w:rtl/>
        </w:rPr>
        <w:t>وتدعو الجمعية الوطنية إلى أن تتخذ، وفقا لولايتها، الخطوات اللازمة في ما يتعلق بتنفيذ هذه الملاحظات الختامية خلال الفترة الممتدة من الوقت الحالي وحتى حلول موعد تقديم التقرير الدوري المقبل في إطار الاتفاقية.</w:t>
      </w:r>
    </w:p>
    <w:p w14:paraId="22898F8C" w14:textId="603B9CB8" w:rsidR="00EA2224" w:rsidRPr="00EA2224" w:rsidRDefault="00EA2224" w:rsidP="00EA2224">
      <w:pPr>
        <w:pStyle w:val="H1"/>
      </w:pPr>
      <w:r>
        <w:rPr>
          <w:rtl/>
        </w:rPr>
        <w:lastRenderedPageBreak/>
        <w:tab/>
      </w:r>
      <w:r w:rsidRPr="00EA2224">
        <w:rPr>
          <w:rtl/>
        </w:rPr>
        <w:t>هاء</w:t>
      </w:r>
      <w:r>
        <w:rPr>
          <w:rtl/>
        </w:rPr>
        <w:t xml:space="preserve"> -</w:t>
      </w:r>
      <w:r>
        <w:rPr>
          <w:rtl/>
        </w:rPr>
        <w:tab/>
      </w:r>
      <w:r w:rsidRPr="00EA2224">
        <w:rPr>
          <w:rtl/>
        </w:rPr>
        <w:t>الشواغل الرئيسية والتوصيات</w:t>
      </w:r>
    </w:p>
    <w:p w14:paraId="1254B32C" w14:textId="77777777" w:rsidR="00EA2224" w:rsidRPr="00EA2224" w:rsidRDefault="00EA2224" w:rsidP="00EA2224">
      <w:pPr>
        <w:pStyle w:val="H23"/>
        <w:ind w:left="1267" w:right="1267" w:hanging="1267"/>
      </w:pPr>
      <w:r w:rsidRPr="00EA2224">
        <w:rPr>
          <w:rtl/>
        </w:rPr>
        <w:tab/>
      </w:r>
      <w:r w:rsidRPr="00EA2224">
        <w:rPr>
          <w:rtl/>
        </w:rPr>
        <w:tab/>
        <w:t>حقوق المرأة والمساواة بين الجنسين في ما يتعلق بالتصدي للجائحة وجهود التعافي منها</w:t>
      </w:r>
    </w:p>
    <w:p w14:paraId="566A5322" w14:textId="2F76AC02" w:rsidR="00EA2224" w:rsidRPr="00EA2224" w:rsidRDefault="00EA2224" w:rsidP="00EA2224">
      <w:pPr>
        <w:pStyle w:val="SingleTxt"/>
      </w:pPr>
      <w:r w:rsidRPr="00EA2224">
        <w:rPr>
          <w:rtl/>
        </w:rPr>
        <w:t>9</w:t>
      </w:r>
      <w:r>
        <w:rPr>
          <w:rtl/>
        </w:rPr>
        <w:t xml:space="preserve"> -</w:t>
      </w:r>
      <w:r>
        <w:rPr>
          <w:rtl/>
        </w:rPr>
        <w:tab/>
      </w:r>
      <w:r w:rsidRPr="00EA2224">
        <w:rPr>
          <w:rtl/>
        </w:rPr>
        <w:t xml:space="preserve">ترحب اللجنة باعتماد الدولة الطرف خطط التصدي للعنف </w:t>
      </w:r>
      <w:proofErr w:type="spellStart"/>
      <w:r w:rsidRPr="00EA2224">
        <w:rPr>
          <w:rtl/>
        </w:rPr>
        <w:t>الجنساني</w:t>
      </w:r>
      <w:proofErr w:type="spellEnd"/>
      <w:r w:rsidRPr="00EA2224">
        <w:rPr>
          <w:rtl/>
        </w:rPr>
        <w:t xml:space="preserve"> ضد النساء والفتيات خلال جائحة مرض فيروس كورونا (كوفيد-19)، ومواصلتها إصدار أوامر الحماية خلال الجائحة (</w:t>
      </w:r>
      <w:hyperlink r:id="rId26" w:history="1">
        <w:r w:rsidRPr="00EA2224">
          <w:rPr>
            <w:rStyle w:val="Hyperlink"/>
            <w:lang w:val="fr-CH"/>
          </w:rPr>
          <w:t>CEDAW/C/NAM/RQ/6</w:t>
        </w:r>
      </w:hyperlink>
      <w:r w:rsidRPr="00EA2224">
        <w:rPr>
          <w:rtl/>
        </w:rPr>
        <w:t>، الفقرتان 4 و 9). بيد أن اللجنة لا تزال تشعر بالقلق لأن المرأة قد تأثرت تأثرا شديدا بالجائحة التي أدت إلى آثار اجتماعية اقتصادية سلبية وإلى ارتفاع معدلات الفقر، بما في ذلك في صفوف النساء العاملات في الاقتصاد غير الرسمي. ويساور اللجنة القلق بوجه خاص إزاء نقص المعلومات عن التدابير المتخذة لضمان ما يلي</w:t>
      </w:r>
      <w:r w:rsidRPr="00EA2224">
        <w:rPr>
          <w:lang w:val="fr-CH"/>
        </w:rPr>
        <w:t>:</w:t>
      </w:r>
    </w:p>
    <w:p w14:paraId="48042960" w14:textId="76B1996C" w:rsidR="00EA2224" w:rsidRPr="00EA2224" w:rsidRDefault="00EA2224" w:rsidP="00EA2224">
      <w:pPr>
        <w:pStyle w:val="SingleTxt"/>
      </w:pPr>
      <w:r w:rsidRPr="00EA2224">
        <w:rPr>
          <w:lang w:val="fr-CH"/>
        </w:rPr>
        <w:tab/>
      </w:r>
      <w:r w:rsidRPr="00EA2224">
        <w:rPr>
          <w:rtl/>
        </w:rPr>
        <w:t>(أ)</w:t>
      </w:r>
      <w:r w:rsidRPr="00EA2224">
        <w:rPr>
          <w:rtl/>
        </w:rPr>
        <w:tab/>
        <w:t xml:space="preserve">أن تستهدف برامج التحفيز الاقتصادي والإغاثة على وجه التحديد الأسر المعيشية والأعمال التجارية التي تقودها المرأة </w:t>
      </w:r>
      <w:r w:rsidRPr="00EA2224">
        <w:rPr>
          <w:rtl/>
          <w:lang w:bidi="ar-LB"/>
        </w:rPr>
        <w:t xml:space="preserve">التي </w:t>
      </w:r>
      <w:r w:rsidRPr="00EA2224">
        <w:rPr>
          <w:rtl/>
        </w:rPr>
        <w:t>تأثرت بشكل غير متناسب بالجائحة (</w:t>
      </w:r>
      <w:hyperlink r:id="rId27" w:history="1">
        <w:r w:rsidRPr="00EA2224">
          <w:rPr>
            <w:rStyle w:val="Hyperlink"/>
            <w:lang w:val="fr-CH"/>
          </w:rPr>
          <w:t>CEDAW/C/</w:t>
        </w:r>
        <w:r w:rsidR="00E86319">
          <w:rPr>
            <w:rStyle w:val="Hyperlink"/>
            <w:lang w:val="fr-CH"/>
          </w:rPr>
          <w:br/>
        </w:r>
        <w:r w:rsidRPr="00EA2224">
          <w:rPr>
            <w:rStyle w:val="Hyperlink"/>
            <w:lang w:val="fr-CH"/>
          </w:rPr>
          <w:t>NAM/RQ/6</w:t>
        </w:r>
      </w:hyperlink>
      <w:r w:rsidRPr="00EA2224">
        <w:rPr>
          <w:rtl/>
        </w:rPr>
        <w:t>، الفقرتان 6 و 7)؛</w:t>
      </w:r>
    </w:p>
    <w:p w14:paraId="62B42289" w14:textId="77777777" w:rsidR="00EA2224" w:rsidRPr="00EA2224" w:rsidRDefault="00EA2224" w:rsidP="00EA2224">
      <w:pPr>
        <w:pStyle w:val="SingleTxt"/>
      </w:pPr>
      <w:r w:rsidRPr="00EA2224">
        <w:rPr>
          <w:lang w:val="fr-CH"/>
        </w:rPr>
        <w:tab/>
      </w:r>
      <w:r w:rsidRPr="00EA2224">
        <w:rPr>
          <w:rtl/>
        </w:rPr>
        <w:t>(ب)</w:t>
      </w:r>
      <w:r w:rsidRPr="00EA2224">
        <w:rPr>
          <w:rtl/>
        </w:rPr>
        <w:tab/>
        <w:t>أن تشارك المرأة في عملية صنع القرار على المستويات الرفيعة بشأن خطط التصدي لجائحة كوفيد-19 والتعافي منها.</w:t>
      </w:r>
    </w:p>
    <w:p w14:paraId="339DD9BB" w14:textId="69204563" w:rsidR="00EA2224" w:rsidRPr="00EA2224" w:rsidRDefault="00EA2224" w:rsidP="00EA2224">
      <w:pPr>
        <w:pStyle w:val="SingleTxt"/>
      </w:pPr>
      <w:r w:rsidRPr="00EA2224">
        <w:rPr>
          <w:rtl/>
        </w:rPr>
        <w:t>10</w:t>
      </w:r>
      <w:r>
        <w:rPr>
          <w:rtl/>
        </w:rPr>
        <w:t xml:space="preserve"> -</w:t>
      </w:r>
      <w:r>
        <w:rPr>
          <w:rtl/>
        </w:rPr>
        <w:tab/>
      </w:r>
      <w:r w:rsidRPr="00EA2224">
        <w:rPr>
          <w:b/>
          <w:bCs/>
          <w:rtl/>
        </w:rPr>
        <w:t>وتمشيا مع المذكرة الإرشادية للجنة بشأن التزامات الدول الأطراف في الاتفاقية في سياق جائحة كوفيد-19 الصادرة في 22 نيسان/أبريل 2020، توصي اللجنة بأن تقوم الدولة الطرف بما يلي:</w:t>
      </w:r>
    </w:p>
    <w:p w14:paraId="49B6AD5B" w14:textId="22F5C969" w:rsidR="00EA2224" w:rsidRPr="00351F0E" w:rsidRDefault="00EA2224" w:rsidP="00351F0E">
      <w:pPr>
        <w:pStyle w:val="SingleTxt"/>
        <w:rPr>
          <w:b/>
          <w:bCs/>
        </w:rPr>
      </w:pPr>
      <w:r w:rsidRPr="00EA2224">
        <w:rPr>
          <w:b/>
          <w:lang w:val="fr-CH"/>
        </w:rPr>
        <w:tab/>
      </w:r>
      <w:r w:rsidRPr="00EA2224">
        <w:rPr>
          <w:b/>
          <w:rtl/>
        </w:rPr>
        <w:t>(أ)</w:t>
      </w:r>
      <w:r w:rsidRPr="00EA2224">
        <w:rPr>
          <w:b/>
          <w:rtl/>
        </w:rPr>
        <w:tab/>
      </w:r>
      <w:r w:rsidRPr="00351F0E">
        <w:rPr>
          <w:b/>
          <w:bCs/>
          <w:rtl/>
        </w:rPr>
        <w:t>ضمان أن تستهدف البرامج والتدابير الرامية إلى التخفيف من الأثر الاجتماعي الاقتصادي للجائحة جميع فئات النساء؛</w:t>
      </w:r>
    </w:p>
    <w:p w14:paraId="00254E69" w14:textId="77777777" w:rsidR="00EA2224" w:rsidRPr="00351F0E" w:rsidRDefault="00EA2224" w:rsidP="00351F0E">
      <w:pPr>
        <w:pStyle w:val="SingleTxt"/>
        <w:rPr>
          <w:b/>
          <w:bCs/>
        </w:rPr>
      </w:pPr>
      <w:r w:rsidRPr="00EA2224">
        <w:rPr>
          <w:lang w:val="fr-CH"/>
        </w:rPr>
        <w:tab/>
      </w:r>
      <w:r w:rsidRPr="00EA2224">
        <w:rPr>
          <w:rtl/>
        </w:rPr>
        <w:t>(ب)</w:t>
      </w:r>
      <w:r w:rsidRPr="00EA2224">
        <w:rPr>
          <w:rtl/>
        </w:rPr>
        <w:tab/>
      </w:r>
      <w:r w:rsidRPr="00351F0E">
        <w:rPr>
          <w:b/>
          <w:bCs/>
          <w:rtl/>
        </w:rPr>
        <w:t>تعزيز وتيسير مشاركة المرأة، بما يشمل نساء الشعوب الأصلية والنساء ذوات الإعاقة، على قدم المساواة مع الرجل في برامج التعافي الوطنية الرسمية للدولة الطرف، وما يتصل بها من عمليات صنع القرار.</w:t>
      </w:r>
    </w:p>
    <w:p w14:paraId="6DB544CC" w14:textId="77777777" w:rsidR="00EA2224" w:rsidRPr="00EA2224" w:rsidRDefault="00EA2224" w:rsidP="00EA2224">
      <w:pPr>
        <w:pStyle w:val="SingleTxt"/>
        <w:spacing w:after="0" w:line="120" w:lineRule="exact"/>
        <w:rPr>
          <w:b/>
          <w:sz w:val="10"/>
          <w:rtl/>
        </w:rPr>
      </w:pPr>
    </w:p>
    <w:p w14:paraId="323DB729" w14:textId="5E1D2A96" w:rsidR="00EA2224" w:rsidRPr="00EA2224" w:rsidRDefault="00EA2224" w:rsidP="00EA2224">
      <w:pPr>
        <w:pStyle w:val="H23"/>
        <w:ind w:left="1267" w:right="1267" w:hanging="1267"/>
      </w:pPr>
      <w:r w:rsidRPr="00EA2224">
        <w:rPr>
          <w:rtl/>
        </w:rPr>
        <w:tab/>
      </w:r>
      <w:r w:rsidRPr="00EA2224">
        <w:rPr>
          <w:rtl/>
        </w:rPr>
        <w:tab/>
        <w:t>التعريف بالاتفاقية وبروتوكولها الاختياري والتوصيات العامة الصادرة عن اللجنة</w:t>
      </w:r>
    </w:p>
    <w:p w14:paraId="04A86F66" w14:textId="4A3C8A20" w:rsidR="00EA2224" w:rsidRPr="00EA2224" w:rsidRDefault="00EA2224" w:rsidP="00EA2224">
      <w:pPr>
        <w:pStyle w:val="SingleTxt"/>
      </w:pPr>
      <w:r w:rsidRPr="00EA2224">
        <w:rPr>
          <w:rtl/>
        </w:rPr>
        <w:t>11</w:t>
      </w:r>
      <w:r>
        <w:rPr>
          <w:rtl/>
        </w:rPr>
        <w:t xml:space="preserve"> -</w:t>
      </w:r>
      <w:r>
        <w:rPr>
          <w:rtl/>
        </w:rPr>
        <w:tab/>
      </w:r>
      <w:r w:rsidRPr="00EA2224">
        <w:rPr>
          <w:rtl/>
        </w:rPr>
        <w:t xml:space="preserve">ترحب اللجنة بالجهود التي تبذلها الدولة الطرف لتوعية النساء بحقوقهن، بطرق منها ترجمة الاتفاقية إلى اللغات المحلية، ونشر الملاحظات الختامية للجنة وتوصياتها العامة على أعضاء البرلمان وعامة الجمهور. </w:t>
      </w:r>
      <w:r w:rsidRPr="00EA2224">
        <w:rPr>
          <w:rtl/>
          <w:lang w:bidi="ar-LB"/>
        </w:rPr>
        <w:t>غير</w:t>
      </w:r>
      <w:r w:rsidRPr="00EA2224">
        <w:rPr>
          <w:rtl/>
        </w:rPr>
        <w:t xml:space="preserve"> أن اللجنة تلاحظ بقلق ما يلي</w:t>
      </w:r>
      <w:r w:rsidRPr="00EA2224">
        <w:rPr>
          <w:lang w:val="fr-CH"/>
        </w:rPr>
        <w:t>:</w:t>
      </w:r>
    </w:p>
    <w:p w14:paraId="4CC65334" w14:textId="77777777" w:rsidR="00EA2224" w:rsidRPr="00EA2224" w:rsidRDefault="00EA2224" w:rsidP="00EA2224">
      <w:pPr>
        <w:pStyle w:val="SingleTxt"/>
      </w:pPr>
      <w:r w:rsidRPr="00EA2224">
        <w:rPr>
          <w:lang w:val="fr-CH"/>
        </w:rPr>
        <w:tab/>
      </w:r>
      <w:r w:rsidRPr="00EA2224">
        <w:rPr>
          <w:rtl/>
        </w:rPr>
        <w:t>(أ)</w:t>
      </w:r>
      <w:r w:rsidRPr="00EA2224">
        <w:rPr>
          <w:rtl/>
        </w:rPr>
        <w:tab/>
        <w:t>عدم توفر معلومات عن برامج بناء قدرات القضاة والمدعين العامين والمحامين؛</w:t>
      </w:r>
    </w:p>
    <w:p w14:paraId="6F72BFBD" w14:textId="0F8BC452" w:rsidR="00EA2224" w:rsidRPr="00EA2224" w:rsidRDefault="00EA2224" w:rsidP="00EA2224">
      <w:pPr>
        <w:pStyle w:val="SingleTxt"/>
      </w:pPr>
      <w:r w:rsidRPr="00EA2224">
        <w:rPr>
          <w:lang w:val="fr-CH"/>
        </w:rPr>
        <w:tab/>
      </w:r>
      <w:r w:rsidRPr="00EA2224">
        <w:rPr>
          <w:rtl/>
        </w:rPr>
        <w:t>(ب)</w:t>
      </w:r>
      <w:r w:rsidRPr="00EA2224">
        <w:rPr>
          <w:rtl/>
        </w:rPr>
        <w:tab/>
        <w:t>أن قاعدة البيانات الوطنية لتتبع تنفيذ توصيات اللجنة وغيرها من الآليات الدولية لحقوق الإنسان لم توضع بعد في صيغتها النهائية.</w:t>
      </w:r>
    </w:p>
    <w:p w14:paraId="2032AB4D" w14:textId="1657B621" w:rsidR="00EA2224" w:rsidRPr="00EA2224" w:rsidRDefault="00EA2224" w:rsidP="00EA2224">
      <w:pPr>
        <w:pStyle w:val="SingleTxt"/>
      </w:pPr>
      <w:r w:rsidRPr="00EA2224">
        <w:rPr>
          <w:rtl/>
        </w:rPr>
        <w:t>12</w:t>
      </w:r>
      <w:r>
        <w:rPr>
          <w:rtl/>
        </w:rPr>
        <w:t xml:space="preserve"> -</w:t>
      </w:r>
      <w:r>
        <w:rPr>
          <w:rtl/>
        </w:rPr>
        <w:tab/>
      </w:r>
      <w:r w:rsidRPr="00EA2224">
        <w:rPr>
          <w:b/>
          <w:bCs/>
          <w:rtl/>
        </w:rPr>
        <w:t>وتشير اللجنة إلى توصياتها السابقة (</w:t>
      </w:r>
      <w:hyperlink r:id="rId28" w:history="1">
        <w:r w:rsidRPr="00EA2224">
          <w:rPr>
            <w:rStyle w:val="Hyperlink"/>
            <w:b/>
            <w:lang w:val="fr-CH"/>
          </w:rPr>
          <w:t>CEDAW/C/NAM/CO/4-5</w:t>
        </w:r>
      </w:hyperlink>
      <w:r w:rsidRPr="00EA2224">
        <w:rPr>
          <w:b/>
          <w:rtl/>
        </w:rPr>
        <w:t xml:space="preserve">، </w:t>
      </w:r>
      <w:r w:rsidRPr="00EA2224">
        <w:rPr>
          <w:b/>
          <w:bCs/>
          <w:rtl/>
        </w:rPr>
        <w:t>الفقرة 9)، وتوصي بأن تقوم الدولة الطرف بما يلي:</w:t>
      </w:r>
      <w:r w:rsidR="00B975EF">
        <w:rPr>
          <w:rFonts w:hint="cs"/>
          <w:b/>
          <w:bCs/>
          <w:rtl/>
        </w:rPr>
        <w:t xml:space="preserve"> </w:t>
      </w:r>
    </w:p>
    <w:p w14:paraId="52E26357" w14:textId="7FF73755" w:rsidR="00EA2224" w:rsidRPr="00EA2224" w:rsidRDefault="00EA2224" w:rsidP="00EA2224">
      <w:pPr>
        <w:pStyle w:val="SingleTxt"/>
        <w:rPr>
          <w:b/>
          <w:bCs/>
        </w:rPr>
      </w:pPr>
      <w:r w:rsidRPr="00EA2224">
        <w:rPr>
          <w:rtl/>
        </w:rPr>
        <w:lastRenderedPageBreak/>
        <w:tab/>
        <w:t>(أ)</w:t>
      </w:r>
      <w:r w:rsidRPr="00E93E64">
        <w:rPr>
          <w:rtl/>
        </w:rPr>
        <w:tab/>
      </w:r>
      <w:r w:rsidRPr="00EA2224">
        <w:rPr>
          <w:b/>
          <w:bCs/>
          <w:rtl/>
        </w:rPr>
        <w:t>القيام بشكل منهجي ببناء قدرات القضاة والمدعين العامين والمحامين والمسؤولين الحكوميين وضباط الشرطة وغيرهم من الموظفين المكلفين بإنفاذ القوانين فيما يتعلق بالاتفاقية وبروتوكولها الاختياري والتوصيات العامة للجنة؛</w:t>
      </w:r>
    </w:p>
    <w:p w14:paraId="5209ED8D" w14:textId="4A12A4E6" w:rsidR="00EA2224" w:rsidRPr="00EA2224" w:rsidRDefault="00EA2224" w:rsidP="00EA2224">
      <w:pPr>
        <w:pStyle w:val="SingleTxt"/>
        <w:rPr>
          <w:b/>
          <w:bCs/>
        </w:rPr>
      </w:pPr>
      <w:r w:rsidRPr="00EA2224">
        <w:rPr>
          <w:lang w:val="fr-CH"/>
        </w:rPr>
        <w:tab/>
      </w:r>
      <w:r w:rsidRPr="00EA2224">
        <w:rPr>
          <w:rtl/>
        </w:rPr>
        <w:t>(ب)</w:t>
      </w:r>
      <w:r w:rsidRPr="00EA2224">
        <w:rPr>
          <w:rtl/>
        </w:rPr>
        <w:tab/>
      </w:r>
      <w:r w:rsidRPr="00EA2224">
        <w:rPr>
          <w:b/>
          <w:bCs/>
          <w:rtl/>
        </w:rPr>
        <w:t>تعزيز الجهود الرامية إلى إنشاء قاعدة بيانات وطنية، تضم بيانات مصنفة حسب نوع الجنس، لتتتبع تنفيذ توصيات اللجنة.</w:t>
      </w:r>
    </w:p>
    <w:p w14:paraId="1E59EFC3" w14:textId="77777777" w:rsidR="00EA2224" w:rsidRPr="00EA2224" w:rsidRDefault="00EA2224" w:rsidP="00EA2224">
      <w:pPr>
        <w:pStyle w:val="SingleTxt"/>
        <w:spacing w:after="0" w:line="120" w:lineRule="exact"/>
        <w:rPr>
          <w:b/>
          <w:sz w:val="10"/>
          <w:rtl/>
        </w:rPr>
      </w:pPr>
    </w:p>
    <w:p w14:paraId="61EB181B" w14:textId="69989A07" w:rsidR="00EA2224" w:rsidRPr="00EA2224" w:rsidRDefault="00EA2224" w:rsidP="00EA2224">
      <w:pPr>
        <w:pStyle w:val="H23"/>
        <w:ind w:left="1267" w:right="1267" w:hanging="1267"/>
      </w:pPr>
      <w:r w:rsidRPr="00EA2224">
        <w:rPr>
          <w:rtl/>
        </w:rPr>
        <w:tab/>
      </w:r>
      <w:r w:rsidRPr="00EA2224">
        <w:rPr>
          <w:rtl/>
        </w:rPr>
        <w:tab/>
        <w:t>المركز القانوني للاتفاقية ومواءمة القوانين</w:t>
      </w:r>
    </w:p>
    <w:p w14:paraId="1308B481" w14:textId="3DF2C710" w:rsidR="00EA2224" w:rsidRPr="00EA2224" w:rsidRDefault="00EA2224" w:rsidP="00EA2224">
      <w:pPr>
        <w:pStyle w:val="SingleTxt"/>
      </w:pPr>
      <w:r w:rsidRPr="00EA2224">
        <w:rPr>
          <w:rtl/>
        </w:rPr>
        <w:t>13</w:t>
      </w:r>
      <w:r>
        <w:rPr>
          <w:rtl/>
        </w:rPr>
        <w:t xml:space="preserve"> -</w:t>
      </w:r>
      <w:r>
        <w:rPr>
          <w:rtl/>
        </w:rPr>
        <w:tab/>
      </w:r>
      <w:r w:rsidRPr="00EA2224">
        <w:rPr>
          <w:rtl/>
        </w:rPr>
        <w:t xml:space="preserve">تلاحظ اللجنة بقلق التأخر في إنجاز التحليل </w:t>
      </w:r>
      <w:proofErr w:type="spellStart"/>
      <w:r w:rsidRPr="00EA2224">
        <w:rPr>
          <w:rtl/>
        </w:rPr>
        <w:t>الجنساني</w:t>
      </w:r>
      <w:proofErr w:type="spellEnd"/>
      <w:r w:rsidRPr="00EA2224">
        <w:rPr>
          <w:rtl/>
        </w:rPr>
        <w:t xml:space="preserve"> لجميع القوانين العرفية الذي تجريه لجنة إصلاح القوانين والتنمية، وفي إلغاء إعلان الإدارة الأهلية (1928) الذي يميز ضد المرأة في الزواج (</w:t>
      </w:r>
      <w:hyperlink r:id="rId29" w:history="1">
        <w:r w:rsidRPr="00EA2224">
          <w:rPr>
            <w:rStyle w:val="Hyperlink"/>
            <w:lang w:val="fr-CH"/>
          </w:rPr>
          <w:t>CEDAW/C/NAM/6</w:t>
        </w:r>
      </w:hyperlink>
      <w:r w:rsidRPr="00EA2224">
        <w:rPr>
          <w:rtl/>
        </w:rPr>
        <w:t>، الفقرتان 37 و 98).</w:t>
      </w:r>
    </w:p>
    <w:p w14:paraId="50017388" w14:textId="4AB29239" w:rsidR="00EA2224" w:rsidRPr="00EA2224" w:rsidRDefault="00EA2224" w:rsidP="00EA2224">
      <w:pPr>
        <w:pStyle w:val="SingleTxt"/>
        <w:rPr>
          <w:b/>
        </w:rPr>
      </w:pPr>
      <w:r w:rsidRPr="00EA2224">
        <w:rPr>
          <w:b/>
          <w:rtl/>
        </w:rPr>
        <w:t>14</w:t>
      </w:r>
      <w:r w:rsidRPr="00E93E64">
        <w:rPr>
          <w:b/>
          <w:rtl/>
        </w:rPr>
        <w:t xml:space="preserve"> -</w:t>
      </w:r>
      <w:r w:rsidRPr="00E93E64">
        <w:rPr>
          <w:b/>
          <w:rtl/>
        </w:rPr>
        <w:tab/>
      </w:r>
      <w:r w:rsidRPr="00EA2224">
        <w:rPr>
          <w:bCs/>
          <w:rtl/>
          <w:lang w:bidi="ar-LB"/>
        </w:rPr>
        <w:t>و</w:t>
      </w:r>
      <w:r w:rsidRPr="00EA2224">
        <w:rPr>
          <w:bCs/>
          <w:rtl/>
        </w:rPr>
        <w:t>توصي اللجنة الدولة الطرف بأن تكفل أولوية القانون التشريعي على القانون العرفي، على النحو المنصوص عليه في الفقرة 1 من المادة 66 من الدستور، وأن تعجل باستعراض جميع القوانين العرفية، وأن تعدل أو تلغي أي قوانين تتعارض مع الاتفاقية.</w:t>
      </w:r>
    </w:p>
    <w:p w14:paraId="400ED9B5" w14:textId="77777777" w:rsidR="00EA2224" w:rsidRPr="00EA2224" w:rsidRDefault="00EA2224" w:rsidP="00EA2224">
      <w:pPr>
        <w:pStyle w:val="SingleTxt"/>
        <w:spacing w:after="0" w:line="120" w:lineRule="exact"/>
        <w:rPr>
          <w:b/>
          <w:sz w:val="10"/>
          <w:rtl/>
        </w:rPr>
      </w:pPr>
    </w:p>
    <w:p w14:paraId="62BA0ADC" w14:textId="7B4FD0EC" w:rsidR="00EA2224" w:rsidRPr="00EA2224" w:rsidRDefault="00EA2224" w:rsidP="00EA2224">
      <w:pPr>
        <w:pStyle w:val="H23"/>
        <w:ind w:left="1267" w:right="1267" w:hanging="1267"/>
      </w:pPr>
      <w:r w:rsidRPr="00EA2224">
        <w:rPr>
          <w:rtl/>
        </w:rPr>
        <w:tab/>
      </w:r>
      <w:r w:rsidRPr="00EA2224">
        <w:rPr>
          <w:rtl/>
        </w:rPr>
        <w:tab/>
        <w:t>تعريف التمييز والإطار التشريعي</w:t>
      </w:r>
    </w:p>
    <w:p w14:paraId="163F8DB0" w14:textId="25CB77B2" w:rsidR="00EA2224" w:rsidRPr="00EA2224" w:rsidRDefault="00EA2224" w:rsidP="00EA2224">
      <w:pPr>
        <w:pStyle w:val="SingleTxt"/>
      </w:pPr>
      <w:r w:rsidRPr="00EA2224">
        <w:rPr>
          <w:rtl/>
        </w:rPr>
        <w:t>15</w:t>
      </w:r>
      <w:r>
        <w:rPr>
          <w:rtl/>
        </w:rPr>
        <w:t xml:space="preserve"> -</w:t>
      </w:r>
      <w:r>
        <w:rPr>
          <w:rtl/>
        </w:rPr>
        <w:tab/>
      </w:r>
      <w:r w:rsidRPr="00EA2224">
        <w:rPr>
          <w:rtl/>
        </w:rPr>
        <w:t xml:space="preserve">تلاحظ اللجنة الجهود التي تبذلها الدولة الطرف لاعتماد وتعديل </w:t>
      </w:r>
      <w:r w:rsidRPr="00EA2224">
        <w:rPr>
          <w:rtl/>
          <w:lang w:bidi="ar-LB"/>
        </w:rPr>
        <w:t>ال</w:t>
      </w:r>
      <w:r w:rsidRPr="00EA2224">
        <w:rPr>
          <w:rtl/>
        </w:rPr>
        <w:t xml:space="preserve">تشريعات التي تؤثر على تمتع المرأة بحقوقها، مثل مشروع تعديل قانون مكافحة الاغتصاب، ومشروع تعديل قانون مكافحة العنف العائلي، ومشروع قانون الزواج، ومشروع قانون الزواج العرفي، ومشروع قانون الطلاق، ومشروع تعديل قانون النفقة، ومشروع القانون الموحد للممتلكات الزوجية، ومشروع قانون </w:t>
      </w:r>
      <w:r w:rsidRPr="00EA2224">
        <w:rPr>
          <w:rtl/>
          <w:lang w:bidi="ar-LB"/>
        </w:rPr>
        <w:t>الإرث بلا وصية</w:t>
      </w:r>
      <w:r w:rsidRPr="00EA2224">
        <w:rPr>
          <w:rtl/>
        </w:rPr>
        <w:t>، ومشروع قانون حظر التعذيب، ومشروع قانون قضاء الأطفال (</w:t>
      </w:r>
      <w:hyperlink r:id="rId30" w:history="1">
        <w:r w:rsidRPr="00EA2224">
          <w:rPr>
            <w:rStyle w:val="Hyperlink"/>
            <w:lang w:val="fr-CH"/>
          </w:rPr>
          <w:t>CEDAW/C/NAM/6</w:t>
        </w:r>
      </w:hyperlink>
      <w:r w:rsidRPr="00EA2224">
        <w:rPr>
          <w:rtl/>
        </w:rPr>
        <w:t>، الفقرات 10-16). وتلاحظ أيضا اعتماد قانون إلغاء القوانين القديمة (رقم 21 الصادر في عام 2018). غير أن اللجنة تلاحظ بقلق ما يلي</w:t>
      </w:r>
      <w:r w:rsidRPr="00EA2224">
        <w:rPr>
          <w:lang w:val="fr-CH"/>
        </w:rPr>
        <w:t>:</w:t>
      </w:r>
    </w:p>
    <w:p w14:paraId="1F2B64C4" w14:textId="77777777" w:rsidR="00EA2224" w:rsidRPr="00EA2224" w:rsidRDefault="00EA2224" w:rsidP="00EA2224">
      <w:pPr>
        <w:pStyle w:val="SingleTxt"/>
      </w:pPr>
      <w:r w:rsidRPr="00EA2224">
        <w:rPr>
          <w:lang w:val="fr-CH"/>
        </w:rPr>
        <w:tab/>
      </w:r>
      <w:r w:rsidRPr="00EA2224">
        <w:rPr>
          <w:rtl/>
        </w:rPr>
        <w:t>(أ)</w:t>
      </w:r>
      <w:r w:rsidRPr="00EA2224">
        <w:rPr>
          <w:rtl/>
        </w:rPr>
        <w:tab/>
        <w:t>عدم وجود جدول زمني لاعتماد مشاريع القوانين المذكورة أعلاه؛</w:t>
      </w:r>
    </w:p>
    <w:p w14:paraId="5EC58626" w14:textId="48CEC070" w:rsidR="00EA2224" w:rsidRPr="00EA2224" w:rsidRDefault="00EA2224" w:rsidP="00EA2224">
      <w:pPr>
        <w:pStyle w:val="SingleTxt"/>
      </w:pPr>
      <w:r w:rsidRPr="00EA2224">
        <w:rPr>
          <w:lang w:val="fr-CH"/>
        </w:rPr>
        <w:tab/>
      </w:r>
      <w:r w:rsidRPr="00EA2224">
        <w:rPr>
          <w:rtl/>
        </w:rPr>
        <w:t>(ب)</w:t>
      </w:r>
      <w:r w:rsidRPr="00EA2224">
        <w:rPr>
          <w:rtl/>
        </w:rPr>
        <w:tab/>
        <w:t>أن المادة 10 من الدستور لا تزال تقدم قائمة محدودة بأسباب التمييز المحظورة، التي لا</w:t>
      </w:r>
      <w:r w:rsidR="00161631">
        <w:rPr>
          <w:rFonts w:hint="cs"/>
          <w:rtl/>
        </w:rPr>
        <w:t> </w:t>
      </w:r>
      <w:r w:rsidRPr="00EA2224">
        <w:rPr>
          <w:rtl/>
        </w:rPr>
        <w:t xml:space="preserve">تشمل التمييز القائم على الوضع العائلي، وعدم وجود تعريف قانوني شامل للتمييز بما يتماشى مع المادة 1 من الاتفاقية. </w:t>
      </w:r>
    </w:p>
    <w:p w14:paraId="5AB83C91" w14:textId="5E0D8A0C" w:rsidR="00EA2224" w:rsidRPr="00EA2224" w:rsidRDefault="00EA2224" w:rsidP="00EA2224">
      <w:pPr>
        <w:pStyle w:val="SingleTxt"/>
        <w:rPr>
          <w:b/>
          <w:bCs/>
        </w:rPr>
      </w:pPr>
      <w:r w:rsidRPr="00EA2224">
        <w:rPr>
          <w:b/>
          <w:rtl/>
        </w:rPr>
        <w:t>16</w:t>
      </w:r>
      <w:r w:rsidRPr="00161631">
        <w:rPr>
          <w:b/>
          <w:rtl/>
        </w:rPr>
        <w:t xml:space="preserve"> -</w:t>
      </w:r>
      <w:r w:rsidRPr="00161631">
        <w:rPr>
          <w:b/>
          <w:rtl/>
        </w:rPr>
        <w:tab/>
      </w:r>
      <w:r w:rsidRPr="00EA2224">
        <w:rPr>
          <w:bCs/>
          <w:rtl/>
        </w:rPr>
        <w:t>و</w:t>
      </w:r>
      <w:r w:rsidRPr="00EA2224">
        <w:rPr>
          <w:b/>
          <w:bCs/>
          <w:rtl/>
        </w:rPr>
        <w:t xml:space="preserve">تشير اللجنة إلى توصيتها العامة رقم </w:t>
      </w:r>
      <w:r w:rsidRPr="00B3546D">
        <w:rPr>
          <w:b/>
          <w:bCs/>
          <w:rtl/>
        </w:rPr>
        <w:t>28 (2010)</w:t>
      </w:r>
      <w:r w:rsidRPr="00EA2224">
        <w:rPr>
          <w:b/>
          <w:bCs/>
          <w:rtl/>
        </w:rPr>
        <w:t xml:space="preserve"> بشأن الالتزامات الأساسية للدول الأطراف بموجب المادة 2 من الاتفاقية، وإلى ملاحظاتها الختامية السابقة (</w:t>
      </w:r>
      <w:hyperlink r:id="rId31" w:history="1">
        <w:r w:rsidRPr="00EA2224">
          <w:rPr>
            <w:rStyle w:val="Hyperlink"/>
            <w:b/>
            <w:lang w:val="fr-CH"/>
          </w:rPr>
          <w:t>CEDAW/C/NAM/CO/4-5</w:t>
        </w:r>
      </w:hyperlink>
      <w:r w:rsidRPr="00EA2224">
        <w:rPr>
          <w:b/>
          <w:rtl/>
        </w:rPr>
        <w:t xml:space="preserve">، </w:t>
      </w:r>
      <w:r w:rsidRPr="00EA2224">
        <w:rPr>
          <w:b/>
          <w:bCs/>
          <w:rtl/>
        </w:rPr>
        <w:t>الفقرة 11)، وتوصي بأن تقوم الدولة الطرف بما يلي:</w:t>
      </w:r>
    </w:p>
    <w:p w14:paraId="68F85B91" w14:textId="77777777" w:rsidR="00EA2224" w:rsidRPr="00EA2224" w:rsidRDefault="00EA2224" w:rsidP="00EA2224">
      <w:pPr>
        <w:pStyle w:val="SingleTxt"/>
        <w:rPr>
          <w:b/>
          <w:bCs/>
        </w:rPr>
      </w:pPr>
      <w:r w:rsidRPr="00EA2224">
        <w:rPr>
          <w:rtl/>
        </w:rPr>
        <w:tab/>
        <w:t>(أ)</w:t>
      </w:r>
      <w:r w:rsidRPr="00EA2224">
        <w:rPr>
          <w:rtl/>
        </w:rPr>
        <w:tab/>
      </w:r>
      <w:r w:rsidRPr="00EA2224">
        <w:rPr>
          <w:bCs/>
          <w:rtl/>
        </w:rPr>
        <w:t>التعجيل باعتماد جميع مشاريع القوانين الرامية إلى ضمان المساواة الرسمية والفعلية بين المرأة والرجل، وإدراج نهج مراع للاعتبارات الجنسانية في جميع التشريعات ذات الصلة؛</w:t>
      </w:r>
    </w:p>
    <w:p w14:paraId="1ADDC22A" w14:textId="44348BDC" w:rsidR="00EA2224" w:rsidRPr="00EA2224" w:rsidRDefault="00EA2224" w:rsidP="00EA2224">
      <w:pPr>
        <w:pStyle w:val="SingleTxt"/>
        <w:rPr>
          <w:b/>
          <w:bCs/>
        </w:rPr>
      </w:pPr>
      <w:r w:rsidRPr="00EA2224">
        <w:rPr>
          <w:lang w:val="fr-CH"/>
        </w:rPr>
        <w:tab/>
      </w:r>
      <w:r w:rsidRPr="00EA2224">
        <w:rPr>
          <w:rtl/>
        </w:rPr>
        <w:t>(ب)</w:t>
      </w:r>
      <w:r w:rsidRPr="00EA2224">
        <w:rPr>
          <w:rtl/>
        </w:rPr>
        <w:tab/>
      </w:r>
      <w:r w:rsidRPr="00EA2224">
        <w:rPr>
          <w:bCs/>
          <w:rtl/>
        </w:rPr>
        <w:t xml:space="preserve">اعتماد تعريف قانوني شامل لحظر جميع أشكال التمييز ضد المرأة يشمل التمييز المباشر وغير المباشر في المجالين العام والخاص، فضلا عن أشكال التمييز المتداخلة، وفقا للمادة 1 من الاتفاقية، إما باعتماد تشريعات ملائمة أخرى وبإدراج </w:t>
      </w:r>
      <w:r w:rsidR="006345D2">
        <w:rPr>
          <w:rFonts w:hint="cs"/>
          <w:bCs/>
          <w:rtl/>
        </w:rPr>
        <w:t>”</w:t>
      </w:r>
      <w:r w:rsidRPr="00EA2224">
        <w:rPr>
          <w:bCs/>
          <w:rtl/>
        </w:rPr>
        <w:t>الأوضاع العائلية وغيرها من الأوضاع</w:t>
      </w:r>
      <w:r w:rsidR="006345D2">
        <w:rPr>
          <w:rFonts w:hint="cs"/>
          <w:bCs/>
          <w:rtl/>
        </w:rPr>
        <w:t>“</w:t>
      </w:r>
      <w:r w:rsidRPr="00EA2224">
        <w:rPr>
          <w:bCs/>
          <w:rtl/>
        </w:rPr>
        <w:t xml:space="preserve"> في المادة 10 من الدستور ضمن أسباب التمييز المحظورة، بما يتماشى مع المادة 1 من الاتفاقية. </w:t>
      </w:r>
    </w:p>
    <w:p w14:paraId="0F06BFB5" w14:textId="77777777" w:rsidR="00EA2224" w:rsidRPr="00EA2224" w:rsidRDefault="00EA2224" w:rsidP="00EA2224">
      <w:pPr>
        <w:pStyle w:val="SingleTxt"/>
        <w:spacing w:after="0" w:line="120" w:lineRule="exact"/>
        <w:rPr>
          <w:b/>
          <w:sz w:val="10"/>
          <w:rtl/>
        </w:rPr>
      </w:pPr>
    </w:p>
    <w:p w14:paraId="486E7BBB" w14:textId="14C2C4DB" w:rsidR="00EA2224" w:rsidRPr="00EA2224" w:rsidRDefault="00EA2224" w:rsidP="00EA2224">
      <w:pPr>
        <w:pStyle w:val="H23"/>
        <w:ind w:left="1267" w:right="1267" w:hanging="1267"/>
      </w:pPr>
      <w:r w:rsidRPr="00EA2224">
        <w:rPr>
          <w:rtl/>
        </w:rPr>
        <w:tab/>
      </w:r>
      <w:r w:rsidRPr="00EA2224">
        <w:rPr>
          <w:rtl/>
        </w:rPr>
        <w:tab/>
        <w:t>إمكانية لجوء المرأة إلى القضاء</w:t>
      </w:r>
    </w:p>
    <w:p w14:paraId="518D90CC" w14:textId="70B3258F" w:rsidR="00EA2224" w:rsidRPr="00EA2224" w:rsidRDefault="00EA2224" w:rsidP="00EA2224">
      <w:pPr>
        <w:pStyle w:val="SingleTxt"/>
      </w:pPr>
      <w:r w:rsidRPr="00EA2224">
        <w:rPr>
          <w:rtl/>
        </w:rPr>
        <w:t>17</w:t>
      </w:r>
      <w:r>
        <w:rPr>
          <w:rtl/>
        </w:rPr>
        <w:t xml:space="preserve"> -</w:t>
      </w:r>
      <w:r>
        <w:rPr>
          <w:rtl/>
        </w:rPr>
        <w:tab/>
      </w:r>
      <w:r w:rsidRPr="00EA2224">
        <w:rPr>
          <w:rtl/>
        </w:rPr>
        <w:t xml:space="preserve">ترحب اللجنة بإنشاء محاكم متخصصة للنظر في قضايا العنف </w:t>
      </w:r>
      <w:proofErr w:type="spellStart"/>
      <w:r w:rsidRPr="00EA2224">
        <w:rPr>
          <w:rtl/>
        </w:rPr>
        <w:t>الجنساني</w:t>
      </w:r>
      <w:proofErr w:type="spellEnd"/>
      <w:r w:rsidRPr="00EA2224">
        <w:rPr>
          <w:rtl/>
        </w:rPr>
        <w:t xml:space="preserve"> (</w:t>
      </w:r>
      <w:hyperlink r:id="rId32" w:history="1">
        <w:r w:rsidRPr="00EA2224">
          <w:rPr>
            <w:rStyle w:val="Hyperlink"/>
            <w:lang w:val="fr-CH"/>
          </w:rPr>
          <w:t>CEDAW/C/NAM/RQ/6</w:t>
        </w:r>
      </w:hyperlink>
      <w:r w:rsidRPr="00EA2224">
        <w:rPr>
          <w:rtl/>
        </w:rPr>
        <w:t>، الفقرة 17). غير أنها تلاحظ بقلق ما يلي</w:t>
      </w:r>
      <w:r w:rsidRPr="00EA2224">
        <w:rPr>
          <w:lang w:val="fr-CH"/>
        </w:rPr>
        <w:t>:</w:t>
      </w:r>
      <w:r w:rsidRPr="00EA2224">
        <w:rPr>
          <w:rtl/>
        </w:rPr>
        <w:t xml:space="preserve"> </w:t>
      </w:r>
    </w:p>
    <w:p w14:paraId="3EF8B01C" w14:textId="23B4D9B0" w:rsidR="00EA2224" w:rsidRPr="00EA2224" w:rsidRDefault="00EA2224" w:rsidP="00EA2224">
      <w:pPr>
        <w:pStyle w:val="SingleTxt"/>
      </w:pPr>
      <w:r w:rsidRPr="00EA2224">
        <w:rPr>
          <w:lang w:val="fr-CH"/>
        </w:rPr>
        <w:tab/>
      </w:r>
      <w:r w:rsidRPr="00EA2224">
        <w:rPr>
          <w:rtl/>
        </w:rPr>
        <w:t>(أ)</w:t>
      </w:r>
      <w:r w:rsidRPr="00EA2224">
        <w:rPr>
          <w:rtl/>
        </w:rPr>
        <w:tab/>
        <w:t>الزيادة غير الكافية في المبلغ المؤهِّل للحصول على المعونة القضائية، بحيث لا يزال يستثنى العديد من النساء ذوات الدخل المتواضع من الأهلية لذلك (</w:t>
      </w:r>
      <w:hyperlink r:id="rId33" w:history="1">
        <w:r w:rsidRPr="00EA2224">
          <w:rPr>
            <w:rStyle w:val="Hyperlink"/>
            <w:lang w:val="fr-CH"/>
          </w:rPr>
          <w:t>CEDAW/C/NAM/RQ/6</w:t>
        </w:r>
      </w:hyperlink>
      <w:r w:rsidRPr="00EA2224">
        <w:rPr>
          <w:rtl/>
        </w:rPr>
        <w:t>، الفقرة</w:t>
      </w:r>
      <w:r w:rsidR="00161631">
        <w:rPr>
          <w:rFonts w:hint="cs"/>
          <w:rtl/>
        </w:rPr>
        <w:t> </w:t>
      </w:r>
      <w:r w:rsidRPr="00EA2224">
        <w:rPr>
          <w:rtl/>
        </w:rPr>
        <w:t>14)؛</w:t>
      </w:r>
      <w:r w:rsidR="00B975EF">
        <w:t xml:space="preserve"> </w:t>
      </w:r>
    </w:p>
    <w:p w14:paraId="6588FF61" w14:textId="6C0FED5B" w:rsidR="00EA2224" w:rsidRPr="00EA2224" w:rsidRDefault="00EA2224" w:rsidP="00EA2224">
      <w:pPr>
        <w:pStyle w:val="SingleTxt"/>
      </w:pPr>
      <w:r w:rsidRPr="00EA2224">
        <w:rPr>
          <w:lang w:val="fr-CH"/>
        </w:rPr>
        <w:tab/>
      </w:r>
      <w:r w:rsidRPr="00EA2224">
        <w:rPr>
          <w:rtl/>
        </w:rPr>
        <w:t>(ب)</w:t>
      </w:r>
      <w:r w:rsidRPr="00EA2224">
        <w:rPr>
          <w:rtl/>
        </w:rPr>
        <w:tab/>
        <w:t>التنفيذ المحدود لـمشروع التغيير الذي يهدف إلى دعم الحصول على المعونة القضائية المجانية (</w:t>
      </w:r>
      <w:hyperlink r:id="rId34" w:history="1">
        <w:r w:rsidRPr="00EA2224">
          <w:rPr>
            <w:rStyle w:val="Hyperlink"/>
            <w:lang w:val="fr-CH"/>
          </w:rPr>
          <w:t>CEDAW/C/NAM/RQ/6</w:t>
        </w:r>
      </w:hyperlink>
      <w:r w:rsidRPr="00EA2224">
        <w:rPr>
          <w:rtl/>
        </w:rPr>
        <w:t>، الفقرة 15) وعدم توفر المعلومات عن التدابير الإضافية المتخذة لزيادة إمكانية لجوء المرأة إلى العدالة، ولا سيما النساء اللواتي يقدمن طلبات الطلاق ويرفعن قضايا العنف الجنساني؛</w:t>
      </w:r>
    </w:p>
    <w:p w14:paraId="53BA2AF1" w14:textId="3A11B3A5" w:rsidR="00EA2224" w:rsidRPr="00EA2224" w:rsidRDefault="00EA2224" w:rsidP="00EA2224">
      <w:pPr>
        <w:pStyle w:val="SingleTxt"/>
      </w:pPr>
      <w:r w:rsidRPr="00EA2224">
        <w:rPr>
          <w:lang w:val="fr-CH"/>
        </w:rPr>
        <w:tab/>
      </w:r>
      <w:r w:rsidRPr="00EA2224">
        <w:rPr>
          <w:rtl/>
        </w:rPr>
        <w:t>(ج)</w:t>
      </w:r>
      <w:r w:rsidRPr="00EA2224">
        <w:rPr>
          <w:rtl/>
        </w:rPr>
        <w:tab/>
        <w:t>أنه على الرغم من أن النساء الريفيات ونساء الشعوب الأصلية يتلقين معلومات عن إمكانية الاستفادة من خطة المعونة القضائية، فإنه لا توجد تدابير محددة لتيسير الوصول إلى آليات الشكاوى القانونية على مستوى المجتمعات المحلية (</w:t>
      </w:r>
      <w:hyperlink r:id="rId35" w:history="1">
        <w:r w:rsidRPr="00EA2224">
          <w:rPr>
            <w:rStyle w:val="Hyperlink"/>
            <w:lang w:val="fr-CH"/>
          </w:rPr>
          <w:t>CEDAW/C/NAM/RQ/6</w:t>
        </w:r>
      </w:hyperlink>
      <w:r w:rsidRPr="00EA2224">
        <w:rPr>
          <w:rtl/>
        </w:rPr>
        <w:t>، الفقرة 16).</w:t>
      </w:r>
    </w:p>
    <w:p w14:paraId="280E3F50" w14:textId="6A7CB376" w:rsidR="00EA2224" w:rsidRPr="00EA2224" w:rsidRDefault="00EA2224" w:rsidP="00EA2224">
      <w:pPr>
        <w:pStyle w:val="SingleTxt"/>
        <w:rPr>
          <w:b/>
          <w:bCs/>
        </w:rPr>
      </w:pPr>
      <w:r w:rsidRPr="00EA2224">
        <w:rPr>
          <w:b/>
          <w:rtl/>
        </w:rPr>
        <w:t>18</w:t>
      </w:r>
      <w:r w:rsidRPr="00161631">
        <w:rPr>
          <w:b/>
          <w:rtl/>
        </w:rPr>
        <w:t xml:space="preserve"> -</w:t>
      </w:r>
      <w:r w:rsidRPr="00161631">
        <w:rPr>
          <w:b/>
          <w:rtl/>
        </w:rPr>
        <w:tab/>
      </w:r>
      <w:r w:rsidRPr="00EA2224">
        <w:rPr>
          <w:b/>
          <w:bCs/>
          <w:rtl/>
        </w:rPr>
        <w:t xml:space="preserve">وتوصي اللجنة، تماشيا مع توصيتها العامة رقم </w:t>
      </w:r>
      <w:r w:rsidRPr="00B3546D">
        <w:rPr>
          <w:b/>
          <w:bCs/>
          <w:rtl/>
        </w:rPr>
        <w:t>33 (2015)</w:t>
      </w:r>
      <w:r w:rsidRPr="00EA2224">
        <w:rPr>
          <w:b/>
          <w:bCs/>
          <w:rtl/>
        </w:rPr>
        <w:t xml:space="preserve"> بشأن إمكانية لجوء المرأة إلى القضاء، بأن تقوم الدولة الطرف بما يلي:</w:t>
      </w:r>
      <w:r w:rsidR="00B975EF">
        <w:rPr>
          <w:rFonts w:hint="cs"/>
          <w:b/>
          <w:bCs/>
          <w:rtl/>
        </w:rPr>
        <w:t xml:space="preserve"> </w:t>
      </w:r>
    </w:p>
    <w:p w14:paraId="459F98C9" w14:textId="0941FC96" w:rsidR="00EA2224" w:rsidRPr="00EA2224" w:rsidRDefault="00EA2224" w:rsidP="00EA2224">
      <w:pPr>
        <w:pStyle w:val="SingleTxt"/>
        <w:rPr>
          <w:b/>
          <w:bCs/>
        </w:rPr>
      </w:pPr>
      <w:r w:rsidRPr="00EA2224">
        <w:rPr>
          <w:lang w:val="fr-CH"/>
        </w:rPr>
        <w:tab/>
      </w:r>
      <w:r w:rsidRPr="00EA2224">
        <w:rPr>
          <w:rtl/>
        </w:rPr>
        <w:t>(أ)</w:t>
      </w:r>
      <w:r w:rsidRPr="00EA2224">
        <w:rPr>
          <w:rtl/>
        </w:rPr>
        <w:tab/>
      </w:r>
      <w:r w:rsidRPr="00EA2224">
        <w:rPr>
          <w:bCs/>
          <w:rtl/>
        </w:rPr>
        <w:t>تمكين النساء اللواتي لا تتوفر لهن الوسائل الكافية للمطالبة بحقوقهن في الإجراءات القانونية في جميع مجالات القانون؛</w:t>
      </w:r>
    </w:p>
    <w:p w14:paraId="16B51DC1" w14:textId="4383BBC4" w:rsidR="00EA2224" w:rsidRPr="00EA2224" w:rsidRDefault="00EA2224" w:rsidP="00EA2224">
      <w:pPr>
        <w:pStyle w:val="SingleTxt"/>
        <w:rPr>
          <w:b/>
          <w:bCs/>
        </w:rPr>
      </w:pPr>
      <w:r w:rsidRPr="00EA2224">
        <w:rPr>
          <w:lang w:val="fr-CH"/>
        </w:rPr>
        <w:tab/>
      </w:r>
      <w:r w:rsidRPr="00EA2224">
        <w:rPr>
          <w:rtl/>
        </w:rPr>
        <w:t>(ب)</w:t>
      </w:r>
      <w:r w:rsidRPr="00EA2224">
        <w:rPr>
          <w:rtl/>
        </w:rPr>
        <w:tab/>
      </w:r>
      <w:r w:rsidRPr="00EA2224">
        <w:rPr>
          <w:bCs/>
          <w:rtl/>
        </w:rPr>
        <w:t xml:space="preserve">الزيادة في تمويل مديرية المعونة القضائية التابعة لوزارة العدل في الدولة الطرف، وفي </w:t>
      </w:r>
      <w:r w:rsidRPr="00EA2224">
        <w:rPr>
          <w:bCs/>
          <w:rtl/>
          <w:lang w:bidi="ar-LB"/>
        </w:rPr>
        <w:t xml:space="preserve">تمويل </w:t>
      </w:r>
      <w:r w:rsidRPr="00EA2224">
        <w:rPr>
          <w:bCs/>
          <w:rtl/>
        </w:rPr>
        <w:t>صندوق المعونة القضائية؛</w:t>
      </w:r>
    </w:p>
    <w:p w14:paraId="3D433A93" w14:textId="2FC72DAA" w:rsidR="00EA2224" w:rsidRPr="00EA2224" w:rsidRDefault="00EA2224" w:rsidP="00EA2224">
      <w:pPr>
        <w:pStyle w:val="SingleTxt"/>
        <w:rPr>
          <w:b/>
          <w:bCs/>
        </w:rPr>
      </w:pPr>
      <w:r w:rsidRPr="00EA2224">
        <w:rPr>
          <w:lang w:val="fr-CH"/>
        </w:rPr>
        <w:tab/>
      </w:r>
      <w:r w:rsidRPr="00EA2224">
        <w:rPr>
          <w:rtl/>
        </w:rPr>
        <w:t>(ج)</w:t>
      </w:r>
      <w:r w:rsidRPr="00EA2224">
        <w:rPr>
          <w:rtl/>
        </w:rPr>
        <w:tab/>
      </w:r>
      <w:r w:rsidRPr="00EA2224">
        <w:rPr>
          <w:bCs/>
          <w:rtl/>
        </w:rPr>
        <w:t>ضمان أن تتاح للنساء، ولا سيما النساء الريفيات ونساء الشعوب الأصلية والنساء اللواتي يقدمن طلبات الطلاق أو يرفعن قضايا العنف الجنساني، إمكانية اللجوء الفعلي إلى القضاء في جميع أنحاء الدولة الطرف.</w:t>
      </w:r>
    </w:p>
    <w:p w14:paraId="64CEDDE2" w14:textId="77777777" w:rsidR="00EA2224" w:rsidRPr="00EA2224" w:rsidRDefault="00EA2224" w:rsidP="00EA2224">
      <w:pPr>
        <w:pStyle w:val="SingleTxt"/>
        <w:spacing w:after="0" w:line="120" w:lineRule="exact"/>
        <w:rPr>
          <w:b/>
          <w:sz w:val="10"/>
          <w:rtl/>
        </w:rPr>
      </w:pPr>
    </w:p>
    <w:p w14:paraId="572ADB7D" w14:textId="75D0C2D2" w:rsidR="00EA2224" w:rsidRPr="00EA2224" w:rsidRDefault="00EA2224" w:rsidP="00EA2224">
      <w:pPr>
        <w:pStyle w:val="H23"/>
        <w:ind w:left="1267" w:right="1267" w:hanging="1267"/>
      </w:pPr>
      <w:r w:rsidRPr="00EA2224">
        <w:rPr>
          <w:rtl/>
        </w:rPr>
        <w:tab/>
      </w:r>
      <w:r w:rsidRPr="00EA2224">
        <w:rPr>
          <w:rtl/>
        </w:rPr>
        <w:tab/>
        <w:t>الجهاز الوطني للنهوض بالمرأة</w:t>
      </w:r>
    </w:p>
    <w:p w14:paraId="22332C32" w14:textId="5A456CFB" w:rsidR="00EA2224" w:rsidRPr="00EA2224" w:rsidRDefault="00EA2224" w:rsidP="00EA2224">
      <w:pPr>
        <w:pStyle w:val="SingleTxt"/>
      </w:pPr>
      <w:r w:rsidRPr="00EA2224">
        <w:rPr>
          <w:rtl/>
        </w:rPr>
        <w:t>19</w:t>
      </w:r>
      <w:r>
        <w:rPr>
          <w:rtl/>
        </w:rPr>
        <w:t xml:space="preserve"> -</w:t>
      </w:r>
      <w:r>
        <w:rPr>
          <w:rtl/>
        </w:rPr>
        <w:tab/>
      </w:r>
      <w:r w:rsidRPr="00EA2224">
        <w:rPr>
          <w:rtl/>
        </w:rPr>
        <w:t>تلاحظ اللجنة بقلق ما يلي:</w:t>
      </w:r>
    </w:p>
    <w:p w14:paraId="20332F37" w14:textId="77777777" w:rsidR="00EA2224" w:rsidRPr="00EA2224" w:rsidRDefault="00EA2224" w:rsidP="00EA2224">
      <w:pPr>
        <w:pStyle w:val="SingleTxt"/>
      </w:pPr>
      <w:r w:rsidRPr="00EA2224">
        <w:rPr>
          <w:lang w:val="fr-CH"/>
        </w:rPr>
        <w:tab/>
      </w:r>
      <w:r w:rsidRPr="00EA2224">
        <w:rPr>
          <w:rtl/>
        </w:rPr>
        <w:t>(أ)</w:t>
      </w:r>
      <w:r w:rsidRPr="00EA2224">
        <w:rPr>
          <w:rtl/>
        </w:rPr>
        <w:tab/>
        <w:t xml:space="preserve">أن السياسة الجنسانية الوطنية (2010-2020) وخطة العمل الوطنية لحقوق الإنسان (2015-2019) لم يتم تجديدهما أو تمديدهما؛ </w:t>
      </w:r>
    </w:p>
    <w:p w14:paraId="66A71B88" w14:textId="77777777" w:rsidR="00EA2224" w:rsidRPr="00EA2224" w:rsidRDefault="00EA2224" w:rsidP="00EA2224">
      <w:pPr>
        <w:pStyle w:val="SingleTxt"/>
      </w:pPr>
      <w:r w:rsidRPr="00EA2224">
        <w:rPr>
          <w:lang w:val="fr-CH"/>
        </w:rPr>
        <w:tab/>
      </w:r>
      <w:r w:rsidRPr="00EA2224">
        <w:rPr>
          <w:rtl/>
        </w:rPr>
        <w:t>(ب)</w:t>
      </w:r>
      <w:r w:rsidRPr="00EA2224">
        <w:rPr>
          <w:rtl/>
        </w:rPr>
        <w:tab/>
        <w:t xml:space="preserve">عدم وجود بيانات مصنفة حسب نوع الجنس تمكن من رصد وتقييم تنفيذ سياسات الدولة الطرف واستراتيجياتها الرامية إلى تعزيز حقوق المرأة على نحو كاف. </w:t>
      </w:r>
    </w:p>
    <w:p w14:paraId="33D82658" w14:textId="3283B9BC" w:rsidR="00EA2224" w:rsidRPr="00EA2224" w:rsidRDefault="00EA2224" w:rsidP="00EA2224">
      <w:pPr>
        <w:pStyle w:val="SingleTxt"/>
      </w:pPr>
      <w:r w:rsidRPr="00EA2224">
        <w:rPr>
          <w:rtl/>
        </w:rPr>
        <w:t>20</w:t>
      </w:r>
      <w:r>
        <w:rPr>
          <w:rtl/>
        </w:rPr>
        <w:t xml:space="preserve"> -</w:t>
      </w:r>
      <w:r>
        <w:rPr>
          <w:rtl/>
        </w:rPr>
        <w:tab/>
      </w:r>
      <w:r w:rsidRPr="00EA2224">
        <w:rPr>
          <w:b/>
          <w:bCs/>
          <w:rtl/>
        </w:rPr>
        <w:t>وتوصي اللجنة بأن تقوم الدولة الطرف بما يلي:</w:t>
      </w:r>
    </w:p>
    <w:p w14:paraId="0643D411" w14:textId="77777777" w:rsidR="00EA2224" w:rsidRPr="00EA2224" w:rsidRDefault="00EA2224" w:rsidP="00EA2224">
      <w:pPr>
        <w:pStyle w:val="SingleTxt"/>
        <w:rPr>
          <w:b/>
          <w:bCs/>
        </w:rPr>
      </w:pPr>
      <w:r w:rsidRPr="00EA2224">
        <w:rPr>
          <w:lang w:val="fr-CH"/>
        </w:rPr>
        <w:lastRenderedPageBreak/>
        <w:tab/>
      </w:r>
      <w:r w:rsidRPr="00EA2224">
        <w:rPr>
          <w:rtl/>
        </w:rPr>
        <w:t>(أ)</w:t>
      </w:r>
      <w:r w:rsidRPr="00EA2224">
        <w:rPr>
          <w:rtl/>
        </w:rPr>
        <w:tab/>
      </w:r>
      <w:r w:rsidRPr="00EA2224">
        <w:rPr>
          <w:b/>
          <w:bCs/>
          <w:rtl/>
        </w:rPr>
        <w:t>التعجيل باعتماد سياسة جنسانية وطنية وخطة عمل وطنية لحقوق الإنسان مستكملتين، وضمان تنفيذهما بفعالية من خلال تخصيص الموارد الكافية وآليات التنسيق على الصعيدين الوطني والمحلي؛</w:t>
      </w:r>
    </w:p>
    <w:p w14:paraId="732B3856" w14:textId="77777777" w:rsidR="00EA2224" w:rsidRPr="00EA2224" w:rsidRDefault="00EA2224" w:rsidP="00EA2224">
      <w:pPr>
        <w:pStyle w:val="SingleTxt"/>
        <w:rPr>
          <w:b/>
          <w:bCs/>
        </w:rPr>
      </w:pPr>
      <w:r w:rsidRPr="00EA2224">
        <w:rPr>
          <w:lang w:val="fr-CH"/>
        </w:rPr>
        <w:tab/>
      </w:r>
      <w:r w:rsidRPr="00EA2224">
        <w:rPr>
          <w:rtl/>
        </w:rPr>
        <w:t>(ب)</w:t>
      </w:r>
      <w:r w:rsidRPr="00EA2224">
        <w:rPr>
          <w:rtl/>
        </w:rPr>
        <w:tab/>
      </w:r>
      <w:r w:rsidRPr="00EA2224">
        <w:rPr>
          <w:b/>
          <w:bCs/>
          <w:rtl/>
        </w:rPr>
        <w:t xml:space="preserve">تحديد مؤشرات لجميع أهداف المساواة بين الجنسين في السياسات والاستراتيجيات الوطنية وتعزيز الجمع المنهجي للبيانات المصنفة حسب نوع الجنس. </w:t>
      </w:r>
    </w:p>
    <w:p w14:paraId="5C2B9848" w14:textId="77777777" w:rsidR="00161631" w:rsidRPr="00161631" w:rsidRDefault="00161631" w:rsidP="00161631">
      <w:pPr>
        <w:pStyle w:val="SingleTxt"/>
        <w:spacing w:after="0" w:line="120" w:lineRule="exact"/>
        <w:rPr>
          <w:b/>
          <w:sz w:val="10"/>
          <w:rtl/>
        </w:rPr>
      </w:pPr>
    </w:p>
    <w:p w14:paraId="5C1D22DE" w14:textId="22FA67BF" w:rsidR="00EA2224" w:rsidRPr="00EA2224" w:rsidRDefault="00EA2224" w:rsidP="00161631">
      <w:pPr>
        <w:pStyle w:val="H23"/>
        <w:ind w:left="1267" w:right="1267" w:hanging="1267"/>
      </w:pPr>
      <w:r w:rsidRPr="00EA2224">
        <w:rPr>
          <w:rtl/>
        </w:rPr>
        <w:tab/>
      </w:r>
      <w:r w:rsidRPr="00EA2224">
        <w:rPr>
          <w:rtl/>
        </w:rPr>
        <w:tab/>
        <w:t>المؤسسة الوطنية لحقوق الإنسان</w:t>
      </w:r>
    </w:p>
    <w:p w14:paraId="64CF8094" w14:textId="00C754EA" w:rsidR="00EA2224" w:rsidRPr="00EA2224" w:rsidRDefault="00EA2224" w:rsidP="00EA2224">
      <w:pPr>
        <w:pStyle w:val="SingleTxt"/>
      </w:pPr>
      <w:r w:rsidRPr="00EA2224">
        <w:rPr>
          <w:rtl/>
        </w:rPr>
        <w:t>21</w:t>
      </w:r>
      <w:r>
        <w:rPr>
          <w:rtl/>
        </w:rPr>
        <w:t xml:space="preserve"> -</w:t>
      </w:r>
      <w:r>
        <w:rPr>
          <w:rtl/>
        </w:rPr>
        <w:tab/>
      </w:r>
      <w:r w:rsidRPr="00EA2224">
        <w:rPr>
          <w:rtl/>
        </w:rPr>
        <w:t>تلاحظ اللجنة أن مكتب أمين المظالم في ناميبيا يفتقر إلى ولاية محددة في مجال حماية وتعزيز حقوق المرأة.</w:t>
      </w:r>
    </w:p>
    <w:p w14:paraId="0784971E" w14:textId="4381B409" w:rsidR="00EA2224" w:rsidRPr="00EA2224" w:rsidRDefault="00EA2224" w:rsidP="00EA2224">
      <w:pPr>
        <w:pStyle w:val="SingleTxt"/>
        <w:rPr>
          <w:b/>
          <w:bCs/>
        </w:rPr>
      </w:pPr>
      <w:r w:rsidRPr="00EA2224">
        <w:rPr>
          <w:b/>
          <w:rtl/>
        </w:rPr>
        <w:t>22</w:t>
      </w:r>
      <w:r w:rsidRPr="00161631">
        <w:rPr>
          <w:b/>
          <w:rtl/>
        </w:rPr>
        <w:t xml:space="preserve"> -</w:t>
      </w:r>
      <w:r w:rsidRPr="00161631">
        <w:rPr>
          <w:b/>
          <w:rtl/>
        </w:rPr>
        <w:tab/>
      </w:r>
      <w:r w:rsidRPr="00EA2224">
        <w:rPr>
          <w:bCs/>
          <w:rtl/>
        </w:rPr>
        <w:t>وتوصي اللجنة الدولة الطرف بأن تفوض إلى مكتب أمين المظالم ولاية محددة لتعزيز وحماية حقوق المرأة ومعالجة الشكاوى المقدمة من النساء والفتيات في إطار إجراءات تكفل السرية وتراعي الاعتبارات الجنسانية.</w:t>
      </w:r>
      <w:r w:rsidR="00B975EF">
        <w:rPr>
          <w:rFonts w:hint="cs"/>
          <w:bCs/>
          <w:rtl/>
        </w:rPr>
        <w:t xml:space="preserve"> </w:t>
      </w:r>
    </w:p>
    <w:p w14:paraId="31B637DF" w14:textId="77777777" w:rsidR="00EA2224" w:rsidRPr="00EA2224" w:rsidRDefault="00EA2224" w:rsidP="00EA2224">
      <w:pPr>
        <w:pStyle w:val="SingleTxt"/>
        <w:spacing w:after="0" w:line="120" w:lineRule="exact"/>
        <w:rPr>
          <w:b/>
          <w:sz w:val="10"/>
          <w:rtl/>
        </w:rPr>
      </w:pPr>
    </w:p>
    <w:p w14:paraId="04A61C37" w14:textId="368A4073" w:rsidR="00EA2224" w:rsidRPr="00EA2224" w:rsidRDefault="00EA2224" w:rsidP="00EA2224">
      <w:pPr>
        <w:pStyle w:val="H23"/>
        <w:ind w:left="1267" w:right="1267" w:hanging="1267"/>
      </w:pPr>
      <w:r w:rsidRPr="00EA2224">
        <w:rPr>
          <w:rtl/>
        </w:rPr>
        <w:tab/>
      </w:r>
      <w:r w:rsidRPr="00EA2224">
        <w:rPr>
          <w:rtl/>
        </w:rPr>
        <w:tab/>
        <w:t>التدابير الخاصة المؤقتة</w:t>
      </w:r>
    </w:p>
    <w:p w14:paraId="739513F0" w14:textId="072F95F9" w:rsidR="00EA2224" w:rsidRPr="00EA2224" w:rsidRDefault="00EA2224" w:rsidP="00EA2224">
      <w:pPr>
        <w:pStyle w:val="SingleTxt"/>
      </w:pPr>
      <w:r w:rsidRPr="00EA2224">
        <w:rPr>
          <w:rtl/>
        </w:rPr>
        <w:t>23</w:t>
      </w:r>
      <w:r>
        <w:rPr>
          <w:rtl/>
        </w:rPr>
        <w:t xml:space="preserve"> -</w:t>
      </w:r>
      <w:r>
        <w:rPr>
          <w:rtl/>
        </w:rPr>
        <w:tab/>
      </w:r>
      <w:r w:rsidRPr="00EA2224">
        <w:rPr>
          <w:rtl/>
        </w:rPr>
        <w:t>ترحب اللجنة بتنفيذ قانون العمل الإيجابي (العمالة) (رقم 29 الصادر في عام 1998) وسياسة العمل الإيجابي بشأن مشاركة المرأة في الحياة العامة، فضلا عن التدابير المتخذة لزيادة تمثيل المرأة في المناصب الإدارية واستحداث نظام لسجل قياس الأداء لزيادة العمل الإيجابي في مكان العمل. غير أن اللجنة تشعر بالقلق إزاء الاستخدام المحدود للتدابير الخاصة المؤقتة في المجالات الأخرى المشمولة بالاتفاقية، حيث تكون فئات النساء ممثلة تمثيلا ناقصا أو محرومة، مثل</w:t>
      </w:r>
      <w:r w:rsidRPr="00EA2224">
        <w:rPr>
          <w:lang w:val="fr-CH"/>
        </w:rPr>
        <w:t>:</w:t>
      </w:r>
    </w:p>
    <w:p w14:paraId="392AD39A" w14:textId="77777777" w:rsidR="00EA2224" w:rsidRPr="00EA2224" w:rsidRDefault="00EA2224" w:rsidP="00EA2224">
      <w:pPr>
        <w:pStyle w:val="SingleTxt"/>
      </w:pPr>
      <w:r w:rsidRPr="00EA2224">
        <w:rPr>
          <w:lang w:val="fr-CH"/>
        </w:rPr>
        <w:tab/>
      </w:r>
      <w:r w:rsidRPr="00EA2224">
        <w:rPr>
          <w:rtl/>
        </w:rPr>
        <w:t>(أ)</w:t>
      </w:r>
      <w:r w:rsidRPr="00EA2224">
        <w:rPr>
          <w:rtl/>
        </w:rPr>
        <w:tab/>
        <w:t xml:space="preserve">مشاركة النساء ذوات الإعاقة في القوة العاملة؛ </w:t>
      </w:r>
    </w:p>
    <w:p w14:paraId="3B0486B3" w14:textId="77777777" w:rsidR="00EA2224" w:rsidRPr="00EA2224" w:rsidRDefault="00EA2224" w:rsidP="00EA2224">
      <w:pPr>
        <w:pStyle w:val="SingleTxt"/>
      </w:pPr>
      <w:r w:rsidRPr="00EA2224">
        <w:rPr>
          <w:lang w:val="fr-CH"/>
        </w:rPr>
        <w:tab/>
      </w:r>
      <w:r w:rsidRPr="00EA2224">
        <w:rPr>
          <w:rtl/>
        </w:rPr>
        <w:t>(ب)</w:t>
      </w:r>
      <w:r w:rsidRPr="00EA2224">
        <w:rPr>
          <w:rtl/>
        </w:rPr>
        <w:tab/>
        <w:t xml:space="preserve">تمثيل نساء الشعوب الأصلية في الحياة السياسية والعامة. </w:t>
      </w:r>
    </w:p>
    <w:p w14:paraId="37B04D01" w14:textId="480AEC9E" w:rsidR="00EA2224" w:rsidRPr="00EA2224" w:rsidRDefault="00EA2224" w:rsidP="00EA2224">
      <w:pPr>
        <w:pStyle w:val="SingleTxt"/>
        <w:rPr>
          <w:b/>
        </w:rPr>
      </w:pPr>
      <w:r w:rsidRPr="00EA2224">
        <w:rPr>
          <w:b/>
          <w:rtl/>
        </w:rPr>
        <w:t>24</w:t>
      </w:r>
      <w:r w:rsidRPr="00161631">
        <w:rPr>
          <w:b/>
          <w:rtl/>
        </w:rPr>
        <w:t xml:space="preserve"> -</w:t>
      </w:r>
      <w:r w:rsidRPr="00161631">
        <w:rPr>
          <w:b/>
          <w:rtl/>
        </w:rPr>
        <w:tab/>
      </w:r>
      <w:r w:rsidRPr="00EA2224">
        <w:rPr>
          <w:b/>
          <w:bCs/>
          <w:rtl/>
        </w:rPr>
        <w:t xml:space="preserve">وتماشيا مع الفقرة 1 من المادة 4 من الاتفاقية والتوصية العامة رقم </w:t>
      </w:r>
      <w:r w:rsidRPr="00E86319">
        <w:rPr>
          <w:b/>
          <w:bCs/>
          <w:rtl/>
        </w:rPr>
        <w:t>25 (2004)</w:t>
      </w:r>
      <w:r w:rsidRPr="00EA2224">
        <w:rPr>
          <w:b/>
          <w:bCs/>
          <w:rtl/>
        </w:rPr>
        <w:t xml:space="preserve"> الصادرة عن اللجنة بشأن التدابير الخاصة المؤقتة، توصي اللجنة بأن تعتمد الدولة الطرف تدابير خاصة مؤقتة، لتعجيل وتيرة تحقيق المساواة الفعلية والقضاء على أشكال التمييز المتداخلة، من قبيل ما يلي</w:t>
      </w:r>
      <w:r w:rsidRPr="00EA2224">
        <w:rPr>
          <w:b/>
          <w:bCs/>
          <w:lang w:val="fr-CH"/>
        </w:rPr>
        <w:t>:</w:t>
      </w:r>
    </w:p>
    <w:p w14:paraId="01870040" w14:textId="77777777" w:rsidR="00EA2224" w:rsidRPr="00EA2224" w:rsidRDefault="00EA2224" w:rsidP="00EA2224">
      <w:pPr>
        <w:pStyle w:val="SingleTxt"/>
        <w:rPr>
          <w:b/>
        </w:rPr>
      </w:pPr>
      <w:r w:rsidRPr="00EA2224">
        <w:rPr>
          <w:b/>
          <w:lang w:val="fr-CH"/>
        </w:rPr>
        <w:tab/>
      </w:r>
      <w:r w:rsidRPr="00EA2224">
        <w:rPr>
          <w:b/>
          <w:rtl/>
        </w:rPr>
        <w:t>(أ)</w:t>
      </w:r>
      <w:r w:rsidRPr="00EA2224">
        <w:rPr>
          <w:b/>
          <w:rtl/>
        </w:rPr>
        <w:tab/>
      </w:r>
      <w:r w:rsidRPr="00EA2224">
        <w:rPr>
          <w:bCs/>
          <w:rtl/>
        </w:rPr>
        <w:t>تطبيق العمل الإيجابي لفائدة النساء ذوات الإعاقة في القوة العاملة، بما في ذلك تحسين إمكانية الوصول إلى الأماكن المادية في أماكن العمل والمرافق التعليمية على حد سواء؛</w:t>
      </w:r>
    </w:p>
    <w:p w14:paraId="33214568" w14:textId="4AB2123A" w:rsidR="00EA2224" w:rsidRPr="00EA2224" w:rsidRDefault="00EA2224" w:rsidP="00EA2224">
      <w:pPr>
        <w:pStyle w:val="SingleTxt"/>
        <w:rPr>
          <w:b/>
        </w:rPr>
      </w:pPr>
      <w:r w:rsidRPr="00EA2224">
        <w:rPr>
          <w:b/>
          <w:lang w:val="fr-CH"/>
        </w:rPr>
        <w:tab/>
      </w:r>
      <w:r w:rsidRPr="00EA2224">
        <w:rPr>
          <w:b/>
          <w:rtl/>
        </w:rPr>
        <w:t>(ب)</w:t>
      </w:r>
      <w:r w:rsidRPr="00EA2224">
        <w:rPr>
          <w:b/>
          <w:rtl/>
        </w:rPr>
        <w:tab/>
      </w:r>
      <w:r w:rsidRPr="00EA2224">
        <w:rPr>
          <w:bCs/>
          <w:rtl/>
        </w:rPr>
        <w:t>حملات التوظيف وآليات الدعم الفني لتشجيع نساء الشعوب الأصلية على الالتحاق بالخدمة العامة.</w:t>
      </w:r>
    </w:p>
    <w:p w14:paraId="115DF02B" w14:textId="77777777" w:rsidR="00EA2224" w:rsidRPr="00EA2224" w:rsidRDefault="00EA2224" w:rsidP="00EA2224">
      <w:pPr>
        <w:pStyle w:val="SingleTxt"/>
        <w:spacing w:after="0" w:line="120" w:lineRule="exact"/>
        <w:rPr>
          <w:b/>
          <w:sz w:val="10"/>
          <w:rtl/>
        </w:rPr>
      </w:pPr>
    </w:p>
    <w:p w14:paraId="1E707C6E" w14:textId="70D75ED4" w:rsidR="00EA2224" w:rsidRPr="00EA2224" w:rsidRDefault="00EA2224" w:rsidP="00EA2224">
      <w:pPr>
        <w:pStyle w:val="H23"/>
        <w:ind w:left="1267" w:right="1267" w:hanging="1267"/>
      </w:pPr>
      <w:r w:rsidRPr="00EA2224">
        <w:rPr>
          <w:rtl/>
        </w:rPr>
        <w:tab/>
      </w:r>
      <w:r w:rsidRPr="00EA2224">
        <w:rPr>
          <w:rtl/>
        </w:rPr>
        <w:tab/>
        <w:t>القوالب النمطية والممارسات الضارة</w:t>
      </w:r>
    </w:p>
    <w:p w14:paraId="5C62382D" w14:textId="5EA5AC2C" w:rsidR="00EA2224" w:rsidRPr="00EA2224" w:rsidRDefault="00EA2224" w:rsidP="00EA2224">
      <w:pPr>
        <w:pStyle w:val="SingleTxt"/>
      </w:pPr>
      <w:r w:rsidRPr="00EA2224">
        <w:rPr>
          <w:rtl/>
        </w:rPr>
        <w:t>25</w:t>
      </w:r>
      <w:r>
        <w:rPr>
          <w:rtl/>
        </w:rPr>
        <w:t xml:space="preserve"> -</w:t>
      </w:r>
      <w:r>
        <w:rPr>
          <w:rtl/>
        </w:rPr>
        <w:tab/>
      </w:r>
      <w:r w:rsidRPr="00EA2224">
        <w:rPr>
          <w:rtl/>
        </w:rPr>
        <w:t>تنوه اللجنة بالجهود التي تبذلها الدولة الطرف للتصدي للقوالب النمطية والممارسات الضارة القائمة على التمييز بين الجنسين، وذلك مثلا عن طريق إجراء دراسة عن زواج الأطفال، فضلا عن تنظيم حملات توعية تستهدف الزعماء التقليديين والرجال والفتيان. غير أنها تلاحظ بقلق ما يلي:</w:t>
      </w:r>
    </w:p>
    <w:p w14:paraId="3F11FEFC" w14:textId="77777777" w:rsidR="00EA2224" w:rsidRPr="00EA2224" w:rsidRDefault="00EA2224" w:rsidP="00EA2224">
      <w:pPr>
        <w:pStyle w:val="SingleTxt"/>
      </w:pPr>
      <w:r w:rsidRPr="00EA2224">
        <w:rPr>
          <w:lang w:val="fr-CH"/>
        </w:rPr>
        <w:lastRenderedPageBreak/>
        <w:tab/>
      </w:r>
      <w:r w:rsidRPr="00EA2224">
        <w:rPr>
          <w:rtl/>
        </w:rPr>
        <w:t>(أ)</w:t>
      </w:r>
      <w:r w:rsidRPr="00EA2224">
        <w:rPr>
          <w:rtl/>
        </w:rPr>
        <w:tab/>
        <w:t>انتشار زواج الأطفال؛</w:t>
      </w:r>
    </w:p>
    <w:p w14:paraId="306FE99B" w14:textId="77777777" w:rsidR="00EA2224" w:rsidRPr="00EA2224" w:rsidRDefault="00EA2224" w:rsidP="00EA2224">
      <w:pPr>
        <w:pStyle w:val="SingleTxt"/>
      </w:pPr>
      <w:r w:rsidRPr="00EA2224">
        <w:rPr>
          <w:lang w:val="fr-CH"/>
        </w:rPr>
        <w:tab/>
      </w:r>
      <w:r w:rsidRPr="00EA2224">
        <w:rPr>
          <w:rtl/>
        </w:rPr>
        <w:t>(ب)</w:t>
      </w:r>
      <w:r w:rsidRPr="00EA2224">
        <w:rPr>
          <w:rtl/>
        </w:rPr>
        <w:tab/>
        <w:t>استمرار القوالب النمطية والممارسات الضارة القائمة على التمييز بين الجنسين، بما في ذلك زواج الأطفال، وزواج السّلفة، وبدء النشاط الجنسي، وتعدد الزوجات في الدولة الطرف.</w:t>
      </w:r>
    </w:p>
    <w:p w14:paraId="5061B3E7" w14:textId="61E4A0B3" w:rsidR="00EA2224" w:rsidRPr="00EA2224" w:rsidRDefault="00EA2224" w:rsidP="00EA2224">
      <w:pPr>
        <w:pStyle w:val="SingleTxt"/>
        <w:rPr>
          <w:b/>
          <w:bCs/>
        </w:rPr>
      </w:pPr>
      <w:r w:rsidRPr="00EA2224">
        <w:rPr>
          <w:b/>
          <w:rtl/>
        </w:rPr>
        <w:t>26</w:t>
      </w:r>
      <w:r w:rsidRPr="000C3869">
        <w:rPr>
          <w:b/>
          <w:rtl/>
        </w:rPr>
        <w:t xml:space="preserve"> -</w:t>
      </w:r>
      <w:r w:rsidRPr="000C3869">
        <w:rPr>
          <w:b/>
          <w:rtl/>
        </w:rPr>
        <w:tab/>
      </w:r>
      <w:r w:rsidRPr="00EA2224">
        <w:rPr>
          <w:b/>
          <w:bCs/>
          <w:rtl/>
        </w:rPr>
        <w:t xml:space="preserve">وتماشيا مع التوصية العامة رقم 31 </w:t>
      </w:r>
      <w:r w:rsidRPr="00EA2224">
        <w:rPr>
          <w:b/>
          <w:bCs/>
          <w:rtl/>
          <w:lang w:bidi="ar-LB"/>
        </w:rPr>
        <w:t>ل</w:t>
      </w:r>
      <w:r w:rsidRPr="00EA2224">
        <w:rPr>
          <w:b/>
          <w:bCs/>
          <w:rtl/>
        </w:rPr>
        <w:t>لجنة المعنية بالقضاء على التمييز ضد المرأة/التعليق العام رقم 18 للجنة حقوق الطفل (2019)، الصادرين بصفة مشتركة، بشأن الممارسات الضارة، توصي اللجنة المعنية بالقضاء على التمييز ضد المرأة بأن تقوم الدولة الطرف بما يلي:</w:t>
      </w:r>
      <w:r w:rsidR="00B975EF">
        <w:rPr>
          <w:rFonts w:hint="cs"/>
          <w:b/>
          <w:bCs/>
          <w:rtl/>
        </w:rPr>
        <w:t xml:space="preserve"> </w:t>
      </w:r>
    </w:p>
    <w:p w14:paraId="4F3F8187" w14:textId="411A430E" w:rsidR="00EA2224" w:rsidRPr="00EA2224" w:rsidRDefault="00EA2224" w:rsidP="00EA2224">
      <w:pPr>
        <w:pStyle w:val="SingleTxt"/>
        <w:rPr>
          <w:b/>
          <w:bCs/>
        </w:rPr>
      </w:pPr>
      <w:r w:rsidRPr="00EA2224">
        <w:rPr>
          <w:b/>
          <w:lang w:val="fr-CH"/>
        </w:rPr>
        <w:tab/>
      </w:r>
      <w:r w:rsidRPr="00EA2224">
        <w:rPr>
          <w:b/>
          <w:rtl/>
        </w:rPr>
        <w:t>(أ)</w:t>
      </w:r>
      <w:r w:rsidRPr="00EA2224">
        <w:rPr>
          <w:b/>
          <w:rtl/>
        </w:rPr>
        <w:tab/>
      </w:r>
      <w:r w:rsidRPr="00EA2224">
        <w:rPr>
          <w:bCs/>
          <w:rtl/>
        </w:rPr>
        <w:t>معالجة الأسباب الجذرية لزواج الأطفال، بطرق منها تنفيذ التوصيات الواردة في الدراسة التي أجرتها عن زواج الأطفال (</w:t>
      </w:r>
      <w:hyperlink r:id="rId36" w:history="1">
        <w:r w:rsidRPr="00EA2224">
          <w:rPr>
            <w:rStyle w:val="Hyperlink"/>
            <w:bCs/>
            <w:lang w:val="fr-CH"/>
          </w:rPr>
          <w:t>CEDAW/C/NAM/RQ/6</w:t>
        </w:r>
      </w:hyperlink>
      <w:r w:rsidRPr="00EA2224">
        <w:rPr>
          <w:bCs/>
          <w:rtl/>
        </w:rPr>
        <w:t>، الفقرة 103)؛</w:t>
      </w:r>
    </w:p>
    <w:p w14:paraId="5259055D" w14:textId="77777777" w:rsidR="00EA2224" w:rsidRPr="00EA2224" w:rsidRDefault="00EA2224" w:rsidP="00EA2224">
      <w:pPr>
        <w:pStyle w:val="SingleTxt"/>
        <w:rPr>
          <w:b/>
          <w:bCs/>
        </w:rPr>
      </w:pPr>
      <w:r w:rsidRPr="00EA2224">
        <w:rPr>
          <w:b/>
          <w:lang w:val="fr-CH"/>
        </w:rPr>
        <w:tab/>
      </w:r>
      <w:r w:rsidRPr="00EA2224">
        <w:rPr>
          <w:b/>
          <w:rtl/>
        </w:rPr>
        <w:t>(ب)</w:t>
      </w:r>
      <w:r w:rsidRPr="00EA2224">
        <w:rPr>
          <w:b/>
          <w:rtl/>
        </w:rPr>
        <w:tab/>
      </w:r>
      <w:r w:rsidRPr="00EA2224">
        <w:rPr>
          <w:bCs/>
          <w:rtl/>
        </w:rPr>
        <w:t xml:space="preserve">الشروع في إجراء دراسة بحثية متعمقة قائمة على المشاركة عن هذه المجتمعات والسياقات التي تستمر فيها الممارسات الضارة، بما في ذلك تعدد الزوجات، وبدء النشاط الجنسي العنيف والاستمالة للقيام بذلك والتطهير، ومواصلة إشراك الزعماء التقليديين والمجتمعات المحلية في التصدي للقوالب النمطية </w:t>
      </w:r>
      <w:r w:rsidRPr="00EA2224">
        <w:rPr>
          <w:b/>
          <w:bCs/>
          <w:rtl/>
        </w:rPr>
        <w:t>الجنسانية</w:t>
      </w:r>
      <w:r w:rsidRPr="00EA2224">
        <w:rPr>
          <w:bCs/>
          <w:rtl/>
        </w:rPr>
        <w:t xml:space="preserve"> والممارسات الضارة من خلال برامج التوعية التي تستهدف بوجه خاص الرجال والفتيان، ووضع استراتيجية وطنية لمنع الممارسات الضارة.</w:t>
      </w:r>
    </w:p>
    <w:p w14:paraId="542CC07F" w14:textId="77777777" w:rsidR="00EA2224" w:rsidRPr="00EA2224" w:rsidRDefault="00EA2224" w:rsidP="00EA2224">
      <w:pPr>
        <w:pStyle w:val="SingleTxt"/>
        <w:spacing w:after="0" w:line="120" w:lineRule="exact"/>
        <w:rPr>
          <w:b/>
          <w:sz w:val="10"/>
          <w:rtl/>
        </w:rPr>
      </w:pPr>
    </w:p>
    <w:p w14:paraId="3C2F9B26" w14:textId="5BD34C8E" w:rsidR="00EA2224" w:rsidRPr="00EA2224" w:rsidRDefault="00EA2224" w:rsidP="00EA2224">
      <w:pPr>
        <w:pStyle w:val="H23"/>
        <w:ind w:left="1267" w:right="1267" w:hanging="1267"/>
      </w:pPr>
      <w:r w:rsidRPr="00EA2224">
        <w:rPr>
          <w:rtl/>
        </w:rPr>
        <w:tab/>
      </w:r>
      <w:r w:rsidRPr="00EA2224">
        <w:rPr>
          <w:rtl/>
        </w:rPr>
        <w:tab/>
        <w:t>العنف الجنساني ضد المرأة</w:t>
      </w:r>
    </w:p>
    <w:p w14:paraId="095FDCE5" w14:textId="278B3998" w:rsidR="00EA2224" w:rsidRPr="00EA2224" w:rsidRDefault="00EA2224" w:rsidP="00EA2224">
      <w:pPr>
        <w:pStyle w:val="SingleTxt"/>
      </w:pPr>
      <w:r w:rsidRPr="00EA2224">
        <w:rPr>
          <w:rtl/>
        </w:rPr>
        <w:t>27</w:t>
      </w:r>
      <w:r>
        <w:rPr>
          <w:rtl/>
        </w:rPr>
        <w:t xml:space="preserve"> -</w:t>
      </w:r>
      <w:r>
        <w:rPr>
          <w:rtl/>
        </w:rPr>
        <w:tab/>
      </w:r>
      <w:r w:rsidRPr="00EA2224">
        <w:rPr>
          <w:rtl/>
        </w:rPr>
        <w:t xml:space="preserve">تلاحظ اللجنة اعتماد وتنفيذ خطة العمل الوطنية بشأن العنف </w:t>
      </w:r>
      <w:proofErr w:type="spellStart"/>
      <w:r w:rsidRPr="00EA2224">
        <w:rPr>
          <w:rtl/>
        </w:rPr>
        <w:t>الجنساني</w:t>
      </w:r>
      <w:proofErr w:type="spellEnd"/>
      <w:r w:rsidRPr="00EA2224">
        <w:rPr>
          <w:rtl/>
        </w:rPr>
        <w:t xml:space="preserve"> للفترة 2019-2023، استنادا إلى التوصيات الواردة في دراسة خط الأساس الوطنية للعنف </w:t>
      </w:r>
      <w:proofErr w:type="spellStart"/>
      <w:r w:rsidRPr="00EA2224">
        <w:rPr>
          <w:rtl/>
        </w:rPr>
        <w:t>الجنساني</w:t>
      </w:r>
      <w:proofErr w:type="spellEnd"/>
      <w:r w:rsidRPr="00EA2224">
        <w:rPr>
          <w:rtl/>
        </w:rPr>
        <w:t xml:space="preserve"> لعام 2017 (</w:t>
      </w:r>
      <w:hyperlink r:id="rId37" w:history="1">
        <w:r w:rsidRPr="00EA2224">
          <w:rPr>
            <w:rStyle w:val="Hyperlink"/>
            <w:lang w:val="fr-CH"/>
          </w:rPr>
          <w:t>CEDAW/C/NAM/6</w:t>
        </w:r>
      </w:hyperlink>
      <w:r w:rsidRPr="00EA2224">
        <w:rPr>
          <w:rtl/>
        </w:rPr>
        <w:t>، الفقرتان 103 و 113). وترحب أيضا بإنشاء وحدات للحماية من العنف الجنساني ومحاكم متخصصة، وبوجود خط اتصال لمساعدة البالغين والأطفال</w:t>
      </w:r>
      <w:r w:rsidR="000C3869">
        <w:rPr>
          <w:rFonts w:hint="cs"/>
          <w:rtl/>
        </w:rPr>
        <w:t xml:space="preserve"> </w:t>
      </w:r>
      <w:r w:rsidRPr="00EA2224">
        <w:rPr>
          <w:rtl/>
        </w:rPr>
        <w:t>في مجال الحماية من العنف الجنساني، وما يتصل بذلك من حملات توعية. غير أنها تلاحظ بقلق ما يلي</w:t>
      </w:r>
      <w:r w:rsidRPr="00EA2224">
        <w:rPr>
          <w:lang w:val="fr-CH"/>
        </w:rPr>
        <w:t>:</w:t>
      </w:r>
    </w:p>
    <w:p w14:paraId="3DA9F9BC" w14:textId="0E0CD722" w:rsidR="00EA2224" w:rsidRPr="00EA2224" w:rsidRDefault="00EA2224" w:rsidP="00EA2224">
      <w:pPr>
        <w:pStyle w:val="SingleTxt"/>
      </w:pPr>
      <w:r w:rsidRPr="00EA2224">
        <w:rPr>
          <w:lang w:val="fr-CH"/>
        </w:rPr>
        <w:tab/>
      </w:r>
      <w:r w:rsidRPr="00EA2224">
        <w:rPr>
          <w:rtl/>
        </w:rPr>
        <w:t>(أ)</w:t>
      </w:r>
      <w:r w:rsidRPr="00EA2224">
        <w:rPr>
          <w:rtl/>
        </w:rPr>
        <w:tab/>
        <w:t>التأخير في اعتماد مشروع تعديل قانون مكافحة الاغتصاب، ومشروع تعديل قانون مكافحة العنف العائلي، ومشروع قانون مكافحة الاستغلال الجنسي، ومشروع قانون مكافحة التحرش؛</w:t>
      </w:r>
    </w:p>
    <w:p w14:paraId="3CDE7225" w14:textId="77777777" w:rsidR="00EA2224" w:rsidRPr="00EA2224" w:rsidRDefault="00EA2224" w:rsidP="00EA2224">
      <w:pPr>
        <w:pStyle w:val="SingleTxt"/>
      </w:pPr>
      <w:r w:rsidRPr="00EA2224">
        <w:rPr>
          <w:lang w:val="fr-CH"/>
        </w:rPr>
        <w:tab/>
      </w:r>
      <w:r w:rsidRPr="00EA2224">
        <w:rPr>
          <w:rtl/>
        </w:rPr>
        <w:t>(ب)</w:t>
      </w:r>
      <w:r w:rsidRPr="00EA2224">
        <w:rPr>
          <w:rtl/>
        </w:rPr>
        <w:tab/>
        <w:t xml:space="preserve"> </w:t>
      </w:r>
      <w:r w:rsidRPr="00EA2224">
        <w:rPr>
          <w:rtl/>
          <w:lang w:bidi="ar-LB"/>
        </w:rPr>
        <w:t xml:space="preserve">ورود </w:t>
      </w:r>
      <w:r w:rsidRPr="00EA2224">
        <w:rPr>
          <w:rtl/>
        </w:rPr>
        <w:t>تقارير عن ارتفاع معدل انتشار عنف العشير وغيره من أشكال العنف الجنساني ضد المرأة، مما يؤدي في بعض الأحيان إلى وفاتها، بما في ذلك الاغتصاب والعنف الجنسي والتحرش الجنسي والعنف العائلي، وتزايد العنف الجنساني ضد المرأة خلال جائحة كوفيد-19، مما أدى إلى احتجاجات عامة في عام 2020؛</w:t>
      </w:r>
    </w:p>
    <w:p w14:paraId="3CCDCEE8" w14:textId="77777777" w:rsidR="00EA2224" w:rsidRPr="00EA2224" w:rsidRDefault="00EA2224" w:rsidP="00EA2224">
      <w:pPr>
        <w:pStyle w:val="SingleTxt"/>
      </w:pPr>
      <w:r w:rsidRPr="00EA2224">
        <w:rPr>
          <w:rtl/>
        </w:rPr>
        <w:tab/>
        <w:t>(ج)</w:t>
      </w:r>
      <w:r w:rsidRPr="00EA2224">
        <w:rPr>
          <w:rtl/>
        </w:rPr>
        <w:tab/>
        <w:t xml:space="preserve">أن دراسة خط الأساس الوطنية للعنف الجنساني لعام 2017 حددت العوامل المتصلة بالعلاقات، مثل علاقات القوة غير المتكافئة، وتعاطي الكحول، وزواج الأطفال، والبطالة، باعتبارها أهم دوافع العنف الجنساني ضد المرأة؛ </w:t>
      </w:r>
    </w:p>
    <w:p w14:paraId="3E876F7A" w14:textId="77777777" w:rsidR="00EA2224" w:rsidRPr="00EA2224" w:rsidRDefault="00EA2224" w:rsidP="00EA2224">
      <w:pPr>
        <w:pStyle w:val="SingleTxt"/>
      </w:pPr>
      <w:r w:rsidRPr="00EA2224">
        <w:rPr>
          <w:rtl/>
        </w:rPr>
        <w:tab/>
        <w:t>(د)</w:t>
      </w:r>
      <w:r w:rsidRPr="00EA2224">
        <w:rPr>
          <w:rtl/>
        </w:rPr>
        <w:tab/>
        <w:t xml:space="preserve">حصول المرأة بشكل محدود، لا سيما النساء والفتيات الريفيات ونساء وفتيات الشعوب الأصلية، على أوامر الحماية والتعويضات والملاجئ والعلاج النفسي الاجتماعي والمشورة. </w:t>
      </w:r>
    </w:p>
    <w:p w14:paraId="6CCC62F3" w14:textId="136A2275" w:rsidR="00EA2224" w:rsidRPr="00EA2224" w:rsidRDefault="00EA2224" w:rsidP="00EA2224">
      <w:pPr>
        <w:pStyle w:val="SingleTxt"/>
        <w:rPr>
          <w:b/>
        </w:rPr>
      </w:pPr>
      <w:r w:rsidRPr="00EA2224">
        <w:rPr>
          <w:b/>
          <w:rtl/>
        </w:rPr>
        <w:t>28</w:t>
      </w:r>
      <w:r w:rsidRPr="000C3869">
        <w:rPr>
          <w:b/>
          <w:rtl/>
        </w:rPr>
        <w:t xml:space="preserve"> -</w:t>
      </w:r>
      <w:r w:rsidRPr="000C3869">
        <w:rPr>
          <w:b/>
          <w:rtl/>
        </w:rPr>
        <w:tab/>
      </w:r>
      <w:r w:rsidRPr="00EA2224">
        <w:rPr>
          <w:bCs/>
          <w:rtl/>
        </w:rPr>
        <w:t>و</w:t>
      </w:r>
      <w:r w:rsidRPr="00EA2224">
        <w:rPr>
          <w:b/>
          <w:bCs/>
          <w:rtl/>
        </w:rPr>
        <w:t xml:space="preserve">تشير اللجنة إلى توصيتها العامة رقم </w:t>
      </w:r>
      <w:r w:rsidRPr="00E86319">
        <w:rPr>
          <w:b/>
          <w:bCs/>
          <w:rtl/>
        </w:rPr>
        <w:t>35 (2017)</w:t>
      </w:r>
      <w:r w:rsidRPr="00EA2224">
        <w:rPr>
          <w:b/>
          <w:bCs/>
          <w:rtl/>
        </w:rPr>
        <w:t xml:space="preserve"> بشأن العنف الجنساني ضد المرأة، الصادرة تحديثاً للتوصية العامة رقم 19، وتوصي الدولة الطرف بأن تقوم بما يلي</w:t>
      </w:r>
      <w:r w:rsidRPr="00EA2224">
        <w:rPr>
          <w:b/>
          <w:bCs/>
          <w:lang w:val="fr-CH"/>
        </w:rPr>
        <w:t>:</w:t>
      </w:r>
    </w:p>
    <w:p w14:paraId="77FCF6FD" w14:textId="58C61B05" w:rsidR="00EA2224" w:rsidRPr="00EA2224" w:rsidRDefault="00EA2224" w:rsidP="00EA2224">
      <w:pPr>
        <w:pStyle w:val="SingleTxt"/>
        <w:rPr>
          <w:b/>
        </w:rPr>
      </w:pPr>
      <w:r w:rsidRPr="00EA2224">
        <w:rPr>
          <w:b/>
          <w:rtl/>
        </w:rPr>
        <w:lastRenderedPageBreak/>
        <w:tab/>
        <w:t>(أ)</w:t>
      </w:r>
      <w:r w:rsidRPr="00EA2224">
        <w:rPr>
          <w:b/>
          <w:rtl/>
        </w:rPr>
        <w:tab/>
      </w:r>
      <w:r w:rsidRPr="00EA2224">
        <w:rPr>
          <w:bCs/>
          <w:rtl/>
        </w:rPr>
        <w:t>القيام، دون إبطاء، باعتماد مشاريع القوانين المعلقة بشأن العنف الجنساني، بما في ذلك بشأن العنف الجنسي؛</w:t>
      </w:r>
    </w:p>
    <w:p w14:paraId="3E9C4BB6" w14:textId="4307855A" w:rsidR="00EA2224" w:rsidRPr="00EA2224" w:rsidRDefault="00EA2224" w:rsidP="00EA2224">
      <w:pPr>
        <w:pStyle w:val="SingleTxt"/>
        <w:rPr>
          <w:b/>
        </w:rPr>
      </w:pPr>
      <w:r w:rsidRPr="00EA2224">
        <w:rPr>
          <w:rtl/>
        </w:rPr>
        <w:tab/>
        <w:t>(ب)</w:t>
      </w:r>
      <w:r w:rsidRPr="00EA2224">
        <w:rPr>
          <w:rtl/>
        </w:rPr>
        <w:tab/>
      </w:r>
      <w:r w:rsidRPr="00EA2224">
        <w:rPr>
          <w:bCs/>
          <w:rtl/>
        </w:rPr>
        <w:t>تنفيذ الإصلاحات التي أعلنتها الدولة الطرف في عام 2020 وتقييم نتائجها، بما في ذلك ما يتعلق بإنشاء سجل لمرتكبي الجرائم الجنسية، واستعراض الأحكام الصادرة بحق مرتكبي الجرائم الجنسية، وإدخال تعديلات على التشريعات الوطنية تنص على المقاضاة التلقائية في حالة سحب الشكاوى المتعلقة بالعنف الجنساني، وإنشاء وحدات للحماية من العنف الجنساني على مدار الساعة طوال أيام الأسبوع، ونشر وحدات نائية ومتنقلة لتيسير الإبلاغ، وزيادة تخصيص الموارد لوكالات إنفاذ القانون، وإدراج منع العنف الجنساني في المناهج الدراسية على جميع مستويات التعليم؛</w:t>
      </w:r>
    </w:p>
    <w:p w14:paraId="0D114C14" w14:textId="232D36F7" w:rsidR="00EA2224" w:rsidRPr="00EA2224" w:rsidRDefault="00EA2224" w:rsidP="00EA2224">
      <w:pPr>
        <w:pStyle w:val="SingleTxt"/>
        <w:rPr>
          <w:b/>
        </w:rPr>
      </w:pPr>
      <w:r w:rsidRPr="00EA2224">
        <w:rPr>
          <w:rtl/>
        </w:rPr>
        <w:tab/>
        <w:t>(ج)</w:t>
      </w:r>
      <w:r w:rsidRPr="00EA2224">
        <w:rPr>
          <w:rtl/>
        </w:rPr>
        <w:tab/>
      </w:r>
      <w:r w:rsidRPr="00EA2224">
        <w:rPr>
          <w:bCs/>
          <w:rtl/>
        </w:rPr>
        <w:t xml:space="preserve">تعزيز أفرقة الدعم المجتمعي، وبرامج إشراك الذكور </w:t>
      </w:r>
      <w:r w:rsidRPr="00E86319">
        <w:rPr>
          <w:b/>
          <w:rtl/>
        </w:rPr>
        <w:t>(</w:t>
      </w:r>
      <w:hyperlink r:id="rId38" w:history="1">
        <w:r w:rsidRPr="00E86319">
          <w:rPr>
            <w:rStyle w:val="Hyperlink"/>
            <w:b/>
            <w:lang w:val="fr-CH"/>
          </w:rPr>
          <w:t>CEDAW/C/NAM/6</w:t>
        </w:r>
      </w:hyperlink>
      <w:r w:rsidRPr="00E86319">
        <w:rPr>
          <w:b/>
          <w:rtl/>
        </w:rPr>
        <w:t xml:space="preserve">، </w:t>
      </w:r>
      <w:r w:rsidRPr="00EA2224">
        <w:rPr>
          <w:bCs/>
          <w:rtl/>
        </w:rPr>
        <w:t xml:space="preserve">الفقرتان 114 و 115) وبرامج التوعية، مثل الحملة الوطنية لعدم التسامح </w:t>
      </w:r>
      <w:r w:rsidRPr="00EA2224">
        <w:rPr>
          <w:bCs/>
          <w:rtl/>
          <w:lang w:bidi="ar-LB"/>
        </w:rPr>
        <w:t>إ</w:t>
      </w:r>
      <w:r w:rsidRPr="00EA2224">
        <w:rPr>
          <w:bCs/>
          <w:rtl/>
        </w:rPr>
        <w:t xml:space="preserve">طلاقا بعنوان </w:t>
      </w:r>
      <w:r w:rsidR="006345D2">
        <w:rPr>
          <w:rFonts w:hint="cs"/>
          <w:bCs/>
          <w:rtl/>
        </w:rPr>
        <w:t>”</w:t>
      </w:r>
      <w:r w:rsidRPr="00EA2224">
        <w:rPr>
          <w:bCs/>
          <w:rtl/>
        </w:rPr>
        <w:t>الحب هو</w:t>
      </w:r>
      <w:r w:rsidR="006345D2">
        <w:rPr>
          <w:rFonts w:hint="cs"/>
          <w:bCs/>
          <w:rtl/>
        </w:rPr>
        <w:t>“</w:t>
      </w:r>
      <w:r w:rsidRPr="00EA2224">
        <w:rPr>
          <w:bCs/>
          <w:rtl/>
        </w:rPr>
        <w:t xml:space="preserve"> </w:t>
      </w:r>
      <w:r w:rsidRPr="00E86319">
        <w:rPr>
          <w:b/>
          <w:rtl/>
          <w:lang w:bidi="ar-LB"/>
        </w:rPr>
        <w:t>(</w:t>
      </w:r>
      <w:r w:rsidRPr="00E86319">
        <w:rPr>
          <w:rFonts w:ascii="Simplified Arabic" w:hAnsi="Simplified Arabic"/>
          <w:b/>
        </w:rPr>
        <w:t>“</w:t>
      </w:r>
      <w:r w:rsidRPr="00E86319">
        <w:rPr>
          <w:b/>
        </w:rPr>
        <w:t>Love is</w:t>
      </w:r>
      <w:r w:rsidRPr="00E86319">
        <w:rPr>
          <w:rFonts w:ascii="Simplified Arabic" w:hAnsi="Simplified Arabic"/>
          <w:b/>
        </w:rPr>
        <w:t>”</w:t>
      </w:r>
      <w:r w:rsidRPr="00E86319">
        <w:rPr>
          <w:b/>
          <w:rtl/>
          <w:lang w:bidi="ar-LB"/>
        </w:rPr>
        <w:t>)</w:t>
      </w:r>
      <w:r w:rsidRPr="00EA2224">
        <w:rPr>
          <w:bCs/>
          <w:rtl/>
        </w:rPr>
        <w:t xml:space="preserve"> (2015)، ومواصلة بناء قدرات العاملين في مجال الرعاية الصحية وضباط الشرطة والمهنيين في الجهاز القضائي ومنظمات المجتمع المدني في مجالات منع حالات العنف الجنساني والتصدي لها ودعم الضحايا وحماية الشهود؛</w:t>
      </w:r>
    </w:p>
    <w:p w14:paraId="6BA04F43" w14:textId="1293B52D" w:rsidR="00EA2224" w:rsidRPr="00EA2224" w:rsidRDefault="00EA2224" w:rsidP="00EA2224">
      <w:pPr>
        <w:pStyle w:val="SingleTxt"/>
        <w:rPr>
          <w:b/>
          <w:bCs/>
        </w:rPr>
      </w:pPr>
      <w:r w:rsidRPr="00EA2224">
        <w:rPr>
          <w:rtl/>
        </w:rPr>
        <w:tab/>
        <w:t>(د)</w:t>
      </w:r>
      <w:r w:rsidRPr="00EA2224">
        <w:rPr>
          <w:rtl/>
        </w:rPr>
        <w:tab/>
      </w:r>
      <w:r w:rsidRPr="00EA2224">
        <w:rPr>
          <w:b/>
          <w:bCs/>
          <w:rtl/>
        </w:rPr>
        <w:t>ضمان وجود ضباط الشرطة المدربين على التصدي للعنف الجنساني في كل مركز شرطة، وضمان حصول النساء والفتيات ضحايا العنف الجنساني بشكل فعال على أوامر الحماية والتعويضات والملاجئ والعلاج النفسي الاجتماعي والمشورة في جميع أنحاء الدولة الطرف.</w:t>
      </w:r>
    </w:p>
    <w:p w14:paraId="1368B5FA" w14:textId="77777777" w:rsidR="00EA2224" w:rsidRPr="00EA2224" w:rsidRDefault="00EA2224" w:rsidP="00EA2224">
      <w:pPr>
        <w:pStyle w:val="SingleTxt"/>
        <w:spacing w:after="0" w:line="120" w:lineRule="exact"/>
        <w:rPr>
          <w:b/>
          <w:sz w:val="10"/>
          <w:rtl/>
        </w:rPr>
      </w:pPr>
    </w:p>
    <w:p w14:paraId="000DBFCB" w14:textId="04F44DD2" w:rsidR="00EA2224" w:rsidRPr="00EA2224" w:rsidRDefault="00EA2224" w:rsidP="00EA2224">
      <w:pPr>
        <w:pStyle w:val="H23"/>
        <w:ind w:left="1267" w:right="1267" w:hanging="1267"/>
      </w:pPr>
      <w:r w:rsidRPr="00EA2224">
        <w:rPr>
          <w:rtl/>
        </w:rPr>
        <w:tab/>
      </w:r>
      <w:r w:rsidRPr="00EA2224">
        <w:rPr>
          <w:rtl/>
        </w:rPr>
        <w:tab/>
        <w:t>الاتجار بالنساء واستغلالهن في البغاء</w:t>
      </w:r>
    </w:p>
    <w:p w14:paraId="2A838B5D" w14:textId="18A264CB" w:rsidR="00EA2224" w:rsidRPr="00EA2224" w:rsidRDefault="00EA2224" w:rsidP="00EA2224">
      <w:pPr>
        <w:pStyle w:val="SingleTxt"/>
      </w:pPr>
      <w:r w:rsidRPr="00EA2224">
        <w:rPr>
          <w:rtl/>
        </w:rPr>
        <w:t>29</w:t>
      </w:r>
      <w:r>
        <w:rPr>
          <w:rtl/>
        </w:rPr>
        <w:t xml:space="preserve"> -</w:t>
      </w:r>
      <w:r>
        <w:rPr>
          <w:rtl/>
        </w:rPr>
        <w:tab/>
      </w:r>
      <w:r w:rsidRPr="00EA2224">
        <w:rPr>
          <w:rtl/>
        </w:rPr>
        <w:t>تلاحظ اللجنة اعتماد قانون مكافحة الاتجار بالأشخاص (رقم 1 الصادر في عام 2018)، ودراسة خط الأساس بشأن الاتجار بالأشخاص (</w:t>
      </w:r>
      <w:hyperlink r:id="rId39" w:history="1">
        <w:r w:rsidRPr="00EA2224">
          <w:rPr>
            <w:rStyle w:val="Hyperlink"/>
            <w:lang w:val="fr-CH"/>
          </w:rPr>
          <w:t>CEDAW/C/NAM/6</w:t>
        </w:r>
      </w:hyperlink>
      <w:r w:rsidRPr="00EA2224">
        <w:rPr>
          <w:rtl/>
        </w:rPr>
        <w:t>، الفقرة 118)، وحملات التوعية التي تقوم بها شعبة التحقيقات في الجرائم البارزة التابعة للشرطة الناميبية. ومع ذلك، تشعر اللجنة بالقلق حيال ما</w:t>
      </w:r>
      <w:r w:rsidR="000C3869">
        <w:rPr>
          <w:rFonts w:hint="cs"/>
          <w:rtl/>
        </w:rPr>
        <w:t> </w:t>
      </w:r>
      <w:r w:rsidRPr="00EA2224">
        <w:rPr>
          <w:rtl/>
        </w:rPr>
        <w:t>يلي:</w:t>
      </w:r>
    </w:p>
    <w:p w14:paraId="1386469B" w14:textId="15743118" w:rsidR="00EA2224" w:rsidRPr="00EA2224" w:rsidRDefault="00EA2224" w:rsidP="00EA2224">
      <w:pPr>
        <w:pStyle w:val="SingleTxt"/>
        <w:rPr>
          <w:spacing w:val="-2"/>
        </w:rPr>
      </w:pPr>
      <w:r w:rsidRPr="00EA2224">
        <w:rPr>
          <w:spacing w:val="-2"/>
          <w:rtl/>
        </w:rPr>
        <w:tab/>
        <w:t>(أ)</w:t>
      </w:r>
      <w:r w:rsidRPr="00EA2224">
        <w:rPr>
          <w:spacing w:val="-2"/>
          <w:rtl/>
        </w:rPr>
        <w:tab/>
        <w:t>ورود تقارير عن الاتجار بالنساء والفتيات انطلاقا من الدولة الطرف وفي اتجاهها وعبرها؛</w:t>
      </w:r>
    </w:p>
    <w:p w14:paraId="214F64EE" w14:textId="77777777" w:rsidR="00EA2224" w:rsidRPr="00EA2224" w:rsidRDefault="00EA2224" w:rsidP="00EA2224">
      <w:pPr>
        <w:pStyle w:val="SingleTxt"/>
      </w:pPr>
      <w:r w:rsidRPr="00EA2224">
        <w:rPr>
          <w:rtl/>
        </w:rPr>
        <w:tab/>
        <w:t>(ب)</w:t>
      </w:r>
      <w:r w:rsidRPr="00EA2224">
        <w:rPr>
          <w:rtl/>
        </w:rPr>
        <w:tab/>
        <w:t>نقص الإبلاغ عن حالات الاتجار بالنساء والفتيات ومعدلات المقاضاة المنخفضة في هذا الشأن؛</w:t>
      </w:r>
    </w:p>
    <w:p w14:paraId="7DDFAFE9" w14:textId="77777777" w:rsidR="00EA2224" w:rsidRPr="00EA2224" w:rsidRDefault="00EA2224" w:rsidP="00EA2224">
      <w:pPr>
        <w:pStyle w:val="SingleTxt"/>
      </w:pPr>
      <w:r w:rsidRPr="00EA2224">
        <w:rPr>
          <w:rtl/>
        </w:rPr>
        <w:tab/>
        <w:t>(ج)</w:t>
      </w:r>
      <w:r w:rsidRPr="00EA2224">
        <w:rPr>
          <w:rtl/>
        </w:rPr>
        <w:tab/>
        <w:t>عدم دعم الضحايا والافتقار إلى الملاجئ المتاحة للنساء والفتيات ضحايا الاتجار؛</w:t>
      </w:r>
    </w:p>
    <w:p w14:paraId="096C795B" w14:textId="77777777" w:rsidR="00EA2224" w:rsidRPr="00EA2224" w:rsidRDefault="00EA2224" w:rsidP="00351F0E">
      <w:pPr>
        <w:pStyle w:val="SingleTxt"/>
      </w:pPr>
      <w:r w:rsidRPr="00EA2224">
        <w:rPr>
          <w:rtl/>
        </w:rPr>
        <w:tab/>
        <w:t>(د)</w:t>
      </w:r>
      <w:r w:rsidRPr="00EA2224">
        <w:rPr>
          <w:rtl/>
        </w:rPr>
        <w:tab/>
        <w:t>عدم توفر معلومات عن النساء العاملات في البغاء، ولا سيما عن الدعم المقدم إلى النساء الراغبات في ترك ممارسة البغاء.</w:t>
      </w:r>
    </w:p>
    <w:p w14:paraId="21784757" w14:textId="3F6762DC" w:rsidR="00EA2224" w:rsidRPr="00EA2224" w:rsidRDefault="00EA2224" w:rsidP="00EA2224">
      <w:pPr>
        <w:pStyle w:val="SingleTxt"/>
      </w:pPr>
      <w:r w:rsidRPr="00EA2224">
        <w:rPr>
          <w:rtl/>
        </w:rPr>
        <w:t>30</w:t>
      </w:r>
      <w:r>
        <w:rPr>
          <w:rtl/>
        </w:rPr>
        <w:t xml:space="preserve"> -</w:t>
      </w:r>
      <w:r>
        <w:rPr>
          <w:rtl/>
        </w:rPr>
        <w:tab/>
      </w:r>
      <w:r w:rsidRPr="00EA2224">
        <w:rPr>
          <w:b/>
          <w:bCs/>
          <w:rtl/>
        </w:rPr>
        <w:t xml:space="preserve">وتشير اللجنة إلى توصيتها العامة رقم </w:t>
      </w:r>
      <w:r w:rsidRPr="00E86319">
        <w:rPr>
          <w:b/>
          <w:bCs/>
          <w:rtl/>
        </w:rPr>
        <w:t>38 (2020)</w:t>
      </w:r>
      <w:r w:rsidRPr="00EA2224">
        <w:rPr>
          <w:b/>
          <w:bCs/>
          <w:rtl/>
        </w:rPr>
        <w:t xml:space="preserve"> بشأن الاتجار بالنساء والفتيات في سياق الهجرة العالمية، وتوصي بأن تقوم الدولة الطرف بما يلي:</w:t>
      </w:r>
    </w:p>
    <w:p w14:paraId="1E559FB0" w14:textId="0D9AC337" w:rsidR="00EA2224" w:rsidRPr="00EA2224" w:rsidRDefault="00EA2224" w:rsidP="00EA2224">
      <w:pPr>
        <w:pStyle w:val="SingleTxt"/>
        <w:rPr>
          <w:bCs/>
        </w:rPr>
      </w:pPr>
      <w:r w:rsidRPr="00EA2224">
        <w:rPr>
          <w:b/>
          <w:rtl/>
        </w:rPr>
        <w:tab/>
        <w:t>(أ)</w:t>
      </w:r>
      <w:r w:rsidRPr="00EA2224">
        <w:rPr>
          <w:b/>
          <w:rtl/>
        </w:rPr>
        <w:tab/>
      </w:r>
      <w:r w:rsidRPr="00EA2224">
        <w:rPr>
          <w:bCs/>
          <w:rtl/>
        </w:rPr>
        <w:t>وضع الصيغة النهائية لخطة العمل الوطنية بشأن الاتجار بالأشخاص وتخصيص ما</w:t>
      </w:r>
      <w:r w:rsidR="000C3869">
        <w:rPr>
          <w:rFonts w:hint="cs"/>
          <w:bCs/>
          <w:rtl/>
        </w:rPr>
        <w:t> </w:t>
      </w:r>
      <w:r w:rsidRPr="00EA2224">
        <w:rPr>
          <w:bCs/>
          <w:rtl/>
        </w:rPr>
        <w:t xml:space="preserve">يكفي من الموارد البشرية والتقنية والمالية لتنفيذها، بطرق منها التعاون مع المنظمات الدولية، </w:t>
      </w:r>
      <w:r w:rsidRPr="00EA2224">
        <w:rPr>
          <w:bCs/>
          <w:rtl/>
        </w:rPr>
        <w:lastRenderedPageBreak/>
        <w:t>ومواصلة بناء قدرات الموظفين المكلفين بإنفاذ القوانين والموظفين المعنيين بشؤون الهجرة في مجال التعرف المبكر على ضحايا الاتجار وإحالتهم إلى ال</w:t>
      </w:r>
      <w:r w:rsidRPr="00EA2224">
        <w:rPr>
          <w:bCs/>
          <w:rtl/>
          <w:lang w:bidi="ar-LB"/>
        </w:rPr>
        <w:t>إدارات</w:t>
      </w:r>
      <w:r w:rsidRPr="00EA2224">
        <w:rPr>
          <w:bCs/>
          <w:rtl/>
        </w:rPr>
        <w:t xml:space="preserve"> المناسبة؛ </w:t>
      </w:r>
    </w:p>
    <w:p w14:paraId="55DBD690" w14:textId="01860793" w:rsidR="00EA2224" w:rsidRPr="00EA2224" w:rsidRDefault="00EA2224" w:rsidP="00EA2224">
      <w:pPr>
        <w:pStyle w:val="SingleTxt"/>
        <w:rPr>
          <w:bCs/>
        </w:rPr>
      </w:pPr>
      <w:r w:rsidRPr="00EA2224">
        <w:rPr>
          <w:b/>
          <w:rtl/>
        </w:rPr>
        <w:tab/>
        <w:t>(ب)</w:t>
      </w:r>
      <w:r w:rsidRPr="00EA2224">
        <w:rPr>
          <w:b/>
          <w:rtl/>
        </w:rPr>
        <w:tab/>
      </w:r>
      <w:r w:rsidRPr="00EA2224">
        <w:rPr>
          <w:bCs/>
          <w:rtl/>
        </w:rPr>
        <w:t>تكثيف جهود التوعية الرامية إلى تشجيع الإبلاغ عن الاتجار بالنساء والفتيات، ولا</w:t>
      </w:r>
      <w:r w:rsidR="00E86319">
        <w:rPr>
          <w:rFonts w:hint="cs"/>
          <w:bCs/>
          <w:rtl/>
        </w:rPr>
        <w:t> </w:t>
      </w:r>
      <w:r w:rsidRPr="00EA2224">
        <w:rPr>
          <w:bCs/>
          <w:rtl/>
        </w:rPr>
        <w:t>سيما في قطاع السياحة ومن خلال التوظيف عبر الإنترنت، والتعجيل بالملاحقات القضائية، وتعزيز التعاون الدولي والإقليمي والثنائي مع بلدان المنشأ والعبور والمقصد؛</w:t>
      </w:r>
    </w:p>
    <w:p w14:paraId="6DC331EB" w14:textId="053FCAB5" w:rsidR="00EA2224" w:rsidRPr="00EA2224" w:rsidRDefault="00EA2224" w:rsidP="00EA2224">
      <w:pPr>
        <w:pStyle w:val="SingleTxt"/>
        <w:rPr>
          <w:bCs/>
        </w:rPr>
      </w:pPr>
      <w:r w:rsidRPr="00EA2224">
        <w:rPr>
          <w:b/>
          <w:lang w:val="fr-CH"/>
        </w:rPr>
        <w:tab/>
      </w:r>
      <w:r w:rsidRPr="00EA2224">
        <w:rPr>
          <w:b/>
          <w:rtl/>
        </w:rPr>
        <w:t>(ج)</w:t>
      </w:r>
      <w:r w:rsidRPr="00EA2224">
        <w:rPr>
          <w:b/>
          <w:rtl/>
        </w:rPr>
        <w:tab/>
      </w:r>
      <w:r w:rsidRPr="00EA2224">
        <w:rPr>
          <w:bCs/>
          <w:rtl/>
        </w:rPr>
        <w:t>مواصلة تعزيز آلية الإحالة الوطنية وإجراءاتها التشغيلية الموحدة، وإتاحة إمكانية استفادة النساء والفتيات ضحايا الاتجار بالبشر من الملاجئ وحصولهن على المساعدة الطبية والنفسية الاجتماعية والقانونية؛</w:t>
      </w:r>
    </w:p>
    <w:p w14:paraId="745EFBE1" w14:textId="7B503E4B" w:rsidR="00EA2224" w:rsidRPr="00351F0E" w:rsidRDefault="00EA2224" w:rsidP="00351F0E">
      <w:pPr>
        <w:pStyle w:val="SingleTxt"/>
        <w:rPr>
          <w:b/>
          <w:bCs/>
        </w:rPr>
      </w:pPr>
      <w:r w:rsidRPr="00EA2224">
        <w:rPr>
          <w:b/>
          <w:lang w:val="fr-CH"/>
        </w:rPr>
        <w:tab/>
      </w:r>
      <w:r w:rsidRPr="00EA2224">
        <w:rPr>
          <w:b/>
          <w:rtl/>
        </w:rPr>
        <w:t>(د)</w:t>
      </w:r>
      <w:r w:rsidRPr="00EA2224">
        <w:rPr>
          <w:rtl/>
        </w:rPr>
        <w:tab/>
      </w:r>
      <w:r w:rsidRPr="00351F0E">
        <w:rPr>
          <w:b/>
          <w:bCs/>
          <w:rtl/>
        </w:rPr>
        <w:t>تحليل الأسباب الجذرية للبغاء ومعالجتها وتوفير برامج ترك هذه الممارسة وفرص بديلة مدرّة للدخل للنساء والفتيات اللواتي يرغبن في ترك البغاء.</w:t>
      </w:r>
    </w:p>
    <w:p w14:paraId="3A0DDE39" w14:textId="77777777" w:rsidR="00EA2224" w:rsidRPr="00EA2224" w:rsidRDefault="00EA2224" w:rsidP="00EA2224">
      <w:pPr>
        <w:pStyle w:val="SingleTxt"/>
        <w:spacing w:after="0" w:line="120" w:lineRule="exact"/>
        <w:rPr>
          <w:b/>
          <w:sz w:val="10"/>
          <w:rtl/>
        </w:rPr>
      </w:pPr>
    </w:p>
    <w:p w14:paraId="7AF1DC26" w14:textId="2B5A1615" w:rsidR="00EA2224" w:rsidRPr="00EA2224" w:rsidRDefault="00EA2224" w:rsidP="00EA2224">
      <w:pPr>
        <w:pStyle w:val="H23"/>
        <w:ind w:left="1267" w:right="1267" w:hanging="1267"/>
      </w:pPr>
      <w:r w:rsidRPr="00EA2224">
        <w:rPr>
          <w:rtl/>
        </w:rPr>
        <w:tab/>
      </w:r>
      <w:r w:rsidRPr="00EA2224">
        <w:rPr>
          <w:rtl/>
        </w:rPr>
        <w:tab/>
        <w:t>المشاركة على قدم المساواة في الحياة السياسية والعامة</w:t>
      </w:r>
    </w:p>
    <w:p w14:paraId="2B978FEC" w14:textId="28AB8484" w:rsidR="00EA2224" w:rsidRPr="00EA2224" w:rsidRDefault="00EA2224" w:rsidP="00B975EF">
      <w:pPr>
        <w:pStyle w:val="SingleTxt"/>
      </w:pPr>
      <w:r w:rsidRPr="00EA2224">
        <w:rPr>
          <w:rtl/>
        </w:rPr>
        <w:t>31</w:t>
      </w:r>
      <w:r>
        <w:rPr>
          <w:rtl/>
        </w:rPr>
        <w:t xml:space="preserve"> -</w:t>
      </w:r>
      <w:r>
        <w:rPr>
          <w:rtl/>
        </w:rPr>
        <w:tab/>
      </w:r>
      <w:r w:rsidRPr="00EA2224">
        <w:rPr>
          <w:rtl/>
        </w:rPr>
        <w:t>ترحب اللجنة بالتدابير التي اتخذتها الدولة الطرف لبناء قدرات النساء في مجال العمل السياسي، بمن فيهن البرلمانيات والسياسيات المحليات والنساء العضوات في الأحزاب السياسية، كما يتجسد ذلك في تصنيف هيئة الأمم المتحدة للمساواة بين الجنسين وتمكين المرأة (هيئة الأمم المتحدة للمرأة) للدولة الطرف في المرتبة 12 عالميا من حيث عدد النساء في البرلمان، و</w:t>
      </w:r>
      <w:r w:rsidRPr="00EA2224">
        <w:rPr>
          <w:rtl/>
          <w:lang w:bidi="ar-LB"/>
        </w:rPr>
        <w:t xml:space="preserve">حصولها على </w:t>
      </w:r>
      <w:r w:rsidRPr="00EA2224">
        <w:rPr>
          <w:rtl/>
        </w:rPr>
        <w:t xml:space="preserve">جائزة حملة </w:t>
      </w:r>
      <w:r w:rsidR="006345D2">
        <w:rPr>
          <w:rFonts w:hint="cs"/>
          <w:rtl/>
        </w:rPr>
        <w:t>”</w:t>
      </w:r>
      <w:r w:rsidRPr="00EA2224">
        <w:rPr>
          <w:rtl/>
        </w:rPr>
        <w:t>الجنسانية خطتي</w:t>
      </w:r>
      <w:r w:rsidR="006345D2">
        <w:rPr>
          <w:rFonts w:hint="cs"/>
          <w:rtl/>
        </w:rPr>
        <w:t>“</w:t>
      </w:r>
      <w:r w:rsidRPr="00EA2224">
        <w:rPr>
          <w:rtl/>
        </w:rPr>
        <w:t xml:space="preserve"> (</w:t>
      </w:r>
      <w:r w:rsidRPr="00EA2224">
        <w:t>Gender Is My Agenda Campaign</w:t>
      </w:r>
      <w:r w:rsidRPr="00EA2224">
        <w:rPr>
          <w:rtl/>
          <w:lang w:bidi="ar-LB"/>
        </w:rPr>
        <w:t xml:space="preserve">) </w:t>
      </w:r>
      <w:r w:rsidRPr="00EA2224">
        <w:rPr>
          <w:rtl/>
        </w:rPr>
        <w:t xml:space="preserve">لعام 2017 </w:t>
      </w:r>
      <w:r w:rsidRPr="00EA2224">
        <w:rPr>
          <w:rtl/>
          <w:lang w:bidi="ar-LB"/>
        </w:rPr>
        <w:t>ل</w:t>
      </w:r>
      <w:r w:rsidRPr="00EA2224">
        <w:rPr>
          <w:rtl/>
        </w:rPr>
        <w:t>لتقدم الذي أحرزته الدولة الطرف في تعزيز التكافؤ في مناصب صنع القرار. غير أن اللجنة تلاحظ بقلق ما يلي:</w:t>
      </w:r>
    </w:p>
    <w:p w14:paraId="70791CC9" w14:textId="479A2CE7" w:rsidR="00EA2224" w:rsidRPr="00EA2224" w:rsidRDefault="00EA2224" w:rsidP="00EA2224">
      <w:pPr>
        <w:pStyle w:val="SingleTxt"/>
      </w:pPr>
      <w:r w:rsidRPr="00EA2224">
        <w:rPr>
          <w:rtl/>
        </w:rPr>
        <w:tab/>
        <w:t>(أ)</w:t>
      </w:r>
      <w:r w:rsidRPr="00EA2224">
        <w:rPr>
          <w:rtl/>
        </w:rPr>
        <w:tab/>
        <w:t>استمرار نقص تمثيل المرأة في بعض مجالات الحياة السياسية والعامة، ولا سيما في المجلس الوطني، وكذلك في المناصب الحكومية العليا، والسلك الدبلوماسي، والإدارة العامة، والسلطة القضائية، وفي اللجنة الرياضية الناميبية؛</w:t>
      </w:r>
    </w:p>
    <w:p w14:paraId="715232DE" w14:textId="00B9848C" w:rsidR="00EA2224" w:rsidRPr="00EA2224" w:rsidRDefault="00EA2224" w:rsidP="00EA2224">
      <w:pPr>
        <w:pStyle w:val="SingleTxt"/>
      </w:pPr>
      <w:r w:rsidRPr="00EA2224">
        <w:rPr>
          <w:rtl/>
        </w:rPr>
        <w:tab/>
        <w:t>(ب)</w:t>
      </w:r>
      <w:r w:rsidRPr="00EA2224">
        <w:rPr>
          <w:rtl/>
        </w:rPr>
        <w:tab/>
        <w:t>عدم اتخاذ تدابير تكفل التمثيل المتساوي للمرشحين من النساء والرجال في القوائم الانتخابية والمشاركة المحدودة لنساء الشعوب الأصلية في الحياة السياسية والعامة.</w:t>
      </w:r>
    </w:p>
    <w:p w14:paraId="7976658E" w14:textId="13534FDB" w:rsidR="00EA2224" w:rsidRPr="00EA2224" w:rsidRDefault="00EA2224" w:rsidP="00EA2224">
      <w:pPr>
        <w:pStyle w:val="SingleTxt"/>
      </w:pPr>
      <w:r w:rsidRPr="00EA2224">
        <w:rPr>
          <w:rtl/>
        </w:rPr>
        <w:t>32</w:t>
      </w:r>
      <w:r>
        <w:rPr>
          <w:rtl/>
        </w:rPr>
        <w:t xml:space="preserve"> -</w:t>
      </w:r>
      <w:r>
        <w:rPr>
          <w:rtl/>
        </w:rPr>
        <w:tab/>
      </w:r>
      <w:r w:rsidRPr="00EA2224">
        <w:rPr>
          <w:b/>
          <w:bCs/>
          <w:rtl/>
        </w:rPr>
        <w:t xml:space="preserve">وتشير اللجنة إلى توصيتها العامة رقم </w:t>
      </w:r>
      <w:r w:rsidRPr="00E86319">
        <w:rPr>
          <w:b/>
          <w:bCs/>
          <w:rtl/>
        </w:rPr>
        <w:t>23 (1997)</w:t>
      </w:r>
      <w:r w:rsidRPr="00EA2224">
        <w:rPr>
          <w:b/>
          <w:bCs/>
          <w:rtl/>
        </w:rPr>
        <w:t xml:space="preserve"> بشأن المرأة في الحياة السياسية والعامة، وتوصي بأن تقوم الدولة الطرف بما يلي:</w:t>
      </w:r>
    </w:p>
    <w:p w14:paraId="4E2302FA" w14:textId="05BCB4CD" w:rsidR="00EA2224" w:rsidRPr="00EA2224" w:rsidRDefault="00EA2224" w:rsidP="00EA2224">
      <w:pPr>
        <w:pStyle w:val="SingleTxt"/>
        <w:rPr>
          <w:b/>
          <w:bCs/>
        </w:rPr>
      </w:pPr>
      <w:r w:rsidRPr="00EA2224">
        <w:rPr>
          <w:lang w:val="fr-CH"/>
        </w:rPr>
        <w:tab/>
      </w:r>
      <w:r w:rsidRPr="000C3869">
        <w:rPr>
          <w:rFonts w:hint="cs"/>
          <w:rtl/>
          <w:lang w:val="fr-CH"/>
        </w:rPr>
        <w:t>(أ)</w:t>
      </w:r>
      <w:r w:rsidRPr="00EA2224">
        <w:rPr>
          <w:lang w:val="fr-CH"/>
        </w:rPr>
        <w:tab/>
      </w:r>
      <w:r w:rsidRPr="00EA2224">
        <w:rPr>
          <w:rFonts w:hint="eastAsia"/>
          <w:b/>
          <w:bCs/>
          <w:rtl/>
        </w:rPr>
        <w:t>اتخاذ</w:t>
      </w:r>
      <w:r w:rsidRPr="00EA2224">
        <w:rPr>
          <w:b/>
          <w:bCs/>
          <w:lang w:val="fr-CH"/>
        </w:rPr>
        <w:t xml:space="preserve"> </w:t>
      </w:r>
      <w:r w:rsidRPr="00EA2224">
        <w:rPr>
          <w:rFonts w:hint="eastAsia"/>
          <w:b/>
          <w:bCs/>
          <w:rtl/>
        </w:rPr>
        <w:t>تدابير</w:t>
      </w:r>
      <w:r w:rsidRPr="00EA2224">
        <w:rPr>
          <w:b/>
          <w:bCs/>
          <w:lang w:val="fr-CH"/>
        </w:rPr>
        <w:t xml:space="preserve"> </w:t>
      </w:r>
      <w:r w:rsidRPr="00EA2224">
        <w:rPr>
          <w:rFonts w:hint="eastAsia"/>
          <w:b/>
          <w:bCs/>
          <w:rtl/>
        </w:rPr>
        <w:t>للتعجيل</w:t>
      </w:r>
      <w:r w:rsidRPr="00EA2224">
        <w:rPr>
          <w:b/>
          <w:bCs/>
          <w:lang w:val="fr-CH"/>
        </w:rPr>
        <w:t xml:space="preserve"> </w:t>
      </w:r>
      <w:r w:rsidRPr="00EA2224">
        <w:rPr>
          <w:rFonts w:hint="eastAsia"/>
          <w:b/>
          <w:bCs/>
          <w:rtl/>
        </w:rPr>
        <w:t>بتحقيق</w:t>
      </w:r>
      <w:r w:rsidRPr="00EA2224">
        <w:rPr>
          <w:b/>
          <w:bCs/>
          <w:lang w:val="fr-CH"/>
        </w:rPr>
        <w:t xml:space="preserve"> </w:t>
      </w:r>
      <w:r w:rsidRPr="00EA2224">
        <w:rPr>
          <w:rFonts w:hint="eastAsia"/>
          <w:b/>
          <w:bCs/>
          <w:rtl/>
        </w:rPr>
        <w:t>التكافؤ</w:t>
      </w:r>
      <w:r w:rsidRPr="00EA2224">
        <w:rPr>
          <w:b/>
          <w:bCs/>
          <w:rtl/>
        </w:rPr>
        <w:t xml:space="preserve"> بين الجنسين على</w:t>
      </w:r>
      <w:r w:rsidRPr="00EA2224">
        <w:rPr>
          <w:b/>
          <w:bCs/>
          <w:lang w:val="fr-CH"/>
        </w:rPr>
        <w:t xml:space="preserve"> </w:t>
      </w:r>
      <w:r w:rsidRPr="00EA2224">
        <w:rPr>
          <w:b/>
          <w:bCs/>
          <w:rtl/>
        </w:rPr>
        <w:t>المستويات الحكومية</w:t>
      </w:r>
      <w:r w:rsidRPr="00EA2224">
        <w:rPr>
          <w:b/>
          <w:bCs/>
          <w:lang w:val="fr-CH"/>
        </w:rPr>
        <w:t xml:space="preserve"> </w:t>
      </w:r>
      <w:r w:rsidRPr="00EA2224">
        <w:rPr>
          <w:rFonts w:hint="eastAsia"/>
          <w:b/>
          <w:bCs/>
          <w:rtl/>
        </w:rPr>
        <w:t>الوطني</w:t>
      </w:r>
      <w:r w:rsidRPr="00EA2224">
        <w:rPr>
          <w:b/>
          <w:bCs/>
          <w:rtl/>
        </w:rPr>
        <w:t>ة</w:t>
      </w:r>
      <w:r w:rsidRPr="00EA2224">
        <w:rPr>
          <w:b/>
          <w:bCs/>
          <w:lang w:val="fr-CH"/>
        </w:rPr>
        <w:t xml:space="preserve"> </w:t>
      </w:r>
      <w:r w:rsidRPr="00EA2224">
        <w:rPr>
          <w:b/>
          <w:bCs/>
          <w:rtl/>
        </w:rPr>
        <w:t>والمحلية</w:t>
      </w:r>
      <w:r w:rsidRPr="00EA2224">
        <w:rPr>
          <w:rFonts w:hint="eastAsia"/>
          <w:b/>
          <w:bCs/>
          <w:rtl/>
        </w:rPr>
        <w:t>،</w:t>
      </w:r>
      <w:r w:rsidRPr="00EA2224">
        <w:rPr>
          <w:b/>
          <w:bCs/>
          <w:lang w:val="fr-CH"/>
        </w:rPr>
        <w:t xml:space="preserve"> </w:t>
      </w:r>
      <w:r w:rsidRPr="00EA2224">
        <w:rPr>
          <w:rFonts w:hint="eastAsia"/>
          <w:b/>
          <w:bCs/>
          <w:rtl/>
        </w:rPr>
        <w:t>ولا</w:t>
      </w:r>
      <w:r w:rsidRPr="00EA2224">
        <w:rPr>
          <w:b/>
          <w:bCs/>
          <w:lang w:val="fr-CH"/>
        </w:rPr>
        <w:t xml:space="preserve"> </w:t>
      </w:r>
      <w:r w:rsidRPr="00EA2224">
        <w:rPr>
          <w:rFonts w:hint="eastAsia"/>
          <w:b/>
          <w:bCs/>
          <w:rtl/>
        </w:rPr>
        <w:t>سيما</w:t>
      </w:r>
      <w:r w:rsidRPr="00EA2224">
        <w:rPr>
          <w:b/>
          <w:bCs/>
          <w:lang w:val="fr-CH"/>
        </w:rPr>
        <w:t xml:space="preserve"> </w:t>
      </w:r>
      <w:r w:rsidRPr="00EA2224">
        <w:rPr>
          <w:rFonts w:hint="eastAsia"/>
          <w:b/>
          <w:bCs/>
          <w:rtl/>
        </w:rPr>
        <w:t>في</w:t>
      </w:r>
      <w:r w:rsidRPr="00EA2224">
        <w:rPr>
          <w:b/>
          <w:bCs/>
          <w:lang w:val="fr-CH"/>
        </w:rPr>
        <w:t xml:space="preserve"> </w:t>
      </w:r>
      <w:r w:rsidRPr="00EA2224">
        <w:rPr>
          <w:rFonts w:hint="eastAsia"/>
          <w:b/>
          <w:bCs/>
          <w:rtl/>
        </w:rPr>
        <w:t>مناصب</w:t>
      </w:r>
      <w:r w:rsidRPr="00EA2224">
        <w:rPr>
          <w:b/>
          <w:bCs/>
          <w:lang w:val="fr-CH"/>
        </w:rPr>
        <w:t xml:space="preserve"> </w:t>
      </w:r>
      <w:r w:rsidRPr="00EA2224">
        <w:rPr>
          <w:rFonts w:hint="eastAsia"/>
          <w:b/>
          <w:bCs/>
          <w:rtl/>
        </w:rPr>
        <w:t>صنع</w:t>
      </w:r>
      <w:r w:rsidRPr="00EA2224">
        <w:rPr>
          <w:b/>
          <w:bCs/>
          <w:lang w:val="fr-CH"/>
        </w:rPr>
        <w:t xml:space="preserve"> </w:t>
      </w:r>
      <w:r w:rsidRPr="00EA2224">
        <w:rPr>
          <w:rFonts w:hint="eastAsia"/>
          <w:b/>
          <w:bCs/>
          <w:rtl/>
        </w:rPr>
        <w:t>القرار</w:t>
      </w:r>
      <w:r w:rsidRPr="00EA2224">
        <w:rPr>
          <w:b/>
          <w:bCs/>
          <w:lang w:val="fr-CH"/>
        </w:rPr>
        <w:t xml:space="preserve"> </w:t>
      </w:r>
      <w:r w:rsidRPr="00EA2224">
        <w:rPr>
          <w:rFonts w:hint="eastAsia"/>
          <w:b/>
          <w:bCs/>
          <w:rtl/>
        </w:rPr>
        <w:t>في</w:t>
      </w:r>
      <w:r w:rsidRPr="00EA2224">
        <w:rPr>
          <w:b/>
          <w:bCs/>
          <w:lang w:val="fr-CH"/>
        </w:rPr>
        <w:t xml:space="preserve"> </w:t>
      </w:r>
      <w:r w:rsidRPr="00EA2224">
        <w:rPr>
          <w:rFonts w:hint="eastAsia"/>
          <w:b/>
          <w:bCs/>
          <w:rtl/>
        </w:rPr>
        <w:t>مجلس</w:t>
      </w:r>
      <w:r w:rsidRPr="00EA2224">
        <w:rPr>
          <w:b/>
          <w:bCs/>
          <w:lang w:val="fr-CH"/>
        </w:rPr>
        <w:t xml:space="preserve"> </w:t>
      </w:r>
      <w:r w:rsidRPr="00EA2224">
        <w:rPr>
          <w:rFonts w:hint="eastAsia"/>
          <w:b/>
          <w:bCs/>
          <w:rtl/>
        </w:rPr>
        <w:t>الوزراء</w:t>
      </w:r>
      <w:r w:rsidRPr="00EA2224">
        <w:rPr>
          <w:b/>
          <w:bCs/>
          <w:lang w:val="fr-CH"/>
        </w:rPr>
        <w:t xml:space="preserve"> </w:t>
      </w:r>
      <w:r w:rsidRPr="00EA2224">
        <w:rPr>
          <w:rFonts w:hint="eastAsia"/>
          <w:b/>
          <w:bCs/>
          <w:rtl/>
        </w:rPr>
        <w:t>والسلطة</w:t>
      </w:r>
      <w:r w:rsidRPr="00EA2224">
        <w:rPr>
          <w:b/>
          <w:bCs/>
          <w:lang w:val="fr-CH"/>
        </w:rPr>
        <w:t xml:space="preserve"> </w:t>
      </w:r>
      <w:r w:rsidRPr="00EA2224">
        <w:rPr>
          <w:rFonts w:hint="eastAsia"/>
          <w:b/>
          <w:bCs/>
          <w:rtl/>
        </w:rPr>
        <w:t>القضائية</w:t>
      </w:r>
      <w:r w:rsidRPr="00EA2224">
        <w:rPr>
          <w:b/>
          <w:bCs/>
          <w:lang w:val="fr-CH"/>
        </w:rPr>
        <w:t xml:space="preserve"> </w:t>
      </w:r>
      <w:r w:rsidRPr="00EA2224">
        <w:rPr>
          <w:rFonts w:hint="eastAsia"/>
          <w:b/>
          <w:bCs/>
          <w:rtl/>
        </w:rPr>
        <w:t>والخدمة</w:t>
      </w:r>
      <w:r w:rsidRPr="00EA2224">
        <w:rPr>
          <w:b/>
          <w:bCs/>
          <w:lang w:val="fr-CH"/>
        </w:rPr>
        <w:t xml:space="preserve"> </w:t>
      </w:r>
      <w:r w:rsidRPr="00EA2224">
        <w:rPr>
          <w:rFonts w:hint="eastAsia"/>
          <w:b/>
          <w:bCs/>
          <w:rtl/>
        </w:rPr>
        <w:t>العامة</w:t>
      </w:r>
      <w:r w:rsidRPr="00EA2224">
        <w:rPr>
          <w:b/>
          <w:bCs/>
          <w:lang w:val="fr-CH"/>
        </w:rPr>
        <w:t xml:space="preserve"> </w:t>
      </w:r>
      <w:r w:rsidRPr="00EA2224">
        <w:rPr>
          <w:rFonts w:hint="eastAsia"/>
          <w:b/>
          <w:bCs/>
          <w:rtl/>
        </w:rPr>
        <w:t>والسلك</w:t>
      </w:r>
      <w:r w:rsidRPr="00EA2224">
        <w:rPr>
          <w:b/>
          <w:bCs/>
          <w:lang w:val="fr-CH"/>
        </w:rPr>
        <w:t xml:space="preserve"> </w:t>
      </w:r>
      <w:r w:rsidRPr="00EA2224">
        <w:rPr>
          <w:rFonts w:hint="eastAsia"/>
          <w:b/>
          <w:bCs/>
          <w:rtl/>
        </w:rPr>
        <w:t>الدبلوماسي</w:t>
      </w:r>
      <w:r w:rsidRPr="00EA2224">
        <w:rPr>
          <w:b/>
          <w:bCs/>
          <w:lang w:val="fr-CH"/>
        </w:rPr>
        <w:t xml:space="preserve"> </w:t>
      </w:r>
      <w:r w:rsidRPr="00EA2224">
        <w:rPr>
          <w:rFonts w:hint="eastAsia"/>
          <w:b/>
          <w:bCs/>
          <w:rtl/>
        </w:rPr>
        <w:t>واللجان</w:t>
      </w:r>
      <w:r w:rsidRPr="00EA2224">
        <w:rPr>
          <w:b/>
          <w:bCs/>
          <w:lang w:val="fr-CH"/>
        </w:rPr>
        <w:t xml:space="preserve"> </w:t>
      </w:r>
      <w:r w:rsidRPr="00EA2224">
        <w:rPr>
          <w:rFonts w:hint="eastAsia"/>
          <w:b/>
          <w:bCs/>
          <w:rtl/>
        </w:rPr>
        <w:t>الرياضية،</w:t>
      </w:r>
      <w:r w:rsidRPr="00EA2224">
        <w:rPr>
          <w:b/>
          <w:bCs/>
          <w:lang w:val="fr-CH"/>
        </w:rPr>
        <w:t xml:space="preserve"> </w:t>
      </w:r>
      <w:r w:rsidRPr="00EA2224">
        <w:rPr>
          <w:rFonts w:hint="eastAsia"/>
          <w:b/>
          <w:bCs/>
          <w:rtl/>
        </w:rPr>
        <w:t>وتنظيم</w:t>
      </w:r>
      <w:r w:rsidRPr="00EA2224">
        <w:rPr>
          <w:b/>
          <w:bCs/>
          <w:lang w:val="fr-CH"/>
        </w:rPr>
        <w:t xml:space="preserve"> </w:t>
      </w:r>
      <w:r w:rsidRPr="00EA2224">
        <w:rPr>
          <w:rFonts w:hint="eastAsia"/>
          <w:b/>
          <w:bCs/>
          <w:rtl/>
        </w:rPr>
        <w:t>حملات</w:t>
      </w:r>
      <w:r w:rsidRPr="00EA2224">
        <w:rPr>
          <w:b/>
          <w:bCs/>
          <w:lang w:val="fr-CH"/>
        </w:rPr>
        <w:t xml:space="preserve"> </w:t>
      </w:r>
      <w:r w:rsidRPr="00EA2224">
        <w:rPr>
          <w:rFonts w:hint="eastAsia"/>
          <w:b/>
          <w:bCs/>
          <w:rtl/>
        </w:rPr>
        <w:t>للتوعية</w:t>
      </w:r>
      <w:r w:rsidRPr="00EA2224">
        <w:rPr>
          <w:b/>
          <w:bCs/>
          <w:lang w:val="fr-CH"/>
        </w:rPr>
        <w:t xml:space="preserve"> </w:t>
      </w:r>
      <w:r w:rsidRPr="00EA2224">
        <w:rPr>
          <w:rFonts w:hint="eastAsia"/>
          <w:b/>
          <w:bCs/>
          <w:rtl/>
        </w:rPr>
        <w:t>وبناء</w:t>
      </w:r>
      <w:r w:rsidRPr="00EA2224">
        <w:rPr>
          <w:b/>
          <w:bCs/>
          <w:lang w:val="fr-CH"/>
        </w:rPr>
        <w:t xml:space="preserve"> </w:t>
      </w:r>
      <w:r w:rsidRPr="00EA2224">
        <w:rPr>
          <w:rFonts w:hint="eastAsia"/>
          <w:b/>
          <w:bCs/>
          <w:rtl/>
        </w:rPr>
        <w:t>القدرات</w:t>
      </w:r>
      <w:r w:rsidRPr="00EA2224">
        <w:rPr>
          <w:b/>
          <w:bCs/>
          <w:lang w:val="fr-CH"/>
        </w:rPr>
        <w:t xml:space="preserve"> </w:t>
      </w:r>
      <w:r w:rsidRPr="00EA2224">
        <w:rPr>
          <w:rFonts w:hint="eastAsia"/>
          <w:b/>
          <w:bCs/>
          <w:rtl/>
        </w:rPr>
        <w:t>لتعزيز</w:t>
      </w:r>
      <w:r w:rsidRPr="00EA2224">
        <w:rPr>
          <w:b/>
          <w:bCs/>
          <w:lang w:val="fr-CH"/>
        </w:rPr>
        <w:t xml:space="preserve"> </w:t>
      </w:r>
      <w:r w:rsidRPr="00EA2224">
        <w:rPr>
          <w:rFonts w:hint="eastAsia"/>
          <w:b/>
          <w:bCs/>
          <w:rtl/>
        </w:rPr>
        <w:t>التكافؤ</w:t>
      </w:r>
      <w:r w:rsidRPr="00EA2224">
        <w:rPr>
          <w:b/>
          <w:bCs/>
          <w:lang w:val="fr-CH"/>
        </w:rPr>
        <w:t xml:space="preserve"> </w:t>
      </w:r>
      <w:r w:rsidRPr="00EA2224">
        <w:rPr>
          <w:rFonts w:hint="eastAsia"/>
          <w:b/>
          <w:bCs/>
          <w:rtl/>
        </w:rPr>
        <w:t>بين</w:t>
      </w:r>
      <w:r w:rsidRPr="00EA2224">
        <w:rPr>
          <w:b/>
          <w:bCs/>
          <w:lang w:val="fr-CH"/>
        </w:rPr>
        <w:t xml:space="preserve"> </w:t>
      </w:r>
      <w:r w:rsidRPr="00EA2224">
        <w:rPr>
          <w:rFonts w:hint="eastAsia"/>
          <w:b/>
          <w:bCs/>
          <w:rtl/>
        </w:rPr>
        <w:t>الجنسين</w:t>
      </w:r>
      <w:r w:rsidRPr="00EA2224">
        <w:rPr>
          <w:b/>
          <w:bCs/>
          <w:lang w:val="fr-CH"/>
        </w:rPr>
        <w:t xml:space="preserve"> </w:t>
      </w:r>
      <w:r w:rsidRPr="00EA2224">
        <w:rPr>
          <w:rFonts w:hint="eastAsia"/>
          <w:b/>
          <w:bCs/>
          <w:rtl/>
        </w:rPr>
        <w:t>و</w:t>
      </w:r>
      <w:r w:rsidRPr="00EA2224">
        <w:rPr>
          <w:b/>
          <w:bCs/>
          <w:rtl/>
        </w:rPr>
        <w:t xml:space="preserve">مبادئ </w:t>
      </w:r>
      <w:r w:rsidRPr="00EA2224">
        <w:rPr>
          <w:rFonts w:hint="eastAsia"/>
          <w:b/>
          <w:bCs/>
          <w:rtl/>
        </w:rPr>
        <w:t>الذكورة</w:t>
      </w:r>
      <w:r w:rsidRPr="00EA2224">
        <w:rPr>
          <w:b/>
          <w:bCs/>
          <w:lang w:val="fr-CH"/>
        </w:rPr>
        <w:t xml:space="preserve"> </w:t>
      </w:r>
      <w:r w:rsidRPr="00EA2224">
        <w:rPr>
          <w:rFonts w:hint="eastAsia"/>
          <w:b/>
          <w:bCs/>
          <w:rtl/>
        </w:rPr>
        <w:t>الإيجابية</w:t>
      </w:r>
      <w:r w:rsidRPr="00EA2224">
        <w:rPr>
          <w:b/>
          <w:bCs/>
          <w:lang w:val="fr-CH"/>
        </w:rPr>
        <w:t xml:space="preserve"> </w:t>
      </w:r>
      <w:r w:rsidRPr="00EA2224">
        <w:rPr>
          <w:rFonts w:hint="eastAsia"/>
          <w:b/>
          <w:bCs/>
          <w:rtl/>
        </w:rPr>
        <w:t>ومشاركة</w:t>
      </w:r>
      <w:r w:rsidRPr="00EA2224">
        <w:rPr>
          <w:b/>
          <w:bCs/>
          <w:lang w:val="fr-CH"/>
        </w:rPr>
        <w:t xml:space="preserve"> </w:t>
      </w:r>
      <w:r w:rsidRPr="00EA2224">
        <w:rPr>
          <w:rFonts w:hint="eastAsia"/>
          <w:b/>
          <w:bCs/>
          <w:rtl/>
        </w:rPr>
        <w:t>الفئات</w:t>
      </w:r>
      <w:r w:rsidRPr="00EA2224">
        <w:rPr>
          <w:b/>
          <w:bCs/>
          <w:lang w:val="fr-CH"/>
        </w:rPr>
        <w:t xml:space="preserve"> </w:t>
      </w:r>
      <w:r w:rsidRPr="00EA2224">
        <w:rPr>
          <w:rFonts w:hint="eastAsia"/>
          <w:b/>
          <w:bCs/>
          <w:rtl/>
        </w:rPr>
        <w:t>المحرومة</w:t>
      </w:r>
      <w:r w:rsidRPr="00EA2224">
        <w:rPr>
          <w:b/>
          <w:bCs/>
          <w:lang w:val="fr-CH"/>
        </w:rPr>
        <w:t xml:space="preserve"> </w:t>
      </w:r>
      <w:r w:rsidRPr="00EA2224">
        <w:rPr>
          <w:rFonts w:hint="eastAsia"/>
          <w:b/>
          <w:bCs/>
          <w:rtl/>
        </w:rPr>
        <w:t>من</w:t>
      </w:r>
      <w:r w:rsidRPr="00EA2224">
        <w:rPr>
          <w:b/>
          <w:bCs/>
          <w:lang w:val="fr-CH"/>
        </w:rPr>
        <w:t xml:space="preserve"> </w:t>
      </w:r>
      <w:r w:rsidRPr="00EA2224">
        <w:rPr>
          <w:rFonts w:hint="eastAsia"/>
          <w:b/>
          <w:bCs/>
          <w:rtl/>
        </w:rPr>
        <w:t>النساء،</w:t>
      </w:r>
      <w:r w:rsidRPr="00EA2224">
        <w:rPr>
          <w:b/>
          <w:bCs/>
          <w:lang w:val="fr-CH"/>
        </w:rPr>
        <w:t xml:space="preserve"> </w:t>
      </w:r>
      <w:r w:rsidRPr="00EA2224">
        <w:rPr>
          <w:rFonts w:hint="eastAsia"/>
          <w:b/>
          <w:bCs/>
          <w:rtl/>
        </w:rPr>
        <w:t>بمن</w:t>
      </w:r>
      <w:r w:rsidRPr="00EA2224">
        <w:rPr>
          <w:b/>
          <w:bCs/>
          <w:lang w:val="fr-CH"/>
        </w:rPr>
        <w:t xml:space="preserve"> </w:t>
      </w:r>
      <w:r w:rsidRPr="00EA2224">
        <w:rPr>
          <w:rFonts w:hint="eastAsia"/>
          <w:b/>
          <w:bCs/>
          <w:rtl/>
        </w:rPr>
        <w:t>فيهن</w:t>
      </w:r>
      <w:r w:rsidRPr="00EA2224">
        <w:rPr>
          <w:b/>
          <w:bCs/>
          <w:lang w:val="fr-CH"/>
        </w:rPr>
        <w:t xml:space="preserve"> </w:t>
      </w:r>
      <w:r w:rsidRPr="00EA2224">
        <w:rPr>
          <w:rFonts w:hint="eastAsia"/>
          <w:b/>
          <w:bCs/>
          <w:rtl/>
        </w:rPr>
        <w:t>نساء</w:t>
      </w:r>
      <w:r w:rsidRPr="00EA2224">
        <w:rPr>
          <w:b/>
          <w:bCs/>
          <w:lang w:val="fr-CH"/>
        </w:rPr>
        <w:t xml:space="preserve"> </w:t>
      </w:r>
      <w:r w:rsidRPr="00EA2224">
        <w:rPr>
          <w:rFonts w:hint="eastAsia"/>
          <w:b/>
          <w:bCs/>
          <w:rtl/>
        </w:rPr>
        <w:t>الشعوب</w:t>
      </w:r>
      <w:r w:rsidRPr="00EA2224">
        <w:rPr>
          <w:b/>
          <w:bCs/>
          <w:lang w:val="fr-CH"/>
        </w:rPr>
        <w:t xml:space="preserve"> </w:t>
      </w:r>
      <w:r w:rsidRPr="00EA2224">
        <w:rPr>
          <w:rFonts w:hint="eastAsia"/>
          <w:b/>
          <w:bCs/>
          <w:rtl/>
        </w:rPr>
        <w:t>الأصلية</w:t>
      </w:r>
      <w:r w:rsidRPr="00EA2224">
        <w:rPr>
          <w:b/>
          <w:bCs/>
          <w:lang w:val="fr-CH"/>
        </w:rPr>
        <w:t xml:space="preserve"> </w:t>
      </w:r>
      <w:r w:rsidRPr="00EA2224">
        <w:rPr>
          <w:rFonts w:hint="eastAsia"/>
          <w:b/>
          <w:bCs/>
          <w:rtl/>
        </w:rPr>
        <w:t>والنساء</w:t>
      </w:r>
      <w:r w:rsidRPr="00EA2224">
        <w:rPr>
          <w:b/>
          <w:bCs/>
          <w:lang w:val="fr-CH"/>
        </w:rPr>
        <w:t xml:space="preserve"> </w:t>
      </w:r>
      <w:r w:rsidRPr="00EA2224">
        <w:rPr>
          <w:rFonts w:hint="eastAsia"/>
          <w:b/>
          <w:bCs/>
          <w:rtl/>
        </w:rPr>
        <w:t>ذوات</w:t>
      </w:r>
      <w:r w:rsidRPr="00EA2224">
        <w:rPr>
          <w:b/>
          <w:bCs/>
          <w:lang w:val="fr-CH"/>
        </w:rPr>
        <w:t xml:space="preserve"> </w:t>
      </w:r>
      <w:r w:rsidRPr="00EA2224">
        <w:rPr>
          <w:rFonts w:hint="eastAsia"/>
          <w:b/>
          <w:bCs/>
          <w:rtl/>
        </w:rPr>
        <w:t>الإعاقة</w:t>
      </w:r>
      <w:r w:rsidRPr="00EA2224">
        <w:rPr>
          <w:b/>
          <w:bCs/>
          <w:rtl/>
        </w:rPr>
        <w:t>، في الحياة السياسية والعامة</w:t>
      </w:r>
      <w:r w:rsidRPr="00EA2224">
        <w:rPr>
          <w:rFonts w:hint="eastAsia"/>
          <w:b/>
          <w:bCs/>
          <w:rtl/>
        </w:rPr>
        <w:t>؛</w:t>
      </w:r>
    </w:p>
    <w:p w14:paraId="30361D8B" w14:textId="361A1B33" w:rsidR="00EA2224" w:rsidRPr="00EA2224" w:rsidRDefault="00EA2224" w:rsidP="00EA2224">
      <w:pPr>
        <w:pStyle w:val="SingleTxt"/>
        <w:rPr>
          <w:b/>
          <w:bCs/>
        </w:rPr>
      </w:pPr>
      <w:r w:rsidRPr="00EA2224">
        <w:rPr>
          <w:lang w:val="fr-CH"/>
        </w:rPr>
        <w:tab/>
      </w:r>
      <w:r w:rsidRPr="000C3869">
        <w:rPr>
          <w:rFonts w:hint="cs"/>
          <w:rtl/>
          <w:lang w:val="fr-CH"/>
        </w:rPr>
        <w:t>(ب)</w:t>
      </w:r>
      <w:r w:rsidRPr="00EA2224">
        <w:rPr>
          <w:lang w:val="fr-CH"/>
        </w:rPr>
        <w:tab/>
      </w:r>
      <w:r w:rsidRPr="00EA2224">
        <w:rPr>
          <w:rFonts w:hint="eastAsia"/>
          <w:b/>
          <w:bCs/>
          <w:rtl/>
        </w:rPr>
        <w:t>تعديل</w:t>
      </w:r>
      <w:r w:rsidRPr="00EA2224">
        <w:rPr>
          <w:b/>
          <w:bCs/>
          <w:lang w:val="fr-CH"/>
        </w:rPr>
        <w:t xml:space="preserve"> </w:t>
      </w:r>
      <w:r w:rsidRPr="00EA2224">
        <w:rPr>
          <w:rFonts w:hint="eastAsia"/>
          <w:b/>
          <w:bCs/>
          <w:rtl/>
        </w:rPr>
        <w:t>قانون</w:t>
      </w:r>
      <w:r w:rsidRPr="00EA2224">
        <w:rPr>
          <w:b/>
          <w:bCs/>
          <w:lang w:val="fr-CH"/>
        </w:rPr>
        <w:t xml:space="preserve"> </w:t>
      </w:r>
      <w:r w:rsidRPr="00EA2224">
        <w:rPr>
          <w:rFonts w:hint="eastAsia"/>
          <w:b/>
          <w:bCs/>
          <w:rtl/>
        </w:rPr>
        <w:t>الانتخابات</w:t>
      </w:r>
      <w:r w:rsidRPr="00EA2224">
        <w:rPr>
          <w:b/>
          <w:bCs/>
          <w:lang w:val="fr-CH"/>
        </w:rPr>
        <w:t xml:space="preserve"> </w:t>
      </w:r>
      <w:r w:rsidRPr="00EA2224">
        <w:rPr>
          <w:rFonts w:hint="eastAsia"/>
          <w:b/>
          <w:bCs/>
          <w:rtl/>
        </w:rPr>
        <w:t>لتحقيق</w:t>
      </w:r>
      <w:r w:rsidRPr="00EA2224">
        <w:rPr>
          <w:b/>
          <w:bCs/>
          <w:lang w:val="fr-CH"/>
        </w:rPr>
        <w:t xml:space="preserve"> </w:t>
      </w:r>
      <w:r w:rsidRPr="00EA2224">
        <w:rPr>
          <w:rFonts w:hint="eastAsia"/>
          <w:b/>
          <w:bCs/>
          <w:rtl/>
        </w:rPr>
        <w:t>التكافؤ</w:t>
      </w:r>
      <w:r w:rsidRPr="00EA2224">
        <w:rPr>
          <w:b/>
          <w:bCs/>
          <w:lang w:val="fr-CH"/>
        </w:rPr>
        <w:t xml:space="preserve"> </w:t>
      </w:r>
      <w:r w:rsidRPr="00EA2224">
        <w:rPr>
          <w:rFonts w:hint="eastAsia"/>
          <w:b/>
          <w:bCs/>
          <w:rtl/>
        </w:rPr>
        <w:t>بين</w:t>
      </w:r>
      <w:r w:rsidRPr="00EA2224">
        <w:rPr>
          <w:b/>
          <w:bCs/>
          <w:lang w:val="fr-CH"/>
        </w:rPr>
        <w:t xml:space="preserve"> </w:t>
      </w:r>
      <w:r w:rsidRPr="00EA2224">
        <w:rPr>
          <w:rFonts w:hint="eastAsia"/>
          <w:b/>
          <w:bCs/>
          <w:rtl/>
        </w:rPr>
        <w:t>الجنسين</w:t>
      </w:r>
      <w:r w:rsidRPr="00EA2224">
        <w:rPr>
          <w:b/>
          <w:bCs/>
          <w:lang w:val="fr-CH"/>
        </w:rPr>
        <w:t xml:space="preserve"> </w:t>
      </w:r>
      <w:r w:rsidRPr="00EA2224">
        <w:rPr>
          <w:rFonts w:hint="eastAsia"/>
          <w:b/>
          <w:bCs/>
          <w:rtl/>
        </w:rPr>
        <w:t>واتخاذ</w:t>
      </w:r>
      <w:r w:rsidRPr="00EA2224">
        <w:rPr>
          <w:b/>
          <w:bCs/>
          <w:lang w:val="fr-CH"/>
        </w:rPr>
        <w:t xml:space="preserve"> </w:t>
      </w:r>
      <w:r w:rsidRPr="00EA2224">
        <w:rPr>
          <w:b/>
          <w:bCs/>
          <w:rtl/>
        </w:rPr>
        <w:t>تدابير خاصة مؤقتة، مثل نظام الحصص، لزيادة عدد المرشحات</w:t>
      </w:r>
      <w:r w:rsidRPr="00EA2224">
        <w:rPr>
          <w:b/>
          <w:bCs/>
          <w:lang w:val="fr-CH"/>
        </w:rPr>
        <w:t xml:space="preserve"> </w:t>
      </w:r>
      <w:r w:rsidRPr="00EA2224">
        <w:rPr>
          <w:b/>
          <w:bCs/>
          <w:rtl/>
        </w:rPr>
        <w:t>الفائزات</w:t>
      </w:r>
      <w:r w:rsidRPr="00EA2224">
        <w:rPr>
          <w:b/>
          <w:bCs/>
          <w:lang w:val="fr-CH"/>
        </w:rPr>
        <w:t xml:space="preserve"> </w:t>
      </w:r>
      <w:r w:rsidRPr="00EA2224">
        <w:rPr>
          <w:rFonts w:hint="eastAsia"/>
          <w:b/>
          <w:bCs/>
          <w:rtl/>
        </w:rPr>
        <w:t>في</w:t>
      </w:r>
      <w:r w:rsidRPr="00EA2224">
        <w:rPr>
          <w:b/>
          <w:bCs/>
          <w:lang w:val="fr-CH"/>
        </w:rPr>
        <w:t xml:space="preserve"> </w:t>
      </w:r>
      <w:r w:rsidRPr="00EA2224">
        <w:rPr>
          <w:rFonts w:hint="eastAsia"/>
          <w:b/>
          <w:bCs/>
          <w:rtl/>
        </w:rPr>
        <w:t>الانتخابات</w:t>
      </w:r>
      <w:r w:rsidRPr="00EA2224">
        <w:rPr>
          <w:b/>
          <w:bCs/>
          <w:lang w:val="fr-CH"/>
        </w:rPr>
        <w:t xml:space="preserve"> </w:t>
      </w:r>
      <w:r w:rsidRPr="00EA2224">
        <w:rPr>
          <w:rFonts w:hint="eastAsia"/>
          <w:b/>
          <w:bCs/>
          <w:rtl/>
        </w:rPr>
        <w:t>الإقليمية،</w:t>
      </w:r>
      <w:r w:rsidRPr="00EA2224">
        <w:rPr>
          <w:b/>
          <w:bCs/>
          <w:lang w:val="fr-CH"/>
        </w:rPr>
        <w:t xml:space="preserve"> </w:t>
      </w:r>
      <w:r w:rsidRPr="00EA2224">
        <w:rPr>
          <w:rFonts w:hint="eastAsia"/>
          <w:b/>
          <w:bCs/>
          <w:rtl/>
        </w:rPr>
        <w:t>فضلا</w:t>
      </w:r>
      <w:r w:rsidRPr="00EA2224">
        <w:rPr>
          <w:b/>
          <w:bCs/>
          <w:lang w:val="fr-CH"/>
        </w:rPr>
        <w:t xml:space="preserve"> </w:t>
      </w:r>
      <w:r w:rsidRPr="00EA2224">
        <w:rPr>
          <w:rFonts w:hint="eastAsia"/>
          <w:b/>
          <w:bCs/>
          <w:rtl/>
        </w:rPr>
        <w:t>عن</w:t>
      </w:r>
      <w:r w:rsidRPr="00EA2224">
        <w:rPr>
          <w:b/>
          <w:bCs/>
          <w:lang w:val="fr-CH"/>
        </w:rPr>
        <w:t xml:space="preserve"> </w:t>
      </w:r>
      <w:r w:rsidRPr="00EA2224">
        <w:rPr>
          <w:rFonts w:hint="eastAsia"/>
          <w:b/>
          <w:bCs/>
          <w:rtl/>
        </w:rPr>
        <w:t>عدد</w:t>
      </w:r>
      <w:r w:rsidRPr="00EA2224">
        <w:rPr>
          <w:b/>
          <w:bCs/>
          <w:lang w:val="fr-CH"/>
        </w:rPr>
        <w:t xml:space="preserve"> </w:t>
      </w:r>
      <w:r w:rsidRPr="00EA2224">
        <w:rPr>
          <w:rFonts w:hint="eastAsia"/>
          <w:b/>
          <w:bCs/>
          <w:rtl/>
        </w:rPr>
        <w:t>نساء</w:t>
      </w:r>
      <w:r w:rsidRPr="00EA2224">
        <w:rPr>
          <w:b/>
          <w:bCs/>
          <w:lang w:val="fr-CH"/>
        </w:rPr>
        <w:t xml:space="preserve"> </w:t>
      </w:r>
      <w:r w:rsidRPr="00EA2224">
        <w:rPr>
          <w:rFonts w:hint="eastAsia"/>
          <w:b/>
          <w:bCs/>
          <w:rtl/>
        </w:rPr>
        <w:t>الشعوب</w:t>
      </w:r>
      <w:r w:rsidRPr="00EA2224">
        <w:rPr>
          <w:b/>
          <w:bCs/>
          <w:lang w:val="fr-CH"/>
        </w:rPr>
        <w:t xml:space="preserve"> </w:t>
      </w:r>
      <w:r w:rsidRPr="00EA2224">
        <w:rPr>
          <w:rFonts w:hint="eastAsia"/>
          <w:b/>
          <w:bCs/>
          <w:rtl/>
        </w:rPr>
        <w:t>الأصلية</w:t>
      </w:r>
      <w:r w:rsidRPr="00EA2224">
        <w:rPr>
          <w:b/>
          <w:bCs/>
          <w:lang w:val="fr-CH"/>
        </w:rPr>
        <w:t xml:space="preserve"> </w:t>
      </w:r>
      <w:r w:rsidRPr="00EA2224">
        <w:rPr>
          <w:rFonts w:hint="eastAsia"/>
          <w:b/>
          <w:bCs/>
          <w:rtl/>
        </w:rPr>
        <w:t>المنتخبات</w:t>
      </w:r>
      <w:r w:rsidRPr="00EA2224">
        <w:rPr>
          <w:b/>
          <w:bCs/>
          <w:lang w:val="fr-CH"/>
        </w:rPr>
        <w:t xml:space="preserve"> </w:t>
      </w:r>
      <w:r w:rsidRPr="00EA2224">
        <w:rPr>
          <w:rFonts w:hint="eastAsia"/>
          <w:b/>
          <w:bCs/>
          <w:rtl/>
        </w:rPr>
        <w:t>للهيئات</w:t>
      </w:r>
      <w:r w:rsidRPr="00EA2224">
        <w:rPr>
          <w:b/>
          <w:bCs/>
          <w:lang w:val="fr-CH"/>
        </w:rPr>
        <w:t xml:space="preserve"> </w:t>
      </w:r>
      <w:r w:rsidRPr="00EA2224">
        <w:rPr>
          <w:rFonts w:hint="eastAsia"/>
          <w:b/>
          <w:bCs/>
          <w:rtl/>
        </w:rPr>
        <w:t>التشريعية</w:t>
      </w:r>
      <w:r w:rsidRPr="00EA2224">
        <w:rPr>
          <w:b/>
          <w:bCs/>
          <w:lang w:val="fr-CH"/>
        </w:rPr>
        <w:t xml:space="preserve"> </w:t>
      </w:r>
      <w:r w:rsidRPr="00EA2224">
        <w:rPr>
          <w:rFonts w:hint="eastAsia"/>
          <w:b/>
          <w:bCs/>
          <w:rtl/>
        </w:rPr>
        <w:t>على</w:t>
      </w:r>
      <w:r w:rsidRPr="00EA2224">
        <w:rPr>
          <w:b/>
          <w:bCs/>
          <w:lang w:val="fr-CH"/>
        </w:rPr>
        <w:t xml:space="preserve"> </w:t>
      </w:r>
      <w:r w:rsidRPr="00EA2224">
        <w:rPr>
          <w:rFonts w:hint="eastAsia"/>
          <w:b/>
          <w:bCs/>
          <w:rtl/>
        </w:rPr>
        <w:t>جميع</w:t>
      </w:r>
      <w:r w:rsidRPr="00EA2224">
        <w:rPr>
          <w:b/>
          <w:bCs/>
          <w:lang w:val="fr-CH"/>
        </w:rPr>
        <w:t xml:space="preserve"> </w:t>
      </w:r>
      <w:r w:rsidRPr="00EA2224">
        <w:rPr>
          <w:rFonts w:hint="eastAsia"/>
          <w:b/>
          <w:bCs/>
          <w:rtl/>
        </w:rPr>
        <w:t>المستويات</w:t>
      </w:r>
      <w:r w:rsidRPr="00EA2224">
        <w:rPr>
          <w:b/>
          <w:bCs/>
          <w:lang w:val="fr-CH"/>
        </w:rPr>
        <w:t>.</w:t>
      </w:r>
    </w:p>
    <w:p w14:paraId="60952D7E" w14:textId="77777777" w:rsidR="00EA2224" w:rsidRPr="00EA2224" w:rsidRDefault="00EA2224" w:rsidP="00EA2224">
      <w:pPr>
        <w:pStyle w:val="SingleTxt"/>
        <w:spacing w:after="0" w:line="120" w:lineRule="exact"/>
        <w:rPr>
          <w:b/>
          <w:sz w:val="10"/>
          <w:rtl/>
        </w:rPr>
      </w:pPr>
    </w:p>
    <w:p w14:paraId="2718267A" w14:textId="681E8E2D" w:rsidR="00EA2224" w:rsidRPr="00EA2224" w:rsidRDefault="00EA2224" w:rsidP="00EA2224">
      <w:pPr>
        <w:pStyle w:val="H23"/>
        <w:ind w:left="1267" w:right="1267" w:hanging="1267"/>
      </w:pPr>
      <w:r w:rsidRPr="00EA2224">
        <w:rPr>
          <w:rtl/>
        </w:rPr>
        <w:lastRenderedPageBreak/>
        <w:tab/>
      </w:r>
      <w:r w:rsidRPr="00EA2224">
        <w:rPr>
          <w:rtl/>
        </w:rPr>
        <w:tab/>
        <w:t>المرأة والسلام والأمن</w:t>
      </w:r>
    </w:p>
    <w:p w14:paraId="6488ED03" w14:textId="7FFE6216" w:rsidR="00EA2224" w:rsidRPr="00EA2224" w:rsidRDefault="00EA2224" w:rsidP="00EA2224">
      <w:pPr>
        <w:pStyle w:val="SingleTxt"/>
        <w:rPr>
          <w:spacing w:val="2"/>
        </w:rPr>
      </w:pPr>
      <w:r w:rsidRPr="00EA2224">
        <w:rPr>
          <w:spacing w:val="2"/>
          <w:rtl/>
        </w:rPr>
        <w:t>33</w:t>
      </w:r>
      <w:r w:rsidRPr="000C3869">
        <w:rPr>
          <w:spacing w:val="2"/>
          <w:rtl/>
        </w:rPr>
        <w:t xml:space="preserve"> -</w:t>
      </w:r>
      <w:r w:rsidRPr="000C3869">
        <w:rPr>
          <w:spacing w:val="2"/>
          <w:rtl/>
        </w:rPr>
        <w:tab/>
      </w:r>
      <w:r w:rsidRPr="00EA2224">
        <w:rPr>
          <w:spacing w:val="2"/>
          <w:rtl/>
        </w:rPr>
        <w:t>تلاحظ اللجنة مع التقدير الجهود المتواصلة التي تبذلها ناميبيا ودورها الهام في تشجيع إشراك المرأة في عمليات السلام والأمن. وترحب باعتماد خطة عمل وطنية بشأن المرأة والسلام والأمن للفترة 2019-2024، وبإطلاق مركز المرأة والسلام والأمن. غير أن اللجنة تلاحظ بقلق نقص المعلومات فيما</w:t>
      </w:r>
      <w:r w:rsidR="000C3869">
        <w:rPr>
          <w:rFonts w:hint="cs"/>
          <w:spacing w:val="2"/>
          <w:rtl/>
        </w:rPr>
        <w:t> </w:t>
      </w:r>
      <w:r w:rsidRPr="00EA2224">
        <w:rPr>
          <w:spacing w:val="2"/>
          <w:rtl/>
        </w:rPr>
        <w:t>يتعلق بما يلي</w:t>
      </w:r>
      <w:r w:rsidRPr="00EA2224">
        <w:rPr>
          <w:spacing w:val="2"/>
          <w:lang w:val="fr-CH"/>
        </w:rPr>
        <w:t>:</w:t>
      </w:r>
    </w:p>
    <w:p w14:paraId="73F96BFF" w14:textId="5E576971" w:rsidR="00EA2224" w:rsidRPr="00EA2224" w:rsidRDefault="00EA2224" w:rsidP="00EA2224">
      <w:pPr>
        <w:pStyle w:val="SingleTxt"/>
        <w:rPr>
          <w:spacing w:val="2"/>
        </w:rPr>
      </w:pPr>
      <w:r w:rsidRPr="00EA2224">
        <w:rPr>
          <w:spacing w:val="2"/>
          <w:rtl/>
        </w:rPr>
        <w:tab/>
        <w:t>(أ)</w:t>
      </w:r>
      <w:r w:rsidRPr="00EA2224">
        <w:rPr>
          <w:spacing w:val="2"/>
          <w:rtl/>
        </w:rPr>
        <w:tab/>
        <w:t>الموارد المخصصة لتنفيذ خطة العمل الوطنية بشأن المرأة والسلام والأمن للفترة 2019</w:t>
      </w:r>
      <w:r w:rsidR="000C3869" w:rsidRPr="000C3869">
        <w:rPr>
          <w:rFonts w:hint="cs"/>
          <w:spacing w:val="2"/>
          <w:rtl/>
        </w:rPr>
        <w:t>-</w:t>
      </w:r>
      <w:r w:rsidRPr="00EA2224">
        <w:rPr>
          <w:spacing w:val="2"/>
          <w:rtl/>
        </w:rPr>
        <w:t>2024؛</w:t>
      </w:r>
    </w:p>
    <w:p w14:paraId="42B102A8" w14:textId="77777777" w:rsidR="00EA2224" w:rsidRPr="00EA2224" w:rsidRDefault="00EA2224" w:rsidP="00EA2224">
      <w:pPr>
        <w:pStyle w:val="SingleTxt"/>
      </w:pPr>
      <w:r w:rsidRPr="00EA2224">
        <w:rPr>
          <w:rtl/>
        </w:rPr>
        <w:tab/>
        <w:t>(ب)</w:t>
      </w:r>
      <w:r w:rsidRPr="00EA2224">
        <w:rPr>
          <w:rtl/>
        </w:rPr>
        <w:tab/>
        <w:t>الآليات القائمة لضمان المشاركة الفعالة للمجتمع المدني في تنفيذها ورصدها وتقييمها.</w:t>
      </w:r>
    </w:p>
    <w:p w14:paraId="1BBFCBF6" w14:textId="378AD4BC" w:rsidR="00EA2224" w:rsidRPr="00EA2224" w:rsidRDefault="00EA2224" w:rsidP="00EA2224">
      <w:pPr>
        <w:pStyle w:val="SingleTxt"/>
        <w:rPr>
          <w:b/>
          <w:bCs/>
        </w:rPr>
      </w:pPr>
      <w:r w:rsidRPr="00EA2224">
        <w:rPr>
          <w:b/>
          <w:rtl/>
        </w:rPr>
        <w:t>34</w:t>
      </w:r>
      <w:r w:rsidRPr="000C3869">
        <w:rPr>
          <w:b/>
          <w:rtl/>
        </w:rPr>
        <w:t xml:space="preserve"> -</w:t>
      </w:r>
      <w:r w:rsidRPr="000C3869">
        <w:rPr>
          <w:b/>
          <w:rtl/>
        </w:rPr>
        <w:tab/>
      </w:r>
      <w:r w:rsidRPr="00EA2224">
        <w:rPr>
          <w:bCs/>
          <w:rtl/>
        </w:rPr>
        <w:t xml:space="preserve">وتوصي اللجنة، تمشيا مع توصيتها العامة رقم </w:t>
      </w:r>
      <w:r w:rsidRPr="00E86319">
        <w:rPr>
          <w:bCs/>
          <w:rtl/>
        </w:rPr>
        <w:t>30 (2013)</w:t>
      </w:r>
      <w:r w:rsidRPr="00EA2224">
        <w:rPr>
          <w:bCs/>
          <w:rtl/>
        </w:rPr>
        <w:t xml:space="preserve"> بشأن وضع المرأة في سياق منع نشوب النـزاعات وفي حالات النـزاع وما بعد انتهاء النـزاع، وقرار مجلس الأمن </w:t>
      </w:r>
      <w:r w:rsidRPr="00E86319">
        <w:rPr>
          <w:bCs/>
          <w:rtl/>
        </w:rPr>
        <w:t>1325 (2000)</w:t>
      </w:r>
      <w:r w:rsidRPr="00EA2224">
        <w:rPr>
          <w:bCs/>
          <w:rtl/>
        </w:rPr>
        <w:t xml:space="preserve"> والقرارات اللاحقة بشأن المرأة والسلام والأمن، بأن تقوم الدولة الطرف بما يلي</w:t>
      </w:r>
      <w:r w:rsidRPr="00EA2224">
        <w:rPr>
          <w:bCs/>
          <w:lang w:val="fr-CH"/>
        </w:rPr>
        <w:t>:</w:t>
      </w:r>
    </w:p>
    <w:p w14:paraId="2800698C" w14:textId="29018907" w:rsidR="00EA2224" w:rsidRPr="00EA2224" w:rsidRDefault="00EA2224" w:rsidP="00EA2224">
      <w:pPr>
        <w:pStyle w:val="SingleTxt"/>
        <w:rPr>
          <w:b/>
          <w:bCs/>
        </w:rPr>
      </w:pPr>
      <w:r w:rsidRPr="00EA2224">
        <w:rPr>
          <w:b/>
          <w:rtl/>
        </w:rPr>
        <w:tab/>
        <w:t>(أ)</w:t>
      </w:r>
      <w:r w:rsidRPr="00EA2224">
        <w:rPr>
          <w:b/>
          <w:rtl/>
        </w:rPr>
        <w:tab/>
      </w:r>
      <w:r w:rsidRPr="00EA2224">
        <w:rPr>
          <w:b/>
          <w:bCs/>
          <w:rtl/>
        </w:rPr>
        <w:t xml:space="preserve">ضمان تخصيص موارد كافية لتنفيذ خطة العمل الوطنية المتعلقة بتنفيذ قرار مجلس الأمن </w:t>
      </w:r>
      <w:hyperlink r:id="rId40" w:history="1">
        <w:r w:rsidRPr="00EA2224">
          <w:rPr>
            <w:rStyle w:val="Hyperlink"/>
            <w:b/>
            <w:bCs/>
            <w:rtl/>
          </w:rPr>
          <w:t>1325 (2000)</w:t>
        </w:r>
      </w:hyperlink>
      <w:r w:rsidRPr="00EA2224">
        <w:rPr>
          <w:b/>
          <w:bCs/>
          <w:rtl/>
        </w:rPr>
        <w:t xml:space="preserve"> بشأن المرأة والسلام والأمن؛</w:t>
      </w:r>
      <w:r w:rsidRPr="00EA2224">
        <w:rPr>
          <w:bCs/>
          <w:rtl/>
        </w:rPr>
        <w:t xml:space="preserve"> </w:t>
      </w:r>
    </w:p>
    <w:p w14:paraId="32DDD6C8" w14:textId="1CD6124B" w:rsidR="00EA2224" w:rsidRPr="00EA2224" w:rsidRDefault="00EA2224" w:rsidP="00EA2224">
      <w:pPr>
        <w:pStyle w:val="SingleTxt"/>
        <w:rPr>
          <w:b/>
          <w:bCs/>
        </w:rPr>
      </w:pPr>
      <w:r w:rsidRPr="00EA2224">
        <w:rPr>
          <w:b/>
          <w:rtl/>
        </w:rPr>
        <w:tab/>
        <w:t>(ب)</w:t>
      </w:r>
      <w:r w:rsidRPr="00EA2224">
        <w:rPr>
          <w:b/>
          <w:rtl/>
        </w:rPr>
        <w:tab/>
      </w:r>
      <w:r w:rsidRPr="00EA2224">
        <w:rPr>
          <w:bCs/>
          <w:rtl/>
        </w:rPr>
        <w:t>ضمان مشاركة منظمات حقوق المرأة بفعالية في تنفيذ خطة العمل الوطنية ورصدها وتقييمها.</w:t>
      </w:r>
    </w:p>
    <w:p w14:paraId="38BD7A91" w14:textId="77777777" w:rsidR="00EA2224" w:rsidRPr="00EA2224" w:rsidRDefault="00EA2224" w:rsidP="00EA2224">
      <w:pPr>
        <w:pStyle w:val="SingleTxt"/>
        <w:spacing w:after="0" w:line="120" w:lineRule="exact"/>
        <w:rPr>
          <w:b/>
          <w:sz w:val="10"/>
          <w:rtl/>
        </w:rPr>
      </w:pPr>
    </w:p>
    <w:p w14:paraId="038595F8" w14:textId="55FF2864" w:rsidR="00EA2224" w:rsidRPr="00EA2224" w:rsidRDefault="00EA2224" w:rsidP="00EA2224">
      <w:pPr>
        <w:pStyle w:val="H23"/>
        <w:ind w:left="1267" w:right="1267" w:hanging="1267"/>
      </w:pPr>
      <w:r w:rsidRPr="00EA2224">
        <w:rPr>
          <w:rtl/>
        </w:rPr>
        <w:tab/>
      </w:r>
      <w:r w:rsidRPr="00EA2224">
        <w:rPr>
          <w:rtl/>
        </w:rPr>
        <w:tab/>
        <w:t>الجنسية</w:t>
      </w:r>
    </w:p>
    <w:p w14:paraId="36D7005E" w14:textId="3AF29DBF" w:rsidR="00EA2224" w:rsidRPr="00EA2224" w:rsidRDefault="00EA2224" w:rsidP="00EA2224">
      <w:pPr>
        <w:pStyle w:val="SingleTxt"/>
      </w:pPr>
      <w:r w:rsidRPr="00EA2224">
        <w:rPr>
          <w:rtl/>
        </w:rPr>
        <w:t>35</w:t>
      </w:r>
      <w:r>
        <w:rPr>
          <w:rtl/>
        </w:rPr>
        <w:t xml:space="preserve"> -</w:t>
      </w:r>
      <w:r>
        <w:rPr>
          <w:rtl/>
        </w:rPr>
        <w:tab/>
      </w:r>
      <w:r w:rsidRPr="00EA2224">
        <w:rPr>
          <w:rtl/>
        </w:rPr>
        <w:t xml:space="preserve">ترحب اللجنة بإنشاء نظام </w:t>
      </w:r>
      <w:r w:rsidRPr="00EA2224">
        <w:rPr>
          <w:rFonts w:hint="eastAsia"/>
          <w:rtl/>
        </w:rPr>
        <w:t>إلكتروني</w:t>
      </w:r>
      <w:r w:rsidRPr="00EA2224">
        <w:rPr>
          <w:rtl/>
        </w:rPr>
        <w:t xml:space="preserve"> لتسجيل المواليد في جميع مستشفيات المقاطعات (</w:t>
      </w:r>
      <w:hyperlink r:id="rId41" w:history="1">
        <w:r w:rsidRPr="00EA2224">
          <w:rPr>
            <w:rStyle w:val="Hyperlink"/>
            <w:lang w:val="fr-CH"/>
          </w:rPr>
          <w:t>CEDAW/C/NAM/6</w:t>
        </w:r>
      </w:hyperlink>
      <w:r w:rsidRPr="00EA2224">
        <w:rPr>
          <w:rtl/>
        </w:rPr>
        <w:t>، الفقرة 51) وبقرار المحكمة العليا الناميبية الصادر في عام 2021 الذي يعترف بالطفل المولود لأحد الوالدين من ناميبيا من الحمل لفائدة الغير في الخارج باعتباره مواطنا ناميبيا بالنسب. غير أنها تشعر بالقلق بشأن ما يلي:</w:t>
      </w:r>
    </w:p>
    <w:p w14:paraId="7135F59B" w14:textId="5B888ECD" w:rsidR="00EA2224" w:rsidRPr="00EA2224" w:rsidRDefault="00EA2224" w:rsidP="00EA2224">
      <w:pPr>
        <w:pStyle w:val="SingleTxt"/>
      </w:pPr>
      <w:r w:rsidRPr="00EA2224">
        <w:rPr>
          <w:rtl/>
        </w:rPr>
        <w:tab/>
        <w:t>(أ)</w:t>
      </w:r>
      <w:r w:rsidRPr="00EA2224">
        <w:rPr>
          <w:rtl/>
        </w:rPr>
        <w:tab/>
        <w:t>لا يوجد إطار قانوني ينظم مسألة جنسية الأطفال المولودين من الحمل لفائدة الغير خارج الدولة الطرف؛</w:t>
      </w:r>
    </w:p>
    <w:p w14:paraId="3E1C24E2" w14:textId="20DB3A39" w:rsidR="00EA2224" w:rsidRPr="00EA2224" w:rsidRDefault="00EA2224" w:rsidP="00EA2224">
      <w:pPr>
        <w:pStyle w:val="SingleTxt"/>
      </w:pPr>
      <w:r w:rsidRPr="00EA2224">
        <w:rPr>
          <w:rtl/>
        </w:rPr>
        <w:tab/>
        <w:t>(ب)</w:t>
      </w:r>
      <w:r w:rsidRPr="00EA2224">
        <w:rPr>
          <w:rtl/>
        </w:rPr>
        <w:tab/>
        <w:t>لم تصدق الدولة الطرف على اتفاقية عام 1954 بشأن وضع الأشخاص عديمي الجنسية واتفاقية عام 1961 المتعلقة بخفض حالات انعدام الجنسية.</w:t>
      </w:r>
    </w:p>
    <w:p w14:paraId="58BFC964" w14:textId="155557D4" w:rsidR="00EA2224" w:rsidRPr="00EA2224" w:rsidRDefault="00EA2224" w:rsidP="00EA2224">
      <w:pPr>
        <w:pStyle w:val="SingleTxt"/>
      </w:pPr>
      <w:r w:rsidRPr="00EA2224">
        <w:rPr>
          <w:rtl/>
        </w:rPr>
        <w:tab/>
        <w:t>(ج)</w:t>
      </w:r>
      <w:r w:rsidRPr="00EA2224">
        <w:rPr>
          <w:rtl/>
        </w:rPr>
        <w:tab/>
        <w:t>لا يزال عدد المواليد غير المسجلين مرتفعا، ولا سيما في المناطق الريفية؛</w:t>
      </w:r>
    </w:p>
    <w:p w14:paraId="509DF29E" w14:textId="06171F8F" w:rsidR="00EA2224" w:rsidRPr="00EA2224" w:rsidRDefault="00EA2224" w:rsidP="00EA2224">
      <w:pPr>
        <w:pStyle w:val="SingleTxt"/>
      </w:pPr>
      <w:r w:rsidRPr="00EA2224">
        <w:rPr>
          <w:rtl/>
        </w:rPr>
        <w:tab/>
        <w:t>(د)</w:t>
      </w:r>
      <w:r w:rsidRPr="00EA2224">
        <w:rPr>
          <w:rtl/>
        </w:rPr>
        <w:tab/>
        <w:t>تصبح المرأة أحيانا ضحية لزواج المصلحة من رجال أجانب يسعون إلى دخول الدولة الطرف.</w:t>
      </w:r>
    </w:p>
    <w:p w14:paraId="567189D0" w14:textId="55CC391C" w:rsidR="00EA2224" w:rsidRPr="00EA2224" w:rsidRDefault="00EA2224" w:rsidP="00EA2224">
      <w:pPr>
        <w:pStyle w:val="SingleTxt"/>
      </w:pPr>
      <w:r w:rsidRPr="00EA2224">
        <w:rPr>
          <w:rtl/>
        </w:rPr>
        <w:t>36</w:t>
      </w:r>
      <w:r>
        <w:rPr>
          <w:rtl/>
        </w:rPr>
        <w:t xml:space="preserve"> -</w:t>
      </w:r>
      <w:r>
        <w:rPr>
          <w:rtl/>
        </w:rPr>
        <w:tab/>
      </w:r>
      <w:r w:rsidRPr="00EA2224">
        <w:rPr>
          <w:b/>
          <w:bCs/>
          <w:rtl/>
        </w:rPr>
        <w:t xml:space="preserve">وتشير اللجنة إلى توصيتها العامة رقم </w:t>
      </w:r>
      <w:r w:rsidRPr="00E86319">
        <w:rPr>
          <w:b/>
          <w:bCs/>
          <w:rtl/>
        </w:rPr>
        <w:t>32 (2014)</w:t>
      </w:r>
      <w:r w:rsidRPr="00EA2224">
        <w:rPr>
          <w:b/>
          <w:bCs/>
          <w:rtl/>
        </w:rPr>
        <w:t xml:space="preserve"> بشأن الأبعاد الجنسانية المرتبطة بالمرأة فيما يتعلق بمركز اللاجئ واللجوء والجنسية وانعدام الجنسية، وتوصي بأن تقوم الدولة الطرف بما يلي:</w:t>
      </w:r>
    </w:p>
    <w:p w14:paraId="5CC0D869" w14:textId="77777777" w:rsidR="00EA2224" w:rsidRPr="00EA2224" w:rsidRDefault="00EA2224" w:rsidP="00EA2224">
      <w:pPr>
        <w:pStyle w:val="SingleTxt"/>
        <w:rPr>
          <w:b/>
        </w:rPr>
      </w:pPr>
      <w:r w:rsidRPr="00EA2224">
        <w:rPr>
          <w:b/>
          <w:rtl/>
        </w:rPr>
        <w:tab/>
        <w:t>(أ)</w:t>
      </w:r>
      <w:r w:rsidRPr="00EA2224">
        <w:rPr>
          <w:b/>
          <w:rtl/>
        </w:rPr>
        <w:tab/>
      </w:r>
      <w:r w:rsidRPr="00EA2224">
        <w:rPr>
          <w:bCs/>
          <w:rtl/>
        </w:rPr>
        <w:t>اعتماد أحكام قانونية تنص على أن يكتسب الطفل المولود لأحد الوالدين من ناميبيا من الحمل لفائدة الغير في الخارج الجنسية الناميبية عن طريق النسب؛</w:t>
      </w:r>
    </w:p>
    <w:p w14:paraId="6D3B2AE7" w14:textId="4F84284F" w:rsidR="00EA2224" w:rsidRPr="00EA2224" w:rsidRDefault="00EA2224" w:rsidP="00EA2224">
      <w:pPr>
        <w:pStyle w:val="SingleTxt"/>
      </w:pPr>
      <w:r w:rsidRPr="00EA2224">
        <w:rPr>
          <w:rtl/>
        </w:rPr>
        <w:lastRenderedPageBreak/>
        <w:tab/>
        <w:t>(ب)</w:t>
      </w:r>
      <w:r w:rsidRPr="00EA2224">
        <w:rPr>
          <w:rtl/>
        </w:rPr>
        <w:tab/>
      </w:r>
      <w:r w:rsidRPr="00EA2224">
        <w:rPr>
          <w:b/>
          <w:bCs/>
          <w:rtl/>
        </w:rPr>
        <w:t>التصديق على الاتفاقية المتعلقة بوضع الأشخاص عديمي الجنسية لعام 1954</w:t>
      </w:r>
      <w:r w:rsidR="006345D2">
        <w:rPr>
          <w:b/>
          <w:bCs/>
          <w:rtl/>
        </w:rPr>
        <w:t xml:space="preserve"> </w:t>
      </w:r>
      <w:r w:rsidRPr="00EA2224">
        <w:rPr>
          <w:b/>
          <w:bCs/>
          <w:rtl/>
        </w:rPr>
        <w:t>واتفاقية المتعلقة بخفض حالات انعدام الجنسية لعام 1961</w:t>
      </w:r>
      <w:r w:rsidRPr="00EA2224">
        <w:rPr>
          <w:b/>
          <w:bCs/>
          <w:rtl/>
          <w:lang w:bidi="ar-LB"/>
        </w:rPr>
        <w:t>؛</w:t>
      </w:r>
    </w:p>
    <w:p w14:paraId="11E9DC4D" w14:textId="77777777" w:rsidR="00EA2224" w:rsidRPr="00EA2224" w:rsidRDefault="00EA2224" w:rsidP="00EA2224">
      <w:pPr>
        <w:pStyle w:val="SingleTxt"/>
        <w:rPr>
          <w:b/>
        </w:rPr>
      </w:pPr>
      <w:r w:rsidRPr="00EA2224">
        <w:rPr>
          <w:b/>
          <w:rtl/>
        </w:rPr>
        <w:tab/>
        <w:t>(ج)</w:t>
      </w:r>
      <w:r w:rsidRPr="00EA2224">
        <w:rPr>
          <w:b/>
          <w:rtl/>
        </w:rPr>
        <w:tab/>
      </w:r>
      <w:r w:rsidRPr="00EA2224">
        <w:rPr>
          <w:bCs/>
          <w:rtl/>
        </w:rPr>
        <w:t>مواصلة تيسير تسجيل المواليد، بما في ذلك عندما لا يكون لدى الأمهات وثائق هوية أو عندما يكن لاجئات أو طالبات لجوء، من خلال استخدام النظم الإلكترونية لتسجيل المواليد، وتعزيز الجهود الرامية إلى نشر وحدات متنقلة للسجل المدني لإصدار شهادات الميلاد في المناطق الريفية والنائية وفي مجتمعات السكان الأصليين؛</w:t>
      </w:r>
    </w:p>
    <w:p w14:paraId="53B53D87" w14:textId="1AF5CE4B" w:rsidR="00EA2224" w:rsidRPr="00EA2224" w:rsidRDefault="00EA2224" w:rsidP="00EA2224">
      <w:pPr>
        <w:pStyle w:val="SingleTxt"/>
        <w:rPr>
          <w:b/>
        </w:rPr>
      </w:pPr>
      <w:r w:rsidRPr="00EA2224">
        <w:rPr>
          <w:b/>
          <w:rtl/>
        </w:rPr>
        <w:tab/>
        <w:t>(د)</w:t>
      </w:r>
      <w:r w:rsidRPr="00EA2224">
        <w:rPr>
          <w:b/>
          <w:rtl/>
        </w:rPr>
        <w:tab/>
      </w:r>
      <w:r w:rsidRPr="00EA2224">
        <w:rPr>
          <w:bCs/>
          <w:rtl/>
        </w:rPr>
        <w:t>اعتماد مشروع قانون الزواج وزيادة الوعي لحماية المرأة في حالات زواج المصلحة أو</w:t>
      </w:r>
      <w:r w:rsidR="000C3869">
        <w:rPr>
          <w:rFonts w:hint="cs"/>
          <w:bCs/>
          <w:rtl/>
        </w:rPr>
        <w:t> </w:t>
      </w:r>
      <w:r w:rsidRPr="00EA2224">
        <w:rPr>
          <w:bCs/>
          <w:rtl/>
        </w:rPr>
        <w:t>المعرضة لخطر هذا الزواج.</w:t>
      </w:r>
      <w:r w:rsidR="00B975EF">
        <w:rPr>
          <w:rFonts w:hint="cs"/>
          <w:bCs/>
          <w:rtl/>
        </w:rPr>
        <w:t xml:space="preserve"> </w:t>
      </w:r>
    </w:p>
    <w:p w14:paraId="3C63A37E" w14:textId="77777777" w:rsidR="00C63930" w:rsidRPr="00C63930" w:rsidRDefault="00C63930" w:rsidP="00C63930">
      <w:pPr>
        <w:pStyle w:val="SingleTxt"/>
        <w:spacing w:after="0" w:line="120" w:lineRule="exact"/>
        <w:rPr>
          <w:b/>
          <w:sz w:val="10"/>
          <w:rtl/>
        </w:rPr>
      </w:pPr>
    </w:p>
    <w:p w14:paraId="6B064FCA" w14:textId="34BC71B9" w:rsidR="00EA2224" w:rsidRPr="00EA2224" w:rsidRDefault="00EA2224" w:rsidP="00C63930">
      <w:pPr>
        <w:pStyle w:val="H23"/>
        <w:ind w:left="1267" w:right="1267" w:hanging="1267"/>
      </w:pPr>
      <w:r w:rsidRPr="00EA2224">
        <w:rPr>
          <w:rtl/>
        </w:rPr>
        <w:tab/>
      </w:r>
      <w:r w:rsidRPr="00EA2224">
        <w:rPr>
          <w:rtl/>
        </w:rPr>
        <w:tab/>
        <w:t>التعليم</w:t>
      </w:r>
    </w:p>
    <w:p w14:paraId="6C2FD9DD" w14:textId="11F55D07" w:rsidR="00EA2224" w:rsidRPr="00EA2224" w:rsidRDefault="00EA2224" w:rsidP="00EA2224">
      <w:pPr>
        <w:pStyle w:val="SingleTxt"/>
      </w:pPr>
      <w:r w:rsidRPr="00EA2224">
        <w:rPr>
          <w:rtl/>
        </w:rPr>
        <w:t>37</w:t>
      </w:r>
      <w:r>
        <w:rPr>
          <w:rtl/>
        </w:rPr>
        <w:t xml:space="preserve"> -</w:t>
      </w:r>
      <w:r>
        <w:rPr>
          <w:rtl/>
        </w:rPr>
        <w:tab/>
      </w:r>
      <w:r w:rsidRPr="00EA2224">
        <w:rPr>
          <w:rtl/>
        </w:rPr>
        <w:t>ترحب اللجنة بتوفير التعليم الابتدائي والثانوي المجاني، فضلا عن دروس في المهارات الحياتية والتعليم المناسب للسن في مجال الصحة والحقوق الجنسية والإنجابية في الدولة الطرف. وتلاحظ أيضا نشر كتيب للتوجيه المهني وإشراك الفتيات لزيادة اهتمامهن بميادين الدراسة غير التقليدية. غير أن اللجنة تلاحظ بقلق ما يلي:</w:t>
      </w:r>
    </w:p>
    <w:p w14:paraId="02C5D944" w14:textId="77777777" w:rsidR="00EA2224" w:rsidRPr="00EA2224" w:rsidRDefault="00EA2224" w:rsidP="00EA2224">
      <w:pPr>
        <w:pStyle w:val="SingleTxt"/>
      </w:pPr>
      <w:r w:rsidRPr="00EA2224">
        <w:rPr>
          <w:rtl/>
        </w:rPr>
        <w:tab/>
        <w:t>(أ)</w:t>
      </w:r>
      <w:r w:rsidRPr="00EA2224">
        <w:rPr>
          <w:rtl/>
        </w:rPr>
        <w:tab/>
        <w:t>عدم تخصيص برامج تثقيف شامل بشأن الصحة والحقوق الجنسية والإنجابية للمراهقين، بما في ذلك بشأن السلوك الجنسي المسؤول، واستخدام وسائل منع الحمل الحديثة، والوقاية من الأمراض المنقولة بالاتصال الجنسي، مما يسهم في الحمل المبكر بين الفتيات في سن الدراسة؛</w:t>
      </w:r>
    </w:p>
    <w:p w14:paraId="7B2CC16B" w14:textId="77777777" w:rsidR="00EA2224" w:rsidRPr="00EA2224" w:rsidRDefault="00EA2224" w:rsidP="00EA2224">
      <w:pPr>
        <w:pStyle w:val="SingleTxt"/>
      </w:pPr>
      <w:r w:rsidRPr="00EA2224">
        <w:rPr>
          <w:rtl/>
        </w:rPr>
        <w:tab/>
        <w:t>(ب)</w:t>
      </w:r>
      <w:r w:rsidRPr="00EA2224">
        <w:rPr>
          <w:rtl/>
        </w:rPr>
        <w:tab/>
        <w:t>معدل التسرب المرتفع بين الفتيات الحوامل والأمهات الشابات وعدم توفر معلومات عن أثر البرامج الرامية إلى تشجيع الفتيات الحوامل والأمهات الشابات على مواصلة تعليمهن أثناء الحمل وبعده وعن توافر رعاية الأطفال بتكلفة معقولة ودعم سبل العيش؛</w:t>
      </w:r>
    </w:p>
    <w:p w14:paraId="7F051D28" w14:textId="77777777" w:rsidR="00EA2224" w:rsidRPr="00EA2224" w:rsidRDefault="00EA2224" w:rsidP="00EA2224">
      <w:pPr>
        <w:pStyle w:val="SingleTxt"/>
      </w:pPr>
      <w:r w:rsidRPr="00EA2224">
        <w:rPr>
          <w:rtl/>
        </w:rPr>
        <w:tab/>
        <w:t>(ج)</w:t>
      </w:r>
      <w:r w:rsidRPr="00EA2224">
        <w:rPr>
          <w:rtl/>
        </w:rPr>
        <w:tab/>
        <w:t>حالات العقوبة البدنية والعنف الجنساني والتمييز وتسلط الأقران في المدارس المبلغ عنها، ولا سيما ضد فتيات الشعوب الأصلية؛</w:t>
      </w:r>
    </w:p>
    <w:p w14:paraId="023C7F0C" w14:textId="0BEA5CFB" w:rsidR="00EA2224" w:rsidRPr="00EA2224" w:rsidRDefault="00EA2224" w:rsidP="00EA2224">
      <w:pPr>
        <w:pStyle w:val="SingleTxt"/>
      </w:pPr>
      <w:r w:rsidRPr="00EA2224">
        <w:rPr>
          <w:rtl/>
        </w:rPr>
        <w:tab/>
        <w:t>(د)</w:t>
      </w:r>
      <w:r w:rsidRPr="00EA2224">
        <w:rPr>
          <w:rtl/>
        </w:rPr>
        <w:tab/>
        <w:t>نقص تمثيل النساء والفتيات في المجالات الدراسية والمسارات المهنية غير التقليدية؛</w:t>
      </w:r>
    </w:p>
    <w:p w14:paraId="65E2980B" w14:textId="38FDB396" w:rsidR="00EA2224" w:rsidRPr="00EA2224" w:rsidRDefault="00EA2224" w:rsidP="00EA2224">
      <w:pPr>
        <w:pStyle w:val="SingleTxt"/>
      </w:pPr>
      <w:r w:rsidRPr="00EA2224">
        <w:rPr>
          <w:rtl/>
        </w:rPr>
        <w:tab/>
        <w:t>(هـ)</w:t>
      </w:r>
      <w:r w:rsidRPr="00EA2224">
        <w:rPr>
          <w:rtl/>
        </w:rPr>
        <w:tab/>
        <w:t>الافتقار إلى منتجات النظافة الصحية والمرافق الصحية المتاحة للفتيات في المدارس.</w:t>
      </w:r>
    </w:p>
    <w:p w14:paraId="40EFD00A" w14:textId="25C17BBE" w:rsidR="00EA2224" w:rsidRPr="00EA2224" w:rsidRDefault="00EA2224" w:rsidP="00EA2224">
      <w:pPr>
        <w:pStyle w:val="SingleTxt"/>
      </w:pPr>
      <w:r w:rsidRPr="00EA2224">
        <w:rPr>
          <w:rtl/>
        </w:rPr>
        <w:t>38</w:t>
      </w:r>
      <w:r w:rsidR="000C3869">
        <w:rPr>
          <w:rFonts w:hint="cs"/>
          <w:rtl/>
        </w:rPr>
        <w:t xml:space="preserve"> -</w:t>
      </w:r>
      <w:r w:rsidR="000C3869">
        <w:rPr>
          <w:rtl/>
        </w:rPr>
        <w:tab/>
      </w:r>
      <w:r w:rsidRPr="00EA2224">
        <w:rPr>
          <w:b/>
          <w:bCs/>
          <w:rtl/>
        </w:rPr>
        <w:t xml:space="preserve">وتشير اللجنة إلى توصيتها العامة رقم </w:t>
      </w:r>
      <w:r w:rsidRPr="00E86319">
        <w:rPr>
          <w:b/>
          <w:bCs/>
          <w:rtl/>
        </w:rPr>
        <w:t>36 (2017)</w:t>
      </w:r>
      <w:r w:rsidRPr="00EA2224">
        <w:rPr>
          <w:b/>
          <w:bCs/>
          <w:rtl/>
        </w:rPr>
        <w:t xml:space="preserve"> بشأن حق الفتيات والنساء في التعليم، وتوصي الدولة الطرف بأن تروج لأهمية تعليم الفتيات على جميع المستويات باعتباره أساسا لتمكينهن، وبأن تقوم بما يلي:</w:t>
      </w:r>
    </w:p>
    <w:p w14:paraId="4B0CEBA5" w14:textId="77777777" w:rsidR="00EA2224" w:rsidRPr="00EA2224" w:rsidRDefault="00EA2224" w:rsidP="00EA2224">
      <w:pPr>
        <w:pStyle w:val="SingleTxt"/>
        <w:rPr>
          <w:b/>
          <w:bCs/>
        </w:rPr>
      </w:pPr>
      <w:r w:rsidRPr="00EA2224">
        <w:rPr>
          <w:rtl/>
        </w:rPr>
        <w:tab/>
        <w:t>(أ)</w:t>
      </w:r>
      <w:r w:rsidRPr="00EA2224">
        <w:rPr>
          <w:rtl/>
        </w:rPr>
        <w:tab/>
      </w:r>
      <w:r w:rsidRPr="00EA2224">
        <w:rPr>
          <w:b/>
          <w:bCs/>
          <w:rtl/>
        </w:rPr>
        <w:t>ضمان حصول جميع الفتيات والفتيان في الدولة الطرف على تعليم مناسب للسن وقائم على الأدلة ودقيق علميا بشأن الصحة والحقوق الجنسية والإنجابية يشمل السلوك الجنسي المسؤول، و</w:t>
      </w:r>
      <w:r w:rsidRPr="00EA2224">
        <w:rPr>
          <w:rFonts w:hint="eastAsia"/>
          <w:b/>
          <w:bCs/>
          <w:rtl/>
        </w:rPr>
        <w:t>استخدام</w:t>
      </w:r>
      <w:r w:rsidRPr="00EA2224">
        <w:rPr>
          <w:b/>
          <w:bCs/>
          <w:lang w:val="fr-CH"/>
        </w:rPr>
        <w:t xml:space="preserve"> </w:t>
      </w:r>
      <w:r w:rsidRPr="00EA2224">
        <w:rPr>
          <w:rFonts w:hint="eastAsia"/>
          <w:b/>
          <w:bCs/>
          <w:rtl/>
        </w:rPr>
        <w:t>وسائل</w:t>
      </w:r>
      <w:r w:rsidRPr="00EA2224">
        <w:rPr>
          <w:b/>
          <w:bCs/>
          <w:lang w:val="fr-CH"/>
        </w:rPr>
        <w:t xml:space="preserve"> </w:t>
      </w:r>
      <w:r w:rsidRPr="00EA2224">
        <w:rPr>
          <w:rFonts w:hint="eastAsia"/>
          <w:b/>
          <w:bCs/>
          <w:rtl/>
        </w:rPr>
        <w:t>منع</w:t>
      </w:r>
      <w:r w:rsidRPr="00EA2224">
        <w:rPr>
          <w:b/>
          <w:bCs/>
          <w:lang w:val="fr-CH"/>
        </w:rPr>
        <w:t xml:space="preserve"> </w:t>
      </w:r>
      <w:r w:rsidRPr="00EA2224">
        <w:rPr>
          <w:rFonts w:hint="eastAsia"/>
          <w:b/>
          <w:bCs/>
          <w:rtl/>
        </w:rPr>
        <w:t>الحمل</w:t>
      </w:r>
      <w:r w:rsidRPr="00EA2224">
        <w:rPr>
          <w:b/>
          <w:bCs/>
          <w:rtl/>
        </w:rPr>
        <w:t xml:space="preserve"> الحديثة، والوقاية من الأمراض المنقولة بالاتصال الجنسي، ويكون خاليا من القوالب النمطية الجنسانية التمييزية؛</w:t>
      </w:r>
    </w:p>
    <w:p w14:paraId="49B8F4E1" w14:textId="1FE84746" w:rsidR="00EA2224" w:rsidRPr="00EA2224" w:rsidRDefault="00EA2224" w:rsidP="00EA2224">
      <w:pPr>
        <w:pStyle w:val="SingleTxt"/>
        <w:rPr>
          <w:b/>
          <w:bCs/>
        </w:rPr>
      </w:pPr>
      <w:r w:rsidRPr="00EA2224">
        <w:rPr>
          <w:rtl/>
        </w:rPr>
        <w:tab/>
        <w:t>(ب)</w:t>
      </w:r>
      <w:r w:rsidRPr="00EA2224">
        <w:rPr>
          <w:rtl/>
        </w:rPr>
        <w:tab/>
      </w:r>
      <w:r w:rsidRPr="00EA2224">
        <w:rPr>
          <w:b/>
          <w:bCs/>
          <w:rtl/>
        </w:rPr>
        <w:t xml:space="preserve">تعزيز تنفيذ ورصد وتقييم البرامج القائمة للحد من التسرب من المدارس بسبب الحمل المبكر، وتشجيع عودة الأمهات إلى المدارس بعد الولادة، وضمان حصول جميع الفتيات الحوامل والأمهات </w:t>
      </w:r>
      <w:r w:rsidRPr="00EA2224">
        <w:rPr>
          <w:b/>
          <w:bCs/>
          <w:rtl/>
        </w:rPr>
        <w:lastRenderedPageBreak/>
        <w:t>الشابات على الدعم الذي يسمح لهن بالبقاء في المدرسة عن طريق توفير مرافق مجانية لرعاية الأطفال ودعم سبل العيش، بطرق منها المنح الدراسية التي توفرها الدولة الطرف وحلقات العمل التي تنظمها للتمكين، وصندوق المساعدة المالية للطلاب في ناميبيا، ومن خلال تنفيذ السياسة القطاعية لمنع الحمل لدى المتعلمات وإدارة شؤونه؛</w:t>
      </w:r>
    </w:p>
    <w:p w14:paraId="579730B5" w14:textId="77777777" w:rsidR="00EA2224" w:rsidRPr="00EA2224" w:rsidRDefault="00EA2224" w:rsidP="00EA2224">
      <w:pPr>
        <w:pStyle w:val="SingleTxt"/>
        <w:rPr>
          <w:b/>
          <w:bCs/>
        </w:rPr>
      </w:pPr>
      <w:r w:rsidRPr="00EA2224">
        <w:rPr>
          <w:rtl/>
        </w:rPr>
        <w:tab/>
        <w:t>(ج)</w:t>
      </w:r>
      <w:r w:rsidRPr="00EA2224">
        <w:rPr>
          <w:rtl/>
        </w:rPr>
        <w:tab/>
      </w:r>
      <w:r w:rsidRPr="00EA2224">
        <w:rPr>
          <w:b/>
          <w:bCs/>
          <w:rtl/>
        </w:rPr>
        <w:t>إنفاذ حظر العقوبة البدنية المنصوص عليه في المادة 56 من قانون التعليم (رقم 3 الصادر في عام 2020)، ومواصلة تنفيذ برامج بناء القدرات بشأن وسائل التأديب غير العنيفة بموجب الإطار الوطني للمدارس الآمنة (2018) وبرامج التوعية التي تنفذها وزارة التعليم والفنون والثقافة؛</w:t>
      </w:r>
    </w:p>
    <w:p w14:paraId="5E3468D8" w14:textId="77FB4555" w:rsidR="00EA2224" w:rsidRPr="00EA2224" w:rsidRDefault="00EA2224" w:rsidP="00EA2224">
      <w:pPr>
        <w:pStyle w:val="SingleTxt"/>
      </w:pPr>
      <w:r w:rsidRPr="00EA2224">
        <w:rPr>
          <w:rtl/>
        </w:rPr>
        <w:tab/>
        <w:t>(د)</w:t>
      </w:r>
      <w:r w:rsidRPr="00EA2224">
        <w:rPr>
          <w:rtl/>
        </w:rPr>
        <w:tab/>
      </w:r>
      <w:r w:rsidRPr="00EA2224">
        <w:rPr>
          <w:b/>
          <w:bCs/>
          <w:rtl/>
        </w:rPr>
        <w:t>تعزيز مشاركة النساء والفتيات في المجالات الدراسية والمسارات المهنية غير التقليدية، ولا سيما مجالات العلوم والتكنولوجيا والهندسة والرياضيات وتكنولوجيا المعلومات والاتصالات؛</w:t>
      </w:r>
    </w:p>
    <w:p w14:paraId="1BA6FF30" w14:textId="77777777" w:rsidR="00EA2224" w:rsidRPr="00EA2224" w:rsidRDefault="00EA2224" w:rsidP="00EA2224">
      <w:pPr>
        <w:pStyle w:val="SingleTxt"/>
      </w:pPr>
      <w:r w:rsidRPr="00EA2224">
        <w:rPr>
          <w:rtl/>
        </w:rPr>
        <w:tab/>
        <w:t>(هـ)</w:t>
      </w:r>
      <w:r w:rsidRPr="00EA2224">
        <w:rPr>
          <w:rtl/>
        </w:rPr>
        <w:tab/>
      </w:r>
      <w:r w:rsidRPr="00EA2224">
        <w:rPr>
          <w:b/>
          <w:bCs/>
          <w:rtl/>
        </w:rPr>
        <w:t>توفير المرافق الصحية الملائمة والفوط الصحية المجانية للفتيات في المدارس، بطرق منها مشروع الكرامة، وإدراج التدريب المناسب للعمر على التعامل مع الحيض في المناهج الدراسية.</w:t>
      </w:r>
    </w:p>
    <w:p w14:paraId="42D11944" w14:textId="77777777" w:rsidR="00C63930" w:rsidRPr="00C63930" w:rsidRDefault="00C63930" w:rsidP="00C63930">
      <w:pPr>
        <w:pStyle w:val="SingleTxt"/>
        <w:spacing w:after="0" w:line="120" w:lineRule="exact"/>
        <w:rPr>
          <w:b/>
          <w:sz w:val="10"/>
          <w:rtl/>
        </w:rPr>
      </w:pPr>
    </w:p>
    <w:p w14:paraId="70988A4F" w14:textId="5583F815" w:rsidR="00EA2224" w:rsidRPr="00EA2224" w:rsidRDefault="00EA2224" w:rsidP="00C63930">
      <w:pPr>
        <w:pStyle w:val="H23"/>
        <w:ind w:left="1267" w:right="1267" w:hanging="1267"/>
      </w:pPr>
      <w:r w:rsidRPr="00EA2224">
        <w:rPr>
          <w:rtl/>
        </w:rPr>
        <w:tab/>
      </w:r>
      <w:r w:rsidRPr="00EA2224">
        <w:rPr>
          <w:rtl/>
        </w:rPr>
        <w:tab/>
        <w:t>العمالة</w:t>
      </w:r>
    </w:p>
    <w:p w14:paraId="26FEE98B" w14:textId="1CAD2D0D" w:rsidR="00EA2224" w:rsidRPr="00EA2224" w:rsidRDefault="00EA2224" w:rsidP="00EA2224">
      <w:pPr>
        <w:pStyle w:val="SingleTxt"/>
      </w:pPr>
      <w:r w:rsidRPr="00EA2224">
        <w:rPr>
          <w:rtl/>
        </w:rPr>
        <w:t>39</w:t>
      </w:r>
      <w:r>
        <w:rPr>
          <w:rtl/>
        </w:rPr>
        <w:t xml:space="preserve"> -</w:t>
      </w:r>
      <w:r>
        <w:rPr>
          <w:rtl/>
        </w:rPr>
        <w:tab/>
      </w:r>
      <w:r w:rsidRPr="00EA2224">
        <w:rPr>
          <w:rtl/>
        </w:rPr>
        <w:t>ترحب اللجنة بالتدابير المتخذة لدعم المرأة في بدء الأعمال التجارية ومنع التحرش الجنسي، بطرق منها إنشاء اللجنة العاملة الثلاثية الأطراف لتنفيذ اتفاقية منظمة العمل الدولية بشأن القضاء على العنف والتحرش في عالم العمل لعام 2019 (رقم 190). غير أن اللجنة تلاحظ بقلق ما يلي:</w:t>
      </w:r>
    </w:p>
    <w:p w14:paraId="1C524241" w14:textId="755BBCB0" w:rsidR="00EA2224" w:rsidRPr="00EA2224" w:rsidRDefault="00EA2224" w:rsidP="00EA2224">
      <w:pPr>
        <w:pStyle w:val="SingleTxt"/>
      </w:pPr>
      <w:r w:rsidRPr="00EA2224">
        <w:rPr>
          <w:rtl/>
        </w:rPr>
        <w:tab/>
        <w:t>(أ)</w:t>
      </w:r>
      <w:r w:rsidRPr="00EA2224">
        <w:rPr>
          <w:rtl/>
        </w:rPr>
        <w:tab/>
        <w:t>عدد النساء العاطلات عن العمل المرتفع بشكل غير متناسب؛</w:t>
      </w:r>
    </w:p>
    <w:p w14:paraId="1AC47967" w14:textId="77777777" w:rsidR="00EA2224" w:rsidRPr="00EA2224" w:rsidRDefault="00EA2224" w:rsidP="00EA2224">
      <w:pPr>
        <w:pStyle w:val="SingleTxt"/>
      </w:pPr>
      <w:r w:rsidRPr="00EA2224">
        <w:rPr>
          <w:rtl/>
        </w:rPr>
        <w:tab/>
        <w:t>(ب)</w:t>
      </w:r>
      <w:r w:rsidRPr="00EA2224">
        <w:rPr>
          <w:rtl/>
        </w:rPr>
        <w:tab/>
        <w:t>استمرار الفصل الرأسي والأفقي في سوق العمل؛</w:t>
      </w:r>
    </w:p>
    <w:p w14:paraId="7E722A53" w14:textId="7D9FC529" w:rsidR="00EA2224" w:rsidRPr="00EA2224" w:rsidRDefault="00EA2224" w:rsidP="00EA2224">
      <w:pPr>
        <w:pStyle w:val="SingleTxt"/>
      </w:pPr>
      <w:r w:rsidRPr="00EA2224">
        <w:rPr>
          <w:rtl/>
        </w:rPr>
        <w:tab/>
        <w:t>(ج)</w:t>
      </w:r>
      <w:r w:rsidRPr="00EA2224">
        <w:rPr>
          <w:rtl/>
        </w:rPr>
        <w:tab/>
        <w:t>اتساع الفجوة في الأجور بين الجنسين؛</w:t>
      </w:r>
    </w:p>
    <w:p w14:paraId="7CCE9E0C" w14:textId="77777777" w:rsidR="00EA2224" w:rsidRPr="00EA2224" w:rsidRDefault="00EA2224" w:rsidP="00EA2224">
      <w:pPr>
        <w:pStyle w:val="SingleTxt"/>
      </w:pPr>
      <w:r w:rsidRPr="00EA2224">
        <w:rPr>
          <w:rtl/>
        </w:rPr>
        <w:tab/>
        <w:t>(د)</w:t>
      </w:r>
      <w:r w:rsidRPr="00EA2224">
        <w:rPr>
          <w:rtl/>
        </w:rPr>
        <w:tab/>
        <w:t>اقتصار البيانات الإحصائية المتعلقة بالتحرش الجنسي في مكان العمل على القضايا المرفوعة إلى مكتب مفوض العمل؛</w:t>
      </w:r>
    </w:p>
    <w:p w14:paraId="1D9221C8" w14:textId="5B62A372" w:rsidR="00EA2224" w:rsidRPr="00EA2224" w:rsidRDefault="00EA2224" w:rsidP="00EA2224">
      <w:pPr>
        <w:pStyle w:val="SingleTxt"/>
      </w:pPr>
      <w:r w:rsidRPr="00EA2224">
        <w:rPr>
          <w:rtl/>
        </w:rPr>
        <w:tab/>
        <w:t>(هـ)</w:t>
      </w:r>
      <w:r w:rsidRPr="00EA2224">
        <w:rPr>
          <w:rtl/>
        </w:rPr>
        <w:tab/>
        <w:t>نسبة النساء العاملات في الاقتصاد غير الرسمي المرتفعة، وعدم تعديل قانون الضمان الاجتماعي حتى الآن لضمان حماية الأمومة والحماية الاجتماعية لفائدة المرأة في الاقتصاد غير الرسمي؛</w:t>
      </w:r>
    </w:p>
    <w:p w14:paraId="0A26AD08" w14:textId="722541D3" w:rsidR="00EA2224" w:rsidRPr="00EA2224" w:rsidRDefault="00EA2224" w:rsidP="00EA2224">
      <w:pPr>
        <w:pStyle w:val="SingleTxt"/>
      </w:pPr>
      <w:r w:rsidRPr="00EA2224">
        <w:rPr>
          <w:rtl/>
        </w:rPr>
        <w:tab/>
        <w:t>(و)</w:t>
      </w:r>
      <w:r w:rsidRPr="00EA2224">
        <w:rPr>
          <w:rtl/>
        </w:rPr>
        <w:tab/>
        <w:t>عدم توفر المعلومات حول الآليات المعمول بها لضمان استفادة عاملات المنازل من ظروف العمل المنصوص عليها في الأمر المتعلق بأجور العمال المنزليين لعام 2018.</w:t>
      </w:r>
    </w:p>
    <w:p w14:paraId="08C8C84D" w14:textId="1A5B2DB2" w:rsidR="00EA2224" w:rsidRPr="00EA2224" w:rsidRDefault="00EA2224" w:rsidP="00EA2224">
      <w:pPr>
        <w:pStyle w:val="SingleTxt"/>
        <w:rPr>
          <w:b/>
        </w:rPr>
      </w:pPr>
      <w:r w:rsidRPr="00EA2224">
        <w:rPr>
          <w:b/>
          <w:rtl/>
        </w:rPr>
        <w:t>40</w:t>
      </w:r>
      <w:r w:rsidRPr="000C3869">
        <w:rPr>
          <w:b/>
          <w:rtl/>
        </w:rPr>
        <w:t xml:space="preserve"> -</w:t>
      </w:r>
      <w:r w:rsidRPr="000C3869">
        <w:rPr>
          <w:b/>
          <w:rtl/>
        </w:rPr>
        <w:tab/>
      </w:r>
      <w:r w:rsidRPr="00EA2224">
        <w:rPr>
          <w:b/>
          <w:bCs/>
          <w:rtl/>
        </w:rPr>
        <w:t>وتماشيا مع الغاية 8-5 من أهداف خطة التنمية المستدامة بشأن ت</w:t>
      </w:r>
      <w:r w:rsidRPr="00EA2224">
        <w:rPr>
          <w:b/>
          <w:bCs/>
          <w:rtl/>
          <w:lang w:bidi="ar-LB"/>
        </w:rPr>
        <w:t>حقيق</w:t>
      </w:r>
      <w:r w:rsidRPr="00EA2224">
        <w:rPr>
          <w:b/>
          <w:bCs/>
          <w:rtl/>
        </w:rPr>
        <w:t xml:space="preserve"> العمالة الكاملة والمنتجة وتوفير العمل اللائق لجميع النساء والرجال، توصي اللجنة بأن تقوم الدولة الطرف بما يلي:</w:t>
      </w:r>
    </w:p>
    <w:p w14:paraId="19B8F4E3" w14:textId="36F4CAD3" w:rsidR="00EA2224" w:rsidRPr="00EA2224" w:rsidRDefault="00EA2224" w:rsidP="00EA2224">
      <w:pPr>
        <w:pStyle w:val="SingleTxt"/>
        <w:rPr>
          <w:b/>
          <w:bCs/>
        </w:rPr>
      </w:pPr>
      <w:r w:rsidRPr="00EA2224">
        <w:rPr>
          <w:rtl/>
        </w:rPr>
        <w:tab/>
        <w:t>(أ)</w:t>
      </w:r>
      <w:r w:rsidRPr="00EA2224">
        <w:rPr>
          <w:rtl/>
        </w:rPr>
        <w:tab/>
      </w:r>
      <w:r w:rsidRPr="00EA2224">
        <w:rPr>
          <w:b/>
          <w:bCs/>
          <w:rtl/>
        </w:rPr>
        <w:t>زيادة التدريب المهني للنساء والفتيات للحد من البطالة وضمان أن تعطي دائرة التوظيف الوطنية الأولوية للنساء بوصفهن فئة مستهدفة؛</w:t>
      </w:r>
    </w:p>
    <w:p w14:paraId="679763CE" w14:textId="62F7CFDC" w:rsidR="00EA2224" w:rsidRPr="00EA2224" w:rsidRDefault="00EA2224" w:rsidP="00EA2224">
      <w:pPr>
        <w:pStyle w:val="SingleTxt"/>
        <w:rPr>
          <w:b/>
          <w:bCs/>
          <w:spacing w:val="-2"/>
        </w:rPr>
      </w:pPr>
      <w:r w:rsidRPr="00EA2224">
        <w:rPr>
          <w:spacing w:val="-2"/>
          <w:rtl/>
        </w:rPr>
        <w:tab/>
        <w:t>(ب)</w:t>
      </w:r>
      <w:r w:rsidRPr="00EA2224">
        <w:rPr>
          <w:spacing w:val="-2"/>
          <w:rtl/>
        </w:rPr>
        <w:tab/>
      </w:r>
      <w:r w:rsidRPr="00EA2224">
        <w:rPr>
          <w:b/>
          <w:bCs/>
          <w:spacing w:val="-2"/>
          <w:rtl/>
        </w:rPr>
        <w:t>معالجة الفصل المهني الأفقي والرأسي في سوق العمل، بطرق منها إنفاذ قانون العمل الإيجابي (العمالة) (رقم 29 الصادر في عام 1998) وقانون العمل الإيجابي (العمالة) المعدل (رقم 6 الصادر في عام 2007)، وتعزيز لجنة الإنصاف</w:t>
      </w:r>
      <w:r w:rsidRPr="00EA2224">
        <w:rPr>
          <w:b/>
          <w:bCs/>
          <w:spacing w:val="-2"/>
          <w:rtl/>
          <w:lang w:bidi="ar-LB"/>
        </w:rPr>
        <w:t xml:space="preserve"> في </w:t>
      </w:r>
      <w:r w:rsidRPr="00EA2224">
        <w:rPr>
          <w:b/>
          <w:bCs/>
          <w:spacing w:val="-2"/>
          <w:rtl/>
        </w:rPr>
        <w:t>العم</w:t>
      </w:r>
      <w:r w:rsidRPr="00EA2224">
        <w:rPr>
          <w:b/>
          <w:bCs/>
          <w:spacing w:val="-2"/>
          <w:rtl/>
          <w:lang w:bidi="ar-LB"/>
        </w:rPr>
        <w:t>ل</w:t>
      </w:r>
      <w:r w:rsidRPr="00EA2224">
        <w:rPr>
          <w:b/>
          <w:bCs/>
          <w:spacing w:val="-2"/>
          <w:rtl/>
        </w:rPr>
        <w:t>، وزيادة توافر مرافق رعاية الأطفال بتكلفة معقولة؛</w:t>
      </w:r>
      <w:r w:rsidR="00B975EF">
        <w:rPr>
          <w:rFonts w:hint="cs"/>
          <w:b/>
          <w:bCs/>
          <w:spacing w:val="-2"/>
          <w:rtl/>
        </w:rPr>
        <w:t xml:space="preserve"> </w:t>
      </w:r>
    </w:p>
    <w:p w14:paraId="35DCD0A5" w14:textId="697C75AE" w:rsidR="00EA2224" w:rsidRPr="006345D2" w:rsidRDefault="00EA2224" w:rsidP="006345D2">
      <w:pPr>
        <w:pStyle w:val="SingleTxt"/>
        <w:rPr>
          <w:b/>
          <w:bCs/>
        </w:rPr>
      </w:pPr>
      <w:r w:rsidRPr="000C3869">
        <w:rPr>
          <w:rtl/>
        </w:rPr>
        <w:lastRenderedPageBreak/>
        <w:tab/>
        <w:t>(ج)</w:t>
      </w:r>
      <w:r w:rsidRPr="000C3869">
        <w:rPr>
          <w:rtl/>
        </w:rPr>
        <w:tab/>
      </w:r>
      <w:r w:rsidRPr="006345D2">
        <w:rPr>
          <w:b/>
          <w:bCs/>
          <w:rtl/>
        </w:rPr>
        <w:t xml:space="preserve">ضمان تنفيذ مبدأ الأجر المتساوي لقاء العمل المتساوي القيمة، عن طريق </w:t>
      </w:r>
      <w:r w:rsidR="006345D2">
        <w:rPr>
          <w:rFonts w:eastAsiaTheme="minorEastAsia" w:hint="cs"/>
          <w:b/>
          <w:bCs/>
          <w:spacing w:val="2"/>
          <w:rtl/>
        </w:rPr>
        <w:t>’</w:t>
      </w:r>
      <w:r w:rsidRPr="006345D2">
        <w:rPr>
          <w:b/>
          <w:bCs/>
          <w:rtl/>
        </w:rPr>
        <w:t>1</w:t>
      </w:r>
      <w:r w:rsidR="006345D2">
        <w:rPr>
          <w:rFonts w:hint="cs"/>
          <w:b/>
          <w:bCs/>
          <w:rtl/>
        </w:rPr>
        <w:t>‘</w:t>
      </w:r>
      <w:r w:rsidRPr="006345D2">
        <w:rPr>
          <w:b/>
          <w:bCs/>
          <w:rtl/>
        </w:rPr>
        <w:t xml:space="preserve"> إجراء عمليات تفتيش العمل المنتظمة، </w:t>
      </w:r>
      <w:r w:rsidR="006345D2">
        <w:rPr>
          <w:rFonts w:hint="cs"/>
          <w:b/>
          <w:bCs/>
          <w:rtl/>
        </w:rPr>
        <w:t>’</w:t>
      </w:r>
      <w:r w:rsidRPr="006345D2">
        <w:rPr>
          <w:b/>
          <w:bCs/>
          <w:rtl/>
        </w:rPr>
        <w:t>2</w:t>
      </w:r>
      <w:r w:rsidR="006345D2">
        <w:rPr>
          <w:rFonts w:hint="cs"/>
          <w:b/>
          <w:bCs/>
          <w:rtl/>
        </w:rPr>
        <w:t>‘</w:t>
      </w:r>
      <w:r w:rsidRPr="006345D2">
        <w:rPr>
          <w:b/>
          <w:bCs/>
          <w:rtl/>
        </w:rPr>
        <w:t xml:space="preserve"> تطبيق أساليب تحليلية محايدة جنسانيا لتصنيف الوظائف وتقييمها، </w:t>
      </w:r>
      <w:r w:rsidR="006345D2">
        <w:rPr>
          <w:rFonts w:hint="cs"/>
          <w:b/>
          <w:bCs/>
          <w:rtl/>
        </w:rPr>
        <w:t>’</w:t>
      </w:r>
      <w:r w:rsidRPr="006345D2">
        <w:rPr>
          <w:b/>
          <w:bCs/>
          <w:rtl/>
        </w:rPr>
        <w:t>3</w:t>
      </w:r>
      <w:r w:rsidR="006345D2">
        <w:rPr>
          <w:rFonts w:hint="cs"/>
          <w:b/>
          <w:bCs/>
          <w:rtl/>
        </w:rPr>
        <w:t>‘</w:t>
      </w:r>
      <w:r w:rsidRPr="006345D2">
        <w:rPr>
          <w:b/>
          <w:bCs/>
          <w:rtl/>
        </w:rPr>
        <w:t xml:space="preserve"> إجراء دراسات استقصائية منتظمة للأجور، </w:t>
      </w:r>
      <w:r w:rsidR="006345D2">
        <w:rPr>
          <w:rFonts w:hint="cs"/>
          <w:b/>
          <w:bCs/>
          <w:rtl/>
        </w:rPr>
        <w:t>’</w:t>
      </w:r>
      <w:r w:rsidRPr="006345D2">
        <w:rPr>
          <w:b/>
          <w:bCs/>
          <w:rtl/>
        </w:rPr>
        <w:t>4</w:t>
      </w:r>
      <w:r w:rsidR="006345D2">
        <w:rPr>
          <w:rFonts w:hint="cs"/>
          <w:b/>
          <w:bCs/>
          <w:rtl/>
        </w:rPr>
        <w:t>‘</w:t>
      </w:r>
      <w:r w:rsidRPr="006345D2">
        <w:rPr>
          <w:b/>
          <w:bCs/>
          <w:rtl/>
        </w:rPr>
        <w:t xml:space="preserve"> تشجيع أصحاب العمل على نشر سرد يتضمن بياناتهم عن الفجوة في الأجور بين الجنسين، بغية فهم الأسباب الكامنة وراء الفجوة في الأجور بين الجنسين على نحو أفضل، واتخاذ التدابير العلاجية المناسبة، </w:t>
      </w:r>
      <w:r w:rsidR="006345D2">
        <w:rPr>
          <w:rFonts w:hint="cs"/>
          <w:b/>
          <w:bCs/>
          <w:rtl/>
        </w:rPr>
        <w:t>’</w:t>
      </w:r>
      <w:r w:rsidRPr="006345D2">
        <w:rPr>
          <w:b/>
          <w:bCs/>
          <w:rtl/>
        </w:rPr>
        <w:t>5</w:t>
      </w:r>
      <w:r w:rsidR="006345D2">
        <w:rPr>
          <w:rFonts w:hint="cs"/>
          <w:b/>
          <w:bCs/>
          <w:rtl/>
        </w:rPr>
        <w:t>‘</w:t>
      </w:r>
      <w:r w:rsidRPr="006345D2">
        <w:rPr>
          <w:b/>
          <w:bCs/>
          <w:rtl/>
        </w:rPr>
        <w:t xml:space="preserve"> إنفاذ مبدأ عدم التمييز في أجور النساء والرجال المنصوص عليه في المادة 95 (أ) من الدستور؛</w:t>
      </w:r>
    </w:p>
    <w:p w14:paraId="733D189D" w14:textId="77777777" w:rsidR="00EA2224" w:rsidRPr="00EA2224" w:rsidRDefault="00EA2224" w:rsidP="00EA2224">
      <w:pPr>
        <w:pStyle w:val="SingleTxt"/>
        <w:rPr>
          <w:b/>
          <w:bCs/>
        </w:rPr>
      </w:pPr>
      <w:r w:rsidRPr="00EA2224">
        <w:rPr>
          <w:rtl/>
        </w:rPr>
        <w:tab/>
        <w:t>(د)</w:t>
      </w:r>
      <w:r w:rsidRPr="00EA2224">
        <w:rPr>
          <w:rtl/>
        </w:rPr>
        <w:tab/>
      </w:r>
      <w:r w:rsidRPr="00EA2224">
        <w:rPr>
          <w:b/>
          <w:bCs/>
          <w:rtl/>
        </w:rPr>
        <w:t>إنفاذ المادة 5 من قانون العمل (رقم 11 الصادر في عام 2007) واتخاذ تدابير ملموسة لمنع التحرش الجنسي في مكان العمل، بطرق منها تجريم التحرش الجنسي على وجه التحديد، وتعزيز مدونات قواعد السلوك في مكان العمل، وزيادة الوعي وتقديم المساعدة القانونية للضحايا؛</w:t>
      </w:r>
    </w:p>
    <w:p w14:paraId="09E6349A" w14:textId="77777777" w:rsidR="00EA2224" w:rsidRPr="00EA2224" w:rsidRDefault="00EA2224" w:rsidP="00EA2224">
      <w:pPr>
        <w:pStyle w:val="SingleTxt"/>
        <w:rPr>
          <w:b/>
          <w:bCs/>
        </w:rPr>
      </w:pPr>
      <w:r w:rsidRPr="00EA2224">
        <w:rPr>
          <w:rtl/>
        </w:rPr>
        <w:tab/>
        <w:t>(هـ)</w:t>
      </w:r>
      <w:r w:rsidRPr="00EA2224">
        <w:rPr>
          <w:rtl/>
        </w:rPr>
        <w:tab/>
      </w:r>
      <w:r w:rsidRPr="00EA2224">
        <w:rPr>
          <w:b/>
          <w:bCs/>
          <w:rtl/>
        </w:rPr>
        <w:t>زيادة مشاركة المرأة في الاقتصاد الرسمي وضمان أن تشمل حماية الأمومة والحماية الاجتماعية النساء العاملات في الاقتصاد غير الرسمي؛</w:t>
      </w:r>
    </w:p>
    <w:p w14:paraId="5F7CAB45" w14:textId="57EE291A" w:rsidR="00EA2224" w:rsidRPr="00EA2224" w:rsidRDefault="00EA2224" w:rsidP="00EA2224">
      <w:pPr>
        <w:pStyle w:val="SingleTxt"/>
        <w:rPr>
          <w:b/>
          <w:bCs/>
        </w:rPr>
      </w:pPr>
      <w:r w:rsidRPr="00EA2224">
        <w:rPr>
          <w:rtl/>
        </w:rPr>
        <w:tab/>
        <w:t>(و)</w:t>
      </w:r>
      <w:r w:rsidRPr="00EA2224">
        <w:rPr>
          <w:rtl/>
        </w:rPr>
        <w:tab/>
      </w:r>
      <w:r w:rsidRPr="00EA2224">
        <w:rPr>
          <w:b/>
          <w:bCs/>
          <w:rtl/>
        </w:rPr>
        <w:t>زيادة عدد عمليات تفتيش العمل التي تجريها وزارة العمل وعلاقات العمل وإيجاد فرص العمل لضمان الامتثال لأمر المتعلق</w:t>
      </w:r>
      <w:r w:rsidR="006345D2">
        <w:rPr>
          <w:b/>
          <w:bCs/>
          <w:rtl/>
        </w:rPr>
        <w:t xml:space="preserve"> </w:t>
      </w:r>
      <w:r w:rsidRPr="00EA2224">
        <w:rPr>
          <w:b/>
          <w:bCs/>
          <w:rtl/>
        </w:rPr>
        <w:t>بأجور العمال المنزليين لعام 2018، لا سيما في المناطق الريفية، وزيادة الوعي بآلية الشكاوى المعمول بها.</w:t>
      </w:r>
      <w:r w:rsidR="00B975EF">
        <w:rPr>
          <w:rFonts w:hint="cs"/>
          <w:b/>
          <w:bCs/>
          <w:rtl/>
        </w:rPr>
        <w:t xml:space="preserve"> </w:t>
      </w:r>
    </w:p>
    <w:p w14:paraId="5B757F78" w14:textId="77777777" w:rsidR="00C63930" w:rsidRPr="00C63930" w:rsidRDefault="00C63930" w:rsidP="00C63930">
      <w:pPr>
        <w:pStyle w:val="SingleTxt"/>
        <w:spacing w:after="0" w:line="120" w:lineRule="exact"/>
        <w:rPr>
          <w:b/>
          <w:sz w:val="10"/>
          <w:rtl/>
        </w:rPr>
      </w:pPr>
    </w:p>
    <w:p w14:paraId="4CC3602A" w14:textId="6AC32529" w:rsidR="00EA2224" w:rsidRPr="00EA2224" w:rsidRDefault="00EA2224" w:rsidP="00C63930">
      <w:pPr>
        <w:pStyle w:val="H23"/>
        <w:ind w:left="1267" w:right="1267" w:hanging="1267"/>
      </w:pPr>
      <w:r w:rsidRPr="00EA2224">
        <w:rPr>
          <w:rtl/>
        </w:rPr>
        <w:tab/>
      </w:r>
      <w:r w:rsidRPr="00EA2224">
        <w:rPr>
          <w:rtl/>
        </w:rPr>
        <w:tab/>
        <w:t>الصحة</w:t>
      </w:r>
    </w:p>
    <w:p w14:paraId="7E4D0CE3" w14:textId="5D2F8ECD" w:rsidR="00EA2224" w:rsidRPr="00EA2224" w:rsidRDefault="00EA2224" w:rsidP="00EA2224">
      <w:pPr>
        <w:pStyle w:val="SingleTxt"/>
      </w:pPr>
      <w:r w:rsidRPr="00EA2224">
        <w:rPr>
          <w:rtl/>
        </w:rPr>
        <w:tab/>
        <w:t>41</w:t>
      </w:r>
      <w:r>
        <w:rPr>
          <w:rtl/>
        </w:rPr>
        <w:t xml:space="preserve"> -</w:t>
      </w:r>
      <w:r>
        <w:rPr>
          <w:rtl/>
        </w:rPr>
        <w:tab/>
      </w:r>
      <w:r w:rsidRPr="00EA2224">
        <w:rPr>
          <w:rtl/>
        </w:rPr>
        <w:t>تلاحظ اللجنة التقدم المبلغ عنه في الحد من انتقال فيروس نقص المناعة البشرية/الإيدز من الأم إلى الطفل وتوافر مجموعات اختبار فيروس نقص المناعة البشرية/الإيدز بقدر كبير. غير أن اللجنة تلاحظ بقلق ما يلي:</w:t>
      </w:r>
    </w:p>
    <w:p w14:paraId="6CF4544D" w14:textId="6C9EE927" w:rsidR="00EA2224" w:rsidRPr="00EA2224" w:rsidRDefault="00EA2224" w:rsidP="00EA2224">
      <w:pPr>
        <w:pStyle w:val="SingleTxt"/>
      </w:pPr>
      <w:r w:rsidRPr="00EA2224">
        <w:rPr>
          <w:rtl/>
        </w:rPr>
        <w:tab/>
        <w:t>(أ)</w:t>
      </w:r>
      <w:r w:rsidRPr="00EA2224">
        <w:rPr>
          <w:rtl/>
        </w:rPr>
        <w:tab/>
        <w:t>تجريم الإجهاض وعدم منح استثناءات إلا في حالات تعرض حياة المرأة الحامل أو</w:t>
      </w:r>
      <w:r w:rsidR="000C3869">
        <w:rPr>
          <w:rFonts w:hint="cs"/>
          <w:rtl/>
        </w:rPr>
        <w:t> </w:t>
      </w:r>
      <w:r w:rsidRPr="00EA2224">
        <w:rPr>
          <w:rtl/>
        </w:rPr>
        <w:t>الطفل للخطر، وفي الحالات التي يكون فيها الحمل ناتجا عن اغتصاب؛</w:t>
      </w:r>
    </w:p>
    <w:p w14:paraId="74530747" w14:textId="77777777" w:rsidR="00EA2224" w:rsidRPr="00EA2224" w:rsidRDefault="00EA2224" w:rsidP="00EA2224">
      <w:pPr>
        <w:pStyle w:val="SingleTxt"/>
      </w:pPr>
      <w:r w:rsidRPr="00EA2224">
        <w:rPr>
          <w:rtl/>
        </w:rPr>
        <w:tab/>
        <w:t>(ب)</w:t>
      </w:r>
      <w:r w:rsidRPr="00EA2224">
        <w:rPr>
          <w:rtl/>
        </w:rPr>
        <w:tab/>
        <w:t>انخفاض عدد النساء اللواتي يحصلن على خدمات الرعاية السابقة للولادة وتزايد عدد حالات المبلغ عنها فيما يتعلق بالسلوك التعسفي للعاملين في مجال الرعاية الصحية أثناء المخاض والولادة؛</w:t>
      </w:r>
    </w:p>
    <w:p w14:paraId="304B31FE" w14:textId="2E9F7954" w:rsidR="00EA2224" w:rsidRPr="00EA2224" w:rsidRDefault="00EA2224" w:rsidP="00EA2224">
      <w:pPr>
        <w:pStyle w:val="SingleTxt"/>
      </w:pPr>
      <w:r w:rsidRPr="00EA2224">
        <w:rPr>
          <w:rtl/>
        </w:rPr>
        <w:tab/>
        <w:t>(ج)</w:t>
      </w:r>
      <w:r w:rsidRPr="00EA2224">
        <w:rPr>
          <w:rtl/>
        </w:rPr>
        <w:tab/>
        <w:t>الفرص المحدودة المتاحة للمرأة للحصول على خدمات الإجهاض المأمون وخدمات ما</w:t>
      </w:r>
      <w:r w:rsidR="000C3869">
        <w:rPr>
          <w:rFonts w:hint="cs"/>
          <w:rtl/>
        </w:rPr>
        <w:t> </w:t>
      </w:r>
      <w:r w:rsidRPr="00EA2224">
        <w:rPr>
          <w:rtl/>
        </w:rPr>
        <w:t>بعد الإجهاض؛</w:t>
      </w:r>
    </w:p>
    <w:p w14:paraId="4FC9B936" w14:textId="28F32EB8" w:rsidR="00EA2224" w:rsidRPr="00EA2224" w:rsidRDefault="00EA2224" w:rsidP="00EA2224">
      <w:pPr>
        <w:pStyle w:val="SingleTxt"/>
      </w:pPr>
      <w:r w:rsidRPr="00EA2224">
        <w:rPr>
          <w:rtl/>
        </w:rPr>
        <w:tab/>
        <w:t>(د)</w:t>
      </w:r>
      <w:r w:rsidRPr="00EA2224">
        <w:rPr>
          <w:rtl/>
        </w:rPr>
        <w:tab/>
        <w:t>استخدام وسائل منع الحمل المنخفض على الرغم من توافرها مجانا في جميع مرافق الصحة العامة (</w:t>
      </w:r>
      <w:hyperlink r:id="rId42" w:history="1">
        <w:r w:rsidRPr="00EA2224">
          <w:rPr>
            <w:rStyle w:val="Hyperlink"/>
            <w:lang w:val="fr-CH"/>
          </w:rPr>
          <w:t>CEDAW/C/NAM/6</w:t>
        </w:r>
      </w:hyperlink>
      <w:r w:rsidRPr="00EA2224">
        <w:rPr>
          <w:rtl/>
        </w:rPr>
        <w:t xml:space="preserve">، الفقرة 157؛ و </w:t>
      </w:r>
      <w:hyperlink r:id="rId43" w:history="1">
        <w:r w:rsidRPr="00EA2224">
          <w:rPr>
            <w:rStyle w:val="Hyperlink"/>
            <w:lang w:val="fr-CH"/>
          </w:rPr>
          <w:t>CEDAW/C/NAM/RQ/6</w:t>
        </w:r>
      </w:hyperlink>
      <w:r w:rsidRPr="00EA2224">
        <w:rPr>
          <w:rtl/>
        </w:rPr>
        <w:t>، الفقرة 69)؛</w:t>
      </w:r>
    </w:p>
    <w:p w14:paraId="08D32197" w14:textId="77777777" w:rsidR="00EA2224" w:rsidRPr="00EA2224" w:rsidRDefault="00EA2224" w:rsidP="00EA2224">
      <w:pPr>
        <w:pStyle w:val="SingleTxt"/>
      </w:pPr>
      <w:r w:rsidRPr="00EA2224">
        <w:rPr>
          <w:rtl/>
        </w:rPr>
        <w:tab/>
        <w:t>(هـ)</w:t>
      </w:r>
      <w:r w:rsidRPr="00EA2224">
        <w:rPr>
          <w:rtl/>
        </w:rPr>
        <w:tab/>
        <w:t xml:space="preserve">الفرص المحدودة المتاحة للنساء، بمن فيهن النساء ذوات الإعاقة ونساء الشعوب الأصلية والمثليات ومزدوجات الميل الجنسي ومغايرات الهوية الجنسانية وحاملات صفات الجنسين، للاستفادة من الرعاية في مجالي الصحة الجنسية والإنجابية؛ </w:t>
      </w:r>
    </w:p>
    <w:p w14:paraId="26BC5095" w14:textId="77777777" w:rsidR="00EA2224" w:rsidRPr="00EA2224" w:rsidRDefault="00EA2224" w:rsidP="00EA2224">
      <w:pPr>
        <w:pStyle w:val="SingleTxt"/>
      </w:pPr>
      <w:r w:rsidRPr="00EA2224">
        <w:rPr>
          <w:rtl/>
        </w:rPr>
        <w:tab/>
        <w:t>(و)</w:t>
      </w:r>
      <w:r w:rsidRPr="00EA2224">
        <w:rPr>
          <w:rtl/>
        </w:rPr>
        <w:tab/>
        <w:t>ورود تقارير تشير إلى أن معدل الإصابة السنوي بفيروس نقص المناعة البشرية/الإيدز بين البالغين الذين تتراوح أعمارهم بين 15 و 64 سنة ومعدل الإصابات الجديدة مرتفعان بشكل غير متناسب بين النساء؛</w:t>
      </w:r>
    </w:p>
    <w:p w14:paraId="216C3CD9" w14:textId="66AB9FC9" w:rsidR="00EA2224" w:rsidRPr="00EA2224" w:rsidRDefault="00EA2224" w:rsidP="00EA2224">
      <w:pPr>
        <w:pStyle w:val="SingleTxt"/>
      </w:pPr>
      <w:r w:rsidRPr="00EA2224">
        <w:rPr>
          <w:rtl/>
        </w:rPr>
        <w:lastRenderedPageBreak/>
        <w:tab/>
        <w:t>(ز)</w:t>
      </w:r>
      <w:r w:rsidRPr="00EA2224">
        <w:rPr>
          <w:rtl/>
        </w:rPr>
        <w:tab/>
        <w:t>عدم توفر معلومات عن انتشار عمليات التعقيم القسري للنساء المصابات بفيروس نقص المناعة البشرية في الدولة الطرف، وأن المادة 4 من قانون الإجهاض والتعقيم (رقم 2 الصادر في عام 1975) تسمح بتعقيم النساء دون موافقتهن في ظروف معينة.</w:t>
      </w:r>
      <w:r w:rsidR="00B975EF">
        <w:rPr>
          <w:rFonts w:hint="cs"/>
          <w:rtl/>
        </w:rPr>
        <w:t xml:space="preserve"> </w:t>
      </w:r>
    </w:p>
    <w:p w14:paraId="506706B4" w14:textId="59AB7445" w:rsidR="00EA2224" w:rsidRPr="00EA2224" w:rsidRDefault="00EA2224" w:rsidP="00EA2224">
      <w:pPr>
        <w:pStyle w:val="SingleTxt"/>
        <w:rPr>
          <w:b/>
        </w:rPr>
      </w:pPr>
      <w:r w:rsidRPr="00EA2224">
        <w:rPr>
          <w:b/>
          <w:rtl/>
        </w:rPr>
        <w:t>42</w:t>
      </w:r>
      <w:r w:rsidRPr="000C3869">
        <w:rPr>
          <w:b/>
          <w:rtl/>
        </w:rPr>
        <w:t xml:space="preserve"> -</w:t>
      </w:r>
      <w:r w:rsidRPr="000C3869">
        <w:rPr>
          <w:b/>
          <w:rtl/>
        </w:rPr>
        <w:tab/>
      </w:r>
      <w:r w:rsidRPr="00EA2224">
        <w:rPr>
          <w:bCs/>
          <w:rtl/>
        </w:rPr>
        <w:t>و</w:t>
      </w:r>
      <w:r w:rsidRPr="00EA2224">
        <w:rPr>
          <w:b/>
          <w:bCs/>
          <w:rtl/>
        </w:rPr>
        <w:t xml:space="preserve">تشير اللجنة إلى توصيتها العامة رقم </w:t>
      </w:r>
      <w:r w:rsidRPr="00E86319">
        <w:rPr>
          <w:b/>
          <w:bCs/>
          <w:rtl/>
        </w:rPr>
        <w:t>24 (1999)</w:t>
      </w:r>
      <w:r w:rsidRPr="00EA2224">
        <w:rPr>
          <w:b/>
          <w:bCs/>
          <w:rtl/>
        </w:rPr>
        <w:t xml:space="preserve"> بشأن المرأة والصحة، وتوصي بأن تقوم الدولة الطرف بما يلي:</w:t>
      </w:r>
    </w:p>
    <w:p w14:paraId="1B79183C" w14:textId="6FB2AF46" w:rsidR="00EA2224" w:rsidRPr="00EA2224" w:rsidRDefault="00EA2224" w:rsidP="00EA2224">
      <w:pPr>
        <w:pStyle w:val="SingleTxt"/>
      </w:pPr>
      <w:r w:rsidRPr="00EA2224">
        <w:rPr>
          <w:rtl/>
        </w:rPr>
        <w:tab/>
        <w:t>(أ)</w:t>
      </w:r>
      <w:r w:rsidRPr="00EA2224">
        <w:rPr>
          <w:b/>
          <w:bCs/>
          <w:rtl/>
        </w:rPr>
        <w:tab/>
        <w:t xml:space="preserve">تعديل الفقرة 1 من المادة 3 من قانون الإجهاض والتعقيم (رقم 2 الصادر في عام 1975) لإلغاء تجريم الإجهاض في جميع الحالات وإضفاء الطابع الشرعي عليه، كحد أدنى، في حالات الاغتصاب أو سفاح المحارم أو إصابة الجنين بتشوهات بالغة وتعرض حياة الحامل أو صحتها للخطر، مع الاعتراف بأن تجريم الإجهاض شكل من أشكال العنف الجنساني ضد المرأة، وفقا للتوصية العامة رقم </w:t>
      </w:r>
      <w:r w:rsidRPr="00E86319">
        <w:rPr>
          <w:b/>
          <w:bCs/>
          <w:rtl/>
        </w:rPr>
        <w:t>35 (2017)</w:t>
      </w:r>
      <w:r w:rsidRPr="00EA2224">
        <w:rPr>
          <w:b/>
          <w:bCs/>
          <w:rtl/>
        </w:rPr>
        <w:t xml:space="preserve"> بشأن العنف الجنساني ضد المرأة؛</w:t>
      </w:r>
    </w:p>
    <w:p w14:paraId="0FA37E68" w14:textId="611DDDF3" w:rsidR="00EA2224" w:rsidRPr="00EA2224" w:rsidRDefault="00EA2224" w:rsidP="00EA2224">
      <w:pPr>
        <w:pStyle w:val="SingleTxt"/>
        <w:rPr>
          <w:bCs/>
        </w:rPr>
      </w:pPr>
      <w:r w:rsidRPr="00EA2224">
        <w:rPr>
          <w:b/>
          <w:rtl/>
        </w:rPr>
        <w:tab/>
        <w:t>(ب)</w:t>
      </w:r>
      <w:r w:rsidRPr="00EA2224">
        <w:rPr>
          <w:b/>
          <w:rtl/>
        </w:rPr>
        <w:tab/>
      </w:r>
      <w:r w:rsidRPr="00EA2224">
        <w:rPr>
          <w:bCs/>
          <w:rtl/>
        </w:rPr>
        <w:t>التحقيق في الانخفاض الأخير في عدد النساء اللواتي يحصلن على الرعاية السابقة للولادة، بهدف معالجة أسبابه، وضمان احترام حقوق الإنسان الواجبة للمرأة وكرامتها في رعاية الأمومة؛</w:t>
      </w:r>
      <w:r w:rsidR="00B975EF">
        <w:rPr>
          <w:rFonts w:hint="cs"/>
          <w:bCs/>
          <w:rtl/>
        </w:rPr>
        <w:t xml:space="preserve"> </w:t>
      </w:r>
    </w:p>
    <w:p w14:paraId="0E350FA3" w14:textId="77777777" w:rsidR="00EA2224" w:rsidRPr="00EA2224" w:rsidRDefault="00EA2224" w:rsidP="00EA2224">
      <w:pPr>
        <w:pStyle w:val="SingleTxt"/>
        <w:rPr>
          <w:bCs/>
        </w:rPr>
      </w:pPr>
      <w:r w:rsidRPr="00EA2224">
        <w:rPr>
          <w:b/>
          <w:rtl/>
        </w:rPr>
        <w:tab/>
        <w:t>(ج)</w:t>
      </w:r>
      <w:r w:rsidRPr="00EA2224">
        <w:rPr>
          <w:b/>
          <w:rtl/>
        </w:rPr>
        <w:tab/>
      </w:r>
      <w:r w:rsidRPr="00EA2224">
        <w:rPr>
          <w:bCs/>
          <w:rtl/>
        </w:rPr>
        <w:t>تحسين إمكانية حصول المرأة على خدمات الإجهاض المأمون وخدمات ما بعد الإجهاض من خلال معالجة الإجراءات الإدارية المرهقة للحصول على الإذن، ومن خلال إشراك الزعماء التقليديين والمجتمع المدني في حملات لمنع الوصم والتمييز ضد النساء والفتيات اللواتي يسعين إلى الحصول على خدمات الإجهاض المأمون؛</w:t>
      </w:r>
    </w:p>
    <w:p w14:paraId="24A58801" w14:textId="77777777" w:rsidR="00EA2224" w:rsidRPr="00EA2224" w:rsidRDefault="00EA2224" w:rsidP="00EA2224">
      <w:pPr>
        <w:pStyle w:val="SingleTxt"/>
        <w:rPr>
          <w:bCs/>
        </w:rPr>
      </w:pPr>
      <w:r w:rsidRPr="00EA2224">
        <w:rPr>
          <w:b/>
          <w:rtl/>
        </w:rPr>
        <w:tab/>
        <w:t>(د)</w:t>
      </w:r>
      <w:r w:rsidRPr="00EA2224">
        <w:rPr>
          <w:b/>
          <w:rtl/>
        </w:rPr>
        <w:tab/>
      </w:r>
      <w:r w:rsidRPr="00EA2224">
        <w:rPr>
          <w:bCs/>
          <w:rtl/>
        </w:rPr>
        <w:t>زيادة فرص حصول النساء في سن الإنجاب، ولا سيما النساء ذوات الدخل المحدود، على خدمات جيدة في مجال تنظيم الأسرة ووسائل منع الحمل الحديثة، وتعزيز خدمات التوعية في المناطق الريفية من جانب وزارة الصحة والخدمات الاجتماعية؛</w:t>
      </w:r>
    </w:p>
    <w:p w14:paraId="7D5F5325" w14:textId="76EA5510" w:rsidR="00EA2224" w:rsidRPr="00EA2224" w:rsidRDefault="00EA2224" w:rsidP="00EA2224">
      <w:pPr>
        <w:pStyle w:val="SingleTxt"/>
        <w:rPr>
          <w:bCs/>
        </w:rPr>
      </w:pPr>
      <w:r w:rsidRPr="00EA2224">
        <w:rPr>
          <w:b/>
          <w:rtl/>
        </w:rPr>
        <w:tab/>
        <w:t>(هـ)</w:t>
      </w:r>
      <w:r w:rsidRPr="00EA2224">
        <w:rPr>
          <w:b/>
          <w:rtl/>
        </w:rPr>
        <w:tab/>
      </w:r>
      <w:r w:rsidRPr="00EA2224">
        <w:rPr>
          <w:bCs/>
          <w:rtl/>
        </w:rPr>
        <w:t>ضمان الحصول الآمن والمناسب على خدمات الصحة الجنسية والإنجابية دون تمييز، ونشر المعلومات والمواد المرجعية السريرية على الممارسين الطبيين والنساء، بمن فيهن النساء ذوات</w:t>
      </w:r>
      <w:r w:rsidR="005F5539">
        <w:rPr>
          <w:rFonts w:hint="cs"/>
          <w:bCs/>
          <w:rtl/>
        </w:rPr>
        <w:t> </w:t>
      </w:r>
      <w:r w:rsidRPr="00EA2224">
        <w:rPr>
          <w:bCs/>
          <w:rtl/>
        </w:rPr>
        <w:t>الإعاقة ونساء الشعوب الأصلية والمثليات ومزدوجات الميل الجنسي ومغايرات الهوية الجنسانية وحاملات صفات الجنسين؛</w:t>
      </w:r>
    </w:p>
    <w:p w14:paraId="4D05A8E7" w14:textId="77777777" w:rsidR="00EA2224" w:rsidRPr="00EA2224" w:rsidRDefault="00EA2224" w:rsidP="00EA2224">
      <w:pPr>
        <w:pStyle w:val="SingleTxt"/>
        <w:rPr>
          <w:bCs/>
        </w:rPr>
      </w:pPr>
      <w:r w:rsidRPr="00EA2224">
        <w:rPr>
          <w:b/>
          <w:rtl/>
        </w:rPr>
        <w:tab/>
        <w:t>(و)</w:t>
      </w:r>
      <w:r w:rsidRPr="00EA2224">
        <w:rPr>
          <w:b/>
          <w:rtl/>
        </w:rPr>
        <w:tab/>
      </w:r>
      <w:r w:rsidRPr="00EA2224">
        <w:rPr>
          <w:bCs/>
          <w:rtl/>
        </w:rPr>
        <w:t>التصدي لمعدل انتشار فيروس نقص المناعة البشرية/الإيدز المرتفع بين النساء، وتنفيذ خريطة الطريق للقضاء على انتقال فيروس نقص المناعة البشرية من الأم إلى الطفل، وضمان الحصول على العلاج المجاني بمضادات الفيروسات القهقرية؛</w:t>
      </w:r>
    </w:p>
    <w:p w14:paraId="6D2D8680" w14:textId="51D89DC0" w:rsidR="00EA2224" w:rsidRPr="00EA2224" w:rsidRDefault="00EA2224" w:rsidP="00EA2224">
      <w:pPr>
        <w:pStyle w:val="SingleTxt"/>
        <w:rPr>
          <w:bCs/>
        </w:rPr>
      </w:pPr>
      <w:r w:rsidRPr="00EA2224">
        <w:rPr>
          <w:b/>
          <w:rtl/>
        </w:rPr>
        <w:tab/>
        <w:t>(ز)</w:t>
      </w:r>
      <w:r w:rsidRPr="00EA2224">
        <w:rPr>
          <w:b/>
          <w:rtl/>
        </w:rPr>
        <w:tab/>
      </w:r>
      <w:r w:rsidRPr="00EA2224">
        <w:rPr>
          <w:bCs/>
          <w:rtl/>
        </w:rPr>
        <w:t>إجراء دراسة عن عمليات التعقيم القسري للنساء المصابات بفيروس نقص المناعة البشرية، وضمان عدم إجراء أي عمليات تعقيم دون موافقة حرة ومسبقة ومستنيرة من المرأة المعنية.</w:t>
      </w:r>
      <w:r w:rsidR="00B975EF">
        <w:rPr>
          <w:rFonts w:hint="cs"/>
          <w:bCs/>
          <w:rtl/>
        </w:rPr>
        <w:t xml:space="preserve"> </w:t>
      </w:r>
    </w:p>
    <w:p w14:paraId="578DF085" w14:textId="77777777" w:rsidR="00C63930" w:rsidRPr="00C63930" w:rsidRDefault="00C63930" w:rsidP="00C63930">
      <w:pPr>
        <w:pStyle w:val="SingleTxt"/>
        <w:spacing w:after="0" w:line="120" w:lineRule="exact"/>
        <w:rPr>
          <w:b/>
          <w:sz w:val="10"/>
          <w:rtl/>
        </w:rPr>
      </w:pPr>
    </w:p>
    <w:p w14:paraId="068DBB83" w14:textId="7963B895" w:rsidR="00EA2224" w:rsidRPr="00EA2224" w:rsidRDefault="00EA2224" w:rsidP="00C63930">
      <w:pPr>
        <w:pStyle w:val="H23"/>
        <w:ind w:left="1267" w:right="1267" w:hanging="1267"/>
      </w:pPr>
      <w:r w:rsidRPr="00EA2224">
        <w:rPr>
          <w:rtl/>
        </w:rPr>
        <w:tab/>
      </w:r>
      <w:r w:rsidRPr="00EA2224">
        <w:rPr>
          <w:rtl/>
        </w:rPr>
        <w:tab/>
        <w:t>التمكين الاقتصادي</w:t>
      </w:r>
    </w:p>
    <w:p w14:paraId="065F505C" w14:textId="7E28ACDB" w:rsidR="00EA2224" w:rsidRPr="00EA2224" w:rsidRDefault="00EA2224" w:rsidP="00EA2224">
      <w:pPr>
        <w:pStyle w:val="SingleTxt"/>
      </w:pPr>
      <w:r w:rsidRPr="00EA2224">
        <w:rPr>
          <w:rtl/>
        </w:rPr>
        <w:t>43</w:t>
      </w:r>
      <w:r>
        <w:rPr>
          <w:rtl/>
        </w:rPr>
        <w:t xml:space="preserve"> -</w:t>
      </w:r>
      <w:r>
        <w:rPr>
          <w:rtl/>
        </w:rPr>
        <w:tab/>
      </w:r>
      <w:r w:rsidRPr="00EA2224">
        <w:rPr>
          <w:rtl/>
        </w:rPr>
        <w:t>تنوه اللجنة بخطة هارامبي الثانية للازدهار (2021-2025) وخطة التنمية الوطنية الخامسة (2017-2022). غير أن اللجنة تلاحظ بقلق ما يلي:</w:t>
      </w:r>
      <w:r w:rsidR="00B975EF">
        <w:rPr>
          <w:rFonts w:hint="cs"/>
          <w:rtl/>
        </w:rPr>
        <w:t xml:space="preserve"> </w:t>
      </w:r>
    </w:p>
    <w:p w14:paraId="119A7CA4" w14:textId="77777777" w:rsidR="00EA2224" w:rsidRPr="00EA2224" w:rsidRDefault="00EA2224" w:rsidP="00EA2224">
      <w:pPr>
        <w:pStyle w:val="SingleTxt"/>
      </w:pPr>
      <w:r w:rsidRPr="00EA2224">
        <w:rPr>
          <w:rtl/>
        </w:rPr>
        <w:tab/>
        <w:t>(أ)</w:t>
      </w:r>
      <w:r w:rsidRPr="00EA2224">
        <w:rPr>
          <w:rtl/>
        </w:rPr>
        <w:tab/>
        <w:t>معدل الفقر المرتفع في الدولة الطرف، ولا سيما في الأسر المعيشية التي تعيلها نساء؛</w:t>
      </w:r>
    </w:p>
    <w:p w14:paraId="6EAC614A" w14:textId="77777777" w:rsidR="00EA2224" w:rsidRPr="00EA2224" w:rsidRDefault="00EA2224" w:rsidP="00EA2224">
      <w:pPr>
        <w:pStyle w:val="SingleTxt"/>
      </w:pPr>
      <w:r w:rsidRPr="00EA2224">
        <w:rPr>
          <w:rtl/>
        </w:rPr>
        <w:lastRenderedPageBreak/>
        <w:tab/>
        <w:t>(ب)</w:t>
      </w:r>
      <w:r w:rsidRPr="00EA2224">
        <w:rPr>
          <w:rtl/>
        </w:rPr>
        <w:tab/>
        <w:t>الفرص المحدودة المتاحة للمرأة، وخاصة المرأة الريفية، للحصول على القروض المصرفية والائتمانات المالية؛</w:t>
      </w:r>
    </w:p>
    <w:p w14:paraId="661D392F" w14:textId="288C2B61" w:rsidR="00EA2224" w:rsidRPr="00EA2224" w:rsidRDefault="00EA2224" w:rsidP="00EA2224">
      <w:pPr>
        <w:pStyle w:val="SingleTxt"/>
      </w:pPr>
      <w:r w:rsidRPr="00EA2224">
        <w:rPr>
          <w:rtl/>
        </w:rPr>
        <w:tab/>
        <w:t>(ج)</w:t>
      </w:r>
      <w:r w:rsidRPr="00EA2224">
        <w:rPr>
          <w:rtl/>
        </w:rPr>
        <w:tab/>
        <w:t>عدم وجود منح ودورات تدريب للنساء في مجال تنظيم المشاريع؛</w:t>
      </w:r>
    </w:p>
    <w:p w14:paraId="0A27B018" w14:textId="797C5327" w:rsidR="00EA2224" w:rsidRPr="00EA2224" w:rsidRDefault="00EA2224" w:rsidP="00EA2224">
      <w:pPr>
        <w:pStyle w:val="SingleTxt"/>
      </w:pPr>
      <w:r w:rsidRPr="00EA2224">
        <w:rPr>
          <w:rtl/>
        </w:rPr>
        <w:tab/>
        <w:t>(د)</w:t>
      </w:r>
      <w:r w:rsidRPr="00EA2224">
        <w:rPr>
          <w:rtl/>
        </w:rPr>
        <w:tab/>
        <w:t>عدم توفر معلومات عن أثر الجهود التي تبذلها الدولة الطرف لتوسيع نطاق الاقتصاد الأخضر على التمكين الاقتصادي للمرأة.</w:t>
      </w:r>
      <w:r w:rsidR="00B975EF">
        <w:rPr>
          <w:rFonts w:hint="cs"/>
          <w:rtl/>
        </w:rPr>
        <w:t xml:space="preserve"> </w:t>
      </w:r>
    </w:p>
    <w:p w14:paraId="2F9B5167" w14:textId="1A88203D" w:rsidR="00EA2224" w:rsidRPr="00EA2224" w:rsidRDefault="00EA2224" w:rsidP="00EA2224">
      <w:pPr>
        <w:pStyle w:val="SingleTxt"/>
      </w:pPr>
      <w:r w:rsidRPr="00EA2224">
        <w:rPr>
          <w:rtl/>
        </w:rPr>
        <w:t>44</w:t>
      </w:r>
      <w:r>
        <w:rPr>
          <w:rtl/>
        </w:rPr>
        <w:t xml:space="preserve"> -</w:t>
      </w:r>
      <w:r>
        <w:rPr>
          <w:rtl/>
        </w:rPr>
        <w:tab/>
      </w:r>
      <w:r w:rsidRPr="00EA2224">
        <w:rPr>
          <w:b/>
          <w:bCs/>
          <w:rtl/>
        </w:rPr>
        <w:t>وتوصي اللجنة بأن تقوم الدولة الطرف بما يلي:</w:t>
      </w:r>
    </w:p>
    <w:p w14:paraId="748E973C" w14:textId="77777777" w:rsidR="00EA2224" w:rsidRPr="00EA2224" w:rsidRDefault="00EA2224" w:rsidP="00EA2224">
      <w:pPr>
        <w:pStyle w:val="SingleTxt"/>
        <w:rPr>
          <w:b/>
        </w:rPr>
      </w:pPr>
      <w:r w:rsidRPr="00EA2224">
        <w:rPr>
          <w:rtl/>
        </w:rPr>
        <w:tab/>
        <w:t>(أ)</w:t>
      </w:r>
      <w:r w:rsidRPr="00EA2224">
        <w:rPr>
          <w:rtl/>
        </w:rPr>
        <w:tab/>
      </w:r>
      <w:r w:rsidRPr="00EA2224">
        <w:rPr>
          <w:bCs/>
          <w:rtl/>
        </w:rPr>
        <w:t>اتخاذ تدابير ملموسة للتصدي للفقر وضمان تعميم مراعاة المنظور الجنساني في خططها الإنمائية؛</w:t>
      </w:r>
    </w:p>
    <w:p w14:paraId="1D4CC931" w14:textId="77777777" w:rsidR="00EA2224" w:rsidRPr="00EA2224" w:rsidRDefault="00EA2224" w:rsidP="00EA2224">
      <w:pPr>
        <w:pStyle w:val="SingleTxt"/>
        <w:rPr>
          <w:b/>
        </w:rPr>
      </w:pPr>
      <w:r w:rsidRPr="00EA2224">
        <w:rPr>
          <w:b/>
          <w:rtl/>
        </w:rPr>
        <w:tab/>
        <w:t>(ب)</w:t>
      </w:r>
      <w:r w:rsidRPr="00EA2224">
        <w:rPr>
          <w:b/>
          <w:rtl/>
        </w:rPr>
        <w:tab/>
      </w:r>
      <w:r w:rsidRPr="00EA2224">
        <w:rPr>
          <w:bCs/>
          <w:rtl/>
        </w:rPr>
        <w:t>ضمان حصول المرأة على قدم المساواة مع الرجل على القروض المصرفية والرهون العقارية وغيرها من أشكال الائتمان المالي، مثل القروض المنخفضة الفائدة بدون ضمانات والقروض المخفضة من خلال مصرف ناميبيا الزراعي ومصرف ناميبيا للتنمية؛</w:t>
      </w:r>
    </w:p>
    <w:p w14:paraId="25CF21F6" w14:textId="77777777" w:rsidR="00EA2224" w:rsidRPr="00EA2224" w:rsidRDefault="00EA2224" w:rsidP="00EA2224">
      <w:pPr>
        <w:pStyle w:val="SingleTxt"/>
        <w:rPr>
          <w:b/>
          <w:bCs/>
        </w:rPr>
      </w:pPr>
      <w:r w:rsidRPr="00EA2224">
        <w:rPr>
          <w:rtl/>
        </w:rPr>
        <w:tab/>
        <w:t>(ج)</w:t>
      </w:r>
      <w:r w:rsidRPr="00EA2224">
        <w:rPr>
          <w:rtl/>
        </w:rPr>
        <w:tab/>
      </w:r>
      <w:r w:rsidRPr="00EA2224">
        <w:rPr>
          <w:b/>
          <w:bCs/>
          <w:rtl/>
        </w:rPr>
        <w:t>زيادة إمكانية حصول المرأة على المنح وفرص التدريب والدعم في مجال تنظيم المشاريع التي تقدمها على سبيل المثال وزارة التصنيع والتجارة وتنمية المشاريع الصغيرة والمتوسطة الحجم وهيئات المحميات المجتمعية، وكذلك في إطار برنامج أوومي للعمل اللائق والأمن الاقتصادي (2017-2020)؛</w:t>
      </w:r>
    </w:p>
    <w:p w14:paraId="1656A6F2" w14:textId="69230639" w:rsidR="00EA2224" w:rsidRPr="00EA2224" w:rsidRDefault="00EA2224" w:rsidP="00EA2224">
      <w:pPr>
        <w:pStyle w:val="SingleTxt"/>
      </w:pPr>
      <w:r w:rsidRPr="00EA2224">
        <w:rPr>
          <w:rtl/>
        </w:rPr>
        <w:tab/>
        <w:t>(د)</w:t>
      </w:r>
      <w:r w:rsidRPr="00EA2224">
        <w:rPr>
          <w:rtl/>
        </w:rPr>
        <w:tab/>
      </w:r>
      <w:r w:rsidRPr="00EA2224">
        <w:rPr>
          <w:b/>
          <w:bCs/>
          <w:rtl/>
        </w:rPr>
        <w:t>ضمان مشاركة المرأة الريفية في الاقتصاد الأخضر للدولة الطرف واستفادتها منه، مثل برنامج إدارة الموارد الطبيعية القائم على المجتمع المحلي</w:t>
      </w:r>
      <w:r w:rsidRPr="00EA2224">
        <w:rPr>
          <w:rtl/>
        </w:rPr>
        <w:t>.</w:t>
      </w:r>
    </w:p>
    <w:p w14:paraId="7099D6AB" w14:textId="77777777" w:rsidR="00C63930" w:rsidRPr="00C63930" w:rsidRDefault="00C63930" w:rsidP="00C63930">
      <w:pPr>
        <w:pStyle w:val="SingleTxt"/>
        <w:spacing w:after="0" w:line="120" w:lineRule="exact"/>
        <w:rPr>
          <w:b/>
          <w:sz w:val="10"/>
          <w:rtl/>
        </w:rPr>
      </w:pPr>
    </w:p>
    <w:p w14:paraId="154F5DD2" w14:textId="7B5114DA" w:rsidR="00EA2224" w:rsidRPr="00EA2224" w:rsidRDefault="00EA2224" w:rsidP="00C63930">
      <w:pPr>
        <w:pStyle w:val="H23"/>
        <w:ind w:left="1267" w:right="1267" w:hanging="1267"/>
      </w:pPr>
      <w:r w:rsidRPr="00EA2224">
        <w:rPr>
          <w:rtl/>
        </w:rPr>
        <w:tab/>
      </w:r>
      <w:r w:rsidRPr="00EA2224">
        <w:rPr>
          <w:rtl/>
        </w:rPr>
        <w:tab/>
        <w:t>المرأة الريفية</w:t>
      </w:r>
    </w:p>
    <w:p w14:paraId="20CEF4D8" w14:textId="318EFA47" w:rsidR="00EA2224" w:rsidRPr="00EA2224" w:rsidRDefault="00EA2224" w:rsidP="00EA2224">
      <w:pPr>
        <w:pStyle w:val="SingleTxt"/>
      </w:pPr>
      <w:r w:rsidRPr="00EA2224">
        <w:rPr>
          <w:rtl/>
        </w:rPr>
        <w:t>45</w:t>
      </w:r>
      <w:r>
        <w:rPr>
          <w:rtl/>
        </w:rPr>
        <w:t xml:space="preserve"> -</w:t>
      </w:r>
      <w:r>
        <w:rPr>
          <w:rtl/>
        </w:rPr>
        <w:tab/>
      </w:r>
      <w:r w:rsidRPr="00EA2224">
        <w:rPr>
          <w:rtl/>
        </w:rPr>
        <w:t>تلاحظ اللجنة تخصيص حصة لتمثيل المرأة في مجالس أراضي المشاع في قانون إصلاح أراضي المشاع (رقم 5 الصادر في عام 2002) وأن قانون الحيازة المرنة للأراضي (رقم 4 الصادر في عام 2012) يعزز حصول المرأة على الأراضي. غير أنها لا تزال تشعر بالقلق إزاء ما يلي</w:t>
      </w:r>
      <w:r w:rsidRPr="00EA2224">
        <w:rPr>
          <w:lang w:val="fr-CH"/>
        </w:rPr>
        <w:t>:</w:t>
      </w:r>
      <w:r w:rsidR="00B975EF">
        <w:rPr>
          <w:rFonts w:hint="cs"/>
          <w:rtl/>
          <w:lang w:val="fr-CH"/>
        </w:rPr>
        <w:t xml:space="preserve"> </w:t>
      </w:r>
    </w:p>
    <w:p w14:paraId="3E93B4BF" w14:textId="046FCB36" w:rsidR="00EA2224" w:rsidRPr="00EA2224" w:rsidRDefault="00EA2224" w:rsidP="00EA2224">
      <w:pPr>
        <w:pStyle w:val="SingleTxt"/>
        <w:rPr>
          <w:spacing w:val="-2"/>
        </w:rPr>
      </w:pPr>
      <w:r w:rsidRPr="00EA2224">
        <w:rPr>
          <w:spacing w:val="-2"/>
          <w:rtl/>
        </w:rPr>
        <w:tab/>
        <w:t>(أ)</w:t>
      </w:r>
      <w:r w:rsidRPr="00EA2224">
        <w:rPr>
          <w:spacing w:val="-2"/>
          <w:rtl/>
        </w:rPr>
        <w:tab/>
        <w:t>عدم توفر بيانات إحصائية مصنفة عن ملكية الأراضي، بما في ذلك ملكية المرأة للأراضي؛</w:t>
      </w:r>
    </w:p>
    <w:p w14:paraId="4389D8A8" w14:textId="77777777" w:rsidR="00EA2224" w:rsidRPr="00EA2224" w:rsidRDefault="00EA2224" w:rsidP="00EA2224">
      <w:pPr>
        <w:pStyle w:val="SingleTxt"/>
      </w:pPr>
      <w:r w:rsidRPr="00EA2224">
        <w:rPr>
          <w:rtl/>
        </w:rPr>
        <w:tab/>
        <w:t>(ب)</w:t>
      </w:r>
      <w:r w:rsidRPr="00EA2224">
        <w:rPr>
          <w:rtl/>
        </w:rPr>
        <w:tab/>
        <w:t>تأثر النساء الريفيات بشكل غير متناسب بجائحة كوفيد-19 وعدم حصولهن على الخدمات الأساسية والحماية الاجتماعية.</w:t>
      </w:r>
    </w:p>
    <w:p w14:paraId="1A4973A2" w14:textId="1C13871F" w:rsidR="00EA2224" w:rsidRPr="00EA2224" w:rsidRDefault="00EA2224" w:rsidP="00EA2224">
      <w:pPr>
        <w:pStyle w:val="SingleTxt"/>
        <w:rPr>
          <w:b/>
          <w:bCs/>
        </w:rPr>
      </w:pPr>
      <w:r w:rsidRPr="00EA2224">
        <w:rPr>
          <w:b/>
          <w:rtl/>
        </w:rPr>
        <w:t>46</w:t>
      </w:r>
      <w:r w:rsidRPr="003B39D0">
        <w:rPr>
          <w:b/>
          <w:rtl/>
        </w:rPr>
        <w:t xml:space="preserve"> -</w:t>
      </w:r>
      <w:r w:rsidRPr="003B39D0">
        <w:rPr>
          <w:b/>
          <w:rtl/>
        </w:rPr>
        <w:tab/>
      </w:r>
      <w:r w:rsidRPr="00EA2224">
        <w:rPr>
          <w:bCs/>
          <w:rtl/>
        </w:rPr>
        <w:t>و</w:t>
      </w:r>
      <w:r w:rsidRPr="00EA2224">
        <w:rPr>
          <w:b/>
          <w:bCs/>
          <w:rtl/>
        </w:rPr>
        <w:t xml:space="preserve">توصي اللجنة، بالإشارة إلى توصيتها العامة رقم </w:t>
      </w:r>
      <w:r w:rsidRPr="00E86319">
        <w:rPr>
          <w:b/>
          <w:bCs/>
          <w:rtl/>
        </w:rPr>
        <w:t>34 (2016)</w:t>
      </w:r>
      <w:r w:rsidRPr="00EA2224">
        <w:rPr>
          <w:b/>
          <w:bCs/>
          <w:rtl/>
        </w:rPr>
        <w:t xml:space="preserve"> بشأن حقوق المرأة الريفية، بأن تقوم الدولة الطرف بما يلي</w:t>
      </w:r>
      <w:r w:rsidRPr="00EA2224">
        <w:rPr>
          <w:b/>
          <w:bCs/>
          <w:lang w:val="fr-CH"/>
        </w:rPr>
        <w:t>:</w:t>
      </w:r>
    </w:p>
    <w:p w14:paraId="0EE5D616" w14:textId="016B4C23" w:rsidR="00EA2224" w:rsidRPr="00EA2224" w:rsidRDefault="00EA2224" w:rsidP="00EA2224">
      <w:pPr>
        <w:pStyle w:val="SingleTxt"/>
        <w:rPr>
          <w:b/>
          <w:bCs/>
        </w:rPr>
      </w:pPr>
      <w:r w:rsidRPr="00EA2224">
        <w:rPr>
          <w:rtl/>
        </w:rPr>
        <w:tab/>
        <w:t>(أ)</w:t>
      </w:r>
      <w:r w:rsidRPr="00EA2224">
        <w:rPr>
          <w:rtl/>
        </w:rPr>
        <w:tab/>
      </w:r>
      <w:r w:rsidRPr="00EA2224">
        <w:rPr>
          <w:bCs/>
          <w:rtl/>
        </w:rPr>
        <w:t>زيادة فرص حصول المرأة على الأراضي وتمثيلها في عمليات صنع القرار ذات الصلة؛</w:t>
      </w:r>
    </w:p>
    <w:p w14:paraId="2252C15E" w14:textId="77777777" w:rsidR="00EA2224" w:rsidRPr="00EA2224" w:rsidRDefault="00EA2224" w:rsidP="00EA2224">
      <w:pPr>
        <w:pStyle w:val="SingleTxt"/>
        <w:rPr>
          <w:b/>
          <w:bCs/>
        </w:rPr>
      </w:pPr>
      <w:r w:rsidRPr="00EA2224">
        <w:rPr>
          <w:rtl/>
        </w:rPr>
        <w:tab/>
        <w:t>(ب)</w:t>
      </w:r>
      <w:r w:rsidRPr="00EA2224">
        <w:rPr>
          <w:rtl/>
        </w:rPr>
        <w:tab/>
      </w:r>
      <w:r w:rsidRPr="00EA2224">
        <w:rPr>
          <w:bCs/>
          <w:rtl/>
        </w:rPr>
        <w:t>ضمان حصول المرأة الريفية على الحماية الاجتماعية والخدمات الأساسية، مثل الرعاية الصحية والغذاء والسكن والكهرباء ونظم تحويل الأموال عبر الهاتف المحمول والنقل والمياه والصرف الصحي، بطرق منها بنوك الأغذية والمساعدة الواردة من وزارة الإصلاح الزراعي ووزارة القضاء على الفقر والرعاية الاجتماعية.</w:t>
      </w:r>
    </w:p>
    <w:p w14:paraId="58C831FC" w14:textId="77777777" w:rsidR="00C63930" w:rsidRPr="00C63930" w:rsidRDefault="00C63930" w:rsidP="00C63930">
      <w:pPr>
        <w:pStyle w:val="SingleTxt"/>
        <w:spacing w:after="0" w:line="120" w:lineRule="exact"/>
        <w:rPr>
          <w:b/>
          <w:sz w:val="10"/>
          <w:rtl/>
        </w:rPr>
      </w:pPr>
    </w:p>
    <w:p w14:paraId="5BD0EF8A" w14:textId="71214518" w:rsidR="00EA2224" w:rsidRPr="00EA2224" w:rsidRDefault="00EA2224" w:rsidP="006345D2">
      <w:pPr>
        <w:pStyle w:val="H23"/>
        <w:ind w:left="1267" w:right="1267" w:hanging="1267"/>
      </w:pPr>
      <w:r w:rsidRPr="00EA2224">
        <w:rPr>
          <w:rtl/>
        </w:rPr>
        <w:tab/>
      </w:r>
      <w:r w:rsidRPr="00EA2224">
        <w:rPr>
          <w:rtl/>
        </w:rPr>
        <w:tab/>
        <w:t>النساء ذوات الإعاقة</w:t>
      </w:r>
    </w:p>
    <w:p w14:paraId="79826A67" w14:textId="14541F9D" w:rsidR="00EA2224" w:rsidRPr="00EA2224" w:rsidRDefault="00EA2224" w:rsidP="00EA2224">
      <w:pPr>
        <w:pStyle w:val="SingleTxt"/>
      </w:pPr>
      <w:r w:rsidRPr="00EA2224">
        <w:rPr>
          <w:rtl/>
        </w:rPr>
        <w:t>47</w:t>
      </w:r>
      <w:r>
        <w:rPr>
          <w:rtl/>
        </w:rPr>
        <w:t xml:space="preserve"> -</w:t>
      </w:r>
      <w:r>
        <w:rPr>
          <w:rtl/>
        </w:rPr>
        <w:tab/>
      </w:r>
      <w:r w:rsidRPr="00EA2224">
        <w:rPr>
          <w:rtl/>
        </w:rPr>
        <w:t>تحيط اللجنة علما بالبرنامج الوطني للأطفال الذي يكفل المساواة في فرص حصول الأطفال ذوي</w:t>
      </w:r>
      <w:r w:rsidR="003B39D0">
        <w:rPr>
          <w:rFonts w:hint="cs"/>
          <w:rtl/>
        </w:rPr>
        <w:t> </w:t>
      </w:r>
      <w:r w:rsidRPr="00EA2224">
        <w:rPr>
          <w:rtl/>
        </w:rPr>
        <w:t>الإعاقة على الرعاية الصحية والتعليم والدعم (</w:t>
      </w:r>
      <w:hyperlink r:id="rId44" w:history="1">
        <w:r w:rsidRPr="00EA2224">
          <w:rPr>
            <w:rStyle w:val="Hyperlink"/>
            <w:lang w:val="fr-CH"/>
          </w:rPr>
          <w:t>CEDAW/C/NAM/6</w:t>
        </w:r>
      </w:hyperlink>
      <w:r w:rsidRPr="00EA2224">
        <w:rPr>
          <w:rtl/>
        </w:rPr>
        <w:t xml:space="preserve">، الفقرة 23). ومع ذلك، </w:t>
      </w:r>
      <w:r w:rsidRPr="00EA2224">
        <w:rPr>
          <w:rtl/>
          <w:lang w:bidi="ar-LB"/>
        </w:rPr>
        <w:t>لا</w:t>
      </w:r>
      <w:r w:rsidR="003B39D0">
        <w:rPr>
          <w:rFonts w:hint="cs"/>
          <w:rtl/>
          <w:lang w:bidi="ar-LB"/>
        </w:rPr>
        <w:t> </w:t>
      </w:r>
      <w:r w:rsidRPr="00EA2224">
        <w:rPr>
          <w:rtl/>
          <w:lang w:bidi="ar-LB"/>
        </w:rPr>
        <w:t xml:space="preserve">تزال اللجنة </w:t>
      </w:r>
      <w:r w:rsidRPr="00EA2224">
        <w:rPr>
          <w:rtl/>
        </w:rPr>
        <w:t>تشعر بالقلق مما يلي</w:t>
      </w:r>
      <w:r w:rsidRPr="00EA2224">
        <w:rPr>
          <w:lang w:val="fr-CH"/>
        </w:rPr>
        <w:t>:</w:t>
      </w:r>
      <w:r w:rsidR="00B975EF">
        <w:rPr>
          <w:rFonts w:hint="cs"/>
          <w:rtl/>
          <w:lang w:val="fr-CH"/>
        </w:rPr>
        <w:t xml:space="preserve"> </w:t>
      </w:r>
    </w:p>
    <w:p w14:paraId="1B38F97E" w14:textId="77777777" w:rsidR="00EA2224" w:rsidRPr="00EA2224" w:rsidRDefault="00EA2224" w:rsidP="00EA2224">
      <w:pPr>
        <w:pStyle w:val="SingleTxt"/>
      </w:pPr>
      <w:r w:rsidRPr="00EA2224">
        <w:rPr>
          <w:rtl/>
        </w:rPr>
        <w:tab/>
        <w:t>(أ)</w:t>
      </w:r>
      <w:r w:rsidRPr="00EA2224">
        <w:rPr>
          <w:rtl/>
        </w:rPr>
        <w:tab/>
        <w:t>الحواجز التي تواجهها النساء والفتيات ذوات الإعاقة في الحصول على التعليم الشامل؛</w:t>
      </w:r>
    </w:p>
    <w:p w14:paraId="73C804DA" w14:textId="77777777" w:rsidR="00EA2224" w:rsidRPr="00EA2224" w:rsidRDefault="00EA2224" w:rsidP="00EA2224">
      <w:pPr>
        <w:pStyle w:val="SingleTxt"/>
      </w:pPr>
      <w:r w:rsidRPr="00EA2224">
        <w:rPr>
          <w:rtl/>
        </w:rPr>
        <w:tab/>
        <w:t>(ب)</w:t>
      </w:r>
      <w:r w:rsidRPr="00EA2224">
        <w:rPr>
          <w:rtl/>
        </w:rPr>
        <w:tab/>
        <w:t xml:space="preserve">مستويات البطالة المرتفعة بين النساء ذوات الإعاقة، وتركز عملهن في وظائف منخفضة الأجر، واستخدام نهج طبي إزاء الإعاقة في الفقرة 1 (ه) من المادة 5 من قانون العمل (رقم 11 الصادر في عام 2007) وفي الفقرة 2 (ب) من المادة 18 من </w:t>
      </w:r>
      <w:r w:rsidRPr="00EA2224">
        <w:rPr>
          <w:rtl/>
          <w:lang w:bidi="ar-LB"/>
        </w:rPr>
        <w:t xml:space="preserve">قانون </w:t>
      </w:r>
      <w:r w:rsidRPr="00EA2224">
        <w:rPr>
          <w:rtl/>
        </w:rPr>
        <w:t>العمل الإيجابي (العمالة) (رقم 29 الصادر في عام 1998)؛</w:t>
      </w:r>
    </w:p>
    <w:p w14:paraId="5B6F143B" w14:textId="69D3F0C4" w:rsidR="00EA2224" w:rsidRPr="00EA2224" w:rsidRDefault="00EA2224" w:rsidP="00EA2224">
      <w:pPr>
        <w:pStyle w:val="SingleTxt"/>
      </w:pPr>
      <w:r w:rsidRPr="00EA2224">
        <w:rPr>
          <w:rtl/>
        </w:rPr>
        <w:tab/>
        <w:t>(ج)</w:t>
      </w:r>
      <w:r w:rsidRPr="00EA2224">
        <w:rPr>
          <w:rtl/>
        </w:rPr>
        <w:tab/>
        <w:t>الصعوبات التي تواجهها النساء ذوات الإعاقة في الحصول على الغذاء والسكن وخدمات الرعاية الصحية، بما في ذلك خدمات الصحة الجنسية والإنجابية.</w:t>
      </w:r>
      <w:r w:rsidR="00B975EF">
        <w:rPr>
          <w:rFonts w:hint="cs"/>
          <w:rtl/>
        </w:rPr>
        <w:t xml:space="preserve"> </w:t>
      </w:r>
    </w:p>
    <w:p w14:paraId="4F681125" w14:textId="358598CE" w:rsidR="00EA2224" w:rsidRPr="00EA2224" w:rsidRDefault="00EA2224" w:rsidP="00EA2224">
      <w:pPr>
        <w:pStyle w:val="SingleTxt"/>
        <w:rPr>
          <w:b/>
          <w:bCs/>
        </w:rPr>
      </w:pPr>
      <w:r w:rsidRPr="00EA2224">
        <w:rPr>
          <w:b/>
          <w:rtl/>
        </w:rPr>
        <w:t>48</w:t>
      </w:r>
      <w:r w:rsidRPr="003B39D0">
        <w:rPr>
          <w:b/>
          <w:rtl/>
        </w:rPr>
        <w:t xml:space="preserve"> -</w:t>
      </w:r>
      <w:r w:rsidRPr="003B39D0">
        <w:rPr>
          <w:b/>
          <w:rtl/>
        </w:rPr>
        <w:tab/>
      </w:r>
      <w:r w:rsidRPr="00EA2224">
        <w:rPr>
          <w:bCs/>
          <w:rtl/>
        </w:rPr>
        <w:t>و</w:t>
      </w:r>
      <w:r w:rsidRPr="00EA2224">
        <w:rPr>
          <w:b/>
          <w:bCs/>
          <w:rtl/>
        </w:rPr>
        <w:t xml:space="preserve">تشير اللجنة إلى توصيتها العامة رقم </w:t>
      </w:r>
      <w:r w:rsidRPr="00E86319">
        <w:rPr>
          <w:b/>
          <w:bCs/>
          <w:rtl/>
        </w:rPr>
        <w:t>18 (1991)</w:t>
      </w:r>
      <w:r w:rsidRPr="00EA2224">
        <w:rPr>
          <w:b/>
          <w:bCs/>
          <w:rtl/>
        </w:rPr>
        <w:t xml:space="preserve"> بشأن النساء ذوات الإعاقة، وتوصي بأن تقوم الدولة الطرف بما يلي:</w:t>
      </w:r>
      <w:r w:rsidR="00B975EF">
        <w:rPr>
          <w:rFonts w:hint="cs"/>
          <w:b/>
          <w:bCs/>
          <w:rtl/>
        </w:rPr>
        <w:t xml:space="preserve"> </w:t>
      </w:r>
    </w:p>
    <w:p w14:paraId="66669FFE" w14:textId="77777777" w:rsidR="00EA2224" w:rsidRPr="00EA2224" w:rsidRDefault="00EA2224" w:rsidP="00EA2224">
      <w:pPr>
        <w:pStyle w:val="SingleTxt"/>
        <w:rPr>
          <w:b/>
          <w:bCs/>
        </w:rPr>
      </w:pPr>
      <w:r w:rsidRPr="00EA2224">
        <w:rPr>
          <w:b/>
          <w:rtl/>
        </w:rPr>
        <w:tab/>
        <w:t>(أ)</w:t>
      </w:r>
      <w:r w:rsidRPr="00EA2224">
        <w:rPr>
          <w:b/>
          <w:rtl/>
        </w:rPr>
        <w:tab/>
      </w:r>
      <w:r w:rsidRPr="00EA2224">
        <w:rPr>
          <w:bCs/>
          <w:rtl/>
        </w:rPr>
        <w:t>التنفيذ الكامل لسياسة القطاع بشأن التعليم الشامل (2013)، وضمان دعم الفتيات ذوات الإعاقة في المدارس وإمكانية الوصول إلى المباني المدرسية، بما في ذلك مرافق النظافة الصحية، والمواد التعليمية؛</w:t>
      </w:r>
    </w:p>
    <w:p w14:paraId="0A14AE2A" w14:textId="62495A58" w:rsidR="00EA2224" w:rsidRPr="00EA2224" w:rsidRDefault="00EA2224" w:rsidP="00EA2224">
      <w:pPr>
        <w:pStyle w:val="SingleTxt"/>
        <w:rPr>
          <w:b/>
          <w:bCs/>
        </w:rPr>
      </w:pPr>
      <w:r w:rsidRPr="00EA2224">
        <w:rPr>
          <w:b/>
          <w:rtl/>
        </w:rPr>
        <w:tab/>
        <w:t>(ب)</w:t>
      </w:r>
      <w:r w:rsidRPr="00EA2224">
        <w:rPr>
          <w:b/>
          <w:rtl/>
        </w:rPr>
        <w:tab/>
      </w:r>
      <w:r w:rsidRPr="00EA2224">
        <w:rPr>
          <w:bCs/>
          <w:rtl/>
        </w:rPr>
        <w:t>تعديل قانون العمل</w:t>
      </w:r>
      <w:r w:rsidR="006345D2">
        <w:rPr>
          <w:bCs/>
          <w:rtl/>
        </w:rPr>
        <w:t xml:space="preserve"> </w:t>
      </w:r>
      <w:r w:rsidRPr="00EA2224">
        <w:rPr>
          <w:bCs/>
          <w:rtl/>
        </w:rPr>
        <w:t xml:space="preserve">وقانون </w:t>
      </w:r>
      <w:r w:rsidRPr="00EA2224">
        <w:rPr>
          <w:b/>
          <w:bCs/>
          <w:rtl/>
        </w:rPr>
        <w:t>العمل الإيجابي</w:t>
      </w:r>
      <w:r w:rsidRPr="00EA2224">
        <w:rPr>
          <w:bCs/>
          <w:rtl/>
        </w:rPr>
        <w:t xml:space="preserve"> (العمالة) لإدراج نموذج للإعاقة قائم على الحقوق وتعزيز حصول النساء ذوات الإعاقة على فرص العمل وتوليهن المناصب القيادية؛</w:t>
      </w:r>
    </w:p>
    <w:p w14:paraId="566A4165" w14:textId="62C51F5E" w:rsidR="00EA2224" w:rsidRPr="00EA2224" w:rsidRDefault="00EA2224" w:rsidP="00EA2224">
      <w:pPr>
        <w:pStyle w:val="SingleTxt"/>
        <w:rPr>
          <w:b/>
          <w:bCs/>
        </w:rPr>
      </w:pPr>
      <w:r w:rsidRPr="00EA2224">
        <w:rPr>
          <w:b/>
          <w:rtl/>
        </w:rPr>
        <w:tab/>
        <w:t>(ج)</w:t>
      </w:r>
      <w:r w:rsidRPr="00EA2224">
        <w:rPr>
          <w:b/>
          <w:rtl/>
        </w:rPr>
        <w:tab/>
      </w:r>
      <w:r w:rsidRPr="00EA2224">
        <w:rPr>
          <w:bCs/>
          <w:rtl/>
        </w:rPr>
        <w:t xml:space="preserve">رصد توزيع </w:t>
      </w:r>
      <w:r w:rsidR="006345D2">
        <w:rPr>
          <w:rFonts w:hint="cs"/>
          <w:bCs/>
          <w:rtl/>
        </w:rPr>
        <w:t>”</w:t>
      </w:r>
      <w:r w:rsidRPr="00EA2224">
        <w:rPr>
          <w:bCs/>
          <w:rtl/>
        </w:rPr>
        <w:t>منحة الإعاقة</w:t>
      </w:r>
      <w:r w:rsidR="006345D2">
        <w:rPr>
          <w:rFonts w:hint="cs"/>
          <w:bCs/>
          <w:rtl/>
        </w:rPr>
        <w:t>“</w:t>
      </w:r>
      <w:r w:rsidRPr="00EA2224">
        <w:rPr>
          <w:bCs/>
          <w:rtl/>
        </w:rPr>
        <w:t xml:space="preserve"> والاستحقاقات الاجتماعية والمعونة الغذائية، وتصميم سياسات محددة لزيادة خيارات الإسكان الميسور التكلفة وملكية الأراضي للنساء ذوات الإعاقة، وضمان الترتيبات التيسيرية المعقولة في مجال الرعاية الصحية.</w:t>
      </w:r>
      <w:r w:rsidR="00B975EF">
        <w:rPr>
          <w:rFonts w:hint="cs"/>
          <w:bCs/>
          <w:rtl/>
        </w:rPr>
        <w:t xml:space="preserve"> </w:t>
      </w:r>
    </w:p>
    <w:p w14:paraId="452DD09A" w14:textId="77777777" w:rsidR="006345D2" w:rsidRPr="006345D2" w:rsidRDefault="006345D2" w:rsidP="006345D2">
      <w:pPr>
        <w:pStyle w:val="SingleTxt"/>
        <w:spacing w:after="0" w:line="120" w:lineRule="exact"/>
        <w:rPr>
          <w:b/>
          <w:sz w:val="10"/>
          <w:rtl/>
        </w:rPr>
      </w:pPr>
    </w:p>
    <w:p w14:paraId="455BAC1D" w14:textId="09A87BC4" w:rsidR="00EA2224" w:rsidRPr="00EA2224" w:rsidRDefault="00EA2224" w:rsidP="006345D2">
      <w:pPr>
        <w:pStyle w:val="H23"/>
        <w:ind w:left="1267" w:right="1267" w:hanging="1267"/>
      </w:pPr>
      <w:r w:rsidRPr="00EA2224">
        <w:rPr>
          <w:rtl/>
        </w:rPr>
        <w:tab/>
      </w:r>
      <w:r w:rsidRPr="00EA2224">
        <w:rPr>
          <w:rtl/>
        </w:rPr>
        <w:tab/>
        <w:t>نساء الشعوب الأصلية</w:t>
      </w:r>
    </w:p>
    <w:p w14:paraId="68E6A801" w14:textId="331BCC38" w:rsidR="00EA2224" w:rsidRPr="00EA2224" w:rsidRDefault="00EA2224" w:rsidP="00EA2224">
      <w:pPr>
        <w:pStyle w:val="SingleTxt"/>
      </w:pPr>
      <w:r w:rsidRPr="00EA2224">
        <w:rPr>
          <w:rtl/>
        </w:rPr>
        <w:t>49</w:t>
      </w:r>
      <w:r>
        <w:rPr>
          <w:rtl/>
        </w:rPr>
        <w:t xml:space="preserve"> -</w:t>
      </w:r>
      <w:r>
        <w:rPr>
          <w:rtl/>
        </w:rPr>
        <w:tab/>
      </w:r>
      <w:r w:rsidRPr="00EA2224">
        <w:rPr>
          <w:rtl/>
        </w:rPr>
        <w:t>تلاحظ اللجنة أن وزارة الإصلاح الزراعي توفر البذور وتقدم خدمات الحرث إلى مجتمع السان الذي يتلقى في فترة الجفاف الإغاثة الغذائية والدعم المالي للمشاريع الصغيرة الحجم. ومع ذلك، يساور اللجنة القلق إزاء التقارير التي تفيد بأن أداء النساء والفتيات في مجتمع السان لا يزال ضعيفا في مجال التعليم وأن إمكانية حصولهن على فرص العمل والخدمات الصحية محدودة.</w:t>
      </w:r>
    </w:p>
    <w:p w14:paraId="73C81589" w14:textId="3F5135B0" w:rsidR="00EA2224" w:rsidRPr="00EA2224" w:rsidRDefault="00EA2224" w:rsidP="00EA2224">
      <w:pPr>
        <w:pStyle w:val="SingleTxt"/>
        <w:rPr>
          <w:b/>
          <w:bCs/>
        </w:rPr>
      </w:pPr>
      <w:r w:rsidRPr="00EA2224">
        <w:rPr>
          <w:b/>
          <w:rtl/>
        </w:rPr>
        <w:t>50</w:t>
      </w:r>
      <w:r w:rsidRPr="003B39D0">
        <w:rPr>
          <w:b/>
          <w:rtl/>
        </w:rPr>
        <w:t xml:space="preserve"> -</w:t>
      </w:r>
      <w:r w:rsidRPr="003B39D0">
        <w:rPr>
          <w:b/>
          <w:rtl/>
        </w:rPr>
        <w:tab/>
      </w:r>
      <w:r w:rsidRPr="00EA2224">
        <w:rPr>
          <w:bCs/>
          <w:rtl/>
        </w:rPr>
        <w:t>وتوصي اللجنة الدولة الطرف بتنفيذ تدابير لضمان حصول نساء وفتيات الشعوب الأصلية، بمن فيهن نساء وفتيات مجتمع السان، على قدر كاف من التعليم والعمل والرعاية الصحية وخدمات التمكين الاقتصادي، ولا سيما في المناطق الريفية.</w:t>
      </w:r>
      <w:r w:rsidR="00B975EF">
        <w:rPr>
          <w:rFonts w:hint="cs"/>
          <w:bCs/>
          <w:rtl/>
        </w:rPr>
        <w:t xml:space="preserve"> </w:t>
      </w:r>
    </w:p>
    <w:p w14:paraId="748689A4" w14:textId="77777777" w:rsidR="006345D2" w:rsidRPr="006345D2" w:rsidRDefault="006345D2" w:rsidP="006345D2">
      <w:pPr>
        <w:pStyle w:val="SingleTxt"/>
        <w:spacing w:after="0" w:line="120" w:lineRule="exact"/>
        <w:rPr>
          <w:b/>
          <w:sz w:val="10"/>
          <w:rtl/>
        </w:rPr>
      </w:pPr>
    </w:p>
    <w:p w14:paraId="5DEF2D8A" w14:textId="685B430D" w:rsidR="00EA2224" w:rsidRPr="00EA2224" w:rsidRDefault="00EA2224" w:rsidP="006345D2">
      <w:pPr>
        <w:pStyle w:val="H23"/>
        <w:ind w:left="1267" w:right="1267" w:hanging="1267"/>
      </w:pPr>
      <w:r w:rsidRPr="00EA2224">
        <w:rPr>
          <w:rtl/>
        </w:rPr>
        <w:tab/>
      </w:r>
      <w:r w:rsidRPr="00EA2224">
        <w:rPr>
          <w:rtl/>
        </w:rPr>
        <w:tab/>
        <w:t>تغير المناخ والحد من مخاطر الكوارث</w:t>
      </w:r>
    </w:p>
    <w:p w14:paraId="3BB3023E" w14:textId="03CC2ACB" w:rsidR="00EA2224" w:rsidRPr="00EA2224" w:rsidRDefault="00EA2224" w:rsidP="00EA2224">
      <w:pPr>
        <w:pStyle w:val="SingleTxt"/>
      </w:pPr>
      <w:r w:rsidRPr="00EA2224">
        <w:rPr>
          <w:rtl/>
        </w:rPr>
        <w:t>51</w:t>
      </w:r>
      <w:r>
        <w:rPr>
          <w:rtl/>
        </w:rPr>
        <w:t xml:space="preserve"> -</w:t>
      </w:r>
      <w:r>
        <w:rPr>
          <w:rtl/>
        </w:rPr>
        <w:tab/>
      </w:r>
      <w:r w:rsidRPr="00EA2224">
        <w:rPr>
          <w:rtl/>
        </w:rPr>
        <w:t>يساور اللجنة القلق إزاء ما يلي:</w:t>
      </w:r>
    </w:p>
    <w:p w14:paraId="5D69C8B5" w14:textId="77777777" w:rsidR="00EA2224" w:rsidRPr="00EA2224" w:rsidRDefault="00EA2224" w:rsidP="00EA2224">
      <w:pPr>
        <w:pStyle w:val="SingleTxt"/>
        <w:rPr>
          <w:spacing w:val="-2"/>
        </w:rPr>
      </w:pPr>
      <w:r w:rsidRPr="00EA2224">
        <w:rPr>
          <w:spacing w:val="-2"/>
          <w:rtl/>
        </w:rPr>
        <w:lastRenderedPageBreak/>
        <w:tab/>
        <w:t>(أ)</w:t>
      </w:r>
      <w:r w:rsidRPr="00EA2224">
        <w:rPr>
          <w:spacing w:val="-2"/>
          <w:rtl/>
        </w:rPr>
        <w:tab/>
        <w:t xml:space="preserve">عدم توفر معلومات بشأن التدابير التي اتخذتها الدولة الطرف لضمان أن تراعي السياسات المتعلقة بتغير المناخ والطاقة، ولا سيما السياسة المتعلقة باستخراج وتصدير النفط والغاز، الأثر المتباين وغير المتناسب لتغير المناخ والتدهور البيئي على المرأة، ولا سيما </w:t>
      </w:r>
      <w:r w:rsidRPr="00EA2224">
        <w:rPr>
          <w:rFonts w:hint="eastAsia"/>
          <w:spacing w:val="-2"/>
          <w:rtl/>
        </w:rPr>
        <w:t>المرأة</w:t>
      </w:r>
      <w:r w:rsidRPr="00EA2224">
        <w:rPr>
          <w:spacing w:val="-2"/>
          <w:lang w:val="fr-CH"/>
        </w:rPr>
        <w:t xml:space="preserve"> </w:t>
      </w:r>
      <w:r w:rsidRPr="00EA2224">
        <w:rPr>
          <w:rFonts w:hint="eastAsia"/>
          <w:spacing w:val="-2"/>
          <w:rtl/>
        </w:rPr>
        <w:t>الريفية</w:t>
      </w:r>
      <w:r w:rsidRPr="00EA2224">
        <w:rPr>
          <w:spacing w:val="-2"/>
          <w:lang w:val="fr-CH"/>
        </w:rPr>
        <w:t xml:space="preserve"> </w:t>
      </w:r>
      <w:r w:rsidRPr="00EA2224">
        <w:rPr>
          <w:rFonts w:hint="eastAsia"/>
          <w:spacing w:val="-2"/>
          <w:rtl/>
        </w:rPr>
        <w:t>ونساء</w:t>
      </w:r>
      <w:r w:rsidRPr="00EA2224">
        <w:rPr>
          <w:spacing w:val="-2"/>
          <w:lang w:val="fr-CH"/>
        </w:rPr>
        <w:t xml:space="preserve"> </w:t>
      </w:r>
      <w:r w:rsidRPr="00EA2224">
        <w:rPr>
          <w:rFonts w:hint="eastAsia"/>
          <w:spacing w:val="-2"/>
          <w:rtl/>
        </w:rPr>
        <w:t>الشعوب</w:t>
      </w:r>
      <w:r w:rsidRPr="00EA2224">
        <w:rPr>
          <w:spacing w:val="-2"/>
          <w:lang w:val="fr-CH"/>
        </w:rPr>
        <w:t xml:space="preserve"> </w:t>
      </w:r>
      <w:r w:rsidRPr="00EA2224">
        <w:rPr>
          <w:rFonts w:hint="eastAsia"/>
          <w:spacing w:val="-2"/>
          <w:rtl/>
        </w:rPr>
        <w:t>الأصلية؛</w:t>
      </w:r>
    </w:p>
    <w:p w14:paraId="3E45ACD5" w14:textId="77777777" w:rsidR="00EA2224" w:rsidRPr="00EA2224" w:rsidRDefault="00EA2224" w:rsidP="00EA2224">
      <w:pPr>
        <w:pStyle w:val="SingleTxt"/>
        <w:rPr>
          <w:spacing w:val="-2"/>
        </w:rPr>
      </w:pPr>
      <w:r w:rsidRPr="00EA2224">
        <w:rPr>
          <w:spacing w:val="-2"/>
          <w:rtl/>
        </w:rPr>
        <w:tab/>
        <w:t>(ب)</w:t>
      </w:r>
      <w:r w:rsidRPr="00EA2224">
        <w:rPr>
          <w:spacing w:val="-2"/>
          <w:rtl/>
        </w:rPr>
        <w:tab/>
        <w:t>عدم كفاية التدابير المتخذة لضمان ألا ينتهك الإذن بالتنقيب عن النفط والغاز وتطويرهما في منطقة كافانغو حقوق النساء والفتيات الريفيات في الحصول على المياه النظيفة والغذاء والرعاية الصحية.</w:t>
      </w:r>
    </w:p>
    <w:p w14:paraId="1204427F" w14:textId="02787C6F" w:rsidR="00EA2224" w:rsidRPr="00EA2224" w:rsidRDefault="00EA2224" w:rsidP="00EA2224">
      <w:pPr>
        <w:pStyle w:val="SingleTxt"/>
        <w:rPr>
          <w:b/>
        </w:rPr>
      </w:pPr>
      <w:r w:rsidRPr="00EA2224">
        <w:rPr>
          <w:b/>
          <w:rtl/>
        </w:rPr>
        <w:t>52</w:t>
      </w:r>
      <w:r w:rsidRPr="003B39D0">
        <w:rPr>
          <w:b/>
          <w:rtl/>
        </w:rPr>
        <w:t xml:space="preserve"> -</w:t>
      </w:r>
      <w:r w:rsidRPr="003B39D0">
        <w:rPr>
          <w:b/>
          <w:rtl/>
        </w:rPr>
        <w:tab/>
      </w:r>
      <w:r w:rsidRPr="00EA2224">
        <w:rPr>
          <w:bCs/>
          <w:rtl/>
        </w:rPr>
        <w:t>و</w:t>
      </w:r>
      <w:r w:rsidRPr="00EA2224">
        <w:rPr>
          <w:b/>
          <w:bCs/>
          <w:rtl/>
        </w:rPr>
        <w:t xml:space="preserve">تشير اللجنة إلى توصيتها العامة رقم </w:t>
      </w:r>
      <w:r w:rsidRPr="00E86319">
        <w:rPr>
          <w:b/>
          <w:bCs/>
          <w:rtl/>
        </w:rPr>
        <w:t>37 (2018)</w:t>
      </w:r>
      <w:r w:rsidRPr="00EA2224">
        <w:rPr>
          <w:b/>
          <w:bCs/>
          <w:rtl/>
        </w:rPr>
        <w:t xml:space="preserve"> بشأن الأبعاد الجنسانية للحد من مخاطر الكوارث في سياق تغير المناخ، وتوصي بأن تقوم الدولة الطرف بما يلي</w:t>
      </w:r>
      <w:r w:rsidRPr="00EA2224">
        <w:rPr>
          <w:b/>
          <w:bCs/>
          <w:lang w:val="fr-CH"/>
        </w:rPr>
        <w:t>:</w:t>
      </w:r>
    </w:p>
    <w:p w14:paraId="4877B0D1" w14:textId="77777777" w:rsidR="00EA2224" w:rsidRPr="00EA2224" w:rsidRDefault="00EA2224" w:rsidP="00EA2224">
      <w:pPr>
        <w:pStyle w:val="SingleTxt"/>
        <w:rPr>
          <w:b/>
          <w:bCs/>
        </w:rPr>
      </w:pPr>
      <w:r w:rsidRPr="00EA2224">
        <w:rPr>
          <w:rtl/>
        </w:rPr>
        <w:tab/>
        <w:t>(أ)</w:t>
      </w:r>
      <w:r w:rsidRPr="00EA2224">
        <w:rPr>
          <w:rtl/>
        </w:rPr>
        <w:tab/>
      </w:r>
      <w:r w:rsidRPr="00EA2224">
        <w:rPr>
          <w:b/>
          <w:bCs/>
          <w:rtl/>
        </w:rPr>
        <w:t>إجراء تقييمات للأثر المترتب من حيث البيئة وحقوق عن أنشطة التنقيب عن النفط والغاز في الدولة الطرف، ولا سيما أثرها على النساء والفتيات، واعتماد تدابير التخفيف والحماية المناسبة، وضمان مشاركة المرأة مشاركة مجدية في المشاورات وعمليات صنع القرار في هذا السياق؛</w:t>
      </w:r>
    </w:p>
    <w:p w14:paraId="32C721FC" w14:textId="6B7D4BCA" w:rsidR="00EA2224" w:rsidRPr="00EA2224" w:rsidRDefault="00EA2224" w:rsidP="00EA2224">
      <w:pPr>
        <w:pStyle w:val="SingleTxt"/>
        <w:rPr>
          <w:b/>
          <w:bCs/>
        </w:rPr>
      </w:pPr>
      <w:r w:rsidRPr="00EA2224">
        <w:rPr>
          <w:rtl/>
        </w:rPr>
        <w:tab/>
        <w:t>(ب)</w:t>
      </w:r>
      <w:r w:rsidRPr="00EA2224">
        <w:rPr>
          <w:rtl/>
        </w:rPr>
        <w:tab/>
      </w:r>
      <w:r w:rsidRPr="00EA2224">
        <w:rPr>
          <w:b/>
          <w:bCs/>
          <w:rtl/>
        </w:rPr>
        <w:t>ضمان أن تخضع أي قرارات بشأن استغلال النفط والغاز في منطقة كافانغو للموافقة الكاملة والمسبقة والمستنيرة للمجتمعات المحلية، بما في ذلك النساء والفتيات.</w:t>
      </w:r>
    </w:p>
    <w:p w14:paraId="6F8FD57B" w14:textId="77777777" w:rsidR="006345D2" w:rsidRPr="006345D2" w:rsidRDefault="006345D2" w:rsidP="006345D2">
      <w:pPr>
        <w:pStyle w:val="SingleTxt"/>
        <w:spacing w:after="0" w:line="120" w:lineRule="exact"/>
        <w:rPr>
          <w:b/>
          <w:sz w:val="10"/>
          <w:rtl/>
        </w:rPr>
      </w:pPr>
    </w:p>
    <w:p w14:paraId="1C6F9525" w14:textId="7BFDC697" w:rsidR="00EA2224" w:rsidRPr="00EA2224" w:rsidRDefault="00EA2224" w:rsidP="006345D2">
      <w:pPr>
        <w:pStyle w:val="H23"/>
        <w:ind w:left="1267" w:right="1267" w:hanging="1267"/>
      </w:pPr>
      <w:r w:rsidRPr="00EA2224">
        <w:rPr>
          <w:rtl/>
        </w:rPr>
        <w:tab/>
      </w:r>
      <w:r w:rsidRPr="00EA2224">
        <w:rPr>
          <w:rtl/>
        </w:rPr>
        <w:tab/>
        <w:t>الزواج والعلاقات الأسرية</w:t>
      </w:r>
      <w:r w:rsidRPr="00EA2224">
        <w:rPr>
          <w:rFonts w:cs="Times New Roman" w:hint="cs"/>
          <w:rtl/>
        </w:rPr>
        <w:t>‬</w:t>
      </w:r>
    </w:p>
    <w:p w14:paraId="7FB962B0" w14:textId="70F06B74" w:rsidR="00EA2224" w:rsidRPr="00EA2224" w:rsidRDefault="00EA2224" w:rsidP="00EA2224">
      <w:pPr>
        <w:pStyle w:val="SingleTxt"/>
      </w:pPr>
      <w:r w:rsidRPr="00EA2224">
        <w:rPr>
          <w:rtl/>
        </w:rPr>
        <w:t>53</w:t>
      </w:r>
      <w:r>
        <w:rPr>
          <w:rtl/>
        </w:rPr>
        <w:t xml:space="preserve"> -</w:t>
      </w:r>
      <w:r>
        <w:rPr>
          <w:rtl/>
        </w:rPr>
        <w:tab/>
      </w:r>
      <w:r w:rsidRPr="00EA2224">
        <w:rPr>
          <w:rtl/>
        </w:rPr>
        <w:t>تلاحظ اللجنة أنه يجوز للأرامل أن يرثن أراضي المشاع من أزواجهن المتوفين بموجب المادة 26 من قانون إصلاح أراضي المشاع (رقم 5 الصادر في عام 2002). غير أنها تلاحظ بقلق ما يلي</w:t>
      </w:r>
      <w:r w:rsidRPr="00EA2224">
        <w:rPr>
          <w:lang w:val="fr-CH"/>
        </w:rPr>
        <w:t>:</w:t>
      </w:r>
    </w:p>
    <w:p w14:paraId="060BE743" w14:textId="77777777" w:rsidR="00EA2224" w:rsidRPr="00EA2224" w:rsidRDefault="00EA2224" w:rsidP="00EA2224">
      <w:pPr>
        <w:pStyle w:val="SingleTxt"/>
      </w:pPr>
      <w:r w:rsidRPr="00EA2224">
        <w:rPr>
          <w:rtl/>
        </w:rPr>
        <w:tab/>
        <w:t>(أ)</w:t>
      </w:r>
      <w:r w:rsidRPr="00EA2224">
        <w:rPr>
          <w:rtl/>
        </w:rPr>
        <w:tab/>
        <w:t>التأخير في اعتماد مشروع قانون الزواج ومشروع قانون الطلاق ومشروع القانون الموحد للممتلكات الزوجية ومشروع تعديل قانون النفقة؛</w:t>
      </w:r>
    </w:p>
    <w:p w14:paraId="11B3A96B" w14:textId="460F4DE6" w:rsidR="00EA2224" w:rsidRPr="00EA2224" w:rsidRDefault="00EA2224" w:rsidP="00EA2224">
      <w:pPr>
        <w:pStyle w:val="SingleTxt"/>
      </w:pPr>
      <w:r w:rsidRPr="00EA2224">
        <w:rPr>
          <w:rtl/>
        </w:rPr>
        <w:tab/>
        <w:t>(ب)</w:t>
      </w:r>
      <w:r w:rsidRPr="00EA2224">
        <w:rPr>
          <w:rtl/>
        </w:rPr>
        <w:tab/>
        <w:t xml:space="preserve">عدم وجود حد أدنى لسن الزواج بالنسبة للارتباطات العرفية، وعدم تجريم زواج الأطفال إلا فيما يخص الفتيات دون سن 16 من العمر، وعدم تعريف مصطلح </w:t>
      </w:r>
      <w:r w:rsidR="006345D2">
        <w:rPr>
          <w:rFonts w:hint="cs"/>
          <w:rtl/>
        </w:rPr>
        <w:t>”</w:t>
      </w:r>
      <w:r w:rsidRPr="00EA2224">
        <w:rPr>
          <w:rtl/>
        </w:rPr>
        <w:t>بلوغ سن الرشد</w:t>
      </w:r>
      <w:r w:rsidR="006345D2">
        <w:rPr>
          <w:rFonts w:hint="cs"/>
          <w:rtl/>
        </w:rPr>
        <w:t>“</w:t>
      </w:r>
      <w:r w:rsidRPr="00EA2224">
        <w:rPr>
          <w:rtl/>
        </w:rPr>
        <w:t xml:space="preserve"> الوارد في الفقرة 1 من المادة 14 من الدستور تعريفا واضحا؛</w:t>
      </w:r>
    </w:p>
    <w:p w14:paraId="34772A90" w14:textId="7A4D8A8C" w:rsidR="00EA2224" w:rsidRPr="00EA2224" w:rsidRDefault="00EA2224" w:rsidP="00EA2224">
      <w:pPr>
        <w:pStyle w:val="SingleTxt"/>
      </w:pPr>
      <w:r w:rsidRPr="00EA2224">
        <w:rPr>
          <w:rtl/>
        </w:rPr>
        <w:tab/>
        <w:t>(ج)</w:t>
      </w:r>
      <w:r w:rsidRPr="00EA2224">
        <w:rPr>
          <w:rtl/>
        </w:rPr>
        <w:tab/>
        <w:t xml:space="preserve">بيان الدولة الطرف الذي يفيد بأنها </w:t>
      </w:r>
      <w:r w:rsidR="006345D2">
        <w:rPr>
          <w:rFonts w:hint="cs"/>
          <w:rtl/>
        </w:rPr>
        <w:t>”</w:t>
      </w:r>
      <w:r w:rsidRPr="00EA2224">
        <w:rPr>
          <w:rtl/>
        </w:rPr>
        <w:t>لا تعتزم إلغاء تعدد الزوجات</w:t>
      </w:r>
      <w:r w:rsidR="006345D2">
        <w:rPr>
          <w:rFonts w:hint="cs"/>
          <w:rtl/>
        </w:rPr>
        <w:t>“</w:t>
      </w:r>
      <w:r w:rsidRPr="00EA2224">
        <w:rPr>
          <w:rtl/>
        </w:rPr>
        <w:t xml:space="preserve"> وأنها </w:t>
      </w:r>
      <w:r w:rsidR="006345D2">
        <w:rPr>
          <w:rFonts w:hint="cs"/>
          <w:rtl/>
        </w:rPr>
        <w:t>”</w:t>
      </w:r>
      <w:r w:rsidRPr="00EA2224">
        <w:rPr>
          <w:rtl/>
        </w:rPr>
        <w:t>لا تعتبره ممارسة ضارة</w:t>
      </w:r>
      <w:r w:rsidR="006345D2">
        <w:rPr>
          <w:rFonts w:hint="cs"/>
          <w:rtl/>
        </w:rPr>
        <w:t>“</w:t>
      </w:r>
      <w:r w:rsidRPr="00EA2224">
        <w:rPr>
          <w:rtl/>
        </w:rPr>
        <w:t xml:space="preserve"> (</w:t>
      </w:r>
      <w:hyperlink r:id="rId45" w:history="1">
        <w:r w:rsidRPr="00EA2224">
          <w:rPr>
            <w:rStyle w:val="Hyperlink"/>
            <w:lang w:val="fr-CH"/>
          </w:rPr>
          <w:t>CEDAW/C/NAM/RQ/6</w:t>
        </w:r>
      </w:hyperlink>
      <w:r w:rsidRPr="00EA2224">
        <w:rPr>
          <w:rtl/>
        </w:rPr>
        <w:t>، الفقرة 26)؛</w:t>
      </w:r>
    </w:p>
    <w:p w14:paraId="5AA8B518" w14:textId="77812993" w:rsidR="00EA2224" w:rsidRPr="00EA2224" w:rsidRDefault="00EA2224" w:rsidP="00EA2224">
      <w:pPr>
        <w:pStyle w:val="SingleTxt"/>
      </w:pPr>
      <w:r w:rsidRPr="00EA2224">
        <w:rPr>
          <w:rtl/>
        </w:rPr>
        <w:tab/>
        <w:t>(د)</w:t>
      </w:r>
      <w:r w:rsidRPr="00EA2224">
        <w:rPr>
          <w:rtl/>
        </w:rPr>
        <w:tab/>
        <w:t>ورود تقارير عن استمرار ممارسة حرمان الأرملة من الممتلكات التي تتقاسمها مع زوجها، وعدم توفر معلومات عن التدابير المتخذة لضمان عدم حرمان المرأة من الممتلكات بعد فسخ زواجها أو ارتباطها.</w:t>
      </w:r>
    </w:p>
    <w:p w14:paraId="1538514F" w14:textId="6E3A81AC" w:rsidR="00EA2224" w:rsidRPr="00EA2224" w:rsidRDefault="00EA2224" w:rsidP="00EA2224">
      <w:pPr>
        <w:pStyle w:val="SingleTxt"/>
      </w:pPr>
      <w:r w:rsidRPr="00EA2224">
        <w:rPr>
          <w:rtl/>
        </w:rPr>
        <w:t>54</w:t>
      </w:r>
      <w:r>
        <w:rPr>
          <w:rtl/>
        </w:rPr>
        <w:t xml:space="preserve"> -</w:t>
      </w:r>
      <w:r>
        <w:rPr>
          <w:rtl/>
        </w:rPr>
        <w:tab/>
      </w:r>
      <w:r w:rsidRPr="00EA2224">
        <w:rPr>
          <w:b/>
          <w:bCs/>
          <w:rtl/>
        </w:rPr>
        <w:t xml:space="preserve">وتشير اللجنة إلى توصيتها العامة رقم </w:t>
      </w:r>
      <w:r w:rsidRPr="00E86319">
        <w:rPr>
          <w:b/>
          <w:bCs/>
          <w:rtl/>
        </w:rPr>
        <w:t>21 (1994)</w:t>
      </w:r>
      <w:r w:rsidRPr="00EA2224">
        <w:rPr>
          <w:b/>
          <w:bCs/>
          <w:rtl/>
        </w:rPr>
        <w:t xml:space="preserve"> بشأن المساواة في الزواج والعلاقات الأسرية وإلى توصيتها العامة رقم </w:t>
      </w:r>
      <w:r w:rsidRPr="00E86319">
        <w:rPr>
          <w:b/>
          <w:bCs/>
          <w:rtl/>
        </w:rPr>
        <w:t>29 (2013)</w:t>
      </w:r>
      <w:r w:rsidRPr="00EA2224">
        <w:rPr>
          <w:b/>
          <w:bCs/>
          <w:rtl/>
        </w:rPr>
        <w:t xml:space="preserve"> بشأن الآثار الاقتصادية المترتبة على الزواج والعلاقات الأسرية، وعلى فسخ الزواج وإنهاء العلاقات الأسرية، وتوصي بأن تقوم الدولة الطرف بما يلي:</w:t>
      </w:r>
      <w:r w:rsidR="00B975EF">
        <w:rPr>
          <w:rFonts w:hint="cs"/>
          <w:b/>
          <w:bCs/>
          <w:rtl/>
        </w:rPr>
        <w:t xml:space="preserve"> </w:t>
      </w:r>
    </w:p>
    <w:p w14:paraId="2C93F348" w14:textId="77777777" w:rsidR="00EA2224" w:rsidRPr="00EA2224" w:rsidRDefault="00EA2224" w:rsidP="00EA2224">
      <w:pPr>
        <w:pStyle w:val="SingleTxt"/>
        <w:rPr>
          <w:b/>
          <w:bCs/>
        </w:rPr>
      </w:pPr>
      <w:r w:rsidRPr="00EA2224">
        <w:rPr>
          <w:rtl/>
        </w:rPr>
        <w:tab/>
        <w:t>(أ)</w:t>
      </w:r>
      <w:r w:rsidRPr="00EA2224">
        <w:rPr>
          <w:rtl/>
        </w:rPr>
        <w:tab/>
      </w:r>
      <w:r w:rsidRPr="00EA2224">
        <w:rPr>
          <w:b/>
          <w:bCs/>
          <w:rtl/>
        </w:rPr>
        <w:t>التعجيل باعتماد مشاريع القوانين المعلقة لضمان المساواة بين الجنسين في الزواج والعلاقات الأسرية؛</w:t>
      </w:r>
    </w:p>
    <w:p w14:paraId="42E8D1BF" w14:textId="40D171B4" w:rsidR="00EA2224" w:rsidRPr="00EA2224" w:rsidRDefault="00EA2224" w:rsidP="00EA2224">
      <w:pPr>
        <w:pStyle w:val="SingleTxt"/>
        <w:rPr>
          <w:b/>
        </w:rPr>
      </w:pPr>
      <w:r w:rsidRPr="00EA2224">
        <w:rPr>
          <w:b/>
          <w:rtl/>
        </w:rPr>
        <w:lastRenderedPageBreak/>
        <w:tab/>
        <w:t>(ب)</w:t>
      </w:r>
      <w:r w:rsidRPr="00EA2224">
        <w:rPr>
          <w:b/>
          <w:rtl/>
        </w:rPr>
        <w:tab/>
      </w:r>
      <w:r w:rsidRPr="00EA2224">
        <w:rPr>
          <w:bCs/>
          <w:rtl/>
        </w:rPr>
        <w:t>تعديل قانون رعاية الطفل وحمايته (رقم 3 الصادر في عام 2015) وقانون الزواج (رقم</w:t>
      </w:r>
      <w:r w:rsidR="00B975EF">
        <w:rPr>
          <w:rFonts w:hint="cs"/>
          <w:bCs/>
          <w:rtl/>
        </w:rPr>
        <w:t> </w:t>
      </w:r>
      <w:r w:rsidRPr="00EA2224">
        <w:rPr>
          <w:bCs/>
          <w:rtl/>
        </w:rPr>
        <w:t xml:space="preserve">25 الصادر في عام 1961) لإلغاء جميع الاستثناءات من الحد الأدنى لسن الزواج وهو 18 عاما للنساء والرجال، وتوضيح معنى </w:t>
      </w:r>
      <w:r w:rsidR="006345D2">
        <w:rPr>
          <w:rFonts w:hint="cs"/>
          <w:bCs/>
          <w:rtl/>
        </w:rPr>
        <w:t>”</w:t>
      </w:r>
      <w:r w:rsidRPr="00EA2224">
        <w:rPr>
          <w:bCs/>
          <w:rtl/>
        </w:rPr>
        <w:t>بلوغ سن الرشد</w:t>
      </w:r>
      <w:r w:rsidR="006345D2">
        <w:rPr>
          <w:rFonts w:hint="cs"/>
          <w:bCs/>
          <w:rtl/>
        </w:rPr>
        <w:t>“</w:t>
      </w:r>
      <w:r w:rsidRPr="00EA2224">
        <w:rPr>
          <w:bCs/>
          <w:rtl/>
        </w:rPr>
        <w:t xml:space="preserve"> الوارد في الفقرة 1 من المادة 14 من الدستور، وضمان تطبيق الحد الأدنى لسن الزواج وهو 18 عاما على جميع الزيجات والارتباطات في الدولة الطرف، ودعم الفتيات المتزوجات من خلال توفير آليات لزيادة فرص حصولهن على التعليم والتدريب المهني وتوفير المعلومات عن الصحة والحقوق الجنسية والإنجابية؛</w:t>
      </w:r>
    </w:p>
    <w:p w14:paraId="78C355E3" w14:textId="3E03E0D4" w:rsidR="00EA2224" w:rsidRPr="00EA2224" w:rsidRDefault="00EA2224" w:rsidP="00EA2224">
      <w:pPr>
        <w:pStyle w:val="SingleTxt"/>
        <w:rPr>
          <w:b/>
          <w:bCs/>
        </w:rPr>
      </w:pPr>
      <w:r w:rsidRPr="00EA2224">
        <w:rPr>
          <w:b/>
          <w:rtl/>
        </w:rPr>
        <w:tab/>
        <w:t>(ج)</w:t>
      </w:r>
      <w:r w:rsidRPr="00EA2224">
        <w:rPr>
          <w:b/>
          <w:rtl/>
        </w:rPr>
        <w:tab/>
      </w:r>
      <w:r w:rsidRPr="00EA2224">
        <w:rPr>
          <w:bCs/>
          <w:rtl/>
        </w:rPr>
        <w:t>تشجيع إجراء مناقشات عامة مفتوحة وشاملة من أجل مكافحة تبريرات الممارسات التمييزية باسم الثقافة والتوصل إلى توافق في الآراء بشأن أثر الممارسات الضارة، مثل تعدد الزوجات وزواج الأطفال، ومواصلة استعراض القوانين العرفية، بالاشتراك مع السلطات التقليدية وغيرها من الجهات صاحبة المصلحة، لضمان توافقها مع الاتفاقية؛</w:t>
      </w:r>
    </w:p>
    <w:p w14:paraId="78C2ECEF" w14:textId="77777777" w:rsidR="00EA2224" w:rsidRPr="00EA2224" w:rsidRDefault="00EA2224" w:rsidP="00EA2224">
      <w:pPr>
        <w:pStyle w:val="SingleTxt"/>
        <w:rPr>
          <w:b/>
          <w:bCs/>
        </w:rPr>
      </w:pPr>
      <w:r w:rsidRPr="00EA2224">
        <w:rPr>
          <w:rtl/>
        </w:rPr>
        <w:tab/>
        <w:t>(د)</w:t>
      </w:r>
      <w:r w:rsidRPr="00EA2224">
        <w:rPr>
          <w:rtl/>
        </w:rPr>
        <w:tab/>
      </w:r>
      <w:r w:rsidRPr="00EA2224">
        <w:rPr>
          <w:b/>
          <w:bCs/>
          <w:rtl/>
        </w:rPr>
        <w:t>إبلاغ النساء بحقوقهن الاقتصادية وحقوقهن في الملكية وتقديم المساعدة القانونية للنساء لتطالبن بتلك الحقوق عند فسخ الزواج أو الارتباط.</w:t>
      </w:r>
    </w:p>
    <w:p w14:paraId="31DBF29C" w14:textId="77777777" w:rsidR="006345D2" w:rsidRPr="006345D2" w:rsidRDefault="006345D2" w:rsidP="006345D2">
      <w:pPr>
        <w:pStyle w:val="SingleTxt"/>
        <w:spacing w:after="0" w:line="120" w:lineRule="exact"/>
        <w:rPr>
          <w:b/>
          <w:sz w:val="10"/>
          <w:rtl/>
        </w:rPr>
      </w:pPr>
    </w:p>
    <w:p w14:paraId="6908763F" w14:textId="5DF713A7" w:rsidR="00EA2224" w:rsidRPr="00EA2224" w:rsidRDefault="00EA2224" w:rsidP="006345D2">
      <w:pPr>
        <w:pStyle w:val="H23"/>
        <w:ind w:left="1267" w:right="1267" w:hanging="1267"/>
      </w:pPr>
      <w:r w:rsidRPr="00EA2224">
        <w:rPr>
          <w:rtl/>
        </w:rPr>
        <w:tab/>
      </w:r>
      <w:r w:rsidRPr="00EA2224">
        <w:rPr>
          <w:rtl/>
        </w:rPr>
        <w:tab/>
        <w:t>جمع البيانات وتحليلها</w:t>
      </w:r>
    </w:p>
    <w:p w14:paraId="04AD3E9C" w14:textId="3124F406" w:rsidR="00EA2224" w:rsidRPr="00EA2224" w:rsidRDefault="00EA2224" w:rsidP="00EA2224">
      <w:pPr>
        <w:pStyle w:val="SingleTxt"/>
      </w:pPr>
      <w:r w:rsidRPr="00EA2224">
        <w:rPr>
          <w:rtl/>
        </w:rPr>
        <w:t>55</w:t>
      </w:r>
      <w:r>
        <w:rPr>
          <w:rtl/>
        </w:rPr>
        <w:t xml:space="preserve"> -</w:t>
      </w:r>
      <w:r>
        <w:rPr>
          <w:rtl/>
        </w:rPr>
        <w:tab/>
      </w:r>
      <w:r w:rsidRPr="00EA2224">
        <w:rPr>
          <w:rtl/>
        </w:rPr>
        <w:t>يساور اللجنة القلق إزاء توافر بيانات مصنفة في بعض المجالات ذات الصلة بإعمال حقوق المرأة، ولكن ليس جميعها، ولا سيما في ما يتعلق بالممارسات الضارة، والعنف الجنساني ضد المرأة، والاتجار، والبغاء، والتحرش الجنسي في مكان العمل، والمعونة الحكومية المقدمة إلى المرأة.</w:t>
      </w:r>
    </w:p>
    <w:p w14:paraId="0547937C" w14:textId="35D50812" w:rsidR="00EA2224" w:rsidRPr="00EA2224" w:rsidRDefault="00EA2224" w:rsidP="00EA2224">
      <w:pPr>
        <w:pStyle w:val="SingleTxt"/>
        <w:rPr>
          <w:b/>
          <w:bCs/>
        </w:rPr>
      </w:pPr>
      <w:r w:rsidRPr="00EA2224">
        <w:rPr>
          <w:b/>
          <w:rtl/>
        </w:rPr>
        <w:t>56</w:t>
      </w:r>
      <w:r w:rsidRPr="003B39D0">
        <w:rPr>
          <w:b/>
          <w:rtl/>
        </w:rPr>
        <w:t xml:space="preserve"> -</w:t>
      </w:r>
      <w:r w:rsidRPr="003B39D0">
        <w:rPr>
          <w:b/>
          <w:rtl/>
        </w:rPr>
        <w:tab/>
      </w:r>
      <w:r w:rsidRPr="00EA2224">
        <w:rPr>
          <w:b/>
          <w:bCs/>
          <w:rtl/>
        </w:rPr>
        <w:t>وتوصي اللجنة الدولة الطرف بتكثيف جهودها لتعزيز الاضطلاع بشكل منهجي</w:t>
      </w:r>
      <w:r w:rsidR="006345D2">
        <w:rPr>
          <w:b/>
          <w:bCs/>
          <w:rtl/>
        </w:rPr>
        <w:t xml:space="preserve"> </w:t>
      </w:r>
      <w:r w:rsidRPr="00EA2224">
        <w:rPr>
          <w:b/>
          <w:bCs/>
          <w:rtl/>
        </w:rPr>
        <w:t>بجمع ونشر وتحليل البيانات المتعلقة بحقوق المرأة، المصنفة بحسب نوع الجنس والسن والأصل الإثني والدين والموقع الجغرافي والإعاقة والسياق الاجتماعي والاقتصادي، في جميع الميادين.</w:t>
      </w:r>
    </w:p>
    <w:p w14:paraId="73AEDD54" w14:textId="77777777" w:rsidR="006345D2" w:rsidRPr="006345D2" w:rsidRDefault="006345D2" w:rsidP="006345D2">
      <w:pPr>
        <w:pStyle w:val="SingleTxt"/>
        <w:spacing w:after="0" w:line="120" w:lineRule="exact"/>
        <w:rPr>
          <w:b/>
          <w:sz w:val="10"/>
          <w:rtl/>
        </w:rPr>
      </w:pPr>
    </w:p>
    <w:p w14:paraId="25F1A0FD" w14:textId="0D4C88B4" w:rsidR="00EA2224" w:rsidRPr="00EA2224" w:rsidRDefault="00EA2224" w:rsidP="006345D2">
      <w:pPr>
        <w:pStyle w:val="H23"/>
        <w:ind w:left="1267" w:right="1267" w:hanging="1267"/>
      </w:pPr>
      <w:r w:rsidRPr="00EA2224">
        <w:rPr>
          <w:rtl/>
        </w:rPr>
        <w:tab/>
      </w:r>
      <w:r w:rsidRPr="00EA2224">
        <w:rPr>
          <w:rtl/>
        </w:rPr>
        <w:tab/>
        <w:t>تعديل الفقرة (1) من المادة 20 من الاتفاقية</w:t>
      </w:r>
    </w:p>
    <w:p w14:paraId="41B9D271" w14:textId="448B27BB" w:rsidR="00EA2224" w:rsidRPr="00EA2224" w:rsidRDefault="00EA2224" w:rsidP="00EA2224">
      <w:pPr>
        <w:pStyle w:val="SingleTxt"/>
        <w:rPr>
          <w:b/>
          <w:bCs/>
        </w:rPr>
      </w:pPr>
      <w:r w:rsidRPr="00EA2224">
        <w:rPr>
          <w:b/>
          <w:rtl/>
        </w:rPr>
        <w:t>57</w:t>
      </w:r>
      <w:r w:rsidRPr="003B39D0">
        <w:rPr>
          <w:b/>
          <w:rtl/>
        </w:rPr>
        <w:t xml:space="preserve"> -</w:t>
      </w:r>
      <w:r w:rsidRPr="003B39D0">
        <w:rPr>
          <w:b/>
          <w:rtl/>
        </w:rPr>
        <w:tab/>
      </w:r>
      <w:r w:rsidRPr="00EA2224">
        <w:rPr>
          <w:b/>
          <w:bCs/>
          <w:rtl/>
        </w:rPr>
        <w:t>تشجع اللجنة الدولة الطرف على أن تقبل، في أقرب وقت ممكن، تعديل الفقرة 1 من المادة 20 من الاتفاقية بشأن مدة اجتماعات اللجنة.</w:t>
      </w:r>
    </w:p>
    <w:p w14:paraId="43B8902D" w14:textId="77777777" w:rsidR="006345D2" w:rsidRPr="006345D2" w:rsidRDefault="006345D2" w:rsidP="006345D2">
      <w:pPr>
        <w:pStyle w:val="SingleTxt"/>
        <w:spacing w:after="0" w:line="120" w:lineRule="exact"/>
        <w:rPr>
          <w:b/>
          <w:sz w:val="10"/>
          <w:rtl/>
        </w:rPr>
      </w:pPr>
    </w:p>
    <w:p w14:paraId="10CB0C4D" w14:textId="1A7FEDA9" w:rsidR="00EA2224" w:rsidRPr="00EA2224" w:rsidRDefault="00EA2224" w:rsidP="006345D2">
      <w:pPr>
        <w:pStyle w:val="H23"/>
        <w:ind w:left="1267" w:right="1267" w:hanging="1267"/>
      </w:pPr>
      <w:r w:rsidRPr="00EA2224">
        <w:rPr>
          <w:rtl/>
        </w:rPr>
        <w:tab/>
      </w:r>
      <w:r w:rsidRPr="00EA2224">
        <w:rPr>
          <w:rtl/>
        </w:rPr>
        <w:tab/>
        <w:t>‎‎‎‎إعلان ومنهاج عمل بيجين</w:t>
      </w:r>
    </w:p>
    <w:p w14:paraId="58A391E1" w14:textId="199E88E5" w:rsidR="00EA2224" w:rsidRPr="00EA2224" w:rsidRDefault="00EA2224" w:rsidP="00EA2224">
      <w:pPr>
        <w:pStyle w:val="SingleTxt"/>
        <w:rPr>
          <w:b/>
          <w:bCs/>
        </w:rPr>
      </w:pPr>
      <w:r w:rsidRPr="00EA2224">
        <w:rPr>
          <w:b/>
          <w:rtl/>
        </w:rPr>
        <w:t>58</w:t>
      </w:r>
      <w:r w:rsidRPr="003B39D0">
        <w:rPr>
          <w:b/>
          <w:rtl/>
        </w:rPr>
        <w:t xml:space="preserve"> -</w:t>
      </w:r>
      <w:r w:rsidRPr="003B39D0">
        <w:rPr>
          <w:b/>
          <w:rtl/>
        </w:rPr>
        <w:tab/>
      </w:r>
      <w:r w:rsidRPr="00EA2224">
        <w:rPr>
          <w:b/>
          <w:bCs/>
          <w:rtl/>
        </w:rPr>
        <w:t>تهيب اللجنة بالدولة الطرف أن تستخدم إعلان ومنهاج عمل بيجين و</w:t>
      </w:r>
      <w:r w:rsidRPr="00EA2224">
        <w:rPr>
          <w:b/>
          <w:bCs/>
          <w:rtl/>
          <w:lang w:bidi="ar-LB"/>
        </w:rPr>
        <w:t xml:space="preserve">أن </w:t>
      </w:r>
      <w:r w:rsidRPr="00EA2224">
        <w:rPr>
          <w:b/>
          <w:bCs/>
          <w:rtl/>
        </w:rPr>
        <w:t>تواصل تقييم إعمال الحقوق المكرسة في الاتفاقية في سياق استعراض تنفيذ الإعلان ومنهاج العمل بعد مرور 25 سنة على اعتماده، من أجل تحقيق المساواة الفعلية بين المرأة والرجل.</w:t>
      </w:r>
    </w:p>
    <w:p w14:paraId="30917C95" w14:textId="77777777" w:rsidR="006345D2" w:rsidRPr="006345D2" w:rsidRDefault="006345D2" w:rsidP="006345D2">
      <w:pPr>
        <w:pStyle w:val="SingleTxt"/>
        <w:spacing w:after="0" w:line="120" w:lineRule="exact"/>
        <w:rPr>
          <w:b/>
          <w:sz w:val="10"/>
          <w:rtl/>
        </w:rPr>
      </w:pPr>
    </w:p>
    <w:p w14:paraId="16204F84" w14:textId="58652357" w:rsidR="00EA2224" w:rsidRPr="00EA2224" w:rsidRDefault="00EA2224" w:rsidP="006345D2">
      <w:pPr>
        <w:pStyle w:val="H23"/>
        <w:ind w:left="1267" w:right="1267" w:hanging="1267"/>
      </w:pPr>
      <w:r w:rsidRPr="00EA2224">
        <w:rPr>
          <w:rtl/>
        </w:rPr>
        <w:tab/>
      </w:r>
      <w:r w:rsidRPr="00EA2224">
        <w:rPr>
          <w:rtl/>
        </w:rPr>
        <w:tab/>
        <w:t>تعميم الملاحظات الختامية</w:t>
      </w:r>
    </w:p>
    <w:p w14:paraId="70972835" w14:textId="71F6798D" w:rsidR="00EA2224" w:rsidRPr="00EA2224" w:rsidRDefault="00EA2224" w:rsidP="00EA2224">
      <w:pPr>
        <w:pStyle w:val="SingleTxt"/>
      </w:pPr>
      <w:r w:rsidRPr="00EA2224">
        <w:rPr>
          <w:rtl/>
        </w:rPr>
        <w:t>59</w:t>
      </w:r>
      <w:r>
        <w:rPr>
          <w:rtl/>
        </w:rPr>
        <w:t xml:space="preserve"> -</w:t>
      </w:r>
      <w:r>
        <w:rPr>
          <w:rtl/>
        </w:rPr>
        <w:tab/>
      </w:r>
      <w:r w:rsidRPr="00EA2224">
        <w:rPr>
          <w:b/>
          <w:bCs/>
          <w:rtl/>
        </w:rPr>
        <w:t>تطلب اللجنة إلى الدولة الطرف أن تكفل تعميم هذه الملاحظات الختامية في الوقت المناسب، باللغة الرسمية للدولة الطرف، على المؤسسات الحكومية المعنية على جميع المستويات (المستوى الوطني والمستوى الإقليمي والمستوى المحلي)، ولا سيما على الحكومة والبرلمان والسلطة القضائية، وذلك من أجل التمكين من تنفيذها بالكامل.</w:t>
      </w:r>
    </w:p>
    <w:p w14:paraId="7A123D9C" w14:textId="77777777" w:rsidR="006345D2" w:rsidRPr="006345D2" w:rsidRDefault="006345D2" w:rsidP="006345D2">
      <w:pPr>
        <w:pStyle w:val="SingleTxt"/>
        <w:spacing w:after="0" w:line="120" w:lineRule="exact"/>
        <w:rPr>
          <w:b/>
          <w:sz w:val="10"/>
          <w:rtl/>
        </w:rPr>
      </w:pPr>
    </w:p>
    <w:p w14:paraId="71EE6E5D" w14:textId="3B0997D3" w:rsidR="00EA2224" w:rsidRPr="00EA2224" w:rsidRDefault="00EA2224" w:rsidP="006345D2">
      <w:pPr>
        <w:pStyle w:val="H23"/>
        <w:ind w:left="1267" w:right="1267" w:hanging="1267"/>
      </w:pPr>
      <w:r w:rsidRPr="00EA2224">
        <w:rPr>
          <w:rtl/>
        </w:rPr>
        <w:tab/>
      </w:r>
      <w:r w:rsidRPr="00EA2224">
        <w:rPr>
          <w:rtl/>
        </w:rPr>
        <w:tab/>
        <w:t>التصديق على المعاهدات الأخرى</w:t>
      </w:r>
    </w:p>
    <w:p w14:paraId="630CE264" w14:textId="766531C8" w:rsidR="00EA2224" w:rsidRPr="00EA2224" w:rsidRDefault="00EA2224" w:rsidP="006345D2">
      <w:pPr>
        <w:pStyle w:val="SingleTxt"/>
        <w:rPr>
          <w:b/>
          <w:bCs/>
        </w:rPr>
      </w:pPr>
      <w:r w:rsidRPr="00EA2224">
        <w:rPr>
          <w:rtl/>
        </w:rPr>
        <w:t>60</w:t>
      </w:r>
      <w:r>
        <w:rPr>
          <w:rtl/>
        </w:rPr>
        <w:t xml:space="preserve"> -</w:t>
      </w:r>
      <w:r>
        <w:rPr>
          <w:rtl/>
        </w:rPr>
        <w:tab/>
      </w:r>
      <w:r w:rsidRPr="00EA2224">
        <w:rPr>
          <w:b/>
          <w:bCs/>
          <w:rtl/>
        </w:rPr>
        <w:t>تلاحظ اللجنة أن انضمام الدولة الطرف إلى الصكوك الدولية الرئيسية التسعة لحقوق الإنسان</w:t>
      </w:r>
      <w:r w:rsidR="006345D2" w:rsidRPr="006345D2">
        <w:rPr>
          <w:b/>
          <w:bCs/>
          <w:vertAlign w:val="superscript"/>
          <w:rtl/>
        </w:rPr>
        <w:t>(</w:t>
      </w:r>
      <w:r w:rsidR="006345D2" w:rsidRPr="006345D2">
        <w:rPr>
          <w:rStyle w:val="FootnoteReference"/>
          <w:b/>
          <w:bCs/>
          <w:szCs w:val="22"/>
          <w:rtl/>
        </w:rPr>
        <w:footnoteReference w:id="1"/>
      </w:r>
      <w:r w:rsidR="006345D2" w:rsidRPr="006345D2">
        <w:rPr>
          <w:b/>
          <w:bCs/>
          <w:vertAlign w:val="superscript"/>
          <w:rtl/>
        </w:rPr>
        <w:t>)</w:t>
      </w:r>
      <w:r w:rsidR="006345D2" w:rsidRPr="006345D2">
        <w:rPr>
          <w:rFonts w:hint="cs"/>
          <w:rtl/>
        </w:rPr>
        <w:t xml:space="preserve"> </w:t>
      </w:r>
      <w:r w:rsidRPr="00EA2224">
        <w:rPr>
          <w:b/>
          <w:bCs/>
          <w:rtl/>
        </w:rPr>
        <w:t>من شأنه أن يعزز تمتع المرأة بحقوق الإنسان والحريات الأساسية الواجبة لها في جميع جوانب الحياة.</w:t>
      </w:r>
      <w:r w:rsidRPr="00EA2224">
        <w:rPr>
          <w:rtl/>
        </w:rPr>
        <w:t xml:space="preserve"> </w:t>
      </w:r>
      <w:r w:rsidRPr="00EA2224">
        <w:rPr>
          <w:b/>
          <w:bCs/>
          <w:rtl/>
        </w:rPr>
        <w:t>ولذلك، تشجع اللجنة الدولة الطرف على التصديق على الاتفاقية الدولية لحماية جميع الأشخاص من الاختفاء القسري، والاتفاقية الدولية لحماية حقوق جميع العمال المهاجرين وأفراد أسرهم، والبروتوكول الاختياري الملحق ‎‎باتفاقية مناهضة التعذيب‏، والبروتوكول الاختياري الملحق بالعهد الدولي الخاص بالحقوق الاقتصادية والاجتماعية والثقافية،</w:t>
      </w:r>
      <w:r w:rsidRPr="00EA2224">
        <w:rPr>
          <w:rtl/>
        </w:rPr>
        <w:t xml:space="preserve"> </w:t>
      </w:r>
      <w:r w:rsidRPr="00EA2224">
        <w:rPr>
          <w:b/>
          <w:bCs/>
          <w:rtl/>
        </w:rPr>
        <w:t>والبروتوكول الاختياري لاتفاقية حقوق الطفل المتعلق بإجراء تقديم البلاغات، التي ليست طرفا فيها بعد.</w:t>
      </w:r>
      <w:r w:rsidR="00B975EF">
        <w:rPr>
          <w:rFonts w:hint="cs"/>
          <w:b/>
          <w:bCs/>
          <w:rtl/>
        </w:rPr>
        <w:t xml:space="preserve"> </w:t>
      </w:r>
    </w:p>
    <w:p w14:paraId="2E8D58E2" w14:textId="77777777" w:rsidR="006345D2" w:rsidRPr="006345D2" w:rsidRDefault="006345D2" w:rsidP="006345D2">
      <w:pPr>
        <w:pStyle w:val="SingleTxt"/>
        <w:spacing w:after="0" w:line="120" w:lineRule="exact"/>
        <w:rPr>
          <w:b/>
          <w:sz w:val="10"/>
          <w:rtl/>
        </w:rPr>
      </w:pPr>
    </w:p>
    <w:p w14:paraId="0055F2DE" w14:textId="28D28036" w:rsidR="00EA2224" w:rsidRPr="00EA2224" w:rsidRDefault="00EA2224" w:rsidP="006345D2">
      <w:pPr>
        <w:pStyle w:val="H23"/>
        <w:ind w:left="1267" w:right="1267" w:hanging="1267"/>
      </w:pPr>
      <w:r w:rsidRPr="00EA2224">
        <w:rPr>
          <w:rtl/>
        </w:rPr>
        <w:tab/>
      </w:r>
      <w:r w:rsidRPr="00EA2224">
        <w:rPr>
          <w:rtl/>
        </w:rPr>
        <w:tab/>
        <w:t>متابعة الملاحظات الختامية</w:t>
      </w:r>
    </w:p>
    <w:p w14:paraId="7C52EEA2" w14:textId="18372E93" w:rsidR="00EA2224" w:rsidRPr="00EA2224" w:rsidRDefault="00EA2224" w:rsidP="00EA2224">
      <w:pPr>
        <w:pStyle w:val="SingleTxt"/>
      </w:pPr>
      <w:r w:rsidRPr="00EA2224">
        <w:rPr>
          <w:rtl/>
        </w:rPr>
        <w:t>61</w:t>
      </w:r>
      <w:r>
        <w:rPr>
          <w:rtl/>
        </w:rPr>
        <w:t xml:space="preserve"> -</w:t>
      </w:r>
      <w:r>
        <w:rPr>
          <w:rtl/>
        </w:rPr>
        <w:tab/>
      </w:r>
      <w:r w:rsidRPr="00EA2224">
        <w:rPr>
          <w:b/>
          <w:bCs/>
          <w:rtl/>
        </w:rPr>
        <w:t>تأسف اللجنة لأن الدولة الطرف لم تقدم معلومات عن التدابير المتخذة لتنفيذ التوصيات المحددة المبينة في ملاحظاتها الختامية الأخيرة باعتبارها توصيات لاتخاذ إجراءات فورية، وتطلب إلى الدولة الطرف أن تقدم، في غضون سنتين، معلومات خطية عن الخطوات المتخذة لتنفيذ التوصيات الواردة في الفقرات 12 (ب) و 16 (أ) و 28 (د) و 54 (ب) أعلاه.</w:t>
      </w:r>
    </w:p>
    <w:p w14:paraId="74B95699" w14:textId="77777777" w:rsidR="006345D2" w:rsidRPr="006345D2" w:rsidRDefault="006345D2" w:rsidP="006345D2">
      <w:pPr>
        <w:pStyle w:val="SingleTxt"/>
        <w:spacing w:after="0" w:line="120" w:lineRule="exact"/>
        <w:rPr>
          <w:b/>
          <w:sz w:val="10"/>
          <w:rtl/>
        </w:rPr>
      </w:pPr>
    </w:p>
    <w:p w14:paraId="1499C1B4" w14:textId="053C1875" w:rsidR="00EA2224" w:rsidRPr="00EA2224" w:rsidRDefault="00EA2224" w:rsidP="006345D2">
      <w:pPr>
        <w:pStyle w:val="H23"/>
        <w:ind w:left="1267" w:right="1267" w:hanging="1267"/>
      </w:pPr>
      <w:r w:rsidRPr="00EA2224">
        <w:rPr>
          <w:rtl/>
        </w:rPr>
        <w:tab/>
      </w:r>
      <w:r w:rsidRPr="00EA2224">
        <w:rPr>
          <w:rtl/>
        </w:rPr>
        <w:tab/>
        <w:t>إعداد التقرير المقبل</w:t>
      </w:r>
      <w:r w:rsidRPr="00EA2224">
        <w:rPr>
          <w:rFonts w:cs="Times New Roman" w:hint="cs"/>
          <w:rtl/>
        </w:rPr>
        <w:t>‬</w:t>
      </w:r>
    </w:p>
    <w:p w14:paraId="69A8DA33" w14:textId="33631A5F" w:rsidR="00EA2224" w:rsidRPr="00EA2224" w:rsidRDefault="00EA2224" w:rsidP="00EA2224">
      <w:pPr>
        <w:pStyle w:val="SingleTxt"/>
      </w:pPr>
      <w:r w:rsidRPr="00EA2224">
        <w:rPr>
          <w:rtl/>
        </w:rPr>
        <w:t>62</w:t>
      </w:r>
      <w:r>
        <w:rPr>
          <w:rtl/>
        </w:rPr>
        <w:t xml:space="preserve"> -</w:t>
      </w:r>
      <w:r>
        <w:rPr>
          <w:rtl/>
        </w:rPr>
        <w:tab/>
      </w:r>
      <w:r w:rsidRPr="00EA2224">
        <w:rPr>
          <w:b/>
          <w:bCs/>
          <w:rtl/>
        </w:rPr>
        <w:t>تدعو اللجنة الدولة الطرف إلى أن تقدم تقريرها الدوري السابع، الذي سيحين موعد تقديمه في تموز/يوليه 2026.</w:t>
      </w:r>
      <w:r w:rsidRPr="00EA2224">
        <w:rPr>
          <w:rtl/>
        </w:rPr>
        <w:t xml:space="preserve"> </w:t>
      </w:r>
      <w:r w:rsidRPr="00EA2224">
        <w:rPr>
          <w:b/>
          <w:bCs/>
          <w:rtl/>
        </w:rPr>
        <w:t>وينبغي أن يقدم التقرير في الوقت المحدد وأن يغطي الفترة الكاملة حتى وقت تقديمه.</w:t>
      </w:r>
    </w:p>
    <w:p w14:paraId="25576E30" w14:textId="0359BDB9" w:rsidR="00A97CAD" w:rsidRPr="00EA2224" w:rsidRDefault="00EA2224" w:rsidP="00EA2224">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6D1AADCE" wp14:editId="777063D8">
                <wp:simplePos x="0" y="0"/>
                <wp:positionH relativeFrom="column">
                  <wp:posOffset>2739114</wp:posOffset>
                </wp:positionH>
                <wp:positionV relativeFrom="paragraph">
                  <wp:posOffset>988613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BA5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7pt,77.85pt" to="287.7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" strokecolor="#010000" strokeweight=".25pt"/>
            </w:pict>
          </mc:Fallback>
        </mc:AlternateContent>
      </w:r>
      <w:r w:rsidRPr="00EA2224">
        <w:rPr>
          <w:rtl/>
        </w:rPr>
        <w:t>63</w:t>
      </w:r>
      <w:r>
        <w:rPr>
          <w:rtl/>
        </w:rPr>
        <w:t xml:space="preserve"> -</w:t>
      </w:r>
      <w:r>
        <w:rPr>
          <w:rtl/>
        </w:rPr>
        <w:tab/>
      </w:r>
      <w:r w:rsidRPr="00EA2224">
        <w:rPr>
          <w:b/>
          <w:bCs/>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46" w:history="1">
        <w:r w:rsidRPr="006345D2">
          <w:rPr>
            <w:rStyle w:val="Hyperlink"/>
            <w:b/>
            <w:bCs/>
            <w:lang w:val="fr-CH"/>
          </w:rPr>
          <w:t>HRI/GEN/2/Rev.6</w:t>
        </w:r>
      </w:hyperlink>
      <w:r w:rsidRPr="00EA2224">
        <w:rPr>
          <w:b/>
          <w:bCs/>
          <w:rtl/>
        </w:rPr>
        <w:t>، الفصل الأول).</w:t>
      </w:r>
    </w:p>
    <w:sectPr w:rsidR="00A97CAD" w:rsidRPr="00EA2224" w:rsidSect="00EA2224">
      <w:endnotePr>
        <w:numFmt w:val="decimal"/>
      </w:endnotePr>
      <w:type w:val="continuous"/>
      <w:pgSz w:w="12240" w:h="15840" w:code="1"/>
      <w:pgMar w:top="1440" w:right="1200" w:bottom="1152"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2T09:46:00Z" w:initials="Start">
    <w:p w14:paraId="61888C44" w14:textId="77777777" w:rsidR="00A97CAD" w:rsidRDefault="00A97CAD">
      <w:pPr>
        <w:pStyle w:val="CommentText"/>
        <w:rPr>
          <w:rtl/>
        </w:rPr>
      </w:pPr>
      <w:r>
        <w:rPr>
          <w:rStyle w:val="CommentReference"/>
        </w:rPr>
        <w:annotationRef/>
      </w:r>
      <w:r>
        <w:rPr>
          <w:rtl/>
        </w:rPr>
        <w:t>&lt;&lt;</w:t>
      </w:r>
      <w:r>
        <w:t>ODS JOB NO&gt;&gt;N2242067A&lt;&lt;ODS JOB NO</w:t>
      </w:r>
      <w:r>
        <w:rPr>
          <w:rtl/>
        </w:rPr>
        <w:t>&gt;&gt;</w:t>
      </w:r>
    </w:p>
    <w:p w14:paraId="382BF609" w14:textId="77777777" w:rsidR="00A97CAD" w:rsidRDefault="00A97CAD">
      <w:pPr>
        <w:pStyle w:val="CommentText"/>
        <w:rPr>
          <w:rtl/>
        </w:rPr>
      </w:pPr>
      <w:r>
        <w:rPr>
          <w:rtl/>
        </w:rPr>
        <w:t>&lt;&lt;</w:t>
      </w:r>
      <w:r>
        <w:t>ODS DOC SYMBOL1&gt;&gt;CEDAW/C/NAM/CO/6&lt;&lt;ODS DOC SYMBOL1</w:t>
      </w:r>
      <w:r>
        <w:rPr>
          <w:rtl/>
        </w:rPr>
        <w:t>&gt;&gt;</w:t>
      </w:r>
    </w:p>
    <w:p w14:paraId="721A560E" w14:textId="098A8F8A" w:rsidR="00A97CAD" w:rsidRDefault="00A97CAD">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A5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7E83" w16cex:dateUtc="2022-09-1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A560E" w16cid:durableId="26C97E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63DF" w14:textId="77777777" w:rsidR="00520013" w:rsidRDefault="00520013" w:rsidP="00693CF9">
      <w:pPr>
        <w:spacing w:line="240" w:lineRule="auto"/>
      </w:pPr>
      <w:r>
        <w:separator/>
      </w:r>
    </w:p>
  </w:endnote>
  <w:endnote w:type="continuationSeparator" w:id="0">
    <w:p w14:paraId="34187BD9" w14:textId="77777777" w:rsidR="00520013" w:rsidRDefault="00520013"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7CAD" w14:paraId="1AC91134" w14:textId="77777777" w:rsidTr="00A97CAD">
      <w:tc>
        <w:tcPr>
          <w:tcW w:w="4920" w:type="dxa"/>
          <w:shd w:val="clear" w:color="auto" w:fill="auto"/>
        </w:tcPr>
        <w:p w14:paraId="7F0BCC9F" w14:textId="69D973FC" w:rsidR="00A97CAD" w:rsidRPr="00A97CAD" w:rsidRDefault="00A97CAD" w:rsidP="00A97CA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2B5FD75" w14:textId="2FF4E410" w:rsidR="00A97CAD" w:rsidRPr="00A97CAD" w:rsidRDefault="00A97CAD" w:rsidP="00A97CA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E703C">
            <w:rPr>
              <w:b w:val="0"/>
              <w:w w:val="103"/>
            </w:rPr>
            <w:t>22-10901</w:t>
          </w:r>
          <w:r>
            <w:rPr>
              <w:b w:val="0"/>
              <w:w w:val="103"/>
            </w:rPr>
            <w:fldChar w:fldCharType="end"/>
          </w:r>
        </w:p>
      </w:tc>
    </w:tr>
  </w:tbl>
  <w:p w14:paraId="662A15B6" w14:textId="77777777" w:rsidR="00A97CAD" w:rsidRPr="00A97CAD" w:rsidRDefault="00A97CAD" w:rsidP="00A9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97CAD" w14:paraId="0BBC533F" w14:textId="77777777" w:rsidTr="00A97CAD">
      <w:tc>
        <w:tcPr>
          <w:tcW w:w="4920" w:type="dxa"/>
          <w:shd w:val="clear" w:color="auto" w:fill="auto"/>
        </w:tcPr>
        <w:p w14:paraId="08057E10" w14:textId="4276C169" w:rsidR="00A97CAD" w:rsidRPr="00A97CAD" w:rsidRDefault="00A97CAD" w:rsidP="00A97CA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E703C">
            <w:rPr>
              <w:b w:val="0"/>
              <w:w w:val="103"/>
            </w:rPr>
            <w:t>22-10901</w:t>
          </w:r>
          <w:r>
            <w:rPr>
              <w:b w:val="0"/>
              <w:w w:val="103"/>
            </w:rPr>
            <w:fldChar w:fldCharType="end"/>
          </w:r>
        </w:p>
      </w:tc>
      <w:tc>
        <w:tcPr>
          <w:tcW w:w="4920" w:type="dxa"/>
          <w:shd w:val="clear" w:color="auto" w:fill="auto"/>
        </w:tcPr>
        <w:p w14:paraId="55C1ED60" w14:textId="1A941C84" w:rsidR="00A97CAD" w:rsidRPr="00A97CAD" w:rsidRDefault="00A97CAD" w:rsidP="00A97CAD">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0EB7140" w14:textId="77777777" w:rsidR="00A97CAD" w:rsidRPr="00A97CAD" w:rsidRDefault="00A97CAD" w:rsidP="00A9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A97CAD" w14:paraId="5BBF8020" w14:textId="77777777" w:rsidTr="00A97CAD">
      <w:trPr>
        <w:jc w:val="right"/>
      </w:trPr>
      <w:tc>
        <w:tcPr>
          <w:tcW w:w="3888" w:type="dxa"/>
        </w:tcPr>
        <w:p w14:paraId="18D908D7" w14:textId="2E0FF7F4" w:rsidR="00A97CAD" w:rsidRDefault="00A97CAD" w:rsidP="00A97CAD">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4B1FF08D" wp14:editId="69F72F7F">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12FED57C" wp14:editId="19B8C02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0C4BAEFB" w14:textId="0BBE129F" w:rsidR="00A97CAD" w:rsidRDefault="00A97CAD" w:rsidP="00A97CAD">
          <w:pPr>
            <w:pStyle w:val="ReleaseDate"/>
          </w:pPr>
          <w:r>
            <w:t>1</w:t>
          </w:r>
          <w:r w:rsidR="00E86319">
            <w:t>3</w:t>
          </w:r>
          <w:r>
            <w:t xml:space="preserve">0922    120922    </w:t>
          </w:r>
          <w:r w:rsidR="00520013">
            <w:fldChar w:fldCharType="begin"/>
          </w:r>
          <w:r w:rsidR="00520013">
            <w:instrText xml:space="preserve"> DOCVARIABLE "jobn" \* MERGEFORMAT </w:instrText>
          </w:r>
          <w:r w:rsidR="00520013">
            <w:fldChar w:fldCharType="separate"/>
          </w:r>
          <w:r w:rsidR="000E703C">
            <w:t>22-10901 (A)</w:t>
          </w:r>
          <w:r w:rsidR="00520013">
            <w:fldChar w:fldCharType="end"/>
          </w:r>
        </w:p>
        <w:p w14:paraId="5934DAEC" w14:textId="5D809C1B" w:rsidR="00A97CAD" w:rsidRPr="00A97CAD" w:rsidRDefault="00A97CAD" w:rsidP="00A97CAD">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E703C">
            <w:rPr>
              <w:rFonts w:ascii="Barcode 3 of 9 by request" w:hAnsi="Barcode 3 of 9 by request"/>
              <w:sz w:val="24"/>
            </w:rPr>
            <w:t>*2210901*</w:t>
          </w:r>
          <w:r>
            <w:rPr>
              <w:rFonts w:ascii="Barcode 3 of 9 by request" w:hAnsi="Barcode 3 of 9 by request"/>
              <w:sz w:val="24"/>
            </w:rPr>
            <w:fldChar w:fldCharType="end"/>
          </w:r>
        </w:p>
      </w:tc>
    </w:tr>
  </w:tbl>
  <w:p w14:paraId="32A857A2" w14:textId="77777777" w:rsidR="00A97CAD" w:rsidRPr="00A97CAD" w:rsidRDefault="00A97CAD" w:rsidP="00A97CAD">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C147" w14:textId="77777777" w:rsidR="00520013" w:rsidRPr="006345D2" w:rsidRDefault="00520013" w:rsidP="006345D2">
      <w:pPr>
        <w:pStyle w:val="Footer"/>
        <w:bidi/>
        <w:spacing w:after="80"/>
        <w:ind w:left="792"/>
        <w:jc w:val="left"/>
        <w:rPr>
          <w:sz w:val="16"/>
        </w:rPr>
      </w:pPr>
      <w:r w:rsidRPr="006345D2">
        <w:rPr>
          <w:sz w:val="16"/>
          <w:rtl/>
        </w:rPr>
        <w:t>__________</w:t>
      </w:r>
    </w:p>
  </w:footnote>
  <w:footnote w:type="continuationSeparator" w:id="0">
    <w:p w14:paraId="795265D4" w14:textId="77777777" w:rsidR="00520013" w:rsidRPr="006345D2" w:rsidRDefault="00520013" w:rsidP="006345D2">
      <w:pPr>
        <w:pStyle w:val="Footer"/>
        <w:bidi/>
        <w:spacing w:after="80"/>
        <w:ind w:left="792"/>
        <w:jc w:val="left"/>
        <w:rPr>
          <w:sz w:val="16"/>
        </w:rPr>
      </w:pPr>
      <w:r w:rsidRPr="006345D2">
        <w:rPr>
          <w:sz w:val="16"/>
          <w:rtl/>
        </w:rPr>
        <w:t>__________</w:t>
      </w:r>
    </w:p>
  </w:footnote>
  <w:footnote w:id="1">
    <w:p w14:paraId="1097B41B" w14:textId="1B18CE4A" w:rsidR="006345D2" w:rsidRPr="006345D2" w:rsidRDefault="006345D2" w:rsidP="006345D2">
      <w:pPr>
        <w:pStyle w:val="FootnoteText"/>
        <w:tabs>
          <w:tab w:val="clear" w:pos="418"/>
          <w:tab w:val="right" w:pos="1195"/>
          <w:tab w:val="left" w:pos="1267"/>
          <w:tab w:val="left" w:pos="1656"/>
          <w:tab w:val="left" w:pos="2088"/>
        </w:tabs>
        <w:spacing w:after="80"/>
        <w:ind w:left="1267" w:right="1267" w:hanging="547"/>
        <w:rPr>
          <w:sz w:val="18"/>
        </w:rPr>
      </w:pPr>
      <w:r w:rsidRPr="006345D2">
        <w:rPr>
          <w:rtl/>
        </w:rPr>
        <w:tab/>
      </w:r>
      <w:r w:rsidRPr="006345D2">
        <w:rPr>
          <w:sz w:val="18"/>
          <w:rtl/>
        </w:rPr>
        <w:t>(</w:t>
      </w:r>
      <w:r w:rsidRPr="006345D2">
        <w:rPr>
          <w:rStyle w:val="FootnoteReference"/>
          <w:spacing w:val="0"/>
          <w:w w:val="100"/>
          <w:sz w:val="18"/>
          <w:vertAlign w:val="baseline"/>
          <w:rtl/>
        </w:rPr>
        <w:footnoteRef/>
      </w:r>
      <w:r w:rsidRPr="006345D2">
        <w:rPr>
          <w:sz w:val="18"/>
          <w:rtl/>
        </w:rPr>
        <w:t>)</w:t>
      </w:r>
      <w:r w:rsidRPr="006345D2">
        <w:rPr>
          <w:sz w:val="18"/>
          <w:rtl/>
        </w:rPr>
        <w:tab/>
      </w:r>
      <w:bookmarkStart w:id="1" w:name="_Hlk110505523"/>
      <w:r w:rsidRPr="006345D2">
        <w:rPr>
          <w:rFonts w:hint="eastAsia"/>
          <w:sz w:val="18"/>
          <w:rtl/>
        </w:rPr>
        <w:t>العهد</w:t>
      </w:r>
      <w:r w:rsidRPr="006345D2">
        <w:rPr>
          <w:sz w:val="18"/>
        </w:rPr>
        <w:t xml:space="preserve"> </w:t>
      </w:r>
      <w:r w:rsidRPr="006345D2">
        <w:rPr>
          <w:rFonts w:hint="eastAsia"/>
          <w:sz w:val="18"/>
          <w:rtl/>
        </w:rPr>
        <w:t>الدولي</w:t>
      </w:r>
      <w:r w:rsidRPr="006345D2">
        <w:rPr>
          <w:sz w:val="18"/>
        </w:rPr>
        <w:t xml:space="preserve"> </w:t>
      </w:r>
      <w:r w:rsidRPr="006345D2">
        <w:rPr>
          <w:rFonts w:hint="eastAsia"/>
          <w:sz w:val="18"/>
          <w:rtl/>
        </w:rPr>
        <w:t>الخاص</w:t>
      </w:r>
      <w:r w:rsidRPr="006345D2">
        <w:rPr>
          <w:sz w:val="18"/>
        </w:rPr>
        <w:t xml:space="preserve"> </w:t>
      </w:r>
      <w:r w:rsidRPr="006345D2">
        <w:rPr>
          <w:rFonts w:hint="eastAsia"/>
          <w:sz w:val="18"/>
          <w:rtl/>
        </w:rPr>
        <w:t>بالحقوق</w:t>
      </w:r>
      <w:r w:rsidRPr="006345D2">
        <w:rPr>
          <w:sz w:val="18"/>
        </w:rPr>
        <w:t xml:space="preserve"> </w:t>
      </w:r>
      <w:r w:rsidRPr="006345D2">
        <w:rPr>
          <w:rFonts w:hint="eastAsia"/>
          <w:sz w:val="18"/>
          <w:rtl/>
        </w:rPr>
        <w:t>الاقتصادية</w:t>
      </w:r>
      <w:r w:rsidRPr="006345D2">
        <w:rPr>
          <w:sz w:val="18"/>
        </w:rPr>
        <w:t xml:space="preserve"> </w:t>
      </w:r>
      <w:r w:rsidRPr="006345D2">
        <w:rPr>
          <w:rFonts w:hint="eastAsia"/>
          <w:sz w:val="18"/>
          <w:rtl/>
        </w:rPr>
        <w:t>والاجتماعية</w:t>
      </w:r>
      <w:r w:rsidRPr="006345D2">
        <w:rPr>
          <w:sz w:val="18"/>
        </w:rPr>
        <w:t xml:space="preserve"> </w:t>
      </w:r>
      <w:r w:rsidRPr="006345D2">
        <w:rPr>
          <w:rFonts w:hint="eastAsia"/>
          <w:sz w:val="18"/>
          <w:rtl/>
        </w:rPr>
        <w:t>والثقافية؛</w:t>
      </w:r>
      <w:r w:rsidRPr="006345D2">
        <w:rPr>
          <w:sz w:val="18"/>
        </w:rPr>
        <w:t xml:space="preserve"> </w:t>
      </w:r>
      <w:r w:rsidRPr="006345D2">
        <w:rPr>
          <w:rFonts w:hint="eastAsia"/>
          <w:sz w:val="18"/>
          <w:rtl/>
        </w:rPr>
        <w:t>والعهد</w:t>
      </w:r>
      <w:r w:rsidRPr="006345D2">
        <w:rPr>
          <w:sz w:val="18"/>
        </w:rPr>
        <w:t xml:space="preserve"> </w:t>
      </w:r>
      <w:r w:rsidRPr="006345D2">
        <w:rPr>
          <w:rFonts w:hint="eastAsia"/>
          <w:sz w:val="18"/>
          <w:rtl/>
        </w:rPr>
        <w:t>الدولي</w:t>
      </w:r>
      <w:r w:rsidRPr="006345D2">
        <w:rPr>
          <w:sz w:val="18"/>
        </w:rPr>
        <w:t xml:space="preserve"> </w:t>
      </w:r>
      <w:r w:rsidRPr="006345D2">
        <w:rPr>
          <w:rFonts w:hint="eastAsia"/>
          <w:sz w:val="18"/>
          <w:rtl/>
        </w:rPr>
        <w:t>الخاص</w:t>
      </w:r>
      <w:r w:rsidRPr="006345D2">
        <w:rPr>
          <w:sz w:val="18"/>
        </w:rPr>
        <w:t xml:space="preserve"> </w:t>
      </w:r>
      <w:r w:rsidRPr="006345D2">
        <w:rPr>
          <w:rFonts w:hint="eastAsia"/>
          <w:sz w:val="18"/>
          <w:rtl/>
        </w:rPr>
        <w:t>بالحقوق</w:t>
      </w:r>
      <w:r w:rsidRPr="006345D2">
        <w:rPr>
          <w:sz w:val="18"/>
        </w:rPr>
        <w:t xml:space="preserve"> </w:t>
      </w:r>
      <w:r w:rsidRPr="006345D2">
        <w:rPr>
          <w:rFonts w:hint="eastAsia"/>
          <w:sz w:val="18"/>
          <w:rtl/>
        </w:rPr>
        <w:t>المدنية</w:t>
      </w:r>
      <w:r w:rsidRPr="006345D2">
        <w:rPr>
          <w:sz w:val="18"/>
        </w:rPr>
        <w:t xml:space="preserve"> </w:t>
      </w:r>
      <w:r w:rsidRPr="006345D2">
        <w:rPr>
          <w:rFonts w:hint="eastAsia"/>
          <w:sz w:val="18"/>
          <w:rtl/>
        </w:rPr>
        <w:t>والسياسية؛</w:t>
      </w:r>
      <w:r w:rsidRPr="006345D2">
        <w:rPr>
          <w:sz w:val="18"/>
        </w:rPr>
        <w:t xml:space="preserve"> </w:t>
      </w:r>
      <w:r w:rsidRPr="006345D2">
        <w:rPr>
          <w:rFonts w:hint="eastAsia"/>
          <w:sz w:val="18"/>
          <w:rtl/>
        </w:rPr>
        <w:t>والاتفاقية</w:t>
      </w:r>
      <w:r w:rsidRPr="006345D2">
        <w:rPr>
          <w:sz w:val="18"/>
        </w:rPr>
        <w:t xml:space="preserve"> </w:t>
      </w:r>
      <w:r w:rsidRPr="006345D2">
        <w:rPr>
          <w:rFonts w:hint="eastAsia"/>
          <w:sz w:val="18"/>
          <w:rtl/>
        </w:rPr>
        <w:t>الدولية</w:t>
      </w:r>
      <w:r w:rsidRPr="006345D2">
        <w:rPr>
          <w:sz w:val="18"/>
        </w:rPr>
        <w:t xml:space="preserve"> </w:t>
      </w:r>
      <w:r w:rsidRPr="006345D2">
        <w:rPr>
          <w:rFonts w:hint="eastAsia"/>
          <w:sz w:val="18"/>
          <w:rtl/>
        </w:rPr>
        <w:t>للقضاء</w:t>
      </w:r>
      <w:r w:rsidRPr="006345D2">
        <w:rPr>
          <w:sz w:val="18"/>
        </w:rPr>
        <w:t xml:space="preserve"> </w:t>
      </w:r>
      <w:r w:rsidRPr="006345D2">
        <w:rPr>
          <w:rFonts w:hint="eastAsia"/>
          <w:sz w:val="18"/>
          <w:rtl/>
        </w:rPr>
        <w:t>على</w:t>
      </w:r>
      <w:r w:rsidRPr="006345D2">
        <w:rPr>
          <w:sz w:val="18"/>
        </w:rPr>
        <w:t xml:space="preserve"> </w:t>
      </w:r>
      <w:r w:rsidRPr="006345D2">
        <w:rPr>
          <w:rFonts w:hint="eastAsia"/>
          <w:sz w:val="18"/>
          <w:rtl/>
        </w:rPr>
        <w:t>جميع</w:t>
      </w:r>
      <w:r w:rsidRPr="006345D2">
        <w:rPr>
          <w:sz w:val="18"/>
        </w:rPr>
        <w:t xml:space="preserve"> </w:t>
      </w:r>
      <w:r w:rsidRPr="006345D2">
        <w:rPr>
          <w:rFonts w:hint="eastAsia"/>
          <w:sz w:val="18"/>
          <w:rtl/>
        </w:rPr>
        <w:t>أشكال</w:t>
      </w:r>
      <w:r w:rsidRPr="006345D2">
        <w:rPr>
          <w:sz w:val="18"/>
        </w:rPr>
        <w:t xml:space="preserve"> </w:t>
      </w:r>
      <w:r w:rsidRPr="006345D2">
        <w:rPr>
          <w:rFonts w:hint="eastAsia"/>
          <w:sz w:val="18"/>
          <w:rtl/>
        </w:rPr>
        <w:t>التمييز</w:t>
      </w:r>
      <w:r w:rsidRPr="006345D2">
        <w:rPr>
          <w:sz w:val="18"/>
        </w:rPr>
        <w:t xml:space="preserve"> </w:t>
      </w:r>
      <w:r w:rsidRPr="006345D2">
        <w:rPr>
          <w:rFonts w:hint="eastAsia"/>
          <w:sz w:val="18"/>
          <w:rtl/>
        </w:rPr>
        <w:t>العنصري؛</w:t>
      </w:r>
      <w:r w:rsidRPr="006345D2">
        <w:rPr>
          <w:sz w:val="18"/>
        </w:rPr>
        <w:t xml:space="preserve"> </w:t>
      </w:r>
      <w:r w:rsidRPr="006345D2">
        <w:rPr>
          <w:rFonts w:hint="eastAsia"/>
          <w:sz w:val="18"/>
          <w:rtl/>
        </w:rPr>
        <w:t>واتفاقية</w:t>
      </w:r>
      <w:r w:rsidRPr="006345D2">
        <w:rPr>
          <w:sz w:val="18"/>
        </w:rPr>
        <w:t xml:space="preserve"> </w:t>
      </w:r>
      <w:r w:rsidRPr="006345D2">
        <w:rPr>
          <w:rFonts w:hint="eastAsia"/>
          <w:sz w:val="18"/>
          <w:rtl/>
        </w:rPr>
        <w:t>القضاء</w:t>
      </w:r>
      <w:r w:rsidRPr="006345D2">
        <w:rPr>
          <w:sz w:val="18"/>
        </w:rPr>
        <w:t xml:space="preserve"> </w:t>
      </w:r>
      <w:r w:rsidRPr="006345D2">
        <w:rPr>
          <w:rFonts w:hint="eastAsia"/>
          <w:sz w:val="18"/>
          <w:rtl/>
        </w:rPr>
        <w:t>على</w:t>
      </w:r>
      <w:r w:rsidRPr="006345D2">
        <w:rPr>
          <w:sz w:val="18"/>
        </w:rPr>
        <w:t xml:space="preserve"> </w:t>
      </w:r>
      <w:r w:rsidRPr="006345D2">
        <w:rPr>
          <w:rFonts w:hint="eastAsia"/>
          <w:sz w:val="18"/>
          <w:rtl/>
        </w:rPr>
        <w:t>جميع</w:t>
      </w:r>
      <w:r w:rsidRPr="006345D2">
        <w:rPr>
          <w:sz w:val="18"/>
        </w:rPr>
        <w:t xml:space="preserve"> </w:t>
      </w:r>
      <w:r w:rsidRPr="006345D2">
        <w:rPr>
          <w:rFonts w:hint="eastAsia"/>
          <w:sz w:val="18"/>
          <w:rtl/>
        </w:rPr>
        <w:t>أشكال</w:t>
      </w:r>
      <w:r w:rsidRPr="006345D2">
        <w:rPr>
          <w:sz w:val="18"/>
        </w:rPr>
        <w:t xml:space="preserve"> </w:t>
      </w:r>
      <w:r w:rsidRPr="006345D2">
        <w:rPr>
          <w:rFonts w:hint="eastAsia"/>
          <w:sz w:val="18"/>
          <w:rtl/>
        </w:rPr>
        <w:t>التمييز</w:t>
      </w:r>
      <w:r w:rsidRPr="006345D2">
        <w:rPr>
          <w:sz w:val="18"/>
        </w:rPr>
        <w:t xml:space="preserve"> </w:t>
      </w:r>
      <w:r w:rsidRPr="006345D2">
        <w:rPr>
          <w:rFonts w:hint="eastAsia"/>
          <w:sz w:val="18"/>
          <w:rtl/>
        </w:rPr>
        <w:t>ضد</w:t>
      </w:r>
      <w:r w:rsidRPr="006345D2">
        <w:rPr>
          <w:sz w:val="18"/>
        </w:rPr>
        <w:t xml:space="preserve"> </w:t>
      </w:r>
      <w:r w:rsidRPr="006345D2">
        <w:rPr>
          <w:rFonts w:hint="eastAsia"/>
          <w:sz w:val="18"/>
          <w:rtl/>
        </w:rPr>
        <w:t>المرأة؛</w:t>
      </w:r>
      <w:r w:rsidRPr="006345D2">
        <w:rPr>
          <w:sz w:val="18"/>
        </w:rPr>
        <w:t xml:space="preserve"> </w:t>
      </w:r>
      <w:r w:rsidRPr="006345D2">
        <w:rPr>
          <w:rFonts w:hint="eastAsia"/>
          <w:sz w:val="18"/>
          <w:rtl/>
        </w:rPr>
        <w:t>و</w:t>
      </w:r>
      <w:r w:rsidRPr="006345D2">
        <w:rPr>
          <w:rFonts w:hint="eastAsia"/>
          <w:sz w:val="18"/>
          <w:cs/>
        </w:rPr>
        <w:t>‎‎</w:t>
      </w:r>
      <w:r w:rsidRPr="006345D2">
        <w:rPr>
          <w:rFonts w:hint="eastAsia"/>
          <w:sz w:val="18"/>
          <w:rtl/>
        </w:rPr>
        <w:t>اتفاقية</w:t>
      </w:r>
      <w:r w:rsidRPr="006345D2">
        <w:rPr>
          <w:sz w:val="18"/>
        </w:rPr>
        <w:t xml:space="preserve"> </w:t>
      </w:r>
      <w:r w:rsidRPr="006345D2">
        <w:rPr>
          <w:rFonts w:hint="eastAsia"/>
          <w:sz w:val="18"/>
          <w:rtl/>
        </w:rPr>
        <w:t>مناهضة</w:t>
      </w:r>
      <w:r w:rsidRPr="006345D2">
        <w:rPr>
          <w:sz w:val="18"/>
        </w:rPr>
        <w:t xml:space="preserve"> </w:t>
      </w:r>
      <w:r w:rsidRPr="006345D2">
        <w:rPr>
          <w:rFonts w:hint="eastAsia"/>
          <w:sz w:val="18"/>
          <w:rtl/>
        </w:rPr>
        <w:t>التعذيب</w:t>
      </w:r>
      <w:r w:rsidRPr="006345D2">
        <w:rPr>
          <w:sz w:val="18"/>
        </w:rPr>
        <w:t xml:space="preserve"> </w:t>
      </w:r>
      <w:r w:rsidRPr="006345D2">
        <w:rPr>
          <w:rFonts w:hint="eastAsia"/>
          <w:sz w:val="18"/>
          <w:rtl/>
        </w:rPr>
        <w:t>وغيره</w:t>
      </w:r>
      <w:r w:rsidRPr="006345D2">
        <w:rPr>
          <w:sz w:val="18"/>
        </w:rPr>
        <w:t xml:space="preserve"> </w:t>
      </w:r>
      <w:r w:rsidRPr="006345D2">
        <w:rPr>
          <w:rFonts w:hint="eastAsia"/>
          <w:sz w:val="18"/>
          <w:rtl/>
        </w:rPr>
        <w:t>من</w:t>
      </w:r>
      <w:r w:rsidRPr="006345D2">
        <w:rPr>
          <w:sz w:val="18"/>
        </w:rPr>
        <w:t xml:space="preserve"> </w:t>
      </w:r>
      <w:r w:rsidRPr="006345D2">
        <w:rPr>
          <w:rFonts w:hint="eastAsia"/>
          <w:sz w:val="18"/>
          <w:rtl/>
        </w:rPr>
        <w:t>ضروب</w:t>
      </w:r>
      <w:r w:rsidRPr="006345D2">
        <w:rPr>
          <w:sz w:val="18"/>
        </w:rPr>
        <w:t xml:space="preserve"> </w:t>
      </w:r>
      <w:r w:rsidRPr="006345D2">
        <w:rPr>
          <w:rFonts w:hint="eastAsia"/>
          <w:sz w:val="18"/>
          <w:rtl/>
        </w:rPr>
        <w:t>المعاملة</w:t>
      </w:r>
      <w:r w:rsidRPr="006345D2">
        <w:rPr>
          <w:sz w:val="18"/>
        </w:rPr>
        <w:t xml:space="preserve"> </w:t>
      </w:r>
      <w:r w:rsidRPr="006345D2">
        <w:rPr>
          <w:rFonts w:hint="eastAsia"/>
          <w:sz w:val="18"/>
          <w:rtl/>
        </w:rPr>
        <w:t>أو</w:t>
      </w:r>
      <w:r w:rsidRPr="006345D2">
        <w:rPr>
          <w:sz w:val="18"/>
        </w:rPr>
        <w:t xml:space="preserve"> </w:t>
      </w:r>
      <w:r w:rsidRPr="006345D2">
        <w:rPr>
          <w:rFonts w:hint="eastAsia"/>
          <w:sz w:val="18"/>
          <w:rtl/>
        </w:rPr>
        <w:t>العقوبة</w:t>
      </w:r>
      <w:r w:rsidRPr="006345D2">
        <w:rPr>
          <w:sz w:val="18"/>
        </w:rPr>
        <w:t xml:space="preserve"> </w:t>
      </w:r>
      <w:r w:rsidRPr="006345D2">
        <w:rPr>
          <w:rFonts w:hint="eastAsia"/>
          <w:sz w:val="18"/>
          <w:rtl/>
        </w:rPr>
        <w:t>القاسية</w:t>
      </w:r>
      <w:r w:rsidRPr="006345D2">
        <w:rPr>
          <w:sz w:val="18"/>
        </w:rPr>
        <w:t xml:space="preserve"> </w:t>
      </w:r>
      <w:r w:rsidRPr="006345D2">
        <w:rPr>
          <w:rFonts w:hint="eastAsia"/>
          <w:sz w:val="18"/>
          <w:rtl/>
        </w:rPr>
        <w:t>أو</w:t>
      </w:r>
      <w:r w:rsidRPr="006345D2">
        <w:rPr>
          <w:sz w:val="18"/>
        </w:rPr>
        <w:t xml:space="preserve"> </w:t>
      </w:r>
      <w:r w:rsidRPr="006345D2">
        <w:rPr>
          <w:rFonts w:hint="eastAsia"/>
          <w:sz w:val="18"/>
          <w:rtl/>
        </w:rPr>
        <w:t>اللاإنسانية</w:t>
      </w:r>
      <w:r w:rsidRPr="006345D2">
        <w:rPr>
          <w:sz w:val="18"/>
        </w:rPr>
        <w:t xml:space="preserve"> </w:t>
      </w:r>
      <w:r w:rsidRPr="006345D2">
        <w:rPr>
          <w:rFonts w:hint="eastAsia"/>
          <w:sz w:val="18"/>
          <w:rtl/>
        </w:rPr>
        <w:t>أو</w:t>
      </w:r>
      <w:r w:rsidRPr="006345D2">
        <w:rPr>
          <w:sz w:val="18"/>
        </w:rPr>
        <w:t xml:space="preserve"> </w:t>
      </w:r>
      <w:r w:rsidRPr="006345D2">
        <w:rPr>
          <w:rFonts w:hint="eastAsia"/>
          <w:sz w:val="18"/>
          <w:rtl/>
        </w:rPr>
        <w:t>المهينة‏؛</w:t>
      </w:r>
      <w:r w:rsidRPr="006345D2">
        <w:rPr>
          <w:sz w:val="18"/>
        </w:rPr>
        <w:t xml:space="preserve"> </w:t>
      </w:r>
      <w:r w:rsidRPr="006345D2">
        <w:rPr>
          <w:rFonts w:hint="eastAsia"/>
          <w:sz w:val="18"/>
          <w:rtl/>
        </w:rPr>
        <w:t>واتفاقية</w:t>
      </w:r>
      <w:r w:rsidRPr="006345D2">
        <w:rPr>
          <w:sz w:val="18"/>
        </w:rPr>
        <w:t xml:space="preserve"> </w:t>
      </w:r>
      <w:r w:rsidRPr="006345D2">
        <w:rPr>
          <w:rFonts w:hint="eastAsia"/>
          <w:sz w:val="18"/>
          <w:rtl/>
        </w:rPr>
        <w:t>حقوق</w:t>
      </w:r>
      <w:r w:rsidRPr="006345D2">
        <w:rPr>
          <w:sz w:val="18"/>
        </w:rPr>
        <w:t xml:space="preserve"> </w:t>
      </w:r>
      <w:r w:rsidRPr="006345D2">
        <w:rPr>
          <w:rFonts w:hint="eastAsia"/>
          <w:sz w:val="18"/>
          <w:rtl/>
        </w:rPr>
        <w:t>الطفل؛</w:t>
      </w:r>
      <w:r w:rsidRPr="006345D2">
        <w:rPr>
          <w:sz w:val="18"/>
        </w:rPr>
        <w:t xml:space="preserve"> </w:t>
      </w:r>
      <w:r w:rsidRPr="006345D2">
        <w:rPr>
          <w:rFonts w:hint="eastAsia"/>
          <w:sz w:val="18"/>
          <w:rtl/>
        </w:rPr>
        <w:t>والاتفاقية</w:t>
      </w:r>
      <w:r w:rsidRPr="006345D2">
        <w:rPr>
          <w:sz w:val="18"/>
        </w:rPr>
        <w:t xml:space="preserve"> </w:t>
      </w:r>
      <w:r w:rsidRPr="006345D2">
        <w:rPr>
          <w:rFonts w:hint="eastAsia"/>
          <w:sz w:val="18"/>
          <w:rtl/>
        </w:rPr>
        <w:t>الدولية</w:t>
      </w:r>
      <w:r w:rsidRPr="006345D2">
        <w:rPr>
          <w:sz w:val="18"/>
        </w:rPr>
        <w:t xml:space="preserve"> </w:t>
      </w:r>
      <w:r w:rsidRPr="006345D2">
        <w:rPr>
          <w:rFonts w:hint="eastAsia"/>
          <w:sz w:val="18"/>
          <w:rtl/>
        </w:rPr>
        <w:t>لحماية</w:t>
      </w:r>
      <w:r w:rsidRPr="006345D2">
        <w:rPr>
          <w:sz w:val="18"/>
        </w:rPr>
        <w:t xml:space="preserve"> </w:t>
      </w:r>
      <w:r w:rsidRPr="006345D2">
        <w:rPr>
          <w:rFonts w:hint="eastAsia"/>
          <w:sz w:val="18"/>
          <w:rtl/>
        </w:rPr>
        <w:t>حقوق</w:t>
      </w:r>
      <w:r w:rsidRPr="006345D2">
        <w:rPr>
          <w:sz w:val="18"/>
        </w:rPr>
        <w:t xml:space="preserve"> </w:t>
      </w:r>
      <w:r w:rsidRPr="006345D2">
        <w:rPr>
          <w:rFonts w:hint="eastAsia"/>
          <w:sz w:val="18"/>
          <w:rtl/>
        </w:rPr>
        <w:t>جميع</w:t>
      </w:r>
      <w:r w:rsidRPr="006345D2">
        <w:rPr>
          <w:sz w:val="18"/>
        </w:rPr>
        <w:t xml:space="preserve"> </w:t>
      </w:r>
      <w:r w:rsidRPr="006345D2">
        <w:rPr>
          <w:rFonts w:hint="eastAsia"/>
          <w:sz w:val="18"/>
          <w:rtl/>
        </w:rPr>
        <w:t>العمال</w:t>
      </w:r>
      <w:r w:rsidRPr="006345D2">
        <w:rPr>
          <w:sz w:val="18"/>
        </w:rPr>
        <w:t xml:space="preserve"> </w:t>
      </w:r>
      <w:r w:rsidRPr="006345D2">
        <w:rPr>
          <w:rFonts w:hint="eastAsia"/>
          <w:sz w:val="18"/>
          <w:rtl/>
        </w:rPr>
        <w:t>المهاجرين</w:t>
      </w:r>
      <w:r w:rsidRPr="006345D2">
        <w:rPr>
          <w:sz w:val="18"/>
        </w:rPr>
        <w:t xml:space="preserve"> </w:t>
      </w:r>
      <w:r w:rsidRPr="006345D2">
        <w:rPr>
          <w:rFonts w:hint="eastAsia"/>
          <w:sz w:val="18"/>
          <w:rtl/>
        </w:rPr>
        <w:t>وأفراد</w:t>
      </w:r>
      <w:r w:rsidRPr="006345D2">
        <w:rPr>
          <w:sz w:val="18"/>
        </w:rPr>
        <w:t xml:space="preserve"> </w:t>
      </w:r>
      <w:r w:rsidRPr="006345D2">
        <w:rPr>
          <w:rFonts w:hint="eastAsia"/>
          <w:sz w:val="18"/>
          <w:rtl/>
        </w:rPr>
        <w:t>أسرهم؛</w:t>
      </w:r>
      <w:r w:rsidRPr="006345D2">
        <w:rPr>
          <w:sz w:val="18"/>
        </w:rPr>
        <w:t xml:space="preserve"> </w:t>
      </w:r>
      <w:r w:rsidRPr="006345D2">
        <w:rPr>
          <w:rFonts w:hint="eastAsia"/>
          <w:sz w:val="18"/>
          <w:rtl/>
        </w:rPr>
        <w:t>والاتفاقية</w:t>
      </w:r>
      <w:r w:rsidRPr="006345D2">
        <w:rPr>
          <w:sz w:val="18"/>
        </w:rPr>
        <w:t xml:space="preserve"> </w:t>
      </w:r>
      <w:r w:rsidRPr="006345D2">
        <w:rPr>
          <w:rFonts w:hint="eastAsia"/>
          <w:sz w:val="18"/>
          <w:rtl/>
        </w:rPr>
        <w:t>الدولية</w:t>
      </w:r>
      <w:r w:rsidRPr="006345D2">
        <w:rPr>
          <w:sz w:val="18"/>
        </w:rPr>
        <w:t xml:space="preserve"> </w:t>
      </w:r>
      <w:r w:rsidRPr="006345D2">
        <w:rPr>
          <w:rFonts w:hint="eastAsia"/>
          <w:sz w:val="18"/>
          <w:rtl/>
        </w:rPr>
        <w:t>لحماية</w:t>
      </w:r>
      <w:r w:rsidRPr="006345D2">
        <w:rPr>
          <w:sz w:val="18"/>
        </w:rPr>
        <w:t xml:space="preserve"> </w:t>
      </w:r>
      <w:r w:rsidRPr="006345D2">
        <w:rPr>
          <w:rFonts w:hint="eastAsia"/>
          <w:sz w:val="18"/>
          <w:rtl/>
        </w:rPr>
        <w:t>جميع</w:t>
      </w:r>
      <w:r w:rsidRPr="006345D2">
        <w:rPr>
          <w:sz w:val="18"/>
        </w:rPr>
        <w:t xml:space="preserve"> </w:t>
      </w:r>
      <w:r w:rsidRPr="006345D2">
        <w:rPr>
          <w:rFonts w:hint="eastAsia"/>
          <w:sz w:val="18"/>
          <w:rtl/>
        </w:rPr>
        <w:t>الأشخاص</w:t>
      </w:r>
      <w:r w:rsidRPr="006345D2">
        <w:rPr>
          <w:sz w:val="18"/>
        </w:rPr>
        <w:t xml:space="preserve"> </w:t>
      </w:r>
      <w:r w:rsidRPr="006345D2">
        <w:rPr>
          <w:rFonts w:hint="eastAsia"/>
          <w:sz w:val="18"/>
          <w:rtl/>
        </w:rPr>
        <w:t>من</w:t>
      </w:r>
      <w:r w:rsidRPr="006345D2">
        <w:rPr>
          <w:sz w:val="18"/>
        </w:rPr>
        <w:t xml:space="preserve"> </w:t>
      </w:r>
      <w:r w:rsidRPr="006345D2">
        <w:rPr>
          <w:rFonts w:hint="eastAsia"/>
          <w:sz w:val="18"/>
          <w:rtl/>
        </w:rPr>
        <w:t>الاختفاء</w:t>
      </w:r>
      <w:r w:rsidRPr="006345D2">
        <w:rPr>
          <w:sz w:val="18"/>
        </w:rPr>
        <w:t xml:space="preserve"> </w:t>
      </w:r>
      <w:r w:rsidRPr="006345D2">
        <w:rPr>
          <w:rFonts w:hint="eastAsia"/>
          <w:sz w:val="18"/>
          <w:rtl/>
        </w:rPr>
        <w:t>القسري؛</w:t>
      </w:r>
      <w:r w:rsidRPr="006345D2">
        <w:rPr>
          <w:sz w:val="18"/>
        </w:rPr>
        <w:t xml:space="preserve"> </w:t>
      </w:r>
      <w:r w:rsidRPr="006345D2">
        <w:rPr>
          <w:rFonts w:hint="eastAsia"/>
          <w:sz w:val="18"/>
          <w:rtl/>
        </w:rPr>
        <w:t>واتفاقية</w:t>
      </w:r>
      <w:r w:rsidRPr="006345D2">
        <w:rPr>
          <w:sz w:val="18"/>
        </w:rPr>
        <w:t xml:space="preserve"> </w:t>
      </w:r>
      <w:r w:rsidRPr="006345D2">
        <w:rPr>
          <w:rFonts w:hint="eastAsia"/>
          <w:sz w:val="18"/>
          <w:rtl/>
        </w:rPr>
        <w:t>حقوق</w:t>
      </w:r>
      <w:r w:rsidRPr="006345D2">
        <w:rPr>
          <w:sz w:val="18"/>
        </w:rPr>
        <w:t xml:space="preserve"> </w:t>
      </w:r>
      <w:r w:rsidRPr="006345D2">
        <w:rPr>
          <w:rFonts w:hint="eastAsia"/>
          <w:sz w:val="18"/>
          <w:rtl/>
        </w:rPr>
        <w:t>الأشخاص</w:t>
      </w:r>
      <w:r w:rsidRPr="006345D2">
        <w:rPr>
          <w:sz w:val="18"/>
        </w:rPr>
        <w:t xml:space="preserve"> </w:t>
      </w:r>
      <w:r w:rsidRPr="006345D2">
        <w:rPr>
          <w:rFonts w:hint="eastAsia"/>
          <w:sz w:val="18"/>
          <w:rtl/>
        </w:rPr>
        <w:t>ذوي</w:t>
      </w:r>
      <w:r w:rsidRPr="006345D2">
        <w:rPr>
          <w:sz w:val="18"/>
        </w:rPr>
        <w:t xml:space="preserve"> </w:t>
      </w:r>
      <w:r w:rsidRPr="006345D2">
        <w:rPr>
          <w:rFonts w:hint="eastAsia"/>
          <w:sz w:val="18"/>
          <w:rtl/>
        </w:rPr>
        <w:t>الإعاقة</w:t>
      </w:r>
      <w:r w:rsidRPr="006345D2">
        <w:rPr>
          <w:sz w:val="18"/>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7CAD" w14:paraId="30F46C1E" w14:textId="77777777" w:rsidTr="00A97CAD">
      <w:trPr>
        <w:trHeight w:hRule="exact" w:val="864"/>
      </w:trPr>
      <w:tc>
        <w:tcPr>
          <w:tcW w:w="4920" w:type="dxa"/>
          <w:shd w:val="clear" w:color="auto" w:fill="auto"/>
          <w:vAlign w:val="bottom"/>
        </w:tcPr>
        <w:p w14:paraId="5837E8FE" w14:textId="77777777" w:rsidR="00A97CAD" w:rsidRPr="00A97CAD" w:rsidRDefault="00A97CAD" w:rsidP="00A97CAD">
          <w:pPr>
            <w:pStyle w:val="Header"/>
            <w:spacing w:after="80" w:line="280" w:lineRule="exact"/>
            <w:jc w:val="left"/>
            <w:rPr>
              <w:rFonts w:cs="Simplified Arabic"/>
              <w:sz w:val="18"/>
              <w:szCs w:val="18"/>
            </w:rPr>
          </w:pPr>
        </w:p>
      </w:tc>
      <w:tc>
        <w:tcPr>
          <w:tcW w:w="4920" w:type="dxa"/>
          <w:shd w:val="clear" w:color="auto" w:fill="auto"/>
          <w:vAlign w:val="bottom"/>
        </w:tcPr>
        <w:p w14:paraId="73F24956" w14:textId="3EF66735" w:rsidR="00A97CAD" w:rsidRPr="00A97CAD" w:rsidRDefault="00A97CAD" w:rsidP="00A97CAD">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0E703C">
            <w:rPr>
              <w:rFonts w:cs="Simplified Arabic"/>
              <w:sz w:val="18"/>
              <w:szCs w:val="18"/>
            </w:rPr>
            <w:t>CEDAW/C/NAM/CO/6</w:t>
          </w:r>
          <w:r>
            <w:rPr>
              <w:rFonts w:cs="Simplified Arabic"/>
              <w:sz w:val="18"/>
              <w:szCs w:val="18"/>
              <w:rtl/>
            </w:rPr>
            <w:fldChar w:fldCharType="end"/>
          </w:r>
        </w:p>
      </w:tc>
    </w:tr>
  </w:tbl>
  <w:p w14:paraId="07898B6D" w14:textId="77777777" w:rsidR="00A97CAD" w:rsidRPr="00A97CAD" w:rsidRDefault="00A97CAD" w:rsidP="00A9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97CAD" w14:paraId="2E0ABBCD" w14:textId="77777777" w:rsidTr="00A97CAD">
      <w:trPr>
        <w:trHeight w:hRule="exact" w:val="864"/>
      </w:trPr>
      <w:tc>
        <w:tcPr>
          <w:tcW w:w="4920" w:type="dxa"/>
          <w:shd w:val="clear" w:color="auto" w:fill="auto"/>
          <w:vAlign w:val="bottom"/>
        </w:tcPr>
        <w:p w14:paraId="2854DBB8" w14:textId="3A33B76D" w:rsidR="00A97CAD" w:rsidRPr="00A97CAD" w:rsidRDefault="00A97CAD" w:rsidP="00A97CAD">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0E703C">
            <w:rPr>
              <w:rFonts w:cs="Simplified Arabic"/>
              <w:sz w:val="18"/>
              <w:szCs w:val="18"/>
            </w:rPr>
            <w:t>CEDAW/C/NAM/CO/6</w:t>
          </w:r>
          <w:r>
            <w:rPr>
              <w:rFonts w:cs="Simplified Arabic"/>
              <w:sz w:val="18"/>
              <w:szCs w:val="18"/>
            </w:rPr>
            <w:fldChar w:fldCharType="end"/>
          </w:r>
        </w:p>
      </w:tc>
      <w:tc>
        <w:tcPr>
          <w:tcW w:w="4920" w:type="dxa"/>
          <w:shd w:val="clear" w:color="auto" w:fill="auto"/>
          <w:vAlign w:val="bottom"/>
        </w:tcPr>
        <w:p w14:paraId="5A7DFAC8" w14:textId="77777777" w:rsidR="00A97CAD" w:rsidRPr="00A97CAD" w:rsidRDefault="00A97CAD" w:rsidP="00A97CAD">
          <w:pPr>
            <w:pStyle w:val="Header"/>
            <w:spacing w:after="80" w:line="280" w:lineRule="exact"/>
            <w:rPr>
              <w:rFonts w:cs="Simplified Arabic"/>
              <w:sz w:val="18"/>
              <w:szCs w:val="18"/>
            </w:rPr>
          </w:pPr>
        </w:p>
      </w:tc>
    </w:tr>
  </w:tbl>
  <w:p w14:paraId="3253F05F" w14:textId="77777777" w:rsidR="00A97CAD" w:rsidRPr="00A97CAD" w:rsidRDefault="00A97CAD" w:rsidP="00A9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97CAD" w14:paraId="7AEFCCDA" w14:textId="77777777" w:rsidTr="00A97CAD">
      <w:trPr>
        <w:gridAfter w:val="1"/>
        <w:wAfter w:w="18" w:type="dxa"/>
        <w:trHeight w:hRule="exact" w:val="864"/>
      </w:trPr>
      <w:tc>
        <w:tcPr>
          <w:tcW w:w="1282" w:type="dxa"/>
          <w:tcBorders>
            <w:bottom w:val="single" w:sz="4" w:space="0" w:color="auto"/>
          </w:tcBorders>
          <w:shd w:val="clear" w:color="auto" w:fill="auto"/>
          <w:vAlign w:val="bottom"/>
        </w:tcPr>
        <w:p w14:paraId="065A5688" w14:textId="77777777" w:rsidR="00A97CAD" w:rsidRDefault="00A97CAD" w:rsidP="00A97CAD">
          <w:pPr>
            <w:pStyle w:val="Header"/>
            <w:spacing w:after="120"/>
          </w:pPr>
        </w:p>
      </w:tc>
      <w:tc>
        <w:tcPr>
          <w:tcW w:w="1786" w:type="dxa"/>
          <w:tcBorders>
            <w:bottom w:val="single" w:sz="4" w:space="0" w:color="auto"/>
          </w:tcBorders>
          <w:shd w:val="clear" w:color="auto" w:fill="auto"/>
          <w:vAlign w:val="bottom"/>
        </w:tcPr>
        <w:p w14:paraId="52B653EE" w14:textId="5DA97B59" w:rsidR="00A97CAD" w:rsidRPr="00A97CAD" w:rsidRDefault="00A97CAD" w:rsidP="00A97CAD">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7BEB7F7" w14:textId="77777777" w:rsidR="00A97CAD" w:rsidRDefault="00A97CAD" w:rsidP="00A97CAD">
          <w:pPr>
            <w:pStyle w:val="Header"/>
            <w:spacing w:after="120"/>
          </w:pPr>
        </w:p>
      </w:tc>
      <w:tc>
        <w:tcPr>
          <w:tcW w:w="6523" w:type="dxa"/>
          <w:gridSpan w:val="3"/>
          <w:tcBorders>
            <w:bottom w:val="single" w:sz="4" w:space="0" w:color="auto"/>
          </w:tcBorders>
          <w:shd w:val="clear" w:color="auto" w:fill="auto"/>
          <w:vAlign w:val="bottom"/>
        </w:tcPr>
        <w:p w14:paraId="2AA444CA" w14:textId="47A854DC" w:rsidR="00A97CAD" w:rsidRPr="00A97CAD" w:rsidRDefault="00A97CAD" w:rsidP="00A97CAD">
          <w:pPr>
            <w:spacing w:line="380" w:lineRule="exact"/>
            <w:jc w:val="right"/>
          </w:pPr>
          <w:r>
            <w:rPr>
              <w:sz w:val="40"/>
            </w:rPr>
            <w:t>CEDAW</w:t>
          </w:r>
          <w:r>
            <w:t>/C/NAM/CO/6</w:t>
          </w:r>
        </w:p>
      </w:tc>
    </w:tr>
    <w:tr w:rsidR="00A97CAD" w:rsidRPr="00A97CAD" w14:paraId="4F968CEF" w14:textId="77777777" w:rsidTr="00A97CAD">
      <w:trPr>
        <w:trHeight w:hRule="exact" w:val="2880"/>
      </w:trPr>
      <w:tc>
        <w:tcPr>
          <w:tcW w:w="1282" w:type="dxa"/>
          <w:tcBorders>
            <w:top w:val="single" w:sz="4" w:space="0" w:color="auto"/>
            <w:bottom w:val="single" w:sz="12" w:space="0" w:color="auto"/>
          </w:tcBorders>
          <w:shd w:val="clear" w:color="auto" w:fill="auto"/>
        </w:tcPr>
        <w:p w14:paraId="1877DCF5" w14:textId="77777777" w:rsidR="00A97CAD" w:rsidRDefault="00A97CAD" w:rsidP="00A97CAD">
          <w:pPr>
            <w:pStyle w:val="Header"/>
            <w:spacing w:before="120"/>
            <w:jc w:val="center"/>
          </w:pPr>
          <w:r>
            <w:t xml:space="preserve"> </w:t>
          </w:r>
          <w:r>
            <w:rPr>
              <w:noProof/>
            </w:rPr>
            <w:drawing>
              <wp:inline distT="0" distB="0" distL="0" distR="0" wp14:anchorId="63DFF799" wp14:editId="24A6FC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5C92AE5F" w14:textId="352CF320" w:rsidR="00A97CAD" w:rsidRPr="00A97CAD" w:rsidRDefault="00A97CAD" w:rsidP="00A97CAD">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2385100" w14:textId="49645DAC" w:rsidR="00A97CAD" w:rsidRPr="00A97CAD" w:rsidRDefault="00A97CAD" w:rsidP="00A97CAD">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5882259" w14:textId="77777777" w:rsidR="00A97CAD" w:rsidRPr="00A97CAD" w:rsidRDefault="00A97CAD" w:rsidP="00A97CAD">
          <w:pPr>
            <w:pStyle w:val="Header"/>
            <w:spacing w:before="109"/>
          </w:pPr>
        </w:p>
      </w:tc>
      <w:tc>
        <w:tcPr>
          <w:tcW w:w="3100" w:type="dxa"/>
          <w:gridSpan w:val="2"/>
          <w:tcBorders>
            <w:top w:val="single" w:sz="4" w:space="0" w:color="auto"/>
            <w:bottom w:val="single" w:sz="12" w:space="0" w:color="auto"/>
          </w:tcBorders>
          <w:shd w:val="clear" w:color="auto" w:fill="auto"/>
        </w:tcPr>
        <w:p w14:paraId="7B3B2989" w14:textId="77777777" w:rsidR="00A97CAD" w:rsidRDefault="00A97CAD" w:rsidP="00A97CAD">
          <w:pPr>
            <w:pStyle w:val="Distribution"/>
            <w:bidi w:val="0"/>
            <w:spacing w:before="240"/>
          </w:pPr>
          <w:r>
            <w:t>Distr.: General</w:t>
          </w:r>
        </w:p>
        <w:p w14:paraId="5A855CE0" w14:textId="77777777" w:rsidR="00A97CAD" w:rsidRDefault="00A97CAD" w:rsidP="00A97CAD">
          <w:pPr>
            <w:pStyle w:val="Publication"/>
            <w:bidi w:val="0"/>
          </w:pPr>
          <w:r>
            <w:t>12 July 2022</w:t>
          </w:r>
        </w:p>
        <w:p w14:paraId="59BED2EE" w14:textId="77777777" w:rsidR="00A97CAD" w:rsidRDefault="00A97CAD" w:rsidP="00A97CAD">
          <w:pPr>
            <w:bidi w:val="0"/>
            <w:spacing w:line="240" w:lineRule="exact"/>
            <w:jc w:val="left"/>
          </w:pPr>
          <w:r>
            <w:t>Arabic</w:t>
          </w:r>
        </w:p>
        <w:p w14:paraId="4DB9BB61" w14:textId="77777777" w:rsidR="00A97CAD" w:rsidRDefault="00A97CAD" w:rsidP="00A97CAD">
          <w:pPr>
            <w:pStyle w:val="Original"/>
            <w:bidi w:val="0"/>
          </w:pPr>
          <w:r>
            <w:t>Original: English</w:t>
          </w:r>
        </w:p>
        <w:p w14:paraId="129A96C4" w14:textId="2F077FAC" w:rsidR="00A97CAD" w:rsidRPr="00A97CAD" w:rsidRDefault="00A97CAD" w:rsidP="00A97CAD">
          <w:pPr>
            <w:bidi w:val="0"/>
            <w:spacing w:line="240" w:lineRule="exact"/>
            <w:jc w:val="left"/>
          </w:pPr>
        </w:p>
      </w:tc>
    </w:tr>
  </w:tbl>
  <w:p w14:paraId="33F9622A" w14:textId="77777777" w:rsidR="00A97CAD" w:rsidRPr="00A97CAD" w:rsidRDefault="00A97CAD" w:rsidP="00A97C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328"/>
    <w:multiLevelType w:val="hybridMultilevel"/>
    <w:tmpl w:val="2932BAE8"/>
    <w:lvl w:ilvl="0" w:tplc="0F465466">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 w15:restartNumberingAfterBreak="0">
    <w:nsid w:val="0437593B"/>
    <w:multiLevelType w:val="multilevel"/>
    <w:tmpl w:val="C7FE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41177"/>
    <w:multiLevelType w:val="multilevel"/>
    <w:tmpl w:val="70561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B3DC3"/>
    <w:multiLevelType w:val="hybridMultilevel"/>
    <w:tmpl w:val="A1C0C29E"/>
    <w:lvl w:ilvl="0" w:tplc="B160494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 w15:restartNumberingAfterBreak="0">
    <w:nsid w:val="0B0275DF"/>
    <w:multiLevelType w:val="hybridMultilevel"/>
    <w:tmpl w:val="2932BAE8"/>
    <w:lvl w:ilvl="0" w:tplc="0F465466">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5"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2B362816"/>
    <w:lvl w:ilvl="0" w:tplc="035ACC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294B6B6" w:tentative="1">
      <w:start w:val="1"/>
      <w:numFmt w:val="lowerLetter"/>
      <w:lvlText w:val="%2."/>
      <w:lvlJc w:val="left"/>
      <w:pPr>
        <w:tabs>
          <w:tab w:val="num" w:pos="1440"/>
        </w:tabs>
        <w:ind w:left="1440" w:hanging="360"/>
      </w:pPr>
    </w:lvl>
    <w:lvl w:ilvl="2" w:tplc="D6F400DE" w:tentative="1">
      <w:start w:val="1"/>
      <w:numFmt w:val="lowerRoman"/>
      <w:lvlText w:val="%3."/>
      <w:lvlJc w:val="right"/>
      <w:pPr>
        <w:tabs>
          <w:tab w:val="num" w:pos="2160"/>
        </w:tabs>
        <w:ind w:left="2160" w:hanging="180"/>
      </w:pPr>
    </w:lvl>
    <w:lvl w:ilvl="3" w:tplc="C25247BE" w:tentative="1">
      <w:start w:val="1"/>
      <w:numFmt w:val="decimal"/>
      <w:lvlText w:val="%4."/>
      <w:lvlJc w:val="left"/>
      <w:pPr>
        <w:tabs>
          <w:tab w:val="num" w:pos="2880"/>
        </w:tabs>
        <w:ind w:left="2880" w:hanging="360"/>
      </w:pPr>
    </w:lvl>
    <w:lvl w:ilvl="4" w:tplc="A1E44516" w:tentative="1">
      <w:start w:val="1"/>
      <w:numFmt w:val="lowerLetter"/>
      <w:lvlText w:val="%5."/>
      <w:lvlJc w:val="left"/>
      <w:pPr>
        <w:tabs>
          <w:tab w:val="num" w:pos="3600"/>
        </w:tabs>
        <w:ind w:left="3600" w:hanging="360"/>
      </w:pPr>
    </w:lvl>
    <w:lvl w:ilvl="5" w:tplc="E790FC06" w:tentative="1">
      <w:start w:val="1"/>
      <w:numFmt w:val="lowerRoman"/>
      <w:lvlText w:val="%6."/>
      <w:lvlJc w:val="right"/>
      <w:pPr>
        <w:tabs>
          <w:tab w:val="num" w:pos="4320"/>
        </w:tabs>
        <w:ind w:left="4320" w:hanging="180"/>
      </w:pPr>
    </w:lvl>
    <w:lvl w:ilvl="6" w:tplc="169A74FA" w:tentative="1">
      <w:start w:val="1"/>
      <w:numFmt w:val="decimal"/>
      <w:lvlText w:val="%7."/>
      <w:lvlJc w:val="left"/>
      <w:pPr>
        <w:tabs>
          <w:tab w:val="num" w:pos="5040"/>
        </w:tabs>
        <w:ind w:left="5040" w:hanging="360"/>
      </w:pPr>
    </w:lvl>
    <w:lvl w:ilvl="7" w:tplc="36608DC6" w:tentative="1">
      <w:start w:val="1"/>
      <w:numFmt w:val="lowerLetter"/>
      <w:lvlText w:val="%8."/>
      <w:lvlJc w:val="left"/>
      <w:pPr>
        <w:tabs>
          <w:tab w:val="num" w:pos="5760"/>
        </w:tabs>
        <w:ind w:left="5760" w:hanging="360"/>
      </w:pPr>
    </w:lvl>
    <w:lvl w:ilvl="8" w:tplc="8EE0A644" w:tentative="1">
      <w:start w:val="1"/>
      <w:numFmt w:val="lowerRoman"/>
      <w:lvlText w:val="%9."/>
      <w:lvlJc w:val="right"/>
      <w:pPr>
        <w:tabs>
          <w:tab w:val="num" w:pos="6480"/>
        </w:tabs>
        <w:ind w:left="6480" w:hanging="180"/>
      </w:pPr>
    </w:lvl>
  </w:abstractNum>
  <w:abstractNum w:abstractNumId="7" w15:restartNumberingAfterBreak="0">
    <w:nsid w:val="127F4154"/>
    <w:multiLevelType w:val="multilevel"/>
    <w:tmpl w:val="E5F46286"/>
    <w:lvl w:ilvl="0">
      <w:start w:val="5"/>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120EB"/>
    <w:multiLevelType w:val="hybridMultilevel"/>
    <w:tmpl w:val="59D4AE60"/>
    <w:lvl w:ilvl="0" w:tplc="0D4454DE">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C8442C"/>
    <w:multiLevelType w:val="hybridMultilevel"/>
    <w:tmpl w:val="263E907E"/>
    <w:lvl w:ilvl="0" w:tplc="EDE04A7E">
      <w:start w:val="1"/>
      <w:numFmt w:val="lowerLetter"/>
      <w:lvlText w:val="(%1)"/>
      <w:lvlJc w:val="left"/>
      <w:pPr>
        <w:ind w:left="2628" w:hanging="360"/>
      </w:pPr>
      <w:rPr>
        <w:rFonts w:eastAsiaTheme="minorHAnsi"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15:restartNumberingAfterBreak="0">
    <w:nsid w:val="27272C06"/>
    <w:multiLevelType w:val="hybridMultilevel"/>
    <w:tmpl w:val="A03828FE"/>
    <w:lvl w:ilvl="0" w:tplc="8B02556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8992832"/>
    <w:multiLevelType w:val="hybridMultilevel"/>
    <w:tmpl w:val="43E8A8D8"/>
    <w:lvl w:ilvl="0" w:tplc="44F01D9C">
      <w:start w:val="1"/>
      <w:numFmt w:val="lowerLetter"/>
      <w:lvlText w:val="(%1)"/>
      <w:lvlJc w:val="left"/>
      <w:pPr>
        <w:ind w:left="1490" w:hanging="36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2" w15:restartNumberingAfterBreak="0">
    <w:nsid w:val="2A704D20"/>
    <w:multiLevelType w:val="hybridMultilevel"/>
    <w:tmpl w:val="F5AC6B4A"/>
    <w:lvl w:ilvl="0" w:tplc="2F7AAC44">
      <w:start w:val="3"/>
      <w:numFmt w:val="lowerLetter"/>
      <w:lvlText w:val="(%1)"/>
      <w:lvlJc w:val="left"/>
      <w:pPr>
        <w:ind w:left="2061"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2211F"/>
    <w:multiLevelType w:val="hybridMultilevel"/>
    <w:tmpl w:val="69CC3368"/>
    <w:lvl w:ilvl="0" w:tplc="966E6D3E">
      <w:start w:val="1"/>
      <w:numFmt w:val="lowerLetter"/>
      <w:lvlText w:val="(%1)"/>
      <w:lvlJc w:val="left"/>
      <w:pPr>
        <w:ind w:left="2061" w:hanging="360"/>
      </w:pPr>
      <w:rPr>
        <w:rFonts w:eastAsiaTheme="minorHAns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2285FBE"/>
    <w:multiLevelType w:val="hybridMultilevel"/>
    <w:tmpl w:val="5DB42828"/>
    <w:lvl w:ilvl="0" w:tplc="5E066D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3ACF4EB2"/>
    <w:multiLevelType w:val="hybridMultilevel"/>
    <w:tmpl w:val="CB6C816A"/>
    <w:lvl w:ilvl="0" w:tplc="9AA41890">
      <w:start w:val="1"/>
      <w:numFmt w:val="bullet"/>
      <w:pStyle w:val="Bullet2G"/>
      <w:lvlText w:val="•"/>
      <w:lvlJc w:val="left"/>
      <w:pPr>
        <w:tabs>
          <w:tab w:val="num" w:pos="2268"/>
        </w:tabs>
        <w:ind w:left="2268" w:hanging="170"/>
      </w:pPr>
      <w:rPr>
        <w:rFonts w:ascii="Times New Roman" w:hAnsi="Times New Roman" w:cs="Times New Roman" w:hint="default"/>
      </w:rPr>
    </w:lvl>
    <w:lvl w:ilvl="1" w:tplc="D374AD0E" w:tentative="1">
      <w:start w:val="1"/>
      <w:numFmt w:val="bullet"/>
      <w:lvlText w:val="o"/>
      <w:lvlJc w:val="left"/>
      <w:pPr>
        <w:tabs>
          <w:tab w:val="num" w:pos="3708"/>
        </w:tabs>
        <w:ind w:left="3708" w:hanging="360"/>
      </w:pPr>
      <w:rPr>
        <w:rFonts w:ascii="Courier New" w:hAnsi="Courier New" w:hint="default"/>
      </w:rPr>
    </w:lvl>
    <w:lvl w:ilvl="2" w:tplc="764A78E6" w:tentative="1">
      <w:start w:val="1"/>
      <w:numFmt w:val="bullet"/>
      <w:lvlText w:val=""/>
      <w:lvlJc w:val="left"/>
      <w:pPr>
        <w:tabs>
          <w:tab w:val="num" w:pos="4428"/>
        </w:tabs>
        <w:ind w:left="4428" w:hanging="360"/>
      </w:pPr>
      <w:rPr>
        <w:rFonts w:ascii="Wingdings" w:hAnsi="Wingdings" w:hint="default"/>
      </w:rPr>
    </w:lvl>
    <w:lvl w:ilvl="3" w:tplc="B5A636B4" w:tentative="1">
      <w:start w:val="1"/>
      <w:numFmt w:val="bullet"/>
      <w:lvlText w:val=""/>
      <w:lvlJc w:val="left"/>
      <w:pPr>
        <w:tabs>
          <w:tab w:val="num" w:pos="5148"/>
        </w:tabs>
        <w:ind w:left="5148" w:hanging="360"/>
      </w:pPr>
      <w:rPr>
        <w:rFonts w:ascii="Symbol" w:hAnsi="Symbol" w:hint="default"/>
      </w:rPr>
    </w:lvl>
    <w:lvl w:ilvl="4" w:tplc="F01AB670" w:tentative="1">
      <w:start w:val="1"/>
      <w:numFmt w:val="bullet"/>
      <w:lvlText w:val="o"/>
      <w:lvlJc w:val="left"/>
      <w:pPr>
        <w:tabs>
          <w:tab w:val="num" w:pos="5868"/>
        </w:tabs>
        <w:ind w:left="5868" w:hanging="360"/>
      </w:pPr>
      <w:rPr>
        <w:rFonts w:ascii="Courier New" w:hAnsi="Courier New" w:hint="default"/>
      </w:rPr>
    </w:lvl>
    <w:lvl w:ilvl="5" w:tplc="63AC3C84" w:tentative="1">
      <w:start w:val="1"/>
      <w:numFmt w:val="bullet"/>
      <w:lvlText w:val=""/>
      <w:lvlJc w:val="left"/>
      <w:pPr>
        <w:tabs>
          <w:tab w:val="num" w:pos="6588"/>
        </w:tabs>
        <w:ind w:left="6588" w:hanging="360"/>
      </w:pPr>
      <w:rPr>
        <w:rFonts w:ascii="Wingdings" w:hAnsi="Wingdings" w:hint="default"/>
      </w:rPr>
    </w:lvl>
    <w:lvl w:ilvl="6" w:tplc="F1B0A3EA" w:tentative="1">
      <w:start w:val="1"/>
      <w:numFmt w:val="bullet"/>
      <w:lvlText w:val=""/>
      <w:lvlJc w:val="left"/>
      <w:pPr>
        <w:tabs>
          <w:tab w:val="num" w:pos="7308"/>
        </w:tabs>
        <w:ind w:left="7308" w:hanging="360"/>
      </w:pPr>
      <w:rPr>
        <w:rFonts w:ascii="Symbol" w:hAnsi="Symbol" w:hint="default"/>
      </w:rPr>
    </w:lvl>
    <w:lvl w:ilvl="7" w:tplc="CA026BFA" w:tentative="1">
      <w:start w:val="1"/>
      <w:numFmt w:val="bullet"/>
      <w:lvlText w:val="o"/>
      <w:lvlJc w:val="left"/>
      <w:pPr>
        <w:tabs>
          <w:tab w:val="num" w:pos="8028"/>
        </w:tabs>
        <w:ind w:left="8028" w:hanging="360"/>
      </w:pPr>
      <w:rPr>
        <w:rFonts w:ascii="Courier New" w:hAnsi="Courier New" w:hint="default"/>
      </w:rPr>
    </w:lvl>
    <w:lvl w:ilvl="8" w:tplc="B46E7C5E"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BD053D4"/>
    <w:multiLevelType w:val="hybridMultilevel"/>
    <w:tmpl w:val="D518B7F0"/>
    <w:lvl w:ilvl="0" w:tplc="966E6D3E">
      <w:start w:val="1"/>
      <w:numFmt w:val="lowerLetter"/>
      <w:lvlText w:val="(%1)"/>
      <w:lvlJc w:val="left"/>
      <w:pPr>
        <w:ind w:left="2061" w:hanging="360"/>
      </w:pPr>
      <w:rPr>
        <w:rFonts w:eastAsiaTheme="minorHAns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C327C21"/>
    <w:multiLevelType w:val="hybridMultilevel"/>
    <w:tmpl w:val="285CDFE0"/>
    <w:lvl w:ilvl="0" w:tplc="DA8A5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3765C"/>
    <w:multiLevelType w:val="hybridMultilevel"/>
    <w:tmpl w:val="61EC2EFE"/>
    <w:lvl w:ilvl="0" w:tplc="0DD87E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2BB47F2"/>
    <w:multiLevelType w:val="hybridMultilevel"/>
    <w:tmpl w:val="90C083B2"/>
    <w:lvl w:ilvl="0" w:tplc="2F02B0FC">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0" w15:restartNumberingAfterBreak="0">
    <w:nsid w:val="4BC87AB0"/>
    <w:multiLevelType w:val="multilevel"/>
    <w:tmpl w:val="E5663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FC64F0"/>
    <w:multiLevelType w:val="hybridMultilevel"/>
    <w:tmpl w:val="0CCC41A2"/>
    <w:lvl w:ilvl="0" w:tplc="E948F4D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43A6B"/>
    <w:multiLevelType w:val="hybridMultilevel"/>
    <w:tmpl w:val="3C5058D4"/>
    <w:lvl w:ilvl="0" w:tplc="6AB06C6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5B70B07"/>
    <w:multiLevelType w:val="hybridMultilevel"/>
    <w:tmpl w:val="6DC8F7E8"/>
    <w:lvl w:ilvl="0" w:tplc="1F8CB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46BBC"/>
    <w:multiLevelType w:val="hybridMultilevel"/>
    <w:tmpl w:val="E7207878"/>
    <w:lvl w:ilvl="0" w:tplc="FF04E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50A70"/>
    <w:multiLevelType w:val="hybridMultilevel"/>
    <w:tmpl w:val="ABE4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7" w15:restartNumberingAfterBreak="0">
    <w:nsid w:val="5EA07CC8"/>
    <w:multiLevelType w:val="hybridMultilevel"/>
    <w:tmpl w:val="C7EE8062"/>
    <w:lvl w:ilvl="0" w:tplc="6D4A0F4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5EB16D32"/>
    <w:multiLevelType w:val="hybridMultilevel"/>
    <w:tmpl w:val="F4C00734"/>
    <w:lvl w:ilvl="0" w:tplc="C9F6862E">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142E07"/>
    <w:multiLevelType w:val="hybridMultilevel"/>
    <w:tmpl w:val="114E24E2"/>
    <w:lvl w:ilvl="0" w:tplc="10280ED8">
      <w:start w:val="4"/>
      <w:numFmt w:val="lowerLetter"/>
      <w:lvlText w:val="(%1)"/>
      <w:lvlJc w:val="left"/>
      <w:pPr>
        <w:ind w:left="20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30C6F"/>
    <w:multiLevelType w:val="hybridMultilevel"/>
    <w:tmpl w:val="90C083B2"/>
    <w:lvl w:ilvl="0" w:tplc="2F02B0FC">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2" w15:restartNumberingAfterBreak="0">
    <w:nsid w:val="68AD07B2"/>
    <w:multiLevelType w:val="hybridMultilevel"/>
    <w:tmpl w:val="7FEE3222"/>
    <w:lvl w:ilvl="0" w:tplc="74F0BE7C">
      <w:start w:val="1"/>
      <w:numFmt w:val="bullet"/>
      <w:pStyle w:val="Bullet1G"/>
      <w:lvlText w:val="•"/>
      <w:lvlJc w:val="left"/>
      <w:pPr>
        <w:tabs>
          <w:tab w:val="num" w:pos="1701"/>
        </w:tabs>
        <w:ind w:left="1701" w:hanging="170"/>
      </w:pPr>
      <w:rPr>
        <w:rFonts w:ascii="Times New Roman" w:hAnsi="Times New Roman" w:cs="Times New Roman" w:hint="default"/>
      </w:rPr>
    </w:lvl>
    <w:lvl w:ilvl="1" w:tplc="0D18C37C" w:tentative="1">
      <w:start w:val="1"/>
      <w:numFmt w:val="bullet"/>
      <w:lvlText w:val="o"/>
      <w:lvlJc w:val="left"/>
      <w:pPr>
        <w:tabs>
          <w:tab w:val="num" w:pos="3141"/>
        </w:tabs>
        <w:ind w:left="3141" w:hanging="360"/>
      </w:pPr>
      <w:rPr>
        <w:rFonts w:ascii="Courier New" w:hAnsi="Courier New" w:hint="default"/>
      </w:rPr>
    </w:lvl>
    <w:lvl w:ilvl="2" w:tplc="F544F32C" w:tentative="1">
      <w:start w:val="1"/>
      <w:numFmt w:val="bullet"/>
      <w:lvlText w:val=""/>
      <w:lvlJc w:val="left"/>
      <w:pPr>
        <w:tabs>
          <w:tab w:val="num" w:pos="3861"/>
        </w:tabs>
        <w:ind w:left="3861" w:hanging="360"/>
      </w:pPr>
      <w:rPr>
        <w:rFonts w:ascii="Wingdings" w:hAnsi="Wingdings" w:hint="default"/>
      </w:rPr>
    </w:lvl>
    <w:lvl w:ilvl="3" w:tplc="9A74CA1A" w:tentative="1">
      <w:start w:val="1"/>
      <w:numFmt w:val="bullet"/>
      <w:lvlText w:val=""/>
      <w:lvlJc w:val="left"/>
      <w:pPr>
        <w:tabs>
          <w:tab w:val="num" w:pos="4581"/>
        </w:tabs>
        <w:ind w:left="4581" w:hanging="360"/>
      </w:pPr>
      <w:rPr>
        <w:rFonts w:ascii="Symbol" w:hAnsi="Symbol" w:hint="default"/>
      </w:rPr>
    </w:lvl>
    <w:lvl w:ilvl="4" w:tplc="ED961AAA" w:tentative="1">
      <w:start w:val="1"/>
      <w:numFmt w:val="bullet"/>
      <w:lvlText w:val="o"/>
      <w:lvlJc w:val="left"/>
      <w:pPr>
        <w:tabs>
          <w:tab w:val="num" w:pos="5301"/>
        </w:tabs>
        <w:ind w:left="5301" w:hanging="360"/>
      </w:pPr>
      <w:rPr>
        <w:rFonts w:ascii="Courier New" w:hAnsi="Courier New" w:hint="default"/>
      </w:rPr>
    </w:lvl>
    <w:lvl w:ilvl="5" w:tplc="2E8ACDF8" w:tentative="1">
      <w:start w:val="1"/>
      <w:numFmt w:val="bullet"/>
      <w:lvlText w:val=""/>
      <w:lvlJc w:val="left"/>
      <w:pPr>
        <w:tabs>
          <w:tab w:val="num" w:pos="6021"/>
        </w:tabs>
        <w:ind w:left="6021" w:hanging="360"/>
      </w:pPr>
      <w:rPr>
        <w:rFonts w:ascii="Wingdings" w:hAnsi="Wingdings" w:hint="default"/>
      </w:rPr>
    </w:lvl>
    <w:lvl w:ilvl="6" w:tplc="586E1072" w:tentative="1">
      <w:start w:val="1"/>
      <w:numFmt w:val="bullet"/>
      <w:lvlText w:val=""/>
      <w:lvlJc w:val="left"/>
      <w:pPr>
        <w:tabs>
          <w:tab w:val="num" w:pos="6741"/>
        </w:tabs>
        <w:ind w:left="6741" w:hanging="360"/>
      </w:pPr>
      <w:rPr>
        <w:rFonts w:ascii="Symbol" w:hAnsi="Symbol" w:hint="default"/>
      </w:rPr>
    </w:lvl>
    <w:lvl w:ilvl="7" w:tplc="683ADCB4" w:tentative="1">
      <w:start w:val="1"/>
      <w:numFmt w:val="bullet"/>
      <w:lvlText w:val="o"/>
      <w:lvlJc w:val="left"/>
      <w:pPr>
        <w:tabs>
          <w:tab w:val="num" w:pos="7461"/>
        </w:tabs>
        <w:ind w:left="7461" w:hanging="360"/>
      </w:pPr>
      <w:rPr>
        <w:rFonts w:ascii="Courier New" w:hAnsi="Courier New" w:hint="default"/>
      </w:rPr>
    </w:lvl>
    <w:lvl w:ilvl="8" w:tplc="6B507914"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311CCA"/>
    <w:multiLevelType w:val="hybridMultilevel"/>
    <w:tmpl w:val="02BC3BE2"/>
    <w:lvl w:ilvl="0" w:tplc="E0C457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C7357"/>
    <w:multiLevelType w:val="hybridMultilevel"/>
    <w:tmpl w:val="2202FAFC"/>
    <w:lvl w:ilvl="0" w:tplc="96B4F9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0B21A0E"/>
    <w:multiLevelType w:val="multilevel"/>
    <w:tmpl w:val="9A36A9F8"/>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16364E"/>
    <w:multiLevelType w:val="hybridMultilevel"/>
    <w:tmpl w:val="75BAE8AA"/>
    <w:lvl w:ilvl="0" w:tplc="A88C8D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2ED3083"/>
    <w:multiLevelType w:val="hybridMultilevel"/>
    <w:tmpl w:val="07F6A654"/>
    <w:lvl w:ilvl="0" w:tplc="EE8C3238">
      <w:start w:val="1"/>
      <w:numFmt w:val="lowerLetter"/>
      <w:lvlText w:val="(%1)"/>
      <w:lvlJc w:val="left"/>
      <w:pPr>
        <w:ind w:left="3264" w:hanging="570"/>
      </w:pPr>
      <w:rPr>
        <w:rFonts w:hint="default"/>
      </w:rPr>
    </w:lvl>
    <w:lvl w:ilvl="1" w:tplc="08090019">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15"/>
  </w:num>
  <w:num w:numId="3">
    <w:abstractNumId w:val="6"/>
  </w:num>
  <w:num w:numId="4">
    <w:abstractNumId w:val="29"/>
  </w:num>
  <w:num w:numId="5">
    <w:abstractNumId w:val="39"/>
  </w:num>
  <w:num w:numId="6">
    <w:abstractNumId w:val="28"/>
  </w:num>
  <w:num w:numId="7">
    <w:abstractNumId w:val="24"/>
  </w:num>
  <w:num w:numId="8">
    <w:abstractNumId w:val="11"/>
  </w:num>
  <w:num w:numId="9">
    <w:abstractNumId w:val="23"/>
  </w:num>
  <w:num w:numId="10">
    <w:abstractNumId w:val="38"/>
  </w:num>
  <w:num w:numId="11">
    <w:abstractNumId w:val="25"/>
  </w:num>
  <w:num w:numId="12">
    <w:abstractNumId w:val="8"/>
  </w:num>
  <w:num w:numId="13">
    <w:abstractNumId w:val="27"/>
  </w:num>
  <w:num w:numId="14">
    <w:abstractNumId w:val="9"/>
  </w:num>
  <w:num w:numId="15">
    <w:abstractNumId w:val="19"/>
  </w:num>
  <w:num w:numId="16">
    <w:abstractNumId w:val="21"/>
  </w:num>
  <w:num w:numId="17">
    <w:abstractNumId w:val="22"/>
  </w:num>
  <w:num w:numId="18">
    <w:abstractNumId w:val="18"/>
  </w:num>
  <w:num w:numId="19">
    <w:abstractNumId w:val="33"/>
  </w:num>
  <w:num w:numId="20">
    <w:abstractNumId w:val="10"/>
  </w:num>
  <w:num w:numId="21">
    <w:abstractNumId w:val="35"/>
  </w:num>
  <w:num w:numId="22">
    <w:abstractNumId w:val="37"/>
  </w:num>
  <w:num w:numId="23">
    <w:abstractNumId w:val="1"/>
  </w:num>
  <w:num w:numId="24">
    <w:abstractNumId w:val="20"/>
  </w:num>
  <w:num w:numId="25">
    <w:abstractNumId w:val="2"/>
  </w:num>
  <w:num w:numId="26">
    <w:abstractNumId w:val="7"/>
  </w:num>
  <w:num w:numId="27">
    <w:abstractNumId w:val="4"/>
  </w:num>
  <w:num w:numId="28">
    <w:abstractNumId w:val="3"/>
  </w:num>
  <w:num w:numId="29">
    <w:abstractNumId w:val="14"/>
  </w:num>
  <w:num w:numId="30">
    <w:abstractNumId w:val="17"/>
  </w:num>
  <w:num w:numId="31">
    <w:abstractNumId w:val="16"/>
  </w:num>
  <w:num w:numId="32">
    <w:abstractNumId w:val="13"/>
  </w:num>
  <w:num w:numId="33">
    <w:abstractNumId w:val="31"/>
  </w:num>
  <w:num w:numId="34">
    <w:abstractNumId w:val="30"/>
  </w:num>
  <w:num w:numId="35">
    <w:abstractNumId w:val="12"/>
  </w:num>
  <w:num w:numId="36">
    <w:abstractNumId w:val="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1*"/>
    <w:docVar w:name="CreationDt" w:val="12/09/2022 9:46: AM"/>
    <w:docVar w:name="DocCategory" w:val="Doc"/>
    <w:docVar w:name="DocType" w:val="Final"/>
    <w:docVar w:name="DutyStation" w:val="New York"/>
    <w:docVar w:name="FooterJN" w:val="22-10901"/>
    <w:docVar w:name="jobn" w:val="22-10901 (A)"/>
    <w:docVar w:name="jobnDT" w:val="22-10901 (A)   120922"/>
    <w:docVar w:name="jobnDTDT" w:val="22-10901 (A)   120922   120922"/>
    <w:docVar w:name="JobNo" w:val="2210901A"/>
    <w:docVar w:name="LocalDrive" w:val="0"/>
    <w:docVar w:name="OandT" w:val=" "/>
    <w:docVar w:name="sss1" w:val="CEDAW/C/NAM/CO/6"/>
    <w:docVar w:name="sss2" w:val="-"/>
    <w:docVar w:name="Symbol1" w:val="CEDAW/C/NAM/CO/6"/>
    <w:docVar w:name="Symbol2" w:val="-"/>
    <w:docVar w:name="Title1" w:val="_x0009__x0009_الملاحظات الختامية بشأن التقرير الدوري السادس لناميبيا* _x000d_"/>
  </w:docVars>
  <w:rsids>
    <w:rsidRoot w:val="00CF020E"/>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3869"/>
    <w:rsid w:val="000C4EED"/>
    <w:rsid w:val="000C6370"/>
    <w:rsid w:val="000D2CEC"/>
    <w:rsid w:val="000D4E6F"/>
    <w:rsid w:val="000D60B0"/>
    <w:rsid w:val="000E3517"/>
    <w:rsid w:val="000E703C"/>
    <w:rsid w:val="000F0BB1"/>
    <w:rsid w:val="000F195A"/>
    <w:rsid w:val="000F3F48"/>
    <w:rsid w:val="00100A90"/>
    <w:rsid w:val="00101EE8"/>
    <w:rsid w:val="00102521"/>
    <w:rsid w:val="0010461F"/>
    <w:rsid w:val="001057EA"/>
    <w:rsid w:val="00113349"/>
    <w:rsid w:val="00115079"/>
    <w:rsid w:val="0012522B"/>
    <w:rsid w:val="001316CC"/>
    <w:rsid w:val="00132672"/>
    <w:rsid w:val="001327A6"/>
    <w:rsid w:val="0014041B"/>
    <w:rsid w:val="001413DA"/>
    <w:rsid w:val="00143096"/>
    <w:rsid w:val="001519A9"/>
    <w:rsid w:val="001568A8"/>
    <w:rsid w:val="00161631"/>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1F0E"/>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39D0"/>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13"/>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539"/>
    <w:rsid w:val="005F5797"/>
    <w:rsid w:val="005F71AB"/>
    <w:rsid w:val="006007BD"/>
    <w:rsid w:val="006046A6"/>
    <w:rsid w:val="00612939"/>
    <w:rsid w:val="00616E82"/>
    <w:rsid w:val="006218A3"/>
    <w:rsid w:val="00631D41"/>
    <w:rsid w:val="00633F4D"/>
    <w:rsid w:val="006345D2"/>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13607"/>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47EF6"/>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B4B"/>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14BF"/>
    <w:rsid w:val="00895AEE"/>
    <w:rsid w:val="008A068D"/>
    <w:rsid w:val="008A3FCA"/>
    <w:rsid w:val="008A57F4"/>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2F9"/>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97CAD"/>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46D"/>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975EF"/>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3930"/>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6EF"/>
    <w:rsid w:val="00CD3849"/>
    <w:rsid w:val="00CE0509"/>
    <w:rsid w:val="00CE2D9C"/>
    <w:rsid w:val="00CE41B0"/>
    <w:rsid w:val="00CE5395"/>
    <w:rsid w:val="00CF020E"/>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4FA7"/>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64544"/>
    <w:rsid w:val="00E704FD"/>
    <w:rsid w:val="00E71F5F"/>
    <w:rsid w:val="00E750E1"/>
    <w:rsid w:val="00E7795A"/>
    <w:rsid w:val="00E801F2"/>
    <w:rsid w:val="00E829A3"/>
    <w:rsid w:val="00E8305F"/>
    <w:rsid w:val="00E86319"/>
    <w:rsid w:val="00E9114A"/>
    <w:rsid w:val="00E93E64"/>
    <w:rsid w:val="00EA0D5B"/>
    <w:rsid w:val="00EA2224"/>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6AD4"/>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928C3"/>
  <w15:chartTrackingRefBased/>
  <w15:docId w15:val="{95C68A1E-C1E0-4EE0-AE83-140F6067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6EF"/>
    <w:pPr>
      <w:bidi/>
      <w:spacing w:line="360" w:lineRule="exact"/>
      <w:jc w:val="lowKashida"/>
    </w:pPr>
    <w:rPr>
      <w:rFonts w:eastAsiaTheme="minorHAnsi" w:cs="Simplified Arabic"/>
      <w:kern w:val="14"/>
      <w:szCs w:val="22"/>
      <w:lang w:eastAsia="en-US"/>
    </w:rPr>
  </w:style>
  <w:style w:type="paragraph" w:styleId="Heading1">
    <w:name w:val="heading 1"/>
    <w:aliases w:val="Table_G"/>
    <w:basedOn w:val="Normal"/>
    <w:next w:val="Normal"/>
    <w:link w:val="Heading1Char"/>
    <w:qFormat/>
    <w:rsid w:val="00CD36EF"/>
    <w:pPr>
      <w:keepNext/>
      <w:outlineLvl w:val="0"/>
    </w:pPr>
    <w:rPr>
      <w:sz w:val="24"/>
      <w:szCs w:val="24"/>
    </w:rPr>
  </w:style>
  <w:style w:type="paragraph" w:styleId="Heading2">
    <w:name w:val="heading 2"/>
    <w:basedOn w:val="Normal"/>
    <w:next w:val="Normal"/>
    <w:link w:val="Heading2Char"/>
    <w:qFormat/>
    <w:rsid w:val="00CD36EF"/>
    <w:pPr>
      <w:outlineLvl w:val="1"/>
    </w:pPr>
  </w:style>
  <w:style w:type="paragraph" w:styleId="Heading3">
    <w:name w:val="heading 3"/>
    <w:basedOn w:val="Normal"/>
    <w:next w:val="Normal"/>
    <w:link w:val="Heading3Char"/>
    <w:qFormat/>
    <w:rsid w:val="00CD36E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EA2224"/>
    <w:pPr>
      <w:suppressAutoHyphens/>
      <w:kinsoku w:val="0"/>
      <w:overflowPunct w:val="0"/>
      <w:autoSpaceDE w:val="0"/>
      <w:autoSpaceDN w:val="0"/>
      <w:bidi w:val="0"/>
      <w:adjustRightInd w:val="0"/>
      <w:snapToGrid w:val="0"/>
      <w:spacing w:line="240" w:lineRule="atLeast"/>
      <w:jc w:val="left"/>
      <w:outlineLvl w:val="3"/>
    </w:pPr>
    <w:rPr>
      <w:rFonts w:hAnsiTheme="minorHAnsi" w:cs="Traditional Arabic" w:hint="cs"/>
      <w:kern w:val="0"/>
      <w:szCs w:val="25"/>
      <w:lang w:val="fr-CH"/>
    </w:rPr>
  </w:style>
  <w:style w:type="paragraph" w:styleId="Heading5">
    <w:name w:val="heading 5"/>
    <w:basedOn w:val="Normal"/>
    <w:next w:val="Normal"/>
    <w:link w:val="Heading5Char"/>
    <w:semiHidden/>
    <w:qFormat/>
    <w:rsid w:val="00EA2224"/>
    <w:pPr>
      <w:suppressAutoHyphens/>
      <w:kinsoku w:val="0"/>
      <w:overflowPunct w:val="0"/>
      <w:autoSpaceDE w:val="0"/>
      <w:autoSpaceDN w:val="0"/>
      <w:bidi w:val="0"/>
      <w:adjustRightInd w:val="0"/>
      <w:snapToGrid w:val="0"/>
      <w:spacing w:line="240" w:lineRule="atLeast"/>
      <w:jc w:val="left"/>
      <w:outlineLvl w:val="4"/>
    </w:pPr>
    <w:rPr>
      <w:rFonts w:hAnsiTheme="minorHAnsi" w:cs="Traditional Arabic" w:hint="cs"/>
      <w:kern w:val="0"/>
      <w:szCs w:val="30"/>
      <w:lang w:val="fr-CH"/>
    </w:rPr>
  </w:style>
  <w:style w:type="paragraph" w:styleId="Heading6">
    <w:name w:val="heading 6"/>
    <w:basedOn w:val="Normal"/>
    <w:next w:val="Normal"/>
    <w:link w:val="Heading6Char"/>
    <w:semiHidden/>
    <w:qFormat/>
    <w:rsid w:val="00EA2224"/>
    <w:pPr>
      <w:suppressAutoHyphens/>
      <w:kinsoku w:val="0"/>
      <w:overflowPunct w:val="0"/>
      <w:autoSpaceDE w:val="0"/>
      <w:autoSpaceDN w:val="0"/>
      <w:bidi w:val="0"/>
      <w:adjustRightInd w:val="0"/>
      <w:snapToGrid w:val="0"/>
      <w:spacing w:line="240" w:lineRule="atLeast"/>
      <w:jc w:val="left"/>
      <w:outlineLvl w:val="5"/>
    </w:pPr>
    <w:rPr>
      <w:rFonts w:hAnsiTheme="minorHAnsi" w:cs="Traditional Arabic" w:hint="cs"/>
      <w:kern w:val="0"/>
      <w:szCs w:val="30"/>
      <w:lang w:val="fr-CH"/>
    </w:rPr>
  </w:style>
  <w:style w:type="paragraph" w:styleId="Heading7">
    <w:name w:val="heading 7"/>
    <w:basedOn w:val="Normal"/>
    <w:next w:val="Normal"/>
    <w:link w:val="Heading7Char"/>
    <w:semiHidden/>
    <w:qFormat/>
    <w:rsid w:val="00EA2224"/>
    <w:pPr>
      <w:suppressAutoHyphens/>
      <w:kinsoku w:val="0"/>
      <w:overflowPunct w:val="0"/>
      <w:autoSpaceDE w:val="0"/>
      <w:autoSpaceDN w:val="0"/>
      <w:bidi w:val="0"/>
      <w:adjustRightInd w:val="0"/>
      <w:snapToGrid w:val="0"/>
      <w:spacing w:line="240" w:lineRule="atLeast"/>
      <w:jc w:val="left"/>
      <w:outlineLvl w:val="6"/>
    </w:pPr>
    <w:rPr>
      <w:rFonts w:hAnsiTheme="minorHAnsi" w:cs="Traditional Arabic" w:hint="cs"/>
      <w:kern w:val="0"/>
      <w:szCs w:val="30"/>
      <w:lang w:val="fr-CH"/>
    </w:rPr>
  </w:style>
  <w:style w:type="paragraph" w:styleId="Heading8">
    <w:name w:val="heading 8"/>
    <w:basedOn w:val="Normal"/>
    <w:next w:val="Normal"/>
    <w:link w:val="Heading8Char"/>
    <w:semiHidden/>
    <w:qFormat/>
    <w:rsid w:val="00EA2224"/>
    <w:pPr>
      <w:suppressAutoHyphens/>
      <w:kinsoku w:val="0"/>
      <w:overflowPunct w:val="0"/>
      <w:autoSpaceDE w:val="0"/>
      <w:autoSpaceDN w:val="0"/>
      <w:bidi w:val="0"/>
      <w:adjustRightInd w:val="0"/>
      <w:snapToGrid w:val="0"/>
      <w:spacing w:line="240" w:lineRule="atLeast"/>
      <w:jc w:val="left"/>
      <w:outlineLvl w:val="7"/>
    </w:pPr>
    <w:rPr>
      <w:rFonts w:hAnsiTheme="minorHAnsi" w:cs="Traditional Arabic" w:hint="cs"/>
      <w:kern w:val="0"/>
      <w:szCs w:val="30"/>
      <w:lang w:val="fr-CH"/>
    </w:rPr>
  </w:style>
  <w:style w:type="paragraph" w:styleId="Heading9">
    <w:name w:val="heading 9"/>
    <w:basedOn w:val="Normal"/>
    <w:next w:val="Normal"/>
    <w:link w:val="Heading9Char"/>
    <w:semiHidden/>
    <w:qFormat/>
    <w:rsid w:val="00EA2224"/>
    <w:pPr>
      <w:suppressAutoHyphens/>
      <w:kinsoku w:val="0"/>
      <w:overflowPunct w:val="0"/>
      <w:autoSpaceDE w:val="0"/>
      <w:autoSpaceDN w:val="0"/>
      <w:bidi w:val="0"/>
      <w:adjustRightInd w:val="0"/>
      <w:snapToGrid w:val="0"/>
      <w:spacing w:line="240" w:lineRule="atLeast"/>
      <w:jc w:val="left"/>
      <w:outlineLvl w:val="8"/>
    </w:pPr>
    <w:rPr>
      <w:rFonts w:hAnsiTheme="minorHAnsi" w:cs="Traditional Arabic" w:hint="cs"/>
      <w:kern w:val="0"/>
      <w:szCs w:val="3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CD36EF"/>
    <w:pPr>
      <w:spacing w:line="440" w:lineRule="exact"/>
      <w:jc w:val="mediumKashida"/>
    </w:pPr>
    <w:rPr>
      <w:rFonts w:eastAsiaTheme="minorEastAsia"/>
      <w:spacing w:val="-2"/>
      <w:sz w:val="30"/>
      <w:szCs w:val="30"/>
    </w:rPr>
  </w:style>
  <w:style w:type="character" w:styleId="CommentReference">
    <w:name w:val="annotation reference"/>
    <w:basedOn w:val="DefaultParagraphFont"/>
    <w:uiPriority w:val="99"/>
    <w:semiHidden/>
    <w:rsid w:val="00CD36EF"/>
    <w:rPr>
      <w:sz w:val="6"/>
      <w:szCs w:val="9"/>
    </w:rPr>
  </w:style>
  <w:style w:type="paragraph" w:styleId="FootnoteText">
    <w:name w:val="footnote text"/>
    <w:aliases w:val="5_G"/>
    <w:basedOn w:val="Normal"/>
    <w:link w:val="FootnoteTextChar"/>
    <w:uiPriority w:val="99"/>
    <w:qFormat/>
    <w:rsid w:val="00CD36EF"/>
    <w:pPr>
      <w:tabs>
        <w:tab w:val="right" w:pos="418"/>
      </w:tabs>
      <w:spacing w:line="280" w:lineRule="exact"/>
      <w:ind w:left="662" w:right="662" w:hanging="662"/>
    </w:pPr>
    <w:rPr>
      <w:sz w:val="17"/>
      <w:szCs w:val="18"/>
    </w:rPr>
  </w:style>
  <w:style w:type="paragraph" w:styleId="EndnoteText">
    <w:name w:val="endnote text"/>
    <w:aliases w:val="2_G"/>
    <w:basedOn w:val="FootnoteText"/>
    <w:link w:val="EndnoteTextChar"/>
    <w:qFormat/>
    <w:rsid w:val="00CD36E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qFormat/>
    <w:rsid w:val="00CD36E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CD36EF"/>
    <w:rPr>
      <w:rFonts w:ascii="Tahoma" w:hAnsi="Tahoma" w:cs="Tahoma"/>
      <w:sz w:val="16"/>
      <w:szCs w:val="16"/>
    </w:rPr>
  </w:style>
  <w:style w:type="paragraph" w:customStyle="1" w:styleId="HM">
    <w:name w:val="_ H __M"/>
    <w:basedOn w:val="HCh"/>
    <w:next w:val="Normal"/>
    <w:qFormat/>
    <w:rsid w:val="00CD36EF"/>
    <w:pPr>
      <w:suppressAutoHyphens/>
      <w:spacing w:line="520" w:lineRule="exact"/>
    </w:pPr>
    <w:rPr>
      <w:spacing w:val="-3"/>
      <w:sz w:val="48"/>
      <w:szCs w:val="48"/>
    </w:rPr>
  </w:style>
  <w:style w:type="paragraph" w:customStyle="1" w:styleId="SingleTxt">
    <w:name w:val="__Single Txt"/>
    <w:basedOn w:val="Normal"/>
    <w:qFormat/>
    <w:rsid w:val="00CD36E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CD36E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CD36E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CD36E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CD36E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rsid w:val="00CD36EF"/>
    <w:rPr>
      <w:rFonts w:eastAsiaTheme="minorHAnsi"/>
      <w:b/>
      <w:bCs/>
      <w:kern w:val="14"/>
      <w:sz w:val="17"/>
      <w:szCs w:val="25"/>
      <w:lang w:eastAsia="en-US"/>
    </w:rPr>
  </w:style>
  <w:style w:type="paragraph" w:styleId="Header">
    <w:name w:val="header"/>
    <w:aliases w:val="6_G"/>
    <w:link w:val="HeaderChar"/>
    <w:qFormat/>
    <w:rsid w:val="00CD36E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aliases w:val="6_G Char"/>
    <w:basedOn w:val="DefaultParagraphFont"/>
    <w:link w:val="Header"/>
    <w:rsid w:val="00CD36EF"/>
    <w:rPr>
      <w:rFonts w:eastAsiaTheme="minorHAnsi"/>
      <w:b/>
      <w:bCs/>
      <w:w w:val="105"/>
      <w:kern w:val="14"/>
      <w:sz w:val="17"/>
      <w:szCs w:val="25"/>
      <w:lang w:eastAsia="en-US"/>
    </w:rPr>
  </w:style>
  <w:style w:type="character" w:customStyle="1" w:styleId="Heading3Char">
    <w:name w:val="Heading 3 Char"/>
    <w:basedOn w:val="DefaultParagraphFont"/>
    <w:link w:val="Heading3"/>
    <w:rsid w:val="00CD36EF"/>
    <w:rPr>
      <w:rFonts w:ascii="Arial" w:eastAsiaTheme="majorEastAsia" w:hAnsi="Arial" w:cs="Arial"/>
      <w:b/>
      <w:bCs/>
      <w:kern w:val="14"/>
      <w:sz w:val="26"/>
      <w:szCs w:val="26"/>
      <w:lang w:eastAsia="en-US"/>
    </w:rPr>
  </w:style>
  <w:style w:type="paragraph" w:customStyle="1" w:styleId="JSingleTxt">
    <w:name w:val="J__Single Txt"/>
    <w:basedOn w:val="Normal"/>
    <w:qFormat/>
    <w:rsid w:val="00CD36E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CD36EF"/>
    <w:pPr>
      <w:spacing w:after="120" w:line="440" w:lineRule="exact"/>
      <w:jc w:val="center"/>
    </w:pPr>
    <w:rPr>
      <w:b/>
      <w:bCs/>
      <w:sz w:val="25"/>
      <w:szCs w:val="38"/>
    </w:rPr>
  </w:style>
  <w:style w:type="paragraph" w:customStyle="1" w:styleId="JH1">
    <w:name w:val="J_H_1"/>
    <w:basedOn w:val="JCH"/>
    <w:qFormat/>
    <w:rsid w:val="00CD36EF"/>
    <w:pPr>
      <w:spacing w:line="420" w:lineRule="exact"/>
    </w:pPr>
    <w:rPr>
      <w:sz w:val="23"/>
      <w:szCs w:val="34"/>
    </w:rPr>
  </w:style>
  <w:style w:type="paragraph" w:customStyle="1" w:styleId="JH2">
    <w:name w:val="J_H_2"/>
    <w:basedOn w:val="JH1"/>
    <w:qFormat/>
    <w:rsid w:val="00CD36EF"/>
    <w:pPr>
      <w:spacing w:line="400" w:lineRule="exact"/>
    </w:pPr>
    <w:rPr>
      <w:sz w:val="20"/>
      <w:szCs w:val="30"/>
    </w:rPr>
  </w:style>
  <w:style w:type="paragraph" w:customStyle="1" w:styleId="JSmall">
    <w:name w:val="J_Small"/>
    <w:basedOn w:val="JSingleTxt"/>
    <w:next w:val="JSingleTxt"/>
    <w:qFormat/>
    <w:rsid w:val="00CD36E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CD36E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CD36EF"/>
    <w:rPr>
      <w:sz w:val="14"/>
      <w:szCs w:val="16"/>
    </w:rPr>
  </w:style>
  <w:style w:type="paragraph" w:customStyle="1" w:styleId="SmallX">
    <w:name w:val="SmallX"/>
    <w:basedOn w:val="Small"/>
    <w:next w:val="Normal"/>
    <w:qFormat/>
    <w:rsid w:val="00CD36EF"/>
    <w:pPr>
      <w:spacing w:line="240" w:lineRule="exact"/>
    </w:pPr>
    <w:rPr>
      <w:spacing w:val="6"/>
      <w:w w:val="106"/>
      <w:sz w:val="14"/>
      <w:szCs w:val="21"/>
    </w:rPr>
  </w:style>
  <w:style w:type="paragraph" w:customStyle="1" w:styleId="XLarge">
    <w:name w:val="XLarge"/>
    <w:basedOn w:val="HM"/>
    <w:qFormat/>
    <w:rsid w:val="00CD36E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CD36EF"/>
    <w:pPr>
      <w:spacing w:line="820" w:lineRule="exact"/>
    </w:pPr>
    <w:rPr>
      <w:spacing w:val="-8"/>
      <w:w w:val="96"/>
      <w:sz w:val="57"/>
      <w:szCs w:val="68"/>
    </w:rPr>
  </w:style>
  <w:style w:type="paragraph" w:customStyle="1" w:styleId="Distribution">
    <w:name w:val="Distribution"/>
    <w:basedOn w:val="Normal"/>
    <w:next w:val="Normal"/>
    <w:qFormat/>
    <w:rsid w:val="00CD36E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CD36E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CD36EF"/>
    <w:pPr>
      <w:tabs>
        <w:tab w:val="left" w:pos="662"/>
        <w:tab w:val="left" w:pos="1267"/>
        <w:tab w:val="left" w:pos="1987"/>
        <w:tab w:val="left" w:pos="2650"/>
      </w:tabs>
      <w:spacing w:line="240" w:lineRule="exact"/>
    </w:pPr>
  </w:style>
  <w:style w:type="paragraph" w:customStyle="1" w:styleId="ReleaseDate">
    <w:name w:val="Release Date"/>
    <w:next w:val="Footer"/>
    <w:qFormat/>
    <w:rsid w:val="00CD36E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CD36EF"/>
    <w:pPr>
      <w:tabs>
        <w:tab w:val="left" w:pos="662"/>
        <w:tab w:val="left" w:pos="1987"/>
        <w:tab w:val="left" w:pos="2650"/>
      </w:tabs>
      <w:spacing w:after="0"/>
      <w:ind w:left="663" w:hanging="663"/>
    </w:pPr>
  </w:style>
  <w:style w:type="paragraph" w:customStyle="1" w:styleId="Committee">
    <w:name w:val="Committee"/>
    <w:basedOn w:val="H1"/>
    <w:qFormat/>
    <w:rsid w:val="00CD36EF"/>
    <w:pPr>
      <w:tabs>
        <w:tab w:val="left" w:pos="662"/>
        <w:tab w:val="left" w:pos="1987"/>
        <w:tab w:val="left" w:pos="2650"/>
      </w:tabs>
      <w:ind w:right="1264"/>
    </w:pPr>
  </w:style>
  <w:style w:type="paragraph" w:customStyle="1" w:styleId="AgendaItemNormal">
    <w:name w:val="Agenda_Item_Normal"/>
    <w:next w:val="Normal"/>
    <w:qFormat/>
    <w:rsid w:val="00CD36EF"/>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SingleTxt"/>
    <w:qFormat/>
    <w:rsid w:val="00CD36EF"/>
    <w:pPr>
      <w:suppressAutoHyphens/>
    </w:pPr>
  </w:style>
  <w:style w:type="paragraph" w:customStyle="1" w:styleId="TitleHCH">
    <w:name w:val="Title_H_CH"/>
    <w:basedOn w:val="H1"/>
    <w:next w:val="SingleTxt"/>
    <w:qFormat/>
    <w:rsid w:val="00CD36E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CD36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CD36E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CD36EF"/>
    <w:rPr>
      <w:color w:val="0000FF"/>
      <w:u w:val="none"/>
    </w:rPr>
  </w:style>
  <w:style w:type="character" w:styleId="FollowedHyperlink">
    <w:name w:val="FollowedHyperlink"/>
    <w:basedOn w:val="DefaultParagraphFont"/>
    <w:rsid w:val="00CD36EF"/>
    <w:rPr>
      <w:i w:val="0"/>
      <w:color w:val="0000FF"/>
      <w:u w:val="none"/>
    </w:rPr>
  </w:style>
  <w:style w:type="paragraph" w:customStyle="1" w:styleId="Bullet1">
    <w:name w:val="Bullet 1"/>
    <w:basedOn w:val="Normal"/>
    <w:qFormat/>
    <w:rsid w:val="00CD36EF"/>
    <w:pPr>
      <w:numPr>
        <w:numId w:val="37"/>
      </w:numPr>
      <w:spacing w:after="120"/>
      <w:ind w:right="1264"/>
    </w:pPr>
  </w:style>
  <w:style w:type="paragraph" w:customStyle="1" w:styleId="Bullet2">
    <w:name w:val="Bullet 2"/>
    <w:basedOn w:val="Normal"/>
    <w:qFormat/>
    <w:rsid w:val="00CD36EF"/>
    <w:pPr>
      <w:tabs>
        <w:tab w:val="num" w:pos="720"/>
      </w:tabs>
      <w:spacing w:after="120"/>
      <w:ind w:left="720" w:right="1264" w:hanging="720"/>
    </w:pPr>
  </w:style>
  <w:style w:type="character" w:styleId="EndnoteReference">
    <w:name w:val="endnote reference"/>
    <w:aliases w:val="1_G"/>
    <w:basedOn w:val="DefaultParagraphFont"/>
    <w:qFormat/>
    <w:rsid w:val="00CD36E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36EF"/>
    <w:pPr>
      <w:tabs>
        <w:tab w:val="num" w:pos="720"/>
      </w:tabs>
      <w:ind w:left="720" w:hanging="720"/>
    </w:pPr>
  </w:style>
  <w:style w:type="paragraph" w:customStyle="1" w:styleId="AgendaTitleH2">
    <w:name w:val="Agenda_Title_H2"/>
    <w:basedOn w:val="H1"/>
    <w:next w:val="Normal"/>
    <w:qFormat/>
    <w:rsid w:val="00CD36EF"/>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CD36EF"/>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uiPriority w:val="99"/>
    <w:rsid w:val="00CD36EF"/>
    <w:rPr>
      <w:rFonts w:eastAsiaTheme="minorHAnsi" w:cs="Simplified Arabic"/>
      <w:kern w:val="14"/>
      <w:sz w:val="17"/>
      <w:szCs w:val="18"/>
      <w:lang w:eastAsia="en-US"/>
    </w:rPr>
  </w:style>
  <w:style w:type="character" w:customStyle="1" w:styleId="EndnoteTextChar">
    <w:name w:val="Endnote Text Char"/>
    <w:aliases w:val="2_G Char"/>
    <w:basedOn w:val="DefaultParagraphFont"/>
    <w:link w:val="EndnoteText"/>
    <w:rsid w:val="00CD36EF"/>
    <w:rPr>
      <w:rFonts w:eastAsiaTheme="minorHAnsi" w:cs="Simplified Arabic"/>
      <w:kern w:val="14"/>
      <w:sz w:val="17"/>
      <w:szCs w:val="18"/>
      <w:lang w:eastAsia="en-US"/>
    </w:rPr>
  </w:style>
  <w:style w:type="character" w:customStyle="1" w:styleId="Heading1Char">
    <w:name w:val="Heading 1 Char"/>
    <w:aliases w:val="Table_G Char"/>
    <w:basedOn w:val="DefaultParagraphFont"/>
    <w:link w:val="Heading1"/>
    <w:rsid w:val="00CD36EF"/>
    <w:rPr>
      <w:rFonts w:eastAsiaTheme="minorHAnsi" w:cs="Simplified Arabic"/>
      <w:kern w:val="14"/>
      <w:sz w:val="24"/>
      <w:szCs w:val="24"/>
      <w:lang w:eastAsia="en-US"/>
    </w:rPr>
  </w:style>
  <w:style w:type="character" w:customStyle="1" w:styleId="Heading2Char">
    <w:name w:val="Heading 2 Char"/>
    <w:basedOn w:val="DefaultParagraphFont"/>
    <w:link w:val="Heading2"/>
    <w:rsid w:val="00CD36E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97CAD"/>
    <w:pPr>
      <w:spacing w:line="240" w:lineRule="auto"/>
    </w:pPr>
    <w:rPr>
      <w:szCs w:val="20"/>
    </w:rPr>
  </w:style>
  <w:style w:type="character" w:customStyle="1" w:styleId="CommentTextChar">
    <w:name w:val="Comment Text Char"/>
    <w:basedOn w:val="DefaultParagraphFont"/>
    <w:link w:val="CommentText"/>
    <w:uiPriority w:val="99"/>
    <w:semiHidden/>
    <w:rsid w:val="00A97CAD"/>
    <w:rPr>
      <w:rFonts w:eastAsiaTheme="minorHAnsi" w:cs="Simplified Arabic"/>
      <w:kern w:val="14"/>
      <w:lang w:eastAsia="en-US"/>
    </w:rPr>
  </w:style>
  <w:style w:type="paragraph" w:styleId="CommentSubject">
    <w:name w:val="annotation subject"/>
    <w:basedOn w:val="CommentText"/>
    <w:next w:val="CommentText"/>
    <w:link w:val="CommentSubjectChar"/>
    <w:uiPriority w:val="99"/>
    <w:semiHidden/>
    <w:unhideWhenUsed/>
    <w:rsid w:val="00A97CAD"/>
    <w:rPr>
      <w:b/>
      <w:bCs/>
    </w:rPr>
  </w:style>
  <w:style w:type="character" w:customStyle="1" w:styleId="CommentSubjectChar">
    <w:name w:val="Comment Subject Char"/>
    <w:basedOn w:val="CommentTextChar"/>
    <w:link w:val="CommentSubject"/>
    <w:uiPriority w:val="99"/>
    <w:semiHidden/>
    <w:rsid w:val="00A97CAD"/>
    <w:rPr>
      <w:rFonts w:eastAsiaTheme="minorHAnsi" w:cs="Simplified Arabic"/>
      <w:b/>
      <w:bCs/>
      <w:kern w:val="14"/>
      <w:lang w:eastAsia="en-US"/>
    </w:rPr>
  </w:style>
  <w:style w:type="character" w:customStyle="1" w:styleId="Heading4Char">
    <w:name w:val="Heading 4 Char"/>
    <w:basedOn w:val="DefaultParagraphFont"/>
    <w:link w:val="Heading4"/>
    <w:semiHidden/>
    <w:rsid w:val="00EA2224"/>
    <w:rPr>
      <w:rFonts w:eastAsiaTheme="minorHAnsi" w:hAnsiTheme="minorHAnsi"/>
      <w:szCs w:val="25"/>
      <w:lang w:val="fr-CH" w:eastAsia="en-US"/>
    </w:rPr>
  </w:style>
  <w:style w:type="character" w:customStyle="1" w:styleId="Heading5Char">
    <w:name w:val="Heading 5 Char"/>
    <w:basedOn w:val="DefaultParagraphFont"/>
    <w:link w:val="Heading5"/>
    <w:semiHidden/>
    <w:rsid w:val="00EA2224"/>
    <w:rPr>
      <w:rFonts w:eastAsiaTheme="minorHAnsi" w:hAnsiTheme="minorHAnsi"/>
      <w:szCs w:val="30"/>
      <w:lang w:val="fr-CH" w:eastAsia="en-US"/>
    </w:rPr>
  </w:style>
  <w:style w:type="character" w:customStyle="1" w:styleId="Heading6Char">
    <w:name w:val="Heading 6 Char"/>
    <w:basedOn w:val="DefaultParagraphFont"/>
    <w:link w:val="Heading6"/>
    <w:semiHidden/>
    <w:rsid w:val="00EA2224"/>
    <w:rPr>
      <w:rFonts w:eastAsiaTheme="minorHAnsi" w:hAnsiTheme="minorHAnsi"/>
      <w:szCs w:val="30"/>
      <w:lang w:val="fr-CH" w:eastAsia="en-US"/>
    </w:rPr>
  </w:style>
  <w:style w:type="character" w:customStyle="1" w:styleId="Heading7Char">
    <w:name w:val="Heading 7 Char"/>
    <w:basedOn w:val="DefaultParagraphFont"/>
    <w:link w:val="Heading7"/>
    <w:semiHidden/>
    <w:rsid w:val="00EA2224"/>
    <w:rPr>
      <w:rFonts w:eastAsiaTheme="minorHAnsi" w:hAnsiTheme="minorHAnsi"/>
      <w:szCs w:val="30"/>
      <w:lang w:val="fr-CH" w:eastAsia="en-US"/>
    </w:rPr>
  </w:style>
  <w:style w:type="character" w:customStyle="1" w:styleId="Heading8Char">
    <w:name w:val="Heading 8 Char"/>
    <w:basedOn w:val="DefaultParagraphFont"/>
    <w:link w:val="Heading8"/>
    <w:semiHidden/>
    <w:rsid w:val="00EA2224"/>
    <w:rPr>
      <w:rFonts w:eastAsiaTheme="minorHAnsi" w:hAnsiTheme="minorHAnsi"/>
      <w:szCs w:val="30"/>
      <w:lang w:val="fr-CH" w:eastAsia="en-US"/>
    </w:rPr>
  </w:style>
  <w:style w:type="character" w:customStyle="1" w:styleId="Heading9Char">
    <w:name w:val="Heading 9 Char"/>
    <w:basedOn w:val="DefaultParagraphFont"/>
    <w:link w:val="Heading9"/>
    <w:semiHidden/>
    <w:rsid w:val="00EA2224"/>
    <w:rPr>
      <w:rFonts w:eastAsiaTheme="minorHAnsi" w:hAnsiTheme="minorHAnsi"/>
      <w:szCs w:val="30"/>
      <w:lang w:val="fr-CH" w:eastAsia="en-US"/>
    </w:rPr>
  </w:style>
  <w:style w:type="paragraph" w:customStyle="1" w:styleId="HMG">
    <w:name w:val="_ H __M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outlineLvl w:val="0"/>
    </w:pPr>
    <w:rPr>
      <w:rFonts w:hAnsiTheme="minorHAnsi" w:cs="Traditional Arabic" w:hint="cs"/>
      <w:b/>
      <w:kern w:val="0"/>
      <w:sz w:val="34"/>
      <w:szCs w:val="30"/>
      <w:lang w:val="fr-CH"/>
    </w:rPr>
  </w:style>
  <w:style w:type="paragraph" w:customStyle="1" w:styleId="HChG">
    <w:name w:val="_ H _Ch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hAnsiTheme="minorHAnsi" w:cs="Traditional Arabic" w:hint="cs"/>
      <w:b/>
      <w:kern w:val="0"/>
      <w:sz w:val="28"/>
      <w:szCs w:val="30"/>
      <w:lang w:val="fr-CH"/>
    </w:rPr>
  </w:style>
  <w:style w:type="paragraph" w:customStyle="1" w:styleId="H1G">
    <w:name w:val="_ H_1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H56G">
    <w:name w:val="_ H_5/6_G"/>
    <w:basedOn w:val="Normal"/>
    <w:next w:val="Normal"/>
    <w:qFormat/>
    <w:rsid w:val="00EA222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hAnsiTheme="minorHAnsi" w:cs="Traditional Arabic" w:hint="cs"/>
      <w:kern w:val="0"/>
      <w:szCs w:val="30"/>
      <w:lang w:val="fr-CH"/>
    </w:rPr>
  </w:style>
  <w:style w:type="paragraph" w:customStyle="1" w:styleId="SingleTxtG">
    <w:name w:val="_ Single Txt_G"/>
    <w:basedOn w:val="Normal"/>
    <w:link w:val="SingleTxtGChar"/>
    <w:qFormat/>
    <w:rsid w:val="00EA2224"/>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paragraph" w:customStyle="1" w:styleId="SLG">
    <w:name w:val="__S_L_G"/>
    <w:basedOn w:val="Normal"/>
    <w:next w:val="Normal"/>
    <w:rsid w:val="00EA2224"/>
    <w:pPr>
      <w:keepNext/>
      <w:keepLines/>
      <w:suppressAutoHyphens/>
      <w:bidi w:val="0"/>
      <w:spacing w:before="240" w:after="240" w:line="580" w:lineRule="exact"/>
      <w:ind w:left="1134" w:right="1134"/>
      <w:jc w:val="left"/>
    </w:pPr>
    <w:rPr>
      <w:rFonts w:hAnsiTheme="minorHAnsi" w:cs="Traditional Arabic" w:hint="cs"/>
      <w:b/>
      <w:kern w:val="0"/>
      <w:sz w:val="56"/>
      <w:szCs w:val="30"/>
      <w:lang w:val="fr-CH"/>
    </w:rPr>
  </w:style>
  <w:style w:type="paragraph" w:customStyle="1" w:styleId="SMG">
    <w:name w:val="__S_M_G"/>
    <w:basedOn w:val="Normal"/>
    <w:next w:val="Normal"/>
    <w:rsid w:val="00EA2224"/>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SSG">
    <w:name w:val="__S_S_G"/>
    <w:basedOn w:val="Normal"/>
    <w:next w:val="Normal"/>
    <w:rsid w:val="00EA2224"/>
    <w:pPr>
      <w:keepNext/>
      <w:keepLines/>
      <w:suppressAutoHyphens/>
      <w:bidi w:val="0"/>
      <w:spacing w:before="240" w:after="240" w:line="300" w:lineRule="exact"/>
      <w:ind w:left="1134" w:right="1134"/>
      <w:jc w:val="left"/>
    </w:pPr>
    <w:rPr>
      <w:rFonts w:hAnsiTheme="minorHAnsi" w:cs="Traditional Arabic" w:hint="cs"/>
      <w:b/>
      <w:kern w:val="0"/>
      <w:sz w:val="28"/>
      <w:szCs w:val="30"/>
      <w:lang w:val="fr-CH"/>
    </w:rPr>
  </w:style>
  <w:style w:type="paragraph" w:customStyle="1" w:styleId="XLargeG">
    <w:name w:val="__XLarge_G"/>
    <w:basedOn w:val="Normal"/>
    <w:next w:val="Normal"/>
    <w:rsid w:val="00EA2224"/>
    <w:pPr>
      <w:keepNext/>
      <w:keepLines/>
      <w:suppressAutoHyphens/>
      <w:bidi w:val="0"/>
      <w:spacing w:before="240" w:after="240" w:line="420" w:lineRule="exact"/>
      <w:ind w:left="1134" w:right="1134"/>
      <w:jc w:val="left"/>
    </w:pPr>
    <w:rPr>
      <w:rFonts w:hAnsiTheme="minorHAnsi" w:cs="Traditional Arabic" w:hint="cs"/>
      <w:b/>
      <w:kern w:val="0"/>
      <w:sz w:val="40"/>
      <w:szCs w:val="30"/>
      <w:lang w:val="fr-CH"/>
    </w:rPr>
  </w:style>
  <w:style w:type="paragraph" w:customStyle="1" w:styleId="Bullet1G">
    <w:name w:val="_Bullet 1_G"/>
    <w:basedOn w:val="Normal"/>
    <w:qFormat/>
    <w:rsid w:val="00EA2224"/>
    <w:pPr>
      <w:numPr>
        <w:numId w:val="1"/>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Bullet2G">
    <w:name w:val="_Bullet 2_G"/>
    <w:basedOn w:val="Normal"/>
    <w:qFormat/>
    <w:rsid w:val="00EA2224"/>
    <w:pPr>
      <w:numPr>
        <w:numId w:val="2"/>
      </w:numPr>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paragraph" w:customStyle="1" w:styleId="ParNoG">
    <w:name w:val="_ParNo_G"/>
    <w:basedOn w:val="Normal"/>
    <w:qFormat/>
    <w:rsid w:val="00EA2224"/>
    <w:pPr>
      <w:numPr>
        <w:numId w:val="3"/>
      </w:num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right="1134"/>
      <w:jc w:val="both"/>
    </w:pPr>
    <w:rPr>
      <w:rFonts w:hAnsiTheme="minorHAnsi" w:cs="Traditional Arabic" w:hint="cs"/>
      <w:kern w:val="0"/>
      <w:szCs w:val="30"/>
      <w:lang w:val="fr-CH"/>
    </w:rPr>
  </w:style>
  <w:style w:type="character" w:styleId="PageNumber">
    <w:name w:val="page number"/>
    <w:aliases w:val="7_G"/>
    <w:basedOn w:val="DefaultParagraphFont"/>
    <w:qFormat/>
    <w:rsid w:val="00EA2224"/>
    <w:rPr>
      <w:rFonts w:ascii="Times New Roman" w:hAnsi="Times New Roman"/>
      <w:b/>
      <w:sz w:val="18"/>
    </w:rPr>
  </w:style>
  <w:style w:type="character" w:customStyle="1" w:styleId="SingleTxtGChar">
    <w:name w:val="_ Single Txt_G Char"/>
    <w:link w:val="SingleTxtG"/>
    <w:locked/>
    <w:rsid w:val="00EA2224"/>
    <w:rPr>
      <w:rFonts w:eastAsiaTheme="minorHAnsi" w:hAnsiTheme="minorHAnsi"/>
      <w:szCs w:val="30"/>
      <w:lang w:val="fr-CH" w:eastAsia="en-US"/>
    </w:rPr>
  </w:style>
  <w:style w:type="numbering" w:styleId="111111">
    <w:name w:val="Outline List 2"/>
    <w:basedOn w:val="NoList"/>
    <w:semiHidden/>
    <w:rsid w:val="00EA2224"/>
    <w:pPr>
      <w:numPr>
        <w:numId w:val="4"/>
      </w:numPr>
    </w:pPr>
  </w:style>
  <w:style w:type="numbering" w:styleId="1ai">
    <w:name w:val="Outline List 1"/>
    <w:basedOn w:val="NoList"/>
    <w:semiHidden/>
    <w:rsid w:val="00EA2224"/>
    <w:pPr>
      <w:numPr>
        <w:numId w:val="5"/>
      </w:numPr>
    </w:pPr>
  </w:style>
  <w:style w:type="table" w:customStyle="1" w:styleId="TableGrid1">
    <w:name w:val="Table Grid1"/>
    <w:basedOn w:val="TableNormal"/>
    <w:rsid w:val="00EA2224"/>
    <w:pPr>
      <w:suppressAutoHyphens/>
      <w:spacing w:line="240" w:lineRule="atLeast"/>
    </w:pPr>
    <w:rPr>
      <w:rFonts w:eastAsiaTheme="minorHAnsi"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S">
    <w:name w:val="__S_S"/>
    <w:basedOn w:val="Normal"/>
    <w:next w:val="Normal"/>
    <w:rsid w:val="00EA22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outlineLvl w:val="0"/>
    </w:pPr>
    <w:rPr>
      <w:rFonts w:hAnsiTheme="minorHAnsi" w:cs="Traditional Arabic" w:hint="cs"/>
      <w:b/>
      <w:spacing w:val="-2"/>
      <w:w w:val="103"/>
      <w:sz w:val="28"/>
      <w:szCs w:val="30"/>
      <w:lang w:val="fr-CH"/>
    </w:rPr>
  </w:style>
  <w:style w:type="paragraph" w:styleId="ListParagraph">
    <w:name w:val="List Paragraph"/>
    <w:basedOn w:val="Normal"/>
    <w:uiPriority w:val="34"/>
    <w:qFormat/>
    <w:rsid w:val="00EA2224"/>
    <w:pPr>
      <w:suppressAutoHyphens/>
      <w:bidi w:val="0"/>
      <w:spacing w:line="240" w:lineRule="atLeast"/>
      <w:ind w:left="720"/>
      <w:contextualSpacing/>
      <w:jc w:val="left"/>
    </w:pPr>
    <w:rPr>
      <w:rFonts w:hAnsiTheme="minorHAnsi" w:cs="Traditional Arabic" w:hint="cs"/>
      <w:kern w:val="0"/>
      <w:szCs w:val="30"/>
      <w:lang w:val="fr-CH"/>
    </w:rPr>
  </w:style>
  <w:style w:type="character" w:styleId="PlaceholderText">
    <w:name w:val="Placeholder Text"/>
    <w:basedOn w:val="DefaultParagraphFont"/>
    <w:uiPriority w:val="99"/>
    <w:semiHidden/>
    <w:rsid w:val="00EA2224"/>
    <w:rPr>
      <w:color w:val="808080"/>
    </w:rPr>
  </w:style>
  <w:style w:type="character" w:styleId="UnresolvedMention">
    <w:name w:val="Unresolved Mention"/>
    <w:basedOn w:val="DefaultParagraphFont"/>
    <w:uiPriority w:val="99"/>
    <w:semiHidden/>
    <w:unhideWhenUsed/>
    <w:rsid w:val="006345D2"/>
    <w:rPr>
      <w:color w:val="605E5C"/>
      <w:shd w:val="clear" w:color="auto" w:fill="E1DFDD"/>
    </w:rPr>
  </w:style>
  <w:style w:type="paragraph" w:styleId="Revision">
    <w:name w:val="Revision"/>
    <w:hidden/>
    <w:uiPriority w:val="99"/>
    <w:semiHidden/>
    <w:rsid w:val="006345D2"/>
    <w:rPr>
      <w:rFonts w:eastAsiaTheme="minorHAnsi"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NAM/6" TargetMode="External"/><Relationship Id="rId26" Type="http://schemas.openxmlformats.org/officeDocument/2006/relationships/hyperlink" Target="https://undocs.org/ar/CEDAW/C/NAM/RQ/6" TargetMode="External"/><Relationship Id="rId39" Type="http://schemas.openxmlformats.org/officeDocument/2006/relationships/hyperlink" Target="https://undocs.org/ar/CEDAW/C/NAM/6" TargetMode="External"/><Relationship Id="rId21" Type="http://schemas.openxmlformats.org/officeDocument/2006/relationships/hyperlink" Target="https://undocs.org/ar/CEDAW/C/NAM/Q/6" TargetMode="External"/><Relationship Id="rId34" Type="http://schemas.openxmlformats.org/officeDocument/2006/relationships/hyperlink" Target="https://undocs.org/ar/CEDAW/C/NAM/RQ/6" TargetMode="External"/><Relationship Id="rId42" Type="http://schemas.openxmlformats.org/officeDocument/2006/relationships/hyperlink" Target="https://undocs.org/ar/CEDAW/C/NAM/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undocs.org/ar/CEDAW/C/NAM/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NAM/4-5" TargetMode="External"/><Relationship Id="rId32" Type="http://schemas.openxmlformats.org/officeDocument/2006/relationships/hyperlink" Target="https://undocs.org/ar/CEDAW/C/NAM/RQ/6" TargetMode="External"/><Relationship Id="rId37" Type="http://schemas.openxmlformats.org/officeDocument/2006/relationships/hyperlink" Target="https://undocs.org/ar/CEDAW/C/NAM/6" TargetMode="External"/><Relationship Id="rId40" Type="http://schemas.openxmlformats.org/officeDocument/2006/relationships/hyperlink" Target="https://undocs.org/ar/S/RES/1325(2000)" TargetMode="External"/><Relationship Id="rId45" Type="http://schemas.openxmlformats.org/officeDocument/2006/relationships/hyperlink" Target="https://undocs.org/ar/CEDAW/C/NAM/RQ/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NAM/CO/4-5/Add.1" TargetMode="External"/><Relationship Id="rId28" Type="http://schemas.openxmlformats.org/officeDocument/2006/relationships/hyperlink" Target="https://undocs.org/ar/CEDAW/C/NAM/CO/4-5" TargetMode="External"/><Relationship Id="rId36" Type="http://schemas.openxmlformats.org/officeDocument/2006/relationships/hyperlink" Target="https://undocs.org/ar/CEDAW/C/NAM/RQ/6" TargetMode="External"/><Relationship Id="rId10" Type="http://schemas.openxmlformats.org/officeDocument/2006/relationships/footer" Target="footer1.xml"/><Relationship Id="rId19" Type="http://schemas.openxmlformats.org/officeDocument/2006/relationships/hyperlink" Target="https://undocs.org/ar/CEDAW/C/SR.1887" TargetMode="External"/><Relationship Id="rId31" Type="http://schemas.openxmlformats.org/officeDocument/2006/relationships/hyperlink" Target="https://undocs.org/ar/CEDAW/C/NAM/CO/4-5" TargetMode="External"/><Relationship Id="rId44" Type="http://schemas.openxmlformats.org/officeDocument/2006/relationships/hyperlink" Target="https://undocs.org/ar/CEDAW/C/NAM/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NAM/RQ/6" TargetMode="External"/><Relationship Id="rId27" Type="http://schemas.openxmlformats.org/officeDocument/2006/relationships/hyperlink" Target="https://undocs.org/ar/CEDAW/C/NAM/RQ/6" TargetMode="External"/><Relationship Id="rId30" Type="http://schemas.openxmlformats.org/officeDocument/2006/relationships/hyperlink" Target="https://undocs.org/ar/CEDAW/C/NAM/6" TargetMode="External"/><Relationship Id="rId35" Type="http://schemas.openxmlformats.org/officeDocument/2006/relationships/hyperlink" Target="https://undocs.org/ar/CEDAW/C/NAM/RQ/6" TargetMode="External"/><Relationship Id="rId43" Type="http://schemas.openxmlformats.org/officeDocument/2006/relationships/hyperlink" Target="https://undocs.org/ar/CEDAW/C/NAM/RQ/6"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A/65/38" TargetMode="External"/><Relationship Id="rId33" Type="http://schemas.openxmlformats.org/officeDocument/2006/relationships/hyperlink" Target="https://undocs.org/ar/CEDAW/C/NAM/RQ/6" TargetMode="External"/><Relationship Id="rId38" Type="http://schemas.openxmlformats.org/officeDocument/2006/relationships/hyperlink" Target="https://undocs.org/ar/CEDAW/C/NAM/6" TargetMode="External"/><Relationship Id="rId46" Type="http://schemas.openxmlformats.org/officeDocument/2006/relationships/hyperlink" Target="https://undocs.org/ar/HRI/GEN/2/Rev.6" TargetMode="External"/><Relationship Id="rId20" Type="http://schemas.openxmlformats.org/officeDocument/2006/relationships/hyperlink" Target="https://undocs.org/ar/CEDAW/C/SR.1888" TargetMode="External"/><Relationship Id="rId41" Type="http://schemas.openxmlformats.org/officeDocument/2006/relationships/hyperlink" Target="https://undocs.org/ar/CEDAW/C/NAM/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Julia Shriki</dc:creator>
  <cp:keywords/>
  <dc:description/>
  <cp:lastModifiedBy>Arabic Text Processing</cp:lastModifiedBy>
  <cp:revision>5</cp:revision>
  <cp:lastPrinted>2022-09-13T16:38:00Z</cp:lastPrinted>
  <dcterms:created xsi:type="dcterms:W3CDTF">2022-09-13T16:35:00Z</dcterms:created>
  <dcterms:modified xsi:type="dcterms:W3CDTF">2022-09-13T16:39:00Z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2210901</vt:lpwstr>
  </property>
  <property fmtid="{D5CDD505-2E9C-101B-9397-08002B2CF9AE}" pid="3" name="ODSRefJobNo">
    <vt:lpwstr>2242067A</vt:lpwstr>
  </property>
  <property fmtid="{D5CDD505-2E9C-101B-9397-08002B2CF9AE}" pid="4" name="Symbol1">
    <vt:lpwstr>CEDAW/C/NAM/CO/6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12 July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السادس لناميبيا* _x000d_</vt:lpwstr>
  </property>
</Properties>
</file>