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0397" w14:textId="77777777" w:rsidR="00764133" w:rsidRDefault="00764133" w:rsidP="005D74BC">
      <w:pPr>
        <w:spacing w:line="60" w:lineRule="exact"/>
        <w:rPr>
          <w:color w:val="010000"/>
          <w:sz w:val="2"/>
        </w:rPr>
        <w:sectPr w:rsidR="00764133" w:rsidSect="005D74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6EFB1AA6" w14:textId="0F21D0FA" w:rsidR="008B04B0" w:rsidRDefault="008B04B0" w:rsidP="008B04B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rsidRPr="008B04B0">
        <w:br/>
      </w:r>
      <w:r>
        <w:t>в отношении женщин</w:t>
      </w:r>
    </w:p>
    <w:p w14:paraId="1F5AC3AA" w14:textId="7811171D" w:rsidR="008B04B0" w:rsidRPr="008B04B0" w:rsidRDefault="008B04B0" w:rsidP="008B04B0">
      <w:pPr>
        <w:spacing w:line="120" w:lineRule="exact"/>
        <w:rPr>
          <w:sz w:val="10"/>
        </w:rPr>
      </w:pPr>
    </w:p>
    <w:p w14:paraId="42B0A2E1" w14:textId="0D656895" w:rsidR="008B04B0" w:rsidRPr="008B04B0" w:rsidRDefault="008B04B0" w:rsidP="008B04B0">
      <w:pPr>
        <w:spacing w:line="120" w:lineRule="exact"/>
        <w:rPr>
          <w:sz w:val="10"/>
        </w:rPr>
      </w:pPr>
    </w:p>
    <w:p w14:paraId="0669E39D" w14:textId="274DBC74" w:rsidR="008B04B0" w:rsidRPr="008B04B0" w:rsidRDefault="008B04B0" w:rsidP="008B04B0">
      <w:pPr>
        <w:spacing w:line="120" w:lineRule="exact"/>
        <w:rPr>
          <w:sz w:val="10"/>
        </w:rPr>
      </w:pPr>
    </w:p>
    <w:p w14:paraId="323A3343" w14:textId="71C807C3" w:rsidR="008B04B0" w:rsidRDefault="008B04B0" w:rsidP="008B04B0">
      <w:pPr>
        <w:pStyle w:val="TitleHCH"/>
        <w:rPr>
          <w:sz w:val="20"/>
        </w:rPr>
      </w:pPr>
      <w:r>
        <w:tab/>
      </w:r>
      <w:r>
        <w:tab/>
      </w:r>
      <w:r w:rsidRPr="002A6A5D">
        <w:t>Заключительные замечания по восьмому периодическому докладу Новой Зеландии</w:t>
      </w:r>
      <w:r w:rsidRPr="00D544B2">
        <w:rPr>
          <w:rStyle w:val="FootnoteReference"/>
          <w:b w:val="0"/>
          <w:sz w:val="20"/>
        </w:rPr>
        <w:footnoteReference w:customMarkFollows="1" w:id="1"/>
        <w:t>*</w:t>
      </w:r>
    </w:p>
    <w:p w14:paraId="21DEC8D7" w14:textId="7ACBA376" w:rsidR="008B04B0" w:rsidRPr="008B04B0" w:rsidRDefault="008B04B0" w:rsidP="008B04B0">
      <w:pPr>
        <w:spacing w:line="120" w:lineRule="exact"/>
        <w:rPr>
          <w:sz w:val="10"/>
        </w:rPr>
      </w:pPr>
    </w:p>
    <w:p w14:paraId="714AF162" w14:textId="631B1ED5" w:rsidR="008B04B0" w:rsidRPr="008B04B0" w:rsidRDefault="008B04B0" w:rsidP="008B04B0">
      <w:pPr>
        <w:spacing w:line="120" w:lineRule="exact"/>
        <w:rPr>
          <w:sz w:val="10"/>
        </w:rPr>
      </w:pPr>
    </w:p>
    <w:p w14:paraId="7DCD6CF9" w14:textId="7FDD72E3" w:rsidR="008B04B0" w:rsidRDefault="007C1FB5" w:rsidP="005729D5">
      <w:pPr>
        <w:pStyle w:val="SingleTxt"/>
      </w:pPr>
      <w:r>
        <w:t>1.</w:t>
      </w:r>
      <w:r>
        <w:tab/>
      </w:r>
      <w:r w:rsidR="008B04B0">
        <w:t>Комитет рассмотрел восьмой периодический доклад Новой Зеландии (</w:t>
      </w:r>
      <w:hyperlink r:id="rId15" w:history="1">
        <w:r w:rsidR="008B04B0" w:rsidRPr="00664C84">
          <w:rPr>
            <w:rStyle w:val="Hyperlink"/>
          </w:rPr>
          <w:t>CEDAW/C/NZL/8</w:t>
        </w:r>
      </w:hyperlink>
      <w:r w:rsidR="008B04B0">
        <w:t>) на своих 1616-м и 1617-м заседаниях (см.</w:t>
      </w:r>
      <w:r>
        <w:rPr>
          <w:lang w:val="en-US"/>
        </w:rPr>
        <w:t> </w:t>
      </w:r>
      <w:hyperlink r:id="rId16" w:history="1">
        <w:r w:rsidR="008B04B0" w:rsidRPr="00664C84">
          <w:rPr>
            <w:rStyle w:val="Hyperlink"/>
          </w:rPr>
          <w:t>CEDAW/C/SR.1616</w:t>
        </w:r>
      </w:hyperlink>
      <w:r w:rsidR="008B04B0">
        <w:t xml:space="preserve"> и </w:t>
      </w:r>
      <w:hyperlink r:id="rId17" w:history="1">
        <w:r w:rsidR="008B04B0" w:rsidRPr="00664C84">
          <w:rPr>
            <w:rStyle w:val="Hyperlink"/>
          </w:rPr>
          <w:t>CEDAW/C/SR.1617</w:t>
        </w:r>
      </w:hyperlink>
      <w:r w:rsidR="008B04B0">
        <w:t xml:space="preserve">), состоявшихся 12 июля 2018 года. Перечень тем и вопросов, составленных Комитетом, содержится в документе </w:t>
      </w:r>
      <w:hyperlink r:id="rId18" w:history="1">
        <w:r w:rsidR="008B04B0" w:rsidRPr="00664C84">
          <w:rPr>
            <w:rStyle w:val="Hyperlink"/>
          </w:rPr>
          <w:t>CEDAW/C/N</w:t>
        </w:r>
        <w:r w:rsidR="005729D5" w:rsidRPr="00664C84">
          <w:rPr>
            <w:rStyle w:val="Hyperlink"/>
          </w:rPr>
          <w:t>ZL/Q/8</w:t>
        </w:r>
      </w:hyperlink>
      <w:r w:rsidR="005729D5">
        <w:t>, а ответы Новой Зеландии </w:t>
      </w:r>
      <w:r w:rsidR="008B04B0">
        <w:t>— в документе</w:t>
      </w:r>
      <w:hyperlink r:id="rId19" w:history="1">
        <w:r w:rsidR="008B04B0" w:rsidRPr="00664C84">
          <w:rPr>
            <w:rStyle w:val="Hyperlink"/>
          </w:rPr>
          <w:t xml:space="preserve"> CEDAW/C/</w:t>
        </w:r>
        <w:r w:rsidR="006B79E0" w:rsidRPr="00664C84">
          <w:rPr>
            <w:rStyle w:val="Hyperlink"/>
          </w:rPr>
          <w:t>NZL</w:t>
        </w:r>
        <w:r w:rsidR="008B04B0" w:rsidRPr="00664C84">
          <w:rPr>
            <w:rStyle w:val="Hyperlink"/>
          </w:rPr>
          <w:t>/Q/8/Add.1</w:t>
        </w:r>
      </w:hyperlink>
      <w:r w:rsidR="008B04B0">
        <w:t xml:space="preserve">. </w:t>
      </w:r>
    </w:p>
    <w:p w14:paraId="2D72ED22" w14:textId="2CFFEBF2" w:rsidR="007C1FB5" w:rsidRPr="007C1FB5" w:rsidRDefault="007C1FB5" w:rsidP="007C1FB5">
      <w:pPr>
        <w:pStyle w:val="SingleTxt"/>
        <w:spacing w:after="0" w:line="120" w:lineRule="exact"/>
        <w:rPr>
          <w:sz w:val="10"/>
        </w:rPr>
      </w:pPr>
    </w:p>
    <w:p w14:paraId="710B7E66" w14:textId="60FD06F0" w:rsidR="007C1FB5" w:rsidRPr="007C1FB5" w:rsidRDefault="007C1FB5" w:rsidP="007C1FB5">
      <w:pPr>
        <w:pStyle w:val="SingleTxt"/>
        <w:spacing w:after="0" w:line="120" w:lineRule="exact"/>
        <w:rPr>
          <w:sz w:val="10"/>
        </w:rPr>
      </w:pPr>
    </w:p>
    <w:p w14:paraId="4CDA9247" w14:textId="39D8C8D0" w:rsidR="008B04B0" w:rsidRDefault="008B04B0" w:rsidP="007C1F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Введение</w:t>
      </w:r>
    </w:p>
    <w:p w14:paraId="2C595162" w14:textId="7993EF9E" w:rsidR="007C1FB5" w:rsidRPr="007C1FB5" w:rsidRDefault="007C1FB5" w:rsidP="007C1FB5">
      <w:pPr>
        <w:pStyle w:val="SingleTxt"/>
        <w:spacing w:after="0" w:line="120" w:lineRule="exact"/>
        <w:rPr>
          <w:sz w:val="10"/>
        </w:rPr>
      </w:pPr>
    </w:p>
    <w:p w14:paraId="3B5C8A7E" w14:textId="6839D49E" w:rsidR="007C1FB5" w:rsidRPr="007C1FB5" w:rsidRDefault="007C1FB5" w:rsidP="007C1FB5">
      <w:pPr>
        <w:pStyle w:val="SingleTxt"/>
        <w:spacing w:after="0" w:line="120" w:lineRule="exact"/>
        <w:rPr>
          <w:sz w:val="10"/>
        </w:rPr>
      </w:pPr>
    </w:p>
    <w:p w14:paraId="782A9784" w14:textId="0D4B15CB" w:rsidR="008B04B0" w:rsidRPr="009B608A" w:rsidRDefault="007C1FB5" w:rsidP="008B04B0">
      <w:pPr>
        <w:pStyle w:val="SingleTxt"/>
      </w:pPr>
      <w:r>
        <w:t>2.</w:t>
      </w:r>
      <w:r>
        <w:tab/>
      </w:r>
      <w:r w:rsidR="008B04B0">
        <w:t>Комитет выражает признательность государству-участнику за представление восьмого периодического доклада. Он также благодарит государство-участник за последующий доклад о принятых мерах (</w:t>
      </w:r>
      <w:hyperlink r:id="rId20" w:history="1">
        <w:r w:rsidR="008B04B0" w:rsidRPr="00664C84">
          <w:rPr>
            <w:rStyle w:val="Hyperlink"/>
          </w:rPr>
          <w:t>CEDAW/C/NZL/CO/7/Add.1</w:t>
        </w:r>
      </w:hyperlink>
      <w:r w:rsidR="008B04B0">
        <w:t xml:space="preserve">) и его письменные ответы на перечень тем и вопросов, поднятых предсессионной рабочей группой, а также за сделанное делегацией устное сообщение и дополнительные разъяснения по вопросам, которые были заданы членами Комитета в устной форме в ходе диалога. </w:t>
      </w:r>
    </w:p>
    <w:p w14:paraId="1503881C" w14:textId="3366AFDD" w:rsidR="008B04B0" w:rsidRDefault="008B04B0" w:rsidP="008B04B0">
      <w:pPr>
        <w:pStyle w:val="SingleTxt"/>
      </w:pPr>
      <w:r>
        <w:t>3.</w:t>
      </w:r>
      <w:r>
        <w:tab/>
        <w:t xml:space="preserve">Комитет выражает признательность государству-участнику за направление делегации высокого уровня, которую возглавила парламентский заместитель министра юстиции Джан Логи, и в состав которой вошли представители Министерства по делам женщин, Министерства юстиции, Те Пуни Кокири (Министерство по развитию маори) и Постоянного представительства Новой Зеландии при Отделении Организации Объединенных Наций и других международных организациях в Женеве. </w:t>
      </w:r>
    </w:p>
    <w:p w14:paraId="05758E80" w14:textId="09E8767B" w:rsidR="006B79E0" w:rsidRPr="006B79E0" w:rsidRDefault="006B79E0" w:rsidP="006B79E0">
      <w:pPr>
        <w:pStyle w:val="SingleTxt"/>
        <w:spacing w:after="0" w:line="120" w:lineRule="exact"/>
        <w:rPr>
          <w:sz w:val="10"/>
        </w:rPr>
      </w:pPr>
    </w:p>
    <w:p w14:paraId="36160614" w14:textId="05F40C5A" w:rsidR="006B79E0" w:rsidRPr="006B79E0" w:rsidRDefault="006B79E0" w:rsidP="006B79E0">
      <w:pPr>
        <w:pStyle w:val="SingleTxt"/>
        <w:spacing w:after="0" w:line="120" w:lineRule="exact"/>
        <w:rPr>
          <w:sz w:val="10"/>
        </w:rPr>
      </w:pPr>
    </w:p>
    <w:p w14:paraId="4389560A" w14:textId="7447BC70" w:rsidR="008B04B0" w:rsidRDefault="008B04B0" w:rsidP="006B79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B79E0">
        <w:t>B.</w:t>
      </w:r>
      <w:r w:rsidR="006B79E0">
        <w:tab/>
        <w:t>Позитивные аспекты</w:t>
      </w:r>
    </w:p>
    <w:p w14:paraId="7F151257" w14:textId="666D84F8" w:rsidR="006B79E0" w:rsidRPr="006B79E0" w:rsidRDefault="006B79E0" w:rsidP="006B79E0">
      <w:pPr>
        <w:pStyle w:val="SingleTxt"/>
        <w:spacing w:after="0" w:line="120" w:lineRule="exact"/>
        <w:rPr>
          <w:sz w:val="10"/>
        </w:rPr>
      </w:pPr>
    </w:p>
    <w:p w14:paraId="1293178E" w14:textId="2FFB66EC" w:rsidR="006B79E0" w:rsidRPr="006B79E0" w:rsidRDefault="006B79E0" w:rsidP="006B79E0">
      <w:pPr>
        <w:pStyle w:val="SingleTxt"/>
        <w:spacing w:after="0" w:line="120" w:lineRule="exact"/>
        <w:rPr>
          <w:sz w:val="10"/>
        </w:rPr>
      </w:pPr>
    </w:p>
    <w:p w14:paraId="06B69C7F" w14:textId="0040F2D4" w:rsidR="008B04B0" w:rsidRPr="009B608A" w:rsidRDefault="008B04B0" w:rsidP="008B04B0">
      <w:pPr>
        <w:pStyle w:val="SingleTxt"/>
      </w:pPr>
      <w:r>
        <w:t>4.</w:t>
      </w:r>
      <w:r w:rsidR="006B79E0">
        <w:tab/>
      </w:r>
      <w:r>
        <w:t>Комитет отмечает прогресс, достигнутый государством-участником в области проведения законодательных реформ за период после рассмотрения в 2012</w:t>
      </w:r>
      <w:r w:rsidR="004B7160">
        <w:rPr>
          <w:lang w:val="en-US"/>
        </w:rPr>
        <w:t> </w:t>
      </w:r>
      <w:r>
        <w:t>году его седьмого периодического доклада (</w:t>
      </w:r>
      <w:hyperlink r:id="rId21" w:history="1">
        <w:r w:rsidRPr="00664C84">
          <w:rPr>
            <w:rStyle w:val="Hyperlink"/>
          </w:rPr>
          <w:t>CEDAW/C/NZL/7</w:t>
        </w:r>
      </w:hyperlink>
      <w:r>
        <w:t xml:space="preserve">), в частности принятие им следующих нормативно-правовых актов: </w:t>
      </w:r>
    </w:p>
    <w:p w14:paraId="269E65F7" w14:textId="45972C5C" w:rsidR="008B04B0" w:rsidRPr="009B608A" w:rsidRDefault="008B04B0" w:rsidP="008B04B0">
      <w:pPr>
        <w:pStyle w:val="SingleTxt"/>
      </w:pPr>
      <w:r>
        <w:tab/>
        <w:t>а)</w:t>
      </w:r>
      <w:r w:rsidR="00257C3C">
        <w:tab/>
      </w:r>
      <w:r>
        <w:t>Закона о вредных цифровых коммуникациях, в 2015 году, направленного на предупреждение и смягчение последствий вреда, причиняемого женщинам путем использования цифровых коммуникаций, и предоставление жертвам вредных цифровых коммуникаций средств правовой защиты;</w:t>
      </w:r>
    </w:p>
    <w:p w14:paraId="25BA868E" w14:textId="7BF22F1D" w:rsidR="008B04B0" w:rsidRPr="009B608A" w:rsidRDefault="00257C3C" w:rsidP="008B04B0">
      <w:pPr>
        <w:pStyle w:val="SingleTxt"/>
      </w:pPr>
      <w:r>
        <w:tab/>
      </w:r>
      <w:r w:rsidR="008B04B0">
        <w:t>b)</w:t>
      </w:r>
      <w:r>
        <w:tab/>
      </w:r>
      <w:r w:rsidR="008B04B0">
        <w:t>Закона о детях в уязвимом положении, в 2014 году, направленного на усиление защиты благополучия уязвимых детей и их матерей.</w:t>
      </w:r>
    </w:p>
    <w:p w14:paraId="7FC8B68C" w14:textId="77777777" w:rsidR="008B04B0" w:rsidRPr="009B608A" w:rsidRDefault="008B04B0" w:rsidP="008B04B0">
      <w:pPr>
        <w:pStyle w:val="SingleTxt"/>
      </w:pPr>
      <w:r>
        <w:t>5.</w:t>
      </w:r>
      <w:r>
        <w:tab/>
        <w:t>Комитет приветствует усилия государства-участника по совершенствованию своей институциональной и нормативно-правовой базы, направленные на ускорение ликвидации дискриминации в отношении женщин и содействие достижению гендерного равенства, включая следующее:</w:t>
      </w:r>
    </w:p>
    <w:p w14:paraId="52100534" w14:textId="708ED0E7" w:rsidR="008B04B0" w:rsidRPr="009B608A" w:rsidRDefault="00257C3C" w:rsidP="008B04B0">
      <w:pPr>
        <w:pStyle w:val="SingleTxt"/>
      </w:pPr>
      <w:r>
        <w:tab/>
      </w:r>
      <w:r w:rsidR="008B04B0">
        <w:t>а)</w:t>
      </w:r>
      <w:r>
        <w:tab/>
      </w:r>
      <w:r w:rsidR="008B04B0">
        <w:t>создание в 2017 году должности парламентского заместителя министра юстиции в целях разработки комплексной и оперативной системы для борьбы с насилием в семье;</w:t>
      </w:r>
    </w:p>
    <w:p w14:paraId="4BA48EE8" w14:textId="5EC60922" w:rsidR="008B04B0" w:rsidRPr="009B608A" w:rsidRDefault="00257C3C" w:rsidP="008B04B0">
      <w:pPr>
        <w:pStyle w:val="SingleTxt"/>
      </w:pPr>
      <w:r>
        <w:tab/>
      </w:r>
      <w:r w:rsidR="008B04B0">
        <w:t>b)</w:t>
      </w:r>
      <w:r>
        <w:tab/>
      </w:r>
      <w:r w:rsidR="008B04B0">
        <w:t>принятие Национального плана для инвалидов тихоокеанских народностей, «Фаива Ора» на период 2016</w:t>
      </w:r>
      <w:r w:rsidR="009537EE">
        <w:t>–</w:t>
      </w:r>
      <w:r w:rsidR="008B04B0">
        <w:t>2021 годов, который гарантирует женщинам и девочкам с ограниченными возможностями и членам их семей</w:t>
      </w:r>
      <w:r w:rsidR="008B04B0" w:rsidRPr="00BB093F">
        <w:t xml:space="preserve"> </w:t>
      </w:r>
      <w:r w:rsidR="008B04B0">
        <w:t>из числа тихоокеанских народностей получение более эффективной поддержки;</w:t>
      </w:r>
    </w:p>
    <w:p w14:paraId="030B2D28" w14:textId="0CB8DDCA" w:rsidR="008B04B0" w:rsidRPr="009B608A" w:rsidRDefault="00257C3C" w:rsidP="008B04B0">
      <w:pPr>
        <w:pStyle w:val="SingleTxt"/>
      </w:pPr>
      <w:r>
        <w:tab/>
      </w:r>
      <w:r w:rsidR="008B04B0">
        <w:t>c)</w:t>
      </w:r>
      <w:r>
        <w:tab/>
      </w:r>
      <w:r w:rsidR="008B04B0">
        <w:t>принятие поправки к Закону о браке (определение брака) 2013 года, в соответствии с которой разрешается вступать в законный брак</w:t>
      </w:r>
      <w:r w:rsidR="008B04B0" w:rsidRPr="00C87F9F">
        <w:t xml:space="preserve"> </w:t>
      </w:r>
      <w:r w:rsidR="008B04B0">
        <w:t>однополым парам;</w:t>
      </w:r>
    </w:p>
    <w:p w14:paraId="5ED006F6" w14:textId="0981600B" w:rsidR="008B04B0" w:rsidRPr="009B608A" w:rsidRDefault="00257C3C" w:rsidP="008B04B0">
      <w:pPr>
        <w:pStyle w:val="SingleTxt"/>
      </w:pPr>
      <w:r>
        <w:tab/>
      </w:r>
      <w:r w:rsidR="008B04B0">
        <w:t>d)</w:t>
      </w:r>
      <w:r>
        <w:tab/>
      </w:r>
      <w:r w:rsidR="008B04B0">
        <w:t>начало осуществления стратегии образования маори, «Ка Хикитиа»: ускорение достижения успеха на период 2013</w:t>
      </w:r>
      <w:r w:rsidR="009537EE">
        <w:t>–</w:t>
      </w:r>
      <w:r w:rsidR="008B04B0">
        <w:t>2017 годов, направленной на обеспечение равенства и отличной успеваемости в учебе для учащихся-маори;</w:t>
      </w:r>
    </w:p>
    <w:p w14:paraId="6DA7E462" w14:textId="2A39A966" w:rsidR="008B04B0" w:rsidRPr="009B608A" w:rsidRDefault="00257C3C" w:rsidP="008B04B0">
      <w:pPr>
        <w:pStyle w:val="SingleTxt"/>
      </w:pPr>
      <w:r>
        <w:tab/>
      </w:r>
      <w:r w:rsidR="008B04B0">
        <w:t>e)</w:t>
      </w:r>
      <w:r>
        <w:tab/>
      </w:r>
      <w:r w:rsidR="008B04B0">
        <w:t>принятие второго национального плана действий в области прав человека на период 2015</w:t>
      </w:r>
      <w:r w:rsidR="009537EE">
        <w:t>–</w:t>
      </w:r>
      <w:r w:rsidR="008B04B0">
        <w:t>2019 годов;</w:t>
      </w:r>
    </w:p>
    <w:p w14:paraId="5CF16C5A" w14:textId="58735AB0" w:rsidR="008B04B0" w:rsidRPr="009B608A" w:rsidRDefault="00257C3C" w:rsidP="008B04B0">
      <w:pPr>
        <w:pStyle w:val="SingleTxt"/>
      </w:pPr>
      <w:r>
        <w:tab/>
      </w:r>
      <w:r w:rsidR="008B04B0">
        <w:t>f)</w:t>
      </w:r>
      <w:r>
        <w:tab/>
      </w:r>
      <w:r w:rsidR="008B04B0">
        <w:t xml:space="preserve">начало осуществления нового подхода к Комплексным ответным мерам в области безопасности, который направлен на обеспечение непосредственной безопасности для женщин и детей, ставших жертвами насилия в семье. </w:t>
      </w:r>
    </w:p>
    <w:p w14:paraId="34D69023" w14:textId="27C0B188" w:rsidR="008B04B0" w:rsidRDefault="008B04B0" w:rsidP="008B04B0">
      <w:pPr>
        <w:pStyle w:val="SingleTxt"/>
      </w:pPr>
      <w:r>
        <w:t>6.</w:t>
      </w:r>
      <w:r>
        <w:tab/>
        <w:t>Комитет приветствует присоединение государства-участника за период со времени рассмотрения предыдущего доклада к Факультативному протоколу к Конвенции о правах инвалидов.</w:t>
      </w:r>
    </w:p>
    <w:p w14:paraId="266776CA" w14:textId="6A44E8B0" w:rsidR="00225690" w:rsidRPr="00225690" w:rsidRDefault="00225690" w:rsidP="00225690">
      <w:pPr>
        <w:pStyle w:val="SingleTxt"/>
        <w:spacing w:after="0" w:line="120" w:lineRule="exact"/>
        <w:rPr>
          <w:sz w:val="10"/>
        </w:rPr>
      </w:pPr>
    </w:p>
    <w:p w14:paraId="26646795" w14:textId="381C1D96" w:rsidR="008B04B0" w:rsidRDefault="008B04B0" w:rsidP="00225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Цели в области устойчивого развития </w:t>
      </w:r>
    </w:p>
    <w:p w14:paraId="29A7DE3B" w14:textId="28055600" w:rsidR="00225690" w:rsidRPr="00225690" w:rsidRDefault="00225690" w:rsidP="00225690">
      <w:pPr>
        <w:pStyle w:val="SingleTxt"/>
        <w:spacing w:after="0" w:line="120" w:lineRule="exact"/>
        <w:rPr>
          <w:sz w:val="10"/>
        </w:rPr>
      </w:pPr>
    </w:p>
    <w:p w14:paraId="74E682F0" w14:textId="77777777" w:rsidR="008B04B0" w:rsidRDefault="008B04B0" w:rsidP="008B04B0">
      <w:pPr>
        <w:pStyle w:val="SingleTxt"/>
      </w:pPr>
      <w:r>
        <w:t>7.</w:t>
      </w:r>
      <w:r>
        <w:tab/>
        <w:t>Комитет с удовлетворением отмечает международную поддержку целей в области устойчивого развития и призывает к обеспечению де-юре и де-факто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 Комитет напоминает о важном значении цели 5 и всестороннего учета принципов равенства и недискриминации во всех 17 целях. Он настоятельно призывает государство-участник признать женщин в качестве движущей силы устойчивого развития страны и принять в этой связи соответствующую политику и стратегии.</w:t>
      </w:r>
    </w:p>
    <w:p w14:paraId="4A3A19C9" w14:textId="5C01B8B1" w:rsidR="008B04B0" w:rsidRPr="00225690" w:rsidRDefault="008B04B0" w:rsidP="00225690">
      <w:pPr>
        <w:pStyle w:val="SingleTxt"/>
        <w:spacing w:after="0" w:line="120" w:lineRule="exact"/>
        <w:rPr>
          <w:sz w:val="10"/>
        </w:rPr>
      </w:pPr>
    </w:p>
    <w:p w14:paraId="49174C85" w14:textId="1DDF6B93" w:rsidR="00225690" w:rsidRPr="00225690" w:rsidRDefault="00225690" w:rsidP="00225690">
      <w:pPr>
        <w:pStyle w:val="SingleTxt"/>
        <w:spacing w:after="0" w:line="120" w:lineRule="exact"/>
        <w:rPr>
          <w:sz w:val="10"/>
        </w:rPr>
      </w:pPr>
    </w:p>
    <w:p w14:paraId="61F0C2D9" w14:textId="77777777" w:rsidR="00225690" w:rsidRDefault="00225690">
      <w:pPr>
        <w:spacing w:after="200" w:line="276" w:lineRule="auto"/>
        <w:rPr>
          <w:b/>
          <w:sz w:val="24"/>
        </w:rPr>
      </w:pPr>
      <w:r>
        <w:br w:type="page"/>
      </w:r>
    </w:p>
    <w:p w14:paraId="31FC23BD" w14:textId="19620F46" w:rsidR="008B04B0" w:rsidRDefault="00225690" w:rsidP="00225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B04B0">
        <w:tab/>
        <w:t>C.</w:t>
      </w:r>
      <w:r w:rsidR="008B04B0">
        <w:tab/>
        <w:t>Парламент</w:t>
      </w:r>
    </w:p>
    <w:p w14:paraId="4E3474E2" w14:textId="4D74EDC6" w:rsidR="00225690" w:rsidRPr="00225690" w:rsidRDefault="00225690" w:rsidP="00225690">
      <w:pPr>
        <w:pStyle w:val="SingleTxt"/>
        <w:spacing w:after="0" w:line="120" w:lineRule="exact"/>
        <w:rPr>
          <w:sz w:val="10"/>
        </w:rPr>
      </w:pPr>
    </w:p>
    <w:p w14:paraId="19D29F72" w14:textId="403B9C13" w:rsidR="00225690" w:rsidRPr="00225690" w:rsidRDefault="00225690" w:rsidP="00225690">
      <w:pPr>
        <w:pStyle w:val="SingleTxt"/>
        <w:spacing w:after="0" w:line="120" w:lineRule="exact"/>
        <w:rPr>
          <w:sz w:val="10"/>
        </w:rPr>
      </w:pPr>
    </w:p>
    <w:p w14:paraId="30F3DCD5" w14:textId="3355CD4C" w:rsidR="008B04B0" w:rsidRDefault="008B04B0" w:rsidP="008B04B0">
      <w:pPr>
        <w:pStyle w:val="SingleTxt"/>
        <w:rPr>
          <w:b/>
        </w:rPr>
      </w:pPr>
      <w:r>
        <w:t>8.</w:t>
      </w:r>
      <w:r>
        <w:tab/>
      </w:r>
      <w:r w:rsidRPr="00BC0671">
        <w:rPr>
          <w:b/>
        </w:rPr>
        <w:t>Комитет подчеркивает важнейшую роль законодательной власти в обеспечении полного выполнения Конвенции (см. заявление Комитета о его отношениях с парламентариями, принятое на его сорок пятой сессии в 2010</w:t>
      </w:r>
      <w:r w:rsidR="00BC2880">
        <w:rPr>
          <w:b/>
        </w:rPr>
        <w:t> </w:t>
      </w:r>
      <w:r w:rsidRPr="00BC0671">
        <w:rPr>
          <w:b/>
        </w:rPr>
        <w:t xml:space="preserve">году). Комитет предлагает парламенту в соответствии с его мандатом предпринять необходимые шаги для выполнения настоящих заключительных замечаний в период с настоящего момента и до представления следующего периодического доклада. </w:t>
      </w:r>
    </w:p>
    <w:p w14:paraId="601A2A19" w14:textId="66CDDF6A" w:rsidR="00424A3D" w:rsidRPr="00424A3D" w:rsidRDefault="00424A3D" w:rsidP="00424A3D">
      <w:pPr>
        <w:pStyle w:val="SingleTxt"/>
        <w:spacing w:after="0" w:line="120" w:lineRule="exact"/>
        <w:rPr>
          <w:b/>
          <w:sz w:val="10"/>
        </w:rPr>
      </w:pPr>
    </w:p>
    <w:p w14:paraId="0300D9A7" w14:textId="52AA7D9C" w:rsidR="00424A3D" w:rsidRPr="00424A3D" w:rsidRDefault="00424A3D" w:rsidP="00424A3D">
      <w:pPr>
        <w:pStyle w:val="SingleTxt"/>
        <w:spacing w:after="0" w:line="120" w:lineRule="exact"/>
        <w:rPr>
          <w:b/>
          <w:sz w:val="10"/>
        </w:rPr>
      </w:pPr>
    </w:p>
    <w:p w14:paraId="166BA2AF" w14:textId="42C82A33" w:rsidR="008B04B0" w:rsidRDefault="008B04B0" w:rsidP="00424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Основные вопросы, вызывающие обеспокоенность, и</w:t>
      </w:r>
      <w:r w:rsidR="00424A3D">
        <w:rPr>
          <w:lang w:val="en-US"/>
        </w:rPr>
        <w:t> </w:t>
      </w:r>
      <w:r>
        <w:t xml:space="preserve">рекомендации </w:t>
      </w:r>
    </w:p>
    <w:p w14:paraId="6A871852" w14:textId="5BBCEEBC" w:rsidR="00424A3D" w:rsidRPr="00424A3D" w:rsidRDefault="00424A3D" w:rsidP="00424A3D">
      <w:pPr>
        <w:pStyle w:val="SingleTxt"/>
        <w:spacing w:after="0" w:line="120" w:lineRule="exact"/>
        <w:rPr>
          <w:sz w:val="10"/>
        </w:rPr>
      </w:pPr>
    </w:p>
    <w:p w14:paraId="7A1F802E" w14:textId="25855568" w:rsidR="00424A3D" w:rsidRPr="00424A3D" w:rsidRDefault="00424A3D" w:rsidP="00424A3D">
      <w:pPr>
        <w:pStyle w:val="SingleTxt"/>
        <w:spacing w:after="0" w:line="120" w:lineRule="exact"/>
        <w:rPr>
          <w:sz w:val="10"/>
        </w:rPr>
      </w:pPr>
    </w:p>
    <w:p w14:paraId="3A4CDC1B" w14:textId="05E90D05" w:rsidR="008B04B0" w:rsidRDefault="008B04B0" w:rsidP="00424A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Распростра</w:t>
      </w:r>
      <w:r w:rsidR="00424A3D">
        <w:t>нение информации о Конвенции</w:t>
      </w:r>
    </w:p>
    <w:p w14:paraId="58A527B8" w14:textId="52F1B2CE" w:rsidR="00424A3D" w:rsidRPr="00424A3D" w:rsidRDefault="00424A3D" w:rsidP="00424A3D">
      <w:pPr>
        <w:pStyle w:val="SingleTxt"/>
        <w:spacing w:after="0" w:line="120" w:lineRule="exact"/>
        <w:rPr>
          <w:sz w:val="10"/>
        </w:rPr>
      </w:pPr>
    </w:p>
    <w:p w14:paraId="31A4CB0E" w14:textId="77777777" w:rsidR="008B04B0" w:rsidRPr="002A6A5D" w:rsidRDefault="008B04B0" w:rsidP="008B04B0">
      <w:pPr>
        <w:pStyle w:val="SingleTxt"/>
      </w:pPr>
      <w:r>
        <w:t>9.</w:t>
      </w:r>
      <w:r>
        <w:tab/>
        <w:t>Комитет отмечает, что Министерство по делам женщин, Министерство юстиции и Министерство иностранных дел и торговли разместили на своих веб-сайтах информацию о Конвенции, включая периодические доклады государства-участника и заключительные замечания Комитета по этим докладам. Комитет далее отмечает, что как Институт судебных исследований, так и Юридическое общество Новой Зеландии организовали подготовку по вопросам национального законодательства в области прав человека и международных документов в области прав человека для сотрудников судебных органов и юристов. Вместе с тем Комитет отмечает, что информация о Конвенции и Факультативном протоколе не получила должного распространения в государстве-участнике, о чем свидетельствует отсутствие прямых ссылок на Конвенцию в решениях судебных органов и отсутствие сообщений, касающихся государства-участника, которые в соответствии с Факультативным протоколом представляются Комитету с помощью процедуры рассмотрения жалоб. Комитет также обеспокоен очевидным отсутствием осведомленности женщин о своих правах согласно Конвенции. Кроме того, он обеспокоен недостаточным уровнем поддержки, предоставляемой организациям гражданского общества, которые взаимодействуют с Комитетом, и сокращением постоянного взаимодействия государства-участника с женскими организациями гражданского общества.</w:t>
      </w:r>
    </w:p>
    <w:p w14:paraId="1A0EAA5C" w14:textId="77777777" w:rsidR="008B04B0" w:rsidRPr="004F4F2B" w:rsidRDefault="008B04B0" w:rsidP="008B04B0">
      <w:pPr>
        <w:pStyle w:val="SingleTxt"/>
        <w:rPr>
          <w:b/>
        </w:rPr>
      </w:pPr>
      <w:r>
        <w:t>10.</w:t>
      </w:r>
      <w:r>
        <w:tab/>
      </w:r>
      <w:r w:rsidRPr="004F4F2B">
        <w:rPr>
          <w:b/>
        </w:rPr>
        <w:t>Комитет рекомендует государству-участнику:</w:t>
      </w:r>
    </w:p>
    <w:p w14:paraId="3FAA4FD5" w14:textId="24A27D67" w:rsidR="008B04B0" w:rsidRPr="004F4F2B" w:rsidRDefault="00630AB6" w:rsidP="008B04B0">
      <w:pPr>
        <w:pStyle w:val="SingleTxt"/>
        <w:rPr>
          <w:b/>
          <w:bCs/>
        </w:rPr>
      </w:pPr>
      <w:r>
        <w:tab/>
      </w:r>
      <w:r w:rsidR="008B04B0">
        <w:t>а)</w:t>
      </w:r>
      <w:r>
        <w:tab/>
      </w:r>
      <w:r w:rsidR="008B04B0" w:rsidRPr="004F4F2B">
        <w:rPr>
          <w:b/>
        </w:rPr>
        <w:t>продолжать повышать уровень осведомленности женщин о своих правах в соответствии с Конвенцией и о процедурах, предусмотренных Факультативным протоколом, уделяя особое внимание концепции фактического равенства;</w:t>
      </w:r>
    </w:p>
    <w:p w14:paraId="03C57201" w14:textId="2391E557" w:rsidR="008B04B0" w:rsidRPr="00603434" w:rsidRDefault="00630AB6" w:rsidP="008B04B0">
      <w:pPr>
        <w:pStyle w:val="SingleTxt"/>
        <w:rPr>
          <w:b/>
          <w:bCs/>
        </w:rPr>
      </w:pPr>
      <w:r>
        <w:tab/>
      </w:r>
      <w:r w:rsidR="008B04B0">
        <w:t>b)</w:t>
      </w:r>
      <w:r>
        <w:tab/>
      </w:r>
      <w:r w:rsidR="008B04B0" w:rsidRPr="00603434">
        <w:rPr>
          <w:b/>
        </w:rPr>
        <w:t>обеспечить, чтобы Конвенция, правовая практика Комитета в соответствии с Факультативным протоколом, а также его общие рекомендации входили в обязательную программу подготовки работников судебных и правоохранительных органов, юристов, социальных работников, медицинского персонала и других соответствующих специалистов;</w:t>
      </w:r>
    </w:p>
    <w:p w14:paraId="48B338C0" w14:textId="2F180982" w:rsidR="008B04B0" w:rsidRDefault="00630AB6" w:rsidP="008B04B0">
      <w:pPr>
        <w:pStyle w:val="SingleTxt"/>
        <w:rPr>
          <w:b/>
        </w:rPr>
      </w:pPr>
      <w:r>
        <w:tab/>
      </w:r>
      <w:r w:rsidR="008B04B0">
        <w:t>c)</w:t>
      </w:r>
      <w:r w:rsidR="008B04B0">
        <w:tab/>
      </w:r>
      <w:r w:rsidR="008B04B0" w:rsidRPr="00603434">
        <w:rPr>
          <w:b/>
        </w:rPr>
        <w:t xml:space="preserve">укреплять сотрудничество и партнерские связи, в том числе путем предоставления финансовой и иной поддержки организациям гражданского общества, оказывающим помощь женщинам. </w:t>
      </w:r>
    </w:p>
    <w:p w14:paraId="48317DF8" w14:textId="2DBA6059" w:rsidR="00630AB6" w:rsidRPr="00630AB6" w:rsidRDefault="00630AB6" w:rsidP="00630AB6">
      <w:pPr>
        <w:pStyle w:val="SingleTxt"/>
        <w:spacing w:after="0" w:line="120" w:lineRule="exact"/>
        <w:rPr>
          <w:b/>
          <w:sz w:val="10"/>
        </w:rPr>
      </w:pPr>
    </w:p>
    <w:p w14:paraId="1E94F3EB" w14:textId="72BC09E4" w:rsidR="008B04B0" w:rsidRDefault="008B04B0" w:rsidP="00630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Определение равенства и недискриминации </w:t>
      </w:r>
    </w:p>
    <w:p w14:paraId="32D47234" w14:textId="1B2E10D5" w:rsidR="00630AB6" w:rsidRPr="00630AB6" w:rsidRDefault="00630AB6" w:rsidP="00630AB6">
      <w:pPr>
        <w:pStyle w:val="SingleTxt"/>
        <w:spacing w:after="0" w:line="120" w:lineRule="exact"/>
        <w:rPr>
          <w:sz w:val="10"/>
        </w:rPr>
      </w:pPr>
    </w:p>
    <w:p w14:paraId="535E53DD" w14:textId="4F5320B2" w:rsidR="008B04B0" w:rsidRPr="002A6A5D" w:rsidRDefault="00630AB6" w:rsidP="008B04B0">
      <w:pPr>
        <w:pStyle w:val="SingleTxt"/>
      </w:pPr>
      <w:r>
        <w:t>11.</w:t>
      </w:r>
      <w:r>
        <w:tab/>
      </w:r>
      <w:r w:rsidR="008B04B0">
        <w:t>Комитет отмечает, что согласно новозеландскому Закону о билле о правах 1990 года (разд. 19 (пункт 1)) и Закону о правах человека 1993 года (раздел 21 (пункт 1) а)) дискриминация по признаку пола в общественной и частной сферах, в том числе скрытая дискриминация, запрещена. Вместе с тем Комитет обеспокоен тем, что законодательство государства-участника о дискриминации в отношении женщин не в полной мере соответствует положениям статей 1 и 2 Конвенции. Комитет также выражает беспокойство по поводу того, что:</w:t>
      </w:r>
    </w:p>
    <w:p w14:paraId="64C428CA" w14:textId="30B0CF3C" w:rsidR="008B04B0" w:rsidRPr="002A6A5D" w:rsidRDefault="00AD7027" w:rsidP="008B04B0">
      <w:pPr>
        <w:pStyle w:val="SingleTxt"/>
      </w:pPr>
      <w:r>
        <w:tab/>
      </w:r>
      <w:r w:rsidR="008B04B0">
        <w:t>а)</w:t>
      </w:r>
      <w:r>
        <w:tab/>
      </w:r>
      <w:r w:rsidR="008B04B0">
        <w:t>дискриминация по признаку гендерной идентичности, гендерного самовыражения и половым признакам конкретно не запрещена;</w:t>
      </w:r>
    </w:p>
    <w:p w14:paraId="545DAF9D" w14:textId="1BB5BDE2" w:rsidR="008B04B0" w:rsidRPr="002A6A5D" w:rsidRDefault="00AD7027" w:rsidP="008B04B0">
      <w:pPr>
        <w:pStyle w:val="SingleTxt"/>
      </w:pPr>
      <w:r>
        <w:tab/>
        <w:t>b)</w:t>
      </w:r>
      <w:r>
        <w:tab/>
      </w:r>
      <w:r w:rsidR="008B04B0">
        <w:t>представление заявления о гендерных последствиях требуется лишь при подготовке программных документов, представляемых в Комитет социального благополучия кабинета министров, и заявления о раскрытии информации не являются обязательными для всех правительственных законопроектов и существенных дополнительных распоряжений;</w:t>
      </w:r>
    </w:p>
    <w:p w14:paraId="2926F8E5" w14:textId="473DC233" w:rsidR="008B04B0" w:rsidRPr="002A6A5D" w:rsidRDefault="00AD7027" w:rsidP="008B04B0">
      <w:pPr>
        <w:pStyle w:val="SingleTxt"/>
      </w:pPr>
      <w:r>
        <w:tab/>
        <w:t>c)</w:t>
      </w:r>
      <w:r>
        <w:tab/>
      </w:r>
      <w:r w:rsidR="008B04B0">
        <w:t xml:space="preserve">законодательство, принятое в государстве-участнике, в целом с гендерной точки зрения является нейтральным, а нейтральные в гендерном отношении формулировки, возможно, не отражают специфический характер гендерной дискриминации, что приводит к ненадлежащей защите женщин от прямой и скрытой дискриминации и препятствует достижению фактического равенства между женщинами и мужчинами. </w:t>
      </w:r>
    </w:p>
    <w:p w14:paraId="57274162" w14:textId="07B63F2E" w:rsidR="008B04B0" w:rsidRPr="008C68D4" w:rsidRDefault="00AD7027" w:rsidP="008B04B0">
      <w:pPr>
        <w:pStyle w:val="SingleTxt"/>
        <w:rPr>
          <w:b/>
          <w:bCs/>
        </w:rPr>
      </w:pPr>
      <w:r>
        <w:t>12.</w:t>
      </w:r>
      <w:r>
        <w:tab/>
      </w:r>
      <w:r w:rsidR="008B04B0" w:rsidRPr="008C68D4">
        <w:rPr>
          <w:b/>
        </w:rPr>
        <w:t>Ссылаясь на свою общую рекомендацию № 28 (2010), касающуюся основных обязательств государств-участников в соответствии со статьей 2 Конвенции, и обращая внимание государства-участника на задачу 5.1 целей в области устойчивого развития о необходимости повсеместно ликвидировать все формы дискриминации в отношении всех женщин и девочек, Комитет рекомендует государству-участнику:</w:t>
      </w:r>
    </w:p>
    <w:p w14:paraId="18041E6D" w14:textId="2A4FD50C" w:rsidR="008B04B0" w:rsidRPr="008C68D4" w:rsidRDefault="00AD7027" w:rsidP="008B04B0">
      <w:pPr>
        <w:pStyle w:val="SingleTxt"/>
        <w:rPr>
          <w:b/>
          <w:bCs/>
        </w:rPr>
      </w:pPr>
      <w:r>
        <w:tab/>
      </w:r>
      <w:r w:rsidR="008B04B0">
        <w:t>а)</w:t>
      </w:r>
      <w:r>
        <w:tab/>
      </w:r>
      <w:r w:rsidR="008B04B0" w:rsidRPr="008C68D4">
        <w:rPr>
          <w:b/>
        </w:rPr>
        <w:t>внести поправки в раздел 21 (пункт 1) а)) Закона о правах человека 1993 года, с тем чтобы включить конкретные положения, запрещающие дискриминацию по признаку гендерной идентичности, гендерного самовыражения и половым признакам;</w:t>
      </w:r>
    </w:p>
    <w:p w14:paraId="710FFC8F" w14:textId="2AC71D14" w:rsidR="008B04B0" w:rsidRPr="00FC538F" w:rsidRDefault="00AD7027" w:rsidP="008B04B0">
      <w:pPr>
        <w:pStyle w:val="SingleTxt"/>
        <w:rPr>
          <w:b/>
          <w:bCs/>
        </w:rPr>
      </w:pPr>
      <w:r>
        <w:tab/>
      </w:r>
      <w:r w:rsidR="008B04B0">
        <w:t>b)</w:t>
      </w:r>
      <w:r>
        <w:tab/>
      </w:r>
      <w:r w:rsidR="008B04B0" w:rsidRPr="00FC538F">
        <w:rPr>
          <w:b/>
        </w:rPr>
        <w:t xml:space="preserve">принять законопроект для обеспечения того, чтобы заявления о раскрытии информации стали обязательным требованием для всех правительственных законопроектов и документов, и для обеспечения их соответствия международным стандартам в области прав человека; </w:t>
      </w:r>
    </w:p>
    <w:p w14:paraId="0D58E64D" w14:textId="6817B389" w:rsidR="008B04B0" w:rsidRDefault="008B04B0" w:rsidP="008B04B0">
      <w:pPr>
        <w:pStyle w:val="SingleTxt"/>
        <w:rPr>
          <w:b/>
        </w:rPr>
      </w:pPr>
      <w:r>
        <w:tab/>
      </w:r>
      <w:r>
        <w:rPr>
          <w:lang w:val="en-US"/>
        </w:rPr>
        <w:t>c</w:t>
      </w:r>
      <w:r w:rsidRPr="008C68D4">
        <w:t>)</w:t>
      </w:r>
      <w:r w:rsidR="00AD7027">
        <w:tab/>
      </w:r>
      <w:r w:rsidRPr="00FC538F">
        <w:rPr>
          <w:b/>
        </w:rPr>
        <w:t>включить в свое законодательство, стратегии и программы, в соответствии с пунктом 5 общей рекомендации Комитета № 28, вместо нейтрального в гендерном отношении подхода, подход, основанный на учете гендерных факторов</w:t>
      </w:r>
      <w:r>
        <w:rPr>
          <w:b/>
        </w:rPr>
        <w:t>.</w:t>
      </w:r>
    </w:p>
    <w:p w14:paraId="704F7EB6" w14:textId="34BCF432" w:rsidR="00AD7027" w:rsidRPr="00AD7027" w:rsidRDefault="00AD7027" w:rsidP="00AD7027">
      <w:pPr>
        <w:pStyle w:val="SingleTxt"/>
        <w:spacing w:after="0" w:line="120" w:lineRule="exact"/>
        <w:rPr>
          <w:b/>
          <w:sz w:val="10"/>
        </w:rPr>
      </w:pPr>
    </w:p>
    <w:p w14:paraId="2687BE43" w14:textId="2D29446A" w:rsidR="008B04B0" w:rsidRDefault="008B04B0" w:rsidP="00AD70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027">
        <w:t>Доступ к правосудию</w:t>
      </w:r>
    </w:p>
    <w:p w14:paraId="23326D6D" w14:textId="609CBD0C" w:rsidR="00AD7027" w:rsidRPr="00AD7027" w:rsidRDefault="00AD7027" w:rsidP="00AD7027">
      <w:pPr>
        <w:pStyle w:val="SingleTxt"/>
        <w:spacing w:after="0" w:line="120" w:lineRule="exact"/>
        <w:rPr>
          <w:sz w:val="10"/>
        </w:rPr>
      </w:pPr>
    </w:p>
    <w:p w14:paraId="409AE336" w14:textId="77777777" w:rsidR="008B04B0" w:rsidRPr="002A6A5D" w:rsidRDefault="008B04B0" w:rsidP="008B04B0">
      <w:pPr>
        <w:pStyle w:val="SingleTxt"/>
      </w:pPr>
      <w:r>
        <w:t>13.</w:t>
      </w:r>
      <w:r>
        <w:tab/>
        <w:t>Комитет по-прежнему обеспокоен сохранением многочисленных барьеров, затрудняющих доступ женщин и девочек, в особенности сельских женщин, женщин майори, женщин тихоокеанских народностей, азиатских женщин, женщин из числа мигрантов и беженцев, женщин-инвалидов, лесбиянок, бисексуалов и транссексуалов и лиц из числа интерсексуалов, к правосудию и эффективным средствам правовой защиты, в случае нарушения их прав. В частности, Комитет с обеспокоенностью отмечает следующее:</w:t>
      </w:r>
      <w:bookmarkStart w:id="1" w:name="_Hlk523382795"/>
      <w:bookmarkEnd w:id="1"/>
    </w:p>
    <w:p w14:paraId="110B646A" w14:textId="2DBA0F43" w:rsidR="008B04B0" w:rsidRPr="002A6A5D" w:rsidRDefault="007B0F62" w:rsidP="008B04B0">
      <w:pPr>
        <w:pStyle w:val="SingleTxt"/>
      </w:pPr>
      <w:r>
        <w:tab/>
      </w:r>
      <w:r w:rsidR="008B04B0">
        <w:t>а)</w:t>
      </w:r>
      <w:r>
        <w:tab/>
      </w:r>
      <w:r w:rsidR="008B04B0">
        <w:t>сокращение объема правовой помощи, поскольку число адвокатов, оказывающих правовую помощь, начиная с 2011 года неуклонно снижается;</w:t>
      </w:r>
    </w:p>
    <w:p w14:paraId="7D17E928" w14:textId="48CAC668" w:rsidR="008B04B0" w:rsidRPr="002A6A5D" w:rsidRDefault="007B0F62" w:rsidP="008B04B0">
      <w:pPr>
        <w:pStyle w:val="SingleTxt"/>
      </w:pPr>
      <w:r>
        <w:tab/>
      </w:r>
      <w:r w:rsidR="008B04B0">
        <w:t>b)</w:t>
      </w:r>
      <w:r>
        <w:tab/>
      </w:r>
      <w:r w:rsidR="008B04B0">
        <w:t>низкий уровень юридической грамотности среди женщин и ограниченный доступ женщин к информации об имеющихся средствах правовой защиты, в частности среди сельских женщин и женщин-мигрантов;</w:t>
      </w:r>
    </w:p>
    <w:p w14:paraId="19589BA5" w14:textId="42846C5D" w:rsidR="008B04B0" w:rsidRPr="002A6A5D" w:rsidRDefault="007B0F62" w:rsidP="008B04B0">
      <w:pPr>
        <w:pStyle w:val="SingleTxt"/>
      </w:pPr>
      <w:r>
        <w:tab/>
      </w:r>
      <w:r w:rsidR="008B04B0">
        <w:t>c)</w:t>
      </w:r>
      <w:r>
        <w:tab/>
      </w:r>
      <w:r w:rsidR="008B04B0">
        <w:t xml:space="preserve">недостаточный учет гендерных факторов внутри судебной системы, в частности в судах по семейным делам, включая негативное отношение судей и работников правоохранительных органов к женщинам, заявляющим о нарушениях их прав. </w:t>
      </w:r>
    </w:p>
    <w:p w14:paraId="7757C302" w14:textId="77777777" w:rsidR="008B04B0" w:rsidRPr="00FC538F" w:rsidRDefault="008B04B0" w:rsidP="008B04B0">
      <w:pPr>
        <w:pStyle w:val="SingleTxt"/>
        <w:rPr>
          <w:b/>
          <w:bCs/>
        </w:rPr>
      </w:pPr>
      <w:r>
        <w:t>14.</w:t>
      </w:r>
      <w:r>
        <w:tab/>
      </w:r>
      <w:r w:rsidRPr="00FC538F">
        <w:rPr>
          <w:b/>
        </w:rPr>
        <w:t>Ссылаясь на свою общую рекомендацию № 33 (2015), касающуюся доступа женщин к правосудию, Комитет рекомендует государству-участнику:</w:t>
      </w:r>
    </w:p>
    <w:p w14:paraId="7CE11B29" w14:textId="4B9B86FD" w:rsidR="008B04B0" w:rsidRPr="00FC538F" w:rsidRDefault="007B0F62" w:rsidP="008B04B0">
      <w:pPr>
        <w:pStyle w:val="SingleTxt"/>
        <w:rPr>
          <w:b/>
        </w:rPr>
      </w:pPr>
      <w:r>
        <w:tab/>
      </w:r>
      <w:r w:rsidR="008B04B0">
        <w:t>а)</w:t>
      </w:r>
      <w:r>
        <w:tab/>
      </w:r>
      <w:r w:rsidR="008B04B0" w:rsidRPr="00FC538F">
        <w:rPr>
          <w:b/>
        </w:rPr>
        <w:t>увеличить объем юридической помощи для женщин, в частности женщин маори и женщин-мигрантов и женщин, принадлежащих к этническим меньшинствам, в том числе в судах по гражданским и семейным делам;</w:t>
      </w:r>
      <w:bookmarkStart w:id="2" w:name="_Hlk523311408"/>
      <w:bookmarkEnd w:id="2"/>
    </w:p>
    <w:p w14:paraId="62DBE269" w14:textId="2FBBD73B" w:rsidR="008B04B0" w:rsidRPr="00FC538F" w:rsidRDefault="007B0F62" w:rsidP="008B04B0">
      <w:pPr>
        <w:pStyle w:val="SingleTxt"/>
        <w:rPr>
          <w:b/>
          <w:bCs/>
        </w:rPr>
      </w:pPr>
      <w:r>
        <w:tab/>
      </w:r>
      <w:r w:rsidR="008B04B0">
        <w:t>b)</w:t>
      </w:r>
      <w:r>
        <w:tab/>
      </w:r>
      <w:r w:rsidR="008B04B0" w:rsidRPr="00FC538F">
        <w:rPr>
          <w:b/>
        </w:rPr>
        <w:t>распространять информацию, в частности в сельских и отдаленных районах, о средствах правовой защиты, доступных для женщин, чьи права были нарушены;</w:t>
      </w:r>
    </w:p>
    <w:p w14:paraId="2889D35A" w14:textId="07013C17" w:rsidR="008B04B0" w:rsidRDefault="007B0F62" w:rsidP="008B04B0">
      <w:pPr>
        <w:pStyle w:val="SingleTxt"/>
        <w:rPr>
          <w:b/>
        </w:rPr>
      </w:pPr>
      <w:r>
        <w:tab/>
      </w:r>
      <w:r w:rsidR="008B04B0">
        <w:t>c)</w:t>
      </w:r>
      <w:r>
        <w:tab/>
      </w:r>
      <w:r w:rsidR="008B04B0" w:rsidRPr="006A52B2">
        <w:rPr>
          <w:b/>
        </w:rPr>
        <w:t xml:space="preserve">повысить эффективность реагирования на гендерные факторы и учета гендерной проблематики среди работников судебных органов, в том числе путем увеличения числа женщин-судей и активизации систематического укрепления потенциала по вопросам Конвенции для судей, прокуроров, адвокатов, сотрудников полиции и других работников правоохранительных органов. </w:t>
      </w:r>
    </w:p>
    <w:p w14:paraId="556AEC36" w14:textId="01F4B3C1" w:rsidR="007B0F62" w:rsidRPr="007B0F62" w:rsidRDefault="007B0F62" w:rsidP="007B0F62">
      <w:pPr>
        <w:pStyle w:val="SingleTxt"/>
        <w:spacing w:after="0" w:line="120" w:lineRule="exact"/>
        <w:rPr>
          <w:b/>
          <w:sz w:val="10"/>
        </w:rPr>
      </w:pPr>
    </w:p>
    <w:p w14:paraId="4A7DEB2D" w14:textId="6565DD8E" w:rsidR="008B04B0" w:rsidRDefault="008B04B0" w:rsidP="007B0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Женщины и мир и безопасность </w:t>
      </w:r>
    </w:p>
    <w:p w14:paraId="0FF16EED" w14:textId="3C392183" w:rsidR="007B0F62" w:rsidRPr="007B0F62" w:rsidRDefault="007B0F62" w:rsidP="007B0F62">
      <w:pPr>
        <w:pStyle w:val="SingleTxt"/>
        <w:spacing w:after="0" w:line="120" w:lineRule="exact"/>
        <w:rPr>
          <w:sz w:val="10"/>
        </w:rPr>
      </w:pPr>
    </w:p>
    <w:p w14:paraId="5BB40220" w14:textId="10829375" w:rsidR="008B04B0" w:rsidRPr="002A6A5D" w:rsidRDefault="008B04B0" w:rsidP="008B04B0">
      <w:pPr>
        <w:pStyle w:val="SingleTxt"/>
        <w:rPr>
          <w:bCs/>
        </w:rPr>
      </w:pPr>
      <w:r>
        <w:t>15.</w:t>
      </w:r>
      <w:r>
        <w:tab/>
        <w:t xml:space="preserve">Комитет приветствует начало осуществления в 2015 году государством-участником национального плана действий по выполнению резолюции </w:t>
      </w:r>
      <w:hyperlink r:id="rId22" w:history="1">
        <w:r w:rsidRPr="00664C84">
          <w:rPr>
            <w:rStyle w:val="Hyperlink"/>
          </w:rPr>
          <w:t>1325 (2000)</w:t>
        </w:r>
      </w:hyperlink>
      <w:r>
        <w:t xml:space="preserve"> Совета Безопасности о женщинах и мире и безопасности на период 2015</w:t>
      </w:r>
      <w:r w:rsidR="007B0F62" w:rsidRPr="007B0F62">
        <w:t>–</w:t>
      </w:r>
      <w:r>
        <w:t>2019 годов. Кроме того, Комитет с удовлетворением отмечает тот факт, что новозеландская полиция  как и новозеландские силы обороны  активно осуществляют программы по расширению набора и удержанию на службе женщин, а также их продвижению на руководящие должности, что в конечном итоге приведет к увеличению числа женщин для миссий по поддержанию мира. Тем не менее Комитет выражает обеспокоенность по поводу отсутствия консультаций с женскими правозащитными организациями во время процесса разработки национального плана действий и выделения недостаточного объема ресурсов для осуществления национального плана действий.</w:t>
      </w:r>
    </w:p>
    <w:p w14:paraId="23C26B3B" w14:textId="77777777" w:rsidR="008B04B0" w:rsidRPr="002A6A5D" w:rsidRDefault="008B04B0" w:rsidP="008B04B0">
      <w:pPr>
        <w:pStyle w:val="SingleTxt"/>
        <w:rPr>
          <w:b/>
          <w:bCs/>
        </w:rPr>
      </w:pPr>
      <w:r>
        <w:t>16.</w:t>
      </w:r>
      <w:r>
        <w:tab/>
      </w:r>
      <w:r w:rsidRPr="001410EA">
        <w:rPr>
          <w:b/>
        </w:rPr>
        <w:t>Комитет рекомендует государству-участнику:</w:t>
      </w:r>
    </w:p>
    <w:p w14:paraId="74987598" w14:textId="6F26FF12" w:rsidR="008B04B0" w:rsidRPr="001410EA" w:rsidRDefault="007B0F62" w:rsidP="008B04B0">
      <w:pPr>
        <w:pStyle w:val="SingleTxt"/>
        <w:rPr>
          <w:b/>
          <w:bCs/>
        </w:rPr>
      </w:pPr>
      <w:r>
        <w:tab/>
      </w:r>
      <w:r w:rsidR="008B04B0">
        <w:t>а)</w:t>
      </w:r>
      <w:r>
        <w:tab/>
      </w:r>
      <w:r w:rsidR="008B04B0" w:rsidRPr="001410EA">
        <w:rPr>
          <w:b/>
        </w:rPr>
        <w:t xml:space="preserve">сохранять свою приверженность обеспечению того, чтобы соответствующие положения резолюции </w:t>
      </w:r>
      <w:hyperlink r:id="rId23" w:history="1">
        <w:bookmarkStart w:id="3" w:name="SCName"/>
        <w:r w:rsidR="008B04B0" w:rsidRPr="00664C84">
          <w:rPr>
            <w:rStyle w:val="Hyperlink"/>
            <w:b/>
          </w:rPr>
          <w:t>1325 (2000)</w:t>
        </w:r>
        <w:bookmarkEnd w:id="3"/>
      </w:hyperlink>
      <w:r w:rsidR="008B04B0" w:rsidRPr="001410EA">
        <w:rPr>
          <w:b/>
        </w:rPr>
        <w:t xml:space="preserve"> Совета Безопасности и последующих резолюций, касающихся женщин и мира и безопасности, эффективно выполнялись в странах, затронутых конфликтом, в том числе путем обеспечения того, чтобы национальный план действий способствовал значительному расширению участия женщин в мирных процессах;</w:t>
      </w:r>
    </w:p>
    <w:p w14:paraId="17E44D25" w14:textId="419CF508" w:rsidR="008B04B0" w:rsidRDefault="007B0F62" w:rsidP="008B04B0">
      <w:pPr>
        <w:pStyle w:val="SingleTxt"/>
        <w:rPr>
          <w:b/>
        </w:rPr>
      </w:pPr>
      <w:r>
        <w:tab/>
      </w:r>
      <w:r w:rsidR="008B04B0">
        <w:t>b)</w:t>
      </w:r>
      <w:r w:rsidR="008B04B0">
        <w:tab/>
      </w:r>
      <w:r w:rsidR="008B04B0" w:rsidRPr="00B22C8A">
        <w:rPr>
          <w:b/>
        </w:rPr>
        <w:t>выделить достаточные ресурсы для осуществления национального плана действий и активизировать консультации с женскими правозащитными организациями в целях поощрения значимого участия женщин на всех этапах повестки дня по вопросу о женщинах и мире и безопасности.</w:t>
      </w:r>
    </w:p>
    <w:p w14:paraId="3D710EB8" w14:textId="354E8861" w:rsidR="007B0F62" w:rsidRPr="007B0F62" w:rsidRDefault="007B0F62" w:rsidP="007B0F62">
      <w:pPr>
        <w:pStyle w:val="SingleTxt"/>
        <w:spacing w:after="0" w:line="120" w:lineRule="exact"/>
        <w:rPr>
          <w:b/>
          <w:sz w:val="10"/>
        </w:rPr>
      </w:pPr>
    </w:p>
    <w:p w14:paraId="2C7040E9" w14:textId="4F6CCAF7" w:rsidR="008B04B0" w:rsidRDefault="008B04B0" w:rsidP="007B0F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Национальный механизм по улучшению положения женщин </w:t>
      </w:r>
    </w:p>
    <w:p w14:paraId="1BB3506E" w14:textId="4921589D" w:rsidR="007B0F62" w:rsidRPr="007B0F62" w:rsidRDefault="007B0F62" w:rsidP="007B0F62">
      <w:pPr>
        <w:pStyle w:val="SingleTxt"/>
        <w:spacing w:after="0" w:line="120" w:lineRule="exact"/>
        <w:rPr>
          <w:sz w:val="10"/>
        </w:rPr>
      </w:pPr>
    </w:p>
    <w:p w14:paraId="6976F486" w14:textId="0DC00714" w:rsidR="008B04B0" w:rsidRDefault="008B04B0" w:rsidP="008B04B0">
      <w:pPr>
        <w:pStyle w:val="SingleTxt"/>
      </w:pPr>
      <w:r>
        <w:t>17.</w:t>
      </w:r>
      <w:r>
        <w:tab/>
        <w:t>Комитет обеспокоен отсутствием национального плана действий или стратегии по улучшению положения женщин, учитывая то, что предыдущий план не обновлялся с 2009 года, и полным отсутствием методов составления бюджета с учетом гендерных факторов в государстве-участнике.</w:t>
      </w:r>
    </w:p>
    <w:p w14:paraId="138F9645" w14:textId="14096E15" w:rsidR="008B04B0" w:rsidRPr="00B22C8A" w:rsidRDefault="008B04B0" w:rsidP="008B04B0">
      <w:pPr>
        <w:pStyle w:val="SingleTxt"/>
        <w:rPr>
          <w:b/>
          <w:bCs/>
        </w:rPr>
      </w:pPr>
      <w:r>
        <w:t>18.</w:t>
      </w:r>
      <w:r>
        <w:tab/>
      </w:r>
      <w:r w:rsidRPr="00B22C8A">
        <w:rPr>
          <w:b/>
        </w:rPr>
        <w:t>Комитет рекомендует государству-участнику:</w:t>
      </w:r>
    </w:p>
    <w:p w14:paraId="06848387" w14:textId="5254882D" w:rsidR="008B04B0" w:rsidRPr="00B22C8A" w:rsidRDefault="00501862" w:rsidP="008B04B0">
      <w:pPr>
        <w:pStyle w:val="SingleTxt"/>
        <w:rPr>
          <w:b/>
          <w:bCs/>
        </w:rPr>
      </w:pPr>
      <w:r>
        <w:tab/>
      </w:r>
      <w:r w:rsidR="008B04B0">
        <w:t>а)</w:t>
      </w:r>
      <w:r>
        <w:tab/>
      </w:r>
      <w:r w:rsidR="008B04B0" w:rsidRPr="00B22C8A">
        <w:rPr>
          <w:b/>
        </w:rPr>
        <w:t>принять и надлежащим образом финансировать осуществление национального плана действий по улучшению положения женщин и усилить роль, эффективность и результативность деятельности Министерства по делам женщин путем выделения достаточных людских, технических и финансовых ресурсов, с тем чтобы Министерство могло выполнять свой мандат по поощрению и защите прав женщин;</w:t>
      </w:r>
    </w:p>
    <w:p w14:paraId="24B676D6" w14:textId="3D537EF9" w:rsidR="008B04B0" w:rsidRDefault="00501862" w:rsidP="008B04B0">
      <w:pPr>
        <w:pStyle w:val="SingleTxt"/>
      </w:pPr>
      <w:r>
        <w:tab/>
        <w:t>b)</w:t>
      </w:r>
      <w:r>
        <w:tab/>
      </w:r>
      <w:r w:rsidR="008B04B0" w:rsidRPr="00B22C8A">
        <w:rPr>
          <w:b/>
        </w:rPr>
        <w:t>внедрить методы составления бюджета с учетом гендерных факторов для обеспечения того, чтобы во всех правительственных учреждениях</w:t>
      </w:r>
      <w:r w:rsidR="008B04B0" w:rsidRPr="00B22C8A" w:rsidDel="00B22C8A">
        <w:rPr>
          <w:b/>
        </w:rPr>
        <w:t xml:space="preserve"> </w:t>
      </w:r>
      <w:r w:rsidR="008B04B0">
        <w:rPr>
          <w:b/>
        </w:rPr>
        <w:t xml:space="preserve">в процессах </w:t>
      </w:r>
      <w:r w:rsidR="008B04B0" w:rsidRPr="00B22C8A">
        <w:rPr>
          <w:b/>
        </w:rPr>
        <w:t>разработки законодательства и политики</w:t>
      </w:r>
      <w:r w:rsidR="008B04B0" w:rsidRPr="00B22C8A" w:rsidDel="00B22C8A">
        <w:rPr>
          <w:b/>
        </w:rPr>
        <w:t xml:space="preserve"> </w:t>
      </w:r>
      <w:r w:rsidR="008B04B0" w:rsidRPr="00B22C8A">
        <w:rPr>
          <w:b/>
        </w:rPr>
        <w:t>учитывал</w:t>
      </w:r>
      <w:r w:rsidR="008B04B0">
        <w:rPr>
          <w:b/>
        </w:rPr>
        <w:t>а</w:t>
      </w:r>
      <w:r w:rsidR="008B04B0" w:rsidRPr="00B22C8A">
        <w:rPr>
          <w:b/>
        </w:rPr>
        <w:t xml:space="preserve">сь </w:t>
      </w:r>
      <w:r w:rsidR="008B04B0">
        <w:rPr>
          <w:b/>
        </w:rPr>
        <w:t>гендерная проблематика</w:t>
      </w:r>
      <w:r w:rsidR="008B04B0" w:rsidRPr="00B22C8A">
        <w:rPr>
          <w:b/>
        </w:rPr>
        <w:t>.</w:t>
      </w:r>
      <w:r w:rsidR="008B04B0">
        <w:t xml:space="preserve"> </w:t>
      </w:r>
    </w:p>
    <w:p w14:paraId="473ADE50" w14:textId="386F8452" w:rsidR="00501862" w:rsidRPr="00501862" w:rsidRDefault="00501862" w:rsidP="00501862">
      <w:pPr>
        <w:pStyle w:val="SingleTxt"/>
        <w:spacing w:after="0" w:line="120" w:lineRule="exact"/>
        <w:rPr>
          <w:sz w:val="10"/>
        </w:rPr>
      </w:pPr>
    </w:p>
    <w:p w14:paraId="06F9AA57" w14:textId="572D81D1" w:rsidR="008B04B0" w:rsidRDefault="008B04B0" w:rsidP="00501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Национальное правозащитное учреждение </w:t>
      </w:r>
    </w:p>
    <w:p w14:paraId="07DA1A9A" w14:textId="553B3A18" w:rsidR="00501862" w:rsidRPr="00501862" w:rsidRDefault="00501862" w:rsidP="00501862">
      <w:pPr>
        <w:pStyle w:val="SingleTxt"/>
        <w:spacing w:after="0" w:line="120" w:lineRule="exact"/>
        <w:rPr>
          <w:sz w:val="10"/>
        </w:rPr>
      </w:pPr>
    </w:p>
    <w:p w14:paraId="330880BB" w14:textId="48F03631" w:rsidR="008B04B0" w:rsidRPr="002A6A5D" w:rsidRDefault="00501862" w:rsidP="008B04B0">
      <w:pPr>
        <w:pStyle w:val="SingleTxt"/>
      </w:pPr>
      <w:r>
        <w:t>19.</w:t>
      </w:r>
      <w:r>
        <w:tab/>
      </w:r>
      <w:r w:rsidR="008B04B0">
        <w:t>Комитет отмечает важную работу, проделанную Комиссией по правам человека Новой Зеландии. Вместе с тем он обеспокоен тем, что в последние несколько лет Комиссия страдает от постоянного сокращения финансовых, технических и людских ресурсов и что в настоящее время ее мандат ограничен в соответствии с разделом 392 Закона об иммиграции 2009 года, который не разрешает Комиссии принимать жалобы мигрантов.</w:t>
      </w:r>
    </w:p>
    <w:p w14:paraId="683F5774" w14:textId="4CE4F5FE" w:rsidR="008B04B0" w:rsidRDefault="00501862" w:rsidP="008B04B0">
      <w:pPr>
        <w:pStyle w:val="SingleTxt"/>
        <w:rPr>
          <w:b/>
        </w:rPr>
      </w:pPr>
      <w:r>
        <w:t>20.</w:t>
      </w:r>
      <w:r>
        <w:tab/>
      </w:r>
      <w:r w:rsidR="008B04B0" w:rsidRPr="00585A8C">
        <w:rPr>
          <w:b/>
        </w:rPr>
        <w:t>Комитет повторяет свою рекомендацию (</w:t>
      </w:r>
      <w:hyperlink r:id="rId24" w:history="1">
        <w:r w:rsidR="008B04B0" w:rsidRPr="00664C84">
          <w:rPr>
            <w:rStyle w:val="Hyperlink"/>
            <w:b/>
          </w:rPr>
          <w:t>CEDAW/C/NZL/CO/7</w:t>
        </w:r>
      </w:hyperlink>
      <w:r w:rsidR="008B04B0" w:rsidRPr="00585A8C">
        <w:rPr>
          <w:b/>
        </w:rPr>
        <w:t>, пункт</w:t>
      </w:r>
      <w:r>
        <w:rPr>
          <w:b/>
          <w:lang w:val="en-US"/>
        </w:rPr>
        <w:t> </w:t>
      </w:r>
      <w:r w:rsidR="008B04B0" w:rsidRPr="00585A8C">
        <w:rPr>
          <w:b/>
        </w:rPr>
        <w:t xml:space="preserve">16 c)) государству-участнику о необходимости обеспечить Комиссию по правам человека </w:t>
      </w:r>
      <w:r w:rsidR="008B04B0">
        <w:rPr>
          <w:b/>
        </w:rPr>
        <w:t xml:space="preserve">Новой Зеландии </w:t>
      </w:r>
      <w:r w:rsidR="008B04B0" w:rsidRPr="00585A8C">
        <w:rPr>
          <w:b/>
        </w:rPr>
        <w:t>достаточными людскими, техническими и финансовыми ресурсами для выполнения ею своего мандата по поощрению и защите прав женщин. Он далее рекомендует государству-участнику отменить статью 392 Закона об иммиграции 2009 года в целях обеспечения Комиссии полномочиями на получение и рассмотрение жалоб мигрантов в соответствии с рекомендациями Глобального альянса национальных правозащитных учреждений, сформулированными в 2016 году.</w:t>
      </w:r>
    </w:p>
    <w:p w14:paraId="3B987FD1" w14:textId="646C458C" w:rsidR="00501862" w:rsidRPr="00501862" w:rsidRDefault="00501862" w:rsidP="00501862">
      <w:pPr>
        <w:pStyle w:val="SingleTxt"/>
        <w:spacing w:after="0" w:line="120" w:lineRule="exact"/>
        <w:rPr>
          <w:b/>
          <w:sz w:val="10"/>
        </w:rPr>
      </w:pPr>
    </w:p>
    <w:p w14:paraId="610AEEF4" w14:textId="416C3837" w:rsidR="008B04B0" w:rsidRDefault="008B04B0" w:rsidP="00501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Временные специальные меры</w:t>
      </w:r>
    </w:p>
    <w:p w14:paraId="6FB55C7C" w14:textId="1BA9FE54" w:rsidR="00501862" w:rsidRPr="00501862" w:rsidRDefault="00501862" w:rsidP="00501862">
      <w:pPr>
        <w:pStyle w:val="SingleTxt"/>
        <w:spacing w:after="0" w:line="120" w:lineRule="exact"/>
        <w:rPr>
          <w:sz w:val="10"/>
        </w:rPr>
      </w:pPr>
    </w:p>
    <w:p w14:paraId="7B7E0378" w14:textId="092DFFDC" w:rsidR="008B04B0" w:rsidRPr="002A6A5D" w:rsidRDefault="008B04B0" w:rsidP="008B04B0">
      <w:pPr>
        <w:pStyle w:val="SingleTxt"/>
      </w:pPr>
      <w:r>
        <w:t>21.</w:t>
      </w:r>
      <w:r>
        <w:tab/>
        <w:t>Комитет приветствует прогресс государства-участника в достижении его цели по обеспечению гендерного паритета в государственных советах и комитетах, а также готовность делегации государства-участника рассматривать позитивные действия в качестве инструмента для ускорения достижения фактического равенства между женщинами и мужчинами, в том числе в ча</w:t>
      </w:r>
      <w:r w:rsidR="001E6498">
        <w:t>стном секторе.</w:t>
      </w:r>
    </w:p>
    <w:p w14:paraId="2C5803F6" w14:textId="70931C3D" w:rsidR="008B04B0" w:rsidRDefault="008B04B0" w:rsidP="008B04B0">
      <w:pPr>
        <w:pStyle w:val="SingleTxt"/>
        <w:rPr>
          <w:b/>
        </w:rPr>
      </w:pPr>
      <w:r>
        <w:t>22.</w:t>
      </w:r>
      <w:r>
        <w:tab/>
      </w:r>
      <w:r w:rsidRPr="00B332BF">
        <w:rPr>
          <w:b/>
        </w:rPr>
        <w:t>Комитет напоминает о своей предыдущей рекомендации (</w:t>
      </w:r>
      <w:hyperlink r:id="rId25" w:history="1">
        <w:r w:rsidRPr="00664C84">
          <w:rPr>
            <w:rStyle w:val="Hyperlink"/>
            <w:b/>
          </w:rPr>
          <w:t>CEDAW/C/NZL/CO/7</w:t>
        </w:r>
      </w:hyperlink>
      <w:r w:rsidRPr="00B332BF">
        <w:rPr>
          <w:b/>
        </w:rPr>
        <w:t xml:space="preserve">, пункт 20), и рекомендует государству-участнику рассмотреть вопрос об использовании временных специальных мер в соответствии со статьей 4 (пункт 1) Конвенции и общей рекомендацией Комитета № 25 (2004) о временных специальных мерах. Он также рекомендует государству-участнику принять и осуществить такие временные специальные меры, как введение квот во всех областях, в которых женщины недопредставлены или находятся в неблагоприятном положении, в том числе в политической жизни и на рынке труда, а также в частном секторе, и прилагать конкретные, более активные усилия по достижению гендерного паритета в составе советов в государственном секторе и разработать комплекс целей  для обеспечения гендерного паритета в советах в частном секторе. Комитет рекомендует далее государству-участнику повышать уровень осведомленности общественности о недискриминационном характере и важности временных специальных мер для достижения фактического равенства между женщинами и мужчинами. </w:t>
      </w:r>
    </w:p>
    <w:p w14:paraId="30890D4B" w14:textId="14CFBF01" w:rsidR="001E6498" w:rsidRPr="001E6498" w:rsidRDefault="001E6498" w:rsidP="001E6498">
      <w:pPr>
        <w:pStyle w:val="SingleTxt"/>
        <w:spacing w:after="0" w:line="120" w:lineRule="exact"/>
        <w:rPr>
          <w:b/>
          <w:sz w:val="10"/>
        </w:rPr>
      </w:pPr>
    </w:p>
    <w:p w14:paraId="479CC776" w14:textId="1152DD14" w:rsidR="008B04B0" w:rsidRDefault="008B04B0" w:rsidP="001E64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Дискриминационные стереотипы и вредная практика </w:t>
      </w:r>
    </w:p>
    <w:p w14:paraId="32F80DCD" w14:textId="71364607" w:rsidR="001E6498" w:rsidRPr="001E6498" w:rsidRDefault="001E6498" w:rsidP="001E6498">
      <w:pPr>
        <w:pStyle w:val="SingleTxt"/>
        <w:spacing w:after="0" w:line="120" w:lineRule="exact"/>
        <w:rPr>
          <w:sz w:val="10"/>
        </w:rPr>
      </w:pPr>
    </w:p>
    <w:p w14:paraId="649CE490" w14:textId="77777777" w:rsidR="008B04B0" w:rsidRPr="002A6A5D" w:rsidRDefault="008B04B0" w:rsidP="008B04B0">
      <w:pPr>
        <w:pStyle w:val="SingleTxt"/>
      </w:pPr>
      <w:r>
        <w:t>23.</w:t>
      </w:r>
      <w:r>
        <w:tab/>
        <w:t>Отмечая усилия, предпринятые государством-участником для искоренения негативных стереотипов, затрагивающих женщин, Комитет, тем не менее, выражает обеспокоенность по поводу следующего:</w:t>
      </w:r>
    </w:p>
    <w:p w14:paraId="71F95B53" w14:textId="0048A1B0" w:rsidR="008B04B0" w:rsidRPr="002A6A5D" w:rsidRDefault="001E6498" w:rsidP="008B04B0">
      <w:pPr>
        <w:pStyle w:val="SingleTxt"/>
      </w:pPr>
      <w:r>
        <w:tab/>
      </w:r>
      <w:r w:rsidR="008B04B0">
        <w:t>а)</w:t>
      </w:r>
      <w:r>
        <w:tab/>
      </w:r>
      <w:r w:rsidR="008B04B0">
        <w:t>высокой живучести Интернет-травли в средних школах, которая непропорционально сильно затрагивает учащихся из числа женщин и девочек с ограниченными возможностями, а также лесбиянок, бисексуалов, транссексуалов и интерсексуалов;</w:t>
      </w:r>
    </w:p>
    <w:p w14:paraId="06317864" w14:textId="2A87531D" w:rsidR="008B04B0" w:rsidRPr="002A6A5D" w:rsidRDefault="001E6498" w:rsidP="008B04B0">
      <w:pPr>
        <w:pStyle w:val="SingleTxt"/>
      </w:pPr>
      <w:r>
        <w:tab/>
        <w:t>b)</w:t>
      </w:r>
      <w:r>
        <w:tab/>
      </w:r>
      <w:r w:rsidR="008B04B0">
        <w:t>сохранения укоренившихся вредных культурных норм и вредной практики, включая калечащие операции на женских половых органах, ранние и принудительные браки, практику выплаты приданого, полигамию, и преступления, совершаемые во имя так называемой «чести», и отсутствия надежной информации об этом;</w:t>
      </w:r>
    </w:p>
    <w:p w14:paraId="32E443E9" w14:textId="2D646051" w:rsidR="008B04B0" w:rsidRPr="003036E1" w:rsidRDefault="001E6498" w:rsidP="008B04B0">
      <w:pPr>
        <w:pStyle w:val="SingleTxt"/>
      </w:pPr>
      <w:r>
        <w:tab/>
        <w:t>c)</w:t>
      </w:r>
      <w:r>
        <w:tab/>
      </w:r>
      <w:r w:rsidR="008B04B0">
        <w:t>проведения необязательных с медицинской точки зрения процедур в отношении интерсексуальных младенцев и детей до достижения ими возраста, в котором они могут дать свое свободное, предварительное и осознанное согласие, и неадекватного предоставления поддержки и консультативной помощи семьям с детьми-интерсексуалами и средств правовой защиты жертвам.</w:t>
      </w:r>
    </w:p>
    <w:p w14:paraId="7A0E023B" w14:textId="77777777" w:rsidR="008B04B0" w:rsidRPr="002D41DC" w:rsidRDefault="008B04B0" w:rsidP="008B04B0">
      <w:pPr>
        <w:pStyle w:val="SingleTxt"/>
        <w:rPr>
          <w:b/>
          <w:bCs/>
        </w:rPr>
      </w:pPr>
      <w:r>
        <w:t>24.</w:t>
      </w:r>
      <w:r>
        <w:tab/>
      </w:r>
      <w:r w:rsidRPr="002D41DC">
        <w:rPr>
          <w:b/>
        </w:rPr>
        <w:t>Комитет рекомендует государству-участнику принять всеобъемлющую стратегию по искоренению дискриминационных стереотипов в отношении роли и обязанностей женщин и мужчин в семье и обществе в сотрудничестве с организациями гражданского общества, в частности женскими группами, общинными лидерами, учителями и средствами массовой информации, с тем чтобы создать благоприятные условия, способствующие обеспечению гендерного равенства. Кроме того, он рекомендует государству-участнику:</w:t>
      </w:r>
    </w:p>
    <w:p w14:paraId="0678814E" w14:textId="58286FAC" w:rsidR="008B04B0" w:rsidRPr="00FC2AE0" w:rsidRDefault="001E6498" w:rsidP="008B04B0">
      <w:pPr>
        <w:pStyle w:val="SingleTxt"/>
        <w:rPr>
          <w:b/>
        </w:rPr>
      </w:pPr>
      <w:r>
        <w:tab/>
        <w:t>а)</w:t>
      </w:r>
      <w:r>
        <w:tab/>
      </w:r>
      <w:r w:rsidR="008B04B0" w:rsidRPr="00FC2AE0">
        <w:rPr>
          <w:b/>
        </w:rPr>
        <w:t>систематически собирать данные о вредной практике, включая Интернет-травлю в отношении девочек подросткового возраста, и принимать меры, такие как информационно-просветительские кампании в школах, по предотвращению подобной практики;</w:t>
      </w:r>
    </w:p>
    <w:p w14:paraId="58054827" w14:textId="4CA15C8E" w:rsidR="008B04B0" w:rsidRPr="008B2F20" w:rsidRDefault="001E6498" w:rsidP="008B04B0">
      <w:pPr>
        <w:pStyle w:val="SingleTxt"/>
        <w:rPr>
          <w:b/>
        </w:rPr>
      </w:pPr>
      <w:r>
        <w:tab/>
        <w:t>b)</w:t>
      </w:r>
      <w:r>
        <w:tab/>
      </w:r>
      <w:r w:rsidR="008B04B0" w:rsidRPr="008B2F20">
        <w:rPr>
          <w:b/>
        </w:rPr>
        <w:t xml:space="preserve">продолжить усилия по борьбе с вредными видами практики, в частности калечащими операциями на женских половых органах, принудительными браками, практикой выплат приданного, полигамией и преступлениями, совершаемыми во имя так называемой «чести», и на систематической основе собирать данные об этих вредных видах практики, дезагрегированные по </w:t>
      </w:r>
      <w:r w:rsidR="008B04B0">
        <w:rPr>
          <w:b/>
        </w:rPr>
        <w:t>возрасту и этнической принадлежности</w:t>
      </w:r>
      <w:r w:rsidR="008B04B0" w:rsidRPr="008B2F20">
        <w:rPr>
          <w:b/>
        </w:rPr>
        <w:t>;</w:t>
      </w:r>
    </w:p>
    <w:p w14:paraId="5DADF08F" w14:textId="4AAFF7E0" w:rsidR="008B04B0" w:rsidRDefault="001E6498" w:rsidP="008B04B0">
      <w:pPr>
        <w:pStyle w:val="SingleTxt"/>
        <w:rPr>
          <w:b/>
        </w:rPr>
      </w:pPr>
      <w:r>
        <w:tab/>
        <w:t>c)</w:t>
      </w:r>
      <w:r>
        <w:tab/>
      </w:r>
      <w:r w:rsidR="008B04B0" w:rsidRPr="007C5C25">
        <w:rPr>
          <w:b/>
        </w:rPr>
        <w:t xml:space="preserve">принять четкие законодательные положения, явно запрещающие проведение необязательного хирургического вмешательства или иного медицинского лечения в отношении интерсексуальных детей до достижения ими установленного законом возраста согласия, предоставлять семьям с детьми-интерсексуалами надлежащую консультативную помощь и поддержку, а также обеспечивать средствами правовой защиты интерсексуалов, которые подверглись такому необязательному хирургическому вмешательству или медицинскому лечению. </w:t>
      </w:r>
    </w:p>
    <w:p w14:paraId="5BC516DA" w14:textId="330A982A" w:rsidR="001E6498" w:rsidRPr="001E6498" w:rsidRDefault="001E6498" w:rsidP="001E6498">
      <w:pPr>
        <w:pStyle w:val="SingleTxt"/>
        <w:spacing w:after="0" w:line="120" w:lineRule="exact"/>
        <w:rPr>
          <w:b/>
          <w:sz w:val="10"/>
        </w:rPr>
      </w:pPr>
    </w:p>
    <w:p w14:paraId="74F28978" w14:textId="116F261B" w:rsidR="008B04B0" w:rsidRDefault="008B04B0" w:rsidP="001E64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Гендерное насилие в отношении женщин </w:t>
      </w:r>
    </w:p>
    <w:p w14:paraId="701593F3" w14:textId="06D9CFAF" w:rsidR="001E6498" w:rsidRPr="001E6498" w:rsidRDefault="001E6498" w:rsidP="001E6498">
      <w:pPr>
        <w:pStyle w:val="SingleTxt"/>
        <w:spacing w:after="0" w:line="120" w:lineRule="exact"/>
        <w:rPr>
          <w:sz w:val="10"/>
        </w:rPr>
      </w:pPr>
    </w:p>
    <w:p w14:paraId="1790B389" w14:textId="77777777" w:rsidR="008B04B0" w:rsidRPr="003036E1" w:rsidRDefault="008B04B0" w:rsidP="008B04B0">
      <w:pPr>
        <w:pStyle w:val="SingleTxt"/>
      </w:pPr>
      <w:r>
        <w:t>25.</w:t>
      </w:r>
      <w:r>
        <w:tab/>
        <w:t xml:space="preserve">Комитет отмечает, что в настоящее время на рассмотрении парламента находится законопроект о насилии в семье и «ванау» (община) и что, как ожидается, в ближайшее время будет принят законопроект о защите жертв на рабочем месте. Он приветствует создание новой должности парламентского заместителя министра юстиции (вопросы бытового и сексуального насилия) и консультативного совета по вопросам инвестиций в области предупреждения насилия в семье, который уполномочен рассматривать существующие программы, а также недавнее увеличение финансирования услуг по оказанию безотлагательной поддержки. Вместе с тем Комитет выражает обеспокоенность по поводу отсутствия национального плана действий или всеобъемлющей стратегии по предупреждению и искоренению гендерного насилия, что усугубляется отсутствием преемственности государственной политики в долгосрочной перспективе. Он также обеспокоен следующим: </w:t>
      </w:r>
    </w:p>
    <w:p w14:paraId="25445AD3" w14:textId="729553B3" w:rsidR="008B04B0" w:rsidRPr="003036E1" w:rsidRDefault="008B04B0" w:rsidP="008B04B0">
      <w:pPr>
        <w:pStyle w:val="SingleTxt"/>
      </w:pPr>
      <w:r>
        <w:tab/>
        <w:t>а)</w:t>
      </w:r>
      <w:r w:rsidR="008E6109">
        <w:tab/>
      </w:r>
      <w:r>
        <w:t>вызывающим тревогу высоким уровнем гендерного насилия в отношении женщин в государстве-участнике, причем каждая третья женщина в течение своей жизни подвергается физическому или психологическому насилию со стороны интимного партнера, в особенности бытовому и сексуальному насилию, включая изнасилования, которое несоразмерно сильно затрагивает женщин маори, женщин, принадлежащих к этническим меньшинствам, женщин-транссексуалов и женщин-инвалидов, которым в соответствии со сложившейся в государстве-участнике системой, скорее всего, придется снова пережить травму;</w:t>
      </w:r>
    </w:p>
    <w:p w14:paraId="4A5D1224" w14:textId="0181BC7F" w:rsidR="008B04B0" w:rsidRPr="003036E1" w:rsidRDefault="008E6109" w:rsidP="008B04B0">
      <w:pPr>
        <w:pStyle w:val="SingleTxt"/>
      </w:pPr>
      <w:r>
        <w:tab/>
      </w:r>
      <w:r w:rsidR="008B04B0">
        <w:t>b)</w:t>
      </w:r>
      <w:r>
        <w:tab/>
      </w:r>
      <w:r w:rsidR="008B04B0">
        <w:t>очень незначительным количеством заявлений и высоким уровнем рецидивной преступности, в частности в общинах маори, причем в полицию заявляют только о 20 процентах случаев насилия в семье и только о 9 процентах случаев сексуального насилия;</w:t>
      </w:r>
    </w:p>
    <w:p w14:paraId="6F8DBF79" w14:textId="5A646051" w:rsidR="008B04B0" w:rsidRPr="003036E1" w:rsidRDefault="008E6109" w:rsidP="008B04B0">
      <w:pPr>
        <w:pStyle w:val="SingleTxt"/>
      </w:pPr>
      <w:r>
        <w:tab/>
      </w:r>
      <w:r w:rsidR="008B04B0">
        <w:t>c)</w:t>
      </w:r>
      <w:r w:rsidR="008B04B0">
        <w:tab/>
        <w:t>все более частым употреблением сотрудниками полиции, а также работниками системы социального обеспечения и судебных органов термина «вред</w:t>
      </w:r>
      <w:r w:rsidR="008B04B0" w:rsidRPr="0043586E">
        <w:t xml:space="preserve"> </w:t>
      </w:r>
      <w:r w:rsidR="008B04B0">
        <w:t xml:space="preserve">семье», который не учитывает гендерные факторы и делает менее очевидным тот аспект бытового насилия, что оно является одним из нарушений прав женщин, а также сводит к минимуму серьезность гендерного характера такого насилия; </w:t>
      </w:r>
    </w:p>
    <w:p w14:paraId="2BF78157" w14:textId="65D9866C" w:rsidR="008B04B0" w:rsidRPr="003036E1" w:rsidRDefault="008B04B0" w:rsidP="008B04B0">
      <w:pPr>
        <w:pStyle w:val="SingleTxt"/>
      </w:pPr>
      <w:r>
        <w:tab/>
        <w:t>d)</w:t>
      </w:r>
      <w:r w:rsidR="008E6109">
        <w:tab/>
      </w:r>
      <w:r>
        <w:t>распределением ресурсов в основном для целей лечения и реабилитации, без уделения достаточного внимания вопросам профилактики;</w:t>
      </w:r>
    </w:p>
    <w:p w14:paraId="5129AE29" w14:textId="50C9419F" w:rsidR="008B04B0" w:rsidRPr="003036E1" w:rsidRDefault="008E6109" w:rsidP="008B04B0">
      <w:pPr>
        <w:pStyle w:val="SingleTxt"/>
      </w:pPr>
      <w:r>
        <w:tab/>
      </w:r>
      <w:r w:rsidR="008B04B0">
        <w:t>e)</w:t>
      </w:r>
      <w:r>
        <w:tab/>
      </w:r>
      <w:r w:rsidR="008B04B0">
        <w:t xml:space="preserve">отсутствием систематических специальных программ по наращиванию потенциала в области строгого применения правовых положений, касающихся гендерного насилия и методов расследования с учетом гендерных факторов, для судей, сотрудников правоохранительных органов и социальных работников; </w:t>
      </w:r>
    </w:p>
    <w:p w14:paraId="470B46A4" w14:textId="6BDDBF57" w:rsidR="008B04B0" w:rsidRPr="003036E1" w:rsidRDefault="008B04B0" w:rsidP="008B04B0">
      <w:pPr>
        <w:pStyle w:val="SingleTxt"/>
      </w:pPr>
      <w:r>
        <w:tab/>
        <w:t>f)</w:t>
      </w:r>
      <w:r>
        <w:tab/>
        <w:t>отсутствием единого источника комплексных данных, включающего в себя все данные о насилии в семье с разбивкой по полу, этническому происхождению, типу насилия и характеру отношений между преступником и его жертвой, в том числе данные о фемициде, и отсутствием достаточного финансирования для учреждений по сбору данных, включая неправительственные учреждения;</w:t>
      </w:r>
    </w:p>
    <w:p w14:paraId="16A1E310" w14:textId="33FC0DA9" w:rsidR="008B04B0" w:rsidRPr="003036E1" w:rsidRDefault="008E6109" w:rsidP="008B04B0">
      <w:pPr>
        <w:pStyle w:val="SingleTxt"/>
      </w:pPr>
      <w:r>
        <w:tab/>
      </w:r>
      <w:r w:rsidR="008B04B0">
        <w:t>g)</w:t>
      </w:r>
      <w:r w:rsidR="008B04B0">
        <w:tab/>
        <w:t>отсутствием надлежащего, учитывающего культурные особенности подхода, результатом чего является возникновение культурных и языковых барьеров и рост недоверия к государственным органам власти, что лишает женщин и девочек маори, а также женщин и девочек, принадлежащих к этническим меньшинствам, возможности искать защиты от бытового и сексуального насилия и обращаться за возмещением ущерба;</w:t>
      </w:r>
    </w:p>
    <w:p w14:paraId="5B909C5A" w14:textId="47A8F178" w:rsidR="008B04B0" w:rsidRPr="003036E1" w:rsidRDefault="00BB1DA8" w:rsidP="008B04B0">
      <w:pPr>
        <w:pStyle w:val="SingleTxt"/>
      </w:pPr>
      <w:r>
        <w:tab/>
      </w:r>
      <w:r w:rsidR="008B04B0">
        <w:t>h)</w:t>
      </w:r>
      <w:r>
        <w:tab/>
      </w:r>
      <w:r w:rsidR="008B04B0">
        <w:t>отсутствием связи и координации между выдаваемыми полицией охранными ордерами и судебными приказами о защите;</w:t>
      </w:r>
    </w:p>
    <w:p w14:paraId="55CB03BB" w14:textId="15DAF61E" w:rsidR="008B04B0" w:rsidRPr="003036E1" w:rsidRDefault="00BB1DA8" w:rsidP="008B04B0">
      <w:pPr>
        <w:pStyle w:val="SingleTxt"/>
      </w:pPr>
      <w:r>
        <w:tab/>
        <w:t>i)</w:t>
      </w:r>
      <w:r>
        <w:tab/>
      </w:r>
      <w:r w:rsidR="008B04B0">
        <w:t>тем фактом, что вслед за якобы имевшим место сокращением количества дел с пометкой «без состава преступления» никакого увеличения количества судебных дел не произошло;</w:t>
      </w:r>
    </w:p>
    <w:p w14:paraId="685B115F" w14:textId="53F87B69" w:rsidR="008B04B0" w:rsidRPr="003036E1" w:rsidRDefault="00BB1DA8" w:rsidP="008B04B0">
      <w:pPr>
        <w:pStyle w:val="SingleTxt"/>
      </w:pPr>
      <w:r>
        <w:tab/>
        <w:t>j)</w:t>
      </w:r>
      <w:r>
        <w:tab/>
      </w:r>
      <w:r w:rsidR="008B04B0">
        <w:t>повышенной уязвимостью женщин-инвалидов к насилию со стороны лиц, осуществляющих уход.</w:t>
      </w:r>
    </w:p>
    <w:p w14:paraId="08B64DB2" w14:textId="104C5D8D" w:rsidR="008B04B0" w:rsidRPr="003A5156" w:rsidRDefault="00BB1DA8" w:rsidP="008B04B0">
      <w:pPr>
        <w:pStyle w:val="SingleTxt"/>
        <w:rPr>
          <w:b/>
          <w:bCs/>
        </w:rPr>
      </w:pPr>
      <w:r>
        <w:t>26.</w:t>
      </w:r>
      <w:r>
        <w:tab/>
      </w:r>
      <w:r w:rsidR="008B04B0" w:rsidRPr="003A5156">
        <w:rPr>
          <w:b/>
        </w:rPr>
        <w:t>Учитывая свою общую рекомендацию № 35 (2017) о гендерном насилии в отношении женщин, обновляющую общую рекомендацию № 19, и ссылаясь на задачу 5.2 целей в области устойчивого развития, касающуюся искоренения всех форм насилия в отношении всех женщин и девочек в общественной и частной жизни, Комитет в целях активизации усилий государства-участника по искоренению гендерного насилия в отношении женщин и лежащих в его основе причин рекомендует государству-участнику:</w:t>
      </w:r>
    </w:p>
    <w:p w14:paraId="54CF5385" w14:textId="1CFEFC3E" w:rsidR="008B04B0" w:rsidRPr="003036E1" w:rsidRDefault="00BB1DA8" w:rsidP="008B04B0">
      <w:pPr>
        <w:pStyle w:val="SingleTxt"/>
        <w:rPr>
          <w:b/>
          <w:bCs/>
        </w:rPr>
      </w:pPr>
      <w:r>
        <w:tab/>
      </w:r>
      <w:r w:rsidR="008B04B0">
        <w:t>а)</w:t>
      </w:r>
      <w:r>
        <w:tab/>
      </w:r>
      <w:r w:rsidR="008B04B0" w:rsidRPr="003A5156">
        <w:rPr>
          <w:b/>
        </w:rPr>
        <w:t xml:space="preserve">принять всеобъемлющую и обязательную для всех партий стратегию по борьбе с гендерным насилием в отношении женщин в соответствии с общей рекомендацией № 35 и обеспечить ее последовательное осуществление, в том числе путем строгого применения положений </w:t>
      </w:r>
      <w:r w:rsidR="008B04B0">
        <w:rPr>
          <w:b/>
        </w:rPr>
        <w:t>з</w:t>
      </w:r>
      <w:r w:rsidR="008B04B0" w:rsidRPr="003A5156">
        <w:rPr>
          <w:b/>
        </w:rPr>
        <w:t xml:space="preserve">акона о борьбе с насилием в семье и «ванау», после его принятия, и, в частности, путем включения мер, конкретно обеспечивающих защиту женщин-инвалидов, которые являются жертвами лиц, осуществляющих уход; </w:t>
      </w:r>
    </w:p>
    <w:p w14:paraId="30C3F573" w14:textId="43EE4914" w:rsidR="008B04B0" w:rsidRPr="005F4BA3" w:rsidRDefault="008B04B0" w:rsidP="008B04B0">
      <w:pPr>
        <w:pStyle w:val="SingleTxt"/>
        <w:rPr>
          <w:b/>
          <w:bCs/>
        </w:rPr>
      </w:pPr>
      <w:r>
        <w:tab/>
      </w:r>
      <w:r w:rsidR="00BB1DA8">
        <w:t>b)</w:t>
      </w:r>
      <w:r w:rsidR="00BB1DA8">
        <w:tab/>
      </w:r>
      <w:r w:rsidRPr="005F4BA3">
        <w:rPr>
          <w:b/>
        </w:rPr>
        <w:t>осуществлять информационно-просветительские программы в сотрудничестве с учителями и средствами массовой информации, включая социальные сети, в целях содействия более глубокому пониманию криминального характера гендерного насилия в отношении женщин</w:t>
      </w:r>
      <w:r>
        <w:rPr>
          <w:b/>
        </w:rPr>
        <w:t>,</w:t>
      </w:r>
      <w:r w:rsidRPr="005F4BA3">
        <w:rPr>
          <w:b/>
        </w:rPr>
        <w:t xml:space="preserve"> и </w:t>
      </w:r>
      <w:r>
        <w:rPr>
          <w:b/>
        </w:rPr>
        <w:t>призывать</w:t>
      </w:r>
      <w:r w:rsidRPr="005F4BA3">
        <w:rPr>
          <w:b/>
        </w:rPr>
        <w:t xml:space="preserve"> жертв и свидетелей сообща</w:t>
      </w:r>
      <w:r>
        <w:rPr>
          <w:b/>
        </w:rPr>
        <w:t>ть</w:t>
      </w:r>
      <w:r w:rsidRPr="005F4BA3">
        <w:rPr>
          <w:b/>
        </w:rPr>
        <w:t xml:space="preserve"> о случаях насилия;</w:t>
      </w:r>
    </w:p>
    <w:p w14:paraId="68AC1856" w14:textId="5E84AAAF" w:rsidR="008B04B0" w:rsidRPr="005F4BA3" w:rsidRDefault="00BB1DA8" w:rsidP="008B04B0">
      <w:pPr>
        <w:pStyle w:val="SingleTxt"/>
        <w:rPr>
          <w:b/>
        </w:rPr>
      </w:pPr>
      <w:r>
        <w:tab/>
        <w:t>c)</w:t>
      </w:r>
      <w:r>
        <w:tab/>
      </w:r>
      <w:r w:rsidR="008B04B0" w:rsidRPr="005F4BA3">
        <w:rPr>
          <w:b/>
        </w:rPr>
        <w:t xml:space="preserve">активизировать </w:t>
      </w:r>
      <w:r w:rsidR="008B04B0">
        <w:rPr>
          <w:b/>
        </w:rPr>
        <w:t xml:space="preserve">усилия по </w:t>
      </w:r>
      <w:r w:rsidR="008B04B0" w:rsidRPr="005F4BA3">
        <w:rPr>
          <w:b/>
        </w:rPr>
        <w:t>наращивани</w:t>
      </w:r>
      <w:r w:rsidR="008B04B0">
        <w:rPr>
          <w:b/>
        </w:rPr>
        <w:t>ю</w:t>
      </w:r>
      <w:r w:rsidR="008B04B0" w:rsidRPr="005F4BA3">
        <w:rPr>
          <w:b/>
        </w:rPr>
        <w:t xml:space="preserve"> потенциала и информационно-просветительские кампании и профессиональную подготовку для судей, сотрудников правоохранительных органов и работников системы социального обеспечения по вопросу о всех формах гендерного насилия и злоупотреблениях и конкретных потребностях в защите женщин-мигрантов в целях обеспечения того, чтобы жертвы ни при каких обстоятельствах не подвергались принуждению или давлению с целью заставить </w:t>
      </w:r>
      <w:r w:rsidR="008B04B0">
        <w:rPr>
          <w:b/>
        </w:rPr>
        <w:t xml:space="preserve">их </w:t>
      </w:r>
      <w:r w:rsidR="008B04B0" w:rsidRPr="005F4BA3">
        <w:rPr>
          <w:b/>
        </w:rPr>
        <w:t xml:space="preserve">принять посредничество или альтернативные методы урегулирования споров вместо уголовного преследования правонарушителей; </w:t>
      </w:r>
    </w:p>
    <w:p w14:paraId="2D2E9A19" w14:textId="3233D9A5" w:rsidR="008B04B0" w:rsidRPr="005F4BA3" w:rsidRDefault="008B04B0" w:rsidP="008B04B0">
      <w:pPr>
        <w:pStyle w:val="SingleTxt"/>
        <w:rPr>
          <w:b/>
          <w:bCs/>
        </w:rPr>
      </w:pPr>
      <w:r>
        <w:tab/>
      </w:r>
      <w:r w:rsidR="00BB1DA8">
        <w:t>d)</w:t>
      </w:r>
      <w:r w:rsidR="00BB1DA8">
        <w:tab/>
      </w:r>
      <w:r w:rsidRPr="005F4BA3">
        <w:rPr>
          <w:b/>
        </w:rPr>
        <w:t>выделить ресурсы на цели разработки всеобъемлющей стратегии предотвращения гендерного насилия в отношении женщин;</w:t>
      </w:r>
    </w:p>
    <w:p w14:paraId="6FDA7869" w14:textId="0C09FE9E" w:rsidR="008B04B0" w:rsidRPr="001D5EC4" w:rsidRDefault="00BB1DA8" w:rsidP="008B04B0">
      <w:pPr>
        <w:pStyle w:val="SingleTxt"/>
        <w:rPr>
          <w:b/>
          <w:bCs/>
        </w:rPr>
      </w:pPr>
      <w:r>
        <w:tab/>
        <w:t>e)</w:t>
      </w:r>
      <w:r>
        <w:tab/>
      </w:r>
      <w:r w:rsidR="008B04B0" w:rsidRPr="004645CE">
        <w:rPr>
          <w:b/>
        </w:rPr>
        <w:t>утвердить критерии и руководящие принципы для обеспечения ориентированной на интересы потерпевших и учитывающей культурные особенности юридической, психосоциальной и экономической помощи, которые признают особые потребности женщин и девочек маори и женщин и девочек, принадлежащих к этническим меньшинствам, и одновременно позаботиться о том, чтобы усилия, направленные на обеспечение учета культурных особенностей, не осуществлялись в ущерб обязательствам государства-участника по Конвенции;</w:t>
      </w:r>
      <w:r w:rsidR="008B04B0">
        <w:t xml:space="preserve"> </w:t>
      </w:r>
    </w:p>
    <w:p w14:paraId="2B4A515A" w14:textId="2BB5C562" w:rsidR="008B04B0" w:rsidRPr="005F369B" w:rsidRDefault="008B04B0" w:rsidP="008B04B0">
      <w:pPr>
        <w:pStyle w:val="SingleTxt"/>
        <w:rPr>
          <w:b/>
          <w:bCs/>
        </w:rPr>
      </w:pPr>
      <w:r>
        <w:tab/>
      </w:r>
      <w:r w:rsidR="00BB1DA8">
        <w:t>f)</w:t>
      </w:r>
      <w:r w:rsidR="00BB1DA8">
        <w:tab/>
      </w:r>
      <w:r w:rsidRPr="005F369B">
        <w:rPr>
          <w:b/>
        </w:rPr>
        <w:t>собирать и представлять Комитету данные с разбивкой по возрасту</w:t>
      </w:r>
      <w:r>
        <w:rPr>
          <w:b/>
        </w:rPr>
        <w:t xml:space="preserve">, виду насилия и </w:t>
      </w:r>
      <w:r w:rsidRPr="002C7E33">
        <w:rPr>
          <w:b/>
          <w:color w:val="000000"/>
        </w:rPr>
        <w:t>характеру отношений между виновным в насилии и его жертвой</w:t>
      </w:r>
      <w:r>
        <w:rPr>
          <w:b/>
          <w:color w:val="000000"/>
        </w:rPr>
        <w:t xml:space="preserve"> </w:t>
      </w:r>
      <w:r w:rsidRPr="002C7E33">
        <w:rPr>
          <w:b/>
        </w:rPr>
        <w:t>о</w:t>
      </w:r>
      <w:r w:rsidRPr="005F369B">
        <w:rPr>
          <w:b/>
        </w:rPr>
        <w:t xml:space="preserve"> числе расследован</w:t>
      </w:r>
      <w:r>
        <w:rPr>
          <w:b/>
        </w:rPr>
        <w:t>ных</w:t>
      </w:r>
      <w:r w:rsidRPr="005F369B">
        <w:rPr>
          <w:b/>
        </w:rPr>
        <w:t xml:space="preserve"> случаев насилия в отношении женщин</w:t>
      </w:r>
      <w:r>
        <w:rPr>
          <w:b/>
        </w:rPr>
        <w:t xml:space="preserve"> </w:t>
      </w:r>
      <w:r w:rsidRPr="005F369B">
        <w:rPr>
          <w:b/>
        </w:rPr>
        <w:t xml:space="preserve">и числе таких случаев, когда дело завершилось привлечением к уголовной ответственности, включая информацию о мерах наказания, назначенных виновным в совершении преступления,  о числе женщин, ставших жертвами насилия, которым была предоставлена  правовая помощь  и помощь соответствующих служб поддержки, и о числе таких женщин, получивших </w:t>
      </w:r>
      <w:r>
        <w:rPr>
          <w:b/>
        </w:rPr>
        <w:t xml:space="preserve">возмещение вреда, в том числе в виде денежной </w:t>
      </w:r>
      <w:r w:rsidRPr="005F369B">
        <w:rPr>
          <w:b/>
        </w:rPr>
        <w:t>компенсаци</w:t>
      </w:r>
      <w:r>
        <w:rPr>
          <w:b/>
        </w:rPr>
        <w:t>и</w:t>
      </w:r>
      <w:r w:rsidRPr="005F369B">
        <w:rPr>
          <w:b/>
        </w:rPr>
        <w:t>;</w:t>
      </w:r>
    </w:p>
    <w:p w14:paraId="5D1FB140" w14:textId="364EB7AD" w:rsidR="008B04B0" w:rsidRPr="005F369B" w:rsidRDefault="00BB1DA8" w:rsidP="008B04B0">
      <w:pPr>
        <w:pStyle w:val="SingleTxt"/>
        <w:rPr>
          <w:b/>
        </w:rPr>
      </w:pPr>
      <w:r>
        <w:tab/>
      </w:r>
      <w:r w:rsidR="008B04B0">
        <w:t>g)</w:t>
      </w:r>
      <w:r>
        <w:tab/>
      </w:r>
      <w:r w:rsidR="008B04B0" w:rsidRPr="005F369B">
        <w:rPr>
          <w:b/>
        </w:rPr>
        <w:t>обеспечить эффективную координацию и сотрудничество между различными органами, отвечающими за борьбу с гендерным насилием;</w:t>
      </w:r>
    </w:p>
    <w:p w14:paraId="23DFD000" w14:textId="0230DE22" w:rsidR="008B04B0" w:rsidRPr="001D5EC4" w:rsidRDefault="00BB1DA8" w:rsidP="008B04B0">
      <w:pPr>
        <w:pStyle w:val="SingleTxt"/>
        <w:rPr>
          <w:b/>
          <w:bCs/>
        </w:rPr>
      </w:pPr>
      <w:r>
        <w:tab/>
      </w:r>
      <w:r w:rsidR="008B04B0">
        <w:t>h)</w:t>
      </w:r>
      <w:r>
        <w:tab/>
      </w:r>
      <w:r w:rsidR="008B04B0" w:rsidRPr="005F369B">
        <w:rPr>
          <w:b/>
        </w:rPr>
        <w:t>рассмотреть вопрос о возобновлении своего приглашения Специальному докладчику по вопросу о насилии в отношении женщин, его причинах и последствиях;</w:t>
      </w:r>
    </w:p>
    <w:p w14:paraId="5C3B4B1E" w14:textId="22AC3691" w:rsidR="008B04B0" w:rsidRDefault="00BB1DA8" w:rsidP="00BB1DA8">
      <w:pPr>
        <w:pStyle w:val="SingleTxt"/>
        <w:rPr>
          <w:b/>
        </w:rPr>
      </w:pPr>
      <w:r>
        <w:tab/>
      </w:r>
      <w:r w:rsidR="008B04B0">
        <w:t>i)</w:t>
      </w:r>
      <w:r>
        <w:tab/>
      </w:r>
      <w:r w:rsidR="008B04B0" w:rsidRPr="005F369B">
        <w:rPr>
          <w:b/>
        </w:rPr>
        <w:t xml:space="preserve">обеспечить, чтобы законопроект о борьбе с насилием в семье и </w:t>
      </w:r>
      <w:r>
        <w:rPr>
          <w:b/>
        </w:rPr>
        <w:t>«</w:t>
      </w:r>
      <w:r w:rsidR="008B04B0" w:rsidRPr="005F369B">
        <w:rPr>
          <w:b/>
        </w:rPr>
        <w:t>ванау</w:t>
      </w:r>
      <w:r>
        <w:rPr>
          <w:b/>
        </w:rPr>
        <w:t>»</w:t>
      </w:r>
      <w:r w:rsidR="008B04B0" w:rsidRPr="005F369B">
        <w:rPr>
          <w:b/>
        </w:rPr>
        <w:t xml:space="preserve"> предусматривал защиту женщин-инвалидов от насилия со стороны лиц, обеспечивающих уход за ними.</w:t>
      </w:r>
    </w:p>
    <w:p w14:paraId="43B61631" w14:textId="3B7E3483" w:rsidR="00BB1DA8" w:rsidRPr="00BB1DA8" w:rsidRDefault="00BB1DA8" w:rsidP="00BB1DA8">
      <w:pPr>
        <w:pStyle w:val="SingleTxt"/>
        <w:spacing w:after="0" w:line="120" w:lineRule="exact"/>
        <w:rPr>
          <w:b/>
          <w:sz w:val="10"/>
        </w:rPr>
      </w:pPr>
    </w:p>
    <w:p w14:paraId="69BDA3CC" w14:textId="7450EB88" w:rsidR="008B04B0" w:rsidRDefault="008B04B0" w:rsidP="00BB1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Торговля людьми и эксплуатация проституции </w:t>
      </w:r>
    </w:p>
    <w:p w14:paraId="5F68A722" w14:textId="4CE09E64" w:rsidR="00BB1DA8" w:rsidRPr="00BB1DA8" w:rsidRDefault="00BB1DA8" w:rsidP="00BB1DA8">
      <w:pPr>
        <w:pStyle w:val="SingleTxt"/>
        <w:spacing w:after="0" w:line="120" w:lineRule="exact"/>
        <w:rPr>
          <w:sz w:val="10"/>
        </w:rPr>
      </w:pPr>
    </w:p>
    <w:p w14:paraId="2B41CA83" w14:textId="77777777" w:rsidR="008B04B0" w:rsidRPr="001D5EC4" w:rsidRDefault="008B04B0" w:rsidP="008B04B0">
      <w:pPr>
        <w:pStyle w:val="SingleTxt"/>
      </w:pPr>
      <w:r>
        <w:t>27.</w:t>
      </w:r>
      <w:r>
        <w:tab/>
        <w:t>Комитет выражает признательность государству-участнику за принятие им Закона о борьбе с организованной преступностью и коррупцией 2014 года, в соответствии с которым вносятся поправки в Закон о преступлениях 1961 года с целью расширить определение понятия «торговля людьми», включая понятия «внутренняя торговля людьми» и «торговля людьми для целей принудительного труда». Он отмечает далее создание межведомственной рабочей группы по борьбе с торговлей людьми и разработке совместных стратегий. Вместе с тем Комитет с обеспокоенностью отмечает:</w:t>
      </w:r>
    </w:p>
    <w:p w14:paraId="1602D1AB" w14:textId="6946D708" w:rsidR="008B04B0" w:rsidRPr="001D5EC4" w:rsidRDefault="008B04B0" w:rsidP="008B04B0">
      <w:pPr>
        <w:pStyle w:val="SingleTxt"/>
      </w:pPr>
      <w:r>
        <w:tab/>
      </w:r>
      <w:r w:rsidR="00A04B6F">
        <w:t>a)</w:t>
      </w:r>
      <w:r w:rsidR="00A04B6F">
        <w:tab/>
      </w:r>
      <w:r>
        <w:t xml:space="preserve">что раздел 19 Закона о реформировании сферы сексуальных услуг 2003 года может оказывать негативное воздействие на женщин-мигрантов; </w:t>
      </w:r>
    </w:p>
    <w:p w14:paraId="05324AF1" w14:textId="53E0ED03" w:rsidR="008B04B0" w:rsidRPr="001D5EC4" w:rsidRDefault="008B04B0" w:rsidP="008B04B0">
      <w:pPr>
        <w:pStyle w:val="SingleTxt"/>
      </w:pPr>
      <w:r>
        <w:tab/>
        <w:t>b)</w:t>
      </w:r>
      <w:r w:rsidR="00A04B6F">
        <w:tab/>
      </w:r>
      <w:r>
        <w:t xml:space="preserve">что в результате введения запрета для мигрантов заниматься проституцией, который удерживает их от сообщения о случаях надругательства из страха депортации, женщины-мигранты, занимающиеся проституцией, могут становиться объектом эксплуатации и подвергаются риску стать жертвой торговли людьми; </w:t>
      </w:r>
    </w:p>
    <w:p w14:paraId="7571AD67" w14:textId="47E1B153" w:rsidR="008B04B0" w:rsidRPr="001D5EC4" w:rsidRDefault="008B04B0" w:rsidP="008B04B0">
      <w:pPr>
        <w:pStyle w:val="SingleTxt"/>
      </w:pPr>
      <w:r>
        <w:tab/>
      </w:r>
      <w:r w:rsidR="00A04B6F">
        <w:t>c)</w:t>
      </w:r>
      <w:r w:rsidR="00A04B6F">
        <w:tab/>
      </w:r>
      <w:r>
        <w:t xml:space="preserve">очень незначительное число случаев привлечения к уголовной ответственности торговцев людьми, а также вынесения им обвинительных приговоров и назначения мер наказания, что, возможно, обусловлено высоким порогом доказывания и сложным характером процедуры судопроизводства; </w:t>
      </w:r>
    </w:p>
    <w:p w14:paraId="25164EEB" w14:textId="1F6BF6D7" w:rsidR="008B04B0" w:rsidRPr="001D5EC4" w:rsidRDefault="008B04B0" w:rsidP="008B04B0">
      <w:pPr>
        <w:pStyle w:val="SingleTxt"/>
      </w:pPr>
      <w:r>
        <w:tab/>
        <w:t>d)</w:t>
      </w:r>
      <w:r w:rsidR="00A04B6F">
        <w:tab/>
      </w:r>
      <w:r>
        <w:t>отсутствие национального плана действий по борьбе с торговлей людьми, несмотря на заявление члена делегации государства-участника о намерении обновить План действий по предотвращению торговли людьми 2009 года, а также недостаток координации между соответствующими государственными учреждениями;</w:t>
      </w:r>
    </w:p>
    <w:p w14:paraId="63DE42A5" w14:textId="12F0769E" w:rsidR="008B04B0" w:rsidRPr="001D5EC4" w:rsidRDefault="00A04B6F" w:rsidP="008B04B0">
      <w:pPr>
        <w:pStyle w:val="SingleTxt"/>
      </w:pPr>
      <w:r>
        <w:tab/>
      </w:r>
      <w:r w:rsidR="008B04B0">
        <w:t>e)</w:t>
      </w:r>
      <w:r>
        <w:tab/>
      </w:r>
      <w:r w:rsidR="008B04B0">
        <w:t>что в законопроекте 2015 года о поправках к Закону о преступлениях не предусмотрено никаких исключений из требования, согласно которому в случаях торговли детьми доказательством торговли является использование один или более раз таких действий, как принуждение или обман;</w:t>
      </w:r>
    </w:p>
    <w:p w14:paraId="60AF9366" w14:textId="0ADC75BF" w:rsidR="008B04B0" w:rsidRPr="001D5EC4" w:rsidRDefault="00A04B6F" w:rsidP="008B04B0">
      <w:pPr>
        <w:pStyle w:val="SingleTxt"/>
      </w:pPr>
      <w:r>
        <w:tab/>
        <w:t>f)</w:t>
      </w:r>
      <w:r>
        <w:tab/>
      </w:r>
      <w:r w:rsidR="008B04B0">
        <w:t>недостатки на этапе раннего выявления жертв торговли людьми и их направления в соответствующие службы и отсутствие специализированных приютов в государстве-участнике, особенно в сельских районах.</w:t>
      </w:r>
    </w:p>
    <w:p w14:paraId="4AB699A1" w14:textId="77777777" w:rsidR="008B04B0" w:rsidRPr="00F817CE" w:rsidRDefault="008B04B0" w:rsidP="008B04B0">
      <w:pPr>
        <w:pStyle w:val="SingleTxt"/>
        <w:rPr>
          <w:b/>
          <w:bCs/>
        </w:rPr>
      </w:pPr>
      <w:r>
        <w:t>28.</w:t>
      </w:r>
      <w:r>
        <w:tab/>
      </w:r>
      <w:r w:rsidRPr="00F817CE">
        <w:rPr>
          <w:b/>
        </w:rPr>
        <w:t>Комитет рекомендует государству-участнику:</w:t>
      </w:r>
    </w:p>
    <w:p w14:paraId="5A308CB4" w14:textId="783703A1" w:rsidR="008B04B0" w:rsidRPr="001D5EC4" w:rsidRDefault="00A04B6F" w:rsidP="008B04B0">
      <w:pPr>
        <w:pStyle w:val="SingleTxt"/>
        <w:rPr>
          <w:b/>
          <w:bCs/>
        </w:rPr>
      </w:pPr>
      <w:r>
        <w:tab/>
        <w:t>а)</w:t>
      </w:r>
      <w:r>
        <w:tab/>
      </w:r>
      <w:r w:rsidR="008B04B0" w:rsidRPr="00F817CE">
        <w:rPr>
          <w:b/>
        </w:rPr>
        <w:t>внести поправки в раздел 19 Закона о реформировании сферы сексуальных услуг 2003 года в целях сокращения его негативного воздействия на женщин-мигрантов;</w:t>
      </w:r>
    </w:p>
    <w:p w14:paraId="1392BFB8" w14:textId="396760A1" w:rsidR="008B04B0" w:rsidRPr="009C5E43" w:rsidRDefault="00A04B6F" w:rsidP="008B04B0">
      <w:pPr>
        <w:pStyle w:val="SingleTxt"/>
        <w:rPr>
          <w:b/>
          <w:bCs/>
        </w:rPr>
      </w:pPr>
      <w:r>
        <w:tab/>
      </w:r>
      <w:r w:rsidR="008B04B0">
        <w:t>b)</w:t>
      </w:r>
      <w:r>
        <w:tab/>
      </w:r>
      <w:r w:rsidR="008B04B0" w:rsidRPr="009C5E43">
        <w:rPr>
          <w:b/>
        </w:rPr>
        <w:t>пересмотреть законы о миграции, исключить возможность того, чтобы единственной мерой наказания за торговлю людьми являлся штраф, и принять меры, направленные на предупреждение дискриминации в отношении женщин, занимающихся проституцией в государстве-участнике, в целях предотвращения и устранения факторов и структур, которые делают женщин-мигрантов более уязвимыми в плане торговли людьми;</w:t>
      </w:r>
    </w:p>
    <w:p w14:paraId="7FD19FA6" w14:textId="78A31AB4" w:rsidR="008B04B0" w:rsidRPr="009C5E43" w:rsidRDefault="00A04B6F" w:rsidP="008B04B0">
      <w:pPr>
        <w:pStyle w:val="SingleTxt"/>
        <w:rPr>
          <w:b/>
          <w:bCs/>
        </w:rPr>
      </w:pPr>
      <w:r>
        <w:tab/>
      </w:r>
      <w:r w:rsidR="008B04B0">
        <w:t>c)</w:t>
      </w:r>
      <w:r>
        <w:tab/>
      </w:r>
      <w:r w:rsidR="008B04B0" w:rsidRPr="009C5E43">
        <w:rPr>
          <w:b/>
        </w:rPr>
        <w:t>укрепить механизмы выявления, защиты и оказания помощи жертвам торговли людьми и сексуальной эксплуатации, оказывать им правовую поддержку, а также систематически осуществлять сбор исчерпывающих данных о жертвах торговли людьми и предоставить их Комитету в своем следующем периодическом докладе;</w:t>
      </w:r>
    </w:p>
    <w:p w14:paraId="27E6B125" w14:textId="6C87DE81" w:rsidR="008B04B0" w:rsidRPr="009C5E43" w:rsidRDefault="00A04B6F" w:rsidP="008B04B0">
      <w:pPr>
        <w:pStyle w:val="SingleTxt"/>
        <w:rPr>
          <w:b/>
        </w:rPr>
      </w:pPr>
      <w:r>
        <w:tab/>
      </w:r>
      <w:r w:rsidR="008B04B0">
        <w:t>d)</w:t>
      </w:r>
      <w:r>
        <w:tab/>
      </w:r>
      <w:r w:rsidR="008B04B0" w:rsidRPr="009C5E43">
        <w:rPr>
          <w:b/>
        </w:rPr>
        <w:t>оперативно принять новый национальный план действий по борьбе с торговлей людьми в соответствии с Протоколом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p>
    <w:p w14:paraId="5826AC6F" w14:textId="654B2309" w:rsidR="008B04B0" w:rsidRPr="00E80D5C" w:rsidRDefault="00A04B6F" w:rsidP="008B04B0">
      <w:pPr>
        <w:pStyle w:val="SingleTxt"/>
        <w:rPr>
          <w:b/>
          <w:bCs/>
        </w:rPr>
      </w:pPr>
      <w:r>
        <w:tab/>
      </w:r>
      <w:r w:rsidR="008B04B0">
        <w:t>e)</w:t>
      </w:r>
      <w:r>
        <w:tab/>
      </w:r>
      <w:r w:rsidR="008B04B0" w:rsidRPr="00E80D5C">
        <w:rPr>
          <w:b/>
        </w:rPr>
        <w:t>пересмотреть законопроект 2015 года о поправках к Закону о преступлениях, с тем чтобы квалифицировать торговлю детьми как преступление даже в тех случаях, когда принуждение, обман или иные злоупотребления властью не применяются;</w:t>
      </w:r>
    </w:p>
    <w:p w14:paraId="5EB20FEA" w14:textId="369EDC30" w:rsidR="008B04B0" w:rsidRDefault="00A04B6F" w:rsidP="008B04B0">
      <w:pPr>
        <w:pStyle w:val="SingleTxt"/>
        <w:rPr>
          <w:b/>
        </w:rPr>
      </w:pPr>
      <w:r>
        <w:tab/>
      </w:r>
      <w:r w:rsidR="008B04B0">
        <w:t>f)</w:t>
      </w:r>
      <w:r w:rsidR="008B04B0">
        <w:tab/>
      </w:r>
      <w:r w:rsidR="008B04B0" w:rsidRPr="004573E1">
        <w:rPr>
          <w:b/>
        </w:rPr>
        <w:t>обеспечить предоставление жертвам торговли людьми надлежащей защиты и поддержки, в том числе путем создания отдельных хорошо укомплектованных приютов с профессионально подготовленным персоналом для удовлетворения их конкретных потребностей и запросов, и активизировать для жертв торговли людьми долгосрочные меры реинтеграции</w:t>
      </w:r>
      <w:r w:rsidR="008B04B0">
        <w:rPr>
          <w:b/>
        </w:rPr>
        <w:t>.</w:t>
      </w:r>
    </w:p>
    <w:p w14:paraId="0771FE06" w14:textId="3B2AE4D3" w:rsidR="00222F95" w:rsidRPr="00222F95" w:rsidRDefault="00222F95" w:rsidP="00222F95">
      <w:pPr>
        <w:pStyle w:val="SingleTxt"/>
        <w:spacing w:after="0" w:line="120" w:lineRule="exact"/>
        <w:rPr>
          <w:b/>
          <w:sz w:val="10"/>
        </w:rPr>
      </w:pPr>
    </w:p>
    <w:p w14:paraId="70196BEE" w14:textId="50EFBA3C" w:rsidR="008B04B0" w:rsidRDefault="008B04B0" w:rsidP="00222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Участие в политической и общественной жизни </w:t>
      </w:r>
    </w:p>
    <w:p w14:paraId="17C87806" w14:textId="00B14B0F" w:rsidR="00222F95" w:rsidRPr="00222F95" w:rsidRDefault="00222F95" w:rsidP="00222F95">
      <w:pPr>
        <w:pStyle w:val="SingleTxt"/>
        <w:spacing w:after="0" w:line="120" w:lineRule="exact"/>
        <w:rPr>
          <w:sz w:val="10"/>
        </w:rPr>
      </w:pPr>
    </w:p>
    <w:p w14:paraId="1A4E8731" w14:textId="77777777" w:rsidR="008B04B0" w:rsidRPr="00767224" w:rsidRDefault="008B04B0" w:rsidP="008B04B0">
      <w:pPr>
        <w:pStyle w:val="SingleTxt"/>
      </w:pPr>
      <w:r>
        <w:t>29.</w:t>
      </w:r>
      <w:r>
        <w:tab/>
        <w:t>Комитет отмечает прогресс, достигнутый в обеспечении представительства женщин в парламенте, а также уже в третий раз назначение в 2017 году на пост премьер министра Новой Зеландии женщины. Он также отмечает, что после всеобщих выборов 2017 года женщины составили 38 процентов от общего числа членов парламента, включая женщин-парламентариев маори и женщин-парламентариев, принадлежащих к этническим меньшинствам. Тем не менее Комитет обеспокоен низким уровнем представленности женщин на руководящих должностях на других уровнях и в других секторах: среди директоров компаний, зарегистрированных на главной площадке фондовой биржи Новой Зеландии, лишь 19 процентов являются женщинами, а на 56 процентах предприятий женщины на старших руководящих должностях</w:t>
      </w:r>
      <w:r w:rsidRPr="004573E1">
        <w:t xml:space="preserve"> </w:t>
      </w:r>
      <w:r>
        <w:t>не представлены вовсе.</w:t>
      </w:r>
    </w:p>
    <w:p w14:paraId="51A534D9" w14:textId="0E33CAB8" w:rsidR="008B04B0" w:rsidRDefault="008B04B0" w:rsidP="008B04B0">
      <w:pPr>
        <w:pStyle w:val="SingleTxt"/>
        <w:rPr>
          <w:b/>
        </w:rPr>
      </w:pPr>
      <w:r>
        <w:t>30.</w:t>
      </w:r>
      <w:r>
        <w:tab/>
      </w:r>
      <w:r w:rsidRPr="001833C2">
        <w:rPr>
          <w:b/>
        </w:rPr>
        <w:t xml:space="preserve">Комитет рекомендует государству-участнику принять и осуществить временные специальные меры, включая цели с установленными сроками исполнения, квоты или режим преференций, в целях ускорения обеспечения равной представленности женщин на руководящих должностях во всех областях и на всех уровнях как в государственном, так и в частном секторах. </w:t>
      </w:r>
    </w:p>
    <w:p w14:paraId="73F4B41E" w14:textId="0DAEDF18" w:rsidR="00222F95" w:rsidRPr="00222F95" w:rsidRDefault="00222F95" w:rsidP="00222F95">
      <w:pPr>
        <w:pStyle w:val="SingleTxt"/>
        <w:spacing w:after="0" w:line="120" w:lineRule="exact"/>
        <w:rPr>
          <w:b/>
          <w:sz w:val="10"/>
        </w:rPr>
      </w:pPr>
    </w:p>
    <w:p w14:paraId="49E93EB3" w14:textId="187F5D13" w:rsidR="008B04B0" w:rsidRDefault="008B04B0" w:rsidP="00222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Образование </w:t>
      </w:r>
    </w:p>
    <w:p w14:paraId="69226D34" w14:textId="68C452C8" w:rsidR="00222F95" w:rsidRPr="00222F95" w:rsidRDefault="00222F95" w:rsidP="00222F95">
      <w:pPr>
        <w:pStyle w:val="SingleTxt"/>
        <w:spacing w:after="0" w:line="120" w:lineRule="exact"/>
        <w:rPr>
          <w:sz w:val="10"/>
        </w:rPr>
      </w:pPr>
    </w:p>
    <w:p w14:paraId="14173903" w14:textId="77777777" w:rsidR="008B04B0" w:rsidRDefault="008B04B0" w:rsidP="008B04B0">
      <w:pPr>
        <w:pStyle w:val="SingleTxt"/>
      </w:pPr>
      <w:r>
        <w:t>31.</w:t>
      </w:r>
      <w:r>
        <w:tab/>
        <w:t>Комитет высоко оценивает усилия</w:t>
      </w:r>
      <w:r w:rsidRPr="00F84B7F">
        <w:t xml:space="preserve"> </w:t>
      </w:r>
      <w:r>
        <w:t>государства-участника, направленные на расширение возможностей женщин в области науки, техники, инженерного дела и математики, а также в области информационно-коммуникационных технологий (ИКТ), в частности тот факт, что среди учащихся средних школ велась работа по поощрению их к получению образования и трудовой деятельности в области науки, техники, инженерного дела и математики, особенно среди жителей тихоокеанских островов, а также тот факт, что в 2014 году государство-участник выделило 28,6 млн. долл. США на четыре года для осуществления программы ИКТ для выпускников средней школы, направленной на повышение представленности национальных меньшинств среди учащихся в области ИКТ. Вместе с тем у Комитета по-прежнему вызывают обеспокоенность:</w:t>
      </w:r>
    </w:p>
    <w:p w14:paraId="59F2F5B7" w14:textId="70381F9B" w:rsidR="008B04B0" w:rsidRPr="00767224" w:rsidRDefault="00222F95" w:rsidP="008B04B0">
      <w:pPr>
        <w:pStyle w:val="SingleTxt"/>
      </w:pPr>
      <w:r>
        <w:tab/>
      </w:r>
      <w:r w:rsidR="008B04B0">
        <w:t>а)</w:t>
      </w:r>
      <w:r>
        <w:tab/>
      </w:r>
      <w:r w:rsidR="008B04B0">
        <w:t xml:space="preserve">ограниченный доступ к среднему и высшему образованию для многих девочек и женщин, проживающих в сельских районах; </w:t>
      </w:r>
    </w:p>
    <w:p w14:paraId="58C94E36" w14:textId="01B0F52C" w:rsidR="008B04B0" w:rsidRPr="00767224" w:rsidRDefault="008B04B0" w:rsidP="008B04B0">
      <w:pPr>
        <w:pStyle w:val="SingleTxt"/>
      </w:pPr>
      <w:r>
        <w:tab/>
        <w:t>b)</w:t>
      </w:r>
      <w:r w:rsidR="00222F95">
        <w:tab/>
      </w:r>
      <w:r>
        <w:t>отсутствие в школьной программе всеобъемлющего, учитывающего культурные особенности и соответствующего возрасту полового воспитания или просвещения по вопросам вредной практики и гендерного насилия в отношении женщин и девочек, что ведет к дальнейшему повышению показателей сексуального насилия и ранней беременности, а также недостаток полового просвещения, конкретно учитывающего потребности молодежи и общин маори;</w:t>
      </w:r>
    </w:p>
    <w:p w14:paraId="3DCA5A90" w14:textId="10E64A20" w:rsidR="008B04B0" w:rsidRPr="00767224" w:rsidRDefault="00222F95" w:rsidP="008B04B0">
      <w:pPr>
        <w:pStyle w:val="SingleTxt"/>
      </w:pPr>
      <w:r>
        <w:tab/>
      </w:r>
      <w:r w:rsidR="008B04B0">
        <w:t>c)</w:t>
      </w:r>
      <w:r>
        <w:tab/>
      </w:r>
      <w:r w:rsidR="008B04B0">
        <w:t>увеличение числа девочек, бросающих школу, в том числе в результате беременности в подростковом возрасте;</w:t>
      </w:r>
    </w:p>
    <w:p w14:paraId="17012433" w14:textId="07F47CEA" w:rsidR="008B04B0" w:rsidRPr="00767224" w:rsidRDefault="00222F95" w:rsidP="008B04B0">
      <w:pPr>
        <w:pStyle w:val="SingleTxt"/>
      </w:pPr>
      <w:r>
        <w:tab/>
      </w:r>
      <w:r w:rsidR="008B04B0">
        <w:t>d)</w:t>
      </w:r>
      <w:r>
        <w:tab/>
      </w:r>
      <w:r w:rsidR="008B04B0">
        <w:t>недостаток данных с разбивкой по признаку пола, этнической принадлежности и инвалидности о зачислении учащихся на всех уровнях, в частности в сфере высшего образования, а также о показателях отсева и их причинах;</w:t>
      </w:r>
    </w:p>
    <w:p w14:paraId="21D682DC" w14:textId="56C7E30F" w:rsidR="008B04B0" w:rsidRPr="00767224" w:rsidRDefault="00222F95" w:rsidP="008B04B0">
      <w:pPr>
        <w:pStyle w:val="SingleTxt"/>
      </w:pPr>
      <w:r>
        <w:tab/>
      </w:r>
      <w:r w:rsidR="008B04B0">
        <w:t>e)</w:t>
      </w:r>
      <w:r>
        <w:tab/>
      </w:r>
      <w:r w:rsidR="008B04B0">
        <w:t>тот факт, что женщины и девочки сосредоточены в традиционно женских областях образования и недостаточно представлены в области науки и техники;</w:t>
      </w:r>
    </w:p>
    <w:p w14:paraId="3D66EC97" w14:textId="439DCCD8" w:rsidR="008B04B0" w:rsidRPr="00767224" w:rsidRDefault="00222F95" w:rsidP="008B04B0">
      <w:pPr>
        <w:pStyle w:val="SingleTxt"/>
      </w:pPr>
      <w:r>
        <w:tab/>
      </w:r>
      <w:r w:rsidR="008B04B0">
        <w:t>f)</w:t>
      </w:r>
      <w:r>
        <w:tab/>
      </w:r>
      <w:r w:rsidR="008B04B0">
        <w:t>рост препятствий на пути получения образования девочками, живущими в сельских районах, в связи с ростом транспортных расходов, закрытием сельских школ, сокращением государственного финансирования услуг в области образования в общинах и информационным барьером, касающимся обязанности платить школам так называемые "добровольные пожертвования".</w:t>
      </w:r>
    </w:p>
    <w:p w14:paraId="308F3F50" w14:textId="77777777" w:rsidR="008B04B0" w:rsidRPr="00343BBC" w:rsidRDefault="008B04B0" w:rsidP="008B04B0">
      <w:pPr>
        <w:pStyle w:val="SingleTxt"/>
        <w:rPr>
          <w:b/>
          <w:bCs/>
        </w:rPr>
      </w:pPr>
      <w:r>
        <w:t>32.</w:t>
      </w:r>
      <w:r>
        <w:tab/>
      </w:r>
      <w:r w:rsidRPr="00343BBC">
        <w:rPr>
          <w:b/>
        </w:rPr>
        <w:t>Ссылаясь на свою общую рекомендацию № 36 (2017) о праве девочек и женщин на образование, Комитет рекомендует государству-участнику принять необходимые меры в области законодательства и политики и выделить достаточные ресурсы с целью:</w:t>
      </w:r>
    </w:p>
    <w:p w14:paraId="027CAD78" w14:textId="4F3EC00B" w:rsidR="008B04B0" w:rsidRPr="00343BBC" w:rsidRDefault="00222F95" w:rsidP="008B04B0">
      <w:pPr>
        <w:pStyle w:val="SingleTxt"/>
        <w:rPr>
          <w:b/>
          <w:bCs/>
        </w:rPr>
      </w:pPr>
      <w:r>
        <w:tab/>
      </w:r>
      <w:r w:rsidR="008B04B0">
        <w:t>а)</w:t>
      </w:r>
      <w:r>
        <w:tab/>
      </w:r>
      <w:r w:rsidR="008B04B0" w:rsidRPr="00343BBC">
        <w:rPr>
          <w:b/>
        </w:rPr>
        <w:t>содействовать доступу девочек и женщин, живущих в сельских районах, к среднему и высшему образованию, в том числе посредством увеличения объема ресурсов;</w:t>
      </w:r>
    </w:p>
    <w:p w14:paraId="04177A10" w14:textId="35E55C4B" w:rsidR="008B04B0" w:rsidRPr="00343BBC" w:rsidRDefault="00222F95" w:rsidP="008B04B0">
      <w:pPr>
        <w:pStyle w:val="SingleTxt"/>
        <w:rPr>
          <w:b/>
          <w:bCs/>
        </w:rPr>
      </w:pPr>
      <w:r>
        <w:tab/>
      </w:r>
      <w:r w:rsidR="008B04B0">
        <w:t>b)</w:t>
      </w:r>
      <w:r>
        <w:tab/>
      </w:r>
      <w:r w:rsidR="008B04B0" w:rsidRPr="00343BBC">
        <w:rPr>
          <w:b/>
        </w:rPr>
        <w:t>обеспечить включение в школьную программу обязательного, учитывающего культурные особенности и соответствующего возрасту просвещения по вопросам сексуального и репродуктивного здоровья и прав и ответственного сексуального поведения, уделяющего особое внимание предупреждению и последствиям ранней беременности и инфекций, передающихся половым путем;</w:t>
      </w:r>
    </w:p>
    <w:p w14:paraId="13B26466" w14:textId="564D9898" w:rsidR="008B04B0" w:rsidRPr="00343BBC" w:rsidRDefault="00222F95" w:rsidP="008B04B0">
      <w:pPr>
        <w:pStyle w:val="SingleTxt"/>
        <w:rPr>
          <w:b/>
          <w:bCs/>
        </w:rPr>
      </w:pPr>
      <w:r>
        <w:tab/>
      </w:r>
      <w:r w:rsidR="008B04B0">
        <w:t>c)</w:t>
      </w:r>
      <w:r>
        <w:tab/>
      </w:r>
      <w:r w:rsidR="008B04B0" w:rsidRPr="00343BBC">
        <w:rPr>
          <w:b/>
        </w:rPr>
        <w:t>предоставить девочкам безопасные условия обучения, исключающие дискриминацию и сексуальное насилие, и включить в учебную программу просвещение по вопросам недопущения насилия;</w:t>
      </w:r>
    </w:p>
    <w:p w14:paraId="3DC26A72" w14:textId="59C1B4BC" w:rsidR="008B04B0" w:rsidRPr="00E17CCD" w:rsidRDefault="00222F95" w:rsidP="008B04B0">
      <w:pPr>
        <w:pStyle w:val="SingleTxt"/>
        <w:rPr>
          <w:b/>
          <w:bCs/>
        </w:rPr>
      </w:pPr>
      <w:r>
        <w:tab/>
      </w:r>
      <w:r w:rsidR="008B04B0">
        <w:t>d)</w:t>
      </w:r>
      <w:r>
        <w:tab/>
      </w:r>
      <w:r w:rsidR="008B04B0" w:rsidRPr="00E17CCD">
        <w:rPr>
          <w:b/>
        </w:rPr>
        <w:t>активизировать усилия, направленные на обеспечение того, чтобы на беременных девочек-подростков не оказывалось никакого давления с целью заставить их бросить школу или перейти на другую программу обучения, и разработать политику реинтеграции для несовершеннолетних матерей, одновременно следя за тем, чтобы подростковая беременность и материнство н</w:t>
      </w:r>
      <w:r w:rsidR="008B04B0">
        <w:rPr>
          <w:b/>
        </w:rPr>
        <w:t>е</w:t>
      </w:r>
      <w:r w:rsidR="008B04B0" w:rsidRPr="00E17CCD">
        <w:rPr>
          <w:b/>
        </w:rPr>
        <w:t xml:space="preserve"> начали восприниматься в качестве нормы;</w:t>
      </w:r>
    </w:p>
    <w:p w14:paraId="667A7A5B" w14:textId="3DCAC767" w:rsidR="008B04B0" w:rsidRPr="00A82979" w:rsidRDefault="00222F95" w:rsidP="008B04B0">
      <w:pPr>
        <w:pStyle w:val="SingleTxt"/>
        <w:rPr>
          <w:b/>
          <w:bCs/>
        </w:rPr>
      </w:pPr>
      <w:r>
        <w:tab/>
      </w:r>
      <w:r w:rsidR="008B04B0">
        <w:t>e)</w:t>
      </w:r>
      <w:r>
        <w:tab/>
      </w:r>
      <w:r w:rsidR="008B04B0" w:rsidRPr="00A82979">
        <w:rPr>
          <w:b/>
        </w:rPr>
        <w:t xml:space="preserve">продолжать искоренять стереотипы и структурные барьеры, которые могут удерживать девочек от поступления на учебные специальности, в которых традиционно доминируют мужчины, обеспечить предоставление девочкам консультаций по вопросам развития карьеры, стипендий и других стимулов, призванных ориентировать их на выбор научно-технических дисциплин, включая метеорологические исследования, снижение риска бедствий и изменение климата, а также обеспечить, чтобы программа подготовки преподавателей включала проблему борьбы со стереотипами; </w:t>
      </w:r>
    </w:p>
    <w:p w14:paraId="03B4DC9D" w14:textId="4E6FA7CD" w:rsidR="008B04B0" w:rsidRDefault="00222F95" w:rsidP="008B04B0">
      <w:pPr>
        <w:pStyle w:val="SingleTxt"/>
        <w:rPr>
          <w:b/>
        </w:rPr>
      </w:pPr>
      <w:r>
        <w:tab/>
      </w:r>
      <w:r w:rsidR="008B04B0">
        <w:t>f)</w:t>
      </w:r>
      <w:r>
        <w:tab/>
      </w:r>
      <w:r w:rsidR="008B04B0" w:rsidRPr="00A82979">
        <w:rPr>
          <w:b/>
        </w:rPr>
        <w:t xml:space="preserve">устранить все препятствия на пути получения образования девочками, живущими в сельских районах, в том числе проблемы, связанные с финансами и транспортом. </w:t>
      </w:r>
    </w:p>
    <w:p w14:paraId="2C85470E" w14:textId="1003A6ED" w:rsidR="00A5718F" w:rsidRPr="00A5718F" w:rsidRDefault="00A5718F" w:rsidP="00A5718F">
      <w:pPr>
        <w:pStyle w:val="SingleTxt"/>
        <w:spacing w:after="0" w:line="120" w:lineRule="exact"/>
        <w:rPr>
          <w:b/>
          <w:sz w:val="10"/>
        </w:rPr>
      </w:pPr>
    </w:p>
    <w:p w14:paraId="4C80278F" w14:textId="3E4D6CEB" w:rsidR="008B04B0" w:rsidRDefault="008B04B0" w:rsidP="00A571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5718F">
        <w:t>Занятость</w:t>
      </w:r>
    </w:p>
    <w:p w14:paraId="3B585561" w14:textId="46D03431" w:rsidR="00A5718F" w:rsidRPr="00A5718F" w:rsidRDefault="00A5718F" w:rsidP="00A5718F">
      <w:pPr>
        <w:pStyle w:val="SingleTxt"/>
        <w:spacing w:after="0" w:line="120" w:lineRule="exact"/>
        <w:rPr>
          <w:sz w:val="10"/>
        </w:rPr>
      </w:pPr>
    </w:p>
    <w:p w14:paraId="6B7A7F73" w14:textId="77777777" w:rsidR="008B04B0" w:rsidRPr="00767224" w:rsidRDefault="008B04B0" w:rsidP="008B04B0">
      <w:pPr>
        <w:pStyle w:val="SingleTxt"/>
      </w:pPr>
      <w:r>
        <w:t>33.</w:t>
      </w:r>
      <w:r>
        <w:tab/>
        <w:t>Комитет приветствует принятие государством-участником гендерных принципов оплаты труда. Кроме того, он высоко оценивает решение государства-участника выделить 2 млрд. долл. США для обеспечения равной оплаты труда 55 тыс. работников по уходу и социальной поддержке, работающих в специализированных учреждениях государства-участника для пожилых людей и инвалидов, службах по уходу на дому и в общинах, а также возобновить работу совместной рабочей группы по принципам равной оплаты. Вместе с тем Комитет с обеспокоенностью отмечает следующее:</w:t>
      </w:r>
    </w:p>
    <w:p w14:paraId="55784B33" w14:textId="1684B3B4" w:rsidR="008B04B0" w:rsidRPr="00767224" w:rsidRDefault="000D4311" w:rsidP="008B04B0">
      <w:pPr>
        <w:pStyle w:val="SingleTxt"/>
      </w:pPr>
      <w:r>
        <w:tab/>
      </w:r>
      <w:r w:rsidR="008B04B0">
        <w:t>а)</w:t>
      </w:r>
      <w:r>
        <w:tab/>
      </w:r>
      <w:r w:rsidR="008B04B0">
        <w:t>сохраняющуюся дискриминацию в отношении женщин и женщин-инвалидов маори и тихоокеанских народностей на рынке труда;</w:t>
      </w:r>
    </w:p>
    <w:p w14:paraId="02E9B714" w14:textId="115CE778" w:rsidR="008B04B0" w:rsidRPr="00767224" w:rsidRDefault="000D4311" w:rsidP="008B04B0">
      <w:pPr>
        <w:pStyle w:val="SingleTxt"/>
      </w:pPr>
      <w:r>
        <w:tab/>
      </w:r>
      <w:r w:rsidR="008B04B0">
        <w:t>b)</w:t>
      </w:r>
      <w:r>
        <w:tab/>
      </w:r>
      <w:r w:rsidR="008B04B0">
        <w:t>высокий уровень безработицы среди женщин в возрасте до 25 лет;</w:t>
      </w:r>
    </w:p>
    <w:p w14:paraId="5B211BAF" w14:textId="13BA0114" w:rsidR="008B04B0" w:rsidRPr="00767224" w:rsidRDefault="000D4311" w:rsidP="008B04B0">
      <w:pPr>
        <w:pStyle w:val="SingleTxt"/>
      </w:pPr>
      <w:r>
        <w:tab/>
      </w:r>
      <w:r w:rsidR="008B04B0">
        <w:t>c)</w:t>
      </w:r>
      <w:r>
        <w:tab/>
      </w:r>
      <w:r w:rsidR="008B04B0">
        <w:t>сохраняющийся гендерный разрыв в оплате труда, который в непропорционально большой степени затрагивает женщин на низкооплачиваемых работах, в том числе женщин маори и тихоокеанских народностей и женщин, принадлежащих к другим этническим и культурным меньшинствам;</w:t>
      </w:r>
    </w:p>
    <w:p w14:paraId="202FE2DE" w14:textId="5321FCEB" w:rsidR="008B04B0" w:rsidRPr="00767224" w:rsidRDefault="000D4311" w:rsidP="008B04B0">
      <w:pPr>
        <w:pStyle w:val="SingleTxt"/>
      </w:pPr>
      <w:r>
        <w:tab/>
      </w:r>
      <w:r w:rsidR="008B04B0">
        <w:t>d)</w:t>
      </w:r>
      <w:r>
        <w:tab/>
      </w:r>
      <w:r w:rsidR="008B04B0">
        <w:t>сегрегацию в области занятости с сопутствующим различием в оплате труда и высокую концентрацию женщин на неоплачиваемых или низкооплачиваемых работах в неформальном секторе экономики;</w:t>
      </w:r>
    </w:p>
    <w:p w14:paraId="681F2468" w14:textId="00C5DB88" w:rsidR="008B04B0" w:rsidRPr="00767224" w:rsidRDefault="000D4311" w:rsidP="008B04B0">
      <w:pPr>
        <w:pStyle w:val="SingleTxt"/>
      </w:pPr>
      <w:r>
        <w:tab/>
      </w:r>
      <w:r w:rsidR="008B04B0">
        <w:t>e)</w:t>
      </w:r>
      <w:r>
        <w:tab/>
      </w:r>
      <w:r w:rsidR="008B04B0">
        <w:t>сокращение финансирования объектов и услуг по уходу за детьми, что мешает женщинам в равной степени участвовать в трудовой деятельности, а также ведет к потере женщинами своих рабочих мест.</w:t>
      </w:r>
    </w:p>
    <w:p w14:paraId="0DC487BF" w14:textId="77777777" w:rsidR="008B04B0" w:rsidRPr="00226E94" w:rsidRDefault="008B04B0" w:rsidP="008B04B0">
      <w:pPr>
        <w:pStyle w:val="SingleTxt"/>
        <w:rPr>
          <w:b/>
          <w:bCs/>
        </w:rPr>
      </w:pPr>
      <w:r>
        <w:t>34.</w:t>
      </w:r>
      <w:r>
        <w:tab/>
      </w:r>
      <w:r w:rsidRPr="00226E94">
        <w:rPr>
          <w:b/>
        </w:rPr>
        <w:t>Комитет рекомендует государству-участнику принять и осуществлять политику с задачами и показателями, имеющими конкретные сроки исполнения, для расширения возможностей женщин в сфере официальной занятости, ликвидации сегрегации в области занятости и достижения фактического равенства между мужчинами и женщинами на рынке труда. Комитет также рекомендует государству-участнику:</w:t>
      </w:r>
    </w:p>
    <w:p w14:paraId="47985552" w14:textId="6FC9EE66" w:rsidR="008B04B0" w:rsidRPr="00226E94" w:rsidRDefault="00592D4A" w:rsidP="008B04B0">
      <w:pPr>
        <w:pStyle w:val="SingleTxt"/>
        <w:rPr>
          <w:b/>
          <w:bCs/>
        </w:rPr>
      </w:pPr>
      <w:r>
        <w:tab/>
      </w:r>
      <w:r w:rsidR="008B04B0">
        <w:t>а)</w:t>
      </w:r>
      <w:r>
        <w:tab/>
      </w:r>
      <w:r w:rsidR="008B04B0" w:rsidRPr="00226E94">
        <w:rPr>
          <w:b/>
        </w:rPr>
        <w:t>в срочном порядке пересмотреть условия труда женщин маори и тихоокеанских народностей, женщин-инвалидов и молодых женщин во всех сферах занятости, в том числе посредством сбора и анализа данных;</w:t>
      </w:r>
    </w:p>
    <w:p w14:paraId="3A0E07B3" w14:textId="789963BF" w:rsidR="008B04B0" w:rsidRPr="00226E94" w:rsidRDefault="00592D4A" w:rsidP="008B04B0">
      <w:pPr>
        <w:pStyle w:val="SingleTxt"/>
        <w:rPr>
          <w:b/>
          <w:bCs/>
        </w:rPr>
      </w:pPr>
      <w:r>
        <w:tab/>
        <w:t>b)</w:t>
      </w:r>
      <w:r>
        <w:tab/>
      </w:r>
      <w:r w:rsidR="008B04B0" w:rsidRPr="00226E94">
        <w:rPr>
          <w:b/>
        </w:rPr>
        <w:t>рассмотреть возможность принятия нового закона на основе рекомендаций возобновившей работу Совместной рабочей группы по принципам равной оплаты труда, в целях его применения как в государственном, так и</w:t>
      </w:r>
      <w:r w:rsidR="008B04B0">
        <w:rPr>
          <w:b/>
        </w:rPr>
        <w:t xml:space="preserve"> в</w:t>
      </w:r>
      <w:r w:rsidR="008B04B0" w:rsidRPr="00226E94">
        <w:rPr>
          <w:b/>
        </w:rPr>
        <w:t xml:space="preserve"> частном сектор</w:t>
      </w:r>
      <w:r w:rsidR="008B04B0">
        <w:rPr>
          <w:b/>
        </w:rPr>
        <w:t>е</w:t>
      </w:r>
      <w:r w:rsidR="008B04B0" w:rsidRPr="00226E94">
        <w:rPr>
          <w:b/>
        </w:rPr>
        <w:t xml:space="preserve">; </w:t>
      </w:r>
    </w:p>
    <w:p w14:paraId="474A40DC" w14:textId="426AB731" w:rsidR="008B04B0" w:rsidRPr="00226E94" w:rsidRDefault="008B04B0" w:rsidP="008B04B0">
      <w:pPr>
        <w:pStyle w:val="SingleTxt"/>
        <w:rPr>
          <w:b/>
          <w:bCs/>
        </w:rPr>
      </w:pPr>
      <w:r>
        <w:tab/>
        <w:t>c)</w:t>
      </w:r>
      <w:r w:rsidR="00592D4A">
        <w:tab/>
      </w:r>
      <w:r w:rsidRPr="00226E94">
        <w:rPr>
          <w:b/>
        </w:rPr>
        <w:t>принять и применять принцип равной оплаты за труд равной ценности в пересмотренном законодательстве о трудовых отношениях, охватывающем рабочие места как в государственном, так и в частном секторе, в том числе с помощью аналитических методов классификации и оценки должностей и регулярных обследований уровней оплаты труда, а также регулярно пересматривать размеры оплаты труда в секторах, в которых в основном заняты женщины;</w:t>
      </w:r>
    </w:p>
    <w:p w14:paraId="06A701CE" w14:textId="6184E75A" w:rsidR="008B04B0" w:rsidRPr="00226E94" w:rsidRDefault="00592D4A" w:rsidP="008B04B0">
      <w:pPr>
        <w:pStyle w:val="SingleTxt"/>
        <w:rPr>
          <w:b/>
          <w:bCs/>
        </w:rPr>
      </w:pPr>
      <w:r>
        <w:tab/>
      </w:r>
      <w:r w:rsidR="008B04B0">
        <w:t>d)</w:t>
      </w:r>
      <w:r>
        <w:tab/>
      </w:r>
      <w:r w:rsidR="008B04B0" w:rsidRPr="00226E94">
        <w:rPr>
          <w:b/>
        </w:rPr>
        <w:t>принять временные специальные меры в целях устранения профессиональной сегрегации и обеспечить равные возможности для продвижения по службе для женщин и мужчин;</w:t>
      </w:r>
    </w:p>
    <w:p w14:paraId="4FFCF30F" w14:textId="55E18CD1" w:rsidR="008B04B0" w:rsidRDefault="00592D4A" w:rsidP="008B04B0">
      <w:pPr>
        <w:pStyle w:val="SingleTxt"/>
        <w:rPr>
          <w:b/>
        </w:rPr>
      </w:pPr>
      <w:r>
        <w:tab/>
      </w:r>
      <w:r w:rsidR="008B04B0">
        <w:t>e)</w:t>
      </w:r>
      <w:r>
        <w:tab/>
      </w:r>
      <w:r w:rsidR="008B04B0" w:rsidRPr="00B871F2">
        <w:rPr>
          <w:b/>
        </w:rPr>
        <w:t>обеспечить надлежащее финансирование объектов и услуг по уходу за детьми.</w:t>
      </w:r>
    </w:p>
    <w:p w14:paraId="48E41D1F" w14:textId="723DF704" w:rsidR="00592D4A" w:rsidRPr="00592D4A" w:rsidRDefault="00592D4A" w:rsidP="00592D4A">
      <w:pPr>
        <w:pStyle w:val="SingleTxt"/>
        <w:spacing w:after="0" w:line="120" w:lineRule="exact"/>
        <w:rPr>
          <w:b/>
          <w:sz w:val="10"/>
        </w:rPr>
      </w:pPr>
    </w:p>
    <w:p w14:paraId="36055B45" w14:textId="2B33CC5E" w:rsidR="008B04B0" w:rsidRDefault="008B04B0" w:rsidP="00592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Сексуальные домогательства на рабочем месте </w:t>
      </w:r>
    </w:p>
    <w:p w14:paraId="7D34059D" w14:textId="4FC86593" w:rsidR="00592D4A" w:rsidRPr="00592D4A" w:rsidRDefault="00592D4A" w:rsidP="00592D4A">
      <w:pPr>
        <w:pStyle w:val="SingleTxt"/>
        <w:spacing w:after="0" w:line="120" w:lineRule="exact"/>
        <w:rPr>
          <w:sz w:val="10"/>
        </w:rPr>
      </w:pPr>
    </w:p>
    <w:p w14:paraId="068B3139" w14:textId="77777777" w:rsidR="008B04B0" w:rsidRPr="00E649F1" w:rsidRDefault="008B04B0" w:rsidP="008B04B0">
      <w:pPr>
        <w:pStyle w:val="SingleTxt"/>
      </w:pPr>
      <w:r>
        <w:t>35.</w:t>
      </w:r>
      <w:r>
        <w:tab/>
        <w:t>Комитет выражает обеспокоенность по поводу сексуальных домогательств и других форм сексуального насилия на рабочем месте, а также значительного занижения данных о таких инцидентах. Он с обеспокоенностью отмечает большое число случаев сексуального домогательства и притеснения на рабочем месте, в частности в полиции, вооруженных силах, среди юристов и в секторе здравоохранения.</w:t>
      </w:r>
      <w:r w:rsidRPr="00FA6C90">
        <w:t xml:space="preserve"> </w:t>
      </w:r>
      <w:r>
        <w:t xml:space="preserve">В этой связи Комитет отмечает, что в 2017 году Комиссия по правам человека Новой Зеландии получила 1577 жалоб на незаконную дискриминацию, 123 из которых содержали утверждения о сексуальных домогательствах, что на 43 процента больше, чем число жалоб о сексуальных домогательствах в предыдущие 10 лет. </w:t>
      </w:r>
    </w:p>
    <w:p w14:paraId="24EC124E" w14:textId="77777777" w:rsidR="008B04B0" w:rsidRPr="00673841" w:rsidRDefault="008B04B0" w:rsidP="008B04B0">
      <w:pPr>
        <w:pStyle w:val="SingleTxt"/>
        <w:rPr>
          <w:b/>
          <w:bCs/>
        </w:rPr>
      </w:pPr>
      <w:r>
        <w:t>36.</w:t>
      </w:r>
      <w:r>
        <w:tab/>
      </w:r>
      <w:r w:rsidRPr="00673841">
        <w:rPr>
          <w:b/>
        </w:rPr>
        <w:t>Комитет обращает внимание государства-участника на тот факт, что сексуальные домогательства на рабочем месте представляют собой уголовно наказуемое деяние и имеют дискриминационные последствия, во многих случаях затрагивающие интересы жертвы в отношении оплаты труда, повышения в должности или увольнения и создающие нездоровую рабочую обстановку, что, в свою очередь, затрудняет реализацию жертвой своего профессионального потенциала. Он рекомендует государству-участнику:</w:t>
      </w:r>
    </w:p>
    <w:p w14:paraId="0F86EF77" w14:textId="481539E0" w:rsidR="008B04B0" w:rsidRPr="00673841" w:rsidRDefault="00592D4A" w:rsidP="008B04B0">
      <w:pPr>
        <w:pStyle w:val="SingleTxt"/>
        <w:rPr>
          <w:b/>
          <w:bCs/>
        </w:rPr>
      </w:pPr>
      <w:r>
        <w:tab/>
      </w:r>
      <w:r w:rsidR="008B04B0">
        <w:t>а)</w:t>
      </w:r>
      <w:r>
        <w:tab/>
      </w:r>
      <w:r w:rsidR="008B04B0" w:rsidRPr="00673841">
        <w:rPr>
          <w:b/>
        </w:rPr>
        <w:t>изучить организационную культуру на рабочих местах в целях устранения коренных причин сексуальных домогательств и насилия;</w:t>
      </w:r>
    </w:p>
    <w:p w14:paraId="469D5364" w14:textId="2BE5B4E2" w:rsidR="008B04B0" w:rsidRPr="00B222D4" w:rsidRDefault="00592D4A" w:rsidP="008B04B0">
      <w:pPr>
        <w:pStyle w:val="SingleTxt"/>
        <w:rPr>
          <w:b/>
        </w:rPr>
      </w:pPr>
      <w:r>
        <w:tab/>
      </w:r>
      <w:r w:rsidR="008B04B0">
        <w:t>b)</w:t>
      </w:r>
      <w:r>
        <w:tab/>
      </w:r>
      <w:r w:rsidR="008B04B0" w:rsidRPr="00B222D4">
        <w:rPr>
          <w:b/>
        </w:rPr>
        <w:t>обеспечить, чтобы для всех рабочих мест были разработаны меры борьбы с сексуальными домогательствами и действовала четкая процедура действий жертв;</w:t>
      </w:r>
    </w:p>
    <w:p w14:paraId="1C94EEC9" w14:textId="02934BE1" w:rsidR="008B04B0" w:rsidRDefault="00592D4A" w:rsidP="008B04B0">
      <w:pPr>
        <w:pStyle w:val="SingleTxt"/>
        <w:rPr>
          <w:b/>
        </w:rPr>
      </w:pPr>
      <w:r>
        <w:tab/>
      </w:r>
      <w:r w:rsidR="008B04B0">
        <w:t>c)</w:t>
      </w:r>
      <w:r>
        <w:tab/>
      </w:r>
      <w:r w:rsidR="008B04B0" w:rsidRPr="00982B46">
        <w:rPr>
          <w:b/>
        </w:rPr>
        <w:t>распространить информацию об имеющихся процедурах подачи жалоб и обеспечить расследование жалоб о сексуальных домогательствах и притеснениях на рабочем месте и привлечение виновных к суду.</w:t>
      </w:r>
    </w:p>
    <w:p w14:paraId="67D295C2" w14:textId="14C814F7" w:rsidR="00592D4A" w:rsidRPr="00592D4A" w:rsidRDefault="00592D4A" w:rsidP="00592D4A">
      <w:pPr>
        <w:pStyle w:val="SingleTxt"/>
        <w:spacing w:after="0" w:line="120" w:lineRule="exact"/>
        <w:rPr>
          <w:b/>
          <w:sz w:val="10"/>
        </w:rPr>
      </w:pPr>
    </w:p>
    <w:p w14:paraId="18994520" w14:textId="183CC2B7" w:rsidR="008B04B0" w:rsidRDefault="008B04B0" w:rsidP="00592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Экономические и социальные льготы и расширение экономиче</w:t>
      </w:r>
      <w:r w:rsidR="00592D4A">
        <w:t>ских прав и возможностей женщин</w:t>
      </w:r>
    </w:p>
    <w:p w14:paraId="6E06B3BB" w14:textId="1229F131" w:rsidR="00592D4A" w:rsidRPr="00592D4A" w:rsidRDefault="00592D4A" w:rsidP="00592D4A">
      <w:pPr>
        <w:pStyle w:val="SingleTxt"/>
        <w:spacing w:after="0" w:line="120" w:lineRule="exact"/>
        <w:rPr>
          <w:sz w:val="10"/>
        </w:rPr>
      </w:pPr>
    </w:p>
    <w:p w14:paraId="4AFDA7A1" w14:textId="77777777" w:rsidR="008B04B0" w:rsidRPr="00E649F1" w:rsidRDefault="008B04B0" w:rsidP="008B04B0">
      <w:pPr>
        <w:pStyle w:val="SingleTxt"/>
        <w:rPr>
          <w:bCs/>
        </w:rPr>
      </w:pPr>
      <w:r>
        <w:t>37.</w:t>
      </w:r>
      <w:r>
        <w:tab/>
        <w:t xml:space="preserve">Комитет с обеспокоенностью отмечает, что, учитывая нейтральный в гендерном отношении подход, использованный в Законе о социальном обеспечении 1964 года, в связи с некоторыми его положениями женщины могут подвергаться дискриминации. Он также обеспокоен отсутствием мер, принимаемых государством-участником для выполнения своих экстерриториальных обязательств в отношении уклонения от уплаты налогов, налоговых злоупотреблений и эксплуатации слабых экономических систем в развивающихся странах, что еще больше ограничивает имеющиеся в этих странах ресурсы для поощрения прав женщин и гендерного равенства. </w:t>
      </w:r>
    </w:p>
    <w:p w14:paraId="00149E83" w14:textId="77777777" w:rsidR="008B04B0" w:rsidRPr="00982B46" w:rsidRDefault="008B04B0" w:rsidP="008B04B0">
      <w:pPr>
        <w:pStyle w:val="SingleTxt"/>
        <w:rPr>
          <w:b/>
          <w:bCs/>
        </w:rPr>
      </w:pPr>
      <w:r>
        <w:t>38.</w:t>
      </w:r>
      <w:r>
        <w:tab/>
      </w:r>
      <w:r w:rsidRPr="00982B46">
        <w:rPr>
          <w:b/>
        </w:rPr>
        <w:t>Комитет рекомендует государству-участнику:</w:t>
      </w:r>
    </w:p>
    <w:p w14:paraId="3211C4F5" w14:textId="2D67919A" w:rsidR="008B04B0" w:rsidRPr="00982B46" w:rsidRDefault="00592D4A" w:rsidP="008B04B0">
      <w:pPr>
        <w:pStyle w:val="SingleTxt"/>
        <w:rPr>
          <w:b/>
          <w:bCs/>
        </w:rPr>
      </w:pPr>
      <w:r>
        <w:tab/>
      </w:r>
      <w:r w:rsidR="008B04B0">
        <w:t>а)</w:t>
      </w:r>
      <w:r>
        <w:tab/>
      </w:r>
      <w:r w:rsidR="008B04B0" w:rsidRPr="00982B46">
        <w:rPr>
          <w:b/>
        </w:rPr>
        <w:t>внести поправки в Закон о социальном обеспечении 1964 года, с тем чтобы полностью привести его в соответствие с обязательствами государства-участника по Конвенции;</w:t>
      </w:r>
    </w:p>
    <w:p w14:paraId="6EBDBBC7" w14:textId="144E8A87" w:rsidR="008B04B0" w:rsidRPr="00E649F1" w:rsidRDefault="00592D4A" w:rsidP="008B04B0">
      <w:pPr>
        <w:pStyle w:val="SingleTxt"/>
        <w:rPr>
          <w:bCs/>
        </w:rPr>
      </w:pPr>
      <w:r>
        <w:tab/>
      </w:r>
      <w:r w:rsidR="008B04B0">
        <w:t>b)</w:t>
      </w:r>
      <w:r>
        <w:tab/>
      </w:r>
      <w:r w:rsidR="008B04B0" w:rsidRPr="00A83A1B">
        <w:rPr>
          <w:b/>
        </w:rPr>
        <w:t>увеличить сбор налогов и повысить эффективность управления бюджетными поступлениями в целях увеличения расходов на социальные нужды;</w:t>
      </w:r>
      <w:r w:rsidR="008B04B0">
        <w:t xml:space="preserve"> </w:t>
      </w:r>
    </w:p>
    <w:p w14:paraId="7FD9A16C" w14:textId="3D6A8AD1" w:rsidR="008B04B0" w:rsidRPr="00E649F1" w:rsidRDefault="008B04B0" w:rsidP="008B04B0">
      <w:pPr>
        <w:pStyle w:val="SingleTxt"/>
        <w:rPr>
          <w:bCs/>
        </w:rPr>
      </w:pPr>
      <w:r>
        <w:tab/>
        <w:t>c)</w:t>
      </w:r>
      <w:r w:rsidR="00592D4A">
        <w:tab/>
      </w:r>
      <w:r w:rsidRPr="00A83A1B">
        <w:rPr>
          <w:b/>
        </w:rPr>
        <w:t>принять меры для сокращения масштабов нищеты и расширения экономических прав и возможностей женщин, в частности женщин, живущих в сельских районах, женщин маори и тихоокеанских народностей, женщин азиатского происхождения, женщин из числа иммигрантов, мигрантов и</w:t>
      </w:r>
      <w:r>
        <w:rPr>
          <w:b/>
        </w:rPr>
        <w:t xml:space="preserve"> </w:t>
      </w:r>
      <w:r w:rsidRPr="00A83A1B">
        <w:rPr>
          <w:b/>
        </w:rPr>
        <w:t>беженцев и женщин-инвалидов;</w:t>
      </w:r>
      <w:r>
        <w:t xml:space="preserve"> </w:t>
      </w:r>
    </w:p>
    <w:p w14:paraId="5B12AE3C" w14:textId="607DF50A" w:rsidR="008B04B0" w:rsidRDefault="008B04B0" w:rsidP="008B04B0">
      <w:pPr>
        <w:pStyle w:val="SingleTxt"/>
        <w:rPr>
          <w:b/>
        </w:rPr>
      </w:pPr>
      <w:r>
        <w:tab/>
        <w:t>d)</w:t>
      </w:r>
      <w:r w:rsidR="00592D4A">
        <w:tab/>
      </w:r>
      <w:r w:rsidRPr="00CA72DF">
        <w:rPr>
          <w:b/>
        </w:rPr>
        <w:t>в соответствии с общей рекомендацией № 28 Комитета проводить независимые, основанные на широком участии и периодические оценки экстерриториальных последствий своей политики в области финансов и корпоративного налогообложения для обеспечения прав и фактического равенства женщин, следя за тем, чтобы такие оценки проводились на беспристрастной основе с публичным раскрытием информации о методологии и результатах.</w:t>
      </w:r>
    </w:p>
    <w:p w14:paraId="5B2E6064" w14:textId="1D34BB6A" w:rsidR="00592D4A" w:rsidRPr="00592D4A" w:rsidRDefault="00592D4A" w:rsidP="00592D4A">
      <w:pPr>
        <w:pStyle w:val="SingleTxt"/>
        <w:spacing w:after="0" w:line="120" w:lineRule="exact"/>
        <w:rPr>
          <w:b/>
          <w:sz w:val="10"/>
        </w:rPr>
      </w:pPr>
    </w:p>
    <w:p w14:paraId="76B31354" w14:textId="608338A2" w:rsidR="008B04B0" w:rsidRDefault="00592D4A" w:rsidP="00592D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Здравоохранение</w:t>
      </w:r>
    </w:p>
    <w:p w14:paraId="25207A44" w14:textId="69FF4D41" w:rsidR="00592D4A" w:rsidRPr="00592D4A" w:rsidRDefault="00592D4A" w:rsidP="00592D4A">
      <w:pPr>
        <w:pStyle w:val="SingleTxt"/>
        <w:spacing w:after="0" w:line="120" w:lineRule="exact"/>
        <w:rPr>
          <w:sz w:val="10"/>
        </w:rPr>
      </w:pPr>
    </w:p>
    <w:p w14:paraId="4EF96E0F" w14:textId="77777777" w:rsidR="008B04B0" w:rsidRPr="00E649F1" w:rsidRDefault="008B04B0" w:rsidP="008B04B0">
      <w:pPr>
        <w:pStyle w:val="SingleTxt"/>
      </w:pPr>
      <w:r>
        <w:t>39.</w:t>
      </w:r>
      <w:r>
        <w:tab/>
        <w:t xml:space="preserve">Комитет приветствует обращение министра юстиции в Комиссию по законодательству с просьбой рекомендовать необходимые изменения в законодательстве, с тем чтобы аборт считался медицинской проблемой, и предстоящий доклад Комиссии по вопросу о декриминализации аборта и его включении в законодательство в области здравоохранения. Вместе с тем Комитет по-прежнему обеспокоен тем, что: </w:t>
      </w:r>
    </w:p>
    <w:p w14:paraId="520008B2" w14:textId="7EBF40FA" w:rsidR="008B04B0" w:rsidRPr="00E649F1" w:rsidRDefault="00592D4A" w:rsidP="008B04B0">
      <w:pPr>
        <w:pStyle w:val="SingleTxt"/>
      </w:pPr>
      <w:r>
        <w:tab/>
      </w:r>
      <w:r w:rsidR="008B04B0">
        <w:t>а)</w:t>
      </w:r>
      <w:r>
        <w:tab/>
      </w:r>
      <w:r w:rsidR="008B04B0">
        <w:t xml:space="preserve">в настоящее время Закон о преступлениях 1961 года содержит положения, ограничивающие основания для законного аборта, в которые не включены изнасилование и сексуальное насилие, а в соответствии с Законом о контрацептивах, стерилизации и абортах 1977 года для проведения аборта требуется одобрение двух квалифицированных консультантов, что делает услугу еще менее доступной и приводит к неоправданным задержкам; </w:t>
      </w:r>
    </w:p>
    <w:p w14:paraId="665A66EF" w14:textId="094A1BB1" w:rsidR="008B04B0" w:rsidRPr="00E649F1" w:rsidRDefault="00592D4A" w:rsidP="008B04B0">
      <w:pPr>
        <w:pStyle w:val="SingleTxt"/>
      </w:pPr>
      <w:r>
        <w:tab/>
      </w:r>
      <w:r w:rsidR="008B04B0">
        <w:t>b)</w:t>
      </w:r>
      <w:r>
        <w:tab/>
      </w:r>
      <w:r w:rsidR="008B04B0">
        <w:t>в рамках новой системы оказания неотложной помощи детям Министерства здравоохранения под определение «ребенок»</w:t>
      </w:r>
      <w:r w:rsidR="008B04B0" w:rsidRPr="00C6602F">
        <w:t xml:space="preserve"> </w:t>
      </w:r>
      <w:r w:rsidR="008B04B0">
        <w:t>подпадает нерожденный плод, из чего вытекает необходимость мер по защите плода, таких, например, как судебные решения о предоставлении особой защиты плоду, и такие меры могут наносить ущерб физической неприкосновенности и репродуктивным правам беременных женщин;</w:t>
      </w:r>
    </w:p>
    <w:p w14:paraId="352BC999" w14:textId="4C9AF5D6" w:rsidR="008B04B0" w:rsidRPr="00E649F1" w:rsidRDefault="00592D4A" w:rsidP="008B04B0">
      <w:pPr>
        <w:pStyle w:val="SingleTxt"/>
      </w:pPr>
      <w:r>
        <w:tab/>
      </w:r>
      <w:r w:rsidR="008B04B0">
        <w:t>c)</w:t>
      </w:r>
      <w:r>
        <w:tab/>
      </w:r>
      <w:r w:rsidR="008B04B0">
        <w:t>число квалифицированных акушерок</w:t>
      </w:r>
      <w:r w:rsidR="008B04B0" w:rsidRPr="00C6602F">
        <w:t xml:space="preserve"> </w:t>
      </w:r>
      <w:r w:rsidR="008B04B0">
        <w:t>сокращается, главным образом в отдаленных и сельских районах;</w:t>
      </w:r>
    </w:p>
    <w:p w14:paraId="6BE1C633" w14:textId="0A22C356" w:rsidR="008B04B0" w:rsidRPr="00E649F1" w:rsidRDefault="00592D4A" w:rsidP="008B04B0">
      <w:pPr>
        <w:pStyle w:val="SingleTxt"/>
      </w:pPr>
      <w:r>
        <w:tab/>
      </w:r>
      <w:r w:rsidR="008B04B0">
        <w:t>d)</w:t>
      </w:r>
      <w:r>
        <w:tab/>
      </w:r>
      <w:r w:rsidR="008B04B0">
        <w:t>услуги по охране психического здоровья женщин, в том числе лечение наркомании, ориентированное в первую очередь на женщин маори и женщин-инвалидов, являются неадекватными.</w:t>
      </w:r>
    </w:p>
    <w:p w14:paraId="4F7D87A4" w14:textId="77777777" w:rsidR="008B04B0" w:rsidRPr="00C6602F" w:rsidRDefault="008B04B0" w:rsidP="008B04B0">
      <w:pPr>
        <w:pStyle w:val="SingleTxt"/>
        <w:rPr>
          <w:b/>
          <w:bCs/>
        </w:rPr>
      </w:pPr>
      <w:r>
        <w:t>40.</w:t>
      </w:r>
      <w:r>
        <w:tab/>
      </w:r>
      <w:r w:rsidRPr="00C6602F">
        <w:rPr>
          <w:b/>
        </w:rPr>
        <w:t>Комитет ссылается на свое заявление о сексуальном и репродуктивном здоровье и правах, принятое на его пятьдесят седьмой сессии, и рекомендует государству-участнику:</w:t>
      </w:r>
    </w:p>
    <w:p w14:paraId="1DC974D3" w14:textId="4743EDBC" w:rsidR="008B04B0" w:rsidRPr="000536E1" w:rsidRDefault="00302883" w:rsidP="008B04B0">
      <w:pPr>
        <w:pStyle w:val="SingleTxt"/>
        <w:rPr>
          <w:b/>
          <w:bCs/>
        </w:rPr>
      </w:pPr>
      <w:r>
        <w:tab/>
      </w:r>
      <w:r w:rsidR="008B04B0">
        <w:t>а)</w:t>
      </w:r>
      <w:r>
        <w:tab/>
      </w:r>
      <w:r w:rsidR="008B04B0" w:rsidRPr="000536E1">
        <w:rPr>
          <w:b/>
        </w:rPr>
        <w:t>исключить аборт из Закона о преступлениях 1961 года и внести поправки в Закон о контрацептивах, стерилизации и абортах 1977 года в целях полной декриминализации аборта и включения связанного с абортом лечения в законодательство в области з</w:t>
      </w:r>
      <w:r w:rsidR="008B04B0">
        <w:rPr>
          <w:b/>
        </w:rPr>
        <w:t>д</w:t>
      </w:r>
      <w:r w:rsidR="008B04B0" w:rsidRPr="000536E1">
        <w:rPr>
          <w:b/>
        </w:rPr>
        <w:t>равоохранения;</w:t>
      </w:r>
    </w:p>
    <w:p w14:paraId="549378C0" w14:textId="5F173F1D" w:rsidR="008B04B0" w:rsidRPr="000536E1" w:rsidRDefault="00302883" w:rsidP="008B04B0">
      <w:pPr>
        <w:pStyle w:val="SingleTxt"/>
        <w:rPr>
          <w:b/>
          <w:bCs/>
        </w:rPr>
      </w:pPr>
      <w:r>
        <w:tab/>
      </w:r>
      <w:r w:rsidR="008B04B0">
        <w:t>b)</w:t>
      </w:r>
      <w:r w:rsidR="003F2EDC">
        <w:tab/>
      </w:r>
      <w:r w:rsidR="008B04B0" w:rsidRPr="000536E1">
        <w:rPr>
          <w:b/>
        </w:rPr>
        <w:t>обеспечить легализацию абортов, по крайней мере в случаях изнасилования, инцеста, угрозы для жизни или здоровья беременной женщины или серьезного повреждения плода, и обеспечить женщинам доступ к безопасным услугам по прерыванию беременности и уходу и обслуживанию после аборта;</w:t>
      </w:r>
    </w:p>
    <w:p w14:paraId="388C3D22" w14:textId="5504ED74" w:rsidR="008B04B0" w:rsidRPr="000536E1" w:rsidRDefault="00302883" w:rsidP="008B04B0">
      <w:pPr>
        <w:pStyle w:val="SingleTxt"/>
        <w:rPr>
          <w:b/>
          <w:bCs/>
        </w:rPr>
      </w:pPr>
      <w:r>
        <w:tab/>
      </w:r>
      <w:r w:rsidR="008B04B0">
        <w:t>c)</w:t>
      </w:r>
      <w:r w:rsidR="003F2EDC">
        <w:tab/>
      </w:r>
      <w:r w:rsidR="008B04B0" w:rsidRPr="000536E1">
        <w:rPr>
          <w:b/>
        </w:rPr>
        <w:t>предпринять необходимые шаги в целях обеспечения достаточного числа акушерок для оказания надлежащих медицинских услуг женщинам в период беременности, родов и в послеродовой период, а также их детям, в частности в отдаленных и сельских районах;</w:t>
      </w:r>
    </w:p>
    <w:p w14:paraId="771223F4" w14:textId="39166F5B" w:rsidR="008B04B0" w:rsidRDefault="00302883" w:rsidP="008B04B0">
      <w:pPr>
        <w:pStyle w:val="SingleTxt"/>
        <w:rPr>
          <w:b/>
        </w:rPr>
      </w:pPr>
      <w:r>
        <w:tab/>
      </w:r>
      <w:r w:rsidR="008B04B0">
        <w:t>d)</w:t>
      </w:r>
      <w:r w:rsidR="008B04B0">
        <w:tab/>
      </w:r>
      <w:r w:rsidR="008B04B0" w:rsidRPr="000536E1">
        <w:rPr>
          <w:b/>
        </w:rPr>
        <w:t>предпринять необходимые шаги для расширения сети и повышения качества доступных услуг по охране психического здоровья, в том числе лечения наркомании, ориентированного в первую очередь на женщин маори и женщин-инвалидов.</w:t>
      </w:r>
    </w:p>
    <w:p w14:paraId="2CBAC556" w14:textId="14312E77" w:rsidR="003F2EDC" w:rsidRPr="003F2EDC" w:rsidRDefault="003F2EDC" w:rsidP="003F2EDC">
      <w:pPr>
        <w:pStyle w:val="SingleTxt"/>
        <w:spacing w:after="0" w:line="120" w:lineRule="exact"/>
        <w:rPr>
          <w:b/>
          <w:sz w:val="10"/>
        </w:rPr>
      </w:pPr>
    </w:p>
    <w:p w14:paraId="0DFA4958" w14:textId="79C8CE80" w:rsidR="008B04B0" w:rsidRDefault="008B04B0" w:rsidP="003F2E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Женщины в сельских районах </w:t>
      </w:r>
    </w:p>
    <w:p w14:paraId="27A6F472" w14:textId="4AFC7B47" w:rsidR="003F2EDC" w:rsidRPr="003F2EDC" w:rsidRDefault="003F2EDC" w:rsidP="003F2EDC">
      <w:pPr>
        <w:pStyle w:val="SingleTxt"/>
        <w:spacing w:after="0" w:line="120" w:lineRule="exact"/>
        <w:rPr>
          <w:sz w:val="10"/>
        </w:rPr>
      </w:pPr>
    </w:p>
    <w:p w14:paraId="55DC78A1" w14:textId="77777777" w:rsidR="008B04B0" w:rsidRPr="00E649F1" w:rsidRDefault="008B04B0" w:rsidP="008B04B0">
      <w:pPr>
        <w:pStyle w:val="SingleTxt"/>
      </w:pPr>
      <w:r>
        <w:t>41.</w:t>
      </w:r>
      <w:r>
        <w:tab/>
        <w:t>Комитет принимает к сведению шаги, предпринятые государством-участником для улучшения положения женщин, живущих в сельских районах, а также разработку национального плана адаптации к изменению климата. Вместе с тем он с обеспокоенностью отмечает, что:</w:t>
      </w:r>
    </w:p>
    <w:p w14:paraId="060C9328" w14:textId="7B06F95F" w:rsidR="008B04B0" w:rsidRPr="00E649F1" w:rsidRDefault="003F2EDC" w:rsidP="008B04B0">
      <w:pPr>
        <w:pStyle w:val="SingleTxt"/>
      </w:pPr>
      <w:r>
        <w:tab/>
      </w:r>
      <w:r w:rsidR="008B04B0">
        <w:t>а)</w:t>
      </w:r>
      <w:r>
        <w:tab/>
      </w:r>
      <w:r w:rsidR="008B04B0">
        <w:t>женщинам, живущим в сельских районах, грозит опасность столкнуться с высоким уровнем бедности и насилием по признаку пола;</w:t>
      </w:r>
    </w:p>
    <w:p w14:paraId="2B7610C4" w14:textId="027A7FB8" w:rsidR="008B04B0" w:rsidRPr="00E649F1" w:rsidRDefault="003F2EDC" w:rsidP="008B04B0">
      <w:pPr>
        <w:pStyle w:val="SingleTxt"/>
      </w:pPr>
      <w:r>
        <w:tab/>
      </w:r>
      <w:r w:rsidR="008B04B0">
        <w:t>b)</w:t>
      </w:r>
      <w:r>
        <w:tab/>
      </w:r>
      <w:r w:rsidR="008B04B0">
        <w:t>женщины, живущие в сельских районах, несут неравное бремя семейных обязанностей, а традиционные устои обязывают их выполнять неоплачиваемую работу и обеспечивать питание для своих семей;</w:t>
      </w:r>
    </w:p>
    <w:p w14:paraId="6B6E019F" w14:textId="1673DBF1" w:rsidR="008B04B0" w:rsidRPr="00E649F1" w:rsidRDefault="003F2EDC" w:rsidP="008B04B0">
      <w:pPr>
        <w:pStyle w:val="SingleTxt"/>
      </w:pPr>
      <w:r>
        <w:tab/>
      </w:r>
      <w:r w:rsidR="008B04B0">
        <w:t>c)</w:t>
      </w:r>
      <w:r>
        <w:tab/>
      </w:r>
      <w:r w:rsidR="008B04B0">
        <w:t>в сельских районах не обеспечиваются адекватные услуги широкополосной связи и Интернета, что создает значительные дополнительные барьеры для доступа к информации и услугам для женщин;</w:t>
      </w:r>
    </w:p>
    <w:p w14:paraId="76412978" w14:textId="4878C998" w:rsidR="008B04B0" w:rsidRPr="00E649F1" w:rsidRDefault="003F2EDC" w:rsidP="008B04B0">
      <w:pPr>
        <w:pStyle w:val="SingleTxt"/>
      </w:pPr>
      <w:r>
        <w:tab/>
      </w:r>
      <w:r w:rsidR="008B04B0">
        <w:t>d)</w:t>
      </w:r>
      <w:r>
        <w:tab/>
      </w:r>
      <w:r w:rsidR="008B04B0">
        <w:t>изменение климата оказывает непропорционально большое воздействие на женщин в государстве-участнике, и ощущается недостаток информации об участии женщин в процессе принятия решений относительно стратегий и программ, касающихся развития сельских районов.</w:t>
      </w:r>
    </w:p>
    <w:p w14:paraId="3CE0D269" w14:textId="77777777" w:rsidR="008B04B0" w:rsidRPr="00C52D37" w:rsidRDefault="008B04B0" w:rsidP="008B04B0">
      <w:pPr>
        <w:pStyle w:val="SingleTxt"/>
        <w:rPr>
          <w:b/>
          <w:bCs/>
        </w:rPr>
      </w:pPr>
      <w:r>
        <w:t>42.</w:t>
      </w:r>
      <w:r>
        <w:tab/>
      </w:r>
      <w:r w:rsidRPr="00C52D37">
        <w:rPr>
          <w:b/>
        </w:rPr>
        <w:t xml:space="preserve">Комитет ссылается на свою общую рекомендацию № 34 (2016), касающуюся прав сельских женщин, и рекомендует государству-участнику: </w:t>
      </w:r>
    </w:p>
    <w:p w14:paraId="17F4DCB1" w14:textId="73AB9223" w:rsidR="008B04B0" w:rsidRPr="00C52D37" w:rsidRDefault="008B04B0" w:rsidP="008B04B0">
      <w:pPr>
        <w:pStyle w:val="SingleTxt"/>
        <w:rPr>
          <w:b/>
          <w:bCs/>
        </w:rPr>
      </w:pPr>
      <w:r>
        <w:tab/>
        <w:t>а)</w:t>
      </w:r>
      <w:r w:rsidR="00017A81">
        <w:tab/>
      </w:r>
      <w:r w:rsidRPr="00C52D37">
        <w:rPr>
          <w:b/>
        </w:rPr>
        <w:t>принять меры, направленные на улучшение условий жизни женщин в сельских районах, в том числе путем сокращения масштабов нищеты и искоренения насилия по признаку пола;</w:t>
      </w:r>
    </w:p>
    <w:p w14:paraId="27C31DE9" w14:textId="10D4AD80" w:rsidR="008B04B0" w:rsidRPr="00C52D37" w:rsidRDefault="00017A81" w:rsidP="008B04B0">
      <w:pPr>
        <w:pStyle w:val="SingleTxt"/>
        <w:rPr>
          <w:b/>
          <w:bCs/>
        </w:rPr>
      </w:pPr>
      <w:r>
        <w:tab/>
      </w:r>
      <w:r w:rsidR="008B04B0">
        <w:t>b)</w:t>
      </w:r>
      <w:r>
        <w:tab/>
      </w:r>
      <w:r w:rsidR="008B04B0" w:rsidRPr="00C52D37">
        <w:rPr>
          <w:b/>
        </w:rPr>
        <w:t>обеспечить, чтобы женщинам в сельских районах предлагались альтернативы неоплачиваемой работ</w:t>
      </w:r>
      <w:r w:rsidR="008B04B0">
        <w:rPr>
          <w:b/>
        </w:rPr>
        <w:t>е</w:t>
      </w:r>
      <w:r w:rsidR="008B04B0" w:rsidRPr="00C52D37">
        <w:rPr>
          <w:b/>
        </w:rPr>
        <w:t>;</w:t>
      </w:r>
    </w:p>
    <w:p w14:paraId="035F428C" w14:textId="7FD06FC1" w:rsidR="008B04B0" w:rsidRPr="00C52D37" w:rsidRDefault="00017A81" w:rsidP="008B04B0">
      <w:pPr>
        <w:pStyle w:val="SingleTxt"/>
        <w:rPr>
          <w:b/>
          <w:bCs/>
        </w:rPr>
      </w:pPr>
      <w:r>
        <w:tab/>
      </w:r>
      <w:r w:rsidR="008B04B0">
        <w:t>c)</w:t>
      </w:r>
      <w:r>
        <w:tab/>
      </w:r>
      <w:r w:rsidR="008B04B0" w:rsidRPr="00C52D37">
        <w:rPr>
          <w:b/>
        </w:rPr>
        <w:t>обеспечить более широкое использование современных технологий и адекватные услуги высокоскоростного доступа в Интернет в сельских районах;</w:t>
      </w:r>
    </w:p>
    <w:p w14:paraId="7888B299" w14:textId="459D5E80" w:rsidR="008B04B0" w:rsidRDefault="00017A81" w:rsidP="008B04B0">
      <w:pPr>
        <w:pStyle w:val="SingleTxt"/>
        <w:rPr>
          <w:b/>
        </w:rPr>
      </w:pPr>
      <w:r>
        <w:tab/>
      </w:r>
      <w:r w:rsidR="008B04B0">
        <w:t>d)</w:t>
      </w:r>
      <w:r>
        <w:tab/>
      </w:r>
      <w:r w:rsidR="008B04B0" w:rsidRPr="00C52D37">
        <w:rPr>
          <w:b/>
        </w:rPr>
        <w:t>учитывать повышенную уязвимость женщин перед лицом стихийных бедствий и изменения климата на всех уровнях принятия решений процесса адаптации.</w:t>
      </w:r>
    </w:p>
    <w:p w14:paraId="413F378E" w14:textId="3143215F" w:rsidR="00017A81" w:rsidRPr="00017A81" w:rsidRDefault="00017A81" w:rsidP="00017A81">
      <w:pPr>
        <w:pStyle w:val="SingleTxt"/>
        <w:spacing w:after="0" w:line="120" w:lineRule="exact"/>
        <w:rPr>
          <w:b/>
          <w:sz w:val="10"/>
        </w:rPr>
      </w:pPr>
    </w:p>
    <w:p w14:paraId="2F388B33" w14:textId="53FCA43D"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Женщины народности маори и женщины, принадлежащие к этническим меньшинствам </w:t>
      </w:r>
    </w:p>
    <w:p w14:paraId="1E359F30" w14:textId="0A28C4EA" w:rsidR="00017A81" w:rsidRPr="00017A81" w:rsidRDefault="00017A81" w:rsidP="00017A81">
      <w:pPr>
        <w:pStyle w:val="SingleTxt"/>
        <w:spacing w:after="0" w:line="120" w:lineRule="exact"/>
        <w:rPr>
          <w:sz w:val="10"/>
        </w:rPr>
      </w:pPr>
    </w:p>
    <w:p w14:paraId="2740E17F" w14:textId="08F74558" w:rsidR="008B04B0" w:rsidRPr="00B00D10" w:rsidRDefault="008B04B0" w:rsidP="009537EE">
      <w:pPr>
        <w:pStyle w:val="SingleTxt"/>
      </w:pPr>
      <w:r>
        <w:t>43.</w:t>
      </w:r>
      <w:r>
        <w:tab/>
        <w:t>Комитет с обеспокоенностью отмечает, что в государстве-участнике женщины маори и женщины, принадлежащие к этническим меньшинствам, подвергаются пересекающимся формам дискриминации, особенно в плане доступа к медицинским услугам и защиты своего права на владение землей. Отмечая меры, принимаемые государством-участником в целях улучшения положения женщин маори, Комитет, тем не менее, обеспокоен тем, что женщин маори по-прежнему в непропорционально большом количестве лишают свободы и что 65 процентов заключенных-женщин</w:t>
      </w:r>
      <w:r w:rsidR="009537EE">
        <w:t> —</w:t>
      </w:r>
      <w:r>
        <w:t xml:space="preserve"> это женщины маори. </w:t>
      </w:r>
    </w:p>
    <w:p w14:paraId="7F1780ED" w14:textId="61C03949" w:rsidR="008B04B0" w:rsidRDefault="008B04B0" w:rsidP="008B04B0">
      <w:pPr>
        <w:pStyle w:val="SingleTxt"/>
        <w:rPr>
          <w:b/>
        </w:rPr>
      </w:pPr>
      <w:r>
        <w:t>44.</w:t>
      </w:r>
      <w:r>
        <w:tab/>
      </w:r>
      <w:r w:rsidRPr="005026E4">
        <w:rPr>
          <w:b/>
        </w:rPr>
        <w:t>Комитет рекомендует государству-участнику принять все законодательные меры, в том числе временные специальные меры и меры информационно-просветительского характера, необходимые для борьбы с перекрестными формами дискриминации в отношении женщин, особенно в плане доступа к медицинским услугам и защиты своего права на владение землей. Комитет рекомендует далее государству-участнику применять Правила Организации Объединенных Наций в отношении обращения с женщинами, находящимися в заключении, и женщинами, в отношении которых применяются меры, связанные или не связанные с содержанием под стражей (Бангкокские правила), и обеспечить назначение мер, альтернативных тюремному заключению, в целях сокращения большой численности женщин маори, содержащихся под стражей.</w:t>
      </w:r>
    </w:p>
    <w:p w14:paraId="266291A5" w14:textId="2E7A1E8A" w:rsidR="00017A81" w:rsidRPr="00017A81" w:rsidRDefault="00017A81" w:rsidP="00017A81">
      <w:pPr>
        <w:pStyle w:val="SingleTxt"/>
        <w:spacing w:after="0" w:line="120" w:lineRule="exact"/>
        <w:rPr>
          <w:b/>
          <w:sz w:val="10"/>
        </w:rPr>
      </w:pPr>
    </w:p>
    <w:p w14:paraId="43BA025A" w14:textId="772A09DE"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Женщины-мигранты </w:t>
      </w:r>
    </w:p>
    <w:p w14:paraId="22C992D8" w14:textId="2A13326D" w:rsidR="00017A81" w:rsidRPr="00017A81" w:rsidRDefault="00017A81" w:rsidP="00017A81">
      <w:pPr>
        <w:pStyle w:val="SingleTxt"/>
        <w:spacing w:after="0" w:line="120" w:lineRule="exact"/>
        <w:rPr>
          <w:sz w:val="10"/>
        </w:rPr>
      </w:pPr>
    </w:p>
    <w:p w14:paraId="51F91315" w14:textId="77777777" w:rsidR="008B04B0" w:rsidRPr="00B00D10" w:rsidRDefault="008B04B0" w:rsidP="008B04B0">
      <w:pPr>
        <w:pStyle w:val="SingleTxt"/>
        <w:rPr>
          <w:bCs/>
          <w:w w:val="101"/>
        </w:rPr>
      </w:pPr>
      <w:r>
        <w:t>45.</w:t>
      </w:r>
      <w:r>
        <w:tab/>
        <w:t xml:space="preserve">Комитет обеспокоен тем, что: </w:t>
      </w:r>
    </w:p>
    <w:p w14:paraId="5B5DE50B" w14:textId="22844877" w:rsidR="008B04B0" w:rsidRPr="00B00D10" w:rsidRDefault="008B04B0" w:rsidP="008B04B0">
      <w:pPr>
        <w:pStyle w:val="SingleTxt"/>
        <w:rPr>
          <w:bCs/>
          <w:w w:val="101"/>
        </w:rPr>
      </w:pPr>
      <w:r>
        <w:tab/>
        <w:t>а)</w:t>
      </w:r>
      <w:r w:rsidR="00017A81">
        <w:tab/>
      </w:r>
      <w:r>
        <w:t>некоторые женщины-мигранты, которые имеют детей и не имеют постоянных виз, в результате разлучения или развода</w:t>
      </w:r>
      <w:r w:rsidRPr="002A0A46">
        <w:t xml:space="preserve"> </w:t>
      </w:r>
      <w:r>
        <w:t>могут потерять поддержку своих партнеров; в некоторых случаях они возвращаются в страны своего происхождения, оставляя своих детей с отцами, даже в тех случаях, когда имеется информация или заявление о злоупотреблениях;</w:t>
      </w:r>
    </w:p>
    <w:p w14:paraId="3C28BDB9" w14:textId="5EDF9A77" w:rsidR="008B04B0" w:rsidRPr="00B00D10" w:rsidRDefault="00017A81" w:rsidP="008B04B0">
      <w:pPr>
        <w:pStyle w:val="SingleTxt"/>
        <w:rPr>
          <w:bCs/>
          <w:w w:val="101"/>
        </w:rPr>
      </w:pPr>
      <w:r>
        <w:tab/>
        <w:t>b)</w:t>
      </w:r>
      <w:r>
        <w:tab/>
      </w:r>
      <w:r w:rsidR="008B04B0">
        <w:t>женщины могут продолжать насильственные отношения, с тем чтобы не утратить свой статус регистрации, который зависит от статуса лица, совершающего насилие;</w:t>
      </w:r>
    </w:p>
    <w:p w14:paraId="02033D2D" w14:textId="7D5F6AF7" w:rsidR="008B04B0" w:rsidRPr="00B00D10" w:rsidRDefault="00017A81" w:rsidP="008B04B0">
      <w:pPr>
        <w:pStyle w:val="SingleTxt"/>
        <w:rPr>
          <w:bCs/>
          <w:w w:val="101"/>
        </w:rPr>
      </w:pPr>
      <w:r>
        <w:tab/>
      </w:r>
      <w:r w:rsidR="008B04B0">
        <w:t>c)</w:t>
      </w:r>
      <w:r>
        <w:tab/>
      </w:r>
      <w:r w:rsidR="008B04B0">
        <w:t xml:space="preserve">в такой ситуации по ряду причин, связанных с отсутствием знаний и языковым барьером, а также отсутствием правовой помощи, женщины сталкиваются с определенными препятствиями в получении доступа к правосудию. </w:t>
      </w:r>
    </w:p>
    <w:p w14:paraId="514E8817" w14:textId="77777777" w:rsidR="008B04B0" w:rsidRPr="00A74750" w:rsidRDefault="008B04B0" w:rsidP="008B04B0">
      <w:pPr>
        <w:pStyle w:val="SingleTxt"/>
        <w:rPr>
          <w:b/>
        </w:rPr>
      </w:pPr>
      <w:r>
        <w:t>46.</w:t>
      </w:r>
      <w:r>
        <w:tab/>
      </w:r>
      <w:r w:rsidRPr="00A74750">
        <w:rPr>
          <w:b/>
        </w:rPr>
        <w:t>Комитет рекомендует государству-участнику:</w:t>
      </w:r>
    </w:p>
    <w:p w14:paraId="4CC7C2A8" w14:textId="0A85CDC7" w:rsidR="008B04B0" w:rsidRPr="00A74750" w:rsidRDefault="00017A81" w:rsidP="008B04B0">
      <w:pPr>
        <w:pStyle w:val="SingleTxt"/>
        <w:rPr>
          <w:b/>
        </w:rPr>
      </w:pPr>
      <w:r>
        <w:tab/>
      </w:r>
      <w:r w:rsidR="008B04B0">
        <w:t>а)</w:t>
      </w:r>
      <w:r>
        <w:tab/>
      </w:r>
      <w:r w:rsidR="008B04B0" w:rsidRPr="00A74750">
        <w:rPr>
          <w:b/>
        </w:rPr>
        <w:t xml:space="preserve">пересмотреть свое иммиграционное законодательство, с тем чтобы облегчить доступ к получению постоянного вида на жительство для матерей детей, которые имеют гражданство Новой Зеландии; </w:t>
      </w:r>
    </w:p>
    <w:p w14:paraId="268391E2" w14:textId="46BEE8E1" w:rsidR="008B04B0" w:rsidRPr="00A74750" w:rsidRDefault="00017A81" w:rsidP="008B04B0">
      <w:pPr>
        <w:pStyle w:val="SingleTxt"/>
        <w:rPr>
          <w:b/>
        </w:rPr>
      </w:pPr>
      <w:r>
        <w:tab/>
      </w:r>
      <w:r w:rsidR="008B04B0">
        <w:t>b)</w:t>
      </w:r>
      <w:r>
        <w:tab/>
      </w:r>
      <w:r w:rsidR="008B04B0" w:rsidRPr="00A74750">
        <w:rPr>
          <w:b/>
        </w:rPr>
        <w:t>обеспечить наличие приютов для женщин-мигрантов, ставших жертвами насилия, включая домашнее насилие, и предоставлять им бесплатные юридические и психологические консультации, услуги реабилитации и другие виды поддержки;</w:t>
      </w:r>
    </w:p>
    <w:p w14:paraId="20803F54" w14:textId="7EDCD951" w:rsidR="008B04B0" w:rsidRDefault="00017A81" w:rsidP="008B04B0">
      <w:pPr>
        <w:pStyle w:val="SingleTxt"/>
      </w:pPr>
      <w:r>
        <w:tab/>
      </w:r>
      <w:r w:rsidR="008B04B0">
        <w:t>c)</w:t>
      </w:r>
      <w:r>
        <w:tab/>
      </w:r>
      <w:r w:rsidR="008B04B0" w:rsidRPr="00A74750">
        <w:rPr>
          <w:b/>
        </w:rPr>
        <w:t>создать женщинам-мигрантам надлежащие условия для подачи жалоб, в том числе путем обеспечения того, чтобы они были надлежащим образом информированы о своих правах и имеющихся средствах правовой защиты, в том числе о том, как подавать жалобы о нарушениях этих прав, в том числе на доступном для них языке.</w:t>
      </w:r>
      <w:r w:rsidR="008B04B0">
        <w:t xml:space="preserve"> </w:t>
      </w:r>
    </w:p>
    <w:p w14:paraId="7989F7E0" w14:textId="3CF74B87" w:rsidR="00017A81" w:rsidRPr="00017A81" w:rsidRDefault="00017A81" w:rsidP="00017A81">
      <w:pPr>
        <w:pStyle w:val="SingleTxt"/>
        <w:spacing w:after="0" w:line="120" w:lineRule="exact"/>
        <w:rPr>
          <w:sz w:val="10"/>
        </w:rPr>
      </w:pPr>
    </w:p>
    <w:p w14:paraId="730A4424" w14:textId="461E067A"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Брак и семейные отношения </w:t>
      </w:r>
    </w:p>
    <w:p w14:paraId="08EB618C" w14:textId="4909E890" w:rsidR="00017A81" w:rsidRPr="00017A81" w:rsidRDefault="00017A81" w:rsidP="00017A81">
      <w:pPr>
        <w:pStyle w:val="SingleTxt"/>
        <w:spacing w:after="0" w:line="120" w:lineRule="exact"/>
        <w:rPr>
          <w:sz w:val="10"/>
        </w:rPr>
      </w:pPr>
    </w:p>
    <w:p w14:paraId="6BE515FB" w14:textId="77777777" w:rsidR="008B04B0" w:rsidRPr="000A0EA5" w:rsidRDefault="008B04B0" w:rsidP="008B04B0">
      <w:pPr>
        <w:pStyle w:val="SingleTxt"/>
      </w:pPr>
      <w:r>
        <w:t>47.</w:t>
      </w:r>
      <w:r>
        <w:tab/>
        <w:t>Комитет отмечает принятие поправки к Закону о браке (определение брака) 2013 года, в соответствии с которой в брак могут вступать взрослые пары любого пола, включая однополые пары и пары разного пола. Вместе с тем Комитет обеспокоен очевидным кризисом в системе судов по семейным делам, который находит отражение в жестоком обращении с женщинами, в частности женщинами, ставшими жертвами насилия в семье. Приветствуя предстоящий обзор функционирования системы судов по семейным делам, о чем было объявлено министром юстиции, Комитет, тем не менее, выражает озабоченность по поводу того, что в ходе обзора все внимание будет уделяться исключительно реформам 2014 года и не планируется анализ коренных причин систематического недоверия и неуважительного отношения к женщинам, являющимся жертвами бытового насилия, которые, по всей видимости, глубоко укоренились в системе семейных судов. В частности, Комитет обеспокоен тем, что:</w:t>
      </w:r>
    </w:p>
    <w:p w14:paraId="4E893698" w14:textId="5C1E84D6" w:rsidR="008B04B0" w:rsidRPr="00083AD0" w:rsidRDefault="00017A81" w:rsidP="008B04B0">
      <w:pPr>
        <w:pStyle w:val="SingleTxt"/>
      </w:pPr>
      <w:r>
        <w:tab/>
      </w:r>
      <w:r w:rsidR="008B04B0">
        <w:t>а)</w:t>
      </w:r>
      <w:r>
        <w:tab/>
      </w:r>
      <w:r w:rsidR="008B04B0">
        <w:t>в результате отмены в ходе реформы 2014 года Бристольской оговорки лишь в рамках отдельных дел, где имеется заявление женщины о насилии, проводится оценка рисков;</w:t>
      </w:r>
    </w:p>
    <w:p w14:paraId="01003B2A" w14:textId="00945CB4" w:rsidR="008B04B0" w:rsidRPr="00083AD0" w:rsidRDefault="00017A81" w:rsidP="008B04B0">
      <w:pPr>
        <w:pStyle w:val="SingleTxt"/>
      </w:pPr>
      <w:r>
        <w:tab/>
      </w:r>
      <w:r w:rsidR="008B04B0">
        <w:t>b)</w:t>
      </w:r>
      <w:r>
        <w:tab/>
      </w:r>
      <w:r w:rsidR="008B04B0">
        <w:t>обязательное посредничество и совместные курсы для партнеров</w:t>
      </w:r>
      <w:r w:rsidR="008B04B0" w:rsidRPr="005A3147">
        <w:t xml:space="preserve"> </w:t>
      </w:r>
      <w:r w:rsidR="008B04B0">
        <w:t>проводятся даже в условиях насилия в семье, в том числе в тех случаях, когда имеется охранный ордер, в связи с чем пострадавшая женщина подвергается повышенному риску;</w:t>
      </w:r>
    </w:p>
    <w:p w14:paraId="00EA7ADA" w14:textId="7E95D6A7" w:rsidR="008B04B0" w:rsidRPr="00083AD0" w:rsidRDefault="00017A81" w:rsidP="008B04B0">
      <w:pPr>
        <w:pStyle w:val="SingleTxt"/>
      </w:pPr>
      <w:r>
        <w:tab/>
      </w:r>
      <w:r w:rsidR="008B04B0">
        <w:t>c)</w:t>
      </w:r>
      <w:r>
        <w:tab/>
      </w:r>
      <w:r w:rsidR="008B04B0">
        <w:t>не существует никаких конкретных норм, требующих учета судом возможного насилия в семье, направленного на мать или ребенка, при принятии решений об опеке над ребенком, и, как сообщается, судьи рекомендуют общую физическую опеку над ребенком даже в тех случаях, когда отцы проявляют жестокость по отношению к детям или их матерям;</w:t>
      </w:r>
    </w:p>
    <w:p w14:paraId="3E77A057" w14:textId="47634955" w:rsidR="008B04B0" w:rsidRPr="00083AD0" w:rsidRDefault="00017A81" w:rsidP="008B04B0">
      <w:pPr>
        <w:pStyle w:val="SingleTxt"/>
      </w:pPr>
      <w:r>
        <w:tab/>
      </w:r>
      <w:r w:rsidR="008B04B0">
        <w:t>d)</w:t>
      </w:r>
      <w:r>
        <w:tab/>
      </w:r>
      <w:r w:rsidR="008B04B0">
        <w:t>суды, юристы по делам детей и социальные работники зачастую все объясняют теорией «синдрома отчуждения от родителей», хотя в мире эта теория была признана несостоятельной;</w:t>
      </w:r>
    </w:p>
    <w:p w14:paraId="0E4EEFDA" w14:textId="02590419" w:rsidR="008B04B0" w:rsidRPr="00083AD0" w:rsidRDefault="00017A81" w:rsidP="008B04B0">
      <w:pPr>
        <w:pStyle w:val="SingleTxt"/>
      </w:pPr>
      <w:r>
        <w:tab/>
      </w:r>
      <w:r w:rsidR="008B04B0">
        <w:t>e)</w:t>
      </w:r>
      <w:r>
        <w:tab/>
      </w:r>
      <w:r w:rsidR="008B04B0">
        <w:t>девочки в возрасте 16</w:t>
      </w:r>
      <w:r w:rsidR="009537EE">
        <w:t>–</w:t>
      </w:r>
      <w:r w:rsidR="008B04B0">
        <w:t xml:space="preserve">18 лет могут вступать в брак с согласия родителей. </w:t>
      </w:r>
    </w:p>
    <w:p w14:paraId="055438F1" w14:textId="77777777" w:rsidR="008B04B0" w:rsidRPr="00033ECD" w:rsidRDefault="008B04B0" w:rsidP="008B04B0">
      <w:pPr>
        <w:pStyle w:val="SingleTxt"/>
        <w:rPr>
          <w:b/>
        </w:rPr>
      </w:pPr>
      <w:r>
        <w:t>48.</w:t>
      </w:r>
      <w:r>
        <w:tab/>
      </w:r>
      <w:r w:rsidRPr="00033ECD">
        <w:rPr>
          <w:b/>
        </w:rPr>
        <w:t>Комитет подтверждает свои предыдущие рекомендации и вновь призывает государство-участник:</w:t>
      </w:r>
    </w:p>
    <w:p w14:paraId="0B19389D" w14:textId="0A36DEB6" w:rsidR="008B04B0" w:rsidRPr="005E5201" w:rsidRDefault="00017A81" w:rsidP="008B04B0">
      <w:pPr>
        <w:pStyle w:val="SingleTxt"/>
        <w:rPr>
          <w:b/>
        </w:rPr>
      </w:pPr>
      <w:r>
        <w:tab/>
      </w:r>
      <w:r w:rsidR="008B04B0">
        <w:t>а)</w:t>
      </w:r>
      <w:r>
        <w:tab/>
      </w:r>
      <w:r w:rsidR="008B04B0" w:rsidRPr="005E5201">
        <w:rPr>
          <w:b/>
        </w:rPr>
        <w:t>создать королевскую комиссию по расследованию с независимым мандатом для проведения широкомасштабной оценки помех для женщин, случаев препятствования правосудию в отношении женщин и преград на пути обеспечения их безопасности, присущих системе семейных судов, и вынесения рекомендаций о законодательных и структурных изменениях, необходимых для того, чтобы семейные суды стали безопасными и справедливыми для женщин и детей, в частности в ситуациях бытового насилия;</w:t>
      </w:r>
    </w:p>
    <w:p w14:paraId="619DA850" w14:textId="12601CDC" w:rsidR="008B04B0" w:rsidRPr="005C7BC1" w:rsidRDefault="00017A81" w:rsidP="008B04B0">
      <w:pPr>
        <w:pStyle w:val="SingleTxt"/>
        <w:rPr>
          <w:b/>
        </w:rPr>
      </w:pPr>
      <w:r>
        <w:tab/>
      </w:r>
      <w:r w:rsidR="008B04B0">
        <w:t>b)</w:t>
      </w:r>
      <w:r>
        <w:tab/>
      </w:r>
      <w:r w:rsidR="008B04B0" w:rsidRPr="005C7BC1">
        <w:rPr>
          <w:b/>
        </w:rPr>
        <w:t>принять все меры, в том числе на основе законодательства и директивных указаний, в соответствии с общей рекомендацией № 35, необходимые для восстановления Бристольской оговорки, и обеспечить, чтобы женщины, ставшие жертвами насилия в семье, не принуждались к участию во внесудебных решениях, таких как обязательное посредничество;</w:t>
      </w:r>
    </w:p>
    <w:p w14:paraId="784EF7A0" w14:textId="3CAF7470" w:rsidR="008B04B0" w:rsidRPr="005C7BC1" w:rsidRDefault="00017A81" w:rsidP="008B04B0">
      <w:pPr>
        <w:pStyle w:val="SingleTxt"/>
        <w:rPr>
          <w:b/>
        </w:rPr>
      </w:pPr>
      <w:r>
        <w:tab/>
      </w:r>
      <w:r w:rsidR="008B04B0">
        <w:t>c)</w:t>
      </w:r>
      <w:r>
        <w:tab/>
      </w:r>
      <w:r w:rsidR="008B04B0" w:rsidRPr="005C7BC1">
        <w:rPr>
          <w:b/>
        </w:rPr>
        <w:t>принять все меры, в том числе на основе законодательства и директивных указаний, необходимые для обеспечения того, чтобы насилие в семье, направленное на ребенка или мать, должным образом учитывалось в спорах об опеке, в частности в тех случаях, когда рассматривается возможность общей физической опеки над ребенком, и изучить последствия общей физической опеки для развития и благополучия детей;</w:t>
      </w:r>
    </w:p>
    <w:p w14:paraId="087EAAEA" w14:textId="4C65DCCB" w:rsidR="008B04B0" w:rsidRPr="00EA74A4" w:rsidRDefault="00017A81" w:rsidP="008B04B0">
      <w:pPr>
        <w:pStyle w:val="SingleTxt"/>
        <w:rPr>
          <w:b/>
        </w:rPr>
      </w:pPr>
      <w:r>
        <w:tab/>
        <w:t>d)</w:t>
      </w:r>
      <w:r>
        <w:tab/>
      </w:r>
      <w:r w:rsidR="008B04B0" w:rsidRPr="00EA74A4">
        <w:rPr>
          <w:b/>
        </w:rPr>
        <w:t>рассмотреть практику ссылок на теорию «синдрома отчуждения от родителей» в целях ограничения ее использования в спорах об опеке над ребенком;</w:t>
      </w:r>
    </w:p>
    <w:p w14:paraId="7E6F9B29" w14:textId="760A9A7F" w:rsidR="008B04B0" w:rsidRDefault="00017A81" w:rsidP="008B04B0">
      <w:pPr>
        <w:pStyle w:val="SingleTxt"/>
        <w:rPr>
          <w:b/>
        </w:rPr>
      </w:pPr>
      <w:r>
        <w:tab/>
      </w:r>
      <w:r w:rsidR="008B04B0">
        <w:t>e)</w:t>
      </w:r>
      <w:r>
        <w:tab/>
      </w:r>
      <w:r w:rsidR="008B04B0" w:rsidRPr="007B323C">
        <w:rPr>
          <w:b/>
        </w:rPr>
        <w:t xml:space="preserve">ускорить принятие законопроекта о внесении изменений в положения о согласии суда на брак несовершеннолетних лиц, с тем чтобы полностью исключить положение о том, что для вступления в брак в возрасте до 18 лет достаточным требованием является согласие родителей, и предоставить суду возможность одобрения браков с участием лиц в возрасте от 16 до 18 лет только в исключительных обстоятельствах. </w:t>
      </w:r>
    </w:p>
    <w:p w14:paraId="0FD5E4B0" w14:textId="1BB2F2CE" w:rsidR="00017A81" w:rsidRPr="00017A81" w:rsidRDefault="00017A81" w:rsidP="00017A81">
      <w:pPr>
        <w:pStyle w:val="SingleTxt"/>
        <w:spacing w:after="0" w:line="120" w:lineRule="exact"/>
        <w:rPr>
          <w:b/>
          <w:sz w:val="10"/>
        </w:rPr>
      </w:pPr>
    </w:p>
    <w:p w14:paraId="1AA07107" w14:textId="3A3EC253"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17A81">
        <w:t>Сбор и анализ данных</w:t>
      </w:r>
    </w:p>
    <w:p w14:paraId="14B1C3EB" w14:textId="02B5D914" w:rsidR="00017A81" w:rsidRPr="00017A81" w:rsidRDefault="00017A81" w:rsidP="00017A81">
      <w:pPr>
        <w:pStyle w:val="SingleTxt"/>
        <w:spacing w:after="0" w:line="120" w:lineRule="exact"/>
        <w:rPr>
          <w:sz w:val="10"/>
        </w:rPr>
      </w:pPr>
    </w:p>
    <w:p w14:paraId="181CDA35" w14:textId="77777777" w:rsidR="008B04B0" w:rsidRPr="00B762C0" w:rsidRDefault="008B04B0" w:rsidP="008B04B0">
      <w:pPr>
        <w:pStyle w:val="SingleTxt"/>
      </w:pPr>
      <w:r>
        <w:t>49.</w:t>
      </w:r>
      <w:r>
        <w:tab/>
        <w:t>Комитет с обеспокоенностью отмечает недостатки системы сбора, анализа и обработки надежных статистических данных о положении женщин во всех областях, охватываемых Конвенцией, включая точки пересечения интересов женщин, принадлежащих к более чем одной группе.</w:t>
      </w:r>
    </w:p>
    <w:p w14:paraId="25EBF3BB" w14:textId="0DD22F5D" w:rsidR="008B04B0" w:rsidRDefault="008B04B0" w:rsidP="008B04B0">
      <w:pPr>
        <w:pStyle w:val="SingleTxt"/>
        <w:rPr>
          <w:b/>
        </w:rPr>
      </w:pPr>
      <w:r>
        <w:t>50.</w:t>
      </w:r>
      <w:r>
        <w:tab/>
      </w:r>
      <w:r w:rsidRPr="00E86AD7">
        <w:rPr>
          <w:b/>
        </w:rPr>
        <w:t>Комитет рекомендует государству-участнику создать централизованную систему сбора, анализа и распространения всеобъемлющих данных с разбивкой по полу, возрасту, инвалидности, этнической принадлежности, месту проживания, гендерной идентичности и  сексуальной ориентации и социально-экономическому статусу, обеспечивая при этом их конфиденциальность, и использовать поддающиеся измерению показатели для анализа тенденций в изменении положения женщин, а также прогресса в достижении фактического равенства во всех областях, охватываемых Конвенцией.</w:t>
      </w:r>
    </w:p>
    <w:p w14:paraId="536FC2B3" w14:textId="018D248C" w:rsidR="00017A81" w:rsidRPr="00017A81" w:rsidRDefault="00017A81" w:rsidP="00017A81">
      <w:pPr>
        <w:pStyle w:val="SingleTxt"/>
        <w:spacing w:after="0" w:line="120" w:lineRule="exact"/>
        <w:rPr>
          <w:b/>
          <w:sz w:val="10"/>
        </w:rPr>
      </w:pPr>
    </w:p>
    <w:p w14:paraId="67F2038E" w14:textId="3E752492"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Пекинская декларация и Платформа действий </w:t>
      </w:r>
    </w:p>
    <w:p w14:paraId="2F08C327" w14:textId="7E3383AF" w:rsidR="00017A81" w:rsidRPr="00017A81" w:rsidRDefault="00017A81" w:rsidP="00017A81">
      <w:pPr>
        <w:pStyle w:val="SingleTxt"/>
        <w:spacing w:after="0" w:line="120" w:lineRule="exact"/>
        <w:rPr>
          <w:sz w:val="10"/>
        </w:rPr>
      </w:pPr>
    </w:p>
    <w:p w14:paraId="4A7F4862" w14:textId="25683B49" w:rsidR="008B04B0" w:rsidRDefault="008B04B0" w:rsidP="008B04B0">
      <w:pPr>
        <w:pStyle w:val="SingleTxt"/>
        <w:rPr>
          <w:b/>
        </w:rPr>
      </w:pPr>
      <w:r>
        <w:t>51.</w:t>
      </w:r>
      <w:r>
        <w:tab/>
      </w:r>
      <w:r w:rsidRPr="00E86AD7">
        <w:rPr>
          <w:b/>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p w14:paraId="2AB71A1D" w14:textId="4D71A606" w:rsidR="00017A81" w:rsidRPr="00017A81" w:rsidRDefault="00017A81" w:rsidP="00017A81">
      <w:pPr>
        <w:pStyle w:val="SingleTxt"/>
        <w:spacing w:after="0" w:line="120" w:lineRule="exact"/>
        <w:rPr>
          <w:b/>
          <w:sz w:val="10"/>
        </w:rPr>
      </w:pPr>
    </w:p>
    <w:p w14:paraId="1008C3BA" w14:textId="081695D9" w:rsidR="008B04B0" w:rsidRDefault="008B04B0" w:rsidP="00017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Распространение </w:t>
      </w:r>
    </w:p>
    <w:p w14:paraId="657F55EF" w14:textId="6110A330" w:rsidR="00017A81" w:rsidRPr="00017A81" w:rsidRDefault="00017A81" w:rsidP="00017A81">
      <w:pPr>
        <w:pStyle w:val="SingleTxt"/>
        <w:spacing w:after="0" w:line="120" w:lineRule="exact"/>
        <w:rPr>
          <w:sz w:val="10"/>
        </w:rPr>
      </w:pPr>
    </w:p>
    <w:p w14:paraId="3B496E2B" w14:textId="16B07C59" w:rsidR="008B04B0" w:rsidRDefault="008B04B0" w:rsidP="008B04B0">
      <w:pPr>
        <w:pStyle w:val="SingleTxt"/>
        <w:rPr>
          <w:b/>
        </w:rPr>
      </w:pPr>
      <w:r>
        <w:t>52.</w:t>
      </w:r>
      <w:r>
        <w:tab/>
      </w:r>
      <w:r w:rsidRPr="00E86AD7">
        <w:rPr>
          <w:b/>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среди соответствующих государственных учреждени</w:t>
      </w:r>
      <w:r>
        <w:rPr>
          <w:b/>
        </w:rPr>
        <w:t>й</w:t>
      </w:r>
      <w:r w:rsidRPr="00E86AD7">
        <w:rPr>
          <w:b/>
        </w:rPr>
        <w:t xml:space="preserve"> всех уровней (национального, регионального и местного), в частности в правительстве, министерствах, парламенте и судебных органах, в целях их полного осуществления. </w:t>
      </w:r>
    </w:p>
    <w:p w14:paraId="0B9F3236" w14:textId="7555E6DB" w:rsidR="008F4537" w:rsidRPr="008F4537" w:rsidRDefault="008F4537" w:rsidP="008F4537">
      <w:pPr>
        <w:pStyle w:val="SingleTxt"/>
        <w:spacing w:after="0" w:line="120" w:lineRule="exact"/>
        <w:rPr>
          <w:b/>
          <w:sz w:val="10"/>
        </w:rPr>
      </w:pPr>
    </w:p>
    <w:p w14:paraId="0B1438EC" w14:textId="68EA1D7D" w:rsidR="008B04B0" w:rsidRDefault="008B04B0" w:rsidP="008F4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Техническая помощь </w:t>
      </w:r>
    </w:p>
    <w:p w14:paraId="787A3E9D" w14:textId="04C1170F" w:rsidR="008F4537" w:rsidRPr="008F4537" w:rsidRDefault="008F4537" w:rsidP="008F4537">
      <w:pPr>
        <w:pStyle w:val="SingleTxt"/>
        <w:spacing w:after="0" w:line="120" w:lineRule="exact"/>
        <w:rPr>
          <w:sz w:val="10"/>
        </w:rPr>
      </w:pPr>
    </w:p>
    <w:p w14:paraId="21D86C49" w14:textId="17BEEA30" w:rsidR="008B04B0" w:rsidRDefault="008B04B0" w:rsidP="008B04B0">
      <w:pPr>
        <w:pStyle w:val="SingleTxt"/>
        <w:rPr>
          <w:b/>
        </w:rPr>
      </w:pPr>
      <w:r>
        <w:t>53.</w:t>
      </w:r>
      <w:r>
        <w:tab/>
      </w:r>
      <w:r w:rsidRPr="00E86AD7">
        <w:rPr>
          <w:b/>
        </w:rPr>
        <w:t xml:space="preserve">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 </w:t>
      </w:r>
    </w:p>
    <w:p w14:paraId="122B044A" w14:textId="17503DFD" w:rsidR="008F4537" w:rsidRPr="008F4537" w:rsidRDefault="008F4537" w:rsidP="008F4537">
      <w:pPr>
        <w:pStyle w:val="SingleTxt"/>
        <w:spacing w:after="0" w:line="120" w:lineRule="exact"/>
        <w:rPr>
          <w:b/>
          <w:sz w:val="10"/>
        </w:rPr>
      </w:pPr>
    </w:p>
    <w:p w14:paraId="06BEE8FE" w14:textId="0D235DA9" w:rsidR="008B04B0" w:rsidRDefault="008B04B0" w:rsidP="008F4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Ратификация других договоров </w:t>
      </w:r>
    </w:p>
    <w:p w14:paraId="20CCC263" w14:textId="6A4A06F6" w:rsidR="008F4537" w:rsidRPr="008F4537" w:rsidRDefault="008F4537" w:rsidP="008F4537">
      <w:pPr>
        <w:pStyle w:val="SingleTxt"/>
        <w:spacing w:after="0" w:line="120" w:lineRule="exact"/>
        <w:rPr>
          <w:sz w:val="10"/>
        </w:rPr>
      </w:pPr>
    </w:p>
    <w:p w14:paraId="64FCFBCA" w14:textId="70FF492A" w:rsidR="008B04B0" w:rsidRDefault="008F4537" w:rsidP="008B04B0">
      <w:pPr>
        <w:pStyle w:val="SingleTxt"/>
        <w:rPr>
          <w:b/>
        </w:rPr>
      </w:pPr>
      <w:r>
        <w:t>54.</w:t>
      </w:r>
      <w:r>
        <w:tab/>
      </w:r>
      <w:r w:rsidR="008B04B0" w:rsidRPr="00E86AD7">
        <w:rPr>
          <w:b/>
        </w:rPr>
        <w:t>Комитет отмечает, что присоединение государства-участника к девяти основным международным документам по правам человека будет способствовать более полному осуществлению женщинами их прав человека и основных свобод во всех сферах жизни</w:t>
      </w:r>
      <w:r w:rsidR="008B04B0" w:rsidRPr="00D544B2">
        <w:rPr>
          <w:rStyle w:val="FootnoteReference"/>
        </w:rPr>
        <w:footnoteReference w:id="2"/>
      </w:r>
      <w:r w:rsidR="008B04B0">
        <w:rPr>
          <w:b/>
        </w:rPr>
        <w:t>.</w:t>
      </w:r>
      <w:r w:rsidR="008B04B0" w:rsidRPr="00E86AD7">
        <w:rPr>
          <w:b/>
        </w:rPr>
        <w:t xml:space="preserve"> В этой связи Комитет призывает государство-участника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пока не является. </w:t>
      </w:r>
    </w:p>
    <w:p w14:paraId="0CA6BF4E" w14:textId="7405CE4D" w:rsidR="008F4537" w:rsidRPr="008F4537" w:rsidRDefault="008F4537" w:rsidP="008F4537">
      <w:pPr>
        <w:pStyle w:val="SingleTxt"/>
        <w:spacing w:after="0" w:line="120" w:lineRule="exact"/>
        <w:rPr>
          <w:b/>
          <w:sz w:val="10"/>
        </w:rPr>
      </w:pPr>
    </w:p>
    <w:p w14:paraId="585451F8" w14:textId="2AD69367" w:rsidR="008B04B0" w:rsidRDefault="008B04B0" w:rsidP="008F4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Последующие меры в связи с заключительными замечаниями </w:t>
      </w:r>
    </w:p>
    <w:p w14:paraId="04E1B1AF" w14:textId="616A4331" w:rsidR="008F4537" w:rsidRPr="008F4537" w:rsidRDefault="008F4537" w:rsidP="008F4537">
      <w:pPr>
        <w:pStyle w:val="SingleTxt"/>
        <w:spacing w:after="0" w:line="120" w:lineRule="exact"/>
        <w:rPr>
          <w:sz w:val="10"/>
        </w:rPr>
      </w:pPr>
    </w:p>
    <w:p w14:paraId="35D96BEA" w14:textId="5D5930BE" w:rsidR="008B04B0" w:rsidRDefault="008B04B0" w:rsidP="008B04B0">
      <w:pPr>
        <w:pStyle w:val="SingleTxt"/>
        <w:rPr>
          <w:b/>
        </w:rPr>
      </w:pPr>
      <w:r>
        <w:t>55.</w:t>
      </w:r>
      <w:r>
        <w:tab/>
      </w:r>
      <w:r w:rsidRPr="00953770">
        <w:rPr>
          <w:b/>
        </w:rPr>
        <w:t xml:space="preserve">Комитет просит государство-участник представить в течение двух лет в письменном виде информацию о мерах, принятых для осуществления рекомендаций, содержащихся в приведенных выше пунктах 20, 26 a), 40 а) и 48 a) выше. </w:t>
      </w:r>
    </w:p>
    <w:p w14:paraId="41AFBE97" w14:textId="0E2F9155" w:rsidR="008F4537" w:rsidRPr="008F4537" w:rsidRDefault="008F4537" w:rsidP="008F4537">
      <w:pPr>
        <w:pStyle w:val="SingleTxt"/>
        <w:spacing w:after="0" w:line="120" w:lineRule="exact"/>
        <w:rPr>
          <w:b/>
          <w:sz w:val="10"/>
        </w:rPr>
      </w:pPr>
    </w:p>
    <w:p w14:paraId="710DBB29" w14:textId="2B01D65C" w:rsidR="008B04B0" w:rsidRDefault="008B04B0" w:rsidP="008F45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Подготовка следующего периодического доклада </w:t>
      </w:r>
    </w:p>
    <w:p w14:paraId="00895C18" w14:textId="309EC1F0" w:rsidR="008F4537" w:rsidRPr="008F4537" w:rsidRDefault="008F4537" w:rsidP="008F4537">
      <w:pPr>
        <w:pStyle w:val="SingleTxt"/>
        <w:spacing w:after="0" w:line="120" w:lineRule="exact"/>
        <w:rPr>
          <w:sz w:val="10"/>
        </w:rPr>
      </w:pPr>
    </w:p>
    <w:p w14:paraId="36D1F4DA" w14:textId="77777777" w:rsidR="008B04B0" w:rsidRPr="00953770" w:rsidRDefault="008B04B0" w:rsidP="008B04B0">
      <w:pPr>
        <w:pStyle w:val="SingleTxt"/>
        <w:rPr>
          <w:b/>
        </w:rPr>
      </w:pPr>
      <w:r>
        <w:t>56.</w:t>
      </w:r>
      <w:r>
        <w:tab/>
      </w:r>
      <w:r w:rsidRPr="00953770">
        <w:rPr>
          <w:b/>
        </w:rPr>
        <w:t>Комитет предлагает государству-участнику представить свой девятый периодический доклад в июле 2022 года. Доклад должен быть представлен в срок и охватывать весь период до момента его представления.</w:t>
      </w:r>
    </w:p>
    <w:p w14:paraId="2FAB2AD5" w14:textId="19CCBF5B" w:rsidR="008B04B0" w:rsidRPr="00953770" w:rsidRDefault="008B04B0" w:rsidP="008B04B0">
      <w:pPr>
        <w:pStyle w:val="SingleTxt"/>
        <w:rPr>
          <w:b/>
          <w:bCs/>
        </w:rPr>
      </w:pPr>
      <w:r>
        <w:t>57.</w:t>
      </w:r>
      <w:r>
        <w:tab/>
      </w:r>
      <w:r w:rsidRPr="00953770">
        <w:rPr>
          <w:b/>
        </w:rPr>
        <w:t xml:space="preserve">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w:t>
      </w:r>
      <w:hyperlink r:id="rId26" w:history="1">
        <w:r w:rsidRPr="00664C84">
          <w:rPr>
            <w:rStyle w:val="Hyperlink"/>
            <w:b/>
          </w:rPr>
          <w:t>HRI/GEN/2/Rev.6</w:t>
        </w:r>
      </w:hyperlink>
      <w:r w:rsidRPr="00953770">
        <w:rPr>
          <w:b/>
        </w:rPr>
        <w:t>, глава I).</w:t>
      </w:r>
    </w:p>
    <w:p w14:paraId="0F3FB00E" w14:textId="0F7B5FD4" w:rsidR="008B04B0" w:rsidRPr="008F4537" w:rsidRDefault="008F4537" w:rsidP="008F4537">
      <w:pPr>
        <w:pStyle w:val="SingleTxt"/>
        <w:spacing w:after="0" w:line="240" w:lineRule="auto"/>
        <w:rPr>
          <w:lang w:val="en-US"/>
        </w:rPr>
      </w:pPr>
      <w:bookmarkStart w:id="4" w:name="_Hlk523384175"/>
      <w:bookmarkStart w:id="5" w:name="_Hlk523385416"/>
      <w:bookmarkStart w:id="6" w:name="_Hlk523412716"/>
      <w:bookmarkStart w:id="7" w:name="_GoBack"/>
      <w:bookmarkEnd w:id="4"/>
      <w:bookmarkEnd w:id="5"/>
      <w:bookmarkEnd w:id="6"/>
      <w:bookmarkEnd w:id="7"/>
      <w:r>
        <w:rPr>
          <w:noProof/>
          <w:w w:val="100"/>
          <w:lang w:val="en-US"/>
        </w:rPr>
        <mc:AlternateContent>
          <mc:Choice Requires="wps">
            <w:drawing>
              <wp:anchor distT="0" distB="0" distL="114300" distR="114300" simplePos="0" relativeHeight="251659264" behindDoc="0" locked="0" layoutInCell="1" allowOverlap="1" wp14:anchorId="0B17F93F" wp14:editId="51460D74">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2156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B04B0" w:rsidRPr="008F4537" w:rsidSect="005D74BC">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0T11:34:00Z" w:initials="Start">
    <w:p w14:paraId="7848A3C9" w14:textId="77777777" w:rsidR="004B7160" w:rsidRPr="005D74BC" w:rsidRDefault="004B7160">
      <w:pPr>
        <w:pStyle w:val="CommentText"/>
        <w:rPr>
          <w:lang w:val="en-US"/>
        </w:rPr>
      </w:pPr>
      <w:r>
        <w:fldChar w:fldCharType="begin"/>
      </w:r>
      <w:r w:rsidRPr="005D74BC">
        <w:rPr>
          <w:rStyle w:val="CommentReference"/>
          <w:lang w:val="en-US"/>
        </w:rPr>
        <w:instrText xml:space="preserve"> </w:instrText>
      </w:r>
      <w:r w:rsidRPr="005D74BC">
        <w:rPr>
          <w:lang w:val="en-US"/>
        </w:rPr>
        <w:instrText>PAGE \# "'Page: '#'</w:instrText>
      </w:r>
      <w:r w:rsidRPr="005D74BC">
        <w:rPr>
          <w:lang w:val="en-US"/>
        </w:rPr>
        <w:br/>
        <w:instrText>'"</w:instrText>
      </w:r>
      <w:r w:rsidRPr="005D74BC">
        <w:rPr>
          <w:rStyle w:val="CommentReference"/>
          <w:lang w:val="en-US"/>
        </w:rPr>
        <w:instrText xml:space="preserve"> </w:instrText>
      </w:r>
      <w:r>
        <w:fldChar w:fldCharType="end"/>
      </w:r>
      <w:r>
        <w:rPr>
          <w:rStyle w:val="CommentReference"/>
        </w:rPr>
        <w:annotationRef/>
      </w:r>
      <w:r w:rsidRPr="005D74BC">
        <w:rPr>
          <w:lang w:val="en-US"/>
        </w:rPr>
        <w:t>&lt;&lt;ODS JOB NO&gt;&gt;N1823814R&lt;&lt;ODS JOB NO&gt;&gt;</w:t>
      </w:r>
    </w:p>
    <w:p w14:paraId="15C04A63" w14:textId="77777777" w:rsidR="004B7160" w:rsidRPr="005D74BC" w:rsidRDefault="004B7160">
      <w:pPr>
        <w:pStyle w:val="CommentText"/>
        <w:rPr>
          <w:lang w:val="en-US"/>
        </w:rPr>
      </w:pPr>
      <w:r w:rsidRPr="005D74BC">
        <w:rPr>
          <w:lang w:val="en-US"/>
        </w:rPr>
        <w:t>&lt;&lt;ODS DOC SYMBOL1&gt;&gt;CEDAW/C/NZL/CO/8&lt;&lt;ODS DOC SYMBOL1&gt;&gt;</w:t>
      </w:r>
    </w:p>
    <w:p w14:paraId="0CF26EE4" w14:textId="77777777" w:rsidR="004B7160" w:rsidRDefault="004B716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26E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BD41" w14:textId="77777777" w:rsidR="004B7160" w:rsidRDefault="004B7160" w:rsidP="001824A1">
      <w:pPr>
        <w:spacing w:line="240" w:lineRule="auto"/>
      </w:pPr>
      <w:r>
        <w:separator/>
      </w:r>
    </w:p>
  </w:endnote>
  <w:endnote w:type="continuationSeparator" w:id="0">
    <w:p w14:paraId="0A6E4966" w14:textId="77777777" w:rsidR="004B7160" w:rsidRDefault="004B7160"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7160" w14:paraId="07E75792" w14:textId="77777777" w:rsidTr="00764133">
      <w:tblPrEx>
        <w:tblCellMar>
          <w:top w:w="0" w:type="dxa"/>
          <w:bottom w:w="0" w:type="dxa"/>
        </w:tblCellMar>
      </w:tblPrEx>
      <w:tc>
        <w:tcPr>
          <w:tcW w:w="4920" w:type="dxa"/>
          <w:shd w:val="clear" w:color="auto" w:fill="auto"/>
          <w:vAlign w:val="bottom"/>
        </w:tcPr>
        <w:p w14:paraId="2099C0AB" w14:textId="77777777" w:rsidR="004B7160" w:rsidRPr="00764133" w:rsidRDefault="004B7160" w:rsidP="00764133">
          <w:pPr>
            <w:pStyle w:val="Footer"/>
            <w:rPr>
              <w:color w:val="000000"/>
            </w:rPr>
          </w:pPr>
          <w:r>
            <w:fldChar w:fldCharType="begin"/>
          </w:r>
          <w:r>
            <w:instrText xml:space="preserve"> PAGE  \* Arabic  \* MERGEFORMAT </w:instrText>
          </w:r>
          <w:r>
            <w:fldChar w:fldCharType="separate"/>
          </w:r>
          <w:r>
            <w:rPr>
              <w:noProof/>
            </w:rPr>
            <w:t>3</w:t>
          </w:r>
          <w:r>
            <w:fldChar w:fldCharType="end"/>
          </w:r>
          <w:r>
            <w:t>/</w:t>
          </w:r>
          <w:r>
            <w:fldChar w:fldCharType="begin"/>
          </w:r>
          <w:r>
            <w:instrText xml:space="preserve"> NUMPAGES  \* Arabic  \* MERGEFORMAT </w:instrText>
          </w:r>
          <w:r>
            <w:fldChar w:fldCharType="separate"/>
          </w:r>
          <w:r>
            <w:rPr>
              <w:noProof/>
            </w:rPr>
            <w:t>4</w:t>
          </w:r>
          <w:r>
            <w:fldChar w:fldCharType="end"/>
          </w:r>
        </w:p>
      </w:tc>
      <w:tc>
        <w:tcPr>
          <w:tcW w:w="4920" w:type="dxa"/>
          <w:shd w:val="clear" w:color="auto" w:fill="auto"/>
          <w:vAlign w:val="bottom"/>
        </w:tcPr>
        <w:p w14:paraId="45812EA5" w14:textId="332766EC" w:rsidR="004B7160" w:rsidRPr="00764133" w:rsidRDefault="004B7160" w:rsidP="0076413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B117A">
            <w:rPr>
              <w:b w:val="0"/>
              <w:color w:val="000000"/>
              <w:sz w:val="14"/>
            </w:rPr>
            <w:t>18-12320</w:t>
          </w:r>
          <w:r>
            <w:rPr>
              <w:b w:val="0"/>
              <w:color w:val="000000"/>
              <w:sz w:val="14"/>
            </w:rPr>
            <w:fldChar w:fldCharType="end"/>
          </w:r>
        </w:p>
      </w:tc>
    </w:tr>
  </w:tbl>
  <w:p w14:paraId="51173788" w14:textId="77777777" w:rsidR="004B7160" w:rsidRPr="00764133" w:rsidRDefault="004B7160" w:rsidP="0076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7160" w14:paraId="001A50F4" w14:textId="77777777" w:rsidTr="00764133">
      <w:tblPrEx>
        <w:tblCellMar>
          <w:top w:w="0" w:type="dxa"/>
          <w:bottom w:w="0" w:type="dxa"/>
        </w:tblCellMar>
      </w:tblPrEx>
      <w:tc>
        <w:tcPr>
          <w:tcW w:w="4920" w:type="dxa"/>
          <w:shd w:val="clear" w:color="auto" w:fill="auto"/>
          <w:vAlign w:val="bottom"/>
        </w:tcPr>
        <w:p w14:paraId="3E0791D1" w14:textId="7B8FC6C8" w:rsidR="004B7160" w:rsidRPr="00764133" w:rsidRDefault="004B7160" w:rsidP="0076413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B117A">
            <w:rPr>
              <w:b w:val="0"/>
              <w:color w:val="000000"/>
              <w:sz w:val="14"/>
            </w:rPr>
            <w:t>18-12320</w:t>
          </w:r>
          <w:r>
            <w:rPr>
              <w:b w:val="0"/>
              <w:color w:val="000000"/>
              <w:sz w:val="14"/>
            </w:rPr>
            <w:fldChar w:fldCharType="end"/>
          </w:r>
        </w:p>
      </w:tc>
      <w:tc>
        <w:tcPr>
          <w:tcW w:w="4920" w:type="dxa"/>
          <w:shd w:val="clear" w:color="auto" w:fill="auto"/>
          <w:vAlign w:val="bottom"/>
        </w:tcPr>
        <w:p w14:paraId="4371CEE0" w14:textId="77777777" w:rsidR="004B7160" w:rsidRPr="00764133" w:rsidRDefault="004B7160" w:rsidP="00764133">
          <w:pPr>
            <w:pStyle w:val="Footer"/>
            <w:jc w:val="right"/>
          </w:pP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4</w:t>
          </w:r>
          <w:r>
            <w:fldChar w:fldCharType="end"/>
          </w:r>
        </w:p>
      </w:tc>
    </w:tr>
  </w:tbl>
  <w:p w14:paraId="0CA0517F" w14:textId="77777777" w:rsidR="004B7160" w:rsidRPr="00764133" w:rsidRDefault="004B7160" w:rsidP="00764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4B7160" w14:paraId="72843DBD" w14:textId="77777777" w:rsidTr="00764133">
      <w:tblPrEx>
        <w:tblCellMar>
          <w:top w:w="0" w:type="dxa"/>
          <w:bottom w:w="0" w:type="dxa"/>
        </w:tblCellMar>
      </w:tblPrEx>
      <w:tc>
        <w:tcPr>
          <w:tcW w:w="3830" w:type="dxa"/>
        </w:tcPr>
        <w:p w14:paraId="0D71E4F9" w14:textId="77777777" w:rsidR="004B7160" w:rsidRDefault="004B7160" w:rsidP="00764133">
          <w:pPr>
            <w:pStyle w:val="ReleaseDate"/>
            <w:rPr>
              <w:color w:val="010000"/>
            </w:rPr>
          </w:pPr>
          <w:r>
            <w:rPr>
              <w:noProof/>
            </w:rPr>
            <w:drawing>
              <wp:anchor distT="0" distB="0" distL="114300" distR="114300" simplePos="0" relativeHeight="251658240" behindDoc="0" locked="0" layoutInCell="1" allowOverlap="1" wp14:anchorId="3F58D821" wp14:editId="4E6845C6">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NZL/CO/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CO/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18-12320 (R)</w:t>
          </w:r>
          <w:r>
            <w:rPr>
              <w:color w:val="010000"/>
            </w:rPr>
            <w:t xml:space="preserve">    200918    200918</w:t>
          </w:r>
        </w:p>
        <w:p w14:paraId="6569D2FC" w14:textId="77777777" w:rsidR="004B7160" w:rsidRPr="00764133" w:rsidRDefault="004B7160" w:rsidP="00764133">
          <w:pPr>
            <w:spacing w:before="80" w:line="210" w:lineRule="exact"/>
            <w:rPr>
              <w:rFonts w:ascii="Barcode 3 of 9 by request" w:hAnsi="Barcode 3 of 9 by request"/>
              <w:w w:val="100"/>
              <w:sz w:val="24"/>
            </w:rPr>
          </w:pPr>
          <w:r>
            <w:rPr>
              <w:rFonts w:ascii="Barcode 3 of 9 by request" w:hAnsi="Barcode 3 of 9 by request"/>
              <w:b/>
              <w:w w:val="100"/>
              <w:sz w:val="24"/>
            </w:rPr>
            <w:t>*1812320*</w:t>
          </w:r>
        </w:p>
      </w:tc>
      <w:tc>
        <w:tcPr>
          <w:tcW w:w="4920" w:type="dxa"/>
        </w:tcPr>
        <w:p w14:paraId="27D00609" w14:textId="77777777" w:rsidR="004B7160" w:rsidRDefault="004B7160" w:rsidP="00764133">
          <w:pPr>
            <w:pStyle w:val="Footer"/>
            <w:spacing w:line="240" w:lineRule="atLeast"/>
            <w:jc w:val="right"/>
            <w:rPr>
              <w:b w:val="0"/>
              <w:sz w:val="20"/>
            </w:rPr>
          </w:pPr>
          <w:r>
            <w:rPr>
              <w:b w:val="0"/>
              <w:noProof/>
              <w:sz w:val="20"/>
            </w:rPr>
            <w:drawing>
              <wp:inline distT="0" distB="0" distL="0" distR="0" wp14:anchorId="1149AA54" wp14:editId="5218137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56417DE2" w14:textId="77777777" w:rsidR="004B7160" w:rsidRPr="00764133" w:rsidRDefault="004B7160" w:rsidP="0076413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5C92" w14:textId="65AD1D66" w:rsidR="004B7160" w:rsidRPr="00D544B2" w:rsidRDefault="00D544B2" w:rsidP="00D544B2">
      <w:pPr>
        <w:pStyle w:val="Footer"/>
        <w:spacing w:after="80"/>
        <w:ind w:left="792"/>
      </w:pPr>
      <w:r w:rsidRPr="00D544B2">
        <w:t>__________________</w:t>
      </w:r>
    </w:p>
  </w:footnote>
  <w:footnote w:type="continuationSeparator" w:id="0">
    <w:p w14:paraId="2AFF2FED" w14:textId="67F63FCB" w:rsidR="004B7160" w:rsidRPr="00D544B2" w:rsidRDefault="00D544B2" w:rsidP="00D544B2">
      <w:pPr>
        <w:pStyle w:val="Footer"/>
        <w:spacing w:after="80"/>
        <w:ind w:left="792"/>
      </w:pPr>
      <w:r w:rsidRPr="00D544B2">
        <w:t>__________________</w:t>
      </w:r>
    </w:p>
  </w:footnote>
  <w:footnote w:id="1">
    <w:p w14:paraId="6C805DD4" w14:textId="55CB6F86" w:rsidR="004B7160" w:rsidRPr="002A6A5D" w:rsidRDefault="004B7160" w:rsidP="00D544B2">
      <w:pPr>
        <w:pStyle w:val="FootnoteText"/>
        <w:tabs>
          <w:tab w:val="right" w:pos="1195"/>
          <w:tab w:val="left" w:pos="1267"/>
          <w:tab w:val="left" w:pos="1742"/>
          <w:tab w:val="left" w:pos="2218"/>
          <w:tab w:val="left" w:pos="2693"/>
        </w:tabs>
        <w:ind w:left="1267" w:right="1260" w:hanging="432"/>
      </w:pPr>
      <w:r>
        <w:tab/>
        <w:t>*</w:t>
      </w:r>
      <w:r>
        <w:tab/>
        <w:t>Принят Комитетом на его семидесятой сессии (2</w:t>
      </w:r>
      <w:r w:rsidR="005729D5" w:rsidRPr="005729D5">
        <w:t>–</w:t>
      </w:r>
      <w:r>
        <w:t>20 июля 2018 года).</w:t>
      </w:r>
    </w:p>
  </w:footnote>
  <w:footnote w:id="2">
    <w:p w14:paraId="3676E262" w14:textId="3D6A06B6" w:rsidR="004B7160" w:rsidRPr="008B04B0" w:rsidRDefault="004B7160" w:rsidP="00D544B2">
      <w:pPr>
        <w:pStyle w:val="FootnoteText"/>
        <w:tabs>
          <w:tab w:val="right" w:pos="1195"/>
          <w:tab w:val="left" w:pos="1267"/>
          <w:tab w:val="left" w:pos="1742"/>
          <w:tab w:val="left" w:pos="2218"/>
          <w:tab w:val="left" w:pos="2693"/>
        </w:tabs>
        <w:ind w:left="1267" w:right="1260" w:hanging="432"/>
      </w:pPr>
      <w:r w:rsidRPr="004B7160">
        <w:tab/>
      </w:r>
      <w:r>
        <w:rPr>
          <w:rStyle w:val="FootnoteReference"/>
        </w:rPr>
        <w:footnoteRef/>
      </w:r>
      <w:r w:rsidRPr="008B04B0">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7160" w14:paraId="298D2A1D" w14:textId="77777777" w:rsidTr="00764133">
      <w:tblPrEx>
        <w:tblCellMar>
          <w:top w:w="0" w:type="dxa"/>
          <w:bottom w:w="0" w:type="dxa"/>
        </w:tblCellMar>
      </w:tblPrEx>
      <w:trPr>
        <w:trHeight w:hRule="exact" w:val="864"/>
      </w:trPr>
      <w:tc>
        <w:tcPr>
          <w:tcW w:w="4920" w:type="dxa"/>
          <w:shd w:val="clear" w:color="auto" w:fill="auto"/>
          <w:vAlign w:val="bottom"/>
        </w:tcPr>
        <w:p w14:paraId="2DCBA01E" w14:textId="0762D39F" w:rsidR="004B7160" w:rsidRPr="00764133" w:rsidRDefault="004B7160" w:rsidP="00764133">
          <w:pPr>
            <w:pStyle w:val="Header"/>
            <w:spacing w:after="80"/>
            <w:rPr>
              <w:b/>
            </w:rPr>
          </w:pPr>
          <w:r>
            <w:rPr>
              <w:b/>
            </w:rPr>
            <w:fldChar w:fldCharType="begin"/>
          </w:r>
          <w:r>
            <w:rPr>
              <w:b/>
            </w:rPr>
            <w:instrText xml:space="preserve"> DOCVARIABLE "sss1" \* MERGEFORMAT </w:instrText>
          </w:r>
          <w:r>
            <w:rPr>
              <w:b/>
            </w:rPr>
            <w:fldChar w:fldCharType="separate"/>
          </w:r>
          <w:r w:rsidR="006B117A">
            <w:rPr>
              <w:b/>
            </w:rPr>
            <w:t>CEDAW/C/NZL/CO/8</w:t>
          </w:r>
          <w:r>
            <w:rPr>
              <w:b/>
            </w:rPr>
            <w:fldChar w:fldCharType="end"/>
          </w:r>
        </w:p>
      </w:tc>
      <w:tc>
        <w:tcPr>
          <w:tcW w:w="4920" w:type="dxa"/>
          <w:shd w:val="clear" w:color="auto" w:fill="auto"/>
          <w:vAlign w:val="bottom"/>
        </w:tcPr>
        <w:p w14:paraId="77CA5E36" w14:textId="77777777" w:rsidR="004B7160" w:rsidRDefault="004B7160" w:rsidP="00764133">
          <w:pPr>
            <w:pStyle w:val="Header"/>
          </w:pPr>
        </w:p>
      </w:tc>
    </w:tr>
  </w:tbl>
  <w:p w14:paraId="279574FA" w14:textId="77777777" w:rsidR="004B7160" w:rsidRPr="00764133" w:rsidRDefault="004B7160" w:rsidP="00764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7160" w14:paraId="0431AC07" w14:textId="77777777" w:rsidTr="00764133">
      <w:tblPrEx>
        <w:tblCellMar>
          <w:top w:w="0" w:type="dxa"/>
          <w:bottom w:w="0" w:type="dxa"/>
        </w:tblCellMar>
      </w:tblPrEx>
      <w:trPr>
        <w:trHeight w:hRule="exact" w:val="864"/>
      </w:trPr>
      <w:tc>
        <w:tcPr>
          <w:tcW w:w="4920" w:type="dxa"/>
          <w:shd w:val="clear" w:color="auto" w:fill="auto"/>
          <w:vAlign w:val="bottom"/>
        </w:tcPr>
        <w:p w14:paraId="66EB1B5F" w14:textId="77777777" w:rsidR="004B7160" w:rsidRDefault="004B7160" w:rsidP="00764133">
          <w:pPr>
            <w:pStyle w:val="Header"/>
          </w:pPr>
        </w:p>
      </w:tc>
      <w:tc>
        <w:tcPr>
          <w:tcW w:w="4920" w:type="dxa"/>
          <w:shd w:val="clear" w:color="auto" w:fill="auto"/>
          <w:vAlign w:val="bottom"/>
        </w:tcPr>
        <w:p w14:paraId="64860318" w14:textId="145619BB" w:rsidR="004B7160" w:rsidRPr="00764133" w:rsidRDefault="004B7160" w:rsidP="00764133">
          <w:pPr>
            <w:pStyle w:val="Header"/>
            <w:spacing w:after="80"/>
            <w:jc w:val="right"/>
            <w:rPr>
              <w:b/>
            </w:rPr>
          </w:pPr>
          <w:r>
            <w:rPr>
              <w:b/>
            </w:rPr>
            <w:fldChar w:fldCharType="begin"/>
          </w:r>
          <w:r>
            <w:rPr>
              <w:b/>
            </w:rPr>
            <w:instrText xml:space="preserve"> DOCVARIABLE "sss1" \* MERGEFORMAT </w:instrText>
          </w:r>
          <w:r>
            <w:rPr>
              <w:b/>
            </w:rPr>
            <w:fldChar w:fldCharType="separate"/>
          </w:r>
          <w:r w:rsidR="006B117A">
            <w:rPr>
              <w:b/>
            </w:rPr>
            <w:t>CEDAW/C/NZL/CO/8</w:t>
          </w:r>
          <w:r>
            <w:rPr>
              <w:b/>
            </w:rPr>
            <w:fldChar w:fldCharType="end"/>
          </w:r>
        </w:p>
      </w:tc>
    </w:tr>
  </w:tbl>
  <w:p w14:paraId="00A14923" w14:textId="77777777" w:rsidR="004B7160" w:rsidRPr="00764133" w:rsidRDefault="004B7160" w:rsidP="00764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B7160" w14:paraId="0BFDC009" w14:textId="77777777" w:rsidTr="00764133">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629252A1" w14:textId="77777777" w:rsidR="004B7160" w:rsidRPr="00764133" w:rsidRDefault="004B7160" w:rsidP="0076413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278E466" w14:textId="77777777" w:rsidR="004B7160" w:rsidRDefault="004B7160" w:rsidP="00764133">
          <w:pPr>
            <w:pStyle w:val="Header"/>
            <w:spacing w:after="120"/>
          </w:pPr>
        </w:p>
      </w:tc>
      <w:tc>
        <w:tcPr>
          <w:tcW w:w="5198" w:type="dxa"/>
          <w:gridSpan w:val="4"/>
          <w:tcBorders>
            <w:bottom w:val="single" w:sz="4" w:space="0" w:color="auto"/>
          </w:tcBorders>
          <w:shd w:val="clear" w:color="auto" w:fill="auto"/>
          <w:vAlign w:val="bottom"/>
        </w:tcPr>
        <w:p w14:paraId="12DEE4D7" w14:textId="77777777" w:rsidR="004B7160" w:rsidRPr="00764133" w:rsidRDefault="004B7160" w:rsidP="00764133">
          <w:pPr>
            <w:pStyle w:val="Header"/>
            <w:spacing w:after="20"/>
            <w:jc w:val="right"/>
            <w:rPr>
              <w:sz w:val="20"/>
            </w:rPr>
          </w:pPr>
          <w:r>
            <w:rPr>
              <w:sz w:val="40"/>
            </w:rPr>
            <w:t>CEDAW</w:t>
          </w:r>
          <w:r>
            <w:rPr>
              <w:sz w:val="20"/>
            </w:rPr>
            <w:t>/C/NZL/CO/8</w:t>
          </w:r>
        </w:p>
      </w:tc>
    </w:tr>
    <w:tr w:rsidR="004B7160" w:rsidRPr="005D74BC" w14:paraId="22132349" w14:textId="77777777" w:rsidTr="00764133">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20BCC807" w14:textId="77777777" w:rsidR="004B7160" w:rsidRPr="00764133" w:rsidRDefault="004B7160" w:rsidP="00764133">
          <w:pPr>
            <w:pStyle w:val="Header"/>
            <w:spacing w:before="120"/>
            <w:jc w:val="center"/>
          </w:pPr>
          <w:r>
            <w:t xml:space="preserve"> </w:t>
          </w:r>
          <w:r>
            <w:rPr>
              <w:noProof/>
            </w:rPr>
            <w:drawing>
              <wp:inline distT="0" distB="0" distL="0" distR="0" wp14:anchorId="3EE48252" wp14:editId="5F684CD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527536" w14:textId="77777777" w:rsidR="004B7160" w:rsidRPr="00764133" w:rsidRDefault="004B7160" w:rsidP="00764133">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76742BA" w14:textId="77777777" w:rsidR="004B7160" w:rsidRPr="00764133" w:rsidRDefault="004B7160" w:rsidP="00764133">
          <w:pPr>
            <w:pStyle w:val="Header"/>
            <w:spacing w:before="109"/>
          </w:pPr>
        </w:p>
      </w:tc>
      <w:tc>
        <w:tcPr>
          <w:tcW w:w="3110" w:type="dxa"/>
          <w:tcBorders>
            <w:top w:val="single" w:sz="4" w:space="0" w:color="auto"/>
            <w:bottom w:val="single" w:sz="12" w:space="0" w:color="auto"/>
          </w:tcBorders>
          <w:shd w:val="clear" w:color="auto" w:fill="auto"/>
        </w:tcPr>
        <w:p w14:paraId="5F77B68E" w14:textId="77777777" w:rsidR="004B7160" w:rsidRPr="005D74BC" w:rsidRDefault="004B7160" w:rsidP="00764133">
          <w:pPr>
            <w:pStyle w:val="Distribution"/>
            <w:rPr>
              <w:color w:val="000000"/>
              <w:lang w:val="en-US"/>
            </w:rPr>
          </w:pPr>
          <w:r w:rsidRPr="005D74BC">
            <w:rPr>
              <w:color w:val="000000"/>
              <w:lang w:val="en-US"/>
            </w:rPr>
            <w:t>Distr.: General</w:t>
          </w:r>
        </w:p>
        <w:p w14:paraId="0EA34F63" w14:textId="77777777" w:rsidR="004B7160" w:rsidRPr="005D74BC" w:rsidRDefault="004B7160" w:rsidP="00764133">
          <w:pPr>
            <w:pStyle w:val="Publication"/>
            <w:rPr>
              <w:color w:val="000000"/>
              <w:lang w:val="en-US"/>
            </w:rPr>
          </w:pPr>
          <w:r w:rsidRPr="005D74BC">
            <w:rPr>
              <w:color w:val="000000"/>
              <w:lang w:val="en-US"/>
            </w:rPr>
            <w:t>25 July 2018</w:t>
          </w:r>
        </w:p>
        <w:p w14:paraId="2A294EBA" w14:textId="77777777" w:rsidR="004B7160" w:rsidRPr="005D74BC" w:rsidRDefault="004B7160" w:rsidP="00764133">
          <w:pPr>
            <w:rPr>
              <w:color w:val="000000"/>
              <w:lang w:val="en-US"/>
            </w:rPr>
          </w:pPr>
          <w:r w:rsidRPr="005D74BC">
            <w:rPr>
              <w:color w:val="000000"/>
              <w:lang w:val="en-US"/>
            </w:rPr>
            <w:t>Russian</w:t>
          </w:r>
        </w:p>
        <w:p w14:paraId="0DBDED2C" w14:textId="77777777" w:rsidR="004B7160" w:rsidRPr="005D74BC" w:rsidRDefault="004B7160" w:rsidP="00764133">
          <w:pPr>
            <w:pStyle w:val="Original"/>
            <w:rPr>
              <w:color w:val="000000"/>
              <w:lang w:val="en-US"/>
            </w:rPr>
          </w:pPr>
          <w:r w:rsidRPr="005D74BC">
            <w:rPr>
              <w:color w:val="000000"/>
              <w:lang w:val="en-US"/>
            </w:rPr>
            <w:t>Original: English</w:t>
          </w:r>
        </w:p>
        <w:p w14:paraId="4A405BEB" w14:textId="77777777" w:rsidR="004B7160" w:rsidRPr="005D74BC" w:rsidRDefault="004B7160" w:rsidP="00764133">
          <w:pPr>
            <w:rPr>
              <w:lang w:val="en-US"/>
            </w:rPr>
          </w:pPr>
        </w:p>
      </w:tc>
    </w:tr>
  </w:tbl>
  <w:p w14:paraId="533D63FC" w14:textId="77777777" w:rsidR="004B7160" w:rsidRPr="005D74BC" w:rsidRDefault="004B7160" w:rsidP="00764133">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527CE6EC"/>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745C49B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3D22C5B6"/>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74F67A9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0*"/>
    <w:docVar w:name="CreationDt" w:val="20/09/2018 11:33 AM"/>
    <w:docVar w:name="DocCategory" w:val="Doc"/>
    <w:docVar w:name="DocType" w:val="Final"/>
    <w:docVar w:name="DutyStation" w:val="New York"/>
    <w:docVar w:name="FooterJN" w:val="18-12320"/>
    <w:docVar w:name="jobn" w:val="18-12320 (R)"/>
    <w:docVar w:name="jobnDT" w:val="18-12320 (R)   200918"/>
    <w:docVar w:name="jobnDTDT" w:val="18-12320 (R)   200918   200918"/>
    <w:docVar w:name="JobNo" w:val="1812320R"/>
    <w:docVar w:name="JobNo2" w:val="1823814R"/>
    <w:docVar w:name="LocalDrive" w:val="0"/>
    <w:docVar w:name="OandT" w:val=" "/>
    <w:docVar w:name="sss1" w:val="CEDAW/C/NZL/CO/8"/>
    <w:docVar w:name="sss2" w:val="-"/>
    <w:docVar w:name="Symbol1" w:val="CEDAW/C/NZL/CO/8"/>
    <w:docVar w:name="Symbol2" w:val="-"/>
  </w:docVars>
  <w:rsids>
    <w:rsidRoot w:val="00C9413E"/>
    <w:rsid w:val="00006D43"/>
    <w:rsid w:val="00017A81"/>
    <w:rsid w:val="00030C48"/>
    <w:rsid w:val="000541A5"/>
    <w:rsid w:val="00057473"/>
    <w:rsid w:val="0006461D"/>
    <w:rsid w:val="000A1A1B"/>
    <w:rsid w:val="000A4F1D"/>
    <w:rsid w:val="000C5FA8"/>
    <w:rsid w:val="000D2F30"/>
    <w:rsid w:val="000D4311"/>
    <w:rsid w:val="00122B34"/>
    <w:rsid w:val="001304A8"/>
    <w:rsid w:val="0013298A"/>
    <w:rsid w:val="0015133A"/>
    <w:rsid w:val="0018241A"/>
    <w:rsid w:val="001824A1"/>
    <w:rsid w:val="001B0786"/>
    <w:rsid w:val="001E4CC0"/>
    <w:rsid w:val="001E6498"/>
    <w:rsid w:val="001E729F"/>
    <w:rsid w:val="001F427A"/>
    <w:rsid w:val="00210AF4"/>
    <w:rsid w:val="00215A7D"/>
    <w:rsid w:val="00222F95"/>
    <w:rsid w:val="00225690"/>
    <w:rsid w:val="00257C3C"/>
    <w:rsid w:val="00261812"/>
    <w:rsid w:val="002F222F"/>
    <w:rsid w:val="002F681D"/>
    <w:rsid w:val="00302883"/>
    <w:rsid w:val="003218EF"/>
    <w:rsid w:val="00337F8F"/>
    <w:rsid w:val="00352C5D"/>
    <w:rsid w:val="003807EF"/>
    <w:rsid w:val="00381011"/>
    <w:rsid w:val="0038495D"/>
    <w:rsid w:val="003C6F1C"/>
    <w:rsid w:val="003F2EDC"/>
    <w:rsid w:val="003F7347"/>
    <w:rsid w:val="004019B6"/>
    <w:rsid w:val="004045AF"/>
    <w:rsid w:val="004240B1"/>
    <w:rsid w:val="00424A3D"/>
    <w:rsid w:val="00425020"/>
    <w:rsid w:val="004275D7"/>
    <w:rsid w:val="004279A5"/>
    <w:rsid w:val="00431502"/>
    <w:rsid w:val="00447D3A"/>
    <w:rsid w:val="004731F9"/>
    <w:rsid w:val="004A1729"/>
    <w:rsid w:val="004B7160"/>
    <w:rsid w:val="00501862"/>
    <w:rsid w:val="0053643A"/>
    <w:rsid w:val="00542D6F"/>
    <w:rsid w:val="005558E2"/>
    <w:rsid w:val="005644C2"/>
    <w:rsid w:val="00571999"/>
    <w:rsid w:val="005729D5"/>
    <w:rsid w:val="00592D4A"/>
    <w:rsid w:val="005A2266"/>
    <w:rsid w:val="005A5A4B"/>
    <w:rsid w:val="005B3C22"/>
    <w:rsid w:val="005B58D8"/>
    <w:rsid w:val="005D74BC"/>
    <w:rsid w:val="00630AB6"/>
    <w:rsid w:val="00643F79"/>
    <w:rsid w:val="006644D6"/>
    <w:rsid w:val="00664C84"/>
    <w:rsid w:val="006B0972"/>
    <w:rsid w:val="006B117A"/>
    <w:rsid w:val="006B79E0"/>
    <w:rsid w:val="006C2CB0"/>
    <w:rsid w:val="006D4969"/>
    <w:rsid w:val="006E5CA5"/>
    <w:rsid w:val="006E69B7"/>
    <w:rsid w:val="006E7055"/>
    <w:rsid w:val="00705A84"/>
    <w:rsid w:val="00721045"/>
    <w:rsid w:val="00764133"/>
    <w:rsid w:val="007755BE"/>
    <w:rsid w:val="007930DB"/>
    <w:rsid w:val="0079509B"/>
    <w:rsid w:val="007B0F62"/>
    <w:rsid w:val="007C1FB5"/>
    <w:rsid w:val="007C6E0C"/>
    <w:rsid w:val="007D2E54"/>
    <w:rsid w:val="00812E88"/>
    <w:rsid w:val="0081376C"/>
    <w:rsid w:val="008262F1"/>
    <w:rsid w:val="00840363"/>
    <w:rsid w:val="00843551"/>
    <w:rsid w:val="008B04B0"/>
    <w:rsid w:val="008E0493"/>
    <w:rsid w:val="008E3D70"/>
    <w:rsid w:val="008E6109"/>
    <w:rsid w:val="008E6699"/>
    <w:rsid w:val="008F00EB"/>
    <w:rsid w:val="008F4537"/>
    <w:rsid w:val="00916C2F"/>
    <w:rsid w:val="00951D86"/>
    <w:rsid w:val="009537EE"/>
    <w:rsid w:val="0096420F"/>
    <w:rsid w:val="00965624"/>
    <w:rsid w:val="009E6533"/>
    <w:rsid w:val="009F077A"/>
    <w:rsid w:val="00A04B6F"/>
    <w:rsid w:val="00A17113"/>
    <w:rsid w:val="00A5718F"/>
    <w:rsid w:val="00A57ABA"/>
    <w:rsid w:val="00A72FF5"/>
    <w:rsid w:val="00AD508E"/>
    <w:rsid w:val="00AD7027"/>
    <w:rsid w:val="00AE4259"/>
    <w:rsid w:val="00B05040"/>
    <w:rsid w:val="00B2737F"/>
    <w:rsid w:val="00B359F3"/>
    <w:rsid w:val="00B535EE"/>
    <w:rsid w:val="00B745E4"/>
    <w:rsid w:val="00B94DF7"/>
    <w:rsid w:val="00BB1DA8"/>
    <w:rsid w:val="00BC2880"/>
    <w:rsid w:val="00BD52A3"/>
    <w:rsid w:val="00C111D8"/>
    <w:rsid w:val="00C26FCC"/>
    <w:rsid w:val="00C41769"/>
    <w:rsid w:val="00C45C26"/>
    <w:rsid w:val="00C70BCD"/>
    <w:rsid w:val="00C86675"/>
    <w:rsid w:val="00C9413E"/>
    <w:rsid w:val="00CA4BB0"/>
    <w:rsid w:val="00CB2704"/>
    <w:rsid w:val="00D115BA"/>
    <w:rsid w:val="00D35CD9"/>
    <w:rsid w:val="00D544B2"/>
    <w:rsid w:val="00D760D3"/>
    <w:rsid w:val="00D82BC5"/>
    <w:rsid w:val="00D96F14"/>
    <w:rsid w:val="00DD3B39"/>
    <w:rsid w:val="00DD7F42"/>
    <w:rsid w:val="00E25037"/>
    <w:rsid w:val="00E5208F"/>
    <w:rsid w:val="00E716F5"/>
    <w:rsid w:val="00E720E8"/>
    <w:rsid w:val="00E8434D"/>
    <w:rsid w:val="00E94333"/>
    <w:rsid w:val="00EC2A36"/>
    <w:rsid w:val="00EC308B"/>
    <w:rsid w:val="00EC5499"/>
    <w:rsid w:val="00EC6167"/>
    <w:rsid w:val="00ED31CE"/>
    <w:rsid w:val="00F2422B"/>
    <w:rsid w:val="00F36CBF"/>
    <w:rsid w:val="00F52549"/>
    <w:rsid w:val="00F63321"/>
    <w:rsid w:val="00F81CC1"/>
    <w:rsid w:val="00FA0154"/>
    <w:rsid w:val="00FA7578"/>
    <w:rsid w:val="00FB731E"/>
    <w:rsid w:val="00FF05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5404"/>
  <w15:chartTrackingRefBased/>
  <w15:docId w15:val="{DFBE307A-2CA1-4080-87C9-85729886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C5499"/>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EC5499"/>
    <w:pPr>
      <w:keepNext/>
      <w:numPr>
        <w:numId w:val="12"/>
      </w:numPr>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EC5499"/>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EC5499"/>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8B04B0"/>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B04B0"/>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8B04B0"/>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8B04B0"/>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8B04B0"/>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8B04B0"/>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EC5499"/>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C5499"/>
    <w:pPr>
      <w:suppressAutoHyphens/>
      <w:spacing w:line="270" w:lineRule="exact"/>
      <w:outlineLvl w:val="0"/>
    </w:pPr>
    <w:rPr>
      <w:b/>
      <w:sz w:val="24"/>
    </w:rPr>
  </w:style>
  <w:style w:type="paragraph" w:customStyle="1" w:styleId="HCh">
    <w:name w:val="_ H _Ch"/>
    <w:basedOn w:val="H1"/>
    <w:next w:val="Normal"/>
    <w:qFormat/>
    <w:rsid w:val="00EC5499"/>
    <w:pPr>
      <w:keepNext/>
      <w:keepLines/>
      <w:spacing w:line="300" w:lineRule="exact"/>
    </w:pPr>
    <w:rPr>
      <w:spacing w:val="-2"/>
      <w:sz w:val="28"/>
    </w:rPr>
  </w:style>
  <w:style w:type="paragraph" w:customStyle="1" w:styleId="H23">
    <w:name w:val="_ H_2/3"/>
    <w:basedOn w:val="H1"/>
    <w:next w:val="SingleTxt"/>
    <w:qFormat/>
    <w:rsid w:val="00EC5499"/>
    <w:pPr>
      <w:keepNext/>
      <w:keepLines/>
      <w:spacing w:line="240" w:lineRule="exact"/>
      <w:outlineLvl w:val="1"/>
    </w:pPr>
    <w:rPr>
      <w:spacing w:val="2"/>
      <w:sz w:val="20"/>
    </w:rPr>
  </w:style>
  <w:style w:type="paragraph" w:customStyle="1" w:styleId="H4">
    <w:name w:val="_ H_4"/>
    <w:basedOn w:val="Normal"/>
    <w:next w:val="Normal"/>
    <w:qFormat/>
    <w:rsid w:val="00EC5499"/>
    <w:pPr>
      <w:keepNext/>
      <w:keepLines/>
      <w:tabs>
        <w:tab w:val="right" w:pos="360"/>
      </w:tabs>
      <w:suppressAutoHyphens/>
      <w:outlineLvl w:val="3"/>
    </w:pPr>
    <w:rPr>
      <w:i/>
      <w:spacing w:val="3"/>
    </w:rPr>
  </w:style>
  <w:style w:type="paragraph" w:customStyle="1" w:styleId="H56">
    <w:name w:val="_ H_5/6"/>
    <w:basedOn w:val="Normal"/>
    <w:next w:val="Normal"/>
    <w:qFormat/>
    <w:rsid w:val="00EC5499"/>
    <w:pPr>
      <w:keepNext/>
      <w:keepLines/>
      <w:tabs>
        <w:tab w:val="right" w:pos="360"/>
      </w:tabs>
      <w:suppressAutoHyphens/>
      <w:ind w:left="1267" w:right="1267" w:hanging="1267"/>
      <w:outlineLvl w:val="4"/>
    </w:pPr>
  </w:style>
  <w:style w:type="paragraph" w:customStyle="1" w:styleId="DualTxt">
    <w:name w:val="__Dual Txt"/>
    <w:basedOn w:val="Normal"/>
    <w:qFormat/>
    <w:rsid w:val="00EC549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C549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C5499"/>
    <w:pPr>
      <w:spacing w:line="540" w:lineRule="exact"/>
    </w:pPr>
    <w:rPr>
      <w:spacing w:val="-8"/>
      <w:w w:val="96"/>
      <w:sz w:val="57"/>
    </w:rPr>
  </w:style>
  <w:style w:type="paragraph" w:customStyle="1" w:styleId="SS">
    <w:name w:val="__S_S"/>
    <w:basedOn w:val="SM"/>
    <w:next w:val="Normal"/>
    <w:qFormat/>
    <w:rsid w:val="00EC5499"/>
    <w:pPr>
      <w:spacing w:line="300" w:lineRule="exact"/>
      <w:ind w:left="1264" w:right="1264"/>
    </w:pPr>
    <w:rPr>
      <w:sz w:val="28"/>
    </w:rPr>
  </w:style>
  <w:style w:type="paragraph" w:customStyle="1" w:styleId="SingleTxt">
    <w:name w:val="__Single Txt"/>
    <w:basedOn w:val="Normal"/>
    <w:qFormat/>
    <w:rsid w:val="00EC549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EC5499"/>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EC54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EC5499"/>
    <w:pPr>
      <w:keepNext/>
      <w:keepLines/>
      <w:spacing w:line="240" w:lineRule="exact"/>
      <w:ind w:right="5040"/>
      <w:outlineLvl w:val="1"/>
    </w:pPr>
    <w:rPr>
      <w:spacing w:val="2"/>
      <w:sz w:val="20"/>
    </w:rPr>
  </w:style>
  <w:style w:type="paragraph" w:customStyle="1" w:styleId="Bullet1">
    <w:name w:val="Bullet 1"/>
    <w:basedOn w:val="Normal"/>
    <w:qFormat/>
    <w:rsid w:val="00EC5499"/>
    <w:pPr>
      <w:numPr>
        <w:numId w:val="1"/>
      </w:numPr>
      <w:spacing w:after="120"/>
      <w:ind w:right="1267"/>
      <w:jc w:val="both"/>
    </w:pPr>
  </w:style>
  <w:style w:type="paragraph" w:customStyle="1" w:styleId="Bullet2">
    <w:name w:val="Bullet 2"/>
    <w:basedOn w:val="Normal"/>
    <w:qFormat/>
    <w:rsid w:val="00EC5499"/>
    <w:pPr>
      <w:numPr>
        <w:numId w:val="2"/>
      </w:numPr>
      <w:spacing w:after="120"/>
      <w:ind w:right="1267"/>
      <w:jc w:val="both"/>
    </w:pPr>
  </w:style>
  <w:style w:type="paragraph" w:customStyle="1" w:styleId="Bullet3">
    <w:name w:val="Bullet 3"/>
    <w:basedOn w:val="SingleTxt"/>
    <w:qFormat/>
    <w:rsid w:val="00EC549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EC5499"/>
    <w:pPr>
      <w:spacing w:before="240"/>
    </w:pPr>
    <w:rPr>
      <w:szCs w:val="20"/>
    </w:rPr>
  </w:style>
  <w:style w:type="character" w:styleId="EndnoteReference">
    <w:name w:val="endnote reference"/>
    <w:aliases w:val="1_G"/>
    <w:basedOn w:val="DefaultParagraphFont"/>
    <w:qFormat/>
    <w:rsid w:val="00EC549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EC549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EC5499"/>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EC549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EC5499"/>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EC549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EC5499"/>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EC5499"/>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EC549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EC5499"/>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EC5499"/>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EC5499"/>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EC5499"/>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EC5499"/>
    <w:pPr>
      <w:spacing w:after="120"/>
      <w:ind w:left="360"/>
      <w:contextualSpacing/>
    </w:pPr>
  </w:style>
  <w:style w:type="paragraph" w:styleId="ListContinue2">
    <w:name w:val="List Continue 2"/>
    <w:basedOn w:val="Normal"/>
    <w:next w:val="Normal"/>
    <w:rsid w:val="00EC5499"/>
    <w:pPr>
      <w:numPr>
        <w:numId w:val="4"/>
      </w:numPr>
      <w:tabs>
        <w:tab w:val="left" w:pos="792"/>
      </w:tabs>
      <w:spacing w:after="120"/>
    </w:pPr>
  </w:style>
  <w:style w:type="paragraph" w:styleId="ListNumber">
    <w:name w:val="List Number"/>
    <w:basedOn w:val="H1"/>
    <w:next w:val="Normal"/>
    <w:rsid w:val="00EC5499"/>
    <w:pPr>
      <w:numPr>
        <w:numId w:val="5"/>
      </w:numPr>
      <w:contextualSpacing/>
    </w:pPr>
  </w:style>
  <w:style w:type="paragraph" w:styleId="ListNumber2">
    <w:name w:val="List Number 2"/>
    <w:basedOn w:val="H23"/>
    <w:next w:val="Normal"/>
    <w:rsid w:val="00EC5499"/>
    <w:pPr>
      <w:numPr>
        <w:numId w:val="6"/>
      </w:numPr>
      <w:tabs>
        <w:tab w:val="left" w:pos="648"/>
      </w:tabs>
      <w:contextualSpacing/>
    </w:pPr>
  </w:style>
  <w:style w:type="paragraph" w:styleId="ListNumber3">
    <w:name w:val="List Number 3"/>
    <w:basedOn w:val="H23"/>
    <w:next w:val="Normal"/>
    <w:rsid w:val="00EC5499"/>
    <w:pPr>
      <w:numPr>
        <w:numId w:val="7"/>
      </w:numPr>
      <w:tabs>
        <w:tab w:val="left" w:pos="922"/>
      </w:tabs>
      <w:contextualSpacing/>
    </w:pPr>
  </w:style>
  <w:style w:type="paragraph" w:styleId="ListNumber4">
    <w:name w:val="List Number 4"/>
    <w:basedOn w:val="Normal"/>
    <w:rsid w:val="00EC5499"/>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rsid w:val="00EC5499"/>
    <w:pPr>
      <w:numPr>
        <w:numId w:val="9"/>
      </w:numPr>
      <w:tabs>
        <w:tab w:val="left" w:pos="1498"/>
      </w:tabs>
      <w:contextualSpacing/>
    </w:pPr>
  </w:style>
  <w:style w:type="paragraph" w:styleId="NoSpacing">
    <w:name w:val="No Spacing"/>
    <w:uiPriority w:val="1"/>
    <w:rsid w:val="00EC5499"/>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EC5499"/>
    <w:rPr>
      <w:szCs w:val="20"/>
    </w:rPr>
  </w:style>
  <w:style w:type="paragraph" w:customStyle="1" w:styleId="Publication">
    <w:name w:val="Publication"/>
    <w:basedOn w:val="Normal"/>
    <w:next w:val="Normal"/>
    <w:qFormat/>
    <w:rsid w:val="00EC5499"/>
  </w:style>
  <w:style w:type="paragraph" w:customStyle="1" w:styleId="ReleaseDate">
    <w:name w:val="ReleaseDate"/>
    <w:basedOn w:val="Normal"/>
    <w:next w:val="Normal"/>
    <w:qFormat/>
    <w:rsid w:val="00EC5499"/>
    <w:rPr>
      <w:szCs w:val="20"/>
    </w:rPr>
  </w:style>
  <w:style w:type="paragraph" w:customStyle="1" w:styleId="Small">
    <w:name w:val="Small"/>
    <w:basedOn w:val="Normal"/>
    <w:next w:val="Normal"/>
    <w:qFormat/>
    <w:rsid w:val="00EC5499"/>
    <w:pPr>
      <w:tabs>
        <w:tab w:val="right" w:pos="9965"/>
      </w:tabs>
      <w:spacing w:line="210" w:lineRule="exact"/>
    </w:pPr>
    <w:rPr>
      <w:spacing w:val="5"/>
      <w:w w:val="104"/>
      <w:sz w:val="17"/>
    </w:rPr>
  </w:style>
  <w:style w:type="paragraph" w:customStyle="1" w:styleId="SmallX">
    <w:name w:val="SmallX"/>
    <w:basedOn w:val="Small"/>
    <w:next w:val="Normal"/>
    <w:qFormat/>
    <w:rsid w:val="00EC5499"/>
    <w:pPr>
      <w:spacing w:line="180" w:lineRule="exact"/>
      <w:jc w:val="right"/>
    </w:pPr>
    <w:rPr>
      <w:spacing w:val="6"/>
      <w:w w:val="106"/>
      <w:sz w:val="14"/>
    </w:rPr>
  </w:style>
  <w:style w:type="paragraph" w:customStyle="1" w:styleId="TitleHCH">
    <w:name w:val="Title_H_CH"/>
    <w:basedOn w:val="H1"/>
    <w:next w:val="Normal"/>
    <w:qFormat/>
    <w:rsid w:val="00EC54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C54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C549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764133"/>
    <w:rPr>
      <w:sz w:val="16"/>
      <w:szCs w:val="16"/>
    </w:rPr>
  </w:style>
  <w:style w:type="paragraph" w:styleId="CommentText">
    <w:name w:val="annotation text"/>
    <w:basedOn w:val="Normal"/>
    <w:link w:val="CommentTextChar"/>
    <w:semiHidden/>
    <w:unhideWhenUsed/>
    <w:rsid w:val="00764133"/>
    <w:pPr>
      <w:spacing w:line="240" w:lineRule="auto"/>
    </w:pPr>
    <w:rPr>
      <w:szCs w:val="20"/>
    </w:rPr>
  </w:style>
  <w:style w:type="character" w:customStyle="1" w:styleId="CommentTextChar">
    <w:name w:val="Comment Text Char"/>
    <w:basedOn w:val="DefaultParagraphFont"/>
    <w:link w:val="CommentText"/>
    <w:semiHidden/>
    <w:rsid w:val="00764133"/>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764133"/>
    <w:rPr>
      <w:b/>
      <w:bCs/>
    </w:rPr>
  </w:style>
  <w:style w:type="character" w:customStyle="1" w:styleId="CommentSubjectChar">
    <w:name w:val="Comment Subject Char"/>
    <w:basedOn w:val="CommentTextChar"/>
    <w:link w:val="CommentSubject"/>
    <w:semiHidden/>
    <w:rsid w:val="00764133"/>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8B04B0"/>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
    <w:name w:val="Heading 5 Char"/>
    <w:basedOn w:val="DefaultParagraphFont"/>
    <w:link w:val="Heading5"/>
    <w:semiHidden/>
    <w:rsid w:val="008B04B0"/>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
    <w:name w:val="Heading 6 Char"/>
    <w:basedOn w:val="DefaultParagraphFont"/>
    <w:link w:val="Heading6"/>
    <w:semiHidden/>
    <w:rsid w:val="008B04B0"/>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
    <w:name w:val="Heading 7 Char"/>
    <w:basedOn w:val="DefaultParagraphFont"/>
    <w:link w:val="Heading7"/>
    <w:semiHidden/>
    <w:rsid w:val="008B04B0"/>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
    <w:name w:val="Heading 8 Char"/>
    <w:basedOn w:val="DefaultParagraphFont"/>
    <w:link w:val="Heading8"/>
    <w:semiHidden/>
    <w:rsid w:val="008B04B0"/>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
    <w:name w:val="Heading 9 Char"/>
    <w:basedOn w:val="DefaultParagraphFont"/>
    <w:link w:val="Heading9"/>
    <w:semiHidden/>
    <w:rsid w:val="008B04B0"/>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Normal"/>
    <w:next w:val="Normal"/>
    <w:qFormat/>
    <w:rsid w:val="008B04B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8B04B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8B04B0"/>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8B04B0"/>
    <w:rPr>
      <w:rFonts w:ascii="Times New Roman" w:hAnsi="Times New Roman"/>
      <w:b/>
      <w:sz w:val="18"/>
    </w:rPr>
  </w:style>
  <w:style w:type="paragraph" w:styleId="PlainText">
    <w:name w:val="Plain Text"/>
    <w:basedOn w:val="Normal"/>
    <w:link w:val="PlainTextChar"/>
    <w:semiHidden/>
    <w:rsid w:val="008B04B0"/>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8B04B0"/>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8B04B0"/>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8B04B0"/>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8B04B0"/>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8B04B0"/>
    <w:rPr>
      <w:rFonts w:ascii="Times New Roman" w:eastAsia="Times New Roman" w:hAnsi="Times New Roman" w:cs="Times New Roman"/>
      <w:sz w:val="20"/>
      <w:szCs w:val="20"/>
      <w:lang w:eastAsia="en-US"/>
    </w:rPr>
  </w:style>
  <w:style w:type="paragraph" w:styleId="BlockText">
    <w:name w:val="Block Text"/>
    <w:basedOn w:val="Normal"/>
    <w:semiHidden/>
    <w:rsid w:val="008B04B0"/>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8B04B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8B04B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8B04B0"/>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B04B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8B04B0"/>
    <w:pPr>
      <w:numPr>
        <w:numId w:val="18"/>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8B04B0"/>
    <w:rPr>
      <w:sz w:val="14"/>
    </w:rPr>
  </w:style>
  <w:style w:type="paragraph" w:customStyle="1" w:styleId="Bullet2G">
    <w:name w:val="_Bullet 2_G"/>
    <w:basedOn w:val="Normal"/>
    <w:qFormat/>
    <w:rsid w:val="008B04B0"/>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8B04B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8B04B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8B04B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8B04B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8B04B0"/>
    <w:pPr>
      <w:numPr>
        <w:numId w:val="15"/>
      </w:numPr>
    </w:pPr>
  </w:style>
  <w:style w:type="numbering" w:styleId="1ai">
    <w:name w:val="Outline List 1"/>
    <w:basedOn w:val="NoList"/>
    <w:semiHidden/>
    <w:rsid w:val="008B04B0"/>
    <w:pPr>
      <w:numPr>
        <w:numId w:val="16"/>
      </w:numPr>
    </w:pPr>
  </w:style>
  <w:style w:type="numbering" w:styleId="ArticleSection">
    <w:name w:val="Outline List 3"/>
    <w:basedOn w:val="NoList"/>
    <w:semiHidden/>
    <w:rsid w:val="008B04B0"/>
    <w:pPr>
      <w:numPr>
        <w:numId w:val="17"/>
      </w:numPr>
    </w:pPr>
  </w:style>
  <w:style w:type="paragraph" w:styleId="BodyText2">
    <w:name w:val="Body Text 2"/>
    <w:basedOn w:val="Normal"/>
    <w:link w:val="BodyText2Char"/>
    <w:semiHidden/>
    <w:rsid w:val="008B04B0"/>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8B04B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8B04B0"/>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8B04B0"/>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8B04B0"/>
    <w:pPr>
      <w:spacing w:after="120"/>
      <w:ind w:firstLine="210"/>
    </w:pPr>
  </w:style>
  <w:style w:type="character" w:customStyle="1" w:styleId="BodyTextFirstIndentChar">
    <w:name w:val="Body Text First Indent Char"/>
    <w:basedOn w:val="BodyTextChar"/>
    <w:link w:val="BodyTextFirstIndent"/>
    <w:semiHidden/>
    <w:rsid w:val="008B04B0"/>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8B04B0"/>
    <w:pPr>
      <w:ind w:firstLine="210"/>
    </w:pPr>
  </w:style>
  <w:style w:type="character" w:customStyle="1" w:styleId="BodyTextFirstIndent2Char">
    <w:name w:val="Body Text First Indent 2 Char"/>
    <w:basedOn w:val="BodyTextIndentChar"/>
    <w:link w:val="BodyTextFirstIndent2"/>
    <w:semiHidden/>
    <w:rsid w:val="008B04B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8B04B0"/>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8B04B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8B04B0"/>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8B04B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8B04B0"/>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8B04B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8B04B0"/>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8B04B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8B04B0"/>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8B04B0"/>
    <w:rPr>
      <w:rFonts w:ascii="Times New Roman" w:eastAsia="Times New Roman" w:hAnsi="Times New Roman" w:cs="Times New Roman"/>
      <w:sz w:val="20"/>
      <w:szCs w:val="20"/>
      <w:lang w:eastAsia="en-US"/>
    </w:rPr>
  </w:style>
  <w:style w:type="character" w:styleId="Emphasis">
    <w:name w:val="Emphasis"/>
    <w:basedOn w:val="DefaultParagraphFont"/>
    <w:qFormat/>
    <w:rsid w:val="008B04B0"/>
    <w:rPr>
      <w:i/>
      <w:iCs/>
    </w:rPr>
  </w:style>
  <w:style w:type="paragraph" w:styleId="EnvelopeReturn">
    <w:name w:val="envelope return"/>
    <w:basedOn w:val="Normal"/>
    <w:semiHidden/>
    <w:rsid w:val="008B04B0"/>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8B04B0"/>
    <w:rPr>
      <w:color w:val="0000FF"/>
      <w:u w:val="none"/>
    </w:rPr>
  </w:style>
  <w:style w:type="character" w:styleId="HTMLAcronym">
    <w:name w:val="HTML Acronym"/>
    <w:basedOn w:val="DefaultParagraphFont"/>
    <w:semiHidden/>
    <w:rsid w:val="008B04B0"/>
  </w:style>
  <w:style w:type="paragraph" w:styleId="HTMLAddress">
    <w:name w:val="HTML Address"/>
    <w:basedOn w:val="Normal"/>
    <w:link w:val="HTMLAddressChar"/>
    <w:semiHidden/>
    <w:rsid w:val="008B04B0"/>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8B04B0"/>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8B04B0"/>
    <w:rPr>
      <w:i/>
      <w:iCs/>
    </w:rPr>
  </w:style>
  <w:style w:type="character" w:styleId="HTMLCode">
    <w:name w:val="HTML Code"/>
    <w:basedOn w:val="DefaultParagraphFont"/>
    <w:semiHidden/>
    <w:rsid w:val="008B04B0"/>
    <w:rPr>
      <w:rFonts w:ascii="Courier New" w:hAnsi="Courier New" w:cs="Courier New"/>
      <w:sz w:val="20"/>
      <w:szCs w:val="20"/>
    </w:rPr>
  </w:style>
  <w:style w:type="character" w:styleId="HTMLDefinition">
    <w:name w:val="HTML Definition"/>
    <w:basedOn w:val="DefaultParagraphFont"/>
    <w:semiHidden/>
    <w:rsid w:val="008B04B0"/>
    <w:rPr>
      <w:i/>
      <w:iCs/>
    </w:rPr>
  </w:style>
  <w:style w:type="character" w:styleId="HTMLKeyboard">
    <w:name w:val="HTML Keyboard"/>
    <w:basedOn w:val="DefaultParagraphFont"/>
    <w:semiHidden/>
    <w:rsid w:val="008B04B0"/>
    <w:rPr>
      <w:rFonts w:ascii="Courier New" w:hAnsi="Courier New" w:cs="Courier New"/>
      <w:sz w:val="20"/>
      <w:szCs w:val="20"/>
    </w:rPr>
  </w:style>
  <w:style w:type="paragraph" w:styleId="HTMLPreformatted">
    <w:name w:val="HTML Preformatted"/>
    <w:basedOn w:val="Normal"/>
    <w:link w:val="HTMLPreformattedChar"/>
    <w:semiHidden/>
    <w:rsid w:val="008B04B0"/>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8B04B0"/>
    <w:rPr>
      <w:rFonts w:ascii="Courier New" w:eastAsia="Times New Roman" w:hAnsi="Courier New" w:cs="Courier New"/>
      <w:sz w:val="20"/>
      <w:szCs w:val="20"/>
      <w:lang w:eastAsia="en-US"/>
    </w:rPr>
  </w:style>
  <w:style w:type="character" w:styleId="HTMLSample">
    <w:name w:val="HTML Sample"/>
    <w:basedOn w:val="DefaultParagraphFont"/>
    <w:semiHidden/>
    <w:rsid w:val="008B04B0"/>
    <w:rPr>
      <w:rFonts w:ascii="Courier New" w:hAnsi="Courier New" w:cs="Courier New"/>
    </w:rPr>
  </w:style>
  <w:style w:type="character" w:styleId="HTMLTypewriter">
    <w:name w:val="HTML Typewriter"/>
    <w:basedOn w:val="DefaultParagraphFont"/>
    <w:semiHidden/>
    <w:rsid w:val="008B04B0"/>
    <w:rPr>
      <w:rFonts w:ascii="Courier New" w:hAnsi="Courier New" w:cs="Courier New"/>
      <w:sz w:val="20"/>
      <w:szCs w:val="20"/>
    </w:rPr>
  </w:style>
  <w:style w:type="character" w:styleId="HTMLVariable">
    <w:name w:val="HTML Variable"/>
    <w:basedOn w:val="DefaultParagraphFont"/>
    <w:semiHidden/>
    <w:rsid w:val="008B04B0"/>
    <w:rPr>
      <w:i/>
      <w:iCs/>
    </w:rPr>
  </w:style>
  <w:style w:type="character" w:styleId="Hyperlink">
    <w:name w:val="Hyperlink"/>
    <w:basedOn w:val="DefaultParagraphFont"/>
    <w:rsid w:val="008B04B0"/>
    <w:rPr>
      <w:color w:val="0000FF"/>
      <w:u w:val="none"/>
    </w:rPr>
  </w:style>
  <w:style w:type="paragraph" w:styleId="List">
    <w:name w:val="List"/>
    <w:basedOn w:val="Normal"/>
    <w:semiHidden/>
    <w:rsid w:val="008B04B0"/>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8B04B0"/>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8B04B0"/>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8B04B0"/>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8B04B0"/>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8B04B0"/>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8B04B0"/>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8B04B0"/>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8B04B0"/>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8B04B0"/>
    <w:pPr>
      <w:numPr>
        <w:numId w:val="14"/>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8B04B0"/>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8B04B0"/>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8B04B0"/>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8B04B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8B04B0"/>
    <w:rPr>
      <w:rFonts w:ascii="Arial" w:eastAsia="Times New Roman" w:hAnsi="Arial" w:cs="Arial"/>
      <w:sz w:val="24"/>
      <w:szCs w:val="24"/>
      <w:shd w:val="pct20" w:color="auto" w:fill="auto"/>
      <w:lang w:eastAsia="en-US"/>
    </w:rPr>
  </w:style>
  <w:style w:type="paragraph" w:styleId="NormalWeb">
    <w:name w:val="Normal (Web)"/>
    <w:basedOn w:val="Normal"/>
    <w:semiHidden/>
    <w:rsid w:val="008B04B0"/>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8B04B0"/>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8B04B0"/>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8B04B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8B04B0"/>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8B04B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8B04B0"/>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8B04B0"/>
    <w:rPr>
      <w:rFonts w:ascii="Times New Roman" w:eastAsia="Times New Roman" w:hAnsi="Times New Roman" w:cs="Times New Roman"/>
      <w:sz w:val="20"/>
      <w:szCs w:val="20"/>
      <w:lang w:eastAsia="en-US"/>
    </w:rPr>
  </w:style>
  <w:style w:type="character" w:styleId="Strong">
    <w:name w:val="Strong"/>
    <w:basedOn w:val="DefaultParagraphFont"/>
    <w:qFormat/>
    <w:rsid w:val="008B04B0"/>
    <w:rPr>
      <w:b/>
      <w:bCs/>
    </w:rPr>
  </w:style>
  <w:style w:type="paragraph" w:styleId="Subtitle">
    <w:name w:val="Subtitle"/>
    <w:basedOn w:val="Normal"/>
    <w:link w:val="SubtitleChar"/>
    <w:qFormat/>
    <w:rsid w:val="008B04B0"/>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8B04B0"/>
    <w:rPr>
      <w:rFonts w:ascii="Arial" w:eastAsia="Times New Roman" w:hAnsi="Arial" w:cs="Arial"/>
      <w:sz w:val="24"/>
      <w:szCs w:val="24"/>
      <w:lang w:eastAsia="en-US"/>
    </w:rPr>
  </w:style>
  <w:style w:type="table" w:styleId="Table3Deffects1">
    <w:name w:val="Table 3D effects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04B0"/>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04B0"/>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04B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04B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04B0"/>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04B0"/>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04B0"/>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04B0"/>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8B04B0"/>
    <w:rPr>
      <w:rFonts w:ascii="Arial" w:eastAsia="Times New Roman" w:hAnsi="Arial" w:cs="Arial"/>
      <w:b/>
      <w:bCs/>
      <w:kern w:val="28"/>
      <w:sz w:val="32"/>
      <w:szCs w:val="32"/>
      <w:lang w:eastAsia="en-US"/>
    </w:rPr>
  </w:style>
  <w:style w:type="paragraph" w:styleId="EnvelopeAddress">
    <w:name w:val="envelope address"/>
    <w:basedOn w:val="Normal"/>
    <w:semiHidden/>
    <w:rsid w:val="008B04B0"/>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8B04B0"/>
    <w:pPr>
      <w:numPr>
        <w:numId w:val="20"/>
      </w:numPr>
      <w:tabs>
        <w:tab w:val="clear" w:pos="1701"/>
        <w:tab w:val="num" w:pos="1080"/>
      </w:tabs>
      <w:kinsoku w:val="0"/>
      <w:overflowPunct w:val="0"/>
      <w:autoSpaceDE w:val="0"/>
      <w:autoSpaceDN w:val="0"/>
      <w:adjustRightInd w:val="0"/>
      <w:snapToGrid w:val="0"/>
      <w:ind w:left="1080" w:hanging="360"/>
    </w:pPr>
  </w:style>
  <w:style w:type="character" w:customStyle="1" w:styleId="highlight1">
    <w:name w:val="highlight1"/>
    <w:basedOn w:val="DefaultParagraphFont"/>
    <w:rsid w:val="008B04B0"/>
    <w:rPr>
      <w:shd w:val="clear" w:color="auto" w:fill="FFCC33"/>
    </w:rPr>
  </w:style>
  <w:style w:type="character" w:customStyle="1" w:styleId="UnresolvedMention1">
    <w:name w:val="Unresolved Mention1"/>
    <w:basedOn w:val="DefaultParagraphFont"/>
    <w:uiPriority w:val="99"/>
    <w:semiHidden/>
    <w:unhideWhenUsed/>
    <w:rsid w:val="008B04B0"/>
    <w:rPr>
      <w:color w:val="808080"/>
      <w:shd w:val="clear" w:color="auto" w:fill="E6E6E6"/>
    </w:rPr>
  </w:style>
  <w:style w:type="character" w:customStyle="1" w:styleId="SingleTxtGChar">
    <w:name w:val="_ Single Txt_G Char"/>
    <w:link w:val="SingleTxtG"/>
    <w:locked/>
    <w:rsid w:val="008B04B0"/>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664C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NZL/Q/8" TargetMode="External"/><Relationship Id="rId26" Type="http://schemas.openxmlformats.org/officeDocument/2006/relationships/hyperlink" Target="https://undocs.org/ru/HRI/GEN/2/Rev.6" TargetMode="External"/><Relationship Id="rId3" Type="http://schemas.openxmlformats.org/officeDocument/2006/relationships/settings" Target="settings.xml"/><Relationship Id="rId21" Type="http://schemas.openxmlformats.org/officeDocument/2006/relationships/hyperlink" Target="https://undocs.org/ru/CEDAW/C/NZ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617" TargetMode="External"/><Relationship Id="rId25" Type="http://schemas.openxmlformats.org/officeDocument/2006/relationships/hyperlink" Target="https://undocs.org/ru/CEDAW/C/NZL/CO/7" TargetMode="External"/><Relationship Id="rId2" Type="http://schemas.openxmlformats.org/officeDocument/2006/relationships/styles" Target="styles.xml"/><Relationship Id="rId16" Type="http://schemas.openxmlformats.org/officeDocument/2006/relationships/hyperlink" Target="https://undocs.org/ru/CEDAW/C/SR.1616%20" TargetMode="External"/><Relationship Id="rId20" Type="http://schemas.openxmlformats.org/officeDocument/2006/relationships/hyperlink" Target="https://undocs.org/ru/CEDAW/C/NZL/CO/7/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NZL/CO/7" TargetMode="External"/><Relationship Id="rId5" Type="http://schemas.openxmlformats.org/officeDocument/2006/relationships/footnotes" Target="footnotes.xml"/><Relationship Id="rId15" Type="http://schemas.openxmlformats.org/officeDocument/2006/relationships/hyperlink" Target="https://undocs.org/ru/CEDAW/C/NZL/8" TargetMode="External"/><Relationship Id="rId23" Type="http://schemas.openxmlformats.org/officeDocument/2006/relationships/hyperlink" Target="https://undocs.org/ru/S/RES/1325(200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ru/CEDAW/C/NZL/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S/RES/1325(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7207</Words>
  <Characters>49516</Characters>
  <Application>Microsoft Office Word</Application>
  <DocSecurity>0</DocSecurity>
  <Lines>1010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Toubolets</dc:creator>
  <cp:keywords/>
  <dc:description/>
  <cp:lastModifiedBy>Ekaterina Toubolets</cp:lastModifiedBy>
  <cp:revision>11</cp:revision>
  <cp:lastPrinted>2018-09-20T16:20:00Z</cp:lastPrinted>
  <dcterms:created xsi:type="dcterms:W3CDTF">2018-09-20T16:10:00Z</dcterms:created>
  <dcterms:modified xsi:type="dcterms:W3CDTF">2018-09-20T16:21:00Z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1812320R</vt:lpwstr>
  </property>
  <property fmtid="{D5CDD505-2E9C-101B-9397-08002B2CF9AE}" pid="3" name="ODSRefJobNo">
    <vt:lpwstr>1823814R</vt:lpwstr>
  </property>
  <property fmtid="{D5CDD505-2E9C-101B-9397-08002B2CF9AE}" pid="4" name="Symbol1">
    <vt:lpwstr>CEDAW/C/NZL/CO/8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Title1">
    <vt:lpwstr>		Заключительные замечания по восьмому периодическому докладу Новой Зеландии*_x000d_</vt:lpwstr>
  </property>
  <property fmtid="{D5CDD505-2E9C-101B-9397-08002B2CF9AE}" pid="10" name="Comment">
    <vt:lpwstr/>
  </property>
  <property fmtid="{D5CDD505-2E9C-101B-9397-08002B2CF9AE}" pid="11" name="DraftPages">
    <vt:lpwstr> 20</vt:lpwstr>
  </property>
  <property fmtid="{D5CDD505-2E9C-101B-9397-08002B2CF9AE}" pid="12" name="Operator">
    <vt:lpwstr>ЕТ</vt:lpwstr>
  </property>
</Properties>
</file>