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27EE9" w14:textId="77777777" w:rsidR="00F65BD2" w:rsidRDefault="00F65BD2" w:rsidP="00F65BD2">
      <w:pPr>
        <w:spacing w:line="240" w:lineRule="auto"/>
        <w:rPr>
          <w:sz w:val="2"/>
        </w:rPr>
        <w:sectPr w:rsidR="00F65BD2" w:rsidSect="00884C41">
          <w:headerReference w:type="even" r:id="rId7"/>
          <w:headerReference w:type="default" r:id="rId8"/>
          <w:footerReference w:type="even" r:id="rId9"/>
          <w:footerReference w:type="default" r:id="rId10"/>
          <w:headerReference w:type="first" r:id="rId11"/>
          <w:footerReference w:type="first" r:id="rId12"/>
          <w:pgSz w:w="12240" w:h="15840"/>
          <w:pgMar w:top="1440" w:right="1195" w:bottom="1152" w:left="1195" w:header="432" w:footer="576" w:gutter="0"/>
          <w:cols w:space="720"/>
          <w:titlePg/>
          <w:docGrid w:linePitch="360"/>
        </w:sectPr>
      </w:pPr>
      <w:r>
        <w:rPr>
          <w:rStyle w:val="CommentReference"/>
        </w:rPr>
        <w:commentReference w:id="0"/>
      </w:r>
      <w:bookmarkStart w:id="1" w:name="_GoBack"/>
      <w:bookmarkEnd w:id="1"/>
    </w:p>
    <w:p w14:paraId="2461EC1E" w14:textId="3FD0ED21" w:rsidR="00884C41" w:rsidRDefault="00884C41" w:rsidP="00884C4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620"/>
        <w:rPr>
          <w:lang w:val="fr-FR"/>
        </w:rPr>
      </w:pPr>
      <w:r w:rsidRPr="00884C41">
        <w:rPr>
          <w:lang w:val="fr-FR"/>
        </w:rPr>
        <w:t>Comité pour l</w:t>
      </w:r>
      <w:r w:rsidR="00070383">
        <w:rPr>
          <w:lang w:val="fr-FR"/>
        </w:rPr>
        <w:t>’</w:t>
      </w:r>
      <w:r w:rsidRPr="00884C41">
        <w:rPr>
          <w:lang w:val="fr-FR"/>
        </w:rPr>
        <w:t>élimination de la discrimination à l</w:t>
      </w:r>
      <w:r w:rsidR="00070383">
        <w:rPr>
          <w:lang w:val="fr-FR"/>
        </w:rPr>
        <w:t>’</w:t>
      </w:r>
      <w:r w:rsidRPr="00884C41">
        <w:rPr>
          <w:lang w:val="fr-FR"/>
        </w:rPr>
        <w:t>égard des femmes</w:t>
      </w:r>
    </w:p>
    <w:p w14:paraId="374BD352" w14:textId="72F6B62B" w:rsidR="00884C41" w:rsidRPr="00884C41" w:rsidRDefault="00884C41" w:rsidP="00884C41">
      <w:pPr>
        <w:pStyle w:val="SingleTxt"/>
        <w:spacing w:after="0" w:line="120" w:lineRule="exact"/>
        <w:rPr>
          <w:sz w:val="10"/>
          <w:lang w:val="fr-FR"/>
        </w:rPr>
      </w:pPr>
    </w:p>
    <w:p w14:paraId="7DB79776" w14:textId="073A9636" w:rsidR="00884C41" w:rsidRPr="00884C41" w:rsidRDefault="00884C41" w:rsidP="00884C41">
      <w:pPr>
        <w:pStyle w:val="SingleTxt"/>
        <w:spacing w:after="0" w:line="120" w:lineRule="exact"/>
        <w:rPr>
          <w:sz w:val="10"/>
          <w:lang w:val="fr-FR"/>
        </w:rPr>
      </w:pPr>
    </w:p>
    <w:p w14:paraId="6DA15155" w14:textId="60BA212A" w:rsidR="00884C41" w:rsidRPr="00884C41" w:rsidRDefault="00884C41" w:rsidP="00884C41">
      <w:pPr>
        <w:pStyle w:val="SingleTxt"/>
        <w:spacing w:after="0" w:line="120" w:lineRule="exact"/>
        <w:rPr>
          <w:sz w:val="10"/>
          <w:lang w:val="fr-FR"/>
        </w:rPr>
      </w:pPr>
    </w:p>
    <w:p w14:paraId="73E8C7B4" w14:textId="482D170C" w:rsidR="00884C41" w:rsidRDefault="00884C41" w:rsidP="008A1066">
      <w:pPr>
        <w:pStyle w:val="TitleHCH"/>
        <w:ind w:right="1260"/>
        <w:rPr>
          <w:lang w:val="fr-FR"/>
        </w:rPr>
      </w:pPr>
      <w:r w:rsidRPr="00884C41">
        <w:rPr>
          <w:lang w:val="fr-FR"/>
        </w:rPr>
        <w:tab/>
      </w:r>
      <w:r w:rsidRPr="00884C41">
        <w:rPr>
          <w:lang w:val="fr-FR"/>
        </w:rPr>
        <w:tab/>
        <w:t>Observations finales concernant le huitième rapport périodique de</w:t>
      </w:r>
      <w:r>
        <w:rPr>
          <w:lang w:val="fr-FR"/>
        </w:rPr>
        <w:t> </w:t>
      </w:r>
      <w:r w:rsidRPr="00884C41">
        <w:rPr>
          <w:lang w:val="fr-FR"/>
        </w:rPr>
        <w:t>la Nouvelle-Zélande</w:t>
      </w:r>
      <w:r w:rsidR="00C0187D" w:rsidRPr="008A1066">
        <w:rPr>
          <w:b w:val="0"/>
          <w:sz w:val="20"/>
          <w:szCs w:val="20"/>
          <w:lang w:val="fr-FR"/>
        </w:rPr>
        <w:t>*</w:t>
      </w:r>
    </w:p>
    <w:p w14:paraId="05E71282" w14:textId="65C55EAA" w:rsidR="00884C41" w:rsidRPr="00E267FD" w:rsidRDefault="00884C41" w:rsidP="00E267FD">
      <w:pPr>
        <w:pStyle w:val="SingleTxt"/>
        <w:spacing w:after="0" w:line="120" w:lineRule="exact"/>
        <w:rPr>
          <w:sz w:val="10"/>
          <w:lang w:val="fr-FR"/>
        </w:rPr>
      </w:pPr>
    </w:p>
    <w:p w14:paraId="5FCD867C" w14:textId="6AAD1E02" w:rsidR="00884C41" w:rsidRPr="00E267FD" w:rsidRDefault="00884C41" w:rsidP="00E267FD">
      <w:pPr>
        <w:pStyle w:val="SingleTxt"/>
        <w:spacing w:after="0" w:line="120" w:lineRule="exact"/>
        <w:rPr>
          <w:sz w:val="10"/>
          <w:lang w:val="fr-FR"/>
        </w:rPr>
      </w:pPr>
    </w:p>
    <w:p w14:paraId="4EB1D713" w14:textId="4D1F846C" w:rsidR="00884C41" w:rsidRDefault="00884C41" w:rsidP="00884C41">
      <w:pPr>
        <w:pStyle w:val="SingleTxt"/>
        <w:numPr>
          <w:ilvl w:val="0"/>
          <w:numId w:val="17"/>
        </w:numPr>
        <w:spacing w:line="240" w:lineRule="exact"/>
        <w:ind w:left="1267"/>
        <w:rPr>
          <w:lang w:val="fr-FR"/>
        </w:rPr>
      </w:pPr>
      <w:r w:rsidRPr="00884C41">
        <w:rPr>
          <w:lang w:val="fr-FR"/>
        </w:rPr>
        <w:t>Le Comité a examiné le huitième rapport périodique de la Nouvelle-Zélande (</w:t>
      </w:r>
      <w:hyperlink r:id="rId15" w:history="1">
        <w:r w:rsidRPr="00E26C4F">
          <w:rPr>
            <w:rStyle w:val="Hyperlink"/>
            <w:color w:val="0000FF"/>
            <w:lang w:val="fr-FR"/>
          </w:rPr>
          <w:t>CEDAW/C/NZL/8</w:t>
        </w:r>
      </w:hyperlink>
      <w:r w:rsidRPr="00884C41">
        <w:rPr>
          <w:lang w:val="fr-FR"/>
        </w:rPr>
        <w:t xml:space="preserve">) à ses </w:t>
      </w:r>
      <w:r w:rsidRPr="00E26C4F">
        <w:rPr>
          <w:lang w:val="fr-FR"/>
        </w:rPr>
        <w:t>1616</w:t>
      </w:r>
      <w:r w:rsidRPr="00E267FD">
        <w:rPr>
          <w:vertAlign w:val="superscript"/>
          <w:lang w:val="fr-FR"/>
        </w:rPr>
        <w:t>e</w:t>
      </w:r>
      <w:r>
        <w:rPr>
          <w:lang w:val="fr-FR"/>
        </w:rPr>
        <w:t> </w:t>
      </w:r>
      <w:r w:rsidRPr="00884C41">
        <w:rPr>
          <w:lang w:val="fr-FR"/>
        </w:rPr>
        <w:t xml:space="preserve">et </w:t>
      </w:r>
      <w:r w:rsidRPr="00E26C4F">
        <w:rPr>
          <w:lang w:val="fr-FR"/>
        </w:rPr>
        <w:t>1617</w:t>
      </w:r>
      <w:r w:rsidRPr="00E267FD">
        <w:rPr>
          <w:vertAlign w:val="superscript"/>
          <w:lang w:val="fr-FR"/>
        </w:rPr>
        <w:t>e</w:t>
      </w:r>
      <w:r>
        <w:rPr>
          <w:lang w:val="fr-FR"/>
        </w:rPr>
        <w:t> </w:t>
      </w:r>
      <w:r w:rsidRPr="00884C41">
        <w:rPr>
          <w:lang w:val="fr-FR"/>
        </w:rPr>
        <w:t xml:space="preserve">séances (voir </w:t>
      </w:r>
      <w:hyperlink r:id="rId16" w:history="1">
        <w:r w:rsidRPr="00E26C4F">
          <w:rPr>
            <w:rStyle w:val="Hyperlink"/>
            <w:color w:val="0000FF"/>
            <w:lang w:val="fr-FR"/>
          </w:rPr>
          <w:t>CEDAW/C/SR.1616</w:t>
        </w:r>
      </w:hyperlink>
      <w:r w:rsidRPr="00884C41">
        <w:rPr>
          <w:lang w:val="fr-FR"/>
        </w:rPr>
        <w:t xml:space="preserve"> et </w:t>
      </w:r>
      <w:hyperlink r:id="rId17" w:history="1">
        <w:r w:rsidRPr="00E26C4F">
          <w:rPr>
            <w:rStyle w:val="Hyperlink"/>
            <w:color w:val="0000FF"/>
            <w:lang w:val="fr-FR"/>
          </w:rPr>
          <w:t>CEDAW/C/SR.1617</w:t>
        </w:r>
      </w:hyperlink>
      <w:r w:rsidRPr="00884C41">
        <w:rPr>
          <w:lang w:val="fr-FR"/>
        </w:rPr>
        <w:t xml:space="preserve">), le </w:t>
      </w:r>
      <w:r w:rsidRPr="00E26C4F">
        <w:rPr>
          <w:lang w:val="fr-FR"/>
        </w:rPr>
        <w:t>12</w:t>
      </w:r>
      <w:r w:rsidRPr="00884C41">
        <w:rPr>
          <w:lang w:val="fr-FR"/>
        </w:rPr>
        <w:t xml:space="preserve"> juillet </w:t>
      </w:r>
      <w:r w:rsidRPr="00E26C4F">
        <w:rPr>
          <w:lang w:val="fr-FR"/>
        </w:rPr>
        <w:t>2018</w:t>
      </w:r>
      <w:r w:rsidRPr="00884C41">
        <w:rPr>
          <w:lang w:val="fr-FR"/>
        </w:rPr>
        <w:t>. La liste de points qu</w:t>
      </w:r>
      <w:r w:rsidR="00070383">
        <w:rPr>
          <w:lang w:val="fr-FR"/>
        </w:rPr>
        <w:t>’</w:t>
      </w:r>
      <w:r w:rsidRPr="00884C41">
        <w:rPr>
          <w:lang w:val="fr-FR"/>
        </w:rPr>
        <w:t xml:space="preserve">il a établie figure dans le document </w:t>
      </w:r>
      <w:hyperlink r:id="rId18" w:history="1">
        <w:r w:rsidRPr="00E26C4F">
          <w:rPr>
            <w:rStyle w:val="Hyperlink"/>
            <w:color w:val="0000FF"/>
            <w:lang w:val="fr-FR"/>
          </w:rPr>
          <w:t>CEDAW/C/NZL/Q/8</w:t>
        </w:r>
      </w:hyperlink>
      <w:r w:rsidRPr="00884C41">
        <w:rPr>
          <w:lang w:val="fr-FR"/>
        </w:rPr>
        <w:t xml:space="preserve"> et les réponses données par la Nouvelle-Zélande dans le document</w:t>
      </w:r>
      <w:hyperlink r:id="rId19" w:history="1">
        <w:r w:rsidRPr="00E26C4F">
          <w:rPr>
            <w:rStyle w:val="Hyperlink"/>
            <w:color w:val="0000FF"/>
            <w:lang w:val="fr-FR"/>
          </w:rPr>
          <w:t xml:space="preserve"> CEDAW/C/NZL/Q/8/Add.1</w:t>
        </w:r>
      </w:hyperlink>
      <w:r w:rsidRPr="00884C41">
        <w:rPr>
          <w:lang w:val="fr-FR"/>
        </w:rPr>
        <w:t>.</w:t>
      </w:r>
    </w:p>
    <w:p w14:paraId="6E0FC89B" w14:textId="60AA5CE9" w:rsidR="00884C41" w:rsidRPr="00E267FD" w:rsidRDefault="00884C41" w:rsidP="00E267FD">
      <w:pPr>
        <w:pStyle w:val="SingleTxt"/>
        <w:spacing w:after="0" w:line="120" w:lineRule="exact"/>
        <w:rPr>
          <w:sz w:val="10"/>
          <w:lang w:val="fr-FR"/>
        </w:rPr>
      </w:pPr>
    </w:p>
    <w:p w14:paraId="441E52C1" w14:textId="5A598CBB" w:rsidR="00884C41" w:rsidRPr="00E267FD" w:rsidRDefault="00884C41" w:rsidP="00E267FD">
      <w:pPr>
        <w:pStyle w:val="SingleTxt"/>
        <w:spacing w:after="0" w:line="120" w:lineRule="exact"/>
        <w:rPr>
          <w:sz w:val="10"/>
          <w:lang w:val="fr-FR"/>
        </w:rPr>
      </w:pPr>
    </w:p>
    <w:p w14:paraId="3964C367" w14:textId="77777777" w:rsidR="00884C41" w:rsidRDefault="00884C41" w:rsidP="00E267F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84C41">
        <w:rPr>
          <w:lang w:val="fr-FR"/>
        </w:rPr>
        <w:tab/>
        <w:t>A.</w:t>
      </w:r>
      <w:r w:rsidRPr="00884C41">
        <w:rPr>
          <w:lang w:val="fr-FR"/>
        </w:rPr>
        <w:tab/>
        <w:t>Introduction</w:t>
      </w:r>
    </w:p>
    <w:p w14:paraId="6E8FCA9B" w14:textId="02BB3416" w:rsidR="00884C41" w:rsidRPr="00E267FD" w:rsidRDefault="00884C41" w:rsidP="00E267FD">
      <w:pPr>
        <w:pStyle w:val="SingleTxt"/>
        <w:spacing w:after="0" w:line="120" w:lineRule="exact"/>
        <w:rPr>
          <w:sz w:val="10"/>
          <w:lang w:val="fr-FR"/>
        </w:rPr>
      </w:pPr>
    </w:p>
    <w:p w14:paraId="17DFDA4F" w14:textId="01C6B6A2" w:rsidR="00884C41" w:rsidRPr="00E267FD" w:rsidRDefault="00884C41" w:rsidP="00E267FD">
      <w:pPr>
        <w:pStyle w:val="SingleTxt"/>
        <w:spacing w:after="0" w:line="120" w:lineRule="exact"/>
        <w:rPr>
          <w:sz w:val="10"/>
          <w:lang w:val="fr-FR"/>
        </w:rPr>
      </w:pPr>
    </w:p>
    <w:p w14:paraId="1D5C9685" w14:textId="4D280D2F" w:rsidR="00884C41" w:rsidRPr="00884C41" w:rsidRDefault="00884C41" w:rsidP="00E267FD">
      <w:pPr>
        <w:pStyle w:val="SingleTxt"/>
        <w:numPr>
          <w:ilvl w:val="0"/>
          <w:numId w:val="17"/>
        </w:numPr>
        <w:spacing w:line="240" w:lineRule="exact"/>
        <w:ind w:left="1267"/>
        <w:rPr>
          <w:lang w:val="fr-FR"/>
        </w:rPr>
      </w:pPr>
      <w:r w:rsidRPr="00884C41">
        <w:rPr>
          <w:lang w:val="fr-FR"/>
        </w:rPr>
        <w:t>Le Comité prend connaissance avec intérêt du huitième rapport périodique de l</w:t>
      </w:r>
      <w:r w:rsidR="00070383">
        <w:rPr>
          <w:lang w:val="fr-FR"/>
        </w:rPr>
        <w:t>’</w:t>
      </w:r>
      <w:r w:rsidRPr="00884C41">
        <w:rPr>
          <w:lang w:val="fr-FR"/>
        </w:rPr>
        <w:t>État partie. Il remercie également les autorités néo-zélandaises de leur rapport de suivi (</w:t>
      </w:r>
      <w:hyperlink r:id="rId20" w:history="1">
        <w:r w:rsidRPr="00E26C4F">
          <w:rPr>
            <w:rStyle w:val="Hyperlink"/>
            <w:color w:val="0000FF"/>
            <w:lang w:val="fr-FR"/>
          </w:rPr>
          <w:t>CEDAW/C/NZL/CO/7/Add.1</w:t>
        </w:r>
      </w:hyperlink>
      <w:r w:rsidRPr="00884C41">
        <w:rPr>
          <w:lang w:val="fr-FR"/>
        </w:rPr>
        <w:t>) et des réponses écrites apportées à la liste de points établie par le groupe de travail d</w:t>
      </w:r>
      <w:r w:rsidR="00070383">
        <w:rPr>
          <w:lang w:val="fr-FR"/>
        </w:rPr>
        <w:t>’</w:t>
      </w:r>
      <w:r w:rsidRPr="00884C41">
        <w:rPr>
          <w:lang w:val="fr-FR"/>
        </w:rPr>
        <w:t>avant-session, complétées oralement par la délégation, et des éclaircissements complémentaires donnés en réponse aux questions orales posées par</w:t>
      </w:r>
      <w:r w:rsidR="00044EB7">
        <w:rPr>
          <w:lang w:val="fr-FR"/>
        </w:rPr>
        <w:t xml:space="preserve"> le Comité pendant le dialogue.</w:t>
      </w:r>
    </w:p>
    <w:p w14:paraId="51059B89" w14:textId="06A68A1D" w:rsidR="00884C41" w:rsidRDefault="00884C41" w:rsidP="00E267FD">
      <w:pPr>
        <w:pStyle w:val="SingleTxt"/>
        <w:numPr>
          <w:ilvl w:val="0"/>
          <w:numId w:val="17"/>
        </w:numPr>
        <w:spacing w:line="240" w:lineRule="exact"/>
        <w:ind w:left="1267"/>
        <w:rPr>
          <w:lang w:val="fr-FR"/>
        </w:rPr>
      </w:pPr>
      <w:r w:rsidRPr="00884C41">
        <w:rPr>
          <w:lang w:val="fr-FR"/>
        </w:rPr>
        <w:t>Le Comité remercie l</w:t>
      </w:r>
      <w:r w:rsidR="00070383">
        <w:rPr>
          <w:lang w:val="fr-FR"/>
        </w:rPr>
        <w:t>’</w:t>
      </w:r>
      <w:r w:rsidRPr="00884C41">
        <w:rPr>
          <w:lang w:val="fr-FR"/>
        </w:rPr>
        <w:t>État partie d</w:t>
      </w:r>
      <w:r w:rsidR="00070383">
        <w:rPr>
          <w:lang w:val="fr-FR"/>
        </w:rPr>
        <w:t>’</w:t>
      </w:r>
      <w:r w:rsidRPr="00884C41">
        <w:rPr>
          <w:lang w:val="fr-FR"/>
        </w:rPr>
        <w:t>avoir envoyé une délégation de haut niveau, conduite par la Sous-Secrétaire parlementaire du Ministre de la justice, Jan Logie, et composée de représentants du Ministère des femmes, du Ministère de la justice, du Te Puni Kokiri (Ministère du développement maori) et de la Mission permanente de la Nouvelle-Zélande auprès de l</w:t>
      </w:r>
      <w:r w:rsidR="00070383">
        <w:rPr>
          <w:lang w:val="fr-FR"/>
        </w:rPr>
        <w:t>’</w:t>
      </w:r>
      <w:r w:rsidRPr="00884C41">
        <w:rPr>
          <w:lang w:val="fr-FR"/>
        </w:rPr>
        <w:t>Office des Nations Unies et autres organisations internationales basées à Genève.</w:t>
      </w:r>
    </w:p>
    <w:p w14:paraId="040729B0" w14:textId="06392EC3" w:rsidR="00884C41" w:rsidRPr="00E267FD" w:rsidRDefault="00884C41" w:rsidP="00E267FD">
      <w:pPr>
        <w:pStyle w:val="SingleTxt"/>
        <w:spacing w:after="0" w:line="120" w:lineRule="exact"/>
        <w:rPr>
          <w:sz w:val="10"/>
          <w:lang w:val="fr-FR"/>
        </w:rPr>
      </w:pPr>
    </w:p>
    <w:p w14:paraId="4F804DDA" w14:textId="08379318" w:rsidR="00884C41" w:rsidRPr="00E267FD" w:rsidRDefault="00884C41" w:rsidP="00E267FD">
      <w:pPr>
        <w:pStyle w:val="SingleTxt"/>
        <w:spacing w:after="0" w:line="120" w:lineRule="exact"/>
        <w:rPr>
          <w:sz w:val="10"/>
          <w:lang w:val="fr-FR"/>
        </w:rPr>
      </w:pPr>
    </w:p>
    <w:p w14:paraId="0D8439BD" w14:textId="77777777" w:rsidR="00884C41" w:rsidRDefault="00884C41" w:rsidP="00E267F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84C41">
        <w:rPr>
          <w:lang w:val="fr-FR"/>
        </w:rPr>
        <w:tab/>
        <w:t>B.</w:t>
      </w:r>
      <w:r w:rsidRPr="00884C41">
        <w:rPr>
          <w:lang w:val="fr-FR"/>
        </w:rPr>
        <w:tab/>
        <w:t>Aspects positifs</w:t>
      </w:r>
    </w:p>
    <w:p w14:paraId="21D6EF59" w14:textId="5AC3A204" w:rsidR="00884C41" w:rsidRPr="00E267FD" w:rsidRDefault="00884C41" w:rsidP="00E267FD">
      <w:pPr>
        <w:pStyle w:val="SingleTxt"/>
        <w:spacing w:after="0" w:line="120" w:lineRule="exact"/>
        <w:rPr>
          <w:b/>
          <w:sz w:val="10"/>
          <w:lang w:val="fr-FR"/>
        </w:rPr>
      </w:pPr>
    </w:p>
    <w:p w14:paraId="538C0AD3" w14:textId="3E8816F8" w:rsidR="00884C41" w:rsidRPr="00E267FD" w:rsidRDefault="00884C41" w:rsidP="00E267FD">
      <w:pPr>
        <w:pStyle w:val="SingleTxt"/>
        <w:spacing w:after="0" w:line="120" w:lineRule="exact"/>
        <w:rPr>
          <w:sz w:val="10"/>
          <w:lang w:val="fr-FR"/>
        </w:rPr>
      </w:pPr>
    </w:p>
    <w:p w14:paraId="4DA8FBD4" w14:textId="148E97C6" w:rsidR="00884C41" w:rsidRPr="00884C41" w:rsidRDefault="00884C41" w:rsidP="00E267FD">
      <w:pPr>
        <w:pStyle w:val="SingleTxt"/>
        <w:numPr>
          <w:ilvl w:val="0"/>
          <w:numId w:val="17"/>
        </w:numPr>
        <w:spacing w:line="240" w:lineRule="exact"/>
        <w:ind w:left="1267"/>
        <w:rPr>
          <w:lang w:val="fr-FR"/>
        </w:rPr>
      </w:pPr>
      <w:r w:rsidRPr="00884C41">
        <w:rPr>
          <w:lang w:val="fr-FR"/>
        </w:rPr>
        <w:t>Le Comité prend note des avancées réalisées en matière de réformes législatives depuis l</w:t>
      </w:r>
      <w:r w:rsidR="00070383">
        <w:rPr>
          <w:lang w:val="fr-FR"/>
        </w:rPr>
        <w:t>’</w:t>
      </w:r>
      <w:r w:rsidRPr="00884C41">
        <w:rPr>
          <w:lang w:val="fr-FR"/>
        </w:rPr>
        <w:t xml:space="preserve">examen en </w:t>
      </w:r>
      <w:r w:rsidRPr="00E26C4F">
        <w:rPr>
          <w:lang w:val="fr-FR"/>
        </w:rPr>
        <w:t>2012</w:t>
      </w:r>
      <w:r w:rsidRPr="00884C41">
        <w:rPr>
          <w:lang w:val="fr-FR"/>
        </w:rPr>
        <w:t xml:space="preserve"> du septième rapport périodique de l</w:t>
      </w:r>
      <w:r w:rsidR="00070383">
        <w:rPr>
          <w:lang w:val="fr-FR"/>
        </w:rPr>
        <w:t>’</w:t>
      </w:r>
      <w:r w:rsidRPr="00884C41">
        <w:rPr>
          <w:lang w:val="fr-FR"/>
        </w:rPr>
        <w:t>État partie (</w:t>
      </w:r>
      <w:hyperlink r:id="rId21" w:history="1">
        <w:r w:rsidRPr="00E26C4F">
          <w:rPr>
            <w:rStyle w:val="Hyperlink"/>
            <w:color w:val="0000FF"/>
            <w:lang w:val="fr-FR"/>
          </w:rPr>
          <w:t>CEDAW/C/NZL/7</w:t>
        </w:r>
      </w:hyperlink>
      <w:r w:rsidRPr="00884C41">
        <w:rPr>
          <w:lang w:val="fr-FR"/>
        </w:rPr>
        <w:t>), et en particulier de l</w:t>
      </w:r>
      <w:r w:rsidR="00070383">
        <w:rPr>
          <w:lang w:val="fr-FR"/>
        </w:rPr>
        <w:t>’</w:t>
      </w:r>
      <w:r w:rsidRPr="00884C41">
        <w:rPr>
          <w:lang w:val="fr-FR"/>
        </w:rPr>
        <w:t>adoption des textes suivants</w:t>
      </w:r>
      <w:r>
        <w:rPr>
          <w:lang w:val="fr-FR"/>
        </w:rPr>
        <w:t> </w:t>
      </w:r>
      <w:r w:rsidRPr="00884C41">
        <w:rPr>
          <w:lang w:val="fr-FR"/>
        </w:rPr>
        <w:t xml:space="preserve">: </w:t>
      </w:r>
    </w:p>
    <w:p w14:paraId="70323197" w14:textId="46AB28BB" w:rsidR="00A66806" w:rsidRPr="00A66806" w:rsidRDefault="00A66806" w:rsidP="00A66806">
      <w:pPr>
        <w:framePr w:w="9792" w:h="432" w:hSpace="180" w:wrap="around" w:vAnchor="page" w:hAnchor="page" w:x="1186" w:y="1396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Pr>
          <w:noProof/>
          <w:w w:val="100"/>
        </w:rPr>
        <mc:AlternateContent>
          <mc:Choice Requires="wps">
            <w:drawing>
              <wp:anchor distT="0" distB="0" distL="114300" distR="114300" simplePos="0" relativeHeight="251659264" behindDoc="0" locked="0" layoutInCell="1" allowOverlap="1" wp14:anchorId="71846B10" wp14:editId="6FEED126">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A68E0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r>
        <w:rPr>
          <w:spacing w:val="5"/>
          <w:w w:val="104"/>
          <w:sz w:val="17"/>
          <w:szCs w:val="20"/>
        </w:rPr>
        <w:tab/>
        <w:t>*</w:t>
      </w:r>
      <w:r>
        <w:rPr>
          <w:spacing w:val="5"/>
          <w:w w:val="104"/>
          <w:sz w:val="17"/>
          <w:szCs w:val="20"/>
        </w:rPr>
        <w:tab/>
      </w:r>
      <w:r w:rsidRPr="00A66806">
        <w:rPr>
          <w:spacing w:val="5"/>
          <w:w w:val="104"/>
          <w:sz w:val="17"/>
          <w:szCs w:val="20"/>
          <w:lang w:val="fr-FR"/>
        </w:rPr>
        <w:t>Adoptées par le Comité à sa soixante-dixième session (</w:t>
      </w:r>
      <w:r w:rsidRPr="00E26C4F">
        <w:rPr>
          <w:spacing w:val="5"/>
          <w:w w:val="104"/>
          <w:sz w:val="17"/>
          <w:szCs w:val="20"/>
          <w:lang w:val="fr-FR"/>
        </w:rPr>
        <w:t>2</w:t>
      </w:r>
      <w:r w:rsidRPr="00A66806">
        <w:rPr>
          <w:spacing w:val="5"/>
          <w:w w:val="104"/>
          <w:sz w:val="17"/>
          <w:szCs w:val="20"/>
          <w:lang w:val="fr-FR"/>
        </w:rPr>
        <w:t>-</w:t>
      </w:r>
      <w:r w:rsidRPr="00E26C4F">
        <w:rPr>
          <w:spacing w:val="5"/>
          <w:w w:val="104"/>
          <w:sz w:val="17"/>
          <w:szCs w:val="20"/>
          <w:lang w:val="fr-FR"/>
        </w:rPr>
        <w:t>20</w:t>
      </w:r>
      <w:r w:rsidRPr="00A66806">
        <w:rPr>
          <w:spacing w:val="5"/>
          <w:w w:val="104"/>
          <w:sz w:val="17"/>
          <w:szCs w:val="20"/>
          <w:lang w:val="fr-FR"/>
        </w:rPr>
        <w:t xml:space="preserve"> juillet </w:t>
      </w:r>
      <w:r w:rsidRPr="00E26C4F">
        <w:rPr>
          <w:spacing w:val="5"/>
          <w:w w:val="104"/>
          <w:sz w:val="17"/>
          <w:szCs w:val="20"/>
          <w:lang w:val="fr-FR"/>
        </w:rPr>
        <w:t>2018</w:t>
      </w:r>
      <w:r w:rsidRPr="00A66806">
        <w:rPr>
          <w:spacing w:val="5"/>
          <w:w w:val="104"/>
          <w:sz w:val="17"/>
          <w:szCs w:val="20"/>
          <w:lang w:val="fr-FR"/>
        </w:rPr>
        <w:t>).</w:t>
      </w:r>
    </w:p>
    <w:p w14:paraId="66D1CD54" w14:textId="34CABBCB" w:rsidR="00884C41" w:rsidRPr="00884C41" w:rsidRDefault="00884C41" w:rsidP="00A66806">
      <w:pPr>
        <w:pStyle w:val="SingleTxt"/>
        <w:rPr>
          <w:lang w:val="fr-FR"/>
        </w:rPr>
      </w:pPr>
      <w:r w:rsidRPr="00884C41">
        <w:rPr>
          <w:lang w:val="fr-FR"/>
        </w:rPr>
        <w:tab/>
        <w:t>a)</w:t>
      </w:r>
      <w:r w:rsidRPr="00884C41">
        <w:rPr>
          <w:lang w:val="fr-FR"/>
        </w:rPr>
        <w:tab/>
        <w:t xml:space="preserve">loi de </w:t>
      </w:r>
      <w:r w:rsidRPr="00E26C4F">
        <w:rPr>
          <w:lang w:val="fr-FR"/>
        </w:rPr>
        <w:t>2015</w:t>
      </w:r>
      <w:r w:rsidRPr="00884C41">
        <w:rPr>
          <w:lang w:val="fr-FR"/>
        </w:rPr>
        <w:t xml:space="preserve"> relative aux communications numériques pernicieuses, qui vise à prévenir et à atténuer les conséquences dommageables occasionnées aux femmes par l</w:t>
      </w:r>
      <w:r w:rsidR="00070383">
        <w:rPr>
          <w:lang w:val="fr-FR"/>
        </w:rPr>
        <w:t>’</w:t>
      </w:r>
      <w:r w:rsidRPr="00884C41">
        <w:rPr>
          <w:lang w:val="fr-FR"/>
        </w:rPr>
        <w:t xml:space="preserve">utilisation des communications numériques et à offrir des voies de recours aux </w:t>
      </w:r>
      <w:r w:rsidRPr="00A66806">
        <w:rPr>
          <w:lang w:val="fr-FR"/>
        </w:rPr>
        <w:t>v</w:t>
      </w:r>
      <w:r w:rsidRPr="00884C41">
        <w:rPr>
          <w:lang w:val="fr-FR"/>
        </w:rPr>
        <w:t>ictimes</w:t>
      </w:r>
      <w:r w:rsidR="00C0187D">
        <w:rPr>
          <w:lang w:val="fr-FR"/>
        </w:rPr>
        <w:t> ;</w:t>
      </w:r>
    </w:p>
    <w:p w14:paraId="19BEFD23" w14:textId="7309EA73" w:rsidR="00884C41" w:rsidRPr="00884C41" w:rsidRDefault="00884C41" w:rsidP="00E267FD">
      <w:pPr>
        <w:pStyle w:val="SingleTxt"/>
        <w:rPr>
          <w:lang w:val="fr-FR"/>
        </w:rPr>
      </w:pPr>
      <w:r w:rsidRPr="00884C41">
        <w:rPr>
          <w:lang w:val="fr-FR"/>
        </w:rPr>
        <w:lastRenderedPageBreak/>
        <w:tab/>
        <w:t>b)</w:t>
      </w:r>
      <w:r w:rsidRPr="00884C41">
        <w:rPr>
          <w:lang w:val="fr-FR"/>
        </w:rPr>
        <w:tab/>
        <w:t xml:space="preserve">loi de </w:t>
      </w:r>
      <w:r w:rsidRPr="00E26C4F">
        <w:rPr>
          <w:lang w:val="fr-FR"/>
        </w:rPr>
        <w:t>2014</w:t>
      </w:r>
      <w:r w:rsidRPr="00884C41">
        <w:rPr>
          <w:lang w:val="fr-FR"/>
        </w:rPr>
        <w:t xml:space="preserve"> relative aux enfants vulnérables, qui a contribué à mieux </w:t>
      </w:r>
      <w:r w:rsidRPr="00E267FD">
        <w:rPr>
          <w:lang w:val="fr-FR"/>
        </w:rPr>
        <w:t>p</w:t>
      </w:r>
      <w:r w:rsidRPr="00884C41">
        <w:rPr>
          <w:lang w:val="fr-FR"/>
        </w:rPr>
        <w:t xml:space="preserve">rotéger le </w:t>
      </w:r>
      <w:r w:rsidRPr="00E267FD">
        <w:rPr>
          <w:lang w:val="fr-FR"/>
        </w:rPr>
        <w:t>b</w:t>
      </w:r>
      <w:r w:rsidRPr="00884C41">
        <w:rPr>
          <w:lang w:val="fr-FR"/>
        </w:rPr>
        <w:t>ien-être de ces enfants et de leur mère.</w:t>
      </w:r>
    </w:p>
    <w:p w14:paraId="4F01F796" w14:textId="2A9874DF" w:rsidR="00884C41" w:rsidRPr="00884C41" w:rsidRDefault="00884C41" w:rsidP="00E267FD">
      <w:pPr>
        <w:pStyle w:val="SingleTxt"/>
        <w:numPr>
          <w:ilvl w:val="0"/>
          <w:numId w:val="17"/>
        </w:numPr>
        <w:spacing w:line="240" w:lineRule="exact"/>
        <w:ind w:left="1267"/>
        <w:rPr>
          <w:lang w:val="fr-FR"/>
        </w:rPr>
      </w:pPr>
      <w:r w:rsidRPr="00884C41">
        <w:rPr>
          <w:lang w:val="fr-FR"/>
        </w:rPr>
        <w:t>Le Comité rend hommage aux efforts déployés par l</w:t>
      </w:r>
      <w:r w:rsidR="00070383">
        <w:rPr>
          <w:lang w:val="fr-FR"/>
        </w:rPr>
        <w:t>’</w:t>
      </w:r>
      <w:r w:rsidRPr="00884C41">
        <w:rPr>
          <w:lang w:val="fr-FR"/>
        </w:rPr>
        <w:t>État partie visant à améliorer son cadre institutionnel et politique en vue d</w:t>
      </w:r>
      <w:r w:rsidR="00070383">
        <w:rPr>
          <w:lang w:val="fr-FR"/>
        </w:rPr>
        <w:t>’</w:t>
      </w:r>
      <w:r w:rsidRPr="00884C41">
        <w:rPr>
          <w:lang w:val="fr-FR"/>
        </w:rPr>
        <w:t>accélérer l</w:t>
      </w:r>
      <w:r w:rsidR="00070383">
        <w:rPr>
          <w:lang w:val="fr-FR"/>
        </w:rPr>
        <w:t>’</w:t>
      </w:r>
      <w:r w:rsidRPr="00884C41">
        <w:rPr>
          <w:lang w:val="fr-FR"/>
        </w:rPr>
        <w:t>élimination de la discrimination envers les femmes et de promouvoir l</w:t>
      </w:r>
      <w:r w:rsidR="00070383">
        <w:rPr>
          <w:lang w:val="fr-FR"/>
        </w:rPr>
        <w:t>’</w:t>
      </w:r>
      <w:r w:rsidRPr="00884C41">
        <w:rPr>
          <w:lang w:val="fr-FR"/>
        </w:rPr>
        <w:t>égalité des sexes. Il salue notamment</w:t>
      </w:r>
      <w:r>
        <w:rPr>
          <w:lang w:val="fr-FR"/>
        </w:rPr>
        <w:t> </w:t>
      </w:r>
      <w:r w:rsidRPr="00884C41">
        <w:rPr>
          <w:lang w:val="fr-FR"/>
        </w:rPr>
        <w:t>:</w:t>
      </w:r>
    </w:p>
    <w:p w14:paraId="19842776" w14:textId="240878A7" w:rsidR="00884C41" w:rsidRPr="00884C41" w:rsidRDefault="00884C41" w:rsidP="00E267FD">
      <w:pPr>
        <w:pStyle w:val="SingleTxt"/>
        <w:rPr>
          <w:lang w:val="fr-FR"/>
        </w:rPr>
      </w:pPr>
      <w:r w:rsidRPr="00884C41">
        <w:rPr>
          <w:lang w:val="fr-FR"/>
        </w:rPr>
        <w:tab/>
        <w:t>a)</w:t>
      </w:r>
      <w:r w:rsidRPr="00884C41">
        <w:rPr>
          <w:lang w:val="fr-FR"/>
        </w:rPr>
        <w:tab/>
        <w:t xml:space="preserve">la création, en </w:t>
      </w:r>
      <w:r w:rsidRPr="00E26C4F">
        <w:rPr>
          <w:lang w:val="fr-FR"/>
        </w:rPr>
        <w:t>2017</w:t>
      </w:r>
      <w:r w:rsidRPr="00884C41">
        <w:rPr>
          <w:lang w:val="fr-FR"/>
        </w:rPr>
        <w:t>, du poste de Sous-Secrétaire parlementaire du Ministre de la justice, qui a reçu pour mission de concevoir un système intégré et souple pour lutter contre les violences familiales</w:t>
      </w:r>
      <w:r w:rsidR="00C0187D">
        <w:rPr>
          <w:lang w:val="fr-FR"/>
        </w:rPr>
        <w:t> ;</w:t>
      </w:r>
    </w:p>
    <w:p w14:paraId="7DEA97E8" w14:textId="6337B2B4" w:rsidR="00884C41" w:rsidRPr="00884C41" w:rsidRDefault="00884C41" w:rsidP="00E267FD">
      <w:pPr>
        <w:pStyle w:val="SingleTxt"/>
        <w:rPr>
          <w:lang w:val="fr-FR"/>
        </w:rPr>
      </w:pPr>
      <w:r w:rsidRPr="00884C41">
        <w:rPr>
          <w:lang w:val="fr-FR"/>
        </w:rPr>
        <w:tab/>
        <w:t>b)</w:t>
      </w:r>
      <w:r w:rsidRPr="00884C41">
        <w:rPr>
          <w:lang w:val="fr-FR"/>
        </w:rPr>
        <w:tab/>
        <w:t>l</w:t>
      </w:r>
      <w:r w:rsidR="00070383">
        <w:rPr>
          <w:lang w:val="fr-FR"/>
        </w:rPr>
        <w:t>’</w:t>
      </w:r>
      <w:r w:rsidRPr="00884C41">
        <w:rPr>
          <w:lang w:val="fr-FR"/>
        </w:rPr>
        <w:t>adoption du plan national en faveur des personnes handicapées originaires des île</w:t>
      </w:r>
      <w:r w:rsidR="008D4BA2">
        <w:rPr>
          <w:lang w:val="fr-FR"/>
        </w:rPr>
        <w:t xml:space="preserve">s du Pacifique, Faiva Ora </w:t>
      </w:r>
      <w:r w:rsidR="008D4BA2" w:rsidRPr="00E26C4F">
        <w:rPr>
          <w:lang w:val="fr-FR"/>
        </w:rPr>
        <w:t>2016</w:t>
      </w:r>
      <w:r w:rsidR="008D4BA2">
        <w:rPr>
          <w:lang w:val="fr-FR"/>
        </w:rPr>
        <w:t>-</w:t>
      </w:r>
      <w:r w:rsidRPr="00E26C4F">
        <w:rPr>
          <w:lang w:val="fr-FR"/>
        </w:rPr>
        <w:t>2021</w:t>
      </w:r>
      <w:r w:rsidRPr="00884C41">
        <w:rPr>
          <w:lang w:val="fr-FR"/>
        </w:rPr>
        <w:t>, qui veille à ce que les femmes et les filles handicapées originaires de ces îles et les membres de leur famille bénéficient d</w:t>
      </w:r>
      <w:r w:rsidR="00070383">
        <w:rPr>
          <w:lang w:val="fr-FR"/>
        </w:rPr>
        <w:t>’</w:t>
      </w:r>
      <w:r w:rsidRPr="00884C41">
        <w:rPr>
          <w:lang w:val="fr-FR"/>
        </w:rPr>
        <w:t>un appui plus efficace</w:t>
      </w:r>
      <w:r w:rsidR="00C0187D">
        <w:rPr>
          <w:lang w:val="fr-FR"/>
        </w:rPr>
        <w:t> ;</w:t>
      </w:r>
    </w:p>
    <w:p w14:paraId="2BD28868" w14:textId="6ACF8FBC" w:rsidR="00884C41" w:rsidRPr="00884C41" w:rsidRDefault="00884C41" w:rsidP="00E267FD">
      <w:pPr>
        <w:pStyle w:val="SingleTxt"/>
        <w:rPr>
          <w:lang w:val="fr-FR"/>
        </w:rPr>
      </w:pPr>
      <w:r w:rsidRPr="00884C41">
        <w:rPr>
          <w:lang w:val="fr-FR"/>
        </w:rPr>
        <w:tab/>
        <w:t>c)</w:t>
      </w:r>
      <w:r w:rsidRPr="00884C41">
        <w:rPr>
          <w:lang w:val="fr-FR"/>
        </w:rPr>
        <w:tab/>
        <w:t>l</w:t>
      </w:r>
      <w:r w:rsidR="00070383">
        <w:rPr>
          <w:lang w:val="fr-FR"/>
        </w:rPr>
        <w:t>’</w:t>
      </w:r>
      <w:r w:rsidRPr="00884C41">
        <w:rPr>
          <w:lang w:val="fr-FR"/>
        </w:rPr>
        <w:t xml:space="preserve">adoption de la loi de </w:t>
      </w:r>
      <w:r w:rsidRPr="00E26C4F">
        <w:rPr>
          <w:lang w:val="fr-FR"/>
        </w:rPr>
        <w:t>2013</w:t>
      </w:r>
      <w:r w:rsidRPr="00884C41">
        <w:rPr>
          <w:lang w:val="fr-FR"/>
        </w:rPr>
        <w:t xml:space="preserve"> portant modification de la loi sur le mariage (Définition du mariage), qui légalise le mariage homosexuel</w:t>
      </w:r>
      <w:r w:rsidR="00C0187D">
        <w:rPr>
          <w:lang w:val="fr-FR"/>
        </w:rPr>
        <w:t> ;</w:t>
      </w:r>
    </w:p>
    <w:p w14:paraId="46C7D1A0" w14:textId="0B2370AE" w:rsidR="00884C41" w:rsidRPr="00884C41" w:rsidRDefault="00884C41" w:rsidP="00E267FD">
      <w:pPr>
        <w:pStyle w:val="SingleTxt"/>
        <w:rPr>
          <w:lang w:val="fr-FR"/>
        </w:rPr>
      </w:pPr>
      <w:r w:rsidRPr="00884C41">
        <w:rPr>
          <w:lang w:val="fr-FR"/>
        </w:rPr>
        <w:tab/>
        <w:t>d)</w:t>
      </w:r>
      <w:r w:rsidRPr="00884C41">
        <w:rPr>
          <w:lang w:val="fr-FR"/>
        </w:rPr>
        <w:tab/>
        <w:t>le lancement de la stratégie d</w:t>
      </w:r>
      <w:r w:rsidR="00070383">
        <w:rPr>
          <w:lang w:val="fr-FR"/>
        </w:rPr>
        <w:t>’</w:t>
      </w:r>
      <w:r w:rsidRPr="00884C41">
        <w:rPr>
          <w:lang w:val="fr-FR"/>
        </w:rPr>
        <w:t>éducation pour les Maoris, baptisée « Ka</w:t>
      </w:r>
      <w:r w:rsidR="00891294">
        <w:rPr>
          <w:lang w:val="fr-FR"/>
        </w:rPr>
        <w:t> </w:t>
      </w:r>
      <w:r w:rsidRPr="00884C41">
        <w:rPr>
          <w:lang w:val="fr-FR"/>
        </w:rPr>
        <w:t>Hikitia</w:t>
      </w:r>
      <w:r w:rsidR="00C0187D">
        <w:rPr>
          <w:lang w:val="fr-FR"/>
        </w:rPr>
        <w:t> :</w:t>
      </w:r>
      <w:r w:rsidRPr="00884C41">
        <w:rPr>
          <w:lang w:val="fr-FR"/>
        </w:rPr>
        <w:t xml:space="preserve"> Accelerating Success </w:t>
      </w:r>
      <w:r w:rsidRPr="00E26C4F">
        <w:rPr>
          <w:lang w:val="fr-FR"/>
        </w:rPr>
        <w:t>2013</w:t>
      </w:r>
      <w:r w:rsidR="008D4BA2">
        <w:rPr>
          <w:lang w:val="fr-FR"/>
        </w:rPr>
        <w:t>-</w:t>
      </w:r>
      <w:r w:rsidRPr="00E26C4F">
        <w:rPr>
          <w:lang w:val="fr-FR"/>
        </w:rPr>
        <w:t>2017</w:t>
      </w:r>
      <w:r w:rsidRPr="00884C41">
        <w:rPr>
          <w:lang w:val="fr-FR"/>
        </w:rPr>
        <w:t> », dont l</w:t>
      </w:r>
      <w:r w:rsidR="00070383">
        <w:rPr>
          <w:lang w:val="fr-FR"/>
        </w:rPr>
        <w:t>’</w:t>
      </w:r>
      <w:r w:rsidRPr="00884C41">
        <w:rPr>
          <w:lang w:val="fr-FR"/>
        </w:rPr>
        <w:t>objectif est de tendre à l</w:t>
      </w:r>
      <w:r w:rsidR="00070383">
        <w:rPr>
          <w:lang w:val="fr-FR"/>
        </w:rPr>
        <w:t>’</w:t>
      </w:r>
      <w:r w:rsidRPr="00884C41">
        <w:rPr>
          <w:lang w:val="fr-FR"/>
        </w:rPr>
        <w:t>équité et à l</w:t>
      </w:r>
      <w:r w:rsidR="00070383">
        <w:rPr>
          <w:lang w:val="fr-FR"/>
        </w:rPr>
        <w:t>’</w:t>
      </w:r>
      <w:r w:rsidRPr="00884C41">
        <w:rPr>
          <w:lang w:val="fr-FR"/>
        </w:rPr>
        <w:t>excellence dans l</w:t>
      </w:r>
      <w:r w:rsidR="00070383">
        <w:rPr>
          <w:lang w:val="fr-FR"/>
        </w:rPr>
        <w:t>’</w:t>
      </w:r>
      <w:r w:rsidRPr="00884C41">
        <w:rPr>
          <w:lang w:val="fr-FR"/>
        </w:rPr>
        <w:t>éducation des élèves maoris</w:t>
      </w:r>
      <w:r w:rsidR="00C0187D">
        <w:rPr>
          <w:lang w:val="fr-FR"/>
        </w:rPr>
        <w:t> ;</w:t>
      </w:r>
    </w:p>
    <w:p w14:paraId="7AC1CAC7" w14:textId="634D193D" w:rsidR="00884C41" w:rsidRPr="00884C41" w:rsidRDefault="00884C41" w:rsidP="00E267FD">
      <w:pPr>
        <w:pStyle w:val="SingleTxt"/>
        <w:rPr>
          <w:lang w:val="fr-FR"/>
        </w:rPr>
      </w:pPr>
      <w:r w:rsidRPr="00884C41">
        <w:rPr>
          <w:lang w:val="fr-FR"/>
        </w:rPr>
        <w:tab/>
        <w:t>e)</w:t>
      </w:r>
      <w:r w:rsidRPr="00884C41">
        <w:rPr>
          <w:lang w:val="fr-FR"/>
        </w:rPr>
        <w:tab/>
        <w:t>l</w:t>
      </w:r>
      <w:r w:rsidR="00070383">
        <w:rPr>
          <w:lang w:val="fr-FR"/>
        </w:rPr>
        <w:t>’</w:t>
      </w:r>
      <w:r w:rsidRPr="00884C41">
        <w:rPr>
          <w:lang w:val="fr-FR"/>
        </w:rPr>
        <w:t>adoption du deuxième plan d</w:t>
      </w:r>
      <w:r w:rsidR="00070383">
        <w:rPr>
          <w:lang w:val="fr-FR"/>
        </w:rPr>
        <w:t>’</w:t>
      </w:r>
      <w:r w:rsidRPr="00884C41">
        <w:rPr>
          <w:lang w:val="fr-FR"/>
        </w:rPr>
        <w:t>action national pour les droits de l</w:t>
      </w:r>
      <w:r w:rsidR="00070383">
        <w:rPr>
          <w:lang w:val="fr-FR"/>
        </w:rPr>
        <w:t>’</w:t>
      </w:r>
      <w:r w:rsidRPr="00884C41">
        <w:rPr>
          <w:lang w:val="fr-FR"/>
        </w:rPr>
        <w:t xml:space="preserve">homme </w:t>
      </w:r>
      <w:r w:rsidRPr="00E26C4F">
        <w:rPr>
          <w:lang w:val="fr-FR"/>
        </w:rPr>
        <w:t>2015</w:t>
      </w:r>
      <w:r w:rsidRPr="00884C41">
        <w:rPr>
          <w:lang w:val="fr-FR"/>
        </w:rPr>
        <w:t>-</w:t>
      </w:r>
      <w:r w:rsidRPr="00E26C4F">
        <w:rPr>
          <w:lang w:val="fr-FR"/>
        </w:rPr>
        <w:t>2019</w:t>
      </w:r>
      <w:r w:rsidR="00C0187D">
        <w:rPr>
          <w:lang w:val="fr-FR"/>
        </w:rPr>
        <w:t> ;</w:t>
      </w:r>
    </w:p>
    <w:p w14:paraId="778D2475" w14:textId="1FCE1E17" w:rsidR="00884C41" w:rsidRPr="00884C41" w:rsidRDefault="00884C41" w:rsidP="00E267FD">
      <w:pPr>
        <w:pStyle w:val="SingleTxt"/>
        <w:rPr>
          <w:lang w:val="fr-FR"/>
        </w:rPr>
      </w:pPr>
      <w:r w:rsidRPr="00884C41">
        <w:rPr>
          <w:lang w:val="fr-FR"/>
        </w:rPr>
        <w:tab/>
        <w:t>f)</w:t>
      </w:r>
      <w:r w:rsidRPr="00884C41">
        <w:rPr>
          <w:lang w:val="fr-FR"/>
        </w:rPr>
        <w:tab/>
        <w:t>la mise en place de la nouvelle approche d</w:t>
      </w:r>
      <w:r w:rsidR="00070383">
        <w:rPr>
          <w:lang w:val="fr-FR"/>
        </w:rPr>
        <w:t>’</w:t>
      </w:r>
      <w:r w:rsidRPr="00884C41">
        <w:rPr>
          <w:lang w:val="fr-FR"/>
        </w:rPr>
        <w:t xml:space="preserve">intervention intégrée en matière de sécurité, qui cherche à garantir la sécurité immédiate des femmes et enfants victimes de violences familiales. </w:t>
      </w:r>
    </w:p>
    <w:p w14:paraId="7CBC998E" w14:textId="0529F89D" w:rsidR="00884C41" w:rsidRDefault="00884C41" w:rsidP="00E267FD">
      <w:pPr>
        <w:pStyle w:val="SingleTxt"/>
        <w:numPr>
          <w:ilvl w:val="0"/>
          <w:numId w:val="17"/>
        </w:numPr>
        <w:spacing w:line="240" w:lineRule="exact"/>
        <w:ind w:left="1267"/>
        <w:rPr>
          <w:lang w:val="fr-FR"/>
        </w:rPr>
      </w:pPr>
      <w:r w:rsidRPr="00884C41">
        <w:rPr>
          <w:lang w:val="fr-FR"/>
        </w:rPr>
        <w:t>Le Comité note avec satisfaction qu</w:t>
      </w:r>
      <w:r w:rsidR="00070383">
        <w:rPr>
          <w:lang w:val="fr-FR"/>
        </w:rPr>
        <w:t>’</w:t>
      </w:r>
      <w:r w:rsidRPr="00884C41">
        <w:rPr>
          <w:lang w:val="fr-FR"/>
        </w:rPr>
        <w:t>au cours de la période ayant suivi l</w:t>
      </w:r>
      <w:r w:rsidR="00070383">
        <w:rPr>
          <w:lang w:val="fr-FR"/>
        </w:rPr>
        <w:t>’</w:t>
      </w:r>
      <w:r w:rsidRPr="00884C41">
        <w:rPr>
          <w:lang w:val="fr-FR"/>
        </w:rPr>
        <w:t>examen du précédent rapport, l</w:t>
      </w:r>
      <w:r w:rsidR="00070383">
        <w:rPr>
          <w:lang w:val="fr-FR"/>
        </w:rPr>
        <w:t>’</w:t>
      </w:r>
      <w:r w:rsidRPr="00884C41">
        <w:rPr>
          <w:lang w:val="fr-FR"/>
        </w:rPr>
        <w:t>État partie a adhéré au Protocole facultatif se rapportant à la Convention relative aux droits des personnes handicapées.</w:t>
      </w:r>
    </w:p>
    <w:p w14:paraId="729B43BA" w14:textId="498232A7" w:rsidR="00884C41" w:rsidRPr="00E267FD" w:rsidRDefault="00884C41" w:rsidP="00E267FD">
      <w:pPr>
        <w:pStyle w:val="SingleTxt"/>
        <w:spacing w:after="0" w:line="120" w:lineRule="exact"/>
        <w:rPr>
          <w:sz w:val="10"/>
          <w:lang w:val="fr-FR"/>
        </w:rPr>
      </w:pPr>
    </w:p>
    <w:p w14:paraId="66DE6B0D" w14:textId="77777777" w:rsidR="00884C41" w:rsidRDefault="00884C41" w:rsidP="00E267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84C41">
        <w:rPr>
          <w:lang w:val="fr-FR"/>
        </w:rPr>
        <w:tab/>
      </w:r>
      <w:r w:rsidRPr="00884C41">
        <w:rPr>
          <w:lang w:val="fr-FR"/>
        </w:rPr>
        <w:tab/>
        <w:t>Objectifs de développement durable</w:t>
      </w:r>
    </w:p>
    <w:p w14:paraId="6A5BE2EE" w14:textId="79C21B20" w:rsidR="00884C41" w:rsidRPr="00E267FD" w:rsidRDefault="00884C41" w:rsidP="00E267FD">
      <w:pPr>
        <w:pStyle w:val="SingleTxt"/>
        <w:spacing w:after="0" w:line="120" w:lineRule="exact"/>
        <w:rPr>
          <w:b/>
          <w:sz w:val="10"/>
          <w:lang w:val="fr-FR"/>
        </w:rPr>
      </w:pPr>
    </w:p>
    <w:p w14:paraId="621DB886" w14:textId="4A2EC1C5" w:rsidR="00884C41" w:rsidRDefault="00884C41" w:rsidP="00E267FD">
      <w:pPr>
        <w:pStyle w:val="SingleTxt"/>
        <w:numPr>
          <w:ilvl w:val="0"/>
          <w:numId w:val="17"/>
        </w:numPr>
        <w:spacing w:line="240" w:lineRule="exact"/>
        <w:ind w:left="1267"/>
        <w:rPr>
          <w:lang w:val="fr-FR"/>
        </w:rPr>
      </w:pPr>
      <w:r w:rsidRPr="00884C41">
        <w:rPr>
          <w:lang w:val="fr-FR"/>
        </w:rPr>
        <w:t>Le Comité se félicite de l</w:t>
      </w:r>
      <w:r w:rsidR="00070383">
        <w:rPr>
          <w:lang w:val="fr-FR"/>
        </w:rPr>
        <w:t>’</w:t>
      </w:r>
      <w:r w:rsidRPr="00884C41">
        <w:rPr>
          <w:lang w:val="fr-FR"/>
        </w:rPr>
        <w:t>appui de la communauté internationale en faveur des objectifs de développement durable et appelle à s</w:t>
      </w:r>
      <w:r w:rsidR="00070383">
        <w:rPr>
          <w:lang w:val="fr-FR"/>
        </w:rPr>
        <w:t>’</w:t>
      </w:r>
      <w:r w:rsidRPr="00884C41">
        <w:rPr>
          <w:lang w:val="fr-FR"/>
        </w:rPr>
        <w:t>employer, tout au long de la mise en œuvre du Programme de développement durable à l</w:t>
      </w:r>
      <w:r w:rsidR="00070383">
        <w:rPr>
          <w:lang w:val="fr-FR"/>
        </w:rPr>
        <w:t>’</w:t>
      </w:r>
      <w:r w:rsidRPr="00884C41">
        <w:rPr>
          <w:lang w:val="fr-FR"/>
        </w:rPr>
        <w:t xml:space="preserve">horizon </w:t>
      </w:r>
      <w:r w:rsidRPr="00E26C4F">
        <w:rPr>
          <w:lang w:val="fr-FR"/>
        </w:rPr>
        <w:t>2030</w:t>
      </w:r>
      <w:r w:rsidRPr="00884C41">
        <w:rPr>
          <w:lang w:val="fr-FR"/>
        </w:rPr>
        <w:t>, à faire de l</w:t>
      </w:r>
      <w:r w:rsidR="00070383">
        <w:rPr>
          <w:lang w:val="fr-FR"/>
        </w:rPr>
        <w:t>’</w:t>
      </w:r>
      <w:r w:rsidRPr="00884C41">
        <w:rPr>
          <w:lang w:val="fr-FR"/>
        </w:rPr>
        <w:t>égalité de droit et de fait entre les hommes et les femmes une réalité, conformément aux dispositions de la Convention. Il rappelle l</w:t>
      </w:r>
      <w:r w:rsidR="00070383">
        <w:rPr>
          <w:lang w:val="fr-FR"/>
        </w:rPr>
        <w:t>’</w:t>
      </w:r>
      <w:r w:rsidRPr="00884C41">
        <w:rPr>
          <w:lang w:val="fr-FR"/>
        </w:rPr>
        <w:t>importance de l</w:t>
      </w:r>
      <w:r w:rsidR="00070383">
        <w:rPr>
          <w:lang w:val="fr-FR"/>
        </w:rPr>
        <w:t>’</w:t>
      </w:r>
      <w:r w:rsidRPr="00884C41">
        <w:rPr>
          <w:lang w:val="fr-FR"/>
        </w:rPr>
        <w:t xml:space="preserve">objectif </w:t>
      </w:r>
      <w:r w:rsidRPr="00E26C4F">
        <w:rPr>
          <w:lang w:val="fr-FR"/>
        </w:rPr>
        <w:t>5</w:t>
      </w:r>
      <w:r w:rsidRPr="00884C41">
        <w:rPr>
          <w:lang w:val="fr-FR"/>
        </w:rPr>
        <w:t xml:space="preserve"> et de l</w:t>
      </w:r>
      <w:r w:rsidR="00070383">
        <w:rPr>
          <w:lang w:val="fr-FR"/>
        </w:rPr>
        <w:t>’</w:t>
      </w:r>
      <w:r w:rsidRPr="00884C41">
        <w:rPr>
          <w:lang w:val="fr-FR"/>
        </w:rPr>
        <w:t>intégration des principes d</w:t>
      </w:r>
      <w:r w:rsidR="00070383">
        <w:rPr>
          <w:lang w:val="fr-FR"/>
        </w:rPr>
        <w:t>’</w:t>
      </w:r>
      <w:r w:rsidRPr="00884C41">
        <w:rPr>
          <w:lang w:val="fr-FR"/>
        </w:rPr>
        <w:t>égalité et de non-discrimination dans l</w:t>
      </w:r>
      <w:r w:rsidR="00070383">
        <w:rPr>
          <w:lang w:val="fr-FR"/>
        </w:rPr>
        <w:t>’</w:t>
      </w:r>
      <w:r w:rsidRPr="00884C41">
        <w:rPr>
          <w:lang w:val="fr-FR"/>
        </w:rPr>
        <w:t xml:space="preserve">ensemble des </w:t>
      </w:r>
      <w:r w:rsidRPr="00E26C4F">
        <w:rPr>
          <w:lang w:val="fr-FR"/>
        </w:rPr>
        <w:t>17</w:t>
      </w:r>
      <w:r w:rsidR="008D4BA2">
        <w:rPr>
          <w:lang w:val="fr-FR"/>
        </w:rPr>
        <w:t> </w:t>
      </w:r>
      <w:r w:rsidRPr="00884C41">
        <w:rPr>
          <w:lang w:val="fr-FR"/>
        </w:rPr>
        <w:t>objectifs. Il exhorte l</w:t>
      </w:r>
      <w:r w:rsidR="00070383">
        <w:rPr>
          <w:lang w:val="fr-FR"/>
        </w:rPr>
        <w:t>’</w:t>
      </w:r>
      <w:r w:rsidRPr="00884C41">
        <w:rPr>
          <w:lang w:val="fr-FR"/>
        </w:rPr>
        <w:t>État partie à apprécier à sa juste valeur le rôle moteur qu</w:t>
      </w:r>
      <w:r w:rsidR="00070383">
        <w:rPr>
          <w:lang w:val="fr-FR"/>
        </w:rPr>
        <w:t>’</w:t>
      </w:r>
      <w:r w:rsidRPr="00884C41">
        <w:rPr>
          <w:lang w:val="fr-FR"/>
        </w:rPr>
        <w:t>ont les femmes dans le développement durable du pays et à adopter des politiques et des stratégies à cet effet.</w:t>
      </w:r>
    </w:p>
    <w:p w14:paraId="3C90D676" w14:textId="1B803254" w:rsidR="00884C41" w:rsidRPr="00E267FD" w:rsidRDefault="00884C41" w:rsidP="00E267FD">
      <w:pPr>
        <w:pStyle w:val="SingleTxt"/>
        <w:spacing w:after="0" w:line="120" w:lineRule="exact"/>
        <w:rPr>
          <w:sz w:val="10"/>
          <w:lang w:val="fr-FR"/>
        </w:rPr>
      </w:pPr>
    </w:p>
    <w:p w14:paraId="2017829B" w14:textId="40FA2FBA" w:rsidR="00884C41" w:rsidRPr="00E267FD" w:rsidRDefault="00884C41" w:rsidP="00E267FD">
      <w:pPr>
        <w:pStyle w:val="SingleTxt"/>
        <w:spacing w:after="0" w:line="120" w:lineRule="exact"/>
        <w:rPr>
          <w:sz w:val="10"/>
          <w:lang w:val="fr-FR"/>
        </w:rPr>
      </w:pPr>
    </w:p>
    <w:p w14:paraId="293CD462" w14:textId="1E694006" w:rsidR="00884C41" w:rsidRDefault="00884C41" w:rsidP="00E267F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84C41">
        <w:rPr>
          <w:lang w:val="fr-FR"/>
        </w:rPr>
        <w:tab/>
        <w:t>C.</w:t>
      </w:r>
      <w:r w:rsidRPr="00884C41">
        <w:rPr>
          <w:lang w:val="fr-FR"/>
        </w:rPr>
        <w:tab/>
        <w:t>Parlement</w:t>
      </w:r>
    </w:p>
    <w:p w14:paraId="46C9D5E9" w14:textId="1B2958F1" w:rsidR="00884C41" w:rsidRPr="008D4BA2" w:rsidRDefault="00884C41" w:rsidP="008D4BA2">
      <w:pPr>
        <w:pStyle w:val="SingleTxt"/>
        <w:spacing w:after="0" w:line="120" w:lineRule="exact"/>
        <w:rPr>
          <w:sz w:val="10"/>
          <w:lang w:val="fr-FR"/>
        </w:rPr>
      </w:pPr>
    </w:p>
    <w:p w14:paraId="1C45C55C" w14:textId="77777777" w:rsidR="008D4BA2" w:rsidRPr="00E267FD" w:rsidRDefault="008D4BA2" w:rsidP="00E267FD">
      <w:pPr>
        <w:pStyle w:val="SingleTxt"/>
        <w:spacing w:after="0" w:line="120" w:lineRule="exact"/>
        <w:rPr>
          <w:sz w:val="10"/>
          <w:lang w:val="fr-FR"/>
        </w:rPr>
      </w:pPr>
    </w:p>
    <w:p w14:paraId="009C41EF" w14:textId="7ECC8C5D" w:rsidR="00884C41" w:rsidRDefault="00884C41" w:rsidP="00E267FD">
      <w:pPr>
        <w:pStyle w:val="SingleTxt"/>
        <w:numPr>
          <w:ilvl w:val="0"/>
          <w:numId w:val="17"/>
        </w:numPr>
        <w:spacing w:line="240" w:lineRule="exact"/>
        <w:ind w:left="1267"/>
        <w:rPr>
          <w:lang w:val="fr-FR"/>
        </w:rPr>
      </w:pPr>
      <w:r w:rsidRPr="00E267FD">
        <w:rPr>
          <w:b/>
          <w:bCs/>
          <w:lang w:val="fr-FR"/>
        </w:rPr>
        <w:t>Le Comité souligne le rôle essentiel du pouvoir législatif s</w:t>
      </w:r>
      <w:r w:rsidR="00070383">
        <w:rPr>
          <w:b/>
          <w:bCs/>
          <w:lang w:val="fr-FR"/>
        </w:rPr>
        <w:t>’</w:t>
      </w:r>
      <w:r w:rsidRPr="00E267FD">
        <w:rPr>
          <w:b/>
          <w:bCs/>
          <w:lang w:val="fr-FR"/>
        </w:rPr>
        <w:t>agissant de garantir la pleine mise en œuvre de la Convention (voir la déclaration faite par le Comité sur ses relations avec les parlementaires, adoptée à la quarante</w:t>
      </w:r>
      <w:r w:rsidR="008D4BA2">
        <w:rPr>
          <w:b/>
          <w:bCs/>
          <w:lang w:val="fr-FR"/>
        </w:rPr>
        <w:noBreakHyphen/>
      </w:r>
      <w:r w:rsidRPr="00E267FD">
        <w:rPr>
          <w:b/>
          <w:bCs/>
          <w:lang w:val="fr-FR"/>
        </w:rPr>
        <w:t xml:space="preserve">cinquième session, en </w:t>
      </w:r>
      <w:r w:rsidRPr="00E26C4F">
        <w:rPr>
          <w:b/>
          <w:bCs/>
          <w:lang w:val="fr-FR"/>
        </w:rPr>
        <w:t>2010</w:t>
      </w:r>
      <w:r w:rsidRPr="00E267FD">
        <w:rPr>
          <w:b/>
          <w:bCs/>
          <w:lang w:val="fr-FR"/>
        </w:rPr>
        <w:t>). Il invite le Parlement, dans le cadre de son mandat, à prendre les mesures nécessaires en vue de mettre en œuvre les présentes observations finales avant la soumission du prochain rapport périodique.</w:t>
      </w:r>
    </w:p>
    <w:p w14:paraId="48FE8615" w14:textId="77777777" w:rsidR="00884C41" w:rsidRDefault="00884C41" w:rsidP="00E267F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84C41">
        <w:rPr>
          <w:lang w:val="fr-FR"/>
        </w:rPr>
        <w:tab/>
        <w:t>D.</w:t>
      </w:r>
      <w:r w:rsidRPr="00884C41">
        <w:rPr>
          <w:lang w:val="fr-FR"/>
        </w:rPr>
        <w:tab/>
        <w:t>Principaux sujets de préoccupation et recommandations</w:t>
      </w:r>
    </w:p>
    <w:p w14:paraId="7C3A2212" w14:textId="64826D23" w:rsidR="00884C41" w:rsidRPr="00E267FD" w:rsidRDefault="00884C41" w:rsidP="00E267FD">
      <w:pPr>
        <w:pStyle w:val="SingleTxt"/>
        <w:keepNext/>
        <w:keepLines/>
        <w:spacing w:after="0" w:line="120" w:lineRule="exact"/>
        <w:rPr>
          <w:b/>
          <w:sz w:val="10"/>
          <w:lang w:val="fr-FR"/>
        </w:rPr>
      </w:pPr>
    </w:p>
    <w:p w14:paraId="014E94A0" w14:textId="3EA86E3B" w:rsidR="00884C41" w:rsidRPr="00E267FD" w:rsidRDefault="00884C41" w:rsidP="00E267FD">
      <w:pPr>
        <w:pStyle w:val="SingleTxt"/>
        <w:keepNext/>
        <w:keepLines/>
        <w:spacing w:after="0" w:line="120" w:lineRule="exact"/>
        <w:rPr>
          <w:sz w:val="10"/>
          <w:lang w:val="fr-FR"/>
        </w:rPr>
      </w:pPr>
    </w:p>
    <w:p w14:paraId="3B9D7117" w14:textId="77777777" w:rsidR="00884C41" w:rsidRDefault="00884C41" w:rsidP="00E267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84C41">
        <w:rPr>
          <w:lang w:val="fr-FR"/>
        </w:rPr>
        <w:tab/>
      </w:r>
      <w:r w:rsidRPr="00884C41">
        <w:rPr>
          <w:lang w:val="fr-FR"/>
        </w:rPr>
        <w:tab/>
        <w:t>Visibilité de la Convention</w:t>
      </w:r>
    </w:p>
    <w:p w14:paraId="5D39F9B5" w14:textId="7AA1C9C1" w:rsidR="00884C41" w:rsidRPr="00E267FD" w:rsidRDefault="00884C41" w:rsidP="00E267FD">
      <w:pPr>
        <w:pStyle w:val="SingleTxt"/>
        <w:keepNext/>
        <w:keepLines/>
        <w:spacing w:after="0" w:line="120" w:lineRule="exact"/>
        <w:rPr>
          <w:b/>
          <w:sz w:val="10"/>
          <w:lang w:val="fr-FR"/>
        </w:rPr>
      </w:pPr>
    </w:p>
    <w:p w14:paraId="142D879F" w14:textId="44690B10" w:rsidR="00884C41" w:rsidRPr="00884C41" w:rsidRDefault="00884C41" w:rsidP="00E267FD">
      <w:pPr>
        <w:pStyle w:val="SingleTxt"/>
        <w:keepNext/>
        <w:keepLines/>
        <w:numPr>
          <w:ilvl w:val="0"/>
          <w:numId w:val="17"/>
        </w:numPr>
        <w:spacing w:line="240" w:lineRule="exact"/>
        <w:ind w:left="1267"/>
        <w:rPr>
          <w:lang w:val="fr-FR"/>
        </w:rPr>
      </w:pPr>
      <w:r w:rsidRPr="00884C41">
        <w:rPr>
          <w:lang w:val="fr-FR"/>
        </w:rPr>
        <w:t>Le Comité note que les sites Web du Ministère des femmes, du Ministère de la justice et du Ministère des affaires étrangères et du commerce contiennent des informations sur la Convention et reproduisent notamment les rapports périodiques communiqués par l</w:t>
      </w:r>
      <w:r w:rsidR="00070383">
        <w:rPr>
          <w:lang w:val="fr-FR"/>
        </w:rPr>
        <w:t>’</w:t>
      </w:r>
      <w:r w:rsidRPr="00884C41">
        <w:rPr>
          <w:lang w:val="fr-FR"/>
        </w:rPr>
        <w:t>État partie et les observations finales établies par le Comité à leur sujet. Il relève en outre que l</w:t>
      </w:r>
      <w:r w:rsidR="00070383">
        <w:rPr>
          <w:lang w:val="fr-FR"/>
        </w:rPr>
        <w:t>’</w:t>
      </w:r>
      <w:r w:rsidRPr="00884C41">
        <w:rPr>
          <w:lang w:val="fr-FR"/>
        </w:rPr>
        <w:t>Institut d</w:t>
      </w:r>
      <w:r w:rsidR="00070383">
        <w:rPr>
          <w:lang w:val="fr-FR"/>
        </w:rPr>
        <w:t>’</w:t>
      </w:r>
      <w:r w:rsidRPr="00884C41">
        <w:rPr>
          <w:lang w:val="fr-FR"/>
        </w:rPr>
        <w:t>études judiciaires et le Barreau de Nouvelle</w:t>
      </w:r>
      <w:r>
        <w:rPr>
          <w:lang w:val="fr-FR"/>
        </w:rPr>
        <w:noBreakHyphen/>
      </w:r>
      <w:r w:rsidRPr="00884C41">
        <w:rPr>
          <w:lang w:val="fr-FR"/>
        </w:rPr>
        <w:t>Zélande ont dispensé aux magistrats et avocats une formation sur la législation nationale et les instruments internationaux relatifs aux droits de l</w:t>
      </w:r>
      <w:r w:rsidR="00070383">
        <w:rPr>
          <w:lang w:val="fr-FR"/>
        </w:rPr>
        <w:t>’</w:t>
      </w:r>
      <w:r w:rsidRPr="00884C41">
        <w:rPr>
          <w:lang w:val="fr-FR"/>
        </w:rPr>
        <w:t>homme. Il note cependant que la Convention et le Protocole facultatif s</w:t>
      </w:r>
      <w:r w:rsidR="00070383">
        <w:rPr>
          <w:lang w:val="fr-FR"/>
        </w:rPr>
        <w:t>’</w:t>
      </w:r>
      <w:r w:rsidRPr="00884C41">
        <w:rPr>
          <w:lang w:val="fr-FR"/>
        </w:rPr>
        <w:t>y rapportant n</w:t>
      </w:r>
      <w:r w:rsidR="00070383">
        <w:rPr>
          <w:lang w:val="fr-FR"/>
        </w:rPr>
        <w:t>’</w:t>
      </w:r>
      <w:r w:rsidRPr="00884C41">
        <w:rPr>
          <w:lang w:val="fr-FR"/>
        </w:rPr>
        <w:t>ont pas reçu l</w:t>
      </w:r>
      <w:r w:rsidR="00070383">
        <w:rPr>
          <w:lang w:val="fr-FR"/>
        </w:rPr>
        <w:t>’</w:t>
      </w:r>
      <w:r w:rsidRPr="00884C41">
        <w:rPr>
          <w:lang w:val="fr-FR"/>
        </w:rPr>
        <w:t>écho dont ils devraient bénéficier dans l</w:t>
      </w:r>
      <w:r w:rsidR="00070383">
        <w:rPr>
          <w:lang w:val="fr-FR"/>
        </w:rPr>
        <w:t>’</w:t>
      </w:r>
      <w:r w:rsidRPr="00884C41">
        <w:rPr>
          <w:lang w:val="fr-FR"/>
        </w:rPr>
        <w:t>État partie : en témoignent l</w:t>
      </w:r>
      <w:r w:rsidR="00070383">
        <w:rPr>
          <w:lang w:val="fr-FR"/>
        </w:rPr>
        <w:t>’</w:t>
      </w:r>
      <w:r w:rsidRPr="00884C41">
        <w:rPr>
          <w:lang w:val="fr-FR"/>
        </w:rPr>
        <w:t>absence de références directes à la Convention dans les décisions de justice et le fait que les communications concernant l</w:t>
      </w:r>
      <w:r w:rsidR="00070383">
        <w:rPr>
          <w:lang w:val="fr-FR"/>
        </w:rPr>
        <w:t>’</w:t>
      </w:r>
      <w:r w:rsidRPr="00884C41">
        <w:rPr>
          <w:lang w:val="fr-FR"/>
        </w:rPr>
        <w:t>État partie soumises au Comité par le biais de la procédure de recours prévue dans le Protocole facultatif ne sont pas évoquées. Il s</w:t>
      </w:r>
      <w:r w:rsidR="00070383">
        <w:rPr>
          <w:lang w:val="fr-FR"/>
        </w:rPr>
        <w:t>’</w:t>
      </w:r>
      <w:r w:rsidRPr="00884C41">
        <w:rPr>
          <w:lang w:val="fr-FR"/>
        </w:rPr>
        <w:t>inquiète également de ce que les femmes ne connaissent manifestement pas les droits que leur confèrent la Convention. Il est par ailleurs préoccupé par la modicité du soutien apporté aux organisations de la société civile qui travaillent avec le Comité et par l</w:t>
      </w:r>
      <w:r w:rsidR="00070383">
        <w:rPr>
          <w:lang w:val="fr-FR"/>
        </w:rPr>
        <w:t>’</w:t>
      </w:r>
      <w:r w:rsidRPr="00884C41">
        <w:rPr>
          <w:lang w:val="fr-FR"/>
        </w:rPr>
        <w:t>étiolement de la collaboration de l</w:t>
      </w:r>
      <w:r w:rsidR="00070383">
        <w:rPr>
          <w:lang w:val="fr-FR"/>
        </w:rPr>
        <w:t>’</w:t>
      </w:r>
      <w:r w:rsidRPr="00884C41">
        <w:rPr>
          <w:lang w:val="fr-FR"/>
        </w:rPr>
        <w:t>État partie avec les organisations féminines de la société civile.</w:t>
      </w:r>
    </w:p>
    <w:p w14:paraId="31B8A3B2" w14:textId="0CDA3AE9" w:rsidR="00884C41" w:rsidRPr="002A3471" w:rsidRDefault="00884C41" w:rsidP="00E267FD">
      <w:pPr>
        <w:pStyle w:val="SingleTxt"/>
        <w:numPr>
          <w:ilvl w:val="0"/>
          <w:numId w:val="17"/>
        </w:numPr>
        <w:spacing w:line="240" w:lineRule="exact"/>
        <w:ind w:left="1267"/>
        <w:rPr>
          <w:b/>
          <w:bCs/>
          <w:lang w:val="fr-FR"/>
        </w:rPr>
      </w:pPr>
      <w:r w:rsidRPr="002A3471">
        <w:rPr>
          <w:b/>
          <w:bCs/>
          <w:lang w:val="fr-FR"/>
        </w:rPr>
        <w:t>Le Comité recommande à l</w:t>
      </w:r>
      <w:r w:rsidR="00070383">
        <w:rPr>
          <w:b/>
          <w:bCs/>
          <w:lang w:val="fr-FR"/>
        </w:rPr>
        <w:t>’</w:t>
      </w:r>
      <w:r w:rsidRPr="002A3471">
        <w:rPr>
          <w:b/>
          <w:bCs/>
          <w:lang w:val="fr-FR"/>
        </w:rPr>
        <w:t>État partie :</w:t>
      </w:r>
    </w:p>
    <w:p w14:paraId="136CC1B4" w14:textId="05495A77" w:rsidR="00884C41" w:rsidRPr="00884C41" w:rsidRDefault="00884C41" w:rsidP="00884C41">
      <w:pPr>
        <w:pStyle w:val="SingleTxt"/>
        <w:rPr>
          <w:b/>
          <w:bCs/>
          <w:lang w:val="fr-FR"/>
        </w:rPr>
      </w:pPr>
      <w:r w:rsidRPr="00884C41">
        <w:rPr>
          <w:lang w:val="fr-FR"/>
        </w:rPr>
        <w:tab/>
        <w:t>a)</w:t>
      </w:r>
      <w:r w:rsidRPr="00884C41">
        <w:rPr>
          <w:lang w:val="fr-FR"/>
        </w:rPr>
        <w:tab/>
      </w:r>
      <w:r w:rsidRPr="00884C41">
        <w:rPr>
          <w:b/>
          <w:bCs/>
          <w:lang w:val="fr-FR"/>
        </w:rPr>
        <w:t>de continuer à mieux faire connaître aux femmes les droits que leur confère la Convention et les procédures prévues par le Protocole facultatif, en mettant plus particulièrement l</w:t>
      </w:r>
      <w:r w:rsidR="00070383">
        <w:rPr>
          <w:b/>
          <w:bCs/>
          <w:lang w:val="fr-FR"/>
        </w:rPr>
        <w:t>’</w:t>
      </w:r>
      <w:r w:rsidRPr="00884C41">
        <w:rPr>
          <w:b/>
          <w:bCs/>
          <w:lang w:val="fr-FR"/>
        </w:rPr>
        <w:t>accent sur la notion d</w:t>
      </w:r>
      <w:r w:rsidR="00070383">
        <w:rPr>
          <w:b/>
          <w:bCs/>
          <w:lang w:val="fr-FR"/>
        </w:rPr>
        <w:t>’</w:t>
      </w:r>
      <w:r w:rsidRPr="00884C41">
        <w:rPr>
          <w:b/>
          <w:bCs/>
          <w:lang w:val="fr-FR"/>
        </w:rPr>
        <w:t>égalité réelle</w:t>
      </w:r>
      <w:r w:rsidR="00C0187D">
        <w:rPr>
          <w:b/>
          <w:bCs/>
          <w:lang w:val="fr-FR"/>
        </w:rPr>
        <w:t> ;</w:t>
      </w:r>
    </w:p>
    <w:p w14:paraId="4E4FC84B" w14:textId="6A2042B9" w:rsidR="00884C41" w:rsidRPr="00884C41" w:rsidRDefault="00884C41" w:rsidP="00884C41">
      <w:pPr>
        <w:pStyle w:val="SingleTxt"/>
        <w:rPr>
          <w:b/>
          <w:bCs/>
          <w:lang w:val="fr-FR"/>
        </w:rPr>
      </w:pPr>
      <w:r w:rsidRPr="00884C41">
        <w:rPr>
          <w:lang w:val="fr-FR"/>
        </w:rPr>
        <w:tab/>
        <w:t>b)</w:t>
      </w:r>
      <w:r w:rsidRPr="00884C41">
        <w:rPr>
          <w:lang w:val="fr-FR"/>
        </w:rPr>
        <w:tab/>
      </w:r>
      <w:r w:rsidRPr="00884C41">
        <w:rPr>
          <w:b/>
          <w:bCs/>
          <w:lang w:val="fr-FR"/>
        </w:rPr>
        <w:t>de veiller à ce que la Convention, la jurisprudence établie par le Comité au titre du Protocole facultatif, ainsi que les recommandations générales qu</w:t>
      </w:r>
      <w:r w:rsidR="00070383">
        <w:rPr>
          <w:b/>
          <w:bCs/>
          <w:lang w:val="fr-FR"/>
        </w:rPr>
        <w:t>’</w:t>
      </w:r>
      <w:r w:rsidRPr="00884C41">
        <w:rPr>
          <w:b/>
          <w:bCs/>
          <w:lang w:val="fr-FR"/>
        </w:rPr>
        <w:t>il formule, fassent partie de la formation obligatoire des magistrats, des agents des services répressifs, des avocats, des travailleurs sociaux, du personnel médical et autres professionnels concernés</w:t>
      </w:r>
      <w:r w:rsidR="00C0187D">
        <w:rPr>
          <w:b/>
          <w:bCs/>
          <w:lang w:val="fr-FR"/>
        </w:rPr>
        <w:t> ;</w:t>
      </w:r>
    </w:p>
    <w:p w14:paraId="65C3BE09" w14:textId="61F38849" w:rsidR="00884C41" w:rsidRDefault="00884C41" w:rsidP="00884C41">
      <w:pPr>
        <w:pStyle w:val="SingleTxt"/>
        <w:rPr>
          <w:lang w:val="fr-FR"/>
        </w:rPr>
      </w:pPr>
      <w:r w:rsidRPr="00884C41">
        <w:rPr>
          <w:lang w:val="fr-FR"/>
        </w:rPr>
        <w:tab/>
        <w:t>c)</w:t>
      </w:r>
      <w:r w:rsidRPr="00884C41">
        <w:rPr>
          <w:lang w:val="fr-FR"/>
        </w:rPr>
        <w:tab/>
      </w:r>
      <w:r w:rsidRPr="00884C41">
        <w:rPr>
          <w:b/>
          <w:bCs/>
          <w:lang w:val="fr-FR"/>
        </w:rPr>
        <w:t>de renforcer la coopération et les partenariats, notamment en apportant un soutien, d</w:t>
      </w:r>
      <w:r w:rsidR="00070383">
        <w:rPr>
          <w:b/>
          <w:bCs/>
          <w:lang w:val="fr-FR"/>
        </w:rPr>
        <w:t>’</w:t>
      </w:r>
      <w:r w:rsidRPr="00884C41">
        <w:rPr>
          <w:b/>
          <w:bCs/>
          <w:lang w:val="fr-FR"/>
        </w:rPr>
        <w:t>ordre financier mais aussi sous d</w:t>
      </w:r>
      <w:r w:rsidR="00070383">
        <w:rPr>
          <w:b/>
          <w:bCs/>
          <w:lang w:val="fr-FR"/>
        </w:rPr>
        <w:t>’</w:t>
      </w:r>
      <w:r w:rsidRPr="00884C41">
        <w:rPr>
          <w:b/>
          <w:bCs/>
          <w:lang w:val="fr-FR"/>
        </w:rPr>
        <w:t>autre formes, aux organisations de la société civile qui viennent en aide aux femmes.</w:t>
      </w:r>
      <w:r w:rsidRPr="00884C41">
        <w:rPr>
          <w:lang w:val="fr-FR"/>
        </w:rPr>
        <w:t xml:space="preserve"> </w:t>
      </w:r>
    </w:p>
    <w:p w14:paraId="10B34C97" w14:textId="498DF547" w:rsidR="00884C41" w:rsidRPr="00E267FD" w:rsidRDefault="00884C41" w:rsidP="00E267FD">
      <w:pPr>
        <w:pStyle w:val="SingleTxt"/>
        <w:spacing w:after="0" w:line="120" w:lineRule="exact"/>
        <w:rPr>
          <w:sz w:val="10"/>
          <w:lang w:val="fr-FR"/>
        </w:rPr>
      </w:pPr>
    </w:p>
    <w:p w14:paraId="2B7F3D73" w14:textId="56C04ED5" w:rsidR="00884C41" w:rsidRDefault="00884C41" w:rsidP="00E267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84C41">
        <w:rPr>
          <w:lang w:val="fr-FR"/>
        </w:rPr>
        <w:tab/>
      </w:r>
      <w:r w:rsidRPr="00884C41">
        <w:rPr>
          <w:lang w:val="fr-FR"/>
        </w:rPr>
        <w:tab/>
        <w:t>Définition de l</w:t>
      </w:r>
      <w:r w:rsidR="00070383">
        <w:rPr>
          <w:lang w:val="fr-FR"/>
        </w:rPr>
        <w:t>’</w:t>
      </w:r>
      <w:r w:rsidRPr="00884C41">
        <w:rPr>
          <w:lang w:val="fr-FR"/>
        </w:rPr>
        <w:t>égalité et de la non-discrimination</w:t>
      </w:r>
    </w:p>
    <w:p w14:paraId="215E427A" w14:textId="53A00B27" w:rsidR="00884C41" w:rsidRPr="00E267FD" w:rsidRDefault="00884C41" w:rsidP="00E267FD">
      <w:pPr>
        <w:pStyle w:val="SingleTxt"/>
        <w:spacing w:after="0" w:line="120" w:lineRule="exact"/>
        <w:rPr>
          <w:b/>
          <w:sz w:val="10"/>
          <w:lang w:val="fr-FR"/>
        </w:rPr>
      </w:pPr>
    </w:p>
    <w:p w14:paraId="382908AE" w14:textId="31114644" w:rsidR="00884C41" w:rsidRPr="00884C41" w:rsidRDefault="00884C41" w:rsidP="00E267FD">
      <w:pPr>
        <w:pStyle w:val="SingleTxt"/>
        <w:numPr>
          <w:ilvl w:val="0"/>
          <w:numId w:val="17"/>
        </w:numPr>
        <w:spacing w:line="240" w:lineRule="exact"/>
        <w:ind w:left="1267"/>
        <w:rPr>
          <w:lang w:val="fr-FR"/>
        </w:rPr>
      </w:pPr>
      <w:r w:rsidRPr="00884C41">
        <w:rPr>
          <w:lang w:val="fr-FR"/>
        </w:rPr>
        <w:t>Le Comité note qu</w:t>
      </w:r>
      <w:r w:rsidR="00070383">
        <w:rPr>
          <w:lang w:val="fr-FR"/>
        </w:rPr>
        <w:t>’</w:t>
      </w:r>
      <w:r w:rsidRPr="00884C41">
        <w:rPr>
          <w:lang w:val="fr-FR"/>
        </w:rPr>
        <w:t>en vertu de l</w:t>
      </w:r>
      <w:r w:rsidR="00070383">
        <w:rPr>
          <w:lang w:val="fr-FR"/>
        </w:rPr>
        <w:t>’</w:t>
      </w:r>
      <w:r w:rsidRPr="00884C41">
        <w:rPr>
          <w:lang w:val="fr-FR"/>
        </w:rPr>
        <w:t xml:space="preserve">article </w:t>
      </w:r>
      <w:r w:rsidRPr="00E26C4F">
        <w:rPr>
          <w:lang w:val="fr-FR"/>
        </w:rPr>
        <w:t>19</w:t>
      </w:r>
      <w:r w:rsidRPr="00884C41">
        <w:rPr>
          <w:lang w:val="fr-FR"/>
        </w:rPr>
        <w:t>-</w:t>
      </w:r>
      <w:r w:rsidRPr="00E26C4F">
        <w:rPr>
          <w:lang w:val="fr-FR"/>
        </w:rPr>
        <w:t>1</w:t>
      </w:r>
      <w:r w:rsidRPr="00884C41">
        <w:rPr>
          <w:lang w:val="fr-FR"/>
        </w:rPr>
        <w:t xml:space="preserve"> de la Charte néo-zélandaise des droits («</w:t>
      </w:r>
      <w:r>
        <w:rPr>
          <w:lang w:val="fr-FR"/>
        </w:rPr>
        <w:t> </w:t>
      </w:r>
      <w:r w:rsidRPr="00884C41">
        <w:rPr>
          <w:lang w:val="fr-FR"/>
        </w:rPr>
        <w:t>New Zealand Bill of Rights Act</w:t>
      </w:r>
      <w:r>
        <w:rPr>
          <w:lang w:val="fr-FR"/>
        </w:rPr>
        <w:t> </w:t>
      </w:r>
      <w:r w:rsidRPr="00884C41">
        <w:rPr>
          <w:lang w:val="fr-FR"/>
        </w:rPr>
        <w:t>») (</w:t>
      </w:r>
      <w:r w:rsidRPr="00E26C4F">
        <w:rPr>
          <w:lang w:val="fr-FR"/>
        </w:rPr>
        <w:t>1990</w:t>
      </w:r>
      <w:r w:rsidRPr="00884C41">
        <w:rPr>
          <w:lang w:val="fr-FR"/>
        </w:rPr>
        <w:t>) et de l</w:t>
      </w:r>
      <w:r w:rsidR="00070383">
        <w:rPr>
          <w:lang w:val="fr-FR"/>
        </w:rPr>
        <w:t>’</w:t>
      </w:r>
      <w:r w:rsidRPr="00884C41">
        <w:rPr>
          <w:lang w:val="fr-FR"/>
        </w:rPr>
        <w:t xml:space="preserve">article </w:t>
      </w:r>
      <w:r w:rsidRPr="00E26C4F">
        <w:rPr>
          <w:lang w:val="fr-FR"/>
        </w:rPr>
        <w:t>21</w:t>
      </w:r>
      <w:r w:rsidR="00D42C48">
        <w:rPr>
          <w:lang w:val="fr-FR"/>
        </w:rPr>
        <w:t xml:space="preserve">) </w:t>
      </w:r>
      <w:r w:rsidRPr="00E26C4F">
        <w:rPr>
          <w:lang w:val="fr-FR"/>
        </w:rPr>
        <w:t>1</w:t>
      </w:r>
      <w:r w:rsidR="00D42C48">
        <w:rPr>
          <w:lang w:val="fr-FR"/>
        </w:rPr>
        <w:t xml:space="preserve">) </w:t>
      </w:r>
      <w:r w:rsidRPr="00884C41">
        <w:rPr>
          <w:lang w:val="fr-FR"/>
        </w:rPr>
        <w:t>a</w:t>
      </w:r>
      <w:r w:rsidR="00D42C48">
        <w:rPr>
          <w:lang w:val="fr-FR"/>
        </w:rPr>
        <w:t>)</w:t>
      </w:r>
      <w:r w:rsidRPr="00884C41">
        <w:rPr>
          <w:lang w:val="fr-FR"/>
        </w:rPr>
        <w:t xml:space="preserve"> de la loi sur les droits de l</w:t>
      </w:r>
      <w:r w:rsidR="00070383">
        <w:rPr>
          <w:lang w:val="fr-FR"/>
        </w:rPr>
        <w:t>’</w:t>
      </w:r>
      <w:r w:rsidRPr="00884C41">
        <w:rPr>
          <w:lang w:val="fr-FR"/>
        </w:rPr>
        <w:t>homme («</w:t>
      </w:r>
      <w:r>
        <w:rPr>
          <w:lang w:val="fr-FR"/>
        </w:rPr>
        <w:t> </w:t>
      </w:r>
      <w:r w:rsidRPr="00884C41">
        <w:rPr>
          <w:lang w:val="fr-FR"/>
        </w:rPr>
        <w:t>Human Rights Act</w:t>
      </w:r>
      <w:r>
        <w:rPr>
          <w:lang w:val="fr-FR"/>
        </w:rPr>
        <w:t> </w:t>
      </w:r>
      <w:r w:rsidRPr="00884C41">
        <w:rPr>
          <w:lang w:val="fr-FR"/>
        </w:rPr>
        <w:t>») (</w:t>
      </w:r>
      <w:r w:rsidRPr="00E26C4F">
        <w:rPr>
          <w:lang w:val="fr-FR"/>
        </w:rPr>
        <w:t>1993</w:t>
      </w:r>
      <w:r w:rsidRPr="00884C41">
        <w:rPr>
          <w:lang w:val="fr-FR"/>
        </w:rPr>
        <w:t>), la discrimination fondée sur le sexe dans les sphères publique et privée, y compris la discrimination indirecte, est interdite. Il est néanmoins préoccupé par le fait que la législation de l</w:t>
      </w:r>
      <w:r w:rsidR="00070383">
        <w:rPr>
          <w:lang w:val="fr-FR"/>
        </w:rPr>
        <w:t>’</w:t>
      </w:r>
      <w:r w:rsidRPr="00884C41">
        <w:rPr>
          <w:lang w:val="fr-FR"/>
        </w:rPr>
        <w:t>État partie relative à la discrimination envers les femmes n</w:t>
      </w:r>
      <w:r w:rsidR="00070383">
        <w:rPr>
          <w:lang w:val="fr-FR"/>
        </w:rPr>
        <w:t>’</w:t>
      </w:r>
      <w:r w:rsidRPr="00884C41">
        <w:rPr>
          <w:lang w:val="fr-FR"/>
        </w:rPr>
        <w:t xml:space="preserve">est pas pleinement conforme aux articles </w:t>
      </w:r>
      <w:r w:rsidRPr="00E26C4F">
        <w:rPr>
          <w:lang w:val="fr-FR"/>
        </w:rPr>
        <w:t>1</w:t>
      </w:r>
      <w:r w:rsidRPr="00884C41">
        <w:rPr>
          <w:lang w:val="fr-FR"/>
        </w:rPr>
        <w:t xml:space="preserve"> et </w:t>
      </w:r>
      <w:r w:rsidRPr="00E26C4F">
        <w:rPr>
          <w:lang w:val="fr-FR"/>
        </w:rPr>
        <w:t>2</w:t>
      </w:r>
      <w:r w:rsidRPr="00884C41">
        <w:rPr>
          <w:lang w:val="fr-FR"/>
        </w:rPr>
        <w:t xml:space="preserve"> de la Convention. En outre, il s</w:t>
      </w:r>
      <w:r w:rsidR="00070383">
        <w:rPr>
          <w:lang w:val="fr-FR"/>
        </w:rPr>
        <w:t>’</w:t>
      </w:r>
      <w:r w:rsidRPr="00884C41">
        <w:rPr>
          <w:lang w:val="fr-FR"/>
        </w:rPr>
        <w:t>inquiète de ce que :</w:t>
      </w:r>
    </w:p>
    <w:p w14:paraId="193EC432" w14:textId="4D151041" w:rsidR="00884C41" w:rsidRPr="00884C41" w:rsidRDefault="00884C41" w:rsidP="00884C41">
      <w:pPr>
        <w:pStyle w:val="SingleTxt"/>
        <w:rPr>
          <w:lang w:val="fr-FR"/>
        </w:rPr>
      </w:pPr>
      <w:r w:rsidRPr="00884C41">
        <w:rPr>
          <w:lang w:val="fr-FR"/>
        </w:rPr>
        <w:tab/>
        <w:t>a)</w:t>
      </w:r>
      <w:r w:rsidRPr="00884C41">
        <w:rPr>
          <w:lang w:val="fr-FR"/>
        </w:rPr>
        <w:tab/>
        <w:t>la discrimination fondée sur l</w:t>
      </w:r>
      <w:r w:rsidR="00070383">
        <w:rPr>
          <w:lang w:val="fr-FR"/>
        </w:rPr>
        <w:t>’</w:t>
      </w:r>
      <w:r w:rsidRPr="00884C41">
        <w:rPr>
          <w:lang w:val="fr-FR"/>
        </w:rPr>
        <w:t>identité de genre, l</w:t>
      </w:r>
      <w:r w:rsidR="00070383">
        <w:rPr>
          <w:lang w:val="fr-FR"/>
        </w:rPr>
        <w:t>’</w:t>
      </w:r>
      <w:r w:rsidRPr="00884C41">
        <w:rPr>
          <w:lang w:val="fr-FR"/>
        </w:rPr>
        <w:t>expression du genre ou les caractéristiques sexuelles ne soit pas expressément interdite</w:t>
      </w:r>
      <w:r w:rsidR="00C0187D">
        <w:rPr>
          <w:lang w:val="fr-FR"/>
        </w:rPr>
        <w:t> ;</w:t>
      </w:r>
    </w:p>
    <w:p w14:paraId="17F9627F" w14:textId="3D5A8498" w:rsidR="00884C41" w:rsidRPr="00884C41" w:rsidRDefault="00884C41" w:rsidP="00884C41">
      <w:pPr>
        <w:pStyle w:val="SingleTxt"/>
        <w:rPr>
          <w:lang w:val="fr-FR"/>
        </w:rPr>
      </w:pPr>
      <w:r w:rsidRPr="00884C41">
        <w:rPr>
          <w:lang w:val="fr-FR"/>
        </w:rPr>
        <w:tab/>
        <w:t>b)</w:t>
      </w:r>
      <w:r w:rsidRPr="00884C41">
        <w:rPr>
          <w:lang w:val="fr-FR"/>
        </w:rPr>
        <w:tab/>
        <w:t>seuls les documents d</w:t>
      </w:r>
      <w:r w:rsidR="00070383">
        <w:rPr>
          <w:lang w:val="fr-FR"/>
        </w:rPr>
        <w:t>’</w:t>
      </w:r>
      <w:r w:rsidRPr="00884C41">
        <w:rPr>
          <w:lang w:val="fr-FR"/>
        </w:rPr>
        <w:t>orientation soumis à la Commission ministérielle pour le bien-être social («</w:t>
      </w:r>
      <w:r>
        <w:rPr>
          <w:lang w:val="fr-FR"/>
        </w:rPr>
        <w:t> </w:t>
      </w:r>
      <w:r w:rsidRPr="00884C41">
        <w:rPr>
          <w:lang w:val="fr-FR"/>
        </w:rPr>
        <w:t>Cabinet Social Wellbeing Committee</w:t>
      </w:r>
      <w:r>
        <w:rPr>
          <w:lang w:val="fr-FR"/>
        </w:rPr>
        <w:t> </w:t>
      </w:r>
      <w:r w:rsidRPr="00884C41">
        <w:rPr>
          <w:lang w:val="fr-FR"/>
        </w:rPr>
        <w:t>») doivent faire l</w:t>
      </w:r>
      <w:r w:rsidR="00070383">
        <w:rPr>
          <w:lang w:val="fr-FR"/>
        </w:rPr>
        <w:t>’</w:t>
      </w:r>
      <w:r w:rsidRPr="00884C41">
        <w:rPr>
          <w:lang w:val="fr-FR"/>
        </w:rPr>
        <w:t>objet d</w:t>
      </w:r>
      <w:r w:rsidR="00070383">
        <w:rPr>
          <w:lang w:val="fr-FR"/>
        </w:rPr>
        <w:t>’</w:t>
      </w:r>
      <w:r w:rsidRPr="00884C41">
        <w:rPr>
          <w:lang w:val="fr-FR"/>
        </w:rPr>
        <w:t>une déclaration quant à leurs incidences sexospécifiques et l</w:t>
      </w:r>
      <w:r w:rsidR="00070383">
        <w:rPr>
          <w:lang w:val="fr-FR"/>
        </w:rPr>
        <w:t>’</w:t>
      </w:r>
      <w:r w:rsidRPr="00884C41">
        <w:rPr>
          <w:lang w:val="fr-FR"/>
        </w:rPr>
        <w:t>établissement de notes d</w:t>
      </w:r>
      <w:r w:rsidR="00070383">
        <w:rPr>
          <w:lang w:val="fr-FR"/>
        </w:rPr>
        <w:t>’</w:t>
      </w:r>
      <w:r w:rsidRPr="00884C41">
        <w:rPr>
          <w:lang w:val="fr-FR"/>
        </w:rPr>
        <w:t>information ne soit pas obligatoire pour tous les projets de loi et ordonnances complémentaires du Gouvernement</w:t>
      </w:r>
      <w:r w:rsidR="00C0187D">
        <w:rPr>
          <w:lang w:val="fr-FR"/>
        </w:rPr>
        <w:t> ;</w:t>
      </w:r>
    </w:p>
    <w:p w14:paraId="55445BAE" w14:textId="4750D862" w:rsidR="00884C41" w:rsidRPr="00884C41" w:rsidRDefault="00A66806" w:rsidP="00A66806">
      <w:pPr>
        <w:pStyle w:val="SingleTxt"/>
        <w:rPr>
          <w:lang w:val="fr-FR"/>
        </w:rPr>
      </w:pPr>
      <w:r>
        <w:rPr>
          <w:lang w:val="fr-FR"/>
        </w:rPr>
        <w:tab/>
      </w:r>
      <w:r w:rsidR="00884C41" w:rsidRPr="00884C41">
        <w:rPr>
          <w:lang w:val="fr-FR"/>
        </w:rPr>
        <w:t>c)</w:t>
      </w:r>
      <w:r w:rsidR="00884C41" w:rsidRPr="00884C41">
        <w:rPr>
          <w:lang w:val="fr-FR"/>
        </w:rPr>
        <w:tab/>
        <w:t>les textes de loi adoptés dans l</w:t>
      </w:r>
      <w:r w:rsidR="00070383">
        <w:rPr>
          <w:lang w:val="fr-FR"/>
        </w:rPr>
        <w:t>’</w:t>
      </w:r>
      <w:r w:rsidR="00884C41" w:rsidRPr="00884C41">
        <w:rPr>
          <w:lang w:val="fr-FR"/>
        </w:rPr>
        <w:t>État partie ne fassent généralement pas, dans leur formulation, de différence entre les sexes, ce qui peut se traduire par une protection inadaptée des femmes contre la discrimination directe et indirecte et faire obstacle à l</w:t>
      </w:r>
      <w:r w:rsidR="00070383">
        <w:rPr>
          <w:lang w:val="fr-FR"/>
        </w:rPr>
        <w:t>’</w:t>
      </w:r>
      <w:r w:rsidR="00884C41" w:rsidRPr="00884C41">
        <w:rPr>
          <w:lang w:val="fr-FR"/>
        </w:rPr>
        <w:t>instauration d</w:t>
      </w:r>
      <w:r w:rsidR="00070383">
        <w:rPr>
          <w:lang w:val="fr-FR"/>
        </w:rPr>
        <w:t>’</w:t>
      </w:r>
      <w:r w:rsidR="00884C41" w:rsidRPr="00884C41">
        <w:rPr>
          <w:lang w:val="fr-FR"/>
        </w:rPr>
        <w:t xml:space="preserve">une égalité de fait entre les hommes et les femmes. </w:t>
      </w:r>
    </w:p>
    <w:p w14:paraId="3A7E0F3B" w14:textId="7EC16535" w:rsidR="00884C41" w:rsidRPr="00A66806" w:rsidRDefault="00884C41" w:rsidP="00A66806">
      <w:pPr>
        <w:pStyle w:val="SingleTxt"/>
        <w:numPr>
          <w:ilvl w:val="0"/>
          <w:numId w:val="17"/>
        </w:numPr>
        <w:spacing w:line="240" w:lineRule="exact"/>
        <w:ind w:left="1267"/>
        <w:rPr>
          <w:b/>
          <w:bCs/>
          <w:lang w:val="fr-FR"/>
        </w:rPr>
      </w:pPr>
      <w:r w:rsidRPr="00A66806">
        <w:rPr>
          <w:b/>
          <w:bCs/>
          <w:lang w:val="fr-FR"/>
        </w:rPr>
        <w:t>Rappelant sa recommandation générale n</w:t>
      </w:r>
      <w:r w:rsidR="00044EB7" w:rsidRPr="00B50F39">
        <w:rPr>
          <w:b/>
          <w:bCs/>
          <w:vertAlign w:val="superscript"/>
          <w:lang w:val="fr-FR"/>
        </w:rPr>
        <w:t>o</w:t>
      </w:r>
      <w:r w:rsidR="00A66806">
        <w:rPr>
          <w:b/>
          <w:bCs/>
          <w:lang w:val="fr-FR"/>
        </w:rPr>
        <w:t> </w:t>
      </w:r>
      <w:r w:rsidRPr="00E26C4F">
        <w:rPr>
          <w:b/>
          <w:bCs/>
          <w:lang w:val="fr-FR"/>
        </w:rPr>
        <w:t>28</w:t>
      </w:r>
      <w:r w:rsidRPr="00A66806">
        <w:rPr>
          <w:b/>
          <w:bCs/>
          <w:lang w:val="fr-FR"/>
        </w:rPr>
        <w:t xml:space="preserve"> (</w:t>
      </w:r>
      <w:r w:rsidRPr="00E26C4F">
        <w:rPr>
          <w:b/>
          <w:bCs/>
          <w:lang w:val="fr-FR"/>
        </w:rPr>
        <w:t>2010</w:t>
      </w:r>
      <w:r w:rsidRPr="00A66806">
        <w:rPr>
          <w:b/>
          <w:bCs/>
          <w:lang w:val="fr-FR"/>
        </w:rPr>
        <w:t>) concernant les obligations fondamentales des États parties découlant de l</w:t>
      </w:r>
      <w:r w:rsidR="00070383">
        <w:rPr>
          <w:b/>
          <w:bCs/>
          <w:lang w:val="fr-FR"/>
        </w:rPr>
        <w:t>’</w:t>
      </w:r>
      <w:r w:rsidRPr="00A66806">
        <w:rPr>
          <w:b/>
          <w:bCs/>
          <w:lang w:val="fr-FR"/>
        </w:rPr>
        <w:t>article</w:t>
      </w:r>
      <w:r w:rsidR="002A3471">
        <w:rPr>
          <w:b/>
          <w:bCs/>
          <w:lang w:val="fr-FR"/>
        </w:rPr>
        <w:t> </w:t>
      </w:r>
      <w:r w:rsidRPr="00E26C4F">
        <w:rPr>
          <w:b/>
          <w:bCs/>
          <w:lang w:val="fr-FR"/>
        </w:rPr>
        <w:t>2</w:t>
      </w:r>
      <w:r w:rsidRPr="00A66806">
        <w:rPr>
          <w:b/>
          <w:bCs/>
          <w:lang w:val="fr-FR"/>
        </w:rPr>
        <w:t xml:space="preserve"> de la Convention et appelant l</w:t>
      </w:r>
      <w:r w:rsidR="00070383">
        <w:rPr>
          <w:b/>
          <w:bCs/>
          <w:lang w:val="fr-FR"/>
        </w:rPr>
        <w:t>’</w:t>
      </w:r>
      <w:r w:rsidRPr="00A66806">
        <w:rPr>
          <w:b/>
          <w:bCs/>
          <w:lang w:val="fr-FR"/>
        </w:rPr>
        <w:t>attention de l</w:t>
      </w:r>
      <w:r w:rsidR="00070383">
        <w:rPr>
          <w:b/>
          <w:bCs/>
          <w:lang w:val="fr-FR"/>
        </w:rPr>
        <w:t>’</w:t>
      </w:r>
      <w:r w:rsidRPr="00A66806">
        <w:rPr>
          <w:b/>
          <w:bCs/>
          <w:lang w:val="fr-FR"/>
        </w:rPr>
        <w:t xml:space="preserve">État partie sur la cible </w:t>
      </w:r>
      <w:r w:rsidRPr="00E26C4F">
        <w:rPr>
          <w:b/>
          <w:bCs/>
          <w:lang w:val="fr-FR"/>
        </w:rPr>
        <w:t>5</w:t>
      </w:r>
      <w:r w:rsidRPr="00A66806">
        <w:rPr>
          <w:b/>
          <w:bCs/>
          <w:lang w:val="fr-FR"/>
        </w:rPr>
        <w:t>.</w:t>
      </w:r>
      <w:r w:rsidRPr="00E26C4F">
        <w:rPr>
          <w:b/>
          <w:bCs/>
          <w:lang w:val="fr-FR"/>
        </w:rPr>
        <w:t>1</w:t>
      </w:r>
      <w:r w:rsidRPr="00A66806">
        <w:rPr>
          <w:b/>
          <w:bCs/>
          <w:lang w:val="fr-FR"/>
        </w:rPr>
        <w:t xml:space="preserve"> associée aux objectifs de développement durable (mettre fin, partout dans le monde, à toutes les formes de discrimination à l</w:t>
      </w:r>
      <w:r w:rsidR="00070383">
        <w:rPr>
          <w:b/>
          <w:bCs/>
          <w:lang w:val="fr-FR"/>
        </w:rPr>
        <w:t>’</w:t>
      </w:r>
      <w:r w:rsidRPr="00A66806">
        <w:rPr>
          <w:b/>
          <w:bCs/>
          <w:lang w:val="fr-FR"/>
        </w:rPr>
        <w:t>égard des femmes et des filles), le Comité recommande à l</w:t>
      </w:r>
      <w:r w:rsidR="00070383">
        <w:rPr>
          <w:b/>
          <w:bCs/>
          <w:lang w:val="fr-FR"/>
        </w:rPr>
        <w:t>’</w:t>
      </w:r>
      <w:r w:rsidRPr="00A66806">
        <w:rPr>
          <w:b/>
          <w:bCs/>
          <w:lang w:val="fr-FR"/>
        </w:rPr>
        <w:t>État partie</w:t>
      </w:r>
      <w:r w:rsidR="00A66806">
        <w:rPr>
          <w:b/>
          <w:bCs/>
          <w:lang w:val="fr-FR"/>
        </w:rPr>
        <w:t> </w:t>
      </w:r>
      <w:r w:rsidRPr="00A66806">
        <w:rPr>
          <w:b/>
          <w:bCs/>
          <w:lang w:val="fr-FR"/>
        </w:rPr>
        <w:t>:</w:t>
      </w:r>
    </w:p>
    <w:p w14:paraId="111B2F4A" w14:textId="780D8CA4" w:rsidR="00884C41" w:rsidRPr="00A66806" w:rsidRDefault="00A66806" w:rsidP="00A66806">
      <w:pPr>
        <w:pStyle w:val="SingleTxt"/>
        <w:rPr>
          <w:b/>
          <w:bCs/>
          <w:lang w:val="fr-FR"/>
        </w:rPr>
      </w:pPr>
      <w:r w:rsidRPr="00A66806">
        <w:rPr>
          <w:b/>
          <w:bCs/>
          <w:lang w:val="fr-FR"/>
        </w:rPr>
        <w:tab/>
      </w:r>
      <w:r w:rsidR="00884C41" w:rsidRPr="00A66806">
        <w:rPr>
          <w:b/>
          <w:bCs/>
          <w:lang w:val="fr-FR"/>
        </w:rPr>
        <w:t>a)</w:t>
      </w:r>
      <w:r w:rsidR="00884C41" w:rsidRPr="00A66806">
        <w:rPr>
          <w:b/>
          <w:bCs/>
          <w:lang w:val="fr-FR"/>
        </w:rPr>
        <w:tab/>
        <w:t>de modifier l</w:t>
      </w:r>
      <w:r w:rsidR="00070383">
        <w:rPr>
          <w:b/>
          <w:bCs/>
          <w:lang w:val="fr-FR"/>
        </w:rPr>
        <w:t>’</w:t>
      </w:r>
      <w:r w:rsidR="00884C41" w:rsidRPr="00A66806">
        <w:rPr>
          <w:b/>
          <w:bCs/>
          <w:lang w:val="fr-FR"/>
        </w:rPr>
        <w:t xml:space="preserve">article </w:t>
      </w:r>
      <w:r w:rsidR="00884C41" w:rsidRPr="00E26C4F">
        <w:rPr>
          <w:b/>
          <w:bCs/>
          <w:lang w:val="fr-FR"/>
        </w:rPr>
        <w:t>21</w:t>
      </w:r>
      <w:r w:rsidR="00884C41" w:rsidRPr="00A66806">
        <w:rPr>
          <w:b/>
          <w:bCs/>
          <w:lang w:val="fr-FR"/>
        </w:rPr>
        <w:t xml:space="preserve"> </w:t>
      </w:r>
      <w:r w:rsidR="00884C41" w:rsidRPr="00E26C4F">
        <w:rPr>
          <w:b/>
          <w:bCs/>
          <w:lang w:val="fr-FR"/>
        </w:rPr>
        <w:t>1</w:t>
      </w:r>
      <w:r w:rsidR="00884C41" w:rsidRPr="00A66806">
        <w:rPr>
          <w:b/>
          <w:bCs/>
          <w:lang w:val="fr-FR"/>
        </w:rPr>
        <w:t xml:space="preserve">) a) de la loi de </w:t>
      </w:r>
      <w:r w:rsidR="00884C41" w:rsidRPr="00E26C4F">
        <w:rPr>
          <w:b/>
          <w:bCs/>
          <w:lang w:val="fr-FR"/>
        </w:rPr>
        <w:t>1993</w:t>
      </w:r>
      <w:r w:rsidR="00884C41" w:rsidRPr="00A66806">
        <w:rPr>
          <w:b/>
          <w:bCs/>
          <w:lang w:val="fr-FR"/>
        </w:rPr>
        <w:t xml:space="preserve"> sur les droits de l</w:t>
      </w:r>
      <w:r w:rsidR="00070383">
        <w:rPr>
          <w:b/>
          <w:bCs/>
          <w:lang w:val="fr-FR"/>
        </w:rPr>
        <w:t>’</w:t>
      </w:r>
      <w:r w:rsidR="00884C41" w:rsidRPr="00A66806">
        <w:rPr>
          <w:b/>
          <w:bCs/>
          <w:lang w:val="fr-FR"/>
        </w:rPr>
        <w:t>homme, afin d</w:t>
      </w:r>
      <w:r w:rsidR="00070383">
        <w:rPr>
          <w:b/>
          <w:bCs/>
          <w:lang w:val="fr-FR"/>
        </w:rPr>
        <w:t>’</w:t>
      </w:r>
      <w:r w:rsidR="00884C41" w:rsidRPr="00A66806">
        <w:rPr>
          <w:b/>
          <w:bCs/>
          <w:lang w:val="fr-FR"/>
        </w:rPr>
        <w:t>y inscrire l</w:t>
      </w:r>
      <w:r w:rsidR="00070383">
        <w:rPr>
          <w:b/>
          <w:bCs/>
          <w:lang w:val="fr-FR"/>
        </w:rPr>
        <w:t>’</w:t>
      </w:r>
      <w:r w:rsidR="00884C41" w:rsidRPr="00A66806">
        <w:rPr>
          <w:b/>
          <w:bCs/>
          <w:lang w:val="fr-FR"/>
        </w:rPr>
        <w:t>interdiction expresse de toute discrimination fondée sur l</w:t>
      </w:r>
      <w:r w:rsidR="00070383">
        <w:rPr>
          <w:b/>
          <w:bCs/>
          <w:lang w:val="fr-FR"/>
        </w:rPr>
        <w:t>’</w:t>
      </w:r>
      <w:r w:rsidR="00884C41" w:rsidRPr="00A66806">
        <w:rPr>
          <w:b/>
          <w:bCs/>
          <w:lang w:val="fr-FR"/>
        </w:rPr>
        <w:t>identité de genre, l</w:t>
      </w:r>
      <w:r w:rsidR="00070383">
        <w:rPr>
          <w:b/>
          <w:bCs/>
          <w:lang w:val="fr-FR"/>
        </w:rPr>
        <w:t>’</w:t>
      </w:r>
      <w:r w:rsidR="00884C41" w:rsidRPr="00A66806">
        <w:rPr>
          <w:b/>
          <w:bCs/>
          <w:lang w:val="fr-FR"/>
        </w:rPr>
        <w:t>expression du genre et les caractéristiques sexuelles</w:t>
      </w:r>
      <w:r w:rsidR="00C0187D">
        <w:rPr>
          <w:b/>
          <w:bCs/>
          <w:lang w:val="fr-FR"/>
        </w:rPr>
        <w:t> ;</w:t>
      </w:r>
    </w:p>
    <w:p w14:paraId="5AF1F017" w14:textId="48DDB69B" w:rsidR="00884C41" w:rsidRPr="00A66806" w:rsidRDefault="00A66806" w:rsidP="00A66806">
      <w:pPr>
        <w:pStyle w:val="SingleTxt"/>
        <w:rPr>
          <w:b/>
          <w:bCs/>
          <w:lang w:val="fr-FR"/>
        </w:rPr>
      </w:pPr>
      <w:r w:rsidRPr="00A66806">
        <w:rPr>
          <w:b/>
          <w:bCs/>
          <w:lang w:val="fr-FR"/>
        </w:rPr>
        <w:tab/>
      </w:r>
      <w:r w:rsidR="00884C41" w:rsidRPr="00A66806">
        <w:rPr>
          <w:b/>
          <w:bCs/>
          <w:lang w:val="fr-FR"/>
        </w:rPr>
        <w:t>b)</w:t>
      </w:r>
      <w:r w:rsidR="00884C41" w:rsidRPr="00A66806">
        <w:rPr>
          <w:b/>
          <w:bCs/>
          <w:lang w:val="fr-FR"/>
        </w:rPr>
        <w:tab/>
        <w:t>de promulguer le projet de loi visant à rendre obligatoires les notes d</w:t>
      </w:r>
      <w:r w:rsidR="00070383">
        <w:rPr>
          <w:b/>
          <w:bCs/>
          <w:lang w:val="fr-FR"/>
        </w:rPr>
        <w:t>’</w:t>
      </w:r>
      <w:r w:rsidR="00884C41" w:rsidRPr="00A66806">
        <w:rPr>
          <w:b/>
          <w:bCs/>
          <w:lang w:val="fr-FR"/>
        </w:rPr>
        <w:t>information pour tous les projets de loi et instruments du Gouvernement et à s</w:t>
      </w:r>
      <w:r w:rsidR="00070383">
        <w:rPr>
          <w:b/>
          <w:bCs/>
          <w:lang w:val="fr-FR"/>
        </w:rPr>
        <w:t>’</w:t>
      </w:r>
      <w:r w:rsidR="00884C41" w:rsidRPr="00A66806">
        <w:rPr>
          <w:b/>
          <w:bCs/>
          <w:lang w:val="fr-FR"/>
        </w:rPr>
        <w:t>assurer de leur conformité au regard des normes internationales relatives aux droits de l</w:t>
      </w:r>
      <w:r w:rsidR="00070383">
        <w:rPr>
          <w:b/>
          <w:bCs/>
          <w:lang w:val="fr-FR"/>
        </w:rPr>
        <w:t>’</w:t>
      </w:r>
      <w:r w:rsidR="00884C41" w:rsidRPr="00A66806">
        <w:rPr>
          <w:b/>
          <w:bCs/>
          <w:lang w:val="fr-FR"/>
        </w:rPr>
        <w:t>homme</w:t>
      </w:r>
      <w:r w:rsidR="00C0187D">
        <w:rPr>
          <w:b/>
          <w:bCs/>
          <w:lang w:val="fr-FR"/>
        </w:rPr>
        <w:t> ;</w:t>
      </w:r>
      <w:r w:rsidR="00884C41" w:rsidRPr="00A66806">
        <w:rPr>
          <w:b/>
          <w:bCs/>
          <w:lang w:val="fr-FR"/>
        </w:rPr>
        <w:t xml:space="preserve"> </w:t>
      </w:r>
    </w:p>
    <w:p w14:paraId="0E9483C4" w14:textId="5C549F88" w:rsidR="00884C41" w:rsidRDefault="00A66806" w:rsidP="00A66806">
      <w:pPr>
        <w:pStyle w:val="SingleTxt"/>
        <w:rPr>
          <w:b/>
          <w:bCs/>
          <w:lang w:val="fr-FR"/>
        </w:rPr>
      </w:pPr>
      <w:r w:rsidRPr="00A66806">
        <w:rPr>
          <w:b/>
          <w:bCs/>
          <w:lang w:val="fr-FR"/>
        </w:rPr>
        <w:tab/>
      </w:r>
      <w:r w:rsidR="00884C41" w:rsidRPr="00A66806">
        <w:rPr>
          <w:b/>
          <w:bCs/>
          <w:lang w:val="fr-FR"/>
        </w:rPr>
        <w:t>c)</w:t>
      </w:r>
      <w:r w:rsidRPr="00A66806">
        <w:rPr>
          <w:b/>
          <w:bCs/>
          <w:lang w:val="fr-FR"/>
        </w:rPr>
        <w:tab/>
      </w:r>
      <w:r w:rsidR="00884C41" w:rsidRPr="00A66806">
        <w:rPr>
          <w:b/>
          <w:bCs/>
          <w:lang w:val="fr-FR"/>
        </w:rPr>
        <w:t>d</w:t>
      </w:r>
      <w:r w:rsidR="00070383">
        <w:rPr>
          <w:b/>
          <w:bCs/>
          <w:lang w:val="fr-FR"/>
        </w:rPr>
        <w:t>’</w:t>
      </w:r>
      <w:r w:rsidR="00884C41" w:rsidRPr="00A66806">
        <w:rPr>
          <w:b/>
          <w:bCs/>
          <w:lang w:val="fr-FR"/>
        </w:rPr>
        <w:t xml:space="preserve">intégrer dans sa législation, ses politiques et ses programmes une approche tenant compte des disparités entre les sexes plutôt que non sexiste, conformément au paragraphe </w:t>
      </w:r>
      <w:r w:rsidR="00884C41" w:rsidRPr="00E26C4F">
        <w:rPr>
          <w:b/>
          <w:bCs/>
          <w:lang w:val="fr-FR"/>
        </w:rPr>
        <w:t>5</w:t>
      </w:r>
      <w:r w:rsidR="00884C41" w:rsidRPr="00A66806">
        <w:rPr>
          <w:b/>
          <w:bCs/>
          <w:lang w:val="fr-FR"/>
        </w:rPr>
        <w:t xml:space="preserve"> de la recommandation générale n</w:t>
      </w:r>
      <w:r w:rsidR="00BB581E" w:rsidRPr="00B50F39">
        <w:rPr>
          <w:b/>
          <w:bCs/>
          <w:vertAlign w:val="superscript"/>
          <w:lang w:val="fr-FR"/>
        </w:rPr>
        <w:t>o</w:t>
      </w:r>
      <w:r w:rsidR="008D4BA2">
        <w:rPr>
          <w:b/>
          <w:bCs/>
          <w:lang w:val="fr-FR"/>
        </w:rPr>
        <w:t> </w:t>
      </w:r>
      <w:r w:rsidR="00884C41" w:rsidRPr="00E26C4F">
        <w:rPr>
          <w:b/>
          <w:bCs/>
          <w:lang w:val="fr-FR"/>
        </w:rPr>
        <w:t>28</w:t>
      </w:r>
      <w:r w:rsidR="00884C41" w:rsidRPr="00A66806">
        <w:rPr>
          <w:b/>
          <w:bCs/>
          <w:lang w:val="fr-FR"/>
        </w:rPr>
        <w:t xml:space="preserve"> du Comité concernant les obligations fondamentales des États parties découlant de l</w:t>
      </w:r>
      <w:r w:rsidR="00070383">
        <w:rPr>
          <w:b/>
          <w:bCs/>
          <w:lang w:val="fr-FR"/>
        </w:rPr>
        <w:t>’</w:t>
      </w:r>
      <w:r w:rsidR="00884C41" w:rsidRPr="00A66806">
        <w:rPr>
          <w:b/>
          <w:bCs/>
          <w:lang w:val="fr-FR"/>
        </w:rPr>
        <w:t>article</w:t>
      </w:r>
      <w:r w:rsidR="00891294">
        <w:rPr>
          <w:b/>
          <w:bCs/>
          <w:lang w:val="fr-FR"/>
        </w:rPr>
        <w:t> </w:t>
      </w:r>
      <w:r w:rsidR="00884C41" w:rsidRPr="00E26C4F">
        <w:rPr>
          <w:b/>
          <w:bCs/>
          <w:lang w:val="fr-FR"/>
        </w:rPr>
        <w:t>2</w:t>
      </w:r>
      <w:r w:rsidR="00884C41" w:rsidRPr="00A66806">
        <w:rPr>
          <w:b/>
          <w:bCs/>
          <w:lang w:val="fr-FR"/>
        </w:rPr>
        <w:t xml:space="preserve"> de la Convention.</w:t>
      </w:r>
    </w:p>
    <w:p w14:paraId="71F3148F" w14:textId="1568B4C7" w:rsidR="00A66806" w:rsidRPr="00A66806" w:rsidRDefault="00A66806" w:rsidP="00A66806">
      <w:pPr>
        <w:pStyle w:val="SingleTxt"/>
        <w:spacing w:after="0" w:line="120" w:lineRule="exact"/>
        <w:rPr>
          <w:b/>
          <w:bCs/>
          <w:sz w:val="10"/>
          <w:lang w:val="fr-FR"/>
        </w:rPr>
      </w:pPr>
    </w:p>
    <w:p w14:paraId="728FAEC5" w14:textId="56945F17" w:rsidR="00884C41" w:rsidRDefault="00884C41" w:rsidP="00D253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84C41">
        <w:rPr>
          <w:lang w:val="fr-FR"/>
        </w:rPr>
        <w:tab/>
      </w:r>
      <w:r w:rsidRPr="00884C41">
        <w:rPr>
          <w:lang w:val="fr-FR"/>
        </w:rPr>
        <w:tab/>
        <w:t>Accès à la justice</w:t>
      </w:r>
    </w:p>
    <w:p w14:paraId="1510DBEF" w14:textId="30439A0C" w:rsidR="00D25381" w:rsidRPr="00D25381" w:rsidRDefault="00D25381" w:rsidP="00D25381">
      <w:pPr>
        <w:pStyle w:val="SingleTxt"/>
        <w:spacing w:after="0" w:line="120" w:lineRule="exact"/>
        <w:rPr>
          <w:sz w:val="10"/>
          <w:lang w:val="fr-FR"/>
        </w:rPr>
      </w:pPr>
    </w:p>
    <w:p w14:paraId="0D30C118" w14:textId="3B152EBB" w:rsidR="00884C41" w:rsidRPr="00884C41" w:rsidRDefault="00884C41" w:rsidP="00D25381">
      <w:pPr>
        <w:pStyle w:val="SingleTxt"/>
        <w:numPr>
          <w:ilvl w:val="0"/>
          <w:numId w:val="17"/>
        </w:numPr>
        <w:spacing w:line="240" w:lineRule="exact"/>
        <w:ind w:left="1267"/>
        <w:rPr>
          <w:lang w:val="fr-FR"/>
        </w:rPr>
      </w:pPr>
      <w:r w:rsidRPr="00884C41">
        <w:rPr>
          <w:lang w:val="fr-FR"/>
        </w:rPr>
        <w:t>Le Comité demeure préoccupé par la persistance de multiples obstacles empêchant les femmes et les filles d</w:t>
      </w:r>
      <w:r w:rsidR="00070383">
        <w:rPr>
          <w:lang w:val="fr-FR"/>
        </w:rPr>
        <w:t>’</w:t>
      </w:r>
      <w:r w:rsidRPr="00884C41">
        <w:rPr>
          <w:lang w:val="fr-FR"/>
        </w:rPr>
        <w:t>avoir accès à la justice et de disposer de voies de recours efficaces pour dénoncer les violations de leurs droits, en particulier les femmes rurales, les Maories, les femmes originaires du Pacifique ou d</w:t>
      </w:r>
      <w:r w:rsidR="00070383">
        <w:rPr>
          <w:lang w:val="fr-FR"/>
        </w:rPr>
        <w:t>’</w:t>
      </w:r>
      <w:r w:rsidRPr="00884C41">
        <w:rPr>
          <w:lang w:val="fr-FR"/>
        </w:rPr>
        <w:t>Asie, les migrantes et les réfugiées, les femmes handicapées, les lesbiennes, les bisexuelles et les femmes transgenres ainsi que les personnes intersexuées. Il s</w:t>
      </w:r>
      <w:r w:rsidR="00070383">
        <w:rPr>
          <w:lang w:val="fr-FR"/>
        </w:rPr>
        <w:t>’</w:t>
      </w:r>
      <w:r w:rsidRPr="00884C41">
        <w:rPr>
          <w:lang w:val="fr-FR"/>
        </w:rPr>
        <w:t>inquiète en particulier</w:t>
      </w:r>
      <w:r w:rsidR="00D25381">
        <w:rPr>
          <w:lang w:val="fr-FR"/>
        </w:rPr>
        <w:t> </w:t>
      </w:r>
      <w:r w:rsidRPr="00884C41">
        <w:rPr>
          <w:lang w:val="fr-FR"/>
        </w:rPr>
        <w:t>:</w:t>
      </w:r>
      <w:bookmarkStart w:id="2" w:name="_Hlk523382795"/>
      <w:bookmarkEnd w:id="2"/>
    </w:p>
    <w:p w14:paraId="226C5D35" w14:textId="3DC6F4C3" w:rsidR="00884C41" w:rsidRPr="00884C41" w:rsidRDefault="00D25381" w:rsidP="00D25381">
      <w:pPr>
        <w:pStyle w:val="SingleTxt"/>
        <w:rPr>
          <w:lang w:val="fr-FR"/>
        </w:rPr>
      </w:pPr>
      <w:r>
        <w:rPr>
          <w:lang w:val="fr-FR"/>
        </w:rPr>
        <w:tab/>
      </w:r>
      <w:r w:rsidR="00884C41" w:rsidRPr="00884C41">
        <w:rPr>
          <w:lang w:val="fr-FR"/>
        </w:rPr>
        <w:t>a)</w:t>
      </w:r>
      <w:r w:rsidR="00884C41" w:rsidRPr="00884C41">
        <w:rPr>
          <w:lang w:val="fr-FR"/>
        </w:rPr>
        <w:tab/>
        <w:t>de la moindre disponibilité de l</w:t>
      </w:r>
      <w:r w:rsidR="00070383">
        <w:rPr>
          <w:lang w:val="fr-FR"/>
        </w:rPr>
        <w:t>’</w:t>
      </w:r>
      <w:r w:rsidR="00884C41" w:rsidRPr="00884C41">
        <w:rPr>
          <w:lang w:val="fr-FR"/>
        </w:rPr>
        <w:t>aide juridictionnelle, le nombre d</w:t>
      </w:r>
      <w:r w:rsidR="00070383">
        <w:rPr>
          <w:lang w:val="fr-FR"/>
        </w:rPr>
        <w:t>’</w:t>
      </w:r>
      <w:r w:rsidR="00884C41" w:rsidRPr="00884C41">
        <w:rPr>
          <w:lang w:val="fr-FR"/>
        </w:rPr>
        <w:t>avocats affectés aux services d</w:t>
      </w:r>
      <w:r w:rsidR="00070383">
        <w:rPr>
          <w:lang w:val="fr-FR"/>
        </w:rPr>
        <w:t>’</w:t>
      </w:r>
      <w:r w:rsidR="00884C41" w:rsidRPr="00884C41">
        <w:rPr>
          <w:lang w:val="fr-FR"/>
        </w:rPr>
        <w:t>aide juridictionnelle n</w:t>
      </w:r>
      <w:r w:rsidR="00070383">
        <w:rPr>
          <w:lang w:val="fr-FR"/>
        </w:rPr>
        <w:t>’</w:t>
      </w:r>
      <w:r w:rsidR="00884C41" w:rsidRPr="00884C41">
        <w:rPr>
          <w:lang w:val="fr-FR"/>
        </w:rPr>
        <w:t xml:space="preserve">ayant cessé de diminuer depuis </w:t>
      </w:r>
      <w:r w:rsidR="00884C41" w:rsidRPr="00E26C4F">
        <w:rPr>
          <w:lang w:val="fr-FR"/>
        </w:rPr>
        <w:t>2011</w:t>
      </w:r>
      <w:r w:rsidR="00C0187D">
        <w:rPr>
          <w:lang w:val="fr-FR"/>
        </w:rPr>
        <w:t> ;</w:t>
      </w:r>
    </w:p>
    <w:p w14:paraId="32408987" w14:textId="14A8B855" w:rsidR="00884C41" w:rsidRPr="00884C41" w:rsidRDefault="00D25381" w:rsidP="00D25381">
      <w:pPr>
        <w:pStyle w:val="SingleTxt"/>
        <w:rPr>
          <w:lang w:val="fr-FR"/>
        </w:rPr>
      </w:pPr>
      <w:r>
        <w:rPr>
          <w:lang w:val="fr-FR"/>
        </w:rPr>
        <w:tab/>
      </w:r>
      <w:r w:rsidR="00884C41" w:rsidRPr="00884C41">
        <w:rPr>
          <w:lang w:val="fr-FR"/>
        </w:rPr>
        <w:t>b)</w:t>
      </w:r>
      <w:r w:rsidR="00884C41" w:rsidRPr="00884C41">
        <w:rPr>
          <w:lang w:val="fr-FR"/>
        </w:rPr>
        <w:tab/>
        <w:t>des connaissances juridiques limitées des femmes et du manque d</w:t>
      </w:r>
      <w:r w:rsidR="00070383">
        <w:rPr>
          <w:lang w:val="fr-FR"/>
        </w:rPr>
        <w:t>’</w:t>
      </w:r>
      <w:r w:rsidR="00884C41" w:rsidRPr="00884C41">
        <w:rPr>
          <w:lang w:val="fr-FR"/>
        </w:rPr>
        <w:t>informations dont elles disposent quant aux voies de recours qui leur sont offertes, en particulier pour les femmes rurales et les migrantes</w:t>
      </w:r>
      <w:r w:rsidR="00C0187D">
        <w:rPr>
          <w:lang w:val="fr-FR"/>
        </w:rPr>
        <w:t> ;</w:t>
      </w:r>
    </w:p>
    <w:p w14:paraId="70E8E09F" w14:textId="27B4400A" w:rsidR="00884C41" w:rsidRPr="00884C41" w:rsidRDefault="00D25381" w:rsidP="00D25381">
      <w:pPr>
        <w:pStyle w:val="SingleTxt"/>
        <w:rPr>
          <w:lang w:val="fr-FR"/>
        </w:rPr>
      </w:pPr>
      <w:r>
        <w:rPr>
          <w:lang w:val="fr-FR"/>
        </w:rPr>
        <w:tab/>
      </w:r>
      <w:r w:rsidR="00884C41" w:rsidRPr="00884C41">
        <w:rPr>
          <w:lang w:val="fr-FR"/>
        </w:rPr>
        <w:t>c)</w:t>
      </w:r>
      <w:r w:rsidR="00884C41" w:rsidRPr="00884C41">
        <w:rPr>
          <w:lang w:val="fr-FR"/>
        </w:rPr>
        <w:tab/>
        <w:t>du peu de sensibilité à la problématique hommes-femmes au sein de l</w:t>
      </w:r>
      <w:r w:rsidR="00070383">
        <w:rPr>
          <w:lang w:val="fr-FR"/>
        </w:rPr>
        <w:t>’</w:t>
      </w:r>
      <w:r w:rsidR="00884C41" w:rsidRPr="00884C41">
        <w:rPr>
          <w:lang w:val="fr-FR"/>
        </w:rPr>
        <w:t xml:space="preserve">appareil judiciaire, en particulier dans les tribunaux des affaires familiales, et notamment des attitudes négatives que peuvent avoir les juges et les agents des services répressifs envers les femmes qui se plaignent de violations de leurs droits. </w:t>
      </w:r>
    </w:p>
    <w:p w14:paraId="30FE3923" w14:textId="0E29A176" w:rsidR="00884C41" w:rsidRPr="00D25381" w:rsidRDefault="00884C41" w:rsidP="00D25381">
      <w:pPr>
        <w:pStyle w:val="SingleTxt"/>
        <w:numPr>
          <w:ilvl w:val="0"/>
          <w:numId w:val="17"/>
        </w:numPr>
        <w:spacing w:line="240" w:lineRule="exact"/>
        <w:ind w:left="1267"/>
        <w:rPr>
          <w:b/>
          <w:bCs/>
          <w:lang w:val="fr-FR"/>
        </w:rPr>
      </w:pPr>
      <w:r w:rsidRPr="00D25381">
        <w:rPr>
          <w:b/>
          <w:bCs/>
          <w:lang w:val="fr-FR"/>
        </w:rPr>
        <w:t>Rappelant sa recommandation générale n</w:t>
      </w:r>
      <w:r w:rsidRPr="00D25381">
        <w:rPr>
          <w:b/>
          <w:bCs/>
          <w:vertAlign w:val="superscript"/>
          <w:lang w:val="fr-FR"/>
        </w:rPr>
        <w:t>o</w:t>
      </w:r>
      <w:r w:rsidRPr="00D25381">
        <w:rPr>
          <w:b/>
          <w:bCs/>
          <w:lang w:val="fr-FR"/>
        </w:rPr>
        <w:t xml:space="preserve"> </w:t>
      </w:r>
      <w:r w:rsidRPr="00E26C4F">
        <w:rPr>
          <w:b/>
          <w:bCs/>
          <w:lang w:val="fr-FR"/>
        </w:rPr>
        <w:t>33</w:t>
      </w:r>
      <w:r w:rsidRPr="00D25381">
        <w:rPr>
          <w:b/>
          <w:bCs/>
          <w:lang w:val="fr-FR"/>
        </w:rPr>
        <w:t xml:space="preserve"> (</w:t>
      </w:r>
      <w:r w:rsidRPr="00E26C4F">
        <w:rPr>
          <w:b/>
          <w:bCs/>
          <w:lang w:val="fr-FR"/>
        </w:rPr>
        <w:t>2015</w:t>
      </w:r>
      <w:r w:rsidRPr="00D25381">
        <w:rPr>
          <w:b/>
          <w:bCs/>
          <w:lang w:val="fr-FR"/>
        </w:rPr>
        <w:t>) sur l</w:t>
      </w:r>
      <w:r w:rsidR="00070383">
        <w:rPr>
          <w:b/>
          <w:bCs/>
          <w:lang w:val="fr-FR"/>
        </w:rPr>
        <w:t>’</w:t>
      </w:r>
      <w:r w:rsidRPr="00D25381">
        <w:rPr>
          <w:b/>
          <w:bCs/>
          <w:lang w:val="fr-FR"/>
        </w:rPr>
        <w:t>accès des femmes à la justice, le Comité recommande à l</w:t>
      </w:r>
      <w:r w:rsidR="00070383">
        <w:rPr>
          <w:b/>
          <w:bCs/>
          <w:lang w:val="fr-FR"/>
        </w:rPr>
        <w:t>’</w:t>
      </w:r>
      <w:r w:rsidRPr="00D25381">
        <w:rPr>
          <w:b/>
          <w:bCs/>
          <w:lang w:val="fr-FR"/>
        </w:rPr>
        <w:t>État partie</w:t>
      </w:r>
      <w:r w:rsidR="00D25381">
        <w:rPr>
          <w:b/>
          <w:bCs/>
          <w:lang w:val="fr-FR"/>
        </w:rPr>
        <w:t> </w:t>
      </w:r>
      <w:r w:rsidRPr="00D25381">
        <w:rPr>
          <w:b/>
          <w:bCs/>
          <w:lang w:val="fr-FR"/>
        </w:rPr>
        <w:t>:</w:t>
      </w:r>
    </w:p>
    <w:p w14:paraId="23E2B37B" w14:textId="74C29C08" w:rsidR="00884C41" w:rsidRPr="00D25381" w:rsidRDefault="00D25381" w:rsidP="00D25381">
      <w:pPr>
        <w:pStyle w:val="SingleTxt"/>
        <w:rPr>
          <w:b/>
          <w:bCs/>
          <w:lang w:val="fr-FR"/>
        </w:rPr>
      </w:pPr>
      <w:r w:rsidRPr="00D25381">
        <w:rPr>
          <w:b/>
          <w:bCs/>
          <w:lang w:val="fr-FR"/>
        </w:rPr>
        <w:tab/>
      </w:r>
      <w:r w:rsidR="00884C41" w:rsidRPr="00D25381">
        <w:rPr>
          <w:b/>
          <w:bCs/>
          <w:lang w:val="fr-FR"/>
        </w:rPr>
        <w:t>a)</w:t>
      </w:r>
      <w:r w:rsidR="00884C41" w:rsidRPr="00D25381">
        <w:rPr>
          <w:b/>
          <w:bCs/>
          <w:lang w:val="fr-FR"/>
        </w:rPr>
        <w:tab/>
        <w:t>de faciliter l</w:t>
      </w:r>
      <w:r w:rsidR="00070383">
        <w:rPr>
          <w:b/>
          <w:bCs/>
          <w:lang w:val="fr-FR"/>
        </w:rPr>
        <w:t>’</w:t>
      </w:r>
      <w:r w:rsidR="00884C41" w:rsidRPr="00D25381">
        <w:rPr>
          <w:b/>
          <w:bCs/>
          <w:lang w:val="fr-FR"/>
        </w:rPr>
        <w:t>accès des femmes à l</w:t>
      </w:r>
      <w:r w:rsidR="00070383">
        <w:rPr>
          <w:b/>
          <w:bCs/>
          <w:lang w:val="fr-FR"/>
        </w:rPr>
        <w:t>’</w:t>
      </w:r>
      <w:r w:rsidR="00884C41" w:rsidRPr="00D25381">
        <w:rPr>
          <w:b/>
          <w:bCs/>
          <w:lang w:val="fr-FR"/>
        </w:rPr>
        <w:t xml:space="preserve">aide juridictionnelle, en particulier pour les Maories, les migrantes et les femmes issues de minorités ethniques, notamment dans les juridictions civiles et celles chargées des affaires </w:t>
      </w:r>
      <w:bookmarkStart w:id="3" w:name="_Hlk523311408"/>
      <w:bookmarkEnd w:id="3"/>
      <w:r w:rsidR="00884C41" w:rsidRPr="00D25381">
        <w:rPr>
          <w:b/>
          <w:bCs/>
          <w:lang w:val="fr-FR"/>
        </w:rPr>
        <w:t>familiales</w:t>
      </w:r>
      <w:r w:rsidR="00C0187D">
        <w:rPr>
          <w:b/>
          <w:bCs/>
          <w:lang w:val="fr-FR"/>
        </w:rPr>
        <w:t> ;</w:t>
      </w:r>
    </w:p>
    <w:p w14:paraId="4B0C3F43" w14:textId="7E0078C4" w:rsidR="00884C41" w:rsidRPr="00D25381" w:rsidRDefault="00D25381" w:rsidP="00D25381">
      <w:pPr>
        <w:pStyle w:val="SingleTxt"/>
        <w:rPr>
          <w:b/>
          <w:bCs/>
          <w:lang w:val="fr-FR"/>
        </w:rPr>
      </w:pPr>
      <w:r w:rsidRPr="00D25381">
        <w:rPr>
          <w:b/>
          <w:bCs/>
          <w:lang w:val="fr-FR"/>
        </w:rPr>
        <w:tab/>
      </w:r>
      <w:r w:rsidR="00884C41" w:rsidRPr="00D25381">
        <w:rPr>
          <w:b/>
          <w:bCs/>
          <w:lang w:val="fr-FR"/>
        </w:rPr>
        <w:t>b)</w:t>
      </w:r>
      <w:r w:rsidR="00884C41" w:rsidRPr="00D25381">
        <w:rPr>
          <w:b/>
          <w:bCs/>
          <w:lang w:val="fr-FR"/>
        </w:rPr>
        <w:tab/>
        <w:t>de diffuser des informations, en particulier en milieu rural et dans les zones reculées, concernant les voies de recours offertes aux femmes dont les droits ont été bafoués</w:t>
      </w:r>
      <w:r w:rsidR="00C0187D">
        <w:rPr>
          <w:b/>
          <w:bCs/>
          <w:lang w:val="fr-FR"/>
        </w:rPr>
        <w:t> ;</w:t>
      </w:r>
    </w:p>
    <w:p w14:paraId="2FE3D56B" w14:textId="68E8C2A2" w:rsidR="00884C41" w:rsidRDefault="00D25381" w:rsidP="00D25381">
      <w:pPr>
        <w:pStyle w:val="SingleTxt"/>
        <w:rPr>
          <w:b/>
          <w:bCs/>
          <w:lang w:val="fr-FR"/>
        </w:rPr>
      </w:pPr>
      <w:r w:rsidRPr="00D25381">
        <w:rPr>
          <w:b/>
          <w:bCs/>
          <w:lang w:val="fr-FR"/>
        </w:rPr>
        <w:tab/>
      </w:r>
      <w:r w:rsidR="00884C41" w:rsidRPr="00D25381">
        <w:rPr>
          <w:b/>
          <w:bCs/>
          <w:lang w:val="fr-FR"/>
        </w:rPr>
        <w:t>c)</w:t>
      </w:r>
      <w:r w:rsidR="00884C41" w:rsidRPr="00D25381">
        <w:rPr>
          <w:b/>
          <w:bCs/>
          <w:lang w:val="fr-FR"/>
        </w:rPr>
        <w:tab/>
        <w:t>de mieux prendre en compte la problématique hommes-femmes au sein du corps judiciaire, notamment en augmentant le nombre de femmes juges et en mettant davantage l</w:t>
      </w:r>
      <w:r w:rsidR="00070383">
        <w:rPr>
          <w:b/>
          <w:bCs/>
          <w:lang w:val="fr-FR"/>
        </w:rPr>
        <w:t>’</w:t>
      </w:r>
      <w:r w:rsidR="00884C41" w:rsidRPr="00D25381">
        <w:rPr>
          <w:b/>
          <w:bCs/>
          <w:lang w:val="fr-FR"/>
        </w:rPr>
        <w:t>accent sur le renforcement systématique des capacités des juges, des procureurs, des avocats, des policiers et autres agents des services répressifs concernant la Convention.</w:t>
      </w:r>
    </w:p>
    <w:p w14:paraId="4F65EE00" w14:textId="146843EE" w:rsidR="00D25381" w:rsidRPr="00D25381" w:rsidRDefault="00D25381" w:rsidP="00D25381">
      <w:pPr>
        <w:pStyle w:val="SingleTxt"/>
        <w:spacing w:after="0" w:line="120" w:lineRule="exact"/>
        <w:rPr>
          <w:sz w:val="10"/>
          <w:lang w:val="fr-FR"/>
        </w:rPr>
      </w:pPr>
    </w:p>
    <w:p w14:paraId="527F28CF" w14:textId="321CFA4C" w:rsidR="00884C41" w:rsidRDefault="00884C41" w:rsidP="00D253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84C41">
        <w:rPr>
          <w:lang w:val="fr-FR"/>
        </w:rPr>
        <w:tab/>
      </w:r>
      <w:r w:rsidRPr="00884C41">
        <w:rPr>
          <w:lang w:val="fr-FR"/>
        </w:rPr>
        <w:tab/>
        <w:t>Les femmes et la paix et la sécurité</w:t>
      </w:r>
    </w:p>
    <w:p w14:paraId="00275B03" w14:textId="73977960" w:rsidR="00D25381" w:rsidRPr="00D25381" w:rsidRDefault="00D25381" w:rsidP="00D25381">
      <w:pPr>
        <w:pStyle w:val="SingleTxt"/>
        <w:spacing w:after="0" w:line="120" w:lineRule="exact"/>
        <w:rPr>
          <w:sz w:val="10"/>
          <w:lang w:val="fr-FR"/>
        </w:rPr>
      </w:pPr>
    </w:p>
    <w:p w14:paraId="734D7D37" w14:textId="3D613649" w:rsidR="00884C41" w:rsidRPr="00884C41" w:rsidRDefault="00884C41" w:rsidP="00D25381">
      <w:pPr>
        <w:pStyle w:val="SingleTxt"/>
        <w:numPr>
          <w:ilvl w:val="0"/>
          <w:numId w:val="17"/>
        </w:numPr>
        <w:spacing w:line="240" w:lineRule="exact"/>
        <w:ind w:left="1267"/>
        <w:rPr>
          <w:bCs/>
          <w:lang w:val="fr-FR"/>
        </w:rPr>
      </w:pPr>
      <w:r w:rsidRPr="00884C41">
        <w:rPr>
          <w:lang w:val="fr-FR"/>
        </w:rPr>
        <w:t>Le Comité note avec satisfaction que l</w:t>
      </w:r>
      <w:r w:rsidR="00070383">
        <w:rPr>
          <w:lang w:val="fr-FR"/>
        </w:rPr>
        <w:t>’</w:t>
      </w:r>
      <w:r w:rsidRPr="00884C41">
        <w:rPr>
          <w:lang w:val="fr-FR"/>
        </w:rPr>
        <w:t xml:space="preserve">État partie a lancé, en </w:t>
      </w:r>
      <w:r w:rsidRPr="00E26C4F">
        <w:rPr>
          <w:lang w:val="fr-FR"/>
        </w:rPr>
        <w:t>2015</w:t>
      </w:r>
      <w:r w:rsidRPr="00884C41">
        <w:rPr>
          <w:lang w:val="fr-FR"/>
        </w:rPr>
        <w:t>, un plan d</w:t>
      </w:r>
      <w:r w:rsidR="00070383">
        <w:rPr>
          <w:lang w:val="fr-FR"/>
        </w:rPr>
        <w:t>’</w:t>
      </w:r>
      <w:r w:rsidRPr="00884C41">
        <w:rPr>
          <w:lang w:val="fr-FR"/>
        </w:rPr>
        <w:t xml:space="preserve">action national pour la mise en œuvre de la résolution </w:t>
      </w:r>
      <w:hyperlink r:id="rId22" w:history="1">
        <w:r w:rsidRPr="00E26C4F">
          <w:rPr>
            <w:rStyle w:val="Hyperlink"/>
            <w:color w:val="0000FF"/>
            <w:lang w:val="fr-FR"/>
          </w:rPr>
          <w:t>1325 (2000)</w:t>
        </w:r>
      </w:hyperlink>
      <w:r w:rsidRPr="00884C41">
        <w:rPr>
          <w:lang w:val="fr-FR"/>
        </w:rPr>
        <w:t xml:space="preserve"> du Conseil de sécurité sur les femmes et la paix et la sécurité, qui couvre la période </w:t>
      </w:r>
      <w:r w:rsidRPr="00E26C4F">
        <w:rPr>
          <w:lang w:val="fr-FR"/>
        </w:rPr>
        <w:t>2015</w:t>
      </w:r>
      <w:r w:rsidRPr="00884C41">
        <w:rPr>
          <w:lang w:val="fr-FR"/>
        </w:rPr>
        <w:t>-</w:t>
      </w:r>
      <w:r w:rsidRPr="00E26C4F">
        <w:rPr>
          <w:lang w:val="fr-FR"/>
        </w:rPr>
        <w:t>2019</w:t>
      </w:r>
      <w:r w:rsidRPr="00884C41">
        <w:rPr>
          <w:lang w:val="fr-FR"/>
        </w:rPr>
        <w:t>. Il se félicite également des programmes dont se sont dotées tant la Police que les Forces de défense néo-zélandaises en vue de recruter davantage de femmes, de maintenir ces effectifs féminins et de favoriser leur promotion à des postes de haut niveau, ce qui permettra à terme de disposer d</w:t>
      </w:r>
      <w:r w:rsidR="00070383">
        <w:rPr>
          <w:lang w:val="fr-FR"/>
        </w:rPr>
        <w:t>’</w:t>
      </w:r>
      <w:r w:rsidRPr="00884C41">
        <w:rPr>
          <w:lang w:val="fr-FR"/>
        </w:rPr>
        <w:t>un plus grand nombre de femmes pour les missions de maintien de la paix. Il s</w:t>
      </w:r>
      <w:r w:rsidR="00070383">
        <w:rPr>
          <w:lang w:val="fr-FR"/>
        </w:rPr>
        <w:t>’</w:t>
      </w:r>
      <w:r w:rsidRPr="00884C41">
        <w:rPr>
          <w:lang w:val="fr-FR"/>
        </w:rPr>
        <w:t>inquiète cependant du manque de consultation des organisations de défense des droits fondamentaux des femmes lors de l</w:t>
      </w:r>
      <w:r w:rsidR="00070383">
        <w:rPr>
          <w:lang w:val="fr-FR"/>
        </w:rPr>
        <w:t>’</w:t>
      </w:r>
      <w:r w:rsidRPr="00884C41">
        <w:rPr>
          <w:lang w:val="fr-FR"/>
        </w:rPr>
        <w:t>élaboration du plan d</w:t>
      </w:r>
      <w:r w:rsidR="00070383">
        <w:rPr>
          <w:lang w:val="fr-FR"/>
        </w:rPr>
        <w:t>’</w:t>
      </w:r>
      <w:r w:rsidRPr="00884C41">
        <w:rPr>
          <w:lang w:val="fr-FR"/>
        </w:rPr>
        <w:t>action et de l</w:t>
      </w:r>
      <w:r w:rsidR="00070383">
        <w:rPr>
          <w:lang w:val="fr-FR"/>
        </w:rPr>
        <w:t>’</w:t>
      </w:r>
      <w:r w:rsidRPr="00884C41">
        <w:rPr>
          <w:lang w:val="fr-FR"/>
        </w:rPr>
        <w:t>insuffisance des ressources allouées à ce plan.</w:t>
      </w:r>
    </w:p>
    <w:p w14:paraId="7EC99605" w14:textId="01461E28" w:rsidR="00884C41" w:rsidRPr="00D25381" w:rsidRDefault="00884C41" w:rsidP="00D25381">
      <w:pPr>
        <w:pStyle w:val="SingleTxt"/>
        <w:numPr>
          <w:ilvl w:val="0"/>
          <w:numId w:val="17"/>
        </w:numPr>
        <w:spacing w:line="240" w:lineRule="exact"/>
        <w:ind w:left="1267"/>
        <w:rPr>
          <w:b/>
          <w:bCs/>
          <w:lang w:val="fr-FR"/>
        </w:rPr>
      </w:pPr>
      <w:r w:rsidRPr="00D25381">
        <w:rPr>
          <w:b/>
          <w:bCs/>
          <w:lang w:val="fr-FR"/>
        </w:rPr>
        <w:t>Le Comité recommande à l</w:t>
      </w:r>
      <w:r w:rsidR="00070383">
        <w:rPr>
          <w:b/>
          <w:bCs/>
          <w:lang w:val="fr-FR"/>
        </w:rPr>
        <w:t>’</w:t>
      </w:r>
      <w:r w:rsidRPr="00D25381">
        <w:rPr>
          <w:b/>
          <w:bCs/>
          <w:lang w:val="fr-FR"/>
        </w:rPr>
        <w:t>État partie</w:t>
      </w:r>
      <w:r w:rsidR="00D25381">
        <w:rPr>
          <w:b/>
          <w:bCs/>
          <w:lang w:val="fr-FR"/>
        </w:rPr>
        <w:t> </w:t>
      </w:r>
      <w:r w:rsidRPr="00D25381">
        <w:rPr>
          <w:b/>
          <w:bCs/>
          <w:lang w:val="fr-FR"/>
        </w:rPr>
        <w:t>:</w:t>
      </w:r>
    </w:p>
    <w:p w14:paraId="168D4584" w14:textId="556C6091" w:rsidR="00884C41" w:rsidRPr="00D25381" w:rsidRDefault="00D25381" w:rsidP="00D25381">
      <w:pPr>
        <w:pStyle w:val="SingleTxt"/>
        <w:rPr>
          <w:b/>
          <w:bCs/>
          <w:lang w:val="fr-FR"/>
        </w:rPr>
      </w:pPr>
      <w:r w:rsidRPr="00D25381">
        <w:rPr>
          <w:b/>
          <w:bCs/>
          <w:lang w:val="fr-FR"/>
        </w:rPr>
        <w:tab/>
      </w:r>
      <w:r w:rsidR="00884C41" w:rsidRPr="00D25381">
        <w:rPr>
          <w:b/>
          <w:bCs/>
          <w:lang w:val="fr-FR"/>
        </w:rPr>
        <w:t>a)</w:t>
      </w:r>
      <w:r w:rsidR="00884C41" w:rsidRPr="00D25381">
        <w:rPr>
          <w:b/>
          <w:bCs/>
          <w:lang w:val="fr-FR"/>
        </w:rPr>
        <w:tab/>
        <w:t>de continuer de s</w:t>
      </w:r>
      <w:r w:rsidR="00070383">
        <w:rPr>
          <w:b/>
          <w:bCs/>
          <w:lang w:val="fr-FR"/>
        </w:rPr>
        <w:t>’</w:t>
      </w:r>
      <w:r w:rsidR="00884C41" w:rsidRPr="00D25381">
        <w:rPr>
          <w:b/>
          <w:bCs/>
          <w:lang w:val="fr-FR"/>
        </w:rPr>
        <w:t xml:space="preserve">engager à assurer la mise en œuvre effective des dispositions pertinentes de la résolution </w:t>
      </w:r>
      <w:hyperlink r:id="rId23" w:history="1">
        <w:bookmarkStart w:id="4" w:name="SCName"/>
        <w:r w:rsidR="00884C41" w:rsidRPr="00E26C4F">
          <w:rPr>
            <w:rStyle w:val="Hyperlink"/>
            <w:b/>
            <w:bCs/>
            <w:color w:val="0000FF"/>
            <w:lang w:val="fr-FR"/>
          </w:rPr>
          <w:t>1325 (2000)</w:t>
        </w:r>
        <w:bookmarkEnd w:id="4"/>
      </w:hyperlink>
      <w:r w:rsidR="00884C41" w:rsidRPr="00D25381">
        <w:rPr>
          <w:b/>
          <w:bCs/>
          <w:lang w:val="fr-FR"/>
        </w:rPr>
        <w:t xml:space="preserve"> du Conseil de sécurité et des résolutions ultérieures sur les femmes et la paix et la sécurité dans les pays touchés par un conflit, notamment en veillant à ce que son plan d</w:t>
      </w:r>
      <w:r w:rsidR="00070383">
        <w:rPr>
          <w:b/>
          <w:bCs/>
          <w:lang w:val="fr-FR"/>
        </w:rPr>
        <w:t>’</w:t>
      </w:r>
      <w:r w:rsidR="00884C41" w:rsidRPr="00D25381">
        <w:rPr>
          <w:b/>
          <w:bCs/>
          <w:lang w:val="fr-FR"/>
        </w:rPr>
        <w:t>action national contribue à renforcer de façon significative la participation des femmes aux processus de paix</w:t>
      </w:r>
      <w:r w:rsidR="00C0187D">
        <w:rPr>
          <w:b/>
          <w:bCs/>
          <w:lang w:val="fr-FR"/>
        </w:rPr>
        <w:t> ;</w:t>
      </w:r>
    </w:p>
    <w:p w14:paraId="44B08AA1" w14:textId="11E0B3E9" w:rsidR="00884C41" w:rsidRDefault="00D25381" w:rsidP="00D25381">
      <w:pPr>
        <w:pStyle w:val="SingleTxt"/>
        <w:rPr>
          <w:b/>
          <w:bCs/>
          <w:lang w:val="fr-FR"/>
        </w:rPr>
      </w:pPr>
      <w:r w:rsidRPr="00D25381">
        <w:rPr>
          <w:b/>
          <w:bCs/>
          <w:lang w:val="fr-FR"/>
        </w:rPr>
        <w:tab/>
      </w:r>
      <w:r w:rsidR="00884C41" w:rsidRPr="00D25381">
        <w:rPr>
          <w:b/>
          <w:bCs/>
          <w:lang w:val="fr-FR"/>
        </w:rPr>
        <w:t>b)</w:t>
      </w:r>
      <w:r w:rsidR="00884C41" w:rsidRPr="00D25381">
        <w:rPr>
          <w:b/>
          <w:bCs/>
          <w:lang w:val="fr-FR"/>
        </w:rPr>
        <w:tab/>
        <w:t>de consacrer des ressources suffisantes à la mise en œuvre de son plan d</w:t>
      </w:r>
      <w:r w:rsidR="00070383">
        <w:rPr>
          <w:b/>
          <w:bCs/>
          <w:lang w:val="fr-FR"/>
        </w:rPr>
        <w:t>’</w:t>
      </w:r>
      <w:r w:rsidR="00884C41" w:rsidRPr="00D25381">
        <w:rPr>
          <w:b/>
          <w:bCs/>
          <w:lang w:val="fr-FR"/>
        </w:rPr>
        <w:t>action national et d</w:t>
      </w:r>
      <w:r w:rsidR="00070383">
        <w:rPr>
          <w:b/>
          <w:bCs/>
          <w:lang w:val="fr-FR"/>
        </w:rPr>
        <w:t>’</w:t>
      </w:r>
      <w:r w:rsidR="00884C41" w:rsidRPr="00D25381">
        <w:rPr>
          <w:b/>
          <w:bCs/>
          <w:lang w:val="fr-FR"/>
        </w:rPr>
        <w:t>intensifier les consultations avec les organisations de défense des droits fondamentaux des femmes, afin d</w:t>
      </w:r>
      <w:r w:rsidR="00070383">
        <w:rPr>
          <w:b/>
          <w:bCs/>
          <w:lang w:val="fr-FR"/>
        </w:rPr>
        <w:t>’</w:t>
      </w:r>
      <w:r w:rsidR="00884C41" w:rsidRPr="00D25381">
        <w:rPr>
          <w:b/>
          <w:bCs/>
          <w:lang w:val="fr-FR"/>
        </w:rPr>
        <w:t>associer réellement les femmes à toutes les étapes des travaux relatifs aux femmes et à la paix et à la sécurité.</w:t>
      </w:r>
    </w:p>
    <w:p w14:paraId="6A2665F0" w14:textId="5E21A88A" w:rsidR="00D25381" w:rsidRPr="00D25381" w:rsidRDefault="00D25381" w:rsidP="00D25381">
      <w:pPr>
        <w:pStyle w:val="SingleTxt"/>
        <w:spacing w:after="0" w:line="120" w:lineRule="exact"/>
        <w:rPr>
          <w:sz w:val="10"/>
          <w:lang w:val="fr-FR"/>
        </w:rPr>
      </w:pPr>
    </w:p>
    <w:p w14:paraId="43C32CBD" w14:textId="3050B314" w:rsidR="00884C41" w:rsidRDefault="00884C41" w:rsidP="00D253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84C41">
        <w:rPr>
          <w:lang w:val="fr-FR"/>
        </w:rPr>
        <w:tab/>
      </w:r>
      <w:r w:rsidRPr="00884C41">
        <w:rPr>
          <w:lang w:val="fr-FR"/>
        </w:rPr>
        <w:tab/>
        <w:t>Mécanisme national de promotion des femmes</w:t>
      </w:r>
    </w:p>
    <w:p w14:paraId="22F2CF79" w14:textId="580E1A31" w:rsidR="00D25381" w:rsidRPr="00D25381" w:rsidRDefault="00D25381" w:rsidP="00D25381">
      <w:pPr>
        <w:pStyle w:val="SingleTxt"/>
        <w:spacing w:after="0" w:line="120" w:lineRule="exact"/>
        <w:rPr>
          <w:sz w:val="10"/>
          <w:lang w:val="fr-FR"/>
        </w:rPr>
      </w:pPr>
    </w:p>
    <w:p w14:paraId="319817DE" w14:textId="7AD5608F" w:rsidR="00884C41" w:rsidRPr="00884C41" w:rsidRDefault="00884C41" w:rsidP="00D25381">
      <w:pPr>
        <w:pStyle w:val="SingleTxt"/>
        <w:numPr>
          <w:ilvl w:val="0"/>
          <w:numId w:val="17"/>
        </w:numPr>
        <w:spacing w:line="240" w:lineRule="exact"/>
        <w:ind w:left="1267"/>
        <w:rPr>
          <w:lang w:val="fr-FR"/>
        </w:rPr>
      </w:pPr>
      <w:r w:rsidRPr="00884C41">
        <w:rPr>
          <w:lang w:val="fr-FR"/>
        </w:rPr>
        <w:t>Le Comité est préoccupé par l</w:t>
      </w:r>
      <w:r w:rsidR="00070383">
        <w:rPr>
          <w:lang w:val="fr-FR"/>
        </w:rPr>
        <w:t>’</w:t>
      </w:r>
      <w:r w:rsidRPr="00884C41">
        <w:rPr>
          <w:lang w:val="fr-FR"/>
        </w:rPr>
        <w:t>absence de stratégie ou de plan d</w:t>
      </w:r>
      <w:r w:rsidR="00070383">
        <w:rPr>
          <w:lang w:val="fr-FR"/>
        </w:rPr>
        <w:t>’</w:t>
      </w:r>
      <w:r w:rsidRPr="00884C41">
        <w:rPr>
          <w:lang w:val="fr-FR"/>
        </w:rPr>
        <w:t>action national pour la promotion des femmes, étant donné que le dernier plan n</w:t>
      </w:r>
      <w:r w:rsidR="00070383">
        <w:rPr>
          <w:lang w:val="fr-FR"/>
        </w:rPr>
        <w:t>’</w:t>
      </w:r>
      <w:r w:rsidRPr="00884C41">
        <w:rPr>
          <w:lang w:val="fr-FR"/>
        </w:rPr>
        <w:t xml:space="preserve">a pas été renouvelé depuis </w:t>
      </w:r>
      <w:r w:rsidRPr="00E26C4F">
        <w:rPr>
          <w:lang w:val="fr-FR"/>
        </w:rPr>
        <w:t>2009</w:t>
      </w:r>
      <w:r w:rsidRPr="00884C41">
        <w:rPr>
          <w:lang w:val="fr-FR"/>
        </w:rPr>
        <w:t>, et par le manque total de prise en compte de la problématique femmes</w:t>
      </w:r>
      <w:r w:rsidR="008D4BA2">
        <w:rPr>
          <w:lang w:val="fr-FR"/>
        </w:rPr>
        <w:noBreakHyphen/>
      </w:r>
      <w:r w:rsidRPr="00884C41">
        <w:rPr>
          <w:lang w:val="fr-FR"/>
        </w:rPr>
        <w:t>hommes dans le budget de l</w:t>
      </w:r>
      <w:r w:rsidR="00070383">
        <w:rPr>
          <w:lang w:val="fr-FR"/>
        </w:rPr>
        <w:t>’</w:t>
      </w:r>
      <w:r w:rsidRPr="00884C41">
        <w:rPr>
          <w:lang w:val="fr-FR"/>
        </w:rPr>
        <w:t>État partie.</w:t>
      </w:r>
    </w:p>
    <w:p w14:paraId="32D864E2" w14:textId="66E63978" w:rsidR="00884C41" w:rsidRPr="00D25381" w:rsidRDefault="00884C41" w:rsidP="00D25381">
      <w:pPr>
        <w:pStyle w:val="SingleTxt"/>
        <w:numPr>
          <w:ilvl w:val="0"/>
          <w:numId w:val="17"/>
        </w:numPr>
        <w:spacing w:line="240" w:lineRule="exact"/>
        <w:ind w:left="1267"/>
        <w:rPr>
          <w:b/>
          <w:bCs/>
          <w:lang w:val="fr-FR"/>
        </w:rPr>
      </w:pPr>
      <w:r w:rsidRPr="00D25381">
        <w:rPr>
          <w:b/>
          <w:bCs/>
          <w:lang w:val="fr-FR"/>
        </w:rPr>
        <w:t>Le Comité recommande à l</w:t>
      </w:r>
      <w:r w:rsidR="00070383">
        <w:rPr>
          <w:b/>
          <w:bCs/>
          <w:lang w:val="fr-FR"/>
        </w:rPr>
        <w:t>’</w:t>
      </w:r>
      <w:r w:rsidRPr="00D25381">
        <w:rPr>
          <w:b/>
          <w:bCs/>
          <w:lang w:val="fr-FR"/>
        </w:rPr>
        <w:t>État partie</w:t>
      </w:r>
      <w:r w:rsidR="00D25381">
        <w:rPr>
          <w:b/>
          <w:bCs/>
          <w:lang w:val="fr-FR"/>
        </w:rPr>
        <w:t> </w:t>
      </w:r>
      <w:r w:rsidRPr="00D25381">
        <w:rPr>
          <w:b/>
          <w:bCs/>
          <w:lang w:val="fr-FR"/>
        </w:rPr>
        <w:t>:</w:t>
      </w:r>
    </w:p>
    <w:p w14:paraId="32A305A6" w14:textId="3FD9A84D" w:rsidR="00884C41" w:rsidRPr="00D25381" w:rsidRDefault="00884C41" w:rsidP="00D25381">
      <w:pPr>
        <w:pStyle w:val="SingleTxt"/>
        <w:rPr>
          <w:b/>
          <w:bCs/>
          <w:lang w:val="fr-FR"/>
        </w:rPr>
      </w:pPr>
      <w:r w:rsidRPr="00D25381">
        <w:rPr>
          <w:b/>
          <w:bCs/>
          <w:lang w:val="fr-FR"/>
        </w:rPr>
        <w:tab/>
        <w:t>a)</w:t>
      </w:r>
      <w:r w:rsidRPr="00D25381">
        <w:rPr>
          <w:b/>
          <w:bCs/>
          <w:lang w:val="fr-FR"/>
        </w:rPr>
        <w:tab/>
        <w:t>d</w:t>
      </w:r>
      <w:r w:rsidR="00070383">
        <w:rPr>
          <w:b/>
          <w:bCs/>
          <w:lang w:val="fr-FR"/>
        </w:rPr>
        <w:t>’</w:t>
      </w:r>
      <w:r w:rsidRPr="00D25381">
        <w:rPr>
          <w:b/>
          <w:bCs/>
          <w:lang w:val="fr-FR"/>
        </w:rPr>
        <w:t>adopter et de financer comme il se doit la mise en œuvre d</w:t>
      </w:r>
      <w:r w:rsidR="00070383">
        <w:rPr>
          <w:b/>
          <w:bCs/>
          <w:lang w:val="fr-FR"/>
        </w:rPr>
        <w:t>’</w:t>
      </w:r>
      <w:r w:rsidRPr="00D25381">
        <w:rPr>
          <w:b/>
          <w:bCs/>
          <w:lang w:val="fr-FR"/>
        </w:rPr>
        <w:t>un plan d</w:t>
      </w:r>
      <w:r w:rsidR="00070383">
        <w:rPr>
          <w:b/>
          <w:bCs/>
          <w:lang w:val="fr-FR"/>
        </w:rPr>
        <w:t>’</w:t>
      </w:r>
      <w:r w:rsidRPr="00D25381">
        <w:rPr>
          <w:b/>
          <w:bCs/>
          <w:lang w:val="fr-FR"/>
        </w:rPr>
        <w:t>action national pour la promotion des femmes, et de renforcer le rôle et l</w:t>
      </w:r>
      <w:r w:rsidR="00070383">
        <w:rPr>
          <w:b/>
          <w:bCs/>
          <w:lang w:val="fr-FR"/>
        </w:rPr>
        <w:t>’</w:t>
      </w:r>
      <w:r w:rsidRPr="00D25381">
        <w:rPr>
          <w:b/>
          <w:bCs/>
          <w:lang w:val="fr-FR"/>
        </w:rPr>
        <w:t>efficacité du Ministère des femmes en lui allouant des ressources humaines, techniques et financières suffisantes pour lui permettre de s</w:t>
      </w:r>
      <w:r w:rsidR="00070383">
        <w:rPr>
          <w:b/>
          <w:bCs/>
          <w:lang w:val="fr-FR"/>
        </w:rPr>
        <w:t>’</w:t>
      </w:r>
      <w:r w:rsidRPr="00D25381">
        <w:rPr>
          <w:b/>
          <w:bCs/>
          <w:lang w:val="fr-FR"/>
        </w:rPr>
        <w:t>acquitter de son mandat, qui consiste à promouvoir et protéger les droits des femmes</w:t>
      </w:r>
      <w:r w:rsidR="00C0187D">
        <w:rPr>
          <w:b/>
          <w:bCs/>
          <w:lang w:val="fr-FR"/>
        </w:rPr>
        <w:t> ;</w:t>
      </w:r>
    </w:p>
    <w:p w14:paraId="331C7916" w14:textId="3DA0F0FC" w:rsidR="00884C41" w:rsidRPr="00D25381" w:rsidRDefault="00D25381" w:rsidP="00D25381">
      <w:pPr>
        <w:pStyle w:val="SingleTxt"/>
        <w:rPr>
          <w:b/>
          <w:bCs/>
          <w:lang w:val="fr-FR"/>
        </w:rPr>
      </w:pPr>
      <w:r w:rsidRPr="00D25381">
        <w:rPr>
          <w:b/>
          <w:bCs/>
          <w:lang w:val="fr-FR"/>
        </w:rPr>
        <w:tab/>
      </w:r>
      <w:r w:rsidR="00884C41" w:rsidRPr="00D25381">
        <w:rPr>
          <w:b/>
          <w:bCs/>
          <w:lang w:val="fr-FR"/>
        </w:rPr>
        <w:t>b)</w:t>
      </w:r>
      <w:r w:rsidR="00884C41" w:rsidRPr="00D25381">
        <w:rPr>
          <w:b/>
          <w:bCs/>
          <w:lang w:val="fr-FR"/>
        </w:rPr>
        <w:tab/>
        <w:t>d</w:t>
      </w:r>
      <w:r w:rsidR="00070383">
        <w:rPr>
          <w:b/>
          <w:bCs/>
          <w:lang w:val="fr-FR"/>
        </w:rPr>
        <w:t>’</w:t>
      </w:r>
      <w:r w:rsidR="00884C41" w:rsidRPr="00D25381">
        <w:rPr>
          <w:b/>
          <w:bCs/>
          <w:lang w:val="fr-FR"/>
        </w:rPr>
        <w:t>intégrer, dans le processus de budgétisation, la problématique femmes-hommes afin de veiller à ce que cet aspect soit pris en compte par tous les organismes publics dans l</w:t>
      </w:r>
      <w:r w:rsidR="00070383">
        <w:rPr>
          <w:b/>
          <w:bCs/>
          <w:lang w:val="fr-FR"/>
        </w:rPr>
        <w:t>’</w:t>
      </w:r>
      <w:r w:rsidR="00884C41" w:rsidRPr="00D25381">
        <w:rPr>
          <w:b/>
          <w:bCs/>
          <w:lang w:val="fr-FR"/>
        </w:rPr>
        <w:t xml:space="preserve">élaboration des textes de loi et des politiques. </w:t>
      </w:r>
    </w:p>
    <w:p w14:paraId="665E1B47" w14:textId="6249BFAC" w:rsidR="00884C41" w:rsidRDefault="00884C41" w:rsidP="00D253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84C41">
        <w:rPr>
          <w:lang w:val="fr-FR"/>
        </w:rPr>
        <w:tab/>
      </w:r>
      <w:r w:rsidRPr="00884C41">
        <w:rPr>
          <w:lang w:val="fr-FR"/>
        </w:rPr>
        <w:tab/>
        <w:t>Institution nationale de défense des droits de l</w:t>
      </w:r>
      <w:r w:rsidR="00070383">
        <w:rPr>
          <w:lang w:val="fr-FR"/>
        </w:rPr>
        <w:t>’</w:t>
      </w:r>
      <w:r w:rsidRPr="00884C41">
        <w:rPr>
          <w:lang w:val="fr-FR"/>
        </w:rPr>
        <w:t xml:space="preserve">homme </w:t>
      </w:r>
    </w:p>
    <w:p w14:paraId="42E7DAE7" w14:textId="53C59E97" w:rsidR="00D25381" w:rsidRPr="00D25381" w:rsidRDefault="00D25381" w:rsidP="00D25381">
      <w:pPr>
        <w:pStyle w:val="SingleTxt"/>
        <w:spacing w:after="0" w:line="120" w:lineRule="exact"/>
        <w:rPr>
          <w:sz w:val="10"/>
          <w:lang w:val="fr-FR"/>
        </w:rPr>
      </w:pPr>
    </w:p>
    <w:p w14:paraId="43496E46" w14:textId="35791938" w:rsidR="00884C41" w:rsidRPr="00884C41" w:rsidRDefault="00884C41" w:rsidP="00D25381">
      <w:pPr>
        <w:pStyle w:val="SingleTxt"/>
        <w:numPr>
          <w:ilvl w:val="0"/>
          <w:numId w:val="17"/>
        </w:numPr>
        <w:spacing w:line="240" w:lineRule="exact"/>
        <w:ind w:left="1267"/>
        <w:rPr>
          <w:lang w:val="fr-FR"/>
        </w:rPr>
      </w:pPr>
      <w:r w:rsidRPr="00884C41">
        <w:rPr>
          <w:lang w:val="fr-FR"/>
        </w:rPr>
        <w:t>Le Comité prend note du travail important effectué par l</w:t>
      </w:r>
      <w:r w:rsidR="00D42C48">
        <w:rPr>
          <w:lang w:val="fr-FR"/>
        </w:rPr>
        <w:t>a</w:t>
      </w:r>
      <w:r w:rsidRPr="00884C41">
        <w:rPr>
          <w:lang w:val="fr-FR"/>
        </w:rPr>
        <w:t xml:space="preserve"> Commission néo</w:t>
      </w:r>
      <w:r w:rsidR="008D4BA2">
        <w:rPr>
          <w:lang w:val="fr-FR"/>
        </w:rPr>
        <w:noBreakHyphen/>
      </w:r>
      <w:r w:rsidRPr="00884C41">
        <w:rPr>
          <w:lang w:val="fr-FR"/>
        </w:rPr>
        <w:t>zélandaise des droits de l</w:t>
      </w:r>
      <w:r w:rsidR="00070383">
        <w:rPr>
          <w:lang w:val="fr-FR"/>
        </w:rPr>
        <w:t>’</w:t>
      </w:r>
      <w:r w:rsidRPr="00884C41">
        <w:rPr>
          <w:lang w:val="fr-FR"/>
        </w:rPr>
        <w:t>homme. Il constate toutefois avec préoccupation qu</w:t>
      </w:r>
      <w:r w:rsidR="00070383">
        <w:rPr>
          <w:lang w:val="fr-FR"/>
        </w:rPr>
        <w:t>’</w:t>
      </w:r>
      <w:r w:rsidRPr="00884C41">
        <w:rPr>
          <w:lang w:val="fr-FR"/>
        </w:rPr>
        <w:t>au cours des dernières années, la Commission a vu ses ressources financières, techniques et humaines baisser sans discontinuer et que son mandat est actuellement limité par l</w:t>
      </w:r>
      <w:r w:rsidR="00070383">
        <w:rPr>
          <w:lang w:val="fr-FR"/>
        </w:rPr>
        <w:t>’</w:t>
      </w:r>
      <w:r w:rsidRPr="00884C41">
        <w:rPr>
          <w:lang w:val="fr-FR"/>
        </w:rPr>
        <w:t xml:space="preserve">article </w:t>
      </w:r>
      <w:r w:rsidRPr="00E26C4F">
        <w:rPr>
          <w:lang w:val="fr-FR"/>
        </w:rPr>
        <w:t>392</w:t>
      </w:r>
      <w:r w:rsidRPr="00884C41">
        <w:rPr>
          <w:lang w:val="fr-FR"/>
        </w:rPr>
        <w:t xml:space="preserve"> de la loi de </w:t>
      </w:r>
      <w:r w:rsidRPr="00E26C4F">
        <w:rPr>
          <w:lang w:val="fr-FR"/>
        </w:rPr>
        <w:t>2009</w:t>
      </w:r>
      <w:r w:rsidRPr="00884C41">
        <w:rPr>
          <w:lang w:val="fr-FR"/>
        </w:rPr>
        <w:t xml:space="preserve"> sur l</w:t>
      </w:r>
      <w:r w:rsidR="00070383">
        <w:rPr>
          <w:lang w:val="fr-FR"/>
        </w:rPr>
        <w:t>’</w:t>
      </w:r>
      <w:r w:rsidRPr="00884C41">
        <w:rPr>
          <w:lang w:val="fr-FR"/>
        </w:rPr>
        <w:t>immigration, qui l</w:t>
      </w:r>
      <w:r w:rsidR="00070383">
        <w:rPr>
          <w:lang w:val="fr-FR"/>
        </w:rPr>
        <w:t>’</w:t>
      </w:r>
      <w:r w:rsidRPr="00884C41">
        <w:rPr>
          <w:lang w:val="fr-FR"/>
        </w:rPr>
        <w:t>empêche de recevoir des plaintes de migrants.</w:t>
      </w:r>
    </w:p>
    <w:p w14:paraId="73185A74" w14:textId="39C1708B" w:rsidR="00884C41" w:rsidRDefault="00884C41" w:rsidP="00D25381">
      <w:pPr>
        <w:pStyle w:val="SingleTxt"/>
        <w:numPr>
          <w:ilvl w:val="0"/>
          <w:numId w:val="17"/>
        </w:numPr>
        <w:spacing w:line="240" w:lineRule="exact"/>
        <w:ind w:left="1267"/>
        <w:rPr>
          <w:b/>
          <w:bCs/>
          <w:lang w:val="fr-FR"/>
        </w:rPr>
      </w:pPr>
      <w:r w:rsidRPr="00D25381">
        <w:rPr>
          <w:b/>
          <w:bCs/>
          <w:lang w:val="fr-FR"/>
        </w:rPr>
        <w:t>Le Comité renouvelle sa recommandation (</w:t>
      </w:r>
      <w:hyperlink r:id="rId24" w:history="1">
        <w:r w:rsidRPr="00E26C4F">
          <w:rPr>
            <w:rStyle w:val="Hyperlink"/>
            <w:b/>
            <w:bCs/>
            <w:color w:val="0000FF"/>
            <w:lang w:val="fr-FR"/>
          </w:rPr>
          <w:t>CEDAW/C/NZL/CO/7</w:t>
        </w:r>
      </w:hyperlink>
      <w:r w:rsidR="008D4BA2">
        <w:rPr>
          <w:b/>
          <w:bCs/>
          <w:lang w:val="fr-FR"/>
        </w:rPr>
        <w:t>, par</w:t>
      </w:r>
      <w:r w:rsidRPr="00D25381">
        <w:rPr>
          <w:b/>
          <w:bCs/>
          <w:lang w:val="fr-FR"/>
        </w:rPr>
        <w:t>.</w:t>
      </w:r>
      <w:r w:rsidR="00891294">
        <w:rPr>
          <w:b/>
          <w:bCs/>
          <w:lang w:val="fr-FR"/>
        </w:rPr>
        <w:t> </w:t>
      </w:r>
      <w:r w:rsidRPr="00E26C4F">
        <w:rPr>
          <w:b/>
          <w:bCs/>
          <w:lang w:val="fr-FR"/>
        </w:rPr>
        <w:t>16</w:t>
      </w:r>
      <w:r w:rsidR="008D4BA2">
        <w:rPr>
          <w:b/>
          <w:bCs/>
          <w:lang w:val="fr-FR"/>
        </w:rPr>
        <w:t> </w:t>
      </w:r>
      <w:r w:rsidRPr="00D25381">
        <w:rPr>
          <w:b/>
          <w:bCs/>
          <w:lang w:val="fr-FR"/>
        </w:rPr>
        <w:t>c)) appelant l</w:t>
      </w:r>
      <w:r w:rsidR="00070383">
        <w:rPr>
          <w:b/>
          <w:bCs/>
          <w:lang w:val="fr-FR"/>
        </w:rPr>
        <w:t>’</w:t>
      </w:r>
      <w:r w:rsidRPr="00D25381">
        <w:rPr>
          <w:b/>
          <w:bCs/>
          <w:lang w:val="fr-FR"/>
        </w:rPr>
        <w:t>État partie à doter la Commission néo-zélandaise des droits de l</w:t>
      </w:r>
      <w:r w:rsidR="00070383">
        <w:rPr>
          <w:b/>
          <w:bCs/>
          <w:lang w:val="fr-FR"/>
        </w:rPr>
        <w:t>’</w:t>
      </w:r>
      <w:r w:rsidRPr="00D25381">
        <w:rPr>
          <w:b/>
          <w:bCs/>
          <w:lang w:val="fr-FR"/>
        </w:rPr>
        <w:t>homme des ressources humaines, techniques et financières voulues pour qu</w:t>
      </w:r>
      <w:r w:rsidR="00070383">
        <w:rPr>
          <w:b/>
          <w:bCs/>
          <w:lang w:val="fr-FR"/>
        </w:rPr>
        <w:t>’</w:t>
      </w:r>
      <w:r w:rsidRPr="00D25381">
        <w:rPr>
          <w:b/>
          <w:bCs/>
          <w:lang w:val="fr-FR"/>
        </w:rPr>
        <w:t>elle puisse s</w:t>
      </w:r>
      <w:r w:rsidR="00070383">
        <w:rPr>
          <w:b/>
          <w:bCs/>
          <w:lang w:val="fr-FR"/>
        </w:rPr>
        <w:t>’</w:t>
      </w:r>
      <w:r w:rsidRPr="00D25381">
        <w:rPr>
          <w:b/>
          <w:bCs/>
          <w:lang w:val="fr-FR"/>
        </w:rPr>
        <w:t>acquitter de son mandat, qui consiste à promouvoir et protéger les droits des femmes. Il recommande en outre à l</w:t>
      </w:r>
      <w:r w:rsidR="00070383">
        <w:rPr>
          <w:b/>
          <w:bCs/>
          <w:lang w:val="fr-FR"/>
        </w:rPr>
        <w:t>’</w:t>
      </w:r>
      <w:r w:rsidRPr="00D25381">
        <w:rPr>
          <w:b/>
          <w:bCs/>
          <w:lang w:val="fr-FR"/>
        </w:rPr>
        <w:t>État partie d</w:t>
      </w:r>
      <w:r w:rsidR="00070383">
        <w:rPr>
          <w:b/>
          <w:bCs/>
          <w:lang w:val="fr-FR"/>
        </w:rPr>
        <w:t>’</w:t>
      </w:r>
      <w:r w:rsidRPr="00D25381">
        <w:rPr>
          <w:b/>
          <w:bCs/>
          <w:lang w:val="fr-FR"/>
        </w:rPr>
        <w:t>abroger l</w:t>
      </w:r>
      <w:r w:rsidR="00070383">
        <w:rPr>
          <w:b/>
          <w:bCs/>
          <w:lang w:val="fr-FR"/>
        </w:rPr>
        <w:t>’</w:t>
      </w:r>
      <w:r w:rsidRPr="00D25381">
        <w:rPr>
          <w:b/>
          <w:bCs/>
          <w:lang w:val="fr-FR"/>
        </w:rPr>
        <w:t xml:space="preserve">article </w:t>
      </w:r>
      <w:r w:rsidRPr="00E26C4F">
        <w:rPr>
          <w:b/>
          <w:bCs/>
          <w:lang w:val="fr-FR"/>
        </w:rPr>
        <w:t>392</w:t>
      </w:r>
      <w:r w:rsidRPr="00D25381">
        <w:rPr>
          <w:b/>
          <w:bCs/>
          <w:lang w:val="fr-FR"/>
        </w:rPr>
        <w:t xml:space="preserve"> de la loi de </w:t>
      </w:r>
      <w:r w:rsidRPr="00E26C4F">
        <w:rPr>
          <w:b/>
          <w:bCs/>
          <w:lang w:val="fr-FR"/>
        </w:rPr>
        <w:t>2009</w:t>
      </w:r>
      <w:r w:rsidRPr="00D25381">
        <w:rPr>
          <w:b/>
          <w:bCs/>
          <w:lang w:val="fr-FR"/>
        </w:rPr>
        <w:t xml:space="preserve"> sur l</w:t>
      </w:r>
      <w:r w:rsidR="00070383">
        <w:rPr>
          <w:b/>
          <w:bCs/>
          <w:lang w:val="fr-FR"/>
        </w:rPr>
        <w:t>’</w:t>
      </w:r>
      <w:r w:rsidRPr="00D25381">
        <w:rPr>
          <w:b/>
          <w:bCs/>
          <w:lang w:val="fr-FR"/>
        </w:rPr>
        <w:t xml:space="preserve">immigration et de faire en sorte que la Commission soit habilitée à recevoir et traiter les plaintes émanant des migrants, conformément aux recommandations formulées en </w:t>
      </w:r>
      <w:r w:rsidRPr="00E26C4F">
        <w:rPr>
          <w:b/>
          <w:bCs/>
          <w:lang w:val="fr-FR"/>
        </w:rPr>
        <w:t>2016</w:t>
      </w:r>
      <w:r w:rsidRPr="00D25381">
        <w:rPr>
          <w:b/>
          <w:bCs/>
          <w:lang w:val="fr-FR"/>
        </w:rPr>
        <w:t xml:space="preserve"> par l</w:t>
      </w:r>
      <w:r w:rsidR="00070383">
        <w:rPr>
          <w:b/>
          <w:bCs/>
          <w:lang w:val="fr-FR"/>
        </w:rPr>
        <w:t>’</w:t>
      </w:r>
      <w:r w:rsidRPr="00D25381">
        <w:rPr>
          <w:b/>
          <w:bCs/>
          <w:lang w:val="fr-FR"/>
        </w:rPr>
        <w:t>Alliance globale des institutions nationales des droits de l</w:t>
      </w:r>
      <w:r w:rsidR="00070383">
        <w:rPr>
          <w:b/>
          <w:bCs/>
          <w:lang w:val="fr-FR"/>
        </w:rPr>
        <w:t>’</w:t>
      </w:r>
      <w:r w:rsidRPr="00D25381">
        <w:rPr>
          <w:b/>
          <w:bCs/>
          <w:lang w:val="fr-FR"/>
        </w:rPr>
        <w:t>homme.</w:t>
      </w:r>
    </w:p>
    <w:p w14:paraId="145BA4B3" w14:textId="1ACA24FF" w:rsidR="00D25381" w:rsidRPr="00D25381" w:rsidRDefault="00D25381" w:rsidP="00D25381">
      <w:pPr>
        <w:pStyle w:val="SingleTxt"/>
        <w:spacing w:after="0" w:line="120" w:lineRule="exact"/>
        <w:rPr>
          <w:b/>
          <w:bCs/>
          <w:sz w:val="10"/>
          <w:lang w:val="fr-FR"/>
        </w:rPr>
      </w:pPr>
    </w:p>
    <w:p w14:paraId="08530AFB" w14:textId="2DD581DA" w:rsidR="00884C41" w:rsidRDefault="00884C41" w:rsidP="00D253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84C41">
        <w:rPr>
          <w:lang w:val="fr-FR"/>
        </w:rPr>
        <w:tab/>
      </w:r>
      <w:r w:rsidRPr="00884C41">
        <w:rPr>
          <w:lang w:val="fr-FR"/>
        </w:rPr>
        <w:tab/>
        <w:t>Mesures temporaires spéciales</w:t>
      </w:r>
    </w:p>
    <w:p w14:paraId="72E36481" w14:textId="1893A0AD" w:rsidR="00D25381" w:rsidRPr="00D25381" w:rsidRDefault="00D25381" w:rsidP="00D25381">
      <w:pPr>
        <w:pStyle w:val="SingleTxt"/>
        <w:spacing w:after="0" w:line="120" w:lineRule="exact"/>
        <w:rPr>
          <w:sz w:val="10"/>
          <w:lang w:val="fr-FR"/>
        </w:rPr>
      </w:pPr>
    </w:p>
    <w:p w14:paraId="74D8F5F4" w14:textId="1E72676B" w:rsidR="00884C41" w:rsidRPr="00884C41" w:rsidRDefault="00884C41" w:rsidP="00D25381">
      <w:pPr>
        <w:pStyle w:val="SingleTxt"/>
        <w:numPr>
          <w:ilvl w:val="0"/>
          <w:numId w:val="17"/>
        </w:numPr>
        <w:spacing w:line="240" w:lineRule="exact"/>
        <w:ind w:left="1267"/>
        <w:rPr>
          <w:lang w:val="fr-FR"/>
        </w:rPr>
      </w:pPr>
      <w:r w:rsidRPr="00884C41">
        <w:rPr>
          <w:lang w:val="fr-FR"/>
        </w:rPr>
        <w:t>Le Comité se réjouit des progrès accomplis par l</w:t>
      </w:r>
      <w:r w:rsidR="00070383">
        <w:rPr>
          <w:lang w:val="fr-FR"/>
        </w:rPr>
        <w:t>’</w:t>
      </w:r>
      <w:r w:rsidRPr="00884C41">
        <w:rPr>
          <w:lang w:val="fr-FR"/>
        </w:rPr>
        <w:t>État partie dans la réalisation de l</w:t>
      </w:r>
      <w:r w:rsidR="00070383">
        <w:rPr>
          <w:lang w:val="fr-FR"/>
        </w:rPr>
        <w:t>’</w:t>
      </w:r>
      <w:r w:rsidRPr="00884C41">
        <w:rPr>
          <w:lang w:val="fr-FR"/>
        </w:rPr>
        <w:t>objectif qu</w:t>
      </w:r>
      <w:r w:rsidR="00070383">
        <w:rPr>
          <w:lang w:val="fr-FR"/>
        </w:rPr>
        <w:t>’</w:t>
      </w:r>
      <w:r w:rsidRPr="00884C41">
        <w:rPr>
          <w:lang w:val="fr-FR"/>
        </w:rPr>
        <w:t>il s</w:t>
      </w:r>
      <w:r w:rsidR="00070383">
        <w:rPr>
          <w:lang w:val="fr-FR"/>
        </w:rPr>
        <w:t>’</w:t>
      </w:r>
      <w:r w:rsidRPr="00884C41">
        <w:rPr>
          <w:lang w:val="fr-FR"/>
        </w:rPr>
        <w:t xml:space="preserve">est fixé, à savoir parvenir à la parité des sexes dans les commissions et conseils du secteur public, et se félicite de </w:t>
      </w:r>
      <w:r w:rsidR="00BB581E">
        <w:rPr>
          <w:lang w:val="fr-FR"/>
        </w:rPr>
        <w:t xml:space="preserve">ce </w:t>
      </w:r>
      <w:r w:rsidRPr="00884C41">
        <w:rPr>
          <w:lang w:val="fr-FR"/>
        </w:rPr>
        <w:t>que la délégation de l</w:t>
      </w:r>
      <w:r w:rsidR="00070383">
        <w:rPr>
          <w:lang w:val="fr-FR"/>
        </w:rPr>
        <w:t>’</w:t>
      </w:r>
      <w:r w:rsidRPr="00884C41">
        <w:rPr>
          <w:lang w:val="fr-FR"/>
        </w:rPr>
        <w:t xml:space="preserve">État partie soit prête à considérer la discrimination positive comme moyen de tendre plus rapidement à une réelle égalité entre les femmes et les hommes, en particulier dans le secteur privé. </w:t>
      </w:r>
    </w:p>
    <w:p w14:paraId="42608960" w14:textId="4D07647B" w:rsidR="00884C41" w:rsidRDefault="00884C41" w:rsidP="00D25381">
      <w:pPr>
        <w:pStyle w:val="SingleTxt"/>
        <w:numPr>
          <w:ilvl w:val="0"/>
          <w:numId w:val="17"/>
        </w:numPr>
        <w:spacing w:line="240" w:lineRule="exact"/>
        <w:ind w:left="1267"/>
        <w:rPr>
          <w:b/>
          <w:bCs/>
          <w:lang w:val="fr-FR"/>
        </w:rPr>
      </w:pPr>
      <w:r w:rsidRPr="00D25381">
        <w:rPr>
          <w:b/>
          <w:bCs/>
        </w:rPr>
        <w:t>Rappelant sa recommandation antérieure (</w:t>
      </w:r>
      <w:hyperlink r:id="rId25" w:history="1">
        <w:r w:rsidRPr="00E26C4F">
          <w:rPr>
            <w:rStyle w:val="Hyperlink"/>
            <w:b/>
            <w:bCs/>
            <w:color w:val="0000FF"/>
          </w:rPr>
          <w:t>CEDAW/C/NZL/CO/7</w:t>
        </w:r>
      </w:hyperlink>
      <w:r w:rsidRPr="00D25381">
        <w:rPr>
          <w:b/>
          <w:bCs/>
        </w:rPr>
        <w:t>, par.</w:t>
      </w:r>
      <w:r w:rsidR="00891294">
        <w:rPr>
          <w:b/>
          <w:bCs/>
        </w:rPr>
        <w:t> </w:t>
      </w:r>
      <w:r w:rsidRPr="00E26C4F">
        <w:rPr>
          <w:b/>
          <w:bCs/>
        </w:rPr>
        <w:t>20</w:t>
      </w:r>
      <w:r w:rsidRPr="00D25381">
        <w:rPr>
          <w:b/>
          <w:bCs/>
        </w:rPr>
        <w:t>), le Comité recommande à l</w:t>
      </w:r>
      <w:r w:rsidR="00070383">
        <w:rPr>
          <w:b/>
          <w:bCs/>
        </w:rPr>
        <w:t>’</w:t>
      </w:r>
      <w:r w:rsidRPr="00D25381">
        <w:rPr>
          <w:b/>
          <w:bCs/>
        </w:rPr>
        <w:t>État partie d</w:t>
      </w:r>
      <w:r w:rsidR="00070383">
        <w:rPr>
          <w:b/>
          <w:bCs/>
        </w:rPr>
        <w:t>’</w:t>
      </w:r>
      <w:r w:rsidRPr="00D25381">
        <w:rPr>
          <w:b/>
          <w:bCs/>
        </w:rPr>
        <w:t xml:space="preserve">envisager de recourir à des mesures temporaires spéciales, conformément au paragraphe </w:t>
      </w:r>
      <w:r w:rsidRPr="00E26C4F">
        <w:rPr>
          <w:b/>
          <w:bCs/>
        </w:rPr>
        <w:t>1</w:t>
      </w:r>
      <w:r w:rsidRPr="00D25381">
        <w:rPr>
          <w:b/>
          <w:bCs/>
        </w:rPr>
        <w:t xml:space="preserve"> de l</w:t>
      </w:r>
      <w:r w:rsidR="00070383">
        <w:rPr>
          <w:b/>
          <w:bCs/>
        </w:rPr>
        <w:t>’</w:t>
      </w:r>
      <w:r w:rsidRPr="00D25381">
        <w:rPr>
          <w:b/>
          <w:bCs/>
        </w:rPr>
        <w:t xml:space="preserve">article </w:t>
      </w:r>
      <w:r w:rsidRPr="00E26C4F">
        <w:rPr>
          <w:b/>
          <w:bCs/>
        </w:rPr>
        <w:t>4</w:t>
      </w:r>
      <w:r w:rsidRPr="00D25381">
        <w:rPr>
          <w:b/>
          <w:bCs/>
        </w:rPr>
        <w:t xml:space="preserve"> de la Convention et à la Recommandation générale n</w:t>
      </w:r>
      <w:r w:rsidR="00BB581E">
        <w:rPr>
          <w:b/>
          <w:bCs/>
          <w:vertAlign w:val="superscript"/>
        </w:rPr>
        <w:t>o</w:t>
      </w:r>
      <w:r w:rsidR="008D4BA2">
        <w:rPr>
          <w:b/>
          <w:bCs/>
        </w:rPr>
        <w:t> </w:t>
      </w:r>
      <w:r w:rsidRPr="00E26C4F">
        <w:rPr>
          <w:b/>
          <w:bCs/>
        </w:rPr>
        <w:t>25</w:t>
      </w:r>
      <w:r w:rsidRPr="00D25381">
        <w:rPr>
          <w:b/>
          <w:bCs/>
        </w:rPr>
        <w:t xml:space="preserve"> (</w:t>
      </w:r>
      <w:r w:rsidRPr="00E26C4F">
        <w:rPr>
          <w:b/>
          <w:bCs/>
        </w:rPr>
        <w:t>2004</w:t>
      </w:r>
      <w:r w:rsidRPr="00D25381">
        <w:rPr>
          <w:b/>
          <w:bCs/>
        </w:rPr>
        <w:t>) du Comité sur les mesures temporaires spéciales. Il lui recommande également d</w:t>
      </w:r>
      <w:r w:rsidR="00070383">
        <w:rPr>
          <w:b/>
          <w:bCs/>
        </w:rPr>
        <w:t>’</w:t>
      </w:r>
      <w:r w:rsidRPr="00D25381">
        <w:rPr>
          <w:b/>
          <w:bCs/>
        </w:rPr>
        <w:t>adopter et d</w:t>
      </w:r>
      <w:r w:rsidR="00070383">
        <w:rPr>
          <w:b/>
          <w:bCs/>
        </w:rPr>
        <w:t>’</w:t>
      </w:r>
      <w:r w:rsidRPr="00D25381">
        <w:rPr>
          <w:b/>
          <w:bCs/>
        </w:rPr>
        <w:t>appliquer des mesures de ce type, y compris des quotas, dans tous les domaines où les femmes sont sous-représentées ou défavorisées, notamment dans la vie politique et sur le marché du travail, ainsi que dans le secteur privé, en déployant davantage d</w:t>
      </w:r>
      <w:r w:rsidR="00070383">
        <w:rPr>
          <w:b/>
          <w:bCs/>
        </w:rPr>
        <w:t>’</w:t>
      </w:r>
      <w:r w:rsidRPr="00D25381">
        <w:rPr>
          <w:b/>
          <w:bCs/>
        </w:rPr>
        <w:t>efforts spécifiquement axés sur la parité des sexes dans la composition des conseils du secteur public et sur un objectif de parité dans les conseils du secteur privé. Il lui recommande par ailleurs de sensibiliser les citoyens au caractère non discriminatoire des mesures temporaires spéciales et à l</w:t>
      </w:r>
      <w:r w:rsidR="00070383">
        <w:rPr>
          <w:b/>
          <w:bCs/>
        </w:rPr>
        <w:t>’</w:t>
      </w:r>
      <w:r w:rsidRPr="00D25381">
        <w:rPr>
          <w:b/>
          <w:bCs/>
        </w:rPr>
        <w:t>importance qu</w:t>
      </w:r>
      <w:r w:rsidR="00070383">
        <w:rPr>
          <w:b/>
          <w:bCs/>
        </w:rPr>
        <w:t>’</w:t>
      </w:r>
      <w:r w:rsidRPr="00D25381">
        <w:rPr>
          <w:b/>
          <w:bCs/>
        </w:rPr>
        <w:t>elles revêtent pour la réalisation de l</w:t>
      </w:r>
      <w:r w:rsidR="00070383">
        <w:rPr>
          <w:b/>
          <w:bCs/>
        </w:rPr>
        <w:t>’</w:t>
      </w:r>
      <w:r w:rsidRPr="00D25381">
        <w:rPr>
          <w:b/>
          <w:bCs/>
        </w:rPr>
        <w:t>égalité effective entre femmes et hommes.</w:t>
      </w:r>
    </w:p>
    <w:p w14:paraId="6236F240" w14:textId="70F86341" w:rsidR="00D25381" w:rsidRPr="00D25381" w:rsidRDefault="00D25381" w:rsidP="00D25381">
      <w:pPr>
        <w:pStyle w:val="SingleTxt"/>
        <w:spacing w:after="0" w:line="120" w:lineRule="exact"/>
        <w:rPr>
          <w:sz w:val="10"/>
          <w:lang w:val="fr-FR"/>
        </w:rPr>
      </w:pPr>
    </w:p>
    <w:p w14:paraId="0C830BE8" w14:textId="1EDF0A97" w:rsidR="00884C41" w:rsidRDefault="00884C41" w:rsidP="00D253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84C41">
        <w:rPr>
          <w:lang w:val="fr-FR"/>
        </w:rPr>
        <w:tab/>
      </w:r>
      <w:r w:rsidRPr="00884C41">
        <w:rPr>
          <w:lang w:val="fr-FR"/>
        </w:rPr>
        <w:tab/>
        <w:t>Stéréotypes discriminatoires et pratiques préjudiciables</w:t>
      </w:r>
    </w:p>
    <w:p w14:paraId="6DA5FA4D" w14:textId="138045B3" w:rsidR="00D25381" w:rsidRPr="00D25381" w:rsidRDefault="00D25381" w:rsidP="00D25381">
      <w:pPr>
        <w:pStyle w:val="SingleTxt"/>
        <w:spacing w:after="0" w:line="120" w:lineRule="exact"/>
        <w:rPr>
          <w:sz w:val="10"/>
          <w:lang w:val="fr-FR"/>
        </w:rPr>
      </w:pPr>
    </w:p>
    <w:p w14:paraId="1A6C8991" w14:textId="38AD54B0" w:rsidR="00884C41" w:rsidRPr="00884C41" w:rsidRDefault="00884C41" w:rsidP="00D25381">
      <w:pPr>
        <w:pStyle w:val="SingleTxt"/>
        <w:numPr>
          <w:ilvl w:val="0"/>
          <w:numId w:val="17"/>
        </w:numPr>
        <w:spacing w:line="240" w:lineRule="exact"/>
        <w:ind w:left="1267"/>
        <w:rPr>
          <w:lang w:val="fr-FR"/>
        </w:rPr>
      </w:pPr>
      <w:r w:rsidRPr="00884C41">
        <w:rPr>
          <w:lang w:val="fr-FR"/>
        </w:rPr>
        <w:t>Tout en prenant note des efforts déployés par l</w:t>
      </w:r>
      <w:r w:rsidR="00070383">
        <w:rPr>
          <w:lang w:val="fr-FR"/>
        </w:rPr>
        <w:t>’</w:t>
      </w:r>
      <w:r w:rsidRPr="00884C41">
        <w:rPr>
          <w:lang w:val="fr-FR"/>
        </w:rPr>
        <w:t>État partie pour éliminer les stéréotypes négatifs dont pâtissent les femmes, le Comité se déclare préoccupé</w:t>
      </w:r>
      <w:r w:rsidR="00D25381">
        <w:rPr>
          <w:lang w:val="fr-FR"/>
        </w:rPr>
        <w:t> </w:t>
      </w:r>
      <w:r w:rsidRPr="00884C41">
        <w:rPr>
          <w:lang w:val="fr-FR"/>
        </w:rPr>
        <w:t>:</w:t>
      </w:r>
    </w:p>
    <w:p w14:paraId="50E641B0" w14:textId="6C96C411" w:rsidR="00884C41" w:rsidRPr="00884C41" w:rsidRDefault="00D25381" w:rsidP="00D25381">
      <w:pPr>
        <w:pStyle w:val="SingleTxt"/>
        <w:rPr>
          <w:lang w:val="fr-FR"/>
        </w:rPr>
      </w:pPr>
      <w:r>
        <w:rPr>
          <w:lang w:val="fr-FR"/>
        </w:rPr>
        <w:tab/>
      </w:r>
      <w:r w:rsidR="00884C41" w:rsidRPr="00884C41">
        <w:rPr>
          <w:lang w:val="fr-FR"/>
        </w:rPr>
        <w:t>a)</w:t>
      </w:r>
      <w:r w:rsidR="00884C41" w:rsidRPr="00884C41">
        <w:rPr>
          <w:lang w:val="fr-FR"/>
        </w:rPr>
        <w:tab/>
        <w:t>par la forte persistance du cyberharcèlement dans les établissements d</w:t>
      </w:r>
      <w:r w:rsidR="00070383">
        <w:rPr>
          <w:lang w:val="fr-FR"/>
        </w:rPr>
        <w:t>’</w:t>
      </w:r>
      <w:r w:rsidR="00884C41" w:rsidRPr="00884C41">
        <w:rPr>
          <w:lang w:val="fr-FR"/>
        </w:rPr>
        <w:t>enseignement secondaire, qui touche de manière disproportionnée les femmes et les filles handicapées et les étudiantes lesbiennes, bisexuelles, transgenres et intersexuées</w:t>
      </w:r>
      <w:r w:rsidR="00C0187D">
        <w:rPr>
          <w:lang w:val="fr-FR"/>
        </w:rPr>
        <w:t> ;</w:t>
      </w:r>
    </w:p>
    <w:p w14:paraId="2C72D7C1" w14:textId="0BDF3817" w:rsidR="00884C41" w:rsidRPr="00884C41" w:rsidRDefault="00D25381" w:rsidP="00D25381">
      <w:pPr>
        <w:pStyle w:val="SingleTxt"/>
        <w:rPr>
          <w:lang w:val="fr-FR"/>
        </w:rPr>
      </w:pPr>
      <w:r>
        <w:rPr>
          <w:lang w:val="fr-FR"/>
        </w:rPr>
        <w:tab/>
      </w:r>
      <w:r w:rsidR="00884C41" w:rsidRPr="00884C41">
        <w:rPr>
          <w:lang w:val="fr-FR"/>
        </w:rPr>
        <w:t>b)</w:t>
      </w:r>
      <w:r w:rsidR="00884C41" w:rsidRPr="00884C41">
        <w:rPr>
          <w:lang w:val="fr-FR"/>
        </w:rPr>
        <w:tab/>
        <w:t>par la rémanence de normes et pratiques culturelles préjudiciables profondément ancrées, notamment les mutilations génitales féminines, les mariages précoces et les mariages forcés, le versement de dots, la polygamie et les crimes commis au nom de l</w:t>
      </w:r>
      <w:r w:rsidR="00070383">
        <w:rPr>
          <w:lang w:val="fr-FR"/>
        </w:rPr>
        <w:t>’</w:t>
      </w:r>
      <w:r w:rsidR="00884C41" w:rsidRPr="00884C41">
        <w:rPr>
          <w:lang w:val="fr-FR"/>
        </w:rPr>
        <w:t>«</w:t>
      </w:r>
      <w:r w:rsidR="008D4BA2">
        <w:rPr>
          <w:lang w:val="fr-FR"/>
        </w:rPr>
        <w:t> </w:t>
      </w:r>
      <w:r w:rsidR="00884C41" w:rsidRPr="00884C41">
        <w:rPr>
          <w:lang w:val="fr-FR"/>
        </w:rPr>
        <w:t>honneur</w:t>
      </w:r>
      <w:r w:rsidR="008D4BA2">
        <w:rPr>
          <w:lang w:val="fr-FR"/>
        </w:rPr>
        <w:t> </w:t>
      </w:r>
      <w:r w:rsidR="00884C41" w:rsidRPr="00884C41">
        <w:rPr>
          <w:lang w:val="fr-FR"/>
        </w:rPr>
        <w:t>», ainsi que par le manque d</w:t>
      </w:r>
      <w:r w:rsidR="00070383">
        <w:rPr>
          <w:lang w:val="fr-FR"/>
        </w:rPr>
        <w:t>’</w:t>
      </w:r>
      <w:r w:rsidR="00884C41" w:rsidRPr="00884C41">
        <w:rPr>
          <w:lang w:val="fr-FR"/>
        </w:rPr>
        <w:t>informations fiables en la matière</w:t>
      </w:r>
      <w:r w:rsidR="00C0187D">
        <w:rPr>
          <w:lang w:val="fr-FR"/>
        </w:rPr>
        <w:t> ;</w:t>
      </w:r>
    </w:p>
    <w:p w14:paraId="4CCBC048" w14:textId="607D4C98" w:rsidR="00884C41" w:rsidRPr="00884C41" w:rsidRDefault="00D25381" w:rsidP="00D25381">
      <w:pPr>
        <w:pStyle w:val="SingleTxt"/>
        <w:rPr>
          <w:lang w:val="fr-FR"/>
        </w:rPr>
      </w:pPr>
      <w:r>
        <w:rPr>
          <w:lang w:val="fr-FR"/>
        </w:rPr>
        <w:tab/>
      </w:r>
      <w:r w:rsidR="00884C41" w:rsidRPr="00884C41">
        <w:rPr>
          <w:lang w:val="fr-FR"/>
        </w:rPr>
        <w:t>c)</w:t>
      </w:r>
      <w:r w:rsidR="00884C41" w:rsidRPr="00884C41">
        <w:rPr>
          <w:lang w:val="fr-FR"/>
        </w:rPr>
        <w:tab/>
        <w:t>par la réalisation d</w:t>
      </w:r>
      <w:r w:rsidR="00070383">
        <w:rPr>
          <w:lang w:val="fr-FR"/>
        </w:rPr>
        <w:t>’</w:t>
      </w:r>
      <w:r w:rsidR="00884C41" w:rsidRPr="00884C41">
        <w:rPr>
          <w:lang w:val="fr-FR"/>
        </w:rPr>
        <w:t>actes médicaux inutiles sur des nourrissons ou des enfants intersexués avant que ceux-ci n</w:t>
      </w:r>
      <w:r w:rsidR="00070383">
        <w:rPr>
          <w:lang w:val="fr-FR"/>
        </w:rPr>
        <w:t>’</w:t>
      </w:r>
      <w:r w:rsidR="00884C41" w:rsidRPr="00884C41">
        <w:rPr>
          <w:lang w:val="fr-FR"/>
        </w:rPr>
        <w:t>atteignent un âge auquel ils sont à même de donner leur consentement, préalable, libre et éclairé, ainsi que par l</w:t>
      </w:r>
      <w:r w:rsidR="00070383">
        <w:rPr>
          <w:lang w:val="fr-FR"/>
        </w:rPr>
        <w:t>’</w:t>
      </w:r>
      <w:r w:rsidR="00884C41" w:rsidRPr="00884C41">
        <w:rPr>
          <w:lang w:val="fr-FR"/>
        </w:rPr>
        <w:t>insuffisance du soutien et des conseils fournis aux familles d</w:t>
      </w:r>
      <w:r w:rsidR="00070383">
        <w:rPr>
          <w:lang w:val="fr-FR"/>
        </w:rPr>
        <w:t>’</w:t>
      </w:r>
      <w:r w:rsidR="00884C41" w:rsidRPr="00884C41">
        <w:rPr>
          <w:lang w:val="fr-FR"/>
        </w:rPr>
        <w:t>enfants intersexués et des voies de recours offertes aux victimes.</w:t>
      </w:r>
    </w:p>
    <w:p w14:paraId="3F9C7AB3" w14:textId="4465B37E" w:rsidR="00884C41" w:rsidRPr="00D25381" w:rsidRDefault="00884C41" w:rsidP="00D25381">
      <w:pPr>
        <w:pStyle w:val="SingleTxt"/>
        <w:numPr>
          <w:ilvl w:val="0"/>
          <w:numId w:val="17"/>
        </w:numPr>
        <w:spacing w:line="240" w:lineRule="exact"/>
        <w:ind w:left="1267"/>
        <w:rPr>
          <w:b/>
          <w:bCs/>
          <w:lang w:val="fr-FR"/>
        </w:rPr>
      </w:pPr>
      <w:r w:rsidRPr="00D25381">
        <w:rPr>
          <w:b/>
          <w:bCs/>
          <w:lang w:val="fr-FR"/>
        </w:rPr>
        <w:t>Le Comité recommande à l</w:t>
      </w:r>
      <w:r w:rsidR="00070383">
        <w:rPr>
          <w:b/>
          <w:bCs/>
          <w:lang w:val="fr-FR"/>
        </w:rPr>
        <w:t>’</w:t>
      </w:r>
      <w:r w:rsidRPr="00D25381">
        <w:rPr>
          <w:b/>
          <w:bCs/>
          <w:lang w:val="fr-FR"/>
        </w:rPr>
        <w:t>État partie d</w:t>
      </w:r>
      <w:r w:rsidR="00070383">
        <w:rPr>
          <w:b/>
          <w:bCs/>
          <w:lang w:val="fr-FR"/>
        </w:rPr>
        <w:t>’</w:t>
      </w:r>
      <w:r w:rsidRPr="00D25381">
        <w:rPr>
          <w:b/>
          <w:bCs/>
          <w:lang w:val="fr-FR"/>
        </w:rPr>
        <w:t>adopter une stratégie globale visant à éliminer les stéréotypes discriminatoires concernant les rôles et les responsabilités des femmes et des hommes dans la famille et dans la société, en coopération avec les organisations de la société civile, en particulier les associations de femmes, les chefs communautaires, les enseignants et les médias, afin de créer un environnement favorable à l</w:t>
      </w:r>
      <w:r w:rsidR="00070383">
        <w:rPr>
          <w:b/>
          <w:bCs/>
          <w:lang w:val="fr-FR"/>
        </w:rPr>
        <w:t>’</w:t>
      </w:r>
      <w:r w:rsidRPr="00D25381">
        <w:rPr>
          <w:b/>
          <w:bCs/>
          <w:lang w:val="fr-FR"/>
        </w:rPr>
        <w:t>égalité des sexes. Il recommande également à l</w:t>
      </w:r>
      <w:r w:rsidR="00070383">
        <w:rPr>
          <w:b/>
          <w:bCs/>
          <w:lang w:val="fr-FR"/>
        </w:rPr>
        <w:t>’</w:t>
      </w:r>
      <w:r w:rsidRPr="00D25381">
        <w:rPr>
          <w:b/>
          <w:bCs/>
          <w:lang w:val="fr-FR"/>
        </w:rPr>
        <w:t>État partie</w:t>
      </w:r>
      <w:r w:rsidR="00D25381">
        <w:rPr>
          <w:b/>
          <w:bCs/>
          <w:lang w:val="fr-FR"/>
        </w:rPr>
        <w:t> </w:t>
      </w:r>
      <w:r w:rsidRPr="00D25381">
        <w:rPr>
          <w:b/>
          <w:bCs/>
          <w:lang w:val="fr-FR"/>
        </w:rPr>
        <w:t>:</w:t>
      </w:r>
    </w:p>
    <w:p w14:paraId="711BF81F" w14:textId="7837AC5B" w:rsidR="00884C41" w:rsidRPr="00D25381" w:rsidRDefault="00D25381" w:rsidP="00D25381">
      <w:pPr>
        <w:pStyle w:val="SingleTxt"/>
        <w:rPr>
          <w:b/>
          <w:bCs/>
          <w:lang w:val="fr-FR"/>
        </w:rPr>
      </w:pPr>
      <w:r w:rsidRPr="00D25381">
        <w:rPr>
          <w:b/>
          <w:bCs/>
          <w:lang w:val="fr-FR"/>
        </w:rPr>
        <w:tab/>
      </w:r>
      <w:r w:rsidR="00884C41" w:rsidRPr="00D25381">
        <w:rPr>
          <w:b/>
          <w:bCs/>
          <w:lang w:val="fr-FR"/>
        </w:rPr>
        <w:t>a)</w:t>
      </w:r>
      <w:r w:rsidR="00884C41" w:rsidRPr="00D25381">
        <w:rPr>
          <w:b/>
          <w:bCs/>
          <w:lang w:val="fr-FR"/>
        </w:rPr>
        <w:tab/>
        <w:t>de recueillir systématiquement des données sur les pratiques préjudiciables, y compris le cyberharcèlement des adolescentes, et de mettre en place des mesures, telles que des actions de sensibilisation dans les établissements scolaires, pour empêcher de telles pratiques</w:t>
      </w:r>
      <w:r w:rsidR="00C0187D">
        <w:rPr>
          <w:b/>
          <w:bCs/>
          <w:lang w:val="fr-FR"/>
        </w:rPr>
        <w:t> ;</w:t>
      </w:r>
    </w:p>
    <w:p w14:paraId="590AA7F5" w14:textId="0CA3C384" w:rsidR="00884C41" w:rsidRPr="00D25381" w:rsidRDefault="00D25381" w:rsidP="00D25381">
      <w:pPr>
        <w:pStyle w:val="SingleTxt"/>
        <w:rPr>
          <w:b/>
          <w:bCs/>
          <w:lang w:val="fr-FR"/>
        </w:rPr>
      </w:pPr>
      <w:r w:rsidRPr="00D25381">
        <w:rPr>
          <w:b/>
          <w:bCs/>
          <w:lang w:val="fr-FR"/>
        </w:rPr>
        <w:tab/>
      </w:r>
      <w:r w:rsidR="00884C41" w:rsidRPr="00D25381">
        <w:rPr>
          <w:b/>
          <w:bCs/>
          <w:lang w:val="fr-FR"/>
        </w:rPr>
        <w:t>b)</w:t>
      </w:r>
      <w:r w:rsidR="00884C41" w:rsidRPr="00D25381">
        <w:rPr>
          <w:b/>
          <w:bCs/>
          <w:lang w:val="fr-FR"/>
        </w:rPr>
        <w:tab/>
        <w:t>de poursuivre la lutte contre les pratiques préjudiciables, en particulier les mutilations génitales féminines, les mariages précoces et les mariages forcés, le versement de dots, la polygamie et les crimes commis au nom de l</w:t>
      </w:r>
      <w:r w:rsidR="00070383">
        <w:rPr>
          <w:b/>
          <w:bCs/>
          <w:lang w:val="fr-FR"/>
        </w:rPr>
        <w:t>’</w:t>
      </w:r>
      <w:r w:rsidR="00884C41" w:rsidRPr="00D25381">
        <w:rPr>
          <w:b/>
          <w:bCs/>
          <w:lang w:val="fr-FR"/>
        </w:rPr>
        <w:t>«</w:t>
      </w:r>
      <w:r w:rsidR="008D4BA2">
        <w:rPr>
          <w:b/>
          <w:bCs/>
          <w:lang w:val="fr-FR"/>
        </w:rPr>
        <w:t> </w:t>
      </w:r>
      <w:r w:rsidR="00884C41" w:rsidRPr="00D25381">
        <w:rPr>
          <w:b/>
          <w:bCs/>
          <w:lang w:val="fr-FR"/>
        </w:rPr>
        <w:t>honneur</w:t>
      </w:r>
      <w:r w:rsidR="008D4BA2">
        <w:rPr>
          <w:b/>
          <w:bCs/>
          <w:lang w:val="fr-FR"/>
        </w:rPr>
        <w:t> </w:t>
      </w:r>
      <w:r w:rsidR="00884C41" w:rsidRPr="00D25381">
        <w:rPr>
          <w:b/>
          <w:bCs/>
          <w:lang w:val="fr-FR"/>
        </w:rPr>
        <w:t>», et de collecter systématiquement des données ventilées par âge et origine ethnique sur ces pratiques préjudiciables</w:t>
      </w:r>
      <w:r w:rsidR="00C0187D">
        <w:rPr>
          <w:b/>
          <w:bCs/>
          <w:lang w:val="fr-FR"/>
        </w:rPr>
        <w:t> ;</w:t>
      </w:r>
    </w:p>
    <w:p w14:paraId="08DA5506" w14:textId="44584831" w:rsidR="00884C41" w:rsidRDefault="00D25381" w:rsidP="00D25381">
      <w:pPr>
        <w:pStyle w:val="SingleTxt"/>
        <w:rPr>
          <w:lang w:val="fr-FR"/>
        </w:rPr>
      </w:pPr>
      <w:r w:rsidRPr="00D25381">
        <w:rPr>
          <w:b/>
          <w:bCs/>
          <w:lang w:val="fr-FR"/>
        </w:rPr>
        <w:tab/>
      </w:r>
      <w:r w:rsidR="00884C41" w:rsidRPr="00D25381">
        <w:rPr>
          <w:b/>
          <w:bCs/>
          <w:lang w:val="fr-FR"/>
        </w:rPr>
        <w:t>c)</w:t>
      </w:r>
      <w:r w:rsidR="00884C41" w:rsidRPr="00D25381">
        <w:rPr>
          <w:b/>
          <w:bCs/>
          <w:lang w:val="fr-FR"/>
        </w:rPr>
        <w:tab/>
        <w:t>d</w:t>
      </w:r>
      <w:r w:rsidR="00070383">
        <w:rPr>
          <w:b/>
          <w:bCs/>
          <w:lang w:val="fr-FR"/>
        </w:rPr>
        <w:t>’</w:t>
      </w:r>
      <w:r w:rsidR="00884C41" w:rsidRPr="00D25381">
        <w:rPr>
          <w:b/>
          <w:bCs/>
          <w:lang w:val="fr-FR"/>
        </w:rPr>
        <w:t>adopter des dispositions législatives claires interdisant expressément de procéder à des actes chirurgicaux et à d</w:t>
      </w:r>
      <w:r w:rsidR="00070383">
        <w:rPr>
          <w:b/>
          <w:bCs/>
          <w:lang w:val="fr-FR"/>
        </w:rPr>
        <w:t>’</w:t>
      </w:r>
      <w:r w:rsidR="00884C41" w:rsidRPr="00D25381">
        <w:rPr>
          <w:b/>
          <w:bCs/>
          <w:lang w:val="fr-FR"/>
        </w:rPr>
        <w:t>autres traitements médicaux inutiles sur les enfants intersexués avant qu</w:t>
      </w:r>
      <w:r w:rsidR="00070383">
        <w:rPr>
          <w:b/>
          <w:bCs/>
          <w:lang w:val="fr-FR"/>
        </w:rPr>
        <w:t>’</w:t>
      </w:r>
      <w:r w:rsidR="00884C41" w:rsidRPr="00D25381">
        <w:rPr>
          <w:b/>
          <w:bCs/>
          <w:lang w:val="fr-FR"/>
        </w:rPr>
        <w:t>ils n</w:t>
      </w:r>
      <w:r w:rsidR="00070383">
        <w:rPr>
          <w:b/>
          <w:bCs/>
          <w:lang w:val="fr-FR"/>
        </w:rPr>
        <w:t>’</w:t>
      </w:r>
      <w:r w:rsidR="00884C41" w:rsidRPr="00D25381">
        <w:rPr>
          <w:b/>
          <w:bCs/>
          <w:lang w:val="fr-FR"/>
        </w:rPr>
        <w:t>atteignent l</w:t>
      </w:r>
      <w:r w:rsidR="00070383">
        <w:rPr>
          <w:b/>
          <w:bCs/>
          <w:lang w:val="fr-FR"/>
        </w:rPr>
        <w:t>’</w:t>
      </w:r>
      <w:r w:rsidR="00884C41" w:rsidRPr="00D25381">
        <w:rPr>
          <w:b/>
          <w:bCs/>
          <w:lang w:val="fr-FR"/>
        </w:rPr>
        <w:t>âge du consentement, d</w:t>
      </w:r>
      <w:r w:rsidR="00070383">
        <w:rPr>
          <w:b/>
          <w:bCs/>
          <w:lang w:val="fr-FR"/>
        </w:rPr>
        <w:t>’</w:t>
      </w:r>
      <w:r w:rsidR="00884C41" w:rsidRPr="00D25381">
        <w:rPr>
          <w:b/>
          <w:bCs/>
          <w:lang w:val="fr-FR"/>
        </w:rPr>
        <w:t>offrir aux familles d</w:t>
      </w:r>
      <w:r w:rsidR="00070383">
        <w:rPr>
          <w:b/>
          <w:bCs/>
          <w:lang w:val="fr-FR"/>
        </w:rPr>
        <w:t>’</w:t>
      </w:r>
      <w:r w:rsidR="00884C41" w:rsidRPr="00D25381">
        <w:rPr>
          <w:b/>
          <w:bCs/>
          <w:lang w:val="fr-FR"/>
        </w:rPr>
        <w:t>enfants intersexués des conseils et un soutien adéquats et de veiller à ce que les personnes intersexuées ayant subi de tels actes chirurgicaux et autres traitements médicaux inutiles puissent obtenir réparation.</w:t>
      </w:r>
      <w:r w:rsidR="00884C41" w:rsidRPr="00884C41">
        <w:rPr>
          <w:lang w:val="fr-FR"/>
        </w:rPr>
        <w:t xml:space="preserve"> </w:t>
      </w:r>
      <w:bookmarkStart w:id="5" w:name="_Hlk523383683"/>
      <w:bookmarkEnd w:id="5"/>
    </w:p>
    <w:p w14:paraId="2F830A68" w14:textId="62C980F6" w:rsidR="00D25381" w:rsidRPr="00D25381" w:rsidRDefault="00D25381" w:rsidP="00D25381">
      <w:pPr>
        <w:pStyle w:val="SingleTxt"/>
        <w:spacing w:after="0" w:line="120" w:lineRule="exact"/>
        <w:rPr>
          <w:sz w:val="10"/>
          <w:lang w:val="fr-FR"/>
        </w:rPr>
      </w:pPr>
    </w:p>
    <w:p w14:paraId="3AFC73B0" w14:textId="1AD98989" w:rsidR="00884C41" w:rsidRDefault="00884C41" w:rsidP="00D253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84C41">
        <w:rPr>
          <w:lang w:val="fr-FR"/>
        </w:rPr>
        <w:tab/>
      </w:r>
      <w:r w:rsidRPr="00884C41">
        <w:rPr>
          <w:lang w:val="fr-FR"/>
        </w:rPr>
        <w:tab/>
        <w:t>Violences sexistes envers les femmes</w:t>
      </w:r>
    </w:p>
    <w:p w14:paraId="267E1EF8" w14:textId="4F76CD89" w:rsidR="00D25381" w:rsidRPr="00D25381" w:rsidRDefault="00D25381" w:rsidP="00D25381">
      <w:pPr>
        <w:pStyle w:val="SingleTxt"/>
        <w:spacing w:after="0" w:line="120" w:lineRule="exact"/>
        <w:rPr>
          <w:sz w:val="10"/>
          <w:lang w:val="fr-FR"/>
        </w:rPr>
      </w:pPr>
    </w:p>
    <w:p w14:paraId="01EEFCBC" w14:textId="21E632FC" w:rsidR="00884C41" w:rsidRPr="00884C41" w:rsidRDefault="00884C41" w:rsidP="00D25381">
      <w:pPr>
        <w:pStyle w:val="SingleTxt"/>
        <w:numPr>
          <w:ilvl w:val="0"/>
          <w:numId w:val="17"/>
        </w:numPr>
        <w:spacing w:line="240" w:lineRule="exact"/>
        <w:ind w:left="1267"/>
        <w:rPr>
          <w:lang w:val="fr-FR"/>
        </w:rPr>
      </w:pPr>
      <w:r w:rsidRPr="00884C41">
        <w:rPr>
          <w:lang w:val="fr-FR"/>
        </w:rPr>
        <w:t>Le Comité note que le Parlement est actuellement saisi d</w:t>
      </w:r>
      <w:r w:rsidR="00070383">
        <w:rPr>
          <w:lang w:val="fr-FR"/>
        </w:rPr>
        <w:t>’</w:t>
      </w:r>
      <w:r w:rsidRPr="00884C41">
        <w:rPr>
          <w:lang w:val="fr-FR"/>
        </w:rPr>
        <w:t>un projet de loi sur les violences commises dans les familles et les whanau et qu</w:t>
      </w:r>
      <w:r w:rsidR="00070383">
        <w:rPr>
          <w:lang w:val="fr-FR"/>
        </w:rPr>
        <w:t>’</w:t>
      </w:r>
      <w:r w:rsidRPr="00884C41">
        <w:rPr>
          <w:lang w:val="fr-FR"/>
        </w:rPr>
        <w:t>un projet de loi relatif à la protection des victimes sur le lieu de travail devrait être adopté prochainement. Il se félicite de la création d</w:t>
      </w:r>
      <w:r w:rsidR="00070383">
        <w:rPr>
          <w:lang w:val="fr-FR"/>
        </w:rPr>
        <w:t>’</w:t>
      </w:r>
      <w:r w:rsidRPr="00884C41">
        <w:rPr>
          <w:lang w:val="fr-FR"/>
        </w:rPr>
        <w:t>un nouveau poste de Sous-Secrétaire parlementaire du Ministre de la Justice chargé des violences familiales et sexuelles et de la mise sur pied d</w:t>
      </w:r>
      <w:r w:rsidR="00070383">
        <w:rPr>
          <w:lang w:val="fr-FR"/>
        </w:rPr>
        <w:t>’</w:t>
      </w:r>
      <w:r w:rsidRPr="00884C41">
        <w:rPr>
          <w:lang w:val="fr-FR"/>
        </w:rPr>
        <w:t>un conseil consultatif chargé de déterminer ce qui peut être fait pour prévenir les violences familiales, en passant notamment en revue les programmes existants. Il salue également la récente augmentation de la dotation</w:t>
      </w:r>
      <w:r w:rsidR="006C377A">
        <w:rPr>
          <w:lang w:val="fr-FR"/>
        </w:rPr>
        <w:t xml:space="preserve"> </w:t>
      </w:r>
      <w:r w:rsidRPr="00884C41">
        <w:rPr>
          <w:lang w:val="fr-FR"/>
        </w:rPr>
        <w:t>financière allouée aux services d</w:t>
      </w:r>
      <w:r w:rsidR="00070383">
        <w:rPr>
          <w:lang w:val="fr-FR"/>
        </w:rPr>
        <w:t>’</w:t>
      </w:r>
      <w:r w:rsidRPr="00884C41">
        <w:rPr>
          <w:lang w:val="fr-FR"/>
        </w:rPr>
        <w:t>appui en première ligne. Il est cependant préoccupé par l</w:t>
      </w:r>
      <w:r w:rsidR="00070383">
        <w:rPr>
          <w:lang w:val="fr-FR"/>
        </w:rPr>
        <w:t>’</w:t>
      </w:r>
      <w:r w:rsidRPr="00884C41">
        <w:rPr>
          <w:lang w:val="fr-FR"/>
        </w:rPr>
        <w:t>absence de stratégie globale ou de plan d</w:t>
      </w:r>
      <w:r w:rsidR="00070383">
        <w:rPr>
          <w:lang w:val="fr-FR"/>
        </w:rPr>
        <w:t>’</w:t>
      </w:r>
      <w:r w:rsidRPr="00884C41">
        <w:rPr>
          <w:lang w:val="fr-FR"/>
        </w:rPr>
        <w:t>action national pour la prévention et l</w:t>
      </w:r>
      <w:r w:rsidR="00070383">
        <w:rPr>
          <w:lang w:val="fr-FR"/>
        </w:rPr>
        <w:t>’</w:t>
      </w:r>
      <w:r w:rsidRPr="00884C41">
        <w:rPr>
          <w:lang w:val="fr-FR"/>
        </w:rPr>
        <w:t>élimination des violences sexistes, la discontinuité des politiques gouvernementales menées au fil du temps n</w:t>
      </w:r>
      <w:r w:rsidR="00070383">
        <w:rPr>
          <w:lang w:val="fr-FR"/>
        </w:rPr>
        <w:t>’</w:t>
      </w:r>
      <w:r w:rsidRPr="00884C41">
        <w:rPr>
          <w:lang w:val="fr-FR"/>
        </w:rPr>
        <w:t>ayant fait qu</w:t>
      </w:r>
      <w:r w:rsidR="00070383">
        <w:rPr>
          <w:lang w:val="fr-FR"/>
        </w:rPr>
        <w:t>’</w:t>
      </w:r>
      <w:r w:rsidRPr="00884C41">
        <w:rPr>
          <w:lang w:val="fr-FR"/>
        </w:rPr>
        <w:t>aggraver la situation. Il demeure également préoccupé</w:t>
      </w:r>
      <w:r w:rsidR="00C0187D">
        <w:rPr>
          <w:lang w:val="fr-FR"/>
        </w:rPr>
        <w:t> :</w:t>
      </w:r>
      <w:r w:rsidRPr="00884C41">
        <w:rPr>
          <w:lang w:val="fr-FR"/>
        </w:rPr>
        <w:t xml:space="preserve"> </w:t>
      </w:r>
    </w:p>
    <w:p w14:paraId="48626AF3" w14:textId="523B4270" w:rsidR="00884C41" w:rsidRPr="00884C41" w:rsidRDefault="00D25381" w:rsidP="00D25381">
      <w:pPr>
        <w:pStyle w:val="SingleTxt"/>
        <w:rPr>
          <w:lang w:val="fr-FR"/>
        </w:rPr>
      </w:pPr>
      <w:r>
        <w:rPr>
          <w:lang w:val="fr-FR"/>
        </w:rPr>
        <w:tab/>
      </w:r>
      <w:r w:rsidR="00884C41" w:rsidRPr="00884C41">
        <w:rPr>
          <w:lang w:val="fr-FR"/>
        </w:rPr>
        <w:t>a)</w:t>
      </w:r>
      <w:r w:rsidR="00884C41" w:rsidRPr="00884C41">
        <w:rPr>
          <w:lang w:val="fr-FR"/>
        </w:rPr>
        <w:tab/>
        <w:t xml:space="preserve">par le taux alarmant des violences sexistes </w:t>
      </w:r>
      <w:r w:rsidR="00BB581E">
        <w:rPr>
          <w:lang w:val="fr-FR"/>
        </w:rPr>
        <w:t xml:space="preserve">dont </w:t>
      </w:r>
      <w:r w:rsidR="00884C41" w:rsidRPr="00884C41">
        <w:rPr>
          <w:lang w:val="fr-FR"/>
        </w:rPr>
        <w:t>les femmes sont l</w:t>
      </w:r>
      <w:r w:rsidR="00070383">
        <w:rPr>
          <w:lang w:val="fr-FR"/>
        </w:rPr>
        <w:t>’</w:t>
      </w:r>
      <w:r w:rsidR="00884C41" w:rsidRPr="00884C41">
        <w:rPr>
          <w:lang w:val="fr-FR"/>
        </w:rPr>
        <w:t>objet dans l</w:t>
      </w:r>
      <w:r w:rsidR="00070383">
        <w:rPr>
          <w:lang w:val="fr-FR"/>
        </w:rPr>
        <w:t>’</w:t>
      </w:r>
      <w:r w:rsidR="00884C41" w:rsidRPr="00884C41">
        <w:rPr>
          <w:lang w:val="fr-FR"/>
        </w:rPr>
        <w:t>État partie : une femme sur trois subit dans sa vie des violences physiques ou psychologiques exercées par un proche, en particulier des violences familiales et sexuelles, y compris le viol, qui touche de manière disproportionnée les femmes maories, les femmes issues de minorités ethniques, les femmes transgenres et les femmes handicapées, qui sont plus susceptibles d</w:t>
      </w:r>
      <w:r w:rsidR="00070383">
        <w:rPr>
          <w:lang w:val="fr-FR"/>
        </w:rPr>
        <w:t>’</w:t>
      </w:r>
      <w:r w:rsidR="00884C41" w:rsidRPr="00884C41">
        <w:rPr>
          <w:lang w:val="fr-FR"/>
        </w:rPr>
        <w:t>être doublement traumatisées du fait du système néo-zélandais actuel</w:t>
      </w:r>
      <w:r w:rsidR="00C0187D">
        <w:rPr>
          <w:lang w:val="fr-FR"/>
        </w:rPr>
        <w:t> ;</w:t>
      </w:r>
      <w:bookmarkStart w:id="6" w:name="_Hlk523383798"/>
      <w:bookmarkEnd w:id="6"/>
    </w:p>
    <w:p w14:paraId="02ADBE08" w14:textId="09392301" w:rsidR="00884C41" w:rsidRPr="00884C41" w:rsidRDefault="00D25381" w:rsidP="00D25381">
      <w:pPr>
        <w:pStyle w:val="SingleTxt"/>
        <w:rPr>
          <w:lang w:val="fr-FR"/>
        </w:rPr>
      </w:pPr>
      <w:r>
        <w:rPr>
          <w:lang w:val="fr-FR"/>
        </w:rPr>
        <w:tab/>
      </w:r>
      <w:r w:rsidR="00884C41" w:rsidRPr="00884C41">
        <w:rPr>
          <w:lang w:val="fr-FR"/>
        </w:rPr>
        <w:t>b)</w:t>
      </w:r>
      <w:r w:rsidR="00884C41" w:rsidRPr="00884C41">
        <w:rPr>
          <w:lang w:val="fr-FR"/>
        </w:rPr>
        <w:tab/>
        <w:t xml:space="preserve">par le très petit nombre de signalements et le taux élevé de récidive, en particulier au sein de la communauté maorie, seuls </w:t>
      </w:r>
      <w:r w:rsidR="00884C41" w:rsidRPr="00E26C4F">
        <w:rPr>
          <w:lang w:val="fr-FR"/>
        </w:rPr>
        <w:t>20</w:t>
      </w:r>
      <w:r w:rsidR="00C0187D">
        <w:rPr>
          <w:lang w:val="fr-FR"/>
        </w:rPr>
        <w:t> %</w:t>
      </w:r>
      <w:r w:rsidR="00884C41" w:rsidRPr="00884C41">
        <w:rPr>
          <w:lang w:val="fr-FR"/>
        </w:rPr>
        <w:t xml:space="preserve"> des cas de violences familiales et </w:t>
      </w:r>
      <w:r w:rsidR="00884C41" w:rsidRPr="00E26C4F">
        <w:rPr>
          <w:lang w:val="fr-FR"/>
        </w:rPr>
        <w:t>9</w:t>
      </w:r>
      <w:r w:rsidR="00C0187D">
        <w:rPr>
          <w:lang w:val="fr-FR"/>
        </w:rPr>
        <w:t> %</w:t>
      </w:r>
      <w:r w:rsidR="00884C41" w:rsidRPr="00884C41">
        <w:rPr>
          <w:lang w:val="fr-FR"/>
        </w:rPr>
        <w:t xml:space="preserve"> des cas de violences sexuelles étant signalés à la police</w:t>
      </w:r>
      <w:r w:rsidR="00C0187D">
        <w:rPr>
          <w:lang w:val="fr-FR"/>
        </w:rPr>
        <w:t> ;</w:t>
      </w:r>
    </w:p>
    <w:p w14:paraId="5E5FE38A" w14:textId="619E275B" w:rsidR="00884C41" w:rsidRPr="00884C41" w:rsidRDefault="00D25381" w:rsidP="00D25381">
      <w:pPr>
        <w:pStyle w:val="SingleTxt"/>
        <w:rPr>
          <w:lang w:val="fr-FR"/>
        </w:rPr>
      </w:pPr>
      <w:r>
        <w:rPr>
          <w:lang w:val="fr-FR"/>
        </w:rPr>
        <w:tab/>
      </w:r>
      <w:r w:rsidR="00884C41" w:rsidRPr="00884C41">
        <w:rPr>
          <w:lang w:val="fr-FR"/>
        </w:rPr>
        <w:t>c)</w:t>
      </w:r>
      <w:r w:rsidR="00884C41" w:rsidRPr="00884C41">
        <w:rPr>
          <w:lang w:val="fr-FR"/>
        </w:rPr>
        <w:tab/>
        <w:t>par l</w:t>
      </w:r>
      <w:r w:rsidR="00070383">
        <w:rPr>
          <w:lang w:val="fr-FR"/>
        </w:rPr>
        <w:t>’</w:t>
      </w:r>
      <w:r w:rsidR="00884C41" w:rsidRPr="00884C41">
        <w:rPr>
          <w:lang w:val="fr-FR"/>
        </w:rPr>
        <w:t>emploi de plus en plus fréquent de l</w:t>
      </w:r>
      <w:r w:rsidR="00070383">
        <w:rPr>
          <w:lang w:val="fr-FR"/>
        </w:rPr>
        <w:t>’</w:t>
      </w:r>
      <w:r w:rsidR="00884C41" w:rsidRPr="00884C41">
        <w:rPr>
          <w:lang w:val="fr-FR"/>
        </w:rPr>
        <w:t>expression « </w:t>
      </w:r>
      <w:r w:rsidR="00884C41" w:rsidRPr="00E26C4F">
        <w:rPr>
          <w:i/>
          <w:iCs/>
          <w:lang w:val="fr-FR"/>
        </w:rPr>
        <w:t>family harm</w:t>
      </w:r>
      <w:r w:rsidR="00884C41" w:rsidRPr="00884C41">
        <w:rPr>
          <w:lang w:val="fr-FR"/>
        </w:rPr>
        <w:t> » (préjudice familial), qui fait abstraction de la problématique femmes-hommes, occulte le fait que les violences familiales constituent une violation des droits des femmes et minimise la gravité du caractère sexiste ces violences aux yeux de la police , des services sociaux et de la justice</w:t>
      </w:r>
      <w:r w:rsidR="00C0187D">
        <w:rPr>
          <w:lang w:val="fr-FR"/>
        </w:rPr>
        <w:t> ;</w:t>
      </w:r>
      <w:r w:rsidR="00884C41" w:rsidRPr="00884C41">
        <w:rPr>
          <w:lang w:val="fr-FR"/>
        </w:rPr>
        <w:t xml:space="preserve"> </w:t>
      </w:r>
    </w:p>
    <w:p w14:paraId="1FA90C8A" w14:textId="7A618C35" w:rsidR="00884C41" w:rsidRPr="00884C41" w:rsidRDefault="00D25381" w:rsidP="00D25381">
      <w:pPr>
        <w:pStyle w:val="SingleTxt"/>
        <w:rPr>
          <w:lang w:val="fr-FR"/>
        </w:rPr>
      </w:pPr>
      <w:r>
        <w:rPr>
          <w:lang w:val="fr-FR"/>
        </w:rPr>
        <w:tab/>
      </w:r>
      <w:r w:rsidR="00884C41" w:rsidRPr="00884C41">
        <w:rPr>
          <w:lang w:val="fr-FR"/>
        </w:rPr>
        <w:t>d)</w:t>
      </w:r>
      <w:r w:rsidR="00884C41" w:rsidRPr="00884C41">
        <w:rPr>
          <w:lang w:val="fr-FR"/>
        </w:rPr>
        <w:tab/>
        <w:t>par le fait que les ressources soient essentiellement affectées au traitement et à la réadaptation, la prévention était ici délaissée</w:t>
      </w:r>
      <w:r w:rsidR="00C0187D">
        <w:rPr>
          <w:lang w:val="fr-FR"/>
        </w:rPr>
        <w:t> ;</w:t>
      </w:r>
    </w:p>
    <w:p w14:paraId="3352C7BA" w14:textId="1DAA9272" w:rsidR="00884C41" w:rsidRPr="00884C41" w:rsidRDefault="00D25381" w:rsidP="00D25381">
      <w:pPr>
        <w:pStyle w:val="SingleTxt"/>
        <w:rPr>
          <w:lang w:val="fr-FR"/>
        </w:rPr>
      </w:pPr>
      <w:r>
        <w:rPr>
          <w:lang w:val="fr-FR"/>
        </w:rPr>
        <w:tab/>
      </w:r>
      <w:r w:rsidR="00884C41" w:rsidRPr="00884C41">
        <w:rPr>
          <w:lang w:val="fr-FR"/>
        </w:rPr>
        <w:t>e)</w:t>
      </w:r>
      <w:r w:rsidR="00884C41" w:rsidRPr="00884C41">
        <w:rPr>
          <w:lang w:val="fr-FR"/>
        </w:rPr>
        <w:tab/>
        <w:t>par l</w:t>
      </w:r>
      <w:r w:rsidR="00070383">
        <w:rPr>
          <w:lang w:val="fr-FR"/>
        </w:rPr>
        <w:t>’</w:t>
      </w:r>
      <w:r w:rsidR="00884C41" w:rsidRPr="00884C41">
        <w:rPr>
          <w:lang w:val="fr-FR"/>
        </w:rPr>
        <w:t>absence, pour les juges, les agents des services répressifs et le personnel des services sociaux, de programmes spécialisés systématiques de renforcement des capacités concernant l</w:t>
      </w:r>
      <w:r w:rsidR="00070383">
        <w:rPr>
          <w:lang w:val="fr-FR"/>
        </w:rPr>
        <w:t>’</w:t>
      </w:r>
      <w:r w:rsidR="00884C41" w:rsidRPr="00884C41">
        <w:rPr>
          <w:lang w:val="fr-FR"/>
        </w:rPr>
        <w:t>application stricte des dispositions juridiques relatives aux violences sexistes et aux méthodes d</w:t>
      </w:r>
      <w:r w:rsidR="00070383">
        <w:rPr>
          <w:lang w:val="fr-FR"/>
        </w:rPr>
        <w:t>’</w:t>
      </w:r>
      <w:r w:rsidR="00884C41" w:rsidRPr="00884C41">
        <w:rPr>
          <w:lang w:val="fr-FR"/>
        </w:rPr>
        <w:t>enquête tenant compte des disparités entre les sexes</w:t>
      </w:r>
      <w:r w:rsidR="00C0187D">
        <w:rPr>
          <w:lang w:val="fr-FR"/>
        </w:rPr>
        <w:t> ;</w:t>
      </w:r>
      <w:r w:rsidR="00884C41" w:rsidRPr="00884C41">
        <w:rPr>
          <w:lang w:val="fr-FR"/>
        </w:rPr>
        <w:t xml:space="preserve"> </w:t>
      </w:r>
    </w:p>
    <w:p w14:paraId="09C4E9E3" w14:textId="4A0F063D" w:rsidR="00884C41" w:rsidRPr="00884C41" w:rsidRDefault="00D25381" w:rsidP="00D25381">
      <w:pPr>
        <w:pStyle w:val="SingleTxt"/>
        <w:rPr>
          <w:lang w:val="fr-FR"/>
        </w:rPr>
      </w:pPr>
      <w:r>
        <w:rPr>
          <w:lang w:val="fr-FR"/>
        </w:rPr>
        <w:tab/>
      </w:r>
      <w:r w:rsidR="00884C41" w:rsidRPr="00884C41">
        <w:rPr>
          <w:lang w:val="fr-FR"/>
        </w:rPr>
        <w:t>f)</w:t>
      </w:r>
      <w:r w:rsidR="00884C41" w:rsidRPr="00884C41">
        <w:rPr>
          <w:lang w:val="fr-FR"/>
        </w:rPr>
        <w:tab/>
        <w:t>par l</w:t>
      </w:r>
      <w:r w:rsidR="00070383">
        <w:rPr>
          <w:lang w:val="fr-FR"/>
        </w:rPr>
        <w:t>’</w:t>
      </w:r>
      <w:r w:rsidR="00884C41" w:rsidRPr="00884C41">
        <w:rPr>
          <w:lang w:val="fr-FR"/>
        </w:rPr>
        <w:t>absence d</w:t>
      </w:r>
      <w:r w:rsidR="00070383">
        <w:rPr>
          <w:lang w:val="fr-FR"/>
        </w:rPr>
        <w:t>’</w:t>
      </w:r>
      <w:r w:rsidR="00884C41" w:rsidRPr="00884C41">
        <w:rPr>
          <w:lang w:val="fr-FR"/>
        </w:rPr>
        <w:t>une source unique de données intégrant toutes les informations relatives aux violences familiales, ventilées par sexe, origine ethnique, type de violences et relations entre l</w:t>
      </w:r>
      <w:r w:rsidR="00070383">
        <w:rPr>
          <w:lang w:val="fr-FR"/>
        </w:rPr>
        <w:t>’</w:t>
      </w:r>
      <w:r w:rsidR="00884C41" w:rsidRPr="00884C41">
        <w:rPr>
          <w:lang w:val="fr-FR"/>
        </w:rPr>
        <w:t>auteur et la victime, y compris des données sur le féminicide, ainsi que par le financement insuffisant des organismes, y compris les entités non gouvernementales, qui s</w:t>
      </w:r>
      <w:r w:rsidR="00070383">
        <w:rPr>
          <w:lang w:val="fr-FR"/>
        </w:rPr>
        <w:t>’</w:t>
      </w:r>
      <w:r w:rsidR="00884C41" w:rsidRPr="00884C41">
        <w:rPr>
          <w:lang w:val="fr-FR"/>
        </w:rPr>
        <w:t>occupent de recueillir des données</w:t>
      </w:r>
      <w:r w:rsidR="00C0187D">
        <w:rPr>
          <w:lang w:val="fr-FR"/>
        </w:rPr>
        <w:t> ;</w:t>
      </w:r>
    </w:p>
    <w:p w14:paraId="624D6F99" w14:textId="7BE11D26" w:rsidR="00884C41" w:rsidRPr="00884C41" w:rsidRDefault="00D25381" w:rsidP="00D25381">
      <w:pPr>
        <w:pStyle w:val="SingleTxt"/>
        <w:rPr>
          <w:lang w:val="fr-FR"/>
        </w:rPr>
      </w:pPr>
      <w:r>
        <w:rPr>
          <w:lang w:val="fr-FR"/>
        </w:rPr>
        <w:tab/>
      </w:r>
      <w:r w:rsidR="00884C41" w:rsidRPr="00884C41">
        <w:rPr>
          <w:lang w:val="fr-FR"/>
        </w:rPr>
        <w:t>g)</w:t>
      </w:r>
      <w:r w:rsidR="00884C41" w:rsidRPr="00884C41">
        <w:rPr>
          <w:lang w:val="fr-FR"/>
        </w:rPr>
        <w:tab/>
        <w:t>par l</w:t>
      </w:r>
      <w:r w:rsidR="00070383">
        <w:rPr>
          <w:lang w:val="fr-FR"/>
        </w:rPr>
        <w:t>’</w:t>
      </w:r>
      <w:r w:rsidR="00884C41" w:rsidRPr="00884C41">
        <w:rPr>
          <w:lang w:val="fr-FR"/>
        </w:rPr>
        <w:t>absence d</w:t>
      </w:r>
      <w:r w:rsidR="00070383">
        <w:rPr>
          <w:lang w:val="fr-FR"/>
        </w:rPr>
        <w:t>’</w:t>
      </w:r>
      <w:r w:rsidR="00884C41" w:rsidRPr="00884C41">
        <w:rPr>
          <w:lang w:val="fr-FR"/>
        </w:rPr>
        <w:t>une démarche adéquate adaptée aux réalités culturelles, qui se traduit par des barrières culturelles et linguistiques, et par la méfiance à l</w:t>
      </w:r>
      <w:r w:rsidR="00070383">
        <w:rPr>
          <w:lang w:val="fr-FR"/>
        </w:rPr>
        <w:t>’</w:t>
      </w:r>
      <w:r w:rsidR="00884C41" w:rsidRPr="00884C41">
        <w:rPr>
          <w:lang w:val="fr-FR"/>
        </w:rPr>
        <w:t>égard des pouvoirs publiques, qui fait que les femmes et les filles maories et celles issues de minorités ethniques hésitent à solliciter la protection des autorités face aux violences familiales et sexuelles et à demander réparation</w:t>
      </w:r>
      <w:r w:rsidR="00C0187D">
        <w:rPr>
          <w:lang w:val="fr-FR"/>
        </w:rPr>
        <w:t> ;</w:t>
      </w:r>
    </w:p>
    <w:p w14:paraId="4FBF1B05" w14:textId="0628256E" w:rsidR="00884C41" w:rsidRPr="00884C41" w:rsidRDefault="00D25381" w:rsidP="00D25381">
      <w:pPr>
        <w:pStyle w:val="SingleTxt"/>
        <w:rPr>
          <w:lang w:val="fr-FR"/>
        </w:rPr>
      </w:pPr>
      <w:r>
        <w:rPr>
          <w:lang w:val="fr-FR"/>
        </w:rPr>
        <w:tab/>
      </w:r>
      <w:r w:rsidR="00884C41" w:rsidRPr="00884C41">
        <w:rPr>
          <w:lang w:val="fr-FR"/>
        </w:rPr>
        <w:t>h)</w:t>
      </w:r>
      <w:r w:rsidR="00884C41" w:rsidRPr="00884C41">
        <w:rPr>
          <w:lang w:val="fr-FR"/>
        </w:rPr>
        <w:tab/>
        <w:t>par l</w:t>
      </w:r>
      <w:r w:rsidR="00070383">
        <w:rPr>
          <w:lang w:val="fr-FR"/>
        </w:rPr>
        <w:t>’</w:t>
      </w:r>
      <w:r w:rsidR="00884C41" w:rsidRPr="00884C41">
        <w:rPr>
          <w:lang w:val="fr-FR"/>
        </w:rPr>
        <w:t>absence de liens et de coordination entre les ordonnances de sécurité édictées par la police et les ordonnances de protection prononcées par les tribunaux</w:t>
      </w:r>
      <w:r w:rsidR="00C0187D">
        <w:rPr>
          <w:lang w:val="fr-FR"/>
        </w:rPr>
        <w:t> ;</w:t>
      </w:r>
    </w:p>
    <w:p w14:paraId="717C71DE" w14:textId="76844F42" w:rsidR="00884C41" w:rsidRPr="00884C41" w:rsidRDefault="00D25381" w:rsidP="00D25381">
      <w:pPr>
        <w:pStyle w:val="SingleTxt"/>
        <w:rPr>
          <w:lang w:val="fr-FR"/>
        </w:rPr>
      </w:pPr>
      <w:r>
        <w:rPr>
          <w:lang w:val="fr-FR"/>
        </w:rPr>
        <w:tab/>
      </w:r>
      <w:r w:rsidR="00884C41" w:rsidRPr="00884C41">
        <w:rPr>
          <w:lang w:val="fr-FR"/>
        </w:rPr>
        <w:t>i)</w:t>
      </w:r>
      <w:r w:rsidR="00884C41" w:rsidRPr="00884C41">
        <w:rPr>
          <w:lang w:val="fr-FR"/>
        </w:rPr>
        <w:tab/>
        <w:t>par le fait qu</w:t>
      </w:r>
      <w:r w:rsidR="00070383">
        <w:rPr>
          <w:lang w:val="fr-FR"/>
        </w:rPr>
        <w:t>’</w:t>
      </w:r>
      <w:r w:rsidR="00884C41" w:rsidRPr="00884C41">
        <w:rPr>
          <w:lang w:val="fr-FR"/>
        </w:rPr>
        <w:t>en dépit d</w:t>
      </w:r>
      <w:r w:rsidR="00070383">
        <w:rPr>
          <w:lang w:val="fr-FR"/>
        </w:rPr>
        <w:t>’</w:t>
      </w:r>
      <w:r w:rsidR="00884C41" w:rsidRPr="00884C41">
        <w:rPr>
          <w:lang w:val="fr-FR"/>
        </w:rPr>
        <w:t>une apparente baisse du nombre de « classements sans suite », aucune augmentation du nombre d</w:t>
      </w:r>
      <w:r w:rsidR="00070383">
        <w:rPr>
          <w:lang w:val="fr-FR"/>
        </w:rPr>
        <w:t>’</w:t>
      </w:r>
      <w:r w:rsidR="00884C41" w:rsidRPr="00884C41">
        <w:rPr>
          <w:lang w:val="fr-FR"/>
        </w:rPr>
        <w:t>affaires déférées à la justice n</w:t>
      </w:r>
      <w:r w:rsidR="00070383">
        <w:rPr>
          <w:lang w:val="fr-FR"/>
        </w:rPr>
        <w:t>’</w:t>
      </w:r>
      <w:r w:rsidR="00884C41" w:rsidRPr="00884C41">
        <w:rPr>
          <w:lang w:val="fr-FR"/>
        </w:rPr>
        <w:t>ait été observée</w:t>
      </w:r>
      <w:r w:rsidR="00C0187D">
        <w:rPr>
          <w:lang w:val="fr-FR"/>
        </w:rPr>
        <w:t> ;</w:t>
      </w:r>
    </w:p>
    <w:p w14:paraId="4E2956CC" w14:textId="4CE1A02B" w:rsidR="00884C41" w:rsidRPr="00884C41" w:rsidRDefault="00D25381" w:rsidP="00D25381">
      <w:pPr>
        <w:pStyle w:val="SingleTxt"/>
        <w:rPr>
          <w:lang w:val="fr-FR"/>
        </w:rPr>
      </w:pPr>
      <w:r>
        <w:rPr>
          <w:lang w:val="fr-FR"/>
        </w:rPr>
        <w:tab/>
      </w:r>
      <w:r w:rsidR="00884C41" w:rsidRPr="00884C41">
        <w:rPr>
          <w:lang w:val="fr-FR"/>
        </w:rPr>
        <w:t>j)</w:t>
      </w:r>
      <w:r w:rsidR="00884C41" w:rsidRPr="00884C41">
        <w:rPr>
          <w:lang w:val="fr-FR"/>
        </w:rPr>
        <w:tab/>
        <w:t>par l</w:t>
      </w:r>
      <w:r w:rsidR="00070383">
        <w:rPr>
          <w:lang w:val="fr-FR"/>
        </w:rPr>
        <w:t>’</w:t>
      </w:r>
      <w:r w:rsidR="00884C41" w:rsidRPr="00884C41">
        <w:rPr>
          <w:lang w:val="fr-FR"/>
        </w:rPr>
        <w:t>exposition accrue des femmes handicapées aux violences perpétrées par les aidants.</w:t>
      </w:r>
    </w:p>
    <w:p w14:paraId="22F3A169" w14:textId="0D6933D5" w:rsidR="00884C41" w:rsidRPr="00D25381" w:rsidRDefault="00884C41" w:rsidP="00BB581E">
      <w:pPr>
        <w:pStyle w:val="SingleTxt"/>
        <w:numPr>
          <w:ilvl w:val="0"/>
          <w:numId w:val="17"/>
        </w:numPr>
        <w:spacing w:line="240" w:lineRule="exact"/>
        <w:ind w:left="1267"/>
        <w:rPr>
          <w:b/>
          <w:bCs/>
          <w:lang w:val="fr-FR"/>
        </w:rPr>
      </w:pPr>
      <w:r w:rsidRPr="00D25381">
        <w:rPr>
          <w:b/>
          <w:bCs/>
          <w:lang w:val="fr-FR"/>
        </w:rPr>
        <w:t>Compte tenu de la recommandation générale n</w:t>
      </w:r>
      <w:r w:rsidR="00BB581E" w:rsidRPr="00B50F39">
        <w:rPr>
          <w:b/>
          <w:bCs/>
          <w:vertAlign w:val="superscript"/>
          <w:lang w:val="fr-FR"/>
        </w:rPr>
        <w:t>o</w:t>
      </w:r>
      <w:r w:rsidR="00D25381">
        <w:rPr>
          <w:b/>
          <w:bCs/>
          <w:lang w:val="fr-FR"/>
        </w:rPr>
        <w:t> </w:t>
      </w:r>
      <w:r w:rsidRPr="00E26C4F">
        <w:rPr>
          <w:b/>
          <w:bCs/>
          <w:lang w:val="fr-FR"/>
        </w:rPr>
        <w:t>35</w:t>
      </w:r>
      <w:r w:rsidRPr="00D25381">
        <w:rPr>
          <w:b/>
          <w:bCs/>
          <w:lang w:val="fr-FR"/>
        </w:rPr>
        <w:t xml:space="preserve"> (</w:t>
      </w:r>
      <w:r w:rsidRPr="00E26C4F">
        <w:rPr>
          <w:b/>
          <w:bCs/>
          <w:lang w:val="fr-FR"/>
        </w:rPr>
        <w:t>2017</w:t>
      </w:r>
      <w:r w:rsidRPr="00D25381">
        <w:rPr>
          <w:b/>
          <w:bCs/>
          <w:lang w:val="fr-FR"/>
        </w:rPr>
        <w:t>) sur la violence à l</w:t>
      </w:r>
      <w:r w:rsidR="00070383">
        <w:rPr>
          <w:b/>
          <w:bCs/>
          <w:lang w:val="fr-FR"/>
        </w:rPr>
        <w:t>’</w:t>
      </w:r>
      <w:r w:rsidRPr="00D25381">
        <w:rPr>
          <w:b/>
          <w:bCs/>
          <w:lang w:val="fr-FR"/>
        </w:rPr>
        <w:t>égard des femmes fondée sur le genre, portant actualisation de la recommandation générale n</w:t>
      </w:r>
      <w:r w:rsidR="00BB581E" w:rsidRPr="00B50F39">
        <w:rPr>
          <w:b/>
          <w:bCs/>
          <w:vertAlign w:val="superscript"/>
          <w:lang w:val="fr-FR"/>
        </w:rPr>
        <w:t>o</w:t>
      </w:r>
      <w:r w:rsidR="00D25381">
        <w:rPr>
          <w:b/>
          <w:bCs/>
          <w:lang w:val="fr-FR"/>
        </w:rPr>
        <w:t> </w:t>
      </w:r>
      <w:r w:rsidRPr="00E26C4F">
        <w:rPr>
          <w:b/>
          <w:bCs/>
          <w:lang w:val="fr-FR"/>
        </w:rPr>
        <w:t>19</w:t>
      </w:r>
      <w:r w:rsidRPr="00D25381">
        <w:rPr>
          <w:b/>
          <w:bCs/>
          <w:lang w:val="fr-FR"/>
        </w:rPr>
        <w:t>, et rappelant l</w:t>
      </w:r>
      <w:r w:rsidR="00070383">
        <w:rPr>
          <w:b/>
          <w:bCs/>
          <w:lang w:val="fr-FR"/>
        </w:rPr>
        <w:t>’</w:t>
      </w:r>
      <w:r w:rsidRPr="00D25381">
        <w:rPr>
          <w:b/>
          <w:bCs/>
          <w:lang w:val="fr-FR"/>
        </w:rPr>
        <w:t xml:space="preserve">objectif de développement durable </w:t>
      </w:r>
      <w:r w:rsidRPr="00E26C4F">
        <w:rPr>
          <w:b/>
          <w:bCs/>
          <w:lang w:val="fr-FR"/>
        </w:rPr>
        <w:t>5</w:t>
      </w:r>
      <w:r w:rsidRPr="00D25381">
        <w:rPr>
          <w:b/>
          <w:bCs/>
          <w:lang w:val="fr-FR"/>
        </w:rPr>
        <w:t>.</w:t>
      </w:r>
      <w:r w:rsidRPr="00E26C4F">
        <w:rPr>
          <w:b/>
          <w:bCs/>
          <w:lang w:val="fr-FR"/>
        </w:rPr>
        <w:t>2</w:t>
      </w:r>
      <w:r w:rsidRPr="00D25381">
        <w:rPr>
          <w:b/>
          <w:bCs/>
          <w:lang w:val="fr-FR"/>
        </w:rPr>
        <w:t xml:space="preserve"> tendant à éliminer de la vie publique et de la vie privée toutes les formes de violence à l</w:t>
      </w:r>
      <w:r w:rsidR="00070383">
        <w:rPr>
          <w:b/>
          <w:bCs/>
          <w:lang w:val="fr-FR"/>
        </w:rPr>
        <w:t>’</w:t>
      </w:r>
      <w:r w:rsidRPr="00D25381">
        <w:rPr>
          <w:b/>
          <w:bCs/>
          <w:lang w:val="fr-FR"/>
        </w:rPr>
        <w:t>égard des femmes et des filles, le Comité recommande à l</w:t>
      </w:r>
      <w:r w:rsidR="00070383">
        <w:rPr>
          <w:b/>
          <w:bCs/>
          <w:lang w:val="fr-FR"/>
        </w:rPr>
        <w:t>’</w:t>
      </w:r>
      <w:r w:rsidRPr="00D25381">
        <w:rPr>
          <w:b/>
          <w:bCs/>
          <w:lang w:val="fr-FR"/>
        </w:rPr>
        <w:t>État partie, en vue d</w:t>
      </w:r>
      <w:r w:rsidR="00070383">
        <w:rPr>
          <w:b/>
          <w:bCs/>
          <w:lang w:val="fr-FR"/>
        </w:rPr>
        <w:t>’</w:t>
      </w:r>
      <w:r w:rsidRPr="00D25381">
        <w:rPr>
          <w:b/>
          <w:bCs/>
          <w:lang w:val="fr-FR"/>
        </w:rPr>
        <w:t>intensifier ses efforts pour éradiquer la violence sexiste à l</w:t>
      </w:r>
      <w:r w:rsidR="00070383">
        <w:rPr>
          <w:b/>
          <w:bCs/>
          <w:lang w:val="fr-FR"/>
        </w:rPr>
        <w:t>’</w:t>
      </w:r>
      <w:r w:rsidRPr="00D25381">
        <w:rPr>
          <w:b/>
          <w:bCs/>
          <w:lang w:val="fr-FR"/>
        </w:rPr>
        <w:t>égard des femmes et ses causes profondes</w:t>
      </w:r>
      <w:r w:rsidR="00D25381">
        <w:rPr>
          <w:b/>
          <w:bCs/>
          <w:lang w:val="fr-FR"/>
        </w:rPr>
        <w:t> </w:t>
      </w:r>
      <w:r w:rsidRPr="00D25381">
        <w:rPr>
          <w:b/>
          <w:bCs/>
          <w:lang w:val="fr-FR"/>
        </w:rPr>
        <w:t>:</w:t>
      </w:r>
      <w:bookmarkStart w:id="7" w:name="_Hlk523384175"/>
      <w:bookmarkEnd w:id="7"/>
    </w:p>
    <w:p w14:paraId="7783EFB0" w14:textId="30E734FC" w:rsidR="00884C41" w:rsidRPr="00D25381" w:rsidRDefault="00D25381" w:rsidP="00D25381">
      <w:pPr>
        <w:pStyle w:val="SingleTxt"/>
        <w:rPr>
          <w:b/>
          <w:bCs/>
          <w:lang w:val="fr-FR"/>
        </w:rPr>
      </w:pPr>
      <w:r w:rsidRPr="00D25381">
        <w:rPr>
          <w:b/>
          <w:bCs/>
          <w:lang w:val="fr-FR"/>
        </w:rPr>
        <w:tab/>
      </w:r>
      <w:r w:rsidR="00884C41" w:rsidRPr="00D25381">
        <w:rPr>
          <w:b/>
          <w:bCs/>
          <w:lang w:val="fr-FR"/>
        </w:rPr>
        <w:t>a)</w:t>
      </w:r>
      <w:r w:rsidR="00884C41" w:rsidRPr="00D25381">
        <w:rPr>
          <w:b/>
          <w:bCs/>
          <w:lang w:val="fr-FR"/>
        </w:rPr>
        <w:tab/>
        <w:t>d</w:t>
      </w:r>
      <w:r w:rsidR="00070383">
        <w:rPr>
          <w:b/>
          <w:bCs/>
          <w:lang w:val="fr-FR"/>
        </w:rPr>
        <w:t>’</w:t>
      </w:r>
      <w:r w:rsidR="00884C41" w:rsidRPr="00D25381">
        <w:rPr>
          <w:b/>
          <w:bCs/>
          <w:lang w:val="fr-FR"/>
        </w:rPr>
        <w:t>adopter une stratégie globale, valable pour l</w:t>
      </w:r>
      <w:r w:rsidR="00070383">
        <w:rPr>
          <w:b/>
          <w:bCs/>
          <w:lang w:val="fr-FR"/>
        </w:rPr>
        <w:t>’</w:t>
      </w:r>
      <w:r w:rsidR="00884C41" w:rsidRPr="00D25381">
        <w:rPr>
          <w:b/>
          <w:bCs/>
          <w:lang w:val="fr-FR"/>
        </w:rPr>
        <w:t>ensemble des parties, sur la lutte contre les violences sexistes faites aux femmes, conformément à la recommandation générale n</w:t>
      </w:r>
      <w:r w:rsidR="00884C41" w:rsidRPr="00D25381">
        <w:rPr>
          <w:b/>
          <w:bCs/>
          <w:vertAlign w:val="superscript"/>
          <w:lang w:val="fr-FR"/>
        </w:rPr>
        <w:t>o</w:t>
      </w:r>
      <w:r>
        <w:rPr>
          <w:b/>
          <w:bCs/>
          <w:lang w:val="fr-FR"/>
        </w:rPr>
        <w:t> </w:t>
      </w:r>
      <w:r w:rsidR="00884C41" w:rsidRPr="00E26C4F">
        <w:rPr>
          <w:b/>
          <w:bCs/>
          <w:lang w:val="fr-FR"/>
        </w:rPr>
        <w:t>35</w:t>
      </w:r>
      <w:r w:rsidR="00884C41" w:rsidRPr="00D25381">
        <w:rPr>
          <w:b/>
          <w:bCs/>
          <w:lang w:val="fr-FR"/>
        </w:rPr>
        <w:t>, et de veiller à ce qu</w:t>
      </w:r>
      <w:r w:rsidR="00070383">
        <w:rPr>
          <w:b/>
          <w:bCs/>
          <w:lang w:val="fr-FR"/>
        </w:rPr>
        <w:t>’</w:t>
      </w:r>
      <w:r w:rsidR="00884C41" w:rsidRPr="00D25381">
        <w:rPr>
          <w:b/>
          <w:bCs/>
          <w:lang w:val="fr-FR"/>
        </w:rPr>
        <w:t>elle soit systématiquement mise en œuvre, notamment en appliquant strictement les dispositions du projet de loi relatif aux violences commises dans les familles et les whanau, une fois celui-ci adopté, et en prévoyant des mesures spécialement destinées à protéger les femmes handicapées victimes de mauvais traitements de la part de leurs aidants</w:t>
      </w:r>
      <w:r w:rsidR="00C0187D">
        <w:rPr>
          <w:b/>
          <w:bCs/>
          <w:lang w:val="fr-FR"/>
        </w:rPr>
        <w:t> ;</w:t>
      </w:r>
      <w:r w:rsidR="00884C41" w:rsidRPr="00D25381">
        <w:rPr>
          <w:b/>
          <w:bCs/>
          <w:lang w:val="fr-FR"/>
        </w:rPr>
        <w:t xml:space="preserve"> </w:t>
      </w:r>
      <w:bookmarkStart w:id="8" w:name="_Hlk523384381"/>
      <w:bookmarkEnd w:id="8"/>
    </w:p>
    <w:p w14:paraId="1B8F3C22" w14:textId="1FBAA7F7" w:rsidR="00884C41" w:rsidRPr="00D25381" w:rsidRDefault="00D25381" w:rsidP="00D25381">
      <w:pPr>
        <w:pStyle w:val="SingleTxt"/>
        <w:rPr>
          <w:b/>
          <w:bCs/>
          <w:lang w:val="fr-FR"/>
        </w:rPr>
      </w:pPr>
      <w:r w:rsidRPr="00D25381">
        <w:rPr>
          <w:b/>
          <w:bCs/>
          <w:lang w:val="fr-FR"/>
        </w:rPr>
        <w:tab/>
      </w:r>
      <w:r w:rsidR="00884C41" w:rsidRPr="00D25381">
        <w:rPr>
          <w:b/>
          <w:bCs/>
          <w:lang w:val="fr-FR"/>
        </w:rPr>
        <w:t>b)</w:t>
      </w:r>
      <w:r w:rsidR="00884C41" w:rsidRPr="00D25381">
        <w:rPr>
          <w:b/>
          <w:bCs/>
          <w:lang w:val="fr-FR"/>
        </w:rPr>
        <w:tab/>
        <w:t>de mettre en place des programmes de sensibilisation en collaboration avec les enseignants et les médias, y compris les réseaux sociaux, pour faire comprendre le caractère criminel des violences sexistes envers les femmes et encourager les victimes et les témoins à signaler de tels faits</w:t>
      </w:r>
      <w:r w:rsidR="00C0187D">
        <w:rPr>
          <w:b/>
          <w:bCs/>
          <w:lang w:val="fr-FR"/>
        </w:rPr>
        <w:t> ;</w:t>
      </w:r>
      <w:bookmarkStart w:id="9" w:name="_Hlk523384701"/>
      <w:bookmarkEnd w:id="9"/>
    </w:p>
    <w:p w14:paraId="6102AE4E" w14:textId="4AEF8BEF" w:rsidR="00884C41" w:rsidRPr="00D25381" w:rsidRDefault="00D25381" w:rsidP="00D25381">
      <w:pPr>
        <w:pStyle w:val="SingleTxt"/>
        <w:rPr>
          <w:b/>
          <w:bCs/>
          <w:lang w:val="fr-FR"/>
        </w:rPr>
      </w:pPr>
      <w:r w:rsidRPr="00D25381">
        <w:rPr>
          <w:b/>
          <w:bCs/>
          <w:lang w:val="fr-FR"/>
        </w:rPr>
        <w:tab/>
      </w:r>
      <w:r w:rsidR="00884C41" w:rsidRPr="00D25381">
        <w:rPr>
          <w:b/>
          <w:bCs/>
          <w:lang w:val="fr-FR"/>
        </w:rPr>
        <w:t>c)</w:t>
      </w:r>
      <w:r w:rsidR="00884C41" w:rsidRPr="00D25381">
        <w:rPr>
          <w:b/>
          <w:bCs/>
          <w:lang w:val="fr-FR"/>
        </w:rPr>
        <w:tab/>
        <w:t>de mettre davantage l</w:t>
      </w:r>
      <w:r w:rsidR="00070383">
        <w:rPr>
          <w:b/>
          <w:bCs/>
          <w:lang w:val="fr-FR"/>
        </w:rPr>
        <w:t>’</w:t>
      </w:r>
      <w:r w:rsidR="00884C41" w:rsidRPr="00D25381">
        <w:rPr>
          <w:b/>
          <w:bCs/>
          <w:lang w:val="fr-FR"/>
        </w:rPr>
        <w:t>accent sur les actions de renforcement des capacités et de sensibilisation et sur les formations à l</w:t>
      </w:r>
      <w:r w:rsidR="00070383">
        <w:rPr>
          <w:b/>
          <w:bCs/>
          <w:lang w:val="fr-FR"/>
        </w:rPr>
        <w:t>’</w:t>
      </w:r>
      <w:r w:rsidR="00884C41" w:rsidRPr="00D25381">
        <w:rPr>
          <w:b/>
          <w:bCs/>
          <w:lang w:val="fr-FR"/>
        </w:rPr>
        <w:t>intention des juges, des agents des services répressifs et du personnel des services sociaux concernant toutes les formes de violences sexistes et les besoins spécifiques de protection des femmes migrantes, afin de veiller à ce que les victimes ne soient en aucun cas forcées ou pressées d</w:t>
      </w:r>
      <w:r w:rsidR="00070383">
        <w:rPr>
          <w:b/>
          <w:bCs/>
          <w:lang w:val="fr-FR"/>
        </w:rPr>
        <w:t>’</w:t>
      </w:r>
      <w:r w:rsidR="00884C41" w:rsidRPr="00D25381">
        <w:rPr>
          <w:b/>
          <w:bCs/>
          <w:lang w:val="fr-FR"/>
        </w:rPr>
        <w:t>accepter la médiation ou d</w:t>
      </w:r>
      <w:r w:rsidR="00070383">
        <w:rPr>
          <w:b/>
          <w:bCs/>
          <w:lang w:val="fr-FR"/>
        </w:rPr>
        <w:t>’</w:t>
      </w:r>
      <w:r w:rsidR="00884C41" w:rsidRPr="00D25381">
        <w:rPr>
          <w:b/>
          <w:bCs/>
          <w:lang w:val="fr-FR"/>
        </w:rPr>
        <w:t>autres méthodes de règlement des différends en lieu et place de poursuites pénales contre leur agresseur</w:t>
      </w:r>
      <w:r w:rsidR="00C0187D">
        <w:rPr>
          <w:b/>
          <w:bCs/>
          <w:lang w:val="fr-FR"/>
        </w:rPr>
        <w:t> ;</w:t>
      </w:r>
      <w:r w:rsidR="00884C41" w:rsidRPr="00D25381">
        <w:rPr>
          <w:b/>
          <w:bCs/>
          <w:lang w:val="fr-FR"/>
        </w:rPr>
        <w:t xml:space="preserve"> </w:t>
      </w:r>
    </w:p>
    <w:p w14:paraId="3EE5CAE4" w14:textId="5A410FCB" w:rsidR="00884C41" w:rsidRPr="00D25381" w:rsidRDefault="00D25381" w:rsidP="00D25381">
      <w:pPr>
        <w:pStyle w:val="SingleTxt"/>
        <w:rPr>
          <w:b/>
          <w:bCs/>
          <w:lang w:val="fr-FR"/>
        </w:rPr>
      </w:pPr>
      <w:r w:rsidRPr="00D25381">
        <w:rPr>
          <w:b/>
          <w:bCs/>
          <w:lang w:val="fr-FR"/>
        </w:rPr>
        <w:tab/>
      </w:r>
      <w:r w:rsidR="00884C41" w:rsidRPr="00D25381">
        <w:rPr>
          <w:b/>
          <w:bCs/>
          <w:lang w:val="fr-FR"/>
        </w:rPr>
        <w:t>d)</w:t>
      </w:r>
      <w:r w:rsidR="00884C41" w:rsidRPr="00D25381">
        <w:rPr>
          <w:b/>
          <w:bCs/>
          <w:lang w:val="fr-FR"/>
        </w:rPr>
        <w:tab/>
        <w:t>d</w:t>
      </w:r>
      <w:r w:rsidR="00070383">
        <w:rPr>
          <w:b/>
          <w:bCs/>
          <w:lang w:val="fr-FR"/>
        </w:rPr>
        <w:t>’</w:t>
      </w:r>
      <w:r w:rsidR="00884C41" w:rsidRPr="00D25381">
        <w:rPr>
          <w:b/>
          <w:bCs/>
          <w:lang w:val="fr-FR"/>
        </w:rPr>
        <w:t>affecter des ressources à l</w:t>
      </w:r>
      <w:r w:rsidR="00070383">
        <w:rPr>
          <w:b/>
          <w:bCs/>
          <w:lang w:val="fr-FR"/>
        </w:rPr>
        <w:t>’</w:t>
      </w:r>
      <w:r w:rsidR="00884C41" w:rsidRPr="00D25381">
        <w:rPr>
          <w:b/>
          <w:bCs/>
          <w:lang w:val="fr-FR"/>
        </w:rPr>
        <w:t>élaboration d</w:t>
      </w:r>
      <w:r w:rsidR="00070383">
        <w:rPr>
          <w:b/>
          <w:bCs/>
          <w:lang w:val="fr-FR"/>
        </w:rPr>
        <w:t>’</w:t>
      </w:r>
      <w:r w:rsidR="00884C41" w:rsidRPr="00D25381">
        <w:rPr>
          <w:b/>
          <w:bCs/>
          <w:lang w:val="fr-FR"/>
        </w:rPr>
        <w:t>une stratégie globale de prévention des violences sexistes envers les femmes</w:t>
      </w:r>
      <w:r w:rsidR="00C0187D">
        <w:rPr>
          <w:b/>
          <w:bCs/>
          <w:lang w:val="fr-FR"/>
        </w:rPr>
        <w:t> ;</w:t>
      </w:r>
    </w:p>
    <w:p w14:paraId="10A55D87" w14:textId="7BBA0A3D" w:rsidR="00884C41" w:rsidRPr="00D25381" w:rsidRDefault="00D25381" w:rsidP="00D25381">
      <w:pPr>
        <w:pStyle w:val="SingleTxt"/>
        <w:rPr>
          <w:b/>
          <w:bCs/>
          <w:lang w:val="fr-FR"/>
        </w:rPr>
      </w:pPr>
      <w:r w:rsidRPr="00D25381">
        <w:rPr>
          <w:b/>
          <w:bCs/>
          <w:lang w:val="fr-FR"/>
        </w:rPr>
        <w:tab/>
      </w:r>
      <w:r w:rsidR="00884C41" w:rsidRPr="00D25381">
        <w:rPr>
          <w:b/>
          <w:bCs/>
          <w:lang w:val="fr-FR"/>
        </w:rPr>
        <w:t>e)</w:t>
      </w:r>
      <w:r w:rsidR="00884C41" w:rsidRPr="00D25381">
        <w:rPr>
          <w:b/>
          <w:bCs/>
          <w:lang w:val="fr-FR"/>
        </w:rPr>
        <w:tab/>
        <w:t>d</w:t>
      </w:r>
      <w:r w:rsidR="00070383">
        <w:rPr>
          <w:b/>
          <w:bCs/>
          <w:lang w:val="fr-FR"/>
        </w:rPr>
        <w:t>’</w:t>
      </w:r>
      <w:r w:rsidR="00884C41" w:rsidRPr="00D25381">
        <w:rPr>
          <w:b/>
          <w:bCs/>
          <w:lang w:val="fr-FR"/>
        </w:rPr>
        <w:t>adopter des critères et directives tendant à dispenser une assistance juridique, psychologique et économique culturellement acceptable et axée sur les victimes qui reconnaisse les besoins particuliers des femmes et des filles maories, et celles issues des minorités ethniques, tout en veillant à ce que les efforts de sensibilisation aux réalités culturelles ne soient entrepris au détriment des obligations qui incombent à l</w:t>
      </w:r>
      <w:r w:rsidR="00070383">
        <w:rPr>
          <w:b/>
          <w:bCs/>
          <w:lang w:val="fr-FR"/>
        </w:rPr>
        <w:t>’</w:t>
      </w:r>
      <w:r w:rsidR="00884C41" w:rsidRPr="00D25381">
        <w:rPr>
          <w:b/>
          <w:bCs/>
          <w:lang w:val="fr-FR"/>
        </w:rPr>
        <w:t>État partie au titre de la Convention</w:t>
      </w:r>
      <w:r w:rsidR="00C0187D">
        <w:rPr>
          <w:b/>
          <w:bCs/>
          <w:lang w:val="fr-FR"/>
        </w:rPr>
        <w:t> ;</w:t>
      </w:r>
      <w:r w:rsidR="00884C41" w:rsidRPr="00D25381">
        <w:rPr>
          <w:b/>
          <w:bCs/>
          <w:lang w:val="fr-FR"/>
        </w:rPr>
        <w:t xml:space="preserve"> </w:t>
      </w:r>
    </w:p>
    <w:p w14:paraId="3301CF92" w14:textId="1345480B" w:rsidR="00884C41" w:rsidRPr="00D25381" w:rsidRDefault="00D25381" w:rsidP="00D25381">
      <w:pPr>
        <w:pStyle w:val="SingleTxt"/>
        <w:rPr>
          <w:b/>
          <w:bCs/>
          <w:lang w:val="fr-FR"/>
        </w:rPr>
      </w:pPr>
      <w:r w:rsidRPr="00D25381">
        <w:rPr>
          <w:b/>
          <w:bCs/>
          <w:lang w:val="fr-FR"/>
        </w:rPr>
        <w:tab/>
      </w:r>
      <w:r w:rsidR="00884C41" w:rsidRPr="00D25381">
        <w:rPr>
          <w:b/>
          <w:bCs/>
          <w:lang w:val="fr-FR"/>
        </w:rPr>
        <w:t>f)</w:t>
      </w:r>
      <w:r w:rsidR="00884C41" w:rsidRPr="00D25381">
        <w:rPr>
          <w:b/>
          <w:bCs/>
          <w:lang w:val="fr-FR"/>
        </w:rPr>
        <w:tab/>
        <w:t>de recueillir et de communiquer au Comité des données ventilées par âge, type de violences et relations entre l</w:t>
      </w:r>
      <w:r w:rsidR="00070383">
        <w:rPr>
          <w:b/>
          <w:bCs/>
          <w:lang w:val="fr-FR"/>
        </w:rPr>
        <w:t>’</w:t>
      </w:r>
      <w:r w:rsidR="00884C41" w:rsidRPr="00D25381">
        <w:rPr>
          <w:b/>
          <w:bCs/>
          <w:lang w:val="fr-FR"/>
        </w:rPr>
        <w:t>auteur et la victime sur le nombre de cas de violences subies par des femmes ayant fait l</w:t>
      </w:r>
      <w:r w:rsidR="00070383">
        <w:rPr>
          <w:b/>
          <w:bCs/>
          <w:lang w:val="fr-FR"/>
        </w:rPr>
        <w:t>’</w:t>
      </w:r>
      <w:r w:rsidR="00884C41" w:rsidRPr="00D25381">
        <w:rPr>
          <w:b/>
          <w:bCs/>
          <w:lang w:val="fr-FR"/>
        </w:rPr>
        <w:t>objet d</w:t>
      </w:r>
      <w:r w:rsidR="00070383">
        <w:rPr>
          <w:b/>
          <w:bCs/>
          <w:lang w:val="fr-FR"/>
        </w:rPr>
        <w:t>’</w:t>
      </w:r>
      <w:r w:rsidR="00884C41" w:rsidRPr="00D25381">
        <w:rPr>
          <w:b/>
          <w:bCs/>
          <w:lang w:val="fr-FR"/>
        </w:rPr>
        <w:t>une enquête et sur le nombre de ceux ayant donné lieu à des poursuites, notamment des informations sur les sanctions prononcées contre leurs auteurs, le nombre de femmes victimes de violences qui ont bénéficié d</w:t>
      </w:r>
      <w:r w:rsidR="00070383">
        <w:rPr>
          <w:b/>
          <w:bCs/>
          <w:lang w:val="fr-FR"/>
        </w:rPr>
        <w:t>’</w:t>
      </w:r>
      <w:r w:rsidR="00884C41" w:rsidRPr="00D25381">
        <w:rPr>
          <w:b/>
          <w:bCs/>
          <w:lang w:val="fr-FR"/>
        </w:rPr>
        <w:t>une assistance juridique et de services de soutien en la matière et le nombre de victimes qui ont obtenu réparation, y compris sous la forme d</w:t>
      </w:r>
      <w:r w:rsidR="00070383">
        <w:rPr>
          <w:b/>
          <w:bCs/>
          <w:lang w:val="fr-FR"/>
        </w:rPr>
        <w:t>’</w:t>
      </w:r>
      <w:r w:rsidR="00884C41" w:rsidRPr="00D25381">
        <w:rPr>
          <w:b/>
          <w:bCs/>
          <w:lang w:val="fr-FR"/>
        </w:rPr>
        <w:t xml:space="preserve">une </w:t>
      </w:r>
      <w:bookmarkStart w:id="10" w:name="_Hlk523384981"/>
      <w:bookmarkStart w:id="11" w:name="_Hlk523385122"/>
      <w:bookmarkEnd w:id="10"/>
      <w:bookmarkEnd w:id="11"/>
      <w:r w:rsidR="00884C41" w:rsidRPr="00D25381">
        <w:rPr>
          <w:b/>
          <w:bCs/>
          <w:lang w:val="fr-FR"/>
        </w:rPr>
        <w:t>indemnisation pécuniaire</w:t>
      </w:r>
      <w:r w:rsidR="00C0187D">
        <w:rPr>
          <w:b/>
          <w:bCs/>
          <w:lang w:val="fr-FR"/>
        </w:rPr>
        <w:t> ;</w:t>
      </w:r>
    </w:p>
    <w:p w14:paraId="6784F179" w14:textId="63E98B10" w:rsidR="00884C41" w:rsidRPr="00D25381" w:rsidRDefault="00D25381" w:rsidP="00D25381">
      <w:pPr>
        <w:pStyle w:val="SingleTxt"/>
        <w:rPr>
          <w:b/>
          <w:bCs/>
          <w:lang w:val="fr-FR"/>
        </w:rPr>
      </w:pPr>
      <w:r w:rsidRPr="00D25381">
        <w:rPr>
          <w:b/>
          <w:bCs/>
          <w:lang w:val="fr-FR"/>
        </w:rPr>
        <w:tab/>
      </w:r>
      <w:r w:rsidR="00884C41" w:rsidRPr="00D25381">
        <w:rPr>
          <w:b/>
          <w:bCs/>
          <w:lang w:val="fr-FR"/>
        </w:rPr>
        <w:t>g)</w:t>
      </w:r>
      <w:r w:rsidR="00884C41" w:rsidRPr="00D25381">
        <w:rPr>
          <w:b/>
          <w:bCs/>
          <w:lang w:val="fr-FR"/>
        </w:rPr>
        <w:tab/>
        <w:t>d</w:t>
      </w:r>
      <w:r w:rsidR="00070383">
        <w:rPr>
          <w:b/>
          <w:bCs/>
          <w:lang w:val="fr-FR"/>
        </w:rPr>
        <w:t>’</w:t>
      </w:r>
      <w:r w:rsidR="00884C41" w:rsidRPr="00D25381">
        <w:rPr>
          <w:b/>
          <w:bCs/>
          <w:lang w:val="fr-FR"/>
        </w:rPr>
        <w:t>assurer une coordination et une collaboration effectives entre les différentes entités en charge de la lutte contre les violences sexistes</w:t>
      </w:r>
      <w:r w:rsidR="00C0187D">
        <w:rPr>
          <w:b/>
          <w:bCs/>
          <w:lang w:val="fr-FR"/>
        </w:rPr>
        <w:t> ;</w:t>
      </w:r>
    </w:p>
    <w:p w14:paraId="72309C33" w14:textId="3FC664EB" w:rsidR="00884C41" w:rsidRPr="00D25381" w:rsidRDefault="00D25381" w:rsidP="00D25381">
      <w:pPr>
        <w:pStyle w:val="SingleTxt"/>
        <w:rPr>
          <w:b/>
          <w:bCs/>
          <w:lang w:val="fr-FR"/>
        </w:rPr>
      </w:pPr>
      <w:r w:rsidRPr="00D25381">
        <w:rPr>
          <w:b/>
          <w:bCs/>
          <w:lang w:val="fr-FR"/>
        </w:rPr>
        <w:tab/>
      </w:r>
      <w:r w:rsidR="00884C41" w:rsidRPr="00D25381">
        <w:rPr>
          <w:b/>
          <w:bCs/>
          <w:lang w:val="fr-FR"/>
        </w:rPr>
        <w:t>h)</w:t>
      </w:r>
      <w:r w:rsidR="00884C41" w:rsidRPr="00D25381">
        <w:rPr>
          <w:b/>
          <w:bCs/>
          <w:lang w:val="fr-FR"/>
        </w:rPr>
        <w:tab/>
        <w:t>d</w:t>
      </w:r>
      <w:r w:rsidR="00070383">
        <w:rPr>
          <w:b/>
          <w:bCs/>
          <w:lang w:val="fr-FR"/>
        </w:rPr>
        <w:t>’</w:t>
      </w:r>
      <w:r w:rsidR="00884C41" w:rsidRPr="00D25381">
        <w:rPr>
          <w:b/>
          <w:bCs/>
          <w:lang w:val="fr-FR"/>
        </w:rPr>
        <w:t>envisager de renouveler l</w:t>
      </w:r>
      <w:r w:rsidR="00070383">
        <w:rPr>
          <w:b/>
          <w:bCs/>
          <w:lang w:val="fr-FR"/>
        </w:rPr>
        <w:t>’</w:t>
      </w:r>
      <w:r w:rsidR="00884C41" w:rsidRPr="00D25381">
        <w:rPr>
          <w:b/>
          <w:bCs/>
          <w:lang w:val="fr-FR"/>
        </w:rPr>
        <w:t>invitation qu</w:t>
      </w:r>
      <w:r w:rsidR="00070383">
        <w:rPr>
          <w:b/>
          <w:bCs/>
          <w:lang w:val="fr-FR"/>
        </w:rPr>
        <w:t>’</w:t>
      </w:r>
      <w:r w:rsidR="00884C41" w:rsidRPr="00D25381">
        <w:rPr>
          <w:b/>
          <w:bCs/>
          <w:lang w:val="fr-FR"/>
        </w:rPr>
        <w:t>il a adressée à la Rapporteuse spéciale sur la violence contre les femmes, ses causes et ses conséquences</w:t>
      </w:r>
      <w:r w:rsidR="00C0187D">
        <w:rPr>
          <w:b/>
          <w:bCs/>
          <w:lang w:val="fr-FR"/>
        </w:rPr>
        <w:t> ;</w:t>
      </w:r>
    </w:p>
    <w:p w14:paraId="0492A8A0" w14:textId="385685B2" w:rsidR="00884C41" w:rsidRDefault="00D25381" w:rsidP="00D25381">
      <w:pPr>
        <w:pStyle w:val="SingleTxt"/>
        <w:rPr>
          <w:b/>
          <w:bCs/>
          <w:lang w:val="fr-FR"/>
        </w:rPr>
      </w:pPr>
      <w:r w:rsidRPr="00D25381">
        <w:rPr>
          <w:b/>
          <w:bCs/>
          <w:lang w:val="fr-FR"/>
        </w:rPr>
        <w:tab/>
      </w:r>
      <w:r w:rsidR="00884C41" w:rsidRPr="00D25381">
        <w:rPr>
          <w:b/>
          <w:bCs/>
          <w:lang w:val="fr-FR"/>
        </w:rPr>
        <w:t>i)</w:t>
      </w:r>
      <w:r w:rsidR="00884C41" w:rsidRPr="00D25381">
        <w:rPr>
          <w:b/>
          <w:bCs/>
          <w:lang w:val="fr-FR"/>
        </w:rPr>
        <w:tab/>
        <w:t>de veiller à ce que le projet de loi relatif aux violences commises dans les familles et les whanau protègent les femmes handicapées contre les violences perpétrées par leurs aidants.</w:t>
      </w:r>
    </w:p>
    <w:p w14:paraId="6D8DEB57" w14:textId="62E184FB" w:rsidR="00C0187D" w:rsidRPr="00D25381" w:rsidRDefault="00C0187D" w:rsidP="00D25381">
      <w:pPr>
        <w:pStyle w:val="SingleTxt"/>
        <w:spacing w:after="0" w:line="120" w:lineRule="exact"/>
        <w:rPr>
          <w:sz w:val="10"/>
          <w:lang w:val="fr-FR"/>
        </w:rPr>
      </w:pPr>
    </w:p>
    <w:p w14:paraId="788A5FAA" w14:textId="4D5DADC7" w:rsidR="00D25381" w:rsidRDefault="00D25381" w:rsidP="00D253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D25381">
        <w:rPr>
          <w:lang w:val="fr-FR"/>
        </w:rPr>
        <w:t xml:space="preserve">Traite et </w:t>
      </w:r>
      <w:r>
        <w:rPr>
          <w:lang w:val="fr-FR"/>
        </w:rPr>
        <w:t>exploitation de la prostitution</w:t>
      </w:r>
    </w:p>
    <w:p w14:paraId="1DE083DC" w14:textId="492F5D39" w:rsidR="00D25381" w:rsidRPr="00D25381" w:rsidRDefault="00D25381" w:rsidP="00D25381">
      <w:pPr>
        <w:pStyle w:val="SingleTxt"/>
        <w:spacing w:after="0" w:line="120" w:lineRule="exact"/>
        <w:rPr>
          <w:sz w:val="10"/>
          <w:lang w:val="fr-FR"/>
        </w:rPr>
      </w:pPr>
    </w:p>
    <w:p w14:paraId="6F84EEB9" w14:textId="17F62CFA" w:rsidR="00D25381" w:rsidRPr="00D25381" w:rsidRDefault="00D25381" w:rsidP="00D25381">
      <w:pPr>
        <w:pStyle w:val="SingleTxt"/>
        <w:numPr>
          <w:ilvl w:val="0"/>
          <w:numId w:val="17"/>
        </w:numPr>
        <w:spacing w:line="240" w:lineRule="exact"/>
        <w:ind w:left="1267"/>
        <w:rPr>
          <w:lang w:val="fr-FR"/>
        </w:rPr>
      </w:pPr>
      <w:r w:rsidRPr="00D25381">
        <w:rPr>
          <w:lang w:val="fr-FR"/>
        </w:rPr>
        <w:t>Le Comité félicite l</w:t>
      </w:r>
      <w:r w:rsidR="00070383">
        <w:rPr>
          <w:lang w:val="fr-FR"/>
        </w:rPr>
        <w:t>’</w:t>
      </w:r>
      <w:r w:rsidRPr="00D25381">
        <w:rPr>
          <w:lang w:val="fr-FR"/>
        </w:rPr>
        <w:t>État partie d</w:t>
      </w:r>
      <w:r w:rsidR="00070383">
        <w:rPr>
          <w:lang w:val="fr-FR"/>
        </w:rPr>
        <w:t>’</w:t>
      </w:r>
      <w:r w:rsidRPr="00D25381">
        <w:rPr>
          <w:lang w:val="fr-FR"/>
        </w:rPr>
        <w:t xml:space="preserve">avoir adopté en </w:t>
      </w:r>
      <w:r w:rsidRPr="00E26C4F">
        <w:rPr>
          <w:lang w:val="fr-FR"/>
        </w:rPr>
        <w:t>2014</w:t>
      </w:r>
      <w:r w:rsidRPr="00D25381">
        <w:rPr>
          <w:lang w:val="fr-FR"/>
        </w:rPr>
        <w:t xml:space="preserve"> la loi relative à la lutte contre le crime organisé et la corruption</w:t>
      </w:r>
      <w:r w:rsidR="00C0187D">
        <w:rPr>
          <w:lang w:val="fr-FR"/>
        </w:rPr>
        <w:t> ;</w:t>
      </w:r>
      <w:r w:rsidRPr="00D25381">
        <w:rPr>
          <w:lang w:val="fr-FR"/>
        </w:rPr>
        <w:t xml:space="preserve"> ce texte, qui est venu modifier la loi de </w:t>
      </w:r>
      <w:r w:rsidRPr="00E26C4F">
        <w:rPr>
          <w:lang w:val="fr-FR"/>
        </w:rPr>
        <w:t>1961</w:t>
      </w:r>
      <w:r w:rsidRPr="00D25381">
        <w:rPr>
          <w:lang w:val="fr-FR"/>
        </w:rPr>
        <w:t xml:space="preserve"> sur les infractions pénales, donne de la traite une définition plus large, qui englobe la traite intra-étatique et la traite à des fins de travail forcé. Le Comité relève également la création d</w:t>
      </w:r>
      <w:r w:rsidR="00070383">
        <w:rPr>
          <w:lang w:val="fr-FR"/>
        </w:rPr>
        <w:t>’</w:t>
      </w:r>
      <w:r w:rsidRPr="00D25381">
        <w:rPr>
          <w:lang w:val="fr-FR"/>
        </w:rPr>
        <w:t>un groupe de travail interinstitutions chargé de combattre ce phénomène et de mettre au point des stratégies conjointes. Il demeure cependant préoccupé par</w:t>
      </w:r>
      <w:r>
        <w:rPr>
          <w:lang w:val="fr-FR"/>
        </w:rPr>
        <w:t> </w:t>
      </w:r>
      <w:r w:rsidRPr="00D25381">
        <w:rPr>
          <w:lang w:val="fr-FR"/>
        </w:rPr>
        <w:t>:</w:t>
      </w:r>
      <w:bookmarkStart w:id="12" w:name="_Hlk523385416"/>
      <w:bookmarkEnd w:id="12"/>
    </w:p>
    <w:p w14:paraId="59C713AF" w14:textId="4062997D" w:rsidR="00D25381" w:rsidRPr="00D25381" w:rsidRDefault="00D25381" w:rsidP="0030629E">
      <w:pPr>
        <w:pStyle w:val="SingleTxt"/>
        <w:rPr>
          <w:lang w:val="fr-FR"/>
        </w:rPr>
      </w:pPr>
      <w:r w:rsidRPr="00D25381">
        <w:rPr>
          <w:lang w:val="fr-FR"/>
        </w:rPr>
        <w:tab/>
      </w:r>
      <w:r>
        <w:rPr>
          <w:lang w:val="fr-FR"/>
        </w:rPr>
        <w:t>a)</w:t>
      </w:r>
      <w:r w:rsidRPr="00D25381">
        <w:rPr>
          <w:lang w:val="fr-FR"/>
        </w:rPr>
        <w:tab/>
        <w:t>les conséquences négatives que pourraient avoir sur les femmes migrantes l</w:t>
      </w:r>
      <w:r w:rsidR="00070383">
        <w:rPr>
          <w:lang w:val="fr-FR"/>
        </w:rPr>
        <w:t>’</w:t>
      </w:r>
      <w:r w:rsidRPr="00D25381">
        <w:rPr>
          <w:lang w:val="fr-FR"/>
        </w:rPr>
        <w:t xml:space="preserve">article </w:t>
      </w:r>
      <w:r w:rsidRPr="00E26C4F">
        <w:rPr>
          <w:lang w:val="fr-FR"/>
        </w:rPr>
        <w:t>19</w:t>
      </w:r>
      <w:r w:rsidRPr="00D25381">
        <w:rPr>
          <w:lang w:val="fr-FR"/>
        </w:rPr>
        <w:t xml:space="preserve"> de la loi de </w:t>
      </w:r>
      <w:r w:rsidRPr="00E26C4F">
        <w:rPr>
          <w:lang w:val="fr-FR"/>
        </w:rPr>
        <w:t>2003</w:t>
      </w:r>
      <w:r w:rsidRPr="00D25381">
        <w:rPr>
          <w:lang w:val="fr-FR"/>
        </w:rPr>
        <w:t xml:space="preserve"> réformant la législation sur la prostitution</w:t>
      </w:r>
      <w:r w:rsidR="00C0187D">
        <w:rPr>
          <w:lang w:val="fr-FR"/>
        </w:rPr>
        <w:t> ;</w:t>
      </w:r>
      <w:r w:rsidRPr="00D25381">
        <w:rPr>
          <w:lang w:val="fr-FR"/>
        </w:rPr>
        <w:t xml:space="preserve"> </w:t>
      </w:r>
    </w:p>
    <w:p w14:paraId="454B10BE" w14:textId="57A99D73" w:rsidR="00D25381" w:rsidRPr="00D25381" w:rsidRDefault="00D25381" w:rsidP="0030629E">
      <w:pPr>
        <w:pStyle w:val="SingleTxt"/>
        <w:rPr>
          <w:lang w:val="fr-FR"/>
        </w:rPr>
      </w:pPr>
      <w:r w:rsidRPr="00D25381">
        <w:rPr>
          <w:lang w:val="fr-FR"/>
        </w:rPr>
        <w:tab/>
        <w:t>b)</w:t>
      </w:r>
      <w:r w:rsidRPr="00D25381">
        <w:rPr>
          <w:lang w:val="fr-FR"/>
        </w:rPr>
        <w:tab/>
        <w:t>le risque d</w:t>
      </w:r>
      <w:r w:rsidR="00070383">
        <w:rPr>
          <w:lang w:val="fr-FR"/>
        </w:rPr>
        <w:t>’</w:t>
      </w:r>
      <w:r w:rsidRPr="00D25381">
        <w:rPr>
          <w:lang w:val="fr-FR"/>
        </w:rPr>
        <w:t>exploitation ou de traite que courent les migrantes qui se livrent à la prostitution, l</w:t>
      </w:r>
      <w:r w:rsidR="00070383">
        <w:rPr>
          <w:lang w:val="fr-FR"/>
        </w:rPr>
        <w:t>’</w:t>
      </w:r>
      <w:r w:rsidRPr="00D25381">
        <w:rPr>
          <w:lang w:val="fr-FR"/>
        </w:rPr>
        <w:t>interdiction faite aux migrants d</w:t>
      </w:r>
      <w:r w:rsidR="00070383">
        <w:rPr>
          <w:lang w:val="fr-FR"/>
        </w:rPr>
        <w:t>’</w:t>
      </w:r>
      <w:r w:rsidRPr="00D25381">
        <w:rPr>
          <w:lang w:val="fr-FR"/>
        </w:rPr>
        <w:t>exercer de telles activités les empêchant de signaler des abus de peur d</w:t>
      </w:r>
      <w:r w:rsidR="00070383">
        <w:rPr>
          <w:lang w:val="fr-FR"/>
        </w:rPr>
        <w:t>’</w:t>
      </w:r>
      <w:r w:rsidRPr="00D25381">
        <w:rPr>
          <w:lang w:val="fr-FR"/>
        </w:rPr>
        <w:t>être expulsées</w:t>
      </w:r>
      <w:r w:rsidR="00C0187D">
        <w:rPr>
          <w:lang w:val="fr-FR"/>
        </w:rPr>
        <w:t> ;</w:t>
      </w:r>
      <w:r w:rsidRPr="00D25381">
        <w:rPr>
          <w:lang w:val="fr-FR"/>
        </w:rPr>
        <w:t xml:space="preserve"> </w:t>
      </w:r>
    </w:p>
    <w:p w14:paraId="6BCE1FA3" w14:textId="1C67E385" w:rsidR="00D25381" w:rsidRPr="00D25381" w:rsidRDefault="00D25381" w:rsidP="0030629E">
      <w:pPr>
        <w:pStyle w:val="SingleTxt"/>
        <w:rPr>
          <w:lang w:val="fr-FR"/>
        </w:rPr>
      </w:pPr>
      <w:r>
        <w:rPr>
          <w:lang w:val="fr-FR"/>
        </w:rPr>
        <w:tab/>
      </w:r>
      <w:r w:rsidRPr="00D25381">
        <w:rPr>
          <w:lang w:val="fr-FR"/>
        </w:rPr>
        <w:t>c)</w:t>
      </w:r>
      <w:r w:rsidRPr="00D25381">
        <w:rPr>
          <w:lang w:val="fr-FR"/>
        </w:rPr>
        <w:tab/>
        <w:t>le nombre minime de poursuites et de condamnations, et l</w:t>
      </w:r>
      <w:r w:rsidR="00070383">
        <w:rPr>
          <w:lang w:val="fr-FR"/>
        </w:rPr>
        <w:t>’</w:t>
      </w:r>
      <w:r w:rsidRPr="00D25381">
        <w:rPr>
          <w:lang w:val="fr-FR"/>
        </w:rPr>
        <w:t>extrême légèreté des peines prononcées contre les trafiquants, qui s</w:t>
      </w:r>
      <w:r w:rsidR="00070383">
        <w:rPr>
          <w:lang w:val="fr-FR"/>
        </w:rPr>
        <w:t>’</w:t>
      </w:r>
      <w:r w:rsidRPr="00D25381">
        <w:rPr>
          <w:lang w:val="fr-FR"/>
        </w:rPr>
        <w:t>expliquent peut-être par la difficulté de réunir toutes les preuves nécessaires et par la complexité des procédures</w:t>
      </w:r>
      <w:r w:rsidR="00C0187D">
        <w:rPr>
          <w:lang w:val="fr-FR"/>
        </w:rPr>
        <w:t> ;</w:t>
      </w:r>
      <w:r w:rsidRPr="00D25381">
        <w:rPr>
          <w:lang w:val="fr-FR"/>
        </w:rPr>
        <w:t xml:space="preserve"> </w:t>
      </w:r>
    </w:p>
    <w:p w14:paraId="5DA0AF84" w14:textId="50F94D2F" w:rsidR="00D25381" w:rsidRPr="00D25381" w:rsidRDefault="00D25381" w:rsidP="0030629E">
      <w:pPr>
        <w:pStyle w:val="SingleTxt"/>
        <w:rPr>
          <w:lang w:val="fr-FR"/>
        </w:rPr>
      </w:pPr>
      <w:r w:rsidRPr="00D25381">
        <w:rPr>
          <w:lang w:val="fr-FR"/>
        </w:rPr>
        <w:tab/>
        <w:t>d)</w:t>
      </w:r>
      <w:r w:rsidRPr="00D25381">
        <w:rPr>
          <w:lang w:val="fr-FR"/>
        </w:rPr>
        <w:tab/>
        <w:t>l</w:t>
      </w:r>
      <w:r w:rsidR="00070383">
        <w:rPr>
          <w:lang w:val="fr-FR"/>
        </w:rPr>
        <w:t>’</w:t>
      </w:r>
      <w:r w:rsidRPr="00D25381">
        <w:rPr>
          <w:lang w:val="fr-FR"/>
        </w:rPr>
        <w:t>absence de plan national de lutte contre la traite, nonobstant l</w:t>
      </w:r>
      <w:r w:rsidR="00070383">
        <w:rPr>
          <w:lang w:val="fr-FR"/>
        </w:rPr>
        <w:t>’</w:t>
      </w:r>
      <w:r w:rsidRPr="00D25381">
        <w:rPr>
          <w:lang w:val="fr-FR"/>
        </w:rPr>
        <w:t>évocation par un membre de la délégation de l</w:t>
      </w:r>
      <w:r w:rsidR="00070383">
        <w:rPr>
          <w:lang w:val="fr-FR"/>
        </w:rPr>
        <w:t>’</w:t>
      </w:r>
      <w:r w:rsidRPr="00D25381">
        <w:rPr>
          <w:lang w:val="fr-FR"/>
        </w:rPr>
        <w:t>État partie d</w:t>
      </w:r>
      <w:r w:rsidR="00070383">
        <w:rPr>
          <w:lang w:val="fr-FR"/>
        </w:rPr>
        <w:t>’</w:t>
      </w:r>
      <w:r w:rsidRPr="00D25381">
        <w:rPr>
          <w:lang w:val="fr-FR"/>
        </w:rPr>
        <w:t>un projet de mise à jour du plan national de lutte contre la traite d</w:t>
      </w:r>
      <w:r w:rsidR="00070383">
        <w:rPr>
          <w:lang w:val="fr-FR"/>
        </w:rPr>
        <w:t>’</w:t>
      </w:r>
      <w:r w:rsidRPr="00D25381">
        <w:rPr>
          <w:lang w:val="fr-FR"/>
        </w:rPr>
        <w:t>êtres humains</w:t>
      </w:r>
      <w:r w:rsidR="009F7675">
        <w:rPr>
          <w:lang w:val="fr-FR"/>
        </w:rPr>
        <w:t xml:space="preserve"> (</w:t>
      </w:r>
      <w:r w:rsidR="009F7675" w:rsidRPr="00E26C4F">
        <w:rPr>
          <w:lang w:val="fr-FR"/>
        </w:rPr>
        <w:t>2009</w:t>
      </w:r>
      <w:r w:rsidR="009F7675">
        <w:rPr>
          <w:lang w:val="fr-FR"/>
        </w:rPr>
        <w:t>)</w:t>
      </w:r>
      <w:r w:rsidRPr="00D25381">
        <w:rPr>
          <w:lang w:val="fr-FR"/>
        </w:rPr>
        <w:t>, et le manque de coordination entre les services de l</w:t>
      </w:r>
      <w:r w:rsidR="00070383">
        <w:rPr>
          <w:lang w:val="fr-FR"/>
        </w:rPr>
        <w:t>’</w:t>
      </w:r>
      <w:r w:rsidRPr="00D25381">
        <w:rPr>
          <w:lang w:val="fr-FR"/>
        </w:rPr>
        <w:t>État concernés</w:t>
      </w:r>
      <w:r w:rsidR="00C0187D">
        <w:rPr>
          <w:lang w:val="fr-FR"/>
        </w:rPr>
        <w:t> ;</w:t>
      </w:r>
    </w:p>
    <w:p w14:paraId="787A4C2B" w14:textId="14C8FF7B" w:rsidR="00D25381" w:rsidRPr="00D25381" w:rsidRDefault="0030629E" w:rsidP="0030629E">
      <w:pPr>
        <w:pStyle w:val="SingleTxt"/>
        <w:rPr>
          <w:lang w:val="fr-FR"/>
        </w:rPr>
      </w:pPr>
      <w:r>
        <w:rPr>
          <w:lang w:val="fr-FR"/>
        </w:rPr>
        <w:tab/>
      </w:r>
      <w:r w:rsidR="00D25381" w:rsidRPr="00D25381">
        <w:rPr>
          <w:lang w:val="fr-FR"/>
        </w:rPr>
        <w:t>e)</w:t>
      </w:r>
      <w:r w:rsidR="00D25381" w:rsidRPr="00D25381">
        <w:rPr>
          <w:lang w:val="fr-FR"/>
        </w:rPr>
        <w:tab/>
        <w:t>l</w:t>
      </w:r>
      <w:r w:rsidR="00070383">
        <w:rPr>
          <w:lang w:val="fr-FR"/>
        </w:rPr>
        <w:t>’</w:t>
      </w:r>
      <w:r w:rsidR="00D25381" w:rsidRPr="00D25381">
        <w:rPr>
          <w:lang w:val="fr-FR"/>
        </w:rPr>
        <w:t xml:space="preserve">inclusion, dans la qualification des faits de traite requise par la loi de </w:t>
      </w:r>
      <w:r w:rsidR="00D25381" w:rsidRPr="00E26C4F">
        <w:rPr>
          <w:lang w:val="fr-FR"/>
        </w:rPr>
        <w:t>2015</w:t>
      </w:r>
      <w:r w:rsidR="00D25381" w:rsidRPr="00D25381">
        <w:rPr>
          <w:lang w:val="fr-FR"/>
        </w:rPr>
        <w:t xml:space="preserve"> portant modification de la loi sur les infractions pénales, d</w:t>
      </w:r>
      <w:r w:rsidR="00070383">
        <w:rPr>
          <w:lang w:val="fr-FR"/>
        </w:rPr>
        <w:t>’</w:t>
      </w:r>
      <w:r w:rsidR="00D25381" w:rsidRPr="00D25381">
        <w:rPr>
          <w:lang w:val="fr-FR"/>
        </w:rPr>
        <w:t>un nécessaire recours à la contrainte ou à la tromperie, sans qu</w:t>
      </w:r>
      <w:r w:rsidR="00070383">
        <w:rPr>
          <w:lang w:val="fr-FR"/>
        </w:rPr>
        <w:t>’</w:t>
      </w:r>
      <w:r w:rsidR="00D25381" w:rsidRPr="00D25381">
        <w:rPr>
          <w:lang w:val="fr-FR"/>
        </w:rPr>
        <w:t>il y ait d</w:t>
      </w:r>
      <w:r w:rsidR="00070383">
        <w:rPr>
          <w:lang w:val="fr-FR"/>
        </w:rPr>
        <w:t>’</w:t>
      </w:r>
      <w:r w:rsidR="00D25381" w:rsidRPr="00D25381">
        <w:rPr>
          <w:lang w:val="fr-FR"/>
        </w:rPr>
        <w:t>exception pour la traite d</w:t>
      </w:r>
      <w:r w:rsidR="00070383">
        <w:rPr>
          <w:lang w:val="fr-FR"/>
        </w:rPr>
        <w:t>’</w:t>
      </w:r>
      <w:r w:rsidR="00D25381" w:rsidRPr="00D25381">
        <w:rPr>
          <w:lang w:val="fr-FR"/>
        </w:rPr>
        <w:t>enfants</w:t>
      </w:r>
      <w:r w:rsidR="00C0187D">
        <w:rPr>
          <w:lang w:val="fr-FR"/>
        </w:rPr>
        <w:t> ;</w:t>
      </w:r>
    </w:p>
    <w:p w14:paraId="06C8F912" w14:textId="0B7BC7D4" w:rsidR="00D25381" w:rsidRPr="00D25381" w:rsidRDefault="0030629E" w:rsidP="0030629E">
      <w:pPr>
        <w:pStyle w:val="SingleTxt"/>
        <w:rPr>
          <w:lang w:val="fr-FR"/>
        </w:rPr>
      </w:pPr>
      <w:r>
        <w:rPr>
          <w:lang w:val="fr-FR"/>
        </w:rPr>
        <w:tab/>
      </w:r>
      <w:r w:rsidR="00D25381" w:rsidRPr="00D25381">
        <w:rPr>
          <w:lang w:val="fr-FR"/>
        </w:rPr>
        <w:t>f)</w:t>
      </w:r>
      <w:r w:rsidR="00D25381" w:rsidRPr="00D25381">
        <w:rPr>
          <w:lang w:val="fr-FR"/>
        </w:rPr>
        <w:tab/>
        <w:t>les lacunes des dispositifs existants, qui peinent à identifier rapidement les victimes de la traite et à les orienter vers les services compétents, et le manque de foyers d</w:t>
      </w:r>
      <w:r w:rsidR="00070383">
        <w:rPr>
          <w:lang w:val="fr-FR"/>
        </w:rPr>
        <w:t>’</w:t>
      </w:r>
      <w:r w:rsidR="00D25381" w:rsidRPr="00D25381">
        <w:rPr>
          <w:lang w:val="fr-FR"/>
        </w:rPr>
        <w:t>accueil spécialisés dans l</w:t>
      </w:r>
      <w:r w:rsidR="00070383">
        <w:rPr>
          <w:lang w:val="fr-FR"/>
        </w:rPr>
        <w:t>’</w:t>
      </w:r>
      <w:r w:rsidR="00D25381" w:rsidRPr="00D25381">
        <w:rPr>
          <w:lang w:val="fr-FR"/>
        </w:rPr>
        <w:t>État partie, en particulier dans les zones rurales.</w:t>
      </w:r>
    </w:p>
    <w:p w14:paraId="6707ED4C" w14:textId="26ADCB49" w:rsidR="00D25381" w:rsidRPr="00D25381" w:rsidRDefault="00D25381" w:rsidP="0030629E">
      <w:pPr>
        <w:pStyle w:val="SingleTxt"/>
        <w:numPr>
          <w:ilvl w:val="0"/>
          <w:numId w:val="17"/>
        </w:numPr>
        <w:spacing w:line="240" w:lineRule="exact"/>
        <w:ind w:left="1267"/>
        <w:rPr>
          <w:lang w:val="fr-FR"/>
        </w:rPr>
      </w:pPr>
      <w:r w:rsidRPr="0030629E">
        <w:rPr>
          <w:b/>
          <w:bCs/>
          <w:lang w:val="fr-FR"/>
        </w:rPr>
        <w:t>Le Comité recommande à l</w:t>
      </w:r>
      <w:r w:rsidR="00070383">
        <w:rPr>
          <w:b/>
          <w:bCs/>
          <w:lang w:val="fr-FR"/>
        </w:rPr>
        <w:t>’</w:t>
      </w:r>
      <w:r w:rsidRPr="0030629E">
        <w:rPr>
          <w:b/>
          <w:bCs/>
          <w:lang w:val="fr-FR"/>
        </w:rPr>
        <w:t>État partie</w:t>
      </w:r>
      <w:r w:rsidR="0030629E">
        <w:rPr>
          <w:lang w:val="fr-FR"/>
        </w:rPr>
        <w:t> </w:t>
      </w:r>
      <w:r w:rsidRPr="00D25381">
        <w:rPr>
          <w:lang w:val="fr-FR"/>
        </w:rPr>
        <w:t>:</w:t>
      </w:r>
    </w:p>
    <w:p w14:paraId="36275A92" w14:textId="1B34156F" w:rsidR="00D25381" w:rsidRPr="0030629E" w:rsidRDefault="0030629E" w:rsidP="0030629E">
      <w:pPr>
        <w:pStyle w:val="SingleTxt"/>
        <w:rPr>
          <w:b/>
          <w:bCs/>
          <w:lang w:val="fr-FR"/>
        </w:rPr>
      </w:pPr>
      <w:r w:rsidRPr="0030629E">
        <w:rPr>
          <w:b/>
          <w:bCs/>
          <w:lang w:val="fr-FR"/>
        </w:rPr>
        <w:tab/>
      </w:r>
      <w:r w:rsidR="00D25381" w:rsidRPr="0030629E">
        <w:rPr>
          <w:b/>
          <w:bCs/>
          <w:lang w:val="fr-FR"/>
        </w:rPr>
        <w:t>a)</w:t>
      </w:r>
      <w:r w:rsidR="00D25381" w:rsidRPr="0030629E">
        <w:rPr>
          <w:b/>
          <w:bCs/>
          <w:lang w:val="fr-FR"/>
        </w:rPr>
        <w:tab/>
        <w:t>de modifier l</w:t>
      </w:r>
      <w:r w:rsidR="00070383">
        <w:rPr>
          <w:b/>
          <w:bCs/>
          <w:lang w:val="fr-FR"/>
        </w:rPr>
        <w:t>’</w:t>
      </w:r>
      <w:r w:rsidR="00D25381" w:rsidRPr="0030629E">
        <w:rPr>
          <w:b/>
          <w:bCs/>
          <w:lang w:val="fr-FR"/>
        </w:rPr>
        <w:t xml:space="preserve">article </w:t>
      </w:r>
      <w:r w:rsidR="00D25381" w:rsidRPr="00E26C4F">
        <w:rPr>
          <w:b/>
          <w:bCs/>
          <w:lang w:val="fr-FR"/>
        </w:rPr>
        <w:t>19</w:t>
      </w:r>
      <w:r w:rsidR="00D25381" w:rsidRPr="0030629E">
        <w:rPr>
          <w:b/>
          <w:bCs/>
          <w:lang w:val="fr-FR"/>
        </w:rPr>
        <w:t xml:space="preserve"> de la loi de </w:t>
      </w:r>
      <w:r w:rsidR="00D25381" w:rsidRPr="00E26C4F">
        <w:rPr>
          <w:b/>
          <w:bCs/>
          <w:lang w:val="fr-FR"/>
        </w:rPr>
        <w:t>2003</w:t>
      </w:r>
      <w:r w:rsidR="00D25381" w:rsidRPr="0030629E">
        <w:rPr>
          <w:b/>
          <w:bCs/>
          <w:lang w:val="fr-FR"/>
        </w:rPr>
        <w:t xml:space="preserve"> réformant la législation sur la prostitution afin d</w:t>
      </w:r>
      <w:r w:rsidR="00070383">
        <w:rPr>
          <w:b/>
          <w:bCs/>
          <w:lang w:val="fr-FR"/>
        </w:rPr>
        <w:t>’</w:t>
      </w:r>
      <w:r w:rsidR="00D25381" w:rsidRPr="0030629E">
        <w:rPr>
          <w:b/>
          <w:bCs/>
          <w:lang w:val="fr-FR"/>
        </w:rPr>
        <w:t>en limiter les conséquences négatives sur les migrantes</w:t>
      </w:r>
      <w:r w:rsidR="00C0187D">
        <w:rPr>
          <w:b/>
          <w:bCs/>
          <w:lang w:val="fr-FR"/>
        </w:rPr>
        <w:t> ;</w:t>
      </w:r>
    </w:p>
    <w:p w14:paraId="1ECA6457" w14:textId="1DD1DFD2" w:rsidR="00D25381" w:rsidRPr="0030629E" w:rsidRDefault="0030629E" w:rsidP="0030629E">
      <w:pPr>
        <w:pStyle w:val="SingleTxt"/>
        <w:rPr>
          <w:b/>
          <w:bCs/>
          <w:lang w:val="fr-FR"/>
        </w:rPr>
      </w:pPr>
      <w:r w:rsidRPr="0030629E">
        <w:rPr>
          <w:b/>
          <w:bCs/>
          <w:lang w:val="fr-FR"/>
        </w:rPr>
        <w:tab/>
      </w:r>
      <w:r w:rsidR="00D25381" w:rsidRPr="0030629E">
        <w:rPr>
          <w:b/>
          <w:bCs/>
          <w:lang w:val="fr-FR"/>
        </w:rPr>
        <w:t>b)</w:t>
      </w:r>
      <w:r w:rsidR="00D25381" w:rsidRPr="0030629E">
        <w:rPr>
          <w:b/>
          <w:bCs/>
          <w:lang w:val="fr-FR"/>
        </w:rPr>
        <w:tab/>
        <w:t>de revoir la législation relative à l</w:t>
      </w:r>
      <w:r w:rsidR="00070383">
        <w:rPr>
          <w:b/>
          <w:bCs/>
          <w:lang w:val="fr-FR"/>
        </w:rPr>
        <w:t>’</w:t>
      </w:r>
      <w:r w:rsidR="00D25381" w:rsidRPr="0030629E">
        <w:rPr>
          <w:b/>
          <w:bCs/>
          <w:lang w:val="fr-FR"/>
        </w:rPr>
        <w:t>immigration, de supprimer la possibilité de limiter la sanction pour actes de traite à une simple amende, et d</w:t>
      </w:r>
      <w:r w:rsidR="00070383">
        <w:rPr>
          <w:b/>
          <w:bCs/>
          <w:lang w:val="fr-FR"/>
        </w:rPr>
        <w:t>’</w:t>
      </w:r>
      <w:r w:rsidR="00D25381" w:rsidRPr="0030629E">
        <w:rPr>
          <w:b/>
          <w:bCs/>
          <w:lang w:val="fr-FR"/>
        </w:rPr>
        <w:t>adopter des mesures visant à éviter que les femmes qui se livrent à la prostitution dans l</w:t>
      </w:r>
      <w:r w:rsidR="00070383">
        <w:rPr>
          <w:b/>
          <w:bCs/>
          <w:lang w:val="fr-FR"/>
        </w:rPr>
        <w:t>’</w:t>
      </w:r>
      <w:r w:rsidR="00D25381" w:rsidRPr="0030629E">
        <w:rPr>
          <w:b/>
          <w:bCs/>
          <w:lang w:val="fr-FR"/>
        </w:rPr>
        <w:t>État partie ne soient victimes de discrimination, afin de mettre les migrantes à l</w:t>
      </w:r>
      <w:r w:rsidR="00070383">
        <w:rPr>
          <w:b/>
          <w:bCs/>
          <w:lang w:val="fr-FR"/>
        </w:rPr>
        <w:t>’</w:t>
      </w:r>
      <w:r w:rsidR="00D25381" w:rsidRPr="0030629E">
        <w:rPr>
          <w:b/>
          <w:bCs/>
          <w:lang w:val="fr-FR"/>
        </w:rPr>
        <w:t>abri des facteurs et structures qui les rendent vulnérables à la traite</w:t>
      </w:r>
      <w:r w:rsidR="00C0187D">
        <w:rPr>
          <w:b/>
          <w:bCs/>
          <w:lang w:val="fr-FR"/>
        </w:rPr>
        <w:t> ;</w:t>
      </w:r>
    </w:p>
    <w:p w14:paraId="55781427" w14:textId="453C644A" w:rsidR="00D25381" w:rsidRPr="0030629E" w:rsidRDefault="0030629E" w:rsidP="0030629E">
      <w:pPr>
        <w:pStyle w:val="SingleTxt"/>
        <w:rPr>
          <w:b/>
          <w:bCs/>
          <w:lang w:val="fr-FR"/>
        </w:rPr>
      </w:pPr>
      <w:r w:rsidRPr="0030629E">
        <w:rPr>
          <w:b/>
          <w:bCs/>
          <w:lang w:val="fr-FR"/>
        </w:rPr>
        <w:tab/>
      </w:r>
      <w:r w:rsidR="00D25381" w:rsidRPr="0030629E">
        <w:rPr>
          <w:b/>
          <w:bCs/>
          <w:lang w:val="fr-FR"/>
        </w:rPr>
        <w:t>c)</w:t>
      </w:r>
      <w:r w:rsidR="00D25381" w:rsidRPr="0030629E">
        <w:rPr>
          <w:b/>
          <w:bCs/>
          <w:lang w:val="fr-FR"/>
        </w:rPr>
        <w:tab/>
        <w:t>de renforcer les dispositifs destinés à identifier, protéger et aider les victimes de traite et d</w:t>
      </w:r>
      <w:r w:rsidR="00070383">
        <w:rPr>
          <w:b/>
          <w:bCs/>
          <w:lang w:val="fr-FR"/>
        </w:rPr>
        <w:t>’</w:t>
      </w:r>
      <w:r w:rsidR="00D25381" w:rsidRPr="0030629E">
        <w:rPr>
          <w:b/>
          <w:bCs/>
          <w:lang w:val="fr-FR"/>
        </w:rPr>
        <w:t>exploitation sexuelle, de leur fournir une assistance juridique et de recueillir systématiquement des informations complètes sur ces victimes pour ensuite les communiquer dans le prochain rapport périodique qu</w:t>
      </w:r>
      <w:r w:rsidR="00070383">
        <w:rPr>
          <w:b/>
          <w:bCs/>
          <w:lang w:val="fr-FR"/>
        </w:rPr>
        <w:t>’</w:t>
      </w:r>
      <w:r w:rsidR="00D25381" w:rsidRPr="0030629E">
        <w:rPr>
          <w:b/>
          <w:bCs/>
          <w:lang w:val="fr-FR"/>
        </w:rPr>
        <w:t>il soumettra au Comité</w:t>
      </w:r>
      <w:r w:rsidR="00C0187D">
        <w:rPr>
          <w:b/>
          <w:bCs/>
          <w:lang w:val="fr-FR"/>
        </w:rPr>
        <w:t> ;</w:t>
      </w:r>
    </w:p>
    <w:p w14:paraId="7AA9FEFF" w14:textId="38E03E94" w:rsidR="00D25381" w:rsidRPr="0030629E" w:rsidRDefault="0030629E" w:rsidP="0030629E">
      <w:pPr>
        <w:pStyle w:val="SingleTxt"/>
        <w:rPr>
          <w:b/>
          <w:bCs/>
          <w:lang w:val="fr-FR"/>
        </w:rPr>
      </w:pPr>
      <w:r w:rsidRPr="0030629E">
        <w:rPr>
          <w:b/>
          <w:bCs/>
          <w:lang w:val="fr-FR"/>
        </w:rPr>
        <w:tab/>
      </w:r>
      <w:r w:rsidR="00D25381" w:rsidRPr="0030629E">
        <w:rPr>
          <w:b/>
          <w:bCs/>
          <w:lang w:val="fr-FR"/>
        </w:rPr>
        <w:t>d)</w:t>
      </w:r>
      <w:r w:rsidR="00D25381" w:rsidRPr="0030629E">
        <w:rPr>
          <w:b/>
          <w:bCs/>
          <w:lang w:val="fr-FR"/>
        </w:rPr>
        <w:tab/>
        <w:t>d</w:t>
      </w:r>
      <w:r w:rsidR="00070383">
        <w:rPr>
          <w:b/>
          <w:bCs/>
          <w:lang w:val="fr-FR"/>
        </w:rPr>
        <w:t>’</w:t>
      </w:r>
      <w:r w:rsidR="00D25381" w:rsidRPr="0030629E">
        <w:rPr>
          <w:b/>
          <w:bCs/>
          <w:lang w:val="fr-FR"/>
        </w:rPr>
        <w:t>adopter rapidement un nouveau plan national de lutte contre la traite des êtres humains qui soit conforme au Protocole additionnel à la Convention des Nations Unies contre la criminalité transnationale organisée visant à prévenir, réprimer et punir la traite des personnes, en particulier des femmes et des enfants</w:t>
      </w:r>
      <w:r w:rsidR="00C0187D">
        <w:rPr>
          <w:b/>
          <w:bCs/>
          <w:lang w:val="fr-FR"/>
        </w:rPr>
        <w:t> ;</w:t>
      </w:r>
    </w:p>
    <w:p w14:paraId="66A86CE1" w14:textId="6A486A96" w:rsidR="00D25381" w:rsidRPr="0030629E" w:rsidRDefault="0030629E" w:rsidP="0030629E">
      <w:pPr>
        <w:pStyle w:val="SingleTxt"/>
        <w:rPr>
          <w:b/>
          <w:bCs/>
          <w:lang w:val="fr-FR"/>
        </w:rPr>
      </w:pPr>
      <w:r w:rsidRPr="0030629E">
        <w:rPr>
          <w:b/>
          <w:bCs/>
          <w:lang w:val="fr-FR"/>
        </w:rPr>
        <w:tab/>
      </w:r>
      <w:r w:rsidR="00D25381" w:rsidRPr="0030629E">
        <w:rPr>
          <w:b/>
          <w:bCs/>
          <w:lang w:val="fr-FR"/>
        </w:rPr>
        <w:t>e)</w:t>
      </w:r>
      <w:r w:rsidR="00D25381" w:rsidRPr="0030629E">
        <w:rPr>
          <w:b/>
          <w:bCs/>
          <w:lang w:val="fr-FR"/>
        </w:rPr>
        <w:tab/>
        <w:t xml:space="preserve">de procéder à une révision de la loi de </w:t>
      </w:r>
      <w:r w:rsidR="00D25381" w:rsidRPr="00E26C4F">
        <w:rPr>
          <w:b/>
          <w:bCs/>
          <w:lang w:val="fr-FR"/>
        </w:rPr>
        <w:t>2015</w:t>
      </w:r>
      <w:r w:rsidR="00D25381" w:rsidRPr="0030629E">
        <w:rPr>
          <w:b/>
          <w:bCs/>
          <w:lang w:val="fr-FR"/>
        </w:rPr>
        <w:t xml:space="preserve"> portant modification de la loi sur les infractions pénales afin de réprimer la traite d</w:t>
      </w:r>
      <w:r w:rsidR="00070383">
        <w:rPr>
          <w:b/>
          <w:bCs/>
          <w:lang w:val="fr-FR"/>
        </w:rPr>
        <w:t>’</w:t>
      </w:r>
      <w:r w:rsidR="00D25381" w:rsidRPr="0030629E">
        <w:rPr>
          <w:b/>
          <w:bCs/>
          <w:lang w:val="fr-FR"/>
        </w:rPr>
        <w:t>enfants, même en l</w:t>
      </w:r>
      <w:r w:rsidR="00070383">
        <w:rPr>
          <w:b/>
          <w:bCs/>
          <w:lang w:val="fr-FR"/>
        </w:rPr>
        <w:t>’</w:t>
      </w:r>
      <w:r w:rsidR="00D25381" w:rsidRPr="0030629E">
        <w:rPr>
          <w:b/>
          <w:bCs/>
          <w:lang w:val="fr-FR"/>
        </w:rPr>
        <w:t>absence de contrainte, de tromperie ou autres formes d</w:t>
      </w:r>
      <w:r w:rsidR="00070383">
        <w:rPr>
          <w:b/>
          <w:bCs/>
          <w:lang w:val="fr-FR"/>
        </w:rPr>
        <w:t>’</w:t>
      </w:r>
      <w:r w:rsidR="00D25381" w:rsidRPr="0030629E">
        <w:rPr>
          <w:b/>
          <w:bCs/>
          <w:lang w:val="fr-FR"/>
        </w:rPr>
        <w:t>abus de pouvoir</w:t>
      </w:r>
      <w:r w:rsidR="00C0187D">
        <w:rPr>
          <w:b/>
          <w:bCs/>
          <w:lang w:val="fr-FR"/>
        </w:rPr>
        <w:t> ;</w:t>
      </w:r>
    </w:p>
    <w:p w14:paraId="6665D179" w14:textId="2C0583E4" w:rsidR="00D25381" w:rsidRDefault="0030629E" w:rsidP="0030629E">
      <w:pPr>
        <w:pStyle w:val="SingleTxt"/>
        <w:rPr>
          <w:b/>
          <w:bCs/>
          <w:lang w:val="fr-FR"/>
        </w:rPr>
      </w:pPr>
      <w:r w:rsidRPr="0030629E">
        <w:rPr>
          <w:b/>
          <w:bCs/>
          <w:lang w:val="fr-FR"/>
        </w:rPr>
        <w:tab/>
      </w:r>
      <w:r w:rsidR="00D25381" w:rsidRPr="0030629E">
        <w:rPr>
          <w:b/>
          <w:bCs/>
          <w:lang w:val="fr-FR"/>
        </w:rPr>
        <w:t>(f)</w:t>
      </w:r>
      <w:r w:rsidR="00D25381" w:rsidRPr="0030629E">
        <w:rPr>
          <w:b/>
          <w:bCs/>
          <w:lang w:val="fr-FR"/>
        </w:rPr>
        <w:tab/>
        <w:t>de veiller à ce que les victimes d</w:t>
      </w:r>
      <w:r w:rsidR="00070383">
        <w:rPr>
          <w:b/>
          <w:bCs/>
          <w:lang w:val="fr-FR"/>
        </w:rPr>
        <w:t>’</w:t>
      </w:r>
      <w:r w:rsidR="00D25381" w:rsidRPr="0030629E">
        <w:rPr>
          <w:b/>
          <w:bCs/>
          <w:lang w:val="fr-FR"/>
        </w:rPr>
        <w:t>actes de traite bénéficient d</w:t>
      </w:r>
      <w:r w:rsidR="00070383">
        <w:rPr>
          <w:b/>
          <w:bCs/>
          <w:lang w:val="fr-FR"/>
        </w:rPr>
        <w:t>’</w:t>
      </w:r>
      <w:r w:rsidR="00D25381" w:rsidRPr="0030629E">
        <w:rPr>
          <w:b/>
          <w:bCs/>
          <w:lang w:val="fr-FR"/>
        </w:rPr>
        <w:t>une protection et d</w:t>
      </w:r>
      <w:r w:rsidR="00070383">
        <w:rPr>
          <w:b/>
          <w:bCs/>
          <w:lang w:val="fr-FR"/>
        </w:rPr>
        <w:t>’</w:t>
      </w:r>
      <w:r w:rsidR="00D25381" w:rsidRPr="0030629E">
        <w:rPr>
          <w:b/>
          <w:bCs/>
          <w:lang w:val="fr-FR"/>
        </w:rPr>
        <w:t>un soutien adaptés, notamment en mettant à leur disposition des foyers spécifiques correctement équipés et dotés d</w:t>
      </w:r>
      <w:r w:rsidR="00070383">
        <w:rPr>
          <w:b/>
          <w:bCs/>
          <w:lang w:val="fr-FR"/>
        </w:rPr>
        <w:t>’</w:t>
      </w:r>
      <w:r w:rsidR="00D25381" w:rsidRPr="0030629E">
        <w:rPr>
          <w:b/>
          <w:bCs/>
          <w:lang w:val="fr-FR"/>
        </w:rPr>
        <w:t>un personnel qualifié pour répondre à leurs problèmes et besoins particuliers, et en renforçant les mesures destinées à faciliter leur réinsertion à long terme.</w:t>
      </w:r>
    </w:p>
    <w:p w14:paraId="43120797" w14:textId="25B9F703" w:rsidR="0030629E" w:rsidRPr="0030629E" w:rsidRDefault="0030629E" w:rsidP="0030629E">
      <w:pPr>
        <w:pStyle w:val="SingleTxt"/>
        <w:spacing w:after="0" w:line="120" w:lineRule="exact"/>
        <w:rPr>
          <w:sz w:val="10"/>
          <w:lang w:val="fr-FR"/>
        </w:rPr>
      </w:pPr>
    </w:p>
    <w:p w14:paraId="6B21F1B6" w14:textId="7198AEB1" w:rsidR="00D25381" w:rsidRDefault="00D25381" w:rsidP="003062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25381">
        <w:rPr>
          <w:lang w:val="fr-FR"/>
        </w:rPr>
        <w:tab/>
      </w:r>
      <w:r w:rsidRPr="00D25381">
        <w:rPr>
          <w:lang w:val="fr-FR"/>
        </w:rPr>
        <w:tab/>
        <w:t>Participation à la vie</w:t>
      </w:r>
      <w:r w:rsidR="0030629E">
        <w:rPr>
          <w:lang w:val="fr-FR"/>
        </w:rPr>
        <w:t xml:space="preserve"> politique et à la vie publique</w:t>
      </w:r>
    </w:p>
    <w:p w14:paraId="0972B923" w14:textId="11351882" w:rsidR="0030629E" w:rsidRPr="0030629E" w:rsidRDefault="0030629E" w:rsidP="0030629E">
      <w:pPr>
        <w:pStyle w:val="SingleTxt"/>
        <w:spacing w:after="0" w:line="120" w:lineRule="exact"/>
        <w:rPr>
          <w:sz w:val="10"/>
          <w:lang w:val="fr-FR"/>
        </w:rPr>
      </w:pPr>
    </w:p>
    <w:p w14:paraId="1042BC65" w14:textId="54CD6534" w:rsidR="00D25381" w:rsidRPr="00D25381" w:rsidRDefault="00D25381" w:rsidP="0030629E">
      <w:pPr>
        <w:pStyle w:val="SingleTxt"/>
        <w:numPr>
          <w:ilvl w:val="0"/>
          <w:numId w:val="17"/>
        </w:numPr>
        <w:spacing w:line="240" w:lineRule="exact"/>
        <w:ind w:left="1267"/>
        <w:rPr>
          <w:lang w:val="fr-FR"/>
        </w:rPr>
      </w:pPr>
      <w:r w:rsidRPr="00D25381">
        <w:rPr>
          <w:lang w:val="fr-FR"/>
        </w:rPr>
        <w:t>Le Comité prend note de l</w:t>
      </w:r>
      <w:r w:rsidR="00070383">
        <w:rPr>
          <w:lang w:val="fr-FR"/>
        </w:rPr>
        <w:t>’</w:t>
      </w:r>
      <w:r w:rsidRPr="00D25381">
        <w:rPr>
          <w:lang w:val="fr-FR"/>
        </w:rPr>
        <w:t>augmentation du nombre de femmes au Parlement et de l</w:t>
      </w:r>
      <w:r w:rsidR="00070383">
        <w:rPr>
          <w:lang w:val="fr-FR"/>
        </w:rPr>
        <w:t>’</w:t>
      </w:r>
      <w:r w:rsidRPr="00D25381">
        <w:rPr>
          <w:lang w:val="fr-FR"/>
        </w:rPr>
        <w:t xml:space="preserve">élection, en </w:t>
      </w:r>
      <w:r w:rsidRPr="00E26C4F">
        <w:rPr>
          <w:lang w:val="fr-FR"/>
        </w:rPr>
        <w:t>2017</w:t>
      </w:r>
      <w:r w:rsidRPr="00D25381">
        <w:rPr>
          <w:lang w:val="fr-FR"/>
        </w:rPr>
        <w:t xml:space="preserve">, de la troisième Première Ministre néo-zélandaise. Il constate également que les élections législatives tenues en </w:t>
      </w:r>
      <w:r w:rsidRPr="00E26C4F">
        <w:rPr>
          <w:lang w:val="fr-FR"/>
        </w:rPr>
        <w:t>2017</w:t>
      </w:r>
      <w:r w:rsidRPr="00D25381">
        <w:rPr>
          <w:lang w:val="fr-FR"/>
        </w:rPr>
        <w:t xml:space="preserve"> ont porté au Parlement </w:t>
      </w:r>
      <w:r w:rsidRPr="00E26C4F">
        <w:rPr>
          <w:lang w:val="fr-FR"/>
        </w:rPr>
        <w:t>38</w:t>
      </w:r>
      <w:r w:rsidR="00C0187D">
        <w:rPr>
          <w:lang w:val="fr-FR"/>
        </w:rPr>
        <w:t> %</w:t>
      </w:r>
      <w:r w:rsidRPr="00D25381">
        <w:rPr>
          <w:lang w:val="fr-FR"/>
        </w:rPr>
        <w:t xml:space="preserve"> de femmes, et que parmi elles figuraient des Maories et d</w:t>
      </w:r>
      <w:r w:rsidR="00070383">
        <w:rPr>
          <w:lang w:val="fr-FR"/>
        </w:rPr>
        <w:t>’</w:t>
      </w:r>
      <w:r w:rsidRPr="00D25381">
        <w:rPr>
          <w:lang w:val="fr-FR"/>
        </w:rPr>
        <w:t>autres femmes issues de minorités ethniques. Le Comité est toutefois préoccupé par le nombre peu élevé de femmes occupant des postes de direction à d</w:t>
      </w:r>
      <w:r w:rsidR="00070383">
        <w:rPr>
          <w:lang w:val="fr-FR"/>
        </w:rPr>
        <w:t>’</w:t>
      </w:r>
      <w:r w:rsidRPr="00D25381">
        <w:rPr>
          <w:lang w:val="fr-FR"/>
        </w:rPr>
        <w:t>autres niveaux et dans d</w:t>
      </w:r>
      <w:r w:rsidR="00070383">
        <w:rPr>
          <w:lang w:val="fr-FR"/>
        </w:rPr>
        <w:t>’</w:t>
      </w:r>
      <w:r w:rsidRPr="00D25381">
        <w:rPr>
          <w:lang w:val="fr-FR"/>
        </w:rPr>
        <w:t>autres secteurs</w:t>
      </w:r>
      <w:r w:rsidR="0030629E">
        <w:rPr>
          <w:lang w:val="fr-FR"/>
        </w:rPr>
        <w:t> </w:t>
      </w:r>
      <w:r w:rsidRPr="00D25381">
        <w:rPr>
          <w:lang w:val="fr-FR"/>
        </w:rPr>
        <w:t xml:space="preserve">: </w:t>
      </w:r>
      <w:r w:rsidRPr="00E26C4F">
        <w:rPr>
          <w:lang w:val="fr-FR"/>
        </w:rPr>
        <w:t>19</w:t>
      </w:r>
      <w:r w:rsidR="00C0187D">
        <w:rPr>
          <w:lang w:val="fr-FR"/>
        </w:rPr>
        <w:t> %</w:t>
      </w:r>
      <w:r w:rsidRPr="00D25381">
        <w:rPr>
          <w:lang w:val="fr-FR"/>
        </w:rPr>
        <w:t xml:space="preserve"> seulement des chefs d</w:t>
      </w:r>
      <w:r w:rsidR="00070383">
        <w:rPr>
          <w:lang w:val="fr-FR"/>
        </w:rPr>
        <w:t>’</w:t>
      </w:r>
      <w:r w:rsidRPr="00D25381">
        <w:rPr>
          <w:lang w:val="fr-FR"/>
        </w:rPr>
        <w:t xml:space="preserve">entreprises cotées au premier marché de la Bourse de Nouvelle-Zélande sont des femmes, et </w:t>
      </w:r>
      <w:r w:rsidRPr="00E26C4F">
        <w:rPr>
          <w:lang w:val="fr-FR"/>
        </w:rPr>
        <w:t>56</w:t>
      </w:r>
      <w:r w:rsidR="00C0187D">
        <w:rPr>
          <w:lang w:val="fr-FR"/>
        </w:rPr>
        <w:t> %</w:t>
      </w:r>
      <w:r w:rsidRPr="00D25381">
        <w:rPr>
          <w:lang w:val="fr-FR"/>
        </w:rPr>
        <w:t xml:space="preserve"> des entreprises n</w:t>
      </w:r>
      <w:r w:rsidR="00070383">
        <w:rPr>
          <w:lang w:val="fr-FR"/>
        </w:rPr>
        <w:t>’</w:t>
      </w:r>
      <w:r w:rsidRPr="00D25381">
        <w:rPr>
          <w:lang w:val="fr-FR"/>
        </w:rPr>
        <w:t>emploient aucune femme à un poste à responsabilité.</w:t>
      </w:r>
    </w:p>
    <w:p w14:paraId="6B422A1B" w14:textId="7E187752" w:rsidR="00D25381" w:rsidRPr="002A3471" w:rsidRDefault="00D25381" w:rsidP="0030629E">
      <w:pPr>
        <w:pStyle w:val="SingleTxt"/>
        <w:numPr>
          <w:ilvl w:val="0"/>
          <w:numId w:val="17"/>
        </w:numPr>
        <w:spacing w:line="240" w:lineRule="exact"/>
        <w:ind w:left="1267"/>
        <w:rPr>
          <w:b/>
          <w:bCs/>
          <w:lang w:val="fr-FR"/>
        </w:rPr>
      </w:pPr>
      <w:r w:rsidRPr="002A3471">
        <w:rPr>
          <w:b/>
          <w:bCs/>
          <w:lang w:val="fr-FR"/>
        </w:rPr>
        <w:t>Le Comité recommande à l</w:t>
      </w:r>
      <w:r w:rsidR="00070383">
        <w:rPr>
          <w:b/>
          <w:bCs/>
          <w:lang w:val="fr-FR"/>
        </w:rPr>
        <w:t>’</w:t>
      </w:r>
      <w:r w:rsidRPr="002A3471">
        <w:rPr>
          <w:b/>
          <w:bCs/>
          <w:lang w:val="fr-FR"/>
        </w:rPr>
        <w:t>État partie de prendre des mesures temporaires spéciales consistant notamment en des objectifs, des quotas et des traitements préférentiels assortis de délais, afin d</w:t>
      </w:r>
      <w:r w:rsidR="00070383">
        <w:rPr>
          <w:b/>
          <w:bCs/>
          <w:lang w:val="fr-FR"/>
        </w:rPr>
        <w:t>’</w:t>
      </w:r>
      <w:r w:rsidRPr="002A3471">
        <w:rPr>
          <w:b/>
          <w:bCs/>
          <w:lang w:val="fr-FR"/>
        </w:rPr>
        <w:t>accélérer l</w:t>
      </w:r>
      <w:r w:rsidR="00070383">
        <w:rPr>
          <w:b/>
          <w:bCs/>
          <w:lang w:val="fr-FR"/>
        </w:rPr>
        <w:t>’</w:t>
      </w:r>
      <w:r w:rsidRPr="002A3471">
        <w:rPr>
          <w:b/>
          <w:bCs/>
          <w:lang w:val="fr-FR"/>
        </w:rPr>
        <w:t xml:space="preserve">égalité de représentation des femmes aux postes de décision, en tous domaines et à tous niveaux, dans le secteur public comme dans le secteur </w:t>
      </w:r>
      <w:r w:rsidR="0030629E" w:rsidRPr="002A3471">
        <w:rPr>
          <w:b/>
          <w:bCs/>
          <w:lang w:val="fr-FR"/>
        </w:rPr>
        <w:t>privé.</w:t>
      </w:r>
    </w:p>
    <w:p w14:paraId="64564F95" w14:textId="2B691829" w:rsidR="00D25381" w:rsidRDefault="0030629E" w:rsidP="003062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Éducation</w:t>
      </w:r>
    </w:p>
    <w:p w14:paraId="79D0B8C1" w14:textId="574CB87A" w:rsidR="0030629E" w:rsidRPr="0030629E" w:rsidRDefault="0030629E" w:rsidP="0030629E">
      <w:pPr>
        <w:pStyle w:val="SingleTxt"/>
        <w:spacing w:after="0" w:line="120" w:lineRule="exact"/>
        <w:rPr>
          <w:sz w:val="10"/>
          <w:lang w:val="fr-FR"/>
        </w:rPr>
      </w:pPr>
    </w:p>
    <w:p w14:paraId="5E37F80B" w14:textId="0F3DF471" w:rsidR="00D25381" w:rsidRPr="00D25381" w:rsidRDefault="00D25381" w:rsidP="0030629E">
      <w:pPr>
        <w:pStyle w:val="SingleTxt"/>
        <w:numPr>
          <w:ilvl w:val="0"/>
          <w:numId w:val="17"/>
        </w:numPr>
        <w:spacing w:line="240" w:lineRule="exact"/>
        <w:ind w:left="1267"/>
        <w:rPr>
          <w:lang w:val="fr-FR"/>
        </w:rPr>
      </w:pPr>
      <w:r w:rsidRPr="00D25381">
        <w:rPr>
          <w:lang w:val="fr-FR"/>
        </w:rPr>
        <w:t>Le Comité félicite l</w:t>
      </w:r>
      <w:r w:rsidR="00070383">
        <w:rPr>
          <w:lang w:val="fr-FR"/>
        </w:rPr>
        <w:t>’</w:t>
      </w:r>
      <w:r w:rsidRPr="00D25381">
        <w:rPr>
          <w:lang w:val="fr-FR"/>
        </w:rPr>
        <w:t>État partie des efforts qu</w:t>
      </w:r>
      <w:r w:rsidR="00070383">
        <w:rPr>
          <w:lang w:val="fr-FR"/>
        </w:rPr>
        <w:t>’</w:t>
      </w:r>
      <w:r w:rsidRPr="00D25381">
        <w:rPr>
          <w:lang w:val="fr-FR"/>
        </w:rPr>
        <w:t>il a déployés pour multiplier les possibilités offertes aux femmes de travailler dans les domaines des sciences, de la technologie, de l</w:t>
      </w:r>
      <w:r w:rsidR="00070383">
        <w:rPr>
          <w:lang w:val="fr-FR"/>
        </w:rPr>
        <w:t>’</w:t>
      </w:r>
      <w:r w:rsidRPr="00D25381">
        <w:rPr>
          <w:lang w:val="fr-FR"/>
        </w:rPr>
        <w:t>ingénierie et des mathématiques, ainsi que des technologies de l</w:t>
      </w:r>
      <w:r w:rsidR="00070383">
        <w:rPr>
          <w:lang w:val="fr-FR"/>
        </w:rPr>
        <w:t>’</w:t>
      </w:r>
      <w:r w:rsidRPr="00D25381">
        <w:rPr>
          <w:lang w:val="fr-FR"/>
        </w:rPr>
        <w:t>information et de la communication. Il se réjouit en particulier des encouragements donnés aux élèves du cycle secondaire, notamment celles et ceux originaires des îles du Pacifique, les appelant à opter pour des études et des carrières en sciences, technologie, ingénierie et mathématiques, ainsi que de l</w:t>
      </w:r>
      <w:r w:rsidR="00070383">
        <w:rPr>
          <w:lang w:val="fr-FR"/>
        </w:rPr>
        <w:t>’</w:t>
      </w:r>
      <w:r w:rsidRPr="00D25381">
        <w:rPr>
          <w:lang w:val="fr-FR"/>
        </w:rPr>
        <w:t xml:space="preserve">attribution par le Gouvernement, en </w:t>
      </w:r>
      <w:r w:rsidRPr="00E26C4F">
        <w:rPr>
          <w:lang w:val="fr-FR"/>
        </w:rPr>
        <w:t>2014</w:t>
      </w:r>
      <w:r w:rsidRPr="00D25381">
        <w:rPr>
          <w:lang w:val="fr-FR"/>
        </w:rPr>
        <w:t>, d</w:t>
      </w:r>
      <w:r w:rsidR="00070383">
        <w:rPr>
          <w:lang w:val="fr-FR"/>
        </w:rPr>
        <w:t>’</w:t>
      </w:r>
      <w:r w:rsidRPr="00D25381">
        <w:rPr>
          <w:lang w:val="fr-FR"/>
        </w:rPr>
        <w:t xml:space="preserve">une enveloppe de </w:t>
      </w:r>
      <w:r w:rsidRPr="00E26C4F">
        <w:rPr>
          <w:lang w:val="fr-FR"/>
        </w:rPr>
        <w:t>28</w:t>
      </w:r>
      <w:r w:rsidRPr="00D25381">
        <w:rPr>
          <w:lang w:val="fr-FR"/>
        </w:rPr>
        <w:t>,</w:t>
      </w:r>
      <w:r w:rsidRPr="00E26C4F">
        <w:rPr>
          <w:lang w:val="fr-FR"/>
        </w:rPr>
        <w:t>6</w:t>
      </w:r>
      <w:r w:rsidRPr="00D25381">
        <w:rPr>
          <w:lang w:val="fr-FR"/>
        </w:rPr>
        <w:t xml:space="preserve"> millions de dollars répartis sur quatre ans en faveur d</w:t>
      </w:r>
      <w:r w:rsidR="00070383">
        <w:rPr>
          <w:lang w:val="fr-FR"/>
        </w:rPr>
        <w:t>’</w:t>
      </w:r>
      <w:r w:rsidRPr="00D25381">
        <w:rPr>
          <w:lang w:val="fr-FR"/>
        </w:rPr>
        <w:t>une filière de qualification TIC sanctionnée par un diplôme universitaire, dont le but est d</w:t>
      </w:r>
      <w:r w:rsidR="00070383">
        <w:rPr>
          <w:lang w:val="fr-FR"/>
        </w:rPr>
        <w:t>’</w:t>
      </w:r>
      <w:r w:rsidRPr="00D25381">
        <w:rPr>
          <w:lang w:val="fr-FR"/>
        </w:rPr>
        <w:t>accroître la diversité au sein des étudiants en TIC. Il s</w:t>
      </w:r>
      <w:r w:rsidR="00070383">
        <w:rPr>
          <w:lang w:val="fr-FR"/>
        </w:rPr>
        <w:t>’</w:t>
      </w:r>
      <w:r w:rsidRPr="00D25381">
        <w:rPr>
          <w:lang w:val="fr-FR"/>
        </w:rPr>
        <w:t>inquiète cependant :</w:t>
      </w:r>
    </w:p>
    <w:p w14:paraId="2433B3EF" w14:textId="1C185673" w:rsidR="00D25381" w:rsidRPr="00D25381" w:rsidRDefault="0030629E" w:rsidP="0030629E">
      <w:pPr>
        <w:pStyle w:val="SingleTxt"/>
        <w:rPr>
          <w:lang w:val="fr-FR"/>
        </w:rPr>
      </w:pPr>
      <w:r>
        <w:rPr>
          <w:lang w:val="fr-FR"/>
        </w:rPr>
        <w:tab/>
      </w:r>
      <w:r w:rsidR="00D25381" w:rsidRPr="00D25381">
        <w:rPr>
          <w:lang w:val="fr-FR"/>
        </w:rPr>
        <w:t>a)</w:t>
      </w:r>
      <w:r w:rsidR="00D25381" w:rsidRPr="00D25381">
        <w:rPr>
          <w:lang w:val="fr-FR"/>
        </w:rPr>
        <w:tab/>
        <w:t>de l</w:t>
      </w:r>
      <w:r w:rsidR="00070383">
        <w:rPr>
          <w:lang w:val="fr-FR"/>
        </w:rPr>
        <w:t>’</w:t>
      </w:r>
      <w:r w:rsidR="00D25381" w:rsidRPr="00D25381">
        <w:rPr>
          <w:lang w:val="fr-FR"/>
        </w:rPr>
        <w:t>accès limité à l</w:t>
      </w:r>
      <w:r w:rsidR="00070383">
        <w:rPr>
          <w:lang w:val="fr-FR"/>
        </w:rPr>
        <w:t>’</w:t>
      </w:r>
      <w:r w:rsidR="00D25381" w:rsidRPr="00D25381">
        <w:rPr>
          <w:lang w:val="fr-FR"/>
        </w:rPr>
        <w:t>enseignement secondaire et postsecondaire pour de nombreuses filles et femmes vivant en milieu rural</w:t>
      </w:r>
      <w:r w:rsidR="00C0187D">
        <w:rPr>
          <w:lang w:val="fr-FR"/>
        </w:rPr>
        <w:t> ;</w:t>
      </w:r>
      <w:r w:rsidR="00D25381" w:rsidRPr="00D25381">
        <w:rPr>
          <w:lang w:val="fr-FR"/>
        </w:rPr>
        <w:t xml:space="preserve"> </w:t>
      </w:r>
    </w:p>
    <w:p w14:paraId="6E8AADEA" w14:textId="7B2E3A24" w:rsidR="00D25381" w:rsidRPr="00D25381" w:rsidRDefault="0030629E" w:rsidP="0030629E">
      <w:pPr>
        <w:pStyle w:val="SingleTxt"/>
        <w:rPr>
          <w:lang w:val="fr-FR"/>
        </w:rPr>
      </w:pPr>
      <w:r>
        <w:rPr>
          <w:lang w:val="fr-FR"/>
        </w:rPr>
        <w:tab/>
      </w:r>
      <w:r w:rsidR="00D25381" w:rsidRPr="00D25381">
        <w:rPr>
          <w:lang w:val="fr-FR"/>
        </w:rPr>
        <w:t>b)</w:t>
      </w:r>
      <w:r w:rsidR="00D25381" w:rsidRPr="00D25381">
        <w:rPr>
          <w:lang w:val="fr-FR"/>
        </w:rPr>
        <w:tab/>
        <w:t>de l</w:t>
      </w:r>
      <w:r w:rsidR="00070383">
        <w:rPr>
          <w:lang w:val="fr-FR"/>
        </w:rPr>
        <w:t>’</w:t>
      </w:r>
      <w:r w:rsidR="00D25381" w:rsidRPr="00D25381">
        <w:rPr>
          <w:lang w:val="fr-FR"/>
        </w:rPr>
        <w:t>inexistence, dans les programmes scolaires, de cours généraux d</w:t>
      </w:r>
      <w:r w:rsidR="00070383">
        <w:rPr>
          <w:lang w:val="fr-FR"/>
        </w:rPr>
        <w:t>’</w:t>
      </w:r>
      <w:r w:rsidR="00D25381" w:rsidRPr="00D25381">
        <w:rPr>
          <w:lang w:val="fr-FR"/>
        </w:rPr>
        <w:t>éducation sexuelle adaptés à l</w:t>
      </w:r>
      <w:r w:rsidR="00070383">
        <w:rPr>
          <w:lang w:val="fr-FR"/>
        </w:rPr>
        <w:t>’</w:t>
      </w:r>
      <w:r w:rsidR="00D25381" w:rsidRPr="00D25381">
        <w:rPr>
          <w:lang w:val="fr-FR"/>
        </w:rPr>
        <w:t>âge des élèves et prenant en compte leurs particularités culturelles, de l</w:t>
      </w:r>
      <w:r w:rsidR="00070383">
        <w:rPr>
          <w:lang w:val="fr-FR"/>
        </w:rPr>
        <w:t>’</w:t>
      </w:r>
      <w:r w:rsidR="00D25381" w:rsidRPr="00D25381">
        <w:rPr>
          <w:lang w:val="fr-FR"/>
        </w:rPr>
        <w:t>absence de sensibilisation aux pratiques préjudiciables et aux violences sexistes que subissent les femmes et les filles et qui accroissent d</w:t>
      </w:r>
      <w:r w:rsidR="00070383">
        <w:rPr>
          <w:lang w:val="fr-FR"/>
        </w:rPr>
        <w:t>’</w:t>
      </w:r>
      <w:r w:rsidR="00D25381" w:rsidRPr="00D25381">
        <w:rPr>
          <w:lang w:val="fr-FR"/>
        </w:rPr>
        <w:t>autant la forte proportion de violences sexuelles et de grossesses précoces, ainsi que du manque de cours d</w:t>
      </w:r>
      <w:r w:rsidR="00070383">
        <w:rPr>
          <w:lang w:val="fr-FR"/>
        </w:rPr>
        <w:t>’</w:t>
      </w:r>
      <w:r w:rsidR="00D25381" w:rsidRPr="00D25381">
        <w:rPr>
          <w:lang w:val="fr-FR"/>
        </w:rPr>
        <w:t>éducation sexuelle adaptés aux besoins spécifiques des jeunes et des collectivités maoris</w:t>
      </w:r>
      <w:r w:rsidR="00C0187D">
        <w:rPr>
          <w:lang w:val="fr-FR"/>
        </w:rPr>
        <w:t> ;</w:t>
      </w:r>
      <w:bookmarkStart w:id="13" w:name="_Hlk523386351"/>
      <w:bookmarkEnd w:id="13"/>
    </w:p>
    <w:p w14:paraId="593EDEE5" w14:textId="0CAD172E" w:rsidR="00D25381" w:rsidRPr="00D25381" w:rsidRDefault="0030629E" w:rsidP="0030629E">
      <w:pPr>
        <w:pStyle w:val="SingleTxt"/>
        <w:rPr>
          <w:lang w:val="fr-FR"/>
        </w:rPr>
      </w:pPr>
      <w:r>
        <w:rPr>
          <w:lang w:val="fr-FR"/>
        </w:rPr>
        <w:tab/>
      </w:r>
      <w:r w:rsidR="00D25381" w:rsidRPr="00D25381">
        <w:rPr>
          <w:lang w:val="fr-FR"/>
        </w:rPr>
        <w:t>c)</w:t>
      </w:r>
      <w:r w:rsidR="00D25381" w:rsidRPr="00D25381">
        <w:rPr>
          <w:lang w:val="fr-FR"/>
        </w:rPr>
        <w:tab/>
        <w:t>du taux croissant de filles qui abandonnent prématurément leurs études en raison notamment de grossesses précoces</w:t>
      </w:r>
      <w:r w:rsidR="00C0187D">
        <w:rPr>
          <w:lang w:val="fr-FR"/>
        </w:rPr>
        <w:t> ;</w:t>
      </w:r>
    </w:p>
    <w:p w14:paraId="5BF9DED1" w14:textId="4AE48B43" w:rsidR="00D25381" w:rsidRPr="00D25381" w:rsidRDefault="0030629E" w:rsidP="0030629E">
      <w:pPr>
        <w:pStyle w:val="SingleTxt"/>
        <w:rPr>
          <w:lang w:val="fr-FR"/>
        </w:rPr>
      </w:pPr>
      <w:r>
        <w:rPr>
          <w:lang w:val="fr-FR"/>
        </w:rPr>
        <w:tab/>
      </w:r>
      <w:r w:rsidR="00D25381" w:rsidRPr="00D25381">
        <w:rPr>
          <w:lang w:val="fr-FR"/>
        </w:rPr>
        <w:t>d)</w:t>
      </w:r>
      <w:r w:rsidR="00D25381" w:rsidRPr="00D25381">
        <w:rPr>
          <w:lang w:val="fr-FR"/>
        </w:rPr>
        <w:tab/>
        <w:t>du manque de données ventilées par sexe, origine ethnique et situation de handicap concernant les inscriptions aux différents niveaux de l</w:t>
      </w:r>
      <w:r w:rsidR="00070383">
        <w:rPr>
          <w:lang w:val="fr-FR"/>
        </w:rPr>
        <w:t>’</w:t>
      </w:r>
      <w:r w:rsidR="00D25381" w:rsidRPr="00D25381">
        <w:rPr>
          <w:lang w:val="fr-FR"/>
        </w:rPr>
        <w:t>éducation scolaire, en</w:t>
      </w:r>
      <w:r w:rsidR="006C377A">
        <w:rPr>
          <w:lang w:val="fr-FR"/>
        </w:rPr>
        <w:t xml:space="preserve"> </w:t>
      </w:r>
      <w:r w:rsidR="00D25381" w:rsidRPr="00D25381">
        <w:rPr>
          <w:lang w:val="fr-FR"/>
        </w:rPr>
        <w:t>particulier dans l</w:t>
      </w:r>
      <w:r w:rsidR="00070383">
        <w:rPr>
          <w:lang w:val="fr-FR"/>
        </w:rPr>
        <w:t>’</w:t>
      </w:r>
      <w:r w:rsidR="00D25381" w:rsidRPr="00D25381">
        <w:rPr>
          <w:lang w:val="fr-FR"/>
        </w:rPr>
        <w:t>enseignement supérieur, ainsi que sur les taux de décrochage scolaire et les facteurs qui en sont la cause</w:t>
      </w:r>
      <w:r w:rsidR="00C0187D">
        <w:rPr>
          <w:lang w:val="fr-FR"/>
        </w:rPr>
        <w:t> ;</w:t>
      </w:r>
    </w:p>
    <w:p w14:paraId="1BE5D9C9" w14:textId="7EACD721" w:rsidR="00D25381" w:rsidRPr="00D25381" w:rsidRDefault="0030629E" w:rsidP="0030629E">
      <w:pPr>
        <w:pStyle w:val="SingleTxt"/>
        <w:rPr>
          <w:lang w:val="fr-FR"/>
        </w:rPr>
      </w:pPr>
      <w:r>
        <w:rPr>
          <w:lang w:val="fr-FR"/>
        </w:rPr>
        <w:tab/>
      </w:r>
      <w:r w:rsidR="00D25381" w:rsidRPr="00D25381">
        <w:rPr>
          <w:lang w:val="fr-FR"/>
        </w:rPr>
        <w:t>e)</w:t>
      </w:r>
      <w:r w:rsidR="00D25381" w:rsidRPr="00D25381">
        <w:rPr>
          <w:lang w:val="fr-FR"/>
        </w:rPr>
        <w:tab/>
        <w:t>du fait que les femmes et les filles se tournent principalement vers des filières à prédominance traditionnellement féminine et sont sous-représentées dans les sciences et les technologies</w:t>
      </w:r>
      <w:r w:rsidR="00C0187D">
        <w:rPr>
          <w:lang w:val="fr-FR"/>
        </w:rPr>
        <w:t> ;</w:t>
      </w:r>
    </w:p>
    <w:p w14:paraId="5BE0B009" w14:textId="6E54AFE4" w:rsidR="00D25381" w:rsidRPr="00D25381" w:rsidRDefault="0030629E" w:rsidP="0030629E">
      <w:pPr>
        <w:pStyle w:val="SingleTxt"/>
        <w:rPr>
          <w:lang w:val="fr-FR"/>
        </w:rPr>
      </w:pPr>
      <w:r>
        <w:rPr>
          <w:lang w:val="fr-FR"/>
        </w:rPr>
        <w:tab/>
      </w:r>
      <w:r w:rsidR="00D25381" w:rsidRPr="00D25381">
        <w:rPr>
          <w:lang w:val="fr-FR"/>
        </w:rPr>
        <w:t>f)</w:t>
      </w:r>
      <w:r w:rsidR="00D25381" w:rsidRPr="00D25381">
        <w:rPr>
          <w:lang w:val="fr-FR"/>
        </w:rPr>
        <w:tab/>
        <w:t>des obstacles qui entravent de plus en plus la scolarisation des filles vivant en milieu rural, notamment les hausses de coûts des transports, la fermeture des écoles rurales, la baisse des subventions de l</w:t>
      </w:r>
      <w:r w:rsidR="00070383">
        <w:rPr>
          <w:lang w:val="fr-FR"/>
        </w:rPr>
        <w:t>’</w:t>
      </w:r>
      <w:r w:rsidR="00D25381" w:rsidRPr="00D25381">
        <w:rPr>
          <w:lang w:val="fr-FR"/>
        </w:rPr>
        <w:t>État aux services éducatifs communautaires et le manque d</w:t>
      </w:r>
      <w:r w:rsidR="00070383">
        <w:rPr>
          <w:lang w:val="fr-FR"/>
        </w:rPr>
        <w:t>’</w:t>
      </w:r>
      <w:r w:rsidR="00D25381" w:rsidRPr="00D25381">
        <w:rPr>
          <w:lang w:val="fr-FR"/>
        </w:rPr>
        <w:t>accès aux informations concernant l</w:t>
      </w:r>
      <w:r w:rsidR="00070383">
        <w:rPr>
          <w:lang w:val="fr-FR"/>
        </w:rPr>
        <w:t>’</w:t>
      </w:r>
      <w:r w:rsidR="00D25381" w:rsidRPr="00D25381">
        <w:rPr>
          <w:lang w:val="fr-FR"/>
        </w:rPr>
        <w:t>obligation de faire des « dons volontaires » aux établissements scolaires.</w:t>
      </w:r>
    </w:p>
    <w:p w14:paraId="55CE3610" w14:textId="5A2827F1" w:rsidR="00D25381" w:rsidRPr="0030629E" w:rsidRDefault="00D25381" w:rsidP="0030629E">
      <w:pPr>
        <w:pStyle w:val="SingleTxt"/>
        <w:numPr>
          <w:ilvl w:val="0"/>
          <w:numId w:val="17"/>
        </w:numPr>
        <w:spacing w:line="240" w:lineRule="exact"/>
        <w:ind w:left="1267"/>
        <w:rPr>
          <w:b/>
          <w:bCs/>
          <w:lang w:val="fr-FR"/>
        </w:rPr>
      </w:pPr>
      <w:r w:rsidRPr="0030629E">
        <w:rPr>
          <w:b/>
          <w:bCs/>
          <w:lang w:val="fr-FR"/>
        </w:rPr>
        <w:t>Rappelant sa recommandation générale n</w:t>
      </w:r>
      <w:r w:rsidR="00BB581E" w:rsidRPr="00B50F39">
        <w:rPr>
          <w:b/>
          <w:bCs/>
          <w:vertAlign w:val="superscript"/>
          <w:lang w:val="fr-FR"/>
        </w:rPr>
        <w:t>o</w:t>
      </w:r>
      <w:r w:rsidRPr="0030629E">
        <w:rPr>
          <w:b/>
          <w:bCs/>
          <w:lang w:val="fr-FR"/>
        </w:rPr>
        <w:t xml:space="preserve"> </w:t>
      </w:r>
      <w:r w:rsidRPr="00E26C4F">
        <w:rPr>
          <w:b/>
          <w:bCs/>
          <w:lang w:val="fr-FR"/>
        </w:rPr>
        <w:t>36</w:t>
      </w:r>
      <w:r w:rsidRPr="0030629E">
        <w:rPr>
          <w:b/>
          <w:bCs/>
          <w:lang w:val="fr-FR"/>
        </w:rPr>
        <w:t xml:space="preserve"> (</w:t>
      </w:r>
      <w:r w:rsidRPr="00E26C4F">
        <w:rPr>
          <w:b/>
          <w:bCs/>
          <w:lang w:val="fr-FR"/>
        </w:rPr>
        <w:t>2017</w:t>
      </w:r>
      <w:r w:rsidRPr="0030629E">
        <w:rPr>
          <w:b/>
          <w:bCs/>
          <w:lang w:val="fr-FR"/>
        </w:rPr>
        <w:t>) sur le droit des filles et des femmes à l</w:t>
      </w:r>
      <w:r w:rsidR="00070383">
        <w:rPr>
          <w:b/>
          <w:bCs/>
          <w:lang w:val="fr-FR"/>
        </w:rPr>
        <w:t>’</w:t>
      </w:r>
      <w:r w:rsidRPr="0030629E">
        <w:rPr>
          <w:b/>
          <w:bCs/>
          <w:lang w:val="fr-FR"/>
        </w:rPr>
        <w:t>éducation, le Comité recommande à l</w:t>
      </w:r>
      <w:r w:rsidR="00070383">
        <w:rPr>
          <w:b/>
          <w:bCs/>
          <w:lang w:val="fr-FR"/>
        </w:rPr>
        <w:t>’</w:t>
      </w:r>
      <w:r w:rsidRPr="0030629E">
        <w:rPr>
          <w:b/>
          <w:bCs/>
          <w:lang w:val="fr-FR"/>
        </w:rPr>
        <w:t>État partie de prendre, en leur affectant des ressources suffisantes, les mesures législatives et stratégiques qui s</w:t>
      </w:r>
      <w:r w:rsidR="00070383">
        <w:rPr>
          <w:b/>
          <w:bCs/>
          <w:lang w:val="fr-FR"/>
        </w:rPr>
        <w:t>’</w:t>
      </w:r>
      <w:r w:rsidRPr="0030629E">
        <w:rPr>
          <w:b/>
          <w:bCs/>
          <w:lang w:val="fr-FR"/>
        </w:rPr>
        <w:t>imposent pour</w:t>
      </w:r>
      <w:r w:rsidR="0030629E" w:rsidRPr="0030629E">
        <w:rPr>
          <w:b/>
          <w:bCs/>
          <w:lang w:val="fr-FR"/>
        </w:rPr>
        <w:t> </w:t>
      </w:r>
      <w:r w:rsidRPr="0030629E">
        <w:rPr>
          <w:b/>
          <w:bCs/>
          <w:lang w:val="fr-FR"/>
        </w:rPr>
        <w:t>:</w:t>
      </w:r>
    </w:p>
    <w:p w14:paraId="62FCFA1F" w14:textId="38476BB2" w:rsidR="00D25381" w:rsidRPr="0030629E" w:rsidRDefault="00D25381" w:rsidP="0030629E">
      <w:pPr>
        <w:pStyle w:val="SingleTxt"/>
        <w:rPr>
          <w:b/>
          <w:bCs/>
          <w:lang w:val="fr-FR"/>
        </w:rPr>
      </w:pPr>
      <w:r w:rsidRPr="0030629E">
        <w:rPr>
          <w:b/>
          <w:bCs/>
          <w:lang w:val="fr-FR"/>
        </w:rPr>
        <w:tab/>
        <w:t>a)</w:t>
      </w:r>
      <w:r w:rsidRPr="0030629E">
        <w:rPr>
          <w:b/>
          <w:bCs/>
          <w:lang w:val="fr-FR"/>
        </w:rPr>
        <w:tab/>
        <w:t>faciliter l</w:t>
      </w:r>
      <w:r w:rsidR="00070383">
        <w:rPr>
          <w:b/>
          <w:bCs/>
          <w:lang w:val="fr-FR"/>
        </w:rPr>
        <w:t>’</w:t>
      </w:r>
      <w:r w:rsidRPr="0030629E">
        <w:rPr>
          <w:b/>
          <w:bCs/>
          <w:lang w:val="fr-FR"/>
        </w:rPr>
        <w:t>accès des filles et des femmes vivant en milieu rural à l</w:t>
      </w:r>
      <w:r w:rsidR="00070383">
        <w:rPr>
          <w:b/>
          <w:bCs/>
          <w:lang w:val="fr-FR"/>
        </w:rPr>
        <w:t>’</w:t>
      </w:r>
      <w:r w:rsidRPr="0030629E">
        <w:rPr>
          <w:b/>
          <w:bCs/>
          <w:lang w:val="fr-FR"/>
        </w:rPr>
        <w:t>enseignement secondaire et postsecondaire, notamment en y consacrant davantage de moyens</w:t>
      </w:r>
      <w:r w:rsidR="00C0187D">
        <w:rPr>
          <w:b/>
          <w:bCs/>
          <w:lang w:val="fr-FR"/>
        </w:rPr>
        <w:t> ;</w:t>
      </w:r>
    </w:p>
    <w:p w14:paraId="1E147033" w14:textId="1444051E" w:rsidR="00D25381" w:rsidRPr="0030629E" w:rsidRDefault="0030629E" w:rsidP="0030629E">
      <w:pPr>
        <w:pStyle w:val="SingleTxt"/>
        <w:rPr>
          <w:b/>
          <w:bCs/>
          <w:lang w:val="fr-FR"/>
        </w:rPr>
      </w:pPr>
      <w:r w:rsidRPr="0030629E">
        <w:rPr>
          <w:b/>
          <w:bCs/>
          <w:lang w:val="fr-FR"/>
        </w:rPr>
        <w:tab/>
      </w:r>
      <w:r w:rsidR="00D25381" w:rsidRPr="0030629E">
        <w:rPr>
          <w:b/>
          <w:bCs/>
          <w:lang w:val="fr-FR"/>
        </w:rPr>
        <w:t>b)</w:t>
      </w:r>
      <w:r w:rsidR="00D25381" w:rsidRPr="0030629E">
        <w:rPr>
          <w:b/>
          <w:bCs/>
          <w:lang w:val="fr-FR"/>
        </w:rPr>
        <w:tab/>
        <w:t>veiller à incorporer dans les programmes scolaires des cours obligatoires, adaptés à l</w:t>
      </w:r>
      <w:r w:rsidR="00070383">
        <w:rPr>
          <w:b/>
          <w:bCs/>
          <w:lang w:val="fr-FR"/>
        </w:rPr>
        <w:t>’</w:t>
      </w:r>
      <w:r w:rsidR="00D25381" w:rsidRPr="0030629E">
        <w:rPr>
          <w:b/>
          <w:bCs/>
          <w:lang w:val="fr-FR"/>
        </w:rPr>
        <w:t>âge des élèves et prenant en compte leurs particularités culturelles, portant sur la santé en matière de sexualité et de procréation et sur les droits y afférents, ainsi que sur les comportements sexuels responsables, en mettant l</w:t>
      </w:r>
      <w:r w:rsidR="00070383">
        <w:rPr>
          <w:b/>
          <w:bCs/>
          <w:lang w:val="fr-FR"/>
        </w:rPr>
        <w:t>’</w:t>
      </w:r>
      <w:r w:rsidR="00D25381" w:rsidRPr="0030629E">
        <w:rPr>
          <w:b/>
          <w:bCs/>
          <w:lang w:val="fr-FR"/>
        </w:rPr>
        <w:t>accent sur la prévention des grossesses précoces et des infections sexuellement transmissibles</w:t>
      </w:r>
      <w:r w:rsidR="00C0187D">
        <w:rPr>
          <w:b/>
          <w:bCs/>
          <w:lang w:val="fr-FR"/>
        </w:rPr>
        <w:t> ;</w:t>
      </w:r>
    </w:p>
    <w:p w14:paraId="11210E73" w14:textId="10850DA4" w:rsidR="00D25381" w:rsidRPr="0030629E" w:rsidRDefault="0030629E" w:rsidP="0030629E">
      <w:pPr>
        <w:pStyle w:val="SingleTxt"/>
        <w:rPr>
          <w:b/>
          <w:bCs/>
          <w:lang w:val="fr-FR"/>
        </w:rPr>
      </w:pPr>
      <w:r w:rsidRPr="0030629E">
        <w:rPr>
          <w:b/>
          <w:bCs/>
          <w:lang w:val="fr-FR"/>
        </w:rPr>
        <w:tab/>
      </w:r>
      <w:r w:rsidR="00D25381" w:rsidRPr="0030629E">
        <w:rPr>
          <w:b/>
          <w:bCs/>
          <w:lang w:val="fr-FR"/>
        </w:rPr>
        <w:t>c)</w:t>
      </w:r>
      <w:r w:rsidR="00D25381" w:rsidRPr="0030629E">
        <w:rPr>
          <w:b/>
          <w:bCs/>
          <w:lang w:val="fr-FR"/>
        </w:rPr>
        <w:tab/>
        <w:t>offrir aux filles un cadre éducatif sûr qui soit préservé de la discrimination et des violences sexuelles, et inscrire dans les programmes des cours d</w:t>
      </w:r>
      <w:r w:rsidR="00070383">
        <w:rPr>
          <w:b/>
          <w:bCs/>
          <w:lang w:val="fr-FR"/>
        </w:rPr>
        <w:t>’</w:t>
      </w:r>
      <w:r w:rsidR="00D25381" w:rsidRPr="0030629E">
        <w:rPr>
          <w:b/>
          <w:bCs/>
          <w:lang w:val="fr-FR"/>
        </w:rPr>
        <w:t>éducation à la non-violence</w:t>
      </w:r>
      <w:r w:rsidR="00C0187D">
        <w:rPr>
          <w:b/>
          <w:bCs/>
          <w:lang w:val="fr-FR"/>
        </w:rPr>
        <w:t> ;</w:t>
      </w:r>
    </w:p>
    <w:p w14:paraId="3C3414EA" w14:textId="1F603842" w:rsidR="00D25381" w:rsidRPr="0030629E" w:rsidRDefault="0030629E" w:rsidP="0030629E">
      <w:pPr>
        <w:pStyle w:val="SingleTxt"/>
        <w:rPr>
          <w:b/>
          <w:bCs/>
          <w:lang w:val="fr-FR"/>
        </w:rPr>
      </w:pPr>
      <w:r w:rsidRPr="0030629E">
        <w:rPr>
          <w:b/>
          <w:bCs/>
          <w:lang w:val="fr-FR"/>
        </w:rPr>
        <w:tab/>
      </w:r>
      <w:r w:rsidR="00D25381" w:rsidRPr="0030629E">
        <w:rPr>
          <w:b/>
          <w:bCs/>
          <w:lang w:val="fr-FR"/>
        </w:rPr>
        <w:t>d)</w:t>
      </w:r>
      <w:r w:rsidR="00D25381" w:rsidRPr="0030629E">
        <w:rPr>
          <w:b/>
          <w:bCs/>
          <w:lang w:val="fr-FR"/>
        </w:rPr>
        <w:tab/>
        <w:t>redoubler d</w:t>
      </w:r>
      <w:r w:rsidR="00070383">
        <w:rPr>
          <w:b/>
          <w:bCs/>
          <w:lang w:val="fr-FR"/>
        </w:rPr>
        <w:t>’</w:t>
      </w:r>
      <w:r w:rsidR="00D25381" w:rsidRPr="0030629E">
        <w:rPr>
          <w:b/>
          <w:bCs/>
          <w:lang w:val="fr-FR"/>
        </w:rPr>
        <w:t>efforts pour qu</w:t>
      </w:r>
      <w:r w:rsidR="00070383">
        <w:rPr>
          <w:b/>
          <w:bCs/>
          <w:lang w:val="fr-FR"/>
        </w:rPr>
        <w:t>’</w:t>
      </w:r>
      <w:r w:rsidR="00D25381" w:rsidRPr="0030629E">
        <w:rPr>
          <w:b/>
          <w:bCs/>
          <w:lang w:val="fr-FR"/>
        </w:rPr>
        <w:t>aucune pression ne soit exercée sur les adolescentes enceintes dans le but de les pousser à quitter l</w:t>
      </w:r>
      <w:r w:rsidR="00070383">
        <w:rPr>
          <w:b/>
          <w:bCs/>
          <w:lang w:val="fr-FR"/>
        </w:rPr>
        <w:t>’</w:t>
      </w:r>
      <w:r w:rsidR="00D25381" w:rsidRPr="0030629E">
        <w:rPr>
          <w:b/>
          <w:bCs/>
          <w:lang w:val="fr-FR"/>
        </w:rPr>
        <w:t>école ou à changer de cursus, et pour mettre en place une politique de réinsertion scolaire des mères adolescentes tout en évitant que les grossesses et la maternité précoces ne soient perçues comme étant la norme</w:t>
      </w:r>
      <w:r w:rsidR="00C0187D">
        <w:rPr>
          <w:b/>
          <w:bCs/>
          <w:lang w:val="fr-FR"/>
        </w:rPr>
        <w:t> ;</w:t>
      </w:r>
    </w:p>
    <w:p w14:paraId="35132542" w14:textId="40F46310" w:rsidR="00D25381" w:rsidRPr="0030629E" w:rsidRDefault="0030629E" w:rsidP="0030629E">
      <w:pPr>
        <w:pStyle w:val="SingleTxt"/>
        <w:rPr>
          <w:b/>
          <w:bCs/>
          <w:lang w:val="fr-FR"/>
        </w:rPr>
      </w:pPr>
      <w:r w:rsidRPr="0030629E">
        <w:rPr>
          <w:b/>
          <w:bCs/>
          <w:lang w:val="fr-FR"/>
        </w:rPr>
        <w:tab/>
      </w:r>
      <w:r w:rsidR="00D25381" w:rsidRPr="0030629E">
        <w:rPr>
          <w:b/>
          <w:bCs/>
          <w:lang w:val="fr-FR"/>
        </w:rPr>
        <w:t>e)</w:t>
      </w:r>
      <w:r w:rsidR="00D25381" w:rsidRPr="0030629E">
        <w:rPr>
          <w:b/>
          <w:bCs/>
          <w:lang w:val="fr-FR"/>
        </w:rPr>
        <w:tab/>
        <w:t>continuer de lutter contre les stéréotypes traditionnels et les barrières structurelles qui peuvent dissuader les filles de s</w:t>
      </w:r>
      <w:r w:rsidR="00070383">
        <w:rPr>
          <w:b/>
          <w:bCs/>
          <w:lang w:val="fr-FR"/>
        </w:rPr>
        <w:t>’</w:t>
      </w:r>
      <w:r w:rsidR="00D25381" w:rsidRPr="0030629E">
        <w:rPr>
          <w:b/>
          <w:bCs/>
          <w:lang w:val="fr-FR"/>
        </w:rPr>
        <w:t>inscrire dans des filières traditionnellement masculines, de fournir aux filles des services d</w:t>
      </w:r>
      <w:r w:rsidR="00070383">
        <w:rPr>
          <w:b/>
          <w:bCs/>
          <w:lang w:val="fr-FR"/>
        </w:rPr>
        <w:t>’</w:t>
      </w:r>
      <w:r w:rsidR="00D25381" w:rsidRPr="0030629E">
        <w:rPr>
          <w:b/>
          <w:bCs/>
          <w:lang w:val="fr-FR"/>
        </w:rPr>
        <w:t>orientation professionnelle, des bourses et autres mesures incitatives destinées à les pousser vers des disciplines scientifiques et techniques, notamment vers la météorologie, la réduction des risques de catastrophe et les changements climatiques, et de veiller à ce que les programmes de formation des enseignants traitent des stéréotypes</w:t>
      </w:r>
      <w:r w:rsidR="00C0187D">
        <w:rPr>
          <w:b/>
          <w:bCs/>
          <w:lang w:val="fr-FR"/>
        </w:rPr>
        <w:t> ;</w:t>
      </w:r>
      <w:r w:rsidR="00D25381" w:rsidRPr="0030629E">
        <w:rPr>
          <w:b/>
          <w:bCs/>
          <w:lang w:val="fr-FR"/>
        </w:rPr>
        <w:t xml:space="preserve"> </w:t>
      </w:r>
    </w:p>
    <w:p w14:paraId="3A891D0F" w14:textId="7C479EBE" w:rsidR="00D25381" w:rsidRPr="0030629E" w:rsidRDefault="0030629E" w:rsidP="0030629E">
      <w:pPr>
        <w:pStyle w:val="SingleTxt"/>
        <w:rPr>
          <w:b/>
          <w:bCs/>
          <w:lang w:val="fr-FR"/>
        </w:rPr>
      </w:pPr>
      <w:r w:rsidRPr="0030629E">
        <w:rPr>
          <w:b/>
          <w:bCs/>
          <w:lang w:val="fr-FR"/>
        </w:rPr>
        <w:tab/>
      </w:r>
      <w:r w:rsidR="00D25381" w:rsidRPr="0030629E">
        <w:rPr>
          <w:b/>
          <w:bCs/>
          <w:lang w:val="fr-FR"/>
        </w:rPr>
        <w:t>f)</w:t>
      </w:r>
      <w:r w:rsidR="00D25381" w:rsidRPr="0030629E">
        <w:rPr>
          <w:b/>
          <w:bCs/>
          <w:lang w:val="fr-FR"/>
        </w:rPr>
        <w:tab/>
        <w:t>lever tous les obstacles à l</w:t>
      </w:r>
      <w:r w:rsidR="00070383">
        <w:rPr>
          <w:b/>
          <w:bCs/>
          <w:lang w:val="fr-FR"/>
        </w:rPr>
        <w:t>’</w:t>
      </w:r>
      <w:r w:rsidR="00D25381" w:rsidRPr="0030629E">
        <w:rPr>
          <w:b/>
          <w:bCs/>
          <w:lang w:val="fr-FR"/>
        </w:rPr>
        <w:t>éducation des filles vivant en milieu rural, y compris les obstacles d</w:t>
      </w:r>
      <w:r w:rsidR="00070383">
        <w:rPr>
          <w:b/>
          <w:bCs/>
          <w:lang w:val="fr-FR"/>
        </w:rPr>
        <w:t>’</w:t>
      </w:r>
      <w:r w:rsidR="00D25381" w:rsidRPr="0030629E">
        <w:rPr>
          <w:b/>
          <w:bCs/>
          <w:lang w:val="fr-FR"/>
        </w:rPr>
        <w:t xml:space="preserve">ordre financier et ceux liés aux transports. </w:t>
      </w:r>
    </w:p>
    <w:p w14:paraId="339D2DDF" w14:textId="2FF5A32C" w:rsidR="0030629E" w:rsidRPr="0030629E" w:rsidRDefault="0030629E" w:rsidP="0030629E">
      <w:pPr>
        <w:pStyle w:val="SingleTxt"/>
        <w:spacing w:after="0" w:line="120" w:lineRule="exact"/>
        <w:rPr>
          <w:sz w:val="10"/>
          <w:lang w:val="fr-FR"/>
        </w:rPr>
      </w:pPr>
    </w:p>
    <w:p w14:paraId="392C9840" w14:textId="30627CBB" w:rsidR="00D25381" w:rsidRDefault="0030629E" w:rsidP="003062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Emploi</w:t>
      </w:r>
    </w:p>
    <w:p w14:paraId="4D57DAFD" w14:textId="3E78F992" w:rsidR="0030629E" w:rsidRPr="0030629E" w:rsidRDefault="0030629E" w:rsidP="0030629E">
      <w:pPr>
        <w:pStyle w:val="SingleTxt"/>
        <w:spacing w:after="0" w:line="120" w:lineRule="exact"/>
        <w:rPr>
          <w:sz w:val="10"/>
          <w:lang w:val="fr-FR"/>
        </w:rPr>
      </w:pPr>
    </w:p>
    <w:p w14:paraId="7ED993E1" w14:textId="2F9FFE99" w:rsidR="00D25381" w:rsidRPr="00D25381" w:rsidRDefault="00D25381" w:rsidP="0030629E">
      <w:pPr>
        <w:pStyle w:val="SingleTxt"/>
        <w:numPr>
          <w:ilvl w:val="0"/>
          <w:numId w:val="17"/>
        </w:numPr>
        <w:spacing w:line="240" w:lineRule="exact"/>
        <w:ind w:left="1267"/>
        <w:rPr>
          <w:lang w:val="fr-FR"/>
        </w:rPr>
      </w:pPr>
      <w:r w:rsidRPr="00D25381">
        <w:rPr>
          <w:lang w:val="fr-FR"/>
        </w:rPr>
        <w:t>Le Comité constate avec satisfaction que l</w:t>
      </w:r>
      <w:r w:rsidR="00070383">
        <w:rPr>
          <w:lang w:val="fr-FR"/>
        </w:rPr>
        <w:t>’</w:t>
      </w:r>
      <w:r w:rsidRPr="00D25381">
        <w:rPr>
          <w:lang w:val="fr-FR"/>
        </w:rPr>
        <w:t>État partie a mis en place des principes d</w:t>
      </w:r>
      <w:r w:rsidR="00070383">
        <w:rPr>
          <w:lang w:val="fr-FR"/>
        </w:rPr>
        <w:t>’</w:t>
      </w:r>
      <w:r w:rsidRPr="00D25381">
        <w:rPr>
          <w:lang w:val="fr-FR"/>
        </w:rPr>
        <w:t>équité salariale. Il félicite par ailleurs la Nouvelle-Zélande pour la conclusion de l</w:t>
      </w:r>
      <w:r w:rsidR="00070383">
        <w:rPr>
          <w:lang w:val="fr-FR"/>
        </w:rPr>
        <w:t>’</w:t>
      </w:r>
      <w:r w:rsidRPr="00D25381">
        <w:rPr>
          <w:lang w:val="fr-FR"/>
        </w:rPr>
        <w:t>accord d</w:t>
      </w:r>
      <w:r w:rsidR="00070383">
        <w:rPr>
          <w:lang w:val="fr-FR"/>
        </w:rPr>
        <w:t>’</w:t>
      </w:r>
      <w:r w:rsidRPr="00D25381">
        <w:rPr>
          <w:lang w:val="fr-FR"/>
        </w:rPr>
        <w:t>équité salariale qui a permis d</w:t>
      </w:r>
      <w:r w:rsidR="00070383">
        <w:rPr>
          <w:lang w:val="fr-FR"/>
        </w:rPr>
        <w:t>’</w:t>
      </w:r>
      <w:r w:rsidRPr="00D25381">
        <w:rPr>
          <w:lang w:val="fr-FR"/>
        </w:rPr>
        <w:t xml:space="preserve">indemniser à hauteur de deux milliards de dollars les </w:t>
      </w:r>
      <w:r w:rsidRPr="00E26C4F">
        <w:rPr>
          <w:lang w:val="fr-FR"/>
        </w:rPr>
        <w:t>55</w:t>
      </w:r>
      <w:r w:rsidRPr="00D25381">
        <w:rPr>
          <w:lang w:val="fr-FR"/>
        </w:rPr>
        <w:t xml:space="preserve"> </w:t>
      </w:r>
      <w:r w:rsidRPr="00E26C4F">
        <w:rPr>
          <w:lang w:val="fr-FR"/>
        </w:rPr>
        <w:t>000</w:t>
      </w:r>
      <w:r w:rsidRPr="00D25381">
        <w:rPr>
          <w:lang w:val="fr-FR"/>
        </w:rPr>
        <w:t xml:space="preserve"> agents des services de soin et d</w:t>
      </w:r>
      <w:r w:rsidR="00070383">
        <w:rPr>
          <w:lang w:val="fr-FR"/>
        </w:rPr>
        <w:t>’</w:t>
      </w:r>
      <w:r w:rsidRPr="00D25381">
        <w:rPr>
          <w:lang w:val="fr-FR"/>
        </w:rPr>
        <w:t>assistance en institution ou à domicile et des services d</w:t>
      </w:r>
      <w:r w:rsidR="00070383">
        <w:rPr>
          <w:lang w:val="fr-FR"/>
        </w:rPr>
        <w:t>’</w:t>
      </w:r>
      <w:r w:rsidRPr="00D25381">
        <w:rPr>
          <w:lang w:val="fr-FR"/>
        </w:rPr>
        <w:t>accompagnement aux personnes âgées ou handicapées, ainsi que pour la reconstitution du Groupe de travail conjoint sur les principes d</w:t>
      </w:r>
      <w:r w:rsidR="00070383">
        <w:rPr>
          <w:lang w:val="fr-FR"/>
        </w:rPr>
        <w:t>’</w:t>
      </w:r>
      <w:r w:rsidRPr="00D25381">
        <w:rPr>
          <w:lang w:val="fr-FR"/>
        </w:rPr>
        <w:t>équité salariale. Il relève toutefois avec préoccupation</w:t>
      </w:r>
      <w:r w:rsidR="00C0187D">
        <w:rPr>
          <w:lang w:val="fr-FR"/>
        </w:rPr>
        <w:t> :</w:t>
      </w:r>
    </w:p>
    <w:p w14:paraId="7C0B2DA0" w14:textId="27F70B06" w:rsidR="00D25381" w:rsidRPr="00D25381" w:rsidRDefault="0030629E" w:rsidP="0030629E">
      <w:pPr>
        <w:pStyle w:val="SingleTxt"/>
        <w:rPr>
          <w:lang w:val="fr-FR"/>
        </w:rPr>
      </w:pPr>
      <w:r>
        <w:rPr>
          <w:lang w:val="fr-FR"/>
        </w:rPr>
        <w:tab/>
      </w:r>
      <w:r w:rsidR="00D25381" w:rsidRPr="00D25381">
        <w:rPr>
          <w:lang w:val="fr-FR"/>
        </w:rPr>
        <w:t>a)</w:t>
      </w:r>
      <w:r w:rsidR="00D25381" w:rsidRPr="00D25381">
        <w:rPr>
          <w:lang w:val="fr-FR"/>
        </w:rPr>
        <w:tab/>
        <w:t>la discrimination dont continent de faire l</w:t>
      </w:r>
      <w:r w:rsidR="00070383">
        <w:rPr>
          <w:lang w:val="fr-FR"/>
        </w:rPr>
        <w:t>’</w:t>
      </w:r>
      <w:r w:rsidR="00D25381" w:rsidRPr="00D25381">
        <w:rPr>
          <w:lang w:val="fr-FR"/>
        </w:rPr>
        <w:t>objet, sur le marché du travail, les Maories et les femmes originaires des îles du Pacifique, ainsi que les femmes handicapées</w:t>
      </w:r>
      <w:r w:rsidR="00C0187D">
        <w:rPr>
          <w:lang w:val="fr-FR"/>
        </w:rPr>
        <w:t> ;</w:t>
      </w:r>
    </w:p>
    <w:p w14:paraId="53E23BF3" w14:textId="5FE29981" w:rsidR="00D25381" w:rsidRPr="00D25381" w:rsidRDefault="0030629E" w:rsidP="0030629E">
      <w:pPr>
        <w:pStyle w:val="SingleTxt"/>
        <w:rPr>
          <w:lang w:val="fr-FR"/>
        </w:rPr>
      </w:pPr>
      <w:r>
        <w:rPr>
          <w:lang w:val="fr-FR"/>
        </w:rPr>
        <w:tab/>
      </w:r>
      <w:r w:rsidR="00D25381" w:rsidRPr="00D25381">
        <w:rPr>
          <w:lang w:val="fr-FR"/>
        </w:rPr>
        <w:t>b)</w:t>
      </w:r>
      <w:r w:rsidR="00D25381" w:rsidRPr="00D25381">
        <w:rPr>
          <w:lang w:val="fr-FR"/>
        </w:rPr>
        <w:tab/>
        <w:t xml:space="preserve">le fort taux de chômage observé chez les femmes de moins de </w:t>
      </w:r>
      <w:r w:rsidR="00D25381" w:rsidRPr="00E26C4F">
        <w:rPr>
          <w:lang w:val="fr-FR"/>
        </w:rPr>
        <w:t>25</w:t>
      </w:r>
      <w:r w:rsidR="00D25381" w:rsidRPr="00D25381">
        <w:rPr>
          <w:lang w:val="fr-FR"/>
        </w:rPr>
        <w:t xml:space="preserve"> ans</w:t>
      </w:r>
      <w:r w:rsidR="00C0187D">
        <w:rPr>
          <w:lang w:val="fr-FR"/>
        </w:rPr>
        <w:t> ;</w:t>
      </w:r>
    </w:p>
    <w:p w14:paraId="2922B79D" w14:textId="4B6EBE0B" w:rsidR="00D25381" w:rsidRPr="00D25381" w:rsidRDefault="0030629E" w:rsidP="0030629E">
      <w:pPr>
        <w:pStyle w:val="SingleTxt"/>
        <w:rPr>
          <w:lang w:val="fr-FR"/>
        </w:rPr>
      </w:pPr>
      <w:r>
        <w:rPr>
          <w:lang w:val="fr-FR"/>
        </w:rPr>
        <w:tab/>
      </w:r>
      <w:r w:rsidR="00D25381" w:rsidRPr="00D25381">
        <w:rPr>
          <w:lang w:val="fr-FR"/>
        </w:rPr>
        <w:t>c)</w:t>
      </w:r>
      <w:r w:rsidR="00D25381" w:rsidRPr="00D25381">
        <w:rPr>
          <w:lang w:val="fr-FR"/>
        </w:rPr>
        <w:tab/>
        <w:t>la persistance des disparités salariales entre les sexes, qui touchent de manière disproportionnée les femmes exerçant des activités peu rémunérées, y compris les Maories et les femmes originaires des îles du Pacifique, ainsi que les femmes issues d</w:t>
      </w:r>
      <w:r w:rsidR="00070383">
        <w:rPr>
          <w:lang w:val="fr-FR"/>
        </w:rPr>
        <w:t>’</w:t>
      </w:r>
      <w:r w:rsidR="00D25381" w:rsidRPr="00D25381">
        <w:rPr>
          <w:lang w:val="fr-FR"/>
        </w:rPr>
        <w:t>autres minorités ethniques et culturelles</w:t>
      </w:r>
      <w:r w:rsidR="00C0187D">
        <w:rPr>
          <w:lang w:val="fr-FR"/>
        </w:rPr>
        <w:t> ;</w:t>
      </w:r>
    </w:p>
    <w:p w14:paraId="33EACFD0" w14:textId="727D962B" w:rsidR="00D25381" w:rsidRPr="00D25381" w:rsidRDefault="0030629E" w:rsidP="0030629E">
      <w:pPr>
        <w:pStyle w:val="SingleTxt"/>
        <w:rPr>
          <w:lang w:val="fr-FR"/>
        </w:rPr>
      </w:pPr>
      <w:r>
        <w:rPr>
          <w:lang w:val="fr-FR"/>
        </w:rPr>
        <w:tab/>
      </w:r>
      <w:r w:rsidR="00D25381" w:rsidRPr="00D25381">
        <w:rPr>
          <w:lang w:val="fr-FR"/>
        </w:rPr>
        <w:t>d)</w:t>
      </w:r>
      <w:r w:rsidR="00D25381" w:rsidRPr="00D25381">
        <w:rPr>
          <w:lang w:val="fr-FR"/>
        </w:rPr>
        <w:tab/>
        <w:t>la ségrégation professionnelle et les disparités salariales qui vont de pair, ainsi que la concentration des femmes dans des emplois peu ou non rémunérés du secteur non structuré de l</w:t>
      </w:r>
      <w:r w:rsidR="00070383">
        <w:rPr>
          <w:lang w:val="fr-FR"/>
        </w:rPr>
        <w:t>’</w:t>
      </w:r>
      <w:r w:rsidR="00D25381" w:rsidRPr="00D25381">
        <w:rPr>
          <w:lang w:val="fr-FR"/>
        </w:rPr>
        <w:t>économie</w:t>
      </w:r>
      <w:r w:rsidR="00C0187D">
        <w:rPr>
          <w:lang w:val="fr-FR"/>
        </w:rPr>
        <w:t> ;</w:t>
      </w:r>
    </w:p>
    <w:p w14:paraId="523326DE" w14:textId="56D1CC10" w:rsidR="00D25381" w:rsidRPr="00D25381" w:rsidRDefault="0030629E" w:rsidP="0030629E">
      <w:pPr>
        <w:pStyle w:val="SingleTxt"/>
        <w:rPr>
          <w:lang w:val="fr-FR"/>
        </w:rPr>
      </w:pPr>
      <w:r>
        <w:rPr>
          <w:lang w:val="fr-FR"/>
        </w:rPr>
        <w:tab/>
      </w:r>
      <w:r w:rsidR="00D25381" w:rsidRPr="00D25381">
        <w:rPr>
          <w:lang w:val="fr-FR"/>
        </w:rPr>
        <w:t>e)</w:t>
      </w:r>
      <w:r w:rsidR="00D25381" w:rsidRPr="00D25381">
        <w:rPr>
          <w:lang w:val="fr-FR"/>
        </w:rPr>
        <w:tab/>
        <w:t>la baisse des subventions allouées aux services et structures d</w:t>
      </w:r>
      <w:r w:rsidR="00070383">
        <w:rPr>
          <w:lang w:val="fr-FR"/>
        </w:rPr>
        <w:t>’</w:t>
      </w:r>
      <w:r w:rsidR="00D25381" w:rsidRPr="00D25381">
        <w:rPr>
          <w:lang w:val="fr-FR"/>
        </w:rPr>
        <w:t>accueil pour enfants, qui empêche les femmes d</w:t>
      </w:r>
      <w:r w:rsidR="00070383">
        <w:rPr>
          <w:lang w:val="fr-FR"/>
        </w:rPr>
        <w:t>’</w:t>
      </w:r>
      <w:r w:rsidR="00D25381" w:rsidRPr="00D25381">
        <w:rPr>
          <w:lang w:val="fr-FR"/>
        </w:rPr>
        <w:t>être présentes sur le marché du travail au même titre que les hommes et leur fait perdre des emplois.</w:t>
      </w:r>
    </w:p>
    <w:p w14:paraId="0F66F75B" w14:textId="086D0FD0" w:rsidR="00D25381" w:rsidRPr="0030629E" w:rsidRDefault="00D25381" w:rsidP="0030629E">
      <w:pPr>
        <w:pStyle w:val="SingleTxt"/>
        <w:numPr>
          <w:ilvl w:val="0"/>
          <w:numId w:val="17"/>
        </w:numPr>
        <w:spacing w:line="240" w:lineRule="exact"/>
        <w:ind w:left="1267"/>
        <w:rPr>
          <w:b/>
          <w:bCs/>
          <w:lang w:val="fr-FR"/>
        </w:rPr>
      </w:pPr>
      <w:r w:rsidRPr="0030629E">
        <w:rPr>
          <w:b/>
          <w:bCs/>
          <w:lang w:val="fr-FR"/>
        </w:rPr>
        <w:t>Le Comité recommande à l</w:t>
      </w:r>
      <w:r w:rsidR="00070383">
        <w:rPr>
          <w:b/>
          <w:bCs/>
          <w:lang w:val="fr-FR"/>
        </w:rPr>
        <w:t>’</w:t>
      </w:r>
      <w:r w:rsidRPr="0030629E">
        <w:rPr>
          <w:b/>
          <w:bCs/>
          <w:lang w:val="fr-FR"/>
        </w:rPr>
        <w:t>État partie de définir et mettre en œuvre des politiques dotées de cibles et d</w:t>
      </w:r>
      <w:r w:rsidR="00070383">
        <w:rPr>
          <w:b/>
          <w:bCs/>
          <w:lang w:val="fr-FR"/>
        </w:rPr>
        <w:t>’</w:t>
      </w:r>
      <w:r w:rsidRPr="0030629E">
        <w:rPr>
          <w:b/>
          <w:bCs/>
          <w:lang w:val="fr-FR"/>
        </w:rPr>
        <w:t>indicateurs assortis d</w:t>
      </w:r>
      <w:r w:rsidR="00070383">
        <w:rPr>
          <w:b/>
          <w:bCs/>
          <w:lang w:val="fr-FR"/>
        </w:rPr>
        <w:t>’</w:t>
      </w:r>
      <w:r w:rsidRPr="0030629E">
        <w:rPr>
          <w:b/>
          <w:bCs/>
          <w:lang w:val="fr-FR"/>
        </w:rPr>
        <w:t>échéances, qui cherchent à ouvrir les débouchés offerts aux femmes dans le secteur formel, à mettre fin à la ségrégation professionnelle et à parvenir à l</w:t>
      </w:r>
      <w:r w:rsidR="00070383">
        <w:rPr>
          <w:b/>
          <w:bCs/>
          <w:lang w:val="fr-FR"/>
        </w:rPr>
        <w:t>’</w:t>
      </w:r>
      <w:r w:rsidRPr="0030629E">
        <w:rPr>
          <w:b/>
          <w:bCs/>
          <w:lang w:val="fr-FR"/>
        </w:rPr>
        <w:t>égalité réelle entre les femmes et les hommes sur le marché de l</w:t>
      </w:r>
      <w:r w:rsidR="00070383">
        <w:rPr>
          <w:b/>
          <w:bCs/>
          <w:lang w:val="fr-FR"/>
        </w:rPr>
        <w:t>’</w:t>
      </w:r>
      <w:r w:rsidRPr="0030629E">
        <w:rPr>
          <w:b/>
          <w:bCs/>
          <w:lang w:val="fr-FR"/>
        </w:rPr>
        <w:t>emploi. Il recommande également à l</w:t>
      </w:r>
      <w:r w:rsidR="00070383">
        <w:rPr>
          <w:b/>
          <w:bCs/>
          <w:lang w:val="fr-FR"/>
        </w:rPr>
        <w:t>’</w:t>
      </w:r>
      <w:r w:rsidRPr="0030629E">
        <w:rPr>
          <w:b/>
          <w:bCs/>
          <w:lang w:val="fr-FR"/>
        </w:rPr>
        <w:t>État partie</w:t>
      </w:r>
      <w:r w:rsidR="0030629E">
        <w:rPr>
          <w:b/>
          <w:bCs/>
          <w:lang w:val="fr-FR"/>
        </w:rPr>
        <w:t> </w:t>
      </w:r>
      <w:r w:rsidRPr="0030629E">
        <w:rPr>
          <w:b/>
          <w:bCs/>
          <w:lang w:val="fr-FR"/>
        </w:rPr>
        <w:t>:</w:t>
      </w:r>
    </w:p>
    <w:p w14:paraId="7C2C1654" w14:textId="724B43D0" w:rsidR="00D25381" w:rsidRPr="0030629E" w:rsidRDefault="0030629E" w:rsidP="0030629E">
      <w:pPr>
        <w:pStyle w:val="SingleTxt"/>
        <w:rPr>
          <w:b/>
          <w:bCs/>
          <w:lang w:val="fr-FR"/>
        </w:rPr>
      </w:pPr>
      <w:r w:rsidRPr="0030629E">
        <w:rPr>
          <w:b/>
          <w:bCs/>
          <w:lang w:val="fr-FR"/>
        </w:rPr>
        <w:tab/>
      </w:r>
      <w:r w:rsidR="00D25381" w:rsidRPr="0030629E">
        <w:rPr>
          <w:b/>
          <w:bCs/>
          <w:lang w:val="fr-FR"/>
        </w:rPr>
        <w:t>a)</w:t>
      </w:r>
      <w:r w:rsidR="00D25381" w:rsidRPr="0030629E">
        <w:rPr>
          <w:b/>
          <w:bCs/>
          <w:lang w:val="fr-FR"/>
        </w:rPr>
        <w:tab/>
        <w:t>de s</w:t>
      </w:r>
      <w:r w:rsidR="00070383">
        <w:rPr>
          <w:b/>
          <w:bCs/>
          <w:lang w:val="fr-FR"/>
        </w:rPr>
        <w:t>’</w:t>
      </w:r>
      <w:r w:rsidR="00D25381" w:rsidRPr="0030629E">
        <w:rPr>
          <w:b/>
          <w:bCs/>
          <w:lang w:val="fr-FR"/>
        </w:rPr>
        <w:t>attacher sans plus attendre à améliorer les conditions de travail des Maories et des femmes originaires des îles du Pacifique, des femmes handicapées et des jeunes femmes dans tous les secteurs de l</w:t>
      </w:r>
      <w:r w:rsidR="00070383">
        <w:rPr>
          <w:b/>
          <w:bCs/>
          <w:lang w:val="fr-FR"/>
        </w:rPr>
        <w:t>’</w:t>
      </w:r>
      <w:r w:rsidR="00D25381" w:rsidRPr="0030629E">
        <w:rPr>
          <w:b/>
          <w:bCs/>
          <w:lang w:val="fr-FR"/>
        </w:rPr>
        <w:t>emploi, en procédant notamment pour ce faire à la collecte et à l</w:t>
      </w:r>
      <w:r w:rsidR="00070383">
        <w:rPr>
          <w:b/>
          <w:bCs/>
          <w:lang w:val="fr-FR"/>
        </w:rPr>
        <w:t>’</w:t>
      </w:r>
      <w:r w:rsidR="00D25381" w:rsidRPr="0030629E">
        <w:rPr>
          <w:b/>
          <w:bCs/>
          <w:lang w:val="fr-FR"/>
        </w:rPr>
        <w:t>analyse de données</w:t>
      </w:r>
      <w:r w:rsidR="00C0187D">
        <w:rPr>
          <w:b/>
          <w:bCs/>
          <w:lang w:val="fr-FR"/>
        </w:rPr>
        <w:t> ;</w:t>
      </w:r>
    </w:p>
    <w:p w14:paraId="42617E2A" w14:textId="77A29B59" w:rsidR="00D25381" w:rsidRPr="0030629E" w:rsidRDefault="0030629E" w:rsidP="0030629E">
      <w:pPr>
        <w:pStyle w:val="SingleTxt"/>
        <w:rPr>
          <w:b/>
          <w:bCs/>
          <w:lang w:val="fr-FR"/>
        </w:rPr>
      </w:pPr>
      <w:r w:rsidRPr="0030629E">
        <w:rPr>
          <w:b/>
          <w:bCs/>
          <w:lang w:val="fr-FR"/>
        </w:rPr>
        <w:tab/>
      </w:r>
      <w:r w:rsidR="00D25381" w:rsidRPr="0030629E">
        <w:rPr>
          <w:b/>
          <w:bCs/>
          <w:lang w:val="fr-FR"/>
        </w:rPr>
        <w:t>b)</w:t>
      </w:r>
      <w:r w:rsidR="00D25381" w:rsidRPr="0030629E">
        <w:rPr>
          <w:b/>
          <w:bCs/>
          <w:lang w:val="fr-FR"/>
        </w:rPr>
        <w:tab/>
        <w:t>d</w:t>
      </w:r>
      <w:r w:rsidR="00070383">
        <w:rPr>
          <w:b/>
          <w:bCs/>
          <w:lang w:val="fr-FR"/>
        </w:rPr>
        <w:t>’</w:t>
      </w:r>
      <w:r w:rsidR="00D25381" w:rsidRPr="0030629E">
        <w:rPr>
          <w:b/>
          <w:bCs/>
          <w:lang w:val="fr-FR"/>
        </w:rPr>
        <w:t>envisager l</w:t>
      </w:r>
      <w:r w:rsidR="00070383">
        <w:rPr>
          <w:b/>
          <w:bCs/>
          <w:lang w:val="fr-FR"/>
        </w:rPr>
        <w:t>’</w:t>
      </w:r>
      <w:r w:rsidR="00D25381" w:rsidRPr="0030629E">
        <w:rPr>
          <w:b/>
          <w:bCs/>
          <w:lang w:val="fr-FR"/>
        </w:rPr>
        <w:t>adoption d</w:t>
      </w:r>
      <w:r w:rsidR="00070383">
        <w:rPr>
          <w:b/>
          <w:bCs/>
          <w:lang w:val="fr-FR"/>
        </w:rPr>
        <w:t>’</w:t>
      </w:r>
      <w:r w:rsidR="00D25381" w:rsidRPr="0030629E">
        <w:rPr>
          <w:b/>
          <w:bCs/>
          <w:lang w:val="fr-FR"/>
        </w:rPr>
        <w:t>une nouvelle loi sur la base des recommandations du Groupe de travail conjoint sur les principes d</w:t>
      </w:r>
      <w:r w:rsidR="00070383">
        <w:rPr>
          <w:b/>
          <w:bCs/>
          <w:lang w:val="fr-FR"/>
        </w:rPr>
        <w:t>’</w:t>
      </w:r>
      <w:r w:rsidR="00D25381" w:rsidRPr="0030629E">
        <w:rPr>
          <w:b/>
          <w:bCs/>
          <w:lang w:val="fr-FR"/>
        </w:rPr>
        <w:t>équité salariale nouvellement reconduit, et de faire en sorte qu</w:t>
      </w:r>
      <w:r w:rsidR="00070383">
        <w:rPr>
          <w:b/>
          <w:bCs/>
          <w:lang w:val="fr-FR"/>
        </w:rPr>
        <w:t>’</w:t>
      </w:r>
      <w:r w:rsidR="00D25381" w:rsidRPr="0030629E">
        <w:rPr>
          <w:b/>
          <w:bCs/>
          <w:lang w:val="fr-FR"/>
        </w:rPr>
        <w:t>elle puisse s</w:t>
      </w:r>
      <w:r w:rsidR="00070383">
        <w:rPr>
          <w:b/>
          <w:bCs/>
          <w:lang w:val="fr-FR"/>
        </w:rPr>
        <w:t>’</w:t>
      </w:r>
      <w:r w:rsidR="00D25381" w:rsidRPr="0030629E">
        <w:rPr>
          <w:b/>
          <w:bCs/>
          <w:lang w:val="fr-FR"/>
        </w:rPr>
        <w:t>appliquer dans le secteur public comme dans le secteur privé</w:t>
      </w:r>
      <w:r w:rsidR="00C0187D">
        <w:rPr>
          <w:b/>
          <w:bCs/>
          <w:lang w:val="fr-FR"/>
        </w:rPr>
        <w:t> ;</w:t>
      </w:r>
      <w:r w:rsidR="00D25381" w:rsidRPr="0030629E">
        <w:rPr>
          <w:b/>
          <w:bCs/>
          <w:lang w:val="fr-FR"/>
        </w:rPr>
        <w:t xml:space="preserve"> </w:t>
      </w:r>
    </w:p>
    <w:p w14:paraId="3131EF98" w14:textId="06ED3399" w:rsidR="00D25381" w:rsidRPr="0030629E" w:rsidRDefault="0030629E" w:rsidP="0030629E">
      <w:pPr>
        <w:pStyle w:val="SingleTxt"/>
        <w:rPr>
          <w:b/>
          <w:bCs/>
          <w:lang w:val="fr-FR"/>
        </w:rPr>
      </w:pPr>
      <w:r w:rsidRPr="0030629E">
        <w:rPr>
          <w:b/>
          <w:bCs/>
          <w:lang w:val="fr-FR"/>
        </w:rPr>
        <w:tab/>
      </w:r>
      <w:r w:rsidR="00D25381" w:rsidRPr="0030629E">
        <w:rPr>
          <w:b/>
          <w:bCs/>
          <w:lang w:val="fr-FR"/>
        </w:rPr>
        <w:t>c)</w:t>
      </w:r>
      <w:r w:rsidR="00D25381" w:rsidRPr="0030629E">
        <w:rPr>
          <w:b/>
          <w:bCs/>
          <w:lang w:val="fr-FR"/>
        </w:rPr>
        <w:tab/>
        <w:t>d</w:t>
      </w:r>
      <w:r w:rsidR="00070383">
        <w:rPr>
          <w:b/>
          <w:bCs/>
          <w:lang w:val="fr-FR"/>
        </w:rPr>
        <w:t>’</w:t>
      </w:r>
      <w:r w:rsidR="00D25381" w:rsidRPr="0030629E">
        <w:rPr>
          <w:b/>
          <w:bCs/>
          <w:lang w:val="fr-FR"/>
        </w:rPr>
        <w:t>entériner et de faire respecter le principe du salaire égal pour un travail d</w:t>
      </w:r>
      <w:r w:rsidR="00070383">
        <w:rPr>
          <w:b/>
          <w:bCs/>
          <w:lang w:val="fr-FR"/>
        </w:rPr>
        <w:t>’</w:t>
      </w:r>
      <w:r w:rsidR="00D25381" w:rsidRPr="0030629E">
        <w:rPr>
          <w:b/>
          <w:bCs/>
          <w:lang w:val="fr-FR"/>
        </w:rPr>
        <w:t>égale valeur grâce à une législation modifiée sur les relations de travail couvrant les entreprises tant publiques que privées, notamment en appliquant des méthodes analytiques de classement et d</w:t>
      </w:r>
      <w:r w:rsidR="00070383">
        <w:rPr>
          <w:b/>
          <w:bCs/>
          <w:lang w:val="fr-FR"/>
        </w:rPr>
        <w:t>’</w:t>
      </w:r>
      <w:r w:rsidR="00D25381" w:rsidRPr="0030629E">
        <w:rPr>
          <w:b/>
          <w:bCs/>
          <w:lang w:val="fr-FR"/>
        </w:rPr>
        <w:t>évaluation des fonctions et en réalisant des enquêtes fréquentes sur les salaires, ainsi qu</w:t>
      </w:r>
      <w:r w:rsidR="00070383">
        <w:rPr>
          <w:b/>
          <w:bCs/>
          <w:lang w:val="fr-FR"/>
        </w:rPr>
        <w:t>’</w:t>
      </w:r>
      <w:r w:rsidR="00D25381" w:rsidRPr="0030629E">
        <w:rPr>
          <w:b/>
          <w:bCs/>
          <w:lang w:val="fr-FR"/>
        </w:rPr>
        <w:t>en examinant régulièrement les rémunérations pratiquées dans les secteurs majoritairement féminins</w:t>
      </w:r>
      <w:r w:rsidR="00C0187D">
        <w:rPr>
          <w:b/>
          <w:bCs/>
          <w:lang w:val="fr-FR"/>
        </w:rPr>
        <w:t> ;</w:t>
      </w:r>
    </w:p>
    <w:p w14:paraId="63C167FE" w14:textId="5C978DBF" w:rsidR="00D25381" w:rsidRPr="0030629E" w:rsidRDefault="0030629E" w:rsidP="0030629E">
      <w:pPr>
        <w:pStyle w:val="SingleTxt"/>
        <w:rPr>
          <w:b/>
          <w:bCs/>
          <w:lang w:val="fr-FR"/>
        </w:rPr>
      </w:pPr>
      <w:r w:rsidRPr="0030629E">
        <w:rPr>
          <w:b/>
          <w:bCs/>
          <w:lang w:val="fr-FR"/>
        </w:rPr>
        <w:tab/>
      </w:r>
      <w:r w:rsidR="00D25381" w:rsidRPr="0030629E">
        <w:rPr>
          <w:b/>
          <w:bCs/>
          <w:lang w:val="fr-FR"/>
        </w:rPr>
        <w:t>d)</w:t>
      </w:r>
      <w:r w:rsidR="00D25381" w:rsidRPr="0030629E">
        <w:rPr>
          <w:b/>
          <w:bCs/>
          <w:lang w:val="fr-FR"/>
        </w:rPr>
        <w:tab/>
        <w:t>de prendre des mesures temporaires spéciales pour lutter contre la ségrégation professionnelle</w:t>
      </w:r>
      <w:r w:rsidR="006C377A">
        <w:rPr>
          <w:b/>
          <w:bCs/>
          <w:lang w:val="fr-FR"/>
        </w:rPr>
        <w:t xml:space="preserve"> </w:t>
      </w:r>
      <w:r w:rsidR="00D25381" w:rsidRPr="0030629E">
        <w:rPr>
          <w:b/>
          <w:bCs/>
          <w:lang w:val="fr-FR"/>
        </w:rPr>
        <w:t>et veiller à ce que les femmes et les hommes aient les mêmes chances de promotion</w:t>
      </w:r>
      <w:r w:rsidR="00C0187D">
        <w:rPr>
          <w:b/>
          <w:bCs/>
          <w:lang w:val="fr-FR"/>
        </w:rPr>
        <w:t> ;</w:t>
      </w:r>
    </w:p>
    <w:p w14:paraId="0DBF69F2" w14:textId="5D46338F" w:rsidR="00D25381" w:rsidRPr="0030629E" w:rsidRDefault="0030629E" w:rsidP="0030629E">
      <w:pPr>
        <w:pStyle w:val="SingleTxt"/>
        <w:rPr>
          <w:b/>
          <w:bCs/>
          <w:lang w:val="fr-FR"/>
        </w:rPr>
      </w:pPr>
      <w:r w:rsidRPr="0030629E">
        <w:rPr>
          <w:b/>
          <w:bCs/>
          <w:lang w:val="fr-FR"/>
        </w:rPr>
        <w:tab/>
      </w:r>
      <w:r w:rsidR="00D25381" w:rsidRPr="0030629E">
        <w:rPr>
          <w:b/>
          <w:bCs/>
          <w:lang w:val="fr-FR"/>
        </w:rPr>
        <w:t>e)</w:t>
      </w:r>
      <w:r w:rsidR="00D25381" w:rsidRPr="0030629E">
        <w:rPr>
          <w:b/>
          <w:bCs/>
          <w:lang w:val="fr-FR"/>
        </w:rPr>
        <w:tab/>
        <w:t>d</w:t>
      </w:r>
      <w:r w:rsidR="00070383">
        <w:rPr>
          <w:b/>
          <w:bCs/>
          <w:lang w:val="fr-FR"/>
        </w:rPr>
        <w:t>’</w:t>
      </w:r>
      <w:r w:rsidR="00D25381" w:rsidRPr="0030629E">
        <w:rPr>
          <w:b/>
          <w:bCs/>
          <w:lang w:val="fr-FR"/>
        </w:rPr>
        <w:t>assurer un financement suffisant pour les services et structures d</w:t>
      </w:r>
      <w:r w:rsidR="00070383">
        <w:rPr>
          <w:b/>
          <w:bCs/>
          <w:lang w:val="fr-FR"/>
        </w:rPr>
        <w:t>’</w:t>
      </w:r>
      <w:r w:rsidR="00D25381" w:rsidRPr="0030629E">
        <w:rPr>
          <w:b/>
          <w:bCs/>
          <w:lang w:val="fr-FR"/>
        </w:rPr>
        <w:t>accueil pour enfants.</w:t>
      </w:r>
    </w:p>
    <w:p w14:paraId="18C8BD8F" w14:textId="681CE89E" w:rsidR="0030629E" w:rsidRPr="0030629E" w:rsidRDefault="0030629E" w:rsidP="0030629E">
      <w:pPr>
        <w:pStyle w:val="SingleTxt"/>
        <w:spacing w:after="0" w:line="120" w:lineRule="exact"/>
        <w:rPr>
          <w:sz w:val="10"/>
          <w:lang w:val="fr-FR"/>
        </w:rPr>
      </w:pPr>
    </w:p>
    <w:p w14:paraId="03502742" w14:textId="29072C4D" w:rsidR="00D25381" w:rsidRDefault="00D25381" w:rsidP="003062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25381">
        <w:rPr>
          <w:lang w:val="fr-FR"/>
        </w:rPr>
        <w:tab/>
      </w:r>
      <w:r w:rsidRPr="00D25381">
        <w:rPr>
          <w:lang w:val="fr-FR"/>
        </w:rPr>
        <w:tab/>
        <w:t>Harcèlement sexuel sur le lieu de travail</w:t>
      </w:r>
    </w:p>
    <w:p w14:paraId="133B5B3E" w14:textId="6728281F" w:rsidR="0030629E" w:rsidRPr="0030629E" w:rsidRDefault="0030629E" w:rsidP="0030629E">
      <w:pPr>
        <w:pStyle w:val="SingleTxt"/>
        <w:spacing w:after="0" w:line="120" w:lineRule="exact"/>
        <w:rPr>
          <w:sz w:val="10"/>
          <w:lang w:val="fr-FR"/>
        </w:rPr>
      </w:pPr>
    </w:p>
    <w:p w14:paraId="34FEC740" w14:textId="56A3685A" w:rsidR="00D25381" w:rsidRPr="00D25381" w:rsidRDefault="00D25381" w:rsidP="0030629E">
      <w:pPr>
        <w:pStyle w:val="SingleTxt"/>
        <w:numPr>
          <w:ilvl w:val="0"/>
          <w:numId w:val="17"/>
        </w:numPr>
        <w:spacing w:line="240" w:lineRule="exact"/>
        <w:ind w:left="1267"/>
        <w:rPr>
          <w:lang w:val="fr-FR"/>
        </w:rPr>
      </w:pPr>
      <w:r w:rsidRPr="00D25381">
        <w:rPr>
          <w:lang w:val="fr-FR"/>
        </w:rPr>
        <w:t>Le Comité s</w:t>
      </w:r>
      <w:r w:rsidR="00070383">
        <w:rPr>
          <w:lang w:val="fr-FR"/>
        </w:rPr>
        <w:t>’</w:t>
      </w:r>
      <w:r w:rsidRPr="00D25381">
        <w:rPr>
          <w:lang w:val="fr-FR"/>
        </w:rPr>
        <w:t>inquiète du harcèlement sexuel et autres formes d</w:t>
      </w:r>
      <w:r w:rsidR="00070383">
        <w:rPr>
          <w:lang w:val="fr-FR"/>
        </w:rPr>
        <w:t>’</w:t>
      </w:r>
      <w:r w:rsidRPr="00D25381">
        <w:rPr>
          <w:lang w:val="fr-FR"/>
        </w:rPr>
        <w:t>agressions sexuelles qui ont cours en milieu professionnel, ainsi que du nombre très peu élevé de signalements des faits de cette nature. Il constate avec préoccupation que les cas de harcèlement sexuel et de brimades sur le lieu de travail sont nombreux, surtout au sein de la police, des forces militaires, des professions judiciaires et du secteur des soins de santé. Il rappelle à ce sujet qu</w:t>
      </w:r>
      <w:r w:rsidR="00070383">
        <w:rPr>
          <w:lang w:val="fr-FR"/>
        </w:rPr>
        <w:t>’</w:t>
      </w:r>
      <w:r w:rsidRPr="00D25381">
        <w:rPr>
          <w:lang w:val="fr-FR"/>
        </w:rPr>
        <w:t xml:space="preserve">en </w:t>
      </w:r>
      <w:r w:rsidRPr="00E26C4F">
        <w:rPr>
          <w:lang w:val="fr-FR"/>
        </w:rPr>
        <w:t>2017</w:t>
      </w:r>
      <w:r w:rsidRPr="00D25381">
        <w:rPr>
          <w:lang w:val="fr-FR"/>
        </w:rPr>
        <w:t>, la Commission néo-zélandaise des droits de l</w:t>
      </w:r>
      <w:r w:rsidR="00070383">
        <w:rPr>
          <w:lang w:val="fr-FR"/>
        </w:rPr>
        <w:t>’</w:t>
      </w:r>
      <w:r w:rsidRPr="00D25381">
        <w:rPr>
          <w:lang w:val="fr-FR"/>
        </w:rPr>
        <w:t xml:space="preserve">homme a reçu </w:t>
      </w:r>
      <w:r w:rsidRPr="00E26C4F">
        <w:rPr>
          <w:lang w:val="fr-FR"/>
        </w:rPr>
        <w:t>1577</w:t>
      </w:r>
      <w:r w:rsidRPr="00D25381">
        <w:rPr>
          <w:lang w:val="fr-FR"/>
        </w:rPr>
        <w:t xml:space="preserve"> plaintes pour pratiques illégales de discrimination, dont </w:t>
      </w:r>
      <w:r w:rsidRPr="00E26C4F">
        <w:rPr>
          <w:lang w:val="fr-FR"/>
        </w:rPr>
        <w:t>123</w:t>
      </w:r>
      <w:r w:rsidRPr="00D25381">
        <w:rPr>
          <w:lang w:val="fr-FR"/>
        </w:rPr>
        <w:t xml:space="preserve"> concernaient des accusations de harcèlement sexuel, ce qui représente une hausse de </w:t>
      </w:r>
      <w:r w:rsidRPr="00E26C4F">
        <w:rPr>
          <w:lang w:val="fr-FR"/>
        </w:rPr>
        <w:t>43</w:t>
      </w:r>
      <w:r w:rsidRPr="00D25381">
        <w:rPr>
          <w:lang w:val="fr-FR"/>
        </w:rPr>
        <w:t xml:space="preserve"> % des plaintes pour harcèlement sexuel en </w:t>
      </w:r>
      <w:r w:rsidR="00070383" w:rsidRPr="00E26C4F">
        <w:rPr>
          <w:lang w:val="fr-FR"/>
        </w:rPr>
        <w:t>10</w:t>
      </w:r>
      <w:r w:rsidRPr="00D25381">
        <w:rPr>
          <w:lang w:val="fr-FR"/>
        </w:rPr>
        <w:t xml:space="preserve"> ans. </w:t>
      </w:r>
    </w:p>
    <w:p w14:paraId="2D2EA58A" w14:textId="7D8AE940" w:rsidR="00D25381" w:rsidRPr="0030629E" w:rsidRDefault="00D25381" w:rsidP="0030629E">
      <w:pPr>
        <w:pStyle w:val="SingleTxt"/>
        <w:numPr>
          <w:ilvl w:val="0"/>
          <w:numId w:val="17"/>
        </w:numPr>
        <w:spacing w:line="240" w:lineRule="exact"/>
        <w:ind w:left="1267"/>
        <w:rPr>
          <w:b/>
          <w:bCs/>
          <w:lang w:val="fr-FR"/>
        </w:rPr>
      </w:pPr>
      <w:r w:rsidRPr="0030629E">
        <w:rPr>
          <w:b/>
          <w:bCs/>
          <w:lang w:val="fr-FR"/>
        </w:rPr>
        <w:t>Le Comité attire l</w:t>
      </w:r>
      <w:r w:rsidR="00070383">
        <w:rPr>
          <w:b/>
          <w:bCs/>
          <w:lang w:val="fr-FR"/>
        </w:rPr>
        <w:t>’</w:t>
      </w:r>
      <w:r w:rsidRPr="0030629E">
        <w:rPr>
          <w:b/>
          <w:bCs/>
          <w:lang w:val="fr-FR"/>
        </w:rPr>
        <w:t>attention de l</w:t>
      </w:r>
      <w:r w:rsidR="00070383">
        <w:rPr>
          <w:b/>
          <w:bCs/>
          <w:lang w:val="fr-FR"/>
        </w:rPr>
        <w:t>’</w:t>
      </w:r>
      <w:r w:rsidRPr="0030629E">
        <w:rPr>
          <w:b/>
          <w:bCs/>
          <w:lang w:val="fr-FR"/>
        </w:rPr>
        <w:t>État partie sur le fait que le harcèlement sexuel sur le lieu de travail constitue une infraction pénale et a des incidences discriminatoires dans la mesure où il a souvent des répercussions sur les victimes en termes de salaire, de promotion ou de licenciement et où il crée un environnement de travail hostile, qui empêche ensuite les victimes d</w:t>
      </w:r>
      <w:r w:rsidR="00070383">
        <w:rPr>
          <w:b/>
          <w:bCs/>
          <w:lang w:val="fr-FR"/>
        </w:rPr>
        <w:t>’</w:t>
      </w:r>
      <w:r w:rsidRPr="0030629E">
        <w:rPr>
          <w:b/>
          <w:bCs/>
          <w:lang w:val="fr-FR"/>
        </w:rPr>
        <w:t>exploiter pleinement leur potentiel professionnel. Il recommande à l</w:t>
      </w:r>
      <w:r w:rsidR="00070383">
        <w:rPr>
          <w:b/>
          <w:bCs/>
          <w:lang w:val="fr-FR"/>
        </w:rPr>
        <w:t>’</w:t>
      </w:r>
      <w:r w:rsidRPr="0030629E">
        <w:rPr>
          <w:b/>
          <w:bCs/>
          <w:lang w:val="fr-FR"/>
        </w:rPr>
        <w:t>État partie</w:t>
      </w:r>
      <w:r w:rsidR="0030629E">
        <w:rPr>
          <w:b/>
          <w:bCs/>
          <w:lang w:val="fr-FR"/>
        </w:rPr>
        <w:t> </w:t>
      </w:r>
      <w:r w:rsidRPr="0030629E">
        <w:rPr>
          <w:b/>
          <w:bCs/>
          <w:lang w:val="fr-FR"/>
        </w:rPr>
        <w:t>:</w:t>
      </w:r>
    </w:p>
    <w:p w14:paraId="71916DF4" w14:textId="426E8FED" w:rsidR="00D25381" w:rsidRPr="0030629E" w:rsidRDefault="0030629E" w:rsidP="0030629E">
      <w:pPr>
        <w:pStyle w:val="SingleTxt"/>
        <w:rPr>
          <w:b/>
          <w:bCs/>
          <w:lang w:val="fr-FR"/>
        </w:rPr>
      </w:pPr>
      <w:r w:rsidRPr="0030629E">
        <w:rPr>
          <w:b/>
          <w:bCs/>
          <w:lang w:val="fr-FR"/>
        </w:rPr>
        <w:tab/>
      </w:r>
      <w:r w:rsidR="00D25381" w:rsidRPr="0030629E">
        <w:rPr>
          <w:b/>
          <w:bCs/>
          <w:lang w:val="fr-FR"/>
        </w:rPr>
        <w:t>a)</w:t>
      </w:r>
      <w:r w:rsidR="00D25381" w:rsidRPr="0030629E">
        <w:rPr>
          <w:b/>
          <w:bCs/>
          <w:lang w:val="fr-FR"/>
        </w:rPr>
        <w:tab/>
        <w:t>d</w:t>
      </w:r>
      <w:r w:rsidR="00070383">
        <w:rPr>
          <w:b/>
          <w:bCs/>
          <w:lang w:val="fr-FR"/>
        </w:rPr>
        <w:t>’</w:t>
      </w:r>
      <w:r w:rsidR="00D25381" w:rsidRPr="0030629E">
        <w:rPr>
          <w:b/>
          <w:bCs/>
          <w:lang w:val="fr-FR"/>
        </w:rPr>
        <w:t>examiner la culture des entreprises et des institutions afin de s</w:t>
      </w:r>
      <w:r w:rsidR="00070383">
        <w:rPr>
          <w:b/>
          <w:bCs/>
          <w:lang w:val="fr-FR"/>
        </w:rPr>
        <w:t>’</w:t>
      </w:r>
      <w:r w:rsidR="00D25381" w:rsidRPr="0030629E">
        <w:rPr>
          <w:b/>
          <w:bCs/>
          <w:lang w:val="fr-FR"/>
        </w:rPr>
        <w:t>attaquer aux causes profondes des agressions et du harcèlement sexuels</w:t>
      </w:r>
      <w:r w:rsidR="00C0187D">
        <w:rPr>
          <w:b/>
          <w:bCs/>
          <w:lang w:val="fr-FR"/>
        </w:rPr>
        <w:t> ;</w:t>
      </w:r>
    </w:p>
    <w:p w14:paraId="73342D23" w14:textId="26943D62" w:rsidR="00D25381" w:rsidRPr="0030629E" w:rsidRDefault="0030629E" w:rsidP="0030629E">
      <w:pPr>
        <w:pStyle w:val="SingleTxt"/>
        <w:rPr>
          <w:b/>
          <w:bCs/>
          <w:lang w:val="fr-FR"/>
        </w:rPr>
      </w:pPr>
      <w:r w:rsidRPr="0030629E">
        <w:rPr>
          <w:b/>
          <w:bCs/>
          <w:lang w:val="fr-FR"/>
        </w:rPr>
        <w:tab/>
        <w:t>b)</w:t>
      </w:r>
      <w:r w:rsidR="00D25381" w:rsidRPr="0030629E">
        <w:rPr>
          <w:b/>
          <w:bCs/>
          <w:lang w:val="fr-FR"/>
        </w:rPr>
        <w:tab/>
        <w:t>de s</w:t>
      </w:r>
      <w:r w:rsidR="00070383">
        <w:rPr>
          <w:b/>
          <w:bCs/>
          <w:lang w:val="fr-FR"/>
        </w:rPr>
        <w:t>’</w:t>
      </w:r>
      <w:r w:rsidR="00D25381" w:rsidRPr="0030629E">
        <w:rPr>
          <w:b/>
          <w:bCs/>
          <w:lang w:val="fr-FR"/>
        </w:rPr>
        <w:t>assurer que tous les lieux de travail aient mis en place des règles concernant le harcèlement sexuel et des démarches claires pour les victimes</w:t>
      </w:r>
      <w:r w:rsidR="00C0187D">
        <w:rPr>
          <w:b/>
          <w:bCs/>
          <w:lang w:val="fr-FR"/>
        </w:rPr>
        <w:t> ;</w:t>
      </w:r>
    </w:p>
    <w:p w14:paraId="33B48F87" w14:textId="56AB2D1C" w:rsidR="00D25381" w:rsidRDefault="0030629E" w:rsidP="0030629E">
      <w:pPr>
        <w:pStyle w:val="SingleTxt"/>
        <w:rPr>
          <w:b/>
          <w:bCs/>
          <w:lang w:val="fr-FR"/>
        </w:rPr>
      </w:pPr>
      <w:r w:rsidRPr="0030629E">
        <w:rPr>
          <w:b/>
          <w:bCs/>
          <w:lang w:val="fr-FR"/>
        </w:rPr>
        <w:tab/>
      </w:r>
      <w:r w:rsidR="00D25381" w:rsidRPr="0030629E">
        <w:rPr>
          <w:b/>
          <w:bCs/>
          <w:lang w:val="fr-FR"/>
        </w:rPr>
        <w:t>c)</w:t>
      </w:r>
      <w:r w:rsidR="00D25381" w:rsidRPr="0030629E">
        <w:rPr>
          <w:b/>
          <w:bCs/>
          <w:lang w:val="fr-FR"/>
        </w:rPr>
        <w:tab/>
        <w:t>de diffuser des informations sur les procédures de signalement qui peuvent être utilisées et de veiller à ce que les plaintes pour harcèlement sexuel ou brimades sur le lieu de travail donnent lieu à des enquêtes et à ce que les agresseurs soient traduits en justice.</w:t>
      </w:r>
    </w:p>
    <w:p w14:paraId="7FEE7E09" w14:textId="7B660A90" w:rsidR="0030629E" w:rsidRPr="0030629E" w:rsidRDefault="0030629E" w:rsidP="0030629E">
      <w:pPr>
        <w:pStyle w:val="SingleTxt"/>
        <w:spacing w:after="0" w:line="120" w:lineRule="exact"/>
        <w:rPr>
          <w:sz w:val="10"/>
          <w:lang w:val="fr-FR"/>
        </w:rPr>
      </w:pPr>
    </w:p>
    <w:p w14:paraId="30F2F29B" w14:textId="16399AD8" w:rsidR="00D25381" w:rsidRDefault="00D25381" w:rsidP="003062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25381">
        <w:rPr>
          <w:lang w:val="fr-FR"/>
        </w:rPr>
        <w:tab/>
      </w:r>
      <w:r w:rsidRPr="00D25381">
        <w:rPr>
          <w:lang w:val="fr-FR"/>
        </w:rPr>
        <w:tab/>
        <w:t>Avantages économiques et sociaux et renforcement du pouvoir économique des</w:t>
      </w:r>
      <w:r w:rsidR="002A3471">
        <w:rPr>
          <w:lang w:val="fr-FR"/>
        </w:rPr>
        <w:t> </w:t>
      </w:r>
      <w:r w:rsidRPr="00D25381">
        <w:rPr>
          <w:lang w:val="fr-FR"/>
        </w:rPr>
        <w:t xml:space="preserve">femmes </w:t>
      </w:r>
    </w:p>
    <w:p w14:paraId="0C54D844" w14:textId="2DF9616D" w:rsidR="0030629E" w:rsidRPr="0030629E" w:rsidRDefault="0030629E" w:rsidP="0030629E">
      <w:pPr>
        <w:pStyle w:val="SingleTxt"/>
        <w:spacing w:after="0" w:line="120" w:lineRule="exact"/>
        <w:rPr>
          <w:sz w:val="10"/>
          <w:lang w:val="fr-FR"/>
        </w:rPr>
      </w:pPr>
    </w:p>
    <w:p w14:paraId="7351DF80" w14:textId="2A19942A" w:rsidR="00D25381" w:rsidRPr="00D25381" w:rsidRDefault="00D25381" w:rsidP="0030629E">
      <w:pPr>
        <w:pStyle w:val="SingleTxt"/>
        <w:numPr>
          <w:ilvl w:val="0"/>
          <w:numId w:val="17"/>
        </w:numPr>
        <w:spacing w:line="240" w:lineRule="exact"/>
        <w:ind w:left="1267"/>
        <w:rPr>
          <w:bCs/>
          <w:lang w:val="fr-FR"/>
        </w:rPr>
      </w:pPr>
      <w:r w:rsidRPr="00D25381">
        <w:rPr>
          <w:lang w:val="fr-FR"/>
        </w:rPr>
        <w:t xml:space="preserve">Le Comité note avec préoccupation que certaines dispositions de la loi de </w:t>
      </w:r>
      <w:r w:rsidRPr="00E26C4F">
        <w:rPr>
          <w:lang w:val="fr-FR"/>
        </w:rPr>
        <w:t>1964</w:t>
      </w:r>
      <w:r w:rsidRPr="00D25381">
        <w:rPr>
          <w:lang w:val="fr-FR"/>
        </w:rPr>
        <w:t xml:space="preserve"> sur la sécurité sociale pourraient exposer les femmes à la discrimination, dans la mesure où ce texte ne fait pas de différence entre les sexes. Il s</w:t>
      </w:r>
      <w:r w:rsidR="00070383">
        <w:rPr>
          <w:lang w:val="fr-FR"/>
        </w:rPr>
        <w:t>’</w:t>
      </w:r>
      <w:r w:rsidRPr="00D25381">
        <w:rPr>
          <w:lang w:val="fr-FR"/>
        </w:rPr>
        <w:t>inquiète de ce que l</w:t>
      </w:r>
      <w:r w:rsidR="00070383">
        <w:rPr>
          <w:lang w:val="fr-FR"/>
        </w:rPr>
        <w:t>’</w:t>
      </w:r>
      <w:r w:rsidRPr="00D25381">
        <w:rPr>
          <w:lang w:val="fr-FR"/>
        </w:rPr>
        <w:t>État partie n</w:t>
      </w:r>
      <w:r w:rsidR="00070383">
        <w:rPr>
          <w:lang w:val="fr-FR"/>
        </w:rPr>
        <w:t>’</w:t>
      </w:r>
      <w:r w:rsidRPr="00D25381">
        <w:rPr>
          <w:lang w:val="fr-FR"/>
        </w:rPr>
        <w:t>ait pris aucune mesure pour s</w:t>
      </w:r>
      <w:r w:rsidR="00070383">
        <w:rPr>
          <w:lang w:val="fr-FR"/>
        </w:rPr>
        <w:t>’</w:t>
      </w:r>
      <w:r w:rsidRPr="00D25381">
        <w:rPr>
          <w:lang w:val="fr-FR"/>
        </w:rPr>
        <w:t>acquitter de ses obligations extraterritoriales concernant l</w:t>
      </w:r>
      <w:r w:rsidR="00070383">
        <w:rPr>
          <w:lang w:val="fr-FR"/>
        </w:rPr>
        <w:t>’</w:t>
      </w:r>
      <w:r w:rsidRPr="00D25381">
        <w:rPr>
          <w:lang w:val="fr-FR"/>
        </w:rPr>
        <w:t>évasion fiscale, la fraude fiscale et l</w:t>
      </w:r>
      <w:r w:rsidR="00070383">
        <w:rPr>
          <w:lang w:val="fr-FR"/>
        </w:rPr>
        <w:t>’</w:t>
      </w:r>
      <w:r w:rsidRPr="00D25381">
        <w:rPr>
          <w:lang w:val="fr-FR"/>
        </w:rPr>
        <w:t>exploitation des économies plus faibles dans les pays en développement, ce qui limite plus encore les ressources disponibles dans ces pays pour promouvoir les droits des femmes et l</w:t>
      </w:r>
      <w:r w:rsidR="00070383">
        <w:rPr>
          <w:lang w:val="fr-FR"/>
        </w:rPr>
        <w:t>’</w:t>
      </w:r>
      <w:r w:rsidRPr="00D25381">
        <w:rPr>
          <w:lang w:val="fr-FR"/>
        </w:rPr>
        <w:t xml:space="preserve">égalité des sexes. </w:t>
      </w:r>
      <w:bookmarkStart w:id="14" w:name="_Hlk523412716"/>
      <w:bookmarkEnd w:id="14"/>
    </w:p>
    <w:p w14:paraId="26F81E5F" w14:textId="3255E221" w:rsidR="00D25381" w:rsidRPr="0030629E" w:rsidRDefault="00D25381" w:rsidP="0030629E">
      <w:pPr>
        <w:pStyle w:val="SingleTxt"/>
        <w:numPr>
          <w:ilvl w:val="0"/>
          <w:numId w:val="17"/>
        </w:numPr>
        <w:spacing w:line="240" w:lineRule="exact"/>
        <w:ind w:left="1267"/>
        <w:rPr>
          <w:b/>
          <w:bCs/>
          <w:lang w:val="fr-FR"/>
        </w:rPr>
      </w:pPr>
      <w:r w:rsidRPr="0030629E">
        <w:rPr>
          <w:b/>
          <w:bCs/>
          <w:lang w:val="fr-FR"/>
        </w:rPr>
        <w:t>Le Comité recommande à l</w:t>
      </w:r>
      <w:r w:rsidR="00070383">
        <w:rPr>
          <w:b/>
          <w:bCs/>
          <w:lang w:val="fr-FR"/>
        </w:rPr>
        <w:t>’</w:t>
      </w:r>
      <w:r w:rsidRPr="0030629E">
        <w:rPr>
          <w:b/>
          <w:bCs/>
          <w:lang w:val="fr-FR"/>
        </w:rPr>
        <w:t>État partie</w:t>
      </w:r>
      <w:r w:rsidR="0030629E">
        <w:rPr>
          <w:b/>
          <w:bCs/>
          <w:lang w:val="fr-FR"/>
        </w:rPr>
        <w:t> </w:t>
      </w:r>
      <w:r w:rsidRPr="0030629E">
        <w:rPr>
          <w:b/>
          <w:bCs/>
          <w:lang w:val="fr-FR"/>
        </w:rPr>
        <w:t>:</w:t>
      </w:r>
    </w:p>
    <w:p w14:paraId="17B1F982" w14:textId="65FEEC4C" w:rsidR="00D25381" w:rsidRPr="0030629E" w:rsidRDefault="00D25381" w:rsidP="0030629E">
      <w:pPr>
        <w:pStyle w:val="SingleTxt"/>
        <w:rPr>
          <w:b/>
          <w:bCs/>
          <w:lang w:val="fr-FR"/>
        </w:rPr>
      </w:pPr>
      <w:r w:rsidRPr="0030629E">
        <w:rPr>
          <w:b/>
          <w:bCs/>
          <w:lang w:val="fr-FR"/>
        </w:rPr>
        <w:tab/>
        <w:t>a)</w:t>
      </w:r>
      <w:r w:rsidRPr="0030629E">
        <w:rPr>
          <w:b/>
          <w:bCs/>
          <w:lang w:val="fr-FR"/>
        </w:rPr>
        <w:tab/>
        <w:t xml:space="preserve">de procéder à une révision de la loi de </w:t>
      </w:r>
      <w:r w:rsidRPr="00E26C4F">
        <w:rPr>
          <w:b/>
          <w:bCs/>
          <w:lang w:val="fr-FR"/>
        </w:rPr>
        <w:t>1964</w:t>
      </w:r>
      <w:r w:rsidRPr="0030629E">
        <w:rPr>
          <w:b/>
          <w:bCs/>
          <w:lang w:val="fr-FR"/>
        </w:rPr>
        <w:t xml:space="preserve"> sur la sécurité sociale en vue de la rendre conforme aux obligations qui lui incombent au regard de la Convention</w:t>
      </w:r>
      <w:r w:rsidR="00C0187D">
        <w:rPr>
          <w:b/>
          <w:bCs/>
          <w:lang w:val="fr-FR"/>
        </w:rPr>
        <w:t> ;</w:t>
      </w:r>
    </w:p>
    <w:p w14:paraId="21BD9F49" w14:textId="68726DCA" w:rsidR="00D25381" w:rsidRPr="0030629E" w:rsidRDefault="00D25381" w:rsidP="0030629E">
      <w:pPr>
        <w:pStyle w:val="SingleTxt"/>
        <w:rPr>
          <w:b/>
          <w:bCs/>
          <w:lang w:val="fr-FR"/>
        </w:rPr>
      </w:pPr>
      <w:r w:rsidRPr="0030629E">
        <w:rPr>
          <w:b/>
          <w:bCs/>
          <w:lang w:val="fr-FR"/>
        </w:rPr>
        <w:tab/>
        <w:t>b)</w:t>
      </w:r>
      <w:r w:rsidRPr="0030629E">
        <w:rPr>
          <w:b/>
          <w:bCs/>
          <w:lang w:val="fr-FR"/>
        </w:rPr>
        <w:tab/>
        <w:t>d</w:t>
      </w:r>
      <w:r w:rsidR="00070383">
        <w:rPr>
          <w:b/>
          <w:bCs/>
          <w:lang w:val="fr-FR"/>
        </w:rPr>
        <w:t>’</w:t>
      </w:r>
      <w:r w:rsidRPr="0030629E">
        <w:rPr>
          <w:b/>
          <w:bCs/>
          <w:lang w:val="fr-FR"/>
        </w:rPr>
        <w:t>améliorer la perception de l</w:t>
      </w:r>
      <w:r w:rsidR="00070383">
        <w:rPr>
          <w:b/>
          <w:bCs/>
          <w:lang w:val="fr-FR"/>
        </w:rPr>
        <w:t>’</w:t>
      </w:r>
      <w:r w:rsidRPr="0030629E">
        <w:rPr>
          <w:b/>
          <w:bCs/>
          <w:lang w:val="fr-FR"/>
        </w:rPr>
        <w:t>impôt et l</w:t>
      </w:r>
      <w:r w:rsidR="00070383">
        <w:rPr>
          <w:b/>
          <w:bCs/>
          <w:lang w:val="fr-FR"/>
        </w:rPr>
        <w:t>’</w:t>
      </w:r>
      <w:r w:rsidRPr="0030629E">
        <w:rPr>
          <w:b/>
          <w:bCs/>
          <w:lang w:val="fr-FR"/>
        </w:rPr>
        <w:t>administration des recettes publiques afin d</w:t>
      </w:r>
      <w:r w:rsidR="00070383">
        <w:rPr>
          <w:b/>
          <w:bCs/>
          <w:lang w:val="fr-FR"/>
        </w:rPr>
        <w:t>’</w:t>
      </w:r>
      <w:r w:rsidRPr="0030629E">
        <w:rPr>
          <w:b/>
          <w:bCs/>
          <w:lang w:val="fr-FR"/>
        </w:rPr>
        <w:t>accroître les dépenses sociales</w:t>
      </w:r>
      <w:r w:rsidR="00C0187D">
        <w:rPr>
          <w:b/>
          <w:bCs/>
          <w:lang w:val="fr-FR"/>
        </w:rPr>
        <w:t> ;</w:t>
      </w:r>
      <w:r w:rsidRPr="0030629E">
        <w:rPr>
          <w:b/>
          <w:bCs/>
          <w:lang w:val="fr-FR"/>
        </w:rPr>
        <w:t xml:space="preserve"> </w:t>
      </w:r>
    </w:p>
    <w:p w14:paraId="029469B2" w14:textId="6984AE46" w:rsidR="00D25381" w:rsidRPr="0030629E" w:rsidRDefault="00D25381" w:rsidP="0030629E">
      <w:pPr>
        <w:pStyle w:val="SingleTxt"/>
        <w:rPr>
          <w:b/>
          <w:bCs/>
          <w:lang w:val="fr-FR"/>
        </w:rPr>
      </w:pPr>
      <w:r w:rsidRPr="0030629E">
        <w:rPr>
          <w:b/>
          <w:bCs/>
          <w:lang w:val="fr-FR"/>
        </w:rPr>
        <w:tab/>
        <w:t>c)</w:t>
      </w:r>
      <w:r w:rsidRPr="0030629E">
        <w:rPr>
          <w:b/>
          <w:bCs/>
          <w:lang w:val="fr-FR"/>
        </w:rPr>
        <w:tab/>
        <w:t>de prendre des mesures visant à lutter contre la pauvreté et à renforcer le pouvoir économique des femmes, en particulier pour celles qui vivent en milieu rural, pour les Maories, pour les femmes originaires des îles du Pacifique, pour les femmes asiatiques, pour les immigrées, les migrantes et les réfugiées, ainsi que pour les femmes handicapées</w:t>
      </w:r>
      <w:r w:rsidR="00C0187D">
        <w:rPr>
          <w:b/>
          <w:bCs/>
          <w:lang w:val="fr-FR"/>
        </w:rPr>
        <w:t> ;</w:t>
      </w:r>
    </w:p>
    <w:p w14:paraId="12A791A8" w14:textId="330E4D53" w:rsidR="00D25381" w:rsidRDefault="0030629E" w:rsidP="0030629E">
      <w:pPr>
        <w:pStyle w:val="SingleTxt"/>
        <w:rPr>
          <w:b/>
          <w:bCs/>
          <w:lang w:val="fr-FR"/>
        </w:rPr>
      </w:pPr>
      <w:r w:rsidRPr="0030629E">
        <w:rPr>
          <w:b/>
          <w:bCs/>
          <w:lang w:val="fr-FR"/>
        </w:rPr>
        <w:tab/>
      </w:r>
      <w:r w:rsidR="00D25381" w:rsidRPr="0030629E">
        <w:rPr>
          <w:b/>
          <w:bCs/>
          <w:lang w:val="fr-FR"/>
        </w:rPr>
        <w:t>d)</w:t>
      </w:r>
      <w:r w:rsidR="00D25381" w:rsidRPr="0030629E">
        <w:rPr>
          <w:b/>
          <w:bCs/>
          <w:lang w:val="fr-FR"/>
        </w:rPr>
        <w:tab/>
        <w:t>de mener, conformément à la recommandation générale n</w:t>
      </w:r>
      <w:r w:rsidR="00D25381" w:rsidRPr="0030629E">
        <w:rPr>
          <w:b/>
          <w:bCs/>
          <w:vertAlign w:val="superscript"/>
          <w:lang w:val="fr-FR"/>
        </w:rPr>
        <w:t>o</w:t>
      </w:r>
      <w:r w:rsidR="008D4BA2">
        <w:rPr>
          <w:b/>
          <w:bCs/>
          <w:lang w:val="fr-FR"/>
        </w:rPr>
        <w:t> </w:t>
      </w:r>
      <w:r w:rsidR="00D25381" w:rsidRPr="00E26C4F">
        <w:rPr>
          <w:b/>
          <w:bCs/>
          <w:lang w:val="fr-FR"/>
        </w:rPr>
        <w:t>28</w:t>
      </w:r>
      <w:r w:rsidR="00D25381" w:rsidRPr="0030629E">
        <w:rPr>
          <w:b/>
          <w:bCs/>
          <w:lang w:val="fr-FR"/>
        </w:rPr>
        <w:t xml:space="preserve"> du Comité, des études indépendantes, participatives et périodiques sur les effets extraterritoriaux que ses politiques financières et ses règles en matière d</w:t>
      </w:r>
      <w:r w:rsidR="00070383">
        <w:rPr>
          <w:b/>
          <w:bCs/>
          <w:lang w:val="fr-FR"/>
        </w:rPr>
        <w:t>’</w:t>
      </w:r>
      <w:r w:rsidR="00D25381" w:rsidRPr="0030629E">
        <w:rPr>
          <w:b/>
          <w:bCs/>
          <w:lang w:val="fr-FR"/>
        </w:rPr>
        <w:t>impôts sur les sociétés ont sur les droits des femmes et l</w:t>
      </w:r>
      <w:r w:rsidR="00070383">
        <w:rPr>
          <w:b/>
          <w:bCs/>
          <w:lang w:val="fr-FR"/>
        </w:rPr>
        <w:t>’</w:t>
      </w:r>
      <w:r w:rsidR="00D25381" w:rsidRPr="0030629E">
        <w:rPr>
          <w:b/>
          <w:bCs/>
          <w:lang w:val="fr-FR"/>
        </w:rPr>
        <w:t>égalité réelle, en veillant à ce que ces études soient impartiales et que la méthodologie utilisée et les conclusions obtenues soient rendues publiques.</w:t>
      </w:r>
    </w:p>
    <w:p w14:paraId="741CCA7E" w14:textId="0F913D63" w:rsidR="0030629E" w:rsidRPr="0030629E" w:rsidRDefault="0030629E" w:rsidP="0030629E">
      <w:pPr>
        <w:pStyle w:val="SingleTxt"/>
        <w:spacing w:after="0" w:line="120" w:lineRule="exact"/>
        <w:rPr>
          <w:sz w:val="10"/>
          <w:lang w:val="fr-FR"/>
        </w:rPr>
      </w:pPr>
    </w:p>
    <w:p w14:paraId="418B9228" w14:textId="7088AB9A" w:rsidR="00D25381" w:rsidRDefault="0030629E" w:rsidP="003062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Santé</w:t>
      </w:r>
    </w:p>
    <w:p w14:paraId="462C32EC" w14:textId="28AA6ADE" w:rsidR="0030629E" w:rsidRPr="0030629E" w:rsidRDefault="0030629E" w:rsidP="0030629E">
      <w:pPr>
        <w:pStyle w:val="SingleTxt"/>
        <w:spacing w:after="0" w:line="120" w:lineRule="exact"/>
        <w:rPr>
          <w:sz w:val="10"/>
          <w:lang w:val="fr-FR"/>
        </w:rPr>
      </w:pPr>
    </w:p>
    <w:p w14:paraId="2272D4E3" w14:textId="4E08DFDC" w:rsidR="00D25381" w:rsidRPr="00D25381" w:rsidRDefault="00D25381" w:rsidP="0030629E">
      <w:pPr>
        <w:pStyle w:val="SingleTxt"/>
        <w:numPr>
          <w:ilvl w:val="0"/>
          <w:numId w:val="17"/>
        </w:numPr>
        <w:spacing w:line="240" w:lineRule="exact"/>
        <w:ind w:left="1267"/>
        <w:rPr>
          <w:lang w:val="fr-FR"/>
        </w:rPr>
      </w:pPr>
      <w:r w:rsidRPr="00D25381">
        <w:rPr>
          <w:lang w:val="fr-FR"/>
        </w:rPr>
        <w:t>Le Comité se félicite de ce que le Ministre de la Justice ait sollicité l</w:t>
      </w:r>
      <w:r w:rsidR="00070383">
        <w:rPr>
          <w:lang w:val="fr-FR"/>
        </w:rPr>
        <w:t>’</w:t>
      </w:r>
      <w:r w:rsidRPr="00D25381">
        <w:rPr>
          <w:lang w:val="fr-FR"/>
        </w:rPr>
        <w:t>avis de la Commission des lois concernant les modifications d</w:t>
      </w:r>
      <w:r w:rsidR="00070383">
        <w:rPr>
          <w:lang w:val="fr-FR"/>
        </w:rPr>
        <w:t>’</w:t>
      </w:r>
      <w:r w:rsidRPr="00D25381">
        <w:rPr>
          <w:lang w:val="fr-FR"/>
        </w:rPr>
        <w:t>ordre législatif qu</w:t>
      </w:r>
      <w:r w:rsidR="00070383">
        <w:rPr>
          <w:lang w:val="fr-FR"/>
        </w:rPr>
        <w:t>’</w:t>
      </w:r>
      <w:r w:rsidRPr="00D25381">
        <w:rPr>
          <w:lang w:val="fr-FR"/>
        </w:rPr>
        <w:t>il conviendrait d</w:t>
      </w:r>
      <w:r w:rsidR="00070383">
        <w:rPr>
          <w:lang w:val="fr-FR"/>
        </w:rPr>
        <w:t>’</w:t>
      </w:r>
      <w:r w:rsidRPr="00D25381">
        <w:rPr>
          <w:lang w:val="fr-FR"/>
        </w:rPr>
        <w:t>apporter pour considérer l</w:t>
      </w:r>
      <w:r w:rsidR="00070383">
        <w:rPr>
          <w:lang w:val="fr-FR"/>
        </w:rPr>
        <w:t>’</w:t>
      </w:r>
      <w:r w:rsidRPr="00D25381">
        <w:rPr>
          <w:lang w:val="fr-FR"/>
        </w:rPr>
        <w:t>avortement comme une question de santé</w:t>
      </w:r>
      <w:r w:rsidR="00C0187D">
        <w:rPr>
          <w:lang w:val="fr-FR"/>
        </w:rPr>
        <w:t> ;</w:t>
      </w:r>
      <w:r w:rsidRPr="00D25381">
        <w:rPr>
          <w:lang w:val="fr-FR"/>
        </w:rPr>
        <w:t xml:space="preserve"> il attend avec intérêt le rapport que remettra la Commission concernant la dépénalisation de l</w:t>
      </w:r>
      <w:r w:rsidR="00070383">
        <w:rPr>
          <w:lang w:val="fr-FR"/>
        </w:rPr>
        <w:t>’</w:t>
      </w:r>
      <w:r w:rsidRPr="00D25381">
        <w:rPr>
          <w:lang w:val="fr-FR"/>
        </w:rPr>
        <w:t>avortement et son encadrement par la réglementation relative aux soins de santé. Néanmoins, il demeure préoccupé par ce qui s</w:t>
      </w:r>
      <w:r w:rsidR="0030629E">
        <w:rPr>
          <w:lang w:val="fr-FR"/>
        </w:rPr>
        <w:t>uit :</w:t>
      </w:r>
      <w:r w:rsidRPr="00D25381">
        <w:rPr>
          <w:lang w:val="fr-FR"/>
        </w:rPr>
        <w:t xml:space="preserve"> </w:t>
      </w:r>
    </w:p>
    <w:p w14:paraId="2A5DBF77" w14:textId="0B811577" w:rsidR="00D25381" w:rsidRPr="00D25381" w:rsidRDefault="0030629E" w:rsidP="0030629E">
      <w:pPr>
        <w:pStyle w:val="SingleTxt"/>
        <w:rPr>
          <w:lang w:val="fr-FR"/>
        </w:rPr>
      </w:pPr>
      <w:r>
        <w:rPr>
          <w:lang w:val="fr-FR"/>
        </w:rPr>
        <w:tab/>
      </w:r>
      <w:r w:rsidR="00D25381" w:rsidRPr="00D25381">
        <w:rPr>
          <w:lang w:val="fr-FR"/>
        </w:rPr>
        <w:t>a)</w:t>
      </w:r>
      <w:r w:rsidR="00D25381" w:rsidRPr="00D25381">
        <w:rPr>
          <w:lang w:val="fr-FR"/>
        </w:rPr>
        <w:tab/>
        <w:t xml:space="preserve">La loi de </w:t>
      </w:r>
      <w:r w:rsidR="00D25381" w:rsidRPr="00E26C4F">
        <w:rPr>
          <w:lang w:val="fr-FR"/>
        </w:rPr>
        <w:t>1961</w:t>
      </w:r>
      <w:r w:rsidR="00D25381" w:rsidRPr="00D25381">
        <w:rPr>
          <w:lang w:val="fr-FR"/>
        </w:rPr>
        <w:t xml:space="preserve"> sur les infractions pénales dresse une liste restreinte de motifs justifiant légalement le recours à l</w:t>
      </w:r>
      <w:r w:rsidR="00070383">
        <w:rPr>
          <w:lang w:val="fr-FR"/>
        </w:rPr>
        <w:t>’</w:t>
      </w:r>
      <w:r w:rsidR="00D25381" w:rsidRPr="00D25381">
        <w:rPr>
          <w:lang w:val="fr-FR"/>
        </w:rPr>
        <w:t xml:space="preserve">avortement, au nombre desquels ne figurent ni le viol ni les violences sexuelles, et la loi de </w:t>
      </w:r>
      <w:r w:rsidR="00D25381" w:rsidRPr="00E26C4F">
        <w:rPr>
          <w:lang w:val="fr-FR"/>
        </w:rPr>
        <w:t>1977</w:t>
      </w:r>
      <w:r w:rsidR="00D25381" w:rsidRPr="00D25381">
        <w:rPr>
          <w:lang w:val="fr-FR"/>
        </w:rPr>
        <w:t xml:space="preserve"> sur la contraception, la stérilisation et l</w:t>
      </w:r>
      <w:r w:rsidR="00070383">
        <w:rPr>
          <w:lang w:val="fr-FR"/>
        </w:rPr>
        <w:t>’</w:t>
      </w:r>
      <w:r w:rsidR="00D25381" w:rsidRPr="00D25381">
        <w:rPr>
          <w:lang w:val="fr-FR"/>
        </w:rPr>
        <w:t>avortement exige l</w:t>
      </w:r>
      <w:r w:rsidR="00070383">
        <w:rPr>
          <w:lang w:val="fr-FR"/>
        </w:rPr>
        <w:t>’</w:t>
      </w:r>
      <w:r w:rsidR="00D25381" w:rsidRPr="00D25381">
        <w:rPr>
          <w:lang w:val="fr-FR"/>
        </w:rPr>
        <w:t>accord de deux consultants habilités avant de pouvoir pratiquer un avortement, ce qui le rend d</w:t>
      </w:r>
      <w:r w:rsidR="00070383">
        <w:rPr>
          <w:lang w:val="fr-FR"/>
        </w:rPr>
        <w:t>’</w:t>
      </w:r>
      <w:r w:rsidR="00D25381" w:rsidRPr="00D25381">
        <w:rPr>
          <w:lang w:val="fr-FR"/>
        </w:rPr>
        <w:t>autant plus difficile d</w:t>
      </w:r>
      <w:r w:rsidR="00070383">
        <w:rPr>
          <w:lang w:val="fr-FR"/>
        </w:rPr>
        <w:t>’</w:t>
      </w:r>
      <w:r w:rsidR="00D25381" w:rsidRPr="00D25381">
        <w:rPr>
          <w:lang w:val="fr-FR"/>
        </w:rPr>
        <w:t>accès pour les femmes et entraîne des retards inutiles</w:t>
      </w:r>
      <w:r w:rsidR="00C0187D">
        <w:rPr>
          <w:lang w:val="fr-FR"/>
        </w:rPr>
        <w:t> ;</w:t>
      </w:r>
      <w:r w:rsidR="00D25381" w:rsidRPr="00D25381">
        <w:rPr>
          <w:lang w:val="fr-FR"/>
        </w:rPr>
        <w:t xml:space="preserve"> </w:t>
      </w:r>
    </w:p>
    <w:p w14:paraId="6986F824" w14:textId="29EBF101" w:rsidR="00D25381" w:rsidRPr="00D25381" w:rsidRDefault="0030629E" w:rsidP="0030629E">
      <w:pPr>
        <w:pStyle w:val="SingleTxt"/>
        <w:rPr>
          <w:lang w:val="fr-FR"/>
        </w:rPr>
      </w:pPr>
      <w:r>
        <w:rPr>
          <w:lang w:val="fr-FR"/>
        </w:rPr>
        <w:tab/>
      </w:r>
      <w:r w:rsidR="00D25381" w:rsidRPr="00D25381">
        <w:rPr>
          <w:lang w:val="fr-FR"/>
        </w:rPr>
        <w:t>b)</w:t>
      </w:r>
      <w:r w:rsidR="00D25381" w:rsidRPr="00D25381">
        <w:rPr>
          <w:lang w:val="fr-FR"/>
        </w:rPr>
        <w:tab/>
        <w:t>Le nouveau système d</w:t>
      </w:r>
      <w:r w:rsidR="00070383">
        <w:rPr>
          <w:lang w:val="fr-FR"/>
        </w:rPr>
        <w:t>’</w:t>
      </w:r>
      <w:r w:rsidR="00D25381" w:rsidRPr="00D25381">
        <w:rPr>
          <w:lang w:val="fr-FR"/>
        </w:rPr>
        <w:t>alerte mis sur pied par le Ministère de la santé en matière d</w:t>
      </w:r>
      <w:r w:rsidR="00070383">
        <w:rPr>
          <w:lang w:val="fr-FR"/>
        </w:rPr>
        <w:t>’</w:t>
      </w:r>
      <w:r w:rsidR="00D25381" w:rsidRPr="00D25381">
        <w:rPr>
          <w:lang w:val="fr-FR"/>
        </w:rPr>
        <w:t>aide à l</w:t>
      </w:r>
      <w:r w:rsidR="00070383">
        <w:rPr>
          <w:lang w:val="fr-FR"/>
        </w:rPr>
        <w:t>’</w:t>
      </w:r>
      <w:r w:rsidR="00D25381" w:rsidRPr="00D25381">
        <w:rPr>
          <w:lang w:val="fr-FR"/>
        </w:rPr>
        <w:t>enfance intègre le fœtus dans la définition du terme «</w:t>
      </w:r>
      <w:r w:rsidR="008D4BA2">
        <w:rPr>
          <w:lang w:val="fr-FR"/>
        </w:rPr>
        <w:t> </w:t>
      </w:r>
      <w:r w:rsidR="00D25381" w:rsidRPr="00D25381">
        <w:rPr>
          <w:lang w:val="fr-FR"/>
        </w:rPr>
        <w:t>enfant</w:t>
      </w:r>
      <w:r w:rsidR="008D4BA2">
        <w:rPr>
          <w:lang w:val="fr-FR"/>
        </w:rPr>
        <w:t> </w:t>
      </w:r>
      <w:r w:rsidR="00D25381" w:rsidRPr="00D25381">
        <w:rPr>
          <w:lang w:val="fr-FR"/>
        </w:rPr>
        <w:t>», de sorte que des mesures de protection fœtale ont été prises –</w:t>
      </w:r>
      <w:r w:rsidR="008D4BA2">
        <w:rPr>
          <w:lang w:val="fr-FR"/>
        </w:rPr>
        <w:t> </w:t>
      </w:r>
      <w:r w:rsidR="00D25381" w:rsidRPr="00D25381">
        <w:rPr>
          <w:lang w:val="fr-FR"/>
        </w:rPr>
        <w:t>il a ainsi été prévu qu</w:t>
      </w:r>
      <w:r w:rsidR="00070383">
        <w:rPr>
          <w:lang w:val="fr-FR"/>
        </w:rPr>
        <w:t>’</w:t>
      </w:r>
      <w:r w:rsidR="00D25381" w:rsidRPr="00D25381">
        <w:rPr>
          <w:lang w:val="fr-FR"/>
        </w:rPr>
        <w:t xml:space="preserve">une protection spéciale pouvait être accordée à un fœtus par décision de justice. De telles mesures peuvent porter atteinte au droit des femmes enceintes de disposer de leur corps et aux droits qui sont les leurs en matière de santé </w:t>
      </w:r>
      <w:r>
        <w:rPr>
          <w:lang w:val="fr-FR"/>
        </w:rPr>
        <w:t>procréative</w:t>
      </w:r>
      <w:r w:rsidR="00C0187D">
        <w:rPr>
          <w:lang w:val="fr-FR"/>
        </w:rPr>
        <w:t> ;</w:t>
      </w:r>
    </w:p>
    <w:p w14:paraId="79EA7AF4" w14:textId="2D02AB4B" w:rsidR="00D25381" w:rsidRPr="00D25381" w:rsidRDefault="0030629E" w:rsidP="0030629E">
      <w:pPr>
        <w:pStyle w:val="SingleTxt"/>
        <w:rPr>
          <w:lang w:val="fr-FR"/>
        </w:rPr>
      </w:pPr>
      <w:r>
        <w:rPr>
          <w:lang w:val="fr-FR"/>
        </w:rPr>
        <w:tab/>
      </w:r>
      <w:r w:rsidR="00D25381" w:rsidRPr="00D25381">
        <w:rPr>
          <w:lang w:val="fr-FR"/>
        </w:rPr>
        <w:t>c)</w:t>
      </w:r>
      <w:r w:rsidR="00D25381" w:rsidRPr="00D25381">
        <w:rPr>
          <w:lang w:val="fr-FR"/>
        </w:rPr>
        <w:tab/>
        <w:t>Le nombre de sages-femmes qualifiées est en baisse, surtout dans les régions reculées ou rurales</w:t>
      </w:r>
      <w:r w:rsidR="00C0187D">
        <w:rPr>
          <w:lang w:val="fr-FR"/>
        </w:rPr>
        <w:t> ;</w:t>
      </w:r>
    </w:p>
    <w:p w14:paraId="337BE8D7" w14:textId="072A12C2" w:rsidR="00D25381" w:rsidRPr="00D25381" w:rsidRDefault="0030629E" w:rsidP="0030629E">
      <w:pPr>
        <w:pStyle w:val="SingleTxt"/>
        <w:rPr>
          <w:lang w:val="fr-FR"/>
        </w:rPr>
      </w:pPr>
      <w:r>
        <w:rPr>
          <w:lang w:val="fr-FR"/>
        </w:rPr>
        <w:tab/>
      </w:r>
      <w:r w:rsidR="00D25381" w:rsidRPr="00D25381">
        <w:rPr>
          <w:lang w:val="fr-FR"/>
        </w:rPr>
        <w:t>d)</w:t>
      </w:r>
      <w:r w:rsidR="00D25381" w:rsidRPr="00D25381">
        <w:rPr>
          <w:lang w:val="fr-FR"/>
        </w:rPr>
        <w:tab/>
        <w:t>Les services de santé mentale pour les femmes, et notamment les traitements destinés à prendre en charge la toxicomanie, qui visent principalement les Maories et les femmes handicapées, sont inadéquats.</w:t>
      </w:r>
    </w:p>
    <w:p w14:paraId="33A03FDF" w14:textId="5B8984BC" w:rsidR="00D25381" w:rsidRPr="0030629E" w:rsidRDefault="00D25381" w:rsidP="0030629E">
      <w:pPr>
        <w:pStyle w:val="SingleTxt"/>
        <w:numPr>
          <w:ilvl w:val="0"/>
          <w:numId w:val="17"/>
        </w:numPr>
        <w:spacing w:line="240" w:lineRule="exact"/>
        <w:ind w:left="1267"/>
        <w:rPr>
          <w:b/>
          <w:bCs/>
          <w:lang w:val="fr-FR"/>
        </w:rPr>
      </w:pPr>
      <w:r w:rsidRPr="0030629E">
        <w:rPr>
          <w:b/>
          <w:bCs/>
          <w:lang w:val="fr-FR"/>
        </w:rPr>
        <w:t>Le Comité rappelle sa déclaration sur la santé sexuelle et procréative et les droits y afférents, adoptée à sa cinquante-septième session, et recommande à l</w:t>
      </w:r>
      <w:r w:rsidR="00070383">
        <w:rPr>
          <w:b/>
          <w:bCs/>
          <w:lang w:val="fr-FR"/>
        </w:rPr>
        <w:t>’</w:t>
      </w:r>
      <w:r w:rsidRPr="0030629E">
        <w:rPr>
          <w:b/>
          <w:bCs/>
          <w:lang w:val="fr-FR"/>
        </w:rPr>
        <w:t>État partie</w:t>
      </w:r>
      <w:r w:rsidR="0030629E" w:rsidRPr="0030629E">
        <w:rPr>
          <w:b/>
          <w:bCs/>
          <w:lang w:val="fr-FR"/>
        </w:rPr>
        <w:t> </w:t>
      </w:r>
      <w:r w:rsidRPr="0030629E">
        <w:rPr>
          <w:b/>
          <w:bCs/>
          <w:lang w:val="fr-FR"/>
        </w:rPr>
        <w:t>:</w:t>
      </w:r>
    </w:p>
    <w:p w14:paraId="25BF1798" w14:textId="66F17187" w:rsidR="00D25381" w:rsidRPr="0030629E" w:rsidRDefault="0030629E" w:rsidP="0030629E">
      <w:pPr>
        <w:pStyle w:val="SingleTxt"/>
        <w:rPr>
          <w:b/>
          <w:bCs/>
          <w:lang w:val="fr-FR"/>
        </w:rPr>
      </w:pPr>
      <w:r w:rsidRPr="0030629E">
        <w:rPr>
          <w:b/>
          <w:bCs/>
          <w:lang w:val="fr-FR"/>
        </w:rPr>
        <w:tab/>
      </w:r>
      <w:r w:rsidR="00D25381" w:rsidRPr="0030629E">
        <w:rPr>
          <w:b/>
          <w:bCs/>
          <w:lang w:val="fr-FR"/>
        </w:rPr>
        <w:t>a)</w:t>
      </w:r>
      <w:r w:rsidR="00D25381" w:rsidRPr="0030629E">
        <w:rPr>
          <w:b/>
          <w:bCs/>
          <w:lang w:val="fr-FR"/>
        </w:rPr>
        <w:tab/>
        <w:t>d</w:t>
      </w:r>
      <w:r w:rsidR="00070383">
        <w:rPr>
          <w:b/>
          <w:bCs/>
          <w:lang w:val="fr-FR"/>
        </w:rPr>
        <w:t>’</w:t>
      </w:r>
      <w:r w:rsidR="00D25381" w:rsidRPr="0030629E">
        <w:rPr>
          <w:b/>
          <w:bCs/>
          <w:lang w:val="fr-FR"/>
        </w:rPr>
        <w:t xml:space="preserve">abroger les dispositions de la loi de </w:t>
      </w:r>
      <w:r w:rsidR="00D25381" w:rsidRPr="00E26C4F">
        <w:rPr>
          <w:b/>
          <w:bCs/>
          <w:lang w:val="fr-FR"/>
        </w:rPr>
        <w:t>1961</w:t>
      </w:r>
      <w:r w:rsidR="00D25381" w:rsidRPr="0030629E">
        <w:rPr>
          <w:b/>
          <w:bCs/>
          <w:lang w:val="fr-FR"/>
        </w:rPr>
        <w:t xml:space="preserve"> sur les infractions pénales qui ont trait à l</w:t>
      </w:r>
      <w:r w:rsidR="00070383">
        <w:rPr>
          <w:b/>
          <w:bCs/>
          <w:lang w:val="fr-FR"/>
        </w:rPr>
        <w:t>’</w:t>
      </w:r>
      <w:r w:rsidR="00D25381" w:rsidRPr="0030629E">
        <w:rPr>
          <w:b/>
          <w:bCs/>
          <w:lang w:val="fr-FR"/>
        </w:rPr>
        <w:t xml:space="preserve">avortement et de modifier la loi de </w:t>
      </w:r>
      <w:r w:rsidR="00D25381" w:rsidRPr="00E26C4F">
        <w:rPr>
          <w:b/>
          <w:bCs/>
          <w:lang w:val="fr-FR"/>
        </w:rPr>
        <w:t>1977</w:t>
      </w:r>
      <w:r w:rsidR="00D25381" w:rsidRPr="0030629E">
        <w:rPr>
          <w:b/>
          <w:bCs/>
          <w:lang w:val="fr-FR"/>
        </w:rPr>
        <w:t xml:space="preserve"> sur la contraception, la stérilisation et l</w:t>
      </w:r>
      <w:r w:rsidR="00070383">
        <w:rPr>
          <w:b/>
          <w:bCs/>
          <w:lang w:val="fr-FR"/>
        </w:rPr>
        <w:t>’</w:t>
      </w:r>
      <w:r w:rsidR="00D25381" w:rsidRPr="0030629E">
        <w:rPr>
          <w:b/>
          <w:bCs/>
          <w:lang w:val="fr-FR"/>
        </w:rPr>
        <w:t>avortement afin de dépénaliser totalement celui-ci et de l</w:t>
      </w:r>
      <w:r w:rsidR="00070383">
        <w:rPr>
          <w:b/>
          <w:bCs/>
          <w:lang w:val="fr-FR"/>
        </w:rPr>
        <w:t>’</w:t>
      </w:r>
      <w:r w:rsidR="00D25381" w:rsidRPr="0030629E">
        <w:rPr>
          <w:b/>
          <w:bCs/>
          <w:lang w:val="fr-FR"/>
        </w:rPr>
        <w:t>intégrer dans la législation relative aux services de santé</w:t>
      </w:r>
      <w:r w:rsidR="00C0187D">
        <w:rPr>
          <w:b/>
          <w:bCs/>
          <w:lang w:val="fr-FR"/>
        </w:rPr>
        <w:t> ;</w:t>
      </w:r>
    </w:p>
    <w:p w14:paraId="2EF8E3EF" w14:textId="0C733475" w:rsidR="00D25381" w:rsidRPr="0030629E" w:rsidRDefault="0030629E" w:rsidP="0030629E">
      <w:pPr>
        <w:pStyle w:val="SingleTxt"/>
        <w:rPr>
          <w:b/>
          <w:bCs/>
          <w:lang w:val="fr-FR"/>
        </w:rPr>
      </w:pPr>
      <w:r w:rsidRPr="0030629E">
        <w:rPr>
          <w:b/>
          <w:bCs/>
          <w:lang w:val="fr-FR"/>
        </w:rPr>
        <w:tab/>
      </w:r>
      <w:r w:rsidR="00D25381" w:rsidRPr="0030629E">
        <w:rPr>
          <w:b/>
          <w:bCs/>
          <w:lang w:val="fr-FR"/>
        </w:rPr>
        <w:t>b)</w:t>
      </w:r>
      <w:r w:rsidR="00D25381" w:rsidRPr="0030629E">
        <w:rPr>
          <w:b/>
          <w:bCs/>
          <w:lang w:val="fr-FR"/>
        </w:rPr>
        <w:tab/>
        <w:t>de faire en sorte de légaliser l</w:t>
      </w:r>
      <w:r w:rsidR="00070383">
        <w:rPr>
          <w:b/>
          <w:bCs/>
          <w:lang w:val="fr-FR"/>
        </w:rPr>
        <w:t>’</w:t>
      </w:r>
      <w:r w:rsidR="00D25381" w:rsidRPr="0030629E">
        <w:rPr>
          <w:b/>
          <w:bCs/>
          <w:lang w:val="fr-FR"/>
        </w:rPr>
        <w:t>avortement, au moins en cas de viol, d</w:t>
      </w:r>
      <w:r w:rsidR="00070383">
        <w:rPr>
          <w:b/>
          <w:bCs/>
          <w:lang w:val="fr-FR"/>
        </w:rPr>
        <w:t>’</w:t>
      </w:r>
      <w:r w:rsidR="00D25381" w:rsidRPr="0030629E">
        <w:rPr>
          <w:b/>
          <w:bCs/>
          <w:lang w:val="fr-FR"/>
        </w:rPr>
        <w:t>inceste, de menace pour la vie ou la santé de la femme enceinte ou de graves malformations du fœtus, et de veiller à ce que les femmes puissent se faire avorter sans risques et bénéficier d</w:t>
      </w:r>
      <w:r w:rsidR="00070383">
        <w:rPr>
          <w:b/>
          <w:bCs/>
          <w:lang w:val="fr-FR"/>
        </w:rPr>
        <w:t>’</w:t>
      </w:r>
      <w:r w:rsidR="00D25381" w:rsidRPr="0030629E">
        <w:rPr>
          <w:b/>
          <w:bCs/>
          <w:lang w:val="fr-FR"/>
        </w:rPr>
        <w:t>une prise en charge ultérieure</w:t>
      </w:r>
      <w:r w:rsidR="00C0187D">
        <w:rPr>
          <w:b/>
          <w:bCs/>
          <w:lang w:val="fr-FR"/>
        </w:rPr>
        <w:t> ;</w:t>
      </w:r>
    </w:p>
    <w:p w14:paraId="1D4D06C4" w14:textId="135CFFA0" w:rsidR="00D25381" w:rsidRPr="0030629E" w:rsidRDefault="0030629E" w:rsidP="0030629E">
      <w:pPr>
        <w:pStyle w:val="SingleTxt"/>
        <w:rPr>
          <w:b/>
          <w:bCs/>
          <w:lang w:val="fr-FR"/>
        </w:rPr>
      </w:pPr>
      <w:r w:rsidRPr="0030629E">
        <w:rPr>
          <w:b/>
          <w:bCs/>
          <w:lang w:val="fr-FR"/>
        </w:rPr>
        <w:tab/>
      </w:r>
      <w:r w:rsidR="00D25381" w:rsidRPr="0030629E">
        <w:rPr>
          <w:b/>
          <w:bCs/>
          <w:lang w:val="fr-FR"/>
        </w:rPr>
        <w:t>c)</w:t>
      </w:r>
      <w:r w:rsidR="00D25381" w:rsidRPr="0030629E">
        <w:rPr>
          <w:b/>
          <w:bCs/>
          <w:lang w:val="fr-FR"/>
        </w:rPr>
        <w:tab/>
        <w:t>de faire le nécessaire pour assurer la présence d</w:t>
      </w:r>
      <w:r w:rsidR="00070383">
        <w:rPr>
          <w:b/>
          <w:bCs/>
          <w:lang w:val="fr-FR"/>
        </w:rPr>
        <w:t>’</w:t>
      </w:r>
      <w:r w:rsidR="00D25381" w:rsidRPr="0030629E">
        <w:rPr>
          <w:b/>
          <w:bCs/>
          <w:lang w:val="fr-FR"/>
        </w:rPr>
        <w:t>un nombre suffisant de sages-femmes qui puissent dispenser des services de santé adaptés aux femmes à leur enfant pendant la grossesse, l</w:t>
      </w:r>
      <w:r w:rsidR="00070383">
        <w:rPr>
          <w:b/>
          <w:bCs/>
          <w:lang w:val="fr-FR"/>
        </w:rPr>
        <w:t>’</w:t>
      </w:r>
      <w:r w:rsidR="00D25381" w:rsidRPr="0030629E">
        <w:rPr>
          <w:b/>
          <w:bCs/>
          <w:lang w:val="fr-FR"/>
        </w:rPr>
        <w:t>accouchement et la période postnatale, surtout dans les régions reculées ou rurales</w:t>
      </w:r>
      <w:r w:rsidR="00C0187D">
        <w:rPr>
          <w:b/>
          <w:bCs/>
          <w:lang w:val="fr-FR"/>
        </w:rPr>
        <w:t> ;</w:t>
      </w:r>
    </w:p>
    <w:p w14:paraId="2F0956DC" w14:textId="71C74A87" w:rsidR="00D25381" w:rsidRPr="0030629E" w:rsidRDefault="0030629E" w:rsidP="0030629E">
      <w:pPr>
        <w:pStyle w:val="SingleTxt"/>
        <w:rPr>
          <w:b/>
          <w:bCs/>
          <w:lang w:val="fr-FR"/>
        </w:rPr>
      </w:pPr>
      <w:r w:rsidRPr="0030629E">
        <w:rPr>
          <w:b/>
          <w:bCs/>
          <w:lang w:val="fr-FR"/>
        </w:rPr>
        <w:tab/>
      </w:r>
      <w:r w:rsidR="00D25381" w:rsidRPr="0030629E">
        <w:rPr>
          <w:b/>
          <w:bCs/>
          <w:lang w:val="fr-FR"/>
        </w:rPr>
        <w:t>d)</w:t>
      </w:r>
      <w:r w:rsidR="00D25381" w:rsidRPr="0030629E">
        <w:rPr>
          <w:b/>
          <w:bCs/>
          <w:lang w:val="fr-FR"/>
        </w:rPr>
        <w:tab/>
        <w:t>de mettre en place les mesures nécessaires pour améliorer l</w:t>
      </w:r>
      <w:r w:rsidR="00070383">
        <w:rPr>
          <w:b/>
          <w:bCs/>
          <w:lang w:val="fr-FR"/>
        </w:rPr>
        <w:t>’</w:t>
      </w:r>
      <w:r w:rsidR="00D25381" w:rsidRPr="0030629E">
        <w:rPr>
          <w:b/>
          <w:bCs/>
          <w:lang w:val="fr-FR"/>
        </w:rPr>
        <w:t>accès aux services de santé mentale et leur qualité, notamment les traitements destinés à prendre en charge la toxicomanie, en visant principalement les Maories et les femmes handicapées.</w:t>
      </w:r>
    </w:p>
    <w:p w14:paraId="1455FE9B" w14:textId="1CE7175B" w:rsidR="00D25381" w:rsidRDefault="00D25381" w:rsidP="003062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25381">
        <w:rPr>
          <w:lang w:val="fr-FR"/>
        </w:rPr>
        <w:tab/>
      </w:r>
      <w:r w:rsidRPr="00D25381">
        <w:rPr>
          <w:lang w:val="fr-FR"/>
        </w:rPr>
        <w:tab/>
      </w:r>
      <w:r w:rsidR="0030629E">
        <w:rPr>
          <w:lang w:val="fr-FR"/>
        </w:rPr>
        <w:t>Femmes rurales</w:t>
      </w:r>
    </w:p>
    <w:p w14:paraId="6877B49B" w14:textId="53588123" w:rsidR="0030629E" w:rsidRPr="0030629E" w:rsidRDefault="0030629E" w:rsidP="0030629E">
      <w:pPr>
        <w:pStyle w:val="SingleTxt"/>
        <w:spacing w:after="0" w:line="120" w:lineRule="exact"/>
        <w:rPr>
          <w:sz w:val="10"/>
          <w:lang w:val="fr-FR"/>
        </w:rPr>
      </w:pPr>
    </w:p>
    <w:p w14:paraId="42153B21" w14:textId="127306B9" w:rsidR="00D25381" w:rsidRPr="00D25381" w:rsidRDefault="00D25381" w:rsidP="0030629E">
      <w:pPr>
        <w:pStyle w:val="SingleTxt"/>
        <w:numPr>
          <w:ilvl w:val="0"/>
          <w:numId w:val="17"/>
        </w:numPr>
        <w:spacing w:line="240" w:lineRule="exact"/>
        <w:ind w:left="1267"/>
        <w:rPr>
          <w:lang w:val="fr-FR"/>
        </w:rPr>
      </w:pPr>
      <w:r w:rsidRPr="00D25381">
        <w:rPr>
          <w:lang w:val="fr-FR"/>
        </w:rPr>
        <w:t>Le Comité note les mesures déployées par l</w:t>
      </w:r>
      <w:r w:rsidR="00070383">
        <w:rPr>
          <w:lang w:val="fr-FR"/>
        </w:rPr>
        <w:t>’</w:t>
      </w:r>
      <w:r w:rsidRPr="00D25381">
        <w:rPr>
          <w:lang w:val="fr-FR"/>
        </w:rPr>
        <w:t>État partie pour améliorer la situation des femmes vivant en milieu rural, ainsi que celles ayant pour but de renforcer son plan d</w:t>
      </w:r>
      <w:r w:rsidR="00070383">
        <w:rPr>
          <w:lang w:val="fr-FR"/>
        </w:rPr>
        <w:t>’</w:t>
      </w:r>
      <w:r w:rsidRPr="00D25381">
        <w:rPr>
          <w:lang w:val="fr-FR"/>
        </w:rPr>
        <w:t>adaptation aux changements climatiques. Il se déclare cependant préoccupé de constater que</w:t>
      </w:r>
      <w:r w:rsidR="0030629E">
        <w:rPr>
          <w:lang w:val="fr-FR"/>
        </w:rPr>
        <w:t> </w:t>
      </w:r>
      <w:r w:rsidRPr="00D25381">
        <w:rPr>
          <w:lang w:val="fr-FR"/>
        </w:rPr>
        <w:t>:</w:t>
      </w:r>
    </w:p>
    <w:p w14:paraId="438A2B04" w14:textId="37C5E4C0" w:rsidR="00D25381" w:rsidRPr="00D25381" w:rsidRDefault="0030629E" w:rsidP="0030629E">
      <w:pPr>
        <w:pStyle w:val="SingleTxt"/>
        <w:rPr>
          <w:lang w:val="fr-FR"/>
        </w:rPr>
      </w:pPr>
      <w:r>
        <w:rPr>
          <w:lang w:val="fr-FR"/>
        </w:rPr>
        <w:tab/>
      </w:r>
      <w:r w:rsidR="00D25381" w:rsidRPr="00D25381">
        <w:rPr>
          <w:lang w:val="fr-FR"/>
        </w:rPr>
        <w:t>a)</w:t>
      </w:r>
      <w:r w:rsidR="00D25381" w:rsidRPr="00D25381">
        <w:rPr>
          <w:lang w:val="fr-FR"/>
        </w:rPr>
        <w:tab/>
        <w:t>les femmes vivant en milieu rural sont fortement exposées à la pauvreté et aux violences sexistes</w:t>
      </w:r>
      <w:r w:rsidR="00C0187D">
        <w:rPr>
          <w:lang w:val="fr-FR"/>
        </w:rPr>
        <w:t> ;</w:t>
      </w:r>
    </w:p>
    <w:p w14:paraId="26A123FA" w14:textId="2445D3E9" w:rsidR="00D25381" w:rsidRPr="00D25381" w:rsidRDefault="0030629E" w:rsidP="0030629E">
      <w:pPr>
        <w:pStyle w:val="SingleTxt"/>
        <w:rPr>
          <w:lang w:val="fr-FR"/>
        </w:rPr>
      </w:pPr>
      <w:r>
        <w:rPr>
          <w:lang w:val="fr-FR"/>
        </w:rPr>
        <w:tab/>
      </w:r>
      <w:r w:rsidR="00D25381" w:rsidRPr="00D25381">
        <w:rPr>
          <w:lang w:val="fr-FR"/>
        </w:rPr>
        <w:t>b)</w:t>
      </w:r>
      <w:r w:rsidR="00D25381" w:rsidRPr="00D25381">
        <w:rPr>
          <w:lang w:val="fr-FR"/>
        </w:rPr>
        <w:tab/>
        <w:t>elles assument une part démesurée des responsabilités familiales et se heurtent à des traditions qui les obligent à effectuer des tâches non rémunérées et à nourrir leur famille</w:t>
      </w:r>
      <w:r w:rsidR="00C0187D">
        <w:rPr>
          <w:lang w:val="fr-FR"/>
        </w:rPr>
        <w:t> ;</w:t>
      </w:r>
    </w:p>
    <w:p w14:paraId="0EEDFA66" w14:textId="5B1D576D" w:rsidR="00D25381" w:rsidRPr="00D25381" w:rsidRDefault="0030629E" w:rsidP="0030629E">
      <w:pPr>
        <w:pStyle w:val="SingleTxt"/>
        <w:rPr>
          <w:lang w:val="fr-FR"/>
        </w:rPr>
      </w:pPr>
      <w:r>
        <w:rPr>
          <w:lang w:val="fr-FR"/>
        </w:rPr>
        <w:tab/>
      </w:r>
      <w:r w:rsidR="00D25381" w:rsidRPr="00D25381">
        <w:rPr>
          <w:lang w:val="fr-FR"/>
        </w:rPr>
        <w:t>c)</w:t>
      </w:r>
      <w:r w:rsidR="00D25381" w:rsidRPr="00D25381">
        <w:rPr>
          <w:lang w:val="fr-FR"/>
        </w:rPr>
        <w:tab/>
        <w:t>les services à haut débit et les services Internet sont insuffisants dans les zones rurales, ce qui crée des obstacles supplémentaires non négligeables à l</w:t>
      </w:r>
      <w:r w:rsidR="00070383">
        <w:rPr>
          <w:lang w:val="fr-FR"/>
        </w:rPr>
        <w:t>’</w:t>
      </w:r>
      <w:r w:rsidR="00D25381" w:rsidRPr="00D25381">
        <w:rPr>
          <w:lang w:val="fr-FR"/>
        </w:rPr>
        <w:t>accès des femmes à l</w:t>
      </w:r>
      <w:r w:rsidR="00070383">
        <w:rPr>
          <w:lang w:val="fr-FR"/>
        </w:rPr>
        <w:t>’</w:t>
      </w:r>
      <w:r w:rsidR="00D25381" w:rsidRPr="00D25381">
        <w:rPr>
          <w:lang w:val="fr-FR"/>
        </w:rPr>
        <w:t>information et aux services</w:t>
      </w:r>
      <w:r w:rsidR="00C0187D">
        <w:rPr>
          <w:lang w:val="fr-FR"/>
        </w:rPr>
        <w:t> ;</w:t>
      </w:r>
    </w:p>
    <w:p w14:paraId="5AABE6F5" w14:textId="66D91224" w:rsidR="00D25381" w:rsidRPr="00D25381" w:rsidRDefault="0030629E" w:rsidP="0030629E">
      <w:pPr>
        <w:pStyle w:val="SingleTxt"/>
        <w:rPr>
          <w:lang w:val="fr-FR"/>
        </w:rPr>
      </w:pPr>
      <w:r>
        <w:rPr>
          <w:lang w:val="fr-FR"/>
        </w:rPr>
        <w:tab/>
      </w:r>
      <w:r w:rsidR="00D25381" w:rsidRPr="00D25381">
        <w:rPr>
          <w:lang w:val="fr-FR"/>
        </w:rPr>
        <w:t>d)</w:t>
      </w:r>
      <w:r w:rsidR="00D25381" w:rsidRPr="00D25381">
        <w:rPr>
          <w:lang w:val="fr-FR"/>
        </w:rPr>
        <w:tab/>
        <w:t>les changements climatiques ont des conséquences disproportionnées sur les femmes dans l</w:t>
      </w:r>
      <w:r w:rsidR="00070383">
        <w:rPr>
          <w:lang w:val="fr-FR"/>
        </w:rPr>
        <w:t>’</w:t>
      </w:r>
      <w:r w:rsidR="00D25381" w:rsidRPr="00D25381">
        <w:rPr>
          <w:lang w:val="fr-FR"/>
        </w:rPr>
        <w:t>État partie, et l</w:t>
      </w:r>
      <w:r w:rsidR="00070383">
        <w:rPr>
          <w:lang w:val="fr-FR"/>
        </w:rPr>
        <w:t>’</w:t>
      </w:r>
      <w:r w:rsidR="00D25381" w:rsidRPr="00D25381">
        <w:rPr>
          <w:lang w:val="fr-FR"/>
        </w:rPr>
        <w:t>on ignore dans quelle mesure les femmes prennent part aux décisions concernant les politiques et programmes de développement rural.</w:t>
      </w:r>
    </w:p>
    <w:p w14:paraId="0FC81EEC" w14:textId="5191406F" w:rsidR="00D25381" w:rsidRPr="0030629E" w:rsidRDefault="00D25381" w:rsidP="0030629E">
      <w:pPr>
        <w:pStyle w:val="SingleTxt"/>
        <w:numPr>
          <w:ilvl w:val="0"/>
          <w:numId w:val="17"/>
        </w:numPr>
        <w:spacing w:line="240" w:lineRule="exact"/>
        <w:ind w:left="1267"/>
        <w:rPr>
          <w:b/>
          <w:bCs/>
          <w:lang w:val="fr-FR"/>
        </w:rPr>
      </w:pPr>
      <w:r w:rsidRPr="0030629E">
        <w:rPr>
          <w:b/>
          <w:bCs/>
          <w:lang w:val="fr-FR"/>
        </w:rPr>
        <w:t>Rappelant sa recommandation générale n</w:t>
      </w:r>
      <w:r w:rsidR="00BB581E" w:rsidRPr="00B50F39">
        <w:rPr>
          <w:b/>
          <w:bCs/>
          <w:vertAlign w:val="superscript"/>
          <w:lang w:val="fr-FR"/>
        </w:rPr>
        <w:t>o</w:t>
      </w:r>
      <w:r w:rsidR="008D4BA2">
        <w:rPr>
          <w:b/>
          <w:bCs/>
          <w:lang w:val="fr-FR"/>
        </w:rPr>
        <w:t> </w:t>
      </w:r>
      <w:r w:rsidRPr="00E26C4F">
        <w:rPr>
          <w:b/>
          <w:bCs/>
          <w:lang w:val="fr-FR"/>
        </w:rPr>
        <w:t>34</w:t>
      </w:r>
      <w:r w:rsidRPr="0030629E">
        <w:rPr>
          <w:b/>
          <w:bCs/>
          <w:lang w:val="fr-FR"/>
        </w:rPr>
        <w:t xml:space="preserve"> (</w:t>
      </w:r>
      <w:r w:rsidRPr="00E26C4F">
        <w:rPr>
          <w:b/>
          <w:bCs/>
          <w:lang w:val="fr-FR"/>
        </w:rPr>
        <w:t>2016</w:t>
      </w:r>
      <w:r w:rsidRPr="0030629E">
        <w:rPr>
          <w:b/>
          <w:bCs/>
          <w:lang w:val="fr-FR"/>
        </w:rPr>
        <w:t>) sur les droits des femmes rurales, le Comité recommande à l</w:t>
      </w:r>
      <w:r w:rsidR="00070383">
        <w:rPr>
          <w:b/>
          <w:bCs/>
          <w:lang w:val="fr-FR"/>
        </w:rPr>
        <w:t>’</w:t>
      </w:r>
      <w:r w:rsidRPr="0030629E">
        <w:rPr>
          <w:b/>
          <w:bCs/>
          <w:lang w:val="fr-FR"/>
        </w:rPr>
        <w:t>État partie</w:t>
      </w:r>
      <w:r w:rsidR="0030629E">
        <w:rPr>
          <w:b/>
          <w:bCs/>
          <w:lang w:val="fr-FR"/>
        </w:rPr>
        <w:t> </w:t>
      </w:r>
      <w:r w:rsidRPr="0030629E">
        <w:rPr>
          <w:b/>
          <w:bCs/>
          <w:lang w:val="fr-FR"/>
        </w:rPr>
        <w:t xml:space="preserve">: </w:t>
      </w:r>
    </w:p>
    <w:p w14:paraId="0B56F604" w14:textId="61CF8AE2" w:rsidR="00D25381" w:rsidRPr="001B4A19" w:rsidRDefault="001B4A19" w:rsidP="001B4A19">
      <w:pPr>
        <w:pStyle w:val="SingleTxt"/>
        <w:rPr>
          <w:b/>
          <w:bCs/>
          <w:lang w:val="fr-FR"/>
        </w:rPr>
      </w:pPr>
      <w:r w:rsidRPr="001B4A19">
        <w:rPr>
          <w:b/>
          <w:bCs/>
          <w:lang w:val="fr-FR"/>
        </w:rPr>
        <w:tab/>
      </w:r>
      <w:r w:rsidR="00D25381" w:rsidRPr="001B4A19">
        <w:rPr>
          <w:b/>
          <w:bCs/>
          <w:lang w:val="fr-FR"/>
        </w:rPr>
        <w:t>a)</w:t>
      </w:r>
      <w:r w:rsidR="00D25381" w:rsidRPr="001B4A19">
        <w:rPr>
          <w:b/>
          <w:bCs/>
          <w:lang w:val="fr-FR"/>
        </w:rPr>
        <w:tab/>
        <w:t>de chercher à améliorer les conditions de vie des femmes en milieu rural, notamment en luttant contre la pauvreté et en éliminant les violences sexistes</w:t>
      </w:r>
      <w:r w:rsidR="00C0187D">
        <w:rPr>
          <w:b/>
          <w:bCs/>
          <w:lang w:val="fr-FR"/>
        </w:rPr>
        <w:t> ;</w:t>
      </w:r>
    </w:p>
    <w:p w14:paraId="2228A65C" w14:textId="6670757A" w:rsidR="00D25381" w:rsidRPr="001B4A19" w:rsidRDefault="001B4A19" w:rsidP="001B4A19">
      <w:pPr>
        <w:pStyle w:val="SingleTxt"/>
        <w:rPr>
          <w:b/>
          <w:bCs/>
          <w:lang w:val="fr-FR"/>
        </w:rPr>
      </w:pPr>
      <w:r w:rsidRPr="001B4A19">
        <w:rPr>
          <w:b/>
          <w:bCs/>
          <w:lang w:val="fr-FR"/>
        </w:rPr>
        <w:tab/>
      </w:r>
      <w:r w:rsidR="00D25381" w:rsidRPr="001B4A19">
        <w:rPr>
          <w:b/>
          <w:bCs/>
          <w:lang w:val="fr-FR"/>
        </w:rPr>
        <w:t>b)</w:t>
      </w:r>
      <w:r w:rsidR="00D25381" w:rsidRPr="001B4A19">
        <w:rPr>
          <w:b/>
          <w:bCs/>
          <w:lang w:val="fr-FR"/>
        </w:rPr>
        <w:tab/>
        <w:t>de proposer aux femmes rurales des solutions alternatives au travail non rémunéré</w:t>
      </w:r>
      <w:r w:rsidR="00C0187D">
        <w:rPr>
          <w:b/>
          <w:bCs/>
          <w:lang w:val="fr-FR"/>
        </w:rPr>
        <w:t> ;</w:t>
      </w:r>
    </w:p>
    <w:p w14:paraId="0C82E606" w14:textId="3AEE1A49" w:rsidR="00D25381" w:rsidRPr="001B4A19" w:rsidRDefault="001B4A19" w:rsidP="001B4A19">
      <w:pPr>
        <w:pStyle w:val="SingleTxt"/>
        <w:rPr>
          <w:b/>
          <w:bCs/>
          <w:lang w:val="fr-FR"/>
        </w:rPr>
      </w:pPr>
      <w:r w:rsidRPr="001B4A19">
        <w:rPr>
          <w:b/>
          <w:bCs/>
          <w:lang w:val="fr-FR"/>
        </w:rPr>
        <w:tab/>
      </w:r>
      <w:r w:rsidR="00D25381" w:rsidRPr="001B4A19">
        <w:rPr>
          <w:b/>
          <w:bCs/>
          <w:lang w:val="fr-FR"/>
        </w:rPr>
        <w:t>c)</w:t>
      </w:r>
      <w:r w:rsidR="00D25381" w:rsidRPr="001B4A19">
        <w:rPr>
          <w:b/>
          <w:bCs/>
          <w:lang w:val="fr-FR"/>
        </w:rPr>
        <w:tab/>
        <w:t>d</w:t>
      </w:r>
      <w:r w:rsidR="00070383">
        <w:rPr>
          <w:b/>
          <w:bCs/>
          <w:lang w:val="fr-FR"/>
        </w:rPr>
        <w:t>’</w:t>
      </w:r>
      <w:r w:rsidR="00D25381" w:rsidRPr="001B4A19">
        <w:rPr>
          <w:b/>
          <w:bCs/>
          <w:lang w:val="fr-FR"/>
        </w:rPr>
        <w:t>utiliser plus largement les technologies modernes et d</w:t>
      </w:r>
      <w:r w:rsidR="00070383">
        <w:rPr>
          <w:b/>
          <w:bCs/>
          <w:lang w:val="fr-FR"/>
        </w:rPr>
        <w:t>’</w:t>
      </w:r>
      <w:r w:rsidR="00D25381" w:rsidRPr="001B4A19">
        <w:rPr>
          <w:b/>
          <w:bCs/>
          <w:lang w:val="fr-FR"/>
        </w:rPr>
        <w:t>offrir des services à haut débit et des services Internet adéquats dans les zones rurales</w:t>
      </w:r>
      <w:r w:rsidR="00C0187D">
        <w:rPr>
          <w:b/>
          <w:bCs/>
          <w:lang w:val="fr-FR"/>
        </w:rPr>
        <w:t> ;</w:t>
      </w:r>
    </w:p>
    <w:p w14:paraId="14BF3C6A" w14:textId="5B73444D" w:rsidR="00D25381" w:rsidRDefault="001B4A19" w:rsidP="001B4A19">
      <w:pPr>
        <w:pStyle w:val="SingleTxt"/>
        <w:rPr>
          <w:lang w:val="fr-FR"/>
        </w:rPr>
      </w:pPr>
      <w:r w:rsidRPr="001B4A19">
        <w:rPr>
          <w:b/>
          <w:bCs/>
          <w:lang w:val="fr-FR"/>
        </w:rPr>
        <w:tab/>
      </w:r>
      <w:r w:rsidR="00D25381" w:rsidRPr="001B4A19">
        <w:rPr>
          <w:b/>
          <w:bCs/>
          <w:lang w:val="fr-FR"/>
        </w:rPr>
        <w:t>d)</w:t>
      </w:r>
      <w:r w:rsidR="00D25381" w:rsidRPr="001B4A19">
        <w:rPr>
          <w:b/>
          <w:bCs/>
          <w:lang w:val="fr-FR"/>
        </w:rPr>
        <w:tab/>
        <w:t>de prendre en considération, à tous les niveaux où se décident les politiques concernant l</w:t>
      </w:r>
      <w:r w:rsidR="00070383">
        <w:rPr>
          <w:b/>
          <w:bCs/>
          <w:lang w:val="fr-FR"/>
        </w:rPr>
        <w:t>’</w:t>
      </w:r>
      <w:r w:rsidR="00D25381" w:rsidRPr="001B4A19">
        <w:rPr>
          <w:b/>
          <w:bCs/>
          <w:lang w:val="fr-FR"/>
        </w:rPr>
        <w:t>adaptation aux changements climatiques, que les catastrophes naturelles et lesdits changements touchent plus particulièrement les femmes.</w:t>
      </w:r>
    </w:p>
    <w:p w14:paraId="5628565F" w14:textId="64864D4E" w:rsidR="001B4A19" w:rsidRPr="001B4A19" w:rsidRDefault="001B4A19" w:rsidP="001B4A19">
      <w:pPr>
        <w:pStyle w:val="SingleTxt"/>
        <w:spacing w:after="0" w:line="120" w:lineRule="exact"/>
        <w:rPr>
          <w:sz w:val="10"/>
          <w:lang w:val="fr-FR"/>
        </w:rPr>
      </w:pPr>
    </w:p>
    <w:p w14:paraId="077D65E2" w14:textId="77204D7C" w:rsidR="00D25381" w:rsidRDefault="00D25381" w:rsidP="001B4A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25381">
        <w:rPr>
          <w:lang w:val="fr-FR"/>
        </w:rPr>
        <w:tab/>
      </w:r>
      <w:r w:rsidRPr="00D25381">
        <w:rPr>
          <w:lang w:val="fr-FR"/>
        </w:rPr>
        <w:tab/>
        <w:t>Maories et femmes issues de minorités ethniques</w:t>
      </w:r>
    </w:p>
    <w:p w14:paraId="2D49931F" w14:textId="7A9DD683" w:rsidR="001B4A19" w:rsidRPr="001B4A19" w:rsidRDefault="001B4A19" w:rsidP="001B4A19">
      <w:pPr>
        <w:pStyle w:val="SingleTxt"/>
        <w:spacing w:after="0" w:line="120" w:lineRule="exact"/>
        <w:rPr>
          <w:sz w:val="10"/>
          <w:lang w:val="fr-FR"/>
        </w:rPr>
      </w:pPr>
    </w:p>
    <w:p w14:paraId="70BA4B7E" w14:textId="6F22F62B" w:rsidR="00D25381" w:rsidRPr="00D25381" w:rsidRDefault="00D25381" w:rsidP="001B4A19">
      <w:pPr>
        <w:pStyle w:val="SingleTxt"/>
        <w:numPr>
          <w:ilvl w:val="0"/>
          <w:numId w:val="17"/>
        </w:numPr>
        <w:spacing w:line="240" w:lineRule="exact"/>
        <w:ind w:left="1267"/>
        <w:rPr>
          <w:lang w:val="fr-FR"/>
        </w:rPr>
      </w:pPr>
      <w:r w:rsidRPr="00D25381">
        <w:rPr>
          <w:lang w:val="fr-FR"/>
        </w:rPr>
        <w:t>Le Comité observe avec préoccupation que, dans l</w:t>
      </w:r>
      <w:r w:rsidR="00070383">
        <w:rPr>
          <w:lang w:val="fr-FR"/>
        </w:rPr>
        <w:t>’</w:t>
      </w:r>
      <w:r w:rsidRPr="00D25381">
        <w:rPr>
          <w:lang w:val="fr-FR"/>
        </w:rPr>
        <w:t>État partie, les Maories et les femmes issues de minorités ethniques sont exposées à des formes de discrimination croisées, notamment lorsqu</w:t>
      </w:r>
      <w:r w:rsidR="00070383">
        <w:rPr>
          <w:lang w:val="fr-FR"/>
        </w:rPr>
        <w:t>’</w:t>
      </w:r>
      <w:r w:rsidRPr="00D25381">
        <w:rPr>
          <w:lang w:val="fr-FR"/>
        </w:rPr>
        <w:t>il s</w:t>
      </w:r>
      <w:r w:rsidR="00070383">
        <w:rPr>
          <w:lang w:val="fr-FR"/>
        </w:rPr>
        <w:t>’</w:t>
      </w:r>
      <w:r w:rsidRPr="00D25381">
        <w:rPr>
          <w:lang w:val="fr-FR"/>
        </w:rPr>
        <w:t>agit d</w:t>
      </w:r>
      <w:r w:rsidR="00070383">
        <w:rPr>
          <w:lang w:val="fr-FR"/>
        </w:rPr>
        <w:t>’</w:t>
      </w:r>
      <w:r w:rsidRPr="00D25381">
        <w:rPr>
          <w:lang w:val="fr-FR"/>
        </w:rPr>
        <w:t>accéder à des services de santé et de protéger leurs droits à la propriété. Tout en prenant acte des mesures prises par la Nouvelle</w:t>
      </w:r>
      <w:r w:rsidR="001B4A19">
        <w:rPr>
          <w:lang w:val="fr-FR"/>
        </w:rPr>
        <w:noBreakHyphen/>
      </w:r>
      <w:r w:rsidRPr="00D25381">
        <w:rPr>
          <w:lang w:val="fr-FR"/>
        </w:rPr>
        <w:t>Zélande en vue d</w:t>
      </w:r>
      <w:r w:rsidR="00070383">
        <w:rPr>
          <w:lang w:val="fr-FR"/>
        </w:rPr>
        <w:t>’</w:t>
      </w:r>
      <w:r w:rsidRPr="00D25381">
        <w:rPr>
          <w:lang w:val="fr-FR"/>
        </w:rPr>
        <w:t>améliorer la situation des Maories, il s</w:t>
      </w:r>
      <w:r w:rsidR="00070383">
        <w:rPr>
          <w:lang w:val="fr-FR"/>
        </w:rPr>
        <w:t>’</w:t>
      </w:r>
      <w:r w:rsidRPr="00D25381">
        <w:rPr>
          <w:lang w:val="fr-FR"/>
        </w:rPr>
        <w:t>inquiète des taux disproportionnés d</w:t>
      </w:r>
      <w:r w:rsidR="00070383">
        <w:rPr>
          <w:lang w:val="fr-FR"/>
        </w:rPr>
        <w:t>’</w:t>
      </w:r>
      <w:r w:rsidRPr="00D25381">
        <w:rPr>
          <w:lang w:val="fr-FR"/>
        </w:rPr>
        <w:t xml:space="preserve">incarcération qui continuent de leur être associés et de ce que </w:t>
      </w:r>
      <w:r w:rsidRPr="00E26C4F">
        <w:rPr>
          <w:lang w:val="fr-FR"/>
        </w:rPr>
        <w:t>65</w:t>
      </w:r>
      <w:r w:rsidR="001B4A19">
        <w:rPr>
          <w:lang w:val="fr-FR"/>
        </w:rPr>
        <w:t> </w:t>
      </w:r>
      <w:r w:rsidRPr="00D25381">
        <w:rPr>
          <w:lang w:val="fr-FR"/>
        </w:rPr>
        <w:t xml:space="preserve">% des détenues sont des Maories. </w:t>
      </w:r>
    </w:p>
    <w:p w14:paraId="35EF0A0C" w14:textId="195CCCB3" w:rsidR="00D25381" w:rsidRDefault="00D25381" w:rsidP="001B4A19">
      <w:pPr>
        <w:pStyle w:val="SingleTxt"/>
        <w:numPr>
          <w:ilvl w:val="0"/>
          <w:numId w:val="17"/>
        </w:numPr>
        <w:tabs>
          <w:tab w:val="num" w:pos="2804"/>
        </w:tabs>
        <w:spacing w:line="240" w:lineRule="exact"/>
        <w:ind w:left="1267"/>
        <w:rPr>
          <w:b/>
          <w:bCs/>
          <w:lang w:val="fr-FR"/>
        </w:rPr>
      </w:pPr>
      <w:r w:rsidRPr="001B4A19">
        <w:rPr>
          <w:b/>
          <w:bCs/>
          <w:lang w:val="fr-FR"/>
        </w:rPr>
        <w:t>Le Comité recommande à l</w:t>
      </w:r>
      <w:r w:rsidR="00070383">
        <w:rPr>
          <w:b/>
          <w:bCs/>
          <w:lang w:val="fr-FR"/>
        </w:rPr>
        <w:t>’</w:t>
      </w:r>
      <w:r w:rsidRPr="001B4A19">
        <w:rPr>
          <w:b/>
          <w:bCs/>
          <w:lang w:val="fr-FR"/>
        </w:rPr>
        <w:t>État partie de prendre toutes les dispositions législatives nécessaires, y compris des mesures temporaires spéciales et des mesures de sensibilisation, pour lutter contre les formes de discrimination croisées envers les femmes, en particulier pour ce qui concerne l</w:t>
      </w:r>
      <w:r w:rsidR="00070383">
        <w:rPr>
          <w:b/>
          <w:bCs/>
          <w:lang w:val="fr-FR"/>
        </w:rPr>
        <w:t>’</w:t>
      </w:r>
      <w:r w:rsidRPr="001B4A19">
        <w:rPr>
          <w:b/>
          <w:bCs/>
          <w:lang w:val="fr-FR"/>
        </w:rPr>
        <w:t>accès aux services de santé et la protection des droits à la propriété. Il recommande également à l</w:t>
      </w:r>
      <w:r w:rsidR="00070383">
        <w:rPr>
          <w:b/>
          <w:bCs/>
          <w:lang w:val="fr-FR"/>
        </w:rPr>
        <w:t>’</w:t>
      </w:r>
      <w:r w:rsidRPr="001B4A19">
        <w:rPr>
          <w:b/>
          <w:bCs/>
          <w:lang w:val="fr-FR"/>
        </w:rPr>
        <w:t>État partie d</w:t>
      </w:r>
      <w:r w:rsidR="00070383">
        <w:rPr>
          <w:b/>
          <w:bCs/>
          <w:lang w:val="fr-FR"/>
        </w:rPr>
        <w:t>’</w:t>
      </w:r>
      <w:r w:rsidRPr="001B4A19">
        <w:rPr>
          <w:b/>
          <w:bCs/>
          <w:lang w:val="fr-FR"/>
        </w:rPr>
        <w:t>appliquer les Règles des Nations Unies concernant le traitement des détenues et l</w:t>
      </w:r>
      <w:r w:rsidR="00070383">
        <w:rPr>
          <w:b/>
          <w:bCs/>
          <w:lang w:val="fr-FR"/>
        </w:rPr>
        <w:t>’</w:t>
      </w:r>
      <w:r w:rsidRPr="001B4A19">
        <w:rPr>
          <w:b/>
          <w:bCs/>
          <w:lang w:val="fr-FR"/>
        </w:rPr>
        <w:t>imposition de mesures non privatives de liberté aux délinquantes (Règles de Bangkok) et de proposer des solutions alternatives à la détention afin de réduire le nombre de Maories incarcérées.</w:t>
      </w:r>
    </w:p>
    <w:p w14:paraId="01FE5669" w14:textId="1545B3B1" w:rsidR="001B4A19" w:rsidRPr="001B4A19" w:rsidRDefault="001B4A19" w:rsidP="001B4A19">
      <w:pPr>
        <w:pStyle w:val="SingleTxt"/>
        <w:spacing w:after="0" w:line="120" w:lineRule="exact"/>
        <w:rPr>
          <w:sz w:val="10"/>
          <w:lang w:val="fr-FR"/>
        </w:rPr>
      </w:pPr>
    </w:p>
    <w:p w14:paraId="2E615024" w14:textId="49C727D4" w:rsidR="00D25381" w:rsidRDefault="00D25381" w:rsidP="001B4A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25381">
        <w:rPr>
          <w:lang w:val="fr-FR"/>
        </w:rPr>
        <w:tab/>
      </w:r>
      <w:r w:rsidRPr="00D25381">
        <w:rPr>
          <w:lang w:val="fr-FR"/>
        </w:rPr>
        <w:tab/>
        <w:t>Migra</w:t>
      </w:r>
      <w:r w:rsidR="001B4A19">
        <w:rPr>
          <w:lang w:val="fr-FR"/>
        </w:rPr>
        <w:t>ntes</w:t>
      </w:r>
    </w:p>
    <w:p w14:paraId="784FCEDF" w14:textId="28C03F91" w:rsidR="001B4A19" w:rsidRPr="001B4A19" w:rsidRDefault="001B4A19" w:rsidP="001B4A19">
      <w:pPr>
        <w:pStyle w:val="SingleTxt"/>
        <w:spacing w:after="0" w:line="120" w:lineRule="exact"/>
        <w:rPr>
          <w:sz w:val="10"/>
          <w:lang w:val="fr-FR"/>
        </w:rPr>
      </w:pPr>
    </w:p>
    <w:p w14:paraId="664C507D" w14:textId="1901C321" w:rsidR="00D25381" w:rsidRPr="00D25381" w:rsidRDefault="00D25381" w:rsidP="001B4A19">
      <w:pPr>
        <w:pStyle w:val="SingleTxt"/>
        <w:numPr>
          <w:ilvl w:val="0"/>
          <w:numId w:val="17"/>
        </w:numPr>
        <w:spacing w:line="240" w:lineRule="exact"/>
        <w:ind w:left="1267"/>
        <w:rPr>
          <w:bCs/>
          <w:lang w:val="fr-FR"/>
        </w:rPr>
      </w:pPr>
      <w:r w:rsidRPr="00D25381">
        <w:rPr>
          <w:lang w:val="fr-FR"/>
        </w:rPr>
        <w:t xml:space="preserve">Le Comité est préoccupé par </w:t>
      </w:r>
      <w:r w:rsidR="001B4A19">
        <w:rPr>
          <w:lang w:val="fr-FR"/>
        </w:rPr>
        <w:t>ce qui suit :</w:t>
      </w:r>
    </w:p>
    <w:p w14:paraId="18B8BC54" w14:textId="1825BDEE" w:rsidR="00D25381" w:rsidRPr="00D25381" w:rsidRDefault="001B4A19" w:rsidP="001B4A19">
      <w:pPr>
        <w:pStyle w:val="SingleTxt"/>
        <w:rPr>
          <w:bCs/>
          <w:lang w:val="fr-FR"/>
        </w:rPr>
      </w:pPr>
      <w:r>
        <w:rPr>
          <w:lang w:val="fr-FR"/>
        </w:rPr>
        <w:tab/>
      </w:r>
      <w:r w:rsidR="00D25381" w:rsidRPr="00D25381">
        <w:rPr>
          <w:lang w:val="fr-FR"/>
        </w:rPr>
        <w:t>a)</w:t>
      </w:r>
      <w:r w:rsidR="00D25381" w:rsidRPr="00D25381">
        <w:rPr>
          <w:lang w:val="fr-FR"/>
        </w:rPr>
        <w:tab/>
        <w:t>Certaines mères de famille migrantes ne possédant pas de visa permanent peuvent perdre le parrainage de leur partenaire en cas de séparation ou de divorce</w:t>
      </w:r>
      <w:r w:rsidR="00C0187D">
        <w:rPr>
          <w:lang w:val="fr-FR"/>
        </w:rPr>
        <w:t> ;</w:t>
      </w:r>
      <w:r w:rsidR="00D25381" w:rsidRPr="00D25381">
        <w:rPr>
          <w:lang w:val="fr-FR"/>
        </w:rPr>
        <w:t xml:space="preserve"> elles sont parfois renvoyées dans leur pays d</w:t>
      </w:r>
      <w:r w:rsidR="00070383">
        <w:rPr>
          <w:lang w:val="fr-FR"/>
        </w:rPr>
        <w:t>’</w:t>
      </w:r>
      <w:r w:rsidR="00D25381" w:rsidRPr="00D25381">
        <w:rPr>
          <w:lang w:val="fr-FR"/>
        </w:rPr>
        <w:t>origine, les enfants restant avec le père même en cas de maltraitance connue ou alléguée</w:t>
      </w:r>
      <w:bookmarkStart w:id="15" w:name="_Hlk523387112"/>
      <w:bookmarkEnd w:id="15"/>
      <w:r w:rsidR="00C0187D">
        <w:rPr>
          <w:lang w:val="fr-FR"/>
        </w:rPr>
        <w:t> ;</w:t>
      </w:r>
    </w:p>
    <w:p w14:paraId="021DB218" w14:textId="3C3EE58D" w:rsidR="00D25381" w:rsidRPr="00D25381" w:rsidRDefault="001B4A19" w:rsidP="001B4A19">
      <w:pPr>
        <w:pStyle w:val="SingleTxt"/>
        <w:rPr>
          <w:bCs/>
          <w:lang w:val="fr-FR"/>
        </w:rPr>
      </w:pPr>
      <w:r>
        <w:rPr>
          <w:lang w:val="fr-FR"/>
        </w:rPr>
        <w:tab/>
      </w:r>
      <w:r w:rsidR="00D25381" w:rsidRPr="00D25381">
        <w:rPr>
          <w:lang w:val="fr-FR"/>
        </w:rPr>
        <w:t>b)</w:t>
      </w:r>
      <w:r w:rsidR="00D25381" w:rsidRPr="00D25381">
        <w:rPr>
          <w:lang w:val="fr-FR"/>
        </w:rPr>
        <w:tab/>
        <w:t>Il arrive que des femmes se refusent à quitter un conjoint violent de peur de perdre leur visa, lequel dépend du statut de cette personne</w:t>
      </w:r>
      <w:r w:rsidR="00C0187D">
        <w:rPr>
          <w:lang w:val="fr-FR"/>
        </w:rPr>
        <w:t> ;</w:t>
      </w:r>
    </w:p>
    <w:p w14:paraId="4845F273" w14:textId="1E06A9F1" w:rsidR="00D25381" w:rsidRPr="00D25381" w:rsidRDefault="001B4A19" w:rsidP="001B4A19">
      <w:pPr>
        <w:pStyle w:val="SingleTxt"/>
        <w:rPr>
          <w:bCs/>
          <w:lang w:val="fr-FR"/>
        </w:rPr>
      </w:pPr>
      <w:r>
        <w:rPr>
          <w:lang w:val="fr-FR"/>
        </w:rPr>
        <w:tab/>
      </w:r>
      <w:r w:rsidR="00D25381" w:rsidRPr="00D25381">
        <w:rPr>
          <w:lang w:val="fr-FR"/>
        </w:rPr>
        <w:t>c)</w:t>
      </w:r>
      <w:r w:rsidR="00D25381" w:rsidRPr="00D25381">
        <w:rPr>
          <w:lang w:val="fr-FR"/>
        </w:rPr>
        <w:tab/>
        <w:t>Les femmes confrontées à de telles situations ont beaucoup de mal à accéder à la justice pour de multiples raisons liées au manque d</w:t>
      </w:r>
      <w:r w:rsidR="00070383">
        <w:rPr>
          <w:lang w:val="fr-FR"/>
        </w:rPr>
        <w:t>’</w:t>
      </w:r>
      <w:r w:rsidR="00D25381" w:rsidRPr="00D25381">
        <w:rPr>
          <w:lang w:val="fr-FR"/>
        </w:rPr>
        <w:t>informations et à la barrière de la langue, ainsi qu</w:t>
      </w:r>
      <w:r w:rsidR="00070383">
        <w:rPr>
          <w:lang w:val="fr-FR"/>
        </w:rPr>
        <w:t>’</w:t>
      </w:r>
      <w:r w:rsidR="00D25381" w:rsidRPr="00D25381">
        <w:rPr>
          <w:lang w:val="fr-FR"/>
        </w:rPr>
        <w:t>à l</w:t>
      </w:r>
      <w:r w:rsidR="00070383">
        <w:rPr>
          <w:lang w:val="fr-FR"/>
        </w:rPr>
        <w:t>’</w:t>
      </w:r>
      <w:r w:rsidR="00D25381" w:rsidRPr="00D25381">
        <w:rPr>
          <w:lang w:val="fr-FR"/>
        </w:rPr>
        <w:t>absence d</w:t>
      </w:r>
      <w:r w:rsidR="00070383">
        <w:rPr>
          <w:lang w:val="fr-FR"/>
        </w:rPr>
        <w:t>’</w:t>
      </w:r>
      <w:r w:rsidR="00D25381" w:rsidRPr="00D25381">
        <w:rPr>
          <w:lang w:val="fr-FR"/>
        </w:rPr>
        <w:t xml:space="preserve">aide juridictionnelle. </w:t>
      </w:r>
    </w:p>
    <w:p w14:paraId="3E72F44E" w14:textId="00B24278" w:rsidR="00D25381" w:rsidRPr="00D25381" w:rsidRDefault="00D25381" w:rsidP="001B4A19">
      <w:pPr>
        <w:pStyle w:val="SingleTxt"/>
        <w:numPr>
          <w:ilvl w:val="0"/>
          <w:numId w:val="17"/>
        </w:numPr>
        <w:spacing w:line="240" w:lineRule="exact"/>
        <w:ind w:left="1267"/>
        <w:rPr>
          <w:lang w:val="fr-FR"/>
        </w:rPr>
      </w:pPr>
      <w:r w:rsidRPr="001B4A19">
        <w:rPr>
          <w:b/>
          <w:bCs/>
          <w:lang w:val="fr-FR"/>
        </w:rPr>
        <w:t>Le Comité recommande à l</w:t>
      </w:r>
      <w:r w:rsidR="00070383">
        <w:rPr>
          <w:b/>
          <w:bCs/>
          <w:lang w:val="fr-FR"/>
        </w:rPr>
        <w:t>’</w:t>
      </w:r>
      <w:r w:rsidRPr="001B4A19">
        <w:rPr>
          <w:b/>
          <w:bCs/>
          <w:lang w:val="fr-FR"/>
        </w:rPr>
        <w:t>État partie</w:t>
      </w:r>
      <w:r w:rsidR="001B4A19">
        <w:rPr>
          <w:lang w:val="fr-FR"/>
        </w:rPr>
        <w:t> </w:t>
      </w:r>
      <w:r w:rsidRPr="00D25381">
        <w:rPr>
          <w:lang w:val="fr-FR"/>
        </w:rPr>
        <w:t>:</w:t>
      </w:r>
    </w:p>
    <w:p w14:paraId="5B132C9A" w14:textId="131ECEDD" w:rsidR="00D25381" w:rsidRPr="00C0187D" w:rsidRDefault="001B4A19" w:rsidP="00C0187D">
      <w:pPr>
        <w:pStyle w:val="SingleTxt"/>
        <w:rPr>
          <w:b/>
          <w:bCs/>
          <w:lang w:val="fr-FR"/>
        </w:rPr>
      </w:pPr>
      <w:r w:rsidRPr="00C0187D">
        <w:rPr>
          <w:b/>
          <w:bCs/>
          <w:lang w:val="fr-FR"/>
        </w:rPr>
        <w:tab/>
      </w:r>
      <w:r w:rsidR="00D25381" w:rsidRPr="00C0187D">
        <w:rPr>
          <w:b/>
          <w:bCs/>
          <w:lang w:val="fr-FR"/>
        </w:rPr>
        <w:t>a)</w:t>
      </w:r>
      <w:r w:rsidR="00D25381" w:rsidRPr="00C0187D">
        <w:rPr>
          <w:b/>
          <w:bCs/>
          <w:lang w:val="fr-FR"/>
        </w:rPr>
        <w:tab/>
        <w:t>de modifier sa législation relative à l</w:t>
      </w:r>
      <w:r w:rsidR="00070383">
        <w:rPr>
          <w:b/>
          <w:bCs/>
          <w:lang w:val="fr-FR"/>
        </w:rPr>
        <w:t>’</w:t>
      </w:r>
      <w:r w:rsidR="00D25381" w:rsidRPr="00C0187D">
        <w:rPr>
          <w:b/>
          <w:bCs/>
          <w:lang w:val="fr-FR"/>
        </w:rPr>
        <w:t>immigration de façon à faciliter l</w:t>
      </w:r>
      <w:r w:rsidR="00070383">
        <w:rPr>
          <w:b/>
          <w:bCs/>
          <w:lang w:val="fr-FR"/>
        </w:rPr>
        <w:t>’</w:t>
      </w:r>
      <w:r w:rsidR="00D25381" w:rsidRPr="00C0187D">
        <w:rPr>
          <w:b/>
          <w:bCs/>
          <w:lang w:val="fr-FR"/>
        </w:rPr>
        <w:t>octroi de permis de séjour permanent aux mères d</w:t>
      </w:r>
      <w:r w:rsidR="00070383">
        <w:rPr>
          <w:b/>
          <w:bCs/>
          <w:lang w:val="fr-FR"/>
        </w:rPr>
        <w:t>’</w:t>
      </w:r>
      <w:r w:rsidR="00D25381" w:rsidRPr="00C0187D">
        <w:rPr>
          <w:b/>
          <w:bCs/>
          <w:lang w:val="fr-FR"/>
        </w:rPr>
        <w:t>enfants de nationalité néo</w:t>
      </w:r>
      <w:r w:rsidR="008D4BA2">
        <w:rPr>
          <w:b/>
          <w:bCs/>
          <w:lang w:val="fr-FR"/>
        </w:rPr>
        <w:noBreakHyphen/>
      </w:r>
      <w:r w:rsidR="00D25381" w:rsidRPr="00C0187D">
        <w:rPr>
          <w:b/>
          <w:bCs/>
          <w:lang w:val="fr-FR"/>
        </w:rPr>
        <w:t>zélandaise</w:t>
      </w:r>
      <w:r w:rsidR="00C0187D">
        <w:rPr>
          <w:b/>
          <w:bCs/>
          <w:lang w:val="fr-FR"/>
        </w:rPr>
        <w:t> ;</w:t>
      </w:r>
      <w:r w:rsidR="00D25381" w:rsidRPr="00C0187D">
        <w:rPr>
          <w:b/>
          <w:bCs/>
          <w:lang w:val="fr-FR"/>
        </w:rPr>
        <w:t xml:space="preserve"> </w:t>
      </w:r>
    </w:p>
    <w:p w14:paraId="09A2E8BD" w14:textId="1FF2AEE2" w:rsidR="00D25381" w:rsidRPr="00C0187D" w:rsidRDefault="001B4A19" w:rsidP="00C0187D">
      <w:pPr>
        <w:pStyle w:val="SingleTxt"/>
        <w:rPr>
          <w:b/>
          <w:bCs/>
          <w:lang w:val="fr-FR"/>
        </w:rPr>
      </w:pPr>
      <w:r w:rsidRPr="00C0187D">
        <w:rPr>
          <w:b/>
          <w:bCs/>
          <w:lang w:val="fr-FR"/>
        </w:rPr>
        <w:tab/>
      </w:r>
      <w:r w:rsidR="00D25381" w:rsidRPr="00C0187D">
        <w:rPr>
          <w:b/>
          <w:bCs/>
          <w:lang w:val="fr-FR"/>
        </w:rPr>
        <w:t>b)</w:t>
      </w:r>
      <w:r w:rsidR="00D25381" w:rsidRPr="00C0187D">
        <w:rPr>
          <w:b/>
          <w:bCs/>
          <w:lang w:val="fr-FR"/>
        </w:rPr>
        <w:tab/>
        <w:t>de veiller à ce que les migrantes victimes de violences, et notamment de violences familiales, puissent trouver refuge dans des foyers, bénéficier de conseils juridiques et psychologiques, et avoir accès à des services de réadaptation et autres services d</w:t>
      </w:r>
      <w:r w:rsidR="00070383">
        <w:rPr>
          <w:b/>
          <w:bCs/>
          <w:lang w:val="fr-FR"/>
        </w:rPr>
        <w:t>’</w:t>
      </w:r>
      <w:r w:rsidR="00D25381" w:rsidRPr="00C0187D">
        <w:rPr>
          <w:b/>
          <w:bCs/>
          <w:lang w:val="fr-FR"/>
        </w:rPr>
        <w:t>accompagnement</w:t>
      </w:r>
      <w:r w:rsidR="00C0187D">
        <w:rPr>
          <w:b/>
          <w:bCs/>
          <w:lang w:val="fr-FR"/>
        </w:rPr>
        <w:t> ;</w:t>
      </w:r>
    </w:p>
    <w:p w14:paraId="49C75780" w14:textId="6C1B7C1D" w:rsidR="00D25381" w:rsidRDefault="001B4A19" w:rsidP="00C0187D">
      <w:pPr>
        <w:pStyle w:val="SingleTxt"/>
        <w:rPr>
          <w:b/>
          <w:bCs/>
          <w:lang w:val="fr-FR"/>
        </w:rPr>
      </w:pPr>
      <w:r w:rsidRPr="00C0187D">
        <w:rPr>
          <w:b/>
          <w:bCs/>
          <w:lang w:val="fr-FR"/>
        </w:rPr>
        <w:tab/>
      </w:r>
      <w:r w:rsidR="00D25381" w:rsidRPr="00C0187D">
        <w:rPr>
          <w:b/>
          <w:bCs/>
          <w:lang w:val="fr-FR"/>
        </w:rPr>
        <w:t>c)</w:t>
      </w:r>
      <w:r w:rsidR="00D25381" w:rsidRPr="00C0187D">
        <w:rPr>
          <w:b/>
          <w:bCs/>
          <w:lang w:val="fr-FR"/>
        </w:rPr>
        <w:tab/>
        <w:t>de créer les conditions requises pour permettre aux migrantes de saisir la justice, notamment en les informant correctement de leurs droits et des recours dont elles disposent, y compris de la voie à suivre pour porter plainte en cas de violation de ces droits, et ce</w:t>
      </w:r>
      <w:r w:rsidR="007A562F">
        <w:rPr>
          <w:b/>
          <w:bCs/>
          <w:lang w:val="fr-FR"/>
        </w:rPr>
        <w:t>,</w:t>
      </w:r>
      <w:r w:rsidR="00D25381" w:rsidRPr="00C0187D">
        <w:rPr>
          <w:b/>
          <w:bCs/>
          <w:lang w:val="fr-FR"/>
        </w:rPr>
        <w:t xml:space="preserve"> en des termes qu</w:t>
      </w:r>
      <w:r w:rsidR="00070383">
        <w:rPr>
          <w:b/>
          <w:bCs/>
          <w:lang w:val="fr-FR"/>
        </w:rPr>
        <w:t>’</w:t>
      </w:r>
      <w:r w:rsidR="00D25381" w:rsidRPr="00C0187D">
        <w:rPr>
          <w:b/>
          <w:bCs/>
          <w:lang w:val="fr-FR"/>
        </w:rPr>
        <w:t>elles soient à même de comprendre.</w:t>
      </w:r>
    </w:p>
    <w:p w14:paraId="250E8E10" w14:textId="3A6CCF82" w:rsidR="00C0187D" w:rsidRPr="00C0187D" w:rsidRDefault="00C0187D" w:rsidP="00C0187D">
      <w:pPr>
        <w:pStyle w:val="SingleTxt"/>
        <w:spacing w:after="0" w:line="120" w:lineRule="exact"/>
        <w:rPr>
          <w:sz w:val="10"/>
          <w:lang w:val="fr-FR"/>
        </w:rPr>
      </w:pPr>
    </w:p>
    <w:p w14:paraId="7F74B638" w14:textId="2E02D0A7" w:rsidR="00D25381" w:rsidRDefault="00D25381" w:rsidP="00C018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25381">
        <w:rPr>
          <w:lang w:val="fr-FR"/>
        </w:rPr>
        <w:tab/>
      </w:r>
      <w:r w:rsidRPr="00D25381">
        <w:rPr>
          <w:lang w:val="fr-FR"/>
        </w:rPr>
        <w:tab/>
      </w:r>
      <w:r w:rsidR="00C0187D">
        <w:rPr>
          <w:lang w:val="fr-FR"/>
        </w:rPr>
        <w:t>Mariage et relations familiales</w:t>
      </w:r>
    </w:p>
    <w:p w14:paraId="3D0B602C" w14:textId="78755917" w:rsidR="00C0187D" w:rsidRPr="00C0187D" w:rsidRDefault="00C0187D" w:rsidP="00C0187D">
      <w:pPr>
        <w:pStyle w:val="SingleTxt"/>
        <w:spacing w:after="0" w:line="120" w:lineRule="exact"/>
        <w:rPr>
          <w:sz w:val="10"/>
          <w:lang w:val="fr-FR"/>
        </w:rPr>
      </w:pPr>
    </w:p>
    <w:p w14:paraId="3B7F71B0" w14:textId="1A1C9301" w:rsidR="00D25381" w:rsidRPr="00D25381" w:rsidRDefault="00D25381" w:rsidP="00C0187D">
      <w:pPr>
        <w:pStyle w:val="SingleTxt"/>
        <w:numPr>
          <w:ilvl w:val="0"/>
          <w:numId w:val="17"/>
        </w:numPr>
        <w:spacing w:line="240" w:lineRule="exact"/>
        <w:ind w:left="1267"/>
        <w:rPr>
          <w:lang w:val="fr-FR"/>
        </w:rPr>
      </w:pPr>
      <w:r w:rsidRPr="00D25381">
        <w:rPr>
          <w:lang w:val="fr-FR"/>
        </w:rPr>
        <w:t>Le Comité prend note de l</w:t>
      </w:r>
      <w:r w:rsidR="00070383">
        <w:rPr>
          <w:lang w:val="fr-FR"/>
        </w:rPr>
        <w:t>’</w:t>
      </w:r>
      <w:r w:rsidRPr="00D25381">
        <w:rPr>
          <w:lang w:val="fr-FR"/>
        </w:rPr>
        <w:t xml:space="preserve">adoption de la loi de </w:t>
      </w:r>
      <w:r w:rsidRPr="00E26C4F">
        <w:rPr>
          <w:lang w:val="fr-FR"/>
        </w:rPr>
        <w:t>2013</w:t>
      </w:r>
      <w:r w:rsidRPr="00D25381">
        <w:rPr>
          <w:lang w:val="fr-FR"/>
        </w:rPr>
        <w:t xml:space="preserve"> portant modification de la loi sur le mariage (Définition du mariage), qui permet à des couples adultes de se marier qu</w:t>
      </w:r>
      <w:r w:rsidR="00070383">
        <w:rPr>
          <w:lang w:val="fr-FR"/>
        </w:rPr>
        <w:t>’</w:t>
      </w:r>
      <w:r w:rsidRPr="00D25381">
        <w:rPr>
          <w:lang w:val="fr-FR"/>
        </w:rPr>
        <w:t xml:space="preserve">ils soient hétérosexuels ou homosexuels. Il est toutefois préoccupé par les situations difficiles auxquelles doivent faire face les tribunaux des affaires familiales, comme en témoignent les affaires de maltraitance, et plus encore de violences familiales, infligées aux femmes. Tout en se félicitant de la prochaine révision des tribunaux des affaires familiales annoncée par le Ministre de la justice, le Comité craint que cette révision se concentre sur les seules réformes de </w:t>
      </w:r>
      <w:r w:rsidRPr="00E26C4F">
        <w:rPr>
          <w:lang w:val="fr-FR"/>
        </w:rPr>
        <w:t>2014</w:t>
      </w:r>
      <w:r w:rsidRPr="00D25381">
        <w:rPr>
          <w:lang w:val="fr-FR"/>
        </w:rPr>
        <w:t xml:space="preserve"> et n</w:t>
      </w:r>
      <w:r w:rsidR="00070383">
        <w:rPr>
          <w:lang w:val="fr-FR"/>
        </w:rPr>
        <w:t>’</w:t>
      </w:r>
      <w:r w:rsidRPr="00D25381">
        <w:rPr>
          <w:lang w:val="fr-FR"/>
        </w:rPr>
        <w:t>étudie pas les causes profondes des réactions de méfiance et d</w:t>
      </w:r>
      <w:r w:rsidR="00070383">
        <w:rPr>
          <w:lang w:val="fr-FR"/>
        </w:rPr>
        <w:t>’</w:t>
      </w:r>
      <w:r w:rsidRPr="00D25381">
        <w:rPr>
          <w:lang w:val="fr-FR"/>
        </w:rPr>
        <w:t>insensibilité qui semblent bien ancrées à l</w:t>
      </w:r>
      <w:r w:rsidR="00070383">
        <w:rPr>
          <w:lang w:val="fr-FR"/>
        </w:rPr>
        <w:t>’</w:t>
      </w:r>
      <w:r w:rsidRPr="00D25381">
        <w:rPr>
          <w:lang w:val="fr-FR"/>
        </w:rPr>
        <w:t>encontre des femmes victimes de violences familiales. Il est également préoccupé de constater que</w:t>
      </w:r>
      <w:r w:rsidR="00C0187D">
        <w:rPr>
          <w:lang w:val="fr-FR"/>
        </w:rPr>
        <w:t> </w:t>
      </w:r>
      <w:r w:rsidRPr="00D25381">
        <w:rPr>
          <w:lang w:val="fr-FR"/>
        </w:rPr>
        <w:t>:</w:t>
      </w:r>
    </w:p>
    <w:p w14:paraId="233943C8" w14:textId="6B66CB5D" w:rsidR="00D25381" w:rsidRPr="00D25381" w:rsidRDefault="00C0187D" w:rsidP="00C0187D">
      <w:pPr>
        <w:pStyle w:val="SingleTxt"/>
        <w:rPr>
          <w:lang w:val="fr-FR"/>
        </w:rPr>
      </w:pPr>
      <w:r>
        <w:rPr>
          <w:lang w:val="fr-FR"/>
        </w:rPr>
        <w:tab/>
      </w:r>
      <w:r w:rsidR="00D25381" w:rsidRPr="00D25381">
        <w:rPr>
          <w:lang w:val="fr-FR"/>
        </w:rPr>
        <w:t>a)</w:t>
      </w:r>
      <w:r w:rsidR="00D25381" w:rsidRPr="00D25381">
        <w:rPr>
          <w:lang w:val="fr-FR"/>
        </w:rPr>
        <w:tab/>
        <w:t>sur l</w:t>
      </w:r>
      <w:r w:rsidR="00070383">
        <w:rPr>
          <w:lang w:val="fr-FR"/>
        </w:rPr>
        <w:t>’</w:t>
      </w:r>
      <w:r w:rsidR="00D25381" w:rsidRPr="00D25381">
        <w:rPr>
          <w:lang w:val="fr-FR"/>
        </w:rPr>
        <w:t>ensemble d</w:t>
      </w:r>
      <w:r w:rsidR="00070383">
        <w:rPr>
          <w:lang w:val="fr-FR"/>
        </w:rPr>
        <w:t>’</w:t>
      </w:r>
      <w:r w:rsidR="00D25381" w:rsidRPr="00D25381">
        <w:rPr>
          <w:lang w:val="fr-FR"/>
        </w:rPr>
        <w:t>affaires portées devant la justice suite à des signalements de violences, il n</w:t>
      </w:r>
      <w:r w:rsidR="00070383">
        <w:rPr>
          <w:lang w:val="fr-FR"/>
        </w:rPr>
        <w:t>’</w:t>
      </w:r>
      <w:r w:rsidR="00D25381" w:rsidRPr="00D25381">
        <w:rPr>
          <w:lang w:val="fr-FR"/>
        </w:rPr>
        <w:t xml:space="preserve">est procédé à une estimation des risques que dans un petit nombre de cas, conséquence du retrait de la clause Bristol décidé lors des réformes intervenues en </w:t>
      </w:r>
      <w:r w:rsidR="00D25381" w:rsidRPr="00E26C4F">
        <w:rPr>
          <w:lang w:val="fr-FR"/>
        </w:rPr>
        <w:t>2014</w:t>
      </w:r>
      <w:r>
        <w:rPr>
          <w:lang w:val="fr-FR"/>
        </w:rPr>
        <w:t> ;</w:t>
      </w:r>
    </w:p>
    <w:p w14:paraId="66EA1723" w14:textId="6194A94B" w:rsidR="00D25381" w:rsidRPr="00D25381" w:rsidRDefault="00C0187D" w:rsidP="00C0187D">
      <w:pPr>
        <w:pStyle w:val="SingleTxt"/>
        <w:rPr>
          <w:lang w:val="fr-FR"/>
        </w:rPr>
      </w:pPr>
      <w:r>
        <w:rPr>
          <w:lang w:val="fr-FR"/>
        </w:rPr>
        <w:tab/>
      </w:r>
      <w:r w:rsidR="00D25381" w:rsidRPr="00D25381">
        <w:rPr>
          <w:lang w:val="fr-FR"/>
        </w:rPr>
        <w:t>b)</w:t>
      </w:r>
      <w:r w:rsidR="00D25381" w:rsidRPr="00D25381">
        <w:rPr>
          <w:lang w:val="fr-FR"/>
        </w:rPr>
        <w:tab/>
        <w:t>la médiation et les cours suivis en commun avec le partenaire sont obligatoires même dans des situations de violences familiales, et même lorsqu</w:t>
      </w:r>
      <w:r w:rsidR="00070383">
        <w:rPr>
          <w:lang w:val="fr-FR"/>
        </w:rPr>
        <w:t>’</w:t>
      </w:r>
      <w:r w:rsidR="00D25381" w:rsidRPr="00D25381">
        <w:rPr>
          <w:lang w:val="fr-FR"/>
        </w:rPr>
        <w:t>une ordonnance de protection a été prononcée, ce qui expose la femme qui en est victime à des risques plus grands</w:t>
      </w:r>
      <w:r>
        <w:rPr>
          <w:lang w:val="fr-FR"/>
        </w:rPr>
        <w:t> ;</w:t>
      </w:r>
      <w:bookmarkStart w:id="16" w:name="_Hlk523388051"/>
      <w:bookmarkEnd w:id="16"/>
    </w:p>
    <w:p w14:paraId="3D867E7E" w14:textId="19C19BA8" w:rsidR="00D25381" w:rsidRPr="00D25381" w:rsidRDefault="00C0187D" w:rsidP="00C0187D">
      <w:pPr>
        <w:pStyle w:val="SingleTxt"/>
        <w:rPr>
          <w:lang w:val="fr-FR"/>
        </w:rPr>
      </w:pPr>
      <w:r>
        <w:rPr>
          <w:lang w:val="fr-FR"/>
        </w:rPr>
        <w:tab/>
      </w:r>
      <w:r w:rsidR="00D25381" w:rsidRPr="00D25381">
        <w:rPr>
          <w:lang w:val="fr-FR"/>
        </w:rPr>
        <w:t>c)</w:t>
      </w:r>
      <w:r w:rsidR="00D25381" w:rsidRPr="00D25381">
        <w:rPr>
          <w:lang w:val="fr-FR"/>
        </w:rPr>
        <w:tab/>
        <w:t>rien n</w:t>
      </w:r>
      <w:r w:rsidR="00070383">
        <w:rPr>
          <w:lang w:val="fr-FR"/>
        </w:rPr>
        <w:t>’</w:t>
      </w:r>
      <w:r w:rsidR="00D25381" w:rsidRPr="00D25381">
        <w:rPr>
          <w:lang w:val="fr-FR"/>
        </w:rPr>
        <w:t>oblige les magistrats à prendre en compte les violences commises à l</w:t>
      </w:r>
      <w:r w:rsidR="00070383">
        <w:rPr>
          <w:lang w:val="fr-FR"/>
        </w:rPr>
        <w:t>’</w:t>
      </w:r>
      <w:r w:rsidR="00D25381" w:rsidRPr="00D25381">
        <w:rPr>
          <w:lang w:val="fr-FR"/>
        </w:rPr>
        <w:t>encontre d</w:t>
      </w:r>
      <w:r w:rsidR="00070383">
        <w:rPr>
          <w:lang w:val="fr-FR"/>
        </w:rPr>
        <w:t>’</w:t>
      </w:r>
      <w:r w:rsidR="00D25381" w:rsidRPr="00D25381">
        <w:rPr>
          <w:lang w:val="fr-FR"/>
        </w:rPr>
        <w:t>une mère ou d</w:t>
      </w:r>
      <w:r w:rsidR="00070383">
        <w:rPr>
          <w:lang w:val="fr-FR"/>
        </w:rPr>
        <w:t>’</w:t>
      </w:r>
      <w:r w:rsidR="00D25381" w:rsidRPr="00D25381">
        <w:rPr>
          <w:lang w:val="fr-FR"/>
        </w:rPr>
        <w:t>un enfant dans les décisions concernant la garde des enfants, de sorte qu</w:t>
      </w:r>
      <w:r w:rsidR="00070383">
        <w:rPr>
          <w:lang w:val="fr-FR"/>
        </w:rPr>
        <w:t>’</w:t>
      </w:r>
      <w:r w:rsidR="00D25381" w:rsidRPr="00D25381">
        <w:rPr>
          <w:lang w:val="fr-FR"/>
        </w:rPr>
        <w:t>ils semblent avoir tendance à recommander une garde partagée même lorsque le père maltraite les enfants ou leur mère</w:t>
      </w:r>
      <w:bookmarkStart w:id="17" w:name="_Hlk523388126"/>
      <w:bookmarkEnd w:id="17"/>
      <w:r>
        <w:rPr>
          <w:lang w:val="fr-FR"/>
        </w:rPr>
        <w:t> ;</w:t>
      </w:r>
    </w:p>
    <w:p w14:paraId="6BAF8D60" w14:textId="337D2FE2" w:rsidR="00D25381" w:rsidRPr="00D25381" w:rsidRDefault="00C0187D" w:rsidP="00C0187D">
      <w:pPr>
        <w:pStyle w:val="SingleTxt"/>
        <w:rPr>
          <w:lang w:val="fr-FR"/>
        </w:rPr>
      </w:pPr>
      <w:r>
        <w:rPr>
          <w:lang w:val="fr-FR"/>
        </w:rPr>
        <w:tab/>
      </w:r>
      <w:r w:rsidR="00D25381" w:rsidRPr="00D25381">
        <w:rPr>
          <w:lang w:val="fr-FR"/>
        </w:rPr>
        <w:t>d)</w:t>
      </w:r>
      <w:r w:rsidR="00D25381" w:rsidRPr="00D25381">
        <w:rPr>
          <w:lang w:val="fr-FR"/>
        </w:rPr>
        <w:tab/>
        <w:t>les tribunaux, les avocats qui défendent des enfants et les travailleurs sociaux invoquent régulièrement le syndrome d</w:t>
      </w:r>
      <w:r w:rsidR="00070383">
        <w:rPr>
          <w:lang w:val="fr-FR"/>
        </w:rPr>
        <w:t>’</w:t>
      </w:r>
      <w:r w:rsidR="00D25381" w:rsidRPr="00D25381">
        <w:rPr>
          <w:lang w:val="fr-FR"/>
        </w:rPr>
        <w:t>aliénation parentale, bien que celui</w:t>
      </w:r>
      <w:r w:rsidR="008D4BA2">
        <w:rPr>
          <w:lang w:val="fr-FR"/>
        </w:rPr>
        <w:noBreakHyphen/>
      </w:r>
      <w:r w:rsidR="00D25381" w:rsidRPr="00D25381">
        <w:rPr>
          <w:lang w:val="fr-FR"/>
        </w:rPr>
        <w:t>ci soit internationalement réfuté</w:t>
      </w:r>
      <w:r>
        <w:rPr>
          <w:lang w:val="fr-FR"/>
        </w:rPr>
        <w:t> ;</w:t>
      </w:r>
    </w:p>
    <w:p w14:paraId="48CF8167" w14:textId="26FD575C" w:rsidR="00D25381" w:rsidRPr="00D25381" w:rsidRDefault="00C0187D" w:rsidP="00C0187D">
      <w:pPr>
        <w:pStyle w:val="SingleTxt"/>
        <w:rPr>
          <w:lang w:val="fr-FR"/>
        </w:rPr>
      </w:pPr>
      <w:r>
        <w:rPr>
          <w:lang w:val="fr-FR"/>
        </w:rPr>
        <w:tab/>
      </w:r>
      <w:r w:rsidR="00D25381" w:rsidRPr="00D25381">
        <w:rPr>
          <w:lang w:val="fr-FR"/>
        </w:rPr>
        <w:t>e)</w:t>
      </w:r>
      <w:r w:rsidR="00D25381" w:rsidRPr="00D25381">
        <w:rPr>
          <w:lang w:val="fr-FR"/>
        </w:rPr>
        <w:tab/>
        <w:t xml:space="preserve">les filles âgées de </w:t>
      </w:r>
      <w:r w:rsidR="00D25381" w:rsidRPr="00E26C4F">
        <w:rPr>
          <w:lang w:val="fr-FR"/>
        </w:rPr>
        <w:t>16</w:t>
      </w:r>
      <w:r w:rsidR="00D25381" w:rsidRPr="00D25381">
        <w:rPr>
          <w:lang w:val="fr-FR"/>
        </w:rPr>
        <w:t xml:space="preserve"> à </w:t>
      </w:r>
      <w:r w:rsidR="00D25381" w:rsidRPr="00E26C4F">
        <w:rPr>
          <w:lang w:val="fr-FR"/>
        </w:rPr>
        <w:t>18</w:t>
      </w:r>
      <w:r w:rsidR="00D25381" w:rsidRPr="00D25381">
        <w:rPr>
          <w:lang w:val="fr-FR"/>
        </w:rPr>
        <w:t xml:space="preserve"> ans peuvent se marier sans le consentement de leurs parents. </w:t>
      </w:r>
    </w:p>
    <w:p w14:paraId="5BA42B0D" w14:textId="64A2BF40" w:rsidR="00D25381" w:rsidRPr="00C0187D" w:rsidRDefault="00D25381" w:rsidP="00C0187D">
      <w:pPr>
        <w:pStyle w:val="SingleTxt"/>
        <w:numPr>
          <w:ilvl w:val="0"/>
          <w:numId w:val="17"/>
        </w:numPr>
        <w:tabs>
          <w:tab w:val="num" w:pos="2804"/>
        </w:tabs>
        <w:spacing w:line="240" w:lineRule="exact"/>
        <w:ind w:left="1267"/>
        <w:rPr>
          <w:b/>
          <w:bCs/>
          <w:lang w:val="fr-FR"/>
        </w:rPr>
      </w:pPr>
      <w:r w:rsidRPr="00C0187D">
        <w:rPr>
          <w:b/>
          <w:bCs/>
          <w:lang w:val="fr-FR"/>
        </w:rPr>
        <w:t>Le Comité réitère ses recommandations précédentes, dans lesquelles elle a appelé l</w:t>
      </w:r>
      <w:r w:rsidR="00070383">
        <w:rPr>
          <w:b/>
          <w:bCs/>
          <w:lang w:val="fr-FR"/>
        </w:rPr>
        <w:t>’</w:t>
      </w:r>
      <w:r w:rsidRPr="00C0187D">
        <w:rPr>
          <w:b/>
          <w:bCs/>
          <w:lang w:val="fr-FR"/>
        </w:rPr>
        <w:t>État partie</w:t>
      </w:r>
      <w:r w:rsidR="00C0187D">
        <w:rPr>
          <w:b/>
          <w:bCs/>
          <w:lang w:val="fr-FR"/>
        </w:rPr>
        <w:t> </w:t>
      </w:r>
      <w:r w:rsidRPr="00C0187D">
        <w:rPr>
          <w:b/>
          <w:bCs/>
          <w:lang w:val="fr-FR"/>
        </w:rPr>
        <w:t>:</w:t>
      </w:r>
    </w:p>
    <w:p w14:paraId="44147B5F" w14:textId="17980CB7" w:rsidR="00D25381" w:rsidRPr="00C0187D" w:rsidRDefault="00C0187D" w:rsidP="00C0187D">
      <w:pPr>
        <w:pStyle w:val="SingleTxt"/>
        <w:rPr>
          <w:b/>
          <w:bCs/>
          <w:lang w:val="fr-FR"/>
        </w:rPr>
      </w:pPr>
      <w:r w:rsidRPr="00C0187D">
        <w:rPr>
          <w:b/>
          <w:bCs/>
          <w:lang w:val="fr-FR"/>
        </w:rPr>
        <w:tab/>
      </w:r>
      <w:r w:rsidR="00D25381" w:rsidRPr="00C0187D">
        <w:rPr>
          <w:b/>
          <w:bCs/>
          <w:lang w:val="fr-FR"/>
        </w:rPr>
        <w:t>a)</w:t>
      </w:r>
      <w:r w:rsidR="00D25381" w:rsidRPr="00C0187D">
        <w:rPr>
          <w:b/>
          <w:bCs/>
          <w:lang w:val="fr-FR"/>
        </w:rPr>
        <w:tab/>
        <w:t>à charger une commission d</w:t>
      </w:r>
      <w:r w:rsidR="00070383">
        <w:rPr>
          <w:b/>
          <w:bCs/>
          <w:lang w:val="fr-FR"/>
        </w:rPr>
        <w:t>’</w:t>
      </w:r>
      <w:r w:rsidR="00D25381" w:rsidRPr="00C0187D">
        <w:rPr>
          <w:b/>
          <w:bCs/>
          <w:lang w:val="fr-FR"/>
        </w:rPr>
        <w:t>enquête royale dotée d</w:t>
      </w:r>
      <w:r w:rsidR="00070383">
        <w:rPr>
          <w:b/>
          <w:bCs/>
          <w:lang w:val="fr-FR"/>
        </w:rPr>
        <w:t>’</w:t>
      </w:r>
      <w:r w:rsidR="00D25381" w:rsidRPr="00C0187D">
        <w:rPr>
          <w:b/>
          <w:bCs/>
          <w:lang w:val="fr-FR"/>
        </w:rPr>
        <w:t>un mandat indépendant de</w:t>
      </w:r>
      <w:r w:rsidR="006C377A">
        <w:rPr>
          <w:b/>
          <w:bCs/>
          <w:lang w:val="fr-FR"/>
        </w:rPr>
        <w:t xml:space="preserve"> </w:t>
      </w:r>
      <w:r w:rsidR="00D25381" w:rsidRPr="00C0187D">
        <w:rPr>
          <w:b/>
          <w:bCs/>
          <w:lang w:val="fr-FR"/>
        </w:rPr>
        <w:t>procéder à une évaluation de grande ampleur des handicaps auxquels les femmes doivent faire face, des entraves à l</w:t>
      </w:r>
      <w:r w:rsidR="00070383">
        <w:rPr>
          <w:b/>
          <w:bCs/>
          <w:lang w:val="fr-FR"/>
        </w:rPr>
        <w:t>’</w:t>
      </w:r>
      <w:r w:rsidR="00D25381" w:rsidRPr="00C0187D">
        <w:rPr>
          <w:b/>
          <w:bCs/>
          <w:lang w:val="fr-FR"/>
        </w:rPr>
        <w:t>exercice de la justice qu</w:t>
      </w:r>
      <w:r w:rsidR="00070383">
        <w:rPr>
          <w:b/>
          <w:bCs/>
          <w:lang w:val="fr-FR"/>
        </w:rPr>
        <w:t>’</w:t>
      </w:r>
      <w:r w:rsidR="00D25381" w:rsidRPr="00C0187D">
        <w:rPr>
          <w:b/>
          <w:bCs/>
          <w:lang w:val="fr-FR"/>
        </w:rPr>
        <w:t>elles subissent et des facteurs propres au système des tribunaux des affaires familiales qui font obstacle à leur sécurité, et de proposer les modifications législatives et structurelles nécessaires pour faire en sorte que ces tribunaux rendent à l</w:t>
      </w:r>
      <w:r w:rsidR="00070383">
        <w:rPr>
          <w:b/>
          <w:bCs/>
          <w:lang w:val="fr-FR"/>
        </w:rPr>
        <w:t>’</w:t>
      </w:r>
      <w:r w:rsidR="00D25381" w:rsidRPr="00C0187D">
        <w:rPr>
          <w:b/>
          <w:bCs/>
          <w:lang w:val="fr-FR"/>
        </w:rPr>
        <w:t>égard des femmes et des enfants des décisions qui soient justes et ne mettent pas en péril leur sécurité, en particulier dans les dossiers de violences familiales</w:t>
      </w:r>
      <w:r>
        <w:rPr>
          <w:b/>
          <w:bCs/>
          <w:lang w:val="fr-FR"/>
        </w:rPr>
        <w:t> ;</w:t>
      </w:r>
    </w:p>
    <w:p w14:paraId="60CDC9B2" w14:textId="2BDDD22C" w:rsidR="00D25381" w:rsidRPr="00C0187D" w:rsidRDefault="00C0187D" w:rsidP="00C0187D">
      <w:pPr>
        <w:pStyle w:val="SingleTxt"/>
        <w:rPr>
          <w:b/>
          <w:bCs/>
          <w:lang w:val="fr-FR"/>
        </w:rPr>
      </w:pPr>
      <w:r w:rsidRPr="00C0187D">
        <w:rPr>
          <w:b/>
          <w:bCs/>
          <w:lang w:val="fr-FR"/>
        </w:rPr>
        <w:tab/>
      </w:r>
      <w:r w:rsidR="00D25381" w:rsidRPr="00C0187D">
        <w:rPr>
          <w:b/>
          <w:bCs/>
          <w:lang w:val="fr-FR"/>
        </w:rPr>
        <w:t>b)</w:t>
      </w:r>
      <w:r w:rsidR="00D25381" w:rsidRPr="00C0187D">
        <w:rPr>
          <w:b/>
          <w:bCs/>
          <w:lang w:val="fr-FR"/>
        </w:rPr>
        <w:tab/>
        <w:t>à prendre toutes les mesures nécessaires, y compris l</w:t>
      </w:r>
      <w:r w:rsidR="00070383">
        <w:rPr>
          <w:b/>
          <w:bCs/>
          <w:lang w:val="fr-FR"/>
        </w:rPr>
        <w:t>’</w:t>
      </w:r>
      <w:r w:rsidR="00D25381" w:rsidRPr="00C0187D">
        <w:rPr>
          <w:b/>
          <w:bCs/>
          <w:lang w:val="fr-FR"/>
        </w:rPr>
        <w:t>adoption de textes de loi et de principes directeurs, conformément à la recommandation générale n</w:t>
      </w:r>
      <w:r w:rsidR="00D25381" w:rsidRPr="00C0187D">
        <w:rPr>
          <w:b/>
          <w:bCs/>
          <w:vertAlign w:val="superscript"/>
          <w:lang w:val="fr-FR"/>
        </w:rPr>
        <w:t>o</w:t>
      </w:r>
      <w:r w:rsidR="00D25381" w:rsidRPr="00C0187D">
        <w:rPr>
          <w:b/>
          <w:bCs/>
          <w:lang w:val="fr-FR"/>
        </w:rPr>
        <w:t xml:space="preserve"> </w:t>
      </w:r>
      <w:r w:rsidR="00D25381" w:rsidRPr="00E26C4F">
        <w:rPr>
          <w:b/>
          <w:bCs/>
          <w:lang w:val="fr-FR"/>
        </w:rPr>
        <w:t>35</w:t>
      </w:r>
      <w:r w:rsidR="00D25381" w:rsidRPr="00C0187D">
        <w:rPr>
          <w:b/>
          <w:bCs/>
          <w:lang w:val="fr-FR"/>
        </w:rPr>
        <w:t>, pour réinstaurer la clause Bristol et veiller à ce que les femmes victimes de violences familiales ne soient pas contraintes d</w:t>
      </w:r>
      <w:r w:rsidR="00070383">
        <w:rPr>
          <w:b/>
          <w:bCs/>
          <w:lang w:val="fr-FR"/>
        </w:rPr>
        <w:t>’</w:t>
      </w:r>
      <w:r w:rsidR="00D25381" w:rsidRPr="00C0187D">
        <w:rPr>
          <w:b/>
          <w:bCs/>
          <w:lang w:val="fr-FR"/>
        </w:rPr>
        <w:t>accepter que leur dossier soit réglé par des voies extrajudiciaires, comme une médiation obligatoire</w:t>
      </w:r>
      <w:r>
        <w:rPr>
          <w:b/>
          <w:bCs/>
          <w:lang w:val="fr-FR"/>
        </w:rPr>
        <w:t> ;</w:t>
      </w:r>
    </w:p>
    <w:p w14:paraId="51BF97DE" w14:textId="7DF62D6D" w:rsidR="00D25381" w:rsidRPr="00C0187D" w:rsidRDefault="00C0187D" w:rsidP="00C0187D">
      <w:pPr>
        <w:pStyle w:val="SingleTxt"/>
        <w:rPr>
          <w:b/>
          <w:bCs/>
          <w:lang w:val="fr-FR"/>
        </w:rPr>
      </w:pPr>
      <w:r w:rsidRPr="00C0187D">
        <w:rPr>
          <w:b/>
          <w:bCs/>
          <w:lang w:val="fr-FR"/>
        </w:rPr>
        <w:tab/>
      </w:r>
      <w:r w:rsidR="00D25381" w:rsidRPr="00C0187D">
        <w:rPr>
          <w:b/>
          <w:bCs/>
          <w:lang w:val="fr-FR"/>
        </w:rPr>
        <w:t>c)</w:t>
      </w:r>
      <w:r w:rsidR="00D25381" w:rsidRPr="00C0187D">
        <w:rPr>
          <w:b/>
          <w:bCs/>
          <w:lang w:val="fr-FR"/>
        </w:rPr>
        <w:tab/>
        <w:t>à prendre toutes les mesures nécessaires, y compris l</w:t>
      </w:r>
      <w:r w:rsidR="00070383">
        <w:rPr>
          <w:b/>
          <w:bCs/>
          <w:lang w:val="fr-FR"/>
        </w:rPr>
        <w:t>’</w:t>
      </w:r>
      <w:r w:rsidR="00D25381" w:rsidRPr="00C0187D">
        <w:rPr>
          <w:b/>
          <w:bCs/>
          <w:lang w:val="fr-FR"/>
        </w:rPr>
        <w:t>adoption de textes de lois et de principes directeurs, pour veiller à ce que les violences familiales commises sur la personne d</w:t>
      </w:r>
      <w:r w:rsidR="00070383">
        <w:rPr>
          <w:b/>
          <w:bCs/>
          <w:lang w:val="fr-FR"/>
        </w:rPr>
        <w:t>’</w:t>
      </w:r>
      <w:r w:rsidR="00D25381" w:rsidRPr="00C0187D">
        <w:rPr>
          <w:b/>
          <w:bCs/>
          <w:lang w:val="fr-FR"/>
        </w:rPr>
        <w:t>un enfant ou de sa mère soit prises en compte dans les litiges relatifs à la garde des enfants, en particulier lorsqu</w:t>
      </w:r>
      <w:r w:rsidR="00070383">
        <w:rPr>
          <w:b/>
          <w:bCs/>
          <w:lang w:val="fr-FR"/>
        </w:rPr>
        <w:t>’</w:t>
      </w:r>
      <w:r w:rsidR="00D25381" w:rsidRPr="00C0187D">
        <w:rPr>
          <w:b/>
          <w:bCs/>
          <w:lang w:val="fr-FR"/>
        </w:rPr>
        <w:t>une garde partagée est envisagée, et à s</w:t>
      </w:r>
      <w:r w:rsidR="00070383">
        <w:rPr>
          <w:b/>
          <w:bCs/>
          <w:lang w:val="fr-FR"/>
        </w:rPr>
        <w:t>’</w:t>
      </w:r>
      <w:r w:rsidR="00D25381" w:rsidRPr="00C0187D">
        <w:rPr>
          <w:b/>
          <w:bCs/>
          <w:lang w:val="fr-FR"/>
        </w:rPr>
        <w:t>interroger sur les conséquences de la garde partagée sur le développement et le bien-être des enfants</w:t>
      </w:r>
      <w:r>
        <w:rPr>
          <w:b/>
          <w:bCs/>
          <w:lang w:val="fr-FR"/>
        </w:rPr>
        <w:t> ;</w:t>
      </w:r>
    </w:p>
    <w:p w14:paraId="3E31F032" w14:textId="1B49517D" w:rsidR="00D25381" w:rsidRPr="00C0187D" w:rsidRDefault="00C0187D" w:rsidP="00C0187D">
      <w:pPr>
        <w:pStyle w:val="SingleTxt"/>
        <w:rPr>
          <w:b/>
          <w:bCs/>
          <w:lang w:val="fr-FR"/>
        </w:rPr>
      </w:pPr>
      <w:r w:rsidRPr="00C0187D">
        <w:rPr>
          <w:b/>
          <w:bCs/>
          <w:lang w:val="fr-FR"/>
        </w:rPr>
        <w:tab/>
      </w:r>
      <w:r w:rsidR="00D25381" w:rsidRPr="00C0187D">
        <w:rPr>
          <w:b/>
          <w:bCs/>
          <w:lang w:val="fr-FR"/>
        </w:rPr>
        <w:t>d)</w:t>
      </w:r>
      <w:r w:rsidR="00D25381" w:rsidRPr="00C0187D">
        <w:rPr>
          <w:b/>
          <w:bCs/>
          <w:lang w:val="fr-FR"/>
        </w:rPr>
        <w:tab/>
        <w:t>à se pencher sur la théorie mettant en avant le syndrome d</w:t>
      </w:r>
      <w:r w:rsidR="00070383">
        <w:rPr>
          <w:b/>
          <w:bCs/>
          <w:lang w:val="fr-FR"/>
        </w:rPr>
        <w:t>’</w:t>
      </w:r>
      <w:r w:rsidR="00D25381" w:rsidRPr="00C0187D">
        <w:rPr>
          <w:b/>
          <w:bCs/>
          <w:lang w:val="fr-FR"/>
        </w:rPr>
        <w:t>aliénation parentale, afin d</w:t>
      </w:r>
      <w:r w:rsidR="00070383">
        <w:rPr>
          <w:b/>
          <w:bCs/>
          <w:lang w:val="fr-FR"/>
        </w:rPr>
        <w:t>’</w:t>
      </w:r>
      <w:r w:rsidR="00D25381" w:rsidRPr="00C0187D">
        <w:rPr>
          <w:b/>
          <w:bCs/>
          <w:lang w:val="fr-FR"/>
        </w:rPr>
        <w:t>en limiter l</w:t>
      </w:r>
      <w:r w:rsidR="00070383">
        <w:rPr>
          <w:b/>
          <w:bCs/>
          <w:lang w:val="fr-FR"/>
        </w:rPr>
        <w:t>’</w:t>
      </w:r>
      <w:r w:rsidR="00D25381" w:rsidRPr="00C0187D">
        <w:rPr>
          <w:b/>
          <w:bCs/>
          <w:lang w:val="fr-FR"/>
        </w:rPr>
        <w:t>invocation dans les litiges relatifs à la garde des enfants</w:t>
      </w:r>
      <w:r>
        <w:rPr>
          <w:b/>
          <w:bCs/>
          <w:lang w:val="fr-FR"/>
        </w:rPr>
        <w:t> ;</w:t>
      </w:r>
    </w:p>
    <w:p w14:paraId="1CD8921F" w14:textId="44756BFC" w:rsidR="00D25381" w:rsidRDefault="00C0187D" w:rsidP="00C0187D">
      <w:pPr>
        <w:pStyle w:val="SingleTxt"/>
        <w:rPr>
          <w:b/>
          <w:bCs/>
          <w:lang w:val="fr-FR"/>
        </w:rPr>
      </w:pPr>
      <w:r w:rsidRPr="00C0187D">
        <w:rPr>
          <w:b/>
          <w:bCs/>
          <w:lang w:val="fr-FR"/>
        </w:rPr>
        <w:tab/>
      </w:r>
      <w:r w:rsidR="00D25381" w:rsidRPr="00C0187D">
        <w:rPr>
          <w:b/>
          <w:bCs/>
          <w:lang w:val="fr-FR"/>
        </w:rPr>
        <w:t>e)</w:t>
      </w:r>
      <w:r w:rsidR="00D25381" w:rsidRPr="00C0187D">
        <w:rPr>
          <w:b/>
          <w:bCs/>
          <w:lang w:val="fr-FR"/>
        </w:rPr>
        <w:tab/>
        <w:t>à accélérer l</w:t>
      </w:r>
      <w:r w:rsidR="00070383">
        <w:rPr>
          <w:b/>
          <w:bCs/>
          <w:lang w:val="fr-FR"/>
        </w:rPr>
        <w:t>’</w:t>
      </w:r>
      <w:r w:rsidR="00D25381" w:rsidRPr="00C0187D">
        <w:rPr>
          <w:b/>
          <w:bCs/>
          <w:lang w:val="fr-FR"/>
        </w:rPr>
        <w:t>adoption du projet de loi portant modification du consentement judiciaire au mariage de mineurs, afin d</w:t>
      </w:r>
      <w:r w:rsidR="00070383">
        <w:rPr>
          <w:b/>
          <w:bCs/>
          <w:lang w:val="fr-FR"/>
        </w:rPr>
        <w:t>’</w:t>
      </w:r>
      <w:r w:rsidR="00D25381" w:rsidRPr="00C0187D">
        <w:rPr>
          <w:b/>
          <w:bCs/>
          <w:lang w:val="fr-FR"/>
        </w:rPr>
        <w:t xml:space="preserve">exclure entièrement que le consentement parental suffise à autoriser le mariage de mineurs de moins de </w:t>
      </w:r>
      <w:r w:rsidR="00D25381" w:rsidRPr="00E26C4F">
        <w:rPr>
          <w:b/>
          <w:bCs/>
          <w:lang w:val="fr-FR"/>
        </w:rPr>
        <w:t>18</w:t>
      </w:r>
      <w:r w:rsidR="00D25381" w:rsidRPr="00C0187D">
        <w:rPr>
          <w:b/>
          <w:bCs/>
          <w:lang w:val="fr-FR"/>
        </w:rPr>
        <w:t xml:space="preserve"> ans, et que les tribunaux ne valident qu</w:t>
      </w:r>
      <w:r w:rsidR="00070383">
        <w:rPr>
          <w:b/>
          <w:bCs/>
          <w:lang w:val="fr-FR"/>
        </w:rPr>
        <w:t>’</w:t>
      </w:r>
      <w:r w:rsidR="00D25381" w:rsidRPr="00C0187D">
        <w:rPr>
          <w:b/>
          <w:bCs/>
          <w:lang w:val="fr-FR"/>
        </w:rPr>
        <w:t xml:space="preserve">à titre exceptionnel les unions impliquant des mineurs ayant </w:t>
      </w:r>
      <w:r>
        <w:rPr>
          <w:b/>
          <w:bCs/>
          <w:lang w:val="fr-FR"/>
        </w:rPr>
        <w:t xml:space="preserve">entre </w:t>
      </w:r>
      <w:r w:rsidRPr="00E26C4F">
        <w:rPr>
          <w:b/>
          <w:bCs/>
          <w:lang w:val="fr-FR"/>
        </w:rPr>
        <w:t>16</w:t>
      </w:r>
      <w:r>
        <w:rPr>
          <w:b/>
          <w:bCs/>
          <w:lang w:val="fr-FR"/>
        </w:rPr>
        <w:t xml:space="preserve"> et </w:t>
      </w:r>
      <w:r w:rsidRPr="00E26C4F">
        <w:rPr>
          <w:b/>
          <w:bCs/>
          <w:lang w:val="fr-FR"/>
        </w:rPr>
        <w:t>18</w:t>
      </w:r>
      <w:r>
        <w:rPr>
          <w:b/>
          <w:bCs/>
          <w:lang w:val="fr-FR"/>
        </w:rPr>
        <w:t xml:space="preserve"> ans.</w:t>
      </w:r>
    </w:p>
    <w:p w14:paraId="130CBBA1" w14:textId="6A86C44F" w:rsidR="00C0187D" w:rsidRPr="00C0187D" w:rsidRDefault="00C0187D" w:rsidP="00C0187D">
      <w:pPr>
        <w:pStyle w:val="SingleTxt"/>
        <w:spacing w:after="0" w:line="120" w:lineRule="exact"/>
        <w:rPr>
          <w:sz w:val="10"/>
          <w:lang w:val="fr-FR"/>
        </w:rPr>
      </w:pPr>
    </w:p>
    <w:p w14:paraId="3B6A6E94" w14:textId="0C0AA0B1" w:rsidR="00D25381" w:rsidRDefault="002A3471" w:rsidP="00C018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0187D">
        <w:rPr>
          <w:lang w:val="fr-FR"/>
        </w:rPr>
        <w:t>Collecte et analyse de données</w:t>
      </w:r>
    </w:p>
    <w:p w14:paraId="455EA2FE" w14:textId="5A9FBD71" w:rsidR="00C0187D" w:rsidRPr="00C0187D" w:rsidRDefault="00C0187D" w:rsidP="00C0187D">
      <w:pPr>
        <w:pStyle w:val="SingleTxt"/>
        <w:spacing w:after="0" w:line="120" w:lineRule="exact"/>
        <w:rPr>
          <w:sz w:val="10"/>
          <w:lang w:val="fr-FR"/>
        </w:rPr>
      </w:pPr>
    </w:p>
    <w:p w14:paraId="7D20E9E5" w14:textId="67BC775D" w:rsidR="00D25381" w:rsidRPr="00D25381" w:rsidRDefault="00D25381" w:rsidP="00C0187D">
      <w:pPr>
        <w:pStyle w:val="SingleTxt"/>
        <w:numPr>
          <w:ilvl w:val="0"/>
          <w:numId w:val="17"/>
        </w:numPr>
        <w:spacing w:line="240" w:lineRule="exact"/>
        <w:ind w:left="1267"/>
        <w:rPr>
          <w:lang w:val="fr-FR"/>
        </w:rPr>
      </w:pPr>
      <w:r w:rsidRPr="00D25381">
        <w:rPr>
          <w:lang w:val="fr-FR"/>
        </w:rPr>
        <w:t>Le Comité est préoccupé par les lacunes observées dans la collecte, l</w:t>
      </w:r>
      <w:r w:rsidR="00070383">
        <w:rPr>
          <w:lang w:val="fr-FR"/>
        </w:rPr>
        <w:t>’</w:t>
      </w:r>
      <w:r w:rsidRPr="00D25381">
        <w:rPr>
          <w:lang w:val="fr-FR"/>
        </w:rPr>
        <w:t>analyse et le traitement de données fiables sur la situation des femmes dans tous les domaines visés par la Convention, y compris en matière de discriminations croisées pour les femmes appartenant à plusieurs groupes.</w:t>
      </w:r>
    </w:p>
    <w:p w14:paraId="72B9F6FE" w14:textId="7DE9CC1E" w:rsidR="00D25381" w:rsidRPr="002A3471" w:rsidRDefault="00D25381" w:rsidP="00C0187D">
      <w:pPr>
        <w:pStyle w:val="SingleTxt"/>
        <w:numPr>
          <w:ilvl w:val="0"/>
          <w:numId w:val="17"/>
        </w:numPr>
        <w:spacing w:line="240" w:lineRule="exact"/>
        <w:ind w:left="1267"/>
        <w:rPr>
          <w:b/>
          <w:bCs/>
          <w:lang w:val="fr-FR"/>
        </w:rPr>
      </w:pPr>
      <w:r w:rsidRPr="002A3471">
        <w:rPr>
          <w:b/>
          <w:bCs/>
          <w:lang w:val="fr-FR"/>
        </w:rPr>
        <w:t>Le Comité recommande à l</w:t>
      </w:r>
      <w:r w:rsidR="00070383">
        <w:rPr>
          <w:b/>
          <w:bCs/>
          <w:lang w:val="fr-FR"/>
        </w:rPr>
        <w:t>’</w:t>
      </w:r>
      <w:r w:rsidRPr="002A3471">
        <w:rPr>
          <w:b/>
          <w:bCs/>
          <w:lang w:val="fr-FR"/>
        </w:rPr>
        <w:t>État partie de mettre en place un système centralisé de collecte, d</w:t>
      </w:r>
      <w:r w:rsidR="00070383">
        <w:rPr>
          <w:b/>
          <w:bCs/>
          <w:lang w:val="fr-FR"/>
        </w:rPr>
        <w:t>’</w:t>
      </w:r>
      <w:r w:rsidRPr="002A3471">
        <w:rPr>
          <w:b/>
          <w:bCs/>
          <w:lang w:val="fr-FR"/>
        </w:rPr>
        <w:t>analyse et de diffusion de données exhaustives, ventilées selon le sexe, l</w:t>
      </w:r>
      <w:r w:rsidR="00070383">
        <w:rPr>
          <w:b/>
          <w:bCs/>
          <w:lang w:val="fr-FR"/>
        </w:rPr>
        <w:t>’</w:t>
      </w:r>
      <w:r w:rsidRPr="002A3471">
        <w:rPr>
          <w:b/>
          <w:bCs/>
          <w:lang w:val="fr-FR"/>
        </w:rPr>
        <w:t>âge, le handicap, l</w:t>
      </w:r>
      <w:r w:rsidR="00070383">
        <w:rPr>
          <w:b/>
          <w:bCs/>
          <w:lang w:val="fr-FR"/>
        </w:rPr>
        <w:t>’</w:t>
      </w:r>
      <w:r w:rsidRPr="002A3471">
        <w:rPr>
          <w:b/>
          <w:bCs/>
          <w:lang w:val="fr-FR"/>
        </w:rPr>
        <w:t>appartenance ethnique, le lieu, l</w:t>
      </w:r>
      <w:r w:rsidR="00070383">
        <w:rPr>
          <w:b/>
          <w:bCs/>
          <w:lang w:val="fr-FR"/>
        </w:rPr>
        <w:t>’</w:t>
      </w:r>
      <w:r w:rsidRPr="002A3471">
        <w:rPr>
          <w:b/>
          <w:bCs/>
          <w:lang w:val="fr-FR"/>
        </w:rPr>
        <w:t>identité de genre et l</w:t>
      </w:r>
      <w:r w:rsidR="00070383">
        <w:rPr>
          <w:b/>
          <w:bCs/>
          <w:lang w:val="fr-FR"/>
        </w:rPr>
        <w:t>’</w:t>
      </w:r>
      <w:r w:rsidRPr="002A3471">
        <w:rPr>
          <w:b/>
          <w:bCs/>
          <w:lang w:val="fr-FR"/>
        </w:rPr>
        <w:t>orientation sexuelle et la situation socioéconomique, tout en protégeant la confidentialité de ces données, et de recourir à des indicateurs mesurables pour suivre l</w:t>
      </w:r>
      <w:r w:rsidR="00070383">
        <w:rPr>
          <w:b/>
          <w:bCs/>
          <w:lang w:val="fr-FR"/>
        </w:rPr>
        <w:t>’</w:t>
      </w:r>
      <w:r w:rsidRPr="002A3471">
        <w:rPr>
          <w:b/>
          <w:bCs/>
          <w:lang w:val="fr-FR"/>
        </w:rPr>
        <w:t>évolution de la situation des femmes et les progrès accomplis dans la réalisation de l</w:t>
      </w:r>
      <w:r w:rsidR="00070383">
        <w:rPr>
          <w:b/>
          <w:bCs/>
          <w:lang w:val="fr-FR"/>
        </w:rPr>
        <w:t>’</w:t>
      </w:r>
      <w:r w:rsidRPr="002A3471">
        <w:rPr>
          <w:b/>
          <w:bCs/>
          <w:lang w:val="fr-FR"/>
        </w:rPr>
        <w:t>égalité effective dans tous les domaines visés par la Convention.</w:t>
      </w:r>
    </w:p>
    <w:p w14:paraId="14756D0D" w14:textId="77E55B38" w:rsidR="00C0187D" w:rsidRPr="00C0187D" w:rsidRDefault="00C0187D" w:rsidP="00C0187D">
      <w:pPr>
        <w:pStyle w:val="SingleTxt"/>
        <w:spacing w:after="0" w:line="120" w:lineRule="exact"/>
        <w:rPr>
          <w:sz w:val="10"/>
          <w:lang w:val="fr-FR"/>
        </w:rPr>
      </w:pPr>
    </w:p>
    <w:p w14:paraId="63455167" w14:textId="0D48A572" w:rsidR="00D25381" w:rsidRDefault="00D25381" w:rsidP="00C018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25381">
        <w:rPr>
          <w:lang w:val="fr-FR"/>
        </w:rPr>
        <w:tab/>
      </w:r>
      <w:r w:rsidRPr="00D25381">
        <w:rPr>
          <w:lang w:val="fr-FR"/>
        </w:rPr>
        <w:tab/>
        <w:t>Déclaration e</w:t>
      </w:r>
      <w:r w:rsidR="00C0187D">
        <w:rPr>
          <w:lang w:val="fr-FR"/>
        </w:rPr>
        <w:t>t Programme d</w:t>
      </w:r>
      <w:r w:rsidR="00070383">
        <w:rPr>
          <w:lang w:val="fr-FR"/>
        </w:rPr>
        <w:t>’</w:t>
      </w:r>
      <w:r w:rsidR="00C0187D">
        <w:rPr>
          <w:lang w:val="fr-FR"/>
        </w:rPr>
        <w:t>action de Beijing</w:t>
      </w:r>
    </w:p>
    <w:p w14:paraId="641669F8" w14:textId="4AEC31C6" w:rsidR="00C0187D" w:rsidRPr="00C0187D" w:rsidRDefault="00C0187D" w:rsidP="00C0187D">
      <w:pPr>
        <w:pStyle w:val="SingleTxt"/>
        <w:spacing w:after="0" w:line="120" w:lineRule="exact"/>
        <w:rPr>
          <w:sz w:val="10"/>
          <w:lang w:val="fr-FR"/>
        </w:rPr>
      </w:pPr>
    </w:p>
    <w:p w14:paraId="7550C23E" w14:textId="0EE78C89" w:rsidR="00D25381" w:rsidRPr="002A3471" w:rsidRDefault="00D25381" w:rsidP="00C0187D">
      <w:pPr>
        <w:pStyle w:val="SingleTxt"/>
        <w:numPr>
          <w:ilvl w:val="0"/>
          <w:numId w:val="17"/>
        </w:numPr>
        <w:spacing w:line="240" w:lineRule="exact"/>
        <w:ind w:left="1267"/>
        <w:rPr>
          <w:b/>
          <w:bCs/>
          <w:lang w:val="fr-FR"/>
        </w:rPr>
      </w:pPr>
      <w:r w:rsidRPr="002A3471">
        <w:rPr>
          <w:b/>
          <w:bCs/>
          <w:lang w:val="fr-FR"/>
        </w:rPr>
        <w:t>Le Comité invite l</w:t>
      </w:r>
      <w:r w:rsidR="00070383">
        <w:rPr>
          <w:b/>
          <w:bCs/>
          <w:lang w:val="fr-FR"/>
        </w:rPr>
        <w:t>’</w:t>
      </w:r>
      <w:r w:rsidRPr="002A3471">
        <w:rPr>
          <w:b/>
          <w:bCs/>
          <w:lang w:val="fr-FR"/>
        </w:rPr>
        <w:t>État partie à s</w:t>
      </w:r>
      <w:r w:rsidR="00070383">
        <w:rPr>
          <w:b/>
          <w:bCs/>
          <w:lang w:val="fr-FR"/>
        </w:rPr>
        <w:t>’</w:t>
      </w:r>
      <w:r w:rsidRPr="002A3471">
        <w:rPr>
          <w:b/>
          <w:bCs/>
          <w:lang w:val="fr-FR"/>
        </w:rPr>
        <w:t>appuyer sur la Déclaration et le Programme d</w:t>
      </w:r>
      <w:r w:rsidR="00070383">
        <w:rPr>
          <w:b/>
          <w:bCs/>
          <w:lang w:val="fr-FR"/>
        </w:rPr>
        <w:t>’</w:t>
      </w:r>
      <w:r w:rsidRPr="002A3471">
        <w:rPr>
          <w:b/>
          <w:bCs/>
          <w:lang w:val="fr-FR"/>
        </w:rPr>
        <w:t>action de Beijing dans l</w:t>
      </w:r>
      <w:r w:rsidR="00070383">
        <w:rPr>
          <w:b/>
          <w:bCs/>
          <w:lang w:val="fr-FR"/>
        </w:rPr>
        <w:t>’</w:t>
      </w:r>
      <w:r w:rsidRPr="002A3471">
        <w:rPr>
          <w:b/>
          <w:bCs/>
          <w:lang w:val="fr-FR"/>
        </w:rPr>
        <w:t>action qu</w:t>
      </w:r>
      <w:r w:rsidR="00070383">
        <w:rPr>
          <w:b/>
          <w:bCs/>
          <w:lang w:val="fr-FR"/>
        </w:rPr>
        <w:t>’</w:t>
      </w:r>
      <w:r w:rsidRPr="002A3471">
        <w:rPr>
          <w:b/>
          <w:bCs/>
          <w:lang w:val="fr-FR"/>
        </w:rPr>
        <w:t>il mène pour mettre en œuvre le</w:t>
      </w:r>
      <w:r w:rsidR="00C0187D" w:rsidRPr="002A3471">
        <w:rPr>
          <w:b/>
          <w:bCs/>
          <w:lang w:val="fr-FR"/>
        </w:rPr>
        <w:t>s dispositions de la Convention</w:t>
      </w:r>
      <w:r w:rsidR="002A3471">
        <w:rPr>
          <w:b/>
          <w:bCs/>
          <w:lang w:val="fr-FR"/>
        </w:rPr>
        <w:t>.</w:t>
      </w:r>
    </w:p>
    <w:p w14:paraId="51E0C9D0" w14:textId="37AAFEF0" w:rsidR="00C0187D" w:rsidRPr="00C0187D" w:rsidRDefault="00C0187D" w:rsidP="00C0187D">
      <w:pPr>
        <w:pStyle w:val="SingleTxt"/>
        <w:spacing w:after="0" w:line="120" w:lineRule="exact"/>
        <w:rPr>
          <w:sz w:val="10"/>
          <w:lang w:val="fr-FR"/>
        </w:rPr>
      </w:pPr>
    </w:p>
    <w:p w14:paraId="3638BEF5" w14:textId="16668656" w:rsidR="00D25381" w:rsidRDefault="00C0187D" w:rsidP="00C018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Diffusion</w:t>
      </w:r>
    </w:p>
    <w:p w14:paraId="763C3DD2" w14:textId="001CA46B" w:rsidR="00C0187D" w:rsidRPr="00C0187D" w:rsidRDefault="00C0187D" w:rsidP="00C0187D">
      <w:pPr>
        <w:pStyle w:val="SingleTxt"/>
        <w:spacing w:after="0" w:line="120" w:lineRule="exact"/>
        <w:rPr>
          <w:sz w:val="10"/>
          <w:lang w:val="fr-FR"/>
        </w:rPr>
      </w:pPr>
    </w:p>
    <w:p w14:paraId="3A028F5A" w14:textId="0ABFCCCE" w:rsidR="00D25381" w:rsidRPr="002A3471" w:rsidRDefault="00D25381" w:rsidP="00C0187D">
      <w:pPr>
        <w:pStyle w:val="SingleTxt"/>
        <w:numPr>
          <w:ilvl w:val="0"/>
          <w:numId w:val="17"/>
        </w:numPr>
        <w:spacing w:line="240" w:lineRule="exact"/>
        <w:ind w:left="1267"/>
        <w:rPr>
          <w:b/>
          <w:bCs/>
          <w:lang w:val="fr-FR"/>
        </w:rPr>
      </w:pPr>
      <w:r w:rsidRPr="002A3471">
        <w:rPr>
          <w:b/>
          <w:bCs/>
          <w:lang w:val="fr-FR"/>
        </w:rPr>
        <w:t>Le Comité demande à l</w:t>
      </w:r>
      <w:r w:rsidR="00070383">
        <w:rPr>
          <w:b/>
          <w:bCs/>
          <w:lang w:val="fr-FR"/>
        </w:rPr>
        <w:t>’</w:t>
      </w:r>
      <w:r w:rsidRPr="002A3471">
        <w:rPr>
          <w:b/>
          <w:bCs/>
          <w:lang w:val="fr-FR"/>
        </w:rPr>
        <w:t>État partie de veiller à diffuser rapidement les présentes observations finales, dans les langues officielles de l</w:t>
      </w:r>
      <w:r w:rsidR="00070383">
        <w:rPr>
          <w:b/>
          <w:bCs/>
          <w:lang w:val="fr-FR"/>
        </w:rPr>
        <w:t>’</w:t>
      </w:r>
      <w:r w:rsidRPr="002A3471">
        <w:rPr>
          <w:b/>
          <w:bCs/>
          <w:lang w:val="fr-FR"/>
        </w:rPr>
        <w:t>État partie, aux institutions publiques compétentes à tous les niveaux (national, régional et local), en particulier au Gouvernement, aux ministères, au Parlement et au corps judiciaire, afin d</w:t>
      </w:r>
      <w:r w:rsidR="00070383">
        <w:rPr>
          <w:b/>
          <w:bCs/>
          <w:lang w:val="fr-FR"/>
        </w:rPr>
        <w:t>’</w:t>
      </w:r>
      <w:r w:rsidRPr="002A3471">
        <w:rPr>
          <w:b/>
          <w:bCs/>
          <w:lang w:val="fr-FR"/>
        </w:rPr>
        <w:t>en permettre la pleine applica</w:t>
      </w:r>
      <w:r w:rsidR="00C0187D" w:rsidRPr="002A3471">
        <w:rPr>
          <w:b/>
          <w:bCs/>
          <w:lang w:val="fr-FR"/>
        </w:rPr>
        <w:t>tion.</w:t>
      </w:r>
    </w:p>
    <w:p w14:paraId="0A7D2052" w14:textId="7D4DADE5" w:rsidR="00C0187D" w:rsidRPr="00C0187D" w:rsidRDefault="00C0187D" w:rsidP="00C0187D">
      <w:pPr>
        <w:pStyle w:val="SingleTxt"/>
        <w:spacing w:after="0" w:line="120" w:lineRule="exact"/>
        <w:rPr>
          <w:sz w:val="10"/>
          <w:lang w:val="fr-FR"/>
        </w:rPr>
      </w:pPr>
    </w:p>
    <w:p w14:paraId="0F423B14" w14:textId="10F2D322" w:rsidR="00D25381" w:rsidRDefault="00C0187D" w:rsidP="00C018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Assistance technique</w:t>
      </w:r>
    </w:p>
    <w:p w14:paraId="4E9A8230" w14:textId="1881462E" w:rsidR="00C0187D" w:rsidRPr="00C0187D" w:rsidRDefault="00C0187D" w:rsidP="00C0187D">
      <w:pPr>
        <w:pStyle w:val="SingleTxt"/>
        <w:spacing w:after="0" w:line="120" w:lineRule="exact"/>
        <w:rPr>
          <w:sz w:val="10"/>
          <w:lang w:val="fr-FR"/>
        </w:rPr>
      </w:pPr>
    </w:p>
    <w:p w14:paraId="7AE11766" w14:textId="515449FA" w:rsidR="00D25381" w:rsidRPr="002A3471" w:rsidRDefault="00D25381" w:rsidP="00C0187D">
      <w:pPr>
        <w:pStyle w:val="SingleTxt"/>
        <w:numPr>
          <w:ilvl w:val="0"/>
          <w:numId w:val="17"/>
        </w:numPr>
        <w:spacing w:line="240" w:lineRule="exact"/>
        <w:ind w:left="1267"/>
        <w:rPr>
          <w:b/>
          <w:bCs/>
          <w:lang w:val="fr-FR"/>
        </w:rPr>
      </w:pPr>
      <w:r w:rsidRPr="002A3471">
        <w:rPr>
          <w:b/>
          <w:bCs/>
          <w:lang w:val="fr-FR"/>
        </w:rPr>
        <w:t>Le Comité recommande à l</w:t>
      </w:r>
      <w:r w:rsidR="00070383">
        <w:rPr>
          <w:b/>
          <w:bCs/>
          <w:lang w:val="fr-FR"/>
        </w:rPr>
        <w:t>’</w:t>
      </w:r>
      <w:r w:rsidRPr="002A3471">
        <w:rPr>
          <w:b/>
          <w:bCs/>
          <w:lang w:val="fr-FR"/>
        </w:rPr>
        <w:t>État partie de lier l</w:t>
      </w:r>
      <w:r w:rsidR="00070383">
        <w:rPr>
          <w:b/>
          <w:bCs/>
          <w:lang w:val="fr-FR"/>
        </w:rPr>
        <w:t>’</w:t>
      </w:r>
      <w:r w:rsidRPr="002A3471">
        <w:rPr>
          <w:b/>
          <w:bCs/>
          <w:lang w:val="fr-FR"/>
        </w:rPr>
        <w:t>application de la Convention aux efforts qu</w:t>
      </w:r>
      <w:r w:rsidR="00070383">
        <w:rPr>
          <w:b/>
          <w:bCs/>
          <w:lang w:val="fr-FR"/>
        </w:rPr>
        <w:t>’</w:t>
      </w:r>
      <w:r w:rsidRPr="002A3471">
        <w:rPr>
          <w:b/>
          <w:bCs/>
          <w:lang w:val="fr-FR"/>
        </w:rPr>
        <w:t>il déploie en faveur du développement, et de recourir à cette fin à l</w:t>
      </w:r>
      <w:r w:rsidR="00070383">
        <w:rPr>
          <w:b/>
          <w:bCs/>
          <w:lang w:val="fr-FR"/>
        </w:rPr>
        <w:t>’</w:t>
      </w:r>
      <w:r w:rsidRPr="002A3471">
        <w:rPr>
          <w:b/>
          <w:bCs/>
          <w:lang w:val="fr-FR"/>
        </w:rPr>
        <w:t>assistance techniq</w:t>
      </w:r>
      <w:r w:rsidR="00C0187D" w:rsidRPr="002A3471">
        <w:rPr>
          <w:b/>
          <w:bCs/>
          <w:lang w:val="fr-FR"/>
        </w:rPr>
        <w:t>ue régionale ou internationale.</w:t>
      </w:r>
    </w:p>
    <w:p w14:paraId="6F987E08" w14:textId="4827E062" w:rsidR="00C0187D" w:rsidRPr="00C0187D" w:rsidRDefault="00C0187D" w:rsidP="00C0187D">
      <w:pPr>
        <w:pStyle w:val="SingleTxt"/>
        <w:tabs>
          <w:tab w:val="num" w:pos="2804"/>
        </w:tabs>
        <w:spacing w:after="0" w:line="120" w:lineRule="exact"/>
        <w:rPr>
          <w:sz w:val="10"/>
          <w:lang w:val="fr-FR"/>
        </w:rPr>
      </w:pPr>
    </w:p>
    <w:p w14:paraId="284B998B" w14:textId="29A6E47F" w:rsidR="00D25381" w:rsidRDefault="00D25381" w:rsidP="00C018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25381">
        <w:rPr>
          <w:lang w:val="fr-FR"/>
        </w:rPr>
        <w:tab/>
      </w:r>
      <w:r w:rsidRPr="00D25381">
        <w:rPr>
          <w:lang w:val="fr-FR"/>
        </w:rPr>
        <w:tab/>
        <w:t>Ratific</w:t>
      </w:r>
      <w:r w:rsidR="00C0187D">
        <w:rPr>
          <w:lang w:val="fr-FR"/>
        </w:rPr>
        <w:t>ation d</w:t>
      </w:r>
      <w:r w:rsidR="00070383">
        <w:rPr>
          <w:lang w:val="fr-FR"/>
        </w:rPr>
        <w:t>’</w:t>
      </w:r>
      <w:r w:rsidR="00C0187D">
        <w:rPr>
          <w:lang w:val="fr-FR"/>
        </w:rPr>
        <w:t>autres instruments</w:t>
      </w:r>
    </w:p>
    <w:p w14:paraId="2524BC2C" w14:textId="0D53ABEB" w:rsidR="00C0187D" w:rsidRPr="00C0187D" w:rsidRDefault="00C0187D" w:rsidP="00C0187D">
      <w:pPr>
        <w:pStyle w:val="SingleTxt"/>
        <w:spacing w:after="0" w:line="120" w:lineRule="exact"/>
        <w:rPr>
          <w:sz w:val="10"/>
          <w:lang w:val="fr-FR"/>
        </w:rPr>
      </w:pPr>
    </w:p>
    <w:p w14:paraId="774E3C24" w14:textId="6801D0C3" w:rsidR="00D25381" w:rsidRPr="002A3471" w:rsidRDefault="00D25381" w:rsidP="00C0187D">
      <w:pPr>
        <w:pStyle w:val="SingleTxt"/>
        <w:numPr>
          <w:ilvl w:val="0"/>
          <w:numId w:val="17"/>
        </w:numPr>
        <w:spacing w:line="240" w:lineRule="exact"/>
        <w:ind w:left="1267"/>
        <w:rPr>
          <w:b/>
          <w:bCs/>
          <w:lang w:val="fr-FR"/>
        </w:rPr>
      </w:pPr>
      <w:r w:rsidRPr="002A3471">
        <w:rPr>
          <w:b/>
          <w:bCs/>
          <w:lang w:val="fr-FR"/>
        </w:rPr>
        <w:t>Le Comité souligne que l</w:t>
      </w:r>
      <w:r w:rsidR="00070383">
        <w:rPr>
          <w:b/>
          <w:bCs/>
          <w:lang w:val="fr-FR"/>
        </w:rPr>
        <w:t>’</w:t>
      </w:r>
      <w:r w:rsidRPr="002A3471">
        <w:rPr>
          <w:b/>
          <w:bCs/>
          <w:lang w:val="fr-FR"/>
        </w:rPr>
        <w:t>adhésion de l</w:t>
      </w:r>
      <w:r w:rsidR="00070383">
        <w:rPr>
          <w:b/>
          <w:bCs/>
          <w:lang w:val="fr-FR"/>
        </w:rPr>
        <w:t>’</w:t>
      </w:r>
      <w:r w:rsidRPr="002A3471">
        <w:rPr>
          <w:b/>
          <w:bCs/>
          <w:lang w:val="fr-FR"/>
        </w:rPr>
        <w:t>État partie aux neuf principaux instruments internationaux relatifs aux droits de l</w:t>
      </w:r>
      <w:r w:rsidR="00070383">
        <w:rPr>
          <w:b/>
          <w:bCs/>
          <w:lang w:val="fr-FR"/>
        </w:rPr>
        <w:t>’</w:t>
      </w:r>
      <w:r w:rsidRPr="002A3471">
        <w:rPr>
          <w:b/>
          <w:bCs/>
          <w:lang w:val="fr-FR"/>
        </w:rPr>
        <w:t>homme</w:t>
      </w:r>
      <w:r w:rsidRPr="008A1066">
        <w:rPr>
          <w:bCs/>
          <w:vertAlign w:val="superscript"/>
          <w:lang w:val="fr-FR"/>
        </w:rPr>
        <w:footnoteReference w:id="1"/>
      </w:r>
      <w:r w:rsidRPr="002A3471">
        <w:rPr>
          <w:b/>
          <w:bCs/>
          <w:lang w:val="fr-FR"/>
        </w:rPr>
        <w:t xml:space="preserve"> contribuerait à promouvoir l</w:t>
      </w:r>
      <w:r w:rsidR="00070383">
        <w:rPr>
          <w:b/>
          <w:bCs/>
          <w:lang w:val="fr-FR"/>
        </w:rPr>
        <w:t>’</w:t>
      </w:r>
      <w:r w:rsidRPr="002A3471">
        <w:rPr>
          <w:b/>
          <w:bCs/>
          <w:lang w:val="fr-FR"/>
        </w:rPr>
        <w:t>exercice effectif des droits individuels et libertés fondamentales par les femmes dans tous les aspects de la vie. Il l</w:t>
      </w:r>
      <w:r w:rsidR="00070383">
        <w:rPr>
          <w:b/>
          <w:bCs/>
          <w:lang w:val="fr-FR"/>
        </w:rPr>
        <w:t>’</w:t>
      </w:r>
      <w:r w:rsidRPr="002A3471">
        <w:rPr>
          <w:b/>
          <w:bCs/>
          <w:lang w:val="fr-FR"/>
        </w:rPr>
        <w:t>invite donc à ratifier la Convention internationale sur la protection des droits de tous les travailleurs migrants et des membres de leur famille et la Convention internationale pour la protection de toutes les personnes contre les disparitions forcées, auxquel</w:t>
      </w:r>
      <w:r w:rsidR="00C0187D" w:rsidRPr="002A3471">
        <w:rPr>
          <w:b/>
          <w:bCs/>
          <w:lang w:val="fr-FR"/>
        </w:rPr>
        <w:t>les il n</w:t>
      </w:r>
      <w:r w:rsidR="00070383">
        <w:rPr>
          <w:b/>
          <w:bCs/>
          <w:lang w:val="fr-FR"/>
        </w:rPr>
        <w:t>’</w:t>
      </w:r>
      <w:r w:rsidR="00C0187D" w:rsidRPr="002A3471">
        <w:rPr>
          <w:b/>
          <w:bCs/>
          <w:lang w:val="fr-FR"/>
        </w:rPr>
        <w:t>est pas encore partie.</w:t>
      </w:r>
    </w:p>
    <w:p w14:paraId="4BC206D3" w14:textId="6D8CBC4B" w:rsidR="00C0187D" w:rsidRPr="00C0187D" w:rsidRDefault="00C0187D" w:rsidP="00C0187D">
      <w:pPr>
        <w:pStyle w:val="SingleTxt"/>
        <w:spacing w:after="0" w:line="120" w:lineRule="exact"/>
        <w:rPr>
          <w:sz w:val="10"/>
          <w:lang w:val="fr-FR"/>
        </w:rPr>
      </w:pPr>
    </w:p>
    <w:p w14:paraId="0F661855" w14:textId="7D0027D4" w:rsidR="00D25381" w:rsidRDefault="00D25381" w:rsidP="008A10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25381">
        <w:rPr>
          <w:lang w:val="fr-FR"/>
        </w:rPr>
        <w:tab/>
      </w:r>
      <w:r w:rsidRPr="00D25381">
        <w:rPr>
          <w:lang w:val="fr-FR"/>
        </w:rPr>
        <w:tab/>
        <w:t xml:space="preserve">Suite </w:t>
      </w:r>
      <w:r w:rsidR="00C0187D">
        <w:rPr>
          <w:lang w:val="fr-FR"/>
        </w:rPr>
        <w:t>donnée aux observations finales</w:t>
      </w:r>
    </w:p>
    <w:p w14:paraId="0A04FDA2" w14:textId="7C82EF03" w:rsidR="00C0187D" w:rsidRPr="00C0187D" w:rsidRDefault="00C0187D" w:rsidP="008A1066">
      <w:pPr>
        <w:pStyle w:val="SingleTxt"/>
        <w:keepNext/>
        <w:keepLines/>
        <w:spacing w:after="0" w:line="120" w:lineRule="exact"/>
        <w:rPr>
          <w:sz w:val="10"/>
          <w:lang w:val="fr-FR"/>
        </w:rPr>
      </w:pPr>
    </w:p>
    <w:p w14:paraId="5AC0340B" w14:textId="6DBABDF5" w:rsidR="00D25381" w:rsidRPr="002A3471" w:rsidRDefault="00D25381" w:rsidP="008A1066">
      <w:pPr>
        <w:pStyle w:val="SingleTxt"/>
        <w:keepNext/>
        <w:keepLines/>
        <w:numPr>
          <w:ilvl w:val="0"/>
          <w:numId w:val="17"/>
        </w:numPr>
        <w:spacing w:line="240" w:lineRule="exact"/>
        <w:ind w:left="1267"/>
        <w:rPr>
          <w:b/>
          <w:bCs/>
          <w:lang w:val="fr-FR"/>
        </w:rPr>
      </w:pPr>
      <w:r w:rsidRPr="002A3471">
        <w:rPr>
          <w:b/>
          <w:bCs/>
          <w:lang w:val="fr-FR"/>
        </w:rPr>
        <w:t>Le Comité prie l</w:t>
      </w:r>
      <w:r w:rsidR="00070383">
        <w:rPr>
          <w:b/>
          <w:bCs/>
          <w:lang w:val="fr-FR"/>
        </w:rPr>
        <w:t>’</w:t>
      </w:r>
      <w:r w:rsidRPr="002A3471">
        <w:rPr>
          <w:b/>
          <w:bCs/>
          <w:lang w:val="fr-FR"/>
        </w:rPr>
        <w:t>État partie de lui communiquer par écrit, dans un délai de deux ans, des informations sur les mesures qu</w:t>
      </w:r>
      <w:r w:rsidR="00070383">
        <w:rPr>
          <w:b/>
          <w:bCs/>
          <w:lang w:val="fr-FR"/>
        </w:rPr>
        <w:t>’</w:t>
      </w:r>
      <w:r w:rsidRPr="002A3471">
        <w:rPr>
          <w:b/>
          <w:bCs/>
          <w:lang w:val="fr-FR"/>
        </w:rPr>
        <w:t xml:space="preserve">il aura prises pour appliquer les recommandations énoncées aux paragraphes </w:t>
      </w:r>
      <w:r w:rsidRPr="00E26C4F">
        <w:rPr>
          <w:b/>
          <w:bCs/>
          <w:lang w:val="fr-FR"/>
        </w:rPr>
        <w:t>20</w:t>
      </w:r>
      <w:r w:rsidRPr="002A3471">
        <w:rPr>
          <w:b/>
          <w:bCs/>
          <w:lang w:val="fr-FR"/>
        </w:rPr>
        <w:t xml:space="preserve">, </w:t>
      </w:r>
      <w:r w:rsidRPr="00E26C4F">
        <w:rPr>
          <w:b/>
          <w:bCs/>
          <w:lang w:val="fr-FR"/>
        </w:rPr>
        <w:t>2</w:t>
      </w:r>
      <w:r w:rsidR="00C0187D" w:rsidRPr="00E26C4F">
        <w:rPr>
          <w:b/>
          <w:bCs/>
          <w:lang w:val="fr-FR"/>
        </w:rPr>
        <w:t>6</w:t>
      </w:r>
      <w:r w:rsidR="00C0187D" w:rsidRPr="002A3471">
        <w:rPr>
          <w:b/>
          <w:bCs/>
          <w:lang w:val="fr-FR"/>
        </w:rPr>
        <w:t xml:space="preserve"> a), </w:t>
      </w:r>
      <w:r w:rsidR="00C0187D" w:rsidRPr="00E26C4F">
        <w:rPr>
          <w:b/>
          <w:bCs/>
          <w:lang w:val="fr-FR"/>
        </w:rPr>
        <w:t>40</w:t>
      </w:r>
      <w:r w:rsidR="00C0187D" w:rsidRPr="002A3471">
        <w:rPr>
          <w:b/>
          <w:bCs/>
          <w:lang w:val="fr-FR"/>
        </w:rPr>
        <w:t xml:space="preserve"> a) et </w:t>
      </w:r>
      <w:r w:rsidR="00C0187D" w:rsidRPr="00E26C4F">
        <w:rPr>
          <w:b/>
          <w:bCs/>
          <w:lang w:val="fr-FR"/>
        </w:rPr>
        <w:t>48</w:t>
      </w:r>
      <w:r w:rsidR="00C0187D" w:rsidRPr="002A3471">
        <w:rPr>
          <w:b/>
          <w:bCs/>
          <w:lang w:val="fr-FR"/>
        </w:rPr>
        <w:t xml:space="preserve"> a) ci-dessus.</w:t>
      </w:r>
    </w:p>
    <w:p w14:paraId="45DA4248" w14:textId="612DA51D" w:rsidR="00C0187D" w:rsidRPr="00C0187D" w:rsidRDefault="00C0187D" w:rsidP="00C0187D">
      <w:pPr>
        <w:pStyle w:val="SingleTxt"/>
        <w:tabs>
          <w:tab w:val="num" w:pos="2804"/>
        </w:tabs>
        <w:spacing w:after="0" w:line="120" w:lineRule="exact"/>
        <w:rPr>
          <w:sz w:val="10"/>
          <w:lang w:val="fr-FR"/>
        </w:rPr>
      </w:pPr>
    </w:p>
    <w:p w14:paraId="1A99688F" w14:textId="6E33D0EF" w:rsidR="00D25381" w:rsidRDefault="00D25381" w:rsidP="00C018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25381">
        <w:rPr>
          <w:lang w:val="fr-FR"/>
        </w:rPr>
        <w:tab/>
      </w:r>
      <w:r w:rsidRPr="00D25381">
        <w:rPr>
          <w:lang w:val="fr-FR"/>
        </w:rPr>
        <w:tab/>
        <w:t>Ét</w:t>
      </w:r>
      <w:r w:rsidR="00C0187D">
        <w:rPr>
          <w:lang w:val="fr-FR"/>
        </w:rPr>
        <w:t>ablissement du prochain rapport</w:t>
      </w:r>
    </w:p>
    <w:p w14:paraId="54E35231" w14:textId="2FD4F4E6" w:rsidR="00C0187D" w:rsidRPr="00C0187D" w:rsidRDefault="00C0187D" w:rsidP="00C0187D">
      <w:pPr>
        <w:pStyle w:val="SingleTxt"/>
        <w:spacing w:after="0" w:line="120" w:lineRule="exact"/>
        <w:rPr>
          <w:sz w:val="10"/>
          <w:lang w:val="fr-FR"/>
        </w:rPr>
      </w:pPr>
    </w:p>
    <w:p w14:paraId="0A4CF245" w14:textId="65D19EDC" w:rsidR="00D25381" w:rsidRPr="002A3471" w:rsidRDefault="00D25381" w:rsidP="00C0187D">
      <w:pPr>
        <w:pStyle w:val="SingleTxt"/>
        <w:numPr>
          <w:ilvl w:val="0"/>
          <w:numId w:val="17"/>
        </w:numPr>
        <w:spacing w:line="240" w:lineRule="exact"/>
        <w:ind w:left="1267"/>
        <w:rPr>
          <w:b/>
          <w:bCs/>
          <w:lang w:val="fr-FR"/>
        </w:rPr>
      </w:pPr>
      <w:r w:rsidRPr="002A3471">
        <w:rPr>
          <w:b/>
          <w:bCs/>
          <w:lang w:val="fr-FR"/>
        </w:rPr>
        <w:t>Le Comité demande à l</w:t>
      </w:r>
      <w:r w:rsidR="00070383">
        <w:rPr>
          <w:b/>
          <w:bCs/>
          <w:lang w:val="fr-FR"/>
        </w:rPr>
        <w:t>’</w:t>
      </w:r>
      <w:r w:rsidRPr="002A3471">
        <w:rPr>
          <w:b/>
          <w:bCs/>
          <w:lang w:val="fr-FR"/>
        </w:rPr>
        <w:t xml:space="preserve">État partie de soumettre son neuvième rapport périodique, attendu en juillet </w:t>
      </w:r>
      <w:r w:rsidRPr="00E26C4F">
        <w:rPr>
          <w:b/>
          <w:bCs/>
          <w:lang w:val="fr-FR"/>
        </w:rPr>
        <w:t>2022</w:t>
      </w:r>
      <w:r w:rsidRPr="002A3471">
        <w:rPr>
          <w:b/>
          <w:bCs/>
          <w:lang w:val="fr-FR"/>
        </w:rPr>
        <w:t>. Le rapport doit être soumis dans les délais et couvrir toute la période allant jusqu</w:t>
      </w:r>
      <w:r w:rsidR="00070383">
        <w:rPr>
          <w:b/>
          <w:bCs/>
          <w:lang w:val="fr-FR"/>
        </w:rPr>
        <w:t>’</w:t>
      </w:r>
      <w:r w:rsidRPr="002A3471">
        <w:rPr>
          <w:b/>
          <w:bCs/>
          <w:lang w:val="fr-FR"/>
        </w:rPr>
        <w:t>à la date de soumission.</w:t>
      </w:r>
    </w:p>
    <w:p w14:paraId="44F6FD02" w14:textId="4D11EAA3" w:rsidR="00D25381" w:rsidRPr="00804ECE" w:rsidRDefault="00D25381" w:rsidP="00C0187D">
      <w:pPr>
        <w:pStyle w:val="SingleTxt"/>
        <w:numPr>
          <w:ilvl w:val="0"/>
          <w:numId w:val="17"/>
        </w:numPr>
        <w:spacing w:line="240" w:lineRule="exact"/>
        <w:ind w:left="1267"/>
        <w:rPr>
          <w:b/>
          <w:bCs/>
        </w:rPr>
      </w:pPr>
      <w:r w:rsidRPr="002A3471">
        <w:rPr>
          <w:b/>
          <w:bCs/>
          <w:lang w:val="fr-FR"/>
        </w:rPr>
        <w:t>Le Comité invite l</w:t>
      </w:r>
      <w:r w:rsidR="00070383">
        <w:rPr>
          <w:b/>
          <w:bCs/>
          <w:lang w:val="fr-FR"/>
        </w:rPr>
        <w:t>’</w:t>
      </w:r>
      <w:r w:rsidRPr="002A3471">
        <w:rPr>
          <w:b/>
          <w:bCs/>
          <w:lang w:val="fr-FR"/>
        </w:rPr>
        <w:t>État partie à se conformer aux directives harmonisées pour l</w:t>
      </w:r>
      <w:r w:rsidR="00070383">
        <w:rPr>
          <w:b/>
          <w:bCs/>
          <w:lang w:val="fr-FR"/>
        </w:rPr>
        <w:t>’</w:t>
      </w:r>
      <w:r w:rsidRPr="002A3471">
        <w:rPr>
          <w:b/>
          <w:bCs/>
          <w:lang w:val="fr-FR"/>
        </w:rPr>
        <w:t>établissement de rapports au titre des instruments internationaux relatifs aux droits de l</w:t>
      </w:r>
      <w:r w:rsidR="00070383">
        <w:rPr>
          <w:b/>
          <w:bCs/>
          <w:lang w:val="fr-FR"/>
        </w:rPr>
        <w:t>’</w:t>
      </w:r>
      <w:r w:rsidRPr="002A3471">
        <w:rPr>
          <w:b/>
          <w:bCs/>
          <w:lang w:val="fr-FR"/>
        </w:rPr>
        <w:t xml:space="preserve">homme, dont le document de base commun et les rapports correspondant à chaque instrument (voir </w:t>
      </w:r>
      <w:hyperlink r:id="rId26" w:history="1">
        <w:r w:rsidRPr="00E26C4F">
          <w:rPr>
            <w:rStyle w:val="Hyperlink"/>
            <w:b/>
            <w:bCs/>
            <w:color w:val="0000FF"/>
            <w:lang w:val="fr-FR"/>
          </w:rPr>
          <w:t>HRI/GEN/2/Rev.6</w:t>
        </w:r>
      </w:hyperlink>
      <w:r w:rsidRPr="002A3471">
        <w:rPr>
          <w:b/>
          <w:bCs/>
          <w:lang w:val="fr-FR"/>
        </w:rPr>
        <w:t>, chap. I).</w:t>
      </w:r>
    </w:p>
    <w:p w14:paraId="6A53C3CB" w14:textId="1FAF61AB" w:rsidR="00D25381" w:rsidRPr="00D25381" w:rsidRDefault="002A3471" w:rsidP="002A3471">
      <w:pPr>
        <w:pStyle w:val="SingleTxt"/>
      </w:pPr>
      <w:r>
        <w:rPr>
          <w:noProof/>
          <w:w w:val="100"/>
          <w:lang w:val="en-GB"/>
        </w:rPr>
        <mc:AlternateContent>
          <mc:Choice Requires="wps">
            <w:drawing>
              <wp:anchor distT="0" distB="0" distL="114300" distR="114300" simplePos="0" relativeHeight="251660288" behindDoc="0" locked="0" layoutInCell="1" allowOverlap="1" wp14:anchorId="10A04E29" wp14:editId="33BAC8A0">
                <wp:simplePos x="0" y="0"/>
                <wp:positionH relativeFrom="page">
                  <wp:posOffset>3429000</wp:posOffset>
                </wp:positionH>
                <wp:positionV relativeFrom="paragraph">
                  <wp:posOffset>304800</wp:posOffset>
                </wp:positionV>
                <wp:extent cx="9144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87D1EB" id="Straight Connector 7"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5L&#10;stD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D25381" w:rsidRPr="00D25381" w:rsidSect="00E118ED">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9-19T20:19:00Z" w:initials="Start">
    <w:p w14:paraId="2720A4DF" w14:textId="77777777" w:rsidR="00070383" w:rsidRPr="00980FED" w:rsidRDefault="00070383">
      <w:pPr>
        <w:pStyle w:val="CommentText"/>
        <w:rPr>
          <w:lang w:val="en-US"/>
        </w:rPr>
      </w:pPr>
      <w:r>
        <w:fldChar w:fldCharType="begin"/>
      </w:r>
      <w:r w:rsidRPr="00980FED">
        <w:rPr>
          <w:rStyle w:val="CommentReference"/>
          <w:lang w:val="en-US"/>
        </w:rPr>
        <w:instrText xml:space="preserve"> </w:instrText>
      </w:r>
      <w:r w:rsidRPr="00980FED">
        <w:rPr>
          <w:lang w:val="en-US"/>
        </w:rPr>
        <w:instrText>PAGE \# "'Page: '#'</w:instrText>
      </w:r>
      <w:r w:rsidRPr="00980FED">
        <w:rPr>
          <w:lang w:val="en-US"/>
        </w:rPr>
        <w:br/>
        <w:instrText>'"</w:instrText>
      </w:r>
      <w:r w:rsidRPr="00980FED">
        <w:rPr>
          <w:rStyle w:val="CommentReference"/>
          <w:lang w:val="en-US"/>
        </w:rPr>
        <w:instrText xml:space="preserve"> </w:instrText>
      </w:r>
      <w:r>
        <w:fldChar w:fldCharType="end"/>
      </w:r>
      <w:r>
        <w:rPr>
          <w:rStyle w:val="CommentReference"/>
        </w:rPr>
        <w:annotationRef/>
      </w:r>
      <w:r w:rsidRPr="00980FED">
        <w:rPr>
          <w:lang w:val="en-US"/>
        </w:rPr>
        <w:t>&lt;&lt;ODS JOB NO&gt;&gt;N1823813F&lt;&lt;ODS JOB NO&gt;&gt;</w:t>
      </w:r>
    </w:p>
    <w:p w14:paraId="2A61C825" w14:textId="77777777" w:rsidR="00070383" w:rsidRPr="00980FED" w:rsidRDefault="00070383">
      <w:pPr>
        <w:pStyle w:val="CommentText"/>
        <w:rPr>
          <w:lang w:val="en-US"/>
        </w:rPr>
      </w:pPr>
      <w:r w:rsidRPr="00980FED">
        <w:rPr>
          <w:lang w:val="en-US"/>
        </w:rPr>
        <w:t>&lt;&lt;ODS DOC SYMBOL1&gt;&gt;CEDAW/C/NZL/CO/8&lt;&lt;ODS DOC SYMBOL1&gt;&gt;</w:t>
      </w:r>
    </w:p>
    <w:p w14:paraId="0447F1B6" w14:textId="77777777" w:rsidR="00070383" w:rsidRDefault="00070383">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47F1B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A9B6F" w14:textId="77777777" w:rsidR="00070383" w:rsidRDefault="00070383" w:rsidP="00101B18">
      <w:pPr>
        <w:spacing w:line="240" w:lineRule="auto"/>
      </w:pPr>
      <w:r>
        <w:separator/>
      </w:r>
    </w:p>
  </w:endnote>
  <w:endnote w:type="continuationSeparator" w:id="0">
    <w:p w14:paraId="3B10690D" w14:textId="77777777" w:rsidR="00070383" w:rsidRDefault="00070383"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70383" w14:paraId="6A11D43F" w14:textId="77777777" w:rsidTr="00F65BD2">
      <w:tc>
        <w:tcPr>
          <w:tcW w:w="4920" w:type="dxa"/>
          <w:shd w:val="clear" w:color="auto" w:fill="auto"/>
        </w:tcPr>
        <w:p w14:paraId="699F3A93" w14:textId="2F06D3C1" w:rsidR="00070383" w:rsidRPr="00F65BD2" w:rsidRDefault="00070383" w:rsidP="00F65BD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16071">
            <w:rPr>
              <w:b w:val="0"/>
              <w:w w:val="103"/>
              <w:sz w:val="14"/>
            </w:rPr>
            <w:t>18-12320</w:t>
          </w:r>
          <w:r>
            <w:rPr>
              <w:b w:val="0"/>
              <w:w w:val="103"/>
              <w:sz w:val="14"/>
            </w:rPr>
            <w:fldChar w:fldCharType="end"/>
          </w:r>
        </w:p>
      </w:tc>
      <w:tc>
        <w:tcPr>
          <w:tcW w:w="4920" w:type="dxa"/>
          <w:shd w:val="clear" w:color="auto" w:fill="auto"/>
        </w:tcPr>
        <w:p w14:paraId="1C970E71" w14:textId="77777777" w:rsidR="00070383" w:rsidRPr="00F65BD2" w:rsidRDefault="00070383" w:rsidP="00F65BD2">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490874DD" w14:textId="77777777" w:rsidR="00070383" w:rsidRPr="00F65BD2" w:rsidRDefault="00070383" w:rsidP="00F65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70383" w14:paraId="69D5A171" w14:textId="77777777" w:rsidTr="00F65BD2">
      <w:tc>
        <w:tcPr>
          <w:tcW w:w="4920" w:type="dxa"/>
          <w:shd w:val="clear" w:color="auto" w:fill="auto"/>
        </w:tcPr>
        <w:p w14:paraId="70403942" w14:textId="77777777" w:rsidR="00070383" w:rsidRPr="00F65BD2" w:rsidRDefault="00070383" w:rsidP="00F65BD2">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6AE18C70" w14:textId="0DB655B9" w:rsidR="00070383" w:rsidRPr="00F65BD2" w:rsidRDefault="00070383" w:rsidP="00F65BD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16071">
            <w:rPr>
              <w:b w:val="0"/>
              <w:w w:val="103"/>
              <w:sz w:val="14"/>
            </w:rPr>
            <w:t>18-12320</w:t>
          </w:r>
          <w:r>
            <w:rPr>
              <w:b w:val="0"/>
              <w:w w:val="103"/>
              <w:sz w:val="14"/>
            </w:rPr>
            <w:fldChar w:fldCharType="end"/>
          </w:r>
        </w:p>
      </w:tc>
    </w:tr>
  </w:tbl>
  <w:p w14:paraId="439F5686" w14:textId="77777777" w:rsidR="00070383" w:rsidRPr="00F65BD2" w:rsidRDefault="00070383" w:rsidP="00F65B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00F6F" w14:textId="77777777" w:rsidR="00070383" w:rsidRDefault="00070383">
    <w:pPr>
      <w:pStyle w:val="Footer"/>
    </w:pPr>
    <w:r>
      <w:rPr>
        <w:noProof/>
      </w:rPr>
      <w:drawing>
        <wp:anchor distT="0" distB="0" distL="114300" distR="114300" simplePos="0" relativeHeight="251658240" behindDoc="0" locked="0" layoutInCell="1" allowOverlap="1" wp14:anchorId="4AD27E03" wp14:editId="08390C90">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NZL/CO/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NZL/CO/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070383" w14:paraId="13424470" w14:textId="77777777" w:rsidTr="00F65BD2">
      <w:tc>
        <w:tcPr>
          <w:tcW w:w="3758" w:type="dxa"/>
        </w:tcPr>
        <w:p w14:paraId="3C7CFFCC" w14:textId="474347AA" w:rsidR="00070383" w:rsidRDefault="00070383" w:rsidP="00F65BD2">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16071">
            <w:rPr>
              <w:b w:val="0"/>
              <w:sz w:val="20"/>
            </w:rPr>
            <w:t>18-12320 (F)</w:t>
          </w:r>
          <w:r>
            <w:rPr>
              <w:b w:val="0"/>
              <w:sz w:val="20"/>
            </w:rPr>
            <w:fldChar w:fldCharType="end"/>
          </w:r>
          <w:r>
            <w:rPr>
              <w:b w:val="0"/>
              <w:sz w:val="20"/>
            </w:rPr>
            <w:t xml:space="preserve">    190918    210918</w:t>
          </w:r>
        </w:p>
        <w:p w14:paraId="226E1339" w14:textId="420CB4D4" w:rsidR="00070383" w:rsidRPr="00F65BD2" w:rsidRDefault="00070383" w:rsidP="00F65BD2">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016071">
            <w:rPr>
              <w:rFonts w:ascii="Barcode 3 of 9 by request" w:hAnsi="Barcode 3 of 9 by request"/>
              <w:spacing w:val="0"/>
              <w:w w:val="100"/>
              <w:sz w:val="24"/>
            </w:rPr>
            <w:t>*1812320*</w:t>
          </w:r>
          <w:r>
            <w:rPr>
              <w:rFonts w:ascii="Barcode 3 of 9 by request" w:hAnsi="Barcode 3 of 9 by request"/>
              <w:spacing w:val="0"/>
              <w:w w:val="100"/>
              <w:sz w:val="24"/>
            </w:rPr>
            <w:fldChar w:fldCharType="end"/>
          </w:r>
        </w:p>
      </w:tc>
      <w:tc>
        <w:tcPr>
          <w:tcW w:w="4920" w:type="dxa"/>
        </w:tcPr>
        <w:p w14:paraId="73E42A93" w14:textId="77777777" w:rsidR="00070383" w:rsidRDefault="00070383" w:rsidP="00F65BD2">
          <w:pPr>
            <w:pStyle w:val="Footer"/>
            <w:spacing w:line="240" w:lineRule="atLeast"/>
            <w:jc w:val="right"/>
            <w:rPr>
              <w:b w:val="0"/>
              <w:sz w:val="20"/>
            </w:rPr>
          </w:pPr>
          <w:r>
            <w:rPr>
              <w:b w:val="0"/>
              <w:noProof/>
              <w:sz w:val="20"/>
            </w:rPr>
            <w:drawing>
              <wp:inline distT="0" distB="0" distL="0" distR="0" wp14:anchorId="0FA3B121" wp14:editId="15CEF70A">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70483A0D" w14:textId="77777777" w:rsidR="00070383" w:rsidRPr="00F65BD2" w:rsidRDefault="00070383" w:rsidP="00F65BD2">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4EAA4" w14:textId="7EA4F812" w:rsidR="00070383" w:rsidRPr="008A1066" w:rsidRDefault="00070383" w:rsidP="008A1066">
      <w:pPr>
        <w:pStyle w:val="Footer"/>
        <w:spacing w:after="80"/>
        <w:ind w:left="792"/>
        <w:rPr>
          <w:sz w:val="16"/>
        </w:rPr>
      </w:pPr>
      <w:r w:rsidRPr="008A1066">
        <w:rPr>
          <w:sz w:val="16"/>
        </w:rPr>
        <w:t>__________________</w:t>
      </w:r>
    </w:p>
  </w:footnote>
  <w:footnote w:type="continuationSeparator" w:id="0">
    <w:p w14:paraId="224986B1" w14:textId="08B677E1" w:rsidR="00070383" w:rsidRPr="008A1066" w:rsidRDefault="00070383" w:rsidP="008A1066">
      <w:pPr>
        <w:pStyle w:val="Footer"/>
        <w:spacing w:after="80"/>
        <w:ind w:left="792"/>
        <w:rPr>
          <w:sz w:val="16"/>
        </w:rPr>
      </w:pPr>
      <w:r w:rsidRPr="008A1066">
        <w:rPr>
          <w:sz w:val="16"/>
        </w:rPr>
        <w:t>__________________</w:t>
      </w:r>
    </w:p>
  </w:footnote>
  <w:footnote w:id="1">
    <w:p w14:paraId="260EEAA8" w14:textId="4E286623" w:rsidR="00070383" w:rsidRPr="00541FDC" w:rsidRDefault="00070383" w:rsidP="008A1066">
      <w:pPr>
        <w:pStyle w:val="FootnoteText"/>
        <w:widowControl w:val="0"/>
        <w:tabs>
          <w:tab w:val="right" w:pos="1195"/>
          <w:tab w:val="left" w:pos="1267"/>
          <w:tab w:val="left" w:pos="1742"/>
          <w:tab w:val="left" w:pos="2218"/>
          <w:tab w:val="left" w:pos="2693"/>
        </w:tabs>
        <w:ind w:left="1267" w:right="1260" w:hanging="432"/>
        <w:rPr>
          <w:lang w:val="fr-FR"/>
        </w:rPr>
      </w:pPr>
      <w:r>
        <w:rPr>
          <w:lang w:val="fr-FR"/>
        </w:rPr>
        <w:tab/>
      </w:r>
      <w:r>
        <w:rPr>
          <w:rStyle w:val="FootnoteReference"/>
          <w:lang w:val="fr-FR"/>
        </w:rPr>
        <w:footnoteRef/>
      </w:r>
      <w:r>
        <w:rPr>
          <w:lang w:val="fr-FR"/>
        </w:rPr>
        <w:tab/>
        <w:t>À savoir, le Pacte international relatif aux droits économiques, sociaux et culturels, le Pacte international relatif aux droits civils et politiques, la Convention internationale sur l’élimination de toutes les formes de discrimination raciale, la Convention sur l’élimination de toutes les formes de discrimination à l’égard des femmes, la Convention contre la torture et autres peines ou traitements cruels, inhumains ou dégradants, la Convention relative aux droits de l’enfant, la Convention internationale sur la protection des droits de tous les travailleurs migrants et des membres de leur famille, la Convention internationale pour la protection de toutes les personnes contre les disparitions forcées et la Convention relative aux droits des personnes handicapées.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070383" w14:paraId="36129357" w14:textId="77777777" w:rsidTr="00F65BD2">
      <w:trPr>
        <w:trHeight w:hRule="exact" w:val="864"/>
      </w:trPr>
      <w:tc>
        <w:tcPr>
          <w:tcW w:w="4920" w:type="dxa"/>
          <w:shd w:val="clear" w:color="auto" w:fill="auto"/>
          <w:vAlign w:val="bottom"/>
        </w:tcPr>
        <w:p w14:paraId="754EDD33" w14:textId="7846FB60" w:rsidR="00070383" w:rsidRPr="00F65BD2" w:rsidRDefault="00070383" w:rsidP="00F65BD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16071">
            <w:rPr>
              <w:b/>
              <w:color w:val="000000"/>
            </w:rPr>
            <w:t>CEDAW/C/NZL/CO/8</w:t>
          </w:r>
          <w:r>
            <w:rPr>
              <w:b/>
              <w:color w:val="000000"/>
            </w:rPr>
            <w:fldChar w:fldCharType="end"/>
          </w:r>
        </w:p>
      </w:tc>
      <w:tc>
        <w:tcPr>
          <w:tcW w:w="4920" w:type="dxa"/>
          <w:shd w:val="clear" w:color="auto" w:fill="auto"/>
          <w:vAlign w:val="bottom"/>
        </w:tcPr>
        <w:p w14:paraId="6D88D9A5" w14:textId="77777777" w:rsidR="00070383" w:rsidRDefault="00070383" w:rsidP="00F65BD2">
          <w:pPr>
            <w:pStyle w:val="Header"/>
          </w:pPr>
        </w:p>
      </w:tc>
    </w:tr>
  </w:tbl>
  <w:p w14:paraId="01AB48F3" w14:textId="77777777" w:rsidR="00070383" w:rsidRPr="00F65BD2" w:rsidRDefault="00070383" w:rsidP="00F65BD2">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070383" w14:paraId="1E4198B0" w14:textId="77777777" w:rsidTr="00F65BD2">
      <w:trPr>
        <w:trHeight w:hRule="exact" w:val="864"/>
      </w:trPr>
      <w:tc>
        <w:tcPr>
          <w:tcW w:w="4920" w:type="dxa"/>
          <w:shd w:val="clear" w:color="auto" w:fill="auto"/>
          <w:vAlign w:val="bottom"/>
        </w:tcPr>
        <w:p w14:paraId="42D5E492" w14:textId="77777777" w:rsidR="00070383" w:rsidRDefault="00070383" w:rsidP="00F65BD2">
          <w:pPr>
            <w:pStyle w:val="Header"/>
          </w:pPr>
        </w:p>
      </w:tc>
      <w:tc>
        <w:tcPr>
          <w:tcW w:w="4920" w:type="dxa"/>
          <w:shd w:val="clear" w:color="auto" w:fill="auto"/>
          <w:vAlign w:val="bottom"/>
        </w:tcPr>
        <w:p w14:paraId="22AE92C7" w14:textId="21D88E57" w:rsidR="00070383" w:rsidRPr="00F65BD2" w:rsidRDefault="00070383" w:rsidP="00F65BD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16071">
            <w:rPr>
              <w:b/>
              <w:color w:val="000000"/>
            </w:rPr>
            <w:t>CEDAW/C/NZL/CO/8</w:t>
          </w:r>
          <w:r>
            <w:rPr>
              <w:b/>
              <w:color w:val="000000"/>
            </w:rPr>
            <w:fldChar w:fldCharType="end"/>
          </w:r>
        </w:p>
      </w:tc>
    </w:tr>
  </w:tbl>
  <w:p w14:paraId="558B5AD9" w14:textId="77777777" w:rsidR="00070383" w:rsidRPr="00F65BD2" w:rsidRDefault="00070383" w:rsidP="00F65BD2">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070383" w14:paraId="6A9CBDCC" w14:textId="77777777" w:rsidTr="00F65BD2">
      <w:trPr>
        <w:trHeight w:hRule="exact" w:val="864"/>
      </w:trPr>
      <w:tc>
        <w:tcPr>
          <w:tcW w:w="1267" w:type="dxa"/>
          <w:tcBorders>
            <w:bottom w:val="single" w:sz="4" w:space="0" w:color="auto"/>
          </w:tcBorders>
          <w:shd w:val="clear" w:color="auto" w:fill="auto"/>
          <w:vAlign w:val="bottom"/>
        </w:tcPr>
        <w:p w14:paraId="3EA7949E" w14:textId="77777777" w:rsidR="00070383" w:rsidRDefault="00070383" w:rsidP="00F65BD2">
          <w:pPr>
            <w:pStyle w:val="Header"/>
            <w:spacing w:after="120"/>
          </w:pPr>
        </w:p>
      </w:tc>
      <w:tc>
        <w:tcPr>
          <w:tcW w:w="2059" w:type="dxa"/>
          <w:tcBorders>
            <w:bottom w:val="single" w:sz="4" w:space="0" w:color="auto"/>
          </w:tcBorders>
          <w:shd w:val="clear" w:color="auto" w:fill="auto"/>
          <w:vAlign w:val="bottom"/>
        </w:tcPr>
        <w:p w14:paraId="3DFD4611" w14:textId="77777777" w:rsidR="00070383" w:rsidRPr="00F65BD2" w:rsidRDefault="00070383" w:rsidP="00F65BD2">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3875DDC2" w14:textId="77777777" w:rsidR="00070383" w:rsidRDefault="00070383" w:rsidP="00F65BD2">
          <w:pPr>
            <w:pStyle w:val="Header"/>
            <w:spacing w:after="120"/>
          </w:pPr>
        </w:p>
      </w:tc>
      <w:tc>
        <w:tcPr>
          <w:tcW w:w="6466" w:type="dxa"/>
          <w:gridSpan w:val="3"/>
          <w:tcBorders>
            <w:bottom w:val="single" w:sz="4" w:space="0" w:color="auto"/>
          </w:tcBorders>
          <w:shd w:val="clear" w:color="auto" w:fill="auto"/>
          <w:vAlign w:val="bottom"/>
        </w:tcPr>
        <w:p w14:paraId="1CC91E51" w14:textId="77777777" w:rsidR="00070383" w:rsidRPr="00F65BD2" w:rsidRDefault="00070383" w:rsidP="00F65BD2">
          <w:pPr>
            <w:spacing w:after="80" w:line="240" w:lineRule="auto"/>
            <w:jc w:val="right"/>
            <w:rPr>
              <w:position w:val="-4"/>
            </w:rPr>
          </w:pPr>
          <w:r>
            <w:rPr>
              <w:position w:val="-4"/>
              <w:sz w:val="40"/>
            </w:rPr>
            <w:t>CEDAW</w:t>
          </w:r>
          <w:r>
            <w:rPr>
              <w:position w:val="-4"/>
            </w:rPr>
            <w:t>/C/NZL/CO/8</w:t>
          </w:r>
        </w:p>
      </w:tc>
    </w:tr>
    <w:tr w:rsidR="00070383" w:rsidRPr="00F65BD2" w14:paraId="03AA3F48" w14:textId="77777777" w:rsidTr="00F65BD2">
      <w:trPr>
        <w:trHeight w:hRule="exact" w:val="2880"/>
      </w:trPr>
      <w:tc>
        <w:tcPr>
          <w:tcW w:w="1267" w:type="dxa"/>
          <w:tcBorders>
            <w:top w:val="single" w:sz="4" w:space="0" w:color="auto"/>
            <w:bottom w:val="single" w:sz="12" w:space="0" w:color="auto"/>
          </w:tcBorders>
          <w:shd w:val="clear" w:color="auto" w:fill="auto"/>
        </w:tcPr>
        <w:p w14:paraId="1A2A3A0A" w14:textId="77777777" w:rsidR="00070383" w:rsidRPr="00F65BD2" w:rsidRDefault="00070383" w:rsidP="00F65BD2">
          <w:pPr>
            <w:pStyle w:val="Header"/>
            <w:spacing w:before="120" w:line="240" w:lineRule="auto"/>
            <w:ind w:left="-72"/>
            <w:jc w:val="center"/>
          </w:pPr>
          <w:r>
            <w:t xml:space="preserve">  </w:t>
          </w:r>
          <w:r>
            <w:rPr>
              <w:noProof/>
            </w:rPr>
            <w:drawing>
              <wp:inline distT="0" distB="0" distL="0" distR="0" wp14:anchorId="4419EBDF" wp14:editId="317AB084">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1015FEE" w14:textId="6EB4C545" w:rsidR="00070383" w:rsidRPr="00F65BD2" w:rsidRDefault="00070383" w:rsidP="00F65BD2">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0CCA268C" w14:textId="77777777" w:rsidR="00070383" w:rsidRPr="00980FED" w:rsidRDefault="00070383" w:rsidP="00F65BD2">
          <w:pPr>
            <w:pStyle w:val="Header"/>
            <w:spacing w:before="109"/>
            <w:rPr>
              <w:lang w:val="fr-CA"/>
            </w:rPr>
          </w:pPr>
        </w:p>
      </w:tc>
      <w:tc>
        <w:tcPr>
          <w:tcW w:w="3110" w:type="dxa"/>
          <w:tcBorders>
            <w:top w:val="single" w:sz="4" w:space="0" w:color="auto"/>
            <w:bottom w:val="single" w:sz="12" w:space="0" w:color="auto"/>
          </w:tcBorders>
          <w:shd w:val="clear" w:color="auto" w:fill="auto"/>
        </w:tcPr>
        <w:p w14:paraId="423590B7" w14:textId="77777777" w:rsidR="00070383" w:rsidRPr="00980FED" w:rsidRDefault="00070383" w:rsidP="00F65BD2">
          <w:pPr>
            <w:pStyle w:val="Distribution"/>
            <w:rPr>
              <w:color w:val="000000"/>
              <w:lang w:val="fr-CA"/>
            </w:rPr>
          </w:pPr>
          <w:r w:rsidRPr="00980FED">
            <w:rPr>
              <w:color w:val="000000"/>
              <w:lang w:val="fr-CA"/>
            </w:rPr>
            <w:t>Distr. générale</w:t>
          </w:r>
        </w:p>
        <w:p w14:paraId="1BFD9DBD" w14:textId="77777777" w:rsidR="00070383" w:rsidRPr="00980FED" w:rsidRDefault="00070383" w:rsidP="00F65BD2">
          <w:pPr>
            <w:pStyle w:val="Publication"/>
            <w:rPr>
              <w:color w:val="000000"/>
              <w:lang w:val="fr-CA"/>
            </w:rPr>
          </w:pPr>
          <w:r w:rsidRPr="00980FED">
            <w:rPr>
              <w:color w:val="000000"/>
              <w:lang w:val="fr-CA"/>
            </w:rPr>
            <w:t>25 juillet 2018</w:t>
          </w:r>
        </w:p>
        <w:p w14:paraId="6B992CA8" w14:textId="77777777" w:rsidR="00070383" w:rsidRPr="00980FED" w:rsidRDefault="00070383" w:rsidP="00F65BD2">
          <w:r w:rsidRPr="00980FED">
            <w:t>Français</w:t>
          </w:r>
        </w:p>
        <w:p w14:paraId="6E53106E" w14:textId="7E0361B7" w:rsidR="00070383" w:rsidRPr="00980FED" w:rsidRDefault="00070383" w:rsidP="00F65BD2">
          <w:pPr>
            <w:pStyle w:val="Original"/>
            <w:rPr>
              <w:color w:val="000000"/>
              <w:lang w:val="fr-CA"/>
            </w:rPr>
          </w:pPr>
          <w:r w:rsidRPr="00980FED">
            <w:rPr>
              <w:color w:val="000000"/>
              <w:lang w:val="fr-CA"/>
            </w:rPr>
            <w:t>Original : anglais</w:t>
          </w:r>
        </w:p>
      </w:tc>
    </w:tr>
  </w:tbl>
  <w:p w14:paraId="354A4F40" w14:textId="77777777" w:rsidR="00070383" w:rsidRPr="00980FED" w:rsidRDefault="00070383" w:rsidP="00F65BD2">
    <w:pPr>
      <w:pStyle w:val="Header"/>
      <w:spacing w:line="240" w:lineRule="auto"/>
      <w:rPr>
        <w:sz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015290"/>
    <w:multiLevelType w:val="hybridMultilevel"/>
    <w:tmpl w:val="C7EE786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2D06B23"/>
    <w:multiLevelType w:val="multilevel"/>
    <w:tmpl w:val="1FC0703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2F270D"/>
    <w:multiLevelType w:val="hybridMultilevel"/>
    <w:tmpl w:val="C4F473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2A2912"/>
    <w:multiLevelType w:val="singleLevel"/>
    <w:tmpl w:val="48C2CBFE"/>
    <w:lvl w:ilvl="0">
      <w:start w:val="1"/>
      <w:numFmt w:val="decimal"/>
      <w:lvlRestart w:val="0"/>
      <w:lvlText w:val="%1."/>
      <w:lvlJc w:val="left"/>
      <w:pPr>
        <w:tabs>
          <w:tab w:val="num" w:pos="475"/>
        </w:tabs>
        <w:ind w:left="0" w:firstLine="0"/>
      </w:pPr>
      <w:rPr>
        <w:b w:val="0"/>
        <w:bCs w:val="0"/>
        <w:w w:val="100"/>
      </w:rPr>
    </w:lvl>
  </w:abstractNum>
  <w:abstractNum w:abstractNumId="18" w15:restartNumberingAfterBreak="0">
    <w:nsid w:val="30E739F2"/>
    <w:multiLevelType w:val="hybridMultilevel"/>
    <w:tmpl w:val="9E78DB56"/>
    <w:lvl w:ilvl="0" w:tplc="423A265A">
      <w:start w:val="3"/>
      <w:numFmt w:val="lowerLetter"/>
      <w:lvlText w:val="(%1)"/>
      <w:lvlJc w:val="left"/>
      <w:pPr>
        <w:ind w:left="2107" w:hanging="360"/>
      </w:pPr>
      <w:rPr>
        <w:rFonts w:hint="default"/>
      </w:rPr>
    </w:lvl>
    <w:lvl w:ilvl="1" w:tplc="08090019" w:tentative="1">
      <w:start w:val="1"/>
      <w:numFmt w:val="lowerLetter"/>
      <w:lvlText w:val="%2."/>
      <w:lvlJc w:val="left"/>
      <w:pPr>
        <w:ind w:left="2827" w:hanging="360"/>
      </w:pPr>
    </w:lvl>
    <w:lvl w:ilvl="2" w:tplc="0809001B" w:tentative="1">
      <w:start w:val="1"/>
      <w:numFmt w:val="lowerRoman"/>
      <w:lvlText w:val="%3."/>
      <w:lvlJc w:val="right"/>
      <w:pPr>
        <w:ind w:left="3547" w:hanging="180"/>
      </w:pPr>
    </w:lvl>
    <w:lvl w:ilvl="3" w:tplc="0809000F" w:tentative="1">
      <w:start w:val="1"/>
      <w:numFmt w:val="decimal"/>
      <w:lvlText w:val="%4."/>
      <w:lvlJc w:val="left"/>
      <w:pPr>
        <w:ind w:left="4267" w:hanging="360"/>
      </w:pPr>
    </w:lvl>
    <w:lvl w:ilvl="4" w:tplc="08090019" w:tentative="1">
      <w:start w:val="1"/>
      <w:numFmt w:val="lowerLetter"/>
      <w:lvlText w:val="%5."/>
      <w:lvlJc w:val="left"/>
      <w:pPr>
        <w:ind w:left="4987" w:hanging="360"/>
      </w:pPr>
    </w:lvl>
    <w:lvl w:ilvl="5" w:tplc="0809001B" w:tentative="1">
      <w:start w:val="1"/>
      <w:numFmt w:val="lowerRoman"/>
      <w:lvlText w:val="%6."/>
      <w:lvlJc w:val="right"/>
      <w:pPr>
        <w:ind w:left="5707" w:hanging="180"/>
      </w:pPr>
    </w:lvl>
    <w:lvl w:ilvl="6" w:tplc="0809000F" w:tentative="1">
      <w:start w:val="1"/>
      <w:numFmt w:val="decimal"/>
      <w:lvlText w:val="%7."/>
      <w:lvlJc w:val="left"/>
      <w:pPr>
        <w:ind w:left="6427" w:hanging="360"/>
      </w:pPr>
    </w:lvl>
    <w:lvl w:ilvl="7" w:tplc="08090019" w:tentative="1">
      <w:start w:val="1"/>
      <w:numFmt w:val="lowerLetter"/>
      <w:lvlText w:val="%8."/>
      <w:lvlJc w:val="left"/>
      <w:pPr>
        <w:ind w:left="7147" w:hanging="360"/>
      </w:pPr>
    </w:lvl>
    <w:lvl w:ilvl="8" w:tplc="0809001B" w:tentative="1">
      <w:start w:val="1"/>
      <w:numFmt w:val="lowerRoman"/>
      <w:lvlText w:val="%9."/>
      <w:lvlJc w:val="right"/>
      <w:pPr>
        <w:ind w:left="7867" w:hanging="180"/>
      </w:pPr>
    </w:lvl>
  </w:abstractNum>
  <w:abstractNum w:abstractNumId="19" w15:restartNumberingAfterBreak="0">
    <w:nsid w:val="34085C3E"/>
    <w:multiLevelType w:val="hybridMultilevel"/>
    <w:tmpl w:val="761805D0"/>
    <w:lvl w:ilvl="0" w:tplc="7FD45D58">
      <w:start w:val="1"/>
      <w:numFmt w:val="lowerLetter"/>
      <w:lvlText w:val="(%1)"/>
      <w:lvlJc w:val="left"/>
      <w:pPr>
        <w:ind w:left="2227" w:hanging="480"/>
      </w:pPr>
      <w:rPr>
        <w:rFonts w:hint="default"/>
      </w:rPr>
    </w:lvl>
    <w:lvl w:ilvl="1" w:tplc="08090019" w:tentative="1">
      <w:start w:val="1"/>
      <w:numFmt w:val="lowerLetter"/>
      <w:lvlText w:val="%2."/>
      <w:lvlJc w:val="left"/>
      <w:pPr>
        <w:ind w:left="2827" w:hanging="360"/>
      </w:pPr>
    </w:lvl>
    <w:lvl w:ilvl="2" w:tplc="0809001B" w:tentative="1">
      <w:start w:val="1"/>
      <w:numFmt w:val="lowerRoman"/>
      <w:lvlText w:val="%3."/>
      <w:lvlJc w:val="right"/>
      <w:pPr>
        <w:ind w:left="3547" w:hanging="180"/>
      </w:pPr>
    </w:lvl>
    <w:lvl w:ilvl="3" w:tplc="0809000F" w:tentative="1">
      <w:start w:val="1"/>
      <w:numFmt w:val="decimal"/>
      <w:lvlText w:val="%4."/>
      <w:lvlJc w:val="left"/>
      <w:pPr>
        <w:ind w:left="4267" w:hanging="360"/>
      </w:pPr>
    </w:lvl>
    <w:lvl w:ilvl="4" w:tplc="08090019" w:tentative="1">
      <w:start w:val="1"/>
      <w:numFmt w:val="lowerLetter"/>
      <w:lvlText w:val="%5."/>
      <w:lvlJc w:val="left"/>
      <w:pPr>
        <w:ind w:left="4987" w:hanging="360"/>
      </w:pPr>
    </w:lvl>
    <w:lvl w:ilvl="5" w:tplc="0809001B" w:tentative="1">
      <w:start w:val="1"/>
      <w:numFmt w:val="lowerRoman"/>
      <w:lvlText w:val="%6."/>
      <w:lvlJc w:val="right"/>
      <w:pPr>
        <w:ind w:left="5707" w:hanging="180"/>
      </w:pPr>
    </w:lvl>
    <w:lvl w:ilvl="6" w:tplc="0809000F" w:tentative="1">
      <w:start w:val="1"/>
      <w:numFmt w:val="decimal"/>
      <w:lvlText w:val="%7."/>
      <w:lvlJc w:val="left"/>
      <w:pPr>
        <w:ind w:left="6427" w:hanging="360"/>
      </w:pPr>
    </w:lvl>
    <w:lvl w:ilvl="7" w:tplc="08090019" w:tentative="1">
      <w:start w:val="1"/>
      <w:numFmt w:val="lowerLetter"/>
      <w:lvlText w:val="%8."/>
      <w:lvlJc w:val="left"/>
      <w:pPr>
        <w:ind w:left="7147" w:hanging="360"/>
      </w:pPr>
    </w:lvl>
    <w:lvl w:ilvl="8" w:tplc="0809001B" w:tentative="1">
      <w:start w:val="1"/>
      <w:numFmt w:val="lowerRoman"/>
      <w:lvlText w:val="%9."/>
      <w:lvlJc w:val="right"/>
      <w:pPr>
        <w:ind w:left="7867" w:hanging="180"/>
      </w:pPr>
    </w:lvl>
  </w:abstractNum>
  <w:abstractNum w:abstractNumId="20" w15:restartNumberingAfterBreak="0">
    <w:nsid w:val="47B40547"/>
    <w:multiLevelType w:val="hybridMultilevel"/>
    <w:tmpl w:val="889095B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34475F"/>
    <w:multiLevelType w:val="hybridMultilevel"/>
    <w:tmpl w:val="BB2AEC74"/>
    <w:lvl w:ilvl="0" w:tplc="8F7E6748">
      <w:start w:val="3"/>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15:restartNumberingAfterBreak="0">
    <w:nsid w:val="7A7F39B4"/>
    <w:multiLevelType w:val="hybridMultilevel"/>
    <w:tmpl w:val="F9F4A1C8"/>
    <w:lvl w:ilvl="0" w:tplc="A3045CA8">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16"/>
  </w:num>
  <w:num w:numId="2">
    <w:abstractNumId w:val="20"/>
  </w:num>
  <w:num w:numId="3">
    <w:abstractNumId w:val="11"/>
  </w:num>
  <w:num w:numId="4">
    <w:abstractNumId w:val="14"/>
  </w:num>
  <w:num w:numId="5">
    <w:abstractNumId w:val="16"/>
  </w:num>
  <w:num w:numId="6">
    <w:abstractNumId w:val="20"/>
  </w:num>
  <w:num w:numId="7">
    <w:abstractNumId w:val="11"/>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7"/>
  </w:num>
  <w:num w:numId="18">
    <w:abstractNumId w:val="24"/>
  </w:num>
  <w:num w:numId="19">
    <w:abstractNumId w:val="1"/>
  </w:num>
  <w:num w:numId="20">
    <w:abstractNumId w:val="0"/>
  </w:num>
  <w:num w:numId="21">
    <w:abstractNumId w:val="2"/>
  </w:num>
  <w:num w:numId="22">
    <w:abstractNumId w:val="3"/>
  </w:num>
  <w:num w:numId="23">
    <w:abstractNumId w:val="8"/>
  </w:num>
  <w:num w:numId="24">
    <w:abstractNumId w:val="9"/>
  </w:num>
  <w:num w:numId="25">
    <w:abstractNumId w:val="7"/>
  </w:num>
  <w:num w:numId="26">
    <w:abstractNumId w:val="6"/>
  </w:num>
  <w:num w:numId="27">
    <w:abstractNumId w:val="5"/>
  </w:num>
  <w:num w:numId="28">
    <w:abstractNumId w:val="4"/>
  </w:num>
  <w:num w:numId="29">
    <w:abstractNumId w:val="21"/>
  </w:num>
  <w:num w:numId="30">
    <w:abstractNumId w:val="15"/>
  </w:num>
  <w:num w:numId="31">
    <w:abstractNumId w:val="12"/>
  </w:num>
  <w:num w:numId="32">
    <w:abstractNumId w:val="10"/>
  </w:num>
  <w:num w:numId="33">
    <w:abstractNumId w:val="22"/>
  </w:num>
  <w:num w:numId="34">
    <w:abstractNumId w:val="13"/>
  </w:num>
  <w:num w:numId="35">
    <w:abstractNumId w:val="19"/>
  </w:num>
  <w:num w:numId="36">
    <w:abstractNumId w:val="18"/>
  </w:num>
  <w:num w:numId="37">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defaultTabStop w:val="475"/>
  <w:hyphenationZone w:val="425"/>
  <w:doNotHyphenateCaps/>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2320*"/>
    <w:docVar w:name="CreationDt" w:val="19/09/2018 8:19: PM"/>
    <w:docVar w:name="DocCategory" w:val="Doc"/>
    <w:docVar w:name="DocType" w:val="Final"/>
    <w:docVar w:name="DutyStation" w:val="New York"/>
    <w:docVar w:name="FooterJN" w:val="18-12320"/>
    <w:docVar w:name="jobn" w:val="18-12320 (F)"/>
    <w:docVar w:name="jobnDT" w:val="18-12320 (F)   190918"/>
    <w:docVar w:name="jobnDTDT" w:val="18-12320 (F)   190918   190918"/>
    <w:docVar w:name="JobNo" w:val="1812320F"/>
    <w:docVar w:name="JobNo2" w:val="1823813F"/>
    <w:docVar w:name="LocalDrive" w:val="0"/>
    <w:docVar w:name="OandT" w:val="AGO"/>
    <w:docVar w:name="sss1" w:val="CEDAW/C/NZL/CO/8"/>
    <w:docVar w:name="sss2" w:val="-"/>
    <w:docVar w:name="Symbol1" w:val="CEDAW/C/NZL/CO/8"/>
    <w:docVar w:name="Symbol2" w:val="-"/>
  </w:docVars>
  <w:rsids>
    <w:rsidRoot w:val="002D2796"/>
    <w:rsid w:val="00002584"/>
    <w:rsid w:val="0000641A"/>
    <w:rsid w:val="00016071"/>
    <w:rsid w:val="0001659A"/>
    <w:rsid w:val="00044EB7"/>
    <w:rsid w:val="00070383"/>
    <w:rsid w:val="00071D43"/>
    <w:rsid w:val="00082144"/>
    <w:rsid w:val="000976BC"/>
    <w:rsid w:val="000C04F2"/>
    <w:rsid w:val="00101B18"/>
    <w:rsid w:val="00106D11"/>
    <w:rsid w:val="00122A56"/>
    <w:rsid w:val="00134FEE"/>
    <w:rsid w:val="00146C6A"/>
    <w:rsid w:val="00166A0D"/>
    <w:rsid w:val="0017160D"/>
    <w:rsid w:val="0018433E"/>
    <w:rsid w:val="001A04A3"/>
    <w:rsid w:val="001A0B26"/>
    <w:rsid w:val="001B4A19"/>
    <w:rsid w:val="001E4B50"/>
    <w:rsid w:val="00206864"/>
    <w:rsid w:val="00225394"/>
    <w:rsid w:val="002478A0"/>
    <w:rsid w:val="00247D9F"/>
    <w:rsid w:val="002A3471"/>
    <w:rsid w:val="002A5E20"/>
    <w:rsid w:val="002D2796"/>
    <w:rsid w:val="002E56B1"/>
    <w:rsid w:val="0030629E"/>
    <w:rsid w:val="00334AA8"/>
    <w:rsid w:val="00366D21"/>
    <w:rsid w:val="003A61D1"/>
    <w:rsid w:val="003A675A"/>
    <w:rsid w:val="003F61E1"/>
    <w:rsid w:val="00415ED1"/>
    <w:rsid w:val="00440C93"/>
    <w:rsid w:val="00452FDD"/>
    <w:rsid w:val="00480B84"/>
    <w:rsid w:val="004B0E05"/>
    <w:rsid w:val="004B14FF"/>
    <w:rsid w:val="004C1A25"/>
    <w:rsid w:val="00515991"/>
    <w:rsid w:val="0052185B"/>
    <w:rsid w:val="005225EC"/>
    <w:rsid w:val="00525097"/>
    <w:rsid w:val="00530C8D"/>
    <w:rsid w:val="00532EAF"/>
    <w:rsid w:val="005349C8"/>
    <w:rsid w:val="005358E4"/>
    <w:rsid w:val="005509B6"/>
    <w:rsid w:val="005D25CC"/>
    <w:rsid w:val="005F1F5F"/>
    <w:rsid w:val="00650D9A"/>
    <w:rsid w:val="00690698"/>
    <w:rsid w:val="00693B52"/>
    <w:rsid w:val="006C377A"/>
    <w:rsid w:val="006E03E0"/>
    <w:rsid w:val="006E4A4B"/>
    <w:rsid w:val="00703C82"/>
    <w:rsid w:val="00717DAC"/>
    <w:rsid w:val="00721940"/>
    <w:rsid w:val="007436D9"/>
    <w:rsid w:val="007454F8"/>
    <w:rsid w:val="007459AE"/>
    <w:rsid w:val="007531A5"/>
    <w:rsid w:val="00761E8D"/>
    <w:rsid w:val="00771C9E"/>
    <w:rsid w:val="007812BB"/>
    <w:rsid w:val="0079673D"/>
    <w:rsid w:val="007A562F"/>
    <w:rsid w:val="007A6E7B"/>
    <w:rsid w:val="007D7584"/>
    <w:rsid w:val="007E40EA"/>
    <w:rsid w:val="00804222"/>
    <w:rsid w:val="00804ECE"/>
    <w:rsid w:val="0082045E"/>
    <w:rsid w:val="008222A3"/>
    <w:rsid w:val="00884C41"/>
    <w:rsid w:val="00891294"/>
    <w:rsid w:val="008A1066"/>
    <w:rsid w:val="008D4BA2"/>
    <w:rsid w:val="008E0235"/>
    <w:rsid w:val="008E3443"/>
    <w:rsid w:val="00926CA4"/>
    <w:rsid w:val="00935932"/>
    <w:rsid w:val="009471D5"/>
    <w:rsid w:val="00952F96"/>
    <w:rsid w:val="00980FED"/>
    <w:rsid w:val="00993CB7"/>
    <w:rsid w:val="009D0EE3"/>
    <w:rsid w:val="009F7675"/>
    <w:rsid w:val="00A163BB"/>
    <w:rsid w:val="00A2494D"/>
    <w:rsid w:val="00A4511C"/>
    <w:rsid w:val="00A66806"/>
    <w:rsid w:val="00AB0B7D"/>
    <w:rsid w:val="00AD5F2F"/>
    <w:rsid w:val="00B04BB7"/>
    <w:rsid w:val="00B50F39"/>
    <w:rsid w:val="00B66AB1"/>
    <w:rsid w:val="00B7475B"/>
    <w:rsid w:val="00B80001"/>
    <w:rsid w:val="00B83709"/>
    <w:rsid w:val="00B858D5"/>
    <w:rsid w:val="00BB581E"/>
    <w:rsid w:val="00BD381C"/>
    <w:rsid w:val="00C0187D"/>
    <w:rsid w:val="00CB06FB"/>
    <w:rsid w:val="00CB1A8C"/>
    <w:rsid w:val="00CB63C5"/>
    <w:rsid w:val="00CC2B1E"/>
    <w:rsid w:val="00D25381"/>
    <w:rsid w:val="00D30EED"/>
    <w:rsid w:val="00D42C48"/>
    <w:rsid w:val="00E118ED"/>
    <w:rsid w:val="00E267FD"/>
    <w:rsid w:val="00E26C4F"/>
    <w:rsid w:val="00E343A6"/>
    <w:rsid w:val="00E41C9C"/>
    <w:rsid w:val="00E50EDC"/>
    <w:rsid w:val="00E7105F"/>
    <w:rsid w:val="00ED269D"/>
    <w:rsid w:val="00EE37EC"/>
    <w:rsid w:val="00EF2DFA"/>
    <w:rsid w:val="00F260B6"/>
    <w:rsid w:val="00F423B7"/>
    <w:rsid w:val="00F5012D"/>
    <w:rsid w:val="00F6492F"/>
    <w:rsid w:val="00F65BD2"/>
    <w:rsid w:val="00F73093"/>
    <w:rsid w:val="00FA3D05"/>
    <w:rsid w:val="00FA5CC9"/>
    <w:rsid w:val="00FB0A2C"/>
    <w:rsid w:val="00FC59F1"/>
    <w:rsid w:val="00FE639C"/>
    <w:rsid w:val="00FF13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E7E904"/>
  <w15:chartTrackingRefBased/>
  <w15:docId w15:val="{DDD87768-0E65-4082-8695-9265DC06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58E4"/>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aliases w:val="Table_G"/>
    <w:basedOn w:val="Normal"/>
    <w:next w:val="Normal"/>
    <w:link w:val="Heading1Char"/>
    <w:qFormat/>
    <w:rsid w:val="005358E4"/>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5358E4"/>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5358E4"/>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5358E4"/>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5358E4"/>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5358E4"/>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5358E4"/>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semiHidden/>
    <w:unhideWhenUsed/>
    <w:qFormat/>
    <w:rsid w:val="005358E4"/>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semiHidden/>
    <w:unhideWhenUsed/>
    <w:qFormat/>
    <w:rsid w:val="005358E4"/>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5358E4"/>
    <w:pPr>
      <w:keepNext/>
      <w:keepLines/>
      <w:suppressAutoHyphens/>
      <w:spacing w:line="270" w:lineRule="exact"/>
      <w:outlineLvl w:val="0"/>
    </w:pPr>
    <w:rPr>
      <w:b/>
      <w:sz w:val="24"/>
    </w:rPr>
  </w:style>
  <w:style w:type="paragraph" w:customStyle="1" w:styleId="HCH">
    <w:name w:val="_ H _CH"/>
    <w:basedOn w:val="H1"/>
    <w:next w:val="Normal"/>
    <w:qFormat/>
    <w:rsid w:val="005358E4"/>
    <w:pPr>
      <w:spacing w:line="300" w:lineRule="exact"/>
    </w:pPr>
    <w:rPr>
      <w:spacing w:val="-2"/>
      <w:sz w:val="28"/>
    </w:rPr>
  </w:style>
  <w:style w:type="paragraph" w:customStyle="1" w:styleId="HM">
    <w:name w:val="_ H __M"/>
    <w:basedOn w:val="HCH"/>
    <w:next w:val="Normal"/>
    <w:qFormat/>
    <w:rsid w:val="005358E4"/>
    <w:pPr>
      <w:spacing w:line="360" w:lineRule="exact"/>
    </w:pPr>
    <w:rPr>
      <w:spacing w:val="-3"/>
      <w:w w:val="99"/>
      <w:sz w:val="34"/>
    </w:rPr>
  </w:style>
  <w:style w:type="paragraph" w:customStyle="1" w:styleId="H23">
    <w:name w:val="_ H_2/3"/>
    <w:basedOn w:val="H1"/>
    <w:next w:val="SingleTxt"/>
    <w:qFormat/>
    <w:rsid w:val="005358E4"/>
    <w:pPr>
      <w:spacing w:line="240" w:lineRule="exact"/>
      <w:outlineLvl w:val="1"/>
    </w:pPr>
    <w:rPr>
      <w:spacing w:val="2"/>
      <w:sz w:val="20"/>
    </w:rPr>
  </w:style>
  <w:style w:type="paragraph" w:customStyle="1" w:styleId="H4">
    <w:name w:val="_ H_4"/>
    <w:basedOn w:val="Normal"/>
    <w:next w:val="Normal"/>
    <w:qFormat/>
    <w:rsid w:val="005358E4"/>
    <w:pPr>
      <w:keepNext/>
      <w:keepLines/>
      <w:tabs>
        <w:tab w:val="right" w:pos="360"/>
      </w:tabs>
      <w:suppressAutoHyphens/>
      <w:outlineLvl w:val="3"/>
    </w:pPr>
    <w:rPr>
      <w:i/>
      <w:spacing w:val="3"/>
    </w:rPr>
  </w:style>
  <w:style w:type="paragraph" w:customStyle="1" w:styleId="H56">
    <w:name w:val="_ H_5/6"/>
    <w:basedOn w:val="Normal"/>
    <w:next w:val="Normal"/>
    <w:qFormat/>
    <w:rsid w:val="005358E4"/>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5358E4"/>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5358E4"/>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5358E4"/>
    <w:pPr>
      <w:spacing w:line="540" w:lineRule="exact"/>
    </w:pPr>
    <w:rPr>
      <w:spacing w:val="-8"/>
      <w:w w:val="96"/>
      <w:sz w:val="57"/>
    </w:rPr>
  </w:style>
  <w:style w:type="paragraph" w:customStyle="1" w:styleId="SS">
    <w:name w:val="__S_S"/>
    <w:basedOn w:val="HCH"/>
    <w:next w:val="Normal"/>
    <w:qFormat/>
    <w:rsid w:val="005358E4"/>
    <w:pPr>
      <w:ind w:left="1267" w:right="1267"/>
    </w:pPr>
  </w:style>
  <w:style w:type="paragraph" w:customStyle="1" w:styleId="SingleTxt">
    <w:name w:val="__Single Txt"/>
    <w:basedOn w:val="Normal"/>
    <w:qFormat/>
    <w:rsid w:val="005358E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5358E4"/>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5358E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5358E4"/>
    <w:pPr>
      <w:spacing w:line="240" w:lineRule="exact"/>
      <w:ind w:right="5040"/>
      <w:outlineLvl w:val="1"/>
    </w:pPr>
    <w:rPr>
      <w:spacing w:val="2"/>
      <w:sz w:val="20"/>
    </w:rPr>
  </w:style>
  <w:style w:type="paragraph" w:styleId="BalloonText">
    <w:name w:val="Balloon Text"/>
    <w:basedOn w:val="Normal"/>
    <w:link w:val="BalloonTextChar"/>
    <w:semiHidden/>
    <w:unhideWhenUsed/>
    <w:rsid w:val="005358E4"/>
    <w:pPr>
      <w:spacing w:line="240" w:lineRule="auto"/>
    </w:pPr>
    <w:rPr>
      <w:rFonts w:ascii="Tahoma" w:hAnsi="Tahoma" w:cs="Tahoma"/>
      <w:sz w:val="16"/>
      <w:szCs w:val="16"/>
    </w:rPr>
  </w:style>
  <w:style w:type="character" w:customStyle="1" w:styleId="BalloonTextChar">
    <w:name w:val="Balloon Text Char"/>
    <w:link w:val="BalloonText"/>
    <w:semiHidden/>
    <w:rsid w:val="005358E4"/>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5358E4"/>
    <w:pPr>
      <w:numPr>
        <w:numId w:val="5"/>
      </w:numPr>
      <w:spacing w:after="120"/>
      <w:ind w:right="1267"/>
      <w:jc w:val="both"/>
    </w:pPr>
  </w:style>
  <w:style w:type="paragraph" w:customStyle="1" w:styleId="Bullet2">
    <w:name w:val="Bullet 2"/>
    <w:basedOn w:val="Normal"/>
    <w:qFormat/>
    <w:rsid w:val="005358E4"/>
    <w:pPr>
      <w:numPr>
        <w:numId w:val="6"/>
      </w:numPr>
      <w:spacing w:after="120"/>
      <w:ind w:right="1264"/>
      <w:jc w:val="both"/>
    </w:pPr>
  </w:style>
  <w:style w:type="paragraph" w:customStyle="1" w:styleId="Bullet3">
    <w:name w:val="Bullet 3"/>
    <w:basedOn w:val="SingleTxt"/>
    <w:qFormat/>
    <w:rsid w:val="005358E4"/>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5358E4"/>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aliases w:val="1_G"/>
    <w:basedOn w:val="DefaultParagraphFont"/>
    <w:qFormat/>
    <w:rsid w:val="005358E4"/>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qFormat/>
    <w:rsid w:val="005358E4"/>
    <w:pPr>
      <w:spacing w:line="210" w:lineRule="exact"/>
    </w:pPr>
    <w:rPr>
      <w:sz w:val="17"/>
      <w:szCs w:val="20"/>
    </w:rPr>
  </w:style>
  <w:style w:type="character" w:customStyle="1" w:styleId="EndnoteTextChar">
    <w:name w:val="Endnote Text Char"/>
    <w:aliases w:val="2_G Char"/>
    <w:link w:val="EndnoteText"/>
    <w:uiPriority w:val="99"/>
    <w:semiHidden/>
    <w:rsid w:val="005358E4"/>
    <w:rPr>
      <w:rFonts w:ascii="Times New Roman" w:eastAsiaTheme="minorHAnsi" w:hAnsi="Times New Roman" w:cs="Times New Roman"/>
      <w:spacing w:val="4"/>
      <w:w w:val="103"/>
      <w:kern w:val="14"/>
      <w:sz w:val="17"/>
      <w:szCs w:val="20"/>
      <w:lang w:val="fr-CA" w:eastAsia="en-US"/>
    </w:rPr>
  </w:style>
  <w:style w:type="paragraph" w:styleId="Footer">
    <w:name w:val="footer"/>
    <w:aliases w:val="3_G"/>
    <w:link w:val="FooterChar"/>
    <w:qFormat/>
    <w:rsid w:val="005358E4"/>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aliases w:val="3_G Char"/>
    <w:link w:val="Footer"/>
    <w:uiPriority w:val="99"/>
    <w:rsid w:val="005358E4"/>
    <w:rPr>
      <w:rFonts w:ascii="Times New Roman" w:eastAsiaTheme="minorHAnsi" w:hAnsi="Times New Roman" w:cs="Times New Roman"/>
      <w:b/>
      <w:spacing w:val="3"/>
      <w:w w:val="105"/>
      <w:sz w:val="17"/>
      <w:lang w:val="en-US" w:eastAsia="en-US"/>
    </w:rPr>
  </w:style>
  <w:style w:type="character" w:styleId="FootnoteReference">
    <w:name w:val="footnote reference"/>
    <w:aliases w:val="4_G,Ref,de nota al pie,Footnote Reference Number"/>
    <w:qFormat/>
    <w:rsid w:val="005358E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Normal"/>
    <w:link w:val="FootnoteTextChar"/>
    <w:qFormat/>
    <w:rsid w:val="005358E4"/>
    <w:pPr>
      <w:spacing w:line="210" w:lineRule="exact"/>
    </w:pPr>
    <w:rPr>
      <w:sz w:val="17"/>
      <w:szCs w:val="20"/>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link w:val="FootnoteText"/>
    <w:rsid w:val="005358E4"/>
    <w:rPr>
      <w:rFonts w:ascii="Times New Roman" w:eastAsiaTheme="minorHAnsi" w:hAnsi="Times New Roman" w:cs="Times New Roman"/>
      <w:spacing w:val="4"/>
      <w:w w:val="103"/>
      <w:kern w:val="14"/>
      <w:sz w:val="17"/>
      <w:szCs w:val="20"/>
      <w:lang w:val="fr-CA" w:eastAsia="en-US"/>
    </w:rPr>
  </w:style>
  <w:style w:type="paragraph" w:styleId="Header">
    <w:name w:val="header"/>
    <w:aliases w:val="6_G"/>
    <w:link w:val="HeaderChar"/>
    <w:qFormat/>
    <w:rsid w:val="005358E4"/>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aliases w:val="6_G Char"/>
    <w:link w:val="Header"/>
    <w:uiPriority w:val="99"/>
    <w:rsid w:val="005358E4"/>
    <w:rPr>
      <w:rFonts w:ascii="Times New Roman" w:eastAsiaTheme="minorHAnsi" w:hAnsi="Times New Roman" w:cs="Times New Roman"/>
      <w:spacing w:val="3"/>
      <w:w w:val="105"/>
      <w:sz w:val="17"/>
      <w:lang w:val="en-US" w:eastAsia="en-US"/>
    </w:rPr>
  </w:style>
  <w:style w:type="character" w:customStyle="1" w:styleId="Heading1Char">
    <w:name w:val="Heading 1 Char"/>
    <w:aliases w:val="Table_G Char"/>
    <w:link w:val="Heading1"/>
    <w:uiPriority w:val="9"/>
    <w:rsid w:val="005358E4"/>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5358E4"/>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5358E4"/>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5358E4"/>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5358E4"/>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5358E4"/>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5358E4"/>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5358E4"/>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5358E4"/>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qFormat/>
    <w:rsid w:val="005358E4"/>
    <w:rPr>
      <w:sz w:val="14"/>
    </w:rPr>
  </w:style>
  <w:style w:type="paragraph" w:styleId="ListParagraph">
    <w:name w:val="List Paragraph"/>
    <w:basedOn w:val="Normal"/>
    <w:uiPriority w:val="34"/>
    <w:rsid w:val="005358E4"/>
    <w:pPr>
      <w:ind w:left="720"/>
      <w:contextualSpacing/>
    </w:pPr>
  </w:style>
  <w:style w:type="paragraph" w:styleId="NoSpacing">
    <w:name w:val="No Spacing"/>
    <w:uiPriority w:val="1"/>
    <w:rsid w:val="005358E4"/>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5358E4"/>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5358E4"/>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5358E4"/>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5358E4"/>
    <w:pPr>
      <w:tabs>
        <w:tab w:val="right" w:pos="9965"/>
      </w:tabs>
      <w:spacing w:line="210" w:lineRule="exact"/>
    </w:pPr>
    <w:rPr>
      <w:spacing w:val="5"/>
      <w:w w:val="104"/>
      <w:sz w:val="17"/>
    </w:rPr>
  </w:style>
  <w:style w:type="paragraph" w:customStyle="1" w:styleId="SmallX">
    <w:name w:val="SmallX"/>
    <w:basedOn w:val="Small"/>
    <w:next w:val="Normal"/>
    <w:qFormat/>
    <w:rsid w:val="005358E4"/>
    <w:pPr>
      <w:spacing w:line="180" w:lineRule="exact"/>
      <w:jc w:val="right"/>
    </w:pPr>
    <w:rPr>
      <w:spacing w:val="6"/>
      <w:w w:val="106"/>
      <w:sz w:val="14"/>
    </w:rPr>
  </w:style>
  <w:style w:type="character" w:styleId="Strong">
    <w:name w:val="Strong"/>
    <w:qFormat/>
    <w:rsid w:val="005358E4"/>
    <w:rPr>
      <w:b/>
      <w:bCs/>
    </w:rPr>
  </w:style>
  <w:style w:type="paragraph" w:customStyle="1" w:styleId="Style1">
    <w:name w:val="Style1"/>
    <w:basedOn w:val="Normal"/>
    <w:qFormat/>
    <w:rsid w:val="005358E4"/>
  </w:style>
  <w:style w:type="paragraph" w:customStyle="1" w:styleId="Style2">
    <w:name w:val="Style2"/>
    <w:basedOn w:val="Normal"/>
    <w:autoRedefine/>
    <w:qFormat/>
    <w:rsid w:val="005358E4"/>
  </w:style>
  <w:style w:type="paragraph" w:customStyle="1" w:styleId="TitleHCH">
    <w:name w:val="Title_H_CH"/>
    <w:basedOn w:val="H1"/>
    <w:next w:val="Normal"/>
    <w:qFormat/>
    <w:rsid w:val="005358E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5358E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5358E4"/>
    <w:pPr>
      <w:tabs>
        <w:tab w:val="right" w:pos="360"/>
      </w:tabs>
      <w:spacing w:line="390" w:lineRule="exact"/>
    </w:pPr>
    <w:rPr>
      <w:spacing w:val="-4"/>
      <w:w w:val="98"/>
      <w:sz w:val="40"/>
    </w:rPr>
  </w:style>
  <w:style w:type="paragraph" w:customStyle="1" w:styleId="Session">
    <w:name w:val="Session"/>
    <w:basedOn w:val="H23"/>
    <w:qFormat/>
    <w:rsid w:val="002478A0"/>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semiHidden/>
    <w:unhideWhenUsed/>
    <w:rsid w:val="00F65BD2"/>
    <w:rPr>
      <w:sz w:val="16"/>
      <w:szCs w:val="16"/>
    </w:rPr>
  </w:style>
  <w:style w:type="paragraph" w:styleId="CommentText">
    <w:name w:val="annotation text"/>
    <w:basedOn w:val="Normal"/>
    <w:link w:val="CommentTextChar"/>
    <w:semiHidden/>
    <w:unhideWhenUsed/>
    <w:rsid w:val="00F65BD2"/>
    <w:pPr>
      <w:spacing w:line="240" w:lineRule="auto"/>
    </w:pPr>
    <w:rPr>
      <w:szCs w:val="20"/>
    </w:rPr>
  </w:style>
  <w:style w:type="character" w:customStyle="1" w:styleId="CommentTextChar">
    <w:name w:val="Comment Text Char"/>
    <w:basedOn w:val="DefaultParagraphFont"/>
    <w:link w:val="CommentText"/>
    <w:semiHidden/>
    <w:rsid w:val="00F65BD2"/>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semiHidden/>
    <w:unhideWhenUsed/>
    <w:rsid w:val="00F65BD2"/>
    <w:rPr>
      <w:b/>
      <w:bCs/>
    </w:rPr>
  </w:style>
  <w:style w:type="character" w:customStyle="1" w:styleId="CommentSubjectChar">
    <w:name w:val="Comment Subject Char"/>
    <w:basedOn w:val="CommentTextChar"/>
    <w:link w:val="CommentSubject"/>
    <w:semiHidden/>
    <w:rsid w:val="00F65BD2"/>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nhideWhenUsed/>
    <w:rsid w:val="00884C41"/>
    <w:rPr>
      <w:color w:val="0000FF" w:themeColor="hyperlink"/>
      <w:u w:val="none"/>
    </w:rPr>
  </w:style>
  <w:style w:type="character" w:styleId="FollowedHyperlink">
    <w:name w:val="FollowedHyperlink"/>
    <w:basedOn w:val="DefaultParagraphFont"/>
    <w:semiHidden/>
    <w:unhideWhenUsed/>
    <w:rsid w:val="00884C41"/>
    <w:rPr>
      <w:color w:val="0000FF"/>
      <w:u w:val="none"/>
    </w:rPr>
  </w:style>
  <w:style w:type="character" w:styleId="UnresolvedMention">
    <w:name w:val="Unresolved Mention"/>
    <w:basedOn w:val="DefaultParagraphFont"/>
    <w:uiPriority w:val="99"/>
    <w:semiHidden/>
    <w:unhideWhenUsed/>
    <w:rsid w:val="00884C41"/>
    <w:rPr>
      <w:color w:val="808080"/>
      <w:shd w:val="clear" w:color="auto" w:fill="E6E6E6"/>
    </w:rPr>
  </w:style>
  <w:style w:type="paragraph" w:customStyle="1" w:styleId="HMG">
    <w:name w:val="_ H __M_G"/>
    <w:basedOn w:val="Normal"/>
    <w:next w:val="Normal"/>
    <w:qFormat/>
    <w:rsid w:val="00D25381"/>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qFormat/>
    <w:rsid w:val="00D25381"/>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qFormat/>
    <w:rsid w:val="00D25381"/>
    <w:pPr>
      <w:suppressAutoHyphens/>
      <w:spacing w:after="120" w:line="240" w:lineRule="atLeast"/>
      <w:ind w:left="1134" w:right="1134"/>
      <w:jc w:val="both"/>
    </w:pPr>
    <w:rPr>
      <w:rFonts w:eastAsia="Times New Roman"/>
      <w:spacing w:val="0"/>
      <w:w w:val="100"/>
      <w:kern w:val="0"/>
      <w:szCs w:val="20"/>
      <w:lang w:val="en-GB"/>
    </w:rPr>
  </w:style>
  <w:style w:type="character" w:styleId="PageNumber">
    <w:name w:val="page number"/>
    <w:aliases w:val="7_G"/>
    <w:basedOn w:val="DefaultParagraphFont"/>
    <w:qFormat/>
    <w:rsid w:val="00D25381"/>
    <w:rPr>
      <w:rFonts w:ascii="Times New Roman" w:hAnsi="Times New Roman"/>
      <w:b/>
      <w:sz w:val="18"/>
    </w:rPr>
  </w:style>
  <w:style w:type="paragraph" w:styleId="PlainText">
    <w:name w:val="Plain Text"/>
    <w:basedOn w:val="Normal"/>
    <w:link w:val="PlainTextChar"/>
    <w:semiHidden/>
    <w:rsid w:val="00D25381"/>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semiHidden/>
    <w:rsid w:val="00D25381"/>
    <w:rPr>
      <w:rFonts w:ascii="Times New Roman" w:eastAsia="Times New Roman" w:hAnsi="Times New Roman" w:cs="Courier New"/>
      <w:sz w:val="20"/>
      <w:szCs w:val="20"/>
      <w:lang w:eastAsia="en-US"/>
    </w:rPr>
  </w:style>
  <w:style w:type="paragraph" w:styleId="BodyText">
    <w:name w:val="Body Text"/>
    <w:basedOn w:val="Normal"/>
    <w:next w:val="Normal"/>
    <w:link w:val="BodyTextChar"/>
    <w:semiHidden/>
    <w:rsid w:val="00D25381"/>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semiHidden/>
    <w:rsid w:val="00D25381"/>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semiHidden/>
    <w:rsid w:val="00D25381"/>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semiHidden/>
    <w:rsid w:val="00D25381"/>
    <w:rPr>
      <w:rFonts w:ascii="Times New Roman" w:eastAsia="Times New Roman" w:hAnsi="Times New Roman" w:cs="Times New Roman"/>
      <w:sz w:val="20"/>
      <w:szCs w:val="20"/>
      <w:lang w:eastAsia="en-US"/>
    </w:rPr>
  </w:style>
  <w:style w:type="paragraph" w:styleId="BlockText">
    <w:name w:val="Block Text"/>
    <w:basedOn w:val="Normal"/>
    <w:semiHidden/>
    <w:rsid w:val="00D25381"/>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D25381"/>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D25381"/>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D25381"/>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D25381"/>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qFormat/>
    <w:rsid w:val="00D25381"/>
    <w:pPr>
      <w:numPr>
        <w:numId w:val="32"/>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qFormat/>
    <w:rsid w:val="00D25381"/>
    <w:pPr>
      <w:numPr>
        <w:numId w:val="33"/>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qFormat/>
    <w:rsid w:val="00D25381"/>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qFormat/>
    <w:rsid w:val="00D25381"/>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qFormat/>
    <w:rsid w:val="00D25381"/>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qFormat/>
    <w:rsid w:val="00D25381"/>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D25381"/>
    <w:pPr>
      <w:numPr>
        <w:numId w:val="29"/>
      </w:numPr>
    </w:pPr>
  </w:style>
  <w:style w:type="numbering" w:styleId="1ai">
    <w:name w:val="Outline List 1"/>
    <w:basedOn w:val="NoList"/>
    <w:semiHidden/>
    <w:rsid w:val="00D25381"/>
    <w:pPr>
      <w:numPr>
        <w:numId w:val="30"/>
      </w:numPr>
    </w:pPr>
  </w:style>
  <w:style w:type="numbering" w:styleId="ArticleSection">
    <w:name w:val="Outline List 3"/>
    <w:basedOn w:val="NoList"/>
    <w:semiHidden/>
    <w:rsid w:val="00D25381"/>
    <w:pPr>
      <w:numPr>
        <w:numId w:val="31"/>
      </w:numPr>
    </w:pPr>
  </w:style>
  <w:style w:type="paragraph" w:styleId="BodyText2">
    <w:name w:val="Body Text 2"/>
    <w:basedOn w:val="Normal"/>
    <w:link w:val="BodyText2Char"/>
    <w:semiHidden/>
    <w:rsid w:val="00D25381"/>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semiHidden/>
    <w:rsid w:val="00D25381"/>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D25381"/>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D25381"/>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D25381"/>
    <w:pPr>
      <w:spacing w:after="120"/>
      <w:ind w:firstLine="210"/>
    </w:pPr>
  </w:style>
  <w:style w:type="character" w:customStyle="1" w:styleId="BodyTextFirstIndentChar">
    <w:name w:val="Body Text First Indent Char"/>
    <w:basedOn w:val="BodyTextChar"/>
    <w:link w:val="BodyTextFirstIndent"/>
    <w:semiHidden/>
    <w:rsid w:val="00D25381"/>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D25381"/>
    <w:pPr>
      <w:ind w:firstLine="210"/>
    </w:pPr>
  </w:style>
  <w:style w:type="character" w:customStyle="1" w:styleId="BodyTextFirstIndent2Char">
    <w:name w:val="Body Text First Indent 2 Char"/>
    <w:basedOn w:val="BodyTextIndentChar"/>
    <w:link w:val="BodyTextFirstIndent2"/>
    <w:semiHidden/>
    <w:rsid w:val="00D25381"/>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rsid w:val="00D25381"/>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semiHidden/>
    <w:rsid w:val="00D25381"/>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D25381"/>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D25381"/>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D25381"/>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semiHidden/>
    <w:rsid w:val="00D25381"/>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D25381"/>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semiHidden/>
    <w:rsid w:val="00D25381"/>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D25381"/>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semiHidden/>
    <w:rsid w:val="00D25381"/>
    <w:rPr>
      <w:rFonts w:ascii="Times New Roman" w:eastAsia="Times New Roman" w:hAnsi="Times New Roman" w:cs="Times New Roman"/>
      <w:sz w:val="20"/>
      <w:szCs w:val="20"/>
      <w:lang w:eastAsia="en-US"/>
    </w:rPr>
  </w:style>
  <w:style w:type="character" w:styleId="Emphasis">
    <w:name w:val="Emphasis"/>
    <w:basedOn w:val="DefaultParagraphFont"/>
    <w:qFormat/>
    <w:rsid w:val="00D25381"/>
    <w:rPr>
      <w:i/>
      <w:iCs/>
    </w:rPr>
  </w:style>
  <w:style w:type="paragraph" w:styleId="EnvelopeReturn">
    <w:name w:val="envelope return"/>
    <w:basedOn w:val="Normal"/>
    <w:semiHidden/>
    <w:rsid w:val="00D25381"/>
    <w:pPr>
      <w:suppressAutoHyphens/>
      <w:spacing w:line="240" w:lineRule="atLeast"/>
    </w:pPr>
    <w:rPr>
      <w:rFonts w:ascii="Arial" w:eastAsia="Times New Roman" w:hAnsi="Arial" w:cs="Arial"/>
      <w:spacing w:val="0"/>
      <w:w w:val="100"/>
      <w:kern w:val="0"/>
      <w:szCs w:val="20"/>
      <w:lang w:val="en-GB"/>
    </w:rPr>
  </w:style>
  <w:style w:type="character" w:styleId="HTMLAcronym">
    <w:name w:val="HTML Acronym"/>
    <w:basedOn w:val="DefaultParagraphFont"/>
    <w:semiHidden/>
    <w:rsid w:val="00D25381"/>
  </w:style>
  <w:style w:type="paragraph" w:styleId="HTMLAddress">
    <w:name w:val="HTML Address"/>
    <w:basedOn w:val="Normal"/>
    <w:link w:val="HTMLAddressChar"/>
    <w:semiHidden/>
    <w:rsid w:val="00D25381"/>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D25381"/>
    <w:rPr>
      <w:rFonts w:ascii="Times New Roman" w:eastAsia="Times New Roman" w:hAnsi="Times New Roman" w:cs="Times New Roman"/>
      <w:i/>
      <w:iCs/>
      <w:sz w:val="20"/>
      <w:szCs w:val="20"/>
      <w:lang w:eastAsia="en-US"/>
    </w:rPr>
  </w:style>
  <w:style w:type="character" w:styleId="HTMLCite">
    <w:name w:val="HTML Cite"/>
    <w:basedOn w:val="DefaultParagraphFont"/>
    <w:semiHidden/>
    <w:rsid w:val="00D25381"/>
    <w:rPr>
      <w:i/>
      <w:iCs/>
    </w:rPr>
  </w:style>
  <w:style w:type="character" w:styleId="HTMLCode">
    <w:name w:val="HTML Code"/>
    <w:basedOn w:val="DefaultParagraphFont"/>
    <w:semiHidden/>
    <w:rsid w:val="00D25381"/>
    <w:rPr>
      <w:rFonts w:ascii="Courier New" w:hAnsi="Courier New" w:cs="Courier New"/>
      <w:sz w:val="20"/>
      <w:szCs w:val="20"/>
    </w:rPr>
  </w:style>
  <w:style w:type="character" w:styleId="HTMLDefinition">
    <w:name w:val="HTML Definition"/>
    <w:basedOn w:val="DefaultParagraphFont"/>
    <w:semiHidden/>
    <w:rsid w:val="00D25381"/>
    <w:rPr>
      <w:i/>
      <w:iCs/>
    </w:rPr>
  </w:style>
  <w:style w:type="character" w:styleId="HTMLKeyboard">
    <w:name w:val="HTML Keyboard"/>
    <w:basedOn w:val="DefaultParagraphFont"/>
    <w:semiHidden/>
    <w:rsid w:val="00D25381"/>
    <w:rPr>
      <w:rFonts w:ascii="Courier New" w:hAnsi="Courier New" w:cs="Courier New"/>
      <w:sz w:val="20"/>
      <w:szCs w:val="20"/>
    </w:rPr>
  </w:style>
  <w:style w:type="paragraph" w:styleId="HTMLPreformatted">
    <w:name w:val="HTML Preformatted"/>
    <w:basedOn w:val="Normal"/>
    <w:link w:val="HTMLPreformattedChar"/>
    <w:semiHidden/>
    <w:rsid w:val="00D25381"/>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semiHidden/>
    <w:rsid w:val="00D25381"/>
    <w:rPr>
      <w:rFonts w:ascii="Courier New" w:eastAsia="Times New Roman" w:hAnsi="Courier New" w:cs="Courier New"/>
      <w:sz w:val="20"/>
      <w:szCs w:val="20"/>
      <w:lang w:eastAsia="en-US"/>
    </w:rPr>
  </w:style>
  <w:style w:type="character" w:styleId="HTMLSample">
    <w:name w:val="HTML Sample"/>
    <w:basedOn w:val="DefaultParagraphFont"/>
    <w:semiHidden/>
    <w:rsid w:val="00D25381"/>
    <w:rPr>
      <w:rFonts w:ascii="Courier New" w:hAnsi="Courier New" w:cs="Courier New"/>
    </w:rPr>
  </w:style>
  <w:style w:type="character" w:styleId="HTMLTypewriter">
    <w:name w:val="HTML Typewriter"/>
    <w:basedOn w:val="DefaultParagraphFont"/>
    <w:semiHidden/>
    <w:rsid w:val="00D25381"/>
    <w:rPr>
      <w:rFonts w:ascii="Courier New" w:hAnsi="Courier New" w:cs="Courier New"/>
      <w:sz w:val="20"/>
      <w:szCs w:val="20"/>
    </w:rPr>
  </w:style>
  <w:style w:type="character" w:styleId="HTMLVariable">
    <w:name w:val="HTML Variable"/>
    <w:basedOn w:val="DefaultParagraphFont"/>
    <w:semiHidden/>
    <w:rsid w:val="00D25381"/>
    <w:rPr>
      <w:i/>
      <w:iCs/>
    </w:rPr>
  </w:style>
  <w:style w:type="paragraph" w:styleId="List">
    <w:name w:val="List"/>
    <w:basedOn w:val="Normal"/>
    <w:semiHidden/>
    <w:rsid w:val="00D25381"/>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D25381"/>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D25381"/>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D25381"/>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D25381"/>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D25381"/>
    <w:pPr>
      <w:numPr>
        <w:numId w:val="24"/>
      </w:numPr>
      <w:suppressAutoHyphens/>
      <w:spacing w:line="240" w:lineRule="atLeast"/>
    </w:pPr>
    <w:rPr>
      <w:rFonts w:eastAsia="Times New Roman"/>
      <w:spacing w:val="0"/>
      <w:w w:val="100"/>
      <w:kern w:val="0"/>
      <w:szCs w:val="20"/>
      <w:lang w:val="en-GB"/>
    </w:rPr>
  </w:style>
  <w:style w:type="paragraph" w:styleId="ListBullet2">
    <w:name w:val="List Bullet 2"/>
    <w:basedOn w:val="Normal"/>
    <w:semiHidden/>
    <w:rsid w:val="00D25381"/>
    <w:pPr>
      <w:numPr>
        <w:numId w:val="25"/>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D25381"/>
    <w:pPr>
      <w:numPr>
        <w:numId w:val="26"/>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rsid w:val="00D25381"/>
    <w:pPr>
      <w:numPr>
        <w:numId w:val="27"/>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D25381"/>
    <w:pPr>
      <w:numPr>
        <w:numId w:val="28"/>
      </w:numPr>
      <w:suppressAutoHyphens/>
      <w:spacing w:line="240" w:lineRule="atLeast"/>
    </w:pPr>
    <w:rPr>
      <w:rFonts w:eastAsia="Times New Roman"/>
      <w:spacing w:val="0"/>
      <w:w w:val="100"/>
      <w:kern w:val="0"/>
      <w:szCs w:val="20"/>
      <w:lang w:val="en-GB"/>
    </w:rPr>
  </w:style>
  <w:style w:type="paragraph" w:styleId="ListContinue">
    <w:name w:val="List Continue"/>
    <w:basedOn w:val="Normal"/>
    <w:semiHidden/>
    <w:rsid w:val="00D25381"/>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semiHidden/>
    <w:rsid w:val="00D25381"/>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semiHidden/>
    <w:rsid w:val="00D25381"/>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D25381"/>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D25381"/>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semiHidden/>
    <w:rsid w:val="00D25381"/>
    <w:pPr>
      <w:numPr>
        <w:numId w:val="23"/>
      </w:numPr>
      <w:suppressAutoHyphens/>
      <w:spacing w:line="240" w:lineRule="atLeast"/>
    </w:pPr>
    <w:rPr>
      <w:rFonts w:eastAsia="Times New Roman"/>
      <w:spacing w:val="0"/>
      <w:w w:val="100"/>
      <w:kern w:val="0"/>
      <w:szCs w:val="20"/>
      <w:lang w:val="en-GB"/>
    </w:rPr>
  </w:style>
  <w:style w:type="paragraph" w:styleId="ListNumber2">
    <w:name w:val="List Number 2"/>
    <w:basedOn w:val="Normal"/>
    <w:semiHidden/>
    <w:rsid w:val="00D25381"/>
    <w:pPr>
      <w:numPr>
        <w:numId w:val="22"/>
      </w:numPr>
      <w:suppressAutoHyphens/>
      <w:spacing w:line="240" w:lineRule="atLeast"/>
    </w:pPr>
    <w:rPr>
      <w:rFonts w:eastAsia="Times New Roman"/>
      <w:spacing w:val="0"/>
      <w:w w:val="100"/>
      <w:kern w:val="0"/>
      <w:szCs w:val="20"/>
      <w:lang w:val="en-GB"/>
    </w:rPr>
  </w:style>
  <w:style w:type="paragraph" w:styleId="ListNumber3">
    <w:name w:val="List Number 3"/>
    <w:basedOn w:val="Normal"/>
    <w:semiHidden/>
    <w:rsid w:val="00D25381"/>
    <w:pPr>
      <w:numPr>
        <w:numId w:val="21"/>
      </w:numPr>
      <w:suppressAutoHyphens/>
      <w:spacing w:line="240" w:lineRule="atLeast"/>
    </w:pPr>
    <w:rPr>
      <w:rFonts w:eastAsia="Times New Roman"/>
      <w:spacing w:val="0"/>
      <w:w w:val="100"/>
      <w:kern w:val="0"/>
      <w:szCs w:val="20"/>
      <w:lang w:val="en-GB"/>
    </w:rPr>
  </w:style>
  <w:style w:type="paragraph" w:styleId="ListNumber4">
    <w:name w:val="List Number 4"/>
    <w:basedOn w:val="Normal"/>
    <w:semiHidden/>
    <w:rsid w:val="00D25381"/>
    <w:pPr>
      <w:numPr>
        <w:numId w:val="19"/>
      </w:numPr>
      <w:suppressAutoHyphens/>
      <w:spacing w:line="240" w:lineRule="atLeast"/>
    </w:pPr>
    <w:rPr>
      <w:rFonts w:eastAsia="Times New Roman"/>
      <w:spacing w:val="0"/>
      <w:w w:val="100"/>
      <w:kern w:val="0"/>
      <w:szCs w:val="20"/>
      <w:lang w:val="en-GB"/>
    </w:rPr>
  </w:style>
  <w:style w:type="paragraph" w:styleId="ListNumber5">
    <w:name w:val="List Number 5"/>
    <w:basedOn w:val="Normal"/>
    <w:semiHidden/>
    <w:rsid w:val="00D25381"/>
    <w:pPr>
      <w:numPr>
        <w:numId w:val="20"/>
      </w:numPr>
      <w:suppressAutoHyphens/>
      <w:spacing w:line="240" w:lineRule="atLeast"/>
    </w:pPr>
    <w:rPr>
      <w:rFonts w:eastAsia="Times New Roman"/>
      <w:spacing w:val="0"/>
      <w:w w:val="100"/>
      <w:kern w:val="0"/>
      <w:szCs w:val="20"/>
      <w:lang w:val="en-GB"/>
    </w:rPr>
  </w:style>
  <w:style w:type="paragraph" w:styleId="MessageHeader">
    <w:name w:val="Message Header"/>
    <w:basedOn w:val="Normal"/>
    <w:link w:val="MessageHeaderChar"/>
    <w:semiHidden/>
    <w:rsid w:val="00D25381"/>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D25381"/>
    <w:rPr>
      <w:rFonts w:ascii="Arial" w:eastAsia="Times New Roman" w:hAnsi="Arial" w:cs="Arial"/>
      <w:sz w:val="24"/>
      <w:szCs w:val="24"/>
      <w:shd w:val="pct20" w:color="auto" w:fill="auto"/>
      <w:lang w:eastAsia="en-US"/>
    </w:rPr>
  </w:style>
  <w:style w:type="paragraph" w:styleId="NormalWeb">
    <w:name w:val="Normal (Web)"/>
    <w:basedOn w:val="Normal"/>
    <w:semiHidden/>
    <w:rsid w:val="00D25381"/>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D25381"/>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D25381"/>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semiHidden/>
    <w:rsid w:val="00D25381"/>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D25381"/>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semiHidden/>
    <w:rsid w:val="00D25381"/>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D25381"/>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semiHidden/>
    <w:rsid w:val="00D25381"/>
    <w:rPr>
      <w:rFonts w:ascii="Times New Roman" w:eastAsia="Times New Roman" w:hAnsi="Times New Roman" w:cs="Times New Roman"/>
      <w:sz w:val="20"/>
      <w:szCs w:val="20"/>
      <w:lang w:eastAsia="en-US"/>
    </w:rPr>
  </w:style>
  <w:style w:type="paragraph" w:styleId="Subtitle">
    <w:name w:val="Subtitle"/>
    <w:basedOn w:val="Normal"/>
    <w:link w:val="SubtitleChar"/>
    <w:qFormat/>
    <w:rsid w:val="00D25381"/>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D25381"/>
    <w:rPr>
      <w:rFonts w:ascii="Arial" w:eastAsia="Times New Roman" w:hAnsi="Arial" w:cs="Arial"/>
      <w:sz w:val="24"/>
      <w:szCs w:val="24"/>
      <w:lang w:eastAsia="en-US"/>
    </w:rPr>
  </w:style>
  <w:style w:type="table" w:styleId="Table3Deffects1">
    <w:name w:val="Table 3D effects 1"/>
    <w:basedOn w:val="TableNormal"/>
    <w:semiHidden/>
    <w:rsid w:val="00D25381"/>
    <w:pPr>
      <w:suppressAutoHyphens/>
      <w:spacing w:after="0" w:line="240" w:lineRule="atLeast"/>
    </w:pPr>
    <w:rPr>
      <w:rFonts w:ascii="Times New Roman" w:eastAsia="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25381"/>
    <w:pPr>
      <w:suppressAutoHyphens/>
      <w:spacing w:after="0" w:line="240" w:lineRule="atLeast"/>
    </w:pPr>
    <w:rPr>
      <w:rFonts w:ascii="Times New Roman" w:eastAsia="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25381"/>
    <w:pPr>
      <w:suppressAutoHyphens/>
      <w:spacing w:after="0" w:line="240" w:lineRule="atLeast"/>
    </w:pPr>
    <w:rPr>
      <w:rFonts w:ascii="Times New Roman" w:eastAsia="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25381"/>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25381"/>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25381"/>
    <w:pPr>
      <w:suppressAutoHyphens/>
      <w:spacing w:after="0" w:line="240" w:lineRule="atLeast"/>
    </w:pPr>
    <w:rPr>
      <w:rFonts w:ascii="Times New Roman" w:eastAsia="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25381"/>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25381"/>
    <w:pPr>
      <w:suppressAutoHyphens/>
      <w:spacing w:after="0" w:line="240" w:lineRule="atLeast"/>
    </w:pPr>
    <w:rPr>
      <w:rFonts w:ascii="Times New Roman" w:eastAsia="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25381"/>
    <w:pPr>
      <w:suppressAutoHyphens/>
      <w:spacing w:after="0" w:line="240" w:lineRule="atLeast"/>
    </w:pPr>
    <w:rPr>
      <w:rFonts w:ascii="Times New Roman" w:eastAsia="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25381"/>
    <w:pPr>
      <w:suppressAutoHyphens/>
      <w:spacing w:after="0" w:line="240" w:lineRule="atLeast"/>
    </w:pPr>
    <w:rPr>
      <w:rFonts w:ascii="Times New Roman" w:eastAsia="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25381"/>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25381"/>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25381"/>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25381"/>
    <w:pPr>
      <w:suppressAutoHyphens/>
      <w:spacing w:after="0" w:line="240" w:lineRule="atLeast"/>
    </w:pPr>
    <w:rPr>
      <w:rFonts w:ascii="Times New Roman" w:eastAsia="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25381"/>
    <w:pPr>
      <w:suppressAutoHyphens/>
      <w:spacing w:after="0" w:line="240" w:lineRule="atLeast"/>
    </w:pPr>
    <w:rPr>
      <w:rFonts w:ascii="Times New Roman" w:eastAsia="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25381"/>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25381"/>
    <w:pPr>
      <w:suppressAutoHyphens/>
      <w:spacing w:after="0" w:line="240" w:lineRule="atLeast"/>
    </w:pPr>
    <w:rPr>
      <w:rFonts w:ascii="Times New Roman" w:eastAsia="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25381"/>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D25381"/>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25381"/>
    <w:pPr>
      <w:suppressAutoHyphens/>
      <w:spacing w:after="0" w:line="240" w:lineRule="atLeast"/>
    </w:pPr>
    <w:rPr>
      <w:rFonts w:ascii="Times New Roman" w:eastAsia="Times New Roma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25381"/>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25381"/>
    <w:pPr>
      <w:suppressAutoHyphens/>
      <w:spacing w:after="0" w:line="240" w:lineRule="atLeast"/>
    </w:pPr>
    <w:rPr>
      <w:rFonts w:ascii="Times New Roman" w:eastAsia="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25381"/>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25381"/>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25381"/>
    <w:pPr>
      <w:suppressAutoHyphens/>
      <w:spacing w:after="0" w:line="240" w:lineRule="atLeast"/>
    </w:pPr>
    <w:rPr>
      <w:rFonts w:ascii="Times New Roman" w:eastAsia="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25381"/>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25381"/>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25381"/>
    <w:pPr>
      <w:suppressAutoHyphens/>
      <w:spacing w:after="0" w:line="240" w:lineRule="atLeast"/>
    </w:pPr>
    <w:rPr>
      <w:rFonts w:ascii="Times New Roman" w:eastAsia="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25381"/>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25381"/>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25381"/>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25381"/>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25381"/>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25381"/>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25381"/>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25381"/>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25381"/>
    <w:pPr>
      <w:suppressAutoHyphens/>
      <w:spacing w:after="0" w:line="240" w:lineRule="atLeast"/>
    </w:pPr>
    <w:rPr>
      <w:rFonts w:ascii="Times New Roman" w:eastAsia="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25381"/>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25381"/>
    <w:pPr>
      <w:suppressAutoHyphens/>
      <w:spacing w:after="0" w:line="240" w:lineRule="atLeast"/>
    </w:pPr>
    <w:rPr>
      <w:rFonts w:ascii="Times New Roman" w:eastAsia="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25381"/>
    <w:pPr>
      <w:suppressAutoHyphens/>
      <w:spacing w:after="0" w:line="240" w:lineRule="atLeast"/>
    </w:pPr>
    <w:rPr>
      <w:rFonts w:ascii="Times New Roman" w:eastAsia="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25381"/>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25381"/>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25381"/>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25381"/>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D25381"/>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D25381"/>
    <w:rPr>
      <w:rFonts w:ascii="Arial" w:eastAsia="Times New Roman" w:hAnsi="Arial" w:cs="Arial"/>
      <w:b/>
      <w:bCs/>
      <w:kern w:val="28"/>
      <w:sz w:val="32"/>
      <w:szCs w:val="32"/>
      <w:lang w:eastAsia="en-US"/>
    </w:rPr>
  </w:style>
  <w:style w:type="paragraph" w:styleId="EnvelopeAddress">
    <w:name w:val="envelope address"/>
    <w:basedOn w:val="Normal"/>
    <w:semiHidden/>
    <w:rsid w:val="00D25381"/>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paragraph" w:customStyle="1" w:styleId="ParNoG">
    <w:name w:val="_ParNo_G"/>
    <w:basedOn w:val="SingleTxtG"/>
    <w:qFormat/>
    <w:rsid w:val="00D25381"/>
    <w:pPr>
      <w:numPr>
        <w:numId w:val="34"/>
      </w:numPr>
      <w:kinsoku w:val="0"/>
      <w:overflowPunct w:val="0"/>
      <w:autoSpaceDE w:val="0"/>
      <w:autoSpaceDN w:val="0"/>
      <w:adjustRightInd w:val="0"/>
      <w:snapToGrid w:val="0"/>
    </w:pPr>
  </w:style>
  <w:style w:type="character" w:customStyle="1" w:styleId="highlight1">
    <w:name w:val="highlight1"/>
    <w:basedOn w:val="DefaultParagraphFont"/>
    <w:rsid w:val="00D25381"/>
    <w:rPr>
      <w:shd w:val="clear" w:color="auto" w:fill="FFCC33"/>
    </w:rPr>
  </w:style>
  <w:style w:type="paragraph" w:styleId="Revision">
    <w:name w:val="Revision"/>
    <w:hidden/>
    <w:uiPriority w:val="99"/>
    <w:semiHidden/>
    <w:rsid w:val="00D25381"/>
    <w:pPr>
      <w:spacing w:after="0" w:line="240" w:lineRule="auto"/>
    </w:pPr>
    <w:rPr>
      <w:rFonts w:ascii="Times New Roman" w:eastAsia="Times New Roman" w:hAnsi="Times New Roman" w:cs="Times New Roman"/>
      <w:sz w:val="20"/>
      <w:szCs w:val="20"/>
      <w:lang w:eastAsia="en-US"/>
    </w:rPr>
  </w:style>
  <w:style w:type="character" w:customStyle="1" w:styleId="terminologypart">
    <w:name w:val="terminologypart"/>
    <w:basedOn w:val="DefaultParagraphFont"/>
    <w:rsid w:val="00D25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NZL/Q/8" TargetMode="External"/><Relationship Id="rId26" Type="http://schemas.openxmlformats.org/officeDocument/2006/relationships/hyperlink" Target="https://undocs.org/fr/HRI/GEN/2/Rev.6" TargetMode="External"/><Relationship Id="rId3" Type="http://schemas.openxmlformats.org/officeDocument/2006/relationships/settings" Target="settings.xml"/><Relationship Id="rId21" Type="http://schemas.openxmlformats.org/officeDocument/2006/relationships/hyperlink" Target="https://undocs.org/fr/CEDAW/C/NZL/7"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SR.1617" TargetMode="External"/><Relationship Id="rId25" Type="http://schemas.openxmlformats.org/officeDocument/2006/relationships/hyperlink" Target="https://undocs.org/fr/CEDAW/C/NZL/CO/7" TargetMode="External"/><Relationship Id="rId2" Type="http://schemas.openxmlformats.org/officeDocument/2006/relationships/styles" Target="styles.xml"/><Relationship Id="rId16" Type="http://schemas.openxmlformats.org/officeDocument/2006/relationships/hyperlink" Target="https://undocs.org/fr/CEDAW/C/SR.1616" TargetMode="External"/><Relationship Id="rId20" Type="http://schemas.openxmlformats.org/officeDocument/2006/relationships/hyperlink" Target="https://undocs.org/fr/CEDAW/C/NZL/CO/7/Add.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CEDAW/C/NZL/CO/7" TargetMode="External"/><Relationship Id="rId5" Type="http://schemas.openxmlformats.org/officeDocument/2006/relationships/footnotes" Target="footnotes.xml"/><Relationship Id="rId15" Type="http://schemas.openxmlformats.org/officeDocument/2006/relationships/hyperlink" Target="https://undocs.org/fr/CEDAW/C/NZL/8%20" TargetMode="External"/><Relationship Id="rId23" Type="http://schemas.openxmlformats.org/officeDocument/2006/relationships/hyperlink" Target="https://undocs.org/fr/S/RES/1325(2000)"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undocs.org/fr/CEDAW/C/NZL/Q/8/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S/RES/1325(2000)"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9217</Words>
  <Characters>49573</Characters>
  <Application>Microsoft Office Word</Application>
  <DocSecurity>0</DocSecurity>
  <Lines>912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Adoum Goulgue</dc:creator>
  <cp:keywords/>
  <dc:description/>
  <cp:lastModifiedBy>Christiane Hya</cp:lastModifiedBy>
  <cp:revision>4</cp:revision>
  <cp:lastPrinted>2018-09-21T14:37:00Z</cp:lastPrinted>
  <dcterms:created xsi:type="dcterms:W3CDTF">2018-09-21T14:37:00Z</dcterms:created>
  <dcterms:modified xsi:type="dcterms:W3CDTF">2018-09-21T14:42:00Z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1812320F</vt:lpwstr>
  </property>
  <property fmtid="{D5CDD505-2E9C-101B-9397-08002B2CF9AE}" pid="3" name="ODSRefJobNo">
    <vt:lpwstr>1823813F</vt:lpwstr>
  </property>
  <property fmtid="{D5CDD505-2E9C-101B-9397-08002B2CF9AE}" pid="4" name="Symbol1">
    <vt:lpwstr>CEDAW/C/NZL/CO/8</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Distribution">
    <vt:lpwstr>générale</vt:lpwstr>
  </property>
  <property fmtid="{D5CDD505-2E9C-101B-9397-08002B2CF9AE}" pid="10" name="Publication Date">
    <vt:lpwstr>25 juillet 2018</vt:lpwstr>
  </property>
  <property fmtid="{D5CDD505-2E9C-101B-9397-08002B2CF9AE}" pid="11" name="Release Date">
    <vt:lpwstr/>
  </property>
  <property fmtid="{D5CDD505-2E9C-101B-9397-08002B2CF9AE}" pid="12" name="Title1">
    <vt:lpwstr>		Observations finales concernant le huitième rapport périodique de la Nouvelle-Zélande*_x000d_</vt:lpwstr>
  </property>
  <property fmtid="{D5CDD505-2E9C-101B-9397-08002B2CF9AE}" pid="13" name="Comment">
    <vt:lpwstr>ch: Finalization + Proof reading</vt:lpwstr>
  </property>
  <property fmtid="{D5CDD505-2E9C-101B-9397-08002B2CF9AE}" pid="14" name="DraftPages">
    <vt:lpwstr/>
  </property>
  <property fmtid="{D5CDD505-2E9C-101B-9397-08002B2CF9AE}" pid="15" name="Operator">
    <vt:lpwstr>AGO</vt:lpwstr>
  </property>
</Properties>
</file>