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B6855" w14:textId="77777777" w:rsidR="00C87D14" w:rsidRPr="00111F07" w:rsidRDefault="00C87D14" w:rsidP="00C87D14">
      <w:pPr>
        <w:spacing w:line="240" w:lineRule="auto"/>
        <w:rPr>
          <w:sz w:val="2"/>
        </w:rPr>
        <w:sectPr w:rsidR="00C87D14" w:rsidRPr="00111F07" w:rsidSect="00DF7ED2">
          <w:headerReference w:type="even" r:id="rId8"/>
          <w:headerReference w:type="default" r:id="rId9"/>
          <w:footerReference w:type="even" r:id="rId10"/>
          <w:footerReference w:type="default" r:id="rId11"/>
          <w:headerReference w:type="first" r:id="rId12"/>
          <w:footerReference w:type="first" r:id="rId13"/>
          <w:pgSz w:w="12240" w:h="15840"/>
          <w:pgMar w:top="1440" w:right="1195" w:bottom="1152" w:left="1195" w:header="432" w:footer="576" w:gutter="0"/>
          <w:cols w:space="720"/>
          <w:titlePg/>
          <w:docGrid w:linePitch="360"/>
        </w:sectPr>
      </w:pPr>
      <w:commentRangeStart w:id="0"/>
      <w:commentRangeEnd w:id="0"/>
      <w:r w:rsidRPr="00111F07">
        <w:rPr>
          <w:rStyle w:val="CommentReference"/>
        </w:rPr>
        <w:commentReference w:id="0"/>
      </w:r>
    </w:p>
    <w:p w14:paraId="05AA3918" w14:textId="1A64089A" w:rsidR="00603A87" w:rsidRPr="00111F07" w:rsidRDefault="00603A87" w:rsidP="00DF7E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20"/>
        <w:rPr>
          <w:lang w:val="fr-FR"/>
        </w:rPr>
      </w:pPr>
      <w:r w:rsidRPr="00111F07">
        <w:rPr>
          <w:lang w:val="fr-FR"/>
        </w:rPr>
        <w:t>Comité pour l</w:t>
      </w:r>
      <w:r w:rsidR="007A3CEB" w:rsidRPr="00111F07">
        <w:rPr>
          <w:lang w:val="fr-FR"/>
        </w:rPr>
        <w:t>’</w:t>
      </w:r>
      <w:r w:rsidRPr="00111F07">
        <w:rPr>
          <w:lang w:val="fr-FR"/>
        </w:rPr>
        <w:t>élimination de la discrimination à l</w:t>
      </w:r>
      <w:r w:rsidR="007A3CEB" w:rsidRPr="00111F07">
        <w:rPr>
          <w:lang w:val="fr-FR"/>
        </w:rPr>
        <w:t>’</w:t>
      </w:r>
      <w:r w:rsidRPr="00111F07">
        <w:rPr>
          <w:lang w:val="fr-FR"/>
        </w:rPr>
        <w:t>égard des femmes</w:t>
      </w:r>
    </w:p>
    <w:p w14:paraId="6E5D0337" w14:textId="77777777" w:rsidR="00603A87" w:rsidRPr="00111F07" w:rsidRDefault="00603A87" w:rsidP="007A3CEB">
      <w:pPr>
        <w:pStyle w:val="Session"/>
        <w:rPr>
          <w:lang w:val="fr-FR"/>
        </w:rPr>
      </w:pPr>
      <w:r w:rsidRPr="00111F07">
        <w:rPr>
          <w:lang w:val="fr-FR"/>
        </w:rPr>
        <w:t>Soixante-seizième session</w:t>
      </w:r>
    </w:p>
    <w:p w14:paraId="01514959" w14:textId="77777777" w:rsidR="00603A87" w:rsidRPr="00111F07" w:rsidRDefault="00603A87" w:rsidP="007A3CEB">
      <w:pPr>
        <w:rPr>
          <w:lang w:val="fr-FR"/>
        </w:rPr>
      </w:pPr>
      <w:r w:rsidRPr="00111F07">
        <w:rPr>
          <w:lang w:val="fr-FR"/>
        </w:rPr>
        <w:t>22 juin-10 juillet 2020</w:t>
      </w:r>
    </w:p>
    <w:p w14:paraId="26779242" w14:textId="51214A85" w:rsidR="00603A87" w:rsidRPr="00111F07" w:rsidRDefault="00603A87" w:rsidP="007A3CEB">
      <w:pPr>
        <w:pStyle w:val="AgendaItemNormal"/>
        <w:rPr>
          <w:b/>
          <w:lang w:val="fr-FR"/>
        </w:rPr>
      </w:pPr>
      <w:r w:rsidRPr="00111F07">
        <w:rPr>
          <w:lang w:val="fr-FR"/>
        </w:rPr>
        <w:t>Point 4 de l</w:t>
      </w:r>
      <w:r w:rsidR="007A3CEB" w:rsidRPr="00111F07">
        <w:rPr>
          <w:lang w:val="fr-FR"/>
        </w:rPr>
        <w:t>’</w:t>
      </w:r>
      <w:r w:rsidRPr="00111F07">
        <w:rPr>
          <w:lang w:val="fr-FR"/>
        </w:rPr>
        <w:t>ordre du jour provisoire</w:t>
      </w:r>
    </w:p>
    <w:p w14:paraId="5432A6EC" w14:textId="7455779B" w:rsidR="00603A87" w:rsidRPr="00111F07" w:rsidRDefault="00603A87" w:rsidP="007A3CEB">
      <w:pPr>
        <w:pStyle w:val="AgendaTitleH2"/>
        <w:rPr>
          <w:lang w:val="fr-FR"/>
        </w:rPr>
      </w:pPr>
      <w:r w:rsidRPr="00111F07">
        <w:rPr>
          <w:lang w:val="fr-FR"/>
        </w:rPr>
        <w:t>Examen des rapports soumis par les États parties en</w:t>
      </w:r>
      <w:r w:rsidR="007A3CEB" w:rsidRPr="00111F07">
        <w:rPr>
          <w:lang w:val="fr-FR"/>
        </w:rPr>
        <w:t> </w:t>
      </w:r>
      <w:r w:rsidRPr="00111F07">
        <w:rPr>
          <w:lang w:val="fr-FR"/>
        </w:rPr>
        <w:t>application de l</w:t>
      </w:r>
      <w:r w:rsidR="007A3CEB" w:rsidRPr="00111F07">
        <w:rPr>
          <w:lang w:val="fr-FR"/>
        </w:rPr>
        <w:t>’</w:t>
      </w:r>
      <w:r w:rsidRPr="00111F07">
        <w:rPr>
          <w:lang w:val="fr-FR"/>
        </w:rPr>
        <w:t>article 18</w:t>
      </w:r>
      <w:r w:rsidR="007A3CEB" w:rsidRPr="00111F07">
        <w:rPr>
          <w:lang w:val="fr-FR"/>
        </w:rPr>
        <w:t xml:space="preserve"> </w:t>
      </w:r>
      <w:r w:rsidRPr="00111F07">
        <w:rPr>
          <w:lang w:val="fr-FR"/>
        </w:rPr>
        <w:t>de la Convention sur</w:t>
      </w:r>
      <w:r w:rsidR="007A3CEB" w:rsidRPr="00111F07">
        <w:rPr>
          <w:lang w:val="fr-FR"/>
        </w:rPr>
        <w:t> </w:t>
      </w:r>
      <w:r w:rsidRPr="00111F07">
        <w:rPr>
          <w:lang w:val="fr-FR"/>
        </w:rPr>
        <w:t>l</w:t>
      </w:r>
      <w:r w:rsidR="007A3CEB" w:rsidRPr="00111F07">
        <w:rPr>
          <w:lang w:val="fr-FR"/>
        </w:rPr>
        <w:t>’</w:t>
      </w:r>
      <w:r w:rsidRPr="00111F07">
        <w:rPr>
          <w:lang w:val="fr-FR"/>
        </w:rPr>
        <w:t>élimination de toutes les formes de</w:t>
      </w:r>
      <w:r w:rsidR="007A3CEB" w:rsidRPr="00111F07">
        <w:rPr>
          <w:lang w:val="fr-FR"/>
        </w:rPr>
        <w:t> </w:t>
      </w:r>
      <w:r w:rsidRPr="00111F07">
        <w:rPr>
          <w:lang w:val="fr-FR"/>
        </w:rPr>
        <w:t>discrimination</w:t>
      </w:r>
      <w:r w:rsidR="007A3CEB" w:rsidRPr="00111F07">
        <w:rPr>
          <w:lang w:val="fr-FR"/>
        </w:rPr>
        <w:t xml:space="preserve"> </w:t>
      </w:r>
      <w:r w:rsidRPr="00111F07">
        <w:rPr>
          <w:lang w:val="fr-FR"/>
        </w:rPr>
        <w:t>à l</w:t>
      </w:r>
      <w:r w:rsidR="007A3CEB" w:rsidRPr="00111F07">
        <w:rPr>
          <w:lang w:val="fr-FR"/>
        </w:rPr>
        <w:t>’</w:t>
      </w:r>
      <w:r w:rsidRPr="00111F07">
        <w:rPr>
          <w:lang w:val="fr-FR"/>
        </w:rPr>
        <w:t>égard des femmes</w:t>
      </w:r>
    </w:p>
    <w:p w14:paraId="0DDA7331" w14:textId="1081D846" w:rsidR="007A3CEB" w:rsidRPr="00111F07" w:rsidRDefault="007A3CEB" w:rsidP="007A3CEB">
      <w:pPr>
        <w:pStyle w:val="SingleTxt"/>
        <w:spacing w:after="0" w:line="120" w:lineRule="exact"/>
        <w:rPr>
          <w:sz w:val="10"/>
          <w:lang w:val="fr-FR"/>
        </w:rPr>
      </w:pPr>
    </w:p>
    <w:p w14:paraId="6052B51E" w14:textId="5FFB28DF" w:rsidR="007A3CEB" w:rsidRPr="00111F07" w:rsidRDefault="007A3CEB" w:rsidP="007A3CEB">
      <w:pPr>
        <w:pStyle w:val="SingleTxt"/>
        <w:spacing w:after="0" w:line="120" w:lineRule="exact"/>
        <w:rPr>
          <w:sz w:val="10"/>
          <w:lang w:val="fr-FR"/>
        </w:rPr>
      </w:pPr>
    </w:p>
    <w:p w14:paraId="415BDF35" w14:textId="7C8ED92E" w:rsidR="007A3CEB" w:rsidRPr="00111F07" w:rsidRDefault="007A3CEB" w:rsidP="007A3CEB">
      <w:pPr>
        <w:pStyle w:val="SingleTxt"/>
        <w:spacing w:after="0" w:line="120" w:lineRule="exact"/>
        <w:rPr>
          <w:sz w:val="10"/>
          <w:lang w:val="fr-FR"/>
        </w:rPr>
      </w:pPr>
    </w:p>
    <w:p w14:paraId="12A8EE50" w14:textId="1C714B21" w:rsidR="007A3CEB" w:rsidRPr="00DF7ED2" w:rsidRDefault="007A3CEB" w:rsidP="007A3CEB">
      <w:pPr>
        <w:framePr w:w="9792" w:h="432" w:hSpace="180" w:wrap="around" w:vAnchor="page" w:hAnchor="page" w:x="1168" w:y="1354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111F07">
        <w:rPr>
          <w:noProof/>
          <w:w w:val="100"/>
        </w:rPr>
        <mc:AlternateContent>
          <mc:Choice Requires="wps">
            <w:drawing>
              <wp:anchor distT="0" distB="0" distL="114300" distR="114300" simplePos="0" relativeHeight="251659264" behindDoc="0" locked="0" layoutInCell="1" allowOverlap="1" wp14:anchorId="024D1C57" wp14:editId="6469CAE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0B3C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111F07">
        <w:rPr>
          <w:spacing w:val="5"/>
          <w:w w:val="104"/>
          <w:sz w:val="17"/>
          <w:szCs w:val="20"/>
        </w:rPr>
        <w:tab/>
      </w:r>
      <w:r w:rsidRPr="00DF7ED2">
        <w:rPr>
          <w:spacing w:val="5"/>
          <w:w w:val="104"/>
          <w:sz w:val="17"/>
          <w:szCs w:val="20"/>
        </w:rPr>
        <w:t>*</w:t>
      </w:r>
      <w:r w:rsidRPr="00DF7ED2">
        <w:rPr>
          <w:spacing w:val="5"/>
          <w:w w:val="104"/>
          <w:sz w:val="17"/>
          <w:szCs w:val="20"/>
        </w:rPr>
        <w:tab/>
        <w:t>La version originale du présent document n’a pas été revue par les services d’édition.</w:t>
      </w:r>
    </w:p>
    <w:p w14:paraId="1FF9CF45" w14:textId="1CAD2583" w:rsidR="007A3CEB" w:rsidRPr="00111F07" w:rsidRDefault="007A3CEB" w:rsidP="00DF7ED2">
      <w:pPr>
        <w:framePr w:w="9792" w:h="432" w:hSpace="180" w:wrap="around" w:vAnchor="page" w:hAnchor="page" w:x="1168" w:y="1354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sidRPr="00DF7ED2">
        <w:rPr>
          <w:spacing w:val="5"/>
          <w:w w:val="104"/>
          <w:sz w:val="17"/>
          <w:szCs w:val="20"/>
        </w:rPr>
        <w:tab/>
        <w:t>**</w:t>
      </w:r>
      <w:r w:rsidRPr="00DF7ED2">
        <w:rPr>
          <w:spacing w:val="5"/>
          <w:w w:val="104"/>
          <w:sz w:val="17"/>
          <w:szCs w:val="20"/>
        </w:rPr>
        <w:tab/>
        <w:t xml:space="preserve">L’annexe au présent document </w:t>
      </w:r>
      <w:r w:rsidR="00E14DD9" w:rsidRPr="00DF7ED2">
        <w:rPr>
          <w:spacing w:val="5"/>
          <w:w w:val="104"/>
          <w:sz w:val="17"/>
          <w:szCs w:val="20"/>
          <w:lang w:val="fr-FR"/>
        </w:rPr>
        <w:t>peut être consultée sur</w:t>
      </w:r>
      <w:r w:rsidR="00E14DD9" w:rsidRPr="00DF7ED2" w:rsidDel="00E14DD9">
        <w:rPr>
          <w:spacing w:val="5"/>
          <w:w w:val="104"/>
          <w:sz w:val="17"/>
          <w:szCs w:val="20"/>
        </w:rPr>
        <w:t xml:space="preserve"> </w:t>
      </w:r>
      <w:r w:rsidRPr="00DF7ED2">
        <w:rPr>
          <w:spacing w:val="5"/>
          <w:w w:val="104"/>
          <w:sz w:val="17"/>
          <w:szCs w:val="20"/>
        </w:rPr>
        <w:t>la page Web du Comité.</w:t>
      </w:r>
    </w:p>
    <w:p w14:paraId="363A92E0" w14:textId="09FDACBE" w:rsidR="00603A87" w:rsidRPr="00111F07" w:rsidRDefault="00603A87" w:rsidP="007A3CEB">
      <w:pPr>
        <w:pStyle w:val="TitleHCH"/>
        <w:ind w:right="1260"/>
        <w:rPr>
          <w:vertAlign w:val="superscript"/>
          <w:lang w:val="fr-FR"/>
        </w:rPr>
      </w:pPr>
      <w:r w:rsidRPr="001C3EFA">
        <w:rPr>
          <w:lang w:val="fr-FR"/>
        </w:rPr>
        <w:tab/>
      </w:r>
      <w:r w:rsidRPr="001C3EFA">
        <w:rPr>
          <w:lang w:val="fr-FR"/>
        </w:rPr>
        <w:tab/>
        <w:t xml:space="preserve">Réponses du Danemark à la liste de points et de questions concernant </w:t>
      </w:r>
      <w:r w:rsidR="00E14DD9" w:rsidRPr="00111F07">
        <w:rPr>
          <w:lang w:val="fr-FR"/>
        </w:rPr>
        <w:t xml:space="preserve">son </w:t>
      </w:r>
      <w:r w:rsidRPr="00111F07">
        <w:rPr>
          <w:lang w:val="fr-FR"/>
        </w:rPr>
        <w:t>neuvième rapport périodique</w:t>
      </w:r>
      <w:r w:rsidR="007A3CEB" w:rsidRPr="001C3EFA">
        <w:rPr>
          <w:b w:val="0"/>
          <w:bCs/>
          <w:sz w:val="20"/>
          <w:szCs w:val="20"/>
          <w:lang w:val="fr-FR"/>
        </w:rPr>
        <w:t>*</w:t>
      </w:r>
      <w:r w:rsidR="007A3CEB" w:rsidRPr="007978B6">
        <w:rPr>
          <w:b w:val="0"/>
          <w:bCs/>
          <w:sz w:val="20"/>
          <w:szCs w:val="20"/>
          <w:vertAlign w:val="superscript"/>
          <w:lang w:val="fr-FR"/>
        </w:rPr>
        <w:t>,</w:t>
      </w:r>
      <w:r w:rsidR="0006561A">
        <w:rPr>
          <w:b w:val="0"/>
          <w:bCs/>
          <w:sz w:val="20"/>
          <w:szCs w:val="20"/>
          <w:vertAlign w:val="superscript"/>
          <w:lang w:val="fr-FR"/>
        </w:rPr>
        <w:t xml:space="preserve"> </w:t>
      </w:r>
      <w:r w:rsidR="007A3CEB" w:rsidRPr="00111F07">
        <w:rPr>
          <w:b w:val="0"/>
          <w:bCs/>
          <w:sz w:val="20"/>
          <w:szCs w:val="20"/>
          <w:lang w:val="fr-FR"/>
        </w:rPr>
        <w:t>**</w:t>
      </w:r>
    </w:p>
    <w:p w14:paraId="2D1F326C" w14:textId="640103FE" w:rsidR="007A3CEB" w:rsidRPr="00111F07" w:rsidRDefault="007A3CEB" w:rsidP="007A3CEB">
      <w:pPr>
        <w:pStyle w:val="SingleTxt"/>
        <w:spacing w:after="0" w:line="120" w:lineRule="exact"/>
        <w:rPr>
          <w:sz w:val="10"/>
          <w:lang w:val="fr-FR"/>
        </w:rPr>
      </w:pPr>
    </w:p>
    <w:p w14:paraId="160324B5" w14:textId="77777777" w:rsidR="007A3CEB" w:rsidRPr="00111F07" w:rsidRDefault="007A3CEB" w:rsidP="007A3CEB">
      <w:pPr>
        <w:pStyle w:val="SingleTxt"/>
        <w:spacing w:after="0" w:line="120" w:lineRule="exact"/>
        <w:rPr>
          <w:sz w:val="10"/>
          <w:lang w:val="fr-FR"/>
        </w:rPr>
      </w:pPr>
    </w:p>
    <w:p w14:paraId="00216329" w14:textId="5BBEC801" w:rsidR="00603A87" w:rsidRPr="00111F07" w:rsidRDefault="00603A87" w:rsidP="007A3CEB">
      <w:pPr>
        <w:pStyle w:val="SingleTxt"/>
        <w:jc w:val="right"/>
        <w:rPr>
          <w:lang w:val="fr-FR"/>
        </w:rPr>
      </w:pPr>
      <w:r w:rsidRPr="00111F07">
        <w:rPr>
          <w:lang w:val="fr-FR"/>
        </w:rPr>
        <w:t>[Date de réception</w:t>
      </w:r>
      <w:r w:rsidR="007A3CEB" w:rsidRPr="00111F07">
        <w:rPr>
          <w:lang w:val="fr-FR"/>
        </w:rPr>
        <w:t> :</w:t>
      </w:r>
      <w:r w:rsidRPr="00111F07">
        <w:rPr>
          <w:lang w:val="fr-FR"/>
        </w:rPr>
        <w:t xml:space="preserve"> 16 mars 2020]</w:t>
      </w:r>
    </w:p>
    <w:p w14:paraId="1BE5CFD3" w14:textId="77777777" w:rsidR="00603A87" w:rsidRPr="00111F07" w:rsidRDefault="00603A87" w:rsidP="00603A87">
      <w:pPr>
        <w:pStyle w:val="SingleTxt"/>
        <w:rPr>
          <w:b/>
          <w:lang w:val="fr-FR"/>
        </w:rPr>
      </w:pPr>
      <w:r w:rsidRPr="00111F07">
        <w:rPr>
          <w:b/>
          <w:lang w:val="fr-FR"/>
        </w:rPr>
        <w:br w:type="page"/>
      </w:r>
    </w:p>
    <w:p w14:paraId="5A628068" w14:textId="54F2C35F" w:rsidR="00603A87" w:rsidRPr="00111F07" w:rsidRDefault="00603A87" w:rsidP="004176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sz w:val="20"/>
          <w:lang w:val="fr-FR"/>
        </w:rPr>
        <w:lastRenderedPageBreak/>
        <w:tab/>
      </w:r>
      <w:r w:rsidRPr="00111F07">
        <w:rPr>
          <w:lang w:val="fr-FR"/>
        </w:rPr>
        <w:tab/>
        <w:t>Contexte général</w:t>
      </w:r>
    </w:p>
    <w:p w14:paraId="003DFE5D" w14:textId="6553EA02" w:rsidR="00417615" w:rsidRPr="00111F07" w:rsidRDefault="00417615" w:rsidP="00417615">
      <w:pPr>
        <w:pStyle w:val="SingleTxt"/>
        <w:spacing w:after="0" w:line="120" w:lineRule="exact"/>
        <w:rPr>
          <w:sz w:val="10"/>
          <w:lang w:val="fr-FR"/>
        </w:rPr>
      </w:pPr>
    </w:p>
    <w:p w14:paraId="5F453FB8" w14:textId="7EAA5AC5" w:rsidR="00417615" w:rsidRPr="00111F07" w:rsidRDefault="00417615" w:rsidP="00417615">
      <w:pPr>
        <w:pStyle w:val="SingleTxt"/>
        <w:spacing w:after="0" w:line="120" w:lineRule="exact"/>
        <w:rPr>
          <w:sz w:val="10"/>
          <w:lang w:val="fr-FR"/>
        </w:rPr>
      </w:pPr>
    </w:p>
    <w:p w14:paraId="0FE50B32" w14:textId="0335D59A" w:rsidR="00603A87" w:rsidRPr="00111F07" w:rsidRDefault="00603A87" w:rsidP="004176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 xml:space="preserve">Réponse au paragraphe 1 de la liste de points </w:t>
      </w:r>
      <w:hyperlink r:id="rId17" w:history="1">
        <w:r w:rsidRPr="001C3EFA">
          <w:rPr>
            <w:rStyle w:val="Hyperlink"/>
            <w:lang w:val="fr-FR"/>
          </w:rPr>
          <w:t>CEDAW/C/DNK/Q/9</w:t>
        </w:r>
      </w:hyperlink>
    </w:p>
    <w:p w14:paraId="19FF2AE7" w14:textId="6D1DA0F4" w:rsidR="00417615" w:rsidRPr="00111F07" w:rsidRDefault="00417615" w:rsidP="00417615">
      <w:pPr>
        <w:pStyle w:val="SingleTxt"/>
        <w:spacing w:after="0" w:line="120" w:lineRule="exact"/>
        <w:rPr>
          <w:sz w:val="10"/>
          <w:lang w:val="fr-FR"/>
        </w:rPr>
      </w:pPr>
    </w:p>
    <w:p w14:paraId="24B4A3F5" w14:textId="4102B676" w:rsidR="00417615" w:rsidRPr="00111F07" w:rsidRDefault="00417615" w:rsidP="00417615">
      <w:pPr>
        <w:pStyle w:val="SingleTxt"/>
        <w:spacing w:after="0" w:line="120" w:lineRule="exact"/>
        <w:rPr>
          <w:sz w:val="10"/>
          <w:lang w:val="fr-FR"/>
        </w:rPr>
      </w:pPr>
    </w:p>
    <w:p w14:paraId="60EB48D7" w14:textId="2478E2CD" w:rsidR="00603A87" w:rsidRPr="00111F07" w:rsidRDefault="00603A87" w:rsidP="00417615">
      <w:pPr>
        <w:pStyle w:val="SingleTxt"/>
        <w:numPr>
          <w:ilvl w:val="0"/>
          <w:numId w:val="50"/>
        </w:numPr>
        <w:tabs>
          <w:tab w:val="num" w:pos="2804"/>
        </w:tabs>
        <w:spacing w:line="240" w:lineRule="exact"/>
        <w:ind w:left="1267"/>
        <w:rPr>
          <w:lang w:val="fr-FR"/>
        </w:rPr>
      </w:pPr>
      <w:r w:rsidRPr="00111F07">
        <w:rPr>
          <w:lang w:val="fr-FR"/>
        </w:rPr>
        <w:t>Des informations et des statistiques sur la situation actuelle des femmes dans l</w:t>
      </w:r>
      <w:r w:rsidR="007A3CEB" w:rsidRPr="00111F07">
        <w:rPr>
          <w:lang w:val="fr-FR"/>
        </w:rPr>
        <w:t>’</w:t>
      </w:r>
      <w:r w:rsidRPr="00111F07">
        <w:rPr>
          <w:lang w:val="fr-FR"/>
        </w:rPr>
        <w:t>État partie figurent à l</w:t>
      </w:r>
      <w:r w:rsidR="007A3CEB" w:rsidRPr="00111F07">
        <w:rPr>
          <w:lang w:val="fr-FR"/>
        </w:rPr>
        <w:t>’</w:t>
      </w:r>
      <w:r w:rsidRPr="00111F07">
        <w:rPr>
          <w:lang w:val="fr-FR"/>
        </w:rPr>
        <w:t>annexe disponible sur la page Web du Comité.</w:t>
      </w:r>
    </w:p>
    <w:p w14:paraId="3D564B7A" w14:textId="28A8C096" w:rsidR="00603A87" w:rsidRPr="00111F07" w:rsidRDefault="00603A87" w:rsidP="00417615">
      <w:pPr>
        <w:pStyle w:val="SingleTxt"/>
        <w:numPr>
          <w:ilvl w:val="0"/>
          <w:numId w:val="50"/>
        </w:numPr>
        <w:tabs>
          <w:tab w:val="num" w:pos="2804"/>
        </w:tabs>
        <w:spacing w:line="240" w:lineRule="exact"/>
        <w:ind w:left="1267"/>
        <w:rPr>
          <w:lang w:val="fr-FR"/>
        </w:rPr>
      </w:pPr>
      <w:r w:rsidRPr="00111F07">
        <w:rPr>
          <w:lang w:val="fr-FR"/>
        </w:rPr>
        <w:t>Le Ministère de l</w:t>
      </w:r>
      <w:r w:rsidR="007A3CEB" w:rsidRPr="00111F07">
        <w:rPr>
          <w:lang w:val="fr-FR"/>
        </w:rPr>
        <w:t>’</w:t>
      </w:r>
      <w:r w:rsidRPr="00111F07">
        <w:rPr>
          <w:lang w:val="fr-FR"/>
        </w:rPr>
        <w:t>égalité des chances présente au Parlement un plan d</w:t>
      </w:r>
      <w:r w:rsidR="007A3CEB" w:rsidRPr="00111F07">
        <w:rPr>
          <w:lang w:val="fr-FR"/>
        </w:rPr>
        <w:t>’</w:t>
      </w:r>
      <w:r w:rsidRPr="00111F07">
        <w:rPr>
          <w:lang w:val="fr-FR"/>
        </w:rPr>
        <w:t>action annuel pour l</w:t>
      </w:r>
      <w:r w:rsidR="007A3CEB" w:rsidRPr="00111F07">
        <w:rPr>
          <w:lang w:val="fr-FR"/>
        </w:rPr>
        <w:t>’</w:t>
      </w:r>
      <w:r w:rsidRPr="00111F07">
        <w:rPr>
          <w:lang w:val="fr-FR"/>
        </w:rPr>
        <w:t>égalité des genres. Le plan d</w:t>
      </w:r>
      <w:r w:rsidR="007A3CEB" w:rsidRPr="00111F07">
        <w:rPr>
          <w:lang w:val="fr-FR"/>
        </w:rPr>
        <w:t>’</w:t>
      </w:r>
      <w:r w:rsidRPr="00111F07">
        <w:rPr>
          <w:lang w:val="fr-FR"/>
        </w:rPr>
        <w:t>action 2020 contient 55 initiatives réparties sur 12 ministères. Il comporte notamment des initiatives visant à promouvoir l</w:t>
      </w:r>
      <w:r w:rsidR="007A3CEB" w:rsidRPr="00111F07">
        <w:rPr>
          <w:lang w:val="fr-FR"/>
        </w:rPr>
        <w:t>’</w:t>
      </w:r>
      <w:r w:rsidRPr="00111F07">
        <w:rPr>
          <w:lang w:val="fr-FR"/>
        </w:rPr>
        <w:t>égalité de rémunération, la présence de femmes aux postes de direction et dans les conseils d</w:t>
      </w:r>
      <w:r w:rsidR="007A3CEB" w:rsidRPr="00111F07">
        <w:rPr>
          <w:lang w:val="fr-FR"/>
        </w:rPr>
        <w:t>’</w:t>
      </w:r>
      <w:r w:rsidRPr="00111F07">
        <w:rPr>
          <w:lang w:val="fr-FR"/>
        </w:rPr>
        <w:t>administration, un partage plus équitable du congé parental, la prise en compte des questions de genre dans le secteur public, ainsi que des initiatives de lutte contre la violence à l</w:t>
      </w:r>
      <w:r w:rsidR="007A3CEB" w:rsidRPr="00111F07">
        <w:rPr>
          <w:lang w:val="fr-FR"/>
        </w:rPr>
        <w:t>’</w:t>
      </w:r>
      <w:r w:rsidRPr="00111F07">
        <w:rPr>
          <w:lang w:val="fr-FR"/>
        </w:rPr>
        <w:t>égard des femmes, y compris la violence domestique et le harcèlement sexuel au travail, ainsi que la traite des êtres humains.</w:t>
      </w:r>
    </w:p>
    <w:p w14:paraId="329A6C53" w14:textId="74AC14D2" w:rsidR="00603A87" w:rsidRPr="00111F07" w:rsidRDefault="00603A87" w:rsidP="00417615">
      <w:pPr>
        <w:pStyle w:val="SingleTxt"/>
        <w:numPr>
          <w:ilvl w:val="0"/>
          <w:numId w:val="50"/>
        </w:numPr>
        <w:tabs>
          <w:tab w:val="num" w:pos="2804"/>
        </w:tabs>
        <w:spacing w:line="240" w:lineRule="exact"/>
        <w:ind w:left="1267"/>
        <w:rPr>
          <w:lang w:val="fr-FR"/>
        </w:rPr>
      </w:pPr>
      <w:r w:rsidRPr="00111F07">
        <w:rPr>
          <w:lang w:val="fr-FR"/>
        </w:rPr>
        <w:t>Le plan d</w:t>
      </w:r>
      <w:r w:rsidR="007A3CEB" w:rsidRPr="00111F07">
        <w:rPr>
          <w:lang w:val="fr-FR"/>
        </w:rPr>
        <w:t>’</w:t>
      </w:r>
      <w:r w:rsidRPr="00111F07">
        <w:rPr>
          <w:lang w:val="fr-FR"/>
        </w:rPr>
        <w:t>action national de lutte contre la violence physique et psychologique au sein du couple pour la période 2019-2022 est brièvement décrit au paragraphe 77 du neuvième rapport périodique.</w:t>
      </w:r>
    </w:p>
    <w:p w14:paraId="693A804B" w14:textId="435034B6" w:rsidR="00603A87" w:rsidRPr="001C3EFA" w:rsidRDefault="00603A87" w:rsidP="00417615">
      <w:pPr>
        <w:pStyle w:val="SingleTxt"/>
        <w:numPr>
          <w:ilvl w:val="0"/>
          <w:numId w:val="50"/>
        </w:numPr>
        <w:tabs>
          <w:tab w:val="num" w:pos="2804"/>
        </w:tabs>
        <w:spacing w:line="240" w:lineRule="exact"/>
        <w:ind w:left="1267"/>
        <w:rPr>
          <w:lang w:val="fr-FR"/>
        </w:rPr>
      </w:pPr>
      <w:r w:rsidRPr="00111F07">
        <w:rPr>
          <w:lang w:val="fr-FR"/>
        </w:rPr>
        <w:t>Le plan d</w:t>
      </w:r>
      <w:r w:rsidR="007A3CEB" w:rsidRPr="00111F07">
        <w:rPr>
          <w:lang w:val="fr-FR"/>
        </w:rPr>
        <w:t>’</w:t>
      </w:r>
      <w:r w:rsidRPr="00111F07">
        <w:rPr>
          <w:lang w:val="fr-FR"/>
        </w:rPr>
        <w:t>action est disponible en anglais à l</w:t>
      </w:r>
      <w:r w:rsidR="007A3CEB" w:rsidRPr="00111F07">
        <w:rPr>
          <w:lang w:val="fr-FR"/>
        </w:rPr>
        <w:t>’</w:t>
      </w:r>
      <w:r w:rsidRPr="00111F07">
        <w:rPr>
          <w:lang w:val="fr-FR"/>
        </w:rPr>
        <w:t>adresse suivante</w:t>
      </w:r>
      <w:r w:rsidR="007A3CEB" w:rsidRPr="00111F07">
        <w:rPr>
          <w:lang w:val="fr-FR"/>
        </w:rPr>
        <w:t> :</w:t>
      </w:r>
      <w:r w:rsidRPr="00111F07">
        <w:rPr>
          <w:lang w:val="fr-FR"/>
        </w:rPr>
        <w:t xml:space="preserve"> </w:t>
      </w:r>
      <w:hyperlink r:id="rId18" w:history="1">
        <w:r w:rsidR="00417615" w:rsidRPr="001C3EFA">
          <w:rPr>
            <w:rStyle w:val="Hyperlink"/>
            <w:lang w:val="fr-FR"/>
          </w:rPr>
          <w:t>https://mfvm.dk/publikationer/publikation/pub/hent-fil/publication/action-plan-for-the-prevention-of-psycholo</w:t>
        </w:r>
        <w:r w:rsidR="00417615" w:rsidRPr="00111F07">
          <w:rPr>
            <w:rStyle w:val="Hyperlink"/>
            <w:lang w:val="fr-FR"/>
          </w:rPr>
          <w:t>gical-and-physical-violence-in-in-intimate-relationships-2019/</w:t>
        </w:r>
      </w:hyperlink>
      <w:r w:rsidR="00417615" w:rsidRPr="00111F07">
        <w:rPr>
          <w:lang w:val="fr-FR"/>
        </w:rPr>
        <w:t>.</w:t>
      </w:r>
    </w:p>
    <w:p w14:paraId="145BAC64" w14:textId="77777777" w:rsidR="00417615" w:rsidRPr="00111F07" w:rsidRDefault="00417615" w:rsidP="00417615">
      <w:pPr>
        <w:pStyle w:val="SingleTxt"/>
        <w:spacing w:after="0" w:line="120" w:lineRule="exact"/>
        <w:rPr>
          <w:bCs/>
          <w:sz w:val="10"/>
          <w:lang w:val="fr-FR"/>
        </w:rPr>
      </w:pPr>
    </w:p>
    <w:p w14:paraId="0458BCC7" w14:textId="08672CD9" w:rsidR="00603A87" w:rsidRPr="00111F07" w:rsidRDefault="00603A87" w:rsidP="004176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Groenland</w:t>
      </w:r>
    </w:p>
    <w:p w14:paraId="79302F22" w14:textId="488D354B" w:rsidR="00417615" w:rsidRPr="00111F07" w:rsidRDefault="00417615" w:rsidP="00417615">
      <w:pPr>
        <w:pStyle w:val="SingleTxt"/>
        <w:spacing w:after="0" w:line="120" w:lineRule="exact"/>
        <w:rPr>
          <w:sz w:val="10"/>
          <w:lang w:val="fr-FR"/>
        </w:rPr>
      </w:pPr>
    </w:p>
    <w:p w14:paraId="5B4ED79D" w14:textId="2D8707D6" w:rsidR="00603A87" w:rsidRPr="00111F07" w:rsidRDefault="00603A87" w:rsidP="00417615">
      <w:pPr>
        <w:pStyle w:val="SingleTxt"/>
        <w:numPr>
          <w:ilvl w:val="0"/>
          <w:numId w:val="50"/>
        </w:numPr>
        <w:tabs>
          <w:tab w:val="num" w:pos="2804"/>
        </w:tabs>
        <w:spacing w:line="240" w:lineRule="exact"/>
        <w:ind w:left="1267"/>
        <w:rPr>
          <w:lang w:val="fr-FR"/>
        </w:rPr>
      </w:pPr>
      <w:r w:rsidRPr="00111F07">
        <w:rPr>
          <w:lang w:val="fr-FR"/>
        </w:rPr>
        <w:t>À l</w:t>
      </w:r>
      <w:r w:rsidR="007A3CEB" w:rsidRPr="00111F07">
        <w:rPr>
          <w:lang w:val="fr-FR"/>
        </w:rPr>
        <w:t>’</w:t>
      </w:r>
      <w:r w:rsidRPr="00111F07">
        <w:rPr>
          <w:lang w:val="fr-FR"/>
        </w:rPr>
        <w:t>heure actuelle, le plan n</w:t>
      </w:r>
      <w:r w:rsidR="007A3CEB" w:rsidRPr="00111F07">
        <w:rPr>
          <w:lang w:val="fr-FR"/>
        </w:rPr>
        <w:t>’</w:t>
      </w:r>
      <w:r w:rsidRPr="00111F07">
        <w:rPr>
          <w:lang w:val="fr-FR"/>
        </w:rPr>
        <w:t>a pas été prorogé. La plupart des questions abordées dans le plan sont à présent intégrées dans d</w:t>
      </w:r>
      <w:r w:rsidR="007A3CEB" w:rsidRPr="00111F07">
        <w:rPr>
          <w:lang w:val="fr-FR"/>
        </w:rPr>
        <w:t>’</w:t>
      </w:r>
      <w:r w:rsidRPr="00111F07">
        <w:rPr>
          <w:lang w:val="fr-FR"/>
        </w:rPr>
        <w:t>autres programmes sociaux.</w:t>
      </w:r>
    </w:p>
    <w:p w14:paraId="7AB27A26" w14:textId="72B4C5B1" w:rsidR="00603A87" w:rsidRPr="00111F07" w:rsidRDefault="00603A87" w:rsidP="00417615">
      <w:pPr>
        <w:pStyle w:val="SingleTxt"/>
        <w:numPr>
          <w:ilvl w:val="0"/>
          <w:numId w:val="50"/>
        </w:numPr>
        <w:tabs>
          <w:tab w:val="num" w:pos="2804"/>
        </w:tabs>
        <w:spacing w:line="240" w:lineRule="exact"/>
        <w:ind w:left="1267"/>
        <w:rPr>
          <w:lang w:val="fr-FR"/>
        </w:rPr>
      </w:pPr>
      <w:r w:rsidRPr="00111F07">
        <w:rPr>
          <w:lang w:val="fr-FR"/>
        </w:rPr>
        <w:t>L</w:t>
      </w:r>
      <w:r w:rsidR="007A3CEB" w:rsidRPr="00111F07">
        <w:rPr>
          <w:lang w:val="fr-FR"/>
        </w:rPr>
        <w:t>’</w:t>
      </w:r>
      <w:r w:rsidRPr="00111F07">
        <w:rPr>
          <w:lang w:val="fr-FR"/>
        </w:rPr>
        <w:t>ancien plan d</w:t>
      </w:r>
      <w:r w:rsidR="007A3CEB" w:rsidRPr="00111F07">
        <w:rPr>
          <w:lang w:val="fr-FR"/>
        </w:rPr>
        <w:t>’</w:t>
      </w:r>
      <w:r w:rsidRPr="00111F07">
        <w:rPr>
          <w:lang w:val="fr-FR"/>
        </w:rPr>
        <w:t>action était une stratégie globale axée sur la violence au sens large, même si plusieurs des initiatives portaient plus particulièrement sur la violence domestique et d</w:t>
      </w:r>
      <w:r w:rsidR="007A3CEB" w:rsidRPr="00111F07">
        <w:rPr>
          <w:lang w:val="fr-FR"/>
        </w:rPr>
        <w:t>’</w:t>
      </w:r>
      <w:r w:rsidRPr="00111F07">
        <w:rPr>
          <w:lang w:val="fr-FR"/>
        </w:rPr>
        <w:t>autres formes de relations personnelles. De nouveaux programmes ont été mis en place, dont Alliaq, qui s</w:t>
      </w:r>
      <w:r w:rsidR="007A3CEB" w:rsidRPr="00111F07">
        <w:rPr>
          <w:lang w:val="fr-FR"/>
        </w:rPr>
        <w:t>’</w:t>
      </w:r>
      <w:r w:rsidRPr="00111F07">
        <w:rPr>
          <w:lang w:val="fr-FR"/>
        </w:rPr>
        <w:t>adresse aux auteurs de violences au sein du couple.</w:t>
      </w:r>
    </w:p>
    <w:p w14:paraId="2C04F506" w14:textId="4497064C" w:rsidR="00603A87" w:rsidRPr="00111F07" w:rsidRDefault="00603A87" w:rsidP="00417615">
      <w:pPr>
        <w:pStyle w:val="SingleTxt"/>
        <w:numPr>
          <w:ilvl w:val="0"/>
          <w:numId w:val="50"/>
        </w:numPr>
        <w:tabs>
          <w:tab w:val="num" w:pos="2804"/>
        </w:tabs>
        <w:spacing w:line="240" w:lineRule="exact"/>
        <w:ind w:left="1267"/>
        <w:rPr>
          <w:lang w:val="fr-FR"/>
        </w:rPr>
      </w:pPr>
      <w:r w:rsidRPr="00111F07">
        <w:rPr>
          <w:lang w:val="fr-FR"/>
        </w:rPr>
        <w:t>Le plan d</w:t>
      </w:r>
      <w:r w:rsidR="007A3CEB" w:rsidRPr="00111F07">
        <w:rPr>
          <w:lang w:val="fr-FR"/>
        </w:rPr>
        <w:t>’</w:t>
      </w:r>
      <w:r w:rsidRPr="00111F07">
        <w:rPr>
          <w:lang w:val="fr-FR"/>
        </w:rPr>
        <w:t>action ainsi que le programme Alliaq ont été lancés dans le but de réduire l</w:t>
      </w:r>
      <w:r w:rsidR="007A3CEB" w:rsidRPr="00111F07">
        <w:rPr>
          <w:lang w:val="fr-FR"/>
        </w:rPr>
        <w:t>’</w:t>
      </w:r>
      <w:r w:rsidRPr="00111F07">
        <w:rPr>
          <w:lang w:val="fr-FR"/>
        </w:rPr>
        <w:t>ampleur de la violence faite aux femmes au sein du couple. Les initiatives et options individuelles visent les deux sexes. En outre, il convient de signaler que le Groenland dispose d</w:t>
      </w:r>
      <w:r w:rsidR="007A3CEB" w:rsidRPr="00111F07">
        <w:rPr>
          <w:lang w:val="fr-FR"/>
        </w:rPr>
        <w:t>’</w:t>
      </w:r>
      <w:r w:rsidRPr="00111F07">
        <w:rPr>
          <w:lang w:val="fr-FR"/>
        </w:rPr>
        <w:t>un secteur public important qui donne systématiquement la priorité à la lutte contre la violence et au soutien aux victimes.</w:t>
      </w:r>
    </w:p>
    <w:p w14:paraId="70D96DC5" w14:textId="60550870" w:rsidR="004B208B" w:rsidRPr="00111F07" w:rsidRDefault="004B208B" w:rsidP="004B208B">
      <w:pPr>
        <w:pStyle w:val="SingleTxt"/>
        <w:spacing w:after="0" w:line="120" w:lineRule="exact"/>
        <w:rPr>
          <w:sz w:val="10"/>
          <w:lang w:val="fr-FR"/>
        </w:rPr>
      </w:pPr>
    </w:p>
    <w:p w14:paraId="3931A3DA" w14:textId="4067C301" w:rsidR="004B208B" w:rsidRPr="00111F07" w:rsidRDefault="004B208B" w:rsidP="004B208B">
      <w:pPr>
        <w:pStyle w:val="SingleTxt"/>
        <w:spacing w:after="0" w:line="120" w:lineRule="exact"/>
        <w:rPr>
          <w:sz w:val="10"/>
          <w:lang w:val="fr-FR"/>
        </w:rPr>
      </w:pPr>
    </w:p>
    <w:p w14:paraId="5538AC56" w14:textId="6632CBD7" w:rsidR="00603A87" w:rsidRPr="00111F07" w:rsidRDefault="00603A87" w:rsidP="004B20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Cadre législatif, stratégique et institutionnel</w:t>
      </w:r>
    </w:p>
    <w:p w14:paraId="45C2E686" w14:textId="61128057" w:rsidR="004B208B" w:rsidRPr="00111F07" w:rsidRDefault="004B208B" w:rsidP="004B208B">
      <w:pPr>
        <w:pStyle w:val="SingleTxt"/>
        <w:spacing w:after="0" w:line="120" w:lineRule="exact"/>
        <w:rPr>
          <w:sz w:val="10"/>
          <w:lang w:val="fr-FR"/>
        </w:rPr>
      </w:pPr>
    </w:p>
    <w:p w14:paraId="1DD26565" w14:textId="2B889ABA" w:rsidR="004B208B" w:rsidRPr="00111F07" w:rsidRDefault="004B208B" w:rsidP="004B208B">
      <w:pPr>
        <w:pStyle w:val="SingleTxt"/>
        <w:spacing w:after="0" w:line="120" w:lineRule="exact"/>
        <w:rPr>
          <w:sz w:val="10"/>
          <w:lang w:val="fr-FR"/>
        </w:rPr>
      </w:pPr>
    </w:p>
    <w:p w14:paraId="7A38522E" w14:textId="19A097AA" w:rsidR="00603A87" w:rsidRPr="00111F07" w:rsidRDefault="00603A87" w:rsidP="004B2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2</w:t>
      </w:r>
    </w:p>
    <w:p w14:paraId="40E70B3B" w14:textId="7AA6B24B" w:rsidR="004B208B" w:rsidRPr="00111F07" w:rsidRDefault="004B208B" w:rsidP="004B208B">
      <w:pPr>
        <w:pStyle w:val="SingleTxt"/>
        <w:spacing w:after="0" w:line="120" w:lineRule="exact"/>
        <w:rPr>
          <w:sz w:val="10"/>
          <w:lang w:val="fr-FR"/>
        </w:rPr>
      </w:pPr>
    </w:p>
    <w:p w14:paraId="5DB5A0FA" w14:textId="4CE6A832" w:rsidR="00603A87" w:rsidRPr="00111F07" w:rsidRDefault="00603A87" w:rsidP="004B208B">
      <w:pPr>
        <w:pStyle w:val="SingleTxt"/>
        <w:numPr>
          <w:ilvl w:val="0"/>
          <w:numId w:val="50"/>
        </w:numPr>
        <w:tabs>
          <w:tab w:val="num" w:pos="2804"/>
        </w:tabs>
        <w:spacing w:line="240" w:lineRule="exact"/>
        <w:ind w:left="1267"/>
        <w:rPr>
          <w:i/>
          <w:lang w:val="fr-FR"/>
        </w:rPr>
      </w:pPr>
      <w:r w:rsidRPr="00111F07">
        <w:rPr>
          <w:lang w:val="fr-FR"/>
        </w:rPr>
        <w:t>Le Gouvernement réaffirme son engagement ferme à garantir la conformité du droit danois avec la Convention. À cet égard, le Gouvernement souhaite souligner que la décision de ne pas incorporer la Convention est simplement le reflet d</w:t>
      </w:r>
      <w:r w:rsidR="007A3CEB" w:rsidRPr="00111F07">
        <w:rPr>
          <w:lang w:val="fr-FR"/>
        </w:rPr>
        <w:t>’</w:t>
      </w:r>
      <w:r w:rsidRPr="00111F07">
        <w:rPr>
          <w:lang w:val="fr-FR"/>
        </w:rPr>
        <w:t>un choix entre différents moyens de garantir cette conformité (référence est faite ici aux paragraphes 130 à 134 du document de base commun). La question de l</w:t>
      </w:r>
      <w:r w:rsidR="007A3CEB" w:rsidRPr="00111F07">
        <w:rPr>
          <w:lang w:val="fr-FR"/>
        </w:rPr>
        <w:t>’</w:t>
      </w:r>
      <w:r w:rsidRPr="00111F07">
        <w:rPr>
          <w:lang w:val="fr-FR"/>
        </w:rPr>
        <w:t>incorporation a été soigneusement examinée et il n</w:t>
      </w:r>
      <w:r w:rsidR="007A3CEB" w:rsidRPr="00111F07">
        <w:rPr>
          <w:lang w:val="fr-FR"/>
        </w:rPr>
        <w:t>’</w:t>
      </w:r>
      <w:r w:rsidRPr="00111F07">
        <w:rPr>
          <w:lang w:val="fr-FR"/>
        </w:rPr>
        <w:t>est pas prévu en l</w:t>
      </w:r>
      <w:r w:rsidR="007A3CEB" w:rsidRPr="00111F07">
        <w:rPr>
          <w:lang w:val="fr-FR"/>
        </w:rPr>
        <w:t>’</w:t>
      </w:r>
      <w:r w:rsidRPr="00111F07">
        <w:rPr>
          <w:lang w:val="fr-FR"/>
        </w:rPr>
        <w:t>état actuel d</w:t>
      </w:r>
      <w:r w:rsidR="007A3CEB" w:rsidRPr="00111F07">
        <w:rPr>
          <w:lang w:val="fr-FR"/>
        </w:rPr>
        <w:t>’</w:t>
      </w:r>
      <w:r w:rsidRPr="00111F07">
        <w:rPr>
          <w:lang w:val="fr-FR"/>
        </w:rPr>
        <w:t>incorporer la Convention dans le droit danois.</w:t>
      </w:r>
    </w:p>
    <w:p w14:paraId="47CF60AD" w14:textId="79BCB6DE" w:rsidR="004B208B" w:rsidRPr="00111F07" w:rsidRDefault="004B208B" w:rsidP="004B208B">
      <w:pPr>
        <w:pStyle w:val="SingleTxt"/>
        <w:spacing w:after="0" w:line="120" w:lineRule="exact"/>
        <w:rPr>
          <w:sz w:val="10"/>
          <w:lang w:val="fr-FR"/>
        </w:rPr>
      </w:pPr>
    </w:p>
    <w:p w14:paraId="1BED70D0" w14:textId="57581939" w:rsidR="00603A87" w:rsidRPr="00111F07" w:rsidRDefault="00603A87" w:rsidP="004B2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lastRenderedPageBreak/>
        <w:tab/>
      </w:r>
      <w:r w:rsidRPr="00111F07">
        <w:rPr>
          <w:lang w:val="fr-FR"/>
        </w:rPr>
        <w:tab/>
        <w:t>Îles Féroé</w:t>
      </w:r>
    </w:p>
    <w:p w14:paraId="69CC7DE4" w14:textId="65067A07" w:rsidR="004B208B" w:rsidRPr="00111F07" w:rsidRDefault="004B208B" w:rsidP="004B208B">
      <w:pPr>
        <w:pStyle w:val="SingleTxt"/>
        <w:keepNext/>
        <w:spacing w:after="0" w:line="120" w:lineRule="exact"/>
        <w:rPr>
          <w:sz w:val="10"/>
          <w:lang w:val="fr-FR"/>
        </w:rPr>
      </w:pPr>
    </w:p>
    <w:p w14:paraId="7F0D94CE" w14:textId="2857C5B9" w:rsidR="00603A87" w:rsidRPr="00111F07" w:rsidRDefault="00603A87" w:rsidP="004B208B">
      <w:pPr>
        <w:pStyle w:val="SingleTxt"/>
        <w:keepNext/>
        <w:numPr>
          <w:ilvl w:val="0"/>
          <w:numId w:val="52"/>
        </w:numPr>
        <w:tabs>
          <w:tab w:val="num" w:pos="2804"/>
        </w:tabs>
        <w:spacing w:line="240" w:lineRule="exact"/>
        <w:rPr>
          <w:lang w:val="fr-FR"/>
        </w:rPr>
      </w:pPr>
      <w:r w:rsidRPr="00111F07">
        <w:rPr>
          <w:lang w:val="fr-FR"/>
        </w:rPr>
        <w:t>La législation des Îles Féroé ne fait pas obstacle à l</w:t>
      </w:r>
      <w:r w:rsidR="007A3CEB" w:rsidRPr="00111F07">
        <w:rPr>
          <w:lang w:val="fr-FR"/>
        </w:rPr>
        <w:t>’</w:t>
      </w:r>
      <w:r w:rsidRPr="00111F07">
        <w:rPr>
          <w:lang w:val="fr-FR"/>
        </w:rPr>
        <w:t>égalité des genres. Elle n</w:t>
      </w:r>
      <w:r w:rsidR="007A3CEB" w:rsidRPr="00111F07">
        <w:rPr>
          <w:lang w:val="fr-FR"/>
        </w:rPr>
        <w:t>’</w:t>
      </w:r>
      <w:r w:rsidRPr="00111F07">
        <w:rPr>
          <w:lang w:val="fr-FR"/>
        </w:rPr>
        <w:t>établit pas de distinction entre les femmes et les hommes, mais garantit les mêmes droits à tous les citoyens, sans accorder de droits particuliers en fonction du genre. Ainsi, les femmes et les hommes ont les mêmes droits et les mêmes responsabilités dans tous les secteurs de la société.</w:t>
      </w:r>
    </w:p>
    <w:p w14:paraId="47129A59" w14:textId="36F6FD1B" w:rsidR="00603A87" w:rsidRPr="00111F07" w:rsidRDefault="00603A87" w:rsidP="004B208B">
      <w:pPr>
        <w:pStyle w:val="SingleTxt"/>
        <w:numPr>
          <w:ilvl w:val="0"/>
          <w:numId w:val="52"/>
        </w:numPr>
        <w:tabs>
          <w:tab w:val="num" w:pos="2804"/>
        </w:tabs>
        <w:spacing w:line="240" w:lineRule="exact"/>
        <w:rPr>
          <w:lang w:val="fr-FR"/>
        </w:rPr>
      </w:pPr>
      <w:r w:rsidRPr="00111F07">
        <w:rPr>
          <w:lang w:val="fr-FR"/>
        </w:rPr>
        <w:t>Traditionnellement, et encore dans une certaine mesure aujourd</w:t>
      </w:r>
      <w:r w:rsidR="007A3CEB" w:rsidRPr="00111F07">
        <w:rPr>
          <w:lang w:val="fr-FR"/>
        </w:rPr>
        <w:t>’</w:t>
      </w:r>
      <w:r w:rsidRPr="00111F07">
        <w:rPr>
          <w:lang w:val="fr-FR"/>
        </w:rPr>
        <w:t>hui, la société féroïenne est assez traditionnelle, étant une nation de pêcheurs avec un grand nombre d</w:t>
      </w:r>
      <w:r w:rsidR="007A3CEB" w:rsidRPr="00111F07">
        <w:rPr>
          <w:lang w:val="fr-FR"/>
        </w:rPr>
        <w:t>’</w:t>
      </w:r>
      <w:r w:rsidRPr="00111F07">
        <w:rPr>
          <w:lang w:val="fr-FR"/>
        </w:rPr>
        <w:t>hommes travaillant loin de chez eux pendant de longues périodes, beaucoup de femmes ont la responsabilité principale du foyer et de l</w:t>
      </w:r>
      <w:r w:rsidR="007A3CEB" w:rsidRPr="00111F07">
        <w:rPr>
          <w:lang w:val="fr-FR"/>
        </w:rPr>
        <w:t>’</w:t>
      </w:r>
      <w:r w:rsidRPr="00111F07">
        <w:rPr>
          <w:lang w:val="fr-FR"/>
        </w:rPr>
        <w:t>économie familiale. Cela pourrait également expliquer le grand nombre de femmes travaillant à temps partiel; puisque plus de 50</w:t>
      </w:r>
      <w:r w:rsidR="007A3CEB" w:rsidRPr="00111F07">
        <w:rPr>
          <w:lang w:val="fr-FR"/>
        </w:rPr>
        <w:t> %</w:t>
      </w:r>
      <w:r w:rsidRPr="00111F07">
        <w:rPr>
          <w:lang w:val="fr-FR"/>
        </w:rPr>
        <w:t xml:space="preserve"> des femmes des Îles Féroé travaillent à temps partiel. Cela a également un effet sur les revenus salariaux; les femmes percevant moins de 40</w:t>
      </w:r>
      <w:r w:rsidR="007A3CEB" w:rsidRPr="00111F07">
        <w:rPr>
          <w:lang w:val="fr-FR"/>
        </w:rPr>
        <w:t> %</w:t>
      </w:r>
      <w:r w:rsidRPr="00111F07">
        <w:rPr>
          <w:lang w:val="fr-FR"/>
        </w:rPr>
        <w:t xml:space="preserve"> du montant total des salaires versés aux Îles Féroé </w:t>
      </w:r>
      <w:r w:rsidR="00B067DB" w:rsidRPr="00111F07">
        <w:rPr>
          <w:lang w:val="fr-FR"/>
        </w:rPr>
        <w:t xml:space="preserve">– </w:t>
      </w:r>
      <w:r w:rsidRPr="00111F07">
        <w:rPr>
          <w:lang w:val="fr-FR"/>
        </w:rPr>
        <w:t>bien que la part des femmes dans la population active soit l</w:t>
      </w:r>
      <w:r w:rsidR="007A3CEB" w:rsidRPr="00111F07">
        <w:rPr>
          <w:lang w:val="fr-FR"/>
        </w:rPr>
        <w:t>’</w:t>
      </w:r>
      <w:r w:rsidRPr="00111F07">
        <w:rPr>
          <w:lang w:val="fr-FR"/>
        </w:rPr>
        <w:t>une des plus élevées au monde, avec 83</w:t>
      </w:r>
      <w:r w:rsidR="007A3CEB" w:rsidRPr="00111F07">
        <w:rPr>
          <w:lang w:val="fr-FR"/>
        </w:rPr>
        <w:t> %</w:t>
      </w:r>
      <w:r w:rsidRPr="00111F07">
        <w:rPr>
          <w:lang w:val="fr-FR"/>
        </w:rPr>
        <w:t xml:space="preserve"> des femmes présentes sur le marché du travail.</w:t>
      </w:r>
    </w:p>
    <w:p w14:paraId="2FB81762" w14:textId="7702F3B2" w:rsidR="00603A87" w:rsidRPr="001C3EFA" w:rsidRDefault="00603A87" w:rsidP="004B208B">
      <w:pPr>
        <w:pStyle w:val="SingleTxt"/>
        <w:numPr>
          <w:ilvl w:val="0"/>
          <w:numId w:val="52"/>
        </w:numPr>
        <w:tabs>
          <w:tab w:val="num" w:pos="2804"/>
        </w:tabs>
        <w:spacing w:line="240" w:lineRule="exact"/>
        <w:rPr>
          <w:lang w:val="fr-FR"/>
        </w:rPr>
      </w:pPr>
      <w:r w:rsidRPr="00111F07">
        <w:rPr>
          <w:lang w:val="fr-FR"/>
        </w:rPr>
        <w:t>Une loi sur l</w:t>
      </w:r>
      <w:r w:rsidR="007A3CEB" w:rsidRPr="00111F07">
        <w:rPr>
          <w:lang w:val="fr-FR"/>
        </w:rPr>
        <w:t>’</w:t>
      </w:r>
      <w:r w:rsidRPr="00111F07">
        <w:rPr>
          <w:lang w:val="fr-FR"/>
        </w:rPr>
        <w:t>égalité des sexes est en vigueur depuis 1994, avec pour principal objectif d</w:t>
      </w:r>
      <w:r w:rsidR="007A3CEB" w:rsidRPr="00111F07">
        <w:rPr>
          <w:lang w:val="fr-FR"/>
        </w:rPr>
        <w:t>’</w:t>
      </w:r>
      <w:r w:rsidRPr="00111F07">
        <w:rPr>
          <w:lang w:val="fr-FR"/>
        </w:rPr>
        <w:t>éliminer toutes les formes de discrimination fondée sur le genre (</w:t>
      </w:r>
      <w:hyperlink r:id="rId19" w:history="1">
        <w:r w:rsidRPr="001C3EFA">
          <w:rPr>
            <w:rStyle w:val="Hyperlink"/>
            <w:lang w:val="fr-FR"/>
          </w:rPr>
          <w:t>CEDAW/C/DNK/9</w:t>
        </w:r>
      </w:hyperlink>
      <w:r w:rsidRPr="00111F07">
        <w:rPr>
          <w:lang w:val="fr-FR"/>
        </w:rPr>
        <w:t>, par. 276).</w:t>
      </w:r>
    </w:p>
    <w:p w14:paraId="4465D647" w14:textId="34C287C6" w:rsidR="00603A87" w:rsidRPr="00111F07" w:rsidRDefault="00603A87" w:rsidP="004B208B">
      <w:pPr>
        <w:pStyle w:val="SingleTxt"/>
        <w:numPr>
          <w:ilvl w:val="0"/>
          <w:numId w:val="52"/>
        </w:numPr>
        <w:tabs>
          <w:tab w:val="num" w:pos="2804"/>
        </w:tabs>
        <w:spacing w:line="240" w:lineRule="exact"/>
        <w:rPr>
          <w:lang w:val="fr-FR"/>
        </w:rPr>
      </w:pPr>
      <w:r w:rsidRPr="00111F07">
        <w:rPr>
          <w:lang w:val="fr-FR"/>
        </w:rPr>
        <w:t>En août 2019, un bureau pour l</w:t>
      </w:r>
      <w:r w:rsidR="007A3CEB" w:rsidRPr="00111F07">
        <w:rPr>
          <w:lang w:val="fr-FR"/>
        </w:rPr>
        <w:t>’</w:t>
      </w:r>
      <w:r w:rsidRPr="00111F07">
        <w:rPr>
          <w:lang w:val="fr-FR"/>
        </w:rPr>
        <w:t>égalité des genres a été créé. Il s</w:t>
      </w:r>
      <w:r w:rsidR="007A3CEB" w:rsidRPr="00111F07">
        <w:rPr>
          <w:lang w:val="fr-FR"/>
        </w:rPr>
        <w:t>’</w:t>
      </w:r>
      <w:r w:rsidRPr="00111F07">
        <w:rPr>
          <w:lang w:val="fr-FR"/>
        </w:rPr>
        <w:t>attache en priorité à mettre l</w:t>
      </w:r>
      <w:r w:rsidR="007A3CEB" w:rsidRPr="00111F07">
        <w:rPr>
          <w:lang w:val="fr-FR"/>
        </w:rPr>
        <w:t>’</w:t>
      </w:r>
      <w:r w:rsidRPr="00111F07">
        <w:rPr>
          <w:lang w:val="fr-FR"/>
        </w:rPr>
        <w:t>égalité des genres à l</w:t>
      </w:r>
      <w:r w:rsidR="007A3CEB" w:rsidRPr="00111F07">
        <w:rPr>
          <w:lang w:val="fr-FR"/>
        </w:rPr>
        <w:t>’</w:t>
      </w:r>
      <w:r w:rsidRPr="00111F07">
        <w:rPr>
          <w:lang w:val="fr-FR"/>
        </w:rPr>
        <w:t>ordre du jour dans tous les secteurs de la société et à sensibiliser sur les questions de genre et d</w:t>
      </w:r>
      <w:r w:rsidR="007A3CEB" w:rsidRPr="00111F07">
        <w:rPr>
          <w:lang w:val="fr-FR"/>
        </w:rPr>
        <w:t>’</w:t>
      </w:r>
      <w:r w:rsidRPr="00111F07">
        <w:rPr>
          <w:lang w:val="fr-FR"/>
        </w:rPr>
        <w:t>égalité, ainsi qu</w:t>
      </w:r>
      <w:r w:rsidR="007A3CEB" w:rsidRPr="00111F07">
        <w:rPr>
          <w:lang w:val="fr-FR"/>
        </w:rPr>
        <w:t>’</w:t>
      </w:r>
      <w:r w:rsidRPr="00111F07">
        <w:rPr>
          <w:lang w:val="fr-FR"/>
        </w:rPr>
        <w:t>à faire en sorte que davantage de femmes occupent des postes de décision.</w:t>
      </w:r>
    </w:p>
    <w:p w14:paraId="25DF9484" w14:textId="0D5160C6" w:rsidR="004B208B" w:rsidRPr="00111F07" w:rsidRDefault="004B208B" w:rsidP="004B208B">
      <w:pPr>
        <w:pStyle w:val="SingleTxt"/>
        <w:spacing w:after="0" w:line="120" w:lineRule="exact"/>
        <w:rPr>
          <w:sz w:val="10"/>
          <w:lang w:val="fr-FR"/>
        </w:rPr>
      </w:pPr>
    </w:p>
    <w:p w14:paraId="11DA4D2B" w14:textId="542C0F97" w:rsidR="00603A87" w:rsidRPr="00111F07" w:rsidRDefault="00603A87" w:rsidP="004B2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Groenland</w:t>
      </w:r>
    </w:p>
    <w:p w14:paraId="395F04A0" w14:textId="0D412FC4" w:rsidR="004B208B" w:rsidRPr="00111F07" w:rsidRDefault="004B208B" w:rsidP="004B208B">
      <w:pPr>
        <w:pStyle w:val="SingleTxt"/>
        <w:spacing w:after="0" w:line="120" w:lineRule="exact"/>
        <w:rPr>
          <w:sz w:val="10"/>
          <w:lang w:val="fr-FR"/>
        </w:rPr>
      </w:pPr>
    </w:p>
    <w:p w14:paraId="7ECF2942" w14:textId="7CA2553B" w:rsidR="00603A87" w:rsidRPr="00111F07" w:rsidRDefault="00603A87" w:rsidP="004B208B">
      <w:pPr>
        <w:pStyle w:val="SingleTxt"/>
        <w:numPr>
          <w:ilvl w:val="0"/>
          <w:numId w:val="52"/>
        </w:numPr>
        <w:spacing w:line="240" w:lineRule="exact"/>
        <w:rPr>
          <w:lang w:val="fr-FR"/>
        </w:rPr>
      </w:pPr>
      <w:r w:rsidRPr="00111F07">
        <w:rPr>
          <w:lang w:val="fr-FR"/>
        </w:rPr>
        <w:t>Aucune mesure autre que celles énoncées dans la loi parlementaire n</w:t>
      </w:r>
      <w:r w:rsidRPr="00111F07">
        <w:rPr>
          <w:vertAlign w:val="superscript"/>
          <w:lang w:val="fr-FR"/>
        </w:rPr>
        <w:t>o</w:t>
      </w:r>
      <w:r w:rsidR="004B208B" w:rsidRPr="00111F07">
        <w:rPr>
          <w:lang w:val="fr-FR"/>
        </w:rPr>
        <w:t> </w:t>
      </w:r>
      <w:r w:rsidRPr="00111F07">
        <w:rPr>
          <w:lang w:val="fr-FR"/>
        </w:rPr>
        <w:t>3 du 29</w:t>
      </w:r>
      <w:r w:rsidR="004B208B" w:rsidRPr="00111F07">
        <w:rPr>
          <w:lang w:val="fr-FR"/>
        </w:rPr>
        <w:t> </w:t>
      </w:r>
      <w:r w:rsidRPr="00111F07">
        <w:rPr>
          <w:lang w:val="fr-FR"/>
        </w:rPr>
        <w:t>novembre 2013 sur l</w:t>
      </w:r>
      <w:r w:rsidR="007A3CEB" w:rsidRPr="00111F07">
        <w:rPr>
          <w:lang w:val="fr-FR"/>
        </w:rPr>
        <w:t>’</w:t>
      </w:r>
      <w:r w:rsidRPr="00111F07">
        <w:rPr>
          <w:lang w:val="fr-FR"/>
        </w:rPr>
        <w:t>égalité entre les hommes et les femmes n</w:t>
      </w:r>
      <w:r w:rsidR="007A3CEB" w:rsidRPr="00111F07">
        <w:rPr>
          <w:lang w:val="fr-FR"/>
        </w:rPr>
        <w:t>’</w:t>
      </w:r>
      <w:r w:rsidRPr="00111F07">
        <w:rPr>
          <w:lang w:val="fr-FR"/>
        </w:rPr>
        <w:t>a été prise.</w:t>
      </w:r>
    </w:p>
    <w:p w14:paraId="6C6EC37B" w14:textId="11A6914A" w:rsidR="00603A87" w:rsidRPr="00111F07" w:rsidRDefault="00603A87" w:rsidP="004B208B">
      <w:pPr>
        <w:pStyle w:val="SingleTxt"/>
        <w:numPr>
          <w:ilvl w:val="0"/>
          <w:numId w:val="52"/>
        </w:numPr>
        <w:spacing w:line="240" w:lineRule="exact"/>
        <w:rPr>
          <w:lang w:val="fr-FR"/>
        </w:rPr>
      </w:pPr>
      <w:r w:rsidRPr="00111F07">
        <w:rPr>
          <w:lang w:val="fr-FR"/>
        </w:rPr>
        <w:t>Cette loi vise à promouvoir l</w:t>
      </w:r>
      <w:r w:rsidR="007A3CEB" w:rsidRPr="00111F07">
        <w:rPr>
          <w:lang w:val="fr-FR"/>
        </w:rPr>
        <w:t>’</w:t>
      </w:r>
      <w:r w:rsidRPr="00111F07">
        <w:rPr>
          <w:lang w:val="fr-FR"/>
        </w:rPr>
        <w:t>égalité entre les femmes et les hommes et s</w:t>
      </w:r>
      <w:r w:rsidR="007A3CEB" w:rsidRPr="00111F07">
        <w:rPr>
          <w:lang w:val="fr-FR"/>
        </w:rPr>
        <w:t>’</w:t>
      </w:r>
      <w:r w:rsidRPr="00111F07">
        <w:rPr>
          <w:lang w:val="fr-FR"/>
        </w:rPr>
        <w:t>applique dans la mesure où il n</w:t>
      </w:r>
      <w:r w:rsidR="007A3CEB" w:rsidRPr="00111F07">
        <w:rPr>
          <w:lang w:val="fr-FR"/>
        </w:rPr>
        <w:t>’</w:t>
      </w:r>
      <w:r w:rsidRPr="00111F07">
        <w:rPr>
          <w:lang w:val="fr-FR"/>
        </w:rPr>
        <w:t>existe pas de droits équivalents ou supérieurs découlant d</w:t>
      </w:r>
      <w:r w:rsidR="007A3CEB" w:rsidRPr="00111F07">
        <w:rPr>
          <w:lang w:val="fr-FR"/>
        </w:rPr>
        <w:t>’</w:t>
      </w:r>
      <w:r w:rsidRPr="00111F07">
        <w:rPr>
          <w:lang w:val="fr-FR"/>
        </w:rPr>
        <w:t>une convention collective.</w:t>
      </w:r>
    </w:p>
    <w:p w14:paraId="704E4549" w14:textId="3E9532BE" w:rsidR="00603A87" w:rsidRPr="00111F07" w:rsidRDefault="00603A87" w:rsidP="004B208B">
      <w:pPr>
        <w:pStyle w:val="SingleTxt"/>
        <w:numPr>
          <w:ilvl w:val="0"/>
          <w:numId w:val="52"/>
        </w:numPr>
        <w:spacing w:line="240" w:lineRule="exact"/>
        <w:rPr>
          <w:lang w:val="fr-FR"/>
        </w:rPr>
      </w:pPr>
      <w:r w:rsidRPr="00111F07">
        <w:rPr>
          <w:lang w:val="fr-FR"/>
        </w:rPr>
        <w:t>La loi dispose que les autorités publiques doivent mettre en œuvre l</w:t>
      </w:r>
      <w:r w:rsidR="007A3CEB" w:rsidRPr="00111F07">
        <w:rPr>
          <w:lang w:val="fr-FR"/>
        </w:rPr>
        <w:t>’</w:t>
      </w:r>
      <w:r w:rsidRPr="00111F07">
        <w:rPr>
          <w:lang w:val="fr-FR"/>
        </w:rPr>
        <w:t>égalité des genres et intégrer l</w:t>
      </w:r>
      <w:r w:rsidR="007A3CEB" w:rsidRPr="00111F07">
        <w:rPr>
          <w:lang w:val="fr-FR"/>
        </w:rPr>
        <w:t>’</w:t>
      </w:r>
      <w:r w:rsidRPr="00111F07">
        <w:rPr>
          <w:lang w:val="fr-FR"/>
        </w:rPr>
        <w:t>égalité dans la planification et la gestion de leur territoire, le cas échéant. Dans les comités, conseils, commissions et autres organes publics créés par le Naalakkersuisut, le Gouvernement groenlandais, pour préparer des règles ou planifier des activités sur des questions sociales importantes, les sièges doivent être également répartis entre les sexes, le déséquilibre autorisé étant limité à un siège au maximum.</w:t>
      </w:r>
    </w:p>
    <w:p w14:paraId="7CC88241" w14:textId="32192C77" w:rsidR="004B208B" w:rsidRPr="00111F07" w:rsidRDefault="004B208B" w:rsidP="004B208B">
      <w:pPr>
        <w:pStyle w:val="SingleTxt"/>
        <w:tabs>
          <w:tab w:val="clear" w:pos="1742"/>
        </w:tabs>
        <w:spacing w:after="0" w:line="120" w:lineRule="exact"/>
        <w:rPr>
          <w:sz w:val="10"/>
          <w:lang w:val="fr-FR"/>
        </w:rPr>
      </w:pPr>
    </w:p>
    <w:p w14:paraId="0ACB9964" w14:textId="77777777" w:rsidR="004B208B" w:rsidRPr="00111F07" w:rsidRDefault="004B208B" w:rsidP="004B208B">
      <w:pPr>
        <w:pStyle w:val="SingleTxt"/>
        <w:tabs>
          <w:tab w:val="clear" w:pos="1742"/>
        </w:tabs>
        <w:spacing w:after="0" w:line="120" w:lineRule="exact"/>
        <w:rPr>
          <w:sz w:val="10"/>
          <w:lang w:val="fr-FR"/>
        </w:rPr>
      </w:pPr>
    </w:p>
    <w:p w14:paraId="05C4E840" w14:textId="3FC841BB" w:rsidR="00603A87" w:rsidRPr="00111F07" w:rsidRDefault="00603A87" w:rsidP="004B20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3</w:t>
      </w:r>
    </w:p>
    <w:p w14:paraId="008E89D0" w14:textId="7749B319" w:rsidR="004B208B" w:rsidRPr="00111F07" w:rsidRDefault="004B208B" w:rsidP="004B208B">
      <w:pPr>
        <w:pStyle w:val="SingleTxt"/>
        <w:spacing w:after="0" w:line="120" w:lineRule="exact"/>
        <w:rPr>
          <w:sz w:val="10"/>
          <w:lang w:val="fr-FR"/>
        </w:rPr>
      </w:pPr>
    </w:p>
    <w:p w14:paraId="6168AB4F" w14:textId="0780EA5E" w:rsidR="004B208B" w:rsidRPr="00111F07" w:rsidRDefault="004B208B" w:rsidP="004B208B">
      <w:pPr>
        <w:pStyle w:val="SingleTxt"/>
        <w:spacing w:after="0" w:line="120" w:lineRule="exact"/>
        <w:rPr>
          <w:sz w:val="10"/>
          <w:lang w:val="fr-FR"/>
        </w:rPr>
      </w:pPr>
    </w:p>
    <w:p w14:paraId="6E0E93EC" w14:textId="66649E60" w:rsidR="00603A87" w:rsidRPr="00111F07" w:rsidRDefault="00603A87" w:rsidP="004B208B">
      <w:pPr>
        <w:pStyle w:val="SingleTxt"/>
        <w:numPr>
          <w:ilvl w:val="0"/>
          <w:numId w:val="52"/>
        </w:numPr>
        <w:spacing w:line="240" w:lineRule="exact"/>
        <w:rPr>
          <w:lang w:val="fr-FR"/>
        </w:rPr>
      </w:pPr>
      <w:r w:rsidRPr="00111F07">
        <w:rPr>
          <w:lang w:val="fr-FR"/>
        </w:rPr>
        <w:t>Depuis 2000, l</w:t>
      </w:r>
      <w:r w:rsidR="007A3CEB" w:rsidRPr="00111F07">
        <w:rPr>
          <w:lang w:val="fr-FR"/>
        </w:rPr>
        <w:t>’</w:t>
      </w:r>
      <w:r w:rsidRPr="00111F07">
        <w:rPr>
          <w:lang w:val="fr-FR"/>
        </w:rPr>
        <w:t>article 4 de la loi sur l</w:t>
      </w:r>
      <w:r w:rsidR="007A3CEB" w:rsidRPr="00111F07">
        <w:rPr>
          <w:lang w:val="fr-FR"/>
        </w:rPr>
        <w:t>’</w:t>
      </w:r>
      <w:r w:rsidRPr="00111F07">
        <w:rPr>
          <w:lang w:val="fr-FR"/>
        </w:rPr>
        <w:t xml:space="preserve">égalité des genres stipule que </w:t>
      </w:r>
      <w:r w:rsidR="004B208B" w:rsidRPr="00111F07">
        <w:rPr>
          <w:lang w:val="fr-FR"/>
        </w:rPr>
        <w:t>« </w:t>
      </w:r>
      <w:r w:rsidRPr="00111F07">
        <w:rPr>
          <w:lang w:val="fr-FR"/>
        </w:rPr>
        <w:t>les autorités publiques doivent, dans leurs domaines de compétence respectifs, s</w:t>
      </w:r>
      <w:r w:rsidR="007A3CEB" w:rsidRPr="00111F07">
        <w:rPr>
          <w:lang w:val="fr-FR"/>
        </w:rPr>
        <w:t>’</w:t>
      </w:r>
      <w:r w:rsidRPr="00111F07">
        <w:rPr>
          <w:lang w:val="fr-FR"/>
        </w:rPr>
        <w:t>employer à promouvoir l</w:t>
      </w:r>
      <w:r w:rsidR="007A3CEB" w:rsidRPr="00111F07">
        <w:rPr>
          <w:lang w:val="fr-FR"/>
        </w:rPr>
        <w:t>’</w:t>
      </w:r>
      <w:r w:rsidRPr="00111F07">
        <w:rPr>
          <w:lang w:val="fr-FR"/>
        </w:rPr>
        <w:t>égalité des genres et en tenir compte dans toutes les activités de planification et d</w:t>
      </w:r>
      <w:r w:rsidR="007A3CEB" w:rsidRPr="00111F07">
        <w:rPr>
          <w:lang w:val="fr-FR"/>
        </w:rPr>
        <w:t>’</w:t>
      </w:r>
      <w:r w:rsidRPr="00111F07">
        <w:rPr>
          <w:lang w:val="fr-FR"/>
        </w:rPr>
        <w:t>administration</w:t>
      </w:r>
      <w:r w:rsidR="004B208B" w:rsidRPr="00111F07">
        <w:rPr>
          <w:lang w:val="fr-FR"/>
        </w:rPr>
        <w:t> »</w:t>
      </w:r>
      <w:r w:rsidRPr="00111F07">
        <w:rPr>
          <w:lang w:val="fr-FR"/>
        </w:rPr>
        <w:t>. Il n</w:t>
      </w:r>
      <w:r w:rsidR="007A3CEB" w:rsidRPr="00111F07">
        <w:rPr>
          <w:lang w:val="fr-FR"/>
        </w:rPr>
        <w:t>’</w:t>
      </w:r>
      <w:r w:rsidRPr="00111F07">
        <w:rPr>
          <w:lang w:val="fr-FR"/>
        </w:rPr>
        <w:t>y a eu aucune modification législative quant à cette obligation de promouvoir l</w:t>
      </w:r>
      <w:r w:rsidR="007A3CEB" w:rsidRPr="00111F07">
        <w:rPr>
          <w:lang w:val="fr-FR"/>
        </w:rPr>
        <w:t>’</w:t>
      </w:r>
      <w:r w:rsidRPr="00111F07">
        <w:rPr>
          <w:lang w:val="fr-FR"/>
        </w:rPr>
        <w:t>égalité des genres.</w:t>
      </w:r>
    </w:p>
    <w:p w14:paraId="404DB92C" w14:textId="22DE123A" w:rsidR="00603A87" w:rsidRPr="00111F07" w:rsidRDefault="00603A87" w:rsidP="004B208B">
      <w:pPr>
        <w:pStyle w:val="SingleTxt"/>
        <w:numPr>
          <w:ilvl w:val="0"/>
          <w:numId w:val="52"/>
        </w:numPr>
        <w:spacing w:line="240" w:lineRule="exact"/>
        <w:rPr>
          <w:lang w:val="fr-FR"/>
        </w:rPr>
      </w:pPr>
      <w:r w:rsidRPr="00111F07">
        <w:rPr>
          <w:lang w:val="fr-FR"/>
        </w:rPr>
        <w:t>L</w:t>
      </w:r>
      <w:r w:rsidR="007A3CEB" w:rsidRPr="00111F07">
        <w:rPr>
          <w:lang w:val="fr-FR"/>
        </w:rPr>
        <w:t>’</w:t>
      </w:r>
      <w:r w:rsidRPr="00111F07">
        <w:rPr>
          <w:lang w:val="fr-FR"/>
        </w:rPr>
        <w:t>amendement de 2019 à la loi sur l</w:t>
      </w:r>
      <w:r w:rsidR="007A3CEB" w:rsidRPr="00111F07">
        <w:rPr>
          <w:lang w:val="fr-FR"/>
        </w:rPr>
        <w:t>’</w:t>
      </w:r>
      <w:r w:rsidRPr="00111F07">
        <w:rPr>
          <w:lang w:val="fr-FR"/>
        </w:rPr>
        <w:t>égalité des genres concerne le mécanisme d</w:t>
      </w:r>
      <w:r w:rsidR="007A3CEB" w:rsidRPr="00111F07">
        <w:rPr>
          <w:lang w:val="fr-FR"/>
        </w:rPr>
        <w:t>’</w:t>
      </w:r>
      <w:r w:rsidRPr="00111F07">
        <w:rPr>
          <w:lang w:val="fr-FR"/>
        </w:rPr>
        <w:t>établissement de rapports, et fait passer la fréquence des rapports sur l</w:t>
      </w:r>
      <w:r w:rsidR="007A3CEB" w:rsidRPr="00111F07">
        <w:rPr>
          <w:lang w:val="fr-FR"/>
        </w:rPr>
        <w:t>’</w:t>
      </w:r>
      <w:r w:rsidRPr="00111F07">
        <w:rPr>
          <w:lang w:val="fr-FR"/>
        </w:rPr>
        <w:t>égalité des genres de deux à trois ans afin de simplifier la procédure et de la rendre plus utile, l</w:t>
      </w:r>
      <w:r w:rsidR="007A3CEB" w:rsidRPr="00111F07">
        <w:rPr>
          <w:lang w:val="fr-FR"/>
        </w:rPr>
        <w:t>’</w:t>
      </w:r>
      <w:r w:rsidRPr="00111F07">
        <w:rPr>
          <w:lang w:val="fr-FR"/>
        </w:rPr>
        <w:t xml:space="preserve">accent étant mis sur le suivi et la diffusion des bonnes pratiques entre les cycles </w:t>
      </w:r>
      <w:r w:rsidRPr="00111F07">
        <w:rPr>
          <w:lang w:val="fr-FR"/>
        </w:rPr>
        <w:lastRenderedPageBreak/>
        <w:t>d</w:t>
      </w:r>
      <w:r w:rsidR="007A3CEB" w:rsidRPr="00111F07">
        <w:rPr>
          <w:lang w:val="fr-FR"/>
        </w:rPr>
        <w:t>’</w:t>
      </w:r>
      <w:r w:rsidRPr="00111F07">
        <w:rPr>
          <w:lang w:val="fr-FR"/>
        </w:rPr>
        <w:t>établissement des rapports. Il est encore trop tôt pour évaluer les effets de cet amendement.</w:t>
      </w:r>
    </w:p>
    <w:p w14:paraId="00C5B151" w14:textId="64E30ECD" w:rsidR="00603A87" w:rsidRPr="00111F07" w:rsidRDefault="00603A87" w:rsidP="004B208B">
      <w:pPr>
        <w:pStyle w:val="SingleTxt"/>
        <w:numPr>
          <w:ilvl w:val="0"/>
          <w:numId w:val="52"/>
        </w:numPr>
        <w:spacing w:line="240" w:lineRule="exact"/>
        <w:rPr>
          <w:lang w:val="fr-FR"/>
        </w:rPr>
      </w:pPr>
      <w:r w:rsidRPr="00111F07">
        <w:rPr>
          <w:lang w:val="fr-FR"/>
        </w:rPr>
        <w:t>Le Gouvernement danois ne considère pas que la neutralité de la législation et des politiques du point du genre empêche le Danemark de s</w:t>
      </w:r>
      <w:r w:rsidR="007A3CEB" w:rsidRPr="00111F07">
        <w:rPr>
          <w:lang w:val="fr-FR"/>
        </w:rPr>
        <w:t>’</w:t>
      </w:r>
      <w:r w:rsidRPr="00111F07">
        <w:rPr>
          <w:lang w:val="fr-FR"/>
        </w:rPr>
        <w:t>acquitter de ses obligations découlant de la Convention.</w:t>
      </w:r>
    </w:p>
    <w:p w14:paraId="3B302C38" w14:textId="748EDDD5" w:rsidR="00603A87" w:rsidRPr="00111F07" w:rsidRDefault="00603A87" w:rsidP="004B208B">
      <w:pPr>
        <w:pStyle w:val="SingleTxt"/>
        <w:numPr>
          <w:ilvl w:val="0"/>
          <w:numId w:val="52"/>
        </w:numPr>
        <w:spacing w:line="240" w:lineRule="exact"/>
        <w:rPr>
          <w:lang w:val="fr-FR"/>
        </w:rPr>
      </w:pPr>
      <w:r w:rsidRPr="00111F07">
        <w:rPr>
          <w:lang w:val="fr-FR"/>
        </w:rPr>
        <w:t>Selon les directives législatives danoises, toutes les propositions doivent être soumises à une évaluation en trois étapes pour ce qui est de l</w:t>
      </w:r>
      <w:r w:rsidR="007A3CEB" w:rsidRPr="00111F07">
        <w:rPr>
          <w:lang w:val="fr-FR"/>
        </w:rPr>
        <w:t>’</w:t>
      </w:r>
      <w:r w:rsidRPr="00111F07">
        <w:rPr>
          <w:lang w:val="fr-FR"/>
        </w:rPr>
        <w:t>égalité des genres. Tout d</w:t>
      </w:r>
      <w:r w:rsidR="007A3CEB" w:rsidRPr="00111F07">
        <w:rPr>
          <w:lang w:val="fr-FR"/>
        </w:rPr>
        <w:t>’</w:t>
      </w:r>
      <w:r w:rsidRPr="00111F07">
        <w:rPr>
          <w:lang w:val="fr-FR"/>
        </w:rPr>
        <w:t>abord, on examine si une évaluation de l</w:t>
      </w:r>
      <w:r w:rsidR="007A3CEB" w:rsidRPr="00111F07">
        <w:rPr>
          <w:lang w:val="fr-FR"/>
        </w:rPr>
        <w:t>’</w:t>
      </w:r>
      <w:r w:rsidRPr="00111F07">
        <w:rPr>
          <w:lang w:val="fr-FR"/>
        </w:rPr>
        <w:t>égalité est pertinente. Le groupe démographique ciblé par la proposition est identifié et il est pris en compte si un sexe est surreprésenté ou s</w:t>
      </w:r>
      <w:r w:rsidR="007A3CEB" w:rsidRPr="00111F07">
        <w:rPr>
          <w:lang w:val="fr-FR"/>
        </w:rPr>
        <w:t>’</w:t>
      </w:r>
      <w:r w:rsidRPr="00111F07">
        <w:rPr>
          <w:lang w:val="fr-FR"/>
        </w:rPr>
        <w:t>il existe des différences importantes entre les sexes au sein de ce groupe démographique cible. Deuxièmement, si la proposition a des conséquences sur l</w:t>
      </w:r>
      <w:r w:rsidR="007A3CEB" w:rsidRPr="00111F07">
        <w:rPr>
          <w:lang w:val="fr-FR"/>
        </w:rPr>
        <w:t>’</w:t>
      </w:r>
      <w:r w:rsidRPr="00111F07">
        <w:rPr>
          <w:lang w:val="fr-FR"/>
        </w:rPr>
        <w:t>égalité, on évalue plus en détail les éventuelles différences entre les sexes et l</w:t>
      </w:r>
      <w:r w:rsidR="007A3CEB" w:rsidRPr="00111F07">
        <w:rPr>
          <w:lang w:val="fr-FR"/>
        </w:rPr>
        <w:t>’</w:t>
      </w:r>
      <w:r w:rsidRPr="00111F07">
        <w:rPr>
          <w:lang w:val="fr-FR"/>
        </w:rPr>
        <w:t>étendue des incidences directes et indirectes de la proposition. Troisièmement, on regarde si les différences potentielles entre les sexes ont des conséquences importantes sur l</w:t>
      </w:r>
      <w:r w:rsidR="007A3CEB" w:rsidRPr="00111F07">
        <w:rPr>
          <w:lang w:val="fr-FR"/>
        </w:rPr>
        <w:t>’</w:t>
      </w:r>
      <w:r w:rsidRPr="00111F07">
        <w:rPr>
          <w:lang w:val="fr-FR"/>
        </w:rPr>
        <w:t>égalité et si la proposition devrait être de ce fait modifiée. Lorsque la proposition a des conséquences importantes en matière d</w:t>
      </w:r>
      <w:r w:rsidR="007A3CEB" w:rsidRPr="00111F07">
        <w:rPr>
          <w:lang w:val="fr-FR"/>
        </w:rPr>
        <w:t>’</w:t>
      </w:r>
      <w:r w:rsidRPr="00111F07">
        <w:rPr>
          <w:lang w:val="fr-FR"/>
        </w:rPr>
        <w:t>égalité, cela doit être expressément indiqué dans le mémoire explicatif qui l</w:t>
      </w:r>
      <w:r w:rsidR="007A3CEB" w:rsidRPr="00111F07">
        <w:rPr>
          <w:lang w:val="fr-FR"/>
        </w:rPr>
        <w:t>’</w:t>
      </w:r>
      <w:r w:rsidRPr="00111F07">
        <w:rPr>
          <w:lang w:val="fr-FR"/>
        </w:rPr>
        <w:t>accompagne.</w:t>
      </w:r>
    </w:p>
    <w:p w14:paraId="421D383C" w14:textId="3D1CC8A1" w:rsidR="00603A87" w:rsidRPr="00111F07" w:rsidRDefault="00603A87" w:rsidP="004B208B">
      <w:pPr>
        <w:pStyle w:val="SingleTxt"/>
        <w:numPr>
          <w:ilvl w:val="0"/>
          <w:numId w:val="52"/>
        </w:numPr>
        <w:spacing w:line="240" w:lineRule="exact"/>
        <w:rPr>
          <w:lang w:val="fr-FR"/>
        </w:rPr>
      </w:pPr>
      <w:r w:rsidRPr="00111F07">
        <w:rPr>
          <w:lang w:val="fr-FR"/>
        </w:rPr>
        <w:t>Le Danemark est doté d</w:t>
      </w:r>
      <w:r w:rsidR="007A3CEB" w:rsidRPr="00111F07">
        <w:rPr>
          <w:lang w:val="fr-FR"/>
        </w:rPr>
        <w:t>’</w:t>
      </w:r>
      <w:r w:rsidRPr="00111F07">
        <w:rPr>
          <w:lang w:val="fr-FR"/>
        </w:rPr>
        <w:t>un ministère de l</w:t>
      </w:r>
      <w:r w:rsidR="007A3CEB" w:rsidRPr="00111F07">
        <w:rPr>
          <w:lang w:val="fr-FR"/>
        </w:rPr>
        <w:t>’</w:t>
      </w:r>
      <w:r w:rsidRPr="00111F07">
        <w:rPr>
          <w:lang w:val="fr-FR"/>
        </w:rPr>
        <w:t>égalité des chances depuis 1999. Les compétences du ministre sont inscrites dans la loi sur l</w:t>
      </w:r>
      <w:r w:rsidR="007A3CEB" w:rsidRPr="00111F07">
        <w:rPr>
          <w:lang w:val="fr-FR"/>
        </w:rPr>
        <w:t>’</w:t>
      </w:r>
      <w:r w:rsidRPr="00111F07">
        <w:rPr>
          <w:lang w:val="fr-FR"/>
        </w:rPr>
        <w:t>égalité des genres et le ministère dispose de sa propre ligne budgétaire. D</w:t>
      </w:r>
      <w:r w:rsidR="007A3CEB" w:rsidRPr="00111F07">
        <w:rPr>
          <w:lang w:val="fr-FR"/>
        </w:rPr>
        <w:t>’</w:t>
      </w:r>
      <w:r w:rsidRPr="00111F07">
        <w:rPr>
          <w:lang w:val="fr-FR"/>
        </w:rPr>
        <w:t>autres ministères ont des portefeuilles différents couvrant d</w:t>
      </w:r>
      <w:r w:rsidR="007A3CEB" w:rsidRPr="00111F07">
        <w:rPr>
          <w:lang w:val="fr-FR"/>
        </w:rPr>
        <w:t>’</w:t>
      </w:r>
      <w:r w:rsidRPr="00111F07">
        <w:rPr>
          <w:lang w:val="fr-FR"/>
        </w:rPr>
        <w:t>autres domaines politiques que l</w:t>
      </w:r>
      <w:r w:rsidR="007A3CEB" w:rsidRPr="00111F07">
        <w:rPr>
          <w:lang w:val="fr-FR"/>
        </w:rPr>
        <w:t>’</w:t>
      </w:r>
      <w:r w:rsidRPr="00111F07">
        <w:rPr>
          <w:lang w:val="fr-FR"/>
        </w:rPr>
        <w:t>égalité des genres. Il s</w:t>
      </w:r>
      <w:r w:rsidR="007A3CEB" w:rsidRPr="00111F07">
        <w:rPr>
          <w:lang w:val="fr-FR"/>
        </w:rPr>
        <w:t>’</w:t>
      </w:r>
      <w:r w:rsidRPr="00111F07">
        <w:rPr>
          <w:lang w:val="fr-FR"/>
        </w:rPr>
        <w:t>agit notamment du logement, des affaires sociales, de l</w:t>
      </w:r>
      <w:r w:rsidR="007A3CEB" w:rsidRPr="00111F07">
        <w:rPr>
          <w:lang w:val="fr-FR"/>
        </w:rPr>
        <w:t>’</w:t>
      </w:r>
      <w:r w:rsidRPr="00111F07">
        <w:rPr>
          <w:lang w:val="fr-FR"/>
        </w:rPr>
        <w:t>immigration, du climat, de l</w:t>
      </w:r>
      <w:r w:rsidR="007A3CEB" w:rsidRPr="00111F07">
        <w:rPr>
          <w:lang w:val="fr-FR"/>
        </w:rPr>
        <w:t>’</w:t>
      </w:r>
      <w:r w:rsidRPr="00111F07">
        <w:rPr>
          <w:lang w:val="fr-FR"/>
        </w:rPr>
        <w:t>éducation. Le portefeuille ne détermine pas l</w:t>
      </w:r>
      <w:r w:rsidR="007A3CEB" w:rsidRPr="00111F07">
        <w:rPr>
          <w:lang w:val="fr-FR"/>
        </w:rPr>
        <w:t>’</w:t>
      </w:r>
      <w:r w:rsidRPr="00111F07">
        <w:rPr>
          <w:lang w:val="fr-FR"/>
        </w:rPr>
        <w:t>attention accordée à la promotion des droits des femmes et de l</w:t>
      </w:r>
      <w:r w:rsidR="007A3CEB" w:rsidRPr="00111F07">
        <w:rPr>
          <w:lang w:val="fr-FR"/>
        </w:rPr>
        <w:t>’</w:t>
      </w:r>
      <w:r w:rsidRPr="00111F07">
        <w:rPr>
          <w:lang w:val="fr-FR"/>
        </w:rPr>
        <w:t>égalité des sexes, ni le budget.</w:t>
      </w:r>
    </w:p>
    <w:p w14:paraId="1449A22E" w14:textId="67DF8272" w:rsidR="004B208B" w:rsidRPr="00111F07" w:rsidRDefault="004B208B" w:rsidP="004B208B">
      <w:pPr>
        <w:pStyle w:val="SingleTxt"/>
        <w:spacing w:after="0" w:line="120" w:lineRule="exact"/>
        <w:rPr>
          <w:sz w:val="10"/>
          <w:lang w:val="fr-FR"/>
        </w:rPr>
      </w:pPr>
    </w:p>
    <w:p w14:paraId="76033D92" w14:textId="7BCC2C2E" w:rsidR="00603A87" w:rsidRPr="00111F07" w:rsidRDefault="00603A87" w:rsidP="004B2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Îles Féroé</w:t>
      </w:r>
    </w:p>
    <w:p w14:paraId="62C7E302" w14:textId="7024F245" w:rsidR="004B208B" w:rsidRPr="00111F07" w:rsidRDefault="004B208B" w:rsidP="004B208B">
      <w:pPr>
        <w:pStyle w:val="SingleTxt"/>
        <w:spacing w:after="0" w:line="120" w:lineRule="exact"/>
        <w:rPr>
          <w:sz w:val="10"/>
          <w:lang w:val="fr-FR"/>
        </w:rPr>
      </w:pPr>
    </w:p>
    <w:p w14:paraId="755DF9D4" w14:textId="69358344" w:rsidR="00603A87" w:rsidRPr="00111F07" w:rsidRDefault="00603A87" w:rsidP="004B208B">
      <w:pPr>
        <w:pStyle w:val="SingleTxt"/>
        <w:numPr>
          <w:ilvl w:val="0"/>
          <w:numId w:val="52"/>
        </w:numPr>
        <w:spacing w:line="240" w:lineRule="exact"/>
        <w:rPr>
          <w:lang w:val="fr-FR"/>
        </w:rPr>
      </w:pPr>
      <w:r w:rsidRPr="00111F07">
        <w:rPr>
          <w:lang w:val="fr-FR"/>
        </w:rPr>
        <w:t>Aucun plan stratégique de prise en compte des questions de genre n</w:t>
      </w:r>
      <w:r w:rsidR="007A3CEB" w:rsidRPr="00111F07">
        <w:rPr>
          <w:lang w:val="fr-FR"/>
        </w:rPr>
        <w:t>’</w:t>
      </w:r>
      <w:r w:rsidRPr="00111F07">
        <w:rPr>
          <w:lang w:val="fr-FR"/>
        </w:rPr>
        <w:t>a été mis en œuvre</w:t>
      </w:r>
      <w:r w:rsidR="00B067DB" w:rsidRPr="00111F07">
        <w:rPr>
          <w:lang w:val="fr-FR"/>
        </w:rPr>
        <w:t> </w:t>
      </w:r>
      <w:r w:rsidR="007A3CEB" w:rsidRPr="00111F07">
        <w:rPr>
          <w:lang w:val="fr-FR"/>
        </w:rPr>
        <w:t>;</w:t>
      </w:r>
      <w:r w:rsidRPr="00111F07">
        <w:rPr>
          <w:lang w:val="fr-FR"/>
        </w:rPr>
        <w:t xml:space="preserve"> cependant, pour ce qui est du processus législatif, la circulaire gouvernementale sur la rédaction des lois fait expressément référence aux conventions internationales, y compris la Convention sur l</w:t>
      </w:r>
      <w:r w:rsidR="007A3CEB" w:rsidRPr="00111F07">
        <w:rPr>
          <w:lang w:val="fr-FR"/>
        </w:rPr>
        <w:t>’</w:t>
      </w:r>
      <w:r w:rsidRPr="00111F07">
        <w:rPr>
          <w:lang w:val="fr-FR"/>
        </w:rPr>
        <w:t>élimination de toutes les formes de discrimination à l</w:t>
      </w:r>
      <w:r w:rsidR="007A3CEB" w:rsidRPr="00111F07">
        <w:rPr>
          <w:lang w:val="fr-FR"/>
        </w:rPr>
        <w:t>’</w:t>
      </w:r>
      <w:r w:rsidRPr="00111F07">
        <w:rPr>
          <w:lang w:val="fr-FR"/>
        </w:rPr>
        <w:t>égard des femmes, afin de s</w:t>
      </w:r>
      <w:r w:rsidR="007A3CEB" w:rsidRPr="00111F07">
        <w:rPr>
          <w:lang w:val="fr-FR"/>
        </w:rPr>
        <w:t>’</w:t>
      </w:r>
      <w:r w:rsidRPr="00111F07">
        <w:rPr>
          <w:lang w:val="fr-FR"/>
        </w:rPr>
        <w:t>assurer que la législation n</w:t>
      </w:r>
      <w:r w:rsidR="007A3CEB" w:rsidRPr="00111F07">
        <w:rPr>
          <w:lang w:val="fr-FR"/>
        </w:rPr>
        <w:t>’</w:t>
      </w:r>
      <w:r w:rsidRPr="00111F07">
        <w:rPr>
          <w:lang w:val="fr-FR"/>
        </w:rPr>
        <w:t>est pas en conflit avec les instruments existants, ce qui permet également de mieux faire connaître la Convention. En outre, un cours sur la prise en compte des questions de genre est proposé aux fonctionnaires du Gouvernement féroïen.</w:t>
      </w:r>
    </w:p>
    <w:p w14:paraId="42AF80B0" w14:textId="61E8C95C" w:rsidR="004B208B" w:rsidRPr="00111F07" w:rsidRDefault="004B208B" w:rsidP="004B208B">
      <w:pPr>
        <w:pStyle w:val="SingleTxt"/>
        <w:spacing w:after="0" w:line="120" w:lineRule="exact"/>
        <w:rPr>
          <w:sz w:val="10"/>
          <w:lang w:val="fr-FR"/>
        </w:rPr>
      </w:pPr>
    </w:p>
    <w:p w14:paraId="31463A85" w14:textId="6D7255CD" w:rsidR="00603A87" w:rsidRPr="00111F07" w:rsidRDefault="00603A87" w:rsidP="004B2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Groenland</w:t>
      </w:r>
    </w:p>
    <w:p w14:paraId="5652939B" w14:textId="38F57E25" w:rsidR="004B208B" w:rsidRPr="00111F07" w:rsidRDefault="004B208B" w:rsidP="004B208B">
      <w:pPr>
        <w:pStyle w:val="SingleTxt"/>
        <w:spacing w:after="0" w:line="120" w:lineRule="exact"/>
        <w:rPr>
          <w:sz w:val="10"/>
          <w:lang w:val="fr-FR"/>
        </w:rPr>
      </w:pPr>
    </w:p>
    <w:p w14:paraId="6E3FC792" w14:textId="7D2C99A6" w:rsidR="00603A87" w:rsidRPr="00111F07" w:rsidRDefault="00603A87" w:rsidP="004B208B">
      <w:pPr>
        <w:pStyle w:val="SingleTxt"/>
        <w:numPr>
          <w:ilvl w:val="0"/>
          <w:numId w:val="52"/>
        </w:numPr>
        <w:spacing w:line="240" w:lineRule="exact"/>
        <w:rPr>
          <w:lang w:val="fr-FR"/>
        </w:rPr>
      </w:pPr>
      <w:r w:rsidRPr="00111F07">
        <w:rPr>
          <w:lang w:val="fr-FR"/>
        </w:rPr>
        <w:t>Les réglementations juridiques, c</w:t>
      </w:r>
      <w:r w:rsidR="007A3CEB" w:rsidRPr="00111F07">
        <w:rPr>
          <w:lang w:val="fr-FR"/>
        </w:rPr>
        <w:t>’</w:t>
      </w:r>
      <w:r w:rsidRPr="00111F07">
        <w:rPr>
          <w:lang w:val="fr-FR"/>
        </w:rPr>
        <w:t>est-à-dire les lois parlementaires, les avis gouvernementaux, les circulaires, les guides et les statuts municipaux qui sont basés sur la loi, doivent s</w:t>
      </w:r>
      <w:r w:rsidR="007A3CEB" w:rsidRPr="00111F07">
        <w:rPr>
          <w:lang w:val="fr-FR"/>
        </w:rPr>
        <w:t>’</w:t>
      </w:r>
      <w:r w:rsidRPr="00111F07">
        <w:rPr>
          <w:lang w:val="fr-FR"/>
        </w:rPr>
        <w:t>efforcer d</w:t>
      </w:r>
      <w:r w:rsidR="007A3CEB" w:rsidRPr="00111F07">
        <w:rPr>
          <w:lang w:val="fr-FR"/>
        </w:rPr>
        <w:t>’</w:t>
      </w:r>
      <w:r w:rsidRPr="00111F07">
        <w:rPr>
          <w:lang w:val="fr-FR"/>
        </w:rPr>
        <w:t>employer un vocabulaire non genré.</w:t>
      </w:r>
    </w:p>
    <w:p w14:paraId="330F7668" w14:textId="733E4C6B" w:rsidR="004B208B" w:rsidRPr="00111F07" w:rsidRDefault="004B208B" w:rsidP="004B208B">
      <w:pPr>
        <w:pStyle w:val="SingleTxt"/>
        <w:spacing w:after="0" w:line="120" w:lineRule="exact"/>
        <w:rPr>
          <w:sz w:val="10"/>
          <w:lang w:val="fr-FR"/>
        </w:rPr>
      </w:pPr>
    </w:p>
    <w:p w14:paraId="3806A081" w14:textId="7148439C" w:rsidR="004B208B" w:rsidRPr="00111F07" w:rsidRDefault="004B208B" w:rsidP="004B208B">
      <w:pPr>
        <w:pStyle w:val="SingleTxt"/>
        <w:spacing w:after="0" w:line="120" w:lineRule="exact"/>
        <w:rPr>
          <w:sz w:val="10"/>
          <w:lang w:val="fr-FR"/>
        </w:rPr>
      </w:pPr>
    </w:p>
    <w:p w14:paraId="1FD82247" w14:textId="3FC6F816" w:rsidR="00603A87" w:rsidRPr="00111F07" w:rsidRDefault="00603A87" w:rsidP="004B20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Accès à la justice et mécanismes de plainte prévus par la loi</w:t>
      </w:r>
    </w:p>
    <w:p w14:paraId="4F284B78" w14:textId="57E40E83" w:rsidR="004B208B" w:rsidRPr="00111F07" w:rsidRDefault="004B208B" w:rsidP="004B208B">
      <w:pPr>
        <w:pStyle w:val="SingleTxt"/>
        <w:spacing w:after="0" w:line="120" w:lineRule="exact"/>
        <w:rPr>
          <w:sz w:val="10"/>
          <w:lang w:val="fr-FR"/>
        </w:rPr>
      </w:pPr>
    </w:p>
    <w:p w14:paraId="630DA236" w14:textId="1D14DDAB" w:rsidR="004B208B" w:rsidRPr="00111F07" w:rsidRDefault="004B208B" w:rsidP="004B208B">
      <w:pPr>
        <w:pStyle w:val="SingleTxt"/>
        <w:spacing w:after="0" w:line="120" w:lineRule="exact"/>
        <w:rPr>
          <w:sz w:val="10"/>
          <w:lang w:val="fr-FR"/>
        </w:rPr>
      </w:pPr>
    </w:p>
    <w:p w14:paraId="41A7C98C" w14:textId="33BEEB12" w:rsidR="00603A87" w:rsidRPr="00111F07" w:rsidRDefault="00603A87" w:rsidP="004B208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4</w:t>
      </w:r>
    </w:p>
    <w:p w14:paraId="3E4CCF21" w14:textId="23B30AAB" w:rsidR="004B208B" w:rsidRPr="00111F07" w:rsidRDefault="004B208B" w:rsidP="004B208B">
      <w:pPr>
        <w:pStyle w:val="SingleTxt"/>
        <w:spacing w:after="0" w:line="120" w:lineRule="exact"/>
        <w:rPr>
          <w:sz w:val="10"/>
          <w:lang w:val="fr-FR"/>
        </w:rPr>
      </w:pPr>
    </w:p>
    <w:p w14:paraId="619755C7" w14:textId="05C29215" w:rsidR="004B208B" w:rsidRPr="00111F07" w:rsidRDefault="004B208B" w:rsidP="004B208B">
      <w:pPr>
        <w:pStyle w:val="SingleTxt"/>
        <w:spacing w:after="0" w:line="120" w:lineRule="exact"/>
        <w:rPr>
          <w:sz w:val="10"/>
          <w:lang w:val="fr-FR"/>
        </w:rPr>
      </w:pPr>
    </w:p>
    <w:p w14:paraId="5CEBCBD6" w14:textId="0209CB36" w:rsidR="00603A87" w:rsidRPr="00111F07" w:rsidRDefault="00603A87" w:rsidP="004B208B">
      <w:pPr>
        <w:pStyle w:val="SingleTxt"/>
        <w:numPr>
          <w:ilvl w:val="0"/>
          <w:numId w:val="52"/>
        </w:numPr>
        <w:spacing w:line="240" w:lineRule="exact"/>
        <w:rPr>
          <w:lang w:val="fr-FR"/>
        </w:rPr>
      </w:pPr>
      <w:r w:rsidRPr="00111F07">
        <w:rPr>
          <w:lang w:val="fr-FR"/>
        </w:rPr>
        <w:t>Le Gouvernement ne dispose pas d</w:t>
      </w:r>
      <w:r w:rsidR="007A3CEB" w:rsidRPr="00111F07">
        <w:rPr>
          <w:lang w:val="fr-FR"/>
        </w:rPr>
        <w:t>’</w:t>
      </w:r>
      <w:r w:rsidRPr="00111F07">
        <w:rPr>
          <w:lang w:val="fr-FR"/>
        </w:rPr>
        <w:t>une liste complète de tous les jugements rendus par les tribunaux au Danemark. Parmi les jugements des tribunaux de droit commun publiés dans les journaux juridiques officiels, le Gouvernement n</w:t>
      </w:r>
      <w:r w:rsidR="007A3CEB" w:rsidRPr="00111F07">
        <w:rPr>
          <w:lang w:val="fr-FR"/>
        </w:rPr>
        <w:t>’</w:t>
      </w:r>
      <w:r w:rsidRPr="00111F07">
        <w:rPr>
          <w:lang w:val="fr-FR"/>
        </w:rPr>
        <w:t>a pas connaissance de jugements rendus depuis le dernier cycle d</w:t>
      </w:r>
      <w:r w:rsidR="007A3CEB" w:rsidRPr="00111F07">
        <w:rPr>
          <w:lang w:val="fr-FR"/>
        </w:rPr>
        <w:t>’</w:t>
      </w:r>
      <w:r w:rsidRPr="00111F07">
        <w:rPr>
          <w:lang w:val="fr-FR"/>
        </w:rPr>
        <w:t>établissement des rapports dans lesquels la Convention sur l</w:t>
      </w:r>
      <w:r w:rsidR="007A3CEB" w:rsidRPr="00111F07">
        <w:rPr>
          <w:lang w:val="fr-FR"/>
        </w:rPr>
        <w:t>’</w:t>
      </w:r>
      <w:r w:rsidRPr="00111F07">
        <w:rPr>
          <w:lang w:val="fr-FR"/>
        </w:rPr>
        <w:t>élimination de toutes les formes de discrimination à l</w:t>
      </w:r>
      <w:r w:rsidR="007A3CEB" w:rsidRPr="00111F07">
        <w:rPr>
          <w:lang w:val="fr-FR"/>
        </w:rPr>
        <w:t>’</w:t>
      </w:r>
      <w:r w:rsidRPr="00111F07">
        <w:rPr>
          <w:lang w:val="fr-FR"/>
        </w:rPr>
        <w:t>égard des femmes aurait été directement invoquée. Ainsi, lorsqu</w:t>
      </w:r>
      <w:r w:rsidR="007A3CEB" w:rsidRPr="00111F07">
        <w:rPr>
          <w:lang w:val="fr-FR"/>
        </w:rPr>
        <w:t>’</w:t>
      </w:r>
      <w:r w:rsidRPr="00111F07">
        <w:rPr>
          <w:lang w:val="fr-FR"/>
        </w:rPr>
        <w:t xml:space="preserve">elles portent par exemple des affaires de discrimination devant les tribunaux </w:t>
      </w:r>
      <w:r w:rsidRPr="00111F07">
        <w:rPr>
          <w:lang w:val="fr-FR"/>
        </w:rPr>
        <w:lastRenderedPageBreak/>
        <w:t>de droit commun, les femmes semblent s</w:t>
      </w:r>
      <w:r w:rsidR="007A3CEB" w:rsidRPr="00111F07">
        <w:rPr>
          <w:lang w:val="fr-FR"/>
        </w:rPr>
        <w:t>’</w:t>
      </w:r>
      <w:r w:rsidRPr="00111F07">
        <w:rPr>
          <w:lang w:val="fr-FR"/>
        </w:rPr>
        <w:t>appuyer principalement sur la législation nationale qui met en œuvre ou reprend les droits consacrés par la Convention.</w:t>
      </w:r>
    </w:p>
    <w:p w14:paraId="5CF7B19F" w14:textId="3481190C" w:rsidR="00603A87" w:rsidRPr="00111F07" w:rsidRDefault="00603A87" w:rsidP="004B208B">
      <w:pPr>
        <w:pStyle w:val="SingleTxt"/>
        <w:numPr>
          <w:ilvl w:val="0"/>
          <w:numId w:val="52"/>
        </w:numPr>
        <w:spacing w:line="240" w:lineRule="exact"/>
        <w:rPr>
          <w:lang w:val="fr-FR"/>
        </w:rPr>
      </w:pPr>
      <w:r w:rsidRPr="00111F07">
        <w:rPr>
          <w:lang w:val="fr-FR"/>
        </w:rPr>
        <w:t xml:space="preserve">Toutefois, la Convention et sa jurisprudence sont régulièrement invoquées et prises en considération dans les affaires portées devant la Commission de recours des réfugiés (pour une description de la Commission, voir les paragraphes 111 à 115 du document de base commun). Récemment, dans une décision du 10 janvier 2019 (affaire n° 17/183875), la Commission </w:t>
      </w:r>
      <w:r w:rsidR="00B067DB" w:rsidRPr="00111F07">
        <w:rPr>
          <w:lang w:val="fr-FR"/>
        </w:rPr>
        <w:t>–</w:t>
      </w:r>
      <w:r w:rsidRPr="00111F07">
        <w:rPr>
          <w:lang w:val="fr-FR"/>
        </w:rPr>
        <w:t xml:space="preserve"> dans son évaluation de la condition générale des femmes en Somalie </w:t>
      </w:r>
      <w:r w:rsidR="00B067DB" w:rsidRPr="00111F07">
        <w:rPr>
          <w:lang w:val="fr-FR"/>
        </w:rPr>
        <w:t xml:space="preserve">– </w:t>
      </w:r>
      <w:r w:rsidRPr="00111F07">
        <w:rPr>
          <w:lang w:val="fr-FR"/>
        </w:rPr>
        <w:t>a expressément tenu compte des vues adoptées par le Comité pour l</w:t>
      </w:r>
      <w:r w:rsidR="007A3CEB" w:rsidRPr="00111F07">
        <w:rPr>
          <w:lang w:val="fr-FR"/>
        </w:rPr>
        <w:t>’</w:t>
      </w:r>
      <w:r w:rsidRPr="00111F07">
        <w:rPr>
          <w:lang w:val="fr-FR"/>
        </w:rPr>
        <w:t>élimination de la discrimination à l</w:t>
      </w:r>
      <w:r w:rsidR="007A3CEB" w:rsidRPr="00111F07">
        <w:rPr>
          <w:lang w:val="fr-FR"/>
        </w:rPr>
        <w:t>’</w:t>
      </w:r>
      <w:r w:rsidRPr="00111F07">
        <w:rPr>
          <w:lang w:val="fr-FR"/>
        </w:rPr>
        <w:t>égard des femmes dans la communication n</w:t>
      </w:r>
      <w:r w:rsidR="004B208B" w:rsidRPr="00111F07">
        <w:rPr>
          <w:vertAlign w:val="superscript"/>
          <w:lang w:val="fr-FR"/>
        </w:rPr>
        <w:t>o</w:t>
      </w:r>
      <w:r w:rsidR="004B208B" w:rsidRPr="00111F07">
        <w:rPr>
          <w:lang w:val="fr-FR"/>
        </w:rPr>
        <w:t> </w:t>
      </w:r>
      <w:r w:rsidRPr="00111F07">
        <w:rPr>
          <w:lang w:val="fr-FR"/>
        </w:rPr>
        <w:t>70/2014.</w:t>
      </w:r>
    </w:p>
    <w:p w14:paraId="25661BA5" w14:textId="45A11B66" w:rsidR="00603A87" w:rsidRPr="00111F07" w:rsidRDefault="00603A87" w:rsidP="004B208B">
      <w:pPr>
        <w:pStyle w:val="SingleTxt"/>
        <w:numPr>
          <w:ilvl w:val="0"/>
          <w:numId w:val="52"/>
        </w:numPr>
        <w:spacing w:line="240" w:lineRule="exact"/>
        <w:rPr>
          <w:lang w:val="fr-FR"/>
        </w:rPr>
      </w:pPr>
      <w:r w:rsidRPr="00111F07">
        <w:rPr>
          <w:lang w:val="fr-FR"/>
        </w:rPr>
        <w:t>Les règles générales d</w:t>
      </w:r>
      <w:r w:rsidR="007A3CEB" w:rsidRPr="00111F07">
        <w:rPr>
          <w:lang w:val="fr-FR"/>
        </w:rPr>
        <w:t>’</w:t>
      </w:r>
      <w:r w:rsidRPr="00111F07">
        <w:rPr>
          <w:lang w:val="fr-FR"/>
        </w:rPr>
        <w:t>interprétation utilisées par les tribunaux danois et les autres entités chargées de l</w:t>
      </w:r>
      <w:r w:rsidR="007A3CEB" w:rsidRPr="00111F07">
        <w:rPr>
          <w:lang w:val="fr-FR"/>
        </w:rPr>
        <w:t>’</w:t>
      </w:r>
      <w:r w:rsidRPr="00111F07">
        <w:rPr>
          <w:lang w:val="fr-FR"/>
        </w:rPr>
        <w:t>application de la loi garantissent que le droit danois est appliqué conformément aux conventions internationales auxquelles le Danemark est partie. Nous renvoyons à cet égard au paragraphe 132 du document de base commun. Par conséquent, l</w:t>
      </w:r>
      <w:r w:rsidR="007A3CEB" w:rsidRPr="00111F07">
        <w:rPr>
          <w:lang w:val="fr-FR"/>
        </w:rPr>
        <w:t>’</w:t>
      </w:r>
      <w:r w:rsidRPr="00111F07">
        <w:rPr>
          <w:lang w:val="fr-FR"/>
        </w:rPr>
        <w:t>absence d</w:t>
      </w:r>
      <w:r w:rsidR="007A3CEB" w:rsidRPr="00111F07">
        <w:rPr>
          <w:lang w:val="fr-FR"/>
        </w:rPr>
        <w:t>’</w:t>
      </w:r>
      <w:r w:rsidRPr="00111F07">
        <w:rPr>
          <w:lang w:val="fr-FR"/>
        </w:rPr>
        <w:t>une référence directe à la Convention ne signifie pas que les tribunaux n</w:t>
      </w:r>
      <w:r w:rsidR="007A3CEB" w:rsidRPr="00111F07">
        <w:rPr>
          <w:lang w:val="fr-FR"/>
        </w:rPr>
        <w:t>’</w:t>
      </w:r>
      <w:r w:rsidRPr="00111F07">
        <w:rPr>
          <w:lang w:val="fr-FR"/>
        </w:rPr>
        <w:t>ont pas pris en considération les droits consacrés par la Convention.</w:t>
      </w:r>
    </w:p>
    <w:p w14:paraId="593F5E95" w14:textId="6173A049" w:rsidR="00603A87" w:rsidRPr="00111F07" w:rsidRDefault="00603A87" w:rsidP="004B208B">
      <w:pPr>
        <w:pStyle w:val="SingleTxt"/>
        <w:numPr>
          <w:ilvl w:val="0"/>
          <w:numId w:val="52"/>
        </w:numPr>
        <w:spacing w:line="240" w:lineRule="exact"/>
        <w:rPr>
          <w:lang w:val="fr-FR"/>
        </w:rPr>
      </w:pPr>
      <w:r w:rsidRPr="00111F07">
        <w:rPr>
          <w:lang w:val="fr-FR"/>
        </w:rPr>
        <w:t>Le secrétariat du Conseil pour l</w:t>
      </w:r>
      <w:r w:rsidR="007A3CEB" w:rsidRPr="00111F07">
        <w:rPr>
          <w:lang w:val="fr-FR"/>
        </w:rPr>
        <w:t>’</w:t>
      </w:r>
      <w:r w:rsidRPr="00111F07">
        <w:rPr>
          <w:lang w:val="fr-FR"/>
        </w:rPr>
        <w:t>égalité de traitement a fourni des informations concernant les plaintes pour discrimination fondée sur le genre, qui ont été déposées devant lui et traitées entre 2015 et 2019. Ces plaintes peuvent aussi concerner des plaignants de sexe masculin.</w:t>
      </w:r>
    </w:p>
    <w:p w14:paraId="6F1C6B91" w14:textId="593460EA" w:rsidR="00603A87" w:rsidRPr="00111F07" w:rsidRDefault="00603A87" w:rsidP="004B208B">
      <w:pPr>
        <w:pStyle w:val="SingleTxt"/>
        <w:numPr>
          <w:ilvl w:val="0"/>
          <w:numId w:val="52"/>
        </w:numPr>
        <w:spacing w:line="240" w:lineRule="exact"/>
        <w:rPr>
          <w:lang w:val="fr-FR"/>
        </w:rPr>
      </w:pPr>
      <w:r w:rsidRPr="00111F07">
        <w:rPr>
          <w:lang w:val="fr-FR"/>
        </w:rPr>
        <w:t>Depuis l</w:t>
      </w:r>
      <w:r w:rsidR="007A3CEB" w:rsidRPr="00111F07">
        <w:rPr>
          <w:lang w:val="fr-FR"/>
        </w:rPr>
        <w:t>’</w:t>
      </w:r>
      <w:r w:rsidRPr="00111F07">
        <w:rPr>
          <w:lang w:val="fr-FR"/>
        </w:rPr>
        <w:t>année 2017, le fondement de la plainte est enregistré si celle-ci porte sur une discrimination en rapport avec une offre d</w:t>
      </w:r>
      <w:r w:rsidR="007A3CEB" w:rsidRPr="00111F07">
        <w:rPr>
          <w:lang w:val="fr-FR"/>
        </w:rPr>
        <w:t>’</w:t>
      </w:r>
      <w:r w:rsidRPr="00111F07">
        <w:rPr>
          <w:lang w:val="fr-FR"/>
        </w:rPr>
        <w:t>emploi, une embauche, un licenciement ou un harcèlement. Une plainte peut être enregistrée avec plusieurs de ces mots clefs et peut donc figurer dans plusieurs catégories. Les autres types de plainte ne sont pas enregistrés. L</w:t>
      </w:r>
      <w:r w:rsidR="007A3CEB" w:rsidRPr="00111F07">
        <w:rPr>
          <w:lang w:val="fr-FR"/>
        </w:rPr>
        <w:t>’</w:t>
      </w:r>
      <w:r w:rsidRPr="00111F07">
        <w:rPr>
          <w:lang w:val="fr-FR"/>
        </w:rPr>
        <w:t>issue de la plainte est enregistrée mais pas le montant de l</w:t>
      </w:r>
      <w:r w:rsidR="007A3CEB" w:rsidRPr="00111F07">
        <w:rPr>
          <w:lang w:val="fr-FR"/>
        </w:rPr>
        <w:t>’</w:t>
      </w:r>
      <w:r w:rsidRPr="00111F07">
        <w:rPr>
          <w:lang w:val="fr-FR"/>
        </w:rPr>
        <w:t>indemnisation.</w:t>
      </w:r>
    </w:p>
    <w:p w14:paraId="4976D9FB" w14:textId="6F955E61" w:rsidR="004B208B" w:rsidRPr="00111F07" w:rsidRDefault="004B208B" w:rsidP="004B208B">
      <w:pPr>
        <w:pStyle w:val="SingleTxt"/>
        <w:spacing w:after="0" w:line="120" w:lineRule="exact"/>
        <w:rPr>
          <w:sz w:val="10"/>
          <w:lang w:val="fr-FR"/>
        </w:rPr>
      </w:pPr>
    </w:p>
    <w:p w14:paraId="30579A07" w14:textId="77777777" w:rsidR="00603A87" w:rsidRPr="00111F07" w:rsidRDefault="00603A87" w:rsidP="004B208B">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Tableau XX</w:t>
      </w:r>
    </w:p>
    <w:p w14:paraId="2BBCDE3A" w14:textId="617312DC" w:rsidR="00603A87" w:rsidRPr="00111F07" w:rsidRDefault="00603A87" w:rsidP="004B20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Plaintes déposées devant le Conseil pour l</w:t>
      </w:r>
      <w:r w:rsidR="007A3CEB" w:rsidRPr="00111F07">
        <w:rPr>
          <w:lang w:val="fr-FR"/>
        </w:rPr>
        <w:t>’</w:t>
      </w:r>
      <w:r w:rsidRPr="00111F07">
        <w:rPr>
          <w:lang w:val="fr-FR"/>
        </w:rPr>
        <w:t>égalité de traitement</w:t>
      </w:r>
    </w:p>
    <w:p w14:paraId="16A7752A" w14:textId="31468DAC" w:rsidR="004B208B" w:rsidRPr="00111F07" w:rsidRDefault="004B208B" w:rsidP="004B208B">
      <w:pPr>
        <w:pStyle w:val="SingleTxt"/>
        <w:spacing w:after="0" w:line="120" w:lineRule="exact"/>
        <w:rPr>
          <w:sz w:val="10"/>
          <w:lang w:val="fr-FR"/>
        </w:rPr>
      </w:pPr>
    </w:p>
    <w:p w14:paraId="7AB5C8E9" w14:textId="2AE99326" w:rsidR="004B208B" w:rsidRPr="00111F07" w:rsidRDefault="004B208B" w:rsidP="004B208B">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870"/>
        <w:gridCol w:w="690"/>
        <w:gridCol w:w="690"/>
        <w:gridCol w:w="690"/>
        <w:gridCol w:w="690"/>
        <w:gridCol w:w="690"/>
      </w:tblGrid>
      <w:tr w:rsidR="004B208B" w:rsidRPr="00111F07" w14:paraId="78FADB72" w14:textId="77777777" w:rsidTr="003D0953">
        <w:trPr>
          <w:cantSplit/>
          <w:tblHeader/>
        </w:trPr>
        <w:tc>
          <w:tcPr>
            <w:tcW w:w="387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07A62F31" w14:textId="77777777" w:rsidR="00603A87" w:rsidRPr="00111F07" w:rsidRDefault="00603A87" w:rsidP="004B208B">
            <w:pPr>
              <w:suppressAutoHyphens/>
              <w:spacing w:before="81" w:after="81" w:line="160" w:lineRule="exact"/>
              <w:ind w:right="40"/>
              <w:rPr>
                <w:i/>
                <w:sz w:val="14"/>
              </w:rPr>
            </w:pPr>
          </w:p>
        </w:tc>
        <w:tc>
          <w:tcPr>
            <w:tcW w:w="69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D6D0F4B" w14:textId="77777777" w:rsidR="00603A87" w:rsidRPr="00111F07" w:rsidRDefault="00603A87" w:rsidP="004B208B">
            <w:pPr>
              <w:suppressAutoHyphens/>
              <w:spacing w:before="81" w:after="81" w:line="160" w:lineRule="exact"/>
              <w:ind w:right="43"/>
              <w:jc w:val="right"/>
              <w:rPr>
                <w:i/>
                <w:sz w:val="14"/>
              </w:rPr>
            </w:pPr>
            <w:r w:rsidRPr="00111F07">
              <w:rPr>
                <w:i/>
                <w:sz w:val="14"/>
              </w:rPr>
              <w:t>2015</w:t>
            </w:r>
          </w:p>
        </w:tc>
        <w:tc>
          <w:tcPr>
            <w:tcW w:w="69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2BF07555" w14:textId="77777777" w:rsidR="00603A87" w:rsidRPr="00111F07" w:rsidRDefault="00603A87" w:rsidP="004B208B">
            <w:pPr>
              <w:suppressAutoHyphens/>
              <w:spacing w:before="81" w:after="81" w:line="160" w:lineRule="exact"/>
              <w:ind w:right="43"/>
              <w:jc w:val="right"/>
              <w:rPr>
                <w:i/>
                <w:sz w:val="14"/>
              </w:rPr>
            </w:pPr>
            <w:r w:rsidRPr="00111F07">
              <w:rPr>
                <w:i/>
                <w:sz w:val="14"/>
              </w:rPr>
              <w:t>2016</w:t>
            </w:r>
          </w:p>
        </w:tc>
        <w:tc>
          <w:tcPr>
            <w:tcW w:w="69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42D2037D" w14:textId="77777777" w:rsidR="00603A87" w:rsidRPr="00111F07" w:rsidRDefault="00603A87" w:rsidP="004B208B">
            <w:pPr>
              <w:suppressAutoHyphens/>
              <w:spacing w:before="81" w:after="81" w:line="160" w:lineRule="exact"/>
              <w:ind w:right="43"/>
              <w:jc w:val="right"/>
              <w:rPr>
                <w:i/>
                <w:sz w:val="14"/>
              </w:rPr>
            </w:pPr>
            <w:r w:rsidRPr="00111F07">
              <w:rPr>
                <w:i/>
                <w:sz w:val="14"/>
              </w:rPr>
              <w:t>2017</w:t>
            </w:r>
          </w:p>
        </w:tc>
        <w:tc>
          <w:tcPr>
            <w:tcW w:w="69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0DDCA270" w14:textId="77777777" w:rsidR="00603A87" w:rsidRPr="00111F07" w:rsidRDefault="00603A87" w:rsidP="004B208B">
            <w:pPr>
              <w:suppressAutoHyphens/>
              <w:spacing w:before="81" w:after="81" w:line="160" w:lineRule="exact"/>
              <w:ind w:right="43"/>
              <w:jc w:val="right"/>
              <w:rPr>
                <w:i/>
                <w:sz w:val="14"/>
              </w:rPr>
            </w:pPr>
            <w:r w:rsidRPr="00111F07">
              <w:rPr>
                <w:i/>
                <w:sz w:val="14"/>
              </w:rPr>
              <w:t>2018</w:t>
            </w:r>
          </w:p>
        </w:tc>
        <w:tc>
          <w:tcPr>
            <w:tcW w:w="690"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14:paraId="645055DD" w14:textId="77777777" w:rsidR="00603A87" w:rsidRPr="00111F07" w:rsidRDefault="00603A87" w:rsidP="004B208B">
            <w:pPr>
              <w:suppressAutoHyphens/>
              <w:spacing w:before="81" w:after="81" w:line="160" w:lineRule="exact"/>
              <w:ind w:right="43"/>
              <w:jc w:val="right"/>
              <w:rPr>
                <w:i/>
                <w:sz w:val="14"/>
              </w:rPr>
            </w:pPr>
            <w:r w:rsidRPr="00111F07">
              <w:rPr>
                <w:i/>
                <w:sz w:val="14"/>
              </w:rPr>
              <w:t>2019</w:t>
            </w:r>
          </w:p>
        </w:tc>
      </w:tr>
      <w:tr w:rsidR="004B208B" w:rsidRPr="00111F07" w14:paraId="24F12618" w14:textId="77777777" w:rsidTr="003D0953">
        <w:trPr>
          <w:cantSplit/>
          <w:trHeight w:hRule="exact" w:val="115"/>
          <w:tblHeader/>
        </w:trPr>
        <w:tc>
          <w:tcPr>
            <w:tcW w:w="3870" w:type="dxa"/>
            <w:tcBorders>
              <w:top w:val="single" w:sz="12" w:space="0" w:color="auto"/>
            </w:tcBorders>
            <w:shd w:val="clear" w:color="auto" w:fill="auto"/>
            <w:noWrap/>
            <w:tcMar>
              <w:top w:w="0" w:type="dxa"/>
              <w:left w:w="0" w:type="dxa"/>
              <w:bottom w:w="0" w:type="dxa"/>
              <w:right w:w="0" w:type="dxa"/>
            </w:tcMar>
            <w:vAlign w:val="bottom"/>
          </w:tcPr>
          <w:p w14:paraId="066C5289" w14:textId="77777777" w:rsidR="004B208B" w:rsidRPr="00111F07" w:rsidRDefault="004B208B" w:rsidP="004B208B">
            <w:pPr>
              <w:suppressAutoHyphens/>
              <w:spacing w:before="40" w:after="40" w:line="210" w:lineRule="exact"/>
              <w:ind w:right="40"/>
              <w:rPr>
                <w:sz w:val="17"/>
              </w:rPr>
            </w:pPr>
          </w:p>
        </w:tc>
        <w:tc>
          <w:tcPr>
            <w:tcW w:w="690" w:type="dxa"/>
            <w:tcBorders>
              <w:top w:val="single" w:sz="12" w:space="0" w:color="auto"/>
            </w:tcBorders>
            <w:shd w:val="clear" w:color="auto" w:fill="auto"/>
            <w:noWrap/>
            <w:tcMar>
              <w:top w:w="0" w:type="dxa"/>
              <w:left w:w="0" w:type="dxa"/>
              <w:bottom w:w="0" w:type="dxa"/>
              <w:right w:w="0" w:type="dxa"/>
            </w:tcMar>
            <w:vAlign w:val="bottom"/>
          </w:tcPr>
          <w:p w14:paraId="04A6FAFC" w14:textId="77777777" w:rsidR="004B208B" w:rsidRPr="00111F07" w:rsidRDefault="004B208B" w:rsidP="004B208B">
            <w:pPr>
              <w:suppressAutoHyphens/>
              <w:spacing w:before="40" w:after="40" w:line="210" w:lineRule="exact"/>
              <w:ind w:right="43"/>
              <w:jc w:val="right"/>
              <w:rPr>
                <w:sz w:val="17"/>
              </w:rPr>
            </w:pPr>
          </w:p>
        </w:tc>
        <w:tc>
          <w:tcPr>
            <w:tcW w:w="690" w:type="dxa"/>
            <w:tcBorders>
              <w:top w:val="single" w:sz="12" w:space="0" w:color="auto"/>
            </w:tcBorders>
            <w:shd w:val="clear" w:color="auto" w:fill="auto"/>
            <w:noWrap/>
            <w:tcMar>
              <w:top w:w="0" w:type="dxa"/>
              <w:left w:w="0" w:type="dxa"/>
              <w:bottom w:w="0" w:type="dxa"/>
              <w:right w:w="0" w:type="dxa"/>
            </w:tcMar>
            <w:vAlign w:val="bottom"/>
          </w:tcPr>
          <w:p w14:paraId="14F74547" w14:textId="77777777" w:rsidR="004B208B" w:rsidRPr="00111F07" w:rsidRDefault="004B208B" w:rsidP="004B208B">
            <w:pPr>
              <w:suppressAutoHyphens/>
              <w:spacing w:before="40" w:after="40" w:line="210" w:lineRule="exact"/>
              <w:ind w:right="43"/>
              <w:jc w:val="right"/>
              <w:rPr>
                <w:sz w:val="17"/>
              </w:rPr>
            </w:pPr>
          </w:p>
        </w:tc>
        <w:tc>
          <w:tcPr>
            <w:tcW w:w="690" w:type="dxa"/>
            <w:tcBorders>
              <w:top w:val="single" w:sz="12" w:space="0" w:color="auto"/>
            </w:tcBorders>
            <w:shd w:val="clear" w:color="auto" w:fill="auto"/>
            <w:noWrap/>
            <w:tcMar>
              <w:top w:w="0" w:type="dxa"/>
              <w:left w:w="0" w:type="dxa"/>
              <w:bottom w:w="0" w:type="dxa"/>
              <w:right w:w="0" w:type="dxa"/>
            </w:tcMar>
            <w:vAlign w:val="bottom"/>
          </w:tcPr>
          <w:p w14:paraId="6D298351" w14:textId="77777777" w:rsidR="004B208B" w:rsidRPr="00111F07" w:rsidRDefault="004B208B" w:rsidP="004B208B">
            <w:pPr>
              <w:suppressAutoHyphens/>
              <w:spacing w:before="40" w:after="40" w:line="210" w:lineRule="exact"/>
              <w:ind w:right="43"/>
              <w:jc w:val="right"/>
              <w:rPr>
                <w:sz w:val="17"/>
              </w:rPr>
            </w:pPr>
          </w:p>
        </w:tc>
        <w:tc>
          <w:tcPr>
            <w:tcW w:w="690" w:type="dxa"/>
            <w:tcBorders>
              <w:top w:val="single" w:sz="12" w:space="0" w:color="auto"/>
            </w:tcBorders>
            <w:shd w:val="clear" w:color="auto" w:fill="auto"/>
            <w:noWrap/>
            <w:tcMar>
              <w:top w:w="0" w:type="dxa"/>
              <w:left w:w="0" w:type="dxa"/>
              <w:bottom w:w="0" w:type="dxa"/>
              <w:right w:w="0" w:type="dxa"/>
            </w:tcMar>
            <w:vAlign w:val="bottom"/>
          </w:tcPr>
          <w:p w14:paraId="6C9FA20D" w14:textId="77777777" w:rsidR="004B208B" w:rsidRPr="00111F07" w:rsidRDefault="004B208B" w:rsidP="004B208B">
            <w:pPr>
              <w:suppressAutoHyphens/>
              <w:spacing w:before="40" w:after="40" w:line="210" w:lineRule="exact"/>
              <w:ind w:right="43"/>
              <w:jc w:val="right"/>
              <w:rPr>
                <w:sz w:val="17"/>
              </w:rPr>
            </w:pPr>
          </w:p>
        </w:tc>
        <w:tc>
          <w:tcPr>
            <w:tcW w:w="690" w:type="dxa"/>
            <w:tcBorders>
              <w:top w:val="single" w:sz="12" w:space="0" w:color="auto"/>
            </w:tcBorders>
            <w:shd w:val="clear" w:color="auto" w:fill="auto"/>
            <w:noWrap/>
            <w:tcMar>
              <w:top w:w="0" w:type="dxa"/>
              <w:left w:w="0" w:type="dxa"/>
              <w:bottom w:w="0" w:type="dxa"/>
              <w:right w:w="0" w:type="dxa"/>
            </w:tcMar>
            <w:vAlign w:val="bottom"/>
          </w:tcPr>
          <w:p w14:paraId="4318AEA7" w14:textId="77777777" w:rsidR="004B208B" w:rsidRPr="00111F07" w:rsidRDefault="004B208B" w:rsidP="004B208B">
            <w:pPr>
              <w:suppressAutoHyphens/>
              <w:spacing w:before="40" w:after="40" w:line="210" w:lineRule="exact"/>
              <w:ind w:right="43"/>
              <w:jc w:val="right"/>
              <w:rPr>
                <w:sz w:val="17"/>
              </w:rPr>
            </w:pPr>
          </w:p>
        </w:tc>
      </w:tr>
      <w:tr w:rsidR="004B208B" w:rsidRPr="00111F07" w14:paraId="1251C1EB" w14:textId="77777777" w:rsidTr="003D0953">
        <w:trPr>
          <w:cantSplit/>
        </w:trPr>
        <w:tc>
          <w:tcPr>
            <w:tcW w:w="3870" w:type="dxa"/>
            <w:shd w:val="clear" w:color="auto" w:fill="auto"/>
            <w:noWrap/>
            <w:tcMar>
              <w:top w:w="0" w:type="dxa"/>
              <w:left w:w="0" w:type="dxa"/>
              <w:bottom w:w="0" w:type="dxa"/>
              <w:right w:w="0" w:type="dxa"/>
            </w:tcMar>
            <w:vAlign w:val="bottom"/>
            <w:hideMark/>
          </w:tcPr>
          <w:p w14:paraId="7574E56F" w14:textId="77777777" w:rsidR="00603A87" w:rsidRPr="00111F07" w:rsidRDefault="00603A87" w:rsidP="004B208B">
            <w:pPr>
              <w:tabs>
                <w:tab w:val="left" w:pos="288"/>
                <w:tab w:val="left" w:pos="576"/>
                <w:tab w:val="left" w:pos="864"/>
                <w:tab w:val="left" w:pos="1152"/>
              </w:tabs>
              <w:suppressAutoHyphens/>
              <w:spacing w:before="40" w:after="40" w:line="210" w:lineRule="exact"/>
              <w:ind w:right="40"/>
              <w:rPr>
                <w:sz w:val="17"/>
              </w:rPr>
            </w:pPr>
            <w:r w:rsidRPr="00111F07">
              <w:rPr>
                <w:sz w:val="17"/>
              </w:rPr>
              <w:t>Nombre de plaintes</w:t>
            </w:r>
          </w:p>
        </w:tc>
        <w:tc>
          <w:tcPr>
            <w:tcW w:w="690" w:type="dxa"/>
            <w:shd w:val="clear" w:color="auto" w:fill="auto"/>
            <w:noWrap/>
            <w:tcMar>
              <w:top w:w="0" w:type="dxa"/>
              <w:left w:w="0" w:type="dxa"/>
              <w:bottom w:w="0" w:type="dxa"/>
              <w:right w:w="0" w:type="dxa"/>
            </w:tcMar>
            <w:vAlign w:val="bottom"/>
            <w:hideMark/>
          </w:tcPr>
          <w:p w14:paraId="2092C8F7"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72</w:t>
            </w:r>
          </w:p>
        </w:tc>
        <w:tc>
          <w:tcPr>
            <w:tcW w:w="690" w:type="dxa"/>
            <w:shd w:val="clear" w:color="auto" w:fill="auto"/>
            <w:noWrap/>
            <w:tcMar>
              <w:top w:w="0" w:type="dxa"/>
              <w:left w:w="0" w:type="dxa"/>
              <w:bottom w:w="0" w:type="dxa"/>
              <w:right w:w="0" w:type="dxa"/>
            </w:tcMar>
            <w:vAlign w:val="bottom"/>
            <w:hideMark/>
          </w:tcPr>
          <w:p w14:paraId="3A34661A"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115</w:t>
            </w:r>
          </w:p>
        </w:tc>
        <w:tc>
          <w:tcPr>
            <w:tcW w:w="690" w:type="dxa"/>
            <w:shd w:val="clear" w:color="auto" w:fill="auto"/>
            <w:noWrap/>
            <w:tcMar>
              <w:top w:w="0" w:type="dxa"/>
              <w:left w:w="0" w:type="dxa"/>
              <w:bottom w:w="0" w:type="dxa"/>
              <w:right w:w="0" w:type="dxa"/>
            </w:tcMar>
            <w:vAlign w:val="bottom"/>
            <w:hideMark/>
          </w:tcPr>
          <w:p w14:paraId="073DBA08"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118*</w:t>
            </w:r>
          </w:p>
        </w:tc>
        <w:tc>
          <w:tcPr>
            <w:tcW w:w="690" w:type="dxa"/>
            <w:shd w:val="clear" w:color="auto" w:fill="auto"/>
            <w:noWrap/>
            <w:tcMar>
              <w:top w:w="0" w:type="dxa"/>
              <w:left w:w="0" w:type="dxa"/>
              <w:bottom w:w="0" w:type="dxa"/>
              <w:right w:w="0" w:type="dxa"/>
            </w:tcMar>
            <w:vAlign w:val="bottom"/>
            <w:hideMark/>
          </w:tcPr>
          <w:p w14:paraId="66167C6D"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88*</w:t>
            </w:r>
          </w:p>
        </w:tc>
        <w:tc>
          <w:tcPr>
            <w:tcW w:w="690" w:type="dxa"/>
            <w:shd w:val="clear" w:color="auto" w:fill="auto"/>
            <w:noWrap/>
            <w:tcMar>
              <w:top w:w="0" w:type="dxa"/>
              <w:left w:w="0" w:type="dxa"/>
              <w:bottom w:w="0" w:type="dxa"/>
              <w:right w:w="0" w:type="dxa"/>
            </w:tcMar>
            <w:vAlign w:val="bottom"/>
            <w:hideMark/>
          </w:tcPr>
          <w:p w14:paraId="07B0524B"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94*</w:t>
            </w:r>
          </w:p>
        </w:tc>
      </w:tr>
      <w:tr w:rsidR="004B208B" w:rsidRPr="00111F07" w14:paraId="36AA2DF1" w14:textId="77777777" w:rsidTr="003D0953">
        <w:trPr>
          <w:cantSplit/>
        </w:trPr>
        <w:tc>
          <w:tcPr>
            <w:tcW w:w="3870" w:type="dxa"/>
            <w:shd w:val="clear" w:color="auto" w:fill="auto"/>
            <w:noWrap/>
            <w:tcMar>
              <w:top w:w="0" w:type="dxa"/>
              <w:left w:w="0" w:type="dxa"/>
              <w:bottom w:w="0" w:type="dxa"/>
              <w:right w:w="0" w:type="dxa"/>
            </w:tcMar>
            <w:vAlign w:val="bottom"/>
            <w:hideMark/>
          </w:tcPr>
          <w:p w14:paraId="65891076" w14:textId="77777777" w:rsidR="00603A87" w:rsidRPr="00111F07" w:rsidRDefault="00603A87" w:rsidP="004B208B">
            <w:pPr>
              <w:tabs>
                <w:tab w:val="left" w:pos="288"/>
                <w:tab w:val="left" w:pos="576"/>
                <w:tab w:val="left" w:pos="864"/>
                <w:tab w:val="left" w:pos="1152"/>
              </w:tabs>
              <w:suppressAutoHyphens/>
              <w:spacing w:before="40" w:after="40" w:line="210" w:lineRule="exact"/>
              <w:ind w:right="40"/>
              <w:rPr>
                <w:sz w:val="17"/>
              </w:rPr>
            </w:pPr>
            <w:r w:rsidRPr="00111F07">
              <w:rPr>
                <w:sz w:val="17"/>
              </w:rPr>
              <w:t>Ayant abouti</w:t>
            </w:r>
          </w:p>
        </w:tc>
        <w:tc>
          <w:tcPr>
            <w:tcW w:w="690" w:type="dxa"/>
            <w:shd w:val="clear" w:color="auto" w:fill="auto"/>
            <w:noWrap/>
            <w:tcMar>
              <w:top w:w="0" w:type="dxa"/>
              <w:left w:w="0" w:type="dxa"/>
              <w:bottom w:w="0" w:type="dxa"/>
              <w:right w:w="0" w:type="dxa"/>
            </w:tcMar>
            <w:vAlign w:val="bottom"/>
            <w:hideMark/>
          </w:tcPr>
          <w:p w14:paraId="564972A1"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28</w:t>
            </w:r>
          </w:p>
        </w:tc>
        <w:tc>
          <w:tcPr>
            <w:tcW w:w="690" w:type="dxa"/>
            <w:shd w:val="clear" w:color="auto" w:fill="auto"/>
            <w:noWrap/>
            <w:tcMar>
              <w:top w:w="0" w:type="dxa"/>
              <w:left w:w="0" w:type="dxa"/>
              <w:bottom w:w="0" w:type="dxa"/>
              <w:right w:w="0" w:type="dxa"/>
            </w:tcMar>
            <w:vAlign w:val="bottom"/>
            <w:hideMark/>
          </w:tcPr>
          <w:p w14:paraId="5ABF7CAD"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38</w:t>
            </w:r>
          </w:p>
        </w:tc>
        <w:tc>
          <w:tcPr>
            <w:tcW w:w="690" w:type="dxa"/>
            <w:shd w:val="clear" w:color="auto" w:fill="auto"/>
            <w:noWrap/>
            <w:tcMar>
              <w:top w:w="0" w:type="dxa"/>
              <w:left w:w="0" w:type="dxa"/>
              <w:bottom w:w="0" w:type="dxa"/>
              <w:right w:w="0" w:type="dxa"/>
            </w:tcMar>
            <w:vAlign w:val="bottom"/>
            <w:hideMark/>
          </w:tcPr>
          <w:p w14:paraId="7F1EF227"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22</w:t>
            </w:r>
          </w:p>
        </w:tc>
        <w:tc>
          <w:tcPr>
            <w:tcW w:w="690" w:type="dxa"/>
            <w:shd w:val="clear" w:color="auto" w:fill="auto"/>
            <w:noWrap/>
            <w:tcMar>
              <w:top w:w="0" w:type="dxa"/>
              <w:left w:w="0" w:type="dxa"/>
              <w:bottom w:w="0" w:type="dxa"/>
              <w:right w:w="0" w:type="dxa"/>
            </w:tcMar>
            <w:vAlign w:val="bottom"/>
            <w:hideMark/>
          </w:tcPr>
          <w:p w14:paraId="613CC54A"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26</w:t>
            </w:r>
          </w:p>
        </w:tc>
        <w:tc>
          <w:tcPr>
            <w:tcW w:w="690" w:type="dxa"/>
            <w:shd w:val="clear" w:color="auto" w:fill="auto"/>
            <w:noWrap/>
            <w:tcMar>
              <w:top w:w="0" w:type="dxa"/>
              <w:left w:w="0" w:type="dxa"/>
              <w:bottom w:w="0" w:type="dxa"/>
              <w:right w:w="0" w:type="dxa"/>
            </w:tcMar>
            <w:vAlign w:val="bottom"/>
            <w:hideMark/>
          </w:tcPr>
          <w:p w14:paraId="7369A349"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22</w:t>
            </w:r>
          </w:p>
        </w:tc>
      </w:tr>
      <w:tr w:rsidR="004B208B" w:rsidRPr="00111F07" w14:paraId="21E617A9" w14:textId="77777777" w:rsidTr="003D0953">
        <w:trPr>
          <w:cantSplit/>
        </w:trPr>
        <w:tc>
          <w:tcPr>
            <w:tcW w:w="3870" w:type="dxa"/>
            <w:shd w:val="clear" w:color="auto" w:fill="auto"/>
            <w:noWrap/>
            <w:tcMar>
              <w:top w:w="0" w:type="dxa"/>
              <w:left w:w="0" w:type="dxa"/>
              <w:bottom w:w="0" w:type="dxa"/>
              <w:right w:w="0" w:type="dxa"/>
            </w:tcMar>
            <w:vAlign w:val="bottom"/>
            <w:hideMark/>
          </w:tcPr>
          <w:p w14:paraId="39B14B4C" w14:textId="2B8C9880" w:rsidR="00603A87" w:rsidRPr="00111F07" w:rsidRDefault="00603A87" w:rsidP="004B208B">
            <w:pPr>
              <w:tabs>
                <w:tab w:val="left" w:pos="288"/>
                <w:tab w:val="left" w:pos="576"/>
                <w:tab w:val="left" w:pos="864"/>
                <w:tab w:val="left" w:pos="1152"/>
              </w:tabs>
              <w:suppressAutoHyphens/>
              <w:spacing w:before="40" w:after="40" w:line="210" w:lineRule="exact"/>
              <w:ind w:right="40"/>
              <w:rPr>
                <w:sz w:val="17"/>
              </w:rPr>
            </w:pPr>
            <w:r w:rsidRPr="00111F07">
              <w:rPr>
                <w:sz w:val="17"/>
              </w:rPr>
              <w:t>N</w:t>
            </w:r>
            <w:r w:rsidR="007A3CEB" w:rsidRPr="00111F07">
              <w:rPr>
                <w:sz w:val="17"/>
              </w:rPr>
              <w:t>’</w:t>
            </w:r>
            <w:r w:rsidRPr="00111F07">
              <w:rPr>
                <w:sz w:val="17"/>
              </w:rPr>
              <w:t>ayant pas abouti</w:t>
            </w:r>
          </w:p>
        </w:tc>
        <w:tc>
          <w:tcPr>
            <w:tcW w:w="690" w:type="dxa"/>
            <w:shd w:val="clear" w:color="auto" w:fill="auto"/>
            <w:noWrap/>
            <w:tcMar>
              <w:top w:w="0" w:type="dxa"/>
              <w:left w:w="0" w:type="dxa"/>
              <w:bottom w:w="0" w:type="dxa"/>
              <w:right w:w="0" w:type="dxa"/>
            </w:tcMar>
            <w:vAlign w:val="bottom"/>
            <w:hideMark/>
          </w:tcPr>
          <w:p w14:paraId="61A266CB"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36</w:t>
            </w:r>
          </w:p>
        </w:tc>
        <w:tc>
          <w:tcPr>
            <w:tcW w:w="690" w:type="dxa"/>
            <w:shd w:val="clear" w:color="auto" w:fill="auto"/>
            <w:noWrap/>
            <w:tcMar>
              <w:top w:w="0" w:type="dxa"/>
              <w:left w:w="0" w:type="dxa"/>
              <w:bottom w:w="0" w:type="dxa"/>
              <w:right w:w="0" w:type="dxa"/>
            </w:tcMar>
            <w:vAlign w:val="bottom"/>
            <w:hideMark/>
          </w:tcPr>
          <w:p w14:paraId="2E4E5ED3"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42</w:t>
            </w:r>
          </w:p>
        </w:tc>
        <w:tc>
          <w:tcPr>
            <w:tcW w:w="690" w:type="dxa"/>
            <w:shd w:val="clear" w:color="auto" w:fill="auto"/>
            <w:noWrap/>
            <w:tcMar>
              <w:top w:w="0" w:type="dxa"/>
              <w:left w:w="0" w:type="dxa"/>
              <w:bottom w:w="0" w:type="dxa"/>
              <w:right w:w="0" w:type="dxa"/>
            </w:tcMar>
            <w:vAlign w:val="bottom"/>
            <w:hideMark/>
          </w:tcPr>
          <w:p w14:paraId="0F989FC5"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34</w:t>
            </w:r>
          </w:p>
        </w:tc>
        <w:tc>
          <w:tcPr>
            <w:tcW w:w="690" w:type="dxa"/>
            <w:shd w:val="clear" w:color="auto" w:fill="auto"/>
            <w:noWrap/>
            <w:tcMar>
              <w:top w:w="0" w:type="dxa"/>
              <w:left w:w="0" w:type="dxa"/>
              <w:bottom w:w="0" w:type="dxa"/>
              <w:right w:w="0" w:type="dxa"/>
            </w:tcMar>
            <w:vAlign w:val="bottom"/>
            <w:hideMark/>
          </w:tcPr>
          <w:p w14:paraId="6D35F73F"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28</w:t>
            </w:r>
          </w:p>
        </w:tc>
        <w:tc>
          <w:tcPr>
            <w:tcW w:w="690" w:type="dxa"/>
            <w:shd w:val="clear" w:color="auto" w:fill="auto"/>
            <w:noWrap/>
            <w:tcMar>
              <w:top w:w="0" w:type="dxa"/>
              <w:left w:w="0" w:type="dxa"/>
              <w:bottom w:w="0" w:type="dxa"/>
              <w:right w:w="0" w:type="dxa"/>
            </w:tcMar>
            <w:vAlign w:val="bottom"/>
            <w:hideMark/>
          </w:tcPr>
          <w:p w14:paraId="4A5B0BF2"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17</w:t>
            </w:r>
          </w:p>
        </w:tc>
      </w:tr>
      <w:tr w:rsidR="004B208B" w:rsidRPr="00111F07" w14:paraId="7E062977" w14:textId="77777777" w:rsidTr="003D0953">
        <w:trPr>
          <w:cantSplit/>
        </w:trPr>
        <w:tc>
          <w:tcPr>
            <w:tcW w:w="3870" w:type="dxa"/>
            <w:shd w:val="clear" w:color="auto" w:fill="auto"/>
            <w:noWrap/>
            <w:tcMar>
              <w:top w:w="0" w:type="dxa"/>
              <w:left w:w="0" w:type="dxa"/>
              <w:bottom w:w="0" w:type="dxa"/>
              <w:right w:w="0" w:type="dxa"/>
            </w:tcMar>
            <w:vAlign w:val="bottom"/>
            <w:hideMark/>
          </w:tcPr>
          <w:p w14:paraId="13267295" w14:textId="77777777" w:rsidR="00603A87" w:rsidRPr="00111F07" w:rsidRDefault="00603A87" w:rsidP="004B208B">
            <w:pPr>
              <w:tabs>
                <w:tab w:val="left" w:pos="288"/>
                <w:tab w:val="left" w:pos="576"/>
                <w:tab w:val="left" w:pos="864"/>
                <w:tab w:val="left" w:pos="1152"/>
              </w:tabs>
              <w:suppressAutoHyphens/>
              <w:spacing w:before="40" w:after="40" w:line="210" w:lineRule="exact"/>
              <w:ind w:right="40"/>
              <w:rPr>
                <w:sz w:val="17"/>
              </w:rPr>
            </w:pPr>
            <w:r w:rsidRPr="00111F07">
              <w:rPr>
                <w:sz w:val="17"/>
              </w:rPr>
              <w:t>Rejetées</w:t>
            </w:r>
          </w:p>
        </w:tc>
        <w:tc>
          <w:tcPr>
            <w:tcW w:w="690" w:type="dxa"/>
            <w:shd w:val="clear" w:color="auto" w:fill="auto"/>
            <w:noWrap/>
            <w:tcMar>
              <w:top w:w="0" w:type="dxa"/>
              <w:left w:w="0" w:type="dxa"/>
              <w:bottom w:w="0" w:type="dxa"/>
              <w:right w:w="0" w:type="dxa"/>
            </w:tcMar>
            <w:vAlign w:val="bottom"/>
            <w:hideMark/>
          </w:tcPr>
          <w:p w14:paraId="45067CD8"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8</w:t>
            </w:r>
          </w:p>
        </w:tc>
        <w:tc>
          <w:tcPr>
            <w:tcW w:w="690" w:type="dxa"/>
            <w:shd w:val="clear" w:color="auto" w:fill="auto"/>
            <w:noWrap/>
            <w:tcMar>
              <w:top w:w="0" w:type="dxa"/>
              <w:left w:w="0" w:type="dxa"/>
              <w:bottom w:w="0" w:type="dxa"/>
              <w:right w:w="0" w:type="dxa"/>
            </w:tcMar>
            <w:vAlign w:val="bottom"/>
            <w:hideMark/>
          </w:tcPr>
          <w:p w14:paraId="24F04595"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35</w:t>
            </w:r>
          </w:p>
        </w:tc>
        <w:tc>
          <w:tcPr>
            <w:tcW w:w="690" w:type="dxa"/>
            <w:shd w:val="clear" w:color="auto" w:fill="auto"/>
            <w:noWrap/>
            <w:tcMar>
              <w:top w:w="0" w:type="dxa"/>
              <w:left w:w="0" w:type="dxa"/>
              <w:bottom w:w="0" w:type="dxa"/>
              <w:right w:w="0" w:type="dxa"/>
            </w:tcMar>
            <w:vAlign w:val="bottom"/>
            <w:hideMark/>
          </w:tcPr>
          <w:p w14:paraId="30AA3A2C"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33</w:t>
            </w:r>
          </w:p>
        </w:tc>
        <w:tc>
          <w:tcPr>
            <w:tcW w:w="690" w:type="dxa"/>
            <w:shd w:val="clear" w:color="auto" w:fill="auto"/>
            <w:noWrap/>
            <w:tcMar>
              <w:top w:w="0" w:type="dxa"/>
              <w:left w:w="0" w:type="dxa"/>
              <w:bottom w:w="0" w:type="dxa"/>
              <w:right w:w="0" w:type="dxa"/>
            </w:tcMar>
            <w:vAlign w:val="bottom"/>
            <w:hideMark/>
          </w:tcPr>
          <w:p w14:paraId="0D868A0C"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19</w:t>
            </w:r>
          </w:p>
        </w:tc>
        <w:tc>
          <w:tcPr>
            <w:tcW w:w="690" w:type="dxa"/>
            <w:shd w:val="clear" w:color="auto" w:fill="auto"/>
            <w:noWrap/>
            <w:tcMar>
              <w:top w:w="0" w:type="dxa"/>
              <w:left w:w="0" w:type="dxa"/>
              <w:bottom w:w="0" w:type="dxa"/>
              <w:right w:w="0" w:type="dxa"/>
            </w:tcMar>
            <w:vAlign w:val="bottom"/>
            <w:hideMark/>
          </w:tcPr>
          <w:p w14:paraId="7D6A9C96"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37</w:t>
            </w:r>
          </w:p>
        </w:tc>
      </w:tr>
      <w:tr w:rsidR="004B208B" w:rsidRPr="00111F07" w14:paraId="130C8912" w14:textId="77777777" w:rsidTr="003D0953">
        <w:trPr>
          <w:cantSplit/>
        </w:trPr>
        <w:tc>
          <w:tcPr>
            <w:tcW w:w="3870" w:type="dxa"/>
            <w:shd w:val="clear" w:color="auto" w:fill="auto"/>
            <w:noWrap/>
            <w:tcMar>
              <w:top w:w="0" w:type="dxa"/>
              <w:left w:w="0" w:type="dxa"/>
              <w:bottom w:w="0" w:type="dxa"/>
              <w:right w:w="0" w:type="dxa"/>
            </w:tcMar>
            <w:vAlign w:val="bottom"/>
            <w:hideMark/>
          </w:tcPr>
          <w:p w14:paraId="4D71A78D" w14:textId="77777777" w:rsidR="00603A87" w:rsidRPr="001C3EFA" w:rsidRDefault="00603A87" w:rsidP="004B208B">
            <w:pPr>
              <w:tabs>
                <w:tab w:val="left" w:pos="288"/>
                <w:tab w:val="left" w:pos="576"/>
                <w:tab w:val="left" w:pos="864"/>
                <w:tab w:val="left" w:pos="1152"/>
              </w:tabs>
              <w:suppressAutoHyphens/>
              <w:spacing w:before="40" w:after="40" w:line="210" w:lineRule="exact"/>
              <w:ind w:right="40"/>
              <w:rPr>
                <w:sz w:val="17"/>
              </w:rPr>
            </w:pPr>
            <w:r w:rsidRPr="00DF7ED2">
              <w:rPr>
                <w:sz w:val="17"/>
                <w:u w:val="single"/>
              </w:rPr>
              <w:t>Hors</w:t>
            </w:r>
            <w:r w:rsidRPr="00111F07">
              <w:rPr>
                <w:sz w:val="17"/>
              </w:rPr>
              <w:t xml:space="preserve"> marché du travail</w:t>
            </w:r>
          </w:p>
        </w:tc>
        <w:tc>
          <w:tcPr>
            <w:tcW w:w="690" w:type="dxa"/>
            <w:shd w:val="clear" w:color="auto" w:fill="auto"/>
            <w:noWrap/>
            <w:tcMar>
              <w:top w:w="0" w:type="dxa"/>
              <w:left w:w="0" w:type="dxa"/>
              <w:bottom w:w="0" w:type="dxa"/>
              <w:right w:w="0" w:type="dxa"/>
            </w:tcMar>
            <w:vAlign w:val="bottom"/>
            <w:hideMark/>
          </w:tcPr>
          <w:p w14:paraId="1C35A6AA"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34</w:t>
            </w:r>
          </w:p>
        </w:tc>
        <w:tc>
          <w:tcPr>
            <w:tcW w:w="690" w:type="dxa"/>
            <w:shd w:val="clear" w:color="auto" w:fill="auto"/>
            <w:noWrap/>
            <w:tcMar>
              <w:top w:w="0" w:type="dxa"/>
              <w:left w:w="0" w:type="dxa"/>
              <w:bottom w:w="0" w:type="dxa"/>
              <w:right w:w="0" w:type="dxa"/>
            </w:tcMar>
            <w:vAlign w:val="bottom"/>
            <w:hideMark/>
          </w:tcPr>
          <w:p w14:paraId="51478473"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50</w:t>
            </w:r>
          </w:p>
        </w:tc>
        <w:tc>
          <w:tcPr>
            <w:tcW w:w="690" w:type="dxa"/>
            <w:shd w:val="clear" w:color="auto" w:fill="auto"/>
            <w:noWrap/>
            <w:tcMar>
              <w:top w:w="0" w:type="dxa"/>
              <w:left w:w="0" w:type="dxa"/>
              <w:bottom w:w="0" w:type="dxa"/>
              <w:right w:w="0" w:type="dxa"/>
            </w:tcMar>
            <w:vAlign w:val="bottom"/>
            <w:hideMark/>
          </w:tcPr>
          <w:p w14:paraId="3FB10E90"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58</w:t>
            </w:r>
          </w:p>
        </w:tc>
        <w:tc>
          <w:tcPr>
            <w:tcW w:w="690" w:type="dxa"/>
            <w:shd w:val="clear" w:color="auto" w:fill="auto"/>
            <w:noWrap/>
            <w:tcMar>
              <w:top w:w="0" w:type="dxa"/>
              <w:left w:w="0" w:type="dxa"/>
              <w:bottom w:w="0" w:type="dxa"/>
              <w:right w:w="0" w:type="dxa"/>
            </w:tcMar>
            <w:vAlign w:val="bottom"/>
            <w:hideMark/>
          </w:tcPr>
          <w:p w14:paraId="06887B8A"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34</w:t>
            </w:r>
          </w:p>
        </w:tc>
        <w:tc>
          <w:tcPr>
            <w:tcW w:w="690" w:type="dxa"/>
            <w:shd w:val="clear" w:color="auto" w:fill="auto"/>
            <w:noWrap/>
            <w:tcMar>
              <w:top w:w="0" w:type="dxa"/>
              <w:left w:w="0" w:type="dxa"/>
              <w:bottom w:w="0" w:type="dxa"/>
              <w:right w:w="0" w:type="dxa"/>
            </w:tcMar>
            <w:vAlign w:val="bottom"/>
            <w:hideMark/>
          </w:tcPr>
          <w:p w14:paraId="3CF80CB6"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54</w:t>
            </w:r>
          </w:p>
        </w:tc>
      </w:tr>
      <w:tr w:rsidR="004B208B" w:rsidRPr="00111F07" w14:paraId="4B6E290C" w14:textId="77777777" w:rsidTr="003D0953">
        <w:trPr>
          <w:cantSplit/>
        </w:trPr>
        <w:tc>
          <w:tcPr>
            <w:tcW w:w="3870" w:type="dxa"/>
            <w:shd w:val="clear" w:color="auto" w:fill="auto"/>
            <w:noWrap/>
            <w:tcMar>
              <w:top w:w="0" w:type="dxa"/>
              <w:left w:w="0" w:type="dxa"/>
              <w:bottom w:w="0" w:type="dxa"/>
              <w:right w:w="0" w:type="dxa"/>
            </w:tcMar>
            <w:vAlign w:val="bottom"/>
            <w:hideMark/>
          </w:tcPr>
          <w:p w14:paraId="62F3410B" w14:textId="77777777" w:rsidR="00603A87" w:rsidRPr="001C3EFA" w:rsidRDefault="00603A87" w:rsidP="004B208B">
            <w:pPr>
              <w:tabs>
                <w:tab w:val="left" w:pos="288"/>
                <w:tab w:val="left" w:pos="576"/>
                <w:tab w:val="left" w:pos="864"/>
                <w:tab w:val="left" w:pos="1152"/>
              </w:tabs>
              <w:suppressAutoHyphens/>
              <w:spacing w:before="40" w:after="40" w:line="210" w:lineRule="exact"/>
              <w:ind w:right="40"/>
              <w:rPr>
                <w:sz w:val="17"/>
              </w:rPr>
            </w:pPr>
            <w:r w:rsidRPr="00DF7ED2">
              <w:rPr>
                <w:sz w:val="17"/>
                <w:u w:val="single"/>
              </w:rPr>
              <w:t>Sur</w:t>
            </w:r>
            <w:r w:rsidRPr="00111F07">
              <w:rPr>
                <w:sz w:val="17"/>
              </w:rPr>
              <w:t xml:space="preserve"> le marché du travail</w:t>
            </w:r>
          </w:p>
        </w:tc>
        <w:tc>
          <w:tcPr>
            <w:tcW w:w="690" w:type="dxa"/>
            <w:shd w:val="clear" w:color="auto" w:fill="auto"/>
            <w:noWrap/>
            <w:tcMar>
              <w:top w:w="0" w:type="dxa"/>
              <w:left w:w="0" w:type="dxa"/>
              <w:bottom w:w="0" w:type="dxa"/>
              <w:right w:w="0" w:type="dxa"/>
            </w:tcMar>
            <w:vAlign w:val="bottom"/>
            <w:hideMark/>
          </w:tcPr>
          <w:p w14:paraId="2913241B"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38</w:t>
            </w:r>
          </w:p>
        </w:tc>
        <w:tc>
          <w:tcPr>
            <w:tcW w:w="690" w:type="dxa"/>
            <w:shd w:val="clear" w:color="auto" w:fill="auto"/>
            <w:noWrap/>
            <w:tcMar>
              <w:top w:w="0" w:type="dxa"/>
              <w:left w:w="0" w:type="dxa"/>
              <w:bottom w:w="0" w:type="dxa"/>
              <w:right w:w="0" w:type="dxa"/>
            </w:tcMar>
            <w:vAlign w:val="bottom"/>
            <w:hideMark/>
          </w:tcPr>
          <w:p w14:paraId="5E5CE2DE"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65</w:t>
            </w:r>
          </w:p>
        </w:tc>
        <w:tc>
          <w:tcPr>
            <w:tcW w:w="690" w:type="dxa"/>
            <w:shd w:val="clear" w:color="auto" w:fill="auto"/>
            <w:noWrap/>
            <w:tcMar>
              <w:top w:w="0" w:type="dxa"/>
              <w:left w:w="0" w:type="dxa"/>
              <w:bottom w:w="0" w:type="dxa"/>
              <w:right w:w="0" w:type="dxa"/>
            </w:tcMar>
            <w:vAlign w:val="bottom"/>
            <w:hideMark/>
          </w:tcPr>
          <w:p w14:paraId="2C784E4B"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60</w:t>
            </w:r>
          </w:p>
        </w:tc>
        <w:tc>
          <w:tcPr>
            <w:tcW w:w="690" w:type="dxa"/>
            <w:shd w:val="clear" w:color="auto" w:fill="auto"/>
            <w:noWrap/>
            <w:tcMar>
              <w:top w:w="0" w:type="dxa"/>
              <w:left w:w="0" w:type="dxa"/>
              <w:bottom w:w="0" w:type="dxa"/>
              <w:right w:w="0" w:type="dxa"/>
            </w:tcMar>
            <w:vAlign w:val="bottom"/>
            <w:hideMark/>
          </w:tcPr>
          <w:p w14:paraId="1E605F73"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54</w:t>
            </w:r>
          </w:p>
        </w:tc>
        <w:tc>
          <w:tcPr>
            <w:tcW w:w="690" w:type="dxa"/>
            <w:shd w:val="clear" w:color="auto" w:fill="auto"/>
            <w:noWrap/>
            <w:tcMar>
              <w:top w:w="0" w:type="dxa"/>
              <w:left w:w="0" w:type="dxa"/>
              <w:bottom w:w="0" w:type="dxa"/>
              <w:right w:w="0" w:type="dxa"/>
            </w:tcMar>
            <w:vAlign w:val="bottom"/>
            <w:hideMark/>
          </w:tcPr>
          <w:p w14:paraId="723A8E33" w14:textId="77777777"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40</w:t>
            </w:r>
          </w:p>
        </w:tc>
      </w:tr>
      <w:tr w:rsidR="004B208B" w:rsidRPr="00111F07" w14:paraId="64748170" w14:textId="77777777" w:rsidTr="003D0953">
        <w:trPr>
          <w:cantSplit/>
        </w:trPr>
        <w:tc>
          <w:tcPr>
            <w:tcW w:w="3870" w:type="dxa"/>
            <w:shd w:val="clear" w:color="auto" w:fill="auto"/>
            <w:noWrap/>
            <w:tcMar>
              <w:top w:w="0" w:type="dxa"/>
              <w:left w:w="0" w:type="dxa"/>
              <w:bottom w:w="0" w:type="dxa"/>
              <w:right w:w="0" w:type="dxa"/>
            </w:tcMar>
            <w:vAlign w:val="bottom"/>
            <w:hideMark/>
          </w:tcPr>
          <w:p w14:paraId="53FED193" w14:textId="05955774" w:rsidR="00603A87" w:rsidRPr="00111F07" w:rsidRDefault="00603A87" w:rsidP="004B208B">
            <w:pPr>
              <w:tabs>
                <w:tab w:val="left" w:pos="288"/>
                <w:tab w:val="left" w:pos="576"/>
                <w:tab w:val="left" w:pos="864"/>
                <w:tab w:val="left" w:pos="1152"/>
              </w:tabs>
              <w:suppressAutoHyphens/>
              <w:spacing w:before="40" w:after="40" w:line="210" w:lineRule="exact"/>
              <w:ind w:right="40"/>
              <w:rPr>
                <w:sz w:val="17"/>
              </w:rPr>
            </w:pPr>
            <w:r w:rsidRPr="00111F07">
              <w:rPr>
                <w:sz w:val="17"/>
              </w:rPr>
              <w:t>Plaintes concernant</w:t>
            </w:r>
            <w:r w:rsidR="007A3CEB" w:rsidRPr="00111F07">
              <w:rPr>
                <w:sz w:val="17"/>
              </w:rPr>
              <w:t> :</w:t>
            </w:r>
          </w:p>
        </w:tc>
        <w:tc>
          <w:tcPr>
            <w:tcW w:w="690" w:type="dxa"/>
            <w:shd w:val="clear" w:color="auto" w:fill="auto"/>
            <w:noWrap/>
            <w:tcMar>
              <w:top w:w="0" w:type="dxa"/>
              <w:left w:w="0" w:type="dxa"/>
              <w:bottom w:w="0" w:type="dxa"/>
              <w:right w:w="0" w:type="dxa"/>
            </w:tcMar>
            <w:vAlign w:val="bottom"/>
          </w:tcPr>
          <w:p w14:paraId="175D33B7" w14:textId="324988BA"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p>
        </w:tc>
        <w:tc>
          <w:tcPr>
            <w:tcW w:w="690" w:type="dxa"/>
            <w:shd w:val="clear" w:color="auto" w:fill="auto"/>
            <w:noWrap/>
            <w:tcMar>
              <w:top w:w="0" w:type="dxa"/>
              <w:left w:w="0" w:type="dxa"/>
              <w:bottom w:w="0" w:type="dxa"/>
              <w:right w:w="0" w:type="dxa"/>
            </w:tcMar>
            <w:vAlign w:val="bottom"/>
          </w:tcPr>
          <w:p w14:paraId="3963EBC7" w14:textId="37602BDC"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p>
        </w:tc>
        <w:tc>
          <w:tcPr>
            <w:tcW w:w="690" w:type="dxa"/>
            <w:shd w:val="clear" w:color="auto" w:fill="auto"/>
            <w:noWrap/>
            <w:tcMar>
              <w:top w:w="0" w:type="dxa"/>
              <w:left w:w="0" w:type="dxa"/>
              <w:bottom w:w="0" w:type="dxa"/>
              <w:right w:w="0" w:type="dxa"/>
            </w:tcMar>
            <w:vAlign w:val="bottom"/>
          </w:tcPr>
          <w:p w14:paraId="6C200EEF" w14:textId="7F7F751A"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p>
        </w:tc>
        <w:tc>
          <w:tcPr>
            <w:tcW w:w="690" w:type="dxa"/>
            <w:shd w:val="clear" w:color="auto" w:fill="auto"/>
            <w:noWrap/>
            <w:tcMar>
              <w:top w:w="0" w:type="dxa"/>
              <w:left w:w="0" w:type="dxa"/>
              <w:bottom w:w="0" w:type="dxa"/>
              <w:right w:w="0" w:type="dxa"/>
            </w:tcMar>
            <w:vAlign w:val="bottom"/>
          </w:tcPr>
          <w:p w14:paraId="723E098B" w14:textId="57BC7302"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p>
        </w:tc>
        <w:tc>
          <w:tcPr>
            <w:tcW w:w="690" w:type="dxa"/>
            <w:shd w:val="clear" w:color="auto" w:fill="auto"/>
            <w:noWrap/>
            <w:tcMar>
              <w:top w:w="0" w:type="dxa"/>
              <w:left w:w="0" w:type="dxa"/>
              <w:bottom w:w="0" w:type="dxa"/>
              <w:right w:w="0" w:type="dxa"/>
            </w:tcMar>
            <w:vAlign w:val="bottom"/>
          </w:tcPr>
          <w:p w14:paraId="76CAFDB8" w14:textId="73950AA3" w:rsidR="00603A87" w:rsidRPr="00111F07" w:rsidRDefault="00603A87" w:rsidP="004B208B">
            <w:pPr>
              <w:tabs>
                <w:tab w:val="left" w:pos="288"/>
                <w:tab w:val="left" w:pos="576"/>
                <w:tab w:val="left" w:pos="864"/>
                <w:tab w:val="left" w:pos="1152"/>
              </w:tabs>
              <w:suppressAutoHyphens/>
              <w:spacing w:before="40" w:after="40" w:line="210" w:lineRule="exact"/>
              <w:ind w:right="43"/>
              <w:jc w:val="right"/>
              <w:rPr>
                <w:sz w:val="17"/>
              </w:rPr>
            </w:pPr>
          </w:p>
        </w:tc>
      </w:tr>
      <w:tr w:rsidR="004B208B" w:rsidRPr="00111F07" w14:paraId="285C12C2" w14:textId="77777777" w:rsidTr="003D0953">
        <w:trPr>
          <w:cantSplit/>
        </w:trPr>
        <w:tc>
          <w:tcPr>
            <w:tcW w:w="3870" w:type="dxa"/>
            <w:shd w:val="clear" w:color="auto" w:fill="auto"/>
            <w:noWrap/>
            <w:tcMar>
              <w:top w:w="0" w:type="dxa"/>
              <w:left w:w="0" w:type="dxa"/>
              <w:bottom w:w="0" w:type="dxa"/>
              <w:right w:w="0" w:type="dxa"/>
            </w:tcMar>
            <w:vAlign w:val="bottom"/>
          </w:tcPr>
          <w:p w14:paraId="50B99375" w14:textId="0726D870" w:rsidR="004B208B" w:rsidRPr="00111F07" w:rsidRDefault="003D0953" w:rsidP="003D095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after="40" w:line="210" w:lineRule="exact"/>
              <w:ind w:left="475" w:right="40" w:hanging="475"/>
              <w:jc w:val="left"/>
              <w:rPr>
                <w:sz w:val="17"/>
              </w:rPr>
            </w:pPr>
            <w:r w:rsidRPr="00111F07">
              <w:rPr>
                <w:sz w:val="17"/>
                <w:lang w:val="en-GB"/>
              </w:rPr>
              <w:tab/>
              <w:t>–</w:t>
            </w:r>
            <w:r w:rsidRPr="00111F07">
              <w:rPr>
                <w:sz w:val="17"/>
                <w:lang w:val="en-GB"/>
              </w:rPr>
              <w:tab/>
            </w:r>
            <w:r w:rsidR="004B208B" w:rsidRPr="00111F07">
              <w:rPr>
                <w:sz w:val="17"/>
              </w:rPr>
              <w:t>offre d’emploi</w:t>
            </w:r>
          </w:p>
        </w:tc>
        <w:tc>
          <w:tcPr>
            <w:tcW w:w="690" w:type="dxa"/>
            <w:shd w:val="clear" w:color="auto" w:fill="auto"/>
            <w:noWrap/>
            <w:tcMar>
              <w:top w:w="0" w:type="dxa"/>
              <w:left w:w="0" w:type="dxa"/>
              <w:bottom w:w="0" w:type="dxa"/>
              <w:right w:w="0" w:type="dxa"/>
            </w:tcMar>
            <w:vAlign w:val="bottom"/>
          </w:tcPr>
          <w:p w14:paraId="7A5AC1B2" w14:textId="7974B566"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s.o.</w:t>
            </w:r>
          </w:p>
        </w:tc>
        <w:tc>
          <w:tcPr>
            <w:tcW w:w="690" w:type="dxa"/>
            <w:shd w:val="clear" w:color="auto" w:fill="auto"/>
            <w:noWrap/>
            <w:tcMar>
              <w:top w:w="0" w:type="dxa"/>
              <w:left w:w="0" w:type="dxa"/>
              <w:bottom w:w="0" w:type="dxa"/>
              <w:right w:w="0" w:type="dxa"/>
            </w:tcMar>
            <w:vAlign w:val="bottom"/>
          </w:tcPr>
          <w:p w14:paraId="06C5D3D6" w14:textId="64F0BF5F"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s.o.</w:t>
            </w:r>
          </w:p>
        </w:tc>
        <w:tc>
          <w:tcPr>
            <w:tcW w:w="690" w:type="dxa"/>
            <w:shd w:val="clear" w:color="auto" w:fill="auto"/>
            <w:noWrap/>
            <w:tcMar>
              <w:top w:w="0" w:type="dxa"/>
              <w:left w:w="0" w:type="dxa"/>
              <w:bottom w:w="0" w:type="dxa"/>
              <w:right w:w="0" w:type="dxa"/>
            </w:tcMar>
            <w:vAlign w:val="bottom"/>
          </w:tcPr>
          <w:p w14:paraId="6E5C6A1E" w14:textId="0D5FF2BC"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7</w:t>
            </w:r>
          </w:p>
        </w:tc>
        <w:tc>
          <w:tcPr>
            <w:tcW w:w="690" w:type="dxa"/>
            <w:shd w:val="clear" w:color="auto" w:fill="auto"/>
            <w:noWrap/>
            <w:tcMar>
              <w:top w:w="0" w:type="dxa"/>
              <w:left w:w="0" w:type="dxa"/>
              <w:bottom w:w="0" w:type="dxa"/>
              <w:right w:w="0" w:type="dxa"/>
            </w:tcMar>
            <w:vAlign w:val="bottom"/>
          </w:tcPr>
          <w:p w14:paraId="6A5FF5A2" w14:textId="34EFD743"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6</w:t>
            </w:r>
          </w:p>
        </w:tc>
        <w:tc>
          <w:tcPr>
            <w:tcW w:w="690" w:type="dxa"/>
            <w:shd w:val="clear" w:color="auto" w:fill="auto"/>
            <w:noWrap/>
            <w:tcMar>
              <w:top w:w="0" w:type="dxa"/>
              <w:left w:w="0" w:type="dxa"/>
              <w:bottom w:w="0" w:type="dxa"/>
              <w:right w:w="0" w:type="dxa"/>
            </w:tcMar>
            <w:vAlign w:val="bottom"/>
          </w:tcPr>
          <w:p w14:paraId="7E5F480D" w14:textId="7021EB52"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2</w:t>
            </w:r>
          </w:p>
        </w:tc>
      </w:tr>
      <w:tr w:rsidR="004B208B" w:rsidRPr="00111F07" w14:paraId="4FE51DF9" w14:textId="77777777" w:rsidTr="003D0953">
        <w:trPr>
          <w:cantSplit/>
        </w:trPr>
        <w:tc>
          <w:tcPr>
            <w:tcW w:w="3870" w:type="dxa"/>
            <w:shd w:val="clear" w:color="auto" w:fill="auto"/>
            <w:noWrap/>
            <w:tcMar>
              <w:top w:w="0" w:type="dxa"/>
              <w:left w:w="0" w:type="dxa"/>
              <w:bottom w:w="0" w:type="dxa"/>
              <w:right w:w="0" w:type="dxa"/>
            </w:tcMar>
            <w:vAlign w:val="bottom"/>
          </w:tcPr>
          <w:p w14:paraId="06F42FD0" w14:textId="16FFB607" w:rsidR="004B208B" w:rsidRPr="00111F07" w:rsidRDefault="003D0953" w:rsidP="00DF7E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after="40" w:line="210" w:lineRule="exact"/>
              <w:ind w:left="475" w:right="40" w:hanging="475"/>
              <w:jc w:val="left"/>
              <w:rPr>
                <w:sz w:val="17"/>
              </w:rPr>
            </w:pPr>
            <w:r w:rsidRPr="00111F07">
              <w:rPr>
                <w:sz w:val="17"/>
                <w:lang w:val="en-GB"/>
              </w:rPr>
              <w:tab/>
              <w:t>–</w:t>
            </w:r>
            <w:r w:rsidRPr="00111F07">
              <w:rPr>
                <w:sz w:val="17"/>
                <w:lang w:val="en-GB"/>
              </w:rPr>
              <w:tab/>
            </w:r>
            <w:r w:rsidR="004B208B" w:rsidRPr="00111F07">
              <w:rPr>
                <w:sz w:val="17"/>
              </w:rPr>
              <w:t>embauche</w:t>
            </w:r>
          </w:p>
        </w:tc>
        <w:tc>
          <w:tcPr>
            <w:tcW w:w="690" w:type="dxa"/>
            <w:shd w:val="clear" w:color="auto" w:fill="auto"/>
            <w:noWrap/>
            <w:tcMar>
              <w:top w:w="0" w:type="dxa"/>
              <w:left w:w="0" w:type="dxa"/>
              <w:bottom w:w="0" w:type="dxa"/>
              <w:right w:w="0" w:type="dxa"/>
            </w:tcMar>
            <w:vAlign w:val="bottom"/>
          </w:tcPr>
          <w:p w14:paraId="60DAE4C6" w14:textId="42C80E22"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s.o.</w:t>
            </w:r>
          </w:p>
        </w:tc>
        <w:tc>
          <w:tcPr>
            <w:tcW w:w="690" w:type="dxa"/>
            <w:shd w:val="clear" w:color="auto" w:fill="auto"/>
            <w:noWrap/>
            <w:tcMar>
              <w:top w:w="0" w:type="dxa"/>
              <w:left w:w="0" w:type="dxa"/>
              <w:bottom w:w="0" w:type="dxa"/>
              <w:right w:w="0" w:type="dxa"/>
            </w:tcMar>
            <w:vAlign w:val="bottom"/>
          </w:tcPr>
          <w:p w14:paraId="48877232" w14:textId="2B111274"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s.o.</w:t>
            </w:r>
          </w:p>
        </w:tc>
        <w:tc>
          <w:tcPr>
            <w:tcW w:w="690" w:type="dxa"/>
            <w:shd w:val="clear" w:color="auto" w:fill="auto"/>
            <w:noWrap/>
            <w:tcMar>
              <w:top w:w="0" w:type="dxa"/>
              <w:left w:w="0" w:type="dxa"/>
              <w:bottom w:w="0" w:type="dxa"/>
              <w:right w:w="0" w:type="dxa"/>
            </w:tcMar>
            <w:vAlign w:val="bottom"/>
          </w:tcPr>
          <w:p w14:paraId="0F34C215" w14:textId="4711C8DA"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15</w:t>
            </w:r>
          </w:p>
        </w:tc>
        <w:tc>
          <w:tcPr>
            <w:tcW w:w="690" w:type="dxa"/>
            <w:shd w:val="clear" w:color="auto" w:fill="auto"/>
            <w:noWrap/>
            <w:tcMar>
              <w:top w:w="0" w:type="dxa"/>
              <w:left w:w="0" w:type="dxa"/>
              <w:bottom w:w="0" w:type="dxa"/>
              <w:right w:w="0" w:type="dxa"/>
            </w:tcMar>
            <w:vAlign w:val="bottom"/>
          </w:tcPr>
          <w:p w14:paraId="760651E7" w14:textId="622FE139"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15</w:t>
            </w:r>
          </w:p>
        </w:tc>
        <w:tc>
          <w:tcPr>
            <w:tcW w:w="690" w:type="dxa"/>
            <w:shd w:val="clear" w:color="auto" w:fill="auto"/>
            <w:noWrap/>
            <w:tcMar>
              <w:top w:w="0" w:type="dxa"/>
              <w:left w:w="0" w:type="dxa"/>
              <w:bottom w:w="0" w:type="dxa"/>
              <w:right w:w="0" w:type="dxa"/>
            </w:tcMar>
            <w:vAlign w:val="bottom"/>
          </w:tcPr>
          <w:p w14:paraId="6B81068C" w14:textId="72A9B908"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10</w:t>
            </w:r>
          </w:p>
        </w:tc>
      </w:tr>
      <w:tr w:rsidR="004B208B" w:rsidRPr="00111F07" w14:paraId="50B80A11" w14:textId="77777777" w:rsidTr="003D0953">
        <w:trPr>
          <w:cantSplit/>
        </w:trPr>
        <w:tc>
          <w:tcPr>
            <w:tcW w:w="3870" w:type="dxa"/>
            <w:shd w:val="clear" w:color="auto" w:fill="auto"/>
            <w:noWrap/>
            <w:tcMar>
              <w:top w:w="0" w:type="dxa"/>
              <w:left w:w="0" w:type="dxa"/>
              <w:bottom w:w="0" w:type="dxa"/>
              <w:right w:w="0" w:type="dxa"/>
            </w:tcMar>
            <w:vAlign w:val="bottom"/>
          </w:tcPr>
          <w:p w14:paraId="4B2C9CA3" w14:textId="1CD56A4D" w:rsidR="004B208B" w:rsidRPr="00111F07" w:rsidRDefault="003D0953" w:rsidP="00DF7E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after="40" w:line="210" w:lineRule="exact"/>
              <w:ind w:left="475" w:right="40" w:hanging="475"/>
              <w:jc w:val="left"/>
              <w:rPr>
                <w:sz w:val="17"/>
              </w:rPr>
            </w:pPr>
            <w:r w:rsidRPr="00111F07">
              <w:rPr>
                <w:sz w:val="17"/>
                <w:lang w:val="en-GB"/>
              </w:rPr>
              <w:tab/>
              <w:t>–</w:t>
            </w:r>
            <w:r w:rsidRPr="00111F07">
              <w:rPr>
                <w:sz w:val="17"/>
                <w:lang w:val="en-GB"/>
              </w:rPr>
              <w:tab/>
            </w:r>
            <w:r w:rsidR="004B208B" w:rsidRPr="00111F07">
              <w:rPr>
                <w:sz w:val="17"/>
              </w:rPr>
              <w:t>licenciement</w:t>
            </w:r>
          </w:p>
        </w:tc>
        <w:tc>
          <w:tcPr>
            <w:tcW w:w="690" w:type="dxa"/>
            <w:shd w:val="clear" w:color="auto" w:fill="auto"/>
            <w:noWrap/>
            <w:tcMar>
              <w:top w:w="0" w:type="dxa"/>
              <w:left w:w="0" w:type="dxa"/>
              <w:bottom w:w="0" w:type="dxa"/>
              <w:right w:w="0" w:type="dxa"/>
            </w:tcMar>
            <w:vAlign w:val="bottom"/>
          </w:tcPr>
          <w:p w14:paraId="0981ECB0" w14:textId="076DF614"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20</w:t>
            </w:r>
          </w:p>
        </w:tc>
        <w:tc>
          <w:tcPr>
            <w:tcW w:w="690" w:type="dxa"/>
            <w:shd w:val="clear" w:color="auto" w:fill="auto"/>
            <w:noWrap/>
            <w:tcMar>
              <w:top w:w="0" w:type="dxa"/>
              <w:left w:w="0" w:type="dxa"/>
              <w:bottom w:w="0" w:type="dxa"/>
              <w:right w:w="0" w:type="dxa"/>
            </w:tcMar>
            <w:vAlign w:val="bottom"/>
          </w:tcPr>
          <w:p w14:paraId="5861DCC0" w14:textId="20860548"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28</w:t>
            </w:r>
          </w:p>
        </w:tc>
        <w:tc>
          <w:tcPr>
            <w:tcW w:w="690" w:type="dxa"/>
            <w:shd w:val="clear" w:color="auto" w:fill="auto"/>
            <w:noWrap/>
            <w:tcMar>
              <w:top w:w="0" w:type="dxa"/>
              <w:left w:w="0" w:type="dxa"/>
              <w:bottom w:w="0" w:type="dxa"/>
              <w:right w:w="0" w:type="dxa"/>
            </w:tcMar>
            <w:vAlign w:val="bottom"/>
          </w:tcPr>
          <w:p w14:paraId="3D5E9029" w14:textId="71DE1049"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16</w:t>
            </w:r>
          </w:p>
        </w:tc>
        <w:tc>
          <w:tcPr>
            <w:tcW w:w="690" w:type="dxa"/>
            <w:shd w:val="clear" w:color="auto" w:fill="auto"/>
            <w:noWrap/>
            <w:tcMar>
              <w:top w:w="0" w:type="dxa"/>
              <w:left w:w="0" w:type="dxa"/>
              <w:bottom w:w="0" w:type="dxa"/>
              <w:right w:w="0" w:type="dxa"/>
            </w:tcMar>
            <w:vAlign w:val="bottom"/>
          </w:tcPr>
          <w:p w14:paraId="6FCD49A3" w14:textId="51D9F2FC"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30</w:t>
            </w:r>
          </w:p>
        </w:tc>
        <w:tc>
          <w:tcPr>
            <w:tcW w:w="690" w:type="dxa"/>
            <w:shd w:val="clear" w:color="auto" w:fill="auto"/>
            <w:noWrap/>
            <w:tcMar>
              <w:top w:w="0" w:type="dxa"/>
              <w:left w:w="0" w:type="dxa"/>
              <w:bottom w:w="0" w:type="dxa"/>
              <w:right w:w="0" w:type="dxa"/>
            </w:tcMar>
            <w:vAlign w:val="bottom"/>
          </w:tcPr>
          <w:p w14:paraId="318EDCC4" w14:textId="60601BA7"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18</w:t>
            </w:r>
          </w:p>
        </w:tc>
      </w:tr>
      <w:tr w:rsidR="004B208B" w:rsidRPr="00111F07" w14:paraId="231C9458" w14:textId="77777777" w:rsidTr="003D0953">
        <w:trPr>
          <w:cantSplit/>
        </w:trPr>
        <w:tc>
          <w:tcPr>
            <w:tcW w:w="3870" w:type="dxa"/>
            <w:tcBorders>
              <w:bottom w:val="single" w:sz="12" w:space="0" w:color="auto"/>
            </w:tcBorders>
            <w:shd w:val="clear" w:color="auto" w:fill="auto"/>
            <w:noWrap/>
            <w:tcMar>
              <w:top w:w="0" w:type="dxa"/>
              <w:left w:w="0" w:type="dxa"/>
              <w:bottom w:w="0" w:type="dxa"/>
              <w:right w:w="0" w:type="dxa"/>
            </w:tcMar>
            <w:vAlign w:val="bottom"/>
          </w:tcPr>
          <w:p w14:paraId="576B63D1" w14:textId="2669636B" w:rsidR="004B208B" w:rsidRPr="00111F07" w:rsidRDefault="003D0953" w:rsidP="00DF7E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right" w:pos="360"/>
                <w:tab w:val="left" w:pos="576"/>
                <w:tab w:val="left" w:pos="864"/>
                <w:tab w:val="left" w:pos="1152"/>
              </w:tabs>
              <w:spacing w:before="40" w:after="40" w:line="210" w:lineRule="exact"/>
              <w:ind w:left="475" w:right="40" w:hanging="475"/>
              <w:jc w:val="left"/>
              <w:rPr>
                <w:sz w:val="17"/>
              </w:rPr>
            </w:pPr>
            <w:r w:rsidRPr="00111F07">
              <w:rPr>
                <w:sz w:val="17"/>
                <w:lang w:val="en-GB"/>
              </w:rPr>
              <w:tab/>
              <w:t>–</w:t>
            </w:r>
            <w:r w:rsidRPr="00111F07">
              <w:rPr>
                <w:sz w:val="17"/>
                <w:lang w:val="en-GB"/>
              </w:rPr>
              <w:tab/>
            </w:r>
            <w:r w:rsidR="004B208B" w:rsidRPr="00111F07">
              <w:rPr>
                <w:sz w:val="17"/>
              </w:rPr>
              <w:t>harcèlement</w:t>
            </w:r>
          </w:p>
        </w:tc>
        <w:tc>
          <w:tcPr>
            <w:tcW w:w="690" w:type="dxa"/>
            <w:tcBorders>
              <w:bottom w:val="single" w:sz="12" w:space="0" w:color="auto"/>
            </w:tcBorders>
            <w:shd w:val="clear" w:color="auto" w:fill="auto"/>
            <w:noWrap/>
            <w:tcMar>
              <w:top w:w="0" w:type="dxa"/>
              <w:left w:w="0" w:type="dxa"/>
              <w:bottom w:w="0" w:type="dxa"/>
              <w:right w:w="0" w:type="dxa"/>
            </w:tcMar>
            <w:vAlign w:val="bottom"/>
          </w:tcPr>
          <w:p w14:paraId="4DE12610" w14:textId="4A0F11F9"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s.o.</w:t>
            </w:r>
          </w:p>
        </w:tc>
        <w:tc>
          <w:tcPr>
            <w:tcW w:w="690" w:type="dxa"/>
            <w:tcBorders>
              <w:bottom w:val="single" w:sz="12" w:space="0" w:color="auto"/>
            </w:tcBorders>
            <w:shd w:val="clear" w:color="auto" w:fill="auto"/>
            <w:noWrap/>
            <w:tcMar>
              <w:top w:w="0" w:type="dxa"/>
              <w:left w:w="0" w:type="dxa"/>
              <w:bottom w:w="0" w:type="dxa"/>
              <w:right w:w="0" w:type="dxa"/>
            </w:tcMar>
            <w:vAlign w:val="bottom"/>
          </w:tcPr>
          <w:p w14:paraId="517E052F" w14:textId="3F316575"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s.o.</w:t>
            </w:r>
          </w:p>
        </w:tc>
        <w:tc>
          <w:tcPr>
            <w:tcW w:w="690" w:type="dxa"/>
            <w:tcBorders>
              <w:bottom w:val="single" w:sz="12" w:space="0" w:color="auto"/>
            </w:tcBorders>
            <w:shd w:val="clear" w:color="auto" w:fill="auto"/>
            <w:noWrap/>
            <w:tcMar>
              <w:top w:w="0" w:type="dxa"/>
              <w:left w:w="0" w:type="dxa"/>
              <w:bottom w:w="0" w:type="dxa"/>
              <w:right w:w="0" w:type="dxa"/>
            </w:tcMar>
            <w:vAlign w:val="bottom"/>
          </w:tcPr>
          <w:p w14:paraId="6A99BFF4" w14:textId="650E17D6"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6</w:t>
            </w:r>
          </w:p>
        </w:tc>
        <w:tc>
          <w:tcPr>
            <w:tcW w:w="690" w:type="dxa"/>
            <w:tcBorders>
              <w:bottom w:val="single" w:sz="12" w:space="0" w:color="auto"/>
            </w:tcBorders>
            <w:shd w:val="clear" w:color="auto" w:fill="auto"/>
            <w:noWrap/>
            <w:tcMar>
              <w:top w:w="0" w:type="dxa"/>
              <w:left w:w="0" w:type="dxa"/>
              <w:bottom w:w="0" w:type="dxa"/>
              <w:right w:w="0" w:type="dxa"/>
            </w:tcMar>
            <w:vAlign w:val="bottom"/>
          </w:tcPr>
          <w:p w14:paraId="2765D25A" w14:textId="25FB287D"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0</w:t>
            </w:r>
          </w:p>
        </w:tc>
        <w:tc>
          <w:tcPr>
            <w:tcW w:w="690" w:type="dxa"/>
            <w:tcBorders>
              <w:bottom w:val="single" w:sz="12" w:space="0" w:color="auto"/>
            </w:tcBorders>
            <w:shd w:val="clear" w:color="auto" w:fill="auto"/>
            <w:noWrap/>
            <w:tcMar>
              <w:top w:w="0" w:type="dxa"/>
              <w:left w:w="0" w:type="dxa"/>
              <w:bottom w:w="0" w:type="dxa"/>
              <w:right w:w="0" w:type="dxa"/>
            </w:tcMar>
            <w:vAlign w:val="bottom"/>
          </w:tcPr>
          <w:p w14:paraId="084390F4" w14:textId="2F4CFBAF" w:rsidR="004B208B" w:rsidRPr="00111F07" w:rsidRDefault="004B208B" w:rsidP="004B208B">
            <w:pPr>
              <w:tabs>
                <w:tab w:val="left" w:pos="288"/>
                <w:tab w:val="left" w:pos="576"/>
                <w:tab w:val="left" w:pos="864"/>
                <w:tab w:val="left" w:pos="1152"/>
              </w:tabs>
              <w:suppressAutoHyphens/>
              <w:spacing w:before="40" w:after="40" w:line="210" w:lineRule="exact"/>
              <w:ind w:right="43"/>
              <w:jc w:val="right"/>
              <w:rPr>
                <w:sz w:val="17"/>
              </w:rPr>
            </w:pPr>
            <w:r w:rsidRPr="00111F07">
              <w:rPr>
                <w:sz w:val="17"/>
              </w:rPr>
              <w:t>5</w:t>
            </w:r>
          </w:p>
        </w:tc>
      </w:tr>
    </w:tbl>
    <w:p w14:paraId="1CE146C6" w14:textId="77777777" w:rsidR="003D0953" w:rsidRPr="00111F07" w:rsidRDefault="003D0953" w:rsidP="003D0953">
      <w:pPr>
        <w:pStyle w:val="SingleTxt"/>
        <w:spacing w:after="0" w:line="120" w:lineRule="exact"/>
        <w:rPr>
          <w:i/>
          <w:iCs/>
          <w:sz w:val="10"/>
          <w:lang w:val="fr-FR"/>
        </w:rPr>
      </w:pPr>
    </w:p>
    <w:p w14:paraId="6496A0CB" w14:textId="67892763" w:rsidR="00603A87" w:rsidRPr="00111F07" w:rsidRDefault="003D0953" w:rsidP="003D0953">
      <w:pPr>
        <w:pStyle w:val="FootnoteText"/>
        <w:tabs>
          <w:tab w:val="right" w:pos="1476"/>
          <w:tab w:val="left" w:pos="1548"/>
          <w:tab w:val="right" w:pos="1836"/>
          <w:tab w:val="left" w:pos="1908"/>
        </w:tabs>
        <w:ind w:left="1548" w:right="1267" w:hanging="288"/>
        <w:rPr>
          <w:lang w:val="fr-FR"/>
        </w:rPr>
      </w:pPr>
      <w:r w:rsidRPr="00111F07">
        <w:rPr>
          <w:lang w:val="fr-FR"/>
        </w:rPr>
        <w:tab/>
      </w:r>
      <w:r w:rsidR="00603A87" w:rsidRPr="00111F07">
        <w:rPr>
          <w:lang w:val="fr-FR"/>
        </w:rPr>
        <w:t>*</w:t>
      </w:r>
      <w:r w:rsidRPr="00111F07">
        <w:rPr>
          <w:lang w:val="fr-FR"/>
        </w:rPr>
        <w:tab/>
      </w:r>
      <w:r w:rsidR="00603A87" w:rsidRPr="00111F07">
        <w:rPr>
          <w:lang w:val="fr-FR"/>
        </w:rPr>
        <w:t>En 2017, 19 plaintes ont eu une autre issue (retrait, autre règlement du litige, etc.).</w:t>
      </w:r>
    </w:p>
    <w:p w14:paraId="01A3764C" w14:textId="4C58A3DF" w:rsidR="00603A87" w:rsidRPr="00111F07" w:rsidRDefault="003D0953" w:rsidP="003D0953">
      <w:pPr>
        <w:pStyle w:val="FootnoteText"/>
        <w:tabs>
          <w:tab w:val="right" w:pos="1476"/>
          <w:tab w:val="left" w:pos="1548"/>
          <w:tab w:val="right" w:pos="1836"/>
          <w:tab w:val="left" w:pos="1908"/>
        </w:tabs>
        <w:ind w:left="1548" w:right="1267" w:hanging="288"/>
        <w:rPr>
          <w:lang w:val="fr-FR"/>
        </w:rPr>
      </w:pPr>
      <w:r w:rsidRPr="00111F07">
        <w:rPr>
          <w:lang w:val="fr-FR"/>
        </w:rPr>
        <w:tab/>
        <w:t>*</w:t>
      </w:r>
      <w:r w:rsidRPr="00111F07">
        <w:rPr>
          <w:lang w:val="fr-FR"/>
        </w:rPr>
        <w:tab/>
      </w:r>
      <w:r w:rsidR="00603A87" w:rsidRPr="00111F07">
        <w:rPr>
          <w:lang w:val="fr-FR"/>
        </w:rPr>
        <w:t>En 2018, 15 plaintes ont eu une autre issue (retrait, autre règlement du litige, etc.).</w:t>
      </w:r>
    </w:p>
    <w:p w14:paraId="76FE0052" w14:textId="64F95443" w:rsidR="00603A87" w:rsidRPr="00111F07" w:rsidRDefault="003D0953" w:rsidP="003D0953">
      <w:pPr>
        <w:pStyle w:val="FootnoteText"/>
        <w:tabs>
          <w:tab w:val="right" w:pos="1476"/>
          <w:tab w:val="left" w:pos="1548"/>
          <w:tab w:val="right" w:pos="1836"/>
          <w:tab w:val="left" w:pos="1908"/>
        </w:tabs>
        <w:ind w:left="1548" w:right="1267" w:hanging="288"/>
        <w:rPr>
          <w:lang w:val="fr-FR"/>
        </w:rPr>
      </w:pPr>
      <w:r w:rsidRPr="00111F07">
        <w:rPr>
          <w:lang w:val="fr-FR"/>
        </w:rPr>
        <w:tab/>
        <w:t>*</w:t>
      </w:r>
      <w:r w:rsidRPr="00111F07">
        <w:rPr>
          <w:lang w:val="fr-FR"/>
        </w:rPr>
        <w:tab/>
      </w:r>
      <w:r w:rsidR="00603A87" w:rsidRPr="00111F07">
        <w:rPr>
          <w:lang w:val="fr-FR"/>
        </w:rPr>
        <w:t>En 2019, 18 plaintes ont eu une autre issue (retrait, autre règlement du litige, etc.).</w:t>
      </w:r>
    </w:p>
    <w:p w14:paraId="4C227D62" w14:textId="6230F9C8" w:rsidR="003D0953" w:rsidRPr="00111F07" w:rsidRDefault="003D0953" w:rsidP="003D0953">
      <w:pPr>
        <w:pStyle w:val="SingleTxt"/>
        <w:spacing w:after="0" w:line="120" w:lineRule="exact"/>
        <w:rPr>
          <w:sz w:val="10"/>
          <w:lang w:val="fr-FR"/>
        </w:rPr>
      </w:pPr>
    </w:p>
    <w:p w14:paraId="0BEB5E0D" w14:textId="5F83DDE1" w:rsidR="003D0953" w:rsidRPr="00111F07" w:rsidRDefault="003D0953" w:rsidP="003D0953">
      <w:pPr>
        <w:pStyle w:val="SingleTxt"/>
        <w:spacing w:after="0" w:line="120" w:lineRule="exact"/>
        <w:rPr>
          <w:sz w:val="10"/>
          <w:lang w:val="fr-FR"/>
        </w:rPr>
      </w:pPr>
    </w:p>
    <w:p w14:paraId="60E3F3AD" w14:textId="2408261E" w:rsidR="003D0953" w:rsidRPr="00111F07" w:rsidRDefault="003D0953" w:rsidP="003D0953">
      <w:pPr>
        <w:pStyle w:val="SingleTxt"/>
        <w:spacing w:after="0" w:line="120" w:lineRule="exact"/>
        <w:rPr>
          <w:sz w:val="10"/>
          <w:lang w:val="fr-FR"/>
        </w:rPr>
      </w:pPr>
    </w:p>
    <w:p w14:paraId="095F4B45" w14:textId="42A3E699" w:rsidR="00603A87" w:rsidRPr="00111F07" w:rsidRDefault="00603A87" w:rsidP="003D09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lastRenderedPageBreak/>
        <w:tab/>
      </w:r>
      <w:r w:rsidRPr="00111F07">
        <w:rPr>
          <w:lang w:val="fr-FR"/>
        </w:rPr>
        <w:tab/>
        <w:t>Réponse au paragraphe 5</w:t>
      </w:r>
    </w:p>
    <w:p w14:paraId="24D25007" w14:textId="3354EB38" w:rsidR="003D0953" w:rsidRPr="00111F07" w:rsidRDefault="003D0953" w:rsidP="003D0953">
      <w:pPr>
        <w:pStyle w:val="SingleTxt"/>
        <w:keepNext/>
        <w:spacing w:after="0" w:line="120" w:lineRule="exact"/>
        <w:rPr>
          <w:sz w:val="10"/>
          <w:lang w:val="fr-FR"/>
        </w:rPr>
      </w:pPr>
    </w:p>
    <w:p w14:paraId="5BD0928B" w14:textId="6B92B81C" w:rsidR="003D0953" w:rsidRPr="00111F07" w:rsidRDefault="003D0953" w:rsidP="003D0953">
      <w:pPr>
        <w:pStyle w:val="SingleTxt"/>
        <w:keepNext/>
        <w:spacing w:after="0" w:line="120" w:lineRule="exact"/>
        <w:rPr>
          <w:sz w:val="10"/>
          <w:lang w:val="fr-FR"/>
        </w:rPr>
      </w:pPr>
    </w:p>
    <w:p w14:paraId="27D7504A" w14:textId="4E1143D1" w:rsidR="00603A87" w:rsidRPr="00111F07" w:rsidRDefault="00603A87" w:rsidP="003D0953">
      <w:pPr>
        <w:pStyle w:val="SingleTxt"/>
        <w:keepNext/>
        <w:numPr>
          <w:ilvl w:val="0"/>
          <w:numId w:val="52"/>
        </w:numPr>
        <w:spacing w:line="240" w:lineRule="exact"/>
        <w:rPr>
          <w:lang w:val="fr-FR"/>
        </w:rPr>
      </w:pPr>
      <w:r w:rsidRPr="00111F07">
        <w:rPr>
          <w:lang w:val="fr-FR"/>
        </w:rPr>
        <w:t>Plusieurs campagnes et initiatives de sensibilisation et de lutte contre les stéréotypes ont été lancées depuis 2015, par exemple</w:t>
      </w:r>
      <w:r w:rsidR="007A3CEB" w:rsidRPr="00111F07">
        <w:rPr>
          <w:lang w:val="fr-FR"/>
        </w:rPr>
        <w:t> :</w:t>
      </w:r>
    </w:p>
    <w:p w14:paraId="0A2FDF88" w14:textId="2FF547EE" w:rsidR="00603A87" w:rsidRPr="00111F07" w:rsidRDefault="00603A87" w:rsidP="003D0953">
      <w:pPr>
        <w:pStyle w:val="SingleTxt"/>
        <w:numPr>
          <w:ilvl w:val="0"/>
          <w:numId w:val="52"/>
        </w:numPr>
        <w:spacing w:line="240" w:lineRule="exact"/>
        <w:rPr>
          <w:lang w:val="fr-FR"/>
        </w:rPr>
      </w:pPr>
      <w:r w:rsidRPr="00111F07">
        <w:rPr>
          <w:lang w:val="fr-FR"/>
        </w:rPr>
        <w:t>Durant la période 2018-2020, le Gouvernement mène une campagne de sensibilisation aux droits des femmes et de promotion de l</w:t>
      </w:r>
      <w:r w:rsidR="007A3CEB" w:rsidRPr="00111F07">
        <w:rPr>
          <w:lang w:val="fr-FR"/>
        </w:rPr>
        <w:t>’</w:t>
      </w:r>
      <w:r w:rsidRPr="00111F07">
        <w:rPr>
          <w:lang w:val="fr-FR"/>
        </w:rPr>
        <w:t>égalité des genres parmi les migrants, les réfugiés et les minorités ethniques. Les municipalités, les écoles de langues et les organisations non gouvernementales peuvent acquérir des modules d</w:t>
      </w:r>
      <w:r w:rsidR="007A3CEB" w:rsidRPr="00111F07">
        <w:rPr>
          <w:lang w:val="fr-FR"/>
        </w:rPr>
        <w:t>’</w:t>
      </w:r>
      <w:r w:rsidRPr="00111F07">
        <w:rPr>
          <w:lang w:val="fr-FR"/>
        </w:rPr>
        <w:t>enseignement gratuits. En 2019, une évaluation à mi-parcours a montré que la campagne avait réussi à atteindre le public cible et à l</w:t>
      </w:r>
      <w:r w:rsidR="007A3CEB" w:rsidRPr="00111F07">
        <w:rPr>
          <w:lang w:val="fr-FR"/>
        </w:rPr>
        <w:t>’</w:t>
      </w:r>
      <w:r w:rsidRPr="00111F07">
        <w:rPr>
          <w:lang w:val="fr-FR"/>
        </w:rPr>
        <w:t>inciter à changer d</w:t>
      </w:r>
      <w:r w:rsidR="007A3CEB" w:rsidRPr="00111F07">
        <w:rPr>
          <w:lang w:val="fr-FR"/>
        </w:rPr>
        <w:t>’</w:t>
      </w:r>
      <w:r w:rsidRPr="00111F07">
        <w:rPr>
          <w:lang w:val="fr-FR"/>
        </w:rPr>
        <w:t>attitude ou de comportement.</w:t>
      </w:r>
    </w:p>
    <w:p w14:paraId="699F242B" w14:textId="4B0FCBD4" w:rsidR="00603A87" w:rsidRPr="00111F07" w:rsidRDefault="00603A87" w:rsidP="003D0953">
      <w:pPr>
        <w:pStyle w:val="SingleTxt"/>
        <w:numPr>
          <w:ilvl w:val="0"/>
          <w:numId w:val="52"/>
        </w:numPr>
        <w:spacing w:line="240" w:lineRule="exact"/>
        <w:rPr>
          <w:lang w:val="fr-FR"/>
        </w:rPr>
      </w:pPr>
      <w:r w:rsidRPr="00111F07">
        <w:rPr>
          <w:lang w:val="fr-FR"/>
        </w:rPr>
        <w:t>La création d</w:t>
      </w:r>
      <w:r w:rsidR="007A3CEB" w:rsidRPr="00111F07">
        <w:rPr>
          <w:lang w:val="fr-FR"/>
        </w:rPr>
        <w:t>’</w:t>
      </w:r>
      <w:r w:rsidRPr="00111F07">
        <w:rPr>
          <w:lang w:val="fr-FR"/>
        </w:rPr>
        <w:t>un groupe de jeunes sur l</w:t>
      </w:r>
      <w:r w:rsidR="007A3CEB" w:rsidRPr="00111F07">
        <w:rPr>
          <w:lang w:val="fr-FR"/>
        </w:rPr>
        <w:t>’</w:t>
      </w:r>
      <w:r w:rsidRPr="00111F07">
        <w:rPr>
          <w:lang w:val="fr-FR"/>
        </w:rPr>
        <w:t>égalité des genres, qui offre à de jeunes militants une plateforme pour aider à définir les politiques d</w:t>
      </w:r>
      <w:r w:rsidR="007A3CEB" w:rsidRPr="00111F07">
        <w:rPr>
          <w:lang w:val="fr-FR"/>
        </w:rPr>
        <w:t>’</w:t>
      </w:r>
      <w:r w:rsidRPr="00111F07">
        <w:rPr>
          <w:lang w:val="fr-FR"/>
        </w:rPr>
        <w:t>égalité des genres. Le groupe se réunira dans le cadre de six ateliers et contribuera à la prochaine stratégie du Gouvernement en matière d</w:t>
      </w:r>
      <w:r w:rsidR="007A3CEB" w:rsidRPr="00111F07">
        <w:rPr>
          <w:lang w:val="fr-FR"/>
        </w:rPr>
        <w:t>’</w:t>
      </w:r>
      <w:r w:rsidRPr="00111F07">
        <w:rPr>
          <w:lang w:val="fr-FR"/>
        </w:rPr>
        <w:t>égalité des genres.</w:t>
      </w:r>
    </w:p>
    <w:p w14:paraId="193B7591" w14:textId="77259C7C" w:rsidR="00603A87" w:rsidRPr="00111F07" w:rsidRDefault="00603A87" w:rsidP="003D0953">
      <w:pPr>
        <w:pStyle w:val="SingleTxt"/>
        <w:numPr>
          <w:ilvl w:val="0"/>
          <w:numId w:val="52"/>
        </w:numPr>
        <w:spacing w:line="240" w:lineRule="exact"/>
        <w:rPr>
          <w:lang w:val="fr-FR"/>
        </w:rPr>
      </w:pPr>
      <w:r w:rsidRPr="00111F07">
        <w:rPr>
          <w:lang w:val="fr-FR"/>
        </w:rPr>
        <w:t xml:space="preserve">La campagne </w:t>
      </w:r>
      <w:r w:rsidR="003D0953" w:rsidRPr="00111F07">
        <w:rPr>
          <w:lang w:val="fr-FR"/>
        </w:rPr>
        <w:t>« </w:t>
      </w:r>
      <w:r w:rsidRPr="00111F07">
        <w:rPr>
          <w:lang w:val="fr-FR"/>
        </w:rPr>
        <w:t>Reach Out</w:t>
      </w:r>
      <w:r w:rsidR="003D0953" w:rsidRPr="00111F07">
        <w:rPr>
          <w:lang w:val="fr-FR"/>
        </w:rPr>
        <w:t> »</w:t>
      </w:r>
      <w:r w:rsidRPr="00111F07">
        <w:rPr>
          <w:lang w:val="fr-FR"/>
        </w:rPr>
        <w:t xml:space="preserve"> du Conseil de prévention de la criminalité, qui comprenait une série de documentaires de 10 épisodes et visait à prévenir la violence psychologique au sein du couple en fournissant des informations sur la violence psychologique et ses conséquences ainsi que sur les services de soutien pour les victimes et les auteurs.</w:t>
      </w:r>
    </w:p>
    <w:p w14:paraId="1919FD64" w14:textId="5205470F" w:rsidR="00603A87" w:rsidRPr="00111F07" w:rsidRDefault="00603A87" w:rsidP="003D0953">
      <w:pPr>
        <w:pStyle w:val="SingleTxt"/>
        <w:numPr>
          <w:ilvl w:val="0"/>
          <w:numId w:val="52"/>
        </w:numPr>
        <w:spacing w:line="240" w:lineRule="exact"/>
        <w:rPr>
          <w:lang w:val="fr-FR"/>
        </w:rPr>
      </w:pPr>
      <w:r w:rsidRPr="00111F07">
        <w:rPr>
          <w:lang w:val="fr-FR"/>
        </w:rPr>
        <w:t>Une série d</w:t>
      </w:r>
      <w:r w:rsidR="007A3CEB" w:rsidRPr="00111F07">
        <w:rPr>
          <w:lang w:val="fr-FR"/>
        </w:rPr>
        <w:t>’</w:t>
      </w:r>
      <w:r w:rsidRPr="00111F07">
        <w:rPr>
          <w:lang w:val="fr-FR"/>
        </w:rPr>
        <w:t>initiatives de l</w:t>
      </w:r>
      <w:r w:rsidR="007A3CEB" w:rsidRPr="00111F07">
        <w:rPr>
          <w:lang w:val="fr-FR"/>
        </w:rPr>
        <w:t>’</w:t>
      </w:r>
      <w:r w:rsidRPr="00111F07">
        <w:rPr>
          <w:lang w:val="fr-FR"/>
        </w:rPr>
        <w:t>Institut danois du cinéma</w:t>
      </w:r>
      <w:r w:rsidR="007A3CEB" w:rsidRPr="00111F07">
        <w:rPr>
          <w:lang w:val="fr-FR"/>
        </w:rPr>
        <w:t xml:space="preserve"> </w:t>
      </w:r>
      <w:r w:rsidRPr="00111F07">
        <w:rPr>
          <w:lang w:val="fr-FR"/>
        </w:rPr>
        <w:t>pour accroître le nombre de femmes devant et derrière la caméra. Le suivi et l</w:t>
      </w:r>
      <w:r w:rsidR="007A3CEB" w:rsidRPr="00111F07">
        <w:rPr>
          <w:lang w:val="fr-FR"/>
        </w:rPr>
        <w:t>’</w:t>
      </w:r>
      <w:r w:rsidRPr="00111F07">
        <w:rPr>
          <w:lang w:val="fr-FR"/>
        </w:rPr>
        <w:t>évaluation ont montré que ces initiatives ont eu un effet, notamment en ce qui concerne le nombre de femmes à l</w:t>
      </w:r>
      <w:r w:rsidR="007A3CEB" w:rsidRPr="00111F07">
        <w:rPr>
          <w:lang w:val="fr-FR"/>
        </w:rPr>
        <w:t>’</w:t>
      </w:r>
      <w:r w:rsidRPr="00111F07">
        <w:rPr>
          <w:lang w:val="fr-FR"/>
        </w:rPr>
        <w:t>écran dans les films.</w:t>
      </w:r>
    </w:p>
    <w:p w14:paraId="151AA445" w14:textId="4AB0DB38" w:rsidR="00603A87" w:rsidRPr="00111F07" w:rsidRDefault="00603A87" w:rsidP="003D0953">
      <w:pPr>
        <w:pStyle w:val="SingleTxt"/>
        <w:numPr>
          <w:ilvl w:val="0"/>
          <w:numId w:val="52"/>
        </w:numPr>
        <w:spacing w:line="240" w:lineRule="exact"/>
        <w:rPr>
          <w:lang w:val="fr-FR"/>
        </w:rPr>
      </w:pPr>
      <w:r w:rsidRPr="00111F07">
        <w:rPr>
          <w:lang w:val="fr-FR"/>
        </w:rPr>
        <w:t>Le Conservatoire de musique rythmique s</w:t>
      </w:r>
      <w:r w:rsidR="007A3CEB" w:rsidRPr="00111F07">
        <w:rPr>
          <w:lang w:val="fr-FR"/>
        </w:rPr>
        <w:t>’</w:t>
      </w:r>
      <w:r w:rsidRPr="00111F07">
        <w:rPr>
          <w:lang w:val="fr-FR"/>
        </w:rPr>
        <w:t>efforce de faire en sorte qu</w:t>
      </w:r>
      <w:r w:rsidR="007A3CEB" w:rsidRPr="00111F07">
        <w:rPr>
          <w:lang w:val="fr-FR"/>
        </w:rPr>
        <w:t>’</w:t>
      </w:r>
      <w:r w:rsidRPr="00111F07">
        <w:rPr>
          <w:lang w:val="fr-FR"/>
        </w:rPr>
        <w:t>il y ait un plus grand pourcentage de candidates grâce à sa politique d</w:t>
      </w:r>
      <w:r w:rsidR="007A3CEB" w:rsidRPr="00111F07">
        <w:rPr>
          <w:lang w:val="fr-FR"/>
        </w:rPr>
        <w:t>’</w:t>
      </w:r>
      <w:r w:rsidRPr="00111F07">
        <w:rPr>
          <w:lang w:val="fr-FR"/>
        </w:rPr>
        <w:t>égalité des genres. Il espère atteindre 30</w:t>
      </w:r>
      <w:r w:rsidR="007A3CEB" w:rsidRPr="00111F07">
        <w:rPr>
          <w:lang w:val="fr-FR"/>
        </w:rPr>
        <w:t> %</w:t>
      </w:r>
      <w:r w:rsidRPr="00111F07">
        <w:rPr>
          <w:lang w:val="fr-FR"/>
        </w:rPr>
        <w:t xml:space="preserve"> de femmes parmi les candidats, en 2022.</w:t>
      </w:r>
    </w:p>
    <w:p w14:paraId="3A1CB4B9" w14:textId="4E306038" w:rsidR="00603A87" w:rsidRPr="00111F07" w:rsidRDefault="00603A87" w:rsidP="003D0953">
      <w:pPr>
        <w:pStyle w:val="SingleTxt"/>
        <w:numPr>
          <w:ilvl w:val="0"/>
          <w:numId w:val="52"/>
        </w:numPr>
        <w:spacing w:line="240" w:lineRule="exact"/>
        <w:rPr>
          <w:lang w:val="fr-FR"/>
        </w:rPr>
      </w:pPr>
      <w:r w:rsidRPr="00111F07">
        <w:rPr>
          <w:lang w:val="fr-FR"/>
        </w:rPr>
        <w:t>Le Théâtre royal du Danemark signale que, durant les auditions pour obtenir une place permanente au sein de la Chapelle royale, les candidats jouent derrière un écran lors des deux premiers tours préliminaires afin de rester anonymes et qu</w:t>
      </w:r>
      <w:r w:rsidR="007A3CEB" w:rsidRPr="00111F07">
        <w:rPr>
          <w:lang w:val="fr-FR"/>
        </w:rPr>
        <w:t>’</w:t>
      </w:r>
      <w:r w:rsidRPr="00111F07">
        <w:rPr>
          <w:lang w:val="fr-FR"/>
        </w:rPr>
        <w:t>aucune information ne soit donnée sur leur sexe. Au 1</w:t>
      </w:r>
      <w:r w:rsidRPr="00111F07">
        <w:rPr>
          <w:vertAlign w:val="superscript"/>
          <w:lang w:val="fr-FR"/>
        </w:rPr>
        <w:t>er</w:t>
      </w:r>
      <w:r w:rsidRPr="00111F07">
        <w:rPr>
          <w:lang w:val="fr-FR"/>
        </w:rPr>
        <w:t xml:space="preserve"> janvier 2020, la Chapelle royale compte 47 femmes et 53 hommes parmi ses membres permanents.</w:t>
      </w:r>
    </w:p>
    <w:p w14:paraId="7A4DE5E2" w14:textId="78F132C9" w:rsidR="00603A87" w:rsidRPr="00111F07" w:rsidRDefault="00603A87" w:rsidP="003D0953">
      <w:pPr>
        <w:pStyle w:val="SingleTxt"/>
        <w:numPr>
          <w:ilvl w:val="0"/>
          <w:numId w:val="52"/>
        </w:numPr>
        <w:spacing w:line="240" w:lineRule="exact"/>
        <w:rPr>
          <w:lang w:val="fr-FR"/>
        </w:rPr>
      </w:pPr>
      <w:r w:rsidRPr="00111F07">
        <w:rPr>
          <w:lang w:val="fr-FR"/>
        </w:rPr>
        <w:t>Dans le sillage de la charte sur la diversité, que le Comité pour la musique de la Fondation danoise des arts a publiée en 2016, un certain nombre d</w:t>
      </w:r>
      <w:r w:rsidR="007A3CEB" w:rsidRPr="00111F07">
        <w:rPr>
          <w:lang w:val="fr-FR"/>
        </w:rPr>
        <w:t>’</w:t>
      </w:r>
      <w:r w:rsidRPr="00111F07">
        <w:rPr>
          <w:lang w:val="fr-FR"/>
        </w:rPr>
        <w:t>organisations musicales ont fait de l</w:t>
      </w:r>
      <w:r w:rsidR="007A3CEB" w:rsidRPr="00111F07">
        <w:rPr>
          <w:lang w:val="fr-FR"/>
        </w:rPr>
        <w:t>’</w:t>
      </w:r>
      <w:r w:rsidRPr="00111F07">
        <w:rPr>
          <w:lang w:val="fr-FR"/>
        </w:rPr>
        <w:t>égalité des genres une priorité.</w:t>
      </w:r>
    </w:p>
    <w:p w14:paraId="58363F08" w14:textId="341CF30B" w:rsidR="003D0953" w:rsidRPr="00111F07" w:rsidRDefault="003D0953" w:rsidP="003D0953">
      <w:pPr>
        <w:pStyle w:val="SingleTxt"/>
        <w:spacing w:after="0" w:line="120" w:lineRule="exact"/>
        <w:rPr>
          <w:sz w:val="10"/>
          <w:lang w:val="fr-FR"/>
        </w:rPr>
      </w:pPr>
    </w:p>
    <w:p w14:paraId="55A4BE5E" w14:textId="2C280008" w:rsidR="003D0953" w:rsidRPr="00111F07" w:rsidRDefault="003D0953" w:rsidP="003D0953">
      <w:pPr>
        <w:pStyle w:val="SingleTxt"/>
        <w:spacing w:after="0" w:line="120" w:lineRule="exact"/>
        <w:rPr>
          <w:sz w:val="10"/>
          <w:lang w:val="fr-FR"/>
        </w:rPr>
      </w:pPr>
    </w:p>
    <w:p w14:paraId="197916A6" w14:textId="0FA21ACF" w:rsidR="00603A87" w:rsidRPr="00111F07" w:rsidRDefault="00603A87" w:rsidP="003D09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6</w:t>
      </w:r>
    </w:p>
    <w:p w14:paraId="58EB3DA1" w14:textId="53A83FCD" w:rsidR="003D0953" w:rsidRPr="00111F07" w:rsidRDefault="003D0953" w:rsidP="003D0953">
      <w:pPr>
        <w:pStyle w:val="SingleTxt"/>
        <w:spacing w:after="0" w:line="120" w:lineRule="exact"/>
        <w:rPr>
          <w:sz w:val="10"/>
          <w:lang w:val="fr-FR"/>
        </w:rPr>
      </w:pPr>
    </w:p>
    <w:p w14:paraId="78A46E0A" w14:textId="571E7C47" w:rsidR="003D0953" w:rsidRPr="00111F07" w:rsidRDefault="003D0953" w:rsidP="003D0953">
      <w:pPr>
        <w:pStyle w:val="SingleTxt"/>
        <w:spacing w:after="0" w:line="120" w:lineRule="exact"/>
        <w:rPr>
          <w:sz w:val="10"/>
          <w:lang w:val="fr-FR"/>
        </w:rPr>
      </w:pPr>
    </w:p>
    <w:p w14:paraId="5566A868" w14:textId="4C7484E5" w:rsidR="00603A87" w:rsidRPr="00111F07" w:rsidRDefault="00603A87" w:rsidP="003D0953">
      <w:pPr>
        <w:pStyle w:val="SingleTxt"/>
        <w:numPr>
          <w:ilvl w:val="0"/>
          <w:numId w:val="52"/>
        </w:numPr>
        <w:spacing w:line="240" w:lineRule="exact"/>
        <w:rPr>
          <w:lang w:val="fr-FR"/>
        </w:rPr>
      </w:pPr>
      <w:r w:rsidRPr="00111F07">
        <w:rPr>
          <w:lang w:val="fr-FR"/>
        </w:rPr>
        <w:t>Au début de l</w:t>
      </w:r>
      <w:r w:rsidR="007A3CEB" w:rsidRPr="00111F07">
        <w:rPr>
          <w:lang w:val="fr-FR"/>
        </w:rPr>
        <w:t>’</w:t>
      </w:r>
      <w:r w:rsidRPr="00111F07">
        <w:rPr>
          <w:lang w:val="fr-FR"/>
        </w:rPr>
        <w:t>année 2020, une campagne sur le harcèlement en ligne a été lancée à l</w:t>
      </w:r>
      <w:r w:rsidR="007A3CEB" w:rsidRPr="00111F07">
        <w:rPr>
          <w:lang w:val="fr-FR"/>
        </w:rPr>
        <w:t>’</w:t>
      </w:r>
      <w:r w:rsidRPr="00111F07">
        <w:rPr>
          <w:lang w:val="fr-FR"/>
        </w:rPr>
        <w:t>intention des jeunes, informant des peines encourues en cas de partage non consenti d</w:t>
      </w:r>
      <w:r w:rsidR="007A3CEB" w:rsidRPr="00111F07">
        <w:rPr>
          <w:lang w:val="fr-FR"/>
        </w:rPr>
        <w:t>’</w:t>
      </w:r>
      <w:r w:rsidRPr="00111F07">
        <w:rPr>
          <w:lang w:val="fr-FR"/>
        </w:rPr>
        <w:t>images à caractère sexuel, de menaces en ligne, de piratage, de faux profils de rencontre, d</w:t>
      </w:r>
      <w:r w:rsidR="007A3CEB" w:rsidRPr="00111F07">
        <w:rPr>
          <w:lang w:val="fr-FR"/>
        </w:rPr>
        <w:t>’</w:t>
      </w:r>
      <w:r w:rsidRPr="00111F07">
        <w:rPr>
          <w:lang w:val="fr-FR"/>
        </w:rPr>
        <w:t>exhibition sexuelle en ligne et de manipulation d</w:t>
      </w:r>
      <w:r w:rsidR="007A3CEB" w:rsidRPr="00111F07">
        <w:rPr>
          <w:lang w:val="fr-FR"/>
        </w:rPr>
        <w:t>’</w:t>
      </w:r>
      <w:r w:rsidRPr="00111F07">
        <w:rPr>
          <w:lang w:val="fr-FR"/>
        </w:rPr>
        <w:t>images pornographiques.</w:t>
      </w:r>
    </w:p>
    <w:p w14:paraId="5E579045" w14:textId="72D3B50D" w:rsidR="00603A87" w:rsidRPr="00111F07" w:rsidRDefault="00603A87" w:rsidP="003D0953">
      <w:pPr>
        <w:pStyle w:val="SingleTxt"/>
        <w:numPr>
          <w:ilvl w:val="0"/>
          <w:numId w:val="52"/>
        </w:numPr>
        <w:spacing w:line="240" w:lineRule="exact"/>
        <w:rPr>
          <w:lang w:val="fr-FR"/>
        </w:rPr>
      </w:pPr>
      <w:r w:rsidRPr="00111F07">
        <w:rPr>
          <w:lang w:val="fr-FR"/>
        </w:rPr>
        <w:t>Depuis 2015, deux personnes ont été condamnées pour mutilations génitales féminines. L</w:t>
      </w:r>
      <w:r w:rsidR="007A3CEB" w:rsidRPr="00111F07">
        <w:rPr>
          <w:lang w:val="fr-FR"/>
        </w:rPr>
        <w:t>’</w:t>
      </w:r>
      <w:r w:rsidRPr="00111F07">
        <w:rPr>
          <w:lang w:val="fr-FR"/>
        </w:rPr>
        <w:t>affaire concernait les parents de deux filles âgées de 8 et 15 ans. La police a reçu 12 signalements de mutilations génitales féminines entre 2015 et 2019, et 690 plaintes pour crime d</w:t>
      </w:r>
      <w:r w:rsidR="007A3CEB" w:rsidRPr="00111F07">
        <w:rPr>
          <w:lang w:val="fr-FR"/>
        </w:rPr>
        <w:t>’</w:t>
      </w:r>
      <w:r w:rsidRPr="00111F07">
        <w:rPr>
          <w:lang w:val="fr-FR"/>
        </w:rPr>
        <w:t>honneur entre 2015 et 2018. Ces données ne sont pas ventilées par sexe, car cela supposerait d</w:t>
      </w:r>
      <w:r w:rsidR="007A3CEB" w:rsidRPr="00111F07">
        <w:rPr>
          <w:lang w:val="fr-FR"/>
        </w:rPr>
        <w:t>’</w:t>
      </w:r>
      <w:r w:rsidRPr="00111F07">
        <w:rPr>
          <w:lang w:val="fr-FR"/>
        </w:rPr>
        <w:t>analyser les cas individuellement.</w:t>
      </w:r>
    </w:p>
    <w:p w14:paraId="604695E2" w14:textId="0C26D50F" w:rsidR="00603A87" w:rsidRPr="00111F07" w:rsidRDefault="00603A87" w:rsidP="003D0953">
      <w:pPr>
        <w:pStyle w:val="SingleTxt"/>
        <w:numPr>
          <w:ilvl w:val="0"/>
          <w:numId w:val="52"/>
        </w:numPr>
        <w:spacing w:line="240" w:lineRule="exact"/>
        <w:rPr>
          <w:lang w:val="fr-FR"/>
        </w:rPr>
      </w:pPr>
      <w:r w:rsidRPr="00111F07">
        <w:rPr>
          <w:lang w:val="fr-FR"/>
        </w:rPr>
        <w:lastRenderedPageBreak/>
        <w:t>Le Parlement danois a adopté à l</w:t>
      </w:r>
      <w:r w:rsidR="007A3CEB" w:rsidRPr="00111F07">
        <w:rPr>
          <w:lang w:val="fr-FR"/>
        </w:rPr>
        <w:t>’</w:t>
      </w:r>
      <w:r w:rsidRPr="00111F07">
        <w:rPr>
          <w:lang w:val="fr-FR"/>
        </w:rPr>
        <w:t>unanimité la loi interdisant l</w:t>
      </w:r>
      <w:r w:rsidR="007A3CEB" w:rsidRPr="00111F07">
        <w:rPr>
          <w:lang w:val="fr-FR"/>
        </w:rPr>
        <w:t>’</w:t>
      </w:r>
      <w:r w:rsidRPr="00111F07">
        <w:rPr>
          <w:lang w:val="fr-FR"/>
        </w:rPr>
        <w:t>hyménoplastie, la mise en place d</w:t>
      </w:r>
      <w:r w:rsidR="007A3CEB" w:rsidRPr="00111F07">
        <w:rPr>
          <w:lang w:val="fr-FR"/>
        </w:rPr>
        <w:t>’</w:t>
      </w:r>
      <w:r w:rsidRPr="00111F07">
        <w:rPr>
          <w:lang w:val="fr-FR"/>
        </w:rPr>
        <w:t>un hymen artificiel, le 4 avril 2019. Toute infraction à cette nouvelle loi est passible d</w:t>
      </w:r>
      <w:r w:rsidR="007A3CEB" w:rsidRPr="00111F07">
        <w:rPr>
          <w:lang w:val="fr-FR"/>
        </w:rPr>
        <w:t>’</w:t>
      </w:r>
      <w:r w:rsidRPr="00111F07">
        <w:rPr>
          <w:lang w:val="fr-FR"/>
        </w:rPr>
        <w:t>une amende d</w:t>
      </w:r>
      <w:r w:rsidR="007A3CEB" w:rsidRPr="00111F07">
        <w:rPr>
          <w:lang w:val="fr-FR"/>
        </w:rPr>
        <w:t>’</w:t>
      </w:r>
      <w:r w:rsidRPr="00111F07">
        <w:rPr>
          <w:lang w:val="fr-FR"/>
        </w:rPr>
        <w:t>au moins 10 000 couronnes danoises. La loi est entrée en vigueur le 1</w:t>
      </w:r>
      <w:r w:rsidRPr="00DF7ED2">
        <w:rPr>
          <w:vertAlign w:val="superscript"/>
          <w:lang w:val="fr-FR"/>
        </w:rPr>
        <w:t xml:space="preserve">er </w:t>
      </w:r>
      <w:r w:rsidRPr="00111F07">
        <w:rPr>
          <w:lang w:val="fr-FR"/>
        </w:rPr>
        <w:t>juillet 2019.</w:t>
      </w:r>
    </w:p>
    <w:p w14:paraId="48C84BFB" w14:textId="4717CA7A" w:rsidR="003D0953" w:rsidRPr="00111F07" w:rsidRDefault="003D0953" w:rsidP="003D0953">
      <w:pPr>
        <w:pStyle w:val="SingleTxt"/>
        <w:spacing w:after="0" w:line="120" w:lineRule="exact"/>
        <w:rPr>
          <w:sz w:val="10"/>
          <w:lang w:val="fr-FR"/>
        </w:rPr>
      </w:pPr>
    </w:p>
    <w:p w14:paraId="76BF928B" w14:textId="2E65D1BD" w:rsidR="003D0953" w:rsidRPr="00111F07" w:rsidRDefault="003D0953" w:rsidP="003D0953">
      <w:pPr>
        <w:pStyle w:val="SingleTxt"/>
        <w:spacing w:after="0" w:line="120" w:lineRule="exact"/>
        <w:rPr>
          <w:sz w:val="10"/>
          <w:lang w:val="fr-FR"/>
        </w:rPr>
      </w:pPr>
    </w:p>
    <w:p w14:paraId="0EF0F1BF" w14:textId="04A02C65" w:rsidR="00603A87" w:rsidRPr="00111F07" w:rsidRDefault="00603A87" w:rsidP="003D09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Violence à l</w:t>
      </w:r>
      <w:r w:rsidR="007A3CEB" w:rsidRPr="00111F07">
        <w:rPr>
          <w:lang w:val="fr-FR"/>
        </w:rPr>
        <w:t>’</w:t>
      </w:r>
      <w:r w:rsidRPr="00111F07">
        <w:rPr>
          <w:lang w:val="fr-FR"/>
        </w:rPr>
        <w:t>égard des femmes fondée sur le genre</w:t>
      </w:r>
    </w:p>
    <w:p w14:paraId="0FD3E0B5" w14:textId="4E603434" w:rsidR="003D0953" w:rsidRPr="00111F07" w:rsidRDefault="003D0953" w:rsidP="003D0953">
      <w:pPr>
        <w:pStyle w:val="SingleTxt"/>
        <w:spacing w:after="0" w:line="120" w:lineRule="exact"/>
        <w:rPr>
          <w:sz w:val="10"/>
          <w:lang w:val="fr-FR"/>
        </w:rPr>
      </w:pPr>
    </w:p>
    <w:p w14:paraId="5BBF8E6C" w14:textId="5EC7B5C6" w:rsidR="003D0953" w:rsidRPr="00111F07" w:rsidRDefault="003D0953" w:rsidP="003D0953">
      <w:pPr>
        <w:pStyle w:val="SingleTxt"/>
        <w:spacing w:after="0" w:line="120" w:lineRule="exact"/>
        <w:rPr>
          <w:sz w:val="10"/>
          <w:lang w:val="fr-FR"/>
        </w:rPr>
      </w:pPr>
    </w:p>
    <w:p w14:paraId="4C76DC6A" w14:textId="4C424D01" w:rsidR="00603A87" w:rsidRPr="00111F07" w:rsidRDefault="00603A87" w:rsidP="003D09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7</w:t>
      </w:r>
    </w:p>
    <w:p w14:paraId="2690EB7E" w14:textId="22FE8B84" w:rsidR="003D0953" w:rsidRPr="00111F07" w:rsidRDefault="003D0953" w:rsidP="003D0953">
      <w:pPr>
        <w:pStyle w:val="SingleTxt"/>
        <w:spacing w:after="0" w:line="120" w:lineRule="exact"/>
        <w:rPr>
          <w:sz w:val="10"/>
          <w:lang w:val="fr-FR"/>
        </w:rPr>
      </w:pPr>
    </w:p>
    <w:p w14:paraId="1A3B1A0D" w14:textId="77777777" w:rsidR="003D0953" w:rsidRPr="00111F07" w:rsidRDefault="003D0953" w:rsidP="003D0953">
      <w:pPr>
        <w:pStyle w:val="SingleTxt"/>
        <w:spacing w:after="0" w:line="120" w:lineRule="exact"/>
        <w:rPr>
          <w:sz w:val="10"/>
          <w:lang w:val="fr-FR"/>
        </w:rPr>
      </w:pPr>
    </w:p>
    <w:p w14:paraId="48C5834B" w14:textId="7FBABD72" w:rsidR="00C87D14" w:rsidRPr="00111F07" w:rsidRDefault="00603A87" w:rsidP="003D0953">
      <w:pPr>
        <w:pStyle w:val="SingleTxt"/>
        <w:numPr>
          <w:ilvl w:val="0"/>
          <w:numId w:val="52"/>
        </w:numPr>
        <w:spacing w:line="240" w:lineRule="exact"/>
        <w:rPr>
          <w:lang w:val="fr-FR"/>
        </w:rPr>
      </w:pPr>
      <w:r w:rsidRPr="00111F07">
        <w:rPr>
          <w:lang w:val="fr-FR"/>
        </w:rPr>
        <w:t>Un groupe de travail interministériel sur la violence faite aux femmes et la violence au sein du couple est chargé de coordonner la collecte de données sur ces types de violence.</w:t>
      </w:r>
    </w:p>
    <w:p w14:paraId="56DE36F9" w14:textId="57AAC1A4" w:rsidR="00603A87" w:rsidRPr="00111F07" w:rsidRDefault="00603A87" w:rsidP="003D0953">
      <w:pPr>
        <w:pStyle w:val="SingleTxt"/>
        <w:numPr>
          <w:ilvl w:val="0"/>
          <w:numId w:val="52"/>
        </w:numPr>
        <w:spacing w:line="240" w:lineRule="exact"/>
        <w:rPr>
          <w:lang w:val="fr-FR"/>
        </w:rPr>
      </w:pPr>
      <w:r w:rsidRPr="00111F07">
        <w:rPr>
          <w:lang w:val="fr-FR"/>
        </w:rPr>
        <w:t>Le groupe de travail interministériel a coordonné la mise en œuvre de cinq plans d</w:t>
      </w:r>
      <w:r w:rsidR="007A3CEB" w:rsidRPr="00111F07">
        <w:rPr>
          <w:lang w:val="fr-FR"/>
        </w:rPr>
        <w:t>’</w:t>
      </w:r>
      <w:r w:rsidRPr="00111F07">
        <w:rPr>
          <w:lang w:val="fr-FR"/>
        </w:rPr>
        <w:t>action nationaux, qui ont inclus des études nationales sur la prévalence de la violence et du viol au sein du couple et une analyse de l</w:t>
      </w:r>
      <w:r w:rsidR="007A3CEB" w:rsidRPr="00111F07">
        <w:rPr>
          <w:lang w:val="fr-FR"/>
        </w:rPr>
        <w:t>’</w:t>
      </w:r>
      <w:r w:rsidRPr="00111F07">
        <w:rPr>
          <w:lang w:val="fr-FR"/>
        </w:rPr>
        <w:t>évolution de la prévalence dans le temps. Des études ont été publiées en 2005, 2010 et 2017 et la prochaine le sera en 2022. La prochaine étude ventilera les données selon l</w:t>
      </w:r>
      <w:r w:rsidR="007A3CEB" w:rsidRPr="00111F07">
        <w:rPr>
          <w:lang w:val="fr-FR"/>
        </w:rPr>
        <w:t>’</w:t>
      </w:r>
      <w:r w:rsidRPr="00111F07">
        <w:rPr>
          <w:lang w:val="fr-FR"/>
        </w:rPr>
        <w:t>âge, l</w:t>
      </w:r>
      <w:r w:rsidR="007A3CEB" w:rsidRPr="00111F07">
        <w:rPr>
          <w:lang w:val="fr-FR"/>
        </w:rPr>
        <w:t>’</w:t>
      </w:r>
      <w:r w:rsidRPr="00111F07">
        <w:rPr>
          <w:lang w:val="fr-FR"/>
        </w:rPr>
        <w:t>appartenance ethnique, l</w:t>
      </w:r>
      <w:r w:rsidR="007A3CEB" w:rsidRPr="00111F07">
        <w:rPr>
          <w:lang w:val="fr-FR"/>
        </w:rPr>
        <w:t>’</w:t>
      </w:r>
      <w:r w:rsidRPr="00111F07">
        <w:rPr>
          <w:lang w:val="fr-FR"/>
        </w:rPr>
        <w:t>état civil, la région, l</w:t>
      </w:r>
      <w:r w:rsidR="007A3CEB" w:rsidRPr="00111F07">
        <w:rPr>
          <w:lang w:val="fr-FR"/>
        </w:rPr>
        <w:t>’</w:t>
      </w:r>
      <w:r w:rsidRPr="00111F07">
        <w:rPr>
          <w:lang w:val="fr-FR"/>
        </w:rPr>
        <w:t>éducation, la situation professionnelle et le lien entre la victime et l</w:t>
      </w:r>
      <w:r w:rsidR="007A3CEB" w:rsidRPr="00111F07">
        <w:rPr>
          <w:lang w:val="fr-FR"/>
        </w:rPr>
        <w:t>’</w:t>
      </w:r>
      <w:r w:rsidRPr="00111F07">
        <w:rPr>
          <w:lang w:val="fr-FR"/>
        </w:rPr>
        <w:t>auteur des faits.</w:t>
      </w:r>
    </w:p>
    <w:p w14:paraId="25EFD2F0" w14:textId="3F2AF11A" w:rsidR="00603A87" w:rsidRPr="00111F07" w:rsidRDefault="00603A87" w:rsidP="003D0953">
      <w:pPr>
        <w:pStyle w:val="SingleTxt"/>
        <w:numPr>
          <w:ilvl w:val="0"/>
          <w:numId w:val="52"/>
        </w:numPr>
        <w:spacing w:line="240" w:lineRule="exact"/>
        <w:rPr>
          <w:lang w:val="fr-FR"/>
        </w:rPr>
      </w:pPr>
      <w:r w:rsidRPr="00111F07">
        <w:rPr>
          <w:lang w:val="fr-FR"/>
        </w:rPr>
        <w:t>La Police nationale danoise et les services de statistiques (Statistics Denmark) travaillent sur un projet visant à accumuler des données sur les types de relations entre les victimes et les auteurs des faits dans les systèmes de données de la police. Cela permettra de recueillir des données qui documentent l</w:t>
      </w:r>
      <w:r w:rsidR="007A3CEB" w:rsidRPr="00111F07">
        <w:rPr>
          <w:lang w:val="fr-FR"/>
        </w:rPr>
        <w:t>’</w:t>
      </w:r>
      <w:r w:rsidRPr="00111F07">
        <w:rPr>
          <w:lang w:val="fr-FR"/>
        </w:rPr>
        <w:t>ampleur de la violence au sein du couple au Danemark, y compris l</w:t>
      </w:r>
      <w:r w:rsidR="007A3CEB" w:rsidRPr="00111F07">
        <w:rPr>
          <w:lang w:val="fr-FR"/>
        </w:rPr>
        <w:t>’</w:t>
      </w:r>
      <w:r w:rsidRPr="00111F07">
        <w:rPr>
          <w:lang w:val="fr-FR"/>
        </w:rPr>
        <w:t>âge et la nationalité des victimes et des auteurs de violences.</w:t>
      </w:r>
    </w:p>
    <w:p w14:paraId="7C7C0AEA" w14:textId="2DDA7ACE" w:rsidR="00603A87" w:rsidRPr="00111F07" w:rsidRDefault="00603A87" w:rsidP="003D0953">
      <w:pPr>
        <w:pStyle w:val="SingleTxt"/>
        <w:numPr>
          <w:ilvl w:val="0"/>
          <w:numId w:val="52"/>
        </w:numPr>
        <w:spacing w:line="240" w:lineRule="exact"/>
        <w:rPr>
          <w:lang w:val="fr-FR"/>
        </w:rPr>
      </w:pPr>
      <w:r w:rsidRPr="00111F07">
        <w:rPr>
          <w:lang w:val="fr-FR"/>
        </w:rPr>
        <w:t>La police groenlandaise et la police des Îles Féroé ne disposent pas d</w:t>
      </w:r>
      <w:r w:rsidR="007A3CEB" w:rsidRPr="00111F07">
        <w:rPr>
          <w:lang w:val="fr-FR"/>
        </w:rPr>
        <w:t>’</w:t>
      </w:r>
      <w:r w:rsidRPr="00111F07">
        <w:rPr>
          <w:lang w:val="fr-FR"/>
        </w:rPr>
        <w:t>un mécanisme unifié de collecte de données tel que décrit.</w:t>
      </w:r>
    </w:p>
    <w:p w14:paraId="3DBBA905" w14:textId="07200A39" w:rsidR="00603A87" w:rsidRPr="00111F07" w:rsidRDefault="00603A87" w:rsidP="003D0953">
      <w:pPr>
        <w:pStyle w:val="SingleTxt"/>
        <w:numPr>
          <w:ilvl w:val="0"/>
          <w:numId w:val="52"/>
        </w:numPr>
        <w:spacing w:line="240" w:lineRule="exact"/>
        <w:rPr>
          <w:lang w:val="fr-FR"/>
        </w:rPr>
      </w:pPr>
      <w:r w:rsidRPr="00111F07">
        <w:rPr>
          <w:lang w:val="fr-FR"/>
        </w:rPr>
        <w:t>Le Ministère de la justice mène chaque année une enquête sur le risque de devenir la victime de certains crimes au Danemark, comme par exemple la violence. Cette étude comprend des informations sur le sexe de la victime et sur le fait de savoir si l</w:t>
      </w:r>
      <w:r w:rsidR="007A3CEB" w:rsidRPr="00111F07">
        <w:rPr>
          <w:lang w:val="fr-FR"/>
        </w:rPr>
        <w:t>’</w:t>
      </w:r>
      <w:r w:rsidRPr="00111F07">
        <w:rPr>
          <w:lang w:val="fr-FR"/>
        </w:rPr>
        <w:t>agresseur était un partenaire actuel ou ancien au sein du couple.</w:t>
      </w:r>
    </w:p>
    <w:p w14:paraId="635001F3" w14:textId="474BF2BE" w:rsidR="00603A87" w:rsidRPr="007978B6" w:rsidRDefault="00603A87" w:rsidP="003D0953">
      <w:pPr>
        <w:pStyle w:val="SingleTxt"/>
        <w:numPr>
          <w:ilvl w:val="0"/>
          <w:numId w:val="52"/>
        </w:numPr>
        <w:spacing w:line="240" w:lineRule="exact"/>
        <w:rPr>
          <w:lang w:val="fr-FR"/>
        </w:rPr>
      </w:pPr>
      <w:r w:rsidRPr="00111F07">
        <w:rPr>
          <w:lang w:val="fr-FR"/>
        </w:rPr>
        <w:t xml:space="preserve">La Police nationale danoise propose des services de conseil aux victimes sur la manière de signaler les violences sexuelles sur le site </w:t>
      </w:r>
      <w:hyperlink r:id="rId20" w:history="1">
        <w:r w:rsidR="00767371" w:rsidRPr="00111F07">
          <w:rPr>
            <w:rStyle w:val="Hyperlink"/>
            <w:lang w:val="fr-FR"/>
          </w:rPr>
          <w:t>https://politi.dk/anmeld/</w:t>
        </w:r>
        <w:r w:rsidR="00767371" w:rsidRPr="001C3EFA">
          <w:rPr>
            <w:rStyle w:val="Hyperlink"/>
            <w:lang w:val="fr-FR"/>
          </w:rPr>
          <w:br/>
        </w:r>
        <w:r w:rsidR="00767371" w:rsidRPr="00111F07">
          <w:rPr>
            <w:rStyle w:val="Hyperlink"/>
            <w:lang w:val="fr-FR"/>
          </w:rPr>
          <w:t>seksualforbrydelser/voldtaegt-og-seksuelle-overgreb</w:t>
        </w:r>
      </w:hyperlink>
      <w:r w:rsidRPr="00111F07">
        <w:rPr>
          <w:lang w:val="fr-FR"/>
        </w:rPr>
        <w:t>, et a déjà organisé des campagnes d</w:t>
      </w:r>
      <w:r w:rsidR="007A3CEB" w:rsidRPr="00111F07">
        <w:rPr>
          <w:lang w:val="fr-FR"/>
        </w:rPr>
        <w:t>’</w:t>
      </w:r>
      <w:r w:rsidRPr="001C3EFA">
        <w:rPr>
          <w:lang w:val="fr-FR"/>
        </w:rPr>
        <w:t>information pour encourager les victimes à signaler les violations.</w:t>
      </w:r>
    </w:p>
    <w:p w14:paraId="0F67BF04" w14:textId="4E6C7E0A" w:rsidR="00603A87" w:rsidRPr="00111F07" w:rsidRDefault="00603A87" w:rsidP="003D0953">
      <w:pPr>
        <w:pStyle w:val="SingleTxt"/>
        <w:numPr>
          <w:ilvl w:val="0"/>
          <w:numId w:val="52"/>
        </w:numPr>
        <w:spacing w:line="240" w:lineRule="exact"/>
        <w:rPr>
          <w:lang w:val="fr-FR"/>
        </w:rPr>
      </w:pPr>
      <w:r w:rsidRPr="00111F07">
        <w:rPr>
          <w:lang w:val="fr-FR"/>
        </w:rPr>
        <w:t>Les paragraphes 7.3 et 8 d) comprennent des descriptions de certaines initiatives visant à améliorer le traitement des victimes par les pouvoirs publics.</w:t>
      </w:r>
    </w:p>
    <w:p w14:paraId="1A17B9F9" w14:textId="7203B97D" w:rsidR="00603A87" w:rsidRPr="00111F07" w:rsidRDefault="00603A87" w:rsidP="003D0953">
      <w:pPr>
        <w:pStyle w:val="SingleTxt"/>
        <w:numPr>
          <w:ilvl w:val="0"/>
          <w:numId w:val="52"/>
        </w:numPr>
        <w:spacing w:line="240" w:lineRule="exact"/>
        <w:rPr>
          <w:lang w:val="fr-FR"/>
        </w:rPr>
      </w:pPr>
      <w:r w:rsidRPr="00111F07">
        <w:rPr>
          <w:lang w:val="fr-FR"/>
        </w:rPr>
        <w:t>La Police nationale danoise a mis à jour les directives sur le traitement par la police des affaires de viol et de comportement assimilable au viol, suite à une surveillance continue dans ce domaine et à des réunions avec son groupe d</w:t>
      </w:r>
      <w:r w:rsidR="007A3CEB" w:rsidRPr="00111F07">
        <w:rPr>
          <w:lang w:val="fr-FR"/>
        </w:rPr>
        <w:t>’</w:t>
      </w:r>
      <w:r w:rsidRPr="00111F07">
        <w:rPr>
          <w:lang w:val="fr-FR"/>
        </w:rPr>
        <w:t>experts et son forum consultatif. Ces directives précisent que l</w:t>
      </w:r>
      <w:r w:rsidR="007A3CEB" w:rsidRPr="00111F07">
        <w:rPr>
          <w:lang w:val="fr-FR"/>
        </w:rPr>
        <w:t>’</w:t>
      </w:r>
      <w:r w:rsidRPr="00111F07">
        <w:rPr>
          <w:lang w:val="fr-FR"/>
        </w:rPr>
        <w:t>entretien avec la victime doit avoir lieu en dehors de l</w:t>
      </w:r>
      <w:r w:rsidR="007A3CEB" w:rsidRPr="00111F07">
        <w:rPr>
          <w:lang w:val="fr-FR"/>
        </w:rPr>
        <w:t>’</w:t>
      </w:r>
      <w:r w:rsidRPr="00111F07">
        <w:rPr>
          <w:lang w:val="fr-FR"/>
        </w:rPr>
        <w:t>espace public. Cela s</w:t>
      </w:r>
      <w:r w:rsidR="007A3CEB" w:rsidRPr="00111F07">
        <w:rPr>
          <w:lang w:val="fr-FR"/>
        </w:rPr>
        <w:t>’</w:t>
      </w:r>
      <w:r w:rsidRPr="00111F07">
        <w:rPr>
          <w:lang w:val="fr-FR"/>
        </w:rPr>
        <w:t>applique également à toute audience préliminaire, qui doit être menée dans le bureau d</w:t>
      </w:r>
      <w:r w:rsidR="007A3CEB" w:rsidRPr="00111F07">
        <w:rPr>
          <w:lang w:val="fr-FR"/>
        </w:rPr>
        <w:t>’</w:t>
      </w:r>
      <w:r w:rsidRPr="00111F07">
        <w:rPr>
          <w:lang w:val="fr-FR"/>
        </w:rPr>
        <w:t>une seule personne, dans une voiture de patrouille, etc.</w:t>
      </w:r>
    </w:p>
    <w:p w14:paraId="1B463DCE" w14:textId="47AC3F43" w:rsidR="00603A87" w:rsidRPr="00111F07" w:rsidRDefault="00603A87" w:rsidP="003D0953">
      <w:pPr>
        <w:pStyle w:val="SingleTxt"/>
        <w:numPr>
          <w:ilvl w:val="0"/>
          <w:numId w:val="52"/>
        </w:numPr>
        <w:spacing w:line="240" w:lineRule="exact"/>
        <w:rPr>
          <w:lang w:val="fr-FR"/>
        </w:rPr>
      </w:pPr>
      <w:r w:rsidRPr="00111F07">
        <w:rPr>
          <w:lang w:val="fr-FR"/>
        </w:rPr>
        <w:t>Les dernières modifications apportées à ces directives comprennent une liste de mesures d</w:t>
      </w:r>
      <w:r w:rsidR="007A3CEB" w:rsidRPr="00111F07">
        <w:rPr>
          <w:lang w:val="fr-FR"/>
        </w:rPr>
        <w:t>’</w:t>
      </w:r>
      <w:r w:rsidRPr="00111F07">
        <w:rPr>
          <w:lang w:val="fr-FR"/>
        </w:rPr>
        <w:t>enquête minimales que la police doit prendre en considération dans chaque cas. Les mesures d</w:t>
      </w:r>
      <w:r w:rsidR="007A3CEB" w:rsidRPr="00111F07">
        <w:rPr>
          <w:lang w:val="fr-FR"/>
        </w:rPr>
        <w:t>’</w:t>
      </w:r>
      <w:r w:rsidRPr="00111F07">
        <w:rPr>
          <w:lang w:val="fr-FR"/>
        </w:rPr>
        <w:t xml:space="preserve">enquête minimales sont disponibles sur le site </w:t>
      </w:r>
      <w:hyperlink r:id="rId21" w:history="1">
        <w:r w:rsidR="003D0953" w:rsidRPr="00111F07">
          <w:rPr>
            <w:rStyle w:val="Hyperlink"/>
            <w:lang w:val="fr-FR"/>
          </w:rPr>
          <w:t>www.politi.dk</w:t>
        </w:r>
      </w:hyperlink>
      <w:r w:rsidRPr="00111F07">
        <w:rPr>
          <w:lang w:val="fr-FR"/>
        </w:rPr>
        <w:t>.</w:t>
      </w:r>
    </w:p>
    <w:p w14:paraId="70BDD216" w14:textId="7A011948" w:rsidR="00603A87" w:rsidRPr="00111F07" w:rsidRDefault="00603A87" w:rsidP="003D0953">
      <w:pPr>
        <w:pStyle w:val="SingleTxt"/>
        <w:numPr>
          <w:ilvl w:val="0"/>
          <w:numId w:val="52"/>
        </w:numPr>
        <w:spacing w:line="240" w:lineRule="exact"/>
        <w:rPr>
          <w:lang w:val="fr-FR"/>
        </w:rPr>
      </w:pPr>
      <w:r w:rsidRPr="00111F07">
        <w:rPr>
          <w:lang w:val="fr-FR"/>
        </w:rPr>
        <w:t>La police groenlandaise et la police des Îles Féroé font partie intégrante de la police danoise sous la forme de deux districts de police à l</w:t>
      </w:r>
      <w:r w:rsidR="007A3CEB" w:rsidRPr="00111F07">
        <w:rPr>
          <w:lang w:val="fr-FR"/>
        </w:rPr>
        <w:t>’</w:t>
      </w:r>
      <w:r w:rsidRPr="00111F07">
        <w:rPr>
          <w:lang w:val="fr-FR"/>
        </w:rPr>
        <w:t xml:space="preserve">intérieur du Royaume du </w:t>
      </w:r>
      <w:r w:rsidRPr="00111F07">
        <w:rPr>
          <w:lang w:val="fr-FR"/>
        </w:rPr>
        <w:lastRenderedPageBreak/>
        <w:t>Danemark. Les directives sur le traitement des affaires de viol et de comportement assimilable au viol ont été pleinement appliquées par la police des Îles Féroé. La police groenlandaise n</w:t>
      </w:r>
      <w:r w:rsidR="007A3CEB" w:rsidRPr="00111F07">
        <w:rPr>
          <w:lang w:val="fr-FR"/>
        </w:rPr>
        <w:t>’</w:t>
      </w:r>
      <w:r w:rsidRPr="00111F07">
        <w:rPr>
          <w:lang w:val="fr-FR"/>
        </w:rPr>
        <w:t>a pas encore appliqué ces directives, mais sa pratique correspond largement aux directives publiées.</w:t>
      </w:r>
    </w:p>
    <w:p w14:paraId="3D31966B" w14:textId="1733C55C" w:rsidR="00603A87" w:rsidRPr="00111F07" w:rsidRDefault="00603A87" w:rsidP="003D0953">
      <w:pPr>
        <w:pStyle w:val="SingleTxt"/>
        <w:numPr>
          <w:ilvl w:val="0"/>
          <w:numId w:val="52"/>
        </w:numPr>
        <w:spacing w:line="240" w:lineRule="exact"/>
        <w:rPr>
          <w:lang w:val="fr-FR"/>
        </w:rPr>
      </w:pPr>
      <w:r w:rsidRPr="00111F07">
        <w:rPr>
          <w:lang w:val="fr-FR"/>
        </w:rPr>
        <w:t>Même si les Îles Féroé ont assumé le pouvoir législatif et administratif en matière de droit pénal, le Danemark a toujours le pouvoir législatif et administratif sur la police, le Parquet et les règles de procédure, car ces questions n</w:t>
      </w:r>
      <w:r w:rsidR="007A3CEB" w:rsidRPr="00111F07">
        <w:rPr>
          <w:lang w:val="fr-FR"/>
        </w:rPr>
        <w:t>’</w:t>
      </w:r>
      <w:r w:rsidRPr="00111F07">
        <w:rPr>
          <w:lang w:val="fr-FR"/>
        </w:rPr>
        <w:t>ont pas été transférées à la juridiction féroïenne. Des fonds ont été spécifiquement alloués à la collecte de données sur la violence domestique et ce travail débutera en 2020.</w:t>
      </w:r>
    </w:p>
    <w:p w14:paraId="38272AF8" w14:textId="51A8500C" w:rsidR="003D0953" w:rsidRPr="00111F07" w:rsidRDefault="003D0953" w:rsidP="003D0953">
      <w:pPr>
        <w:pStyle w:val="SingleTxt"/>
        <w:spacing w:after="0" w:line="120" w:lineRule="exact"/>
        <w:rPr>
          <w:sz w:val="10"/>
          <w:lang w:val="fr-FR"/>
        </w:rPr>
      </w:pPr>
    </w:p>
    <w:p w14:paraId="4113C20A" w14:textId="2E07BFC4" w:rsidR="003D0953" w:rsidRPr="00111F07" w:rsidRDefault="003D0953" w:rsidP="003D0953">
      <w:pPr>
        <w:pStyle w:val="SingleTxt"/>
        <w:spacing w:after="0" w:line="120" w:lineRule="exact"/>
        <w:rPr>
          <w:sz w:val="10"/>
          <w:lang w:val="fr-FR"/>
        </w:rPr>
      </w:pPr>
    </w:p>
    <w:p w14:paraId="32646D99" w14:textId="51F2FF46" w:rsidR="00603A87" w:rsidRPr="00111F07" w:rsidRDefault="003D0953" w:rsidP="003D09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Réponse au paragraphe 8</w:t>
      </w:r>
    </w:p>
    <w:p w14:paraId="72381072" w14:textId="6BDBD475" w:rsidR="003D0953" w:rsidRPr="00111F07" w:rsidRDefault="003D0953" w:rsidP="003D0953">
      <w:pPr>
        <w:pStyle w:val="SingleTxt"/>
        <w:spacing w:after="0" w:line="120" w:lineRule="exact"/>
        <w:rPr>
          <w:sz w:val="10"/>
          <w:lang w:val="fr-FR"/>
        </w:rPr>
      </w:pPr>
    </w:p>
    <w:p w14:paraId="6B726DD5" w14:textId="1FEC82C9" w:rsidR="003D0953" w:rsidRPr="00111F07" w:rsidRDefault="003D0953" w:rsidP="003D0953">
      <w:pPr>
        <w:pStyle w:val="SingleTxt"/>
        <w:spacing w:after="0" w:line="120" w:lineRule="exact"/>
        <w:rPr>
          <w:sz w:val="10"/>
          <w:lang w:val="fr-FR"/>
        </w:rPr>
      </w:pPr>
    </w:p>
    <w:p w14:paraId="51CD618B" w14:textId="01FE995C" w:rsidR="00603A87" w:rsidRPr="00111F07" w:rsidRDefault="00603A87" w:rsidP="003D0953">
      <w:pPr>
        <w:pStyle w:val="SingleTxt"/>
        <w:numPr>
          <w:ilvl w:val="0"/>
          <w:numId w:val="52"/>
        </w:numPr>
        <w:spacing w:line="240" w:lineRule="exact"/>
        <w:rPr>
          <w:lang w:val="fr-FR"/>
        </w:rPr>
      </w:pPr>
      <w:r w:rsidRPr="00111F07">
        <w:rPr>
          <w:lang w:val="fr-FR"/>
        </w:rPr>
        <w:t>a) Le 1</w:t>
      </w:r>
      <w:r w:rsidRPr="00111F07">
        <w:rPr>
          <w:vertAlign w:val="superscript"/>
          <w:lang w:val="fr-FR"/>
        </w:rPr>
        <w:t>er</w:t>
      </w:r>
      <w:r w:rsidRPr="00111F07">
        <w:rPr>
          <w:lang w:val="fr-FR"/>
        </w:rPr>
        <w:t xml:space="preserve"> avril 2019, le Gouvernement danois a introduit dans le code pénal danois une disposition spécifique sur la violence psychologique dans les relations personnelles (famille, etc.).</w:t>
      </w:r>
    </w:p>
    <w:p w14:paraId="4F23FEF7" w14:textId="32FE3508" w:rsidR="00603A87" w:rsidRPr="00111F07" w:rsidRDefault="00603A87" w:rsidP="003D0953">
      <w:pPr>
        <w:pStyle w:val="SingleTxt"/>
        <w:numPr>
          <w:ilvl w:val="0"/>
          <w:numId w:val="52"/>
        </w:numPr>
        <w:rPr>
          <w:lang w:val="fr-FR"/>
        </w:rPr>
      </w:pPr>
      <w:r w:rsidRPr="00111F07">
        <w:rPr>
          <w:lang w:val="fr-FR"/>
        </w:rPr>
        <w:t>En même temps, la Police nationale danoise a publié des directives internes à l</w:t>
      </w:r>
      <w:r w:rsidR="007A3CEB" w:rsidRPr="00111F07">
        <w:rPr>
          <w:lang w:val="fr-FR"/>
        </w:rPr>
        <w:t>’</w:t>
      </w:r>
      <w:r w:rsidRPr="00111F07">
        <w:rPr>
          <w:lang w:val="fr-FR"/>
        </w:rPr>
        <w:t>intention des districts de police sur la manière de traiter les cas de violence psychologique. Ces directives traitent des moyens d</w:t>
      </w:r>
      <w:r w:rsidR="007A3CEB" w:rsidRPr="00111F07">
        <w:rPr>
          <w:lang w:val="fr-FR"/>
        </w:rPr>
        <w:t>’</w:t>
      </w:r>
      <w:r w:rsidRPr="00111F07">
        <w:rPr>
          <w:lang w:val="fr-FR"/>
        </w:rPr>
        <w:t>identification, d</w:t>
      </w:r>
      <w:r w:rsidR="007A3CEB" w:rsidRPr="00111F07">
        <w:rPr>
          <w:lang w:val="fr-FR"/>
        </w:rPr>
        <w:t>’</w:t>
      </w:r>
      <w:r w:rsidRPr="00111F07">
        <w:rPr>
          <w:lang w:val="fr-FR"/>
        </w:rPr>
        <w:t>enregistrement, d</w:t>
      </w:r>
      <w:r w:rsidR="007A3CEB" w:rsidRPr="00111F07">
        <w:rPr>
          <w:lang w:val="fr-FR"/>
        </w:rPr>
        <w:t>’</w:t>
      </w:r>
      <w:r w:rsidRPr="00111F07">
        <w:rPr>
          <w:lang w:val="fr-FR"/>
        </w:rPr>
        <w:t>évaluation des risques et d</w:t>
      </w:r>
      <w:r w:rsidR="007A3CEB" w:rsidRPr="00111F07">
        <w:rPr>
          <w:lang w:val="fr-FR"/>
        </w:rPr>
        <w:t>’</w:t>
      </w:r>
      <w:r w:rsidRPr="00111F07">
        <w:rPr>
          <w:lang w:val="fr-FR"/>
        </w:rPr>
        <w:t>enquête dans les cas de violence psychologique, et contiennent une liste de mesures de protection pour la gestion des risques.</w:t>
      </w:r>
    </w:p>
    <w:p w14:paraId="32F93208" w14:textId="131C9EB2" w:rsidR="00603A87" w:rsidRPr="00111F07" w:rsidRDefault="00603A87" w:rsidP="003D0953">
      <w:pPr>
        <w:pStyle w:val="SingleTxt"/>
        <w:numPr>
          <w:ilvl w:val="0"/>
          <w:numId w:val="52"/>
        </w:numPr>
        <w:rPr>
          <w:lang w:val="fr-FR"/>
        </w:rPr>
      </w:pPr>
      <w:r w:rsidRPr="00111F07">
        <w:rPr>
          <w:lang w:val="fr-FR"/>
        </w:rPr>
        <w:t>Tous les étudiants de l</w:t>
      </w:r>
      <w:r w:rsidR="007A3CEB" w:rsidRPr="00111F07">
        <w:rPr>
          <w:lang w:val="fr-FR"/>
        </w:rPr>
        <w:t>’</w:t>
      </w:r>
      <w:r w:rsidRPr="00111F07">
        <w:rPr>
          <w:lang w:val="fr-FR"/>
        </w:rPr>
        <w:t>École nationale de police reçoivent une formation sur la manière de prévenir et de détecter la violence, y compris la violence au sein du couple et la violence psychologique. La Police nationale danoise dispense en permanence des formations sur le thème de la violence psychologique dans le cadre de l</w:t>
      </w:r>
      <w:r w:rsidR="007A3CEB" w:rsidRPr="00111F07">
        <w:rPr>
          <w:lang w:val="fr-FR"/>
        </w:rPr>
        <w:t>’</w:t>
      </w:r>
      <w:r w:rsidRPr="00111F07">
        <w:rPr>
          <w:lang w:val="fr-FR"/>
        </w:rPr>
        <w:t>apprentissage à l</w:t>
      </w:r>
      <w:r w:rsidR="007A3CEB" w:rsidRPr="00111F07">
        <w:rPr>
          <w:lang w:val="fr-FR"/>
        </w:rPr>
        <w:t>’</w:t>
      </w:r>
      <w:r w:rsidRPr="00111F07">
        <w:rPr>
          <w:lang w:val="fr-FR"/>
        </w:rPr>
        <w:t>utilisation des outils d</w:t>
      </w:r>
      <w:r w:rsidR="007A3CEB" w:rsidRPr="00111F07">
        <w:rPr>
          <w:lang w:val="fr-FR"/>
        </w:rPr>
        <w:t>’</w:t>
      </w:r>
      <w:r w:rsidRPr="00111F07">
        <w:rPr>
          <w:lang w:val="fr-FR"/>
        </w:rPr>
        <w:t>évaluation des risques basés sur des preuves. Les outils d</w:t>
      </w:r>
      <w:r w:rsidR="007A3CEB" w:rsidRPr="00111F07">
        <w:rPr>
          <w:lang w:val="fr-FR"/>
        </w:rPr>
        <w:t>’</w:t>
      </w:r>
      <w:r w:rsidRPr="00111F07">
        <w:rPr>
          <w:lang w:val="fr-FR"/>
        </w:rPr>
        <w:t>évaluation des risques sont utilisés pour évaluer le risque de violence répétitive et/ou mortelle dans les cas de harcèlement, de violence au sein du couple et de violence liée à l</w:t>
      </w:r>
      <w:r w:rsidR="007A3CEB" w:rsidRPr="00111F07">
        <w:rPr>
          <w:lang w:val="fr-FR"/>
        </w:rPr>
        <w:t>’</w:t>
      </w:r>
      <w:r w:rsidRPr="00111F07">
        <w:rPr>
          <w:lang w:val="fr-FR"/>
        </w:rPr>
        <w:t>honneur.</w:t>
      </w:r>
    </w:p>
    <w:p w14:paraId="1D0130C1" w14:textId="040B67A7" w:rsidR="00603A87" w:rsidRPr="00111F07" w:rsidRDefault="00603A87" w:rsidP="003D0953">
      <w:pPr>
        <w:pStyle w:val="SingleTxt"/>
        <w:numPr>
          <w:ilvl w:val="0"/>
          <w:numId w:val="52"/>
        </w:numPr>
        <w:rPr>
          <w:lang w:val="fr-FR"/>
        </w:rPr>
      </w:pPr>
      <w:r w:rsidRPr="00111F07">
        <w:rPr>
          <w:lang w:val="fr-FR"/>
        </w:rPr>
        <w:t>Le 1</w:t>
      </w:r>
      <w:r w:rsidRPr="00111F07">
        <w:rPr>
          <w:vertAlign w:val="superscript"/>
          <w:lang w:val="fr-FR"/>
        </w:rPr>
        <w:t>er</w:t>
      </w:r>
      <w:r w:rsidR="003D0953" w:rsidRPr="00111F07">
        <w:rPr>
          <w:lang w:val="fr-FR"/>
        </w:rPr>
        <w:t> </w:t>
      </w:r>
      <w:r w:rsidRPr="00111F07">
        <w:rPr>
          <w:lang w:val="fr-FR"/>
        </w:rPr>
        <w:t>avril 2019, le Directeur du ministère public a émis des directives à l</w:t>
      </w:r>
      <w:r w:rsidR="007A3CEB" w:rsidRPr="00111F07">
        <w:rPr>
          <w:lang w:val="fr-FR"/>
        </w:rPr>
        <w:t>’</w:t>
      </w:r>
      <w:r w:rsidRPr="00111F07">
        <w:rPr>
          <w:lang w:val="fr-FR"/>
        </w:rPr>
        <w:t>intention de la police et du ministère public danois décrivant la manière dont les cas de violence psychologique doivent être traités, notamment les instructions sur l</w:t>
      </w:r>
      <w:r w:rsidR="007A3CEB" w:rsidRPr="00111F07">
        <w:rPr>
          <w:lang w:val="fr-FR"/>
        </w:rPr>
        <w:t>’</w:t>
      </w:r>
      <w:r w:rsidRPr="00111F07">
        <w:rPr>
          <w:lang w:val="fr-FR"/>
        </w:rPr>
        <w:t>identification des cas, les mesures d</w:t>
      </w:r>
      <w:r w:rsidR="007A3CEB" w:rsidRPr="00111F07">
        <w:rPr>
          <w:lang w:val="fr-FR"/>
        </w:rPr>
        <w:t>’</w:t>
      </w:r>
      <w:r w:rsidRPr="00111F07">
        <w:rPr>
          <w:lang w:val="fr-FR"/>
        </w:rPr>
        <w:t>enquête, les conseils aux victimes, les conditions d</w:t>
      </w:r>
      <w:r w:rsidR="007A3CEB" w:rsidRPr="00111F07">
        <w:rPr>
          <w:lang w:val="fr-FR"/>
        </w:rPr>
        <w:t>’</w:t>
      </w:r>
      <w:r w:rsidRPr="00111F07">
        <w:rPr>
          <w:lang w:val="fr-FR"/>
        </w:rPr>
        <w:t>application de la disposition ainsi que la peine prononcée par le ministère public.</w:t>
      </w:r>
    </w:p>
    <w:p w14:paraId="51B81967" w14:textId="4CD39A14" w:rsidR="00603A87" w:rsidRPr="00111F07" w:rsidRDefault="00603A87" w:rsidP="003D0953">
      <w:pPr>
        <w:pStyle w:val="SingleTxt"/>
        <w:numPr>
          <w:ilvl w:val="0"/>
          <w:numId w:val="52"/>
        </w:numPr>
        <w:rPr>
          <w:lang w:val="fr-FR"/>
        </w:rPr>
      </w:pPr>
      <w:r w:rsidRPr="00111F07">
        <w:rPr>
          <w:lang w:val="fr-FR"/>
        </w:rPr>
        <w:t xml:space="preserve">En plus des directives, le Ministre de la justice a </w:t>
      </w:r>
      <w:r w:rsidR="00147C6C" w:rsidRPr="00111F07">
        <w:rPr>
          <w:lang w:val="fr-FR"/>
        </w:rPr>
        <w:t xml:space="preserve">– </w:t>
      </w:r>
      <w:r w:rsidRPr="00111F07">
        <w:rPr>
          <w:lang w:val="fr-FR"/>
        </w:rPr>
        <w:t xml:space="preserve">sur la base des contributions de plusieurs organisations non gouvernementales </w:t>
      </w:r>
      <w:r w:rsidR="003D0953" w:rsidRPr="00111F07">
        <w:rPr>
          <w:lang w:val="fr-FR"/>
        </w:rPr>
        <w:t>–</w:t>
      </w:r>
      <w:r w:rsidRPr="00111F07">
        <w:rPr>
          <w:lang w:val="fr-FR"/>
        </w:rPr>
        <w:t xml:space="preserve"> préparé un certain nombre de recommandations à l</w:t>
      </w:r>
      <w:r w:rsidR="007A3CEB" w:rsidRPr="00111F07">
        <w:rPr>
          <w:lang w:val="fr-FR"/>
        </w:rPr>
        <w:t>’</w:t>
      </w:r>
      <w:r w:rsidRPr="00111F07">
        <w:rPr>
          <w:lang w:val="fr-FR"/>
        </w:rPr>
        <w:t>intention de la police danoise relatives à l</w:t>
      </w:r>
      <w:r w:rsidR="007A3CEB" w:rsidRPr="00111F07">
        <w:rPr>
          <w:lang w:val="fr-FR"/>
        </w:rPr>
        <w:t>’</w:t>
      </w:r>
      <w:r w:rsidRPr="00111F07">
        <w:rPr>
          <w:lang w:val="fr-FR"/>
        </w:rPr>
        <w:t>entretien avec les victimes et les témoins, à l</w:t>
      </w:r>
      <w:r w:rsidR="007A3CEB" w:rsidRPr="00111F07">
        <w:rPr>
          <w:lang w:val="fr-FR"/>
        </w:rPr>
        <w:t>’</w:t>
      </w:r>
      <w:r w:rsidRPr="00111F07">
        <w:rPr>
          <w:lang w:val="fr-FR"/>
        </w:rPr>
        <w:t>interrogatoire des accusés dans les cas de violence psychologique.</w:t>
      </w:r>
    </w:p>
    <w:p w14:paraId="1EB37497" w14:textId="0B6088EC" w:rsidR="00603A87" w:rsidRPr="00111F07" w:rsidRDefault="00603A87" w:rsidP="003D0953">
      <w:pPr>
        <w:pStyle w:val="SingleTxt"/>
        <w:numPr>
          <w:ilvl w:val="0"/>
          <w:numId w:val="52"/>
        </w:numPr>
        <w:rPr>
          <w:lang w:val="fr-FR"/>
        </w:rPr>
      </w:pPr>
      <w:r w:rsidRPr="00111F07">
        <w:rPr>
          <w:lang w:val="fr-FR"/>
        </w:rPr>
        <w:t xml:space="preserve">En outre, le Directeur du ministère public a préparé un </w:t>
      </w:r>
      <w:r w:rsidR="003D0953" w:rsidRPr="00111F07">
        <w:rPr>
          <w:lang w:val="fr-FR"/>
        </w:rPr>
        <w:t>« </w:t>
      </w:r>
      <w:r w:rsidRPr="00111F07">
        <w:rPr>
          <w:lang w:val="fr-FR"/>
        </w:rPr>
        <w:t>kit de démarrage</w:t>
      </w:r>
      <w:r w:rsidR="003D0953" w:rsidRPr="00111F07">
        <w:rPr>
          <w:lang w:val="fr-FR"/>
        </w:rPr>
        <w:t> »</w:t>
      </w:r>
      <w:r w:rsidRPr="00111F07">
        <w:rPr>
          <w:lang w:val="fr-FR"/>
        </w:rPr>
        <w:t xml:space="preserve"> pour les districts de police et le service local des poursuites, contenant du matériel pédagogique pour les discussions locales sur la nouvelle disposition.</w:t>
      </w:r>
    </w:p>
    <w:p w14:paraId="658C751B" w14:textId="11716B20" w:rsidR="00603A87" w:rsidRPr="00111F07" w:rsidRDefault="00603A87" w:rsidP="003D0953">
      <w:pPr>
        <w:pStyle w:val="SingleTxt"/>
        <w:numPr>
          <w:ilvl w:val="0"/>
          <w:numId w:val="52"/>
        </w:numPr>
        <w:rPr>
          <w:lang w:val="fr-FR"/>
        </w:rPr>
      </w:pPr>
      <w:r w:rsidRPr="00111F07">
        <w:rPr>
          <w:lang w:val="fr-FR"/>
        </w:rPr>
        <w:t>Afin de déterminer le champ d</w:t>
      </w:r>
      <w:r w:rsidR="007A3CEB" w:rsidRPr="00111F07">
        <w:rPr>
          <w:lang w:val="fr-FR"/>
        </w:rPr>
        <w:t>’</w:t>
      </w:r>
      <w:r w:rsidRPr="00111F07">
        <w:rPr>
          <w:lang w:val="fr-FR"/>
        </w:rPr>
        <w:t>application de la disposition et de clarifier le niveau des sanctions, la violence psychologique a été désignée comme un domaine d</w:t>
      </w:r>
      <w:r w:rsidR="007A3CEB" w:rsidRPr="00111F07">
        <w:rPr>
          <w:lang w:val="fr-FR"/>
        </w:rPr>
        <w:t>’</w:t>
      </w:r>
      <w:r w:rsidRPr="00111F07">
        <w:rPr>
          <w:lang w:val="fr-FR"/>
        </w:rPr>
        <w:t>intérêt pour les procureurs. Cela implique que les cas de violence psychologique doivent être soumis au procureur régional avant les poursuites et que les jugements doivent être soumis au procureur régional avant la date limite d</w:t>
      </w:r>
      <w:r w:rsidR="007A3CEB" w:rsidRPr="00111F07">
        <w:rPr>
          <w:lang w:val="fr-FR"/>
        </w:rPr>
        <w:t>’</w:t>
      </w:r>
      <w:r w:rsidRPr="00111F07">
        <w:rPr>
          <w:lang w:val="fr-FR"/>
        </w:rPr>
        <w:t>appel.</w:t>
      </w:r>
    </w:p>
    <w:p w14:paraId="58758C1C" w14:textId="4727769A" w:rsidR="00603A87" w:rsidRPr="00111F07" w:rsidRDefault="00603A87" w:rsidP="003D0953">
      <w:pPr>
        <w:pStyle w:val="SingleTxt"/>
        <w:numPr>
          <w:ilvl w:val="0"/>
          <w:numId w:val="52"/>
        </w:numPr>
        <w:rPr>
          <w:lang w:val="fr-FR"/>
        </w:rPr>
      </w:pPr>
      <w:r w:rsidRPr="00111F07">
        <w:rPr>
          <w:lang w:val="fr-FR"/>
        </w:rPr>
        <w:t>La disposition sur la violence psychologique et sa mise en œuvre ont également été discutées dans différents forums de gestion au sein du Parquet.</w:t>
      </w:r>
    </w:p>
    <w:p w14:paraId="308CFF51" w14:textId="4FFDD2D4" w:rsidR="00603A87" w:rsidRPr="00111F07" w:rsidRDefault="00603A87" w:rsidP="003D0953">
      <w:pPr>
        <w:pStyle w:val="SingleTxt"/>
        <w:numPr>
          <w:ilvl w:val="0"/>
          <w:numId w:val="52"/>
        </w:numPr>
        <w:rPr>
          <w:lang w:val="fr-FR"/>
        </w:rPr>
      </w:pPr>
      <w:r w:rsidRPr="00111F07">
        <w:rPr>
          <w:lang w:val="fr-FR"/>
        </w:rPr>
        <w:lastRenderedPageBreak/>
        <w:t>Le Directeur du ministère public a mis au point des documents d</w:t>
      </w:r>
      <w:r w:rsidR="007A3CEB" w:rsidRPr="00111F07">
        <w:rPr>
          <w:lang w:val="fr-FR"/>
        </w:rPr>
        <w:t>’</w:t>
      </w:r>
      <w:r w:rsidRPr="00111F07">
        <w:rPr>
          <w:lang w:val="fr-FR"/>
        </w:rPr>
        <w:t>information pour les victimes de violence psychique en danois et en anglais concernant la disposition et son champ d</w:t>
      </w:r>
      <w:r w:rsidR="007A3CEB" w:rsidRPr="00111F07">
        <w:rPr>
          <w:lang w:val="fr-FR"/>
        </w:rPr>
        <w:t>’</w:t>
      </w:r>
      <w:r w:rsidRPr="00111F07">
        <w:rPr>
          <w:lang w:val="fr-FR"/>
        </w:rPr>
        <w:t>application. Ces documents sont disponibles sur le site Web du Parquet danois.</w:t>
      </w:r>
    </w:p>
    <w:p w14:paraId="2C2B848B" w14:textId="6CCAC183" w:rsidR="00603A87" w:rsidRPr="00111F07" w:rsidRDefault="00603A87" w:rsidP="003D0953">
      <w:pPr>
        <w:pStyle w:val="SingleTxt"/>
        <w:numPr>
          <w:ilvl w:val="0"/>
          <w:numId w:val="52"/>
        </w:numPr>
        <w:rPr>
          <w:lang w:val="fr-FR"/>
        </w:rPr>
      </w:pPr>
      <w:r w:rsidRPr="00111F07">
        <w:rPr>
          <w:lang w:val="fr-FR"/>
        </w:rPr>
        <w:t xml:space="preserve">Selon le programme de gestion des cas de la police </w:t>
      </w:r>
      <w:r w:rsidR="003D0953" w:rsidRPr="00111F07">
        <w:rPr>
          <w:lang w:val="fr-FR"/>
        </w:rPr>
        <w:t>« </w:t>
      </w:r>
      <w:r w:rsidRPr="00111F07">
        <w:rPr>
          <w:lang w:val="fr-FR"/>
        </w:rPr>
        <w:t>POLSAS</w:t>
      </w:r>
      <w:r w:rsidR="003D0953" w:rsidRPr="00111F07">
        <w:rPr>
          <w:lang w:val="fr-FR"/>
        </w:rPr>
        <w:t> »</w:t>
      </w:r>
      <w:r w:rsidRPr="00111F07">
        <w:rPr>
          <w:lang w:val="fr-FR"/>
        </w:rPr>
        <w:t>, des accusations de violence physique ont été portées dans huit cas depuis l</w:t>
      </w:r>
      <w:r w:rsidR="007A3CEB" w:rsidRPr="00111F07">
        <w:rPr>
          <w:lang w:val="fr-FR"/>
        </w:rPr>
        <w:t>’</w:t>
      </w:r>
      <w:r w:rsidRPr="00111F07">
        <w:rPr>
          <w:lang w:val="fr-FR"/>
        </w:rPr>
        <w:t>entrée en vigueur de la disposition le 1</w:t>
      </w:r>
      <w:r w:rsidRPr="00111F07">
        <w:rPr>
          <w:vertAlign w:val="superscript"/>
          <w:lang w:val="fr-FR"/>
        </w:rPr>
        <w:t>er</w:t>
      </w:r>
      <w:r w:rsidR="003D0953" w:rsidRPr="00111F07">
        <w:rPr>
          <w:lang w:val="fr-FR"/>
        </w:rPr>
        <w:t> </w:t>
      </w:r>
      <w:r w:rsidRPr="00111F07">
        <w:rPr>
          <w:lang w:val="fr-FR"/>
        </w:rPr>
        <w:t>avril 2019. Il y a eu deux condamnations et un acquittement. Dans 24 cas, les accusations ont été levées. Les données de POLSAS peuvent contenir des inexactitudes.</w:t>
      </w:r>
    </w:p>
    <w:p w14:paraId="1C88923A" w14:textId="3B4F5FE6" w:rsidR="00603A87" w:rsidRPr="00111F07" w:rsidRDefault="00603A87" w:rsidP="003D0953">
      <w:pPr>
        <w:pStyle w:val="SingleTxt"/>
        <w:numPr>
          <w:ilvl w:val="0"/>
          <w:numId w:val="52"/>
        </w:numPr>
        <w:rPr>
          <w:lang w:val="fr-FR"/>
        </w:rPr>
      </w:pPr>
      <w:r w:rsidRPr="00DF7ED2">
        <w:rPr>
          <w:lang w:val="fr-FR"/>
        </w:rPr>
        <w:t>b)</w:t>
      </w:r>
      <w:r w:rsidRPr="00111F07">
        <w:rPr>
          <w:lang w:val="fr-FR"/>
        </w:rPr>
        <w:t xml:space="preserve"> Dans le cadre de la préparation du nouveau plan d</w:t>
      </w:r>
      <w:r w:rsidR="007A3CEB" w:rsidRPr="00111F07">
        <w:rPr>
          <w:lang w:val="fr-FR"/>
        </w:rPr>
        <w:t>’</w:t>
      </w:r>
      <w:r w:rsidRPr="001C3EFA">
        <w:rPr>
          <w:lang w:val="fr-FR"/>
        </w:rPr>
        <w:t>action contre la violence psychologique et physique (2019-2022), le groupe de travail interministériel sur la violence à l</w:t>
      </w:r>
      <w:r w:rsidR="007A3CEB" w:rsidRPr="00111F07">
        <w:rPr>
          <w:lang w:val="fr-FR"/>
        </w:rPr>
        <w:t>’</w:t>
      </w:r>
      <w:r w:rsidRPr="00111F07">
        <w:rPr>
          <w:lang w:val="fr-FR"/>
        </w:rPr>
        <w:t>égard des femmes et la violence au sein du couple a examiné la nécessité de prendre des initiatives dans ce domaine en 2018 avec les contributions des organisations de la société civile, et coordonne actuellement la mise en œuvre du nouveau plan d</w:t>
      </w:r>
      <w:r w:rsidR="007A3CEB" w:rsidRPr="00111F07">
        <w:rPr>
          <w:lang w:val="fr-FR"/>
        </w:rPr>
        <w:t>’</w:t>
      </w:r>
      <w:r w:rsidRPr="00111F07">
        <w:rPr>
          <w:lang w:val="fr-FR"/>
        </w:rPr>
        <w:t>action national répondant à ces besoins.</w:t>
      </w:r>
    </w:p>
    <w:p w14:paraId="3E5E8AB8" w14:textId="396EAD09" w:rsidR="00603A87" w:rsidRPr="00111F07" w:rsidRDefault="00603A87" w:rsidP="003D0953">
      <w:pPr>
        <w:pStyle w:val="SingleTxt"/>
        <w:numPr>
          <w:ilvl w:val="0"/>
          <w:numId w:val="52"/>
        </w:numPr>
        <w:rPr>
          <w:lang w:val="fr-FR"/>
        </w:rPr>
      </w:pPr>
      <w:r w:rsidRPr="00DF7ED2">
        <w:rPr>
          <w:lang w:val="fr-FR"/>
        </w:rPr>
        <w:t>c)</w:t>
      </w:r>
      <w:r w:rsidRPr="00111F07">
        <w:rPr>
          <w:lang w:val="fr-FR"/>
        </w:rPr>
        <w:t xml:space="preserve"> Le rapport de 2018 du Centre danois pour la recherche en sciences sociales sur la prévalence de la violence psychologique au Danemark a montré que 3,9</w:t>
      </w:r>
      <w:r w:rsidR="007A3CEB" w:rsidRPr="00111F07">
        <w:rPr>
          <w:lang w:val="fr-FR"/>
        </w:rPr>
        <w:t> %</w:t>
      </w:r>
      <w:r w:rsidRPr="00111F07">
        <w:rPr>
          <w:lang w:val="fr-FR"/>
        </w:rPr>
        <w:t xml:space="preserve"> des femmes et 1,2</w:t>
      </w:r>
      <w:r w:rsidR="007A3CEB" w:rsidRPr="00111F07">
        <w:rPr>
          <w:lang w:val="fr-FR"/>
        </w:rPr>
        <w:t> %</w:t>
      </w:r>
      <w:r w:rsidRPr="00111F07">
        <w:rPr>
          <w:lang w:val="fr-FR"/>
        </w:rPr>
        <w:t xml:space="preserve"> des hommes ont été exposés à la violence psychologique au sein du couple sur une période d</w:t>
      </w:r>
      <w:r w:rsidR="007A3CEB" w:rsidRPr="00111F07">
        <w:rPr>
          <w:lang w:val="fr-FR"/>
        </w:rPr>
        <w:t>’</w:t>
      </w:r>
      <w:r w:rsidRPr="00111F07">
        <w:rPr>
          <w:lang w:val="fr-FR"/>
        </w:rPr>
        <w:t xml:space="preserve">un an. Il a également montré que la violence psychologique envers le ou la partenaire du couple est le type de violence le plus répandu et le type de violence envers le ou la partenaire où les femmes sont touchées de manière disproportionnée </w:t>
      </w:r>
      <w:r w:rsidR="00147C6C" w:rsidRPr="00111F07">
        <w:rPr>
          <w:lang w:val="fr-FR"/>
        </w:rPr>
        <w:t xml:space="preserve">– </w:t>
      </w:r>
      <w:r w:rsidRPr="00111F07">
        <w:rPr>
          <w:lang w:val="fr-FR"/>
        </w:rPr>
        <w:t>plus de trois fois plus que les hommes.</w:t>
      </w:r>
    </w:p>
    <w:p w14:paraId="4BFC91E7" w14:textId="65F10237" w:rsidR="00603A87" w:rsidRPr="00111F07" w:rsidRDefault="00603A87" w:rsidP="00DF7ED2">
      <w:pPr>
        <w:pStyle w:val="SingleTxt"/>
        <w:numPr>
          <w:ilvl w:val="0"/>
          <w:numId w:val="52"/>
        </w:numPr>
        <w:tabs>
          <w:tab w:val="left" w:pos="1440"/>
        </w:tabs>
        <w:rPr>
          <w:lang w:val="fr-FR"/>
        </w:rPr>
      </w:pPr>
      <w:r w:rsidRPr="00111F07">
        <w:rPr>
          <w:lang w:val="fr-FR"/>
        </w:rPr>
        <w:t>d) En janvier 2019, un groupe d</w:t>
      </w:r>
      <w:r w:rsidR="007A3CEB" w:rsidRPr="00111F07">
        <w:rPr>
          <w:lang w:val="fr-FR"/>
        </w:rPr>
        <w:t>’</w:t>
      </w:r>
      <w:r w:rsidRPr="00111F07">
        <w:rPr>
          <w:lang w:val="fr-FR"/>
        </w:rPr>
        <w:t>experts a fait ses premières recommandations sur la manière dont les efforts contre le viol au Danemark peuvent être accrus</w:t>
      </w:r>
      <w:r w:rsidR="007A3CEB" w:rsidRPr="00111F07">
        <w:rPr>
          <w:lang w:val="fr-FR"/>
        </w:rPr>
        <w:t> :</w:t>
      </w:r>
      <w:r w:rsidRPr="00111F07">
        <w:rPr>
          <w:lang w:val="fr-FR"/>
        </w:rPr>
        <w:t xml:space="preserve"> 1)</w:t>
      </w:r>
      <w:r w:rsidR="003D0953" w:rsidRPr="00111F07">
        <w:rPr>
          <w:lang w:val="fr-FR"/>
        </w:rPr>
        <w:t> </w:t>
      </w:r>
      <w:r w:rsidRPr="00111F07">
        <w:rPr>
          <w:lang w:val="fr-FR"/>
        </w:rPr>
        <w:t>renforcement de la sensibilisation des autorités danoises aux modèles des victimes souffrant de traumatismes</w:t>
      </w:r>
      <w:r w:rsidR="00E56A29" w:rsidRPr="00111F07">
        <w:rPr>
          <w:lang w:val="fr-FR"/>
        </w:rPr>
        <w:t> </w:t>
      </w:r>
      <w:r w:rsidR="007A3CEB" w:rsidRPr="00111F07">
        <w:rPr>
          <w:lang w:val="fr-FR"/>
        </w:rPr>
        <w:t>;</w:t>
      </w:r>
      <w:r w:rsidRPr="00111F07">
        <w:rPr>
          <w:lang w:val="fr-FR"/>
        </w:rPr>
        <w:t xml:space="preserve"> 2) garantie d</w:t>
      </w:r>
      <w:r w:rsidR="007A3CEB" w:rsidRPr="00111F07">
        <w:rPr>
          <w:lang w:val="fr-FR"/>
        </w:rPr>
        <w:t>’</w:t>
      </w:r>
      <w:r w:rsidRPr="00111F07">
        <w:rPr>
          <w:lang w:val="fr-FR"/>
        </w:rPr>
        <w:t>étapes procédurales minimales obligatoires à prendre par la police danoise</w:t>
      </w:r>
      <w:r w:rsidR="00E56A29" w:rsidRPr="00111F07">
        <w:rPr>
          <w:lang w:val="fr-FR"/>
        </w:rPr>
        <w:t> </w:t>
      </w:r>
      <w:r w:rsidR="007A3CEB" w:rsidRPr="00111F07">
        <w:rPr>
          <w:lang w:val="fr-FR"/>
        </w:rPr>
        <w:t>;</w:t>
      </w:r>
      <w:r w:rsidRPr="00111F07">
        <w:rPr>
          <w:lang w:val="fr-FR"/>
        </w:rPr>
        <w:t xml:space="preserve"> et 3) mise en place éventuelle d</w:t>
      </w:r>
      <w:r w:rsidR="007A3CEB" w:rsidRPr="00111F07">
        <w:rPr>
          <w:lang w:val="fr-FR"/>
        </w:rPr>
        <w:t>’</w:t>
      </w:r>
      <w:r w:rsidRPr="00111F07">
        <w:rPr>
          <w:lang w:val="fr-FR"/>
        </w:rPr>
        <w:t>un système d</w:t>
      </w:r>
      <w:r w:rsidR="007A3CEB" w:rsidRPr="00111F07">
        <w:rPr>
          <w:lang w:val="fr-FR"/>
        </w:rPr>
        <w:t>’</w:t>
      </w:r>
      <w:r w:rsidRPr="00111F07">
        <w:rPr>
          <w:lang w:val="fr-FR"/>
        </w:rPr>
        <w:t>interrogation de la victime par vidéo. Le Ministère de la justice a commencé les travaux de concert avec trois psychologues d</w:t>
      </w:r>
      <w:r w:rsidR="007A3CEB" w:rsidRPr="00111F07">
        <w:rPr>
          <w:lang w:val="fr-FR"/>
        </w:rPr>
        <w:t>’</w:t>
      </w:r>
      <w:r w:rsidRPr="00111F07">
        <w:rPr>
          <w:lang w:val="fr-FR"/>
        </w:rPr>
        <w:t>universités danoises et devrait les terminer au début de l</w:t>
      </w:r>
      <w:r w:rsidR="007A3CEB" w:rsidRPr="00111F07">
        <w:rPr>
          <w:lang w:val="fr-FR"/>
        </w:rPr>
        <w:t>’</w:t>
      </w:r>
      <w:r w:rsidRPr="00111F07">
        <w:rPr>
          <w:lang w:val="fr-FR"/>
        </w:rPr>
        <w:t>année 2020. La Police nationale danoise a élaboré des directives sur le traitement par la police des affaires de viol et de conditions assimilables au viol. Le Ministère de la justice, la Police nationale danoise et le Directeur du ministère public étudient la possibilité de proposer des entretiens vidéo pour la première interrogation effective de la victime ainsi que la possibilité d</w:t>
      </w:r>
      <w:r w:rsidR="007A3CEB" w:rsidRPr="00111F07">
        <w:rPr>
          <w:lang w:val="fr-FR"/>
        </w:rPr>
        <w:t>’</w:t>
      </w:r>
      <w:r w:rsidRPr="00111F07">
        <w:rPr>
          <w:lang w:val="fr-FR"/>
        </w:rPr>
        <w:t>utiliser la vidéo comme preuve au tribunal.</w:t>
      </w:r>
    </w:p>
    <w:p w14:paraId="33763BB0" w14:textId="3928FD71" w:rsidR="00603A87" w:rsidRPr="00111F07" w:rsidRDefault="00603A87" w:rsidP="003D0953">
      <w:pPr>
        <w:pStyle w:val="SingleTxt"/>
        <w:numPr>
          <w:ilvl w:val="0"/>
          <w:numId w:val="52"/>
        </w:numPr>
        <w:rPr>
          <w:lang w:val="fr-FR"/>
        </w:rPr>
      </w:pPr>
      <w:r w:rsidRPr="00111F07">
        <w:rPr>
          <w:lang w:val="fr-FR"/>
        </w:rPr>
        <w:t>En novembre 2019, le groupe d</w:t>
      </w:r>
      <w:r w:rsidR="007A3CEB" w:rsidRPr="00111F07">
        <w:rPr>
          <w:lang w:val="fr-FR"/>
        </w:rPr>
        <w:t>’</w:t>
      </w:r>
      <w:r w:rsidRPr="00111F07">
        <w:rPr>
          <w:lang w:val="fr-FR"/>
        </w:rPr>
        <w:t>experts a émis ses quatre recommandations finales. Il a formulé des recommandations concernant l</w:t>
      </w:r>
      <w:r w:rsidR="007A3CEB" w:rsidRPr="00111F07">
        <w:rPr>
          <w:lang w:val="fr-FR"/>
        </w:rPr>
        <w:t>’</w:t>
      </w:r>
      <w:r w:rsidRPr="00111F07">
        <w:rPr>
          <w:lang w:val="fr-FR"/>
        </w:rPr>
        <w:t>évaluation des expériences d</w:t>
      </w:r>
      <w:r w:rsidR="007A3CEB" w:rsidRPr="00111F07">
        <w:rPr>
          <w:lang w:val="fr-FR"/>
        </w:rPr>
        <w:t>’</w:t>
      </w:r>
      <w:r w:rsidRPr="00111F07">
        <w:rPr>
          <w:lang w:val="fr-FR"/>
        </w:rPr>
        <w:t>autres pays en matière de pratique des autorités fondée sur le traumatisme, à savoir l</w:t>
      </w:r>
      <w:r w:rsidR="007A3CEB" w:rsidRPr="00111F07">
        <w:rPr>
          <w:lang w:val="fr-FR"/>
        </w:rPr>
        <w:t>’</w:t>
      </w:r>
      <w:r w:rsidRPr="00111F07">
        <w:rPr>
          <w:lang w:val="fr-FR"/>
        </w:rPr>
        <w:t>utilisation lors des interrogations d</w:t>
      </w:r>
      <w:r w:rsidR="007A3CEB" w:rsidRPr="00111F07">
        <w:rPr>
          <w:lang w:val="fr-FR"/>
        </w:rPr>
        <w:t>’</w:t>
      </w:r>
      <w:r w:rsidRPr="00111F07">
        <w:rPr>
          <w:lang w:val="fr-FR"/>
        </w:rPr>
        <w:t>une approche tenant compte du traumatisme, encourageant le Ministère de l</w:t>
      </w:r>
      <w:r w:rsidR="007A3CEB" w:rsidRPr="00111F07">
        <w:rPr>
          <w:lang w:val="fr-FR"/>
        </w:rPr>
        <w:t>’</w:t>
      </w:r>
      <w:r w:rsidRPr="00111F07">
        <w:rPr>
          <w:lang w:val="fr-FR"/>
        </w:rPr>
        <w:t>enfance et de l</w:t>
      </w:r>
      <w:r w:rsidR="007A3CEB" w:rsidRPr="00111F07">
        <w:rPr>
          <w:lang w:val="fr-FR"/>
        </w:rPr>
        <w:t>’</w:t>
      </w:r>
      <w:r w:rsidRPr="00111F07">
        <w:rPr>
          <w:lang w:val="fr-FR"/>
        </w:rPr>
        <w:t>éducation à mettre à jour les documents actuels sur l</w:t>
      </w:r>
      <w:r w:rsidR="007A3CEB" w:rsidRPr="00111F07">
        <w:rPr>
          <w:lang w:val="fr-FR"/>
        </w:rPr>
        <w:t>’</w:t>
      </w:r>
      <w:r w:rsidRPr="00111F07">
        <w:rPr>
          <w:lang w:val="fr-FR"/>
        </w:rPr>
        <w:t>éducation sexuelle pour y inclure des termes tels que consentement et participation volontaire. Le groupe a également recommandé de lancer une campagne d</w:t>
      </w:r>
      <w:r w:rsidR="007A3CEB" w:rsidRPr="00111F07">
        <w:rPr>
          <w:lang w:val="fr-FR"/>
        </w:rPr>
        <w:t>’</w:t>
      </w:r>
      <w:r w:rsidRPr="00111F07">
        <w:rPr>
          <w:lang w:val="fr-FR"/>
        </w:rPr>
        <w:t>information sur l</w:t>
      </w:r>
      <w:r w:rsidR="007A3CEB" w:rsidRPr="00111F07">
        <w:rPr>
          <w:lang w:val="fr-FR"/>
        </w:rPr>
        <w:t>’</w:t>
      </w:r>
      <w:r w:rsidRPr="00111F07">
        <w:rPr>
          <w:lang w:val="fr-FR"/>
        </w:rPr>
        <w:t>utilisation de la langue, la culture, le consentement et la participation volontaire, et de créer un groupe spécial de représentants juridiques qui devraient recevoir une formation spécifique et ciblée et une meilleure rémunération.</w:t>
      </w:r>
    </w:p>
    <w:p w14:paraId="748FAB38" w14:textId="46A87503" w:rsidR="003D0953" w:rsidRPr="00111F07" w:rsidRDefault="003D0953" w:rsidP="003D0953">
      <w:pPr>
        <w:pStyle w:val="SingleTxt"/>
        <w:spacing w:after="0" w:line="120" w:lineRule="exact"/>
        <w:rPr>
          <w:sz w:val="10"/>
          <w:lang w:val="fr-FR"/>
        </w:rPr>
      </w:pPr>
    </w:p>
    <w:p w14:paraId="479DBCB2" w14:textId="095CD2E2" w:rsidR="003D0953" w:rsidRPr="00111F07" w:rsidRDefault="003D0953" w:rsidP="003D0953">
      <w:pPr>
        <w:pStyle w:val="SingleTxt"/>
        <w:spacing w:after="0" w:line="120" w:lineRule="exact"/>
        <w:rPr>
          <w:sz w:val="10"/>
          <w:lang w:val="fr-FR"/>
        </w:rPr>
      </w:pPr>
    </w:p>
    <w:p w14:paraId="59DC9093" w14:textId="33C64C2D" w:rsidR="00603A87" w:rsidRPr="00111F07" w:rsidRDefault="00603A87" w:rsidP="003D09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9</w:t>
      </w:r>
    </w:p>
    <w:p w14:paraId="59652DE4" w14:textId="199E71FA" w:rsidR="003D0953" w:rsidRPr="00111F07" w:rsidRDefault="003D0953" w:rsidP="003D0953">
      <w:pPr>
        <w:pStyle w:val="SingleTxt"/>
        <w:keepNext/>
        <w:spacing w:after="0" w:line="120" w:lineRule="exact"/>
        <w:rPr>
          <w:sz w:val="10"/>
          <w:lang w:val="fr-FR"/>
        </w:rPr>
      </w:pPr>
    </w:p>
    <w:p w14:paraId="6E8737BE" w14:textId="54726F81" w:rsidR="003D0953" w:rsidRPr="00111F07" w:rsidRDefault="003D0953" w:rsidP="003D0953">
      <w:pPr>
        <w:pStyle w:val="SingleTxt"/>
        <w:keepNext/>
        <w:spacing w:after="0" w:line="120" w:lineRule="exact"/>
        <w:rPr>
          <w:sz w:val="10"/>
          <w:lang w:val="fr-FR"/>
        </w:rPr>
      </w:pPr>
    </w:p>
    <w:p w14:paraId="7DA335BC" w14:textId="251DC958" w:rsidR="00603A87" w:rsidRPr="00111F07" w:rsidRDefault="00603A87" w:rsidP="003D0953">
      <w:pPr>
        <w:pStyle w:val="SingleTxt"/>
        <w:numPr>
          <w:ilvl w:val="0"/>
          <w:numId w:val="52"/>
        </w:numPr>
        <w:spacing w:line="240" w:lineRule="exact"/>
        <w:rPr>
          <w:lang w:val="fr-FR"/>
        </w:rPr>
      </w:pPr>
      <w:r w:rsidRPr="00111F07">
        <w:rPr>
          <w:lang w:val="fr-FR"/>
        </w:rPr>
        <w:t>En 2019, le Ministre de la justice a demandé au Comité permanent des affaires pénales (Straffelovrådet), qui détient le plus haut niveau d</w:t>
      </w:r>
      <w:r w:rsidR="007A3CEB" w:rsidRPr="00111F07">
        <w:rPr>
          <w:lang w:val="fr-FR"/>
        </w:rPr>
        <w:t>’</w:t>
      </w:r>
      <w:r w:rsidRPr="00111F07">
        <w:rPr>
          <w:lang w:val="fr-FR"/>
        </w:rPr>
        <w:t xml:space="preserve">excellence dans le domaine du droit pénal, de revoir la disposition sur le viol dans le Code pénal danois, en se </w:t>
      </w:r>
      <w:r w:rsidRPr="00111F07">
        <w:rPr>
          <w:lang w:val="fr-FR"/>
        </w:rPr>
        <w:lastRenderedPageBreak/>
        <w:t>concentrant sur la question de savoir si celle-ci reflète suffisamment clairement que les actes sexuels doivent être volontaires. Le Ministre de la justice a également demandé au Comité de proposer des amendements spécifiques à la disposition afin de garantir qu</w:t>
      </w:r>
      <w:r w:rsidR="007A3CEB" w:rsidRPr="00111F07">
        <w:rPr>
          <w:lang w:val="fr-FR"/>
        </w:rPr>
        <w:t>’</w:t>
      </w:r>
      <w:r w:rsidRPr="00111F07">
        <w:rPr>
          <w:lang w:val="fr-FR"/>
        </w:rPr>
        <w:t>il soit clair que tout acte sexuel doit être basé sur un assentiment mutuel.</w:t>
      </w:r>
    </w:p>
    <w:p w14:paraId="7951616F" w14:textId="02C1FD21" w:rsidR="00603A87" w:rsidRPr="00111F07" w:rsidRDefault="00603A87" w:rsidP="003D0953">
      <w:pPr>
        <w:pStyle w:val="SingleTxt"/>
        <w:numPr>
          <w:ilvl w:val="0"/>
          <w:numId w:val="52"/>
        </w:numPr>
        <w:spacing w:line="240" w:lineRule="exact"/>
        <w:rPr>
          <w:lang w:val="fr-FR"/>
        </w:rPr>
      </w:pPr>
      <w:r w:rsidRPr="00111F07">
        <w:rPr>
          <w:lang w:val="fr-FR"/>
        </w:rPr>
        <w:t>Le 19 février 2020, le Comité a conclu ses travaux. Après examen du rapport et consultation publique, le Gouvernement prendra des mesures pour modifier la disposition existante sur le viol.</w:t>
      </w:r>
    </w:p>
    <w:p w14:paraId="3A0B4DAA" w14:textId="5EAF3717" w:rsidR="003D0953" w:rsidRPr="00111F07" w:rsidRDefault="003D0953" w:rsidP="003D0953">
      <w:pPr>
        <w:pStyle w:val="SingleTxt"/>
        <w:spacing w:after="0" w:line="120" w:lineRule="exact"/>
        <w:rPr>
          <w:sz w:val="10"/>
          <w:lang w:val="fr-FR"/>
        </w:rPr>
      </w:pPr>
    </w:p>
    <w:p w14:paraId="4213CE25" w14:textId="6CBC9337" w:rsidR="00603A87" w:rsidRPr="00111F07" w:rsidRDefault="00603A87" w:rsidP="003D09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Groenland</w:t>
      </w:r>
    </w:p>
    <w:p w14:paraId="14DCE1FD" w14:textId="78D651B1" w:rsidR="003D0953" w:rsidRPr="00111F07" w:rsidRDefault="003D0953" w:rsidP="003D0953">
      <w:pPr>
        <w:pStyle w:val="SingleTxt"/>
        <w:spacing w:after="0" w:line="120" w:lineRule="exact"/>
        <w:rPr>
          <w:sz w:val="10"/>
          <w:lang w:val="fr-FR"/>
        </w:rPr>
      </w:pPr>
    </w:p>
    <w:p w14:paraId="0CD82DCC" w14:textId="7A8A2098" w:rsidR="00603A87" w:rsidRPr="00111F07" w:rsidRDefault="00603A87" w:rsidP="003D0953">
      <w:pPr>
        <w:pStyle w:val="SingleTxt"/>
        <w:numPr>
          <w:ilvl w:val="0"/>
          <w:numId w:val="52"/>
        </w:numPr>
        <w:spacing w:line="240" w:lineRule="exact"/>
        <w:rPr>
          <w:lang w:val="fr-FR"/>
        </w:rPr>
      </w:pPr>
      <w:r w:rsidRPr="00111F07">
        <w:rPr>
          <w:lang w:val="fr-FR"/>
        </w:rPr>
        <w:t>En ce qui concerne le Groenland, il convient de noter qu</w:t>
      </w:r>
      <w:r w:rsidR="007A3CEB" w:rsidRPr="00111F07">
        <w:rPr>
          <w:lang w:val="fr-FR"/>
        </w:rPr>
        <w:t>’</w:t>
      </w:r>
      <w:r w:rsidRPr="00111F07">
        <w:rPr>
          <w:lang w:val="fr-FR"/>
        </w:rPr>
        <w:t>un code pénal particulier s</w:t>
      </w:r>
      <w:r w:rsidR="007A3CEB" w:rsidRPr="00111F07">
        <w:rPr>
          <w:lang w:val="fr-FR"/>
        </w:rPr>
        <w:t>’</w:t>
      </w:r>
      <w:r w:rsidRPr="00111F07">
        <w:rPr>
          <w:lang w:val="fr-FR"/>
        </w:rPr>
        <w:t>applique spécifiquement au Groenland. Le Code pénal groenlandais diffère du Code pénal danois en ce qu</w:t>
      </w:r>
      <w:r w:rsidR="007A3CEB" w:rsidRPr="00111F07">
        <w:rPr>
          <w:lang w:val="fr-FR"/>
        </w:rPr>
        <w:t>’</w:t>
      </w:r>
      <w:r w:rsidRPr="00111F07">
        <w:rPr>
          <w:lang w:val="fr-FR"/>
        </w:rPr>
        <w:t>il n</w:t>
      </w:r>
      <w:r w:rsidR="007A3CEB" w:rsidRPr="00111F07">
        <w:rPr>
          <w:lang w:val="fr-FR"/>
        </w:rPr>
        <w:t>’</w:t>
      </w:r>
      <w:r w:rsidRPr="00111F07">
        <w:rPr>
          <w:lang w:val="fr-FR"/>
        </w:rPr>
        <w:t>utilise pas le concept de punition, mais de sanctions (</w:t>
      </w:r>
      <w:r w:rsidR="003D0953" w:rsidRPr="00111F07">
        <w:rPr>
          <w:lang w:val="fr-FR"/>
        </w:rPr>
        <w:t>« </w:t>
      </w:r>
      <w:r w:rsidRPr="00111F07">
        <w:rPr>
          <w:lang w:val="fr-FR"/>
        </w:rPr>
        <w:t>foranstaltning</w:t>
      </w:r>
      <w:r w:rsidR="003D0953" w:rsidRPr="00111F07">
        <w:rPr>
          <w:lang w:val="fr-FR"/>
        </w:rPr>
        <w:t> »</w:t>
      </w:r>
      <w:r w:rsidRPr="00111F07">
        <w:rPr>
          <w:lang w:val="fr-FR"/>
        </w:rPr>
        <w:t>), et en ce qu</w:t>
      </w:r>
      <w:r w:rsidR="007A3CEB" w:rsidRPr="00111F07">
        <w:rPr>
          <w:lang w:val="fr-FR"/>
        </w:rPr>
        <w:t>’</w:t>
      </w:r>
      <w:r w:rsidRPr="00111F07">
        <w:rPr>
          <w:lang w:val="fr-FR"/>
        </w:rPr>
        <w:t>il ne prévoit pas de peines maximales ou minimales pour les différentes infractions.</w:t>
      </w:r>
    </w:p>
    <w:p w14:paraId="5C61A21B" w14:textId="5133A02D" w:rsidR="00603A87" w:rsidRPr="00111F07" w:rsidRDefault="00603A87" w:rsidP="003D0953">
      <w:pPr>
        <w:pStyle w:val="SingleTxt"/>
        <w:numPr>
          <w:ilvl w:val="0"/>
          <w:numId w:val="52"/>
        </w:numPr>
        <w:spacing w:line="240" w:lineRule="exact"/>
        <w:rPr>
          <w:lang w:val="fr-FR"/>
        </w:rPr>
      </w:pPr>
      <w:r w:rsidRPr="00111F07">
        <w:rPr>
          <w:lang w:val="fr-FR"/>
        </w:rPr>
        <w:t>Le Code pénal groenlandais est basé sur l</w:t>
      </w:r>
      <w:r w:rsidR="007A3CEB" w:rsidRPr="00111F07">
        <w:rPr>
          <w:lang w:val="fr-FR"/>
        </w:rPr>
        <w:t>’</w:t>
      </w:r>
      <w:r w:rsidRPr="00111F07">
        <w:rPr>
          <w:lang w:val="fr-FR"/>
        </w:rPr>
        <w:t>accent mis traditionnellement au Groenland sur la réadaptation sociale plutôt que sur la punition et est adapté à la culture et à l</w:t>
      </w:r>
      <w:r w:rsidR="007A3CEB" w:rsidRPr="00111F07">
        <w:rPr>
          <w:lang w:val="fr-FR"/>
        </w:rPr>
        <w:t>’</w:t>
      </w:r>
      <w:r w:rsidRPr="00111F07">
        <w:rPr>
          <w:lang w:val="fr-FR"/>
        </w:rPr>
        <w:t>attitude traditionnelles groenlandaises en matière de sanctions où l</w:t>
      </w:r>
      <w:r w:rsidR="007A3CEB" w:rsidRPr="00111F07">
        <w:rPr>
          <w:lang w:val="fr-FR"/>
        </w:rPr>
        <w:t>’</w:t>
      </w:r>
      <w:r w:rsidRPr="00111F07">
        <w:rPr>
          <w:lang w:val="fr-FR"/>
        </w:rPr>
        <w:t>accent est mis sur des activités de police axées sur le délinquant (</w:t>
      </w:r>
      <w:r w:rsidR="003D0953" w:rsidRPr="00111F07">
        <w:rPr>
          <w:lang w:val="fr-FR"/>
        </w:rPr>
        <w:t>« </w:t>
      </w:r>
      <w:r w:rsidRPr="00111F07">
        <w:rPr>
          <w:lang w:val="fr-FR"/>
        </w:rPr>
        <w:t>gerningsmandsprincippet</w:t>
      </w:r>
      <w:r w:rsidR="003D0953" w:rsidRPr="00111F07">
        <w:rPr>
          <w:lang w:val="fr-FR"/>
        </w:rPr>
        <w:t> »</w:t>
      </w:r>
      <w:r w:rsidRPr="00111F07">
        <w:rPr>
          <w:lang w:val="fr-FR"/>
        </w:rPr>
        <w:t>). Cela signifie que le juge doit, dans le choix et l</w:t>
      </w:r>
      <w:r w:rsidR="007A3CEB" w:rsidRPr="00111F07">
        <w:rPr>
          <w:lang w:val="fr-FR"/>
        </w:rPr>
        <w:t>’</w:t>
      </w:r>
      <w:r w:rsidRPr="00111F07">
        <w:rPr>
          <w:lang w:val="fr-FR"/>
        </w:rPr>
        <w:t>exécution de la sanction, tenir compte de la situation personnelle du délinquant, y compris de ce qui est estimé nécessaire pour l</w:t>
      </w:r>
      <w:r w:rsidR="007A3CEB" w:rsidRPr="00111F07">
        <w:rPr>
          <w:lang w:val="fr-FR"/>
        </w:rPr>
        <w:t>’</w:t>
      </w:r>
      <w:r w:rsidRPr="00111F07">
        <w:rPr>
          <w:lang w:val="fr-FR"/>
        </w:rPr>
        <w:t>empêcher de commettre de nouvelles infractions, et pas seulement de la gravité de l</w:t>
      </w:r>
      <w:r w:rsidR="007A3CEB" w:rsidRPr="00111F07">
        <w:rPr>
          <w:lang w:val="fr-FR"/>
        </w:rPr>
        <w:t>’</w:t>
      </w:r>
      <w:r w:rsidRPr="00111F07">
        <w:rPr>
          <w:lang w:val="fr-FR"/>
        </w:rPr>
        <w:t>infraction.</w:t>
      </w:r>
    </w:p>
    <w:p w14:paraId="4E370DE2" w14:textId="311C7284" w:rsidR="003D0953" w:rsidRPr="00111F07" w:rsidRDefault="003D0953" w:rsidP="003D0953">
      <w:pPr>
        <w:pStyle w:val="SingleTxt"/>
        <w:spacing w:after="0" w:line="120" w:lineRule="exact"/>
        <w:rPr>
          <w:sz w:val="10"/>
          <w:lang w:val="fr-FR"/>
        </w:rPr>
      </w:pPr>
    </w:p>
    <w:p w14:paraId="2894CC16" w14:textId="35335856" w:rsidR="00603A87" w:rsidRPr="00111F07" w:rsidRDefault="00603A87" w:rsidP="003D09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Îles Féroé</w:t>
      </w:r>
    </w:p>
    <w:p w14:paraId="0DD0ADD1" w14:textId="19A8E4D9" w:rsidR="003D0953" w:rsidRPr="00111F07" w:rsidRDefault="003D0953" w:rsidP="003D0953">
      <w:pPr>
        <w:pStyle w:val="SingleTxt"/>
        <w:spacing w:after="0" w:line="120" w:lineRule="exact"/>
        <w:rPr>
          <w:sz w:val="10"/>
          <w:lang w:val="fr-FR"/>
        </w:rPr>
      </w:pPr>
    </w:p>
    <w:p w14:paraId="6F663F82" w14:textId="4494D063" w:rsidR="00603A87" w:rsidRPr="00111F07" w:rsidRDefault="00603A87" w:rsidP="003D0953">
      <w:pPr>
        <w:pStyle w:val="SingleTxt"/>
        <w:numPr>
          <w:ilvl w:val="0"/>
          <w:numId w:val="52"/>
        </w:numPr>
        <w:spacing w:line="240" w:lineRule="exact"/>
        <w:rPr>
          <w:lang w:val="fr-FR"/>
        </w:rPr>
      </w:pPr>
      <w:r w:rsidRPr="00111F07">
        <w:rPr>
          <w:lang w:val="fr-FR"/>
        </w:rPr>
        <w:t>La coopération entre le Ministère des affaires sociales/la campagne « Exprimez-vous » et la police est en cours. L</w:t>
      </w:r>
      <w:r w:rsidR="007A3CEB" w:rsidRPr="00111F07">
        <w:rPr>
          <w:lang w:val="fr-FR"/>
        </w:rPr>
        <w:t>’</w:t>
      </w:r>
      <w:r w:rsidRPr="00111F07">
        <w:rPr>
          <w:lang w:val="fr-FR"/>
        </w:rPr>
        <w:t>accent est mis sur la prévention et la sensibilisation à ces questions.</w:t>
      </w:r>
    </w:p>
    <w:p w14:paraId="409F3E0F" w14:textId="1C0B5157" w:rsidR="00603A87" w:rsidRPr="00111F07" w:rsidRDefault="00603A87" w:rsidP="003D0953">
      <w:pPr>
        <w:pStyle w:val="SingleTxt"/>
        <w:numPr>
          <w:ilvl w:val="0"/>
          <w:numId w:val="52"/>
        </w:numPr>
        <w:rPr>
          <w:lang w:val="fr-FR"/>
        </w:rPr>
      </w:pPr>
      <w:r w:rsidRPr="00111F07">
        <w:rPr>
          <w:lang w:val="fr-FR"/>
        </w:rPr>
        <w:t>Pour l</w:t>
      </w:r>
      <w:r w:rsidR="007A3CEB" w:rsidRPr="00111F07">
        <w:rPr>
          <w:lang w:val="fr-FR"/>
        </w:rPr>
        <w:t>’</w:t>
      </w:r>
      <w:r w:rsidRPr="00111F07">
        <w:rPr>
          <w:lang w:val="fr-FR"/>
        </w:rPr>
        <w:t>instant, le Gouvernement des îles Féroé n</w:t>
      </w:r>
      <w:r w:rsidR="007A3CEB" w:rsidRPr="00111F07">
        <w:rPr>
          <w:lang w:val="fr-FR"/>
        </w:rPr>
        <w:t>’</w:t>
      </w:r>
      <w:r w:rsidRPr="00111F07">
        <w:rPr>
          <w:lang w:val="fr-FR"/>
        </w:rPr>
        <w:t>a pas l</w:t>
      </w:r>
      <w:r w:rsidR="007A3CEB" w:rsidRPr="00111F07">
        <w:rPr>
          <w:lang w:val="fr-FR"/>
        </w:rPr>
        <w:t>’</w:t>
      </w:r>
      <w:r w:rsidRPr="00111F07">
        <w:rPr>
          <w:lang w:val="fr-FR"/>
        </w:rPr>
        <w:t>intention de fonder la définition légale du viol figurant dans le Code pénal féroïen sur l</w:t>
      </w:r>
      <w:r w:rsidR="007A3CEB" w:rsidRPr="00111F07">
        <w:rPr>
          <w:lang w:val="fr-FR"/>
        </w:rPr>
        <w:t>’</w:t>
      </w:r>
      <w:r w:rsidRPr="00111F07">
        <w:rPr>
          <w:lang w:val="fr-FR"/>
        </w:rPr>
        <w:t>absence de consentement plutôt que sur l</w:t>
      </w:r>
      <w:r w:rsidR="007A3CEB" w:rsidRPr="00111F07">
        <w:rPr>
          <w:lang w:val="fr-FR"/>
        </w:rPr>
        <w:t>’</w:t>
      </w:r>
      <w:r w:rsidRPr="00111F07">
        <w:rPr>
          <w:lang w:val="fr-FR"/>
        </w:rPr>
        <w:t>usage de la force, des menaces, etc.</w:t>
      </w:r>
    </w:p>
    <w:p w14:paraId="381CAB94" w14:textId="5FEC8E80" w:rsidR="00603A87" w:rsidRPr="00111F07" w:rsidRDefault="00603A87" w:rsidP="003D0953">
      <w:pPr>
        <w:pStyle w:val="SingleTxt"/>
        <w:numPr>
          <w:ilvl w:val="0"/>
          <w:numId w:val="52"/>
        </w:numPr>
        <w:rPr>
          <w:lang w:val="fr-FR"/>
        </w:rPr>
      </w:pPr>
      <w:r w:rsidRPr="00111F07">
        <w:rPr>
          <w:lang w:val="fr-FR"/>
        </w:rPr>
        <w:t>Un certain nombre de modifications législatives au Code pénal des îles Féroé concernant les agressions sexuelles ont été adoptées au printemps 2017. La peine pour viol a été augmentée d</w:t>
      </w:r>
      <w:r w:rsidR="007A3CEB" w:rsidRPr="00111F07">
        <w:rPr>
          <w:lang w:val="fr-FR"/>
        </w:rPr>
        <w:t>’</w:t>
      </w:r>
      <w:r w:rsidRPr="00111F07">
        <w:rPr>
          <w:lang w:val="fr-FR"/>
        </w:rPr>
        <w:t>un an en moyenne et la définition a été étendue pour inclure d</w:t>
      </w:r>
      <w:r w:rsidR="007A3CEB" w:rsidRPr="00111F07">
        <w:rPr>
          <w:lang w:val="fr-FR"/>
        </w:rPr>
        <w:t>’</w:t>
      </w:r>
      <w:r w:rsidRPr="00111F07">
        <w:rPr>
          <w:lang w:val="fr-FR"/>
        </w:rPr>
        <w:t>autres contraintes illégales et atteintes visant une personne sans défense ainsi que les agressions sexuelles dans le cadre du mariage.</w:t>
      </w:r>
    </w:p>
    <w:p w14:paraId="1123B07A" w14:textId="2135E1FC" w:rsidR="003D0953" w:rsidRPr="00111F07" w:rsidRDefault="003D0953" w:rsidP="003D0953">
      <w:pPr>
        <w:pStyle w:val="SingleTxt"/>
        <w:spacing w:after="0" w:line="120" w:lineRule="exact"/>
        <w:rPr>
          <w:sz w:val="10"/>
          <w:lang w:val="fr-FR"/>
        </w:rPr>
      </w:pPr>
    </w:p>
    <w:p w14:paraId="2B2B33B9" w14:textId="336C1C5F" w:rsidR="003D0953" w:rsidRPr="00111F07" w:rsidRDefault="003D0953" w:rsidP="003D0953">
      <w:pPr>
        <w:pStyle w:val="SingleTxt"/>
        <w:spacing w:after="0" w:line="120" w:lineRule="exact"/>
        <w:rPr>
          <w:sz w:val="10"/>
          <w:lang w:val="fr-FR"/>
        </w:rPr>
      </w:pPr>
    </w:p>
    <w:p w14:paraId="3EEF1658" w14:textId="247FEF6D" w:rsidR="00603A87" w:rsidRPr="00111F07" w:rsidRDefault="00603A87" w:rsidP="003D09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Traite et exploitation de la prostitution</w:t>
      </w:r>
    </w:p>
    <w:p w14:paraId="5B10E4C4" w14:textId="32250793" w:rsidR="003D0953" w:rsidRPr="00111F07" w:rsidRDefault="003D0953" w:rsidP="003D0953">
      <w:pPr>
        <w:pStyle w:val="SingleTxt"/>
        <w:spacing w:after="0" w:line="120" w:lineRule="exact"/>
        <w:rPr>
          <w:sz w:val="10"/>
          <w:lang w:val="fr-FR"/>
        </w:rPr>
      </w:pPr>
    </w:p>
    <w:p w14:paraId="51A05A1C" w14:textId="0FADB77F" w:rsidR="003D0953" w:rsidRPr="00111F07" w:rsidRDefault="003D0953" w:rsidP="003D0953">
      <w:pPr>
        <w:pStyle w:val="SingleTxt"/>
        <w:spacing w:after="0" w:line="120" w:lineRule="exact"/>
        <w:rPr>
          <w:sz w:val="10"/>
          <w:lang w:val="fr-FR"/>
        </w:rPr>
      </w:pPr>
    </w:p>
    <w:p w14:paraId="7539160B" w14:textId="4D7A19D0" w:rsidR="00603A87" w:rsidRPr="00111F07" w:rsidRDefault="00603A87" w:rsidP="003D09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10</w:t>
      </w:r>
    </w:p>
    <w:p w14:paraId="603D2C75" w14:textId="25DF73ED" w:rsidR="003D0953" w:rsidRPr="00111F07" w:rsidRDefault="003D0953" w:rsidP="003D0953">
      <w:pPr>
        <w:pStyle w:val="SingleTxt"/>
        <w:spacing w:after="0" w:line="120" w:lineRule="exact"/>
        <w:rPr>
          <w:sz w:val="10"/>
          <w:lang w:val="fr-FR"/>
        </w:rPr>
      </w:pPr>
    </w:p>
    <w:p w14:paraId="2DA10DB8" w14:textId="169806D1" w:rsidR="003D0953" w:rsidRPr="00111F07" w:rsidRDefault="003D0953" w:rsidP="003D0953">
      <w:pPr>
        <w:pStyle w:val="SingleTxt"/>
        <w:spacing w:after="0" w:line="120" w:lineRule="exact"/>
        <w:rPr>
          <w:sz w:val="10"/>
          <w:lang w:val="fr-FR"/>
        </w:rPr>
      </w:pPr>
    </w:p>
    <w:p w14:paraId="2A0F894D" w14:textId="765AEB52" w:rsidR="00603A87" w:rsidRPr="00111F07" w:rsidRDefault="00603A87" w:rsidP="003D0953">
      <w:pPr>
        <w:pStyle w:val="SingleTxt"/>
        <w:numPr>
          <w:ilvl w:val="0"/>
          <w:numId w:val="52"/>
        </w:numPr>
        <w:spacing w:line="240" w:lineRule="exact"/>
        <w:rPr>
          <w:lang w:val="fr-FR"/>
        </w:rPr>
      </w:pPr>
      <w:r w:rsidRPr="00111F07">
        <w:rPr>
          <w:lang w:val="fr-FR"/>
        </w:rPr>
        <w:t>Quatre cent soixante-treize personnes ont été identifiées comme victimes de la traite des êtres humains au Danemark au cours de la période 2015-2019 (noter que les données de 2019 n</w:t>
      </w:r>
      <w:r w:rsidR="007A3CEB" w:rsidRPr="00111F07">
        <w:rPr>
          <w:lang w:val="fr-FR"/>
        </w:rPr>
        <w:t>’</w:t>
      </w:r>
      <w:r w:rsidRPr="00111F07">
        <w:rPr>
          <w:lang w:val="fr-FR"/>
        </w:rPr>
        <w:t>ont pas encore été confirmées).</w:t>
      </w:r>
    </w:p>
    <w:p w14:paraId="311318A1" w14:textId="708DCBF4" w:rsidR="00603A87" w:rsidRPr="00111F07" w:rsidRDefault="00603A87" w:rsidP="003D0953">
      <w:pPr>
        <w:pStyle w:val="SingleTxt"/>
        <w:numPr>
          <w:ilvl w:val="0"/>
          <w:numId w:val="52"/>
        </w:numPr>
        <w:rPr>
          <w:lang w:val="fr-FR"/>
        </w:rPr>
      </w:pPr>
      <w:r w:rsidRPr="00111F07">
        <w:rPr>
          <w:lang w:val="fr-FR"/>
        </w:rPr>
        <w:t>Sur les 473 victimes de la traite, 328 étaient des femmes, 140 des hommes et cinq des transsexuels. Sur les 328 femmes victimes de la traite des êtres humains, 319 avaient plus de 18 ans au moment de leur identification et neuf avaient moins de 18</w:t>
      </w:r>
      <w:r w:rsidR="003D0953" w:rsidRPr="00111F07">
        <w:rPr>
          <w:lang w:val="fr-FR"/>
        </w:rPr>
        <w:t> </w:t>
      </w:r>
      <w:r w:rsidRPr="00111F07">
        <w:rPr>
          <w:lang w:val="fr-FR"/>
        </w:rPr>
        <w:t>ans. Les neuf filles avaient entre 12 et 17 ans, avec une moyenne de 16 ans au moment de leur identification.</w:t>
      </w:r>
    </w:p>
    <w:p w14:paraId="44A4A12B" w14:textId="1439DF8C" w:rsidR="00603A87" w:rsidRPr="00111F07" w:rsidRDefault="00603A87" w:rsidP="003D0953">
      <w:pPr>
        <w:pStyle w:val="SingleTxt"/>
        <w:numPr>
          <w:ilvl w:val="0"/>
          <w:numId w:val="52"/>
        </w:numPr>
        <w:rPr>
          <w:lang w:val="fr-FR"/>
        </w:rPr>
      </w:pPr>
      <w:r w:rsidRPr="00111F07">
        <w:rPr>
          <w:lang w:val="fr-FR"/>
        </w:rPr>
        <w:t>Les 319 femmes avaient entre 18 et 57 ans, avec une moyenne de 28 ans au moment de leur identification.</w:t>
      </w:r>
    </w:p>
    <w:p w14:paraId="7AC7CFCD" w14:textId="0B41AE91" w:rsidR="00603A87" w:rsidRPr="00111F07" w:rsidRDefault="00603A87" w:rsidP="003D0953">
      <w:pPr>
        <w:pStyle w:val="SingleTxt"/>
        <w:numPr>
          <w:ilvl w:val="0"/>
          <w:numId w:val="52"/>
        </w:numPr>
        <w:rPr>
          <w:lang w:val="fr-FR"/>
        </w:rPr>
      </w:pPr>
      <w:r w:rsidRPr="00111F07">
        <w:rPr>
          <w:lang w:val="fr-FR"/>
        </w:rPr>
        <w:lastRenderedPageBreak/>
        <w:t>Des statistiques ventilées par sexe, âge, nationalité et exploitation figurent à l</w:t>
      </w:r>
      <w:r w:rsidR="007A3CEB" w:rsidRPr="00111F07">
        <w:rPr>
          <w:lang w:val="fr-FR"/>
        </w:rPr>
        <w:t>’</w:t>
      </w:r>
      <w:r w:rsidRPr="00111F07">
        <w:rPr>
          <w:lang w:val="fr-FR"/>
        </w:rPr>
        <w:t>Annexe I. Le Danemark n</w:t>
      </w:r>
      <w:r w:rsidR="007A3CEB" w:rsidRPr="00111F07">
        <w:rPr>
          <w:lang w:val="fr-FR"/>
        </w:rPr>
        <w:t>’</w:t>
      </w:r>
      <w:r w:rsidRPr="00111F07">
        <w:rPr>
          <w:lang w:val="fr-FR"/>
        </w:rPr>
        <w:t>enregistre pas de données sur le handicap, l</w:t>
      </w:r>
      <w:r w:rsidR="007A3CEB" w:rsidRPr="00111F07">
        <w:rPr>
          <w:lang w:val="fr-FR"/>
        </w:rPr>
        <w:t>’</w:t>
      </w:r>
      <w:r w:rsidRPr="00111F07">
        <w:rPr>
          <w:lang w:val="fr-FR"/>
        </w:rPr>
        <w:t>origine ethnique et le statut de minorité nationale.</w:t>
      </w:r>
    </w:p>
    <w:p w14:paraId="2268E333" w14:textId="5B1CB034" w:rsidR="00603A87" w:rsidRPr="00111F07" w:rsidRDefault="00603A87" w:rsidP="005A4E5F">
      <w:pPr>
        <w:pStyle w:val="SingleTxt"/>
        <w:numPr>
          <w:ilvl w:val="0"/>
          <w:numId w:val="52"/>
        </w:numPr>
        <w:spacing w:line="240" w:lineRule="exact"/>
        <w:rPr>
          <w:lang w:val="fr-FR"/>
        </w:rPr>
      </w:pPr>
      <w:r w:rsidRPr="00111F07">
        <w:rPr>
          <w:lang w:val="fr-FR"/>
        </w:rPr>
        <w:t>Conformément au plan d</w:t>
      </w:r>
      <w:r w:rsidR="007A3CEB" w:rsidRPr="00111F07">
        <w:rPr>
          <w:lang w:val="fr-FR"/>
        </w:rPr>
        <w:t>’</w:t>
      </w:r>
      <w:r w:rsidRPr="00111F07">
        <w:rPr>
          <w:lang w:val="fr-FR"/>
        </w:rPr>
        <w:t>action national danois de lutte contre la traite des êtres humains, toutes les victimes identifiées se voient proposer un soutien, notamment un hébergement sûr, une assistance juridique et un accompagnement médical et psychologique.</w:t>
      </w:r>
    </w:p>
    <w:p w14:paraId="2CE0CF14" w14:textId="30E8C8C5" w:rsidR="00603A87" w:rsidRPr="00111F07" w:rsidRDefault="00603A87" w:rsidP="005A4E5F">
      <w:pPr>
        <w:pStyle w:val="SingleTxt"/>
        <w:numPr>
          <w:ilvl w:val="0"/>
          <w:numId w:val="52"/>
        </w:numPr>
        <w:spacing w:line="240" w:lineRule="exact"/>
        <w:rPr>
          <w:lang w:val="fr-FR"/>
        </w:rPr>
      </w:pPr>
      <w:r w:rsidRPr="00111F07">
        <w:rPr>
          <w:lang w:val="fr-FR"/>
        </w:rPr>
        <w:t>Depuis 2015 et jusqu</w:t>
      </w:r>
      <w:r w:rsidR="007A3CEB" w:rsidRPr="00111F07">
        <w:rPr>
          <w:lang w:val="fr-FR"/>
        </w:rPr>
        <w:t>’</w:t>
      </w:r>
      <w:r w:rsidRPr="00111F07">
        <w:rPr>
          <w:lang w:val="fr-FR"/>
        </w:rPr>
        <w:t>à présent, la Commission d</w:t>
      </w:r>
      <w:r w:rsidR="007A3CEB" w:rsidRPr="00111F07">
        <w:rPr>
          <w:lang w:val="fr-FR"/>
        </w:rPr>
        <w:t>’</w:t>
      </w:r>
      <w:r w:rsidRPr="00111F07">
        <w:rPr>
          <w:lang w:val="fr-FR"/>
        </w:rPr>
        <w:t>indemnisation des victimes d</w:t>
      </w:r>
      <w:r w:rsidR="007A3CEB" w:rsidRPr="00111F07">
        <w:rPr>
          <w:lang w:val="fr-FR"/>
        </w:rPr>
        <w:t>’</w:t>
      </w:r>
      <w:r w:rsidRPr="00111F07">
        <w:rPr>
          <w:lang w:val="fr-FR"/>
        </w:rPr>
        <w:t>infractions pénales du Danemark (</w:t>
      </w:r>
      <w:r w:rsidR="00C42243" w:rsidRPr="00111F07">
        <w:rPr>
          <w:lang w:val="fr-FR"/>
        </w:rPr>
        <w:t>« </w:t>
      </w:r>
      <w:r w:rsidRPr="00111F07">
        <w:rPr>
          <w:lang w:val="fr-FR"/>
        </w:rPr>
        <w:t>Erstatningsnævnet</w:t>
      </w:r>
      <w:r w:rsidR="00C42243" w:rsidRPr="00111F07">
        <w:rPr>
          <w:lang w:val="fr-FR"/>
        </w:rPr>
        <w:t> »</w:t>
      </w:r>
      <w:r w:rsidRPr="00111F07">
        <w:rPr>
          <w:lang w:val="fr-FR"/>
        </w:rPr>
        <w:t>) a traité deux cas de requérantes reconnues comme victimes de la traite des êtres humains. Les cas sont énumérés ci-dessous. C</w:t>
      </w:r>
      <w:r w:rsidR="007A3CEB" w:rsidRPr="00111F07">
        <w:rPr>
          <w:lang w:val="fr-FR"/>
        </w:rPr>
        <w:t>’</w:t>
      </w:r>
      <w:r w:rsidRPr="00111F07">
        <w:rPr>
          <w:lang w:val="fr-FR"/>
        </w:rPr>
        <w:t>est l</w:t>
      </w:r>
      <w:r w:rsidR="007A3CEB" w:rsidRPr="00111F07">
        <w:rPr>
          <w:lang w:val="fr-FR"/>
        </w:rPr>
        <w:t>’</w:t>
      </w:r>
      <w:r w:rsidRPr="00111F07">
        <w:rPr>
          <w:lang w:val="fr-FR"/>
        </w:rPr>
        <w:t>État qui verse cette indemnisation.</w:t>
      </w:r>
    </w:p>
    <w:p w14:paraId="70B265A1" w14:textId="77777777" w:rsidR="005A4E5F" w:rsidRPr="00111F07" w:rsidRDefault="005A4E5F" w:rsidP="005A4E5F">
      <w:pPr>
        <w:pStyle w:val="SingleTxt"/>
        <w:spacing w:after="0" w:line="120" w:lineRule="exact"/>
        <w:rPr>
          <w:sz w:val="10"/>
          <w:lang w:val="fr-FR"/>
        </w:r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990"/>
        <w:gridCol w:w="747"/>
        <w:gridCol w:w="1053"/>
        <w:gridCol w:w="1080"/>
        <w:gridCol w:w="1080"/>
        <w:gridCol w:w="1215"/>
        <w:gridCol w:w="1404"/>
        <w:gridCol w:w="1747"/>
      </w:tblGrid>
      <w:tr w:rsidR="005A4E5F" w:rsidRPr="00111F07" w14:paraId="06C9F643" w14:textId="77777777" w:rsidTr="005A4E5F">
        <w:trPr>
          <w:cantSplit/>
          <w:tblHeader/>
        </w:trPr>
        <w:tc>
          <w:tcPr>
            <w:tcW w:w="540" w:type="dxa"/>
            <w:tcBorders>
              <w:top w:val="single" w:sz="4" w:space="0" w:color="auto"/>
              <w:bottom w:val="single" w:sz="12" w:space="0" w:color="auto"/>
            </w:tcBorders>
            <w:shd w:val="clear" w:color="auto" w:fill="auto"/>
            <w:noWrap/>
            <w:vAlign w:val="bottom"/>
          </w:tcPr>
          <w:p w14:paraId="4298D7CF" w14:textId="77777777" w:rsidR="005A4E5F" w:rsidRPr="00111F07" w:rsidRDefault="005A4E5F" w:rsidP="005A4E5F">
            <w:pPr>
              <w:suppressAutoHyphens/>
              <w:spacing w:before="81" w:after="81" w:line="160" w:lineRule="exact"/>
              <w:ind w:right="40"/>
              <w:rPr>
                <w:i/>
                <w:sz w:val="14"/>
              </w:rPr>
            </w:pPr>
            <w:r w:rsidRPr="00111F07">
              <w:rPr>
                <w:i/>
                <w:sz w:val="14"/>
              </w:rPr>
              <w:t>Année</w:t>
            </w:r>
          </w:p>
        </w:tc>
        <w:tc>
          <w:tcPr>
            <w:tcW w:w="990" w:type="dxa"/>
            <w:tcBorders>
              <w:top w:val="single" w:sz="4" w:space="0" w:color="auto"/>
              <w:bottom w:val="single" w:sz="12" w:space="0" w:color="auto"/>
            </w:tcBorders>
            <w:shd w:val="clear" w:color="auto" w:fill="auto"/>
            <w:noWrap/>
            <w:vAlign w:val="bottom"/>
          </w:tcPr>
          <w:p w14:paraId="7C9C09C5" w14:textId="77777777" w:rsidR="005A4E5F" w:rsidRPr="00111F07" w:rsidRDefault="005A4E5F" w:rsidP="005A4E5F">
            <w:pPr>
              <w:suppressAutoHyphens/>
              <w:spacing w:before="81" w:after="81" w:line="160" w:lineRule="exact"/>
              <w:ind w:left="70" w:right="43"/>
              <w:rPr>
                <w:i/>
                <w:sz w:val="14"/>
              </w:rPr>
            </w:pPr>
            <w:r w:rsidRPr="00111F07">
              <w:rPr>
                <w:i/>
                <w:sz w:val="14"/>
              </w:rPr>
              <w:t>Sexe</w:t>
            </w:r>
          </w:p>
        </w:tc>
        <w:tc>
          <w:tcPr>
            <w:tcW w:w="747" w:type="dxa"/>
            <w:tcBorders>
              <w:top w:val="single" w:sz="4" w:space="0" w:color="auto"/>
              <w:bottom w:val="single" w:sz="12" w:space="0" w:color="auto"/>
            </w:tcBorders>
            <w:shd w:val="clear" w:color="auto" w:fill="auto"/>
            <w:noWrap/>
            <w:vAlign w:val="bottom"/>
          </w:tcPr>
          <w:p w14:paraId="092FC826" w14:textId="77777777" w:rsidR="005A4E5F" w:rsidRPr="00111F07" w:rsidRDefault="005A4E5F" w:rsidP="005A4E5F">
            <w:pPr>
              <w:suppressAutoHyphens/>
              <w:spacing w:before="81" w:after="81" w:line="160" w:lineRule="exact"/>
              <w:ind w:left="70" w:right="43"/>
              <w:rPr>
                <w:i/>
                <w:sz w:val="14"/>
              </w:rPr>
            </w:pPr>
            <w:r w:rsidRPr="00111F07">
              <w:rPr>
                <w:i/>
                <w:sz w:val="14"/>
              </w:rPr>
              <w:t>Âge</w:t>
            </w:r>
          </w:p>
        </w:tc>
        <w:tc>
          <w:tcPr>
            <w:tcW w:w="1053" w:type="dxa"/>
            <w:tcBorders>
              <w:top w:val="single" w:sz="4" w:space="0" w:color="auto"/>
              <w:bottom w:val="single" w:sz="12" w:space="0" w:color="auto"/>
            </w:tcBorders>
            <w:shd w:val="clear" w:color="auto" w:fill="auto"/>
            <w:noWrap/>
            <w:vAlign w:val="bottom"/>
          </w:tcPr>
          <w:p w14:paraId="091E1DC5" w14:textId="77777777" w:rsidR="005A4E5F" w:rsidRPr="00111F07" w:rsidRDefault="005A4E5F" w:rsidP="005A4E5F">
            <w:pPr>
              <w:suppressAutoHyphens/>
              <w:spacing w:before="81" w:after="81" w:line="160" w:lineRule="exact"/>
              <w:ind w:left="70" w:right="43"/>
              <w:rPr>
                <w:i/>
                <w:sz w:val="14"/>
              </w:rPr>
            </w:pPr>
            <w:r w:rsidRPr="00111F07">
              <w:rPr>
                <w:i/>
                <w:sz w:val="14"/>
              </w:rPr>
              <w:t>Nationalité</w:t>
            </w:r>
          </w:p>
        </w:tc>
        <w:tc>
          <w:tcPr>
            <w:tcW w:w="1080" w:type="dxa"/>
            <w:tcBorders>
              <w:top w:val="single" w:sz="4" w:space="0" w:color="auto"/>
              <w:bottom w:val="single" w:sz="12" w:space="0" w:color="auto"/>
            </w:tcBorders>
            <w:shd w:val="clear" w:color="auto" w:fill="auto"/>
            <w:noWrap/>
            <w:vAlign w:val="bottom"/>
          </w:tcPr>
          <w:p w14:paraId="6368B860" w14:textId="77777777" w:rsidR="005A4E5F" w:rsidRPr="00111F07" w:rsidRDefault="005A4E5F" w:rsidP="005A4E5F">
            <w:pPr>
              <w:suppressAutoHyphens/>
              <w:spacing w:before="81" w:after="81" w:line="160" w:lineRule="exact"/>
              <w:ind w:left="70" w:right="43"/>
              <w:rPr>
                <w:i/>
                <w:sz w:val="14"/>
              </w:rPr>
            </w:pPr>
            <w:r w:rsidRPr="00111F07">
              <w:rPr>
                <w:i/>
                <w:sz w:val="14"/>
              </w:rPr>
              <w:t>Montant réclamé</w:t>
            </w:r>
          </w:p>
        </w:tc>
        <w:tc>
          <w:tcPr>
            <w:tcW w:w="1080" w:type="dxa"/>
            <w:tcBorders>
              <w:top w:val="single" w:sz="4" w:space="0" w:color="auto"/>
              <w:bottom w:val="single" w:sz="12" w:space="0" w:color="auto"/>
            </w:tcBorders>
            <w:shd w:val="clear" w:color="auto" w:fill="auto"/>
            <w:noWrap/>
            <w:vAlign w:val="bottom"/>
          </w:tcPr>
          <w:p w14:paraId="4376225A" w14:textId="77777777" w:rsidR="005A4E5F" w:rsidRPr="00111F07" w:rsidRDefault="005A4E5F" w:rsidP="005A4E5F">
            <w:pPr>
              <w:suppressAutoHyphens/>
              <w:spacing w:before="81" w:after="81" w:line="160" w:lineRule="exact"/>
              <w:ind w:left="70" w:right="43"/>
              <w:rPr>
                <w:i/>
                <w:sz w:val="14"/>
              </w:rPr>
            </w:pPr>
            <w:r w:rsidRPr="00111F07">
              <w:rPr>
                <w:i/>
                <w:sz w:val="14"/>
              </w:rPr>
              <w:t>Montant accordé</w:t>
            </w:r>
          </w:p>
        </w:tc>
        <w:tc>
          <w:tcPr>
            <w:tcW w:w="1215" w:type="dxa"/>
            <w:tcBorders>
              <w:top w:val="single" w:sz="4" w:space="0" w:color="auto"/>
              <w:bottom w:val="single" w:sz="12" w:space="0" w:color="auto"/>
            </w:tcBorders>
            <w:shd w:val="clear" w:color="auto" w:fill="auto"/>
            <w:noWrap/>
            <w:vAlign w:val="bottom"/>
          </w:tcPr>
          <w:p w14:paraId="2610AA9E" w14:textId="77777777" w:rsidR="005A4E5F" w:rsidRPr="00111F07" w:rsidRDefault="005A4E5F" w:rsidP="005A4E5F">
            <w:pPr>
              <w:suppressAutoHyphens/>
              <w:spacing w:before="81" w:after="81" w:line="160" w:lineRule="exact"/>
              <w:ind w:left="70" w:right="43"/>
              <w:rPr>
                <w:i/>
                <w:sz w:val="14"/>
              </w:rPr>
            </w:pPr>
            <w:r w:rsidRPr="00111F07">
              <w:rPr>
                <w:i/>
                <w:sz w:val="14"/>
              </w:rPr>
              <w:t>Forme d’exploitation</w:t>
            </w:r>
          </w:p>
        </w:tc>
        <w:tc>
          <w:tcPr>
            <w:tcW w:w="1404" w:type="dxa"/>
            <w:tcBorders>
              <w:top w:val="single" w:sz="4" w:space="0" w:color="auto"/>
              <w:bottom w:val="single" w:sz="12" w:space="0" w:color="auto"/>
            </w:tcBorders>
            <w:shd w:val="clear" w:color="auto" w:fill="auto"/>
            <w:noWrap/>
            <w:vAlign w:val="bottom"/>
          </w:tcPr>
          <w:p w14:paraId="686E33A8" w14:textId="77777777" w:rsidR="005A4E5F" w:rsidRPr="00111F07" w:rsidRDefault="005A4E5F" w:rsidP="005A4E5F">
            <w:pPr>
              <w:suppressAutoHyphens/>
              <w:spacing w:before="81" w:after="81" w:line="160" w:lineRule="exact"/>
              <w:ind w:left="70" w:right="43"/>
              <w:rPr>
                <w:i/>
                <w:sz w:val="14"/>
              </w:rPr>
            </w:pPr>
            <w:r w:rsidRPr="00111F07">
              <w:rPr>
                <w:i/>
                <w:sz w:val="14"/>
              </w:rPr>
              <w:t>Indemnisation</w:t>
            </w:r>
          </w:p>
        </w:tc>
        <w:tc>
          <w:tcPr>
            <w:tcW w:w="1747" w:type="dxa"/>
            <w:tcBorders>
              <w:top w:val="single" w:sz="4" w:space="0" w:color="auto"/>
              <w:bottom w:val="single" w:sz="12" w:space="0" w:color="auto"/>
            </w:tcBorders>
            <w:shd w:val="clear" w:color="auto" w:fill="auto"/>
            <w:noWrap/>
            <w:vAlign w:val="bottom"/>
          </w:tcPr>
          <w:p w14:paraId="66C0A013" w14:textId="77777777" w:rsidR="005A4E5F" w:rsidRPr="00111F07" w:rsidRDefault="005A4E5F" w:rsidP="005A4E5F">
            <w:pPr>
              <w:suppressAutoHyphens/>
              <w:spacing w:before="81" w:after="81" w:line="160" w:lineRule="exact"/>
              <w:ind w:left="70" w:right="43"/>
              <w:rPr>
                <w:i/>
                <w:sz w:val="14"/>
              </w:rPr>
            </w:pPr>
            <w:r w:rsidRPr="00111F07">
              <w:rPr>
                <w:i/>
                <w:sz w:val="14"/>
              </w:rPr>
              <w:t>Statut</w:t>
            </w:r>
          </w:p>
        </w:tc>
      </w:tr>
      <w:tr w:rsidR="005A4E5F" w:rsidRPr="00111F07" w14:paraId="0678C972" w14:textId="77777777" w:rsidTr="005A4E5F">
        <w:trPr>
          <w:cantSplit/>
          <w:trHeight w:hRule="exact" w:val="115"/>
          <w:tblHeader/>
        </w:trPr>
        <w:tc>
          <w:tcPr>
            <w:tcW w:w="540" w:type="dxa"/>
            <w:tcBorders>
              <w:top w:val="single" w:sz="12" w:space="0" w:color="auto"/>
            </w:tcBorders>
            <w:shd w:val="clear" w:color="auto" w:fill="auto"/>
            <w:noWrap/>
            <w:vAlign w:val="bottom"/>
          </w:tcPr>
          <w:p w14:paraId="1FF0DD47" w14:textId="77777777" w:rsidR="005A4E5F" w:rsidRPr="00111F07" w:rsidRDefault="005A4E5F" w:rsidP="005A4E5F">
            <w:pPr>
              <w:suppressAutoHyphens/>
              <w:spacing w:before="40" w:after="80"/>
              <w:ind w:right="40"/>
            </w:pPr>
          </w:p>
        </w:tc>
        <w:tc>
          <w:tcPr>
            <w:tcW w:w="990" w:type="dxa"/>
            <w:tcBorders>
              <w:top w:val="single" w:sz="12" w:space="0" w:color="auto"/>
            </w:tcBorders>
            <w:shd w:val="clear" w:color="auto" w:fill="auto"/>
            <w:noWrap/>
            <w:vAlign w:val="bottom"/>
          </w:tcPr>
          <w:p w14:paraId="7665A5A9" w14:textId="77777777" w:rsidR="005A4E5F" w:rsidRPr="00111F07" w:rsidRDefault="005A4E5F" w:rsidP="005A4E5F">
            <w:pPr>
              <w:suppressAutoHyphens/>
              <w:spacing w:before="40" w:after="80"/>
              <w:ind w:left="70" w:right="43"/>
            </w:pPr>
          </w:p>
        </w:tc>
        <w:tc>
          <w:tcPr>
            <w:tcW w:w="747" w:type="dxa"/>
            <w:tcBorders>
              <w:top w:val="single" w:sz="12" w:space="0" w:color="auto"/>
            </w:tcBorders>
            <w:shd w:val="clear" w:color="auto" w:fill="auto"/>
            <w:noWrap/>
            <w:vAlign w:val="bottom"/>
          </w:tcPr>
          <w:p w14:paraId="34913F6E" w14:textId="77777777" w:rsidR="005A4E5F" w:rsidRPr="00111F07" w:rsidRDefault="005A4E5F" w:rsidP="005A4E5F">
            <w:pPr>
              <w:suppressAutoHyphens/>
              <w:spacing w:before="40" w:after="80"/>
              <w:ind w:left="70" w:right="43"/>
            </w:pPr>
          </w:p>
        </w:tc>
        <w:tc>
          <w:tcPr>
            <w:tcW w:w="1053" w:type="dxa"/>
            <w:tcBorders>
              <w:top w:val="single" w:sz="12" w:space="0" w:color="auto"/>
            </w:tcBorders>
            <w:shd w:val="clear" w:color="auto" w:fill="auto"/>
            <w:noWrap/>
            <w:vAlign w:val="bottom"/>
          </w:tcPr>
          <w:p w14:paraId="433B1C54" w14:textId="77777777" w:rsidR="005A4E5F" w:rsidRPr="00111F07" w:rsidRDefault="005A4E5F" w:rsidP="005A4E5F">
            <w:pPr>
              <w:suppressAutoHyphens/>
              <w:spacing w:before="40" w:after="80"/>
              <w:ind w:left="70" w:right="43"/>
            </w:pPr>
          </w:p>
        </w:tc>
        <w:tc>
          <w:tcPr>
            <w:tcW w:w="1080" w:type="dxa"/>
            <w:tcBorders>
              <w:top w:val="single" w:sz="12" w:space="0" w:color="auto"/>
            </w:tcBorders>
            <w:shd w:val="clear" w:color="auto" w:fill="auto"/>
            <w:noWrap/>
            <w:vAlign w:val="bottom"/>
          </w:tcPr>
          <w:p w14:paraId="4DBA934A" w14:textId="77777777" w:rsidR="005A4E5F" w:rsidRPr="00111F07" w:rsidRDefault="005A4E5F" w:rsidP="005A4E5F">
            <w:pPr>
              <w:suppressAutoHyphens/>
              <w:spacing w:before="40" w:after="80"/>
              <w:ind w:left="70" w:right="43"/>
            </w:pPr>
          </w:p>
        </w:tc>
        <w:tc>
          <w:tcPr>
            <w:tcW w:w="1080" w:type="dxa"/>
            <w:tcBorders>
              <w:top w:val="single" w:sz="12" w:space="0" w:color="auto"/>
            </w:tcBorders>
            <w:shd w:val="clear" w:color="auto" w:fill="auto"/>
            <w:noWrap/>
            <w:vAlign w:val="bottom"/>
          </w:tcPr>
          <w:p w14:paraId="09B15062" w14:textId="77777777" w:rsidR="005A4E5F" w:rsidRPr="00111F07" w:rsidRDefault="005A4E5F" w:rsidP="005A4E5F">
            <w:pPr>
              <w:suppressAutoHyphens/>
              <w:spacing w:before="40" w:after="80"/>
              <w:ind w:left="70" w:right="43"/>
            </w:pPr>
          </w:p>
        </w:tc>
        <w:tc>
          <w:tcPr>
            <w:tcW w:w="1215" w:type="dxa"/>
            <w:tcBorders>
              <w:top w:val="single" w:sz="12" w:space="0" w:color="auto"/>
            </w:tcBorders>
            <w:shd w:val="clear" w:color="auto" w:fill="auto"/>
            <w:noWrap/>
            <w:vAlign w:val="bottom"/>
          </w:tcPr>
          <w:p w14:paraId="7265728D" w14:textId="77777777" w:rsidR="005A4E5F" w:rsidRPr="00111F07" w:rsidRDefault="005A4E5F" w:rsidP="005A4E5F">
            <w:pPr>
              <w:suppressAutoHyphens/>
              <w:spacing w:before="40" w:after="80"/>
              <w:ind w:left="70" w:right="43"/>
            </w:pPr>
          </w:p>
        </w:tc>
        <w:tc>
          <w:tcPr>
            <w:tcW w:w="1404" w:type="dxa"/>
            <w:tcBorders>
              <w:top w:val="single" w:sz="12" w:space="0" w:color="auto"/>
            </w:tcBorders>
            <w:shd w:val="clear" w:color="auto" w:fill="auto"/>
            <w:noWrap/>
            <w:vAlign w:val="bottom"/>
          </w:tcPr>
          <w:p w14:paraId="38E878D8" w14:textId="77777777" w:rsidR="005A4E5F" w:rsidRPr="00111F07" w:rsidRDefault="005A4E5F" w:rsidP="005A4E5F">
            <w:pPr>
              <w:suppressAutoHyphens/>
              <w:spacing w:before="40" w:after="80"/>
              <w:ind w:left="70" w:right="43"/>
            </w:pPr>
          </w:p>
        </w:tc>
        <w:tc>
          <w:tcPr>
            <w:tcW w:w="1747" w:type="dxa"/>
            <w:tcBorders>
              <w:top w:val="single" w:sz="12" w:space="0" w:color="auto"/>
            </w:tcBorders>
            <w:shd w:val="clear" w:color="auto" w:fill="auto"/>
            <w:noWrap/>
            <w:vAlign w:val="bottom"/>
          </w:tcPr>
          <w:p w14:paraId="4970C66B" w14:textId="77777777" w:rsidR="005A4E5F" w:rsidRPr="00111F07" w:rsidRDefault="005A4E5F" w:rsidP="005A4E5F">
            <w:pPr>
              <w:suppressAutoHyphens/>
              <w:spacing w:before="40" w:after="80"/>
              <w:ind w:left="70" w:right="43"/>
            </w:pPr>
          </w:p>
        </w:tc>
      </w:tr>
      <w:tr w:rsidR="005A4E5F" w:rsidRPr="00111F07" w14:paraId="405AC18C" w14:textId="77777777" w:rsidTr="005A4E5F">
        <w:trPr>
          <w:cantSplit/>
        </w:trPr>
        <w:tc>
          <w:tcPr>
            <w:tcW w:w="540" w:type="dxa"/>
            <w:shd w:val="clear" w:color="auto" w:fill="auto"/>
            <w:noWrap/>
          </w:tcPr>
          <w:p w14:paraId="0CF91766" w14:textId="77777777" w:rsidR="005A4E5F" w:rsidRPr="00111F07" w:rsidRDefault="005A4E5F" w:rsidP="005A4E5F">
            <w:pPr>
              <w:tabs>
                <w:tab w:val="left" w:pos="288"/>
                <w:tab w:val="left" w:pos="576"/>
                <w:tab w:val="left" w:pos="864"/>
                <w:tab w:val="left" w:pos="1152"/>
              </w:tabs>
              <w:suppressAutoHyphens/>
              <w:spacing w:before="40" w:after="80"/>
              <w:ind w:right="40"/>
            </w:pPr>
            <w:r w:rsidRPr="00111F07">
              <w:t>2017</w:t>
            </w:r>
          </w:p>
        </w:tc>
        <w:tc>
          <w:tcPr>
            <w:tcW w:w="990" w:type="dxa"/>
            <w:shd w:val="clear" w:color="auto" w:fill="auto"/>
            <w:noWrap/>
          </w:tcPr>
          <w:p w14:paraId="4B035A3A"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Féminin</w:t>
            </w:r>
          </w:p>
        </w:tc>
        <w:tc>
          <w:tcPr>
            <w:tcW w:w="747" w:type="dxa"/>
            <w:shd w:val="clear" w:color="auto" w:fill="auto"/>
            <w:noWrap/>
          </w:tcPr>
          <w:p w14:paraId="5AA9496C"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19 ans</w:t>
            </w:r>
          </w:p>
        </w:tc>
        <w:tc>
          <w:tcPr>
            <w:tcW w:w="1053" w:type="dxa"/>
            <w:shd w:val="clear" w:color="auto" w:fill="auto"/>
            <w:noWrap/>
          </w:tcPr>
          <w:p w14:paraId="2B7292B8"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Bulgarie</w:t>
            </w:r>
          </w:p>
        </w:tc>
        <w:tc>
          <w:tcPr>
            <w:tcW w:w="1080" w:type="dxa"/>
            <w:shd w:val="clear" w:color="auto" w:fill="auto"/>
            <w:noWrap/>
          </w:tcPr>
          <w:p w14:paraId="6573788E" w14:textId="69EEF0EA" w:rsidR="005A4E5F" w:rsidRPr="00111F07" w:rsidRDefault="005A4E5F" w:rsidP="005A4E5F">
            <w:pPr>
              <w:tabs>
                <w:tab w:val="left" w:pos="288"/>
                <w:tab w:val="left" w:pos="576"/>
                <w:tab w:val="left" w:pos="864"/>
                <w:tab w:val="left" w:pos="1152"/>
              </w:tabs>
              <w:suppressAutoHyphens/>
              <w:spacing w:before="40" w:after="80"/>
              <w:ind w:left="70" w:right="43"/>
            </w:pPr>
            <w:r w:rsidRPr="00111F07">
              <w:t>60,000 couronnes danoises)</w:t>
            </w:r>
          </w:p>
        </w:tc>
        <w:tc>
          <w:tcPr>
            <w:tcW w:w="1080" w:type="dxa"/>
            <w:shd w:val="clear" w:color="auto" w:fill="auto"/>
            <w:noWrap/>
          </w:tcPr>
          <w:p w14:paraId="19E4C604" w14:textId="3D12FD62" w:rsidR="005A4E5F" w:rsidRPr="00111F07" w:rsidRDefault="005A4E5F" w:rsidP="005A4E5F">
            <w:pPr>
              <w:tabs>
                <w:tab w:val="left" w:pos="288"/>
                <w:tab w:val="left" w:pos="576"/>
                <w:tab w:val="left" w:pos="864"/>
                <w:tab w:val="left" w:pos="1152"/>
              </w:tabs>
              <w:suppressAutoHyphens/>
              <w:spacing w:before="40" w:after="80"/>
              <w:ind w:left="70" w:right="43"/>
            </w:pPr>
            <w:r w:rsidRPr="00111F07">
              <w:t>18,000 couronnes danoises</w:t>
            </w:r>
          </w:p>
        </w:tc>
        <w:tc>
          <w:tcPr>
            <w:tcW w:w="1215" w:type="dxa"/>
            <w:shd w:val="clear" w:color="auto" w:fill="auto"/>
            <w:noWrap/>
          </w:tcPr>
          <w:p w14:paraId="788D468A"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Prostitution</w:t>
            </w:r>
          </w:p>
        </w:tc>
        <w:tc>
          <w:tcPr>
            <w:tcW w:w="1404" w:type="dxa"/>
            <w:shd w:val="clear" w:color="auto" w:fill="auto"/>
            <w:noWrap/>
          </w:tcPr>
          <w:p w14:paraId="5ED81A16"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Indemnisation des victimes de délits</w:t>
            </w:r>
          </w:p>
        </w:tc>
        <w:tc>
          <w:tcPr>
            <w:tcW w:w="1747" w:type="dxa"/>
            <w:shd w:val="clear" w:color="auto" w:fill="auto"/>
            <w:noWrap/>
          </w:tcPr>
          <w:p w14:paraId="236DA4DF"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La demande est toujours en cours d’examen par la Commission en ce qui concerne les lésions permanentes</w:t>
            </w:r>
          </w:p>
        </w:tc>
      </w:tr>
      <w:tr w:rsidR="005A4E5F" w:rsidRPr="00111F07" w14:paraId="0BEB6331" w14:textId="77777777" w:rsidTr="005A4E5F">
        <w:trPr>
          <w:cantSplit/>
        </w:trPr>
        <w:tc>
          <w:tcPr>
            <w:tcW w:w="540" w:type="dxa"/>
            <w:tcBorders>
              <w:bottom w:val="single" w:sz="12" w:space="0" w:color="auto"/>
            </w:tcBorders>
            <w:shd w:val="clear" w:color="auto" w:fill="auto"/>
            <w:noWrap/>
          </w:tcPr>
          <w:p w14:paraId="74BFFD16" w14:textId="18C02C66" w:rsidR="005A4E5F" w:rsidRPr="00111F07" w:rsidRDefault="005A4E5F" w:rsidP="005A4E5F">
            <w:pPr>
              <w:tabs>
                <w:tab w:val="left" w:pos="288"/>
                <w:tab w:val="left" w:pos="576"/>
                <w:tab w:val="left" w:pos="864"/>
                <w:tab w:val="left" w:pos="1152"/>
              </w:tabs>
              <w:suppressAutoHyphens/>
              <w:spacing w:before="40" w:after="80"/>
              <w:ind w:right="40"/>
            </w:pPr>
            <w:r w:rsidRPr="00111F07">
              <w:t>2018</w:t>
            </w:r>
          </w:p>
        </w:tc>
        <w:tc>
          <w:tcPr>
            <w:tcW w:w="990" w:type="dxa"/>
            <w:tcBorders>
              <w:bottom w:val="single" w:sz="12" w:space="0" w:color="auto"/>
            </w:tcBorders>
            <w:shd w:val="clear" w:color="auto" w:fill="auto"/>
            <w:noWrap/>
          </w:tcPr>
          <w:p w14:paraId="045D1E0C"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Féminin</w:t>
            </w:r>
          </w:p>
        </w:tc>
        <w:tc>
          <w:tcPr>
            <w:tcW w:w="747" w:type="dxa"/>
            <w:tcBorders>
              <w:bottom w:val="single" w:sz="12" w:space="0" w:color="auto"/>
            </w:tcBorders>
            <w:shd w:val="clear" w:color="auto" w:fill="auto"/>
            <w:noWrap/>
          </w:tcPr>
          <w:p w14:paraId="035658F4"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40 ans</w:t>
            </w:r>
          </w:p>
        </w:tc>
        <w:tc>
          <w:tcPr>
            <w:tcW w:w="1053" w:type="dxa"/>
            <w:tcBorders>
              <w:bottom w:val="single" w:sz="12" w:space="0" w:color="auto"/>
            </w:tcBorders>
            <w:shd w:val="clear" w:color="auto" w:fill="auto"/>
            <w:noWrap/>
          </w:tcPr>
          <w:p w14:paraId="229F2AA9"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Thaïlande</w:t>
            </w:r>
          </w:p>
        </w:tc>
        <w:tc>
          <w:tcPr>
            <w:tcW w:w="1080" w:type="dxa"/>
            <w:tcBorders>
              <w:bottom w:val="single" w:sz="12" w:space="0" w:color="auto"/>
            </w:tcBorders>
            <w:shd w:val="clear" w:color="auto" w:fill="auto"/>
            <w:noWrap/>
          </w:tcPr>
          <w:p w14:paraId="4F345AB4" w14:textId="1C8F68DA" w:rsidR="005A4E5F" w:rsidRPr="00111F07" w:rsidRDefault="005A4E5F" w:rsidP="005A4E5F">
            <w:pPr>
              <w:tabs>
                <w:tab w:val="left" w:pos="288"/>
                <w:tab w:val="left" w:pos="576"/>
                <w:tab w:val="left" w:pos="864"/>
                <w:tab w:val="left" w:pos="1152"/>
              </w:tabs>
              <w:suppressAutoHyphens/>
              <w:spacing w:before="40" w:after="80"/>
              <w:ind w:left="70" w:right="43"/>
            </w:pPr>
            <w:r w:rsidRPr="00111F07">
              <w:t>60,000 couronnes danoises</w:t>
            </w:r>
          </w:p>
        </w:tc>
        <w:tc>
          <w:tcPr>
            <w:tcW w:w="1080" w:type="dxa"/>
            <w:tcBorders>
              <w:bottom w:val="single" w:sz="12" w:space="0" w:color="auto"/>
            </w:tcBorders>
            <w:shd w:val="clear" w:color="auto" w:fill="auto"/>
            <w:noWrap/>
          </w:tcPr>
          <w:p w14:paraId="268885E8" w14:textId="44B63B47" w:rsidR="005A4E5F" w:rsidRPr="00111F07" w:rsidRDefault="005A4E5F" w:rsidP="005A4E5F">
            <w:pPr>
              <w:tabs>
                <w:tab w:val="left" w:pos="288"/>
                <w:tab w:val="left" w:pos="576"/>
                <w:tab w:val="left" w:pos="864"/>
                <w:tab w:val="left" w:pos="1152"/>
              </w:tabs>
              <w:suppressAutoHyphens/>
              <w:spacing w:before="40" w:after="80"/>
              <w:ind w:left="70" w:right="43"/>
            </w:pPr>
            <w:r w:rsidRPr="00111F07">
              <w:t>50,000 couronnes danoises</w:t>
            </w:r>
          </w:p>
        </w:tc>
        <w:tc>
          <w:tcPr>
            <w:tcW w:w="1215" w:type="dxa"/>
            <w:tcBorders>
              <w:bottom w:val="single" w:sz="12" w:space="0" w:color="auto"/>
            </w:tcBorders>
            <w:shd w:val="clear" w:color="auto" w:fill="auto"/>
            <w:noWrap/>
          </w:tcPr>
          <w:p w14:paraId="5E85D8F1" w14:textId="1E0CE298" w:rsidR="005A4E5F" w:rsidRPr="00111F07" w:rsidRDefault="005A4E5F" w:rsidP="005A4E5F">
            <w:pPr>
              <w:tabs>
                <w:tab w:val="left" w:pos="288"/>
                <w:tab w:val="left" w:pos="576"/>
                <w:tab w:val="left" w:pos="864"/>
                <w:tab w:val="left" w:pos="1152"/>
              </w:tabs>
              <w:suppressAutoHyphens/>
              <w:spacing w:before="40" w:after="80"/>
              <w:ind w:left="70" w:right="43"/>
            </w:pPr>
            <w:r w:rsidRPr="00111F07">
              <w:t>Prostitution,menaces</w:t>
            </w:r>
          </w:p>
        </w:tc>
        <w:tc>
          <w:tcPr>
            <w:tcW w:w="1404" w:type="dxa"/>
            <w:tcBorders>
              <w:bottom w:val="single" w:sz="12" w:space="0" w:color="auto"/>
            </w:tcBorders>
            <w:shd w:val="clear" w:color="auto" w:fill="auto"/>
            <w:noWrap/>
          </w:tcPr>
          <w:p w14:paraId="4FE07037"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Indemnisation des victimes de délits</w:t>
            </w:r>
          </w:p>
        </w:tc>
        <w:tc>
          <w:tcPr>
            <w:tcW w:w="1747" w:type="dxa"/>
            <w:tcBorders>
              <w:bottom w:val="single" w:sz="12" w:space="0" w:color="auto"/>
            </w:tcBorders>
            <w:shd w:val="clear" w:color="auto" w:fill="auto"/>
            <w:noWrap/>
          </w:tcPr>
          <w:p w14:paraId="703DBF93" w14:textId="77777777" w:rsidR="005A4E5F" w:rsidRPr="00111F07" w:rsidRDefault="005A4E5F" w:rsidP="005A4E5F">
            <w:pPr>
              <w:tabs>
                <w:tab w:val="left" w:pos="288"/>
                <w:tab w:val="left" w:pos="576"/>
                <w:tab w:val="left" w:pos="864"/>
                <w:tab w:val="left" w:pos="1152"/>
              </w:tabs>
              <w:suppressAutoHyphens/>
              <w:spacing w:before="40" w:after="80"/>
              <w:ind w:left="70" w:right="43"/>
            </w:pPr>
            <w:r w:rsidRPr="00111F07">
              <w:t>L’affaire est close</w:t>
            </w:r>
          </w:p>
        </w:tc>
      </w:tr>
    </w:tbl>
    <w:p w14:paraId="23746023" w14:textId="360CB266" w:rsidR="005A4E5F" w:rsidRPr="00111F07" w:rsidRDefault="005A4E5F" w:rsidP="005A4E5F">
      <w:pPr>
        <w:pStyle w:val="SingleTxt"/>
        <w:spacing w:after="0" w:line="120" w:lineRule="exact"/>
        <w:rPr>
          <w:sz w:val="10"/>
          <w:lang w:val="fr-FR"/>
        </w:rPr>
      </w:pPr>
    </w:p>
    <w:p w14:paraId="2024D357" w14:textId="3FCC73BE" w:rsidR="005A4E5F" w:rsidRPr="00111F07" w:rsidRDefault="005A4E5F" w:rsidP="005A4E5F">
      <w:pPr>
        <w:pStyle w:val="SingleTxt"/>
        <w:spacing w:after="0" w:line="120" w:lineRule="exact"/>
        <w:rPr>
          <w:sz w:val="10"/>
          <w:lang w:val="fr-FR"/>
        </w:rPr>
      </w:pPr>
    </w:p>
    <w:p w14:paraId="5DDECF49" w14:textId="6F5A1582" w:rsidR="00603A87" w:rsidRPr="00111F07" w:rsidRDefault="00603A87" w:rsidP="005A4E5F">
      <w:pPr>
        <w:pStyle w:val="SingleTxt"/>
        <w:numPr>
          <w:ilvl w:val="0"/>
          <w:numId w:val="52"/>
        </w:numPr>
        <w:spacing w:line="240" w:lineRule="exact"/>
        <w:rPr>
          <w:lang w:val="fr-FR"/>
        </w:rPr>
      </w:pPr>
      <w:r w:rsidRPr="00111F07">
        <w:rPr>
          <w:lang w:val="fr-FR"/>
        </w:rPr>
        <w:t>Trente-neuf femmes victimes de la traite des êtres humains ont bénéficié d</w:t>
      </w:r>
      <w:r w:rsidR="007A3CEB" w:rsidRPr="00111F07">
        <w:rPr>
          <w:lang w:val="fr-FR"/>
        </w:rPr>
        <w:t>’</w:t>
      </w:r>
      <w:r w:rsidRPr="00111F07">
        <w:rPr>
          <w:lang w:val="fr-FR"/>
        </w:rPr>
        <w:t>une aide au retour volontaire dans leur pays d</w:t>
      </w:r>
      <w:r w:rsidR="007A3CEB" w:rsidRPr="00111F07">
        <w:rPr>
          <w:lang w:val="fr-FR"/>
        </w:rPr>
        <w:t>’</w:t>
      </w:r>
      <w:r w:rsidRPr="00111F07">
        <w:rPr>
          <w:lang w:val="fr-FR"/>
        </w:rPr>
        <w:t>origine ou de résidence après avoir été identifiées comme victimes de la traite par les autorités danoises.</w:t>
      </w:r>
    </w:p>
    <w:p w14:paraId="47C31230" w14:textId="76B084B8" w:rsidR="00603A87" w:rsidRPr="00111F07" w:rsidRDefault="00603A87" w:rsidP="005A4E5F">
      <w:pPr>
        <w:pStyle w:val="SingleTxt"/>
        <w:numPr>
          <w:ilvl w:val="0"/>
          <w:numId w:val="52"/>
        </w:numPr>
        <w:rPr>
          <w:lang w:val="fr-FR"/>
        </w:rPr>
      </w:pPr>
      <w:r w:rsidRPr="00111F07">
        <w:rPr>
          <w:lang w:val="fr-FR"/>
        </w:rPr>
        <w:t xml:space="preserve">Depuis 2015, des poursuites ont été engagées dans 12 affaires impliquant des incidents (en danois </w:t>
      </w:r>
      <w:r w:rsidR="00C42243" w:rsidRPr="00111F07">
        <w:rPr>
          <w:lang w:val="fr-FR"/>
        </w:rPr>
        <w:t>« </w:t>
      </w:r>
      <w:r w:rsidRPr="00111F07">
        <w:rPr>
          <w:lang w:val="fr-FR"/>
        </w:rPr>
        <w:t>forhold</w:t>
      </w:r>
      <w:r w:rsidR="00C42243" w:rsidRPr="00111F07">
        <w:rPr>
          <w:lang w:val="fr-FR"/>
        </w:rPr>
        <w:t xml:space="preserve"> ») </w:t>
      </w:r>
      <w:r w:rsidRPr="00111F07">
        <w:rPr>
          <w:lang w:val="fr-FR"/>
        </w:rPr>
        <w:t>où des femmes sont enregistrées comme victimes dans une affaire de traite des êtres humains.</w:t>
      </w:r>
    </w:p>
    <w:p w14:paraId="219DA025" w14:textId="2F38077B" w:rsidR="00603A87" w:rsidRPr="00111F07" w:rsidRDefault="00603A87" w:rsidP="005A4E5F">
      <w:pPr>
        <w:pStyle w:val="SingleTxt"/>
        <w:numPr>
          <w:ilvl w:val="0"/>
          <w:numId w:val="52"/>
        </w:numPr>
        <w:rPr>
          <w:lang w:val="fr-FR"/>
        </w:rPr>
      </w:pPr>
      <w:r w:rsidRPr="00111F07">
        <w:rPr>
          <w:lang w:val="fr-FR"/>
        </w:rPr>
        <w:t xml:space="preserve">Dans 6 cas de traite des êtres humains, qui comprenaient des incidents (en danois </w:t>
      </w:r>
      <w:r w:rsidR="005A4E5F" w:rsidRPr="00111F07">
        <w:rPr>
          <w:lang w:val="fr-FR"/>
        </w:rPr>
        <w:t>« </w:t>
      </w:r>
      <w:r w:rsidRPr="00111F07">
        <w:rPr>
          <w:lang w:val="fr-FR"/>
        </w:rPr>
        <w:t>forhold</w:t>
      </w:r>
      <w:r w:rsidR="005A4E5F" w:rsidRPr="00111F07">
        <w:rPr>
          <w:lang w:val="fr-FR"/>
        </w:rPr>
        <w:t> »</w:t>
      </w:r>
      <w:r w:rsidRPr="00111F07">
        <w:rPr>
          <w:lang w:val="fr-FR"/>
        </w:rPr>
        <w:t>) dans lesquels des femmes sont enregistrées comme victimes, il y a eu une condamnation et cinq acquittements.</w:t>
      </w:r>
    </w:p>
    <w:p w14:paraId="371563B7" w14:textId="68930DDD" w:rsidR="00603A87" w:rsidRPr="00111F07" w:rsidRDefault="00603A87" w:rsidP="005A4E5F">
      <w:pPr>
        <w:pStyle w:val="SingleTxt"/>
        <w:numPr>
          <w:ilvl w:val="0"/>
          <w:numId w:val="52"/>
        </w:numPr>
        <w:rPr>
          <w:lang w:val="fr-FR"/>
        </w:rPr>
      </w:pPr>
      <w:r w:rsidRPr="00111F07">
        <w:rPr>
          <w:lang w:val="fr-FR"/>
        </w:rPr>
        <w:t>Il convient de noter qu</w:t>
      </w:r>
      <w:r w:rsidR="007A3CEB" w:rsidRPr="00111F07">
        <w:rPr>
          <w:lang w:val="fr-FR"/>
        </w:rPr>
        <w:t>’</w:t>
      </w:r>
      <w:r w:rsidRPr="00111F07">
        <w:rPr>
          <w:lang w:val="fr-FR"/>
        </w:rPr>
        <w:t>une poursuite engagée au cours d</w:t>
      </w:r>
      <w:r w:rsidR="007A3CEB" w:rsidRPr="00111F07">
        <w:rPr>
          <w:lang w:val="fr-FR"/>
        </w:rPr>
        <w:t>’</w:t>
      </w:r>
      <w:r w:rsidRPr="00111F07">
        <w:rPr>
          <w:lang w:val="fr-FR"/>
        </w:rPr>
        <w:t>une année peut être réglée au cours d</w:t>
      </w:r>
      <w:r w:rsidR="007A3CEB" w:rsidRPr="00111F07">
        <w:rPr>
          <w:lang w:val="fr-FR"/>
        </w:rPr>
        <w:t>’</w:t>
      </w:r>
      <w:r w:rsidRPr="00111F07">
        <w:rPr>
          <w:lang w:val="fr-FR"/>
        </w:rPr>
        <w:t>une autre année. Les chiffres sont ventilés comme suit</w:t>
      </w:r>
      <w:r w:rsidR="007A3CEB" w:rsidRPr="00111F07">
        <w:rPr>
          <w:lang w:val="fr-FR"/>
        </w:rPr>
        <w:t> </w:t>
      </w:r>
      <w:r w:rsidR="00E14DD9" w:rsidRPr="00DF7ED2">
        <w:rPr>
          <w:rStyle w:val="FootnoteReference"/>
          <w:lang w:val="fr-FR"/>
        </w:rPr>
        <w:footnoteReference w:id="1"/>
      </w:r>
      <w:r w:rsidR="007A3CEB" w:rsidRPr="00111F07">
        <w:rPr>
          <w:lang w:val="fr-FR"/>
        </w:rPr>
        <w:t>:</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0"/>
        <w:gridCol w:w="1220"/>
        <w:gridCol w:w="1220"/>
        <w:gridCol w:w="1220"/>
        <w:gridCol w:w="1220"/>
        <w:gridCol w:w="1220"/>
      </w:tblGrid>
      <w:tr w:rsidR="005A4E5F" w:rsidRPr="00111F07" w14:paraId="755A4E8A" w14:textId="77777777" w:rsidTr="005A4E5F">
        <w:trPr>
          <w:cantSplit/>
          <w:tblHeader/>
        </w:trPr>
        <w:tc>
          <w:tcPr>
            <w:tcW w:w="1220" w:type="dxa"/>
            <w:tcBorders>
              <w:top w:val="single" w:sz="4" w:space="0" w:color="auto"/>
              <w:bottom w:val="single" w:sz="12" w:space="0" w:color="auto"/>
            </w:tcBorders>
            <w:shd w:val="clear" w:color="auto" w:fill="auto"/>
            <w:noWrap/>
            <w:vAlign w:val="bottom"/>
          </w:tcPr>
          <w:p w14:paraId="4D1B1DF3" w14:textId="77777777" w:rsidR="005A4E5F" w:rsidRPr="00111F07" w:rsidRDefault="005A4E5F" w:rsidP="005A4E5F">
            <w:pPr>
              <w:suppressAutoHyphens/>
              <w:spacing w:before="81" w:after="81" w:line="160" w:lineRule="exact"/>
              <w:ind w:right="40"/>
              <w:rPr>
                <w:i/>
                <w:sz w:val="14"/>
              </w:rPr>
            </w:pPr>
            <w:r w:rsidRPr="00111F07">
              <w:rPr>
                <w:i/>
                <w:sz w:val="14"/>
              </w:rPr>
              <w:lastRenderedPageBreak/>
              <w:t>Année</w:t>
            </w:r>
          </w:p>
        </w:tc>
        <w:tc>
          <w:tcPr>
            <w:tcW w:w="1220" w:type="dxa"/>
            <w:tcBorders>
              <w:top w:val="single" w:sz="4" w:space="0" w:color="auto"/>
              <w:bottom w:val="single" w:sz="12" w:space="0" w:color="auto"/>
            </w:tcBorders>
            <w:shd w:val="clear" w:color="auto" w:fill="auto"/>
            <w:noWrap/>
            <w:vAlign w:val="bottom"/>
          </w:tcPr>
          <w:p w14:paraId="2458E3D2" w14:textId="0E64FCBA" w:rsidR="005A4E5F" w:rsidRPr="00111F07" w:rsidRDefault="005A4E5F" w:rsidP="005A4E5F">
            <w:pPr>
              <w:suppressAutoHyphens/>
              <w:spacing w:before="81" w:after="81" w:line="160" w:lineRule="exact"/>
              <w:ind w:right="43"/>
              <w:jc w:val="right"/>
              <w:rPr>
                <w:i/>
                <w:sz w:val="14"/>
              </w:rPr>
            </w:pPr>
            <w:r w:rsidRPr="00111F07">
              <w:rPr>
                <w:i/>
                <w:sz w:val="14"/>
              </w:rPr>
              <w:t>2015</w:t>
            </w:r>
          </w:p>
        </w:tc>
        <w:tc>
          <w:tcPr>
            <w:tcW w:w="1220" w:type="dxa"/>
            <w:tcBorders>
              <w:top w:val="single" w:sz="4" w:space="0" w:color="auto"/>
              <w:bottom w:val="single" w:sz="12" w:space="0" w:color="auto"/>
            </w:tcBorders>
            <w:shd w:val="clear" w:color="auto" w:fill="auto"/>
            <w:noWrap/>
            <w:vAlign w:val="bottom"/>
          </w:tcPr>
          <w:p w14:paraId="0128C264" w14:textId="77777777" w:rsidR="005A4E5F" w:rsidRPr="00111F07" w:rsidRDefault="005A4E5F" w:rsidP="005A4E5F">
            <w:pPr>
              <w:suppressAutoHyphens/>
              <w:spacing w:before="81" w:after="81" w:line="160" w:lineRule="exact"/>
              <w:ind w:right="43"/>
              <w:jc w:val="right"/>
              <w:rPr>
                <w:i/>
                <w:sz w:val="14"/>
              </w:rPr>
            </w:pPr>
            <w:r w:rsidRPr="00111F07">
              <w:rPr>
                <w:i/>
                <w:sz w:val="14"/>
              </w:rPr>
              <w:t>2016</w:t>
            </w:r>
          </w:p>
        </w:tc>
        <w:tc>
          <w:tcPr>
            <w:tcW w:w="1220" w:type="dxa"/>
            <w:tcBorders>
              <w:top w:val="single" w:sz="4" w:space="0" w:color="auto"/>
              <w:bottom w:val="single" w:sz="12" w:space="0" w:color="auto"/>
            </w:tcBorders>
            <w:shd w:val="clear" w:color="auto" w:fill="auto"/>
            <w:noWrap/>
            <w:vAlign w:val="bottom"/>
          </w:tcPr>
          <w:p w14:paraId="13B6144D" w14:textId="77777777" w:rsidR="005A4E5F" w:rsidRPr="00111F07" w:rsidRDefault="005A4E5F" w:rsidP="005A4E5F">
            <w:pPr>
              <w:suppressAutoHyphens/>
              <w:spacing w:before="81" w:after="81" w:line="160" w:lineRule="exact"/>
              <w:ind w:right="43"/>
              <w:jc w:val="right"/>
              <w:rPr>
                <w:i/>
                <w:sz w:val="14"/>
              </w:rPr>
            </w:pPr>
            <w:r w:rsidRPr="00111F07">
              <w:rPr>
                <w:i/>
                <w:sz w:val="14"/>
              </w:rPr>
              <w:t>2017</w:t>
            </w:r>
          </w:p>
        </w:tc>
        <w:tc>
          <w:tcPr>
            <w:tcW w:w="1220" w:type="dxa"/>
            <w:tcBorders>
              <w:top w:val="single" w:sz="4" w:space="0" w:color="auto"/>
              <w:bottom w:val="single" w:sz="12" w:space="0" w:color="auto"/>
            </w:tcBorders>
            <w:shd w:val="clear" w:color="auto" w:fill="auto"/>
            <w:noWrap/>
            <w:vAlign w:val="bottom"/>
          </w:tcPr>
          <w:p w14:paraId="4B359AA0" w14:textId="77777777" w:rsidR="005A4E5F" w:rsidRPr="00111F07" w:rsidRDefault="005A4E5F" w:rsidP="005A4E5F">
            <w:pPr>
              <w:suppressAutoHyphens/>
              <w:spacing w:before="81" w:after="81" w:line="160" w:lineRule="exact"/>
              <w:ind w:right="43"/>
              <w:jc w:val="right"/>
              <w:rPr>
                <w:i/>
                <w:sz w:val="14"/>
              </w:rPr>
            </w:pPr>
            <w:r w:rsidRPr="00111F07">
              <w:rPr>
                <w:i/>
                <w:sz w:val="14"/>
              </w:rPr>
              <w:t>2018</w:t>
            </w:r>
          </w:p>
        </w:tc>
        <w:tc>
          <w:tcPr>
            <w:tcW w:w="1220" w:type="dxa"/>
            <w:tcBorders>
              <w:top w:val="single" w:sz="4" w:space="0" w:color="auto"/>
              <w:bottom w:val="single" w:sz="12" w:space="0" w:color="auto"/>
            </w:tcBorders>
            <w:shd w:val="clear" w:color="auto" w:fill="auto"/>
            <w:noWrap/>
            <w:vAlign w:val="bottom"/>
          </w:tcPr>
          <w:p w14:paraId="6279CA7F" w14:textId="77777777" w:rsidR="005A4E5F" w:rsidRPr="00111F07" w:rsidRDefault="005A4E5F" w:rsidP="005A4E5F">
            <w:pPr>
              <w:suppressAutoHyphens/>
              <w:spacing w:before="81" w:after="81" w:line="160" w:lineRule="exact"/>
              <w:ind w:right="43"/>
              <w:jc w:val="right"/>
              <w:rPr>
                <w:i/>
                <w:sz w:val="14"/>
              </w:rPr>
            </w:pPr>
            <w:r w:rsidRPr="00111F07">
              <w:rPr>
                <w:i/>
                <w:sz w:val="14"/>
              </w:rPr>
              <w:t>2019</w:t>
            </w:r>
          </w:p>
        </w:tc>
      </w:tr>
      <w:tr w:rsidR="005A4E5F" w:rsidRPr="00111F07" w14:paraId="03C8986B" w14:textId="77777777" w:rsidTr="005A4E5F">
        <w:trPr>
          <w:cantSplit/>
          <w:trHeight w:hRule="exact" w:val="115"/>
          <w:tblHeader/>
        </w:trPr>
        <w:tc>
          <w:tcPr>
            <w:tcW w:w="1220" w:type="dxa"/>
            <w:tcBorders>
              <w:top w:val="single" w:sz="12" w:space="0" w:color="auto"/>
            </w:tcBorders>
            <w:shd w:val="clear" w:color="auto" w:fill="auto"/>
            <w:noWrap/>
            <w:vAlign w:val="bottom"/>
          </w:tcPr>
          <w:p w14:paraId="6B4691CE" w14:textId="77777777" w:rsidR="005A4E5F" w:rsidRPr="00111F07" w:rsidRDefault="005A4E5F" w:rsidP="005A4E5F">
            <w:pPr>
              <w:suppressAutoHyphens/>
              <w:spacing w:before="40" w:after="40" w:line="210" w:lineRule="exact"/>
              <w:ind w:right="40"/>
              <w:rPr>
                <w:sz w:val="17"/>
              </w:rPr>
            </w:pPr>
          </w:p>
        </w:tc>
        <w:tc>
          <w:tcPr>
            <w:tcW w:w="1220" w:type="dxa"/>
            <w:tcBorders>
              <w:top w:val="single" w:sz="12" w:space="0" w:color="auto"/>
            </w:tcBorders>
            <w:shd w:val="clear" w:color="auto" w:fill="auto"/>
            <w:noWrap/>
            <w:vAlign w:val="bottom"/>
          </w:tcPr>
          <w:p w14:paraId="0D5481B4" w14:textId="77777777" w:rsidR="005A4E5F" w:rsidRPr="00111F07" w:rsidRDefault="005A4E5F" w:rsidP="005A4E5F">
            <w:pPr>
              <w:suppressAutoHyphens/>
              <w:spacing w:before="40" w:after="40" w:line="210" w:lineRule="exact"/>
              <w:ind w:right="43"/>
              <w:jc w:val="right"/>
              <w:rPr>
                <w:sz w:val="17"/>
              </w:rPr>
            </w:pPr>
          </w:p>
        </w:tc>
        <w:tc>
          <w:tcPr>
            <w:tcW w:w="1220" w:type="dxa"/>
            <w:tcBorders>
              <w:top w:val="single" w:sz="12" w:space="0" w:color="auto"/>
            </w:tcBorders>
            <w:shd w:val="clear" w:color="auto" w:fill="auto"/>
            <w:noWrap/>
            <w:vAlign w:val="bottom"/>
          </w:tcPr>
          <w:p w14:paraId="7E007F39" w14:textId="77777777" w:rsidR="005A4E5F" w:rsidRPr="00111F07" w:rsidRDefault="005A4E5F" w:rsidP="005A4E5F">
            <w:pPr>
              <w:suppressAutoHyphens/>
              <w:spacing w:before="40" w:after="40" w:line="210" w:lineRule="exact"/>
              <w:ind w:right="43"/>
              <w:jc w:val="right"/>
              <w:rPr>
                <w:sz w:val="17"/>
              </w:rPr>
            </w:pPr>
          </w:p>
        </w:tc>
        <w:tc>
          <w:tcPr>
            <w:tcW w:w="1220" w:type="dxa"/>
            <w:tcBorders>
              <w:top w:val="single" w:sz="12" w:space="0" w:color="auto"/>
            </w:tcBorders>
            <w:shd w:val="clear" w:color="auto" w:fill="auto"/>
            <w:noWrap/>
            <w:vAlign w:val="bottom"/>
          </w:tcPr>
          <w:p w14:paraId="741DADAF" w14:textId="77777777" w:rsidR="005A4E5F" w:rsidRPr="00111F07" w:rsidRDefault="005A4E5F" w:rsidP="005A4E5F">
            <w:pPr>
              <w:suppressAutoHyphens/>
              <w:spacing w:before="40" w:after="40" w:line="210" w:lineRule="exact"/>
              <w:ind w:right="43"/>
              <w:jc w:val="right"/>
              <w:rPr>
                <w:sz w:val="17"/>
              </w:rPr>
            </w:pPr>
          </w:p>
        </w:tc>
        <w:tc>
          <w:tcPr>
            <w:tcW w:w="1220" w:type="dxa"/>
            <w:tcBorders>
              <w:top w:val="single" w:sz="12" w:space="0" w:color="auto"/>
            </w:tcBorders>
            <w:shd w:val="clear" w:color="auto" w:fill="auto"/>
            <w:noWrap/>
            <w:vAlign w:val="bottom"/>
          </w:tcPr>
          <w:p w14:paraId="319CF5B5" w14:textId="77777777" w:rsidR="005A4E5F" w:rsidRPr="00111F07" w:rsidRDefault="005A4E5F" w:rsidP="005A4E5F">
            <w:pPr>
              <w:suppressAutoHyphens/>
              <w:spacing w:before="40" w:after="40" w:line="210" w:lineRule="exact"/>
              <w:ind w:right="43"/>
              <w:jc w:val="right"/>
              <w:rPr>
                <w:sz w:val="17"/>
              </w:rPr>
            </w:pPr>
          </w:p>
        </w:tc>
        <w:tc>
          <w:tcPr>
            <w:tcW w:w="1220" w:type="dxa"/>
            <w:tcBorders>
              <w:top w:val="single" w:sz="12" w:space="0" w:color="auto"/>
            </w:tcBorders>
            <w:shd w:val="clear" w:color="auto" w:fill="auto"/>
            <w:noWrap/>
            <w:vAlign w:val="bottom"/>
          </w:tcPr>
          <w:p w14:paraId="6D8AE037" w14:textId="77777777" w:rsidR="005A4E5F" w:rsidRPr="00111F07" w:rsidRDefault="005A4E5F" w:rsidP="005A4E5F">
            <w:pPr>
              <w:suppressAutoHyphens/>
              <w:spacing w:before="40" w:after="40" w:line="210" w:lineRule="exact"/>
              <w:ind w:right="43"/>
              <w:jc w:val="right"/>
              <w:rPr>
                <w:sz w:val="17"/>
              </w:rPr>
            </w:pPr>
          </w:p>
        </w:tc>
      </w:tr>
      <w:tr w:rsidR="005A4E5F" w:rsidRPr="00111F07" w14:paraId="02F30863" w14:textId="77777777" w:rsidTr="005A4E5F">
        <w:trPr>
          <w:cantSplit/>
        </w:trPr>
        <w:tc>
          <w:tcPr>
            <w:tcW w:w="1220" w:type="dxa"/>
            <w:shd w:val="clear" w:color="auto" w:fill="auto"/>
            <w:noWrap/>
            <w:vAlign w:val="bottom"/>
          </w:tcPr>
          <w:p w14:paraId="2483ED42" w14:textId="77777777" w:rsidR="005A4E5F" w:rsidRPr="00111F07" w:rsidRDefault="005A4E5F" w:rsidP="005A4E5F">
            <w:pPr>
              <w:tabs>
                <w:tab w:val="left" w:pos="288"/>
                <w:tab w:val="left" w:pos="576"/>
                <w:tab w:val="left" w:pos="864"/>
                <w:tab w:val="left" w:pos="1152"/>
              </w:tabs>
              <w:suppressAutoHyphens/>
              <w:spacing w:before="40" w:after="40" w:line="210" w:lineRule="exact"/>
              <w:ind w:right="40"/>
              <w:rPr>
                <w:sz w:val="17"/>
              </w:rPr>
            </w:pPr>
            <w:r w:rsidRPr="00111F07">
              <w:rPr>
                <w:sz w:val="17"/>
              </w:rPr>
              <w:t>Poursuites</w:t>
            </w:r>
          </w:p>
        </w:tc>
        <w:tc>
          <w:tcPr>
            <w:tcW w:w="1220" w:type="dxa"/>
            <w:shd w:val="clear" w:color="auto" w:fill="auto"/>
            <w:noWrap/>
            <w:vAlign w:val="bottom"/>
          </w:tcPr>
          <w:p w14:paraId="7431D0D2" w14:textId="67DD0F16"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5</w:t>
            </w:r>
          </w:p>
        </w:tc>
        <w:tc>
          <w:tcPr>
            <w:tcW w:w="1220" w:type="dxa"/>
            <w:shd w:val="clear" w:color="auto" w:fill="auto"/>
            <w:noWrap/>
            <w:vAlign w:val="bottom"/>
          </w:tcPr>
          <w:p w14:paraId="3624EBF2"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1</w:t>
            </w:r>
          </w:p>
        </w:tc>
        <w:tc>
          <w:tcPr>
            <w:tcW w:w="1220" w:type="dxa"/>
            <w:shd w:val="clear" w:color="auto" w:fill="auto"/>
            <w:noWrap/>
            <w:vAlign w:val="bottom"/>
          </w:tcPr>
          <w:p w14:paraId="417C6CDE"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2</w:t>
            </w:r>
          </w:p>
        </w:tc>
        <w:tc>
          <w:tcPr>
            <w:tcW w:w="1220" w:type="dxa"/>
            <w:shd w:val="clear" w:color="auto" w:fill="auto"/>
            <w:noWrap/>
            <w:vAlign w:val="bottom"/>
          </w:tcPr>
          <w:p w14:paraId="5D696533"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0</w:t>
            </w:r>
          </w:p>
        </w:tc>
        <w:tc>
          <w:tcPr>
            <w:tcW w:w="1220" w:type="dxa"/>
            <w:shd w:val="clear" w:color="auto" w:fill="auto"/>
            <w:noWrap/>
            <w:vAlign w:val="bottom"/>
          </w:tcPr>
          <w:p w14:paraId="2F5C4C97"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4</w:t>
            </w:r>
          </w:p>
        </w:tc>
      </w:tr>
      <w:tr w:rsidR="005A4E5F" w:rsidRPr="00111F07" w14:paraId="69123A0D" w14:textId="77777777" w:rsidTr="005A4E5F">
        <w:trPr>
          <w:cantSplit/>
        </w:trPr>
        <w:tc>
          <w:tcPr>
            <w:tcW w:w="1220" w:type="dxa"/>
            <w:shd w:val="clear" w:color="auto" w:fill="auto"/>
            <w:noWrap/>
            <w:vAlign w:val="bottom"/>
          </w:tcPr>
          <w:p w14:paraId="4095750A" w14:textId="47722F45" w:rsidR="005A4E5F" w:rsidRPr="00111F07" w:rsidRDefault="005A4E5F" w:rsidP="005A4E5F">
            <w:pPr>
              <w:tabs>
                <w:tab w:val="left" w:pos="288"/>
                <w:tab w:val="left" w:pos="576"/>
                <w:tab w:val="left" w:pos="864"/>
                <w:tab w:val="left" w:pos="1152"/>
              </w:tabs>
              <w:suppressAutoHyphens/>
              <w:spacing w:before="40" w:after="40" w:line="210" w:lineRule="exact"/>
              <w:ind w:right="40"/>
              <w:rPr>
                <w:sz w:val="17"/>
              </w:rPr>
            </w:pPr>
            <w:r w:rsidRPr="00111F07">
              <w:rPr>
                <w:sz w:val="17"/>
              </w:rPr>
              <w:t>Condamnations</w:t>
            </w:r>
          </w:p>
        </w:tc>
        <w:tc>
          <w:tcPr>
            <w:tcW w:w="1220" w:type="dxa"/>
            <w:shd w:val="clear" w:color="auto" w:fill="auto"/>
            <w:noWrap/>
            <w:vAlign w:val="bottom"/>
          </w:tcPr>
          <w:p w14:paraId="40B7C785" w14:textId="2C47DE29"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2</w:t>
            </w:r>
          </w:p>
        </w:tc>
        <w:tc>
          <w:tcPr>
            <w:tcW w:w="1220" w:type="dxa"/>
            <w:shd w:val="clear" w:color="auto" w:fill="auto"/>
            <w:noWrap/>
            <w:vAlign w:val="bottom"/>
          </w:tcPr>
          <w:p w14:paraId="656DFD59"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1</w:t>
            </w:r>
          </w:p>
        </w:tc>
        <w:tc>
          <w:tcPr>
            <w:tcW w:w="1220" w:type="dxa"/>
            <w:shd w:val="clear" w:color="auto" w:fill="auto"/>
            <w:noWrap/>
            <w:vAlign w:val="bottom"/>
          </w:tcPr>
          <w:p w14:paraId="479D3CD6"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2</w:t>
            </w:r>
          </w:p>
        </w:tc>
        <w:tc>
          <w:tcPr>
            <w:tcW w:w="1220" w:type="dxa"/>
            <w:shd w:val="clear" w:color="auto" w:fill="auto"/>
            <w:noWrap/>
            <w:vAlign w:val="bottom"/>
          </w:tcPr>
          <w:p w14:paraId="7633C118"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0</w:t>
            </w:r>
          </w:p>
        </w:tc>
        <w:tc>
          <w:tcPr>
            <w:tcW w:w="1220" w:type="dxa"/>
            <w:shd w:val="clear" w:color="auto" w:fill="auto"/>
            <w:noWrap/>
            <w:vAlign w:val="bottom"/>
          </w:tcPr>
          <w:p w14:paraId="3A83B061"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 xml:space="preserve">0 </w:t>
            </w:r>
          </w:p>
        </w:tc>
      </w:tr>
      <w:tr w:rsidR="005A4E5F" w:rsidRPr="00111F07" w14:paraId="764444F7" w14:textId="77777777" w:rsidTr="005A4E5F">
        <w:trPr>
          <w:cantSplit/>
        </w:trPr>
        <w:tc>
          <w:tcPr>
            <w:tcW w:w="1220" w:type="dxa"/>
            <w:tcBorders>
              <w:bottom w:val="single" w:sz="12" w:space="0" w:color="auto"/>
            </w:tcBorders>
            <w:shd w:val="clear" w:color="auto" w:fill="auto"/>
            <w:noWrap/>
            <w:vAlign w:val="bottom"/>
          </w:tcPr>
          <w:p w14:paraId="7B49E321" w14:textId="77777777" w:rsidR="005A4E5F" w:rsidRPr="00111F07" w:rsidRDefault="005A4E5F" w:rsidP="005A4E5F">
            <w:pPr>
              <w:tabs>
                <w:tab w:val="left" w:pos="288"/>
                <w:tab w:val="left" w:pos="576"/>
                <w:tab w:val="left" w:pos="864"/>
                <w:tab w:val="left" w:pos="1152"/>
              </w:tabs>
              <w:suppressAutoHyphens/>
              <w:spacing w:before="40" w:after="40" w:line="210" w:lineRule="exact"/>
              <w:ind w:right="40"/>
              <w:rPr>
                <w:sz w:val="17"/>
              </w:rPr>
            </w:pPr>
            <w:r w:rsidRPr="00111F07">
              <w:rPr>
                <w:sz w:val="17"/>
              </w:rPr>
              <w:t>Acquittements</w:t>
            </w:r>
          </w:p>
        </w:tc>
        <w:tc>
          <w:tcPr>
            <w:tcW w:w="1220" w:type="dxa"/>
            <w:tcBorders>
              <w:bottom w:val="single" w:sz="12" w:space="0" w:color="auto"/>
            </w:tcBorders>
            <w:shd w:val="clear" w:color="auto" w:fill="auto"/>
            <w:noWrap/>
            <w:vAlign w:val="bottom"/>
          </w:tcPr>
          <w:p w14:paraId="5C9B6418" w14:textId="7477676A"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2</w:t>
            </w:r>
          </w:p>
        </w:tc>
        <w:tc>
          <w:tcPr>
            <w:tcW w:w="1220" w:type="dxa"/>
            <w:tcBorders>
              <w:bottom w:val="single" w:sz="12" w:space="0" w:color="auto"/>
            </w:tcBorders>
            <w:shd w:val="clear" w:color="auto" w:fill="auto"/>
            <w:noWrap/>
            <w:vAlign w:val="bottom"/>
          </w:tcPr>
          <w:p w14:paraId="505BD757"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1</w:t>
            </w:r>
          </w:p>
        </w:tc>
        <w:tc>
          <w:tcPr>
            <w:tcW w:w="1220" w:type="dxa"/>
            <w:tcBorders>
              <w:bottom w:val="single" w:sz="12" w:space="0" w:color="auto"/>
            </w:tcBorders>
            <w:shd w:val="clear" w:color="auto" w:fill="auto"/>
            <w:noWrap/>
            <w:vAlign w:val="bottom"/>
          </w:tcPr>
          <w:p w14:paraId="6E6110A6"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3</w:t>
            </w:r>
          </w:p>
        </w:tc>
        <w:tc>
          <w:tcPr>
            <w:tcW w:w="1220" w:type="dxa"/>
            <w:tcBorders>
              <w:bottom w:val="single" w:sz="12" w:space="0" w:color="auto"/>
            </w:tcBorders>
            <w:shd w:val="clear" w:color="auto" w:fill="auto"/>
            <w:noWrap/>
            <w:vAlign w:val="bottom"/>
          </w:tcPr>
          <w:p w14:paraId="1CC8ADAA"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0</w:t>
            </w:r>
          </w:p>
        </w:tc>
        <w:tc>
          <w:tcPr>
            <w:tcW w:w="1220" w:type="dxa"/>
            <w:tcBorders>
              <w:bottom w:val="single" w:sz="12" w:space="0" w:color="auto"/>
            </w:tcBorders>
            <w:shd w:val="clear" w:color="auto" w:fill="auto"/>
            <w:noWrap/>
            <w:vAlign w:val="bottom"/>
          </w:tcPr>
          <w:p w14:paraId="59BB01E3" w14:textId="77777777" w:rsidR="005A4E5F" w:rsidRPr="00111F07" w:rsidRDefault="005A4E5F" w:rsidP="005A4E5F">
            <w:pPr>
              <w:tabs>
                <w:tab w:val="left" w:pos="288"/>
                <w:tab w:val="left" w:pos="576"/>
                <w:tab w:val="left" w:pos="864"/>
                <w:tab w:val="left" w:pos="1152"/>
              </w:tabs>
              <w:suppressAutoHyphens/>
              <w:spacing w:before="40" w:after="40" w:line="210" w:lineRule="exact"/>
              <w:ind w:right="43"/>
              <w:jc w:val="right"/>
              <w:rPr>
                <w:sz w:val="17"/>
              </w:rPr>
            </w:pPr>
            <w:r w:rsidRPr="00111F07">
              <w:rPr>
                <w:sz w:val="17"/>
              </w:rPr>
              <w:t>0</w:t>
            </w:r>
          </w:p>
        </w:tc>
      </w:tr>
    </w:tbl>
    <w:p w14:paraId="6C7C12E8" w14:textId="65E5EA39" w:rsidR="00E14DD9" w:rsidRPr="00111F07" w:rsidRDefault="00E14DD9" w:rsidP="00E14DD9">
      <w:pPr>
        <w:pStyle w:val="SingleTxt"/>
        <w:tabs>
          <w:tab w:val="clear" w:pos="1742"/>
        </w:tabs>
        <w:spacing w:after="0" w:line="120" w:lineRule="exact"/>
        <w:rPr>
          <w:sz w:val="10"/>
          <w:lang w:val="fr-FR"/>
        </w:rPr>
      </w:pPr>
    </w:p>
    <w:p w14:paraId="4057735C" w14:textId="77777777" w:rsidR="00E14DD9" w:rsidRPr="00DF7ED2" w:rsidRDefault="00E14DD9" w:rsidP="00DF7ED2">
      <w:pPr>
        <w:pStyle w:val="SingleTxt"/>
        <w:tabs>
          <w:tab w:val="clear" w:pos="1742"/>
        </w:tabs>
        <w:spacing w:after="0" w:line="120" w:lineRule="exact"/>
        <w:rPr>
          <w:sz w:val="10"/>
          <w:lang w:val="fr-FR"/>
        </w:rPr>
      </w:pPr>
    </w:p>
    <w:p w14:paraId="56242293" w14:textId="102EBFAD" w:rsidR="00603A87" w:rsidRPr="00111F07" w:rsidRDefault="00603A87" w:rsidP="005A4E5F">
      <w:pPr>
        <w:pStyle w:val="SingleTxt"/>
        <w:numPr>
          <w:ilvl w:val="0"/>
          <w:numId w:val="52"/>
        </w:numPr>
        <w:spacing w:line="240" w:lineRule="exact"/>
        <w:rPr>
          <w:lang w:val="fr-FR"/>
        </w:rPr>
      </w:pPr>
      <w:r w:rsidRPr="00111F07">
        <w:rPr>
          <w:lang w:val="fr-FR"/>
        </w:rPr>
        <w:t>Le Centre danois contre la traite des êtres humains est aligné sur le plan d</w:t>
      </w:r>
      <w:r w:rsidR="007A3CEB" w:rsidRPr="001C3EFA">
        <w:rPr>
          <w:lang w:val="fr-FR"/>
        </w:rPr>
        <w:t>’</w:t>
      </w:r>
      <w:r w:rsidRPr="007978B6">
        <w:rPr>
          <w:lang w:val="fr-FR"/>
        </w:rPr>
        <w:t>action pour l</w:t>
      </w:r>
      <w:r w:rsidR="007A3CEB" w:rsidRPr="00111F07">
        <w:rPr>
          <w:lang w:val="fr-FR"/>
        </w:rPr>
        <w:t>’</w:t>
      </w:r>
      <w:r w:rsidRPr="00111F07">
        <w:rPr>
          <w:lang w:val="fr-FR"/>
        </w:rPr>
        <w:t>éducation et la formation des acteurs concernés afin de s</w:t>
      </w:r>
      <w:r w:rsidR="007A3CEB" w:rsidRPr="00111F07">
        <w:rPr>
          <w:lang w:val="fr-FR"/>
        </w:rPr>
        <w:t>’</w:t>
      </w:r>
      <w:r w:rsidRPr="00111F07">
        <w:rPr>
          <w:lang w:val="fr-FR"/>
        </w:rPr>
        <w:t>assurer qu</w:t>
      </w:r>
      <w:r w:rsidR="007A3CEB" w:rsidRPr="00111F07">
        <w:rPr>
          <w:lang w:val="fr-FR"/>
        </w:rPr>
        <w:t>’</w:t>
      </w:r>
      <w:r w:rsidRPr="00111F07">
        <w:rPr>
          <w:lang w:val="fr-FR"/>
        </w:rPr>
        <w:t>ils sont conscients des signes et des signaux indiquant qu</w:t>
      </w:r>
      <w:r w:rsidR="007A3CEB" w:rsidRPr="00111F07">
        <w:rPr>
          <w:lang w:val="fr-FR"/>
        </w:rPr>
        <w:t>’</w:t>
      </w:r>
      <w:r w:rsidRPr="00111F07">
        <w:rPr>
          <w:lang w:val="fr-FR"/>
        </w:rPr>
        <w:t>une personne pourrait être victime de la traite. Le Centre danois contre la traite des êtres humains forme notamment les stagiaires de l</w:t>
      </w:r>
      <w:r w:rsidR="007A3CEB" w:rsidRPr="00111F07">
        <w:rPr>
          <w:lang w:val="fr-FR"/>
        </w:rPr>
        <w:t>’</w:t>
      </w:r>
      <w:r w:rsidRPr="00111F07">
        <w:rPr>
          <w:lang w:val="fr-FR"/>
        </w:rPr>
        <w:t>École de police, le personnel des ambassades et des groupes choisis de professionnels de la santé. Au fil des ans, le Centre a également formé des juges, des procureurs, la Working Environment Authority (Autorité du milieu du travail), l</w:t>
      </w:r>
      <w:r w:rsidR="007A3CEB" w:rsidRPr="00111F07">
        <w:rPr>
          <w:lang w:val="fr-FR"/>
        </w:rPr>
        <w:t>’</w:t>
      </w:r>
      <w:r w:rsidRPr="00111F07">
        <w:rPr>
          <w:lang w:val="fr-FR"/>
        </w:rPr>
        <w:t>Administration centrale des douanes et des impôts, des ONG et d</w:t>
      </w:r>
      <w:r w:rsidR="007A3CEB" w:rsidRPr="00111F07">
        <w:rPr>
          <w:lang w:val="fr-FR"/>
        </w:rPr>
        <w:t>’</w:t>
      </w:r>
      <w:r w:rsidRPr="00111F07">
        <w:rPr>
          <w:lang w:val="fr-FR"/>
        </w:rPr>
        <w:t>autres acteurs et partenaires.</w:t>
      </w:r>
    </w:p>
    <w:p w14:paraId="3A02C968" w14:textId="6A4EED2D" w:rsidR="00603A87" w:rsidRPr="00111F07" w:rsidRDefault="00603A87" w:rsidP="005A4E5F">
      <w:pPr>
        <w:pStyle w:val="SingleTxt"/>
        <w:numPr>
          <w:ilvl w:val="0"/>
          <w:numId w:val="52"/>
        </w:numPr>
        <w:spacing w:line="240" w:lineRule="exact"/>
        <w:rPr>
          <w:lang w:val="fr-FR"/>
        </w:rPr>
      </w:pPr>
      <w:r w:rsidRPr="00111F07">
        <w:rPr>
          <w:lang w:val="fr-FR"/>
        </w:rPr>
        <w:t>Les femmes sont le plus souvent victimes de la traite à des fins de prostitution et les hommes sont le plus souvent victimes de la traite à des fins de travail forcé. Par conséquent, les signes et les signaux de la traite des êtres humains peuvent être différents pour les hommes et les femmes, tout comme les hommes et les femmes peuvent réagir différemment à la traite. L</w:t>
      </w:r>
      <w:r w:rsidR="007A3CEB" w:rsidRPr="00111F07">
        <w:rPr>
          <w:lang w:val="fr-FR"/>
        </w:rPr>
        <w:t>’</w:t>
      </w:r>
      <w:r w:rsidRPr="00111F07">
        <w:rPr>
          <w:lang w:val="fr-FR"/>
        </w:rPr>
        <w:t>éducation et la formation des acteurs concernés ont un objectif sexospécifique et les besoins différents des hommes et des femmes sont pris en compte en ce qui concerne l</w:t>
      </w:r>
      <w:r w:rsidR="007A3CEB" w:rsidRPr="00111F07">
        <w:rPr>
          <w:lang w:val="fr-FR"/>
        </w:rPr>
        <w:t>’</w:t>
      </w:r>
      <w:r w:rsidRPr="00111F07">
        <w:rPr>
          <w:lang w:val="fr-FR"/>
        </w:rPr>
        <w:t>hébergement des victimes.</w:t>
      </w:r>
    </w:p>
    <w:p w14:paraId="1802BEB0" w14:textId="3C5A3510" w:rsidR="005A4E5F" w:rsidRPr="00111F07" w:rsidRDefault="005A4E5F" w:rsidP="005A4E5F">
      <w:pPr>
        <w:pStyle w:val="SingleTxt"/>
        <w:spacing w:after="0" w:line="120" w:lineRule="exact"/>
        <w:rPr>
          <w:sz w:val="10"/>
          <w:lang w:val="fr-FR"/>
        </w:rPr>
      </w:pPr>
    </w:p>
    <w:p w14:paraId="6BB27975" w14:textId="38EA64C2" w:rsidR="005A4E5F" w:rsidRPr="00111F07" w:rsidRDefault="005A4E5F" w:rsidP="005A4E5F">
      <w:pPr>
        <w:pStyle w:val="SingleTxt"/>
        <w:spacing w:after="0" w:line="120" w:lineRule="exact"/>
        <w:rPr>
          <w:sz w:val="10"/>
          <w:lang w:val="fr-FR"/>
        </w:rPr>
      </w:pPr>
    </w:p>
    <w:p w14:paraId="562AD58D" w14:textId="00E2C8E0" w:rsidR="00603A87" w:rsidRPr="00111F07" w:rsidRDefault="005A4E5F" w:rsidP="005A4E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Réponse au paragraphe 11</w:t>
      </w:r>
    </w:p>
    <w:p w14:paraId="1740FD1D" w14:textId="333AFCCE" w:rsidR="005A4E5F" w:rsidRPr="00111F07" w:rsidRDefault="005A4E5F" w:rsidP="005A4E5F">
      <w:pPr>
        <w:pStyle w:val="SingleTxt"/>
        <w:spacing w:after="0" w:line="120" w:lineRule="exact"/>
        <w:rPr>
          <w:sz w:val="10"/>
          <w:lang w:val="fr-FR"/>
        </w:rPr>
      </w:pPr>
    </w:p>
    <w:p w14:paraId="790143CF" w14:textId="40936402" w:rsidR="005A4E5F" w:rsidRPr="00111F07" w:rsidRDefault="005A4E5F" w:rsidP="005A4E5F">
      <w:pPr>
        <w:pStyle w:val="SingleTxt"/>
        <w:spacing w:after="0" w:line="120" w:lineRule="exact"/>
        <w:rPr>
          <w:sz w:val="10"/>
          <w:lang w:val="fr-FR"/>
        </w:rPr>
      </w:pPr>
    </w:p>
    <w:p w14:paraId="444F5B76" w14:textId="2B098112" w:rsidR="00603A87" w:rsidRPr="00111F07" w:rsidRDefault="00603A87" w:rsidP="005A4E5F">
      <w:pPr>
        <w:pStyle w:val="SingleTxt"/>
        <w:numPr>
          <w:ilvl w:val="0"/>
          <w:numId w:val="52"/>
        </w:numPr>
        <w:spacing w:line="240" w:lineRule="exact"/>
        <w:rPr>
          <w:lang w:val="fr-FR"/>
        </w:rPr>
      </w:pPr>
      <w:r w:rsidRPr="00111F07">
        <w:rPr>
          <w:lang w:val="fr-FR"/>
        </w:rPr>
        <w:t xml:space="preserve">a) Selon la dernière enquête sur la prostitution, qui a été menée par la SFI (maintenant VIVE </w:t>
      </w:r>
      <w:r w:rsidR="005A4E5F" w:rsidRPr="00111F07">
        <w:rPr>
          <w:lang w:val="fr-FR"/>
        </w:rPr>
        <w:t>–</w:t>
      </w:r>
      <w:r w:rsidRPr="00111F07">
        <w:rPr>
          <w:lang w:val="fr-FR"/>
        </w:rPr>
        <w:t xml:space="preserve"> le Centre danois de recherche sociale) en 2011, le nombre d</w:t>
      </w:r>
      <w:r w:rsidR="007A3CEB" w:rsidRPr="00111F07">
        <w:rPr>
          <w:lang w:val="fr-FR"/>
        </w:rPr>
        <w:t>’</w:t>
      </w:r>
      <w:r w:rsidRPr="00111F07">
        <w:rPr>
          <w:lang w:val="fr-FR"/>
        </w:rPr>
        <w:t>hommes et de femmes qui se livrent à la prostitution était d</w:t>
      </w:r>
      <w:r w:rsidR="007A3CEB" w:rsidRPr="00111F07">
        <w:rPr>
          <w:lang w:val="fr-FR"/>
        </w:rPr>
        <w:t>’</w:t>
      </w:r>
      <w:r w:rsidRPr="00111F07">
        <w:rPr>
          <w:lang w:val="fr-FR"/>
        </w:rPr>
        <w:t>environ 3</w:t>
      </w:r>
      <w:r w:rsidR="005A4E5F" w:rsidRPr="00111F07">
        <w:rPr>
          <w:lang w:val="fr-FR"/>
        </w:rPr>
        <w:t> </w:t>
      </w:r>
      <w:r w:rsidRPr="00111F07">
        <w:rPr>
          <w:lang w:val="fr-FR"/>
        </w:rPr>
        <w:t>200. En novembre 2019, le Parlement danois a décidé de financer une enquête pour mettre à jour la base de connaissances sur la prostitution au Danemark. Cette nouvelle enquête sera terminée au début de 2021.</w:t>
      </w:r>
    </w:p>
    <w:p w14:paraId="3374A485" w14:textId="028C446F" w:rsidR="00603A87" w:rsidRPr="00111F07" w:rsidRDefault="00603A87" w:rsidP="005A4E5F">
      <w:pPr>
        <w:pStyle w:val="SingleTxt"/>
        <w:numPr>
          <w:ilvl w:val="0"/>
          <w:numId w:val="52"/>
        </w:numPr>
        <w:rPr>
          <w:lang w:val="fr-FR"/>
        </w:rPr>
      </w:pPr>
      <w:r w:rsidRPr="00111F07">
        <w:rPr>
          <w:lang w:val="fr-FR"/>
        </w:rPr>
        <w:t>b) Voir les paragraphes 67</w:t>
      </w:r>
      <w:r w:rsidR="00C42243" w:rsidRPr="00111F07">
        <w:rPr>
          <w:lang w:val="fr-FR"/>
        </w:rPr>
        <w:t xml:space="preserve"> à </w:t>
      </w:r>
      <w:r w:rsidRPr="00111F07">
        <w:rPr>
          <w:lang w:val="fr-FR"/>
        </w:rPr>
        <w:t>72 du neuvième rapport périodique du Danemark.</w:t>
      </w:r>
    </w:p>
    <w:p w14:paraId="1CD85650" w14:textId="5A2A0C0C" w:rsidR="00603A87" w:rsidRPr="00111F07" w:rsidRDefault="00603A87" w:rsidP="005A4E5F">
      <w:pPr>
        <w:pStyle w:val="SingleTxt"/>
        <w:numPr>
          <w:ilvl w:val="0"/>
          <w:numId w:val="52"/>
        </w:numPr>
        <w:rPr>
          <w:lang w:val="fr-FR"/>
        </w:rPr>
      </w:pPr>
      <w:r w:rsidRPr="00111F07">
        <w:rPr>
          <w:lang w:val="fr-FR"/>
        </w:rPr>
        <w:t>c) En novembre 2019, le Parlement danois a alloué 55 millions de couronnes danoises pour la période 2020-2023 à des initiatives en faveur des personnes qui veulent abandonner la prostitution ou qui ont besoin d</w:t>
      </w:r>
      <w:r w:rsidR="007A3CEB" w:rsidRPr="00111F07">
        <w:rPr>
          <w:lang w:val="fr-FR"/>
        </w:rPr>
        <w:t>’</w:t>
      </w:r>
      <w:r w:rsidRPr="00111F07">
        <w:rPr>
          <w:lang w:val="fr-FR"/>
        </w:rPr>
        <w:t>un soutien psychologique en rapport avec leur expérience de la prostitution.</w:t>
      </w:r>
    </w:p>
    <w:p w14:paraId="3274064B" w14:textId="1A1D0B45" w:rsidR="00603A87" w:rsidRPr="00111F07" w:rsidRDefault="00C42243" w:rsidP="005A4E5F">
      <w:pPr>
        <w:pStyle w:val="SingleTxt"/>
        <w:numPr>
          <w:ilvl w:val="0"/>
          <w:numId w:val="52"/>
        </w:numPr>
        <w:rPr>
          <w:lang w:val="fr-FR"/>
        </w:rPr>
      </w:pPr>
      <w:r w:rsidRPr="00111F07">
        <w:rPr>
          <w:lang w:val="fr-FR"/>
        </w:rPr>
        <w:t>d</w:t>
      </w:r>
      <w:r w:rsidR="00603A87" w:rsidRPr="00111F07">
        <w:rPr>
          <w:lang w:val="fr-FR"/>
        </w:rPr>
        <w:t>) Voir les paragraphes 67</w:t>
      </w:r>
      <w:r w:rsidRPr="00111F07">
        <w:rPr>
          <w:lang w:val="fr-FR"/>
        </w:rPr>
        <w:t xml:space="preserve"> à </w:t>
      </w:r>
      <w:r w:rsidR="00603A87" w:rsidRPr="00111F07">
        <w:rPr>
          <w:lang w:val="fr-FR"/>
        </w:rPr>
        <w:t>72 du neuvième rapport périodique du Danemark.</w:t>
      </w:r>
    </w:p>
    <w:p w14:paraId="28222CCF" w14:textId="4745D817" w:rsidR="00603A87" w:rsidRPr="00111F07" w:rsidRDefault="00603A87" w:rsidP="005A4E5F">
      <w:pPr>
        <w:pStyle w:val="SingleTxt"/>
        <w:numPr>
          <w:ilvl w:val="0"/>
          <w:numId w:val="52"/>
        </w:numPr>
        <w:rPr>
          <w:lang w:val="fr-FR"/>
        </w:rPr>
      </w:pPr>
      <w:r w:rsidRPr="00111F07">
        <w:rPr>
          <w:lang w:val="fr-FR"/>
        </w:rPr>
        <w:t>e) Le Gouvernement actuel a dissous le groupe de travail afin de donner une nouvelle orientation, axée sur les aspects sociaux, aux efforts de lutte contre la prostitution. Le Gouvernement estime qu</w:t>
      </w:r>
      <w:r w:rsidR="007A3CEB" w:rsidRPr="00111F07">
        <w:rPr>
          <w:lang w:val="fr-FR"/>
        </w:rPr>
        <w:t>’</w:t>
      </w:r>
      <w:r w:rsidRPr="00111F07">
        <w:rPr>
          <w:lang w:val="fr-FR"/>
        </w:rPr>
        <w:t>il est essentiel que ces efforts s</w:t>
      </w:r>
      <w:r w:rsidR="007A3CEB" w:rsidRPr="00111F07">
        <w:rPr>
          <w:lang w:val="fr-FR"/>
        </w:rPr>
        <w:t>’</w:t>
      </w:r>
      <w:r w:rsidRPr="00111F07">
        <w:rPr>
          <w:lang w:val="fr-FR"/>
        </w:rPr>
        <w:t>attachent à améliorer la situation globale des personnes qui se livrent à la prostitution, sans mettre l</w:t>
      </w:r>
      <w:r w:rsidR="007A3CEB" w:rsidRPr="00111F07">
        <w:rPr>
          <w:lang w:val="fr-FR"/>
        </w:rPr>
        <w:t>’</w:t>
      </w:r>
      <w:r w:rsidRPr="00111F07">
        <w:rPr>
          <w:lang w:val="fr-FR"/>
        </w:rPr>
        <w:t>accent sur leur revenu ou leur profession.</w:t>
      </w:r>
    </w:p>
    <w:p w14:paraId="5D7FC6D1" w14:textId="09FB1F50" w:rsidR="003103E0" w:rsidRPr="00111F07" w:rsidRDefault="003103E0" w:rsidP="003103E0">
      <w:pPr>
        <w:pStyle w:val="SingleTxt"/>
        <w:spacing w:after="0" w:line="120" w:lineRule="exact"/>
        <w:rPr>
          <w:sz w:val="10"/>
          <w:lang w:val="fr-FR"/>
        </w:rPr>
      </w:pPr>
    </w:p>
    <w:p w14:paraId="01ECFC4F" w14:textId="7B9817AC" w:rsidR="003103E0" w:rsidRPr="00111F07" w:rsidRDefault="003103E0" w:rsidP="003103E0">
      <w:pPr>
        <w:pStyle w:val="SingleTxt"/>
        <w:spacing w:after="0" w:line="120" w:lineRule="exact"/>
        <w:rPr>
          <w:sz w:val="10"/>
          <w:lang w:val="fr-FR"/>
        </w:rPr>
      </w:pPr>
    </w:p>
    <w:p w14:paraId="421DD891" w14:textId="11DB86E2" w:rsidR="00603A87" w:rsidRPr="00111F07" w:rsidRDefault="00603A87" w:rsidP="00DF7E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lastRenderedPageBreak/>
        <w:tab/>
      </w:r>
      <w:r w:rsidRPr="00111F07">
        <w:rPr>
          <w:lang w:val="fr-FR"/>
        </w:rPr>
        <w:tab/>
        <w:t>Participation à la vie politique et à la vie publique</w:t>
      </w:r>
    </w:p>
    <w:p w14:paraId="2DD236E3" w14:textId="74907170" w:rsidR="003103E0" w:rsidRPr="00111F07" w:rsidRDefault="003103E0" w:rsidP="00DF7ED2">
      <w:pPr>
        <w:pStyle w:val="SingleTxt"/>
        <w:keepNext/>
        <w:spacing w:after="0" w:line="120" w:lineRule="exact"/>
        <w:rPr>
          <w:sz w:val="10"/>
          <w:lang w:val="fr-FR"/>
        </w:rPr>
      </w:pPr>
    </w:p>
    <w:p w14:paraId="645CC0C2" w14:textId="555BC20B" w:rsidR="003103E0" w:rsidRPr="00111F07" w:rsidRDefault="003103E0" w:rsidP="00DF7ED2">
      <w:pPr>
        <w:pStyle w:val="SingleTxt"/>
        <w:keepNext/>
        <w:spacing w:after="0" w:line="120" w:lineRule="exact"/>
        <w:rPr>
          <w:sz w:val="10"/>
          <w:lang w:val="fr-FR"/>
        </w:rPr>
      </w:pPr>
    </w:p>
    <w:p w14:paraId="0E0A0493" w14:textId="5F9D829F" w:rsidR="00603A87" w:rsidRPr="00111F07" w:rsidRDefault="00603A87" w:rsidP="00DF7E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12</w:t>
      </w:r>
    </w:p>
    <w:p w14:paraId="38A8EC79" w14:textId="4384A836" w:rsidR="003103E0" w:rsidRPr="00111F07" w:rsidRDefault="003103E0" w:rsidP="003103E0">
      <w:pPr>
        <w:pStyle w:val="SingleTxt"/>
        <w:spacing w:after="0" w:line="120" w:lineRule="exact"/>
        <w:rPr>
          <w:sz w:val="10"/>
          <w:lang w:val="fr-FR"/>
        </w:rPr>
      </w:pPr>
    </w:p>
    <w:p w14:paraId="5335F9AE" w14:textId="58B86EC9" w:rsidR="003103E0" w:rsidRPr="00111F07" w:rsidRDefault="003103E0" w:rsidP="003103E0">
      <w:pPr>
        <w:pStyle w:val="SingleTxt"/>
        <w:spacing w:after="0" w:line="120" w:lineRule="exact"/>
        <w:rPr>
          <w:sz w:val="10"/>
          <w:lang w:val="fr-FR"/>
        </w:rPr>
      </w:pPr>
    </w:p>
    <w:p w14:paraId="315E4356" w14:textId="6746178D" w:rsidR="00603A87" w:rsidRPr="00111F07" w:rsidRDefault="00603A87" w:rsidP="003103E0">
      <w:pPr>
        <w:pStyle w:val="SingleTxt"/>
        <w:numPr>
          <w:ilvl w:val="0"/>
          <w:numId w:val="52"/>
        </w:numPr>
        <w:spacing w:line="240" w:lineRule="exact"/>
        <w:rPr>
          <w:lang w:val="fr-FR"/>
        </w:rPr>
      </w:pPr>
      <w:r w:rsidRPr="00111F07">
        <w:rPr>
          <w:lang w:val="fr-FR"/>
        </w:rPr>
        <w:t>À l</w:t>
      </w:r>
      <w:r w:rsidR="007A3CEB" w:rsidRPr="00111F07">
        <w:rPr>
          <w:lang w:val="fr-FR"/>
        </w:rPr>
        <w:t>’</w:t>
      </w:r>
      <w:r w:rsidRPr="00111F07">
        <w:rPr>
          <w:lang w:val="fr-FR"/>
        </w:rPr>
        <w:t>issue des élections générales de 2019, les femmes représentaient 38,9</w:t>
      </w:r>
      <w:r w:rsidR="007A3CEB" w:rsidRPr="00111F07">
        <w:rPr>
          <w:lang w:val="fr-FR"/>
        </w:rPr>
        <w:t> %</w:t>
      </w:r>
      <w:r w:rsidRPr="00111F07">
        <w:rPr>
          <w:lang w:val="fr-FR"/>
        </w:rPr>
        <w:t xml:space="preserve"> des membres du Parlement national (68</w:t>
      </w:r>
      <w:r w:rsidR="00C42243" w:rsidRPr="00111F07">
        <w:rPr>
          <w:lang w:val="fr-FR"/>
        </w:rPr>
        <w:t> </w:t>
      </w:r>
      <w:r w:rsidRPr="00111F07">
        <w:rPr>
          <w:lang w:val="fr-FR"/>
        </w:rPr>
        <w:t>sièges sur 175), ce qui représente une augmentation par rapport aux élections de 2015. Il y a sept ministres de sexe féminin (35,0</w:t>
      </w:r>
      <w:r w:rsidR="007A3CEB" w:rsidRPr="00111F07">
        <w:rPr>
          <w:lang w:val="fr-FR"/>
        </w:rPr>
        <w:t> %</w:t>
      </w:r>
      <w:r w:rsidRPr="00111F07">
        <w:rPr>
          <w:lang w:val="fr-FR"/>
        </w:rPr>
        <w:t>) sur un total de 20.</w:t>
      </w:r>
    </w:p>
    <w:p w14:paraId="0849FC1C" w14:textId="6DCEB522" w:rsidR="00603A87" w:rsidRPr="00111F07" w:rsidRDefault="00603A87" w:rsidP="003103E0">
      <w:pPr>
        <w:pStyle w:val="SingleTxt"/>
        <w:numPr>
          <w:ilvl w:val="0"/>
          <w:numId w:val="52"/>
        </w:numPr>
        <w:spacing w:line="240" w:lineRule="exact"/>
        <w:rPr>
          <w:lang w:val="fr-FR"/>
        </w:rPr>
      </w:pPr>
      <w:r w:rsidRPr="00111F07">
        <w:rPr>
          <w:lang w:val="fr-FR"/>
        </w:rPr>
        <w:t>Après les élections du Parlement européen de 2019, 7 des 14 élus du Danemark sont des femmes (50</w:t>
      </w:r>
      <w:r w:rsidR="007A3CEB" w:rsidRPr="00111F07">
        <w:rPr>
          <w:lang w:val="fr-FR"/>
        </w:rPr>
        <w:t> %</w:t>
      </w:r>
      <w:r w:rsidRPr="00111F07">
        <w:rPr>
          <w:lang w:val="fr-FR"/>
        </w:rPr>
        <w:t>). Lors des élections de 2014, 5 des 13 Danois élus étaient des femmes (38,5</w:t>
      </w:r>
      <w:r w:rsidR="007A3CEB" w:rsidRPr="00111F07">
        <w:rPr>
          <w:lang w:val="fr-FR"/>
        </w:rPr>
        <w:t> %</w:t>
      </w:r>
      <w:r w:rsidRPr="00111F07">
        <w:rPr>
          <w:lang w:val="fr-FR"/>
        </w:rPr>
        <w:t>).</w:t>
      </w:r>
    </w:p>
    <w:p w14:paraId="195964B0" w14:textId="31E3F340" w:rsidR="00603A87" w:rsidRPr="00111F07" w:rsidRDefault="00603A87" w:rsidP="003103E0">
      <w:pPr>
        <w:pStyle w:val="SingleTxt"/>
        <w:numPr>
          <w:ilvl w:val="0"/>
          <w:numId w:val="52"/>
        </w:numPr>
        <w:spacing w:line="240" w:lineRule="exact"/>
        <w:rPr>
          <w:lang w:val="fr-FR"/>
        </w:rPr>
      </w:pPr>
      <w:r w:rsidRPr="00111F07">
        <w:rPr>
          <w:lang w:val="fr-FR"/>
        </w:rPr>
        <w:t>Après les élections municipales de 2017, 33</w:t>
      </w:r>
      <w:r w:rsidR="007A3CEB" w:rsidRPr="00111F07">
        <w:rPr>
          <w:lang w:val="fr-FR"/>
        </w:rPr>
        <w:t> %</w:t>
      </w:r>
      <w:r w:rsidRPr="00111F07">
        <w:rPr>
          <w:lang w:val="fr-FR"/>
        </w:rPr>
        <w:t xml:space="preserve"> des personnes nommées à des postes de décision dans les municipalités étaient des femmes, ce qui représente une augmentation de 30</w:t>
      </w:r>
      <w:r w:rsidR="007A3CEB" w:rsidRPr="00111F07">
        <w:rPr>
          <w:lang w:val="fr-FR"/>
        </w:rPr>
        <w:t> %</w:t>
      </w:r>
      <w:r w:rsidRPr="00111F07">
        <w:rPr>
          <w:lang w:val="fr-FR"/>
        </w:rPr>
        <w:t xml:space="preserve"> par rapport aux élections de 2013. Le nombre de maires de sexe féminin est passé de 12 en 2013 à 14 en 2017 sur un total de 98.</w:t>
      </w:r>
    </w:p>
    <w:p w14:paraId="1578755A" w14:textId="10F79ED7" w:rsidR="00603A87" w:rsidRPr="00111F07" w:rsidRDefault="00603A87" w:rsidP="003103E0">
      <w:pPr>
        <w:pStyle w:val="SingleTxt"/>
        <w:numPr>
          <w:ilvl w:val="0"/>
          <w:numId w:val="52"/>
        </w:numPr>
        <w:spacing w:line="240" w:lineRule="exact"/>
        <w:rPr>
          <w:lang w:val="fr-FR"/>
        </w:rPr>
      </w:pPr>
      <w:r w:rsidRPr="00111F07">
        <w:rPr>
          <w:lang w:val="fr-FR"/>
        </w:rPr>
        <w:t>Au cours des prochaines années, le Gouvernement redoublera d</w:t>
      </w:r>
      <w:r w:rsidR="007A3CEB" w:rsidRPr="00111F07">
        <w:rPr>
          <w:lang w:val="fr-FR"/>
        </w:rPr>
        <w:t>’</w:t>
      </w:r>
      <w:r w:rsidRPr="00111F07">
        <w:rPr>
          <w:lang w:val="fr-FR"/>
        </w:rPr>
        <w:t>efforts pour veiller à ce que davantage de femmes occupent des postes de décision au niveau local, régional ou national.</w:t>
      </w:r>
    </w:p>
    <w:p w14:paraId="493AC720" w14:textId="0695679D" w:rsidR="00603A87" w:rsidRPr="00111F07" w:rsidRDefault="00603A87" w:rsidP="003103E0">
      <w:pPr>
        <w:pStyle w:val="SingleTxt"/>
        <w:numPr>
          <w:ilvl w:val="0"/>
          <w:numId w:val="52"/>
        </w:numPr>
        <w:spacing w:line="240" w:lineRule="exact"/>
        <w:rPr>
          <w:lang w:val="fr-FR"/>
        </w:rPr>
      </w:pPr>
      <w:r w:rsidRPr="00111F07">
        <w:rPr>
          <w:lang w:val="fr-FR"/>
        </w:rPr>
        <w:t>Des données actualisées sur la proportion de femmes occupant des postes de décision au sein des conseils d</w:t>
      </w:r>
      <w:r w:rsidR="007A3CEB" w:rsidRPr="00111F07">
        <w:rPr>
          <w:lang w:val="fr-FR"/>
        </w:rPr>
        <w:t>’</w:t>
      </w:r>
      <w:r w:rsidRPr="00111F07">
        <w:rPr>
          <w:lang w:val="fr-FR"/>
        </w:rPr>
        <w:t>administration et à la direction d</w:t>
      </w:r>
      <w:r w:rsidR="007A3CEB" w:rsidRPr="00111F07">
        <w:rPr>
          <w:lang w:val="fr-FR"/>
        </w:rPr>
        <w:t>’</w:t>
      </w:r>
      <w:r w:rsidRPr="00111F07">
        <w:rPr>
          <w:lang w:val="fr-FR"/>
        </w:rPr>
        <w:t>entreprises publiques ou appartenant à l</w:t>
      </w:r>
      <w:r w:rsidR="007A3CEB" w:rsidRPr="00111F07">
        <w:rPr>
          <w:lang w:val="fr-FR"/>
        </w:rPr>
        <w:t>’</w:t>
      </w:r>
      <w:r w:rsidRPr="00111F07">
        <w:rPr>
          <w:lang w:val="fr-FR"/>
        </w:rPr>
        <w:t>État seront disponibles à l</w:t>
      </w:r>
      <w:r w:rsidR="007A3CEB" w:rsidRPr="00111F07">
        <w:rPr>
          <w:lang w:val="fr-FR"/>
        </w:rPr>
        <w:t>’</w:t>
      </w:r>
      <w:r w:rsidRPr="00111F07">
        <w:rPr>
          <w:lang w:val="fr-FR"/>
        </w:rPr>
        <w:t>automne 2020.</w:t>
      </w:r>
    </w:p>
    <w:p w14:paraId="6EF5F0C3" w14:textId="2CB4ACC8" w:rsidR="00603A87" w:rsidRPr="00111F07" w:rsidRDefault="00603A87" w:rsidP="003103E0">
      <w:pPr>
        <w:pStyle w:val="SingleTxt"/>
        <w:numPr>
          <w:ilvl w:val="0"/>
          <w:numId w:val="52"/>
        </w:numPr>
        <w:spacing w:line="240" w:lineRule="exact"/>
        <w:rPr>
          <w:lang w:val="fr-FR"/>
        </w:rPr>
      </w:pPr>
      <w:r w:rsidRPr="00111F07">
        <w:rPr>
          <w:lang w:val="fr-FR"/>
        </w:rPr>
        <w:t>Le Ministère danois de la défense a mis en œuvre un certain nombre d</w:t>
      </w:r>
      <w:r w:rsidR="007A3CEB" w:rsidRPr="00111F07">
        <w:rPr>
          <w:lang w:val="fr-FR"/>
        </w:rPr>
        <w:t>’</w:t>
      </w:r>
      <w:r w:rsidRPr="00111F07">
        <w:rPr>
          <w:lang w:val="fr-FR"/>
        </w:rPr>
        <w:t>initiatives pour réduire les inégalités et promouvoir l</w:t>
      </w:r>
      <w:r w:rsidR="007A3CEB" w:rsidRPr="00111F07">
        <w:rPr>
          <w:lang w:val="fr-FR"/>
        </w:rPr>
        <w:t>’</w:t>
      </w:r>
      <w:r w:rsidRPr="00111F07">
        <w:rPr>
          <w:lang w:val="fr-FR"/>
        </w:rPr>
        <w:t>égalité des sexes et l</w:t>
      </w:r>
      <w:r w:rsidR="007A3CEB" w:rsidRPr="00111F07">
        <w:rPr>
          <w:lang w:val="fr-FR"/>
        </w:rPr>
        <w:t>’</w:t>
      </w:r>
      <w:r w:rsidRPr="00111F07">
        <w:rPr>
          <w:lang w:val="fr-FR"/>
        </w:rPr>
        <w:t>égalité des chances, notamment en augmentant la proportion de femmes parmi les observateurs militaires et les officiers d</w:t>
      </w:r>
      <w:r w:rsidR="007A3CEB" w:rsidRPr="00111F07">
        <w:rPr>
          <w:lang w:val="fr-FR"/>
        </w:rPr>
        <w:t>’</w:t>
      </w:r>
      <w:r w:rsidRPr="00111F07">
        <w:rPr>
          <w:lang w:val="fr-FR"/>
        </w:rPr>
        <w:t>état-major danois déployés dans les missions des Nations Unies. Le Danemark a atteint un taux de 20</w:t>
      </w:r>
      <w:r w:rsidR="007A3CEB" w:rsidRPr="00111F07">
        <w:rPr>
          <w:lang w:val="fr-FR"/>
        </w:rPr>
        <w:t> %</w:t>
      </w:r>
      <w:r w:rsidRPr="00111F07">
        <w:rPr>
          <w:lang w:val="fr-FR"/>
        </w:rPr>
        <w:t>, qui est bien au-dessus de la cible de 16</w:t>
      </w:r>
      <w:r w:rsidR="007A3CEB" w:rsidRPr="00111F07">
        <w:rPr>
          <w:lang w:val="fr-FR"/>
        </w:rPr>
        <w:t> %</w:t>
      </w:r>
      <w:r w:rsidRPr="00111F07">
        <w:rPr>
          <w:lang w:val="fr-FR"/>
        </w:rPr>
        <w:t xml:space="preserve"> fixée par les Nations Unies.</w:t>
      </w:r>
    </w:p>
    <w:p w14:paraId="6C225662" w14:textId="3005C49E" w:rsidR="00603A87" w:rsidRPr="00111F07" w:rsidRDefault="00603A87" w:rsidP="003103E0">
      <w:pPr>
        <w:pStyle w:val="SingleTxt"/>
        <w:numPr>
          <w:ilvl w:val="0"/>
          <w:numId w:val="52"/>
        </w:numPr>
        <w:spacing w:line="240" w:lineRule="exact"/>
        <w:rPr>
          <w:lang w:val="fr-FR"/>
        </w:rPr>
      </w:pPr>
      <w:r w:rsidRPr="00111F07">
        <w:rPr>
          <w:lang w:val="fr-FR"/>
        </w:rPr>
        <w:t>En plus des initiatives mentionnées dans le neuvième rapport (Article</w:t>
      </w:r>
      <w:r w:rsidR="003103E0" w:rsidRPr="00111F07">
        <w:rPr>
          <w:lang w:val="fr-FR"/>
        </w:rPr>
        <w:t> </w:t>
      </w:r>
      <w:r w:rsidRPr="00111F07">
        <w:rPr>
          <w:lang w:val="fr-FR"/>
        </w:rPr>
        <w:t>8, paragraphes 107 et 108), le Ministère danois de la défense a mis en place des mentors qui fournissent des conseils et des orientations professionnelles</w:t>
      </w:r>
      <w:r w:rsidR="007A3CEB" w:rsidRPr="00111F07">
        <w:rPr>
          <w:lang w:val="fr-FR"/>
        </w:rPr>
        <w:t xml:space="preserve"> </w:t>
      </w:r>
      <w:r w:rsidRPr="00111F07">
        <w:rPr>
          <w:lang w:val="fr-FR"/>
        </w:rPr>
        <w:t>à tous les groupes au sein de l</w:t>
      </w:r>
      <w:r w:rsidR="007A3CEB" w:rsidRPr="00111F07">
        <w:rPr>
          <w:lang w:val="fr-FR"/>
        </w:rPr>
        <w:t>’</w:t>
      </w:r>
      <w:r w:rsidRPr="00111F07">
        <w:rPr>
          <w:lang w:val="fr-FR"/>
        </w:rPr>
        <w:t xml:space="preserve">état-major, a lancé des efforts de recrutement ciblés qui font appel à des femmes pouvant servir de modèle et a pris des mesures visant à maintenir les femmes dans les forces armées, y compris le </w:t>
      </w:r>
      <w:r w:rsidR="003103E0" w:rsidRPr="00111F07">
        <w:rPr>
          <w:lang w:val="fr-FR"/>
        </w:rPr>
        <w:t>« </w:t>
      </w:r>
      <w:r w:rsidRPr="00111F07">
        <w:rPr>
          <w:lang w:val="fr-FR"/>
        </w:rPr>
        <w:t>Vallø Award</w:t>
      </w:r>
      <w:r w:rsidR="003103E0" w:rsidRPr="00111F07">
        <w:rPr>
          <w:lang w:val="fr-FR"/>
        </w:rPr>
        <w:t> »</w:t>
      </w:r>
      <w:r w:rsidRPr="00111F07">
        <w:rPr>
          <w:lang w:val="fr-FR"/>
        </w:rPr>
        <w:t>, à l</w:t>
      </w:r>
      <w:r w:rsidR="007A3CEB" w:rsidRPr="00111F07">
        <w:rPr>
          <w:lang w:val="fr-FR"/>
        </w:rPr>
        <w:t>’</w:t>
      </w:r>
      <w:r w:rsidRPr="00111F07">
        <w:rPr>
          <w:lang w:val="fr-FR"/>
        </w:rPr>
        <w:t>appui d</w:t>
      </w:r>
      <w:r w:rsidR="007A3CEB" w:rsidRPr="00111F07">
        <w:rPr>
          <w:lang w:val="fr-FR"/>
        </w:rPr>
        <w:t>’</w:t>
      </w:r>
      <w:r w:rsidRPr="00111F07">
        <w:rPr>
          <w:lang w:val="fr-FR"/>
        </w:rPr>
        <w:t>initiatives qui encouragent les femmes à envisager des carrières professionnelles au sein de l</w:t>
      </w:r>
      <w:r w:rsidR="007A3CEB" w:rsidRPr="00111F07">
        <w:rPr>
          <w:lang w:val="fr-FR"/>
        </w:rPr>
        <w:t>’</w:t>
      </w:r>
      <w:r w:rsidRPr="00111F07">
        <w:rPr>
          <w:lang w:val="fr-FR"/>
        </w:rPr>
        <w:t>armée.</w:t>
      </w:r>
    </w:p>
    <w:p w14:paraId="7C58DD04" w14:textId="599952ED" w:rsidR="00603A87" w:rsidRPr="00111F07" w:rsidRDefault="00603A87" w:rsidP="003103E0">
      <w:pPr>
        <w:pStyle w:val="SingleTxt"/>
        <w:numPr>
          <w:ilvl w:val="0"/>
          <w:numId w:val="52"/>
        </w:numPr>
        <w:spacing w:line="240" w:lineRule="exact"/>
        <w:rPr>
          <w:lang w:val="fr-FR"/>
        </w:rPr>
      </w:pPr>
      <w:r w:rsidRPr="00111F07">
        <w:rPr>
          <w:lang w:val="fr-FR"/>
        </w:rPr>
        <w:t xml:space="preserve">Le Ministère des affaires étrangères met tout en </w:t>
      </w:r>
      <w:r w:rsidR="00C42243" w:rsidRPr="00111F07">
        <w:rPr>
          <w:lang w:val="fr-FR"/>
        </w:rPr>
        <w:t xml:space="preserve">œuvre </w:t>
      </w:r>
      <w:r w:rsidRPr="00111F07">
        <w:rPr>
          <w:lang w:val="fr-FR"/>
        </w:rPr>
        <w:t xml:space="preserve">pour atteindre la parité au niveau des cadres, notamment en préparant davantage de femmes à assumer des fonctions de direction. En </w:t>
      </w:r>
      <w:r w:rsidR="00C30AD6" w:rsidRPr="00111F07">
        <w:rPr>
          <w:lang w:val="fr-FR"/>
        </w:rPr>
        <w:t>2019</w:t>
      </w:r>
      <w:r w:rsidRPr="00111F07">
        <w:rPr>
          <w:lang w:val="fr-FR"/>
        </w:rPr>
        <w:t xml:space="preserve">, </w:t>
      </w:r>
      <w:r w:rsidR="007D54CA" w:rsidRPr="00DF7ED2">
        <w:rPr>
          <w:lang w:val="fr-FR"/>
        </w:rPr>
        <w:t>41</w:t>
      </w:r>
      <w:r w:rsidR="007D54CA" w:rsidRPr="00111F07">
        <w:rPr>
          <w:lang w:val="fr-FR"/>
        </w:rPr>
        <w:t> </w:t>
      </w:r>
      <w:r w:rsidR="007A3CEB" w:rsidRPr="00111F07">
        <w:rPr>
          <w:lang w:val="fr-FR"/>
        </w:rPr>
        <w:t>%</w:t>
      </w:r>
      <w:r w:rsidRPr="001C3EFA">
        <w:rPr>
          <w:lang w:val="fr-FR"/>
        </w:rPr>
        <w:t xml:space="preserve"> des cadres nouvellement nommés étaient des femmes, ce qui a porté la proportion de femmes cadres au Ministère à </w:t>
      </w:r>
      <w:r w:rsidR="007D54CA" w:rsidRPr="00DF7ED2">
        <w:rPr>
          <w:lang w:val="fr-FR"/>
        </w:rPr>
        <w:t>32</w:t>
      </w:r>
      <w:r w:rsidR="007D54CA" w:rsidRPr="00111F07">
        <w:rPr>
          <w:lang w:val="fr-FR"/>
        </w:rPr>
        <w:t> </w:t>
      </w:r>
      <w:r w:rsidR="007A3CEB" w:rsidRPr="00111F07">
        <w:rPr>
          <w:lang w:val="fr-FR"/>
        </w:rPr>
        <w:t>%</w:t>
      </w:r>
      <w:r w:rsidR="00C30AD6" w:rsidRPr="001C3EFA">
        <w:rPr>
          <w:lang w:val="fr-FR"/>
        </w:rPr>
        <w:t xml:space="preserve"> (23</w:t>
      </w:r>
      <w:r w:rsidR="00C30AD6" w:rsidRPr="007978B6">
        <w:rPr>
          <w:lang w:val="fr-FR"/>
        </w:rPr>
        <w:t>%</w:t>
      </w:r>
      <w:r w:rsidR="00C30AD6" w:rsidRPr="00111F07">
        <w:rPr>
          <w:lang w:val="fr-FR"/>
        </w:rPr>
        <w:t xml:space="preserve"> en 2013)</w:t>
      </w:r>
      <w:r w:rsidRPr="00111F07">
        <w:rPr>
          <w:lang w:val="fr-FR"/>
        </w:rPr>
        <w:t>. Le Ministère a mis en place une politique qui dispose que la haute direction doit toujours se voir proposer la candidature d</w:t>
      </w:r>
      <w:r w:rsidR="007A3CEB" w:rsidRPr="00111F07">
        <w:rPr>
          <w:lang w:val="fr-FR"/>
        </w:rPr>
        <w:t>’</w:t>
      </w:r>
      <w:r w:rsidRPr="00111F07">
        <w:rPr>
          <w:lang w:val="fr-FR"/>
        </w:rPr>
        <w:t>au moins une femme et un homme.</w:t>
      </w:r>
    </w:p>
    <w:p w14:paraId="7823E68C" w14:textId="151E8AA8" w:rsidR="00603A87" w:rsidRPr="00111F07" w:rsidRDefault="00603A87" w:rsidP="003103E0">
      <w:pPr>
        <w:pStyle w:val="SingleTxt"/>
        <w:numPr>
          <w:ilvl w:val="0"/>
          <w:numId w:val="52"/>
        </w:numPr>
        <w:spacing w:line="240" w:lineRule="exact"/>
        <w:rPr>
          <w:lang w:val="fr-FR"/>
        </w:rPr>
      </w:pPr>
      <w:r w:rsidRPr="00111F07">
        <w:rPr>
          <w:lang w:val="fr-FR"/>
        </w:rPr>
        <w:t>Le Gouvernement continuera à suivre de près l</w:t>
      </w:r>
      <w:r w:rsidR="007A3CEB" w:rsidRPr="00111F07">
        <w:rPr>
          <w:lang w:val="fr-FR"/>
        </w:rPr>
        <w:t>’</w:t>
      </w:r>
      <w:r w:rsidRPr="00111F07">
        <w:rPr>
          <w:lang w:val="fr-FR"/>
        </w:rPr>
        <w:t>évolution de la situation concernant la représentation des femmes en politique à tous les niveaux. Toutefois, le Gouvernement ne compte pas prendre des mesures pour changer la situation juridique au Danemark, où les femmes et les hommes ont les mêmes droits et possibilités de se présenter aux élections et de faire de la politique. Pour de plus amples informations, il faut se reporter au paragraphe 103 du neuvième rapport périodique du Danemark.</w:t>
      </w:r>
    </w:p>
    <w:p w14:paraId="1450920E" w14:textId="4FB9FBB0" w:rsidR="00603A87" w:rsidRPr="00111F07" w:rsidRDefault="00603A87" w:rsidP="003103E0">
      <w:pPr>
        <w:pStyle w:val="SingleTxt"/>
        <w:numPr>
          <w:ilvl w:val="0"/>
          <w:numId w:val="52"/>
        </w:numPr>
        <w:spacing w:line="240" w:lineRule="exact"/>
        <w:rPr>
          <w:lang w:val="fr-FR"/>
        </w:rPr>
      </w:pPr>
      <w:r w:rsidRPr="00111F07">
        <w:rPr>
          <w:lang w:val="fr-FR"/>
        </w:rPr>
        <w:t>Voici le nombre de femmes dans le secteur judiciaire au printemps 2019</w:t>
      </w:r>
      <w:r w:rsidR="007A3CEB" w:rsidRPr="00111F07">
        <w:rPr>
          <w:lang w:val="fr-FR"/>
        </w:rPr>
        <w:t> :</w:t>
      </w:r>
    </w:p>
    <w:p w14:paraId="71FFED0A" w14:textId="5DFBF892" w:rsidR="00603A87" w:rsidRPr="00111F07" w:rsidRDefault="003103E0" w:rsidP="003103E0">
      <w:pPr>
        <w:pStyle w:val="SingleTxt"/>
        <w:tabs>
          <w:tab w:val="right" w:pos="1685"/>
        </w:tabs>
        <w:ind w:left="1742" w:hanging="475"/>
        <w:rPr>
          <w:lang w:val="fr-FR"/>
        </w:rPr>
      </w:pPr>
      <w:r w:rsidRPr="00111F07">
        <w:rPr>
          <w:lang w:val="fr-FR"/>
        </w:rPr>
        <w:tab/>
      </w:r>
      <w:r w:rsidR="00603A87" w:rsidRPr="00111F07">
        <w:rPr>
          <w:lang w:val="fr-FR"/>
        </w:rPr>
        <w:t>•</w:t>
      </w:r>
      <w:r w:rsidR="00603A87" w:rsidRPr="00111F07">
        <w:rPr>
          <w:lang w:val="fr-FR"/>
        </w:rPr>
        <w:tab/>
        <w:t>Présidents de tribunaux</w:t>
      </w:r>
      <w:r w:rsidR="007A3CEB" w:rsidRPr="00111F07">
        <w:rPr>
          <w:lang w:val="fr-FR"/>
        </w:rPr>
        <w:t> :</w:t>
      </w:r>
      <w:r w:rsidR="00603A87" w:rsidRPr="00111F07">
        <w:rPr>
          <w:lang w:val="fr-FR"/>
        </w:rPr>
        <w:t xml:space="preserve"> 12 femmes (41,4</w:t>
      </w:r>
      <w:r w:rsidR="007A3CEB" w:rsidRPr="00111F07">
        <w:rPr>
          <w:lang w:val="fr-FR"/>
        </w:rPr>
        <w:t> %</w:t>
      </w:r>
      <w:r w:rsidR="00603A87" w:rsidRPr="00111F07">
        <w:rPr>
          <w:lang w:val="fr-FR"/>
        </w:rPr>
        <w:t>)</w:t>
      </w:r>
      <w:r w:rsidRPr="00111F07">
        <w:rPr>
          <w:lang w:val="fr-FR"/>
        </w:rPr>
        <w:t> ;</w:t>
      </w:r>
    </w:p>
    <w:p w14:paraId="02357D31" w14:textId="78BBB345" w:rsidR="00603A87" w:rsidRPr="00111F07" w:rsidRDefault="003103E0" w:rsidP="003103E0">
      <w:pPr>
        <w:pStyle w:val="SingleTxt"/>
        <w:tabs>
          <w:tab w:val="right" w:pos="1685"/>
        </w:tabs>
        <w:ind w:left="1742" w:hanging="475"/>
        <w:rPr>
          <w:lang w:val="fr-FR"/>
        </w:rPr>
      </w:pPr>
      <w:r w:rsidRPr="00111F07">
        <w:rPr>
          <w:lang w:val="fr-FR"/>
        </w:rPr>
        <w:tab/>
      </w:r>
      <w:r w:rsidR="00603A87" w:rsidRPr="00111F07">
        <w:rPr>
          <w:lang w:val="fr-FR"/>
        </w:rPr>
        <w:t>•</w:t>
      </w:r>
      <w:r w:rsidR="00603A87" w:rsidRPr="00111F07">
        <w:rPr>
          <w:lang w:val="fr-FR"/>
        </w:rPr>
        <w:tab/>
        <w:t>Juges à la Cour suprême</w:t>
      </w:r>
      <w:r w:rsidR="007A3CEB" w:rsidRPr="00111F07">
        <w:rPr>
          <w:lang w:val="fr-FR"/>
        </w:rPr>
        <w:t> :</w:t>
      </w:r>
      <w:r w:rsidR="00603A87" w:rsidRPr="00111F07">
        <w:rPr>
          <w:lang w:val="fr-FR"/>
        </w:rPr>
        <w:t xml:space="preserve"> 5 femmes (27,8</w:t>
      </w:r>
      <w:r w:rsidR="007A3CEB" w:rsidRPr="00111F07">
        <w:rPr>
          <w:lang w:val="fr-FR"/>
        </w:rPr>
        <w:t> %</w:t>
      </w:r>
      <w:r w:rsidR="00603A87" w:rsidRPr="00111F07">
        <w:rPr>
          <w:lang w:val="fr-FR"/>
        </w:rPr>
        <w:t>)</w:t>
      </w:r>
      <w:r w:rsidRPr="00111F07">
        <w:rPr>
          <w:lang w:val="fr-FR"/>
        </w:rPr>
        <w:t> ;</w:t>
      </w:r>
    </w:p>
    <w:p w14:paraId="59106B49" w14:textId="5244EE5E" w:rsidR="00603A87" w:rsidRPr="00111F07" w:rsidRDefault="003103E0" w:rsidP="003103E0">
      <w:pPr>
        <w:pStyle w:val="SingleTxt"/>
        <w:tabs>
          <w:tab w:val="right" w:pos="1685"/>
        </w:tabs>
        <w:ind w:left="1742" w:hanging="475"/>
        <w:rPr>
          <w:lang w:val="fr-FR"/>
        </w:rPr>
      </w:pPr>
      <w:r w:rsidRPr="00111F07">
        <w:rPr>
          <w:lang w:val="fr-FR"/>
        </w:rPr>
        <w:lastRenderedPageBreak/>
        <w:tab/>
      </w:r>
      <w:r w:rsidR="00603A87" w:rsidRPr="00111F07">
        <w:rPr>
          <w:lang w:val="fr-FR"/>
        </w:rPr>
        <w:t>•</w:t>
      </w:r>
      <w:r w:rsidR="00603A87" w:rsidRPr="00111F07">
        <w:rPr>
          <w:lang w:val="fr-FR"/>
        </w:rPr>
        <w:tab/>
        <w:t>Juges à la Haute Cour</w:t>
      </w:r>
      <w:r w:rsidR="007A3CEB" w:rsidRPr="00111F07">
        <w:rPr>
          <w:lang w:val="fr-FR"/>
        </w:rPr>
        <w:t> :</w:t>
      </w:r>
      <w:r w:rsidR="00603A87" w:rsidRPr="00111F07">
        <w:rPr>
          <w:lang w:val="fr-FR"/>
        </w:rPr>
        <w:t xml:space="preserve"> 41 femmes (42,7</w:t>
      </w:r>
      <w:r w:rsidR="007A3CEB" w:rsidRPr="00111F07">
        <w:rPr>
          <w:lang w:val="fr-FR"/>
        </w:rPr>
        <w:t> %</w:t>
      </w:r>
      <w:r w:rsidR="00603A87" w:rsidRPr="00111F07">
        <w:rPr>
          <w:lang w:val="fr-FR"/>
        </w:rPr>
        <w:t>)</w:t>
      </w:r>
      <w:r w:rsidRPr="00111F07">
        <w:rPr>
          <w:lang w:val="fr-FR"/>
        </w:rPr>
        <w:t> ;</w:t>
      </w:r>
    </w:p>
    <w:p w14:paraId="65F0A8FC" w14:textId="037AF35E" w:rsidR="00603A87" w:rsidRPr="00111F07" w:rsidRDefault="003103E0" w:rsidP="003103E0">
      <w:pPr>
        <w:pStyle w:val="SingleTxt"/>
        <w:tabs>
          <w:tab w:val="right" w:pos="1685"/>
        </w:tabs>
        <w:ind w:left="1742" w:hanging="475"/>
        <w:rPr>
          <w:lang w:val="fr-FR"/>
        </w:rPr>
      </w:pPr>
      <w:r w:rsidRPr="00111F07">
        <w:rPr>
          <w:lang w:val="fr-FR"/>
        </w:rPr>
        <w:tab/>
      </w:r>
      <w:r w:rsidR="00603A87" w:rsidRPr="00111F07">
        <w:rPr>
          <w:lang w:val="fr-FR"/>
        </w:rPr>
        <w:t>•</w:t>
      </w:r>
      <w:r w:rsidR="00603A87" w:rsidRPr="00111F07">
        <w:rPr>
          <w:lang w:val="fr-FR"/>
        </w:rPr>
        <w:tab/>
        <w:t>Juges de cours de district</w:t>
      </w:r>
      <w:r w:rsidR="007A3CEB" w:rsidRPr="00111F07">
        <w:rPr>
          <w:lang w:val="fr-FR"/>
        </w:rPr>
        <w:t> :</w:t>
      </w:r>
      <w:r w:rsidR="00603A87" w:rsidRPr="00111F07">
        <w:rPr>
          <w:lang w:val="fr-FR"/>
        </w:rPr>
        <w:t xml:space="preserve"> 140 femmes (58,8</w:t>
      </w:r>
      <w:r w:rsidR="007A3CEB" w:rsidRPr="00111F07">
        <w:rPr>
          <w:lang w:val="fr-FR"/>
        </w:rPr>
        <w:t> %</w:t>
      </w:r>
      <w:r w:rsidR="00603A87" w:rsidRPr="00111F07">
        <w:rPr>
          <w:lang w:val="fr-FR"/>
        </w:rPr>
        <w:t>)</w:t>
      </w:r>
      <w:r w:rsidRPr="00111F07">
        <w:rPr>
          <w:lang w:val="fr-FR"/>
        </w:rPr>
        <w:t> ;</w:t>
      </w:r>
    </w:p>
    <w:p w14:paraId="5C8FB7BE" w14:textId="3BE1F915" w:rsidR="00603A87" w:rsidRPr="00111F07" w:rsidRDefault="003103E0" w:rsidP="003103E0">
      <w:pPr>
        <w:pStyle w:val="SingleTxt"/>
        <w:tabs>
          <w:tab w:val="right" w:pos="1685"/>
        </w:tabs>
        <w:ind w:left="1742" w:hanging="475"/>
        <w:rPr>
          <w:lang w:val="fr-FR"/>
        </w:rPr>
      </w:pPr>
      <w:r w:rsidRPr="00111F07">
        <w:rPr>
          <w:lang w:val="fr-FR"/>
        </w:rPr>
        <w:tab/>
      </w:r>
      <w:r w:rsidR="00603A87" w:rsidRPr="00111F07">
        <w:rPr>
          <w:lang w:val="fr-FR"/>
        </w:rPr>
        <w:t>•</w:t>
      </w:r>
      <w:r w:rsidR="00603A87" w:rsidRPr="00111F07">
        <w:rPr>
          <w:lang w:val="fr-FR"/>
        </w:rPr>
        <w:tab/>
        <w:t>Tribunal spécial d</w:t>
      </w:r>
      <w:r w:rsidR="007A3CEB" w:rsidRPr="00111F07">
        <w:rPr>
          <w:lang w:val="fr-FR"/>
        </w:rPr>
        <w:t>’</w:t>
      </w:r>
      <w:r w:rsidR="00603A87" w:rsidRPr="00111F07">
        <w:rPr>
          <w:lang w:val="fr-FR"/>
        </w:rPr>
        <w:t>accusation et de révision</w:t>
      </w:r>
      <w:r w:rsidR="007A3CEB" w:rsidRPr="00111F07">
        <w:rPr>
          <w:lang w:val="fr-FR"/>
        </w:rPr>
        <w:t> :</w:t>
      </w:r>
      <w:r w:rsidR="00603A87" w:rsidRPr="00111F07">
        <w:rPr>
          <w:lang w:val="fr-FR"/>
        </w:rPr>
        <w:t xml:space="preserve"> 3 femmes (60</w:t>
      </w:r>
      <w:r w:rsidR="007A3CEB" w:rsidRPr="00111F07">
        <w:rPr>
          <w:lang w:val="fr-FR"/>
        </w:rPr>
        <w:t> %</w:t>
      </w:r>
      <w:r w:rsidR="00603A87" w:rsidRPr="00111F07">
        <w:rPr>
          <w:lang w:val="fr-FR"/>
        </w:rPr>
        <w:t>)</w:t>
      </w:r>
      <w:r w:rsidRPr="00111F07">
        <w:rPr>
          <w:lang w:val="fr-FR"/>
        </w:rPr>
        <w:t>.</w:t>
      </w:r>
    </w:p>
    <w:p w14:paraId="671D6A33" w14:textId="6E8022FB" w:rsidR="003103E0" w:rsidRPr="00111F07" w:rsidRDefault="003103E0" w:rsidP="003103E0">
      <w:pPr>
        <w:pStyle w:val="SingleTxt"/>
        <w:tabs>
          <w:tab w:val="right" w:pos="1685"/>
        </w:tabs>
        <w:spacing w:after="0" w:line="120" w:lineRule="exact"/>
        <w:ind w:left="1742" w:hanging="475"/>
        <w:rPr>
          <w:sz w:val="10"/>
          <w:lang w:val="fr-FR"/>
        </w:rPr>
      </w:pPr>
    </w:p>
    <w:p w14:paraId="1088D8F4" w14:textId="0051C01C" w:rsidR="00603A87" w:rsidRPr="00111F07" w:rsidRDefault="00603A87" w:rsidP="00310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Îles Féroé</w:t>
      </w:r>
    </w:p>
    <w:p w14:paraId="5B439C6E" w14:textId="4BD512E2" w:rsidR="003103E0" w:rsidRPr="00111F07" w:rsidRDefault="003103E0" w:rsidP="003103E0">
      <w:pPr>
        <w:pStyle w:val="SingleTxt"/>
        <w:spacing w:after="0" w:line="120" w:lineRule="exact"/>
        <w:rPr>
          <w:sz w:val="10"/>
          <w:lang w:val="fr-FR"/>
        </w:rPr>
      </w:pPr>
    </w:p>
    <w:p w14:paraId="6CF7D5D0" w14:textId="3240077B" w:rsidR="00603A87" w:rsidRPr="00111F07" w:rsidRDefault="00603A87" w:rsidP="003103E0">
      <w:pPr>
        <w:pStyle w:val="SingleTxt"/>
        <w:numPr>
          <w:ilvl w:val="0"/>
          <w:numId w:val="52"/>
        </w:numPr>
        <w:spacing w:line="240" w:lineRule="exact"/>
        <w:rPr>
          <w:lang w:val="fr-FR"/>
        </w:rPr>
      </w:pPr>
      <w:r w:rsidRPr="00111F07">
        <w:t>Malgré les efforts déployés par Demokratia (</w:t>
      </w:r>
      <w:hyperlink r:id="rId22" w:history="1">
        <w:r w:rsidRPr="00111F07">
          <w:t>CEDAW/C/DNK/9</w:t>
        </w:r>
      </w:hyperlink>
      <w:r w:rsidRPr="00111F07">
        <w:t>, par. 270) pour encourager le Parlement à veiller à ce que le même nombre d</w:t>
      </w:r>
      <w:r w:rsidR="007A3CEB" w:rsidRPr="00111F07">
        <w:t>’</w:t>
      </w:r>
      <w:r w:rsidRPr="001C3EFA">
        <w:t>hommes et de femmes figure sur les listes électorales, il n</w:t>
      </w:r>
      <w:r w:rsidR="007A3CEB" w:rsidRPr="00111F07">
        <w:t>’</w:t>
      </w:r>
      <w:r w:rsidRPr="00111F07">
        <w:t>y a pas de majorité au Parlement permettant d</w:t>
      </w:r>
      <w:r w:rsidR="007A3CEB" w:rsidRPr="00111F07">
        <w:t>’</w:t>
      </w:r>
      <w:r w:rsidRPr="00111F07">
        <w:t>adopter une loi à cette fin. En ce qui concerne les élections au Parlement et aux conseils municipaux, Demokratia a invité les partis politiques à présenter le même nombre de candid</w:t>
      </w:r>
      <w:r w:rsidRPr="00111F07">
        <w:rPr>
          <w:lang w:val="fr-FR"/>
        </w:rPr>
        <w:t>ats et de candidates, mais tous les partis n</w:t>
      </w:r>
      <w:r w:rsidR="007A3CEB" w:rsidRPr="00111F07">
        <w:rPr>
          <w:lang w:val="fr-FR"/>
        </w:rPr>
        <w:t>’</w:t>
      </w:r>
      <w:r w:rsidRPr="00111F07">
        <w:rPr>
          <w:lang w:val="fr-FR"/>
        </w:rPr>
        <w:t>ont pas suivi cette recommandation.</w:t>
      </w:r>
    </w:p>
    <w:p w14:paraId="60DD1E3D" w14:textId="1DDDFB74" w:rsidR="003103E0" w:rsidRPr="00111F07" w:rsidRDefault="003103E0" w:rsidP="003103E0">
      <w:pPr>
        <w:pStyle w:val="SingleTxt"/>
        <w:tabs>
          <w:tab w:val="clear" w:pos="1742"/>
        </w:tabs>
        <w:spacing w:after="0" w:line="120" w:lineRule="exact"/>
        <w:rPr>
          <w:sz w:val="10"/>
          <w:lang w:val="fr-FR"/>
        </w:rPr>
      </w:pPr>
    </w:p>
    <w:p w14:paraId="7AD29035" w14:textId="03207D44" w:rsidR="00603A87" w:rsidRPr="00111F07" w:rsidRDefault="00603A87" w:rsidP="00310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Groenland</w:t>
      </w:r>
    </w:p>
    <w:p w14:paraId="1072423E" w14:textId="0A640245" w:rsidR="003103E0" w:rsidRPr="00111F07" w:rsidRDefault="003103E0" w:rsidP="003103E0">
      <w:pPr>
        <w:pStyle w:val="SingleTxt"/>
        <w:spacing w:after="0" w:line="120" w:lineRule="exact"/>
        <w:rPr>
          <w:sz w:val="10"/>
          <w:lang w:val="fr-FR"/>
        </w:rPr>
      </w:pPr>
    </w:p>
    <w:p w14:paraId="7AF346FF" w14:textId="50FC2CB4" w:rsidR="00603A87" w:rsidRPr="00111F07" w:rsidRDefault="00603A87" w:rsidP="003103E0">
      <w:pPr>
        <w:pStyle w:val="SingleTxt"/>
        <w:numPr>
          <w:ilvl w:val="0"/>
          <w:numId w:val="52"/>
        </w:numPr>
        <w:spacing w:line="240" w:lineRule="exact"/>
        <w:rPr>
          <w:lang w:val="fr-FR"/>
        </w:rPr>
      </w:pPr>
      <w:r w:rsidRPr="00111F07">
        <w:rPr>
          <w:lang w:val="fr-FR"/>
        </w:rPr>
        <w:t>Les femmes ont le droit, au même titre que les hommes, de représenter le Groenland au niveau international. Le Ministère des affaires étrangères du Gouvernement groenlandais emploie 21 personnes, à savoir 13 femmes et 8 hommes. La Représentation permanente à Copenhague est dirigée par une femme.</w:t>
      </w:r>
    </w:p>
    <w:p w14:paraId="61F7ADAE" w14:textId="76997047" w:rsidR="00603A87" w:rsidRPr="00111F07" w:rsidRDefault="00603A87" w:rsidP="003103E0">
      <w:pPr>
        <w:pStyle w:val="SingleTxt"/>
        <w:numPr>
          <w:ilvl w:val="0"/>
          <w:numId w:val="52"/>
        </w:numPr>
        <w:rPr>
          <w:lang w:val="fr-FR"/>
        </w:rPr>
      </w:pPr>
      <w:r w:rsidRPr="00111F07">
        <w:rPr>
          <w:lang w:val="fr-FR"/>
        </w:rPr>
        <w:t>Il est recommandé aux partis politiques d</w:t>
      </w:r>
      <w:r w:rsidR="007A3CEB" w:rsidRPr="00111F07">
        <w:rPr>
          <w:lang w:val="fr-FR"/>
        </w:rPr>
        <w:t>’</w:t>
      </w:r>
      <w:r w:rsidRPr="00111F07">
        <w:rPr>
          <w:lang w:val="fr-FR"/>
        </w:rPr>
        <w:t>inscrire le même nombre de femmes et d</w:t>
      </w:r>
      <w:r w:rsidR="007A3CEB" w:rsidRPr="00111F07">
        <w:rPr>
          <w:lang w:val="fr-FR"/>
        </w:rPr>
        <w:t>’</w:t>
      </w:r>
      <w:r w:rsidRPr="00111F07">
        <w:rPr>
          <w:lang w:val="fr-FR"/>
        </w:rPr>
        <w:t>hommes sur leurs listes de candidats. Dans certaines parties du système politique, le Groenland compte plus de femmes que d</w:t>
      </w:r>
      <w:r w:rsidR="007A3CEB" w:rsidRPr="00111F07">
        <w:rPr>
          <w:lang w:val="fr-FR"/>
        </w:rPr>
        <w:t>’</w:t>
      </w:r>
      <w:r w:rsidRPr="00111F07">
        <w:rPr>
          <w:lang w:val="fr-FR"/>
        </w:rPr>
        <w:t>hommes. Par exemple, trois des cinq maires du Groenland sont des femmes.</w:t>
      </w:r>
    </w:p>
    <w:p w14:paraId="77754A67" w14:textId="69B43FEF" w:rsidR="003103E0" w:rsidRPr="00111F07" w:rsidRDefault="003103E0" w:rsidP="003103E0">
      <w:pPr>
        <w:pStyle w:val="SingleTxt"/>
        <w:spacing w:after="0" w:line="120" w:lineRule="exact"/>
        <w:rPr>
          <w:sz w:val="10"/>
          <w:lang w:val="fr-FR"/>
        </w:rPr>
      </w:pPr>
    </w:p>
    <w:p w14:paraId="4305B108" w14:textId="4C654763" w:rsidR="003103E0" w:rsidRPr="00111F07" w:rsidRDefault="003103E0" w:rsidP="003103E0">
      <w:pPr>
        <w:pStyle w:val="SingleTxt"/>
        <w:spacing w:after="0" w:line="120" w:lineRule="exact"/>
        <w:rPr>
          <w:sz w:val="10"/>
          <w:lang w:val="fr-FR"/>
        </w:rPr>
      </w:pPr>
    </w:p>
    <w:p w14:paraId="75CECE97" w14:textId="0C4B2EAB" w:rsidR="00603A87" w:rsidRPr="00111F07" w:rsidRDefault="00603A87" w:rsidP="003103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Éducation</w:t>
      </w:r>
    </w:p>
    <w:p w14:paraId="3B4A1031" w14:textId="235BF8E0" w:rsidR="003103E0" w:rsidRPr="00111F07" w:rsidRDefault="003103E0" w:rsidP="003103E0">
      <w:pPr>
        <w:pStyle w:val="SingleTxt"/>
        <w:spacing w:after="0" w:line="120" w:lineRule="exact"/>
        <w:rPr>
          <w:sz w:val="10"/>
          <w:lang w:val="fr-FR"/>
        </w:rPr>
      </w:pPr>
    </w:p>
    <w:p w14:paraId="1A677162" w14:textId="0D75856F" w:rsidR="003103E0" w:rsidRPr="00111F07" w:rsidRDefault="003103E0" w:rsidP="003103E0">
      <w:pPr>
        <w:pStyle w:val="SingleTxt"/>
        <w:spacing w:after="0" w:line="120" w:lineRule="exact"/>
        <w:rPr>
          <w:sz w:val="10"/>
          <w:lang w:val="fr-FR"/>
        </w:rPr>
      </w:pPr>
    </w:p>
    <w:p w14:paraId="19D863A7" w14:textId="010D09C0" w:rsidR="00603A87" w:rsidRPr="00111F07" w:rsidRDefault="00603A87" w:rsidP="003103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13</w:t>
      </w:r>
    </w:p>
    <w:p w14:paraId="6D5AAFA2" w14:textId="79DADD15" w:rsidR="003103E0" w:rsidRPr="00111F07" w:rsidRDefault="003103E0" w:rsidP="003103E0">
      <w:pPr>
        <w:pStyle w:val="SingleTxt"/>
        <w:spacing w:after="0" w:line="120" w:lineRule="exact"/>
        <w:rPr>
          <w:sz w:val="10"/>
          <w:lang w:val="fr-FR"/>
        </w:rPr>
      </w:pPr>
    </w:p>
    <w:p w14:paraId="5C606E62" w14:textId="7A777F70" w:rsidR="003103E0" w:rsidRPr="00111F07" w:rsidRDefault="003103E0" w:rsidP="003103E0">
      <w:pPr>
        <w:pStyle w:val="SingleTxt"/>
        <w:spacing w:after="0" w:line="120" w:lineRule="exact"/>
        <w:rPr>
          <w:sz w:val="10"/>
          <w:lang w:val="fr-FR"/>
        </w:rPr>
      </w:pPr>
    </w:p>
    <w:p w14:paraId="1D73CD9E" w14:textId="31C5E7C8" w:rsidR="00603A87" w:rsidRPr="00111F07" w:rsidRDefault="00603A87" w:rsidP="003103E0">
      <w:pPr>
        <w:pStyle w:val="SingleTxt"/>
        <w:numPr>
          <w:ilvl w:val="0"/>
          <w:numId w:val="52"/>
        </w:numPr>
        <w:spacing w:line="240" w:lineRule="exact"/>
        <w:rPr>
          <w:lang w:val="fr-FR"/>
        </w:rPr>
      </w:pPr>
      <w:r w:rsidRPr="00111F07">
        <w:rPr>
          <w:lang w:val="fr-FR"/>
        </w:rPr>
        <w:t>Des initiatives visant à promouvoir l</w:t>
      </w:r>
      <w:r w:rsidR="007A3CEB" w:rsidRPr="00111F07">
        <w:rPr>
          <w:lang w:val="fr-FR"/>
        </w:rPr>
        <w:t>’</w:t>
      </w:r>
      <w:r w:rsidRPr="00111F07">
        <w:rPr>
          <w:lang w:val="fr-FR"/>
        </w:rPr>
        <w:t>accès à des études dans les domaines des sciences, de la technologie, de l</w:t>
      </w:r>
      <w:r w:rsidR="007A3CEB" w:rsidRPr="00111F07">
        <w:rPr>
          <w:lang w:val="fr-FR"/>
        </w:rPr>
        <w:t>’</w:t>
      </w:r>
      <w:r w:rsidRPr="00111F07">
        <w:rPr>
          <w:lang w:val="fr-FR"/>
        </w:rPr>
        <w:t>ingénierie et des mathématiques ont été lancées dans le cadre de la stratégie en faveur des sciences naturelles publiée par le Gouvernement danois en mars 2018. Ces initiatives n</w:t>
      </w:r>
      <w:r w:rsidR="007A3CEB" w:rsidRPr="00111F07">
        <w:rPr>
          <w:lang w:val="fr-FR"/>
        </w:rPr>
        <w:t>’</w:t>
      </w:r>
      <w:r w:rsidRPr="00111F07">
        <w:rPr>
          <w:lang w:val="fr-FR"/>
        </w:rPr>
        <w:t>ont pas encore fait l</w:t>
      </w:r>
      <w:r w:rsidR="007A3CEB" w:rsidRPr="00111F07">
        <w:rPr>
          <w:lang w:val="fr-FR"/>
        </w:rPr>
        <w:t>’</w:t>
      </w:r>
      <w:r w:rsidRPr="00111F07">
        <w:rPr>
          <w:lang w:val="fr-FR"/>
        </w:rPr>
        <w:t>objet d</w:t>
      </w:r>
      <w:r w:rsidR="007A3CEB" w:rsidRPr="00111F07">
        <w:rPr>
          <w:lang w:val="fr-FR"/>
        </w:rPr>
        <w:t>’</w:t>
      </w:r>
      <w:r w:rsidRPr="00111F07">
        <w:rPr>
          <w:lang w:val="fr-FR"/>
        </w:rPr>
        <w:t>une évaluation.</w:t>
      </w:r>
    </w:p>
    <w:p w14:paraId="7EA3F8F7" w14:textId="1059B0D6" w:rsidR="00603A87" w:rsidRPr="00111F07" w:rsidRDefault="00603A87" w:rsidP="003103E0">
      <w:pPr>
        <w:pStyle w:val="SingleTxt"/>
        <w:numPr>
          <w:ilvl w:val="0"/>
          <w:numId w:val="52"/>
        </w:numPr>
        <w:spacing w:line="240" w:lineRule="exact"/>
        <w:rPr>
          <w:lang w:val="fr-FR"/>
        </w:rPr>
      </w:pPr>
      <w:r w:rsidRPr="00111F07">
        <w:rPr>
          <w:lang w:val="fr-FR"/>
        </w:rPr>
        <w:t>L</w:t>
      </w:r>
      <w:r w:rsidR="007A3CEB" w:rsidRPr="00111F07">
        <w:rPr>
          <w:lang w:val="fr-FR"/>
        </w:rPr>
        <w:t>’</w:t>
      </w:r>
      <w:r w:rsidRPr="00111F07">
        <w:rPr>
          <w:lang w:val="fr-FR"/>
        </w:rPr>
        <w:t>une des principales initiatives est un projet pilote qui consiste à évaluer comment un cours visant à faire acquérir une compréhension de la technologie peut être proposé en tant que matière distincte et à examiner comment elle peut être intégrée à d</w:t>
      </w:r>
      <w:r w:rsidR="007A3CEB" w:rsidRPr="00111F07">
        <w:rPr>
          <w:lang w:val="fr-FR"/>
        </w:rPr>
        <w:t>’</w:t>
      </w:r>
      <w:r w:rsidRPr="00111F07">
        <w:rPr>
          <w:lang w:val="fr-FR"/>
        </w:rPr>
        <w:t>autres matières dans l</w:t>
      </w:r>
      <w:r w:rsidR="007A3CEB" w:rsidRPr="00111F07">
        <w:rPr>
          <w:lang w:val="fr-FR"/>
        </w:rPr>
        <w:t>’</w:t>
      </w:r>
      <w:r w:rsidRPr="00111F07">
        <w:rPr>
          <w:lang w:val="fr-FR"/>
        </w:rPr>
        <w:t>enseignement primaire et dans le premier cycle de l</w:t>
      </w:r>
      <w:r w:rsidR="007A3CEB" w:rsidRPr="00111F07">
        <w:rPr>
          <w:lang w:val="fr-FR"/>
        </w:rPr>
        <w:t>’</w:t>
      </w:r>
      <w:r w:rsidRPr="00111F07">
        <w:rPr>
          <w:lang w:val="fr-FR"/>
        </w:rPr>
        <w:t>enseignement secondaire. Une évaluation à mi-parcours sera menée en 2020 pour examiner l</w:t>
      </w:r>
      <w:r w:rsidR="007A3CEB" w:rsidRPr="00111F07">
        <w:rPr>
          <w:lang w:val="fr-FR"/>
        </w:rPr>
        <w:t>’</w:t>
      </w:r>
      <w:r w:rsidRPr="00111F07">
        <w:rPr>
          <w:lang w:val="fr-FR"/>
        </w:rPr>
        <w:t>impact de cette initiative sur différents groupes d</w:t>
      </w:r>
      <w:r w:rsidR="007A3CEB" w:rsidRPr="00111F07">
        <w:rPr>
          <w:lang w:val="fr-FR"/>
        </w:rPr>
        <w:t>’</w:t>
      </w:r>
      <w:r w:rsidRPr="00111F07">
        <w:rPr>
          <w:lang w:val="fr-FR"/>
        </w:rPr>
        <w:t>élèves composés de filles et de garçons.</w:t>
      </w:r>
    </w:p>
    <w:p w14:paraId="73932260" w14:textId="5BE1B8AA" w:rsidR="00603A87" w:rsidRPr="00111F07" w:rsidRDefault="00603A87" w:rsidP="003103E0">
      <w:pPr>
        <w:pStyle w:val="SingleTxt"/>
        <w:numPr>
          <w:ilvl w:val="0"/>
          <w:numId w:val="52"/>
        </w:numPr>
        <w:spacing w:line="240" w:lineRule="exact"/>
        <w:rPr>
          <w:lang w:val="fr-FR"/>
        </w:rPr>
      </w:pPr>
      <w:r w:rsidRPr="00111F07">
        <w:rPr>
          <w:lang w:val="fr-FR"/>
        </w:rPr>
        <w:t>La campagne nationale annuelle « Journée des filles dans les sciences » est un autre exemple de collaboration entre le Gouvernement et le secteur privé visant à promouvoir l</w:t>
      </w:r>
      <w:r w:rsidR="007A3CEB" w:rsidRPr="00111F07">
        <w:rPr>
          <w:lang w:val="fr-FR"/>
        </w:rPr>
        <w:t>’</w:t>
      </w:r>
      <w:r w:rsidRPr="00111F07">
        <w:rPr>
          <w:lang w:val="fr-FR"/>
        </w:rPr>
        <w:t>accès des femmes aux études dans les domaines des sciences, de la technologie, de l</w:t>
      </w:r>
      <w:r w:rsidR="007A3CEB" w:rsidRPr="00111F07">
        <w:rPr>
          <w:lang w:val="fr-FR"/>
        </w:rPr>
        <w:t>’</w:t>
      </w:r>
      <w:r w:rsidRPr="00111F07">
        <w:rPr>
          <w:lang w:val="fr-FR"/>
        </w:rPr>
        <w:t>ingénierie et des mathématiques (voir par. 29). Les filles au sein du premier et deuxième cycle de l</w:t>
      </w:r>
      <w:r w:rsidR="007A3CEB" w:rsidRPr="00111F07">
        <w:rPr>
          <w:lang w:val="fr-FR"/>
        </w:rPr>
        <w:t>’</w:t>
      </w:r>
      <w:r w:rsidRPr="00111F07">
        <w:rPr>
          <w:lang w:val="fr-FR"/>
        </w:rPr>
        <w:t>enseignement secondaire rencontrent des personnes qui peuvent leur servir de modèle pour envisager un avenir dans les domaines des sciences, de la technologie, de l</w:t>
      </w:r>
      <w:r w:rsidR="007A3CEB" w:rsidRPr="00111F07">
        <w:rPr>
          <w:lang w:val="fr-FR"/>
        </w:rPr>
        <w:t>’</w:t>
      </w:r>
      <w:r w:rsidRPr="00111F07">
        <w:rPr>
          <w:lang w:val="fr-FR"/>
        </w:rPr>
        <w:t>informatique ou de l</w:t>
      </w:r>
      <w:r w:rsidR="007A3CEB" w:rsidRPr="00111F07">
        <w:rPr>
          <w:lang w:val="fr-FR"/>
        </w:rPr>
        <w:t>’</w:t>
      </w:r>
      <w:r w:rsidRPr="00111F07">
        <w:rPr>
          <w:lang w:val="fr-FR"/>
        </w:rPr>
        <w:t>artisanat.</w:t>
      </w:r>
    </w:p>
    <w:p w14:paraId="6E9AA672" w14:textId="7D763110" w:rsidR="00603A87" w:rsidRPr="00111F07" w:rsidRDefault="00603A87" w:rsidP="003103E0">
      <w:pPr>
        <w:pStyle w:val="SingleTxt"/>
        <w:numPr>
          <w:ilvl w:val="0"/>
          <w:numId w:val="52"/>
        </w:numPr>
        <w:spacing w:line="240" w:lineRule="exact"/>
        <w:rPr>
          <w:lang w:val="fr-FR"/>
        </w:rPr>
      </w:pPr>
      <w:r w:rsidRPr="00111F07">
        <w:rPr>
          <w:lang w:val="fr-FR"/>
        </w:rPr>
        <w:t>Les acteurs du marché du travail et les universités prennent des mesures visant à encourager les femmes et les hommes à sortir des schémas traditionnels lorsqu</w:t>
      </w:r>
      <w:r w:rsidR="007A3CEB" w:rsidRPr="00111F07">
        <w:rPr>
          <w:lang w:val="fr-FR"/>
        </w:rPr>
        <w:t>’</w:t>
      </w:r>
      <w:r w:rsidRPr="00111F07">
        <w:rPr>
          <w:lang w:val="fr-FR"/>
        </w:rPr>
        <w:t>ils choisissent leur domaine d</w:t>
      </w:r>
      <w:r w:rsidR="007A3CEB" w:rsidRPr="00111F07">
        <w:rPr>
          <w:lang w:val="fr-FR"/>
        </w:rPr>
        <w:t>’</w:t>
      </w:r>
      <w:r w:rsidRPr="00111F07">
        <w:rPr>
          <w:lang w:val="fr-FR"/>
        </w:rPr>
        <w:t>études et leur voie professionnelle, en se tournant par exemple vers la science et la technologie pour les femmes et vers les soins à la personne pour les hommes. En ce qui concerne l</w:t>
      </w:r>
      <w:r w:rsidR="007A3CEB" w:rsidRPr="00111F07">
        <w:rPr>
          <w:lang w:val="fr-FR"/>
        </w:rPr>
        <w:t>’</w:t>
      </w:r>
      <w:r w:rsidRPr="00111F07">
        <w:rPr>
          <w:lang w:val="fr-FR"/>
        </w:rPr>
        <w:t xml:space="preserve">alinéa a) du paragraphe 28 des </w:t>
      </w:r>
      <w:r w:rsidRPr="00111F07">
        <w:rPr>
          <w:lang w:val="fr-FR"/>
        </w:rPr>
        <w:lastRenderedPageBreak/>
        <w:t>observations finales, le Ministère de l</w:t>
      </w:r>
      <w:r w:rsidR="007A3CEB" w:rsidRPr="00111F07">
        <w:rPr>
          <w:lang w:val="fr-FR"/>
        </w:rPr>
        <w:t>’</w:t>
      </w:r>
      <w:r w:rsidRPr="00111F07">
        <w:rPr>
          <w:lang w:val="fr-FR"/>
        </w:rPr>
        <w:t>éducation lance actuellement une action nationale pour développer et diffuser les bonnes pratiques en matière d</w:t>
      </w:r>
      <w:r w:rsidR="007A3CEB" w:rsidRPr="00111F07">
        <w:rPr>
          <w:lang w:val="fr-FR"/>
        </w:rPr>
        <w:t>’</w:t>
      </w:r>
      <w:r w:rsidRPr="00111F07">
        <w:rPr>
          <w:lang w:val="fr-FR"/>
        </w:rPr>
        <w:t>environnement éducatif, en s</w:t>
      </w:r>
      <w:r w:rsidR="007A3CEB" w:rsidRPr="00111F07">
        <w:rPr>
          <w:lang w:val="fr-FR"/>
        </w:rPr>
        <w:t>’</w:t>
      </w:r>
      <w:r w:rsidRPr="00111F07">
        <w:rPr>
          <w:lang w:val="fr-FR"/>
        </w:rPr>
        <w:t>attachant notamment à attirer davantage de femmes dans les filières traditionnellement masculines et vice versa.</w:t>
      </w:r>
    </w:p>
    <w:p w14:paraId="3DF06112" w14:textId="3A4534D0" w:rsidR="00603A87" w:rsidRPr="00111F07" w:rsidRDefault="00603A87" w:rsidP="003103E0">
      <w:pPr>
        <w:pStyle w:val="SingleTxt"/>
        <w:numPr>
          <w:ilvl w:val="0"/>
          <w:numId w:val="52"/>
        </w:numPr>
        <w:spacing w:line="240" w:lineRule="exact"/>
        <w:rPr>
          <w:lang w:val="fr-FR"/>
        </w:rPr>
      </w:pPr>
      <w:r w:rsidRPr="00111F07">
        <w:rPr>
          <w:lang w:val="fr-FR"/>
        </w:rPr>
        <w:t>En janvier 2020, le Ministre de l</w:t>
      </w:r>
      <w:r w:rsidR="007A3CEB" w:rsidRPr="00111F07">
        <w:rPr>
          <w:lang w:val="fr-FR"/>
        </w:rPr>
        <w:t>’</w:t>
      </w:r>
      <w:r w:rsidRPr="00111F07">
        <w:rPr>
          <w:lang w:val="fr-FR"/>
        </w:rPr>
        <w:t>égalité des chances a rencontré des directeurs et des représentants d</w:t>
      </w:r>
      <w:r w:rsidR="007A3CEB" w:rsidRPr="00111F07">
        <w:rPr>
          <w:lang w:val="fr-FR"/>
        </w:rPr>
        <w:t>’</w:t>
      </w:r>
      <w:r w:rsidRPr="00111F07">
        <w:rPr>
          <w:lang w:val="fr-FR"/>
        </w:rPr>
        <w:t>établissements d</w:t>
      </w:r>
      <w:r w:rsidR="007A3CEB" w:rsidRPr="00111F07">
        <w:rPr>
          <w:lang w:val="fr-FR"/>
        </w:rPr>
        <w:t>’</w:t>
      </w:r>
      <w:r w:rsidRPr="00111F07">
        <w:rPr>
          <w:lang w:val="fr-FR"/>
        </w:rPr>
        <w:t>enseignement supérieur afin de discuter des moyens de réduire la ségrégation entre les hommes et les femmes dans l</w:t>
      </w:r>
      <w:r w:rsidR="007A3CEB" w:rsidRPr="00111F07">
        <w:rPr>
          <w:lang w:val="fr-FR"/>
        </w:rPr>
        <w:t>’</w:t>
      </w:r>
      <w:r w:rsidRPr="00111F07">
        <w:rPr>
          <w:lang w:val="fr-FR"/>
        </w:rPr>
        <w:t>enseignement et de recueillir idées en vue de l</w:t>
      </w:r>
      <w:r w:rsidR="007A3CEB" w:rsidRPr="00111F07">
        <w:rPr>
          <w:lang w:val="fr-FR"/>
        </w:rPr>
        <w:t>’</w:t>
      </w:r>
      <w:r w:rsidRPr="00111F07">
        <w:rPr>
          <w:lang w:val="fr-FR"/>
        </w:rPr>
        <w:t>élaboration de politiques visant à promouvoir l</w:t>
      </w:r>
      <w:r w:rsidR="007A3CEB" w:rsidRPr="00111F07">
        <w:rPr>
          <w:lang w:val="fr-FR"/>
        </w:rPr>
        <w:t>’</w:t>
      </w:r>
      <w:r w:rsidRPr="00111F07">
        <w:rPr>
          <w:lang w:val="fr-FR"/>
        </w:rPr>
        <w:t>égalité des sexes dans l</w:t>
      </w:r>
      <w:r w:rsidR="007A3CEB" w:rsidRPr="00111F07">
        <w:rPr>
          <w:lang w:val="fr-FR"/>
        </w:rPr>
        <w:t>’</w:t>
      </w:r>
      <w:r w:rsidRPr="00111F07">
        <w:rPr>
          <w:lang w:val="fr-FR"/>
        </w:rPr>
        <w:t>enseignement professionnel.</w:t>
      </w:r>
    </w:p>
    <w:p w14:paraId="49C8BA8B" w14:textId="6C3BC08C" w:rsidR="00603A87" w:rsidRPr="00111F07" w:rsidRDefault="00603A87" w:rsidP="003103E0">
      <w:pPr>
        <w:pStyle w:val="SingleTxt"/>
        <w:numPr>
          <w:ilvl w:val="0"/>
          <w:numId w:val="52"/>
        </w:numPr>
        <w:spacing w:line="240" w:lineRule="exact"/>
        <w:rPr>
          <w:lang w:val="fr-FR"/>
        </w:rPr>
      </w:pPr>
      <w:r w:rsidRPr="00111F07">
        <w:rPr>
          <w:lang w:val="fr-FR"/>
        </w:rPr>
        <w:t>Le Gouvernement a alloué 102 millions de couronnes danoises pour la période 2019-2022 aux programmes axés sur les sciences, la technologie, l</w:t>
      </w:r>
      <w:r w:rsidR="007A3CEB" w:rsidRPr="00111F07">
        <w:rPr>
          <w:lang w:val="fr-FR"/>
        </w:rPr>
        <w:t>’</w:t>
      </w:r>
      <w:r w:rsidRPr="00111F07">
        <w:rPr>
          <w:lang w:val="fr-FR"/>
        </w:rPr>
        <w:t>ingénierie et les mathématiques afin d</w:t>
      </w:r>
      <w:r w:rsidR="007A3CEB" w:rsidRPr="00111F07">
        <w:rPr>
          <w:lang w:val="fr-FR"/>
        </w:rPr>
        <w:t>’</w:t>
      </w:r>
      <w:r w:rsidRPr="00111F07">
        <w:rPr>
          <w:lang w:val="fr-FR"/>
        </w:rPr>
        <w:t>augmenter le nombre d</w:t>
      </w:r>
      <w:r w:rsidR="007A3CEB" w:rsidRPr="00111F07">
        <w:rPr>
          <w:lang w:val="fr-FR"/>
        </w:rPr>
        <w:t>’</w:t>
      </w:r>
      <w:r w:rsidRPr="00111F07">
        <w:rPr>
          <w:lang w:val="fr-FR"/>
        </w:rPr>
        <w:t>admissions à ces programmes au sein de l</w:t>
      </w:r>
      <w:r w:rsidR="007A3CEB" w:rsidRPr="00111F07">
        <w:rPr>
          <w:lang w:val="fr-FR"/>
        </w:rPr>
        <w:t>’</w:t>
      </w:r>
      <w:r w:rsidRPr="00111F07">
        <w:rPr>
          <w:lang w:val="fr-FR"/>
        </w:rPr>
        <w:t>enseignement supérieur. Le Gouvernement a recommandé que ces fonds soient utilisés pour recruter davantage de femmes.</w:t>
      </w:r>
    </w:p>
    <w:p w14:paraId="4B56A4BC" w14:textId="55FA98A3" w:rsidR="003103E0" w:rsidRPr="00111F07" w:rsidRDefault="003103E0" w:rsidP="003103E0">
      <w:pPr>
        <w:pStyle w:val="SingleTxt"/>
        <w:spacing w:after="0" w:line="120" w:lineRule="exact"/>
        <w:rPr>
          <w:sz w:val="10"/>
          <w:lang w:val="fr-FR"/>
        </w:rPr>
      </w:pPr>
    </w:p>
    <w:p w14:paraId="34A93985" w14:textId="1ADBD027" w:rsidR="00603A87" w:rsidRPr="00111F07" w:rsidRDefault="00603A87" w:rsidP="00310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Îles Féroé</w:t>
      </w:r>
    </w:p>
    <w:p w14:paraId="7DCD1845" w14:textId="4029006F" w:rsidR="003103E0" w:rsidRPr="00111F07" w:rsidRDefault="003103E0" w:rsidP="003103E0">
      <w:pPr>
        <w:pStyle w:val="SingleTxt"/>
        <w:spacing w:after="0" w:line="120" w:lineRule="exact"/>
        <w:rPr>
          <w:sz w:val="10"/>
          <w:lang w:val="fr-FR"/>
        </w:rPr>
      </w:pPr>
    </w:p>
    <w:p w14:paraId="5B1060AE" w14:textId="3D7A98A1" w:rsidR="00603A87" w:rsidRPr="00111F07" w:rsidRDefault="00603A87" w:rsidP="003103E0">
      <w:pPr>
        <w:pStyle w:val="SingleTxt"/>
        <w:numPr>
          <w:ilvl w:val="0"/>
          <w:numId w:val="52"/>
        </w:numPr>
        <w:spacing w:line="240" w:lineRule="exact"/>
        <w:rPr>
          <w:lang w:val="fr-FR"/>
        </w:rPr>
      </w:pPr>
      <w:r w:rsidRPr="00111F07">
        <w:rPr>
          <w:lang w:val="fr-FR"/>
        </w:rPr>
        <w:t>Pour une petite société comme celle des îles Féroé, pour garantir des moyens de subsistance durables, il est essentiel que les jeunes ne quittent pas le pays trop tôt car ils risquent de ne jamais y revenir. Pour prévenir cette émigration aux conséquences néfastes, il faut offrir aux sociétés locales des possibilités d</w:t>
      </w:r>
      <w:r w:rsidR="007A3CEB" w:rsidRPr="00111F07">
        <w:rPr>
          <w:lang w:val="fr-FR"/>
        </w:rPr>
        <w:t>’</w:t>
      </w:r>
      <w:r w:rsidRPr="00111F07">
        <w:rPr>
          <w:lang w:val="fr-FR"/>
        </w:rPr>
        <w:t>apprentissage permettant d</w:t>
      </w:r>
      <w:r w:rsidR="007A3CEB" w:rsidRPr="00111F07">
        <w:rPr>
          <w:lang w:val="fr-FR"/>
        </w:rPr>
        <w:t>’</w:t>
      </w:r>
      <w:r w:rsidRPr="00111F07">
        <w:rPr>
          <w:lang w:val="fr-FR"/>
        </w:rPr>
        <w:t>obtenir des qualifications. Par conséquent, des améliorations ont été faites concernant le nombre et la variété des formations proposées sur le plan académique et en termes d</w:t>
      </w:r>
      <w:r w:rsidR="007A3CEB" w:rsidRPr="00111F07">
        <w:rPr>
          <w:lang w:val="fr-FR"/>
        </w:rPr>
        <w:t>’</w:t>
      </w:r>
      <w:r w:rsidRPr="00111F07">
        <w:rPr>
          <w:lang w:val="fr-FR"/>
        </w:rPr>
        <w:t>enseignement professionnel pour les femmes et les hommes, les filles et les garçons.</w:t>
      </w:r>
    </w:p>
    <w:p w14:paraId="5E07D1B1" w14:textId="6D045408" w:rsidR="003103E0" w:rsidRPr="00111F07" w:rsidRDefault="003103E0" w:rsidP="003103E0">
      <w:pPr>
        <w:pStyle w:val="SingleTxt"/>
        <w:spacing w:after="0" w:line="120" w:lineRule="exact"/>
        <w:rPr>
          <w:sz w:val="10"/>
          <w:lang w:val="fr-FR"/>
        </w:rPr>
      </w:pPr>
    </w:p>
    <w:p w14:paraId="1E59EA59" w14:textId="307ABAA7" w:rsidR="00603A87" w:rsidRPr="00111F07" w:rsidRDefault="00603A87" w:rsidP="003103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Groenland</w:t>
      </w:r>
    </w:p>
    <w:p w14:paraId="219DCAD2" w14:textId="77777777" w:rsidR="003103E0" w:rsidRPr="00111F07" w:rsidRDefault="003103E0" w:rsidP="003103E0">
      <w:pPr>
        <w:pStyle w:val="SingleTxt"/>
        <w:spacing w:after="0" w:line="120" w:lineRule="exact"/>
        <w:rPr>
          <w:sz w:val="10"/>
          <w:lang w:val="fr-FR"/>
        </w:rPr>
      </w:pPr>
    </w:p>
    <w:p w14:paraId="7A802AD3" w14:textId="037709E8" w:rsidR="00603A87" w:rsidRPr="00111F07" w:rsidRDefault="00603A87" w:rsidP="003103E0">
      <w:pPr>
        <w:pStyle w:val="SingleTxt"/>
        <w:numPr>
          <w:ilvl w:val="0"/>
          <w:numId w:val="52"/>
        </w:numPr>
        <w:spacing w:line="240" w:lineRule="exact"/>
        <w:rPr>
          <w:lang w:val="fr-FR"/>
        </w:rPr>
      </w:pPr>
      <w:r w:rsidRPr="00111F07">
        <w:rPr>
          <w:lang w:val="fr-FR"/>
        </w:rPr>
        <w:t>Voir l</w:t>
      </w:r>
      <w:r w:rsidR="007A3CEB" w:rsidRPr="00111F07">
        <w:rPr>
          <w:lang w:val="fr-FR"/>
        </w:rPr>
        <w:t>’</w:t>
      </w:r>
      <w:r w:rsidRPr="00111F07">
        <w:rPr>
          <w:lang w:val="fr-FR"/>
        </w:rPr>
        <w:t>annexe pour les statistiques sur la répartition par genre dans l</w:t>
      </w:r>
      <w:r w:rsidR="007A3CEB" w:rsidRPr="00111F07">
        <w:rPr>
          <w:lang w:val="fr-FR"/>
        </w:rPr>
        <w:t>’</w:t>
      </w:r>
      <w:r w:rsidRPr="00111F07">
        <w:rPr>
          <w:lang w:val="fr-FR"/>
        </w:rPr>
        <w:t>enseignement. Dans l</w:t>
      </w:r>
      <w:r w:rsidR="007A3CEB" w:rsidRPr="00111F07">
        <w:rPr>
          <w:lang w:val="fr-FR"/>
        </w:rPr>
        <w:t>’</w:t>
      </w:r>
      <w:r w:rsidRPr="00111F07">
        <w:rPr>
          <w:lang w:val="fr-FR"/>
        </w:rPr>
        <w:t>ensemble du système éducatif, les garçons, les filles, les hommes et les femmes ont des droits égaux à la scolarisation et à la formation dans toutes les filières. Dans le domaine de l</w:t>
      </w:r>
      <w:r w:rsidR="007A3CEB" w:rsidRPr="00111F07">
        <w:rPr>
          <w:lang w:val="fr-FR"/>
        </w:rPr>
        <w:t>’</w:t>
      </w:r>
      <w:r w:rsidRPr="00111F07">
        <w:rPr>
          <w:lang w:val="fr-FR"/>
        </w:rPr>
        <w:t>éducation, l</w:t>
      </w:r>
      <w:r w:rsidR="007A3CEB" w:rsidRPr="00111F07">
        <w:rPr>
          <w:lang w:val="fr-FR"/>
        </w:rPr>
        <w:t>’</w:t>
      </w:r>
      <w:r w:rsidRPr="00111F07">
        <w:rPr>
          <w:lang w:val="fr-FR"/>
        </w:rPr>
        <w:t>accent est mis sur l</w:t>
      </w:r>
      <w:r w:rsidR="007A3CEB" w:rsidRPr="00111F07">
        <w:rPr>
          <w:lang w:val="fr-FR"/>
        </w:rPr>
        <w:t>’</w:t>
      </w:r>
      <w:r w:rsidRPr="00111F07">
        <w:rPr>
          <w:lang w:val="fr-FR"/>
        </w:rPr>
        <w:t>amélioration du niveau général d</w:t>
      </w:r>
      <w:r w:rsidR="007A3CEB" w:rsidRPr="00111F07">
        <w:rPr>
          <w:lang w:val="fr-FR"/>
        </w:rPr>
        <w:t>’</w:t>
      </w:r>
      <w:r w:rsidRPr="00111F07">
        <w:rPr>
          <w:lang w:val="fr-FR"/>
        </w:rPr>
        <w:t>éducation de l</w:t>
      </w:r>
      <w:r w:rsidR="007A3CEB" w:rsidRPr="00111F07">
        <w:rPr>
          <w:lang w:val="fr-FR"/>
        </w:rPr>
        <w:t>’</w:t>
      </w:r>
      <w:r w:rsidRPr="00111F07">
        <w:rPr>
          <w:lang w:val="fr-FR"/>
        </w:rPr>
        <w:t>ensemble de la population.</w:t>
      </w:r>
    </w:p>
    <w:p w14:paraId="21F7E055" w14:textId="08C3BE69" w:rsidR="00603A87" w:rsidRPr="00111F07" w:rsidRDefault="00603A87" w:rsidP="003103E0">
      <w:pPr>
        <w:pStyle w:val="SingleTxt"/>
        <w:numPr>
          <w:ilvl w:val="0"/>
          <w:numId w:val="52"/>
        </w:numPr>
        <w:spacing w:line="240" w:lineRule="exact"/>
        <w:rPr>
          <w:lang w:val="fr-FR"/>
        </w:rPr>
      </w:pPr>
      <w:r w:rsidRPr="00111F07">
        <w:rPr>
          <w:lang w:val="fr-FR"/>
        </w:rPr>
        <w:t>Pour le moment, le Ministère de l</w:t>
      </w:r>
      <w:r w:rsidR="007A3CEB" w:rsidRPr="00111F07">
        <w:rPr>
          <w:lang w:val="fr-FR"/>
        </w:rPr>
        <w:t>’</w:t>
      </w:r>
      <w:r w:rsidRPr="00111F07">
        <w:rPr>
          <w:lang w:val="fr-FR"/>
        </w:rPr>
        <w:t>éducation ne met pas spécifiquement l</w:t>
      </w:r>
      <w:r w:rsidR="007A3CEB" w:rsidRPr="00111F07">
        <w:rPr>
          <w:lang w:val="fr-FR"/>
        </w:rPr>
        <w:t>’</w:t>
      </w:r>
      <w:r w:rsidRPr="00111F07">
        <w:rPr>
          <w:lang w:val="fr-FR"/>
        </w:rPr>
        <w:t>accent sur la question de l</w:t>
      </w:r>
      <w:r w:rsidR="007A3CEB" w:rsidRPr="00111F07">
        <w:rPr>
          <w:lang w:val="fr-FR"/>
        </w:rPr>
        <w:t>’</w:t>
      </w:r>
      <w:r w:rsidRPr="00111F07">
        <w:rPr>
          <w:lang w:val="fr-FR"/>
        </w:rPr>
        <w:t>augmentation du nombre de femmes par rapport aux hommes (ou vice versa).</w:t>
      </w:r>
    </w:p>
    <w:p w14:paraId="586C6D4D" w14:textId="52AA14CA" w:rsidR="003103E0" w:rsidRPr="00111F07" w:rsidRDefault="003103E0" w:rsidP="003103E0">
      <w:pPr>
        <w:pStyle w:val="SingleTxt"/>
        <w:spacing w:after="0" w:line="120" w:lineRule="exact"/>
        <w:rPr>
          <w:sz w:val="10"/>
          <w:lang w:val="fr-FR"/>
        </w:rPr>
      </w:pPr>
    </w:p>
    <w:p w14:paraId="61EC5FD9" w14:textId="4425F933" w:rsidR="003103E0" w:rsidRPr="00111F07" w:rsidRDefault="003103E0" w:rsidP="003103E0">
      <w:pPr>
        <w:pStyle w:val="SingleTxt"/>
        <w:spacing w:after="0" w:line="120" w:lineRule="exact"/>
        <w:rPr>
          <w:sz w:val="10"/>
          <w:lang w:val="fr-FR"/>
        </w:rPr>
      </w:pPr>
    </w:p>
    <w:p w14:paraId="3D65E423" w14:textId="178DF73D" w:rsidR="00603A87" w:rsidRPr="00111F07" w:rsidRDefault="00603A87" w:rsidP="003103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14</w:t>
      </w:r>
    </w:p>
    <w:p w14:paraId="3C5298A1" w14:textId="47B63E8A" w:rsidR="003103E0" w:rsidRPr="00111F07" w:rsidRDefault="003103E0" w:rsidP="003103E0">
      <w:pPr>
        <w:pStyle w:val="SingleTxt"/>
        <w:spacing w:after="0" w:line="120" w:lineRule="exact"/>
        <w:rPr>
          <w:sz w:val="10"/>
          <w:lang w:val="fr-FR"/>
        </w:rPr>
      </w:pPr>
    </w:p>
    <w:p w14:paraId="358A1D1C" w14:textId="0E8B8102" w:rsidR="003103E0" w:rsidRPr="00111F07" w:rsidRDefault="003103E0" w:rsidP="003103E0">
      <w:pPr>
        <w:pStyle w:val="SingleTxt"/>
        <w:spacing w:after="0" w:line="120" w:lineRule="exact"/>
        <w:rPr>
          <w:sz w:val="10"/>
          <w:lang w:val="fr-FR"/>
        </w:rPr>
      </w:pPr>
    </w:p>
    <w:p w14:paraId="08EDE298" w14:textId="5E6554C3" w:rsidR="00603A87" w:rsidRPr="00111F07" w:rsidRDefault="00603A87" w:rsidP="003103E0">
      <w:pPr>
        <w:pStyle w:val="SingleTxt"/>
        <w:numPr>
          <w:ilvl w:val="0"/>
          <w:numId w:val="52"/>
        </w:numPr>
        <w:spacing w:line="240" w:lineRule="exact"/>
        <w:rPr>
          <w:lang w:val="fr-FR"/>
        </w:rPr>
      </w:pPr>
      <w:r w:rsidRPr="00111F07">
        <w:rPr>
          <w:lang w:val="fr-FR"/>
        </w:rPr>
        <w:t>En 2018, un nouveau programme d</w:t>
      </w:r>
      <w:r w:rsidR="007A3CEB" w:rsidRPr="00111F07">
        <w:rPr>
          <w:lang w:val="fr-FR"/>
        </w:rPr>
        <w:t>’</w:t>
      </w:r>
      <w:r w:rsidRPr="00111F07">
        <w:rPr>
          <w:lang w:val="fr-FR"/>
        </w:rPr>
        <w:t>éducation amélioré a été mis en place, qui met notamment l</w:t>
      </w:r>
      <w:r w:rsidR="007A3CEB" w:rsidRPr="00111F07">
        <w:rPr>
          <w:lang w:val="fr-FR"/>
        </w:rPr>
        <w:t>’</w:t>
      </w:r>
      <w:r w:rsidRPr="00111F07">
        <w:rPr>
          <w:lang w:val="fr-FR"/>
        </w:rPr>
        <w:t>accent sur la façon dont l</w:t>
      </w:r>
      <w:r w:rsidR="007A3CEB" w:rsidRPr="00111F07">
        <w:rPr>
          <w:lang w:val="fr-FR"/>
        </w:rPr>
        <w:t>’</w:t>
      </w:r>
      <w:r w:rsidRPr="00111F07">
        <w:rPr>
          <w:lang w:val="fr-FR"/>
        </w:rPr>
        <w:t>éducation et la protection de la petite enfance (EPPE) peuvent contribuer à la réalisation du plein potentiel des enfants, quels que soient leur sexe, leur culture ou leur appartenance ethnique. Le personnel pédagogique dispose d</w:t>
      </w:r>
      <w:r w:rsidR="007A3CEB" w:rsidRPr="00111F07">
        <w:rPr>
          <w:lang w:val="fr-FR"/>
        </w:rPr>
        <w:t>’</w:t>
      </w:r>
      <w:r w:rsidRPr="00111F07">
        <w:rPr>
          <w:lang w:val="fr-FR"/>
        </w:rPr>
        <w:t>une brochure qui l</w:t>
      </w:r>
      <w:r w:rsidR="007A3CEB" w:rsidRPr="00111F07">
        <w:rPr>
          <w:lang w:val="fr-FR"/>
        </w:rPr>
        <w:t>’</w:t>
      </w:r>
      <w:r w:rsidRPr="00111F07">
        <w:rPr>
          <w:lang w:val="fr-FR"/>
        </w:rPr>
        <w:t>aide à promouvoir l</w:t>
      </w:r>
      <w:r w:rsidR="007A3CEB" w:rsidRPr="00111F07">
        <w:rPr>
          <w:lang w:val="fr-FR"/>
        </w:rPr>
        <w:t>’</w:t>
      </w:r>
      <w:r w:rsidRPr="00111F07">
        <w:rPr>
          <w:lang w:val="fr-FR"/>
        </w:rPr>
        <w:t>égalité des genres.</w:t>
      </w:r>
    </w:p>
    <w:p w14:paraId="291A8676" w14:textId="70719C4C" w:rsidR="00603A87" w:rsidRPr="00111F07" w:rsidRDefault="00603A87" w:rsidP="003103E0">
      <w:pPr>
        <w:pStyle w:val="SingleTxt"/>
        <w:numPr>
          <w:ilvl w:val="0"/>
          <w:numId w:val="52"/>
        </w:numPr>
        <w:spacing w:line="240" w:lineRule="exact"/>
        <w:rPr>
          <w:lang w:val="fr-FR"/>
        </w:rPr>
      </w:pPr>
      <w:r w:rsidRPr="00111F07">
        <w:rPr>
          <w:lang w:val="fr-FR"/>
        </w:rPr>
        <w:t>Un problème se pose s</w:t>
      </w:r>
      <w:r w:rsidR="007A3CEB" w:rsidRPr="00111F07">
        <w:rPr>
          <w:lang w:val="fr-FR"/>
        </w:rPr>
        <w:t>’</w:t>
      </w:r>
      <w:r w:rsidRPr="00111F07">
        <w:rPr>
          <w:lang w:val="fr-FR"/>
        </w:rPr>
        <w:t>agissant d</w:t>
      </w:r>
      <w:r w:rsidR="007A3CEB" w:rsidRPr="00111F07">
        <w:rPr>
          <w:lang w:val="fr-FR"/>
        </w:rPr>
        <w:t>’</w:t>
      </w:r>
      <w:r w:rsidRPr="00111F07">
        <w:rPr>
          <w:lang w:val="fr-FR"/>
        </w:rPr>
        <w:t>encourager davantage d</w:t>
      </w:r>
      <w:r w:rsidR="007A3CEB" w:rsidRPr="00111F07">
        <w:rPr>
          <w:lang w:val="fr-FR"/>
        </w:rPr>
        <w:t>’</w:t>
      </w:r>
      <w:r w:rsidRPr="00111F07">
        <w:rPr>
          <w:lang w:val="fr-FR"/>
        </w:rPr>
        <w:t>hommes à se spécialiser dans l</w:t>
      </w:r>
      <w:r w:rsidR="007A3CEB" w:rsidRPr="00111F07">
        <w:rPr>
          <w:lang w:val="fr-FR"/>
        </w:rPr>
        <w:t>’</w:t>
      </w:r>
      <w:r w:rsidRPr="00111F07">
        <w:rPr>
          <w:lang w:val="fr-FR"/>
        </w:rPr>
        <w:t>EPPE dans le cadre du programme danois de licence en pédagogie. Le Gouvernement compte lancer un plan relatif à la formation du personnel pédagogique en matière d</w:t>
      </w:r>
      <w:r w:rsidR="007A3CEB" w:rsidRPr="00111F07">
        <w:rPr>
          <w:lang w:val="fr-FR"/>
        </w:rPr>
        <w:t>’</w:t>
      </w:r>
      <w:r w:rsidRPr="00111F07">
        <w:rPr>
          <w:lang w:val="fr-FR"/>
        </w:rPr>
        <w:t>EPPE. Ce plan met notamment l</w:t>
      </w:r>
      <w:r w:rsidR="007A3CEB" w:rsidRPr="00111F07">
        <w:rPr>
          <w:lang w:val="fr-FR"/>
        </w:rPr>
        <w:t>’</w:t>
      </w:r>
      <w:r w:rsidRPr="00111F07">
        <w:rPr>
          <w:lang w:val="fr-FR"/>
        </w:rPr>
        <w:t>accent sur la qualité du programme de licence en pédagogie.</w:t>
      </w:r>
    </w:p>
    <w:p w14:paraId="79A51AE8" w14:textId="5185F92F" w:rsidR="00603A87" w:rsidRPr="00111F07" w:rsidRDefault="00603A87" w:rsidP="003103E0">
      <w:pPr>
        <w:pStyle w:val="SingleTxt"/>
        <w:numPr>
          <w:ilvl w:val="0"/>
          <w:numId w:val="52"/>
        </w:numPr>
        <w:spacing w:line="240" w:lineRule="exact"/>
        <w:rPr>
          <w:lang w:val="fr-FR"/>
        </w:rPr>
      </w:pPr>
      <w:r w:rsidRPr="00111F07">
        <w:rPr>
          <w:lang w:val="fr-FR"/>
        </w:rPr>
        <w:t>En 2019, le Ministère de l</w:t>
      </w:r>
      <w:r w:rsidR="007A3CEB" w:rsidRPr="00111F07">
        <w:rPr>
          <w:lang w:val="fr-FR"/>
        </w:rPr>
        <w:t>’</w:t>
      </w:r>
      <w:r w:rsidRPr="00111F07">
        <w:rPr>
          <w:lang w:val="fr-FR"/>
        </w:rPr>
        <w:t>enseignement supérieur et des sciences a attribué à l</w:t>
      </w:r>
      <w:r w:rsidR="007A3CEB" w:rsidRPr="00111F07">
        <w:rPr>
          <w:lang w:val="fr-FR"/>
        </w:rPr>
        <w:t>’</w:t>
      </w:r>
      <w:r w:rsidRPr="00111F07">
        <w:rPr>
          <w:lang w:val="fr-FR"/>
        </w:rPr>
        <w:t>Université de Copenhague une subvention initiale pour l</w:t>
      </w:r>
      <w:r w:rsidR="007A3CEB" w:rsidRPr="00111F07">
        <w:rPr>
          <w:lang w:val="fr-FR"/>
        </w:rPr>
        <w:t>’</w:t>
      </w:r>
      <w:r w:rsidRPr="00111F07">
        <w:rPr>
          <w:lang w:val="fr-FR"/>
        </w:rPr>
        <w:t>élaboration d</w:t>
      </w:r>
      <w:r w:rsidR="007A3CEB" w:rsidRPr="00111F07">
        <w:rPr>
          <w:lang w:val="fr-FR"/>
        </w:rPr>
        <w:t>’</w:t>
      </w:r>
      <w:r w:rsidRPr="00111F07">
        <w:rPr>
          <w:lang w:val="fr-FR"/>
        </w:rPr>
        <w:t>un programme académique sur le genre de haut niveau d</w:t>
      </w:r>
      <w:r w:rsidR="007A3CEB" w:rsidRPr="00111F07">
        <w:rPr>
          <w:lang w:val="fr-FR"/>
        </w:rPr>
        <w:t>’</w:t>
      </w:r>
      <w:r w:rsidRPr="00111F07">
        <w:rPr>
          <w:lang w:val="fr-FR"/>
        </w:rPr>
        <w:t>une durée d</w:t>
      </w:r>
      <w:r w:rsidR="007A3CEB" w:rsidRPr="00111F07">
        <w:rPr>
          <w:lang w:val="fr-FR"/>
        </w:rPr>
        <w:t>’</w:t>
      </w:r>
      <w:r w:rsidRPr="00111F07">
        <w:rPr>
          <w:lang w:val="fr-FR"/>
        </w:rPr>
        <w:t>un an.</w:t>
      </w:r>
    </w:p>
    <w:p w14:paraId="4E061F68" w14:textId="6A0F32A6" w:rsidR="00603A87" w:rsidRPr="00111F07" w:rsidRDefault="00603A87" w:rsidP="003103E0">
      <w:pPr>
        <w:pStyle w:val="SingleTxt"/>
        <w:numPr>
          <w:ilvl w:val="0"/>
          <w:numId w:val="52"/>
        </w:numPr>
        <w:spacing w:line="240" w:lineRule="exact"/>
        <w:rPr>
          <w:lang w:val="fr-FR"/>
        </w:rPr>
      </w:pPr>
      <w:r w:rsidRPr="00111F07">
        <w:rPr>
          <w:lang w:val="fr-FR"/>
        </w:rPr>
        <w:lastRenderedPageBreak/>
        <w:t>Le Fonds de recherche indépendant du Danemark s</w:t>
      </w:r>
      <w:r w:rsidR="007A3CEB" w:rsidRPr="00111F07">
        <w:rPr>
          <w:lang w:val="fr-FR"/>
        </w:rPr>
        <w:t>’</w:t>
      </w:r>
      <w:r w:rsidRPr="00111F07">
        <w:rPr>
          <w:lang w:val="fr-FR"/>
        </w:rPr>
        <w:t xml:space="preserve">est vu allouer </w:t>
      </w:r>
      <w:r w:rsidR="00D31F97" w:rsidRPr="00DF7ED2">
        <w:rPr>
          <w:lang w:val="fr-FR"/>
        </w:rPr>
        <w:t>65</w:t>
      </w:r>
      <w:r w:rsidR="00D31F97" w:rsidRPr="00111F07">
        <w:rPr>
          <w:lang w:val="fr-FR"/>
        </w:rPr>
        <w:t xml:space="preserve"> </w:t>
      </w:r>
      <w:r w:rsidRPr="00111F07">
        <w:rPr>
          <w:lang w:val="fr-FR"/>
        </w:rPr>
        <w:t>millions de couronnes danoises</w:t>
      </w:r>
      <w:r w:rsidR="00D31F97" w:rsidRPr="00DF7ED2">
        <w:rPr>
          <w:lang w:val="fr-FR"/>
        </w:rPr>
        <w:t xml:space="preserve"> en 2018 et 50</w:t>
      </w:r>
      <w:r w:rsidRPr="00111F07">
        <w:rPr>
          <w:lang w:val="fr-FR"/>
        </w:rPr>
        <w:t xml:space="preserve"> </w:t>
      </w:r>
      <w:r w:rsidR="00D31F97" w:rsidRPr="00DF7ED2">
        <w:rPr>
          <w:lang w:val="fr-FR"/>
        </w:rPr>
        <w:t xml:space="preserve">millions de couronnes danoises en 2019 </w:t>
      </w:r>
      <w:r w:rsidRPr="00111F07">
        <w:rPr>
          <w:lang w:val="fr-FR"/>
        </w:rPr>
        <w:t>destinées aux travaux de recherche sur le thème « personnes et société ». Une partie de ces fonds a été allouée à la recherche sur les questions de genre.</w:t>
      </w:r>
    </w:p>
    <w:p w14:paraId="5BEFACA0" w14:textId="32747A6F" w:rsidR="00603A87" w:rsidRPr="00111F07" w:rsidRDefault="00603A87" w:rsidP="003103E0">
      <w:pPr>
        <w:pStyle w:val="SingleTxt"/>
        <w:numPr>
          <w:ilvl w:val="0"/>
          <w:numId w:val="52"/>
        </w:numPr>
        <w:spacing w:line="240" w:lineRule="exact"/>
        <w:rPr>
          <w:lang w:val="fr-FR"/>
        </w:rPr>
      </w:pPr>
      <w:r w:rsidRPr="00111F07">
        <w:rPr>
          <w:lang w:val="fr-FR"/>
        </w:rPr>
        <w:t>Le Fonds indépendant pour la recherche au Danemark a également reçu 20</w:t>
      </w:r>
      <w:r w:rsidR="003103E0" w:rsidRPr="00111F07">
        <w:rPr>
          <w:lang w:val="fr-FR"/>
        </w:rPr>
        <w:t> </w:t>
      </w:r>
      <w:r w:rsidRPr="00111F07">
        <w:rPr>
          <w:lang w:val="fr-FR"/>
        </w:rPr>
        <w:t>millions de couronnes danoises en 2020 pour mettre en place un programme visant à renforcer le développement des talents et à promouvoir la diversité des sexes dans le domaine de la recherche au Danemark.</w:t>
      </w:r>
    </w:p>
    <w:p w14:paraId="14BE59C8" w14:textId="3989C373" w:rsidR="00603A87" w:rsidRPr="00111F07" w:rsidRDefault="00603A87" w:rsidP="003103E0">
      <w:pPr>
        <w:pStyle w:val="SingleTxt"/>
        <w:numPr>
          <w:ilvl w:val="0"/>
          <w:numId w:val="52"/>
        </w:numPr>
        <w:spacing w:line="240" w:lineRule="exact"/>
        <w:rPr>
          <w:lang w:val="fr-FR"/>
        </w:rPr>
      </w:pPr>
      <w:r w:rsidRPr="00111F07">
        <w:rPr>
          <w:lang w:val="fr-FR"/>
        </w:rPr>
        <w:t>Le Fonds d</w:t>
      </w:r>
      <w:r w:rsidR="007A3CEB" w:rsidRPr="00111F07">
        <w:rPr>
          <w:lang w:val="fr-FR"/>
        </w:rPr>
        <w:t>’</w:t>
      </w:r>
      <w:r w:rsidRPr="00111F07">
        <w:rPr>
          <w:lang w:val="fr-FR"/>
        </w:rPr>
        <w:t>innovation a lancé un certain nombre d</w:t>
      </w:r>
      <w:r w:rsidR="007A3CEB" w:rsidRPr="00111F07">
        <w:rPr>
          <w:lang w:val="fr-FR"/>
        </w:rPr>
        <w:t>’</w:t>
      </w:r>
      <w:r w:rsidRPr="00111F07">
        <w:rPr>
          <w:lang w:val="fr-FR"/>
        </w:rPr>
        <w:t>initiatives pour renforcer l</w:t>
      </w:r>
      <w:r w:rsidR="007A3CEB" w:rsidRPr="00111F07">
        <w:rPr>
          <w:lang w:val="fr-FR"/>
        </w:rPr>
        <w:t>’</w:t>
      </w:r>
      <w:r w:rsidRPr="00111F07">
        <w:rPr>
          <w:lang w:val="fr-FR"/>
        </w:rPr>
        <w:t>équilibre entre les genres parmi les candidats, notamment la nomination d</w:t>
      </w:r>
      <w:r w:rsidR="007A3CEB" w:rsidRPr="00111F07">
        <w:rPr>
          <w:lang w:val="fr-FR"/>
        </w:rPr>
        <w:t>’</w:t>
      </w:r>
      <w:r w:rsidRPr="00111F07">
        <w:rPr>
          <w:lang w:val="fr-FR"/>
        </w:rPr>
        <w:t>ambassadrices, un projet pilote visant à attirer davantage de candidatures féminines et l</w:t>
      </w:r>
      <w:r w:rsidR="007A3CEB" w:rsidRPr="00111F07">
        <w:rPr>
          <w:lang w:val="fr-FR"/>
        </w:rPr>
        <w:t>’</w:t>
      </w:r>
      <w:r w:rsidRPr="00111F07">
        <w:rPr>
          <w:lang w:val="fr-FR"/>
        </w:rPr>
        <w:t>instauration d</w:t>
      </w:r>
      <w:r w:rsidR="007A3CEB" w:rsidRPr="00111F07">
        <w:rPr>
          <w:lang w:val="fr-FR"/>
        </w:rPr>
        <w:t>’</w:t>
      </w:r>
      <w:r w:rsidRPr="00111F07">
        <w:rPr>
          <w:lang w:val="fr-FR"/>
        </w:rPr>
        <w:t>une exigence de diversité et de représentativité pour les partenariats de recherche de grande taille et d</w:t>
      </w:r>
      <w:r w:rsidR="007A3CEB" w:rsidRPr="00111F07">
        <w:rPr>
          <w:lang w:val="fr-FR"/>
        </w:rPr>
        <w:t>’</w:t>
      </w:r>
      <w:r w:rsidRPr="00111F07">
        <w:rPr>
          <w:lang w:val="fr-FR"/>
        </w:rPr>
        <w:t>un meilleur équilibre entre les genres dans les jurys et les lauréats annuels de prix. Des analyses et des entretiens avec des femmes des groupes cibles ont été réalisés en 2018 pour éclairer l</w:t>
      </w:r>
      <w:r w:rsidR="007A3CEB" w:rsidRPr="00111F07">
        <w:rPr>
          <w:lang w:val="fr-FR"/>
        </w:rPr>
        <w:t>’</w:t>
      </w:r>
      <w:r w:rsidRPr="00111F07">
        <w:rPr>
          <w:lang w:val="fr-FR"/>
        </w:rPr>
        <w:t>élaboration des politiques en faveur de la diversité des genres. La prochaine étape en 2020 consistera à faire fond sur les conclusions tirées pour définir des principes de diversité au sein du Fonds d</w:t>
      </w:r>
      <w:r w:rsidR="007A3CEB" w:rsidRPr="00111F07">
        <w:rPr>
          <w:lang w:val="fr-FR"/>
        </w:rPr>
        <w:t>’</w:t>
      </w:r>
      <w:r w:rsidRPr="00111F07">
        <w:rPr>
          <w:lang w:val="fr-FR"/>
        </w:rPr>
        <w:t>innovation et parmi les candidats.</w:t>
      </w:r>
    </w:p>
    <w:p w14:paraId="65871775" w14:textId="751BE56C" w:rsidR="00603A87" w:rsidRPr="00111F07" w:rsidRDefault="00603A87" w:rsidP="003103E0">
      <w:pPr>
        <w:pStyle w:val="SingleTxt"/>
        <w:numPr>
          <w:ilvl w:val="0"/>
          <w:numId w:val="52"/>
        </w:numPr>
        <w:rPr>
          <w:lang w:val="fr-FR"/>
        </w:rPr>
      </w:pPr>
      <w:r w:rsidRPr="00111F07">
        <w:rPr>
          <w:lang w:val="fr-FR"/>
        </w:rPr>
        <w:t>Voir l</w:t>
      </w:r>
      <w:r w:rsidR="007A3CEB" w:rsidRPr="00111F07">
        <w:rPr>
          <w:lang w:val="fr-FR"/>
        </w:rPr>
        <w:t>’</w:t>
      </w:r>
      <w:r w:rsidRPr="00111F07">
        <w:rPr>
          <w:lang w:val="fr-FR"/>
        </w:rPr>
        <w:t>annexe pour les données concernant les résultats des filles migrantes, leur bien-être et leur transition dans le système scolaire.</w:t>
      </w:r>
    </w:p>
    <w:p w14:paraId="0A9BE07D" w14:textId="3D487E73" w:rsidR="00603A87" w:rsidRPr="00111F07" w:rsidRDefault="00603A87" w:rsidP="003103E0">
      <w:pPr>
        <w:pStyle w:val="SingleTxt"/>
        <w:numPr>
          <w:ilvl w:val="0"/>
          <w:numId w:val="52"/>
        </w:numPr>
        <w:rPr>
          <w:lang w:val="fr-FR"/>
        </w:rPr>
      </w:pPr>
      <w:r w:rsidRPr="00111F07">
        <w:rPr>
          <w:lang w:val="fr-FR"/>
        </w:rPr>
        <w:t>Toutes les écoles sont tenues de dispenser un enseignement de base en danois en tant que deuxième langue aux filles et garçons bilingues dont le niveau de connaissances en danois ne leur permet pas de participer aux cours et d</w:t>
      </w:r>
      <w:r w:rsidR="007A3CEB" w:rsidRPr="00111F07">
        <w:rPr>
          <w:lang w:val="fr-FR"/>
        </w:rPr>
        <w:t>’</w:t>
      </w:r>
      <w:r w:rsidRPr="00111F07">
        <w:rPr>
          <w:lang w:val="fr-FR"/>
        </w:rPr>
        <w:t>obtenir des résultats satisfaisants.</w:t>
      </w:r>
    </w:p>
    <w:p w14:paraId="18FFCDFD" w14:textId="10C0534E" w:rsidR="00603A87" w:rsidRPr="00111F07" w:rsidRDefault="00603A87" w:rsidP="003103E0">
      <w:pPr>
        <w:pStyle w:val="SingleTxt"/>
        <w:numPr>
          <w:ilvl w:val="0"/>
          <w:numId w:val="52"/>
        </w:numPr>
        <w:rPr>
          <w:lang w:val="fr-FR"/>
        </w:rPr>
      </w:pPr>
      <w:r w:rsidRPr="00111F07">
        <w:rPr>
          <w:lang w:val="fr-FR"/>
        </w:rPr>
        <w:t>Toutes les écoles publiques et privées qui comptent plus de 30</w:t>
      </w:r>
      <w:r w:rsidR="007A3CEB" w:rsidRPr="00111F07">
        <w:rPr>
          <w:lang w:val="fr-FR"/>
        </w:rPr>
        <w:t> %</w:t>
      </w:r>
      <w:r w:rsidRPr="00111F07">
        <w:rPr>
          <w:lang w:val="fr-FR"/>
        </w:rPr>
        <w:t xml:space="preserve"> d</w:t>
      </w:r>
      <w:r w:rsidR="007A3CEB" w:rsidRPr="00111F07">
        <w:rPr>
          <w:lang w:val="fr-FR"/>
        </w:rPr>
        <w:t>’</w:t>
      </w:r>
      <w:r w:rsidRPr="00111F07">
        <w:rPr>
          <w:lang w:val="fr-FR"/>
        </w:rPr>
        <w:t>enfants vivant dans une zone résidentielle qui a été inscrite sur la liste officielle des zones résidentielles à risque au moins une fois au cours des trois dernières années sont tenues de tester les compétences linguistiques de tous les élèves de la classe de maternelle.</w:t>
      </w:r>
    </w:p>
    <w:p w14:paraId="288E2DB1" w14:textId="2235F6F7" w:rsidR="00603A87" w:rsidRPr="00111F07" w:rsidRDefault="00603A87" w:rsidP="003103E0">
      <w:pPr>
        <w:pStyle w:val="SingleTxt"/>
        <w:numPr>
          <w:ilvl w:val="0"/>
          <w:numId w:val="52"/>
        </w:numPr>
        <w:rPr>
          <w:lang w:val="fr-FR"/>
        </w:rPr>
      </w:pPr>
      <w:r w:rsidRPr="00111F07">
        <w:rPr>
          <w:lang w:val="fr-FR"/>
        </w:rPr>
        <w:t>Les réfugiés et les migrants dont la langue maternelle n</w:t>
      </w:r>
      <w:r w:rsidR="007A3CEB" w:rsidRPr="00111F07">
        <w:rPr>
          <w:lang w:val="fr-FR"/>
        </w:rPr>
        <w:t>’</w:t>
      </w:r>
      <w:r w:rsidRPr="00111F07">
        <w:rPr>
          <w:lang w:val="fr-FR"/>
        </w:rPr>
        <w:t>est pas le danois qui souhaitent faire des études supérieures au Danemark peuvent suivre un programme d</w:t>
      </w:r>
      <w:r w:rsidR="007A3CEB" w:rsidRPr="00111F07">
        <w:rPr>
          <w:lang w:val="fr-FR"/>
        </w:rPr>
        <w:t>’</w:t>
      </w:r>
      <w:r w:rsidRPr="00111F07">
        <w:rPr>
          <w:lang w:val="fr-FR"/>
        </w:rPr>
        <w:t>intégration d</w:t>
      </w:r>
      <w:r w:rsidR="007A3CEB" w:rsidRPr="00111F07">
        <w:rPr>
          <w:lang w:val="fr-FR"/>
        </w:rPr>
        <w:t>’</w:t>
      </w:r>
      <w:r w:rsidRPr="00111F07">
        <w:rPr>
          <w:lang w:val="fr-FR"/>
        </w:rPr>
        <w:t>un an dans un lycée danois. Les étudiants qui achèvent ce programme peuvent postuler à la plupart des cours de l</w:t>
      </w:r>
      <w:r w:rsidR="007A3CEB" w:rsidRPr="00111F07">
        <w:rPr>
          <w:lang w:val="fr-FR"/>
        </w:rPr>
        <w:t>’</w:t>
      </w:r>
      <w:r w:rsidRPr="00111F07">
        <w:rPr>
          <w:lang w:val="fr-FR"/>
        </w:rPr>
        <w:t>enseignement supérieur au même titre que les candidats qui ont un diplôme danois de fin d</w:t>
      </w:r>
      <w:r w:rsidR="007A3CEB" w:rsidRPr="00111F07">
        <w:rPr>
          <w:lang w:val="fr-FR"/>
        </w:rPr>
        <w:t>’</w:t>
      </w:r>
      <w:r w:rsidRPr="00111F07">
        <w:rPr>
          <w:lang w:val="fr-FR"/>
        </w:rPr>
        <w:t>études secondaires générales.</w:t>
      </w:r>
    </w:p>
    <w:p w14:paraId="717B9D6A" w14:textId="2127D493" w:rsidR="00603A87" w:rsidRPr="00111F07" w:rsidRDefault="00603A87" w:rsidP="003103E0">
      <w:pPr>
        <w:pStyle w:val="SingleTxt"/>
        <w:numPr>
          <w:ilvl w:val="0"/>
          <w:numId w:val="52"/>
        </w:numPr>
        <w:rPr>
          <w:lang w:val="fr-FR"/>
        </w:rPr>
      </w:pPr>
      <w:r w:rsidRPr="00111F07">
        <w:rPr>
          <w:lang w:val="fr-FR"/>
        </w:rPr>
        <w:t>En ce qui concerne l</w:t>
      </w:r>
      <w:r w:rsidR="007A3CEB" w:rsidRPr="00111F07">
        <w:rPr>
          <w:lang w:val="fr-FR"/>
        </w:rPr>
        <w:t>’</w:t>
      </w:r>
      <w:r w:rsidRPr="00111F07">
        <w:rPr>
          <w:lang w:val="fr-FR"/>
        </w:rPr>
        <w:t>enseignement primaire, le Gouvernement veillera à ce que les règles relatives à la dispense d</w:t>
      </w:r>
      <w:r w:rsidR="007A3CEB" w:rsidRPr="00111F07">
        <w:rPr>
          <w:lang w:val="fr-FR"/>
        </w:rPr>
        <w:t>’</w:t>
      </w:r>
      <w:r w:rsidRPr="00111F07">
        <w:rPr>
          <w:lang w:val="fr-FR"/>
        </w:rPr>
        <w:t>éducation physique dans l</w:t>
      </w:r>
      <w:r w:rsidR="007A3CEB" w:rsidRPr="00111F07">
        <w:rPr>
          <w:lang w:val="fr-FR"/>
        </w:rPr>
        <w:t>’</w:t>
      </w:r>
      <w:r w:rsidRPr="00111F07">
        <w:rPr>
          <w:lang w:val="fr-FR"/>
        </w:rPr>
        <w:t>enseignement primaire et dans le premier cycle de l</w:t>
      </w:r>
      <w:r w:rsidR="007A3CEB" w:rsidRPr="00111F07">
        <w:rPr>
          <w:lang w:val="fr-FR"/>
        </w:rPr>
        <w:t>’</w:t>
      </w:r>
      <w:r w:rsidRPr="00111F07">
        <w:rPr>
          <w:lang w:val="fr-FR"/>
        </w:rPr>
        <w:t>enseignement secondaire ne désavantagent pas les filles et les garçons handicapés s</w:t>
      </w:r>
      <w:r w:rsidR="007A3CEB" w:rsidRPr="00111F07">
        <w:rPr>
          <w:lang w:val="fr-FR"/>
        </w:rPr>
        <w:t>’</w:t>
      </w:r>
      <w:r w:rsidRPr="00111F07">
        <w:rPr>
          <w:lang w:val="fr-FR"/>
        </w:rPr>
        <w:t>agissant de passer un examen et donc de remplir les conditions légales d</w:t>
      </w:r>
      <w:r w:rsidR="007A3CEB" w:rsidRPr="00111F07">
        <w:rPr>
          <w:lang w:val="fr-FR"/>
        </w:rPr>
        <w:t>’</w:t>
      </w:r>
      <w:r w:rsidRPr="00111F07">
        <w:rPr>
          <w:lang w:val="fr-FR"/>
        </w:rPr>
        <w:t>admission au deuxième cycle de l</w:t>
      </w:r>
      <w:r w:rsidR="007A3CEB" w:rsidRPr="00111F07">
        <w:rPr>
          <w:lang w:val="fr-FR"/>
        </w:rPr>
        <w:t>’</w:t>
      </w:r>
      <w:r w:rsidRPr="00111F07">
        <w:rPr>
          <w:lang w:val="fr-FR"/>
        </w:rPr>
        <w:t>enseignement secondaire.</w:t>
      </w:r>
    </w:p>
    <w:p w14:paraId="2E52DB9A" w14:textId="1B9D94AB" w:rsidR="00603A87" w:rsidRPr="00111F07" w:rsidRDefault="00603A87" w:rsidP="003103E0">
      <w:pPr>
        <w:pStyle w:val="SingleTxt"/>
        <w:numPr>
          <w:ilvl w:val="0"/>
          <w:numId w:val="52"/>
        </w:numPr>
        <w:rPr>
          <w:lang w:val="fr-FR"/>
        </w:rPr>
      </w:pPr>
      <w:r w:rsidRPr="00111F07">
        <w:rPr>
          <w:lang w:val="fr-FR"/>
        </w:rPr>
        <w:t>En 2019, l</w:t>
      </w:r>
      <w:r w:rsidR="007A3CEB" w:rsidRPr="00111F07">
        <w:rPr>
          <w:lang w:val="fr-FR"/>
        </w:rPr>
        <w:t>’</w:t>
      </w:r>
      <w:r w:rsidRPr="00111F07">
        <w:rPr>
          <w:lang w:val="fr-FR"/>
        </w:rPr>
        <w:t>ancien Gouvernement a lancé une étude sur les résultats et les profils scolaires des enfants et des jeunes handicapés qui ne sont pas intellectuellement défavorisés. Cette étude vise à déterminer comment les enfants et les jeunes handicapés s</w:t>
      </w:r>
      <w:r w:rsidR="007A3CEB" w:rsidRPr="00111F07">
        <w:rPr>
          <w:lang w:val="fr-FR"/>
        </w:rPr>
        <w:t>’</w:t>
      </w:r>
      <w:r w:rsidRPr="00111F07">
        <w:rPr>
          <w:lang w:val="fr-FR"/>
        </w:rPr>
        <w:t>adaptent par rapport aux enfants et aux jeunes non handicapés. Elle devrait être achevée au printemps 2020.</w:t>
      </w:r>
    </w:p>
    <w:p w14:paraId="267E3148" w14:textId="421D5049" w:rsidR="00603A87" w:rsidRPr="00111F07" w:rsidRDefault="00603A87" w:rsidP="003103E0">
      <w:pPr>
        <w:pStyle w:val="SingleTxt"/>
        <w:numPr>
          <w:ilvl w:val="0"/>
          <w:numId w:val="52"/>
        </w:numPr>
        <w:rPr>
          <w:lang w:val="fr-FR"/>
        </w:rPr>
      </w:pPr>
      <w:r w:rsidRPr="00111F07">
        <w:rPr>
          <w:lang w:val="fr-FR"/>
        </w:rPr>
        <w:t>Le second cycle de l</w:t>
      </w:r>
      <w:r w:rsidR="007A3CEB" w:rsidRPr="00111F07">
        <w:rPr>
          <w:lang w:val="fr-FR"/>
        </w:rPr>
        <w:t>’</w:t>
      </w:r>
      <w:r w:rsidRPr="00111F07">
        <w:rPr>
          <w:lang w:val="fr-FR"/>
        </w:rPr>
        <w:t>enseignement secondaire et les formations au sein du système éducatif sont également ouverts à tous, si les conditions d</w:t>
      </w:r>
      <w:r w:rsidR="007A3CEB" w:rsidRPr="00111F07">
        <w:rPr>
          <w:lang w:val="fr-FR"/>
        </w:rPr>
        <w:t>’</w:t>
      </w:r>
      <w:r w:rsidRPr="00111F07">
        <w:rPr>
          <w:lang w:val="fr-FR"/>
        </w:rPr>
        <w:t xml:space="preserve">admission sont remplies. </w:t>
      </w:r>
      <w:r w:rsidR="00E14DD9" w:rsidRPr="00111F07">
        <w:rPr>
          <w:lang w:val="fr-FR"/>
        </w:rPr>
        <w:t>Ni les</w:t>
      </w:r>
      <w:r w:rsidRPr="00111F07">
        <w:rPr>
          <w:lang w:val="fr-FR"/>
        </w:rPr>
        <w:t xml:space="preserve"> informations sur la santé physique ou mentale </w:t>
      </w:r>
      <w:r w:rsidR="00E14DD9" w:rsidRPr="00DF7ED2">
        <w:rPr>
          <w:lang w:val="fr-FR"/>
        </w:rPr>
        <w:t xml:space="preserve">des étudiantes et </w:t>
      </w:r>
      <w:r w:rsidRPr="00111F07">
        <w:rPr>
          <w:lang w:val="fr-FR"/>
        </w:rPr>
        <w:t xml:space="preserve">des étudiants, ni </w:t>
      </w:r>
      <w:r w:rsidR="00E14DD9" w:rsidRPr="00DF7ED2">
        <w:rPr>
          <w:lang w:val="fr-FR"/>
        </w:rPr>
        <w:t xml:space="preserve">celles relatives à </w:t>
      </w:r>
      <w:r w:rsidRPr="00111F07">
        <w:rPr>
          <w:lang w:val="fr-FR"/>
        </w:rPr>
        <w:t xml:space="preserve">leur orientation sexuelle, </w:t>
      </w:r>
      <w:r w:rsidR="00E14DD9" w:rsidRPr="00DF7ED2">
        <w:rPr>
          <w:lang w:val="fr-FR"/>
        </w:rPr>
        <w:t xml:space="preserve">à </w:t>
      </w:r>
      <w:r w:rsidRPr="00111F07">
        <w:rPr>
          <w:lang w:val="fr-FR"/>
        </w:rPr>
        <w:t>leur origine ethnique ou</w:t>
      </w:r>
      <w:r w:rsidR="00E14DD9" w:rsidRPr="00DF7ED2">
        <w:rPr>
          <w:lang w:val="fr-FR"/>
        </w:rPr>
        <w:t xml:space="preserve"> à leur appartenance</w:t>
      </w:r>
      <w:r w:rsidRPr="00111F07">
        <w:rPr>
          <w:lang w:val="fr-FR"/>
        </w:rPr>
        <w:t xml:space="preserve"> religieuse ne sont </w:t>
      </w:r>
      <w:r w:rsidRPr="001C3EFA">
        <w:rPr>
          <w:lang w:val="fr-FR"/>
        </w:rPr>
        <w:t>enregi</w:t>
      </w:r>
      <w:r w:rsidRPr="007978B6">
        <w:rPr>
          <w:lang w:val="fr-FR"/>
        </w:rPr>
        <w:t>strées</w:t>
      </w:r>
      <w:r w:rsidRPr="00111F07">
        <w:rPr>
          <w:lang w:val="fr-FR"/>
        </w:rPr>
        <w:t xml:space="preserve">. Les étudiants handicapés ont droit </w:t>
      </w:r>
      <w:r w:rsidRPr="00111F07">
        <w:rPr>
          <w:lang w:val="fr-FR"/>
        </w:rPr>
        <w:lastRenderedPageBreak/>
        <w:t>à une assistance en termes de besoins spéciaux pour qu</w:t>
      </w:r>
      <w:r w:rsidR="007A3CEB" w:rsidRPr="00111F07">
        <w:rPr>
          <w:lang w:val="fr-FR"/>
        </w:rPr>
        <w:t>’</w:t>
      </w:r>
      <w:r w:rsidRPr="001C3EFA">
        <w:rPr>
          <w:lang w:val="fr-FR"/>
        </w:rPr>
        <w:t>ils puissent faire leurs études dans des conditions d</w:t>
      </w:r>
      <w:r w:rsidR="007A3CEB" w:rsidRPr="00111F07">
        <w:rPr>
          <w:lang w:val="fr-FR"/>
        </w:rPr>
        <w:t>’</w:t>
      </w:r>
      <w:r w:rsidRPr="00111F07">
        <w:rPr>
          <w:lang w:val="fr-FR"/>
        </w:rPr>
        <w:t>égalité dans la mesure du possible.</w:t>
      </w:r>
    </w:p>
    <w:p w14:paraId="3E4AC035" w14:textId="54BC82A0" w:rsidR="003103E0" w:rsidRPr="00111F07" w:rsidRDefault="003103E0" w:rsidP="003103E0">
      <w:pPr>
        <w:pStyle w:val="SingleTxt"/>
        <w:spacing w:after="0" w:line="120" w:lineRule="exact"/>
        <w:rPr>
          <w:sz w:val="10"/>
          <w:lang w:val="fr-FR"/>
        </w:rPr>
      </w:pPr>
    </w:p>
    <w:p w14:paraId="5EEC1801" w14:textId="6C397498" w:rsidR="003103E0" w:rsidRPr="00111F07" w:rsidRDefault="003103E0" w:rsidP="003103E0">
      <w:pPr>
        <w:pStyle w:val="SingleTxt"/>
        <w:spacing w:after="0" w:line="120" w:lineRule="exact"/>
        <w:rPr>
          <w:sz w:val="10"/>
          <w:lang w:val="fr-FR"/>
        </w:rPr>
      </w:pPr>
    </w:p>
    <w:p w14:paraId="7AE2E2B9" w14:textId="2418D09E" w:rsidR="00603A87" w:rsidRPr="00111F07" w:rsidRDefault="00603A87" w:rsidP="003103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bookmarkStart w:id="1" w:name="_Hlk42150942"/>
      <w:r w:rsidRPr="00111F07">
        <w:rPr>
          <w:lang w:val="fr-FR"/>
        </w:rPr>
        <w:tab/>
      </w:r>
      <w:r w:rsidRPr="00111F07">
        <w:rPr>
          <w:lang w:val="fr-FR"/>
        </w:rPr>
        <w:tab/>
      </w:r>
      <w:r w:rsidRPr="00111F07">
        <w:rPr>
          <w:bCs/>
          <w:lang w:val="fr-FR"/>
        </w:rPr>
        <w:t xml:space="preserve">Réponse au </w:t>
      </w:r>
      <w:r w:rsidRPr="00111F07">
        <w:rPr>
          <w:lang w:val="fr-FR"/>
        </w:rPr>
        <w:t>paragraphe 15</w:t>
      </w:r>
    </w:p>
    <w:p w14:paraId="6708082D" w14:textId="2115BC49" w:rsidR="003103E0" w:rsidRPr="00111F07" w:rsidRDefault="003103E0" w:rsidP="003103E0">
      <w:pPr>
        <w:pStyle w:val="SingleTxt"/>
        <w:spacing w:after="0" w:line="120" w:lineRule="exact"/>
        <w:rPr>
          <w:sz w:val="10"/>
          <w:lang w:val="fr-FR"/>
        </w:rPr>
      </w:pPr>
    </w:p>
    <w:p w14:paraId="59E4FE28" w14:textId="40F722DE" w:rsidR="003103E0" w:rsidRPr="00111F07" w:rsidRDefault="003103E0" w:rsidP="003103E0">
      <w:pPr>
        <w:pStyle w:val="SingleTxt"/>
        <w:spacing w:after="0" w:line="120" w:lineRule="exact"/>
        <w:rPr>
          <w:sz w:val="10"/>
          <w:lang w:val="fr-FR"/>
        </w:rPr>
      </w:pPr>
    </w:p>
    <w:p w14:paraId="6D20DAC0" w14:textId="1045FBF9" w:rsidR="00603A87" w:rsidRPr="00111F07" w:rsidRDefault="00603A87" w:rsidP="003103E0">
      <w:pPr>
        <w:pStyle w:val="SingleTxt"/>
        <w:numPr>
          <w:ilvl w:val="0"/>
          <w:numId w:val="52"/>
        </w:numPr>
        <w:spacing w:line="240" w:lineRule="exact"/>
        <w:rPr>
          <w:szCs w:val="24"/>
          <w:lang w:val="fr-FR"/>
        </w:rPr>
      </w:pPr>
      <w:r w:rsidRPr="00111F07">
        <w:rPr>
          <w:lang w:val="fr-FR"/>
        </w:rPr>
        <w:t>Le Gouvernement appuie l</w:t>
      </w:r>
      <w:r w:rsidR="007A3CEB" w:rsidRPr="00111F07">
        <w:rPr>
          <w:lang w:val="fr-FR"/>
        </w:rPr>
        <w:t>’</w:t>
      </w:r>
      <w:r w:rsidRPr="00111F07">
        <w:rPr>
          <w:lang w:val="fr-FR"/>
        </w:rPr>
        <w:t>ONG Danish Family Planning Association à hauteur de 2,7 millions de couronnes danoises par an afin de s</w:t>
      </w:r>
      <w:r w:rsidR="007A3CEB" w:rsidRPr="00111F07">
        <w:rPr>
          <w:lang w:val="fr-FR"/>
        </w:rPr>
        <w:t>’</w:t>
      </w:r>
      <w:r w:rsidRPr="00111F07">
        <w:rPr>
          <w:lang w:val="fr-FR"/>
        </w:rPr>
        <w:t>assurer que l</w:t>
      </w:r>
      <w:r w:rsidR="007A3CEB" w:rsidRPr="00111F07">
        <w:rPr>
          <w:lang w:val="fr-FR"/>
        </w:rPr>
        <w:t>’</w:t>
      </w:r>
      <w:r w:rsidRPr="00111F07">
        <w:rPr>
          <w:lang w:val="fr-FR"/>
        </w:rPr>
        <w:t>éducation sanitaire, sexuelle et familiale est à jour et inclut les sujets jugés prioritaires. Ce financement contribue également à l</w:t>
      </w:r>
      <w:r w:rsidR="007A3CEB" w:rsidRPr="00111F07">
        <w:rPr>
          <w:lang w:val="fr-FR"/>
        </w:rPr>
        <w:t>’</w:t>
      </w:r>
      <w:r w:rsidRPr="00111F07">
        <w:rPr>
          <w:lang w:val="fr-FR"/>
        </w:rPr>
        <w:t>élaboration du matériel pédagogique destiné à la campagne annuelle de l</w:t>
      </w:r>
      <w:r w:rsidR="007A3CEB" w:rsidRPr="00111F07">
        <w:rPr>
          <w:lang w:val="fr-FR"/>
        </w:rPr>
        <w:t>’</w:t>
      </w:r>
      <w:r w:rsidRPr="00111F07">
        <w:rPr>
          <w:lang w:val="fr-FR"/>
        </w:rPr>
        <w:t>association, intitulée « Sex Week ». Un peu plus de 500</w:t>
      </w:r>
      <w:r w:rsidR="00D31F97" w:rsidRPr="00111F07">
        <w:rPr>
          <w:lang w:val="fr-FR"/>
        </w:rPr>
        <w:t> </w:t>
      </w:r>
      <w:r w:rsidRPr="00111F07">
        <w:rPr>
          <w:lang w:val="fr-FR"/>
        </w:rPr>
        <w:t>000</w:t>
      </w:r>
      <w:r w:rsidR="00D31F97" w:rsidRPr="00111F07">
        <w:rPr>
          <w:lang w:val="fr-FR"/>
        </w:rPr>
        <w:t xml:space="preserve"> </w:t>
      </w:r>
      <w:r w:rsidRPr="00111F07">
        <w:rPr>
          <w:lang w:val="fr-FR"/>
        </w:rPr>
        <w:t>élèves et plus de 16</w:t>
      </w:r>
      <w:r w:rsidR="00D31F97" w:rsidRPr="00111F07">
        <w:rPr>
          <w:lang w:val="fr-FR"/>
        </w:rPr>
        <w:t> </w:t>
      </w:r>
      <w:r w:rsidRPr="00111F07">
        <w:rPr>
          <w:lang w:val="fr-FR"/>
        </w:rPr>
        <w:t>000</w:t>
      </w:r>
      <w:r w:rsidR="00D31F97" w:rsidRPr="00111F07">
        <w:rPr>
          <w:lang w:val="fr-FR"/>
        </w:rPr>
        <w:t xml:space="preserve"> </w:t>
      </w:r>
      <w:r w:rsidRPr="00111F07">
        <w:rPr>
          <w:lang w:val="fr-FR"/>
        </w:rPr>
        <w:t>enseignants de l</w:t>
      </w:r>
      <w:r w:rsidR="007A3CEB" w:rsidRPr="00111F07">
        <w:rPr>
          <w:lang w:val="fr-FR"/>
        </w:rPr>
        <w:t>’</w:t>
      </w:r>
      <w:r w:rsidRPr="00111F07">
        <w:rPr>
          <w:lang w:val="fr-FR"/>
        </w:rPr>
        <w:t>enseignement primaire et secondaire des premier et second cycles y ont participé en 2019.</w:t>
      </w:r>
    </w:p>
    <w:p w14:paraId="2074E838" w14:textId="324CC65A" w:rsidR="00603A87" w:rsidRPr="00111F07" w:rsidRDefault="00603A87" w:rsidP="003103E0">
      <w:pPr>
        <w:pStyle w:val="SingleTxt"/>
        <w:numPr>
          <w:ilvl w:val="0"/>
          <w:numId w:val="52"/>
        </w:numPr>
        <w:spacing w:line="240" w:lineRule="exact"/>
        <w:rPr>
          <w:szCs w:val="24"/>
          <w:lang w:val="fr-FR"/>
        </w:rPr>
      </w:pPr>
      <w:r w:rsidRPr="00111F07">
        <w:rPr>
          <w:lang w:val="fr-FR"/>
        </w:rPr>
        <w:t>Le Gouvernement danois reconnaît la nécessité d</w:t>
      </w:r>
      <w:r w:rsidR="007A3CEB" w:rsidRPr="00111F07">
        <w:rPr>
          <w:lang w:val="fr-FR"/>
        </w:rPr>
        <w:t>’</w:t>
      </w:r>
      <w:r w:rsidRPr="00111F07">
        <w:rPr>
          <w:lang w:val="fr-FR"/>
        </w:rPr>
        <w:t>améliorer la matière obligatoire « Health, Sexual and Family Education » dans l</w:t>
      </w:r>
      <w:r w:rsidR="007A3CEB" w:rsidRPr="00111F07">
        <w:rPr>
          <w:lang w:val="fr-FR"/>
        </w:rPr>
        <w:t>’</w:t>
      </w:r>
      <w:r w:rsidRPr="00111F07">
        <w:rPr>
          <w:lang w:val="fr-FR"/>
        </w:rPr>
        <w:t>école publique au Danemark. L</w:t>
      </w:r>
      <w:r w:rsidR="007A3CEB" w:rsidRPr="00111F07">
        <w:rPr>
          <w:lang w:val="fr-FR"/>
        </w:rPr>
        <w:t>’</w:t>
      </w:r>
      <w:r w:rsidRPr="00111F07">
        <w:rPr>
          <w:lang w:val="fr-FR"/>
        </w:rPr>
        <w:t>évaluation réalisée en 2019 révèle entre autres le peu d</w:t>
      </w:r>
      <w:r w:rsidR="007A3CEB" w:rsidRPr="00111F07">
        <w:rPr>
          <w:lang w:val="fr-FR"/>
        </w:rPr>
        <w:t>’</w:t>
      </w:r>
      <w:r w:rsidRPr="00111F07">
        <w:rPr>
          <w:lang w:val="fr-FR"/>
        </w:rPr>
        <w:t>importance qui y est accordé par les directeurs et directrices d</w:t>
      </w:r>
      <w:r w:rsidR="007A3CEB" w:rsidRPr="00111F07">
        <w:rPr>
          <w:lang w:val="fr-FR"/>
        </w:rPr>
        <w:t>’</w:t>
      </w:r>
      <w:r w:rsidRPr="00111F07">
        <w:rPr>
          <w:lang w:val="fr-FR"/>
        </w:rPr>
        <w:t>école, une répartition peu claire des responsabilités au sein des écoles, les connaissances limitées des enseignants sur le sujet et des lacunes dans l</w:t>
      </w:r>
      <w:r w:rsidR="007A3CEB" w:rsidRPr="00111F07">
        <w:rPr>
          <w:lang w:val="fr-FR"/>
        </w:rPr>
        <w:t>’</w:t>
      </w:r>
      <w:r w:rsidRPr="00111F07">
        <w:rPr>
          <w:lang w:val="fr-FR"/>
        </w:rPr>
        <w:t>enseignement de certaines thématiques, telles que les normes, la santé sexuelle, les droits de l</w:t>
      </w:r>
      <w:r w:rsidR="007A3CEB" w:rsidRPr="00111F07">
        <w:rPr>
          <w:lang w:val="fr-FR"/>
        </w:rPr>
        <w:t>’</w:t>
      </w:r>
      <w:r w:rsidRPr="00111F07">
        <w:rPr>
          <w:lang w:val="fr-FR"/>
        </w:rPr>
        <w:t>enfant et la diversité corporelle, sexuelle et de genre. Les partis politiques à l</w:t>
      </w:r>
      <w:r w:rsidR="007A3CEB" w:rsidRPr="00111F07">
        <w:rPr>
          <w:lang w:val="fr-FR"/>
        </w:rPr>
        <w:t>’</w:t>
      </w:r>
      <w:r w:rsidRPr="00111F07">
        <w:rPr>
          <w:lang w:val="fr-FR"/>
        </w:rPr>
        <w:t>origine de l</w:t>
      </w:r>
      <w:r w:rsidR="007A3CEB" w:rsidRPr="00111F07">
        <w:rPr>
          <w:lang w:val="fr-FR"/>
        </w:rPr>
        <w:t>’</w:t>
      </w:r>
      <w:r w:rsidRPr="00111F07">
        <w:rPr>
          <w:lang w:val="fr-FR"/>
        </w:rPr>
        <w:t>accord sur l</w:t>
      </w:r>
      <w:r w:rsidR="007A3CEB" w:rsidRPr="00111F07">
        <w:rPr>
          <w:lang w:val="fr-FR"/>
        </w:rPr>
        <w:t>’</w:t>
      </w:r>
      <w:r w:rsidRPr="00111F07">
        <w:rPr>
          <w:lang w:val="fr-FR"/>
        </w:rPr>
        <w:t>école publique au Danemark conviennent que l</w:t>
      </w:r>
      <w:r w:rsidR="007A3CEB" w:rsidRPr="00111F07">
        <w:rPr>
          <w:lang w:val="fr-FR"/>
        </w:rPr>
        <w:t>’</w:t>
      </w:r>
      <w:r w:rsidRPr="00111F07">
        <w:rPr>
          <w:lang w:val="fr-FR"/>
        </w:rPr>
        <w:t>enseignement des différentes sexualités, des droits, des normes, des limites, etc. est important pour le développement et l</w:t>
      </w:r>
      <w:r w:rsidR="007A3CEB" w:rsidRPr="00111F07">
        <w:rPr>
          <w:lang w:val="fr-FR"/>
        </w:rPr>
        <w:t>’</w:t>
      </w:r>
      <w:r w:rsidRPr="00111F07">
        <w:rPr>
          <w:lang w:val="fr-FR"/>
        </w:rPr>
        <w:t>éducation des élèves. Le débat sur la question a été reporté en raison des élections parlementaires, mais sera lancé entre les partis politiques en 2020.</w:t>
      </w:r>
    </w:p>
    <w:p w14:paraId="3FFD788C" w14:textId="108B3723" w:rsidR="00603A87" w:rsidRPr="00111F07" w:rsidRDefault="00603A87" w:rsidP="003103E0">
      <w:pPr>
        <w:pStyle w:val="SingleTxt"/>
        <w:numPr>
          <w:ilvl w:val="0"/>
          <w:numId w:val="52"/>
        </w:numPr>
        <w:spacing w:line="240" w:lineRule="exact"/>
        <w:rPr>
          <w:szCs w:val="24"/>
          <w:lang w:val="fr-FR"/>
        </w:rPr>
      </w:pPr>
      <w:r w:rsidRPr="00111F07">
        <w:rPr>
          <w:lang w:val="fr-FR"/>
        </w:rPr>
        <w:t>L</w:t>
      </w:r>
      <w:r w:rsidR="007A3CEB" w:rsidRPr="00111F07">
        <w:rPr>
          <w:lang w:val="fr-FR"/>
        </w:rPr>
        <w:t>’</w:t>
      </w:r>
      <w:r w:rsidRPr="00111F07">
        <w:rPr>
          <w:lang w:val="fr-FR"/>
        </w:rPr>
        <w:t>un des objectifs déclarés de l</w:t>
      </w:r>
      <w:r w:rsidR="007A3CEB" w:rsidRPr="00111F07">
        <w:rPr>
          <w:lang w:val="fr-FR"/>
        </w:rPr>
        <w:t>’</w:t>
      </w:r>
      <w:r w:rsidRPr="00111F07">
        <w:rPr>
          <w:lang w:val="fr-FR"/>
        </w:rPr>
        <w:t>enseignement secondaire de second cycle au Danemark est d</w:t>
      </w:r>
      <w:r w:rsidR="007A3CEB" w:rsidRPr="00111F07">
        <w:rPr>
          <w:lang w:val="fr-FR"/>
        </w:rPr>
        <w:t>’</w:t>
      </w:r>
      <w:r w:rsidRPr="00111F07">
        <w:rPr>
          <w:lang w:val="fr-FR"/>
        </w:rPr>
        <w:t>initier les élèves aux droits fondamentaux de la personne et à l</w:t>
      </w:r>
      <w:r w:rsidR="007A3CEB" w:rsidRPr="00111F07">
        <w:rPr>
          <w:lang w:val="fr-FR"/>
        </w:rPr>
        <w:t>’</w:t>
      </w:r>
      <w:r w:rsidRPr="00111F07">
        <w:rPr>
          <w:lang w:val="fr-FR"/>
        </w:rPr>
        <w:t>égalité des genres et de leur apprendre à les respecter. C</w:t>
      </w:r>
      <w:r w:rsidR="007A3CEB" w:rsidRPr="00111F07">
        <w:rPr>
          <w:lang w:val="fr-FR"/>
        </w:rPr>
        <w:t>’</w:t>
      </w:r>
      <w:r w:rsidRPr="00111F07">
        <w:rPr>
          <w:lang w:val="fr-FR"/>
        </w:rPr>
        <w:t>est pourquoi de nombreuses écoles secondaires du second cycle abordent les questions de genre et de comportement sexuel, soit dans des matières spécifiques, soit comme un thème commun à tout l</w:t>
      </w:r>
      <w:r w:rsidR="007A3CEB" w:rsidRPr="00111F07">
        <w:rPr>
          <w:lang w:val="fr-FR"/>
        </w:rPr>
        <w:t>’</w:t>
      </w:r>
      <w:r w:rsidRPr="00111F07">
        <w:rPr>
          <w:lang w:val="fr-FR"/>
        </w:rPr>
        <w:t>établissement. Les infractions sexuelles commises en ligne sont au programme de nombreuses écoles.</w:t>
      </w:r>
    </w:p>
    <w:p w14:paraId="7A066248" w14:textId="5ABAED78" w:rsidR="00603A87" w:rsidRPr="00111F07" w:rsidRDefault="00603A87" w:rsidP="003103E0">
      <w:pPr>
        <w:pStyle w:val="SingleTxt"/>
        <w:numPr>
          <w:ilvl w:val="0"/>
          <w:numId w:val="52"/>
        </w:numPr>
        <w:spacing w:line="240" w:lineRule="exact"/>
        <w:rPr>
          <w:szCs w:val="24"/>
          <w:lang w:val="fr-FR"/>
        </w:rPr>
      </w:pPr>
      <w:r w:rsidRPr="00111F07">
        <w:rPr>
          <w:lang w:val="fr-FR"/>
        </w:rPr>
        <w:t>L</w:t>
      </w:r>
      <w:r w:rsidR="007A3CEB" w:rsidRPr="00111F07">
        <w:rPr>
          <w:lang w:val="fr-FR"/>
        </w:rPr>
        <w:t>’</w:t>
      </w:r>
      <w:r w:rsidRPr="00111F07">
        <w:rPr>
          <w:lang w:val="fr-FR"/>
        </w:rPr>
        <w:t>éducation sexuelle est un élément du programme de formation des enseignants qui fait partie intégrante du cours facultatif « Health education, sexuality education and family life ». Dans le cadre de la récente évaluation de la formation des enseignants au Danemark, une enquête menée auprès d</w:t>
      </w:r>
      <w:r w:rsidR="007A3CEB" w:rsidRPr="00111F07">
        <w:rPr>
          <w:lang w:val="fr-FR"/>
        </w:rPr>
        <w:t>’</w:t>
      </w:r>
      <w:r w:rsidRPr="00111F07">
        <w:rPr>
          <w:lang w:val="fr-FR"/>
        </w:rPr>
        <w:t>étudiants de quatrième année a montré que seulement 21</w:t>
      </w:r>
      <w:r w:rsidR="007A3CEB" w:rsidRPr="00111F07">
        <w:rPr>
          <w:lang w:val="fr-FR"/>
        </w:rPr>
        <w:t> %</w:t>
      </w:r>
      <w:r w:rsidRPr="00111F07">
        <w:rPr>
          <w:lang w:val="fr-FR"/>
        </w:rPr>
        <w:t xml:space="preserve"> de la cohorte avait assisté à ce cours. À la lumière de ces résultats, le Gouvernement a chargé les instituts universitaires d</w:t>
      </w:r>
      <w:r w:rsidR="007A3CEB" w:rsidRPr="00111F07">
        <w:rPr>
          <w:lang w:val="fr-FR"/>
        </w:rPr>
        <w:t>’</w:t>
      </w:r>
      <w:r w:rsidRPr="00111F07">
        <w:rPr>
          <w:lang w:val="fr-FR"/>
        </w:rPr>
        <w:t>élaborer un plan d</w:t>
      </w:r>
      <w:r w:rsidR="007A3CEB" w:rsidRPr="00111F07">
        <w:rPr>
          <w:lang w:val="fr-FR"/>
        </w:rPr>
        <w:t>’</w:t>
      </w:r>
      <w:r w:rsidRPr="00111F07">
        <w:rPr>
          <w:lang w:val="fr-FR"/>
        </w:rPr>
        <w:t>action national commun visant à améliorer les compétences des étudiants en matière d</w:t>
      </w:r>
      <w:r w:rsidR="007A3CEB" w:rsidRPr="00111F07">
        <w:rPr>
          <w:lang w:val="fr-FR"/>
        </w:rPr>
        <w:t>’</w:t>
      </w:r>
      <w:r w:rsidRPr="00111F07">
        <w:rPr>
          <w:lang w:val="fr-FR"/>
        </w:rPr>
        <w:t>éducation sexuelle. Le Gouvernement a reçu le plan d</w:t>
      </w:r>
      <w:r w:rsidR="007A3CEB" w:rsidRPr="00111F07">
        <w:rPr>
          <w:lang w:val="fr-FR"/>
        </w:rPr>
        <w:t>’</w:t>
      </w:r>
      <w:r w:rsidRPr="00111F07">
        <w:rPr>
          <w:lang w:val="fr-FR"/>
        </w:rPr>
        <w:t>action national fin 2019 et examine maintenant la suite à y donner.</w:t>
      </w:r>
    </w:p>
    <w:p w14:paraId="61F552AC" w14:textId="72930B85" w:rsidR="00603A87" w:rsidRPr="00111F07" w:rsidRDefault="00603A87" w:rsidP="003103E0">
      <w:pPr>
        <w:pStyle w:val="SingleTxt"/>
        <w:numPr>
          <w:ilvl w:val="0"/>
          <w:numId w:val="52"/>
        </w:numPr>
        <w:spacing w:line="240" w:lineRule="exact"/>
        <w:rPr>
          <w:szCs w:val="24"/>
          <w:lang w:val="fr-FR"/>
        </w:rPr>
      </w:pPr>
      <w:r w:rsidRPr="00111F07">
        <w:rPr>
          <w:lang w:val="fr-FR"/>
        </w:rPr>
        <w:t>Le rapport du projet SEXUS a été publié en 2019. Il s</w:t>
      </w:r>
      <w:r w:rsidR="007A3CEB" w:rsidRPr="00111F07">
        <w:rPr>
          <w:lang w:val="fr-FR"/>
        </w:rPr>
        <w:t>’</w:t>
      </w:r>
      <w:r w:rsidRPr="00111F07">
        <w:rPr>
          <w:lang w:val="fr-FR"/>
        </w:rPr>
        <w:t>agit de la plus grande étude danoise réalisée à ce jour sur un large éventail de questions relatives à la santé sexuelle et à la qualité de vie. Le rapport a montré que 5,1</w:t>
      </w:r>
      <w:r w:rsidR="007A3CEB" w:rsidRPr="00111F07">
        <w:rPr>
          <w:lang w:val="fr-FR"/>
        </w:rPr>
        <w:t> %</w:t>
      </w:r>
      <w:r w:rsidRPr="00111F07">
        <w:rPr>
          <w:lang w:val="fr-FR"/>
        </w:rPr>
        <w:t xml:space="preserve"> des femmes interrogées âgées de 15 à 19</w:t>
      </w:r>
      <w:r w:rsidR="008C5043" w:rsidRPr="00111F07">
        <w:rPr>
          <w:lang w:val="fr-FR"/>
        </w:rPr>
        <w:t xml:space="preserve"> </w:t>
      </w:r>
      <w:r w:rsidRPr="00111F07">
        <w:rPr>
          <w:lang w:val="fr-FR"/>
        </w:rPr>
        <w:t>ans avaient au moins une fois partagé contre leur gré des photos intimes d</w:t>
      </w:r>
      <w:r w:rsidR="007A3CEB" w:rsidRPr="00111F07">
        <w:rPr>
          <w:lang w:val="fr-FR"/>
        </w:rPr>
        <w:t>’</w:t>
      </w:r>
      <w:r w:rsidRPr="00111F07">
        <w:rPr>
          <w:lang w:val="fr-FR"/>
        </w:rPr>
        <w:t>elles-mêmes, contre 1,6</w:t>
      </w:r>
      <w:r w:rsidR="007A3CEB" w:rsidRPr="00111F07">
        <w:rPr>
          <w:lang w:val="fr-FR"/>
        </w:rPr>
        <w:t> %</w:t>
      </w:r>
      <w:r w:rsidRPr="00111F07">
        <w:rPr>
          <w:lang w:val="fr-FR"/>
        </w:rPr>
        <w:t xml:space="preserve"> des hommes de la même tranche d</w:t>
      </w:r>
      <w:r w:rsidR="007A3CEB" w:rsidRPr="00111F07">
        <w:rPr>
          <w:lang w:val="fr-FR"/>
        </w:rPr>
        <w:t>’</w:t>
      </w:r>
      <w:r w:rsidRPr="00111F07">
        <w:rPr>
          <w:lang w:val="fr-FR"/>
        </w:rPr>
        <w:t>âge. Le rapport a également révélé que 17,5</w:t>
      </w:r>
      <w:r w:rsidR="007A3CEB" w:rsidRPr="00111F07">
        <w:rPr>
          <w:lang w:val="fr-FR"/>
        </w:rPr>
        <w:t> %</w:t>
      </w:r>
      <w:r w:rsidRPr="00111F07">
        <w:rPr>
          <w:lang w:val="fr-FR"/>
        </w:rPr>
        <w:t xml:space="preserve"> des femmes interrogées âgées de 15 à 24</w:t>
      </w:r>
      <w:r w:rsidR="008C5043" w:rsidRPr="00111F07">
        <w:rPr>
          <w:lang w:val="fr-FR"/>
        </w:rPr>
        <w:t xml:space="preserve"> </w:t>
      </w:r>
      <w:r w:rsidRPr="00111F07">
        <w:rPr>
          <w:lang w:val="fr-FR"/>
        </w:rPr>
        <w:t>ans ont déclaré avoir été victimes de harcèlement sexuel sur leur lieu de travail, contre 6</w:t>
      </w:r>
      <w:r w:rsidR="007A3CEB" w:rsidRPr="00111F07">
        <w:rPr>
          <w:lang w:val="fr-FR"/>
        </w:rPr>
        <w:t> %</w:t>
      </w:r>
      <w:r w:rsidRPr="00111F07">
        <w:rPr>
          <w:lang w:val="fr-FR"/>
        </w:rPr>
        <w:t xml:space="preserve"> des hommes de la même tranche d</w:t>
      </w:r>
      <w:r w:rsidR="007A3CEB" w:rsidRPr="00111F07">
        <w:rPr>
          <w:lang w:val="fr-FR"/>
        </w:rPr>
        <w:t>’</w:t>
      </w:r>
      <w:r w:rsidRPr="00111F07">
        <w:rPr>
          <w:lang w:val="fr-FR"/>
        </w:rPr>
        <w:t>âge.</w:t>
      </w:r>
    </w:p>
    <w:p w14:paraId="1B718DB1" w14:textId="0E2DD851" w:rsidR="00603A87" w:rsidRPr="00111F07" w:rsidRDefault="00603A87" w:rsidP="003103E0">
      <w:pPr>
        <w:pStyle w:val="SingleTxt"/>
        <w:numPr>
          <w:ilvl w:val="0"/>
          <w:numId w:val="52"/>
        </w:numPr>
        <w:spacing w:line="240" w:lineRule="exact"/>
        <w:rPr>
          <w:szCs w:val="24"/>
          <w:lang w:val="fr-FR"/>
        </w:rPr>
      </w:pPr>
      <w:r w:rsidRPr="00111F07">
        <w:rPr>
          <w:lang w:val="fr-FR"/>
        </w:rPr>
        <w:t>Selon une enquête de l</w:t>
      </w:r>
      <w:r w:rsidR="007A3CEB" w:rsidRPr="00111F07">
        <w:rPr>
          <w:lang w:val="fr-FR"/>
        </w:rPr>
        <w:t>’</w:t>
      </w:r>
      <w:r w:rsidRPr="00111F07">
        <w:rPr>
          <w:lang w:val="fr-FR"/>
        </w:rPr>
        <w:t>Institut national de santé publique, 27</w:t>
      </w:r>
      <w:r w:rsidR="007A3CEB" w:rsidRPr="00111F07">
        <w:rPr>
          <w:lang w:val="fr-FR"/>
        </w:rPr>
        <w:t> %</w:t>
      </w:r>
      <w:r w:rsidRPr="00111F07">
        <w:rPr>
          <w:lang w:val="fr-FR"/>
        </w:rPr>
        <w:t xml:space="preserve"> des femmes interrogées âgées de 16 à 24</w:t>
      </w:r>
      <w:r w:rsidR="008C5043" w:rsidRPr="00111F07">
        <w:rPr>
          <w:lang w:val="fr-FR"/>
        </w:rPr>
        <w:t xml:space="preserve"> </w:t>
      </w:r>
      <w:r w:rsidRPr="00111F07">
        <w:rPr>
          <w:lang w:val="fr-FR"/>
        </w:rPr>
        <w:t>ans ont été victimes de harcèlement sexuel au cours d</w:t>
      </w:r>
      <w:r w:rsidR="007A3CEB" w:rsidRPr="00111F07">
        <w:rPr>
          <w:lang w:val="fr-FR"/>
        </w:rPr>
        <w:t>’</w:t>
      </w:r>
      <w:r w:rsidRPr="00111F07">
        <w:rPr>
          <w:lang w:val="fr-FR"/>
        </w:rPr>
        <w:t>une période d</w:t>
      </w:r>
      <w:r w:rsidR="007A3CEB" w:rsidRPr="00111F07">
        <w:rPr>
          <w:lang w:val="fr-FR"/>
        </w:rPr>
        <w:t>’</w:t>
      </w:r>
      <w:r w:rsidRPr="00111F07">
        <w:rPr>
          <w:lang w:val="fr-FR"/>
        </w:rPr>
        <w:t>un an.</w:t>
      </w:r>
    </w:p>
    <w:p w14:paraId="6E5586C8" w14:textId="32FCF065" w:rsidR="00603A87" w:rsidRPr="00111F07" w:rsidRDefault="00603A87" w:rsidP="003103E0">
      <w:pPr>
        <w:pStyle w:val="SingleTxt"/>
        <w:numPr>
          <w:ilvl w:val="0"/>
          <w:numId w:val="52"/>
        </w:numPr>
        <w:spacing w:line="240" w:lineRule="exact"/>
        <w:rPr>
          <w:szCs w:val="24"/>
          <w:lang w:val="fr-FR"/>
        </w:rPr>
      </w:pPr>
      <w:r w:rsidRPr="00111F07">
        <w:rPr>
          <w:lang w:val="fr-FR"/>
        </w:rPr>
        <w:lastRenderedPageBreak/>
        <w:t>Le Gouvernement a pris un certain nombre de mesures pour lutter contre le harcèlement, y compris par le biais des campagnes mentionnées au point 5, et finance un service d</w:t>
      </w:r>
      <w:r w:rsidR="007A3CEB" w:rsidRPr="00111F07">
        <w:rPr>
          <w:lang w:val="fr-FR"/>
        </w:rPr>
        <w:t>’</w:t>
      </w:r>
      <w:r w:rsidRPr="00111F07">
        <w:rPr>
          <w:lang w:val="fr-FR"/>
        </w:rPr>
        <w:t>assistance téléphonique pour les victimes de harcèlement en ligne dans le cadre du plan d</w:t>
      </w:r>
      <w:r w:rsidR="007A3CEB" w:rsidRPr="00111F07">
        <w:rPr>
          <w:lang w:val="fr-FR"/>
        </w:rPr>
        <w:t>’</w:t>
      </w:r>
      <w:r w:rsidRPr="00111F07">
        <w:rPr>
          <w:lang w:val="fr-FR"/>
        </w:rPr>
        <w:t>action national visant à lutter contre la violence au sein du couple.</w:t>
      </w:r>
    </w:p>
    <w:p w14:paraId="62208B6F" w14:textId="0FD05D97" w:rsidR="00603A87" w:rsidRPr="00111F07" w:rsidRDefault="00603A87" w:rsidP="003103E0">
      <w:pPr>
        <w:pStyle w:val="SingleTxt"/>
        <w:numPr>
          <w:ilvl w:val="0"/>
          <w:numId w:val="52"/>
        </w:numPr>
        <w:spacing w:line="240" w:lineRule="exact"/>
        <w:rPr>
          <w:szCs w:val="24"/>
          <w:lang w:val="fr-FR"/>
        </w:rPr>
      </w:pPr>
      <w:r w:rsidRPr="00111F07">
        <w:rPr>
          <w:lang w:val="fr-FR"/>
        </w:rPr>
        <w:t>Le dernier rapport du Conseil de l</w:t>
      </w:r>
      <w:r w:rsidR="007A3CEB" w:rsidRPr="00111F07">
        <w:rPr>
          <w:lang w:val="fr-FR"/>
        </w:rPr>
        <w:t>’</w:t>
      </w:r>
      <w:r w:rsidRPr="00111F07">
        <w:rPr>
          <w:lang w:val="fr-FR"/>
        </w:rPr>
        <w:t>enfance (Børnerådet) consacré au harcèlement en ligne montre que 16</w:t>
      </w:r>
      <w:r w:rsidR="007A3CEB" w:rsidRPr="00111F07">
        <w:rPr>
          <w:lang w:val="fr-FR"/>
        </w:rPr>
        <w:t> %</w:t>
      </w:r>
      <w:r w:rsidRPr="00111F07">
        <w:rPr>
          <w:lang w:val="fr-FR"/>
        </w:rPr>
        <w:t xml:space="preserve"> des élèves de 9</w:t>
      </w:r>
      <w:r w:rsidRPr="00111F07">
        <w:rPr>
          <w:vertAlign w:val="superscript"/>
          <w:lang w:val="fr-FR"/>
        </w:rPr>
        <w:t>e</w:t>
      </w:r>
      <w:r w:rsidRPr="00111F07">
        <w:rPr>
          <w:lang w:val="fr-FR"/>
        </w:rPr>
        <w:t> année ont été victimes de ce phénomène au cours de l</w:t>
      </w:r>
      <w:r w:rsidR="007A3CEB" w:rsidRPr="00111F07">
        <w:rPr>
          <w:lang w:val="fr-FR"/>
        </w:rPr>
        <w:t>’</w:t>
      </w:r>
      <w:r w:rsidRPr="00111F07">
        <w:rPr>
          <w:lang w:val="fr-FR"/>
        </w:rPr>
        <w:t>année écoulée et que 15</w:t>
      </w:r>
      <w:r w:rsidR="007A3CEB" w:rsidRPr="00111F07">
        <w:rPr>
          <w:lang w:val="fr-FR"/>
        </w:rPr>
        <w:t> %</w:t>
      </w:r>
      <w:r w:rsidRPr="00111F07">
        <w:rPr>
          <w:lang w:val="fr-FR"/>
        </w:rPr>
        <w:t xml:space="preserve"> l</w:t>
      </w:r>
      <w:r w:rsidR="007A3CEB" w:rsidRPr="00111F07">
        <w:rPr>
          <w:lang w:val="fr-FR"/>
        </w:rPr>
        <w:t>’</w:t>
      </w:r>
      <w:r w:rsidRPr="00111F07">
        <w:rPr>
          <w:lang w:val="fr-FR"/>
        </w:rPr>
        <w:t>ont fait subir à d</w:t>
      </w:r>
      <w:r w:rsidR="007A3CEB" w:rsidRPr="00111F07">
        <w:rPr>
          <w:lang w:val="fr-FR"/>
        </w:rPr>
        <w:t>’</w:t>
      </w:r>
      <w:r w:rsidRPr="00111F07">
        <w:rPr>
          <w:lang w:val="fr-FR"/>
        </w:rPr>
        <w:t>autres. Les garçons (21</w:t>
      </w:r>
      <w:r w:rsidR="007A3CEB" w:rsidRPr="00111F07">
        <w:rPr>
          <w:lang w:val="fr-FR"/>
        </w:rPr>
        <w:t> %</w:t>
      </w:r>
      <w:r w:rsidRPr="00111F07">
        <w:rPr>
          <w:lang w:val="fr-FR"/>
        </w:rPr>
        <w:t>) sont plus nombreux que les filles (10</w:t>
      </w:r>
      <w:r w:rsidR="007A3CEB" w:rsidRPr="00111F07">
        <w:rPr>
          <w:lang w:val="fr-FR"/>
        </w:rPr>
        <w:t> %</w:t>
      </w:r>
      <w:r w:rsidRPr="00111F07">
        <w:rPr>
          <w:lang w:val="fr-FR"/>
        </w:rPr>
        <w:t>) à déclarer avoir soumis d</w:t>
      </w:r>
      <w:r w:rsidR="007A3CEB" w:rsidRPr="00111F07">
        <w:rPr>
          <w:lang w:val="fr-FR"/>
        </w:rPr>
        <w:t>’</w:t>
      </w:r>
      <w:r w:rsidRPr="00111F07">
        <w:rPr>
          <w:lang w:val="fr-FR"/>
        </w:rPr>
        <w:t>autres personnes à un harcèlement en ligne.</w:t>
      </w:r>
    </w:p>
    <w:p w14:paraId="15920701" w14:textId="47A32C3E" w:rsidR="00603A87" w:rsidRPr="00111F07" w:rsidRDefault="00603A87" w:rsidP="003103E0">
      <w:pPr>
        <w:pStyle w:val="SingleTxt"/>
        <w:numPr>
          <w:ilvl w:val="0"/>
          <w:numId w:val="52"/>
        </w:numPr>
        <w:spacing w:line="240" w:lineRule="exact"/>
        <w:rPr>
          <w:szCs w:val="24"/>
          <w:lang w:val="fr-FR"/>
        </w:rPr>
      </w:pPr>
      <w:r w:rsidRPr="00111F07">
        <w:rPr>
          <w:lang w:val="fr-FR"/>
        </w:rPr>
        <w:t>Pour lutter contre le harcèlement en ligne et à l</w:t>
      </w:r>
      <w:r w:rsidR="007A3CEB" w:rsidRPr="00111F07">
        <w:rPr>
          <w:lang w:val="fr-FR"/>
        </w:rPr>
        <w:t>’</w:t>
      </w:r>
      <w:r w:rsidRPr="00111F07">
        <w:rPr>
          <w:lang w:val="fr-FR"/>
        </w:rPr>
        <w:t>école, toutes les écoles de l</w:t>
      </w:r>
      <w:r w:rsidR="007A3CEB" w:rsidRPr="00111F07">
        <w:rPr>
          <w:lang w:val="fr-FR"/>
        </w:rPr>
        <w:t>’</w:t>
      </w:r>
      <w:r w:rsidRPr="00111F07">
        <w:rPr>
          <w:lang w:val="fr-FR"/>
        </w:rPr>
        <w:t>enseignement primaire et secondaire supérieur sont tenues depuis 2017 d</w:t>
      </w:r>
      <w:r w:rsidR="007A3CEB" w:rsidRPr="00111F07">
        <w:rPr>
          <w:lang w:val="fr-FR"/>
        </w:rPr>
        <w:t>’</w:t>
      </w:r>
      <w:r w:rsidRPr="00111F07">
        <w:rPr>
          <w:lang w:val="fr-FR"/>
        </w:rPr>
        <w:t>adopter une stratégie de lutte contre le harcèlement, y compris en ligne. En cas de harcèlement de quelque type que ce soit, la loi fait obligation à la direction de l</w:t>
      </w:r>
      <w:r w:rsidR="007A3CEB" w:rsidRPr="00111F07">
        <w:rPr>
          <w:lang w:val="fr-FR"/>
        </w:rPr>
        <w:t>’</w:t>
      </w:r>
      <w:r w:rsidRPr="00111F07">
        <w:rPr>
          <w:lang w:val="fr-FR"/>
        </w:rPr>
        <w:t>école d</w:t>
      </w:r>
      <w:r w:rsidR="007A3CEB" w:rsidRPr="00111F07">
        <w:rPr>
          <w:lang w:val="fr-FR"/>
        </w:rPr>
        <w:t>’</w:t>
      </w:r>
      <w:r w:rsidRPr="00111F07">
        <w:rPr>
          <w:lang w:val="fr-FR"/>
        </w:rPr>
        <w:t>établir, dans les 10</w:t>
      </w:r>
      <w:r w:rsidR="008C5043" w:rsidRPr="00111F07">
        <w:rPr>
          <w:lang w:val="fr-FR"/>
        </w:rPr>
        <w:t xml:space="preserve"> </w:t>
      </w:r>
      <w:r w:rsidRPr="00111F07">
        <w:rPr>
          <w:lang w:val="fr-FR"/>
        </w:rPr>
        <w:t>jours ouvrables, un plan d</w:t>
      </w:r>
      <w:r w:rsidR="007A3CEB" w:rsidRPr="00111F07">
        <w:rPr>
          <w:lang w:val="fr-FR"/>
        </w:rPr>
        <w:t>’</w:t>
      </w:r>
      <w:r w:rsidRPr="00111F07">
        <w:rPr>
          <w:lang w:val="fr-FR"/>
        </w:rPr>
        <w:t>action définissant les mesures qu</w:t>
      </w:r>
      <w:r w:rsidR="007A3CEB" w:rsidRPr="00111F07">
        <w:rPr>
          <w:lang w:val="fr-FR"/>
        </w:rPr>
        <w:t>’</w:t>
      </w:r>
      <w:r w:rsidRPr="00111F07">
        <w:rPr>
          <w:lang w:val="fr-FR"/>
        </w:rPr>
        <w:t>elle entend mettre en œuvre pour régler efficacement le problème. En outre, la direction de l</w:t>
      </w:r>
      <w:r w:rsidR="007A3CEB" w:rsidRPr="00111F07">
        <w:rPr>
          <w:lang w:val="fr-FR"/>
        </w:rPr>
        <w:t>’</w:t>
      </w:r>
      <w:r w:rsidRPr="00111F07">
        <w:rPr>
          <w:lang w:val="fr-FR"/>
        </w:rPr>
        <w:t>école doit prendre immédiatement les mesures provisoires qui s</w:t>
      </w:r>
      <w:r w:rsidR="007A3CEB" w:rsidRPr="00111F07">
        <w:rPr>
          <w:lang w:val="fr-FR"/>
        </w:rPr>
        <w:t>’</w:t>
      </w:r>
      <w:r w:rsidRPr="00111F07">
        <w:rPr>
          <w:lang w:val="fr-FR"/>
        </w:rPr>
        <w:t>avèrent nécessaires pour traiter les problèmes signalés. Une évaluation est attendue d</w:t>
      </w:r>
      <w:r w:rsidR="007A3CEB" w:rsidRPr="00111F07">
        <w:rPr>
          <w:lang w:val="fr-FR"/>
        </w:rPr>
        <w:t>’</w:t>
      </w:r>
      <w:r w:rsidRPr="00111F07">
        <w:rPr>
          <w:lang w:val="fr-FR"/>
        </w:rPr>
        <w:t>ici la fin mars 2020.</w:t>
      </w:r>
    </w:p>
    <w:p w14:paraId="1E237780" w14:textId="70BBFD55" w:rsidR="00603A87" w:rsidRPr="00111F07" w:rsidRDefault="00603A87" w:rsidP="003103E0">
      <w:pPr>
        <w:pStyle w:val="SingleTxt"/>
        <w:numPr>
          <w:ilvl w:val="0"/>
          <w:numId w:val="52"/>
        </w:numPr>
        <w:spacing w:line="240" w:lineRule="exact"/>
        <w:rPr>
          <w:lang w:val="fr-FR"/>
        </w:rPr>
      </w:pPr>
      <w:r w:rsidRPr="00111F07">
        <w:rPr>
          <w:lang w:val="fr-FR"/>
        </w:rPr>
        <w:t>Le Ministère de l</w:t>
      </w:r>
      <w:r w:rsidR="007A3CEB" w:rsidRPr="00111F07">
        <w:rPr>
          <w:lang w:val="fr-FR"/>
        </w:rPr>
        <w:t>’</w:t>
      </w:r>
      <w:r w:rsidRPr="00111F07">
        <w:rPr>
          <w:lang w:val="fr-FR"/>
        </w:rPr>
        <w:t>enfance et de l</w:t>
      </w:r>
      <w:r w:rsidR="007A3CEB" w:rsidRPr="00111F07">
        <w:rPr>
          <w:lang w:val="fr-FR"/>
        </w:rPr>
        <w:t>’</w:t>
      </w:r>
      <w:r w:rsidRPr="00111F07">
        <w:rPr>
          <w:lang w:val="fr-FR"/>
        </w:rPr>
        <w:t>éducation a réalisé en 2018 la première enquête sur le bien-être des élèves dans l</w:t>
      </w:r>
      <w:r w:rsidR="007A3CEB" w:rsidRPr="00111F07">
        <w:rPr>
          <w:lang w:val="fr-FR"/>
        </w:rPr>
        <w:t>’</w:t>
      </w:r>
      <w:r w:rsidRPr="00111F07">
        <w:rPr>
          <w:lang w:val="fr-FR"/>
        </w:rPr>
        <w:t>enseignement secondaire général du second cycle. Dans l</w:t>
      </w:r>
      <w:r w:rsidR="007A3CEB" w:rsidRPr="00111F07">
        <w:rPr>
          <w:lang w:val="fr-FR"/>
        </w:rPr>
        <w:t>’</w:t>
      </w:r>
      <w:r w:rsidRPr="00111F07">
        <w:rPr>
          <w:lang w:val="fr-FR"/>
        </w:rPr>
        <w:t>enquête, 1</w:t>
      </w:r>
      <w:r w:rsidR="007A3CEB" w:rsidRPr="00111F07">
        <w:rPr>
          <w:lang w:val="fr-FR"/>
        </w:rPr>
        <w:t> %</w:t>
      </w:r>
      <w:r w:rsidRPr="00111F07">
        <w:rPr>
          <w:lang w:val="fr-FR"/>
        </w:rPr>
        <w:t xml:space="preserve"> des élèves de sexe féminin ont déclaré avoir été victimes de harcèlement en ligne « occasionnellement », tandis que 1</w:t>
      </w:r>
      <w:r w:rsidR="007A3CEB" w:rsidRPr="00111F07">
        <w:rPr>
          <w:lang w:val="fr-FR"/>
        </w:rPr>
        <w:t> %</w:t>
      </w:r>
      <w:r w:rsidRPr="00111F07">
        <w:rPr>
          <w:lang w:val="fr-FR"/>
        </w:rPr>
        <w:t xml:space="preserve"> d</w:t>
      </w:r>
      <w:r w:rsidR="007A3CEB" w:rsidRPr="00111F07">
        <w:rPr>
          <w:lang w:val="fr-FR"/>
        </w:rPr>
        <w:t>’</w:t>
      </w:r>
      <w:r w:rsidRPr="00111F07">
        <w:rPr>
          <w:lang w:val="fr-FR"/>
        </w:rPr>
        <w:t>entre elles ont déclaré avoir fait l</w:t>
      </w:r>
      <w:r w:rsidR="007A3CEB" w:rsidRPr="00111F07">
        <w:rPr>
          <w:lang w:val="fr-FR"/>
        </w:rPr>
        <w:t>’</w:t>
      </w:r>
      <w:r w:rsidRPr="00111F07">
        <w:rPr>
          <w:lang w:val="fr-FR"/>
        </w:rPr>
        <w:t>objet d</w:t>
      </w:r>
      <w:r w:rsidR="007A3CEB" w:rsidRPr="00111F07">
        <w:rPr>
          <w:lang w:val="fr-FR"/>
        </w:rPr>
        <w:t>’</w:t>
      </w:r>
      <w:r w:rsidRPr="00111F07">
        <w:rPr>
          <w:lang w:val="fr-FR"/>
        </w:rPr>
        <w:t>une attention sexuelle non désirée « fréquemment » et 3</w:t>
      </w:r>
      <w:r w:rsidR="007A3CEB" w:rsidRPr="00111F07">
        <w:rPr>
          <w:lang w:val="fr-FR"/>
        </w:rPr>
        <w:t> %</w:t>
      </w:r>
      <w:r w:rsidRPr="00111F07">
        <w:rPr>
          <w:lang w:val="fr-FR"/>
        </w:rPr>
        <w:t xml:space="preserve"> « occasionnellement ».</w:t>
      </w:r>
    </w:p>
    <w:p w14:paraId="76F29C0A" w14:textId="545916B4" w:rsidR="003103E0" w:rsidRPr="00111F07" w:rsidRDefault="003103E0" w:rsidP="003103E0">
      <w:pPr>
        <w:pStyle w:val="SingleTxt"/>
        <w:tabs>
          <w:tab w:val="clear" w:pos="1742"/>
        </w:tabs>
        <w:spacing w:after="0" w:line="120" w:lineRule="exact"/>
        <w:rPr>
          <w:sz w:val="10"/>
          <w:lang w:val="fr-FR"/>
        </w:rPr>
      </w:pPr>
    </w:p>
    <w:p w14:paraId="78C8E6F5" w14:textId="4E51309A" w:rsidR="003103E0" w:rsidRPr="00111F07" w:rsidRDefault="003103E0" w:rsidP="003103E0">
      <w:pPr>
        <w:pStyle w:val="SingleTxt"/>
        <w:tabs>
          <w:tab w:val="clear" w:pos="1742"/>
        </w:tabs>
        <w:spacing w:after="0" w:line="120" w:lineRule="exact"/>
        <w:rPr>
          <w:sz w:val="10"/>
          <w:lang w:val="fr-FR"/>
        </w:rPr>
      </w:pPr>
    </w:p>
    <w:p w14:paraId="51AC1D93" w14:textId="55CEF0D1" w:rsidR="00603A87" w:rsidRPr="00111F07" w:rsidRDefault="00603A87" w:rsidP="003103E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Emploi</w:t>
      </w:r>
    </w:p>
    <w:p w14:paraId="7EF95FE2" w14:textId="3FE058C3" w:rsidR="003103E0" w:rsidRPr="00111F07" w:rsidRDefault="003103E0" w:rsidP="003103E0">
      <w:pPr>
        <w:pStyle w:val="SingleTxt"/>
        <w:spacing w:after="0" w:line="120" w:lineRule="exact"/>
        <w:rPr>
          <w:sz w:val="10"/>
          <w:lang w:val="fr-FR"/>
        </w:rPr>
      </w:pPr>
    </w:p>
    <w:p w14:paraId="1CBA0DD4" w14:textId="28B14174" w:rsidR="003103E0" w:rsidRPr="00111F07" w:rsidRDefault="003103E0" w:rsidP="003103E0">
      <w:pPr>
        <w:pStyle w:val="SingleTxt"/>
        <w:spacing w:after="0" w:line="120" w:lineRule="exact"/>
        <w:rPr>
          <w:sz w:val="10"/>
          <w:lang w:val="fr-FR"/>
        </w:rPr>
      </w:pPr>
    </w:p>
    <w:p w14:paraId="52F77375" w14:textId="47F4F748" w:rsidR="00603A87" w:rsidRPr="00111F07" w:rsidRDefault="00603A87" w:rsidP="003103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Pr="00111F07">
        <w:rPr>
          <w:bCs/>
          <w:lang w:val="fr-FR"/>
        </w:rPr>
        <w:t xml:space="preserve">Réponse au </w:t>
      </w:r>
      <w:r w:rsidRPr="00111F07">
        <w:rPr>
          <w:lang w:val="fr-FR"/>
        </w:rPr>
        <w:t>paragraphe 16</w:t>
      </w:r>
    </w:p>
    <w:p w14:paraId="1BBF59D4" w14:textId="16E5D73C" w:rsidR="003103E0" w:rsidRPr="00111F07" w:rsidRDefault="003103E0" w:rsidP="003103E0">
      <w:pPr>
        <w:pStyle w:val="SingleTxt"/>
        <w:spacing w:after="0" w:line="120" w:lineRule="exact"/>
        <w:rPr>
          <w:sz w:val="10"/>
          <w:lang w:val="fr-FR"/>
        </w:rPr>
      </w:pPr>
    </w:p>
    <w:p w14:paraId="0A7EDBA3" w14:textId="3FBCB097" w:rsidR="003103E0" w:rsidRPr="00111F07" w:rsidRDefault="003103E0" w:rsidP="003103E0">
      <w:pPr>
        <w:pStyle w:val="SingleTxt"/>
        <w:spacing w:after="0" w:line="120" w:lineRule="exact"/>
        <w:rPr>
          <w:sz w:val="10"/>
          <w:lang w:val="fr-FR"/>
        </w:rPr>
      </w:pPr>
    </w:p>
    <w:p w14:paraId="7A152E49" w14:textId="24EAFD5C" w:rsidR="00603A87" w:rsidRPr="00111F07" w:rsidRDefault="003103E0" w:rsidP="003103E0">
      <w:pPr>
        <w:pStyle w:val="SingleTxt"/>
        <w:numPr>
          <w:ilvl w:val="0"/>
          <w:numId w:val="52"/>
        </w:numPr>
        <w:spacing w:line="240" w:lineRule="exact"/>
        <w:rPr>
          <w:szCs w:val="24"/>
          <w:lang w:val="fr-FR"/>
        </w:rPr>
      </w:pPr>
      <w:r w:rsidRPr="00111F07">
        <w:rPr>
          <w:lang w:val="fr-FR"/>
        </w:rPr>
        <w:t xml:space="preserve">a) </w:t>
      </w:r>
      <w:r w:rsidR="00603A87" w:rsidRPr="00111F07">
        <w:rPr>
          <w:lang w:val="fr-FR"/>
        </w:rPr>
        <w:t>Un rapport du Centre danois de recherche en sciences sociales de 2018, établi à la demande du Ministère danois de l</w:t>
      </w:r>
      <w:r w:rsidR="007A3CEB" w:rsidRPr="00111F07">
        <w:rPr>
          <w:lang w:val="fr-FR"/>
        </w:rPr>
        <w:t>’</w:t>
      </w:r>
      <w:r w:rsidR="00603A87" w:rsidRPr="00111F07">
        <w:rPr>
          <w:lang w:val="fr-FR"/>
        </w:rPr>
        <w:t>emploi, a montré que si l</w:t>
      </w:r>
      <w:r w:rsidR="007A3CEB" w:rsidRPr="00111F07">
        <w:rPr>
          <w:lang w:val="fr-FR"/>
        </w:rPr>
        <w:t>’</w:t>
      </w:r>
      <w:r w:rsidR="00603A87" w:rsidRPr="00111F07">
        <w:rPr>
          <w:lang w:val="fr-FR"/>
        </w:rPr>
        <w:t>écart de rémunération non ajusté entre les femmes et les hommes avait diminué de près de 25</w:t>
      </w:r>
      <w:r w:rsidR="007A3CEB" w:rsidRPr="00111F07">
        <w:rPr>
          <w:lang w:val="fr-FR"/>
        </w:rPr>
        <w:t> %</w:t>
      </w:r>
      <w:r w:rsidR="00603A87" w:rsidRPr="00111F07">
        <w:rPr>
          <w:lang w:val="fr-FR"/>
        </w:rPr>
        <w:t xml:space="preserve"> entre 2007 et 2016, l</w:t>
      </w:r>
      <w:r w:rsidR="007A3CEB" w:rsidRPr="00111F07">
        <w:rPr>
          <w:lang w:val="fr-FR"/>
        </w:rPr>
        <w:t>’</w:t>
      </w:r>
      <w:r w:rsidR="00603A87" w:rsidRPr="00111F07">
        <w:rPr>
          <w:lang w:val="fr-FR"/>
        </w:rPr>
        <w:t>écart ajusté était resté à environ 7</w:t>
      </w:r>
      <w:r w:rsidR="007A3CEB" w:rsidRPr="00111F07">
        <w:rPr>
          <w:lang w:val="fr-FR"/>
        </w:rPr>
        <w:t> %</w:t>
      </w:r>
      <w:r w:rsidR="00603A87" w:rsidRPr="00111F07">
        <w:rPr>
          <w:lang w:val="fr-FR"/>
        </w:rPr>
        <w:t>.</w:t>
      </w:r>
    </w:p>
    <w:p w14:paraId="199D9E1C" w14:textId="276F10F1" w:rsidR="00603A87" w:rsidRPr="00111F07" w:rsidRDefault="00603A87" w:rsidP="003103E0">
      <w:pPr>
        <w:pStyle w:val="SingleTxtG"/>
        <w:numPr>
          <w:ilvl w:val="0"/>
          <w:numId w:val="52"/>
        </w:numPr>
        <w:rPr>
          <w:szCs w:val="24"/>
          <w:lang w:val="fr-FR"/>
        </w:rPr>
      </w:pPr>
      <w:r w:rsidRPr="00111F07">
        <w:rPr>
          <w:lang w:val="fr-FR"/>
        </w:rPr>
        <w:t>Le Ministère a demandé un nouveau rapport qui, s</w:t>
      </w:r>
      <w:r w:rsidR="007A3CEB" w:rsidRPr="00111F07">
        <w:rPr>
          <w:lang w:val="fr-FR"/>
        </w:rPr>
        <w:t>’</w:t>
      </w:r>
      <w:r w:rsidRPr="00111F07">
        <w:rPr>
          <w:lang w:val="fr-FR"/>
        </w:rPr>
        <w:t>appuyant sur de nouvelles méthodes de recherche et des données supplémentaires issues des registres, analysera plus en profondeur les facteurs à l</w:t>
      </w:r>
      <w:r w:rsidR="007A3CEB" w:rsidRPr="00111F07">
        <w:rPr>
          <w:lang w:val="fr-FR"/>
        </w:rPr>
        <w:t>’</w:t>
      </w:r>
      <w:r w:rsidRPr="00111F07">
        <w:rPr>
          <w:lang w:val="fr-FR"/>
        </w:rPr>
        <w:t>origine de l</w:t>
      </w:r>
      <w:r w:rsidR="007A3CEB" w:rsidRPr="00111F07">
        <w:rPr>
          <w:lang w:val="fr-FR"/>
        </w:rPr>
        <w:t>’</w:t>
      </w:r>
      <w:r w:rsidRPr="00111F07">
        <w:rPr>
          <w:lang w:val="fr-FR"/>
        </w:rPr>
        <w:t>écart de rémunération ajusté entre les femmes et les hommes. Le rapport est attendu en septembre 2020 et il est à espérer qu</w:t>
      </w:r>
      <w:r w:rsidR="007A3CEB" w:rsidRPr="00111F07">
        <w:rPr>
          <w:lang w:val="fr-FR"/>
        </w:rPr>
        <w:t>’</w:t>
      </w:r>
      <w:r w:rsidRPr="00111F07">
        <w:rPr>
          <w:lang w:val="fr-FR"/>
        </w:rPr>
        <w:t>il apportera de nouveaux éclairages sur les causes profondes de l</w:t>
      </w:r>
      <w:r w:rsidR="007A3CEB" w:rsidRPr="00111F07">
        <w:rPr>
          <w:lang w:val="fr-FR"/>
        </w:rPr>
        <w:t>’</w:t>
      </w:r>
      <w:r w:rsidRPr="00111F07">
        <w:rPr>
          <w:lang w:val="fr-FR"/>
        </w:rPr>
        <w:t>écart salarial ajusté femmes-hommes et sur les mesures qui peuvent être prises pour y remédier.</w:t>
      </w:r>
    </w:p>
    <w:p w14:paraId="4EC747C0" w14:textId="59E51DD0" w:rsidR="00603A87" w:rsidRPr="00111F07" w:rsidRDefault="00603A87" w:rsidP="003103E0">
      <w:pPr>
        <w:pStyle w:val="SingleTxtG"/>
        <w:numPr>
          <w:ilvl w:val="0"/>
          <w:numId w:val="52"/>
        </w:numPr>
        <w:rPr>
          <w:szCs w:val="24"/>
          <w:lang w:val="fr-FR"/>
        </w:rPr>
      </w:pPr>
      <w:r w:rsidRPr="00111F07">
        <w:rPr>
          <w:lang w:val="fr-FR"/>
        </w:rPr>
        <w:t>b) Le Gouvernement continuera à mesurer l</w:t>
      </w:r>
      <w:r w:rsidR="007A3CEB" w:rsidRPr="00111F07">
        <w:rPr>
          <w:lang w:val="fr-FR"/>
        </w:rPr>
        <w:t>’</w:t>
      </w:r>
      <w:r w:rsidRPr="00111F07">
        <w:rPr>
          <w:lang w:val="fr-FR"/>
        </w:rPr>
        <w:t>écart de rémunération entre les femmes et les hommes, tant non ajusté qu</w:t>
      </w:r>
      <w:r w:rsidR="007A3CEB" w:rsidRPr="00111F07">
        <w:rPr>
          <w:lang w:val="fr-FR"/>
        </w:rPr>
        <w:t>’</w:t>
      </w:r>
      <w:r w:rsidRPr="00111F07">
        <w:rPr>
          <w:lang w:val="fr-FR"/>
        </w:rPr>
        <w:t>ajusté. L</w:t>
      </w:r>
      <w:r w:rsidR="007A3CEB" w:rsidRPr="00111F07">
        <w:rPr>
          <w:lang w:val="fr-FR"/>
        </w:rPr>
        <w:t>’</w:t>
      </w:r>
      <w:r w:rsidRPr="00111F07">
        <w:rPr>
          <w:lang w:val="fr-FR"/>
        </w:rPr>
        <w:t>écart de rémunération non ajusté permet d</w:t>
      </w:r>
      <w:r w:rsidR="007A3CEB" w:rsidRPr="00111F07">
        <w:rPr>
          <w:lang w:val="fr-FR"/>
        </w:rPr>
        <w:t>’</w:t>
      </w:r>
      <w:r w:rsidRPr="00111F07">
        <w:rPr>
          <w:lang w:val="fr-FR"/>
        </w:rPr>
        <w:t>identifier les conséquences qu</w:t>
      </w:r>
      <w:r w:rsidR="007A3CEB" w:rsidRPr="00111F07">
        <w:rPr>
          <w:lang w:val="fr-FR"/>
        </w:rPr>
        <w:t>’</w:t>
      </w:r>
      <w:r w:rsidRPr="00111F07">
        <w:rPr>
          <w:lang w:val="fr-FR"/>
        </w:rPr>
        <w:t>entraîne une ségrégation du marché du travail selon le sexe sur les revenus des hommes et des femmes. Ainsi, la réduction de l</w:t>
      </w:r>
      <w:r w:rsidR="007A3CEB" w:rsidRPr="00111F07">
        <w:rPr>
          <w:lang w:val="fr-FR"/>
        </w:rPr>
        <w:t>’</w:t>
      </w:r>
      <w:r w:rsidRPr="00111F07">
        <w:rPr>
          <w:lang w:val="fr-FR"/>
        </w:rPr>
        <w:t>écart de rémunération non ajusté entre les femmes et les hommes au Danemark s</w:t>
      </w:r>
      <w:r w:rsidR="007A3CEB" w:rsidRPr="00111F07">
        <w:rPr>
          <w:lang w:val="fr-FR"/>
        </w:rPr>
        <w:t>’</w:t>
      </w:r>
      <w:r w:rsidRPr="00111F07">
        <w:rPr>
          <w:lang w:val="fr-FR"/>
        </w:rPr>
        <w:t xml:space="preserve">explique par le fait que </w:t>
      </w:r>
      <w:r w:rsidR="004C3334" w:rsidRPr="00111F07">
        <w:rPr>
          <w:lang w:val="fr-FR"/>
        </w:rPr>
        <w:t>les femmes ont un niveau de qualification et</w:t>
      </w:r>
      <w:r w:rsidRPr="00111F07">
        <w:rPr>
          <w:lang w:val="fr-FR"/>
        </w:rPr>
        <w:t xml:space="preserve"> d</w:t>
      </w:r>
      <w:r w:rsidR="007A3CEB" w:rsidRPr="00111F07">
        <w:rPr>
          <w:lang w:val="fr-FR"/>
        </w:rPr>
        <w:t>’</w:t>
      </w:r>
      <w:r w:rsidRPr="001C3EFA">
        <w:rPr>
          <w:lang w:val="fr-FR"/>
        </w:rPr>
        <w:t>éducation plus élevé, ce qui leur permet d</w:t>
      </w:r>
      <w:r w:rsidR="007A3CEB" w:rsidRPr="007978B6">
        <w:rPr>
          <w:lang w:val="fr-FR"/>
        </w:rPr>
        <w:t>’</w:t>
      </w:r>
      <w:r w:rsidRPr="007978B6">
        <w:rPr>
          <w:lang w:val="fr-FR"/>
        </w:rPr>
        <w:t>accéder à des postes de direction ou à des postes exigeant des compétences et des connaissances spécialisées.</w:t>
      </w:r>
    </w:p>
    <w:p w14:paraId="4E1877B3" w14:textId="576CEE28" w:rsidR="00603A87" w:rsidRPr="00111F07" w:rsidRDefault="00603A87" w:rsidP="003103E0">
      <w:pPr>
        <w:pStyle w:val="SingleTxtG"/>
        <w:numPr>
          <w:ilvl w:val="0"/>
          <w:numId w:val="52"/>
        </w:numPr>
        <w:rPr>
          <w:szCs w:val="24"/>
          <w:lang w:val="fr-FR"/>
        </w:rPr>
      </w:pPr>
      <w:r w:rsidRPr="00111F07">
        <w:rPr>
          <w:lang w:val="fr-FR"/>
        </w:rPr>
        <w:t>Toutefois, dans le prochain rapport sur les facteurs à l</w:t>
      </w:r>
      <w:r w:rsidR="007A3CEB" w:rsidRPr="00111F07">
        <w:rPr>
          <w:lang w:val="fr-FR"/>
        </w:rPr>
        <w:t>’</w:t>
      </w:r>
      <w:r w:rsidRPr="00111F07">
        <w:rPr>
          <w:lang w:val="fr-FR"/>
        </w:rPr>
        <w:t>origine de l</w:t>
      </w:r>
      <w:r w:rsidR="007A3CEB" w:rsidRPr="00111F07">
        <w:rPr>
          <w:lang w:val="fr-FR"/>
        </w:rPr>
        <w:t>’</w:t>
      </w:r>
      <w:r w:rsidRPr="00111F07">
        <w:rPr>
          <w:lang w:val="fr-FR"/>
        </w:rPr>
        <w:t>écart de rémunération ajusté entre les femmes et les hommes mentionné ci-dessus, le Ministère de l</w:t>
      </w:r>
      <w:r w:rsidR="007A3CEB" w:rsidRPr="00111F07">
        <w:rPr>
          <w:lang w:val="fr-FR"/>
        </w:rPr>
        <w:t>’</w:t>
      </w:r>
      <w:r w:rsidRPr="00111F07">
        <w:rPr>
          <w:lang w:val="fr-FR"/>
        </w:rPr>
        <w:t>emploi et le Centre danois de recherche en sciences sociales ont décidé de renoncer à utiliser le mode de rémunération « salaire horaire par heure de présence » et de n</w:t>
      </w:r>
      <w:r w:rsidR="007A3CEB" w:rsidRPr="00111F07">
        <w:rPr>
          <w:lang w:val="fr-FR"/>
        </w:rPr>
        <w:t>’</w:t>
      </w:r>
      <w:r w:rsidRPr="00111F07">
        <w:rPr>
          <w:lang w:val="fr-FR"/>
        </w:rPr>
        <w:t>appliquer que celui de « salaire horaire normalisé », qui est généralement considéré comme mieux à même de traduire le revenu réel des travailleurs au lieu du coût supporté par l</w:t>
      </w:r>
      <w:r w:rsidR="007A3CEB" w:rsidRPr="00111F07">
        <w:rPr>
          <w:lang w:val="fr-FR"/>
        </w:rPr>
        <w:t>’</w:t>
      </w:r>
      <w:r w:rsidRPr="00111F07">
        <w:rPr>
          <w:lang w:val="fr-FR"/>
        </w:rPr>
        <w:t>employeur.</w:t>
      </w:r>
    </w:p>
    <w:p w14:paraId="1BB4FDE6" w14:textId="2DF45D5B" w:rsidR="00603A87" w:rsidRPr="00111F07" w:rsidRDefault="00603A87" w:rsidP="003103E0">
      <w:pPr>
        <w:pStyle w:val="SingleTxtG"/>
        <w:numPr>
          <w:ilvl w:val="0"/>
          <w:numId w:val="52"/>
        </w:numPr>
        <w:rPr>
          <w:szCs w:val="24"/>
          <w:lang w:val="fr-FR"/>
        </w:rPr>
      </w:pPr>
      <w:r w:rsidRPr="00111F07">
        <w:rPr>
          <w:lang w:val="fr-FR"/>
        </w:rPr>
        <w:lastRenderedPageBreak/>
        <w:t>c) Le Gouvernement danois actuel n</w:t>
      </w:r>
      <w:r w:rsidR="007A3CEB" w:rsidRPr="00111F07">
        <w:rPr>
          <w:lang w:val="fr-FR"/>
        </w:rPr>
        <w:t>’</w:t>
      </w:r>
      <w:r w:rsidRPr="00111F07">
        <w:rPr>
          <w:lang w:val="fr-FR"/>
        </w:rPr>
        <w:t>a pas encore pris de décisions officielles sur la façon de traiter la question de la transparence des salaires au sein de l</w:t>
      </w:r>
      <w:r w:rsidR="007A3CEB" w:rsidRPr="00111F07">
        <w:rPr>
          <w:lang w:val="fr-FR"/>
        </w:rPr>
        <w:t>’</w:t>
      </w:r>
      <w:r w:rsidRPr="00111F07">
        <w:rPr>
          <w:lang w:val="fr-FR"/>
        </w:rPr>
        <w:t>entreprise. Il attend la prochaine initiative de la Commission européenne qui vise à accroître la transparence des rémunérations et à garantir l</w:t>
      </w:r>
      <w:r w:rsidR="007A3CEB" w:rsidRPr="00111F07">
        <w:rPr>
          <w:lang w:val="fr-FR"/>
        </w:rPr>
        <w:t>’</w:t>
      </w:r>
      <w:r w:rsidRPr="00111F07">
        <w:rPr>
          <w:lang w:val="fr-FR"/>
        </w:rPr>
        <w:t>application du principe de l</w:t>
      </w:r>
      <w:r w:rsidR="007A3CEB" w:rsidRPr="00111F07">
        <w:rPr>
          <w:lang w:val="fr-FR"/>
        </w:rPr>
        <w:t>’</w:t>
      </w:r>
      <w:r w:rsidRPr="00111F07">
        <w:rPr>
          <w:lang w:val="fr-FR"/>
        </w:rPr>
        <w:t>égalité de rémunération.</w:t>
      </w:r>
    </w:p>
    <w:p w14:paraId="097D1B4D" w14:textId="660671E2" w:rsidR="00603A87" w:rsidRPr="00111F07" w:rsidRDefault="00603A87" w:rsidP="003103E0">
      <w:pPr>
        <w:pStyle w:val="SingleTxtG"/>
        <w:numPr>
          <w:ilvl w:val="0"/>
          <w:numId w:val="52"/>
        </w:numPr>
        <w:rPr>
          <w:szCs w:val="24"/>
          <w:lang w:val="fr-FR"/>
        </w:rPr>
      </w:pPr>
      <w:r w:rsidRPr="00111F07">
        <w:rPr>
          <w:lang w:val="fr-FR"/>
        </w:rPr>
        <w:t>d) Aucune nouvelle mesure n</w:t>
      </w:r>
      <w:r w:rsidR="007A3CEB" w:rsidRPr="00111F07">
        <w:rPr>
          <w:lang w:val="fr-FR"/>
        </w:rPr>
        <w:t>’</w:t>
      </w:r>
      <w:r w:rsidRPr="00111F07">
        <w:rPr>
          <w:lang w:val="fr-FR"/>
        </w:rPr>
        <w:t>a été prise à ce stade. La loi sur l</w:t>
      </w:r>
      <w:r w:rsidR="007A3CEB" w:rsidRPr="00111F07">
        <w:rPr>
          <w:lang w:val="fr-FR"/>
        </w:rPr>
        <w:t>’</w:t>
      </w:r>
      <w:r w:rsidRPr="00111F07">
        <w:rPr>
          <w:lang w:val="fr-FR"/>
        </w:rPr>
        <w:t>égalité salariale dispose que tous les employeurs doivent garantir aux femmes et aux hommes un salaire égal pour un travail égal ou de valeur égale, principe qui vaut pour tous les éléments et conditions de rémunération. Les systèmes de classement des emplois servant de base à l</w:t>
      </w:r>
      <w:r w:rsidR="007A3CEB" w:rsidRPr="00111F07">
        <w:rPr>
          <w:lang w:val="fr-FR"/>
        </w:rPr>
        <w:t>’</w:t>
      </w:r>
      <w:r w:rsidRPr="00111F07">
        <w:rPr>
          <w:lang w:val="fr-FR"/>
        </w:rPr>
        <w:t>établissement des rémunérations doivent reposer sur les mêmes critères pour les travailleurs et les travailleuses et doivent exclure toute discrimination fondée sur le sexe.</w:t>
      </w:r>
    </w:p>
    <w:p w14:paraId="204BE589" w14:textId="1AB18AF8" w:rsidR="003103E0" w:rsidRPr="00111F07" w:rsidRDefault="003103E0" w:rsidP="003103E0">
      <w:pPr>
        <w:pStyle w:val="SingleTxtG"/>
        <w:spacing w:after="0" w:line="120" w:lineRule="exact"/>
        <w:ind w:left="1267"/>
        <w:rPr>
          <w:sz w:val="10"/>
          <w:lang w:val="fr-FR"/>
        </w:rPr>
      </w:pPr>
    </w:p>
    <w:p w14:paraId="1F8D1C09" w14:textId="63ED39ED" w:rsidR="00603A87" w:rsidRPr="00111F07" w:rsidRDefault="00603A87" w:rsidP="003103E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1F07">
        <w:rPr>
          <w:lang w:val="fr-FR"/>
        </w:rPr>
        <w:tab/>
      </w:r>
      <w:r w:rsidRPr="00111F07">
        <w:rPr>
          <w:lang w:val="fr-FR"/>
        </w:rPr>
        <w:tab/>
        <w:t>Groenland</w:t>
      </w:r>
    </w:p>
    <w:p w14:paraId="1ED42479" w14:textId="4B87F499" w:rsidR="003103E0" w:rsidRPr="00111F07" w:rsidRDefault="003103E0" w:rsidP="003103E0">
      <w:pPr>
        <w:pStyle w:val="SingleTxt"/>
        <w:spacing w:after="0" w:line="120" w:lineRule="exact"/>
        <w:rPr>
          <w:sz w:val="10"/>
          <w:lang w:val="fr-FR"/>
        </w:rPr>
      </w:pPr>
    </w:p>
    <w:p w14:paraId="03794E8E" w14:textId="64A88E9C" w:rsidR="00603A87" w:rsidRPr="00111F07" w:rsidRDefault="00603A87" w:rsidP="003103E0">
      <w:pPr>
        <w:pStyle w:val="SingleTxtG"/>
        <w:numPr>
          <w:ilvl w:val="0"/>
          <w:numId w:val="54"/>
        </w:numPr>
        <w:rPr>
          <w:szCs w:val="24"/>
          <w:lang w:val="fr-FR"/>
        </w:rPr>
      </w:pPr>
      <w:r w:rsidRPr="00111F07">
        <w:rPr>
          <w:lang w:val="fr-FR"/>
        </w:rPr>
        <w:t>Statistics Greenland établit un registre de base contenant des informations sur les revenus et les impôts de toutes les personnes entièrement imposables au Groenland et le relie au registre de la population et des ménages, qui contient des informations sur la population totale et sa répartition par caractéristiques démographiques, telles que le sexe, le lieu de résidence</w:t>
      </w:r>
      <w:r w:rsidR="008C5043" w:rsidRPr="00DF7ED2">
        <w:rPr>
          <w:lang w:val="fr-FR"/>
        </w:rPr>
        <w:t xml:space="preserve"> et</w:t>
      </w:r>
      <w:r w:rsidR="008C5043" w:rsidRPr="00111F07">
        <w:rPr>
          <w:lang w:val="fr-FR"/>
        </w:rPr>
        <w:t xml:space="preserve"> </w:t>
      </w:r>
      <w:r w:rsidRPr="00111F07">
        <w:rPr>
          <w:lang w:val="fr-FR"/>
        </w:rPr>
        <w:t>le lieu de naissance</w:t>
      </w:r>
      <w:r w:rsidRPr="007978B6">
        <w:rPr>
          <w:lang w:val="fr-FR"/>
        </w:rPr>
        <w:t xml:space="preserve">, afin de créer un registre des revenus </w:t>
      </w:r>
      <w:r w:rsidRPr="00111F07">
        <w:rPr>
          <w:lang w:val="fr-FR"/>
        </w:rPr>
        <w:t>axé sur les personnes, un registre des revenus axé sur les ménages et un registre des revenus axé sur l</w:t>
      </w:r>
      <w:r w:rsidR="007A3CEB" w:rsidRPr="00111F07">
        <w:rPr>
          <w:lang w:val="fr-FR"/>
        </w:rPr>
        <w:t>’</w:t>
      </w:r>
      <w:r w:rsidRPr="00111F07">
        <w:rPr>
          <w:lang w:val="fr-FR"/>
        </w:rPr>
        <w:t>impôt.</w:t>
      </w:r>
    </w:p>
    <w:p w14:paraId="159665B3" w14:textId="45C844FD" w:rsidR="003103E0" w:rsidRPr="00111F07" w:rsidRDefault="003103E0" w:rsidP="003103E0">
      <w:pPr>
        <w:pStyle w:val="SingleTxtG"/>
        <w:spacing w:after="0" w:line="120" w:lineRule="exact"/>
        <w:ind w:left="1267"/>
        <w:rPr>
          <w:sz w:val="10"/>
          <w:lang w:val="fr-FR"/>
        </w:rPr>
      </w:pPr>
    </w:p>
    <w:p w14:paraId="5FC7436C" w14:textId="1F253A74" w:rsidR="00603A87" w:rsidRPr="00111F07" w:rsidRDefault="00603A87" w:rsidP="003103E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1F07">
        <w:rPr>
          <w:lang w:val="fr-FR"/>
        </w:rPr>
        <w:tab/>
      </w:r>
      <w:r w:rsidRPr="00111F07">
        <w:rPr>
          <w:lang w:val="fr-FR"/>
        </w:rPr>
        <w:tab/>
        <w:t>Îles Féroé</w:t>
      </w:r>
    </w:p>
    <w:p w14:paraId="72402E5B" w14:textId="233F5E6F" w:rsidR="003103E0" w:rsidRPr="00111F07" w:rsidRDefault="003103E0" w:rsidP="003103E0">
      <w:pPr>
        <w:pStyle w:val="SingleTxt"/>
        <w:spacing w:after="0" w:line="120" w:lineRule="exact"/>
        <w:rPr>
          <w:sz w:val="10"/>
          <w:lang w:val="fr-FR"/>
        </w:rPr>
      </w:pPr>
    </w:p>
    <w:p w14:paraId="7A727C05" w14:textId="1FFCADEE" w:rsidR="00603A87" w:rsidRPr="00111F07" w:rsidRDefault="00603A87" w:rsidP="003103E0">
      <w:pPr>
        <w:pStyle w:val="SingleTxtG"/>
        <w:numPr>
          <w:ilvl w:val="0"/>
          <w:numId w:val="55"/>
        </w:numPr>
        <w:rPr>
          <w:szCs w:val="24"/>
          <w:lang w:val="fr-FR"/>
        </w:rPr>
      </w:pPr>
      <w:r w:rsidRPr="00111F07">
        <w:rPr>
          <w:lang w:val="fr-FR"/>
        </w:rPr>
        <w:t>Les îles Féroé ne disposent pas à l</w:t>
      </w:r>
      <w:r w:rsidR="007A3CEB" w:rsidRPr="00111F07">
        <w:rPr>
          <w:lang w:val="fr-FR"/>
        </w:rPr>
        <w:t>’</w:t>
      </w:r>
      <w:r w:rsidRPr="00111F07">
        <w:rPr>
          <w:lang w:val="fr-FR"/>
        </w:rPr>
        <w:t>heure actuelle de données statistiques adéquates pouvant apporter plus de précisions sur l</w:t>
      </w:r>
      <w:r w:rsidR="007A3CEB" w:rsidRPr="00111F07">
        <w:rPr>
          <w:lang w:val="fr-FR"/>
        </w:rPr>
        <w:t>’</w:t>
      </w:r>
      <w:r w:rsidRPr="00111F07">
        <w:rPr>
          <w:lang w:val="fr-FR"/>
        </w:rPr>
        <w:t>écart salarial femmes-hommes, autres que celles indiquées dans le rapport. Toutefois, il est prévu de lancer d</w:t>
      </w:r>
      <w:r w:rsidR="007A3CEB" w:rsidRPr="00111F07">
        <w:rPr>
          <w:lang w:val="fr-FR"/>
        </w:rPr>
        <w:t>’</w:t>
      </w:r>
      <w:r w:rsidRPr="00111F07">
        <w:rPr>
          <w:lang w:val="fr-FR"/>
        </w:rPr>
        <w:t>ici la fin 2020 un nouveau programme statistique sur les salaires, qui fournira davantage d</w:t>
      </w:r>
      <w:r w:rsidR="007A3CEB" w:rsidRPr="00111F07">
        <w:rPr>
          <w:lang w:val="fr-FR"/>
        </w:rPr>
        <w:t>’</w:t>
      </w:r>
      <w:r w:rsidRPr="00111F07">
        <w:rPr>
          <w:lang w:val="fr-FR"/>
        </w:rPr>
        <w:t>informations sur les salaires et le salaire horaire, ventilées par sexe, âge, industrie et emplacement géographique. Veuillez consulter l</w:t>
      </w:r>
      <w:r w:rsidR="007A3CEB" w:rsidRPr="00111F07">
        <w:rPr>
          <w:lang w:val="fr-FR"/>
        </w:rPr>
        <w:t>’</w:t>
      </w:r>
      <w:r w:rsidRPr="00111F07">
        <w:rPr>
          <w:lang w:val="fr-FR"/>
        </w:rPr>
        <w:t>annexe pour les données statistiques existantes et la méthodologie appliquée.</w:t>
      </w:r>
    </w:p>
    <w:p w14:paraId="3BA93703" w14:textId="65B046BA" w:rsidR="003103E0" w:rsidRPr="00111F07" w:rsidRDefault="003103E0" w:rsidP="003103E0">
      <w:pPr>
        <w:pStyle w:val="SingleTxtG"/>
        <w:spacing w:after="0" w:line="120" w:lineRule="exact"/>
        <w:ind w:left="1267"/>
        <w:rPr>
          <w:sz w:val="10"/>
          <w:lang w:val="fr-FR"/>
        </w:rPr>
      </w:pPr>
    </w:p>
    <w:p w14:paraId="36964934" w14:textId="3E831E7E" w:rsidR="003103E0" w:rsidRPr="00111F07" w:rsidRDefault="003103E0" w:rsidP="003103E0">
      <w:pPr>
        <w:pStyle w:val="SingleTxtG"/>
        <w:spacing w:after="0" w:line="120" w:lineRule="exact"/>
        <w:ind w:left="1267"/>
        <w:rPr>
          <w:sz w:val="10"/>
          <w:szCs w:val="24"/>
          <w:lang w:val="fr-FR"/>
        </w:rPr>
      </w:pPr>
    </w:p>
    <w:p w14:paraId="150CBA57" w14:textId="76739320" w:rsidR="00603A87" w:rsidRPr="00111F07" w:rsidRDefault="00603A87" w:rsidP="003103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17</w:t>
      </w:r>
    </w:p>
    <w:p w14:paraId="4AE01801" w14:textId="1205AF10" w:rsidR="003103E0" w:rsidRPr="00111F07" w:rsidRDefault="003103E0" w:rsidP="003103E0">
      <w:pPr>
        <w:pStyle w:val="SingleTxt"/>
        <w:spacing w:after="0" w:line="120" w:lineRule="exact"/>
        <w:rPr>
          <w:sz w:val="10"/>
          <w:lang w:val="fr-BE"/>
        </w:rPr>
      </w:pPr>
    </w:p>
    <w:p w14:paraId="7F19C456" w14:textId="1A8E1B0B" w:rsidR="003103E0" w:rsidRPr="00111F07" w:rsidRDefault="003103E0" w:rsidP="003103E0">
      <w:pPr>
        <w:pStyle w:val="SingleTxt"/>
        <w:spacing w:after="0" w:line="120" w:lineRule="exact"/>
        <w:rPr>
          <w:sz w:val="10"/>
          <w:lang w:val="fr-BE"/>
        </w:rPr>
      </w:pPr>
    </w:p>
    <w:p w14:paraId="24554C16" w14:textId="452C8B14" w:rsidR="00603A87" w:rsidRPr="00111F07" w:rsidRDefault="00603A87" w:rsidP="003103E0">
      <w:pPr>
        <w:pStyle w:val="SingleTxt"/>
        <w:numPr>
          <w:ilvl w:val="0"/>
          <w:numId w:val="55"/>
        </w:numPr>
        <w:spacing w:line="240" w:lineRule="exact"/>
        <w:rPr>
          <w:szCs w:val="24"/>
          <w:lang w:val="fr-FR"/>
        </w:rPr>
      </w:pPr>
      <w:r w:rsidRPr="00111F07">
        <w:rPr>
          <w:lang w:val="fr-FR"/>
        </w:rPr>
        <w:t>Si l</w:t>
      </w:r>
      <w:r w:rsidR="007A3CEB" w:rsidRPr="00111F07">
        <w:rPr>
          <w:lang w:val="fr-FR"/>
        </w:rPr>
        <w:t>’</w:t>
      </w:r>
      <w:r w:rsidRPr="00111F07">
        <w:rPr>
          <w:lang w:val="fr-FR"/>
        </w:rPr>
        <w:t>on considère l</w:t>
      </w:r>
      <w:r w:rsidR="007A3CEB" w:rsidRPr="00111F07">
        <w:rPr>
          <w:lang w:val="fr-FR"/>
        </w:rPr>
        <w:t>’</w:t>
      </w:r>
      <w:r w:rsidRPr="00111F07">
        <w:rPr>
          <w:lang w:val="fr-FR"/>
        </w:rPr>
        <w:t>ensemble des sociétés cotées en bourse, la proportion de femmes dans les conseils d</w:t>
      </w:r>
      <w:r w:rsidR="007A3CEB" w:rsidRPr="00111F07">
        <w:rPr>
          <w:lang w:val="fr-FR"/>
        </w:rPr>
        <w:t>’</w:t>
      </w:r>
      <w:r w:rsidRPr="00111F07">
        <w:rPr>
          <w:lang w:val="fr-FR"/>
        </w:rPr>
        <w:t>administration a été portée de 9,6</w:t>
      </w:r>
      <w:r w:rsidR="007A3CEB" w:rsidRPr="00111F07">
        <w:rPr>
          <w:lang w:val="fr-FR"/>
        </w:rPr>
        <w:t> %</w:t>
      </w:r>
      <w:r w:rsidRPr="00111F07">
        <w:rPr>
          <w:lang w:val="fr-FR"/>
        </w:rPr>
        <w:t xml:space="preserve"> en 2012 à </w:t>
      </w:r>
      <w:r w:rsidR="007C2EB5" w:rsidRPr="00111F07">
        <w:rPr>
          <w:lang w:val="fr-FR"/>
        </w:rPr>
        <w:t>17,4</w:t>
      </w:r>
      <w:r w:rsidR="007A3CEB" w:rsidRPr="00111F07">
        <w:rPr>
          <w:lang w:val="fr-FR"/>
        </w:rPr>
        <w:t> %</w:t>
      </w:r>
      <w:r w:rsidRPr="00111F07">
        <w:rPr>
          <w:lang w:val="fr-FR"/>
        </w:rPr>
        <w:t xml:space="preserve"> en 201</w:t>
      </w:r>
      <w:r w:rsidR="007C2EB5" w:rsidRPr="00DF7ED2">
        <w:rPr>
          <w:lang w:val="fr-FR"/>
        </w:rPr>
        <w:t>9</w:t>
      </w:r>
      <w:r w:rsidRPr="00111F07">
        <w:rPr>
          <w:lang w:val="fr-FR"/>
        </w:rPr>
        <w:t>. Ces chiffres ne tiennent pas compte des membres des conseils d</w:t>
      </w:r>
      <w:r w:rsidR="007A3CEB" w:rsidRPr="00111F07">
        <w:rPr>
          <w:lang w:val="fr-FR"/>
        </w:rPr>
        <w:t>’</w:t>
      </w:r>
      <w:r w:rsidRPr="00111F07">
        <w:rPr>
          <w:lang w:val="fr-FR"/>
        </w:rPr>
        <w:t>administration élus comme représentants du personnel.</w:t>
      </w:r>
    </w:p>
    <w:p w14:paraId="7754AF79" w14:textId="3C64025D" w:rsidR="00603A87" w:rsidRPr="00111F07" w:rsidRDefault="00603A87" w:rsidP="003103E0">
      <w:pPr>
        <w:pStyle w:val="SingleTxt"/>
        <w:numPr>
          <w:ilvl w:val="0"/>
          <w:numId w:val="55"/>
        </w:numPr>
        <w:spacing w:line="240" w:lineRule="exact"/>
        <w:rPr>
          <w:szCs w:val="24"/>
          <w:lang w:val="fr-FR"/>
        </w:rPr>
      </w:pPr>
      <w:r w:rsidRPr="00111F07">
        <w:rPr>
          <w:lang w:val="fr-FR"/>
        </w:rPr>
        <w:t>Dans toutes les entreprises visées par la loi sur la représentation des femmes dans les conseils d</w:t>
      </w:r>
      <w:r w:rsidR="007A3CEB" w:rsidRPr="00111F07">
        <w:rPr>
          <w:lang w:val="fr-FR"/>
        </w:rPr>
        <w:t>’</w:t>
      </w:r>
      <w:r w:rsidRPr="00111F07">
        <w:rPr>
          <w:lang w:val="fr-FR"/>
        </w:rPr>
        <w:t>administration et aux postes de direction (environ 2 100 entreprises en 2019), la proportion de femmes dans les conseils d</w:t>
      </w:r>
      <w:r w:rsidR="007A3CEB" w:rsidRPr="00111F07">
        <w:rPr>
          <w:lang w:val="fr-FR"/>
        </w:rPr>
        <w:t>’</w:t>
      </w:r>
      <w:r w:rsidRPr="00111F07">
        <w:rPr>
          <w:lang w:val="fr-FR"/>
        </w:rPr>
        <w:t>administration des entreprises est passée de 15,8</w:t>
      </w:r>
      <w:r w:rsidR="007A3CEB" w:rsidRPr="00111F07">
        <w:rPr>
          <w:lang w:val="fr-FR"/>
        </w:rPr>
        <w:t> %</w:t>
      </w:r>
      <w:r w:rsidRPr="00111F07">
        <w:rPr>
          <w:lang w:val="fr-FR"/>
        </w:rPr>
        <w:t xml:space="preserve"> en 2016 à 17,9</w:t>
      </w:r>
      <w:r w:rsidR="007A3CEB" w:rsidRPr="00111F07">
        <w:rPr>
          <w:lang w:val="fr-FR"/>
        </w:rPr>
        <w:t> %</w:t>
      </w:r>
      <w:r w:rsidRPr="00111F07">
        <w:rPr>
          <w:lang w:val="fr-FR"/>
        </w:rPr>
        <w:t xml:space="preserve"> en 2019. Ces chiffres ne tiennent pas compte des membres des conseils d</w:t>
      </w:r>
      <w:r w:rsidR="007A3CEB" w:rsidRPr="00111F07">
        <w:rPr>
          <w:lang w:val="fr-FR"/>
        </w:rPr>
        <w:t>’</w:t>
      </w:r>
      <w:r w:rsidRPr="00111F07">
        <w:rPr>
          <w:lang w:val="fr-FR"/>
        </w:rPr>
        <w:t>administration élus comme représentants du personnel.</w:t>
      </w:r>
    </w:p>
    <w:p w14:paraId="06DC99BD" w14:textId="2C05DF2D" w:rsidR="00603A87" w:rsidRPr="00111F07" w:rsidRDefault="00603A87" w:rsidP="003103E0">
      <w:pPr>
        <w:pStyle w:val="SingleTxt"/>
        <w:numPr>
          <w:ilvl w:val="0"/>
          <w:numId w:val="55"/>
        </w:numPr>
        <w:spacing w:line="240" w:lineRule="exact"/>
        <w:rPr>
          <w:szCs w:val="24"/>
          <w:lang w:val="fr-FR"/>
        </w:rPr>
      </w:pPr>
      <w:r w:rsidRPr="00111F07">
        <w:rPr>
          <w:lang w:val="fr-FR"/>
        </w:rPr>
        <w:t>Statistics Denmark enregistre le nombre de femmes dans les conseils d</w:t>
      </w:r>
      <w:r w:rsidR="007A3CEB" w:rsidRPr="00111F07">
        <w:rPr>
          <w:lang w:val="fr-FR"/>
        </w:rPr>
        <w:t>’</w:t>
      </w:r>
      <w:r w:rsidRPr="00111F07">
        <w:rPr>
          <w:lang w:val="fr-FR"/>
        </w:rPr>
        <w:t>administration et la haute direction de toutes les sociétés anonymes et à responsabilité limitée. En 2018, 15,2</w:t>
      </w:r>
      <w:r w:rsidR="007A3CEB" w:rsidRPr="00111F07">
        <w:rPr>
          <w:lang w:val="fr-FR"/>
        </w:rPr>
        <w:t> %</w:t>
      </w:r>
      <w:r w:rsidRPr="00111F07">
        <w:rPr>
          <w:lang w:val="fr-FR"/>
        </w:rPr>
        <w:t xml:space="preserve"> des cadres de toutes les entreprises cotées en bourse étaient des femmes.</w:t>
      </w:r>
    </w:p>
    <w:p w14:paraId="5802A6F9" w14:textId="58E05448" w:rsidR="00603A87" w:rsidRPr="00111F07" w:rsidRDefault="00603A87" w:rsidP="003103E0">
      <w:pPr>
        <w:pStyle w:val="SingleTxt"/>
        <w:numPr>
          <w:ilvl w:val="0"/>
          <w:numId w:val="55"/>
        </w:numPr>
        <w:spacing w:line="240" w:lineRule="exact"/>
        <w:rPr>
          <w:szCs w:val="24"/>
          <w:lang w:val="fr-FR"/>
        </w:rPr>
      </w:pPr>
      <w:r w:rsidRPr="00111F07">
        <w:rPr>
          <w:lang w:val="fr-FR"/>
        </w:rPr>
        <w:t>En 2015, la Danish Business Authority (DBA) a demandé à quatre entreprises de lui fournir des informations en lien avec le respect de l</w:t>
      </w:r>
      <w:r w:rsidR="007A3CEB" w:rsidRPr="00111F07">
        <w:rPr>
          <w:lang w:val="fr-FR"/>
        </w:rPr>
        <w:t>’</w:t>
      </w:r>
      <w:r w:rsidRPr="00111F07">
        <w:rPr>
          <w:lang w:val="fr-FR"/>
        </w:rPr>
        <w:t>article 99b de la loi danoise sur les états financiers (FSA). En 2017, la DBA a adressé des demandes similaires à quelque 70</w:t>
      </w:r>
      <w:r w:rsidR="007C2EB5" w:rsidRPr="00111F07">
        <w:rPr>
          <w:lang w:val="fr-FR"/>
        </w:rPr>
        <w:t xml:space="preserve"> </w:t>
      </w:r>
      <w:r w:rsidRPr="00111F07">
        <w:rPr>
          <w:lang w:val="fr-FR"/>
        </w:rPr>
        <w:t>entreprises aux fins de leur plein respect des dispositions pertinentes de l</w:t>
      </w:r>
      <w:r w:rsidR="007A3CEB" w:rsidRPr="00111F07">
        <w:rPr>
          <w:lang w:val="fr-FR"/>
        </w:rPr>
        <w:t>’</w:t>
      </w:r>
      <w:r w:rsidRPr="00111F07">
        <w:rPr>
          <w:lang w:val="fr-FR"/>
        </w:rPr>
        <w:t>article 99b de la FSA. La DBA a assuré le suivi de ces demandes en 2018 et 2019 pour vérifier que les entreprises respectaient pleinement la loi. Aucune amende administrative n</w:t>
      </w:r>
      <w:r w:rsidR="007A3CEB" w:rsidRPr="00111F07">
        <w:rPr>
          <w:lang w:val="fr-FR"/>
        </w:rPr>
        <w:t>’</w:t>
      </w:r>
      <w:r w:rsidRPr="00111F07">
        <w:rPr>
          <w:lang w:val="fr-FR"/>
        </w:rPr>
        <w:t>a été infligée aux entreprises pour non-respect de l</w:t>
      </w:r>
      <w:r w:rsidR="007A3CEB" w:rsidRPr="00111F07">
        <w:rPr>
          <w:lang w:val="fr-FR"/>
        </w:rPr>
        <w:t>’</w:t>
      </w:r>
      <w:r w:rsidRPr="00111F07">
        <w:rPr>
          <w:lang w:val="fr-FR"/>
        </w:rPr>
        <w:t>article 99b.</w:t>
      </w:r>
    </w:p>
    <w:p w14:paraId="78CC8AF3" w14:textId="7CA5EF10" w:rsidR="00603A87" w:rsidRPr="00111F07" w:rsidRDefault="00603A87" w:rsidP="003103E0">
      <w:pPr>
        <w:pStyle w:val="SingleTxt"/>
        <w:numPr>
          <w:ilvl w:val="0"/>
          <w:numId w:val="55"/>
        </w:numPr>
        <w:spacing w:line="240" w:lineRule="exact"/>
        <w:rPr>
          <w:szCs w:val="24"/>
          <w:lang w:val="fr-FR"/>
        </w:rPr>
      </w:pPr>
      <w:r w:rsidRPr="00111F07">
        <w:rPr>
          <w:lang w:val="fr-FR"/>
        </w:rPr>
        <w:lastRenderedPageBreak/>
        <w:t>Afin d</w:t>
      </w:r>
      <w:r w:rsidR="007A3CEB" w:rsidRPr="00111F07">
        <w:rPr>
          <w:lang w:val="fr-FR"/>
        </w:rPr>
        <w:t>’</w:t>
      </w:r>
      <w:r w:rsidRPr="00111F07">
        <w:rPr>
          <w:lang w:val="fr-FR"/>
        </w:rPr>
        <w:t>accélérer la progression de la proportion des femmes aux postes de direction et dans les conseils d</w:t>
      </w:r>
      <w:r w:rsidR="007A3CEB" w:rsidRPr="00111F07">
        <w:rPr>
          <w:lang w:val="fr-FR"/>
        </w:rPr>
        <w:t>’</w:t>
      </w:r>
      <w:r w:rsidRPr="00111F07">
        <w:rPr>
          <w:lang w:val="fr-FR"/>
        </w:rPr>
        <w:t>administration, le Gouvernement a élaboré des documents ayant vocation à mobiliser les esprits, dans lesquels sont présentées des pratiques exemplaires relatives à la promotion d</w:t>
      </w:r>
      <w:r w:rsidR="007A3CEB" w:rsidRPr="00111F07">
        <w:rPr>
          <w:lang w:val="fr-FR"/>
        </w:rPr>
        <w:t>’</w:t>
      </w:r>
      <w:r w:rsidRPr="00111F07">
        <w:rPr>
          <w:lang w:val="fr-FR"/>
        </w:rPr>
        <w:t>une participation équilibrée des femmes et des hommes aux postes de direction, et a coopéré avec le secteur du recrutement sur un code de conduite visant la promotion d</w:t>
      </w:r>
      <w:r w:rsidR="007A3CEB" w:rsidRPr="00111F07">
        <w:rPr>
          <w:lang w:val="fr-FR"/>
        </w:rPr>
        <w:t>’</w:t>
      </w:r>
      <w:r w:rsidRPr="00111F07">
        <w:rPr>
          <w:lang w:val="fr-FR"/>
        </w:rPr>
        <w:t>une représentation équilibrée des femmes et des hommes dans la haute direction et les conseils d</w:t>
      </w:r>
      <w:r w:rsidR="007A3CEB" w:rsidRPr="00111F07">
        <w:rPr>
          <w:lang w:val="fr-FR"/>
        </w:rPr>
        <w:t>’</w:t>
      </w:r>
      <w:r w:rsidRPr="00111F07">
        <w:rPr>
          <w:lang w:val="fr-FR"/>
        </w:rPr>
        <w:t>administration. La Copenhagen Business School suit l</w:t>
      </w:r>
      <w:r w:rsidR="007A3CEB" w:rsidRPr="00111F07">
        <w:rPr>
          <w:lang w:val="fr-FR"/>
        </w:rPr>
        <w:t>’</w:t>
      </w:r>
      <w:r w:rsidRPr="00111F07">
        <w:rPr>
          <w:lang w:val="fr-FR"/>
        </w:rPr>
        <w:t>évolution de la situation dans les entreprises qui ont signé ce code de conduite.</w:t>
      </w:r>
    </w:p>
    <w:p w14:paraId="59FB8D14" w14:textId="14D03474" w:rsidR="00603A87" w:rsidRPr="00111F07" w:rsidRDefault="00603A87" w:rsidP="003103E0">
      <w:pPr>
        <w:pStyle w:val="SingleTxt"/>
        <w:numPr>
          <w:ilvl w:val="0"/>
          <w:numId w:val="55"/>
        </w:numPr>
        <w:spacing w:line="240" w:lineRule="exact"/>
        <w:rPr>
          <w:szCs w:val="24"/>
          <w:lang w:val="fr-FR"/>
        </w:rPr>
      </w:pPr>
      <w:r w:rsidRPr="00111F07">
        <w:rPr>
          <w:lang w:val="fr-FR"/>
        </w:rPr>
        <w:t>En 2018, l</w:t>
      </w:r>
      <w:r w:rsidR="007A3CEB" w:rsidRPr="00111F07">
        <w:rPr>
          <w:lang w:val="fr-FR"/>
        </w:rPr>
        <w:t>’</w:t>
      </w:r>
      <w:r w:rsidRPr="00111F07">
        <w:rPr>
          <w:lang w:val="fr-FR"/>
        </w:rPr>
        <w:t>ancien Gouvernement a publié un catalogue d</w:t>
      </w:r>
      <w:r w:rsidR="007A3CEB" w:rsidRPr="00111F07">
        <w:rPr>
          <w:lang w:val="fr-FR"/>
        </w:rPr>
        <w:t>’</w:t>
      </w:r>
      <w:r w:rsidRPr="00111F07">
        <w:rPr>
          <w:lang w:val="fr-FR"/>
        </w:rPr>
        <w:t>exemples pouvant servir d</w:t>
      </w:r>
      <w:r w:rsidR="007A3CEB" w:rsidRPr="00111F07">
        <w:rPr>
          <w:lang w:val="fr-FR"/>
        </w:rPr>
        <w:t>’</w:t>
      </w:r>
      <w:r w:rsidRPr="00111F07">
        <w:rPr>
          <w:lang w:val="fr-FR"/>
        </w:rPr>
        <w:t>inspiration, dans lequel des administrateurs et présidents de sociétés ont présenté leurs idées sur la façon dont les entreprises et les institutions danoises pourraient accroître la représentation des femmes dans les conseils d</w:t>
      </w:r>
      <w:r w:rsidR="007A3CEB" w:rsidRPr="00111F07">
        <w:rPr>
          <w:lang w:val="fr-FR"/>
        </w:rPr>
        <w:t>’</w:t>
      </w:r>
      <w:r w:rsidRPr="00111F07">
        <w:rPr>
          <w:lang w:val="fr-FR"/>
        </w:rPr>
        <w:t>administration et aux postes de direction.</w:t>
      </w:r>
    </w:p>
    <w:p w14:paraId="22601B66" w14:textId="7F002969" w:rsidR="00603A87" w:rsidRPr="00111F07" w:rsidRDefault="00603A87" w:rsidP="003103E0">
      <w:pPr>
        <w:pStyle w:val="SingleTxt"/>
        <w:numPr>
          <w:ilvl w:val="0"/>
          <w:numId w:val="55"/>
        </w:numPr>
        <w:spacing w:line="240" w:lineRule="exact"/>
        <w:rPr>
          <w:b/>
          <w:lang w:val="fr-FR"/>
        </w:rPr>
      </w:pPr>
      <w:r w:rsidRPr="00111F07">
        <w:rPr>
          <w:lang w:val="fr-FR"/>
        </w:rPr>
        <w:t>En 2019, le Gouvernement a lancé un projet visant une communication plus structurée de l</w:t>
      </w:r>
      <w:r w:rsidR="007A3CEB" w:rsidRPr="00111F07">
        <w:rPr>
          <w:lang w:val="fr-FR"/>
        </w:rPr>
        <w:t>’</w:t>
      </w:r>
      <w:r w:rsidRPr="00111F07">
        <w:rPr>
          <w:lang w:val="fr-FR"/>
        </w:rPr>
        <w:t>information non financière afin d</w:t>
      </w:r>
      <w:r w:rsidR="007A3CEB" w:rsidRPr="00111F07">
        <w:rPr>
          <w:lang w:val="fr-FR"/>
        </w:rPr>
        <w:t>’</w:t>
      </w:r>
      <w:r w:rsidRPr="00111F07">
        <w:rPr>
          <w:lang w:val="fr-FR"/>
        </w:rPr>
        <w:t>améliorer l</w:t>
      </w:r>
      <w:r w:rsidR="007A3CEB" w:rsidRPr="00111F07">
        <w:rPr>
          <w:lang w:val="fr-FR"/>
        </w:rPr>
        <w:t>’</w:t>
      </w:r>
      <w:r w:rsidRPr="00111F07">
        <w:rPr>
          <w:lang w:val="fr-FR"/>
        </w:rPr>
        <w:t>utilité des rapports. En exigeant des données structurées sur la diversité de genre dans les conseils d</w:t>
      </w:r>
      <w:r w:rsidR="007A3CEB" w:rsidRPr="00111F07">
        <w:rPr>
          <w:lang w:val="fr-FR"/>
        </w:rPr>
        <w:t>’</w:t>
      </w:r>
      <w:r w:rsidRPr="00111F07">
        <w:rPr>
          <w:lang w:val="fr-FR"/>
        </w:rPr>
        <w:t>administration, il sera possible d</w:t>
      </w:r>
      <w:r w:rsidR="007A3CEB" w:rsidRPr="00111F07">
        <w:rPr>
          <w:lang w:val="fr-FR"/>
        </w:rPr>
        <w:t>’</w:t>
      </w:r>
      <w:r w:rsidRPr="00111F07">
        <w:rPr>
          <w:lang w:val="fr-FR"/>
        </w:rPr>
        <w:t>améliorer la transparence tant du point de vue des objectifs fixés que de celui de la proportion des femmes qui y sont représentées. Cela servira de base pour évaluer les progrès réalisés par l</w:t>
      </w:r>
      <w:r w:rsidR="007A3CEB" w:rsidRPr="00111F07">
        <w:rPr>
          <w:lang w:val="fr-FR"/>
        </w:rPr>
        <w:t>’</w:t>
      </w:r>
      <w:r w:rsidRPr="00111F07">
        <w:rPr>
          <w:lang w:val="fr-FR"/>
        </w:rPr>
        <w:t>entreprise et permettra d</w:t>
      </w:r>
      <w:r w:rsidR="007A3CEB" w:rsidRPr="00111F07">
        <w:rPr>
          <w:lang w:val="fr-FR"/>
        </w:rPr>
        <w:t>’</w:t>
      </w:r>
      <w:r w:rsidRPr="00111F07">
        <w:rPr>
          <w:lang w:val="fr-FR"/>
        </w:rPr>
        <w:t>effectuer une comparaison des entreprises. Cela servira également de base à la publication de ces informations.</w:t>
      </w:r>
    </w:p>
    <w:p w14:paraId="4441A64B" w14:textId="25955C8C" w:rsidR="003103E0" w:rsidRPr="00111F07" w:rsidRDefault="003103E0" w:rsidP="003103E0">
      <w:pPr>
        <w:pStyle w:val="SingleTxt"/>
        <w:spacing w:after="0" w:line="120" w:lineRule="exact"/>
        <w:rPr>
          <w:sz w:val="10"/>
          <w:lang w:val="fr-FR"/>
        </w:rPr>
      </w:pPr>
    </w:p>
    <w:p w14:paraId="5C07D771" w14:textId="4DBE523F" w:rsidR="00603A87" w:rsidRPr="00111F07" w:rsidRDefault="00603A87" w:rsidP="003103E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1F07">
        <w:rPr>
          <w:lang w:val="fr-FR"/>
        </w:rPr>
        <w:tab/>
      </w:r>
      <w:r w:rsidRPr="00111F07">
        <w:rPr>
          <w:lang w:val="fr-FR"/>
        </w:rPr>
        <w:tab/>
        <w:t>Groenland</w:t>
      </w:r>
    </w:p>
    <w:p w14:paraId="196616FA" w14:textId="459C5964" w:rsidR="003103E0" w:rsidRPr="00111F07" w:rsidRDefault="003103E0" w:rsidP="003103E0">
      <w:pPr>
        <w:pStyle w:val="SingleTxt"/>
        <w:spacing w:after="0" w:line="120" w:lineRule="exact"/>
        <w:rPr>
          <w:sz w:val="10"/>
          <w:lang w:val="fr-FR"/>
        </w:rPr>
      </w:pPr>
    </w:p>
    <w:p w14:paraId="33E0FD84" w14:textId="310E3C14" w:rsidR="00603A87" w:rsidRPr="00DF7ED2" w:rsidRDefault="00603A87" w:rsidP="00DF7ED2">
      <w:pPr>
        <w:pStyle w:val="SingleTxt"/>
        <w:numPr>
          <w:ilvl w:val="0"/>
          <w:numId w:val="55"/>
        </w:numPr>
        <w:spacing w:line="240" w:lineRule="exact"/>
        <w:rPr>
          <w:szCs w:val="24"/>
          <w:lang w:val="fr-FR"/>
        </w:rPr>
      </w:pPr>
      <w:r w:rsidRPr="00DF7ED2">
        <w:rPr>
          <w:lang w:val="fr-FR"/>
        </w:rPr>
        <w:t>La parité est assurée dans les conseils d</w:t>
      </w:r>
      <w:r w:rsidR="007A3CEB" w:rsidRPr="00DF7ED2">
        <w:rPr>
          <w:lang w:val="fr-FR"/>
        </w:rPr>
        <w:t>’</w:t>
      </w:r>
      <w:r w:rsidRPr="00DF7ED2">
        <w:rPr>
          <w:lang w:val="fr-FR"/>
        </w:rPr>
        <w:t>administration de toutes les entreprises publiques</w:t>
      </w:r>
      <w:r w:rsidR="007A3CEB" w:rsidRPr="00DF7ED2">
        <w:rPr>
          <w:lang w:val="fr-FR"/>
        </w:rPr>
        <w:t> :</w:t>
      </w:r>
      <w:r w:rsidRPr="00DF7ED2">
        <w:rPr>
          <w:lang w:val="fr-FR"/>
        </w:rPr>
        <w:t xml:space="preserve"> la moitié des membres sont des femmes et l</w:t>
      </w:r>
      <w:r w:rsidR="007A3CEB" w:rsidRPr="00DF7ED2">
        <w:rPr>
          <w:lang w:val="fr-FR"/>
        </w:rPr>
        <w:t>’</w:t>
      </w:r>
      <w:r w:rsidRPr="00DF7ED2">
        <w:rPr>
          <w:lang w:val="fr-FR"/>
        </w:rPr>
        <w:t>autre moitié des hommes, comme prévu par la loi parlementaire n</w:t>
      </w:r>
      <w:r w:rsidR="007C2EB5" w:rsidRPr="00DF7ED2">
        <w:rPr>
          <w:vertAlign w:val="superscript"/>
          <w:lang w:val="fr-FR"/>
        </w:rPr>
        <w:t>o</w:t>
      </w:r>
      <w:r w:rsidR="007C2EB5" w:rsidRPr="00111F07">
        <w:rPr>
          <w:lang w:val="fr-FR"/>
        </w:rPr>
        <w:t> </w:t>
      </w:r>
      <w:r w:rsidRPr="00111F07">
        <w:rPr>
          <w:lang w:val="fr-FR"/>
        </w:rPr>
        <w:t>3 du 29 novembre 2013 sur l</w:t>
      </w:r>
      <w:r w:rsidR="007A3CEB" w:rsidRPr="001C3EFA">
        <w:rPr>
          <w:lang w:val="fr-FR"/>
        </w:rPr>
        <w:t>’</w:t>
      </w:r>
      <w:r w:rsidRPr="007978B6">
        <w:rPr>
          <w:lang w:val="fr-FR"/>
        </w:rPr>
        <w:t>égalité entre les hommes et les femmes. La législation n</w:t>
      </w:r>
      <w:r w:rsidR="007A3CEB" w:rsidRPr="00DF7ED2">
        <w:rPr>
          <w:lang w:val="fr-FR"/>
        </w:rPr>
        <w:t>’</w:t>
      </w:r>
      <w:r w:rsidRPr="00DF7ED2">
        <w:rPr>
          <w:lang w:val="fr-FR"/>
        </w:rPr>
        <w:t>a pas été modifiée au cours des dernières années.</w:t>
      </w:r>
    </w:p>
    <w:p w14:paraId="66ADEE3D" w14:textId="399999EA" w:rsidR="003103E0" w:rsidRPr="00111F07" w:rsidRDefault="003103E0" w:rsidP="003103E0">
      <w:pPr>
        <w:pStyle w:val="SingleTxtG"/>
        <w:spacing w:after="0" w:line="120" w:lineRule="exact"/>
        <w:ind w:left="1267"/>
        <w:rPr>
          <w:sz w:val="10"/>
          <w:lang w:val="fr-FR"/>
        </w:rPr>
      </w:pPr>
    </w:p>
    <w:p w14:paraId="54B2743B" w14:textId="5D21ED8C" w:rsidR="003103E0" w:rsidRPr="00111F07" w:rsidRDefault="003103E0" w:rsidP="003103E0">
      <w:pPr>
        <w:pStyle w:val="SingleTxtG"/>
        <w:spacing w:after="0" w:line="120" w:lineRule="exact"/>
        <w:ind w:left="1267"/>
        <w:rPr>
          <w:sz w:val="10"/>
          <w:szCs w:val="24"/>
          <w:lang w:val="fr-FR"/>
        </w:rPr>
      </w:pPr>
    </w:p>
    <w:p w14:paraId="596A8745" w14:textId="3BA6499E" w:rsidR="00603A87" w:rsidRPr="00111F07" w:rsidRDefault="00603A87" w:rsidP="003103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t>Réponse au paragraphe 18</w:t>
      </w:r>
    </w:p>
    <w:p w14:paraId="7562F5FB" w14:textId="7083983D" w:rsidR="003103E0" w:rsidRPr="00111F07" w:rsidRDefault="003103E0" w:rsidP="003103E0">
      <w:pPr>
        <w:pStyle w:val="SingleTxt"/>
        <w:spacing w:after="0" w:line="120" w:lineRule="exact"/>
        <w:rPr>
          <w:sz w:val="10"/>
          <w:lang w:val="fr-FR"/>
        </w:rPr>
      </w:pPr>
    </w:p>
    <w:p w14:paraId="03745852" w14:textId="216CF485" w:rsidR="003103E0" w:rsidRPr="00111F07" w:rsidRDefault="003103E0" w:rsidP="003103E0">
      <w:pPr>
        <w:pStyle w:val="SingleTxt"/>
        <w:spacing w:after="0" w:line="120" w:lineRule="exact"/>
        <w:rPr>
          <w:sz w:val="10"/>
          <w:lang w:val="fr-FR"/>
        </w:rPr>
      </w:pPr>
    </w:p>
    <w:p w14:paraId="66D4457F" w14:textId="0A2390A7" w:rsidR="00603A87" w:rsidRPr="00DF7ED2" w:rsidRDefault="00603A87" w:rsidP="00DF7ED2">
      <w:pPr>
        <w:pStyle w:val="SingleTxt"/>
        <w:numPr>
          <w:ilvl w:val="0"/>
          <w:numId w:val="55"/>
        </w:numPr>
        <w:spacing w:line="240" w:lineRule="exact"/>
        <w:rPr>
          <w:szCs w:val="24"/>
          <w:lang w:val="fr-FR"/>
        </w:rPr>
      </w:pPr>
      <w:r w:rsidRPr="00DF7ED2">
        <w:rPr>
          <w:lang w:val="fr-FR"/>
        </w:rPr>
        <w:t>a) Le Gouvernement danois étudie actuellement la meilleure façon de mettre en œuvre la nouvelle directive européenne concernant l</w:t>
      </w:r>
      <w:r w:rsidR="007A3CEB" w:rsidRPr="00DF7ED2">
        <w:rPr>
          <w:lang w:val="fr-FR"/>
        </w:rPr>
        <w:t>’</w:t>
      </w:r>
      <w:r w:rsidRPr="00DF7ED2">
        <w:rPr>
          <w:lang w:val="fr-FR"/>
        </w:rPr>
        <w:t>équilibre entre vie professionnelle et vie privée des parents et des aidants (directive</w:t>
      </w:r>
      <w:r w:rsidR="007C2EB5" w:rsidRPr="00DF7ED2">
        <w:rPr>
          <w:lang w:val="fr-FR"/>
        </w:rPr>
        <w:t xml:space="preserve"> </w:t>
      </w:r>
      <w:r w:rsidRPr="00DF7ED2">
        <w:rPr>
          <w:lang w:val="fr-FR"/>
        </w:rPr>
        <w:t>1158/2019). La directive donne aux travailleurs un droit individuel à un congé parental de quatre mois, dont deux doivent être rémunérés et sont non transférables. La directive donne également aux travailleurs le droit à un congé d</w:t>
      </w:r>
      <w:r w:rsidR="007A3CEB" w:rsidRPr="00DF7ED2">
        <w:rPr>
          <w:lang w:val="fr-FR"/>
        </w:rPr>
        <w:t>’</w:t>
      </w:r>
      <w:r w:rsidRPr="00DF7ED2">
        <w:rPr>
          <w:lang w:val="fr-FR"/>
        </w:rPr>
        <w:t>aidant de cinq jours ouvrables par an, sous réserve de présentation d</w:t>
      </w:r>
      <w:r w:rsidR="007A3CEB" w:rsidRPr="00DF7ED2">
        <w:rPr>
          <w:lang w:val="fr-FR"/>
        </w:rPr>
        <w:t>’</w:t>
      </w:r>
      <w:r w:rsidRPr="00DF7ED2">
        <w:rPr>
          <w:lang w:val="fr-FR"/>
        </w:rPr>
        <w:t>une justification appropriée, conformément à la législation ou à la pratique nationale. En outre, les États membres de l</w:t>
      </w:r>
      <w:r w:rsidR="007A3CEB" w:rsidRPr="00DF7ED2">
        <w:rPr>
          <w:lang w:val="fr-FR"/>
        </w:rPr>
        <w:t>’</w:t>
      </w:r>
      <w:r w:rsidRPr="00DF7ED2">
        <w:rPr>
          <w:lang w:val="fr-FR"/>
        </w:rPr>
        <w:t>Union européenne prennent toutes les mesures nécessaires pour que les travailleurs dont les enfants ont jusqu</w:t>
      </w:r>
      <w:r w:rsidR="007A3CEB" w:rsidRPr="00DF7ED2">
        <w:rPr>
          <w:lang w:val="fr-FR"/>
        </w:rPr>
        <w:t>’</w:t>
      </w:r>
      <w:r w:rsidRPr="00DF7ED2">
        <w:rPr>
          <w:lang w:val="fr-FR"/>
        </w:rPr>
        <w:t>à un âge défini, qui ne peut être inférieur à huit ans, ainsi que les aidants, aient le droit de demander des formules souples de travail dans le but de s</w:t>
      </w:r>
      <w:r w:rsidR="007A3CEB" w:rsidRPr="00DF7ED2">
        <w:rPr>
          <w:lang w:val="fr-FR"/>
        </w:rPr>
        <w:t>’</w:t>
      </w:r>
      <w:r w:rsidRPr="00DF7ED2">
        <w:rPr>
          <w:lang w:val="fr-FR"/>
        </w:rPr>
        <w:t>occuper de membres de leur famille.</w:t>
      </w:r>
    </w:p>
    <w:p w14:paraId="787AF465" w14:textId="117111CA" w:rsidR="00603A87" w:rsidRPr="00111F07" w:rsidRDefault="00603A87" w:rsidP="007C2EB5">
      <w:pPr>
        <w:pStyle w:val="SingleTxt"/>
        <w:numPr>
          <w:ilvl w:val="0"/>
          <w:numId w:val="55"/>
        </w:numPr>
        <w:spacing w:line="240" w:lineRule="exact"/>
        <w:rPr>
          <w:szCs w:val="24"/>
          <w:lang w:val="fr-FR"/>
        </w:rPr>
      </w:pPr>
      <w:r w:rsidRPr="00111F07">
        <w:rPr>
          <w:lang w:val="fr-FR"/>
        </w:rPr>
        <w:t>Le délai de mise en œuvre de la directive est fixé au 2</w:t>
      </w:r>
      <w:r w:rsidR="007C2EB5" w:rsidRPr="00111F07">
        <w:rPr>
          <w:lang w:val="fr-FR"/>
        </w:rPr>
        <w:t xml:space="preserve"> </w:t>
      </w:r>
      <w:r w:rsidRPr="00111F07">
        <w:rPr>
          <w:lang w:val="fr-FR"/>
        </w:rPr>
        <w:t>août 2022.</w:t>
      </w:r>
    </w:p>
    <w:p w14:paraId="1FFED00A" w14:textId="65D8C1C8" w:rsidR="00603A87" w:rsidRPr="00111F07" w:rsidRDefault="00603A87" w:rsidP="007C2EB5">
      <w:pPr>
        <w:pStyle w:val="SingleTxt"/>
        <w:numPr>
          <w:ilvl w:val="0"/>
          <w:numId w:val="55"/>
        </w:numPr>
        <w:spacing w:line="240" w:lineRule="exact"/>
        <w:rPr>
          <w:szCs w:val="24"/>
          <w:lang w:val="fr-FR"/>
        </w:rPr>
      </w:pPr>
      <w:r w:rsidRPr="00111F07">
        <w:rPr>
          <w:lang w:val="fr-FR"/>
        </w:rPr>
        <w:t>Le Gouvernement envisage actuellement d</w:t>
      </w:r>
      <w:r w:rsidR="007A3CEB" w:rsidRPr="00111F07">
        <w:rPr>
          <w:lang w:val="fr-FR"/>
        </w:rPr>
        <w:t>’</w:t>
      </w:r>
      <w:r w:rsidRPr="00111F07">
        <w:rPr>
          <w:lang w:val="fr-FR"/>
        </w:rPr>
        <w:t>autres modifications de la législation existante sur les congés de maternité et de paternité et le congé parental afin de permettre un partage plus équitable des congés au sein de la famille.</w:t>
      </w:r>
    </w:p>
    <w:p w14:paraId="478F0A8B" w14:textId="55945E1F" w:rsidR="003103E0" w:rsidRPr="00111F07" w:rsidRDefault="003103E0" w:rsidP="003103E0">
      <w:pPr>
        <w:pStyle w:val="SingleTxtG"/>
        <w:spacing w:after="0" w:line="120" w:lineRule="exact"/>
        <w:ind w:left="1267"/>
        <w:rPr>
          <w:sz w:val="10"/>
          <w:lang w:val="fr-FR"/>
        </w:rPr>
      </w:pPr>
    </w:p>
    <w:p w14:paraId="0D7FC12A" w14:textId="0A974173" w:rsidR="00603A87" w:rsidRPr="00111F07" w:rsidRDefault="00603A87" w:rsidP="00DF7ED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1F07">
        <w:rPr>
          <w:lang w:val="fr-FR"/>
        </w:rPr>
        <w:lastRenderedPageBreak/>
        <w:tab/>
      </w:r>
      <w:r w:rsidRPr="00111F07">
        <w:rPr>
          <w:lang w:val="fr-FR"/>
        </w:rPr>
        <w:tab/>
        <w:t>Groenland</w:t>
      </w:r>
    </w:p>
    <w:p w14:paraId="329D8E33" w14:textId="616505AE" w:rsidR="003103E0" w:rsidRPr="00111F07" w:rsidRDefault="003103E0" w:rsidP="00DF7ED2">
      <w:pPr>
        <w:pStyle w:val="SingleTxt"/>
        <w:keepNext/>
        <w:spacing w:after="0" w:line="120" w:lineRule="exact"/>
        <w:rPr>
          <w:sz w:val="10"/>
          <w:lang w:val="fr-FR"/>
        </w:rPr>
      </w:pPr>
    </w:p>
    <w:p w14:paraId="79221E34" w14:textId="3017882C" w:rsidR="00603A87" w:rsidRPr="00111F07" w:rsidRDefault="00603A87" w:rsidP="00DF7ED2">
      <w:pPr>
        <w:pStyle w:val="SingleTxt"/>
        <w:keepNext/>
        <w:numPr>
          <w:ilvl w:val="0"/>
          <w:numId w:val="55"/>
        </w:numPr>
        <w:spacing w:line="240" w:lineRule="exact"/>
        <w:rPr>
          <w:szCs w:val="24"/>
          <w:lang w:val="fr-FR"/>
        </w:rPr>
      </w:pPr>
      <w:r w:rsidRPr="00111F07">
        <w:rPr>
          <w:lang w:val="fr-FR"/>
        </w:rPr>
        <w:t>Les congés de maternité et de paternité et le congé parental sont régis par la loi parlementaire n</w:t>
      </w:r>
      <w:r w:rsidRPr="00111F07">
        <w:rPr>
          <w:vertAlign w:val="superscript"/>
          <w:lang w:val="fr-FR"/>
        </w:rPr>
        <w:t>o</w:t>
      </w:r>
      <w:r w:rsidRPr="00111F07">
        <w:rPr>
          <w:lang w:val="fr-FR"/>
        </w:rPr>
        <w:t> 14 du 7</w:t>
      </w:r>
      <w:r w:rsidR="007C2EB5" w:rsidRPr="00111F07">
        <w:rPr>
          <w:lang w:val="fr-FR"/>
        </w:rPr>
        <w:t xml:space="preserve"> </w:t>
      </w:r>
      <w:r w:rsidRPr="00111F07">
        <w:rPr>
          <w:lang w:val="fr-FR"/>
        </w:rPr>
        <w:t>décembre 2009 relative au congé et à l</w:t>
      </w:r>
      <w:r w:rsidR="007A3CEB" w:rsidRPr="00111F07">
        <w:rPr>
          <w:lang w:val="fr-FR"/>
        </w:rPr>
        <w:t>’</w:t>
      </w:r>
      <w:r w:rsidRPr="00111F07">
        <w:rPr>
          <w:lang w:val="fr-FR"/>
        </w:rPr>
        <w:t>indemnité journalière de grossesse, de maternité et d</w:t>
      </w:r>
      <w:r w:rsidR="007A3CEB" w:rsidRPr="00111F07">
        <w:rPr>
          <w:lang w:val="fr-FR"/>
        </w:rPr>
        <w:t>’</w:t>
      </w:r>
      <w:r w:rsidRPr="00111F07">
        <w:rPr>
          <w:lang w:val="fr-FR"/>
        </w:rPr>
        <w:t>adoption. Le congé de maternité est de 17</w:t>
      </w:r>
      <w:r w:rsidR="005E7340" w:rsidRPr="00111F07">
        <w:rPr>
          <w:lang w:val="fr-FR"/>
        </w:rPr>
        <w:t xml:space="preserve"> </w:t>
      </w:r>
      <w:r w:rsidRPr="00111F07">
        <w:rPr>
          <w:lang w:val="fr-FR"/>
        </w:rPr>
        <w:t>semaines, le congé de paternité de 3</w:t>
      </w:r>
      <w:r w:rsidR="005E7340" w:rsidRPr="00111F07">
        <w:rPr>
          <w:lang w:val="fr-FR"/>
        </w:rPr>
        <w:t xml:space="preserve"> </w:t>
      </w:r>
      <w:r w:rsidRPr="00111F07">
        <w:rPr>
          <w:lang w:val="fr-FR"/>
        </w:rPr>
        <w:t>semaines et le congé parental de 21</w:t>
      </w:r>
      <w:r w:rsidR="005E7340" w:rsidRPr="00111F07">
        <w:rPr>
          <w:lang w:val="fr-FR"/>
        </w:rPr>
        <w:t xml:space="preserve"> </w:t>
      </w:r>
      <w:r w:rsidRPr="00111F07">
        <w:rPr>
          <w:lang w:val="fr-FR"/>
        </w:rPr>
        <w:t>semaines pouvant être réparties entre les parents. Le congé parental a été étendu de 17 à 21</w:t>
      </w:r>
      <w:r w:rsidR="005E7340" w:rsidRPr="00111F07">
        <w:rPr>
          <w:lang w:val="fr-FR"/>
        </w:rPr>
        <w:t xml:space="preserve"> </w:t>
      </w:r>
      <w:r w:rsidRPr="00111F07">
        <w:rPr>
          <w:lang w:val="fr-FR"/>
        </w:rPr>
        <w:t>semaines. La loi met l</w:t>
      </w:r>
      <w:r w:rsidR="007A3CEB" w:rsidRPr="00111F07">
        <w:rPr>
          <w:lang w:val="fr-FR"/>
        </w:rPr>
        <w:t>’</w:t>
      </w:r>
      <w:r w:rsidRPr="00111F07">
        <w:rPr>
          <w:lang w:val="fr-FR"/>
        </w:rPr>
        <w:t>accent sur la responsabilité partagée des parents.</w:t>
      </w:r>
    </w:p>
    <w:p w14:paraId="3D26DE5C" w14:textId="172D327C" w:rsidR="005E7340" w:rsidRPr="00111F07" w:rsidRDefault="005E7340" w:rsidP="005E7340">
      <w:pPr>
        <w:pStyle w:val="SingleTxtG"/>
        <w:spacing w:after="0" w:line="120" w:lineRule="exact"/>
        <w:ind w:left="1267"/>
        <w:rPr>
          <w:sz w:val="10"/>
          <w:lang w:val="fr-FR"/>
        </w:rPr>
      </w:pPr>
    </w:p>
    <w:p w14:paraId="2CEDA8B4" w14:textId="5771B258" w:rsidR="00603A87" w:rsidRPr="00111F07" w:rsidRDefault="00603A87" w:rsidP="005E734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1F07">
        <w:rPr>
          <w:lang w:val="fr-FR"/>
        </w:rPr>
        <w:tab/>
      </w:r>
      <w:r w:rsidRPr="00111F07">
        <w:rPr>
          <w:lang w:val="fr-FR"/>
        </w:rPr>
        <w:tab/>
        <w:t>Îles Féroé</w:t>
      </w:r>
    </w:p>
    <w:p w14:paraId="3FD3CD0F" w14:textId="3B6E924A" w:rsidR="005E7340" w:rsidRPr="00111F07" w:rsidRDefault="005E7340" w:rsidP="005E7340">
      <w:pPr>
        <w:pStyle w:val="SingleTxt"/>
        <w:spacing w:after="0" w:line="120" w:lineRule="exact"/>
        <w:rPr>
          <w:sz w:val="10"/>
          <w:lang w:val="fr-FR"/>
        </w:rPr>
      </w:pPr>
    </w:p>
    <w:p w14:paraId="346DC5F3" w14:textId="6D4D860B" w:rsidR="00603A87" w:rsidRPr="00111F07" w:rsidRDefault="00603A87" w:rsidP="007C2EB5">
      <w:pPr>
        <w:pStyle w:val="SingleTxt"/>
        <w:numPr>
          <w:ilvl w:val="0"/>
          <w:numId w:val="55"/>
        </w:numPr>
        <w:spacing w:line="240" w:lineRule="exact"/>
        <w:rPr>
          <w:szCs w:val="24"/>
          <w:lang w:val="fr-FR"/>
        </w:rPr>
      </w:pPr>
      <w:r w:rsidRPr="00111F07">
        <w:rPr>
          <w:lang w:val="fr-FR"/>
        </w:rPr>
        <w:t>b) Le projet de loi visant à prolonger la durée du congé parental a été adopté et les deux semaines prévues ont été ajoutées au congé parental partagé.</w:t>
      </w:r>
    </w:p>
    <w:p w14:paraId="724FDCD5" w14:textId="00B5831E" w:rsidR="00603A87" w:rsidRPr="00111F07" w:rsidRDefault="00603A87" w:rsidP="007C2EB5">
      <w:pPr>
        <w:pStyle w:val="SingleTxt"/>
        <w:numPr>
          <w:ilvl w:val="0"/>
          <w:numId w:val="55"/>
        </w:numPr>
        <w:spacing w:line="240" w:lineRule="exact"/>
        <w:rPr>
          <w:szCs w:val="24"/>
          <w:lang w:val="fr-FR"/>
        </w:rPr>
      </w:pPr>
      <w:r w:rsidRPr="00111F07">
        <w:rPr>
          <w:lang w:val="fr-FR"/>
        </w:rPr>
        <w:t>c) Le débat général est largement axé sur le congé parental partagé et des conférences ont été organisées pour sensibiliser le public à cette question. Toutefois, la tendance reste que les pères ne prennent que les semaines de congé parental qui leur sont attribuées, tandis que les mères prennent les semaines de congé parental partagé.</w:t>
      </w:r>
    </w:p>
    <w:p w14:paraId="4E73BB96" w14:textId="48F05158" w:rsidR="005E7340" w:rsidRPr="00111F07" w:rsidRDefault="005E7340" w:rsidP="005E7340">
      <w:pPr>
        <w:pStyle w:val="SingleTxtG"/>
        <w:spacing w:after="0" w:line="120" w:lineRule="exact"/>
        <w:ind w:left="1267"/>
        <w:rPr>
          <w:sz w:val="10"/>
          <w:lang w:val="fr-FR"/>
        </w:rPr>
      </w:pPr>
    </w:p>
    <w:p w14:paraId="7CD7C43F" w14:textId="56FDBFD5" w:rsidR="00603A87" w:rsidRPr="00111F07" w:rsidRDefault="00603A87" w:rsidP="005E734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1F07">
        <w:rPr>
          <w:lang w:val="fr-FR"/>
        </w:rPr>
        <w:tab/>
      </w:r>
      <w:r w:rsidRPr="00111F07">
        <w:rPr>
          <w:lang w:val="fr-FR"/>
        </w:rPr>
        <w:tab/>
        <w:t>Danemark</w:t>
      </w:r>
    </w:p>
    <w:p w14:paraId="5CAF95D7" w14:textId="571440BB" w:rsidR="005E7340" w:rsidRPr="00111F07" w:rsidRDefault="005E7340" w:rsidP="005E7340">
      <w:pPr>
        <w:pStyle w:val="SingleTxt"/>
        <w:spacing w:after="0" w:line="120" w:lineRule="exact"/>
        <w:rPr>
          <w:sz w:val="10"/>
          <w:lang w:val="fr-FR"/>
        </w:rPr>
      </w:pPr>
    </w:p>
    <w:p w14:paraId="7C90A23D" w14:textId="428F2C10" w:rsidR="00603A87" w:rsidRPr="00111F07" w:rsidRDefault="00603A87" w:rsidP="007C2EB5">
      <w:pPr>
        <w:pStyle w:val="SingleTxt"/>
        <w:numPr>
          <w:ilvl w:val="0"/>
          <w:numId w:val="55"/>
        </w:numPr>
        <w:spacing w:line="240" w:lineRule="exact"/>
        <w:rPr>
          <w:szCs w:val="24"/>
          <w:lang w:val="fr-FR"/>
        </w:rPr>
      </w:pPr>
      <w:r w:rsidRPr="00111F07">
        <w:rPr>
          <w:lang w:val="fr-FR"/>
        </w:rPr>
        <w:t>d) Le Gouvernement et les partis à l</w:t>
      </w:r>
      <w:r w:rsidR="007A3CEB" w:rsidRPr="00111F07">
        <w:rPr>
          <w:lang w:val="fr-FR"/>
        </w:rPr>
        <w:t>’</w:t>
      </w:r>
      <w:r w:rsidRPr="00111F07">
        <w:rPr>
          <w:lang w:val="fr-FR"/>
        </w:rPr>
        <w:t>origine de l</w:t>
      </w:r>
      <w:r w:rsidR="007A3CEB" w:rsidRPr="00111F07">
        <w:rPr>
          <w:lang w:val="fr-FR"/>
        </w:rPr>
        <w:t>’</w:t>
      </w:r>
      <w:r w:rsidRPr="00111F07">
        <w:rPr>
          <w:lang w:val="fr-FR"/>
        </w:rPr>
        <w:t>accord politique sur le budget de l</w:t>
      </w:r>
      <w:r w:rsidR="007A3CEB" w:rsidRPr="00111F07">
        <w:rPr>
          <w:lang w:val="fr-FR"/>
        </w:rPr>
        <w:t>’</w:t>
      </w:r>
      <w:r w:rsidRPr="00111F07">
        <w:rPr>
          <w:lang w:val="fr-FR"/>
        </w:rPr>
        <w:t>État pour 2020 ont convenu de réintroduire un système d</w:t>
      </w:r>
      <w:r w:rsidR="007A3CEB" w:rsidRPr="00111F07">
        <w:rPr>
          <w:lang w:val="fr-FR"/>
        </w:rPr>
        <w:t>’</w:t>
      </w:r>
      <w:r w:rsidRPr="00111F07">
        <w:rPr>
          <w:lang w:val="fr-FR"/>
        </w:rPr>
        <w:t>égalité en ce qui concerne les congés de maternité et de paternité et le congé parental pour les travailleurs indépendants. Les détails du nouveau système, notamment le groupe cible et les modifications législatives pertinentes, seront examinés avec le Parlement danois en 2020 afin que le système puisse entrer en vigueur le plus tôt possible.</w:t>
      </w:r>
    </w:p>
    <w:p w14:paraId="53ACFA04" w14:textId="7C6DED28" w:rsidR="00603A87" w:rsidRPr="00111F07" w:rsidRDefault="00603A87" w:rsidP="007C2EB5">
      <w:pPr>
        <w:pStyle w:val="SingleTxt"/>
        <w:numPr>
          <w:ilvl w:val="0"/>
          <w:numId w:val="55"/>
        </w:numPr>
        <w:spacing w:line="240" w:lineRule="exact"/>
        <w:rPr>
          <w:szCs w:val="24"/>
          <w:lang w:val="fr-FR"/>
        </w:rPr>
      </w:pPr>
      <w:r w:rsidRPr="00111F07">
        <w:rPr>
          <w:lang w:val="fr-FR"/>
        </w:rPr>
        <w:t>Il n</w:t>
      </w:r>
      <w:r w:rsidR="007A3CEB" w:rsidRPr="00111F07">
        <w:rPr>
          <w:lang w:val="fr-FR"/>
        </w:rPr>
        <w:t>’</w:t>
      </w:r>
      <w:r w:rsidRPr="00111F07">
        <w:rPr>
          <w:lang w:val="fr-FR"/>
        </w:rPr>
        <w:t>y a pas d</w:t>
      </w:r>
      <w:r w:rsidR="007A3CEB" w:rsidRPr="00111F07">
        <w:rPr>
          <w:lang w:val="fr-FR"/>
        </w:rPr>
        <w:t>’</w:t>
      </w:r>
      <w:r w:rsidRPr="00111F07">
        <w:rPr>
          <w:lang w:val="fr-FR"/>
        </w:rPr>
        <w:t>enregistrement officiel ou général des personnes handicapées au Danemark. Les personnes handicapées sont enregistrées dans différents systèmes, par exemple dans le système de santé publique et dans le domaine des services sociaux, mais aucun d</w:t>
      </w:r>
      <w:r w:rsidR="007A3CEB" w:rsidRPr="00111F07">
        <w:rPr>
          <w:lang w:val="fr-FR"/>
        </w:rPr>
        <w:t>’</w:t>
      </w:r>
      <w:r w:rsidRPr="00111F07">
        <w:rPr>
          <w:lang w:val="fr-FR"/>
        </w:rPr>
        <w:t>entre eux ne constitue une base de données transversale du nombre total de personnes handicapées au Danemark. Ces 10 à 15</w:t>
      </w:r>
      <w:r w:rsidR="005E7340" w:rsidRPr="00111F07">
        <w:rPr>
          <w:lang w:val="fr-FR"/>
        </w:rPr>
        <w:t xml:space="preserve"> </w:t>
      </w:r>
      <w:r w:rsidRPr="00111F07">
        <w:rPr>
          <w:lang w:val="fr-FR"/>
        </w:rPr>
        <w:t>dernières années, les données sur les personnes handicapées au Danemark dans le secteur de l</w:t>
      </w:r>
      <w:r w:rsidR="007A3CEB" w:rsidRPr="00111F07">
        <w:rPr>
          <w:lang w:val="fr-FR"/>
        </w:rPr>
        <w:t>’</w:t>
      </w:r>
      <w:r w:rsidRPr="00111F07">
        <w:rPr>
          <w:lang w:val="fr-FR"/>
        </w:rPr>
        <w:t>emploi sont tirées des rapports et des analyses du Centre danois de recherche en sciences sociales. Ces rapports sont basés sur des enquêtes représentatives menées par Statistics Denmark, couplées à des données provenant de registres.</w:t>
      </w:r>
      <w:bookmarkEnd w:id="1"/>
    </w:p>
    <w:p w14:paraId="5C62553B" w14:textId="5B7D8458" w:rsidR="00603A87" w:rsidRPr="00111F07" w:rsidRDefault="00603A87" w:rsidP="0010170A">
      <w:pPr>
        <w:pStyle w:val="SingleTxt"/>
        <w:numPr>
          <w:ilvl w:val="0"/>
          <w:numId w:val="63"/>
        </w:numPr>
        <w:spacing w:line="240" w:lineRule="exact"/>
        <w:rPr>
          <w:lang w:val="fr-FR"/>
        </w:rPr>
      </w:pPr>
      <w:r w:rsidRPr="00111F07">
        <w:rPr>
          <w:lang w:val="fr-FR"/>
        </w:rPr>
        <w:t>Le dernier rapport a été publié en 2017, et le prochain est attendu pour l</w:t>
      </w:r>
      <w:r w:rsidR="007A3CEB" w:rsidRPr="00111F07">
        <w:rPr>
          <w:lang w:val="fr-FR"/>
        </w:rPr>
        <w:t>’</w:t>
      </w:r>
      <w:r w:rsidRPr="00111F07">
        <w:rPr>
          <w:lang w:val="fr-FR"/>
        </w:rPr>
        <w:t>été 2020.</w:t>
      </w:r>
    </w:p>
    <w:p w14:paraId="436C957F" w14:textId="58CD5C85" w:rsidR="00603A87" w:rsidRPr="00111F07" w:rsidRDefault="00603A87" w:rsidP="0010170A">
      <w:pPr>
        <w:pStyle w:val="SingleTxt"/>
        <w:numPr>
          <w:ilvl w:val="0"/>
          <w:numId w:val="63"/>
        </w:numPr>
        <w:spacing w:line="240" w:lineRule="exact"/>
        <w:rPr>
          <w:lang w:val="fr-FR"/>
        </w:rPr>
      </w:pPr>
      <w:r w:rsidRPr="00111F07">
        <w:rPr>
          <w:lang w:val="fr-FR"/>
        </w:rPr>
        <w:t>Ces rapports contiennent un certain nombre d</w:t>
      </w:r>
      <w:r w:rsidR="007A3CEB" w:rsidRPr="00111F07">
        <w:rPr>
          <w:lang w:val="fr-FR"/>
        </w:rPr>
        <w:t>’</w:t>
      </w:r>
      <w:r w:rsidRPr="00111F07">
        <w:rPr>
          <w:lang w:val="fr-FR"/>
        </w:rPr>
        <w:t>incertitudes statistiques. C</w:t>
      </w:r>
      <w:r w:rsidR="007A3CEB" w:rsidRPr="00111F07">
        <w:rPr>
          <w:lang w:val="fr-FR"/>
        </w:rPr>
        <w:t>’</w:t>
      </w:r>
      <w:r w:rsidRPr="00111F07">
        <w:rPr>
          <w:lang w:val="fr-FR"/>
        </w:rPr>
        <w:t>est l</w:t>
      </w:r>
      <w:r w:rsidR="007A3CEB" w:rsidRPr="00111F07">
        <w:rPr>
          <w:lang w:val="fr-FR"/>
        </w:rPr>
        <w:t>’</w:t>
      </w:r>
      <w:r w:rsidRPr="00111F07">
        <w:rPr>
          <w:lang w:val="fr-FR"/>
        </w:rPr>
        <w:t>une des raisons pour lesquelles le Gouvernement étudie les possibilités d</w:t>
      </w:r>
      <w:r w:rsidR="007A3CEB" w:rsidRPr="00111F07">
        <w:rPr>
          <w:lang w:val="fr-FR"/>
        </w:rPr>
        <w:t>’</w:t>
      </w:r>
      <w:r w:rsidRPr="00111F07">
        <w:rPr>
          <w:lang w:val="fr-FR"/>
        </w:rPr>
        <w:t>élaborer un modèle d</w:t>
      </w:r>
      <w:r w:rsidR="007A3CEB" w:rsidRPr="00111F07">
        <w:rPr>
          <w:lang w:val="fr-FR"/>
        </w:rPr>
        <w:t>’</w:t>
      </w:r>
      <w:r w:rsidRPr="00111F07">
        <w:rPr>
          <w:lang w:val="fr-FR"/>
        </w:rPr>
        <w:t>enregistrement du</w:t>
      </w:r>
      <w:r w:rsidR="007A3CEB" w:rsidRPr="00111F07">
        <w:rPr>
          <w:lang w:val="fr-FR"/>
        </w:rPr>
        <w:t xml:space="preserve"> </w:t>
      </w:r>
      <w:r w:rsidRPr="00111F07">
        <w:rPr>
          <w:lang w:val="fr-FR"/>
        </w:rPr>
        <w:t>handicap.</w:t>
      </w:r>
    </w:p>
    <w:p w14:paraId="37AFF38B" w14:textId="29B6B80B" w:rsidR="00603A87" w:rsidRPr="00111F07" w:rsidRDefault="00603A87" w:rsidP="0010170A">
      <w:pPr>
        <w:pStyle w:val="SingleTxt"/>
        <w:numPr>
          <w:ilvl w:val="0"/>
          <w:numId w:val="63"/>
        </w:numPr>
        <w:spacing w:line="240" w:lineRule="exact"/>
        <w:rPr>
          <w:lang w:val="fr-FR"/>
        </w:rPr>
      </w:pPr>
      <w:r w:rsidRPr="00111F07">
        <w:rPr>
          <w:lang w:val="fr-FR"/>
        </w:rPr>
        <w:t>Il est possible de ventiler les données par sexe tirées de l</w:t>
      </w:r>
      <w:r w:rsidR="007A3CEB" w:rsidRPr="00111F07">
        <w:rPr>
          <w:lang w:val="fr-FR"/>
        </w:rPr>
        <w:t>’</w:t>
      </w:r>
      <w:r w:rsidRPr="00111F07">
        <w:rPr>
          <w:lang w:val="fr-FR"/>
        </w:rPr>
        <w:t>enquête, mais il n</w:t>
      </w:r>
      <w:r w:rsidR="007A3CEB" w:rsidRPr="00111F07">
        <w:rPr>
          <w:lang w:val="fr-FR"/>
        </w:rPr>
        <w:t>’</w:t>
      </w:r>
      <w:r w:rsidRPr="00111F07">
        <w:rPr>
          <w:lang w:val="fr-FR"/>
        </w:rPr>
        <w:t>est pas possible de tirer du rapport toutes les informations demandées.</w:t>
      </w:r>
    </w:p>
    <w:p w14:paraId="741EDD21" w14:textId="61BF3E5C" w:rsidR="00603A87" w:rsidRPr="00111F07" w:rsidRDefault="00603A87" w:rsidP="0010170A">
      <w:pPr>
        <w:pStyle w:val="SingleTxt"/>
        <w:numPr>
          <w:ilvl w:val="0"/>
          <w:numId w:val="63"/>
        </w:numPr>
        <w:spacing w:line="240" w:lineRule="exact"/>
        <w:rPr>
          <w:lang w:val="fr-FR"/>
        </w:rPr>
      </w:pPr>
      <w:r w:rsidRPr="00111F07">
        <w:rPr>
          <w:lang w:val="fr-FR"/>
        </w:rPr>
        <w:t>À l</w:t>
      </w:r>
      <w:r w:rsidR="007A3CEB" w:rsidRPr="00111F07">
        <w:rPr>
          <w:lang w:val="fr-FR"/>
        </w:rPr>
        <w:t>’</w:t>
      </w:r>
      <w:r w:rsidRPr="00111F07">
        <w:rPr>
          <w:lang w:val="fr-FR"/>
        </w:rPr>
        <w:t>automne 2018, le Gouvernement et des partis d</w:t>
      </w:r>
      <w:r w:rsidR="007A3CEB" w:rsidRPr="00111F07">
        <w:rPr>
          <w:lang w:val="fr-FR"/>
        </w:rPr>
        <w:t>’</w:t>
      </w:r>
      <w:r w:rsidRPr="00111F07">
        <w:rPr>
          <w:lang w:val="fr-FR"/>
        </w:rPr>
        <w:t>opposition au sein du Parlement danois sont convenus d</w:t>
      </w:r>
      <w:r w:rsidR="007A3CEB" w:rsidRPr="00111F07">
        <w:rPr>
          <w:lang w:val="fr-FR"/>
        </w:rPr>
        <w:t>’</w:t>
      </w:r>
      <w:r w:rsidRPr="00111F07">
        <w:rPr>
          <w:lang w:val="fr-FR"/>
        </w:rPr>
        <w:t>augmenter le nombre de personnes handicapées titulaires d</w:t>
      </w:r>
      <w:r w:rsidR="007A3CEB" w:rsidRPr="00111F07">
        <w:rPr>
          <w:lang w:val="fr-FR"/>
        </w:rPr>
        <w:t>’</w:t>
      </w:r>
      <w:r w:rsidRPr="00111F07">
        <w:rPr>
          <w:lang w:val="fr-FR"/>
        </w:rPr>
        <w:t>un emploi. Cet accord comportait 11 initiatives distinctes réparties selon quatre axes principaux</w:t>
      </w:r>
      <w:r w:rsidR="007A3CEB" w:rsidRPr="00111F07">
        <w:rPr>
          <w:lang w:val="fr-FR"/>
        </w:rPr>
        <w:t> :</w:t>
      </w:r>
    </w:p>
    <w:p w14:paraId="5F163FAF" w14:textId="5B454B48" w:rsidR="00603A87" w:rsidRPr="00111F07" w:rsidRDefault="005E7340" w:rsidP="005E7340">
      <w:pPr>
        <w:pStyle w:val="SingleTxt"/>
        <w:tabs>
          <w:tab w:val="right" w:pos="1685"/>
        </w:tabs>
        <w:ind w:left="1742" w:hanging="475"/>
        <w:rPr>
          <w:lang w:val="fr-FR"/>
        </w:rPr>
      </w:pPr>
      <w:r w:rsidRPr="00111F07">
        <w:rPr>
          <w:lang w:val="fr-FR"/>
        </w:rPr>
        <w:tab/>
      </w:r>
      <w:r w:rsidR="00603A87" w:rsidRPr="00111F07">
        <w:rPr>
          <w:lang w:val="fr-FR"/>
        </w:rPr>
        <w:t>•</w:t>
      </w:r>
      <w:r w:rsidRPr="00111F07">
        <w:rPr>
          <w:lang w:val="fr-FR"/>
        </w:rPr>
        <w:tab/>
      </w:r>
      <w:r w:rsidR="00603A87" w:rsidRPr="00111F07">
        <w:rPr>
          <w:lang w:val="fr-FR"/>
        </w:rPr>
        <w:t>Moins de bureaucratie et des transitions plus faciles entre les secteurs</w:t>
      </w:r>
      <w:r w:rsidRPr="00111F07">
        <w:rPr>
          <w:lang w:val="fr-FR"/>
        </w:rPr>
        <w:t> ;</w:t>
      </w:r>
    </w:p>
    <w:p w14:paraId="739610C9" w14:textId="0DEB72D0" w:rsidR="00603A87" w:rsidRPr="00111F07" w:rsidRDefault="005E7340" w:rsidP="005E7340">
      <w:pPr>
        <w:pStyle w:val="SingleTxt"/>
        <w:tabs>
          <w:tab w:val="right" w:pos="1685"/>
        </w:tabs>
        <w:ind w:left="1742" w:hanging="475"/>
        <w:rPr>
          <w:lang w:val="fr-FR"/>
        </w:rPr>
      </w:pPr>
      <w:r w:rsidRPr="00111F07">
        <w:rPr>
          <w:lang w:val="fr-FR"/>
        </w:rPr>
        <w:tab/>
      </w:r>
      <w:r w:rsidR="00603A87" w:rsidRPr="00111F07">
        <w:rPr>
          <w:lang w:val="fr-FR"/>
        </w:rPr>
        <w:t>•</w:t>
      </w:r>
      <w:r w:rsidRPr="00111F07">
        <w:rPr>
          <w:lang w:val="fr-FR"/>
        </w:rPr>
        <w:tab/>
      </w:r>
      <w:r w:rsidR="00603A87" w:rsidRPr="00111F07">
        <w:rPr>
          <w:lang w:val="fr-FR"/>
        </w:rPr>
        <w:t>Des efforts ciblés et accrus afin d</w:t>
      </w:r>
      <w:r w:rsidR="007A3CEB" w:rsidRPr="00111F07">
        <w:rPr>
          <w:lang w:val="fr-FR"/>
        </w:rPr>
        <w:t>’</w:t>
      </w:r>
      <w:r w:rsidR="00603A87" w:rsidRPr="00111F07">
        <w:rPr>
          <w:lang w:val="fr-FR"/>
        </w:rPr>
        <w:t>augmenter le taux d</w:t>
      </w:r>
      <w:r w:rsidR="007A3CEB" w:rsidRPr="00111F07">
        <w:rPr>
          <w:lang w:val="fr-FR"/>
        </w:rPr>
        <w:t>’</w:t>
      </w:r>
      <w:r w:rsidR="00603A87" w:rsidRPr="00111F07">
        <w:rPr>
          <w:lang w:val="fr-FR"/>
        </w:rPr>
        <w:t>emploi des personnes handicapées</w:t>
      </w:r>
      <w:r w:rsidRPr="00111F07">
        <w:rPr>
          <w:lang w:val="fr-FR"/>
        </w:rPr>
        <w:t> ;</w:t>
      </w:r>
    </w:p>
    <w:p w14:paraId="5F0EE4A8" w14:textId="4C1076F3" w:rsidR="00603A87" w:rsidRPr="00111F07" w:rsidRDefault="005E7340" w:rsidP="005E7340">
      <w:pPr>
        <w:pStyle w:val="SingleTxt"/>
        <w:tabs>
          <w:tab w:val="right" w:pos="1685"/>
        </w:tabs>
        <w:ind w:left="1742" w:hanging="475"/>
        <w:rPr>
          <w:lang w:val="fr-FR"/>
        </w:rPr>
      </w:pPr>
      <w:r w:rsidRPr="00111F07">
        <w:rPr>
          <w:lang w:val="fr-FR"/>
        </w:rPr>
        <w:tab/>
      </w:r>
      <w:r w:rsidR="00603A87" w:rsidRPr="00111F07">
        <w:rPr>
          <w:lang w:val="fr-FR"/>
        </w:rPr>
        <w:t>•</w:t>
      </w:r>
      <w:r w:rsidRPr="00111F07">
        <w:rPr>
          <w:lang w:val="fr-FR"/>
        </w:rPr>
        <w:tab/>
      </w:r>
      <w:r w:rsidR="00603A87" w:rsidRPr="00111F07">
        <w:rPr>
          <w:lang w:val="fr-FR"/>
        </w:rPr>
        <w:t>Amélioration des perspectives d</w:t>
      </w:r>
      <w:r w:rsidR="007A3CEB" w:rsidRPr="00111F07">
        <w:rPr>
          <w:lang w:val="fr-FR"/>
        </w:rPr>
        <w:t>’</w:t>
      </w:r>
      <w:r w:rsidR="00603A87" w:rsidRPr="00111F07">
        <w:rPr>
          <w:lang w:val="fr-FR"/>
        </w:rPr>
        <w:t>éducation</w:t>
      </w:r>
      <w:r w:rsidRPr="00111F07">
        <w:rPr>
          <w:lang w:val="fr-FR"/>
        </w:rPr>
        <w:t> ;</w:t>
      </w:r>
    </w:p>
    <w:p w14:paraId="5966E1C3" w14:textId="3B69109E" w:rsidR="00603A87" w:rsidRPr="00111F07" w:rsidRDefault="005E7340" w:rsidP="005E7340">
      <w:pPr>
        <w:pStyle w:val="SingleTxt"/>
        <w:tabs>
          <w:tab w:val="right" w:pos="1685"/>
        </w:tabs>
        <w:ind w:left="1742" w:hanging="475"/>
        <w:rPr>
          <w:lang w:val="fr-FR"/>
        </w:rPr>
      </w:pPr>
      <w:r w:rsidRPr="00111F07">
        <w:rPr>
          <w:lang w:val="fr-FR"/>
        </w:rPr>
        <w:lastRenderedPageBreak/>
        <w:tab/>
      </w:r>
      <w:r w:rsidR="00603A87" w:rsidRPr="00111F07">
        <w:rPr>
          <w:lang w:val="fr-FR"/>
        </w:rPr>
        <w:t>•</w:t>
      </w:r>
      <w:r w:rsidRPr="00111F07">
        <w:rPr>
          <w:lang w:val="fr-FR"/>
        </w:rPr>
        <w:tab/>
      </w:r>
      <w:r w:rsidR="00603A87" w:rsidRPr="00111F07">
        <w:rPr>
          <w:lang w:val="fr-FR"/>
        </w:rPr>
        <w:t>Meilleure connaissance du handicap et moins de préjugés</w:t>
      </w:r>
      <w:r w:rsidRPr="00111F07">
        <w:rPr>
          <w:lang w:val="fr-FR"/>
        </w:rPr>
        <w:t>.</w:t>
      </w:r>
    </w:p>
    <w:p w14:paraId="5AEFE2C9" w14:textId="2411E095" w:rsidR="00603A87" w:rsidRPr="00111F07" w:rsidRDefault="00603A87" w:rsidP="0010170A">
      <w:pPr>
        <w:pStyle w:val="SingleTxt"/>
        <w:numPr>
          <w:ilvl w:val="0"/>
          <w:numId w:val="63"/>
        </w:numPr>
        <w:spacing w:line="240" w:lineRule="exact"/>
        <w:rPr>
          <w:lang w:val="fr-FR"/>
        </w:rPr>
      </w:pPr>
      <w:r w:rsidRPr="00111F07">
        <w:rPr>
          <w:lang w:val="fr-FR"/>
        </w:rPr>
        <w:t>L</w:t>
      </w:r>
      <w:r w:rsidR="007A3CEB" w:rsidRPr="00111F07">
        <w:rPr>
          <w:lang w:val="fr-FR"/>
        </w:rPr>
        <w:t>’</w:t>
      </w:r>
      <w:r w:rsidRPr="00111F07">
        <w:rPr>
          <w:lang w:val="fr-FR"/>
        </w:rPr>
        <w:t>objectif général de ces initiatives est d</w:t>
      </w:r>
      <w:r w:rsidR="007A3CEB" w:rsidRPr="00111F07">
        <w:rPr>
          <w:lang w:val="fr-FR"/>
        </w:rPr>
        <w:t>’</w:t>
      </w:r>
      <w:r w:rsidRPr="00111F07">
        <w:rPr>
          <w:lang w:val="fr-FR"/>
        </w:rPr>
        <w:t>augmenter le taux d</w:t>
      </w:r>
      <w:r w:rsidR="007A3CEB" w:rsidRPr="00111F07">
        <w:rPr>
          <w:lang w:val="fr-FR"/>
        </w:rPr>
        <w:t>’</w:t>
      </w:r>
      <w:r w:rsidRPr="00111F07">
        <w:rPr>
          <w:lang w:val="fr-FR"/>
        </w:rPr>
        <w:t>emploi des personnes handicapées. Dans le cadre de cet accord, le Gouvernement s</w:t>
      </w:r>
      <w:r w:rsidR="007A3CEB" w:rsidRPr="00111F07">
        <w:rPr>
          <w:lang w:val="fr-FR"/>
        </w:rPr>
        <w:t>’</w:t>
      </w:r>
      <w:r w:rsidRPr="00111F07">
        <w:rPr>
          <w:lang w:val="fr-FR"/>
        </w:rPr>
        <w:t>est fixé comme objectif d</w:t>
      </w:r>
      <w:r w:rsidR="007A3CEB" w:rsidRPr="00111F07">
        <w:rPr>
          <w:lang w:val="fr-FR"/>
        </w:rPr>
        <w:t>’</w:t>
      </w:r>
      <w:r w:rsidRPr="00111F07">
        <w:rPr>
          <w:lang w:val="fr-FR"/>
        </w:rPr>
        <w:t>augmenter de 13 000 individus avant 2025 le nombre de personnes handicapées titulaires d</w:t>
      </w:r>
      <w:r w:rsidR="007A3CEB" w:rsidRPr="00111F07">
        <w:rPr>
          <w:lang w:val="fr-FR"/>
        </w:rPr>
        <w:t>’</w:t>
      </w:r>
      <w:r w:rsidRPr="00111F07">
        <w:rPr>
          <w:lang w:val="fr-FR"/>
        </w:rPr>
        <w:t>un emploi.</w:t>
      </w:r>
    </w:p>
    <w:p w14:paraId="3FDC16E8" w14:textId="22DDA881" w:rsidR="00603A87" w:rsidRPr="00111F07" w:rsidRDefault="00603A87" w:rsidP="0010170A">
      <w:pPr>
        <w:pStyle w:val="SingleTxt"/>
        <w:numPr>
          <w:ilvl w:val="0"/>
          <w:numId w:val="63"/>
        </w:numPr>
        <w:spacing w:line="240" w:lineRule="exact"/>
        <w:rPr>
          <w:lang w:val="fr-FR"/>
        </w:rPr>
      </w:pPr>
      <w:r w:rsidRPr="00111F07">
        <w:rPr>
          <w:lang w:val="fr-FR"/>
        </w:rPr>
        <w:t>L</w:t>
      </w:r>
      <w:r w:rsidR="007A3CEB" w:rsidRPr="00111F07">
        <w:rPr>
          <w:lang w:val="fr-FR"/>
        </w:rPr>
        <w:t>’</w:t>
      </w:r>
      <w:r w:rsidRPr="00111F07">
        <w:rPr>
          <w:lang w:val="fr-FR"/>
        </w:rPr>
        <w:t>accord se concentre sur toutes les personnes handicapées et ne comprend pas de mesures visant spécifiquement à augmenter le taux d</w:t>
      </w:r>
      <w:r w:rsidR="007A3CEB" w:rsidRPr="00111F07">
        <w:rPr>
          <w:lang w:val="fr-FR"/>
        </w:rPr>
        <w:t>’</w:t>
      </w:r>
      <w:r w:rsidRPr="00111F07">
        <w:rPr>
          <w:lang w:val="fr-FR"/>
        </w:rPr>
        <w:t>emploi des femmes handicapées.</w:t>
      </w:r>
    </w:p>
    <w:p w14:paraId="79678C9B" w14:textId="2C962279" w:rsidR="00603A87" w:rsidRPr="00111F07" w:rsidRDefault="00603A87" w:rsidP="0010170A">
      <w:pPr>
        <w:pStyle w:val="SingleTxt"/>
        <w:numPr>
          <w:ilvl w:val="0"/>
          <w:numId w:val="63"/>
        </w:numPr>
        <w:spacing w:line="240" w:lineRule="exact"/>
        <w:rPr>
          <w:lang w:val="fr-FR"/>
        </w:rPr>
      </w:pPr>
      <w:r w:rsidRPr="00111F07">
        <w:rPr>
          <w:lang w:val="fr-FR"/>
        </w:rPr>
        <w:t>Le programme IGU (Basic Integration Education) aide les réfugiés nouvellement arrivés et leurs familles à trouver du travail. Le processus dure deux ans, pendant lesquelles le bénéficiaire reçoit une éducation et est employé comme apprenti dans une entreprise. Durant le premier trimestre de 2017, la proportion de femmes parmi les nouveaux employés du programme IGU était de 18</w:t>
      </w:r>
      <w:r w:rsidR="007A3CEB" w:rsidRPr="00111F07">
        <w:rPr>
          <w:lang w:val="fr-FR"/>
        </w:rPr>
        <w:t> %</w:t>
      </w:r>
      <w:r w:rsidRPr="00111F07">
        <w:rPr>
          <w:lang w:val="fr-FR"/>
        </w:rPr>
        <w:t>. Durant le deuxième trimestre de 2019, ce pourcentage était passé à 56</w:t>
      </w:r>
      <w:r w:rsidR="007A3CEB" w:rsidRPr="00111F07">
        <w:rPr>
          <w:lang w:val="fr-FR"/>
        </w:rPr>
        <w:t> %</w:t>
      </w:r>
      <w:r w:rsidRPr="00111F07">
        <w:rPr>
          <w:lang w:val="fr-FR"/>
        </w:rPr>
        <w:t>.</w:t>
      </w:r>
    </w:p>
    <w:p w14:paraId="148A1DB5" w14:textId="6C5762D7" w:rsidR="00603A87" w:rsidRPr="00111F07" w:rsidRDefault="00603A87" w:rsidP="0010170A">
      <w:pPr>
        <w:pStyle w:val="SingleTxt"/>
        <w:numPr>
          <w:ilvl w:val="0"/>
          <w:numId w:val="63"/>
        </w:numPr>
        <w:spacing w:line="240" w:lineRule="exact"/>
        <w:rPr>
          <w:lang w:val="fr-FR"/>
        </w:rPr>
      </w:pPr>
      <w:r w:rsidRPr="00111F07">
        <w:rPr>
          <w:lang w:val="fr-FR"/>
        </w:rPr>
        <w:t>L</w:t>
      </w:r>
      <w:r w:rsidR="007A3CEB" w:rsidRPr="00111F07">
        <w:rPr>
          <w:lang w:val="fr-FR"/>
        </w:rPr>
        <w:t>’</w:t>
      </w:r>
      <w:r w:rsidRPr="00111F07">
        <w:rPr>
          <w:lang w:val="fr-FR"/>
        </w:rPr>
        <w:t xml:space="preserve">initiative </w:t>
      </w:r>
      <w:r w:rsidR="005E7340" w:rsidRPr="00111F07">
        <w:rPr>
          <w:lang w:val="fr-FR"/>
        </w:rPr>
        <w:t>« </w:t>
      </w:r>
      <w:r w:rsidRPr="00111F07">
        <w:rPr>
          <w:lang w:val="fr-FR"/>
        </w:rPr>
        <w:t>Plus d</w:t>
      </w:r>
      <w:r w:rsidR="007A3CEB" w:rsidRPr="00111F07">
        <w:rPr>
          <w:lang w:val="fr-FR"/>
        </w:rPr>
        <w:t>’</w:t>
      </w:r>
      <w:r w:rsidRPr="00111F07">
        <w:rPr>
          <w:lang w:val="fr-FR"/>
        </w:rPr>
        <w:t>emplois pour les femmes immigrées</w:t>
      </w:r>
      <w:r w:rsidR="005E7340" w:rsidRPr="00111F07">
        <w:rPr>
          <w:lang w:val="fr-FR"/>
        </w:rPr>
        <w:t> »</w:t>
      </w:r>
      <w:r w:rsidRPr="00111F07">
        <w:rPr>
          <w:lang w:val="fr-FR"/>
        </w:rPr>
        <w:t xml:space="preserve"> (2019-2022) concerne 15 municipalités danoises et suit une approche holistique axée sur la cartographie des cas individuels, une coopération coordonnée entre les organismes et le perfectionnement des compétences, ainsi que le partage des données tirées des meilleures pratiques entre les municipalités. En 2022, l</w:t>
      </w:r>
      <w:r w:rsidR="007A3CEB" w:rsidRPr="00111F07">
        <w:rPr>
          <w:lang w:val="fr-FR"/>
        </w:rPr>
        <w:t>’</w:t>
      </w:r>
      <w:r w:rsidRPr="00111F07">
        <w:rPr>
          <w:lang w:val="fr-FR"/>
        </w:rPr>
        <w:t>Agence danoise pour le recrutement international et l</w:t>
      </w:r>
      <w:r w:rsidR="007A3CEB" w:rsidRPr="00111F07">
        <w:rPr>
          <w:lang w:val="fr-FR"/>
        </w:rPr>
        <w:t>’</w:t>
      </w:r>
      <w:r w:rsidRPr="00111F07">
        <w:rPr>
          <w:lang w:val="fr-FR"/>
        </w:rPr>
        <w:t>intégration publiera un catalogue des meilleures pratiques, qui sera distribué dans toutes les municipalités.</w:t>
      </w:r>
    </w:p>
    <w:p w14:paraId="11A264ED" w14:textId="131D09F3" w:rsidR="00603A87" w:rsidRPr="00111F07" w:rsidRDefault="00603A87" w:rsidP="0010170A">
      <w:pPr>
        <w:pStyle w:val="SingleTxt"/>
        <w:numPr>
          <w:ilvl w:val="0"/>
          <w:numId w:val="63"/>
        </w:numPr>
        <w:spacing w:line="240" w:lineRule="exact"/>
        <w:rPr>
          <w:lang w:val="fr-FR"/>
        </w:rPr>
      </w:pPr>
      <w:r w:rsidRPr="00111F07">
        <w:rPr>
          <w:lang w:val="fr-FR"/>
        </w:rPr>
        <w:t>Le Gouvernement danois n</w:t>
      </w:r>
      <w:r w:rsidR="007A3CEB" w:rsidRPr="00111F07">
        <w:rPr>
          <w:lang w:val="fr-FR"/>
        </w:rPr>
        <w:t>’</w:t>
      </w:r>
      <w:r w:rsidRPr="00111F07">
        <w:rPr>
          <w:lang w:val="fr-FR"/>
        </w:rPr>
        <w:t>a pas connaissance d</w:t>
      </w:r>
      <w:r w:rsidR="007A3CEB" w:rsidRPr="00111F07">
        <w:rPr>
          <w:lang w:val="fr-FR"/>
        </w:rPr>
        <w:t>’</w:t>
      </w:r>
      <w:r w:rsidRPr="00111F07">
        <w:rPr>
          <w:lang w:val="fr-FR"/>
        </w:rPr>
        <w:t>études menées sur les effets de l</w:t>
      </w:r>
      <w:r w:rsidR="007A3CEB" w:rsidRPr="00111F07">
        <w:rPr>
          <w:lang w:val="fr-FR"/>
        </w:rPr>
        <w:t>’</w:t>
      </w:r>
      <w:r w:rsidRPr="00111F07">
        <w:rPr>
          <w:lang w:val="fr-FR"/>
        </w:rPr>
        <w:t>interdiction de se couvrir le visage dans les lieux publics, décrétée en 2018, sur l</w:t>
      </w:r>
      <w:r w:rsidR="007A3CEB" w:rsidRPr="00111F07">
        <w:rPr>
          <w:lang w:val="fr-FR"/>
        </w:rPr>
        <w:t>’</w:t>
      </w:r>
      <w:r w:rsidRPr="00111F07">
        <w:rPr>
          <w:lang w:val="fr-FR"/>
        </w:rPr>
        <w:t>accès des femmes migrantes à l</w:t>
      </w:r>
      <w:r w:rsidR="007A3CEB" w:rsidRPr="00111F07">
        <w:rPr>
          <w:lang w:val="fr-FR"/>
        </w:rPr>
        <w:t>’</w:t>
      </w:r>
      <w:r w:rsidRPr="00111F07">
        <w:rPr>
          <w:lang w:val="fr-FR"/>
        </w:rPr>
        <w:t>emploi.</w:t>
      </w:r>
    </w:p>
    <w:p w14:paraId="1E06861B" w14:textId="5C137AF4" w:rsidR="00603A87" w:rsidRPr="00111F07" w:rsidRDefault="00603A87" w:rsidP="0010170A">
      <w:pPr>
        <w:pStyle w:val="SingleTxt"/>
        <w:numPr>
          <w:ilvl w:val="0"/>
          <w:numId w:val="63"/>
        </w:numPr>
        <w:spacing w:line="240" w:lineRule="exact"/>
        <w:rPr>
          <w:lang w:val="fr-FR"/>
        </w:rPr>
      </w:pPr>
      <w:r w:rsidRPr="00111F07">
        <w:rPr>
          <w:lang w:val="fr-FR"/>
        </w:rPr>
        <w:t>Outre les mesures législatives mentionnées dans le rapport, les principales mesures prises pour prévenir et combattre le harcèlement sexuel sur le lieu de travail sont les suivantes</w:t>
      </w:r>
      <w:r w:rsidR="007A3CEB" w:rsidRPr="00111F07">
        <w:rPr>
          <w:lang w:val="fr-FR"/>
        </w:rPr>
        <w:t> :</w:t>
      </w:r>
    </w:p>
    <w:p w14:paraId="7B538183" w14:textId="5DD602B8" w:rsidR="00603A87" w:rsidRPr="00111F07" w:rsidRDefault="005E7340" w:rsidP="005E7340">
      <w:pPr>
        <w:pStyle w:val="SingleTxt"/>
        <w:tabs>
          <w:tab w:val="right" w:pos="1685"/>
        </w:tabs>
        <w:ind w:left="1742" w:hanging="475"/>
        <w:rPr>
          <w:lang w:val="fr-FR"/>
        </w:rPr>
      </w:pPr>
      <w:r w:rsidRPr="00111F07">
        <w:rPr>
          <w:lang w:val="fr-FR"/>
        </w:rPr>
        <w:tab/>
      </w:r>
      <w:r w:rsidR="00603A87" w:rsidRPr="00111F07">
        <w:rPr>
          <w:lang w:val="fr-FR"/>
        </w:rPr>
        <w:t>•</w:t>
      </w:r>
      <w:r w:rsidRPr="00111F07">
        <w:rPr>
          <w:lang w:val="fr-FR"/>
        </w:rPr>
        <w:tab/>
      </w:r>
      <w:r w:rsidR="00603A87" w:rsidRPr="00111F07">
        <w:rPr>
          <w:lang w:val="fr-FR"/>
        </w:rPr>
        <w:t>Modification des pratiques d</w:t>
      </w:r>
      <w:r w:rsidR="007A3CEB" w:rsidRPr="00111F07">
        <w:rPr>
          <w:lang w:val="fr-FR"/>
        </w:rPr>
        <w:t>’</w:t>
      </w:r>
      <w:r w:rsidR="00603A87" w:rsidRPr="00111F07">
        <w:rPr>
          <w:lang w:val="fr-FR"/>
        </w:rPr>
        <w:t>inspection de l</w:t>
      </w:r>
      <w:r w:rsidR="007A3CEB" w:rsidRPr="00111F07">
        <w:rPr>
          <w:lang w:val="fr-FR"/>
        </w:rPr>
        <w:t>’</w:t>
      </w:r>
      <w:r w:rsidR="00603A87" w:rsidRPr="00111F07">
        <w:rPr>
          <w:lang w:val="fr-FR"/>
        </w:rPr>
        <w:t>Autorité danoise pour l</w:t>
      </w:r>
      <w:r w:rsidR="007A3CEB" w:rsidRPr="00111F07">
        <w:rPr>
          <w:lang w:val="fr-FR"/>
        </w:rPr>
        <w:t>’</w:t>
      </w:r>
      <w:r w:rsidR="00603A87" w:rsidRPr="00111F07">
        <w:rPr>
          <w:lang w:val="fr-FR"/>
        </w:rPr>
        <w:t>environnement de travail (WEA) et de sa capacité à traiter les cas de harcèlement sexuel</w:t>
      </w:r>
      <w:r w:rsidR="0010170A" w:rsidRPr="00111F07">
        <w:rPr>
          <w:lang w:val="fr-FR"/>
        </w:rPr>
        <w:t> </w:t>
      </w:r>
      <w:r w:rsidR="007A3CEB" w:rsidRPr="00111F07">
        <w:rPr>
          <w:lang w:val="fr-FR"/>
        </w:rPr>
        <w:t>;</w:t>
      </w:r>
    </w:p>
    <w:p w14:paraId="4D9C7846" w14:textId="22A06D9F" w:rsidR="00603A87" w:rsidRPr="00111F07" w:rsidRDefault="005E7340" w:rsidP="005E7340">
      <w:pPr>
        <w:pStyle w:val="SingleTxt"/>
        <w:tabs>
          <w:tab w:val="right" w:pos="1685"/>
        </w:tabs>
        <w:ind w:left="1742" w:hanging="475"/>
        <w:rPr>
          <w:lang w:val="fr-FR"/>
        </w:rPr>
      </w:pPr>
      <w:r w:rsidRPr="00111F07">
        <w:rPr>
          <w:lang w:val="fr-FR"/>
        </w:rPr>
        <w:tab/>
        <w:t>•</w:t>
      </w:r>
      <w:r w:rsidRPr="00111F07">
        <w:rPr>
          <w:lang w:val="fr-FR"/>
        </w:rPr>
        <w:tab/>
      </w:r>
      <w:r w:rsidR="00603A87" w:rsidRPr="00111F07">
        <w:rPr>
          <w:lang w:val="fr-FR"/>
        </w:rPr>
        <w:t>Une campagne d</w:t>
      </w:r>
      <w:r w:rsidR="007A3CEB" w:rsidRPr="00111F07">
        <w:rPr>
          <w:lang w:val="fr-FR"/>
        </w:rPr>
        <w:t>’</w:t>
      </w:r>
      <w:r w:rsidR="00603A87" w:rsidRPr="00111F07">
        <w:rPr>
          <w:lang w:val="fr-FR"/>
        </w:rPr>
        <w:t>information sur le harcèlement sexuel sur le lieu de travail</w:t>
      </w:r>
      <w:r w:rsidR="0010170A" w:rsidRPr="00111F07">
        <w:rPr>
          <w:lang w:val="fr-FR"/>
        </w:rPr>
        <w:t> </w:t>
      </w:r>
      <w:r w:rsidR="007A3CEB" w:rsidRPr="00111F07">
        <w:rPr>
          <w:lang w:val="fr-FR"/>
        </w:rPr>
        <w:t>;</w:t>
      </w:r>
    </w:p>
    <w:p w14:paraId="06BEEEAC" w14:textId="7C7180B6" w:rsidR="00603A87" w:rsidRPr="00111F07" w:rsidRDefault="005E7340" w:rsidP="005E7340">
      <w:pPr>
        <w:pStyle w:val="SingleTxt"/>
        <w:tabs>
          <w:tab w:val="right" w:pos="1685"/>
        </w:tabs>
        <w:ind w:left="1742" w:hanging="475"/>
        <w:rPr>
          <w:lang w:val="fr-FR"/>
        </w:rPr>
      </w:pPr>
      <w:r w:rsidRPr="00111F07">
        <w:rPr>
          <w:lang w:val="fr-FR"/>
        </w:rPr>
        <w:tab/>
        <w:t>•</w:t>
      </w:r>
      <w:r w:rsidRPr="00111F07">
        <w:rPr>
          <w:lang w:val="fr-FR"/>
        </w:rPr>
        <w:tab/>
      </w:r>
      <w:r w:rsidR="00603A87" w:rsidRPr="00111F07">
        <w:rPr>
          <w:lang w:val="fr-FR"/>
        </w:rPr>
        <w:t>Site Web et ligne d</w:t>
      </w:r>
      <w:r w:rsidR="007A3CEB" w:rsidRPr="00111F07">
        <w:rPr>
          <w:lang w:val="fr-FR"/>
        </w:rPr>
        <w:t>’</w:t>
      </w:r>
      <w:r w:rsidR="00603A87" w:rsidRPr="00111F07">
        <w:rPr>
          <w:lang w:val="fr-FR"/>
        </w:rPr>
        <w:t>assistance téléphonique de la WEA.</w:t>
      </w:r>
    </w:p>
    <w:p w14:paraId="65D6FCC5" w14:textId="497D0C9E" w:rsidR="00603A87" w:rsidRPr="00111F07" w:rsidRDefault="00603A87" w:rsidP="0010170A">
      <w:pPr>
        <w:pStyle w:val="SingleTxt"/>
        <w:numPr>
          <w:ilvl w:val="0"/>
          <w:numId w:val="63"/>
        </w:numPr>
        <w:spacing w:line="240" w:lineRule="exact"/>
        <w:rPr>
          <w:lang w:val="fr-FR"/>
        </w:rPr>
      </w:pPr>
      <w:r w:rsidRPr="00111F07">
        <w:rPr>
          <w:lang w:val="fr-FR"/>
        </w:rPr>
        <w:t>Depuis le 1</w:t>
      </w:r>
      <w:r w:rsidRPr="00111F07">
        <w:rPr>
          <w:vertAlign w:val="superscript"/>
          <w:lang w:val="fr-FR"/>
        </w:rPr>
        <w:t>er</w:t>
      </w:r>
      <w:r w:rsidRPr="00111F07">
        <w:rPr>
          <w:lang w:val="fr-FR"/>
        </w:rPr>
        <w:t xml:space="preserve"> juillet 2018, la WEA peut organiser des entretiens uniquement avec des employés, et depuis le 15 mars 2019, elle peut traiter un plus large éventail de cas de harcèlement sexuel en interne au sein des organisations. Avant le 15 mars 2019, la WEA pouvait répondre aux situations de harcèlement sexuel impliquant des actes d</w:t>
      </w:r>
      <w:r w:rsidR="007A3CEB" w:rsidRPr="00111F07">
        <w:rPr>
          <w:lang w:val="fr-FR"/>
        </w:rPr>
        <w:t>’</w:t>
      </w:r>
      <w:r w:rsidRPr="00111F07">
        <w:rPr>
          <w:lang w:val="fr-FR"/>
        </w:rPr>
        <w:t>intimidation, c</w:t>
      </w:r>
      <w:r w:rsidR="007A3CEB" w:rsidRPr="00111F07">
        <w:rPr>
          <w:lang w:val="fr-FR"/>
        </w:rPr>
        <w:t>’</w:t>
      </w:r>
      <w:r w:rsidRPr="00111F07">
        <w:rPr>
          <w:lang w:val="fr-FR"/>
        </w:rPr>
        <w:t>est-à-dire lorsqu</w:t>
      </w:r>
      <w:r w:rsidR="007A3CEB" w:rsidRPr="00111F07">
        <w:rPr>
          <w:lang w:val="fr-FR"/>
        </w:rPr>
        <w:t>’</w:t>
      </w:r>
      <w:r w:rsidRPr="00111F07">
        <w:rPr>
          <w:lang w:val="fr-FR"/>
        </w:rPr>
        <w:t xml:space="preserve">une ou plusieurs personnes exposent régulièrement et sur une période prolongée </w:t>
      </w:r>
      <w:r w:rsidR="005E7340" w:rsidRPr="00111F07">
        <w:rPr>
          <w:lang w:val="fr-FR"/>
        </w:rPr>
        <w:t>–</w:t>
      </w:r>
      <w:r w:rsidRPr="00111F07">
        <w:rPr>
          <w:lang w:val="fr-FR"/>
        </w:rPr>
        <w:t xml:space="preserve"> ou de manière répétée et grave </w:t>
      </w:r>
      <w:r w:rsidR="005E7340" w:rsidRPr="00111F07">
        <w:rPr>
          <w:lang w:val="fr-FR"/>
        </w:rPr>
        <w:t>–</w:t>
      </w:r>
      <w:r w:rsidRPr="00111F07">
        <w:rPr>
          <w:lang w:val="fr-FR"/>
        </w:rPr>
        <w:t xml:space="preserve"> une ou plusieurs personnes à des actes négatifs qu</w:t>
      </w:r>
      <w:r w:rsidR="007A3CEB" w:rsidRPr="00111F07">
        <w:rPr>
          <w:lang w:val="fr-FR"/>
        </w:rPr>
        <w:t>’</w:t>
      </w:r>
      <w:r w:rsidRPr="00111F07">
        <w:rPr>
          <w:lang w:val="fr-FR"/>
        </w:rPr>
        <w:t>elles perçoivent comme blessants ou dégradants et contre lesquels elles ne peuvent se défendre efficacement. La modification d</w:t>
      </w:r>
      <w:r w:rsidR="007A3CEB" w:rsidRPr="00111F07">
        <w:rPr>
          <w:lang w:val="fr-FR"/>
        </w:rPr>
        <w:t>’</w:t>
      </w:r>
      <w:r w:rsidRPr="00111F07">
        <w:rPr>
          <w:lang w:val="fr-FR"/>
        </w:rPr>
        <w:t>un décret a permis à la WEA d</w:t>
      </w:r>
      <w:r w:rsidR="007A3CEB" w:rsidRPr="00111F07">
        <w:rPr>
          <w:lang w:val="fr-FR"/>
        </w:rPr>
        <w:t>’</w:t>
      </w:r>
      <w:r w:rsidRPr="00111F07">
        <w:rPr>
          <w:lang w:val="fr-FR"/>
        </w:rPr>
        <w:t>intervenir face à un plus grand nombre d</w:t>
      </w:r>
      <w:r w:rsidR="007A3CEB" w:rsidRPr="00111F07">
        <w:rPr>
          <w:lang w:val="fr-FR"/>
        </w:rPr>
        <w:t>’</w:t>
      </w:r>
      <w:r w:rsidRPr="00111F07">
        <w:rPr>
          <w:lang w:val="fr-FR"/>
        </w:rPr>
        <w:t>actes négatifs de nature sexuelle, y compris les situations où le harcèlement sexuel ne se fait pas par intimidation et présente un risque pour la santé et la sécurité. La WEA peut également intervenir en cas d</w:t>
      </w:r>
      <w:r w:rsidR="007A3CEB" w:rsidRPr="00111F07">
        <w:rPr>
          <w:lang w:val="fr-FR"/>
        </w:rPr>
        <w:t>’</w:t>
      </w:r>
      <w:r w:rsidRPr="00111F07">
        <w:rPr>
          <w:lang w:val="fr-FR"/>
        </w:rPr>
        <w:t>actes isolés de harcèlement sexuel grave qui présentent un risque pour la santé et la sécurité.</w:t>
      </w:r>
    </w:p>
    <w:p w14:paraId="03AC0BEE" w14:textId="768A7EAA" w:rsidR="00603A87" w:rsidRPr="00111F07" w:rsidRDefault="00603A87" w:rsidP="0010170A">
      <w:pPr>
        <w:pStyle w:val="SingleTxt"/>
        <w:numPr>
          <w:ilvl w:val="0"/>
          <w:numId w:val="63"/>
        </w:numPr>
        <w:spacing w:line="240" w:lineRule="exact"/>
        <w:rPr>
          <w:lang w:val="fr-FR"/>
        </w:rPr>
      </w:pPr>
      <w:r w:rsidRPr="00111F07">
        <w:rPr>
          <w:lang w:val="fr-FR"/>
        </w:rPr>
        <w:t>La WEA a rédigé de nouvelles directives concernant le devoir de l</w:t>
      </w:r>
      <w:r w:rsidR="007A3CEB" w:rsidRPr="00111F07">
        <w:rPr>
          <w:lang w:val="fr-FR"/>
        </w:rPr>
        <w:t>’</w:t>
      </w:r>
      <w:r w:rsidRPr="00111F07">
        <w:rPr>
          <w:lang w:val="fr-FR"/>
        </w:rPr>
        <w:t>employeur de prévenir les actes négatifs, y compris l</w:t>
      </w:r>
      <w:r w:rsidR="007A3CEB" w:rsidRPr="00111F07">
        <w:rPr>
          <w:lang w:val="fr-FR"/>
        </w:rPr>
        <w:t>’</w:t>
      </w:r>
      <w:r w:rsidRPr="00111F07">
        <w:rPr>
          <w:lang w:val="fr-FR"/>
        </w:rPr>
        <w:t>intimidation et le harcèlement sexuel.</w:t>
      </w:r>
    </w:p>
    <w:p w14:paraId="7A524E53" w14:textId="5D59D5D3" w:rsidR="00603A87" w:rsidRPr="00111F07" w:rsidRDefault="00603A87" w:rsidP="0010170A">
      <w:pPr>
        <w:pStyle w:val="SingleTxt"/>
        <w:numPr>
          <w:ilvl w:val="0"/>
          <w:numId w:val="63"/>
        </w:numPr>
        <w:spacing w:line="240" w:lineRule="exact"/>
        <w:rPr>
          <w:lang w:val="fr-FR"/>
        </w:rPr>
      </w:pPr>
      <w:r w:rsidRPr="00111F07">
        <w:rPr>
          <w:lang w:val="fr-FR"/>
        </w:rPr>
        <w:lastRenderedPageBreak/>
        <w:t>Les partenaires sociaux et la WEA ont lancé en septembre 2019 une campagne de prévention du harcèlement sexuel sur le lieu de travail. La campagne comprend un nouvel outil visant à faciliter le dialogue et la prévention du harcèlement sexuel sur le lieu de travail.</w:t>
      </w:r>
    </w:p>
    <w:p w14:paraId="4293AE14" w14:textId="7FA5ABFA" w:rsidR="00603A87" w:rsidRPr="00111F07" w:rsidRDefault="00603A87" w:rsidP="0010170A">
      <w:pPr>
        <w:pStyle w:val="SingleTxt"/>
        <w:numPr>
          <w:ilvl w:val="0"/>
          <w:numId w:val="63"/>
        </w:numPr>
        <w:spacing w:line="240" w:lineRule="exact"/>
        <w:rPr>
          <w:lang w:val="fr-FR"/>
        </w:rPr>
      </w:pPr>
      <w:r w:rsidRPr="00111F07">
        <w:rPr>
          <w:lang w:val="fr-FR"/>
        </w:rPr>
        <w:t>Sur le site Web de la WEA, les entreprises et les particuliers ont facilement accès à des informations pertinentes concernant les actes négatifs, y compris l</w:t>
      </w:r>
      <w:r w:rsidR="007A3CEB" w:rsidRPr="00111F07">
        <w:rPr>
          <w:lang w:val="fr-FR"/>
        </w:rPr>
        <w:t>’</w:t>
      </w:r>
      <w:r w:rsidRPr="00111F07">
        <w:rPr>
          <w:lang w:val="fr-FR"/>
        </w:rPr>
        <w:t>intimidation et le harcèlement sexuel.</w:t>
      </w:r>
    </w:p>
    <w:p w14:paraId="368A0CB5" w14:textId="6E3E8CCD" w:rsidR="00603A87" w:rsidRPr="00111F07" w:rsidRDefault="00603A87" w:rsidP="0010170A">
      <w:pPr>
        <w:pStyle w:val="SingleTxt"/>
        <w:numPr>
          <w:ilvl w:val="0"/>
          <w:numId w:val="63"/>
        </w:numPr>
        <w:spacing w:line="240" w:lineRule="exact"/>
        <w:rPr>
          <w:lang w:val="fr-FR"/>
        </w:rPr>
      </w:pPr>
      <w:r w:rsidRPr="00111F07">
        <w:rPr>
          <w:lang w:val="fr-FR"/>
        </w:rPr>
        <w:t>Depuis 2010, la WEA dispose d</w:t>
      </w:r>
      <w:r w:rsidR="007A3CEB" w:rsidRPr="00111F07">
        <w:rPr>
          <w:lang w:val="fr-FR"/>
        </w:rPr>
        <w:t>’</w:t>
      </w:r>
      <w:r w:rsidRPr="00111F07">
        <w:rPr>
          <w:lang w:val="fr-FR"/>
        </w:rPr>
        <w:t>une ligne d</w:t>
      </w:r>
      <w:r w:rsidR="007A3CEB" w:rsidRPr="00111F07">
        <w:rPr>
          <w:lang w:val="fr-FR"/>
        </w:rPr>
        <w:t>’</w:t>
      </w:r>
      <w:r w:rsidRPr="00111F07">
        <w:rPr>
          <w:lang w:val="fr-FR"/>
        </w:rPr>
        <w:t>assistance téléphonique gérée par ses inspecteurs, qui sont formés pour répondre aux questions concernant les actes négatifs, notamment l</w:t>
      </w:r>
      <w:r w:rsidR="007A3CEB" w:rsidRPr="00111F07">
        <w:rPr>
          <w:lang w:val="fr-FR"/>
        </w:rPr>
        <w:t>’</w:t>
      </w:r>
      <w:r w:rsidRPr="00111F07">
        <w:rPr>
          <w:lang w:val="fr-FR"/>
        </w:rPr>
        <w:t>intimidation et le harcèlement sexuel sur le lieu de travail.</w:t>
      </w:r>
    </w:p>
    <w:p w14:paraId="6916549E" w14:textId="3B613F7F" w:rsidR="00603A87" w:rsidRPr="00111F07" w:rsidRDefault="00603A87" w:rsidP="0010170A">
      <w:pPr>
        <w:pStyle w:val="SingleTxt"/>
        <w:numPr>
          <w:ilvl w:val="0"/>
          <w:numId w:val="63"/>
        </w:numPr>
        <w:spacing w:line="240" w:lineRule="exact"/>
        <w:rPr>
          <w:lang w:val="fr-FR"/>
        </w:rPr>
      </w:pPr>
      <w:r w:rsidRPr="00111F07">
        <w:rPr>
          <w:lang w:val="fr-FR"/>
        </w:rPr>
        <w:t>En 2019, la ligne d</w:t>
      </w:r>
      <w:r w:rsidR="007A3CEB" w:rsidRPr="00111F07">
        <w:rPr>
          <w:lang w:val="fr-FR"/>
        </w:rPr>
        <w:t>’</w:t>
      </w:r>
      <w:r w:rsidRPr="00111F07">
        <w:rPr>
          <w:lang w:val="fr-FR"/>
        </w:rPr>
        <w:t>assistance a reçu 380 appels.</w:t>
      </w:r>
    </w:p>
    <w:p w14:paraId="18B91B93" w14:textId="1CCDC773" w:rsidR="00603A87" w:rsidRPr="00111F07" w:rsidRDefault="00603A87" w:rsidP="0010170A">
      <w:pPr>
        <w:pStyle w:val="SingleTxt"/>
        <w:numPr>
          <w:ilvl w:val="0"/>
          <w:numId w:val="63"/>
        </w:numPr>
        <w:spacing w:line="240" w:lineRule="exact"/>
        <w:rPr>
          <w:lang w:val="fr-FR"/>
        </w:rPr>
      </w:pPr>
      <w:r w:rsidRPr="00111F07">
        <w:rPr>
          <w:lang w:val="fr-FR"/>
        </w:rPr>
        <w:t>En 2019, le Ministère danois de la défense a mené une enquête auprès du personnel et des appelés des forces armées danoises pour faire la lumière sur l</w:t>
      </w:r>
      <w:r w:rsidR="007A3CEB" w:rsidRPr="00111F07">
        <w:rPr>
          <w:lang w:val="fr-FR"/>
        </w:rPr>
        <w:t>’</w:t>
      </w:r>
      <w:r w:rsidRPr="00111F07">
        <w:rPr>
          <w:lang w:val="fr-FR"/>
        </w:rPr>
        <w:t>étendue et la nature du harcèlement sexuel.</w:t>
      </w:r>
    </w:p>
    <w:p w14:paraId="106398A4" w14:textId="1D69583A" w:rsidR="00603A87" w:rsidRPr="00111F07" w:rsidRDefault="00603A87" w:rsidP="0010170A">
      <w:pPr>
        <w:pStyle w:val="SingleTxt"/>
        <w:numPr>
          <w:ilvl w:val="0"/>
          <w:numId w:val="63"/>
        </w:numPr>
        <w:spacing w:line="240" w:lineRule="exact"/>
        <w:rPr>
          <w:lang w:val="fr-FR"/>
        </w:rPr>
      </w:pPr>
      <w:r w:rsidRPr="00111F07">
        <w:rPr>
          <w:lang w:val="fr-FR"/>
        </w:rPr>
        <w:t>Les résultats de l</w:t>
      </w:r>
      <w:r w:rsidR="007A3CEB" w:rsidRPr="00111F07">
        <w:rPr>
          <w:lang w:val="fr-FR"/>
        </w:rPr>
        <w:t>’</w:t>
      </w:r>
      <w:r w:rsidRPr="00111F07">
        <w:rPr>
          <w:lang w:val="fr-FR"/>
        </w:rPr>
        <w:t>enquête constitueront le fondement d</w:t>
      </w:r>
      <w:r w:rsidR="007A3CEB" w:rsidRPr="00111F07">
        <w:rPr>
          <w:lang w:val="fr-FR"/>
        </w:rPr>
        <w:t>’</w:t>
      </w:r>
      <w:r w:rsidRPr="00111F07">
        <w:rPr>
          <w:lang w:val="fr-FR"/>
        </w:rPr>
        <w:t>initiatives stratégiques qui seront lancées en 2020. L</w:t>
      </w:r>
      <w:r w:rsidR="007A3CEB" w:rsidRPr="00111F07">
        <w:rPr>
          <w:lang w:val="fr-FR"/>
        </w:rPr>
        <w:t>’</w:t>
      </w:r>
      <w:r w:rsidRPr="00111F07">
        <w:rPr>
          <w:lang w:val="fr-FR"/>
        </w:rPr>
        <w:t>objectif général est de sensibiliser au harcèlement sexuel et de motiver un changement culturel. Une initiative consiste à souligner qu</w:t>
      </w:r>
      <w:r w:rsidR="007A3CEB" w:rsidRPr="00111F07">
        <w:rPr>
          <w:lang w:val="fr-FR"/>
        </w:rPr>
        <w:t>’</w:t>
      </w:r>
      <w:r w:rsidRPr="00111F07">
        <w:rPr>
          <w:lang w:val="fr-FR"/>
        </w:rPr>
        <w:t>à tous les niveaux de l</w:t>
      </w:r>
      <w:r w:rsidR="007A3CEB" w:rsidRPr="00111F07">
        <w:rPr>
          <w:lang w:val="fr-FR"/>
        </w:rPr>
        <w:t>’</w:t>
      </w:r>
      <w:r w:rsidRPr="00111F07">
        <w:rPr>
          <w:lang w:val="fr-FR"/>
        </w:rPr>
        <w:t>administration, les dirigeants doivent prendre leurs responsabilités et promouvoir une politique de tolérance zéro à l</w:t>
      </w:r>
      <w:r w:rsidR="007A3CEB" w:rsidRPr="00111F07">
        <w:rPr>
          <w:lang w:val="fr-FR"/>
        </w:rPr>
        <w:t>’</w:t>
      </w:r>
      <w:r w:rsidRPr="00111F07">
        <w:rPr>
          <w:lang w:val="fr-FR"/>
        </w:rPr>
        <w:t>égard du harcèlement sexuel. En outre, grâce à une campagne interne, l</w:t>
      </w:r>
      <w:r w:rsidR="007A3CEB" w:rsidRPr="00111F07">
        <w:rPr>
          <w:lang w:val="fr-FR"/>
        </w:rPr>
        <w:t>’</w:t>
      </w:r>
      <w:r w:rsidRPr="00111F07">
        <w:rPr>
          <w:lang w:val="fr-FR"/>
        </w:rPr>
        <w:t>ensemble du personnel a été informé de la manière dont il peut trouver de l</w:t>
      </w:r>
      <w:r w:rsidR="007A3CEB" w:rsidRPr="00111F07">
        <w:rPr>
          <w:lang w:val="fr-FR"/>
        </w:rPr>
        <w:t>’</w:t>
      </w:r>
      <w:r w:rsidRPr="00111F07">
        <w:rPr>
          <w:lang w:val="fr-FR"/>
        </w:rPr>
        <w:t>aide et des informations s</w:t>
      </w:r>
      <w:r w:rsidR="007A3CEB" w:rsidRPr="00111F07">
        <w:rPr>
          <w:lang w:val="fr-FR"/>
        </w:rPr>
        <w:t>’</w:t>
      </w:r>
      <w:r w:rsidRPr="00111F07">
        <w:rPr>
          <w:lang w:val="fr-FR"/>
        </w:rPr>
        <w:t>il est exposé au harcèlement sous quelque forme que ce soit. Tous les organismes et toutes les autorités du Ministère de la défense ont été chargés d</w:t>
      </w:r>
      <w:r w:rsidR="007A3CEB" w:rsidRPr="00111F07">
        <w:rPr>
          <w:lang w:val="fr-FR"/>
        </w:rPr>
        <w:t>’</w:t>
      </w:r>
      <w:r w:rsidRPr="00111F07">
        <w:rPr>
          <w:lang w:val="fr-FR"/>
        </w:rPr>
        <w:t>assurer le suivi de cette question en introduisant et en élaborant d</w:t>
      </w:r>
      <w:r w:rsidR="007A3CEB" w:rsidRPr="00111F07">
        <w:rPr>
          <w:lang w:val="fr-FR"/>
        </w:rPr>
        <w:t>’</w:t>
      </w:r>
      <w:r w:rsidRPr="00111F07">
        <w:rPr>
          <w:lang w:val="fr-FR"/>
        </w:rPr>
        <w:t>autres initiatives et d</w:t>
      </w:r>
      <w:r w:rsidR="007A3CEB" w:rsidRPr="00111F07">
        <w:rPr>
          <w:lang w:val="fr-FR"/>
        </w:rPr>
        <w:t>’</w:t>
      </w:r>
      <w:r w:rsidRPr="00111F07">
        <w:rPr>
          <w:lang w:val="fr-FR"/>
        </w:rPr>
        <w:t>autres plans.</w:t>
      </w:r>
    </w:p>
    <w:p w14:paraId="57E394EF" w14:textId="6D6A6D8D" w:rsidR="00603A87" w:rsidRPr="00111F07" w:rsidRDefault="00603A87" w:rsidP="0010170A">
      <w:pPr>
        <w:pStyle w:val="SingleTxt"/>
        <w:numPr>
          <w:ilvl w:val="0"/>
          <w:numId w:val="63"/>
        </w:numPr>
        <w:spacing w:line="240" w:lineRule="exact"/>
        <w:rPr>
          <w:lang w:val="fr-FR"/>
        </w:rPr>
      </w:pPr>
      <w:r w:rsidRPr="00111F07">
        <w:rPr>
          <w:lang w:val="fr-FR"/>
        </w:rPr>
        <w:t>Parmi les autres initiatives, on peut citer</w:t>
      </w:r>
      <w:r w:rsidR="007A3CEB" w:rsidRPr="00111F07">
        <w:rPr>
          <w:lang w:val="fr-FR"/>
        </w:rPr>
        <w:t> :</w:t>
      </w:r>
    </w:p>
    <w:p w14:paraId="50D567FE" w14:textId="7B8CEE6F" w:rsidR="00603A87" w:rsidRPr="00111F07" w:rsidRDefault="005E7340" w:rsidP="005E7340">
      <w:pPr>
        <w:pStyle w:val="SingleTxt"/>
        <w:tabs>
          <w:tab w:val="right" w:pos="1685"/>
        </w:tabs>
        <w:ind w:left="1742" w:hanging="475"/>
        <w:rPr>
          <w:lang w:val="fr-FR"/>
        </w:rPr>
      </w:pPr>
      <w:r w:rsidRPr="00111F07">
        <w:rPr>
          <w:lang w:val="fr-FR"/>
        </w:rPr>
        <w:tab/>
      </w:r>
      <w:r w:rsidR="00603A87" w:rsidRPr="00111F07">
        <w:rPr>
          <w:lang w:val="fr-FR"/>
        </w:rPr>
        <w:t>•</w:t>
      </w:r>
      <w:r w:rsidRPr="00111F07">
        <w:rPr>
          <w:lang w:val="fr-FR"/>
        </w:rPr>
        <w:tab/>
      </w:r>
      <w:r w:rsidR="00603A87" w:rsidRPr="00111F07">
        <w:rPr>
          <w:lang w:val="fr-FR"/>
        </w:rPr>
        <w:t>Des programmes de formation et des documents d</w:t>
      </w:r>
      <w:r w:rsidR="007A3CEB" w:rsidRPr="00111F07">
        <w:rPr>
          <w:lang w:val="fr-FR"/>
        </w:rPr>
        <w:t>’</w:t>
      </w:r>
      <w:r w:rsidR="00603A87" w:rsidRPr="00111F07">
        <w:rPr>
          <w:lang w:val="fr-FR"/>
        </w:rPr>
        <w:t>information basés sur le dialogue et visant à susciter un changement culturel</w:t>
      </w:r>
      <w:r w:rsidRPr="00111F07">
        <w:rPr>
          <w:lang w:val="fr-FR"/>
        </w:rPr>
        <w:t> ;</w:t>
      </w:r>
    </w:p>
    <w:p w14:paraId="26036CF1" w14:textId="5C4A035A" w:rsidR="00603A87" w:rsidRPr="00111F07" w:rsidRDefault="005E7340" w:rsidP="005E7340">
      <w:pPr>
        <w:pStyle w:val="SingleTxt"/>
        <w:tabs>
          <w:tab w:val="right" w:pos="1685"/>
        </w:tabs>
        <w:ind w:left="1742" w:hanging="475"/>
        <w:rPr>
          <w:lang w:val="fr-FR"/>
        </w:rPr>
      </w:pPr>
      <w:r w:rsidRPr="00111F07">
        <w:rPr>
          <w:lang w:val="fr-FR"/>
        </w:rPr>
        <w:tab/>
      </w:r>
      <w:r w:rsidR="00603A87" w:rsidRPr="00111F07">
        <w:rPr>
          <w:lang w:val="fr-FR"/>
        </w:rPr>
        <w:t>•</w:t>
      </w:r>
      <w:r w:rsidRPr="00111F07">
        <w:rPr>
          <w:lang w:val="fr-FR"/>
        </w:rPr>
        <w:tab/>
      </w:r>
      <w:r w:rsidR="00603A87" w:rsidRPr="00111F07">
        <w:rPr>
          <w:lang w:val="fr-FR"/>
        </w:rPr>
        <w:t>Une plateforme en ligne où seront disponibles l</w:t>
      </w:r>
      <w:r w:rsidR="007A3CEB" w:rsidRPr="00111F07">
        <w:rPr>
          <w:lang w:val="fr-FR"/>
        </w:rPr>
        <w:t>’</w:t>
      </w:r>
      <w:r w:rsidR="00603A87" w:rsidRPr="00111F07">
        <w:rPr>
          <w:lang w:val="fr-FR"/>
        </w:rPr>
        <w:t>ensemble des informations, des documents et des données sur le sujet.</w:t>
      </w:r>
    </w:p>
    <w:p w14:paraId="6C772214" w14:textId="68A40F02" w:rsidR="00603A87" w:rsidRPr="00111F07" w:rsidRDefault="00603A87" w:rsidP="005E7340">
      <w:pPr>
        <w:pStyle w:val="SingleTxt"/>
        <w:spacing w:after="0" w:line="120" w:lineRule="exact"/>
        <w:rPr>
          <w:sz w:val="10"/>
          <w:lang w:val="fr-FR"/>
        </w:rPr>
      </w:pPr>
    </w:p>
    <w:p w14:paraId="78E0B523" w14:textId="5F91F1C1" w:rsidR="005E7340" w:rsidRPr="00111F07" w:rsidRDefault="005E7340" w:rsidP="005E7340">
      <w:pPr>
        <w:pStyle w:val="SingleTxt"/>
        <w:spacing w:after="0" w:line="120" w:lineRule="exact"/>
        <w:rPr>
          <w:sz w:val="10"/>
          <w:lang w:val="fr-FR"/>
        </w:rPr>
      </w:pPr>
    </w:p>
    <w:p w14:paraId="316352E0" w14:textId="3D2B16EC" w:rsidR="00603A87" w:rsidRPr="00111F07" w:rsidRDefault="005E7340" w:rsidP="005E73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Santé</w:t>
      </w:r>
    </w:p>
    <w:p w14:paraId="4A6F2DB9" w14:textId="391B1E0C" w:rsidR="00603A87" w:rsidRPr="00111F07" w:rsidRDefault="00603A87" w:rsidP="005E7340">
      <w:pPr>
        <w:pStyle w:val="SingleTxt"/>
        <w:spacing w:after="0" w:line="120" w:lineRule="exact"/>
        <w:rPr>
          <w:b/>
          <w:bCs/>
          <w:sz w:val="10"/>
          <w:lang w:val="fr-FR"/>
        </w:rPr>
      </w:pPr>
    </w:p>
    <w:p w14:paraId="605C82AE" w14:textId="580E429F" w:rsidR="005E7340" w:rsidRPr="00111F07" w:rsidRDefault="005E7340" w:rsidP="005E7340">
      <w:pPr>
        <w:pStyle w:val="SingleTxt"/>
        <w:spacing w:after="0" w:line="120" w:lineRule="exact"/>
        <w:rPr>
          <w:b/>
          <w:bCs/>
          <w:sz w:val="10"/>
          <w:lang w:val="fr-FR"/>
        </w:rPr>
      </w:pPr>
    </w:p>
    <w:p w14:paraId="2639DD96" w14:textId="3017CE0D" w:rsidR="00603A87" w:rsidRPr="00111F07" w:rsidRDefault="005E7340" w:rsidP="005E73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Réponse au paragraphe 19</w:t>
      </w:r>
    </w:p>
    <w:p w14:paraId="1C489D9E" w14:textId="28D38886" w:rsidR="005E7340" w:rsidRPr="00111F07" w:rsidRDefault="005E7340" w:rsidP="005E7340">
      <w:pPr>
        <w:pStyle w:val="SingleTxt"/>
        <w:spacing w:after="0" w:line="120" w:lineRule="exact"/>
        <w:rPr>
          <w:sz w:val="10"/>
          <w:lang w:val="fr-FR"/>
        </w:rPr>
      </w:pPr>
    </w:p>
    <w:p w14:paraId="56293327" w14:textId="059C3B09" w:rsidR="005E7340" w:rsidRPr="00111F07" w:rsidRDefault="005E7340" w:rsidP="005E7340">
      <w:pPr>
        <w:pStyle w:val="SingleTxt"/>
        <w:spacing w:after="0" w:line="120" w:lineRule="exact"/>
        <w:rPr>
          <w:sz w:val="10"/>
          <w:lang w:val="fr-FR"/>
        </w:rPr>
      </w:pPr>
    </w:p>
    <w:p w14:paraId="14F692FE" w14:textId="2A131213" w:rsidR="00603A87" w:rsidRPr="00111F07" w:rsidRDefault="00603A87" w:rsidP="0010170A">
      <w:pPr>
        <w:pStyle w:val="SingleTxt"/>
        <w:numPr>
          <w:ilvl w:val="0"/>
          <w:numId w:val="63"/>
        </w:numPr>
        <w:spacing w:line="240" w:lineRule="exact"/>
        <w:rPr>
          <w:lang w:val="fr-FR"/>
        </w:rPr>
      </w:pPr>
      <w:r w:rsidRPr="00111F07">
        <w:rPr>
          <w:lang w:val="fr-FR"/>
        </w:rPr>
        <w:t>Une nouvelle série de directives nationales concernant les soins relatifs à la maternité n</w:t>
      </w:r>
      <w:r w:rsidR="007A3CEB" w:rsidRPr="00111F07">
        <w:rPr>
          <w:lang w:val="fr-FR"/>
        </w:rPr>
        <w:t>’</w:t>
      </w:r>
      <w:r w:rsidRPr="00111F07">
        <w:rPr>
          <w:lang w:val="fr-FR"/>
        </w:rPr>
        <w:t>a pas été publiée en 2019 comme prévu. Les directives ont été envoyées en consultation publique le 11 novembre 2019 et devraient être publiées en 2020.</w:t>
      </w:r>
    </w:p>
    <w:p w14:paraId="4BD47A47" w14:textId="5D6BCB21" w:rsidR="00603A87" w:rsidRPr="00111F07" w:rsidRDefault="00603A87" w:rsidP="0010170A">
      <w:pPr>
        <w:pStyle w:val="SingleTxt"/>
        <w:numPr>
          <w:ilvl w:val="0"/>
          <w:numId w:val="63"/>
        </w:numPr>
        <w:spacing w:line="240" w:lineRule="exact"/>
        <w:rPr>
          <w:lang w:val="fr-FR"/>
        </w:rPr>
      </w:pPr>
      <w:r w:rsidRPr="00111F07">
        <w:rPr>
          <w:lang w:val="fr-FR"/>
        </w:rPr>
        <w:t>L</w:t>
      </w:r>
      <w:r w:rsidR="007A3CEB" w:rsidRPr="00111F07">
        <w:rPr>
          <w:lang w:val="fr-FR"/>
        </w:rPr>
        <w:t>’</w:t>
      </w:r>
      <w:r w:rsidRPr="00111F07">
        <w:rPr>
          <w:lang w:val="fr-FR"/>
        </w:rPr>
        <w:t>étude sur les risques pour la santé et le risque de marginalisation et de mauvaise santé mentionnés au paragraphe 50 peut être consultée ici (en danois uniquement)</w:t>
      </w:r>
      <w:r w:rsidR="007A3CEB" w:rsidRPr="00111F07">
        <w:rPr>
          <w:lang w:val="fr-FR"/>
        </w:rPr>
        <w:t> :</w:t>
      </w:r>
      <w:r w:rsidR="005E7340" w:rsidRPr="00111F07">
        <w:rPr>
          <w:lang w:val="fr-FR"/>
        </w:rPr>
        <w:t xml:space="preserve"> </w:t>
      </w:r>
      <w:hyperlink r:id="rId23" w:history="1">
        <w:r w:rsidR="005E7340" w:rsidRPr="00111F07">
          <w:rPr>
            <w:rStyle w:val="Hyperlink"/>
            <w:spacing w:val="0"/>
            <w:lang w:val="fr-FR"/>
          </w:rPr>
          <w:t>https://www.sst.dk/da/Udgivelser/2019/Danske-LGBT-personers-moede-med-almen-praksis-udfordringer-og-muli</w:t>
        </w:r>
        <w:r w:rsidR="005E7340" w:rsidRPr="001C3EFA">
          <w:rPr>
            <w:rStyle w:val="Hyperlink"/>
            <w:spacing w:val="0"/>
            <w:lang w:val="fr-FR"/>
          </w:rPr>
          <w:t>gheder</w:t>
        </w:r>
      </w:hyperlink>
      <w:r w:rsidR="005E7340" w:rsidRPr="00111F07">
        <w:rPr>
          <w:lang w:val="fr-FR"/>
        </w:rPr>
        <w:t>.</w:t>
      </w:r>
    </w:p>
    <w:p w14:paraId="1B875F71" w14:textId="33653783" w:rsidR="005E7340" w:rsidRPr="00111F07" w:rsidRDefault="005E7340" w:rsidP="005E7340">
      <w:pPr>
        <w:pStyle w:val="SingleTxt"/>
        <w:spacing w:after="0" w:line="120" w:lineRule="exact"/>
        <w:rPr>
          <w:sz w:val="10"/>
          <w:lang w:val="fr-FR"/>
        </w:rPr>
      </w:pPr>
    </w:p>
    <w:p w14:paraId="3163DB52" w14:textId="0E201103" w:rsidR="00603A87" w:rsidRPr="00111F07" w:rsidRDefault="005E7340" w:rsidP="005E7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Groenland</w:t>
      </w:r>
    </w:p>
    <w:p w14:paraId="7F3949AC" w14:textId="53CC446B" w:rsidR="005E7340" w:rsidRPr="00111F07" w:rsidRDefault="005E7340" w:rsidP="005E7340">
      <w:pPr>
        <w:pStyle w:val="SingleTxt"/>
        <w:spacing w:after="0" w:line="120" w:lineRule="exact"/>
        <w:rPr>
          <w:sz w:val="10"/>
          <w:lang w:val="fr-FR"/>
        </w:rPr>
      </w:pPr>
    </w:p>
    <w:p w14:paraId="5EE1B759" w14:textId="14C48A69" w:rsidR="00603A87" w:rsidRPr="00111F07" w:rsidRDefault="00603A87" w:rsidP="0010170A">
      <w:pPr>
        <w:pStyle w:val="SingleTxt"/>
        <w:numPr>
          <w:ilvl w:val="0"/>
          <w:numId w:val="63"/>
        </w:numPr>
        <w:spacing w:line="240" w:lineRule="exact"/>
        <w:rPr>
          <w:lang w:val="fr-FR"/>
        </w:rPr>
      </w:pPr>
      <w:r w:rsidRPr="00111F07">
        <w:rPr>
          <w:lang w:val="fr-FR"/>
        </w:rPr>
        <w:t>Aucune étude spécifique n</w:t>
      </w:r>
      <w:r w:rsidR="007A3CEB" w:rsidRPr="00111F07">
        <w:rPr>
          <w:lang w:val="fr-FR"/>
        </w:rPr>
        <w:t>’</w:t>
      </w:r>
      <w:r w:rsidRPr="00111F07">
        <w:rPr>
          <w:lang w:val="fr-FR"/>
        </w:rPr>
        <w:t>a été réalisée sur le taux d</w:t>
      </w:r>
      <w:r w:rsidR="007A3CEB" w:rsidRPr="00111F07">
        <w:rPr>
          <w:lang w:val="fr-FR"/>
        </w:rPr>
        <w:t>’</w:t>
      </w:r>
      <w:r w:rsidRPr="00111F07">
        <w:rPr>
          <w:lang w:val="fr-FR"/>
        </w:rPr>
        <w:t>avortement au Groenland. Les études actuelles qui ont abordé le sujet n</w:t>
      </w:r>
      <w:r w:rsidR="007A3CEB" w:rsidRPr="00111F07">
        <w:rPr>
          <w:lang w:val="fr-FR"/>
        </w:rPr>
        <w:t>’</w:t>
      </w:r>
      <w:r w:rsidRPr="00111F07">
        <w:rPr>
          <w:lang w:val="fr-FR"/>
        </w:rPr>
        <w:t>ont pas permis de déterminer clairement les causes du nombre élevé de grossesses non désirées.</w:t>
      </w:r>
    </w:p>
    <w:p w14:paraId="1443B404" w14:textId="0A7E1B78" w:rsidR="00603A87" w:rsidRPr="00111F07" w:rsidRDefault="00603A87" w:rsidP="005E7340">
      <w:pPr>
        <w:pStyle w:val="SingleTxt"/>
        <w:spacing w:after="0" w:line="120" w:lineRule="exact"/>
        <w:rPr>
          <w:sz w:val="10"/>
          <w:lang w:val="fr-FR"/>
        </w:rPr>
      </w:pPr>
    </w:p>
    <w:p w14:paraId="045DB966" w14:textId="717F25D8" w:rsidR="00603A87" w:rsidRPr="00111F07" w:rsidRDefault="005E7340" w:rsidP="00DF7E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lastRenderedPageBreak/>
        <w:tab/>
      </w:r>
      <w:r w:rsidRPr="00111F07">
        <w:rPr>
          <w:lang w:val="fr-FR"/>
        </w:rPr>
        <w:tab/>
      </w:r>
      <w:r w:rsidR="00603A87" w:rsidRPr="00111F07">
        <w:rPr>
          <w:lang w:val="fr-FR"/>
        </w:rPr>
        <w:t>Îles Féroé</w:t>
      </w:r>
    </w:p>
    <w:p w14:paraId="35DBC6E8" w14:textId="4B6A7A70" w:rsidR="005E7340" w:rsidRPr="00111F07" w:rsidRDefault="005E7340" w:rsidP="00DF7ED2">
      <w:pPr>
        <w:pStyle w:val="SingleTxt"/>
        <w:keepNext/>
        <w:spacing w:after="0" w:line="120" w:lineRule="exact"/>
        <w:rPr>
          <w:sz w:val="10"/>
          <w:lang w:val="fr-FR"/>
        </w:rPr>
      </w:pPr>
    </w:p>
    <w:p w14:paraId="1A9E3D86" w14:textId="3326D605" w:rsidR="00603A87" w:rsidRPr="00111F07" w:rsidRDefault="00603A87" w:rsidP="00DF7ED2">
      <w:pPr>
        <w:pStyle w:val="SingleTxt"/>
        <w:keepNext/>
        <w:numPr>
          <w:ilvl w:val="0"/>
          <w:numId w:val="63"/>
        </w:numPr>
        <w:spacing w:line="240" w:lineRule="exact"/>
        <w:rPr>
          <w:lang w:val="fr-FR"/>
        </w:rPr>
      </w:pPr>
      <w:r w:rsidRPr="00111F07">
        <w:rPr>
          <w:lang w:val="fr-FR"/>
        </w:rPr>
        <w:t>Selon la loi sur l</w:t>
      </w:r>
      <w:r w:rsidR="007A3CEB" w:rsidRPr="00111F07">
        <w:rPr>
          <w:lang w:val="fr-FR"/>
        </w:rPr>
        <w:t>’</w:t>
      </w:r>
      <w:r w:rsidRPr="00111F07">
        <w:rPr>
          <w:lang w:val="fr-FR"/>
        </w:rPr>
        <w:t>avortement, les femmes ne sont autorisées à avorter que si elles ont été victimes d</w:t>
      </w:r>
      <w:r w:rsidR="007A3CEB" w:rsidRPr="00111F07">
        <w:rPr>
          <w:lang w:val="fr-FR"/>
        </w:rPr>
        <w:t>’</w:t>
      </w:r>
      <w:r w:rsidRPr="00111F07">
        <w:rPr>
          <w:lang w:val="fr-FR"/>
        </w:rPr>
        <w:t>abus sexuels ou si la santé de la mère ou de l</w:t>
      </w:r>
      <w:r w:rsidR="007A3CEB" w:rsidRPr="00111F07">
        <w:rPr>
          <w:lang w:val="fr-FR"/>
        </w:rPr>
        <w:t>’</w:t>
      </w:r>
      <w:r w:rsidRPr="00111F07">
        <w:rPr>
          <w:lang w:val="fr-FR"/>
        </w:rPr>
        <w:t>enfant est en danger</w:t>
      </w:r>
      <w:r w:rsidR="007A3CEB" w:rsidRPr="00111F07">
        <w:rPr>
          <w:lang w:val="fr-FR"/>
        </w:rPr>
        <w:t>;</w:t>
      </w:r>
      <w:r w:rsidRPr="00111F07">
        <w:rPr>
          <w:lang w:val="fr-FR"/>
        </w:rPr>
        <w:t xml:space="preserve"> cela pourrait avoir une incidence sur le faible taux d</w:t>
      </w:r>
      <w:r w:rsidR="007A3CEB" w:rsidRPr="00111F07">
        <w:rPr>
          <w:lang w:val="fr-FR"/>
        </w:rPr>
        <w:t>’</w:t>
      </w:r>
      <w:r w:rsidRPr="00111F07">
        <w:rPr>
          <w:lang w:val="fr-FR"/>
        </w:rPr>
        <w:t xml:space="preserve">avortement dans les </w:t>
      </w:r>
      <w:r w:rsidRPr="00DF7ED2">
        <w:rPr>
          <w:lang w:val="fr-FR"/>
        </w:rPr>
        <w:t>Îles Féroé</w:t>
      </w:r>
      <w:r w:rsidRPr="00111F07">
        <w:rPr>
          <w:lang w:val="fr-FR"/>
        </w:rPr>
        <w:t>. Les femmes et les jeunes filles féroïennes ont accès à des services d</w:t>
      </w:r>
      <w:r w:rsidR="007A3CEB" w:rsidRPr="00111F07">
        <w:rPr>
          <w:lang w:val="fr-FR"/>
        </w:rPr>
        <w:t>’</w:t>
      </w:r>
      <w:r w:rsidRPr="001C3EFA">
        <w:rPr>
          <w:lang w:val="fr-FR"/>
        </w:rPr>
        <w:t>avortement sûrs et légaux sous certaines conditions, conformément à la législation féroïenne.</w:t>
      </w:r>
    </w:p>
    <w:p w14:paraId="43AAEB63" w14:textId="73ED405A" w:rsidR="00603A87" w:rsidRPr="00111F07" w:rsidRDefault="00603A87" w:rsidP="0010170A">
      <w:pPr>
        <w:pStyle w:val="SingleTxt"/>
        <w:numPr>
          <w:ilvl w:val="0"/>
          <w:numId w:val="63"/>
        </w:numPr>
        <w:rPr>
          <w:lang w:val="fr-FR"/>
        </w:rPr>
      </w:pPr>
      <w:r w:rsidRPr="00111F07">
        <w:rPr>
          <w:lang w:val="fr-FR"/>
        </w:rPr>
        <w:t xml:space="preserve">Reconnaissant les différences culturelles entre le Danemark et les </w:t>
      </w:r>
      <w:r w:rsidRPr="00DF7ED2">
        <w:rPr>
          <w:lang w:val="fr-FR"/>
        </w:rPr>
        <w:t>Îles</w:t>
      </w:r>
      <w:r w:rsidRPr="00111F07">
        <w:rPr>
          <w:lang w:val="fr-FR"/>
        </w:rPr>
        <w:t xml:space="preserve"> Féroé et le fait que les lois danoises telles que celle sur l</w:t>
      </w:r>
      <w:r w:rsidR="007A3CEB" w:rsidRPr="00111F07">
        <w:rPr>
          <w:lang w:val="fr-FR"/>
        </w:rPr>
        <w:t>’</w:t>
      </w:r>
      <w:r w:rsidRPr="001C3EFA">
        <w:rPr>
          <w:lang w:val="fr-FR"/>
        </w:rPr>
        <w:t xml:space="preserve">avortement ne reflétaient pas la société féroïenne, la compétence législative sur le sujet a été confiée aux </w:t>
      </w:r>
      <w:r w:rsidRPr="00DF7ED2">
        <w:rPr>
          <w:lang w:val="fr-FR"/>
        </w:rPr>
        <w:t>Îles</w:t>
      </w:r>
      <w:r w:rsidRPr="00111F07">
        <w:rPr>
          <w:lang w:val="fr-FR"/>
        </w:rPr>
        <w:t xml:space="preserve"> Féroé.</w:t>
      </w:r>
    </w:p>
    <w:p w14:paraId="0F15072A" w14:textId="6FCAA1EC" w:rsidR="00603A87" w:rsidRPr="007978B6" w:rsidRDefault="00603A87" w:rsidP="0010170A">
      <w:pPr>
        <w:pStyle w:val="SingleTxt"/>
        <w:numPr>
          <w:ilvl w:val="0"/>
          <w:numId w:val="63"/>
        </w:numPr>
        <w:rPr>
          <w:lang w:val="fr-FR"/>
        </w:rPr>
      </w:pPr>
      <w:r w:rsidRPr="001C3EFA">
        <w:rPr>
          <w:lang w:val="fr-FR"/>
        </w:rPr>
        <w:t>Le Go</w:t>
      </w:r>
      <w:r w:rsidRPr="007978B6">
        <w:rPr>
          <w:lang w:val="fr-FR"/>
        </w:rPr>
        <w:t xml:space="preserve">uvernement des </w:t>
      </w:r>
      <w:r w:rsidRPr="00DF7ED2">
        <w:rPr>
          <w:lang w:val="fr-FR"/>
        </w:rPr>
        <w:t>Îles</w:t>
      </w:r>
      <w:r w:rsidRPr="00111F07">
        <w:rPr>
          <w:lang w:val="fr-FR"/>
        </w:rPr>
        <w:t xml:space="preserve"> Féroé (en septembre 2019) ne prévoit pas de modifier la législation sur l</w:t>
      </w:r>
      <w:r w:rsidR="007A3CEB" w:rsidRPr="00111F07">
        <w:rPr>
          <w:lang w:val="fr-FR"/>
        </w:rPr>
        <w:t>’</w:t>
      </w:r>
      <w:r w:rsidRPr="001C3EFA">
        <w:rPr>
          <w:lang w:val="fr-FR"/>
        </w:rPr>
        <w:t xml:space="preserve">avortement. </w:t>
      </w:r>
    </w:p>
    <w:p w14:paraId="34C093B3" w14:textId="33397304" w:rsidR="00603A87" w:rsidRPr="00111F07" w:rsidRDefault="00603A87" w:rsidP="005E7340">
      <w:pPr>
        <w:pStyle w:val="SingleTxt"/>
        <w:spacing w:after="0" w:line="120" w:lineRule="exact"/>
        <w:rPr>
          <w:sz w:val="10"/>
          <w:lang w:val="fr-FR"/>
        </w:rPr>
      </w:pPr>
    </w:p>
    <w:p w14:paraId="3DFE3E44" w14:textId="5DA77A10" w:rsidR="005E7340" w:rsidRPr="00111F07" w:rsidRDefault="005E7340" w:rsidP="005E7340">
      <w:pPr>
        <w:pStyle w:val="SingleTxt"/>
        <w:spacing w:after="0" w:line="120" w:lineRule="exact"/>
        <w:rPr>
          <w:sz w:val="10"/>
          <w:lang w:val="fr-FR"/>
        </w:rPr>
      </w:pPr>
    </w:p>
    <w:p w14:paraId="5AEF11C4" w14:textId="5EFCE3ED" w:rsidR="00603A87" w:rsidRPr="00111F07" w:rsidRDefault="005E7340" w:rsidP="005E73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VIH/sida</w:t>
      </w:r>
    </w:p>
    <w:p w14:paraId="208980F2" w14:textId="26C0F336" w:rsidR="00603A87" w:rsidRPr="00111F07" w:rsidRDefault="00603A87" w:rsidP="005E7340">
      <w:pPr>
        <w:pStyle w:val="SingleTxt"/>
        <w:spacing w:after="0" w:line="120" w:lineRule="exact"/>
        <w:rPr>
          <w:b/>
          <w:bCs/>
          <w:sz w:val="10"/>
          <w:lang w:val="fr-FR"/>
        </w:rPr>
      </w:pPr>
    </w:p>
    <w:p w14:paraId="533F189C" w14:textId="36A00924" w:rsidR="005E7340" w:rsidRPr="00111F07" w:rsidRDefault="005E7340" w:rsidP="005E7340">
      <w:pPr>
        <w:pStyle w:val="SingleTxt"/>
        <w:spacing w:after="0" w:line="120" w:lineRule="exact"/>
        <w:rPr>
          <w:b/>
          <w:bCs/>
          <w:sz w:val="10"/>
          <w:lang w:val="fr-FR"/>
        </w:rPr>
      </w:pPr>
    </w:p>
    <w:p w14:paraId="5624773D" w14:textId="36801489" w:rsidR="00603A87" w:rsidRPr="00111F07" w:rsidRDefault="005E7340" w:rsidP="005E73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Réponse au paragraphe 20</w:t>
      </w:r>
    </w:p>
    <w:p w14:paraId="6AA09173" w14:textId="2CF8E622" w:rsidR="005E7340" w:rsidRPr="00111F07" w:rsidRDefault="005E7340" w:rsidP="005E7340">
      <w:pPr>
        <w:pStyle w:val="SingleTxt"/>
        <w:spacing w:after="0" w:line="120" w:lineRule="exact"/>
        <w:rPr>
          <w:sz w:val="10"/>
          <w:lang w:val="fr-FR"/>
        </w:rPr>
      </w:pPr>
    </w:p>
    <w:p w14:paraId="63A17BC5" w14:textId="4516111A" w:rsidR="005E7340" w:rsidRPr="00111F07" w:rsidRDefault="005E7340" w:rsidP="005E7340">
      <w:pPr>
        <w:pStyle w:val="SingleTxt"/>
        <w:spacing w:after="0" w:line="120" w:lineRule="exact"/>
        <w:rPr>
          <w:sz w:val="10"/>
          <w:lang w:val="fr-FR"/>
        </w:rPr>
      </w:pPr>
    </w:p>
    <w:p w14:paraId="4FFF4942" w14:textId="1AFDD1A0" w:rsidR="00603A87" w:rsidRPr="00111F07" w:rsidRDefault="00603A87" w:rsidP="0010170A">
      <w:pPr>
        <w:pStyle w:val="SingleTxt"/>
        <w:numPr>
          <w:ilvl w:val="0"/>
          <w:numId w:val="63"/>
        </w:numPr>
        <w:spacing w:line="240" w:lineRule="exact"/>
        <w:rPr>
          <w:lang w:val="fr-FR"/>
        </w:rPr>
      </w:pPr>
      <w:r w:rsidRPr="00111F07">
        <w:rPr>
          <w:lang w:val="fr-FR"/>
        </w:rPr>
        <w:t>Dans le tableau ci-dessous est indiqué le nombre déclaré de femmes vivant avec le VIH/sida, ventilé par âge et lieu d</w:t>
      </w:r>
      <w:r w:rsidR="007A3CEB" w:rsidRPr="00111F07">
        <w:rPr>
          <w:lang w:val="fr-FR"/>
        </w:rPr>
        <w:t>’</w:t>
      </w:r>
      <w:r w:rsidRPr="00111F07">
        <w:rPr>
          <w:lang w:val="fr-FR"/>
        </w:rPr>
        <w:t>origine.</w:t>
      </w:r>
    </w:p>
    <w:p w14:paraId="0FAA4A9D" w14:textId="1CE69EBB" w:rsidR="00603A87" w:rsidRPr="00111F07" w:rsidRDefault="00603A87" w:rsidP="005E7340">
      <w:pPr>
        <w:pStyle w:val="SingleTxt"/>
        <w:spacing w:after="0" w:line="120" w:lineRule="exact"/>
        <w:rPr>
          <w:sz w:val="10"/>
          <w:lang w:val="fr-FR"/>
        </w:rPr>
      </w:pPr>
    </w:p>
    <w:p w14:paraId="12FD1027" w14:textId="3402401A" w:rsidR="00603A87" w:rsidRPr="00111F07" w:rsidRDefault="005E7340" w:rsidP="005E734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Tableau 1</w:t>
      </w:r>
    </w:p>
    <w:p w14:paraId="1161549B" w14:textId="5A8AC3CE" w:rsidR="00603A87" w:rsidRPr="00111F07" w:rsidRDefault="005E7340" w:rsidP="005E73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Nombre déclaré de femmes séropositives vivant au Danemark</w:t>
      </w:r>
    </w:p>
    <w:p w14:paraId="5DF766C5" w14:textId="63D8B6BC" w:rsidR="00603A87" w:rsidRDefault="00603A87" w:rsidP="00603A87">
      <w:pPr>
        <w:pStyle w:val="SingleTxt"/>
        <w:rPr>
          <w:lang w:val="fr-FR"/>
        </w:rPr>
      </w:pPr>
      <w:r w:rsidRPr="00111F07">
        <w:rPr>
          <w:lang w:val="fr-FR"/>
        </w:rPr>
        <w:t>1</w:t>
      </w:r>
      <w:r w:rsidRPr="00111F07">
        <w:rPr>
          <w:vertAlign w:val="superscript"/>
          <w:lang w:val="fr-FR"/>
        </w:rPr>
        <w:t>er</w:t>
      </w:r>
      <w:r w:rsidRPr="00111F07">
        <w:rPr>
          <w:lang w:val="fr-FR"/>
        </w:rPr>
        <w:t xml:space="preserve"> janvier 2020</w:t>
      </w:r>
    </w:p>
    <w:p w14:paraId="0BE72F9A" w14:textId="3F19F09A" w:rsidR="0006561A" w:rsidRPr="0006561A" w:rsidRDefault="0006561A" w:rsidP="0006561A">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A700AF" w:rsidRPr="00111F07" w14:paraId="5E2563AA" w14:textId="77777777" w:rsidTr="00A700AF">
        <w:trPr>
          <w:cantSplit/>
          <w:tblHeader/>
        </w:trPr>
        <w:tc>
          <w:tcPr>
            <w:tcW w:w="1830" w:type="dxa"/>
            <w:vMerge w:val="restart"/>
            <w:tcBorders>
              <w:top w:val="single" w:sz="4" w:space="0" w:color="auto"/>
            </w:tcBorders>
            <w:shd w:val="clear" w:color="auto" w:fill="auto"/>
            <w:noWrap/>
            <w:vAlign w:val="bottom"/>
          </w:tcPr>
          <w:p w14:paraId="52C731E9" w14:textId="3D06B6D4" w:rsidR="00A700AF" w:rsidRPr="00111F07" w:rsidRDefault="00A700AF" w:rsidP="00A700AF">
            <w:pPr>
              <w:suppressAutoHyphens/>
              <w:spacing w:before="81" w:after="81" w:line="160" w:lineRule="exact"/>
              <w:ind w:right="40"/>
              <w:rPr>
                <w:i/>
                <w:sz w:val="14"/>
              </w:rPr>
            </w:pPr>
            <w:r w:rsidRPr="00111F07">
              <w:rPr>
                <w:i/>
                <w:sz w:val="14"/>
              </w:rPr>
              <w:t>Âge</w:t>
            </w:r>
          </w:p>
        </w:tc>
        <w:tc>
          <w:tcPr>
            <w:tcW w:w="3660" w:type="dxa"/>
            <w:gridSpan w:val="2"/>
            <w:tcBorders>
              <w:top w:val="single" w:sz="4" w:space="0" w:color="auto"/>
              <w:bottom w:val="single" w:sz="4" w:space="0" w:color="auto"/>
            </w:tcBorders>
            <w:shd w:val="clear" w:color="auto" w:fill="auto"/>
            <w:noWrap/>
            <w:vAlign w:val="bottom"/>
          </w:tcPr>
          <w:p w14:paraId="30F2DEE6" w14:textId="2F785952" w:rsidR="00A700AF" w:rsidRPr="00111F07" w:rsidRDefault="00A700AF" w:rsidP="00A700AF">
            <w:pPr>
              <w:suppressAutoHyphens/>
              <w:spacing w:before="81" w:after="81" w:line="160" w:lineRule="exact"/>
              <w:ind w:right="43"/>
              <w:jc w:val="center"/>
              <w:rPr>
                <w:i/>
                <w:sz w:val="14"/>
              </w:rPr>
            </w:pPr>
            <w:r w:rsidRPr="00111F07">
              <w:rPr>
                <w:i/>
                <w:sz w:val="14"/>
              </w:rPr>
              <w:t>Lieu de naissance</w:t>
            </w:r>
          </w:p>
        </w:tc>
        <w:tc>
          <w:tcPr>
            <w:tcW w:w="1830" w:type="dxa"/>
            <w:vMerge w:val="restart"/>
            <w:tcBorders>
              <w:top w:val="single" w:sz="4" w:space="0" w:color="auto"/>
            </w:tcBorders>
            <w:shd w:val="clear" w:color="auto" w:fill="auto"/>
            <w:noWrap/>
            <w:vAlign w:val="bottom"/>
          </w:tcPr>
          <w:p w14:paraId="705DEBA1" w14:textId="28095F19" w:rsidR="00A700AF" w:rsidRPr="00111F07" w:rsidRDefault="00A700AF" w:rsidP="00A700AF">
            <w:pPr>
              <w:suppressAutoHyphens/>
              <w:spacing w:before="81" w:after="81" w:line="160" w:lineRule="exact"/>
              <w:ind w:right="43"/>
              <w:jc w:val="right"/>
              <w:rPr>
                <w:i/>
                <w:sz w:val="14"/>
              </w:rPr>
            </w:pPr>
            <w:r w:rsidRPr="00111F07">
              <w:rPr>
                <w:i/>
                <w:sz w:val="14"/>
              </w:rPr>
              <w:t>Total</w:t>
            </w:r>
          </w:p>
        </w:tc>
      </w:tr>
      <w:tr w:rsidR="00A700AF" w:rsidRPr="00111F07" w14:paraId="0C62403B" w14:textId="77777777" w:rsidTr="00A700AF">
        <w:trPr>
          <w:cantSplit/>
          <w:tblHeader/>
        </w:trPr>
        <w:tc>
          <w:tcPr>
            <w:tcW w:w="1830" w:type="dxa"/>
            <w:vMerge/>
            <w:tcBorders>
              <w:bottom w:val="single" w:sz="12" w:space="0" w:color="auto"/>
            </w:tcBorders>
            <w:shd w:val="clear" w:color="auto" w:fill="auto"/>
            <w:noWrap/>
            <w:vAlign w:val="bottom"/>
          </w:tcPr>
          <w:p w14:paraId="5B6D6B6A" w14:textId="3F51B7D8" w:rsidR="00A700AF" w:rsidRPr="00111F07" w:rsidRDefault="00A700AF" w:rsidP="00A700AF">
            <w:pPr>
              <w:suppressAutoHyphens/>
              <w:spacing w:before="81" w:after="81" w:line="160" w:lineRule="exact"/>
              <w:ind w:right="40"/>
              <w:rPr>
                <w:i/>
                <w:sz w:val="14"/>
              </w:rPr>
            </w:pPr>
          </w:p>
        </w:tc>
        <w:tc>
          <w:tcPr>
            <w:tcW w:w="1830" w:type="dxa"/>
            <w:tcBorders>
              <w:top w:val="single" w:sz="4" w:space="0" w:color="auto"/>
              <w:bottom w:val="single" w:sz="12" w:space="0" w:color="auto"/>
            </w:tcBorders>
            <w:shd w:val="clear" w:color="auto" w:fill="auto"/>
            <w:noWrap/>
            <w:vAlign w:val="bottom"/>
          </w:tcPr>
          <w:p w14:paraId="0FBEA89D" w14:textId="12236B10" w:rsidR="00A700AF" w:rsidRPr="00111F07" w:rsidRDefault="00A700AF" w:rsidP="00A700AF">
            <w:pPr>
              <w:suppressAutoHyphens/>
              <w:spacing w:before="81" w:after="81" w:line="160" w:lineRule="exact"/>
              <w:ind w:right="43"/>
              <w:jc w:val="right"/>
              <w:rPr>
                <w:i/>
                <w:sz w:val="14"/>
              </w:rPr>
            </w:pPr>
            <w:r w:rsidRPr="00111F07">
              <w:rPr>
                <w:i/>
                <w:sz w:val="14"/>
              </w:rPr>
              <w:t>Danemark</w:t>
            </w:r>
          </w:p>
        </w:tc>
        <w:tc>
          <w:tcPr>
            <w:tcW w:w="1830" w:type="dxa"/>
            <w:tcBorders>
              <w:top w:val="single" w:sz="4" w:space="0" w:color="auto"/>
              <w:bottom w:val="single" w:sz="12" w:space="0" w:color="auto"/>
            </w:tcBorders>
            <w:shd w:val="clear" w:color="auto" w:fill="auto"/>
            <w:noWrap/>
            <w:vAlign w:val="bottom"/>
          </w:tcPr>
          <w:p w14:paraId="2057401E" w14:textId="117E6EF9" w:rsidR="00A700AF" w:rsidRPr="00111F07" w:rsidRDefault="00A700AF" w:rsidP="00A700AF">
            <w:pPr>
              <w:suppressAutoHyphens/>
              <w:spacing w:before="81" w:after="81" w:line="160" w:lineRule="exact"/>
              <w:ind w:right="43"/>
              <w:jc w:val="right"/>
              <w:rPr>
                <w:i/>
                <w:sz w:val="14"/>
              </w:rPr>
            </w:pPr>
            <w:r w:rsidRPr="00111F07">
              <w:rPr>
                <w:i/>
                <w:sz w:val="14"/>
              </w:rPr>
              <w:t>Pays étranger</w:t>
            </w:r>
          </w:p>
        </w:tc>
        <w:tc>
          <w:tcPr>
            <w:tcW w:w="1830" w:type="dxa"/>
            <w:vMerge/>
            <w:tcBorders>
              <w:bottom w:val="single" w:sz="12" w:space="0" w:color="auto"/>
            </w:tcBorders>
            <w:shd w:val="clear" w:color="auto" w:fill="auto"/>
            <w:noWrap/>
            <w:vAlign w:val="bottom"/>
          </w:tcPr>
          <w:p w14:paraId="4E437166" w14:textId="359B75F7" w:rsidR="00A700AF" w:rsidRPr="00111F07" w:rsidRDefault="00A700AF" w:rsidP="00A700AF">
            <w:pPr>
              <w:suppressAutoHyphens/>
              <w:spacing w:before="81" w:after="81" w:line="160" w:lineRule="exact"/>
              <w:ind w:right="43"/>
              <w:jc w:val="right"/>
              <w:rPr>
                <w:i/>
                <w:sz w:val="14"/>
              </w:rPr>
            </w:pPr>
          </w:p>
        </w:tc>
      </w:tr>
      <w:tr w:rsidR="00A700AF" w:rsidRPr="00111F07" w14:paraId="6F09373B" w14:textId="77777777" w:rsidTr="00A700AF">
        <w:trPr>
          <w:cantSplit/>
          <w:trHeight w:hRule="exact" w:val="115"/>
          <w:tblHeader/>
        </w:trPr>
        <w:tc>
          <w:tcPr>
            <w:tcW w:w="1830" w:type="dxa"/>
            <w:tcBorders>
              <w:top w:val="single" w:sz="12" w:space="0" w:color="auto"/>
            </w:tcBorders>
            <w:shd w:val="clear" w:color="auto" w:fill="auto"/>
            <w:noWrap/>
            <w:vAlign w:val="bottom"/>
          </w:tcPr>
          <w:p w14:paraId="2E1A8CC5" w14:textId="77777777" w:rsidR="00A700AF" w:rsidRPr="00111F07" w:rsidRDefault="00A700AF" w:rsidP="00A700AF">
            <w:pPr>
              <w:suppressAutoHyphens/>
              <w:spacing w:before="40" w:after="40" w:line="210" w:lineRule="exact"/>
              <w:ind w:right="40"/>
              <w:rPr>
                <w:sz w:val="17"/>
              </w:rPr>
            </w:pPr>
          </w:p>
        </w:tc>
        <w:tc>
          <w:tcPr>
            <w:tcW w:w="1830" w:type="dxa"/>
            <w:tcBorders>
              <w:top w:val="single" w:sz="12" w:space="0" w:color="auto"/>
            </w:tcBorders>
            <w:shd w:val="clear" w:color="auto" w:fill="auto"/>
            <w:noWrap/>
            <w:vAlign w:val="bottom"/>
          </w:tcPr>
          <w:p w14:paraId="4B97308A" w14:textId="77777777" w:rsidR="00A700AF" w:rsidRPr="00111F07" w:rsidRDefault="00A700AF" w:rsidP="00A700AF">
            <w:pPr>
              <w:suppressAutoHyphens/>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022E0936" w14:textId="77777777" w:rsidR="00A700AF" w:rsidRPr="00111F07" w:rsidRDefault="00A700AF" w:rsidP="00A700AF">
            <w:pPr>
              <w:suppressAutoHyphens/>
              <w:spacing w:before="40" w:after="40" w:line="210" w:lineRule="exact"/>
              <w:ind w:right="43"/>
              <w:jc w:val="right"/>
              <w:rPr>
                <w:sz w:val="17"/>
              </w:rPr>
            </w:pPr>
          </w:p>
        </w:tc>
        <w:tc>
          <w:tcPr>
            <w:tcW w:w="1830" w:type="dxa"/>
            <w:tcBorders>
              <w:top w:val="single" w:sz="12" w:space="0" w:color="auto"/>
            </w:tcBorders>
            <w:shd w:val="clear" w:color="auto" w:fill="auto"/>
            <w:noWrap/>
            <w:vAlign w:val="bottom"/>
          </w:tcPr>
          <w:p w14:paraId="3B23FF62" w14:textId="77777777" w:rsidR="00A700AF" w:rsidRPr="00111F07" w:rsidRDefault="00A700AF" w:rsidP="00A700AF">
            <w:pPr>
              <w:suppressAutoHyphens/>
              <w:spacing w:before="40" w:after="40" w:line="210" w:lineRule="exact"/>
              <w:ind w:right="43"/>
              <w:jc w:val="right"/>
              <w:rPr>
                <w:sz w:val="17"/>
              </w:rPr>
            </w:pPr>
          </w:p>
        </w:tc>
      </w:tr>
      <w:tr w:rsidR="005E7340" w:rsidRPr="00111F07" w14:paraId="4929719D" w14:textId="77777777" w:rsidTr="00A700AF">
        <w:trPr>
          <w:cantSplit/>
        </w:trPr>
        <w:tc>
          <w:tcPr>
            <w:tcW w:w="1830" w:type="dxa"/>
            <w:shd w:val="clear" w:color="auto" w:fill="auto"/>
            <w:noWrap/>
            <w:vAlign w:val="bottom"/>
          </w:tcPr>
          <w:p w14:paraId="3046D9AC" w14:textId="19EF2CB0" w:rsidR="005E7340" w:rsidRPr="00111F07" w:rsidRDefault="005E7340" w:rsidP="00A700AF">
            <w:pPr>
              <w:tabs>
                <w:tab w:val="left" w:pos="288"/>
                <w:tab w:val="left" w:pos="576"/>
                <w:tab w:val="left" w:pos="864"/>
                <w:tab w:val="left" w:pos="1152"/>
              </w:tabs>
              <w:suppressAutoHyphens/>
              <w:spacing w:before="40" w:after="40" w:line="210" w:lineRule="exact"/>
              <w:ind w:right="40"/>
              <w:rPr>
                <w:sz w:val="17"/>
              </w:rPr>
            </w:pPr>
            <w:r w:rsidRPr="00111F07">
              <w:rPr>
                <w:sz w:val="17"/>
              </w:rPr>
              <w:t>0-14 ans</w:t>
            </w:r>
          </w:p>
        </w:tc>
        <w:tc>
          <w:tcPr>
            <w:tcW w:w="1830" w:type="dxa"/>
            <w:shd w:val="clear" w:color="auto" w:fill="auto"/>
            <w:noWrap/>
            <w:vAlign w:val="bottom"/>
          </w:tcPr>
          <w:p w14:paraId="291964D7" w14:textId="079222C0"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20</w:t>
            </w:r>
          </w:p>
        </w:tc>
        <w:tc>
          <w:tcPr>
            <w:tcW w:w="1830" w:type="dxa"/>
            <w:shd w:val="clear" w:color="auto" w:fill="auto"/>
            <w:noWrap/>
            <w:vAlign w:val="bottom"/>
          </w:tcPr>
          <w:p w14:paraId="4E3E5F46" w14:textId="0C4BC5D1"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53</w:t>
            </w:r>
          </w:p>
        </w:tc>
        <w:tc>
          <w:tcPr>
            <w:tcW w:w="1830" w:type="dxa"/>
            <w:shd w:val="clear" w:color="auto" w:fill="auto"/>
            <w:noWrap/>
            <w:vAlign w:val="bottom"/>
          </w:tcPr>
          <w:p w14:paraId="49D9F218" w14:textId="51F0A0E4"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73</w:t>
            </w:r>
          </w:p>
        </w:tc>
      </w:tr>
      <w:tr w:rsidR="005E7340" w:rsidRPr="00111F07" w14:paraId="29111A1A" w14:textId="77777777" w:rsidTr="00A700AF">
        <w:trPr>
          <w:cantSplit/>
        </w:trPr>
        <w:tc>
          <w:tcPr>
            <w:tcW w:w="1830" w:type="dxa"/>
            <w:shd w:val="clear" w:color="auto" w:fill="auto"/>
            <w:noWrap/>
            <w:vAlign w:val="bottom"/>
          </w:tcPr>
          <w:p w14:paraId="55F86748" w14:textId="17592CFD" w:rsidR="005E7340" w:rsidRPr="00111F07" w:rsidRDefault="005E7340" w:rsidP="00A700AF">
            <w:pPr>
              <w:tabs>
                <w:tab w:val="left" w:pos="288"/>
                <w:tab w:val="left" w:pos="576"/>
                <w:tab w:val="left" w:pos="864"/>
                <w:tab w:val="left" w:pos="1152"/>
              </w:tabs>
              <w:suppressAutoHyphens/>
              <w:spacing w:before="40" w:after="40" w:line="210" w:lineRule="exact"/>
              <w:ind w:right="40"/>
              <w:rPr>
                <w:sz w:val="17"/>
              </w:rPr>
            </w:pPr>
            <w:r w:rsidRPr="00111F07">
              <w:rPr>
                <w:sz w:val="17"/>
              </w:rPr>
              <w:t>15-25 ans</w:t>
            </w:r>
          </w:p>
        </w:tc>
        <w:tc>
          <w:tcPr>
            <w:tcW w:w="1830" w:type="dxa"/>
            <w:shd w:val="clear" w:color="auto" w:fill="auto"/>
            <w:noWrap/>
            <w:vAlign w:val="bottom"/>
          </w:tcPr>
          <w:p w14:paraId="359F076E" w14:textId="531F9770"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109</w:t>
            </w:r>
          </w:p>
        </w:tc>
        <w:tc>
          <w:tcPr>
            <w:tcW w:w="1830" w:type="dxa"/>
            <w:shd w:val="clear" w:color="auto" w:fill="auto"/>
            <w:noWrap/>
            <w:vAlign w:val="bottom"/>
          </w:tcPr>
          <w:p w14:paraId="30ECCB5F" w14:textId="7E017FFF"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263</w:t>
            </w:r>
          </w:p>
        </w:tc>
        <w:tc>
          <w:tcPr>
            <w:tcW w:w="1830" w:type="dxa"/>
            <w:shd w:val="clear" w:color="auto" w:fill="auto"/>
            <w:noWrap/>
            <w:vAlign w:val="bottom"/>
          </w:tcPr>
          <w:p w14:paraId="0742CF23" w14:textId="1A985173"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372</w:t>
            </w:r>
          </w:p>
        </w:tc>
      </w:tr>
      <w:tr w:rsidR="005E7340" w:rsidRPr="00111F07" w14:paraId="56BAB137" w14:textId="77777777" w:rsidTr="00A700AF">
        <w:trPr>
          <w:cantSplit/>
        </w:trPr>
        <w:tc>
          <w:tcPr>
            <w:tcW w:w="1830" w:type="dxa"/>
            <w:shd w:val="clear" w:color="auto" w:fill="auto"/>
            <w:noWrap/>
            <w:vAlign w:val="bottom"/>
          </w:tcPr>
          <w:p w14:paraId="10232D9E" w14:textId="60796D56" w:rsidR="005E7340" w:rsidRPr="00111F07" w:rsidRDefault="005E7340" w:rsidP="00A700AF">
            <w:pPr>
              <w:tabs>
                <w:tab w:val="left" w:pos="288"/>
                <w:tab w:val="left" w:pos="576"/>
                <w:tab w:val="left" w:pos="864"/>
                <w:tab w:val="left" w:pos="1152"/>
              </w:tabs>
              <w:suppressAutoHyphens/>
              <w:spacing w:before="40" w:after="40" w:line="210" w:lineRule="exact"/>
              <w:ind w:right="40"/>
              <w:rPr>
                <w:sz w:val="17"/>
              </w:rPr>
            </w:pPr>
            <w:r w:rsidRPr="00111F07">
              <w:rPr>
                <w:sz w:val="17"/>
              </w:rPr>
              <w:t>26-64 ans</w:t>
            </w:r>
          </w:p>
        </w:tc>
        <w:tc>
          <w:tcPr>
            <w:tcW w:w="1830" w:type="dxa"/>
            <w:shd w:val="clear" w:color="auto" w:fill="auto"/>
            <w:noWrap/>
            <w:vAlign w:val="bottom"/>
          </w:tcPr>
          <w:p w14:paraId="3099B588" w14:textId="2D645DCD"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485</w:t>
            </w:r>
          </w:p>
        </w:tc>
        <w:tc>
          <w:tcPr>
            <w:tcW w:w="1830" w:type="dxa"/>
            <w:shd w:val="clear" w:color="auto" w:fill="auto"/>
            <w:noWrap/>
            <w:vAlign w:val="bottom"/>
          </w:tcPr>
          <w:p w14:paraId="13D5DF8D" w14:textId="7E6F47FA"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1098</w:t>
            </w:r>
          </w:p>
        </w:tc>
        <w:tc>
          <w:tcPr>
            <w:tcW w:w="1830" w:type="dxa"/>
            <w:shd w:val="clear" w:color="auto" w:fill="auto"/>
            <w:noWrap/>
            <w:vAlign w:val="bottom"/>
          </w:tcPr>
          <w:p w14:paraId="0EEDE018" w14:textId="0E293F1B"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1583</w:t>
            </w:r>
          </w:p>
        </w:tc>
      </w:tr>
      <w:tr w:rsidR="005E7340" w:rsidRPr="00111F07" w14:paraId="6D619A06" w14:textId="77777777" w:rsidTr="00A700AF">
        <w:trPr>
          <w:cantSplit/>
        </w:trPr>
        <w:tc>
          <w:tcPr>
            <w:tcW w:w="1830" w:type="dxa"/>
            <w:shd w:val="clear" w:color="auto" w:fill="auto"/>
            <w:noWrap/>
            <w:vAlign w:val="bottom"/>
          </w:tcPr>
          <w:p w14:paraId="532D632C" w14:textId="5F6696E5" w:rsidR="005E7340" w:rsidRPr="00111F07" w:rsidRDefault="005E7340" w:rsidP="00A700AF">
            <w:pPr>
              <w:tabs>
                <w:tab w:val="left" w:pos="288"/>
                <w:tab w:val="left" w:pos="576"/>
                <w:tab w:val="left" w:pos="864"/>
                <w:tab w:val="left" w:pos="1152"/>
              </w:tabs>
              <w:suppressAutoHyphens/>
              <w:spacing w:before="40" w:after="40" w:line="210" w:lineRule="exact"/>
              <w:ind w:right="40"/>
              <w:rPr>
                <w:sz w:val="17"/>
              </w:rPr>
            </w:pPr>
            <w:r w:rsidRPr="00111F07">
              <w:rPr>
                <w:sz w:val="17"/>
              </w:rPr>
              <w:t>65 ans et plus</w:t>
            </w:r>
          </w:p>
        </w:tc>
        <w:tc>
          <w:tcPr>
            <w:tcW w:w="1830" w:type="dxa"/>
            <w:shd w:val="clear" w:color="auto" w:fill="auto"/>
            <w:noWrap/>
            <w:vAlign w:val="bottom"/>
          </w:tcPr>
          <w:p w14:paraId="0F4260CF" w14:textId="7DB7AFD8"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12</w:t>
            </w:r>
          </w:p>
        </w:tc>
        <w:tc>
          <w:tcPr>
            <w:tcW w:w="1830" w:type="dxa"/>
            <w:shd w:val="clear" w:color="auto" w:fill="auto"/>
            <w:noWrap/>
            <w:vAlign w:val="bottom"/>
          </w:tcPr>
          <w:p w14:paraId="0088A62B" w14:textId="0AE1FDD0"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5</w:t>
            </w:r>
          </w:p>
        </w:tc>
        <w:tc>
          <w:tcPr>
            <w:tcW w:w="1830" w:type="dxa"/>
            <w:shd w:val="clear" w:color="auto" w:fill="auto"/>
            <w:noWrap/>
            <w:vAlign w:val="bottom"/>
          </w:tcPr>
          <w:p w14:paraId="155B5F3E" w14:textId="1AD2D048" w:rsidR="005E7340" w:rsidRPr="00111F07" w:rsidRDefault="005E7340" w:rsidP="00A700AF">
            <w:pPr>
              <w:tabs>
                <w:tab w:val="left" w:pos="288"/>
                <w:tab w:val="left" w:pos="576"/>
                <w:tab w:val="left" w:pos="864"/>
                <w:tab w:val="left" w:pos="1152"/>
              </w:tabs>
              <w:suppressAutoHyphens/>
              <w:spacing w:before="40" w:after="40" w:line="210" w:lineRule="exact"/>
              <w:ind w:right="43"/>
              <w:jc w:val="right"/>
              <w:rPr>
                <w:sz w:val="17"/>
              </w:rPr>
            </w:pPr>
            <w:r w:rsidRPr="00111F07">
              <w:rPr>
                <w:sz w:val="17"/>
              </w:rPr>
              <w:t>17</w:t>
            </w:r>
          </w:p>
        </w:tc>
      </w:tr>
      <w:tr w:rsidR="005E7340" w:rsidRPr="00111F07" w14:paraId="19DEF800" w14:textId="77777777" w:rsidTr="00A700AF">
        <w:trPr>
          <w:cantSplit/>
        </w:trPr>
        <w:tc>
          <w:tcPr>
            <w:tcW w:w="1830" w:type="dxa"/>
            <w:tcBorders>
              <w:bottom w:val="single" w:sz="4" w:space="0" w:color="auto"/>
            </w:tcBorders>
            <w:shd w:val="clear" w:color="auto" w:fill="auto"/>
            <w:noWrap/>
            <w:vAlign w:val="bottom"/>
          </w:tcPr>
          <w:p w14:paraId="545ECEFA" w14:textId="248D2B15" w:rsidR="005E7340" w:rsidRPr="00111F07" w:rsidRDefault="005E7340" w:rsidP="00A700AF">
            <w:pPr>
              <w:tabs>
                <w:tab w:val="left" w:pos="288"/>
                <w:tab w:val="left" w:pos="576"/>
                <w:tab w:val="left" w:pos="864"/>
                <w:tab w:val="left" w:pos="1152"/>
              </w:tabs>
              <w:suppressAutoHyphens/>
              <w:spacing w:before="40" w:after="81" w:line="210" w:lineRule="exact"/>
              <w:ind w:right="40"/>
              <w:rPr>
                <w:sz w:val="17"/>
              </w:rPr>
            </w:pPr>
            <w:r w:rsidRPr="00111F07">
              <w:rPr>
                <w:sz w:val="17"/>
              </w:rPr>
              <w:t>Inconnu</w:t>
            </w:r>
          </w:p>
        </w:tc>
        <w:tc>
          <w:tcPr>
            <w:tcW w:w="1830" w:type="dxa"/>
            <w:tcBorders>
              <w:bottom w:val="single" w:sz="4" w:space="0" w:color="auto"/>
            </w:tcBorders>
            <w:shd w:val="clear" w:color="auto" w:fill="auto"/>
            <w:noWrap/>
            <w:vAlign w:val="bottom"/>
          </w:tcPr>
          <w:p w14:paraId="5437398A" w14:textId="56BA7EB3" w:rsidR="005E7340" w:rsidRPr="00111F07" w:rsidRDefault="005E7340" w:rsidP="00A700AF">
            <w:pPr>
              <w:tabs>
                <w:tab w:val="left" w:pos="288"/>
                <w:tab w:val="left" w:pos="576"/>
                <w:tab w:val="left" w:pos="864"/>
                <w:tab w:val="left" w:pos="1152"/>
              </w:tabs>
              <w:suppressAutoHyphens/>
              <w:spacing w:before="40" w:after="81" w:line="210" w:lineRule="exact"/>
              <w:ind w:right="43"/>
              <w:jc w:val="right"/>
              <w:rPr>
                <w:sz w:val="17"/>
              </w:rPr>
            </w:pPr>
            <w:r w:rsidRPr="00111F07">
              <w:rPr>
                <w:sz w:val="17"/>
              </w:rPr>
              <w:t>7</w:t>
            </w:r>
          </w:p>
        </w:tc>
        <w:tc>
          <w:tcPr>
            <w:tcW w:w="1830" w:type="dxa"/>
            <w:tcBorders>
              <w:bottom w:val="single" w:sz="4" w:space="0" w:color="auto"/>
            </w:tcBorders>
            <w:shd w:val="clear" w:color="auto" w:fill="auto"/>
            <w:noWrap/>
            <w:vAlign w:val="bottom"/>
          </w:tcPr>
          <w:p w14:paraId="65A75279" w14:textId="4B9B6A19" w:rsidR="005E7340" w:rsidRPr="00111F07" w:rsidRDefault="005E7340" w:rsidP="00A700AF">
            <w:pPr>
              <w:tabs>
                <w:tab w:val="left" w:pos="288"/>
                <w:tab w:val="left" w:pos="576"/>
                <w:tab w:val="left" w:pos="864"/>
                <w:tab w:val="left" w:pos="1152"/>
              </w:tabs>
              <w:suppressAutoHyphens/>
              <w:spacing w:before="40" w:after="81" w:line="210" w:lineRule="exact"/>
              <w:ind w:right="43"/>
              <w:jc w:val="right"/>
              <w:rPr>
                <w:sz w:val="17"/>
              </w:rPr>
            </w:pPr>
            <w:r w:rsidRPr="00111F07">
              <w:rPr>
                <w:sz w:val="17"/>
              </w:rPr>
              <w:t>28</w:t>
            </w:r>
          </w:p>
        </w:tc>
        <w:tc>
          <w:tcPr>
            <w:tcW w:w="1830" w:type="dxa"/>
            <w:tcBorders>
              <w:bottom w:val="single" w:sz="4" w:space="0" w:color="auto"/>
            </w:tcBorders>
            <w:shd w:val="clear" w:color="auto" w:fill="auto"/>
            <w:noWrap/>
            <w:vAlign w:val="bottom"/>
          </w:tcPr>
          <w:p w14:paraId="5F13E903" w14:textId="24422F74" w:rsidR="005E7340" w:rsidRPr="00111F07" w:rsidRDefault="005E7340" w:rsidP="00A700AF">
            <w:pPr>
              <w:tabs>
                <w:tab w:val="left" w:pos="288"/>
                <w:tab w:val="left" w:pos="576"/>
                <w:tab w:val="left" w:pos="864"/>
                <w:tab w:val="left" w:pos="1152"/>
              </w:tabs>
              <w:suppressAutoHyphens/>
              <w:spacing w:before="40" w:after="81" w:line="210" w:lineRule="exact"/>
              <w:ind w:right="43"/>
              <w:jc w:val="right"/>
              <w:rPr>
                <w:sz w:val="17"/>
              </w:rPr>
            </w:pPr>
            <w:r w:rsidRPr="00111F07">
              <w:rPr>
                <w:sz w:val="17"/>
              </w:rPr>
              <w:t>35</w:t>
            </w:r>
          </w:p>
        </w:tc>
      </w:tr>
      <w:tr w:rsidR="005E7340" w:rsidRPr="00111F07" w14:paraId="508BE1C3" w14:textId="77777777" w:rsidTr="00A700AF">
        <w:trPr>
          <w:cantSplit/>
        </w:trPr>
        <w:tc>
          <w:tcPr>
            <w:tcW w:w="1830" w:type="dxa"/>
            <w:tcBorders>
              <w:top w:val="single" w:sz="4" w:space="0" w:color="auto"/>
              <w:bottom w:val="single" w:sz="12" w:space="0" w:color="auto"/>
            </w:tcBorders>
            <w:shd w:val="clear" w:color="auto" w:fill="auto"/>
            <w:noWrap/>
            <w:vAlign w:val="bottom"/>
          </w:tcPr>
          <w:p w14:paraId="19DCDEA9" w14:textId="4F98C11A" w:rsidR="005E7340" w:rsidRPr="00111F07" w:rsidRDefault="00A700AF" w:rsidP="00A700AF">
            <w:pPr>
              <w:tabs>
                <w:tab w:val="left" w:pos="288"/>
                <w:tab w:val="left" w:pos="576"/>
                <w:tab w:val="left" w:pos="864"/>
                <w:tab w:val="left" w:pos="1152"/>
              </w:tabs>
              <w:suppressAutoHyphens/>
              <w:spacing w:before="81" w:after="81" w:line="210" w:lineRule="exact"/>
              <w:ind w:right="40"/>
              <w:rPr>
                <w:b/>
                <w:sz w:val="17"/>
              </w:rPr>
            </w:pPr>
            <w:r w:rsidRPr="00111F07">
              <w:rPr>
                <w:b/>
                <w:sz w:val="17"/>
              </w:rPr>
              <w:tab/>
            </w:r>
            <w:r w:rsidR="005E7340" w:rsidRPr="00111F07">
              <w:rPr>
                <w:b/>
                <w:sz w:val="17"/>
              </w:rPr>
              <w:t>Total</w:t>
            </w:r>
          </w:p>
        </w:tc>
        <w:tc>
          <w:tcPr>
            <w:tcW w:w="1830" w:type="dxa"/>
            <w:tcBorders>
              <w:top w:val="single" w:sz="4" w:space="0" w:color="auto"/>
              <w:bottom w:val="single" w:sz="12" w:space="0" w:color="auto"/>
            </w:tcBorders>
            <w:shd w:val="clear" w:color="auto" w:fill="auto"/>
            <w:noWrap/>
            <w:vAlign w:val="bottom"/>
          </w:tcPr>
          <w:p w14:paraId="4956B7E2" w14:textId="550D4236" w:rsidR="005E7340" w:rsidRPr="00111F07" w:rsidRDefault="005E7340" w:rsidP="00A700AF">
            <w:pPr>
              <w:tabs>
                <w:tab w:val="left" w:pos="288"/>
                <w:tab w:val="left" w:pos="576"/>
                <w:tab w:val="left" w:pos="864"/>
                <w:tab w:val="left" w:pos="1152"/>
              </w:tabs>
              <w:suppressAutoHyphens/>
              <w:spacing w:before="81" w:after="81" w:line="210" w:lineRule="exact"/>
              <w:ind w:right="43"/>
              <w:jc w:val="right"/>
              <w:rPr>
                <w:b/>
                <w:sz w:val="17"/>
              </w:rPr>
            </w:pPr>
            <w:r w:rsidRPr="00111F07">
              <w:rPr>
                <w:b/>
                <w:sz w:val="17"/>
              </w:rPr>
              <w:t>633</w:t>
            </w:r>
          </w:p>
        </w:tc>
        <w:tc>
          <w:tcPr>
            <w:tcW w:w="1830" w:type="dxa"/>
            <w:tcBorders>
              <w:top w:val="single" w:sz="4" w:space="0" w:color="auto"/>
              <w:bottom w:val="single" w:sz="12" w:space="0" w:color="auto"/>
            </w:tcBorders>
            <w:shd w:val="clear" w:color="auto" w:fill="auto"/>
            <w:noWrap/>
            <w:vAlign w:val="bottom"/>
          </w:tcPr>
          <w:p w14:paraId="1ED945AD" w14:textId="78B1F9C4" w:rsidR="005E7340" w:rsidRPr="00111F07" w:rsidRDefault="005E7340" w:rsidP="00A700AF">
            <w:pPr>
              <w:tabs>
                <w:tab w:val="left" w:pos="288"/>
                <w:tab w:val="left" w:pos="576"/>
                <w:tab w:val="left" w:pos="864"/>
                <w:tab w:val="left" w:pos="1152"/>
              </w:tabs>
              <w:suppressAutoHyphens/>
              <w:spacing w:before="81" w:after="81" w:line="210" w:lineRule="exact"/>
              <w:ind w:right="43"/>
              <w:jc w:val="right"/>
              <w:rPr>
                <w:b/>
                <w:sz w:val="17"/>
              </w:rPr>
            </w:pPr>
            <w:r w:rsidRPr="00111F07">
              <w:rPr>
                <w:b/>
                <w:sz w:val="17"/>
              </w:rPr>
              <w:t>1447</w:t>
            </w:r>
          </w:p>
        </w:tc>
        <w:tc>
          <w:tcPr>
            <w:tcW w:w="1830" w:type="dxa"/>
            <w:tcBorders>
              <w:top w:val="single" w:sz="4" w:space="0" w:color="auto"/>
              <w:bottom w:val="single" w:sz="12" w:space="0" w:color="auto"/>
            </w:tcBorders>
            <w:shd w:val="clear" w:color="auto" w:fill="auto"/>
            <w:noWrap/>
            <w:vAlign w:val="bottom"/>
          </w:tcPr>
          <w:p w14:paraId="1052B8E5" w14:textId="5EC7C079" w:rsidR="005E7340" w:rsidRPr="00111F07" w:rsidRDefault="005E7340" w:rsidP="00A700AF">
            <w:pPr>
              <w:tabs>
                <w:tab w:val="left" w:pos="288"/>
                <w:tab w:val="left" w:pos="576"/>
                <w:tab w:val="left" w:pos="864"/>
                <w:tab w:val="left" w:pos="1152"/>
              </w:tabs>
              <w:suppressAutoHyphens/>
              <w:spacing w:before="81" w:after="81" w:line="210" w:lineRule="exact"/>
              <w:ind w:right="43"/>
              <w:jc w:val="right"/>
              <w:rPr>
                <w:b/>
                <w:sz w:val="17"/>
              </w:rPr>
            </w:pPr>
            <w:r w:rsidRPr="00111F07">
              <w:rPr>
                <w:b/>
                <w:sz w:val="17"/>
              </w:rPr>
              <w:t>2080</w:t>
            </w:r>
          </w:p>
        </w:tc>
      </w:tr>
    </w:tbl>
    <w:p w14:paraId="772E70B3" w14:textId="445719C3" w:rsidR="00603A87" w:rsidRPr="00111F07" w:rsidRDefault="00603A87" w:rsidP="00A700AF">
      <w:pPr>
        <w:pStyle w:val="SingleTxt"/>
        <w:spacing w:after="0" w:line="120" w:lineRule="exact"/>
        <w:rPr>
          <w:sz w:val="10"/>
          <w:lang w:val="fr-FR"/>
        </w:rPr>
      </w:pPr>
    </w:p>
    <w:p w14:paraId="1A23BEF7" w14:textId="0A978653" w:rsidR="00603A87" w:rsidRPr="00111F07" w:rsidRDefault="00603A87" w:rsidP="00A700AF">
      <w:pPr>
        <w:pStyle w:val="FootnoteText"/>
        <w:tabs>
          <w:tab w:val="right" w:pos="1476"/>
          <w:tab w:val="left" w:pos="1548"/>
          <w:tab w:val="right" w:pos="1836"/>
          <w:tab w:val="left" w:pos="1908"/>
        </w:tabs>
        <w:ind w:left="1548" w:right="1267" w:hanging="288"/>
        <w:rPr>
          <w:lang w:val="fr-FR"/>
        </w:rPr>
      </w:pPr>
      <w:r w:rsidRPr="00111F07">
        <w:rPr>
          <w:i/>
          <w:iCs/>
          <w:lang w:val="fr-FR"/>
        </w:rPr>
        <w:t>Source</w:t>
      </w:r>
      <w:r w:rsidR="007A3CEB" w:rsidRPr="00111F07">
        <w:rPr>
          <w:lang w:val="fr-FR"/>
        </w:rPr>
        <w:t> :</w:t>
      </w:r>
      <w:r w:rsidRPr="00111F07">
        <w:rPr>
          <w:lang w:val="fr-FR"/>
        </w:rPr>
        <w:t xml:space="preserve"> Statens Serum Institut.</w:t>
      </w:r>
    </w:p>
    <w:p w14:paraId="6861CE23" w14:textId="55D90589" w:rsidR="00603A87" w:rsidRPr="00111F07" w:rsidRDefault="00603A87" w:rsidP="00A700AF">
      <w:pPr>
        <w:pStyle w:val="SingleTxt"/>
        <w:spacing w:after="0" w:line="120" w:lineRule="exact"/>
        <w:rPr>
          <w:sz w:val="10"/>
          <w:lang w:val="fr-FR"/>
        </w:rPr>
      </w:pPr>
    </w:p>
    <w:p w14:paraId="01B641C0" w14:textId="48050238" w:rsidR="00A700AF" w:rsidRPr="00111F07" w:rsidRDefault="00A700AF" w:rsidP="00A700AF">
      <w:pPr>
        <w:pStyle w:val="SingleTxt"/>
        <w:spacing w:after="0" w:line="120" w:lineRule="exact"/>
        <w:rPr>
          <w:sz w:val="10"/>
          <w:lang w:val="fr-FR"/>
        </w:rPr>
      </w:pPr>
    </w:p>
    <w:p w14:paraId="0B2E0EB4" w14:textId="5711789C" w:rsidR="00603A87" w:rsidRPr="00111F07" w:rsidRDefault="00603A87" w:rsidP="0010170A">
      <w:pPr>
        <w:pStyle w:val="SingleTxt"/>
        <w:numPr>
          <w:ilvl w:val="0"/>
          <w:numId w:val="63"/>
        </w:numPr>
        <w:spacing w:line="240" w:lineRule="exact"/>
        <w:rPr>
          <w:lang w:val="fr-FR"/>
        </w:rPr>
      </w:pPr>
      <w:r w:rsidRPr="00111F07">
        <w:rPr>
          <w:lang w:val="fr-FR"/>
        </w:rPr>
        <w:t>Le Ministère de la santé n</w:t>
      </w:r>
      <w:r w:rsidR="007A3CEB" w:rsidRPr="00111F07">
        <w:rPr>
          <w:lang w:val="fr-FR"/>
        </w:rPr>
        <w:t>’</w:t>
      </w:r>
      <w:r w:rsidRPr="00111F07">
        <w:rPr>
          <w:lang w:val="fr-FR"/>
        </w:rPr>
        <w:t>a pas connaissance d</w:t>
      </w:r>
      <w:r w:rsidR="007A3CEB" w:rsidRPr="00111F07">
        <w:rPr>
          <w:lang w:val="fr-FR"/>
        </w:rPr>
        <w:t>’</w:t>
      </w:r>
      <w:r w:rsidRPr="00111F07">
        <w:rPr>
          <w:lang w:val="fr-FR"/>
        </w:rPr>
        <w:t>évaluations de l</w:t>
      </w:r>
      <w:r w:rsidR="007A3CEB" w:rsidRPr="00111F07">
        <w:rPr>
          <w:lang w:val="fr-FR"/>
        </w:rPr>
        <w:t>’</w:t>
      </w:r>
      <w:r w:rsidRPr="00111F07">
        <w:rPr>
          <w:lang w:val="fr-FR"/>
        </w:rPr>
        <w:t>incidence des initiatives décrites au paragraphe 175 du rapport visant à prévenir le VIH et d</w:t>
      </w:r>
      <w:r w:rsidR="007A3CEB" w:rsidRPr="00111F07">
        <w:rPr>
          <w:lang w:val="fr-FR"/>
        </w:rPr>
        <w:t>’</w:t>
      </w:r>
      <w:r w:rsidRPr="00111F07">
        <w:rPr>
          <w:lang w:val="fr-FR"/>
        </w:rPr>
        <w:t>autres maladies sexuellement transmissibles, en particulier chez les femmes migrantes appartenant à des minorités ethniques.</w:t>
      </w:r>
    </w:p>
    <w:p w14:paraId="00F6B7C8" w14:textId="4A236A49" w:rsidR="00603A87" w:rsidRPr="00111F07" w:rsidRDefault="00603A87" w:rsidP="00A700AF">
      <w:pPr>
        <w:pStyle w:val="SingleTxt"/>
        <w:spacing w:after="0" w:line="120" w:lineRule="exact"/>
        <w:rPr>
          <w:sz w:val="10"/>
          <w:lang w:val="fr-FR"/>
        </w:rPr>
      </w:pPr>
    </w:p>
    <w:p w14:paraId="13F52377" w14:textId="6A9F8D55" w:rsidR="00603A87" w:rsidRPr="00111F07" w:rsidRDefault="00A700AF" w:rsidP="00A70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Groenland</w:t>
      </w:r>
    </w:p>
    <w:p w14:paraId="05FDEAD9" w14:textId="792728B2" w:rsidR="00A700AF" w:rsidRPr="00111F07" w:rsidRDefault="00A700AF" w:rsidP="00A700AF">
      <w:pPr>
        <w:pStyle w:val="SingleTxt"/>
        <w:spacing w:after="0" w:line="120" w:lineRule="exact"/>
        <w:rPr>
          <w:sz w:val="10"/>
          <w:lang w:val="fr-FR"/>
        </w:rPr>
      </w:pPr>
    </w:p>
    <w:p w14:paraId="3E5E3B5D" w14:textId="48B1E57A" w:rsidR="00603A87" w:rsidRPr="00111F07" w:rsidRDefault="00603A87" w:rsidP="0010170A">
      <w:pPr>
        <w:pStyle w:val="SingleTxt"/>
        <w:numPr>
          <w:ilvl w:val="0"/>
          <w:numId w:val="63"/>
        </w:numPr>
        <w:spacing w:line="240" w:lineRule="exact"/>
        <w:rPr>
          <w:lang w:val="fr-FR"/>
        </w:rPr>
      </w:pPr>
      <w:r w:rsidRPr="00111F07">
        <w:rPr>
          <w:lang w:val="fr-FR"/>
        </w:rPr>
        <w:t>La forte incidence des maladies sexuellement transmissibles chez les filles pourrait être une conséquence du fait que les filles deviennent sexuellement actives avant les garçons. L</w:t>
      </w:r>
      <w:r w:rsidR="007A3CEB" w:rsidRPr="00111F07">
        <w:rPr>
          <w:lang w:val="fr-FR"/>
        </w:rPr>
        <w:t>’</w:t>
      </w:r>
      <w:r w:rsidRPr="00111F07">
        <w:rPr>
          <w:lang w:val="fr-FR"/>
        </w:rPr>
        <w:t xml:space="preserve">étude </w:t>
      </w:r>
      <w:r w:rsidR="00A700AF" w:rsidRPr="00111F07">
        <w:rPr>
          <w:lang w:val="fr-FR"/>
        </w:rPr>
        <w:t>« </w:t>
      </w:r>
      <w:r w:rsidRPr="00111F07">
        <w:rPr>
          <w:lang w:val="fr-FR"/>
        </w:rPr>
        <w:t>Unge I Grønland</w:t>
      </w:r>
      <w:r w:rsidR="00A700AF" w:rsidRPr="00111F07">
        <w:rPr>
          <w:lang w:val="fr-FR"/>
        </w:rPr>
        <w:t> »</w:t>
      </w:r>
      <w:r w:rsidRPr="00111F07">
        <w:rPr>
          <w:lang w:val="fr-FR"/>
        </w:rPr>
        <w:t xml:space="preserve"> (Les jeunes au Groenland) montre que plus de la moitié des femmes groenlandaises et près d</w:t>
      </w:r>
      <w:r w:rsidR="007A3CEB" w:rsidRPr="00111F07">
        <w:rPr>
          <w:lang w:val="fr-FR"/>
        </w:rPr>
        <w:t>’</w:t>
      </w:r>
      <w:r w:rsidRPr="00111F07">
        <w:rPr>
          <w:lang w:val="fr-FR"/>
        </w:rPr>
        <w:t>un tiers des hommes ont eu leurs premiers rapports sexuels avant l</w:t>
      </w:r>
      <w:r w:rsidR="007A3CEB" w:rsidRPr="00111F07">
        <w:rPr>
          <w:lang w:val="fr-FR"/>
        </w:rPr>
        <w:t>’</w:t>
      </w:r>
      <w:r w:rsidRPr="00111F07">
        <w:rPr>
          <w:lang w:val="fr-FR"/>
        </w:rPr>
        <w:t>âge de 15</w:t>
      </w:r>
      <w:r w:rsidR="009A5B70" w:rsidRPr="00111F07">
        <w:rPr>
          <w:lang w:val="fr-FR"/>
        </w:rPr>
        <w:t> </w:t>
      </w:r>
      <w:r w:rsidRPr="00111F07">
        <w:rPr>
          <w:lang w:val="fr-FR"/>
        </w:rPr>
        <w:t>ans. Le fait que des maladies sexuellement transmissibles soient détectées chez un plus grand nombre de femmes peut être attribué à un dépistage plus fréquent, qui est effectué durant la grossesse pour ce groupe.</w:t>
      </w:r>
    </w:p>
    <w:p w14:paraId="55484209" w14:textId="501A3846" w:rsidR="00A700AF" w:rsidRPr="00111F07" w:rsidRDefault="00A700AF" w:rsidP="00A700AF">
      <w:pPr>
        <w:pStyle w:val="SingleTxt"/>
        <w:spacing w:after="0" w:line="120" w:lineRule="exact"/>
        <w:rPr>
          <w:sz w:val="10"/>
          <w:lang w:val="fr-FR"/>
        </w:rPr>
      </w:pPr>
    </w:p>
    <w:p w14:paraId="79AD7170" w14:textId="27E93B63" w:rsidR="00603A87" w:rsidRPr="00111F07" w:rsidRDefault="00A700AF" w:rsidP="00A700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lastRenderedPageBreak/>
        <w:tab/>
      </w:r>
      <w:r w:rsidRPr="00111F07">
        <w:rPr>
          <w:lang w:val="fr-FR"/>
        </w:rPr>
        <w:tab/>
      </w:r>
      <w:r w:rsidR="00603A87" w:rsidRPr="00111F07">
        <w:rPr>
          <w:lang w:val="fr-FR"/>
        </w:rPr>
        <w:t>Les femmes et les changements climatiques</w:t>
      </w:r>
    </w:p>
    <w:p w14:paraId="0DE5C4A9" w14:textId="39980A6D" w:rsidR="00603A87" w:rsidRPr="00111F07" w:rsidRDefault="00603A87" w:rsidP="00A700AF">
      <w:pPr>
        <w:pStyle w:val="SingleTxt"/>
        <w:spacing w:after="0" w:line="120" w:lineRule="exact"/>
        <w:rPr>
          <w:b/>
          <w:bCs/>
          <w:sz w:val="10"/>
          <w:lang w:val="fr-FR"/>
        </w:rPr>
      </w:pPr>
    </w:p>
    <w:p w14:paraId="18D4B9B0" w14:textId="33E4505B" w:rsidR="00A700AF" w:rsidRPr="00111F07" w:rsidRDefault="00A700AF" w:rsidP="00A700AF">
      <w:pPr>
        <w:pStyle w:val="SingleTxt"/>
        <w:spacing w:after="0" w:line="120" w:lineRule="exact"/>
        <w:rPr>
          <w:b/>
          <w:bCs/>
          <w:sz w:val="10"/>
          <w:lang w:val="fr-FR"/>
        </w:rPr>
      </w:pPr>
    </w:p>
    <w:p w14:paraId="42B63B52" w14:textId="7DF3BEA6" w:rsidR="00603A87" w:rsidRPr="00111F07" w:rsidRDefault="00A700AF" w:rsidP="00A700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Réponse au paragraphe 21</w:t>
      </w:r>
    </w:p>
    <w:p w14:paraId="0AE5ED67" w14:textId="31D14F14" w:rsidR="00A700AF" w:rsidRPr="00111F07" w:rsidRDefault="00A700AF" w:rsidP="00A700AF">
      <w:pPr>
        <w:pStyle w:val="SingleTxt"/>
        <w:spacing w:after="0" w:line="120" w:lineRule="exact"/>
        <w:rPr>
          <w:sz w:val="10"/>
          <w:lang w:val="fr-FR"/>
        </w:rPr>
      </w:pPr>
    </w:p>
    <w:p w14:paraId="45D370C1" w14:textId="5B9988AF" w:rsidR="00A700AF" w:rsidRPr="00111F07" w:rsidRDefault="00A700AF" w:rsidP="00A700AF">
      <w:pPr>
        <w:pStyle w:val="SingleTxt"/>
        <w:spacing w:after="0" w:line="120" w:lineRule="exact"/>
        <w:rPr>
          <w:sz w:val="10"/>
          <w:lang w:val="fr-FR"/>
        </w:rPr>
      </w:pPr>
    </w:p>
    <w:p w14:paraId="640E8DE8" w14:textId="70741DA6" w:rsidR="00603A87" w:rsidRPr="00111F07" w:rsidRDefault="00603A87" w:rsidP="0010170A">
      <w:pPr>
        <w:pStyle w:val="SingleTxt"/>
        <w:numPr>
          <w:ilvl w:val="0"/>
          <w:numId w:val="63"/>
        </w:numPr>
        <w:spacing w:line="240" w:lineRule="exact"/>
        <w:rPr>
          <w:lang w:val="fr-FR"/>
        </w:rPr>
      </w:pPr>
      <w:r w:rsidRPr="00111F07">
        <w:rPr>
          <w:lang w:val="fr-FR"/>
        </w:rPr>
        <w:t>L</w:t>
      </w:r>
      <w:r w:rsidR="007A3CEB" w:rsidRPr="00111F07">
        <w:rPr>
          <w:lang w:val="fr-FR"/>
        </w:rPr>
        <w:t>’</w:t>
      </w:r>
      <w:r w:rsidRPr="00111F07">
        <w:rPr>
          <w:lang w:val="fr-FR"/>
        </w:rPr>
        <w:t>Agence danoise de gestion des situations d</w:t>
      </w:r>
      <w:r w:rsidR="007A3CEB" w:rsidRPr="00111F07">
        <w:rPr>
          <w:lang w:val="fr-FR"/>
        </w:rPr>
        <w:t>’</w:t>
      </w:r>
      <w:r w:rsidRPr="00111F07">
        <w:rPr>
          <w:lang w:val="fr-FR"/>
        </w:rPr>
        <w:t>urgence est responsable du service national de lutte contre l</w:t>
      </w:r>
      <w:r w:rsidR="007A3CEB" w:rsidRPr="00111F07">
        <w:rPr>
          <w:lang w:val="fr-FR"/>
        </w:rPr>
        <w:t>’</w:t>
      </w:r>
      <w:r w:rsidRPr="00111F07">
        <w:rPr>
          <w:lang w:val="fr-FR"/>
        </w:rPr>
        <w:t>incendie et de secours. À plusieurs reprises, les questions de genre</w:t>
      </w:r>
      <w:r w:rsidR="009A5B70" w:rsidRPr="00111F07">
        <w:rPr>
          <w:lang w:val="fr-FR"/>
        </w:rPr>
        <w:t xml:space="preserve"> </w:t>
      </w:r>
      <w:r w:rsidRPr="00111F07">
        <w:rPr>
          <w:lang w:val="fr-FR"/>
        </w:rPr>
        <w:t>sont prises en compte dans les travaux et les analyses statistiques de l</w:t>
      </w:r>
      <w:r w:rsidR="007A3CEB" w:rsidRPr="00111F07">
        <w:rPr>
          <w:lang w:val="fr-FR"/>
        </w:rPr>
        <w:t>’</w:t>
      </w:r>
      <w:r w:rsidRPr="00111F07">
        <w:rPr>
          <w:lang w:val="fr-FR"/>
        </w:rPr>
        <w:t>Agence. Les statistiques sur les décès causés par des incendies, par exemple, analysent la vulnérabilité des différents profils en tant que base de mesures préventives. Les données n</w:t>
      </w:r>
      <w:r w:rsidR="007A3CEB" w:rsidRPr="00111F07">
        <w:rPr>
          <w:lang w:val="fr-FR"/>
        </w:rPr>
        <w:t>’</w:t>
      </w:r>
      <w:r w:rsidRPr="00111F07">
        <w:rPr>
          <w:lang w:val="fr-FR"/>
        </w:rPr>
        <w:t>indiquent pas que les femmes sont plus exposées aux conséquences des accidents et des catastrophes.</w:t>
      </w:r>
    </w:p>
    <w:p w14:paraId="1D66E44F" w14:textId="1A68242D" w:rsidR="00603A87" w:rsidRPr="00111F07" w:rsidRDefault="00603A87" w:rsidP="0010170A">
      <w:pPr>
        <w:pStyle w:val="SingleTxt"/>
        <w:numPr>
          <w:ilvl w:val="0"/>
          <w:numId w:val="63"/>
        </w:numPr>
        <w:spacing w:line="240" w:lineRule="exact"/>
        <w:rPr>
          <w:lang w:val="fr-FR"/>
        </w:rPr>
      </w:pPr>
      <w:r w:rsidRPr="00111F07">
        <w:rPr>
          <w:lang w:val="fr-FR"/>
        </w:rPr>
        <w:t>La division internationale de l</w:t>
      </w:r>
      <w:r w:rsidR="007A3CEB" w:rsidRPr="00111F07">
        <w:rPr>
          <w:lang w:val="fr-FR"/>
        </w:rPr>
        <w:t>’</w:t>
      </w:r>
      <w:r w:rsidRPr="00111F07">
        <w:rPr>
          <w:lang w:val="fr-FR"/>
        </w:rPr>
        <w:t>Agence se penche également sur les questions d</w:t>
      </w:r>
      <w:r w:rsidR="007A3CEB" w:rsidRPr="00111F07">
        <w:rPr>
          <w:lang w:val="fr-FR"/>
        </w:rPr>
        <w:t>’</w:t>
      </w:r>
      <w:r w:rsidRPr="00111F07">
        <w:rPr>
          <w:lang w:val="fr-FR"/>
        </w:rPr>
        <w:t>égalité des genres, tant en ce qui concerne le personnel que les personnes qui reçoivent de l</w:t>
      </w:r>
      <w:r w:rsidR="007A3CEB" w:rsidRPr="00111F07">
        <w:rPr>
          <w:lang w:val="fr-FR"/>
        </w:rPr>
        <w:t>’</w:t>
      </w:r>
      <w:r w:rsidRPr="00111F07">
        <w:rPr>
          <w:lang w:val="fr-FR"/>
        </w:rPr>
        <w:t>aide. Au cours des cinq dernières années, les femmes représentaient 8,4</w:t>
      </w:r>
      <w:r w:rsidR="007A3CEB" w:rsidRPr="00111F07">
        <w:rPr>
          <w:lang w:val="fr-FR"/>
        </w:rPr>
        <w:t> %</w:t>
      </w:r>
      <w:r w:rsidRPr="00111F07">
        <w:rPr>
          <w:lang w:val="fr-FR"/>
        </w:rPr>
        <w:t xml:space="preserve"> du personnel des missions. L</w:t>
      </w:r>
      <w:r w:rsidR="007A3CEB" w:rsidRPr="00111F07">
        <w:rPr>
          <w:lang w:val="fr-FR"/>
        </w:rPr>
        <w:t>’</w:t>
      </w:r>
      <w:r w:rsidRPr="00111F07">
        <w:rPr>
          <w:lang w:val="fr-FR"/>
        </w:rPr>
        <w:t>Agence a l</w:t>
      </w:r>
      <w:r w:rsidR="007A3CEB" w:rsidRPr="00111F07">
        <w:rPr>
          <w:lang w:val="fr-FR"/>
        </w:rPr>
        <w:t>’</w:t>
      </w:r>
      <w:r w:rsidRPr="00111F07">
        <w:rPr>
          <w:lang w:val="fr-FR"/>
        </w:rPr>
        <w:t>intention d</w:t>
      </w:r>
      <w:r w:rsidR="007A3CEB" w:rsidRPr="00111F07">
        <w:rPr>
          <w:lang w:val="fr-FR"/>
        </w:rPr>
        <w:t>’</w:t>
      </w:r>
      <w:r w:rsidRPr="00111F07">
        <w:rPr>
          <w:lang w:val="fr-FR"/>
        </w:rPr>
        <w:t>augmenter ce pourcentage. Les équipes déployées signent systématiquement un code de conduite international prenant en compte la lutte contre la discrimination et le harcèlement. De nombreuses missions de l</w:t>
      </w:r>
      <w:r w:rsidR="007A3CEB" w:rsidRPr="00111F07">
        <w:rPr>
          <w:lang w:val="fr-FR"/>
        </w:rPr>
        <w:t>’</w:t>
      </w:r>
      <w:r w:rsidRPr="00111F07">
        <w:rPr>
          <w:lang w:val="fr-FR"/>
        </w:rPr>
        <w:t>Agence contribuent à renforcer les capacités locales et à réduire les dimensions sexospécifiques des risques de catastrophe. Par exemple, la mission de purification de l</w:t>
      </w:r>
      <w:r w:rsidR="007A3CEB" w:rsidRPr="00111F07">
        <w:rPr>
          <w:lang w:val="fr-FR"/>
        </w:rPr>
        <w:t>’</w:t>
      </w:r>
      <w:r w:rsidRPr="00111F07">
        <w:rPr>
          <w:lang w:val="fr-FR"/>
        </w:rPr>
        <w:t>eau de l</w:t>
      </w:r>
      <w:r w:rsidR="007A3CEB" w:rsidRPr="00111F07">
        <w:rPr>
          <w:lang w:val="fr-FR"/>
        </w:rPr>
        <w:t>’</w:t>
      </w:r>
      <w:r w:rsidRPr="00111F07">
        <w:rPr>
          <w:lang w:val="fr-FR"/>
        </w:rPr>
        <w:t>Agence au Mozambique a installé une source d</w:t>
      </w:r>
      <w:r w:rsidR="007A3CEB" w:rsidRPr="00111F07">
        <w:rPr>
          <w:lang w:val="fr-FR"/>
        </w:rPr>
        <w:t>’</w:t>
      </w:r>
      <w:r w:rsidRPr="00111F07">
        <w:rPr>
          <w:lang w:val="fr-FR"/>
        </w:rPr>
        <w:t>approvisionnement en eau potable et renouvelable dans une maternité.</w:t>
      </w:r>
    </w:p>
    <w:p w14:paraId="0F517B2D" w14:textId="0EF5145B" w:rsidR="00603A87" w:rsidRPr="00111F07" w:rsidRDefault="00603A87" w:rsidP="00A700AF">
      <w:pPr>
        <w:pStyle w:val="SingleTxt"/>
        <w:spacing w:after="0" w:line="120" w:lineRule="exact"/>
        <w:rPr>
          <w:sz w:val="10"/>
          <w:lang w:val="fr-FR"/>
        </w:rPr>
      </w:pPr>
    </w:p>
    <w:p w14:paraId="43EF23F8" w14:textId="563797E0" w:rsidR="00603A87" w:rsidRPr="00111F07" w:rsidRDefault="00A700AF" w:rsidP="00A70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Groenland</w:t>
      </w:r>
    </w:p>
    <w:p w14:paraId="2DCA6217" w14:textId="4821CD8B" w:rsidR="00A700AF" w:rsidRPr="00111F07" w:rsidRDefault="00A700AF" w:rsidP="00A700AF">
      <w:pPr>
        <w:pStyle w:val="SingleTxt"/>
        <w:spacing w:after="0" w:line="120" w:lineRule="exact"/>
        <w:rPr>
          <w:sz w:val="10"/>
          <w:lang w:val="fr-FR"/>
        </w:rPr>
      </w:pPr>
    </w:p>
    <w:p w14:paraId="4843CAE4" w14:textId="6C8457BC" w:rsidR="00603A87" w:rsidRPr="00111F07" w:rsidRDefault="00603A87" w:rsidP="0010170A">
      <w:pPr>
        <w:pStyle w:val="SingleTxt"/>
        <w:numPr>
          <w:ilvl w:val="0"/>
          <w:numId w:val="63"/>
        </w:numPr>
        <w:spacing w:line="240" w:lineRule="exact"/>
        <w:rPr>
          <w:lang w:val="fr-FR"/>
        </w:rPr>
      </w:pPr>
      <w:r w:rsidRPr="00111F07">
        <w:rPr>
          <w:lang w:val="fr-FR"/>
        </w:rPr>
        <w:t>Les questions de genre ne sont pas intégrées aux stratégies d</w:t>
      </w:r>
      <w:r w:rsidR="007A3CEB" w:rsidRPr="00111F07">
        <w:rPr>
          <w:lang w:val="fr-FR"/>
        </w:rPr>
        <w:t>’</w:t>
      </w:r>
      <w:r w:rsidRPr="00111F07">
        <w:rPr>
          <w:lang w:val="fr-FR"/>
        </w:rPr>
        <w:t>adaptation au climat ou d</w:t>
      </w:r>
      <w:r w:rsidR="007A3CEB" w:rsidRPr="00111F07">
        <w:rPr>
          <w:lang w:val="fr-FR"/>
        </w:rPr>
        <w:t>’</w:t>
      </w:r>
      <w:r w:rsidRPr="00111F07">
        <w:rPr>
          <w:lang w:val="fr-FR"/>
        </w:rPr>
        <w:t>intervention en cas de catastrophe.</w:t>
      </w:r>
    </w:p>
    <w:p w14:paraId="6BCB78F3" w14:textId="5FC1FC90" w:rsidR="00603A87" w:rsidRPr="00111F07" w:rsidRDefault="00603A87" w:rsidP="00A700AF">
      <w:pPr>
        <w:pStyle w:val="SingleTxt"/>
        <w:spacing w:after="0" w:line="120" w:lineRule="exact"/>
        <w:rPr>
          <w:sz w:val="10"/>
          <w:lang w:val="fr-FR"/>
        </w:rPr>
      </w:pPr>
    </w:p>
    <w:p w14:paraId="300319C6" w14:textId="77777777" w:rsidR="00A700AF" w:rsidRPr="00111F07" w:rsidRDefault="00A700AF" w:rsidP="00A700AF">
      <w:pPr>
        <w:pStyle w:val="SingleTxt"/>
        <w:spacing w:after="0" w:line="120" w:lineRule="exact"/>
        <w:rPr>
          <w:sz w:val="10"/>
          <w:lang w:val="fr-FR"/>
        </w:rPr>
      </w:pPr>
    </w:p>
    <w:p w14:paraId="77EBE03C" w14:textId="6CC1BECF" w:rsidR="00603A87" w:rsidRPr="00111F07" w:rsidRDefault="00A700AF" w:rsidP="00A700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Mariage et relations familiales</w:t>
      </w:r>
    </w:p>
    <w:p w14:paraId="2F06559C" w14:textId="02008545" w:rsidR="00603A87" w:rsidRPr="00111F07" w:rsidRDefault="00603A87" w:rsidP="00A700AF">
      <w:pPr>
        <w:pStyle w:val="SingleTxt"/>
        <w:spacing w:after="0" w:line="120" w:lineRule="exact"/>
        <w:rPr>
          <w:sz w:val="10"/>
          <w:lang w:val="fr-FR"/>
        </w:rPr>
      </w:pPr>
    </w:p>
    <w:p w14:paraId="69054E5A" w14:textId="0B9BCBEF" w:rsidR="00A700AF" w:rsidRPr="00111F07" w:rsidRDefault="00A700AF" w:rsidP="00A700AF">
      <w:pPr>
        <w:pStyle w:val="SingleTxt"/>
        <w:spacing w:after="0" w:line="120" w:lineRule="exact"/>
        <w:rPr>
          <w:sz w:val="10"/>
          <w:lang w:val="fr-FR"/>
        </w:rPr>
      </w:pPr>
    </w:p>
    <w:p w14:paraId="210F063C" w14:textId="57C33812" w:rsidR="00603A87" w:rsidRPr="00111F07" w:rsidRDefault="00A700AF" w:rsidP="00A700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Réponse au paragraphe 22</w:t>
      </w:r>
    </w:p>
    <w:p w14:paraId="774AE247" w14:textId="0ED7B289" w:rsidR="00A700AF" w:rsidRPr="00111F07" w:rsidRDefault="00A700AF" w:rsidP="00A700AF">
      <w:pPr>
        <w:pStyle w:val="SingleTxt"/>
        <w:spacing w:after="0" w:line="120" w:lineRule="exact"/>
        <w:rPr>
          <w:sz w:val="10"/>
          <w:lang w:val="fr-FR"/>
        </w:rPr>
      </w:pPr>
    </w:p>
    <w:p w14:paraId="03E8E540" w14:textId="18AF7390" w:rsidR="00A700AF" w:rsidRPr="00111F07" w:rsidRDefault="00A700AF" w:rsidP="00A700AF">
      <w:pPr>
        <w:pStyle w:val="SingleTxt"/>
        <w:spacing w:after="0" w:line="120" w:lineRule="exact"/>
        <w:rPr>
          <w:sz w:val="10"/>
          <w:lang w:val="fr-FR"/>
        </w:rPr>
      </w:pPr>
    </w:p>
    <w:p w14:paraId="586EE6FD" w14:textId="6AC7A472" w:rsidR="00603A87" w:rsidRPr="00111F07" w:rsidRDefault="00603A87" w:rsidP="0010170A">
      <w:pPr>
        <w:pStyle w:val="SingleTxt"/>
        <w:numPr>
          <w:ilvl w:val="0"/>
          <w:numId w:val="63"/>
        </w:numPr>
        <w:spacing w:line="240" w:lineRule="exact"/>
        <w:rPr>
          <w:lang w:val="fr-FR"/>
        </w:rPr>
      </w:pPr>
      <w:r w:rsidRPr="00111F07">
        <w:rPr>
          <w:lang w:val="fr-FR"/>
        </w:rPr>
        <w:t xml:space="preserve">En avril 2019, un nouveau système de traitement des affaires familiales est entré en vigueur au Danemark avec de nouvelles autorités </w:t>
      </w:r>
      <w:r w:rsidR="009A5B70" w:rsidRPr="00111F07">
        <w:rPr>
          <w:lang w:val="fr-FR"/>
        </w:rPr>
        <w:t>–</w:t>
      </w:r>
      <w:r w:rsidRPr="00111F07">
        <w:rPr>
          <w:lang w:val="fr-FR"/>
        </w:rPr>
        <w:t xml:space="preserve"> l</w:t>
      </w:r>
      <w:r w:rsidR="007A3CEB" w:rsidRPr="00111F07">
        <w:rPr>
          <w:lang w:val="fr-FR"/>
        </w:rPr>
        <w:t>’</w:t>
      </w:r>
      <w:r w:rsidRPr="00111F07">
        <w:rPr>
          <w:lang w:val="fr-FR"/>
        </w:rPr>
        <w:t>Agence danoise du droit de la famille et les tribunaux des affaires familiales. L</w:t>
      </w:r>
      <w:r w:rsidR="007A3CEB" w:rsidRPr="00111F07">
        <w:rPr>
          <w:lang w:val="fr-FR"/>
        </w:rPr>
        <w:t>’</w:t>
      </w:r>
      <w:r w:rsidRPr="00111F07">
        <w:rPr>
          <w:lang w:val="fr-FR"/>
        </w:rPr>
        <w:t>Agence du droit de la famille est la porte d</w:t>
      </w:r>
      <w:r w:rsidR="007A3CEB" w:rsidRPr="00111F07">
        <w:rPr>
          <w:lang w:val="fr-FR"/>
        </w:rPr>
        <w:t>’</w:t>
      </w:r>
      <w:r w:rsidRPr="00111F07">
        <w:rPr>
          <w:lang w:val="fr-FR"/>
        </w:rPr>
        <w:t>entrée pour le traitement de tous les litiges et de tous les dossiers relatifs au droit de la famille, y compris les affaires concernant la garde de l</w:t>
      </w:r>
      <w:r w:rsidR="007A3CEB" w:rsidRPr="00111F07">
        <w:rPr>
          <w:lang w:val="fr-FR"/>
        </w:rPr>
        <w:t>’</w:t>
      </w:r>
      <w:r w:rsidRPr="00111F07">
        <w:rPr>
          <w:lang w:val="fr-FR"/>
        </w:rPr>
        <w:t>enfant, son lieu de résidence et les contacts avec ses parents.</w:t>
      </w:r>
    </w:p>
    <w:p w14:paraId="31A064C8" w14:textId="74EA33A7" w:rsidR="00603A87" w:rsidRPr="00111F07" w:rsidRDefault="00603A87" w:rsidP="0010170A">
      <w:pPr>
        <w:pStyle w:val="SingleTxt"/>
        <w:numPr>
          <w:ilvl w:val="0"/>
          <w:numId w:val="63"/>
        </w:numPr>
        <w:spacing w:line="240" w:lineRule="exact"/>
        <w:rPr>
          <w:lang w:val="fr-FR"/>
        </w:rPr>
      </w:pPr>
      <w:r w:rsidRPr="00111F07">
        <w:rPr>
          <w:lang w:val="fr-FR"/>
        </w:rPr>
        <w:t>La priorité du nouveau système est le bien-être de l</w:t>
      </w:r>
      <w:r w:rsidR="007A3CEB" w:rsidRPr="00111F07">
        <w:rPr>
          <w:lang w:val="fr-FR"/>
        </w:rPr>
        <w:t>’</w:t>
      </w:r>
      <w:r w:rsidRPr="00111F07">
        <w:rPr>
          <w:lang w:val="fr-FR"/>
        </w:rPr>
        <w:t>enfant. L</w:t>
      </w:r>
      <w:r w:rsidR="007A3CEB" w:rsidRPr="00111F07">
        <w:rPr>
          <w:lang w:val="fr-FR"/>
        </w:rPr>
        <w:t>’</w:t>
      </w:r>
      <w:r w:rsidRPr="00111F07">
        <w:rPr>
          <w:lang w:val="fr-FR"/>
        </w:rPr>
        <w:t>audition de l</w:t>
      </w:r>
      <w:r w:rsidR="007A3CEB" w:rsidRPr="00111F07">
        <w:rPr>
          <w:lang w:val="fr-FR"/>
        </w:rPr>
        <w:t>’</w:t>
      </w:r>
      <w:r w:rsidRPr="00111F07">
        <w:rPr>
          <w:lang w:val="fr-FR"/>
        </w:rPr>
        <w:t>enfant est assurée dans toutes les situations, tant qu</w:t>
      </w:r>
      <w:r w:rsidR="007A3CEB" w:rsidRPr="00111F07">
        <w:rPr>
          <w:lang w:val="fr-FR"/>
        </w:rPr>
        <w:t>’</w:t>
      </w:r>
      <w:r w:rsidRPr="00111F07">
        <w:rPr>
          <w:lang w:val="fr-FR"/>
        </w:rPr>
        <w:t>une affaire est en instance. Une unité de protection de l</w:t>
      </w:r>
      <w:r w:rsidR="007A3CEB" w:rsidRPr="00111F07">
        <w:rPr>
          <w:lang w:val="fr-FR"/>
        </w:rPr>
        <w:t>’</w:t>
      </w:r>
      <w:r w:rsidRPr="00111F07">
        <w:rPr>
          <w:lang w:val="fr-FR"/>
        </w:rPr>
        <w:t>enfance est créée au sein de l</w:t>
      </w:r>
      <w:r w:rsidR="007A3CEB" w:rsidRPr="00111F07">
        <w:rPr>
          <w:lang w:val="fr-FR"/>
        </w:rPr>
        <w:t>’</w:t>
      </w:r>
      <w:r w:rsidRPr="00111F07">
        <w:rPr>
          <w:lang w:val="fr-FR"/>
        </w:rPr>
        <w:t>Agence pour protéger l</w:t>
      </w:r>
      <w:r w:rsidR="007A3CEB" w:rsidRPr="00111F07">
        <w:rPr>
          <w:lang w:val="fr-FR"/>
        </w:rPr>
        <w:t>’</w:t>
      </w:r>
      <w:r w:rsidRPr="00111F07">
        <w:rPr>
          <w:lang w:val="fr-FR"/>
        </w:rPr>
        <w:t>enfant. Cette unité est le point d</w:t>
      </w:r>
      <w:r w:rsidR="007A3CEB" w:rsidRPr="00111F07">
        <w:rPr>
          <w:lang w:val="fr-FR"/>
        </w:rPr>
        <w:t>’</w:t>
      </w:r>
      <w:r w:rsidRPr="00111F07">
        <w:rPr>
          <w:lang w:val="fr-FR"/>
        </w:rPr>
        <w:t>entrée dans le système réservé à l</w:t>
      </w:r>
      <w:r w:rsidR="007A3CEB" w:rsidRPr="00111F07">
        <w:rPr>
          <w:lang w:val="fr-FR"/>
        </w:rPr>
        <w:t>’</w:t>
      </w:r>
      <w:r w:rsidRPr="00111F07">
        <w:rPr>
          <w:lang w:val="fr-FR"/>
        </w:rPr>
        <w:t>enfant et le met en contact avec une personne qui le soutiendra tout au long du processus.</w:t>
      </w:r>
    </w:p>
    <w:p w14:paraId="71472392" w14:textId="3513D022" w:rsidR="00603A87" w:rsidRPr="00111F07" w:rsidRDefault="00603A87" w:rsidP="0010170A">
      <w:pPr>
        <w:pStyle w:val="SingleTxt"/>
        <w:numPr>
          <w:ilvl w:val="0"/>
          <w:numId w:val="63"/>
        </w:numPr>
        <w:spacing w:line="240" w:lineRule="exact"/>
        <w:rPr>
          <w:lang w:val="fr-FR"/>
        </w:rPr>
      </w:pPr>
      <w:r w:rsidRPr="00111F07">
        <w:rPr>
          <w:lang w:val="fr-FR"/>
        </w:rPr>
        <w:t>Le nouveau système renforce la coopération intersectorielle entre les autorités chargées du droit de la famille et les services sociaux. L</w:t>
      </w:r>
      <w:r w:rsidR="007A3CEB" w:rsidRPr="00111F07">
        <w:rPr>
          <w:lang w:val="fr-FR"/>
        </w:rPr>
        <w:t>’</w:t>
      </w:r>
      <w:r w:rsidRPr="00111F07">
        <w:rPr>
          <w:lang w:val="fr-FR"/>
        </w:rPr>
        <w:t>Agence est obligée de contacter les services sociaux à chaque fois qu</w:t>
      </w:r>
      <w:r w:rsidR="007A3CEB" w:rsidRPr="00111F07">
        <w:rPr>
          <w:lang w:val="fr-FR"/>
        </w:rPr>
        <w:t>’</w:t>
      </w:r>
      <w:r w:rsidRPr="00111F07">
        <w:rPr>
          <w:lang w:val="fr-FR"/>
        </w:rPr>
        <w:t>elle reçoit des informations sur un cas complexe concernant la responsabilité parentale afin que les autorités contribuent à la recherche de la meilleure solution pour l</w:t>
      </w:r>
      <w:r w:rsidR="007A3CEB" w:rsidRPr="00111F07">
        <w:rPr>
          <w:lang w:val="fr-FR"/>
        </w:rPr>
        <w:t>’</w:t>
      </w:r>
      <w:r w:rsidRPr="00111F07">
        <w:rPr>
          <w:lang w:val="fr-FR"/>
        </w:rPr>
        <w:t>enfant.</w:t>
      </w:r>
    </w:p>
    <w:p w14:paraId="512C8CDA" w14:textId="748DFD8B" w:rsidR="00603A87" w:rsidRPr="00111F07" w:rsidRDefault="00603A87" w:rsidP="0010170A">
      <w:pPr>
        <w:pStyle w:val="SingleTxt"/>
        <w:numPr>
          <w:ilvl w:val="0"/>
          <w:numId w:val="63"/>
        </w:numPr>
        <w:spacing w:line="240" w:lineRule="exact"/>
        <w:rPr>
          <w:lang w:val="fr-FR"/>
        </w:rPr>
      </w:pPr>
      <w:r w:rsidRPr="00111F07">
        <w:rPr>
          <w:lang w:val="fr-FR"/>
        </w:rPr>
        <w:t>La loi sur la responsabilité parentale a été modifiée pour souligner que dans toutes les décisions, l</w:t>
      </w:r>
      <w:r w:rsidR="007A3CEB" w:rsidRPr="00111F07">
        <w:rPr>
          <w:lang w:val="fr-FR"/>
        </w:rPr>
        <w:t>’</w:t>
      </w:r>
      <w:r w:rsidRPr="00111F07">
        <w:rPr>
          <w:lang w:val="fr-FR"/>
        </w:rPr>
        <w:t>Agence et le tribunal des affaires familiales doivent s</w:t>
      </w:r>
      <w:r w:rsidR="007A3CEB" w:rsidRPr="00111F07">
        <w:rPr>
          <w:lang w:val="fr-FR"/>
        </w:rPr>
        <w:t>’</w:t>
      </w:r>
      <w:r w:rsidRPr="00111F07">
        <w:rPr>
          <w:lang w:val="fr-FR"/>
        </w:rPr>
        <w:t>efforcer d</w:t>
      </w:r>
      <w:r w:rsidR="007A3CEB" w:rsidRPr="00111F07">
        <w:rPr>
          <w:lang w:val="fr-FR"/>
        </w:rPr>
        <w:t>’</w:t>
      </w:r>
      <w:r w:rsidRPr="00111F07">
        <w:rPr>
          <w:lang w:val="fr-FR"/>
        </w:rPr>
        <w:t>assurer le bien-être de l</w:t>
      </w:r>
      <w:r w:rsidR="007A3CEB" w:rsidRPr="00111F07">
        <w:rPr>
          <w:lang w:val="fr-FR"/>
        </w:rPr>
        <w:t>’</w:t>
      </w:r>
      <w:r w:rsidRPr="00111F07">
        <w:rPr>
          <w:lang w:val="fr-FR"/>
        </w:rPr>
        <w:t>enfant et de le protéger contre la violence ou tout autre traitement qui l</w:t>
      </w:r>
      <w:r w:rsidR="007A3CEB" w:rsidRPr="00111F07">
        <w:rPr>
          <w:lang w:val="fr-FR"/>
        </w:rPr>
        <w:t>’</w:t>
      </w:r>
      <w:r w:rsidRPr="00111F07">
        <w:rPr>
          <w:lang w:val="fr-FR"/>
        </w:rPr>
        <w:t>exposerait à un préjudice ou à un danger, y compris le fait d</w:t>
      </w:r>
      <w:r w:rsidR="007A3CEB" w:rsidRPr="00111F07">
        <w:rPr>
          <w:lang w:val="fr-FR"/>
        </w:rPr>
        <w:t>’</w:t>
      </w:r>
      <w:r w:rsidRPr="00111F07">
        <w:rPr>
          <w:lang w:val="fr-FR"/>
        </w:rPr>
        <w:t>être témoin d</w:t>
      </w:r>
      <w:r w:rsidR="007A3CEB" w:rsidRPr="00111F07">
        <w:rPr>
          <w:lang w:val="fr-FR"/>
        </w:rPr>
        <w:t>’</w:t>
      </w:r>
      <w:r w:rsidRPr="00111F07">
        <w:rPr>
          <w:lang w:val="fr-FR"/>
        </w:rPr>
        <w:t>actes de violence.</w:t>
      </w:r>
    </w:p>
    <w:p w14:paraId="352467EE" w14:textId="0644A739" w:rsidR="00603A87" w:rsidRPr="00111F07" w:rsidRDefault="00603A87" w:rsidP="0010170A">
      <w:pPr>
        <w:pStyle w:val="SingleTxt"/>
        <w:numPr>
          <w:ilvl w:val="0"/>
          <w:numId w:val="63"/>
        </w:numPr>
        <w:spacing w:line="240" w:lineRule="exact"/>
        <w:rPr>
          <w:lang w:val="fr-FR"/>
        </w:rPr>
      </w:pPr>
      <w:r w:rsidRPr="00111F07">
        <w:rPr>
          <w:lang w:val="fr-FR"/>
        </w:rPr>
        <w:lastRenderedPageBreak/>
        <w:t>En outre, le nouveau système comprend des dispositions stipulant qu</w:t>
      </w:r>
      <w:r w:rsidR="007A3CEB" w:rsidRPr="00111F07">
        <w:rPr>
          <w:lang w:val="fr-FR"/>
        </w:rPr>
        <w:t>’</w:t>
      </w:r>
      <w:r w:rsidRPr="00111F07">
        <w:rPr>
          <w:lang w:val="fr-FR"/>
        </w:rPr>
        <w:t>une partie à une affaire relevant du droit de la famille, par exemple une mère dans une affaire de garde d</w:t>
      </w:r>
      <w:r w:rsidR="007A3CEB" w:rsidRPr="00111F07">
        <w:rPr>
          <w:lang w:val="fr-FR"/>
        </w:rPr>
        <w:t>’</w:t>
      </w:r>
      <w:r w:rsidRPr="00111F07">
        <w:rPr>
          <w:lang w:val="fr-FR"/>
        </w:rPr>
        <w:t>enfants, n</w:t>
      </w:r>
      <w:r w:rsidR="007A3CEB" w:rsidRPr="00111F07">
        <w:rPr>
          <w:lang w:val="fr-FR"/>
        </w:rPr>
        <w:t>’</w:t>
      </w:r>
      <w:r w:rsidRPr="00111F07">
        <w:rPr>
          <w:lang w:val="fr-FR"/>
        </w:rPr>
        <w:t>est pas obligée de participer à une réunion à l</w:t>
      </w:r>
      <w:r w:rsidR="007A3CEB" w:rsidRPr="00111F07">
        <w:rPr>
          <w:lang w:val="fr-FR"/>
        </w:rPr>
        <w:t>’</w:t>
      </w:r>
      <w:r w:rsidRPr="00111F07">
        <w:rPr>
          <w:lang w:val="fr-FR"/>
        </w:rPr>
        <w:t>Agence avec l</w:t>
      </w:r>
      <w:r w:rsidR="007A3CEB" w:rsidRPr="00111F07">
        <w:rPr>
          <w:lang w:val="fr-FR"/>
        </w:rPr>
        <w:t>’</w:t>
      </w:r>
      <w:r w:rsidRPr="00111F07">
        <w:rPr>
          <w:lang w:val="fr-FR"/>
        </w:rPr>
        <w:t>autre parent, si l</w:t>
      </w:r>
      <w:r w:rsidR="007A3CEB" w:rsidRPr="00111F07">
        <w:rPr>
          <w:lang w:val="fr-FR"/>
        </w:rPr>
        <w:t>’</w:t>
      </w:r>
      <w:r w:rsidRPr="00111F07">
        <w:rPr>
          <w:lang w:val="fr-FR"/>
        </w:rPr>
        <w:t>autre parent a exposé le parent ou l</w:t>
      </w:r>
      <w:r w:rsidR="007A3CEB" w:rsidRPr="00111F07">
        <w:rPr>
          <w:lang w:val="fr-FR"/>
        </w:rPr>
        <w:t>’</w:t>
      </w:r>
      <w:r w:rsidRPr="00111F07">
        <w:rPr>
          <w:lang w:val="fr-FR"/>
        </w:rPr>
        <w:t>enfant à un comportement violent ou si un comportement violent est suspecté. Cela englobe les procédures de réconciliation et de médiation.</w:t>
      </w:r>
    </w:p>
    <w:p w14:paraId="50B3DC0B" w14:textId="12CFF493" w:rsidR="00603A87" w:rsidRPr="00111F07" w:rsidRDefault="00603A87" w:rsidP="0010170A">
      <w:pPr>
        <w:pStyle w:val="SingleTxt"/>
        <w:numPr>
          <w:ilvl w:val="0"/>
          <w:numId w:val="63"/>
        </w:numPr>
        <w:spacing w:line="240" w:lineRule="exact"/>
        <w:rPr>
          <w:lang w:val="fr-FR"/>
        </w:rPr>
      </w:pPr>
      <w:r w:rsidRPr="00111F07">
        <w:rPr>
          <w:lang w:val="fr-FR"/>
        </w:rPr>
        <w:t>Le droit danois de la famille prévoit les mêmes droits et obligations pour tous les parents, à l</w:t>
      </w:r>
      <w:r w:rsidR="007A3CEB" w:rsidRPr="00111F07">
        <w:rPr>
          <w:lang w:val="fr-FR"/>
        </w:rPr>
        <w:t>’</w:t>
      </w:r>
      <w:r w:rsidRPr="00111F07">
        <w:rPr>
          <w:lang w:val="fr-FR"/>
        </w:rPr>
        <w:t>exception de la garde exclusive de l</w:t>
      </w:r>
      <w:r w:rsidR="007A3CEB" w:rsidRPr="00111F07">
        <w:rPr>
          <w:lang w:val="fr-FR"/>
        </w:rPr>
        <w:t>’</w:t>
      </w:r>
      <w:r w:rsidRPr="00111F07">
        <w:rPr>
          <w:lang w:val="fr-FR"/>
        </w:rPr>
        <w:t>enfant accordée aux femmes non mariées, à moins que les parents ne conviennent d</w:t>
      </w:r>
      <w:r w:rsidR="007A3CEB" w:rsidRPr="00111F07">
        <w:rPr>
          <w:lang w:val="fr-FR"/>
        </w:rPr>
        <w:t>’</w:t>
      </w:r>
      <w:r w:rsidRPr="00111F07">
        <w:rPr>
          <w:lang w:val="fr-FR"/>
        </w:rPr>
        <w:t>une garde conjointe. Les parents qui sont mariés ont automatiquement la garde conjointe.</w:t>
      </w:r>
    </w:p>
    <w:p w14:paraId="1F0D6FE2" w14:textId="4EE66E17" w:rsidR="00603A87" w:rsidRPr="00111F07" w:rsidRDefault="00603A87" w:rsidP="0010170A">
      <w:pPr>
        <w:pStyle w:val="SingleTxt"/>
        <w:numPr>
          <w:ilvl w:val="0"/>
          <w:numId w:val="63"/>
        </w:numPr>
        <w:spacing w:line="240" w:lineRule="exact"/>
        <w:rPr>
          <w:lang w:val="fr-FR"/>
        </w:rPr>
      </w:pPr>
      <w:r w:rsidRPr="00111F07">
        <w:rPr>
          <w:lang w:val="fr-FR"/>
        </w:rPr>
        <w:t>Selon la législation de 2018 concernant la gestion des biens durant les procédures de divorce, tous les biens sont répartis équitablement entre les époux, à l</w:t>
      </w:r>
      <w:r w:rsidR="007A3CEB" w:rsidRPr="00111F07">
        <w:rPr>
          <w:lang w:val="fr-FR"/>
        </w:rPr>
        <w:t>’</w:t>
      </w:r>
      <w:r w:rsidRPr="00111F07">
        <w:rPr>
          <w:lang w:val="fr-FR"/>
        </w:rPr>
        <w:t>exception de certains biens, par exemple,</w:t>
      </w:r>
      <w:r w:rsidR="007A3CEB" w:rsidRPr="00111F07">
        <w:rPr>
          <w:lang w:val="fr-FR"/>
        </w:rPr>
        <w:t xml:space="preserve"> </w:t>
      </w:r>
      <w:r w:rsidRPr="00111F07">
        <w:rPr>
          <w:lang w:val="fr-FR"/>
        </w:rPr>
        <w:t>ceux qui sont couverts par un accord prénuptial.</w:t>
      </w:r>
    </w:p>
    <w:p w14:paraId="6189FB6E" w14:textId="2EE8AC70" w:rsidR="00603A87" w:rsidRPr="00111F07" w:rsidRDefault="00603A87" w:rsidP="0010170A">
      <w:pPr>
        <w:pStyle w:val="SingleTxt"/>
        <w:numPr>
          <w:ilvl w:val="0"/>
          <w:numId w:val="63"/>
        </w:numPr>
        <w:spacing w:line="240" w:lineRule="exact"/>
        <w:rPr>
          <w:lang w:val="fr-FR"/>
        </w:rPr>
      </w:pPr>
      <w:r w:rsidRPr="00111F07">
        <w:rPr>
          <w:lang w:val="fr-FR"/>
        </w:rPr>
        <w:t>Un conjoint en mauvaise situation financière après un divorce, par exemple une femme au foyer, peut demander une indemnisation à l</w:t>
      </w:r>
      <w:r w:rsidR="007A3CEB" w:rsidRPr="00111F07">
        <w:rPr>
          <w:lang w:val="fr-FR"/>
        </w:rPr>
        <w:t>’</w:t>
      </w:r>
      <w:r w:rsidRPr="00111F07">
        <w:rPr>
          <w:lang w:val="fr-FR"/>
        </w:rPr>
        <w:t>autre conjoint, à condition que celui-ci ait une fortune importante, qui n</w:t>
      </w:r>
      <w:r w:rsidR="007A3CEB" w:rsidRPr="00111F07">
        <w:rPr>
          <w:lang w:val="fr-FR"/>
        </w:rPr>
        <w:t>’</w:t>
      </w:r>
      <w:r w:rsidRPr="00111F07">
        <w:rPr>
          <w:lang w:val="fr-FR"/>
        </w:rPr>
        <w:t>est pas divisée, par exemple en raison d</w:t>
      </w:r>
      <w:r w:rsidR="007A3CEB" w:rsidRPr="00111F07">
        <w:rPr>
          <w:lang w:val="fr-FR"/>
        </w:rPr>
        <w:t>’</w:t>
      </w:r>
      <w:r w:rsidRPr="00111F07">
        <w:rPr>
          <w:lang w:val="fr-FR"/>
        </w:rPr>
        <w:t>un accord prénuptial. L</w:t>
      </w:r>
      <w:r w:rsidR="007A3CEB" w:rsidRPr="00111F07">
        <w:rPr>
          <w:lang w:val="fr-FR"/>
        </w:rPr>
        <w:t>’</w:t>
      </w:r>
      <w:r w:rsidRPr="00111F07">
        <w:rPr>
          <w:lang w:val="fr-FR"/>
        </w:rPr>
        <w:t>indemnisation est accordée par les tribunaux si le conjoint qui en a fait la demande en a besoin pour éviter de se retrouver dans une situation financière déraisonnable.</w:t>
      </w:r>
    </w:p>
    <w:p w14:paraId="057F8BFF" w14:textId="2F2C1EAD" w:rsidR="00603A87" w:rsidRPr="00111F07" w:rsidRDefault="00603A87" w:rsidP="0010170A">
      <w:pPr>
        <w:pStyle w:val="SingleTxt"/>
        <w:numPr>
          <w:ilvl w:val="0"/>
          <w:numId w:val="63"/>
        </w:numPr>
        <w:spacing w:line="240" w:lineRule="exact"/>
        <w:rPr>
          <w:lang w:val="fr-FR"/>
        </w:rPr>
      </w:pPr>
      <w:r w:rsidRPr="00111F07">
        <w:rPr>
          <w:lang w:val="fr-FR"/>
        </w:rPr>
        <w:t>En outre, la législation de 2018 offre au conjoint qui a contribué à préserver ou à accroître la richesse de l</w:t>
      </w:r>
      <w:r w:rsidR="007A3CEB" w:rsidRPr="00111F07">
        <w:rPr>
          <w:lang w:val="fr-FR"/>
        </w:rPr>
        <w:t>’</w:t>
      </w:r>
      <w:r w:rsidRPr="00111F07">
        <w:rPr>
          <w:lang w:val="fr-FR"/>
        </w:rPr>
        <w:t>autre conjoint la possibilité de recevoir une indemnisation. Cette possibilité s</w:t>
      </w:r>
      <w:r w:rsidR="007A3CEB" w:rsidRPr="00111F07">
        <w:rPr>
          <w:lang w:val="fr-FR"/>
        </w:rPr>
        <w:t>’</w:t>
      </w:r>
      <w:r w:rsidRPr="00111F07">
        <w:rPr>
          <w:lang w:val="fr-FR"/>
        </w:rPr>
        <w:t>applique par exemple aux femmes au foyer qui ont aidé leur mari en travaillant à la maison, en s</w:t>
      </w:r>
      <w:r w:rsidR="007A3CEB" w:rsidRPr="00111F07">
        <w:rPr>
          <w:lang w:val="fr-FR"/>
        </w:rPr>
        <w:t>’</w:t>
      </w:r>
      <w:r w:rsidRPr="00111F07">
        <w:rPr>
          <w:lang w:val="fr-FR"/>
        </w:rPr>
        <w:t>occupant des enfants ou d</w:t>
      </w:r>
      <w:r w:rsidR="007A3CEB" w:rsidRPr="00111F07">
        <w:rPr>
          <w:lang w:val="fr-FR"/>
        </w:rPr>
        <w:t>’</w:t>
      </w:r>
      <w:r w:rsidRPr="00111F07">
        <w:rPr>
          <w:lang w:val="fr-FR"/>
        </w:rPr>
        <w:t>une autre manière.</w:t>
      </w:r>
    </w:p>
    <w:p w14:paraId="092A71BC" w14:textId="791A3527" w:rsidR="00603A87" w:rsidRPr="00111F07" w:rsidRDefault="00603A87" w:rsidP="0010170A">
      <w:pPr>
        <w:pStyle w:val="SingleTxt"/>
        <w:numPr>
          <w:ilvl w:val="0"/>
          <w:numId w:val="63"/>
        </w:numPr>
        <w:spacing w:line="240" w:lineRule="exact"/>
        <w:rPr>
          <w:lang w:val="fr-FR"/>
        </w:rPr>
      </w:pPr>
      <w:r w:rsidRPr="00111F07">
        <w:rPr>
          <w:lang w:val="fr-FR"/>
        </w:rPr>
        <w:t>Un couple qui cohabite est libre de s</w:t>
      </w:r>
      <w:r w:rsidR="007A3CEB" w:rsidRPr="00111F07">
        <w:rPr>
          <w:lang w:val="fr-FR"/>
        </w:rPr>
        <w:t>’</w:t>
      </w:r>
      <w:r w:rsidRPr="00111F07">
        <w:rPr>
          <w:lang w:val="fr-FR"/>
        </w:rPr>
        <w:t>accorder sur la répartition de ses biens lorsqu</w:t>
      </w:r>
      <w:r w:rsidR="007A3CEB" w:rsidRPr="00111F07">
        <w:rPr>
          <w:lang w:val="fr-FR"/>
        </w:rPr>
        <w:t>’</w:t>
      </w:r>
      <w:r w:rsidRPr="00111F07">
        <w:rPr>
          <w:lang w:val="fr-FR"/>
        </w:rPr>
        <w:t>il met fin à sa relation, notamment en ce qui concerne le versement d</w:t>
      </w:r>
      <w:r w:rsidR="007A3CEB" w:rsidRPr="00111F07">
        <w:rPr>
          <w:lang w:val="fr-FR"/>
        </w:rPr>
        <w:t>’</w:t>
      </w:r>
      <w:r w:rsidRPr="00111F07">
        <w:rPr>
          <w:lang w:val="fr-FR"/>
        </w:rPr>
        <w:t>une indemnisation (pension alimentaire). Si aucun accord n</w:t>
      </w:r>
      <w:r w:rsidR="007A3CEB" w:rsidRPr="00111F07">
        <w:rPr>
          <w:lang w:val="fr-FR"/>
        </w:rPr>
        <w:t>’</w:t>
      </w:r>
      <w:r w:rsidRPr="00111F07">
        <w:rPr>
          <w:lang w:val="fr-FR"/>
        </w:rPr>
        <w:t>a été conclu, les tribunaux peuvent accorder à l</w:t>
      </w:r>
      <w:r w:rsidR="007A3CEB" w:rsidRPr="00111F07">
        <w:rPr>
          <w:lang w:val="fr-FR"/>
        </w:rPr>
        <w:t>’</w:t>
      </w:r>
      <w:r w:rsidRPr="00111F07">
        <w:rPr>
          <w:lang w:val="fr-FR"/>
        </w:rPr>
        <w:t>un des partenaires une indemnisation pour éviter que celui-ci ne se retrouve dans une situation financière déraisonnable.</w:t>
      </w:r>
    </w:p>
    <w:p w14:paraId="3C59E056" w14:textId="7D762056" w:rsidR="00603A87" w:rsidRPr="00111F07" w:rsidRDefault="00603A87" w:rsidP="00A700AF">
      <w:pPr>
        <w:pStyle w:val="SingleTxt"/>
        <w:spacing w:after="0" w:line="120" w:lineRule="exact"/>
        <w:rPr>
          <w:sz w:val="10"/>
          <w:lang w:val="fr-FR"/>
        </w:rPr>
      </w:pPr>
    </w:p>
    <w:p w14:paraId="37C37728" w14:textId="60BF135E" w:rsidR="00A700AF" w:rsidRPr="00111F07" w:rsidRDefault="00A700AF" w:rsidP="00A700AF">
      <w:pPr>
        <w:pStyle w:val="SingleTxt"/>
        <w:spacing w:after="0" w:line="120" w:lineRule="exact"/>
        <w:rPr>
          <w:sz w:val="10"/>
          <w:lang w:val="fr-FR"/>
        </w:rPr>
      </w:pPr>
    </w:p>
    <w:p w14:paraId="204EF87D" w14:textId="5675C3DE" w:rsidR="00603A87" w:rsidRPr="00111F07" w:rsidRDefault="00A700AF" w:rsidP="00A700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Objectifs de développement durable</w:t>
      </w:r>
    </w:p>
    <w:p w14:paraId="109F89D0" w14:textId="7EE8104F" w:rsidR="00603A87" w:rsidRPr="00111F07" w:rsidRDefault="00603A87" w:rsidP="00A700AF">
      <w:pPr>
        <w:pStyle w:val="SingleTxt"/>
        <w:spacing w:after="0" w:line="120" w:lineRule="exact"/>
        <w:rPr>
          <w:sz w:val="10"/>
          <w:lang w:val="fr-FR"/>
        </w:rPr>
      </w:pPr>
    </w:p>
    <w:p w14:paraId="27C69FC9" w14:textId="09ECA9E1" w:rsidR="00A700AF" w:rsidRPr="00111F07" w:rsidRDefault="00A700AF" w:rsidP="00A700AF">
      <w:pPr>
        <w:pStyle w:val="SingleTxt"/>
        <w:spacing w:after="0" w:line="120" w:lineRule="exact"/>
        <w:rPr>
          <w:sz w:val="10"/>
          <w:lang w:val="fr-FR"/>
        </w:rPr>
      </w:pPr>
    </w:p>
    <w:p w14:paraId="53769F18" w14:textId="12E5A2CA" w:rsidR="00603A87" w:rsidRPr="00111F07" w:rsidRDefault="00A700AF" w:rsidP="00A700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Réponse au paragraphe 23</w:t>
      </w:r>
    </w:p>
    <w:p w14:paraId="0EA2EDFC" w14:textId="1B90A4C8" w:rsidR="00A700AF" w:rsidRPr="00111F07" w:rsidRDefault="00A700AF" w:rsidP="00A700AF">
      <w:pPr>
        <w:pStyle w:val="SingleTxt"/>
        <w:spacing w:after="0" w:line="120" w:lineRule="exact"/>
        <w:rPr>
          <w:sz w:val="10"/>
          <w:lang w:val="fr-FR"/>
        </w:rPr>
      </w:pPr>
    </w:p>
    <w:p w14:paraId="170E4408" w14:textId="1954A34D" w:rsidR="00A700AF" w:rsidRPr="00111F07" w:rsidRDefault="00A700AF" w:rsidP="00A700AF">
      <w:pPr>
        <w:pStyle w:val="SingleTxt"/>
        <w:spacing w:after="0" w:line="120" w:lineRule="exact"/>
        <w:rPr>
          <w:sz w:val="10"/>
          <w:lang w:val="fr-FR"/>
        </w:rPr>
      </w:pPr>
    </w:p>
    <w:p w14:paraId="08C22DD8" w14:textId="00987CF2" w:rsidR="00603A87" w:rsidRPr="00111F07" w:rsidRDefault="00603A87" w:rsidP="0010170A">
      <w:pPr>
        <w:pStyle w:val="SingleTxt"/>
        <w:numPr>
          <w:ilvl w:val="0"/>
          <w:numId w:val="63"/>
        </w:numPr>
        <w:spacing w:line="240" w:lineRule="exact"/>
        <w:rPr>
          <w:lang w:val="fr-FR"/>
        </w:rPr>
      </w:pPr>
      <w:r w:rsidRPr="00111F07">
        <w:rPr>
          <w:lang w:val="fr-FR"/>
        </w:rPr>
        <w:t>Le plan d</w:t>
      </w:r>
      <w:r w:rsidR="007A3CEB" w:rsidRPr="00111F07">
        <w:rPr>
          <w:lang w:val="fr-FR"/>
        </w:rPr>
        <w:t>’</w:t>
      </w:r>
      <w:r w:rsidRPr="00111F07">
        <w:rPr>
          <w:lang w:val="fr-FR"/>
        </w:rPr>
        <w:t>action national du Danemark sur les objectifs de développement durable contient quatre priorités transversales</w:t>
      </w:r>
      <w:r w:rsidR="007A3CEB" w:rsidRPr="00111F07">
        <w:rPr>
          <w:lang w:val="fr-FR"/>
        </w:rPr>
        <w:t> :</w:t>
      </w:r>
      <w:r w:rsidRPr="00111F07">
        <w:rPr>
          <w:lang w:val="fr-FR"/>
        </w:rPr>
        <w:t xml:space="preserve"> la prospérité, les personnes, la planète et la paix. L</w:t>
      </w:r>
      <w:r w:rsidR="007A3CEB" w:rsidRPr="00111F07">
        <w:rPr>
          <w:lang w:val="fr-FR"/>
        </w:rPr>
        <w:t>’</w:t>
      </w:r>
      <w:r w:rsidRPr="00111F07">
        <w:rPr>
          <w:lang w:val="fr-FR"/>
        </w:rPr>
        <w:t>égalité des genres joue un rôle dans trois de ces quatre domaines. Le plan d</w:t>
      </w:r>
      <w:r w:rsidR="007A3CEB" w:rsidRPr="00111F07">
        <w:rPr>
          <w:lang w:val="fr-FR"/>
        </w:rPr>
        <w:t>’</w:t>
      </w:r>
      <w:r w:rsidRPr="00111F07">
        <w:rPr>
          <w:lang w:val="fr-FR"/>
        </w:rPr>
        <w:t>action comprend des objectifs en matière d</w:t>
      </w:r>
      <w:r w:rsidR="007A3CEB" w:rsidRPr="00111F07">
        <w:rPr>
          <w:lang w:val="fr-FR"/>
        </w:rPr>
        <w:t>’</w:t>
      </w:r>
      <w:r w:rsidRPr="00111F07">
        <w:rPr>
          <w:lang w:val="fr-FR"/>
        </w:rPr>
        <w:t>égalité des sexes dans les domaines de l</w:t>
      </w:r>
      <w:r w:rsidR="007A3CEB" w:rsidRPr="00111F07">
        <w:rPr>
          <w:lang w:val="fr-FR"/>
        </w:rPr>
        <w:t>’</w:t>
      </w:r>
      <w:r w:rsidRPr="00111F07">
        <w:rPr>
          <w:lang w:val="fr-FR"/>
        </w:rPr>
        <w:t>éducation, du marché du travail et de la coopération pour le développement.</w:t>
      </w:r>
    </w:p>
    <w:p w14:paraId="1C656DF2" w14:textId="30F9F31A" w:rsidR="00603A87" w:rsidRPr="00111F07" w:rsidRDefault="00603A87" w:rsidP="00A700AF">
      <w:pPr>
        <w:pStyle w:val="SingleTxt"/>
        <w:spacing w:after="0" w:line="120" w:lineRule="exact"/>
        <w:rPr>
          <w:sz w:val="10"/>
          <w:lang w:val="fr-FR"/>
        </w:rPr>
      </w:pPr>
    </w:p>
    <w:p w14:paraId="7A379269" w14:textId="7C54B849" w:rsidR="00603A87" w:rsidRPr="00111F07" w:rsidRDefault="00A700AF" w:rsidP="00A70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Groenland</w:t>
      </w:r>
    </w:p>
    <w:p w14:paraId="592EB577" w14:textId="6FF47443" w:rsidR="00A700AF" w:rsidRPr="00111F07" w:rsidRDefault="00A700AF" w:rsidP="00A700AF">
      <w:pPr>
        <w:pStyle w:val="SingleTxt"/>
        <w:spacing w:after="0" w:line="120" w:lineRule="exact"/>
        <w:rPr>
          <w:sz w:val="10"/>
          <w:lang w:val="fr-FR"/>
        </w:rPr>
      </w:pPr>
    </w:p>
    <w:p w14:paraId="40F8BA82" w14:textId="45AF5AE9" w:rsidR="00603A87" w:rsidRPr="00111F07" w:rsidRDefault="00603A87" w:rsidP="0010170A">
      <w:pPr>
        <w:pStyle w:val="SingleTxt"/>
        <w:numPr>
          <w:ilvl w:val="0"/>
          <w:numId w:val="63"/>
        </w:numPr>
        <w:spacing w:line="240" w:lineRule="exact"/>
        <w:rPr>
          <w:lang w:val="fr-FR"/>
        </w:rPr>
      </w:pPr>
      <w:r w:rsidRPr="00111F07">
        <w:rPr>
          <w:lang w:val="fr-FR"/>
        </w:rPr>
        <w:t>Aucune mesure spécifique n</w:t>
      </w:r>
      <w:r w:rsidR="007A3CEB" w:rsidRPr="00111F07">
        <w:rPr>
          <w:lang w:val="fr-FR"/>
        </w:rPr>
        <w:t>’</w:t>
      </w:r>
      <w:r w:rsidRPr="00111F07">
        <w:rPr>
          <w:lang w:val="fr-FR"/>
        </w:rPr>
        <w:t>a été prise pour prendre en compte les questions de genre dans les efforts visant à réaliser les objectifs de développement durable.</w:t>
      </w:r>
    </w:p>
    <w:p w14:paraId="2117EA84" w14:textId="536AF981" w:rsidR="00603A87" w:rsidRPr="00111F07" w:rsidRDefault="00603A87" w:rsidP="00A700AF">
      <w:pPr>
        <w:pStyle w:val="SingleTxt"/>
        <w:spacing w:after="0" w:line="120" w:lineRule="exact"/>
        <w:rPr>
          <w:sz w:val="10"/>
          <w:lang w:val="fr-FR"/>
        </w:rPr>
      </w:pPr>
    </w:p>
    <w:p w14:paraId="2D8C82E6" w14:textId="43079623" w:rsidR="00603A87" w:rsidRPr="00111F07" w:rsidRDefault="00A700AF" w:rsidP="00A700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1F07">
        <w:rPr>
          <w:lang w:val="fr-FR"/>
        </w:rPr>
        <w:tab/>
      </w:r>
      <w:r w:rsidRPr="00111F07">
        <w:rPr>
          <w:lang w:val="fr-FR"/>
        </w:rPr>
        <w:tab/>
      </w:r>
      <w:r w:rsidR="00603A87" w:rsidRPr="00111F07">
        <w:rPr>
          <w:lang w:val="fr-FR"/>
        </w:rPr>
        <w:t>Îles Féroé</w:t>
      </w:r>
    </w:p>
    <w:p w14:paraId="15178A1E" w14:textId="431A6CBA" w:rsidR="00A700AF" w:rsidRPr="00111F07" w:rsidRDefault="00A700AF" w:rsidP="00A700AF">
      <w:pPr>
        <w:pStyle w:val="SingleTxt"/>
        <w:spacing w:after="0" w:line="120" w:lineRule="exact"/>
        <w:rPr>
          <w:sz w:val="10"/>
          <w:lang w:val="fr-FR"/>
        </w:rPr>
      </w:pPr>
    </w:p>
    <w:p w14:paraId="02868D32" w14:textId="1AF771F4" w:rsidR="00603A87" w:rsidRPr="00111F07" w:rsidRDefault="00603A87" w:rsidP="0010170A">
      <w:pPr>
        <w:pStyle w:val="SingleTxt"/>
        <w:numPr>
          <w:ilvl w:val="0"/>
          <w:numId w:val="63"/>
        </w:numPr>
        <w:spacing w:line="240" w:lineRule="exact"/>
        <w:rPr>
          <w:lang w:val="fr-FR"/>
        </w:rPr>
      </w:pPr>
      <w:r w:rsidRPr="00111F07">
        <w:rPr>
          <w:lang w:val="fr-FR"/>
        </w:rPr>
        <w:t>Le Gouvernement a pris un certain nombre d</w:t>
      </w:r>
      <w:r w:rsidR="007A3CEB" w:rsidRPr="00111F07">
        <w:rPr>
          <w:lang w:val="fr-FR"/>
        </w:rPr>
        <w:t>’</w:t>
      </w:r>
      <w:r w:rsidRPr="00111F07">
        <w:rPr>
          <w:lang w:val="fr-FR"/>
        </w:rPr>
        <w:t>initiatives pour améliorer la situation des parents célibataires en particulier, qui sont principalement des femmes, en améliorant l</w:t>
      </w:r>
      <w:r w:rsidR="007A3CEB" w:rsidRPr="00111F07">
        <w:rPr>
          <w:lang w:val="fr-FR"/>
        </w:rPr>
        <w:t>’</w:t>
      </w:r>
      <w:r w:rsidRPr="00111F07">
        <w:rPr>
          <w:lang w:val="fr-FR"/>
        </w:rPr>
        <w:t>accès aux bourses d</w:t>
      </w:r>
      <w:r w:rsidR="007A3CEB" w:rsidRPr="00111F07">
        <w:rPr>
          <w:lang w:val="fr-FR"/>
        </w:rPr>
        <w:t>’</w:t>
      </w:r>
      <w:r w:rsidRPr="00111F07">
        <w:rPr>
          <w:lang w:val="fr-FR"/>
        </w:rPr>
        <w:t xml:space="preserve">études, en augmentant le nombre de logements abordables, en accordant des subventions spécifiques aux parents célibataires et aux </w:t>
      </w:r>
      <w:r w:rsidRPr="00111F07">
        <w:rPr>
          <w:lang w:val="fr-FR"/>
        </w:rPr>
        <w:lastRenderedPageBreak/>
        <w:t>personnes à faible revenu, et en fournissant des services de garderie gratuits aux personnes sans revenu ou à faible revenu.</w:t>
      </w:r>
    </w:p>
    <w:bookmarkStart w:id="2" w:name="_GoBack"/>
    <w:bookmarkEnd w:id="2"/>
    <w:p w14:paraId="0FDCAA90" w14:textId="644FA59C" w:rsidR="00603A87" w:rsidRPr="00A700AF" w:rsidRDefault="00A700AF" w:rsidP="00A700AF">
      <w:pPr>
        <w:pStyle w:val="SingleTxt"/>
        <w:spacing w:after="0" w:line="240" w:lineRule="auto"/>
        <w:rPr>
          <w:lang w:val="fr-FR"/>
        </w:rPr>
      </w:pPr>
      <w:r w:rsidRPr="00111F07">
        <w:rPr>
          <w:noProof/>
          <w:w w:val="100"/>
          <w:lang w:val="fr-FR"/>
        </w:rPr>
        <mc:AlternateContent>
          <mc:Choice Requires="wps">
            <w:drawing>
              <wp:anchor distT="0" distB="0" distL="114300" distR="114300" simplePos="0" relativeHeight="251660288" behindDoc="0" locked="0" layoutInCell="1" allowOverlap="1" wp14:anchorId="5E915013" wp14:editId="52AEB727">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64B9A"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03A87" w:rsidRPr="00A700AF" w:rsidSect="007A3CEB">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6-04T08:10:00Z" w:initials="Start">
    <w:p w14:paraId="6542870F" w14:textId="77777777" w:rsidR="00767371" w:rsidRPr="0006561A" w:rsidRDefault="00767371">
      <w:pPr>
        <w:pStyle w:val="CommentText"/>
        <w:rPr>
          <w:lang w:val="en-US"/>
        </w:rPr>
      </w:pPr>
      <w:r>
        <w:rPr>
          <w:rStyle w:val="CommentReference"/>
        </w:rPr>
        <w:annotationRef/>
      </w:r>
      <w:r w:rsidRPr="0006561A">
        <w:rPr>
          <w:lang w:val="en-US"/>
        </w:rPr>
        <w:t>&lt;&lt;ODS JOB NO&gt;&gt;N2007467F&lt;&lt;ODS JOB NO&gt;&gt;</w:t>
      </w:r>
    </w:p>
    <w:p w14:paraId="066A4E76" w14:textId="77777777" w:rsidR="00767371" w:rsidRDefault="00767371">
      <w:pPr>
        <w:pStyle w:val="CommentText"/>
      </w:pPr>
      <w:r>
        <w:t>&lt;&lt;ODS DOC SYMBOL1&gt;&gt;CEDAW/C/DNK/RQ/9&lt;&lt;ODS DOC SYMBOL1&gt;&gt;</w:t>
      </w:r>
    </w:p>
    <w:p w14:paraId="2FCC275A" w14:textId="3750C30F" w:rsidR="00767371" w:rsidRDefault="0076737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C27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C275A" w16cid:durableId="22832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FAA1" w14:textId="77777777" w:rsidR="00B144D8" w:rsidRDefault="00B144D8" w:rsidP="00101B18">
      <w:pPr>
        <w:spacing w:line="240" w:lineRule="auto"/>
      </w:pPr>
      <w:r>
        <w:separator/>
      </w:r>
    </w:p>
  </w:endnote>
  <w:endnote w:type="continuationSeparator" w:id="0">
    <w:p w14:paraId="5D179F24" w14:textId="77777777" w:rsidR="00B144D8" w:rsidRDefault="00B144D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7371" w14:paraId="4BBB359F" w14:textId="77777777" w:rsidTr="00C87D14">
      <w:tc>
        <w:tcPr>
          <w:tcW w:w="4920" w:type="dxa"/>
          <w:shd w:val="clear" w:color="auto" w:fill="auto"/>
        </w:tcPr>
        <w:p w14:paraId="7582F762" w14:textId="573E452E" w:rsidR="00767371" w:rsidRPr="00C87D14" w:rsidRDefault="00767371" w:rsidP="00C87D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2345">
            <w:rPr>
              <w:b w:val="0"/>
              <w:w w:val="103"/>
              <w:sz w:val="14"/>
            </w:rPr>
            <w:t>20-04423</w:t>
          </w:r>
          <w:r>
            <w:rPr>
              <w:b w:val="0"/>
              <w:w w:val="103"/>
              <w:sz w:val="14"/>
            </w:rPr>
            <w:fldChar w:fldCharType="end"/>
          </w:r>
        </w:p>
      </w:tc>
      <w:tc>
        <w:tcPr>
          <w:tcW w:w="4920" w:type="dxa"/>
          <w:shd w:val="clear" w:color="auto" w:fill="auto"/>
        </w:tcPr>
        <w:p w14:paraId="3C595FC1" w14:textId="216BECC3" w:rsidR="00767371" w:rsidRPr="00C87D14" w:rsidRDefault="00767371" w:rsidP="00C87D1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A4B4796" w14:textId="77777777" w:rsidR="00767371" w:rsidRPr="00C87D14" w:rsidRDefault="00767371" w:rsidP="00C8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7371" w14:paraId="5FD3B4E0" w14:textId="77777777" w:rsidTr="00C87D14">
      <w:tc>
        <w:tcPr>
          <w:tcW w:w="4920" w:type="dxa"/>
          <w:shd w:val="clear" w:color="auto" w:fill="auto"/>
        </w:tcPr>
        <w:p w14:paraId="2494FD89" w14:textId="3BCE32CA" w:rsidR="00767371" w:rsidRPr="00C87D14" w:rsidRDefault="00767371" w:rsidP="00C87D1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2CF2539" w14:textId="55231134" w:rsidR="00767371" w:rsidRPr="00C87D14" w:rsidRDefault="00767371" w:rsidP="00C87D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2345">
            <w:rPr>
              <w:b w:val="0"/>
              <w:w w:val="103"/>
              <w:sz w:val="14"/>
            </w:rPr>
            <w:t>20-04423</w:t>
          </w:r>
          <w:r>
            <w:rPr>
              <w:b w:val="0"/>
              <w:w w:val="103"/>
              <w:sz w:val="14"/>
            </w:rPr>
            <w:fldChar w:fldCharType="end"/>
          </w:r>
        </w:p>
      </w:tc>
    </w:tr>
  </w:tbl>
  <w:p w14:paraId="52B1224E" w14:textId="77777777" w:rsidR="00767371" w:rsidRPr="00C87D14" w:rsidRDefault="00767371" w:rsidP="00C87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9484" w14:textId="2123FFC8" w:rsidR="00767371" w:rsidRDefault="00767371">
    <w:pPr>
      <w:pStyle w:val="Footer"/>
    </w:pPr>
    <w:r>
      <w:rPr>
        <w:noProof/>
      </w:rPr>
      <w:drawing>
        <wp:anchor distT="0" distB="0" distL="114300" distR="114300" simplePos="0" relativeHeight="251658240" behindDoc="0" locked="0" layoutInCell="1" allowOverlap="1" wp14:anchorId="306B3E48" wp14:editId="6738091F">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67371" w14:paraId="14438CF7" w14:textId="77777777" w:rsidTr="00C87D14">
      <w:tc>
        <w:tcPr>
          <w:tcW w:w="3758" w:type="dxa"/>
        </w:tcPr>
        <w:p w14:paraId="227EB0B0" w14:textId="6BF091CB" w:rsidR="00767371" w:rsidRDefault="00767371" w:rsidP="00C87D1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42345">
            <w:rPr>
              <w:b w:val="0"/>
              <w:sz w:val="20"/>
            </w:rPr>
            <w:t>20-04423 (F)</w:t>
          </w:r>
          <w:r>
            <w:rPr>
              <w:b w:val="0"/>
              <w:sz w:val="20"/>
            </w:rPr>
            <w:fldChar w:fldCharType="end"/>
          </w:r>
          <w:r>
            <w:rPr>
              <w:b w:val="0"/>
              <w:sz w:val="20"/>
            </w:rPr>
            <w:t xml:space="preserve">    010620    190620</w:t>
          </w:r>
        </w:p>
        <w:p w14:paraId="7D012B32" w14:textId="757777A4" w:rsidR="00767371" w:rsidRPr="00C87D14" w:rsidRDefault="00767371" w:rsidP="00C87D1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42345">
            <w:rPr>
              <w:rFonts w:ascii="Barcode 3 of 9 by request" w:hAnsi="Barcode 3 of 9 by request"/>
              <w:spacing w:val="0"/>
              <w:w w:val="100"/>
              <w:sz w:val="24"/>
            </w:rPr>
            <w:t>*2004423*</w:t>
          </w:r>
          <w:r>
            <w:rPr>
              <w:rFonts w:ascii="Barcode 3 of 9 by request" w:hAnsi="Barcode 3 of 9 by request"/>
              <w:spacing w:val="0"/>
              <w:w w:val="100"/>
              <w:sz w:val="24"/>
            </w:rPr>
            <w:fldChar w:fldCharType="end"/>
          </w:r>
        </w:p>
      </w:tc>
      <w:tc>
        <w:tcPr>
          <w:tcW w:w="4920" w:type="dxa"/>
        </w:tcPr>
        <w:p w14:paraId="30E31FB1" w14:textId="538F7FB2" w:rsidR="00767371" w:rsidRDefault="00767371" w:rsidP="00C87D14">
          <w:pPr>
            <w:pStyle w:val="Footer"/>
            <w:spacing w:line="240" w:lineRule="atLeast"/>
            <w:jc w:val="right"/>
            <w:rPr>
              <w:b w:val="0"/>
              <w:sz w:val="20"/>
            </w:rPr>
          </w:pPr>
          <w:r>
            <w:rPr>
              <w:b w:val="0"/>
              <w:noProof/>
              <w:sz w:val="20"/>
            </w:rPr>
            <w:drawing>
              <wp:inline distT="0" distB="0" distL="0" distR="0" wp14:anchorId="4322A30F" wp14:editId="13C74D9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7B72332" w14:textId="77777777" w:rsidR="00767371" w:rsidRPr="00C87D14" w:rsidRDefault="00767371" w:rsidP="00C87D1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FBBA" w14:textId="74FE0A81" w:rsidR="00B144D8" w:rsidRPr="00DF7ED2" w:rsidRDefault="00B144D8" w:rsidP="00DF7ED2">
      <w:pPr>
        <w:spacing w:after="80" w:line="240" w:lineRule="auto"/>
        <w:ind w:left="792"/>
        <w:rPr>
          <w:b/>
          <w:sz w:val="16"/>
        </w:rPr>
      </w:pPr>
      <w:r w:rsidRPr="00DF7ED2">
        <w:rPr>
          <w:b/>
          <w:sz w:val="16"/>
        </w:rPr>
        <w:t>__________________</w:t>
      </w:r>
    </w:p>
  </w:footnote>
  <w:footnote w:type="continuationSeparator" w:id="0">
    <w:p w14:paraId="6F2C0EE3" w14:textId="50E5F8B7" w:rsidR="00B144D8" w:rsidRPr="00DF7ED2" w:rsidRDefault="00B144D8" w:rsidP="00DF7ED2">
      <w:pPr>
        <w:spacing w:after="80" w:line="240" w:lineRule="auto"/>
        <w:ind w:left="792"/>
        <w:rPr>
          <w:b/>
          <w:sz w:val="16"/>
        </w:rPr>
      </w:pPr>
      <w:r w:rsidRPr="00DF7ED2">
        <w:rPr>
          <w:b/>
          <w:sz w:val="16"/>
        </w:rPr>
        <w:t>__________________</w:t>
      </w:r>
    </w:p>
  </w:footnote>
  <w:footnote w:id="1">
    <w:p w14:paraId="6C87D696" w14:textId="715B6A33" w:rsidR="00E14DD9" w:rsidRPr="00DF7ED2" w:rsidRDefault="00E14DD9" w:rsidP="00DF7ED2">
      <w:pPr>
        <w:pStyle w:val="FootnoteText"/>
        <w:tabs>
          <w:tab w:val="right" w:pos="1195"/>
          <w:tab w:val="left" w:pos="1267"/>
          <w:tab w:val="left" w:pos="1742"/>
          <w:tab w:val="left" w:pos="2218"/>
          <w:tab w:val="left" w:pos="2693"/>
        </w:tabs>
        <w:ind w:left="1267" w:right="1260" w:hanging="576"/>
        <w:rPr>
          <w:lang w:val="fr-FR"/>
        </w:rPr>
      </w:pPr>
      <w:r>
        <w:tab/>
      </w:r>
      <w:r w:rsidRPr="00DF7ED2">
        <w:rPr>
          <w:rStyle w:val="FootnoteReference"/>
          <w:spacing w:val="4"/>
        </w:rPr>
        <w:footnoteRef/>
      </w:r>
      <w:r w:rsidRPr="00E14DD9">
        <w:tab/>
      </w:r>
      <w:r w:rsidRPr="00E14DD9">
        <w:rPr>
          <w:lang w:val="fr-FR"/>
        </w:rPr>
        <w:t>Les estimations sont basées sur des chiffres tirés du système de gestion des affaires de la police danoise (POLSAS), dont les données peuvent être inexactes.  Seules figurent dans le tableau (code</w:t>
      </w:r>
      <w:r>
        <w:rPr>
          <w:lang w:val="fr-FR"/>
        </w:rPr>
        <w:t> </w:t>
      </w:r>
      <w:r w:rsidRPr="00E14DD9">
        <w:rPr>
          <w:lang w:val="fr-FR"/>
        </w:rPr>
        <w:t>74135) les poursuites et les condamnations ou acquittements dans des affaires de traite d’êtres humains pour lesquelles au moins une femme compte parmi les victimes enregistrées dans le cadre d’un groupe d’affaires, notamment d’affaires de traite d’êtres humains. Ce groupe d’affaires n’est pas nécessairement limité à celles relatives à la traite d’êtres humains. Les victimes dans une affaire peuvent être enregistrées par exemple au titre des faits principaux reprochés (en danois « hovedforholdet ») dans un groupe d’affaires et ne seront donc pas directement enregistrées comme victimes dans l’affaire de traite d’êtres humains. S’agissant des faits reprochés et des condamnations ou acquittements, le calcul se fait sur la base du nombre annuel de personnes concernées par un groupe d’affaires, ce qui donne le nombre annuel de personnes, par groupe d’affaires, qui ont fait l’objet de poursuites  ou ont été condamnées ou acquittées. Il convient également de signaler que les données fournies dans la présente réponse ne figurent pas dans le modèle type fourni par le Directeur du ministère public pour les informations touchant à la gestion des données. Les modèles établis à des fins précises sont toujours mis à l’essai mais le risque d’erreurs non relevées reste plus élevé que lorsque le modèle type communiqué par le Procureur général est utilisé. En conséquence, de nombreuses incertitudes existent pour ce qui est des données figurant dans le tableau. Données mises à jour le 11 janvier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67371" w14:paraId="0824C9F6" w14:textId="77777777" w:rsidTr="00C87D14">
      <w:trPr>
        <w:trHeight w:hRule="exact" w:val="864"/>
      </w:trPr>
      <w:tc>
        <w:tcPr>
          <w:tcW w:w="4920" w:type="dxa"/>
          <w:shd w:val="clear" w:color="auto" w:fill="auto"/>
          <w:vAlign w:val="bottom"/>
        </w:tcPr>
        <w:p w14:paraId="7B501172" w14:textId="4863D16F" w:rsidR="00767371" w:rsidRPr="00C87D14" w:rsidRDefault="00767371" w:rsidP="00C87D1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42345">
            <w:rPr>
              <w:b/>
              <w:color w:val="000000"/>
            </w:rPr>
            <w:t>CEDAW/C/DNK/RQ/9</w:t>
          </w:r>
          <w:r>
            <w:rPr>
              <w:b/>
              <w:color w:val="000000"/>
            </w:rPr>
            <w:fldChar w:fldCharType="end"/>
          </w:r>
        </w:p>
      </w:tc>
      <w:tc>
        <w:tcPr>
          <w:tcW w:w="4920" w:type="dxa"/>
          <w:shd w:val="clear" w:color="auto" w:fill="auto"/>
          <w:vAlign w:val="bottom"/>
        </w:tcPr>
        <w:p w14:paraId="49BA38E0" w14:textId="77777777" w:rsidR="00767371" w:rsidRDefault="00767371" w:rsidP="00C87D14">
          <w:pPr>
            <w:pStyle w:val="Header"/>
          </w:pPr>
        </w:p>
      </w:tc>
    </w:tr>
  </w:tbl>
  <w:p w14:paraId="7E9A4E7C" w14:textId="77777777" w:rsidR="00767371" w:rsidRPr="00C87D14" w:rsidRDefault="00767371" w:rsidP="00C87D1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67371" w14:paraId="67142F46" w14:textId="77777777" w:rsidTr="00C87D14">
      <w:trPr>
        <w:trHeight w:hRule="exact" w:val="864"/>
      </w:trPr>
      <w:tc>
        <w:tcPr>
          <w:tcW w:w="4920" w:type="dxa"/>
          <w:shd w:val="clear" w:color="auto" w:fill="auto"/>
          <w:vAlign w:val="bottom"/>
        </w:tcPr>
        <w:p w14:paraId="7340723F" w14:textId="77777777" w:rsidR="00767371" w:rsidRDefault="00767371" w:rsidP="00C87D14">
          <w:pPr>
            <w:pStyle w:val="Header"/>
          </w:pPr>
        </w:p>
      </w:tc>
      <w:tc>
        <w:tcPr>
          <w:tcW w:w="4920" w:type="dxa"/>
          <w:shd w:val="clear" w:color="auto" w:fill="auto"/>
          <w:vAlign w:val="bottom"/>
        </w:tcPr>
        <w:p w14:paraId="0A6BDD44" w14:textId="4C83FA6E" w:rsidR="00767371" w:rsidRPr="00C87D14" w:rsidRDefault="00767371" w:rsidP="00C87D1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42345">
            <w:rPr>
              <w:b/>
              <w:color w:val="000000"/>
            </w:rPr>
            <w:t>CEDAW/C/DNK/RQ/9</w:t>
          </w:r>
          <w:r>
            <w:rPr>
              <w:b/>
              <w:color w:val="000000"/>
            </w:rPr>
            <w:fldChar w:fldCharType="end"/>
          </w:r>
        </w:p>
      </w:tc>
    </w:tr>
  </w:tbl>
  <w:p w14:paraId="288D9D77" w14:textId="77777777" w:rsidR="00767371" w:rsidRPr="00C87D14" w:rsidRDefault="00767371" w:rsidP="00C87D1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67371" w14:paraId="1FA2DFC7" w14:textId="77777777" w:rsidTr="00C87D14">
      <w:trPr>
        <w:trHeight w:hRule="exact" w:val="864"/>
      </w:trPr>
      <w:tc>
        <w:tcPr>
          <w:tcW w:w="1267" w:type="dxa"/>
          <w:tcBorders>
            <w:bottom w:val="single" w:sz="4" w:space="0" w:color="auto"/>
          </w:tcBorders>
          <w:shd w:val="clear" w:color="auto" w:fill="auto"/>
          <w:vAlign w:val="bottom"/>
        </w:tcPr>
        <w:p w14:paraId="5A2E1C25" w14:textId="77777777" w:rsidR="00767371" w:rsidRDefault="00767371" w:rsidP="00C87D14">
          <w:pPr>
            <w:pStyle w:val="Header"/>
            <w:spacing w:after="120"/>
          </w:pPr>
        </w:p>
      </w:tc>
      <w:tc>
        <w:tcPr>
          <w:tcW w:w="2059" w:type="dxa"/>
          <w:tcBorders>
            <w:bottom w:val="single" w:sz="4" w:space="0" w:color="auto"/>
          </w:tcBorders>
          <w:shd w:val="clear" w:color="auto" w:fill="auto"/>
          <w:vAlign w:val="bottom"/>
        </w:tcPr>
        <w:p w14:paraId="35FA9075" w14:textId="01603B9B" w:rsidR="00767371" w:rsidRPr="00C87D14" w:rsidRDefault="00767371" w:rsidP="00C87D1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884AA40" w14:textId="77777777" w:rsidR="00767371" w:rsidRDefault="00767371" w:rsidP="00C87D14">
          <w:pPr>
            <w:pStyle w:val="Header"/>
            <w:spacing w:after="120"/>
          </w:pPr>
        </w:p>
      </w:tc>
      <w:tc>
        <w:tcPr>
          <w:tcW w:w="6466" w:type="dxa"/>
          <w:gridSpan w:val="3"/>
          <w:tcBorders>
            <w:bottom w:val="single" w:sz="4" w:space="0" w:color="auto"/>
          </w:tcBorders>
          <w:shd w:val="clear" w:color="auto" w:fill="auto"/>
          <w:vAlign w:val="bottom"/>
        </w:tcPr>
        <w:p w14:paraId="4484399C" w14:textId="72F34C23" w:rsidR="00767371" w:rsidRPr="00C87D14" w:rsidRDefault="00767371" w:rsidP="00C87D14">
          <w:pPr>
            <w:spacing w:after="80" w:line="240" w:lineRule="auto"/>
            <w:jc w:val="right"/>
            <w:rPr>
              <w:position w:val="-4"/>
            </w:rPr>
          </w:pPr>
          <w:r>
            <w:rPr>
              <w:position w:val="-4"/>
              <w:sz w:val="40"/>
            </w:rPr>
            <w:t>CEDAW</w:t>
          </w:r>
          <w:r>
            <w:rPr>
              <w:position w:val="-4"/>
            </w:rPr>
            <w:t>/C/DNK/RQ/9</w:t>
          </w:r>
        </w:p>
      </w:tc>
    </w:tr>
    <w:tr w:rsidR="00767371" w:rsidRPr="00C87D14" w14:paraId="793F02ED" w14:textId="77777777" w:rsidTr="00C87D14">
      <w:trPr>
        <w:trHeight w:hRule="exact" w:val="2880"/>
      </w:trPr>
      <w:tc>
        <w:tcPr>
          <w:tcW w:w="1267" w:type="dxa"/>
          <w:tcBorders>
            <w:top w:val="single" w:sz="4" w:space="0" w:color="auto"/>
            <w:bottom w:val="single" w:sz="12" w:space="0" w:color="auto"/>
          </w:tcBorders>
          <w:shd w:val="clear" w:color="auto" w:fill="auto"/>
        </w:tcPr>
        <w:p w14:paraId="466FA16C" w14:textId="097F8DCA" w:rsidR="00767371" w:rsidRPr="00C87D14" w:rsidRDefault="00767371" w:rsidP="00C87D14">
          <w:pPr>
            <w:pStyle w:val="Header"/>
            <w:spacing w:before="120" w:line="240" w:lineRule="auto"/>
            <w:ind w:left="-72"/>
            <w:jc w:val="center"/>
          </w:pPr>
          <w:r>
            <w:t xml:space="preserve">  </w:t>
          </w:r>
          <w:r>
            <w:rPr>
              <w:noProof/>
            </w:rPr>
            <w:drawing>
              <wp:inline distT="0" distB="0" distL="0" distR="0" wp14:anchorId="7D6F3D8B" wp14:editId="6888412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9074B1" w14:textId="65EA998F" w:rsidR="00767371" w:rsidRPr="00C87D14" w:rsidRDefault="00767371" w:rsidP="00C87D1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17D97695" w14:textId="77777777" w:rsidR="00767371" w:rsidRPr="0006561A" w:rsidRDefault="00767371" w:rsidP="00C87D14">
          <w:pPr>
            <w:pStyle w:val="Header"/>
            <w:spacing w:before="109"/>
            <w:rPr>
              <w:lang w:val="fr-FR"/>
            </w:rPr>
          </w:pPr>
        </w:p>
      </w:tc>
      <w:tc>
        <w:tcPr>
          <w:tcW w:w="3110" w:type="dxa"/>
          <w:tcBorders>
            <w:top w:val="single" w:sz="4" w:space="0" w:color="auto"/>
            <w:bottom w:val="single" w:sz="12" w:space="0" w:color="auto"/>
          </w:tcBorders>
          <w:shd w:val="clear" w:color="auto" w:fill="auto"/>
        </w:tcPr>
        <w:p w14:paraId="393A12BA" w14:textId="77777777" w:rsidR="00767371" w:rsidRPr="0006561A" w:rsidRDefault="00767371" w:rsidP="00C87D14">
          <w:pPr>
            <w:pStyle w:val="Distribution"/>
            <w:rPr>
              <w:color w:val="000000"/>
              <w:lang w:val="fr-FR"/>
            </w:rPr>
          </w:pPr>
          <w:r w:rsidRPr="0006561A">
            <w:rPr>
              <w:color w:val="000000"/>
              <w:lang w:val="fr-FR"/>
            </w:rPr>
            <w:t>Distr. générale</w:t>
          </w:r>
        </w:p>
        <w:p w14:paraId="3D57798B" w14:textId="77777777" w:rsidR="00767371" w:rsidRPr="0006561A" w:rsidRDefault="00767371" w:rsidP="00C87D14">
          <w:pPr>
            <w:pStyle w:val="Publication"/>
            <w:rPr>
              <w:color w:val="000000"/>
              <w:lang w:val="fr-FR"/>
            </w:rPr>
          </w:pPr>
          <w:r w:rsidRPr="0006561A">
            <w:rPr>
              <w:color w:val="000000"/>
              <w:lang w:val="fr-FR"/>
            </w:rPr>
            <w:t>24 mars 2020</w:t>
          </w:r>
        </w:p>
        <w:p w14:paraId="65FC1F85" w14:textId="77777777" w:rsidR="00767371" w:rsidRPr="0006561A" w:rsidRDefault="00767371" w:rsidP="00C87D14">
          <w:pPr>
            <w:rPr>
              <w:lang w:val="fr-FR"/>
            </w:rPr>
          </w:pPr>
          <w:r w:rsidRPr="0006561A">
            <w:rPr>
              <w:lang w:val="fr-FR"/>
            </w:rPr>
            <w:t>Français</w:t>
          </w:r>
        </w:p>
        <w:p w14:paraId="30B5C115" w14:textId="77777777" w:rsidR="00767371" w:rsidRPr="0006561A" w:rsidRDefault="00767371" w:rsidP="00C87D14">
          <w:pPr>
            <w:pStyle w:val="Original"/>
            <w:rPr>
              <w:color w:val="000000"/>
              <w:lang w:val="fr-FR"/>
            </w:rPr>
          </w:pPr>
          <w:r w:rsidRPr="0006561A">
            <w:rPr>
              <w:color w:val="000000"/>
              <w:lang w:val="fr-FR"/>
            </w:rPr>
            <w:t>Original : anglais</w:t>
          </w:r>
        </w:p>
        <w:p w14:paraId="0CA6E229" w14:textId="47BD1679" w:rsidR="00767371" w:rsidRPr="0006561A" w:rsidRDefault="00767371" w:rsidP="007A3CEB">
          <w:pPr>
            <w:pStyle w:val="Original"/>
            <w:rPr>
              <w:lang w:val="fr-FR"/>
            </w:rPr>
          </w:pPr>
          <w:r w:rsidRPr="0006561A">
            <w:rPr>
              <w:color w:val="000000"/>
              <w:lang w:val="fr-FR"/>
            </w:rPr>
            <w:t>Anglais, espagnol et français seulement</w:t>
          </w:r>
        </w:p>
      </w:tc>
    </w:tr>
  </w:tbl>
  <w:p w14:paraId="3381A402" w14:textId="77777777" w:rsidR="00767371" w:rsidRPr="0006561A" w:rsidRDefault="00767371" w:rsidP="00C87D1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A18455"/>
    <w:multiLevelType w:val="singleLevel"/>
    <w:tmpl w:val="80A18455"/>
    <w:lvl w:ilvl="0">
      <w:start w:val="182"/>
      <w:numFmt w:val="decimal"/>
      <w:suff w:val="space"/>
      <w:lvlText w:val="%1."/>
      <w:lvlJc w:val="left"/>
    </w:lvl>
  </w:abstractNum>
  <w:abstractNum w:abstractNumId="1" w15:restartNumberingAfterBreak="0">
    <w:nsid w:val="8F310EAA"/>
    <w:multiLevelType w:val="singleLevel"/>
    <w:tmpl w:val="8F310EAA"/>
    <w:lvl w:ilvl="0">
      <w:start w:val="176"/>
      <w:numFmt w:val="decimal"/>
      <w:suff w:val="space"/>
      <w:lvlText w:val="%1."/>
      <w:lvlJc w:val="left"/>
    </w:lvl>
  </w:abstractNum>
  <w:abstractNum w:abstractNumId="2" w15:restartNumberingAfterBreak="0">
    <w:nsid w:val="CB7D6827"/>
    <w:multiLevelType w:val="singleLevel"/>
    <w:tmpl w:val="CB7D6827"/>
    <w:lvl w:ilvl="0">
      <w:start w:val="161"/>
      <w:numFmt w:val="decimal"/>
      <w:suff w:val="space"/>
      <w:lvlText w:val="%1."/>
      <w:lvlJc w:val="left"/>
    </w:lvl>
  </w:abstractNum>
  <w:abstractNum w:abstractNumId="3" w15:restartNumberingAfterBreak="0">
    <w:nsid w:val="CC6D15E1"/>
    <w:multiLevelType w:val="singleLevel"/>
    <w:tmpl w:val="CC6D15E1"/>
    <w:lvl w:ilvl="0">
      <w:start w:val="167"/>
      <w:numFmt w:val="decimal"/>
      <w:suff w:val="space"/>
      <w:lvlText w:val="%1."/>
      <w:lvlJc w:val="left"/>
    </w:lvl>
  </w:abstractNum>
  <w:abstractNum w:abstractNumId="4" w15:restartNumberingAfterBreak="0">
    <w:nsid w:val="DA240A2B"/>
    <w:multiLevelType w:val="singleLevel"/>
    <w:tmpl w:val="DA240A2B"/>
    <w:lvl w:ilvl="0">
      <w:start w:val="185"/>
      <w:numFmt w:val="decimal"/>
      <w:suff w:val="space"/>
      <w:lvlText w:val="%1."/>
      <w:lvlJc w:val="left"/>
    </w:lvl>
  </w:abstractNum>
  <w:abstractNum w:abstractNumId="5" w15:restartNumberingAfterBreak="0">
    <w:nsid w:val="04015290"/>
    <w:multiLevelType w:val="hybridMultilevel"/>
    <w:tmpl w:val="8D683D6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6" w15:restartNumberingAfterBreak="0">
    <w:nsid w:val="07FF65D7"/>
    <w:multiLevelType w:val="hybridMultilevel"/>
    <w:tmpl w:val="18305538"/>
    <w:lvl w:ilvl="0" w:tplc="C43A6924">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0EDB2522"/>
    <w:multiLevelType w:val="singleLevel"/>
    <w:tmpl w:val="DA48B9D8"/>
    <w:lvl w:ilvl="0">
      <w:start w:val="9"/>
      <w:numFmt w:val="decimal"/>
      <w:lvlRestart w:val="0"/>
      <w:lvlText w:val="%1."/>
      <w:lvlJc w:val="left"/>
      <w:pPr>
        <w:tabs>
          <w:tab w:val="num" w:pos="1742"/>
        </w:tabs>
        <w:ind w:left="1267" w:firstLine="0"/>
      </w:pPr>
      <w:rPr>
        <w:w w:val="100"/>
      </w:rPr>
    </w:lvl>
  </w:abstractNum>
  <w:abstractNum w:abstractNumId="8" w15:restartNumberingAfterBreak="0">
    <w:nsid w:val="1038E3C2"/>
    <w:multiLevelType w:val="singleLevel"/>
    <w:tmpl w:val="1038E3C2"/>
    <w:lvl w:ilvl="0">
      <w:start w:val="198"/>
      <w:numFmt w:val="decimal"/>
      <w:suff w:val="space"/>
      <w:lvlText w:val="%1."/>
      <w:lvlJc w:val="left"/>
    </w:lvl>
  </w:abstractNum>
  <w:abstractNum w:abstractNumId="9"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705AE"/>
    <w:multiLevelType w:val="singleLevel"/>
    <w:tmpl w:val="42AE8CDA"/>
    <w:lvl w:ilvl="0">
      <w:start w:val="9"/>
      <w:numFmt w:val="decimal"/>
      <w:lvlRestart w:val="0"/>
      <w:lvlText w:val="%1."/>
      <w:lvlJc w:val="left"/>
      <w:pPr>
        <w:tabs>
          <w:tab w:val="num" w:pos="1742"/>
        </w:tabs>
        <w:ind w:left="1267" w:firstLine="0"/>
      </w:pPr>
      <w:rPr>
        <w:w w:val="100"/>
      </w:rPr>
    </w:lvl>
  </w:abstractNum>
  <w:abstractNum w:abstractNumId="12" w15:restartNumberingAfterBreak="0">
    <w:nsid w:val="23CE5D1A"/>
    <w:multiLevelType w:val="singleLevel"/>
    <w:tmpl w:val="B004FEE8"/>
    <w:lvl w:ilvl="0">
      <w:start w:val="1"/>
      <w:numFmt w:val="decimal"/>
      <w:lvlRestart w:val="0"/>
      <w:lvlText w:val="%1."/>
      <w:lvlJc w:val="left"/>
      <w:pPr>
        <w:tabs>
          <w:tab w:val="num" w:pos="475"/>
        </w:tabs>
        <w:ind w:left="0" w:firstLine="0"/>
      </w:pPr>
      <w:rPr>
        <w:w w:val="100"/>
      </w:rPr>
    </w:lvl>
  </w:abstractNum>
  <w:abstractNum w:abstractNumId="13" w15:restartNumberingAfterBreak="0">
    <w:nsid w:val="355A0102"/>
    <w:multiLevelType w:val="singleLevel"/>
    <w:tmpl w:val="78409DF0"/>
    <w:lvl w:ilvl="0">
      <w:start w:val="155"/>
      <w:numFmt w:val="decimal"/>
      <w:lvlRestart w:val="0"/>
      <w:lvlText w:val="%1."/>
      <w:lvlJc w:val="left"/>
      <w:pPr>
        <w:tabs>
          <w:tab w:val="num" w:pos="1742"/>
        </w:tabs>
        <w:ind w:left="1267" w:firstLine="0"/>
      </w:pPr>
      <w:rPr>
        <w:w w:val="100"/>
      </w:rPr>
    </w:lvl>
  </w:abstractNum>
  <w:abstractNum w:abstractNumId="14" w15:restartNumberingAfterBreak="0">
    <w:nsid w:val="44791D10"/>
    <w:multiLevelType w:val="singleLevel"/>
    <w:tmpl w:val="9DC62562"/>
    <w:lvl w:ilvl="0">
      <w:start w:val="157"/>
      <w:numFmt w:val="decimal"/>
      <w:lvlRestart w:val="0"/>
      <w:lvlText w:val="%1."/>
      <w:lvlJc w:val="left"/>
      <w:pPr>
        <w:tabs>
          <w:tab w:val="num" w:pos="1742"/>
        </w:tabs>
        <w:ind w:left="1267" w:firstLine="0"/>
      </w:pPr>
      <w:rPr>
        <w:w w:val="100"/>
      </w:rPr>
    </w:lvl>
  </w:abstractNum>
  <w:abstractNum w:abstractNumId="1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A60A3"/>
    <w:multiLevelType w:val="singleLevel"/>
    <w:tmpl w:val="2312B2B0"/>
    <w:lvl w:ilvl="0">
      <w:start w:val="1"/>
      <w:numFmt w:val="decimal"/>
      <w:lvlRestart w:val="0"/>
      <w:lvlText w:val="%1."/>
      <w:lvlJc w:val="left"/>
      <w:pPr>
        <w:tabs>
          <w:tab w:val="num" w:pos="475"/>
        </w:tabs>
        <w:ind w:left="0" w:firstLine="0"/>
      </w:pPr>
      <w:rPr>
        <w:i w:val="0"/>
        <w:iCs/>
        <w:w w:val="100"/>
      </w:rPr>
    </w:lvl>
  </w:abstractNum>
  <w:abstractNum w:abstractNumId="17" w15:restartNumberingAfterBreak="0">
    <w:nsid w:val="50E93FE2"/>
    <w:multiLevelType w:val="hybridMultilevel"/>
    <w:tmpl w:val="A60C8264"/>
    <w:lvl w:ilvl="0" w:tplc="DDB0507E">
      <w:start w:val="1"/>
      <w:numFmt w:val="decimal"/>
      <w:lvlText w:val="%1."/>
      <w:lvlJc w:val="left"/>
      <w:pPr>
        <w:ind w:left="1353"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CD46894"/>
    <w:multiLevelType w:val="singleLevel"/>
    <w:tmpl w:val="42AE8CDA"/>
    <w:lvl w:ilvl="0">
      <w:start w:val="9"/>
      <w:numFmt w:val="decimal"/>
      <w:lvlRestart w:val="0"/>
      <w:lvlText w:val="%1."/>
      <w:lvlJc w:val="left"/>
      <w:pPr>
        <w:tabs>
          <w:tab w:val="num" w:pos="1742"/>
        </w:tabs>
        <w:ind w:left="1267" w:firstLine="0"/>
      </w:pPr>
      <w:rPr>
        <w:w w:val="100"/>
      </w:rPr>
    </w:lvl>
  </w:abstractNum>
  <w:abstractNum w:abstractNumId="19" w15:restartNumberingAfterBreak="0">
    <w:nsid w:val="73891D60"/>
    <w:multiLevelType w:val="hybridMultilevel"/>
    <w:tmpl w:val="A60C8264"/>
    <w:lvl w:ilvl="0" w:tplc="DDB0507E">
      <w:start w:val="1"/>
      <w:numFmt w:val="decimal"/>
      <w:lvlText w:val="%1."/>
      <w:lvlJc w:val="left"/>
      <w:pPr>
        <w:ind w:left="1353"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0"/>
  </w:num>
  <w:num w:numId="2">
    <w:abstractNumId w:val="15"/>
  </w:num>
  <w:num w:numId="3">
    <w:abstractNumId w:val="5"/>
  </w:num>
  <w:num w:numId="4">
    <w:abstractNumId w:val="9"/>
  </w:num>
  <w:num w:numId="5">
    <w:abstractNumId w:val="10"/>
  </w:num>
  <w:num w:numId="6">
    <w:abstractNumId w:val="15"/>
  </w:num>
  <w:num w:numId="7">
    <w:abstractNumId w:val="5"/>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15"/>
  </w:num>
  <w:num w:numId="19">
    <w:abstractNumId w:val="5"/>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10"/>
  </w:num>
  <w:num w:numId="30">
    <w:abstractNumId w:val="15"/>
  </w:num>
  <w:num w:numId="31">
    <w:abstractNumId w:val="5"/>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9"/>
    <w:lvlOverride w:ilvl="0">
      <w:lvl w:ilvl="0" w:tplc="DDB0507E">
        <w:start w:val="1"/>
        <w:numFmt w:val="decimal"/>
        <w:lvlText w:val="%1."/>
        <w:lvlJc w:val="left"/>
        <w:pPr>
          <w:ind w:left="1353" w:hanging="360"/>
        </w:pPr>
        <w:rPr>
          <w:rFonts w:hint="default"/>
          <w:b w:val="0"/>
          <w:i w:val="0"/>
        </w:rPr>
      </w:lvl>
    </w:lvlOverride>
  </w:num>
  <w:num w:numId="42">
    <w:abstractNumId w:val="19"/>
  </w:num>
  <w:num w:numId="43">
    <w:abstractNumId w:val="17"/>
  </w:num>
  <w:num w:numId="44">
    <w:abstractNumId w:val="2"/>
  </w:num>
  <w:num w:numId="45">
    <w:abstractNumId w:val="3"/>
  </w:num>
  <w:num w:numId="46">
    <w:abstractNumId w:val="1"/>
  </w:num>
  <w:num w:numId="47">
    <w:abstractNumId w:val="0"/>
  </w:num>
  <w:num w:numId="48">
    <w:abstractNumId w:val="4"/>
  </w:num>
  <w:num w:numId="49">
    <w:abstractNumId w:val="8"/>
  </w:num>
  <w:num w:numId="50">
    <w:abstractNumId w:val="16"/>
  </w:num>
  <w:num w:numId="51">
    <w:abstractNumId w:val="12"/>
  </w:num>
  <w:num w:numId="52">
    <w:abstractNumId w:val="7"/>
  </w:num>
  <w:num w:numId="53">
    <w:abstractNumId w:val="6"/>
  </w:num>
  <w:num w:numId="54">
    <w:abstractNumId w:val="7"/>
    <w:lvlOverride w:ilvl="0">
      <w:lvl w:ilvl="0">
        <w:start w:val="9"/>
        <w:numFmt w:val="decimal"/>
        <w:lvlRestart w:val="0"/>
        <w:lvlText w:val="%1."/>
        <w:lvlJc w:val="left"/>
        <w:pPr>
          <w:tabs>
            <w:tab w:val="num" w:pos="1742"/>
          </w:tabs>
          <w:ind w:left="1267" w:firstLine="0"/>
        </w:pPr>
        <w:rPr>
          <w:w w:val="100"/>
        </w:rPr>
      </w:lvl>
    </w:lvlOverride>
  </w:num>
  <w:num w:numId="55">
    <w:abstractNumId w:val="7"/>
    <w:lvlOverride w:ilvl="0">
      <w:lvl w:ilvl="0">
        <w:start w:val="9"/>
        <w:numFmt w:val="decimal"/>
        <w:lvlRestart w:val="0"/>
        <w:lvlText w:val="%1."/>
        <w:lvlJc w:val="left"/>
        <w:pPr>
          <w:tabs>
            <w:tab w:val="num" w:pos="1742"/>
          </w:tabs>
          <w:ind w:left="1267" w:firstLine="0"/>
        </w:pPr>
        <w:rPr>
          <w:b w:val="0"/>
          <w:bCs/>
          <w:w w:val="100"/>
        </w:rPr>
      </w:lvl>
    </w:lvlOverride>
  </w:num>
  <w:num w:numId="56">
    <w:abstractNumId w:val="7"/>
    <w:lvlOverride w:ilvl="0">
      <w:lvl w:ilvl="0">
        <w:start w:val="9"/>
        <w:numFmt w:val="decimal"/>
        <w:lvlRestart w:val="0"/>
        <w:lvlText w:val="%1."/>
        <w:lvlJc w:val="left"/>
        <w:pPr>
          <w:tabs>
            <w:tab w:val="num" w:pos="1742"/>
          </w:tabs>
          <w:ind w:left="1267" w:firstLine="0"/>
        </w:pPr>
        <w:rPr>
          <w:w w:val="100"/>
        </w:rPr>
      </w:lvl>
    </w:lvlOverride>
  </w:num>
  <w:num w:numId="57">
    <w:abstractNumId w:val="7"/>
    <w:lvlOverride w:ilvl="0">
      <w:lvl w:ilvl="0">
        <w:start w:val="9"/>
        <w:numFmt w:val="decimal"/>
        <w:lvlRestart w:val="0"/>
        <w:lvlText w:val="%1."/>
        <w:lvlJc w:val="left"/>
        <w:pPr>
          <w:tabs>
            <w:tab w:val="num" w:pos="1742"/>
          </w:tabs>
          <w:ind w:left="1267" w:firstLine="0"/>
        </w:pPr>
        <w:rPr>
          <w:w w:val="100"/>
        </w:rPr>
      </w:lvl>
    </w:lvlOverride>
  </w:num>
  <w:num w:numId="58">
    <w:abstractNumId w:val="7"/>
    <w:lvlOverride w:ilvl="0">
      <w:lvl w:ilvl="0">
        <w:start w:val="9"/>
        <w:numFmt w:val="decimal"/>
        <w:lvlRestart w:val="0"/>
        <w:lvlText w:val="%1."/>
        <w:lvlJc w:val="left"/>
        <w:pPr>
          <w:tabs>
            <w:tab w:val="num" w:pos="1742"/>
          </w:tabs>
          <w:ind w:left="1267" w:firstLine="0"/>
        </w:pPr>
        <w:rPr>
          <w:w w:val="100"/>
        </w:rPr>
      </w:lvl>
    </w:lvlOverride>
  </w:num>
  <w:num w:numId="59">
    <w:abstractNumId w:val="7"/>
    <w:lvlOverride w:ilvl="0">
      <w:lvl w:ilvl="0">
        <w:start w:val="9"/>
        <w:numFmt w:val="decimal"/>
        <w:lvlRestart w:val="0"/>
        <w:lvlText w:val="%1."/>
        <w:lvlJc w:val="left"/>
        <w:pPr>
          <w:tabs>
            <w:tab w:val="num" w:pos="1742"/>
          </w:tabs>
          <w:ind w:left="1267" w:firstLine="0"/>
        </w:pPr>
        <w:rPr>
          <w:w w:val="100"/>
        </w:rPr>
      </w:lvl>
    </w:lvlOverride>
  </w:num>
  <w:num w:numId="60">
    <w:abstractNumId w:val="11"/>
  </w:num>
  <w:num w:numId="61">
    <w:abstractNumId w:val="18"/>
  </w:num>
  <w:num w:numId="62">
    <w:abstractNumId w:val="13"/>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423*"/>
    <w:docVar w:name="CreationDt" w:val="04/06/2020 08:10:38"/>
    <w:docVar w:name="DocCategory" w:val="Doc"/>
    <w:docVar w:name="DocType" w:val="Final"/>
    <w:docVar w:name="DutyStation" w:val="New York"/>
    <w:docVar w:name="FooterJN" w:val="20-04423"/>
    <w:docVar w:name="jobn" w:val="20-04423 (F)"/>
    <w:docVar w:name="jobnDT" w:val="20-04423 (F)   040620"/>
    <w:docVar w:name="jobnDTDT" w:val="20-04423 (F)   040620   040620"/>
    <w:docVar w:name="JobNo" w:val="2004423F"/>
    <w:docVar w:name="JobNo2" w:val="2007467F"/>
    <w:docVar w:name="LocalDrive" w:val="-1"/>
    <w:docVar w:name="OandT" w:val="Moïse"/>
    <w:docVar w:name="sss1" w:val="CEDAW/C/DNK/RQ/9"/>
    <w:docVar w:name="sss2" w:val="-"/>
    <w:docVar w:name="Symbol1" w:val="CEDAW/C/DNK/RQ/9"/>
    <w:docVar w:name="Symbol2" w:val="-"/>
  </w:docVars>
  <w:rsids>
    <w:rsidRoot w:val="00DC465F"/>
    <w:rsid w:val="00002584"/>
    <w:rsid w:val="00041FD6"/>
    <w:rsid w:val="00053045"/>
    <w:rsid w:val="0006491F"/>
    <w:rsid w:val="0006561A"/>
    <w:rsid w:val="00066EB6"/>
    <w:rsid w:val="00071D43"/>
    <w:rsid w:val="0007535B"/>
    <w:rsid w:val="0008039B"/>
    <w:rsid w:val="00080763"/>
    <w:rsid w:val="00082144"/>
    <w:rsid w:val="00086794"/>
    <w:rsid w:val="000A7A9C"/>
    <w:rsid w:val="000C7484"/>
    <w:rsid w:val="000D099B"/>
    <w:rsid w:val="000D386D"/>
    <w:rsid w:val="000D73F4"/>
    <w:rsid w:val="000F0AC2"/>
    <w:rsid w:val="000F5A4F"/>
    <w:rsid w:val="0010170A"/>
    <w:rsid w:val="00101B18"/>
    <w:rsid w:val="001030AE"/>
    <w:rsid w:val="00111F07"/>
    <w:rsid w:val="001177E1"/>
    <w:rsid w:val="00122A56"/>
    <w:rsid w:val="001330FA"/>
    <w:rsid w:val="00134FEE"/>
    <w:rsid w:val="00145887"/>
    <w:rsid w:val="00146C6A"/>
    <w:rsid w:val="00147C6C"/>
    <w:rsid w:val="00166A0D"/>
    <w:rsid w:val="0019026E"/>
    <w:rsid w:val="001C3EFA"/>
    <w:rsid w:val="001E2379"/>
    <w:rsid w:val="001E4B50"/>
    <w:rsid w:val="00202F18"/>
    <w:rsid w:val="00205FBF"/>
    <w:rsid w:val="0021412C"/>
    <w:rsid w:val="00222D90"/>
    <w:rsid w:val="00245107"/>
    <w:rsid w:val="00245FDC"/>
    <w:rsid w:val="002478A0"/>
    <w:rsid w:val="00247DE3"/>
    <w:rsid w:val="002625A0"/>
    <w:rsid w:val="00263AE9"/>
    <w:rsid w:val="0027182B"/>
    <w:rsid w:val="00297FED"/>
    <w:rsid w:val="002A5E20"/>
    <w:rsid w:val="002A6DFB"/>
    <w:rsid w:val="002E04BE"/>
    <w:rsid w:val="002E3F15"/>
    <w:rsid w:val="002F644B"/>
    <w:rsid w:val="002F6E1D"/>
    <w:rsid w:val="0030765E"/>
    <w:rsid w:val="003103E0"/>
    <w:rsid w:val="003213CF"/>
    <w:rsid w:val="00345F3A"/>
    <w:rsid w:val="00366D21"/>
    <w:rsid w:val="00397EA6"/>
    <w:rsid w:val="003A675A"/>
    <w:rsid w:val="003B3CA3"/>
    <w:rsid w:val="003C1DBA"/>
    <w:rsid w:val="003C536A"/>
    <w:rsid w:val="003D0953"/>
    <w:rsid w:val="003D4AF2"/>
    <w:rsid w:val="003E6330"/>
    <w:rsid w:val="003E6A5D"/>
    <w:rsid w:val="003F1F01"/>
    <w:rsid w:val="003F61E1"/>
    <w:rsid w:val="00403DFD"/>
    <w:rsid w:val="00406B5C"/>
    <w:rsid w:val="00410BE8"/>
    <w:rsid w:val="00411309"/>
    <w:rsid w:val="00417615"/>
    <w:rsid w:val="00440C93"/>
    <w:rsid w:val="00463570"/>
    <w:rsid w:val="00471FE1"/>
    <w:rsid w:val="00472B7F"/>
    <w:rsid w:val="00474235"/>
    <w:rsid w:val="00476137"/>
    <w:rsid w:val="00480B84"/>
    <w:rsid w:val="004A328E"/>
    <w:rsid w:val="004B208B"/>
    <w:rsid w:val="004B64F9"/>
    <w:rsid w:val="004C1A25"/>
    <w:rsid w:val="004C3334"/>
    <w:rsid w:val="004E0892"/>
    <w:rsid w:val="004E491B"/>
    <w:rsid w:val="004F2758"/>
    <w:rsid w:val="00515991"/>
    <w:rsid w:val="0051631E"/>
    <w:rsid w:val="00520CD4"/>
    <w:rsid w:val="005225EC"/>
    <w:rsid w:val="00525097"/>
    <w:rsid w:val="00542345"/>
    <w:rsid w:val="005509B6"/>
    <w:rsid w:val="00556BC0"/>
    <w:rsid w:val="00571235"/>
    <w:rsid w:val="00577A36"/>
    <w:rsid w:val="00580CF2"/>
    <w:rsid w:val="005A4E5F"/>
    <w:rsid w:val="005A5605"/>
    <w:rsid w:val="005B398E"/>
    <w:rsid w:val="005B4089"/>
    <w:rsid w:val="005C03A7"/>
    <w:rsid w:val="005C5330"/>
    <w:rsid w:val="005D2652"/>
    <w:rsid w:val="005D449A"/>
    <w:rsid w:val="005E0C93"/>
    <w:rsid w:val="005E346E"/>
    <w:rsid w:val="005E7340"/>
    <w:rsid w:val="005F1F5F"/>
    <w:rsid w:val="005F4E25"/>
    <w:rsid w:val="006039DD"/>
    <w:rsid w:val="00603A87"/>
    <w:rsid w:val="00603AB7"/>
    <w:rsid w:val="0061248F"/>
    <w:rsid w:val="00632C10"/>
    <w:rsid w:val="00660224"/>
    <w:rsid w:val="006632AB"/>
    <w:rsid w:val="00690698"/>
    <w:rsid w:val="006D3C17"/>
    <w:rsid w:val="006D79F5"/>
    <w:rsid w:val="006E03DA"/>
    <w:rsid w:val="006E4A4B"/>
    <w:rsid w:val="006E5107"/>
    <w:rsid w:val="006F370E"/>
    <w:rsid w:val="00702D3B"/>
    <w:rsid w:val="00703106"/>
    <w:rsid w:val="00730B08"/>
    <w:rsid w:val="007459AE"/>
    <w:rsid w:val="007531A5"/>
    <w:rsid w:val="00762769"/>
    <w:rsid w:val="00764C84"/>
    <w:rsid w:val="00767371"/>
    <w:rsid w:val="00771C9E"/>
    <w:rsid w:val="00777CAE"/>
    <w:rsid w:val="007978B6"/>
    <w:rsid w:val="007A115B"/>
    <w:rsid w:val="007A3CEB"/>
    <w:rsid w:val="007B770F"/>
    <w:rsid w:val="007C2EB5"/>
    <w:rsid w:val="007C694B"/>
    <w:rsid w:val="007C7F94"/>
    <w:rsid w:val="007D54CA"/>
    <w:rsid w:val="007D5E7D"/>
    <w:rsid w:val="007E14B9"/>
    <w:rsid w:val="007E224F"/>
    <w:rsid w:val="007E2EC6"/>
    <w:rsid w:val="0082045E"/>
    <w:rsid w:val="008222A3"/>
    <w:rsid w:val="00841ACF"/>
    <w:rsid w:val="008446A5"/>
    <w:rsid w:val="00876489"/>
    <w:rsid w:val="00883D3C"/>
    <w:rsid w:val="00886CF2"/>
    <w:rsid w:val="008C43BD"/>
    <w:rsid w:val="008C4BB4"/>
    <w:rsid w:val="008C5043"/>
    <w:rsid w:val="008D3879"/>
    <w:rsid w:val="008F19AC"/>
    <w:rsid w:val="008F26D7"/>
    <w:rsid w:val="008F3462"/>
    <w:rsid w:val="008F3F44"/>
    <w:rsid w:val="008F6CD5"/>
    <w:rsid w:val="00904CD7"/>
    <w:rsid w:val="009142CA"/>
    <w:rsid w:val="009237A6"/>
    <w:rsid w:val="00935525"/>
    <w:rsid w:val="00935932"/>
    <w:rsid w:val="009547DC"/>
    <w:rsid w:val="00965424"/>
    <w:rsid w:val="00992239"/>
    <w:rsid w:val="00993CB7"/>
    <w:rsid w:val="00994877"/>
    <w:rsid w:val="009A5B70"/>
    <w:rsid w:val="009C3BFE"/>
    <w:rsid w:val="009D0EE3"/>
    <w:rsid w:val="009E3220"/>
    <w:rsid w:val="009E5C48"/>
    <w:rsid w:val="009F40B9"/>
    <w:rsid w:val="009F5F76"/>
    <w:rsid w:val="00A2494D"/>
    <w:rsid w:val="00A526D2"/>
    <w:rsid w:val="00A536A1"/>
    <w:rsid w:val="00A6239C"/>
    <w:rsid w:val="00A700AF"/>
    <w:rsid w:val="00A86B07"/>
    <w:rsid w:val="00AB0B7D"/>
    <w:rsid w:val="00AD5F2F"/>
    <w:rsid w:val="00AF5ECD"/>
    <w:rsid w:val="00B067DB"/>
    <w:rsid w:val="00B070E2"/>
    <w:rsid w:val="00B144D8"/>
    <w:rsid w:val="00B55EDE"/>
    <w:rsid w:val="00B7431D"/>
    <w:rsid w:val="00B774A5"/>
    <w:rsid w:val="00B776AD"/>
    <w:rsid w:val="00B858D5"/>
    <w:rsid w:val="00BA2C89"/>
    <w:rsid w:val="00BA2D2D"/>
    <w:rsid w:val="00BD6065"/>
    <w:rsid w:val="00C138C6"/>
    <w:rsid w:val="00C13D4F"/>
    <w:rsid w:val="00C30AD6"/>
    <w:rsid w:val="00C42243"/>
    <w:rsid w:val="00C87D14"/>
    <w:rsid w:val="00CA4E24"/>
    <w:rsid w:val="00CA7B8C"/>
    <w:rsid w:val="00CB06FB"/>
    <w:rsid w:val="00CB63C5"/>
    <w:rsid w:val="00CE37F5"/>
    <w:rsid w:val="00CE4630"/>
    <w:rsid w:val="00D1422B"/>
    <w:rsid w:val="00D30EED"/>
    <w:rsid w:val="00D31F97"/>
    <w:rsid w:val="00D800C1"/>
    <w:rsid w:val="00DA02FC"/>
    <w:rsid w:val="00DA195B"/>
    <w:rsid w:val="00DC0F89"/>
    <w:rsid w:val="00DC465F"/>
    <w:rsid w:val="00DC7881"/>
    <w:rsid w:val="00DD6D47"/>
    <w:rsid w:val="00DF7ED2"/>
    <w:rsid w:val="00E07099"/>
    <w:rsid w:val="00E126C3"/>
    <w:rsid w:val="00E14DD9"/>
    <w:rsid w:val="00E27928"/>
    <w:rsid w:val="00E343A6"/>
    <w:rsid w:val="00E443AC"/>
    <w:rsid w:val="00E477E5"/>
    <w:rsid w:val="00E47A1E"/>
    <w:rsid w:val="00E56A29"/>
    <w:rsid w:val="00E7105F"/>
    <w:rsid w:val="00E7792F"/>
    <w:rsid w:val="00E93E8A"/>
    <w:rsid w:val="00EC2029"/>
    <w:rsid w:val="00EE007F"/>
    <w:rsid w:val="00EE37EC"/>
    <w:rsid w:val="00EE66F1"/>
    <w:rsid w:val="00EF2DFA"/>
    <w:rsid w:val="00F033DA"/>
    <w:rsid w:val="00F048F3"/>
    <w:rsid w:val="00F16629"/>
    <w:rsid w:val="00F313F6"/>
    <w:rsid w:val="00F5012D"/>
    <w:rsid w:val="00F62B8B"/>
    <w:rsid w:val="00F7226B"/>
    <w:rsid w:val="00F73093"/>
    <w:rsid w:val="00F74E60"/>
    <w:rsid w:val="00F86B07"/>
    <w:rsid w:val="00FA3D05"/>
    <w:rsid w:val="00FA5CC9"/>
    <w:rsid w:val="00FB0A2C"/>
    <w:rsid w:val="00FC59F1"/>
    <w:rsid w:val="00FC5E1C"/>
    <w:rsid w:val="00FE0B89"/>
    <w:rsid w:val="00FE696E"/>
    <w:rsid w:val="00FF78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082B3B"/>
  <w15:chartTrackingRefBased/>
  <w15:docId w15:val="{8436DBD4-16EB-44E4-91C6-2166FEE5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0E2"/>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B070E2"/>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070E2"/>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070E2"/>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070E2"/>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070E2"/>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070E2"/>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070E2"/>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070E2"/>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070E2"/>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070E2"/>
    <w:pPr>
      <w:keepNext/>
      <w:keepLines/>
      <w:suppressAutoHyphens/>
      <w:spacing w:line="270" w:lineRule="exact"/>
      <w:outlineLvl w:val="0"/>
    </w:pPr>
    <w:rPr>
      <w:b/>
      <w:sz w:val="24"/>
    </w:rPr>
  </w:style>
  <w:style w:type="paragraph" w:customStyle="1" w:styleId="HCH">
    <w:name w:val="_ H _CH"/>
    <w:basedOn w:val="H1"/>
    <w:next w:val="SingleTxt"/>
    <w:qFormat/>
    <w:rsid w:val="00B070E2"/>
    <w:pPr>
      <w:spacing w:line="300" w:lineRule="exact"/>
    </w:pPr>
    <w:rPr>
      <w:spacing w:val="-2"/>
      <w:sz w:val="28"/>
    </w:rPr>
  </w:style>
  <w:style w:type="paragraph" w:customStyle="1" w:styleId="HM">
    <w:name w:val="_ H __M"/>
    <w:basedOn w:val="HCH"/>
    <w:next w:val="Normal"/>
    <w:qFormat/>
    <w:rsid w:val="00B070E2"/>
    <w:pPr>
      <w:spacing w:line="360" w:lineRule="exact"/>
    </w:pPr>
    <w:rPr>
      <w:spacing w:val="-3"/>
      <w:w w:val="99"/>
      <w:sz w:val="34"/>
    </w:rPr>
  </w:style>
  <w:style w:type="paragraph" w:customStyle="1" w:styleId="H23">
    <w:name w:val="_ H_2/3"/>
    <w:basedOn w:val="H1"/>
    <w:next w:val="SingleTxt"/>
    <w:qFormat/>
    <w:rsid w:val="00B070E2"/>
    <w:pPr>
      <w:spacing w:line="240" w:lineRule="exact"/>
      <w:outlineLvl w:val="1"/>
    </w:pPr>
    <w:rPr>
      <w:spacing w:val="2"/>
      <w:sz w:val="20"/>
    </w:rPr>
  </w:style>
  <w:style w:type="paragraph" w:customStyle="1" w:styleId="H4">
    <w:name w:val="_ H_4"/>
    <w:basedOn w:val="Normal"/>
    <w:next w:val="Normal"/>
    <w:qFormat/>
    <w:rsid w:val="00B070E2"/>
    <w:pPr>
      <w:keepNext/>
      <w:keepLines/>
      <w:tabs>
        <w:tab w:val="right" w:pos="360"/>
      </w:tabs>
      <w:suppressAutoHyphens/>
      <w:outlineLvl w:val="3"/>
    </w:pPr>
    <w:rPr>
      <w:i/>
      <w:spacing w:val="3"/>
    </w:rPr>
  </w:style>
  <w:style w:type="paragraph" w:customStyle="1" w:styleId="H56">
    <w:name w:val="_ H_5/6"/>
    <w:basedOn w:val="Normal"/>
    <w:next w:val="SingleTxt"/>
    <w:qFormat/>
    <w:rsid w:val="00B070E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070E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070E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070E2"/>
    <w:pPr>
      <w:spacing w:line="540" w:lineRule="exact"/>
    </w:pPr>
    <w:rPr>
      <w:spacing w:val="-8"/>
      <w:w w:val="96"/>
      <w:sz w:val="57"/>
    </w:rPr>
  </w:style>
  <w:style w:type="paragraph" w:customStyle="1" w:styleId="SS">
    <w:name w:val="__S_S"/>
    <w:basedOn w:val="HCH"/>
    <w:next w:val="Normal"/>
    <w:qFormat/>
    <w:rsid w:val="00B070E2"/>
    <w:pPr>
      <w:ind w:left="1267" w:right="1267"/>
    </w:pPr>
  </w:style>
  <w:style w:type="paragraph" w:customStyle="1" w:styleId="SingleTxt">
    <w:name w:val="__Single Txt"/>
    <w:basedOn w:val="Normal"/>
    <w:qFormat/>
    <w:rsid w:val="00B070E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070E2"/>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B070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070E2"/>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070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070E2"/>
    <w:rPr>
      <w:rFonts w:ascii="Tahoma" w:hAnsi="Tahoma" w:cs="Tahoma"/>
      <w:spacing w:val="4"/>
      <w:w w:val="103"/>
      <w:kern w:val="14"/>
      <w:sz w:val="16"/>
      <w:szCs w:val="16"/>
      <w:lang w:val="fr-CA" w:eastAsia="en-US"/>
    </w:rPr>
  </w:style>
  <w:style w:type="paragraph" w:customStyle="1" w:styleId="Bullet1">
    <w:name w:val="Bullet 1"/>
    <w:basedOn w:val="Normal"/>
    <w:qFormat/>
    <w:rsid w:val="00B070E2"/>
    <w:pPr>
      <w:numPr>
        <w:numId w:val="29"/>
      </w:numPr>
      <w:spacing w:after="120"/>
      <w:ind w:right="1267"/>
      <w:jc w:val="both"/>
    </w:pPr>
  </w:style>
  <w:style w:type="paragraph" w:customStyle="1" w:styleId="Bullet2">
    <w:name w:val="Bullet 2"/>
    <w:basedOn w:val="Normal"/>
    <w:qFormat/>
    <w:rsid w:val="00B070E2"/>
    <w:pPr>
      <w:numPr>
        <w:numId w:val="30"/>
      </w:numPr>
      <w:spacing w:after="120"/>
      <w:ind w:right="1264"/>
      <w:jc w:val="both"/>
    </w:pPr>
  </w:style>
  <w:style w:type="paragraph" w:customStyle="1" w:styleId="Bullet3">
    <w:name w:val="Bullet 3"/>
    <w:basedOn w:val="SingleTxt"/>
    <w:qFormat/>
    <w:rsid w:val="00B070E2"/>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070E2"/>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070E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070E2"/>
    <w:pPr>
      <w:spacing w:line="210" w:lineRule="exact"/>
    </w:pPr>
    <w:rPr>
      <w:sz w:val="17"/>
      <w:szCs w:val="20"/>
    </w:rPr>
  </w:style>
  <w:style w:type="character" w:customStyle="1" w:styleId="EndnoteTextChar">
    <w:name w:val="Endnote Text Char"/>
    <w:link w:val="EndnoteText"/>
    <w:uiPriority w:val="99"/>
    <w:semiHidden/>
    <w:rsid w:val="00B070E2"/>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B070E2"/>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B070E2"/>
    <w:rPr>
      <w:rFonts w:ascii="Times New Roman" w:hAnsi="Times New Roman" w:cs="Times New Roman"/>
      <w:b/>
      <w:spacing w:val="3"/>
      <w:w w:val="105"/>
      <w:sz w:val="17"/>
      <w:lang w:val="en-US" w:eastAsia="en-US"/>
    </w:rPr>
  </w:style>
  <w:style w:type="character" w:styleId="FootnoteReference">
    <w:name w:val="footnote reference"/>
    <w:uiPriority w:val="99"/>
    <w:rsid w:val="00B070E2"/>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070E2"/>
    <w:pPr>
      <w:spacing w:line="210" w:lineRule="exact"/>
    </w:pPr>
    <w:rPr>
      <w:sz w:val="17"/>
      <w:szCs w:val="20"/>
    </w:rPr>
  </w:style>
  <w:style w:type="character" w:customStyle="1" w:styleId="FootnoteTextChar">
    <w:name w:val="Footnote Text Char"/>
    <w:link w:val="FootnoteText"/>
    <w:uiPriority w:val="99"/>
    <w:rsid w:val="00B070E2"/>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B070E2"/>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B070E2"/>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B070E2"/>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070E2"/>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070E2"/>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070E2"/>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070E2"/>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070E2"/>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070E2"/>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070E2"/>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070E2"/>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070E2"/>
    <w:rPr>
      <w:sz w:val="14"/>
    </w:rPr>
  </w:style>
  <w:style w:type="paragraph" w:styleId="ListParagraph">
    <w:name w:val="List Paragraph"/>
    <w:basedOn w:val="Normal"/>
    <w:uiPriority w:val="34"/>
    <w:rsid w:val="00B070E2"/>
    <w:pPr>
      <w:ind w:left="720"/>
      <w:contextualSpacing/>
    </w:pPr>
  </w:style>
  <w:style w:type="paragraph" w:styleId="NoSpacing">
    <w:name w:val="No Spacing"/>
    <w:uiPriority w:val="1"/>
    <w:rsid w:val="00B070E2"/>
    <w:pPr>
      <w:spacing w:after="0" w:line="240" w:lineRule="auto"/>
    </w:pPr>
    <w:rPr>
      <w:rFonts w:ascii="Calibri" w:hAnsi="Calibri" w:cs="Times New Roman"/>
      <w:lang w:val="en-US" w:eastAsia="en-US"/>
    </w:rPr>
  </w:style>
  <w:style w:type="paragraph" w:customStyle="1" w:styleId="Original">
    <w:name w:val="Original"/>
    <w:next w:val="Normal"/>
    <w:autoRedefine/>
    <w:qFormat/>
    <w:rsid w:val="00B070E2"/>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B070E2"/>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B070E2"/>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B070E2"/>
    <w:pPr>
      <w:tabs>
        <w:tab w:val="right" w:pos="9965"/>
      </w:tabs>
      <w:spacing w:line="210" w:lineRule="exact"/>
    </w:pPr>
    <w:rPr>
      <w:spacing w:val="5"/>
      <w:w w:val="104"/>
      <w:sz w:val="17"/>
    </w:rPr>
  </w:style>
  <w:style w:type="paragraph" w:customStyle="1" w:styleId="SmallX">
    <w:name w:val="SmallX"/>
    <w:basedOn w:val="Small"/>
    <w:next w:val="Normal"/>
    <w:qFormat/>
    <w:rsid w:val="00B070E2"/>
    <w:pPr>
      <w:spacing w:line="180" w:lineRule="exact"/>
      <w:jc w:val="right"/>
    </w:pPr>
    <w:rPr>
      <w:spacing w:val="6"/>
      <w:w w:val="106"/>
      <w:sz w:val="14"/>
    </w:rPr>
  </w:style>
  <w:style w:type="character" w:styleId="Strong">
    <w:name w:val="Strong"/>
    <w:uiPriority w:val="22"/>
    <w:rsid w:val="00B070E2"/>
    <w:rPr>
      <w:b/>
      <w:bCs/>
    </w:rPr>
  </w:style>
  <w:style w:type="paragraph" w:customStyle="1" w:styleId="Style1">
    <w:name w:val="Style1"/>
    <w:basedOn w:val="Normal"/>
    <w:qFormat/>
    <w:rsid w:val="00B070E2"/>
  </w:style>
  <w:style w:type="paragraph" w:customStyle="1" w:styleId="Style2">
    <w:name w:val="Style2"/>
    <w:basedOn w:val="Normal"/>
    <w:autoRedefine/>
    <w:qFormat/>
    <w:rsid w:val="00B070E2"/>
  </w:style>
  <w:style w:type="paragraph" w:customStyle="1" w:styleId="TitleHCH">
    <w:name w:val="Title_H_CH"/>
    <w:basedOn w:val="H1"/>
    <w:next w:val="SingleTxt"/>
    <w:qFormat/>
    <w:rsid w:val="00B070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070E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070E2"/>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87D14"/>
    <w:rPr>
      <w:sz w:val="16"/>
      <w:szCs w:val="16"/>
    </w:rPr>
  </w:style>
  <w:style w:type="paragraph" w:styleId="CommentText">
    <w:name w:val="annotation text"/>
    <w:basedOn w:val="Normal"/>
    <w:link w:val="CommentTextChar"/>
    <w:uiPriority w:val="99"/>
    <w:semiHidden/>
    <w:unhideWhenUsed/>
    <w:rsid w:val="00C87D14"/>
    <w:pPr>
      <w:spacing w:line="240" w:lineRule="auto"/>
    </w:pPr>
    <w:rPr>
      <w:szCs w:val="20"/>
    </w:rPr>
  </w:style>
  <w:style w:type="character" w:customStyle="1" w:styleId="CommentTextChar">
    <w:name w:val="Comment Text Char"/>
    <w:basedOn w:val="DefaultParagraphFont"/>
    <w:link w:val="CommentText"/>
    <w:uiPriority w:val="99"/>
    <w:semiHidden/>
    <w:rsid w:val="00C87D14"/>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87D14"/>
    <w:rPr>
      <w:b/>
      <w:bCs/>
    </w:rPr>
  </w:style>
  <w:style w:type="character" w:customStyle="1" w:styleId="CommentSubjectChar">
    <w:name w:val="Comment Subject Char"/>
    <w:basedOn w:val="CommentTextChar"/>
    <w:link w:val="CommentSubject"/>
    <w:uiPriority w:val="99"/>
    <w:semiHidden/>
    <w:rsid w:val="00C87D14"/>
    <w:rPr>
      <w:rFonts w:ascii="Times New Roman" w:hAnsi="Times New Roman" w:cs="Times New Roman"/>
      <w:b/>
      <w:bCs/>
      <w:spacing w:val="4"/>
      <w:w w:val="103"/>
      <w:kern w:val="14"/>
      <w:sz w:val="20"/>
      <w:szCs w:val="20"/>
      <w:lang w:val="fr-CA" w:eastAsia="en-US"/>
    </w:rPr>
  </w:style>
  <w:style w:type="paragraph" w:customStyle="1" w:styleId="HChG">
    <w:name w:val="_ H _Ch_G"/>
    <w:basedOn w:val="Normal"/>
    <w:next w:val="Normal"/>
    <w:qFormat/>
    <w:rsid w:val="00603A8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603A87"/>
    <w:pPr>
      <w:suppressAutoHyphens/>
      <w:spacing w:after="120" w:line="240" w:lineRule="atLeast"/>
      <w:ind w:left="1134" w:right="1134"/>
      <w:jc w:val="both"/>
    </w:pPr>
    <w:rPr>
      <w:rFonts w:eastAsia="Times New Roman"/>
      <w:spacing w:val="0"/>
      <w:w w:val="100"/>
      <w:kern w:val="0"/>
      <w:szCs w:val="20"/>
      <w:lang w:val="en-GB"/>
    </w:rPr>
  </w:style>
  <w:style w:type="paragraph" w:customStyle="1" w:styleId="H1G">
    <w:name w:val="_ H_1_G"/>
    <w:basedOn w:val="Normal"/>
    <w:next w:val="Normal"/>
    <w:qFormat/>
    <w:rsid w:val="00603A87"/>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603A87"/>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styleId="Revision">
    <w:name w:val="Revision"/>
    <w:hidden/>
    <w:uiPriority w:val="99"/>
    <w:semiHidden/>
    <w:rsid w:val="00603A87"/>
    <w:pPr>
      <w:spacing w:after="0" w:line="240" w:lineRule="auto"/>
    </w:pPr>
    <w:rPr>
      <w:rFonts w:ascii="Times New Roman" w:hAnsi="Times New Roman" w:cs="Times New Roman"/>
      <w:spacing w:val="4"/>
      <w:w w:val="103"/>
      <w:kern w:val="14"/>
      <w:sz w:val="20"/>
      <w:lang w:val="fr-CA" w:eastAsia="en-US"/>
    </w:rPr>
  </w:style>
  <w:style w:type="character" w:styleId="Hyperlink">
    <w:name w:val="Hyperlink"/>
    <w:basedOn w:val="DefaultParagraphFont"/>
    <w:uiPriority w:val="99"/>
    <w:unhideWhenUsed/>
    <w:rsid w:val="00417615"/>
    <w:rPr>
      <w:color w:val="0000FF"/>
      <w:u w:val="none"/>
    </w:rPr>
  </w:style>
  <w:style w:type="character" w:styleId="FollowedHyperlink">
    <w:name w:val="FollowedHyperlink"/>
    <w:basedOn w:val="DefaultParagraphFont"/>
    <w:uiPriority w:val="99"/>
    <w:semiHidden/>
    <w:unhideWhenUsed/>
    <w:rsid w:val="00417615"/>
    <w:rPr>
      <w:color w:val="0000FF"/>
      <w:u w:val="none"/>
    </w:rPr>
  </w:style>
  <w:style w:type="character" w:styleId="UnresolvedMention">
    <w:name w:val="Unresolved Mention"/>
    <w:basedOn w:val="DefaultParagraphFont"/>
    <w:uiPriority w:val="99"/>
    <w:semiHidden/>
    <w:unhideWhenUsed/>
    <w:rsid w:val="00417615"/>
    <w:rPr>
      <w:color w:val="605E5C"/>
      <w:shd w:val="clear" w:color="auto" w:fill="E1DFDD"/>
    </w:rPr>
  </w:style>
  <w:style w:type="table" w:styleId="TableGrid">
    <w:name w:val="Table Grid"/>
    <w:basedOn w:val="TableNormal"/>
    <w:rsid w:val="005A4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fvm.dk/publikationer/publikation/pub/hent-fil/publication/action-plan-for-the-prevention-of-psychological-and-physical-violence-in-in-intimate-relationships-2019/" TargetMode="External"/><Relationship Id="rId3" Type="http://schemas.openxmlformats.org/officeDocument/2006/relationships/styles" Target="styles.xml"/><Relationship Id="rId21" Type="http://schemas.openxmlformats.org/officeDocument/2006/relationships/hyperlink" Target="http://www.politi.d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DNK/Q/9"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politi.dk/anmeld/seksualforbrydelser/voldtaegt-og-seksuelle-overgr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sst.dk/da/Udgivelser/2019/Danske-LGBT-personers-moede-med-almen-praksis-udfordringer-og-muligheder" TargetMode="External"/><Relationship Id="rId10" Type="http://schemas.openxmlformats.org/officeDocument/2006/relationships/footer" Target="footer1.xml"/><Relationship Id="rId19" Type="http://schemas.openxmlformats.org/officeDocument/2006/relationships/hyperlink" Target="https://undocs.org/fr/CEDAW/C/DNK/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DNK/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B1E0-8E5C-4F83-A50A-D0E4F214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12100</Words>
  <Characters>68971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ok</dc:creator>
  <cp:keywords/>
  <dc:description/>
  <cp:lastModifiedBy>Marieme Gueye</cp:lastModifiedBy>
  <cp:revision>3</cp:revision>
  <cp:lastPrinted>2020-06-19T14:13:00Z</cp:lastPrinted>
  <dcterms:created xsi:type="dcterms:W3CDTF">2020-06-19T14:13:00Z</dcterms:created>
  <dcterms:modified xsi:type="dcterms:W3CDTF">2020-06-19T14:13:00Z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2004423F</vt:lpwstr>
  </property>
  <property fmtid="{D5CDD505-2E9C-101B-9397-08002B2CF9AE}" pid="3" name="ODSRefJobNo">
    <vt:lpwstr>2007467F</vt:lpwstr>
  </property>
  <property fmtid="{D5CDD505-2E9C-101B-9397-08002B2CF9AE}" pid="4" name="Symbol1">
    <vt:lpwstr>CEDAW/C/DNK/RQ/9</vt:lpwstr>
  </property>
  <property fmtid="{D5CDD505-2E9C-101B-9397-08002B2CF9AE}" pid="5" name="Symbol2">
    <vt:lpwstr/>
  </property>
  <property fmtid="{D5CDD505-2E9C-101B-9397-08002B2CF9AE}" pid="6" name="Translator">
    <vt:lpwstr/>
  </property>
  <property fmtid="{D5CDD505-2E9C-101B-9397-08002B2CF9AE}" pid="7" name="Operator">
    <vt:lpwstr>Moïse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Original">
    <vt:lpwstr>Anglais, espagnol et français seulement_x000d__x0007_</vt:lpwstr>
  </property>
  <property fmtid="{D5CDD505-2E9C-101B-9397-08002B2CF9AE}" pid="13" name="Release Date">
    <vt:lpwstr/>
  </property>
  <property fmtid="{D5CDD505-2E9C-101B-9397-08002B2CF9AE}" pid="14" name="Session1">
    <vt:lpwstr>Soixante-seizième session_x000d_</vt:lpwstr>
  </property>
  <property fmtid="{D5CDD505-2E9C-101B-9397-08002B2CF9AE}" pid="15" name="Agenda1">
    <vt:lpwstr>Point 4 de l’ordre du jour provisoire_x000d_</vt:lpwstr>
  </property>
  <property fmtid="{D5CDD505-2E9C-101B-9397-08002B2CF9AE}" pid="16" name="Agenda Title1">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Réponses du Danemark à la liste de points et de questions concernant son neuvième rapport périodique*,**_x000d_</vt:lpwstr>
  </property>
</Properties>
</file>