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DB6111" w:rsidRPr="00DB6111" w14:paraId="17008615" w14:textId="77777777" w:rsidTr="00E866BF">
        <w:trPr>
          <w:trHeight w:hRule="exact" w:val="851"/>
        </w:trPr>
        <w:tc>
          <w:tcPr>
            <w:tcW w:w="1274" w:type="dxa"/>
            <w:tcBorders>
              <w:bottom w:val="single" w:sz="4" w:space="0" w:color="auto"/>
            </w:tcBorders>
          </w:tcPr>
          <w:p w14:paraId="27975847" w14:textId="77777777" w:rsidR="006B3E27" w:rsidRPr="00DB6111" w:rsidRDefault="006B3E27" w:rsidP="004819FD">
            <w:pPr>
              <w:kinsoku w:val="0"/>
              <w:overflowPunct w:val="0"/>
              <w:autoSpaceDE w:val="0"/>
              <w:autoSpaceDN w:val="0"/>
              <w:adjustRightInd w:val="0"/>
              <w:snapToGrid w:val="0"/>
              <w:spacing w:after="80" w:line="480" w:lineRule="exact"/>
              <w:jc w:val="left"/>
              <w:rPr>
                <w:rFonts w:hint="cs"/>
                <w:szCs w:val="40"/>
              </w:rPr>
            </w:pPr>
          </w:p>
        </w:tc>
        <w:tc>
          <w:tcPr>
            <w:tcW w:w="4679" w:type="dxa"/>
            <w:tcBorders>
              <w:bottom w:val="single" w:sz="4" w:space="0" w:color="auto"/>
            </w:tcBorders>
            <w:vAlign w:val="bottom"/>
          </w:tcPr>
          <w:p w14:paraId="742259D5" w14:textId="77777777" w:rsidR="006B3E27" w:rsidRPr="00DB6111" w:rsidRDefault="006B3E27" w:rsidP="00E866BF">
            <w:pPr>
              <w:spacing w:after="80" w:line="480" w:lineRule="exact"/>
              <w:ind w:left="57"/>
              <w:jc w:val="left"/>
              <w:rPr>
                <w:sz w:val="30"/>
                <w:szCs w:val="30"/>
                <w:rtl/>
              </w:rPr>
            </w:pPr>
            <w:r w:rsidRPr="00DB6111">
              <w:rPr>
                <w:rFonts w:hint="cs"/>
                <w:sz w:val="30"/>
                <w:szCs w:val="30"/>
                <w:rtl/>
              </w:rPr>
              <w:t>الأمم المتحدة</w:t>
            </w:r>
          </w:p>
        </w:tc>
        <w:tc>
          <w:tcPr>
            <w:tcW w:w="3686" w:type="dxa"/>
            <w:tcBorders>
              <w:bottom w:val="single" w:sz="4" w:space="0" w:color="auto"/>
            </w:tcBorders>
            <w:vAlign w:val="bottom"/>
          </w:tcPr>
          <w:p w14:paraId="64DD4081" w14:textId="1A3BF42C" w:rsidR="006B3E27" w:rsidRPr="00DB6111" w:rsidRDefault="00C056BB" w:rsidP="00C056BB">
            <w:pPr>
              <w:bidi w:val="0"/>
              <w:jc w:val="left"/>
            </w:pPr>
            <w:r w:rsidRPr="00DB6111">
              <w:rPr>
                <w:sz w:val="40"/>
              </w:rPr>
              <w:t>CED</w:t>
            </w:r>
            <w:r w:rsidRPr="00DB6111">
              <w:t>/C/</w:t>
            </w:r>
            <w:r w:rsidRPr="00096249">
              <w:t>23</w:t>
            </w:r>
            <w:r w:rsidRPr="00DB6111">
              <w:t>/</w:t>
            </w:r>
            <w:r w:rsidRPr="00096249">
              <w:t>3</w:t>
            </w:r>
          </w:p>
        </w:tc>
      </w:tr>
      <w:tr w:rsidR="00DB6111" w:rsidRPr="00DB6111" w14:paraId="38BF96C7" w14:textId="77777777" w:rsidTr="00E866BF">
        <w:trPr>
          <w:trHeight w:hRule="exact" w:val="2835"/>
        </w:trPr>
        <w:tc>
          <w:tcPr>
            <w:tcW w:w="1274" w:type="dxa"/>
            <w:tcBorders>
              <w:top w:val="single" w:sz="4" w:space="0" w:color="auto"/>
              <w:bottom w:val="single" w:sz="12" w:space="0" w:color="auto"/>
            </w:tcBorders>
          </w:tcPr>
          <w:p w14:paraId="0A2498B7" w14:textId="77777777" w:rsidR="006B3E27" w:rsidRPr="00DB6111" w:rsidRDefault="0059622A" w:rsidP="008F729B">
            <w:pPr>
              <w:jc w:val="center"/>
              <w:rPr>
                <w:rtl/>
              </w:rPr>
            </w:pPr>
            <w:r w:rsidRPr="00DB6111">
              <w:rPr>
                <w:noProof/>
              </w:rPr>
              <w:drawing>
                <wp:inline distT="0" distB="0" distL="0" distR="0" wp14:anchorId="399E4804" wp14:editId="083D8E2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39036A17" w14:textId="77777777" w:rsidR="006B3E27" w:rsidRPr="00096249" w:rsidRDefault="004E1586" w:rsidP="00E866BF">
            <w:pPr>
              <w:spacing w:before="160" w:after="40" w:line="560" w:lineRule="exact"/>
              <w:ind w:left="57"/>
              <w:jc w:val="left"/>
              <w:rPr>
                <w:b/>
                <w:bCs/>
                <w:sz w:val="44"/>
                <w:szCs w:val="44"/>
                <w:rtl/>
              </w:rPr>
            </w:pPr>
            <w:r w:rsidRPr="00096249">
              <w:rPr>
                <w:rFonts w:hint="cs"/>
                <w:b/>
                <w:bCs/>
                <w:sz w:val="44"/>
                <w:szCs w:val="44"/>
                <w:rtl/>
              </w:rPr>
              <w:t>الاتفاقيـة الدوليــة لحمـايـة جمـيـع الأشخاص من الاختفاء القسري</w:t>
            </w:r>
          </w:p>
        </w:tc>
        <w:tc>
          <w:tcPr>
            <w:tcW w:w="3686" w:type="dxa"/>
            <w:tcBorders>
              <w:top w:val="single" w:sz="4" w:space="0" w:color="auto"/>
              <w:bottom w:val="single" w:sz="12" w:space="0" w:color="auto"/>
            </w:tcBorders>
          </w:tcPr>
          <w:p w14:paraId="4B4C0E15" w14:textId="2DB5FA5B" w:rsidR="006A69CA" w:rsidRPr="00DB6111" w:rsidRDefault="00C056BB" w:rsidP="008F729B">
            <w:pPr>
              <w:bidi w:val="0"/>
              <w:spacing w:before="240"/>
              <w:jc w:val="left"/>
            </w:pPr>
            <w:r w:rsidRPr="00DB6111">
              <w:t>Dist</w:t>
            </w:r>
            <w:r w:rsidR="00DB6111" w:rsidRPr="00DB6111">
              <w:t>r.:</w:t>
            </w:r>
            <w:r w:rsidRPr="00DB6111">
              <w:t xml:space="preserve"> General</w:t>
            </w:r>
          </w:p>
          <w:p w14:paraId="6216EE95" w14:textId="12368B8C" w:rsidR="00C056BB" w:rsidRPr="00DB6111" w:rsidRDefault="00C056BB" w:rsidP="00C056BB">
            <w:pPr>
              <w:bidi w:val="0"/>
              <w:spacing w:line="240" w:lineRule="exact"/>
              <w:jc w:val="left"/>
            </w:pPr>
            <w:r w:rsidRPr="00096249">
              <w:t>12</w:t>
            </w:r>
            <w:r w:rsidRPr="00DB6111">
              <w:t xml:space="preserve"> </w:t>
            </w:r>
            <w:r w:rsidR="00B2169E">
              <w:t xml:space="preserve">October </w:t>
            </w:r>
            <w:r w:rsidRPr="00096249">
              <w:t>2022</w:t>
            </w:r>
          </w:p>
          <w:p w14:paraId="000725FD" w14:textId="77777777" w:rsidR="00C056BB" w:rsidRPr="00DB6111" w:rsidRDefault="00C056BB" w:rsidP="00C056BB">
            <w:pPr>
              <w:bidi w:val="0"/>
              <w:spacing w:line="240" w:lineRule="exact"/>
              <w:jc w:val="left"/>
            </w:pPr>
            <w:r w:rsidRPr="00DB6111">
              <w:t>Arabic</w:t>
            </w:r>
          </w:p>
          <w:p w14:paraId="5309C461" w14:textId="03B7FE22" w:rsidR="00C056BB" w:rsidRPr="00DB6111" w:rsidRDefault="00C056BB" w:rsidP="00C056BB">
            <w:pPr>
              <w:bidi w:val="0"/>
              <w:spacing w:line="240" w:lineRule="exact"/>
              <w:jc w:val="left"/>
            </w:pPr>
            <w:r w:rsidRPr="00DB6111">
              <w:t>Origina</w:t>
            </w:r>
            <w:r w:rsidR="00DB6111" w:rsidRPr="00DB6111">
              <w:t xml:space="preserve">l: </w:t>
            </w:r>
            <w:r w:rsidRPr="00DB6111">
              <w:t>English</w:t>
            </w:r>
          </w:p>
        </w:tc>
      </w:tr>
    </w:tbl>
    <w:p w14:paraId="0FCAFC30" w14:textId="77777777" w:rsidR="00B74DAB" w:rsidRPr="00096249" w:rsidRDefault="00B74DAB" w:rsidP="00B74DAB">
      <w:pPr>
        <w:pStyle w:val="SingleTxtGA"/>
        <w:spacing w:before="120" w:after="0"/>
        <w:ind w:left="0" w:right="283"/>
        <w:jc w:val="left"/>
        <w:rPr>
          <w:b/>
          <w:bCs/>
          <w:sz w:val="26"/>
          <w:szCs w:val="26"/>
          <w:lang w:val="ar-SA" w:eastAsia="zh-TW" w:bidi="en-GB"/>
        </w:rPr>
      </w:pPr>
      <w:r w:rsidRPr="00096249">
        <w:rPr>
          <w:b/>
          <w:bCs/>
          <w:sz w:val="26"/>
          <w:szCs w:val="26"/>
          <w:rtl/>
        </w:rPr>
        <w:t>اللجنة المعنية بحالات الاختفاء القسري</w:t>
      </w:r>
    </w:p>
    <w:p w14:paraId="793969A4" w14:textId="1D52F370" w:rsidR="00B74DAB" w:rsidRPr="00096249" w:rsidRDefault="00B74DAB" w:rsidP="00B74DAB">
      <w:pPr>
        <w:pStyle w:val="HChGA"/>
        <w:rPr>
          <w:rFonts w:eastAsiaTheme="minorEastAsia"/>
          <w:sz w:val="34"/>
          <w:szCs w:val="34"/>
          <w:lang w:val="ar-SA" w:eastAsia="zh-TW" w:bidi="en-GB"/>
        </w:rPr>
      </w:pPr>
      <w:r w:rsidRPr="00096249">
        <w:rPr>
          <w:rtl/>
        </w:rPr>
        <w:tab/>
      </w:r>
      <w:r w:rsidRPr="00096249">
        <w:rPr>
          <w:rtl/>
        </w:rPr>
        <w:tab/>
        <w:t xml:space="preserve">تقرير عن متابعة الملاحظات الختامية للجنة المعنية بحالات الاختفاء القسري بموجب الفقرتين </w:t>
      </w:r>
      <w:r w:rsidRPr="00096249">
        <w:rPr>
          <w:rFonts w:ascii="Traditional Arabic"/>
          <w:rtl/>
        </w:rPr>
        <w:t>1</w:t>
      </w:r>
      <w:r w:rsidRPr="00096249">
        <w:rPr>
          <w:rtl/>
        </w:rPr>
        <w:t xml:space="preserve"> </w:t>
      </w:r>
      <w:r w:rsidRPr="00096249">
        <w:rPr>
          <w:rFonts w:eastAsiaTheme="minorEastAsia"/>
          <w:rtl/>
        </w:rPr>
        <w:t>و4 من المادة 29 من الاتفاقية</w:t>
      </w:r>
      <w:r w:rsidRPr="00096249">
        <w:rPr>
          <w:rStyle w:val="FootnoteReference"/>
          <w:rFonts w:eastAsiaTheme="minorEastAsia"/>
          <w:sz w:val="26"/>
          <w:szCs w:val="26"/>
          <w:vertAlign w:val="baseline"/>
          <w:rtl/>
        </w:rPr>
        <w:footnoteReference w:customMarkFollows="1" w:id="1"/>
        <w:t>*</w:t>
      </w:r>
    </w:p>
    <w:p w14:paraId="2A96BF3A" w14:textId="573807F8" w:rsidR="00B74DAB" w:rsidRPr="00096249" w:rsidRDefault="00B74DAB" w:rsidP="00B74DAB">
      <w:pPr>
        <w:pStyle w:val="HChGA"/>
        <w:rPr>
          <w:lang w:val="en-US" w:eastAsia="zh-TW" w:bidi="en-GB"/>
        </w:rPr>
      </w:pPr>
      <w:r w:rsidRPr="00096249">
        <w:rPr>
          <w:rtl/>
        </w:rPr>
        <w:tab/>
        <w:t>أولا</w:t>
      </w:r>
      <w:r w:rsidRPr="00096249">
        <w:rPr>
          <w:rFonts w:hint="cs"/>
          <w:rtl/>
        </w:rPr>
        <w:t>ً</w:t>
      </w:r>
      <w:r w:rsidRPr="00096249">
        <w:rPr>
          <w:rtl/>
        </w:rPr>
        <w:t>-</w:t>
      </w:r>
      <w:r w:rsidRPr="00096249">
        <w:rPr>
          <w:rtl/>
        </w:rPr>
        <w:tab/>
        <w:t>مقدمة</w:t>
      </w:r>
    </w:p>
    <w:p w14:paraId="7432D747" w14:textId="70B8409F" w:rsidR="00B74DAB" w:rsidRPr="00DB6111" w:rsidRDefault="00B74DAB" w:rsidP="00B74DAB">
      <w:pPr>
        <w:pStyle w:val="SingleTxtGA"/>
        <w:rPr>
          <w:rFonts w:eastAsiaTheme="minorEastAsia"/>
          <w:spacing w:val="-4"/>
          <w:lang w:val="ar-SA" w:eastAsia="zh-TW" w:bidi="en-GB"/>
        </w:rPr>
      </w:pPr>
      <w:r w:rsidRPr="00096249">
        <w:rPr>
          <w:rFonts w:eastAsiaTheme="minorEastAsia"/>
          <w:rtl/>
        </w:rPr>
        <w:t>1</w:t>
      </w:r>
      <w:r w:rsidRPr="00DB6111">
        <w:rPr>
          <w:rFonts w:eastAsiaTheme="minorEastAsia"/>
          <w:rtl/>
        </w:rPr>
        <w:t>-</w:t>
      </w:r>
      <w:r w:rsidRPr="00DB6111">
        <w:rPr>
          <w:rFonts w:eastAsiaTheme="minorEastAsia"/>
          <w:rtl/>
        </w:rPr>
        <w:tab/>
        <w:t>يعكس هذا التقرير المعلومات التي تلقتها اللجنة بين دورتيها الحادية والعشرين والثالثة والعشرين متابعة لملاحظاتها الختامية بشأن سويسرا</w:t>
      </w:r>
      <w:r w:rsidR="00DB6111" w:rsidRPr="00096249">
        <w:rPr>
          <w:rStyle w:val="EndnoteReference"/>
          <w:rFonts w:eastAsiaTheme="minorEastAsia"/>
          <w:sz w:val="22"/>
          <w:rtl/>
        </w:rPr>
        <w:t>(</w:t>
      </w:r>
      <w:r w:rsidR="00DB6111" w:rsidRPr="00096249">
        <w:rPr>
          <w:rStyle w:val="EndnoteReference"/>
          <w:rFonts w:eastAsiaTheme="minorEastAsia"/>
          <w:sz w:val="22"/>
          <w:lang w:val="en-US"/>
        </w:rPr>
        <w:footnoteReference w:id="2"/>
      </w:r>
      <w:r w:rsidR="00DB6111" w:rsidRPr="00096249">
        <w:rPr>
          <w:rStyle w:val="EndnoteReference"/>
          <w:rFonts w:eastAsiaTheme="minorEastAsia"/>
          <w:sz w:val="22"/>
          <w:rtl/>
        </w:rPr>
        <w:t>)</w:t>
      </w:r>
      <w:r w:rsidR="00DB6111" w:rsidRPr="00DB6111">
        <w:rPr>
          <w:rFonts w:eastAsiaTheme="minorEastAsia" w:hint="cs"/>
          <w:rtl/>
        </w:rPr>
        <w:t>،</w:t>
      </w:r>
      <w:r w:rsidR="00DB6111" w:rsidRPr="00DB6111">
        <w:rPr>
          <w:rFonts w:eastAsiaTheme="minorEastAsia"/>
          <w:rtl/>
        </w:rPr>
        <w:t> </w:t>
      </w:r>
      <w:r w:rsidRPr="00DB6111">
        <w:rPr>
          <w:rFonts w:eastAsiaTheme="minorEastAsia"/>
          <w:rtl/>
        </w:rPr>
        <w:t xml:space="preserve">بموجب المادة </w:t>
      </w:r>
      <w:r w:rsidRPr="00096249">
        <w:rPr>
          <w:rFonts w:eastAsiaTheme="minorEastAsia"/>
          <w:rtl/>
        </w:rPr>
        <w:t>29</w:t>
      </w:r>
      <w:r w:rsidRPr="00DB6111">
        <w:rPr>
          <w:rFonts w:eastAsiaTheme="minorEastAsia"/>
          <w:rtl/>
        </w:rPr>
        <w:t>(</w:t>
      </w:r>
      <w:r w:rsidR="00DB6111" w:rsidRPr="00096249">
        <w:rPr>
          <w:rFonts w:eastAsiaTheme="minorEastAsia"/>
          <w:rtl/>
        </w:rPr>
        <w:t>1</w:t>
      </w:r>
      <w:r w:rsidR="00DB6111" w:rsidRPr="00DB6111">
        <w:rPr>
          <w:rFonts w:eastAsiaTheme="minorEastAsia"/>
          <w:rtl/>
        </w:rPr>
        <w:t xml:space="preserve">) </w:t>
      </w:r>
      <w:r w:rsidRPr="00DB6111">
        <w:rPr>
          <w:rFonts w:eastAsiaTheme="minorEastAsia"/>
          <w:rtl/>
        </w:rPr>
        <w:t xml:space="preserve">من الاتفاقية، وبشأن </w:t>
      </w:r>
      <w:r w:rsidRPr="00DB6111">
        <w:rPr>
          <w:rFonts w:eastAsiaTheme="minorEastAsia"/>
          <w:spacing w:val="-4"/>
          <w:rtl/>
        </w:rPr>
        <w:t>كولومبيا</w:t>
      </w:r>
      <w:r w:rsidR="00DB6111" w:rsidRPr="00096249">
        <w:rPr>
          <w:rStyle w:val="EndnoteReference"/>
          <w:rFonts w:eastAsiaTheme="minorEastAsia"/>
          <w:spacing w:val="-4"/>
          <w:sz w:val="22"/>
          <w:rtl/>
        </w:rPr>
        <w:t>(</w:t>
      </w:r>
      <w:r w:rsidR="00DB6111" w:rsidRPr="00096249">
        <w:rPr>
          <w:rStyle w:val="EndnoteReference"/>
          <w:rFonts w:eastAsiaTheme="minorEastAsia"/>
          <w:spacing w:val="-4"/>
          <w:sz w:val="22"/>
          <w:lang w:val="en-US"/>
        </w:rPr>
        <w:footnoteReference w:id="3"/>
      </w:r>
      <w:r w:rsidR="00DB6111" w:rsidRPr="00096249">
        <w:rPr>
          <w:rStyle w:val="EndnoteReference"/>
          <w:rFonts w:eastAsiaTheme="minorEastAsia"/>
          <w:spacing w:val="-4"/>
          <w:sz w:val="22"/>
          <w:rtl/>
        </w:rPr>
        <w:t>)</w:t>
      </w:r>
      <w:r w:rsidR="00DB6111" w:rsidRPr="00DB6111">
        <w:rPr>
          <w:rFonts w:eastAsiaTheme="minorEastAsia" w:hint="cs"/>
          <w:spacing w:val="-4"/>
          <w:rtl/>
        </w:rPr>
        <w:t>،</w:t>
      </w:r>
      <w:r w:rsidR="00DB6111" w:rsidRPr="00DB6111">
        <w:rPr>
          <w:rFonts w:eastAsiaTheme="minorEastAsia"/>
          <w:spacing w:val="-4"/>
          <w:rtl/>
        </w:rPr>
        <w:t> </w:t>
      </w:r>
      <w:r w:rsidR="0086700C">
        <w:rPr>
          <w:rFonts w:eastAsiaTheme="minorEastAsia" w:hint="cs"/>
          <w:spacing w:val="-4"/>
          <w:rtl/>
        </w:rPr>
        <w:t>ب</w:t>
      </w:r>
      <w:r w:rsidRPr="00DB6111">
        <w:rPr>
          <w:rFonts w:eastAsiaTheme="minorEastAsia"/>
          <w:spacing w:val="-4"/>
          <w:rtl/>
        </w:rPr>
        <w:t xml:space="preserve">موجب المادة </w:t>
      </w:r>
      <w:r w:rsidRPr="00096249">
        <w:rPr>
          <w:rFonts w:eastAsiaTheme="minorEastAsia"/>
          <w:spacing w:val="-4"/>
          <w:rtl/>
        </w:rPr>
        <w:t>29</w:t>
      </w:r>
      <w:r w:rsidRPr="00DB6111">
        <w:rPr>
          <w:rFonts w:eastAsiaTheme="minorEastAsia"/>
          <w:spacing w:val="-4"/>
          <w:rtl/>
        </w:rPr>
        <w:t>(</w:t>
      </w:r>
      <w:r w:rsidR="00DB6111" w:rsidRPr="00096249">
        <w:rPr>
          <w:rFonts w:eastAsiaTheme="minorEastAsia"/>
          <w:spacing w:val="-4"/>
          <w:rtl/>
        </w:rPr>
        <w:t>4</w:t>
      </w:r>
      <w:r w:rsidR="00DB6111" w:rsidRPr="00DB6111">
        <w:rPr>
          <w:rFonts w:eastAsiaTheme="minorEastAsia"/>
          <w:spacing w:val="-4"/>
          <w:rtl/>
        </w:rPr>
        <w:t xml:space="preserve">) </w:t>
      </w:r>
      <w:r w:rsidRPr="00DB6111">
        <w:rPr>
          <w:rFonts w:eastAsiaTheme="minorEastAsia"/>
          <w:spacing w:val="-4"/>
          <w:rtl/>
        </w:rPr>
        <w:t>من الاتفاقية، والتقييمات والمقررات التي اعتمدتها اللجنة في دورتها الثالثة والعشرين. وتظهر الدول الأطراف بترتيب زمني وفق</w:t>
      </w:r>
      <w:r w:rsidR="00D70BF7" w:rsidRPr="00DB6111">
        <w:rPr>
          <w:rFonts w:eastAsiaTheme="minorEastAsia"/>
          <w:spacing w:val="-4"/>
          <w:rtl/>
        </w:rPr>
        <w:t xml:space="preserve">اً </w:t>
      </w:r>
      <w:r w:rsidRPr="00DB6111">
        <w:rPr>
          <w:rFonts w:eastAsiaTheme="minorEastAsia"/>
          <w:spacing w:val="-4"/>
          <w:rtl/>
        </w:rPr>
        <w:t>للموعد النهائي لتقديم معلومات المتابعة الخاصة بها.</w:t>
      </w:r>
    </w:p>
    <w:p w14:paraId="5D79BC5F" w14:textId="77777777" w:rsidR="00B74DAB" w:rsidRPr="00DB6111" w:rsidRDefault="00B74DAB" w:rsidP="00B74DAB">
      <w:pPr>
        <w:pStyle w:val="SingleTxtGA"/>
        <w:rPr>
          <w:rFonts w:eastAsiaTheme="minorEastAsia"/>
          <w:lang w:val="ar-SA" w:eastAsia="zh-TW" w:bidi="en-GB"/>
        </w:rPr>
      </w:pPr>
      <w:r w:rsidRPr="00096249">
        <w:rPr>
          <w:rFonts w:eastAsiaTheme="minorEastAsia"/>
          <w:rtl/>
        </w:rPr>
        <w:t>2</w:t>
      </w:r>
      <w:r w:rsidRPr="00DB6111">
        <w:rPr>
          <w:rFonts w:eastAsiaTheme="minorEastAsia"/>
          <w:rtl/>
        </w:rPr>
        <w:t>-</w:t>
      </w:r>
      <w:r w:rsidRPr="00DB6111">
        <w:rPr>
          <w:rFonts w:eastAsiaTheme="minorEastAsia"/>
          <w:rtl/>
        </w:rPr>
        <w:tab/>
        <w:t>وتشير التقييمات الواردة في هذا التقرير إلى توصيات بعينها، اختيرت ضمن إجراء المتابعة، وطُلب إلى الدول الأطراف تقديم معلومات بشأنها في غضون سنة واحدة من اعتماد الملاحظات الختامية. ولا يمثل هذا التقرير تقييماً لتنفيذ جميع التوصيات المقدمة إلى الدولة الطرف في الملاحظات الختامية، ولا مقارنة فيما بين الدول الأطراف.</w:t>
      </w:r>
    </w:p>
    <w:p w14:paraId="223C72D6" w14:textId="77777777" w:rsidR="00B74DAB" w:rsidRPr="00DB6111" w:rsidRDefault="00B74DAB" w:rsidP="00D063AB">
      <w:pPr>
        <w:pStyle w:val="SingleTxtGA"/>
        <w:spacing w:after="240"/>
        <w:rPr>
          <w:rFonts w:eastAsiaTheme="minorEastAsia"/>
          <w:spacing w:val="-4"/>
          <w:lang w:val="ar-SA" w:eastAsia="zh-TW" w:bidi="en-GB"/>
        </w:rPr>
      </w:pPr>
      <w:r w:rsidRPr="00096249">
        <w:rPr>
          <w:rFonts w:eastAsiaTheme="minorEastAsia"/>
          <w:rtl/>
        </w:rPr>
        <w:t>3</w:t>
      </w:r>
      <w:r w:rsidRPr="00DB6111">
        <w:rPr>
          <w:rFonts w:eastAsiaTheme="minorEastAsia"/>
          <w:spacing w:val="-4"/>
          <w:rtl/>
        </w:rPr>
        <w:t>-</w:t>
      </w:r>
      <w:r w:rsidRPr="00DB6111">
        <w:rPr>
          <w:rFonts w:eastAsiaTheme="minorEastAsia"/>
          <w:spacing w:val="-4"/>
          <w:rtl/>
        </w:rPr>
        <w:tab/>
        <w:t>ولإجراء تقييمها للمعلومات المقدمة من الدول الأطراف المعنية، تستخدم اللجنة المعايير المبينة أدناه:</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DB6111" w:rsidRPr="00DB6111" w14:paraId="3383377C" w14:textId="77777777" w:rsidTr="00E5600C">
        <w:trPr>
          <w:trHeight w:val="225"/>
          <w:tblHeader/>
        </w:trPr>
        <w:tc>
          <w:tcPr>
            <w:tcW w:w="7370" w:type="dxa"/>
            <w:tcBorders>
              <w:top w:val="single" w:sz="4" w:space="0" w:color="auto"/>
              <w:bottom w:val="single" w:sz="12" w:space="0" w:color="auto"/>
            </w:tcBorders>
            <w:shd w:val="clear" w:color="auto" w:fill="auto"/>
            <w:tcMar>
              <w:top w:w="80" w:type="dxa"/>
              <w:left w:w="80" w:type="dxa"/>
              <w:bottom w:w="80" w:type="dxa"/>
              <w:right w:w="193" w:type="dxa"/>
            </w:tcMar>
            <w:vAlign w:val="bottom"/>
          </w:tcPr>
          <w:p w14:paraId="040E4BEB" w14:textId="77777777" w:rsidR="00B74DAB" w:rsidRPr="00096249" w:rsidRDefault="00B74DAB" w:rsidP="00F75CF1">
            <w:pPr>
              <w:spacing w:after="120" w:line="360" w:lineRule="exact"/>
              <w:ind w:right="113"/>
              <w:textDirection w:val="tbRlV"/>
              <w:rPr>
                <w:i/>
                <w:sz w:val="16"/>
                <w:szCs w:val="20"/>
                <w:lang w:val="ar-SA" w:eastAsia="zh-TW" w:bidi="en-GB"/>
              </w:rPr>
            </w:pPr>
            <w:r w:rsidRPr="00096249">
              <w:rPr>
                <w:i/>
                <w:iCs/>
                <w:rtl/>
              </w:rPr>
              <w:t>تقييم الردود</w:t>
            </w:r>
          </w:p>
        </w:tc>
      </w:tr>
      <w:tr w:rsidR="00DB6111" w:rsidRPr="00DB6111" w14:paraId="79ABE55A" w14:textId="77777777" w:rsidTr="00E5600C">
        <w:trPr>
          <w:trHeight w:val="239"/>
        </w:trPr>
        <w:tc>
          <w:tcPr>
            <w:tcW w:w="7370" w:type="dxa"/>
            <w:tcBorders>
              <w:top w:val="single" w:sz="12" w:space="0" w:color="auto"/>
            </w:tcBorders>
            <w:shd w:val="clear" w:color="auto" w:fill="auto"/>
            <w:tcMar>
              <w:top w:w="80" w:type="dxa"/>
              <w:left w:w="80" w:type="dxa"/>
              <w:bottom w:w="80" w:type="dxa"/>
              <w:right w:w="193" w:type="dxa"/>
            </w:tcMar>
          </w:tcPr>
          <w:p w14:paraId="4BF463F7" w14:textId="77777777" w:rsidR="00B74DAB" w:rsidRPr="00DB6111" w:rsidRDefault="00B74DAB" w:rsidP="00F75CF1">
            <w:pPr>
              <w:spacing w:after="120" w:line="360" w:lineRule="exact"/>
              <w:ind w:right="113"/>
              <w:textDirection w:val="tbRlV"/>
              <w:rPr>
                <w:szCs w:val="20"/>
                <w:lang w:eastAsia="zh-TW" w:bidi="en-GB"/>
              </w:rPr>
            </w:pPr>
            <w:r w:rsidRPr="00096249">
              <w:rPr>
                <w:b/>
                <w:bCs/>
                <w:rtl/>
              </w:rPr>
              <w:t>ألف</w:t>
            </w:r>
            <w:r w:rsidRPr="00DB6111">
              <w:rPr>
                <w:rtl/>
              </w:rPr>
              <w:tab/>
            </w:r>
            <w:r w:rsidRPr="00096249">
              <w:rPr>
                <w:b/>
                <w:bCs/>
                <w:rtl/>
              </w:rPr>
              <w:t>رد/إجراء مرض</w:t>
            </w:r>
          </w:p>
        </w:tc>
      </w:tr>
      <w:tr w:rsidR="00DB6111" w:rsidRPr="00DB6111" w14:paraId="2A38E52B" w14:textId="77777777" w:rsidTr="00E5600C">
        <w:trPr>
          <w:trHeight w:val="459"/>
        </w:trPr>
        <w:tc>
          <w:tcPr>
            <w:tcW w:w="7370" w:type="dxa"/>
            <w:shd w:val="clear" w:color="auto" w:fill="auto"/>
            <w:tcMar>
              <w:top w:w="80" w:type="dxa"/>
              <w:left w:w="80" w:type="dxa"/>
              <w:bottom w:w="80" w:type="dxa"/>
              <w:right w:w="193" w:type="dxa"/>
            </w:tcMar>
          </w:tcPr>
          <w:p w14:paraId="528A99BE" w14:textId="77777777" w:rsidR="00B74DAB" w:rsidRPr="00DB6111" w:rsidRDefault="00B74DAB" w:rsidP="00F75CF1">
            <w:pPr>
              <w:spacing w:after="120" w:line="360" w:lineRule="exact"/>
              <w:ind w:right="113"/>
              <w:textDirection w:val="tbRlV"/>
              <w:rPr>
                <w:szCs w:val="20"/>
                <w:lang w:val="ar-SA" w:eastAsia="zh-TW" w:bidi="en-GB"/>
              </w:rPr>
            </w:pPr>
            <w:r w:rsidRPr="00DB6111">
              <w:rPr>
                <w:rtl/>
              </w:rPr>
              <w:t>قدمت الدولة الطرف أدلة على اتخاذ إجراءات هامة لتنفيذ توصية اللجنة.</w:t>
            </w:r>
          </w:p>
        </w:tc>
      </w:tr>
      <w:tr w:rsidR="00DB6111" w:rsidRPr="00DB6111" w14:paraId="4CACDE54" w14:textId="77777777" w:rsidTr="00D70BF7">
        <w:trPr>
          <w:trHeight w:val="239"/>
        </w:trPr>
        <w:tc>
          <w:tcPr>
            <w:tcW w:w="7370" w:type="dxa"/>
            <w:tcBorders>
              <w:bottom w:val="nil"/>
            </w:tcBorders>
            <w:shd w:val="clear" w:color="auto" w:fill="auto"/>
            <w:tcMar>
              <w:top w:w="80" w:type="dxa"/>
              <w:left w:w="80" w:type="dxa"/>
              <w:bottom w:w="80" w:type="dxa"/>
              <w:right w:w="193" w:type="dxa"/>
            </w:tcMar>
          </w:tcPr>
          <w:p w14:paraId="63BC5F9C" w14:textId="580F00CC" w:rsidR="00B74DAB" w:rsidRPr="00096249" w:rsidRDefault="00B74DAB" w:rsidP="00F75CF1">
            <w:pPr>
              <w:spacing w:after="120" w:line="360" w:lineRule="exact"/>
              <w:ind w:right="113"/>
              <w:textDirection w:val="tbRlV"/>
              <w:rPr>
                <w:b/>
                <w:bCs/>
                <w:szCs w:val="20"/>
                <w:rtl/>
                <w:lang w:eastAsia="zh-TW"/>
              </w:rPr>
            </w:pPr>
            <w:r w:rsidRPr="00096249">
              <w:rPr>
                <w:b/>
                <w:bCs/>
                <w:rtl/>
              </w:rPr>
              <w:t>باء</w:t>
            </w:r>
            <w:r w:rsidRPr="00096249">
              <w:rPr>
                <w:b/>
                <w:bCs/>
                <w:rtl/>
              </w:rPr>
              <w:tab/>
              <w:t>رد/إجراء مرض جزئي</w:t>
            </w:r>
            <w:r w:rsidR="00F75CF1" w:rsidRPr="00096249">
              <w:rPr>
                <w:rFonts w:hint="cs"/>
                <w:b/>
                <w:bCs/>
                <w:rtl/>
              </w:rPr>
              <w:t>اً</w:t>
            </w:r>
          </w:p>
        </w:tc>
      </w:tr>
      <w:tr w:rsidR="00DB6111" w:rsidRPr="00DB6111" w14:paraId="31953BD7" w14:textId="77777777" w:rsidTr="00D70BF7">
        <w:trPr>
          <w:trHeight w:val="459"/>
        </w:trPr>
        <w:tc>
          <w:tcPr>
            <w:tcW w:w="7370" w:type="dxa"/>
            <w:tcBorders>
              <w:top w:val="nil"/>
              <w:bottom w:val="nil"/>
            </w:tcBorders>
            <w:shd w:val="clear" w:color="auto" w:fill="auto"/>
            <w:tcMar>
              <w:top w:w="80" w:type="dxa"/>
              <w:left w:w="80" w:type="dxa"/>
              <w:bottom w:w="80" w:type="dxa"/>
              <w:right w:w="193" w:type="dxa"/>
            </w:tcMar>
          </w:tcPr>
          <w:p w14:paraId="1EDA239F" w14:textId="77777777" w:rsidR="00B74DAB" w:rsidRPr="00D063AB" w:rsidRDefault="00B74DAB" w:rsidP="00F75CF1">
            <w:pPr>
              <w:spacing w:after="120" w:line="360" w:lineRule="exact"/>
              <w:ind w:right="113"/>
              <w:textDirection w:val="tbRlV"/>
              <w:rPr>
                <w:szCs w:val="20"/>
                <w:lang w:eastAsia="zh-TW" w:bidi="en-GB"/>
              </w:rPr>
            </w:pPr>
            <w:r w:rsidRPr="00DB6111">
              <w:rPr>
                <w:rtl/>
              </w:rPr>
              <w:t>اتخذت الدولة الطرف خطوات لتنفيذ التوصية، لكن ينبغي تقديم معلومات إضافية أو اتخاذ مزيد من الإجراءات بشأنها.</w:t>
            </w:r>
          </w:p>
        </w:tc>
      </w:tr>
      <w:tr w:rsidR="00DB6111" w:rsidRPr="00DB6111" w14:paraId="4AAB3744" w14:textId="77777777" w:rsidTr="00D70BF7">
        <w:trPr>
          <w:trHeight w:val="239"/>
        </w:trPr>
        <w:tc>
          <w:tcPr>
            <w:tcW w:w="7370" w:type="dxa"/>
            <w:tcBorders>
              <w:top w:val="nil"/>
            </w:tcBorders>
            <w:shd w:val="clear" w:color="auto" w:fill="auto"/>
            <w:tcMar>
              <w:top w:w="80" w:type="dxa"/>
              <w:left w:w="80" w:type="dxa"/>
              <w:bottom w:w="80" w:type="dxa"/>
              <w:right w:w="193" w:type="dxa"/>
            </w:tcMar>
          </w:tcPr>
          <w:p w14:paraId="45257FF8" w14:textId="77777777" w:rsidR="00B74DAB" w:rsidRPr="00096249" w:rsidRDefault="00B74DAB" w:rsidP="00F75CF1">
            <w:pPr>
              <w:spacing w:after="120" w:line="360" w:lineRule="exact"/>
              <w:ind w:right="113"/>
              <w:textDirection w:val="tbRlV"/>
              <w:rPr>
                <w:b/>
                <w:bCs/>
                <w:szCs w:val="20"/>
                <w:lang w:val="ar-SA" w:eastAsia="zh-TW" w:bidi="en-GB"/>
              </w:rPr>
            </w:pPr>
            <w:r w:rsidRPr="00096249">
              <w:rPr>
                <w:b/>
                <w:bCs/>
                <w:rtl/>
              </w:rPr>
              <w:lastRenderedPageBreak/>
              <w:t>جيم</w:t>
            </w:r>
            <w:r w:rsidRPr="00096249">
              <w:rPr>
                <w:b/>
                <w:bCs/>
                <w:rtl/>
              </w:rPr>
              <w:tab/>
              <w:t>رد/إجراء غير مرض</w:t>
            </w:r>
          </w:p>
        </w:tc>
      </w:tr>
      <w:tr w:rsidR="00DB6111" w:rsidRPr="00DB6111" w14:paraId="713BBDB0" w14:textId="77777777" w:rsidTr="00E5600C">
        <w:trPr>
          <w:trHeight w:val="459"/>
        </w:trPr>
        <w:tc>
          <w:tcPr>
            <w:tcW w:w="7370" w:type="dxa"/>
            <w:shd w:val="clear" w:color="auto" w:fill="auto"/>
            <w:tcMar>
              <w:top w:w="80" w:type="dxa"/>
              <w:left w:w="80" w:type="dxa"/>
              <w:bottom w:w="80" w:type="dxa"/>
              <w:right w:w="193" w:type="dxa"/>
            </w:tcMar>
          </w:tcPr>
          <w:p w14:paraId="2574144E" w14:textId="77777777" w:rsidR="00B74DAB" w:rsidRPr="00DB6111" w:rsidRDefault="00B74DAB" w:rsidP="00F75CF1">
            <w:pPr>
              <w:spacing w:after="120" w:line="360" w:lineRule="exact"/>
              <w:ind w:right="113"/>
              <w:textDirection w:val="tbRlV"/>
              <w:rPr>
                <w:spacing w:val="-6"/>
                <w:szCs w:val="20"/>
                <w:lang w:val="ar-SA" w:eastAsia="zh-TW" w:bidi="en-GB"/>
              </w:rPr>
            </w:pPr>
            <w:r w:rsidRPr="00DB6111">
              <w:rPr>
                <w:spacing w:val="-6"/>
                <w:rtl/>
              </w:rPr>
              <w:t>أرسلت الدولة الطرف رداً، لكن الإجراءات المتخذة أو المعلومات المقدمة ليست ذات صلة أو لم تُنفِّذ التوصية.</w:t>
            </w:r>
          </w:p>
        </w:tc>
      </w:tr>
      <w:tr w:rsidR="00DB6111" w:rsidRPr="00DB6111" w14:paraId="5510A769" w14:textId="77777777" w:rsidTr="00E5600C">
        <w:trPr>
          <w:trHeight w:val="239"/>
        </w:trPr>
        <w:tc>
          <w:tcPr>
            <w:tcW w:w="7370" w:type="dxa"/>
            <w:shd w:val="clear" w:color="auto" w:fill="auto"/>
            <w:tcMar>
              <w:top w:w="80" w:type="dxa"/>
              <w:left w:w="80" w:type="dxa"/>
              <w:bottom w:w="80" w:type="dxa"/>
              <w:right w:w="193" w:type="dxa"/>
            </w:tcMar>
          </w:tcPr>
          <w:p w14:paraId="1BE90279" w14:textId="77777777" w:rsidR="00B74DAB" w:rsidRPr="00DB6111" w:rsidRDefault="00B74DAB" w:rsidP="00F75CF1">
            <w:pPr>
              <w:spacing w:after="120" w:line="360" w:lineRule="exact"/>
              <w:ind w:right="113"/>
              <w:textDirection w:val="tbRlV"/>
              <w:rPr>
                <w:szCs w:val="20"/>
                <w:lang w:eastAsia="zh-TW" w:bidi="en-GB"/>
              </w:rPr>
            </w:pPr>
            <w:r w:rsidRPr="00096249">
              <w:rPr>
                <w:b/>
                <w:bCs/>
                <w:rtl/>
              </w:rPr>
              <w:t>دال</w:t>
            </w:r>
            <w:r w:rsidRPr="00DB6111">
              <w:rPr>
                <w:rtl/>
              </w:rPr>
              <w:tab/>
            </w:r>
            <w:r w:rsidRPr="00096249">
              <w:rPr>
                <w:b/>
                <w:bCs/>
                <w:rtl/>
              </w:rPr>
              <w:t>لا رد بشأن توصية</w:t>
            </w:r>
          </w:p>
        </w:tc>
      </w:tr>
      <w:tr w:rsidR="00DB6111" w:rsidRPr="00DB6111" w14:paraId="608F7B09" w14:textId="77777777" w:rsidTr="00E5600C">
        <w:trPr>
          <w:trHeight w:val="459"/>
        </w:trPr>
        <w:tc>
          <w:tcPr>
            <w:tcW w:w="7370" w:type="dxa"/>
            <w:shd w:val="clear" w:color="auto" w:fill="auto"/>
            <w:tcMar>
              <w:top w:w="80" w:type="dxa"/>
              <w:left w:w="80" w:type="dxa"/>
              <w:bottom w:w="80" w:type="dxa"/>
              <w:right w:w="193" w:type="dxa"/>
            </w:tcMar>
          </w:tcPr>
          <w:p w14:paraId="7AF33D9C" w14:textId="77777777" w:rsidR="00B74DAB" w:rsidRPr="00DB6111" w:rsidRDefault="00B74DAB" w:rsidP="00F75CF1">
            <w:pPr>
              <w:spacing w:after="120" w:line="360" w:lineRule="exact"/>
              <w:ind w:right="113"/>
              <w:textDirection w:val="tbRlV"/>
              <w:rPr>
                <w:szCs w:val="20"/>
                <w:lang w:val="ar-SA" w:eastAsia="zh-TW" w:bidi="en-GB"/>
              </w:rPr>
            </w:pPr>
            <w:r w:rsidRPr="00DB6111">
              <w:rPr>
                <w:rtl/>
              </w:rPr>
              <w:t>لم تقدم الدولة الطرف أي معلومات عن تنفيذ التوصية.</w:t>
            </w:r>
          </w:p>
        </w:tc>
      </w:tr>
      <w:tr w:rsidR="00DB6111" w:rsidRPr="00DB6111" w14:paraId="12FF2745" w14:textId="77777777" w:rsidTr="00E5600C">
        <w:trPr>
          <w:trHeight w:val="459"/>
        </w:trPr>
        <w:tc>
          <w:tcPr>
            <w:tcW w:w="7370" w:type="dxa"/>
            <w:shd w:val="clear" w:color="auto" w:fill="auto"/>
            <w:tcMar>
              <w:top w:w="80" w:type="dxa"/>
              <w:left w:w="80" w:type="dxa"/>
              <w:bottom w:w="80" w:type="dxa"/>
              <w:right w:w="193" w:type="dxa"/>
            </w:tcMar>
          </w:tcPr>
          <w:p w14:paraId="7B7001BA" w14:textId="77777777" w:rsidR="00B74DAB" w:rsidRPr="00DB6111" w:rsidRDefault="00B74DAB" w:rsidP="00F75CF1">
            <w:pPr>
              <w:spacing w:after="120" w:line="360" w:lineRule="exact"/>
              <w:ind w:right="113"/>
              <w:textDirection w:val="tbRlV"/>
              <w:rPr>
                <w:szCs w:val="20"/>
                <w:lang w:val="ar-SA" w:eastAsia="zh-TW" w:bidi="en-GB"/>
              </w:rPr>
            </w:pPr>
            <w:r w:rsidRPr="00096249">
              <w:rPr>
                <w:b/>
                <w:bCs/>
                <w:rtl/>
              </w:rPr>
              <w:t>هاء</w:t>
            </w:r>
            <w:r w:rsidRPr="00DB6111">
              <w:rPr>
                <w:rtl/>
              </w:rPr>
              <w:tab/>
            </w:r>
            <w:r w:rsidRPr="00096249">
              <w:rPr>
                <w:b/>
                <w:bCs/>
                <w:rtl/>
              </w:rPr>
              <w:t>المعلومات أو التدابير المتخذة تتعارض مع توصية اللجنة أو تعكس رفضها</w:t>
            </w:r>
          </w:p>
        </w:tc>
      </w:tr>
      <w:tr w:rsidR="00DB6111" w:rsidRPr="00DB6111" w14:paraId="44E2BBB7" w14:textId="77777777" w:rsidTr="00E5600C">
        <w:trPr>
          <w:trHeight w:val="684"/>
        </w:trPr>
        <w:tc>
          <w:tcPr>
            <w:tcW w:w="7370" w:type="dxa"/>
            <w:shd w:val="clear" w:color="auto" w:fill="auto"/>
            <w:tcMar>
              <w:top w:w="80" w:type="dxa"/>
              <w:left w:w="80" w:type="dxa"/>
              <w:bottom w:w="80" w:type="dxa"/>
              <w:right w:w="193" w:type="dxa"/>
            </w:tcMar>
          </w:tcPr>
          <w:p w14:paraId="61924EB7" w14:textId="77777777" w:rsidR="00B74DAB" w:rsidRPr="00DB6111" w:rsidRDefault="00B74DAB" w:rsidP="00F75CF1">
            <w:pPr>
              <w:spacing w:after="120" w:line="360" w:lineRule="exact"/>
              <w:ind w:right="113"/>
              <w:textDirection w:val="tbRlV"/>
              <w:rPr>
                <w:szCs w:val="20"/>
                <w:lang w:val="ar-SA" w:eastAsia="zh-TW" w:bidi="en-GB"/>
              </w:rPr>
            </w:pPr>
            <w:r w:rsidRPr="00DB6111">
              <w:rPr>
                <w:rtl/>
              </w:rPr>
              <w:t>يكشف الرد أن التدابير المتخذة تتعارض مع توصية اللجنة أو لها نتائج أو عواقب تتعارض معها أو تعكس رفضها</w:t>
            </w:r>
          </w:p>
        </w:tc>
      </w:tr>
    </w:tbl>
    <w:p w14:paraId="49483146" w14:textId="2BBCA846" w:rsidR="00B74DAB" w:rsidRPr="00096249" w:rsidRDefault="00F75CF1" w:rsidP="00F75CF1">
      <w:pPr>
        <w:pStyle w:val="HChGA"/>
        <w:rPr>
          <w:lang w:val="ar-SA" w:eastAsia="zh-TW" w:bidi="en-GB"/>
        </w:rPr>
      </w:pPr>
      <w:r w:rsidRPr="00096249">
        <w:rPr>
          <w:rtl/>
        </w:rPr>
        <w:tab/>
      </w:r>
      <w:r w:rsidR="00B74DAB" w:rsidRPr="00096249">
        <w:rPr>
          <w:rtl/>
        </w:rPr>
        <w:t>ثانيا</w:t>
      </w:r>
      <w:r w:rsidRPr="00096249">
        <w:rPr>
          <w:rFonts w:hint="cs"/>
          <w:rtl/>
        </w:rPr>
        <w:t>ً</w:t>
      </w:r>
      <w:r w:rsidR="00B74DAB" w:rsidRPr="00096249">
        <w:rPr>
          <w:rtl/>
        </w:rPr>
        <w:t>-</w:t>
      </w:r>
      <w:r w:rsidR="00B74DAB" w:rsidRPr="00096249">
        <w:rPr>
          <w:rtl/>
        </w:rPr>
        <w:tab/>
        <w:t xml:space="preserve">تقييم معلومات المتابعة المقدمة بموجب المادة </w:t>
      </w:r>
      <w:r w:rsidR="00B74DAB" w:rsidRPr="00096249">
        <w:rPr>
          <w:rFonts w:ascii="Traditional Arabic"/>
          <w:rtl/>
        </w:rPr>
        <w:t>29(</w:t>
      </w:r>
      <w:r w:rsidR="00DB6111" w:rsidRPr="00096249">
        <w:rPr>
          <w:rFonts w:ascii="Traditional Arabic"/>
          <w:rtl/>
        </w:rPr>
        <w:t>1)</w:t>
      </w:r>
      <w:r w:rsidR="00DB6111" w:rsidRPr="00096249">
        <w:rPr>
          <w:rtl/>
        </w:rPr>
        <w:t xml:space="preserve"> </w:t>
      </w:r>
      <w:r w:rsidR="00B74DAB" w:rsidRPr="00096249">
        <w:rPr>
          <w:rtl/>
        </w:rPr>
        <w:t>من الاتفاقية</w:t>
      </w:r>
    </w:p>
    <w:p w14:paraId="71972371" w14:textId="77777777" w:rsidR="00B74DAB" w:rsidRPr="00096249" w:rsidRDefault="00B74DAB" w:rsidP="00D063AB">
      <w:pPr>
        <w:pStyle w:val="H1GA"/>
        <w:rPr>
          <w:szCs w:val="20"/>
          <w:lang w:val="en-US" w:eastAsia="zh-TW" w:bidi="en-GB"/>
        </w:rPr>
      </w:pPr>
      <w:r w:rsidRPr="00096249">
        <w:rPr>
          <w:rtl/>
        </w:rPr>
        <w:tab/>
      </w:r>
      <w:r w:rsidRPr="00096249">
        <w:rPr>
          <w:rtl/>
        </w:rPr>
        <w:tab/>
        <w:t>سويسرا</w:t>
      </w:r>
    </w:p>
    <w:p w14:paraId="4E379E29" w14:textId="77777777" w:rsidR="00B74DAB" w:rsidRPr="00096249" w:rsidRDefault="00B74DAB" w:rsidP="00F75CF1">
      <w:pPr>
        <w:pStyle w:val="H23GA"/>
        <w:rPr>
          <w:szCs w:val="20"/>
          <w:lang w:val="en-US" w:eastAsia="zh-TW" w:bidi="en-GB"/>
        </w:rPr>
      </w:pPr>
      <w:r w:rsidRPr="00096249">
        <w:rPr>
          <w:rtl/>
        </w:rPr>
        <w:tab/>
      </w:r>
      <w:r w:rsidRPr="00096249">
        <w:rPr>
          <w:rtl/>
        </w:rPr>
        <w:tab/>
        <w:t xml:space="preserve">الدورة العشرون (نيسان/أبريل - أيار/مايو </w:t>
      </w:r>
      <w:r w:rsidRPr="00096249">
        <w:rPr>
          <w:rFonts w:ascii="Traditional Arabic"/>
          <w:szCs w:val="20"/>
          <w:rtl/>
        </w:rPr>
        <w:t>2021)</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DB6111" w:rsidRPr="00DB6111" w14:paraId="74CDD6DC" w14:textId="77777777" w:rsidTr="00E5600C">
        <w:trPr>
          <w:trHeight w:val="310"/>
          <w:tblHeader/>
        </w:trPr>
        <w:tc>
          <w:tcPr>
            <w:tcW w:w="3402" w:type="dxa"/>
            <w:tcBorders>
              <w:top w:val="single" w:sz="4" w:space="0" w:color="auto"/>
              <w:bottom w:val="single" w:sz="12" w:space="0" w:color="auto"/>
            </w:tcBorders>
            <w:shd w:val="clear" w:color="auto" w:fill="auto"/>
            <w:tcMar>
              <w:top w:w="80" w:type="dxa"/>
              <w:left w:w="80" w:type="dxa"/>
              <w:bottom w:w="80" w:type="dxa"/>
              <w:right w:w="193" w:type="dxa"/>
            </w:tcMar>
            <w:vAlign w:val="bottom"/>
          </w:tcPr>
          <w:p w14:paraId="46BB6B54" w14:textId="77777777" w:rsidR="00B74DAB" w:rsidRPr="00DB6111" w:rsidRDefault="00B74DAB" w:rsidP="00F75CF1">
            <w:pPr>
              <w:spacing w:after="120" w:line="360" w:lineRule="exact"/>
              <w:ind w:right="113"/>
              <w:textDirection w:val="tbRlV"/>
              <w:rPr>
                <w:rFonts w:eastAsiaTheme="minorEastAsia"/>
                <w:i/>
                <w:sz w:val="22"/>
                <w:lang w:val="ar-SA" w:eastAsia="zh-TW" w:bidi="en-GB"/>
              </w:rPr>
            </w:pPr>
            <w:r w:rsidRPr="00096249">
              <w:rPr>
                <w:rFonts w:eastAsiaTheme="minorEastAsia"/>
                <w:i/>
                <w:iCs/>
                <w:sz w:val="22"/>
                <w:rtl/>
              </w:rPr>
              <w:t>سويسرا</w:t>
            </w:r>
          </w:p>
        </w:tc>
        <w:tc>
          <w:tcPr>
            <w:tcW w:w="3968"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1F114697" w14:textId="77777777" w:rsidR="00B74DAB" w:rsidRPr="00096249" w:rsidRDefault="00B74DAB" w:rsidP="00F75CF1">
            <w:pPr>
              <w:spacing w:after="120" w:line="360" w:lineRule="exact"/>
              <w:ind w:right="113"/>
              <w:rPr>
                <w:rFonts w:eastAsiaTheme="minorEastAsia"/>
                <w:i/>
                <w:sz w:val="22"/>
              </w:rPr>
            </w:pPr>
          </w:p>
        </w:tc>
      </w:tr>
      <w:tr w:rsidR="00DB6111" w:rsidRPr="00DB6111" w14:paraId="0DC146D2" w14:textId="77777777" w:rsidTr="00E5600C">
        <w:trPr>
          <w:trHeight w:val="239"/>
        </w:trPr>
        <w:tc>
          <w:tcPr>
            <w:tcW w:w="3402" w:type="dxa"/>
            <w:tcBorders>
              <w:top w:val="single" w:sz="12" w:space="0" w:color="auto"/>
            </w:tcBorders>
            <w:shd w:val="clear" w:color="auto" w:fill="auto"/>
            <w:tcMar>
              <w:top w:w="80" w:type="dxa"/>
              <w:left w:w="80" w:type="dxa"/>
              <w:bottom w:w="80" w:type="dxa"/>
              <w:right w:w="193" w:type="dxa"/>
            </w:tcMar>
          </w:tcPr>
          <w:p w14:paraId="17B8A51E"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الملاحظات الختامية:</w:t>
            </w:r>
          </w:p>
        </w:tc>
        <w:tc>
          <w:tcPr>
            <w:tcW w:w="3968" w:type="dxa"/>
            <w:tcBorders>
              <w:top w:val="single" w:sz="12" w:space="0" w:color="auto"/>
            </w:tcBorders>
            <w:shd w:val="clear" w:color="auto" w:fill="auto"/>
            <w:tcMar>
              <w:top w:w="80" w:type="dxa"/>
              <w:left w:w="80" w:type="dxa"/>
              <w:bottom w:w="80" w:type="dxa"/>
              <w:right w:w="193" w:type="dxa"/>
            </w:tcMar>
          </w:tcPr>
          <w:p w14:paraId="21A338A8" w14:textId="4CD7CD14" w:rsidR="00B74DAB" w:rsidRPr="00D063AB" w:rsidRDefault="0065414C" w:rsidP="00D063AB">
            <w:pPr>
              <w:spacing w:after="120" w:line="360" w:lineRule="exact"/>
              <w:ind w:right="113"/>
              <w:textDirection w:val="tbRlV"/>
              <w:rPr>
                <w:rFonts w:ascii="Simplified Arabic" w:eastAsiaTheme="minorEastAsia" w:hAnsi="Simplified Arabic"/>
                <w:spacing w:val="-8"/>
                <w:sz w:val="22"/>
                <w:rtl/>
              </w:rPr>
            </w:pPr>
            <w:hyperlink r:id="rId9" w:history="1">
              <w:r w:rsidR="00B74DAB" w:rsidRPr="00D063AB">
                <w:rPr>
                  <w:rStyle w:val="Hyperlink"/>
                  <w:rFonts w:eastAsiaTheme="minorEastAsia" w:cs="Times New Roman"/>
                  <w:spacing w:val="-8"/>
                  <w:sz w:val="22"/>
                  <w:rtl/>
                </w:rPr>
                <w:t>CED/C/CHE/CO/1</w:t>
              </w:r>
            </w:hyperlink>
            <w:r w:rsidR="00D063AB" w:rsidRPr="00096249">
              <w:rPr>
                <w:rFonts w:ascii="Simplified Arabic" w:eastAsiaTheme="minorEastAsia" w:hAnsi="Simplified Arabic" w:hint="cs"/>
                <w:spacing w:val="-8"/>
                <w:sz w:val="22"/>
                <w:rtl/>
              </w:rPr>
              <w:t>، المعتمدة في 4 أيار/مايو 2021</w:t>
            </w:r>
            <w:r w:rsidR="00CA5614" w:rsidRPr="00096249">
              <w:rPr>
                <w:rFonts w:ascii="Simplified Arabic" w:eastAsiaTheme="minorEastAsia" w:hAnsi="Simplified Arabic" w:hint="cs"/>
                <w:spacing w:val="-8"/>
                <w:sz w:val="22"/>
                <w:rtl/>
              </w:rPr>
              <w:t>، اعتمدت في 4 أيار/مايو 2021</w:t>
            </w:r>
          </w:p>
        </w:tc>
      </w:tr>
      <w:tr w:rsidR="00DB6111" w:rsidRPr="00DB6111" w14:paraId="302EBCDE" w14:textId="77777777" w:rsidTr="00E5600C">
        <w:trPr>
          <w:trHeight w:val="679"/>
        </w:trPr>
        <w:tc>
          <w:tcPr>
            <w:tcW w:w="3402" w:type="dxa"/>
            <w:shd w:val="clear" w:color="auto" w:fill="auto"/>
            <w:tcMar>
              <w:top w:w="80" w:type="dxa"/>
              <w:left w:w="80" w:type="dxa"/>
              <w:bottom w:w="80" w:type="dxa"/>
              <w:right w:w="193" w:type="dxa"/>
            </w:tcMar>
          </w:tcPr>
          <w:p w14:paraId="4AC6AC32"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التوصيات التي يجب متابعتها:</w:t>
            </w:r>
          </w:p>
        </w:tc>
        <w:tc>
          <w:tcPr>
            <w:tcW w:w="3968" w:type="dxa"/>
            <w:shd w:val="clear" w:color="auto" w:fill="auto"/>
            <w:tcMar>
              <w:top w:w="80" w:type="dxa"/>
              <w:left w:w="80" w:type="dxa"/>
              <w:bottom w:w="80" w:type="dxa"/>
              <w:right w:w="193" w:type="dxa"/>
            </w:tcMar>
          </w:tcPr>
          <w:p w14:paraId="42C8E610" w14:textId="6A8C3DD0" w:rsidR="00B74DAB" w:rsidRPr="00DB6111" w:rsidRDefault="00B74DAB" w:rsidP="00F75CF1">
            <w:pPr>
              <w:spacing w:after="120" w:line="360" w:lineRule="exact"/>
              <w:ind w:right="113"/>
              <w:textDirection w:val="tbRlV"/>
              <w:rPr>
                <w:rFonts w:eastAsiaTheme="minorEastAsia"/>
                <w:sz w:val="22"/>
                <w:lang w:eastAsia="zh-TW" w:bidi="en-GB"/>
              </w:rPr>
            </w:pPr>
            <w:r w:rsidRPr="00DB6111">
              <w:rPr>
                <w:rFonts w:eastAsiaTheme="minorEastAsia"/>
                <w:sz w:val="22"/>
                <w:rtl/>
              </w:rPr>
              <w:t xml:space="preserve">الفقرات </w:t>
            </w:r>
            <w:r w:rsidRPr="00096249">
              <w:rPr>
                <w:rFonts w:eastAsiaTheme="minorEastAsia"/>
                <w:sz w:val="22"/>
                <w:rtl/>
              </w:rPr>
              <w:t>14</w:t>
            </w:r>
            <w:r w:rsidRPr="00DB6111">
              <w:rPr>
                <w:rFonts w:eastAsiaTheme="minorEastAsia"/>
                <w:sz w:val="22"/>
                <w:rtl/>
              </w:rPr>
              <w:t xml:space="preserve"> (تعريف الاختفاء القسري)</w:t>
            </w:r>
            <w:r w:rsidR="00F75CF1" w:rsidRPr="00DB6111">
              <w:rPr>
                <w:rFonts w:eastAsiaTheme="minorEastAsia"/>
                <w:sz w:val="22"/>
                <w:rtl/>
              </w:rPr>
              <w:t xml:space="preserve"> و</w:t>
            </w:r>
            <w:r w:rsidRPr="00096249">
              <w:rPr>
                <w:rFonts w:eastAsiaTheme="minorEastAsia"/>
                <w:sz w:val="22"/>
                <w:rtl/>
              </w:rPr>
              <w:t>30</w:t>
            </w:r>
            <w:r w:rsidRPr="00DB6111">
              <w:rPr>
                <w:rFonts w:eastAsiaTheme="minorEastAsia"/>
                <w:sz w:val="22"/>
                <w:rtl/>
              </w:rPr>
              <w:t xml:space="preserve"> (الوصول إلى المعلومات)</w:t>
            </w:r>
            <w:r w:rsidR="00F75CF1" w:rsidRPr="00DB6111">
              <w:rPr>
                <w:rFonts w:eastAsiaTheme="minorEastAsia"/>
                <w:sz w:val="22"/>
                <w:rtl/>
              </w:rPr>
              <w:t xml:space="preserve"> و</w:t>
            </w:r>
            <w:r w:rsidRPr="00096249">
              <w:rPr>
                <w:rFonts w:eastAsiaTheme="minorEastAsia"/>
                <w:sz w:val="22"/>
                <w:rtl/>
              </w:rPr>
              <w:t>40</w:t>
            </w:r>
            <w:r w:rsidRPr="00DB6111">
              <w:rPr>
                <w:rFonts w:eastAsiaTheme="minorEastAsia"/>
                <w:sz w:val="22"/>
                <w:rtl/>
              </w:rPr>
              <w:t xml:space="preserve"> (الأطفال </w:t>
            </w:r>
            <w:proofErr w:type="spellStart"/>
            <w:r w:rsidRPr="00DB6111">
              <w:rPr>
                <w:rFonts w:eastAsiaTheme="minorEastAsia"/>
                <w:sz w:val="22"/>
                <w:rtl/>
              </w:rPr>
              <w:t>المتبنون</w:t>
            </w:r>
            <w:proofErr w:type="spellEnd"/>
            <w:r w:rsidRPr="00DB6111">
              <w:rPr>
                <w:rFonts w:eastAsiaTheme="minorEastAsia"/>
                <w:sz w:val="22"/>
                <w:rtl/>
              </w:rPr>
              <w:t xml:space="preserve"> في سري لانكا)</w:t>
            </w:r>
          </w:p>
        </w:tc>
      </w:tr>
      <w:tr w:rsidR="00DB6111" w:rsidRPr="00DB6111" w14:paraId="49A08A71" w14:textId="77777777" w:rsidTr="00E5600C">
        <w:trPr>
          <w:trHeight w:val="459"/>
        </w:trPr>
        <w:tc>
          <w:tcPr>
            <w:tcW w:w="3402" w:type="dxa"/>
            <w:shd w:val="clear" w:color="auto" w:fill="auto"/>
            <w:tcMar>
              <w:top w:w="80" w:type="dxa"/>
              <w:left w:w="80" w:type="dxa"/>
              <w:bottom w:w="80" w:type="dxa"/>
              <w:right w:w="193" w:type="dxa"/>
            </w:tcMar>
          </w:tcPr>
          <w:p w14:paraId="0C106E50" w14:textId="77777777" w:rsidR="00B74DAB" w:rsidRPr="00CA5614" w:rsidRDefault="00B74DAB" w:rsidP="00F75CF1">
            <w:pPr>
              <w:spacing w:after="120" w:line="360" w:lineRule="exact"/>
              <w:ind w:right="113"/>
              <w:textDirection w:val="tbRlV"/>
              <w:rPr>
                <w:rFonts w:eastAsiaTheme="minorEastAsia"/>
                <w:sz w:val="22"/>
                <w:lang w:eastAsia="zh-TW" w:bidi="en-GB"/>
              </w:rPr>
            </w:pPr>
            <w:r w:rsidRPr="00096249">
              <w:rPr>
                <w:rFonts w:eastAsiaTheme="minorEastAsia"/>
                <w:b/>
                <w:bCs/>
                <w:sz w:val="22"/>
                <w:rtl/>
              </w:rPr>
              <w:t>الرد:</w:t>
            </w:r>
          </w:p>
        </w:tc>
        <w:tc>
          <w:tcPr>
            <w:tcW w:w="3968" w:type="dxa"/>
            <w:shd w:val="clear" w:color="auto" w:fill="auto"/>
            <w:tcMar>
              <w:top w:w="80" w:type="dxa"/>
              <w:left w:w="80" w:type="dxa"/>
              <w:bottom w:w="80" w:type="dxa"/>
              <w:right w:w="193" w:type="dxa"/>
            </w:tcMar>
          </w:tcPr>
          <w:p w14:paraId="6D64A87C" w14:textId="0E58EEE0" w:rsidR="00B74DAB" w:rsidRPr="00DB6111" w:rsidRDefault="0065414C" w:rsidP="00D063AB">
            <w:pPr>
              <w:spacing w:after="120" w:line="360" w:lineRule="exact"/>
              <w:ind w:right="113"/>
              <w:textDirection w:val="tbRlV"/>
              <w:rPr>
                <w:rFonts w:eastAsiaTheme="minorEastAsia"/>
                <w:sz w:val="22"/>
                <w:rtl/>
              </w:rPr>
            </w:pPr>
            <w:hyperlink r:id="rId10" w:history="1">
              <w:r w:rsidR="00B74DAB" w:rsidRPr="006954D6">
                <w:rPr>
                  <w:rStyle w:val="Hyperlink"/>
                  <w:rFonts w:eastAsiaTheme="minorEastAsia" w:cs="Times New Roman"/>
                  <w:sz w:val="22"/>
                  <w:rtl/>
                </w:rPr>
                <w:t>CED/C/CHE/FCO/1</w:t>
              </w:r>
            </w:hyperlink>
            <w:r w:rsidR="00D063AB" w:rsidRPr="006954D6">
              <w:rPr>
                <w:rStyle w:val="Hyperlink"/>
                <w:rFonts w:eastAsiaTheme="minorEastAsia" w:cs="Times New Roman" w:hint="cs"/>
                <w:sz w:val="22"/>
                <w:rtl/>
              </w:rPr>
              <w:t xml:space="preserve">، </w:t>
            </w:r>
            <w:r w:rsidR="00D063AB" w:rsidRPr="006954D6">
              <w:rPr>
                <w:rFonts w:eastAsiaTheme="minorEastAsia" w:hint="cs"/>
                <w:sz w:val="22"/>
                <w:rtl/>
              </w:rPr>
              <w:t>موعد التقديم 7 أيار/مايو 2022، وتم استلامه في 3 أيار/مايو 2022</w:t>
            </w:r>
          </w:p>
        </w:tc>
      </w:tr>
      <w:tr w:rsidR="00DB6111" w:rsidRPr="00DB6111" w14:paraId="2CBE7192" w14:textId="77777777" w:rsidTr="00E5600C">
        <w:trPr>
          <w:trHeight w:val="1119"/>
        </w:trPr>
        <w:tc>
          <w:tcPr>
            <w:tcW w:w="7370" w:type="dxa"/>
            <w:gridSpan w:val="2"/>
            <w:shd w:val="clear" w:color="auto" w:fill="auto"/>
            <w:tcMar>
              <w:top w:w="80" w:type="dxa"/>
              <w:left w:w="80" w:type="dxa"/>
              <w:bottom w:w="80" w:type="dxa"/>
              <w:right w:w="193" w:type="dxa"/>
            </w:tcMar>
          </w:tcPr>
          <w:p w14:paraId="2EEBF262" w14:textId="2F79448F" w:rsidR="00B74DAB" w:rsidRPr="00DB6111" w:rsidRDefault="00B74DAB" w:rsidP="00F75CF1">
            <w:pPr>
              <w:spacing w:after="120" w:line="360" w:lineRule="exact"/>
              <w:ind w:right="113"/>
              <w:textDirection w:val="tbRlV"/>
              <w:rPr>
                <w:rFonts w:eastAsiaTheme="minorEastAsia"/>
                <w:b/>
                <w:bCs/>
                <w:sz w:val="22"/>
                <w:lang w:val="ar-SA" w:eastAsia="zh-TW" w:bidi="en-GB"/>
              </w:rPr>
            </w:pPr>
            <w:r w:rsidRPr="00DB6111">
              <w:rPr>
                <w:rFonts w:eastAsiaTheme="minorEastAsia"/>
                <w:b/>
                <w:bCs/>
                <w:sz w:val="22"/>
                <w:rtl/>
              </w:rPr>
              <w:t xml:space="preserve">الفقرة </w:t>
            </w:r>
            <w:r w:rsidRPr="00096249">
              <w:rPr>
                <w:rFonts w:eastAsiaTheme="minorEastAsia"/>
                <w:b/>
                <w:bCs/>
                <w:sz w:val="22"/>
                <w:rtl/>
              </w:rPr>
              <w:t>1</w:t>
            </w:r>
            <w:r w:rsidR="00DB6111" w:rsidRPr="00096249">
              <w:rPr>
                <w:rFonts w:eastAsiaTheme="minorEastAsia"/>
                <w:b/>
                <w:bCs/>
                <w:sz w:val="22"/>
                <w:rtl/>
              </w:rPr>
              <w:t>4</w:t>
            </w:r>
            <w:r w:rsidR="00DB6111" w:rsidRPr="00DB6111">
              <w:rPr>
                <w:rFonts w:eastAsiaTheme="minorEastAsia"/>
                <w:b/>
                <w:bCs/>
                <w:sz w:val="22"/>
                <w:rtl/>
              </w:rPr>
              <w:t xml:space="preserve">: </w:t>
            </w:r>
            <w:r w:rsidRPr="00DB6111">
              <w:rPr>
                <w:rFonts w:eastAsiaTheme="minorEastAsia"/>
                <w:b/>
                <w:bCs/>
                <w:sz w:val="22"/>
                <w:rtl/>
              </w:rPr>
              <w:t xml:space="preserve">تدعو اللجنة الدولة الطرف إلى إعادة النظر في تعريف الاختفاء القسري الوارد في </w:t>
            </w:r>
            <w:r w:rsidRPr="00DB6111">
              <w:rPr>
                <w:rFonts w:eastAsiaTheme="minorEastAsia"/>
                <w:b/>
                <w:bCs/>
                <w:spacing w:val="-4"/>
                <w:sz w:val="22"/>
                <w:rtl/>
              </w:rPr>
              <w:t>المادة</w:t>
            </w:r>
            <w:r w:rsidR="00F75CF1" w:rsidRPr="00DB6111">
              <w:rPr>
                <w:rFonts w:eastAsiaTheme="minorEastAsia" w:hint="cs"/>
                <w:b/>
                <w:bCs/>
                <w:spacing w:val="-4"/>
                <w:sz w:val="22"/>
                <w:rtl/>
              </w:rPr>
              <w:t> </w:t>
            </w:r>
            <w:r w:rsidRPr="00096249">
              <w:rPr>
                <w:rFonts w:eastAsiaTheme="minorEastAsia"/>
                <w:b/>
                <w:bCs/>
                <w:spacing w:val="-4"/>
                <w:sz w:val="22"/>
                <w:rtl/>
              </w:rPr>
              <w:t>185</w:t>
            </w:r>
            <w:r w:rsidRPr="00DB6111">
              <w:rPr>
                <w:rFonts w:eastAsiaTheme="minorEastAsia"/>
                <w:b/>
                <w:bCs/>
                <w:spacing w:val="-4"/>
                <w:sz w:val="22"/>
                <w:rtl/>
              </w:rPr>
              <w:t xml:space="preserve"> مكرراً من قانون العقوبات لضمان تماشيه بالكامل مع التعريف الوارد في المادة </w:t>
            </w:r>
            <w:r w:rsidRPr="00096249">
              <w:rPr>
                <w:rFonts w:eastAsiaTheme="minorEastAsia"/>
                <w:b/>
                <w:bCs/>
                <w:spacing w:val="-4"/>
                <w:sz w:val="22"/>
                <w:rtl/>
              </w:rPr>
              <w:t>2</w:t>
            </w:r>
            <w:r w:rsidRPr="00DB6111">
              <w:rPr>
                <w:rFonts w:eastAsiaTheme="minorEastAsia"/>
                <w:b/>
                <w:bCs/>
                <w:spacing w:val="-4"/>
                <w:sz w:val="22"/>
                <w:rtl/>
              </w:rPr>
              <w:t xml:space="preserve"> من الاتفاقية، وإزالة مواطن الغموض الكامنة في العناصر المكونة للتعريف وتوضيح المعنى المقصود للجميع.</w:t>
            </w:r>
          </w:p>
        </w:tc>
      </w:tr>
      <w:tr w:rsidR="00DB6111" w:rsidRPr="00DB6111" w14:paraId="24064655" w14:textId="77777777" w:rsidTr="00E5600C">
        <w:trPr>
          <w:trHeight w:val="239"/>
        </w:trPr>
        <w:tc>
          <w:tcPr>
            <w:tcW w:w="7370" w:type="dxa"/>
            <w:gridSpan w:val="2"/>
            <w:tcBorders>
              <w:bottom w:val="nil"/>
            </w:tcBorders>
            <w:shd w:val="clear" w:color="auto" w:fill="auto"/>
            <w:tcMar>
              <w:top w:w="80" w:type="dxa"/>
              <w:left w:w="80" w:type="dxa"/>
              <w:bottom w:w="80" w:type="dxa"/>
              <w:right w:w="193" w:type="dxa"/>
            </w:tcMar>
          </w:tcPr>
          <w:p w14:paraId="2117AAF5" w14:textId="77777777"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رد الدولة الطرف</w:t>
            </w:r>
          </w:p>
        </w:tc>
      </w:tr>
      <w:tr w:rsidR="00DB6111" w:rsidRPr="00DB6111" w14:paraId="612DFCBA" w14:textId="77777777" w:rsidTr="00E5600C">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1FC4EFBE" w14:textId="0C0CB248" w:rsidR="00B74DAB" w:rsidRPr="00DB6111" w:rsidRDefault="00B74DAB" w:rsidP="00DB611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يرد رد الدولة الطرف في الفقرتين </w:t>
            </w:r>
            <w:r w:rsidRPr="00096249">
              <w:rPr>
                <w:rFonts w:eastAsiaTheme="minorEastAsia"/>
                <w:sz w:val="22"/>
                <w:rtl/>
              </w:rPr>
              <w:t>1</w:t>
            </w:r>
            <w:r w:rsidRPr="00DB6111">
              <w:rPr>
                <w:rFonts w:eastAsiaTheme="minorEastAsia"/>
                <w:sz w:val="22"/>
                <w:rtl/>
              </w:rPr>
              <w:t xml:space="preserve"> و</w:t>
            </w:r>
            <w:r w:rsidRPr="00096249">
              <w:rPr>
                <w:rFonts w:eastAsiaTheme="minorEastAsia"/>
                <w:sz w:val="22"/>
                <w:rtl/>
              </w:rPr>
              <w:t>2</w:t>
            </w:r>
            <w:r w:rsidRPr="00DB6111">
              <w:rPr>
                <w:rFonts w:eastAsiaTheme="minorEastAsia"/>
                <w:sz w:val="22"/>
                <w:rtl/>
              </w:rPr>
              <w:t xml:space="preserve"> من الوثيقة</w:t>
            </w:r>
            <w:r w:rsidR="00DB6111" w:rsidRPr="00DB6111">
              <w:rPr>
                <w:rFonts w:eastAsiaTheme="minorEastAsia" w:hint="cs"/>
                <w:sz w:val="22"/>
                <w:rtl/>
              </w:rPr>
              <w:t xml:space="preserve"> </w:t>
            </w:r>
            <w:hyperlink r:id="rId11" w:history="1">
              <w:r w:rsidR="00FF0FAE" w:rsidRPr="00DB6111">
                <w:rPr>
                  <w:rStyle w:val="Hyperlink"/>
                  <w:rFonts w:eastAsiaTheme="minorEastAsia" w:cs="Times New Roman"/>
                  <w:sz w:val="22"/>
                  <w:rtl/>
                </w:rPr>
                <w:t>CED/C/CHE/FCO/1</w:t>
              </w:r>
              <w:r w:rsidRPr="00DB6111">
                <w:rPr>
                  <w:rStyle w:val="Hyperlink"/>
                  <w:rFonts w:eastAsiaTheme="minorEastAsia"/>
                  <w:sz w:val="22"/>
                  <w:rtl/>
                </w:rPr>
                <w:t>.</w:t>
              </w:r>
            </w:hyperlink>
          </w:p>
        </w:tc>
      </w:tr>
      <w:tr w:rsidR="00DB6111" w:rsidRPr="00DB6111" w14:paraId="48E65A6B" w14:textId="77777777" w:rsidTr="00E5600C">
        <w:trPr>
          <w:trHeight w:val="239"/>
        </w:trPr>
        <w:tc>
          <w:tcPr>
            <w:tcW w:w="7370" w:type="dxa"/>
            <w:gridSpan w:val="2"/>
            <w:tcBorders>
              <w:top w:val="nil"/>
            </w:tcBorders>
            <w:shd w:val="clear" w:color="auto" w:fill="auto"/>
            <w:tcMar>
              <w:top w:w="80" w:type="dxa"/>
              <w:left w:w="80" w:type="dxa"/>
              <w:bottom w:w="80" w:type="dxa"/>
              <w:right w:w="193" w:type="dxa"/>
            </w:tcMar>
          </w:tcPr>
          <w:p w14:paraId="3C4547F5" w14:textId="77777777" w:rsidR="00B74DAB" w:rsidRPr="00DB6111" w:rsidRDefault="00B74DAB" w:rsidP="00F75CF1">
            <w:pPr>
              <w:keepNext/>
              <w:spacing w:after="120" w:line="360" w:lineRule="exact"/>
              <w:ind w:right="113"/>
              <w:textDirection w:val="tbRlV"/>
              <w:rPr>
                <w:rFonts w:eastAsiaTheme="minorEastAsia"/>
                <w:sz w:val="22"/>
                <w:lang w:val="ar-SA" w:eastAsia="zh-TW" w:bidi="en-GB"/>
              </w:rPr>
            </w:pPr>
            <w:r w:rsidRPr="00096249">
              <w:rPr>
                <w:rFonts w:eastAsiaTheme="minorEastAsia"/>
                <w:b/>
                <w:bCs/>
                <w:sz w:val="22"/>
                <w:rtl/>
              </w:rPr>
              <w:lastRenderedPageBreak/>
              <w:t>تقييم اللجنة:</w:t>
            </w:r>
          </w:p>
        </w:tc>
      </w:tr>
      <w:tr w:rsidR="00DB6111" w:rsidRPr="00DB6111" w14:paraId="336F458C" w14:textId="77777777" w:rsidTr="00E5600C">
        <w:trPr>
          <w:trHeight w:val="1306"/>
        </w:trPr>
        <w:tc>
          <w:tcPr>
            <w:tcW w:w="7370" w:type="dxa"/>
            <w:gridSpan w:val="2"/>
            <w:shd w:val="clear" w:color="auto" w:fill="auto"/>
            <w:tcMar>
              <w:top w:w="80" w:type="dxa"/>
              <w:left w:w="80" w:type="dxa"/>
              <w:bottom w:w="80" w:type="dxa"/>
              <w:right w:w="193" w:type="dxa"/>
            </w:tcMar>
          </w:tcPr>
          <w:p w14:paraId="4827A199" w14:textId="3158F76D"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b/>
                <w:bCs/>
                <w:sz w:val="22"/>
                <w:rtl/>
              </w:rPr>
              <w:t>[جيم</w:t>
            </w:r>
            <w:r w:rsidR="00DB6111" w:rsidRPr="00DB6111">
              <w:rPr>
                <w:rFonts w:eastAsiaTheme="minorEastAsia"/>
                <w:b/>
                <w:bCs/>
                <w:sz w:val="22"/>
                <w:rtl/>
              </w:rPr>
              <w:t>]:</w:t>
            </w:r>
            <w:r w:rsidR="00DB6111" w:rsidRPr="00DB6111">
              <w:rPr>
                <w:rFonts w:eastAsiaTheme="minorEastAsia"/>
                <w:sz w:val="22"/>
                <w:rtl/>
              </w:rPr>
              <w:t xml:space="preserve"> </w:t>
            </w:r>
            <w:r w:rsidRPr="00DB6111">
              <w:rPr>
                <w:rFonts w:eastAsiaTheme="minorEastAsia"/>
                <w:sz w:val="22"/>
                <w:rtl/>
              </w:rPr>
              <w:t xml:space="preserve">تلاحظ اللجنة مع الأسف أن الدولة الطرف لا ترى ضرورة لاتخاذ التدابير التشريعية الموصى بها لإعادة النظر في تعريف الاختفاء القسري الوارد في المادة </w:t>
            </w:r>
            <w:r w:rsidRPr="00096249">
              <w:rPr>
                <w:rFonts w:eastAsiaTheme="minorEastAsia"/>
                <w:sz w:val="22"/>
                <w:rtl/>
              </w:rPr>
              <w:t>185</w:t>
            </w:r>
            <w:r w:rsidRPr="00DB6111">
              <w:rPr>
                <w:rFonts w:eastAsiaTheme="minorEastAsia"/>
                <w:sz w:val="22"/>
                <w:rtl/>
              </w:rPr>
              <w:t xml:space="preserve"> مكرر</w:t>
            </w:r>
            <w:r w:rsidR="00D70BF7" w:rsidRPr="00DB6111">
              <w:rPr>
                <w:rFonts w:eastAsiaTheme="minorEastAsia"/>
                <w:sz w:val="22"/>
                <w:rtl/>
              </w:rPr>
              <w:t xml:space="preserve">اً </w:t>
            </w:r>
            <w:r w:rsidRPr="00DB6111">
              <w:rPr>
                <w:rFonts w:eastAsiaTheme="minorEastAsia"/>
                <w:sz w:val="22"/>
                <w:rtl/>
              </w:rPr>
              <w:t>تمشي</w:t>
            </w:r>
            <w:r w:rsidR="00D70BF7" w:rsidRPr="00DB6111">
              <w:rPr>
                <w:rFonts w:eastAsiaTheme="minorEastAsia"/>
                <w:sz w:val="22"/>
                <w:rtl/>
              </w:rPr>
              <w:t xml:space="preserve">اً </w:t>
            </w:r>
            <w:r w:rsidRPr="00DB6111">
              <w:rPr>
                <w:rFonts w:eastAsiaTheme="minorEastAsia"/>
                <w:sz w:val="22"/>
                <w:rtl/>
              </w:rPr>
              <w:t xml:space="preserve">مع المادة </w:t>
            </w:r>
            <w:r w:rsidRPr="00096249">
              <w:rPr>
                <w:rFonts w:eastAsiaTheme="minorEastAsia"/>
                <w:sz w:val="22"/>
                <w:rtl/>
              </w:rPr>
              <w:t>2</w:t>
            </w:r>
            <w:r w:rsidRPr="00DB6111">
              <w:rPr>
                <w:rFonts w:eastAsiaTheme="minorEastAsia"/>
                <w:sz w:val="22"/>
                <w:rtl/>
              </w:rPr>
              <w:t xml:space="preserve"> من الاتفاقية. ولهذا السبب، تكرر اللجنة توصيتها الواردة في الفقرة </w:t>
            </w:r>
            <w:r w:rsidRPr="00096249">
              <w:rPr>
                <w:rFonts w:eastAsiaTheme="minorEastAsia"/>
                <w:sz w:val="22"/>
                <w:rtl/>
              </w:rPr>
              <w:t>14</w:t>
            </w:r>
            <w:r w:rsidRPr="00DB6111">
              <w:rPr>
                <w:rFonts w:eastAsiaTheme="minorEastAsia"/>
                <w:sz w:val="22"/>
                <w:rtl/>
              </w:rPr>
              <w:t xml:space="preserve"> من ملاحظاتها الختامية، وتطلب إلى الدولة الطرف موافاتها بمعلومات مستكملة عن تنفيذها عند تقديم تقريرها المقبل بموجب المادة</w:t>
            </w:r>
            <w:r w:rsidR="00D063AB">
              <w:rPr>
                <w:rFonts w:eastAsiaTheme="minorEastAsia" w:hint="cs"/>
                <w:sz w:val="22"/>
                <w:rtl/>
              </w:rPr>
              <w:t> </w:t>
            </w:r>
            <w:r w:rsidRPr="00096249">
              <w:rPr>
                <w:rFonts w:eastAsiaTheme="minorEastAsia"/>
                <w:sz w:val="22"/>
                <w:rtl/>
              </w:rPr>
              <w:t>29</w:t>
            </w:r>
            <w:r w:rsidRPr="00DB6111">
              <w:rPr>
                <w:rFonts w:eastAsiaTheme="minorEastAsia"/>
                <w:sz w:val="22"/>
                <w:rtl/>
              </w:rPr>
              <w:t>(</w:t>
            </w:r>
            <w:r w:rsidR="00DB6111" w:rsidRPr="00096249">
              <w:rPr>
                <w:rFonts w:eastAsiaTheme="minorEastAsia"/>
                <w:sz w:val="22"/>
                <w:rtl/>
              </w:rPr>
              <w:t>4</w:t>
            </w:r>
            <w:r w:rsidR="00DB6111" w:rsidRPr="00DB6111">
              <w:rPr>
                <w:rFonts w:eastAsiaTheme="minorEastAsia"/>
                <w:sz w:val="22"/>
                <w:rtl/>
              </w:rPr>
              <w:t xml:space="preserve">) </w:t>
            </w:r>
            <w:r w:rsidRPr="00DB6111">
              <w:rPr>
                <w:rFonts w:eastAsiaTheme="minorEastAsia"/>
                <w:sz w:val="22"/>
                <w:rtl/>
              </w:rPr>
              <w:t>من الاتفاقية.</w:t>
            </w:r>
          </w:p>
        </w:tc>
      </w:tr>
      <w:tr w:rsidR="00DB6111" w:rsidRPr="00DB6111" w14:paraId="7C693607" w14:textId="77777777" w:rsidTr="00E5600C">
        <w:trPr>
          <w:trHeight w:val="1119"/>
        </w:trPr>
        <w:tc>
          <w:tcPr>
            <w:tcW w:w="7370" w:type="dxa"/>
            <w:gridSpan w:val="2"/>
            <w:shd w:val="clear" w:color="auto" w:fill="auto"/>
            <w:tcMar>
              <w:top w:w="80" w:type="dxa"/>
              <w:left w:w="80" w:type="dxa"/>
              <w:bottom w:w="80" w:type="dxa"/>
              <w:right w:w="193" w:type="dxa"/>
            </w:tcMar>
          </w:tcPr>
          <w:p w14:paraId="4ECBD2F7" w14:textId="7CFB3DFB"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الفقرة 3</w:t>
            </w:r>
            <w:r w:rsidR="00DB6111" w:rsidRPr="00096249">
              <w:rPr>
                <w:rFonts w:eastAsiaTheme="minorEastAsia"/>
                <w:b/>
                <w:bCs/>
                <w:sz w:val="22"/>
                <w:rtl/>
              </w:rPr>
              <w:t xml:space="preserve">0: </w:t>
            </w:r>
            <w:r w:rsidRPr="00096249">
              <w:rPr>
                <w:rFonts w:eastAsiaTheme="minorEastAsia"/>
                <w:b/>
                <w:bCs/>
                <w:sz w:val="22"/>
                <w:rtl/>
              </w:rPr>
              <w:t>توصي اللجنة الدولة الطرف بأن تضمن للأشخاص المشار إليهم في الفقرة 1 من المادة</w:t>
            </w:r>
            <w:r w:rsidR="00F75CF1" w:rsidRPr="00096249">
              <w:rPr>
                <w:rFonts w:eastAsiaTheme="minorEastAsia" w:hint="cs"/>
                <w:b/>
                <w:bCs/>
                <w:sz w:val="22"/>
                <w:rtl/>
              </w:rPr>
              <w:t> </w:t>
            </w:r>
            <w:r w:rsidRPr="00096249">
              <w:rPr>
                <w:rFonts w:eastAsiaTheme="minorEastAsia"/>
                <w:b/>
                <w:bCs/>
                <w:sz w:val="22"/>
                <w:rtl/>
              </w:rPr>
              <w:t>18 من الاتفاقية إمكانية الطعن القضائي السريع والفعلي للحصول في أقرب وقت على المعلومات المذكورة في تلك الفقرة. وتوصي الدولة الطرف أيضاً بمنع رفض تقديم هذه المعلومات أو</w:t>
            </w:r>
            <w:r w:rsidR="00D063AB" w:rsidRPr="00096249">
              <w:rPr>
                <w:rFonts w:eastAsiaTheme="minorEastAsia" w:hint="cs"/>
                <w:b/>
                <w:bCs/>
                <w:sz w:val="22"/>
                <w:rtl/>
              </w:rPr>
              <w:t> </w:t>
            </w:r>
            <w:r w:rsidRPr="00096249">
              <w:rPr>
                <w:rFonts w:eastAsiaTheme="minorEastAsia"/>
                <w:b/>
                <w:bCs/>
                <w:sz w:val="22"/>
                <w:rtl/>
              </w:rPr>
              <w:t>تقديم معلومات غير صحيحة والمعاقبة على هذه التصرفات.</w:t>
            </w:r>
          </w:p>
        </w:tc>
      </w:tr>
      <w:tr w:rsidR="00DB6111" w:rsidRPr="00DB6111" w14:paraId="299F3D7B" w14:textId="77777777" w:rsidTr="00E5600C">
        <w:trPr>
          <w:trHeight w:val="239"/>
        </w:trPr>
        <w:tc>
          <w:tcPr>
            <w:tcW w:w="7370" w:type="dxa"/>
            <w:gridSpan w:val="2"/>
            <w:shd w:val="clear" w:color="auto" w:fill="auto"/>
            <w:tcMar>
              <w:top w:w="80" w:type="dxa"/>
              <w:left w:w="80" w:type="dxa"/>
              <w:bottom w:w="80" w:type="dxa"/>
              <w:right w:w="193" w:type="dxa"/>
            </w:tcMar>
          </w:tcPr>
          <w:p w14:paraId="6B4AA4C0"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رد الدولة الطرف</w:t>
            </w:r>
          </w:p>
        </w:tc>
      </w:tr>
      <w:tr w:rsidR="00DB6111" w:rsidRPr="00DB6111" w14:paraId="59E502DF" w14:textId="77777777" w:rsidTr="00E5600C">
        <w:trPr>
          <w:trHeight w:val="239"/>
        </w:trPr>
        <w:tc>
          <w:tcPr>
            <w:tcW w:w="7370" w:type="dxa"/>
            <w:gridSpan w:val="2"/>
            <w:shd w:val="clear" w:color="auto" w:fill="auto"/>
            <w:tcMar>
              <w:top w:w="80" w:type="dxa"/>
              <w:left w:w="80" w:type="dxa"/>
              <w:bottom w:w="80" w:type="dxa"/>
              <w:right w:w="193" w:type="dxa"/>
            </w:tcMar>
          </w:tcPr>
          <w:p w14:paraId="5D066888" w14:textId="6494E93B" w:rsidR="00B74DAB" w:rsidRPr="00DB6111" w:rsidRDefault="00B74DAB" w:rsidP="00DB611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يرد رد الدولة الطرف في الفقرات من </w:t>
            </w:r>
            <w:r w:rsidRPr="00096249">
              <w:rPr>
                <w:rFonts w:eastAsiaTheme="minorEastAsia"/>
                <w:sz w:val="22"/>
                <w:rtl/>
              </w:rPr>
              <w:t>3</w:t>
            </w:r>
            <w:r w:rsidRPr="00DB6111">
              <w:rPr>
                <w:rFonts w:eastAsiaTheme="minorEastAsia"/>
                <w:sz w:val="22"/>
                <w:rtl/>
              </w:rPr>
              <w:t xml:space="preserve"> إلى </w:t>
            </w:r>
            <w:r w:rsidRPr="00096249">
              <w:rPr>
                <w:rFonts w:eastAsiaTheme="minorEastAsia"/>
                <w:sz w:val="22"/>
                <w:rtl/>
              </w:rPr>
              <w:t>6</w:t>
            </w:r>
            <w:r w:rsidRPr="00DB6111">
              <w:rPr>
                <w:rFonts w:eastAsiaTheme="minorEastAsia"/>
                <w:sz w:val="22"/>
                <w:rtl/>
              </w:rPr>
              <w:t xml:space="preserve"> من الوثيقة</w:t>
            </w:r>
            <w:r w:rsidR="00FF0FAE" w:rsidRPr="00DB6111">
              <w:rPr>
                <w:rFonts w:eastAsiaTheme="minorEastAsia" w:hint="cs"/>
                <w:sz w:val="22"/>
                <w:rtl/>
              </w:rPr>
              <w:t xml:space="preserve"> </w:t>
            </w:r>
            <w:hyperlink r:id="rId12" w:history="1">
              <w:r w:rsidR="00FF0FAE" w:rsidRPr="00DB6111">
                <w:rPr>
                  <w:rStyle w:val="Hyperlink"/>
                  <w:rFonts w:eastAsiaTheme="minorEastAsia" w:cs="Times New Roman"/>
                  <w:sz w:val="22"/>
                  <w:rtl/>
                </w:rPr>
                <w:t>CED/C/CHE/FCO/1</w:t>
              </w:r>
              <w:r w:rsidRPr="00DB6111">
                <w:rPr>
                  <w:rStyle w:val="Hyperlink"/>
                  <w:rFonts w:eastAsiaTheme="minorEastAsia"/>
                  <w:sz w:val="22"/>
                  <w:rtl/>
                </w:rPr>
                <w:t>.</w:t>
              </w:r>
            </w:hyperlink>
          </w:p>
        </w:tc>
      </w:tr>
      <w:tr w:rsidR="00DB6111" w:rsidRPr="00DB6111" w14:paraId="7DAA8AE2" w14:textId="77777777" w:rsidTr="00E5600C">
        <w:trPr>
          <w:trHeight w:val="239"/>
        </w:trPr>
        <w:tc>
          <w:tcPr>
            <w:tcW w:w="7370" w:type="dxa"/>
            <w:gridSpan w:val="2"/>
            <w:shd w:val="clear" w:color="auto" w:fill="auto"/>
            <w:tcMar>
              <w:top w:w="80" w:type="dxa"/>
              <w:left w:w="80" w:type="dxa"/>
              <w:bottom w:w="80" w:type="dxa"/>
              <w:right w:w="193" w:type="dxa"/>
            </w:tcMar>
          </w:tcPr>
          <w:p w14:paraId="41ABFA35"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تقييم اللجنة:</w:t>
            </w:r>
          </w:p>
        </w:tc>
      </w:tr>
      <w:tr w:rsidR="00DB6111" w:rsidRPr="00DB6111" w14:paraId="706D32AA" w14:textId="77777777" w:rsidTr="00E5600C">
        <w:tc>
          <w:tcPr>
            <w:tcW w:w="7370" w:type="dxa"/>
            <w:gridSpan w:val="2"/>
            <w:tcBorders>
              <w:bottom w:val="nil"/>
            </w:tcBorders>
            <w:shd w:val="clear" w:color="auto" w:fill="auto"/>
            <w:tcMar>
              <w:top w:w="80" w:type="dxa"/>
              <w:left w:w="80" w:type="dxa"/>
              <w:bottom w:w="80" w:type="dxa"/>
              <w:right w:w="193" w:type="dxa"/>
            </w:tcMar>
          </w:tcPr>
          <w:p w14:paraId="129EF2D2" w14:textId="1F9FDB25"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b/>
                <w:bCs/>
                <w:sz w:val="22"/>
                <w:rtl/>
              </w:rPr>
              <w:t>[جيم</w:t>
            </w:r>
            <w:r w:rsidR="00DB6111" w:rsidRPr="00DB6111">
              <w:rPr>
                <w:rFonts w:eastAsiaTheme="minorEastAsia"/>
                <w:b/>
                <w:bCs/>
                <w:sz w:val="22"/>
                <w:rtl/>
              </w:rPr>
              <w:t>]:</w:t>
            </w:r>
            <w:r w:rsidR="00DB6111" w:rsidRPr="00DB6111">
              <w:rPr>
                <w:rFonts w:eastAsiaTheme="minorEastAsia"/>
                <w:sz w:val="22"/>
                <w:rtl/>
              </w:rPr>
              <w:t xml:space="preserve"> </w:t>
            </w:r>
            <w:r w:rsidRPr="00DB6111">
              <w:rPr>
                <w:rFonts w:eastAsiaTheme="minorEastAsia"/>
                <w:sz w:val="22"/>
                <w:rtl/>
              </w:rPr>
              <w:t>تحيط اللجنة علم</w:t>
            </w:r>
            <w:r w:rsidR="00D70BF7" w:rsidRPr="00DB6111">
              <w:rPr>
                <w:rFonts w:eastAsiaTheme="minorEastAsia"/>
                <w:sz w:val="22"/>
                <w:rtl/>
              </w:rPr>
              <w:t xml:space="preserve">اً </w:t>
            </w:r>
            <w:r w:rsidRPr="00DB6111">
              <w:rPr>
                <w:rFonts w:eastAsiaTheme="minorEastAsia"/>
                <w:sz w:val="22"/>
                <w:rtl/>
              </w:rPr>
              <w:t xml:space="preserve">بالمعلومات الواردة في الفقرات </w:t>
            </w:r>
            <w:r w:rsidRPr="00096249">
              <w:rPr>
                <w:rFonts w:eastAsiaTheme="minorEastAsia"/>
                <w:sz w:val="22"/>
                <w:rtl/>
              </w:rPr>
              <w:t>3</w:t>
            </w:r>
            <w:r w:rsidRPr="00DB6111">
              <w:rPr>
                <w:rFonts w:eastAsiaTheme="minorEastAsia"/>
                <w:sz w:val="22"/>
                <w:rtl/>
              </w:rPr>
              <w:t xml:space="preserve"> و</w:t>
            </w:r>
            <w:r w:rsidRPr="00096249">
              <w:rPr>
                <w:rFonts w:eastAsiaTheme="minorEastAsia"/>
                <w:sz w:val="22"/>
                <w:rtl/>
              </w:rPr>
              <w:t>4</w:t>
            </w:r>
            <w:r w:rsidRPr="00DB6111">
              <w:rPr>
                <w:rFonts w:eastAsiaTheme="minorEastAsia"/>
                <w:sz w:val="22"/>
                <w:rtl/>
              </w:rPr>
              <w:t xml:space="preserve"> و</w:t>
            </w:r>
            <w:r w:rsidRPr="00096249">
              <w:rPr>
                <w:rFonts w:eastAsiaTheme="minorEastAsia"/>
                <w:sz w:val="22"/>
                <w:rtl/>
              </w:rPr>
              <w:t>5</w:t>
            </w:r>
            <w:r w:rsidRPr="00DB6111">
              <w:rPr>
                <w:rFonts w:eastAsiaTheme="minorEastAsia"/>
                <w:sz w:val="22"/>
                <w:rtl/>
              </w:rPr>
              <w:t xml:space="preserve"> من تقرير المتابعة المقدم من الدولة الطرف، إلا أنها تلاحظ أنه لم تدرج أي معلومات عن التدابير المتخذة لإتاحة إمكانية حصول أي شخص له مصلحة مشروعة على المعلومات الواردة في المادة </w:t>
            </w:r>
            <w:r w:rsidRPr="00096249">
              <w:rPr>
                <w:rFonts w:eastAsiaTheme="minorEastAsia"/>
                <w:sz w:val="22"/>
                <w:rtl/>
              </w:rPr>
              <w:t>18</w:t>
            </w:r>
            <w:r w:rsidRPr="00DB6111">
              <w:rPr>
                <w:rFonts w:eastAsiaTheme="minorEastAsia"/>
                <w:sz w:val="22"/>
                <w:rtl/>
              </w:rPr>
              <w:t>(</w:t>
            </w:r>
            <w:r w:rsidR="00DB6111" w:rsidRPr="00096249">
              <w:rPr>
                <w:rFonts w:eastAsiaTheme="minorEastAsia"/>
                <w:sz w:val="22"/>
                <w:rtl/>
              </w:rPr>
              <w:t>1</w:t>
            </w:r>
            <w:r w:rsidR="00DB6111" w:rsidRPr="00DB6111">
              <w:rPr>
                <w:rFonts w:eastAsiaTheme="minorEastAsia"/>
                <w:sz w:val="22"/>
                <w:rtl/>
              </w:rPr>
              <w:t xml:space="preserve">) </w:t>
            </w:r>
            <w:r w:rsidRPr="00DB6111">
              <w:rPr>
                <w:rFonts w:eastAsiaTheme="minorEastAsia"/>
                <w:sz w:val="22"/>
                <w:rtl/>
              </w:rPr>
              <w:t>من الاتفاقية على الأقل، بما في ذلك أثناء فترة الحجز. وتلاحظ اللجنة أيض</w:t>
            </w:r>
            <w:r w:rsidR="00D70BF7" w:rsidRPr="00DB6111">
              <w:rPr>
                <w:rFonts w:eastAsiaTheme="minorEastAsia"/>
                <w:sz w:val="22"/>
                <w:rtl/>
              </w:rPr>
              <w:t xml:space="preserve">اً </w:t>
            </w:r>
            <w:r w:rsidRPr="00DB6111">
              <w:rPr>
                <w:rFonts w:eastAsiaTheme="minorEastAsia"/>
                <w:sz w:val="22"/>
                <w:rtl/>
              </w:rPr>
              <w:t>أن الدولة الطرف لا تبين التدابير المتخذة من أجل منع رفض تقديم هذه المعلومات</w:t>
            </w:r>
            <w:r w:rsidR="00F75CF1" w:rsidRPr="00DB6111">
              <w:rPr>
                <w:rFonts w:eastAsiaTheme="minorEastAsia"/>
                <w:sz w:val="22"/>
                <w:rtl/>
              </w:rPr>
              <w:t xml:space="preserve">، </w:t>
            </w:r>
            <w:r w:rsidRPr="00DB6111">
              <w:rPr>
                <w:rFonts w:eastAsiaTheme="minorEastAsia"/>
                <w:sz w:val="22"/>
                <w:rtl/>
              </w:rPr>
              <w:t xml:space="preserve">وتقديم معلومات غير دقيقة، والمعاقبة عليهما. ولذلك، تكرر اللجنة توصيتها وتطلب إلى الدولة الطرف أن تقدم في تقريرها المقبل المقدم بموجب المادة </w:t>
            </w:r>
            <w:r w:rsidRPr="00096249">
              <w:rPr>
                <w:rFonts w:eastAsiaTheme="minorEastAsia"/>
                <w:sz w:val="22"/>
                <w:rtl/>
              </w:rPr>
              <w:t>29</w:t>
            </w:r>
            <w:r w:rsidRPr="00DB6111">
              <w:rPr>
                <w:rFonts w:eastAsiaTheme="minorEastAsia"/>
                <w:sz w:val="22"/>
                <w:rtl/>
              </w:rPr>
              <w:t>(</w:t>
            </w:r>
            <w:r w:rsidR="00DB6111" w:rsidRPr="00096249">
              <w:rPr>
                <w:rFonts w:eastAsiaTheme="minorEastAsia"/>
                <w:sz w:val="22"/>
                <w:rtl/>
              </w:rPr>
              <w:t>4</w:t>
            </w:r>
            <w:r w:rsidR="00DB6111" w:rsidRPr="00DB6111">
              <w:rPr>
                <w:rFonts w:eastAsiaTheme="minorEastAsia"/>
                <w:sz w:val="22"/>
                <w:rtl/>
              </w:rPr>
              <w:t xml:space="preserve">) </w:t>
            </w:r>
            <w:r w:rsidRPr="00DB6111">
              <w:rPr>
                <w:rFonts w:eastAsiaTheme="minorEastAsia"/>
                <w:sz w:val="22"/>
                <w:rtl/>
              </w:rPr>
              <w:t>من الاتفاقية معلومات مستكملة في هذا الصدد، امتثال</w:t>
            </w:r>
            <w:r w:rsidR="00D70BF7" w:rsidRPr="00DB6111">
              <w:rPr>
                <w:rFonts w:eastAsiaTheme="minorEastAsia"/>
                <w:sz w:val="22"/>
                <w:rtl/>
              </w:rPr>
              <w:t xml:space="preserve">اً </w:t>
            </w:r>
            <w:r w:rsidRPr="00DB6111">
              <w:rPr>
                <w:rFonts w:eastAsiaTheme="minorEastAsia"/>
                <w:sz w:val="22"/>
                <w:rtl/>
              </w:rPr>
              <w:t xml:space="preserve">للفقرة </w:t>
            </w:r>
            <w:r w:rsidRPr="00096249">
              <w:rPr>
                <w:rFonts w:eastAsiaTheme="minorEastAsia"/>
                <w:sz w:val="22"/>
                <w:rtl/>
              </w:rPr>
              <w:t>30</w:t>
            </w:r>
            <w:r w:rsidRPr="00DB6111">
              <w:rPr>
                <w:rFonts w:eastAsiaTheme="minorEastAsia"/>
                <w:sz w:val="22"/>
                <w:rtl/>
              </w:rPr>
              <w:t xml:space="preserve"> من ملاحظاتها الختامية</w:t>
            </w:r>
            <w:r w:rsidR="00DB6111" w:rsidRPr="00096249">
              <w:rPr>
                <w:rStyle w:val="FootnoteReference"/>
                <w:rFonts w:eastAsiaTheme="minorEastAsia"/>
                <w:sz w:val="22"/>
                <w:rtl/>
              </w:rPr>
              <w:t>(</w:t>
            </w:r>
            <w:r w:rsidR="00DB6111" w:rsidRPr="00096249">
              <w:rPr>
                <w:rStyle w:val="FootnoteReference"/>
                <w:rFonts w:eastAsiaTheme="minorEastAsia"/>
                <w:sz w:val="22"/>
              </w:rPr>
              <w:footnoteReference w:id="4"/>
            </w:r>
            <w:r w:rsidRPr="00096249">
              <w:rPr>
                <w:rStyle w:val="FootnoteReference"/>
                <w:rFonts w:eastAsiaTheme="minorEastAsia"/>
                <w:sz w:val="22"/>
                <w:rtl/>
              </w:rPr>
              <w:t>)</w:t>
            </w:r>
            <w:r w:rsidR="00D063AB">
              <w:rPr>
                <w:rFonts w:eastAsiaTheme="minorEastAsia" w:hint="cs"/>
                <w:sz w:val="22"/>
                <w:rtl/>
              </w:rPr>
              <w:t>،</w:t>
            </w:r>
            <w:r w:rsidRPr="00DB6111">
              <w:rPr>
                <w:rFonts w:eastAsiaTheme="minorEastAsia"/>
                <w:sz w:val="22"/>
                <w:rtl/>
              </w:rPr>
              <w:t> تحدد ما يلي:</w:t>
            </w:r>
          </w:p>
          <w:p w14:paraId="76D6195C" w14:textId="5144DE36" w:rsidR="00B74DAB" w:rsidRPr="00DB6111" w:rsidRDefault="00F75CF1"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ab/>
            </w:r>
            <w:r w:rsidR="00B74DAB" w:rsidRPr="00096249">
              <w:rPr>
                <w:rFonts w:eastAsiaTheme="minorEastAsia"/>
                <w:b/>
                <w:bCs/>
                <w:sz w:val="22"/>
                <w:rtl/>
              </w:rPr>
              <w:t>(</w:t>
            </w:r>
            <w:r w:rsidR="00B74DAB" w:rsidRPr="00DB6111">
              <w:rPr>
                <w:rFonts w:eastAsiaTheme="minorEastAsia"/>
                <w:sz w:val="22"/>
                <w:rtl/>
              </w:rPr>
              <w:t>أ)</w:t>
            </w:r>
            <w:r w:rsidR="00B74DAB" w:rsidRPr="00DB6111">
              <w:rPr>
                <w:rFonts w:eastAsiaTheme="minorEastAsia"/>
                <w:sz w:val="22"/>
                <w:rtl/>
              </w:rPr>
              <w:tab/>
              <w:t xml:space="preserve">التقدم المحرز نحو تنفيذ التدابير الرامية إلى ضمان تمكن أي شخص في أي مكان من إقليم الدولة الطرف له مصلحة مشروعة من الحصول بسرعة وسهولة على الأقل على المعلومات الواردة في الفقرة </w:t>
            </w:r>
            <w:r w:rsidR="00B74DAB" w:rsidRPr="00096249">
              <w:rPr>
                <w:rFonts w:eastAsiaTheme="minorEastAsia"/>
                <w:sz w:val="22"/>
                <w:rtl/>
              </w:rPr>
              <w:t>1</w:t>
            </w:r>
            <w:r w:rsidR="00B74DAB" w:rsidRPr="00DB6111">
              <w:rPr>
                <w:rFonts w:eastAsiaTheme="minorEastAsia"/>
                <w:sz w:val="22"/>
                <w:rtl/>
              </w:rPr>
              <w:t xml:space="preserve"> من المادة </w:t>
            </w:r>
            <w:r w:rsidR="00B74DAB" w:rsidRPr="00096249">
              <w:rPr>
                <w:rFonts w:eastAsiaTheme="minorEastAsia"/>
                <w:sz w:val="22"/>
                <w:rtl/>
              </w:rPr>
              <w:t>18</w:t>
            </w:r>
            <w:r w:rsidR="00B74DAB" w:rsidRPr="00DB6111">
              <w:rPr>
                <w:rFonts w:eastAsiaTheme="minorEastAsia"/>
                <w:sz w:val="22"/>
                <w:rtl/>
              </w:rPr>
              <w:t xml:space="preserve"> من الاتفاقية، بما في ذلك أثناء فترة الاحتجاز لدى الشرطة.</w:t>
            </w:r>
          </w:p>
          <w:p w14:paraId="0E97CBAC" w14:textId="5A0D9F53" w:rsidR="00B74DAB" w:rsidRPr="00DB6111" w:rsidRDefault="00F75CF1"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ab/>
            </w:r>
            <w:r w:rsidR="00B74DAB" w:rsidRPr="00096249">
              <w:rPr>
                <w:rFonts w:eastAsiaTheme="minorEastAsia"/>
                <w:b/>
                <w:bCs/>
                <w:sz w:val="22"/>
                <w:rtl/>
              </w:rPr>
              <w:t>(</w:t>
            </w:r>
            <w:r w:rsidR="00B74DAB" w:rsidRPr="00DB6111">
              <w:rPr>
                <w:rFonts w:eastAsiaTheme="minorEastAsia"/>
                <w:sz w:val="22"/>
                <w:rtl/>
              </w:rPr>
              <w:t>ب)</w:t>
            </w:r>
            <w:r w:rsidR="00B74DAB" w:rsidRPr="00DB6111">
              <w:rPr>
                <w:rFonts w:eastAsiaTheme="minorEastAsia"/>
                <w:sz w:val="22"/>
                <w:rtl/>
              </w:rPr>
              <w:tab/>
              <w:t xml:space="preserve">التدابير المتخذة لضمان الحق في الطعن في حال رفض طلب الحصول على المعلومات الواردة في الفقرة </w:t>
            </w:r>
            <w:r w:rsidR="00B74DAB" w:rsidRPr="00096249">
              <w:rPr>
                <w:rFonts w:eastAsiaTheme="minorEastAsia"/>
                <w:sz w:val="22"/>
                <w:rtl/>
              </w:rPr>
              <w:t>1</w:t>
            </w:r>
            <w:r w:rsidR="00B74DAB" w:rsidRPr="00DB6111">
              <w:rPr>
                <w:rFonts w:eastAsiaTheme="minorEastAsia"/>
                <w:sz w:val="22"/>
                <w:rtl/>
              </w:rPr>
              <w:t xml:space="preserve"> من المادة </w:t>
            </w:r>
            <w:r w:rsidR="00B74DAB" w:rsidRPr="00096249">
              <w:rPr>
                <w:rFonts w:eastAsiaTheme="minorEastAsia"/>
                <w:sz w:val="22"/>
                <w:rtl/>
              </w:rPr>
              <w:t>18</w:t>
            </w:r>
            <w:r w:rsidR="00B74DAB" w:rsidRPr="00DB6111">
              <w:rPr>
                <w:rFonts w:eastAsiaTheme="minorEastAsia"/>
                <w:sz w:val="22"/>
                <w:rtl/>
              </w:rPr>
              <w:t xml:space="preserve"> من الاتفاقية.</w:t>
            </w:r>
          </w:p>
        </w:tc>
      </w:tr>
      <w:tr w:rsidR="00DB6111" w:rsidRPr="00DB6111" w14:paraId="2F061A09" w14:textId="77777777" w:rsidTr="00E5600C">
        <w:trPr>
          <w:trHeight w:val="4679"/>
        </w:trPr>
        <w:tc>
          <w:tcPr>
            <w:tcW w:w="7370" w:type="dxa"/>
            <w:gridSpan w:val="2"/>
            <w:tcBorders>
              <w:top w:val="nil"/>
              <w:bottom w:val="nil"/>
            </w:tcBorders>
            <w:shd w:val="clear" w:color="auto" w:fill="auto"/>
            <w:tcMar>
              <w:top w:w="80" w:type="dxa"/>
              <w:left w:w="80" w:type="dxa"/>
              <w:bottom w:w="80" w:type="dxa"/>
              <w:right w:w="193" w:type="dxa"/>
            </w:tcMar>
          </w:tcPr>
          <w:p w14:paraId="283D91E7" w14:textId="756B9088"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lastRenderedPageBreak/>
              <w:t>الفقرة 4</w:t>
            </w:r>
            <w:r w:rsidR="00DB6111" w:rsidRPr="00096249">
              <w:rPr>
                <w:rFonts w:eastAsiaTheme="minorEastAsia"/>
                <w:b/>
                <w:bCs/>
                <w:sz w:val="22"/>
                <w:rtl/>
              </w:rPr>
              <w:t xml:space="preserve">0: </w:t>
            </w:r>
            <w:r w:rsidRPr="00096249">
              <w:rPr>
                <w:rFonts w:eastAsiaTheme="minorEastAsia"/>
                <w:b/>
                <w:bCs/>
                <w:sz w:val="22"/>
                <w:rtl/>
              </w:rPr>
              <w:t>تحث اللجنة الدولة الطرف على ما يلي:</w:t>
            </w:r>
          </w:p>
          <w:p w14:paraId="5D13255B" w14:textId="0FAC1415" w:rsidR="00B74DAB" w:rsidRPr="00096249" w:rsidRDefault="00F75CF1"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ab/>
            </w:r>
            <w:r w:rsidR="00B74DAB" w:rsidRPr="00096249">
              <w:rPr>
                <w:rFonts w:eastAsiaTheme="minorEastAsia"/>
                <w:b/>
                <w:bCs/>
                <w:sz w:val="22"/>
                <w:rtl/>
              </w:rPr>
              <w:t>(أ)</w:t>
            </w:r>
            <w:r w:rsidR="00B74DAB" w:rsidRPr="00096249">
              <w:rPr>
                <w:rFonts w:eastAsiaTheme="minorEastAsia"/>
                <w:bCs/>
                <w:sz w:val="22"/>
                <w:rtl/>
              </w:rPr>
              <w:tab/>
            </w:r>
            <w:r w:rsidR="00B74DAB" w:rsidRPr="00096249">
              <w:rPr>
                <w:rFonts w:eastAsiaTheme="minorEastAsia"/>
                <w:b/>
                <w:bCs/>
                <w:sz w:val="22"/>
                <w:rtl/>
              </w:rPr>
              <w:t>إجراء تحقيقات شاملة ونزيهة لتحديد ما إذا كان الأطفال الذين جرى تبنيهم في سري</w:t>
            </w:r>
            <w:r w:rsidR="00D70BF7" w:rsidRPr="00096249">
              <w:rPr>
                <w:rFonts w:eastAsiaTheme="minorEastAsia" w:hint="cs"/>
                <w:b/>
                <w:bCs/>
                <w:sz w:val="22"/>
                <w:rtl/>
              </w:rPr>
              <w:t> </w:t>
            </w:r>
            <w:r w:rsidR="00B74DAB" w:rsidRPr="00096249">
              <w:rPr>
                <w:rFonts w:eastAsiaTheme="minorEastAsia"/>
                <w:b/>
                <w:bCs/>
                <w:sz w:val="22"/>
                <w:rtl/>
              </w:rPr>
              <w:t>لانكا خلال الثمانينات والتسعينات من القرن الماضي قد وقعوا ضحايا عمليات اختفاء قسري أو</w:t>
            </w:r>
            <w:r w:rsidRPr="00096249">
              <w:rPr>
                <w:rFonts w:eastAsiaTheme="minorEastAsia" w:hint="cs"/>
                <w:b/>
                <w:bCs/>
                <w:sz w:val="22"/>
                <w:rtl/>
              </w:rPr>
              <w:t> </w:t>
            </w:r>
            <w:r w:rsidR="00B74DAB" w:rsidRPr="00096249">
              <w:rPr>
                <w:rFonts w:eastAsiaTheme="minorEastAsia"/>
                <w:b/>
                <w:bCs/>
                <w:sz w:val="22"/>
                <w:rtl/>
              </w:rPr>
              <w:t>انتزاع أطفال، وما إذا كانت جرائم أخرى مثل تزوير وثائق الهوية أو إخفائها أو إتلافها قد ارتكبت في مثل هذه الحالات من أجل تحديد مرتكبي هذه الجرائم ومعاقبتهم؛</w:t>
            </w:r>
          </w:p>
          <w:p w14:paraId="428CF71D" w14:textId="0FA28980" w:rsidR="00B74DAB" w:rsidRPr="00096249" w:rsidRDefault="00F75CF1" w:rsidP="00F75CF1">
            <w:pPr>
              <w:spacing w:after="120" w:line="360" w:lineRule="exact"/>
              <w:ind w:right="113"/>
              <w:textDirection w:val="tbRlV"/>
              <w:rPr>
                <w:rFonts w:eastAsiaTheme="minorEastAsia"/>
                <w:b/>
                <w:bCs/>
                <w:spacing w:val="-4"/>
                <w:sz w:val="22"/>
                <w:lang w:eastAsia="zh-TW" w:bidi="en-GB"/>
              </w:rPr>
            </w:pPr>
            <w:r w:rsidRPr="00096249">
              <w:rPr>
                <w:rFonts w:eastAsiaTheme="minorEastAsia"/>
                <w:b/>
                <w:bCs/>
                <w:spacing w:val="-4"/>
                <w:sz w:val="22"/>
                <w:rtl/>
              </w:rPr>
              <w:tab/>
            </w:r>
            <w:r w:rsidR="00B74DAB" w:rsidRPr="00096249">
              <w:rPr>
                <w:rFonts w:eastAsiaTheme="minorEastAsia"/>
                <w:b/>
                <w:bCs/>
                <w:spacing w:val="-4"/>
                <w:sz w:val="22"/>
                <w:rtl/>
              </w:rPr>
              <w:t>(ب)</w:t>
            </w:r>
            <w:r w:rsidR="00B74DAB" w:rsidRPr="00096249">
              <w:rPr>
                <w:rFonts w:eastAsiaTheme="minorEastAsia"/>
                <w:bCs/>
                <w:spacing w:val="-4"/>
                <w:sz w:val="22"/>
                <w:rtl/>
              </w:rPr>
              <w:tab/>
            </w:r>
            <w:r w:rsidR="00B74DAB" w:rsidRPr="00096249">
              <w:rPr>
                <w:rFonts w:eastAsiaTheme="minorEastAsia"/>
                <w:b/>
                <w:bCs/>
                <w:spacing w:val="-4"/>
                <w:sz w:val="22"/>
                <w:rtl/>
              </w:rPr>
              <w:t>العمل، بالتشاور مع الأشخاص المعنيين، على تحديد ضحايا عمليات الاختفاء القسري أو انتزاع الأطفال ودعمهم بما يحتاجون إليه لتحديد هويتهم ونسبهم وكشف ملابسات تبنيهم؛</w:t>
            </w:r>
          </w:p>
          <w:p w14:paraId="34F0F252" w14:textId="6981B2F6" w:rsidR="00B74DAB" w:rsidRPr="00096249" w:rsidRDefault="00F75CF1"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ab/>
            </w:r>
            <w:r w:rsidR="00B74DAB" w:rsidRPr="00096249">
              <w:rPr>
                <w:rFonts w:eastAsiaTheme="minorEastAsia"/>
                <w:b/>
                <w:bCs/>
                <w:sz w:val="22"/>
                <w:rtl/>
              </w:rPr>
              <w:t>(ج)</w:t>
            </w:r>
            <w:r w:rsidR="00B74DAB" w:rsidRPr="00096249">
              <w:rPr>
                <w:rFonts w:eastAsiaTheme="minorEastAsia"/>
                <w:bCs/>
                <w:sz w:val="22"/>
                <w:rtl/>
              </w:rPr>
              <w:tab/>
            </w:r>
            <w:r w:rsidR="00B74DAB" w:rsidRPr="00096249">
              <w:rPr>
                <w:rFonts w:eastAsiaTheme="minorEastAsia"/>
                <w:b/>
                <w:bCs/>
                <w:sz w:val="22"/>
                <w:rtl/>
              </w:rPr>
              <w:t>ضمان حق التعويض لأي شخص لحقه ضررٌ مباشر من جراء الاختفاء القسري، بغض النظر عن تاريخ ارتكاب هذا الفعل، بما في ذلك إذا كانت دولة أخرى هي منشأ الضرر، حتى لو لم تتخذ إجراءات جنائية ضد الجناة المزعومين أو لم يُتعرف على هويتهم؛</w:t>
            </w:r>
          </w:p>
          <w:p w14:paraId="1A8D0504" w14:textId="2FBB81CD" w:rsidR="00B74DAB" w:rsidRPr="00DB6111" w:rsidRDefault="00F75CF1"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ab/>
            </w:r>
            <w:r w:rsidR="00B74DAB" w:rsidRPr="00096249">
              <w:rPr>
                <w:rFonts w:eastAsiaTheme="minorEastAsia"/>
                <w:b/>
                <w:bCs/>
                <w:sz w:val="22"/>
                <w:rtl/>
              </w:rPr>
              <w:t>(د)</w:t>
            </w:r>
            <w:r w:rsidR="00B74DAB" w:rsidRPr="00DB6111">
              <w:rPr>
                <w:rFonts w:eastAsiaTheme="minorEastAsia"/>
                <w:sz w:val="22"/>
                <w:rtl/>
              </w:rPr>
              <w:tab/>
            </w:r>
            <w:r w:rsidR="00B74DAB" w:rsidRPr="00096249">
              <w:rPr>
                <w:rFonts w:eastAsiaTheme="minorEastAsia"/>
                <w:b/>
                <w:bCs/>
                <w:sz w:val="22"/>
                <w:rtl/>
              </w:rPr>
              <w:t>التماس التعاون من سري لانكا بموجب المواد 14 و15 و25 من الاتفاقية، حسبما هو ضروري لتنفيذ التوصيات الواردة أدناه.</w:t>
            </w:r>
          </w:p>
        </w:tc>
      </w:tr>
      <w:tr w:rsidR="00DB6111" w:rsidRPr="00DB6111" w14:paraId="59FF406D" w14:textId="77777777" w:rsidTr="00E5600C">
        <w:trPr>
          <w:trHeight w:val="239"/>
        </w:trPr>
        <w:tc>
          <w:tcPr>
            <w:tcW w:w="7370" w:type="dxa"/>
            <w:gridSpan w:val="2"/>
            <w:tcBorders>
              <w:top w:val="nil"/>
            </w:tcBorders>
            <w:shd w:val="clear" w:color="auto" w:fill="auto"/>
            <w:tcMar>
              <w:top w:w="80" w:type="dxa"/>
              <w:left w:w="80" w:type="dxa"/>
              <w:bottom w:w="80" w:type="dxa"/>
              <w:right w:w="193" w:type="dxa"/>
            </w:tcMar>
          </w:tcPr>
          <w:p w14:paraId="18218BDC"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رد الدولة الطرف</w:t>
            </w:r>
          </w:p>
        </w:tc>
      </w:tr>
      <w:tr w:rsidR="00DB6111" w:rsidRPr="00DB6111" w14:paraId="2671C0D1" w14:textId="77777777" w:rsidTr="00E5600C">
        <w:trPr>
          <w:trHeight w:val="239"/>
        </w:trPr>
        <w:tc>
          <w:tcPr>
            <w:tcW w:w="7370" w:type="dxa"/>
            <w:gridSpan w:val="2"/>
            <w:shd w:val="clear" w:color="auto" w:fill="auto"/>
            <w:tcMar>
              <w:top w:w="80" w:type="dxa"/>
              <w:left w:w="80" w:type="dxa"/>
              <w:bottom w:w="80" w:type="dxa"/>
              <w:right w:w="193" w:type="dxa"/>
            </w:tcMar>
          </w:tcPr>
          <w:p w14:paraId="305776B5" w14:textId="6C19D5D0" w:rsidR="00DB6111" w:rsidRPr="00DB6111" w:rsidRDefault="00DB6111" w:rsidP="00DB611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يرد رد الدولة الطرف في الفقرات </w:t>
            </w:r>
            <w:r w:rsidRPr="00096249">
              <w:rPr>
                <w:rFonts w:eastAsiaTheme="minorEastAsia"/>
                <w:sz w:val="22"/>
                <w:rtl/>
              </w:rPr>
              <w:t xml:space="preserve">من </w:t>
            </w:r>
            <w:r w:rsidRPr="00096249">
              <w:rPr>
                <w:rFonts w:eastAsiaTheme="minorEastAsia" w:hint="cs"/>
                <w:sz w:val="22"/>
                <w:rtl/>
              </w:rPr>
              <w:t>7</w:t>
            </w:r>
            <w:r w:rsidRPr="00096249">
              <w:rPr>
                <w:rFonts w:eastAsiaTheme="minorEastAsia"/>
                <w:sz w:val="22"/>
                <w:rtl/>
              </w:rPr>
              <w:t xml:space="preserve"> إلى </w:t>
            </w:r>
            <w:r w:rsidRPr="00096249">
              <w:rPr>
                <w:rFonts w:eastAsiaTheme="minorEastAsia" w:hint="cs"/>
                <w:sz w:val="22"/>
                <w:rtl/>
              </w:rPr>
              <w:t>9</w:t>
            </w:r>
            <w:r w:rsidRPr="00096249">
              <w:rPr>
                <w:rFonts w:eastAsiaTheme="minorEastAsia"/>
                <w:sz w:val="22"/>
                <w:rtl/>
              </w:rPr>
              <w:t xml:space="preserve"> من</w:t>
            </w:r>
            <w:r w:rsidRPr="00DB6111">
              <w:rPr>
                <w:rFonts w:eastAsiaTheme="minorEastAsia"/>
                <w:sz w:val="22"/>
                <w:rtl/>
              </w:rPr>
              <w:t xml:space="preserve"> الوثيقة</w:t>
            </w:r>
            <w:r w:rsidRPr="00DB6111">
              <w:rPr>
                <w:rFonts w:eastAsiaTheme="minorEastAsia" w:hint="cs"/>
                <w:sz w:val="22"/>
                <w:rtl/>
              </w:rPr>
              <w:t xml:space="preserve"> </w:t>
            </w:r>
            <w:hyperlink r:id="rId13" w:history="1">
              <w:r w:rsidRPr="00DB6111">
                <w:rPr>
                  <w:rStyle w:val="Hyperlink"/>
                  <w:rFonts w:eastAsiaTheme="minorEastAsia" w:cs="Times New Roman"/>
                  <w:sz w:val="22"/>
                  <w:rtl/>
                </w:rPr>
                <w:t>CED/C/CHE/FCO/1</w:t>
              </w:r>
              <w:r w:rsidRPr="00DB6111">
                <w:rPr>
                  <w:rStyle w:val="Hyperlink"/>
                  <w:rFonts w:eastAsiaTheme="minorEastAsia"/>
                  <w:sz w:val="22"/>
                  <w:rtl/>
                </w:rPr>
                <w:t>.</w:t>
              </w:r>
            </w:hyperlink>
          </w:p>
        </w:tc>
      </w:tr>
      <w:tr w:rsidR="00DB6111" w:rsidRPr="00DB6111" w14:paraId="702C4C74" w14:textId="77777777" w:rsidTr="00F75CF1">
        <w:trPr>
          <w:trHeight w:val="239"/>
        </w:trPr>
        <w:tc>
          <w:tcPr>
            <w:tcW w:w="7370" w:type="dxa"/>
            <w:gridSpan w:val="2"/>
            <w:tcBorders>
              <w:bottom w:val="nil"/>
            </w:tcBorders>
            <w:shd w:val="clear" w:color="auto" w:fill="auto"/>
            <w:tcMar>
              <w:top w:w="80" w:type="dxa"/>
              <w:left w:w="80" w:type="dxa"/>
              <w:bottom w:w="80" w:type="dxa"/>
              <w:right w:w="193" w:type="dxa"/>
            </w:tcMar>
          </w:tcPr>
          <w:p w14:paraId="74FEDB34" w14:textId="77777777" w:rsidR="00B74DAB" w:rsidRPr="00DB6111" w:rsidRDefault="00B74DAB" w:rsidP="00F75CF1">
            <w:pPr>
              <w:spacing w:after="120" w:line="360" w:lineRule="exact"/>
              <w:ind w:right="113"/>
              <w:textDirection w:val="tbRlV"/>
              <w:rPr>
                <w:rFonts w:eastAsiaTheme="minorEastAsia"/>
                <w:sz w:val="22"/>
                <w:lang w:eastAsia="zh-TW" w:bidi="en-GB"/>
              </w:rPr>
            </w:pPr>
            <w:r w:rsidRPr="00096249">
              <w:rPr>
                <w:rFonts w:eastAsiaTheme="minorEastAsia"/>
                <w:b/>
                <w:bCs/>
                <w:sz w:val="22"/>
                <w:rtl/>
              </w:rPr>
              <w:t>تقييم اللجنة:</w:t>
            </w:r>
          </w:p>
        </w:tc>
      </w:tr>
      <w:tr w:rsidR="00DB6111" w:rsidRPr="00DB6111" w14:paraId="11A43401" w14:textId="77777777" w:rsidTr="00F75CF1">
        <w:trPr>
          <w:trHeight w:val="3421"/>
        </w:trPr>
        <w:tc>
          <w:tcPr>
            <w:tcW w:w="7370" w:type="dxa"/>
            <w:gridSpan w:val="2"/>
            <w:tcBorders>
              <w:top w:val="nil"/>
              <w:bottom w:val="nil"/>
            </w:tcBorders>
            <w:shd w:val="clear" w:color="auto" w:fill="auto"/>
            <w:tcMar>
              <w:top w:w="80" w:type="dxa"/>
              <w:left w:w="80" w:type="dxa"/>
              <w:bottom w:w="80" w:type="dxa"/>
              <w:right w:w="193" w:type="dxa"/>
            </w:tcMar>
          </w:tcPr>
          <w:p w14:paraId="6E7DF400" w14:textId="59EB892F" w:rsidR="00B74DAB" w:rsidRPr="00DB6111" w:rsidRDefault="00B74DAB" w:rsidP="00F75CF1">
            <w:pPr>
              <w:spacing w:after="120" w:line="380" w:lineRule="exact"/>
              <w:ind w:right="113"/>
              <w:textDirection w:val="tbRlV"/>
              <w:rPr>
                <w:rFonts w:eastAsiaTheme="minorEastAsia"/>
                <w:sz w:val="22"/>
                <w:lang w:val="ar-SA" w:eastAsia="zh-TW" w:bidi="en-GB"/>
              </w:rPr>
            </w:pPr>
            <w:r w:rsidRPr="00DB6111">
              <w:rPr>
                <w:rFonts w:eastAsiaTheme="minorEastAsia"/>
                <w:b/>
                <w:bCs/>
                <w:sz w:val="22"/>
                <w:rtl/>
              </w:rPr>
              <w:t>[جيم</w:t>
            </w:r>
            <w:r w:rsidR="00DB6111" w:rsidRPr="00DB6111">
              <w:rPr>
                <w:rFonts w:eastAsiaTheme="minorEastAsia"/>
                <w:b/>
                <w:bCs/>
                <w:sz w:val="22"/>
                <w:rtl/>
              </w:rPr>
              <w:t>]:</w:t>
            </w:r>
            <w:r w:rsidR="00DB6111" w:rsidRPr="00DB6111">
              <w:rPr>
                <w:rFonts w:eastAsiaTheme="minorEastAsia"/>
                <w:sz w:val="22"/>
                <w:rtl/>
              </w:rPr>
              <w:t xml:space="preserve"> </w:t>
            </w:r>
            <w:r w:rsidRPr="00DB6111">
              <w:rPr>
                <w:rFonts w:eastAsiaTheme="minorEastAsia"/>
                <w:sz w:val="22"/>
                <w:rtl/>
              </w:rPr>
              <w:t>تحيط اللجنة علم</w:t>
            </w:r>
            <w:r w:rsidR="00D70BF7" w:rsidRPr="00DB6111">
              <w:rPr>
                <w:rFonts w:eastAsiaTheme="minorEastAsia"/>
                <w:sz w:val="22"/>
                <w:rtl/>
              </w:rPr>
              <w:t xml:space="preserve">اً </w:t>
            </w:r>
            <w:r w:rsidRPr="00DB6111">
              <w:rPr>
                <w:rFonts w:eastAsiaTheme="minorEastAsia"/>
                <w:sz w:val="22"/>
                <w:rtl/>
              </w:rPr>
              <w:t>بموقف الدولة الطرف الذي مفاده أنها مستعدة لاعتبار عمليات التبني غير القانونية من سري لانكا حالات اختفاء قسري على أساس كل حالة على حدة. غير أن اللجنة ترى أن هذا الموقف غير كاف لضمان التنفيذ السليم لتوصيتها، ولا تزال هناك حاجة إلى معلومات إضافية فيما</w:t>
            </w:r>
            <w:r w:rsidR="00F75CF1" w:rsidRPr="00DB6111">
              <w:rPr>
                <w:rFonts w:eastAsiaTheme="minorEastAsia" w:hint="cs"/>
                <w:sz w:val="22"/>
                <w:rtl/>
              </w:rPr>
              <w:t> </w:t>
            </w:r>
            <w:r w:rsidRPr="00DB6111">
              <w:rPr>
                <w:rFonts w:eastAsiaTheme="minorEastAsia"/>
                <w:sz w:val="22"/>
                <w:rtl/>
              </w:rPr>
              <w:t xml:space="preserve">يتعلق بالإجراءات الملموسة المتخذة بشأن جميع النقاط المثارة. ولذلك، تطلب اللجنة إلى الدولة الطرف أن تقدم في تقريرها المقبل المقدم بموجب المادة </w:t>
            </w:r>
            <w:r w:rsidRPr="00096249">
              <w:rPr>
                <w:rFonts w:eastAsiaTheme="minorEastAsia"/>
                <w:sz w:val="22"/>
                <w:rtl/>
              </w:rPr>
              <w:t>29</w:t>
            </w:r>
            <w:r w:rsidRPr="00DB6111">
              <w:rPr>
                <w:rFonts w:eastAsiaTheme="minorEastAsia"/>
                <w:sz w:val="22"/>
                <w:rtl/>
              </w:rPr>
              <w:t>(</w:t>
            </w:r>
            <w:r w:rsidR="00DB6111" w:rsidRPr="00096249">
              <w:rPr>
                <w:rFonts w:eastAsiaTheme="minorEastAsia"/>
                <w:sz w:val="22"/>
                <w:rtl/>
              </w:rPr>
              <w:t>4</w:t>
            </w:r>
            <w:r w:rsidR="00DB6111" w:rsidRPr="00DB6111">
              <w:rPr>
                <w:rFonts w:eastAsiaTheme="minorEastAsia"/>
                <w:sz w:val="22"/>
                <w:rtl/>
              </w:rPr>
              <w:t xml:space="preserve">) </w:t>
            </w:r>
            <w:r w:rsidRPr="00DB6111">
              <w:rPr>
                <w:rFonts w:eastAsiaTheme="minorEastAsia"/>
                <w:sz w:val="22"/>
                <w:rtl/>
              </w:rPr>
              <w:t>من الاتفاقية معلومات مستكملة في هذا الصدد، مشفوعة بالتفاصيل التالية:</w:t>
            </w:r>
          </w:p>
          <w:p w14:paraId="7106998F" w14:textId="74E619AF" w:rsidR="00B74DAB" w:rsidRPr="00DB6111" w:rsidRDefault="00F75CF1" w:rsidP="00F75CF1">
            <w:pPr>
              <w:spacing w:after="120" w:line="380" w:lineRule="exact"/>
              <w:ind w:right="113"/>
              <w:textDirection w:val="tbRlV"/>
              <w:rPr>
                <w:rFonts w:eastAsiaTheme="minorEastAsia"/>
                <w:sz w:val="22"/>
                <w:lang w:val="ar-SA" w:eastAsia="zh-TW" w:bidi="en-GB"/>
              </w:rPr>
            </w:pPr>
            <w:r w:rsidRPr="00DB6111">
              <w:rPr>
                <w:rFonts w:eastAsiaTheme="minorEastAsia"/>
                <w:sz w:val="22"/>
                <w:rtl/>
              </w:rPr>
              <w:tab/>
            </w:r>
            <w:r w:rsidR="00B74DAB" w:rsidRPr="00DB6111">
              <w:rPr>
                <w:rFonts w:eastAsiaTheme="minorEastAsia"/>
                <w:sz w:val="22"/>
                <w:rtl/>
              </w:rPr>
              <w:t>(أ)</w:t>
            </w:r>
            <w:r w:rsidR="00B74DAB" w:rsidRPr="00DB6111">
              <w:rPr>
                <w:rFonts w:eastAsiaTheme="minorEastAsia"/>
                <w:sz w:val="22"/>
                <w:rtl/>
              </w:rPr>
              <w:tab/>
              <w:t>تقديم معلومات إضافية عن الحالات التي حددتها الدولة الطرف على أنها حالات اختفاء قسري في سياق عمليات التبني غير القانونية؛</w:t>
            </w:r>
          </w:p>
          <w:p w14:paraId="253E0301" w14:textId="3A74372D" w:rsidR="00B74DAB" w:rsidRPr="00DB6111" w:rsidRDefault="00F75CF1" w:rsidP="00F75CF1">
            <w:pPr>
              <w:spacing w:after="120" w:line="380" w:lineRule="exact"/>
              <w:ind w:right="113"/>
              <w:textDirection w:val="tbRlV"/>
              <w:rPr>
                <w:rFonts w:eastAsiaTheme="minorEastAsia"/>
                <w:sz w:val="22"/>
                <w:lang w:val="ar-SA" w:eastAsia="zh-TW" w:bidi="en-GB"/>
              </w:rPr>
            </w:pPr>
            <w:r w:rsidRPr="00DB6111">
              <w:rPr>
                <w:rFonts w:eastAsiaTheme="minorEastAsia"/>
                <w:sz w:val="22"/>
                <w:rtl/>
              </w:rPr>
              <w:tab/>
            </w:r>
            <w:r w:rsidR="00B74DAB" w:rsidRPr="00DB6111">
              <w:rPr>
                <w:rFonts w:eastAsiaTheme="minorEastAsia"/>
                <w:sz w:val="22"/>
                <w:rtl/>
              </w:rPr>
              <w:t>(ب)</w:t>
            </w:r>
            <w:r w:rsidR="00B74DAB" w:rsidRPr="00DB6111">
              <w:rPr>
                <w:rFonts w:eastAsiaTheme="minorEastAsia"/>
                <w:sz w:val="22"/>
                <w:rtl/>
              </w:rPr>
              <w:tab/>
              <w:t xml:space="preserve">بيان التدابير المتخذة لتزويد الأشخاص المعنيين بالدعم الذي يحتاجون إليه لإثبات هويتهم وبنوتهم، وتوضيح ملابسات تبنيهم، وضمان حقهم في جبر الضرر؛ </w:t>
            </w:r>
          </w:p>
          <w:p w14:paraId="5706012C" w14:textId="177582B5" w:rsidR="00B74DAB" w:rsidRPr="00DB6111" w:rsidRDefault="00F75CF1" w:rsidP="00F75CF1">
            <w:pPr>
              <w:spacing w:after="120" w:line="380" w:lineRule="exact"/>
              <w:ind w:right="113"/>
              <w:textDirection w:val="tbRlV"/>
              <w:rPr>
                <w:rFonts w:eastAsiaTheme="minorEastAsia"/>
                <w:sz w:val="22"/>
                <w:lang w:val="ar-SA" w:eastAsia="zh-TW" w:bidi="en-GB"/>
              </w:rPr>
            </w:pPr>
            <w:r w:rsidRPr="00DB6111">
              <w:rPr>
                <w:rFonts w:eastAsiaTheme="minorEastAsia"/>
                <w:sz w:val="22"/>
                <w:rtl/>
              </w:rPr>
              <w:tab/>
            </w:r>
            <w:r w:rsidR="00B74DAB" w:rsidRPr="00DB6111">
              <w:rPr>
                <w:rFonts w:eastAsiaTheme="minorEastAsia"/>
                <w:sz w:val="22"/>
                <w:rtl/>
              </w:rPr>
              <w:t>(ج)</w:t>
            </w:r>
            <w:r w:rsidR="00B74DAB" w:rsidRPr="00DB6111">
              <w:rPr>
                <w:rFonts w:eastAsiaTheme="minorEastAsia"/>
                <w:sz w:val="22"/>
                <w:rtl/>
              </w:rPr>
              <w:tab/>
              <w:t xml:space="preserve">تقديم معلومات عن الولاية المحددة للفريق العامل وتوضيح الكيان وأشكال التعاون التي أجراها الفريق العامل مع السلطات السريلانكية؛ </w:t>
            </w:r>
          </w:p>
          <w:p w14:paraId="57AC8CD9" w14:textId="6821B4E8" w:rsidR="00B74DAB" w:rsidRPr="00DB6111" w:rsidRDefault="00F75CF1" w:rsidP="00F75CF1">
            <w:pPr>
              <w:spacing w:after="120" w:line="380" w:lineRule="exact"/>
              <w:ind w:right="113"/>
              <w:textDirection w:val="tbRlV"/>
              <w:rPr>
                <w:rFonts w:eastAsiaTheme="minorEastAsia"/>
                <w:sz w:val="22"/>
              </w:rPr>
            </w:pPr>
            <w:r w:rsidRPr="00DB6111">
              <w:rPr>
                <w:rFonts w:eastAsiaTheme="minorEastAsia"/>
                <w:sz w:val="22"/>
                <w:rtl/>
              </w:rPr>
              <w:tab/>
            </w:r>
            <w:r w:rsidR="00B74DAB" w:rsidRPr="00DB6111">
              <w:rPr>
                <w:rFonts w:eastAsiaTheme="minorEastAsia"/>
                <w:sz w:val="22"/>
                <w:rtl/>
              </w:rPr>
              <w:t>(د)</w:t>
            </w:r>
            <w:r w:rsidR="00D063AB">
              <w:rPr>
                <w:rFonts w:eastAsiaTheme="minorEastAsia"/>
                <w:sz w:val="22"/>
                <w:rtl/>
              </w:rPr>
              <w:tab/>
            </w:r>
            <w:r w:rsidR="00B74DAB" w:rsidRPr="00DB6111">
              <w:rPr>
                <w:rFonts w:eastAsiaTheme="minorEastAsia"/>
                <w:sz w:val="22"/>
                <w:rtl/>
              </w:rPr>
              <w:t xml:space="preserve">تقديم معلومات عن تقرير الفريق العامل لعام </w:t>
            </w:r>
            <w:r w:rsidR="00B74DAB" w:rsidRPr="00096249">
              <w:rPr>
                <w:rFonts w:eastAsiaTheme="minorEastAsia"/>
                <w:sz w:val="22"/>
                <w:rtl/>
              </w:rPr>
              <w:t>2022</w:t>
            </w:r>
            <w:r w:rsidR="00B74DAB" w:rsidRPr="00DB6111">
              <w:rPr>
                <w:rFonts w:eastAsiaTheme="minorEastAsia"/>
                <w:sz w:val="22"/>
                <w:rtl/>
              </w:rPr>
              <w:t xml:space="preserve"> واستنتاجاته والإجراءات المتخذة على أساس هذا التقرير. </w:t>
            </w:r>
          </w:p>
        </w:tc>
      </w:tr>
      <w:tr w:rsidR="00DB6111" w:rsidRPr="00DB6111" w14:paraId="3AF0C9A7" w14:textId="77777777" w:rsidTr="00F75CF1">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636BD5AA"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lastRenderedPageBreak/>
              <w:t>قرار اللجنة</w:t>
            </w:r>
          </w:p>
        </w:tc>
      </w:tr>
      <w:tr w:rsidR="00DB6111" w:rsidRPr="00DB6111" w14:paraId="18988948" w14:textId="77777777" w:rsidTr="007027FD">
        <w:trPr>
          <w:trHeight w:val="1339"/>
        </w:trPr>
        <w:tc>
          <w:tcPr>
            <w:tcW w:w="7370" w:type="dxa"/>
            <w:gridSpan w:val="2"/>
            <w:tcBorders>
              <w:top w:val="nil"/>
              <w:bottom w:val="nil"/>
            </w:tcBorders>
            <w:shd w:val="clear" w:color="auto" w:fill="auto"/>
            <w:tcMar>
              <w:top w:w="80" w:type="dxa"/>
              <w:left w:w="80" w:type="dxa"/>
              <w:bottom w:w="80" w:type="dxa"/>
              <w:right w:w="193" w:type="dxa"/>
            </w:tcMar>
          </w:tcPr>
          <w:p w14:paraId="4274DEEA" w14:textId="381D5A00"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تقرر اللجنة توجيه رسالة إلى الدولة الطرف لموافاتها بتقييمها وإبلاغها بالموعد النهائي لتقديم التقرير الذي تقدم فيه معلومات إضافية وفق</w:t>
            </w:r>
            <w:r w:rsidR="00D70BF7" w:rsidRPr="00DB6111">
              <w:rPr>
                <w:rFonts w:eastAsiaTheme="minorEastAsia"/>
                <w:sz w:val="22"/>
                <w:rtl/>
              </w:rPr>
              <w:t xml:space="preserve">اً </w:t>
            </w:r>
            <w:r w:rsidRPr="00DB6111">
              <w:rPr>
                <w:rFonts w:eastAsiaTheme="minorEastAsia"/>
                <w:sz w:val="22"/>
                <w:rtl/>
              </w:rPr>
              <w:t xml:space="preserve">للمادة </w:t>
            </w:r>
            <w:r w:rsidRPr="00096249">
              <w:rPr>
                <w:rFonts w:eastAsiaTheme="minorEastAsia"/>
                <w:sz w:val="22"/>
                <w:rtl/>
              </w:rPr>
              <w:t>29</w:t>
            </w:r>
            <w:r w:rsidRPr="00DB6111">
              <w:rPr>
                <w:rFonts w:eastAsiaTheme="minorEastAsia"/>
                <w:sz w:val="22"/>
                <w:rtl/>
              </w:rPr>
              <w:t>(</w:t>
            </w:r>
            <w:r w:rsidR="00DB6111" w:rsidRPr="00096249">
              <w:rPr>
                <w:rFonts w:eastAsiaTheme="minorEastAsia"/>
                <w:sz w:val="22"/>
                <w:rtl/>
              </w:rPr>
              <w:t>4</w:t>
            </w:r>
            <w:r w:rsidR="00DB6111" w:rsidRPr="00DB6111">
              <w:rPr>
                <w:rFonts w:eastAsiaTheme="minorEastAsia"/>
                <w:sz w:val="22"/>
                <w:rtl/>
              </w:rPr>
              <w:t xml:space="preserve">) </w:t>
            </w:r>
            <w:r w:rsidRPr="00DB6111">
              <w:rPr>
                <w:rFonts w:eastAsiaTheme="minorEastAsia"/>
                <w:sz w:val="22"/>
                <w:rtl/>
              </w:rPr>
              <w:t xml:space="preserve">من الاتفاقية. وستشدد الرسالة على أنه ينبغي للدولة </w:t>
            </w:r>
            <w:r w:rsidRPr="00DB6111">
              <w:rPr>
                <w:rFonts w:eastAsiaTheme="minorEastAsia"/>
                <w:spacing w:val="-4"/>
                <w:sz w:val="22"/>
                <w:rtl/>
              </w:rPr>
              <w:t>الطرف، عند تنفيذ توصيات اللجنة وعند تقديم معلومات إضافية، أن تراعي التوجيهات المحددة وطلب المعلومات الواردة في هذا التقرير، إلى جانب المبادئ التوجيهية للجنة بشأن البحث عن الأشخاص المختفين.</w:t>
            </w:r>
          </w:p>
        </w:tc>
      </w:tr>
      <w:tr w:rsidR="00DB6111" w:rsidRPr="00DB6111" w14:paraId="15ADB54C" w14:textId="77777777" w:rsidTr="007027FD">
        <w:trPr>
          <w:trHeight w:val="464"/>
        </w:trPr>
        <w:tc>
          <w:tcPr>
            <w:tcW w:w="7370" w:type="dxa"/>
            <w:gridSpan w:val="2"/>
            <w:tcBorders>
              <w:top w:val="nil"/>
              <w:bottom w:val="single" w:sz="12" w:space="0" w:color="auto"/>
            </w:tcBorders>
            <w:shd w:val="clear" w:color="auto" w:fill="auto"/>
            <w:tcMar>
              <w:top w:w="80" w:type="dxa"/>
              <w:left w:w="80" w:type="dxa"/>
              <w:bottom w:w="80" w:type="dxa"/>
              <w:right w:w="193" w:type="dxa"/>
            </w:tcMar>
          </w:tcPr>
          <w:p w14:paraId="2ED75391" w14:textId="77777777" w:rsidR="00B74DAB" w:rsidRPr="00096249" w:rsidRDefault="00B74DAB" w:rsidP="00F75CF1">
            <w:pPr>
              <w:spacing w:after="120" w:line="360" w:lineRule="exact"/>
              <w:ind w:right="113"/>
              <w:textDirection w:val="tbRlV"/>
              <w:rPr>
                <w:rFonts w:eastAsiaTheme="minorEastAsia"/>
                <w:b/>
                <w:bCs/>
                <w:sz w:val="22"/>
                <w:lang w:eastAsia="zh-TW" w:bidi="en-GB"/>
              </w:rPr>
            </w:pPr>
            <w:r w:rsidRPr="00096249">
              <w:rPr>
                <w:rFonts w:eastAsiaTheme="minorEastAsia"/>
                <w:b/>
                <w:bCs/>
                <w:sz w:val="22"/>
                <w:rtl/>
              </w:rPr>
              <w:t xml:space="preserve">الموعد النهائي لتقديم الدولة الطرف معلومات إضافية بموجب الفقرة 4 من المادة 29 من الاتفاقية: </w:t>
            </w:r>
            <w:r w:rsidRPr="00096249">
              <w:rPr>
                <w:rFonts w:eastAsiaTheme="minorEastAsia"/>
                <w:sz w:val="22"/>
                <w:rtl/>
              </w:rPr>
              <w:t>2 تشرين الأول/أكتوبر 2026</w:t>
            </w:r>
          </w:p>
        </w:tc>
      </w:tr>
    </w:tbl>
    <w:p w14:paraId="4410F35C" w14:textId="5875C41D" w:rsidR="00B74DAB" w:rsidRPr="00096249" w:rsidRDefault="00A8418F" w:rsidP="00CA5614">
      <w:pPr>
        <w:pStyle w:val="HChGA"/>
        <w:rPr>
          <w:rFonts w:ascii="Times New Roman Bold" w:hAnsi="Times New Roman Bold" w:hint="eastAsia"/>
          <w:spacing w:val="-4"/>
          <w:lang w:val="en-US" w:eastAsia="zh-TW" w:bidi="en-GB"/>
        </w:rPr>
      </w:pPr>
      <w:r w:rsidRPr="00096249">
        <w:rPr>
          <w:rFonts w:ascii="Times New Roman Bold" w:hAnsi="Times New Roman Bold"/>
          <w:spacing w:val="-4"/>
          <w:rtl/>
        </w:rPr>
        <w:tab/>
      </w:r>
      <w:r w:rsidR="00B74DAB" w:rsidRPr="00096249">
        <w:rPr>
          <w:rFonts w:ascii="Times New Roman Bold" w:hAnsi="Times New Roman Bold"/>
          <w:spacing w:val="-4"/>
          <w:rtl/>
        </w:rPr>
        <w:t>ثالثا</w:t>
      </w:r>
      <w:r w:rsidRPr="00096249">
        <w:rPr>
          <w:rFonts w:ascii="Times New Roman Bold" w:hAnsi="Times New Roman Bold" w:hint="cs"/>
          <w:spacing w:val="-4"/>
          <w:rtl/>
        </w:rPr>
        <w:t>ً</w:t>
      </w:r>
      <w:r w:rsidR="00B74DAB" w:rsidRPr="00096249">
        <w:rPr>
          <w:rFonts w:ascii="Times New Roman Bold" w:hAnsi="Times New Roman Bold"/>
          <w:spacing w:val="-4"/>
          <w:rtl/>
        </w:rPr>
        <w:t>-</w:t>
      </w:r>
      <w:r w:rsidR="00B74DAB" w:rsidRPr="00096249">
        <w:rPr>
          <w:rFonts w:ascii="Times New Roman Bold" w:hAnsi="Times New Roman Bold"/>
          <w:spacing w:val="-4"/>
          <w:rtl/>
        </w:rPr>
        <w:tab/>
        <w:t>تقييم معلومات المتابعة المقدمة بموجب الفقرة 4 من المادة 29 من</w:t>
      </w:r>
      <w:r w:rsidR="00CA5614" w:rsidRPr="00096249">
        <w:rPr>
          <w:rFonts w:ascii="Times New Roman Bold" w:hAnsi="Times New Roman Bold" w:hint="cs"/>
          <w:spacing w:val="-4"/>
          <w:rtl/>
        </w:rPr>
        <w:t xml:space="preserve"> </w:t>
      </w:r>
      <w:r w:rsidR="00B74DAB" w:rsidRPr="00096249">
        <w:rPr>
          <w:rFonts w:ascii="Times New Roman Bold" w:hAnsi="Times New Roman Bold"/>
          <w:spacing w:val="-4"/>
          <w:rtl/>
        </w:rPr>
        <w:t>الاتفاقية</w:t>
      </w:r>
    </w:p>
    <w:p w14:paraId="5954E697" w14:textId="1D8D98B5" w:rsidR="00B74DAB" w:rsidRPr="00DB6111" w:rsidRDefault="00B74DAB" w:rsidP="00F75CF1">
      <w:pPr>
        <w:pStyle w:val="SingleTxtGA"/>
        <w:rPr>
          <w:rFonts w:eastAsiaTheme="minorEastAsia"/>
          <w:lang w:val="ar-SA" w:eastAsia="zh-TW" w:bidi="en-GB"/>
        </w:rPr>
      </w:pPr>
      <w:r w:rsidRPr="00096249">
        <w:rPr>
          <w:rFonts w:eastAsiaTheme="minorEastAsia"/>
          <w:rtl/>
        </w:rPr>
        <w:t>4</w:t>
      </w:r>
      <w:r w:rsidRPr="00DB6111">
        <w:rPr>
          <w:rFonts w:eastAsiaTheme="minorEastAsia"/>
          <w:rtl/>
        </w:rPr>
        <w:t>-</w:t>
      </w:r>
      <w:r w:rsidRPr="00DB6111">
        <w:rPr>
          <w:rFonts w:eastAsiaTheme="minorEastAsia"/>
          <w:rtl/>
        </w:rPr>
        <w:tab/>
        <w:t xml:space="preserve">خلافاً لهيئات المعاهدات الأخرى لحقوق الإنسان، ليس لدى اللجنة نظام للتقارير الدورية. بيد أنه يجوز للجنة، بموجب الفقرة </w:t>
      </w:r>
      <w:r w:rsidRPr="00096249">
        <w:rPr>
          <w:rFonts w:eastAsiaTheme="minorEastAsia"/>
          <w:rtl/>
        </w:rPr>
        <w:t>4</w:t>
      </w:r>
      <w:r w:rsidRPr="00DB6111">
        <w:rPr>
          <w:rFonts w:eastAsiaTheme="minorEastAsia"/>
          <w:rtl/>
        </w:rPr>
        <w:t xml:space="preserve"> من المادة </w:t>
      </w:r>
      <w:r w:rsidRPr="00096249">
        <w:rPr>
          <w:rFonts w:eastAsiaTheme="minorEastAsia"/>
          <w:rtl/>
        </w:rPr>
        <w:t>29</w:t>
      </w:r>
      <w:r w:rsidRPr="00DB6111">
        <w:rPr>
          <w:rFonts w:eastAsiaTheme="minorEastAsia"/>
          <w:rtl/>
        </w:rPr>
        <w:t xml:space="preserve"> من الاتفاقية، أن تطلب إلى الدول الأطراف تقديم معلومات إضافية عن تنفيذ الاتفاقية. وفي عام </w:t>
      </w:r>
      <w:r w:rsidRPr="00096249">
        <w:rPr>
          <w:rFonts w:eastAsiaTheme="minorEastAsia"/>
          <w:rtl/>
        </w:rPr>
        <w:t>2018</w:t>
      </w:r>
      <w:r w:rsidRPr="00DB6111">
        <w:rPr>
          <w:rFonts w:eastAsiaTheme="minorEastAsia"/>
          <w:rtl/>
        </w:rPr>
        <w:t>، أصبحت المكسيك أول دولة طرف تقدم معلومات إضافية بناء على طلب اللجنة بموجب هذا الإجراء</w:t>
      </w:r>
      <w:r w:rsidR="00DB6111" w:rsidRPr="00096249">
        <w:rPr>
          <w:rStyle w:val="EndnoteReference"/>
          <w:rFonts w:eastAsiaTheme="minorEastAsia"/>
          <w:sz w:val="22"/>
          <w:rtl/>
        </w:rPr>
        <w:t>(</w:t>
      </w:r>
      <w:r w:rsidR="00DB6111" w:rsidRPr="00096249">
        <w:rPr>
          <w:rStyle w:val="EndnoteReference"/>
          <w:rFonts w:eastAsiaTheme="minorEastAsia"/>
          <w:sz w:val="22"/>
          <w:lang w:val="en-US"/>
        </w:rPr>
        <w:footnoteReference w:id="5"/>
      </w:r>
      <w:r w:rsidR="00DB6111" w:rsidRPr="00096249">
        <w:rPr>
          <w:rStyle w:val="EndnoteReference"/>
          <w:rFonts w:eastAsiaTheme="minorEastAsia"/>
          <w:sz w:val="22"/>
          <w:rtl/>
        </w:rPr>
        <w:t>)</w:t>
      </w:r>
      <w:r w:rsidR="00DB6111" w:rsidRPr="00DB6111">
        <w:rPr>
          <w:rFonts w:eastAsiaTheme="minorEastAsia"/>
          <w:rtl/>
        </w:rPr>
        <w:t xml:space="preserve">. </w:t>
      </w:r>
      <w:r w:rsidRPr="00DB6111">
        <w:rPr>
          <w:rFonts w:eastAsiaTheme="minorEastAsia"/>
          <w:rtl/>
        </w:rPr>
        <w:t>وتعكف اللجنة حالي</w:t>
      </w:r>
      <w:r w:rsidR="00D70BF7" w:rsidRPr="00DB6111">
        <w:rPr>
          <w:rFonts w:eastAsiaTheme="minorEastAsia"/>
          <w:rtl/>
        </w:rPr>
        <w:t xml:space="preserve">اً </w:t>
      </w:r>
      <w:r w:rsidRPr="00DB6111">
        <w:rPr>
          <w:rFonts w:eastAsiaTheme="minorEastAsia"/>
          <w:rtl/>
        </w:rPr>
        <w:t>على تحليل مختلف الخيارات من أجل ضمان أن يكون الإجراء مرن</w:t>
      </w:r>
      <w:r w:rsidR="00D70BF7" w:rsidRPr="00DB6111">
        <w:rPr>
          <w:rFonts w:eastAsiaTheme="minorEastAsia"/>
          <w:rtl/>
        </w:rPr>
        <w:t xml:space="preserve">اً </w:t>
      </w:r>
      <w:r w:rsidRPr="00DB6111">
        <w:rPr>
          <w:rFonts w:eastAsiaTheme="minorEastAsia"/>
          <w:rtl/>
        </w:rPr>
        <w:t>وذكي</w:t>
      </w:r>
      <w:r w:rsidR="00D70BF7" w:rsidRPr="00DB6111">
        <w:rPr>
          <w:rFonts w:eastAsiaTheme="minorEastAsia"/>
          <w:rtl/>
        </w:rPr>
        <w:t xml:space="preserve">اً </w:t>
      </w:r>
      <w:r w:rsidRPr="00DB6111">
        <w:rPr>
          <w:rFonts w:eastAsiaTheme="minorEastAsia"/>
          <w:rtl/>
        </w:rPr>
        <w:t>وكفؤ</w:t>
      </w:r>
      <w:r w:rsidR="00D70BF7" w:rsidRPr="00DB6111">
        <w:rPr>
          <w:rFonts w:eastAsiaTheme="minorEastAsia"/>
          <w:rtl/>
        </w:rPr>
        <w:t xml:space="preserve">اً </w:t>
      </w:r>
      <w:r w:rsidRPr="00DB6111">
        <w:rPr>
          <w:rFonts w:eastAsiaTheme="minorEastAsia"/>
          <w:rtl/>
        </w:rPr>
        <w:t>وفعال</w:t>
      </w:r>
      <w:r w:rsidR="00D70BF7" w:rsidRPr="00DB6111">
        <w:rPr>
          <w:rFonts w:eastAsiaTheme="minorEastAsia"/>
          <w:rtl/>
        </w:rPr>
        <w:t xml:space="preserve">اً </w:t>
      </w:r>
      <w:r w:rsidRPr="00DB6111">
        <w:rPr>
          <w:rFonts w:eastAsiaTheme="minorEastAsia"/>
          <w:rtl/>
        </w:rPr>
        <w:t>قدر الإمكان.</w:t>
      </w:r>
    </w:p>
    <w:p w14:paraId="291F045A" w14:textId="68FB8E15" w:rsidR="00B74DAB" w:rsidRPr="00DB6111" w:rsidRDefault="00B74DAB" w:rsidP="00F75CF1">
      <w:pPr>
        <w:pStyle w:val="SingleTxtGA"/>
        <w:rPr>
          <w:rFonts w:eastAsiaTheme="minorEastAsia"/>
          <w:lang w:val="ar-SA" w:eastAsia="zh-TW" w:bidi="en-GB"/>
        </w:rPr>
      </w:pPr>
      <w:r w:rsidRPr="00096249">
        <w:rPr>
          <w:rFonts w:eastAsiaTheme="minorEastAsia"/>
          <w:rtl/>
        </w:rPr>
        <w:t>5</w:t>
      </w:r>
      <w:r w:rsidRPr="00DB6111">
        <w:rPr>
          <w:rFonts w:eastAsiaTheme="minorEastAsia"/>
          <w:rtl/>
        </w:rPr>
        <w:t>-</w:t>
      </w:r>
      <w:r w:rsidRPr="00DB6111">
        <w:rPr>
          <w:rFonts w:eastAsiaTheme="minorEastAsia"/>
          <w:rtl/>
        </w:rPr>
        <w:tab/>
        <w:t>وتهدف اللجنة من وراء هذا الإجراء إلى ضمان الرصد الدقيق لتنفيذ جميع الدول الأطراف لالتزاماتها بموجب الاتفاقية ولتوصيات اللجنة. وتحدد الحالة الخاصة في كل دولة طرف تواتر هذا الرصد</w:t>
      </w:r>
      <w:r w:rsidR="007027FD" w:rsidRPr="00DB6111">
        <w:rPr>
          <w:rFonts w:eastAsiaTheme="minorEastAsia" w:hint="cs"/>
          <w:rtl/>
        </w:rPr>
        <w:t> </w:t>
      </w:r>
      <w:r w:rsidRPr="00DB6111">
        <w:rPr>
          <w:rFonts w:eastAsiaTheme="minorEastAsia"/>
          <w:rtl/>
        </w:rPr>
        <w:t>ومداه.</w:t>
      </w:r>
    </w:p>
    <w:p w14:paraId="5E195241" w14:textId="443205AD" w:rsidR="00DB6111" w:rsidRPr="00DB6111" w:rsidRDefault="00B74DAB" w:rsidP="00F75CF1">
      <w:pPr>
        <w:pStyle w:val="SingleTxtGA"/>
        <w:rPr>
          <w:rFonts w:eastAsiaTheme="minorEastAsia"/>
          <w:lang w:val="ar-SA" w:eastAsia="zh-TW" w:bidi="en-GB"/>
        </w:rPr>
      </w:pPr>
      <w:r w:rsidRPr="00096249">
        <w:rPr>
          <w:rFonts w:eastAsiaTheme="minorEastAsia"/>
          <w:rtl/>
        </w:rPr>
        <w:t>6</w:t>
      </w:r>
      <w:r w:rsidRPr="00DB6111">
        <w:rPr>
          <w:rFonts w:eastAsiaTheme="minorEastAsia"/>
          <w:rtl/>
        </w:rPr>
        <w:t>-</w:t>
      </w:r>
      <w:r w:rsidRPr="00DB6111">
        <w:rPr>
          <w:rFonts w:eastAsiaTheme="minorEastAsia"/>
          <w:rtl/>
        </w:rPr>
        <w:tab/>
        <w:t>ويهدف هذا الإجراء أيض</w:t>
      </w:r>
      <w:r w:rsidR="00D70BF7" w:rsidRPr="00DB6111">
        <w:rPr>
          <w:rFonts w:eastAsiaTheme="minorEastAsia"/>
          <w:rtl/>
        </w:rPr>
        <w:t xml:space="preserve">اً </w:t>
      </w:r>
      <w:r w:rsidRPr="00DB6111">
        <w:rPr>
          <w:rFonts w:eastAsiaTheme="minorEastAsia"/>
          <w:rtl/>
        </w:rPr>
        <w:t xml:space="preserve">إلى تمكين اللجنة من الوفاء بولايتها قدر الإمكان على الرغم من مواردها المحدودة. وفي هذا الصدد، تود اللجنة أن تسلط الضوء على تراكم </w:t>
      </w:r>
      <w:r w:rsidRPr="00096249">
        <w:rPr>
          <w:rFonts w:eastAsiaTheme="minorEastAsia"/>
          <w:rtl/>
        </w:rPr>
        <w:t>11</w:t>
      </w:r>
      <w:r w:rsidRPr="00DB6111">
        <w:rPr>
          <w:rFonts w:eastAsiaTheme="minorEastAsia"/>
          <w:rtl/>
        </w:rPr>
        <w:t xml:space="preserve"> تقرير</w:t>
      </w:r>
      <w:r w:rsidR="00D70BF7" w:rsidRPr="00DB6111">
        <w:rPr>
          <w:rFonts w:eastAsiaTheme="minorEastAsia"/>
          <w:rtl/>
        </w:rPr>
        <w:t xml:space="preserve">اً </w:t>
      </w:r>
      <w:r w:rsidRPr="00DB6111">
        <w:rPr>
          <w:rFonts w:eastAsiaTheme="minorEastAsia"/>
          <w:rtl/>
        </w:rPr>
        <w:t>مقدم</w:t>
      </w:r>
      <w:r w:rsidR="00D70BF7" w:rsidRPr="00DB6111">
        <w:rPr>
          <w:rFonts w:eastAsiaTheme="minorEastAsia"/>
          <w:rtl/>
        </w:rPr>
        <w:t xml:space="preserve">اً </w:t>
      </w:r>
      <w:r w:rsidRPr="00DB6111">
        <w:rPr>
          <w:rFonts w:eastAsiaTheme="minorEastAsia"/>
          <w:rtl/>
        </w:rPr>
        <w:t>بموجب</w:t>
      </w:r>
      <w:r w:rsidR="007027FD" w:rsidRPr="00DB6111">
        <w:rPr>
          <w:rFonts w:eastAsiaTheme="minorEastAsia" w:hint="cs"/>
          <w:rtl/>
        </w:rPr>
        <w:t xml:space="preserve"> </w:t>
      </w:r>
      <w:r w:rsidRPr="00DB6111">
        <w:rPr>
          <w:rFonts w:eastAsiaTheme="minorEastAsia"/>
          <w:rtl/>
        </w:rPr>
        <w:t>الفقرة</w:t>
      </w:r>
      <w:r w:rsidR="007027FD" w:rsidRPr="00DB6111">
        <w:rPr>
          <w:rFonts w:eastAsiaTheme="minorEastAsia" w:hint="cs"/>
          <w:rtl/>
        </w:rPr>
        <w:t> </w:t>
      </w:r>
      <w:r w:rsidRPr="00096249">
        <w:rPr>
          <w:rFonts w:eastAsiaTheme="minorEastAsia"/>
          <w:rtl/>
        </w:rPr>
        <w:t>4</w:t>
      </w:r>
      <w:r w:rsidRPr="00DB6111">
        <w:rPr>
          <w:rFonts w:eastAsiaTheme="minorEastAsia"/>
          <w:rtl/>
        </w:rPr>
        <w:t xml:space="preserve"> من المادة </w:t>
      </w:r>
      <w:r w:rsidRPr="00096249">
        <w:rPr>
          <w:rFonts w:eastAsiaTheme="minorEastAsia"/>
          <w:rtl/>
        </w:rPr>
        <w:t>29</w:t>
      </w:r>
      <w:r w:rsidRPr="00DB6111">
        <w:rPr>
          <w:rFonts w:eastAsiaTheme="minorEastAsia"/>
          <w:rtl/>
        </w:rPr>
        <w:t xml:space="preserve"> من الاتفاقية، حتى تاريخ إعداد هذا التقرير. بيد أنه عمل</w:t>
      </w:r>
      <w:r w:rsidR="00D70BF7" w:rsidRPr="00DB6111">
        <w:rPr>
          <w:rFonts w:eastAsiaTheme="minorEastAsia"/>
          <w:rtl/>
        </w:rPr>
        <w:t xml:space="preserve">اً </w:t>
      </w:r>
      <w:r w:rsidRPr="00DB6111">
        <w:rPr>
          <w:rFonts w:eastAsiaTheme="minorEastAsia"/>
          <w:rtl/>
        </w:rPr>
        <w:t>بقرار الجمعية العامة</w:t>
      </w:r>
      <w:r w:rsidR="007027FD" w:rsidRPr="00DB6111">
        <w:rPr>
          <w:rFonts w:eastAsiaTheme="minorEastAsia" w:hint="cs"/>
          <w:rtl/>
        </w:rPr>
        <w:t> </w:t>
      </w:r>
      <w:r w:rsidRPr="00096249">
        <w:rPr>
          <w:rFonts w:eastAsiaTheme="minorEastAsia"/>
          <w:rtl/>
        </w:rPr>
        <w:t>68</w:t>
      </w:r>
      <w:r w:rsidRPr="00DB6111">
        <w:rPr>
          <w:rFonts w:eastAsiaTheme="minorEastAsia"/>
          <w:rtl/>
        </w:rPr>
        <w:t>/</w:t>
      </w:r>
      <w:r w:rsidRPr="00096249">
        <w:rPr>
          <w:rFonts w:eastAsiaTheme="minorEastAsia"/>
          <w:rtl/>
        </w:rPr>
        <w:t>268</w:t>
      </w:r>
      <w:r w:rsidRPr="00DB6111">
        <w:rPr>
          <w:rFonts w:eastAsiaTheme="minorEastAsia"/>
          <w:rtl/>
        </w:rPr>
        <w:t xml:space="preserve"> وقرارات الجمعية العامة اللاحقة، فإن الزمن الذي تخصصه اللجنة في اجتماعها لا يسمح لها إلا بدراسة خمسة تقارير فقط في السنة - ويشمل ذلك التقارير المقدمة بموجب المادة </w:t>
      </w:r>
      <w:r w:rsidRPr="00096249">
        <w:rPr>
          <w:rFonts w:eastAsiaTheme="minorEastAsia"/>
          <w:rtl/>
        </w:rPr>
        <w:t>29</w:t>
      </w:r>
      <w:r w:rsidRPr="00DB6111">
        <w:rPr>
          <w:rFonts w:eastAsiaTheme="minorEastAsia"/>
          <w:rtl/>
        </w:rPr>
        <w:t>(</w:t>
      </w:r>
      <w:r w:rsidR="00DB6111" w:rsidRPr="00096249">
        <w:rPr>
          <w:rFonts w:eastAsiaTheme="minorEastAsia"/>
          <w:rtl/>
        </w:rPr>
        <w:t>1</w:t>
      </w:r>
      <w:r w:rsidR="00DB6111" w:rsidRPr="00DB6111">
        <w:rPr>
          <w:rFonts w:eastAsiaTheme="minorEastAsia"/>
          <w:rtl/>
        </w:rPr>
        <w:t xml:space="preserve">) </w:t>
      </w:r>
      <w:r w:rsidRPr="00DB6111">
        <w:rPr>
          <w:rFonts w:eastAsiaTheme="minorEastAsia"/>
          <w:rtl/>
        </w:rPr>
        <w:t xml:space="preserve">من الاتفاقية والتقارير التي تتضمن معلومات إضافية مقدمة بموجب المادة </w:t>
      </w:r>
      <w:r w:rsidRPr="00096249">
        <w:rPr>
          <w:rFonts w:eastAsiaTheme="minorEastAsia"/>
          <w:rtl/>
        </w:rPr>
        <w:t>29</w:t>
      </w:r>
      <w:r w:rsidRPr="00DB6111">
        <w:rPr>
          <w:rFonts w:eastAsiaTheme="minorEastAsia"/>
          <w:rtl/>
        </w:rPr>
        <w:t>(</w:t>
      </w:r>
      <w:r w:rsidR="00DB6111" w:rsidRPr="00096249">
        <w:rPr>
          <w:rFonts w:eastAsiaTheme="minorEastAsia"/>
          <w:rtl/>
        </w:rPr>
        <w:t>4</w:t>
      </w:r>
      <w:r w:rsidR="00DB6111" w:rsidRPr="00DB6111">
        <w:rPr>
          <w:rFonts w:eastAsiaTheme="minorEastAsia"/>
          <w:rtl/>
        </w:rPr>
        <w:t>).</w:t>
      </w:r>
    </w:p>
    <w:p w14:paraId="0377CCFA" w14:textId="0C756F3E" w:rsidR="00B74DAB" w:rsidRPr="00DB6111" w:rsidRDefault="00B74DAB" w:rsidP="00F75CF1">
      <w:pPr>
        <w:pStyle w:val="SingleTxtGA"/>
        <w:rPr>
          <w:rFonts w:eastAsiaTheme="minorEastAsia"/>
          <w:lang w:val="ar-SA" w:eastAsia="zh-TW" w:bidi="en-GB"/>
        </w:rPr>
      </w:pPr>
      <w:r w:rsidRPr="00096249">
        <w:rPr>
          <w:rFonts w:eastAsiaTheme="minorEastAsia"/>
          <w:rtl/>
        </w:rPr>
        <w:t>7</w:t>
      </w:r>
      <w:r w:rsidRPr="00DB6111">
        <w:rPr>
          <w:rFonts w:eastAsiaTheme="minorEastAsia"/>
          <w:rtl/>
        </w:rPr>
        <w:t>-</w:t>
      </w:r>
      <w:r w:rsidRPr="00DB6111">
        <w:rPr>
          <w:rFonts w:eastAsiaTheme="minorEastAsia"/>
          <w:rtl/>
        </w:rPr>
        <w:tab/>
        <w:t>وبعد اعتماد اللجنة لملاحظاتها الختامية بشأن المعلومات الإضافية، يجوز للجنة أن تطلب إلى الدولة الطرف تقديم مزيد من المعلومات فيما يتعلق بكل من التوصيات المعتمدة والمسائل التي لم تعالج أثناء الحوار.</w:t>
      </w:r>
    </w:p>
    <w:p w14:paraId="25FF4B51" w14:textId="77777777" w:rsidR="00B74DAB" w:rsidRPr="00DB6111" w:rsidRDefault="00B74DAB" w:rsidP="00F75CF1">
      <w:pPr>
        <w:pStyle w:val="SingleTxtGA"/>
        <w:rPr>
          <w:rFonts w:eastAsiaTheme="minorEastAsia"/>
          <w:lang w:val="ar-SA" w:eastAsia="zh-TW" w:bidi="en-GB"/>
        </w:rPr>
      </w:pPr>
      <w:r w:rsidRPr="00096249">
        <w:rPr>
          <w:rFonts w:eastAsiaTheme="minorEastAsia"/>
          <w:rtl/>
        </w:rPr>
        <w:t>8</w:t>
      </w:r>
      <w:r w:rsidRPr="00DB6111">
        <w:rPr>
          <w:rFonts w:eastAsiaTheme="minorEastAsia"/>
          <w:rtl/>
        </w:rPr>
        <w:t>-</w:t>
      </w:r>
      <w:r w:rsidRPr="00DB6111">
        <w:rPr>
          <w:rFonts w:eastAsiaTheme="minorEastAsia"/>
          <w:rtl/>
        </w:rPr>
        <w:tab/>
        <w:t>وفي بعض الحالات، كما في حالة كولومبيا، قد ترى اللجنة أن من الضروري أن تطلب إلى الدولة الطرف تقديم معلومات إضافية عن عدد من التوصيات ذات الأولوية في غضون سنة واحدة، دون المساس بحق اللجنة في طلب معلومات إضافية عن التوصيات الأخرى في وقت لاحق.</w:t>
      </w:r>
    </w:p>
    <w:p w14:paraId="4DF93A9E" w14:textId="77777777" w:rsidR="00B74DAB" w:rsidRPr="00096249" w:rsidRDefault="00B74DAB" w:rsidP="00CA5614">
      <w:pPr>
        <w:pStyle w:val="H1GA"/>
        <w:rPr>
          <w:lang w:val="ar-SA" w:eastAsia="zh-TW" w:bidi="en-GB"/>
        </w:rPr>
      </w:pPr>
      <w:r w:rsidRPr="00096249">
        <w:rPr>
          <w:rtl/>
        </w:rPr>
        <w:lastRenderedPageBreak/>
        <w:tab/>
      </w:r>
      <w:r w:rsidRPr="00096249">
        <w:rPr>
          <w:rtl/>
        </w:rPr>
        <w:tab/>
        <w:t>كولومبيا</w:t>
      </w:r>
    </w:p>
    <w:p w14:paraId="6D4A9138" w14:textId="77777777" w:rsidR="00B74DAB" w:rsidRPr="00096249" w:rsidRDefault="00B74DAB" w:rsidP="00042767">
      <w:pPr>
        <w:pStyle w:val="H23GA"/>
        <w:rPr>
          <w:lang w:val="ar-SA" w:eastAsia="zh-TW" w:bidi="en-GB"/>
        </w:rPr>
      </w:pPr>
      <w:r w:rsidRPr="00096249">
        <w:rPr>
          <w:rtl/>
        </w:rPr>
        <w:tab/>
      </w:r>
      <w:r w:rsidRPr="00096249">
        <w:rPr>
          <w:rtl/>
        </w:rPr>
        <w:tab/>
        <w:t>الدورة العشرون (نيسان/أبريل - أيار/مايو 2021)</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DB6111" w:rsidRPr="00DB6111" w14:paraId="08BE3BF8" w14:textId="77777777" w:rsidTr="00E5600C">
        <w:trPr>
          <w:trHeight w:val="310"/>
          <w:tblHeader/>
        </w:trPr>
        <w:tc>
          <w:tcPr>
            <w:tcW w:w="3402" w:type="dxa"/>
            <w:tcBorders>
              <w:top w:val="single" w:sz="4" w:space="0" w:color="auto"/>
              <w:bottom w:val="single" w:sz="12" w:space="0" w:color="auto"/>
            </w:tcBorders>
            <w:shd w:val="clear" w:color="auto" w:fill="auto"/>
            <w:tcMar>
              <w:top w:w="80" w:type="dxa"/>
              <w:left w:w="80" w:type="dxa"/>
              <w:bottom w:w="80" w:type="dxa"/>
              <w:right w:w="193" w:type="dxa"/>
            </w:tcMar>
            <w:vAlign w:val="bottom"/>
          </w:tcPr>
          <w:p w14:paraId="60B1F8AB" w14:textId="77777777" w:rsidR="00B74DAB" w:rsidRPr="00DB6111" w:rsidRDefault="00B74DAB" w:rsidP="00F75CF1">
            <w:pPr>
              <w:spacing w:after="120" w:line="360" w:lineRule="exact"/>
              <w:ind w:right="113"/>
              <w:textDirection w:val="tbRlV"/>
              <w:rPr>
                <w:rFonts w:eastAsiaTheme="minorEastAsia"/>
                <w:i/>
                <w:iCs/>
                <w:sz w:val="22"/>
                <w:lang w:val="ar-SA" w:eastAsia="zh-TW" w:bidi="en-GB"/>
              </w:rPr>
            </w:pPr>
            <w:r w:rsidRPr="00DB6111">
              <w:rPr>
                <w:rFonts w:eastAsiaTheme="minorEastAsia"/>
                <w:i/>
                <w:iCs/>
                <w:sz w:val="22"/>
                <w:rtl/>
              </w:rPr>
              <w:t>كولومبيا</w:t>
            </w:r>
          </w:p>
        </w:tc>
        <w:tc>
          <w:tcPr>
            <w:tcW w:w="3968"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269DA48B" w14:textId="77777777" w:rsidR="00B74DAB" w:rsidRPr="00096249" w:rsidRDefault="00B74DAB" w:rsidP="00F75CF1">
            <w:pPr>
              <w:spacing w:after="120" w:line="360" w:lineRule="exact"/>
              <w:ind w:right="113"/>
              <w:rPr>
                <w:rFonts w:eastAsiaTheme="minorEastAsia"/>
                <w:i/>
                <w:sz w:val="22"/>
              </w:rPr>
            </w:pPr>
          </w:p>
        </w:tc>
      </w:tr>
      <w:tr w:rsidR="00DB6111" w:rsidRPr="00DB6111" w14:paraId="4243160B" w14:textId="77777777" w:rsidTr="00E5600C">
        <w:trPr>
          <w:trHeight w:val="239"/>
        </w:trPr>
        <w:tc>
          <w:tcPr>
            <w:tcW w:w="3402" w:type="dxa"/>
            <w:tcBorders>
              <w:top w:val="single" w:sz="12" w:space="0" w:color="auto"/>
            </w:tcBorders>
            <w:shd w:val="clear" w:color="auto" w:fill="auto"/>
            <w:tcMar>
              <w:top w:w="80" w:type="dxa"/>
              <w:left w:w="80" w:type="dxa"/>
              <w:bottom w:w="80" w:type="dxa"/>
              <w:right w:w="193" w:type="dxa"/>
            </w:tcMar>
          </w:tcPr>
          <w:p w14:paraId="050F59E9"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الملاحظات الختامية:</w:t>
            </w:r>
          </w:p>
        </w:tc>
        <w:tc>
          <w:tcPr>
            <w:tcW w:w="3968" w:type="dxa"/>
            <w:tcBorders>
              <w:top w:val="single" w:sz="12" w:space="0" w:color="auto"/>
            </w:tcBorders>
            <w:shd w:val="clear" w:color="auto" w:fill="auto"/>
            <w:tcMar>
              <w:top w:w="80" w:type="dxa"/>
              <w:left w:w="80" w:type="dxa"/>
              <w:bottom w:w="80" w:type="dxa"/>
              <w:right w:w="193" w:type="dxa"/>
            </w:tcMar>
          </w:tcPr>
          <w:p w14:paraId="38F8F7B1" w14:textId="465890B1" w:rsidR="00B74DAB" w:rsidRPr="00DB6111" w:rsidRDefault="0065414C" w:rsidP="00CA5614">
            <w:pPr>
              <w:spacing w:after="120" w:line="360" w:lineRule="exact"/>
              <w:ind w:right="113"/>
              <w:textDirection w:val="tbRlV"/>
              <w:rPr>
                <w:rFonts w:eastAsiaTheme="minorEastAsia"/>
                <w:sz w:val="22"/>
                <w:lang w:eastAsia="zh-TW"/>
              </w:rPr>
            </w:pPr>
            <w:hyperlink r:id="rId14" w:history="1">
              <w:r w:rsidR="00B74DAB" w:rsidRPr="00DB6111">
                <w:rPr>
                  <w:rStyle w:val="Hyperlink"/>
                  <w:rFonts w:eastAsiaTheme="minorEastAsia" w:cs="Times New Roman"/>
                  <w:sz w:val="22"/>
                  <w:rtl/>
                </w:rPr>
                <w:t>CED/C/COL/OAI/</w:t>
              </w:r>
              <w:r w:rsidR="00B74DAB" w:rsidRPr="00096249">
                <w:rPr>
                  <w:rStyle w:val="Hyperlink"/>
                  <w:rFonts w:eastAsiaTheme="minorEastAsia" w:cs="Times New Roman"/>
                  <w:sz w:val="22"/>
                  <w:rtl/>
                </w:rPr>
                <w:t>1</w:t>
              </w:r>
            </w:hyperlink>
            <w:r w:rsidR="00B74DAB" w:rsidRPr="00DB6111">
              <w:rPr>
                <w:rStyle w:val="Hyperlink"/>
                <w:rFonts w:eastAsiaTheme="minorEastAsia"/>
                <w:color w:val="auto"/>
                <w:sz w:val="22"/>
              </w:rPr>
              <w:t>،</w:t>
            </w:r>
            <w:r w:rsidR="00CA5614">
              <w:rPr>
                <w:rStyle w:val="Hyperlink"/>
                <w:rFonts w:eastAsiaTheme="minorEastAsia" w:hint="cs"/>
                <w:color w:val="auto"/>
                <w:sz w:val="22"/>
                <w:rtl/>
              </w:rPr>
              <w:t xml:space="preserve"> المعتمدة في 5 أيار/مايو 2021</w:t>
            </w:r>
            <w:r w:rsidR="00EF7E82">
              <w:rPr>
                <w:rFonts w:eastAsiaTheme="minorEastAsia" w:hint="cs"/>
                <w:sz w:val="22"/>
                <w:rtl/>
                <w:lang w:eastAsia="zh-TW"/>
              </w:rPr>
              <w:t>، اعتمدت في 5 أيار/مايو 2021</w:t>
            </w:r>
          </w:p>
        </w:tc>
      </w:tr>
      <w:tr w:rsidR="00DB6111" w:rsidRPr="00DB6111" w14:paraId="58B8BFB2" w14:textId="77777777" w:rsidTr="00E5600C">
        <w:tc>
          <w:tcPr>
            <w:tcW w:w="3402" w:type="dxa"/>
            <w:shd w:val="clear" w:color="auto" w:fill="auto"/>
            <w:tcMar>
              <w:top w:w="80" w:type="dxa"/>
              <w:left w:w="80" w:type="dxa"/>
              <w:bottom w:w="80" w:type="dxa"/>
              <w:right w:w="193" w:type="dxa"/>
            </w:tcMar>
          </w:tcPr>
          <w:p w14:paraId="22B18E8C" w14:textId="77777777"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مجالات التركيز أثناء الحوار:</w:t>
            </w:r>
          </w:p>
        </w:tc>
        <w:tc>
          <w:tcPr>
            <w:tcW w:w="3968" w:type="dxa"/>
            <w:shd w:val="clear" w:color="auto" w:fill="auto"/>
            <w:tcMar>
              <w:top w:w="80" w:type="dxa"/>
              <w:left w:w="80" w:type="dxa"/>
              <w:bottom w:w="80" w:type="dxa"/>
              <w:right w:w="193" w:type="dxa"/>
            </w:tcMar>
          </w:tcPr>
          <w:p w14:paraId="10B64F94"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مواءمة التشريعات الوطنية مع الاتفاقية</w:t>
            </w:r>
          </w:p>
          <w:p w14:paraId="3D179584"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منع الاختفاء القسري وآليات البحث والتحقيق</w:t>
            </w:r>
          </w:p>
          <w:p w14:paraId="4CCFBDFF"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جبر الضرر</w:t>
            </w:r>
          </w:p>
        </w:tc>
      </w:tr>
      <w:tr w:rsidR="00DB6111" w:rsidRPr="00DB6111" w14:paraId="0BFC2BD1" w14:textId="77777777" w:rsidTr="00E5600C">
        <w:trPr>
          <w:trHeight w:val="899"/>
        </w:trPr>
        <w:tc>
          <w:tcPr>
            <w:tcW w:w="3402" w:type="dxa"/>
            <w:shd w:val="clear" w:color="auto" w:fill="auto"/>
            <w:tcMar>
              <w:top w:w="80" w:type="dxa"/>
              <w:left w:w="80" w:type="dxa"/>
              <w:bottom w:w="80" w:type="dxa"/>
              <w:right w:w="193" w:type="dxa"/>
            </w:tcMar>
          </w:tcPr>
          <w:p w14:paraId="429EE442" w14:textId="77777777"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 xml:space="preserve">التوصيات التي يجب متابعتها: </w:t>
            </w:r>
          </w:p>
        </w:tc>
        <w:tc>
          <w:tcPr>
            <w:tcW w:w="3968" w:type="dxa"/>
            <w:shd w:val="clear" w:color="auto" w:fill="auto"/>
            <w:tcMar>
              <w:top w:w="80" w:type="dxa"/>
              <w:left w:w="80" w:type="dxa"/>
              <w:bottom w:w="80" w:type="dxa"/>
              <w:right w:w="193" w:type="dxa"/>
            </w:tcMar>
          </w:tcPr>
          <w:p w14:paraId="64A79496" w14:textId="211CCEA2"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الفقرات </w:t>
            </w:r>
            <w:r w:rsidRPr="00096249">
              <w:rPr>
                <w:rFonts w:eastAsiaTheme="minorEastAsia"/>
                <w:sz w:val="22"/>
                <w:rtl/>
              </w:rPr>
              <w:t>17</w:t>
            </w:r>
            <w:r w:rsidRPr="00DB6111">
              <w:rPr>
                <w:rFonts w:eastAsiaTheme="minorEastAsia"/>
                <w:sz w:val="22"/>
                <w:rtl/>
              </w:rPr>
              <w:t xml:space="preserve"> (معلومات إحصائية عن حالات الاختفاء القسري)</w:t>
            </w:r>
            <w:r w:rsidR="00CA5614">
              <w:rPr>
                <w:rFonts w:eastAsiaTheme="minorEastAsia" w:hint="cs"/>
                <w:sz w:val="22"/>
                <w:rtl/>
              </w:rPr>
              <w:t>،</w:t>
            </w:r>
            <w:r w:rsidR="00F75CF1" w:rsidRPr="00DB6111">
              <w:rPr>
                <w:rFonts w:eastAsiaTheme="minorEastAsia"/>
                <w:sz w:val="22"/>
                <w:rtl/>
              </w:rPr>
              <w:t xml:space="preserve"> و</w:t>
            </w:r>
            <w:r w:rsidRPr="00096249">
              <w:rPr>
                <w:rFonts w:eastAsiaTheme="minorEastAsia"/>
                <w:sz w:val="22"/>
                <w:rtl/>
              </w:rPr>
              <w:t>19</w:t>
            </w:r>
            <w:r w:rsidRPr="00DB6111">
              <w:rPr>
                <w:rFonts w:eastAsiaTheme="minorEastAsia"/>
                <w:sz w:val="22"/>
                <w:rtl/>
              </w:rPr>
              <w:t xml:space="preserve"> (التحقيق في حالات الاختفاء القسري)</w:t>
            </w:r>
            <w:r w:rsidR="00F75CF1" w:rsidRPr="00DB6111">
              <w:rPr>
                <w:rFonts w:eastAsiaTheme="minorEastAsia"/>
                <w:sz w:val="22"/>
                <w:rtl/>
              </w:rPr>
              <w:t xml:space="preserve"> و</w:t>
            </w:r>
            <w:r w:rsidRPr="00096249">
              <w:rPr>
                <w:rFonts w:eastAsiaTheme="minorEastAsia"/>
                <w:sz w:val="22"/>
                <w:rtl/>
              </w:rPr>
              <w:t>27</w:t>
            </w:r>
            <w:r w:rsidRPr="00DB6111">
              <w:rPr>
                <w:rFonts w:eastAsiaTheme="minorEastAsia"/>
                <w:sz w:val="22"/>
                <w:rtl/>
              </w:rPr>
              <w:t xml:space="preserve"> (البحث عن الأشخاص المختفين) </w:t>
            </w:r>
          </w:p>
        </w:tc>
      </w:tr>
      <w:tr w:rsidR="00DB6111" w:rsidRPr="00DB6111" w14:paraId="3E3EDB5F" w14:textId="77777777" w:rsidTr="007027FD">
        <w:trPr>
          <w:trHeight w:val="919"/>
        </w:trPr>
        <w:tc>
          <w:tcPr>
            <w:tcW w:w="3402" w:type="dxa"/>
            <w:tcBorders>
              <w:bottom w:val="nil"/>
            </w:tcBorders>
            <w:shd w:val="clear" w:color="auto" w:fill="auto"/>
            <w:tcMar>
              <w:top w:w="80" w:type="dxa"/>
              <w:left w:w="80" w:type="dxa"/>
              <w:bottom w:w="80" w:type="dxa"/>
              <w:right w:w="193" w:type="dxa"/>
            </w:tcMar>
          </w:tcPr>
          <w:p w14:paraId="6429A4ED" w14:textId="77777777"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Cs/>
                <w:sz w:val="22"/>
                <w:rtl/>
              </w:rPr>
              <w:t>الرد:</w:t>
            </w:r>
          </w:p>
          <w:p w14:paraId="2CA8F430" w14:textId="77777777" w:rsidR="00B74DAB" w:rsidRPr="00042767" w:rsidRDefault="00B74DAB" w:rsidP="00F75CF1">
            <w:pPr>
              <w:spacing w:after="120" w:line="360" w:lineRule="exact"/>
              <w:ind w:right="113"/>
              <w:textDirection w:val="tbRlV"/>
              <w:rPr>
                <w:rFonts w:eastAsiaTheme="minorEastAsia"/>
                <w:sz w:val="22"/>
                <w:lang w:eastAsia="zh-TW" w:bidi="en-GB"/>
              </w:rPr>
            </w:pPr>
            <w:r w:rsidRPr="00096249">
              <w:rPr>
                <w:rFonts w:eastAsiaTheme="minorEastAsia"/>
                <w:b/>
                <w:bCs/>
                <w:sz w:val="22"/>
                <w:rtl/>
              </w:rPr>
              <w:t>تقرير مقدم من المؤسسة الوطنية لحقوق الإنسان:</w:t>
            </w:r>
          </w:p>
        </w:tc>
        <w:tc>
          <w:tcPr>
            <w:tcW w:w="3968" w:type="dxa"/>
            <w:tcBorders>
              <w:bottom w:val="nil"/>
            </w:tcBorders>
            <w:shd w:val="clear" w:color="auto" w:fill="auto"/>
            <w:tcMar>
              <w:top w:w="80" w:type="dxa"/>
              <w:left w:w="80" w:type="dxa"/>
              <w:bottom w:w="80" w:type="dxa"/>
              <w:right w:w="193" w:type="dxa"/>
            </w:tcMar>
          </w:tcPr>
          <w:p w14:paraId="68AC91FA" w14:textId="3826A9E4" w:rsidR="00B74DAB" w:rsidRPr="006954D6" w:rsidRDefault="0065414C" w:rsidP="00EF7E82">
            <w:pPr>
              <w:spacing w:after="120" w:line="360" w:lineRule="exact"/>
              <w:ind w:right="113"/>
              <w:textDirection w:val="tbRlV"/>
              <w:rPr>
                <w:rFonts w:eastAsiaTheme="minorEastAsia"/>
                <w:sz w:val="22"/>
                <w:rtl/>
                <w:lang w:val="en-GB" w:eastAsia="zh-TW"/>
              </w:rPr>
            </w:pPr>
            <w:hyperlink r:id="rId15" w:history="1">
              <w:r w:rsidR="00B74DAB" w:rsidRPr="006954D6">
                <w:rPr>
                  <w:rStyle w:val="Hyperlink"/>
                  <w:rFonts w:eastAsiaTheme="minorEastAsia" w:cs="Times New Roman"/>
                  <w:sz w:val="22"/>
                  <w:rtl/>
                </w:rPr>
                <w:t>CED/C/COL/FOAI/1</w:t>
              </w:r>
            </w:hyperlink>
            <w:r w:rsidR="00B74DAB" w:rsidRPr="006954D6">
              <w:rPr>
                <w:rStyle w:val="Hyperlink"/>
                <w:rFonts w:eastAsiaTheme="minorEastAsia"/>
                <w:color w:val="auto"/>
                <w:sz w:val="22"/>
              </w:rPr>
              <w:t>،</w:t>
            </w:r>
            <w:r w:rsidR="00CA5614" w:rsidRPr="006954D6">
              <w:rPr>
                <w:rStyle w:val="Hyperlink"/>
                <w:rFonts w:eastAsiaTheme="minorEastAsia" w:hint="cs"/>
                <w:color w:val="auto"/>
                <w:sz w:val="22"/>
                <w:rtl/>
              </w:rPr>
              <w:t xml:space="preserve"> حل موعد تقديمه وقدِّم بالفعل في 7 أيار/مايو 2022</w:t>
            </w:r>
          </w:p>
          <w:p w14:paraId="3F691B08"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6954D6">
              <w:rPr>
                <w:rFonts w:eastAsiaTheme="minorEastAsia"/>
                <w:sz w:val="22"/>
                <w:rtl/>
              </w:rPr>
              <w:t>أمانة المظالم في كولومبيا</w:t>
            </w:r>
          </w:p>
        </w:tc>
      </w:tr>
      <w:tr w:rsidR="00DB6111" w:rsidRPr="00DB6111" w14:paraId="17C05A4D" w14:textId="77777777" w:rsidTr="007027FD">
        <w:trPr>
          <w:trHeight w:val="4779"/>
        </w:trPr>
        <w:tc>
          <w:tcPr>
            <w:tcW w:w="7370" w:type="dxa"/>
            <w:gridSpan w:val="2"/>
            <w:tcBorders>
              <w:top w:val="nil"/>
              <w:bottom w:val="nil"/>
            </w:tcBorders>
            <w:shd w:val="clear" w:color="auto" w:fill="auto"/>
            <w:tcMar>
              <w:top w:w="80" w:type="dxa"/>
              <w:left w:w="80" w:type="dxa"/>
              <w:bottom w:w="80" w:type="dxa"/>
              <w:right w:w="193" w:type="dxa"/>
            </w:tcMar>
          </w:tcPr>
          <w:p w14:paraId="0C72A0B5" w14:textId="194B4F62" w:rsidR="00B74DAB" w:rsidRPr="00096249" w:rsidRDefault="00B74DAB" w:rsidP="007027FD">
            <w:pPr>
              <w:spacing w:after="120" w:line="380" w:lineRule="exact"/>
              <w:ind w:right="113"/>
              <w:textDirection w:val="tbRlV"/>
              <w:rPr>
                <w:rFonts w:eastAsiaTheme="minorEastAsia"/>
                <w:bCs/>
                <w:sz w:val="22"/>
                <w:lang w:eastAsia="zh-TW" w:bidi="en-GB"/>
              </w:rPr>
            </w:pPr>
            <w:r w:rsidRPr="00096249">
              <w:rPr>
                <w:rFonts w:eastAsiaTheme="minorEastAsia"/>
                <w:bCs/>
                <w:sz w:val="22"/>
                <w:rtl/>
              </w:rPr>
              <w:t>الفقرة 1</w:t>
            </w:r>
            <w:r w:rsidR="00DB6111" w:rsidRPr="00096249">
              <w:rPr>
                <w:rFonts w:eastAsiaTheme="minorEastAsia"/>
                <w:bCs/>
                <w:sz w:val="22"/>
                <w:rtl/>
              </w:rPr>
              <w:t xml:space="preserve">7: </w:t>
            </w:r>
            <w:r w:rsidRPr="00096249">
              <w:rPr>
                <w:rFonts w:eastAsiaTheme="minorEastAsia"/>
                <w:bCs/>
                <w:sz w:val="22"/>
                <w:rtl/>
              </w:rPr>
              <w:t xml:space="preserve">توصي اللجنة بأن تنجز الدولة الطرف من دون إبطاء عملية تنقية محتوى السجل الوطني للأشخاص المختفين، وبأن توحّد المعلومات المتعلقة بالأشخاص المختفين المضمَّنة في قواعد البيانات المختلفة لدى الدولة، وأن تعد إحصاءات دقيقة وموثوقة عن الأشخاص المختفين، بمن فيهم الأشخاص الذين ربّما تعرضوا للاختفاء القسري. وينبغي أن تتيح هذه الإحصاءات تحديد مختلف فئات الضحايا وأسباب الاختفاء القسري </w:t>
            </w:r>
            <w:proofErr w:type="spellStart"/>
            <w:r w:rsidRPr="00096249">
              <w:rPr>
                <w:rFonts w:eastAsiaTheme="minorEastAsia"/>
                <w:bCs/>
                <w:sz w:val="22"/>
                <w:rtl/>
              </w:rPr>
              <w:t>ودينامياته</w:t>
            </w:r>
            <w:proofErr w:type="spellEnd"/>
            <w:r w:rsidRPr="00096249">
              <w:rPr>
                <w:rFonts w:eastAsiaTheme="minorEastAsia"/>
                <w:bCs/>
                <w:sz w:val="22"/>
                <w:rtl/>
              </w:rPr>
              <w:t xml:space="preserve"> وأنماط السلوك، بهدف الاستناد إليها في اعتماد تدابير أكثر فعالية للوقاية والتحقيق والبحث. وينبغي تحديث السجل الوطني بصورة منهجية، بما يكفل التسجيل الموحد والشامل والفوري لجميع الأشخاص المختفين المعروفين. وينبغي أن يشمل على الأقل ما يلي:</w:t>
            </w:r>
          </w:p>
          <w:p w14:paraId="248C0763" w14:textId="2B19C869" w:rsidR="00B74DAB" w:rsidRPr="00096249" w:rsidRDefault="007027FD" w:rsidP="007027FD">
            <w:pPr>
              <w:spacing w:after="120" w:line="380" w:lineRule="exact"/>
              <w:ind w:right="113"/>
              <w:textDirection w:val="tbRlV"/>
              <w:rPr>
                <w:rFonts w:eastAsiaTheme="minorEastAsia"/>
                <w:bCs/>
                <w:sz w:val="22"/>
                <w:lang w:val="ar-SA" w:eastAsia="zh-TW" w:bidi="en-GB"/>
              </w:rPr>
            </w:pPr>
            <w:r w:rsidRPr="00096249">
              <w:rPr>
                <w:rFonts w:eastAsiaTheme="minorEastAsia"/>
                <w:bCs/>
                <w:sz w:val="22"/>
                <w:rtl/>
              </w:rPr>
              <w:tab/>
            </w:r>
            <w:r w:rsidR="00B74DAB" w:rsidRPr="00096249">
              <w:rPr>
                <w:rFonts w:eastAsiaTheme="minorEastAsia"/>
                <w:bCs/>
                <w:sz w:val="22"/>
                <w:rtl/>
              </w:rPr>
              <w:t>(أ)</w:t>
            </w:r>
            <w:r w:rsidR="00B74DAB" w:rsidRPr="00096249">
              <w:rPr>
                <w:rFonts w:eastAsiaTheme="minorEastAsia"/>
                <w:bCs/>
                <w:sz w:val="22"/>
                <w:rtl/>
              </w:rPr>
              <w:tab/>
              <w:t>إجمالي عدد جميع الأشخاص المختفين وهوياتهم، مع تبيان الأشخاص الذين يكونون قد تعرضوا للاختفاء القسري بالمعنى المقصود في المادة 2 من الاتفاقية؛</w:t>
            </w:r>
          </w:p>
          <w:p w14:paraId="2B042D52" w14:textId="172A2A81" w:rsidR="00B74DAB" w:rsidRPr="00096249" w:rsidRDefault="007027FD" w:rsidP="007027FD">
            <w:pPr>
              <w:spacing w:after="120" w:line="380" w:lineRule="exact"/>
              <w:ind w:right="113"/>
              <w:textDirection w:val="tbRlV"/>
              <w:rPr>
                <w:rFonts w:eastAsiaTheme="minorEastAsia"/>
                <w:bCs/>
                <w:sz w:val="22"/>
                <w:lang w:val="ar-SA" w:eastAsia="zh-TW" w:bidi="en-GB"/>
              </w:rPr>
            </w:pPr>
            <w:r w:rsidRPr="00096249">
              <w:rPr>
                <w:rFonts w:eastAsiaTheme="minorEastAsia"/>
                <w:bCs/>
                <w:sz w:val="22"/>
                <w:rtl/>
              </w:rPr>
              <w:tab/>
            </w:r>
            <w:r w:rsidR="00B74DAB" w:rsidRPr="00096249">
              <w:rPr>
                <w:rFonts w:eastAsiaTheme="minorEastAsia"/>
                <w:bCs/>
                <w:sz w:val="22"/>
                <w:rtl/>
              </w:rPr>
              <w:t>(ب)</w:t>
            </w:r>
            <w:r w:rsidR="00B74DAB" w:rsidRPr="00096249">
              <w:rPr>
                <w:rFonts w:eastAsiaTheme="minorEastAsia"/>
                <w:bCs/>
                <w:sz w:val="22"/>
                <w:rtl/>
              </w:rPr>
              <w:tab/>
              <w:t xml:space="preserve">جنس الشخص المختفي وهويته الجنسانية وميله الجنسي وعمره وجنسيته </w:t>
            </w:r>
            <w:proofErr w:type="spellStart"/>
            <w:r w:rsidR="00B74DAB" w:rsidRPr="00096249">
              <w:rPr>
                <w:rFonts w:eastAsiaTheme="minorEastAsia"/>
                <w:bCs/>
                <w:sz w:val="22"/>
                <w:rtl/>
              </w:rPr>
              <w:t>وإثنيته</w:t>
            </w:r>
            <w:proofErr w:type="spellEnd"/>
            <w:r w:rsidR="00B74DAB" w:rsidRPr="00096249">
              <w:rPr>
                <w:rFonts w:eastAsiaTheme="minorEastAsia"/>
                <w:bCs/>
                <w:sz w:val="22"/>
                <w:rtl/>
              </w:rPr>
              <w:t>، وكذلك مكان الاختفاء وتاريخ وقوعه وسياقه وظروفه، بما في ذلك جميع المعلومات ذات الصلة، لمعرفة ما إذا كان الأمر يتعلق باختفاء قسري؛</w:t>
            </w:r>
          </w:p>
          <w:p w14:paraId="5A4B59C9" w14:textId="47AD5FD8" w:rsidR="00B74DAB" w:rsidRPr="00096249" w:rsidRDefault="007027FD" w:rsidP="007027FD">
            <w:pPr>
              <w:spacing w:after="120" w:line="380" w:lineRule="exact"/>
              <w:ind w:right="113"/>
              <w:textDirection w:val="tbRlV"/>
              <w:rPr>
                <w:rFonts w:eastAsiaTheme="minorEastAsia"/>
                <w:bCs/>
                <w:sz w:val="22"/>
                <w:lang w:val="ar-SA" w:eastAsia="zh-TW" w:bidi="en-GB"/>
              </w:rPr>
            </w:pPr>
            <w:r w:rsidRPr="00096249">
              <w:rPr>
                <w:rFonts w:eastAsiaTheme="minorEastAsia"/>
                <w:bCs/>
                <w:sz w:val="22"/>
                <w:rtl/>
              </w:rPr>
              <w:tab/>
            </w:r>
            <w:r w:rsidR="00B74DAB" w:rsidRPr="00096249">
              <w:rPr>
                <w:rFonts w:eastAsiaTheme="minorEastAsia"/>
                <w:bCs/>
                <w:sz w:val="22"/>
                <w:rtl/>
              </w:rPr>
              <w:t>(ج)</w:t>
            </w:r>
            <w:r w:rsidR="00B74DAB" w:rsidRPr="00096249">
              <w:rPr>
                <w:rFonts w:eastAsiaTheme="minorEastAsia"/>
                <w:bCs/>
                <w:sz w:val="22"/>
                <w:rtl/>
              </w:rPr>
              <w:tab/>
              <w:t>حالة إجراءات البحث والتحقيق ذات الصلة، وكذلك إجراءات استخراج الجثث وتحديد هوية أصحابها وإعادتها.</w:t>
            </w:r>
          </w:p>
        </w:tc>
      </w:tr>
      <w:tr w:rsidR="00DB6111" w:rsidRPr="00DB6111" w14:paraId="5A19C475" w14:textId="77777777" w:rsidTr="007027FD">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4954ED20" w14:textId="77777777" w:rsidR="00B74DAB" w:rsidRPr="006954D6" w:rsidRDefault="00B74DAB" w:rsidP="006954D6">
            <w:pPr>
              <w:keepNext/>
              <w:spacing w:after="120" w:line="360" w:lineRule="exact"/>
              <w:ind w:right="113"/>
              <w:textDirection w:val="tbRlV"/>
              <w:rPr>
                <w:rFonts w:eastAsiaTheme="minorEastAsia"/>
                <w:sz w:val="22"/>
                <w:lang w:eastAsia="zh-TW" w:bidi="en-GB"/>
              </w:rPr>
            </w:pPr>
            <w:r w:rsidRPr="00096249">
              <w:rPr>
                <w:rFonts w:eastAsiaTheme="minorEastAsia"/>
                <w:b/>
                <w:bCs/>
                <w:sz w:val="22"/>
                <w:rtl/>
              </w:rPr>
              <w:lastRenderedPageBreak/>
              <w:t>رد الدولة الطرف</w:t>
            </w:r>
          </w:p>
        </w:tc>
      </w:tr>
      <w:tr w:rsidR="00DB6111" w:rsidRPr="00DB6111" w14:paraId="79730A8F" w14:textId="77777777" w:rsidTr="00E5600C">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2992A28F" w14:textId="4AC05F8D" w:rsidR="00B74DAB" w:rsidRPr="00DB6111" w:rsidRDefault="00B74DAB" w:rsidP="00DB611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يرد رد الدولة الطرف في الفقرات من </w:t>
            </w:r>
            <w:r w:rsidRPr="00096249">
              <w:rPr>
                <w:rFonts w:eastAsiaTheme="minorEastAsia"/>
                <w:sz w:val="22"/>
                <w:rtl/>
              </w:rPr>
              <w:t>8</w:t>
            </w:r>
            <w:r w:rsidRPr="00DB6111">
              <w:rPr>
                <w:rFonts w:eastAsiaTheme="minorEastAsia"/>
                <w:sz w:val="22"/>
                <w:rtl/>
              </w:rPr>
              <w:t xml:space="preserve"> إلى </w:t>
            </w:r>
            <w:r w:rsidRPr="00096249">
              <w:rPr>
                <w:rFonts w:eastAsiaTheme="minorEastAsia"/>
                <w:sz w:val="22"/>
                <w:rtl/>
              </w:rPr>
              <w:t>13</w:t>
            </w:r>
            <w:r w:rsidRPr="00DB6111">
              <w:rPr>
                <w:rFonts w:eastAsiaTheme="minorEastAsia"/>
                <w:sz w:val="22"/>
                <w:rtl/>
              </w:rPr>
              <w:t xml:space="preserve"> من الوثيقة </w:t>
            </w:r>
            <w:hyperlink r:id="rId16" w:history="1">
              <w:r w:rsidRPr="00DB6111">
                <w:rPr>
                  <w:rStyle w:val="Hyperlink"/>
                  <w:rFonts w:eastAsiaTheme="minorEastAsia"/>
                  <w:sz w:val="22"/>
                </w:rPr>
                <w:t>CED/C/COL/FOAI/</w:t>
              </w:r>
              <w:r w:rsidRPr="00096249">
                <w:rPr>
                  <w:rStyle w:val="Hyperlink"/>
                  <w:rFonts w:eastAsiaTheme="minorEastAsia"/>
                  <w:sz w:val="22"/>
                </w:rPr>
                <w:t>1</w:t>
              </w:r>
              <w:r w:rsidRPr="00DB6111">
                <w:rPr>
                  <w:rStyle w:val="Hyperlink"/>
                  <w:rFonts w:eastAsiaTheme="minorEastAsia"/>
                  <w:sz w:val="22"/>
                  <w:rtl/>
                </w:rPr>
                <w:t>.</w:t>
              </w:r>
            </w:hyperlink>
          </w:p>
        </w:tc>
      </w:tr>
      <w:tr w:rsidR="00DB6111" w:rsidRPr="00DB6111" w14:paraId="4F9DFC5F" w14:textId="77777777" w:rsidTr="00E5600C">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4D68FC25" w14:textId="77777777" w:rsidR="00B74DAB" w:rsidRPr="00DB6111" w:rsidRDefault="00B74DAB" w:rsidP="00F75CF1">
            <w:pPr>
              <w:keepNext/>
              <w:spacing w:after="120" w:line="360" w:lineRule="exact"/>
              <w:ind w:right="113"/>
              <w:textDirection w:val="tbRlV"/>
              <w:rPr>
                <w:rFonts w:eastAsiaTheme="minorEastAsia"/>
                <w:sz w:val="22"/>
                <w:lang w:val="ar-SA" w:eastAsia="zh-TW" w:bidi="en-GB"/>
              </w:rPr>
            </w:pPr>
            <w:r w:rsidRPr="00096249">
              <w:rPr>
                <w:rFonts w:eastAsiaTheme="minorEastAsia"/>
                <w:b/>
                <w:bCs/>
                <w:sz w:val="22"/>
                <w:rtl/>
              </w:rPr>
              <w:t>تقييم اللجنة:</w:t>
            </w:r>
          </w:p>
        </w:tc>
      </w:tr>
      <w:tr w:rsidR="00DB6111" w:rsidRPr="00DB6111" w14:paraId="0E59A4F7" w14:textId="77777777" w:rsidTr="00E5600C">
        <w:trPr>
          <w:trHeight w:val="8279"/>
        </w:trPr>
        <w:tc>
          <w:tcPr>
            <w:tcW w:w="7370" w:type="dxa"/>
            <w:gridSpan w:val="2"/>
            <w:tcBorders>
              <w:top w:val="nil"/>
              <w:bottom w:val="nil"/>
            </w:tcBorders>
            <w:shd w:val="clear" w:color="auto" w:fill="auto"/>
            <w:tcMar>
              <w:top w:w="80" w:type="dxa"/>
              <w:left w:w="80" w:type="dxa"/>
              <w:bottom w:w="80" w:type="dxa"/>
              <w:right w:w="193" w:type="dxa"/>
            </w:tcMar>
          </w:tcPr>
          <w:p w14:paraId="7AE795AF" w14:textId="2C44A09D"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b/>
                <w:bCs/>
                <w:sz w:val="22"/>
                <w:rtl/>
              </w:rPr>
              <w:t>[جيم</w:t>
            </w:r>
            <w:r w:rsidR="00DB6111" w:rsidRPr="00DB6111">
              <w:rPr>
                <w:rFonts w:eastAsiaTheme="minorEastAsia"/>
                <w:b/>
                <w:bCs/>
                <w:sz w:val="22"/>
                <w:rtl/>
              </w:rPr>
              <w:t>]:</w:t>
            </w:r>
            <w:r w:rsidR="00DB6111" w:rsidRPr="00DB6111">
              <w:rPr>
                <w:rFonts w:eastAsiaTheme="minorEastAsia"/>
                <w:sz w:val="22"/>
                <w:rtl/>
              </w:rPr>
              <w:t xml:space="preserve"> </w:t>
            </w:r>
            <w:r w:rsidRPr="00DB6111">
              <w:rPr>
                <w:rFonts w:eastAsiaTheme="minorEastAsia"/>
                <w:sz w:val="22"/>
                <w:rtl/>
              </w:rPr>
              <w:t>تحيط اللجنة علم</w:t>
            </w:r>
            <w:r w:rsidR="00D70BF7" w:rsidRPr="00DB6111">
              <w:rPr>
                <w:rFonts w:eastAsiaTheme="minorEastAsia"/>
                <w:sz w:val="22"/>
                <w:rtl/>
              </w:rPr>
              <w:t xml:space="preserve">اً </w:t>
            </w:r>
            <w:r w:rsidRPr="00DB6111">
              <w:rPr>
                <w:rFonts w:eastAsiaTheme="minorEastAsia"/>
                <w:sz w:val="22"/>
                <w:rtl/>
              </w:rPr>
              <w:t xml:space="preserve">بالمعلومات التي قدمتها الدولة الطرف عن العمل الجاري الذي تضطلع به الكيانات المشاركة في نظم المعلومات المتعلقة بالأشخاص المختفين من أجل تسجيل حالات الاختفاء وتنقية السجل الوطني للأشخاص المختفين. غير أن اللجنة تعرب عن أسفها لموقف الدولة الطرف الذي مفاده أنه لا يمكن إكمال عملية تنقية السجل، على الرغم من أهمية وجود بيانات واضحة وموثوقة كوسيلة لتحديد مختلف فئات الضحايا، وأسباب حالات الاختفاء </w:t>
            </w:r>
            <w:proofErr w:type="spellStart"/>
            <w:r w:rsidRPr="00DB6111">
              <w:rPr>
                <w:rFonts w:eastAsiaTheme="minorEastAsia"/>
                <w:sz w:val="22"/>
                <w:rtl/>
              </w:rPr>
              <w:t>ودينامياتها</w:t>
            </w:r>
            <w:proofErr w:type="spellEnd"/>
            <w:r w:rsidRPr="00DB6111">
              <w:rPr>
                <w:rFonts w:eastAsiaTheme="minorEastAsia"/>
                <w:sz w:val="22"/>
                <w:rtl/>
              </w:rPr>
              <w:t xml:space="preserve"> وأنماطها، فضل</w:t>
            </w:r>
            <w:r w:rsidR="00D70BF7" w:rsidRPr="00DB6111">
              <w:rPr>
                <w:rFonts w:eastAsiaTheme="minorEastAsia"/>
                <w:sz w:val="22"/>
                <w:rtl/>
              </w:rPr>
              <w:t xml:space="preserve">اً </w:t>
            </w:r>
            <w:r w:rsidRPr="00DB6111">
              <w:rPr>
                <w:rFonts w:eastAsiaTheme="minorEastAsia"/>
                <w:sz w:val="22"/>
                <w:rtl/>
              </w:rPr>
              <w:t>عن منع جريمة الاختفاء والقضاء عليها، من أجل التنفيذ الفعال للاتفاقية. ولهذا السبب، ترى اللجنة أنه يجب التعجيل بعملية تنقية السجل وتوحيده لضمان وجود مصدر موحد ودقيق وموثوق به عن عدد الأشخاص المختفين في الدولة الطرف، بمن فيهم الأشخاص الذين ربما تعرضوا للاختفاء القسري.</w:t>
            </w:r>
          </w:p>
          <w:p w14:paraId="21665E3A" w14:textId="712E5952" w:rsidR="00B74DAB" w:rsidRPr="00EF7E82" w:rsidRDefault="00B74DAB" w:rsidP="00F75CF1">
            <w:pPr>
              <w:spacing w:after="120" w:line="360" w:lineRule="exact"/>
              <w:ind w:right="113"/>
              <w:textDirection w:val="tbRlV"/>
              <w:rPr>
                <w:rFonts w:eastAsiaTheme="minorEastAsia"/>
                <w:sz w:val="22"/>
                <w:lang w:eastAsia="zh-TW" w:bidi="en-GB"/>
              </w:rPr>
            </w:pPr>
            <w:r w:rsidRPr="00096249">
              <w:rPr>
                <w:rFonts w:eastAsiaTheme="minorEastAsia"/>
                <w:sz w:val="22"/>
                <w:rtl/>
              </w:rPr>
              <w:t>وبالإضافة إلى ذلك، تعرب اللجنة عن أسفها لاستبعاد الدولة الطرف تضمين السجل الإشارةَ إلى الهوية الجنسانية والميول الجنسية للضحية، على الرغم من أهميتها في تحديد حالات الاختفاء القسري وأنماط</w:t>
            </w:r>
            <w:r w:rsidR="007027FD" w:rsidRPr="00096249">
              <w:rPr>
                <w:rFonts w:eastAsiaTheme="minorEastAsia" w:hint="cs"/>
                <w:sz w:val="22"/>
                <w:rtl/>
              </w:rPr>
              <w:t> </w:t>
            </w:r>
            <w:r w:rsidRPr="00096249">
              <w:rPr>
                <w:rFonts w:eastAsiaTheme="minorEastAsia"/>
                <w:sz w:val="22"/>
                <w:rtl/>
              </w:rPr>
              <w:t>السلوك. ولنفس السبب، تأسف اللجنة أيض</w:t>
            </w:r>
            <w:r w:rsidR="00D70BF7" w:rsidRPr="00096249">
              <w:rPr>
                <w:rFonts w:eastAsiaTheme="minorEastAsia"/>
                <w:sz w:val="22"/>
                <w:rtl/>
              </w:rPr>
              <w:t xml:space="preserve">اً </w:t>
            </w:r>
            <w:r w:rsidRPr="00096249">
              <w:rPr>
                <w:rFonts w:eastAsiaTheme="minorEastAsia"/>
                <w:sz w:val="22"/>
                <w:rtl/>
              </w:rPr>
              <w:t>لأن الدولة الطرف لم تر من الضروري أن تدرج في السجل حالة إجراءات البحث والتحقيق ذات الصلة، فضل</w:t>
            </w:r>
            <w:r w:rsidR="00D70BF7" w:rsidRPr="00096249">
              <w:rPr>
                <w:rFonts w:eastAsiaTheme="minorEastAsia"/>
                <w:sz w:val="22"/>
                <w:rtl/>
              </w:rPr>
              <w:t xml:space="preserve">اً </w:t>
            </w:r>
            <w:r w:rsidRPr="00096249">
              <w:rPr>
                <w:rFonts w:eastAsiaTheme="minorEastAsia"/>
                <w:sz w:val="22"/>
                <w:rtl/>
              </w:rPr>
              <w:t>عن إجراءات استخراج الجثث وتحديد هوية أصحابها وإعادتها.</w:t>
            </w:r>
          </w:p>
          <w:p w14:paraId="6F399017" w14:textId="2E8E07CA"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وإذ تراعي اللجنة الاعتبارات المذكورة أعلاه، تكرر توصيتها وتطلب إلى الدولة الطرف أن تقدم معلومات مستكملة عن تنفيذها عند تقديم تقريرها المقبل بموجب الفقرة </w:t>
            </w:r>
            <w:r w:rsidRPr="00096249">
              <w:rPr>
                <w:rFonts w:eastAsiaTheme="minorEastAsia"/>
                <w:sz w:val="22"/>
                <w:rtl/>
              </w:rPr>
              <w:t>4</w:t>
            </w:r>
            <w:r w:rsidRPr="00DB6111">
              <w:rPr>
                <w:rFonts w:eastAsiaTheme="minorEastAsia"/>
                <w:sz w:val="22"/>
                <w:rtl/>
              </w:rPr>
              <w:t xml:space="preserve"> من المادة </w:t>
            </w:r>
            <w:r w:rsidRPr="00096249">
              <w:rPr>
                <w:rFonts w:eastAsiaTheme="minorEastAsia"/>
                <w:sz w:val="22"/>
                <w:rtl/>
              </w:rPr>
              <w:t>29</w:t>
            </w:r>
            <w:r w:rsidRPr="00DB6111">
              <w:rPr>
                <w:rFonts w:eastAsiaTheme="minorEastAsia"/>
                <w:sz w:val="22"/>
                <w:rtl/>
              </w:rPr>
              <w:t xml:space="preserve"> من الاتفاقية. وتطلب اللجنة إلى الدولة الطرف، لدى قيامها بذلك، إدراج المعلومات التالية: (أ) التقدم المحرز في عملية تنقية السجل الوطني للأشخاص المختفين وتوحيده؛ (ب) التدابير المتخذة لتعزيز وتيسير وضمان مشاركة الضحايا ومنظمات المجتمع المدني في عمليات تجميع المعلومات الإحصائية وتنقية البيانات، فضل</w:t>
            </w:r>
            <w:r w:rsidR="00D70BF7" w:rsidRPr="00DB6111">
              <w:rPr>
                <w:rFonts w:eastAsiaTheme="minorEastAsia"/>
                <w:sz w:val="22"/>
                <w:rtl/>
              </w:rPr>
              <w:t xml:space="preserve">اً </w:t>
            </w:r>
            <w:r w:rsidRPr="00DB6111">
              <w:rPr>
                <w:rFonts w:eastAsiaTheme="minorEastAsia"/>
                <w:sz w:val="22"/>
                <w:rtl/>
              </w:rPr>
              <w:t>عن تعزيز وتيسير الإبلاغ عن الحالات وتحديثها؛</w:t>
            </w:r>
            <w:r w:rsidR="00F75CF1" w:rsidRPr="00DB6111">
              <w:rPr>
                <w:rFonts w:eastAsiaTheme="minorEastAsia"/>
                <w:sz w:val="22"/>
                <w:rtl/>
              </w:rPr>
              <w:t xml:space="preserve"> </w:t>
            </w:r>
            <w:r w:rsidRPr="00DB6111">
              <w:rPr>
                <w:rFonts w:eastAsiaTheme="minorEastAsia"/>
                <w:sz w:val="22"/>
                <w:rtl/>
              </w:rPr>
              <w:t xml:space="preserve">(ج) بيانات مستكملة - مصنفة حسب الجنس والهوية الجنسانية والميل الجنسي والسن والجنسية والأصل الإثني والانتماء الديني ومهنة الضحية - عن عدد الأشخاص المختفين في الدولة الطرف، مع تحديد تاريخ الاختفاءِ ومكانه، وعدد هؤلاء الأشخاص الذين عُثر عليهم، وعدد الأشخاص الذين ربما تعرضوا للاختفاء القسري بالمعنى المقصود في تعريف الاختفاء القسري الوارد في المادة </w:t>
            </w:r>
            <w:r w:rsidRPr="00096249">
              <w:rPr>
                <w:rFonts w:eastAsiaTheme="minorEastAsia"/>
                <w:sz w:val="22"/>
                <w:rtl/>
              </w:rPr>
              <w:t>2</w:t>
            </w:r>
            <w:r w:rsidRPr="00DB6111">
              <w:rPr>
                <w:rFonts w:eastAsiaTheme="minorEastAsia"/>
                <w:sz w:val="22"/>
                <w:rtl/>
              </w:rPr>
              <w:t xml:space="preserve"> من الاتفاقية،</w:t>
            </w:r>
            <w:r w:rsidR="00F75CF1" w:rsidRPr="00DB6111">
              <w:rPr>
                <w:rFonts w:eastAsiaTheme="minorEastAsia"/>
                <w:sz w:val="22"/>
                <w:rtl/>
              </w:rPr>
              <w:t xml:space="preserve"> </w:t>
            </w:r>
            <w:r w:rsidRPr="00DB6111">
              <w:rPr>
                <w:rFonts w:eastAsiaTheme="minorEastAsia"/>
                <w:sz w:val="22"/>
                <w:rtl/>
              </w:rPr>
              <w:t xml:space="preserve">وعدد الأشخاص الذين قد يكونون تعرضوا </w:t>
            </w:r>
            <w:r w:rsidRPr="00F21389">
              <w:rPr>
                <w:rFonts w:eastAsiaTheme="minorEastAsia"/>
                <w:spacing w:val="-4"/>
                <w:sz w:val="22"/>
                <w:rtl/>
              </w:rPr>
              <w:t xml:space="preserve">للأفعال المبينة في المادة </w:t>
            </w:r>
            <w:r w:rsidRPr="00096249">
              <w:rPr>
                <w:rFonts w:eastAsiaTheme="minorEastAsia"/>
                <w:spacing w:val="-4"/>
                <w:sz w:val="22"/>
                <w:rtl/>
              </w:rPr>
              <w:t>3</w:t>
            </w:r>
            <w:r w:rsidRPr="00F21389">
              <w:rPr>
                <w:rFonts w:eastAsiaTheme="minorEastAsia"/>
                <w:spacing w:val="-4"/>
                <w:sz w:val="22"/>
                <w:rtl/>
              </w:rPr>
              <w:t xml:space="preserve"> من الاتفاقية؛ (د) بيان نتائج رصد الحالات الـ </w:t>
            </w:r>
            <w:r w:rsidRPr="00096249">
              <w:rPr>
                <w:rFonts w:eastAsiaTheme="minorEastAsia"/>
                <w:spacing w:val="-4"/>
                <w:sz w:val="22"/>
                <w:rtl/>
              </w:rPr>
              <w:t>123</w:t>
            </w:r>
            <w:r w:rsidRPr="00F21389">
              <w:rPr>
                <w:rFonts w:eastAsiaTheme="minorEastAsia"/>
                <w:spacing w:val="-4"/>
                <w:sz w:val="22"/>
                <w:rtl/>
              </w:rPr>
              <w:t xml:space="preserve"> </w:t>
            </w:r>
            <w:r w:rsidRPr="00096249">
              <w:rPr>
                <w:rFonts w:eastAsiaTheme="minorEastAsia"/>
                <w:spacing w:val="-4"/>
                <w:sz w:val="22"/>
                <w:rtl/>
              </w:rPr>
              <w:t>4</w:t>
            </w:r>
            <w:r w:rsidRPr="00F21389">
              <w:rPr>
                <w:rFonts w:eastAsiaTheme="minorEastAsia"/>
                <w:spacing w:val="-4"/>
                <w:sz w:val="22"/>
                <w:rtl/>
              </w:rPr>
              <w:t xml:space="preserve"> الذي أجراه المعهد</w:t>
            </w:r>
            <w:r w:rsidR="007027FD" w:rsidRPr="00F21389">
              <w:rPr>
                <w:rFonts w:eastAsiaTheme="minorEastAsia" w:hint="cs"/>
                <w:spacing w:val="-4"/>
                <w:sz w:val="22"/>
                <w:rtl/>
              </w:rPr>
              <w:t> </w:t>
            </w:r>
            <w:r w:rsidRPr="00F21389">
              <w:rPr>
                <w:rFonts w:eastAsiaTheme="minorEastAsia"/>
                <w:spacing w:val="-4"/>
                <w:sz w:val="22"/>
                <w:rtl/>
              </w:rPr>
              <w:t>الوطني للطب</w:t>
            </w:r>
            <w:r w:rsidRPr="00DB6111">
              <w:rPr>
                <w:rFonts w:eastAsiaTheme="minorEastAsia"/>
                <w:sz w:val="22"/>
                <w:rtl/>
              </w:rPr>
              <w:t xml:space="preserve"> القانوني وعلوم الأدلة الجنائية، بالإشارة إلى الفقرة </w:t>
            </w:r>
            <w:r w:rsidRPr="00096249">
              <w:rPr>
                <w:rFonts w:eastAsiaTheme="minorEastAsia"/>
                <w:sz w:val="22"/>
                <w:rtl/>
              </w:rPr>
              <w:t>12</w:t>
            </w:r>
            <w:r w:rsidRPr="00DB6111">
              <w:rPr>
                <w:rFonts w:eastAsiaTheme="minorEastAsia"/>
                <w:sz w:val="22"/>
                <w:rtl/>
              </w:rPr>
              <w:t xml:space="preserve"> من تقرير الدولة الطرف؛ (ه) فيما</w:t>
            </w:r>
            <w:r w:rsidR="007027FD" w:rsidRPr="00DB6111">
              <w:rPr>
                <w:rFonts w:eastAsiaTheme="minorEastAsia" w:hint="cs"/>
                <w:sz w:val="22"/>
                <w:rtl/>
              </w:rPr>
              <w:t> </w:t>
            </w:r>
            <w:r w:rsidRPr="00DB6111">
              <w:rPr>
                <w:rFonts w:eastAsiaTheme="minorEastAsia"/>
                <w:sz w:val="22"/>
                <w:rtl/>
              </w:rPr>
              <w:t xml:space="preserve">يتعلق بالفقرة </w:t>
            </w:r>
            <w:r w:rsidRPr="00096249">
              <w:rPr>
                <w:rFonts w:eastAsiaTheme="minorEastAsia"/>
                <w:sz w:val="22"/>
                <w:rtl/>
              </w:rPr>
              <w:t>18</w:t>
            </w:r>
            <w:r w:rsidRPr="00DB6111">
              <w:rPr>
                <w:rFonts w:eastAsiaTheme="minorEastAsia"/>
                <w:sz w:val="22"/>
                <w:rtl/>
              </w:rPr>
              <w:t xml:space="preserve"> من تقرير الدولة الطرف، تحديد ما إذا كان السجل الوطني للأشخاص المختفين يسمح بتصنيف انتماء الضحية إلى مجتمع </w:t>
            </w:r>
            <w:proofErr w:type="spellStart"/>
            <w:r w:rsidRPr="00DB6111">
              <w:rPr>
                <w:rFonts w:eastAsiaTheme="minorEastAsia"/>
                <w:sz w:val="22"/>
                <w:rtl/>
              </w:rPr>
              <w:t>المثليات</w:t>
            </w:r>
            <w:proofErr w:type="spellEnd"/>
            <w:r w:rsidRPr="00DB6111">
              <w:rPr>
                <w:rFonts w:eastAsiaTheme="minorEastAsia"/>
                <w:sz w:val="22"/>
                <w:rtl/>
              </w:rPr>
              <w:t xml:space="preserve"> والمثليين ومزدوجي الميل الجنسي ومغايري الهوية الجنسانية باعتبار ذلك "عامل ضعف"، وما إذا كانت هناك خطط لتوضيح تصنيفات الميل الجنسي والهوية الجنسانية في السجل</w:t>
            </w:r>
            <w:r w:rsidRPr="00096249">
              <w:rPr>
                <w:rFonts w:eastAsiaTheme="minorEastAsia"/>
                <w:sz w:val="22"/>
                <w:rtl/>
              </w:rPr>
              <w:t>؛ (و) التقدم</w:t>
            </w:r>
            <w:r w:rsidRPr="00DB6111">
              <w:rPr>
                <w:rFonts w:eastAsiaTheme="minorEastAsia"/>
                <w:sz w:val="22"/>
                <w:rtl/>
              </w:rPr>
              <w:t xml:space="preserve"> المحرز في إدراج متغير "حالة البحث" في عالم الأشخاص المبلغ عن اختفائهم وفي السجل الوطني للأشخاص المختفين المشار إليهم</w:t>
            </w:r>
            <w:r w:rsidR="00F75CF1" w:rsidRPr="00DB6111">
              <w:rPr>
                <w:rFonts w:eastAsiaTheme="minorEastAsia"/>
                <w:sz w:val="22"/>
                <w:rtl/>
              </w:rPr>
              <w:t xml:space="preserve"> </w:t>
            </w:r>
            <w:r w:rsidRPr="00DB6111">
              <w:rPr>
                <w:rFonts w:eastAsiaTheme="minorEastAsia"/>
                <w:sz w:val="22"/>
                <w:rtl/>
              </w:rPr>
              <w:t xml:space="preserve">في الفقرة </w:t>
            </w:r>
            <w:r w:rsidRPr="00096249">
              <w:rPr>
                <w:rFonts w:eastAsiaTheme="minorEastAsia"/>
                <w:sz w:val="22"/>
                <w:rtl/>
              </w:rPr>
              <w:t>25</w:t>
            </w:r>
            <w:r w:rsidRPr="00DB6111">
              <w:rPr>
                <w:rFonts w:eastAsiaTheme="minorEastAsia"/>
                <w:sz w:val="22"/>
                <w:rtl/>
              </w:rPr>
              <w:t xml:space="preserve"> من تقرير الدولة الطرف. </w:t>
            </w:r>
          </w:p>
        </w:tc>
      </w:tr>
      <w:tr w:rsidR="00DB6111" w:rsidRPr="00DB6111" w14:paraId="1FF1BB34" w14:textId="77777777" w:rsidTr="00E5600C">
        <w:trPr>
          <w:trHeight w:val="4459"/>
        </w:trPr>
        <w:tc>
          <w:tcPr>
            <w:tcW w:w="7370" w:type="dxa"/>
            <w:gridSpan w:val="2"/>
            <w:tcBorders>
              <w:top w:val="nil"/>
            </w:tcBorders>
            <w:shd w:val="clear" w:color="auto" w:fill="auto"/>
            <w:tcMar>
              <w:top w:w="80" w:type="dxa"/>
              <w:left w:w="80" w:type="dxa"/>
              <w:bottom w:w="80" w:type="dxa"/>
              <w:right w:w="193" w:type="dxa"/>
            </w:tcMar>
          </w:tcPr>
          <w:p w14:paraId="201A4CB5" w14:textId="6FCA00C9" w:rsidR="00B74DAB" w:rsidRPr="00096249" w:rsidRDefault="00B74DAB" w:rsidP="00F75CF1">
            <w:pPr>
              <w:spacing w:after="120" w:line="360" w:lineRule="exact"/>
              <w:ind w:right="113"/>
              <w:textDirection w:val="tbRlV"/>
              <w:rPr>
                <w:rFonts w:eastAsiaTheme="minorEastAsia"/>
                <w:bCs/>
                <w:sz w:val="22"/>
                <w:lang w:val="ar-SA" w:eastAsia="zh-TW" w:bidi="en-GB"/>
              </w:rPr>
            </w:pPr>
            <w:r w:rsidRPr="00096249">
              <w:rPr>
                <w:rFonts w:eastAsiaTheme="minorEastAsia"/>
                <w:bCs/>
                <w:sz w:val="22"/>
                <w:rtl/>
              </w:rPr>
              <w:lastRenderedPageBreak/>
              <w:t>الفقرة 1</w:t>
            </w:r>
            <w:r w:rsidR="00DB6111" w:rsidRPr="00096249">
              <w:rPr>
                <w:rFonts w:eastAsiaTheme="minorEastAsia"/>
                <w:bCs/>
                <w:sz w:val="22"/>
                <w:rtl/>
              </w:rPr>
              <w:t xml:space="preserve">9: </w:t>
            </w:r>
            <w:r w:rsidRPr="00096249">
              <w:rPr>
                <w:rFonts w:eastAsiaTheme="minorEastAsia"/>
                <w:bCs/>
                <w:sz w:val="22"/>
                <w:rtl/>
              </w:rPr>
              <w:t>توصي اللجنة الدولة الطرف باتخاذ جميع التدابير اللازمة لتحقيق ما يلي:</w:t>
            </w:r>
          </w:p>
          <w:p w14:paraId="2BFD7F57" w14:textId="1779DB9B" w:rsidR="00B74DAB" w:rsidRPr="00096249" w:rsidRDefault="007027FD" w:rsidP="00F75CF1">
            <w:pPr>
              <w:spacing w:after="120" w:line="360" w:lineRule="exact"/>
              <w:ind w:right="113"/>
              <w:textDirection w:val="tbRlV"/>
              <w:rPr>
                <w:rFonts w:eastAsiaTheme="minorEastAsia"/>
                <w:bCs/>
                <w:sz w:val="22"/>
                <w:lang w:val="ar-SA" w:eastAsia="zh-TW" w:bidi="en-GB"/>
              </w:rPr>
            </w:pPr>
            <w:r w:rsidRPr="00096249">
              <w:rPr>
                <w:rFonts w:eastAsiaTheme="minorEastAsia"/>
                <w:bCs/>
                <w:sz w:val="22"/>
                <w:rtl/>
              </w:rPr>
              <w:tab/>
            </w:r>
            <w:r w:rsidR="00B74DAB" w:rsidRPr="00096249">
              <w:rPr>
                <w:rFonts w:eastAsiaTheme="minorEastAsia"/>
                <w:bCs/>
                <w:sz w:val="22"/>
                <w:rtl/>
              </w:rPr>
              <w:t>(أ)</w:t>
            </w:r>
            <w:r w:rsidR="00B74DAB" w:rsidRPr="00096249">
              <w:rPr>
                <w:rFonts w:eastAsiaTheme="minorEastAsia"/>
                <w:bCs/>
                <w:sz w:val="22"/>
                <w:rtl/>
              </w:rPr>
              <w:tab/>
              <w:t>ضمان التحقيق في جميع حالات الاختفاء القسري بحكم وظيفتها، على وجه السرعة وبصورة شاملة ومحايدة ومستقلة وباتباع نهج تفاضلي، وأن تمنح الولاية القضائية الخاصة من أجل السلام الأولوية لبدء النظر في القضايا الكلية، في نطاق اختصاصها، فيما يتعلق بحالات الاختفاء القسري المرتكبة في سياق النزاع؛</w:t>
            </w:r>
          </w:p>
          <w:p w14:paraId="370B004D" w14:textId="38EA7990" w:rsidR="00B74DAB" w:rsidRPr="00096249" w:rsidRDefault="007027FD" w:rsidP="00F75CF1">
            <w:pPr>
              <w:spacing w:after="120" w:line="360" w:lineRule="exact"/>
              <w:ind w:right="113"/>
              <w:textDirection w:val="tbRlV"/>
              <w:rPr>
                <w:rFonts w:eastAsiaTheme="minorEastAsia"/>
                <w:bCs/>
                <w:sz w:val="22"/>
                <w:lang w:val="ar-SA" w:eastAsia="zh-TW" w:bidi="en-GB"/>
              </w:rPr>
            </w:pPr>
            <w:r w:rsidRPr="00096249">
              <w:rPr>
                <w:rFonts w:eastAsiaTheme="minorEastAsia"/>
                <w:bCs/>
                <w:sz w:val="22"/>
                <w:rtl/>
              </w:rPr>
              <w:tab/>
            </w:r>
            <w:r w:rsidR="00B74DAB" w:rsidRPr="00096249">
              <w:rPr>
                <w:rFonts w:eastAsiaTheme="minorEastAsia"/>
                <w:bCs/>
                <w:sz w:val="22"/>
                <w:rtl/>
              </w:rPr>
              <w:t>(ب)</w:t>
            </w:r>
            <w:r w:rsidR="00B74DAB" w:rsidRPr="00096249">
              <w:rPr>
                <w:rFonts w:eastAsiaTheme="minorEastAsia"/>
                <w:bCs/>
                <w:sz w:val="22"/>
                <w:rtl/>
              </w:rPr>
              <w:tab/>
              <w:t>ضمان محاكمة الجناة المزعومين للاختفاء القسري، بمن فيهم الرؤساء العسكريون والمدنيون وموظفو الدولة الذين يأذنون بحالات الاختفاء هذه أو يدعمونها أو يرضخون لها، وفرض العقوبات المناسبة عليهم إذا ثبتت إدانتهم؛</w:t>
            </w:r>
          </w:p>
          <w:p w14:paraId="3C175FB1" w14:textId="16466241" w:rsidR="00B74DAB" w:rsidRPr="00096249" w:rsidRDefault="007027FD" w:rsidP="00F75CF1">
            <w:pPr>
              <w:spacing w:after="120" w:line="360" w:lineRule="exact"/>
              <w:ind w:right="113"/>
              <w:textDirection w:val="tbRlV"/>
              <w:rPr>
                <w:rFonts w:eastAsiaTheme="minorEastAsia"/>
                <w:bCs/>
                <w:sz w:val="22"/>
                <w:lang w:val="ar-SA" w:eastAsia="zh-TW" w:bidi="en-GB"/>
              </w:rPr>
            </w:pPr>
            <w:r w:rsidRPr="00096249">
              <w:rPr>
                <w:rFonts w:eastAsiaTheme="minorEastAsia"/>
                <w:bCs/>
                <w:sz w:val="22"/>
                <w:rtl/>
              </w:rPr>
              <w:tab/>
            </w:r>
            <w:r w:rsidR="00B74DAB" w:rsidRPr="00096249">
              <w:rPr>
                <w:rFonts w:eastAsiaTheme="minorEastAsia"/>
                <w:bCs/>
                <w:sz w:val="22"/>
                <w:rtl/>
              </w:rPr>
              <w:t>(ج)</w:t>
            </w:r>
            <w:r w:rsidR="00B74DAB" w:rsidRPr="00096249">
              <w:rPr>
                <w:rFonts w:eastAsiaTheme="minorEastAsia"/>
                <w:bCs/>
                <w:sz w:val="22"/>
                <w:rtl/>
              </w:rPr>
              <w:tab/>
              <w:t>منع موظفي الدولة، المدنيين أو العسكريين، من إعطاء تعليمات بتزوير الروايات وإخفاء الحقيقة وعرقلة التحقيقات؛</w:t>
            </w:r>
          </w:p>
          <w:p w14:paraId="67BEDB58" w14:textId="25342265" w:rsidR="00B74DAB" w:rsidRPr="00096249" w:rsidRDefault="007027FD" w:rsidP="00F75CF1">
            <w:pPr>
              <w:spacing w:after="120" w:line="360" w:lineRule="exact"/>
              <w:ind w:right="113"/>
              <w:textDirection w:val="tbRlV"/>
              <w:rPr>
                <w:rFonts w:eastAsiaTheme="minorEastAsia"/>
                <w:bCs/>
                <w:sz w:val="22"/>
                <w:lang w:val="ar-SA" w:eastAsia="zh-TW" w:bidi="en-GB"/>
              </w:rPr>
            </w:pPr>
            <w:r w:rsidRPr="00096249">
              <w:rPr>
                <w:rFonts w:eastAsiaTheme="minorEastAsia"/>
                <w:bCs/>
                <w:sz w:val="22"/>
                <w:rtl/>
              </w:rPr>
              <w:tab/>
            </w:r>
            <w:r w:rsidR="00B74DAB" w:rsidRPr="00096249">
              <w:rPr>
                <w:rFonts w:eastAsiaTheme="minorEastAsia"/>
                <w:bCs/>
                <w:sz w:val="22"/>
                <w:rtl/>
              </w:rPr>
              <w:t>(د)</w:t>
            </w:r>
            <w:r w:rsidR="00B74DAB" w:rsidRPr="00096249">
              <w:rPr>
                <w:rFonts w:eastAsiaTheme="minorEastAsia"/>
                <w:bCs/>
                <w:sz w:val="22"/>
                <w:rtl/>
              </w:rPr>
              <w:tab/>
              <w:t>ضمان حصول جميع المؤسسات المشاركة في التحقيق في حالات الاختفاء القسري، بما في ذلك لجنة الحقيقة والولاية القضائية الخاصة، بشكل فعال وفي الوقت المناسب على جميع الوثائق ذات الصلة التي قد تكون في حوزة وكالات الدولة، ولا سيما وكالات الاستخبارات التابعة للقوات المسلحة وقوات الأمن.</w:t>
            </w:r>
          </w:p>
        </w:tc>
      </w:tr>
      <w:tr w:rsidR="00DB6111" w:rsidRPr="00DB6111" w14:paraId="0E073638" w14:textId="77777777" w:rsidTr="00E5600C">
        <w:trPr>
          <w:trHeight w:val="239"/>
        </w:trPr>
        <w:tc>
          <w:tcPr>
            <w:tcW w:w="7370" w:type="dxa"/>
            <w:gridSpan w:val="2"/>
            <w:shd w:val="clear" w:color="auto" w:fill="auto"/>
            <w:tcMar>
              <w:top w:w="80" w:type="dxa"/>
              <w:left w:w="80" w:type="dxa"/>
              <w:bottom w:w="80" w:type="dxa"/>
              <w:right w:w="193" w:type="dxa"/>
            </w:tcMar>
          </w:tcPr>
          <w:p w14:paraId="17A77383" w14:textId="77777777"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رد الدولة الطرف</w:t>
            </w:r>
          </w:p>
        </w:tc>
      </w:tr>
      <w:tr w:rsidR="00DB6111" w:rsidRPr="00DB6111" w14:paraId="34CF7F10" w14:textId="77777777" w:rsidTr="00E5600C">
        <w:trPr>
          <w:trHeight w:val="239"/>
        </w:trPr>
        <w:tc>
          <w:tcPr>
            <w:tcW w:w="7370" w:type="dxa"/>
            <w:gridSpan w:val="2"/>
            <w:shd w:val="clear" w:color="auto" w:fill="auto"/>
            <w:tcMar>
              <w:top w:w="80" w:type="dxa"/>
              <w:left w:w="80" w:type="dxa"/>
              <w:bottom w:w="80" w:type="dxa"/>
              <w:right w:w="193" w:type="dxa"/>
            </w:tcMar>
          </w:tcPr>
          <w:p w14:paraId="45B7BCB6" w14:textId="56FCBA76" w:rsidR="00B74DAB" w:rsidRPr="00DB6111" w:rsidRDefault="00B74DAB" w:rsidP="00DB611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يرد رد الدولة الطرف في الفقرات من </w:t>
            </w:r>
            <w:r w:rsidRPr="00096249">
              <w:rPr>
                <w:rFonts w:eastAsiaTheme="minorEastAsia"/>
                <w:sz w:val="22"/>
                <w:rtl/>
              </w:rPr>
              <w:t>44</w:t>
            </w:r>
            <w:r w:rsidRPr="00DB6111">
              <w:rPr>
                <w:rFonts w:eastAsiaTheme="minorEastAsia"/>
                <w:sz w:val="22"/>
                <w:rtl/>
              </w:rPr>
              <w:t xml:space="preserve"> إلى </w:t>
            </w:r>
            <w:r w:rsidRPr="00096249">
              <w:rPr>
                <w:rFonts w:eastAsiaTheme="minorEastAsia"/>
                <w:sz w:val="22"/>
                <w:rtl/>
              </w:rPr>
              <w:t>92</w:t>
            </w:r>
            <w:r w:rsidRPr="00DB6111">
              <w:rPr>
                <w:rFonts w:eastAsiaTheme="minorEastAsia"/>
                <w:sz w:val="22"/>
                <w:rtl/>
              </w:rPr>
              <w:t xml:space="preserve"> من الوثيقة </w:t>
            </w:r>
            <w:hyperlink r:id="rId17" w:history="1">
              <w:r w:rsidRPr="00DB6111">
                <w:rPr>
                  <w:rStyle w:val="Hyperlink"/>
                  <w:rFonts w:eastAsiaTheme="minorEastAsia"/>
                  <w:sz w:val="22"/>
                </w:rPr>
                <w:t>CED/C/COL/FOAI/</w:t>
              </w:r>
              <w:r w:rsidRPr="00096249">
                <w:rPr>
                  <w:rStyle w:val="Hyperlink"/>
                  <w:rFonts w:eastAsiaTheme="minorEastAsia"/>
                  <w:sz w:val="22"/>
                </w:rPr>
                <w:t>1</w:t>
              </w:r>
              <w:r w:rsidRPr="00DB6111">
                <w:rPr>
                  <w:rStyle w:val="Hyperlink"/>
                  <w:rFonts w:eastAsiaTheme="minorEastAsia"/>
                  <w:sz w:val="22"/>
                  <w:rtl/>
                </w:rPr>
                <w:t>.</w:t>
              </w:r>
            </w:hyperlink>
          </w:p>
        </w:tc>
      </w:tr>
      <w:tr w:rsidR="00DB6111" w:rsidRPr="00DB6111" w14:paraId="1C52AB5C" w14:textId="77777777" w:rsidTr="00E5600C">
        <w:trPr>
          <w:trHeight w:val="239"/>
        </w:trPr>
        <w:tc>
          <w:tcPr>
            <w:tcW w:w="7370" w:type="dxa"/>
            <w:gridSpan w:val="2"/>
            <w:tcBorders>
              <w:bottom w:val="nil"/>
            </w:tcBorders>
            <w:shd w:val="clear" w:color="auto" w:fill="auto"/>
            <w:tcMar>
              <w:top w:w="80" w:type="dxa"/>
              <w:left w:w="80" w:type="dxa"/>
              <w:bottom w:w="80" w:type="dxa"/>
              <w:right w:w="193" w:type="dxa"/>
            </w:tcMar>
          </w:tcPr>
          <w:p w14:paraId="174A66B3"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تقييم اللجنة:</w:t>
            </w:r>
          </w:p>
        </w:tc>
      </w:tr>
      <w:tr w:rsidR="00DB6111" w:rsidRPr="00DB6111" w14:paraId="480D77F7" w14:textId="77777777" w:rsidTr="00E5600C">
        <w:trPr>
          <w:trHeight w:val="518"/>
        </w:trPr>
        <w:tc>
          <w:tcPr>
            <w:tcW w:w="7370" w:type="dxa"/>
            <w:gridSpan w:val="2"/>
            <w:tcBorders>
              <w:top w:val="nil"/>
              <w:bottom w:val="nil"/>
            </w:tcBorders>
            <w:shd w:val="clear" w:color="auto" w:fill="auto"/>
            <w:tcMar>
              <w:top w:w="80" w:type="dxa"/>
              <w:left w:w="80" w:type="dxa"/>
              <w:bottom w:w="80" w:type="dxa"/>
              <w:right w:w="193" w:type="dxa"/>
            </w:tcMar>
          </w:tcPr>
          <w:p w14:paraId="2A84A318" w14:textId="167EFD5E"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b/>
                <w:bCs/>
                <w:sz w:val="22"/>
                <w:rtl/>
              </w:rPr>
              <w:t>[جيم</w:t>
            </w:r>
            <w:r w:rsidR="00DB6111" w:rsidRPr="00DB6111">
              <w:rPr>
                <w:rFonts w:eastAsiaTheme="minorEastAsia"/>
                <w:b/>
                <w:bCs/>
                <w:sz w:val="22"/>
                <w:rtl/>
              </w:rPr>
              <w:t>]:</w:t>
            </w:r>
            <w:r w:rsidR="00DB6111" w:rsidRPr="00DB6111">
              <w:rPr>
                <w:rFonts w:eastAsiaTheme="minorEastAsia"/>
                <w:sz w:val="22"/>
                <w:rtl/>
              </w:rPr>
              <w:t xml:space="preserve"> </w:t>
            </w:r>
            <w:r w:rsidRPr="00DB6111">
              <w:rPr>
                <w:rFonts w:eastAsiaTheme="minorEastAsia"/>
                <w:sz w:val="22"/>
                <w:rtl/>
              </w:rPr>
              <w:t>تحيط اللجنة علم</w:t>
            </w:r>
            <w:r w:rsidR="00D70BF7" w:rsidRPr="00DB6111">
              <w:rPr>
                <w:rFonts w:eastAsiaTheme="minorEastAsia"/>
                <w:sz w:val="22"/>
                <w:rtl/>
              </w:rPr>
              <w:t xml:space="preserve">اً </w:t>
            </w:r>
            <w:r w:rsidRPr="00DB6111">
              <w:rPr>
                <w:rFonts w:eastAsiaTheme="minorEastAsia"/>
                <w:sz w:val="22"/>
                <w:rtl/>
              </w:rPr>
              <w:t xml:space="preserve">بالمعلومات التي قدمتها الدولة الطرف بشأن التدابير المتخذة للتحقيق في </w:t>
            </w:r>
            <w:r w:rsidRPr="00096249">
              <w:rPr>
                <w:rFonts w:eastAsiaTheme="minorEastAsia"/>
                <w:sz w:val="22"/>
                <w:rtl/>
              </w:rPr>
              <w:t>حالات الاختفاء القسري. وبينما تسلم اللجنة بأن المعلومات المقدمة تتعلق في بعض النواحي بالإجراءات الأخيرة، بل إن بعضها يعود إلى عام 2022، فإنها تود أن تشدد على أن هذه المعلومات ليست كافية لتقييم مدى إحراز تقدم كبير في التحقيق في حالات الاختفاء القسري من جانب مكتب المدعي العام والولاية القضائية الخاصة للسلام منذ اعتماد الملاحظات الختامية للجنة. وتلاحظ اللجنة أيض</w:t>
            </w:r>
            <w:r w:rsidR="00D70BF7" w:rsidRPr="00096249">
              <w:rPr>
                <w:rFonts w:eastAsiaTheme="minorEastAsia"/>
                <w:sz w:val="22"/>
                <w:rtl/>
              </w:rPr>
              <w:t xml:space="preserve">اً </w:t>
            </w:r>
            <w:r w:rsidRPr="00096249">
              <w:rPr>
                <w:rFonts w:eastAsiaTheme="minorEastAsia"/>
                <w:sz w:val="22"/>
                <w:rtl/>
              </w:rPr>
              <w:t>مع القلق أنه، وفق</w:t>
            </w:r>
            <w:r w:rsidR="00D70BF7" w:rsidRPr="00096249">
              <w:rPr>
                <w:rFonts w:eastAsiaTheme="minorEastAsia"/>
                <w:sz w:val="22"/>
                <w:rtl/>
              </w:rPr>
              <w:t xml:space="preserve">اً </w:t>
            </w:r>
            <w:r w:rsidRPr="00096249">
              <w:rPr>
                <w:rFonts w:eastAsiaTheme="minorEastAsia"/>
                <w:sz w:val="22"/>
                <w:rtl/>
              </w:rPr>
              <w:t>للمعلومات المتاحة، فإن جميع حالات الاختفاء القسري تقريب</w:t>
            </w:r>
            <w:r w:rsidR="00D70BF7" w:rsidRPr="00096249">
              <w:rPr>
                <w:rFonts w:eastAsiaTheme="minorEastAsia"/>
                <w:sz w:val="22"/>
                <w:rtl/>
              </w:rPr>
              <w:t xml:space="preserve">اً </w:t>
            </w:r>
            <w:r w:rsidRPr="00096249">
              <w:rPr>
                <w:rFonts w:eastAsiaTheme="minorEastAsia"/>
                <w:sz w:val="22"/>
                <w:rtl/>
              </w:rPr>
              <w:t>مرت من دون عقاب، في حين أفيد بأن حالات أخرى قد أدرجت في المحفوظات على الرغم من أن الضحية لم تعد للظهور ولم يتم تحديد مكانها.</w:t>
            </w:r>
          </w:p>
          <w:p w14:paraId="3D718BD0" w14:textId="1E01695B"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وتكرر اللجنة توصيتها وتطلب إلى الدولة الطرف أن تقدم معلومات مستكملة عن تنفيذها عند تقديم تقريرها المقبل بموجب المادة </w:t>
            </w:r>
            <w:r w:rsidRPr="00096249">
              <w:rPr>
                <w:rFonts w:eastAsiaTheme="minorEastAsia"/>
                <w:sz w:val="22"/>
                <w:rtl/>
              </w:rPr>
              <w:t>29</w:t>
            </w:r>
            <w:r w:rsidRPr="00DB6111">
              <w:rPr>
                <w:rFonts w:eastAsiaTheme="minorEastAsia"/>
                <w:sz w:val="22"/>
                <w:rtl/>
              </w:rPr>
              <w:t>(</w:t>
            </w:r>
            <w:r w:rsidR="00DB6111" w:rsidRPr="00096249">
              <w:rPr>
                <w:rFonts w:eastAsiaTheme="minorEastAsia"/>
                <w:sz w:val="22"/>
                <w:rtl/>
              </w:rPr>
              <w:t>4</w:t>
            </w:r>
            <w:r w:rsidR="00DB6111" w:rsidRPr="00DB6111">
              <w:rPr>
                <w:rFonts w:eastAsiaTheme="minorEastAsia"/>
                <w:sz w:val="22"/>
                <w:rtl/>
              </w:rPr>
              <w:t xml:space="preserve">) </w:t>
            </w:r>
            <w:r w:rsidRPr="00DB6111">
              <w:rPr>
                <w:rFonts w:eastAsiaTheme="minorEastAsia"/>
                <w:sz w:val="22"/>
                <w:rtl/>
              </w:rPr>
              <w:t xml:space="preserve">من الاتفاقية. وتطلب اللجنة إلى الدولة الطرف، لدى قيامها بذلك، أن تدرج المعلومات التالية: (أ) معلومات إحصائية مستكملة عن عدد الإدانات بحالات الاختفاء القسري؛ (ب) معلومات إضافية، بما في ذلك أمثلة، عن النهج التفاضلي والنهج </w:t>
            </w:r>
            <w:proofErr w:type="spellStart"/>
            <w:r w:rsidRPr="00DB6111">
              <w:rPr>
                <w:rFonts w:eastAsiaTheme="minorEastAsia"/>
                <w:sz w:val="22"/>
                <w:rtl/>
              </w:rPr>
              <w:t>الجنساني</w:t>
            </w:r>
            <w:proofErr w:type="spellEnd"/>
            <w:r w:rsidRPr="00DB6111">
              <w:rPr>
                <w:rFonts w:eastAsiaTheme="minorEastAsia"/>
                <w:sz w:val="22"/>
                <w:rtl/>
              </w:rPr>
              <w:t xml:space="preserve"> اللذين ينفذهما مكتب المدعي العام في الحالات التي تم فيها تحديد الأطفال والمراهقين </w:t>
            </w:r>
            <w:proofErr w:type="spellStart"/>
            <w:r w:rsidRPr="00DB6111">
              <w:rPr>
                <w:rFonts w:eastAsiaTheme="minorEastAsia"/>
                <w:sz w:val="22"/>
                <w:rtl/>
              </w:rPr>
              <w:t>والمثليات</w:t>
            </w:r>
            <w:proofErr w:type="spellEnd"/>
            <w:r w:rsidRPr="00DB6111">
              <w:rPr>
                <w:rFonts w:eastAsiaTheme="minorEastAsia"/>
                <w:sz w:val="22"/>
                <w:rtl/>
              </w:rPr>
              <w:t xml:space="preserve"> والمثليين ومزدوجي الميل الجنسي ومغايري الهوية الجنسانية وحاملي صفات الجنسين والأشخاص المنتمين إلى </w:t>
            </w:r>
            <w:r w:rsidRPr="00F21389">
              <w:rPr>
                <w:rFonts w:eastAsiaTheme="minorEastAsia"/>
                <w:spacing w:val="-4"/>
                <w:sz w:val="22"/>
                <w:rtl/>
              </w:rPr>
              <w:t xml:space="preserve">مجموعات إثنية معينة والأشخاص ذوي الإعاقة كضحايا، على النحو المشار إليه في الفقرة </w:t>
            </w:r>
            <w:r w:rsidRPr="00096249">
              <w:rPr>
                <w:rFonts w:eastAsiaTheme="minorEastAsia"/>
                <w:spacing w:val="-4"/>
                <w:sz w:val="22"/>
                <w:rtl/>
              </w:rPr>
              <w:t>52</w:t>
            </w:r>
            <w:r w:rsidRPr="00F21389">
              <w:rPr>
                <w:rFonts w:eastAsiaTheme="minorEastAsia"/>
                <w:spacing w:val="-4"/>
                <w:sz w:val="22"/>
                <w:rtl/>
              </w:rPr>
              <w:t xml:space="preserve"> من التقرير؛</w:t>
            </w:r>
            <w:r w:rsidRPr="00DB6111">
              <w:rPr>
                <w:rFonts w:eastAsiaTheme="minorEastAsia"/>
                <w:sz w:val="22"/>
                <w:rtl/>
              </w:rPr>
              <w:t xml:space="preserve"> </w:t>
            </w:r>
            <w:r w:rsidRPr="00DB6111">
              <w:rPr>
                <w:rFonts w:eastAsiaTheme="minorEastAsia"/>
                <w:sz w:val="22"/>
                <w:rtl/>
              </w:rPr>
              <w:lastRenderedPageBreak/>
              <w:t xml:space="preserve">(ج) فيما يتعلق بالفقرات من </w:t>
            </w:r>
            <w:r w:rsidRPr="00096249">
              <w:rPr>
                <w:rFonts w:eastAsiaTheme="minorEastAsia"/>
                <w:sz w:val="22"/>
                <w:rtl/>
              </w:rPr>
              <w:t>64</w:t>
            </w:r>
            <w:r w:rsidRPr="00DB6111">
              <w:rPr>
                <w:rFonts w:eastAsiaTheme="minorEastAsia"/>
                <w:sz w:val="22"/>
                <w:rtl/>
              </w:rPr>
              <w:t xml:space="preserve"> إلى </w:t>
            </w:r>
            <w:r w:rsidRPr="00096249">
              <w:rPr>
                <w:rFonts w:eastAsiaTheme="minorEastAsia"/>
                <w:sz w:val="22"/>
                <w:rtl/>
              </w:rPr>
              <w:t>68</w:t>
            </w:r>
            <w:r w:rsidRPr="00DB6111">
              <w:rPr>
                <w:rFonts w:eastAsiaTheme="minorEastAsia"/>
                <w:sz w:val="22"/>
                <w:rtl/>
              </w:rPr>
              <w:t xml:space="preserve"> من التقرير، التقدم المحرز في فتح قضية كلية تقتصر على التحقيق في حالات الاختفاء القسري المرتكبة في سياق النزاع المسلح؛ (د) معلومات عن التقدم المحرز في التحقيق مع الرؤساء في التسلسل الهرمي فيما يتعلق بجرائم الاختفاء القسري ومعاقبتهم بفرض عقوبات مناسبة عليهم، بما في ذلك معلومات مفصلة عن الأحكام الصادرة؛ (ه</w:t>
            </w:r>
            <w:r w:rsidR="00A93AF3" w:rsidRPr="00DB6111">
              <w:rPr>
                <w:rFonts w:eastAsiaTheme="minorEastAsia"/>
                <w:sz w:val="22"/>
                <w:rtl/>
              </w:rPr>
              <w:t>)</w:t>
            </w:r>
            <w:r w:rsidR="00D70BF7" w:rsidRPr="00DB6111">
              <w:rPr>
                <w:rFonts w:eastAsiaTheme="minorEastAsia" w:hint="cs"/>
                <w:sz w:val="22"/>
                <w:rtl/>
              </w:rPr>
              <w:t> </w:t>
            </w:r>
            <w:r w:rsidRPr="00DB6111">
              <w:rPr>
                <w:rFonts w:eastAsiaTheme="minorEastAsia"/>
                <w:sz w:val="22"/>
                <w:rtl/>
              </w:rPr>
              <w:t>فيما</w:t>
            </w:r>
            <w:r w:rsidR="00D70BF7" w:rsidRPr="00DB6111">
              <w:rPr>
                <w:rFonts w:eastAsiaTheme="minorEastAsia" w:hint="cs"/>
                <w:sz w:val="22"/>
                <w:rtl/>
              </w:rPr>
              <w:t> </w:t>
            </w:r>
            <w:r w:rsidRPr="00DB6111">
              <w:rPr>
                <w:rFonts w:eastAsiaTheme="minorEastAsia"/>
                <w:sz w:val="22"/>
                <w:rtl/>
              </w:rPr>
              <w:t xml:space="preserve">يتعلق بالفقرات من </w:t>
            </w:r>
            <w:r w:rsidRPr="00096249">
              <w:rPr>
                <w:rFonts w:eastAsiaTheme="minorEastAsia"/>
                <w:sz w:val="22"/>
                <w:rtl/>
              </w:rPr>
              <w:t>81</w:t>
            </w:r>
            <w:r w:rsidRPr="00DB6111">
              <w:rPr>
                <w:rFonts w:eastAsiaTheme="minorEastAsia"/>
                <w:sz w:val="22"/>
                <w:rtl/>
              </w:rPr>
              <w:t xml:space="preserve"> إلى </w:t>
            </w:r>
            <w:r w:rsidRPr="00096249">
              <w:rPr>
                <w:rFonts w:eastAsiaTheme="minorEastAsia"/>
                <w:sz w:val="22"/>
                <w:rtl/>
              </w:rPr>
              <w:t>87</w:t>
            </w:r>
            <w:r w:rsidRPr="00DB6111">
              <w:rPr>
                <w:rFonts w:eastAsiaTheme="minorEastAsia"/>
                <w:sz w:val="22"/>
                <w:rtl/>
              </w:rPr>
              <w:t xml:space="preserve"> من التقرير، تبيان ما إذا كانت هناك حالات تقرر فيها، في مرحلة التحقق من المعلومات المتعلقة بحالات الاختفاء القسري، أن الروايات المقدمة من الأشخاص الذين عادوا للظهور </w:t>
            </w:r>
            <w:r w:rsidRPr="00EF7E82">
              <w:rPr>
                <w:rFonts w:eastAsiaTheme="minorEastAsia"/>
                <w:spacing w:val="-4"/>
                <w:sz w:val="22"/>
                <w:rtl/>
              </w:rPr>
              <w:t>غير صحيحة، وإذا كان الأمر كذلك، تقديم معلومات عن التدابير المتخذة في هذا الصدد؛ (</w:t>
            </w:r>
            <w:r w:rsidRPr="00096249">
              <w:rPr>
                <w:rFonts w:eastAsiaTheme="minorEastAsia"/>
                <w:spacing w:val="-4"/>
                <w:sz w:val="22"/>
                <w:rtl/>
              </w:rPr>
              <w:t>و) في</w:t>
            </w:r>
            <w:r w:rsidRPr="00EF7E82">
              <w:rPr>
                <w:rFonts w:eastAsiaTheme="minorEastAsia"/>
                <w:spacing w:val="-4"/>
                <w:sz w:val="22"/>
                <w:rtl/>
              </w:rPr>
              <w:t xml:space="preserve">ما يتعلق بالفقرة </w:t>
            </w:r>
            <w:r w:rsidRPr="00096249">
              <w:rPr>
                <w:rFonts w:eastAsiaTheme="minorEastAsia"/>
                <w:spacing w:val="-4"/>
                <w:sz w:val="22"/>
                <w:rtl/>
              </w:rPr>
              <w:t>92</w:t>
            </w:r>
            <w:r w:rsidRPr="00EF7E82">
              <w:rPr>
                <w:rFonts w:eastAsiaTheme="minorEastAsia"/>
                <w:spacing w:val="-4"/>
                <w:sz w:val="22"/>
                <w:rtl/>
              </w:rPr>
              <w:t xml:space="preserve"> من</w:t>
            </w:r>
            <w:r w:rsidRPr="00DB6111">
              <w:rPr>
                <w:rFonts w:eastAsiaTheme="minorEastAsia"/>
                <w:sz w:val="22"/>
                <w:rtl/>
              </w:rPr>
              <w:t xml:space="preserve"> التقرير، تقديم معلومات إضافية ومفصلة عن التدابير التي اتخذتها وزارة الدفاع الوطني لضمان حصول جميع السلطات المشاركة في التحقيق في حالات الاختفاء القسري فعلي</w:t>
            </w:r>
            <w:r w:rsidR="00D70BF7" w:rsidRPr="00DB6111">
              <w:rPr>
                <w:rFonts w:eastAsiaTheme="minorEastAsia"/>
                <w:sz w:val="22"/>
                <w:rtl/>
              </w:rPr>
              <w:t xml:space="preserve">اً </w:t>
            </w:r>
            <w:r w:rsidRPr="00DB6111">
              <w:rPr>
                <w:rFonts w:eastAsiaTheme="minorEastAsia"/>
                <w:sz w:val="22"/>
                <w:rtl/>
              </w:rPr>
              <w:t>وفي الوقت المناسب على جميع الوثائق ذات الصلة التي تسهم في توضيح الحقائق المتعلقة بحالات الاختفاء القسري المزعومة.</w:t>
            </w:r>
          </w:p>
        </w:tc>
      </w:tr>
      <w:tr w:rsidR="00DB6111" w:rsidRPr="00DB6111" w14:paraId="5AD3EEC3" w14:textId="77777777" w:rsidTr="00E5600C">
        <w:trPr>
          <w:trHeight w:val="6019"/>
        </w:trPr>
        <w:tc>
          <w:tcPr>
            <w:tcW w:w="7370" w:type="dxa"/>
            <w:gridSpan w:val="2"/>
            <w:tcBorders>
              <w:top w:val="nil"/>
              <w:bottom w:val="nil"/>
            </w:tcBorders>
            <w:shd w:val="clear" w:color="auto" w:fill="auto"/>
            <w:tcMar>
              <w:top w:w="80" w:type="dxa"/>
              <w:left w:w="80" w:type="dxa"/>
              <w:bottom w:w="80" w:type="dxa"/>
              <w:right w:w="193" w:type="dxa"/>
            </w:tcMar>
          </w:tcPr>
          <w:p w14:paraId="47C00A8F" w14:textId="194E38A2"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Cs/>
                <w:sz w:val="22"/>
                <w:rtl/>
              </w:rPr>
              <w:lastRenderedPageBreak/>
              <w:t>الفقرة 2</w:t>
            </w:r>
            <w:r w:rsidR="00DB6111" w:rsidRPr="00096249">
              <w:rPr>
                <w:rFonts w:eastAsiaTheme="minorEastAsia"/>
                <w:bCs/>
                <w:sz w:val="22"/>
                <w:rtl/>
              </w:rPr>
              <w:t xml:space="preserve">7: </w:t>
            </w:r>
            <w:r w:rsidRPr="00096249">
              <w:rPr>
                <w:rFonts w:eastAsiaTheme="minorEastAsia"/>
                <w:bCs/>
                <w:sz w:val="22"/>
                <w:rtl/>
              </w:rPr>
              <w:t>تشجع اللجنة الدولة الطرف على أن تدرج بصورة منهجية أساليب المبادئ التوجيهية للبحث عن الأشخاص المختفين في تصميم وتنفيذ استراتيجيات البحث الشامل وتوصي بما يلي:</w:t>
            </w:r>
          </w:p>
          <w:p w14:paraId="2D61E2E5" w14:textId="5C183ACE" w:rsidR="00B74DAB" w:rsidRPr="00096249" w:rsidRDefault="007027FD"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ab/>
            </w:r>
            <w:r w:rsidR="00B74DAB" w:rsidRPr="00096249">
              <w:rPr>
                <w:rFonts w:eastAsiaTheme="minorEastAsia"/>
                <w:b/>
                <w:bCs/>
                <w:sz w:val="22"/>
                <w:rtl/>
              </w:rPr>
              <w:t>(أ)</w:t>
            </w:r>
            <w:r w:rsidR="00B74DAB" w:rsidRPr="00096249">
              <w:rPr>
                <w:rFonts w:eastAsiaTheme="minorEastAsia"/>
                <w:bCs/>
                <w:sz w:val="22"/>
                <w:rtl/>
              </w:rPr>
              <w:tab/>
              <w:t xml:space="preserve">ضمان التنفيذ السريع لخطط البحث التي وضعتها الوحدة الخاصة للبحث عن الأشخاص الذين يعتبرون مختفين في سياق النزاع المسلح وبسببه، وضمان تضافر عمل الكيانات المنشأة بموجب اتفاق السلام ومكتب المدعي العام والمؤسسات الأخرى؛ </w:t>
            </w:r>
          </w:p>
          <w:p w14:paraId="1F4A47F4" w14:textId="2894E0EE" w:rsidR="00B74DAB" w:rsidRPr="00096249" w:rsidRDefault="007027FD"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ab/>
            </w:r>
            <w:r w:rsidR="00B74DAB" w:rsidRPr="00096249">
              <w:rPr>
                <w:rFonts w:eastAsiaTheme="minorEastAsia"/>
                <w:b/>
                <w:bCs/>
                <w:sz w:val="22"/>
                <w:rtl/>
              </w:rPr>
              <w:t>(ب)</w:t>
            </w:r>
            <w:r w:rsidR="00B74DAB" w:rsidRPr="00096249">
              <w:rPr>
                <w:rFonts w:eastAsiaTheme="minorEastAsia"/>
                <w:bCs/>
                <w:sz w:val="22"/>
                <w:rtl/>
              </w:rPr>
              <w:tab/>
              <w:t>ضمان حصول المؤسسات المسؤولة عن البحث عن الأشخاص المختفين على الموارد البشرية والمالية والتقنية التي تحتاجها للوفاء بمسؤولياتها؛</w:t>
            </w:r>
          </w:p>
          <w:p w14:paraId="7FB73088" w14:textId="75C4636E" w:rsidR="00B74DAB" w:rsidRPr="00096249" w:rsidRDefault="007027FD" w:rsidP="00F75CF1">
            <w:pPr>
              <w:spacing w:after="120" w:line="360" w:lineRule="exact"/>
              <w:ind w:right="113"/>
              <w:textDirection w:val="tbRlV"/>
              <w:rPr>
                <w:rFonts w:eastAsiaTheme="minorEastAsia"/>
                <w:b/>
                <w:bCs/>
                <w:sz w:val="22"/>
                <w:lang w:eastAsia="zh-TW" w:bidi="en-GB"/>
              </w:rPr>
            </w:pPr>
            <w:r w:rsidRPr="00096249">
              <w:rPr>
                <w:rFonts w:eastAsiaTheme="minorEastAsia"/>
                <w:b/>
                <w:bCs/>
                <w:sz w:val="22"/>
                <w:rtl/>
              </w:rPr>
              <w:tab/>
            </w:r>
            <w:r w:rsidR="00B74DAB" w:rsidRPr="00096249">
              <w:rPr>
                <w:rFonts w:eastAsiaTheme="minorEastAsia"/>
                <w:b/>
                <w:bCs/>
                <w:sz w:val="22"/>
                <w:rtl/>
              </w:rPr>
              <w:t>(ج)</w:t>
            </w:r>
            <w:r w:rsidR="00B74DAB" w:rsidRPr="00096249">
              <w:rPr>
                <w:rFonts w:eastAsiaTheme="minorEastAsia"/>
                <w:bCs/>
                <w:sz w:val="22"/>
                <w:rtl/>
              </w:rPr>
              <w:tab/>
              <w:t>ضمان أن يبدأ البحث دائم</w:t>
            </w:r>
            <w:r w:rsidR="00D70BF7" w:rsidRPr="00096249">
              <w:rPr>
                <w:rFonts w:eastAsiaTheme="minorEastAsia"/>
                <w:bCs/>
                <w:sz w:val="22"/>
                <w:rtl/>
              </w:rPr>
              <w:t xml:space="preserve">اً، </w:t>
            </w:r>
            <w:r w:rsidR="00B74DAB" w:rsidRPr="00096249">
              <w:rPr>
                <w:rFonts w:eastAsiaTheme="minorEastAsia"/>
                <w:bCs/>
                <w:sz w:val="22"/>
                <w:rtl/>
              </w:rPr>
              <w:t>عند الإبلاغ عن الاختفاء، بحكم الوظيفة ومن دون</w:t>
            </w:r>
            <w:r w:rsidRPr="00096249">
              <w:rPr>
                <w:rFonts w:eastAsiaTheme="minorEastAsia" w:hint="cs"/>
                <w:bCs/>
                <w:sz w:val="22"/>
                <w:rtl/>
              </w:rPr>
              <w:t> </w:t>
            </w:r>
            <w:r w:rsidR="00B74DAB" w:rsidRPr="00096249">
              <w:rPr>
                <w:rFonts w:eastAsiaTheme="minorEastAsia"/>
                <w:bCs/>
                <w:sz w:val="22"/>
                <w:rtl/>
              </w:rPr>
              <w:t>تأخير؛</w:t>
            </w:r>
          </w:p>
          <w:p w14:paraId="31CDC9E4" w14:textId="65673365" w:rsidR="00B74DAB" w:rsidRPr="00096249" w:rsidRDefault="007027FD"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ab/>
            </w:r>
            <w:r w:rsidR="00B74DAB" w:rsidRPr="00096249">
              <w:rPr>
                <w:rFonts w:eastAsiaTheme="minorEastAsia"/>
                <w:b/>
                <w:bCs/>
                <w:sz w:val="22"/>
                <w:rtl/>
              </w:rPr>
              <w:t>(د)</w:t>
            </w:r>
            <w:r w:rsidR="00B74DAB" w:rsidRPr="00096249">
              <w:rPr>
                <w:rFonts w:eastAsiaTheme="minorEastAsia"/>
                <w:bCs/>
                <w:sz w:val="22"/>
                <w:rtl/>
              </w:rPr>
              <w:tab/>
              <w:t xml:space="preserve">تكثيف جهودها للبحث عن الأشخاص المختفين وتحديد مكانهم والإفراج عنهم، والقيام، في حالة العثور عليهم موتى، بتحديد هوية الرفات وإعادته بطريقة كريمة، مع اعتماد نهج تفاضلي فيما يتعلق بالنساء والأطفال والمراهقين </w:t>
            </w:r>
            <w:proofErr w:type="spellStart"/>
            <w:r w:rsidR="00B74DAB" w:rsidRPr="00096249">
              <w:rPr>
                <w:rFonts w:eastAsiaTheme="minorEastAsia"/>
                <w:bCs/>
                <w:sz w:val="22"/>
                <w:rtl/>
              </w:rPr>
              <w:t>والمثليات</w:t>
            </w:r>
            <w:proofErr w:type="spellEnd"/>
            <w:r w:rsidR="00B74DAB" w:rsidRPr="00096249">
              <w:rPr>
                <w:rFonts w:eastAsiaTheme="minorEastAsia"/>
                <w:bCs/>
                <w:sz w:val="22"/>
                <w:rtl/>
              </w:rPr>
              <w:t xml:space="preserve"> والمثليين ومزدوجي الميل الجنسي ومغايري الهوية الجنسانية وحاملي صفات الجنسين وأفراد مجتمعات عرقية معينة والأشخاص ذوي</w:t>
            </w:r>
            <w:r w:rsidR="00F73DB7" w:rsidRPr="00096249">
              <w:rPr>
                <w:rFonts w:eastAsiaTheme="minorEastAsia" w:hint="cs"/>
                <w:bCs/>
                <w:sz w:val="22"/>
                <w:rtl/>
              </w:rPr>
              <w:t> </w:t>
            </w:r>
            <w:r w:rsidR="00B74DAB" w:rsidRPr="00096249">
              <w:rPr>
                <w:rFonts w:eastAsiaTheme="minorEastAsia"/>
                <w:bCs/>
                <w:sz w:val="22"/>
                <w:rtl/>
              </w:rPr>
              <w:t>الإعاقة؛</w:t>
            </w:r>
          </w:p>
          <w:p w14:paraId="3EC70CAA" w14:textId="3DB91629" w:rsidR="00B74DAB" w:rsidRPr="00096249" w:rsidRDefault="007027FD"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ab/>
            </w:r>
            <w:r w:rsidR="00B74DAB" w:rsidRPr="00096249">
              <w:rPr>
                <w:rFonts w:eastAsiaTheme="minorEastAsia"/>
                <w:b/>
                <w:bCs/>
                <w:sz w:val="22"/>
                <w:rtl/>
              </w:rPr>
              <w:t>(هـ)</w:t>
            </w:r>
            <w:r w:rsidR="00B74DAB" w:rsidRPr="00096249">
              <w:rPr>
                <w:rFonts w:eastAsiaTheme="minorEastAsia"/>
                <w:bCs/>
                <w:sz w:val="22"/>
                <w:rtl/>
              </w:rPr>
              <w:tab/>
              <w:t>ضمان إعادة الأطفال المختفين إلى أسرهم الأصلية وإعادة إثبات هويتهم الحقيقية، إذا كانت قد سرقت؛</w:t>
            </w:r>
          </w:p>
          <w:p w14:paraId="753DB19E" w14:textId="0093F16C" w:rsidR="00B74DAB" w:rsidRPr="00DB6111" w:rsidRDefault="007027FD"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tab/>
            </w:r>
            <w:r w:rsidR="00B74DAB" w:rsidRPr="00096249">
              <w:rPr>
                <w:rFonts w:eastAsiaTheme="minorEastAsia"/>
                <w:b/>
                <w:bCs/>
                <w:sz w:val="22"/>
                <w:rtl/>
              </w:rPr>
              <w:t>(و)</w:t>
            </w:r>
            <w:r w:rsidR="00B74DAB" w:rsidRPr="00DB6111">
              <w:rPr>
                <w:rFonts w:eastAsiaTheme="minorEastAsia"/>
                <w:sz w:val="22"/>
                <w:rtl/>
              </w:rPr>
              <w:tab/>
            </w:r>
            <w:r w:rsidR="00B74DAB" w:rsidRPr="00096249">
              <w:rPr>
                <w:rFonts w:eastAsiaTheme="minorEastAsia"/>
                <w:b/>
                <w:bCs/>
                <w:sz w:val="22"/>
                <w:rtl/>
              </w:rPr>
              <w:t>ضمان استمرار البحث عن الأشخاص المختفين إلى حين العثور عليهم ومواصلة التحقيق في اختفائهم إلى حين إثبات الحقائق وتحديد هوية الجناة</w:t>
            </w:r>
            <w:r w:rsidR="00B74DAB" w:rsidRPr="00DB6111">
              <w:rPr>
                <w:rFonts w:eastAsiaTheme="minorEastAsia"/>
                <w:sz w:val="22"/>
                <w:rtl/>
              </w:rPr>
              <w:t>.</w:t>
            </w:r>
          </w:p>
        </w:tc>
      </w:tr>
      <w:tr w:rsidR="00DB6111" w:rsidRPr="00DB6111" w14:paraId="11BB86F0" w14:textId="77777777" w:rsidTr="007027FD">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0F7B8C21" w14:textId="77777777"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رد الدولة الطرف</w:t>
            </w:r>
          </w:p>
        </w:tc>
      </w:tr>
      <w:tr w:rsidR="00DB6111" w:rsidRPr="00DB6111" w14:paraId="0D7F4054" w14:textId="77777777" w:rsidTr="007027FD">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62345A76" w14:textId="36ED7455" w:rsidR="00B74DAB" w:rsidRPr="00DB6111" w:rsidRDefault="00B74DAB" w:rsidP="00DB611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يرد رد الدولة الطرف في الفقرات من </w:t>
            </w:r>
            <w:r w:rsidRPr="00096249">
              <w:rPr>
                <w:rFonts w:eastAsiaTheme="minorEastAsia"/>
                <w:sz w:val="22"/>
                <w:rtl/>
              </w:rPr>
              <w:t>93</w:t>
            </w:r>
            <w:r w:rsidRPr="00DB6111">
              <w:rPr>
                <w:rFonts w:eastAsiaTheme="minorEastAsia"/>
                <w:sz w:val="22"/>
                <w:rtl/>
              </w:rPr>
              <w:t xml:space="preserve"> إلى </w:t>
            </w:r>
            <w:r w:rsidRPr="00096249">
              <w:rPr>
                <w:rFonts w:eastAsiaTheme="minorEastAsia"/>
                <w:sz w:val="22"/>
                <w:rtl/>
              </w:rPr>
              <w:t>154</w:t>
            </w:r>
            <w:r w:rsidRPr="00DB6111">
              <w:rPr>
                <w:rFonts w:eastAsiaTheme="minorEastAsia"/>
                <w:sz w:val="22"/>
                <w:rtl/>
              </w:rPr>
              <w:t xml:space="preserve"> من الوثيقة </w:t>
            </w:r>
            <w:hyperlink r:id="rId18" w:history="1">
              <w:r w:rsidRPr="00DB6111">
                <w:rPr>
                  <w:rStyle w:val="Hyperlink"/>
                  <w:rFonts w:eastAsiaTheme="minorEastAsia"/>
                  <w:sz w:val="22"/>
                </w:rPr>
                <w:t>CED/C/COL/FOAI/</w:t>
              </w:r>
              <w:r w:rsidRPr="00096249">
                <w:rPr>
                  <w:rStyle w:val="Hyperlink"/>
                  <w:rFonts w:eastAsiaTheme="minorEastAsia"/>
                  <w:sz w:val="22"/>
                </w:rPr>
                <w:t>1</w:t>
              </w:r>
              <w:r w:rsidRPr="00DB6111">
                <w:rPr>
                  <w:rStyle w:val="Hyperlink"/>
                  <w:rFonts w:eastAsiaTheme="minorEastAsia"/>
                  <w:sz w:val="22"/>
                  <w:rtl/>
                </w:rPr>
                <w:t>.</w:t>
              </w:r>
            </w:hyperlink>
          </w:p>
        </w:tc>
      </w:tr>
      <w:tr w:rsidR="00DB6111" w:rsidRPr="00DB6111" w14:paraId="01BD4BCA" w14:textId="77777777" w:rsidTr="007027FD">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65D399B9"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b/>
                <w:bCs/>
                <w:sz w:val="22"/>
                <w:rtl/>
              </w:rPr>
              <w:lastRenderedPageBreak/>
              <w:t>تقييم اللجنة:</w:t>
            </w:r>
          </w:p>
        </w:tc>
      </w:tr>
      <w:tr w:rsidR="00DB6111" w:rsidRPr="00DB6111" w14:paraId="4C067EEB" w14:textId="77777777" w:rsidTr="00E5600C">
        <w:trPr>
          <w:trHeight w:val="1160"/>
        </w:trPr>
        <w:tc>
          <w:tcPr>
            <w:tcW w:w="7370" w:type="dxa"/>
            <w:gridSpan w:val="2"/>
            <w:tcBorders>
              <w:top w:val="nil"/>
              <w:bottom w:val="nil"/>
            </w:tcBorders>
            <w:shd w:val="clear" w:color="auto" w:fill="auto"/>
            <w:tcMar>
              <w:top w:w="80" w:type="dxa"/>
              <w:left w:w="80" w:type="dxa"/>
              <w:bottom w:w="80" w:type="dxa"/>
              <w:right w:w="193" w:type="dxa"/>
            </w:tcMar>
          </w:tcPr>
          <w:p w14:paraId="56114857" w14:textId="65366A56"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b/>
                <w:bCs/>
                <w:sz w:val="22"/>
                <w:rtl/>
              </w:rPr>
              <w:t>[جيم</w:t>
            </w:r>
            <w:r w:rsidR="00DB6111" w:rsidRPr="00DB6111">
              <w:rPr>
                <w:rFonts w:eastAsiaTheme="minorEastAsia"/>
                <w:b/>
                <w:bCs/>
                <w:sz w:val="22"/>
                <w:rtl/>
              </w:rPr>
              <w:t>]:</w:t>
            </w:r>
            <w:r w:rsidR="00DB6111" w:rsidRPr="00DB6111">
              <w:rPr>
                <w:rFonts w:eastAsiaTheme="minorEastAsia"/>
                <w:sz w:val="22"/>
                <w:rtl/>
              </w:rPr>
              <w:t xml:space="preserve"> </w:t>
            </w:r>
            <w:r w:rsidRPr="00DB6111">
              <w:rPr>
                <w:rFonts w:eastAsiaTheme="minorEastAsia"/>
                <w:sz w:val="22"/>
                <w:rtl/>
              </w:rPr>
              <w:t>تحيط اللجنة علم</w:t>
            </w:r>
            <w:r w:rsidR="00D70BF7" w:rsidRPr="00DB6111">
              <w:rPr>
                <w:rFonts w:eastAsiaTheme="minorEastAsia"/>
                <w:sz w:val="22"/>
                <w:rtl/>
              </w:rPr>
              <w:t xml:space="preserve">اً </w:t>
            </w:r>
            <w:r w:rsidRPr="00DB6111">
              <w:rPr>
                <w:rFonts w:eastAsiaTheme="minorEastAsia"/>
                <w:sz w:val="22"/>
                <w:rtl/>
              </w:rPr>
              <w:t>بالمعلومات التي قدمتها الدولة الطرف بشأن التدابير المتخذة للبحث عن الأشخاص المختفين. وتحيط اللجنة علم</w:t>
            </w:r>
            <w:r w:rsidR="00D70BF7" w:rsidRPr="00DB6111">
              <w:rPr>
                <w:rFonts w:eastAsiaTheme="minorEastAsia"/>
                <w:sz w:val="22"/>
                <w:rtl/>
              </w:rPr>
              <w:t xml:space="preserve">اً </w:t>
            </w:r>
            <w:r w:rsidRPr="00DB6111">
              <w:rPr>
                <w:rFonts w:eastAsiaTheme="minorEastAsia"/>
                <w:sz w:val="22"/>
                <w:rtl/>
              </w:rPr>
              <w:t>أيض</w:t>
            </w:r>
            <w:r w:rsidR="00D70BF7" w:rsidRPr="00DB6111">
              <w:rPr>
                <w:rFonts w:eastAsiaTheme="minorEastAsia"/>
                <w:sz w:val="22"/>
                <w:rtl/>
              </w:rPr>
              <w:t xml:space="preserve">اً </w:t>
            </w:r>
            <w:r w:rsidRPr="00DB6111">
              <w:rPr>
                <w:rFonts w:eastAsiaTheme="minorEastAsia"/>
                <w:sz w:val="22"/>
                <w:rtl/>
              </w:rPr>
              <w:t>بالمعلومات المتعلقة ببعض الإجراءات، وهي معلومات، وإن كانت حديثة جد</w:t>
            </w:r>
            <w:r w:rsidR="00D70BF7" w:rsidRPr="00DB6111">
              <w:rPr>
                <w:rFonts w:eastAsiaTheme="minorEastAsia"/>
                <w:sz w:val="22"/>
                <w:rtl/>
              </w:rPr>
              <w:t xml:space="preserve">اً </w:t>
            </w:r>
            <w:r w:rsidRPr="00DB6111">
              <w:rPr>
                <w:rFonts w:eastAsiaTheme="minorEastAsia"/>
                <w:sz w:val="22"/>
                <w:rtl/>
              </w:rPr>
              <w:t xml:space="preserve">لكونها تعود إلى عام </w:t>
            </w:r>
            <w:r w:rsidRPr="00096249">
              <w:rPr>
                <w:rFonts w:eastAsiaTheme="minorEastAsia"/>
                <w:sz w:val="22"/>
                <w:rtl/>
              </w:rPr>
              <w:t>2022</w:t>
            </w:r>
            <w:r w:rsidRPr="00DB6111">
              <w:rPr>
                <w:rFonts w:eastAsiaTheme="minorEastAsia"/>
                <w:sz w:val="22"/>
                <w:rtl/>
              </w:rPr>
              <w:t>، فإنها تظهر نتائج محدودة حيث لم يتم العثور إلا</w:t>
            </w:r>
            <w:r w:rsidR="00D70BF7" w:rsidRPr="00DB6111">
              <w:rPr>
                <w:rFonts w:eastAsiaTheme="minorEastAsia" w:hint="cs"/>
                <w:sz w:val="22"/>
                <w:rtl/>
              </w:rPr>
              <w:t> </w:t>
            </w:r>
            <w:r w:rsidRPr="00DB6111">
              <w:rPr>
                <w:rFonts w:eastAsiaTheme="minorEastAsia"/>
                <w:sz w:val="22"/>
                <w:rtl/>
              </w:rPr>
              <w:t>على عدد قليل من الأشخاص المختفين.</w:t>
            </w:r>
          </w:p>
          <w:p w14:paraId="70112824" w14:textId="77777777" w:rsidR="00B74DAB" w:rsidRPr="00DB6111" w:rsidRDefault="00B74DAB" w:rsidP="00F75CF1">
            <w:pPr>
              <w:spacing w:after="120" w:line="360" w:lineRule="exact"/>
              <w:ind w:right="113"/>
              <w:textDirection w:val="tbRlV"/>
              <w:rPr>
                <w:rFonts w:eastAsiaTheme="minorEastAsia"/>
                <w:sz w:val="22"/>
                <w:lang w:val="ar-SA" w:eastAsia="zh-TW" w:bidi="en-GB"/>
              </w:rPr>
            </w:pPr>
            <w:r w:rsidRPr="00096249">
              <w:rPr>
                <w:rFonts w:eastAsiaTheme="minorEastAsia"/>
                <w:sz w:val="22"/>
                <w:rtl/>
              </w:rPr>
              <w:t xml:space="preserve">وعلاوة على ذلك، تأسف اللجنة لعدم وجود معلومات عن عدد الأشخاص المختفين الذين تم تحديد مكانهم، وفي حالة الوفاة، عن عدد الأشخاص الذين تم التعرف على هويتهم </w:t>
            </w:r>
            <w:proofErr w:type="spellStart"/>
            <w:r w:rsidRPr="00096249">
              <w:rPr>
                <w:rFonts w:eastAsiaTheme="minorEastAsia"/>
                <w:sz w:val="22"/>
                <w:rtl/>
              </w:rPr>
              <w:t>وأعيدت</w:t>
            </w:r>
            <w:proofErr w:type="spellEnd"/>
            <w:r w:rsidRPr="00096249">
              <w:rPr>
                <w:rFonts w:eastAsiaTheme="minorEastAsia"/>
                <w:sz w:val="22"/>
                <w:rtl/>
              </w:rPr>
              <w:t xml:space="preserve"> جثثهم إلى أسرهم.</w:t>
            </w:r>
          </w:p>
          <w:p w14:paraId="5D3DEB8E" w14:textId="31EB6EA6"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وتأسف اللجنة أيض</w:t>
            </w:r>
            <w:r w:rsidR="00D70BF7" w:rsidRPr="00DB6111">
              <w:rPr>
                <w:rFonts w:eastAsiaTheme="minorEastAsia"/>
                <w:sz w:val="22"/>
                <w:rtl/>
              </w:rPr>
              <w:t xml:space="preserve">اً </w:t>
            </w:r>
            <w:r w:rsidRPr="00DB6111">
              <w:rPr>
                <w:rFonts w:eastAsiaTheme="minorEastAsia"/>
                <w:sz w:val="22"/>
                <w:rtl/>
              </w:rPr>
              <w:t>لعدم تقديم أي معلومات عن الإجراءات التي يتوقع اتخاذها لتحديد مكان جميع الأشخاص المختفين والإطار الزمني المتوقع فيها تنفيذ هذه الإجراءات.</w:t>
            </w:r>
            <w:r w:rsidR="00F75CF1" w:rsidRPr="00DB6111">
              <w:rPr>
                <w:rFonts w:eastAsiaTheme="minorEastAsia"/>
                <w:sz w:val="22"/>
                <w:rtl/>
              </w:rPr>
              <w:t xml:space="preserve"> </w:t>
            </w:r>
          </w:p>
          <w:p w14:paraId="2B8297CE" w14:textId="6B8F5560"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وتكرر اللجنة توصيتها وتطلب إلى الدولة الطرف أن تقدم معلومات مستكملة عن تنفيذها عند تقديم تقريرها المقبل بموجب المادة </w:t>
            </w:r>
            <w:r w:rsidRPr="00096249">
              <w:rPr>
                <w:rFonts w:eastAsiaTheme="minorEastAsia"/>
                <w:sz w:val="22"/>
                <w:rtl/>
              </w:rPr>
              <w:t>29</w:t>
            </w:r>
            <w:r w:rsidRPr="00DB6111">
              <w:rPr>
                <w:rFonts w:eastAsiaTheme="minorEastAsia"/>
                <w:sz w:val="22"/>
                <w:rtl/>
              </w:rPr>
              <w:t>(</w:t>
            </w:r>
            <w:r w:rsidR="00DB6111" w:rsidRPr="00096249">
              <w:rPr>
                <w:rFonts w:eastAsiaTheme="minorEastAsia"/>
                <w:sz w:val="22"/>
                <w:rtl/>
              </w:rPr>
              <w:t>4</w:t>
            </w:r>
            <w:r w:rsidR="00DB6111" w:rsidRPr="00DB6111">
              <w:rPr>
                <w:rFonts w:eastAsiaTheme="minorEastAsia"/>
                <w:sz w:val="22"/>
                <w:rtl/>
              </w:rPr>
              <w:t xml:space="preserve">) </w:t>
            </w:r>
            <w:r w:rsidRPr="00DB6111">
              <w:rPr>
                <w:rFonts w:eastAsiaTheme="minorEastAsia"/>
                <w:sz w:val="22"/>
                <w:rtl/>
              </w:rPr>
              <w:t>من الاتفاقية. وتطلب اللجنة إلى الدولة الطرف، لدى قيامها بذلك، أن تدرج المعلومات التالية: (أ) التقدم المحرز في البحث عن الأشخاص المختفين، ولا سيما عدد الأشخاص الذين تم تحديد مكان وجودهم، والذين تم التعرف، في حالة الوفاة، على رفاتهم وإعادته بطريقة كريمة إلى أقاربهم، فضل</w:t>
            </w:r>
            <w:r w:rsidR="00D70BF7" w:rsidRPr="00DB6111">
              <w:rPr>
                <w:rFonts w:eastAsiaTheme="minorEastAsia"/>
                <w:sz w:val="22"/>
                <w:rtl/>
              </w:rPr>
              <w:t xml:space="preserve">اً </w:t>
            </w:r>
            <w:r w:rsidRPr="00DB6111">
              <w:rPr>
                <w:rFonts w:eastAsiaTheme="minorEastAsia"/>
                <w:sz w:val="22"/>
                <w:rtl/>
              </w:rPr>
              <w:t xml:space="preserve">عن تقدير الإطار الزمني لاستكمال تحديد أماكن جميع الأشخاص المختفين؛ (ب) بالإشارة إلى الفقرة </w:t>
            </w:r>
            <w:r w:rsidRPr="00096249">
              <w:rPr>
                <w:rFonts w:eastAsiaTheme="minorEastAsia"/>
                <w:sz w:val="22"/>
                <w:rtl/>
              </w:rPr>
              <w:t>93</w:t>
            </w:r>
            <w:r w:rsidRPr="00DB6111">
              <w:rPr>
                <w:rFonts w:eastAsiaTheme="minorEastAsia"/>
                <w:sz w:val="22"/>
                <w:rtl/>
              </w:rPr>
              <w:t xml:space="preserve"> من التقرير، يرجى تقديم معلومات إضافية عن المبادئ التوجيهية والبروتوكولات التي وضعتها وحدة البحث عن الأشخاص المختفين والتي تؤيد كإطار مرجعي، في جملة أمور، المبادئ التوجيهية للبحث عن الأشخاص المختفين، بما في ذلك مضمونها وهدفها؛ (ج) التدابير المعتمدة لضمان التنفيذ الصحيح لآلية البحث العاجل، بما في ذلك معلومات عن عدد الإجراءات المتخذة منذ إنشائها، وكذلك عن الإجراءات المتخذة لزيادة الوعي بهذه الآلية بين الضحايا والمجتمع المدني ككل؛ (د) معلومات إضافية عن الخطة الاستراتيجية المؤسسية للفترة </w:t>
            </w:r>
            <w:r w:rsidRPr="00096249">
              <w:rPr>
                <w:rFonts w:eastAsiaTheme="minorEastAsia"/>
                <w:sz w:val="22"/>
                <w:rtl/>
              </w:rPr>
              <w:t>2023</w:t>
            </w:r>
            <w:r w:rsidRPr="00DB6111">
              <w:rPr>
                <w:rFonts w:eastAsiaTheme="minorEastAsia"/>
                <w:sz w:val="22"/>
                <w:rtl/>
              </w:rPr>
              <w:t>-</w:t>
            </w:r>
            <w:r w:rsidRPr="00096249">
              <w:rPr>
                <w:rFonts w:eastAsiaTheme="minorEastAsia"/>
                <w:sz w:val="22"/>
                <w:rtl/>
              </w:rPr>
              <w:t>2026</w:t>
            </w:r>
            <w:r w:rsidRPr="00DB6111">
              <w:rPr>
                <w:rFonts w:eastAsiaTheme="minorEastAsia"/>
                <w:sz w:val="22"/>
                <w:rtl/>
              </w:rPr>
              <w:t xml:space="preserve"> المشار إليها في الفقرة </w:t>
            </w:r>
            <w:r w:rsidRPr="00096249">
              <w:rPr>
                <w:rFonts w:eastAsiaTheme="minorEastAsia"/>
                <w:sz w:val="22"/>
                <w:rtl/>
              </w:rPr>
              <w:t>143</w:t>
            </w:r>
            <w:r w:rsidRPr="00DB6111">
              <w:rPr>
                <w:rFonts w:eastAsiaTheme="minorEastAsia"/>
                <w:sz w:val="22"/>
                <w:rtl/>
              </w:rPr>
              <w:t xml:space="preserve"> من التقرير؛ (ه) فيما يتعلق بالفقرتين </w:t>
            </w:r>
            <w:r w:rsidRPr="00096249">
              <w:rPr>
                <w:rFonts w:eastAsiaTheme="minorEastAsia"/>
                <w:sz w:val="22"/>
                <w:rtl/>
              </w:rPr>
              <w:t>147</w:t>
            </w:r>
            <w:r w:rsidR="00F75CF1" w:rsidRPr="00DB6111">
              <w:rPr>
                <w:rFonts w:eastAsiaTheme="minorEastAsia"/>
                <w:sz w:val="22"/>
                <w:rtl/>
              </w:rPr>
              <w:t xml:space="preserve"> و</w:t>
            </w:r>
            <w:r w:rsidRPr="00096249">
              <w:rPr>
                <w:rFonts w:eastAsiaTheme="minorEastAsia"/>
                <w:sz w:val="22"/>
                <w:rtl/>
              </w:rPr>
              <w:t>148</w:t>
            </w:r>
            <w:r w:rsidRPr="00DB6111">
              <w:rPr>
                <w:rFonts w:eastAsiaTheme="minorEastAsia"/>
                <w:sz w:val="22"/>
                <w:rtl/>
              </w:rPr>
              <w:t xml:space="preserve"> من التقرير، بيان ما إذا كانت أي حالات اختطاف أو تبنِّ غير قانوني أو ممارسات مماثلة أبلغ عنها في الدولة الطرف ترقى إلى مستوى الترحيل غير المشروع في ضوء أحكام المادة </w:t>
            </w:r>
            <w:r w:rsidRPr="00096249">
              <w:rPr>
                <w:rFonts w:eastAsiaTheme="minorEastAsia"/>
                <w:sz w:val="22"/>
                <w:rtl/>
              </w:rPr>
              <w:t>25</w:t>
            </w:r>
            <w:r w:rsidRPr="00DB6111">
              <w:rPr>
                <w:rFonts w:eastAsiaTheme="minorEastAsia"/>
                <w:sz w:val="22"/>
                <w:rtl/>
              </w:rPr>
              <w:t>(</w:t>
            </w:r>
            <w:r w:rsidR="00DB6111" w:rsidRPr="00096249">
              <w:rPr>
                <w:rFonts w:eastAsiaTheme="minorEastAsia"/>
                <w:sz w:val="22"/>
                <w:rtl/>
              </w:rPr>
              <w:t>1</w:t>
            </w:r>
            <w:r w:rsidR="00DB6111" w:rsidRPr="00DB6111">
              <w:rPr>
                <w:rFonts w:eastAsiaTheme="minorEastAsia"/>
                <w:sz w:val="22"/>
                <w:rtl/>
              </w:rPr>
              <w:t xml:space="preserve">) </w:t>
            </w:r>
            <w:r w:rsidRPr="00DB6111">
              <w:rPr>
                <w:rFonts w:eastAsiaTheme="minorEastAsia"/>
                <w:sz w:val="22"/>
                <w:rtl/>
              </w:rPr>
              <w:t>من الاتفاقية، وإذا كان الأمر كذلك، الإبلاغ عن التدابير المتخذة في هذا الصدد.</w:t>
            </w:r>
          </w:p>
        </w:tc>
      </w:tr>
      <w:tr w:rsidR="00DB6111" w:rsidRPr="00DB6111" w14:paraId="1EE7A4FF" w14:textId="77777777" w:rsidTr="00E5600C">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303FE958" w14:textId="77777777" w:rsidR="00B74DAB" w:rsidRPr="00096249" w:rsidRDefault="00B74DAB" w:rsidP="00F75CF1">
            <w:pPr>
              <w:spacing w:after="120" w:line="360" w:lineRule="exact"/>
              <w:ind w:right="113"/>
              <w:textDirection w:val="tbRlV"/>
              <w:rPr>
                <w:rFonts w:eastAsiaTheme="minorEastAsia"/>
                <w:b/>
                <w:bCs/>
                <w:sz w:val="22"/>
                <w:lang w:val="ar-SA" w:eastAsia="zh-TW" w:bidi="en-GB"/>
              </w:rPr>
            </w:pPr>
            <w:r w:rsidRPr="00096249">
              <w:rPr>
                <w:rFonts w:eastAsiaTheme="minorEastAsia"/>
                <w:b/>
                <w:bCs/>
                <w:sz w:val="22"/>
                <w:rtl/>
              </w:rPr>
              <w:t>قرار اللجنة</w:t>
            </w:r>
          </w:p>
        </w:tc>
      </w:tr>
      <w:tr w:rsidR="00DB6111" w:rsidRPr="00DB6111" w14:paraId="2F3470BA" w14:textId="77777777" w:rsidTr="00E5600C">
        <w:trPr>
          <w:trHeight w:val="1339"/>
        </w:trPr>
        <w:tc>
          <w:tcPr>
            <w:tcW w:w="7370" w:type="dxa"/>
            <w:gridSpan w:val="2"/>
            <w:tcBorders>
              <w:top w:val="nil"/>
              <w:bottom w:val="nil"/>
            </w:tcBorders>
            <w:shd w:val="clear" w:color="auto" w:fill="auto"/>
            <w:tcMar>
              <w:top w:w="80" w:type="dxa"/>
              <w:left w:w="80" w:type="dxa"/>
              <w:bottom w:w="80" w:type="dxa"/>
              <w:right w:w="193" w:type="dxa"/>
            </w:tcMar>
          </w:tcPr>
          <w:p w14:paraId="37B17DD0" w14:textId="1DE2069F" w:rsidR="00B74DAB" w:rsidRPr="00DB6111" w:rsidRDefault="00B74DAB" w:rsidP="00F75CF1">
            <w:pPr>
              <w:spacing w:after="120" w:line="360" w:lineRule="exact"/>
              <w:ind w:right="113"/>
              <w:textDirection w:val="tbRlV"/>
              <w:rPr>
                <w:rFonts w:eastAsiaTheme="minorEastAsia"/>
                <w:sz w:val="22"/>
                <w:lang w:val="ar-SA" w:eastAsia="zh-TW" w:bidi="en-GB"/>
              </w:rPr>
            </w:pPr>
            <w:r w:rsidRPr="00DB6111">
              <w:rPr>
                <w:rFonts w:eastAsiaTheme="minorEastAsia"/>
                <w:sz w:val="22"/>
                <w:rtl/>
              </w:rPr>
              <w:t xml:space="preserve">تقرر اللجنة توجيه رسالة إلى الدولة الطرف تبلغها فيها بتقييمها. وستشدد الرسالة على أنه ينبغي للدولة الطرف، عند تنفيذ توصيات اللجنة وعند تقديم تقريرها المقبل بموجب المادة </w:t>
            </w:r>
            <w:r w:rsidRPr="00096249">
              <w:rPr>
                <w:rFonts w:eastAsiaTheme="minorEastAsia"/>
                <w:sz w:val="22"/>
                <w:rtl/>
              </w:rPr>
              <w:t>29</w:t>
            </w:r>
            <w:r w:rsidRPr="00DB6111">
              <w:rPr>
                <w:rFonts w:eastAsiaTheme="minorEastAsia"/>
                <w:sz w:val="22"/>
                <w:rtl/>
              </w:rPr>
              <w:t>(</w:t>
            </w:r>
            <w:r w:rsidR="00DB6111" w:rsidRPr="00096249">
              <w:rPr>
                <w:rFonts w:eastAsiaTheme="minorEastAsia"/>
                <w:sz w:val="22"/>
                <w:rtl/>
              </w:rPr>
              <w:t>4</w:t>
            </w:r>
            <w:r w:rsidR="00DB6111" w:rsidRPr="00DB6111">
              <w:rPr>
                <w:rFonts w:eastAsiaTheme="minorEastAsia"/>
                <w:sz w:val="22"/>
                <w:rtl/>
              </w:rPr>
              <w:t xml:space="preserve">) </w:t>
            </w:r>
            <w:r w:rsidRPr="00DB6111">
              <w:rPr>
                <w:rFonts w:eastAsiaTheme="minorEastAsia"/>
                <w:sz w:val="22"/>
                <w:rtl/>
              </w:rPr>
              <w:t>من الاتفاقية، أن تأخذ في الاعتبار التوجيهات المحددة وطلبات الحصول على المعلومات الواردة في هذا التقرير، إلى جانب المبادئ التوجيهية للجنة بشأن البحث عن الأشخاص المختفين. وينبغي أن تشير الرسالة أيض</w:t>
            </w:r>
            <w:r w:rsidR="00D70BF7" w:rsidRPr="00DB6111">
              <w:rPr>
                <w:rFonts w:eastAsiaTheme="minorEastAsia"/>
                <w:sz w:val="22"/>
                <w:rtl/>
              </w:rPr>
              <w:t xml:space="preserve">اً </w:t>
            </w:r>
            <w:r w:rsidRPr="00DB6111">
              <w:rPr>
                <w:rFonts w:eastAsiaTheme="minorEastAsia"/>
                <w:sz w:val="22"/>
                <w:rtl/>
              </w:rPr>
              <w:t xml:space="preserve">إلى طلب اللجنة القيام بزيارة بموجب المادة </w:t>
            </w:r>
            <w:r w:rsidRPr="00096249">
              <w:rPr>
                <w:rFonts w:eastAsiaTheme="minorEastAsia"/>
                <w:sz w:val="22"/>
                <w:rtl/>
              </w:rPr>
              <w:t>33</w:t>
            </w:r>
            <w:r w:rsidRPr="00DB6111">
              <w:rPr>
                <w:rFonts w:eastAsiaTheme="minorEastAsia"/>
                <w:sz w:val="22"/>
                <w:rtl/>
              </w:rPr>
              <w:t xml:space="preserve"> من الاتفاقية، الذي لم تقبله الدولة الطرف بعد.</w:t>
            </w:r>
          </w:p>
        </w:tc>
      </w:tr>
      <w:tr w:rsidR="00DB6111" w:rsidRPr="00DB6111" w14:paraId="57E1195B" w14:textId="77777777" w:rsidTr="00E5600C">
        <w:trPr>
          <w:trHeight w:val="464"/>
        </w:trPr>
        <w:tc>
          <w:tcPr>
            <w:tcW w:w="7370" w:type="dxa"/>
            <w:gridSpan w:val="2"/>
            <w:tcBorders>
              <w:top w:val="nil"/>
            </w:tcBorders>
            <w:shd w:val="clear" w:color="auto" w:fill="auto"/>
            <w:tcMar>
              <w:top w:w="80" w:type="dxa"/>
              <w:left w:w="80" w:type="dxa"/>
              <w:bottom w:w="80" w:type="dxa"/>
              <w:right w:w="193" w:type="dxa"/>
            </w:tcMar>
          </w:tcPr>
          <w:p w14:paraId="09D55316" w14:textId="72FF16A3" w:rsidR="00B74DAB" w:rsidRPr="00096249" w:rsidRDefault="00B74DAB" w:rsidP="00F75CF1">
            <w:pPr>
              <w:spacing w:after="120" w:line="360" w:lineRule="exact"/>
              <w:ind w:right="113"/>
              <w:textDirection w:val="tbRlV"/>
              <w:rPr>
                <w:rFonts w:eastAsiaTheme="minorEastAsia"/>
                <w:b/>
                <w:bCs/>
                <w:spacing w:val="-6"/>
                <w:sz w:val="22"/>
                <w:lang w:val="ar-SA" w:eastAsia="zh-TW" w:bidi="en-GB"/>
              </w:rPr>
            </w:pPr>
            <w:r w:rsidRPr="00096249">
              <w:rPr>
                <w:rFonts w:eastAsiaTheme="minorEastAsia"/>
                <w:b/>
                <w:bCs/>
                <w:spacing w:val="-6"/>
                <w:sz w:val="22"/>
                <w:rtl/>
              </w:rPr>
              <w:t>الموعد النهائي لتقديم الدولة الطرف تقريرها المقبل بموجب المادة 29(</w:t>
            </w:r>
            <w:r w:rsidR="00DB6111" w:rsidRPr="00096249">
              <w:rPr>
                <w:rFonts w:eastAsiaTheme="minorEastAsia"/>
                <w:b/>
                <w:bCs/>
                <w:spacing w:val="-6"/>
                <w:sz w:val="22"/>
                <w:rtl/>
              </w:rPr>
              <w:t xml:space="preserve">4) </w:t>
            </w:r>
            <w:r w:rsidRPr="00096249">
              <w:rPr>
                <w:rFonts w:eastAsiaTheme="minorEastAsia"/>
                <w:b/>
                <w:bCs/>
                <w:spacing w:val="-6"/>
                <w:sz w:val="22"/>
                <w:rtl/>
              </w:rPr>
              <w:t xml:space="preserve">من الاتفاقية: </w:t>
            </w:r>
            <w:r w:rsidRPr="00096249">
              <w:rPr>
                <w:rFonts w:eastAsiaTheme="minorEastAsia"/>
                <w:spacing w:val="-6"/>
                <w:sz w:val="22"/>
                <w:rtl/>
              </w:rPr>
              <w:t>7 أيار/مايو 2024</w:t>
            </w:r>
          </w:p>
        </w:tc>
      </w:tr>
    </w:tbl>
    <w:p w14:paraId="3C5852FF" w14:textId="2374C81F" w:rsidR="007027FD" w:rsidRPr="00DB6111" w:rsidRDefault="007027FD" w:rsidP="007027FD">
      <w:pPr>
        <w:pStyle w:val="SingleTxtGA"/>
        <w:jc w:val="center"/>
        <w:rPr>
          <w:rFonts w:eastAsiaTheme="minorEastAsia"/>
          <w:u w:val="single"/>
          <w:rtl/>
        </w:rPr>
      </w:pPr>
      <w:r w:rsidRPr="00DB6111">
        <w:rPr>
          <w:rFonts w:eastAsiaTheme="minorEastAsia"/>
          <w:u w:val="single"/>
          <w:rtl/>
        </w:rPr>
        <w:tab/>
      </w:r>
      <w:r w:rsidRPr="00DB6111">
        <w:rPr>
          <w:rFonts w:eastAsiaTheme="minorEastAsia"/>
          <w:u w:val="single"/>
          <w:rtl/>
        </w:rPr>
        <w:tab/>
      </w:r>
      <w:r w:rsidRPr="00DB6111">
        <w:rPr>
          <w:rFonts w:eastAsiaTheme="minorEastAsia"/>
          <w:u w:val="single"/>
          <w:rtl/>
        </w:rPr>
        <w:tab/>
      </w:r>
    </w:p>
    <w:sectPr w:rsidR="007027FD" w:rsidRPr="00DB6111" w:rsidSect="00C056BB">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10CF" w14:textId="77777777" w:rsidR="00035173" w:rsidRPr="002901D9" w:rsidRDefault="00035173" w:rsidP="00DF5E71">
      <w:pPr>
        <w:spacing w:after="60" w:line="240" w:lineRule="auto"/>
        <w:ind w:left="57"/>
        <w:rPr>
          <w:i/>
          <w:iCs/>
        </w:rPr>
      </w:pPr>
      <w:r>
        <w:rPr>
          <w:rFonts w:hint="cs"/>
          <w:i/>
          <w:iCs/>
          <w:rtl/>
        </w:rPr>
        <w:t>الحواشي</w:t>
      </w:r>
    </w:p>
  </w:endnote>
  <w:endnote w:type="continuationSeparator" w:id="0">
    <w:p w14:paraId="62B2DA03" w14:textId="77777777" w:rsidR="00035173" w:rsidRDefault="0003517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9DE" w14:textId="1BFF4144" w:rsidR="004819FD" w:rsidRPr="004819FD" w:rsidRDefault="004819FD" w:rsidP="004819FD">
    <w:pPr>
      <w:pStyle w:val="Footer"/>
      <w:tabs>
        <w:tab w:val="right" w:pos="9638"/>
      </w:tabs>
      <w:rPr>
        <w:b/>
        <w:sz w:val="18"/>
        <w:lang w:val="en-US"/>
      </w:rPr>
    </w:pPr>
    <w:r>
      <w:rPr>
        <w:lang w:val="en-US"/>
      </w:rPr>
      <w:t>GE.22-16542</w:t>
    </w:r>
    <w:r>
      <w:rPr>
        <w:lang w:val="en-US"/>
      </w:rPr>
      <w:tab/>
    </w:r>
    <w:r w:rsidRPr="004819FD">
      <w:rPr>
        <w:b/>
        <w:sz w:val="18"/>
        <w:lang w:val="en-US"/>
      </w:rPr>
      <w:fldChar w:fldCharType="begin"/>
    </w:r>
    <w:r w:rsidRPr="004819FD">
      <w:rPr>
        <w:b/>
        <w:sz w:val="18"/>
        <w:lang w:val="en-US"/>
      </w:rPr>
      <w:instrText xml:space="preserve"> PAGE  \* MERGEFORMAT </w:instrText>
    </w:r>
    <w:r w:rsidRPr="004819FD">
      <w:rPr>
        <w:b/>
        <w:sz w:val="18"/>
        <w:lang w:val="en-US"/>
      </w:rPr>
      <w:fldChar w:fldCharType="separate"/>
    </w:r>
    <w:r w:rsidRPr="004819FD">
      <w:rPr>
        <w:b/>
        <w:noProof/>
        <w:sz w:val="18"/>
        <w:lang w:val="en-US"/>
      </w:rPr>
      <w:t>2</w:t>
    </w:r>
    <w:r w:rsidRPr="004819F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E91A" w14:textId="71816749" w:rsidR="006959B0" w:rsidRPr="004819FD" w:rsidRDefault="004819FD" w:rsidP="004819F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GE.22-16542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E6AC" w14:textId="658FE7A5" w:rsidR="00AB4F93" w:rsidRPr="004819FD" w:rsidRDefault="004819FD" w:rsidP="004819FD">
    <w:pPr>
      <w:pStyle w:val="Footer"/>
      <w:spacing w:before="600"/>
      <w:ind w:left="567"/>
      <w:jc w:val="right"/>
      <w:rPr>
        <w:sz w:val="20"/>
        <w:lang w:val="en-US"/>
      </w:rPr>
    </w:pPr>
    <w:r>
      <w:rPr>
        <w:sz w:val="20"/>
        <w:lang w:val="en-US"/>
      </w:rPr>
      <w:t>GE.</w:t>
    </w:r>
    <w:r w:rsidR="007F55ED">
      <w:rPr>
        <w:noProof/>
      </w:rPr>
      <w:drawing>
        <wp:anchor distT="0" distB="0" distL="114300" distR="114300" simplePos="0" relativeHeight="251659264" behindDoc="1" locked="1" layoutInCell="0" allowOverlap="1" wp14:anchorId="037BFFDB" wp14:editId="6B2B01B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22-16542 (A)</w:t>
    </w:r>
    <w:r>
      <w:rPr>
        <w:noProof/>
        <w:sz w:val="20"/>
        <w:lang w:val="en-US"/>
      </w:rPr>
      <w:drawing>
        <wp:anchor distT="0" distB="0" distL="114300" distR="114300" simplePos="0" relativeHeight="251660288" behindDoc="0" locked="0" layoutInCell="1" allowOverlap="1" wp14:anchorId="70EE4229" wp14:editId="7C6585BA">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548D" w14:textId="77777777" w:rsidR="00035173" w:rsidRPr="002804D6" w:rsidRDefault="00035173" w:rsidP="002804D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25A0894" w14:textId="77777777" w:rsidR="00035173" w:rsidRDefault="00035173" w:rsidP="00656392">
      <w:pPr>
        <w:spacing w:line="240" w:lineRule="auto"/>
      </w:pPr>
      <w:r>
        <w:continuationSeparator/>
      </w:r>
    </w:p>
  </w:footnote>
  <w:footnote w:id="1">
    <w:p w14:paraId="71936701" w14:textId="0DF09C1F" w:rsidR="00B74DAB" w:rsidRPr="00DB6111" w:rsidRDefault="00B74DAB" w:rsidP="00B74DAB">
      <w:pPr>
        <w:pStyle w:val="FootnoteText1"/>
        <w:rPr>
          <w:rFonts w:eastAsiaTheme="minorEastAsia"/>
          <w:rtl/>
        </w:rPr>
      </w:pPr>
      <w:r w:rsidRPr="00DB6111">
        <w:rPr>
          <w:rFonts w:eastAsiaTheme="minorEastAsia"/>
          <w:sz w:val="22"/>
          <w:szCs w:val="22"/>
          <w:rtl/>
        </w:rPr>
        <w:t>*</w:t>
      </w:r>
      <w:r w:rsidRPr="00DB6111">
        <w:rPr>
          <w:rFonts w:eastAsiaTheme="minorEastAsia"/>
          <w:sz w:val="22"/>
          <w:szCs w:val="22"/>
          <w:rtl/>
        </w:rPr>
        <w:tab/>
      </w:r>
      <w:r w:rsidRPr="00DB6111">
        <w:rPr>
          <w:rFonts w:eastAsiaTheme="minorEastAsia"/>
          <w:rtl/>
        </w:rPr>
        <w:t>اعتمدته اللجنة في دورتها الثالثة والعشرين (</w:t>
      </w:r>
      <w:r w:rsidRPr="00096249">
        <w:rPr>
          <w:rFonts w:eastAsiaTheme="minorEastAsia"/>
          <w:rtl/>
        </w:rPr>
        <w:t>12</w:t>
      </w:r>
      <w:r w:rsidRPr="00DB6111">
        <w:rPr>
          <w:rFonts w:eastAsiaTheme="minorEastAsia"/>
          <w:rtl/>
        </w:rPr>
        <w:t>-</w:t>
      </w:r>
      <w:r w:rsidRPr="00096249">
        <w:rPr>
          <w:rFonts w:eastAsiaTheme="minorEastAsia"/>
          <w:rtl/>
        </w:rPr>
        <w:t>23</w:t>
      </w:r>
      <w:r w:rsidRPr="00DB6111">
        <w:rPr>
          <w:rFonts w:eastAsiaTheme="minorEastAsia"/>
          <w:rtl/>
        </w:rPr>
        <w:t xml:space="preserve"> أيلول/سبتمبر </w:t>
      </w:r>
      <w:r w:rsidRPr="00096249">
        <w:rPr>
          <w:rFonts w:eastAsiaTheme="minorEastAsia"/>
          <w:rtl/>
        </w:rPr>
        <w:t>2022</w:t>
      </w:r>
      <w:r w:rsidR="00DB6111" w:rsidRPr="00DB6111">
        <w:rPr>
          <w:rFonts w:eastAsiaTheme="minorEastAsia"/>
          <w:rtl/>
        </w:rPr>
        <w:t xml:space="preserve">). </w:t>
      </w:r>
    </w:p>
  </w:footnote>
  <w:footnote w:id="2">
    <w:p w14:paraId="21DBF6CF" w14:textId="77777777" w:rsidR="00DB6111" w:rsidRPr="00DB6111" w:rsidRDefault="00DB6111" w:rsidP="00DB6111">
      <w:pPr>
        <w:pStyle w:val="FootnoteText1"/>
        <w:textDirection w:val="tbRlV"/>
        <w:rPr>
          <w:rFonts w:eastAsiaTheme="minorEastAsia"/>
          <w:lang w:eastAsia="zh-TW"/>
        </w:rPr>
      </w:pPr>
      <w:r w:rsidRPr="00096249">
        <w:rPr>
          <w:rFonts w:eastAsiaTheme="minorEastAsia"/>
          <w:rtl/>
        </w:rPr>
        <w:t>(</w:t>
      </w:r>
      <w:r w:rsidRPr="00096249">
        <w:rPr>
          <w:rFonts w:eastAsiaTheme="minorEastAsia"/>
        </w:rPr>
        <w:footnoteRef/>
      </w:r>
      <w:r w:rsidRPr="00096249">
        <w:rPr>
          <w:rFonts w:eastAsiaTheme="minorEastAsia"/>
          <w:rtl/>
        </w:rPr>
        <w:t>)</w:t>
      </w:r>
      <w:r w:rsidRPr="00DB6111">
        <w:rPr>
          <w:rFonts w:eastAsiaTheme="minorEastAsia"/>
          <w:rtl/>
        </w:rPr>
        <w:tab/>
      </w:r>
      <w:hyperlink r:id="rId1" w:history="1">
        <w:r w:rsidRPr="00DB6111">
          <w:rPr>
            <w:rStyle w:val="Hyperlink"/>
          </w:rPr>
          <w:t>CED/C/CHE/FCO/</w:t>
        </w:r>
        <w:r w:rsidRPr="00096249">
          <w:rPr>
            <w:rStyle w:val="Hyperlink"/>
          </w:rPr>
          <w:t>1</w:t>
        </w:r>
      </w:hyperlink>
      <w:r w:rsidRPr="00DB6111">
        <w:rPr>
          <w:rFonts w:eastAsiaTheme="minorEastAsia"/>
          <w:rtl/>
        </w:rPr>
        <w:t xml:space="preserve">. </w:t>
      </w:r>
    </w:p>
  </w:footnote>
  <w:footnote w:id="3">
    <w:p w14:paraId="31CD78C1" w14:textId="77777777" w:rsidR="00DB6111" w:rsidRPr="00DB6111" w:rsidRDefault="00DB6111" w:rsidP="00DB6111">
      <w:pPr>
        <w:pStyle w:val="FootnoteText1"/>
        <w:textDirection w:val="tbRlV"/>
        <w:rPr>
          <w:rFonts w:eastAsiaTheme="minorEastAsia"/>
          <w:lang w:eastAsia="zh-TW" w:bidi="en-GB"/>
        </w:rPr>
      </w:pPr>
      <w:r w:rsidRPr="00096249">
        <w:rPr>
          <w:rFonts w:eastAsiaTheme="minorEastAsia"/>
          <w:rtl/>
        </w:rPr>
        <w:t>(</w:t>
      </w:r>
      <w:r w:rsidRPr="00096249">
        <w:rPr>
          <w:rFonts w:eastAsiaTheme="minorEastAsia"/>
        </w:rPr>
        <w:footnoteRef/>
      </w:r>
      <w:r w:rsidRPr="00DB6111">
        <w:rPr>
          <w:rFonts w:eastAsiaTheme="minorEastAsia" w:hint="cs"/>
          <w:rtl/>
        </w:rPr>
        <w:t>)</w:t>
      </w:r>
      <w:r w:rsidRPr="00DB6111">
        <w:rPr>
          <w:rFonts w:eastAsiaTheme="minorEastAsia"/>
        </w:rPr>
        <w:tab/>
      </w:r>
      <w:hyperlink r:id="rId2" w:history="1">
        <w:r w:rsidRPr="00DB6111">
          <w:rPr>
            <w:rStyle w:val="Hyperlink"/>
          </w:rPr>
          <w:t>CED/C/COL/FOAI/</w:t>
        </w:r>
        <w:r w:rsidRPr="00096249">
          <w:rPr>
            <w:rStyle w:val="Hyperlink"/>
          </w:rPr>
          <w:t>1</w:t>
        </w:r>
      </w:hyperlink>
      <w:r w:rsidRPr="00DB6111">
        <w:rPr>
          <w:rFonts w:eastAsiaTheme="minorEastAsia"/>
          <w:rtl/>
        </w:rPr>
        <w:t xml:space="preserve">. </w:t>
      </w:r>
    </w:p>
  </w:footnote>
  <w:footnote w:id="4">
    <w:p w14:paraId="492198C4" w14:textId="77777777" w:rsidR="00DB6111" w:rsidRPr="00DB6111" w:rsidRDefault="00DB6111" w:rsidP="00DB6111">
      <w:pPr>
        <w:pStyle w:val="FootnoteText1"/>
        <w:textDirection w:val="tbRlV"/>
        <w:rPr>
          <w:rFonts w:eastAsiaTheme="minorEastAsia"/>
          <w:lang w:eastAsia="zh-TW" w:bidi="en-GB"/>
        </w:rPr>
      </w:pPr>
      <w:r w:rsidRPr="00096249">
        <w:rPr>
          <w:rStyle w:val="FootnoteReference"/>
          <w:rFonts w:eastAsiaTheme="minorEastAsia"/>
          <w:vertAlign w:val="baseline"/>
          <w:rtl/>
        </w:rPr>
        <w:t>(</w:t>
      </w:r>
      <w:r w:rsidRPr="00096249">
        <w:rPr>
          <w:rStyle w:val="FootnoteReference"/>
          <w:rFonts w:eastAsiaTheme="minorEastAsia"/>
          <w:vertAlign w:val="baseline"/>
        </w:rPr>
        <w:footnoteRef/>
      </w:r>
      <w:r w:rsidRPr="00096249">
        <w:rPr>
          <w:rStyle w:val="FootnoteReference"/>
          <w:rFonts w:eastAsiaTheme="minorEastAsia"/>
          <w:vertAlign w:val="baseline"/>
          <w:rtl/>
        </w:rPr>
        <w:t>)</w:t>
      </w:r>
      <w:r w:rsidRPr="00DB6111">
        <w:rPr>
          <w:rFonts w:eastAsiaTheme="minorEastAsia"/>
          <w:rtl/>
        </w:rPr>
        <w:tab/>
      </w:r>
      <w:hyperlink r:id="rId3" w:history="1">
        <w:r w:rsidRPr="00DB6111">
          <w:rPr>
            <w:rStyle w:val="Hyperlink"/>
          </w:rPr>
          <w:t>CED/C/CHE/CO/</w:t>
        </w:r>
        <w:r w:rsidRPr="00096249">
          <w:rPr>
            <w:rStyle w:val="Hyperlink"/>
          </w:rPr>
          <w:t>1</w:t>
        </w:r>
      </w:hyperlink>
      <w:r w:rsidRPr="00DB6111">
        <w:rPr>
          <w:rFonts w:eastAsiaTheme="minorEastAsia"/>
          <w:rtl/>
        </w:rPr>
        <w:t xml:space="preserve">. </w:t>
      </w:r>
    </w:p>
  </w:footnote>
  <w:footnote w:id="5">
    <w:p w14:paraId="5C280EAD" w14:textId="77777777" w:rsidR="00DB6111" w:rsidRPr="00DB6111" w:rsidRDefault="00DB6111" w:rsidP="00DB6111">
      <w:pPr>
        <w:pStyle w:val="FootnoteText1"/>
        <w:textDirection w:val="tbRlV"/>
        <w:rPr>
          <w:rFonts w:eastAsiaTheme="minorEastAsia"/>
          <w:lang w:val="ar-SA" w:eastAsia="zh-TW" w:bidi="en-GB"/>
        </w:rPr>
      </w:pPr>
      <w:r w:rsidRPr="00096249">
        <w:rPr>
          <w:rFonts w:eastAsiaTheme="minorEastAsia"/>
          <w:rtl/>
        </w:rPr>
        <w:t>(</w:t>
      </w:r>
      <w:r w:rsidRPr="00096249">
        <w:rPr>
          <w:rFonts w:eastAsiaTheme="minorEastAsia"/>
        </w:rPr>
        <w:footnoteRef/>
      </w:r>
      <w:r w:rsidRPr="00096249">
        <w:rPr>
          <w:rFonts w:eastAsiaTheme="minorEastAsia"/>
          <w:rtl/>
        </w:rPr>
        <w:t>)</w:t>
      </w:r>
      <w:r w:rsidRPr="00DB6111">
        <w:rPr>
          <w:rFonts w:eastAsiaTheme="minorEastAsia"/>
          <w:rtl/>
        </w:rPr>
        <w:tab/>
        <w:t xml:space="preserve">انظر </w:t>
      </w:r>
      <w:hyperlink r:id="rId4" w:history="1">
        <w:r w:rsidRPr="00DB6111">
          <w:rPr>
            <w:rStyle w:val="Hyperlink"/>
          </w:rPr>
          <w:t>CED/C/MEX/CO/</w:t>
        </w:r>
        <w:r w:rsidRPr="00096249">
          <w:rPr>
            <w:rStyle w:val="Hyperlink"/>
          </w:rPr>
          <w:t>1</w:t>
        </w:r>
        <w:r w:rsidRPr="00DB6111">
          <w:rPr>
            <w:rStyle w:val="Hyperlink"/>
          </w:rPr>
          <w:t>/Add.</w:t>
        </w:r>
        <w:r w:rsidRPr="00096249">
          <w:rPr>
            <w:rStyle w:val="Hyperlink"/>
          </w:rPr>
          <w:t>2</w:t>
        </w:r>
      </w:hyperlink>
      <w:r w:rsidRPr="00DB6111">
        <w:rPr>
          <w:rFonts w:eastAsiaTheme="minorEastAsia"/>
          <w:rtl/>
        </w:rPr>
        <w:t xml:space="preserve"> و</w:t>
      </w:r>
      <w:hyperlink r:id="rId5" w:history="1">
        <w:r w:rsidRPr="00DB6111">
          <w:rPr>
            <w:rStyle w:val="Hyperlink"/>
          </w:rPr>
          <w:t>CED/C/MEX/OAI/</w:t>
        </w:r>
        <w:r w:rsidRPr="00096249">
          <w:rPr>
            <w:rStyle w:val="Hyperlink"/>
          </w:rPr>
          <w:t>1</w:t>
        </w:r>
      </w:hyperlink>
      <w:r w:rsidRPr="00DB6111">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3857" w14:textId="07D0971D" w:rsidR="004819FD" w:rsidRPr="004819FD" w:rsidRDefault="004819FD" w:rsidP="004819F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CED/C/23/3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EB11" w14:textId="0BB3AAF3" w:rsidR="004819FD" w:rsidRPr="004819FD" w:rsidRDefault="004819FD" w:rsidP="004819F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CED/C/23/3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73"/>
    <w:rsid w:val="00001E1B"/>
    <w:rsid w:val="000076D5"/>
    <w:rsid w:val="00027F2D"/>
    <w:rsid w:val="00035173"/>
    <w:rsid w:val="00042767"/>
    <w:rsid w:val="00043663"/>
    <w:rsid w:val="000505CF"/>
    <w:rsid w:val="00096249"/>
    <w:rsid w:val="000A1B1A"/>
    <w:rsid w:val="000D701C"/>
    <w:rsid w:val="000E2A71"/>
    <w:rsid w:val="000F4E15"/>
    <w:rsid w:val="0010772C"/>
    <w:rsid w:val="00160263"/>
    <w:rsid w:val="00176DB4"/>
    <w:rsid w:val="00181F96"/>
    <w:rsid w:val="001A1371"/>
    <w:rsid w:val="001A5338"/>
    <w:rsid w:val="001B346A"/>
    <w:rsid w:val="001E1CAD"/>
    <w:rsid w:val="001E290D"/>
    <w:rsid w:val="002144FA"/>
    <w:rsid w:val="0021768C"/>
    <w:rsid w:val="0023469A"/>
    <w:rsid w:val="00243C8A"/>
    <w:rsid w:val="002456E8"/>
    <w:rsid w:val="00267A0E"/>
    <w:rsid w:val="002804D6"/>
    <w:rsid w:val="002901D9"/>
    <w:rsid w:val="002976C2"/>
    <w:rsid w:val="002C11AF"/>
    <w:rsid w:val="00317B22"/>
    <w:rsid w:val="003260FF"/>
    <w:rsid w:val="00343D95"/>
    <w:rsid w:val="00347336"/>
    <w:rsid w:val="00374341"/>
    <w:rsid w:val="003D1062"/>
    <w:rsid w:val="00420D7B"/>
    <w:rsid w:val="00450B21"/>
    <w:rsid w:val="00453B63"/>
    <w:rsid w:val="00455780"/>
    <w:rsid w:val="004819FD"/>
    <w:rsid w:val="004A52AC"/>
    <w:rsid w:val="004B0A1C"/>
    <w:rsid w:val="004D298E"/>
    <w:rsid w:val="004E1586"/>
    <w:rsid w:val="005030EF"/>
    <w:rsid w:val="00534020"/>
    <w:rsid w:val="0054472E"/>
    <w:rsid w:val="005662A9"/>
    <w:rsid w:val="005827D4"/>
    <w:rsid w:val="0059622A"/>
    <w:rsid w:val="005C5878"/>
    <w:rsid w:val="005C7CEA"/>
    <w:rsid w:val="005D3C0B"/>
    <w:rsid w:val="005E5217"/>
    <w:rsid w:val="005E67F5"/>
    <w:rsid w:val="005F0FA4"/>
    <w:rsid w:val="005F2681"/>
    <w:rsid w:val="005F30EE"/>
    <w:rsid w:val="0060473A"/>
    <w:rsid w:val="0060570D"/>
    <w:rsid w:val="00622130"/>
    <w:rsid w:val="00656392"/>
    <w:rsid w:val="0068781D"/>
    <w:rsid w:val="006954D6"/>
    <w:rsid w:val="006959B0"/>
    <w:rsid w:val="006A69CA"/>
    <w:rsid w:val="006B3E27"/>
    <w:rsid w:val="006B6507"/>
    <w:rsid w:val="006C104C"/>
    <w:rsid w:val="006D39EA"/>
    <w:rsid w:val="006D698E"/>
    <w:rsid w:val="007027FD"/>
    <w:rsid w:val="00733704"/>
    <w:rsid w:val="00774AF4"/>
    <w:rsid w:val="0078071A"/>
    <w:rsid w:val="007B718D"/>
    <w:rsid w:val="007F55ED"/>
    <w:rsid w:val="00807312"/>
    <w:rsid w:val="008313E3"/>
    <w:rsid w:val="00852A9A"/>
    <w:rsid w:val="0086700C"/>
    <w:rsid w:val="008B6646"/>
    <w:rsid w:val="008C2897"/>
    <w:rsid w:val="008C6E7E"/>
    <w:rsid w:val="008D6989"/>
    <w:rsid w:val="008E7616"/>
    <w:rsid w:val="008F49E1"/>
    <w:rsid w:val="008F729B"/>
    <w:rsid w:val="0090370F"/>
    <w:rsid w:val="009269D2"/>
    <w:rsid w:val="009275B9"/>
    <w:rsid w:val="009305F0"/>
    <w:rsid w:val="00942135"/>
    <w:rsid w:val="009521B0"/>
    <w:rsid w:val="00980103"/>
    <w:rsid w:val="00987935"/>
    <w:rsid w:val="00994130"/>
    <w:rsid w:val="009A7E9F"/>
    <w:rsid w:val="009E5018"/>
    <w:rsid w:val="009F515B"/>
    <w:rsid w:val="00A12B37"/>
    <w:rsid w:val="00A20FF4"/>
    <w:rsid w:val="00A4027E"/>
    <w:rsid w:val="00A8418F"/>
    <w:rsid w:val="00A93AF3"/>
    <w:rsid w:val="00AB4F93"/>
    <w:rsid w:val="00AB6758"/>
    <w:rsid w:val="00B13614"/>
    <w:rsid w:val="00B13763"/>
    <w:rsid w:val="00B2169E"/>
    <w:rsid w:val="00B27391"/>
    <w:rsid w:val="00B33568"/>
    <w:rsid w:val="00B40C02"/>
    <w:rsid w:val="00B477A4"/>
    <w:rsid w:val="00B54045"/>
    <w:rsid w:val="00B62784"/>
    <w:rsid w:val="00B63F77"/>
    <w:rsid w:val="00B65387"/>
    <w:rsid w:val="00B74DAB"/>
    <w:rsid w:val="00BB449E"/>
    <w:rsid w:val="00BD2E35"/>
    <w:rsid w:val="00C056BB"/>
    <w:rsid w:val="00C05EA5"/>
    <w:rsid w:val="00C438D7"/>
    <w:rsid w:val="00C81B50"/>
    <w:rsid w:val="00C92253"/>
    <w:rsid w:val="00CA5614"/>
    <w:rsid w:val="00CB28F9"/>
    <w:rsid w:val="00CC276B"/>
    <w:rsid w:val="00CD1801"/>
    <w:rsid w:val="00CF0BC9"/>
    <w:rsid w:val="00CF7E4E"/>
    <w:rsid w:val="00D063AB"/>
    <w:rsid w:val="00D10EF1"/>
    <w:rsid w:val="00D42810"/>
    <w:rsid w:val="00D70BF7"/>
    <w:rsid w:val="00D914A7"/>
    <w:rsid w:val="00DB6111"/>
    <w:rsid w:val="00DD13C3"/>
    <w:rsid w:val="00DD596E"/>
    <w:rsid w:val="00DD621E"/>
    <w:rsid w:val="00DF0575"/>
    <w:rsid w:val="00DF5E71"/>
    <w:rsid w:val="00E70E04"/>
    <w:rsid w:val="00E76499"/>
    <w:rsid w:val="00E866BF"/>
    <w:rsid w:val="00EB6F59"/>
    <w:rsid w:val="00EC05A7"/>
    <w:rsid w:val="00EC4B6B"/>
    <w:rsid w:val="00EE2A27"/>
    <w:rsid w:val="00EF1EE5"/>
    <w:rsid w:val="00EF7E82"/>
    <w:rsid w:val="00F156CA"/>
    <w:rsid w:val="00F21389"/>
    <w:rsid w:val="00F52C23"/>
    <w:rsid w:val="00F56AFE"/>
    <w:rsid w:val="00F6781A"/>
    <w:rsid w:val="00F73AA2"/>
    <w:rsid w:val="00F73DB7"/>
    <w:rsid w:val="00F75CF1"/>
    <w:rsid w:val="00F763B4"/>
    <w:rsid w:val="00F900C3"/>
    <w:rsid w:val="00FA55AB"/>
    <w:rsid w:val="00FD3946"/>
    <w:rsid w:val="00FF0FAE"/>
    <w:rsid w:val="00FF2AB2"/>
    <w:rsid w:val="00FF4EA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34BF6"/>
  <w15:docId w15:val="{C79B192E-DE0E-4615-9125-3F8CF67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77"/>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B63F77"/>
    <w:pPr>
      <w:bidi w:val="0"/>
      <w:outlineLvl w:val="0"/>
    </w:pPr>
  </w:style>
  <w:style w:type="paragraph" w:styleId="Heading2">
    <w:name w:val="heading 2"/>
    <w:basedOn w:val="Normal"/>
    <w:next w:val="Normal"/>
    <w:link w:val="Heading2Char"/>
    <w:uiPriority w:val="9"/>
    <w:unhideWhenUsed/>
    <w:rsid w:val="00B63F7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B63F77"/>
    <w:pPr>
      <w:keepNext/>
      <w:keepLines/>
      <w:spacing w:before="200"/>
      <w:outlineLvl w:val="2"/>
    </w:pPr>
    <w:rPr>
      <w:b/>
      <w:bCs/>
      <w:color w:val="4F81BD"/>
    </w:rPr>
  </w:style>
  <w:style w:type="paragraph" w:styleId="Heading4">
    <w:name w:val="heading 4"/>
    <w:basedOn w:val="Normal"/>
    <w:next w:val="Normal"/>
    <w:link w:val="Heading4Char"/>
    <w:uiPriority w:val="9"/>
    <w:unhideWhenUsed/>
    <w:rsid w:val="00B63F7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B63F77"/>
    <w:pPr>
      <w:keepNext/>
      <w:keepLines/>
      <w:spacing w:before="200"/>
      <w:outlineLvl w:val="4"/>
    </w:pPr>
    <w:rPr>
      <w:color w:val="243F60"/>
    </w:rPr>
  </w:style>
  <w:style w:type="paragraph" w:styleId="Heading6">
    <w:name w:val="heading 6"/>
    <w:basedOn w:val="Normal"/>
    <w:next w:val="Normal"/>
    <w:link w:val="Heading6Char"/>
    <w:uiPriority w:val="9"/>
    <w:unhideWhenUsed/>
    <w:rsid w:val="00B63F77"/>
    <w:pPr>
      <w:keepNext/>
      <w:keepLines/>
      <w:spacing w:before="200"/>
      <w:outlineLvl w:val="5"/>
    </w:pPr>
    <w:rPr>
      <w:i/>
      <w:iCs/>
      <w:color w:val="243F60"/>
    </w:rPr>
  </w:style>
  <w:style w:type="paragraph" w:styleId="Heading7">
    <w:name w:val="heading 7"/>
    <w:basedOn w:val="Normal"/>
    <w:next w:val="Normal"/>
    <w:link w:val="Heading7Char"/>
    <w:uiPriority w:val="9"/>
    <w:unhideWhenUsed/>
    <w:rsid w:val="00B63F77"/>
    <w:pPr>
      <w:keepNext/>
      <w:keepLines/>
      <w:spacing w:before="200"/>
      <w:outlineLvl w:val="6"/>
    </w:pPr>
    <w:rPr>
      <w:i/>
      <w:iCs/>
      <w:color w:val="404040"/>
    </w:rPr>
  </w:style>
  <w:style w:type="paragraph" w:styleId="Heading8">
    <w:name w:val="heading 8"/>
    <w:basedOn w:val="Normal"/>
    <w:next w:val="Normal"/>
    <w:link w:val="Heading8Char"/>
    <w:uiPriority w:val="9"/>
    <w:unhideWhenUsed/>
    <w:rsid w:val="00B63F7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B63F7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B63F7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B63F7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B63F7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B63F7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B63F7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B63F7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B63F7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B63F7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B63F7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B63F7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B63F7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B63F7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B63F7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B63F77"/>
    <w:pPr>
      <w:numPr>
        <w:numId w:val="5"/>
      </w:numPr>
      <w:bidi w:val="0"/>
    </w:pPr>
    <w:rPr>
      <w:lang w:val="en-US"/>
    </w:rPr>
  </w:style>
  <w:style w:type="paragraph" w:customStyle="1" w:styleId="Roman1GA">
    <w:name w:val="_Roman 1_GA"/>
    <w:basedOn w:val="Bullet1GA"/>
    <w:qFormat/>
    <w:rsid w:val="00B63F77"/>
    <w:pPr>
      <w:numPr>
        <w:numId w:val="6"/>
      </w:numPr>
      <w:tabs>
        <w:tab w:val="clear" w:pos="2310"/>
        <w:tab w:val="left" w:pos="2486"/>
      </w:tabs>
      <w:ind w:left="2486" w:hanging="378"/>
    </w:pPr>
  </w:style>
  <w:style w:type="paragraph" w:customStyle="1" w:styleId="Roman2GA">
    <w:name w:val="_Roman 2_GA"/>
    <w:basedOn w:val="Bullet2GA"/>
    <w:qFormat/>
    <w:rsid w:val="00B63F7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B63F7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B63F77"/>
    <w:rPr>
      <w:rFonts w:ascii="Times New Roman" w:eastAsia="PMingLiU" w:hAnsi="Times New Roman" w:cs="Simplified Arabic"/>
      <w:sz w:val="18"/>
      <w:szCs w:val="20"/>
      <w:lang w:val="en-GB"/>
    </w:rPr>
  </w:style>
  <w:style w:type="character" w:customStyle="1" w:styleId="EndtnoteReference">
    <w:name w:val="Endtnote Reference"/>
    <w:aliases w:val="1_GA"/>
    <w:qFormat/>
    <w:rsid w:val="00B63F7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B63F77"/>
    <w:pPr>
      <w:suppressAutoHyphens/>
      <w:bidi w:val="0"/>
      <w:spacing w:line="240" w:lineRule="auto"/>
    </w:pPr>
    <w:rPr>
      <w:sz w:val="16"/>
      <w:lang w:val="en-GB"/>
    </w:rPr>
  </w:style>
  <w:style w:type="character" w:customStyle="1" w:styleId="FooterChar">
    <w:name w:val="Footer Char"/>
    <w:aliases w:val="3_GA Char,3_G Char"/>
    <w:link w:val="Footer"/>
    <w:rsid w:val="00B63F77"/>
    <w:rPr>
      <w:rFonts w:ascii="Times New Roman" w:eastAsia="PMingLiU" w:hAnsi="Times New Roman" w:cs="Simplified Arabic"/>
      <w:sz w:val="16"/>
      <w:lang w:val="en-GB"/>
    </w:rPr>
  </w:style>
  <w:style w:type="paragraph" w:customStyle="1" w:styleId="FootnoteText1">
    <w:name w:val="Footnote Text1"/>
    <w:aliases w:val="5_GA"/>
    <w:basedOn w:val="Normal"/>
    <w:qFormat/>
    <w:rsid w:val="00B63F7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B63F7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B63F77"/>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B63F77"/>
    <w:rPr>
      <w:rFonts w:ascii="Times New Roman" w:eastAsia="PMingLiU" w:hAnsi="Times New Roman" w:cs="Simplified Arabic"/>
      <w:lang w:val="en-GB"/>
    </w:rPr>
  </w:style>
  <w:style w:type="character" w:styleId="PageNumber">
    <w:name w:val="page number"/>
    <w:aliases w:val="7_GA,7_G"/>
    <w:qFormat/>
    <w:rsid w:val="00B63F77"/>
    <w:rPr>
      <w:rFonts w:ascii="Times New Roman Bold" w:hAnsi="Times New Roman Bold"/>
      <w:b/>
      <w:i w:val="0"/>
      <w:sz w:val="18"/>
      <w:szCs w:val="18"/>
    </w:rPr>
  </w:style>
  <w:style w:type="paragraph" w:customStyle="1" w:styleId="XXLargeGA">
    <w:name w:val="XXLarge_GA"/>
    <w:basedOn w:val="Normal"/>
    <w:next w:val="SingleTxtGA"/>
    <w:qFormat/>
    <w:rsid w:val="00B63F77"/>
    <w:pPr>
      <w:suppressAutoHyphens/>
      <w:spacing w:line="820" w:lineRule="exact"/>
    </w:pPr>
    <w:rPr>
      <w:spacing w:val="-8"/>
      <w:w w:val="96"/>
      <w:sz w:val="57"/>
      <w:szCs w:val="86"/>
      <w:lang w:val="en-GB"/>
    </w:rPr>
  </w:style>
  <w:style w:type="character" w:customStyle="1" w:styleId="Heading2Char">
    <w:name w:val="Heading 2 Char"/>
    <w:link w:val="Heading2"/>
    <w:uiPriority w:val="9"/>
    <w:rsid w:val="00B63F77"/>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B63F77"/>
    <w:rPr>
      <w:rFonts w:ascii="Times New Roman" w:eastAsia="PMingLiU" w:hAnsi="Times New Roman" w:cs="Simplified Arabic"/>
      <w:b/>
      <w:bCs/>
      <w:color w:val="4F81BD"/>
      <w:sz w:val="20"/>
    </w:rPr>
  </w:style>
  <w:style w:type="character" w:customStyle="1" w:styleId="Heading4Char">
    <w:name w:val="Heading 4 Char"/>
    <w:link w:val="Heading4"/>
    <w:uiPriority w:val="9"/>
    <w:rsid w:val="00B63F77"/>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B63F77"/>
    <w:rPr>
      <w:rFonts w:ascii="Times New Roman" w:eastAsia="PMingLiU" w:hAnsi="Times New Roman" w:cs="Simplified Arabic"/>
      <w:color w:val="243F60"/>
      <w:sz w:val="20"/>
    </w:rPr>
  </w:style>
  <w:style w:type="character" w:customStyle="1" w:styleId="Heading6Char">
    <w:name w:val="Heading 6 Char"/>
    <w:link w:val="Heading6"/>
    <w:uiPriority w:val="9"/>
    <w:rsid w:val="00B63F77"/>
    <w:rPr>
      <w:rFonts w:ascii="Times New Roman" w:eastAsia="PMingLiU" w:hAnsi="Times New Roman" w:cs="Simplified Arabic"/>
      <w:i/>
      <w:iCs/>
      <w:color w:val="243F60"/>
      <w:sz w:val="20"/>
    </w:rPr>
  </w:style>
  <w:style w:type="character" w:customStyle="1" w:styleId="Heading7Char">
    <w:name w:val="Heading 7 Char"/>
    <w:link w:val="Heading7"/>
    <w:uiPriority w:val="9"/>
    <w:rsid w:val="00B63F77"/>
    <w:rPr>
      <w:rFonts w:ascii="Times New Roman" w:eastAsia="PMingLiU" w:hAnsi="Times New Roman" w:cs="Simplified Arabic"/>
      <w:i/>
      <w:iCs/>
      <w:color w:val="404040"/>
      <w:sz w:val="20"/>
    </w:rPr>
  </w:style>
  <w:style w:type="character" w:customStyle="1" w:styleId="Heading8Char">
    <w:name w:val="Heading 8 Char"/>
    <w:link w:val="Heading8"/>
    <w:uiPriority w:val="9"/>
    <w:rsid w:val="00B63F77"/>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B63F77"/>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B63F7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B63F77"/>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B63F77"/>
    <w:pPr>
      <w:numPr>
        <w:ilvl w:val="1"/>
      </w:numPr>
    </w:pPr>
    <w:rPr>
      <w:i/>
      <w:iCs/>
      <w:color w:val="4F81BD"/>
      <w:spacing w:val="15"/>
      <w:sz w:val="24"/>
      <w:szCs w:val="24"/>
    </w:rPr>
  </w:style>
  <w:style w:type="character" w:customStyle="1" w:styleId="SubtitleChar">
    <w:name w:val="Subtitle Char"/>
    <w:link w:val="Subtitle"/>
    <w:uiPriority w:val="11"/>
    <w:rsid w:val="00B63F77"/>
    <w:rPr>
      <w:rFonts w:ascii="Times New Roman" w:eastAsia="PMingLiU" w:hAnsi="Times New Roman" w:cs="Simplified Arabic"/>
      <w:i/>
      <w:iCs/>
      <w:color w:val="4F81BD"/>
      <w:spacing w:val="15"/>
      <w:sz w:val="24"/>
      <w:szCs w:val="24"/>
    </w:rPr>
  </w:style>
  <w:style w:type="character" w:styleId="Strong">
    <w:name w:val="Strong"/>
    <w:uiPriority w:val="22"/>
    <w:rsid w:val="00B63F77"/>
    <w:rPr>
      <w:b/>
      <w:bCs/>
    </w:rPr>
  </w:style>
  <w:style w:type="table" w:styleId="TableGrid">
    <w:name w:val="Table Grid"/>
    <w:basedOn w:val="TableNormal"/>
    <w:rsid w:val="00B63F77"/>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3F77"/>
    <w:rPr>
      <w:color w:val="0000FF"/>
      <w:u w:val="none"/>
    </w:rPr>
  </w:style>
  <w:style w:type="paragraph" w:styleId="TOC1">
    <w:name w:val="toc 1"/>
    <w:basedOn w:val="Normal"/>
    <w:link w:val="TOC1Char"/>
    <w:autoRedefine/>
    <w:uiPriority w:val="39"/>
    <w:unhideWhenUsed/>
    <w:rsid w:val="00B63F7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B63F7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B63F7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B63F77"/>
    <w:rPr>
      <w:rFonts w:eastAsia="DengXian"/>
      <w:color w:val="auto"/>
      <w:sz w:val="20"/>
      <w:szCs w:val="20"/>
      <w:u w:val="none"/>
      <w:lang w:eastAsia="zh-CN" w:bidi="ar-EG"/>
    </w:rPr>
  </w:style>
  <w:style w:type="paragraph" w:styleId="TOC4">
    <w:name w:val="toc 4"/>
    <w:basedOn w:val="Normal"/>
    <w:link w:val="TOC4Char"/>
    <w:autoRedefine/>
    <w:uiPriority w:val="39"/>
    <w:unhideWhenUsed/>
    <w:rsid w:val="00B63F7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B63F7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B63F7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B63F7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B63F77"/>
    <w:rPr>
      <w:rFonts w:ascii="Times New Roman" w:eastAsia="PMingLiU" w:hAnsi="Times New Roman" w:cs="Simplified Arabic"/>
      <w:lang w:val="en-GB"/>
    </w:rPr>
  </w:style>
  <w:style w:type="character" w:customStyle="1" w:styleId="TOC1Char">
    <w:name w:val="TOC 1 Char"/>
    <w:basedOn w:val="DefaultParagraphFont"/>
    <w:link w:val="TOC1"/>
    <w:uiPriority w:val="39"/>
    <w:rsid w:val="00B63F77"/>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B63F77"/>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B63F77"/>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B63F77"/>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B63F77"/>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B63F77"/>
    <w:rPr>
      <w:rFonts w:ascii="Times New Roman" w:eastAsia="PMingLiU" w:hAnsi="Times New Roman" w:cs="Simplified Arabic"/>
      <w:sz w:val="20"/>
      <w:szCs w:val="20"/>
      <w:lang w:val="en-GB"/>
    </w:rPr>
  </w:style>
  <w:style w:type="paragraph" w:customStyle="1" w:styleId="NormalA">
    <w:name w:val="Normal_A"/>
    <w:basedOn w:val="Normal"/>
    <w:qFormat/>
    <w:rsid w:val="00B63F77"/>
  </w:style>
  <w:style w:type="paragraph" w:customStyle="1" w:styleId="FootnoteGA">
    <w:name w:val="_Footnote_GA"/>
    <w:basedOn w:val="Normal"/>
    <w:qFormat/>
    <w:rsid w:val="00B63F7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B63F77"/>
    <w:rPr>
      <w:sz w:val="44"/>
      <w:szCs w:val="44"/>
      <w:lang w:val="en-US" w:bidi="ar-DZ"/>
    </w:rPr>
  </w:style>
  <w:style w:type="paragraph" w:customStyle="1" w:styleId="FootnoteGA0">
    <w:name w:val="Footnote_GA"/>
    <w:basedOn w:val="Normal"/>
    <w:qFormat/>
    <w:rsid w:val="00B63F7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B63F7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B63F77"/>
    <w:pPr>
      <w:spacing w:line="240" w:lineRule="exact"/>
    </w:pPr>
    <w:rPr>
      <w:spacing w:val="6"/>
      <w:w w:val="106"/>
      <w:sz w:val="14"/>
      <w:szCs w:val="21"/>
    </w:rPr>
  </w:style>
  <w:style w:type="paragraph" w:customStyle="1" w:styleId="Original">
    <w:name w:val="Original"/>
    <w:basedOn w:val="Normal"/>
    <w:next w:val="Normal"/>
    <w:qFormat/>
    <w:rsid w:val="00B63F7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B63F7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B63F77"/>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7B718D"/>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7B718D"/>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7B718D"/>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B63F77"/>
    <w:rPr>
      <w:lang w:val="en-US" w:eastAsia="zh-TW"/>
    </w:rPr>
  </w:style>
  <w:style w:type="paragraph" w:customStyle="1" w:styleId="STitleMGA">
    <w:name w:val="S_Title_M_GA"/>
    <w:basedOn w:val="SMGA"/>
    <w:qFormat/>
    <w:rsid w:val="00B63F77"/>
    <w:rPr>
      <w:lang w:eastAsia="zh-TW"/>
    </w:rPr>
  </w:style>
  <w:style w:type="paragraph" w:customStyle="1" w:styleId="STitleSGA">
    <w:name w:val="S_Title_S_GA"/>
    <w:basedOn w:val="SSGA"/>
    <w:qFormat/>
    <w:rsid w:val="00B63F77"/>
    <w:rPr>
      <w:lang w:eastAsia="zh-TW"/>
    </w:rPr>
  </w:style>
  <w:style w:type="paragraph" w:customStyle="1" w:styleId="HChG">
    <w:name w:val="_ H _Ch_G"/>
    <w:basedOn w:val="Normal"/>
    <w:next w:val="Normal"/>
    <w:qFormat/>
    <w:rsid w:val="00B74DAB"/>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hint="cs"/>
      <w:b/>
      <w:sz w:val="28"/>
      <w:szCs w:val="30"/>
      <w:lang w:val="en-GB" w:eastAsia="zh-CN"/>
    </w:rPr>
  </w:style>
  <w:style w:type="paragraph" w:customStyle="1" w:styleId="H1G">
    <w:name w:val="_ H_1_G"/>
    <w:basedOn w:val="Normal"/>
    <w:next w:val="Normal"/>
    <w:qFormat/>
    <w:rsid w:val="00B74DAB"/>
    <w:pPr>
      <w:keepNext/>
      <w:keepLines/>
      <w:tabs>
        <w:tab w:val="right" w:pos="851"/>
      </w:tabs>
      <w:suppressAutoHyphens/>
      <w:bidi w:val="0"/>
      <w:spacing w:before="360" w:after="240" w:line="270" w:lineRule="exact"/>
      <w:ind w:left="1134" w:right="1134" w:hanging="1134"/>
      <w:jc w:val="left"/>
      <w:outlineLvl w:val="2"/>
    </w:pPr>
    <w:rPr>
      <w:rFonts w:eastAsia="SimSun" w:hAnsiTheme="minorHAnsi" w:cs="Traditional Arabic" w:hint="cs"/>
      <w:b/>
      <w:sz w:val="24"/>
      <w:szCs w:val="30"/>
      <w:lang w:val="en-GB" w:eastAsia="zh-CN"/>
    </w:rPr>
  </w:style>
  <w:style w:type="paragraph" w:customStyle="1" w:styleId="H23G">
    <w:name w:val="_ H_2/3_G"/>
    <w:basedOn w:val="Normal"/>
    <w:next w:val="Normal"/>
    <w:qFormat/>
    <w:rsid w:val="00B74DAB"/>
    <w:pPr>
      <w:keepNext/>
      <w:keepLines/>
      <w:tabs>
        <w:tab w:val="right" w:pos="851"/>
      </w:tabs>
      <w:suppressAutoHyphens/>
      <w:bidi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SingleTxtG">
    <w:name w:val="_ Single Txt_G"/>
    <w:basedOn w:val="Normal"/>
    <w:link w:val="SingleTxtGChar"/>
    <w:rsid w:val="00B74DAB"/>
    <w:pPr>
      <w:tabs>
        <w:tab w:val="left" w:pos="1701"/>
        <w:tab w:val="left" w:pos="2268"/>
      </w:tabs>
      <w:suppressAutoHyphens/>
      <w:bidi w:val="0"/>
      <w:spacing w:after="120"/>
      <w:ind w:left="1134" w:right="1134"/>
      <w:jc w:val="both"/>
    </w:pPr>
    <w:rPr>
      <w:rFonts w:eastAsia="SimSun" w:hAnsiTheme="minorHAnsi" w:cs="Traditional Arabic"/>
      <w:szCs w:val="30"/>
      <w:lang w:val="en-GB" w:eastAsia="zh-CN"/>
    </w:rPr>
  </w:style>
  <w:style w:type="character" w:styleId="EndnoteReference">
    <w:name w:val="endnote reference"/>
    <w:aliases w:val="1_G"/>
    <w:rsid w:val="00B74DAB"/>
    <w:rPr>
      <w:rFonts w:ascii="Times New Roman" w:hAnsi="Times New Roman"/>
      <w:sz w:val="18"/>
      <w:vertAlign w:val="superscript"/>
    </w:rPr>
  </w:style>
  <w:style w:type="paragraph" w:styleId="FootnoteText">
    <w:name w:val="footnote text"/>
    <w:aliases w:val="5_G"/>
    <w:basedOn w:val="Normal"/>
    <w:link w:val="FootnoteTextChar"/>
    <w:rsid w:val="00B74DAB"/>
    <w:pPr>
      <w:tabs>
        <w:tab w:val="right" w:pos="1021"/>
        <w:tab w:val="left" w:pos="1134"/>
        <w:tab w:val="left" w:pos="1701"/>
        <w:tab w:val="left" w:pos="2268"/>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B74DAB"/>
    <w:rPr>
      <w:rFonts w:ascii="Times New Roman" w:eastAsia="SimSun" w:cs="Traditional Arabic"/>
      <w:sz w:val="18"/>
      <w:szCs w:val="30"/>
      <w:lang w:val="en-GB" w:eastAsia="zh-CN"/>
    </w:rPr>
  </w:style>
  <w:style w:type="character" w:styleId="FootnoteReference">
    <w:name w:val="footnote reference"/>
    <w:aliases w:val="4_G"/>
    <w:rsid w:val="00B74DAB"/>
    <w:rPr>
      <w:rFonts w:ascii="Times New Roman" w:hAnsi="Times New Roman"/>
      <w:sz w:val="18"/>
      <w:vertAlign w:val="superscript"/>
    </w:rPr>
  </w:style>
  <w:style w:type="character" w:customStyle="1" w:styleId="SingleTxtGChar">
    <w:name w:val="_ Single Txt_G Char"/>
    <w:basedOn w:val="DefaultParagraphFont"/>
    <w:link w:val="SingleTxtG"/>
    <w:rsid w:val="00B74DAB"/>
    <w:rPr>
      <w:rFonts w:ascii="Times New Roman" w:eastAsia="SimSun" w:cs="Traditional Arabic"/>
      <w:sz w:val="20"/>
      <w:szCs w:val="30"/>
      <w:lang w:val="en-GB" w:eastAsia="zh-CN"/>
    </w:rPr>
  </w:style>
  <w:style w:type="character" w:styleId="UnresolvedMention">
    <w:name w:val="Unresolved Mention"/>
    <w:basedOn w:val="DefaultParagraphFont"/>
    <w:uiPriority w:val="99"/>
    <w:semiHidden/>
    <w:unhideWhenUsed/>
    <w:rsid w:val="00A93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r/CED/C/CHE/FCO/1." TargetMode="External"/><Relationship Id="rId18" Type="http://schemas.openxmlformats.org/officeDocument/2006/relationships/hyperlink" Target="https://undocs.org/ar/CED/C/COL/FOAI/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docs.org/ar/CED/C/CHE/FCO/1." TargetMode="External"/><Relationship Id="rId17" Type="http://schemas.openxmlformats.org/officeDocument/2006/relationships/hyperlink" Target="https://undocs.org/ar/CED/C/COL/FOAI/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C/COL/FOAI/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CED/C/CHE/FCO/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ar/CED/C/COL/FOAI/1" TargetMode="External"/><Relationship Id="rId23" Type="http://schemas.openxmlformats.org/officeDocument/2006/relationships/footer" Target="footer3.xml"/><Relationship Id="rId10" Type="http://schemas.openxmlformats.org/officeDocument/2006/relationships/hyperlink" Target="https://undocs.org/ar/CED/C/CHE/FC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ar/CED/C/CHE/CO/1" TargetMode="External"/><Relationship Id="rId14" Type="http://schemas.openxmlformats.org/officeDocument/2006/relationships/hyperlink" Target="https://undocs.org/ar/CED/C/COL/OAI/1"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ED/C/CHE/CO/1" TargetMode="External"/><Relationship Id="rId2" Type="http://schemas.openxmlformats.org/officeDocument/2006/relationships/hyperlink" Target="https://undocs.org/ar/CED/C/COL/FOAI/1" TargetMode="External"/><Relationship Id="rId1" Type="http://schemas.openxmlformats.org/officeDocument/2006/relationships/hyperlink" Target="https://undocs.org/ar/CED/C/CHE/FCO/1" TargetMode="External"/><Relationship Id="rId5" Type="http://schemas.openxmlformats.org/officeDocument/2006/relationships/hyperlink" Target="https://undocs.org/ar/CED/C/MEX/OAI/1" TargetMode="External"/><Relationship Id="rId4" Type="http://schemas.openxmlformats.org/officeDocument/2006/relationships/hyperlink" Target="https://undocs.org/ar/CED/C/MEX/CO/1/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F3B9-0B75-4878-BFDE-A936202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10</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CED/C/23/3</vt:lpstr>
    </vt:vector>
  </TitlesOfParts>
  <Company>DCM</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CED/C/23/3</dc:title>
  <dc:subject>GE.2216542(A)</dc:subject>
  <dc:creator>Muntaha BUHNAM - Alaoui</dc:creator>
  <cp:keywords>GE.(A)</cp:keywords>
  <dc:description>General_x000d_
12 September 2022_x000d_
Arabic_x000d_
English</dc:description>
  <cp:lastModifiedBy>Jamal Alkahlout</cp:lastModifiedBy>
  <cp:revision>2</cp:revision>
  <dcterms:created xsi:type="dcterms:W3CDTF">2022-11-04T13:29:00Z</dcterms:created>
  <dcterms:modified xsi:type="dcterms:W3CDTF">2022-11-04T13:29:00Z</dcterms:modified>
</cp:coreProperties>
</file>